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EAE299" w14:textId="2CBEAC5B" w:rsidR="0038226E" w:rsidRPr="00B16E80" w:rsidRDefault="0038226E" w:rsidP="006C628E">
      <w:pPr>
        <w:spacing w:line="360" w:lineRule="auto"/>
        <w:jc w:val="right"/>
        <w:rPr>
          <w:rFonts w:ascii="Tahoma" w:hAnsi="Tahoma" w:cs="Tahoma"/>
          <w:b/>
          <w:bCs/>
          <w:sz w:val="24"/>
          <w:szCs w:val="24"/>
        </w:rPr>
      </w:pPr>
      <w:r w:rsidRPr="00B16E80">
        <w:rPr>
          <w:rFonts w:ascii="Tahoma" w:hAnsi="Tahoma" w:cs="Tahoma"/>
          <w:b/>
          <w:bCs/>
          <w:sz w:val="24"/>
          <w:szCs w:val="24"/>
        </w:rPr>
        <w:t xml:space="preserve">Projekt </w:t>
      </w:r>
    </w:p>
    <w:p w14:paraId="316D1816" w14:textId="77777777" w:rsidR="0038226E" w:rsidRPr="00B16E80" w:rsidRDefault="0038226E" w:rsidP="006C628E">
      <w:pPr>
        <w:spacing w:line="360" w:lineRule="auto"/>
        <w:jc w:val="center"/>
        <w:rPr>
          <w:rFonts w:ascii="Tahoma" w:hAnsi="Tahoma" w:cs="Tahoma"/>
          <w:b/>
          <w:bCs/>
          <w:sz w:val="24"/>
          <w:szCs w:val="24"/>
        </w:rPr>
      </w:pPr>
    </w:p>
    <w:p w14:paraId="392E7B22" w14:textId="4F8A92D9" w:rsidR="0038226E" w:rsidRPr="00B16E80" w:rsidRDefault="00AF5694" w:rsidP="006C628E">
      <w:pPr>
        <w:spacing w:line="360" w:lineRule="auto"/>
        <w:jc w:val="center"/>
        <w:rPr>
          <w:rFonts w:ascii="Tahoma" w:hAnsi="Tahoma" w:cs="Tahoma"/>
          <w:b/>
          <w:bCs/>
          <w:sz w:val="24"/>
          <w:szCs w:val="24"/>
        </w:rPr>
      </w:pPr>
      <w:r w:rsidRPr="00B16E80">
        <w:rPr>
          <w:rFonts w:ascii="Tahoma" w:hAnsi="Tahoma" w:cs="Tahoma"/>
          <w:b/>
          <w:bCs/>
          <w:sz w:val="24"/>
          <w:szCs w:val="24"/>
        </w:rPr>
        <w:t>Ustawa</w:t>
      </w:r>
    </w:p>
    <w:p w14:paraId="7C0ADFCC" w14:textId="3C3841A8" w:rsidR="0038226E" w:rsidRPr="00B16E80" w:rsidRDefault="0038226E" w:rsidP="006C628E">
      <w:pPr>
        <w:spacing w:line="360" w:lineRule="auto"/>
        <w:jc w:val="center"/>
        <w:rPr>
          <w:rFonts w:ascii="Tahoma" w:hAnsi="Tahoma" w:cs="Tahoma"/>
          <w:b/>
          <w:bCs/>
          <w:sz w:val="24"/>
          <w:szCs w:val="24"/>
        </w:rPr>
      </w:pPr>
      <w:r w:rsidRPr="00B16E80">
        <w:rPr>
          <w:rFonts w:ascii="Tahoma" w:hAnsi="Tahoma" w:cs="Tahoma"/>
          <w:b/>
          <w:bCs/>
          <w:sz w:val="24"/>
          <w:szCs w:val="24"/>
        </w:rPr>
        <w:t xml:space="preserve">z dnia …….. 2022 r. </w:t>
      </w:r>
    </w:p>
    <w:p w14:paraId="331F2674" w14:textId="21B6C75C" w:rsidR="00523E20" w:rsidRPr="00B16E80" w:rsidRDefault="000A0642" w:rsidP="006C628E">
      <w:pPr>
        <w:spacing w:line="360" w:lineRule="auto"/>
        <w:jc w:val="center"/>
        <w:rPr>
          <w:rFonts w:ascii="Tahoma" w:hAnsi="Tahoma" w:cs="Tahoma"/>
          <w:b/>
          <w:bCs/>
          <w:sz w:val="24"/>
          <w:szCs w:val="24"/>
        </w:rPr>
      </w:pPr>
      <w:r w:rsidRPr="00B16E80">
        <w:rPr>
          <w:rFonts w:ascii="Tahoma" w:hAnsi="Tahoma" w:cs="Tahoma"/>
          <w:b/>
          <w:bCs/>
          <w:sz w:val="24"/>
          <w:szCs w:val="24"/>
        </w:rPr>
        <w:t xml:space="preserve"> o </w:t>
      </w:r>
      <w:r w:rsidR="00E10655" w:rsidRPr="00B16E80">
        <w:rPr>
          <w:rFonts w:ascii="Tahoma" w:hAnsi="Tahoma" w:cs="Tahoma"/>
          <w:b/>
          <w:bCs/>
          <w:sz w:val="24"/>
          <w:szCs w:val="24"/>
        </w:rPr>
        <w:t>ochronie</w:t>
      </w:r>
      <w:r w:rsidRPr="00B16E80">
        <w:rPr>
          <w:rFonts w:ascii="Tahoma" w:hAnsi="Tahoma" w:cs="Tahoma"/>
          <w:b/>
          <w:bCs/>
          <w:sz w:val="24"/>
          <w:szCs w:val="24"/>
        </w:rPr>
        <w:t xml:space="preserve"> kredytobiorców spłacających kredyty mieszkaniowe</w:t>
      </w:r>
      <w:r w:rsidR="00E10655" w:rsidRPr="00B16E80">
        <w:rPr>
          <w:rFonts w:ascii="Tahoma" w:hAnsi="Tahoma" w:cs="Tahoma"/>
          <w:b/>
          <w:bCs/>
          <w:sz w:val="24"/>
          <w:szCs w:val="24"/>
        </w:rPr>
        <w:t xml:space="preserve"> przed</w:t>
      </w:r>
      <w:r w:rsidR="00310E8A" w:rsidRPr="00B16E80">
        <w:rPr>
          <w:rFonts w:ascii="Tahoma" w:hAnsi="Tahoma" w:cs="Tahoma"/>
          <w:b/>
          <w:bCs/>
          <w:sz w:val="24"/>
          <w:szCs w:val="24"/>
        </w:rPr>
        <w:t xml:space="preserve"> skutkami</w:t>
      </w:r>
      <w:r w:rsidR="00E10655" w:rsidRPr="00B16E80">
        <w:rPr>
          <w:rFonts w:ascii="Tahoma" w:hAnsi="Tahoma" w:cs="Tahoma"/>
          <w:b/>
          <w:bCs/>
          <w:sz w:val="24"/>
          <w:szCs w:val="24"/>
        </w:rPr>
        <w:t xml:space="preserve"> wzrost</w:t>
      </w:r>
      <w:r w:rsidR="00913882" w:rsidRPr="00B16E80">
        <w:rPr>
          <w:rFonts w:ascii="Tahoma" w:hAnsi="Tahoma" w:cs="Tahoma"/>
          <w:b/>
          <w:bCs/>
          <w:sz w:val="24"/>
          <w:szCs w:val="24"/>
        </w:rPr>
        <w:t>u</w:t>
      </w:r>
      <w:r w:rsidR="00E10655" w:rsidRPr="00B16E80">
        <w:rPr>
          <w:rFonts w:ascii="Tahoma" w:hAnsi="Tahoma" w:cs="Tahoma"/>
          <w:b/>
          <w:bCs/>
          <w:sz w:val="24"/>
          <w:szCs w:val="24"/>
        </w:rPr>
        <w:t xml:space="preserve"> stóp procentowych</w:t>
      </w:r>
    </w:p>
    <w:p w14:paraId="15173BC1" w14:textId="4F5EE07E" w:rsidR="00E10655" w:rsidRPr="00B16E80" w:rsidRDefault="00E10655" w:rsidP="006C628E">
      <w:pPr>
        <w:spacing w:line="360" w:lineRule="auto"/>
        <w:jc w:val="center"/>
        <w:rPr>
          <w:rFonts w:ascii="Tahoma" w:hAnsi="Tahoma" w:cs="Tahoma"/>
          <w:b/>
          <w:bCs/>
          <w:sz w:val="24"/>
          <w:szCs w:val="24"/>
        </w:rPr>
      </w:pPr>
    </w:p>
    <w:p w14:paraId="05D720F0" w14:textId="29173E87" w:rsidR="00746B85" w:rsidRPr="00B16E80" w:rsidRDefault="00746B85" w:rsidP="006C628E">
      <w:pPr>
        <w:spacing w:line="360" w:lineRule="auto"/>
        <w:jc w:val="center"/>
        <w:rPr>
          <w:rFonts w:ascii="Tahoma" w:hAnsi="Tahoma" w:cs="Tahoma"/>
          <w:b/>
          <w:bCs/>
          <w:sz w:val="24"/>
          <w:szCs w:val="24"/>
        </w:rPr>
      </w:pPr>
    </w:p>
    <w:p w14:paraId="7BC68261" w14:textId="77777777" w:rsidR="00746B85" w:rsidRPr="00B16E80" w:rsidRDefault="00746B85" w:rsidP="006C628E">
      <w:pPr>
        <w:spacing w:line="360" w:lineRule="auto"/>
        <w:jc w:val="center"/>
        <w:rPr>
          <w:rFonts w:ascii="Tahoma" w:hAnsi="Tahoma" w:cs="Tahoma"/>
          <w:b/>
          <w:bCs/>
          <w:sz w:val="24"/>
          <w:szCs w:val="24"/>
        </w:rPr>
      </w:pPr>
    </w:p>
    <w:p w14:paraId="33C0361A" w14:textId="4C9C94AF" w:rsidR="000A0642" w:rsidRPr="00B16E80" w:rsidRDefault="000A0642" w:rsidP="006C628E">
      <w:pPr>
        <w:spacing w:line="360" w:lineRule="auto"/>
        <w:ind w:firstLine="567"/>
        <w:jc w:val="both"/>
        <w:rPr>
          <w:rFonts w:ascii="Tahoma" w:hAnsi="Tahoma" w:cs="Tahoma"/>
          <w:sz w:val="24"/>
          <w:szCs w:val="24"/>
        </w:rPr>
      </w:pPr>
      <w:r w:rsidRPr="00B16E80">
        <w:rPr>
          <w:rFonts w:ascii="Tahoma" w:hAnsi="Tahoma" w:cs="Tahoma"/>
          <w:b/>
          <w:bCs/>
          <w:sz w:val="24"/>
          <w:szCs w:val="24"/>
        </w:rPr>
        <w:t xml:space="preserve">Art. 1. </w:t>
      </w:r>
      <w:r w:rsidRPr="00B16E80">
        <w:rPr>
          <w:rFonts w:ascii="Tahoma" w:hAnsi="Tahoma" w:cs="Tahoma"/>
          <w:sz w:val="24"/>
          <w:szCs w:val="24"/>
        </w:rPr>
        <w:t xml:space="preserve">Ustawa określa zasady </w:t>
      </w:r>
      <w:r w:rsidR="00E10655" w:rsidRPr="00B16E80">
        <w:rPr>
          <w:rFonts w:ascii="Tahoma" w:hAnsi="Tahoma" w:cs="Tahoma"/>
          <w:sz w:val="24"/>
          <w:szCs w:val="24"/>
        </w:rPr>
        <w:t>ochrony</w:t>
      </w:r>
      <w:r w:rsidRPr="00B16E80">
        <w:rPr>
          <w:rFonts w:ascii="Tahoma" w:hAnsi="Tahoma" w:cs="Tahoma"/>
          <w:sz w:val="24"/>
          <w:szCs w:val="24"/>
        </w:rPr>
        <w:t xml:space="preserve"> osób, które zaciągnęły kredyt mieszkaniowy w walucie polskiej</w:t>
      </w:r>
      <w:r w:rsidR="00E10655" w:rsidRPr="00B16E80">
        <w:rPr>
          <w:rFonts w:ascii="Tahoma" w:hAnsi="Tahoma" w:cs="Tahoma"/>
          <w:sz w:val="24"/>
          <w:szCs w:val="24"/>
        </w:rPr>
        <w:t>, przed skutkami wzrostu stóp procentowych</w:t>
      </w:r>
      <w:r w:rsidRPr="00B16E80">
        <w:rPr>
          <w:rFonts w:ascii="Tahoma" w:hAnsi="Tahoma" w:cs="Tahoma"/>
          <w:sz w:val="24"/>
          <w:szCs w:val="24"/>
        </w:rPr>
        <w:t>.</w:t>
      </w:r>
    </w:p>
    <w:p w14:paraId="218D5AE2" w14:textId="0F8D2036" w:rsidR="000A0642" w:rsidRPr="00B16E80" w:rsidRDefault="000A0642" w:rsidP="006C628E">
      <w:pPr>
        <w:spacing w:line="360" w:lineRule="auto"/>
        <w:ind w:firstLine="567"/>
        <w:jc w:val="both"/>
        <w:rPr>
          <w:rFonts w:ascii="Tahoma" w:hAnsi="Tahoma" w:cs="Tahoma"/>
          <w:sz w:val="24"/>
          <w:szCs w:val="24"/>
        </w:rPr>
      </w:pPr>
      <w:r w:rsidRPr="00B16E80">
        <w:rPr>
          <w:rFonts w:ascii="Tahoma" w:hAnsi="Tahoma" w:cs="Tahoma"/>
          <w:b/>
          <w:bCs/>
          <w:sz w:val="24"/>
          <w:szCs w:val="24"/>
        </w:rPr>
        <w:t>Art. 2.</w:t>
      </w:r>
      <w:r w:rsidRPr="00B16E80">
        <w:rPr>
          <w:rFonts w:ascii="Tahoma" w:hAnsi="Tahoma" w:cs="Tahoma"/>
          <w:sz w:val="24"/>
          <w:szCs w:val="24"/>
        </w:rPr>
        <w:t xml:space="preserve"> 1. Użyte w ustawie określenia oznaczają:</w:t>
      </w:r>
    </w:p>
    <w:p w14:paraId="70BA5A10" w14:textId="00157E9B" w:rsidR="000A0642" w:rsidRPr="00B16E80" w:rsidRDefault="000A0642" w:rsidP="006C628E">
      <w:pPr>
        <w:spacing w:line="360" w:lineRule="auto"/>
        <w:ind w:left="567" w:hanging="567"/>
        <w:jc w:val="both"/>
        <w:rPr>
          <w:rFonts w:ascii="Tahoma" w:hAnsi="Tahoma" w:cs="Tahoma"/>
          <w:sz w:val="24"/>
          <w:szCs w:val="24"/>
        </w:rPr>
      </w:pPr>
      <w:r w:rsidRPr="00B16E80">
        <w:rPr>
          <w:rFonts w:ascii="Tahoma" w:hAnsi="Tahoma" w:cs="Tahoma"/>
          <w:sz w:val="24"/>
          <w:szCs w:val="24"/>
        </w:rPr>
        <w:t>1)</w:t>
      </w:r>
      <w:r w:rsidR="0038226E" w:rsidRPr="00B16E80">
        <w:rPr>
          <w:rFonts w:ascii="Tahoma" w:hAnsi="Tahoma" w:cs="Tahoma"/>
          <w:sz w:val="24"/>
          <w:szCs w:val="24"/>
        </w:rPr>
        <w:tab/>
      </w:r>
      <w:r w:rsidRPr="00B16E80">
        <w:rPr>
          <w:rFonts w:ascii="Tahoma" w:hAnsi="Tahoma" w:cs="Tahoma"/>
          <w:sz w:val="24"/>
          <w:szCs w:val="24"/>
        </w:rPr>
        <w:t xml:space="preserve">kredytobiorca – osobę lub osoby, pozostające w gospodarstwie domowym, zobowiązane do spłaty kredytu mieszkaniowego; </w:t>
      </w:r>
    </w:p>
    <w:p w14:paraId="34197D87" w14:textId="3D4917D3" w:rsidR="000A0642" w:rsidRPr="00B16E80" w:rsidRDefault="000A0642" w:rsidP="006C628E">
      <w:pPr>
        <w:spacing w:line="360" w:lineRule="auto"/>
        <w:ind w:left="567" w:hanging="567"/>
        <w:jc w:val="both"/>
        <w:rPr>
          <w:rFonts w:ascii="Tahoma" w:hAnsi="Tahoma" w:cs="Tahoma"/>
          <w:sz w:val="24"/>
          <w:szCs w:val="24"/>
        </w:rPr>
      </w:pPr>
      <w:r w:rsidRPr="00B16E80">
        <w:rPr>
          <w:rFonts w:ascii="Tahoma" w:hAnsi="Tahoma" w:cs="Tahoma"/>
          <w:sz w:val="24"/>
          <w:szCs w:val="24"/>
        </w:rPr>
        <w:t>2)</w:t>
      </w:r>
      <w:r w:rsidR="0038226E" w:rsidRPr="00B16E80">
        <w:rPr>
          <w:rFonts w:ascii="Tahoma" w:hAnsi="Tahoma" w:cs="Tahoma"/>
          <w:sz w:val="24"/>
          <w:szCs w:val="24"/>
        </w:rPr>
        <w:tab/>
      </w:r>
      <w:r w:rsidRPr="00B16E80">
        <w:rPr>
          <w:rFonts w:ascii="Tahoma" w:hAnsi="Tahoma" w:cs="Tahoma"/>
          <w:sz w:val="24"/>
          <w:szCs w:val="24"/>
        </w:rPr>
        <w:t>kredytodawca – bank krajowy, oddział instytucji kredytowej, oddział banku zagranicznego, o których mowa w art. 4 ust. 1 pkt 1, 18 i 20 ustawy z dnia 29 sierpnia 1997 r. – Prawo bankowe (Dz. U. z 2018 r. poz. 2187, z późn. zm.), albo spółdzielczą kasę oszczędnościowo-kredytową, które udzieliły kredytu mieszkaniowego;</w:t>
      </w:r>
    </w:p>
    <w:p w14:paraId="02BADE17" w14:textId="4E4D9EC9" w:rsidR="000A0642" w:rsidRPr="00B16E80" w:rsidRDefault="000A0642" w:rsidP="006C628E">
      <w:pPr>
        <w:spacing w:line="360" w:lineRule="auto"/>
        <w:ind w:left="567" w:hanging="567"/>
        <w:jc w:val="both"/>
        <w:rPr>
          <w:rFonts w:ascii="Tahoma" w:hAnsi="Tahoma" w:cs="Tahoma"/>
          <w:sz w:val="24"/>
          <w:szCs w:val="24"/>
        </w:rPr>
      </w:pPr>
      <w:r w:rsidRPr="00B16E80">
        <w:rPr>
          <w:rFonts w:ascii="Tahoma" w:hAnsi="Tahoma" w:cs="Tahoma"/>
          <w:sz w:val="24"/>
          <w:szCs w:val="24"/>
        </w:rPr>
        <w:t>3)</w:t>
      </w:r>
      <w:r w:rsidR="0038226E" w:rsidRPr="00B16E80">
        <w:rPr>
          <w:rFonts w:ascii="Tahoma" w:hAnsi="Tahoma" w:cs="Tahoma"/>
          <w:sz w:val="24"/>
          <w:szCs w:val="24"/>
        </w:rPr>
        <w:tab/>
      </w:r>
      <w:r w:rsidRPr="00B16E80">
        <w:rPr>
          <w:rFonts w:ascii="Tahoma" w:hAnsi="Tahoma" w:cs="Tahoma"/>
          <w:sz w:val="24"/>
          <w:szCs w:val="24"/>
        </w:rPr>
        <w:t>dom jednorodzinny – budynek mieszkalny jednorodzinny w rozumieniu przepisów ustawy z dnia 7 lipca 1994 r. – Prawo budowlane (Dz. U. z 2019 r. poz. 1186, 1309, 1524, 1696, 1712 i 1815), w którym znajduje się nie więcej niż jeden lokal mieszkalny;</w:t>
      </w:r>
    </w:p>
    <w:p w14:paraId="095ABDA6" w14:textId="0630C416" w:rsidR="000A0642" w:rsidRPr="00B16E80" w:rsidRDefault="000A0642" w:rsidP="006C628E">
      <w:pPr>
        <w:spacing w:line="360" w:lineRule="auto"/>
        <w:ind w:left="567" w:hanging="567"/>
        <w:jc w:val="both"/>
        <w:rPr>
          <w:rFonts w:ascii="Tahoma" w:hAnsi="Tahoma" w:cs="Tahoma"/>
          <w:sz w:val="24"/>
          <w:szCs w:val="24"/>
        </w:rPr>
      </w:pPr>
      <w:r w:rsidRPr="00B16E80">
        <w:rPr>
          <w:rFonts w:ascii="Tahoma" w:hAnsi="Tahoma" w:cs="Tahoma"/>
          <w:sz w:val="24"/>
          <w:szCs w:val="24"/>
        </w:rPr>
        <w:t>4)</w:t>
      </w:r>
      <w:r w:rsidR="0038226E" w:rsidRPr="00B16E80">
        <w:rPr>
          <w:rFonts w:ascii="Tahoma" w:hAnsi="Tahoma" w:cs="Tahoma"/>
          <w:sz w:val="24"/>
          <w:szCs w:val="24"/>
        </w:rPr>
        <w:tab/>
      </w:r>
      <w:r w:rsidR="00337B1C" w:rsidRPr="00B16E80">
        <w:rPr>
          <w:rFonts w:ascii="Tahoma" w:hAnsi="Tahoma" w:cs="Tahoma"/>
          <w:sz w:val="24"/>
          <w:szCs w:val="24"/>
        </w:rPr>
        <w:t>lokal mieszkalny – samodzielny lokal mieszkalny w rozumieniu przepisu art. 2 ust. 2 zdanie pierwsze ustawy z dnia 24 czerwca 1994 r. o własności lokali (Dz. U. z 2019 r. poz. 737, 1309 i 1469) znajdujący się w budynku, w skład którego wchodzą co najmniej dwa takie lokale;</w:t>
      </w:r>
    </w:p>
    <w:p w14:paraId="7FE63BBE" w14:textId="1982F0DC" w:rsidR="006955A4" w:rsidRPr="00B16E80" w:rsidRDefault="00337B1C" w:rsidP="006C628E">
      <w:pPr>
        <w:spacing w:line="360" w:lineRule="auto"/>
        <w:ind w:left="567" w:hanging="567"/>
        <w:jc w:val="both"/>
        <w:rPr>
          <w:rFonts w:ascii="Tahoma" w:hAnsi="Tahoma" w:cs="Tahoma"/>
          <w:sz w:val="24"/>
          <w:szCs w:val="24"/>
        </w:rPr>
      </w:pPr>
      <w:r w:rsidRPr="00B16E80">
        <w:rPr>
          <w:rFonts w:ascii="Tahoma" w:hAnsi="Tahoma" w:cs="Tahoma"/>
          <w:sz w:val="24"/>
          <w:szCs w:val="24"/>
        </w:rPr>
        <w:lastRenderedPageBreak/>
        <w:t>5)</w:t>
      </w:r>
      <w:r w:rsidR="0038226E" w:rsidRPr="00B16E80">
        <w:rPr>
          <w:rFonts w:ascii="Tahoma" w:hAnsi="Tahoma" w:cs="Tahoma"/>
          <w:sz w:val="24"/>
          <w:szCs w:val="24"/>
        </w:rPr>
        <w:tab/>
      </w:r>
      <w:bookmarkStart w:id="0" w:name="_Hlk100242113"/>
      <w:r w:rsidRPr="00B16E80">
        <w:rPr>
          <w:rFonts w:ascii="Tahoma" w:hAnsi="Tahoma" w:cs="Tahoma"/>
          <w:sz w:val="24"/>
          <w:szCs w:val="24"/>
        </w:rPr>
        <w:t>gospodarstwo domowe – gospodarstwo prowadzone przez kredytobiorcę ubiegającego się o wsparcie lub pożyczkę na spłatę zadłużenia, samodzielnie zajmującego lokal mieszkalny lub dom jednorodzinny, albo gospodarstwo prowadzone przez kredytobiorcę wspólnie z innymi osobami stale z nim zamieszkującymi i gospodarującymi, które swoje prawa do zamieszkiwania w lokalu mieszkalnym lub domu jednorodzinnym wywodzą z prawa kredytobiorcy</w:t>
      </w:r>
      <w:bookmarkEnd w:id="0"/>
      <w:r w:rsidR="00746B85" w:rsidRPr="00B16E80">
        <w:rPr>
          <w:rFonts w:ascii="Tahoma" w:hAnsi="Tahoma" w:cs="Tahoma"/>
          <w:sz w:val="24"/>
          <w:szCs w:val="24"/>
        </w:rPr>
        <w:t>.</w:t>
      </w:r>
    </w:p>
    <w:p w14:paraId="3B970FF4" w14:textId="77777777" w:rsidR="00337B1C" w:rsidRPr="00B16E80" w:rsidRDefault="00337B1C" w:rsidP="006C628E">
      <w:pPr>
        <w:spacing w:line="360" w:lineRule="auto"/>
        <w:ind w:firstLine="567"/>
        <w:jc w:val="both"/>
        <w:rPr>
          <w:rFonts w:ascii="Tahoma" w:hAnsi="Tahoma" w:cs="Tahoma"/>
          <w:sz w:val="24"/>
          <w:szCs w:val="24"/>
        </w:rPr>
      </w:pPr>
      <w:r w:rsidRPr="00B16E80">
        <w:rPr>
          <w:rFonts w:ascii="Tahoma" w:hAnsi="Tahoma" w:cs="Tahoma"/>
          <w:sz w:val="24"/>
          <w:szCs w:val="24"/>
        </w:rPr>
        <w:t xml:space="preserve">2. Kredytem mieszkaniowym w rozumieniu przepisów ustawy jest kredyt lub pożyczka, zabezpieczone hipoteką, przeznaczone na sfinansowanie niezwiązanego z działalnością gospodarczą lub prowadzeniem gospodarstwa rolnego: </w:t>
      </w:r>
    </w:p>
    <w:p w14:paraId="2D4BD983" w14:textId="1A986C8E" w:rsidR="00337B1C" w:rsidRPr="00B16E80" w:rsidRDefault="00337B1C" w:rsidP="006C628E">
      <w:pPr>
        <w:spacing w:line="360" w:lineRule="auto"/>
        <w:ind w:left="567" w:hanging="567"/>
        <w:jc w:val="both"/>
        <w:rPr>
          <w:rFonts w:ascii="Tahoma" w:hAnsi="Tahoma" w:cs="Tahoma"/>
          <w:sz w:val="24"/>
          <w:szCs w:val="24"/>
        </w:rPr>
      </w:pPr>
      <w:r w:rsidRPr="00B16E80">
        <w:rPr>
          <w:rFonts w:ascii="Tahoma" w:hAnsi="Tahoma" w:cs="Tahoma"/>
          <w:sz w:val="24"/>
          <w:szCs w:val="24"/>
        </w:rPr>
        <w:t>1)</w:t>
      </w:r>
      <w:r w:rsidR="0038226E" w:rsidRPr="00B16E80">
        <w:rPr>
          <w:rFonts w:ascii="Tahoma" w:hAnsi="Tahoma" w:cs="Tahoma"/>
          <w:sz w:val="24"/>
          <w:szCs w:val="24"/>
        </w:rPr>
        <w:tab/>
      </w:r>
      <w:r w:rsidRPr="00B16E80">
        <w:rPr>
          <w:rFonts w:ascii="Tahoma" w:hAnsi="Tahoma" w:cs="Tahoma"/>
          <w:sz w:val="24"/>
          <w:szCs w:val="24"/>
        </w:rPr>
        <w:t xml:space="preserve">nabycia, budowy, przebudowy, rozbudowy lub nadbudowy domu jednorodzinnego albo lokalu mieszkalnego stanowiącego odrębną nieruchomość, oraz adaptacji pomieszczeń lub budynków niemieszkalnych na cele mieszkalne; </w:t>
      </w:r>
    </w:p>
    <w:p w14:paraId="51E43035" w14:textId="4003BEEA" w:rsidR="00337B1C" w:rsidRPr="00B16E80" w:rsidRDefault="00337B1C" w:rsidP="006C628E">
      <w:pPr>
        <w:spacing w:line="360" w:lineRule="auto"/>
        <w:ind w:left="567" w:hanging="567"/>
        <w:jc w:val="both"/>
        <w:rPr>
          <w:rFonts w:ascii="Tahoma" w:hAnsi="Tahoma" w:cs="Tahoma"/>
          <w:sz w:val="24"/>
          <w:szCs w:val="24"/>
        </w:rPr>
      </w:pPr>
      <w:r w:rsidRPr="00B16E80">
        <w:rPr>
          <w:rFonts w:ascii="Tahoma" w:hAnsi="Tahoma" w:cs="Tahoma"/>
          <w:sz w:val="24"/>
          <w:szCs w:val="24"/>
        </w:rPr>
        <w:t>2)</w:t>
      </w:r>
      <w:r w:rsidR="0038226E" w:rsidRPr="00B16E80">
        <w:rPr>
          <w:rFonts w:ascii="Tahoma" w:hAnsi="Tahoma" w:cs="Tahoma"/>
          <w:sz w:val="24"/>
          <w:szCs w:val="24"/>
        </w:rPr>
        <w:tab/>
      </w:r>
      <w:r w:rsidRPr="00B16E80">
        <w:rPr>
          <w:rFonts w:ascii="Tahoma" w:hAnsi="Tahoma" w:cs="Tahoma"/>
          <w:sz w:val="24"/>
          <w:szCs w:val="24"/>
        </w:rPr>
        <w:t xml:space="preserve">nabycia spółdzielczego prawa do lokalu mieszkalnego lub prawa do domu jednorodzinnego w spółdzielni mieszkaniowej albo prawa odrębnej własności lokalu mieszkalnego w spółdzielni mieszkaniowej; </w:t>
      </w:r>
    </w:p>
    <w:p w14:paraId="3A1A553E" w14:textId="00F95356" w:rsidR="00337B1C" w:rsidRPr="00B16E80" w:rsidRDefault="00337B1C" w:rsidP="006C628E">
      <w:pPr>
        <w:spacing w:line="360" w:lineRule="auto"/>
        <w:ind w:left="567" w:hanging="567"/>
        <w:jc w:val="both"/>
        <w:rPr>
          <w:rFonts w:ascii="Tahoma" w:hAnsi="Tahoma" w:cs="Tahoma"/>
          <w:sz w:val="24"/>
          <w:szCs w:val="24"/>
        </w:rPr>
      </w:pPr>
      <w:r w:rsidRPr="00B16E80">
        <w:rPr>
          <w:rFonts w:ascii="Tahoma" w:hAnsi="Tahoma" w:cs="Tahoma"/>
          <w:sz w:val="24"/>
          <w:szCs w:val="24"/>
        </w:rPr>
        <w:t>3)</w:t>
      </w:r>
      <w:r w:rsidR="0038226E" w:rsidRPr="00B16E80">
        <w:rPr>
          <w:rFonts w:ascii="Tahoma" w:hAnsi="Tahoma" w:cs="Tahoma"/>
          <w:sz w:val="24"/>
          <w:szCs w:val="24"/>
        </w:rPr>
        <w:tab/>
      </w:r>
      <w:r w:rsidRPr="00B16E80">
        <w:rPr>
          <w:rFonts w:ascii="Tahoma" w:hAnsi="Tahoma" w:cs="Tahoma"/>
          <w:sz w:val="24"/>
          <w:szCs w:val="24"/>
        </w:rPr>
        <w:t xml:space="preserve">remontu domu jednorodzinnego albo lokalu mieszkalnego, o których mowa w pkt 1 i 2; </w:t>
      </w:r>
    </w:p>
    <w:p w14:paraId="201E2BD6" w14:textId="35CA5166" w:rsidR="000A0642" w:rsidRPr="00B16E80" w:rsidRDefault="00337B1C" w:rsidP="006C628E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B16E80">
        <w:rPr>
          <w:rFonts w:ascii="Tahoma" w:hAnsi="Tahoma" w:cs="Tahoma"/>
          <w:sz w:val="24"/>
          <w:szCs w:val="24"/>
        </w:rPr>
        <w:t>4)</w:t>
      </w:r>
      <w:r w:rsidR="0038226E" w:rsidRPr="00B16E80">
        <w:rPr>
          <w:rFonts w:ascii="Tahoma" w:hAnsi="Tahoma" w:cs="Tahoma"/>
          <w:sz w:val="24"/>
          <w:szCs w:val="24"/>
        </w:rPr>
        <w:tab/>
      </w:r>
      <w:r w:rsidRPr="00B16E80">
        <w:rPr>
          <w:rFonts w:ascii="Tahoma" w:hAnsi="Tahoma" w:cs="Tahoma"/>
          <w:sz w:val="24"/>
          <w:szCs w:val="24"/>
        </w:rPr>
        <w:t>nabycia działki budowlanej albo jej części pod budowę domu jednorodzinnego;</w:t>
      </w:r>
    </w:p>
    <w:p w14:paraId="46BDA6D3" w14:textId="271A9865" w:rsidR="00337B1C" w:rsidRPr="00B16E80" w:rsidRDefault="00337B1C" w:rsidP="006C628E">
      <w:pPr>
        <w:spacing w:line="360" w:lineRule="auto"/>
        <w:ind w:left="567" w:hanging="567"/>
        <w:jc w:val="both"/>
        <w:rPr>
          <w:rFonts w:ascii="Tahoma" w:hAnsi="Tahoma" w:cs="Tahoma"/>
          <w:sz w:val="24"/>
          <w:szCs w:val="24"/>
        </w:rPr>
      </w:pPr>
      <w:r w:rsidRPr="00B16E80">
        <w:rPr>
          <w:rFonts w:ascii="Tahoma" w:hAnsi="Tahoma" w:cs="Tahoma"/>
          <w:sz w:val="24"/>
          <w:szCs w:val="24"/>
        </w:rPr>
        <w:t>5)</w:t>
      </w:r>
      <w:r w:rsidR="0038226E" w:rsidRPr="00B16E80">
        <w:rPr>
          <w:rFonts w:ascii="Tahoma" w:hAnsi="Tahoma" w:cs="Tahoma"/>
          <w:sz w:val="24"/>
          <w:szCs w:val="24"/>
        </w:rPr>
        <w:tab/>
      </w:r>
      <w:r w:rsidRPr="00B16E80">
        <w:rPr>
          <w:rFonts w:ascii="Tahoma" w:hAnsi="Tahoma" w:cs="Tahoma"/>
          <w:sz w:val="24"/>
          <w:szCs w:val="24"/>
        </w:rPr>
        <w:t xml:space="preserve">nabycia działki rolnej albo jej części pod budowę domu jednorodzinnego, położonej w całości albo części na terenie przeznaczonym pod zabudowę mieszkaniową, zgodnie z miejscowym planem zagospodarowania przestrzennego, a w przypadku gdy teren, na którym położona jest działka rolna albo jej część, nie został objęty miejscowym planem zagospodarowania przestrzennego – nabycia działki albo jej części przeznaczonej pod budowę budynku mieszkalnego jednorodzinnego na podstawie decyzji o warunkach zabudowy i zagospodarowania terenu; </w:t>
      </w:r>
    </w:p>
    <w:p w14:paraId="74B5C18B" w14:textId="24195807" w:rsidR="00337B1C" w:rsidRPr="00B16E80" w:rsidRDefault="00337B1C" w:rsidP="006C628E">
      <w:pPr>
        <w:spacing w:line="360" w:lineRule="auto"/>
        <w:ind w:left="567" w:hanging="567"/>
        <w:jc w:val="both"/>
        <w:rPr>
          <w:rFonts w:ascii="Tahoma" w:hAnsi="Tahoma" w:cs="Tahoma"/>
          <w:sz w:val="24"/>
          <w:szCs w:val="24"/>
        </w:rPr>
      </w:pPr>
      <w:r w:rsidRPr="00B16E80">
        <w:rPr>
          <w:rFonts w:ascii="Tahoma" w:hAnsi="Tahoma" w:cs="Tahoma"/>
          <w:sz w:val="24"/>
          <w:szCs w:val="24"/>
        </w:rPr>
        <w:t>6)</w:t>
      </w:r>
      <w:r w:rsidR="0038226E" w:rsidRPr="00B16E80">
        <w:rPr>
          <w:rFonts w:ascii="Tahoma" w:hAnsi="Tahoma" w:cs="Tahoma"/>
          <w:sz w:val="24"/>
          <w:szCs w:val="24"/>
        </w:rPr>
        <w:tab/>
      </w:r>
      <w:r w:rsidRPr="00B16E80">
        <w:rPr>
          <w:rFonts w:ascii="Tahoma" w:hAnsi="Tahoma" w:cs="Tahoma"/>
          <w:sz w:val="24"/>
          <w:szCs w:val="24"/>
        </w:rPr>
        <w:t xml:space="preserve">udziału w kosztach budowy mieszkań przez towarzystwa budownictwa społecznego lub społeczne inicjatywy mieszkaniowe; </w:t>
      </w:r>
    </w:p>
    <w:p w14:paraId="7BCEE9FA" w14:textId="5D171D20" w:rsidR="00337B1C" w:rsidRPr="00B16E80" w:rsidRDefault="00337B1C" w:rsidP="006C628E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B16E80">
        <w:rPr>
          <w:rFonts w:ascii="Tahoma" w:hAnsi="Tahoma" w:cs="Tahoma"/>
          <w:sz w:val="24"/>
          <w:szCs w:val="24"/>
        </w:rPr>
        <w:t>7)</w:t>
      </w:r>
      <w:r w:rsidR="00AF5694" w:rsidRPr="00B16E80">
        <w:rPr>
          <w:rFonts w:ascii="Tahoma" w:hAnsi="Tahoma" w:cs="Tahoma"/>
          <w:sz w:val="24"/>
          <w:szCs w:val="24"/>
        </w:rPr>
        <w:tab/>
      </w:r>
      <w:r w:rsidRPr="00B16E80">
        <w:rPr>
          <w:rFonts w:ascii="Tahoma" w:hAnsi="Tahoma" w:cs="Tahoma"/>
          <w:sz w:val="24"/>
          <w:szCs w:val="24"/>
        </w:rPr>
        <w:t xml:space="preserve">innego celu związanego z zaspokajaniem potrzeb mieszkaniowych. </w:t>
      </w:r>
    </w:p>
    <w:p w14:paraId="21C958F4" w14:textId="798C5720" w:rsidR="00AA603B" w:rsidRPr="00B16E80" w:rsidRDefault="00AA603B" w:rsidP="006C628E">
      <w:pPr>
        <w:spacing w:line="360" w:lineRule="auto"/>
        <w:ind w:firstLine="567"/>
        <w:jc w:val="both"/>
        <w:rPr>
          <w:rFonts w:ascii="Tahoma" w:hAnsi="Tahoma" w:cs="Tahoma"/>
          <w:sz w:val="24"/>
          <w:szCs w:val="24"/>
        </w:rPr>
      </w:pPr>
      <w:r w:rsidRPr="00B16E80">
        <w:rPr>
          <w:rFonts w:ascii="Tahoma" w:hAnsi="Tahoma" w:cs="Tahoma"/>
          <w:b/>
          <w:bCs/>
          <w:sz w:val="24"/>
          <w:szCs w:val="24"/>
        </w:rPr>
        <w:lastRenderedPageBreak/>
        <w:t xml:space="preserve">Art. 3. </w:t>
      </w:r>
      <w:r w:rsidR="00E10655" w:rsidRPr="00B16E80">
        <w:rPr>
          <w:rFonts w:ascii="Tahoma" w:hAnsi="Tahoma" w:cs="Tahoma"/>
          <w:sz w:val="24"/>
          <w:szCs w:val="24"/>
        </w:rPr>
        <w:t>Ochrona na zasadach przewidzianych w niniejszej ustawie ma zastosowanie, jeśli</w:t>
      </w:r>
      <w:r w:rsidR="00AF5694" w:rsidRPr="00B16E80">
        <w:rPr>
          <w:rFonts w:ascii="Tahoma" w:hAnsi="Tahoma" w:cs="Tahoma"/>
          <w:sz w:val="24"/>
          <w:szCs w:val="24"/>
        </w:rPr>
        <w:t xml:space="preserve"> kredytobiorca</w:t>
      </w:r>
      <w:r w:rsidR="00E604A6" w:rsidRPr="00B16E80">
        <w:rPr>
          <w:rFonts w:ascii="Tahoma" w:hAnsi="Tahoma" w:cs="Tahoma"/>
          <w:sz w:val="24"/>
          <w:szCs w:val="24"/>
        </w:rPr>
        <w:t>:</w:t>
      </w:r>
      <w:r w:rsidRPr="00B16E80">
        <w:rPr>
          <w:rFonts w:ascii="Tahoma" w:hAnsi="Tahoma" w:cs="Tahoma"/>
          <w:sz w:val="24"/>
          <w:szCs w:val="24"/>
        </w:rPr>
        <w:t xml:space="preserve"> </w:t>
      </w:r>
    </w:p>
    <w:p w14:paraId="44664063" w14:textId="0852CD97" w:rsidR="00AA603B" w:rsidRPr="00B16E80" w:rsidRDefault="00AA603B" w:rsidP="006C628E">
      <w:pPr>
        <w:pStyle w:val="Akapitzlist"/>
        <w:numPr>
          <w:ilvl w:val="0"/>
          <w:numId w:val="3"/>
        </w:numPr>
        <w:spacing w:line="360" w:lineRule="auto"/>
        <w:ind w:left="567" w:hanging="567"/>
        <w:jc w:val="both"/>
        <w:rPr>
          <w:rFonts w:ascii="Tahoma" w:hAnsi="Tahoma" w:cs="Tahoma"/>
          <w:sz w:val="24"/>
          <w:szCs w:val="24"/>
        </w:rPr>
      </w:pPr>
      <w:r w:rsidRPr="00B16E80">
        <w:rPr>
          <w:rFonts w:ascii="Tahoma" w:hAnsi="Tahoma" w:cs="Tahoma"/>
          <w:sz w:val="24"/>
          <w:szCs w:val="24"/>
        </w:rPr>
        <w:t>nie jest właścicielem innego lokalu mieszkalnego lub domu jednorodzinnego</w:t>
      </w:r>
      <w:r w:rsidR="00AF5694" w:rsidRPr="00B16E80">
        <w:rPr>
          <w:rFonts w:ascii="Tahoma" w:hAnsi="Tahoma" w:cs="Tahoma"/>
          <w:sz w:val="24"/>
          <w:szCs w:val="24"/>
        </w:rPr>
        <w:t>;</w:t>
      </w:r>
    </w:p>
    <w:p w14:paraId="21C0F533" w14:textId="5355A0F4" w:rsidR="00AA603B" w:rsidRPr="00B16E80" w:rsidRDefault="00E8442C" w:rsidP="006C628E">
      <w:pPr>
        <w:pStyle w:val="Akapitzlist"/>
        <w:numPr>
          <w:ilvl w:val="0"/>
          <w:numId w:val="3"/>
        </w:numPr>
        <w:spacing w:line="360" w:lineRule="auto"/>
        <w:ind w:left="567" w:hanging="567"/>
        <w:jc w:val="both"/>
        <w:rPr>
          <w:rFonts w:ascii="Tahoma" w:hAnsi="Tahoma" w:cs="Tahoma"/>
          <w:sz w:val="24"/>
          <w:szCs w:val="24"/>
        </w:rPr>
      </w:pPr>
      <w:r w:rsidRPr="00B16E80">
        <w:rPr>
          <w:rFonts w:ascii="Tahoma" w:hAnsi="Tahoma" w:cs="Tahoma"/>
          <w:sz w:val="24"/>
          <w:szCs w:val="24"/>
        </w:rPr>
        <w:t xml:space="preserve">nie </w:t>
      </w:r>
      <w:r w:rsidR="00AA603B" w:rsidRPr="00B16E80">
        <w:rPr>
          <w:rFonts w:ascii="Tahoma" w:hAnsi="Tahoma" w:cs="Tahoma"/>
          <w:sz w:val="24"/>
          <w:szCs w:val="24"/>
        </w:rPr>
        <w:t>posiada spółdzielczego prawa do lokalu mieszkalnego lub domu jednorodzinnego w spółdzielni mieszkaniowej</w:t>
      </w:r>
      <w:r w:rsidR="00AF5694" w:rsidRPr="00B16E80">
        <w:rPr>
          <w:rFonts w:ascii="Tahoma" w:hAnsi="Tahoma" w:cs="Tahoma"/>
          <w:sz w:val="24"/>
          <w:szCs w:val="24"/>
        </w:rPr>
        <w:t>;</w:t>
      </w:r>
    </w:p>
    <w:p w14:paraId="6D32915E" w14:textId="5A1A8079" w:rsidR="00E604A6" w:rsidRPr="00B16E80" w:rsidRDefault="00AA603B" w:rsidP="006C628E">
      <w:pPr>
        <w:pStyle w:val="Akapitzlist"/>
        <w:numPr>
          <w:ilvl w:val="0"/>
          <w:numId w:val="3"/>
        </w:numPr>
        <w:spacing w:line="360" w:lineRule="auto"/>
        <w:ind w:left="567" w:hanging="567"/>
        <w:jc w:val="both"/>
        <w:rPr>
          <w:rFonts w:ascii="Tahoma" w:hAnsi="Tahoma" w:cs="Tahoma"/>
          <w:sz w:val="24"/>
          <w:szCs w:val="24"/>
        </w:rPr>
      </w:pPr>
      <w:r w:rsidRPr="00B16E80">
        <w:rPr>
          <w:rFonts w:ascii="Tahoma" w:hAnsi="Tahoma" w:cs="Tahoma"/>
          <w:sz w:val="24"/>
          <w:szCs w:val="24"/>
        </w:rPr>
        <w:t>nie posiada roszczenia o przeniesienie na niego prawa własności lokalu mieszkalnego, domu jednorodzinnego, spółdzielczego prawa do lokalu mieszkalnego lub domu jednorodzinnego w spółdzielni mieszkaniowej</w:t>
      </w:r>
      <w:r w:rsidR="00AF5694" w:rsidRPr="00B16E80">
        <w:rPr>
          <w:rFonts w:ascii="Tahoma" w:hAnsi="Tahoma" w:cs="Tahoma"/>
          <w:sz w:val="24"/>
          <w:szCs w:val="24"/>
        </w:rPr>
        <w:t>.</w:t>
      </w:r>
      <w:r w:rsidR="00E604A6" w:rsidRPr="00B16E80">
        <w:rPr>
          <w:rFonts w:ascii="Tahoma" w:hAnsi="Tahoma" w:cs="Tahoma"/>
          <w:sz w:val="24"/>
          <w:szCs w:val="24"/>
        </w:rPr>
        <w:t xml:space="preserve"> </w:t>
      </w:r>
    </w:p>
    <w:p w14:paraId="6BC14B6B" w14:textId="26EC66BA" w:rsidR="00E604A6" w:rsidRPr="00B16E80" w:rsidRDefault="00E604A6" w:rsidP="006C628E">
      <w:pPr>
        <w:spacing w:line="360" w:lineRule="auto"/>
        <w:ind w:firstLine="426"/>
        <w:jc w:val="both"/>
        <w:rPr>
          <w:rFonts w:ascii="Tahoma" w:hAnsi="Tahoma" w:cs="Tahoma"/>
          <w:sz w:val="24"/>
          <w:szCs w:val="24"/>
        </w:rPr>
      </w:pPr>
      <w:r w:rsidRPr="00B16E80">
        <w:rPr>
          <w:rFonts w:ascii="Tahoma" w:hAnsi="Tahoma" w:cs="Tahoma"/>
          <w:b/>
          <w:bCs/>
          <w:sz w:val="24"/>
          <w:szCs w:val="24"/>
        </w:rPr>
        <w:t xml:space="preserve">Art. 4. </w:t>
      </w:r>
      <w:r w:rsidR="00E10655" w:rsidRPr="00B16E80">
        <w:rPr>
          <w:rFonts w:ascii="Tahoma" w:hAnsi="Tahoma" w:cs="Tahoma"/>
          <w:sz w:val="24"/>
          <w:szCs w:val="24"/>
        </w:rPr>
        <w:t>1. Ochrona</w:t>
      </w:r>
      <w:r w:rsidRPr="00B16E80">
        <w:rPr>
          <w:rFonts w:ascii="Tahoma" w:hAnsi="Tahoma" w:cs="Tahoma"/>
          <w:sz w:val="24"/>
          <w:szCs w:val="24"/>
        </w:rPr>
        <w:t xml:space="preserve"> polega na </w:t>
      </w:r>
      <w:r w:rsidR="00E10655" w:rsidRPr="00B16E80">
        <w:rPr>
          <w:rFonts w:ascii="Tahoma" w:hAnsi="Tahoma" w:cs="Tahoma"/>
          <w:sz w:val="24"/>
          <w:szCs w:val="24"/>
        </w:rPr>
        <w:t>ustaleniu, na okres kolejno następujących 24 miesięcy,</w:t>
      </w:r>
      <w:r w:rsidRPr="00B16E80">
        <w:rPr>
          <w:rFonts w:ascii="Tahoma" w:hAnsi="Tahoma" w:cs="Tahoma"/>
          <w:sz w:val="24"/>
          <w:szCs w:val="24"/>
        </w:rPr>
        <w:t xml:space="preserve"> miesięcznej raty kapitałowo-odsetkowej kredytu mieszkaniowego </w:t>
      </w:r>
      <w:r w:rsidR="00E10655" w:rsidRPr="00B16E80">
        <w:rPr>
          <w:rFonts w:ascii="Tahoma" w:hAnsi="Tahoma" w:cs="Tahoma"/>
          <w:sz w:val="24"/>
          <w:szCs w:val="24"/>
        </w:rPr>
        <w:t>w stałej wysokości.</w:t>
      </w:r>
    </w:p>
    <w:p w14:paraId="562DC10A" w14:textId="55297607" w:rsidR="00E10655" w:rsidRPr="00B16E80" w:rsidRDefault="00E10655" w:rsidP="006C628E">
      <w:pPr>
        <w:spacing w:line="360" w:lineRule="auto"/>
        <w:ind w:firstLine="426"/>
        <w:jc w:val="both"/>
        <w:rPr>
          <w:rFonts w:ascii="Tahoma" w:hAnsi="Tahoma" w:cs="Tahoma"/>
          <w:sz w:val="24"/>
          <w:szCs w:val="24"/>
        </w:rPr>
      </w:pPr>
      <w:r w:rsidRPr="00B16E80">
        <w:rPr>
          <w:rFonts w:ascii="Tahoma" w:hAnsi="Tahoma" w:cs="Tahoma"/>
          <w:sz w:val="24"/>
          <w:szCs w:val="24"/>
        </w:rPr>
        <w:t xml:space="preserve">2. </w:t>
      </w:r>
      <w:r w:rsidR="008E03AA" w:rsidRPr="00B16E80">
        <w:rPr>
          <w:rFonts w:ascii="Tahoma" w:hAnsi="Tahoma" w:cs="Tahoma"/>
          <w:sz w:val="24"/>
          <w:szCs w:val="24"/>
        </w:rPr>
        <w:t xml:space="preserve">Ratę, o której mowa w ust. 1 ustala się </w:t>
      </w:r>
      <w:r w:rsidR="001326E0" w:rsidRPr="00B16E80">
        <w:rPr>
          <w:rFonts w:ascii="Tahoma" w:hAnsi="Tahoma" w:cs="Tahoma"/>
          <w:sz w:val="24"/>
          <w:szCs w:val="24"/>
        </w:rPr>
        <w:t>w wysokości raty kapitałowo-odsetkowej, która przypadała do spłaty przez kredytobiorcę w miesiącu grudniu 2021 r.</w:t>
      </w:r>
    </w:p>
    <w:p w14:paraId="32A1D1B8" w14:textId="4C60CCDC" w:rsidR="00913882" w:rsidRPr="00B16E80" w:rsidRDefault="00913882" w:rsidP="006C628E">
      <w:pPr>
        <w:spacing w:line="360" w:lineRule="auto"/>
        <w:ind w:firstLine="426"/>
        <w:jc w:val="both"/>
        <w:rPr>
          <w:rFonts w:ascii="Tahoma" w:hAnsi="Tahoma" w:cs="Tahoma"/>
          <w:sz w:val="24"/>
          <w:szCs w:val="24"/>
        </w:rPr>
      </w:pPr>
      <w:r w:rsidRPr="00B16E80">
        <w:rPr>
          <w:rFonts w:ascii="Tahoma" w:hAnsi="Tahoma" w:cs="Tahoma"/>
          <w:sz w:val="24"/>
          <w:szCs w:val="24"/>
        </w:rPr>
        <w:t>3. Po upływie okresu, o którym mowa w ust. 2 ratę kapitałowo-odsetkową ustala się na zasadach określonych w umowie o kredyt mieszkaniowy.</w:t>
      </w:r>
    </w:p>
    <w:p w14:paraId="07B708C2" w14:textId="3EF6B52E" w:rsidR="00913882" w:rsidRPr="00B16E80" w:rsidRDefault="00913882" w:rsidP="006C628E">
      <w:pPr>
        <w:spacing w:line="360" w:lineRule="auto"/>
        <w:ind w:firstLine="360"/>
        <w:jc w:val="both"/>
        <w:rPr>
          <w:rFonts w:ascii="Tahoma" w:hAnsi="Tahoma" w:cs="Tahoma"/>
          <w:sz w:val="24"/>
          <w:szCs w:val="24"/>
        </w:rPr>
      </w:pPr>
      <w:r w:rsidRPr="00B16E80">
        <w:rPr>
          <w:rFonts w:ascii="Tahoma" w:hAnsi="Tahoma" w:cs="Tahoma"/>
          <w:b/>
          <w:bCs/>
          <w:sz w:val="24"/>
          <w:szCs w:val="24"/>
        </w:rPr>
        <w:t xml:space="preserve">Art. 5. </w:t>
      </w:r>
      <w:r w:rsidRPr="00B16E80">
        <w:rPr>
          <w:rFonts w:ascii="Tahoma" w:hAnsi="Tahoma" w:cs="Tahoma"/>
          <w:sz w:val="24"/>
          <w:szCs w:val="24"/>
        </w:rPr>
        <w:t>1. Kredytodawca niezwłocznie, nie później niż w terminie 14 dni od dnia wejścia w życie niniejszej ustawy, informuje kredytobiorców spłacających kredyty mieszkaniowe o:</w:t>
      </w:r>
      <w:r w:rsidRPr="00B16E80">
        <w:rPr>
          <w:rFonts w:ascii="Tahoma" w:hAnsi="Tahoma" w:cs="Tahoma"/>
          <w:sz w:val="24"/>
          <w:szCs w:val="24"/>
        </w:rPr>
        <w:tab/>
      </w:r>
      <w:r w:rsidRPr="00B16E80">
        <w:rPr>
          <w:rFonts w:ascii="Tahoma" w:hAnsi="Tahoma" w:cs="Tahoma"/>
          <w:sz w:val="24"/>
          <w:szCs w:val="24"/>
        </w:rPr>
        <w:tab/>
      </w:r>
    </w:p>
    <w:p w14:paraId="72E63649" w14:textId="5F9486A8" w:rsidR="00913882" w:rsidRPr="00B16E80" w:rsidRDefault="00913882" w:rsidP="006C628E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B16E80">
        <w:rPr>
          <w:rFonts w:ascii="Tahoma" w:hAnsi="Tahoma" w:cs="Tahoma"/>
          <w:sz w:val="24"/>
          <w:szCs w:val="24"/>
        </w:rPr>
        <w:t xml:space="preserve"> instrumentach ochrony przewidzianych w ustawie;</w:t>
      </w:r>
    </w:p>
    <w:p w14:paraId="56E40FCB" w14:textId="77777777" w:rsidR="0009623A" w:rsidRPr="00B16E80" w:rsidRDefault="00913882" w:rsidP="006C628E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B16E80">
        <w:rPr>
          <w:rFonts w:ascii="Tahoma" w:hAnsi="Tahoma" w:cs="Tahoma"/>
          <w:sz w:val="24"/>
          <w:szCs w:val="24"/>
        </w:rPr>
        <w:t xml:space="preserve">warunkach </w:t>
      </w:r>
      <w:r w:rsidR="0009623A" w:rsidRPr="00B16E80">
        <w:rPr>
          <w:rFonts w:ascii="Tahoma" w:hAnsi="Tahoma" w:cs="Tahoma"/>
          <w:sz w:val="24"/>
          <w:szCs w:val="24"/>
        </w:rPr>
        <w:t>skorzystania z instrumentów ochrony;</w:t>
      </w:r>
    </w:p>
    <w:p w14:paraId="16C03726" w14:textId="6FE80293" w:rsidR="00913882" w:rsidRPr="00B16E80" w:rsidRDefault="0009623A" w:rsidP="006C628E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B16E80">
        <w:rPr>
          <w:rFonts w:ascii="Tahoma" w:hAnsi="Tahoma" w:cs="Tahoma"/>
          <w:sz w:val="24"/>
          <w:szCs w:val="24"/>
        </w:rPr>
        <w:t>konieczności złożenia oświadczenia o spełnieniu warunków, o których mowa w art. 3</w:t>
      </w:r>
      <w:r w:rsidR="00913882" w:rsidRPr="00B16E80">
        <w:rPr>
          <w:rFonts w:ascii="Tahoma" w:hAnsi="Tahoma" w:cs="Tahoma"/>
          <w:sz w:val="24"/>
          <w:szCs w:val="24"/>
        </w:rPr>
        <w:t>.</w:t>
      </w:r>
    </w:p>
    <w:p w14:paraId="32B7B684" w14:textId="6C5677EA" w:rsidR="0009623A" w:rsidRPr="00B16E80" w:rsidRDefault="0009623A" w:rsidP="006C628E">
      <w:pPr>
        <w:spacing w:line="360" w:lineRule="auto"/>
        <w:ind w:firstLine="360"/>
        <w:jc w:val="both"/>
        <w:rPr>
          <w:rFonts w:ascii="Tahoma" w:hAnsi="Tahoma" w:cs="Tahoma"/>
          <w:sz w:val="24"/>
          <w:szCs w:val="24"/>
        </w:rPr>
      </w:pPr>
      <w:r w:rsidRPr="00B16E80">
        <w:rPr>
          <w:rFonts w:ascii="Tahoma" w:hAnsi="Tahoma" w:cs="Tahoma"/>
          <w:b/>
          <w:bCs/>
          <w:sz w:val="24"/>
          <w:szCs w:val="24"/>
        </w:rPr>
        <w:t xml:space="preserve">Art. 6. </w:t>
      </w:r>
      <w:r w:rsidRPr="00B16E80">
        <w:rPr>
          <w:rFonts w:ascii="Tahoma" w:hAnsi="Tahoma" w:cs="Tahoma"/>
          <w:sz w:val="24"/>
          <w:szCs w:val="24"/>
        </w:rPr>
        <w:t xml:space="preserve">Uruchomienie ochrony na warunkach przewidzianych w niniejszej ustawie następuje niezwłocznie po złożeniu przez kredytobiorcę oświadczenia o spełnieniu warunków, o których mowa w art. 3. </w:t>
      </w:r>
    </w:p>
    <w:p w14:paraId="4C433462" w14:textId="287E7BB2" w:rsidR="00D00F41" w:rsidRPr="00B16E80" w:rsidRDefault="00D00F41" w:rsidP="006C628E">
      <w:pPr>
        <w:spacing w:line="360" w:lineRule="auto"/>
        <w:ind w:firstLine="360"/>
        <w:jc w:val="both"/>
        <w:rPr>
          <w:rFonts w:ascii="Tahoma" w:hAnsi="Tahoma" w:cs="Tahoma"/>
          <w:sz w:val="24"/>
          <w:szCs w:val="24"/>
        </w:rPr>
      </w:pPr>
      <w:r w:rsidRPr="00B16E80">
        <w:rPr>
          <w:rFonts w:ascii="Tahoma" w:hAnsi="Tahoma" w:cs="Tahoma"/>
          <w:b/>
          <w:bCs/>
          <w:sz w:val="24"/>
          <w:szCs w:val="24"/>
        </w:rPr>
        <w:t xml:space="preserve">Art. 7. </w:t>
      </w:r>
      <w:r w:rsidRPr="00B16E80">
        <w:rPr>
          <w:rFonts w:ascii="Tahoma" w:hAnsi="Tahoma" w:cs="Tahoma"/>
          <w:sz w:val="24"/>
          <w:szCs w:val="24"/>
        </w:rPr>
        <w:t>Ustawa wchodzi w życie po upływie 14 dni od dnia ogłoszenia.</w:t>
      </w:r>
    </w:p>
    <w:p w14:paraId="31D0B9D7" w14:textId="302639C1" w:rsidR="006C628E" w:rsidRDefault="006C628E" w:rsidP="00B7517C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</w:p>
    <w:p w14:paraId="4582758F" w14:textId="77777777" w:rsidR="00B7517C" w:rsidRPr="00B16E80" w:rsidRDefault="00B7517C" w:rsidP="00B7517C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  <w:bookmarkStart w:id="1" w:name="_GoBack"/>
      <w:bookmarkEnd w:id="1"/>
    </w:p>
    <w:sectPr w:rsidR="00B7517C" w:rsidRPr="00B16E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172038"/>
    <w:multiLevelType w:val="hybridMultilevel"/>
    <w:tmpl w:val="94E25176"/>
    <w:lvl w:ilvl="0" w:tplc="A6A6A04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38432E5"/>
    <w:multiLevelType w:val="hybridMultilevel"/>
    <w:tmpl w:val="EED6316E"/>
    <w:lvl w:ilvl="0" w:tplc="EE4EC73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353FC7"/>
    <w:multiLevelType w:val="hybridMultilevel"/>
    <w:tmpl w:val="97482C8A"/>
    <w:lvl w:ilvl="0" w:tplc="A6A6A04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E36AC76">
      <w:start w:val="1"/>
      <w:numFmt w:val="lowerLetter"/>
      <w:lvlText w:val="%2)"/>
      <w:lvlJc w:val="left"/>
      <w:pPr>
        <w:ind w:left="1647" w:hanging="360"/>
      </w:pPr>
      <w:rPr>
        <w:rFonts w:ascii="Tahoma" w:eastAsiaTheme="minorHAnsi" w:hAnsi="Tahoma" w:cs="Tahoma"/>
      </w:rPr>
    </w:lvl>
    <w:lvl w:ilvl="2" w:tplc="0415001B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642"/>
    <w:rsid w:val="000075D9"/>
    <w:rsid w:val="0009623A"/>
    <w:rsid w:val="000A0642"/>
    <w:rsid w:val="000B07DB"/>
    <w:rsid w:val="001326E0"/>
    <w:rsid w:val="001D7A20"/>
    <w:rsid w:val="002E47C8"/>
    <w:rsid w:val="00310E8A"/>
    <w:rsid w:val="00337B1C"/>
    <w:rsid w:val="00354C01"/>
    <w:rsid w:val="0038226E"/>
    <w:rsid w:val="0053114A"/>
    <w:rsid w:val="006955A4"/>
    <w:rsid w:val="006C628E"/>
    <w:rsid w:val="00746B85"/>
    <w:rsid w:val="0086347D"/>
    <w:rsid w:val="008E03AA"/>
    <w:rsid w:val="00913882"/>
    <w:rsid w:val="00924415"/>
    <w:rsid w:val="00925F4E"/>
    <w:rsid w:val="009958D4"/>
    <w:rsid w:val="00AA603B"/>
    <w:rsid w:val="00AF5694"/>
    <w:rsid w:val="00B16E80"/>
    <w:rsid w:val="00B56448"/>
    <w:rsid w:val="00B7517C"/>
    <w:rsid w:val="00C16AFB"/>
    <w:rsid w:val="00C3371A"/>
    <w:rsid w:val="00C55FE3"/>
    <w:rsid w:val="00C803B7"/>
    <w:rsid w:val="00CD045F"/>
    <w:rsid w:val="00D00F41"/>
    <w:rsid w:val="00D45941"/>
    <w:rsid w:val="00E10655"/>
    <w:rsid w:val="00E604A6"/>
    <w:rsid w:val="00E84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D633EA"/>
  <w15:chartTrackingRefBased/>
  <w15:docId w15:val="{5D8B1F64-D859-4263-9EA1-A39CD9851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0A064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E604A6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91388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1388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1388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1388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13882"/>
    <w:rPr>
      <w:b/>
      <w:bCs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6C62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666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CE057F-0BEF-429D-A979-4D0EFD18AF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689</Words>
  <Characters>4137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Wachnicka</dc:creator>
  <cp:keywords/>
  <dc:description/>
  <cp:lastModifiedBy>Grzegorz Molesztak</cp:lastModifiedBy>
  <cp:revision>9</cp:revision>
  <cp:lastPrinted>2022-04-26T18:47:00Z</cp:lastPrinted>
  <dcterms:created xsi:type="dcterms:W3CDTF">2022-04-26T18:04:00Z</dcterms:created>
  <dcterms:modified xsi:type="dcterms:W3CDTF">2022-05-17T13:37:00Z</dcterms:modified>
</cp:coreProperties>
</file>