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4C4" w:rsidRPr="00613011" w:rsidRDefault="00DE34C4" w:rsidP="00613011">
      <w:pPr>
        <w:pStyle w:val="OZNRODZAKTUtznustawalubrozporzdzenieiorganwydajcy"/>
      </w:pPr>
      <w:bookmarkStart w:id="0" w:name="_GoBack"/>
      <w:bookmarkEnd w:id="0"/>
      <w:r w:rsidRPr="00613011">
        <w:t>UZASADNIENIE</w:t>
      </w:r>
    </w:p>
    <w:p w:rsidR="00DE34C4" w:rsidRDefault="00DE34C4" w:rsidP="00F63769"/>
    <w:p w:rsidR="00DE34C4" w:rsidRPr="0015321A" w:rsidRDefault="00DE34C4" w:rsidP="0015321A">
      <w:pPr>
        <w:pStyle w:val="NIEARTTEKSTtekstnieartykuowanynppodstprawnarozplubpreambua"/>
        <w:ind w:firstLine="0"/>
        <w:rPr>
          <w:rStyle w:val="Ppogrubienie"/>
        </w:rPr>
      </w:pPr>
      <w:r w:rsidRPr="0015321A">
        <w:rPr>
          <w:rStyle w:val="Ppogrubienie"/>
        </w:rPr>
        <w:t>1. Cel projektowanej ustawy</w:t>
      </w:r>
    </w:p>
    <w:p w:rsidR="00DE34C4" w:rsidRDefault="00DE34C4" w:rsidP="00B71B59">
      <w:pPr>
        <w:pStyle w:val="ARTartustawynprozporzdzenia"/>
      </w:pPr>
      <w:r w:rsidRPr="00B14E14">
        <w:t xml:space="preserve">Projektowana ustawa </w:t>
      </w:r>
      <w:r>
        <w:t>ma na celu wydłużenie terminu do wniesienia apelacji w postępowaniu karnym w sprawach, w których sąd korzystał z instytucji przedłużenia terminu do sporządzenia uzasadnienia</w:t>
      </w:r>
      <w:r w:rsidRPr="00F36529">
        <w:t xml:space="preserve"> </w:t>
      </w:r>
      <w:r>
        <w:t>wydanego wyroku.</w:t>
      </w:r>
    </w:p>
    <w:p w:rsidR="00DE34C4" w:rsidRPr="00BB0841" w:rsidRDefault="00DE34C4" w:rsidP="000273C0"/>
    <w:p w:rsidR="00DE34C4" w:rsidRPr="00F63769" w:rsidRDefault="00DE34C4" w:rsidP="00F63769">
      <w:pPr>
        <w:pStyle w:val="NIEARTTEKSTtekstnieartykuowanynppodstprawnarozplubpreambua"/>
        <w:ind w:firstLine="0"/>
        <w:rPr>
          <w:rStyle w:val="Ppogrubienie"/>
        </w:rPr>
      </w:pPr>
      <w:r w:rsidRPr="00F63769">
        <w:rPr>
          <w:rStyle w:val="Ppogrubienie"/>
        </w:rPr>
        <w:t>2. Przedmiot i istota projektu ustawy</w:t>
      </w:r>
    </w:p>
    <w:p w:rsidR="00DE34C4" w:rsidRDefault="00DE34C4" w:rsidP="00FD0452">
      <w:pPr>
        <w:pStyle w:val="NIEARTTEKSTtekstnieartykuowanynppodstprawnarozplubpreambua"/>
      </w:pPr>
      <w:r w:rsidRPr="00BB0841">
        <w:t xml:space="preserve">Projektowana nowelizacja ustawy zainspirowana została stanowiskiem Rzecznika Praw Obywatelskich, który zwrócił </w:t>
      </w:r>
      <w:r>
        <w:t>się z prośbą o rozważenie przez Komisję Ustawodawczą Senatu podjęcia działań legislacyjnych, które spowodują wydłużenie terminu do wniesienia apelacji w postępowaniu karnym w sprawach, w których sporządzenie apelacji w przewidzianym ustawą terminie jest znacznie utrudnione ze względu na skomplikowanie, zawiłość sprawy, obszerność sentencji wyroku lub uzasadnienia sporządzonego w sprawie.</w:t>
      </w:r>
    </w:p>
    <w:p w:rsidR="00DE34C4" w:rsidRDefault="00DE34C4" w:rsidP="00FD0452">
      <w:pPr>
        <w:pStyle w:val="ARTartustawynprozporzdzenia"/>
      </w:pPr>
      <w:r>
        <w:t xml:space="preserve">W dotychczasowym stanie prawnym, obowiązuje jednolity termin do wniesienia apelacji w każdej sprawie rozpatrywanej w postępowaniu karnym. Zgodnie z art. 445 </w:t>
      </w:r>
      <w:r>
        <w:rPr>
          <w:rFonts w:cs="Times"/>
        </w:rPr>
        <w:t>§</w:t>
      </w:r>
      <w:r>
        <w:t xml:space="preserve"> 1 k.p.k. w każdym wypadku wynosi on 14 dni i biegnie dla każdego uprawnionego od daty doręczenia mu wyroku z uzasadnieniem. Ustawa nie przewiduje żadnej możliwości przedłużenia tego terminu.</w:t>
      </w:r>
    </w:p>
    <w:p w:rsidR="00DE34C4" w:rsidRDefault="00DE34C4" w:rsidP="00FD0452">
      <w:pPr>
        <w:pStyle w:val="NIEARTTEKSTtekstnieartykuowanynppodstprawnarozplubpreambua"/>
      </w:pPr>
      <w:r>
        <w:t>Tymczasem, jak zwracał uwagę Rzecznik, w praktyce wymiaru sprawiedliwości w sprawach karnych zdarzają się postępowania, w których do wyroku wydanego w pierwszej instancji, sąd sporządza uzasadnienie liczące ponad 900, a czasem nawet ponad 1200 stron.</w:t>
      </w:r>
    </w:p>
    <w:p w:rsidR="00DE34C4" w:rsidRDefault="00DE34C4" w:rsidP="00FD0452">
      <w:pPr>
        <w:pStyle w:val="NIEARTTEKSTtekstnieartykuowanynppodstprawnarozplubpreambua"/>
      </w:pPr>
      <w:r>
        <w:t xml:space="preserve">Sędzia sporządzając uzasadnienie w skomplikowanych sprawach, o złożonym stanie faktycznym, z wieloma oskarżonymi lub przy wielości przestępstw, może wystąpić do prezesa sądu z wnioskiem o przedłużenie terminu do sporządzenia uzasadnienia. Stanowi o tym przepis art. 423 </w:t>
      </w:r>
      <w:r>
        <w:rPr>
          <w:rFonts w:cs="Times"/>
        </w:rPr>
        <w:t>§</w:t>
      </w:r>
      <w:r>
        <w:t xml:space="preserve"> 1 </w:t>
      </w:r>
      <w:r w:rsidRPr="000F3A1B">
        <w:rPr>
          <w:rStyle w:val="Kkursywa"/>
        </w:rPr>
        <w:t>in fine</w:t>
      </w:r>
      <w:r>
        <w:t>:</w:t>
      </w:r>
    </w:p>
    <w:p w:rsidR="00DE34C4" w:rsidRDefault="00DE34C4" w:rsidP="00FD0452">
      <w:pPr>
        <w:pStyle w:val="NIEARTTEKSTtekstnieartykuowanynppodstprawnarozplubpreambua"/>
      </w:pPr>
      <w:r>
        <w:rPr>
          <w:rStyle w:val="Kkursywa"/>
        </w:rPr>
        <w:t>„</w:t>
      </w:r>
      <w:r w:rsidRPr="00C66360">
        <w:rPr>
          <w:rStyle w:val="Kkursywa"/>
        </w:rPr>
        <w:t>w sprawie zawiłej lub z innej ważnej przyczyny, w razie niemo</w:t>
      </w:r>
      <w:r>
        <w:rPr>
          <w:rStyle w:val="Kkursywa"/>
        </w:rPr>
        <w:t>żności sporządzenia uzasadnienia</w:t>
      </w:r>
      <w:r w:rsidRPr="00C66360">
        <w:rPr>
          <w:rStyle w:val="Kkursywa"/>
        </w:rPr>
        <w:t xml:space="preserve"> w terminie (14 dni), prezes sądu może przedłużyć ten termin na czas oznaczony</w:t>
      </w:r>
      <w:r>
        <w:rPr>
          <w:rStyle w:val="Kkursywa"/>
        </w:rPr>
        <w:t>”</w:t>
      </w:r>
      <w:r>
        <w:t>.</w:t>
      </w:r>
    </w:p>
    <w:p w:rsidR="00DE34C4" w:rsidRDefault="00DE34C4" w:rsidP="00067FFB">
      <w:pPr>
        <w:pStyle w:val="NIEARTTEKSTtekstnieartykuowanynppodstprawnarozplubpreambua"/>
      </w:pPr>
      <w:r w:rsidRPr="00067FFB">
        <w:lastRenderedPageBreak/>
        <w:t>W tym kontekście należy zwrócić uwagę na zawity 14-dniowy termin przysługujący w takich sprawach stronie na sporządzenie apelacji. Gdy uzasadnienie jest obszerne i merytorycznie złożone, zapewnienie stronie tylko 14 dni na dokładne zapoznanie się z uzasadnieniem i na sporządzenie apelacji, może skutkować poważnymi trudnościami w sporządzeniu rzetelnego i skutecznego środka zaskarżenia.</w:t>
      </w:r>
    </w:p>
    <w:p w:rsidR="00DE34C4" w:rsidRPr="00150D4F" w:rsidRDefault="00DE34C4" w:rsidP="00150D4F">
      <w:pPr>
        <w:pStyle w:val="ARTartustawynprozporzdzenia"/>
        <w:rPr>
          <w:rStyle w:val="IGindeksgrny"/>
        </w:rPr>
      </w:pPr>
      <w:r>
        <w:t>„Skoro zatem ustawodawca dostrzega okoliczności, które wskazują na konieczność przedłużania terminów dla sędziów, a możliwość ta jest wykorzystywana wielokrotnie, we wszystkich rodzajach spraw, to należy uznać za zasadne domaganie się stworzenia w tym zakresie adekwatnego zabezpieczenia podstawowych uprawnień stron.”</w:t>
      </w:r>
      <w:r>
        <w:rPr>
          <w:rStyle w:val="Odwoanieprzypisudolnego"/>
        </w:rPr>
        <w:footnoteReference w:id="1"/>
      </w:r>
      <w:r>
        <w:rPr>
          <w:rStyle w:val="IGindeksgrny"/>
        </w:rPr>
        <w:t>)</w:t>
      </w:r>
    </w:p>
    <w:p w:rsidR="00DE34C4" w:rsidRPr="00067FFB" w:rsidRDefault="00DE34C4" w:rsidP="00067FFB">
      <w:pPr>
        <w:pStyle w:val="NIEARTTEKSTtekstnieartykuowanynppodstprawnarozplubpreambua"/>
      </w:pPr>
      <w:r>
        <w:t>B</w:t>
      </w:r>
      <w:r w:rsidRPr="00067FFB">
        <w:t>rak możliwości przedłużenia terminu na złożenie apelacji może wywoływać wątpliwości co do realnego zagwarantowania oskarżonemu prawa do obrony, gdy wyrok ma złożoną strukturę wewnętrzną, zawarte w nim rozstrzygnięcie odnosi się do wielu zarzutów, wielu sprawców, przy materiale dowodowym liczącym kilkadziesiąt lub ponad sto tomów oraz przy uzasadnieniu liczonym w setkach stron.</w:t>
      </w:r>
    </w:p>
    <w:p w:rsidR="00DE34C4" w:rsidRDefault="00DE34C4" w:rsidP="00067FFB">
      <w:pPr>
        <w:pStyle w:val="NIEARTTEKSTtekstnieartykuowanynppodstprawnarozplubpreambua"/>
      </w:pPr>
      <w:r w:rsidRPr="00067FFB">
        <w:t>„Nie można wymagać od obrońcy poprawnej i kompleksowej apelacji w sytuacji, gdy nie mógł</w:t>
      </w:r>
      <w:r>
        <w:t xml:space="preserve"> w wystarczającym zakresie zapoznać się z uzasadnieniem wyroku. Sporządzenie pełnej apelacji jest trudne lub nawet niemożliwe, gdy obrońca był obecny na rozprawie, na której wydano wyrok i miał okazje usłyszeć ustane motywy tego wyroku. Należy pamiętać, że częstokroć sporządzanie apelacji poprzedza nie tylko lektura uzasadnienia, lecz także konieczność zapoznania się z poglądami judykatury i orzecznictwem oraz poszukiwanie i zgromadzenie różnego rodzaju dokumentów. Dodatkowa trudność wystąpi, jeżeli oskarżony udzielił pełnomocnictwa do obrony adwokatowi dopiero po wydaniu wyroku, w celu sporządzenia apelacji, albo też sąd wyznaczył oskarżonemu obrońcę z urzędu dopiero na tym etapie. Adwokat w takiej sytuacji musi dopiero zapoznać się ze sprawą i jej aktami, co dodatkowo pochłania czas przeznaczony na sporządzenie apelacji.”</w:t>
      </w:r>
      <w:r>
        <w:rPr>
          <w:rStyle w:val="Odwoanieprzypisudolnego"/>
        </w:rPr>
        <w:footnoteReference w:id="2"/>
      </w:r>
      <w:r w:rsidRPr="00865211">
        <w:rPr>
          <w:rStyle w:val="IGindeksgrny"/>
        </w:rPr>
        <w:t>)</w:t>
      </w:r>
    </w:p>
    <w:p w:rsidR="00DE34C4" w:rsidRDefault="00DE34C4" w:rsidP="00067FFB">
      <w:pPr>
        <w:pStyle w:val="NIEARTTEKSTtekstnieartykuowanynppodstprawnarozplubpreambua"/>
      </w:pPr>
      <w:r>
        <w:t xml:space="preserve">Również w przypadku oskarżyciela publicznego dokonanie analizy argumentacji sądu przedstawionej w takim uzasadnieniu stanowi podstawę podejmowania decyzji </w:t>
      </w:r>
      <w:r>
        <w:lastRenderedPageBreak/>
        <w:t>o ewentualnym wniesieniu środka zaskarżenia. Prawidłowość, celowość i skuteczność wykonywanych przez oskarżyciela działań, w wypadku obiektywnych trudności w rzetelnym zapoznaniu się z treścią uzasadnienia,</w:t>
      </w:r>
      <w:r w:rsidRPr="008F0300">
        <w:t xml:space="preserve"> </w:t>
      </w:r>
      <w:r>
        <w:t>budzić może realne wątpliwości.</w:t>
      </w:r>
    </w:p>
    <w:p w:rsidR="00DE34C4" w:rsidRDefault="00DE34C4" w:rsidP="009E0DB5">
      <w:pPr>
        <w:pStyle w:val="ARTartustawynprozporzdzenia"/>
      </w:pPr>
      <w:r>
        <w:t>Należy w tym miejscu przywołać trafne spostrzeżenia profesorów P. Kardasa i J. Giezka</w:t>
      </w:r>
      <w:r>
        <w:rPr>
          <w:rStyle w:val="Odwoanieprzypisudolnego"/>
        </w:rPr>
        <w:footnoteReference w:id="3"/>
      </w:r>
      <w:r w:rsidRPr="00865211">
        <w:rPr>
          <w:rStyle w:val="IGindeksgrny"/>
        </w:rPr>
        <w:t>)</w:t>
      </w:r>
      <w:r>
        <w:t>, którzy stwierdzili, że dochowanie przewidzianego kodeksem 14-dniowego terminu do wniesienia apelacji może w pewnych układach procesowych być trudne do pogodzenia ze standardami rzetelnego procesu karnego.</w:t>
      </w:r>
    </w:p>
    <w:p w:rsidR="00DE34C4" w:rsidRDefault="00DE34C4" w:rsidP="009E0DB5">
      <w:pPr>
        <w:pStyle w:val="ARTartustawynprozporzdzenia"/>
      </w:pPr>
      <w:r>
        <w:t>„W sprawach obejmujących wielość rozpoznawanych przez sąd pierwszej instancji zarzutów przy tym obszernie uzasadnionych, kluczowe znaczenie ma stworzenie pewnych prawnych rozwiązań gwarantujących odpowiednią perspektywę czasową, umożliwiającą przeprowadzenie rzetelnej analizy orzeczenia sądu pierwszej instancji oraz jego uzasadnienia, a następnie sporządzenie środka zaskarżenia.”</w:t>
      </w:r>
      <w:r>
        <w:rPr>
          <w:rStyle w:val="Odwoanieprzypisudolnego"/>
        </w:rPr>
        <w:footnoteReference w:id="4"/>
      </w:r>
      <w:r w:rsidRPr="00865211">
        <w:rPr>
          <w:rStyle w:val="IGindeksgrny"/>
        </w:rPr>
        <w:t>)</w:t>
      </w:r>
    </w:p>
    <w:p w:rsidR="00DE34C4" w:rsidRDefault="00DE34C4" w:rsidP="00A470B7">
      <w:pPr>
        <w:pStyle w:val="ARTartustawynprozporzdzenia"/>
      </w:pPr>
      <w:r>
        <w:t>W przywołanych wyżej stanowiskach przedstawicieli doktryny i praktyki wskazuje się na kilka możliwych wariantów dokonania nowelizacji przepisów k.p.k. w tej materii. Polegają one na:</w:t>
      </w:r>
    </w:p>
    <w:p w:rsidR="00DE34C4" w:rsidRPr="003F3274" w:rsidRDefault="00DE34C4" w:rsidP="00A470B7">
      <w:pPr>
        <w:pStyle w:val="PKTpunkt"/>
      </w:pPr>
      <w:r>
        <w:t>1)</w:t>
      </w:r>
      <w:r>
        <w:tab/>
      </w:r>
      <w:r w:rsidRPr="003F3274">
        <w:t>modyfikacji przepisu art. 445 § 1 k.p.k. polegającej na zastąpieniu 14-dniowego terminu do wniesienia apelacji terminem znacząco dłuższym np. 30-dniowym;</w:t>
      </w:r>
    </w:p>
    <w:p w:rsidR="00DE34C4" w:rsidRPr="003F3274" w:rsidRDefault="00DE34C4" w:rsidP="00A470B7">
      <w:pPr>
        <w:pStyle w:val="PKTpunkt"/>
      </w:pPr>
      <w:r w:rsidRPr="003F3274">
        <w:t>2)</w:t>
      </w:r>
      <w:r w:rsidRPr="003F3274">
        <w:tab/>
        <w:t>dodaniu nowego przepisu w art. 445 k.p.k., który przy spełnieniu określonych przesłanek (np. szczególna zawiłość sprawy, obszerność materiału dowodowego, obszerność i czas sporządzania uzasadnienia, stopień skomplikowania wyroku, liczba oskarżonych) pozwalałby na zastosowanie w</w:t>
      </w:r>
      <w:r>
        <w:t>y</w:t>
      </w:r>
      <w:r w:rsidRPr="003F3274">
        <w:t>dłużonego terminu do</w:t>
      </w:r>
      <w:r>
        <w:t> </w:t>
      </w:r>
      <w:r w:rsidRPr="003F3274">
        <w:t>wniesienia apelacji</w:t>
      </w:r>
      <w:r w:rsidRPr="00177E3A">
        <w:t xml:space="preserve"> </w:t>
      </w:r>
      <w:r w:rsidRPr="003F3274">
        <w:t>z mocy ustawy;</w:t>
      </w:r>
    </w:p>
    <w:p w:rsidR="00DE34C4" w:rsidRPr="003F3274" w:rsidRDefault="00DE34C4" w:rsidP="003F3274">
      <w:pPr>
        <w:pStyle w:val="PKTpunkt"/>
      </w:pPr>
      <w:r w:rsidRPr="003F3274">
        <w:t>3)</w:t>
      </w:r>
      <w:r w:rsidRPr="003F3274">
        <w:tab/>
        <w:t xml:space="preserve">dodaniu nowych przepisów w art. 445 k.p.k., które przy spełnieniu określonych przesłanek </w:t>
      </w:r>
      <w:r>
        <w:t xml:space="preserve">(j.w.) </w:t>
      </w:r>
      <w:r w:rsidRPr="003F3274">
        <w:t>pozwalałyby na zastosowanie wydłużonego terminu do wniesienia apelacji na podstawie decyzji sądu podejmowanej z urzędu lub na wniosek strony;</w:t>
      </w:r>
    </w:p>
    <w:p w:rsidR="00DE34C4" w:rsidRDefault="00DE34C4" w:rsidP="00A470B7">
      <w:pPr>
        <w:pStyle w:val="PKTpunkt"/>
      </w:pPr>
      <w:r w:rsidRPr="003F3274">
        <w:t>4)</w:t>
      </w:r>
      <w:r w:rsidRPr="003F3274">
        <w:tab/>
        <w:t>nieprzedłużaniu czasu na sporządzenie apelacji, tylko stworzenie możliwości uzupełnienia w późniejszym</w:t>
      </w:r>
      <w:r>
        <w:t xml:space="preserve"> terminie,</w:t>
      </w:r>
      <w:r w:rsidRPr="003F3274">
        <w:t xml:space="preserve"> wniesionej w 14-dniowym terminie apelacji o</w:t>
      </w:r>
      <w:r>
        <w:t> </w:t>
      </w:r>
      <w:r w:rsidRPr="003F3274">
        <w:t>kolejne zarzuty i wnioski</w:t>
      </w:r>
      <w:r>
        <w:t>.</w:t>
      </w:r>
    </w:p>
    <w:p w:rsidR="00DE34C4" w:rsidRDefault="00DE34C4" w:rsidP="0021765E">
      <w:pPr>
        <w:pStyle w:val="ARTartustawynprozporzdzenia"/>
      </w:pPr>
      <w:r>
        <w:lastRenderedPageBreak/>
        <w:t xml:space="preserve">Przedstawiona propozycja dodania w art. 445 k.p.k. nowego przepisu oznaczonego jako </w:t>
      </w:r>
      <w:r>
        <w:rPr>
          <w:rFonts w:cs="Times"/>
        </w:rPr>
        <w:t>§</w:t>
      </w:r>
      <w:r>
        <w:t xml:space="preserve"> 1a, jest realizacją jednego z nich i przewiduje możliwość przedłużenia terminu do wniesienia apelacji z mocy prawa, w przypadku spełnienia przesłanki obiektywnej, jaką jest czas sporządzania uzasadnienia przez sąd pierwszej instancji. Kluczowymi dla przyjęcia tego rozwiązania są</w:t>
      </w:r>
      <w:r w:rsidRPr="00BC1035">
        <w:t xml:space="preserve"> przepis</w:t>
      </w:r>
      <w:r>
        <w:t>y:</w:t>
      </w:r>
    </w:p>
    <w:p w:rsidR="00DE34C4" w:rsidRPr="00BC1035" w:rsidRDefault="00DE34C4" w:rsidP="00D73963">
      <w:pPr>
        <w:pStyle w:val="PKTpunkt"/>
      </w:pPr>
      <w:r w:rsidRPr="00BC1035">
        <w:t>–</w:t>
      </w:r>
      <w:r w:rsidRPr="00BC1035">
        <w:tab/>
        <w:t xml:space="preserve">art. 423 </w:t>
      </w:r>
      <w:r w:rsidRPr="00BC1035">
        <w:rPr>
          <w:rFonts w:cs="Times"/>
        </w:rPr>
        <w:t>§</w:t>
      </w:r>
      <w:r w:rsidRPr="00BC1035">
        <w:t xml:space="preserve"> 1 k.p.k. </w:t>
      </w:r>
      <w:r w:rsidRPr="00BC1035">
        <w:rPr>
          <w:rStyle w:val="Kkursywa"/>
        </w:rPr>
        <w:t>in fine</w:t>
      </w:r>
      <w:r w:rsidRPr="00BC1035">
        <w:t>, który dopuszcza przedłużenie terminu na sporządzenie uzasadnienia wyroku, przez prezesa sądu w sprawie zawiłej lub z innej ważnej przyczyny, w</w:t>
      </w:r>
      <w:r>
        <w:t> </w:t>
      </w:r>
      <w:r w:rsidRPr="00BC1035">
        <w:t>razie niemożności sporządzenia uzasadnienia w terminie</w:t>
      </w:r>
      <w:r>
        <w:t>;</w:t>
      </w:r>
    </w:p>
    <w:p w:rsidR="00DE34C4" w:rsidRDefault="00DE34C4" w:rsidP="006A0CFD">
      <w:pPr>
        <w:pStyle w:val="PKTpunkt"/>
      </w:pPr>
      <w:r>
        <w:t>–</w:t>
      </w:r>
      <w:r>
        <w:tab/>
        <w:t xml:space="preserve">art. 369 </w:t>
      </w:r>
      <w:r>
        <w:rPr>
          <w:rFonts w:cs="Times"/>
        </w:rPr>
        <w:t>§</w:t>
      </w:r>
      <w:r>
        <w:t xml:space="preserve"> 1</w:t>
      </w:r>
      <w:r w:rsidRPr="00BC1035">
        <w:rPr>
          <w:rStyle w:val="IGindeksgrny"/>
        </w:rPr>
        <w:t>1</w:t>
      </w:r>
      <w:r>
        <w:t xml:space="preserve"> Kodeksu postępowania cywilnego, który stanowi, że w</w:t>
      </w:r>
      <w:r w:rsidRPr="00B13F8D">
        <w:t xml:space="preserve"> przypadku przedłużenia terminu do sporządzenia pisemnego uzasadnienia wyroku termin, o którym mowa w § 1, wynosi trzy tygodnie</w:t>
      </w:r>
      <w:r>
        <w:t>; w postępowaniu cywilnym został zatem zastosowany jeden z proponowanych wyżej mechanizmów wydłużenia terminu do wniesienia apelacji karnej, a długość terminu uzależniono od czasu sporządzania pisemnego uzasadnienia wyroku przez sąd.</w:t>
      </w:r>
    </w:p>
    <w:p w:rsidR="00DE34C4" w:rsidRDefault="00DE34C4" w:rsidP="009E0DB5">
      <w:pPr>
        <w:pStyle w:val="ARTartustawynprozporzdzenia"/>
      </w:pPr>
      <w:r>
        <w:t xml:space="preserve">Podkreślić trzeba, że nowe brzmienie przepisu art. 445 </w:t>
      </w:r>
      <w:r>
        <w:rPr>
          <w:rFonts w:cs="Times"/>
        </w:rPr>
        <w:t>§</w:t>
      </w:r>
      <w:r>
        <w:t xml:space="preserve"> 1a pociąga za sobą skutek w postaci wydłużenia terminu </w:t>
      </w:r>
      <w:r w:rsidRPr="0019766A">
        <w:rPr>
          <w:rStyle w:val="Kkursywa"/>
        </w:rPr>
        <w:t>ex lege</w:t>
      </w:r>
      <w:r>
        <w:t xml:space="preserve"> dla wszystkich stron, bez potrzeby składania wniosków i zbędnego wydłużenia postępowania, przy zastosowaniu obiektywnego, przewidywalnego kryterium.</w:t>
      </w:r>
    </w:p>
    <w:p w:rsidR="00DE34C4" w:rsidRDefault="00DE34C4" w:rsidP="009E0DB5">
      <w:pPr>
        <w:pStyle w:val="ARTartustawynprozporzdzenia"/>
      </w:pPr>
      <w:r>
        <w:t xml:space="preserve">W czasie prowadzonych nad projektem niniejszej inicjatywy konsultacji pojawił się pogląd głoszący, iż przedłużanie terminu do sporządzenia uzasadnienia przez sąd następuje nie tylko w sprawach zawiłych ale także w sprawach błahych, w przypadku których przedłużenie terminu do sporządzenia uzasadnienia motywowane jest „inną ważną przyczyną”, stąd słusznym byłoby ograniczenie przepisu wydłużającego termin do wniesienia apelacji tylko do tych spraw, w których przedłużenie dokonane na podstawie art. 423 </w:t>
      </w:r>
      <w:r>
        <w:rPr>
          <w:rFonts w:cs="Times"/>
        </w:rPr>
        <w:t>§</w:t>
      </w:r>
      <w:r>
        <w:t xml:space="preserve"> 1 k.p.k. wynikało z zawiłości sprawy. Pogląd ten nie spotkał się z aprobatą ponieważ zarządzenia wydawane przez prezesa właściwego sądu na podstawie art. art. 423 </w:t>
      </w:r>
      <w:r>
        <w:rPr>
          <w:rFonts w:cs="Times"/>
        </w:rPr>
        <w:t>§</w:t>
      </w:r>
      <w:r>
        <w:t xml:space="preserve"> 1 nie są zaskarżalne oraz nie posiadają uzasadnienia. W tym stanie rzeczy nie jest możliwe określenie jakie były rzeczywiste przyczyny stojące za decyzją prezesa sądu przedłużającą czas na sporządzenie uzasadnienia wyroku.</w:t>
      </w:r>
    </w:p>
    <w:p w:rsidR="00DE34C4" w:rsidRDefault="00DE34C4" w:rsidP="009E0DB5">
      <w:pPr>
        <w:pStyle w:val="ARTartustawynprozporzdzenia"/>
      </w:pPr>
      <w:r>
        <w:t xml:space="preserve">Rozważana była oczywiście taka zmiana przepisów, która ograniczałaby wydłużenie terminu do wniesienia apelacji jedynie do spraw zawiłych. Pojęcie to znane i stosowane w terminologii Kodeksu postępowania karnego (obudowane orzecznictwem sądów) wymaga </w:t>
      </w:r>
      <w:r>
        <w:lastRenderedPageBreak/>
        <w:t>jednak oceny sądu. Rozwiązanie takie wiązałoby się zatem z koniecznością takiego skonstruowania przepisów regulujących to postępowanie incydentalne (dodanie przepisów dotyczących kwestii wniesienia wniosku, określenie podmiotów uprawnionych, właściwego organu, wydania zarządzenia, określenia możliwości zaskarżenia), które niewątpliwie wydłużyłoby postępowanie zasadnicze prowadzone w sprawie.</w:t>
      </w:r>
    </w:p>
    <w:p w:rsidR="00DE34C4" w:rsidRDefault="00DE34C4" w:rsidP="009E0DB5">
      <w:pPr>
        <w:pStyle w:val="ARTartustawynprozporzdzenia"/>
      </w:pPr>
      <w:r>
        <w:t xml:space="preserve">W efekcie wprowadzenia do art. 445 nowego przepisu oznaczonego jako </w:t>
      </w:r>
      <w:r>
        <w:rPr>
          <w:rFonts w:cs="Times"/>
        </w:rPr>
        <w:t xml:space="preserve">§ 1a, zawierającego drugi, wydłużony termin do wniesienia apelacji konieczne stało się wprowadzenie odpowiedniego odesłania w przepisie art. 445 § 2, w którym określa się, w jakim terminie możliwe jest uzupełnienie apelacji wniesionej przed upływem terminu złożenia wniosku o sporządzenie uzasadnienia. Pozwoli to na precyzyjne określenie właściwego terminu do </w:t>
      </w:r>
      <w:r>
        <w:t xml:space="preserve">wniesienia środka odwoławczego w każdej sprawie, czy będzie on zakreślony normą ujętą w </w:t>
      </w:r>
      <w:r>
        <w:rPr>
          <w:rFonts w:cs="Times"/>
        </w:rPr>
        <w:t>§</w:t>
      </w:r>
      <w:r>
        <w:t xml:space="preserve"> 1 czy w </w:t>
      </w:r>
      <w:r>
        <w:rPr>
          <w:rFonts w:cs="Times"/>
        </w:rPr>
        <w:t>§</w:t>
      </w:r>
      <w:r>
        <w:t xml:space="preserve"> 1a.</w:t>
      </w:r>
    </w:p>
    <w:p w:rsidR="00DE34C4" w:rsidRDefault="00DE34C4" w:rsidP="00284963">
      <w:pPr>
        <w:pStyle w:val="ARTartustawynprozporzdzenia"/>
      </w:pPr>
      <w:r>
        <w:t>W art. 2 ustawy zawarto przepis przejściowy; pozwoli to na wyeliminowanie możliwych rozbieżności interpretacyjnych co do spraw będących w toku. Projektodawca zdecydował sposób w jaki nowelizacja będzie oddziaływać na już zainicjowane postępowania.</w:t>
      </w:r>
    </w:p>
    <w:p w:rsidR="00DE34C4" w:rsidRPr="00743F36" w:rsidRDefault="00DE34C4" w:rsidP="00284963">
      <w:pPr>
        <w:pStyle w:val="ARTartustawynprozporzdzenia"/>
      </w:pPr>
      <w:r>
        <w:t>Zgodnie z art. 3 projektowanej ustawy, okres jej spoczywania ograniczy się do standardowego terminu 14 dni.</w:t>
      </w:r>
    </w:p>
    <w:p w:rsidR="00DE34C4" w:rsidRDefault="00DE34C4" w:rsidP="006A5297">
      <w:pPr>
        <w:rPr>
          <w:rStyle w:val="Ppogrubienie"/>
        </w:rPr>
      </w:pPr>
    </w:p>
    <w:p w:rsidR="00DE34C4" w:rsidRDefault="00DE34C4" w:rsidP="00F63769">
      <w:pPr>
        <w:rPr>
          <w:rStyle w:val="Ppogrubienie"/>
        </w:rPr>
      </w:pPr>
      <w:r>
        <w:rPr>
          <w:rStyle w:val="Ppogrubienie"/>
        </w:rPr>
        <w:t>3. Konsultacje</w:t>
      </w:r>
    </w:p>
    <w:p w:rsidR="00DE34C4" w:rsidRDefault="00DE34C4" w:rsidP="0021765E">
      <w:pPr>
        <w:pStyle w:val="ARTartustawynprozporzdzenia"/>
      </w:pPr>
      <w:r>
        <w:t>Nadesłane w ramach konsultacji opinie i uwagi są zamieszczone na senackiej stronie internetowej. Wyniki konsultacji zostały przedstawione w Ocenie Skutków Regulacji.</w:t>
      </w:r>
    </w:p>
    <w:p w:rsidR="00DE34C4" w:rsidRDefault="00DE34C4" w:rsidP="006A5297"/>
    <w:p w:rsidR="00DE34C4" w:rsidRPr="0015321A" w:rsidRDefault="00DE34C4" w:rsidP="0015321A">
      <w:pPr>
        <w:rPr>
          <w:rStyle w:val="Ppogrubienie"/>
        </w:rPr>
      </w:pPr>
      <w:r>
        <w:rPr>
          <w:rStyle w:val="Ppogrubienie"/>
        </w:rPr>
        <w:t xml:space="preserve">4. </w:t>
      </w:r>
      <w:r w:rsidRPr="0015321A">
        <w:rPr>
          <w:rStyle w:val="Ppogrubienie"/>
        </w:rPr>
        <w:t>Oświadczenie o zgodności z prawem Unii Europejskiej</w:t>
      </w:r>
    </w:p>
    <w:p w:rsidR="00DE34C4" w:rsidRDefault="00DE34C4" w:rsidP="00730DA0">
      <w:pPr>
        <w:pStyle w:val="NIEARTTEKSTtekstnieartykuowanynppodstprawnarozplubpreambua"/>
      </w:pPr>
      <w:r w:rsidRPr="0015321A">
        <w:t xml:space="preserve">Zakres przedmiotowy projektowanej ustawy jest </w:t>
      </w:r>
      <w:r>
        <w:t>zgodny z</w:t>
      </w:r>
      <w:r w:rsidRPr="0015321A">
        <w:t xml:space="preserve"> prawem Unii Europejskiej.</w:t>
      </w:r>
    </w:p>
    <w:p w:rsidR="00DE34C4" w:rsidRPr="00CC11AE" w:rsidRDefault="00DE34C4" w:rsidP="00EF75BE">
      <w:pPr>
        <w:widowControl/>
        <w:tabs>
          <w:tab w:val="center" w:pos="6237"/>
        </w:tabs>
        <w:autoSpaceDE/>
        <w:autoSpaceDN/>
        <w:adjustRightInd/>
        <w:spacing w:line="240" w:lineRule="auto"/>
        <w:ind w:right="-2"/>
        <w:rPr>
          <w:rFonts w:eastAsia="Times New Roman" w:cs="Times New Roman"/>
        </w:rPr>
      </w:pPr>
    </w:p>
    <w:sectPr w:rsidR="00DE34C4" w:rsidRPr="00CC11AE" w:rsidSect="00DE34C4">
      <w:headerReference w:type="default" r:id="rId7"/>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74A" w:rsidRDefault="008C274A">
      <w:r>
        <w:separator/>
      </w:r>
    </w:p>
  </w:endnote>
  <w:endnote w:type="continuationSeparator" w:id="0">
    <w:p w:rsidR="008C274A" w:rsidRDefault="008C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74A" w:rsidRDefault="008C274A">
      <w:r>
        <w:separator/>
      </w:r>
    </w:p>
  </w:footnote>
  <w:footnote w:type="continuationSeparator" w:id="0">
    <w:p w:rsidR="008C274A" w:rsidRDefault="008C274A">
      <w:r>
        <w:continuationSeparator/>
      </w:r>
    </w:p>
  </w:footnote>
  <w:footnote w:id="1">
    <w:p w:rsidR="00DE34C4" w:rsidRDefault="00DE34C4" w:rsidP="00150D4F">
      <w:pPr>
        <w:pStyle w:val="ODNONIKtreodnonika"/>
      </w:pPr>
      <w:r>
        <w:rPr>
          <w:rStyle w:val="Odwoanieprzypisudolnego"/>
        </w:rPr>
        <w:footnoteRef/>
      </w:r>
      <w:r w:rsidRPr="00150D4F">
        <w:rPr>
          <w:rStyle w:val="IGindeksgrny"/>
        </w:rPr>
        <w:t>)</w:t>
      </w:r>
      <w:r>
        <w:rPr>
          <w:rStyle w:val="IGindeksgrny"/>
        </w:rPr>
        <w:tab/>
      </w:r>
      <w:r w:rsidRPr="00930C04">
        <w:t>K. Gajowniczek-Pruszyńska, A.</w:t>
      </w:r>
      <w:r>
        <w:t xml:space="preserve"> Szymborska-Rymer, </w:t>
      </w:r>
      <w:r w:rsidRPr="00930C04">
        <w:rPr>
          <w:rStyle w:val="Kkursywa"/>
        </w:rPr>
        <w:t>Wydłużenie terminu do wniesienia apelacji w</w:t>
      </w:r>
      <w:r>
        <w:rPr>
          <w:rStyle w:val="Kkursywa"/>
        </w:rPr>
        <w:t> </w:t>
      </w:r>
      <w:r w:rsidRPr="00930C04">
        <w:rPr>
          <w:rStyle w:val="Kkursywa"/>
        </w:rPr>
        <w:t>postępowaniu karnym w sprawach szczególnie zawiłych i skomplikowanych a zmiany w obszarze sporządzania uzasadnień wyroków sądów karnych – propozycje de lege ferenda,</w:t>
      </w:r>
      <w:r>
        <w:t>”Palestra”2021/7–8, s. 31 i 32.</w:t>
      </w:r>
    </w:p>
  </w:footnote>
  <w:footnote w:id="2">
    <w:p w:rsidR="00DE34C4" w:rsidRDefault="00DE34C4" w:rsidP="00865211">
      <w:pPr>
        <w:pStyle w:val="ODNONIKtreodnonika"/>
      </w:pPr>
      <w:r>
        <w:rPr>
          <w:rStyle w:val="Odwoanieprzypisudolnego"/>
        </w:rPr>
        <w:footnoteRef/>
      </w:r>
      <w:r>
        <w:rPr>
          <w:rStyle w:val="IGindeksgrny"/>
        </w:rPr>
        <w:t>)</w:t>
      </w:r>
      <w:r>
        <w:rPr>
          <w:rStyle w:val="IGindeksgrny"/>
        </w:rPr>
        <w:tab/>
      </w:r>
      <w:r>
        <w:t>Opinia z dnia 5 września 2016 r. dotycząca terminu na wniesienie apelacji w postępowaniu karnym sporządzona dla Krajowej Izby Radców Prawnych przez prof. dr. hab. Arkadiusza Berezę, jako stanowisko samorządu radcowskiego, w odpowiedzi na pismo Rzecznika Praw Obywatelskich z dnia 29 lipca 2016 r.</w:t>
      </w:r>
    </w:p>
  </w:footnote>
  <w:footnote w:id="3">
    <w:p w:rsidR="00DE34C4" w:rsidRDefault="00DE34C4" w:rsidP="003E791D">
      <w:pPr>
        <w:pStyle w:val="ODNONIKtreodnonika"/>
      </w:pPr>
      <w:r>
        <w:rPr>
          <w:rStyle w:val="Odwoanieprzypisudolnego"/>
        </w:rPr>
        <w:footnoteRef/>
      </w:r>
      <w:r w:rsidRPr="000E5CE0">
        <w:rPr>
          <w:rStyle w:val="IGindeksgrny"/>
        </w:rPr>
        <w:t>)</w:t>
      </w:r>
      <w:r>
        <w:rPr>
          <w:rStyle w:val="IGindeksgrny"/>
        </w:rPr>
        <w:tab/>
      </w:r>
      <w:r>
        <w:t xml:space="preserve">Opinia Komisji Legislacyjnej przy Naczelnej Radzie Adwokackiej dotycząca modyfikacji terminu do wniesienia apelacji w sprawach karnych (propozycje </w:t>
      </w:r>
      <w:r w:rsidRPr="00930C04">
        <w:rPr>
          <w:rStyle w:val="Kkursywa"/>
        </w:rPr>
        <w:t>de lege ferenda</w:t>
      </w:r>
      <w:r>
        <w:t>) autorstwa prof. dr. hab. Piotra Kardasa i prof. dr. hab. Jacka Giezka z 7 września 2016 r.</w:t>
      </w:r>
    </w:p>
  </w:footnote>
  <w:footnote w:id="4">
    <w:p w:rsidR="00DE34C4" w:rsidRPr="00930C04" w:rsidRDefault="00DE34C4" w:rsidP="003E791D">
      <w:pPr>
        <w:pStyle w:val="ODNONIKtreodnonika"/>
      </w:pPr>
      <w:r>
        <w:rPr>
          <w:rStyle w:val="Odwoanieprzypisudolnego"/>
        </w:rPr>
        <w:footnoteRef/>
      </w:r>
      <w:r>
        <w:rPr>
          <w:rStyle w:val="IGindeksgrny"/>
        </w:rPr>
        <w:t>)</w:t>
      </w:r>
      <w:r>
        <w:rPr>
          <w:rStyle w:val="IGindeksgrny"/>
        </w:rPr>
        <w:tab/>
      </w:r>
      <w:r w:rsidRPr="00930C04">
        <w:t>K. Gajowniczek-Pruszyńska, A.</w:t>
      </w:r>
      <w:r>
        <w:t xml:space="preserve"> Szymborska-Rymer, </w:t>
      </w:r>
      <w:r w:rsidRPr="00930C04">
        <w:rPr>
          <w:rStyle w:val="Kkursywa"/>
        </w:rPr>
        <w:t>Wydłużenie terminu do wniesienia apelacji w postępowaniu karnym w sprawach szczególnie zawiłych i skomplikowanych a zmiany w obszarze sporządzania uzasadnień wyroków sądów karnych – propozycje de lege ferenda,</w:t>
      </w:r>
      <w:r>
        <w:t>”Palestra”2021/7–8, s. 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DE34C4" w:rsidP="00B371CC">
    <w:pPr>
      <w:pStyle w:val="Nagwek"/>
      <w:jc w:val="center"/>
    </w:pPr>
    <w:r>
      <w:t xml:space="preserve">– </w:t>
    </w:r>
    <w:r>
      <w:fldChar w:fldCharType="begin"/>
    </w:r>
    <w:r>
      <w:instrText xml:space="preserve"> PAGE  \* MERGEFORMAT </w:instrText>
    </w:r>
    <w:r>
      <w:fldChar w:fldCharType="separate"/>
    </w:r>
    <w:r w:rsidR="001B0F3A">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BE"/>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0E4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0F3A"/>
    <w:rsid w:val="001B342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87132"/>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274A"/>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2116"/>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34C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EF75BE"/>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4799339-EF15-4079-A170-BB36D1DF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75BE"/>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1"/>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2"/>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2"/>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0"/>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87132"/>
    <w:rPr>
      <w:bCs/>
    </w:rPr>
  </w:style>
  <w:style w:type="paragraph" w:customStyle="1" w:styleId="OZNZACZNIKAwskazanienrzacznika">
    <w:name w:val="OZN_ZAŁĄCZNIKA – wskazanie nr załącznika"/>
    <w:basedOn w:val="OZNPROJEKTUwskazaniedatylubwersjiprojektu"/>
    <w:uiPriority w:val="28"/>
    <w:qFormat/>
    <w:rsid w:val="00387132"/>
    <w:pPr>
      <w:keepNext/>
    </w:pPr>
    <w:rPr>
      <w:b/>
      <w:u w:val="none"/>
    </w:rPr>
  </w:style>
  <w:style w:type="character" w:customStyle="1" w:styleId="IGindeksgrny">
    <w:name w:val="_IG_ – indeks górny"/>
    <w:basedOn w:val="Domylnaczcionkaakapitu"/>
    <w:uiPriority w:val="2"/>
    <w:qFormat/>
    <w:rsid w:val="00387132"/>
    <w:rPr>
      <w:b w:val="0"/>
      <w:i w:val="0"/>
      <w:vanish w:val="0"/>
      <w:spacing w:val="0"/>
      <w:vertAlign w:val="superscript"/>
    </w:rPr>
  </w:style>
  <w:style w:type="character" w:customStyle="1" w:styleId="Ppogrubienie">
    <w:name w:val="_P_ – pogrubienie"/>
    <w:basedOn w:val="Domylnaczcionkaakapitu"/>
    <w:uiPriority w:val="1"/>
    <w:qFormat/>
    <w:rsid w:val="00387132"/>
    <w:rPr>
      <w:b/>
    </w:rPr>
  </w:style>
  <w:style w:type="character" w:customStyle="1" w:styleId="Kkursywa">
    <w:name w:val="_K_ – kursywa"/>
    <w:basedOn w:val="Domylnaczcionkaakapitu"/>
    <w:uiPriority w:val="1"/>
    <w:qFormat/>
    <w:rsid w:val="00387132"/>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8</TotalTime>
  <Pages>5</Pages>
  <Words>1442</Words>
  <Characters>8658</Characters>
  <Application>Microsoft Office Word</Application>
  <DocSecurity>0</DocSecurity>
  <Lines>72</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10080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Justyna Mazur</dc:creator>
  <cp:lastModifiedBy>Grzegorz Molesztak</cp:lastModifiedBy>
  <cp:revision>4</cp:revision>
  <cp:lastPrinted>2022-04-13T08:52:00Z</cp:lastPrinted>
  <dcterms:created xsi:type="dcterms:W3CDTF">2022-04-27T10:32:00Z</dcterms:created>
  <dcterms:modified xsi:type="dcterms:W3CDTF">2022-05-25T10:15:00Z</dcterms:modified>
</cp:coreProperties>
</file>