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10DCBE" w14:textId="77777777" w:rsidR="003C34FE" w:rsidRDefault="003C34FE" w:rsidP="003C34FE">
      <w:pPr>
        <w:spacing w:after="200"/>
        <w:jc w:val="center"/>
        <w:rPr>
          <w:rFonts w:eastAsia="Times New Roman" w:cs="Times New Roman"/>
          <w:b/>
          <w:szCs w:val="24"/>
        </w:rPr>
      </w:pPr>
      <w:bookmarkStart w:id="0" w:name="_GoBack"/>
      <w:bookmarkEnd w:id="0"/>
      <w:r>
        <w:rPr>
          <w:rFonts w:eastAsia="Times New Roman" w:cs="Times New Roman"/>
          <w:b/>
          <w:szCs w:val="24"/>
        </w:rPr>
        <w:t>UZASADNIENIE</w:t>
      </w:r>
    </w:p>
    <w:p w14:paraId="39F168AC" w14:textId="77777777" w:rsidR="003C34FE" w:rsidRDefault="003C34FE" w:rsidP="003C34FE">
      <w:pPr>
        <w:spacing w:after="200"/>
        <w:jc w:val="both"/>
        <w:rPr>
          <w:rFonts w:eastAsia="Times New Roman" w:cs="Times New Roman"/>
          <w:b/>
          <w:szCs w:val="24"/>
        </w:rPr>
      </w:pPr>
      <w:r>
        <w:rPr>
          <w:rFonts w:eastAsia="Times New Roman" w:cs="Times New Roman"/>
          <w:b/>
          <w:szCs w:val="24"/>
        </w:rPr>
        <w:t>1. Cel wydania ustawy i rzeczywisty stan w dziedzinie, która ma być unormowana</w:t>
      </w:r>
    </w:p>
    <w:p w14:paraId="7D496DDD" w14:textId="77777777" w:rsidR="003C34FE" w:rsidRDefault="003C34FE" w:rsidP="003C34FE">
      <w:pPr>
        <w:spacing w:after="200"/>
        <w:ind w:firstLine="720"/>
        <w:jc w:val="both"/>
        <w:rPr>
          <w:rFonts w:eastAsia="Times New Roman" w:cs="Times New Roman"/>
          <w:szCs w:val="24"/>
        </w:rPr>
      </w:pPr>
      <w:bookmarkStart w:id="1" w:name="_Hlk97195078"/>
      <w:r>
        <w:rPr>
          <w:rFonts w:eastAsia="Times New Roman" w:cs="Times New Roman"/>
          <w:szCs w:val="24"/>
        </w:rPr>
        <w:t>Niniejsza ustawa ma zapewnić radykalne przyspieszenie transformacji energetycznej w Polsce. Transformacji koniecznej już nie tylko ze względu na postępujący kryzys klimatyczny i zobowiązania międzynarodowe zaciągnięte przez Rzeczpospolitą Polską, ale w obecnych uwarunkowaniach międzynarodowych przede wszystkim ze względu na potrzebę zapewnienia bezpieczeństwa i samowystarczalności energetycznej Polski.</w:t>
      </w:r>
    </w:p>
    <w:bookmarkEnd w:id="1"/>
    <w:p w14:paraId="0508C042"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 xml:space="preserve">Polska potrzebuje radykalnie szybkiego odejścia od paliw kopalnych, z których wszystkie (węgiel, ropa, gaz) pochodzą z importu, z tego znaczna część z Federacji Rosyjskiej. Polityka oparta o paliwa kopalne to polityka zależności Polski od Rosji, to polityka transferowania setek miliardów złotych w ręce zbrodniczego reżimu, który stanowi zagrożenie dla Rzeczypospolitej i jej sąsiadów. Dla całego wolnego świata. W tych uwarunkowaniach kluczowym jest jak najszybsze odcięcie zbrodniczego rosyjskiego systemu od źródeł finansowania i zapewnienie bezpieczeństwa energetycznego Polski. </w:t>
      </w:r>
    </w:p>
    <w:p w14:paraId="3BC458F4"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Najprostszą i najszybszą metodą odchodzenia od paliw kopalnych jest budowanie mocy odnawialnych źródeł energii. Bez skomplikowanych procedur i trudnych technologii moce te mogą powstawać z dnia na dzień, uwalniając stopniowo Rzeczpospolitą od uzależnienia energetycznego od Rosji.</w:t>
      </w:r>
    </w:p>
    <w:p w14:paraId="76954C39" w14:textId="77777777" w:rsidR="003C34FE" w:rsidRDefault="003C34FE" w:rsidP="003C34FE">
      <w:pPr>
        <w:spacing w:after="200"/>
        <w:ind w:firstLine="720"/>
        <w:jc w:val="both"/>
        <w:rPr>
          <w:rFonts w:eastAsia="Times New Roman" w:cs="Times New Roman"/>
          <w:szCs w:val="24"/>
        </w:rPr>
      </w:pPr>
      <w:bookmarkStart w:id="2" w:name="_Hlk97195281"/>
      <w:r>
        <w:rPr>
          <w:rFonts w:eastAsia="Times New Roman" w:cs="Times New Roman"/>
          <w:szCs w:val="24"/>
        </w:rPr>
        <w:t xml:space="preserve">Obecnie na drodze do szybkiego budowania mocy odnawialnych źródeł energii stoją dwie główne bariery. </w:t>
      </w:r>
    </w:p>
    <w:p w14:paraId="589A20C4" w14:textId="77777777" w:rsidR="003C34FE" w:rsidRDefault="003C34FE" w:rsidP="008E36D4">
      <w:pPr>
        <w:spacing w:after="200"/>
        <w:ind w:firstLine="708"/>
        <w:jc w:val="both"/>
        <w:rPr>
          <w:rFonts w:eastAsia="Times New Roman" w:cs="Times New Roman"/>
          <w:szCs w:val="24"/>
        </w:rPr>
      </w:pPr>
      <w:r>
        <w:rPr>
          <w:rFonts w:eastAsia="Times New Roman" w:cs="Times New Roman"/>
          <w:szCs w:val="24"/>
        </w:rPr>
        <w:t>Po pierwsze: niekorzystny sposób rozliczania nadwyżek energii pozyskiwanej z fotowoltaiki ze sprzedawcami energii, przewidziany ustawą zmienianą, która ma wejść w życie od 1 kwietnia 2022 roku, który radykalnie obniży ilość nowo powstających instalacji prosumenckich. Z tych względów, aby radykalnie przyspieszyć proces powstawania instalacji prosumenckich, proponuje się przywrócenie dotychczasowych, korzystnych dla prosumentów rozwiązań.</w:t>
      </w:r>
    </w:p>
    <w:p w14:paraId="2BE7D4FF" w14:textId="321506A1" w:rsidR="003C34FE" w:rsidRDefault="003C34FE" w:rsidP="008E36D4">
      <w:pPr>
        <w:spacing w:after="200"/>
        <w:ind w:firstLine="708"/>
        <w:jc w:val="both"/>
        <w:rPr>
          <w:rFonts w:eastAsia="Times New Roman" w:cs="Times New Roman"/>
          <w:szCs w:val="24"/>
        </w:rPr>
      </w:pPr>
      <w:r>
        <w:rPr>
          <w:rFonts w:eastAsia="Times New Roman" w:cs="Times New Roman"/>
          <w:szCs w:val="24"/>
        </w:rPr>
        <w:t xml:space="preserve">Po drugie: w zakresie elektrowni wiatrowych, zmieniana ustawa spowodowała tzw. zasadą 10H praktyczne zatrzymanie rozwoju energetyki wiatrowej na lądzie. Nie ma żadnej potrzeby tak radykalnej ingerencji ustawodawcy w dopuszczalne odległości siłowni wiatrowych od zabudowań. Postuluje się, aby </w:t>
      </w:r>
      <w:r w:rsidRPr="003C34FE">
        <w:rPr>
          <w:rFonts w:eastAsia="Times New Roman" w:cs="Times New Roman"/>
          <w:szCs w:val="24"/>
        </w:rPr>
        <w:t>zmniejsz</w:t>
      </w:r>
      <w:r>
        <w:rPr>
          <w:rFonts w:eastAsia="Times New Roman" w:cs="Times New Roman"/>
          <w:szCs w:val="24"/>
        </w:rPr>
        <w:t>yć</w:t>
      </w:r>
      <w:r w:rsidRPr="003C34FE">
        <w:rPr>
          <w:rFonts w:eastAsia="Times New Roman" w:cs="Times New Roman"/>
          <w:szCs w:val="24"/>
        </w:rPr>
        <w:t xml:space="preserve"> ograniczenia odległości elektrowni </w:t>
      </w:r>
      <w:r w:rsidRPr="003C34FE">
        <w:rPr>
          <w:rFonts w:eastAsia="Times New Roman" w:cs="Times New Roman"/>
          <w:szCs w:val="24"/>
        </w:rPr>
        <w:lastRenderedPageBreak/>
        <w:t>wiatrowych od zabudowań z 10-krotności ich wysokości od budynków mieszkalnych i terenów cennych przyrodniczo (tzw. zasada 10 H) do 500 metrów</w:t>
      </w:r>
      <w:r>
        <w:rPr>
          <w:rFonts w:eastAsia="Times New Roman" w:cs="Times New Roman"/>
          <w:szCs w:val="24"/>
        </w:rPr>
        <w:t xml:space="preserve"> oraz w dalszym ciągu zachować wymóg lokalizacji elektrowni wiatrowej przez władze gminy w miejscowych planach zagospodarowania przestrzennego. To z jednej strony zapobieże chaotycznemu powstawaniu takich instalacji w niepożądanych miejscach. Z drugiej, zapewni lokalnej społeczności udział w procesie powstawania zasad lokalizacji takich siłowni. Wreszcie w ramach procedur uzgodnieniowych przewidzianych w przepisach o planowaniu i zagospodarowaniu przestrzennym zapewnione zostaną konieczne standardy ochrony przyrody i środowiska. </w:t>
      </w:r>
    </w:p>
    <w:bookmarkEnd w:id="2"/>
    <w:p w14:paraId="77E313A6"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 xml:space="preserve">Pora uwolnić polski wiatr i polskie słońce, których energia da nam niezależność energetyczną od Rosji, a także pozwoli spełnić międzynarodowe zobowiązania, dotyczące redukcji emisji i ochrony klimatu. </w:t>
      </w:r>
    </w:p>
    <w:p w14:paraId="5D75BF6A" w14:textId="77777777" w:rsidR="003C34FE" w:rsidRDefault="003C34FE" w:rsidP="003C34FE">
      <w:pPr>
        <w:spacing w:after="200"/>
        <w:jc w:val="both"/>
        <w:rPr>
          <w:rFonts w:eastAsia="Times New Roman" w:cs="Times New Roman"/>
          <w:b/>
          <w:szCs w:val="24"/>
        </w:rPr>
      </w:pPr>
      <w:r>
        <w:rPr>
          <w:rFonts w:eastAsia="Times New Roman" w:cs="Times New Roman"/>
          <w:b/>
          <w:szCs w:val="24"/>
        </w:rPr>
        <w:t>2. Proponowane przepisy</w:t>
      </w:r>
    </w:p>
    <w:p w14:paraId="4E3C68B5" w14:textId="512D3DF4" w:rsidR="00294301" w:rsidRPr="00294301" w:rsidRDefault="003C34FE" w:rsidP="00294301">
      <w:pPr>
        <w:spacing w:after="200"/>
        <w:ind w:firstLine="720"/>
        <w:jc w:val="both"/>
        <w:rPr>
          <w:rFonts w:eastAsia="Times New Roman" w:cs="Times New Roman"/>
          <w:szCs w:val="24"/>
        </w:rPr>
      </w:pPr>
      <w:r>
        <w:rPr>
          <w:rFonts w:eastAsia="Times New Roman" w:cs="Times New Roman"/>
          <w:szCs w:val="24"/>
        </w:rPr>
        <w:t xml:space="preserve">Projektodawca proponuje w art. 1 </w:t>
      </w:r>
      <w:r w:rsidR="00294301">
        <w:rPr>
          <w:rFonts w:eastAsia="Times New Roman" w:cs="Times New Roman"/>
          <w:szCs w:val="24"/>
        </w:rPr>
        <w:t>dokonać zmian w</w:t>
      </w:r>
      <w:r>
        <w:rPr>
          <w:rFonts w:eastAsia="Times New Roman" w:cs="Times New Roman"/>
          <w:szCs w:val="24"/>
        </w:rPr>
        <w:t xml:space="preserve"> </w:t>
      </w:r>
      <w:r w:rsidR="00294301">
        <w:rPr>
          <w:rFonts w:eastAsia="Times New Roman" w:cs="Times New Roman"/>
          <w:szCs w:val="24"/>
        </w:rPr>
        <w:t xml:space="preserve">ustawie </w:t>
      </w:r>
      <w:r>
        <w:rPr>
          <w:rFonts w:eastAsia="Times New Roman" w:cs="Times New Roman"/>
          <w:szCs w:val="24"/>
        </w:rPr>
        <w:t xml:space="preserve">z dnia 20 maja 2016 roku o inwestycjach w zakresie elektrowni wiatrowych (dalej: “ustawa odległościowa”) wprowadzającą zasadę 10H, która zakazuje lokalizowania i budowania elektrowni wiatrowych w odległości mniejszej niż dziesięciokrotność wysokości elektrowni wiatrowej od najbliższych zabudowań. </w:t>
      </w:r>
      <w:bookmarkStart w:id="3" w:name="_Hlk97195578"/>
      <w:r w:rsidR="00817682">
        <w:rPr>
          <w:rFonts w:eastAsia="Times New Roman" w:cs="Times New Roman"/>
          <w:szCs w:val="24"/>
        </w:rPr>
        <w:t xml:space="preserve">Zmiana </w:t>
      </w:r>
      <w:r>
        <w:rPr>
          <w:rFonts w:eastAsia="Times New Roman" w:cs="Times New Roman"/>
          <w:szCs w:val="24"/>
        </w:rPr>
        <w:t>obecnej ustawy odległościowej zlikwiduje ww. zasadę 10H z porządku prawnego, odblokowując na nowo rozwój lądowej energetyki wiatrowej w Polsce.</w:t>
      </w:r>
      <w:r w:rsidR="00294301">
        <w:rPr>
          <w:rFonts w:eastAsia="Times New Roman" w:cs="Times New Roman"/>
          <w:szCs w:val="24"/>
        </w:rPr>
        <w:t xml:space="preserve"> </w:t>
      </w:r>
      <w:bookmarkEnd w:id="3"/>
      <w:r w:rsidR="00294301" w:rsidRPr="00294301">
        <w:rPr>
          <w:rFonts w:eastAsia="Times New Roman" w:cs="Times New Roman"/>
          <w:szCs w:val="24"/>
        </w:rPr>
        <w:t xml:space="preserve">W celu realizacji </w:t>
      </w:r>
      <w:r w:rsidR="00294301">
        <w:rPr>
          <w:rFonts w:eastAsia="Times New Roman" w:cs="Times New Roman"/>
          <w:szCs w:val="24"/>
        </w:rPr>
        <w:t xml:space="preserve">wyżej wymienionych </w:t>
      </w:r>
      <w:r w:rsidR="00294301" w:rsidRPr="00294301">
        <w:rPr>
          <w:rFonts w:eastAsia="Times New Roman" w:cs="Times New Roman"/>
          <w:szCs w:val="24"/>
        </w:rPr>
        <w:t>założeń, proponuje się dokonanie:</w:t>
      </w:r>
    </w:p>
    <w:p w14:paraId="7E89CC9B" w14:textId="15262961"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przepisu art. 4 ust. 1 ustawy w zakresie minimalnej odległości budynków mieszkalnych oraz obiektów chronionych akustycznie. Proponuje się aby o odległości pomiędzy elektrownią wiatrową a ww. obiektami decydowały organy gminy uwzględniając zasięg akustycznego oddziaływania elektrowni wiatrowej z zachowaniem minimalnej odległości wyznaczonej na 500 metrów .</w:t>
      </w:r>
    </w:p>
    <w:p w14:paraId="077B42E2" w14:textId="6085F4BE"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przepisu art. 4 ust. 2 ustawy z którego wynika, że lokalizowana elektrownia wiatrowa, może być w odległość większej niż określona w ust 1 od budynku mieszkalnego albo budynku o funkcji mieszanej, w skład której wchodzi funkcja mieszkaniowa jeśli wynika to z prognozy oddziaływania na środowisko sporządzonej do projektu tego planu miejscowego.</w:t>
      </w:r>
    </w:p>
    <w:p w14:paraId="1EC19339" w14:textId="562BC844"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 xml:space="preserve">zmiany przepisu art. 4 ust 3 – przepis umożliwiający budowę budynków mieszkalnych lub z funkcją mieszkaniową w odległości mniejszej niż określona w ust 1 Art. 4 jeśli w procesie powstawaniu miejscowego planu zostanie stwierdzone, iż planowany lub </w:t>
      </w:r>
      <w:r w:rsidRPr="00294301">
        <w:rPr>
          <w:rFonts w:eastAsia="Times New Roman" w:cs="Times New Roman"/>
          <w:szCs w:val="24"/>
        </w:rPr>
        <w:lastRenderedPageBreak/>
        <w:t>istniejący wiatrak nie oddziaływuje negatywnie na planowaną budowę budynku mieszkalnego lub z funkcją mieszkalną.</w:t>
      </w:r>
    </w:p>
    <w:p w14:paraId="0339B140" w14:textId="12857ED7"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dodanie w art. 4 ust 4 – przepis umożliwia odblokowanie możliwości rozbudowy, remontu, przebudowy itp. budynków mieszkalnych lub z funkcją mieszkalną, które w wyniku wprowadzenia przepisów ustawy w obecnym kształcie uniemożliwiają dokonywanie odtwarzania lub remontowania takich budynków skazując obecnych użytkowników na konieczność zmiany miejsca zamieszkania.</w:t>
      </w:r>
    </w:p>
    <w:p w14:paraId="575198EC" w14:textId="51B41240"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art. 5 ustawy, w zakresie sposobu wyznaczania miejsc, w których dopuszcza się budowę elektrowni wiatrowych opisano sposób liczenia odległości opisanej w art.</w:t>
      </w:r>
      <w:r>
        <w:rPr>
          <w:rFonts w:eastAsia="Times New Roman" w:cs="Times New Roman"/>
          <w:szCs w:val="24"/>
        </w:rPr>
        <w:t xml:space="preserve"> </w:t>
      </w:r>
      <w:r w:rsidRPr="00294301">
        <w:rPr>
          <w:rFonts w:eastAsia="Times New Roman" w:cs="Times New Roman"/>
          <w:szCs w:val="24"/>
        </w:rPr>
        <w:t>4 ust</w:t>
      </w:r>
      <w:r>
        <w:rPr>
          <w:rFonts w:eastAsia="Times New Roman" w:cs="Times New Roman"/>
          <w:szCs w:val="24"/>
        </w:rPr>
        <w:t xml:space="preserve">. </w:t>
      </w:r>
      <w:r w:rsidRPr="00294301">
        <w:rPr>
          <w:rFonts w:eastAsia="Times New Roman" w:cs="Times New Roman"/>
          <w:szCs w:val="24"/>
        </w:rPr>
        <w:t>1.</w:t>
      </w:r>
    </w:p>
    <w:p w14:paraId="70648A2C" w14:textId="042D0DAD"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zmiana art. 6 i wykreślenie ust</w:t>
      </w:r>
      <w:r>
        <w:rPr>
          <w:rFonts w:eastAsia="Times New Roman" w:cs="Times New Roman"/>
          <w:szCs w:val="24"/>
        </w:rPr>
        <w:t>.</w:t>
      </w:r>
      <w:r w:rsidRPr="00294301">
        <w:rPr>
          <w:rFonts w:eastAsia="Times New Roman" w:cs="Times New Roman"/>
          <w:szCs w:val="24"/>
        </w:rPr>
        <w:t xml:space="preserve"> 1 oraz 6 jest konsekwencją, iż lokalizowanie nowych turbin wiatrowych będzie dokonywane tylko w oparciu o miejscowy plan uchwalany w gminie. Proponuje się wykreślenie wojewody jako organu, który miałby wpływ na wyznaczanie miejsc, w których możliwe byłyby inwestycje związane z budową nowych elektrowni wiatrowych.</w:t>
      </w:r>
    </w:p>
    <w:p w14:paraId="5C15B52A" w14:textId="2A327561"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dodanie art. 6a ust</w:t>
      </w:r>
      <w:r>
        <w:rPr>
          <w:rFonts w:eastAsia="Times New Roman" w:cs="Times New Roman"/>
          <w:szCs w:val="24"/>
        </w:rPr>
        <w:t>.</w:t>
      </w:r>
      <w:r w:rsidRPr="00294301">
        <w:rPr>
          <w:rFonts w:eastAsia="Times New Roman" w:cs="Times New Roman"/>
          <w:szCs w:val="24"/>
        </w:rPr>
        <w:t xml:space="preserve"> 1</w:t>
      </w:r>
      <w:r>
        <w:rPr>
          <w:rFonts w:eastAsia="Times New Roman" w:cs="Times New Roman"/>
          <w:szCs w:val="24"/>
        </w:rPr>
        <w:t>-</w:t>
      </w:r>
      <w:r w:rsidRPr="00294301">
        <w:rPr>
          <w:rFonts w:eastAsia="Times New Roman" w:cs="Times New Roman"/>
          <w:szCs w:val="24"/>
        </w:rPr>
        <w:t>3 w zakresie prowadzenia konsultacji w ramach procedury uchwalania miejscowego planu wraz z wójtem gminy sąsiadującej (gmina sąsiadująca z elektrownią wiatrową – gmina, której obszar wchodzi w strefę określoną w prognozie oddziaływania lub znajduje się w odległości mniejszej niż 500 metrów od planowanej elektrowni wiatrowej)</w:t>
      </w:r>
    </w:p>
    <w:p w14:paraId="47D3FDC6" w14:textId="45D355CB"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art. 7 ustawy, w zakresie zawartości opracowania planu miejscowego zagospodarowania terenu, proponuje się by plan miejscowy określał zakaz lokalizacji budynków mieszkalnych lub budynków z funkcją mieszkalną w obszarze określonym w art. 4 ust 1 lub maksymalny obszar wskazany w prognozie oddziaływania na środowisko jeśli obszar ten jest większy od obszaru określonego w art. 4 ust 1.</w:t>
      </w:r>
    </w:p>
    <w:p w14:paraId="2ABB75E3" w14:textId="31C7C409"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dodaje się art. 7d mówiący o dostępie do informacji publicznej w zakresie eksploatacji i bezpieczeństwa funkcjonowania elektrowni wiatrowej.</w:t>
      </w:r>
    </w:p>
    <w:p w14:paraId="15BAEC96" w14:textId="2A44F276"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dodan</w:t>
      </w:r>
      <w:r>
        <w:rPr>
          <w:rFonts w:eastAsia="Times New Roman" w:cs="Times New Roman"/>
          <w:szCs w:val="24"/>
        </w:rPr>
        <w:t>ia</w:t>
      </w:r>
      <w:r w:rsidRPr="00294301">
        <w:rPr>
          <w:rFonts w:eastAsia="Times New Roman" w:cs="Times New Roman"/>
          <w:szCs w:val="24"/>
        </w:rPr>
        <w:t xml:space="preserve"> nowe</w:t>
      </w:r>
      <w:r>
        <w:rPr>
          <w:rFonts w:eastAsia="Times New Roman" w:cs="Times New Roman"/>
          <w:szCs w:val="24"/>
        </w:rPr>
        <w:t>go</w:t>
      </w:r>
      <w:r w:rsidRPr="00294301">
        <w:rPr>
          <w:rFonts w:eastAsia="Times New Roman" w:cs="Times New Roman"/>
          <w:szCs w:val="24"/>
        </w:rPr>
        <w:t xml:space="preserve"> Rozdział</w:t>
      </w:r>
      <w:r>
        <w:rPr>
          <w:rFonts w:eastAsia="Times New Roman" w:cs="Times New Roman"/>
          <w:szCs w:val="24"/>
        </w:rPr>
        <w:t>u</w:t>
      </w:r>
      <w:r w:rsidRPr="00294301">
        <w:rPr>
          <w:rFonts w:eastAsia="Times New Roman" w:cs="Times New Roman"/>
          <w:szCs w:val="24"/>
        </w:rPr>
        <w:t xml:space="preserve"> 2a </w:t>
      </w:r>
      <w:r>
        <w:rPr>
          <w:rFonts w:eastAsia="Times New Roman" w:cs="Times New Roman"/>
          <w:szCs w:val="24"/>
        </w:rPr>
        <w:t xml:space="preserve">w którym </w:t>
      </w:r>
      <w:r w:rsidRPr="00294301">
        <w:rPr>
          <w:rFonts w:eastAsia="Times New Roman" w:cs="Times New Roman"/>
          <w:szCs w:val="24"/>
        </w:rPr>
        <w:t>wprowadzono przepisy dotyczące przejściowych przepisów związanych ze zmianami jakie wprowadza proponowana zmiana ustawy.</w:t>
      </w:r>
    </w:p>
    <w:p w14:paraId="3F13017F" w14:textId="05678CCA"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art. 8</w:t>
      </w:r>
      <w:r>
        <w:rPr>
          <w:rFonts w:eastAsia="Times New Roman" w:cs="Times New Roman"/>
          <w:szCs w:val="24"/>
        </w:rPr>
        <w:t>a</w:t>
      </w:r>
      <w:r w:rsidRPr="00294301">
        <w:rPr>
          <w:rFonts w:eastAsia="Times New Roman" w:cs="Times New Roman"/>
          <w:szCs w:val="24"/>
        </w:rPr>
        <w:t xml:space="preserve"> stwierdza się, iż w przypadku kiedy przed wejściem w życie ustawy miejscowy plan przewidywał lokalizację turbin wiatrowych będzie możliwe prowadzenie postepowania o wydanie decyzji środowiskowej i/lub pozwolenia na budowę o ile </w:t>
      </w:r>
      <w:r w:rsidRPr="00294301">
        <w:rPr>
          <w:rFonts w:eastAsia="Times New Roman" w:cs="Times New Roman"/>
          <w:szCs w:val="24"/>
        </w:rPr>
        <w:lastRenderedPageBreak/>
        <w:t>odległość tych turbin będzie nie mniejsza niż odległość określona w art. 4 ust 1.</w:t>
      </w:r>
    </w:p>
    <w:p w14:paraId="572D3828" w14:textId="54D2714A"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art. 8</w:t>
      </w:r>
      <w:r>
        <w:rPr>
          <w:rFonts w:eastAsia="Times New Roman" w:cs="Times New Roman"/>
          <w:szCs w:val="24"/>
        </w:rPr>
        <w:t>b</w:t>
      </w:r>
      <w:r w:rsidRPr="00294301">
        <w:rPr>
          <w:rFonts w:eastAsia="Times New Roman" w:cs="Times New Roman"/>
          <w:szCs w:val="24"/>
        </w:rPr>
        <w:t xml:space="preserve"> analogicznie jak w przypadku art. 8</w:t>
      </w:r>
      <w:r>
        <w:rPr>
          <w:rFonts w:eastAsia="Times New Roman" w:cs="Times New Roman"/>
          <w:szCs w:val="24"/>
        </w:rPr>
        <w:t>a</w:t>
      </w:r>
      <w:r w:rsidRPr="00294301">
        <w:rPr>
          <w:rFonts w:eastAsia="Times New Roman" w:cs="Times New Roman"/>
          <w:szCs w:val="24"/>
        </w:rPr>
        <w:t xml:space="preserve"> właściwe organy odmówią wydania decyzji środowiskowej lub/i pozwolenia na budowę jeśli budynek mieszkalny lub budynek z funkcja mieszkalną jest zlokalizowany w odległości mniejszej niż określona w art. 4 ust 1. mimo, iż obowiązujący plan przewiduje powstanie takiego budynku.</w:t>
      </w:r>
    </w:p>
    <w:p w14:paraId="7CD03A42" w14:textId="6FC0DC5B"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art. 8</w:t>
      </w:r>
      <w:r>
        <w:rPr>
          <w:rFonts w:eastAsia="Times New Roman" w:cs="Times New Roman"/>
          <w:szCs w:val="24"/>
        </w:rPr>
        <w:t>c</w:t>
      </w:r>
      <w:r w:rsidRPr="00294301">
        <w:rPr>
          <w:rFonts w:eastAsia="Times New Roman" w:cs="Times New Roman"/>
          <w:szCs w:val="24"/>
        </w:rPr>
        <w:t xml:space="preserve"> przewiduje odmowę wydania mimo posiadania decyzji WZiZT przez właściwy organ pozwolenia na budowę budynku mieszkalnego lub budynku z funkcją mieszkalną a w przypadku konieczności uzyskania decyzji środowiskowej odmowę wydania przez organ upoważniony do wydania tej decyzji jeżeli minimalna odległości budynku od elektrowni wiatrowej założona we wniosku o wydanie WZiZT lub o wydanie decyzji środowiskowej jest mniejsza niż określona w Art. 4 ust</w:t>
      </w:r>
      <w:r>
        <w:rPr>
          <w:rFonts w:eastAsia="Times New Roman" w:cs="Times New Roman"/>
          <w:szCs w:val="24"/>
        </w:rPr>
        <w:t>.</w:t>
      </w:r>
      <w:r w:rsidRPr="00294301">
        <w:rPr>
          <w:rFonts w:eastAsia="Times New Roman" w:cs="Times New Roman"/>
          <w:szCs w:val="24"/>
        </w:rPr>
        <w:t xml:space="preserve"> 1 zmienionej ustawy.</w:t>
      </w:r>
    </w:p>
    <w:p w14:paraId="5B57ED1C" w14:textId="24B5F6BF"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art. 12 ust</w:t>
      </w:r>
      <w:r>
        <w:rPr>
          <w:rFonts w:eastAsia="Times New Roman" w:cs="Times New Roman"/>
          <w:szCs w:val="24"/>
        </w:rPr>
        <w:t>.</w:t>
      </w:r>
      <w:r w:rsidRPr="00294301">
        <w:rPr>
          <w:rFonts w:eastAsia="Times New Roman" w:cs="Times New Roman"/>
          <w:szCs w:val="24"/>
        </w:rPr>
        <w:t xml:space="preserve"> 1</w:t>
      </w:r>
      <w:r>
        <w:rPr>
          <w:rFonts w:eastAsia="Times New Roman" w:cs="Times New Roman"/>
          <w:szCs w:val="24"/>
        </w:rPr>
        <w:t xml:space="preserve"> i </w:t>
      </w:r>
      <w:r w:rsidRPr="00294301">
        <w:rPr>
          <w:rFonts w:eastAsia="Times New Roman" w:cs="Times New Roman"/>
          <w:szCs w:val="24"/>
        </w:rPr>
        <w:t>2 ustawy, w nowym brzmieniu art. 12 ust</w:t>
      </w:r>
      <w:r w:rsidR="008E36D4">
        <w:rPr>
          <w:rFonts w:eastAsia="Times New Roman" w:cs="Times New Roman"/>
          <w:szCs w:val="24"/>
        </w:rPr>
        <w:t>.</w:t>
      </w:r>
      <w:r w:rsidRPr="00294301">
        <w:rPr>
          <w:rFonts w:eastAsia="Times New Roman" w:cs="Times New Roman"/>
          <w:szCs w:val="24"/>
        </w:rPr>
        <w:t xml:space="preserve"> 1 i 2 stwierdza, iż uchwalane przed dniem wejścia w życie ustawy studia uwarunkowań przestrzennych oraz miejscowe plany zachowują ważność.</w:t>
      </w:r>
    </w:p>
    <w:p w14:paraId="5730442E" w14:textId="2B98AABE" w:rsidR="00294301" w:rsidRPr="00294301" w:rsidRDefault="00294301" w:rsidP="00294301">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zmiana art. 12 ust</w:t>
      </w:r>
      <w:r w:rsidR="008E36D4">
        <w:rPr>
          <w:rFonts w:eastAsia="Times New Roman" w:cs="Times New Roman"/>
          <w:szCs w:val="24"/>
        </w:rPr>
        <w:t>.</w:t>
      </w:r>
      <w:r w:rsidRPr="00294301">
        <w:rPr>
          <w:rFonts w:eastAsia="Times New Roman" w:cs="Times New Roman"/>
          <w:szCs w:val="24"/>
        </w:rPr>
        <w:t xml:space="preserve"> 3 i 4 dotyczy projektów oraz postanowień kierunków studiów zagospodarowania przestrzennego gmin, projektu oraz postanowień studium ramowych uwarunkowań i kierunków zagospodarowania przestrzennego związku metropolitalnego, planów oraz projektów planów zagospodarowania przestrzennego województwa, iż z dniem wejścia w życie zmienianych przepisów będą miały zastosowanie w tych przypadkach.</w:t>
      </w:r>
    </w:p>
    <w:p w14:paraId="349DE5BF" w14:textId="2AB8F547" w:rsidR="00294301" w:rsidRPr="00534596" w:rsidRDefault="00294301" w:rsidP="00534596">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art. 13 ustawy, zmieniony przepis uporządkowuje prowadzone jeszcze postepowania w zakresie siłowni wiatrowych wskazując, iż dalsze ich prowadzenie</w:t>
      </w:r>
      <w:r w:rsidR="00534596">
        <w:rPr>
          <w:rFonts w:eastAsia="Times New Roman" w:cs="Times New Roman"/>
          <w:szCs w:val="24"/>
        </w:rPr>
        <w:t xml:space="preserve"> </w:t>
      </w:r>
      <w:r w:rsidRPr="00534596">
        <w:rPr>
          <w:rFonts w:eastAsia="Times New Roman" w:cs="Times New Roman"/>
          <w:szCs w:val="24"/>
        </w:rPr>
        <w:t>będzie realizowane w oparciu o zaproponowane przepisy w szczególności zachowując minimalne odległości siłowni wiatrowej od budynków mieszkalnych lub budynków z funkcją mieszkalną określoną w art. 4 ust</w:t>
      </w:r>
      <w:r w:rsidR="008E36D4" w:rsidRPr="00534596">
        <w:rPr>
          <w:rFonts w:eastAsia="Times New Roman" w:cs="Times New Roman"/>
          <w:szCs w:val="24"/>
        </w:rPr>
        <w:t>.</w:t>
      </w:r>
      <w:r w:rsidRPr="00534596">
        <w:rPr>
          <w:rFonts w:eastAsia="Times New Roman" w:cs="Times New Roman"/>
          <w:szCs w:val="24"/>
        </w:rPr>
        <w:t xml:space="preserve"> 1.</w:t>
      </w:r>
    </w:p>
    <w:p w14:paraId="0A16E4E9" w14:textId="77777777" w:rsidR="008E36D4" w:rsidRDefault="00294301" w:rsidP="008E36D4">
      <w:pPr>
        <w:pStyle w:val="Akapitzlist"/>
        <w:numPr>
          <w:ilvl w:val="0"/>
          <w:numId w:val="1"/>
        </w:numPr>
        <w:spacing w:after="200"/>
        <w:jc w:val="both"/>
        <w:rPr>
          <w:rFonts w:eastAsia="Times New Roman" w:cs="Times New Roman"/>
          <w:szCs w:val="24"/>
        </w:rPr>
      </w:pPr>
      <w:r w:rsidRPr="00294301">
        <w:rPr>
          <w:rFonts w:eastAsia="Times New Roman" w:cs="Times New Roman"/>
          <w:szCs w:val="24"/>
        </w:rPr>
        <w:t>zmiany art. 14 ust</w:t>
      </w:r>
      <w:r w:rsidR="008E36D4">
        <w:rPr>
          <w:rFonts w:eastAsia="Times New Roman" w:cs="Times New Roman"/>
          <w:szCs w:val="24"/>
        </w:rPr>
        <w:t>.</w:t>
      </w:r>
      <w:r w:rsidRPr="00294301">
        <w:rPr>
          <w:rFonts w:eastAsia="Times New Roman" w:cs="Times New Roman"/>
          <w:szCs w:val="24"/>
        </w:rPr>
        <w:t xml:space="preserve"> 1</w:t>
      </w:r>
      <w:r w:rsidR="008E36D4">
        <w:rPr>
          <w:rFonts w:eastAsia="Times New Roman" w:cs="Times New Roman"/>
          <w:szCs w:val="24"/>
        </w:rPr>
        <w:t>-</w:t>
      </w:r>
      <w:r w:rsidRPr="00294301">
        <w:rPr>
          <w:rFonts w:eastAsia="Times New Roman" w:cs="Times New Roman"/>
          <w:szCs w:val="24"/>
        </w:rPr>
        <w:t>4 zmienione przepisy regulują postępowanie w sprawie pozwolenia na budowę budynku mieszkalnego lub budynku z funkcją mieszkalną rozstrzygając kwestię w ten sposób, iż wszystkie sprawy z zakresu wydania pozwolenia na budowę lub zgłoszenia takich budynków będą prowadzone na dotychczasowych przepisach</w:t>
      </w:r>
    </w:p>
    <w:p w14:paraId="0A6DD274" w14:textId="493B2875" w:rsidR="008E36D4" w:rsidRPr="008E36D4" w:rsidRDefault="008E36D4" w:rsidP="008E36D4">
      <w:pPr>
        <w:spacing w:after="200"/>
        <w:ind w:firstLine="708"/>
        <w:jc w:val="both"/>
        <w:rPr>
          <w:rFonts w:eastAsia="Times New Roman" w:cs="Times New Roman"/>
          <w:szCs w:val="24"/>
        </w:rPr>
      </w:pPr>
      <w:r w:rsidRPr="008E36D4">
        <w:rPr>
          <w:rFonts w:eastAsia="Times New Roman" w:cs="Times New Roman"/>
          <w:szCs w:val="24"/>
        </w:rPr>
        <w:t xml:space="preserve">W </w:t>
      </w:r>
      <w:r>
        <w:rPr>
          <w:rFonts w:eastAsia="Times New Roman" w:cs="Times New Roman"/>
          <w:szCs w:val="24"/>
        </w:rPr>
        <w:t xml:space="preserve">art. 2 proponuje się zmiany w </w:t>
      </w:r>
      <w:r w:rsidRPr="008E36D4">
        <w:rPr>
          <w:rFonts w:eastAsia="Times New Roman" w:cs="Times New Roman"/>
          <w:szCs w:val="24"/>
        </w:rPr>
        <w:t>ustawie z dnia 3 października 2008 r. o udostępnianiu informacji o środowisku i jego ochronie, udziale społeczeństwa w ochronie środowiska oraz o ocenach oddziaływania na środowisko</w:t>
      </w:r>
      <w:r>
        <w:rPr>
          <w:rFonts w:eastAsia="Times New Roman" w:cs="Times New Roman"/>
          <w:szCs w:val="24"/>
        </w:rPr>
        <w:t xml:space="preserve"> wprowadza się odpowiednie przepisy dotyczące zakresu </w:t>
      </w:r>
      <w:r w:rsidRPr="00EE689C">
        <w:lastRenderedPageBreak/>
        <w:t>oceny oddziaływania przedsięwzięcia dla elektrowni wiatrow</w:t>
      </w:r>
      <w:r>
        <w:t>ych</w:t>
      </w:r>
      <w:r w:rsidRPr="00EE689C">
        <w:t xml:space="preserve"> na środowisko oraz ludność</w:t>
      </w:r>
      <w:r>
        <w:t>.</w:t>
      </w:r>
    </w:p>
    <w:p w14:paraId="3F924522" w14:textId="1C45B1D7" w:rsidR="003C34FE" w:rsidRDefault="003C34FE" w:rsidP="008E36D4">
      <w:pPr>
        <w:spacing w:after="200"/>
        <w:ind w:firstLine="708"/>
        <w:jc w:val="both"/>
        <w:rPr>
          <w:rFonts w:eastAsia="Times New Roman" w:cs="Times New Roman"/>
          <w:szCs w:val="24"/>
        </w:rPr>
      </w:pPr>
      <w:r>
        <w:rPr>
          <w:rFonts w:eastAsia="Times New Roman" w:cs="Times New Roman"/>
          <w:szCs w:val="24"/>
        </w:rPr>
        <w:t xml:space="preserve">W art. 3 proponuje się </w:t>
      </w:r>
      <w:bookmarkStart w:id="4" w:name="_Hlk97195851"/>
      <w:r>
        <w:rPr>
          <w:rFonts w:eastAsia="Times New Roman" w:cs="Times New Roman"/>
          <w:szCs w:val="24"/>
        </w:rPr>
        <w:t xml:space="preserve">przedłużenie </w:t>
      </w:r>
      <w:r>
        <w:rPr>
          <w:rFonts w:eastAsia="Times New Roman" w:cs="Times New Roman"/>
          <w:i/>
          <w:szCs w:val="24"/>
        </w:rPr>
        <w:t>vacatio legis</w:t>
      </w:r>
      <w:r>
        <w:rPr>
          <w:rFonts w:eastAsia="Times New Roman" w:cs="Times New Roman"/>
          <w:szCs w:val="24"/>
        </w:rPr>
        <w:t xml:space="preserve"> zmian wprowadzonych ustawą z dnia 29 października 2021 r. o zmianie ustawy o odnawialnych źródłach energii oraz niektórych innych ustaw do dnia </w:t>
      </w:r>
      <w:r w:rsidR="008E36D4">
        <w:rPr>
          <w:rFonts w:eastAsia="Times New Roman" w:cs="Times New Roman"/>
          <w:szCs w:val="24"/>
        </w:rPr>
        <w:t>1</w:t>
      </w:r>
      <w:r>
        <w:rPr>
          <w:rFonts w:eastAsia="Times New Roman" w:cs="Times New Roman"/>
          <w:szCs w:val="24"/>
        </w:rPr>
        <w:t xml:space="preserve"> </w:t>
      </w:r>
      <w:r w:rsidR="008E36D4">
        <w:rPr>
          <w:rFonts w:eastAsia="Times New Roman" w:cs="Times New Roman"/>
          <w:szCs w:val="24"/>
        </w:rPr>
        <w:t>stycznia</w:t>
      </w:r>
      <w:r>
        <w:rPr>
          <w:rFonts w:eastAsia="Times New Roman" w:cs="Times New Roman"/>
          <w:szCs w:val="24"/>
        </w:rPr>
        <w:t xml:space="preserve"> 2024 roku. W ten sposób </w:t>
      </w:r>
      <w:r w:rsidR="008E36D4">
        <w:rPr>
          <w:rFonts w:eastAsia="Times New Roman" w:cs="Times New Roman"/>
          <w:szCs w:val="24"/>
        </w:rPr>
        <w:t xml:space="preserve">zostanie </w:t>
      </w:r>
      <w:r>
        <w:rPr>
          <w:rFonts w:eastAsia="Times New Roman" w:cs="Times New Roman"/>
          <w:szCs w:val="24"/>
        </w:rPr>
        <w:t xml:space="preserve">przedłużony </w:t>
      </w:r>
      <w:r w:rsidR="008E36D4">
        <w:rPr>
          <w:rFonts w:eastAsia="Times New Roman" w:cs="Times New Roman"/>
          <w:szCs w:val="24"/>
        </w:rPr>
        <w:t xml:space="preserve">o blisko dwa lata </w:t>
      </w:r>
      <w:r>
        <w:rPr>
          <w:rFonts w:eastAsia="Times New Roman" w:cs="Times New Roman"/>
          <w:szCs w:val="24"/>
        </w:rPr>
        <w:t>dotychczasowy preferencyjny sposób rozliczania prosumentów.</w:t>
      </w:r>
    </w:p>
    <w:bookmarkEnd w:id="4"/>
    <w:p w14:paraId="79C1BDD4" w14:textId="2CBAF565" w:rsidR="003C34FE" w:rsidRDefault="003C34FE" w:rsidP="008E36D4">
      <w:pPr>
        <w:spacing w:after="200"/>
        <w:ind w:firstLine="708"/>
        <w:jc w:val="both"/>
        <w:rPr>
          <w:rFonts w:eastAsia="Times New Roman" w:cs="Times New Roman"/>
          <w:szCs w:val="24"/>
        </w:rPr>
      </w:pPr>
      <w:r>
        <w:rPr>
          <w:rFonts w:eastAsia="Times New Roman" w:cs="Times New Roman"/>
          <w:szCs w:val="24"/>
        </w:rPr>
        <w:t xml:space="preserve">W art. </w:t>
      </w:r>
      <w:r w:rsidR="008E36D4">
        <w:rPr>
          <w:rFonts w:eastAsia="Times New Roman" w:cs="Times New Roman"/>
          <w:szCs w:val="24"/>
        </w:rPr>
        <w:t>4</w:t>
      </w:r>
      <w:r>
        <w:rPr>
          <w:rFonts w:eastAsia="Times New Roman" w:cs="Times New Roman"/>
          <w:szCs w:val="24"/>
        </w:rPr>
        <w:t xml:space="preserve"> przewiduje się </w:t>
      </w:r>
      <w:r>
        <w:rPr>
          <w:rFonts w:eastAsia="Times New Roman" w:cs="Times New Roman"/>
          <w:i/>
          <w:szCs w:val="24"/>
        </w:rPr>
        <w:t xml:space="preserve">vacatio legis </w:t>
      </w:r>
      <w:r>
        <w:rPr>
          <w:rFonts w:eastAsia="Times New Roman" w:cs="Times New Roman"/>
          <w:szCs w:val="24"/>
        </w:rPr>
        <w:t>dostosowane do powagi proponowanych zmian. W obliczu pilnej potrzeby uniezależnienia się od pochodzących z rosyjskiego importu węgla i gazu oraz ze względu na wejście w życie z dniem 1 kwietnia 2022 roku zmian wprowadzonych ustawą z dnia 29 października 2021 r. o zmianie ustawy o odnawialnych źródłach energii oraz niektórych innych ustaw, proponuje się wejście w życie proponowanych regulacji z dniem następującym po dniu ogłoszenia.</w:t>
      </w:r>
    </w:p>
    <w:p w14:paraId="189C562B" w14:textId="77777777" w:rsidR="003C34FE" w:rsidRDefault="003C34FE" w:rsidP="003C34FE">
      <w:pPr>
        <w:spacing w:after="200"/>
        <w:jc w:val="both"/>
        <w:rPr>
          <w:rFonts w:eastAsia="Times New Roman" w:cs="Times New Roman"/>
          <w:b/>
          <w:szCs w:val="24"/>
        </w:rPr>
      </w:pPr>
      <w:r>
        <w:rPr>
          <w:rFonts w:eastAsia="Times New Roman" w:cs="Times New Roman"/>
          <w:b/>
          <w:szCs w:val="24"/>
        </w:rPr>
        <w:t>3. Przewidywane skutki społeczne, gospodarcze i prawne</w:t>
      </w:r>
    </w:p>
    <w:p w14:paraId="40A275AE" w14:textId="64359F00" w:rsidR="003C34FE" w:rsidRDefault="003C34FE" w:rsidP="003C34FE">
      <w:pPr>
        <w:spacing w:after="200"/>
        <w:jc w:val="both"/>
        <w:rPr>
          <w:rFonts w:eastAsia="Times New Roman" w:cs="Times New Roman"/>
          <w:szCs w:val="24"/>
        </w:rPr>
      </w:pPr>
      <w:r>
        <w:rPr>
          <w:rFonts w:eastAsia="Times New Roman" w:cs="Times New Roman"/>
          <w:szCs w:val="24"/>
        </w:rPr>
        <w:tab/>
        <w:t>Regulacja wywrze pozytywne skutki społeczne, gospodarcze i prawne w zakresie rozwoju odnawialnych źródeł energii w Polsce.</w:t>
      </w:r>
    </w:p>
    <w:p w14:paraId="338967AF" w14:textId="19E03621" w:rsidR="003C34FE" w:rsidRDefault="00534596" w:rsidP="00534596">
      <w:pPr>
        <w:spacing w:after="200"/>
        <w:jc w:val="both"/>
        <w:rPr>
          <w:rFonts w:eastAsia="Times New Roman" w:cs="Times New Roman"/>
          <w:szCs w:val="24"/>
        </w:rPr>
      </w:pPr>
      <w:r>
        <w:rPr>
          <w:rFonts w:eastAsia="Times New Roman" w:cs="Times New Roman"/>
          <w:szCs w:val="24"/>
        </w:rPr>
        <w:tab/>
        <w:t>Po</w:t>
      </w:r>
      <w:r w:rsidRPr="00534596">
        <w:rPr>
          <w:rFonts w:eastAsia="Times New Roman" w:cs="Times New Roman"/>
          <w:szCs w:val="24"/>
        </w:rPr>
        <w:t>przez zastąpienie dotychczas obowiązującego wymogu zachowania odległości wynoszącej dziesięciokrotność wysokości elektrowni wiatrowej wymogiem ustawowym zachowania odległości co najmniej pięciuset metrów, co stanowi realizację postulatów branży energetyki odnawialnej oraz organizacji ekologicznych. Szacuje się, że dzięki temu powierzchnia kraju, na której mogłyby powstawać farmy, zwiększyłaby się ośmiokrotnie i wyniosła zamiast 3</w:t>
      </w:r>
      <w:r>
        <w:rPr>
          <w:rFonts w:eastAsia="Times New Roman" w:cs="Times New Roman"/>
          <w:szCs w:val="24"/>
        </w:rPr>
        <w:t>% około</w:t>
      </w:r>
      <w:r w:rsidRPr="00534596">
        <w:rPr>
          <w:rFonts w:eastAsia="Times New Roman" w:cs="Times New Roman"/>
          <w:szCs w:val="24"/>
        </w:rPr>
        <w:t xml:space="preserve"> </w:t>
      </w:r>
      <w:r>
        <w:rPr>
          <w:rFonts w:eastAsia="Times New Roman" w:cs="Times New Roman"/>
          <w:szCs w:val="24"/>
        </w:rPr>
        <w:t>25%</w:t>
      </w:r>
      <w:r w:rsidRPr="00534596">
        <w:rPr>
          <w:rFonts w:eastAsia="Times New Roman" w:cs="Times New Roman"/>
          <w:szCs w:val="24"/>
        </w:rPr>
        <w:t>.</w:t>
      </w:r>
      <w:r>
        <w:rPr>
          <w:rFonts w:eastAsia="Times New Roman" w:cs="Times New Roman"/>
          <w:szCs w:val="24"/>
        </w:rPr>
        <w:t xml:space="preserve"> </w:t>
      </w:r>
      <w:r w:rsidR="003C34FE">
        <w:rPr>
          <w:rFonts w:eastAsia="Times New Roman" w:cs="Times New Roman"/>
          <w:szCs w:val="24"/>
        </w:rPr>
        <w:t xml:space="preserve">Przyczyni się </w:t>
      </w:r>
      <w:r>
        <w:rPr>
          <w:rFonts w:eastAsia="Times New Roman" w:cs="Times New Roman"/>
          <w:szCs w:val="24"/>
        </w:rPr>
        <w:t>to</w:t>
      </w:r>
      <w:r w:rsidR="003C34FE">
        <w:rPr>
          <w:rFonts w:eastAsia="Times New Roman" w:cs="Times New Roman"/>
          <w:szCs w:val="24"/>
        </w:rPr>
        <w:t xml:space="preserve"> do dynamicznego wzrostu udziału odnawialnych źródeł energii w miksie energetycznym Polski. Im więcej odnawialnych źródeł energii w systemie, tym mniejsze zużycie węgla i gazu, co bezpośrednio przełoży się na poprawę bezpieczeństwa energetycznego Polski.</w:t>
      </w:r>
    </w:p>
    <w:p w14:paraId="395B6563" w14:textId="49894077" w:rsidR="003C34FE" w:rsidRDefault="003C34FE" w:rsidP="003C34FE">
      <w:pPr>
        <w:spacing w:after="200"/>
        <w:jc w:val="both"/>
        <w:rPr>
          <w:rFonts w:eastAsia="Times New Roman" w:cs="Times New Roman"/>
          <w:szCs w:val="24"/>
        </w:rPr>
      </w:pPr>
      <w:r>
        <w:rPr>
          <w:rFonts w:eastAsia="Times New Roman" w:cs="Times New Roman"/>
          <w:szCs w:val="24"/>
        </w:rPr>
        <w:tab/>
        <w:t>Regulacja zapewni również udział i ostateczne słowo w kwestii powstawania nowych elektrowni wiatrowych lokalnym społecznościom poprzez procedurę uchwalania miejscowych planów zagospodarowania przestrzennego przez rady gmin. W ten sposób chronione będą obszary chronionej przyrody i krajobrazu przed zniszczeniem lub zaburzeniem w wyniku budowy nowych elektrowni wiatrowych.</w:t>
      </w:r>
    </w:p>
    <w:p w14:paraId="024D6561" w14:textId="77777777" w:rsidR="003C34FE" w:rsidRDefault="003C34FE" w:rsidP="003C34FE">
      <w:pPr>
        <w:spacing w:after="200"/>
        <w:jc w:val="both"/>
        <w:rPr>
          <w:rFonts w:eastAsia="Times New Roman" w:cs="Times New Roman"/>
          <w:szCs w:val="24"/>
        </w:rPr>
      </w:pPr>
      <w:r>
        <w:rPr>
          <w:rFonts w:eastAsia="Times New Roman" w:cs="Times New Roman"/>
          <w:szCs w:val="24"/>
        </w:rPr>
        <w:tab/>
        <w:t xml:space="preserve">Regulacja przyczyni się również do podtrzymania obecnego trendu rozwoju fotowoltaiki, instalowanej przez osoby fizyczne i prawne na dachach domów i przedsiębiorstw. </w:t>
      </w:r>
      <w:r>
        <w:rPr>
          <w:rFonts w:eastAsia="Times New Roman" w:cs="Times New Roman"/>
          <w:szCs w:val="24"/>
        </w:rPr>
        <w:lastRenderedPageBreak/>
        <w:t>Od trzech lat tempo wzrostu mocy zainstalowanej w fotowoltaice jest niezwykle wysokie, co wynika z dotychczasowego preferencyjnego sposobu rozliczania prosumentów, którego obowiązywanie projektowana regulacja przedłuża do 2 lipca 2024 roku.</w:t>
      </w:r>
    </w:p>
    <w:p w14:paraId="4B86DFF3" w14:textId="77777777" w:rsidR="003C34FE" w:rsidRDefault="003C34FE" w:rsidP="003C34FE">
      <w:pPr>
        <w:spacing w:after="200"/>
        <w:jc w:val="both"/>
        <w:rPr>
          <w:rFonts w:eastAsia="Times New Roman" w:cs="Times New Roman"/>
          <w:b/>
          <w:szCs w:val="24"/>
        </w:rPr>
      </w:pPr>
      <w:r>
        <w:rPr>
          <w:rFonts w:eastAsia="Times New Roman" w:cs="Times New Roman"/>
          <w:b/>
          <w:szCs w:val="24"/>
        </w:rPr>
        <w:t>4. Wpływ regulacji na konkurencyjność gospodarki i przedsiębiorczość, w tym na funkcjonowanie przedsiębiorstw</w:t>
      </w:r>
    </w:p>
    <w:p w14:paraId="104A4313"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Regulacja zwiększa konkurencyjność gospodarki i ma pozytywny wpływ na przedsiębiorczość i funkcjonowanie przedsiębiorstw z branży lądowej energetyki wiatrowej oraz fotowoltaiki.</w:t>
      </w:r>
    </w:p>
    <w:p w14:paraId="0BFBE28F" w14:textId="77777777" w:rsidR="003C34FE" w:rsidRDefault="003C34FE" w:rsidP="003C34FE">
      <w:pPr>
        <w:spacing w:after="200"/>
        <w:jc w:val="both"/>
        <w:rPr>
          <w:rFonts w:eastAsia="Times New Roman" w:cs="Times New Roman"/>
          <w:b/>
          <w:szCs w:val="24"/>
        </w:rPr>
      </w:pPr>
      <w:r>
        <w:rPr>
          <w:rFonts w:eastAsia="Times New Roman" w:cs="Times New Roman"/>
          <w:b/>
          <w:szCs w:val="24"/>
        </w:rPr>
        <w:t>5. Źródła finansowania</w:t>
      </w:r>
    </w:p>
    <w:p w14:paraId="592F3355"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Projektowane rozwiązania nie wywołują skutków finansowych dla Skarbu Państwa i jednostek samorządu terytorialnego.</w:t>
      </w:r>
    </w:p>
    <w:p w14:paraId="02D1243E" w14:textId="77777777" w:rsidR="003C34FE" w:rsidRDefault="003C34FE" w:rsidP="003C34FE">
      <w:pPr>
        <w:spacing w:after="200"/>
        <w:jc w:val="both"/>
        <w:rPr>
          <w:rFonts w:eastAsia="Times New Roman" w:cs="Times New Roman"/>
          <w:b/>
          <w:szCs w:val="24"/>
        </w:rPr>
      </w:pPr>
      <w:r>
        <w:rPr>
          <w:rFonts w:eastAsia="Times New Roman" w:cs="Times New Roman"/>
          <w:b/>
          <w:szCs w:val="24"/>
        </w:rPr>
        <w:t>6. Założenia projektów podstawowych aktów wykonawczych</w:t>
      </w:r>
    </w:p>
    <w:p w14:paraId="2C680244"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Proponowany projekt ustawy nie wymaga wydania dodatkowych aktów wykonawczych.</w:t>
      </w:r>
    </w:p>
    <w:p w14:paraId="2D2BB6D6" w14:textId="77777777" w:rsidR="003C34FE" w:rsidRDefault="003C34FE" w:rsidP="003C34FE">
      <w:pPr>
        <w:spacing w:after="200"/>
        <w:jc w:val="both"/>
        <w:rPr>
          <w:rFonts w:eastAsia="Times New Roman" w:cs="Times New Roman"/>
          <w:b/>
          <w:szCs w:val="24"/>
        </w:rPr>
      </w:pPr>
      <w:r>
        <w:rPr>
          <w:rFonts w:eastAsia="Times New Roman" w:cs="Times New Roman"/>
          <w:b/>
          <w:szCs w:val="24"/>
        </w:rPr>
        <w:t>7. Oświadczenie o zgodności projektu ustawy z prawem Unii Europejskiej</w:t>
      </w:r>
    </w:p>
    <w:p w14:paraId="0111E8D7"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W ocenie projektodawców przedmiot projektowanej regulacji nie jest objęty prawem Unii Europejskiej i nie podlega procedurze notyfikacji w rozumieniu przepisów dotyczących notyfikacji norm i aktów prawnych.</w:t>
      </w:r>
    </w:p>
    <w:p w14:paraId="271E4351" w14:textId="77777777" w:rsidR="003C34FE" w:rsidRDefault="003C34FE" w:rsidP="003C34FE">
      <w:pPr>
        <w:spacing w:after="200"/>
        <w:jc w:val="both"/>
        <w:rPr>
          <w:rFonts w:eastAsia="Times New Roman" w:cs="Times New Roman"/>
          <w:b/>
          <w:szCs w:val="24"/>
        </w:rPr>
      </w:pPr>
      <w:r>
        <w:rPr>
          <w:rFonts w:eastAsia="Times New Roman" w:cs="Times New Roman"/>
          <w:b/>
          <w:szCs w:val="24"/>
        </w:rPr>
        <w:t>8. Zgodność z Konstytucją RP</w:t>
      </w:r>
    </w:p>
    <w:p w14:paraId="4F0951A5"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 xml:space="preserve">Proponowany projekt nie był poddany formalnym konsultacjom społecznym. </w:t>
      </w:r>
    </w:p>
    <w:p w14:paraId="338DF667" w14:textId="77777777" w:rsidR="003C34FE" w:rsidRDefault="003C34FE" w:rsidP="003C34FE">
      <w:pPr>
        <w:spacing w:after="200"/>
        <w:jc w:val="both"/>
        <w:rPr>
          <w:rFonts w:eastAsia="Times New Roman" w:cs="Times New Roman"/>
          <w:b/>
          <w:szCs w:val="24"/>
        </w:rPr>
      </w:pPr>
      <w:r>
        <w:rPr>
          <w:rFonts w:eastAsia="Times New Roman" w:cs="Times New Roman"/>
          <w:b/>
          <w:szCs w:val="24"/>
        </w:rPr>
        <w:t>9. Konsultacje społeczne</w:t>
      </w:r>
    </w:p>
    <w:p w14:paraId="6832AC46" w14:textId="77777777" w:rsidR="003C34FE" w:rsidRDefault="003C34FE" w:rsidP="003C34FE">
      <w:pPr>
        <w:spacing w:after="200"/>
        <w:ind w:firstLine="720"/>
        <w:jc w:val="both"/>
        <w:rPr>
          <w:rFonts w:eastAsia="Times New Roman" w:cs="Times New Roman"/>
          <w:szCs w:val="24"/>
        </w:rPr>
      </w:pPr>
      <w:r>
        <w:rPr>
          <w:rFonts w:eastAsia="Times New Roman" w:cs="Times New Roman"/>
          <w:szCs w:val="24"/>
        </w:rPr>
        <w:t>W ocenie projektodawcy przedstawiony projekt ustawy jest zgodny z Konstytucją RP.</w:t>
      </w:r>
    </w:p>
    <w:p w14:paraId="1A9A556B" w14:textId="77777777" w:rsidR="00DC55E5" w:rsidRDefault="00DC55E5" w:rsidP="003C34FE"/>
    <w:sectPr w:rsidR="00DC55E5" w:rsidSect="003C34FE">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E21C8" w14:textId="77777777" w:rsidR="008D5CE4" w:rsidRDefault="008D5CE4" w:rsidP="003C34FE">
      <w:pPr>
        <w:spacing w:line="240" w:lineRule="auto"/>
      </w:pPr>
      <w:r>
        <w:separator/>
      </w:r>
    </w:p>
  </w:endnote>
  <w:endnote w:type="continuationSeparator" w:id="0">
    <w:p w14:paraId="1685B6A9" w14:textId="77777777" w:rsidR="008D5CE4" w:rsidRDefault="008D5CE4" w:rsidP="003C34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2A9F0" w14:textId="77777777" w:rsidR="008D5CE4" w:rsidRDefault="008D5CE4" w:rsidP="003C34FE">
      <w:pPr>
        <w:spacing w:line="240" w:lineRule="auto"/>
      </w:pPr>
      <w:r>
        <w:separator/>
      </w:r>
    </w:p>
  </w:footnote>
  <w:footnote w:type="continuationSeparator" w:id="0">
    <w:p w14:paraId="1DE76186" w14:textId="77777777" w:rsidR="008D5CE4" w:rsidRDefault="008D5CE4" w:rsidP="003C34F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71F5F"/>
    <w:multiLevelType w:val="hybridMultilevel"/>
    <w:tmpl w:val="7074B166"/>
    <w:lvl w:ilvl="0" w:tplc="26F258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4FE"/>
    <w:rsid w:val="00294301"/>
    <w:rsid w:val="00352DFF"/>
    <w:rsid w:val="003C34FE"/>
    <w:rsid w:val="00534596"/>
    <w:rsid w:val="006036F1"/>
    <w:rsid w:val="00817682"/>
    <w:rsid w:val="008D5CE4"/>
    <w:rsid w:val="008E36D4"/>
    <w:rsid w:val="009F4845"/>
    <w:rsid w:val="00A44E5B"/>
    <w:rsid w:val="00B12F2B"/>
    <w:rsid w:val="00D47A11"/>
    <w:rsid w:val="00DC55E5"/>
    <w:rsid w:val="00F410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08B8"/>
  <w15:chartTrackingRefBased/>
  <w15:docId w15:val="{F582EF68-19A7-4184-8BF8-7A8256D6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34FE"/>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3C34FE"/>
    <w:pPr>
      <w:ind w:left="1497"/>
    </w:pPr>
  </w:style>
  <w:style w:type="character" w:styleId="Odwoanieprzypisudolnego">
    <w:name w:val="footnote reference"/>
    <w:uiPriority w:val="99"/>
    <w:semiHidden/>
    <w:rsid w:val="003C34FE"/>
    <w:rPr>
      <w:rFonts w:cs="Times New Roman"/>
      <w:vertAlign w:val="superscript"/>
    </w:rPr>
  </w:style>
  <w:style w:type="paragraph" w:customStyle="1" w:styleId="ARTartustawynprozporzdzenia">
    <w:name w:val="ART(§) – art. ustawy (§ np. rozporządzenia)"/>
    <w:uiPriority w:val="11"/>
    <w:qFormat/>
    <w:rsid w:val="003C34F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3C34FE"/>
    <w:pPr>
      <w:ind w:left="1020"/>
    </w:pPr>
  </w:style>
  <w:style w:type="paragraph" w:customStyle="1" w:styleId="ZARTzmartartykuempunktem">
    <w:name w:val="Z/ART(§) – zm. art. (§) artykułem (punktem)"/>
    <w:basedOn w:val="ARTartustawynprozporzdzenia"/>
    <w:uiPriority w:val="30"/>
    <w:qFormat/>
    <w:rsid w:val="003C34F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C34FE"/>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3C34FE"/>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3C34FE"/>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3C34FE"/>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C34FE"/>
    <w:pPr>
      <w:ind w:left="986" w:hanging="476"/>
    </w:pPr>
  </w:style>
  <w:style w:type="paragraph" w:customStyle="1" w:styleId="ZLITzmlitartykuempunktem">
    <w:name w:val="Z/LIT – zm. lit. artykułem (punktem)"/>
    <w:basedOn w:val="LITlitera"/>
    <w:uiPriority w:val="32"/>
    <w:qFormat/>
    <w:rsid w:val="003C34FE"/>
  </w:style>
  <w:style w:type="paragraph" w:customStyle="1" w:styleId="ZTYTDZPRZEDMzmprzedmtytuulubdziauartykuempunktem">
    <w:name w:val="Z/TYT(DZ)_PRZEDM – zm. przedm. tytułu lub działu artykułem (punktem)"/>
    <w:next w:val="ZARTzmartartykuempunktem"/>
    <w:uiPriority w:val="28"/>
    <w:qFormat/>
    <w:rsid w:val="003C34FE"/>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ROZDZODDZOZNzmoznrozdzoddzartykuempunktem">
    <w:name w:val="Z/ROZDZ(ODDZ)_OZN – zm. ozn. rozdz. (oddz.) artykułem (punktem)"/>
    <w:next w:val="Normalny"/>
    <w:uiPriority w:val="29"/>
    <w:qFormat/>
    <w:rsid w:val="003C34FE"/>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ODNONIKtreodnonika">
    <w:name w:val="ODNOŚNIK – treść odnośnika"/>
    <w:uiPriority w:val="19"/>
    <w:qFormat/>
    <w:rsid w:val="003C34FE"/>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3C34FE"/>
  </w:style>
  <w:style w:type="paragraph" w:customStyle="1" w:styleId="OZNPROJEKTUwskazaniedatylubwersjiprojektu">
    <w:name w:val="OZN_PROJEKTU – wskazanie daty lub wersji projektu"/>
    <w:next w:val="OZNRODZAKTUtznustawalubrozporzdzenieiorganwydajcy"/>
    <w:uiPriority w:val="5"/>
    <w:qFormat/>
    <w:rsid w:val="003C34FE"/>
    <w:pPr>
      <w:spacing w:after="0" w:line="360" w:lineRule="auto"/>
      <w:jc w:val="right"/>
    </w:pPr>
    <w:rPr>
      <w:rFonts w:ascii="Times New Roman" w:eastAsiaTheme="minorEastAsia" w:hAnsi="Times New Roman" w:cs="Arial"/>
      <w:sz w:val="24"/>
      <w:szCs w:val="20"/>
      <w:u w:val="single"/>
      <w:lang w:eastAsia="pl-PL"/>
    </w:rPr>
  </w:style>
  <w:style w:type="character" w:customStyle="1" w:styleId="IGindeksgrny">
    <w:name w:val="_IG_ – indeks górny"/>
    <w:basedOn w:val="Domylnaczcionkaakapitu"/>
    <w:uiPriority w:val="2"/>
    <w:qFormat/>
    <w:rsid w:val="003C34FE"/>
    <w:rPr>
      <w:b w:val="0"/>
      <w:i w:val="0"/>
      <w:vanish w:val="0"/>
      <w:spacing w:val="0"/>
      <w:vertAlign w:val="superscript"/>
    </w:rPr>
  </w:style>
  <w:style w:type="character" w:customStyle="1" w:styleId="Ppogrubienie">
    <w:name w:val="_P_ – pogrubienie"/>
    <w:basedOn w:val="Domylnaczcionkaakapitu"/>
    <w:uiPriority w:val="1"/>
    <w:qFormat/>
    <w:rsid w:val="003C34FE"/>
    <w:rPr>
      <w:b/>
    </w:rPr>
  </w:style>
  <w:style w:type="paragraph" w:styleId="Nagwek">
    <w:name w:val="header"/>
    <w:basedOn w:val="Normalny"/>
    <w:link w:val="NagwekZnak"/>
    <w:uiPriority w:val="99"/>
    <w:unhideWhenUsed/>
    <w:rsid w:val="003C34FE"/>
    <w:pPr>
      <w:tabs>
        <w:tab w:val="center" w:pos="4536"/>
        <w:tab w:val="right" w:pos="9072"/>
      </w:tabs>
      <w:spacing w:line="240" w:lineRule="auto"/>
    </w:pPr>
  </w:style>
  <w:style w:type="character" w:customStyle="1" w:styleId="NagwekZnak">
    <w:name w:val="Nagłówek Znak"/>
    <w:basedOn w:val="Domylnaczcionkaakapitu"/>
    <w:link w:val="Nagwek"/>
    <w:uiPriority w:val="99"/>
    <w:rsid w:val="003C34FE"/>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3C34FE"/>
    <w:pPr>
      <w:tabs>
        <w:tab w:val="center" w:pos="4536"/>
        <w:tab w:val="right" w:pos="9072"/>
      </w:tabs>
      <w:spacing w:line="240" w:lineRule="auto"/>
    </w:pPr>
  </w:style>
  <w:style w:type="character" w:customStyle="1" w:styleId="StopkaZnak">
    <w:name w:val="Stopka Znak"/>
    <w:basedOn w:val="Domylnaczcionkaakapitu"/>
    <w:link w:val="Stopka"/>
    <w:uiPriority w:val="99"/>
    <w:rsid w:val="003C34FE"/>
    <w:rPr>
      <w:rFonts w:ascii="Times New Roman" w:eastAsiaTheme="minorEastAsia" w:hAnsi="Times New Roman" w:cs="Arial"/>
      <w:sz w:val="24"/>
      <w:szCs w:val="20"/>
      <w:lang w:eastAsia="pl-PL"/>
    </w:rPr>
  </w:style>
  <w:style w:type="paragraph" w:styleId="Akapitzlist">
    <w:name w:val="List Paragraph"/>
    <w:basedOn w:val="Normalny"/>
    <w:uiPriority w:val="34"/>
    <w:qFormat/>
    <w:rsid w:val="00294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0321B-FED1-4890-ADBB-F5854CA2C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1860</Words>
  <Characters>11163</Characters>
  <Application>Microsoft Office Word</Application>
  <DocSecurity>0</DocSecurity>
  <Lines>93</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Grzegorz Molesztak</cp:lastModifiedBy>
  <cp:revision>3</cp:revision>
  <cp:lastPrinted>2022-03-03T08:44:00Z</cp:lastPrinted>
  <dcterms:created xsi:type="dcterms:W3CDTF">2022-03-04T09:54:00Z</dcterms:created>
  <dcterms:modified xsi:type="dcterms:W3CDTF">2022-06-08T10:01:00Z</dcterms:modified>
</cp:coreProperties>
</file>