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678F0" w14:textId="77777777" w:rsidR="00696752" w:rsidRPr="00FE30DC" w:rsidRDefault="00696752" w:rsidP="00FE30DC">
      <w:pPr>
        <w:spacing w:before="120" w:after="0" w:line="360" w:lineRule="auto"/>
        <w:jc w:val="center"/>
        <w:rPr>
          <w:rFonts w:ascii="Times New Roman" w:eastAsia="Times New Roman" w:hAnsi="Times New Roman" w:cs="Times New Roman"/>
          <w:bCs/>
          <w:color w:val="000000" w:themeColor="text1"/>
          <w:sz w:val="24"/>
          <w:szCs w:val="24"/>
        </w:rPr>
      </w:pPr>
      <w:bookmarkStart w:id="0" w:name="_GoBack"/>
      <w:bookmarkEnd w:id="0"/>
      <w:r w:rsidRPr="00FE30DC">
        <w:rPr>
          <w:rFonts w:ascii="Times New Roman" w:eastAsia="Times New Roman" w:hAnsi="Times New Roman" w:cs="Times New Roman"/>
          <w:bCs/>
          <w:color w:val="000000" w:themeColor="text1"/>
          <w:sz w:val="24"/>
          <w:szCs w:val="24"/>
        </w:rPr>
        <w:t>UZASADNIENIE</w:t>
      </w:r>
    </w:p>
    <w:p w14:paraId="4D7A65E1" w14:textId="6EA24808"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Zmiany zaproponowane w projekcie ustawy zakładają zreformowanie obszaru regulacji dotyczących odszkodowania za wywłaszczenie nieruchomości w celu zapewnienia zgodności </w:t>
      </w:r>
      <w:r w:rsidR="007617D5">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w wyższym niż obecnie stopniu – z konstytucyjną zasadą słusznego odszkodowania, określoną w przepisie art. 21 ust. 2 Konstytucji RP. Zakres przedmiotowy opracowywanych zmian obejmuje wszystkie przypadki wywłaszczenia nieruchomości na cel publiczny – bez znaczenia pozostaje przy tym, czy następują one w oparciu o ogólne podstawy prawne, czy też na podstawie tzw. specustaw inwestycyjnych.</w:t>
      </w:r>
    </w:p>
    <w:p w14:paraId="00F6A602" w14:textId="3F7AFFA0" w:rsidR="00540D98" w:rsidRPr="00FE30DC" w:rsidRDefault="00540D98" w:rsidP="00FE30DC">
      <w:pPr>
        <w:pStyle w:val="Akapitzlist"/>
        <w:numPr>
          <w:ilvl w:val="0"/>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b/>
          <w:bCs/>
          <w:color w:val="000000" w:themeColor="text1"/>
          <w:sz w:val="24"/>
          <w:szCs w:val="24"/>
        </w:rPr>
        <w:t>Obowiązujący stan prawny</w:t>
      </w:r>
    </w:p>
    <w:p w14:paraId="101E2332" w14:textId="618C3F68" w:rsidR="00540D98"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Zasadnicze regulacje prawne dotyczące odszkodowania za wywłaszczenie nieruchomości </w:t>
      </w:r>
      <w:r w:rsidR="00C467C5" w:rsidRPr="00FE30DC">
        <w:rPr>
          <w:rFonts w:ascii="Times New Roman" w:eastAsia="Times New Roman" w:hAnsi="Times New Roman" w:cs="Times New Roman"/>
          <w:color w:val="000000" w:themeColor="text1"/>
          <w:sz w:val="24"/>
          <w:szCs w:val="24"/>
        </w:rPr>
        <w:t xml:space="preserve">są </w:t>
      </w:r>
      <w:r w:rsidRPr="00FE30DC">
        <w:rPr>
          <w:rFonts w:ascii="Times New Roman" w:eastAsia="Times New Roman" w:hAnsi="Times New Roman" w:cs="Times New Roman"/>
          <w:color w:val="000000" w:themeColor="text1"/>
          <w:sz w:val="24"/>
          <w:szCs w:val="24"/>
        </w:rPr>
        <w:t xml:space="preserve">zawarte w ustawie z dnia 21 sierpnia 1997 r. o gospodarce nieruchomościami (dalej </w:t>
      </w:r>
      <w:r w:rsidR="000F1A0B" w:rsidRPr="00495771">
        <w:rPr>
          <w:rFonts w:ascii="Times New Roman" w:eastAsia="Times New Roman" w:hAnsi="Times New Roman" w:cs="Times New Roman"/>
          <w:i/>
          <w:iCs/>
          <w:color w:val="000000" w:themeColor="text1"/>
          <w:sz w:val="24"/>
          <w:szCs w:val="24"/>
        </w:rPr>
        <w:t>„</w:t>
      </w:r>
      <w:r w:rsidRPr="00495771">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Regulacje te są ponadto stosowane – przez odpowiednie odesłania </w:t>
      </w:r>
      <w:r w:rsidR="007617D5">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w przypadku dokonywania wywłaszczenia na podstawie specustaw inwestycyjnych. </w:t>
      </w:r>
    </w:p>
    <w:p w14:paraId="5544B9E0" w14:textId="5CB98254" w:rsidR="00540D98" w:rsidRPr="00FE30DC" w:rsidRDefault="00540D98"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Zgodnie z art. 128 ust. 1 </w:t>
      </w:r>
      <w:r w:rsidRPr="00495771">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wywłaszczenie własności nieruchomości, użytkowania wieczystego lub innego prawa rzeczowego następuje za odszkodowaniem na rzecz osoby wywłaszczonej odpowiadającym wartości tych praw. Zgodnie z utrwaloną linią orzeczniczą sądów administracyjnych:</w:t>
      </w:r>
    </w:p>
    <w:p w14:paraId="0E4D2914" w14:textId="32C77ACA" w:rsidR="00540D98" w:rsidRPr="00FE30DC" w:rsidRDefault="00540D98" w:rsidP="00FE30DC">
      <w:pPr>
        <w:pStyle w:val="Akapitzlist"/>
        <w:numPr>
          <w:ilvl w:val="0"/>
          <w:numId w:val="4"/>
        </w:num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i/>
          <w:iCs/>
          <w:color w:val="000000" w:themeColor="text1"/>
          <w:sz w:val="24"/>
          <w:szCs w:val="24"/>
        </w:rPr>
        <w:t xml:space="preserve">„Odszkodowanie za wywłaszczoną nieruchomość ustala się wg wartości nieruchomości, a nie szkody, jaką poniesie skarżący wskutek wywłaszczenia.” </w:t>
      </w:r>
      <w:r w:rsidRPr="00FE30DC">
        <w:rPr>
          <w:rFonts w:ascii="Times New Roman" w:eastAsia="Times New Roman" w:hAnsi="Times New Roman" w:cs="Times New Roman"/>
          <w:color w:val="000000" w:themeColor="text1"/>
          <w:sz w:val="24"/>
          <w:szCs w:val="24"/>
        </w:rPr>
        <w:t>(I</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 xml:space="preserve">SA/Wa 263/07 - wyrok WSA </w:t>
      </w:r>
      <w:r w:rsidR="002E7C14">
        <w:rPr>
          <w:rFonts w:ascii="Times New Roman" w:eastAsia="Times New Roman" w:hAnsi="Times New Roman" w:cs="Times New Roman"/>
          <w:color w:val="000000" w:themeColor="text1"/>
          <w:sz w:val="24"/>
          <w:szCs w:val="24"/>
        </w:rPr>
        <w:t xml:space="preserve">w </w:t>
      </w:r>
      <w:r w:rsidRPr="00FE30DC">
        <w:rPr>
          <w:rFonts w:ascii="Times New Roman" w:eastAsia="Times New Roman" w:hAnsi="Times New Roman" w:cs="Times New Roman"/>
          <w:color w:val="000000" w:themeColor="text1"/>
          <w:sz w:val="24"/>
          <w:szCs w:val="24"/>
        </w:rPr>
        <w:t>Warszaw</w:t>
      </w:r>
      <w:r w:rsidR="002E7C14">
        <w:rPr>
          <w:rFonts w:ascii="Times New Roman" w:eastAsia="Times New Roman" w:hAnsi="Times New Roman" w:cs="Times New Roman"/>
          <w:color w:val="000000" w:themeColor="text1"/>
          <w:sz w:val="24"/>
          <w:szCs w:val="24"/>
        </w:rPr>
        <w:t>ie</w:t>
      </w:r>
      <w:r w:rsidRPr="00FE30DC">
        <w:rPr>
          <w:rFonts w:ascii="Times New Roman" w:eastAsia="Times New Roman" w:hAnsi="Times New Roman" w:cs="Times New Roman"/>
          <w:color w:val="000000" w:themeColor="text1"/>
          <w:sz w:val="24"/>
          <w:szCs w:val="24"/>
        </w:rPr>
        <w:t xml:space="preserve"> z dnia 26</w:t>
      </w:r>
      <w:r w:rsidR="006E771E" w:rsidRPr="00FE30DC">
        <w:rPr>
          <w:rFonts w:ascii="Times New Roman" w:eastAsia="Times New Roman" w:hAnsi="Times New Roman" w:cs="Times New Roman"/>
          <w:color w:val="000000" w:themeColor="text1"/>
          <w:sz w:val="24"/>
          <w:szCs w:val="24"/>
        </w:rPr>
        <w:t xml:space="preserve"> lipca </w:t>
      </w:r>
      <w:r w:rsidRPr="00FE30DC">
        <w:rPr>
          <w:rFonts w:ascii="Times New Roman" w:eastAsia="Times New Roman" w:hAnsi="Times New Roman" w:cs="Times New Roman"/>
          <w:color w:val="000000" w:themeColor="text1"/>
          <w:sz w:val="24"/>
          <w:szCs w:val="24"/>
        </w:rPr>
        <w:t>2007</w:t>
      </w:r>
      <w:r w:rsidR="006E771E" w:rsidRPr="00FE30DC">
        <w:rPr>
          <w:rFonts w:ascii="Times New Roman" w:eastAsia="Times New Roman" w:hAnsi="Times New Roman" w:cs="Times New Roman"/>
          <w:color w:val="000000" w:themeColor="text1"/>
          <w:sz w:val="24"/>
          <w:szCs w:val="24"/>
        </w:rPr>
        <w:t xml:space="preserve"> r.</w:t>
      </w:r>
      <w:r w:rsidRPr="00FE30DC">
        <w:rPr>
          <w:rFonts w:ascii="Times New Roman" w:eastAsia="Times New Roman" w:hAnsi="Times New Roman" w:cs="Times New Roman"/>
          <w:color w:val="000000" w:themeColor="text1"/>
          <w:sz w:val="24"/>
          <w:szCs w:val="24"/>
        </w:rPr>
        <w:t>)</w:t>
      </w:r>
      <w:r w:rsidR="00495771">
        <w:rPr>
          <w:rFonts w:ascii="Times New Roman" w:eastAsia="Times New Roman" w:hAnsi="Times New Roman" w:cs="Times New Roman"/>
          <w:color w:val="000000" w:themeColor="text1"/>
          <w:sz w:val="24"/>
          <w:szCs w:val="24"/>
        </w:rPr>
        <w:t>,</w:t>
      </w:r>
    </w:p>
    <w:p w14:paraId="32942BF2" w14:textId="29BE628A" w:rsidR="00540D98" w:rsidRPr="00FE30DC" w:rsidRDefault="00540D98" w:rsidP="00FE30DC">
      <w:pPr>
        <w:pStyle w:val="Akapitzlist"/>
        <w:numPr>
          <w:ilvl w:val="0"/>
          <w:numId w:val="4"/>
        </w:num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i/>
          <w:iCs/>
          <w:color w:val="000000" w:themeColor="text1"/>
          <w:sz w:val="24"/>
          <w:szCs w:val="24"/>
        </w:rPr>
        <w:t>„Utrata dochodów z nieruchomości i spodziewanych zysków nie są objęte dyspozycją art. 128 ustawy o gospodarce nieruchomościami. Tym samym ewentualna szkoda nie mogła być objęta ani operatem szacunkowym,</w:t>
      </w:r>
      <w:r w:rsidR="00FE30DC">
        <w:rPr>
          <w:rFonts w:ascii="Times New Roman" w:eastAsia="Times New Roman" w:hAnsi="Times New Roman" w:cs="Times New Roman"/>
          <w:i/>
          <w:iCs/>
          <w:color w:val="000000" w:themeColor="text1"/>
          <w:sz w:val="24"/>
          <w:szCs w:val="24"/>
        </w:rPr>
        <w:t xml:space="preserve"> ani decyzją o wywłaszczeniu. W </w:t>
      </w:r>
      <w:r w:rsidRPr="00FE30DC">
        <w:rPr>
          <w:rFonts w:ascii="Times New Roman" w:eastAsia="Times New Roman" w:hAnsi="Times New Roman" w:cs="Times New Roman"/>
          <w:i/>
          <w:iCs/>
          <w:color w:val="000000" w:themeColor="text1"/>
          <w:sz w:val="24"/>
          <w:szCs w:val="24"/>
        </w:rPr>
        <w:t>związku z powyższym należy przyjąć, że wartość wywłaszczonej nieruchomości ustalana na dzień wydania decyzji o wywłaszczeniu jest jedyną formą wyrównania strat w majątku wywłaszczonego.”</w:t>
      </w:r>
      <w:r w:rsidRPr="00FE30DC">
        <w:rPr>
          <w:rFonts w:ascii="Times New Roman" w:eastAsia="Times New Roman" w:hAnsi="Times New Roman" w:cs="Times New Roman"/>
          <w:color w:val="000000" w:themeColor="text1"/>
          <w:sz w:val="24"/>
          <w:szCs w:val="24"/>
        </w:rPr>
        <w:t xml:space="preserve"> (I OSK 860/08 – wyrok NSA z dnia 4</w:t>
      </w:r>
      <w:r w:rsidR="006E771E" w:rsidRPr="00FE30DC">
        <w:rPr>
          <w:rFonts w:ascii="Times New Roman" w:eastAsia="Times New Roman" w:hAnsi="Times New Roman" w:cs="Times New Roman"/>
          <w:color w:val="000000" w:themeColor="text1"/>
          <w:sz w:val="24"/>
          <w:szCs w:val="24"/>
        </w:rPr>
        <w:t xml:space="preserve"> czerwca </w:t>
      </w:r>
      <w:r w:rsidRPr="00FE30DC">
        <w:rPr>
          <w:rFonts w:ascii="Times New Roman" w:eastAsia="Times New Roman" w:hAnsi="Times New Roman" w:cs="Times New Roman"/>
          <w:color w:val="000000" w:themeColor="text1"/>
          <w:sz w:val="24"/>
          <w:szCs w:val="24"/>
        </w:rPr>
        <w:t>2009</w:t>
      </w:r>
      <w:r w:rsidR="006E771E" w:rsidRPr="00FE30DC">
        <w:rPr>
          <w:rFonts w:ascii="Times New Roman" w:eastAsia="Times New Roman" w:hAnsi="Times New Roman" w:cs="Times New Roman"/>
          <w:color w:val="000000" w:themeColor="text1"/>
          <w:sz w:val="24"/>
          <w:szCs w:val="24"/>
        </w:rPr>
        <w:t xml:space="preserve"> r.</w:t>
      </w:r>
      <w:r w:rsidRPr="00FE30DC">
        <w:rPr>
          <w:rFonts w:ascii="Times New Roman" w:eastAsia="Times New Roman" w:hAnsi="Times New Roman" w:cs="Times New Roman"/>
          <w:color w:val="000000" w:themeColor="text1"/>
          <w:sz w:val="24"/>
          <w:szCs w:val="24"/>
        </w:rPr>
        <w:t>)</w:t>
      </w:r>
      <w:r w:rsidR="00495771">
        <w:rPr>
          <w:rFonts w:ascii="Times New Roman" w:eastAsia="Times New Roman" w:hAnsi="Times New Roman" w:cs="Times New Roman"/>
          <w:color w:val="000000" w:themeColor="text1"/>
          <w:sz w:val="24"/>
          <w:szCs w:val="24"/>
        </w:rPr>
        <w:t>,</w:t>
      </w:r>
    </w:p>
    <w:p w14:paraId="68CED5E8" w14:textId="07D702BB" w:rsidR="00540D98" w:rsidRPr="00FE30DC" w:rsidRDefault="00540D98" w:rsidP="00FE30DC">
      <w:pPr>
        <w:pStyle w:val="Akapitzlist"/>
        <w:numPr>
          <w:ilvl w:val="0"/>
          <w:numId w:val="4"/>
        </w:numPr>
        <w:spacing w:before="120" w:after="0" w:line="360" w:lineRule="auto"/>
        <w:jc w:val="both"/>
        <w:rPr>
          <w:rFonts w:ascii="Times New Roman" w:eastAsia="Times New Roman" w:hAnsi="Times New Roman" w:cs="Times New Roman"/>
          <w:i/>
          <w:iCs/>
          <w:color w:val="000000" w:themeColor="text1"/>
          <w:sz w:val="24"/>
          <w:szCs w:val="24"/>
        </w:rPr>
      </w:pPr>
      <w:r w:rsidRPr="00FE30DC">
        <w:rPr>
          <w:rFonts w:ascii="Times New Roman" w:eastAsia="Times New Roman" w:hAnsi="Times New Roman" w:cs="Times New Roman"/>
          <w:i/>
          <w:iCs/>
          <w:color w:val="000000" w:themeColor="text1"/>
          <w:sz w:val="24"/>
          <w:szCs w:val="24"/>
        </w:rPr>
        <w:t>„Odszkodowanie za wywłaszczoną nieruchomość</w:t>
      </w:r>
      <w:r w:rsidR="00FE30DC">
        <w:rPr>
          <w:rFonts w:ascii="Times New Roman" w:eastAsia="Times New Roman" w:hAnsi="Times New Roman" w:cs="Times New Roman"/>
          <w:i/>
          <w:iCs/>
          <w:color w:val="000000" w:themeColor="text1"/>
          <w:sz w:val="24"/>
          <w:szCs w:val="24"/>
        </w:rPr>
        <w:t>, przyznawane stosownie do art. </w:t>
      </w:r>
      <w:r w:rsidRPr="00FE30DC">
        <w:rPr>
          <w:rFonts w:ascii="Times New Roman" w:eastAsia="Times New Roman" w:hAnsi="Times New Roman" w:cs="Times New Roman"/>
          <w:i/>
          <w:iCs/>
          <w:color w:val="000000" w:themeColor="text1"/>
          <w:sz w:val="24"/>
          <w:szCs w:val="24"/>
        </w:rPr>
        <w:t xml:space="preserve">128 ust. 1 ustawy z dnia 21 sierpnia 1997 r. o gospodarce nieruchomościami w trybie postępowania administracyjnego, stanowi w istocie ekwiwalent wynagrodzenia za pozbawienie w sposób władczy, właściwy dla stosunków administracyjnoprawnych, własności nieruchomości (użytkowania wieczystego lub innego ograniczonego prawa </w:t>
      </w:r>
      <w:r w:rsidRPr="00FE30DC">
        <w:rPr>
          <w:rFonts w:ascii="Times New Roman" w:eastAsia="Times New Roman" w:hAnsi="Times New Roman" w:cs="Times New Roman"/>
          <w:i/>
          <w:iCs/>
          <w:color w:val="000000" w:themeColor="text1"/>
          <w:sz w:val="24"/>
          <w:szCs w:val="24"/>
        </w:rPr>
        <w:lastRenderedPageBreak/>
        <w:t xml:space="preserve">rzeczowego). Ten ekwiwalent nie stanowi wyrównania szkody za działanie bezprawne, ale wyrównanie uszczerbku majątkowego związanego z mającym podstawy prawne działaniem administracji publicznej. Odszkodowanie za wywłaszczenie pełni funkcje analogiczne do ceny nabycia nieruchomości, ustalanej w formie konsensu w wypadku powodzenia rokowań opartych na podstawie art. 114 wskazanej ustawy.” </w:t>
      </w:r>
      <w:r w:rsidRPr="00FE30DC">
        <w:rPr>
          <w:rFonts w:ascii="Times New Roman" w:eastAsia="Times New Roman" w:hAnsi="Times New Roman" w:cs="Times New Roman"/>
          <w:color w:val="000000" w:themeColor="text1"/>
          <w:sz w:val="24"/>
          <w:szCs w:val="24"/>
        </w:rPr>
        <w:t xml:space="preserve">(II SA/Gd 612/19 – wyrok WSA </w:t>
      </w:r>
      <w:r w:rsidR="002E7C14">
        <w:rPr>
          <w:rFonts w:ascii="Times New Roman" w:eastAsia="Times New Roman" w:hAnsi="Times New Roman" w:cs="Times New Roman"/>
          <w:color w:val="000000" w:themeColor="text1"/>
          <w:sz w:val="24"/>
          <w:szCs w:val="24"/>
        </w:rPr>
        <w:t xml:space="preserve">w </w:t>
      </w:r>
      <w:r w:rsidRPr="00FE30DC">
        <w:rPr>
          <w:rFonts w:ascii="Times New Roman" w:eastAsia="Times New Roman" w:hAnsi="Times New Roman" w:cs="Times New Roman"/>
          <w:color w:val="000000" w:themeColor="text1"/>
          <w:sz w:val="24"/>
          <w:szCs w:val="24"/>
        </w:rPr>
        <w:t>Gdańsk</w:t>
      </w:r>
      <w:r w:rsidR="002E7C14">
        <w:rPr>
          <w:rFonts w:ascii="Times New Roman" w:eastAsia="Times New Roman" w:hAnsi="Times New Roman" w:cs="Times New Roman"/>
          <w:color w:val="000000" w:themeColor="text1"/>
          <w:sz w:val="24"/>
          <w:szCs w:val="24"/>
        </w:rPr>
        <w:t>u</w:t>
      </w:r>
      <w:r w:rsidRPr="00FE30DC">
        <w:rPr>
          <w:rFonts w:ascii="Times New Roman" w:eastAsia="Times New Roman" w:hAnsi="Times New Roman" w:cs="Times New Roman"/>
          <w:color w:val="000000" w:themeColor="text1"/>
          <w:sz w:val="24"/>
          <w:szCs w:val="24"/>
        </w:rPr>
        <w:t xml:space="preserve"> z dnia 4</w:t>
      </w:r>
      <w:r w:rsidR="006E771E" w:rsidRPr="00FE30DC">
        <w:rPr>
          <w:rFonts w:ascii="Times New Roman" w:eastAsia="Times New Roman" w:hAnsi="Times New Roman" w:cs="Times New Roman"/>
          <w:color w:val="000000" w:themeColor="text1"/>
          <w:sz w:val="24"/>
          <w:szCs w:val="24"/>
        </w:rPr>
        <w:t xml:space="preserve"> marca </w:t>
      </w:r>
      <w:r w:rsidRPr="00FE30DC">
        <w:rPr>
          <w:rFonts w:ascii="Times New Roman" w:eastAsia="Times New Roman" w:hAnsi="Times New Roman" w:cs="Times New Roman"/>
          <w:color w:val="000000" w:themeColor="text1"/>
          <w:sz w:val="24"/>
          <w:szCs w:val="24"/>
        </w:rPr>
        <w:t>2020</w:t>
      </w:r>
      <w:r w:rsidR="006E771E" w:rsidRPr="00FE30DC">
        <w:rPr>
          <w:rFonts w:ascii="Times New Roman" w:eastAsia="Times New Roman" w:hAnsi="Times New Roman" w:cs="Times New Roman"/>
          <w:color w:val="000000" w:themeColor="text1"/>
          <w:sz w:val="24"/>
          <w:szCs w:val="24"/>
        </w:rPr>
        <w:t xml:space="preserve"> r.</w:t>
      </w:r>
      <w:r w:rsidRPr="00FE30DC">
        <w:rPr>
          <w:rFonts w:ascii="Times New Roman" w:eastAsia="Times New Roman" w:hAnsi="Times New Roman" w:cs="Times New Roman"/>
          <w:color w:val="000000" w:themeColor="text1"/>
          <w:sz w:val="24"/>
          <w:szCs w:val="24"/>
        </w:rPr>
        <w:t>).</w:t>
      </w:r>
    </w:p>
    <w:p w14:paraId="7226CEF6" w14:textId="31C63611"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Kluczową regulacją dotyczącą ustalenia wysokości odszkodowania jest przepis art. 134 </w:t>
      </w:r>
      <w:r w:rsidRPr="00495771">
        <w:rPr>
          <w:rFonts w:ascii="Times New Roman" w:eastAsia="Times New Roman" w:hAnsi="Times New Roman" w:cs="Times New Roman"/>
          <w:i/>
          <w:iCs/>
          <w:color w:val="000000" w:themeColor="text1"/>
          <w:sz w:val="24"/>
          <w:szCs w:val="24"/>
        </w:rPr>
        <w:t>ugn</w:t>
      </w:r>
      <w:r w:rsidRPr="00495771">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definiujący sposób określania wartości rynkowej nieruchomości jako podstawy ustalenia odszkodowania za wywłaszczenie. Zgodnie z art. 134 ust. 1 i 2 podstawę ustalenia wysokości odszkodowania stanowi co do zasady wartość rynkowa nieruchomości, zaś przy jej określaniu uwzględnia się w szczególności jej rodzaj, położenie, sposób użytkowania, przeznaczenie, stan nieruchomości oraz aktualnie kształtujące się ceny w obrocie nieruchomościami. Przepisy ust.</w:t>
      </w:r>
      <w:r w:rsidR="007617D5">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 xml:space="preserve">3 i 4 ustanawiają tzw. zasadę korzyści, zgodnie z którą w procesie określania odszkodowania wartość nieruchomości określa się według aktualnego sposobu jej użytkowania, jeżeli przeznaczenie nieruchomości, zgodne z celem wywłaszczenia, nie powoduje zwiększenia jej wartości </w:t>
      </w:r>
      <w:r w:rsidR="007617D5">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jeżeli jednak przeznaczenie nieruchomości, zgodne z</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celem wywłaszczenia, powoduje zwiększenie jej wartości, wartość nieruchomości dla celów odszkodowania określa się według alternatywnego sposobu użytkowania wynikającego z tego przeznaczenia.</w:t>
      </w:r>
    </w:p>
    <w:p w14:paraId="193E17C7" w14:textId="71AE8F5F" w:rsidR="00540D98" w:rsidRDefault="00540D98"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Obowiązujące regulacje prawne dotyczące odszkodowania za wywłaszczenie podlegają negatywnej ocenie doktrynalnej, wskazuje się m.in., że błędne jest założenie o stworzeniu w</w:t>
      </w:r>
      <w:r w:rsidR="00D51842"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wyniku przeznaczenia nieruchomości na cel publiczny jakiejkolwiek korzyści inwestycyjnej dla jej właściciela. Skutkiem takiego przeznaczenia jest w to miejsce po pierwsze zamrożenie inwestycyjne nieruchomości (z możliwością skorzystania z określonych roszczeń, wynikających m.in. z art. 36 ust. 1 ustawy z dnia 27 marca 2003 r. o planowaniu i</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 xml:space="preserve">zagospodarowaniu przestrzennym), po drugie zaś skutek w postaci wywłaszczenia nieruchomości przez określony podmiot publicznoprawny. </w:t>
      </w:r>
      <w:r w:rsidR="008F21F7" w:rsidRPr="00FE30DC">
        <w:rPr>
          <w:rFonts w:ascii="Times New Roman" w:eastAsia="Times New Roman" w:hAnsi="Times New Roman" w:cs="Times New Roman"/>
          <w:color w:val="000000" w:themeColor="text1"/>
          <w:sz w:val="24"/>
          <w:szCs w:val="24"/>
        </w:rPr>
        <w:t>W praktyce obrotu prawnego niejednoznaczny charakter przepisów dotyczących zasady korzyści (również w zakresie rozporządzenia Rady Ministrów z dnia 21 września 2004 r. w sprawie wyceny nieruchomości i sporządzania operatu szacunkowego (Dz.</w:t>
      </w:r>
      <w:r w:rsidR="00EF63E6" w:rsidRPr="00FE30DC">
        <w:rPr>
          <w:rFonts w:ascii="Times New Roman" w:eastAsia="Times New Roman" w:hAnsi="Times New Roman" w:cs="Times New Roman"/>
          <w:color w:val="000000" w:themeColor="text1"/>
          <w:sz w:val="24"/>
          <w:szCs w:val="24"/>
        </w:rPr>
        <w:t xml:space="preserve"> </w:t>
      </w:r>
      <w:r w:rsidR="008F21F7" w:rsidRPr="00FE30DC">
        <w:rPr>
          <w:rFonts w:ascii="Times New Roman" w:eastAsia="Times New Roman" w:hAnsi="Times New Roman" w:cs="Times New Roman"/>
          <w:color w:val="000000" w:themeColor="text1"/>
          <w:sz w:val="24"/>
          <w:szCs w:val="24"/>
        </w:rPr>
        <w:t xml:space="preserve">U. z 2021 r. poz. 555)) prowadzi do nieuzasadnionego różnicowania sytuacji prawnej adresatów norm ustawowych, przez przyznawanie istotnie różniących się co do wysokości odszkodowań w porównywalnych stanach faktycznych (więcej w zakresie prawnej oceny zasady korzyści – M. Wolanin, M. </w:t>
      </w:r>
      <w:r w:rsidR="008F21F7" w:rsidRPr="00FE30DC">
        <w:rPr>
          <w:rFonts w:ascii="Times New Roman" w:eastAsia="Times New Roman" w:hAnsi="Times New Roman" w:cs="Times New Roman"/>
          <w:color w:val="000000" w:themeColor="text1"/>
          <w:sz w:val="24"/>
          <w:szCs w:val="24"/>
        </w:rPr>
        <w:lastRenderedPageBreak/>
        <w:t>Gdesz – Zasada korzyści w wycenie nieruchomości przeznaczonych na cele publiczne, Nieruchomości Nr 2/2022, Wyd. CH Beck).</w:t>
      </w:r>
    </w:p>
    <w:p w14:paraId="2EBEB1FF" w14:textId="77777777" w:rsidR="004324C9" w:rsidRPr="00FE30DC" w:rsidRDefault="004324C9" w:rsidP="00FE30DC">
      <w:pPr>
        <w:spacing w:before="120" w:after="0" w:line="360" w:lineRule="auto"/>
        <w:jc w:val="both"/>
        <w:rPr>
          <w:rFonts w:ascii="Times New Roman" w:eastAsia="Times New Roman" w:hAnsi="Times New Roman" w:cs="Times New Roman"/>
          <w:color w:val="000000" w:themeColor="text1"/>
          <w:sz w:val="24"/>
          <w:szCs w:val="24"/>
        </w:rPr>
      </w:pPr>
    </w:p>
    <w:p w14:paraId="00245EC8" w14:textId="7DA9D2D1" w:rsidR="00540D98" w:rsidRPr="00FE30DC" w:rsidRDefault="00540D98" w:rsidP="00FE30DC">
      <w:pPr>
        <w:pStyle w:val="Akapitzlist"/>
        <w:numPr>
          <w:ilvl w:val="0"/>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b/>
          <w:bCs/>
          <w:color w:val="000000" w:themeColor="text1"/>
          <w:sz w:val="24"/>
          <w:szCs w:val="24"/>
        </w:rPr>
        <w:t>Ustawa o gospodarce nieruchomościami</w:t>
      </w:r>
    </w:p>
    <w:p w14:paraId="1831F49D" w14:textId="3A5B9179" w:rsidR="00E05B16" w:rsidRPr="00FE30DC" w:rsidRDefault="00E05B16" w:rsidP="00FE30DC">
      <w:pPr>
        <w:pStyle w:val="Akapitzlist"/>
        <w:numPr>
          <w:ilvl w:val="1"/>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b/>
          <w:bCs/>
          <w:color w:val="000000" w:themeColor="text1"/>
          <w:sz w:val="24"/>
          <w:szCs w:val="24"/>
        </w:rPr>
        <w:t xml:space="preserve"> Zniesienie tzw. zasady korzyści</w:t>
      </w:r>
    </w:p>
    <w:p w14:paraId="77469C8F" w14:textId="67103AA4" w:rsidR="008F21F7" w:rsidRPr="00495771"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Projektowana </w:t>
      </w:r>
      <w:r w:rsidR="00540D98" w:rsidRPr="00FE30DC">
        <w:rPr>
          <w:rFonts w:ascii="Times New Roman" w:eastAsia="Times New Roman" w:hAnsi="Times New Roman" w:cs="Times New Roman"/>
          <w:color w:val="000000" w:themeColor="text1"/>
          <w:sz w:val="24"/>
          <w:szCs w:val="24"/>
        </w:rPr>
        <w:t xml:space="preserve">ustawa </w:t>
      </w:r>
      <w:r w:rsidRPr="00FE30DC">
        <w:rPr>
          <w:rFonts w:ascii="Times New Roman" w:eastAsia="Times New Roman" w:hAnsi="Times New Roman" w:cs="Times New Roman"/>
          <w:color w:val="000000" w:themeColor="text1"/>
          <w:sz w:val="24"/>
          <w:szCs w:val="24"/>
        </w:rPr>
        <w:t>usuwa zasadę korzyści</w:t>
      </w:r>
      <w:r w:rsidR="00C467C5" w:rsidRPr="00FE30DC">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uchylając ust. 3 i 4 w art. 134 </w:t>
      </w:r>
      <w:r w:rsidRPr="00FE30DC">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oraz wprowadzając w </w:t>
      </w:r>
      <w:r w:rsidR="00523922" w:rsidRPr="00FE30DC">
        <w:rPr>
          <w:rFonts w:ascii="Times New Roman" w:eastAsia="Times New Roman" w:hAnsi="Times New Roman" w:cs="Times New Roman"/>
          <w:color w:val="000000" w:themeColor="text1"/>
          <w:sz w:val="24"/>
          <w:szCs w:val="24"/>
        </w:rPr>
        <w:t xml:space="preserve">tym artykule </w:t>
      </w:r>
      <w:r w:rsidR="008F21F7" w:rsidRPr="00FE30DC">
        <w:rPr>
          <w:rFonts w:ascii="Times New Roman" w:eastAsia="Times New Roman" w:hAnsi="Times New Roman" w:cs="Times New Roman"/>
          <w:color w:val="000000" w:themeColor="text1"/>
          <w:sz w:val="24"/>
          <w:szCs w:val="24"/>
        </w:rPr>
        <w:t xml:space="preserve">dodatkowe </w:t>
      </w:r>
      <w:r w:rsidRPr="00FE30DC">
        <w:rPr>
          <w:rFonts w:ascii="Times New Roman" w:eastAsia="Times New Roman" w:hAnsi="Times New Roman" w:cs="Times New Roman"/>
          <w:color w:val="000000" w:themeColor="text1"/>
          <w:sz w:val="24"/>
          <w:szCs w:val="24"/>
        </w:rPr>
        <w:t xml:space="preserve">ust. </w:t>
      </w:r>
      <w:r w:rsidR="00523922" w:rsidRPr="00FE30DC">
        <w:rPr>
          <w:rFonts w:ascii="Times New Roman" w:eastAsia="Times New Roman" w:hAnsi="Times New Roman" w:cs="Times New Roman"/>
          <w:color w:val="000000" w:themeColor="text1"/>
          <w:sz w:val="24"/>
          <w:szCs w:val="24"/>
        </w:rPr>
        <w:t>2</w:t>
      </w:r>
      <w:r w:rsidRPr="00FE30DC">
        <w:rPr>
          <w:rFonts w:ascii="Times New Roman" w:eastAsia="Times New Roman" w:hAnsi="Times New Roman" w:cs="Times New Roman"/>
          <w:color w:val="000000" w:themeColor="text1"/>
          <w:sz w:val="24"/>
          <w:szCs w:val="24"/>
        </w:rPr>
        <w:t>a</w:t>
      </w:r>
      <w:r w:rsidR="007617D5">
        <w:rPr>
          <w:rFonts w:ascii="Times New Roman" w:eastAsia="Times New Roman" w:hAnsi="Times New Roman" w:cs="Times New Roman"/>
          <w:color w:val="000000" w:themeColor="text1"/>
          <w:sz w:val="24"/>
          <w:szCs w:val="24"/>
        </w:rPr>
        <w:t>–</w:t>
      </w:r>
      <w:r w:rsidR="00523922" w:rsidRPr="00FE30DC">
        <w:rPr>
          <w:rFonts w:ascii="Times New Roman" w:eastAsia="Times New Roman" w:hAnsi="Times New Roman" w:cs="Times New Roman"/>
          <w:color w:val="000000" w:themeColor="text1"/>
          <w:sz w:val="24"/>
          <w:szCs w:val="24"/>
        </w:rPr>
        <w:t>2</w:t>
      </w:r>
      <w:r w:rsidR="008F21F7" w:rsidRPr="00FE30DC">
        <w:rPr>
          <w:rFonts w:ascii="Times New Roman" w:eastAsia="Times New Roman" w:hAnsi="Times New Roman" w:cs="Times New Roman"/>
          <w:color w:val="000000" w:themeColor="text1"/>
          <w:sz w:val="24"/>
          <w:szCs w:val="24"/>
        </w:rPr>
        <w:t>c</w:t>
      </w:r>
      <w:r w:rsidR="005A5B68" w:rsidRPr="00FE30DC">
        <w:rPr>
          <w:rFonts w:ascii="Times New Roman" w:eastAsia="Times New Roman" w:hAnsi="Times New Roman" w:cs="Times New Roman"/>
          <w:color w:val="000000" w:themeColor="text1"/>
          <w:sz w:val="24"/>
          <w:szCs w:val="24"/>
        </w:rPr>
        <w:t xml:space="preserve">. W </w:t>
      </w:r>
      <w:r w:rsidR="00F63EC2" w:rsidRPr="00FE30DC">
        <w:rPr>
          <w:rFonts w:ascii="Times New Roman" w:eastAsia="Times New Roman" w:hAnsi="Times New Roman" w:cs="Times New Roman"/>
          <w:color w:val="000000" w:themeColor="text1"/>
          <w:sz w:val="24"/>
          <w:szCs w:val="24"/>
        </w:rPr>
        <w:t xml:space="preserve">projektowanym </w:t>
      </w:r>
      <w:r w:rsidR="007F2217" w:rsidRPr="00FE30DC">
        <w:rPr>
          <w:rFonts w:ascii="Times New Roman" w:eastAsia="Times New Roman" w:hAnsi="Times New Roman" w:cs="Times New Roman"/>
          <w:color w:val="000000" w:themeColor="text1"/>
          <w:sz w:val="24"/>
          <w:szCs w:val="24"/>
        </w:rPr>
        <w:t>ust. 2a</w:t>
      </w:r>
      <w:r w:rsidRPr="00FE30DC">
        <w:rPr>
          <w:rFonts w:ascii="Times New Roman" w:eastAsia="Times New Roman" w:hAnsi="Times New Roman" w:cs="Times New Roman"/>
          <w:color w:val="000000" w:themeColor="text1"/>
          <w:sz w:val="24"/>
          <w:szCs w:val="24"/>
        </w:rPr>
        <w:t xml:space="preserve"> </w:t>
      </w:r>
      <w:r w:rsidR="007F2217" w:rsidRPr="00FE30DC">
        <w:rPr>
          <w:rFonts w:ascii="Times New Roman" w:eastAsia="Times New Roman" w:hAnsi="Times New Roman" w:cs="Times New Roman"/>
          <w:color w:val="000000" w:themeColor="text1"/>
          <w:sz w:val="24"/>
          <w:szCs w:val="24"/>
        </w:rPr>
        <w:t>wskazuje się</w:t>
      </w:r>
      <w:r w:rsidRPr="00FE30DC">
        <w:rPr>
          <w:rFonts w:ascii="Times New Roman" w:eastAsia="Times New Roman" w:hAnsi="Times New Roman" w:cs="Times New Roman"/>
          <w:color w:val="000000" w:themeColor="text1"/>
          <w:sz w:val="24"/>
          <w:szCs w:val="24"/>
        </w:rPr>
        <w:t xml:space="preserve">, że </w:t>
      </w:r>
      <w:r w:rsidRPr="00FE30DC">
        <w:rPr>
          <w:rFonts w:ascii="Times New Roman" w:hAnsi="Times New Roman" w:cs="Times New Roman"/>
          <w:color w:val="000000" w:themeColor="text1"/>
          <w:sz w:val="24"/>
          <w:szCs w:val="24"/>
        </w:rPr>
        <w:t>przy ustalaniu wysokości odszkodowania na potrzeby wywłaszczenia nie uwzględnia się przeznaczeni</w:t>
      </w:r>
      <w:r w:rsidR="00976B3C" w:rsidRPr="00FE30DC">
        <w:rPr>
          <w:rFonts w:ascii="Times New Roman" w:hAnsi="Times New Roman" w:cs="Times New Roman"/>
          <w:color w:val="000000" w:themeColor="text1"/>
          <w:sz w:val="24"/>
          <w:szCs w:val="24"/>
        </w:rPr>
        <w:t>a</w:t>
      </w:r>
      <w:r w:rsidRPr="00FE30DC">
        <w:rPr>
          <w:rFonts w:ascii="Times New Roman" w:hAnsi="Times New Roman" w:cs="Times New Roman"/>
          <w:color w:val="000000" w:themeColor="text1"/>
          <w:sz w:val="24"/>
          <w:szCs w:val="24"/>
        </w:rPr>
        <w:t xml:space="preserve"> nieruchomości na cel publiczny. Oznacza to, że zasadą w</w:t>
      </w:r>
      <w:r w:rsidR="00CB4FCD" w:rsidRPr="00FE30DC">
        <w:rPr>
          <w:rFonts w:ascii="Times New Roman" w:hAnsi="Times New Roman" w:cs="Times New Roman"/>
          <w:color w:val="000000" w:themeColor="text1"/>
          <w:sz w:val="24"/>
          <w:szCs w:val="24"/>
        </w:rPr>
        <w:t> </w:t>
      </w:r>
      <w:r w:rsidRPr="00FE30DC">
        <w:rPr>
          <w:rFonts w:ascii="Times New Roman" w:hAnsi="Times New Roman" w:cs="Times New Roman"/>
          <w:color w:val="000000" w:themeColor="text1"/>
          <w:sz w:val="24"/>
          <w:szCs w:val="24"/>
        </w:rPr>
        <w:t xml:space="preserve">przypadku szacowania wartości nieruchomości na potrzeby wywłaszczenia jest pominięcie celu, dla którego wywłaszczenie następuje. </w:t>
      </w:r>
      <w:r w:rsidR="008F21F7" w:rsidRPr="00FE30DC">
        <w:rPr>
          <w:rFonts w:ascii="Times New Roman" w:hAnsi="Times New Roman" w:cs="Times New Roman"/>
          <w:color w:val="000000" w:themeColor="text1"/>
          <w:sz w:val="24"/>
          <w:szCs w:val="24"/>
        </w:rPr>
        <w:t xml:space="preserve">Wprowadzany ust. </w:t>
      </w:r>
      <w:r w:rsidR="006F334A" w:rsidRPr="00FE30DC">
        <w:rPr>
          <w:rFonts w:ascii="Times New Roman" w:hAnsi="Times New Roman" w:cs="Times New Roman"/>
          <w:color w:val="000000" w:themeColor="text1"/>
          <w:sz w:val="24"/>
          <w:szCs w:val="24"/>
        </w:rPr>
        <w:t>2</w:t>
      </w:r>
      <w:r w:rsidR="00DA5144" w:rsidRPr="00FE30DC">
        <w:rPr>
          <w:rFonts w:ascii="Times New Roman" w:hAnsi="Times New Roman" w:cs="Times New Roman"/>
          <w:color w:val="000000" w:themeColor="text1"/>
          <w:sz w:val="24"/>
          <w:szCs w:val="24"/>
        </w:rPr>
        <w:t>b</w:t>
      </w:r>
      <w:r w:rsidR="008F21F7" w:rsidRPr="00FE30DC">
        <w:rPr>
          <w:rFonts w:ascii="Times New Roman" w:hAnsi="Times New Roman" w:cs="Times New Roman"/>
          <w:color w:val="000000" w:themeColor="text1"/>
          <w:sz w:val="24"/>
          <w:szCs w:val="24"/>
        </w:rPr>
        <w:t xml:space="preserve"> precyzuje, że wartość nieruchomości dla celów odszkodowania określa się według dotychczasowego przeznaczenia nieruchomości </w:t>
      </w:r>
      <w:r w:rsidR="00B5205F" w:rsidRPr="00FE30DC">
        <w:rPr>
          <w:rFonts w:ascii="Times New Roman" w:hAnsi="Times New Roman" w:cs="Times New Roman"/>
          <w:color w:val="000000" w:themeColor="text1"/>
          <w:sz w:val="24"/>
          <w:szCs w:val="24"/>
        </w:rPr>
        <w:t xml:space="preserve">obowiązującego </w:t>
      </w:r>
      <w:r w:rsidR="008F21F7" w:rsidRPr="00FE30DC">
        <w:rPr>
          <w:rFonts w:ascii="Times New Roman" w:hAnsi="Times New Roman" w:cs="Times New Roman"/>
          <w:color w:val="000000" w:themeColor="text1"/>
          <w:sz w:val="24"/>
          <w:szCs w:val="24"/>
        </w:rPr>
        <w:t>przed ustaleniem lokalizacji inwestycji celu publicznego. Ustalenie dotychczasowego przeznaczenia następuje zgodnie z przepisami o planowaniu i</w:t>
      </w:r>
      <w:r w:rsidR="00CB4FCD" w:rsidRPr="00FE30DC">
        <w:rPr>
          <w:rFonts w:ascii="Times New Roman" w:hAnsi="Times New Roman" w:cs="Times New Roman"/>
          <w:color w:val="000000" w:themeColor="text1"/>
          <w:sz w:val="24"/>
          <w:szCs w:val="24"/>
        </w:rPr>
        <w:t> </w:t>
      </w:r>
      <w:r w:rsidR="008F21F7" w:rsidRPr="00FE30DC">
        <w:rPr>
          <w:rFonts w:ascii="Times New Roman" w:hAnsi="Times New Roman" w:cs="Times New Roman"/>
          <w:color w:val="000000" w:themeColor="text1"/>
          <w:sz w:val="24"/>
          <w:szCs w:val="24"/>
        </w:rPr>
        <w:t xml:space="preserve">zagospodarowaniu przestrzennym. Przepis ust. </w:t>
      </w:r>
      <w:r w:rsidR="00B25295" w:rsidRPr="00FE30DC">
        <w:rPr>
          <w:rFonts w:ascii="Times New Roman" w:hAnsi="Times New Roman" w:cs="Times New Roman"/>
          <w:color w:val="000000" w:themeColor="text1"/>
          <w:sz w:val="24"/>
          <w:szCs w:val="24"/>
        </w:rPr>
        <w:t>2</w:t>
      </w:r>
      <w:r w:rsidR="008F21F7" w:rsidRPr="00FE30DC">
        <w:rPr>
          <w:rFonts w:ascii="Times New Roman" w:hAnsi="Times New Roman" w:cs="Times New Roman"/>
          <w:color w:val="000000" w:themeColor="text1"/>
          <w:sz w:val="24"/>
          <w:szCs w:val="24"/>
        </w:rPr>
        <w:t xml:space="preserve">c jednoznacznie wskazuje, że w przypadku braku możliwości ustalenia przeznaczenia nieruchomości na inny cel niż cel publiczny </w:t>
      </w:r>
      <w:r w:rsidR="00607882" w:rsidRPr="00FE30DC">
        <w:rPr>
          <w:rFonts w:ascii="Times New Roman" w:hAnsi="Times New Roman" w:cs="Times New Roman"/>
          <w:color w:val="000000" w:themeColor="text1"/>
          <w:sz w:val="24"/>
          <w:szCs w:val="24"/>
        </w:rPr>
        <w:t xml:space="preserve">albo w przypadku gdy od dnia ustalenia przeznaczenia nieruchomości upłynęło 20 lat, </w:t>
      </w:r>
      <w:r w:rsidR="008F21F7" w:rsidRPr="00FE30DC">
        <w:rPr>
          <w:rFonts w:ascii="Times New Roman" w:hAnsi="Times New Roman" w:cs="Times New Roman"/>
          <w:color w:val="000000" w:themeColor="text1"/>
          <w:sz w:val="24"/>
          <w:szCs w:val="24"/>
        </w:rPr>
        <w:t>przy określaniu wartości nieruchomości dla celów odszkodowania przyjmuje się przeznaczenie wynikające z faktycznego sposobu użytkowania nieruchomości, a zatem oparte o faktycznie istniejący stan nieruchomości.</w:t>
      </w:r>
      <w:r w:rsidR="00607882" w:rsidRPr="00FE30DC">
        <w:rPr>
          <w:rFonts w:ascii="Times New Roman" w:hAnsi="Times New Roman" w:cs="Times New Roman"/>
          <w:color w:val="000000" w:themeColor="text1"/>
          <w:sz w:val="24"/>
          <w:szCs w:val="24"/>
        </w:rPr>
        <w:t xml:space="preserve"> Wskazać należy, że na gruncie przepisów </w:t>
      </w:r>
      <w:r w:rsidR="00607882" w:rsidRPr="00FE30DC">
        <w:rPr>
          <w:rFonts w:ascii="Times New Roman" w:hAnsi="Times New Roman" w:cs="Times New Roman"/>
          <w:i/>
          <w:iCs/>
          <w:color w:val="000000" w:themeColor="text1"/>
          <w:sz w:val="24"/>
          <w:szCs w:val="24"/>
        </w:rPr>
        <w:t xml:space="preserve">ugn </w:t>
      </w:r>
      <w:r w:rsidR="00607882" w:rsidRPr="00FE30DC">
        <w:rPr>
          <w:rFonts w:ascii="Times New Roman" w:hAnsi="Times New Roman" w:cs="Times New Roman"/>
          <w:color w:val="000000" w:themeColor="text1"/>
          <w:sz w:val="24"/>
          <w:szCs w:val="24"/>
        </w:rPr>
        <w:t xml:space="preserve">obowiązuje już zasada tzw. </w:t>
      </w:r>
      <w:r w:rsidR="00607882" w:rsidRPr="00FE30DC">
        <w:rPr>
          <w:rFonts w:ascii="Times New Roman" w:hAnsi="Times New Roman" w:cs="Times New Roman"/>
          <w:i/>
          <w:iCs/>
          <w:color w:val="000000" w:themeColor="text1"/>
          <w:sz w:val="24"/>
          <w:szCs w:val="24"/>
        </w:rPr>
        <w:t xml:space="preserve">„dawności” </w:t>
      </w:r>
      <w:r w:rsidR="00607882" w:rsidRPr="00FE30DC">
        <w:rPr>
          <w:rFonts w:ascii="Times New Roman" w:hAnsi="Times New Roman" w:cs="Times New Roman"/>
          <w:color w:val="000000" w:themeColor="text1"/>
          <w:sz w:val="24"/>
          <w:szCs w:val="24"/>
        </w:rPr>
        <w:t>przy zwrotach wywłaszczonych nieruchomości. Zwrotowi mogą podlegać obecnie tylko te nieruchomości, które stały się zbędne na cel wywłaszczenia, pod warunkiem że wywłaszczenie nastąpiło nie dawniej niż 20 lat temu (art. 136 ust. 7</w:t>
      </w:r>
      <w:r w:rsidR="00607882" w:rsidRPr="00FE30DC">
        <w:rPr>
          <w:rFonts w:ascii="Times New Roman" w:hAnsi="Times New Roman" w:cs="Times New Roman"/>
          <w:i/>
          <w:iCs/>
          <w:color w:val="000000" w:themeColor="text1"/>
          <w:sz w:val="24"/>
          <w:szCs w:val="24"/>
        </w:rPr>
        <w:t xml:space="preserve"> ugn</w:t>
      </w:r>
      <w:r w:rsidR="00FE30DC">
        <w:rPr>
          <w:rFonts w:ascii="Times New Roman" w:hAnsi="Times New Roman" w:cs="Times New Roman"/>
          <w:color w:val="000000" w:themeColor="text1"/>
          <w:sz w:val="24"/>
          <w:szCs w:val="24"/>
        </w:rPr>
        <w:t>). Z </w:t>
      </w:r>
      <w:r w:rsidR="00607882" w:rsidRPr="00FE30DC">
        <w:rPr>
          <w:rFonts w:ascii="Times New Roman" w:hAnsi="Times New Roman" w:cs="Times New Roman"/>
          <w:color w:val="000000" w:themeColor="text1"/>
          <w:sz w:val="24"/>
          <w:szCs w:val="24"/>
        </w:rPr>
        <w:t xml:space="preserve">tego względu zasadne jest, aby w przepisach określających zasady wyceny nieruchomości na potrzeby odszkodowań za wywłaszczenie nieruchomości, zgodnie z przyjętymi </w:t>
      </w:r>
      <w:r w:rsidR="00FE30DC">
        <w:rPr>
          <w:rFonts w:ascii="Times New Roman" w:hAnsi="Times New Roman" w:cs="Times New Roman"/>
          <w:color w:val="000000" w:themeColor="text1"/>
          <w:sz w:val="24"/>
          <w:szCs w:val="24"/>
        </w:rPr>
        <w:t>w </w:t>
      </w:r>
      <w:r w:rsidR="00607882" w:rsidRPr="00FE30DC">
        <w:rPr>
          <w:rFonts w:ascii="Times New Roman" w:hAnsi="Times New Roman" w:cs="Times New Roman"/>
          <w:color w:val="000000" w:themeColor="text1"/>
          <w:sz w:val="24"/>
          <w:szCs w:val="24"/>
        </w:rPr>
        <w:t xml:space="preserve">projekcie rozwiązaniami, poszukiwanie „niepublicznego” przeznaczenia również podlegało ustawowemu ograniczeniu w czasie. Cezurę czasową skorelowano zatem z powyższą zasadą tzw. </w:t>
      </w:r>
      <w:r w:rsidR="00607882" w:rsidRPr="00FE30DC">
        <w:rPr>
          <w:rFonts w:ascii="Times New Roman" w:hAnsi="Times New Roman" w:cs="Times New Roman"/>
          <w:i/>
          <w:iCs/>
          <w:color w:val="000000" w:themeColor="text1"/>
          <w:sz w:val="24"/>
          <w:szCs w:val="24"/>
        </w:rPr>
        <w:t xml:space="preserve">„dawności” </w:t>
      </w:r>
      <w:r w:rsidR="00607882" w:rsidRPr="00FE30DC">
        <w:rPr>
          <w:rFonts w:ascii="Times New Roman" w:hAnsi="Times New Roman" w:cs="Times New Roman"/>
          <w:color w:val="000000" w:themeColor="text1"/>
          <w:sz w:val="24"/>
          <w:szCs w:val="24"/>
        </w:rPr>
        <w:t>obowiązującą na gruncie przepisów o zwrotach wywłaszczonych nieruchomości. Ponadto uwzględnianie aktów planistycznych starszych niż 20-letnie wiązać się może z praktycznymi problemami pracy rzeczoznawcy majątkowego, uznano w związku z tym, że celowe jest wprowadzenie cezury czasowej w tym zakresie.</w:t>
      </w:r>
    </w:p>
    <w:p w14:paraId="0964362D" w14:textId="77777777" w:rsidR="00CF74AE" w:rsidRPr="00FE30DC" w:rsidRDefault="00CF74AE" w:rsidP="00FE30DC">
      <w:pPr>
        <w:spacing w:before="120" w:after="0" w:line="360" w:lineRule="auto"/>
        <w:jc w:val="both"/>
        <w:rPr>
          <w:rFonts w:ascii="Times New Roman" w:hAnsi="Times New Roman" w:cs="Times New Roman"/>
          <w:color w:val="000000" w:themeColor="text1"/>
          <w:sz w:val="24"/>
          <w:szCs w:val="24"/>
        </w:rPr>
      </w:pPr>
    </w:p>
    <w:p w14:paraId="669CC2CE" w14:textId="6C0A6EAA" w:rsidR="00E05B16" w:rsidRPr="00FE30DC" w:rsidRDefault="00E05B16" w:rsidP="00FE30DC">
      <w:pPr>
        <w:pStyle w:val="Akapitzlist"/>
        <w:numPr>
          <w:ilvl w:val="1"/>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b/>
          <w:bCs/>
          <w:color w:val="000000" w:themeColor="text1"/>
          <w:sz w:val="24"/>
          <w:szCs w:val="24"/>
        </w:rPr>
        <w:lastRenderedPageBreak/>
        <w:t xml:space="preserve"> Nowe zasady zwiększania wysokości odszkodowania</w:t>
      </w:r>
    </w:p>
    <w:p w14:paraId="55DE984B" w14:textId="0BF7786E" w:rsidR="00696752" w:rsidRPr="00495771"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Projekt wprowadza jednocześnie nowe zasady ustalania odszkodowania za wywłaszczenie nieruchomości, w zakresie wykraczającym poza wartość określaną z pominięciem przeznaczenia nieruchomości zgodnego z celem wywłaszczenia. Zasady te ujęto w</w:t>
      </w:r>
      <w:r w:rsidR="00FE30DC">
        <w:rPr>
          <w:rFonts w:ascii="Times New Roman" w:eastAsia="Times New Roman" w:hAnsi="Times New Roman" w:cs="Times New Roman"/>
          <w:color w:val="000000" w:themeColor="text1"/>
          <w:sz w:val="24"/>
          <w:szCs w:val="24"/>
        </w:rPr>
        <w:t xml:space="preserve"> art. </w:t>
      </w:r>
      <w:r w:rsidR="0027447B" w:rsidRPr="00FE30DC">
        <w:rPr>
          <w:rFonts w:ascii="Times New Roman" w:eastAsia="Times New Roman" w:hAnsi="Times New Roman" w:cs="Times New Roman"/>
          <w:color w:val="000000" w:themeColor="text1"/>
          <w:sz w:val="24"/>
          <w:szCs w:val="24"/>
        </w:rPr>
        <w:t xml:space="preserve">128 </w:t>
      </w:r>
      <w:r w:rsidRPr="00FE30DC">
        <w:rPr>
          <w:rFonts w:ascii="Times New Roman" w:eastAsia="Times New Roman" w:hAnsi="Times New Roman" w:cs="Times New Roman"/>
          <w:i/>
          <w:iCs/>
          <w:color w:val="000000" w:themeColor="text1"/>
          <w:sz w:val="24"/>
          <w:szCs w:val="24"/>
        </w:rPr>
        <w:t>ugn</w:t>
      </w:r>
      <w:r w:rsidR="0027447B" w:rsidRPr="00FE30DC">
        <w:rPr>
          <w:rFonts w:ascii="Times New Roman" w:eastAsia="Times New Roman" w:hAnsi="Times New Roman" w:cs="Times New Roman"/>
          <w:color w:val="000000" w:themeColor="text1"/>
          <w:sz w:val="24"/>
          <w:szCs w:val="24"/>
        </w:rPr>
        <w:t xml:space="preserve"> w zakresie dod</w:t>
      </w:r>
      <w:r w:rsidR="002D516C" w:rsidRPr="00FE30DC">
        <w:rPr>
          <w:rFonts w:ascii="Times New Roman" w:eastAsia="Times New Roman" w:hAnsi="Times New Roman" w:cs="Times New Roman"/>
          <w:color w:val="000000" w:themeColor="text1"/>
          <w:sz w:val="24"/>
          <w:szCs w:val="24"/>
        </w:rPr>
        <w:t>awanych ust. 1a</w:t>
      </w:r>
      <w:r w:rsidR="007617D5">
        <w:rPr>
          <w:rFonts w:ascii="Times New Roman" w:eastAsia="Times New Roman" w:hAnsi="Times New Roman" w:cs="Times New Roman"/>
          <w:color w:val="000000" w:themeColor="text1"/>
          <w:sz w:val="24"/>
          <w:szCs w:val="24"/>
        </w:rPr>
        <w:t>–</w:t>
      </w:r>
      <w:r w:rsidR="002D516C" w:rsidRPr="00FE30DC">
        <w:rPr>
          <w:rFonts w:ascii="Times New Roman" w:eastAsia="Times New Roman" w:hAnsi="Times New Roman" w:cs="Times New Roman"/>
          <w:color w:val="000000" w:themeColor="text1"/>
          <w:sz w:val="24"/>
          <w:szCs w:val="24"/>
        </w:rPr>
        <w:t>1c oraz ust. 5</w:t>
      </w:r>
      <w:r w:rsidR="007617D5">
        <w:rPr>
          <w:rFonts w:ascii="Times New Roman" w:eastAsia="Times New Roman" w:hAnsi="Times New Roman" w:cs="Times New Roman"/>
          <w:color w:val="000000" w:themeColor="text1"/>
          <w:sz w:val="24"/>
          <w:szCs w:val="24"/>
        </w:rPr>
        <w:t>–</w:t>
      </w:r>
      <w:r w:rsidR="002D516C" w:rsidRPr="00FE30DC">
        <w:rPr>
          <w:rFonts w:ascii="Times New Roman" w:eastAsia="Times New Roman" w:hAnsi="Times New Roman" w:cs="Times New Roman"/>
          <w:color w:val="000000" w:themeColor="text1"/>
          <w:sz w:val="24"/>
          <w:szCs w:val="24"/>
        </w:rPr>
        <w:t>13</w:t>
      </w:r>
      <w:r w:rsidR="00FE30DC">
        <w:rPr>
          <w:rFonts w:ascii="Times New Roman" w:eastAsia="Times New Roman" w:hAnsi="Times New Roman" w:cs="Times New Roman"/>
          <w:color w:val="000000" w:themeColor="text1"/>
          <w:sz w:val="24"/>
          <w:szCs w:val="24"/>
        </w:rPr>
        <w:t>.</w:t>
      </w:r>
    </w:p>
    <w:p w14:paraId="7722376C" w14:textId="3325FE0F"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Proponowaną zasadą jest ustalenie wysokości odszkodowania jako wartości nieruchomości, powiększonej o kwotę </w:t>
      </w:r>
      <w:r w:rsidR="008358ED" w:rsidRPr="00FE30DC">
        <w:rPr>
          <w:rFonts w:ascii="Times New Roman" w:eastAsia="Times New Roman" w:hAnsi="Times New Roman" w:cs="Times New Roman"/>
          <w:color w:val="000000" w:themeColor="text1"/>
          <w:sz w:val="24"/>
          <w:szCs w:val="24"/>
        </w:rPr>
        <w:t>odpowiadającą</w:t>
      </w:r>
      <w:r w:rsidR="001E2F34"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10%</w:t>
      </w:r>
      <w:r w:rsidR="009F5247" w:rsidRPr="00FE30DC">
        <w:rPr>
          <w:rFonts w:ascii="Times New Roman" w:eastAsia="Times New Roman" w:hAnsi="Times New Roman" w:cs="Times New Roman"/>
          <w:color w:val="000000" w:themeColor="text1"/>
          <w:sz w:val="24"/>
          <w:szCs w:val="24"/>
        </w:rPr>
        <w:t xml:space="preserve"> wartości gruntu oraz 20% różnicy między wartością nieruchomości i wartością gruntu</w:t>
      </w:r>
      <w:r w:rsidRPr="00FE30DC">
        <w:rPr>
          <w:rFonts w:ascii="Times New Roman" w:eastAsia="Times New Roman" w:hAnsi="Times New Roman" w:cs="Times New Roman"/>
          <w:color w:val="000000" w:themeColor="text1"/>
          <w:sz w:val="24"/>
          <w:szCs w:val="24"/>
        </w:rPr>
        <w:t xml:space="preserve"> </w:t>
      </w:r>
      <w:r w:rsidR="00585DE4" w:rsidRPr="00FE30DC">
        <w:rPr>
          <w:rFonts w:ascii="Times New Roman" w:eastAsia="Times New Roman" w:hAnsi="Times New Roman" w:cs="Times New Roman"/>
          <w:color w:val="000000" w:themeColor="text1"/>
          <w:sz w:val="24"/>
          <w:szCs w:val="24"/>
        </w:rPr>
        <w:t xml:space="preserve">albo </w:t>
      </w:r>
      <w:r w:rsidRPr="00FE30DC">
        <w:rPr>
          <w:rFonts w:ascii="Times New Roman" w:eastAsia="Times New Roman" w:hAnsi="Times New Roman" w:cs="Times New Roman"/>
          <w:color w:val="000000" w:themeColor="text1"/>
          <w:sz w:val="24"/>
          <w:szCs w:val="24"/>
        </w:rPr>
        <w:t xml:space="preserve">20% wartości </w:t>
      </w:r>
      <w:r w:rsidR="00FB4E0E" w:rsidRPr="00FE30DC">
        <w:rPr>
          <w:rFonts w:ascii="Times New Roman" w:eastAsia="Times New Roman" w:hAnsi="Times New Roman" w:cs="Times New Roman"/>
          <w:color w:val="000000" w:themeColor="text1"/>
          <w:sz w:val="24"/>
          <w:szCs w:val="24"/>
        </w:rPr>
        <w:t>lokalu stanowiącego odrębny przedmiot własności</w:t>
      </w:r>
      <w:r w:rsidR="00226C32" w:rsidRPr="00FE30DC">
        <w:rPr>
          <w:rFonts w:ascii="Times New Roman" w:eastAsia="Times New Roman" w:hAnsi="Times New Roman" w:cs="Times New Roman"/>
          <w:color w:val="000000" w:themeColor="text1"/>
          <w:sz w:val="24"/>
          <w:szCs w:val="24"/>
        </w:rPr>
        <w:t xml:space="preserve"> albo wartości spółdzielczego własnościowego prawa do lokalu</w:t>
      </w:r>
      <w:r w:rsidRPr="00FE30DC">
        <w:rPr>
          <w:rFonts w:ascii="Times New Roman" w:eastAsia="Times New Roman" w:hAnsi="Times New Roman" w:cs="Times New Roman"/>
          <w:color w:val="000000" w:themeColor="text1"/>
          <w:sz w:val="24"/>
          <w:szCs w:val="24"/>
        </w:rPr>
        <w:t xml:space="preserve">. </w:t>
      </w:r>
      <w:r w:rsidR="00FE30DC">
        <w:rPr>
          <w:rFonts w:ascii="Times New Roman" w:eastAsia="Times New Roman" w:hAnsi="Times New Roman" w:cs="Times New Roman"/>
          <w:color w:val="000000" w:themeColor="text1"/>
          <w:sz w:val="24"/>
          <w:szCs w:val="24"/>
        </w:rPr>
        <w:t>W </w:t>
      </w:r>
      <w:r w:rsidRPr="00FE30DC">
        <w:rPr>
          <w:rFonts w:ascii="Times New Roman" w:eastAsia="Times New Roman" w:hAnsi="Times New Roman" w:cs="Times New Roman"/>
          <w:color w:val="000000" w:themeColor="text1"/>
          <w:sz w:val="24"/>
          <w:szCs w:val="24"/>
        </w:rPr>
        <w:t>odniesieniu do prawa użytkowania wieczystego proponowana zasada przewiduje ustalenie</w:t>
      </w:r>
      <w:r w:rsidR="553D4872" w:rsidRPr="00FE30DC">
        <w:rPr>
          <w:rFonts w:ascii="Times New Roman" w:eastAsia="Times" w:hAnsi="Times New Roman" w:cs="Times New Roman"/>
          <w:sz w:val="24"/>
          <w:szCs w:val="24"/>
        </w:rPr>
        <w:t xml:space="preserve"> odszkodowania odpowiadającego wartości tego prawa, powiększonego o 10%, zaś do ustalenia odszkodowania za budynki i inne urządzenia stanowiące własność użytkownika wieczystego stosuje się </w:t>
      </w:r>
      <w:r w:rsidR="62CA977E" w:rsidRPr="00FE30DC">
        <w:rPr>
          <w:rFonts w:ascii="Times New Roman" w:eastAsia="Times" w:hAnsi="Times New Roman" w:cs="Times New Roman"/>
          <w:sz w:val="24"/>
          <w:szCs w:val="24"/>
        </w:rPr>
        <w:t xml:space="preserve">regulacje dotyczące </w:t>
      </w:r>
      <w:r w:rsidR="582F5ACD" w:rsidRPr="00FE30DC">
        <w:rPr>
          <w:rFonts w:ascii="Times New Roman" w:eastAsia="Times" w:hAnsi="Times New Roman" w:cs="Times New Roman"/>
          <w:sz w:val="24"/>
          <w:szCs w:val="24"/>
        </w:rPr>
        <w:t>własności</w:t>
      </w:r>
      <w:r w:rsidR="6285A08F" w:rsidRPr="00FE30DC">
        <w:rPr>
          <w:rFonts w:ascii="Times New Roman" w:eastAsia="Times" w:hAnsi="Times New Roman" w:cs="Times New Roman"/>
          <w:sz w:val="24"/>
          <w:szCs w:val="24"/>
        </w:rPr>
        <w:t>, opisane powyżej</w:t>
      </w:r>
      <w:r w:rsidR="582F5ACD" w:rsidRPr="00FE30DC">
        <w:rPr>
          <w:rFonts w:ascii="Times New Roman" w:eastAsia="Times" w:hAnsi="Times New Roman" w:cs="Times New Roman"/>
          <w:sz w:val="24"/>
          <w:szCs w:val="24"/>
        </w:rPr>
        <w:t>.</w:t>
      </w:r>
      <w:r w:rsidR="00EF3956" w:rsidRPr="00FE30DC">
        <w:rPr>
          <w:rFonts w:ascii="Times New Roman" w:eastAsia="Times" w:hAnsi="Times New Roman" w:cs="Times New Roman"/>
          <w:sz w:val="24"/>
          <w:szCs w:val="24"/>
        </w:rPr>
        <w:t xml:space="preserve"> Podkreślenia wymaga, że w przypadku</w:t>
      </w:r>
      <w:r w:rsidR="0045328F" w:rsidRPr="00FE30DC">
        <w:rPr>
          <w:rFonts w:ascii="Times New Roman" w:eastAsia="Times" w:hAnsi="Times New Roman" w:cs="Times New Roman"/>
          <w:sz w:val="24"/>
          <w:szCs w:val="24"/>
        </w:rPr>
        <w:t xml:space="preserve"> </w:t>
      </w:r>
      <w:r w:rsidR="00A234B9" w:rsidRPr="00FE30DC">
        <w:rPr>
          <w:rFonts w:ascii="Times New Roman" w:eastAsia="Times" w:hAnsi="Times New Roman" w:cs="Times New Roman"/>
          <w:sz w:val="24"/>
          <w:szCs w:val="24"/>
        </w:rPr>
        <w:t>bonusu w wysokości 20%</w:t>
      </w:r>
      <w:r w:rsidR="004B740C" w:rsidRPr="00FE30DC">
        <w:rPr>
          <w:rFonts w:ascii="Times New Roman" w:eastAsia="Times" w:hAnsi="Times New Roman" w:cs="Times New Roman"/>
          <w:sz w:val="24"/>
          <w:szCs w:val="24"/>
        </w:rPr>
        <w:t xml:space="preserve"> różnicy między wartością nieruchomości i wartością gruntu</w:t>
      </w:r>
      <w:r w:rsidR="009E3603" w:rsidRPr="00FE30DC">
        <w:rPr>
          <w:rFonts w:ascii="Times New Roman" w:eastAsia="Times" w:hAnsi="Times New Roman" w:cs="Times New Roman"/>
          <w:sz w:val="24"/>
          <w:szCs w:val="24"/>
        </w:rPr>
        <w:t xml:space="preserve">, przez nieruchomość należy rozumieć </w:t>
      </w:r>
      <w:r w:rsidR="00556B43" w:rsidRPr="00FE30DC">
        <w:rPr>
          <w:rFonts w:ascii="Times New Roman" w:eastAsia="Times" w:hAnsi="Times New Roman" w:cs="Times New Roman"/>
          <w:sz w:val="24"/>
          <w:szCs w:val="24"/>
        </w:rPr>
        <w:t>nieruchomość wraz z jej częściami składowymi</w:t>
      </w:r>
      <w:r w:rsidR="00D12222" w:rsidRPr="00FE30DC">
        <w:rPr>
          <w:rFonts w:ascii="Times New Roman" w:eastAsia="Times" w:hAnsi="Times New Roman" w:cs="Times New Roman"/>
          <w:sz w:val="24"/>
          <w:szCs w:val="24"/>
        </w:rPr>
        <w:t xml:space="preserve"> (np. jeżeli nieruchomość jest zabudowana, odszkodowanie powiększa się dodatkowo o 20% różnicy między wartością nieruchomości – gruntu wraz z tymi zabudowaniami – i wartością samego gruntu)</w:t>
      </w:r>
      <w:r w:rsidR="00556B43" w:rsidRPr="00FE30DC">
        <w:rPr>
          <w:rFonts w:ascii="Times New Roman" w:eastAsia="Times" w:hAnsi="Times New Roman" w:cs="Times New Roman"/>
          <w:sz w:val="24"/>
          <w:szCs w:val="24"/>
        </w:rPr>
        <w:t>.</w:t>
      </w:r>
    </w:p>
    <w:p w14:paraId="578568DC" w14:textId="3F7878AB"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Proponowane podwyższenie wysokości odszkodowania o procentowo określoną część wartości </w:t>
      </w:r>
      <w:r w:rsidR="00E92741" w:rsidRPr="00FE30DC">
        <w:rPr>
          <w:rFonts w:ascii="Times New Roman" w:eastAsia="Times New Roman" w:hAnsi="Times New Roman" w:cs="Times New Roman"/>
          <w:color w:val="000000" w:themeColor="text1"/>
          <w:sz w:val="24"/>
          <w:szCs w:val="24"/>
        </w:rPr>
        <w:t>nieruchomości</w:t>
      </w:r>
      <w:r w:rsidR="0097236D"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stanowi zryczałtowaną formę reko</w:t>
      </w:r>
      <w:r w:rsidR="00FE30DC">
        <w:rPr>
          <w:rFonts w:ascii="Times New Roman" w:eastAsia="Times New Roman" w:hAnsi="Times New Roman" w:cs="Times New Roman"/>
          <w:color w:val="000000" w:themeColor="text1"/>
          <w:sz w:val="24"/>
          <w:szCs w:val="24"/>
        </w:rPr>
        <w:t>mpensaty pieniężnej związanej z </w:t>
      </w:r>
      <w:r w:rsidRPr="00FE30DC">
        <w:rPr>
          <w:rFonts w:ascii="Times New Roman" w:eastAsia="Times New Roman" w:hAnsi="Times New Roman" w:cs="Times New Roman"/>
          <w:color w:val="000000" w:themeColor="text1"/>
          <w:sz w:val="24"/>
          <w:szCs w:val="24"/>
        </w:rPr>
        <w:t>przymusowym charakterem nabycia nieruchomości przez podmiot publiczny. Brak takiej formy rekompensaty w obecnym stanie prawnym powoduje konieczność ponoszenia przez właścicieli szeregu kosztów nieobjętych wywłaszczeniem, związanych m.in. z nabyciem nowej nieruchomości i przeprowadzką. Koszty te są wyższe w przypadku nieruchomości zagospodarowanych na różne cele, w związku z tym proponuj</w:t>
      </w:r>
      <w:r w:rsidR="00D22D38" w:rsidRPr="00FE30DC">
        <w:rPr>
          <w:rFonts w:ascii="Times New Roman" w:eastAsia="Times New Roman" w:hAnsi="Times New Roman" w:cs="Times New Roman"/>
          <w:color w:val="000000" w:themeColor="text1"/>
          <w:sz w:val="24"/>
          <w:szCs w:val="24"/>
        </w:rPr>
        <w:t>e</w:t>
      </w:r>
      <w:r w:rsidRPr="00FE30DC">
        <w:rPr>
          <w:rFonts w:ascii="Times New Roman" w:eastAsia="Times New Roman" w:hAnsi="Times New Roman" w:cs="Times New Roman"/>
          <w:color w:val="000000" w:themeColor="text1"/>
          <w:sz w:val="24"/>
          <w:szCs w:val="24"/>
        </w:rPr>
        <w:t xml:space="preserve"> się w tym zakresie odpowiednie podwyższenie bonusu pieniężnego </w:t>
      </w:r>
      <w:r w:rsidR="007617D5">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do 20%. Dotyczy to </w:t>
      </w:r>
      <w:r w:rsidR="00250B5B" w:rsidRPr="00FE30DC">
        <w:rPr>
          <w:rFonts w:ascii="Times New Roman" w:eastAsia="Times New Roman" w:hAnsi="Times New Roman" w:cs="Times New Roman"/>
          <w:color w:val="000000" w:themeColor="text1"/>
          <w:sz w:val="24"/>
          <w:szCs w:val="24"/>
        </w:rPr>
        <w:t xml:space="preserve">lokalu stanowiącego odrębny przedmiot własności </w:t>
      </w:r>
      <w:r w:rsidRPr="00FE30DC">
        <w:rPr>
          <w:rFonts w:ascii="Times New Roman" w:eastAsia="Times New Roman" w:hAnsi="Times New Roman" w:cs="Times New Roman"/>
          <w:color w:val="000000" w:themeColor="text1"/>
          <w:sz w:val="24"/>
          <w:szCs w:val="24"/>
        </w:rPr>
        <w:t xml:space="preserve">oraz wartości </w:t>
      </w:r>
      <w:r w:rsidR="006C2C5A" w:rsidRPr="00FE30DC">
        <w:rPr>
          <w:rFonts w:ascii="Times New Roman" w:eastAsia="Times New Roman" w:hAnsi="Times New Roman" w:cs="Times New Roman"/>
          <w:color w:val="000000" w:themeColor="text1"/>
          <w:sz w:val="24"/>
          <w:szCs w:val="24"/>
        </w:rPr>
        <w:t>części składowych gruntu.</w:t>
      </w:r>
    </w:p>
    <w:p w14:paraId="3414A42D" w14:textId="03CD7526" w:rsidR="00696752" w:rsidRPr="00495771"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Dodatkowo w związku z występowaniem przypadków wywłaszczenia nieruchomości zamieszkałych w bardzo złym stanie technicznym, przekładającym się na ich wyjątkowo niską wartość, proponuj</w:t>
      </w:r>
      <w:r w:rsidR="00346521" w:rsidRPr="00FE30DC">
        <w:rPr>
          <w:rFonts w:ascii="Times New Roman" w:eastAsia="Times New Roman" w:hAnsi="Times New Roman" w:cs="Times New Roman"/>
          <w:color w:val="000000" w:themeColor="text1"/>
          <w:sz w:val="24"/>
          <w:szCs w:val="24"/>
        </w:rPr>
        <w:t>e</w:t>
      </w:r>
      <w:r w:rsidRPr="00FE30DC">
        <w:rPr>
          <w:rFonts w:ascii="Times New Roman" w:eastAsia="Times New Roman" w:hAnsi="Times New Roman" w:cs="Times New Roman"/>
          <w:color w:val="000000" w:themeColor="text1"/>
          <w:sz w:val="24"/>
          <w:szCs w:val="24"/>
        </w:rPr>
        <w:t xml:space="preserve"> się umieszczenie w ustawie dodatkowego mechanizmu zabezpieczającego możliwość odtworzenia warunków mie</w:t>
      </w:r>
      <w:r w:rsidR="00FE30DC">
        <w:rPr>
          <w:rFonts w:ascii="Times New Roman" w:eastAsia="Times New Roman" w:hAnsi="Times New Roman" w:cs="Times New Roman"/>
          <w:color w:val="000000" w:themeColor="text1"/>
          <w:sz w:val="24"/>
          <w:szCs w:val="24"/>
        </w:rPr>
        <w:t>szkaniowych po wywłaszczeniu. W </w:t>
      </w:r>
      <w:r w:rsidRPr="00FE30DC">
        <w:rPr>
          <w:rFonts w:ascii="Times New Roman" w:eastAsia="Times New Roman" w:hAnsi="Times New Roman" w:cs="Times New Roman"/>
          <w:color w:val="000000" w:themeColor="text1"/>
          <w:sz w:val="24"/>
          <w:szCs w:val="24"/>
        </w:rPr>
        <w:t>ramach ww. mechanizmu, zawartego w art. 1</w:t>
      </w:r>
      <w:r w:rsidR="00086D50" w:rsidRPr="00FE30DC">
        <w:rPr>
          <w:rFonts w:ascii="Times New Roman" w:eastAsia="Times New Roman" w:hAnsi="Times New Roman" w:cs="Times New Roman"/>
          <w:color w:val="000000" w:themeColor="text1"/>
          <w:sz w:val="24"/>
          <w:szCs w:val="24"/>
        </w:rPr>
        <w:t>28</w:t>
      </w:r>
      <w:r w:rsidRPr="00FE30DC">
        <w:rPr>
          <w:rFonts w:ascii="Times New Roman" w:eastAsia="Times New Roman" w:hAnsi="Times New Roman" w:cs="Times New Roman"/>
          <w:color w:val="000000" w:themeColor="text1"/>
          <w:sz w:val="24"/>
          <w:szCs w:val="24"/>
        </w:rPr>
        <w:t xml:space="preserve"> ust. </w:t>
      </w:r>
      <w:r w:rsidR="00086D50" w:rsidRPr="00FE30DC">
        <w:rPr>
          <w:rFonts w:ascii="Times New Roman" w:eastAsia="Times New Roman" w:hAnsi="Times New Roman" w:cs="Times New Roman"/>
          <w:color w:val="000000" w:themeColor="text1"/>
          <w:sz w:val="24"/>
          <w:szCs w:val="24"/>
        </w:rPr>
        <w:t>5</w:t>
      </w:r>
      <w:r w:rsidR="007617D5">
        <w:rPr>
          <w:rFonts w:ascii="Times New Roman" w:eastAsia="Times New Roman" w:hAnsi="Times New Roman" w:cs="Times New Roman"/>
          <w:color w:val="000000" w:themeColor="text1"/>
          <w:sz w:val="24"/>
          <w:szCs w:val="24"/>
        </w:rPr>
        <w:t>–</w:t>
      </w:r>
      <w:r w:rsidR="00E05B16" w:rsidRPr="00FE30DC">
        <w:rPr>
          <w:rFonts w:ascii="Times New Roman" w:eastAsia="Times New Roman" w:hAnsi="Times New Roman" w:cs="Times New Roman"/>
          <w:color w:val="000000" w:themeColor="text1"/>
          <w:sz w:val="24"/>
          <w:szCs w:val="24"/>
        </w:rPr>
        <w:t>1</w:t>
      </w:r>
      <w:r w:rsidR="00086D50" w:rsidRPr="00FE30DC">
        <w:rPr>
          <w:rFonts w:ascii="Times New Roman" w:eastAsia="Times New Roman" w:hAnsi="Times New Roman" w:cs="Times New Roman"/>
          <w:color w:val="000000" w:themeColor="text1"/>
          <w:sz w:val="24"/>
          <w:szCs w:val="24"/>
        </w:rPr>
        <w:t>3</w:t>
      </w:r>
      <w:r w:rsidR="00E05B16"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przewidziano minimalną wysokość odszkodowania w przypadku nieruchomości zamieszkałej (w tym</w:t>
      </w:r>
      <w:r w:rsidR="00344852" w:rsidRPr="00FE30DC">
        <w:rPr>
          <w:rFonts w:ascii="Times New Roman" w:eastAsiaTheme="minorEastAsia" w:hAnsi="Times New Roman" w:cs="Times New Roman"/>
          <w:sz w:val="24"/>
          <w:szCs w:val="24"/>
        </w:rPr>
        <w:t xml:space="preserve"> </w:t>
      </w:r>
      <w:r w:rsidR="00344852" w:rsidRPr="00FE30DC">
        <w:rPr>
          <w:rFonts w:ascii="Times New Roman" w:eastAsia="Times New Roman" w:hAnsi="Times New Roman" w:cs="Times New Roman"/>
          <w:color w:val="000000" w:themeColor="text1"/>
          <w:sz w:val="24"/>
          <w:szCs w:val="24"/>
        </w:rPr>
        <w:t xml:space="preserve">lokalu, </w:t>
      </w:r>
      <w:r w:rsidR="00344852" w:rsidRPr="00FE30DC">
        <w:rPr>
          <w:rFonts w:ascii="Times New Roman" w:eastAsia="Times New Roman" w:hAnsi="Times New Roman" w:cs="Times New Roman"/>
          <w:color w:val="000000" w:themeColor="text1"/>
          <w:sz w:val="24"/>
          <w:szCs w:val="24"/>
        </w:rPr>
        <w:lastRenderedPageBreak/>
        <w:t>stanowiącego odrębny przedmiot własności</w:t>
      </w:r>
      <w:r w:rsidRPr="00FE30DC">
        <w:rPr>
          <w:rFonts w:ascii="Times New Roman" w:eastAsia="Times New Roman" w:hAnsi="Times New Roman" w:cs="Times New Roman"/>
          <w:color w:val="000000" w:themeColor="text1"/>
          <w:sz w:val="24"/>
          <w:szCs w:val="24"/>
        </w:rPr>
        <w:t>), niezależnie od wartości rynkowej tej nieruchomości. Wysokość dopłaty określa się w oparciu o wskaźnik przeliczeniowy kosztu odtworzenia 1m</w:t>
      </w:r>
      <w:r w:rsidRPr="00FE30DC">
        <w:rPr>
          <w:rFonts w:ascii="Times New Roman" w:eastAsia="Times New Roman" w:hAnsi="Times New Roman" w:cs="Times New Roman"/>
          <w:color w:val="000000" w:themeColor="text1"/>
          <w:sz w:val="24"/>
          <w:szCs w:val="24"/>
          <w:vertAlign w:val="superscript"/>
        </w:rPr>
        <w:t>2</w:t>
      </w:r>
      <w:r w:rsidRPr="00FE30DC">
        <w:rPr>
          <w:rFonts w:ascii="Times New Roman" w:eastAsia="Times New Roman" w:hAnsi="Times New Roman" w:cs="Times New Roman"/>
          <w:color w:val="000000" w:themeColor="text1"/>
          <w:sz w:val="24"/>
          <w:szCs w:val="24"/>
        </w:rPr>
        <w:t xml:space="preserve"> powierzchni użytkowej budynków mieszkalnych ogłaszany przez wojewodę</w:t>
      </w:r>
      <w:r w:rsidR="00C45964" w:rsidRPr="00FE30DC">
        <w:rPr>
          <w:rFonts w:ascii="Times New Roman" w:eastAsia="Times New Roman" w:hAnsi="Times New Roman" w:cs="Times New Roman"/>
          <w:color w:val="000000" w:themeColor="text1"/>
          <w:sz w:val="24"/>
          <w:szCs w:val="24"/>
        </w:rPr>
        <w:t>, obowiązując</w:t>
      </w:r>
      <w:r w:rsidR="009E2D95" w:rsidRPr="00FE30DC">
        <w:rPr>
          <w:rFonts w:ascii="Times New Roman" w:eastAsia="Times New Roman" w:hAnsi="Times New Roman" w:cs="Times New Roman"/>
          <w:color w:val="000000" w:themeColor="text1"/>
          <w:sz w:val="24"/>
          <w:szCs w:val="24"/>
        </w:rPr>
        <w:t>y</w:t>
      </w:r>
      <w:r w:rsidRPr="00FE30DC">
        <w:rPr>
          <w:rFonts w:ascii="Times New Roman" w:eastAsia="Times New Roman" w:hAnsi="Times New Roman" w:cs="Times New Roman"/>
          <w:color w:val="000000" w:themeColor="text1"/>
          <w:sz w:val="24"/>
          <w:szCs w:val="24"/>
        </w:rPr>
        <w:t xml:space="preserve"> </w:t>
      </w:r>
      <w:r w:rsidR="00F354FE" w:rsidRPr="00FE30DC">
        <w:rPr>
          <w:rFonts w:ascii="Times New Roman" w:eastAsia="Times New Roman" w:hAnsi="Times New Roman" w:cs="Times New Roman"/>
          <w:color w:val="000000" w:themeColor="text1"/>
          <w:sz w:val="24"/>
          <w:szCs w:val="24"/>
        </w:rPr>
        <w:t>w</w:t>
      </w:r>
      <w:r w:rsidRPr="00FE30DC">
        <w:rPr>
          <w:rFonts w:ascii="Times New Roman" w:eastAsia="Times New Roman" w:hAnsi="Times New Roman" w:cs="Times New Roman"/>
          <w:color w:val="000000" w:themeColor="text1"/>
          <w:sz w:val="24"/>
          <w:szCs w:val="24"/>
        </w:rPr>
        <w:t xml:space="preserve"> d</w:t>
      </w:r>
      <w:r w:rsidR="00F354FE" w:rsidRPr="00FE30DC">
        <w:rPr>
          <w:rFonts w:ascii="Times New Roman" w:eastAsia="Times New Roman" w:hAnsi="Times New Roman" w:cs="Times New Roman"/>
          <w:color w:val="000000" w:themeColor="text1"/>
          <w:sz w:val="24"/>
          <w:szCs w:val="24"/>
        </w:rPr>
        <w:t>niu</w:t>
      </w:r>
      <w:r w:rsidRPr="00FE30DC">
        <w:rPr>
          <w:rFonts w:ascii="Times New Roman" w:eastAsia="Times New Roman" w:hAnsi="Times New Roman" w:cs="Times New Roman"/>
          <w:color w:val="000000" w:themeColor="text1"/>
          <w:sz w:val="24"/>
          <w:szCs w:val="24"/>
        </w:rPr>
        <w:t xml:space="preserve"> wydania decyzji dokonującej wywłaszczenia </w:t>
      </w:r>
      <w:r w:rsidR="00572F45" w:rsidRPr="00FE30DC">
        <w:rPr>
          <w:rFonts w:ascii="Times New Roman" w:eastAsia="Times New Roman" w:hAnsi="Times New Roman" w:cs="Times New Roman"/>
          <w:color w:val="000000" w:themeColor="text1"/>
          <w:sz w:val="24"/>
          <w:szCs w:val="24"/>
        </w:rPr>
        <w:t xml:space="preserve">nieruchomości </w:t>
      </w:r>
      <w:r w:rsidRPr="00FE30DC">
        <w:rPr>
          <w:rFonts w:ascii="Times New Roman" w:eastAsia="Times New Roman" w:hAnsi="Times New Roman" w:cs="Times New Roman"/>
          <w:color w:val="000000" w:themeColor="text1"/>
          <w:sz w:val="24"/>
          <w:szCs w:val="24"/>
        </w:rPr>
        <w:t>(na podstawie przepisu art. 2 ust. 1 pkt 12 ustawy z dnia 21 czerwca 2001 r. o ochronie praw lokatorów, mieszkaniowym zasobie gminy i</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o</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zmianie Kodeksu cywilnego (Dz.</w:t>
      </w:r>
      <w:r w:rsidR="005F12BB"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U. z 202</w:t>
      </w:r>
      <w:r w:rsidR="00711731" w:rsidRPr="00FE30DC">
        <w:rPr>
          <w:rFonts w:ascii="Times New Roman" w:eastAsia="Times New Roman" w:hAnsi="Times New Roman" w:cs="Times New Roman"/>
          <w:color w:val="000000" w:themeColor="text1"/>
          <w:sz w:val="24"/>
          <w:szCs w:val="24"/>
        </w:rPr>
        <w:t>2</w:t>
      </w:r>
      <w:r w:rsid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r. poz.</w:t>
      </w:r>
      <w:r w:rsidR="00711731" w:rsidRPr="00FE30DC">
        <w:rPr>
          <w:rFonts w:ascii="Times New Roman" w:eastAsia="Times New Roman" w:hAnsi="Times New Roman" w:cs="Times New Roman"/>
          <w:color w:val="000000" w:themeColor="text1"/>
          <w:sz w:val="24"/>
          <w:szCs w:val="24"/>
        </w:rPr>
        <w:t xml:space="preserve"> </w:t>
      </w:r>
      <w:r w:rsidR="00A709B9" w:rsidRPr="00FE30DC">
        <w:rPr>
          <w:rFonts w:ascii="Times New Roman" w:eastAsia="Times New Roman" w:hAnsi="Times New Roman" w:cs="Times New Roman"/>
          <w:color w:val="000000" w:themeColor="text1"/>
          <w:sz w:val="24"/>
          <w:szCs w:val="24"/>
        </w:rPr>
        <w:t>172</w:t>
      </w:r>
      <w:r w:rsidR="003E513E" w:rsidRPr="00FE30DC">
        <w:rPr>
          <w:rFonts w:ascii="Times New Roman" w:eastAsia="Times New Roman" w:hAnsi="Times New Roman" w:cs="Times New Roman"/>
          <w:color w:val="000000" w:themeColor="text1"/>
          <w:sz w:val="24"/>
          <w:szCs w:val="24"/>
        </w:rPr>
        <w:t xml:space="preserve">, </w:t>
      </w:r>
      <w:r w:rsidR="00495771">
        <w:rPr>
          <w:rFonts w:ascii="Times New Roman" w:eastAsia="Times New Roman" w:hAnsi="Times New Roman" w:cs="Times New Roman"/>
          <w:color w:val="000000" w:themeColor="text1"/>
          <w:sz w:val="24"/>
          <w:szCs w:val="24"/>
        </w:rPr>
        <w:t xml:space="preserve">z </w:t>
      </w:r>
      <w:r w:rsidR="003E513E" w:rsidRPr="00FE30DC">
        <w:rPr>
          <w:rFonts w:ascii="Times New Roman" w:eastAsia="Times New Roman" w:hAnsi="Times New Roman" w:cs="Times New Roman"/>
          <w:color w:val="000000" w:themeColor="text1"/>
          <w:sz w:val="24"/>
          <w:szCs w:val="24"/>
        </w:rPr>
        <w:t>późn. zm.</w:t>
      </w:r>
      <w:r w:rsidRPr="00FE30DC">
        <w:rPr>
          <w:rFonts w:ascii="Times New Roman" w:eastAsia="Times New Roman" w:hAnsi="Times New Roman" w:cs="Times New Roman"/>
          <w:color w:val="000000" w:themeColor="text1"/>
          <w:sz w:val="24"/>
          <w:szCs w:val="24"/>
        </w:rPr>
        <w:t>)).</w:t>
      </w:r>
    </w:p>
    <w:p w14:paraId="68F8D36D" w14:textId="677A559B" w:rsidR="00320D9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Proponuje się określenie w takich przypadkach wysokości odszkodowania jako krotność ww. wskaźnika. W przypadku zamieszkania nieruchomości przez nie więcej niż 2 osoby, krotność ta wyniesie 25, następnie przepis przewiduje proporcjonalne zwiększenie odszkodowania w</w:t>
      </w:r>
      <w:r w:rsidR="00A11C2C"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 xml:space="preserve">przypadku kolejnych zamieszkałych osób, aż do 60-krotności wskaźnika. </w:t>
      </w:r>
      <w:r w:rsidR="00320D92" w:rsidRPr="00FE30DC">
        <w:rPr>
          <w:rFonts w:ascii="Times New Roman" w:eastAsia="Times New Roman" w:hAnsi="Times New Roman" w:cs="Times New Roman"/>
          <w:color w:val="000000" w:themeColor="text1"/>
          <w:sz w:val="24"/>
          <w:szCs w:val="24"/>
        </w:rPr>
        <w:t>Wskazanie jako bazowej wysokości odszkodowania 25-krotności wskaźnika przeliczeniowego kosztu odtworzenia 1m</w:t>
      </w:r>
      <w:r w:rsidR="00320D92" w:rsidRPr="00FE30DC">
        <w:rPr>
          <w:rFonts w:ascii="Times New Roman" w:eastAsia="Times New Roman" w:hAnsi="Times New Roman" w:cs="Times New Roman"/>
          <w:color w:val="000000" w:themeColor="text1"/>
          <w:sz w:val="24"/>
          <w:szCs w:val="24"/>
          <w:vertAlign w:val="superscript"/>
        </w:rPr>
        <w:t>2</w:t>
      </w:r>
      <w:r w:rsidR="00320D92" w:rsidRPr="00FE30DC">
        <w:rPr>
          <w:rFonts w:ascii="Times New Roman" w:eastAsia="Times New Roman" w:hAnsi="Times New Roman" w:cs="Times New Roman"/>
          <w:color w:val="000000" w:themeColor="text1"/>
          <w:sz w:val="24"/>
          <w:szCs w:val="24"/>
        </w:rPr>
        <w:t xml:space="preserve"> powierzchni użytkowej budynków mieszkalnych odnosi się do minimalnego standardu mieszkaniowego, jaki </w:t>
      </w:r>
      <w:r w:rsidR="005F12BB" w:rsidRPr="00FE30DC">
        <w:rPr>
          <w:rFonts w:ascii="Times New Roman" w:eastAsia="Times New Roman" w:hAnsi="Times New Roman" w:cs="Times New Roman"/>
          <w:color w:val="000000" w:themeColor="text1"/>
          <w:sz w:val="24"/>
          <w:szCs w:val="24"/>
        </w:rPr>
        <w:t xml:space="preserve">można </w:t>
      </w:r>
      <w:r w:rsidR="00320D92" w:rsidRPr="00FE30DC">
        <w:rPr>
          <w:rFonts w:ascii="Times New Roman" w:eastAsia="Times New Roman" w:hAnsi="Times New Roman" w:cs="Times New Roman"/>
          <w:color w:val="000000" w:themeColor="text1"/>
          <w:sz w:val="24"/>
          <w:szCs w:val="24"/>
        </w:rPr>
        <w:t>wywieść z przepisów techniczno-budowlanych, zgodnie bowiem z § 94 rozporządzenia Ministra Infrastruktu</w:t>
      </w:r>
      <w:r w:rsidR="00FE30DC">
        <w:rPr>
          <w:rFonts w:ascii="Times New Roman" w:eastAsia="Times New Roman" w:hAnsi="Times New Roman" w:cs="Times New Roman"/>
          <w:color w:val="000000" w:themeColor="text1"/>
          <w:sz w:val="24"/>
          <w:szCs w:val="24"/>
        </w:rPr>
        <w:t>ry z dnia 12 kwietnia 2002 r. w </w:t>
      </w:r>
      <w:r w:rsidR="00320D92" w:rsidRPr="00FE30DC">
        <w:rPr>
          <w:rFonts w:ascii="Times New Roman" w:eastAsia="Times New Roman" w:hAnsi="Times New Roman" w:cs="Times New Roman"/>
          <w:color w:val="000000" w:themeColor="text1"/>
          <w:sz w:val="24"/>
          <w:szCs w:val="24"/>
        </w:rPr>
        <w:t>sprawie warunków technicznych, jakim powinny odpowiadać budynki i ich usytuowanie (Dz. U. z 2019 r. poz. 1065</w:t>
      </w:r>
      <w:r w:rsidR="00C67158" w:rsidRPr="00FE30DC">
        <w:rPr>
          <w:rFonts w:ascii="Times New Roman" w:eastAsia="Times New Roman" w:hAnsi="Times New Roman" w:cs="Times New Roman"/>
          <w:color w:val="000000" w:themeColor="text1"/>
          <w:sz w:val="24"/>
          <w:szCs w:val="24"/>
        </w:rPr>
        <w:t>,</w:t>
      </w:r>
      <w:r w:rsidR="00320D92" w:rsidRPr="00FE30DC">
        <w:rPr>
          <w:rFonts w:ascii="Times New Roman" w:eastAsia="Times New Roman" w:hAnsi="Times New Roman" w:cs="Times New Roman"/>
          <w:color w:val="000000" w:themeColor="text1"/>
          <w:sz w:val="24"/>
          <w:szCs w:val="24"/>
        </w:rPr>
        <w:t xml:space="preserve"> z</w:t>
      </w:r>
      <w:r w:rsidR="00C67158" w:rsidRPr="00FE30DC">
        <w:rPr>
          <w:rFonts w:ascii="Times New Roman" w:eastAsia="Times New Roman" w:hAnsi="Times New Roman" w:cs="Times New Roman"/>
          <w:color w:val="000000" w:themeColor="text1"/>
          <w:sz w:val="24"/>
          <w:szCs w:val="24"/>
        </w:rPr>
        <w:t xml:space="preserve"> późn.</w:t>
      </w:r>
      <w:r w:rsidR="00320D92" w:rsidRPr="00FE30DC">
        <w:rPr>
          <w:rFonts w:ascii="Times New Roman" w:eastAsia="Times New Roman" w:hAnsi="Times New Roman" w:cs="Times New Roman"/>
          <w:color w:val="000000" w:themeColor="text1"/>
          <w:sz w:val="24"/>
          <w:szCs w:val="24"/>
        </w:rPr>
        <w:t xml:space="preserve"> zm.) mieszkanie powinno mieć powierzchnię użytkową nie mniejszą niż 25 m</w:t>
      </w:r>
      <w:r w:rsidR="00320D92" w:rsidRPr="00FE30DC">
        <w:rPr>
          <w:rFonts w:ascii="Times New Roman" w:eastAsia="Times New Roman" w:hAnsi="Times New Roman" w:cs="Times New Roman"/>
          <w:color w:val="000000" w:themeColor="text1"/>
          <w:sz w:val="24"/>
          <w:szCs w:val="24"/>
          <w:vertAlign w:val="superscript"/>
        </w:rPr>
        <w:t>2</w:t>
      </w:r>
      <w:r w:rsidR="00320D92" w:rsidRPr="00FE30DC">
        <w:rPr>
          <w:rFonts w:ascii="Times New Roman" w:eastAsia="Times New Roman" w:hAnsi="Times New Roman" w:cs="Times New Roman"/>
          <w:color w:val="000000" w:themeColor="text1"/>
          <w:sz w:val="24"/>
          <w:szCs w:val="24"/>
        </w:rPr>
        <w:t>.</w:t>
      </w:r>
    </w:p>
    <w:p w14:paraId="573EBCC8" w14:textId="3409899D"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Możliwość zastosowania opisanego powyżej mechanizmu ustalenia minimalnej wysokości odszkodowania </w:t>
      </w:r>
      <w:r w:rsidR="005F12BB" w:rsidRPr="00FE30DC">
        <w:rPr>
          <w:rFonts w:ascii="Times New Roman" w:eastAsia="Times New Roman" w:hAnsi="Times New Roman" w:cs="Times New Roman"/>
          <w:color w:val="000000" w:themeColor="text1"/>
          <w:sz w:val="24"/>
          <w:szCs w:val="24"/>
        </w:rPr>
        <w:t xml:space="preserve">jest </w:t>
      </w:r>
      <w:r w:rsidRPr="00FE30DC">
        <w:rPr>
          <w:rFonts w:ascii="Times New Roman" w:eastAsia="Times New Roman" w:hAnsi="Times New Roman" w:cs="Times New Roman"/>
          <w:color w:val="000000" w:themeColor="text1"/>
          <w:sz w:val="24"/>
          <w:szCs w:val="24"/>
        </w:rPr>
        <w:t>ograniczon</w:t>
      </w:r>
      <w:r w:rsidR="00C43973" w:rsidRPr="00FE30DC">
        <w:rPr>
          <w:rFonts w:ascii="Times New Roman" w:eastAsia="Times New Roman" w:hAnsi="Times New Roman" w:cs="Times New Roman"/>
          <w:color w:val="000000" w:themeColor="text1"/>
          <w:sz w:val="24"/>
          <w:szCs w:val="24"/>
        </w:rPr>
        <w:t>a</w:t>
      </w:r>
      <w:r w:rsidRPr="00FE30DC">
        <w:rPr>
          <w:rFonts w:ascii="Times New Roman" w:eastAsia="Times New Roman" w:hAnsi="Times New Roman" w:cs="Times New Roman"/>
          <w:color w:val="000000" w:themeColor="text1"/>
          <w:sz w:val="24"/>
          <w:szCs w:val="24"/>
        </w:rPr>
        <w:t xml:space="preserve"> do przypadków, w których właściciel albo użytkownik wieczysty – oraz każda kolejna osoba uwzględniona w obliczeniu – </w:t>
      </w:r>
      <w:r w:rsidR="005F12BB" w:rsidRPr="00FE30DC">
        <w:rPr>
          <w:rFonts w:ascii="Times New Roman" w:eastAsia="Times New Roman" w:hAnsi="Times New Roman" w:cs="Times New Roman"/>
          <w:color w:val="000000" w:themeColor="text1"/>
          <w:sz w:val="24"/>
          <w:szCs w:val="24"/>
        </w:rPr>
        <w:t xml:space="preserve">są </w:t>
      </w:r>
      <w:r w:rsidRPr="00FE30DC">
        <w:rPr>
          <w:rFonts w:ascii="Times New Roman" w:eastAsia="Times New Roman" w:hAnsi="Times New Roman" w:cs="Times New Roman"/>
          <w:color w:val="000000" w:themeColor="text1"/>
          <w:sz w:val="24"/>
          <w:szCs w:val="24"/>
        </w:rPr>
        <w:t>zameldowani na nieruchomości na pobyt stały</w:t>
      </w:r>
      <w:r w:rsidR="00B142B8"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 xml:space="preserve">Osoby inne niż właściciel albo użytkownik wieczysty, w celu uwzględnienia w obliczeniu dokonywanym na mocy opisywanych przepisów, muszą stanowić osoby bliskie. Kategoria prawna osoby bliskiej </w:t>
      </w:r>
      <w:r w:rsidR="006B5F33" w:rsidRPr="00FE30DC">
        <w:rPr>
          <w:rFonts w:ascii="Times New Roman" w:eastAsia="Times New Roman" w:hAnsi="Times New Roman" w:cs="Times New Roman"/>
          <w:color w:val="000000" w:themeColor="text1"/>
          <w:sz w:val="24"/>
          <w:szCs w:val="24"/>
        </w:rPr>
        <w:t xml:space="preserve">jest </w:t>
      </w:r>
      <w:r w:rsidRPr="00FE30DC">
        <w:rPr>
          <w:rFonts w:ascii="Times New Roman" w:eastAsia="Times New Roman" w:hAnsi="Times New Roman" w:cs="Times New Roman"/>
          <w:color w:val="000000" w:themeColor="text1"/>
          <w:sz w:val="24"/>
          <w:szCs w:val="24"/>
        </w:rPr>
        <w:t xml:space="preserve">zdefiniowana </w:t>
      </w:r>
      <w:r w:rsidR="00FE30DC">
        <w:rPr>
          <w:rFonts w:ascii="Times New Roman" w:eastAsia="Times New Roman" w:hAnsi="Times New Roman" w:cs="Times New Roman"/>
          <w:color w:val="000000" w:themeColor="text1"/>
          <w:sz w:val="24"/>
          <w:szCs w:val="24"/>
        </w:rPr>
        <w:t>w art. 4 pkt </w:t>
      </w:r>
      <w:r w:rsidRPr="00FE30DC">
        <w:rPr>
          <w:rFonts w:ascii="Times New Roman" w:eastAsia="Times New Roman" w:hAnsi="Times New Roman" w:cs="Times New Roman"/>
          <w:color w:val="000000" w:themeColor="text1"/>
          <w:sz w:val="24"/>
          <w:szCs w:val="24"/>
        </w:rPr>
        <w:t xml:space="preserve">13 </w:t>
      </w:r>
      <w:r w:rsidRPr="00FE30DC">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zgodnie z którym przez osobę bliską należy rozumieć zstępnych, wstępnych, rodzeństwo, dzieci rodzeństwa, małżonka, osoby przysposabiające i</w:t>
      </w:r>
      <w:r w:rsidR="00D956D8"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przysposobione oraz osobę, która pozostaje ze zbywcą faktycznie we wspólnym pożyciu.</w:t>
      </w:r>
    </w:p>
    <w:p w14:paraId="189FE3C0" w14:textId="46FE9814" w:rsidR="00B142B8" w:rsidRPr="00FE30DC" w:rsidRDefault="00B142B8"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Dla uniknięcia nadużyć związanych ze stosowaniem ww. przepisu przewidziano ustalenie liczby osób zameldowanych wg stanu na dzień </w:t>
      </w:r>
      <w:r w:rsidR="00F863D3" w:rsidRPr="00FE30DC">
        <w:rPr>
          <w:rFonts w:ascii="Times New Roman" w:eastAsia="Times New Roman" w:hAnsi="Times New Roman" w:cs="Times New Roman"/>
          <w:color w:val="000000" w:themeColor="text1"/>
          <w:sz w:val="24"/>
          <w:szCs w:val="24"/>
        </w:rPr>
        <w:t xml:space="preserve">złożenia wniosku o </w:t>
      </w:r>
      <w:r w:rsidRPr="00FE30DC">
        <w:rPr>
          <w:rFonts w:ascii="Times New Roman" w:eastAsia="Times New Roman" w:hAnsi="Times New Roman" w:cs="Times New Roman"/>
          <w:color w:val="000000" w:themeColor="text1"/>
          <w:sz w:val="24"/>
          <w:szCs w:val="24"/>
        </w:rPr>
        <w:t>wydani</w:t>
      </w:r>
      <w:r w:rsidR="00F863D3" w:rsidRPr="00FE30DC">
        <w:rPr>
          <w:rFonts w:ascii="Times New Roman" w:eastAsia="Times New Roman" w:hAnsi="Times New Roman" w:cs="Times New Roman"/>
          <w:color w:val="000000" w:themeColor="text1"/>
          <w:sz w:val="24"/>
          <w:szCs w:val="24"/>
        </w:rPr>
        <w:t>e</w:t>
      </w:r>
      <w:r w:rsidRPr="00FE30DC">
        <w:rPr>
          <w:rFonts w:ascii="Times New Roman" w:eastAsia="Times New Roman" w:hAnsi="Times New Roman" w:cs="Times New Roman"/>
          <w:color w:val="000000" w:themeColor="text1"/>
          <w:sz w:val="24"/>
          <w:szCs w:val="24"/>
        </w:rPr>
        <w:t xml:space="preserve"> decyzji o</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środowiskowych uwarunkowaniach, a w przypadku gdy w procesie inwestycyjnym decyzja taka nie jest wymagana albo wywłaszczenie następuje na „nieinwestycyjny” cel publiczny (np. związany z ochroną zabytków) – wg stanu z dnia złożenia wniosku o wydanie dec</w:t>
      </w:r>
      <w:r w:rsidR="00FE30DC">
        <w:rPr>
          <w:rFonts w:ascii="Times New Roman" w:eastAsia="Times New Roman" w:hAnsi="Times New Roman" w:cs="Times New Roman"/>
          <w:color w:val="000000" w:themeColor="text1"/>
          <w:sz w:val="24"/>
          <w:szCs w:val="24"/>
        </w:rPr>
        <w:t>yzji dokonującej wywłaszczenia.</w:t>
      </w:r>
    </w:p>
    <w:p w14:paraId="1868FDDD" w14:textId="0430DEE3" w:rsidR="00696752" w:rsidRPr="00FE30DC" w:rsidRDefault="00A7438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lastRenderedPageBreak/>
        <w:t>W projektowanych przepisach uwzględniono ochronę interesów spadkobierców właściciela nieruchomości</w:t>
      </w:r>
      <w:r w:rsidR="00544418" w:rsidRPr="00FE30DC">
        <w:rPr>
          <w:rFonts w:ascii="Times New Roman" w:eastAsia="Times New Roman" w:hAnsi="Times New Roman" w:cs="Times New Roman"/>
          <w:color w:val="000000" w:themeColor="text1"/>
          <w:sz w:val="24"/>
          <w:szCs w:val="24"/>
        </w:rPr>
        <w:t xml:space="preserve"> przez skrócenie </w:t>
      </w:r>
      <w:r w:rsidR="00114C71" w:rsidRPr="00FE30DC">
        <w:rPr>
          <w:rFonts w:ascii="Times New Roman" w:eastAsia="Times New Roman" w:hAnsi="Times New Roman" w:cs="Times New Roman"/>
          <w:color w:val="000000" w:themeColor="text1"/>
          <w:sz w:val="24"/>
          <w:szCs w:val="24"/>
        </w:rPr>
        <w:t xml:space="preserve">wymaganego </w:t>
      </w:r>
      <w:r w:rsidR="00544418" w:rsidRPr="00FE30DC">
        <w:rPr>
          <w:rFonts w:ascii="Times New Roman" w:eastAsia="Times New Roman" w:hAnsi="Times New Roman" w:cs="Times New Roman"/>
          <w:color w:val="000000" w:themeColor="text1"/>
          <w:sz w:val="24"/>
          <w:szCs w:val="24"/>
        </w:rPr>
        <w:t xml:space="preserve">okresu zameldowania (w przypadku </w:t>
      </w:r>
      <w:r w:rsidR="00FE30DC">
        <w:rPr>
          <w:rFonts w:ascii="Times New Roman" w:eastAsia="Times New Roman" w:hAnsi="Times New Roman" w:cs="Times New Roman"/>
          <w:color w:val="000000" w:themeColor="text1"/>
          <w:sz w:val="24"/>
          <w:szCs w:val="24"/>
        </w:rPr>
        <w:t>nabycia w </w:t>
      </w:r>
      <w:r w:rsidR="00753C4D" w:rsidRPr="00FE30DC">
        <w:rPr>
          <w:rFonts w:ascii="Times New Roman" w:eastAsia="Times New Roman" w:hAnsi="Times New Roman" w:cs="Times New Roman"/>
          <w:color w:val="000000" w:themeColor="text1"/>
          <w:sz w:val="24"/>
          <w:szCs w:val="24"/>
        </w:rPr>
        <w:t>drodze dziedziczenia, zapisu albo zapisu windykacyjnego prawa własności lub prawa użytkowania wieczystego, w trakcie biegu terminu</w:t>
      </w:r>
      <w:r w:rsidR="00544418" w:rsidRPr="00FE30DC">
        <w:rPr>
          <w:rFonts w:ascii="Times New Roman" w:eastAsia="Times New Roman" w:hAnsi="Times New Roman" w:cs="Times New Roman"/>
          <w:color w:val="000000" w:themeColor="text1"/>
          <w:sz w:val="24"/>
          <w:szCs w:val="24"/>
        </w:rPr>
        <w:t>)</w:t>
      </w:r>
      <w:r w:rsidR="00114C71" w:rsidRPr="00FE30DC">
        <w:rPr>
          <w:rFonts w:ascii="Times New Roman" w:eastAsia="Times New Roman" w:hAnsi="Times New Roman" w:cs="Times New Roman"/>
          <w:color w:val="000000" w:themeColor="text1"/>
          <w:sz w:val="24"/>
          <w:szCs w:val="24"/>
        </w:rPr>
        <w:t>.</w:t>
      </w:r>
    </w:p>
    <w:p w14:paraId="2EA372FA" w14:textId="36C0B12A"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Regulacje związane z instytucją zameldowania na pobyt stały </w:t>
      </w:r>
      <w:r w:rsidR="006B5F33" w:rsidRPr="00FE30DC">
        <w:rPr>
          <w:rFonts w:ascii="Times New Roman" w:eastAsia="Times New Roman" w:hAnsi="Times New Roman" w:cs="Times New Roman"/>
          <w:color w:val="000000" w:themeColor="text1"/>
          <w:sz w:val="24"/>
          <w:szCs w:val="24"/>
        </w:rPr>
        <w:t xml:space="preserve">są </w:t>
      </w:r>
      <w:r w:rsidRPr="00FE30DC">
        <w:rPr>
          <w:rFonts w:ascii="Times New Roman" w:eastAsia="Times New Roman" w:hAnsi="Times New Roman" w:cs="Times New Roman"/>
          <w:color w:val="000000" w:themeColor="text1"/>
          <w:sz w:val="24"/>
          <w:szCs w:val="24"/>
        </w:rPr>
        <w:t>zawarte w ustawie z dnia 24</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września 2010 r. o ewidencji ludności (Dz. U. z 202</w:t>
      </w:r>
      <w:r w:rsidR="002E7C14">
        <w:rPr>
          <w:rFonts w:ascii="Times New Roman" w:eastAsia="Times New Roman" w:hAnsi="Times New Roman" w:cs="Times New Roman"/>
          <w:color w:val="000000" w:themeColor="text1"/>
          <w:sz w:val="24"/>
          <w:szCs w:val="24"/>
        </w:rPr>
        <w:t>2</w:t>
      </w:r>
      <w:r w:rsidRPr="00FE30DC">
        <w:rPr>
          <w:rFonts w:ascii="Times New Roman" w:eastAsia="Times New Roman" w:hAnsi="Times New Roman" w:cs="Times New Roman"/>
          <w:color w:val="000000" w:themeColor="text1"/>
          <w:sz w:val="24"/>
          <w:szCs w:val="24"/>
        </w:rPr>
        <w:t xml:space="preserve"> r. poz. </w:t>
      </w:r>
      <w:r w:rsidR="002E7C14">
        <w:rPr>
          <w:rFonts w:ascii="Times New Roman" w:eastAsia="Times New Roman" w:hAnsi="Times New Roman" w:cs="Times New Roman"/>
          <w:color w:val="000000" w:themeColor="text1"/>
          <w:sz w:val="24"/>
          <w:szCs w:val="24"/>
        </w:rPr>
        <w:t>1191</w:t>
      </w:r>
      <w:r w:rsidRPr="00FE30DC">
        <w:rPr>
          <w:rFonts w:ascii="Times New Roman" w:eastAsia="Times New Roman" w:hAnsi="Times New Roman" w:cs="Times New Roman"/>
          <w:color w:val="000000" w:themeColor="text1"/>
          <w:sz w:val="24"/>
          <w:szCs w:val="24"/>
        </w:rPr>
        <w:t>), zgodnie z</w:t>
      </w:r>
      <w:r w:rsidR="00CB4FCD"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którą obywatel polski przebywający na terytorium Rzeczypospolitej Polskiej jest obowiązany wykonywać obowiązek meldunkowy określony w ustawie (art. 24 ust. 1), zaś pobytem stałym jest zamieszkanie w określonej miejsc</w:t>
      </w:r>
      <w:r w:rsidR="00FE30DC">
        <w:rPr>
          <w:rFonts w:ascii="Times New Roman" w:eastAsia="Times New Roman" w:hAnsi="Times New Roman" w:cs="Times New Roman"/>
          <w:color w:val="000000" w:themeColor="text1"/>
          <w:sz w:val="24"/>
          <w:szCs w:val="24"/>
        </w:rPr>
        <w:t>owości pod oznaczonym adresem z </w:t>
      </w:r>
      <w:r w:rsidRPr="00FE30DC">
        <w:rPr>
          <w:rFonts w:ascii="Times New Roman" w:eastAsia="Times New Roman" w:hAnsi="Times New Roman" w:cs="Times New Roman"/>
          <w:color w:val="000000" w:themeColor="text1"/>
          <w:sz w:val="24"/>
          <w:szCs w:val="24"/>
        </w:rPr>
        <w:t>zamiarem stałego przebywania (art. 25 ust. 1).</w:t>
      </w:r>
      <w:r w:rsidR="6B9227BD" w:rsidRPr="00FE30DC">
        <w:rPr>
          <w:rFonts w:ascii="Times New Roman" w:eastAsia="Times New Roman" w:hAnsi="Times New Roman" w:cs="Times New Roman"/>
          <w:color w:val="000000" w:themeColor="text1"/>
          <w:sz w:val="24"/>
          <w:szCs w:val="24"/>
        </w:rPr>
        <w:t xml:space="preserve"> Z uwagi na utrwaloną obecność obowiązku meldunkowego w</w:t>
      </w:r>
      <w:r w:rsidR="00CB4FCD" w:rsidRPr="00FE30DC">
        <w:rPr>
          <w:rFonts w:ascii="Times New Roman" w:eastAsia="Times New Roman" w:hAnsi="Times New Roman" w:cs="Times New Roman"/>
          <w:color w:val="000000" w:themeColor="text1"/>
          <w:sz w:val="24"/>
          <w:szCs w:val="24"/>
        </w:rPr>
        <w:t> </w:t>
      </w:r>
      <w:r w:rsidR="6B9227BD" w:rsidRPr="00FE30DC">
        <w:rPr>
          <w:rFonts w:ascii="Times New Roman" w:eastAsia="Times New Roman" w:hAnsi="Times New Roman" w:cs="Times New Roman"/>
          <w:color w:val="000000" w:themeColor="text1"/>
          <w:sz w:val="24"/>
          <w:szCs w:val="24"/>
        </w:rPr>
        <w:t>polskim porządku prawnym uznano, że odwołanie się do tego obowiązku stanowi racjonalne kryterium różnicowania sytuacji os</w:t>
      </w:r>
      <w:r w:rsidR="00FE30DC">
        <w:rPr>
          <w:rFonts w:ascii="Times New Roman" w:eastAsia="Times New Roman" w:hAnsi="Times New Roman" w:cs="Times New Roman"/>
          <w:color w:val="000000" w:themeColor="text1"/>
          <w:sz w:val="24"/>
          <w:szCs w:val="24"/>
        </w:rPr>
        <w:t>ób, rezygnując w tym zakresie z </w:t>
      </w:r>
      <w:r w:rsidR="6B9227BD" w:rsidRPr="00FE30DC">
        <w:rPr>
          <w:rFonts w:ascii="Times New Roman" w:eastAsia="Times New Roman" w:hAnsi="Times New Roman" w:cs="Times New Roman"/>
          <w:color w:val="000000" w:themeColor="text1"/>
          <w:sz w:val="24"/>
          <w:szCs w:val="24"/>
        </w:rPr>
        <w:t xml:space="preserve">odwoływania się do kryterium faktycznego zamieszkiwania na nieruchomości, jako niezwykle trudnego do ustalenia w postępowaniu dowodowym prowadzonym przed organem administracji publicznej. </w:t>
      </w:r>
      <w:r w:rsidR="0D4904DC" w:rsidRPr="00FE30DC">
        <w:rPr>
          <w:rFonts w:ascii="Times New Roman" w:eastAsia="Times New Roman" w:hAnsi="Times New Roman" w:cs="Times New Roman"/>
          <w:color w:val="000000" w:themeColor="text1"/>
          <w:sz w:val="24"/>
          <w:szCs w:val="24"/>
        </w:rPr>
        <w:t xml:space="preserve">Dodatkowo wprowadzone warunki, związane z okresem zameldowania oraz uwzględnianiem wyłącznie osób bliskich, </w:t>
      </w:r>
      <w:r w:rsidR="006B5F33" w:rsidRPr="00FE30DC">
        <w:rPr>
          <w:rFonts w:ascii="Times New Roman" w:eastAsia="Times New Roman" w:hAnsi="Times New Roman" w:cs="Times New Roman"/>
          <w:color w:val="000000" w:themeColor="text1"/>
          <w:sz w:val="24"/>
          <w:szCs w:val="24"/>
        </w:rPr>
        <w:t xml:space="preserve">są </w:t>
      </w:r>
      <w:r w:rsidR="0D4904DC" w:rsidRPr="00FE30DC">
        <w:rPr>
          <w:rFonts w:ascii="Times New Roman" w:eastAsia="Times New Roman" w:hAnsi="Times New Roman" w:cs="Times New Roman"/>
          <w:color w:val="000000" w:themeColor="text1"/>
          <w:sz w:val="24"/>
          <w:szCs w:val="24"/>
        </w:rPr>
        <w:t>związane z zasadą racjonalnego i rzetelnego wydatkowania środków publicznych, w czym mieści się tworzenie regulacji prawnych zapobiegających nadużyciom. Przedmiotowe kryteria spełniają konstytucyjną zasadę równości wobec prawa (art. 32 Konstytucji RP)</w:t>
      </w:r>
      <w:r w:rsidR="7EC6C3EC" w:rsidRPr="00FE30DC">
        <w:rPr>
          <w:rFonts w:ascii="Times New Roman" w:eastAsia="Times New Roman" w:hAnsi="Times New Roman" w:cs="Times New Roman"/>
          <w:color w:val="000000" w:themeColor="text1"/>
          <w:sz w:val="24"/>
          <w:szCs w:val="24"/>
        </w:rPr>
        <w:t xml:space="preserve">. Przede wszystkim podkreślenia wymaga, że wprowadzone przesłanki nie warunkują otrzymania odszkodowania za wywłaszczenie </w:t>
      </w:r>
      <w:r w:rsidR="007617D5">
        <w:rPr>
          <w:rFonts w:ascii="Times New Roman" w:eastAsia="Times New Roman" w:hAnsi="Times New Roman" w:cs="Times New Roman"/>
          <w:color w:val="000000" w:themeColor="text1"/>
          <w:sz w:val="24"/>
          <w:szCs w:val="24"/>
        </w:rPr>
        <w:t>–</w:t>
      </w:r>
      <w:r w:rsidR="7EC6C3EC" w:rsidRPr="00FE30DC">
        <w:rPr>
          <w:rFonts w:ascii="Times New Roman" w:eastAsia="Times New Roman" w:hAnsi="Times New Roman" w:cs="Times New Roman"/>
          <w:color w:val="000000" w:themeColor="text1"/>
          <w:sz w:val="24"/>
          <w:szCs w:val="24"/>
        </w:rPr>
        <w:t xml:space="preserve"> są jedynie warunkiem ustalenia tego odszkodowania w szczególnym, wyjątkowym trybie. Ustawodawca ma szerokie możliwości kształtowania rozwiązań nietożsamych dla wszystkich adresatów normy prawnej, pod warunkiem przyjęcia relewantnych kryteriów różnicujących ich sytuację. </w:t>
      </w:r>
      <w:r w:rsidR="216A0DF0" w:rsidRPr="00FE30DC">
        <w:rPr>
          <w:rFonts w:ascii="Times New Roman" w:eastAsia="Times New Roman" w:hAnsi="Times New Roman" w:cs="Times New Roman"/>
          <w:color w:val="000000" w:themeColor="text1"/>
          <w:sz w:val="24"/>
          <w:szCs w:val="24"/>
        </w:rPr>
        <w:t>Odnośnie</w:t>
      </w:r>
      <w:r w:rsidR="00325B00">
        <w:rPr>
          <w:rFonts w:ascii="Times New Roman" w:eastAsia="Times New Roman" w:hAnsi="Times New Roman" w:cs="Times New Roman"/>
          <w:color w:val="000000" w:themeColor="text1"/>
          <w:sz w:val="24"/>
          <w:szCs w:val="24"/>
        </w:rPr>
        <w:t xml:space="preserve"> do</w:t>
      </w:r>
      <w:r w:rsidR="216A0DF0" w:rsidRPr="00FE30DC">
        <w:rPr>
          <w:rFonts w:ascii="Times New Roman" w:eastAsia="Times New Roman" w:hAnsi="Times New Roman" w:cs="Times New Roman"/>
          <w:color w:val="000000" w:themeColor="text1"/>
          <w:sz w:val="24"/>
          <w:szCs w:val="24"/>
        </w:rPr>
        <w:t xml:space="preserve"> zasady równości </w:t>
      </w:r>
      <w:r w:rsidR="00325B00">
        <w:rPr>
          <w:rFonts w:ascii="Times New Roman" w:eastAsia="Times New Roman" w:hAnsi="Times New Roman" w:cs="Times New Roman"/>
          <w:i/>
          <w:iCs/>
          <w:color w:val="000000" w:themeColor="text1"/>
          <w:sz w:val="24"/>
          <w:szCs w:val="24"/>
        </w:rPr>
        <w:t>„</w:t>
      </w:r>
      <w:r w:rsidR="216A0DF0" w:rsidRPr="00FE30DC">
        <w:rPr>
          <w:rFonts w:ascii="Times New Roman" w:eastAsia="Times New Roman" w:hAnsi="Times New Roman" w:cs="Times New Roman"/>
          <w:i/>
          <w:iCs/>
          <w:color w:val="000000" w:themeColor="text1"/>
          <w:sz w:val="24"/>
          <w:szCs w:val="24"/>
        </w:rPr>
        <w:t>Raz jeszcze trzeba podkreślić, że postulat równości nie może być utożsamiany z nakazem identyczności. Celem i istotą regulacji prawnych jest wprowadzanie zróżnicowań. Dopóki te zróżnicowania prawne odpowiadają obiektywnie istniejącym różnicom między adresatami norm prawnych, problem naruszenia zasady równości nie powstaje. Rozważać jedynie należy, czy i w jakim zakresie prawo może zacierać czy ignorować owe obiektywnie istniejące różnice, a więc, czy zasada równości oznacza też nakaz odmiennego traktowania podmiotów (sytuacji) odmiennych.”</w:t>
      </w:r>
      <w:r w:rsidR="216A0DF0" w:rsidRPr="00FE30DC">
        <w:rPr>
          <w:rFonts w:ascii="Times New Roman" w:eastAsia="Times New Roman" w:hAnsi="Times New Roman" w:cs="Times New Roman"/>
          <w:color w:val="000000" w:themeColor="text1"/>
          <w:sz w:val="24"/>
          <w:szCs w:val="24"/>
        </w:rPr>
        <w:t xml:space="preserve"> (L. Garlicki, M. Zubik [w:] M. Derlatka, K. Dz</w:t>
      </w:r>
      <w:r w:rsidR="00FE30DC">
        <w:rPr>
          <w:rFonts w:ascii="Times New Roman" w:eastAsia="Times New Roman" w:hAnsi="Times New Roman" w:cs="Times New Roman"/>
          <w:color w:val="000000" w:themeColor="text1"/>
          <w:sz w:val="24"/>
          <w:szCs w:val="24"/>
        </w:rPr>
        <w:t>iałocha, S. Jarosz-Żukowska, A. </w:t>
      </w:r>
      <w:r w:rsidR="216A0DF0" w:rsidRPr="00FE30DC">
        <w:rPr>
          <w:rFonts w:ascii="Times New Roman" w:eastAsia="Times New Roman" w:hAnsi="Times New Roman" w:cs="Times New Roman"/>
          <w:color w:val="000000" w:themeColor="text1"/>
          <w:sz w:val="24"/>
          <w:szCs w:val="24"/>
        </w:rPr>
        <w:t>Łukaszczuk, P. Sarnecki, W.</w:t>
      </w:r>
      <w:r w:rsidR="00FE30DC">
        <w:rPr>
          <w:rFonts w:ascii="Times New Roman" w:eastAsia="Times New Roman" w:hAnsi="Times New Roman" w:cs="Times New Roman"/>
          <w:color w:val="000000" w:themeColor="text1"/>
          <w:sz w:val="24"/>
          <w:szCs w:val="24"/>
        </w:rPr>
        <w:t xml:space="preserve"> </w:t>
      </w:r>
      <w:r w:rsidR="216A0DF0" w:rsidRPr="00FE30DC">
        <w:rPr>
          <w:rFonts w:ascii="Times New Roman" w:eastAsia="Times New Roman" w:hAnsi="Times New Roman" w:cs="Times New Roman"/>
          <w:color w:val="000000" w:themeColor="text1"/>
          <w:sz w:val="24"/>
          <w:szCs w:val="24"/>
        </w:rPr>
        <w:t>Sokolewicz, J. Trzcińs</w:t>
      </w:r>
      <w:r w:rsidR="00FE30DC">
        <w:rPr>
          <w:rFonts w:ascii="Times New Roman" w:eastAsia="Times New Roman" w:hAnsi="Times New Roman" w:cs="Times New Roman"/>
          <w:color w:val="000000" w:themeColor="text1"/>
          <w:sz w:val="24"/>
          <w:szCs w:val="24"/>
        </w:rPr>
        <w:t>ki, M. Wiącek, K. Wojtyczek, L. </w:t>
      </w:r>
      <w:r w:rsidR="216A0DF0" w:rsidRPr="00FE30DC">
        <w:rPr>
          <w:rFonts w:ascii="Times New Roman" w:eastAsia="Times New Roman" w:hAnsi="Times New Roman" w:cs="Times New Roman"/>
          <w:color w:val="000000" w:themeColor="text1"/>
          <w:sz w:val="24"/>
          <w:szCs w:val="24"/>
        </w:rPr>
        <w:t>Garlicki, M. Zubik, Konstytucja Rzeczypospolitej Po</w:t>
      </w:r>
      <w:r w:rsidR="00FE30DC">
        <w:rPr>
          <w:rFonts w:ascii="Times New Roman" w:eastAsia="Times New Roman" w:hAnsi="Times New Roman" w:cs="Times New Roman"/>
          <w:color w:val="000000" w:themeColor="text1"/>
          <w:sz w:val="24"/>
          <w:szCs w:val="24"/>
        </w:rPr>
        <w:t>lskiej. Komentarz. Tom II, wyd. </w:t>
      </w:r>
      <w:r w:rsidR="216A0DF0" w:rsidRPr="00FE30DC">
        <w:rPr>
          <w:rFonts w:ascii="Times New Roman" w:eastAsia="Times New Roman" w:hAnsi="Times New Roman" w:cs="Times New Roman"/>
          <w:color w:val="000000" w:themeColor="text1"/>
          <w:sz w:val="24"/>
          <w:szCs w:val="24"/>
        </w:rPr>
        <w:t xml:space="preserve">II, Warszawa 2016, art. 32). W ocenie </w:t>
      </w:r>
      <w:r w:rsidR="216A0DF0" w:rsidRPr="00FE30DC">
        <w:rPr>
          <w:rFonts w:ascii="Times New Roman" w:eastAsia="Times New Roman" w:hAnsi="Times New Roman" w:cs="Times New Roman"/>
          <w:color w:val="000000" w:themeColor="text1"/>
          <w:sz w:val="24"/>
          <w:szCs w:val="24"/>
        </w:rPr>
        <w:lastRenderedPageBreak/>
        <w:t>projektodawcy zastosowane kryteria różnicujące odpowiadają obiektywnie istniejącym różnicom, o których mowa w wypowiedzi doktryny przytoczonej powyżej, sprowadzają się bowiem do kr</w:t>
      </w:r>
      <w:r w:rsidR="00FE30DC">
        <w:rPr>
          <w:rFonts w:ascii="Times New Roman" w:eastAsia="Times New Roman" w:hAnsi="Times New Roman" w:cs="Times New Roman"/>
          <w:color w:val="000000" w:themeColor="text1"/>
          <w:sz w:val="24"/>
          <w:szCs w:val="24"/>
        </w:rPr>
        <w:t>yterium zachowania zgodnego z </w:t>
      </w:r>
      <w:r w:rsidR="39933125" w:rsidRPr="00FE30DC">
        <w:rPr>
          <w:rFonts w:ascii="Times New Roman" w:eastAsia="Times New Roman" w:hAnsi="Times New Roman" w:cs="Times New Roman"/>
          <w:color w:val="000000" w:themeColor="text1"/>
          <w:sz w:val="24"/>
          <w:szCs w:val="24"/>
        </w:rPr>
        <w:t>prawem (obowiązek meldunkowy) oraz niezwykle istotnego dla kształtowania sytuacji społeczno-ekonomicznej jed</w:t>
      </w:r>
      <w:r w:rsidR="00FE30DC">
        <w:rPr>
          <w:rFonts w:ascii="Times New Roman" w:eastAsia="Times New Roman" w:hAnsi="Times New Roman" w:cs="Times New Roman"/>
          <w:color w:val="000000" w:themeColor="text1"/>
          <w:sz w:val="24"/>
          <w:szCs w:val="24"/>
        </w:rPr>
        <w:t>nostek kryterium spokrewnienia.</w:t>
      </w:r>
    </w:p>
    <w:p w14:paraId="7745EA6B" w14:textId="7063CCC8" w:rsidR="00B929F2" w:rsidRPr="00FE30DC" w:rsidRDefault="00B929F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Dodatkowo przy ustalaniu liczby osób zameldowanych na pobyt stały pomija się osoby posiadające tytuł prawny do innego lokalu mieszkalnego lub budynku mieszkalnego. Określanie zwiększonego odszkodowania przy uwzględnieniu takich </w:t>
      </w:r>
      <w:r w:rsidR="00D718A5" w:rsidRPr="00FE30DC">
        <w:rPr>
          <w:rFonts w:ascii="Times New Roman" w:eastAsia="Times New Roman" w:hAnsi="Times New Roman" w:cs="Times New Roman"/>
          <w:color w:val="000000" w:themeColor="text1"/>
          <w:sz w:val="24"/>
          <w:szCs w:val="24"/>
        </w:rPr>
        <w:t xml:space="preserve">osób </w:t>
      </w:r>
      <w:r w:rsidRPr="00FE30DC">
        <w:rPr>
          <w:rFonts w:ascii="Times New Roman" w:eastAsia="Times New Roman" w:hAnsi="Times New Roman" w:cs="Times New Roman"/>
          <w:color w:val="000000" w:themeColor="text1"/>
          <w:sz w:val="24"/>
          <w:szCs w:val="24"/>
        </w:rPr>
        <w:t>stanowiłoby nieracjonalne wydatkowanie środków publicznych w sytuacji, gdy osoby te – mimo zameldowania na wywłaszczanej nieruchomości – mogą zaspokoić swoje potrzeby mieszkaniowe w ramach innej nieruchomości. Podstawą ustalenia tej okoliczności ma być oświadczenie składane pod rygorem odpowiedzialności karnej za składanie fałszywych zeznań. Składający oświadczenie jest obowiązany do zawarcia w nim klauzuli następującej treści: ,,Jestem świadomy odpowiedzialności karnej za złożenie fałszywego oświadczenia.</w:t>
      </w:r>
      <w:r w:rsidR="007B4A16" w:rsidRPr="00FE30DC">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Klauzula ta zastępuje pouczenie organu o odpowiedzialności karnej za składanie fałszywych zeznań. Analogiczny środek dowodowy</w:t>
      </w:r>
      <w:r w:rsidR="00376DB6" w:rsidRPr="00FE30DC">
        <w:rPr>
          <w:rFonts w:ascii="Times New Roman" w:eastAsia="Times New Roman" w:hAnsi="Times New Roman" w:cs="Times New Roman"/>
          <w:color w:val="000000" w:themeColor="text1"/>
          <w:sz w:val="24"/>
          <w:szCs w:val="24"/>
        </w:rPr>
        <w:t xml:space="preserve"> pozyskiwany pod rygorem odpowiedzialności karnej</w:t>
      </w:r>
      <w:r w:rsidRPr="00FE30DC">
        <w:rPr>
          <w:rFonts w:ascii="Times New Roman" w:eastAsia="Times New Roman" w:hAnsi="Times New Roman" w:cs="Times New Roman"/>
          <w:color w:val="000000" w:themeColor="text1"/>
          <w:sz w:val="24"/>
          <w:szCs w:val="24"/>
        </w:rPr>
        <w:t xml:space="preserve"> znajduje się przykładowo w art. 116 ust. 2a </w:t>
      </w:r>
      <w:r w:rsidRPr="00FE30DC">
        <w:rPr>
          <w:rFonts w:ascii="Times New Roman" w:eastAsia="Times New Roman" w:hAnsi="Times New Roman" w:cs="Times New Roman"/>
          <w:i/>
          <w:iCs/>
          <w:color w:val="000000" w:themeColor="text1"/>
          <w:sz w:val="24"/>
          <w:szCs w:val="24"/>
        </w:rPr>
        <w:t>ugn</w:t>
      </w:r>
      <w:r w:rsidR="00FE30DC">
        <w:rPr>
          <w:rFonts w:ascii="Times New Roman" w:eastAsia="Times New Roman" w:hAnsi="Times New Roman" w:cs="Times New Roman"/>
          <w:color w:val="000000" w:themeColor="text1"/>
          <w:sz w:val="24"/>
          <w:szCs w:val="24"/>
        </w:rPr>
        <w:t>.</w:t>
      </w:r>
    </w:p>
    <w:p w14:paraId="3E544BC8" w14:textId="09FDD8E6" w:rsidR="008F21F7" w:rsidRDefault="008F21F7"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Odpowiednia zmiana dostosowawcza w zakresie stosowania powyższych regulacji (bonusy procentowe oraz odszkodowanie oparte o liczbę osób zameldowanych) do nabywania umownego nieruchomości w wyniku rokowań znajduje się w </w:t>
      </w:r>
      <w:r w:rsidR="00FE30DC">
        <w:rPr>
          <w:rFonts w:ascii="Times New Roman" w:eastAsia="Times New Roman" w:hAnsi="Times New Roman" w:cs="Times New Roman"/>
          <w:color w:val="000000" w:themeColor="text1"/>
          <w:sz w:val="24"/>
          <w:szCs w:val="24"/>
        </w:rPr>
        <w:t xml:space="preserve">dodawanym </w:t>
      </w:r>
      <w:r w:rsidR="00507B63" w:rsidRPr="00FE30DC">
        <w:rPr>
          <w:rFonts w:ascii="Times New Roman" w:eastAsia="Times New Roman" w:hAnsi="Times New Roman" w:cs="Times New Roman"/>
          <w:color w:val="000000" w:themeColor="text1"/>
          <w:sz w:val="24"/>
          <w:szCs w:val="24"/>
        </w:rPr>
        <w:t xml:space="preserve">w </w:t>
      </w:r>
      <w:r w:rsidR="00FE30DC">
        <w:rPr>
          <w:rFonts w:ascii="Times New Roman" w:eastAsia="Times New Roman" w:hAnsi="Times New Roman" w:cs="Times New Roman"/>
          <w:color w:val="000000" w:themeColor="text1"/>
          <w:sz w:val="24"/>
          <w:szCs w:val="24"/>
        </w:rPr>
        <w:t>art. 114 ust. </w:t>
      </w:r>
      <w:r w:rsidRPr="00FE30DC">
        <w:rPr>
          <w:rFonts w:ascii="Times New Roman" w:eastAsia="Times New Roman" w:hAnsi="Times New Roman" w:cs="Times New Roman"/>
          <w:color w:val="000000" w:themeColor="text1"/>
          <w:sz w:val="24"/>
          <w:szCs w:val="24"/>
        </w:rPr>
        <w:t>1a. Umowna forma nabycia nieruchomości w warunkach tego przepisu nie wyklucza bowiem przymusowego charakteru tej czynności, gdy nieruchomość została przeznaczona na cel publiczny (wyrok TK w sprawie SK 39/15).</w:t>
      </w:r>
    </w:p>
    <w:p w14:paraId="6A769A30" w14:textId="77777777" w:rsidR="004324C9" w:rsidRPr="00FE30DC" w:rsidRDefault="004324C9" w:rsidP="00FE30DC">
      <w:pPr>
        <w:spacing w:before="120" w:after="0" w:line="360" w:lineRule="auto"/>
        <w:jc w:val="both"/>
        <w:rPr>
          <w:rFonts w:ascii="Times New Roman" w:eastAsia="Times New Roman" w:hAnsi="Times New Roman" w:cs="Times New Roman"/>
          <w:color w:val="000000" w:themeColor="text1"/>
          <w:sz w:val="24"/>
          <w:szCs w:val="24"/>
        </w:rPr>
      </w:pPr>
    </w:p>
    <w:p w14:paraId="4218A405" w14:textId="6C9D25CA" w:rsidR="00E05B16" w:rsidRPr="00FE30DC" w:rsidRDefault="00E05B16" w:rsidP="00FE30DC">
      <w:pPr>
        <w:pStyle w:val="Akapitzlist"/>
        <w:numPr>
          <w:ilvl w:val="1"/>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b/>
          <w:bCs/>
          <w:color w:val="000000" w:themeColor="text1"/>
          <w:sz w:val="24"/>
          <w:szCs w:val="24"/>
        </w:rPr>
        <w:t>Roszczenie cywilnoprawne</w:t>
      </w:r>
    </w:p>
    <w:p w14:paraId="6A383C2F" w14:textId="1EE05053" w:rsidR="00696752" w:rsidRPr="00FE30DC" w:rsidRDefault="00E41DC0"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Jako </w:t>
      </w:r>
      <w:r w:rsidR="00256EEA" w:rsidRPr="00FE30DC">
        <w:rPr>
          <w:rFonts w:ascii="Times New Roman" w:eastAsia="Times New Roman" w:hAnsi="Times New Roman" w:cs="Times New Roman"/>
          <w:color w:val="000000" w:themeColor="text1"/>
          <w:sz w:val="24"/>
          <w:szCs w:val="24"/>
        </w:rPr>
        <w:t>d</w:t>
      </w:r>
      <w:r w:rsidR="00376DB6" w:rsidRPr="00FE30DC">
        <w:rPr>
          <w:rFonts w:ascii="Times New Roman" w:eastAsia="Times New Roman" w:hAnsi="Times New Roman" w:cs="Times New Roman"/>
          <w:color w:val="000000" w:themeColor="text1"/>
          <w:sz w:val="24"/>
          <w:szCs w:val="24"/>
        </w:rPr>
        <w:t>odatkową podstaw</w:t>
      </w:r>
      <w:r w:rsidR="00256EEA" w:rsidRPr="00FE30DC">
        <w:rPr>
          <w:rFonts w:ascii="Times New Roman" w:eastAsia="Times New Roman" w:hAnsi="Times New Roman" w:cs="Times New Roman"/>
          <w:color w:val="000000" w:themeColor="text1"/>
          <w:sz w:val="24"/>
          <w:szCs w:val="24"/>
        </w:rPr>
        <w:t>ę</w:t>
      </w:r>
      <w:r w:rsidR="00376DB6" w:rsidRPr="00FE30DC">
        <w:rPr>
          <w:rFonts w:ascii="Times New Roman" w:eastAsia="Times New Roman" w:hAnsi="Times New Roman" w:cs="Times New Roman"/>
          <w:color w:val="000000" w:themeColor="text1"/>
          <w:sz w:val="24"/>
          <w:szCs w:val="24"/>
        </w:rPr>
        <w:t xml:space="preserve"> dochodzenia kompensacji z tytułu wywłaszczenia </w:t>
      </w:r>
      <w:r w:rsidR="00256EEA" w:rsidRPr="00FE30DC">
        <w:rPr>
          <w:rFonts w:ascii="Times New Roman" w:eastAsia="Times New Roman" w:hAnsi="Times New Roman" w:cs="Times New Roman"/>
          <w:color w:val="000000" w:themeColor="text1"/>
          <w:sz w:val="24"/>
          <w:szCs w:val="24"/>
        </w:rPr>
        <w:t>wprowadza się</w:t>
      </w:r>
      <w:r w:rsidR="00376DB6" w:rsidRPr="00FE30DC">
        <w:rPr>
          <w:rFonts w:ascii="Times New Roman" w:eastAsia="Times New Roman" w:hAnsi="Times New Roman" w:cs="Times New Roman"/>
          <w:color w:val="000000" w:themeColor="text1"/>
          <w:sz w:val="24"/>
          <w:szCs w:val="24"/>
        </w:rPr>
        <w:t>, przewidziane w</w:t>
      </w:r>
      <w:r w:rsidR="005A48DE" w:rsidRPr="00FE30DC">
        <w:rPr>
          <w:rFonts w:ascii="Times New Roman" w:eastAsia="Times New Roman" w:hAnsi="Times New Roman" w:cs="Times New Roman"/>
          <w:color w:val="000000" w:themeColor="text1"/>
          <w:sz w:val="24"/>
          <w:szCs w:val="24"/>
        </w:rPr>
        <w:t> </w:t>
      </w:r>
      <w:r w:rsidR="00376DB6" w:rsidRPr="00FE30DC">
        <w:rPr>
          <w:rFonts w:ascii="Times New Roman" w:eastAsia="Times New Roman" w:hAnsi="Times New Roman" w:cs="Times New Roman"/>
          <w:color w:val="000000" w:themeColor="text1"/>
          <w:sz w:val="24"/>
          <w:szCs w:val="24"/>
        </w:rPr>
        <w:t>art. 1</w:t>
      </w:r>
      <w:r w:rsidR="00262E6E" w:rsidRPr="00FE30DC">
        <w:rPr>
          <w:rFonts w:ascii="Times New Roman" w:eastAsia="Times New Roman" w:hAnsi="Times New Roman" w:cs="Times New Roman"/>
          <w:color w:val="000000" w:themeColor="text1"/>
          <w:sz w:val="24"/>
          <w:szCs w:val="24"/>
        </w:rPr>
        <w:t>28a</w:t>
      </w:r>
      <w:r w:rsidR="00376DB6" w:rsidRPr="00FE30DC">
        <w:rPr>
          <w:rFonts w:ascii="Times New Roman" w:eastAsia="Times New Roman" w:hAnsi="Times New Roman" w:cs="Times New Roman"/>
          <w:color w:val="000000" w:themeColor="text1"/>
          <w:sz w:val="24"/>
          <w:szCs w:val="24"/>
        </w:rPr>
        <w:t xml:space="preserve"> </w:t>
      </w:r>
      <w:r w:rsidR="00376DB6" w:rsidRPr="00FE30DC">
        <w:rPr>
          <w:rFonts w:ascii="Times New Roman" w:eastAsia="Times New Roman" w:hAnsi="Times New Roman" w:cs="Times New Roman"/>
          <w:i/>
          <w:iCs/>
          <w:color w:val="000000" w:themeColor="text1"/>
          <w:sz w:val="24"/>
          <w:szCs w:val="24"/>
        </w:rPr>
        <w:t>ugn</w:t>
      </w:r>
      <w:r w:rsidR="00F81A94" w:rsidRPr="00FE30DC">
        <w:rPr>
          <w:rFonts w:ascii="Times New Roman" w:eastAsia="Times New Roman" w:hAnsi="Times New Roman" w:cs="Times New Roman"/>
          <w:color w:val="000000" w:themeColor="text1"/>
          <w:sz w:val="24"/>
          <w:szCs w:val="24"/>
        </w:rPr>
        <w:t>,</w:t>
      </w:r>
      <w:r w:rsidR="00376DB6" w:rsidRPr="00FE30DC">
        <w:rPr>
          <w:rFonts w:ascii="Times New Roman" w:eastAsia="Times New Roman" w:hAnsi="Times New Roman" w:cs="Times New Roman"/>
          <w:color w:val="000000" w:themeColor="text1"/>
          <w:sz w:val="24"/>
          <w:szCs w:val="24"/>
        </w:rPr>
        <w:t xml:space="preserve"> </w:t>
      </w:r>
      <w:r w:rsidR="00256EEA" w:rsidRPr="00FE30DC">
        <w:rPr>
          <w:rFonts w:ascii="Times New Roman" w:eastAsia="Times New Roman" w:hAnsi="Times New Roman" w:cs="Times New Roman"/>
          <w:color w:val="000000" w:themeColor="text1"/>
          <w:sz w:val="24"/>
          <w:szCs w:val="24"/>
        </w:rPr>
        <w:t xml:space="preserve">nowe </w:t>
      </w:r>
      <w:r w:rsidR="00376DB6" w:rsidRPr="00FE30DC">
        <w:rPr>
          <w:rFonts w:ascii="Times New Roman" w:eastAsia="Times New Roman" w:hAnsi="Times New Roman" w:cs="Times New Roman"/>
          <w:color w:val="000000" w:themeColor="text1"/>
          <w:sz w:val="24"/>
          <w:szCs w:val="24"/>
        </w:rPr>
        <w:t>roszczenie właściciela</w:t>
      </w:r>
      <w:r w:rsidR="00885FF1" w:rsidRPr="00FE30DC">
        <w:rPr>
          <w:rFonts w:ascii="Times New Roman" w:eastAsia="Times New Roman" w:hAnsi="Times New Roman" w:cs="Times New Roman"/>
          <w:color w:val="000000" w:themeColor="text1"/>
          <w:sz w:val="24"/>
          <w:szCs w:val="24"/>
        </w:rPr>
        <w:t>,</w:t>
      </w:r>
      <w:r w:rsidR="00376DB6" w:rsidRPr="00FE30DC">
        <w:rPr>
          <w:rFonts w:ascii="Times New Roman" w:eastAsia="Times New Roman" w:hAnsi="Times New Roman" w:cs="Times New Roman"/>
          <w:color w:val="000000" w:themeColor="text1"/>
          <w:sz w:val="24"/>
          <w:szCs w:val="24"/>
        </w:rPr>
        <w:t xml:space="preserve"> użytkownika wieczystego </w:t>
      </w:r>
      <w:r w:rsidR="00656B32" w:rsidRPr="00FE30DC">
        <w:rPr>
          <w:rFonts w:ascii="Times New Roman" w:eastAsia="Times New Roman" w:hAnsi="Times New Roman" w:cs="Times New Roman"/>
          <w:color w:val="000000" w:themeColor="text1"/>
          <w:sz w:val="24"/>
          <w:szCs w:val="24"/>
        </w:rPr>
        <w:t>lub</w:t>
      </w:r>
      <w:r w:rsidR="00885FF1" w:rsidRPr="00FE30DC">
        <w:rPr>
          <w:rFonts w:ascii="Times New Roman" w:eastAsia="Times New Roman" w:hAnsi="Times New Roman" w:cs="Times New Roman"/>
          <w:color w:val="000000" w:themeColor="text1"/>
          <w:sz w:val="24"/>
          <w:szCs w:val="24"/>
        </w:rPr>
        <w:t xml:space="preserve"> osoby, której przysługiwało inne prawo rzeczowe do </w:t>
      </w:r>
      <w:r w:rsidR="00376DB6" w:rsidRPr="00FE30DC">
        <w:rPr>
          <w:rFonts w:ascii="Times New Roman" w:eastAsia="Times New Roman" w:hAnsi="Times New Roman" w:cs="Times New Roman"/>
          <w:color w:val="000000" w:themeColor="text1"/>
          <w:sz w:val="24"/>
          <w:szCs w:val="24"/>
        </w:rPr>
        <w:t xml:space="preserve">nieruchomości, dotyczące dochodzenia przed sądem powszechnym odszkodowania za straty, które </w:t>
      </w:r>
      <w:r w:rsidR="00885FF1" w:rsidRPr="00FE30DC">
        <w:rPr>
          <w:rFonts w:ascii="Times New Roman" w:eastAsia="Times New Roman" w:hAnsi="Times New Roman" w:cs="Times New Roman"/>
          <w:color w:val="000000" w:themeColor="text1"/>
          <w:sz w:val="24"/>
          <w:szCs w:val="24"/>
        </w:rPr>
        <w:t>osoba ta poniosła</w:t>
      </w:r>
      <w:r w:rsidR="00376DB6" w:rsidRPr="00FE30DC">
        <w:rPr>
          <w:rFonts w:ascii="Times New Roman" w:eastAsia="Times New Roman" w:hAnsi="Times New Roman" w:cs="Times New Roman"/>
          <w:color w:val="000000" w:themeColor="text1"/>
          <w:sz w:val="24"/>
          <w:szCs w:val="24"/>
        </w:rPr>
        <w:t xml:space="preserve"> w</w:t>
      </w:r>
      <w:r w:rsidR="00FE30DC">
        <w:rPr>
          <w:rFonts w:ascii="Times New Roman" w:eastAsia="Times New Roman" w:hAnsi="Times New Roman" w:cs="Times New Roman"/>
          <w:color w:val="000000" w:themeColor="text1"/>
          <w:sz w:val="24"/>
          <w:szCs w:val="24"/>
        </w:rPr>
        <w:t xml:space="preserve"> związku z </w:t>
      </w:r>
      <w:r w:rsidR="00376DB6" w:rsidRPr="00FE30DC">
        <w:rPr>
          <w:rFonts w:ascii="Times New Roman" w:eastAsia="Times New Roman" w:hAnsi="Times New Roman" w:cs="Times New Roman"/>
          <w:color w:val="000000" w:themeColor="text1"/>
          <w:sz w:val="24"/>
          <w:szCs w:val="24"/>
        </w:rPr>
        <w:t>wywłaszczeniem nieruchomości, w zakresie innym niż</w:t>
      </w:r>
      <w:r w:rsidR="0034060E" w:rsidRPr="00FE30DC">
        <w:rPr>
          <w:rFonts w:ascii="Times New Roman" w:eastAsiaTheme="minorEastAsia" w:hAnsi="Times New Roman" w:cs="Times New Roman"/>
          <w:sz w:val="24"/>
          <w:szCs w:val="24"/>
          <w:lang w:eastAsia="pl-PL"/>
        </w:rPr>
        <w:t xml:space="preserve"> </w:t>
      </w:r>
      <w:r w:rsidR="0034060E" w:rsidRPr="00FE30DC">
        <w:rPr>
          <w:rFonts w:ascii="Times New Roman" w:eastAsia="Times New Roman" w:hAnsi="Times New Roman" w:cs="Times New Roman"/>
          <w:color w:val="000000" w:themeColor="text1"/>
          <w:sz w:val="24"/>
          <w:szCs w:val="24"/>
        </w:rPr>
        <w:t>strata polegająca na pozbawieniu prawa do nieruchomości, wobec której organ orzekł o odszkodowaniu, na podstawie przepisów ustawy lub przepisów odrębnych</w:t>
      </w:r>
      <w:r w:rsidR="00376DB6" w:rsidRPr="00FE30DC">
        <w:rPr>
          <w:rFonts w:ascii="Times New Roman" w:eastAsia="Times New Roman" w:hAnsi="Times New Roman" w:cs="Times New Roman"/>
          <w:color w:val="000000" w:themeColor="text1"/>
          <w:sz w:val="24"/>
          <w:szCs w:val="24"/>
        </w:rPr>
        <w:t xml:space="preserve">. </w:t>
      </w:r>
      <w:r w:rsidR="2C1F5935" w:rsidRPr="00FE30DC">
        <w:rPr>
          <w:rFonts w:ascii="Times New Roman" w:eastAsia="Times New Roman" w:hAnsi="Times New Roman" w:cs="Times New Roman"/>
          <w:color w:val="000000" w:themeColor="text1"/>
          <w:sz w:val="24"/>
          <w:szCs w:val="24"/>
        </w:rPr>
        <w:t xml:space="preserve">Roszczenie takie jest limitowane do przypadków </w:t>
      </w:r>
      <w:r w:rsidR="2C1F5935" w:rsidRPr="00FE30DC">
        <w:rPr>
          <w:rFonts w:ascii="Times New Roman" w:eastAsia="Times New Roman" w:hAnsi="Times New Roman" w:cs="Times New Roman"/>
          <w:color w:val="000000" w:themeColor="text1"/>
          <w:sz w:val="24"/>
          <w:szCs w:val="24"/>
        </w:rPr>
        <w:lastRenderedPageBreak/>
        <w:t>wywłaszczenia, z</w:t>
      </w:r>
      <w:r w:rsidR="00FE30DC">
        <w:rPr>
          <w:rFonts w:ascii="Times New Roman" w:eastAsia="Times New Roman" w:hAnsi="Times New Roman" w:cs="Times New Roman"/>
          <w:color w:val="000000" w:themeColor="text1"/>
          <w:sz w:val="24"/>
          <w:szCs w:val="24"/>
        </w:rPr>
        <w:t xml:space="preserve"> </w:t>
      </w:r>
      <w:r w:rsidR="2C1F5935" w:rsidRPr="00FE30DC">
        <w:rPr>
          <w:rFonts w:ascii="Times New Roman" w:eastAsia="Times New Roman" w:hAnsi="Times New Roman" w:cs="Times New Roman"/>
          <w:color w:val="000000" w:themeColor="text1"/>
          <w:sz w:val="24"/>
          <w:szCs w:val="24"/>
        </w:rPr>
        <w:t xml:space="preserve">wyłączeniem umownego nabycia nieruchomości przeznaczonej na cel publiczny. </w:t>
      </w:r>
      <w:r w:rsidR="7CE934FB" w:rsidRPr="00FE30DC">
        <w:rPr>
          <w:rFonts w:ascii="Times New Roman" w:eastAsia="Times New Roman" w:hAnsi="Times New Roman" w:cs="Times New Roman"/>
          <w:color w:val="000000" w:themeColor="text1"/>
          <w:sz w:val="24"/>
          <w:szCs w:val="24"/>
        </w:rPr>
        <w:t>Uzasadnieniem dla wskazania dla ww. roszczeń trybu sądowo</w:t>
      </w:r>
      <w:r w:rsidR="00F355CB" w:rsidRPr="00FE30DC">
        <w:rPr>
          <w:rFonts w:ascii="Times New Roman" w:eastAsia="Times New Roman" w:hAnsi="Times New Roman" w:cs="Times New Roman"/>
          <w:color w:val="000000" w:themeColor="text1"/>
          <w:sz w:val="24"/>
          <w:szCs w:val="24"/>
        </w:rPr>
        <w:t>-</w:t>
      </w:r>
      <w:r w:rsidR="7CE934FB" w:rsidRPr="00FE30DC">
        <w:rPr>
          <w:rFonts w:ascii="Times New Roman" w:eastAsia="Times New Roman" w:hAnsi="Times New Roman" w:cs="Times New Roman"/>
          <w:color w:val="000000" w:themeColor="text1"/>
          <w:sz w:val="24"/>
          <w:szCs w:val="24"/>
        </w:rPr>
        <w:t xml:space="preserve">cywilnego jest brak kompetencji organu administracji do rozstrzygania zagadnień związanych </w:t>
      </w:r>
      <w:r w:rsidR="00376DB6" w:rsidRPr="00FE30DC">
        <w:rPr>
          <w:rFonts w:ascii="Times New Roman" w:eastAsia="Times New Roman" w:hAnsi="Times New Roman" w:cs="Times New Roman"/>
          <w:color w:val="000000" w:themeColor="text1"/>
          <w:sz w:val="24"/>
          <w:szCs w:val="24"/>
        </w:rPr>
        <w:t>z poniesioną stratą</w:t>
      </w:r>
      <w:r w:rsidR="7CE934FB" w:rsidRPr="00FE30DC">
        <w:rPr>
          <w:rFonts w:ascii="Times New Roman" w:eastAsia="Times New Roman" w:hAnsi="Times New Roman" w:cs="Times New Roman"/>
          <w:color w:val="000000" w:themeColor="text1"/>
          <w:sz w:val="24"/>
          <w:szCs w:val="24"/>
        </w:rPr>
        <w:t xml:space="preserve"> w rozumieniu prawa cywilnego, jak również względy ekonomiki postępowania administracyjnego, dla którego podstawowy termin załatwienia sprawy wynosi do dwóch miesięcy. W ten sposób umożliwia się stosunkowo </w:t>
      </w:r>
      <w:r w:rsidR="75ED16E0" w:rsidRPr="00FE30DC">
        <w:rPr>
          <w:rFonts w:ascii="Times New Roman" w:eastAsia="Times New Roman" w:hAnsi="Times New Roman" w:cs="Times New Roman"/>
          <w:color w:val="000000" w:themeColor="text1"/>
          <w:sz w:val="24"/>
          <w:szCs w:val="24"/>
        </w:rPr>
        <w:t xml:space="preserve">szybkie </w:t>
      </w:r>
      <w:r w:rsidR="16755EB7" w:rsidRPr="00FE30DC">
        <w:rPr>
          <w:rFonts w:ascii="Times New Roman" w:eastAsia="Times New Roman" w:hAnsi="Times New Roman" w:cs="Times New Roman"/>
          <w:color w:val="000000" w:themeColor="text1"/>
          <w:sz w:val="24"/>
          <w:szCs w:val="24"/>
        </w:rPr>
        <w:t xml:space="preserve">zakończenie procesu wywłaszczenia na poziomie administracyjnym, zaś ewentualne roszczenia dotyczące szerszego zakresu szkody </w:t>
      </w:r>
      <w:r w:rsidR="00746FFA" w:rsidRPr="00FE30DC">
        <w:rPr>
          <w:rFonts w:ascii="Times New Roman" w:eastAsia="Times New Roman" w:hAnsi="Times New Roman" w:cs="Times New Roman"/>
          <w:color w:val="000000" w:themeColor="text1"/>
          <w:sz w:val="24"/>
          <w:szCs w:val="24"/>
        </w:rPr>
        <w:t xml:space="preserve">są </w:t>
      </w:r>
      <w:r w:rsidR="16755EB7" w:rsidRPr="00FE30DC">
        <w:rPr>
          <w:rFonts w:ascii="Times New Roman" w:eastAsia="Times New Roman" w:hAnsi="Times New Roman" w:cs="Times New Roman"/>
          <w:color w:val="000000" w:themeColor="text1"/>
          <w:sz w:val="24"/>
          <w:szCs w:val="24"/>
        </w:rPr>
        <w:t>przenoszone do kompetentnego organu władzy sądowniczej.</w:t>
      </w:r>
      <w:r w:rsidR="30DAA467" w:rsidRPr="00FE30DC">
        <w:rPr>
          <w:rFonts w:ascii="Times New Roman" w:eastAsia="Times New Roman" w:hAnsi="Times New Roman" w:cs="Times New Roman"/>
          <w:color w:val="000000" w:themeColor="text1"/>
          <w:sz w:val="24"/>
          <w:szCs w:val="24"/>
        </w:rPr>
        <w:t xml:space="preserve"> Na etapie postępowania cywilnego istnieją formuły pozwalające na konsensualne załatwienie sprawy (np. mediacja).</w:t>
      </w:r>
    </w:p>
    <w:p w14:paraId="25D1777E" w14:textId="501D9EDE" w:rsidR="00376DB6" w:rsidRPr="00FE30DC" w:rsidRDefault="00376DB6"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Przedmiotowe roszczenie ma zakres rozłączny z </w:t>
      </w:r>
      <w:r w:rsidR="00227D5E" w:rsidRPr="00FE30DC">
        <w:rPr>
          <w:rFonts w:ascii="Times New Roman" w:eastAsia="Times New Roman" w:hAnsi="Times New Roman" w:cs="Times New Roman"/>
          <w:color w:val="000000" w:themeColor="text1"/>
          <w:sz w:val="24"/>
          <w:szCs w:val="24"/>
        </w:rPr>
        <w:t>przedmiotem odszkodowania administracyjnoprawnego za wywłaszczenie, to bowiem pozostaje ekwiwalentem ceny (wartości) nieruchomości, zwiększonym o bonusy procentowe. Celem dodatkowego roszczenia jest możliwość dochodzenia poniesionej straty w wymiarze szerszym.</w:t>
      </w:r>
    </w:p>
    <w:p w14:paraId="7B8F6E47" w14:textId="026D53A1" w:rsidR="00540D98" w:rsidRPr="00FE30DC" w:rsidRDefault="00376DB6"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Zakres roszczenia </w:t>
      </w:r>
      <w:r w:rsidR="00746FFA" w:rsidRPr="00FE30DC">
        <w:rPr>
          <w:rFonts w:ascii="Times New Roman" w:eastAsia="Times New Roman" w:hAnsi="Times New Roman" w:cs="Times New Roman"/>
          <w:color w:val="000000" w:themeColor="text1"/>
          <w:sz w:val="24"/>
          <w:szCs w:val="24"/>
        </w:rPr>
        <w:t xml:space="preserve">jest </w:t>
      </w:r>
      <w:r w:rsidRPr="00FE30DC">
        <w:rPr>
          <w:rFonts w:ascii="Times New Roman" w:eastAsia="Times New Roman" w:hAnsi="Times New Roman" w:cs="Times New Roman"/>
          <w:color w:val="000000" w:themeColor="text1"/>
          <w:sz w:val="24"/>
          <w:szCs w:val="24"/>
        </w:rPr>
        <w:t xml:space="preserve">limitowany do straty, którą poniosła osoba wywłaszczana. </w:t>
      </w:r>
      <w:r w:rsidR="00A06C63" w:rsidRPr="00FE30DC">
        <w:rPr>
          <w:rFonts w:ascii="Times New Roman" w:eastAsia="Times New Roman" w:hAnsi="Times New Roman" w:cs="Times New Roman"/>
          <w:color w:val="000000" w:themeColor="text1"/>
          <w:sz w:val="24"/>
          <w:szCs w:val="24"/>
        </w:rPr>
        <w:t>Prawo do odszkodowania na podstawie art. 1</w:t>
      </w:r>
      <w:r w:rsidR="005F6837" w:rsidRPr="00FE30DC">
        <w:rPr>
          <w:rFonts w:ascii="Times New Roman" w:eastAsia="Times New Roman" w:hAnsi="Times New Roman" w:cs="Times New Roman"/>
          <w:color w:val="000000" w:themeColor="text1"/>
          <w:sz w:val="24"/>
          <w:szCs w:val="24"/>
        </w:rPr>
        <w:t>28a</w:t>
      </w:r>
      <w:r w:rsidR="00A06C63" w:rsidRPr="00FE30DC">
        <w:rPr>
          <w:rFonts w:ascii="Times New Roman" w:eastAsia="Times New Roman" w:hAnsi="Times New Roman" w:cs="Times New Roman"/>
          <w:color w:val="000000" w:themeColor="text1"/>
          <w:sz w:val="24"/>
          <w:szCs w:val="24"/>
        </w:rPr>
        <w:t xml:space="preserve"> nie obejmuje naprawienia utraconych korzyści (</w:t>
      </w:r>
      <w:r w:rsidR="00A06C63" w:rsidRPr="00FE30DC">
        <w:rPr>
          <w:rFonts w:ascii="Times New Roman" w:eastAsia="Times New Roman" w:hAnsi="Times New Roman" w:cs="Times New Roman"/>
          <w:i/>
          <w:iCs/>
          <w:color w:val="000000" w:themeColor="text1"/>
          <w:sz w:val="24"/>
          <w:szCs w:val="24"/>
        </w:rPr>
        <w:t>lucrum cessans</w:t>
      </w:r>
      <w:r w:rsidR="00A06C63" w:rsidRPr="00FE30DC">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w:t>
      </w:r>
      <w:r w:rsidR="00227D5E" w:rsidRPr="00FE30DC">
        <w:rPr>
          <w:rFonts w:ascii="Times New Roman" w:eastAsia="Times New Roman" w:hAnsi="Times New Roman" w:cs="Times New Roman"/>
          <w:color w:val="000000" w:themeColor="text1"/>
          <w:sz w:val="24"/>
          <w:szCs w:val="24"/>
        </w:rPr>
        <w:t xml:space="preserve">Pojęcie </w:t>
      </w:r>
      <w:r w:rsidR="00992F86" w:rsidRPr="00FE30DC">
        <w:rPr>
          <w:rFonts w:ascii="Times New Roman" w:eastAsia="Times New Roman" w:hAnsi="Times New Roman" w:cs="Times New Roman"/>
          <w:color w:val="000000" w:themeColor="text1"/>
          <w:sz w:val="24"/>
          <w:szCs w:val="24"/>
        </w:rPr>
        <w:t>straty</w:t>
      </w:r>
      <w:r w:rsidR="00227D5E" w:rsidRPr="00FE30DC">
        <w:rPr>
          <w:rFonts w:ascii="Times New Roman" w:eastAsia="Times New Roman" w:hAnsi="Times New Roman" w:cs="Times New Roman"/>
          <w:color w:val="000000" w:themeColor="text1"/>
          <w:sz w:val="24"/>
          <w:szCs w:val="24"/>
        </w:rPr>
        <w:t xml:space="preserve"> zostało użyte </w:t>
      </w:r>
      <w:r w:rsidRPr="00FE30DC">
        <w:rPr>
          <w:rFonts w:ascii="Times New Roman" w:eastAsia="Times New Roman" w:hAnsi="Times New Roman" w:cs="Times New Roman"/>
          <w:color w:val="000000" w:themeColor="text1"/>
          <w:sz w:val="24"/>
          <w:szCs w:val="24"/>
        </w:rPr>
        <w:t>w rozumieniu art. 361 § 2 Kodeksu cywilnego</w:t>
      </w:r>
      <w:r w:rsidR="00227D5E" w:rsidRPr="00FE30DC">
        <w:rPr>
          <w:rFonts w:ascii="Times New Roman" w:eastAsia="Times New Roman" w:hAnsi="Times New Roman" w:cs="Times New Roman"/>
          <w:color w:val="000000" w:themeColor="text1"/>
          <w:sz w:val="24"/>
          <w:szCs w:val="24"/>
        </w:rPr>
        <w:t>, zgodnie z którym naprawienie szkody obejmuje straty, które poszkodowany poniósł, oraz korzyści, które mógłby osiągnąć, gdyby mu szkody nie wyrządzono. Pojęcie „poniesionej szkody” („szkody rzeczywistej”, „damnum emergens”) ma na gruncie przepisów prawa cywilnego utrwalony orzeczniczo i</w:t>
      </w:r>
      <w:r w:rsidR="00FE30DC">
        <w:rPr>
          <w:rFonts w:ascii="Times New Roman" w:eastAsia="Times New Roman" w:hAnsi="Times New Roman" w:cs="Times New Roman"/>
          <w:color w:val="000000" w:themeColor="text1"/>
          <w:sz w:val="24"/>
          <w:szCs w:val="24"/>
        </w:rPr>
        <w:t xml:space="preserve"> </w:t>
      </w:r>
      <w:r w:rsidR="00227D5E" w:rsidRPr="00FE30DC">
        <w:rPr>
          <w:rFonts w:ascii="Times New Roman" w:eastAsia="Times New Roman" w:hAnsi="Times New Roman" w:cs="Times New Roman"/>
          <w:color w:val="000000" w:themeColor="text1"/>
          <w:sz w:val="24"/>
          <w:szCs w:val="24"/>
        </w:rPr>
        <w:t xml:space="preserve">doktrynalnie charakter. Jak wskazuje doktryna, </w:t>
      </w:r>
      <w:r w:rsidR="00227D5E" w:rsidRPr="00FE30DC">
        <w:rPr>
          <w:rFonts w:ascii="Times New Roman" w:eastAsia="Times New Roman" w:hAnsi="Times New Roman" w:cs="Times New Roman"/>
          <w:i/>
          <w:iCs/>
          <w:color w:val="000000" w:themeColor="text1"/>
          <w:sz w:val="24"/>
          <w:szCs w:val="24"/>
        </w:rPr>
        <w:t>„</w:t>
      </w:r>
      <w:r w:rsidR="00540D98" w:rsidRPr="00FE30DC">
        <w:rPr>
          <w:rFonts w:ascii="Times New Roman" w:eastAsia="Times New Roman" w:hAnsi="Times New Roman" w:cs="Times New Roman"/>
          <w:i/>
          <w:iCs/>
          <w:color w:val="000000" w:themeColor="text1"/>
          <w:sz w:val="24"/>
          <w:szCs w:val="24"/>
        </w:rPr>
        <w:t>Przez pojęcie damnum emergens</w:t>
      </w:r>
      <w:r w:rsidR="00FE30DC">
        <w:rPr>
          <w:rFonts w:ascii="Times New Roman" w:eastAsia="Times New Roman" w:hAnsi="Times New Roman" w:cs="Times New Roman"/>
          <w:i/>
          <w:iCs/>
          <w:color w:val="000000" w:themeColor="text1"/>
          <w:sz w:val="24"/>
          <w:szCs w:val="24"/>
        </w:rPr>
        <w:t xml:space="preserve"> przyjęto rozumieć </w:t>
      </w:r>
      <w:r w:rsidR="00540D98" w:rsidRPr="00FE30DC">
        <w:rPr>
          <w:rFonts w:ascii="Times New Roman" w:eastAsia="Times New Roman" w:hAnsi="Times New Roman" w:cs="Times New Roman"/>
          <w:i/>
          <w:iCs/>
          <w:color w:val="000000" w:themeColor="text1"/>
          <w:sz w:val="24"/>
          <w:szCs w:val="24"/>
        </w:rPr>
        <w:t>każde pogorszenie się sytuacji majątkowej poszkodowanego, wskutek zmniejszenia się posiadanych aktywów l</w:t>
      </w:r>
      <w:r w:rsidR="00FE30DC">
        <w:rPr>
          <w:rFonts w:ascii="Times New Roman" w:eastAsia="Times New Roman" w:hAnsi="Times New Roman" w:cs="Times New Roman"/>
          <w:i/>
          <w:iCs/>
          <w:color w:val="000000" w:themeColor="text1"/>
          <w:sz w:val="24"/>
          <w:szCs w:val="24"/>
        </w:rPr>
        <w:t xml:space="preserve">ub też zwiększenia jego pasywów (zob. </w:t>
      </w:r>
      <w:r w:rsidR="00540D98" w:rsidRPr="00FE30DC">
        <w:rPr>
          <w:rFonts w:ascii="Times New Roman" w:eastAsia="Times New Roman" w:hAnsi="Times New Roman" w:cs="Times New Roman"/>
          <w:i/>
          <w:iCs/>
          <w:color w:val="000000" w:themeColor="text1"/>
          <w:sz w:val="24"/>
          <w:szCs w:val="24"/>
        </w:rPr>
        <w:t>A. Rembieliński</w:t>
      </w:r>
      <w:r w:rsidR="00FE30DC">
        <w:rPr>
          <w:rFonts w:ascii="Times New Roman" w:eastAsia="Times New Roman" w:hAnsi="Times New Roman" w:cs="Times New Roman"/>
          <w:i/>
          <w:iCs/>
          <w:color w:val="000000" w:themeColor="text1"/>
          <w:sz w:val="24"/>
          <w:szCs w:val="24"/>
        </w:rPr>
        <w:t xml:space="preserve">, w: </w:t>
      </w:r>
      <w:r w:rsidR="00540D98" w:rsidRPr="00FE30DC">
        <w:rPr>
          <w:rFonts w:ascii="Times New Roman" w:eastAsia="Times New Roman" w:hAnsi="Times New Roman" w:cs="Times New Roman"/>
          <w:i/>
          <w:iCs/>
          <w:color w:val="000000" w:themeColor="text1"/>
          <w:sz w:val="24"/>
          <w:szCs w:val="24"/>
        </w:rPr>
        <w:t>J.</w:t>
      </w:r>
      <w:r w:rsidR="00FE30DC">
        <w:rPr>
          <w:rFonts w:ascii="Times New Roman" w:eastAsia="Times New Roman" w:hAnsi="Times New Roman" w:cs="Times New Roman"/>
          <w:i/>
          <w:iCs/>
          <w:color w:val="000000" w:themeColor="text1"/>
          <w:sz w:val="24"/>
          <w:szCs w:val="24"/>
        </w:rPr>
        <w:t xml:space="preserve"> </w:t>
      </w:r>
      <w:r w:rsidR="00540D98" w:rsidRPr="00FE30DC">
        <w:rPr>
          <w:rFonts w:ascii="Times New Roman" w:eastAsia="Times New Roman" w:hAnsi="Times New Roman" w:cs="Times New Roman"/>
          <w:i/>
          <w:iCs/>
          <w:color w:val="000000" w:themeColor="text1"/>
          <w:sz w:val="24"/>
          <w:szCs w:val="24"/>
        </w:rPr>
        <w:t xml:space="preserve">Winiarz, Komentarz KC, t. 1, </w:t>
      </w:r>
      <w:r w:rsidR="00FE30DC">
        <w:rPr>
          <w:rFonts w:ascii="Times New Roman" w:eastAsia="Times New Roman" w:hAnsi="Times New Roman" w:cs="Times New Roman"/>
          <w:i/>
          <w:iCs/>
          <w:color w:val="000000" w:themeColor="text1"/>
          <w:sz w:val="24"/>
          <w:szCs w:val="24"/>
        </w:rPr>
        <w:t>1989, s. </w:t>
      </w:r>
      <w:r w:rsidR="00540D98" w:rsidRPr="00FE30DC">
        <w:rPr>
          <w:rFonts w:ascii="Times New Roman" w:eastAsia="Times New Roman" w:hAnsi="Times New Roman" w:cs="Times New Roman"/>
          <w:i/>
          <w:iCs/>
          <w:color w:val="000000" w:themeColor="text1"/>
          <w:sz w:val="24"/>
          <w:szCs w:val="24"/>
        </w:rPr>
        <w:t>295). Zmniejszenie aktywów następuje przez utratę, ubytek lub zniszczenie poszczególnych elementów majątkowych, które dotąd przysługiwały po</w:t>
      </w:r>
      <w:r w:rsidR="00FE30DC">
        <w:rPr>
          <w:rFonts w:ascii="Times New Roman" w:eastAsia="Times New Roman" w:hAnsi="Times New Roman" w:cs="Times New Roman"/>
          <w:i/>
          <w:iCs/>
          <w:color w:val="000000" w:themeColor="text1"/>
          <w:sz w:val="24"/>
          <w:szCs w:val="24"/>
        </w:rPr>
        <w:t>szkodowanemu. Chodzić tu może o </w:t>
      </w:r>
      <w:r w:rsidR="00540D98" w:rsidRPr="00FE30DC">
        <w:rPr>
          <w:rFonts w:ascii="Times New Roman" w:eastAsia="Times New Roman" w:hAnsi="Times New Roman" w:cs="Times New Roman"/>
          <w:i/>
          <w:iCs/>
          <w:color w:val="000000" w:themeColor="text1"/>
          <w:sz w:val="24"/>
          <w:szCs w:val="24"/>
        </w:rPr>
        <w:t>rz</w:t>
      </w:r>
      <w:r w:rsidR="00FE30DC">
        <w:rPr>
          <w:rFonts w:ascii="Times New Roman" w:eastAsia="Times New Roman" w:hAnsi="Times New Roman" w:cs="Times New Roman"/>
          <w:i/>
          <w:iCs/>
          <w:color w:val="000000" w:themeColor="text1"/>
          <w:sz w:val="24"/>
          <w:szCs w:val="24"/>
        </w:rPr>
        <w:t xml:space="preserve">eczy (SN w wyr. z 12.2.2015 r., </w:t>
      </w:r>
      <w:r w:rsidR="00227D5E" w:rsidRPr="00FE30DC">
        <w:rPr>
          <w:rFonts w:ascii="Times New Roman" w:hAnsi="Times New Roman" w:cs="Times New Roman"/>
          <w:i/>
          <w:iCs/>
          <w:color w:val="000000" w:themeColor="text1"/>
          <w:sz w:val="24"/>
          <w:szCs w:val="24"/>
        </w:rPr>
        <w:t>IV CSK 235/14</w:t>
      </w:r>
      <w:r w:rsidR="00540D98" w:rsidRPr="00FE30DC">
        <w:rPr>
          <w:rFonts w:ascii="Times New Roman" w:eastAsia="Times New Roman" w:hAnsi="Times New Roman" w:cs="Times New Roman"/>
          <w:i/>
          <w:iCs/>
          <w:color w:val="000000" w:themeColor="text1"/>
          <w:sz w:val="24"/>
          <w:szCs w:val="24"/>
        </w:rPr>
        <w:t>, Legalis</w:t>
      </w:r>
      <w:r w:rsidR="00CB4FCD" w:rsidRPr="00FE30DC">
        <w:rPr>
          <w:rFonts w:ascii="Times New Roman" w:eastAsia="Times New Roman" w:hAnsi="Times New Roman" w:cs="Times New Roman"/>
          <w:i/>
          <w:iCs/>
          <w:color w:val="000000" w:themeColor="text1"/>
          <w:sz w:val="24"/>
          <w:szCs w:val="24"/>
        </w:rPr>
        <w:t>)</w:t>
      </w:r>
      <w:r w:rsidR="00540D98" w:rsidRPr="00FE30DC">
        <w:rPr>
          <w:rFonts w:ascii="Times New Roman" w:eastAsia="Times New Roman" w:hAnsi="Times New Roman" w:cs="Times New Roman"/>
          <w:i/>
          <w:iCs/>
          <w:color w:val="000000" w:themeColor="text1"/>
          <w:sz w:val="24"/>
          <w:szCs w:val="24"/>
        </w:rPr>
        <w:t>, przyjął, że szkodę może stanowić obciążenie nieruchomości hipoteką, i to w sytuacji, gdy w</w:t>
      </w:r>
      <w:r w:rsidR="00FE30DC">
        <w:rPr>
          <w:rFonts w:ascii="Times New Roman" w:eastAsia="Times New Roman" w:hAnsi="Times New Roman" w:cs="Times New Roman"/>
          <w:i/>
          <w:iCs/>
          <w:color w:val="000000" w:themeColor="text1"/>
          <w:sz w:val="24"/>
          <w:szCs w:val="24"/>
        </w:rPr>
        <w:t xml:space="preserve"> </w:t>
      </w:r>
      <w:r w:rsidR="00540D98" w:rsidRPr="00FE30DC">
        <w:rPr>
          <w:rFonts w:ascii="Times New Roman" w:eastAsia="Times New Roman" w:hAnsi="Times New Roman" w:cs="Times New Roman"/>
          <w:i/>
          <w:iCs/>
          <w:color w:val="000000" w:themeColor="text1"/>
          <w:sz w:val="24"/>
          <w:szCs w:val="24"/>
        </w:rPr>
        <w:t>stosunku do tej nieruchomości nie są prowadzone żadne czynności egzekucyjne), pieniądze, inne prawa bezwzględne, w tym prawa rzeczowe ograniczone, czy też wierzytelności. Ale także, co trzeba mocno zaakcentować, utrata ekspektatywy tych praw mieści się w pojęciu szkody, narusza i osłabia bowiem sferę interesów określonej osoby (por. uchw. SN z 8.11.2002 r., </w:t>
      </w:r>
      <w:r w:rsidR="00227D5E" w:rsidRPr="00FE30DC">
        <w:rPr>
          <w:rFonts w:ascii="Times New Roman" w:hAnsi="Times New Roman" w:cs="Times New Roman"/>
          <w:i/>
          <w:color w:val="000000" w:themeColor="text1"/>
          <w:sz w:val="24"/>
          <w:szCs w:val="24"/>
        </w:rPr>
        <w:t>III CZP 73/02</w:t>
      </w:r>
      <w:r w:rsidR="00540D98" w:rsidRPr="00FE30DC">
        <w:rPr>
          <w:rFonts w:ascii="Times New Roman" w:eastAsia="Times New Roman" w:hAnsi="Times New Roman" w:cs="Times New Roman"/>
          <w:i/>
          <w:iCs/>
          <w:color w:val="000000" w:themeColor="text1"/>
          <w:sz w:val="24"/>
          <w:szCs w:val="24"/>
        </w:rPr>
        <w:t>, OSN 2003, Nr 10, poz. 131</w:t>
      </w:r>
      <w:r w:rsidR="00227D5E" w:rsidRPr="00FE30DC">
        <w:rPr>
          <w:rFonts w:ascii="Times New Roman" w:eastAsia="Times New Roman" w:hAnsi="Times New Roman" w:cs="Times New Roman"/>
          <w:i/>
          <w:iCs/>
          <w:color w:val="000000" w:themeColor="text1"/>
          <w:sz w:val="24"/>
          <w:szCs w:val="24"/>
        </w:rPr>
        <w:t xml:space="preserve"> </w:t>
      </w:r>
      <w:r w:rsidR="00227D5E" w:rsidRPr="00FE30DC">
        <w:rPr>
          <w:rFonts w:ascii="Times New Roman" w:eastAsia="Times New Roman" w:hAnsi="Times New Roman" w:cs="Times New Roman"/>
          <w:color w:val="000000" w:themeColor="text1"/>
          <w:sz w:val="24"/>
          <w:szCs w:val="24"/>
        </w:rPr>
        <w:t>[…]</w:t>
      </w:r>
      <w:r w:rsidR="00227D5E" w:rsidRPr="00FE30DC">
        <w:rPr>
          <w:rFonts w:ascii="Times New Roman" w:eastAsia="Times New Roman" w:hAnsi="Times New Roman" w:cs="Times New Roman"/>
          <w:i/>
          <w:iCs/>
          <w:color w:val="000000" w:themeColor="text1"/>
          <w:sz w:val="24"/>
          <w:szCs w:val="24"/>
        </w:rPr>
        <w:t xml:space="preserve"> </w:t>
      </w:r>
      <w:r w:rsidR="00540D98" w:rsidRPr="00FE30DC">
        <w:rPr>
          <w:rFonts w:ascii="Times New Roman" w:eastAsia="Times New Roman" w:hAnsi="Times New Roman" w:cs="Times New Roman"/>
          <w:i/>
          <w:iCs/>
          <w:color w:val="000000" w:themeColor="text1"/>
          <w:sz w:val="24"/>
          <w:szCs w:val="24"/>
        </w:rPr>
        <w:t xml:space="preserve">Omawiana postać szkody polega </w:t>
      </w:r>
      <w:r w:rsidR="00FE30DC">
        <w:rPr>
          <w:rFonts w:ascii="Times New Roman" w:eastAsia="Times New Roman" w:hAnsi="Times New Roman" w:cs="Times New Roman"/>
          <w:i/>
          <w:iCs/>
          <w:color w:val="000000" w:themeColor="text1"/>
          <w:sz w:val="24"/>
          <w:szCs w:val="24"/>
        </w:rPr>
        <w:t xml:space="preserve">więc na tym, że pomniejszeniu </w:t>
      </w:r>
      <w:r w:rsidR="00FE30DC">
        <w:rPr>
          <w:rFonts w:ascii="Times New Roman" w:eastAsia="Times New Roman" w:hAnsi="Times New Roman" w:cs="Times New Roman"/>
          <w:i/>
          <w:iCs/>
          <w:color w:val="000000" w:themeColor="text1"/>
          <w:sz w:val="24"/>
          <w:szCs w:val="24"/>
        </w:rPr>
        <w:lastRenderedPageBreak/>
        <w:t xml:space="preserve">ulega </w:t>
      </w:r>
      <w:r w:rsidR="00540D98" w:rsidRPr="00FE30DC">
        <w:rPr>
          <w:rFonts w:ascii="Times New Roman" w:eastAsia="Times New Roman" w:hAnsi="Times New Roman" w:cs="Times New Roman"/>
          <w:i/>
          <w:iCs/>
          <w:color w:val="000000" w:themeColor="text1"/>
          <w:sz w:val="24"/>
          <w:szCs w:val="24"/>
        </w:rPr>
        <w:t>strona czynna mają</w:t>
      </w:r>
      <w:r w:rsidR="00FE30DC">
        <w:rPr>
          <w:rFonts w:ascii="Times New Roman" w:eastAsia="Times New Roman" w:hAnsi="Times New Roman" w:cs="Times New Roman"/>
          <w:i/>
          <w:iCs/>
          <w:color w:val="000000" w:themeColor="text1"/>
          <w:sz w:val="24"/>
          <w:szCs w:val="24"/>
        </w:rPr>
        <w:t xml:space="preserve">tku. Przykładem damnum emergens </w:t>
      </w:r>
      <w:r w:rsidR="00540D98" w:rsidRPr="00FE30DC">
        <w:rPr>
          <w:rFonts w:ascii="Times New Roman" w:eastAsia="Times New Roman" w:hAnsi="Times New Roman" w:cs="Times New Roman"/>
          <w:i/>
          <w:iCs/>
          <w:color w:val="000000" w:themeColor="text1"/>
          <w:sz w:val="24"/>
          <w:szCs w:val="24"/>
        </w:rPr>
        <w:t>będzie także utrata wartości tych praw. Podkreślenia wymaga, że omawiana postać szkody zawiera w</w:t>
      </w:r>
      <w:r w:rsidR="00FE30DC">
        <w:rPr>
          <w:rFonts w:ascii="Times New Roman" w:eastAsia="Times New Roman" w:hAnsi="Times New Roman" w:cs="Times New Roman"/>
          <w:i/>
          <w:iCs/>
          <w:color w:val="000000" w:themeColor="text1"/>
          <w:sz w:val="24"/>
          <w:szCs w:val="24"/>
        </w:rPr>
        <w:t xml:space="preserve"> </w:t>
      </w:r>
      <w:r w:rsidR="00540D98" w:rsidRPr="00FE30DC">
        <w:rPr>
          <w:rFonts w:ascii="Times New Roman" w:eastAsia="Times New Roman" w:hAnsi="Times New Roman" w:cs="Times New Roman"/>
          <w:i/>
          <w:iCs/>
          <w:color w:val="000000" w:themeColor="text1"/>
          <w:sz w:val="24"/>
          <w:szCs w:val="24"/>
        </w:rPr>
        <w:t xml:space="preserve">sobie </w:t>
      </w:r>
      <w:r w:rsidR="00FE30DC">
        <w:rPr>
          <w:rFonts w:ascii="Times New Roman" w:eastAsia="Times New Roman" w:hAnsi="Times New Roman" w:cs="Times New Roman"/>
          <w:i/>
          <w:iCs/>
          <w:color w:val="000000" w:themeColor="text1"/>
          <w:sz w:val="24"/>
          <w:szCs w:val="24"/>
        </w:rPr>
        <w:t xml:space="preserve">także zwiększenie się tych zobowiązań </w:t>
      </w:r>
      <w:r w:rsidR="00540D98" w:rsidRPr="00FE30DC">
        <w:rPr>
          <w:rFonts w:ascii="Times New Roman" w:eastAsia="Times New Roman" w:hAnsi="Times New Roman" w:cs="Times New Roman"/>
          <w:i/>
          <w:iCs/>
          <w:color w:val="000000" w:themeColor="text1"/>
          <w:sz w:val="24"/>
          <w:szCs w:val="24"/>
        </w:rPr>
        <w:t>poszkodowanego, których powstanie lub powiększenie się ich rozmiaru stanowi skutek zdarzenia przypisanego osobie zobowiązanej do naprawienia szkody.</w:t>
      </w:r>
      <w:r w:rsidR="00227D5E" w:rsidRPr="00FE30DC">
        <w:rPr>
          <w:rFonts w:ascii="Times New Roman" w:eastAsia="Times New Roman" w:hAnsi="Times New Roman" w:cs="Times New Roman"/>
          <w:i/>
          <w:iCs/>
          <w:color w:val="000000" w:themeColor="text1"/>
          <w:sz w:val="24"/>
          <w:szCs w:val="24"/>
        </w:rPr>
        <w:t>”</w:t>
      </w:r>
      <w:r w:rsidR="00227D5E" w:rsidRPr="00FE30DC">
        <w:rPr>
          <w:rFonts w:ascii="Times New Roman" w:eastAsia="Times New Roman" w:hAnsi="Times New Roman" w:cs="Times New Roman"/>
          <w:color w:val="000000" w:themeColor="text1"/>
          <w:sz w:val="24"/>
          <w:szCs w:val="24"/>
        </w:rPr>
        <w:t xml:space="preserve"> (</w:t>
      </w:r>
      <w:r w:rsidR="00540D98" w:rsidRPr="00FE30DC">
        <w:rPr>
          <w:rFonts w:ascii="Times New Roman" w:eastAsia="Times New Roman" w:hAnsi="Times New Roman" w:cs="Times New Roman"/>
          <w:color w:val="000000" w:themeColor="text1"/>
          <w:sz w:val="24"/>
          <w:szCs w:val="24"/>
        </w:rPr>
        <w:t xml:space="preserve">E. Gniewek, P. Machnikowski (red.), </w:t>
      </w:r>
      <w:r w:rsidR="00FE30DC">
        <w:rPr>
          <w:rFonts w:ascii="Times New Roman" w:eastAsia="Times New Roman" w:hAnsi="Times New Roman" w:cs="Times New Roman"/>
          <w:color w:val="000000" w:themeColor="text1"/>
          <w:sz w:val="24"/>
          <w:szCs w:val="24"/>
        </w:rPr>
        <w:t>Kodeks cywilny. Komentarz. Wyd. </w:t>
      </w:r>
      <w:r w:rsidR="00540D98" w:rsidRPr="00FE30DC">
        <w:rPr>
          <w:rFonts w:ascii="Times New Roman" w:eastAsia="Times New Roman" w:hAnsi="Times New Roman" w:cs="Times New Roman"/>
          <w:color w:val="000000" w:themeColor="text1"/>
          <w:sz w:val="24"/>
          <w:szCs w:val="24"/>
        </w:rPr>
        <w:t>10, Warszawa 2021</w:t>
      </w:r>
      <w:r w:rsidR="00227D5E" w:rsidRPr="00FE30DC">
        <w:rPr>
          <w:rFonts w:ascii="Times New Roman" w:eastAsia="Times New Roman" w:hAnsi="Times New Roman" w:cs="Times New Roman"/>
          <w:color w:val="000000" w:themeColor="text1"/>
          <w:sz w:val="24"/>
          <w:szCs w:val="24"/>
        </w:rPr>
        <w:t>).</w:t>
      </w:r>
    </w:p>
    <w:p w14:paraId="6211B22F" w14:textId="08112AB5" w:rsidR="00EA7FDE" w:rsidRPr="00FE30DC" w:rsidRDefault="00BE3502" w:rsidP="00FE30DC">
      <w:pPr>
        <w:spacing w:before="120" w:after="0" w:line="360" w:lineRule="auto"/>
        <w:jc w:val="both"/>
        <w:rPr>
          <w:rFonts w:ascii="Times New Roman" w:hAnsi="Times New Roman" w:cs="Times New Roman"/>
          <w:sz w:val="24"/>
          <w:szCs w:val="24"/>
        </w:rPr>
      </w:pPr>
      <w:r w:rsidRPr="00FE30DC">
        <w:rPr>
          <w:rFonts w:ascii="Times New Roman" w:eastAsia="Times New Roman" w:hAnsi="Times New Roman" w:cs="Times New Roman"/>
          <w:color w:val="000000" w:themeColor="text1"/>
          <w:sz w:val="24"/>
          <w:szCs w:val="24"/>
        </w:rPr>
        <w:t>W przepisie art. 1</w:t>
      </w:r>
      <w:r w:rsidR="005F6837" w:rsidRPr="00FE30DC">
        <w:rPr>
          <w:rFonts w:ascii="Times New Roman" w:eastAsia="Times New Roman" w:hAnsi="Times New Roman" w:cs="Times New Roman"/>
          <w:color w:val="000000" w:themeColor="text1"/>
          <w:sz w:val="24"/>
          <w:szCs w:val="24"/>
        </w:rPr>
        <w:t>28a</w:t>
      </w:r>
      <w:r w:rsidRPr="00FE30DC">
        <w:rPr>
          <w:rFonts w:ascii="Times New Roman" w:eastAsia="Times New Roman" w:hAnsi="Times New Roman" w:cs="Times New Roman"/>
          <w:color w:val="000000" w:themeColor="text1"/>
          <w:sz w:val="24"/>
          <w:szCs w:val="24"/>
        </w:rPr>
        <w:t xml:space="preserve"> przesądzono również, że roszczenie nie </w:t>
      </w:r>
      <w:r w:rsidR="00793A25" w:rsidRPr="00FE30DC">
        <w:rPr>
          <w:rFonts w:ascii="Times New Roman" w:eastAsia="Times New Roman" w:hAnsi="Times New Roman" w:cs="Times New Roman"/>
          <w:color w:val="000000" w:themeColor="text1"/>
          <w:sz w:val="24"/>
          <w:szCs w:val="24"/>
        </w:rPr>
        <w:t>przysługuje</w:t>
      </w:r>
      <w:r w:rsidR="00DD2243" w:rsidRPr="00FE30DC">
        <w:rPr>
          <w:rFonts w:ascii="Times New Roman" w:eastAsia="Times New Roman" w:hAnsi="Times New Roman" w:cs="Times New Roman"/>
          <w:color w:val="000000" w:themeColor="text1"/>
          <w:sz w:val="24"/>
          <w:szCs w:val="24"/>
        </w:rPr>
        <w:t xml:space="preserve"> w zakresie</w:t>
      </w:r>
      <w:r w:rsidRPr="00FE30DC">
        <w:rPr>
          <w:rFonts w:ascii="Times New Roman" w:eastAsia="Times New Roman" w:hAnsi="Times New Roman" w:cs="Times New Roman"/>
          <w:color w:val="000000" w:themeColor="text1"/>
          <w:sz w:val="24"/>
          <w:szCs w:val="24"/>
        </w:rPr>
        <w:t xml:space="preserve"> wyrównania różnicy między wartością nieruchomości określoną według przeznaczeni</w:t>
      </w:r>
      <w:r w:rsidR="00652DB7" w:rsidRPr="00FE30DC">
        <w:rPr>
          <w:rFonts w:ascii="Times New Roman" w:eastAsia="Times New Roman" w:hAnsi="Times New Roman" w:cs="Times New Roman"/>
          <w:color w:val="000000" w:themeColor="text1"/>
          <w:sz w:val="24"/>
          <w:szCs w:val="24"/>
        </w:rPr>
        <w:t>a</w:t>
      </w:r>
      <w:r w:rsidRPr="00FE30DC">
        <w:rPr>
          <w:rFonts w:ascii="Times New Roman" w:eastAsia="Times New Roman" w:hAnsi="Times New Roman" w:cs="Times New Roman"/>
          <w:color w:val="000000" w:themeColor="text1"/>
          <w:sz w:val="24"/>
          <w:szCs w:val="24"/>
        </w:rPr>
        <w:t xml:space="preserve"> nieruchomości na cel publiczny a odszkodowaniem przyznanym na podstawie ustawy</w:t>
      </w:r>
      <w:r w:rsidR="00325B00">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oraz uregulowano problematykę </w:t>
      </w:r>
      <w:r w:rsidR="005E01CF" w:rsidRPr="00FE30DC">
        <w:rPr>
          <w:rFonts w:ascii="Times New Roman" w:eastAsia="Times New Roman" w:hAnsi="Times New Roman" w:cs="Times New Roman"/>
          <w:color w:val="000000" w:themeColor="text1"/>
          <w:sz w:val="24"/>
          <w:szCs w:val="24"/>
        </w:rPr>
        <w:t xml:space="preserve">wyeliminowania z obrotu prawnego decyzji stanowiącej podstawę wywłaszczenia i skutki </w:t>
      </w:r>
      <w:r w:rsidR="000E6C98" w:rsidRPr="00FE30DC">
        <w:rPr>
          <w:rFonts w:ascii="Times New Roman" w:eastAsia="Times New Roman" w:hAnsi="Times New Roman" w:cs="Times New Roman"/>
          <w:color w:val="000000" w:themeColor="text1"/>
          <w:sz w:val="24"/>
          <w:szCs w:val="24"/>
        </w:rPr>
        <w:t>tego zdarzenia dla wypłaconego odszkodowania (obowiązek zwrotu).</w:t>
      </w:r>
      <w:r w:rsidR="00EA7FDE" w:rsidRPr="00FE30DC">
        <w:rPr>
          <w:rFonts w:ascii="Times New Roman" w:eastAsia="Times New Roman" w:hAnsi="Times New Roman" w:cs="Times New Roman"/>
          <w:color w:val="000000" w:themeColor="text1"/>
          <w:sz w:val="24"/>
          <w:szCs w:val="24"/>
        </w:rPr>
        <w:t xml:space="preserve"> Przesądzono również, że</w:t>
      </w:r>
      <w:r w:rsidR="00845F2B" w:rsidRPr="00FE30DC">
        <w:rPr>
          <w:rFonts w:ascii="Times New Roman" w:eastAsia="Times New Roman" w:hAnsi="Times New Roman" w:cs="Times New Roman"/>
          <w:color w:val="000000" w:themeColor="text1"/>
          <w:sz w:val="24"/>
          <w:szCs w:val="24"/>
        </w:rPr>
        <w:t xml:space="preserve"> jeżeli decyzja, na podstawie której nastąpiło wywłaszczenie nieruchomości, została następnie uchylona lub stwierdzono jej nieważność, podmiot, który wypłacił odszkodowanie, o którym mowa w </w:t>
      </w:r>
      <w:r w:rsidR="00790A86" w:rsidRPr="00FE30DC">
        <w:rPr>
          <w:rFonts w:ascii="Times New Roman" w:eastAsia="Times New Roman" w:hAnsi="Times New Roman" w:cs="Times New Roman"/>
          <w:color w:val="000000" w:themeColor="text1"/>
          <w:sz w:val="24"/>
          <w:szCs w:val="24"/>
        </w:rPr>
        <w:t xml:space="preserve">art. 128a </w:t>
      </w:r>
      <w:r w:rsidR="00845F2B" w:rsidRPr="00FE30DC">
        <w:rPr>
          <w:rFonts w:ascii="Times New Roman" w:eastAsia="Times New Roman" w:hAnsi="Times New Roman" w:cs="Times New Roman"/>
          <w:color w:val="000000" w:themeColor="text1"/>
          <w:sz w:val="24"/>
          <w:szCs w:val="24"/>
        </w:rPr>
        <w:t>ust. 1, jest uprawniony do dochodzenia przed sądem powszechnym jego zwrotu od osoby, której wypłacono to odszkodowanie, lub jej spadkobiercy w zakresie</w:t>
      </w:r>
      <w:r w:rsidR="00746FFA" w:rsidRPr="00FE30DC">
        <w:rPr>
          <w:rFonts w:ascii="Times New Roman" w:eastAsia="Times New Roman" w:hAnsi="Times New Roman" w:cs="Times New Roman"/>
          <w:color w:val="000000" w:themeColor="text1"/>
          <w:sz w:val="24"/>
          <w:szCs w:val="24"/>
        </w:rPr>
        <w:t>,</w:t>
      </w:r>
      <w:r w:rsidR="00845F2B" w:rsidRPr="00FE30DC">
        <w:rPr>
          <w:rFonts w:ascii="Times New Roman" w:eastAsia="Times New Roman" w:hAnsi="Times New Roman" w:cs="Times New Roman"/>
          <w:color w:val="000000" w:themeColor="text1"/>
          <w:sz w:val="24"/>
          <w:szCs w:val="24"/>
        </w:rPr>
        <w:t xml:space="preserve"> w jakim uchylenie lub stwierdzenie nieważności decyzji spowodowało naprawienie szkody</w:t>
      </w:r>
      <w:r w:rsidR="00EA7FDE" w:rsidRPr="00FE30DC">
        <w:rPr>
          <w:rFonts w:ascii="Times New Roman" w:hAnsi="Times New Roman" w:cs="Times New Roman"/>
          <w:sz w:val="24"/>
          <w:szCs w:val="24"/>
        </w:rPr>
        <w:t>. Zasady waloryzacji odszkodowania w tym zakre</w:t>
      </w:r>
      <w:r w:rsidR="00FE30DC">
        <w:rPr>
          <w:rFonts w:ascii="Times New Roman" w:hAnsi="Times New Roman" w:cs="Times New Roman"/>
          <w:sz w:val="24"/>
          <w:szCs w:val="24"/>
        </w:rPr>
        <w:t>sie określają przepisy odrębne.</w:t>
      </w:r>
    </w:p>
    <w:p w14:paraId="21D60CDC" w14:textId="7FAF4F55" w:rsidR="009709B2" w:rsidRPr="00FE30DC" w:rsidRDefault="009709B2" w:rsidP="00FE30DC">
      <w:pPr>
        <w:spacing w:before="120" w:after="0" w:line="360" w:lineRule="auto"/>
        <w:jc w:val="both"/>
        <w:rPr>
          <w:rFonts w:ascii="Times New Roman" w:hAnsi="Times New Roman" w:cs="Times New Roman"/>
          <w:sz w:val="24"/>
          <w:szCs w:val="24"/>
        </w:rPr>
      </w:pPr>
      <w:r w:rsidRPr="00FE30DC">
        <w:rPr>
          <w:rFonts w:ascii="Times New Roman" w:hAnsi="Times New Roman" w:cs="Times New Roman"/>
          <w:sz w:val="24"/>
          <w:szCs w:val="24"/>
        </w:rPr>
        <w:t xml:space="preserve">Przepisy przejściowe ustawy przesądzają, że możliwość wystąpienia z roszczeniem związana jest z trybem określenia odszkodowania za wywłaszczenie (w tym za nabycie z mocy prawa) nieruchomości – jeżeli do określenia wysokości odszkodowania miały zastosowanie nowo wprowadzane regulacje, wówczas roszczenie cywilnoprawne przysługuje. W przypadku określenia odszkodowania na dotychczasowych zasadach, nie istnieje możliwość ubiegania się przed sądem powszechnym o kompensację straty objętej dyspozycją art. 128a </w:t>
      </w:r>
      <w:r w:rsidRPr="001E21DA">
        <w:rPr>
          <w:rFonts w:ascii="Times New Roman" w:hAnsi="Times New Roman" w:cs="Times New Roman"/>
          <w:i/>
          <w:sz w:val="24"/>
          <w:szCs w:val="24"/>
        </w:rPr>
        <w:t>ugn</w:t>
      </w:r>
      <w:r w:rsidRPr="00FE30DC">
        <w:rPr>
          <w:rFonts w:ascii="Times New Roman" w:hAnsi="Times New Roman" w:cs="Times New Roman"/>
          <w:sz w:val="24"/>
          <w:szCs w:val="24"/>
        </w:rPr>
        <w:t>.</w:t>
      </w:r>
    </w:p>
    <w:p w14:paraId="60BAC3D3" w14:textId="77777777" w:rsidR="009709B2" w:rsidRPr="00FE30DC" w:rsidRDefault="009709B2" w:rsidP="00FE30DC">
      <w:pPr>
        <w:spacing w:before="120" w:after="0" w:line="360" w:lineRule="auto"/>
        <w:jc w:val="both"/>
        <w:rPr>
          <w:rFonts w:ascii="Times New Roman" w:eastAsia="Times New Roman" w:hAnsi="Times New Roman" w:cs="Times New Roman"/>
          <w:color w:val="000000" w:themeColor="text1"/>
          <w:sz w:val="24"/>
          <w:szCs w:val="24"/>
        </w:rPr>
      </w:pPr>
    </w:p>
    <w:p w14:paraId="1B5677FF" w14:textId="7E986C54" w:rsidR="00540D98" w:rsidRPr="00FE30DC" w:rsidRDefault="00F355CB" w:rsidP="00FE30DC">
      <w:pPr>
        <w:pStyle w:val="Akapitzlist"/>
        <w:numPr>
          <w:ilvl w:val="1"/>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b/>
          <w:bCs/>
          <w:color w:val="000000" w:themeColor="text1"/>
          <w:sz w:val="24"/>
          <w:szCs w:val="24"/>
        </w:rPr>
        <w:t xml:space="preserve"> </w:t>
      </w:r>
      <w:r w:rsidR="00E05B16" w:rsidRPr="00FE30DC">
        <w:rPr>
          <w:rFonts w:ascii="Times New Roman" w:eastAsia="Times New Roman" w:hAnsi="Times New Roman" w:cs="Times New Roman"/>
          <w:b/>
          <w:bCs/>
          <w:color w:val="000000" w:themeColor="text1"/>
          <w:sz w:val="24"/>
          <w:szCs w:val="24"/>
        </w:rPr>
        <w:t>Pozostałe zmiany</w:t>
      </w:r>
    </w:p>
    <w:p w14:paraId="446C2250" w14:textId="558397D8" w:rsidR="00227D5E" w:rsidRPr="00FE30DC" w:rsidRDefault="2C1F5935"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Podkreślenia wymaga, że projektowane zmiany nie znajdują zastosowania do przypadków określania odszkodowań z tytułu wywłaszczenia nieruchomości </w:t>
      </w:r>
      <w:r w:rsidRPr="00FE30DC">
        <w:rPr>
          <w:rFonts w:ascii="Times New Roman" w:eastAsia="Times New Roman" w:hAnsi="Times New Roman" w:cs="Times New Roman"/>
          <w:i/>
          <w:iCs/>
          <w:color w:val="000000" w:themeColor="text1"/>
          <w:sz w:val="24"/>
          <w:szCs w:val="24"/>
        </w:rPr>
        <w:t>sensu largo</w:t>
      </w:r>
      <w:r w:rsidRPr="00FE30DC">
        <w:rPr>
          <w:rFonts w:ascii="Times New Roman" w:eastAsia="Times New Roman" w:hAnsi="Times New Roman" w:cs="Times New Roman"/>
          <w:color w:val="000000" w:themeColor="text1"/>
          <w:sz w:val="24"/>
          <w:szCs w:val="24"/>
        </w:rPr>
        <w:t xml:space="preserve">, polegającego na ograniczeniu sposobu korzystania z nieruchomości </w:t>
      </w:r>
      <w:r w:rsidR="007617D5">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podstawową regulacją tego typu wywłaszczenia jest przepis art. 124 </w:t>
      </w:r>
      <w:r w:rsidRPr="00FE30DC">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jednak odrębne regulacje w tym zakresie zawierają również specustawy inwestycyjne. </w:t>
      </w:r>
      <w:r w:rsidR="70FA6EE6" w:rsidRPr="00FE30DC">
        <w:rPr>
          <w:rFonts w:ascii="Times New Roman" w:eastAsia="Times New Roman" w:hAnsi="Times New Roman" w:cs="Times New Roman"/>
          <w:color w:val="000000" w:themeColor="text1"/>
          <w:sz w:val="24"/>
          <w:szCs w:val="24"/>
        </w:rPr>
        <w:t xml:space="preserve">Wyłączono również zastosowanie możliwości zwiększenia odszkodowania w przypadku wywłaszczania szeroko rozumianych nieruchomości </w:t>
      </w:r>
      <w:r w:rsidR="70FA6EE6" w:rsidRPr="00FE30DC">
        <w:rPr>
          <w:rFonts w:ascii="Times New Roman" w:eastAsia="Times New Roman" w:hAnsi="Times New Roman" w:cs="Times New Roman"/>
          <w:color w:val="000000" w:themeColor="text1"/>
          <w:sz w:val="24"/>
          <w:szCs w:val="24"/>
        </w:rPr>
        <w:lastRenderedPageBreak/>
        <w:t>publicznych (stanowiących własność Skarbu Państwa albo jednostki samorządu terytorialnego).</w:t>
      </w:r>
    </w:p>
    <w:p w14:paraId="7A932252" w14:textId="02225DA4" w:rsidR="00A65D20" w:rsidRPr="00FE30DC" w:rsidRDefault="713A6EFB"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Wprowadzane zasady określania odszkodowania w zakresie bonusów do wartości nieruchomości oraz trybu ustalenia odszkodowania związanego z liczbą osób zameldowanych na nieruchomości nie znajdą również zastosowania do </w:t>
      </w:r>
      <w:r w:rsidR="2AC9A7E6" w:rsidRPr="00FE30DC">
        <w:rPr>
          <w:rFonts w:ascii="Times New Roman" w:eastAsia="Times New Roman" w:hAnsi="Times New Roman" w:cs="Times New Roman"/>
          <w:color w:val="000000" w:themeColor="text1"/>
          <w:sz w:val="24"/>
          <w:szCs w:val="24"/>
        </w:rPr>
        <w:t xml:space="preserve">trybu przejęcia nieruchomości na potrzeby budowy dróg publicznych, określonego w art. 98 </w:t>
      </w:r>
      <w:r w:rsidR="2AC9A7E6" w:rsidRPr="001E21DA">
        <w:rPr>
          <w:rFonts w:ascii="Times New Roman" w:eastAsia="Times New Roman" w:hAnsi="Times New Roman" w:cs="Times New Roman"/>
          <w:i/>
          <w:color w:val="000000" w:themeColor="text1"/>
          <w:sz w:val="24"/>
          <w:szCs w:val="24"/>
        </w:rPr>
        <w:t>ugn</w:t>
      </w:r>
      <w:r w:rsidR="2AC9A7E6" w:rsidRPr="00FE30DC">
        <w:rPr>
          <w:rFonts w:ascii="Times New Roman" w:eastAsia="Times New Roman" w:hAnsi="Times New Roman" w:cs="Times New Roman"/>
          <w:color w:val="000000" w:themeColor="text1"/>
          <w:sz w:val="24"/>
          <w:szCs w:val="24"/>
        </w:rPr>
        <w:t>. Zgodnie z tym przepisem działki gruntu wydzielone pod drogi publiczne: gminne, powiatowe, wojewódzkie, krajowe – z nieruchomości, której podział został dokonany na wniosek właściciela, przechodzą z mocy prawa odpowiednio na własność gminy, powiatu, województwa lub Skarbu Państwa z dniem, w którym decyzja zatwierdzająca podział stała się ostateczna albo orzeczenie o podziale prawomocne. Przepis ten stosuje się także do nieruchomości, której podział został dokonany na wniosek użytkownika wieczystego, z tym że prawo użytkowania wieczystego działek gruntu wydzielonych pod drogi publiczne wygasa z dniem, w którym decyzja zatwierdzająca podział stała się ostateczna albo orzeczenie o podziale prawomocne. Przepis stosuje się odpowiednio przy wydzielaniu działek gruntu pod poszerzenie istniejących dróg publicznych. Przesłanką braku stosowania korzystnych zasad odszkodowawczych w tym przypadku jest fakt przejmowania w tym trybie wyłącznie fragmentów nieruchomości, co nie prowadzi do konieczności np. zmiany miejsca zamieszkania lub prowadzenia dzi</w:t>
      </w:r>
      <w:r w:rsidR="0682309B" w:rsidRPr="00FE30DC">
        <w:rPr>
          <w:rFonts w:ascii="Times New Roman" w:eastAsia="Times New Roman" w:hAnsi="Times New Roman" w:cs="Times New Roman"/>
          <w:color w:val="000000" w:themeColor="text1"/>
          <w:sz w:val="24"/>
          <w:szCs w:val="24"/>
        </w:rPr>
        <w:t>ałalności, ponadto jest to tryb uruchamiany na wniosek właściciela nieruchomości, zaś ustalenie wynagrodzenia następuje w pierwszym rzędzie w trybie konsensualnym (art.</w:t>
      </w:r>
      <w:r w:rsidR="786B2C64" w:rsidRPr="00FE30DC">
        <w:rPr>
          <w:rFonts w:ascii="Times New Roman" w:eastAsia="Times New Roman" w:hAnsi="Times New Roman" w:cs="Times New Roman"/>
          <w:color w:val="000000" w:themeColor="text1"/>
          <w:sz w:val="24"/>
          <w:szCs w:val="24"/>
        </w:rPr>
        <w:t xml:space="preserve"> </w:t>
      </w:r>
      <w:r w:rsidR="0682309B" w:rsidRPr="00FE30DC">
        <w:rPr>
          <w:rFonts w:ascii="Times New Roman" w:eastAsia="Times New Roman" w:hAnsi="Times New Roman" w:cs="Times New Roman"/>
          <w:color w:val="000000" w:themeColor="text1"/>
          <w:sz w:val="24"/>
          <w:szCs w:val="24"/>
        </w:rPr>
        <w:t xml:space="preserve">98 ust. 3 </w:t>
      </w:r>
      <w:r w:rsidR="0682309B" w:rsidRPr="001E21DA">
        <w:rPr>
          <w:rFonts w:ascii="Times New Roman" w:eastAsia="Times New Roman" w:hAnsi="Times New Roman" w:cs="Times New Roman"/>
          <w:i/>
          <w:color w:val="000000" w:themeColor="text1"/>
          <w:sz w:val="24"/>
          <w:szCs w:val="24"/>
        </w:rPr>
        <w:t>ugn</w:t>
      </w:r>
      <w:r w:rsidR="0682309B" w:rsidRPr="00FE30DC">
        <w:rPr>
          <w:rFonts w:ascii="Times New Roman" w:eastAsia="Times New Roman" w:hAnsi="Times New Roman" w:cs="Times New Roman"/>
          <w:color w:val="000000" w:themeColor="text1"/>
          <w:sz w:val="24"/>
          <w:szCs w:val="24"/>
        </w:rPr>
        <w:t>)</w:t>
      </w:r>
      <w:r w:rsidR="00EA7FDE" w:rsidRPr="00FE30DC">
        <w:rPr>
          <w:rFonts w:ascii="Times New Roman" w:eastAsia="Times New Roman" w:hAnsi="Times New Roman" w:cs="Times New Roman"/>
          <w:color w:val="000000" w:themeColor="text1"/>
          <w:sz w:val="24"/>
          <w:szCs w:val="24"/>
        </w:rPr>
        <w:t>.</w:t>
      </w:r>
    </w:p>
    <w:p w14:paraId="7CE74345" w14:textId="1951B12C" w:rsidR="00EA7FDE" w:rsidRPr="00FE30DC" w:rsidRDefault="000E6C98"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Uregulowano zagadnienia związane z waloryzacją odszkodowania, zarówno w zakresie jego wypłaty (art. 132 </w:t>
      </w:r>
      <w:r w:rsidRPr="001E21DA">
        <w:rPr>
          <w:rFonts w:ascii="Times New Roman" w:eastAsia="Times New Roman" w:hAnsi="Times New Roman" w:cs="Times New Roman"/>
          <w:i/>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jak i w przypadku zwrotu nieruchomości (art. 140 </w:t>
      </w:r>
      <w:r w:rsidRPr="001E21DA">
        <w:rPr>
          <w:rFonts w:ascii="Times New Roman" w:eastAsia="Times New Roman" w:hAnsi="Times New Roman" w:cs="Times New Roman"/>
          <w:i/>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w:t>
      </w:r>
      <w:r w:rsidR="00FE30DC">
        <w:rPr>
          <w:rFonts w:ascii="Times New Roman" w:eastAsia="Times New Roman" w:hAnsi="Times New Roman" w:cs="Times New Roman"/>
          <w:color w:val="000000" w:themeColor="text1"/>
          <w:sz w:val="24"/>
          <w:szCs w:val="24"/>
        </w:rPr>
        <w:t>W </w:t>
      </w:r>
      <w:r w:rsidR="00CF4D0C" w:rsidRPr="00FE30DC">
        <w:rPr>
          <w:rFonts w:ascii="Times New Roman" w:eastAsia="Times New Roman" w:hAnsi="Times New Roman" w:cs="Times New Roman"/>
          <w:color w:val="000000" w:themeColor="text1"/>
          <w:sz w:val="24"/>
          <w:szCs w:val="24"/>
        </w:rPr>
        <w:t xml:space="preserve">odniesieniu do całości odszkodowania określonego </w:t>
      </w:r>
      <w:r w:rsidR="007E3F68" w:rsidRPr="00FE30DC">
        <w:rPr>
          <w:rFonts w:ascii="Times New Roman" w:eastAsia="Times New Roman" w:hAnsi="Times New Roman" w:cs="Times New Roman"/>
          <w:color w:val="000000" w:themeColor="text1"/>
          <w:sz w:val="24"/>
          <w:szCs w:val="24"/>
        </w:rPr>
        <w:t>na podstawie art. 1</w:t>
      </w:r>
      <w:r w:rsidR="00D8267F" w:rsidRPr="00FE30DC">
        <w:rPr>
          <w:rFonts w:ascii="Times New Roman" w:eastAsia="Times New Roman" w:hAnsi="Times New Roman" w:cs="Times New Roman"/>
          <w:color w:val="000000" w:themeColor="text1"/>
          <w:sz w:val="24"/>
          <w:szCs w:val="24"/>
        </w:rPr>
        <w:t>28</w:t>
      </w:r>
      <w:r w:rsidR="00FE30DC">
        <w:rPr>
          <w:rFonts w:ascii="Times New Roman" w:eastAsia="Times New Roman" w:hAnsi="Times New Roman" w:cs="Times New Roman"/>
          <w:color w:val="000000" w:themeColor="text1"/>
          <w:sz w:val="24"/>
          <w:szCs w:val="24"/>
        </w:rPr>
        <w:t xml:space="preserve"> ust.</w:t>
      </w:r>
      <w:r w:rsidR="007617D5">
        <w:rPr>
          <w:rFonts w:ascii="Times New Roman" w:eastAsia="Times New Roman" w:hAnsi="Times New Roman" w:cs="Times New Roman"/>
          <w:color w:val="000000" w:themeColor="text1"/>
          <w:sz w:val="24"/>
          <w:szCs w:val="24"/>
        </w:rPr>
        <w:t xml:space="preserve"> </w:t>
      </w:r>
      <w:r w:rsidR="00D8267F" w:rsidRPr="00FE30DC">
        <w:rPr>
          <w:rFonts w:ascii="Times New Roman" w:eastAsia="Times New Roman" w:hAnsi="Times New Roman" w:cs="Times New Roman"/>
          <w:color w:val="000000" w:themeColor="text1"/>
          <w:sz w:val="24"/>
          <w:szCs w:val="24"/>
        </w:rPr>
        <w:t>5</w:t>
      </w:r>
      <w:r w:rsidR="007617D5">
        <w:rPr>
          <w:rFonts w:ascii="Times New Roman" w:eastAsia="Times New Roman" w:hAnsi="Times New Roman" w:cs="Times New Roman"/>
          <w:color w:val="000000" w:themeColor="text1"/>
          <w:sz w:val="24"/>
          <w:szCs w:val="24"/>
        </w:rPr>
        <w:t>–</w:t>
      </w:r>
      <w:r w:rsidR="00D8267F" w:rsidRPr="00FE30DC">
        <w:rPr>
          <w:rFonts w:ascii="Times New Roman" w:eastAsia="Times New Roman" w:hAnsi="Times New Roman" w:cs="Times New Roman"/>
          <w:color w:val="000000" w:themeColor="text1"/>
          <w:sz w:val="24"/>
          <w:szCs w:val="24"/>
        </w:rPr>
        <w:t>12</w:t>
      </w:r>
      <w:r w:rsidR="007E3F68" w:rsidRPr="00FE30DC">
        <w:rPr>
          <w:rFonts w:ascii="Times New Roman" w:eastAsia="Times New Roman" w:hAnsi="Times New Roman" w:cs="Times New Roman"/>
          <w:color w:val="000000" w:themeColor="text1"/>
          <w:sz w:val="24"/>
          <w:szCs w:val="24"/>
        </w:rPr>
        <w:t xml:space="preserve"> </w:t>
      </w:r>
      <w:r w:rsidR="00926AF4" w:rsidRPr="001E21DA">
        <w:rPr>
          <w:rFonts w:ascii="Times New Roman" w:eastAsia="Times New Roman" w:hAnsi="Times New Roman" w:cs="Times New Roman"/>
          <w:i/>
          <w:color w:val="000000" w:themeColor="text1"/>
          <w:sz w:val="24"/>
          <w:szCs w:val="24"/>
        </w:rPr>
        <w:t>ugn</w:t>
      </w:r>
      <w:r w:rsidR="00926AF4" w:rsidRPr="00FE30DC">
        <w:rPr>
          <w:rFonts w:ascii="Times New Roman" w:eastAsia="Times New Roman" w:hAnsi="Times New Roman" w:cs="Times New Roman"/>
          <w:color w:val="000000" w:themeColor="text1"/>
          <w:sz w:val="24"/>
          <w:szCs w:val="24"/>
        </w:rPr>
        <w:t xml:space="preserve"> </w:t>
      </w:r>
      <w:r w:rsidR="009238CB" w:rsidRPr="00FE30DC">
        <w:rPr>
          <w:rFonts w:ascii="Times New Roman" w:eastAsia="Times New Roman" w:hAnsi="Times New Roman" w:cs="Times New Roman"/>
          <w:color w:val="000000" w:themeColor="text1"/>
          <w:sz w:val="24"/>
          <w:szCs w:val="24"/>
        </w:rPr>
        <w:t>–</w:t>
      </w:r>
      <w:r w:rsidR="003A6640" w:rsidRPr="00FE30DC">
        <w:rPr>
          <w:rFonts w:ascii="Times New Roman" w:eastAsia="Times New Roman" w:hAnsi="Times New Roman" w:cs="Times New Roman"/>
          <w:color w:val="000000" w:themeColor="text1"/>
          <w:sz w:val="24"/>
          <w:szCs w:val="24"/>
        </w:rPr>
        <w:t xml:space="preserve"> </w:t>
      </w:r>
      <w:r w:rsidR="009238CB" w:rsidRPr="00FE30DC">
        <w:rPr>
          <w:rFonts w:ascii="Times New Roman" w:eastAsia="Times New Roman" w:hAnsi="Times New Roman" w:cs="Times New Roman"/>
          <w:color w:val="000000" w:themeColor="text1"/>
          <w:sz w:val="24"/>
          <w:szCs w:val="24"/>
        </w:rPr>
        <w:t xml:space="preserve">waloryzacji </w:t>
      </w:r>
      <w:r w:rsidR="007E3F68" w:rsidRPr="00FE30DC">
        <w:rPr>
          <w:rFonts w:ascii="Times New Roman" w:eastAsia="Times New Roman" w:hAnsi="Times New Roman" w:cs="Times New Roman"/>
          <w:color w:val="000000" w:themeColor="text1"/>
          <w:sz w:val="24"/>
          <w:szCs w:val="24"/>
        </w:rPr>
        <w:t>dokonuje się przy wykorzystaniu wskaźnika cen towarów i usług konsumpcyjnych.</w:t>
      </w:r>
    </w:p>
    <w:p w14:paraId="558C80A1" w14:textId="373DDF9F" w:rsidR="00A07B1A"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Ponadto projekt przewiduje dokonanie odpowiednich zmian dostosowawczych w</w:t>
      </w:r>
      <w:r w:rsidR="00FE30DC">
        <w:rPr>
          <w:rFonts w:ascii="Times New Roman" w:eastAsia="Times New Roman" w:hAnsi="Times New Roman" w:cs="Times New Roman"/>
          <w:color w:val="000000" w:themeColor="text1"/>
          <w:sz w:val="24"/>
          <w:szCs w:val="24"/>
        </w:rPr>
        <w:t xml:space="preserve"> art. </w:t>
      </w:r>
      <w:r w:rsidR="005749FF" w:rsidRPr="00FE30DC">
        <w:rPr>
          <w:rFonts w:ascii="Times New Roman" w:eastAsia="Times New Roman" w:hAnsi="Times New Roman" w:cs="Times New Roman"/>
          <w:color w:val="000000" w:themeColor="text1"/>
          <w:sz w:val="24"/>
          <w:szCs w:val="24"/>
        </w:rPr>
        <w:t>1</w:t>
      </w:r>
      <w:r w:rsidRPr="00FE30DC">
        <w:rPr>
          <w:rFonts w:ascii="Times New Roman" w:eastAsia="Times New Roman" w:hAnsi="Times New Roman" w:cs="Times New Roman"/>
          <w:color w:val="000000" w:themeColor="text1"/>
          <w:sz w:val="24"/>
          <w:szCs w:val="24"/>
        </w:rPr>
        <w:t xml:space="preserve">35 </w:t>
      </w:r>
      <w:r w:rsidRPr="001E21DA">
        <w:rPr>
          <w:rFonts w:ascii="Times New Roman" w:eastAsia="Times New Roman" w:hAnsi="Times New Roman" w:cs="Times New Roman"/>
          <w:i/>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 polegając</w:t>
      </w:r>
      <w:r w:rsidR="008A5841" w:rsidRPr="00FE30DC">
        <w:rPr>
          <w:rFonts w:ascii="Times New Roman" w:eastAsia="Times New Roman" w:hAnsi="Times New Roman" w:cs="Times New Roman"/>
          <w:color w:val="000000" w:themeColor="text1"/>
          <w:sz w:val="24"/>
          <w:szCs w:val="24"/>
        </w:rPr>
        <w:t>ych</w:t>
      </w:r>
      <w:r w:rsidRPr="00FE30DC">
        <w:rPr>
          <w:rFonts w:ascii="Times New Roman" w:eastAsia="Times New Roman" w:hAnsi="Times New Roman" w:cs="Times New Roman"/>
          <w:color w:val="000000" w:themeColor="text1"/>
          <w:sz w:val="24"/>
          <w:szCs w:val="24"/>
        </w:rPr>
        <w:t xml:space="preserve"> na modyfikacji odesłań do przepisów kształtujących wysokość odszkodowania</w:t>
      </w:r>
      <w:r w:rsidR="00A07B1A" w:rsidRPr="00FE30DC">
        <w:rPr>
          <w:rFonts w:ascii="Times New Roman" w:eastAsia="Times New Roman" w:hAnsi="Times New Roman" w:cs="Times New Roman"/>
          <w:color w:val="000000" w:themeColor="text1"/>
          <w:sz w:val="24"/>
          <w:szCs w:val="24"/>
        </w:rPr>
        <w:t>.</w:t>
      </w:r>
    </w:p>
    <w:p w14:paraId="33E20C24" w14:textId="0BC3E70D" w:rsidR="00A07B1A" w:rsidRPr="00FE30DC" w:rsidRDefault="00A07B1A" w:rsidP="00FE30DC">
      <w:pPr>
        <w:pStyle w:val="ZLITUSTzmustliter"/>
        <w:spacing w:before="120"/>
        <w:ind w:left="0" w:firstLine="0"/>
        <w:rPr>
          <w:rFonts w:ascii="Times New Roman" w:eastAsia="Times New Roman" w:hAnsi="Times New Roman" w:cs="Times New Roman"/>
          <w:color w:val="000000" w:themeColor="text1"/>
          <w:szCs w:val="24"/>
          <w:lang w:eastAsia="en-US"/>
        </w:rPr>
      </w:pPr>
      <w:r w:rsidRPr="00FE30DC">
        <w:rPr>
          <w:rFonts w:ascii="Times New Roman" w:eastAsia="Times New Roman" w:hAnsi="Times New Roman" w:cs="Times New Roman"/>
          <w:color w:val="000000" w:themeColor="text1"/>
          <w:szCs w:val="24"/>
          <w:lang w:eastAsia="en-US"/>
        </w:rPr>
        <w:t xml:space="preserve">Zmiany dostosowawcze dotyczą również przepisów art. 128 ust. 2-4 </w:t>
      </w:r>
      <w:r w:rsidRPr="001E21DA">
        <w:rPr>
          <w:rFonts w:ascii="Times New Roman" w:eastAsia="Times New Roman" w:hAnsi="Times New Roman" w:cs="Times New Roman"/>
          <w:i/>
          <w:color w:val="000000" w:themeColor="text1"/>
          <w:szCs w:val="24"/>
          <w:lang w:eastAsia="en-US"/>
        </w:rPr>
        <w:t>ugn</w:t>
      </w:r>
      <w:r w:rsidRPr="00FE30DC">
        <w:rPr>
          <w:rFonts w:ascii="Times New Roman" w:eastAsia="Times New Roman" w:hAnsi="Times New Roman" w:cs="Times New Roman"/>
          <w:color w:val="000000" w:themeColor="text1"/>
          <w:szCs w:val="24"/>
          <w:lang w:eastAsia="en-US"/>
        </w:rPr>
        <w:t xml:space="preserve">. Wobec normatywnego rozdzielenia pojęcia wartości nieruchomości i pojęcia odszkodowania – w związku z wprowadzeniem kwot zwiększających wartość odszkodowania względem wartości nieruchomości, stanowiącej podstawę jego określenia, niezbędne stało się uwzględnienie ww. rozdzielenia w szeregu przepisów </w:t>
      </w:r>
      <w:r w:rsidRPr="00FE30DC">
        <w:rPr>
          <w:rFonts w:ascii="Times New Roman" w:eastAsia="Times New Roman" w:hAnsi="Times New Roman" w:cs="Times New Roman"/>
          <w:i/>
          <w:iCs/>
          <w:color w:val="000000" w:themeColor="text1"/>
          <w:szCs w:val="24"/>
          <w:lang w:eastAsia="en-US"/>
        </w:rPr>
        <w:t>ugn</w:t>
      </w:r>
      <w:r w:rsidRPr="00FE30DC">
        <w:rPr>
          <w:rFonts w:ascii="Times New Roman" w:eastAsia="Times New Roman" w:hAnsi="Times New Roman" w:cs="Times New Roman"/>
          <w:color w:val="000000" w:themeColor="text1"/>
          <w:szCs w:val="24"/>
          <w:lang w:eastAsia="en-US"/>
        </w:rPr>
        <w:t xml:space="preserve">. W odniesieniu do art. 128 ust. 2 </w:t>
      </w:r>
      <w:r w:rsidRPr="00FE30DC">
        <w:rPr>
          <w:rFonts w:ascii="Times New Roman" w:eastAsia="Times New Roman" w:hAnsi="Times New Roman" w:cs="Times New Roman"/>
          <w:i/>
          <w:iCs/>
          <w:color w:val="000000" w:themeColor="text1"/>
          <w:szCs w:val="24"/>
          <w:lang w:eastAsia="en-US"/>
        </w:rPr>
        <w:t>ugn</w:t>
      </w:r>
      <w:r w:rsidRPr="00FE30DC">
        <w:rPr>
          <w:rFonts w:ascii="Times New Roman" w:eastAsia="Times New Roman" w:hAnsi="Times New Roman" w:cs="Times New Roman"/>
          <w:color w:val="000000" w:themeColor="text1"/>
          <w:szCs w:val="24"/>
          <w:lang w:eastAsia="en-US"/>
        </w:rPr>
        <w:t xml:space="preserve"> dotyczy to </w:t>
      </w:r>
      <w:r w:rsidRPr="00FE30DC">
        <w:rPr>
          <w:rFonts w:ascii="Times New Roman" w:eastAsia="Times New Roman" w:hAnsi="Times New Roman" w:cs="Times New Roman"/>
          <w:color w:val="000000" w:themeColor="text1"/>
          <w:szCs w:val="24"/>
          <w:lang w:eastAsia="en-US"/>
        </w:rPr>
        <w:lastRenderedPageBreak/>
        <w:t>sytuacji, w której na wywłaszczanej nieruchomości lub prawie użytkowania wieczystego tej nieruchomości są ustanowione inne prawa rzeczowe – wówczas wartość tych praw uwzględnia się</w:t>
      </w:r>
      <w:r w:rsidR="00746FFA" w:rsidRPr="00FE30DC">
        <w:rPr>
          <w:rFonts w:ascii="Times New Roman" w:eastAsia="Times New Roman" w:hAnsi="Times New Roman" w:cs="Times New Roman"/>
          <w:color w:val="000000" w:themeColor="text1"/>
          <w:szCs w:val="24"/>
          <w:lang w:eastAsia="en-US"/>
        </w:rPr>
        <w:t>,</w:t>
      </w:r>
      <w:r w:rsidRPr="00FE30DC">
        <w:rPr>
          <w:rFonts w:ascii="Times New Roman" w:eastAsia="Times New Roman" w:hAnsi="Times New Roman" w:cs="Times New Roman"/>
          <w:color w:val="000000" w:themeColor="text1"/>
          <w:szCs w:val="24"/>
          <w:lang w:eastAsia="en-US"/>
        </w:rPr>
        <w:t xml:space="preserve"> odejmując ją od wartości nieruchomości lub prawa użytkowania wieczystego nieruchomości. Tak ustalona wartość nieruchomości stanowi podstawę do ustalenia wysokości odszkodowania. Przepis art. 128 ust. 3 </w:t>
      </w:r>
      <w:r w:rsidRPr="00FE30DC">
        <w:rPr>
          <w:rFonts w:ascii="Times New Roman" w:eastAsia="Times New Roman" w:hAnsi="Times New Roman" w:cs="Times New Roman"/>
          <w:i/>
          <w:iCs/>
          <w:color w:val="000000" w:themeColor="text1"/>
          <w:szCs w:val="24"/>
          <w:lang w:eastAsia="en-US"/>
        </w:rPr>
        <w:t>ugn</w:t>
      </w:r>
      <w:r w:rsidRPr="00FE30DC">
        <w:rPr>
          <w:rFonts w:ascii="Times New Roman" w:eastAsia="Times New Roman" w:hAnsi="Times New Roman" w:cs="Times New Roman"/>
          <w:color w:val="000000" w:themeColor="text1"/>
          <w:szCs w:val="24"/>
          <w:lang w:eastAsia="en-US"/>
        </w:rPr>
        <w:t xml:space="preserve"> zawiera analogiczne zmiany dla przypadku ustanowienia na wywłaszczanej nieruchomości p</w:t>
      </w:r>
      <w:r w:rsidR="00FE30DC">
        <w:rPr>
          <w:rFonts w:ascii="Times New Roman" w:eastAsia="Times New Roman" w:hAnsi="Times New Roman" w:cs="Times New Roman"/>
          <w:color w:val="000000" w:themeColor="text1"/>
          <w:szCs w:val="24"/>
          <w:lang w:eastAsia="en-US"/>
        </w:rPr>
        <w:t>rawa użytkowania wieczystego. Z </w:t>
      </w:r>
      <w:r w:rsidRPr="00FE30DC">
        <w:rPr>
          <w:rFonts w:ascii="Times New Roman" w:eastAsia="Times New Roman" w:hAnsi="Times New Roman" w:cs="Times New Roman"/>
          <w:color w:val="000000" w:themeColor="text1"/>
          <w:szCs w:val="24"/>
          <w:lang w:eastAsia="en-US"/>
        </w:rPr>
        <w:t xml:space="preserve">kolei w art. 128 ust. 4 </w:t>
      </w:r>
      <w:r w:rsidRPr="00FE30DC">
        <w:rPr>
          <w:rFonts w:ascii="Times New Roman" w:eastAsia="Times New Roman" w:hAnsi="Times New Roman" w:cs="Times New Roman"/>
          <w:i/>
          <w:iCs/>
          <w:color w:val="000000" w:themeColor="text1"/>
          <w:szCs w:val="24"/>
          <w:lang w:eastAsia="en-US"/>
        </w:rPr>
        <w:t>ugn</w:t>
      </w:r>
      <w:r w:rsidRPr="00FE30DC">
        <w:rPr>
          <w:rFonts w:ascii="Times New Roman" w:eastAsia="Times New Roman" w:hAnsi="Times New Roman" w:cs="Times New Roman"/>
          <w:color w:val="000000" w:themeColor="text1"/>
          <w:szCs w:val="24"/>
          <w:lang w:eastAsia="en-US"/>
        </w:rPr>
        <w:t xml:space="preserve"> przesądzono, że do odszkodowania za ograniczenie sposobu korzystania z nieruchomości nie stosuje się przepisów o szczególnym sposobie ustalania odszkodowania, zawartych w </w:t>
      </w:r>
      <w:r w:rsidRPr="00FE30DC">
        <w:rPr>
          <w:rFonts w:ascii="Times New Roman" w:hAnsi="Times New Roman" w:cs="Times New Roman"/>
          <w:szCs w:val="24"/>
        </w:rPr>
        <w:t xml:space="preserve">art. 128 ust. 5–12 </w:t>
      </w:r>
      <w:r w:rsidRPr="00FE30DC">
        <w:rPr>
          <w:rFonts w:ascii="Times New Roman" w:hAnsi="Times New Roman" w:cs="Times New Roman"/>
          <w:i/>
          <w:iCs/>
          <w:szCs w:val="24"/>
        </w:rPr>
        <w:t>ugn</w:t>
      </w:r>
      <w:r w:rsidRPr="00FE30DC">
        <w:rPr>
          <w:rFonts w:ascii="Times New Roman" w:hAnsi="Times New Roman" w:cs="Times New Roman"/>
          <w:szCs w:val="24"/>
        </w:rPr>
        <w:t>.</w:t>
      </w:r>
    </w:p>
    <w:p w14:paraId="72B9FF2C" w14:textId="7663AE7D" w:rsidR="00223A27" w:rsidRPr="00FE30DC" w:rsidRDefault="00223A27" w:rsidP="00FE30DC">
      <w:pPr>
        <w:pStyle w:val="ZLITUSTzmustliter"/>
        <w:spacing w:before="120"/>
        <w:ind w:left="0" w:firstLine="0"/>
        <w:rPr>
          <w:rFonts w:ascii="Times New Roman" w:eastAsia="Times New Roman" w:hAnsi="Times New Roman" w:cs="Times New Roman"/>
          <w:color w:val="000000" w:themeColor="text1"/>
          <w:szCs w:val="24"/>
        </w:rPr>
      </w:pPr>
    </w:p>
    <w:p w14:paraId="5FC8F5D3" w14:textId="37569E02" w:rsidR="00E05B16" w:rsidRPr="00FE30DC" w:rsidRDefault="00E05B16" w:rsidP="00FE30DC">
      <w:pPr>
        <w:pStyle w:val="Akapitzlist"/>
        <w:numPr>
          <w:ilvl w:val="1"/>
          <w:numId w:val="6"/>
        </w:numPr>
        <w:spacing w:before="120" w:after="0" w:line="360" w:lineRule="auto"/>
        <w:jc w:val="both"/>
        <w:rPr>
          <w:rFonts w:ascii="Times New Roman" w:eastAsia="Times New Roman" w:hAnsi="Times New Roman" w:cs="Times New Roman"/>
          <w:b/>
          <w:bCs/>
          <w:color w:val="000000" w:themeColor="text1"/>
          <w:sz w:val="24"/>
          <w:szCs w:val="24"/>
        </w:rPr>
      </w:pPr>
      <w:r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b/>
          <w:bCs/>
          <w:color w:val="000000" w:themeColor="text1"/>
          <w:sz w:val="24"/>
          <w:szCs w:val="24"/>
        </w:rPr>
        <w:t xml:space="preserve">Zgodność zmian </w:t>
      </w:r>
      <w:r w:rsidR="00405210" w:rsidRPr="00FE30DC">
        <w:rPr>
          <w:rFonts w:ascii="Times New Roman" w:eastAsia="Times New Roman" w:hAnsi="Times New Roman" w:cs="Times New Roman"/>
          <w:b/>
          <w:bCs/>
          <w:color w:val="000000" w:themeColor="text1"/>
          <w:sz w:val="24"/>
          <w:szCs w:val="24"/>
        </w:rPr>
        <w:t xml:space="preserve">dot. wywłaszczenia </w:t>
      </w:r>
      <w:r w:rsidRPr="00FE30DC">
        <w:rPr>
          <w:rFonts w:ascii="Times New Roman" w:eastAsia="Times New Roman" w:hAnsi="Times New Roman" w:cs="Times New Roman"/>
          <w:b/>
          <w:bCs/>
          <w:color w:val="000000" w:themeColor="text1"/>
          <w:sz w:val="24"/>
          <w:szCs w:val="24"/>
        </w:rPr>
        <w:t>z Konstytucją RP i Konwencją o Ochronie Praw Człowieka i Podstawowych Wolności</w:t>
      </w:r>
    </w:p>
    <w:p w14:paraId="5CF7C5F5" w14:textId="3A6214E9"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Proponowane zmiany spełniają warunki konstytucyjne w zakresie kształtowania systemu odszkodowawczego za wywłaszczenie. System ten kształtowany jest obecnie przede wszystkim przez przepisy:</w:t>
      </w:r>
    </w:p>
    <w:p w14:paraId="287236F9" w14:textId="64AD7B6C" w:rsidR="00696752" w:rsidRPr="00FE30DC" w:rsidRDefault="00942038" w:rsidP="00FE30DC">
      <w:pPr>
        <w:spacing w:before="120" w:after="0" w:line="360" w:lineRule="auto"/>
        <w:ind w:left="708"/>
        <w:jc w:val="both"/>
        <w:rPr>
          <w:rFonts w:ascii="Times New Roman" w:eastAsia="Times New Roman" w:hAnsi="Times New Roman" w:cs="Times New Roman"/>
          <w:color w:val="000000" w:themeColor="text1"/>
          <w:sz w:val="24"/>
          <w:szCs w:val="24"/>
        </w:rPr>
      </w:pPr>
      <w:r>
        <w:t>–</w:t>
      </w:r>
      <w:r w:rsidR="00696752" w:rsidRPr="00FE30DC">
        <w:rPr>
          <w:rFonts w:ascii="Times New Roman" w:eastAsia="Times New Roman" w:hAnsi="Times New Roman" w:cs="Times New Roman"/>
          <w:color w:val="000000" w:themeColor="text1"/>
          <w:sz w:val="24"/>
          <w:szCs w:val="24"/>
        </w:rPr>
        <w:t xml:space="preserve"> art. 32 Konstytucji, ustanawiającego zasadę równości wobec prawa (</w:t>
      </w:r>
      <w:r w:rsidR="00696752" w:rsidRPr="00FE30DC">
        <w:rPr>
          <w:rFonts w:ascii="Times New Roman" w:eastAsia="Times New Roman" w:hAnsi="Times New Roman" w:cs="Times New Roman"/>
          <w:i/>
          <w:iCs/>
          <w:color w:val="000000" w:themeColor="text1"/>
          <w:sz w:val="24"/>
          <w:szCs w:val="24"/>
        </w:rPr>
        <w:t>Wszyscy są wobec prawa równi. Wszyscy mają prawo do równego traktowania przez władze publiczne. Nikt nie może być dyskryminowany w życiu politycznym, społecznym lub gospodarczym z jakiejkolwiek przyczyny.</w:t>
      </w:r>
      <w:r w:rsidR="00696752" w:rsidRPr="00FE30DC">
        <w:rPr>
          <w:rFonts w:ascii="Times New Roman" w:eastAsia="Times New Roman" w:hAnsi="Times New Roman" w:cs="Times New Roman"/>
          <w:color w:val="000000" w:themeColor="text1"/>
          <w:sz w:val="24"/>
          <w:szCs w:val="24"/>
        </w:rPr>
        <w:t>)</w:t>
      </w:r>
      <w:r w:rsidR="00382232">
        <w:rPr>
          <w:rFonts w:ascii="Times New Roman" w:eastAsia="Times New Roman" w:hAnsi="Times New Roman" w:cs="Times New Roman"/>
          <w:color w:val="000000" w:themeColor="text1"/>
          <w:sz w:val="24"/>
          <w:szCs w:val="24"/>
        </w:rPr>
        <w:t>,</w:t>
      </w:r>
    </w:p>
    <w:p w14:paraId="40B3C8AC" w14:textId="36C52769" w:rsidR="00696752" w:rsidRPr="00FE30DC" w:rsidRDefault="00942038" w:rsidP="00FE30DC">
      <w:pPr>
        <w:spacing w:before="120" w:after="0" w:line="360" w:lineRule="auto"/>
        <w:ind w:left="708"/>
        <w:jc w:val="both"/>
        <w:rPr>
          <w:rFonts w:ascii="Times New Roman" w:eastAsia="Times New Roman" w:hAnsi="Times New Roman" w:cs="Times New Roman"/>
          <w:color w:val="000000" w:themeColor="text1"/>
          <w:sz w:val="24"/>
          <w:szCs w:val="24"/>
        </w:rPr>
      </w:pPr>
      <w:r>
        <w:t>–</w:t>
      </w:r>
      <w:r w:rsidR="00696752" w:rsidRPr="00FE30DC">
        <w:rPr>
          <w:rFonts w:ascii="Times New Roman" w:eastAsia="Times New Roman" w:hAnsi="Times New Roman" w:cs="Times New Roman"/>
          <w:color w:val="000000" w:themeColor="text1"/>
          <w:sz w:val="24"/>
          <w:szCs w:val="24"/>
        </w:rPr>
        <w:t xml:space="preserve"> art. 21 Konstytucji, ustanawiającego ramy wywłaszczenia (</w:t>
      </w:r>
      <w:r w:rsidR="00696752" w:rsidRPr="00FE30DC">
        <w:rPr>
          <w:rFonts w:ascii="Times New Roman" w:eastAsia="Times New Roman" w:hAnsi="Times New Roman" w:cs="Times New Roman"/>
          <w:i/>
          <w:iCs/>
          <w:color w:val="000000" w:themeColor="text1"/>
          <w:sz w:val="24"/>
          <w:szCs w:val="24"/>
        </w:rPr>
        <w:t>Wywłaszczenie jest dopuszczalne jedynie wówczas, gdy jest dokonywane na cele publiczne i za słusznym odszkodowaniem.</w:t>
      </w:r>
      <w:r w:rsidR="00696752" w:rsidRPr="00FE30DC">
        <w:rPr>
          <w:rFonts w:ascii="Times New Roman" w:eastAsia="Times New Roman" w:hAnsi="Times New Roman" w:cs="Times New Roman"/>
          <w:color w:val="000000" w:themeColor="text1"/>
          <w:sz w:val="24"/>
          <w:szCs w:val="24"/>
        </w:rPr>
        <w:t>).</w:t>
      </w:r>
    </w:p>
    <w:p w14:paraId="4C263CA2" w14:textId="5046016D"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Projektowane rozwiązania zapewniają prawidłowe i pełne wykonanie dyrektywy określonej w</w:t>
      </w:r>
      <w:r w:rsidR="00C00115"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art. 32 Konstytucji</w:t>
      </w:r>
      <w:r w:rsidR="00325B00">
        <w:rPr>
          <w:rFonts w:ascii="Times New Roman" w:eastAsia="Times New Roman" w:hAnsi="Times New Roman" w:cs="Times New Roman"/>
          <w:color w:val="000000" w:themeColor="text1"/>
          <w:sz w:val="24"/>
          <w:szCs w:val="24"/>
        </w:rPr>
        <w:t xml:space="preserve"> RP</w:t>
      </w:r>
      <w:r w:rsidRPr="00FE30DC">
        <w:rPr>
          <w:rFonts w:ascii="Times New Roman" w:eastAsia="Times New Roman" w:hAnsi="Times New Roman" w:cs="Times New Roman"/>
          <w:color w:val="000000" w:themeColor="text1"/>
          <w:sz w:val="24"/>
          <w:szCs w:val="24"/>
        </w:rPr>
        <w:t xml:space="preserve">, przez powiązanie wysokości odszkodowania z wartością nieruchomości, tj. z faktycznym stanem własnościowym osoby wywłaszczanej. Regulacje zwiększające wartość odszkodowania ponad wartość </w:t>
      </w:r>
      <w:r w:rsidR="0038408F" w:rsidRPr="00FE30DC">
        <w:rPr>
          <w:rFonts w:ascii="Times New Roman" w:eastAsia="Times New Roman" w:hAnsi="Times New Roman" w:cs="Times New Roman"/>
          <w:color w:val="000000" w:themeColor="text1"/>
          <w:sz w:val="24"/>
          <w:szCs w:val="24"/>
        </w:rPr>
        <w:t xml:space="preserve">nieruchomości </w:t>
      </w:r>
      <w:r w:rsidRPr="00FE30DC">
        <w:rPr>
          <w:rFonts w:ascii="Times New Roman" w:eastAsia="Times New Roman" w:hAnsi="Times New Roman" w:cs="Times New Roman"/>
          <w:color w:val="000000" w:themeColor="text1"/>
          <w:sz w:val="24"/>
          <w:szCs w:val="24"/>
        </w:rPr>
        <w:t xml:space="preserve">w sposób proporcjonalny (procentowy) bądź związany ze szczególną sytuacją osoby wywłaszczanej (mechanizm zapewnienia minimalnej wysokości odszkodowania dla odtworzenia sytuacji życiowej) mieści się również w kategorii konstytucyjnej słusznego odszkodowania, rozumianej jako konieczność zapewnienia ekwiwalentności wysokości odszkodowania wobec odbieranego </w:t>
      </w:r>
      <w:r w:rsidRPr="00FE30DC">
        <w:rPr>
          <w:rFonts w:ascii="Times New Roman" w:eastAsia="Times New Roman" w:hAnsi="Times New Roman" w:cs="Times New Roman"/>
          <w:color w:val="000000" w:themeColor="text1"/>
          <w:sz w:val="24"/>
          <w:szCs w:val="24"/>
        </w:rPr>
        <w:lastRenderedPageBreak/>
        <w:t>mienia.</w:t>
      </w:r>
      <w:r w:rsidRPr="00FE30DC">
        <w:rPr>
          <w:rStyle w:val="Odwoanieprzypisudolnego"/>
          <w:rFonts w:ascii="Times New Roman" w:eastAsia="Times New Roman" w:hAnsi="Times New Roman" w:cs="Times New Roman"/>
          <w:color w:val="000000" w:themeColor="text1"/>
          <w:sz w:val="24"/>
          <w:szCs w:val="24"/>
        </w:rPr>
        <w:footnoteReference w:id="2"/>
      </w:r>
      <w:r w:rsidR="00325B00" w:rsidRPr="00325B00">
        <w:rPr>
          <w:rFonts w:ascii="Times New Roman" w:eastAsia="Times New Roman" w:hAnsi="Times New Roman" w:cs="Times New Roman"/>
          <w:color w:val="000000" w:themeColor="text1"/>
          <w:sz w:val="24"/>
          <w:szCs w:val="24"/>
          <w:vertAlign w:val="superscript"/>
        </w:rPr>
        <w:t>)</w:t>
      </w:r>
      <w:r w:rsidRPr="00FE30DC">
        <w:rPr>
          <w:rFonts w:ascii="Times New Roman" w:eastAsia="Times New Roman" w:hAnsi="Times New Roman" w:cs="Times New Roman"/>
          <w:color w:val="000000" w:themeColor="text1"/>
          <w:sz w:val="24"/>
          <w:szCs w:val="24"/>
        </w:rPr>
        <w:t xml:space="preserve"> Jak wskazuje B. Banaszak w odniesieniu do pojęcia „słuszne odszkodowanie”: </w:t>
      </w:r>
      <w:r w:rsidRPr="00FE30DC">
        <w:rPr>
          <w:rFonts w:ascii="Times New Roman" w:eastAsia="Times New Roman" w:hAnsi="Times New Roman" w:cs="Times New Roman"/>
          <w:i/>
          <w:iCs/>
          <w:color w:val="000000" w:themeColor="text1"/>
          <w:sz w:val="24"/>
          <w:szCs w:val="24"/>
        </w:rPr>
        <w:t xml:space="preserve">„Znaczenie tego pojęcia ugruntowało się pod rządami poprzedniej Konstytucji i nie ma powodów do dokonania zmian w jego rozumieniu. Trybunał Konstytucyjny uznał, że odszkodowanie słuszne musi być ekwiwalentne do wartości dobra wywłaszczonego, co oznacza, że powinno dawać właścicielowi możliwość odtworzenia rzeczy, którą utracił. Odszkodowanie to nie może być uszczuplone przez odliczenie sum niepozostających w związku z dobrem wywłaszczonym (uchw. z 29.3.1993 r., W 13/92, OTK 1993, Nr 1, poz. 17, s. 166–167) lub poprzez wypłacanie odszkodowania na raty, co na skutek działania inflacji powoduje jego realne obniżenie (orz. z 19.6.1990 r., K 2/90, OTK 1990, Nr 1, poz. 3, s. 29–30). Ponadto TK stwierdził, że </w:t>
      </w:r>
      <w:r w:rsidR="007617D5">
        <w:rPr>
          <w:rFonts w:ascii="Times New Roman" w:eastAsia="Times New Roman" w:hAnsi="Times New Roman" w:cs="Times New Roman"/>
          <w:i/>
          <w:iCs/>
          <w:color w:val="000000" w:themeColor="text1"/>
          <w:sz w:val="24"/>
          <w:szCs w:val="24"/>
        </w:rPr>
        <w:t>„</w:t>
      </w:r>
      <w:r w:rsidRPr="00FE30DC">
        <w:rPr>
          <w:rFonts w:ascii="Times New Roman" w:eastAsia="Times New Roman" w:hAnsi="Times New Roman" w:cs="Times New Roman"/>
          <w:i/>
          <w:iCs/>
          <w:color w:val="000000" w:themeColor="text1"/>
          <w:sz w:val="24"/>
          <w:szCs w:val="24"/>
        </w:rPr>
        <w:t>prawo do odszkodowania jest bez wątpienia samodzielnym prawem podmiotowym o normatywnej postaci roszczenia, stanowiącym inne prawo majątkowe w rozumieniu art. 64 ust. 1 Konstytucji, i jako takie podlega odrębnej ochronie na podstawie art. 64 ust. 2 Konstytucji. Jednocześnie roszczenie odszkodowawcze jest emanacją kompensacyjnej ochrony majątkowego prawa podmiotowego, która wchodzi w grę wówczas, gdy ochrona restytucyjna tego prawa nie jest możliwa (…).</w:t>
      </w:r>
      <w:r w:rsidRPr="00FE30DC">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i/>
          <w:iCs/>
          <w:color w:val="000000" w:themeColor="text1"/>
          <w:sz w:val="24"/>
          <w:szCs w:val="24"/>
        </w:rPr>
        <w:t>”</w:t>
      </w:r>
      <w:r w:rsidRPr="00FE30DC">
        <w:rPr>
          <w:rFonts w:ascii="Times New Roman" w:eastAsia="Times New Roman" w:hAnsi="Times New Roman" w:cs="Times New Roman"/>
          <w:color w:val="000000" w:themeColor="text1"/>
          <w:sz w:val="24"/>
          <w:szCs w:val="24"/>
        </w:rPr>
        <w:t>.</w:t>
      </w:r>
      <w:r w:rsidRPr="00FE30DC">
        <w:rPr>
          <w:rStyle w:val="Odwoanieprzypisudolnego"/>
          <w:rFonts w:ascii="Times New Roman" w:eastAsia="Times New Roman" w:hAnsi="Times New Roman" w:cs="Times New Roman"/>
          <w:color w:val="000000" w:themeColor="text1"/>
          <w:sz w:val="24"/>
          <w:szCs w:val="24"/>
        </w:rPr>
        <w:footnoteReference w:id="3"/>
      </w:r>
      <w:r w:rsidR="00325B00" w:rsidRPr="00325B00">
        <w:rPr>
          <w:rFonts w:ascii="Times New Roman" w:eastAsia="Times New Roman" w:hAnsi="Times New Roman" w:cs="Times New Roman"/>
          <w:color w:val="000000" w:themeColor="text1"/>
          <w:sz w:val="24"/>
          <w:szCs w:val="24"/>
          <w:vertAlign w:val="superscript"/>
        </w:rPr>
        <w:t>)</w:t>
      </w:r>
    </w:p>
    <w:p w14:paraId="71F0FDFF" w14:textId="70BD0CA5"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Projektowane zmiany w sposób pełny realizują tezy postawione przez Trybunał Konstytucyjny w orzeczeniu K 2/90, </w:t>
      </w:r>
      <w:r w:rsidR="008A5841" w:rsidRPr="00FE30DC">
        <w:rPr>
          <w:rFonts w:ascii="Times New Roman" w:eastAsia="Times New Roman" w:hAnsi="Times New Roman" w:cs="Times New Roman"/>
          <w:color w:val="000000" w:themeColor="text1"/>
          <w:sz w:val="24"/>
          <w:szCs w:val="24"/>
        </w:rPr>
        <w:t xml:space="preserve">które </w:t>
      </w:r>
      <w:r w:rsidRPr="00FE30DC">
        <w:rPr>
          <w:rFonts w:ascii="Times New Roman" w:eastAsia="Times New Roman" w:hAnsi="Times New Roman" w:cs="Times New Roman"/>
          <w:color w:val="000000" w:themeColor="text1"/>
          <w:sz w:val="24"/>
          <w:szCs w:val="24"/>
        </w:rPr>
        <w:t>zapadł</w:t>
      </w:r>
      <w:r w:rsidR="008A5841" w:rsidRPr="00FE30DC">
        <w:rPr>
          <w:rFonts w:ascii="Times New Roman" w:eastAsia="Times New Roman" w:hAnsi="Times New Roman" w:cs="Times New Roman"/>
          <w:color w:val="000000" w:themeColor="text1"/>
          <w:sz w:val="24"/>
          <w:szCs w:val="24"/>
        </w:rPr>
        <w:t>o</w:t>
      </w:r>
      <w:r w:rsidRPr="00FE30DC">
        <w:rPr>
          <w:rFonts w:ascii="Times New Roman" w:eastAsia="Times New Roman" w:hAnsi="Times New Roman" w:cs="Times New Roman"/>
          <w:color w:val="000000" w:themeColor="text1"/>
          <w:sz w:val="24"/>
          <w:szCs w:val="24"/>
        </w:rPr>
        <w:t xml:space="preserve"> wprawdzie w porządku konstytucyjnym sprzed 1997 r., lecz zachowuje aktualny charakter: </w:t>
      </w:r>
      <w:r w:rsidRPr="00FE30DC">
        <w:rPr>
          <w:rFonts w:ascii="Times New Roman" w:eastAsia="Times New Roman" w:hAnsi="Times New Roman" w:cs="Times New Roman"/>
          <w:i/>
          <w:iCs/>
          <w:color w:val="000000" w:themeColor="text1"/>
          <w:sz w:val="24"/>
          <w:szCs w:val="24"/>
        </w:rPr>
        <w:t xml:space="preserve">„Zajmując stanowisko, że odszkodowanie stanowić powinno ekwiwalent wartości wywłaszczonej nieruchomości, czyli powinno być równoważne gospodarczo wartości wywłaszczonej nieruchomości, Trybunał Konstytucyjny uwzględnił to, że w warunkach państwa gwarantującego swobodę działalności gospodarczej, a więc przyjmującego gospodarkę rynkową, pojęcie słusznego odszkodowania sprowadza się przede wszystkim do kategorii ekonomicznych. W warunkach natomiast demokratycznego państwa prawnego ujmowanie słusznego odszkodowania w kategoriach prawnych sprowadza się do zasady ekwiwalentności, tzn. w przypadku wywłaszczenia </w:t>
      </w:r>
      <w:r w:rsidR="00325B00">
        <w:rPr>
          <w:rFonts w:ascii="Times New Roman" w:eastAsia="Times New Roman" w:hAnsi="Times New Roman" w:cs="Times New Roman"/>
          <w:i/>
          <w:iCs/>
          <w:color w:val="000000" w:themeColor="text1"/>
          <w:sz w:val="24"/>
          <w:szCs w:val="24"/>
        </w:rPr>
        <w:t>–</w:t>
      </w:r>
      <w:r w:rsidRPr="00FE30DC">
        <w:rPr>
          <w:rFonts w:ascii="Times New Roman" w:eastAsia="Times New Roman" w:hAnsi="Times New Roman" w:cs="Times New Roman"/>
          <w:i/>
          <w:iCs/>
          <w:color w:val="000000" w:themeColor="text1"/>
          <w:sz w:val="24"/>
          <w:szCs w:val="24"/>
        </w:rPr>
        <w:t xml:space="preserve"> do stworzenia wywłaszczonemu właścicielowi możliwości odtworzenia rzeczy przejętej przez państwo.”</w:t>
      </w:r>
      <w:r w:rsidRPr="00325B00">
        <w:rPr>
          <w:rFonts w:ascii="Times New Roman" w:eastAsia="Times New Roman" w:hAnsi="Times New Roman" w:cs="Times New Roman"/>
          <w:iCs/>
          <w:color w:val="000000" w:themeColor="text1"/>
          <w:sz w:val="24"/>
          <w:szCs w:val="24"/>
        </w:rPr>
        <w:t>.</w:t>
      </w:r>
      <w:r w:rsidRPr="00325B00">
        <w:rPr>
          <w:rStyle w:val="Odwoanieprzypisudolnego"/>
          <w:rFonts w:ascii="Times New Roman" w:eastAsia="Times New Roman" w:hAnsi="Times New Roman" w:cs="Times New Roman"/>
          <w:iCs/>
          <w:color w:val="000000" w:themeColor="text1"/>
          <w:sz w:val="24"/>
          <w:szCs w:val="24"/>
        </w:rPr>
        <w:footnoteReference w:id="4"/>
      </w:r>
      <w:r w:rsidR="00325B00" w:rsidRPr="00325B00">
        <w:rPr>
          <w:rFonts w:ascii="Times New Roman" w:eastAsia="Times New Roman" w:hAnsi="Times New Roman" w:cs="Times New Roman"/>
          <w:color w:val="000000" w:themeColor="text1"/>
          <w:sz w:val="24"/>
          <w:szCs w:val="24"/>
          <w:vertAlign w:val="superscript"/>
        </w:rPr>
        <w:t>)</w:t>
      </w:r>
    </w:p>
    <w:p w14:paraId="454D1619" w14:textId="781CE3E8" w:rsidR="00696752" w:rsidRPr="00FE30DC" w:rsidRDefault="2C1F5935" w:rsidP="00FE30DC">
      <w:pPr>
        <w:spacing w:before="120" w:after="0" w:line="360" w:lineRule="auto"/>
        <w:jc w:val="both"/>
        <w:rPr>
          <w:rFonts w:ascii="Times New Roman" w:hAnsi="Times New Roman" w:cs="Times New Roman"/>
          <w:i/>
          <w:iCs/>
          <w:color w:val="333333"/>
          <w:sz w:val="24"/>
          <w:szCs w:val="24"/>
          <w:shd w:val="clear" w:color="auto" w:fill="FFFFFF"/>
        </w:rPr>
      </w:pPr>
      <w:r w:rsidRPr="00FE30DC">
        <w:rPr>
          <w:rFonts w:ascii="Times New Roman" w:eastAsia="Times New Roman" w:hAnsi="Times New Roman" w:cs="Times New Roman"/>
          <w:color w:val="000000" w:themeColor="text1"/>
          <w:sz w:val="24"/>
          <w:szCs w:val="24"/>
        </w:rPr>
        <w:t xml:space="preserve">Kolejnym orzeczeniem TK wskazującym na kierunek interpretacji pojęcia „słuszne odszkodowanie” jest wyrok w sprawie SK 11/02 z dnia 20 lipca 2004 r., w którym Trybunał </w:t>
      </w:r>
      <w:r w:rsidRPr="00FE30DC">
        <w:rPr>
          <w:rFonts w:ascii="Times New Roman" w:eastAsia="Times New Roman" w:hAnsi="Times New Roman" w:cs="Times New Roman"/>
          <w:color w:val="000000" w:themeColor="text1"/>
          <w:sz w:val="24"/>
          <w:szCs w:val="24"/>
        </w:rPr>
        <w:lastRenderedPageBreak/>
        <w:t xml:space="preserve">wskazał, że </w:t>
      </w:r>
      <w:r w:rsidR="007617D5">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 xml:space="preserve">Konstytucja RP nie precyzuje pojęcia </w:t>
      </w:r>
      <w:r w:rsidR="007617D5">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słuszne odszkodowanie</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 Zgodnie z</w:t>
      </w:r>
      <w:r w:rsidR="005749FF" w:rsidRPr="00FE30DC">
        <w:rPr>
          <w:rFonts w:ascii="Times New Roman" w:hAnsi="Times New Roman" w:cs="Times New Roman"/>
          <w:i/>
          <w:iCs/>
          <w:color w:val="333333"/>
          <w:sz w:val="24"/>
          <w:szCs w:val="24"/>
          <w:shd w:val="clear" w:color="auto" w:fill="FFFFFF"/>
        </w:rPr>
        <w:t> </w:t>
      </w:r>
      <w:r w:rsidRPr="00FE30DC">
        <w:rPr>
          <w:rFonts w:ascii="Times New Roman" w:hAnsi="Times New Roman" w:cs="Times New Roman"/>
          <w:i/>
          <w:iCs/>
          <w:color w:val="333333"/>
          <w:sz w:val="24"/>
          <w:szCs w:val="24"/>
          <w:shd w:val="clear" w:color="auto" w:fill="FFFFFF"/>
        </w:rPr>
        <w:t xml:space="preserve">utrwalonym orzecznictwem Trybunału Konstytucyjnego </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słuszne odszkodowanie</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 xml:space="preserve"> to odszkodowanie związane z wartością wywłaszczonej nieruchomości. Znamienne jest, że prawodawca konstytucyjny nie posłużył się określeniem </w:t>
      </w:r>
      <w:r w:rsidR="007617D5">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pełne odszkodowanie</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 xml:space="preserve">, lecz zastosował termin </w:t>
      </w:r>
      <w:r w:rsidR="007617D5">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słuszne</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 xml:space="preserve">, który ma bardziej elastyczny charakter. Należy zatem przyjąć, że mogą istnieć szczególne sytuacje, gdy inna ważna wartość konstytucyjna pozwoli uznać za </w:t>
      </w:r>
      <w:r w:rsidR="007617D5">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słuszne</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 xml:space="preserve"> również odszkodowanie nie w pełni ekwiwalentne. Niedopuszczalne jest natomiast ograniczanie wymiaru odszkodowania w sposób arbitralny. (...) Ze względu na wartości znajdujące wyraz w Konstytucji dla ustalenia znaczenia tego pojęcia należy uwzględnić również kontekst następstw ustalenia odszkodowania dla budżetu państwa. Wywłaszczenie </w:t>
      </w:r>
      <w:r w:rsidR="00696752" w:rsidRPr="00FE30DC">
        <w:rPr>
          <w:rFonts w:ascii="Times New Roman" w:hAnsi="Times New Roman" w:cs="Times New Roman"/>
          <w:i/>
          <w:iCs/>
          <w:color w:val="333333"/>
          <w:sz w:val="24"/>
          <w:szCs w:val="24"/>
        </w:rPr>
        <w:t>następuje</w:t>
      </w:r>
      <w:r w:rsidRPr="00FE30DC">
        <w:rPr>
          <w:rFonts w:ascii="Times New Roman" w:hAnsi="Times New Roman" w:cs="Times New Roman"/>
          <w:i/>
          <w:iCs/>
          <w:color w:val="333333"/>
          <w:sz w:val="24"/>
          <w:szCs w:val="24"/>
          <w:shd w:val="clear" w:color="auto" w:fill="FFFFFF"/>
        </w:rPr>
        <w:t xml:space="preserve"> wszakże na cele publiczne, to znaczy ze względu na dobro wspólne. Racjonalność działania nie pozwala ustawodawcy na dokonywanie wywłaszczenia w taki sposób, który ze względu na deklarowane cele publiczne zagrażałby ich osiągnięciu, powodując skutki trudne do udźwignięcia przez budżet państwa. W świetle postanowień Konstytucji RP pojęcie słusznego odszkodowania odnosi się do konieczności wyważenia interesu publicznego i</w:t>
      </w:r>
      <w:r w:rsidR="1B0B7162" w:rsidRPr="00FE30DC">
        <w:rPr>
          <w:rFonts w:ascii="Times New Roman" w:hAnsi="Times New Roman" w:cs="Times New Roman"/>
          <w:i/>
          <w:iCs/>
          <w:color w:val="333333"/>
          <w:sz w:val="24"/>
          <w:szCs w:val="24"/>
          <w:shd w:val="clear" w:color="auto" w:fill="FFFFFF"/>
        </w:rPr>
        <w:t> </w:t>
      </w:r>
      <w:r w:rsidRPr="00FE30DC">
        <w:rPr>
          <w:rFonts w:ascii="Times New Roman" w:hAnsi="Times New Roman" w:cs="Times New Roman"/>
          <w:i/>
          <w:iCs/>
          <w:color w:val="333333"/>
          <w:sz w:val="24"/>
          <w:szCs w:val="24"/>
          <w:shd w:val="clear" w:color="auto" w:fill="FFFFFF"/>
        </w:rPr>
        <w:t xml:space="preserve">prywatnego, do zachowania właściwych proporcji w zakresie ograniczeń, których doznają właściciele. Z tego punktu widzenia odszkodowanie w pełni ekwiwalentne może nie odpowiadać zasadzie słuszności, natomiast odszkodowanie nie w pełni ekwiwalentne może być </w:t>
      </w:r>
      <w:r w:rsidR="00495771">
        <w:rPr>
          <w:rFonts w:ascii="Times New Roman" w:hAnsi="Times New Roman" w:cs="Times New Roman"/>
          <w:i/>
          <w:iCs/>
          <w:color w:val="333333"/>
          <w:sz w:val="24"/>
          <w:szCs w:val="24"/>
          <w:shd w:val="clear" w:color="auto" w:fill="FFFFFF"/>
        </w:rPr>
        <w:t>uznane za odszkodowanie słuszne</w:t>
      </w:r>
      <w:r w:rsidR="00325B00">
        <w:rPr>
          <w:rFonts w:ascii="Times New Roman" w:hAnsi="Times New Roman" w:cs="Times New Roman"/>
          <w:i/>
          <w:iCs/>
          <w:color w:val="333333"/>
          <w:sz w:val="24"/>
          <w:szCs w:val="24"/>
          <w:shd w:val="clear" w:color="auto" w:fill="FFFFFF"/>
        </w:rPr>
        <w:t>.</w:t>
      </w:r>
      <w:r w:rsidR="00495771">
        <w:rPr>
          <w:rFonts w:ascii="Times New Roman" w:hAnsi="Times New Roman" w:cs="Times New Roman"/>
          <w:i/>
          <w:iCs/>
          <w:color w:val="333333"/>
          <w:sz w:val="24"/>
          <w:szCs w:val="24"/>
          <w:shd w:val="clear" w:color="auto" w:fill="FFFFFF"/>
        </w:rPr>
        <w:t>”</w:t>
      </w:r>
      <w:r w:rsidRPr="00FE30DC">
        <w:rPr>
          <w:rFonts w:ascii="Times New Roman" w:hAnsi="Times New Roman" w:cs="Times New Roman"/>
          <w:i/>
          <w:iCs/>
          <w:color w:val="333333"/>
          <w:sz w:val="24"/>
          <w:szCs w:val="24"/>
          <w:shd w:val="clear" w:color="auto" w:fill="FFFFFF"/>
        </w:rPr>
        <w:t>.</w:t>
      </w:r>
    </w:p>
    <w:p w14:paraId="37A7C858" w14:textId="6E64BA65" w:rsidR="00227D5E" w:rsidRPr="00FE30DC" w:rsidRDefault="00696752" w:rsidP="00FE30DC">
      <w:pPr>
        <w:spacing w:before="120" w:after="0" w:line="360" w:lineRule="auto"/>
        <w:jc w:val="both"/>
        <w:rPr>
          <w:rFonts w:ascii="Times New Roman" w:hAnsi="Times New Roman" w:cs="Times New Roman"/>
          <w:color w:val="333333"/>
          <w:sz w:val="24"/>
          <w:szCs w:val="24"/>
          <w:shd w:val="clear" w:color="auto" w:fill="FFFFFF"/>
        </w:rPr>
      </w:pPr>
      <w:r w:rsidRPr="00FE30DC">
        <w:rPr>
          <w:rFonts w:ascii="Times New Roman" w:hAnsi="Times New Roman" w:cs="Times New Roman"/>
          <w:color w:val="333333"/>
          <w:sz w:val="24"/>
          <w:szCs w:val="24"/>
          <w:shd w:val="clear" w:color="auto" w:fill="FFFFFF"/>
        </w:rPr>
        <w:t xml:space="preserve">Projektowane zmiany czynią również zadość standardowi ochrony prawnomiędzynarodowej, wywodzonemu z przepisu art. 1 Protokołu nr 1 do </w:t>
      </w:r>
      <w:r w:rsidRPr="00FE30DC">
        <w:rPr>
          <w:rFonts w:ascii="Times New Roman" w:hAnsi="Times New Roman" w:cs="Times New Roman"/>
          <w:i/>
          <w:iCs/>
          <w:color w:val="333333"/>
          <w:sz w:val="24"/>
          <w:szCs w:val="24"/>
          <w:shd w:val="clear" w:color="auto" w:fill="FFFFFF"/>
        </w:rPr>
        <w:t>Konwencji o ochronie praw człowieka i</w:t>
      </w:r>
      <w:r w:rsidR="007056BA" w:rsidRPr="00FE30DC">
        <w:rPr>
          <w:rFonts w:ascii="Times New Roman" w:hAnsi="Times New Roman" w:cs="Times New Roman"/>
          <w:i/>
          <w:iCs/>
          <w:color w:val="333333"/>
          <w:sz w:val="24"/>
          <w:szCs w:val="24"/>
          <w:shd w:val="clear" w:color="auto" w:fill="FFFFFF"/>
        </w:rPr>
        <w:t> </w:t>
      </w:r>
      <w:r w:rsidRPr="00FE30DC">
        <w:rPr>
          <w:rFonts w:ascii="Times New Roman" w:hAnsi="Times New Roman" w:cs="Times New Roman"/>
          <w:i/>
          <w:iCs/>
          <w:color w:val="333333"/>
          <w:sz w:val="24"/>
          <w:szCs w:val="24"/>
          <w:shd w:val="clear" w:color="auto" w:fill="FFFFFF"/>
        </w:rPr>
        <w:t>podstawowych wolności</w:t>
      </w:r>
      <w:r w:rsidRPr="00FE30DC">
        <w:rPr>
          <w:rFonts w:ascii="Times New Roman" w:hAnsi="Times New Roman" w:cs="Times New Roman"/>
          <w:color w:val="333333"/>
          <w:sz w:val="24"/>
          <w:szCs w:val="24"/>
          <w:shd w:val="clear" w:color="auto" w:fill="FFFFFF"/>
        </w:rPr>
        <w:t xml:space="preserve">. W orzecznictwie ETPCz podkreśla się m.in., że odebranie własności bez wypłaty odszkodowania o wysokości racjonalnie związanej z jej wartością zazwyczaj będzie stanowić nieproporcjonalną ingerencję, która nie może zostać uzasadniona na podstawie art. 1 Protokołu Nr 1 do </w:t>
      </w:r>
      <w:r w:rsidRPr="00FE30DC">
        <w:rPr>
          <w:rFonts w:ascii="Times New Roman" w:hAnsi="Times New Roman" w:cs="Times New Roman"/>
          <w:i/>
          <w:iCs/>
          <w:color w:val="333333"/>
          <w:sz w:val="24"/>
          <w:szCs w:val="24"/>
          <w:shd w:val="clear" w:color="auto" w:fill="FFFFFF"/>
        </w:rPr>
        <w:t>Konwencji</w:t>
      </w:r>
      <w:r w:rsidRPr="00FE30DC">
        <w:rPr>
          <w:rFonts w:ascii="Times New Roman" w:hAnsi="Times New Roman" w:cs="Times New Roman"/>
          <w:color w:val="333333"/>
          <w:sz w:val="24"/>
          <w:szCs w:val="24"/>
          <w:shd w:val="clear" w:color="auto" w:fill="FFFFFF"/>
        </w:rPr>
        <w:t xml:space="preserve">. Przepis ten nie może jednakże gwarantować prawa do pełnego odszkodowania we wszystkich okolicznościach, gdyż uprawnione przesłanki interesu publicznego mogą wymagać wypłaty odszkodowania w wysokości mniejszej niż pełna wartość rynkowa własności (wyrok ETPCz w sprawie Wiśniewska przeciwko Polsce z dnia 29 listopada 2011 r., sprawa 9072/02). W innym orzeczeniu Trybunał wskazał, że jedynie odszkodowanie określone w drodze postępowania zapewniającego ogólną ocenę konsekwencji wywłaszczenia, w tym przyznanie wysokości odszkodowania zgodnego z rynkową wartością odebranego mienia, mogłoby spełnić wymogi </w:t>
      </w:r>
      <w:r w:rsidRPr="00FE30DC">
        <w:rPr>
          <w:rFonts w:ascii="Times New Roman" w:hAnsi="Times New Roman" w:cs="Times New Roman"/>
          <w:color w:val="333333"/>
          <w:sz w:val="24"/>
          <w:szCs w:val="24"/>
          <w:shd w:val="clear" w:color="auto" w:fill="FFFFFF"/>
        </w:rPr>
        <w:lastRenderedPageBreak/>
        <w:t>art. 1 Protokołu Nr 1 (wyrok z dnia 4 lipca 2019</w:t>
      </w:r>
      <w:r w:rsidR="00DA7361" w:rsidRPr="00FE30DC">
        <w:rPr>
          <w:rFonts w:ascii="Times New Roman" w:hAnsi="Times New Roman" w:cs="Times New Roman"/>
          <w:color w:val="333333"/>
          <w:sz w:val="24"/>
          <w:szCs w:val="24"/>
          <w:shd w:val="clear" w:color="auto" w:fill="FFFFFF"/>
        </w:rPr>
        <w:t> </w:t>
      </w:r>
      <w:r w:rsidRPr="00FE30DC">
        <w:rPr>
          <w:rFonts w:ascii="Times New Roman" w:hAnsi="Times New Roman" w:cs="Times New Roman"/>
          <w:color w:val="333333"/>
          <w:sz w:val="24"/>
          <w:szCs w:val="24"/>
          <w:shd w:val="clear" w:color="auto" w:fill="FFFFFF"/>
        </w:rPr>
        <w:t>r. w sprawie 47166/09, Svitlana Ilchenko przeciwko Ukrainie)</w:t>
      </w:r>
      <w:r w:rsidR="00942038">
        <w:rPr>
          <w:rFonts w:ascii="Times New Roman" w:hAnsi="Times New Roman" w:cs="Times New Roman"/>
          <w:color w:val="333333"/>
          <w:sz w:val="24"/>
          <w:szCs w:val="24"/>
          <w:shd w:val="clear" w:color="auto" w:fill="FFFFFF"/>
        </w:rPr>
        <w:t>.</w:t>
      </w:r>
    </w:p>
    <w:p w14:paraId="05498256" w14:textId="77777777" w:rsidR="00696752" w:rsidRPr="00FE30DC" w:rsidRDefault="00696752" w:rsidP="00FE30DC">
      <w:pPr>
        <w:pStyle w:val="Akapitzlist"/>
        <w:numPr>
          <w:ilvl w:val="0"/>
          <w:numId w:val="6"/>
        </w:numPr>
        <w:spacing w:before="120" w:after="0" w:line="360" w:lineRule="auto"/>
        <w:rPr>
          <w:rFonts w:ascii="Times New Roman" w:hAnsi="Times New Roman" w:cs="Times New Roman"/>
          <w:b/>
          <w:bCs/>
          <w:sz w:val="24"/>
          <w:szCs w:val="24"/>
        </w:rPr>
      </w:pPr>
      <w:r w:rsidRPr="00FE30DC">
        <w:rPr>
          <w:rFonts w:ascii="Times New Roman" w:hAnsi="Times New Roman" w:cs="Times New Roman"/>
          <w:b/>
          <w:bCs/>
          <w:sz w:val="24"/>
          <w:szCs w:val="24"/>
        </w:rPr>
        <w:t>Specustawy inwestycyjne</w:t>
      </w:r>
    </w:p>
    <w:p w14:paraId="7019C075" w14:textId="77777777"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Opisane powyżej zmiany dotyczące ustawy o gospodarce nieruchomościami co do zasady oddziałują w sposób bezpośredni na prawne warunki dokonywania wywłaszczenia nieruchomości na podstawie tzw. specustaw inwestycyjnych. Dotyczy to w szczególności sposobu określenia odszkodowania, uwzględniającego bonusowe świadczenia, szczególnych klauzul dot. nieruchomości zamieszkałych oraz roszczenia cywilnoprawnego.</w:t>
      </w:r>
    </w:p>
    <w:p w14:paraId="26F93095" w14:textId="77777777"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W istniejącym stanie prawnym funkcjonują następujące specustawy, których dotyczą zmiany w </w:t>
      </w:r>
      <w:r w:rsidRPr="00FE30DC">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w:t>
      </w:r>
    </w:p>
    <w:p w14:paraId="40C98325"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28 marca 2003 r. o transporcie kolejowym,</w:t>
      </w:r>
    </w:p>
    <w:p w14:paraId="0DB8F311"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10 kwietnia 2003 r. o szczególnych zasadach przygotowania i realizacji inwestycji w zakresie dróg publicznych,</w:t>
      </w:r>
    </w:p>
    <w:p w14:paraId="616837CC" w14:textId="18744FBC" w:rsidR="009149D3" w:rsidRPr="00FE30DC" w:rsidRDefault="00B33968"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heme="minorEastAsia" w:hAnsi="Times New Roman" w:cs="Times New Roman"/>
          <w:color w:val="000000" w:themeColor="text1"/>
          <w:sz w:val="24"/>
          <w:szCs w:val="24"/>
        </w:rPr>
        <w:t>ustawa z dnia 7 września 2007 r. o przygotowaniu finałowego turnieju Mistrzostw Europy w Piłce Nożnej UEFA EURO 2012</w:t>
      </w:r>
      <w:r w:rsidR="005360CB" w:rsidRPr="00FE30DC">
        <w:rPr>
          <w:rFonts w:ascii="Times New Roman" w:eastAsiaTheme="minorEastAsia" w:hAnsi="Times New Roman" w:cs="Times New Roman"/>
          <w:color w:val="000000" w:themeColor="text1"/>
          <w:sz w:val="24"/>
          <w:szCs w:val="24"/>
        </w:rPr>
        <w:t>,</w:t>
      </w:r>
    </w:p>
    <w:p w14:paraId="0B5197BD"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12 lutego 2009 r. o szczególnych zasadach przygotowania i realizacji inwestycji w zakresie lotnisk użytku publicznego,</w:t>
      </w:r>
    </w:p>
    <w:p w14:paraId="5436E8DA"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24 kwietnia 2009 r. o inwestycjach w zakresie terminalu regazyfikacyjnego skroplonego gazu ziemnego w Świnoujściu,</w:t>
      </w:r>
    </w:p>
    <w:p w14:paraId="598FE011"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8 lipca 2010 r. o szczególnych zasadach przygotowania do realizacji inwestycji w zakresie budowli przeciwpowodziowych,</w:t>
      </w:r>
    </w:p>
    <w:p w14:paraId="7F93C317"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29 czerwca 2011 r. o przygotowaniu i realizacji inwestycji w zakresie obiektów energetyki jądrowej oraz inwestycji towarzyszących,</w:t>
      </w:r>
    </w:p>
    <w:p w14:paraId="62B03E2B" w14:textId="3481733E"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24 lipca 2015 r. o przygotowaniu i realizacji strategicznych inwestycji w</w:t>
      </w:r>
      <w:r w:rsidR="005749FF"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zakresie sieci przesyłowych,</w:t>
      </w:r>
    </w:p>
    <w:p w14:paraId="1E4DD85B"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24 lutego 2017 r. o inwestycjach w zakresie budowy drogi wodnej łączącej Zalew Wiślany z Zatoką Gdańską,</w:t>
      </w:r>
    </w:p>
    <w:p w14:paraId="2B71E1A5"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10 maja 2018 r. o Centralnym Porcie Komunikacyjnym,</w:t>
      </w:r>
    </w:p>
    <w:p w14:paraId="4AEA2E77"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22 lutego 2019 r. o przygotowaniu i realizacji strategicznych inwestycji w sektorze naftowym,</w:t>
      </w:r>
    </w:p>
    <w:p w14:paraId="15055590" w14:textId="77777777"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z dnia 19 lipca 2019 r. o inwestycjach w zakresie budowy Muzeum Westerplatte i Wojny 1939 - Oddziału Muzeum II Wojny Światowej w Gdańsku,</w:t>
      </w:r>
    </w:p>
    <w:p w14:paraId="08B02FFC" w14:textId="14799161" w:rsidR="00696752" w:rsidRPr="00FE30DC" w:rsidRDefault="0069675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lastRenderedPageBreak/>
        <w:t>ustawa z dnia 9 sierpnia 2019 r. o inwestycjach w zakresie budowy portów zewnętrznych</w:t>
      </w:r>
      <w:r w:rsidR="00092315" w:rsidRPr="00FE30DC">
        <w:rPr>
          <w:rFonts w:ascii="Times New Roman" w:eastAsia="Times New Roman" w:hAnsi="Times New Roman" w:cs="Times New Roman"/>
          <w:color w:val="000000" w:themeColor="text1"/>
          <w:sz w:val="24"/>
          <w:szCs w:val="24"/>
        </w:rPr>
        <w:t>,</w:t>
      </w:r>
    </w:p>
    <w:p w14:paraId="58A06CA4" w14:textId="4FC3D19A" w:rsidR="00B929F2" w:rsidRPr="00FE30DC" w:rsidRDefault="00B929F2" w:rsidP="00FE30DC">
      <w:pPr>
        <w:pStyle w:val="Akapitzlist"/>
        <w:numPr>
          <w:ilvl w:val="0"/>
          <w:numId w:val="1"/>
        </w:numPr>
        <w:spacing w:before="120" w:after="0" w:line="360" w:lineRule="auto"/>
        <w:jc w:val="both"/>
        <w:rPr>
          <w:rFonts w:ascii="Times New Roman" w:eastAsiaTheme="minorEastAsia" w:hAnsi="Times New Roman" w:cs="Times New Roman"/>
          <w:color w:val="000000" w:themeColor="text1"/>
          <w:sz w:val="24"/>
          <w:szCs w:val="24"/>
        </w:rPr>
      </w:pPr>
      <w:r w:rsidRPr="00FE30DC">
        <w:rPr>
          <w:rFonts w:ascii="Times New Roman" w:eastAsiaTheme="minorEastAsia" w:hAnsi="Times New Roman" w:cs="Times New Roman"/>
          <w:color w:val="000000" w:themeColor="text1"/>
          <w:sz w:val="24"/>
          <w:szCs w:val="24"/>
        </w:rPr>
        <w:t>ustawa z dnia 11 sierpnia 2021 r. o przygotowaniu i realizacji inwestycji w zakresie odbudowy Pałacu Saskiego, Pałacu Brühla oraz kamienic przy ulicy Królewskiej w</w:t>
      </w:r>
      <w:r w:rsidR="005749FF" w:rsidRPr="00FE30DC">
        <w:rPr>
          <w:rFonts w:ascii="Times New Roman" w:eastAsiaTheme="minorEastAsia" w:hAnsi="Times New Roman" w:cs="Times New Roman"/>
          <w:color w:val="000000" w:themeColor="text1"/>
          <w:sz w:val="24"/>
          <w:szCs w:val="24"/>
        </w:rPr>
        <w:t> </w:t>
      </w:r>
      <w:r w:rsidRPr="00FE30DC">
        <w:rPr>
          <w:rFonts w:ascii="Times New Roman" w:eastAsiaTheme="minorEastAsia" w:hAnsi="Times New Roman" w:cs="Times New Roman"/>
          <w:color w:val="000000" w:themeColor="text1"/>
          <w:sz w:val="24"/>
          <w:szCs w:val="24"/>
        </w:rPr>
        <w:t>Warszawie.</w:t>
      </w:r>
    </w:p>
    <w:p w14:paraId="2C7E4ADB" w14:textId="3E8107AC" w:rsidR="006C424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W przedmiotowych specustawach wprowadzono dodatkowo zmiany dostosowujące do nowych zasad określania odszkodowania za wywłaszczenie </w:t>
      </w:r>
      <w:r w:rsidR="00015901">
        <w:rPr>
          <w:rFonts w:ascii="Times New Roman" w:eastAsia="Times New Roman" w:hAnsi="Times New Roman" w:cs="Times New Roman"/>
          <w:color w:val="000000" w:themeColor="text1"/>
          <w:sz w:val="24"/>
          <w:szCs w:val="24"/>
        </w:rPr>
        <w:t>–</w:t>
      </w:r>
      <w:r w:rsidRPr="00FE30DC">
        <w:rPr>
          <w:rFonts w:ascii="Times New Roman" w:eastAsia="Times New Roman" w:hAnsi="Times New Roman" w:cs="Times New Roman"/>
          <w:color w:val="000000" w:themeColor="text1"/>
          <w:sz w:val="24"/>
          <w:szCs w:val="24"/>
        </w:rPr>
        <w:t xml:space="preserve"> dotyczy to klauzul zawartych w</w:t>
      </w:r>
      <w:r w:rsidR="000337C8"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ww. specustawach, limitujących wysokość odszkodowania w przypadku ustanowienia na nieruchomości ograniczonych praw rzeczowych.</w:t>
      </w:r>
      <w:r w:rsidR="00B929F2" w:rsidRPr="00FE30DC">
        <w:rPr>
          <w:rFonts w:ascii="Times New Roman" w:eastAsia="Times New Roman" w:hAnsi="Times New Roman" w:cs="Times New Roman"/>
          <w:color w:val="000000" w:themeColor="text1"/>
          <w:sz w:val="24"/>
          <w:szCs w:val="24"/>
        </w:rPr>
        <w:t xml:space="preserve"> Celem zmian jest odniesienie przedmiotowych regulacji do tej części odszkodowania za wywłaszczenie, która odzwierciedla wartość nieruchomości, bez uwzględnienia bonusów procentowych.</w:t>
      </w:r>
    </w:p>
    <w:p w14:paraId="11871B50" w14:textId="11E4D458" w:rsidR="254C497D" w:rsidRPr="00FE30DC" w:rsidRDefault="00B929F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Kolejną zmianą dotyczącą przekrojowo wszystkich specustaw inwestycyjnych jest usunięcie regulacji przewidujących zwiększenie wysokoś</w:t>
      </w:r>
      <w:r w:rsidR="00942038">
        <w:rPr>
          <w:rFonts w:ascii="Times New Roman" w:eastAsia="Times New Roman" w:hAnsi="Times New Roman" w:cs="Times New Roman"/>
          <w:color w:val="000000" w:themeColor="text1"/>
          <w:sz w:val="24"/>
          <w:szCs w:val="24"/>
        </w:rPr>
        <w:t>ci odszkodowania o kwotę 10</w:t>
      </w:r>
      <w:r w:rsidR="00015901">
        <w:rPr>
          <w:rFonts w:ascii="Times New Roman" w:eastAsia="Times New Roman" w:hAnsi="Times New Roman" w:cs="Times New Roman"/>
          <w:color w:val="000000" w:themeColor="text1"/>
          <w:sz w:val="24"/>
          <w:szCs w:val="24"/>
        </w:rPr>
        <w:t> </w:t>
      </w:r>
      <w:r w:rsidR="00942038">
        <w:rPr>
          <w:rFonts w:ascii="Times New Roman" w:eastAsia="Times New Roman" w:hAnsi="Times New Roman" w:cs="Times New Roman"/>
          <w:color w:val="000000" w:themeColor="text1"/>
          <w:sz w:val="24"/>
          <w:szCs w:val="24"/>
        </w:rPr>
        <w:t>000 </w:t>
      </w:r>
      <w:r w:rsidRPr="00FE30DC">
        <w:rPr>
          <w:rFonts w:ascii="Times New Roman" w:eastAsia="Times New Roman" w:hAnsi="Times New Roman" w:cs="Times New Roman"/>
          <w:color w:val="000000" w:themeColor="text1"/>
          <w:sz w:val="24"/>
          <w:szCs w:val="24"/>
        </w:rPr>
        <w:t>zł w</w:t>
      </w:r>
      <w:r w:rsidR="0065395B"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przypadku wywłaszczenia lokalu albo budynku mieszkalnego. Zaproponowane bonusy procentowe, wynoszące dla budynków i lokali 20% ich bazowej wartości, konsumują ww.</w:t>
      </w:r>
      <w:r w:rsidR="0065395B" w:rsidRPr="00FE30DC">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zwiększenie kwotowe oraz w zdecydowanej większości przypadków skutkują znacznie większym odszkodowaniem.</w:t>
      </w:r>
    </w:p>
    <w:p w14:paraId="6D6332DB" w14:textId="611E3D2A" w:rsidR="006C4242" w:rsidRPr="00FE30DC" w:rsidRDefault="006C424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W odniesieniu do ustawy z dnia 12 lutego 2009 r. o szczeg</w:t>
      </w:r>
      <w:r w:rsidR="00942038">
        <w:rPr>
          <w:rFonts w:ascii="Times New Roman" w:eastAsia="Times New Roman" w:hAnsi="Times New Roman" w:cs="Times New Roman"/>
          <w:color w:val="000000" w:themeColor="text1"/>
          <w:sz w:val="24"/>
          <w:szCs w:val="24"/>
        </w:rPr>
        <w:t>ólnych zasadach przygotowania i </w:t>
      </w:r>
      <w:r w:rsidRPr="00FE30DC">
        <w:rPr>
          <w:rFonts w:ascii="Times New Roman" w:eastAsia="Times New Roman" w:hAnsi="Times New Roman" w:cs="Times New Roman"/>
          <w:color w:val="000000" w:themeColor="text1"/>
          <w:sz w:val="24"/>
          <w:szCs w:val="24"/>
        </w:rPr>
        <w:t xml:space="preserve">realizacji inwestycji w zakresie lotnisk użytku publicznego, wprowadzono dwie dodatkowe zmiany wykraczające poza zakreślony wyżej zakres. Po pierwsze, w art. 23 ust. 1 wykreślono zdanie drugie w brzmieniu „Do ustalenia wartości nieruchomości mają zastosowanie odpowiednio przepisy ustawy z dnia 21 sierpnia 1997 r. o gospodarce nieruchomościami.”. Przedmiotowa zmiana ma charakter legislacyjny (porządkujący), niemerytoryczny. Przedmiotowe odesłanie jest zbędne wobec brzmienia przepisu art. 20 ww. ustawy, który odsyła do stosowania przepisów </w:t>
      </w:r>
      <w:r w:rsidRPr="00FE30DC">
        <w:rPr>
          <w:rFonts w:ascii="Times New Roman" w:eastAsia="Times New Roman" w:hAnsi="Times New Roman" w:cs="Times New Roman"/>
          <w:i/>
          <w:iCs/>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w zakresie szerszym, konsumującym również usuwane odesłanie. Po drugie, usunięto w art. 23 ust. 1 zdanie trzecie w brzmieniu: „W odniesieniu do lokali mieszkalnych ustalona wartość odszkodowania nie może pogorszyć warunków mieszkaniowych dotychczasowego właściciela.”</w:t>
      </w:r>
      <w:r w:rsidR="00931678" w:rsidRPr="00FE30DC">
        <w:rPr>
          <w:rFonts w:ascii="Times New Roman" w:eastAsia="Times New Roman" w:hAnsi="Times New Roman" w:cs="Times New Roman"/>
          <w:color w:val="000000" w:themeColor="text1"/>
          <w:sz w:val="24"/>
          <w:szCs w:val="24"/>
        </w:rPr>
        <w:t xml:space="preserve"> – ogólna klauzula „nie pogorszenia warunków mieszkaniowych” wydaje się niezwykle trudna do stosowania w postępowaniu administracyjnym, co więcej, wprowadzane do </w:t>
      </w:r>
      <w:r w:rsidR="00931678" w:rsidRPr="00FE30DC">
        <w:rPr>
          <w:rFonts w:ascii="Times New Roman" w:eastAsia="Times New Roman" w:hAnsi="Times New Roman" w:cs="Times New Roman"/>
          <w:i/>
          <w:iCs/>
          <w:color w:val="000000" w:themeColor="text1"/>
          <w:sz w:val="24"/>
          <w:szCs w:val="24"/>
        </w:rPr>
        <w:t>ugn</w:t>
      </w:r>
      <w:r w:rsidR="00931678" w:rsidRPr="00FE30DC">
        <w:rPr>
          <w:rFonts w:ascii="Times New Roman" w:eastAsia="Times New Roman" w:hAnsi="Times New Roman" w:cs="Times New Roman"/>
          <w:color w:val="000000" w:themeColor="text1"/>
          <w:sz w:val="24"/>
          <w:szCs w:val="24"/>
        </w:rPr>
        <w:t xml:space="preserve"> instytucje zwiększające lub zmieniające sposób określania odszkodowania konsumują problem zapewnienia miejsca zamieszkania dla osób wywłaszczanych.</w:t>
      </w:r>
    </w:p>
    <w:p w14:paraId="7A0B2BED" w14:textId="69873B42" w:rsidR="00D3573F" w:rsidRDefault="00D3573F"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lastRenderedPageBreak/>
        <w:t>Z analizy przepisów regulujących kwestię ustanawiania ograniczenia sposobu korzystan</w:t>
      </w:r>
      <w:r w:rsidR="00942038">
        <w:rPr>
          <w:rFonts w:ascii="Times New Roman" w:eastAsia="Times New Roman" w:hAnsi="Times New Roman" w:cs="Times New Roman"/>
          <w:color w:val="000000" w:themeColor="text1"/>
          <w:sz w:val="24"/>
          <w:szCs w:val="24"/>
        </w:rPr>
        <w:t>ia z </w:t>
      </w:r>
      <w:r w:rsidRPr="00FE30DC">
        <w:rPr>
          <w:rFonts w:ascii="Times New Roman" w:eastAsia="Times New Roman" w:hAnsi="Times New Roman" w:cs="Times New Roman"/>
          <w:color w:val="000000" w:themeColor="text1"/>
          <w:sz w:val="24"/>
          <w:szCs w:val="24"/>
        </w:rPr>
        <w:t>nieruchomości na rzecz podmiotów przygotowujących i realizujących inwestycje na podstawie ustawy z dnia 24 kwietnia 2009 r. o inwestycjach w zakresie terminalu regazyfikacyjnego skroplonego gazu ziemnego w Świnoujśc</w:t>
      </w:r>
      <w:r w:rsidR="00942038">
        <w:rPr>
          <w:rFonts w:ascii="Times New Roman" w:eastAsia="Times New Roman" w:hAnsi="Times New Roman" w:cs="Times New Roman"/>
          <w:color w:val="000000" w:themeColor="text1"/>
          <w:sz w:val="24"/>
          <w:szCs w:val="24"/>
        </w:rPr>
        <w:t>iu, ustawy z dnia 24 lipca 2015 </w:t>
      </w:r>
      <w:r w:rsidRPr="00FE30DC">
        <w:rPr>
          <w:rFonts w:ascii="Times New Roman" w:eastAsia="Times New Roman" w:hAnsi="Times New Roman" w:cs="Times New Roman"/>
          <w:color w:val="000000" w:themeColor="text1"/>
          <w:sz w:val="24"/>
          <w:szCs w:val="24"/>
        </w:rPr>
        <w:t>r. o przygotowaniu i realizacji strategicznych inwestycji w zakresie sieci przesyłowych oraz ustawy z dnia 22 lutego 2019 r. o przygotowaniu i realiza</w:t>
      </w:r>
      <w:r w:rsidR="00942038">
        <w:rPr>
          <w:rFonts w:ascii="Times New Roman" w:eastAsia="Times New Roman" w:hAnsi="Times New Roman" w:cs="Times New Roman"/>
          <w:color w:val="000000" w:themeColor="text1"/>
          <w:sz w:val="24"/>
          <w:szCs w:val="24"/>
        </w:rPr>
        <w:t>cji strategicznych inwestycji w </w:t>
      </w:r>
      <w:r w:rsidRPr="00FE30DC">
        <w:rPr>
          <w:rFonts w:ascii="Times New Roman" w:eastAsia="Times New Roman" w:hAnsi="Times New Roman" w:cs="Times New Roman"/>
          <w:color w:val="000000" w:themeColor="text1"/>
          <w:sz w:val="24"/>
          <w:szCs w:val="24"/>
        </w:rPr>
        <w:t>sektorze naftowym, zwanych dalej łącznie jako: „specustawy energetyczne”, wynika, że przewidziane w specustawach energetycznych rozwiązania, które przewidują przyznanie odszkodowania za ograniczenie sposobu korzystania z nieruchomości w decyzji wojewody wydawanej dopiero po umieszczeniu infrastruktury na terenie tych nieruchomości i</w:t>
      </w:r>
      <w:r w:rsidR="00942038">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zakończeniu robót budowlanych, mogą w niektórych przypadkach prowadzić do powstania konfliktów społecznych oraz niechęci wobec przygotowania i realizacji strategicznych inwestycji w zakresie infrastruktury energetycznej. W związku z powyższym za zasadne uznano wyposażenie inwestora w możliwość uzgodnienia odszkodowania z zainteresowanym podmiotem już na etapie następującym po wydaniu decyzji lokalizacyjnej, co w szczególności w przypadkach związanych ze specyfiką danej nieruchomości, jej znaczeniem dla prowadzonej działalności itd., może zwiększyć poziom akc</w:t>
      </w:r>
      <w:r w:rsidR="00942038">
        <w:rPr>
          <w:rFonts w:ascii="Times New Roman" w:eastAsia="Times New Roman" w:hAnsi="Times New Roman" w:cs="Times New Roman"/>
          <w:color w:val="000000" w:themeColor="text1"/>
          <w:sz w:val="24"/>
          <w:szCs w:val="24"/>
        </w:rPr>
        <w:t>eptacji wobec przygotowywania i </w:t>
      </w:r>
      <w:r w:rsidRPr="00FE30DC">
        <w:rPr>
          <w:rFonts w:ascii="Times New Roman" w:eastAsia="Times New Roman" w:hAnsi="Times New Roman" w:cs="Times New Roman"/>
          <w:color w:val="000000" w:themeColor="text1"/>
          <w:sz w:val="24"/>
          <w:szCs w:val="24"/>
        </w:rPr>
        <w:t xml:space="preserve">realizacji inwestycji w zakresie infrastruktury energetycznej. </w:t>
      </w:r>
      <w:r w:rsidR="00942038">
        <w:rPr>
          <w:rFonts w:ascii="Times New Roman" w:eastAsia="Times New Roman" w:hAnsi="Times New Roman" w:cs="Times New Roman"/>
          <w:color w:val="000000" w:themeColor="text1"/>
          <w:sz w:val="24"/>
          <w:szCs w:val="24"/>
        </w:rPr>
        <w:t>W świetle powyższego w </w:t>
      </w:r>
      <w:r w:rsidR="00722E76" w:rsidRPr="00FE30DC">
        <w:rPr>
          <w:rFonts w:ascii="Times New Roman" w:eastAsia="Times New Roman" w:hAnsi="Times New Roman" w:cs="Times New Roman"/>
          <w:color w:val="000000" w:themeColor="text1"/>
          <w:sz w:val="24"/>
          <w:szCs w:val="24"/>
        </w:rPr>
        <w:t xml:space="preserve">specustawach energetycznych </w:t>
      </w:r>
      <w:r w:rsidR="00665678" w:rsidRPr="00FE30DC">
        <w:rPr>
          <w:rFonts w:ascii="Times New Roman" w:eastAsia="Times New Roman" w:hAnsi="Times New Roman" w:cs="Times New Roman"/>
          <w:color w:val="000000" w:themeColor="text1"/>
          <w:sz w:val="24"/>
          <w:szCs w:val="24"/>
        </w:rPr>
        <w:t>wprowadzono jednobrzmiące zmiany, umożliwiające konsensualne uzgodnienie wysokości odszkodowania z tytułu ograniczenia sposobu korzystania z nieruchomości (w miejsce ustalenia tego odszkodowania w trybie administracyjnoprawnym). Zgodnie z proponowanymi przepisami, od dnia wydania decyzji lokalizacyjnej do dnia wszczęcia postępowania w sprawie wydania decyzji odszkodowawczej, możliwe jest uzgodnienie wysokości odszkodowania z właścicielem, użytkownikiem wieczystym lub osobą, której przysługuje ograniczone prawo rzeczowe do nieruchomości. Uzgodnienia tego dokonuje się w umowie zawartej w formie pisemnej pod rygorem nieważności – umowa ta zastępuje decyzję administracyjną ustalającą wysokość odszkodowania (w całości bądź części)</w:t>
      </w:r>
      <w:r w:rsidR="00381E2C"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P</w:t>
      </w:r>
      <w:r w:rsidR="00381E2C" w:rsidRPr="00FE30DC">
        <w:rPr>
          <w:rFonts w:ascii="Times New Roman" w:eastAsia="Times New Roman" w:hAnsi="Times New Roman" w:cs="Times New Roman"/>
          <w:color w:val="000000" w:themeColor="text1"/>
          <w:sz w:val="24"/>
          <w:szCs w:val="24"/>
        </w:rPr>
        <w:t xml:space="preserve">rzedmiotowe </w:t>
      </w:r>
      <w:r w:rsidRPr="00FE30DC">
        <w:rPr>
          <w:rFonts w:ascii="Times New Roman" w:eastAsia="Times New Roman" w:hAnsi="Times New Roman" w:cs="Times New Roman"/>
          <w:color w:val="000000" w:themeColor="text1"/>
          <w:sz w:val="24"/>
          <w:szCs w:val="24"/>
        </w:rPr>
        <w:t>rozwiązanie przewiduje możliwość dokonania uzgodnienia bez angażowania organów administracyjnych, co zmniejszy ich obciążenie w zakresie wydawania decyzji o ustaleniu odszkodowania (zgodnie z projektem dokonanie uzgodnienia obejmującego całość odszkodowania zastępuje ww. decyzje).</w:t>
      </w:r>
    </w:p>
    <w:p w14:paraId="03F952E2" w14:textId="77777777" w:rsidR="004324C9" w:rsidRPr="00FE30DC" w:rsidRDefault="004324C9" w:rsidP="00FE30DC">
      <w:pPr>
        <w:spacing w:before="120" w:after="0" w:line="360" w:lineRule="auto"/>
        <w:jc w:val="both"/>
        <w:rPr>
          <w:rFonts w:ascii="Times New Roman" w:eastAsia="Times New Roman" w:hAnsi="Times New Roman" w:cs="Times New Roman"/>
          <w:color w:val="000000" w:themeColor="text1"/>
          <w:sz w:val="24"/>
          <w:szCs w:val="24"/>
        </w:rPr>
      </w:pPr>
    </w:p>
    <w:p w14:paraId="7497EB02" w14:textId="3E86E823" w:rsidR="00696752" w:rsidRPr="00FE30DC" w:rsidRDefault="00E05B16" w:rsidP="00382232">
      <w:pPr>
        <w:pStyle w:val="ZUSTzmustartykuempunktem"/>
        <w:keepNext/>
        <w:keepLines/>
        <w:numPr>
          <w:ilvl w:val="1"/>
          <w:numId w:val="6"/>
        </w:numPr>
        <w:spacing w:before="120" w:line="360" w:lineRule="auto"/>
        <w:ind w:left="714" w:hanging="357"/>
        <w:rPr>
          <w:rFonts w:ascii="Times New Roman" w:eastAsia="Times New Roman" w:hAnsi="Times New Roman" w:cs="Times New Roman"/>
          <w:b/>
          <w:bCs/>
        </w:rPr>
      </w:pPr>
      <w:r w:rsidRPr="00FE30DC">
        <w:rPr>
          <w:rFonts w:ascii="Times New Roman" w:eastAsia="Times New Roman" w:hAnsi="Times New Roman" w:cs="Times New Roman"/>
          <w:b/>
          <w:bCs/>
        </w:rPr>
        <w:lastRenderedPageBreak/>
        <w:t xml:space="preserve"> </w:t>
      </w:r>
      <w:r w:rsidR="00CF7EB2" w:rsidRPr="00FE30DC">
        <w:rPr>
          <w:rFonts w:ascii="Times New Roman" w:eastAsia="Times New Roman" w:hAnsi="Times New Roman" w:cs="Times New Roman"/>
          <w:b/>
          <w:bCs/>
        </w:rPr>
        <w:t>Zmiany w ustawie o Centralnym Porcie Komunikacyjnym</w:t>
      </w:r>
    </w:p>
    <w:p w14:paraId="6B21E25E" w14:textId="01CB5DB1" w:rsidR="00B142B8" w:rsidRPr="00FE30DC" w:rsidRDefault="00983ED1" w:rsidP="00FE30DC">
      <w:pPr>
        <w:pStyle w:val="ZUSTzmustartykuempunktem"/>
        <w:spacing w:before="120" w:line="360" w:lineRule="auto"/>
        <w:ind w:left="0" w:firstLine="0"/>
        <w:rPr>
          <w:rFonts w:ascii="Times New Roman" w:eastAsia="Calibri" w:hAnsi="Times New Roman" w:cs="Times New Roman"/>
        </w:rPr>
      </w:pPr>
      <w:r w:rsidRPr="00FE30DC">
        <w:rPr>
          <w:rFonts w:ascii="Times New Roman" w:eastAsia="Times New Roman" w:hAnsi="Times New Roman" w:cs="Times New Roman"/>
        </w:rPr>
        <w:t>Zmiany obejmujące ustawę o Centralnym Porcie Komunikacyjnym poszerzono o</w:t>
      </w:r>
      <w:r w:rsidR="00225B17" w:rsidRPr="00FE30DC">
        <w:rPr>
          <w:rFonts w:ascii="Times New Roman" w:eastAsia="Times New Roman" w:hAnsi="Times New Roman" w:cs="Times New Roman"/>
        </w:rPr>
        <w:t> </w:t>
      </w:r>
      <w:r w:rsidRPr="00FE30DC">
        <w:rPr>
          <w:rFonts w:ascii="Times New Roman" w:eastAsia="Times New Roman" w:hAnsi="Times New Roman" w:cs="Times New Roman"/>
        </w:rPr>
        <w:t xml:space="preserve">wprowadzenie regulacji związanych z umownym nabywaniem nieruchomości objętych prawnymi środkami rezerwacji terenu, określonymi w art. 29 i </w:t>
      </w:r>
      <w:r w:rsidR="00B31FF8" w:rsidRPr="00FE30DC">
        <w:rPr>
          <w:rFonts w:ascii="Times New Roman" w:eastAsia="Times New Roman" w:hAnsi="Times New Roman" w:cs="Times New Roman"/>
        </w:rPr>
        <w:t xml:space="preserve">art. </w:t>
      </w:r>
      <w:r w:rsidRPr="00FE30DC">
        <w:rPr>
          <w:rFonts w:ascii="Times New Roman" w:eastAsia="Times New Roman" w:hAnsi="Times New Roman" w:cs="Times New Roman"/>
        </w:rPr>
        <w:t>33 tej ustawy</w:t>
      </w:r>
      <w:r w:rsidR="00B142B8" w:rsidRPr="00FE30DC">
        <w:rPr>
          <w:rFonts w:ascii="Times New Roman" w:eastAsia="Times New Roman" w:hAnsi="Times New Roman" w:cs="Times New Roman"/>
        </w:rPr>
        <w:t xml:space="preserve">, w ramach tzw. Programu Dobrowolnych Nabyć. </w:t>
      </w:r>
      <w:r w:rsidR="00B142B8" w:rsidRPr="00FE30DC">
        <w:rPr>
          <w:rFonts w:ascii="Times New Roman" w:eastAsia="Calibri" w:hAnsi="Times New Roman" w:cs="Times New Roman"/>
        </w:rPr>
        <w:t>Spółka jest uprawniona do nabywania nieruchomości w</w:t>
      </w:r>
      <w:r w:rsidR="00EF1AF5" w:rsidRPr="00FE30DC">
        <w:rPr>
          <w:rFonts w:ascii="Times New Roman" w:eastAsia="Calibri" w:hAnsi="Times New Roman" w:cs="Times New Roman"/>
        </w:rPr>
        <w:t> </w:t>
      </w:r>
      <w:r w:rsidR="00B142B8" w:rsidRPr="00FE30DC">
        <w:rPr>
          <w:rFonts w:ascii="Times New Roman" w:eastAsia="Calibri" w:hAnsi="Times New Roman" w:cs="Times New Roman"/>
        </w:rPr>
        <w:t>ramach prowadzonej działalności statutowej na zasadach ogólnych (rynkowych), natomiast w</w:t>
      </w:r>
      <w:r w:rsidR="0065395B" w:rsidRPr="00FE30DC">
        <w:rPr>
          <w:rFonts w:ascii="Times New Roman" w:eastAsia="Calibri" w:hAnsi="Times New Roman" w:cs="Times New Roman"/>
        </w:rPr>
        <w:t> </w:t>
      </w:r>
      <w:r w:rsidR="00B142B8" w:rsidRPr="00FE30DC">
        <w:rPr>
          <w:rFonts w:ascii="Times New Roman" w:eastAsia="Calibri" w:hAnsi="Times New Roman" w:cs="Times New Roman"/>
        </w:rPr>
        <w:t xml:space="preserve">odniesieniu do obszaru objętego przepisami rozporządzenia </w:t>
      </w:r>
      <w:r w:rsidR="00FF5BFA">
        <w:rPr>
          <w:rFonts w:ascii="Times New Roman" w:eastAsia="Calibri" w:hAnsi="Times New Roman" w:cs="Times New Roman"/>
        </w:rPr>
        <w:t xml:space="preserve">wydanego na podstawie </w:t>
      </w:r>
      <w:r w:rsidR="00B142B8" w:rsidRPr="00FE30DC">
        <w:rPr>
          <w:rFonts w:ascii="Times New Roman" w:eastAsia="Calibri" w:hAnsi="Times New Roman" w:cs="Times New Roman"/>
        </w:rPr>
        <w:t>art. 28, nabycie to może nastąpić na warunkach opisanych w nowelizacji ustawy. Zgodnie z proponowanymi regulacjami, w</w:t>
      </w:r>
      <w:r w:rsidR="004324C9">
        <w:rPr>
          <w:rFonts w:ascii="Times New Roman" w:eastAsia="Calibri" w:hAnsi="Times New Roman" w:cs="Times New Roman"/>
        </w:rPr>
        <w:t xml:space="preserve"> </w:t>
      </w:r>
      <w:r w:rsidR="00B142B8" w:rsidRPr="00FE30DC">
        <w:rPr>
          <w:rFonts w:ascii="Times New Roman" w:eastAsia="Calibri" w:hAnsi="Times New Roman" w:cs="Times New Roman"/>
        </w:rPr>
        <w:t>każdym przypadku podstaw</w:t>
      </w:r>
      <w:r w:rsidR="00E0510A" w:rsidRPr="00FE30DC">
        <w:rPr>
          <w:rFonts w:ascii="Times New Roman" w:eastAsia="Calibri" w:hAnsi="Times New Roman" w:cs="Times New Roman"/>
        </w:rPr>
        <w:t>ę</w:t>
      </w:r>
      <w:r w:rsidR="00B142B8" w:rsidRPr="00FE30DC">
        <w:rPr>
          <w:rFonts w:ascii="Times New Roman" w:eastAsia="Calibri" w:hAnsi="Times New Roman" w:cs="Times New Roman"/>
        </w:rPr>
        <w:t xml:space="preserve"> ustalenia ceny nieruchomości w przypadku jej nabycia przez Spółkę Celową stanowi wartość nieruchomości określana zgodnie z</w:t>
      </w:r>
      <w:r w:rsidR="004324C9">
        <w:rPr>
          <w:rFonts w:ascii="Times New Roman" w:eastAsia="Calibri" w:hAnsi="Times New Roman" w:cs="Times New Roman"/>
        </w:rPr>
        <w:t xml:space="preserve"> </w:t>
      </w:r>
      <w:r w:rsidR="00B142B8" w:rsidRPr="00FE30DC">
        <w:rPr>
          <w:rFonts w:ascii="Times New Roman" w:eastAsia="Calibri" w:hAnsi="Times New Roman" w:cs="Times New Roman"/>
        </w:rPr>
        <w:t>przepisami</w:t>
      </w:r>
      <w:r w:rsidR="00FF5BFA">
        <w:rPr>
          <w:rFonts w:ascii="Times New Roman" w:eastAsia="Calibri" w:hAnsi="Times New Roman" w:cs="Times New Roman"/>
        </w:rPr>
        <w:t xml:space="preserve"> o gospodarce nieruchomościami.</w:t>
      </w:r>
    </w:p>
    <w:p w14:paraId="1479ECB8" w14:textId="2C3E0CA0"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 xml:space="preserve">Przewidziane w projekcie ustawy szczególne zasady nabywania nieruchomości obejmują prawo pierwokupu nieruchomości na rzecz Spółki Celowej, z wyłączeniem samodzielnych lokali mieszkalnych, oraz uprawnienie Spółki Celowej do zapłaty osobie zbywającej nieruchomość ceny wynikającej z zastosowania mechanizmów ustalających cenę nabycia nieruchomości albo ustanowienia </w:t>
      </w:r>
      <w:bookmarkStart w:id="1" w:name="_Hlk83292031"/>
      <w:r w:rsidRPr="00FE30DC">
        <w:rPr>
          <w:rFonts w:ascii="Times New Roman" w:hAnsi="Times New Roman" w:cs="Times New Roman"/>
          <w:szCs w:val="24"/>
        </w:rPr>
        <w:t xml:space="preserve">renty w związku z zaprzestaniem prowadzenia działalności rolniczej </w:t>
      </w:r>
      <w:bookmarkEnd w:id="1"/>
      <w:r w:rsidRPr="00FE30DC">
        <w:rPr>
          <w:rFonts w:ascii="Times New Roman" w:hAnsi="Times New Roman" w:cs="Times New Roman"/>
          <w:szCs w:val="24"/>
        </w:rPr>
        <w:t>na warunkach określonych w art. 29</w:t>
      </w:r>
      <w:r w:rsidR="00437A17" w:rsidRPr="00FE30DC">
        <w:rPr>
          <w:rFonts w:ascii="Times New Roman" w:hAnsi="Times New Roman" w:cs="Times New Roman"/>
          <w:szCs w:val="24"/>
        </w:rPr>
        <w:t>b</w:t>
      </w:r>
      <w:r w:rsidRPr="00FE30DC">
        <w:rPr>
          <w:rFonts w:ascii="Times New Roman" w:hAnsi="Times New Roman" w:cs="Times New Roman"/>
          <w:szCs w:val="24"/>
        </w:rPr>
        <w:t>.</w:t>
      </w:r>
    </w:p>
    <w:p w14:paraId="1F5C86B8" w14:textId="186D726F"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Jak już wyżej podkreślon</w:t>
      </w:r>
      <w:r w:rsidR="00F863D3" w:rsidRPr="00FE30DC">
        <w:rPr>
          <w:rFonts w:ascii="Times New Roman" w:hAnsi="Times New Roman" w:cs="Times New Roman"/>
          <w:szCs w:val="24"/>
        </w:rPr>
        <w:t>o</w:t>
      </w:r>
      <w:r w:rsidR="00BF0B0E" w:rsidRPr="00FE30DC">
        <w:rPr>
          <w:rFonts w:ascii="Times New Roman" w:hAnsi="Times New Roman" w:cs="Times New Roman"/>
          <w:szCs w:val="24"/>
        </w:rPr>
        <w:t>,</w:t>
      </w:r>
      <w:r w:rsidRPr="00FE30DC">
        <w:rPr>
          <w:rFonts w:ascii="Times New Roman" w:hAnsi="Times New Roman" w:cs="Times New Roman"/>
          <w:szCs w:val="24"/>
        </w:rPr>
        <w:t xml:space="preserve"> zgodnie z projektowanym art. 29</w:t>
      </w:r>
      <w:r w:rsidR="00437A17" w:rsidRPr="00FE30DC">
        <w:rPr>
          <w:rFonts w:ascii="Times New Roman" w:hAnsi="Times New Roman" w:cs="Times New Roman"/>
          <w:szCs w:val="24"/>
        </w:rPr>
        <w:t>a</w:t>
      </w:r>
      <w:r w:rsidRPr="00FE30DC">
        <w:rPr>
          <w:rFonts w:ascii="Times New Roman" w:hAnsi="Times New Roman" w:cs="Times New Roman"/>
          <w:szCs w:val="24"/>
        </w:rPr>
        <w:t xml:space="preserve"> ust. 2 podstawę ustalenia</w:t>
      </w:r>
      <w:r w:rsidR="00931862" w:rsidRPr="00FE30DC">
        <w:rPr>
          <w:rFonts w:ascii="Times New Roman" w:hAnsi="Times New Roman" w:cs="Times New Roman"/>
          <w:szCs w:val="24"/>
        </w:rPr>
        <w:t xml:space="preserve"> wartości nieruchomości na potrzeby ustalenia</w:t>
      </w:r>
      <w:r w:rsidRPr="00FE30DC">
        <w:rPr>
          <w:rFonts w:ascii="Times New Roman" w:hAnsi="Times New Roman" w:cs="Times New Roman"/>
          <w:szCs w:val="24"/>
        </w:rPr>
        <w:t xml:space="preserve"> ceny nieruchomości w przypadku nabycia jej przez Spółkę Celową stanowi </w:t>
      </w:r>
      <w:bookmarkStart w:id="2" w:name="_Hlk83291904"/>
      <w:r w:rsidRPr="00FE30DC">
        <w:rPr>
          <w:rFonts w:ascii="Times New Roman" w:hAnsi="Times New Roman" w:cs="Times New Roman"/>
          <w:szCs w:val="24"/>
        </w:rPr>
        <w:t>wartość nieruchomości określona zgodnie z przepisami o gospodarce nieruchomościami</w:t>
      </w:r>
      <w:bookmarkEnd w:id="2"/>
      <w:r w:rsidRPr="00FE30DC">
        <w:rPr>
          <w:rFonts w:ascii="Times New Roman" w:hAnsi="Times New Roman" w:cs="Times New Roman"/>
          <w:szCs w:val="24"/>
        </w:rPr>
        <w:t>.</w:t>
      </w:r>
      <w:r w:rsidR="00F863D3" w:rsidRPr="00FE30DC">
        <w:rPr>
          <w:rFonts w:ascii="Times New Roman" w:hAnsi="Times New Roman" w:cs="Times New Roman"/>
          <w:szCs w:val="24"/>
        </w:rPr>
        <w:t xml:space="preserve"> </w:t>
      </w:r>
      <w:r w:rsidR="008F4FBB" w:rsidRPr="00FE30DC">
        <w:rPr>
          <w:rFonts w:ascii="Times New Roman" w:hAnsi="Times New Roman" w:cs="Times New Roman"/>
          <w:color w:val="242424"/>
          <w:szCs w:val="24"/>
        </w:rPr>
        <w:t>P</w:t>
      </w:r>
      <w:r w:rsidRPr="00FE30DC">
        <w:rPr>
          <w:rFonts w:ascii="Times New Roman" w:hAnsi="Times New Roman" w:cs="Times New Roman"/>
          <w:color w:val="242424"/>
          <w:szCs w:val="24"/>
        </w:rPr>
        <w:t xml:space="preserve">rojekt przewiduje </w:t>
      </w:r>
      <w:r w:rsidR="008F4FBB" w:rsidRPr="00FE30DC">
        <w:rPr>
          <w:rFonts w:ascii="Times New Roman" w:hAnsi="Times New Roman" w:cs="Times New Roman"/>
          <w:color w:val="242424"/>
          <w:szCs w:val="24"/>
        </w:rPr>
        <w:t xml:space="preserve">jednak </w:t>
      </w:r>
      <w:r w:rsidRPr="00FE30DC">
        <w:rPr>
          <w:rFonts w:ascii="Times New Roman" w:hAnsi="Times New Roman" w:cs="Times New Roman"/>
          <w:color w:val="242424"/>
          <w:szCs w:val="24"/>
        </w:rPr>
        <w:t>uprawnienie Spółki Celowej do nabycia nieruchomości za cenę wyższą niż określona zgodnie z ww. ust. 2.</w:t>
      </w:r>
      <w:r w:rsidR="00FA0165" w:rsidRPr="00FE30DC">
        <w:rPr>
          <w:rFonts w:ascii="Times New Roman" w:hAnsi="Times New Roman" w:cs="Times New Roman"/>
          <w:color w:val="242424"/>
          <w:szCs w:val="24"/>
        </w:rPr>
        <w:t xml:space="preserve"> W tym zakresie sformułowano jednak przesłankę, która uzasadnia nabywanie nieruchomości </w:t>
      </w:r>
      <w:r w:rsidR="00382232">
        <w:rPr>
          <w:rFonts w:ascii="Times New Roman" w:hAnsi="Times New Roman" w:cs="Times New Roman"/>
          <w:color w:val="242424"/>
          <w:szCs w:val="24"/>
        </w:rPr>
        <w:t>–</w:t>
      </w:r>
      <w:r w:rsidR="00FA0165" w:rsidRPr="00FE30DC">
        <w:rPr>
          <w:rFonts w:ascii="Times New Roman" w:hAnsi="Times New Roman" w:cs="Times New Roman"/>
          <w:color w:val="242424"/>
          <w:szCs w:val="24"/>
        </w:rPr>
        <w:t xml:space="preserve"> uprawnienie to przysługuje w przypadku, gdy nabycie danej nieruchomości będzie miało znaczenie dla realizacji Przedsięwzięć w rozumieniu ustawy </w:t>
      </w:r>
      <w:bookmarkStart w:id="3" w:name="_Hlk96682188"/>
      <w:r w:rsidR="00FA0165" w:rsidRPr="00FE30DC">
        <w:rPr>
          <w:rFonts w:ascii="Times New Roman" w:hAnsi="Times New Roman" w:cs="Times New Roman"/>
          <w:color w:val="242424"/>
          <w:szCs w:val="24"/>
        </w:rPr>
        <w:t>o Centralnym Porcie Komunikacyjnym.</w:t>
      </w:r>
      <w:bookmarkEnd w:id="3"/>
    </w:p>
    <w:p w14:paraId="60A25F06" w14:textId="294F9E91" w:rsidR="00A660A5" w:rsidRPr="00FE30DC" w:rsidRDefault="00B142B8" w:rsidP="00FE30DC">
      <w:pPr>
        <w:pStyle w:val="NormalnyWeb"/>
        <w:shd w:val="clear" w:color="auto" w:fill="FFFFFF"/>
        <w:spacing w:before="120" w:beforeAutospacing="0" w:after="0" w:afterAutospacing="0" w:line="360" w:lineRule="auto"/>
        <w:jc w:val="both"/>
        <w:rPr>
          <w:color w:val="242424"/>
        </w:rPr>
      </w:pPr>
      <w:r w:rsidRPr="00FE30DC">
        <w:rPr>
          <w:color w:val="242424"/>
        </w:rPr>
        <w:t>Po pierwsze cena nabycia może zostać ustalona jako wartość nieruchomości powiększona o</w:t>
      </w:r>
      <w:r w:rsidR="00FF5BFA">
        <w:rPr>
          <w:color w:val="242424"/>
        </w:rPr>
        <w:t> </w:t>
      </w:r>
      <w:r w:rsidR="00DB5F20" w:rsidRPr="00FE30DC">
        <w:rPr>
          <w:color w:val="242424"/>
        </w:rPr>
        <w:t>kwotę odpowiadającą</w:t>
      </w:r>
      <w:r w:rsidRPr="00FE30DC">
        <w:rPr>
          <w:color w:val="242424"/>
        </w:rPr>
        <w:t xml:space="preserve"> </w:t>
      </w:r>
      <w:r w:rsidRPr="00FE30DC">
        <w:rPr>
          <w:bCs/>
          <w:color w:val="242424"/>
        </w:rPr>
        <w:t xml:space="preserve">10% wartości gruntu oraz 20% różnicy między wartością całej nieruchomości i wartością gruntu albo </w:t>
      </w:r>
      <w:r w:rsidRPr="00FE30DC">
        <w:rPr>
          <w:color w:val="242424"/>
        </w:rPr>
        <w:t xml:space="preserve">20% wartości </w:t>
      </w:r>
      <w:r w:rsidR="00BA7D7F" w:rsidRPr="00FE30DC">
        <w:rPr>
          <w:color w:val="242424"/>
        </w:rPr>
        <w:t>lokalu stanowiącego odrębny przedmiot własności</w:t>
      </w:r>
      <w:r w:rsidRPr="00FE30DC">
        <w:rPr>
          <w:color w:val="242424"/>
        </w:rPr>
        <w:t xml:space="preserve">. </w:t>
      </w:r>
      <w:r w:rsidR="00A660A5" w:rsidRPr="00FE30DC">
        <w:rPr>
          <w:color w:val="000000" w:themeColor="text1"/>
        </w:rPr>
        <w:t>W odniesieniu do prawa użytkowania wieczystego proponowana zasada przewiduje ustalenie</w:t>
      </w:r>
      <w:r w:rsidR="00A660A5" w:rsidRPr="00FE30DC">
        <w:rPr>
          <w:rFonts w:eastAsia="Times"/>
        </w:rPr>
        <w:t xml:space="preserve"> odszkodowania odpowiadającego warto</w:t>
      </w:r>
      <w:r w:rsidR="00FF5BFA">
        <w:rPr>
          <w:rFonts w:eastAsia="Times"/>
        </w:rPr>
        <w:t>ści tego prawa, powiększonego o </w:t>
      </w:r>
      <w:r w:rsidR="00A660A5" w:rsidRPr="00FE30DC">
        <w:rPr>
          <w:rFonts w:eastAsia="Times"/>
        </w:rPr>
        <w:t>10%, zaś do ustalenia odszkodowania za budynki i inne urządzenia stanowiące własność użytkownika wieczystego stosuje się regulacje dotycz</w:t>
      </w:r>
      <w:r w:rsidR="00FF5BFA">
        <w:rPr>
          <w:rFonts w:eastAsia="Times"/>
        </w:rPr>
        <w:t>ące własności, opisane powyżej.</w:t>
      </w:r>
    </w:p>
    <w:p w14:paraId="3BA910CB" w14:textId="1D23D074" w:rsidR="00B142B8" w:rsidRPr="00FE30DC" w:rsidRDefault="00B142B8" w:rsidP="00FE30DC">
      <w:pPr>
        <w:pStyle w:val="NormalnyWeb"/>
        <w:shd w:val="clear" w:color="auto" w:fill="FFFFFF"/>
        <w:spacing w:before="120" w:beforeAutospacing="0" w:after="0" w:afterAutospacing="0" w:line="360" w:lineRule="auto"/>
        <w:jc w:val="both"/>
        <w:rPr>
          <w:color w:val="242424"/>
        </w:rPr>
      </w:pPr>
      <w:r w:rsidRPr="00FE30DC">
        <w:rPr>
          <w:color w:val="242424"/>
        </w:rPr>
        <w:lastRenderedPageBreak/>
        <w:t>Brak takiej formy rekompensaty powoduje konieczność ponoszenia przez właścicieli szeregu kosztów związanych m.in. z nabyciem nowej nieruchomości i przeprowadzką.</w:t>
      </w:r>
    </w:p>
    <w:p w14:paraId="5FF60E51" w14:textId="5995891E" w:rsidR="00B142B8" w:rsidRPr="00FE30DC" w:rsidRDefault="00B142B8" w:rsidP="00FE30DC">
      <w:pPr>
        <w:pStyle w:val="NormalnyWeb"/>
        <w:shd w:val="clear" w:color="auto" w:fill="FFFFFF"/>
        <w:spacing w:before="120" w:beforeAutospacing="0" w:after="0" w:afterAutospacing="0" w:line="360" w:lineRule="auto"/>
        <w:jc w:val="both"/>
        <w:rPr>
          <w:color w:val="242424"/>
        </w:rPr>
      </w:pPr>
      <w:r w:rsidRPr="00FE30DC">
        <w:rPr>
          <w:color w:val="242424"/>
        </w:rPr>
        <w:t xml:space="preserve">Po </w:t>
      </w:r>
      <w:r w:rsidR="008F4FBB" w:rsidRPr="00FE30DC">
        <w:rPr>
          <w:color w:val="242424"/>
        </w:rPr>
        <w:t xml:space="preserve">drugie </w:t>
      </w:r>
      <w:r w:rsidRPr="00FE30DC">
        <w:rPr>
          <w:color w:val="242424"/>
        </w:rPr>
        <w:t>Spółka Celowa może nabyć nieruchomość za cenę stanowiącą równowartość wartości odtworzeniowej nieruchomości określonej bez uwzględnienia stopnia zużycia.</w:t>
      </w:r>
    </w:p>
    <w:p w14:paraId="2353347A" w14:textId="7E566233" w:rsidR="00437A17" w:rsidRPr="00FE30DC" w:rsidRDefault="00B142B8" w:rsidP="00FE30DC">
      <w:pPr>
        <w:pStyle w:val="ZARTzmartartykuempunktem"/>
        <w:spacing w:before="120"/>
        <w:ind w:left="0" w:firstLine="0"/>
        <w:rPr>
          <w:rFonts w:ascii="Times New Roman" w:hAnsi="Times New Roman" w:cs="Times New Roman"/>
          <w:color w:val="242424"/>
          <w:szCs w:val="24"/>
        </w:rPr>
      </w:pPr>
      <w:r w:rsidRPr="00FE30DC">
        <w:rPr>
          <w:rFonts w:ascii="Times New Roman" w:hAnsi="Times New Roman" w:cs="Times New Roman"/>
          <w:szCs w:val="24"/>
        </w:rPr>
        <w:t xml:space="preserve">Kolejnym uprawnieniem jest możliwość nabycia nieruchomość za cenę stanowiącą </w:t>
      </w:r>
      <w:r w:rsidR="00437A17" w:rsidRPr="00FE30DC">
        <w:rPr>
          <w:rFonts w:ascii="Times New Roman" w:hAnsi="Times New Roman" w:cs="Times New Roman"/>
          <w:szCs w:val="24"/>
        </w:rPr>
        <w:t xml:space="preserve">odpowiednią </w:t>
      </w:r>
      <w:r w:rsidRPr="00FE30DC">
        <w:rPr>
          <w:rFonts w:ascii="Times New Roman" w:hAnsi="Times New Roman" w:cs="Times New Roman"/>
          <w:szCs w:val="24"/>
        </w:rPr>
        <w:t>krotność wskaźnika przeliczeniowego kosztu odtworzenia 1 m</w:t>
      </w:r>
      <w:r w:rsidR="005E3F9E" w:rsidRPr="00FE30DC">
        <w:rPr>
          <w:rFonts w:ascii="Times New Roman" w:hAnsi="Times New Roman" w:cs="Times New Roman"/>
          <w:szCs w:val="24"/>
          <w:vertAlign w:val="superscript"/>
        </w:rPr>
        <w:t>2</w:t>
      </w:r>
      <w:r w:rsidRPr="00FE30DC">
        <w:rPr>
          <w:rFonts w:ascii="Times New Roman" w:hAnsi="Times New Roman" w:cs="Times New Roman"/>
          <w:szCs w:val="24"/>
        </w:rPr>
        <w:t xml:space="preserve"> powierzchni użytkowej budynków mieszkalnych ogłaszanego przez wojewodę </w:t>
      </w:r>
      <w:r w:rsidR="00201F4D" w:rsidRPr="00FE30DC">
        <w:rPr>
          <w:rFonts w:ascii="Times New Roman" w:hAnsi="Times New Roman" w:cs="Times New Roman"/>
          <w:szCs w:val="24"/>
        </w:rPr>
        <w:t xml:space="preserve">obowiązującego </w:t>
      </w:r>
      <w:r w:rsidRPr="00FE30DC">
        <w:rPr>
          <w:rFonts w:ascii="Times New Roman" w:hAnsi="Times New Roman" w:cs="Times New Roman"/>
          <w:szCs w:val="24"/>
        </w:rPr>
        <w:t xml:space="preserve">w </w:t>
      </w:r>
      <w:r w:rsidR="00437A17" w:rsidRPr="00FE30DC">
        <w:rPr>
          <w:rFonts w:ascii="Times New Roman" w:hAnsi="Times New Roman" w:cs="Times New Roman"/>
          <w:szCs w:val="24"/>
        </w:rPr>
        <w:t>dniu</w:t>
      </w:r>
      <w:r w:rsidRPr="00FE30DC">
        <w:rPr>
          <w:rFonts w:ascii="Times New Roman" w:hAnsi="Times New Roman" w:cs="Times New Roman"/>
          <w:szCs w:val="24"/>
        </w:rPr>
        <w:t xml:space="preserve"> poprzedzającym dzień dokonania transakcji</w:t>
      </w:r>
      <w:r w:rsidR="00437A17" w:rsidRPr="00FE30DC">
        <w:rPr>
          <w:rFonts w:ascii="Times New Roman" w:hAnsi="Times New Roman" w:cs="Times New Roman"/>
          <w:szCs w:val="24"/>
        </w:rPr>
        <w:t>, zależnie od liczby zameldowanych na nieruchomości osób</w:t>
      </w:r>
      <w:r w:rsidRPr="00FE30DC">
        <w:rPr>
          <w:rFonts w:ascii="Times New Roman" w:hAnsi="Times New Roman" w:cs="Times New Roman"/>
          <w:szCs w:val="24"/>
        </w:rPr>
        <w:t xml:space="preserve">. Wskazać również należy, że przy ustalaniu liczby osób zameldowanych na pobyt stały pomija się osoby inne niż: osoby bliskie wobec właściciela albo użytkownika wieczystego nieruchomości oraz osoby zameldowane na pobyt stały krócej niż przez 1 rok </w:t>
      </w:r>
      <w:r w:rsidR="0098543A" w:rsidRPr="00FE30DC">
        <w:rPr>
          <w:rFonts w:ascii="Times New Roman" w:hAnsi="Times New Roman" w:cs="Times New Roman"/>
          <w:szCs w:val="24"/>
        </w:rPr>
        <w:t xml:space="preserve">poprzedzający bezpośrednio </w:t>
      </w:r>
      <w:r w:rsidRPr="00FE30DC">
        <w:rPr>
          <w:rFonts w:ascii="Times New Roman" w:hAnsi="Times New Roman" w:cs="Times New Roman"/>
          <w:szCs w:val="24"/>
        </w:rPr>
        <w:t>d</w:t>
      </w:r>
      <w:r w:rsidR="0098543A" w:rsidRPr="00FE30DC">
        <w:rPr>
          <w:rFonts w:ascii="Times New Roman" w:hAnsi="Times New Roman" w:cs="Times New Roman"/>
          <w:szCs w:val="24"/>
        </w:rPr>
        <w:t>zień</w:t>
      </w:r>
      <w:r w:rsidRPr="00FE30DC">
        <w:rPr>
          <w:rFonts w:ascii="Times New Roman" w:hAnsi="Times New Roman" w:cs="Times New Roman"/>
          <w:szCs w:val="24"/>
        </w:rPr>
        <w:t xml:space="preserve"> dokonania transakcji</w:t>
      </w:r>
      <w:r w:rsidR="00437A17" w:rsidRPr="00FE30DC">
        <w:rPr>
          <w:rFonts w:ascii="Times New Roman" w:hAnsi="Times New Roman" w:cs="Times New Roman"/>
          <w:szCs w:val="24"/>
        </w:rPr>
        <w:t>,</w:t>
      </w:r>
      <w:r w:rsidRPr="00FE30DC">
        <w:rPr>
          <w:rFonts w:ascii="Times New Roman" w:hAnsi="Times New Roman" w:cs="Times New Roman"/>
          <w:szCs w:val="24"/>
        </w:rPr>
        <w:t xml:space="preserve"> przy czym warunek zameldowania stosuje się również do</w:t>
      </w:r>
      <w:r w:rsidR="0065395B" w:rsidRPr="00FE30DC">
        <w:rPr>
          <w:rFonts w:ascii="Times New Roman" w:hAnsi="Times New Roman" w:cs="Times New Roman"/>
          <w:szCs w:val="24"/>
        </w:rPr>
        <w:t> </w:t>
      </w:r>
      <w:r w:rsidRPr="00FE30DC">
        <w:rPr>
          <w:rFonts w:ascii="Times New Roman" w:hAnsi="Times New Roman" w:cs="Times New Roman"/>
          <w:szCs w:val="24"/>
        </w:rPr>
        <w:t xml:space="preserve">właściciela albo użytkownika wieczystego nieruchomości. Nie podlega on natomiast zastosowaniu wobec osób, które urodziły się albo </w:t>
      </w:r>
      <w:r w:rsidR="00DC00B2" w:rsidRPr="00FE30DC">
        <w:rPr>
          <w:rFonts w:ascii="Times New Roman" w:hAnsi="Times New Roman" w:cs="Times New Roman"/>
          <w:szCs w:val="24"/>
        </w:rPr>
        <w:t xml:space="preserve">nabyły prawo </w:t>
      </w:r>
      <w:r w:rsidR="003821E6" w:rsidRPr="00FE30DC">
        <w:rPr>
          <w:rFonts w:ascii="Times New Roman" w:hAnsi="Times New Roman" w:cs="Times New Roman"/>
          <w:szCs w:val="24"/>
        </w:rPr>
        <w:t xml:space="preserve">własności </w:t>
      </w:r>
      <w:r w:rsidR="00F307E2" w:rsidRPr="00FE30DC">
        <w:rPr>
          <w:rFonts w:ascii="Times New Roman" w:hAnsi="Times New Roman" w:cs="Times New Roman"/>
          <w:szCs w:val="24"/>
        </w:rPr>
        <w:t xml:space="preserve">lub prawo użytkowania wieczystego </w:t>
      </w:r>
      <w:r w:rsidR="003821E6" w:rsidRPr="00FE30DC">
        <w:rPr>
          <w:rFonts w:ascii="Times New Roman" w:hAnsi="Times New Roman" w:cs="Times New Roman"/>
          <w:szCs w:val="24"/>
        </w:rPr>
        <w:t xml:space="preserve">w drodze dziedziczenia, zapisu albo zapisu windykacyjnego </w:t>
      </w:r>
      <w:r w:rsidRPr="00FE30DC">
        <w:rPr>
          <w:rFonts w:ascii="Times New Roman" w:hAnsi="Times New Roman" w:cs="Times New Roman"/>
          <w:szCs w:val="24"/>
        </w:rPr>
        <w:t>w okresie, o którym mowa w projektowanym przepisie, tj.</w:t>
      </w:r>
      <w:r w:rsidR="00896129" w:rsidRPr="00FE30DC">
        <w:rPr>
          <w:rFonts w:ascii="Times New Roman" w:hAnsi="Times New Roman" w:cs="Times New Roman"/>
          <w:szCs w:val="24"/>
        </w:rPr>
        <w:t xml:space="preserve"> w okresie</w:t>
      </w:r>
      <w:r w:rsidR="00FF5BFA">
        <w:rPr>
          <w:rFonts w:ascii="Times New Roman" w:hAnsi="Times New Roman" w:cs="Times New Roman"/>
          <w:szCs w:val="24"/>
        </w:rPr>
        <w:t xml:space="preserve"> </w:t>
      </w:r>
      <w:r w:rsidRPr="00FE30DC">
        <w:rPr>
          <w:rFonts w:ascii="Times New Roman" w:hAnsi="Times New Roman" w:cs="Times New Roman"/>
          <w:szCs w:val="24"/>
        </w:rPr>
        <w:t>1</w:t>
      </w:r>
      <w:r w:rsidR="00FF5BFA">
        <w:rPr>
          <w:rFonts w:ascii="Times New Roman" w:hAnsi="Times New Roman" w:cs="Times New Roman"/>
          <w:szCs w:val="24"/>
        </w:rPr>
        <w:t xml:space="preserve"> </w:t>
      </w:r>
      <w:r w:rsidRPr="00FE30DC">
        <w:rPr>
          <w:rFonts w:ascii="Times New Roman" w:hAnsi="Times New Roman" w:cs="Times New Roman"/>
          <w:szCs w:val="24"/>
        </w:rPr>
        <w:t xml:space="preserve">roku </w:t>
      </w:r>
      <w:r w:rsidR="0098543A" w:rsidRPr="00FE30DC">
        <w:rPr>
          <w:rFonts w:ascii="Times New Roman" w:hAnsi="Times New Roman" w:cs="Times New Roman"/>
          <w:szCs w:val="24"/>
        </w:rPr>
        <w:t>poprzedzającego bezpośrednio</w:t>
      </w:r>
      <w:r w:rsidRPr="00FE30DC">
        <w:rPr>
          <w:rFonts w:ascii="Times New Roman" w:hAnsi="Times New Roman" w:cs="Times New Roman"/>
          <w:szCs w:val="24"/>
        </w:rPr>
        <w:t xml:space="preserve"> d</w:t>
      </w:r>
      <w:r w:rsidR="0098543A" w:rsidRPr="00FE30DC">
        <w:rPr>
          <w:rFonts w:ascii="Times New Roman" w:hAnsi="Times New Roman" w:cs="Times New Roman"/>
          <w:szCs w:val="24"/>
        </w:rPr>
        <w:t>zień</w:t>
      </w:r>
      <w:r w:rsidRPr="00FE30DC">
        <w:rPr>
          <w:rFonts w:ascii="Times New Roman" w:hAnsi="Times New Roman" w:cs="Times New Roman"/>
          <w:szCs w:val="24"/>
        </w:rPr>
        <w:t xml:space="preserve"> dokonania transakcji. </w:t>
      </w:r>
      <w:r w:rsidRPr="00FE30DC">
        <w:rPr>
          <w:rFonts w:ascii="Times New Roman" w:hAnsi="Times New Roman" w:cs="Times New Roman"/>
          <w:color w:val="242424"/>
          <w:szCs w:val="24"/>
        </w:rPr>
        <w:t>Osoby inne niż właściciel albo użytkownik wieczysty, w celu uwzględnienia w obliczeniu dokonywanym na mocy opisywanych przepisów, muszą stanowić osoby bliskie. Kategoria prawna osoby bliskiej zd</w:t>
      </w:r>
      <w:r w:rsidR="00FF5BFA">
        <w:rPr>
          <w:rFonts w:ascii="Times New Roman" w:hAnsi="Times New Roman" w:cs="Times New Roman"/>
          <w:color w:val="242424"/>
          <w:szCs w:val="24"/>
        </w:rPr>
        <w:t xml:space="preserve">efiniowana jest w art. 4 pkt 13 </w:t>
      </w:r>
      <w:r w:rsidRPr="00FE30DC">
        <w:rPr>
          <w:rFonts w:ascii="Times New Roman" w:hAnsi="Times New Roman" w:cs="Times New Roman"/>
          <w:i/>
          <w:iCs/>
          <w:color w:val="242424"/>
          <w:szCs w:val="24"/>
        </w:rPr>
        <w:t>ugn</w:t>
      </w:r>
      <w:r w:rsidRPr="00FE30DC">
        <w:rPr>
          <w:rFonts w:ascii="Times New Roman" w:hAnsi="Times New Roman" w:cs="Times New Roman"/>
          <w:color w:val="242424"/>
          <w:szCs w:val="24"/>
        </w:rPr>
        <w:t>, zgodnie z którym przez osobę bliską należy rozumieć zstępnych, wstępnych, rodzeństwo, dzieci rodzeństwa, mał</w:t>
      </w:r>
      <w:r w:rsidR="00FF5BFA">
        <w:rPr>
          <w:rFonts w:ascii="Times New Roman" w:hAnsi="Times New Roman" w:cs="Times New Roman"/>
          <w:color w:val="242424"/>
          <w:szCs w:val="24"/>
        </w:rPr>
        <w:t>żonka, osoby przysposabiające i </w:t>
      </w:r>
      <w:r w:rsidRPr="00FE30DC">
        <w:rPr>
          <w:rFonts w:ascii="Times New Roman" w:hAnsi="Times New Roman" w:cs="Times New Roman"/>
          <w:color w:val="242424"/>
          <w:szCs w:val="24"/>
        </w:rPr>
        <w:t xml:space="preserve">przysposobione oraz osobę, która pozostaje ze zbywcą faktycznie we wspólnym pożyciu. Regulacje związane z instytucją zameldowania na pobyt stały </w:t>
      </w:r>
      <w:r w:rsidR="008F4FBB" w:rsidRPr="00FE30DC">
        <w:rPr>
          <w:rFonts w:ascii="Times New Roman" w:hAnsi="Times New Roman" w:cs="Times New Roman"/>
          <w:color w:val="242424"/>
          <w:szCs w:val="24"/>
        </w:rPr>
        <w:t xml:space="preserve">są </w:t>
      </w:r>
      <w:r w:rsidRPr="00FE30DC">
        <w:rPr>
          <w:rFonts w:ascii="Times New Roman" w:hAnsi="Times New Roman" w:cs="Times New Roman"/>
          <w:color w:val="242424"/>
          <w:szCs w:val="24"/>
        </w:rPr>
        <w:t>zawarte w ustawie z dnia 24 września 2010 r. o ewidencji ludności, zgodnie z którą obywatel polski przebywający na terytorium Rzeczypospolitej Polskiej jest obowiązany wykonywać obowiązek meldunkowy określony w ustawie (art. 24 ust. 1), zaś pobytem stałym jest zamieszkanie w określonej miejscowości pod oznaczonym adresem z zamiarem stałego przebywania (art. 25 ust. 1).</w:t>
      </w:r>
    </w:p>
    <w:p w14:paraId="52F9EA88" w14:textId="78F6979A" w:rsidR="00980C80" w:rsidRPr="00FE30DC" w:rsidRDefault="003063A8" w:rsidP="00FE30DC">
      <w:pPr>
        <w:pStyle w:val="ZARTzmartartykuempunktem"/>
        <w:spacing w:before="120"/>
        <w:ind w:left="0" w:firstLine="0"/>
        <w:rPr>
          <w:rFonts w:ascii="Times New Roman" w:hAnsi="Times New Roman" w:cs="Times New Roman"/>
          <w:color w:val="242424"/>
          <w:szCs w:val="24"/>
        </w:rPr>
      </w:pPr>
      <w:r w:rsidRPr="00FE30DC">
        <w:rPr>
          <w:rFonts w:ascii="Times New Roman" w:eastAsia="Times New Roman" w:hAnsi="Times New Roman" w:cs="Times New Roman"/>
          <w:color w:val="000000" w:themeColor="text1"/>
          <w:szCs w:val="24"/>
        </w:rPr>
        <w:t xml:space="preserve">Przy ustalaniu liczby osób zameldowanych na pobyt stały pomija się osoby posiadające tytuł prawny do innego lokalu mieszkalnego lub budynku mieszkalnego. Określanie zwiększonej ceny przy uwzględnieniu takich osób stanowiłoby nieracjonalne wydatkowanie środków publicznych w sytuacji, gdy osoby te – mimo zameldowania na nieruchomości – mogą zaspokoić swoje potrzeby mieszkaniowe w ramach innej nieruchomości. Podstawą ustalenia tej okoliczności ma być oświadczenie składane pod rygorem odpowiedzialności karnej za </w:t>
      </w:r>
      <w:r w:rsidRPr="00FE30DC">
        <w:rPr>
          <w:rFonts w:ascii="Times New Roman" w:eastAsia="Times New Roman" w:hAnsi="Times New Roman" w:cs="Times New Roman"/>
          <w:color w:val="000000" w:themeColor="text1"/>
          <w:szCs w:val="24"/>
        </w:rPr>
        <w:lastRenderedPageBreak/>
        <w:t>składanie fałszywych zeznań. Składający oświadczenie jest obowiązany do zawarcia w nim klauzuli następującej treści: ,,Jestem świadomy odpowiedzialności karnej za złożenie fałszywego oświadczenia.”. Klauzula ta zastępuje pouczenie organu o odpowiedzialności karnej za składanie fałszywych zeznań.</w:t>
      </w:r>
    </w:p>
    <w:p w14:paraId="2F112E56" w14:textId="7C4EBF26" w:rsidR="00C051F5"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 xml:space="preserve">Kolejnym uprawnieniem jest przyznanie Spółce Celowej możliwości nabycia nieruchomości do realizacji danego Przedsięwzięcia za cenę ustaloną jako iloczyn metrów kwadratowych tej nieruchomości i 150% średniej ceny metra kwadratowego </w:t>
      </w:r>
      <w:r w:rsidR="002653A5" w:rsidRPr="00FE30DC">
        <w:rPr>
          <w:rFonts w:ascii="Times New Roman" w:hAnsi="Times New Roman" w:cs="Times New Roman"/>
          <w:szCs w:val="24"/>
        </w:rPr>
        <w:t xml:space="preserve">uzgodnionej </w:t>
      </w:r>
      <w:r w:rsidRPr="00FE30DC">
        <w:rPr>
          <w:rFonts w:ascii="Times New Roman" w:hAnsi="Times New Roman" w:cs="Times New Roman"/>
          <w:szCs w:val="24"/>
        </w:rPr>
        <w:t>dla tego Przedsięwzięcia między Pełnomocnikiem a Spółką Celową. Będzie to zatem granica ustalona nie w oparciu o czynniki formalne, niejako „zewnętrzne”, ale racje biznesowe – uzależniając dopuszczalną cenę nabycia nieruchomości od faktycznej opłacalności danej transakcji.</w:t>
      </w:r>
    </w:p>
    <w:p w14:paraId="71488EA5" w14:textId="58603CB7" w:rsidR="00C051F5" w:rsidRPr="00FE30DC" w:rsidRDefault="00132BB0"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D</w:t>
      </w:r>
      <w:r w:rsidR="00C051F5" w:rsidRPr="00FE30DC">
        <w:rPr>
          <w:rFonts w:ascii="Times New Roman" w:hAnsi="Times New Roman" w:cs="Times New Roman"/>
          <w:szCs w:val="24"/>
        </w:rPr>
        <w:t xml:space="preserve">opuszcza się, aby Spółka Celowa mogła nabyć nieruchomość za cenę przewyższającą cenę ustaloną w oparciu o ww. zasady, jednakże </w:t>
      </w:r>
      <w:r w:rsidR="008B11A9" w:rsidRPr="00FE30DC">
        <w:rPr>
          <w:rFonts w:ascii="Times New Roman" w:hAnsi="Times New Roman" w:cs="Times New Roman"/>
          <w:szCs w:val="24"/>
        </w:rPr>
        <w:t xml:space="preserve">będzie to mogło nastąpić </w:t>
      </w:r>
      <w:r w:rsidR="00186F70" w:rsidRPr="00FE30DC">
        <w:rPr>
          <w:rFonts w:ascii="Times New Roman" w:hAnsi="Times New Roman" w:cs="Times New Roman"/>
          <w:szCs w:val="24"/>
        </w:rPr>
        <w:t>w</w:t>
      </w:r>
      <w:r w:rsidR="00015901">
        <w:rPr>
          <w:rFonts w:ascii="Times New Roman" w:hAnsi="Times New Roman" w:cs="Times New Roman"/>
          <w:szCs w:val="24"/>
        </w:rPr>
        <w:t xml:space="preserve"> </w:t>
      </w:r>
      <w:r w:rsidR="00186F70" w:rsidRPr="00FE30DC">
        <w:rPr>
          <w:rFonts w:ascii="Times New Roman" w:hAnsi="Times New Roman" w:cs="Times New Roman"/>
          <w:szCs w:val="24"/>
        </w:rPr>
        <w:t>wyjątkowych prz</w:t>
      </w:r>
      <w:r w:rsidR="00496EFC" w:rsidRPr="00FE30DC">
        <w:rPr>
          <w:rFonts w:ascii="Times New Roman" w:hAnsi="Times New Roman" w:cs="Times New Roman"/>
          <w:szCs w:val="24"/>
        </w:rPr>
        <w:t>ypadkach</w:t>
      </w:r>
      <w:r w:rsidR="005209C6" w:rsidRPr="00FE30DC">
        <w:rPr>
          <w:rFonts w:ascii="Times New Roman" w:hAnsi="Times New Roman" w:cs="Times New Roman"/>
          <w:szCs w:val="24"/>
        </w:rPr>
        <w:t>, wynikających ze szczególnego znaczenia nabycia danej nieruchomości dla procesu</w:t>
      </w:r>
      <w:r w:rsidR="008B4D24" w:rsidRPr="00FE30DC">
        <w:rPr>
          <w:rFonts w:ascii="Times New Roman" w:hAnsi="Times New Roman" w:cs="Times New Roman"/>
          <w:szCs w:val="24"/>
        </w:rPr>
        <w:t xml:space="preserve"> inwestycyjnego. </w:t>
      </w:r>
      <w:r w:rsidR="00E44484" w:rsidRPr="00FE30DC">
        <w:rPr>
          <w:rFonts w:ascii="Times New Roman" w:hAnsi="Times New Roman" w:cs="Times New Roman"/>
          <w:szCs w:val="24"/>
        </w:rPr>
        <w:t>Co jednak należy podkreślić, dla dokonania takiej transakcji</w:t>
      </w:r>
      <w:r w:rsidR="00C051F5" w:rsidRPr="00FE30DC">
        <w:rPr>
          <w:rFonts w:ascii="Times New Roman" w:hAnsi="Times New Roman" w:cs="Times New Roman"/>
          <w:szCs w:val="24"/>
        </w:rPr>
        <w:t xml:space="preserve"> konieczna </w:t>
      </w:r>
      <w:r w:rsidR="00E44484" w:rsidRPr="00FE30DC">
        <w:rPr>
          <w:rFonts w:ascii="Times New Roman" w:hAnsi="Times New Roman" w:cs="Times New Roman"/>
          <w:szCs w:val="24"/>
        </w:rPr>
        <w:t>będzie</w:t>
      </w:r>
      <w:r w:rsidR="00C051F5" w:rsidRPr="00FE30DC">
        <w:rPr>
          <w:rFonts w:ascii="Times New Roman" w:hAnsi="Times New Roman" w:cs="Times New Roman"/>
          <w:szCs w:val="24"/>
        </w:rPr>
        <w:t xml:space="preserve"> zgoda w postaci uchwały wspólników. W tym miejscu przypomnieć należy, że 100% właścicielem Spółki Celowej jest Skarb Pań</w:t>
      </w:r>
      <w:r w:rsidR="00FF5BFA">
        <w:rPr>
          <w:rFonts w:ascii="Times New Roman" w:hAnsi="Times New Roman" w:cs="Times New Roman"/>
          <w:szCs w:val="24"/>
        </w:rPr>
        <w:t>stwa. Zatem nie może być mowy o </w:t>
      </w:r>
      <w:r w:rsidR="00C051F5" w:rsidRPr="00FE30DC">
        <w:rPr>
          <w:rFonts w:ascii="Times New Roman" w:hAnsi="Times New Roman" w:cs="Times New Roman"/>
          <w:szCs w:val="24"/>
        </w:rPr>
        <w:t>jakiejkolwiek dowolności działania Spółki w tym zakresie. To każdoczesna decyzja jej właściciela uprawni ją do nabycia nieru</w:t>
      </w:r>
      <w:r w:rsidR="00FF5BFA">
        <w:rPr>
          <w:rFonts w:ascii="Times New Roman" w:hAnsi="Times New Roman" w:cs="Times New Roman"/>
          <w:szCs w:val="24"/>
        </w:rPr>
        <w:t xml:space="preserve">chomości za podwyższoną cenę. Z </w:t>
      </w:r>
      <w:r w:rsidR="00C051F5" w:rsidRPr="00FE30DC">
        <w:rPr>
          <w:rFonts w:ascii="Times New Roman" w:hAnsi="Times New Roman" w:cs="Times New Roman"/>
          <w:szCs w:val="24"/>
        </w:rPr>
        <w:t>oczywistych względów właściciel Spółki Celowej udzieli takiej zgody tylko w takich warunkach, gdy uzna to za uzasadnione specyficznymi okolicznościami – np. koniecznością pozyskania konkretnej nieruchomości w ściśle określonym momencie procesu inwestycyjnego.</w:t>
      </w:r>
    </w:p>
    <w:p w14:paraId="3E187606" w14:textId="762F172E" w:rsidR="00437A17" w:rsidRPr="00FE30DC" w:rsidRDefault="00FA0165"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Projekt przewiduje też dodatkową granicę niezależności działań Spółki. Jeśli bowiem w wyniku zastosowania ww. zasad ustalania ceny sprzedaży przy danej transakcji cena konkretnej transakcji miał</w:t>
      </w:r>
      <w:r w:rsidR="000528D0" w:rsidRPr="00FE30DC">
        <w:rPr>
          <w:rFonts w:ascii="Times New Roman" w:hAnsi="Times New Roman" w:cs="Times New Roman"/>
          <w:szCs w:val="24"/>
        </w:rPr>
        <w:t>a</w:t>
      </w:r>
      <w:r w:rsidRPr="00FE30DC">
        <w:rPr>
          <w:rFonts w:ascii="Times New Roman" w:hAnsi="Times New Roman" w:cs="Times New Roman"/>
          <w:szCs w:val="24"/>
        </w:rPr>
        <w:t>by być o 1 milion złotych wyższa niż wartość nieruchomości</w:t>
      </w:r>
      <w:r w:rsidR="005B6697" w:rsidRPr="00FE30DC">
        <w:rPr>
          <w:rFonts w:ascii="Times New Roman" w:hAnsi="Times New Roman" w:cs="Times New Roman"/>
          <w:szCs w:val="24"/>
        </w:rPr>
        <w:t xml:space="preserve"> </w:t>
      </w:r>
      <w:r w:rsidR="005B6697" w:rsidRPr="00FE30DC">
        <w:rPr>
          <w:rFonts w:ascii="Times New Roman" w:hAnsi="Times New Roman" w:cs="Times New Roman"/>
          <w:szCs w:val="24"/>
          <w:lang w:eastAsia="en-US"/>
        </w:rPr>
        <w:t>określona zgodnie z</w:t>
      </w:r>
      <w:r w:rsidR="00015901">
        <w:rPr>
          <w:rFonts w:ascii="Times New Roman" w:hAnsi="Times New Roman" w:cs="Times New Roman"/>
          <w:szCs w:val="24"/>
        </w:rPr>
        <w:t xml:space="preserve"> </w:t>
      </w:r>
      <w:r w:rsidR="005B6697" w:rsidRPr="00FE30DC">
        <w:rPr>
          <w:rFonts w:ascii="Times New Roman" w:hAnsi="Times New Roman" w:cs="Times New Roman"/>
          <w:szCs w:val="24"/>
          <w:lang w:eastAsia="en-US"/>
        </w:rPr>
        <w:t>przepisami o gospodarce nieruchomościami</w:t>
      </w:r>
      <w:r w:rsidRPr="00FE30DC">
        <w:rPr>
          <w:rFonts w:ascii="Times New Roman" w:hAnsi="Times New Roman" w:cs="Times New Roman"/>
          <w:szCs w:val="24"/>
        </w:rPr>
        <w:t>, proponuje się wprowadzenie mechanizmu zabezpieczającego, polegającego na koni</w:t>
      </w:r>
      <w:r w:rsidR="00B46106" w:rsidRPr="00FE30DC">
        <w:rPr>
          <w:rFonts w:ascii="Times New Roman" w:hAnsi="Times New Roman" w:cs="Times New Roman"/>
          <w:szCs w:val="24"/>
        </w:rPr>
        <w:t>e</w:t>
      </w:r>
      <w:r w:rsidRPr="00FE30DC">
        <w:rPr>
          <w:rFonts w:ascii="Times New Roman" w:hAnsi="Times New Roman" w:cs="Times New Roman"/>
          <w:szCs w:val="24"/>
        </w:rPr>
        <w:t xml:space="preserve">czności uzyskania zgody na taką transakcję, wydawaną również przez wspólników Spółki Celowej (w zasadzie jednego wspólnika </w:t>
      </w:r>
      <w:r w:rsidR="00015901">
        <w:rPr>
          <w:rFonts w:ascii="Times New Roman" w:hAnsi="Times New Roman" w:cs="Times New Roman"/>
          <w:szCs w:val="24"/>
        </w:rPr>
        <w:t>–</w:t>
      </w:r>
      <w:r w:rsidRPr="00FE30DC">
        <w:rPr>
          <w:rFonts w:ascii="Times New Roman" w:hAnsi="Times New Roman" w:cs="Times New Roman"/>
          <w:szCs w:val="24"/>
        </w:rPr>
        <w:t xml:space="preserve"> Skarb Państwa) w formie uchwały.</w:t>
      </w:r>
    </w:p>
    <w:p w14:paraId="3F3CBEF3" w14:textId="7FE7C73A" w:rsidR="00B142B8" w:rsidRPr="00015901" w:rsidRDefault="00437A17"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A</w:t>
      </w:r>
      <w:r w:rsidR="00B142B8" w:rsidRPr="00FE30DC">
        <w:rPr>
          <w:rFonts w:ascii="Times New Roman" w:hAnsi="Times New Roman" w:cs="Times New Roman"/>
          <w:szCs w:val="24"/>
        </w:rPr>
        <w:t>nalizując powyższe zasady nabywania nieruchomości przez Spółkę Celową</w:t>
      </w:r>
      <w:r w:rsidR="008F4FBB" w:rsidRPr="00FE30DC">
        <w:rPr>
          <w:rFonts w:ascii="Times New Roman" w:hAnsi="Times New Roman" w:cs="Times New Roman"/>
          <w:szCs w:val="24"/>
        </w:rPr>
        <w:t>,</w:t>
      </w:r>
      <w:r w:rsidR="00B142B8" w:rsidRPr="00FE30DC">
        <w:rPr>
          <w:rFonts w:ascii="Times New Roman" w:hAnsi="Times New Roman" w:cs="Times New Roman"/>
          <w:szCs w:val="24"/>
        </w:rPr>
        <w:t xml:space="preserve"> należy podkreślić, że zasadniczym celem projektowanych przepisów jest uregulowanie uprawnień Spółki Celowej w zakresie wydatkowania środków publicznych – ustanowienia granic, w</w:t>
      </w:r>
      <w:r w:rsidR="0065395B" w:rsidRPr="00FE30DC">
        <w:rPr>
          <w:rFonts w:ascii="Times New Roman" w:hAnsi="Times New Roman" w:cs="Times New Roman"/>
          <w:szCs w:val="24"/>
        </w:rPr>
        <w:t> </w:t>
      </w:r>
      <w:r w:rsidR="00B142B8" w:rsidRPr="00FE30DC">
        <w:rPr>
          <w:rFonts w:ascii="Times New Roman" w:hAnsi="Times New Roman" w:cs="Times New Roman"/>
          <w:szCs w:val="24"/>
        </w:rPr>
        <w:t xml:space="preserve">jakich Spółka Celowa może wydatkować te środki na zakup nieruchomości, mieszcząc się w granicach celowości i gospodarności wydatkowania. Uznać należy, że w obszarze ochrony </w:t>
      </w:r>
      <w:r w:rsidR="00B142B8" w:rsidRPr="00FE30DC">
        <w:rPr>
          <w:rFonts w:ascii="Times New Roman" w:hAnsi="Times New Roman" w:cs="Times New Roman"/>
          <w:szCs w:val="24"/>
        </w:rPr>
        <w:lastRenderedPageBreak/>
        <w:t>finansów publicznych prawodawca dysponuje bez wątpienia swobodą mieszczącą się w</w:t>
      </w:r>
      <w:r w:rsidR="0065395B" w:rsidRPr="00FE30DC">
        <w:rPr>
          <w:rFonts w:ascii="Times New Roman" w:hAnsi="Times New Roman" w:cs="Times New Roman"/>
          <w:szCs w:val="24"/>
        </w:rPr>
        <w:t> </w:t>
      </w:r>
      <w:r w:rsidR="00B142B8" w:rsidRPr="00FE30DC">
        <w:rPr>
          <w:rFonts w:ascii="Times New Roman" w:hAnsi="Times New Roman" w:cs="Times New Roman"/>
          <w:szCs w:val="24"/>
        </w:rPr>
        <w:t>ramach zasad konstytucyjnych oraz regulacji dotyczących finansów publicznych, a przyjęta forma interwencji legislacyjnej odpowiada ww. zasadom. Analizując proponowane rozwiązania</w:t>
      </w:r>
      <w:r w:rsidR="008F4FBB" w:rsidRPr="00FE30DC">
        <w:rPr>
          <w:rFonts w:ascii="Times New Roman" w:hAnsi="Times New Roman" w:cs="Times New Roman"/>
          <w:szCs w:val="24"/>
        </w:rPr>
        <w:t>,</w:t>
      </w:r>
      <w:r w:rsidR="00B142B8" w:rsidRPr="00FE30DC">
        <w:rPr>
          <w:rFonts w:ascii="Times New Roman" w:hAnsi="Times New Roman" w:cs="Times New Roman"/>
          <w:szCs w:val="24"/>
        </w:rPr>
        <w:t xml:space="preserve"> warto mieć po pierwsze na uwadze, że przedmiotowe regulacje dotyczą działań podejmowanych przed ustaleniem lokalizacji inwes</w:t>
      </w:r>
      <w:r w:rsidR="00FF5BFA">
        <w:rPr>
          <w:rFonts w:ascii="Times New Roman" w:hAnsi="Times New Roman" w:cs="Times New Roman"/>
          <w:szCs w:val="24"/>
        </w:rPr>
        <w:t>tycji celu publicznego, zatem z </w:t>
      </w:r>
      <w:r w:rsidR="00B142B8" w:rsidRPr="00FE30DC">
        <w:rPr>
          <w:rFonts w:ascii="Times New Roman" w:hAnsi="Times New Roman" w:cs="Times New Roman"/>
          <w:szCs w:val="24"/>
        </w:rPr>
        <w:t xml:space="preserve">formalnego punktu widzenia nie należy rozpatrywać ich jako dotyczących nabywania nieruchomości pod inwestycję celu publicznego (nie wydano jeszcze decyzji lokalizacyjnej). Do podejmowania tego typu działań Spółka Celowa jest zobowiązana już na podstawie obowiązujących obecnie przepisów ustawy </w:t>
      </w:r>
      <w:bookmarkStart w:id="4" w:name="_Hlk98272805"/>
      <w:r w:rsidR="00B142B8" w:rsidRPr="00FE30DC">
        <w:rPr>
          <w:rFonts w:ascii="Times New Roman" w:hAnsi="Times New Roman" w:cs="Times New Roman"/>
          <w:szCs w:val="24"/>
        </w:rPr>
        <w:t>z dnia 10 maja 2018 r. o Centralnym Porcie Komunikacyjnym</w:t>
      </w:r>
      <w:bookmarkEnd w:id="4"/>
      <w:r w:rsidR="00B142B8" w:rsidRPr="00FE30DC">
        <w:rPr>
          <w:rFonts w:ascii="Times New Roman" w:hAnsi="Times New Roman" w:cs="Times New Roman"/>
          <w:szCs w:val="24"/>
        </w:rPr>
        <w:t xml:space="preserve">. Przepisy te jednoznacznie upoważniają Spółkę do podejmowania działań wyprzedzających, jeszcze przed wszelkimi decyzjami o skutku wywłaszczeniowym. Podkreślenia w tym miejscu wymaga, że przedmiotowa regulacja nie ustanawia jednak jakiegokolwiek uprawnienia osoby zbywającej nieruchomość do uzyskania określonej ceny </w:t>
      </w:r>
      <w:r w:rsidR="00015901">
        <w:rPr>
          <w:rFonts w:ascii="Times New Roman" w:hAnsi="Times New Roman" w:cs="Times New Roman"/>
          <w:szCs w:val="24"/>
        </w:rPr>
        <w:t>–</w:t>
      </w:r>
      <w:r w:rsidR="00B142B8" w:rsidRPr="00FE30DC">
        <w:rPr>
          <w:rFonts w:ascii="Times New Roman" w:hAnsi="Times New Roman" w:cs="Times New Roman"/>
          <w:szCs w:val="24"/>
        </w:rPr>
        <w:t xml:space="preserve"> mamy do czynienia z transakcjami o charakterze dobrowolnym z obu stron. W związku z tym sposób sformułowania ww. przepisów nie podlega ocenie z perspektywy zasady proporcjonalności oraz równości, w odniesieniu do tych osób.</w:t>
      </w:r>
    </w:p>
    <w:p w14:paraId="187634EA" w14:textId="45BD2A4D"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W kolejnych przepisach projektu formułuje się zasadę, zgodnie z którą</w:t>
      </w:r>
      <w:r w:rsidR="00382232">
        <w:rPr>
          <w:rFonts w:ascii="Times New Roman" w:hAnsi="Times New Roman" w:cs="Times New Roman"/>
          <w:szCs w:val="24"/>
        </w:rPr>
        <w:t>,</w:t>
      </w:r>
      <w:r w:rsidRPr="00FE30DC">
        <w:rPr>
          <w:rFonts w:ascii="Times New Roman" w:hAnsi="Times New Roman" w:cs="Times New Roman"/>
          <w:szCs w:val="24"/>
        </w:rPr>
        <w:t xml:space="preserve"> dokonując szacowania wartości nieruchomości, rzeczoznawca majątkowy przy </w:t>
      </w:r>
      <w:r w:rsidR="00421880" w:rsidRPr="00FE30DC">
        <w:rPr>
          <w:rFonts w:ascii="Times New Roman" w:hAnsi="Times New Roman" w:cs="Times New Roman"/>
          <w:szCs w:val="24"/>
        </w:rPr>
        <w:t xml:space="preserve">zastosowaniu podejścia porównawczego </w:t>
      </w:r>
      <w:r w:rsidR="00421880" w:rsidRPr="00FE30DC">
        <w:rPr>
          <w:rFonts w:ascii="Times New Roman" w:hAnsi="Times New Roman" w:cs="Times New Roman"/>
          <w:szCs w:val="24"/>
          <w:lang w:eastAsia="en-US"/>
        </w:rPr>
        <w:t>nie uwzględnia transakcji zawartych z zastoso</w:t>
      </w:r>
      <w:r w:rsidR="00FF5BFA">
        <w:rPr>
          <w:rFonts w:ascii="Times New Roman" w:hAnsi="Times New Roman" w:cs="Times New Roman"/>
          <w:szCs w:val="24"/>
          <w:lang w:eastAsia="en-US"/>
        </w:rPr>
        <w:t>waniem przepisów ust. </w:t>
      </w:r>
      <w:r w:rsidR="00421880" w:rsidRPr="00FE30DC">
        <w:rPr>
          <w:rFonts w:ascii="Times New Roman" w:hAnsi="Times New Roman" w:cs="Times New Roman"/>
          <w:szCs w:val="24"/>
          <w:lang w:eastAsia="en-US"/>
        </w:rPr>
        <w:t>3</w:t>
      </w:r>
      <w:r w:rsidR="00421880" w:rsidRPr="00FE30DC">
        <w:rPr>
          <w:rFonts w:ascii="Times New Roman" w:hAnsi="Times New Roman" w:cs="Times New Roman"/>
          <w:szCs w:val="24"/>
        </w:rPr>
        <w:t>–</w:t>
      </w:r>
      <w:r w:rsidR="00421880" w:rsidRPr="00FE30DC">
        <w:rPr>
          <w:rFonts w:ascii="Times New Roman" w:hAnsi="Times New Roman" w:cs="Times New Roman"/>
          <w:szCs w:val="24"/>
          <w:lang w:eastAsia="en-US"/>
        </w:rPr>
        <w:t>1</w:t>
      </w:r>
      <w:r w:rsidR="00FF5BFA">
        <w:rPr>
          <w:rFonts w:ascii="Times New Roman" w:hAnsi="Times New Roman" w:cs="Times New Roman"/>
          <w:szCs w:val="24"/>
        </w:rPr>
        <w:t>2 i </w:t>
      </w:r>
      <w:r w:rsidR="00421880" w:rsidRPr="00FE30DC">
        <w:rPr>
          <w:rFonts w:ascii="Times New Roman" w:hAnsi="Times New Roman" w:cs="Times New Roman"/>
          <w:szCs w:val="24"/>
        </w:rPr>
        <w:t xml:space="preserve">14, tj. transakcji, w których cenę </w:t>
      </w:r>
      <w:r w:rsidR="006D5BA8" w:rsidRPr="00FE30DC">
        <w:rPr>
          <w:rFonts w:ascii="Times New Roman" w:hAnsi="Times New Roman" w:cs="Times New Roman"/>
          <w:szCs w:val="24"/>
        </w:rPr>
        <w:t>ustalono</w:t>
      </w:r>
      <w:r w:rsidR="001632DE" w:rsidRPr="00FE30DC">
        <w:rPr>
          <w:rFonts w:ascii="Times New Roman" w:hAnsi="Times New Roman" w:cs="Times New Roman"/>
          <w:szCs w:val="24"/>
        </w:rPr>
        <w:t xml:space="preserve"> </w:t>
      </w:r>
      <w:r w:rsidR="00421880" w:rsidRPr="00FE30DC">
        <w:rPr>
          <w:rFonts w:ascii="Times New Roman" w:hAnsi="Times New Roman" w:cs="Times New Roman"/>
          <w:szCs w:val="24"/>
        </w:rPr>
        <w:t>z uwzględnieniem wprowadzanych szczególnych regulacji</w:t>
      </w:r>
      <w:r w:rsidRPr="00FE30DC">
        <w:rPr>
          <w:rFonts w:ascii="Times New Roman" w:hAnsi="Times New Roman" w:cs="Times New Roman"/>
          <w:szCs w:val="24"/>
        </w:rPr>
        <w:t>.</w:t>
      </w:r>
    </w:p>
    <w:p w14:paraId="09D8B72C" w14:textId="3A16F7C4"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W przypadku nabycia nieruchomości przez Spółkę Celową z obszaru objętego przepisami wydanymi na podstawie art. 28 ust. 1</w:t>
      </w:r>
      <w:r w:rsidR="003F45F4" w:rsidRPr="00FE30DC">
        <w:rPr>
          <w:rFonts w:ascii="Times New Roman" w:hAnsi="Times New Roman" w:cs="Times New Roman"/>
          <w:szCs w:val="24"/>
        </w:rPr>
        <w:t xml:space="preserve"> ustawy z dnia 10 maja 2018 r. o Centralnym Porcie Komunikacyjnym</w:t>
      </w:r>
      <w:r w:rsidRPr="00FE30DC">
        <w:rPr>
          <w:rFonts w:ascii="Times New Roman" w:hAnsi="Times New Roman" w:cs="Times New Roman"/>
          <w:szCs w:val="24"/>
        </w:rPr>
        <w:t>:</w:t>
      </w:r>
    </w:p>
    <w:p w14:paraId="59F7D55F" w14:textId="1506A098" w:rsidR="00B142B8" w:rsidRPr="00FE30DC" w:rsidRDefault="00B142B8" w:rsidP="00015901">
      <w:pPr>
        <w:pStyle w:val="ZPKTzmpktartykuempunktem"/>
        <w:spacing w:before="120"/>
        <w:ind w:left="567"/>
        <w:rPr>
          <w:rFonts w:ascii="Times New Roman" w:hAnsi="Times New Roman" w:cs="Times New Roman"/>
          <w:szCs w:val="24"/>
        </w:rPr>
      </w:pPr>
      <w:r w:rsidRPr="00FE30DC">
        <w:rPr>
          <w:rFonts w:ascii="Times New Roman" w:hAnsi="Times New Roman" w:cs="Times New Roman"/>
          <w:szCs w:val="24"/>
        </w:rPr>
        <w:t>1)</w:t>
      </w:r>
      <w:r w:rsidRPr="00FE30DC">
        <w:rPr>
          <w:rFonts w:ascii="Times New Roman" w:hAnsi="Times New Roman" w:cs="Times New Roman"/>
          <w:szCs w:val="24"/>
        </w:rPr>
        <w:tab/>
        <w:t xml:space="preserve">termin wydania nieruchomości określa się – na wniosek zbywcy </w:t>
      </w:r>
      <w:r w:rsidR="00015901">
        <w:rPr>
          <w:rFonts w:ascii="Times New Roman" w:hAnsi="Times New Roman" w:cs="Times New Roman"/>
          <w:szCs w:val="24"/>
        </w:rPr>
        <w:t>–</w:t>
      </w:r>
      <w:r w:rsidRPr="00FE30DC">
        <w:rPr>
          <w:rFonts w:ascii="Times New Roman" w:hAnsi="Times New Roman" w:cs="Times New Roman"/>
          <w:szCs w:val="24"/>
        </w:rPr>
        <w:t xml:space="preserve"> na dzień nie wcześniej</w:t>
      </w:r>
      <w:r w:rsidR="00382232">
        <w:rPr>
          <w:rFonts w:ascii="Times New Roman" w:hAnsi="Times New Roman" w:cs="Times New Roman"/>
          <w:szCs w:val="24"/>
        </w:rPr>
        <w:t>szy niż 31 grudnia 2022 r.;</w:t>
      </w:r>
    </w:p>
    <w:p w14:paraId="13C174CE" w14:textId="19C0E0E6" w:rsidR="00B142B8" w:rsidRPr="00FE30DC" w:rsidRDefault="00B142B8" w:rsidP="00FE30DC">
      <w:pPr>
        <w:pStyle w:val="ZPKTzmpktartykuempunktem"/>
        <w:spacing w:before="120"/>
        <w:ind w:left="567"/>
        <w:rPr>
          <w:rFonts w:ascii="Times New Roman" w:hAnsi="Times New Roman" w:cs="Times New Roman"/>
          <w:szCs w:val="24"/>
        </w:rPr>
      </w:pPr>
      <w:r w:rsidRPr="00FE30DC">
        <w:rPr>
          <w:rFonts w:ascii="Times New Roman" w:hAnsi="Times New Roman" w:cs="Times New Roman"/>
          <w:szCs w:val="24"/>
        </w:rPr>
        <w:t>2)</w:t>
      </w:r>
      <w:r w:rsidRPr="00FE30DC">
        <w:rPr>
          <w:rFonts w:ascii="Times New Roman" w:hAnsi="Times New Roman" w:cs="Times New Roman"/>
          <w:szCs w:val="24"/>
        </w:rPr>
        <w:tab/>
        <w:t>w okresie od dnia przeniesienia własności nieruchomości do dnia jej wydania, zbywca uprawniony jest do korzystania z nieruchomości, w tym pobierania z niej pożytków, na warunkach szczegółowo określonych w umowie;</w:t>
      </w:r>
    </w:p>
    <w:p w14:paraId="7FAACDC3" w14:textId="228E588C" w:rsidR="00B142B8" w:rsidRPr="00FE30DC" w:rsidRDefault="00B142B8" w:rsidP="00FE30DC">
      <w:pPr>
        <w:pStyle w:val="ZPKTzmpktartykuempunktem"/>
        <w:spacing w:before="120"/>
        <w:ind w:left="567"/>
        <w:rPr>
          <w:rFonts w:ascii="Times New Roman" w:hAnsi="Times New Roman" w:cs="Times New Roman"/>
          <w:szCs w:val="24"/>
        </w:rPr>
      </w:pPr>
      <w:r w:rsidRPr="00FE30DC">
        <w:rPr>
          <w:rFonts w:ascii="Times New Roman" w:hAnsi="Times New Roman" w:cs="Times New Roman"/>
          <w:szCs w:val="24"/>
        </w:rPr>
        <w:t>3)</w:t>
      </w:r>
      <w:r w:rsidRPr="00FE30DC">
        <w:rPr>
          <w:rFonts w:ascii="Times New Roman" w:hAnsi="Times New Roman" w:cs="Times New Roman"/>
          <w:szCs w:val="24"/>
        </w:rPr>
        <w:tab/>
        <w:t>na żądanie Spółki Celowej w umowie zawiera się zobowiązanie zbywcy do nieodpłatnego udostępnienia nieruchomości Spółce Celowej w</w:t>
      </w:r>
      <w:r w:rsidR="00015901">
        <w:rPr>
          <w:rFonts w:ascii="Times New Roman" w:hAnsi="Times New Roman" w:cs="Times New Roman"/>
          <w:szCs w:val="24"/>
        </w:rPr>
        <w:t xml:space="preserve"> </w:t>
      </w:r>
      <w:r w:rsidRPr="00FE30DC">
        <w:rPr>
          <w:rFonts w:ascii="Times New Roman" w:hAnsi="Times New Roman" w:cs="Times New Roman"/>
          <w:szCs w:val="24"/>
        </w:rPr>
        <w:t>przypadku konieczności przeprowadzenia badań przyrodniczych lub badań i</w:t>
      </w:r>
      <w:r w:rsidR="0065395B" w:rsidRPr="00FE30DC">
        <w:rPr>
          <w:rFonts w:ascii="Times New Roman" w:hAnsi="Times New Roman" w:cs="Times New Roman"/>
          <w:szCs w:val="24"/>
        </w:rPr>
        <w:t> </w:t>
      </w:r>
      <w:r w:rsidRPr="00FE30DC">
        <w:rPr>
          <w:rFonts w:ascii="Times New Roman" w:hAnsi="Times New Roman" w:cs="Times New Roman"/>
          <w:szCs w:val="24"/>
        </w:rPr>
        <w:t xml:space="preserve">pomiarów niezbędnych do </w:t>
      </w:r>
      <w:r w:rsidRPr="00FE30DC">
        <w:rPr>
          <w:rFonts w:ascii="Times New Roman" w:hAnsi="Times New Roman" w:cs="Times New Roman"/>
          <w:szCs w:val="24"/>
        </w:rPr>
        <w:lastRenderedPageBreak/>
        <w:t>przygotowania i realizacji Inwestycji albo Inwestycji Towarzyszącej, w</w:t>
      </w:r>
      <w:r w:rsidR="0065395B" w:rsidRPr="00FE30DC">
        <w:rPr>
          <w:rFonts w:ascii="Times New Roman" w:hAnsi="Times New Roman" w:cs="Times New Roman"/>
          <w:szCs w:val="24"/>
        </w:rPr>
        <w:t> </w:t>
      </w:r>
      <w:r w:rsidRPr="00FE30DC">
        <w:rPr>
          <w:rFonts w:ascii="Times New Roman" w:hAnsi="Times New Roman" w:cs="Times New Roman"/>
          <w:szCs w:val="24"/>
        </w:rPr>
        <w:t>szczególności badań archeologicznych, konserwatorskich, prac geologicznych, oraz ustalania geotechnicznych warunków posad</w:t>
      </w:r>
      <w:r w:rsidR="000B3E12" w:rsidRPr="00FE30DC">
        <w:rPr>
          <w:rFonts w:ascii="Times New Roman" w:hAnsi="Times New Roman" w:cs="Times New Roman"/>
          <w:szCs w:val="24"/>
        </w:rPr>
        <w:t>o</w:t>
      </w:r>
      <w:r w:rsidRPr="00FE30DC">
        <w:rPr>
          <w:rFonts w:ascii="Times New Roman" w:hAnsi="Times New Roman" w:cs="Times New Roman"/>
          <w:szCs w:val="24"/>
        </w:rPr>
        <w:t>wi</w:t>
      </w:r>
      <w:r w:rsidR="000B3E12" w:rsidRPr="00FE30DC">
        <w:rPr>
          <w:rFonts w:ascii="Times New Roman" w:hAnsi="Times New Roman" w:cs="Times New Roman"/>
          <w:szCs w:val="24"/>
        </w:rPr>
        <w:t>e</w:t>
      </w:r>
      <w:r w:rsidRPr="00FE30DC">
        <w:rPr>
          <w:rFonts w:ascii="Times New Roman" w:hAnsi="Times New Roman" w:cs="Times New Roman"/>
          <w:szCs w:val="24"/>
        </w:rPr>
        <w:t>nia obiektów budowlanych bez wykonywania prac geologicznych;</w:t>
      </w:r>
    </w:p>
    <w:p w14:paraId="053E398B" w14:textId="1C00BDCF" w:rsidR="00B142B8" w:rsidRPr="00FE30DC" w:rsidRDefault="00B142B8" w:rsidP="00FE30DC">
      <w:pPr>
        <w:pStyle w:val="ZPKTzmpktartykuempunktem"/>
        <w:spacing w:before="120"/>
        <w:ind w:left="567"/>
        <w:rPr>
          <w:rFonts w:ascii="Times New Roman" w:hAnsi="Times New Roman" w:cs="Times New Roman"/>
          <w:szCs w:val="24"/>
        </w:rPr>
      </w:pPr>
      <w:r w:rsidRPr="00FE30DC">
        <w:rPr>
          <w:rFonts w:ascii="Times New Roman" w:hAnsi="Times New Roman" w:cs="Times New Roman"/>
          <w:szCs w:val="24"/>
        </w:rPr>
        <w:t>4)</w:t>
      </w:r>
      <w:r w:rsidRPr="00FE30DC">
        <w:rPr>
          <w:rFonts w:ascii="Times New Roman" w:hAnsi="Times New Roman" w:cs="Times New Roman"/>
          <w:szCs w:val="24"/>
        </w:rPr>
        <w:tab/>
        <w:t>zbywca jest obowiązany do wydania nieruchomości w terminie i w stanie szczegółowo określonych w umowie.</w:t>
      </w:r>
    </w:p>
    <w:p w14:paraId="04FB1267" w14:textId="50358D5D"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W projektowanym art. 29</w:t>
      </w:r>
      <w:r w:rsidR="00437A17" w:rsidRPr="00FE30DC">
        <w:rPr>
          <w:rFonts w:ascii="Times New Roman" w:hAnsi="Times New Roman" w:cs="Times New Roman"/>
          <w:szCs w:val="24"/>
        </w:rPr>
        <w:t>b</w:t>
      </w:r>
      <w:r w:rsidRPr="00FE30DC">
        <w:rPr>
          <w:rFonts w:ascii="Times New Roman" w:hAnsi="Times New Roman" w:cs="Times New Roman"/>
          <w:szCs w:val="24"/>
        </w:rPr>
        <w:t xml:space="preserve"> wprowadza się rozwiązanie mające zabezpieczyć osoby zbywające nieruchomości, które zaprzestały prowadzenia działalności rolniczej. Rozwiązanie to polega na przyznaniu takim osobom renty. Zgodnie z projektowanymi przepisami Spółka Celowa może </w:t>
      </w:r>
      <w:r w:rsidR="000B74B9" w:rsidRPr="00FE30DC">
        <w:rPr>
          <w:rFonts w:ascii="Times New Roman" w:hAnsi="Times New Roman" w:cs="Times New Roman"/>
          <w:szCs w:val="24"/>
        </w:rPr>
        <w:t xml:space="preserve">zawrzeć z </w:t>
      </w:r>
      <w:r w:rsidRPr="00FE30DC">
        <w:rPr>
          <w:rFonts w:ascii="Times New Roman" w:hAnsi="Times New Roman" w:cs="Times New Roman"/>
          <w:szCs w:val="24"/>
        </w:rPr>
        <w:t>osob</w:t>
      </w:r>
      <w:r w:rsidR="000B74B9" w:rsidRPr="00FE30DC">
        <w:rPr>
          <w:rFonts w:ascii="Times New Roman" w:hAnsi="Times New Roman" w:cs="Times New Roman"/>
          <w:szCs w:val="24"/>
        </w:rPr>
        <w:t>ą</w:t>
      </w:r>
      <w:r w:rsidRPr="00FE30DC">
        <w:rPr>
          <w:rFonts w:ascii="Times New Roman" w:hAnsi="Times New Roman" w:cs="Times New Roman"/>
          <w:szCs w:val="24"/>
        </w:rPr>
        <w:t xml:space="preserve"> zbywając</w:t>
      </w:r>
      <w:r w:rsidR="000B74B9" w:rsidRPr="00FE30DC">
        <w:rPr>
          <w:rFonts w:ascii="Times New Roman" w:hAnsi="Times New Roman" w:cs="Times New Roman"/>
          <w:szCs w:val="24"/>
        </w:rPr>
        <w:t>ą</w:t>
      </w:r>
      <w:r w:rsidRPr="00FE30DC">
        <w:rPr>
          <w:rFonts w:ascii="Times New Roman" w:hAnsi="Times New Roman" w:cs="Times New Roman"/>
          <w:szCs w:val="24"/>
        </w:rPr>
        <w:t xml:space="preserve"> nieruchomość </w:t>
      </w:r>
      <w:r w:rsidR="00AC7135" w:rsidRPr="00FE30DC">
        <w:rPr>
          <w:rFonts w:ascii="Times New Roman" w:hAnsi="Times New Roman" w:cs="Times New Roman"/>
          <w:szCs w:val="24"/>
        </w:rPr>
        <w:t>umowę nieodpłatnej renty</w:t>
      </w:r>
      <w:r w:rsidR="00ED3E84" w:rsidRPr="00FE30DC">
        <w:rPr>
          <w:rFonts w:ascii="Times New Roman" w:hAnsi="Times New Roman" w:cs="Times New Roman"/>
          <w:szCs w:val="24"/>
        </w:rPr>
        <w:t xml:space="preserve"> </w:t>
      </w:r>
      <w:r w:rsidR="00FF5BFA">
        <w:rPr>
          <w:rFonts w:ascii="Times New Roman" w:hAnsi="Times New Roman" w:cs="Times New Roman"/>
          <w:szCs w:val="24"/>
        </w:rPr>
        <w:t>w </w:t>
      </w:r>
      <w:r w:rsidRPr="00FE30DC">
        <w:rPr>
          <w:rFonts w:ascii="Times New Roman" w:hAnsi="Times New Roman" w:cs="Times New Roman"/>
          <w:szCs w:val="24"/>
        </w:rPr>
        <w:t>związku z zaprzestaniem prowadzenia działalności rolniczej przez tę osobę.</w:t>
      </w:r>
      <w:r w:rsidR="006B67C5" w:rsidRPr="00FE30DC">
        <w:rPr>
          <w:rFonts w:ascii="Times New Roman" w:hAnsi="Times New Roman" w:cs="Times New Roman"/>
          <w:szCs w:val="24"/>
        </w:rPr>
        <w:t xml:space="preserve"> </w:t>
      </w:r>
      <w:r w:rsidR="00F638DD" w:rsidRPr="00FE30DC">
        <w:rPr>
          <w:rFonts w:ascii="Times New Roman" w:hAnsi="Times New Roman" w:cs="Times New Roman"/>
          <w:szCs w:val="24"/>
        </w:rPr>
        <w:t>Przyznanie renty</w:t>
      </w:r>
      <w:r w:rsidR="00C50598" w:rsidRPr="00FE30DC">
        <w:rPr>
          <w:rFonts w:ascii="Times New Roman" w:hAnsi="Times New Roman" w:cs="Times New Roman"/>
          <w:szCs w:val="24"/>
        </w:rPr>
        <w:t xml:space="preserve"> nie </w:t>
      </w:r>
      <w:r w:rsidR="00773C99" w:rsidRPr="00FE30DC">
        <w:rPr>
          <w:rFonts w:ascii="Times New Roman" w:hAnsi="Times New Roman" w:cs="Times New Roman"/>
          <w:szCs w:val="24"/>
        </w:rPr>
        <w:t xml:space="preserve">może </w:t>
      </w:r>
      <w:r w:rsidR="00C50598" w:rsidRPr="00FE30DC">
        <w:rPr>
          <w:rFonts w:ascii="Times New Roman" w:hAnsi="Times New Roman" w:cs="Times New Roman"/>
          <w:szCs w:val="24"/>
        </w:rPr>
        <w:t>narusza</w:t>
      </w:r>
      <w:r w:rsidR="009E31C6" w:rsidRPr="00FE30DC">
        <w:rPr>
          <w:rFonts w:ascii="Times New Roman" w:hAnsi="Times New Roman" w:cs="Times New Roman"/>
          <w:szCs w:val="24"/>
        </w:rPr>
        <w:t>ć</w:t>
      </w:r>
      <w:r w:rsidR="00C50598" w:rsidRPr="00FE30DC">
        <w:rPr>
          <w:rFonts w:ascii="Times New Roman" w:hAnsi="Times New Roman" w:cs="Times New Roman"/>
          <w:szCs w:val="24"/>
        </w:rPr>
        <w:t xml:space="preserve"> zasad prawidłowej gospodarki w zarządzaniu mieniem państwowym, o których mowa </w:t>
      </w:r>
      <w:r w:rsidR="00386115" w:rsidRPr="00FE30DC">
        <w:rPr>
          <w:rFonts w:ascii="Times New Roman" w:hAnsi="Times New Roman" w:cs="Times New Roman"/>
          <w:szCs w:val="24"/>
        </w:rPr>
        <w:t xml:space="preserve">w </w:t>
      </w:r>
      <w:r w:rsidR="00C50598" w:rsidRPr="00FE30DC">
        <w:rPr>
          <w:rFonts w:ascii="Times New Roman" w:hAnsi="Times New Roman" w:cs="Times New Roman"/>
          <w:szCs w:val="24"/>
        </w:rPr>
        <w:t xml:space="preserve">art. </w:t>
      </w:r>
      <w:r w:rsidR="00967EEE" w:rsidRPr="00FE30DC">
        <w:rPr>
          <w:rFonts w:ascii="Times New Roman" w:hAnsi="Times New Roman" w:cs="Times New Roman"/>
          <w:szCs w:val="24"/>
        </w:rPr>
        <w:t xml:space="preserve">4 ustawy </w:t>
      </w:r>
      <w:r w:rsidR="008C5DEA" w:rsidRPr="00FE30DC">
        <w:rPr>
          <w:rFonts w:ascii="Times New Roman" w:hAnsi="Times New Roman" w:cs="Times New Roman"/>
          <w:szCs w:val="24"/>
        </w:rPr>
        <w:t>z</w:t>
      </w:r>
      <w:r w:rsidR="00C50598" w:rsidRPr="00FE30DC">
        <w:rPr>
          <w:rFonts w:ascii="Times New Roman" w:hAnsi="Times New Roman" w:cs="Times New Roman"/>
          <w:szCs w:val="24"/>
        </w:rPr>
        <w:t xml:space="preserve"> </w:t>
      </w:r>
      <w:r w:rsidR="008C5DEA" w:rsidRPr="00FE30DC">
        <w:rPr>
          <w:rFonts w:ascii="Times New Roman" w:hAnsi="Times New Roman" w:cs="Times New Roman"/>
          <w:szCs w:val="24"/>
        </w:rPr>
        <w:t>dnia 16 grudnia 2016</w:t>
      </w:r>
      <w:r w:rsidR="00C50598" w:rsidRPr="00FE30DC">
        <w:rPr>
          <w:rFonts w:ascii="Times New Roman" w:hAnsi="Times New Roman" w:cs="Times New Roman"/>
          <w:szCs w:val="24"/>
        </w:rPr>
        <w:t xml:space="preserve"> </w:t>
      </w:r>
      <w:r w:rsidR="008C5DEA" w:rsidRPr="00FE30DC">
        <w:rPr>
          <w:rFonts w:ascii="Times New Roman" w:hAnsi="Times New Roman" w:cs="Times New Roman"/>
          <w:szCs w:val="24"/>
        </w:rPr>
        <w:t>r. o zasadach zarządzania mieniem państwowym</w:t>
      </w:r>
      <w:r w:rsidR="009E31C6" w:rsidRPr="00FE30DC">
        <w:rPr>
          <w:rFonts w:ascii="Times New Roman" w:hAnsi="Times New Roman" w:cs="Times New Roman"/>
          <w:szCs w:val="24"/>
        </w:rPr>
        <w:t>.</w:t>
      </w:r>
      <w:r w:rsidR="006D1E82" w:rsidRPr="00FE30DC">
        <w:rPr>
          <w:rFonts w:ascii="Times New Roman" w:hAnsi="Times New Roman" w:cs="Times New Roman"/>
          <w:szCs w:val="24"/>
        </w:rPr>
        <w:t xml:space="preserve"> </w:t>
      </w:r>
      <w:r w:rsidRPr="00FE30DC">
        <w:rPr>
          <w:rFonts w:ascii="Times New Roman" w:hAnsi="Times New Roman" w:cs="Times New Roman"/>
          <w:szCs w:val="24"/>
        </w:rPr>
        <w:t>Warunkiem ustanowienia renty jest nabycie przez Spółkę Celową nieruchomoś</w:t>
      </w:r>
      <w:r w:rsidR="002B1E3E" w:rsidRPr="00FE30DC">
        <w:rPr>
          <w:rFonts w:ascii="Times New Roman" w:hAnsi="Times New Roman" w:cs="Times New Roman"/>
          <w:szCs w:val="24"/>
        </w:rPr>
        <w:t>ci</w:t>
      </w:r>
      <w:r w:rsidRPr="00FE30DC">
        <w:rPr>
          <w:rFonts w:ascii="Times New Roman" w:hAnsi="Times New Roman" w:cs="Times New Roman"/>
          <w:szCs w:val="24"/>
        </w:rPr>
        <w:t xml:space="preserve"> po cenie równej wartoś</w:t>
      </w:r>
      <w:r w:rsidR="00C01A1B" w:rsidRPr="00FE30DC">
        <w:rPr>
          <w:rFonts w:ascii="Times New Roman" w:hAnsi="Times New Roman" w:cs="Times New Roman"/>
          <w:szCs w:val="24"/>
        </w:rPr>
        <w:t>ci</w:t>
      </w:r>
      <w:r w:rsidRPr="00FE30DC">
        <w:rPr>
          <w:rFonts w:ascii="Times New Roman" w:hAnsi="Times New Roman" w:cs="Times New Roman"/>
          <w:szCs w:val="24"/>
        </w:rPr>
        <w:t xml:space="preserve"> tej nieruchomości, określonej zgodnie z przepisami o gospodarce nieruchomościami. Renta może być ustanowiona dla osoby, która w dniu 30</w:t>
      </w:r>
      <w:r w:rsidR="00FE40F8" w:rsidRPr="00FE30DC">
        <w:rPr>
          <w:rFonts w:ascii="Times New Roman" w:hAnsi="Times New Roman" w:cs="Times New Roman"/>
          <w:szCs w:val="24"/>
        </w:rPr>
        <w:t> </w:t>
      </w:r>
      <w:r w:rsidRPr="00FE30DC">
        <w:rPr>
          <w:rFonts w:ascii="Times New Roman" w:hAnsi="Times New Roman" w:cs="Times New Roman"/>
          <w:szCs w:val="24"/>
        </w:rPr>
        <w:t>czerwca 2021 r. była właścicielem nieruchomości na obszarze, na którym będą miały zastosowanie szczególne zasady nabywania nieruchomości</w:t>
      </w:r>
      <w:r w:rsidR="00631934">
        <w:rPr>
          <w:rFonts w:ascii="Times New Roman" w:hAnsi="Times New Roman" w:cs="Times New Roman"/>
          <w:szCs w:val="24"/>
        </w:rPr>
        <w:t>,</w:t>
      </w:r>
      <w:r w:rsidR="009A3C2D" w:rsidRPr="00FE30DC">
        <w:rPr>
          <w:rFonts w:ascii="Times New Roman" w:hAnsi="Times New Roman" w:cs="Times New Roman"/>
          <w:szCs w:val="24"/>
        </w:rPr>
        <w:t xml:space="preserve"> oraz która</w:t>
      </w:r>
      <w:r w:rsidRPr="00FE30DC">
        <w:rPr>
          <w:rFonts w:ascii="Times New Roman" w:hAnsi="Times New Roman" w:cs="Times New Roman"/>
          <w:szCs w:val="24"/>
        </w:rPr>
        <w:t xml:space="preserve"> przed zbyciem nieruchomości na rzecz Spółki Celowej podlegała ubezpieczeniu emerytalno-rentowemu jako rolnik określonemu w ustawie z dnia 20 grudnia 1990 r. o ubezpieczeniu społecznym rolników (Dz.</w:t>
      </w:r>
      <w:r w:rsidR="00BD1567" w:rsidRPr="00FE30DC">
        <w:rPr>
          <w:rFonts w:ascii="Times New Roman" w:hAnsi="Times New Roman" w:cs="Times New Roman"/>
          <w:szCs w:val="24"/>
        </w:rPr>
        <w:t> </w:t>
      </w:r>
      <w:r w:rsidRPr="00FE30DC">
        <w:rPr>
          <w:rFonts w:ascii="Times New Roman" w:hAnsi="Times New Roman" w:cs="Times New Roman"/>
          <w:szCs w:val="24"/>
        </w:rPr>
        <w:t xml:space="preserve">U. z </w:t>
      </w:r>
      <w:r w:rsidR="003126BB" w:rsidRPr="00FE30DC">
        <w:rPr>
          <w:rFonts w:ascii="Times New Roman" w:hAnsi="Times New Roman" w:cs="Times New Roman"/>
          <w:szCs w:val="24"/>
        </w:rPr>
        <w:t xml:space="preserve">2022 </w:t>
      </w:r>
      <w:r w:rsidRPr="00FE30DC">
        <w:rPr>
          <w:rFonts w:ascii="Times New Roman" w:hAnsi="Times New Roman" w:cs="Times New Roman"/>
          <w:szCs w:val="24"/>
        </w:rPr>
        <w:t>r. poz</w:t>
      </w:r>
      <w:r w:rsidR="00015901">
        <w:rPr>
          <w:rFonts w:ascii="Times New Roman" w:hAnsi="Times New Roman" w:cs="Times New Roman"/>
          <w:szCs w:val="24"/>
        </w:rPr>
        <w:t xml:space="preserve">. </w:t>
      </w:r>
      <w:r w:rsidR="003126BB" w:rsidRPr="00FE30DC">
        <w:rPr>
          <w:rFonts w:ascii="Times New Roman" w:hAnsi="Times New Roman" w:cs="Times New Roman"/>
          <w:szCs w:val="24"/>
        </w:rPr>
        <w:t>933</w:t>
      </w:r>
      <w:r w:rsidR="00DA5527">
        <w:rPr>
          <w:rFonts w:ascii="Times New Roman" w:hAnsi="Times New Roman" w:cs="Times New Roman"/>
          <w:szCs w:val="24"/>
        </w:rPr>
        <w:t>, z późn. zm.</w:t>
      </w:r>
      <w:r w:rsidRPr="00FE30DC">
        <w:rPr>
          <w:rFonts w:ascii="Times New Roman" w:hAnsi="Times New Roman" w:cs="Times New Roman"/>
          <w:szCs w:val="24"/>
        </w:rPr>
        <w:t xml:space="preserve">) przez okres co najmniej 3 lat oraz zaprzestała prowadzenia działalności rolniczej w związku ze zbyciem nieruchomości na rzecz Spółki Celowej. Warunek zaprzestania prowadzenia działalności rolniczej przez osobę zbywającą nieruchomość uznaje się za spełniony, jeżeli po zbyciu nieruchomości na rzecz Spółki Celowej osoba ta nie jest </w:t>
      </w:r>
      <w:bookmarkStart w:id="5" w:name="_Hlk84890690"/>
      <w:r w:rsidRPr="00FE30DC">
        <w:rPr>
          <w:rFonts w:ascii="Times New Roman" w:hAnsi="Times New Roman" w:cs="Times New Roman"/>
          <w:szCs w:val="24"/>
        </w:rPr>
        <w:t>właścicielem (współwłaścicielem) lub posiadaczem gospodarstwa rolnego w</w:t>
      </w:r>
      <w:r w:rsidR="00AE20F6">
        <w:rPr>
          <w:rFonts w:ascii="Times New Roman" w:hAnsi="Times New Roman" w:cs="Times New Roman"/>
          <w:szCs w:val="24"/>
        </w:rPr>
        <w:t xml:space="preserve"> </w:t>
      </w:r>
      <w:r w:rsidRPr="00FE30DC">
        <w:rPr>
          <w:rFonts w:ascii="Times New Roman" w:hAnsi="Times New Roman" w:cs="Times New Roman"/>
          <w:szCs w:val="24"/>
        </w:rPr>
        <w:t>rozumieniu przepisów o podatku rolnym</w:t>
      </w:r>
      <w:bookmarkEnd w:id="5"/>
      <w:r w:rsidRPr="00FE30DC">
        <w:rPr>
          <w:rFonts w:ascii="Times New Roman" w:hAnsi="Times New Roman" w:cs="Times New Roman"/>
          <w:szCs w:val="24"/>
        </w:rPr>
        <w:t>.</w:t>
      </w:r>
    </w:p>
    <w:p w14:paraId="2EFD9AFD" w14:textId="6315ACED"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 xml:space="preserve">Wysokość renty dla osoby, która nie osiągnęła wieku 55 lat, </w:t>
      </w:r>
      <w:r w:rsidR="008F4FBB" w:rsidRPr="00FE30DC">
        <w:rPr>
          <w:rFonts w:ascii="Times New Roman" w:hAnsi="Times New Roman" w:cs="Times New Roman"/>
          <w:szCs w:val="24"/>
        </w:rPr>
        <w:t xml:space="preserve">jeżeli </w:t>
      </w:r>
      <w:r w:rsidRPr="00FE30DC">
        <w:rPr>
          <w:rFonts w:ascii="Times New Roman" w:hAnsi="Times New Roman" w:cs="Times New Roman"/>
          <w:szCs w:val="24"/>
        </w:rPr>
        <w:t xml:space="preserve">jest kobietą, albo 60 lat, </w:t>
      </w:r>
      <w:r w:rsidR="008F4FBB" w:rsidRPr="00FE30DC">
        <w:rPr>
          <w:rFonts w:ascii="Times New Roman" w:hAnsi="Times New Roman" w:cs="Times New Roman"/>
          <w:szCs w:val="24"/>
        </w:rPr>
        <w:t xml:space="preserve">jeżeli </w:t>
      </w:r>
      <w:r w:rsidRPr="00FE30DC">
        <w:rPr>
          <w:rFonts w:ascii="Times New Roman" w:hAnsi="Times New Roman" w:cs="Times New Roman"/>
          <w:szCs w:val="24"/>
        </w:rPr>
        <w:t>jest mężczyzną</w:t>
      </w:r>
      <w:r w:rsidR="008F4FBB" w:rsidRPr="00FE30DC">
        <w:rPr>
          <w:rFonts w:ascii="Times New Roman" w:hAnsi="Times New Roman" w:cs="Times New Roman"/>
          <w:szCs w:val="24"/>
        </w:rPr>
        <w:t>,</w:t>
      </w:r>
      <w:r w:rsidRPr="00FE30DC">
        <w:rPr>
          <w:rFonts w:ascii="Times New Roman" w:hAnsi="Times New Roman" w:cs="Times New Roman"/>
          <w:szCs w:val="24"/>
        </w:rPr>
        <w:t xml:space="preserve"> stanowi równowartość najniższej emerytury, określonej w</w:t>
      </w:r>
      <w:r w:rsidR="00AE20F6">
        <w:rPr>
          <w:rFonts w:ascii="Times New Roman" w:hAnsi="Times New Roman" w:cs="Times New Roman"/>
          <w:szCs w:val="24"/>
        </w:rPr>
        <w:t xml:space="preserve"> </w:t>
      </w:r>
      <w:r w:rsidR="00FF5BFA">
        <w:rPr>
          <w:rFonts w:ascii="Times New Roman" w:hAnsi="Times New Roman" w:cs="Times New Roman"/>
          <w:szCs w:val="24"/>
        </w:rPr>
        <w:t>ustawie z </w:t>
      </w:r>
      <w:r w:rsidRPr="00FE30DC">
        <w:rPr>
          <w:rFonts w:ascii="Times New Roman" w:hAnsi="Times New Roman" w:cs="Times New Roman"/>
          <w:szCs w:val="24"/>
        </w:rPr>
        <w:t>dnia 17</w:t>
      </w:r>
      <w:r w:rsidR="0065395B" w:rsidRPr="00FE30DC">
        <w:rPr>
          <w:rFonts w:ascii="Times New Roman" w:hAnsi="Times New Roman" w:cs="Times New Roman"/>
          <w:szCs w:val="24"/>
        </w:rPr>
        <w:t> </w:t>
      </w:r>
      <w:r w:rsidRPr="00FE30DC">
        <w:rPr>
          <w:rFonts w:ascii="Times New Roman" w:hAnsi="Times New Roman" w:cs="Times New Roman"/>
          <w:szCs w:val="24"/>
        </w:rPr>
        <w:t>grudnia 1998 r. o emeryturach i rentach z Funduszu Ubezpieczeń Społecznych (Dz. U. z</w:t>
      </w:r>
      <w:r w:rsidR="00FF5BFA">
        <w:rPr>
          <w:rFonts w:ascii="Times New Roman" w:hAnsi="Times New Roman" w:cs="Times New Roman"/>
          <w:szCs w:val="24"/>
        </w:rPr>
        <w:t xml:space="preserve"> </w:t>
      </w:r>
      <w:r w:rsidRPr="00FE30DC">
        <w:rPr>
          <w:rFonts w:ascii="Times New Roman" w:hAnsi="Times New Roman" w:cs="Times New Roman"/>
          <w:szCs w:val="24"/>
        </w:rPr>
        <w:t>202</w:t>
      </w:r>
      <w:r w:rsidR="009A2914" w:rsidRPr="00FE30DC">
        <w:rPr>
          <w:rFonts w:ascii="Times New Roman" w:hAnsi="Times New Roman" w:cs="Times New Roman"/>
          <w:szCs w:val="24"/>
        </w:rPr>
        <w:t>2</w:t>
      </w:r>
      <w:r w:rsidRPr="00FE30DC">
        <w:rPr>
          <w:rFonts w:ascii="Times New Roman" w:hAnsi="Times New Roman" w:cs="Times New Roman"/>
          <w:szCs w:val="24"/>
        </w:rPr>
        <w:t xml:space="preserve"> r. poz. </w:t>
      </w:r>
      <w:r w:rsidR="009A2914" w:rsidRPr="00FE30DC">
        <w:rPr>
          <w:rFonts w:ascii="Times New Roman" w:hAnsi="Times New Roman" w:cs="Times New Roman"/>
          <w:szCs w:val="24"/>
        </w:rPr>
        <w:t>504</w:t>
      </w:r>
      <w:r w:rsidRPr="00FE30DC">
        <w:rPr>
          <w:rFonts w:ascii="Times New Roman" w:hAnsi="Times New Roman" w:cs="Times New Roman"/>
          <w:szCs w:val="24"/>
        </w:rPr>
        <w:t>). Natomiast wysokość renty dla osoby, która osiągnęła wiek 55</w:t>
      </w:r>
      <w:r w:rsidR="0065395B" w:rsidRPr="00FE30DC">
        <w:rPr>
          <w:rFonts w:ascii="Times New Roman" w:hAnsi="Times New Roman" w:cs="Times New Roman"/>
          <w:szCs w:val="24"/>
        </w:rPr>
        <w:t> </w:t>
      </w:r>
      <w:r w:rsidRPr="00FE30DC">
        <w:rPr>
          <w:rFonts w:ascii="Times New Roman" w:hAnsi="Times New Roman" w:cs="Times New Roman"/>
          <w:szCs w:val="24"/>
        </w:rPr>
        <w:t xml:space="preserve">lat, </w:t>
      </w:r>
      <w:r w:rsidR="008F4FBB" w:rsidRPr="00FE30DC">
        <w:rPr>
          <w:rFonts w:ascii="Times New Roman" w:hAnsi="Times New Roman" w:cs="Times New Roman"/>
          <w:szCs w:val="24"/>
        </w:rPr>
        <w:t xml:space="preserve">jeżeli </w:t>
      </w:r>
      <w:r w:rsidRPr="00FE30DC">
        <w:rPr>
          <w:rFonts w:ascii="Times New Roman" w:hAnsi="Times New Roman" w:cs="Times New Roman"/>
          <w:szCs w:val="24"/>
        </w:rPr>
        <w:t xml:space="preserve">jest kobietą, albo 60 lat, </w:t>
      </w:r>
      <w:r w:rsidR="008F4FBB" w:rsidRPr="00FE30DC">
        <w:rPr>
          <w:rFonts w:ascii="Times New Roman" w:hAnsi="Times New Roman" w:cs="Times New Roman"/>
          <w:szCs w:val="24"/>
        </w:rPr>
        <w:t xml:space="preserve">jeżeli </w:t>
      </w:r>
      <w:r w:rsidRPr="00FE30DC">
        <w:rPr>
          <w:rFonts w:ascii="Times New Roman" w:hAnsi="Times New Roman" w:cs="Times New Roman"/>
          <w:szCs w:val="24"/>
        </w:rPr>
        <w:t>jest mężczyzną</w:t>
      </w:r>
      <w:r w:rsidR="003126BB" w:rsidRPr="00FE30DC">
        <w:rPr>
          <w:rFonts w:ascii="Times New Roman" w:hAnsi="Times New Roman" w:cs="Times New Roman"/>
          <w:szCs w:val="24"/>
        </w:rPr>
        <w:t>,</w:t>
      </w:r>
      <w:r w:rsidRPr="00FE30DC">
        <w:rPr>
          <w:rFonts w:ascii="Times New Roman" w:hAnsi="Times New Roman" w:cs="Times New Roman"/>
          <w:szCs w:val="24"/>
        </w:rPr>
        <w:t xml:space="preserve"> stanowi równowartość minimalnego wynagrodzenia za pracę, ustalanego na podstawie ust</w:t>
      </w:r>
      <w:r w:rsidR="00FF5BFA">
        <w:rPr>
          <w:rFonts w:ascii="Times New Roman" w:hAnsi="Times New Roman" w:cs="Times New Roman"/>
          <w:szCs w:val="24"/>
        </w:rPr>
        <w:t>awy z dnia 10 października 2002 </w:t>
      </w:r>
      <w:r w:rsidRPr="00FE30DC">
        <w:rPr>
          <w:rFonts w:ascii="Times New Roman" w:hAnsi="Times New Roman" w:cs="Times New Roman"/>
          <w:szCs w:val="24"/>
        </w:rPr>
        <w:t>r. o</w:t>
      </w:r>
      <w:r w:rsidR="0065395B" w:rsidRPr="00FE30DC">
        <w:rPr>
          <w:rFonts w:ascii="Times New Roman" w:hAnsi="Times New Roman" w:cs="Times New Roman"/>
          <w:szCs w:val="24"/>
        </w:rPr>
        <w:t> </w:t>
      </w:r>
      <w:r w:rsidRPr="00FE30DC">
        <w:rPr>
          <w:rFonts w:ascii="Times New Roman" w:hAnsi="Times New Roman" w:cs="Times New Roman"/>
          <w:szCs w:val="24"/>
        </w:rPr>
        <w:t>minimalnym wynagrodzeniu za pracę (Dz. U. z 2020 r. poz. 2207).</w:t>
      </w:r>
    </w:p>
    <w:p w14:paraId="522F9DC5" w14:textId="6E82ED7A"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lastRenderedPageBreak/>
        <w:t>Wysokość renty pomniejsza się jednak o wartość emerytury</w:t>
      </w:r>
      <w:r w:rsidR="00760C7E" w:rsidRPr="00FE30DC">
        <w:rPr>
          <w:rFonts w:ascii="Times New Roman" w:hAnsi="Times New Roman" w:cs="Times New Roman"/>
          <w:szCs w:val="24"/>
          <w:lang w:eastAsia="en-US"/>
        </w:rPr>
        <w:t xml:space="preserve"> </w:t>
      </w:r>
      <w:r w:rsidR="00760C7E" w:rsidRPr="00FE30DC">
        <w:rPr>
          <w:rFonts w:ascii="Times New Roman" w:hAnsi="Times New Roman" w:cs="Times New Roman"/>
          <w:szCs w:val="24"/>
        </w:rPr>
        <w:t>lub renty przysługujących na podstawie przepisów o ubezpieczeniu społecznym roln</w:t>
      </w:r>
      <w:r w:rsidR="00FF5BFA">
        <w:rPr>
          <w:rFonts w:ascii="Times New Roman" w:hAnsi="Times New Roman" w:cs="Times New Roman"/>
          <w:szCs w:val="24"/>
        </w:rPr>
        <w:t>ików, przepisów o emeryturach i </w:t>
      </w:r>
      <w:r w:rsidR="00760C7E" w:rsidRPr="00FE30DC">
        <w:rPr>
          <w:rFonts w:ascii="Times New Roman" w:hAnsi="Times New Roman" w:cs="Times New Roman"/>
          <w:szCs w:val="24"/>
        </w:rPr>
        <w:t>rentach z Funduszu Ubezpieczeń Społecznych, przepis</w:t>
      </w:r>
      <w:r w:rsidR="00FF5BFA">
        <w:rPr>
          <w:rFonts w:ascii="Times New Roman" w:hAnsi="Times New Roman" w:cs="Times New Roman"/>
          <w:szCs w:val="24"/>
        </w:rPr>
        <w:t>ów o ubezpieczeniu społecznym z </w:t>
      </w:r>
      <w:r w:rsidR="00760C7E" w:rsidRPr="00FE30DC">
        <w:rPr>
          <w:rFonts w:ascii="Times New Roman" w:hAnsi="Times New Roman" w:cs="Times New Roman"/>
          <w:szCs w:val="24"/>
        </w:rPr>
        <w:t>tytułu wypadków przy pracy i chorób zawodowych lub przepisów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p>
    <w:p w14:paraId="07C481CF" w14:textId="77777777"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Osoba otrzymująca rentę może kontynuować ubezpieczenie zgodnie z przepisami ustawy z dnia 20 grudnia 1990 r. o ubezpieczeniu społecznym rolników dotyczącymi objęcia ubezpieczeniem emerytalno-rentowym na wniosek.</w:t>
      </w:r>
    </w:p>
    <w:p w14:paraId="18B4A39D" w14:textId="41B0C016"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 xml:space="preserve">Renta wygasa z dniem, w którym osoba </w:t>
      </w:r>
      <w:r w:rsidR="00F127FE" w:rsidRPr="00FE30DC">
        <w:rPr>
          <w:rFonts w:ascii="Times New Roman" w:hAnsi="Times New Roman" w:cs="Times New Roman"/>
          <w:szCs w:val="24"/>
        </w:rPr>
        <w:t>na rzecz której została ustanowiona renta</w:t>
      </w:r>
      <w:r w:rsidR="003126BB" w:rsidRPr="00FE30DC">
        <w:rPr>
          <w:rFonts w:ascii="Times New Roman" w:hAnsi="Times New Roman" w:cs="Times New Roman"/>
          <w:szCs w:val="24"/>
        </w:rPr>
        <w:t>,</w:t>
      </w:r>
      <w:r w:rsidRPr="00FE30DC">
        <w:rPr>
          <w:rFonts w:ascii="Times New Roman" w:hAnsi="Times New Roman" w:cs="Times New Roman"/>
          <w:szCs w:val="24"/>
        </w:rPr>
        <w:t xml:space="preserve"> stanie się ponownie właścicielem (współwłaścicielem) lub posiadaczem gospodarstwa </w:t>
      </w:r>
      <w:r w:rsidR="00FF5BFA">
        <w:rPr>
          <w:rFonts w:ascii="Times New Roman" w:hAnsi="Times New Roman" w:cs="Times New Roman"/>
          <w:szCs w:val="24"/>
        </w:rPr>
        <w:t>rolnego w </w:t>
      </w:r>
      <w:r w:rsidRPr="00FE30DC">
        <w:rPr>
          <w:rFonts w:ascii="Times New Roman" w:hAnsi="Times New Roman" w:cs="Times New Roman"/>
          <w:szCs w:val="24"/>
        </w:rPr>
        <w:t>rozumieniu przepisów o podatku rolnym.</w:t>
      </w:r>
      <w:r w:rsidR="000947DC" w:rsidRPr="00FE30DC">
        <w:rPr>
          <w:rFonts w:ascii="Times New Roman" w:hAnsi="Times New Roman" w:cs="Times New Roman"/>
          <w:szCs w:val="24"/>
        </w:rPr>
        <w:t xml:space="preserve"> W takim </w:t>
      </w:r>
      <w:r w:rsidR="00947FBD" w:rsidRPr="00FE30DC">
        <w:rPr>
          <w:rFonts w:ascii="Times New Roman" w:hAnsi="Times New Roman" w:cs="Times New Roman"/>
          <w:szCs w:val="24"/>
        </w:rPr>
        <w:t>p</w:t>
      </w:r>
      <w:r w:rsidR="000947DC" w:rsidRPr="00FE30DC">
        <w:rPr>
          <w:rFonts w:ascii="Times New Roman" w:hAnsi="Times New Roman" w:cs="Times New Roman"/>
          <w:szCs w:val="24"/>
        </w:rPr>
        <w:t xml:space="preserve">rzypadku Spółka Celowa </w:t>
      </w:r>
      <w:r w:rsidR="00947FBD" w:rsidRPr="00FE30DC">
        <w:rPr>
          <w:rFonts w:ascii="Times New Roman" w:hAnsi="Times New Roman" w:cs="Times New Roman"/>
          <w:szCs w:val="24"/>
        </w:rPr>
        <w:t>niezwłocznie wypowiada umowę renty, ze skutkiem od dnia wygaśnięcia renty.</w:t>
      </w:r>
    </w:p>
    <w:p w14:paraId="64F58777" w14:textId="77777777"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Należy zauważyć, że konstrukcja renty cywilnej stanowi jedynie swoisty „zamiennik” innych rozwiązań zmierzających do realizacji zasady sprawiedliwości społecznej zawartych w projekcie ustawy. Warunkiem jej przyznania jest przede wszystkim zbycie nieruchomości na rzecz Spółki Celowej za cenę równą wartości tej nieruchomości. Nie mogą być zatem brane pod uwagę wyżej opisane zasady ustalania. Renta niejako zastępuje wszelkiego typu wartości dodatkowe. Zatem tak jak w przypadku zasad ustalania ceny normy dotyczące przyznania renty kierowane są do Spółki – przyznając jej takie uprawnienie. Natomiast nie stanowią narzędzia kierowanego do osób zbywających nieruchomości. Spółka ma pełną dobrowolność w zakresie ustanawiania takiej renty.</w:t>
      </w:r>
    </w:p>
    <w:p w14:paraId="3A5ABA5F" w14:textId="2FDD4221" w:rsidR="00B142B8" w:rsidRPr="00FE30DC" w:rsidRDefault="00B142B8" w:rsidP="00FE30DC">
      <w:pPr>
        <w:pStyle w:val="ZARTzmartartykuempunktem"/>
        <w:spacing w:before="120"/>
        <w:ind w:left="0" w:firstLine="0"/>
        <w:rPr>
          <w:rFonts w:ascii="Times New Roman" w:hAnsi="Times New Roman" w:cs="Times New Roman"/>
          <w:szCs w:val="24"/>
        </w:rPr>
      </w:pPr>
      <w:r w:rsidRPr="00FE30DC">
        <w:rPr>
          <w:rFonts w:ascii="Times New Roman" w:hAnsi="Times New Roman" w:cs="Times New Roman"/>
          <w:szCs w:val="24"/>
        </w:rPr>
        <w:t>Podsumowując w tym miejscu przesłanki wprowadzenia zasad nabywania nieruchomości w oparciu o wyżej omówione przepisy</w:t>
      </w:r>
      <w:r w:rsidR="008F4FBB" w:rsidRPr="00FE30DC">
        <w:rPr>
          <w:rFonts w:ascii="Times New Roman" w:hAnsi="Times New Roman" w:cs="Times New Roman"/>
          <w:szCs w:val="24"/>
        </w:rPr>
        <w:t>,</w:t>
      </w:r>
      <w:r w:rsidRPr="00FE30DC">
        <w:rPr>
          <w:rFonts w:ascii="Times New Roman" w:hAnsi="Times New Roman" w:cs="Times New Roman"/>
          <w:szCs w:val="24"/>
        </w:rPr>
        <w:t xml:space="preserve"> należy zwrócić uwagę, że będą one służyły docelowo realizacji Inwestycji CPK. Warto zatem zwrócić uwagę na specyfikę tej inwestycji, właśnie w aspekcie nabywania nieruchomości. Wynika ona nie tyle z doniosłego znaczenia dla gospodarki kraju czy danej gałęzi transportu, co z charakteru punktowego oraz ogromnego obszaru tej inwestycji. W przeciwieństwie do inwestycji liniowych występuje tutaj bardzo wyjątkowa sytuacja, gdy działania dotyczące tylko samego lotniska będą podejmowane na bardzo rozległym obszarze (ponad 40 ha), leżącym na terenie styku trzech gmin. Co za tym </w:t>
      </w:r>
      <w:r w:rsidRPr="00FE30DC">
        <w:rPr>
          <w:rFonts w:ascii="Times New Roman" w:hAnsi="Times New Roman" w:cs="Times New Roman"/>
          <w:szCs w:val="24"/>
        </w:rPr>
        <w:lastRenderedPageBreak/>
        <w:t xml:space="preserve">idzie, </w:t>
      </w:r>
      <w:r w:rsidR="00631934">
        <w:rPr>
          <w:rFonts w:ascii="Times New Roman" w:hAnsi="Times New Roman" w:cs="Times New Roman"/>
          <w:szCs w:val="24"/>
        </w:rPr>
        <w:t>liczba</w:t>
      </w:r>
      <w:r w:rsidRPr="00FE30DC">
        <w:rPr>
          <w:rFonts w:ascii="Times New Roman" w:hAnsi="Times New Roman" w:cs="Times New Roman"/>
          <w:szCs w:val="24"/>
        </w:rPr>
        <w:t xml:space="preserve"> osób, na których sytuację życiową (mieszkaniową i zawodową) wpłyną te działania</w:t>
      </w:r>
      <w:r w:rsidR="00E6412F" w:rsidRPr="00FE30DC">
        <w:rPr>
          <w:rFonts w:ascii="Times New Roman" w:hAnsi="Times New Roman" w:cs="Times New Roman"/>
          <w:szCs w:val="24"/>
        </w:rPr>
        <w:t>,</w:t>
      </w:r>
      <w:r w:rsidRPr="00FE30DC">
        <w:rPr>
          <w:rFonts w:ascii="Times New Roman" w:hAnsi="Times New Roman" w:cs="Times New Roman"/>
          <w:szCs w:val="24"/>
        </w:rPr>
        <w:t xml:space="preserve"> jest bezprecedensowa (powyżej 1100 osób). W związku z tym konieczne jest podjęcie wszelkich możliwych działań pozwalających na wcześniejsze rozpoczęcie poszukiwań nowych ośrodków życiowych przez tak dużą liczbę osób (całych rodzin). Zaproponowane rozwiązania mają zatem stworzyć mechanizm, który z jednej strony zapewni sukcesywne obejmowanie nieruchomości przez Spółkę Celową, ale co najważniejsze, zapobiegnie skokowemu wzrostowi popytu na nie</w:t>
      </w:r>
      <w:r w:rsidR="00FF5BFA">
        <w:rPr>
          <w:rFonts w:ascii="Times New Roman" w:hAnsi="Times New Roman" w:cs="Times New Roman"/>
          <w:szCs w:val="24"/>
        </w:rPr>
        <w:t>ruchomości (głównie rolnicze) w </w:t>
      </w:r>
      <w:r w:rsidRPr="00FE30DC">
        <w:rPr>
          <w:rFonts w:ascii="Times New Roman" w:hAnsi="Times New Roman" w:cs="Times New Roman"/>
          <w:szCs w:val="24"/>
        </w:rPr>
        <w:t xml:space="preserve">niedalekiej odległości od opuszczanych lokalizacji. Mają one również umożliwić uniknięcie kumulacji wszelkich innych działań związanych z przenosinami (jak chociażby obsługa prawna i logistyczna). Z tego względu pewnego rodzaju zróżnicowanie sytuacji osób zamieszkujących tereny objęte obszarem inwestycji </w:t>
      </w:r>
      <w:r w:rsidR="00E6412F" w:rsidRPr="00FE30DC">
        <w:rPr>
          <w:rFonts w:ascii="Times New Roman" w:hAnsi="Times New Roman" w:cs="Times New Roman"/>
          <w:szCs w:val="24"/>
        </w:rPr>
        <w:t xml:space="preserve">jest </w:t>
      </w:r>
      <w:r w:rsidRPr="00FE30DC">
        <w:rPr>
          <w:rFonts w:ascii="Times New Roman" w:hAnsi="Times New Roman" w:cs="Times New Roman"/>
          <w:szCs w:val="24"/>
        </w:rPr>
        <w:t>podyktowane zupełnie niespotykaną skalą relokacji, przy której zastosowanie powszechnych reguł nie tyle miałoby wpływ na realizację inwestycji, co doprowadziłoby do trudnych do przewidzenia następstw w sferze bezpieczeństwa życiowego osób zamieszkujących obszar przyszłej inwestycji.</w:t>
      </w:r>
    </w:p>
    <w:p w14:paraId="1B915ABE" w14:textId="5B8D5B65" w:rsidR="337B822D" w:rsidRPr="00FE30DC" w:rsidRDefault="00B142B8" w:rsidP="00FE30DC">
      <w:pPr>
        <w:pStyle w:val="ZUSTzmustartykuempunktem"/>
        <w:spacing w:before="120" w:line="360" w:lineRule="auto"/>
        <w:ind w:left="0" w:firstLine="0"/>
        <w:rPr>
          <w:rFonts w:ascii="Times New Roman" w:hAnsi="Times New Roman" w:cs="Times New Roman"/>
        </w:rPr>
      </w:pPr>
      <w:r w:rsidRPr="00FE30DC">
        <w:rPr>
          <w:rFonts w:ascii="Times New Roman" w:hAnsi="Times New Roman" w:cs="Times New Roman"/>
        </w:rPr>
        <w:t xml:space="preserve">Dodatkowo w zakresie rozważania celowości sformułowania regulacji dotyczących renty, warto uwzględnić charakterystykę społeczną obszaru Inwestycji. Należy mieć na względzie, że najpowszechniejszą na tym obszarze jest działalności rolnicza. Dlatego też propozycje ustawowe mają za zadanie wesprzeć tę grupę społeczną, która będzie najbardziej dotknięta relokacją. Co warte podkreślenia, w przypadku rolników zbycie nieruchomości, na której była prowadzona działalność, w większości przypadków oznacza również utratę jedynego źródła utrzymania (czasami </w:t>
      </w:r>
      <w:r w:rsidR="003126BB" w:rsidRPr="00FE30DC">
        <w:rPr>
          <w:rFonts w:ascii="Times New Roman" w:hAnsi="Times New Roman" w:cs="Times New Roman"/>
        </w:rPr>
        <w:t xml:space="preserve">dla </w:t>
      </w:r>
      <w:r w:rsidRPr="00FE30DC">
        <w:rPr>
          <w:rFonts w:ascii="Times New Roman" w:hAnsi="Times New Roman" w:cs="Times New Roman"/>
        </w:rPr>
        <w:t xml:space="preserve">całej rodziny). Z tego względu </w:t>
      </w:r>
      <w:r w:rsidR="00E6412F" w:rsidRPr="00FE30DC">
        <w:rPr>
          <w:rFonts w:ascii="Times New Roman" w:hAnsi="Times New Roman" w:cs="Times New Roman"/>
        </w:rPr>
        <w:t xml:space="preserve">jest </w:t>
      </w:r>
      <w:r w:rsidRPr="00FE30DC">
        <w:rPr>
          <w:rFonts w:ascii="Times New Roman" w:hAnsi="Times New Roman" w:cs="Times New Roman"/>
        </w:rPr>
        <w:t xml:space="preserve">konieczne przygotowanie rozwiązań, które zaradziłyby tak poważnym zmianom społecznym. </w:t>
      </w:r>
      <w:r w:rsidR="00E8371B" w:rsidRPr="00FE30DC">
        <w:rPr>
          <w:rFonts w:ascii="Times New Roman" w:hAnsi="Times New Roman" w:cs="Times New Roman"/>
        </w:rPr>
        <w:t xml:space="preserve">Projektowane rozwiązania </w:t>
      </w:r>
      <w:r w:rsidR="00E6412F" w:rsidRPr="00FE30DC">
        <w:rPr>
          <w:rFonts w:ascii="Times New Roman" w:hAnsi="Times New Roman" w:cs="Times New Roman"/>
        </w:rPr>
        <w:t xml:space="preserve">są </w:t>
      </w:r>
      <w:r w:rsidR="00E8371B" w:rsidRPr="00FE30DC">
        <w:rPr>
          <w:rFonts w:ascii="Times New Roman" w:hAnsi="Times New Roman" w:cs="Times New Roman"/>
        </w:rPr>
        <w:t>skierowane zatem do osób, które realnie odczują skutki prowadzonych działań inwestycyjnych – faktycznie prowadziły działalność rolniczą (były ubezpieczone w KRUS) przez określony czas oraz były właścicielami nieruchomości na przewidywanym obszarze inwestycji w dn</w:t>
      </w:r>
      <w:r w:rsidR="003126BB" w:rsidRPr="00FE30DC">
        <w:rPr>
          <w:rFonts w:ascii="Times New Roman" w:hAnsi="Times New Roman" w:cs="Times New Roman"/>
        </w:rPr>
        <w:t>iu</w:t>
      </w:r>
      <w:r w:rsidR="00E8371B" w:rsidRPr="00FE30DC">
        <w:rPr>
          <w:rFonts w:ascii="Times New Roman" w:hAnsi="Times New Roman" w:cs="Times New Roman"/>
        </w:rPr>
        <w:t xml:space="preserve"> 30 czerwca 2021 r. (już po przyjęciu przez Radę Ministrów rozporządzenia w sprawie  gmin, na terenie których </w:t>
      </w:r>
      <w:r w:rsidR="00E6412F" w:rsidRPr="00FE30DC">
        <w:rPr>
          <w:rFonts w:ascii="Times New Roman" w:hAnsi="Times New Roman" w:cs="Times New Roman"/>
        </w:rPr>
        <w:t xml:space="preserve">będą </w:t>
      </w:r>
      <w:r w:rsidR="00E8371B" w:rsidRPr="00FE30DC">
        <w:rPr>
          <w:rFonts w:ascii="Times New Roman" w:hAnsi="Times New Roman" w:cs="Times New Roman"/>
        </w:rPr>
        <w:t xml:space="preserve">stosowane szczególne zasady gospodarowania nieruchomościami, planowania i zagospodarowania przestrzennego oraz realizacji inwestycji celu publicznego w zakresie Centralnego Portu Komunikacyjnego). </w:t>
      </w:r>
      <w:r w:rsidRPr="00FE30DC">
        <w:rPr>
          <w:rFonts w:ascii="Times New Roman" w:hAnsi="Times New Roman" w:cs="Times New Roman"/>
        </w:rPr>
        <w:t xml:space="preserve">Jednocześnie należy mieć na uwadze, że przepisy projektu </w:t>
      </w:r>
      <w:r w:rsidR="00631934">
        <w:rPr>
          <w:rFonts w:ascii="Times New Roman" w:hAnsi="Times New Roman" w:cs="Times New Roman"/>
        </w:rPr>
        <w:t>–</w:t>
      </w:r>
      <w:r w:rsidRPr="00FE30DC">
        <w:rPr>
          <w:rFonts w:ascii="Times New Roman" w:hAnsi="Times New Roman" w:cs="Times New Roman"/>
        </w:rPr>
        <w:t xml:space="preserve"> formułując możliwość przyznania renty przez Spółkę </w:t>
      </w:r>
      <w:r w:rsidR="00631934">
        <w:rPr>
          <w:rFonts w:ascii="Times New Roman" w:hAnsi="Times New Roman" w:cs="Times New Roman"/>
        </w:rPr>
        <w:t>–</w:t>
      </w:r>
      <w:r w:rsidRPr="00FE30DC">
        <w:rPr>
          <w:rFonts w:ascii="Times New Roman" w:hAnsi="Times New Roman" w:cs="Times New Roman"/>
        </w:rPr>
        <w:t xml:space="preserve"> nie wyłączają w</w:t>
      </w:r>
      <w:r w:rsidR="0065395B" w:rsidRPr="00FE30DC">
        <w:rPr>
          <w:rFonts w:ascii="Times New Roman" w:hAnsi="Times New Roman" w:cs="Times New Roman"/>
        </w:rPr>
        <w:t> </w:t>
      </w:r>
      <w:r w:rsidRPr="00FE30DC">
        <w:rPr>
          <w:rFonts w:ascii="Times New Roman" w:hAnsi="Times New Roman" w:cs="Times New Roman"/>
        </w:rPr>
        <w:t>żadnym wypadku stosowania zasad ogólnych wydatkowania środków Spółki. Każdorazowa transakcja, w której osobie zbywającej zostanie zaproponowana renta, będzie podlegać badaniu pod względem</w:t>
      </w:r>
      <w:r w:rsidR="00F63E04" w:rsidRPr="00FE30DC">
        <w:rPr>
          <w:rFonts w:ascii="Times New Roman" w:hAnsi="Times New Roman" w:cs="Times New Roman"/>
        </w:rPr>
        <w:t xml:space="preserve"> zgodności z za</w:t>
      </w:r>
      <w:r w:rsidR="00FF5BFA">
        <w:rPr>
          <w:rFonts w:ascii="Times New Roman" w:hAnsi="Times New Roman" w:cs="Times New Roman"/>
        </w:rPr>
        <w:t xml:space="preserve">sadami prawidłowej gospodarki </w:t>
      </w:r>
      <w:r w:rsidR="00FF5BFA">
        <w:rPr>
          <w:rFonts w:ascii="Times New Roman" w:hAnsi="Times New Roman" w:cs="Times New Roman"/>
        </w:rPr>
        <w:lastRenderedPageBreak/>
        <w:t>w </w:t>
      </w:r>
      <w:r w:rsidR="00F63E04" w:rsidRPr="00FE30DC">
        <w:rPr>
          <w:rFonts w:ascii="Times New Roman" w:hAnsi="Times New Roman" w:cs="Times New Roman"/>
        </w:rPr>
        <w:t>zarządzaniu mieniem państwowym</w:t>
      </w:r>
      <w:r w:rsidRPr="00FE30DC">
        <w:rPr>
          <w:rFonts w:ascii="Times New Roman" w:hAnsi="Times New Roman" w:cs="Times New Roman"/>
        </w:rPr>
        <w:t>. Jednocześnie należy mieć na uwadze, że przepisy projektu zawierają zasady dotyczące renty – szczegółowe warunki jej przyznania wiążące dla Spółki. Podkreślenia wymaga, że będzie miała ona charakter renty cywilnej, której źródłem będzie umowa zbycia nieruchomości, zatem będą do niej miały zastosowane również ogólne zasady prawa cywilnego. Konkretne rozwiązania, np. moment nabycia, wysokość (uzależniona od wieku osoby uprawnionej), ew. terminy i sposób wypłaty, będą już wynikały z umowy między Spółką a zbywającym nieruchomość.</w:t>
      </w:r>
    </w:p>
    <w:p w14:paraId="7F6BE7EF" w14:textId="671B070D" w:rsidR="003D60CA" w:rsidRPr="00FE30DC" w:rsidRDefault="003D60CA" w:rsidP="00FE30DC">
      <w:pPr>
        <w:pStyle w:val="ZUSTzmustartykuempunktem"/>
        <w:spacing w:before="120" w:line="360" w:lineRule="auto"/>
        <w:ind w:left="0" w:firstLine="0"/>
        <w:rPr>
          <w:rFonts w:ascii="Times New Roman" w:hAnsi="Times New Roman" w:cs="Times New Roman"/>
        </w:rPr>
      </w:pPr>
      <w:r w:rsidRPr="00FE30DC">
        <w:rPr>
          <w:rFonts w:ascii="Times New Roman" w:hAnsi="Times New Roman" w:cs="Times New Roman"/>
        </w:rPr>
        <w:t>Dodatkowo w ustawie o CPK wprowadzono również zmiany wynikowe w zakresie przepisów regulujących sposób określenia odszkodowania za wywłaszczenie nieruchomości:</w:t>
      </w:r>
    </w:p>
    <w:p w14:paraId="12EA656D" w14:textId="3F60BCE6" w:rsidR="003D60CA" w:rsidRPr="00FE30DC" w:rsidRDefault="00823A4D" w:rsidP="00FE30DC">
      <w:pPr>
        <w:pStyle w:val="ZUSTzmustartykuempunktem"/>
        <w:numPr>
          <w:ilvl w:val="0"/>
          <w:numId w:val="9"/>
        </w:numPr>
        <w:spacing w:before="120" w:line="360" w:lineRule="auto"/>
        <w:rPr>
          <w:rFonts w:ascii="Times New Roman" w:hAnsi="Times New Roman" w:cs="Times New Roman"/>
        </w:rPr>
      </w:pPr>
      <w:r w:rsidRPr="00FE30DC">
        <w:rPr>
          <w:rFonts w:ascii="Times New Roman" w:hAnsi="Times New Roman" w:cs="Times New Roman"/>
        </w:rPr>
        <w:t>w art. 46 w ust. 2 uchylono pkt 4 – usuwając z zawiadomienia o wydaniu decyzji lokalizacyjnej pouczenie o uprawnieniu do uzyskania przez właściciela nieruchomości bonusu w postaci 10</w:t>
      </w:r>
      <w:r w:rsidR="00631934">
        <w:rPr>
          <w:rFonts w:ascii="Times New Roman" w:hAnsi="Times New Roman" w:cs="Times New Roman"/>
        </w:rPr>
        <w:t xml:space="preserve"> </w:t>
      </w:r>
      <w:r w:rsidRPr="00FE30DC">
        <w:rPr>
          <w:rFonts w:ascii="Times New Roman" w:hAnsi="Times New Roman" w:cs="Times New Roman"/>
        </w:rPr>
        <w:t>000 zł w przypadku nieruchomości zabudowanej budynkiem mieszkalnym lub budynkiem, w którym został wyodrębniony przynajmniej jeden lokal mieszkalny – wobec usunięcia tego bonusu ze wszystkich specustaw</w:t>
      </w:r>
      <w:r w:rsidR="00631934">
        <w:rPr>
          <w:rFonts w:ascii="Times New Roman" w:hAnsi="Times New Roman" w:cs="Times New Roman"/>
        </w:rPr>
        <w:t>,</w:t>
      </w:r>
    </w:p>
    <w:p w14:paraId="71AF2CB5" w14:textId="7D3B8E41" w:rsidR="00631934" w:rsidRDefault="00823A4D" w:rsidP="00AE20F6">
      <w:pPr>
        <w:pStyle w:val="ZUSTzmustartykuempunktem"/>
        <w:numPr>
          <w:ilvl w:val="0"/>
          <w:numId w:val="9"/>
        </w:numPr>
        <w:spacing w:before="120" w:line="360" w:lineRule="auto"/>
        <w:rPr>
          <w:rFonts w:ascii="Times New Roman" w:hAnsi="Times New Roman" w:cs="Times New Roman"/>
        </w:rPr>
      </w:pPr>
      <w:r w:rsidRPr="00FE30DC">
        <w:rPr>
          <w:rFonts w:ascii="Times New Roman" w:hAnsi="Times New Roman" w:cs="Times New Roman"/>
        </w:rPr>
        <w:t>w art. 58 ust. 1 zmodyfikowano brzmienie do zmian systemowych, wprowadzając zastrzeżenia dotyczące zwiększenia wysokości odszkodowania w stosunku do wartości wywłaszczanych praw do nieruchomości</w:t>
      </w:r>
      <w:r w:rsidR="00631934">
        <w:rPr>
          <w:rFonts w:ascii="Times New Roman" w:hAnsi="Times New Roman" w:cs="Times New Roman"/>
        </w:rPr>
        <w:t>,</w:t>
      </w:r>
      <w:r w:rsidR="001632DE" w:rsidRPr="00FE30DC">
        <w:rPr>
          <w:rFonts w:ascii="Times New Roman" w:hAnsi="Times New Roman" w:cs="Times New Roman"/>
        </w:rPr>
        <w:t xml:space="preserve"> </w:t>
      </w:r>
    </w:p>
    <w:p w14:paraId="5E5DC524" w14:textId="0C429733" w:rsidR="00823A4D" w:rsidRPr="00AE20F6" w:rsidRDefault="00823A4D" w:rsidP="00AE20F6">
      <w:pPr>
        <w:pStyle w:val="ZUSTzmustartykuempunktem"/>
        <w:numPr>
          <w:ilvl w:val="0"/>
          <w:numId w:val="9"/>
        </w:numPr>
        <w:spacing w:before="120" w:line="360" w:lineRule="auto"/>
        <w:rPr>
          <w:rFonts w:ascii="Times New Roman" w:hAnsi="Times New Roman" w:cs="Times New Roman"/>
        </w:rPr>
      </w:pPr>
      <w:r w:rsidRPr="00FE30DC">
        <w:rPr>
          <w:rFonts w:ascii="Times New Roman" w:hAnsi="Times New Roman" w:cs="Times New Roman"/>
        </w:rPr>
        <w:t>w art. 61 uchylono ust. 2 oraz 4</w:t>
      </w:r>
      <w:r w:rsidR="00AE20F6">
        <w:rPr>
          <w:rFonts w:ascii="Times New Roman" w:hAnsi="Times New Roman" w:cs="Times New Roman"/>
        </w:rPr>
        <w:t>–</w:t>
      </w:r>
      <w:r w:rsidRPr="00AE20F6">
        <w:rPr>
          <w:rFonts w:ascii="Times New Roman" w:hAnsi="Times New Roman" w:cs="Times New Roman"/>
        </w:rPr>
        <w:t xml:space="preserve">6 – kwestie zawarte w tych ustępach, dotyczące sposobu określania wartości nieruchomości, uregulowane są w sposób wyczerpujący w przepisach </w:t>
      </w:r>
      <w:r w:rsidRPr="00AE20F6">
        <w:rPr>
          <w:rFonts w:ascii="Times New Roman" w:hAnsi="Times New Roman" w:cs="Times New Roman"/>
          <w:i/>
          <w:iCs/>
        </w:rPr>
        <w:t>ugn</w:t>
      </w:r>
      <w:r w:rsidRPr="00AE20F6">
        <w:rPr>
          <w:rFonts w:ascii="Times New Roman" w:hAnsi="Times New Roman" w:cs="Times New Roman"/>
        </w:rPr>
        <w:t>, do których ustawa o CPK odsyła w tym zakresie.</w:t>
      </w:r>
    </w:p>
    <w:p w14:paraId="1E488CBC" w14:textId="77777777" w:rsidR="00823A4D" w:rsidRPr="00FE30DC" w:rsidRDefault="00823A4D" w:rsidP="00FE30DC">
      <w:pPr>
        <w:pStyle w:val="ZUSTzmustartykuempunktem"/>
        <w:spacing w:before="120" w:line="360" w:lineRule="auto"/>
        <w:ind w:left="720" w:firstLine="0"/>
        <w:rPr>
          <w:rFonts w:ascii="Times New Roman" w:hAnsi="Times New Roman" w:cs="Times New Roman"/>
          <w:b/>
          <w:color w:val="000000" w:themeColor="text1"/>
        </w:rPr>
      </w:pPr>
    </w:p>
    <w:p w14:paraId="56BEC78A" w14:textId="1EA4406E" w:rsidR="00405210" w:rsidRPr="00FE30DC" w:rsidRDefault="00F127FE" w:rsidP="00FE30DC">
      <w:pPr>
        <w:pStyle w:val="ZUSTzmustartykuempunktem"/>
        <w:spacing w:before="120" w:line="360" w:lineRule="auto"/>
        <w:ind w:left="720" w:firstLine="0"/>
        <w:rPr>
          <w:rFonts w:ascii="Times New Roman" w:hAnsi="Times New Roman" w:cs="Times New Roman"/>
          <w:b/>
          <w:color w:val="000000" w:themeColor="text1"/>
        </w:rPr>
      </w:pPr>
      <w:r w:rsidRPr="00FE30DC">
        <w:rPr>
          <w:rFonts w:ascii="Times New Roman" w:hAnsi="Times New Roman" w:cs="Times New Roman"/>
          <w:b/>
          <w:color w:val="000000" w:themeColor="text1"/>
        </w:rPr>
        <w:t xml:space="preserve">3.2. </w:t>
      </w:r>
      <w:r w:rsidR="00405210" w:rsidRPr="00FE30DC">
        <w:rPr>
          <w:rFonts w:ascii="Times New Roman" w:hAnsi="Times New Roman" w:cs="Times New Roman"/>
          <w:b/>
          <w:color w:val="000000" w:themeColor="text1"/>
        </w:rPr>
        <w:t>Regulacje podatkowe</w:t>
      </w:r>
    </w:p>
    <w:p w14:paraId="741F8251" w14:textId="43941CEF" w:rsidR="00BD390E" w:rsidRPr="00FE30DC" w:rsidRDefault="00FB4AC8" w:rsidP="00FE30DC">
      <w:pPr>
        <w:suppressAutoHyphens/>
        <w:spacing w:before="120" w:after="0" w:line="360" w:lineRule="auto"/>
        <w:jc w:val="both"/>
        <w:rPr>
          <w:rFonts w:ascii="Times New Roman" w:hAnsi="Times New Roman" w:cs="Times New Roman"/>
          <w:color w:val="000000" w:themeColor="text1"/>
          <w:sz w:val="24"/>
          <w:szCs w:val="24"/>
        </w:rPr>
      </w:pPr>
      <w:r w:rsidRPr="00FE30DC">
        <w:rPr>
          <w:rFonts w:ascii="Times New Roman" w:hAnsi="Times New Roman" w:cs="Times New Roman"/>
          <w:color w:val="000000" w:themeColor="text1"/>
          <w:sz w:val="24"/>
          <w:szCs w:val="24"/>
        </w:rPr>
        <w:t xml:space="preserve">Projektowane przepisy przewidują możliwość </w:t>
      </w:r>
      <w:r w:rsidR="00AE7627" w:rsidRPr="00FE30DC">
        <w:rPr>
          <w:rFonts w:ascii="Times New Roman" w:hAnsi="Times New Roman" w:cs="Times New Roman"/>
          <w:color w:val="000000" w:themeColor="text1"/>
          <w:sz w:val="24"/>
          <w:szCs w:val="24"/>
        </w:rPr>
        <w:t>zawarcia</w:t>
      </w:r>
      <w:r w:rsidRPr="00FE30DC">
        <w:rPr>
          <w:rFonts w:ascii="Times New Roman" w:hAnsi="Times New Roman" w:cs="Times New Roman"/>
          <w:color w:val="000000" w:themeColor="text1"/>
          <w:sz w:val="24"/>
          <w:szCs w:val="24"/>
        </w:rPr>
        <w:t xml:space="preserve"> przez Spółkę Celową</w:t>
      </w:r>
      <w:r w:rsidR="00AE7627" w:rsidRPr="00FE30DC">
        <w:rPr>
          <w:rFonts w:ascii="Times New Roman" w:hAnsi="Times New Roman" w:cs="Times New Roman"/>
          <w:color w:val="000000" w:themeColor="text1"/>
          <w:sz w:val="24"/>
          <w:szCs w:val="24"/>
        </w:rPr>
        <w:t xml:space="preserve"> umowy nieodpłatnej renty </w:t>
      </w:r>
      <w:r w:rsidR="001A5739" w:rsidRPr="00FE30DC">
        <w:rPr>
          <w:rFonts w:ascii="Times New Roman" w:hAnsi="Times New Roman" w:cs="Times New Roman"/>
          <w:color w:val="000000" w:themeColor="text1"/>
          <w:sz w:val="24"/>
          <w:szCs w:val="24"/>
        </w:rPr>
        <w:t>z</w:t>
      </w:r>
      <w:r w:rsidRPr="00FE30DC">
        <w:rPr>
          <w:rFonts w:ascii="Times New Roman" w:hAnsi="Times New Roman" w:cs="Times New Roman"/>
          <w:color w:val="000000" w:themeColor="text1"/>
          <w:sz w:val="24"/>
          <w:szCs w:val="24"/>
        </w:rPr>
        <w:t xml:space="preserve"> os</w:t>
      </w:r>
      <w:r w:rsidR="001A5739" w:rsidRPr="00FE30DC">
        <w:rPr>
          <w:rFonts w:ascii="Times New Roman" w:hAnsi="Times New Roman" w:cs="Times New Roman"/>
          <w:color w:val="000000" w:themeColor="text1"/>
          <w:sz w:val="24"/>
          <w:szCs w:val="24"/>
        </w:rPr>
        <w:t>o</w:t>
      </w:r>
      <w:r w:rsidRPr="00FE30DC">
        <w:rPr>
          <w:rFonts w:ascii="Times New Roman" w:hAnsi="Times New Roman" w:cs="Times New Roman"/>
          <w:color w:val="000000" w:themeColor="text1"/>
          <w:sz w:val="24"/>
          <w:szCs w:val="24"/>
        </w:rPr>
        <w:t>b</w:t>
      </w:r>
      <w:r w:rsidR="001A5739" w:rsidRPr="00FE30DC">
        <w:rPr>
          <w:rFonts w:ascii="Times New Roman" w:hAnsi="Times New Roman" w:cs="Times New Roman"/>
          <w:color w:val="000000" w:themeColor="text1"/>
          <w:sz w:val="24"/>
          <w:szCs w:val="24"/>
        </w:rPr>
        <w:t>ami</w:t>
      </w:r>
      <w:r w:rsidRPr="00FE30DC">
        <w:rPr>
          <w:rFonts w:ascii="Times New Roman" w:hAnsi="Times New Roman" w:cs="Times New Roman"/>
          <w:color w:val="000000" w:themeColor="text1"/>
          <w:sz w:val="24"/>
          <w:szCs w:val="24"/>
        </w:rPr>
        <w:t>, które dokonają zbycia nieruchomości po cenie odpowiadającej jej wartości</w:t>
      </w:r>
      <w:r w:rsidR="000267A2" w:rsidRPr="00FE30DC">
        <w:rPr>
          <w:rFonts w:ascii="Times New Roman" w:hAnsi="Times New Roman" w:cs="Times New Roman"/>
          <w:color w:val="000000" w:themeColor="text1"/>
          <w:sz w:val="24"/>
          <w:szCs w:val="24"/>
        </w:rPr>
        <w:t xml:space="preserve"> </w:t>
      </w:r>
      <w:r w:rsidR="00D413B6" w:rsidRPr="00FE30DC">
        <w:rPr>
          <w:rFonts w:ascii="Times New Roman" w:hAnsi="Times New Roman" w:cs="Times New Roman"/>
          <w:color w:val="000000" w:themeColor="text1"/>
          <w:sz w:val="24"/>
          <w:szCs w:val="24"/>
        </w:rPr>
        <w:t>określonej w op</w:t>
      </w:r>
      <w:r w:rsidR="00EF754B" w:rsidRPr="00FE30DC">
        <w:rPr>
          <w:rFonts w:ascii="Times New Roman" w:hAnsi="Times New Roman" w:cs="Times New Roman"/>
          <w:color w:val="000000" w:themeColor="text1"/>
          <w:sz w:val="24"/>
          <w:szCs w:val="24"/>
        </w:rPr>
        <w:t>eracie szacunkowym</w:t>
      </w:r>
      <w:r w:rsidRPr="00FE30DC">
        <w:rPr>
          <w:rFonts w:ascii="Times New Roman" w:hAnsi="Times New Roman" w:cs="Times New Roman"/>
          <w:color w:val="000000" w:themeColor="text1"/>
          <w:sz w:val="24"/>
          <w:szCs w:val="24"/>
        </w:rPr>
        <w:t xml:space="preserve">. Proponowane świadczenia ze strony Spółki Celowej </w:t>
      </w:r>
      <w:r w:rsidR="00E6412F" w:rsidRPr="00FE30DC">
        <w:rPr>
          <w:rFonts w:ascii="Times New Roman" w:hAnsi="Times New Roman" w:cs="Times New Roman"/>
          <w:color w:val="000000" w:themeColor="text1"/>
          <w:sz w:val="24"/>
          <w:szCs w:val="24"/>
        </w:rPr>
        <w:t xml:space="preserve">są </w:t>
      </w:r>
      <w:r w:rsidRPr="00FE30DC">
        <w:rPr>
          <w:rFonts w:ascii="Times New Roman" w:hAnsi="Times New Roman" w:cs="Times New Roman"/>
          <w:color w:val="000000" w:themeColor="text1"/>
          <w:sz w:val="24"/>
          <w:szCs w:val="24"/>
        </w:rPr>
        <w:t xml:space="preserve">warunkowane zaprzestaniem prowadzenia działalności rolniczej wskutek </w:t>
      </w:r>
      <w:r w:rsidR="00EF754B" w:rsidRPr="00FE30DC">
        <w:rPr>
          <w:rFonts w:ascii="Times New Roman" w:hAnsi="Times New Roman" w:cs="Times New Roman"/>
          <w:color w:val="000000" w:themeColor="text1"/>
          <w:sz w:val="24"/>
          <w:szCs w:val="24"/>
        </w:rPr>
        <w:t xml:space="preserve">zbycia nieruchomości, co wiąże się z </w:t>
      </w:r>
      <w:r w:rsidR="00A603EE" w:rsidRPr="00FE30DC">
        <w:rPr>
          <w:rFonts w:ascii="Times New Roman" w:hAnsi="Times New Roman" w:cs="Times New Roman"/>
          <w:color w:val="000000" w:themeColor="text1"/>
          <w:sz w:val="24"/>
          <w:szCs w:val="24"/>
        </w:rPr>
        <w:t xml:space="preserve">zaprzestaniem </w:t>
      </w:r>
      <w:r w:rsidRPr="00FE30DC">
        <w:rPr>
          <w:rFonts w:ascii="Times New Roman" w:hAnsi="Times New Roman" w:cs="Times New Roman"/>
          <w:color w:val="000000" w:themeColor="text1"/>
          <w:sz w:val="24"/>
          <w:szCs w:val="24"/>
        </w:rPr>
        <w:t>zarobkowania</w:t>
      </w:r>
      <w:r w:rsidR="00A603EE" w:rsidRPr="00FE30DC">
        <w:rPr>
          <w:rFonts w:ascii="Times New Roman" w:hAnsi="Times New Roman" w:cs="Times New Roman"/>
          <w:color w:val="000000" w:themeColor="text1"/>
          <w:sz w:val="24"/>
          <w:szCs w:val="24"/>
        </w:rPr>
        <w:t xml:space="preserve"> w związku z prowadzoną działalnością rolniczą.</w:t>
      </w:r>
      <w:r w:rsidR="000456F0" w:rsidRPr="00FE30DC">
        <w:rPr>
          <w:rFonts w:ascii="Times New Roman" w:hAnsi="Times New Roman" w:cs="Times New Roman"/>
          <w:color w:val="000000" w:themeColor="text1"/>
          <w:sz w:val="24"/>
          <w:szCs w:val="24"/>
        </w:rPr>
        <w:t xml:space="preserve"> </w:t>
      </w:r>
      <w:r w:rsidRPr="00FE30DC">
        <w:rPr>
          <w:rFonts w:ascii="Times New Roman" w:hAnsi="Times New Roman" w:cs="Times New Roman"/>
          <w:color w:val="000000" w:themeColor="text1"/>
          <w:sz w:val="24"/>
          <w:szCs w:val="24"/>
        </w:rPr>
        <w:t xml:space="preserve">W celu wyeliminowania potencjalnych wątpliwości interpretacyjnych co do tego, jakie przepisy podatkowe będą miały zastosowanie do renty ustanawianej przez Spółkę Celową, </w:t>
      </w:r>
      <w:r w:rsidR="00E6412F" w:rsidRPr="00FE30DC">
        <w:rPr>
          <w:rFonts w:ascii="Times New Roman" w:hAnsi="Times New Roman" w:cs="Times New Roman"/>
          <w:color w:val="000000" w:themeColor="text1"/>
          <w:sz w:val="24"/>
          <w:szCs w:val="24"/>
        </w:rPr>
        <w:t xml:space="preserve">jest </w:t>
      </w:r>
      <w:r w:rsidRPr="00FE30DC">
        <w:rPr>
          <w:rFonts w:ascii="Times New Roman" w:hAnsi="Times New Roman" w:cs="Times New Roman"/>
          <w:color w:val="000000" w:themeColor="text1"/>
          <w:sz w:val="24"/>
          <w:szCs w:val="24"/>
        </w:rPr>
        <w:t>zasadne wprowadzenie zmiany w us</w:t>
      </w:r>
      <w:r w:rsidR="00FF5BFA">
        <w:rPr>
          <w:rFonts w:ascii="Times New Roman" w:hAnsi="Times New Roman" w:cs="Times New Roman"/>
          <w:color w:val="000000" w:themeColor="text1"/>
          <w:sz w:val="24"/>
          <w:szCs w:val="24"/>
        </w:rPr>
        <w:t>tawie z dnia 28 lipca 1983 r. o </w:t>
      </w:r>
      <w:r w:rsidRPr="00FE30DC">
        <w:rPr>
          <w:rFonts w:ascii="Times New Roman" w:hAnsi="Times New Roman" w:cs="Times New Roman"/>
          <w:color w:val="000000" w:themeColor="text1"/>
          <w:sz w:val="24"/>
          <w:szCs w:val="24"/>
        </w:rPr>
        <w:t xml:space="preserve">podatku od spadków i darowizn polegającej na wyłączeniu z opodatkowania podatkiem od spadków i darowizn przychodów z nieodpłatnej renty, o której mowa w art. 29b ustawy z dnia </w:t>
      </w:r>
      <w:r w:rsidRPr="00FE30DC">
        <w:rPr>
          <w:rFonts w:ascii="Times New Roman" w:hAnsi="Times New Roman" w:cs="Times New Roman"/>
          <w:color w:val="000000" w:themeColor="text1"/>
          <w:sz w:val="24"/>
          <w:szCs w:val="24"/>
        </w:rPr>
        <w:lastRenderedPageBreak/>
        <w:t>10 maja 2018 r. o Centralnym Porcie Komunikacyjnym. Skutkiem tej regulacji będzie, zgodnie z regułą wyrażoną w art. 2 ust. 1 pkt 3 ustawy z dnia 26 lipca 1991 r. o podatku dochodowym od osób fizycznych</w:t>
      </w:r>
      <w:r w:rsidR="005F469A" w:rsidRPr="00FE30DC">
        <w:rPr>
          <w:rFonts w:ascii="Times New Roman" w:hAnsi="Times New Roman" w:cs="Times New Roman"/>
          <w:color w:val="000000" w:themeColor="text1"/>
          <w:sz w:val="24"/>
          <w:szCs w:val="24"/>
        </w:rPr>
        <w:t>,</w:t>
      </w:r>
      <w:r w:rsidRPr="00FE30DC">
        <w:rPr>
          <w:rFonts w:ascii="Times New Roman" w:hAnsi="Times New Roman" w:cs="Times New Roman"/>
          <w:color w:val="000000" w:themeColor="text1"/>
          <w:sz w:val="24"/>
          <w:szCs w:val="24"/>
        </w:rPr>
        <w:t xml:space="preserve"> objęcie jej zakresem przychodów otrzymanych z tytułu renty ustanawianej w trybie omawianej ustawy.</w:t>
      </w:r>
    </w:p>
    <w:p w14:paraId="10564D69" w14:textId="11B9270E" w:rsidR="00855C5E" w:rsidRPr="00FE30DC" w:rsidRDefault="0089392D" w:rsidP="00FE30DC">
      <w:pPr>
        <w:suppressAutoHyphens/>
        <w:spacing w:before="120" w:after="0" w:line="360" w:lineRule="auto"/>
        <w:jc w:val="both"/>
        <w:rPr>
          <w:rFonts w:ascii="Times New Roman" w:hAnsi="Times New Roman" w:cs="Times New Roman"/>
          <w:color w:val="000000" w:themeColor="text1"/>
          <w:sz w:val="24"/>
          <w:szCs w:val="24"/>
        </w:rPr>
      </w:pPr>
      <w:r w:rsidRPr="00FE30DC">
        <w:rPr>
          <w:rFonts w:ascii="Times New Roman" w:hAnsi="Times New Roman" w:cs="Times New Roman"/>
          <w:color w:val="000000" w:themeColor="text1"/>
          <w:sz w:val="24"/>
          <w:szCs w:val="24"/>
        </w:rPr>
        <w:t>Ponadto w</w:t>
      </w:r>
      <w:r w:rsidR="00123E0E" w:rsidRPr="00FE30DC">
        <w:rPr>
          <w:rFonts w:ascii="Times New Roman" w:hAnsi="Times New Roman" w:cs="Times New Roman"/>
          <w:color w:val="000000" w:themeColor="text1"/>
          <w:sz w:val="24"/>
          <w:szCs w:val="24"/>
        </w:rPr>
        <w:t xml:space="preserve"> uzupełnieniu zmian dokonywanych w specustawach inwestycyjnych regulujących </w:t>
      </w:r>
      <w:r w:rsidR="00C7504A" w:rsidRPr="00FE30DC">
        <w:rPr>
          <w:rFonts w:ascii="Times New Roman" w:hAnsi="Times New Roman" w:cs="Times New Roman"/>
          <w:color w:val="000000" w:themeColor="text1"/>
          <w:sz w:val="24"/>
          <w:szCs w:val="24"/>
        </w:rPr>
        <w:t xml:space="preserve">proces inwestycyjno-budowalny inwestycji przesyłowych, naftowych oraz </w:t>
      </w:r>
      <w:r w:rsidR="0062258F" w:rsidRPr="00FE30DC">
        <w:rPr>
          <w:rFonts w:ascii="Times New Roman" w:hAnsi="Times New Roman" w:cs="Times New Roman"/>
          <w:color w:val="000000" w:themeColor="text1"/>
          <w:sz w:val="24"/>
          <w:szCs w:val="24"/>
        </w:rPr>
        <w:t xml:space="preserve">terminalowych dokonano zmiany dotyczącej </w:t>
      </w:r>
      <w:r w:rsidR="001B1DD3" w:rsidRPr="00FE30DC">
        <w:rPr>
          <w:rFonts w:ascii="Times New Roman" w:hAnsi="Times New Roman" w:cs="Times New Roman"/>
          <w:color w:val="000000" w:themeColor="text1"/>
          <w:sz w:val="24"/>
          <w:szCs w:val="24"/>
        </w:rPr>
        <w:t>ustawy z dnia 26 lipca 1991 r. o podatku dochodowym od osób fizycznych, w ramach której zwolniono z tego podatku przychody uzyskane z tytułu odszkodowania</w:t>
      </w:r>
      <w:r w:rsidR="003A6532" w:rsidRPr="00FE30DC">
        <w:rPr>
          <w:rFonts w:ascii="Times New Roman" w:hAnsi="Times New Roman" w:cs="Times New Roman"/>
          <w:color w:val="000000" w:themeColor="text1"/>
          <w:sz w:val="24"/>
          <w:szCs w:val="24"/>
        </w:rPr>
        <w:t xml:space="preserve"> wypłacanego na podstawie</w:t>
      </w:r>
      <w:r w:rsidR="00855C5E" w:rsidRPr="00FE30DC">
        <w:rPr>
          <w:rFonts w:ascii="Times New Roman" w:hAnsi="Times New Roman" w:cs="Times New Roman"/>
          <w:color w:val="000000" w:themeColor="text1"/>
          <w:sz w:val="24"/>
          <w:szCs w:val="24"/>
        </w:rPr>
        <w:t>:</w:t>
      </w:r>
    </w:p>
    <w:p w14:paraId="767F4220" w14:textId="71E2A084" w:rsidR="00855C5E" w:rsidRPr="00631934" w:rsidRDefault="001B1DD3" w:rsidP="00631934">
      <w:pPr>
        <w:pStyle w:val="Akapitzlist"/>
        <w:numPr>
          <w:ilvl w:val="0"/>
          <w:numId w:val="10"/>
        </w:numPr>
        <w:suppressAutoHyphens/>
        <w:spacing w:before="120" w:after="0" w:line="360" w:lineRule="auto"/>
        <w:jc w:val="both"/>
        <w:rPr>
          <w:rFonts w:ascii="Times New Roman" w:hAnsi="Times New Roman" w:cs="Times New Roman"/>
          <w:color w:val="000000" w:themeColor="text1"/>
          <w:sz w:val="24"/>
          <w:szCs w:val="24"/>
        </w:rPr>
      </w:pPr>
      <w:r w:rsidRPr="00631934">
        <w:rPr>
          <w:rFonts w:ascii="Times New Roman" w:hAnsi="Times New Roman" w:cs="Times New Roman"/>
          <w:color w:val="000000" w:themeColor="text1"/>
          <w:sz w:val="24"/>
          <w:szCs w:val="24"/>
        </w:rPr>
        <w:t>decyzj</w:t>
      </w:r>
      <w:r w:rsidR="00FF48F2" w:rsidRPr="00631934">
        <w:rPr>
          <w:rFonts w:ascii="Times New Roman" w:hAnsi="Times New Roman" w:cs="Times New Roman"/>
          <w:color w:val="000000" w:themeColor="text1"/>
          <w:sz w:val="24"/>
          <w:szCs w:val="24"/>
        </w:rPr>
        <w:t>i lub umowy</w:t>
      </w:r>
      <w:r w:rsidR="003068A9" w:rsidRPr="00631934">
        <w:rPr>
          <w:rFonts w:ascii="Times New Roman" w:hAnsi="Times New Roman" w:cs="Times New Roman"/>
          <w:color w:val="000000" w:themeColor="text1"/>
          <w:sz w:val="24"/>
          <w:szCs w:val="24"/>
        </w:rPr>
        <w:t xml:space="preserve">, o których mowa w </w:t>
      </w:r>
      <w:r w:rsidRPr="00631934">
        <w:rPr>
          <w:rFonts w:ascii="Times New Roman" w:hAnsi="Times New Roman" w:cs="Times New Roman"/>
          <w:color w:val="000000" w:themeColor="text1"/>
          <w:sz w:val="24"/>
          <w:szCs w:val="24"/>
        </w:rPr>
        <w:t xml:space="preserve">art. </w:t>
      </w:r>
      <w:r w:rsidR="003068A9" w:rsidRPr="00631934">
        <w:rPr>
          <w:rFonts w:ascii="Times New Roman" w:hAnsi="Times New Roman" w:cs="Times New Roman"/>
          <w:color w:val="000000" w:themeColor="text1"/>
          <w:sz w:val="24"/>
          <w:szCs w:val="24"/>
        </w:rPr>
        <w:t>24</w:t>
      </w:r>
      <w:r w:rsidRPr="00631934">
        <w:rPr>
          <w:rFonts w:ascii="Times New Roman" w:hAnsi="Times New Roman" w:cs="Times New Roman"/>
          <w:color w:val="000000" w:themeColor="text1"/>
          <w:sz w:val="24"/>
          <w:szCs w:val="24"/>
        </w:rPr>
        <w:t xml:space="preserve"> ust. </w:t>
      </w:r>
      <w:r w:rsidR="00D82EFB" w:rsidRPr="00631934">
        <w:rPr>
          <w:rFonts w:ascii="Times New Roman" w:hAnsi="Times New Roman" w:cs="Times New Roman"/>
          <w:color w:val="000000" w:themeColor="text1"/>
          <w:sz w:val="24"/>
          <w:szCs w:val="24"/>
        </w:rPr>
        <w:t>2 i 2b</w:t>
      </w:r>
      <w:r w:rsidRPr="00631934">
        <w:rPr>
          <w:rFonts w:ascii="Times New Roman" w:hAnsi="Times New Roman" w:cs="Times New Roman"/>
          <w:color w:val="000000" w:themeColor="text1"/>
          <w:sz w:val="24"/>
          <w:szCs w:val="24"/>
        </w:rPr>
        <w:t xml:space="preserve"> usta</w:t>
      </w:r>
      <w:r w:rsidR="00FF5BFA" w:rsidRPr="00631934">
        <w:rPr>
          <w:rFonts w:ascii="Times New Roman" w:hAnsi="Times New Roman" w:cs="Times New Roman"/>
          <w:color w:val="000000" w:themeColor="text1"/>
          <w:sz w:val="24"/>
          <w:szCs w:val="24"/>
        </w:rPr>
        <w:t>wy z dnia 24 kwietnia 2009 r. o </w:t>
      </w:r>
      <w:r w:rsidRPr="00631934">
        <w:rPr>
          <w:rFonts w:ascii="Times New Roman" w:hAnsi="Times New Roman" w:cs="Times New Roman"/>
          <w:color w:val="000000" w:themeColor="text1"/>
          <w:sz w:val="24"/>
          <w:szCs w:val="24"/>
        </w:rPr>
        <w:t>inwestycj</w:t>
      </w:r>
      <w:r w:rsidR="00656A10" w:rsidRPr="00631934">
        <w:rPr>
          <w:rFonts w:ascii="Times New Roman" w:hAnsi="Times New Roman" w:cs="Times New Roman"/>
          <w:color w:val="000000" w:themeColor="text1"/>
          <w:sz w:val="24"/>
          <w:szCs w:val="24"/>
        </w:rPr>
        <w:t>ach</w:t>
      </w:r>
      <w:r w:rsidRPr="00631934">
        <w:rPr>
          <w:rFonts w:ascii="Times New Roman" w:hAnsi="Times New Roman" w:cs="Times New Roman"/>
          <w:color w:val="000000" w:themeColor="text1"/>
          <w:sz w:val="24"/>
          <w:szCs w:val="24"/>
        </w:rPr>
        <w:t xml:space="preserve"> w zakresie terminalu regazyfikacjnego skroplonego gazu ziemnego w Świnoujści</w:t>
      </w:r>
      <w:r w:rsidR="00855C5E" w:rsidRPr="00631934">
        <w:rPr>
          <w:rFonts w:ascii="Times New Roman" w:hAnsi="Times New Roman" w:cs="Times New Roman"/>
          <w:color w:val="000000" w:themeColor="text1"/>
          <w:sz w:val="24"/>
          <w:szCs w:val="24"/>
        </w:rPr>
        <w:t>u</w:t>
      </w:r>
      <w:r w:rsidRPr="00631934">
        <w:rPr>
          <w:rFonts w:ascii="Times New Roman" w:hAnsi="Times New Roman" w:cs="Times New Roman"/>
          <w:color w:val="000000" w:themeColor="text1"/>
          <w:sz w:val="24"/>
          <w:szCs w:val="24"/>
        </w:rPr>
        <w:t xml:space="preserve">, </w:t>
      </w:r>
    </w:p>
    <w:p w14:paraId="4EF4740B" w14:textId="55E11035" w:rsidR="00855C5E" w:rsidRPr="00631934" w:rsidRDefault="001B1DD3" w:rsidP="00631934">
      <w:pPr>
        <w:pStyle w:val="Akapitzlist"/>
        <w:numPr>
          <w:ilvl w:val="0"/>
          <w:numId w:val="10"/>
        </w:numPr>
        <w:suppressAutoHyphens/>
        <w:spacing w:before="120" w:after="0" w:line="360" w:lineRule="auto"/>
        <w:jc w:val="both"/>
        <w:rPr>
          <w:rFonts w:ascii="Times New Roman" w:hAnsi="Times New Roman" w:cs="Times New Roman"/>
          <w:color w:val="000000" w:themeColor="text1"/>
          <w:sz w:val="24"/>
          <w:szCs w:val="24"/>
        </w:rPr>
      </w:pPr>
      <w:r w:rsidRPr="00631934">
        <w:rPr>
          <w:rFonts w:ascii="Times New Roman" w:hAnsi="Times New Roman" w:cs="Times New Roman"/>
          <w:color w:val="000000" w:themeColor="text1"/>
          <w:sz w:val="24"/>
          <w:szCs w:val="24"/>
        </w:rPr>
        <w:t>decyzj</w:t>
      </w:r>
      <w:r w:rsidR="00D82EFB" w:rsidRPr="00631934">
        <w:rPr>
          <w:rFonts w:ascii="Times New Roman" w:hAnsi="Times New Roman" w:cs="Times New Roman"/>
          <w:color w:val="000000" w:themeColor="text1"/>
          <w:sz w:val="24"/>
          <w:szCs w:val="24"/>
        </w:rPr>
        <w:t>i lub umowy, o których mowa w</w:t>
      </w:r>
      <w:r w:rsidRPr="00631934">
        <w:rPr>
          <w:rFonts w:ascii="Times New Roman" w:hAnsi="Times New Roman" w:cs="Times New Roman"/>
          <w:color w:val="000000" w:themeColor="text1"/>
          <w:sz w:val="24"/>
          <w:szCs w:val="24"/>
        </w:rPr>
        <w:t xml:space="preserve"> art. </w:t>
      </w:r>
      <w:r w:rsidR="00D82EFB" w:rsidRPr="00631934">
        <w:rPr>
          <w:rFonts w:ascii="Times New Roman" w:hAnsi="Times New Roman" w:cs="Times New Roman"/>
          <w:color w:val="000000" w:themeColor="text1"/>
          <w:sz w:val="24"/>
          <w:szCs w:val="24"/>
        </w:rPr>
        <w:t>22</w:t>
      </w:r>
      <w:r w:rsidRPr="00631934">
        <w:rPr>
          <w:rFonts w:ascii="Times New Roman" w:hAnsi="Times New Roman" w:cs="Times New Roman"/>
          <w:color w:val="000000" w:themeColor="text1"/>
          <w:sz w:val="24"/>
          <w:szCs w:val="24"/>
        </w:rPr>
        <w:t xml:space="preserve"> ust. </w:t>
      </w:r>
      <w:r w:rsidR="00D82EFB" w:rsidRPr="00631934">
        <w:rPr>
          <w:rFonts w:ascii="Times New Roman" w:hAnsi="Times New Roman" w:cs="Times New Roman"/>
          <w:color w:val="000000" w:themeColor="text1"/>
          <w:sz w:val="24"/>
          <w:szCs w:val="24"/>
        </w:rPr>
        <w:t>7 i 7b</w:t>
      </w:r>
      <w:r w:rsidRPr="00631934">
        <w:rPr>
          <w:rFonts w:ascii="Times New Roman" w:hAnsi="Times New Roman" w:cs="Times New Roman"/>
          <w:color w:val="000000" w:themeColor="text1"/>
          <w:sz w:val="24"/>
          <w:szCs w:val="24"/>
        </w:rPr>
        <w:t xml:space="preserve"> ustawy z dnia 2</w:t>
      </w:r>
      <w:r w:rsidR="000A1871" w:rsidRPr="00631934">
        <w:rPr>
          <w:rFonts w:ascii="Times New Roman" w:hAnsi="Times New Roman" w:cs="Times New Roman"/>
          <w:color w:val="000000" w:themeColor="text1"/>
          <w:sz w:val="24"/>
          <w:szCs w:val="24"/>
        </w:rPr>
        <w:t>4</w:t>
      </w:r>
      <w:r w:rsidR="00FF5BFA" w:rsidRPr="00631934">
        <w:rPr>
          <w:rFonts w:ascii="Times New Roman" w:hAnsi="Times New Roman" w:cs="Times New Roman"/>
          <w:color w:val="000000" w:themeColor="text1"/>
          <w:sz w:val="24"/>
          <w:szCs w:val="24"/>
        </w:rPr>
        <w:t xml:space="preserve"> lipca 2015 r. o </w:t>
      </w:r>
      <w:r w:rsidRPr="00631934">
        <w:rPr>
          <w:rFonts w:ascii="Times New Roman" w:hAnsi="Times New Roman" w:cs="Times New Roman"/>
          <w:color w:val="000000" w:themeColor="text1"/>
          <w:sz w:val="24"/>
          <w:szCs w:val="24"/>
        </w:rPr>
        <w:t>przygotowaniu i realizacji strategicznych inwestycji w zakresie sieci przesyłowych</w:t>
      </w:r>
      <w:r w:rsidR="00855C5E" w:rsidRPr="00631934">
        <w:rPr>
          <w:rFonts w:ascii="Times New Roman" w:hAnsi="Times New Roman" w:cs="Times New Roman"/>
          <w:color w:val="000000" w:themeColor="text1"/>
          <w:sz w:val="24"/>
          <w:szCs w:val="24"/>
        </w:rPr>
        <w:t>,</w:t>
      </w:r>
      <w:r w:rsidRPr="00631934">
        <w:rPr>
          <w:rFonts w:ascii="Times New Roman" w:hAnsi="Times New Roman" w:cs="Times New Roman"/>
          <w:color w:val="000000" w:themeColor="text1"/>
          <w:sz w:val="24"/>
          <w:szCs w:val="24"/>
        </w:rPr>
        <w:t xml:space="preserve"> </w:t>
      </w:r>
    </w:p>
    <w:p w14:paraId="2F669432" w14:textId="7C31436F" w:rsidR="00405210" w:rsidRPr="00631934" w:rsidRDefault="001B1DD3" w:rsidP="00631934">
      <w:pPr>
        <w:pStyle w:val="Akapitzlist"/>
        <w:numPr>
          <w:ilvl w:val="0"/>
          <w:numId w:val="10"/>
        </w:numPr>
        <w:suppressAutoHyphens/>
        <w:spacing w:before="120" w:after="0" w:line="360" w:lineRule="auto"/>
        <w:jc w:val="both"/>
        <w:rPr>
          <w:rFonts w:ascii="Times New Roman" w:hAnsi="Times New Roman" w:cs="Times New Roman"/>
          <w:color w:val="000000" w:themeColor="text1"/>
          <w:sz w:val="24"/>
          <w:szCs w:val="24"/>
        </w:rPr>
      </w:pPr>
      <w:r w:rsidRPr="00631934">
        <w:rPr>
          <w:rFonts w:ascii="Times New Roman" w:hAnsi="Times New Roman" w:cs="Times New Roman"/>
          <w:color w:val="000000" w:themeColor="text1"/>
          <w:sz w:val="24"/>
          <w:szCs w:val="24"/>
        </w:rPr>
        <w:t>decyzj</w:t>
      </w:r>
      <w:r w:rsidR="004D23EF" w:rsidRPr="00631934">
        <w:rPr>
          <w:rFonts w:ascii="Times New Roman" w:hAnsi="Times New Roman" w:cs="Times New Roman"/>
          <w:color w:val="000000" w:themeColor="text1"/>
          <w:sz w:val="24"/>
          <w:szCs w:val="24"/>
        </w:rPr>
        <w:t xml:space="preserve">i lub umowy, o których mowa w </w:t>
      </w:r>
      <w:r w:rsidRPr="00631934">
        <w:rPr>
          <w:rFonts w:ascii="Times New Roman" w:hAnsi="Times New Roman" w:cs="Times New Roman"/>
          <w:color w:val="000000" w:themeColor="text1"/>
          <w:sz w:val="24"/>
          <w:szCs w:val="24"/>
        </w:rPr>
        <w:t xml:space="preserve">art. </w:t>
      </w:r>
      <w:r w:rsidR="004D23EF" w:rsidRPr="00631934">
        <w:rPr>
          <w:rFonts w:ascii="Times New Roman" w:hAnsi="Times New Roman" w:cs="Times New Roman"/>
          <w:color w:val="000000" w:themeColor="text1"/>
          <w:sz w:val="24"/>
          <w:szCs w:val="24"/>
        </w:rPr>
        <w:t>30</w:t>
      </w:r>
      <w:r w:rsidRPr="00631934">
        <w:rPr>
          <w:rFonts w:ascii="Times New Roman" w:hAnsi="Times New Roman" w:cs="Times New Roman"/>
          <w:color w:val="000000" w:themeColor="text1"/>
          <w:sz w:val="24"/>
          <w:szCs w:val="24"/>
        </w:rPr>
        <w:t xml:space="preserve"> ust. </w:t>
      </w:r>
      <w:r w:rsidR="004D23EF" w:rsidRPr="00631934">
        <w:rPr>
          <w:rFonts w:ascii="Times New Roman" w:hAnsi="Times New Roman" w:cs="Times New Roman"/>
          <w:color w:val="000000" w:themeColor="text1"/>
          <w:sz w:val="24"/>
          <w:szCs w:val="24"/>
        </w:rPr>
        <w:t>4 i 4b</w:t>
      </w:r>
      <w:r w:rsidR="00432299" w:rsidRPr="00631934">
        <w:rPr>
          <w:rFonts w:ascii="Times New Roman" w:hAnsi="Times New Roman" w:cs="Times New Roman"/>
          <w:color w:val="000000" w:themeColor="text1"/>
          <w:sz w:val="24"/>
          <w:szCs w:val="24"/>
        </w:rPr>
        <w:t xml:space="preserve"> ustawy z dnia 22 lutego 2019 </w:t>
      </w:r>
      <w:r w:rsidRPr="00631934">
        <w:rPr>
          <w:rFonts w:ascii="Times New Roman" w:hAnsi="Times New Roman" w:cs="Times New Roman"/>
          <w:color w:val="000000" w:themeColor="text1"/>
          <w:sz w:val="24"/>
          <w:szCs w:val="24"/>
        </w:rPr>
        <w:t>r. o prz</w:t>
      </w:r>
      <w:r w:rsidR="00855C5E" w:rsidRPr="00631934">
        <w:rPr>
          <w:rFonts w:ascii="Times New Roman" w:hAnsi="Times New Roman" w:cs="Times New Roman"/>
          <w:color w:val="000000" w:themeColor="text1"/>
          <w:sz w:val="24"/>
          <w:szCs w:val="24"/>
        </w:rPr>
        <w:t>y</w:t>
      </w:r>
      <w:r w:rsidRPr="00631934">
        <w:rPr>
          <w:rFonts w:ascii="Times New Roman" w:hAnsi="Times New Roman" w:cs="Times New Roman"/>
          <w:color w:val="000000" w:themeColor="text1"/>
          <w:sz w:val="24"/>
          <w:szCs w:val="24"/>
        </w:rPr>
        <w:t>gotowaniu i realizacji strategicznych inwestycji w sektorze naftowym</w:t>
      </w:r>
      <w:r w:rsidR="00855C5E" w:rsidRPr="00631934">
        <w:rPr>
          <w:rFonts w:ascii="Times New Roman" w:hAnsi="Times New Roman" w:cs="Times New Roman"/>
          <w:color w:val="000000" w:themeColor="text1"/>
          <w:sz w:val="24"/>
          <w:szCs w:val="24"/>
        </w:rPr>
        <w:t>.</w:t>
      </w:r>
    </w:p>
    <w:p w14:paraId="599CA3E1" w14:textId="305CDCD2" w:rsidR="00B43CFC" w:rsidRPr="00FE30DC" w:rsidRDefault="00FF5BFA" w:rsidP="00FE30DC">
      <w:pPr>
        <w:suppressAutoHyphens/>
        <w:spacing w:before="12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związku ze </w:t>
      </w:r>
      <w:r w:rsidR="00B43CFC" w:rsidRPr="00FE30DC">
        <w:rPr>
          <w:rFonts w:ascii="Times New Roman" w:hAnsi="Times New Roman" w:cs="Times New Roman"/>
          <w:color w:val="000000" w:themeColor="text1"/>
          <w:sz w:val="24"/>
          <w:szCs w:val="24"/>
        </w:rPr>
        <w:t>zmianą specustaw energetycznych i wprowadzeniem możliwości zastąpienia decyzji wojewody o</w:t>
      </w:r>
      <w:r w:rsidR="00AE20F6">
        <w:rPr>
          <w:rFonts w:ascii="Times New Roman" w:hAnsi="Times New Roman" w:cs="Times New Roman"/>
          <w:color w:val="000000" w:themeColor="text1"/>
          <w:sz w:val="24"/>
          <w:szCs w:val="24"/>
        </w:rPr>
        <w:t xml:space="preserve"> </w:t>
      </w:r>
      <w:r w:rsidR="00B43CFC" w:rsidRPr="00FE30DC">
        <w:rPr>
          <w:rFonts w:ascii="Times New Roman" w:hAnsi="Times New Roman" w:cs="Times New Roman"/>
          <w:color w:val="000000" w:themeColor="text1"/>
          <w:sz w:val="24"/>
          <w:szCs w:val="24"/>
        </w:rPr>
        <w:t>przyznaniu odszkodowania za ogr</w:t>
      </w:r>
      <w:r>
        <w:rPr>
          <w:rFonts w:ascii="Times New Roman" w:hAnsi="Times New Roman" w:cs="Times New Roman"/>
          <w:color w:val="000000" w:themeColor="text1"/>
          <w:sz w:val="24"/>
          <w:szCs w:val="24"/>
        </w:rPr>
        <w:t>aniczenie sposobu korzystania z </w:t>
      </w:r>
      <w:r w:rsidR="00B43CFC" w:rsidRPr="00FE30DC">
        <w:rPr>
          <w:rFonts w:ascii="Times New Roman" w:hAnsi="Times New Roman" w:cs="Times New Roman"/>
          <w:color w:val="000000" w:themeColor="text1"/>
          <w:sz w:val="24"/>
          <w:szCs w:val="24"/>
        </w:rPr>
        <w:t xml:space="preserve">nieruchomości uzgodnieniem, </w:t>
      </w:r>
      <w:r w:rsidR="00E6412F" w:rsidRPr="00FE30DC">
        <w:rPr>
          <w:rFonts w:ascii="Times New Roman" w:hAnsi="Times New Roman" w:cs="Times New Roman"/>
          <w:color w:val="000000" w:themeColor="text1"/>
          <w:sz w:val="24"/>
          <w:szCs w:val="24"/>
        </w:rPr>
        <w:t xml:space="preserve">jest </w:t>
      </w:r>
      <w:r w:rsidR="00B43CFC" w:rsidRPr="00FE30DC">
        <w:rPr>
          <w:rFonts w:ascii="Times New Roman" w:hAnsi="Times New Roman" w:cs="Times New Roman"/>
          <w:color w:val="000000" w:themeColor="text1"/>
          <w:sz w:val="24"/>
          <w:szCs w:val="24"/>
        </w:rPr>
        <w:t>konieczne jednoznaczne przesądzenie w ustawie z dnia 26 lipca 1991 r. o podatku dochodowym od osób fizyczny</w:t>
      </w:r>
      <w:r>
        <w:rPr>
          <w:rFonts w:ascii="Times New Roman" w:hAnsi="Times New Roman" w:cs="Times New Roman"/>
          <w:color w:val="000000" w:themeColor="text1"/>
          <w:sz w:val="24"/>
          <w:szCs w:val="24"/>
        </w:rPr>
        <w:t>ch, że odszkodowanie ustalone w </w:t>
      </w:r>
      <w:r w:rsidR="00B43CFC" w:rsidRPr="00FE30DC">
        <w:rPr>
          <w:rFonts w:ascii="Times New Roman" w:hAnsi="Times New Roman" w:cs="Times New Roman"/>
          <w:color w:val="000000" w:themeColor="text1"/>
          <w:sz w:val="24"/>
          <w:szCs w:val="24"/>
        </w:rPr>
        <w:t xml:space="preserve">uzgodnieniu nie podlega opodatkowaniu podatkiem dochodowym od osób fizycznych. </w:t>
      </w:r>
      <w:r>
        <w:rPr>
          <w:rFonts w:ascii="Times New Roman" w:hAnsi="Times New Roman" w:cs="Times New Roman"/>
          <w:color w:val="000000" w:themeColor="text1"/>
          <w:sz w:val="24"/>
          <w:szCs w:val="24"/>
        </w:rPr>
        <w:t>W </w:t>
      </w:r>
      <w:r w:rsidR="00B43CFC" w:rsidRPr="00FE30DC">
        <w:rPr>
          <w:rFonts w:ascii="Times New Roman" w:hAnsi="Times New Roman" w:cs="Times New Roman"/>
          <w:color w:val="000000" w:themeColor="text1"/>
          <w:sz w:val="24"/>
          <w:szCs w:val="24"/>
        </w:rPr>
        <w:t>związku z tym, że odszkodowanie będzie przyznawane w uzgodnieniu, może powstać wątpliwość w zakresie tego, czy jest objęte dyspozycją art. 2</w:t>
      </w:r>
      <w:r>
        <w:rPr>
          <w:rFonts w:ascii="Times New Roman" w:hAnsi="Times New Roman" w:cs="Times New Roman"/>
          <w:color w:val="000000" w:themeColor="text1"/>
          <w:sz w:val="24"/>
          <w:szCs w:val="24"/>
        </w:rPr>
        <w:t>1 ust. 1 pkt 3 albo 29 ustawy z </w:t>
      </w:r>
      <w:r w:rsidR="00B43CFC" w:rsidRPr="00FE30DC">
        <w:rPr>
          <w:rFonts w:ascii="Times New Roman" w:hAnsi="Times New Roman" w:cs="Times New Roman"/>
          <w:color w:val="000000" w:themeColor="text1"/>
          <w:sz w:val="24"/>
          <w:szCs w:val="24"/>
        </w:rPr>
        <w:t>dnia 26 lipca 1991 r. o podatku dochodowym od osób fizycznych. Wprowadzana zmiana eliminuje tę wątpliwość.</w:t>
      </w:r>
    </w:p>
    <w:p w14:paraId="61D0C312" w14:textId="5988F324" w:rsidR="009E204A" w:rsidRPr="00FE30DC" w:rsidRDefault="00F13C89" w:rsidP="00FE30DC">
      <w:pPr>
        <w:spacing w:before="120" w:after="0" w:line="360" w:lineRule="auto"/>
        <w:jc w:val="both"/>
        <w:rPr>
          <w:rFonts w:ascii="Times New Roman" w:hAnsi="Times New Roman" w:cs="Times New Roman"/>
          <w:color w:val="000000" w:themeColor="text1"/>
          <w:sz w:val="24"/>
          <w:szCs w:val="24"/>
        </w:rPr>
      </w:pPr>
      <w:r w:rsidRPr="00FE30DC">
        <w:rPr>
          <w:rFonts w:ascii="Times New Roman" w:hAnsi="Times New Roman" w:cs="Times New Roman"/>
          <w:color w:val="000000" w:themeColor="text1"/>
          <w:sz w:val="24"/>
          <w:szCs w:val="24"/>
        </w:rPr>
        <w:t xml:space="preserve">Natomiast </w:t>
      </w:r>
      <w:r w:rsidR="00E24248" w:rsidRPr="00FE30DC">
        <w:rPr>
          <w:rFonts w:ascii="Times New Roman" w:hAnsi="Times New Roman" w:cs="Times New Roman"/>
          <w:color w:val="000000" w:themeColor="text1"/>
          <w:sz w:val="24"/>
          <w:szCs w:val="24"/>
        </w:rPr>
        <w:t>w</w:t>
      </w:r>
      <w:r w:rsidR="009E204A" w:rsidRPr="00FE30DC">
        <w:rPr>
          <w:rFonts w:ascii="Times New Roman" w:hAnsi="Times New Roman" w:cs="Times New Roman"/>
          <w:color w:val="000000" w:themeColor="text1"/>
          <w:sz w:val="24"/>
          <w:szCs w:val="24"/>
        </w:rPr>
        <w:t xml:space="preserve"> dodawanym pkt 29a</w:t>
      </w:r>
      <w:r w:rsidR="00E24248" w:rsidRPr="00FE30DC">
        <w:rPr>
          <w:rFonts w:ascii="Times New Roman" w:hAnsi="Times New Roman" w:cs="Times New Roman"/>
          <w:color w:val="000000" w:themeColor="text1"/>
          <w:sz w:val="24"/>
          <w:szCs w:val="24"/>
        </w:rPr>
        <w:t>b</w:t>
      </w:r>
      <w:r w:rsidR="009E204A" w:rsidRPr="00FE30DC">
        <w:rPr>
          <w:rFonts w:ascii="Times New Roman" w:hAnsi="Times New Roman" w:cs="Times New Roman"/>
          <w:color w:val="000000" w:themeColor="text1"/>
          <w:sz w:val="24"/>
          <w:szCs w:val="24"/>
        </w:rPr>
        <w:t xml:space="preserve"> uwzględnia się przypadek przychodów uzyskanych</w:t>
      </w:r>
      <w:r w:rsidR="00FF5BFA">
        <w:rPr>
          <w:rFonts w:ascii="Times New Roman" w:hAnsi="Times New Roman" w:cs="Times New Roman"/>
          <w:color w:val="000000" w:themeColor="text1"/>
          <w:sz w:val="24"/>
          <w:szCs w:val="24"/>
        </w:rPr>
        <w:t xml:space="preserve"> z </w:t>
      </w:r>
      <w:r w:rsidR="007D50CF" w:rsidRPr="00FE30DC">
        <w:rPr>
          <w:rFonts w:ascii="Times New Roman" w:hAnsi="Times New Roman" w:cs="Times New Roman"/>
          <w:color w:val="000000" w:themeColor="text1"/>
          <w:sz w:val="24"/>
          <w:szCs w:val="24"/>
        </w:rPr>
        <w:t xml:space="preserve">tytułu odszkodowania wypłaconego zgodnie z art. 58 </w:t>
      </w:r>
      <w:bookmarkStart w:id="6" w:name="_Hlk100134529"/>
      <w:r w:rsidR="00FF5BFA">
        <w:rPr>
          <w:rFonts w:ascii="Times New Roman" w:hAnsi="Times New Roman" w:cs="Times New Roman"/>
          <w:color w:val="000000" w:themeColor="text1"/>
          <w:sz w:val="24"/>
          <w:szCs w:val="24"/>
        </w:rPr>
        <w:t>ustawy z dnia 10 maja 2018 </w:t>
      </w:r>
      <w:r w:rsidR="007D50CF" w:rsidRPr="00FE30DC">
        <w:rPr>
          <w:rFonts w:ascii="Times New Roman" w:hAnsi="Times New Roman" w:cs="Times New Roman"/>
          <w:color w:val="000000" w:themeColor="text1"/>
          <w:sz w:val="24"/>
          <w:szCs w:val="24"/>
        </w:rPr>
        <w:t xml:space="preserve">r. o Centralnym Porcie Komunikacyjnym </w:t>
      </w:r>
      <w:bookmarkEnd w:id="6"/>
      <w:r w:rsidR="007D50CF" w:rsidRPr="00FE30DC">
        <w:rPr>
          <w:rFonts w:ascii="Times New Roman" w:hAnsi="Times New Roman" w:cs="Times New Roman"/>
          <w:color w:val="000000" w:themeColor="text1"/>
          <w:sz w:val="24"/>
          <w:szCs w:val="24"/>
        </w:rPr>
        <w:t>oraz z tytułu sprz</w:t>
      </w:r>
      <w:r w:rsidR="00FF5BFA">
        <w:rPr>
          <w:rFonts w:ascii="Times New Roman" w:hAnsi="Times New Roman" w:cs="Times New Roman"/>
          <w:color w:val="000000" w:themeColor="text1"/>
          <w:sz w:val="24"/>
          <w:szCs w:val="24"/>
        </w:rPr>
        <w:t>edaży nieruchomości w związku z </w:t>
      </w:r>
      <w:r w:rsidR="007D50CF" w:rsidRPr="00FE30DC">
        <w:rPr>
          <w:rFonts w:ascii="Times New Roman" w:hAnsi="Times New Roman" w:cs="Times New Roman"/>
          <w:color w:val="000000" w:themeColor="text1"/>
          <w:sz w:val="24"/>
          <w:szCs w:val="24"/>
        </w:rPr>
        <w:t xml:space="preserve">realizacją przez nabywcę prawa pierwokupu, o którym mowa </w:t>
      </w:r>
      <w:r w:rsidR="00FF5BFA">
        <w:rPr>
          <w:rFonts w:ascii="Times New Roman" w:hAnsi="Times New Roman" w:cs="Times New Roman"/>
          <w:color w:val="000000" w:themeColor="text1"/>
          <w:sz w:val="24"/>
          <w:szCs w:val="24"/>
        </w:rPr>
        <w:t>w art. 29 ust. 1 pkt 1 ustawy z </w:t>
      </w:r>
      <w:r w:rsidR="00432299">
        <w:rPr>
          <w:rFonts w:ascii="Times New Roman" w:hAnsi="Times New Roman" w:cs="Times New Roman"/>
          <w:color w:val="000000" w:themeColor="text1"/>
          <w:sz w:val="24"/>
          <w:szCs w:val="24"/>
        </w:rPr>
        <w:t xml:space="preserve">dnia 10 maja 2018 r. o </w:t>
      </w:r>
      <w:r w:rsidR="007D50CF" w:rsidRPr="00FE30DC">
        <w:rPr>
          <w:rFonts w:ascii="Times New Roman" w:hAnsi="Times New Roman" w:cs="Times New Roman"/>
          <w:color w:val="000000" w:themeColor="text1"/>
          <w:sz w:val="24"/>
          <w:szCs w:val="24"/>
        </w:rPr>
        <w:t>Centralnym Porcie Komunikacyjnym, lub sprzedaży nieruchomości na szczególnych zasadach, określonych w art. 29a ust. 1 tej ustawy</w:t>
      </w:r>
      <w:r w:rsidR="009E204A" w:rsidRPr="00FE30DC">
        <w:rPr>
          <w:rFonts w:ascii="Times New Roman" w:hAnsi="Times New Roman" w:cs="Times New Roman"/>
          <w:color w:val="000000" w:themeColor="text1"/>
          <w:sz w:val="24"/>
          <w:szCs w:val="24"/>
        </w:rPr>
        <w:t xml:space="preserve">. Zwolnienie nie będzie </w:t>
      </w:r>
      <w:r w:rsidR="009E204A" w:rsidRPr="00FE30DC">
        <w:rPr>
          <w:rFonts w:ascii="Times New Roman" w:hAnsi="Times New Roman" w:cs="Times New Roman"/>
          <w:color w:val="000000" w:themeColor="text1"/>
          <w:sz w:val="24"/>
          <w:szCs w:val="24"/>
        </w:rPr>
        <w:lastRenderedPageBreak/>
        <w:t>dotyczyło sytuacji, gdy zbywający nabył własność nieruchomości w okresie 2 lat przed wszczęciem postępowania wywłaszczeniowego bądź odpłatnym zbyciem nieruchomości za cenę niższą o co najmniej 50% od wysokości uzyskanego odszkodowania lub ceny zbycia nieruchomości na cele uzasadniające jej wywłaszczenie lub w związku z realizacją prawa pierwokupu. Przepis ma na celu uzyskanie analogicznego zwolnienia podatkowego w tym zakresie</w:t>
      </w:r>
      <w:r w:rsidR="00E6412F" w:rsidRPr="00FE30DC">
        <w:rPr>
          <w:rFonts w:ascii="Times New Roman" w:hAnsi="Times New Roman" w:cs="Times New Roman"/>
          <w:color w:val="000000" w:themeColor="text1"/>
          <w:sz w:val="24"/>
          <w:szCs w:val="24"/>
        </w:rPr>
        <w:t>,</w:t>
      </w:r>
      <w:r w:rsidR="009E204A" w:rsidRPr="00FE30DC">
        <w:rPr>
          <w:rFonts w:ascii="Times New Roman" w:hAnsi="Times New Roman" w:cs="Times New Roman"/>
          <w:color w:val="000000" w:themeColor="text1"/>
          <w:sz w:val="24"/>
          <w:szCs w:val="24"/>
        </w:rPr>
        <w:t xml:space="preserve"> jakie przysługuje przy opodatkowaniu w stosunku do nabycia </w:t>
      </w:r>
      <w:r w:rsidR="007E1CC2" w:rsidRPr="00FE30DC">
        <w:rPr>
          <w:rFonts w:ascii="Times New Roman" w:hAnsi="Times New Roman" w:cs="Times New Roman"/>
          <w:color w:val="000000" w:themeColor="text1"/>
          <w:sz w:val="24"/>
          <w:szCs w:val="24"/>
        </w:rPr>
        <w:t>albo wywłaszczenia</w:t>
      </w:r>
      <w:r w:rsidR="009E204A" w:rsidRPr="00FE30DC">
        <w:rPr>
          <w:rFonts w:ascii="Times New Roman" w:hAnsi="Times New Roman" w:cs="Times New Roman"/>
          <w:color w:val="000000" w:themeColor="text1"/>
          <w:sz w:val="24"/>
          <w:szCs w:val="24"/>
        </w:rPr>
        <w:t xml:space="preserve"> nieruchomości na inne cele publiczne.</w:t>
      </w:r>
      <w:r w:rsidR="002D4254" w:rsidRPr="00FE30DC">
        <w:rPr>
          <w:rFonts w:ascii="Times New Roman" w:hAnsi="Times New Roman" w:cs="Times New Roman"/>
          <w:color w:val="000000" w:themeColor="text1"/>
          <w:sz w:val="24"/>
          <w:szCs w:val="24"/>
        </w:rPr>
        <w:t xml:space="preserve"> Ponadto</w:t>
      </w:r>
      <w:r w:rsidR="00B85B29" w:rsidRPr="00FE30DC">
        <w:rPr>
          <w:rFonts w:ascii="Times New Roman" w:hAnsi="Times New Roman" w:cs="Times New Roman"/>
          <w:color w:val="000000" w:themeColor="text1"/>
          <w:sz w:val="24"/>
          <w:szCs w:val="24"/>
        </w:rPr>
        <w:t xml:space="preserve"> </w:t>
      </w:r>
      <w:r w:rsidR="007C40EE" w:rsidRPr="00FE30DC">
        <w:rPr>
          <w:rFonts w:ascii="Times New Roman" w:hAnsi="Times New Roman" w:cs="Times New Roman"/>
          <w:color w:val="000000" w:themeColor="text1"/>
          <w:sz w:val="24"/>
          <w:szCs w:val="24"/>
        </w:rPr>
        <w:t xml:space="preserve">– zgodnie z wcześniejszymi wyjaśnieniami </w:t>
      </w:r>
      <w:r w:rsidR="00AE20F6">
        <w:rPr>
          <w:rFonts w:ascii="Times New Roman" w:hAnsi="Times New Roman" w:cs="Times New Roman"/>
          <w:color w:val="000000" w:themeColor="text1"/>
          <w:sz w:val="24"/>
          <w:szCs w:val="24"/>
        </w:rPr>
        <w:t>–</w:t>
      </w:r>
      <w:r w:rsidR="007C40EE" w:rsidRPr="00FE30DC">
        <w:rPr>
          <w:rFonts w:ascii="Times New Roman" w:hAnsi="Times New Roman" w:cs="Times New Roman"/>
          <w:color w:val="000000" w:themeColor="text1"/>
          <w:sz w:val="24"/>
          <w:szCs w:val="24"/>
        </w:rPr>
        <w:t xml:space="preserve"> </w:t>
      </w:r>
      <w:r w:rsidR="00B85B29" w:rsidRPr="00FE30DC">
        <w:rPr>
          <w:rFonts w:ascii="Times New Roman" w:hAnsi="Times New Roman" w:cs="Times New Roman"/>
          <w:color w:val="000000" w:themeColor="text1"/>
          <w:sz w:val="24"/>
          <w:szCs w:val="24"/>
        </w:rPr>
        <w:t>w</w:t>
      </w:r>
      <w:r w:rsidR="006A0A31" w:rsidRPr="00FE30DC">
        <w:rPr>
          <w:rFonts w:ascii="Times New Roman" w:hAnsi="Times New Roman" w:cs="Times New Roman"/>
          <w:color w:val="000000" w:themeColor="text1"/>
          <w:sz w:val="24"/>
          <w:szCs w:val="24"/>
        </w:rPr>
        <w:t> </w:t>
      </w:r>
      <w:r w:rsidR="00B85B29" w:rsidRPr="00FE30DC">
        <w:rPr>
          <w:rFonts w:ascii="Times New Roman" w:hAnsi="Times New Roman" w:cs="Times New Roman"/>
          <w:color w:val="000000" w:themeColor="text1"/>
          <w:sz w:val="24"/>
          <w:szCs w:val="24"/>
        </w:rPr>
        <w:t xml:space="preserve">dodawanym pkt 29ac przewiduje się </w:t>
      </w:r>
      <w:r w:rsidR="00BB6A72" w:rsidRPr="00FE30DC">
        <w:rPr>
          <w:rFonts w:ascii="Times New Roman" w:hAnsi="Times New Roman" w:cs="Times New Roman"/>
          <w:color w:val="000000" w:themeColor="text1"/>
          <w:sz w:val="24"/>
          <w:szCs w:val="24"/>
        </w:rPr>
        <w:t xml:space="preserve">przypadek przychodów </w:t>
      </w:r>
      <w:r w:rsidR="005E208F" w:rsidRPr="00FE30DC">
        <w:rPr>
          <w:rFonts w:ascii="Times New Roman" w:hAnsi="Times New Roman" w:cs="Times New Roman"/>
          <w:color w:val="000000" w:themeColor="text1"/>
          <w:sz w:val="24"/>
          <w:szCs w:val="24"/>
        </w:rPr>
        <w:t>z tytułu renty, o której mowa w art. 29b ustawy z dnia 10 maja 2018 r. o</w:t>
      </w:r>
      <w:r w:rsidR="00AE20F6">
        <w:rPr>
          <w:rFonts w:ascii="Times New Roman" w:hAnsi="Times New Roman" w:cs="Times New Roman"/>
          <w:color w:val="000000" w:themeColor="text1"/>
          <w:sz w:val="24"/>
          <w:szCs w:val="24"/>
        </w:rPr>
        <w:t xml:space="preserve"> </w:t>
      </w:r>
      <w:r w:rsidR="005E208F" w:rsidRPr="00FE30DC">
        <w:rPr>
          <w:rFonts w:ascii="Times New Roman" w:hAnsi="Times New Roman" w:cs="Times New Roman"/>
          <w:color w:val="000000" w:themeColor="text1"/>
          <w:sz w:val="24"/>
          <w:szCs w:val="24"/>
        </w:rPr>
        <w:t>Centralnym Porcie Komunikacyjnym</w:t>
      </w:r>
      <w:r w:rsidR="00E27D0D" w:rsidRPr="00FE30DC">
        <w:rPr>
          <w:rFonts w:ascii="Times New Roman" w:hAnsi="Times New Roman" w:cs="Times New Roman"/>
          <w:color w:val="000000" w:themeColor="text1"/>
          <w:sz w:val="24"/>
          <w:szCs w:val="24"/>
        </w:rPr>
        <w:t>, pr</w:t>
      </w:r>
      <w:r w:rsidR="00F209EF" w:rsidRPr="00FE30DC">
        <w:rPr>
          <w:rFonts w:ascii="Times New Roman" w:hAnsi="Times New Roman" w:cs="Times New Roman"/>
          <w:color w:val="000000" w:themeColor="text1"/>
          <w:sz w:val="24"/>
          <w:szCs w:val="24"/>
        </w:rPr>
        <w:t xml:space="preserve">zy czym nie </w:t>
      </w:r>
      <w:r w:rsidR="00142886" w:rsidRPr="00FE30DC">
        <w:rPr>
          <w:rFonts w:ascii="Times New Roman" w:hAnsi="Times New Roman" w:cs="Times New Roman"/>
          <w:color w:val="000000" w:themeColor="text1"/>
          <w:sz w:val="24"/>
          <w:szCs w:val="24"/>
        </w:rPr>
        <w:t xml:space="preserve">będzie to dotyczyło przypadków w których </w:t>
      </w:r>
      <w:r w:rsidR="00FE0B9E" w:rsidRPr="00FE30DC">
        <w:rPr>
          <w:rFonts w:ascii="Times New Roman" w:hAnsi="Times New Roman" w:cs="Times New Roman"/>
          <w:color w:val="000000" w:themeColor="text1"/>
          <w:sz w:val="24"/>
          <w:szCs w:val="24"/>
        </w:rPr>
        <w:t xml:space="preserve">właściciel nieruchomości </w:t>
      </w:r>
      <w:r w:rsidR="00FF5BFA">
        <w:rPr>
          <w:rFonts w:ascii="Times New Roman" w:hAnsi="Times New Roman" w:cs="Times New Roman"/>
          <w:color w:val="000000" w:themeColor="text1"/>
          <w:sz w:val="24"/>
          <w:szCs w:val="24"/>
        </w:rPr>
        <w:t>nabył jej własność w </w:t>
      </w:r>
      <w:r w:rsidR="00FE0B9E" w:rsidRPr="00FE30DC">
        <w:rPr>
          <w:rFonts w:ascii="Times New Roman" w:hAnsi="Times New Roman" w:cs="Times New Roman"/>
          <w:color w:val="000000" w:themeColor="text1"/>
          <w:sz w:val="24"/>
          <w:szCs w:val="24"/>
        </w:rPr>
        <w:t>okresie 2 lat przed zbyciem nieruchomości za cenę niższą o co najmniej 50% od wysokości ceny zbycia nieruchomości</w:t>
      </w:r>
      <w:r w:rsidR="00552000" w:rsidRPr="00FE30DC">
        <w:rPr>
          <w:rFonts w:ascii="Times New Roman" w:hAnsi="Times New Roman" w:cs="Times New Roman"/>
          <w:color w:val="000000" w:themeColor="text1"/>
          <w:sz w:val="24"/>
          <w:szCs w:val="24"/>
        </w:rPr>
        <w:t>.</w:t>
      </w:r>
    </w:p>
    <w:p w14:paraId="58CAA9F0" w14:textId="3FED9BD1" w:rsidR="007E4717" w:rsidRPr="00FE30DC" w:rsidRDefault="00FF5BFA" w:rsidP="00FE30DC">
      <w:pPr>
        <w:spacing w:before="12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związku z </w:t>
      </w:r>
      <w:r w:rsidR="007E4717" w:rsidRPr="00FE30DC">
        <w:rPr>
          <w:rFonts w:ascii="Times New Roman" w:hAnsi="Times New Roman" w:cs="Times New Roman"/>
          <w:color w:val="000000" w:themeColor="text1"/>
          <w:sz w:val="24"/>
          <w:szCs w:val="24"/>
        </w:rPr>
        <w:t xml:space="preserve">systemowym powiązaniem zwolnień podatkowych osób fizycznych przysługujących na podstawie ww. ustawy </w:t>
      </w:r>
      <w:r w:rsidR="00FF0F2B" w:rsidRPr="00FE30DC">
        <w:rPr>
          <w:rFonts w:ascii="Times New Roman" w:hAnsi="Times New Roman" w:cs="Times New Roman"/>
          <w:color w:val="000000" w:themeColor="text1"/>
          <w:sz w:val="24"/>
          <w:szCs w:val="24"/>
        </w:rPr>
        <w:t xml:space="preserve">z dnia 26 lipca 1991 r. o podatku dochodowym od osób fizycznych </w:t>
      </w:r>
      <w:r w:rsidR="007E4717" w:rsidRPr="00FE30DC">
        <w:rPr>
          <w:rFonts w:ascii="Times New Roman" w:hAnsi="Times New Roman" w:cs="Times New Roman"/>
          <w:color w:val="000000" w:themeColor="text1"/>
          <w:sz w:val="24"/>
          <w:szCs w:val="24"/>
        </w:rPr>
        <w:t>ze zwolnieniami wynikającymi z ustaw</w:t>
      </w:r>
      <w:r>
        <w:rPr>
          <w:rFonts w:ascii="Times New Roman" w:hAnsi="Times New Roman" w:cs="Times New Roman"/>
          <w:color w:val="000000" w:themeColor="text1"/>
          <w:sz w:val="24"/>
          <w:szCs w:val="24"/>
        </w:rPr>
        <w:t>y z dnia 20 listopada 1998 r. o </w:t>
      </w:r>
      <w:r w:rsidR="007E4717" w:rsidRPr="00FE30DC">
        <w:rPr>
          <w:rFonts w:ascii="Times New Roman" w:hAnsi="Times New Roman" w:cs="Times New Roman"/>
          <w:color w:val="000000" w:themeColor="text1"/>
          <w:sz w:val="24"/>
          <w:szCs w:val="24"/>
        </w:rPr>
        <w:t>zryczałtowanym podatku dochodowym od niektórych przychodów osiąganych przez osoby fizyczne do projektu wprowadzono odpowiednią zmianę w tej drugiej ustawie.</w:t>
      </w:r>
    </w:p>
    <w:p w14:paraId="7FD31FE0" w14:textId="77777777" w:rsidR="007456BF" w:rsidRPr="00FE30DC" w:rsidRDefault="007456BF" w:rsidP="00FE30DC">
      <w:pPr>
        <w:spacing w:before="120" w:after="0" w:line="360" w:lineRule="auto"/>
        <w:jc w:val="both"/>
        <w:rPr>
          <w:rFonts w:ascii="Times New Roman" w:hAnsi="Times New Roman" w:cs="Times New Roman"/>
          <w:color w:val="000000" w:themeColor="text1"/>
          <w:sz w:val="24"/>
          <w:szCs w:val="24"/>
        </w:rPr>
      </w:pPr>
    </w:p>
    <w:p w14:paraId="031FA50A" w14:textId="3839602E" w:rsidR="00696752" w:rsidRPr="00FE30DC" w:rsidRDefault="007456BF" w:rsidP="00FE30DC">
      <w:pPr>
        <w:pStyle w:val="ARTartustawynprozporzdzenia"/>
        <w:ind w:firstLine="0"/>
        <w:rPr>
          <w:rFonts w:ascii="Times New Roman" w:eastAsia="Times New Roman" w:hAnsi="Times New Roman" w:cs="Times New Roman"/>
          <w:b/>
          <w:bCs/>
          <w:szCs w:val="24"/>
        </w:rPr>
      </w:pPr>
      <w:r w:rsidRPr="00FE30DC">
        <w:rPr>
          <w:rFonts w:ascii="Times New Roman" w:eastAsia="Times New Roman" w:hAnsi="Times New Roman" w:cs="Times New Roman"/>
          <w:b/>
          <w:bCs/>
          <w:szCs w:val="24"/>
        </w:rPr>
        <w:t xml:space="preserve">4. </w:t>
      </w:r>
      <w:r w:rsidR="00696752" w:rsidRPr="00FE30DC">
        <w:rPr>
          <w:rFonts w:ascii="Times New Roman" w:eastAsia="Times New Roman" w:hAnsi="Times New Roman" w:cs="Times New Roman"/>
          <w:b/>
          <w:bCs/>
          <w:szCs w:val="24"/>
        </w:rPr>
        <w:t>Przepisy przejściowe, dostosowujące i końcowe</w:t>
      </w:r>
    </w:p>
    <w:p w14:paraId="73388FE7" w14:textId="182AEF7F"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W przepisach przejściowych uregulowan</w:t>
      </w:r>
      <w:r w:rsidR="008A5841" w:rsidRPr="00FE30DC">
        <w:rPr>
          <w:rFonts w:ascii="Times New Roman" w:eastAsia="Times New Roman" w:hAnsi="Times New Roman" w:cs="Times New Roman"/>
          <w:color w:val="000000" w:themeColor="text1"/>
          <w:sz w:val="24"/>
          <w:szCs w:val="24"/>
        </w:rPr>
        <w:t>o</w:t>
      </w:r>
      <w:r w:rsidRPr="00FE30DC">
        <w:rPr>
          <w:rFonts w:ascii="Times New Roman" w:eastAsia="Times New Roman" w:hAnsi="Times New Roman" w:cs="Times New Roman"/>
          <w:color w:val="000000" w:themeColor="text1"/>
          <w:sz w:val="24"/>
          <w:szCs w:val="24"/>
        </w:rPr>
        <w:t xml:space="preserve"> sytuacje związane z postępowaniami wywłaszczeniowymi w toku, jak również z sytuacjami faktycznego wywłaszczenia, z którym nie </w:t>
      </w:r>
      <w:r w:rsidR="00E6412F" w:rsidRPr="00FE30DC">
        <w:rPr>
          <w:rFonts w:ascii="Times New Roman" w:eastAsia="Times New Roman" w:hAnsi="Times New Roman" w:cs="Times New Roman"/>
          <w:color w:val="000000" w:themeColor="text1"/>
          <w:sz w:val="24"/>
          <w:szCs w:val="24"/>
        </w:rPr>
        <w:t xml:space="preserve">było </w:t>
      </w:r>
      <w:r w:rsidRPr="00FE30DC">
        <w:rPr>
          <w:rFonts w:ascii="Times New Roman" w:eastAsia="Times New Roman" w:hAnsi="Times New Roman" w:cs="Times New Roman"/>
          <w:color w:val="000000" w:themeColor="text1"/>
          <w:sz w:val="24"/>
          <w:szCs w:val="24"/>
        </w:rPr>
        <w:t xml:space="preserve">związane ustalenie odszkodowania. Generalnie przyjętą zasadą jest powiązanie stosowania nowych zasad odszkodowawczych </w:t>
      </w:r>
      <w:r w:rsidR="6C395FFE" w:rsidRPr="00FE30DC">
        <w:rPr>
          <w:rFonts w:ascii="Times New Roman" w:eastAsia="Times New Roman" w:hAnsi="Times New Roman" w:cs="Times New Roman"/>
          <w:color w:val="000000" w:themeColor="text1"/>
          <w:sz w:val="24"/>
          <w:szCs w:val="24"/>
        </w:rPr>
        <w:t xml:space="preserve">w sytuacji, gdy akt dokonujący przeznaczenia nieruchomości na cel publiczny został wydany po dniu wejścia w życie ustawy. Chroni to prawa nabyte wynikające z faktu własności (użytkowania wieczystego) nieruchomości przeznaczonej na cel publiczny </w:t>
      </w:r>
      <w:r w:rsidR="15F5804D" w:rsidRPr="00FE30DC">
        <w:rPr>
          <w:rFonts w:ascii="Times New Roman" w:eastAsia="Times New Roman" w:hAnsi="Times New Roman" w:cs="Times New Roman"/>
          <w:color w:val="000000" w:themeColor="text1"/>
          <w:sz w:val="24"/>
          <w:szCs w:val="24"/>
        </w:rPr>
        <w:t>w czasie obowiązywania dotychczasowych regulacji</w:t>
      </w:r>
      <w:r w:rsidR="6C395FFE" w:rsidRPr="00FE30DC">
        <w:rPr>
          <w:rFonts w:ascii="Times New Roman" w:eastAsia="Times New Roman" w:hAnsi="Times New Roman" w:cs="Times New Roman"/>
          <w:color w:val="000000" w:themeColor="text1"/>
          <w:sz w:val="24"/>
          <w:szCs w:val="24"/>
        </w:rPr>
        <w:t xml:space="preserve">. </w:t>
      </w:r>
      <w:r w:rsidR="2ADE4530" w:rsidRPr="00FE30DC">
        <w:rPr>
          <w:rFonts w:ascii="Times New Roman" w:eastAsia="Times New Roman" w:hAnsi="Times New Roman" w:cs="Times New Roman"/>
          <w:color w:val="000000" w:themeColor="text1"/>
          <w:sz w:val="24"/>
          <w:szCs w:val="24"/>
        </w:rPr>
        <w:t>Za zdarzenie graniczne dla stosowania nowych przepisów uznaje się albo wydanie decyzji administracyjnej</w:t>
      </w:r>
      <w:r w:rsidR="005D2986" w:rsidRPr="00FE30DC">
        <w:rPr>
          <w:rFonts w:ascii="Times New Roman" w:eastAsia="Times New Roman" w:hAnsi="Times New Roman" w:cs="Times New Roman"/>
          <w:color w:val="000000" w:themeColor="text1"/>
          <w:sz w:val="24"/>
          <w:szCs w:val="24"/>
        </w:rPr>
        <w:t xml:space="preserve"> dokonującej lokalizacji inwestycji</w:t>
      </w:r>
      <w:r w:rsidR="2ADE4530" w:rsidRPr="00FE30DC">
        <w:rPr>
          <w:rFonts w:ascii="Times New Roman" w:eastAsia="Times New Roman" w:hAnsi="Times New Roman" w:cs="Times New Roman"/>
          <w:color w:val="000000" w:themeColor="text1"/>
          <w:sz w:val="24"/>
          <w:szCs w:val="24"/>
        </w:rPr>
        <w:t>, albo wejście w życie miejscowego planu zagospodarowania przestrzennego. Dotyczy to zarówno</w:t>
      </w:r>
      <w:r w:rsidR="00FF5BFA">
        <w:rPr>
          <w:rFonts w:ascii="Times New Roman" w:eastAsia="Times New Roman" w:hAnsi="Times New Roman" w:cs="Times New Roman"/>
          <w:color w:val="000000" w:themeColor="text1"/>
          <w:sz w:val="24"/>
          <w:szCs w:val="24"/>
        </w:rPr>
        <w:t xml:space="preserve"> ogólnego stanu prawnego, jak i </w:t>
      </w:r>
      <w:r w:rsidR="2ADE4530" w:rsidRPr="00FE30DC">
        <w:rPr>
          <w:rFonts w:ascii="Times New Roman" w:eastAsia="Times New Roman" w:hAnsi="Times New Roman" w:cs="Times New Roman"/>
          <w:color w:val="000000" w:themeColor="text1"/>
          <w:sz w:val="24"/>
          <w:szCs w:val="24"/>
        </w:rPr>
        <w:t xml:space="preserve">specustaw inwestycyjnych. Analogicznie regulacje przejściowe stosuje się do </w:t>
      </w:r>
      <w:r w:rsidR="549A657E" w:rsidRPr="00FE30DC">
        <w:rPr>
          <w:rFonts w:ascii="Times New Roman" w:eastAsia="Times New Roman" w:hAnsi="Times New Roman" w:cs="Times New Roman"/>
          <w:color w:val="000000" w:themeColor="text1"/>
          <w:sz w:val="24"/>
          <w:szCs w:val="24"/>
        </w:rPr>
        <w:t>ustalenia odszkodowania w umowie.</w:t>
      </w:r>
    </w:p>
    <w:p w14:paraId="5572091E" w14:textId="70CD577C" w:rsidR="00F73D84" w:rsidRPr="00FE30DC" w:rsidRDefault="00F73D84"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lastRenderedPageBreak/>
        <w:t>Celem przepisu art. 19 ust. 2 jest natomiast jednoznaczne przesądzenie, że uzgodnienie wysokości odszkodowania za ograniczenie sposobu korzystania z nieruchomości decyzjami lokalizacyjnymi wydawanymi w trybie przewidzianym w specustawach energetycznych, będzie mogło być dokonywane w formie umowy zawartej między inwestorem albo innym uprawnionym a podmiotem, którego prawo ograniczono, nie tylko w przypadkach inwestycji, wobec których nie wydano jeszcze decyzji lokalizacyjnych, ale również w przypadkach, w</w:t>
      </w:r>
      <w:r w:rsidR="00FF5BFA">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których takie decyzje zostały wydane, ale nie doszło do wszczęcia postępowania w sprawie wydania przez wojewodę decyzji w zakresie odszkodowań</w:t>
      </w:r>
      <w:r w:rsidR="00FF5BFA">
        <w:rPr>
          <w:rFonts w:ascii="Times New Roman" w:eastAsia="Times New Roman" w:hAnsi="Times New Roman" w:cs="Times New Roman"/>
          <w:color w:val="000000" w:themeColor="text1"/>
          <w:sz w:val="24"/>
          <w:szCs w:val="24"/>
        </w:rPr>
        <w:t>, o których mowa w art. 24 ust. </w:t>
      </w:r>
      <w:r w:rsidRPr="00FE30DC">
        <w:rPr>
          <w:rFonts w:ascii="Times New Roman" w:eastAsia="Times New Roman" w:hAnsi="Times New Roman" w:cs="Times New Roman"/>
          <w:color w:val="000000" w:themeColor="text1"/>
          <w:sz w:val="24"/>
          <w:szCs w:val="24"/>
        </w:rPr>
        <w:t>2 ustawy z dnia 24 kwietnia 2009 r. o inwestycjach w zakresie terminalu regazyfikacyjnego skroplonego gazu ziemnego w Świnoujściu, art. 22 ust</w:t>
      </w:r>
      <w:r w:rsidR="00FF5BFA">
        <w:rPr>
          <w:rFonts w:ascii="Times New Roman" w:eastAsia="Times New Roman" w:hAnsi="Times New Roman" w:cs="Times New Roman"/>
          <w:color w:val="000000" w:themeColor="text1"/>
          <w:sz w:val="24"/>
          <w:szCs w:val="24"/>
        </w:rPr>
        <w:t>. 7 ustawy z dnia 24 lipca 2015 </w:t>
      </w:r>
      <w:r w:rsidRPr="00FE30DC">
        <w:rPr>
          <w:rFonts w:ascii="Times New Roman" w:eastAsia="Times New Roman" w:hAnsi="Times New Roman" w:cs="Times New Roman"/>
          <w:color w:val="000000" w:themeColor="text1"/>
          <w:sz w:val="24"/>
          <w:szCs w:val="24"/>
        </w:rPr>
        <w:t xml:space="preserve">r. </w:t>
      </w:r>
      <w:r w:rsidR="00FF5BFA">
        <w:rPr>
          <w:rFonts w:ascii="Times New Roman" w:eastAsia="Times New Roman" w:hAnsi="Times New Roman" w:cs="Times New Roman"/>
          <w:color w:val="000000" w:themeColor="text1"/>
          <w:sz w:val="24"/>
          <w:szCs w:val="24"/>
        </w:rPr>
        <w:t>o </w:t>
      </w:r>
      <w:r w:rsidRPr="00FE30DC">
        <w:rPr>
          <w:rFonts w:ascii="Times New Roman" w:eastAsia="Times New Roman" w:hAnsi="Times New Roman" w:cs="Times New Roman"/>
          <w:color w:val="000000" w:themeColor="text1"/>
          <w:sz w:val="24"/>
          <w:szCs w:val="24"/>
        </w:rPr>
        <w:t xml:space="preserve">przygotowaniu i realizacji strategicznych inwestycji w zakresie sieci przesyłowych </w:t>
      </w:r>
      <w:r w:rsidR="00FF5BFA">
        <w:rPr>
          <w:rFonts w:ascii="Times New Roman" w:eastAsia="Times New Roman" w:hAnsi="Times New Roman" w:cs="Times New Roman"/>
          <w:color w:val="000000" w:themeColor="text1"/>
          <w:sz w:val="24"/>
          <w:szCs w:val="24"/>
        </w:rPr>
        <w:t>oraz art. </w:t>
      </w:r>
      <w:r w:rsidRPr="00FE30DC">
        <w:rPr>
          <w:rFonts w:ascii="Times New Roman" w:eastAsia="Times New Roman" w:hAnsi="Times New Roman" w:cs="Times New Roman"/>
          <w:color w:val="000000" w:themeColor="text1"/>
          <w:sz w:val="24"/>
          <w:szCs w:val="24"/>
        </w:rPr>
        <w:t>30 ust. 4 ustawy z dnia 22 lutego 2019 r. o przygotowaniu i realizacji strategicznych inwestycji w sektorze naftowym.</w:t>
      </w:r>
    </w:p>
    <w:p w14:paraId="18BAA18F" w14:textId="0F33BD7D" w:rsidR="000D49BB" w:rsidRPr="00FE30DC" w:rsidRDefault="000D49BB"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Regulacje przejściowe dotyczące dopuszczalności roszczenia cywilnoprawnego określonego w art. 128a </w:t>
      </w:r>
      <w:r w:rsidRPr="001E21DA">
        <w:rPr>
          <w:rFonts w:ascii="Times New Roman" w:eastAsia="Times New Roman" w:hAnsi="Times New Roman" w:cs="Times New Roman"/>
          <w:i/>
          <w:color w:val="000000" w:themeColor="text1"/>
          <w:sz w:val="24"/>
          <w:szCs w:val="24"/>
        </w:rPr>
        <w:t>ugn</w:t>
      </w:r>
      <w:r w:rsidRPr="00FE30DC">
        <w:rPr>
          <w:rFonts w:ascii="Times New Roman" w:eastAsia="Times New Roman" w:hAnsi="Times New Roman" w:cs="Times New Roman"/>
          <w:color w:val="000000" w:themeColor="text1"/>
          <w:sz w:val="24"/>
          <w:szCs w:val="24"/>
        </w:rPr>
        <w:t xml:space="preserve"> wskazują, że przepis ten podlega zastosowaniu jedynie w przypadku, gdy odszkodowanie za wywłaszczenie zostało ustalone w </w:t>
      </w:r>
      <w:r w:rsidR="00FF5BFA">
        <w:rPr>
          <w:rFonts w:ascii="Times New Roman" w:eastAsia="Times New Roman" w:hAnsi="Times New Roman" w:cs="Times New Roman"/>
          <w:color w:val="000000" w:themeColor="text1"/>
          <w:sz w:val="24"/>
          <w:szCs w:val="24"/>
        </w:rPr>
        <w:t>oparciu o nowe zasady zawarte w </w:t>
      </w:r>
      <w:r w:rsidRPr="00FE30DC">
        <w:rPr>
          <w:rFonts w:ascii="Times New Roman" w:eastAsia="Times New Roman" w:hAnsi="Times New Roman" w:cs="Times New Roman"/>
          <w:color w:val="000000" w:themeColor="text1"/>
          <w:sz w:val="24"/>
          <w:szCs w:val="24"/>
        </w:rPr>
        <w:t>projekcie.</w:t>
      </w:r>
    </w:p>
    <w:p w14:paraId="06201B0E" w14:textId="77777777" w:rsidR="000D49BB" w:rsidRPr="00FE30DC" w:rsidRDefault="000D49BB" w:rsidP="00FE30DC">
      <w:pPr>
        <w:spacing w:before="120" w:after="0" w:line="360" w:lineRule="auto"/>
        <w:jc w:val="both"/>
        <w:rPr>
          <w:rFonts w:ascii="Times New Roman" w:eastAsia="Times New Roman" w:hAnsi="Times New Roman" w:cs="Times New Roman"/>
          <w:color w:val="000000" w:themeColor="text1"/>
          <w:sz w:val="24"/>
          <w:szCs w:val="24"/>
        </w:rPr>
      </w:pPr>
    </w:p>
    <w:p w14:paraId="76E812AC" w14:textId="43801E70"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Proponowane regulacje prawne powodują jednocześnie niezgodność części przepisów rozporządzenia wydawanego na podstawie art. 159 </w:t>
      </w:r>
      <w:r w:rsidRPr="00FE30DC">
        <w:rPr>
          <w:rFonts w:ascii="Times New Roman" w:eastAsia="Times New Roman" w:hAnsi="Times New Roman" w:cs="Times New Roman"/>
          <w:i/>
          <w:iCs/>
          <w:color w:val="000000" w:themeColor="text1"/>
          <w:sz w:val="24"/>
          <w:szCs w:val="24"/>
        </w:rPr>
        <w:t xml:space="preserve">ugn </w:t>
      </w:r>
      <w:r w:rsidRPr="00FE30DC">
        <w:rPr>
          <w:rFonts w:ascii="Times New Roman" w:eastAsia="Times New Roman" w:hAnsi="Times New Roman" w:cs="Times New Roman"/>
          <w:color w:val="000000" w:themeColor="text1"/>
          <w:sz w:val="24"/>
          <w:szCs w:val="24"/>
        </w:rPr>
        <w:t>z materią ustawową. Obecnie przedmiotowe upoważnienie ustawowe jest wykonane przez wydanie rozporządzenia Rady Ministrów z dnia 21 września 2004 r. w sprawie wyceny nieruchomości i sporządzania operatu szacunkowego. Niezgodność dotyczy przepisów § 36 i § 37 ww. rozporządzenia, precyzujących stosowanie zasady korzyści w odniesieniu do poszczególnych rodzajów inwestycji infrastrukturalnych. Rozporządzenie wymaga w tym zakresie zmiany, wchodzącej w życie w tym samym dniu co przepisy ustawy.</w:t>
      </w:r>
    </w:p>
    <w:p w14:paraId="12B393B0" w14:textId="7FFAE89B" w:rsidR="006F34BD" w:rsidRPr="00FE30DC" w:rsidRDefault="006F34BD" w:rsidP="00FE30DC">
      <w:pPr>
        <w:spacing w:before="120" w:after="0" w:line="360" w:lineRule="auto"/>
        <w:jc w:val="both"/>
        <w:rPr>
          <w:rFonts w:ascii="Times New Roman" w:eastAsia="Times New Roman" w:hAnsi="Times New Roman" w:cs="Times New Roman"/>
          <w:bCs/>
          <w:color w:val="000000" w:themeColor="text1"/>
          <w:sz w:val="24"/>
          <w:szCs w:val="24"/>
        </w:rPr>
      </w:pPr>
      <w:r w:rsidRPr="00FE30DC">
        <w:rPr>
          <w:rFonts w:ascii="Times New Roman" w:eastAsia="Times New Roman" w:hAnsi="Times New Roman" w:cs="Times New Roman"/>
          <w:bCs/>
          <w:color w:val="000000" w:themeColor="text1"/>
          <w:sz w:val="24"/>
          <w:szCs w:val="24"/>
        </w:rPr>
        <w:t>W związku z</w:t>
      </w:r>
      <w:r w:rsidR="002E7C14">
        <w:rPr>
          <w:rFonts w:ascii="Times New Roman" w:eastAsia="Times New Roman" w:hAnsi="Times New Roman" w:cs="Times New Roman"/>
          <w:bCs/>
          <w:color w:val="000000" w:themeColor="text1"/>
          <w:sz w:val="24"/>
          <w:szCs w:val="24"/>
        </w:rPr>
        <w:t>e</w:t>
      </w:r>
      <w:r w:rsidRPr="00FE30DC">
        <w:rPr>
          <w:rFonts w:ascii="Times New Roman" w:eastAsia="Times New Roman" w:hAnsi="Times New Roman" w:cs="Times New Roman"/>
          <w:bCs/>
          <w:color w:val="000000" w:themeColor="text1"/>
          <w:sz w:val="24"/>
          <w:szCs w:val="24"/>
        </w:rPr>
        <w:t xml:space="preserve"> różnicowaniem terminów wejścia w ży</w:t>
      </w:r>
      <w:r w:rsidR="00FF5BFA">
        <w:rPr>
          <w:rFonts w:ascii="Times New Roman" w:eastAsia="Times New Roman" w:hAnsi="Times New Roman" w:cs="Times New Roman"/>
          <w:bCs/>
          <w:color w:val="000000" w:themeColor="text1"/>
          <w:sz w:val="24"/>
          <w:szCs w:val="24"/>
        </w:rPr>
        <w:t>cie regulacji podatkowych (art. </w:t>
      </w:r>
      <w:r w:rsidRPr="00FE30DC">
        <w:rPr>
          <w:rFonts w:ascii="Times New Roman" w:eastAsia="Times New Roman" w:hAnsi="Times New Roman" w:cs="Times New Roman"/>
          <w:bCs/>
          <w:color w:val="000000" w:themeColor="text1"/>
          <w:sz w:val="24"/>
          <w:szCs w:val="24"/>
        </w:rPr>
        <w:t xml:space="preserve">3 w zakresie dodawanych w art. 21 w ust. 1 pkt 29ab i </w:t>
      </w:r>
      <w:r w:rsidR="00FF5BFA">
        <w:rPr>
          <w:rFonts w:ascii="Times New Roman" w:eastAsia="Times New Roman" w:hAnsi="Times New Roman" w:cs="Times New Roman"/>
          <w:bCs/>
          <w:color w:val="000000" w:themeColor="text1"/>
          <w:sz w:val="24"/>
          <w:szCs w:val="24"/>
        </w:rPr>
        <w:t>29ac oraz art. 4) dodano w art. </w:t>
      </w:r>
      <w:r w:rsidRPr="00FE30DC">
        <w:rPr>
          <w:rFonts w:ascii="Times New Roman" w:eastAsia="Times New Roman" w:hAnsi="Times New Roman" w:cs="Times New Roman"/>
          <w:bCs/>
          <w:color w:val="000000" w:themeColor="text1"/>
          <w:sz w:val="24"/>
          <w:szCs w:val="24"/>
        </w:rPr>
        <w:t xml:space="preserve">20 regulację, zgodnie z którą art. 10 ustawy z dnia 20 listopada 1998 r. </w:t>
      </w:r>
      <w:r w:rsidRPr="001E21DA">
        <w:rPr>
          <w:rFonts w:ascii="Times New Roman" w:eastAsia="Times New Roman" w:hAnsi="Times New Roman" w:cs="Times New Roman"/>
          <w:bCs/>
          <w:iCs/>
          <w:color w:val="000000" w:themeColor="text1"/>
          <w:sz w:val="24"/>
          <w:szCs w:val="24"/>
        </w:rPr>
        <w:t>o</w:t>
      </w:r>
      <w:r w:rsidR="00AE20F6" w:rsidRPr="001E21DA">
        <w:rPr>
          <w:rFonts w:ascii="Times New Roman" w:eastAsia="Times New Roman" w:hAnsi="Times New Roman" w:cs="Times New Roman"/>
          <w:bCs/>
          <w:iCs/>
          <w:color w:val="000000" w:themeColor="text1"/>
          <w:sz w:val="24"/>
          <w:szCs w:val="24"/>
        </w:rPr>
        <w:t xml:space="preserve"> </w:t>
      </w:r>
      <w:r w:rsidRPr="001E21DA">
        <w:rPr>
          <w:rFonts w:ascii="Times New Roman" w:eastAsia="Times New Roman" w:hAnsi="Times New Roman" w:cs="Times New Roman"/>
          <w:bCs/>
          <w:iCs/>
          <w:color w:val="000000" w:themeColor="text1"/>
          <w:sz w:val="24"/>
          <w:szCs w:val="24"/>
        </w:rPr>
        <w:t>zryczałtowanym podatku dochodowym od niektórych przychodów osiąganych przez osoby fizyczne</w:t>
      </w:r>
      <w:r w:rsidR="00631934">
        <w:rPr>
          <w:rFonts w:ascii="Times New Roman" w:eastAsia="Times New Roman" w:hAnsi="Times New Roman" w:cs="Times New Roman"/>
          <w:bCs/>
          <w:iCs/>
          <w:color w:val="000000" w:themeColor="text1"/>
          <w:sz w:val="24"/>
          <w:szCs w:val="24"/>
        </w:rPr>
        <w:t>,</w:t>
      </w:r>
      <w:r w:rsidRPr="00FE30DC">
        <w:rPr>
          <w:rFonts w:ascii="Times New Roman" w:eastAsia="Times New Roman" w:hAnsi="Times New Roman" w:cs="Times New Roman"/>
          <w:bCs/>
          <w:color w:val="000000" w:themeColor="text1"/>
          <w:sz w:val="24"/>
          <w:szCs w:val="24"/>
        </w:rPr>
        <w:t xml:space="preserve"> w okresie od dnia wejścia w życie części przepisów zmieniających przepisy podatkowe do dnia wejścia w życie pozostałych regulacji, będzie miał brzmienie uw</w:t>
      </w:r>
      <w:r w:rsidR="00FF5BFA">
        <w:rPr>
          <w:rFonts w:ascii="Times New Roman" w:eastAsia="Times New Roman" w:hAnsi="Times New Roman" w:cs="Times New Roman"/>
          <w:bCs/>
          <w:color w:val="000000" w:themeColor="text1"/>
          <w:sz w:val="24"/>
          <w:szCs w:val="24"/>
        </w:rPr>
        <w:t>zględniające to rozróżnienie (w </w:t>
      </w:r>
      <w:r w:rsidRPr="00FE30DC">
        <w:rPr>
          <w:rFonts w:ascii="Times New Roman" w:eastAsia="Times New Roman" w:hAnsi="Times New Roman" w:cs="Times New Roman"/>
          <w:bCs/>
          <w:color w:val="000000" w:themeColor="text1"/>
          <w:sz w:val="24"/>
          <w:szCs w:val="24"/>
        </w:rPr>
        <w:t>zakresie zwolnienia zawartego w art. 21 ust. 1 pkt 29aa ustawy o PIT).</w:t>
      </w:r>
    </w:p>
    <w:p w14:paraId="3D4ECA4C" w14:textId="77777777" w:rsidR="006F34BD" w:rsidRPr="00FE30DC" w:rsidRDefault="006F34BD" w:rsidP="00FE30DC">
      <w:pPr>
        <w:spacing w:before="120" w:after="0" w:line="360" w:lineRule="auto"/>
        <w:jc w:val="both"/>
        <w:rPr>
          <w:rFonts w:ascii="Times New Roman" w:eastAsia="Times New Roman" w:hAnsi="Times New Roman" w:cs="Times New Roman"/>
          <w:color w:val="000000" w:themeColor="text1"/>
          <w:sz w:val="24"/>
          <w:szCs w:val="24"/>
        </w:rPr>
      </w:pPr>
    </w:p>
    <w:p w14:paraId="10EF2D80" w14:textId="1CD9B6C8" w:rsidR="0080193E"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Ustawa wejdzie w życie po upływie 3 miesięcy od dnia ogłoszenia, z wyłączeniem</w:t>
      </w:r>
      <w:r w:rsidR="00BD774B" w:rsidRPr="00FE30DC">
        <w:rPr>
          <w:rFonts w:ascii="Times New Roman" w:eastAsia="Times New Roman" w:hAnsi="Times New Roman" w:cs="Times New Roman"/>
          <w:color w:val="000000" w:themeColor="text1"/>
          <w:sz w:val="24"/>
          <w:szCs w:val="24"/>
        </w:rPr>
        <w:t xml:space="preserve"> </w:t>
      </w:r>
      <w:r w:rsidR="00BD7EBE" w:rsidRPr="00FE30DC">
        <w:rPr>
          <w:rFonts w:ascii="Times New Roman" w:eastAsia="Times New Roman" w:hAnsi="Times New Roman" w:cs="Times New Roman"/>
          <w:color w:val="000000" w:themeColor="text1"/>
          <w:sz w:val="24"/>
          <w:szCs w:val="24"/>
        </w:rPr>
        <w:t xml:space="preserve">zmiany ustawy </w:t>
      </w:r>
      <w:r w:rsidR="00CA2C1A" w:rsidRPr="00FE30DC">
        <w:rPr>
          <w:rFonts w:ascii="Times New Roman" w:eastAsia="Times New Roman" w:hAnsi="Times New Roman" w:cs="Times New Roman"/>
          <w:color w:val="000000" w:themeColor="text1"/>
          <w:sz w:val="24"/>
          <w:szCs w:val="24"/>
        </w:rPr>
        <w:t xml:space="preserve">z dnia 28 lipca 1983 r. </w:t>
      </w:r>
      <w:r w:rsidR="00BD7EBE" w:rsidRPr="00FE30DC">
        <w:rPr>
          <w:rFonts w:ascii="Times New Roman" w:eastAsia="Times New Roman" w:hAnsi="Times New Roman" w:cs="Times New Roman"/>
          <w:color w:val="000000" w:themeColor="text1"/>
          <w:sz w:val="24"/>
          <w:szCs w:val="24"/>
        </w:rPr>
        <w:t xml:space="preserve">o </w:t>
      </w:r>
      <w:bookmarkStart w:id="7" w:name="_Hlk100143951"/>
      <w:r w:rsidR="00BD7EBE" w:rsidRPr="00FE30DC">
        <w:rPr>
          <w:rFonts w:ascii="Times New Roman" w:eastAsia="Times New Roman" w:hAnsi="Times New Roman" w:cs="Times New Roman"/>
          <w:color w:val="000000" w:themeColor="text1"/>
          <w:sz w:val="24"/>
          <w:szCs w:val="24"/>
        </w:rPr>
        <w:t>podatku od spadków i darowizn</w:t>
      </w:r>
      <w:bookmarkEnd w:id="7"/>
      <w:r w:rsidR="00BD7EBE" w:rsidRPr="00FE30DC">
        <w:rPr>
          <w:rFonts w:ascii="Times New Roman" w:eastAsia="Times New Roman" w:hAnsi="Times New Roman" w:cs="Times New Roman"/>
          <w:color w:val="000000" w:themeColor="text1"/>
          <w:sz w:val="24"/>
          <w:szCs w:val="24"/>
        </w:rPr>
        <w:t xml:space="preserve">, </w:t>
      </w:r>
      <w:r w:rsidR="008E7FA8" w:rsidRPr="00FE30DC">
        <w:rPr>
          <w:rFonts w:ascii="Times New Roman" w:eastAsia="Times New Roman" w:hAnsi="Times New Roman" w:cs="Times New Roman"/>
          <w:color w:val="000000" w:themeColor="text1"/>
          <w:sz w:val="24"/>
          <w:szCs w:val="24"/>
        </w:rPr>
        <w:t xml:space="preserve">części zmian dotyczących </w:t>
      </w:r>
      <w:r w:rsidR="00BD7EBE" w:rsidRPr="00FE30DC">
        <w:rPr>
          <w:rFonts w:ascii="Times New Roman" w:eastAsia="Times New Roman" w:hAnsi="Times New Roman" w:cs="Times New Roman"/>
          <w:color w:val="000000" w:themeColor="text1"/>
          <w:sz w:val="24"/>
          <w:szCs w:val="24"/>
        </w:rPr>
        <w:t xml:space="preserve">ustawy </w:t>
      </w:r>
      <w:r w:rsidR="0097178C" w:rsidRPr="00FE30DC">
        <w:rPr>
          <w:rFonts w:ascii="Times New Roman" w:eastAsia="Times New Roman" w:hAnsi="Times New Roman" w:cs="Times New Roman"/>
          <w:color w:val="000000" w:themeColor="text1"/>
          <w:sz w:val="24"/>
          <w:szCs w:val="24"/>
        </w:rPr>
        <w:t xml:space="preserve">z dnia 26 lipca 1991 r. </w:t>
      </w:r>
      <w:r w:rsidR="00BD7EBE" w:rsidRPr="00FE30DC">
        <w:rPr>
          <w:rFonts w:ascii="Times New Roman" w:eastAsia="Times New Roman" w:hAnsi="Times New Roman" w:cs="Times New Roman"/>
          <w:color w:val="000000" w:themeColor="text1"/>
          <w:sz w:val="24"/>
          <w:szCs w:val="24"/>
        </w:rPr>
        <w:t>o podatku dochodowym od osób fizycznych</w:t>
      </w:r>
      <w:r w:rsidR="00884ED9" w:rsidRPr="00FE30DC">
        <w:rPr>
          <w:rFonts w:ascii="Times New Roman" w:eastAsia="Times New Roman" w:hAnsi="Times New Roman" w:cs="Times New Roman"/>
          <w:color w:val="000000" w:themeColor="text1"/>
          <w:sz w:val="24"/>
          <w:szCs w:val="24"/>
        </w:rPr>
        <w:t>, zmiany</w:t>
      </w:r>
      <w:r w:rsidR="00884ED9" w:rsidRPr="00FE30DC">
        <w:rPr>
          <w:rFonts w:ascii="Times New Roman" w:eastAsiaTheme="minorEastAsia" w:hAnsi="Times New Roman" w:cs="Times New Roman"/>
          <w:sz w:val="24"/>
          <w:szCs w:val="24"/>
          <w:lang w:eastAsia="pl-PL"/>
        </w:rPr>
        <w:t xml:space="preserve"> </w:t>
      </w:r>
      <w:r w:rsidR="00884ED9" w:rsidRPr="00FE30DC">
        <w:rPr>
          <w:rFonts w:ascii="Times New Roman" w:eastAsia="Times New Roman" w:hAnsi="Times New Roman" w:cs="Times New Roman"/>
          <w:color w:val="000000" w:themeColor="text1"/>
          <w:sz w:val="24"/>
          <w:szCs w:val="24"/>
        </w:rPr>
        <w:t>ustawy</w:t>
      </w:r>
      <w:r w:rsidR="00FF5BFA">
        <w:rPr>
          <w:rFonts w:ascii="Times New Roman" w:eastAsia="Times New Roman" w:hAnsi="Times New Roman" w:cs="Times New Roman"/>
          <w:color w:val="000000" w:themeColor="text1"/>
          <w:sz w:val="24"/>
          <w:szCs w:val="24"/>
        </w:rPr>
        <w:t xml:space="preserve"> z </w:t>
      </w:r>
      <w:r w:rsidR="00884ED9" w:rsidRPr="00FE30DC">
        <w:rPr>
          <w:rFonts w:ascii="Times New Roman" w:eastAsia="Times New Roman" w:hAnsi="Times New Roman" w:cs="Times New Roman"/>
          <w:color w:val="000000" w:themeColor="text1"/>
          <w:sz w:val="24"/>
          <w:szCs w:val="24"/>
        </w:rPr>
        <w:t>dnia 20 listopada 1998 r. o zryczałtowanym podatku dochodowym od niektórych przychodów osiąganych przez osoby fizyczne</w:t>
      </w:r>
      <w:r w:rsidR="00BD7EBE" w:rsidRPr="00FE30DC">
        <w:rPr>
          <w:rFonts w:ascii="Times New Roman" w:eastAsia="Times New Roman" w:hAnsi="Times New Roman" w:cs="Times New Roman"/>
          <w:color w:val="000000" w:themeColor="text1"/>
          <w:sz w:val="24"/>
          <w:szCs w:val="24"/>
        </w:rPr>
        <w:t xml:space="preserve"> </w:t>
      </w:r>
      <w:r w:rsidR="008E7FA8" w:rsidRPr="00FE30DC">
        <w:rPr>
          <w:rFonts w:ascii="Times New Roman" w:eastAsia="Times New Roman" w:hAnsi="Times New Roman" w:cs="Times New Roman"/>
          <w:color w:val="000000" w:themeColor="text1"/>
          <w:sz w:val="24"/>
          <w:szCs w:val="24"/>
        </w:rPr>
        <w:t xml:space="preserve">oraz </w:t>
      </w:r>
      <w:r w:rsidR="00BC2B28" w:rsidRPr="00FE30DC">
        <w:rPr>
          <w:rFonts w:ascii="Times New Roman" w:eastAsia="Times New Roman" w:hAnsi="Times New Roman" w:cs="Times New Roman"/>
          <w:color w:val="000000" w:themeColor="text1"/>
          <w:sz w:val="24"/>
          <w:szCs w:val="24"/>
        </w:rPr>
        <w:t xml:space="preserve">części </w:t>
      </w:r>
      <w:r w:rsidRPr="00FE30DC">
        <w:rPr>
          <w:rFonts w:ascii="Times New Roman" w:eastAsia="Times New Roman" w:hAnsi="Times New Roman" w:cs="Times New Roman"/>
          <w:color w:val="000000" w:themeColor="text1"/>
          <w:sz w:val="24"/>
          <w:szCs w:val="24"/>
        </w:rPr>
        <w:t xml:space="preserve">zmian dotyczących ustawy </w:t>
      </w:r>
      <w:r w:rsidR="0097178C" w:rsidRPr="00FE30DC">
        <w:rPr>
          <w:rFonts w:ascii="Times New Roman" w:eastAsia="Times New Roman" w:hAnsi="Times New Roman" w:cs="Times New Roman"/>
          <w:color w:val="000000" w:themeColor="text1"/>
          <w:sz w:val="24"/>
          <w:szCs w:val="24"/>
        </w:rPr>
        <w:t xml:space="preserve">z dnia 10 maja 2018 r. </w:t>
      </w:r>
      <w:r w:rsidRPr="00FE30DC">
        <w:rPr>
          <w:rFonts w:ascii="Times New Roman" w:eastAsia="Times New Roman" w:hAnsi="Times New Roman" w:cs="Times New Roman"/>
          <w:color w:val="000000" w:themeColor="text1"/>
          <w:sz w:val="24"/>
          <w:szCs w:val="24"/>
        </w:rPr>
        <w:t>o Centralnym Porcie Komunikacyjnym</w:t>
      </w:r>
      <w:r w:rsidR="00BD774B" w:rsidRPr="00FE30DC">
        <w:rPr>
          <w:rFonts w:ascii="Times New Roman" w:eastAsia="Times New Roman" w:hAnsi="Times New Roman" w:cs="Times New Roman"/>
          <w:color w:val="000000" w:themeColor="text1"/>
          <w:sz w:val="24"/>
          <w:szCs w:val="24"/>
        </w:rPr>
        <w:t xml:space="preserve"> </w:t>
      </w:r>
      <w:r w:rsidRPr="00FE30DC">
        <w:rPr>
          <w:rFonts w:ascii="Times New Roman" w:eastAsia="Times New Roman" w:hAnsi="Times New Roman" w:cs="Times New Roman"/>
          <w:color w:val="000000" w:themeColor="text1"/>
          <w:sz w:val="24"/>
          <w:szCs w:val="24"/>
        </w:rPr>
        <w:t xml:space="preserve">które – będąc </w:t>
      </w:r>
      <w:r w:rsidR="00E05B16" w:rsidRPr="00FE30DC">
        <w:rPr>
          <w:rFonts w:ascii="Times New Roman" w:eastAsia="Times New Roman" w:hAnsi="Times New Roman" w:cs="Times New Roman"/>
          <w:color w:val="000000" w:themeColor="text1"/>
          <w:sz w:val="24"/>
          <w:szCs w:val="24"/>
        </w:rPr>
        <w:t xml:space="preserve">jednoznacznie </w:t>
      </w:r>
      <w:r w:rsidRPr="00FE30DC">
        <w:rPr>
          <w:rFonts w:ascii="Times New Roman" w:eastAsia="Times New Roman" w:hAnsi="Times New Roman" w:cs="Times New Roman"/>
          <w:color w:val="000000" w:themeColor="text1"/>
          <w:sz w:val="24"/>
          <w:szCs w:val="24"/>
        </w:rPr>
        <w:t xml:space="preserve">korzystne dla adresatów normy prawnej – mogą wejść w życie z pominięciem wydłużonego okresu </w:t>
      </w:r>
      <w:r w:rsidR="00D172B1" w:rsidRPr="00FE30DC">
        <w:rPr>
          <w:rFonts w:ascii="Times New Roman" w:eastAsia="Times New Roman" w:hAnsi="Times New Roman" w:cs="Times New Roman"/>
          <w:i/>
          <w:iCs/>
          <w:color w:val="000000" w:themeColor="text1"/>
          <w:sz w:val="24"/>
          <w:szCs w:val="24"/>
        </w:rPr>
        <w:t>vacatio legis</w:t>
      </w:r>
      <w:r w:rsidR="00620204" w:rsidRPr="00FE30DC">
        <w:rPr>
          <w:rFonts w:ascii="Times New Roman" w:eastAsia="Times New Roman" w:hAnsi="Times New Roman" w:cs="Times New Roman"/>
          <w:color w:val="000000" w:themeColor="text1"/>
          <w:sz w:val="24"/>
          <w:szCs w:val="24"/>
        </w:rPr>
        <w:t>.</w:t>
      </w:r>
    </w:p>
    <w:p w14:paraId="5510B080" w14:textId="77777777"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Kompleksowe omówienie skutków projektowanych zmian, jak również wzorców prawno-międzynarodowych, na których je oparto, zawarto w załączniku do niniejszego uzasadnienia – Ocenie Skutków Regulacji.</w:t>
      </w:r>
    </w:p>
    <w:p w14:paraId="7C4FFA82" w14:textId="77777777"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W zakresie wpływu regulacji na funkcjonowanie mikro-, małych i średnich przedsiębiorstw należy wskazać na jednoznacznie pozytywny wymiar projektu, z uwagi na zwiększenie wysokości odszkodowania w przypadku wywłaszczenia nieruchomości przeznaczonej do prowadzenia działalności gospodarczej oraz wprowadzenie dodatkowego roszczenia cywilnoprawnego w tym zakresie.</w:t>
      </w:r>
    </w:p>
    <w:p w14:paraId="234A4F87" w14:textId="77777777"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Projekt nie jest objęty zakresem prawa Unii Europejskiej – regulacje dotyczące wywłaszczenia nieruchomości pozostają materią regulacyjną państw członkowskich.</w:t>
      </w:r>
    </w:p>
    <w:p w14:paraId="74D9C315" w14:textId="3EAFC65C" w:rsidR="00696752" w:rsidRPr="00FE30DC" w:rsidRDefault="00696752" w:rsidP="00FE30DC">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Projekt nie podlega procedurze notyfikacji z</w:t>
      </w:r>
      <w:r w:rsidR="00FF5BFA">
        <w:rPr>
          <w:rFonts w:ascii="Times New Roman" w:eastAsia="Times New Roman" w:hAnsi="Times New Roman" w:cs="Times New Roman"/>
          <w:color w:val="000000" w:themeColor="text1"/>
          <w:sz w:val="24"/>
          <w:szCs w:val="24"/>
        </w:rPr>
        <w:t>godnie z trybem przewidzianym w </w:t>
      </w:r>
      <w:r w:rsidRPr="00FE30DC">
        <w:rPr>
          <w:rFonts w:ascii="Times New Roman" w:eastAsia="Times New Roman" w:hAnsi="Times New Roman" w:cs="Times New Roman"/>
          <w:color w:val="000000" w:themeColor="text1"/>
          <w:sz w:val="24"/>
          <w:szCs w:val="24"/>
        </w:rPr>
        <w:t>rozporządzeniu Rady Ministrów z dnia 23 grudnia 2002 r. w sprawie sposobu funkcjonowania krajowego systemu notyfikacji norm i aktó</w:t>
      </w:r>
      <w:r w:rsidR="00FF5BFA">
        <w:rPr>
          <w:rFonts w:ascii="Times New Roman" w:eastAsia="Times New Roman" w:hAnsi="Times New Roman" w:cs="Times New Roman"/>
          <w:color w:val="000000" w:themeColor="text1"/>
          <w:sz w:val="24"/>
          <w:szCs w:val="24"/>
        </w:rPr>
        <w:t>w prawnych (Dz. U. poz. 2039, z </w:t>
      </w:r>
      <w:r w:rsidRPr="00FE30DC">
        <w:rPr>
          <w:rFonts w:ascii="Times New Roman" w:eastAsia="Times New Roman" w:hAnsi="Times New Roman" w:cs="Times New Roman"/>
          <w:color w:val="000000" w:themeColor="text1"/>
          <w:sz w:val="24"/>
          <w:szCs w:val="24"/>
        </w:rPr>
        <w:t>późn. zm.).</w:t>
      </w:r>
    </w:p>
    <w:p w14:paraId="6AE3AFB8" w14:textId="506F3882" w:rsidR="005D7CF8" w:rsidRPr="00FF5BFA" w:rsidRDefault="00696752" w:rsidP="00FF5BFA">
      <w:pPr>
        <w:spacing w:before="120" w:after="0" w:line="360" w:lineRule="auto"/>
        <w:jc w:val="both"/>
        <w:rPr>
          <w:rFonts w:ascii="Times New Roman" w:eastAsia="Times New Roman" w:hAnsi="Times New Roman" w:cs="Times New Roman"/>
          <w:color w:val="000000" w:themeColor="text1"/>
          <w:sz w:val="24"/>
          <w:szCs w:val="24"/>
        </w:rPr>
      </w:pPr>
      <w:r w:rsidRPr="00FE30DC">
        <w:rPr>
          <w:rFonts w:ascii="Times New Roman" w:eastAsia="Times New Roman" w:hAnsi="Times New Roman" w:cs="Times New Roman"/>
          <w:color w:val="000000" w:themeColor="text1"/>
          <w:sz w:val="24"/>
          <w:szCs w:val="24"/>
        </w:rPr>
        <w:t xml:space="preserve">Projekt nie podlega obowiązkowi uzyskania opinii organów i </w:t>
      </w:r>
      <w:r w:rsidR="00FF5BFA">
        <w:rPr>
          <w:rFonts w:ascii="Times New Roman" w:eastAsia="Times New Roman" w:hAnsi="Times New Roman" w:cs="Times New Roman"/>
          <w:color w:val="000000" w:themeColor="text1"/>
          <w:sz w:val="24"/>
          <w:szCs w:val="24"/>
        </w:rPr>
        <w:t>instytucji Unii Europejskiej, w </w:t>
      </w:r>
      <w:r w:rsidRPr="00FE30DC">
        <w:rPr>
          <w:rFonts w:ascii="Times New Roman" w:eastAsia="Times New Roman" w:hAnsi="Times New Roman" w:cs="Times New Roman"/>
          <w:color w:val="000000" w:themeColor="text1"/>
          <w:sz w:val="24"/>
          <w:szCs w:val="24"/>
        </w:rPr>
        <w:t xml:space="preserve">tym Europejskiego Banku Centralnego, o którym mowa w § 39 uchwały nr 190 Rady Ministrów z dnia 29 października 2013 r. – Regulamin pracy Rady Ministrów (M.P. z </w:t>
      </w:r>
      <w:r w:rsidR="005F469A" w:rsidRPr="00FE30DC">
        <w:rPr>
          <w:rFonts w:ascii="Times New Roman" w:eastAsia="Times New Roman" w:hAnsi="Times New Roman" w:cs="Times New Roman"/>
          <w:color w:val="000000" w:themeColor="text1"/>
          <w:sz w:val="24"/>
          <w:szCs w:val="24"/>
        </w:rPr>
        <w:t>2022</w:t>
      </w:r>
      <w:r w:rsidR="00FF5BFA">
        <w:rPr>
          <w:rFonts w:ascii="Times New Roman" w:eastAsia="Times New Roman" w:hAnsi="Times New Roman" w:cs="Times New Roman"/>
          <w:color w:val="000000" w:themeColor="text1"/>
          <w:sz w:val="24"/>
          <w:szCs w:val="24"/>
        </w:rPr>
        <w:t> </w:t>
      </w:r>
      <w:r w:rsidRPr="00FE30DC">
        <w:rPr>
          <w:rFonts w:ascii="Times New Roman" w:eastAsia="Times New Roman" w:hAnsi="Times New Roman" w:cs="Times New Roman"/>
          <w:color w:val="000000" w:themeColor="text1"/>
          <w:sz w:val="24"/>
          <w:szCs w:val="24"/>
        </w:rPr>
        <w:t xml:space="preserve">r. poz. </w:t>
      </w:r>
      <w:r w:rsidR="005F469A" w:rsidRPr="00FE30DC">
        <w:rPr>
          <w:rFonts w:ascii="Times New Roman" w:eastAsia="Times New Roman" w:hAnsi="Times New Roman" w:cs="Times New Roman"/>
          <w:color w:val="000000" w:themeColor="text1"/>
          <w:sz w:val="24"/>
          <w:szCs w:val="24"/>
        </w:rPr>
        <w:t>348</w:t>
      </w:r>
      <w:r w:rsidRPr="00FE30DC">
        <w:rPr>
          <w:rFonts w:ascii="Times New Roman" w:eastAsia="Times New Roman" w:hAnsi="Times New Roman" w:cs="Times New Roman"/>
          <w:color w:val="000000" w:themeColor="text1"/>
          <w:sz w:val="24"/>
          <w:szCs w:val="24"/>
        </w:rPr>
        <w:t>).</w:t>
      </w:r>
    </w:p>
    <w:sectPr w:rsidR="005D7CF8" w:rsidRPr="00FF5BFA" w:rsidSect="00FE30D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C68BE" w14:textId="77777777" w:rsidR="00011F99" w:rsidRDefault="00011F99" w:rsidP="00696752">
      <w:pPr>
        <w:spacing w:after="0" w:line="240" w:lineRule="auto"/>
      </w:pPr>
      <w:r>
        <w:separator/>
      </w:r>
    </w:p>
  </w:endnote>
  <w:endnote w:type="continuationSeparator" w:id="0">
    <w:p w14:paraId="199B5271" w14:textId="77777777" w:rsidR="00011F99" w:rsidRDefault="00011F99" w:rsidP="00696752">
      <w:pPr>
        <w:spacing w:after="0" w:line="240" w:lineRule="auto"/>
      </w:pPr>
      <w:r>
        <w:continuationSeparator/>
      </w:r>
    </w:p>
  </w:endnote>
  <w:endnote w:type="continuationNotice" w:id="1">
    <w:p w14:paraId="4FFE023F" w14:textId="77777777" w:rsidR="00011F99" w:rsidRDefault="00011F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267325"/>
      <w:docPartObj>
        <w:docPartGallery w:val="Page Numbers (Bottom of Page)"/>
        <w:docPartUnique/>
      </w:docPartObj>
    </w:sdtPr>
    <w:sdtEndPr>
      <w:rPr>
        <w:rFonts w:ascii="Times New Roman" w:hAnsi="Times New Roman" w:cs="Times New Roman"/>
        <w:sz w:val="24"/>
        <w:szCs w:val="24"/>
      </w:rPr>
    </w:sdtEndPr>
    <w:sdtContent>
      <w:p w14:paraId="1DC874BB" w14:textId="50221E25" w:rsidR="00475545" w:rsidRPr="00FE30DC" w:rsidRDefault="00475545" w:rsidP="00FE30DC">
        <w:pPr>
          <w:pStyle w:val="Stopka"/>
          <w:jc w:val="center"/>
          <w:rPr>
            <w:rFonts w:ascii="Times New Roman" w:hAnsi="Times New Roman" w:cs="Times New Roman"/>
            <w:sz w:val="24"/>
            <w:szCs w:val="24"/>
          </w:rPr>
        </w:pPr>
        <w:r w:rsidRPr="00FE30DC">
          <w:rPr>
            <w:rFonts w:ascii="Times New Roman" w:hAnsi="Times New Roman" w:cs="Times New Roman"/>
            <w:sz w:val="24"/>
            <w:szCs w:val="24"/>
          </w:rPr>
          <w:fldChar w:fldCharType="begin"/>
        </w:r>
        <w:r w:rsidRPr="00FE30DC">
          <w:rPr>
            <w:rFonts w:ascii="Times New Roman" w:hAnsi="Times New Roman" w:cs="Times New Roman"/>
            <w:sz w:val="24"/>
            <w:szCs w:val="24"/>
          </w:rPr>
          <w:instrText>PAGE   \* MERGEFORMAT</w:instrText>
        </w:r>
        <w:r w:rsidRPr="00FE30DC">
          <w:rPr>
            <w:rFonts w:ascii="Times New Roman" w:hAnsi="Times New Roman" w:cs="Times New Roman"/>
            <w:sz w:val="24"/>
            <w:szCs w:val="24"/>
          </w:rPr>
          <w:fldChar w:fldCharType="separate"/>
        </w:r>
        <w:r w:rsidR="00356E91">
          <w:rPr>
            <w:rFonts w:ascii="Times New Roman" w:hAnsi="Times New Roman" w:cs="Times New Roman"/>
            <w:noProof/>
            <w:sz w:val="24"/>
            <w:szCs w:val="24"/>
          </w:rPr>
          <w:t>20</w:t>
        </w:r>
        <w:r w:rsidRPr="00FE30D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4567B" w14:textId="77777777" w:rsidR="00011F99" w:rsidRDefault="00011F99" w:rsidP="00696752">
      <w:pPr>
        <w:spacing w:after="0" w:line="240" w:lineRule="auto"/>
      </w:pPr>
      <w:r>
        <w:separator/>
      </w:r>
    </w:p>
  </w:footnote>
  <w:footnote w:type="continuationSeparator" w:id="0">
    <w:p w14:paraId="55956F50" w14:textId="77777777" w:rsidR="00011F99" w:rsidRDefault="00011F99" w:rsidP="00696752">
      <w:pPr>
        <w:spacing w:after="0" w:line="240" w:lineRule="auto"/>
      </w:pPr>
      <w:r>
        <w:continuationSeparator/>
      </w:r>
    </w:p>
  </w:footnote>
  <w:footnote w:type="continuationNotice" w:id="1">
    <w:p w14:paraId="7890FC7A" w14:textId="77777777" w:rsidR="00011F99" w:rsidRDefault="00011F99">
      <w:pPr>
        <w:spacing w:after="0" w:line="240" w:lineRule="auto"/>
      </w:pPr>
    </w:p>
  </w:footnote>
  <w:footnote w:id="2">
    <w:p w14:paraId="5767DE77" w14:textId="0809DBB2" w:rsidR="00696752" w:rsidRPr="00495771" w:rsidRDefault="00696752" w:rsidP="00696752">
      <w:pPr>
        <w:spacing w:after="0"/>
        <w:jc w:val="both"/>
        <w:rPr>
          <w:rFonts w:ascii="Times New Roman" w:hAnsi="Times New Roman" w:cs="Times New Roman"/>
          <w:sz w:val="20"/>
          <w:szCs w:val="20"/>
        </w:rPr>
      </w:pPr>
      <w:r w:rsidRPr="00A103B4">
        <w:rPr>
          <w:rStyle w:val="Odwoanieprzypisudolnego"/>
          <w:rFonts w:ascii="Times New Roman" w:hAnsi="Times New Roman" w:cs="Times New Roman"/>
          <w:sz w:val="20"/>
          <w:szCs w:val="20"/>
        </w:rPr>
        <w:footnoteRef/>
      </w:r>
      <w:r w:rsidR="00325B00" w:rsidRPr="00325B00">
        <w:rPr>
          <w:rFonts w:ascii="Times New Roman" w:hAnsi="Times New Roman" w:cs="Times New Roman"/>
          <w:sz w:val="20"/>
          <w:szCs w:val="20"/>
          <w:vertAlign w:val="superscript"/>
        </w:rPr>
        <w:t>)</w:t>
      </w:r>
      <w:r w:rsidRPr="00A103B4">
        <w:rPr>
          <w:rFonts w:ascii="Times New Roman" w:hAnsi="Times New Roman" w:cs="Times New Roman"/>
          <w:sz w:val="20"/>
          <w:szCs w:val="20"/>
        </w:rPr>
        <w:t xml:space="preserve"> „Funkcja gwarancji wartości i jej subsydiarny charakter determinują wartość odszkodowania, która powinna stanowić ekwiwalent dobra wywłaszczonego.” </w:t>
      </w:r>
      <w:r w:rsidR="007617D5">
        <w:rPr>
          <w:rFonts w:ascii="Times New Roman" w:hAnsi="Times New Roman" w:cs="Times New Roman"/>
          <w:sz w:val="20"/>
          <w:szCs w:val="20"/>
        </w:rPr>
        <w:t>–</w:t>
      </w:r>
      <w:r w:rsidRPr="00A103B4">
        <w:rPr>
          <w:rFonts w:ascii="Times New Roman" w:hAnsi="Times New Roman" w:cs="Times New Roman"/>
          <w:sz w:val="20"/>
          <w:szCs w:val="20"/>
        </w:rPr>
        <w:t xml:space="preserve"> </w:t>
      </w:r>
      <w:r w:rsidRPr="00A103B4">
        <w:rPr>
          <w:rFonts w:ascii="Times New Roman" w:eastAsia="Times New Roman" w:hAnsi="Times New Roman" w:cs="Times New Roman"/>
          <w:i/>
          <w:iCs/>
          <w:sz w:val="20"/>
          <w:szCs w:val="20"/>
          <w:lang w:eastAsia="pl-PL"/>
        </w:rPr>
        <w:t>M. Safjan</w:t>
      </w:r>
      <w:r w:rsidR="00942038">
        <w:rPr>
          <w:rFonts w:ascii="Times New Roman" w:eastAsia="Times New Roman" w:hAnsi="Times New Roman" w:cs="Times New Roman"/>
          <w:sz w:val="20"/>
          <w:szCs w:val="20"/>
          <w:lang w:eastAsia="pl-PL"/>
        </w:rPr>
        <w:t xml:space="preserve">, </w:t>
      </w:r>
      <w:r w:rsidRPr="00A103B4">
        <w:rPr>
          <w:rFonts w:ascii="Times New Roman" w:eastAsia="Times New Roman" w:hAnsi="Times New Roman" w:cs="Times New Roman"/>
          <w:i/>
          <w:iCs/>
          <w:sz w:val="20"/>
          <w:szCs w:val="20"/>
          <w:lang w:eastAsia="pl-PL"/>
        </w:rPr>
        <w:t>L. Bosek</w:t>
      </w:r>
      <w:r w:rsidR="00942038">
        <w:rPr>
          <w:rFonts w:ascii="Times New Roman" w:eastAsia="Times New Roman" w:hAnsi="Times New Roman" w:cs="Times New Roman"/>
          <w:sz w:val="20"/>
          <w:szCs w:val="20"/>
          <w:lang w:eastAsia="pl-PL"/>
        </w:rPr>
        <w:t xml:space="preserve"> </w:t>
      </w:r>
      <w:r w:rsidRPr="00A103B4">
        <w:rPr>
          <w:rFonts w:ascii="Times New Roman" w:eastAsia="Times New Roman" w:hAnsi="Times New Roman" w:cs="Times New Roman"/>
          <w:sz w:val="20"/>
          <w:szCs w:val="20"/>
          <w:lang w:eastAsia="pl-PL"/>
        </w:rPr>
        <w:t>(red.), Konstytucja RP. Tom I. Komentarz do art. 1–86, Warszawa 2016</w:t>
      </w:r>
      <w:r w:rsidR="00495771">
        <w:rPr>
          <w:rFonts w:ascii="Times New Roman" w:eastAsia="Times New Roman" w:hAnsi="Times New Roman" w:cs="Times New Roman"/>
          <w:sz w:val="20"/>
          <w:szCs w:val="20"/>
          <w:lang w:eastAsia="pl-PL"/>
        </w:rPr>
        <w:t>.</w:t>
      </w:r>
    </w:p>
  </w:footnote>
  <w:footnote w:id="3">
    <w:p w14:paraId="46CE65C7" w14:textId="299064FC" w:rsidR="00696752" w:rsidRPr="00A103B4" w:rsidRDefault="00696752" w:rsidP="00696752">
      <w:pPr>
        <w:pStyle w:val="Tekstprzypisudolnego"/>
        <w:rPr>
          <w:rFonts w:ascii="Times New Roman" w:hAnsi="Times New Roman" w:cs="Times New Roman"/>
        </w:rPr>
      </w:pPr>
      <w:r w:rsidRPr="00A103B4">
        <w:rPr>
          <w:rStyle w:val="Odwoanieprzypisudolnego"/>
          <w:rFonts w:ascii="Times New Roman" w:hAnsi="Times New Roman" w:cs="Times New Roman"/>
        </w:rPr>
        <w:footnoteRef/>
      </w:r>
      <w:r w:rsidR="00325B00" w:rsidRPr="00325B00">
        <w:rPr>
          <w:rFonts w:ascii="Times New Roman" w:hAnsi="Times New Roman" w:cs="Times New Roman"/>
          <w:vertAlign w:val="superscript"/>
        </w:rPr>
        <w:t>)</w:t>
      </w:r>
      <w:r w:rsidRPr="00A103B4">
        <w:rPr>
          <w:rFonts w:ascii="Times New Roman" w:hAnsi="Times New Roman" w:cs="Times New Roman"/>
        </w:rPr>
        <w:t xml:space="preserve"> B. Banaszak, Konstytucja Rzeczypospolitej Polskiej. Komentarz. Wyd. 2, Warszawa 2012</w:t>
      </w:r>
      <w:r w:rsidR="00325B00">
        <w:rPr>
          <w:rFonts w:ascii="Times New Roman" w:hAnsi="Times New Roman" w:cs="Times New Roman"/>
        </w:rPr>
        <w:t>.</w:t>
      </w:r>
    </w:p>
  </w:footnote>
  <w:footnote w:id="4">
    <w:p w14:paraId="7723685E" w14:textId="516E9B94" w:rsidR="00696752" w:rsidRPr="00A103B4" w:rsidRDefault="00696752" w:rsidP="00696752">
      <w:pPr>
        <w:pStyle w:val="Tekstprzypisudolnego"/>
        <w:jc w:val="both"/>
        <w:rPr>
          <w:rFonts w:ascii="Times New Roman" w:hAnsi="Times New Roman" w:cs="Times New Roman"/>
        </w:rPr>
      </w:pPr>
      <w:r w:rsidRPr="00A103B4">
        <w:rPr>
          <w:rStyle w:val="Odwoanieprzypisudolnego"/>
          <w:rFonts w:ascii="Times New Roman" w:hAnsi="Times New Roman" w:cs="Times New Roman"/>
        </w:rPr>
        <w:footnoteRef/>
      </w:r>
      <w:r w:rsidR="00325B00" w:rsidRPr="00325B00">
        <w:rPr>
          <w:rFonts w:ascii="Times New Roman" w:hAnsi="Times New Roman" w:cs="Times New Roman"/>
          <w:vertAlign w:val="superscript"/>
        </w:rPr>
        <w:t>)</w:t>
      </w:r>
      <w:r w:rsidRPr="00A103B4">
        <w:rPr>
          <w:rFonts w:ascii="Times New Roman" w:hAnsi="Times New Roman" w:cs="Times New Roman"/>
        </w:rPr>
        <w:t xml:space="preserve"> Orzeczenie Trybunału Konstytucyjnego z dnia 19 czerwca 1990 r. w sprawie K 2/90</w:t>
      </w:r>
      <w:r>
        <w:rPr>
          <w:rFonts w:ascii="Times New Roman" w:hAnsi="Times New Roman" w:cs="Times New Roman"/>
        </w:rPr>
        <w:t xml:space="preserve">, </w:t>
      </w:r>
      <w:r w:rsidR="004324C9">
        <w:rPr>
          <w:rFonts w:ascii="Times New Roman" w:hAnsi="Times New Roman" w:cs="Times New Roman"/>
        </w:rPr>
        <w:t>OTK 1990, poz. </w:t>
      </w:r>
      <w:r w:rsidRPr="006D2DE9">
        <w:rPr>
          <w:rFonts w:ascii="Times New Roman" w:hAnsi="Times New Roman" w:cs="Times New Roman"/>
        </w:rPr>
        <w:t>3, Legalis</w:t>
      </w:r>
      <w:r w:rsidR="00325B0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76A6"/>
    <w:multiLevelType w:val="hybridMultilevel"/>
    <w:tmpl w:val="2318DBBA"/>
    <w:lvl w:ilvl="0" w:tplc="82C2B7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FF3687"/>
    <w:multiLevelType w:val="hybridMultilevel"/>
    <w:tmpl w:val="36526E74"/>
    <w:lvl w:ilvl="0" w:tplc="82C2B7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8B1280"/>
    <w:multiLevelType w:val="hybridMultilevel"/>
    <w:tmpl w:val="CB3077BA"/>
    <w:lvl w:ilvl="0" w:tplc="A9F83356">
      <w:start w:val="1"/>
      <w:numFmt w:val="bullet"/>
      <w:lvlText w:val=" "/>
      <w:lvlJc w:val="left"/>
      <w:pPr>
        <w:tabs>
          <w:tab w:val="num" w:pos="720"/>
        </w:tabs>
        <w:ind w:left="720" w:hanging="360"/>
      </w:pPr>
      <w:rPr>
        <w:rFonts w:ascii="Arial" w:hAnsi="Arial" w:hint="default"/>
      </w:rPr>
    </w:lvl>
    <w:lvl w:ilvl="1" w:tplc="C75CD2EE" w:tentative="1">
      <w:start w:val="1"/>
      <w:numFmt w:val="bullet"/>
      <w:lvlText w:val=" "/>
      <w:lvlJc w:val="left"/>
      <w:pPr>
        <w:tabs>
          <w:tab w:val="num" w:pos="1440"/>
        </w:tabs>
        <w:ind w:left="1440" w:hanging="360"/>
      </w:pPr>
      <w:rPr>
        <w:rFonts w:ascii="Arial" w:hAnsi="Arial" w:hint="default"/>
      </w:rPr>
    </w:lvl>
    <w:lvl w:ilvl="2" w:tplc="849A6ADC" w:tentative="1">
      <w:start w:val="1"/>
      <w:numFmt w:val="bullet"/>
      <w:lvlText w:val=" "/>
      <w:lvlJc w:val="left"/>
      <w:pPr>
        <w:tabs>
          <w:tab w:val="num" w:pos="2160"/>
        </w:tabs>
        <w:ind w:left="2160" w:hanging="360"/>
      </w:pPr>
      <w:rPr>
        <w:rFonts w:ascii="Arial" w:hAnsi="Arial" w:hint="default"/>
      </w:rPr>
    </w:lvl>
    <w:lvl w:ilvl="3" w:tplc="D70C6E12" w:tentative="1">
      <w:start w:val="1"/>
      <w:numFmt w:val="bullet"/>
      <w:lvlText w:val=" "/>
      <w:lvlJc w:val="left"/>
      <w:pPr>
        <w:tabs>
          <w:tab w:val="num" w:pos="2880"/>
        </w:tabs>
        <w:ind w:left="2880" w:hanging="360"/>
      </w:pPr>
      <w:rPr>
        <w:rFonts w:ascii="Arial" w:hAnsi="Arial" w:hint="default"/>
      </w:rPr>
    </w:lvl>
    <w:lvl w:ilvl="4" w:tplc="3AEAACE8" w:tentative="1">
      <w:start w:val="1"/>
      <w:numFmt w:val="bullet"/>
      <w:lvlText w:val=" "/>
      <w:lvlJc w:val="left"/>
      <w:pPr>
        <w:tabs>
          <w:tab w:val="num" w:pos="3600"/>
        </w:tabs>
        <w:ind w:left="3600" w:hanging="360"/>
      </w:pPr>
      <w:rPr>
        <w:rFonts w:ascii="Arial" w:hAnsi="Arial" w:hint="default"/>
      </w:rPr>
    </w:lvl>
    <w:lvl w:ilvl="5" w:tplc="E93AE2BE" w:tentative="1">
      <w:start w:val="1"/>
      <w:numFmt w:val="bullet"/>
      <w:lvlText w:val=" "/>
      <w:lvlJc w:val="left"/>
      <w:pPr>
        <w:tabs>
          <w:tab w:val="num" w:pos="4320"/>
        </w:tabs>
        <w:ind w:left="4320" w:hanging="360"/>
      </w:pPr>
      <w:rPr>
        <w:rFonts w:ascii="Arial" w:hAnsi="Arial" w:hint="default"/>
      </w:rPr>
    </w:lvl>
    <w:lvl w:ilvl="6" w:tplc="52003252" w:tentative="1">
      <w:start w:val="1"/>
      <w:numFmt w:val="bullet"/>
      <w:lvlText w:val=" "/>
      <w:lvlJc w:val="left"/>
      <w:pPr>
        <w:tabs>
          <w:tab w:val="num" w:pos="5040"/>
        </w:tabs>
        <w:ind w:left="5040" w:hanging="360"/>
      </w:pPr>
      <w:rPr>
        <w:rFonts w:ascii="Arial" w:hAnsi="Arial" w:hint="default"/>
      </w:rPr>
    </w:lvl>
    <w:lvl w:ilvl="7" w:tplc="FA16CFAA" w:tentative="1">
      <w:start w:val="1"/>
      <w:numFmt w:val="bullet"/>
      <w:lvlText w:val=" "/>
      <w:lvlJc w:val="left"/>
      <w:pPr>
        <w:tabs>
          <w:tab w:val="num" w:pos="5760"/>
        </w:tabs>
        <w:ind w:left="5760" w:hanging="360"/>
      </w:pPr>
      <w:rPr>
        <w:rFonts w:ascii="Arial" w:hAnsi="Arial" w:hint="default"/>
      </w:rPr>
    </w:lvl>
    <w:lvl w:ilvl="8" w:tplc="5ED6BB0A" w:tentative="1">
      <w:start w:val="1"/>
      <w:numFmt w:val="bullet"/>
      <w:lvlText w:val=" "/>
      <w:lvlJc w:val="left"/>
      <w:pPr>
        <w:tabs>
          <w:tab w:val="num" w:pos="6480"/>
        </w:tabs>
        <w:ind w:left="6480" w:hanging="360"/>
      </w:pPr>
      <w:rPr>
        <w:rFonts w:ascii="Arial" w:hAnsi="Arial" w:hint="default"/>
      </w:rPr>
    </w:lvl>
  </w:abstractNum>
  <w:abstractNum w:abstractNumId="3" w15:restartNumberingAfterBreak="0">
    <w:nsid w:val="3FE86F29"/>
    <w:multiLevelType w:val="hybridMultilevel"/>
    <w:tmpl w:val="2850F8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FA011F"/>
    <w:multiLevelType w:val="hybridMultilevel"/>
    <w:tmpl w:val="4B4C01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B54D0C"/>
    <w:multiLevelType w:val="hybridMultilevel"/>
    <w:tmpl w:val="18F6180E"/>
    <w:lvl w:ilvl="0" w:tplc="B16C0B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8635C6D"/>
    <w:multiLevelType w:val="hybridMultilevel"/>
    <w:tmpl w:val="138AD970"/>
    <w:lvl w:ilvl="0" w:tplc="55ECDA8C">
      <w:start w:val="1"/>
      <w:numFmt w:val="bullet"/>
      <w:lvlText w:val=""/>
      <w:lvlJc w:val="left"/>
      <w:pPr>
        <w:ind w:left="720" w:hanging="360"/>
      </w:pPr>
      <w:rPr>
        <w:rFonts w:ascii="Symbol" w:hAnsi="Symbol" w:hint="default"/>
      </w:rPr>
    </w:lvl>
    <w:lvl w:ilvl="1" w:tplc="D996E282">
      <w:start w:val="1"/>
      <w:numFmt w:val="bullet"/>
      <w:lvlText w:val="o"/>
      <w:lvlJc w:val="left"/>
      <w:pPr>
        <w:ind w:left="1440" w:hanging="360"/>
      </w:pPr>
      <w:rPr>
        <w:rFonts w:ascii="Courier New" w:hAnsi="Courier New" w:hint="default"/>
      </w:rPr>
    </w:lvl>
    <w:lvl w:ilvl="2" w:tplc="48C8A5AC">
      <w:start w:val="1"/>
      <w:numFmt w:val="bullet"/>
      <w:lvlText w:val=""/>
      <w:lvlJc w:val="left"/>
      <w:pPr>
        <w:ind w:left="2160" w:hanging="360"/>
      </w:pPr>
      <w:rPr>
        <w:rFonts w:ascii="Wingdings" w:hAnsi="Wingdings" w:hint="default"/>
      </w:rPr>
    </w:lvl>
    <w:lvl w:ilvl="3" w:tplc="2B5A73E8">
      <w:start w:val="1"/>
      <w:numFmt w:val="bullet"/>
      <w:lvlText w:val=""/>
      <w:lvlJc w:val="left"/>
      <w:pPr>
        <w:ind w:left="2880" w:hanging="360"/>
      </w:pPr>
      <w:rPr>
        <w:rFonts w:ascii="Symbol" w:hAnsi="Symbol" w:hint="default"/>
      </w:rPr>
    </w:lvl>
    <w:lvl w:ilvl="4" w:tplc="21647CB8">
      <w:start w:val="1"/>
      <w:numFmt w:val="bullet"/>
      <w:lvlText w:val="o"/>
      <w:lvlJc w:val="left"/>
      <w:pPr>
        <w:ind w:left="3600" w:hanging="360"/>
      </w:pPr>
      <w:rPr>
        <w:rFonts w:ascii="Courier New" w:hAnsi="Courier New" w:hint="default"/>
      </w:rPr>
    </w:lvl>
    <w:lvl w:ilvl="5" w:tplc="211A48B8">
      <w:start w:val="1"/>
      <w:numFmt w:val="bullet"/>
      <w:lvlText w:val=""/>
      <w:lvlJc w:val="left"/>
      <w:pPr>
        <w:ind w:left="4320" w:hanging="360"/>
      </w:pPr>
      <w:rPr>
        <w:rFonts w:ascii="Wingdings" w:hAnsi="Wingdings" w:hint="default"/>
      </w:rPr>
    </w:lvl>
    <w:lvl w:ilvl="6" w:tplc="494EAF8E">
      <w:start w:val="1"/>
      <w:numFmt w:val="bullet"/>
      <w:lvlText w:val=""/>
      <w:lvlJc w:val="left"/>
      <w:pPr>
        <w:ind w:left="5040" w:hanging="360"/>
      </w:pPr>
      <w:rPr>
        <w:rFonts w:ascii="Symbol" w:hAnsi="Symbol" w:hint="default"/>
      </w:rPr>
    </w:lvl>
    <w:lvl w:ilvl="7" w:tplc="7FCE6A92">
      <w:start w:val="1"/>
      <w:numFmt w:val="bullet"/>
      <w:lvlText w:val="o"/>
      <w:lvlJc w:val="left"/>
      <w:pPr>
        <w:ind w:left="5760" w:hanging="360"/>
      </w:pPr>
      <w:rPr>
        <w:rFonts w:ascii="Courier New" w:hAnsi="Courier New" w:hint="default"/>
      </w:rPr>
    </w:lvl>
    <w:lvl w:ilvl="8" w:tplc="D402EF60">
      <w:start w:val="1"/>
      <w:numFmt w:val="bullet"/>
      <w:lvlText w:val=""/>
      <w:lvlJc w:val="left"/>
      <w:pPr>
        <w:ind w:left="6480" w:hanging="360"/>
      </w:pPr>
      <w:rPr>
        <w:rFonts w:ascii="Wingdings" w:hAnsi="Wingdings" w:hint="default"/>
      </w:rPr>
    </w:lvl>
  </w:abstractNum>
  <w:abstractNum w:abstractNumId="7" w15:restartNumberingAfterBreak="0">
    <w:nsid w:val="6CAC525D"/>
    <w:multiLevelType w:val="multilevel"/>
    <w:tmpl w:val="0AB050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0F0ECE"/>
    <w:multiLevelType w:val="hybridMultilevel"/>
    <w:tmpl w:val="36FA7FCA"/>
    <w:lvl w:ilvl="0" w:tplc="C9763D42">
      <w:start w:val="1"/>
      <w:numFmt w:val="decimal"/>
      <w:lvlText w:val="%1)"/>
      <w:lvlJc w:val="left"/>
      <w:pPr>
        <w:ind w:left="1428" w:hanging="360"/>
      </w:pPr>
      <w:rPr>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77D279D8"/>
    <w:multiLevelType w:val="multilevel"/>
    <w:tmpl w:val="5E66E20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4"/>
  </w:num>
  <w:num w:numId="3">
    <w:abstractNumId w:val="3"/>
  </w:num>
  <w:num w:numId="4">
    <w:abstractNumId w:val="1"/>
  </w:num>
  <w:num w:numId="5">
    <w:abstractNumId w:val="2"/>
  </w:num>
  <w:num w:numId="6">
    <w:abstractNumId w:val="7"/>
  </w:num>
  <w:num w:numId="7">
    <w:abstractNumId w:val="9"/>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52"/>
    <w:rsid w:val="00000650"/>
    <w:rsid w:val="0000502F"/>
    <w:rsid w:val="00011F99"/>
    <w:rsid w:val="0001351C"/>
    <w:rsid w:val="00015901"/>
    <w:rsid w:val="00015B54"/>
    <w:rsid w:val="00020A7C"/>
    <w:rsid w:val="00022283"/>
    <w:rsid w:val="000267A2"/>
    <w:rsid w:val="00026942"/>
    <w:rsid w:val="00026B61"/>
    <w:rsid w:val="000277CE"/>
    <w:rsid w:val="00032CBB"/>
    <w:rsid w:val="000337C8"/>
    <w:rsid w:val="00040B73"/>
    <w:rsid w:val="00044679"/>
    <w:rsid w:val="000456F0"/>
    <w:rsid w:val="000467BC"/>
    <w:rsid w:val="00050031"/>
    <w:rsid w:val="000521EB"/>
    <w:rsid w:val="000528D0"/>
    <w:rsid w:val="0005466A"/>
    <w:rsid w:val="000627D0"/>
    <w:rsid w:val="00063250"/>
    <w:rsid w:val="00076491"/>
    <w:rsid w:val="00081891"/>
    <w:rsid w:val="00086D50"/>
    <w:rsid w:val="00090ECB"/>
    <w:rsid w:val="00091FA5"/>
    <w:rsid w:val="00092315"/>
    <w:rsid w:val="00093605"/>
    <w:rsid w:val="000947DC"/>
    <w:rsid w:val="000A0549"/>
    <w:rsid w:val="000A0638"/>
    <w:rsid w:val="000A1871"/>
    <w:rsid w:val="000A65E1"/>
    <w:rsid w:val="000B3E12"/>
    <w:rsid w:val="000B66A9"/>
    <w:rsid w:val="000B74B9"/>
    <w:rsid w:val="000C073A"/>
    <w:rsid w:val="000C46C0"/>
    <w:rsid w:val="000D11D7"/>
    <w:rsid w:val="000D18DB"/>
    <w:rsid w:val="000D49BB"/>
    <w:rsid w:val="000E5E10"/>
    <w:rsid w:val="000E641C"/>
    <w:rsid w:val="000E6C98"/>
    <w:rsid w:val="000E72EA"/>
    <w:rsid w:val="000F0AB0"/>
    <w:rsid w:val="000F1A0B"/>
    <w:rsid w:val="000F74FA"/>
    <w:rsid w:val="00105366"/>
    <w:rsid w:val="00107B0E"/>
    <w:rsid w:val="00110063"/>
    <w:rsid w:val="00114C71"/>
    <w:rsid w:val="001161DD"/>
    <w:rsid w:val="00121030"/>
    <w:rsid w:val="0012305F"/>
    <w:rsid w:val="001235AD"/>
    <w:rsid w:val="00123BB3"/>
    <w:rsid w:val="00123E0E"/>
    <w:rsid w:val="00131F90"/>
    <w:rsid w:val="00132BB0"/>
    <w:rsid w:val="00132FED"/>
    <w:rsid w:val="00135873"/>
    <w:rsid w:val="00136A5D"/>
    <w:rsid w:val="00142886"/>
    <w:rsid w:val="00143BAC"/>
    <w:rsid w:val="0014677A"/>
    <w:rsid w:val="00153E4C"/>
    <w:rsid w:val="00156139"/>
    <w:rsid w:val="001632DE"/>
    <w:rsid w:val="0016508F"/>
    <w:rsid w:val="001677C8"/>
    <w:rsid w:val="00181777"/>
    <w:rsid w:val="00184540"/>
    <w:rsid w:val="00186F70"/>
    <w:rsid w:val="001872F5"/>
    <w:rsid w:val="00191F6A"/>
    <w:rsid w:val="0019450E"/>
    <w:rsid w:val="001A43C3"/>
    <w:rsid w:val="001A5739"/>
    <w:rsid w:val="001B13D6"/>
    <w:rsid w:val="001B1DD3"/>
    <w:rsid w:val="001C0ACE"/>
    <w:rsid w:val="001C212C"/>
    <w:rsid w:val="001C287E"/>
    <w:rsid w:val="001C4701"/>
    <w:rsid w:val="001C55C5"/>
    <w:rsid w:val="001D4718"/>
    <w:rsid w:val="001E05C5"/>
    <w:rsid w:val="001E21DA"/>
    <w:rsid w:val="001E2F34"/>
    <w:rsid w:val="001E7813"/>
    <w:rsid w:val="001F0267"/>
    <w:rsid w:val="001F6FEA"/>
    <w:rsid w:val="001F705C"/>
    <w:rsid w:val="00201F4D"/>
    <w:rsid w:val="00204DFB"/>
    <w:rsid w:val="00212CFE"/>
    <w:rsid w:val="00212F29"/>
    <w:rsid w:val="002146E5"/>
    <w:rsid w:val="002159E7"/>
    <w:rsid w:val="00223A27"/>
    <w:rsid w:val="00223D6E"/>
    <w:rsid w:val="00224DC5"/>
    <w:rsid w:val="00225B17"/>
    <w:rsid w:val="00226C32"/>
    <w:rsid w:val="00227D5E"/>
    <w:rsid w:val="002306E0"/>
    <w:rsid w:val="00235712"/>
    <w:rsid w:val="002444BD"/>
    <w:rsid w:val="00250B5B"/>
    <w:rsid w:val="00252D40"/>
    <w:rsid w:val="00252E2E"/>
    <w:rsid w:val="00256EEA"/>
    <w:rsid w:val="00257A05"/>
    <w:rsid w:val="0026205E"/>
    <w:rsid w:val="00262E6E"/>
    <w:rsid w:val="002653A5"/>
    <w:rsid w:val="00265BAF"/>
    <w:rsid w:val="0027447B"/>
    <w:rsid w:val="0027500E"/>
    <w:rsid w:val="00280497"/>
    <w:rsid w:val="002827EC"/>
    <w:rsid w:val="0028366E"/>
    <w:rsid w:val="00297CB9"/>
    <w:rsid w:val="002A0C9A"/>
    <w:rsid w:val="002B1713"/>
    <w:rsid w:val="002B1E3E"/>
    <w:rsid w:val="002B2375"/>
    <w:rsid w:val="002B27B9"/>
    <w:rsid w:val="002B2D19"/>
    <w:rsid w:val="002B52C8"/>
    <w:rsid w:val="002B5F61"/>
    <w:rsid w:val="002C1E6E"/>
    <w:rsid w:val="002D386C"/>
    <w:rsid w:val="002D4254"/>
    <w:rsid w:val="002D516C"/>
    <w:rsid w:val="002D7B17"/>
    <w:rsid w:val="002D7DC9"/>
    <w:rsid w:val="002E7C14"/>
    <w:rsid w:val="002E7C9F"/>
    <w:rsid w:val="002F431E"/>
    <w:rsid w:val="003063A8"/>
    <w:rsid w:val="003068A9"/>
    <w:rsid w:val="003077F5"/>
    <w:rsid w:val="003126BB"/>
    <w:rsid w:val="0031354E"/>
    <w:rsid w:val="00314AA8"/>
    <w:rsid w:val="00315079"/>
    <w:rsid w:val="0031548C"/>
    <w:rsid w:val="00315595"/>
    <w:rsid w:val="00320D92"/>
    <w:rsid w:val="00321300"/>
    <w:rsid w:val="00322EF0"/>
    <w:rsid w:val="00325B00"/>
    <w:rsid w:val="00330E6B"/>
    <w:rsid w:val="00331D39"/>
    <w:rsid w:val="00332F16"/>
    <w:rsid w:val="003351D3"/>
    <w:rsid w:val="00335788"/>
    <w:rsid w:val="0034060E"/>
    <w:rsid w:val="00341036"/>
    <w:rsid w:val="00343FBF"/>
    <w:rsid w:val="00344852"/>
    <w:rsid w:val="00346521"/>
    <w:rsid w:val="00350FE1"/>
    <w:rsid w:val="00353BC9"/>
    <w:rsid w:val="00356E91"/>
    <w:rsid w:val="003609FE"/>
    <w:rsid w:val="003637CD"/>
    <w:rsid w:val="00376DB6"/>
    <w:rsid w:val="00381E2C"/>
    <w:rsid w:val="003821E6"/>
    <w:rsid w:val="00382232"/>
    <w:rsid w:val="00383012"/>
    <w:rsid w:val="0038408F"/>
    <w:rsid w:val="00386115"/>
    <w:rsid w:val="00386551"/>
    <w:rsid w:val="0038673E"/>
    <w:rsid w:val="00391785"/>
    <w:rsid w:val="003974B4"/>
    <w:rsid w:val="003A3285"/>
    <w:rsid w:val="003A6532"/>
    <w:rsid w:val="003A6640"/>
    <w:rsid w:val="003A7533"/>
    <w:rsid w:val="003A7EA2"/>
    <w:rsid w:val="003B02F9"/>
    <w:rsid w:val="003B7144"/>
    <w:rsid w:val="003C03E3"/>
    <w:rsid w:val="003C07CE"/>
    <w:rsid w:val="003C2A18"/>
    <w:rsid w:val="003C5839"/>
    <w:rsid w:val="003C6088"/>
    <w:rsid w:val="003D1A20"/>
    <w:rsid w:val="003D3806"/>
    <w:rsid w:val="003D60CA"/>
    <w:rsid w:val="003D62B3"/>
    <w:rsid w:val="003D6B97"/>
    <w:rsid w:val="003E513E"/>
    <w:rsid w:val="003E6710"/>
    <w:rsid w:val="003E7E1C"/>
    <w:rsid w:val="003F14CF"/>
    <w:rsid w:val="003F45F4"/>
    <w:rsid w:val="00405210"/>
    <w:rsid w:val="004064D4"/>
    <w:rsid w:val="0041555F"/>
    <w:rsid w:val="00421880"/>
    <w:rsid w:val="00423985"/>
    <w:rsid w:val="00423D47"/>
    <w:rsid w:val="00423EC7"/>
    <w:rsid w:val="00424E0A"/>
    <w:rsid w:val="00430C43"/>
    <w:rsid w:val="00432299"/>
    <w:rsid w:val="004322D3"/>
    <w:rsid w:val="004324C9"/>
    <w:rsid w:val="0043314A"/>
    <w:rsid w:val="0043572E"/>
    <w:rsid w:val="00437A17"/>
    <w:rsid w:val="00437BE7"/>
    <w:rsid w:val="00440B18"/>
    <w:rsid w:val="00444142"/>
    <w:rsid w:val="004457D3"/>
    <w:rsid w:val="004471E0"/>
    <w:rsid w:val="00450185"/>
    <w:rsid w:val="0045157A"/>
    <w:rsid w:val="0045328F"/>
    <w:rsid w:val="00455C1F"/>
    <w:rsid w:val="00462D9F"/>
    <w:rsid w:val="00465BA6"/>
    <w:rsid w:val="00466035"/>
    <w:rsid w:val="00467BF7"/>
    <w:rsid w:val="00467F91"/>
    <w:rsid w:val="00475545"/>
    <w:rsid w:val="00475681"/>
    <w:rsid w:val="004763C0"/>
    <w:rsid w:val="00485D24"/>
    <w:rsid w:val="00485EFA"/>
    <w:rsid w:val="004902E2"/>
    <w:rsid w:val="00492498"/>
    <w:rsid w:val="00494872"/>
    <w:rsid w:val="00495771"/>
    <w:rsid w:val="00496EFC"/>
    <w:rsid w:val="004A4DFD"/>
    <w:rsid w:val="004B0336"/>
    <w:rsid w:val="004B14F5"/>
    <w:rsid w:val="004B4074"/>
    <w:rsid w:val="004B5CE8"/>
    <w:rsid w:val="004B6058"/>
    <w:rsid w:val="004B740C"/>
    <w:rsid w:val="004C6C1A"/>
    <w:rsid w:val="004D23EF"/>
    <w:rsid w:val="004D3FA1"/>
    <w:rsid w:val="004D635A"/>
    <w:rsid w:val="004D7991"/>
    <w:rsid w:val="004E390C"/>
    <w:rsid w:val="004E44B8"/>
    <w:rsid w:val="004F7AE1"/>
    <w:rsid w:val="00501BFE"/>
    <w:rsid w:val="005028FA"/>
    <w:rsid w:val="00504662"/>
    <w:rsid w:val="00507B63"/>
    <w:rsid w:val="00511645"/>
    <w:rsid w:val="00511746"/>
    <w:rsid w:val="00512CBD"/>
    <w:rsid w:val="0051569A"/>
    <w:rsid w:val="005156D0"/>
    <w:rsid w:val="0052042C"/>
    <w:rsid w:val="005209C6"/>
    <w:rsid w:val="00523922"/>
    <w:rsid w:val="00523F42"/>
    <w:rsid w:val="00524C5F"/>
    <w:rsid w:val="00527BDD"/>
    <w:rsid w:val="00530691"/>
    <w:rsid w:val="00532DD9"/>
    <w:rsid w:val="005360CB"/>
    <w:rsid w:val="00540A62"/>
    <w:rsid w:val="00540D98"/>
    <w:rsid w:val="005435AF"/>
    <w:rsid w:val="00544418"/>
    <w:rsid w:val="00544B06"/>
    <w:rsid w:val="00552000"/>
    <w:rsid w:val="00554308"/>
    <w:rsid w:val="005550F1"/>
    <w:rsid w:val="00556B43"/>
    <w:rsid w:val="005621D0"/>
    <w:rsid w:val="00564A03"/>
    <w:rsid w:val="005661B7"/>
    <w:rsid w:val="00572F45"/>
    <w:rsid w:val="00573A12"/>
    <w:rsid w:val="00574188"/>
    <w:rsid w:val="005749FF"/>
    <w:rsid w:val="00577694"/>
    <w:rsid w:val="00581BB9"/>
    <w:rsid w:val="00585CB1"/>
    <w:rsid w:val="00585DE4"/>
    <w:rsid w:val="005A0627"/>
    <w:rsid w:val="005A0D04"/>
    <w:rsid w:val="005A48DE"/>
    <w:rsid w:val="005A5B68"/>
    <w:rsid w:val="005A7756"/>
    <w:rsid w:val="005B6697"/>
    <w:rsid w:val="005C0CE1"/>
    <w:rsid w:val="005D1E9E"/>
    <w:rsid w:val="005D2986"/>
    <w:rsid w:val="005D55CC"/>
    <w:rsid w:val="005D7C0C"/>
    <w:rsid w:val="005D7CF8"/>
    <w:rsid w:val="005E01CF"/>
    <w:rsid w:val="005E092C"/>
    <w:rsid w:val="005E208F"/>
    <w:rsid w:val="005E3F9E"/>
    <w:rsid w:val="005E428E"/>
    <w:rsid w:val="005E5C11"/>
    <w:rsid w:val="005F03E8"/>
    <w:rsid w:val="005F12BB"/>
    <w:rsid w:val="005F1B9C"/>
    <w:rsid w:val="005F2069"/>
    <w:rsid w:val="005F4451"/>
    <w:rsid w:val="005F469A"/>
    <w:rsid w:val="005F5C7F"/>
    <w:rsid w:val="005F6837"/>
    <w:rsid w:val="00600659"/>
    <w:rsid w:val="00601A06"/>
    <w:rsid w:val="00604457"/>
    <w:rsid w:val="00607882"/>
    <w:rsid w:val="00610517"/>
    <w:rsid w:val="00612FEF"/>
    <w:rsid w:val="00616745"/>
    <w:rsid w:val="00620204"/>
    <w:rsid w:val="0062258F"/>
    <w:rsid w:val="00631934"/>
    <w:rsid w:val="006321B4"/>
    <w:rsid w:val="00634C0F"/>
    <w:rsid w:val="00642AC2"/>
    <w:rsid w:val="006442BA"/>
    <w:rsid w:val="00646892"/>
    <w:rsid w:val="006521E5"/>
    <w:rsid w:val="00652DB7"/>
    <w:rsid w:val="006531B7"/>
    <w:rsid w:val="0065395B"/>
    <w:rsid w:val="00655919"/>
    <w:rsid w:val="0065593B"/>
    <w:rsid w:val="00656A10"/>
    <w:rsid w:val="00656B32"/>
    <w:rsid w:val="00665678"/>
    <w:rsid w:val="00675E60"/>
    <w:rsid w:val="006858FE"/>
    <w:rsid w:val="006908F8"/>
    <w:rsid w:val="00693D6B"/>
    <w:rsid w:val="00696752"/>
    <w:rsid w:val="006A0A31"/>
    <w:rsid w:val="006A57A2"/>
    <w:rsid w:val="006B295C"/>
    <w:rsid w:val="006B32B4"/>
    <w:rsid w:val="006B5F33"/>
    <w:rsid w:val="006B67C5"/>
    <w:rsid w:val="006C122E"/>
    <w:rsid w:val="006C213D"/>
    <w:rsid w:val="006C2701"/>
    <w:rsid w:val="006C2C5A"/>
    <w:rsid w:val="006C4242"/>
    <w:rsid w:val="006D0479"/>
    <w:rsid w:val="006D1E82"/>
    <w:rsid w:val="006D25B3"/>
    <w:rsid w:val="006D5BA8"/>
    <w:rsid w:val="006D7716"/>
    <w:rsid w:val="006E5687"/>
    <w:rsid w:val="006E771E"/>
    <w:rsid w:val="006F1F3A"/>
    <w:rsid w:val="006F2F90"/>
    <w:rsid w:val="006F334A"/>
    <w:rsid w:val="006F34BD"/>
    <w:rsid w:val="00702BE6"/>
    <w:rsid w:val="00704159"/>
    <w:rsid w:val="007056BA"/>
    <w:rsid w:val="007112CC"/>
    <w:rsid w:val="00711731"/>
    <w:rsid w:val="00711C22"/>
    <w:rsid w:val="00722E76"/>
    <w:rsid w:val="007309C0"/>
    <w:rsid w:val="0073540E"/>
    <w:rsid w:val="00737E3E"/>
    <w:rsid w:val="007418A0"/>
    <w:rsid w:val="00745203"/>
    <w:rsid w:val="007456BF"/>
    <w:rsid w:val="00746FFA"/>
    <w:rsid w:val="007504EB"/>
    <w:rsid w:val="00751894"/>
    <w:rsid w:val="0075356E"/>
    <w:rsid w:val="00753C4D"/>
    <w:rsid w:val="00754801"/>
    <w:rsid w:val="007549D4"/>
    <w:rsid w:val="00760C7E"/>
    <w:rsid w:val="007617D5"/>
    <w:rsid w:val="00766435"/>
    <w:rsid w:val="00773C99"/>
    <w:rsid w:val="0078204E"/>
    <w:rsid w:val="00784647"/>
    <w:rsid w:val="00787B6F"/>
    <w:rsid w:val="00787D23"/>
    <w:rsid w:val="00790A86"/>
    <w:rsid w:val="00791778"/>
    <w:rsid w:val="00793A25"/>
    <w:rsid w:val="00794338"/>
    <w:rsid w:val="00794CAD"/>
    <w:rsid w:val="00795601"/>
    <w:rsid w:val="007972F4"/>
    <w:rsid w:val="0079785A"/>
    <w:rsid w:val="007A4536"/>
    <w:rsid w:val="007B0F11"/>
    <w:rsid w:val="007B21BD"/>
    <w:rsid w:val="007B2D86"/>
    <w:rsid w:val="007B3A42"/>
    <w:rsid w:val="007B4A16"/>
    <w:rsid w:val="007C3572"/>
    <w:rsid w:val="007C3D7D"/>
    <w:rsid w:val="007C40EE"/>
    <w:rsid w:val="007C787E"/>
    <w:rsid w:val="007D0BEC"/>
    <w:rsid w:val="007D1BBE"/>
    <w:rsid w:val="007D50CF"/>
    <w:rsid w:val="007E1CC2"/>
    <w:rsid w:val="007E3A6D"/>
    <w:rsid w:val="007E3F68"/>
    <w:rsid w:val="007E4717"/>
    <w:rsid w:val="007F1759"/>
    <w:rsid w:val="007F2217"/>
    <w:rsid w:val="007F2437"/>
    <w:rsid w:val="007F4E41"/>
    <w:rsid w:val="0080193E"/>
    <w:rsid w:val="008060A8"/>
    <w:rsid w:val="00806555"/>
    <w:rsid w:val="00812D05"/>
    <w:rsid w:val="00813837"/>
    <w:rsid w:val="008159F4"/>
    <w:rsid w:val="00816D3E"/>
    <w:rsid w:val="00823A4D"/>
    <w:rsid w:val="008308B4"/>
    <w:rsid w:val="00833EFA"/>
    <w:rsid w:val="008358ED"/>
    <w:rsid w:val="0083632D"/>
    <w:rsid w:val="00841D51"/>
    <w:rsid w:val="00845706"/>
    <w:rsid w:val="00845F2B"/>
    <w:rsid w:val="00850192"/>
    <w:rsid w:val="00855C5E"/>
    <w:rsid w:val="00862515"/>
    <w:rsid w:val="00864DA8"/>
    <w:rsid w:val="00871043"/>
    <w:rsid w:val="00877749"/>
    <w:rsid w:val="00884ED9"/>
    <w:rsid w:val="00885FF1"/>
    <w:rsid w:val="00891C1E"/>
    <w:rsid w:val="0089392D"/>
    <w:rsid w:val="00894B13"/>
    <w:rsid w:val="00896129"/>
    <w:rsid w:val="00896FB9"/>
    <w:rsid w:val="008A17CE"/>
    <w:rsid w:val="008A4998"/>
    <w:rsid w:val="008A5841"/>
    <w:rsid w:val="008B11A9"/>
    <w:rsid w:val="008B4655"/>
    <w:rsid w:val="008B4D24"/>
    <w:rsid w:val="008B54FC"/>
    <w:rsid w:val="008B640E"/>
    <w:rsid w:val="008C490A"/>
    <w:rsid w:val="008C4D6F"/>
    <w:rsid w:val="008C512F"/>
    <w:rsid w:val="008C5DEA"/>
    <w:rsid w:val="008C6722"/>
    <w:rsid w:val="008D1AF8"/>
    <w:rsid w:val="008D416A"/>
    <w:rsid w:val="008D5032"/>
    <w:rsid w:val="008E0705"/>
    <w:rsid w:val="008E364A"/>
    <w:rsid w:val="008E5510"/>
    <w:rsid w:val="008E6AA4"/>
    <w:rsid w:val="008E7FA8"/>
    <w:rsid w:val="008F164F"/>
    <w:rsid w:val="008F21F7"/>
    <w:rsid w:val="008F4FBB"/>
    <w:rsid w:val="008F5671"/>
    <w:rsid w:val="008F6D71"/>
    <w:rsid w:val="00902901"/>
    <w:rsid w:val="009149D3"/>
    <w:rsid w:val="00916157"/>
    <w:rsid w:val="009164FD"/>
    <w:rsid w:val="0091781D"/>
    <w:rsid w:val="009238CB"/>
    <w:rsid w:val="00926AF4"/>
    <w:rsid w:val="00931287"/>
    <w:rsid w:val="00931678"/>
    <w:rsid w:val="00931862"/>
    <w:rsid w:val="009319F9"/>
    <w:rsid w:val="00933A25"/>
    <w:rsid w:val="00936D6F"/>
    <w:rsid w:val="00937920"/>
    <w:rsid w:val="00942038"/>
    <w:rsid w:val="00944B35"/>
    <w:rsid w:val="00947E95"/>
    <w:rsid w:val="00947FBD"/>
    <w:rsid w:val="00951A5A"/>
    <w:rsid w:val="00953190"/>
    <w:rsid w:val="00967EEE"/>
    <w:rsid w:val="009709B2"/>
    <w:rsid w:val="0097178C"/>
    <w:rsid w:val="0097236D"/>
    <w:rsid w:val="009734C0"/>
    <w:rsid w:val="0097499D"/>
    <w:rsid w:val="00976B3C"/>
    <w:rsid w:val="00980C80"/>
    <w:rsid w:val="00980FBF"/>
    <w:rsid w:val="00981E41"/>
    <w:rsid w:val="00982CA8"/>
    <w:rsid w:val="00983ED1"/>
    <w:rsid w:val="0098543A"/>
    <w:rsid w:val="00987325"/>
    <w:rsid w:val="00992340"/>
    <w:rsid w:val="00992F86"/>
    <w:rsid w:val="00996218"/>
    <w:rsid w:val="009A2914"/>
    <w:rsid w:val="009A3C2D"/>
    <w:rsid w:val="009A76CC"/>
    <w:rsid w:val="009B3F1D"/>
    <w:rsid w:val="009B5FCF"/>
    <w:rsid w:val="009C61E2"/>
    <w:rsid w:val="009C6821"/>
    <w:rsid w:val="009D0782"/>
    <w:rsid w:val="009D15C6"/>
    <w:rsid w:val="009D1AD3"/>
    <w:rsid w:val="009D2600"/>
    <w:rsid w:val="009E204A"/>
    <w:rsid w:val="009E2659"/>
    <w:rsid w:val="009E2D95"/>
    <w:rsid w:val="009E31C6"/>
    <w:rsid w:val="009E3603"/>
    <w:rsid w:val="009E3CA2"/>
    <w:rsid w:val="009E3F51"/>
    <w:rsid w:val="009E56ED"/>
    <w:rsid w:val="009E67BD"/>
    <w:rsid w:val="009F0F9C"/>
    <w:rsid w:val="009F115E"/>
    <w:rsid w:val="009F5247"/>
    <w:rsid w:val="009F5F97"/>
    <w:rsid w:val="009F7D63"/>
    <w:rsid w:val="00A0077B"/>
    <w:rsid w:val="00A0206D"/>
    <w:rsid w:val="00A041BB"/>
    <w:rsid w:val="00A05994"/>
    <w:rsid w:val="00A06C63"/>
    <w:rsid w:val="00A071BA"/>
    <w:rsid w:val="00A07B1A"/>
    <w:rsid w:val="00A106B5"/>
    <w:rsid w:val="00A10751"/>
    <w:rsid w:val="00A11C2C"/>
    <w:rsid w:val="00A142E2"/>
    <w:rsid w:val="00A14661"/>
    <w:rsid w:val="00A14982"/>
    <w:rsid w:val="00A20D4B"/>
    <w:rsid w:val="00A234B9"/>
    <w:rsid w:val="00A243D2"/>
    <w:rsid w:val="00A25B7F"/>
    <w:rsid w:val="00A33EFB"/>
    <w:rsid w:val="00A34073"/>
    <w:rsid w:val="00A45E7F"/>
    <w:rsid w:val="00A46C9E"/>
    <w:rsid w:val="00A46E57"/>
    <w:rsid w:val="00A473AE"/>
    <w:rsid w:val="00A57FA3"/>
    <w:rsid w:val="00A603EE"/>
    <w:rsid w:val="00A62AA2"/>
    <w:rsid w:val="00A64858"/>
    <w:rsid w:val="00A65D20"/>
    <w:rsid w:val="00A660A5"/>
    <w:rsid w:val="00A6740B"/>
    <w:rsid w:val="00A7077C"/>
    <w:rsid w:val="00A709B9"/>
    <w:rsid w:val="00A71C92"/>
    <w:rsid w:val="00A74382"/>
    <w:rsid w:val="00A74FA8"/>
    <w:rsid w:val="00A853E3"/>
    <w:rsid w:val="00A85423"/>
    <w:rsid w:val="00A968EF"/>
    <w:rsid w:val="00AA0424"/>
    <w:rsid w:val="00AA16EF"/>
    <w:rsid w:val="00AA598B"/>
    <w:rsid w:val="00AA5BA4"/>
    <w:rsid w:val="00AA7C0A"/>
    <w:rsid w:val="00AB3DDB"/>
    <w:rsid w:val="00AC47F0"/>
    <w:rsid w:val="00AC5133"/>
    <w:rsid w:val="00AC5CA6"/>
    <w:rsid w:val="00AC6562"/>
    <w:rsid w:val="00AC7135"/>
    <w:rsid w:val="00AC7396"/>
    <w:rsid w:val="00AD03DD"/>
    <w:rsid w:val="00AD2C40"/>
    <w:rsid w:val="00AD3604"/>
    <w:rsid w:val="00AD5233"/>
    <w:rsid w:val="00AD5645"/>
    <w:rsid w:val="00AE036C"/>
    <w:rsid w:val="00AE1E21"/>
    <w:rsid w:val="00AE20F6"/>
    <w:rsid w:val="00AE624A"/>
    <w:rsid w:val="00AE7627"/>
    <w:rsid w:val="00AF2381"/>
    <w:rsid w:val="00B00335"/>
    <w:rsid w:val="00B02019"/>
    <w:rsid w:val="00B03988"/>
    <w:rsid w:val="00B142B8"/>
    <w:rsid w:val="00B15430"/>
    <w:rsid w:val="00B25295"/>
    <w:rsid w:val="00B253D0"/>
    <w:rsid w:val="00B31708"/>
    <w:rsid w:val="00B31FF8"/>
    <w:rsid w:val="00B33968"/>
    <w:rsid w:val="00B34565"/>
    <w:rsid w:val="00B40F4E"/>
    <w:rsid w:val="00B43CFC"/>
    <w:rsid w:val="00B4527F"/>
    <w:rsid w:val="00B456A1"/>
    <w:rsid w:val="00B46106"/>
    <w:rsid w:val="00B5205F"/>
    <w:rsid w:val="00B53620"/>
    <w:rsid w:val="00B55DA9"/>
    <w:rsid w:val="00B5792B"/>
    <w:rsid w:val="00B57F04"/>
    <w:rsid w:val="00B62624"/>
    <w:rsid w:val="00B71AF6"/>
    <w:rsid w:val="00B81BCE"/>
    <w:rsid w:val="00B85B29"/>
    <w:rsid w:val="00B9253D"/>
    <w:rsid w:val="00B929F2"/>
    <w:rsid w:val="00B956FC"/>
    <w:rsid w:val="00B95FF0"/>
    <w:rsid w:val="00BA7B65"/>
    <w:rsid w:val="00BA7D7F"/>
    <w:rsid w:val="00BB2F5A"/>
    <w:rsid w:val="00BB44C5"/>
    <w:rsid w:val="00BB6A72"/>
    <w:rsid w:val="00BC2B28"/>
    <w:rsid w:val="00BC3A4A"/>
    <w:rsid w:val="00BD12CB"/>
    <w:rsid w:val="00BD1567"/>
    <w:rsid w:val="00BD1740"/>
    <w:rsid w:val="00BD2D18"/>
    <w:rsid w:val="00BD390E"/>
    <w:rsid w:val="00BD6C33"/>
    <w:rsid w:val="00BD774B"/>
    <w:rsid w:val="00BD7DDE"/>
    <w:rsid w:val="00BD7EBE"/>
    <w:rsid w:val="00BE3502"/>
    <w:rsid w:val="00BE6E5E"/>
    <w:rsid w:val="00BF09B3"/>
    <w:rsid w:val="00BF0B0E"/>
    <w:rsid w:val="00BF1541"/>
    <w:rsid w:val="00BF2EFD"/>
    <w:rsid w:val="00BF4B26"/>
    <w:rsid w:val="00BF5506"/>
    <w:rsid w:val="00C00115"/>
    <w:rsid w:val="00C01A1B"/>
    <w:rsid w:val="00C051F5"/>
    <w:rsid w:val="00C10100"/>
    <w:rsid w:val="00C15240"/>
    <w:rsid w:val="00C17B82"/>
    <w:rsid w:val="00C25563"/>
    <w:rsid w:val="00C43973"/>
    <w:rsid w:val="00C454BE"/>
    <w:rsid w:val="00C45964"/>
    <w:rsid w:val="00C467C5"/>
    <w:rsid w:val="00C50598"/>
    <w:rsid w:val="00C50D6F"/>
    <w:rsid w:val="00C52044"/>
    <w:rsid w:val="00C56395"/>
    <w:rsid w:val="00C631EB"/>
    <w:rsid w:val="00C650CA"/>
    <w:rsid w:val="00C66F4A"/>
    <w:rsid w:val="00C67158"/>
    <w:rsid w:val="00C708AA"/>
    <w:rsid w:val="00C7157F"/>
    <w:rsid w:val="00C73EBC"/>
    <w:rsid w:val="00C7500C"/>
    <w:rsid w:val="00C7504A"/>
    <w:rsid w:val="00C80FB1"/>
    <w:rsid w:val="00C816B1"/>
    <w:rsid w:val="00C84C39"/>
    <w:rsid w:val="00C86ED4"/>
    <w:rsid w:val="00C953DE"/>
    <w:rsid w:val="00C96A65"/>
    <w:rsid w:val="00CA178F"/>
    <w:rsid w:val="00CA2C1A"/>
    <w:rsid w:val="00CA3A77"/>
    <w:rsid w:val="00CB1212"/>
    <w:rsid w:val="00CB4FCD"/>
    <w:rsid w:val="00CC088A"/>
    <w:rsid w:val="00CD60C4"/>
    <w:rsid w:val="00CE2A16"/>
    <w:rsid w:val="00CE487E"/>
    <w:rsid w:val="00CE5C56"/>
    <w:rsid w:val="00CE6E95"/>
    <w:rsid w:val="00CF4D0C"/>
    <w:rsid w:val="00CF6820"/>
    <w:rsid w:val="00CF74AE"/>
    <w:rsid w:val="00CF7EB2"/>
    <w:rsid w:val="00D00DAC"/>
    <w:rsid w:val="00D029DF"/>
    <w:rsid w:val="00D04C2F"/>
    <w:rsid w:val="00D04D91"/>
    <w:rsid w:val="00D0571D"/>
    <w:rsid w:val="00D07CF8"/>
    <w:rsid w:val="00D12222"/>
    <w:rsid w:val="00D1327A"/>
    <w:rsid w:val="00D136FF"/>
    <w:rsid w:val="00D17127"/>
    <w:rsid w:val="00D172B1"/>
    <w:rsid w:val="00D22D38"/>
    <w:rsid w:val="00D33D1F"/>
    <w:rsid w:val="00D3573F"/>
    <w:rsid w:val="00D37B90"/>
    <w:rsid w:val="00D413B6"/>
    <w:rsid w:val="00D41FA2"/>
    <w:rsid w:val="00D43F23"/>
    <w:rsid w:val="00D51842"/>
    <w:rsid w:val="00D52F82"/>
    <w:rsid w:val="00D54E12"/>
    <w:rsid w:val="00D55D37"/>
    <w:rsid w:val="00D718A5"/>
    <w:rsid w:val="00D81B7D"/>
    <w:rsid w:val="00D82434"/>
    <w:rsid w:val="00D8267F"/>
    <w:rsid w:val="00D82EFB"/>
    <w:rsid w:val="00D84560"/>
    <w:rsid w:val="00D85F52"/>
    <w:rsid w:val="00D92DC0"/>
    <w:rsid w:val="00D9321F"/>
    <w:rsid w:val="00D956D8"/>
    <w:rsid w:val="00DA5144"/>
    <w:rsid w:val="00DA5527"/>
    <w:rsid w:val="00DA7361"/>
    <w:rsid w:val="00DB01A3"/>
    <w:rsid w:val="00DB5F20"/>
    <w:rsid w:val="00DB6309"/>
    <w:rsid w:val="00DC00B2"/>
    <w:rsid w:val="00DC060A"/>
    <w:rsid w:val="00DD2243"/>
    <w:rsid w:val="00DD709B"/>
    <w:rsid w:val="00DE1A3A"/>
    <w:rsid w:val="00DE3F6B"/>
    <w:rsid w:val="00DE4693"/>
    <w:rsid w:val="00DE7DDD"/>
    <w:rsid w:val="00DECFD6"/>
    <w:rsid w:val="00DF245B"/>
    <w:rsid w:val="00DF2612"/>
    <w:rsid w:val="00DF62B0"/>
    <w:rsid w:val="00DF67E4"/>
    <w:rsid w:val="00E043E1"/>
    <w:rsid w:val="00E0510A"/>
    <w:rsid w:val="00E05B16"/>
    <w:rsid w:val="00E05D3C"/>
    <w:rsid w:val="00E11F97"/>
    <w:rsid w:val="00E14866"/>
    <w:rsid w:val="00E20244"/>
    <w:rsid w:val="00E21CF0"/>
    <w:rsid w:val="00E23925"/>
    <w:rsid w:val="00E24248"/>
    <w:rsid w:val="00E251DD"/>
    <w:rsid w:val="00E25A47"/>
    <w:rsid w:val="00E2602C"/>
    <w:rsid w:val="00E271BD"/>
    <w:rsid w:val="00E27D0D"/>
    <w:rsid w:val="00E30800"/>
    <w:rsid w:val="00E338DE"/>
    <w:rsid w:val="00E36776"/>
    <w:rsid w:val="00E41DC0"/>
    <w:rsid w:val="00E4268C"/>
    <w:rsid w:val="00E44484"/>
    <w:rsid w:val="00E505DB"/>
    <w:rsid w:val="00E53552"/>
    <w:rsid w:val="00E53F46"/>
    <w:rsid w:val="00E554CF"/>
    <w:rsid w:val="00E55F14"/>
    <w:rsid w:val="00E61989"/>
    <w:rsid w:val="00E6412F"/>
    <w:rsid w:val="00E821CB"/>
    <w:rsid w:val="00E83316"/>
    <w:rsid w:val="00E8371B"/>
    <w:rsid w:val="00E92741"/>
    <w:rsid w:val="00E94B29"/>
    <w:rsid w:val="00EA1D84"/>
    <w:rsid w:val="00EA28F2"/>
    <w:rsid w:val="00EA418A"/>
    <w:rsid w:val="00EA7FDE"/>
    <w:rsid w:val="00EB5989"/>
    <w:rsid w:val="00EC1F82"/>
    <w:rsid w:val="00EC2D7E"/>
    <w:rsid w:val="00EC3798"/>
    <w:rsid w:val="00ED048E"/>
    <w:rsid w:val="00ED2F25"/>
    <w:rsid w:val="00ED3A79"/>
    <w:rsid w:val="00ED3E84"/>
    <w:rsid w:val="00ED503F"/>
    <w:rsid w:val="00ED6BCD"/>
    <w:rsid w:val="00ED7976"/>
    <w:rsid w:val="00EE0054"/>
    <w:rsid w:val="00EE167C"/>
    <w:rsid w:val="00EE5D72"/>
    <w:rsid w:val="00EE6957"/>
    <w:rsid w:val="00EE7556"/>
    <w:rsid w:val="00EF05E1"/>
    <w:rsid w:val="00EF1AF5"/>
    <w:rsid w:val="00EF1F97"/>
    <w:rsid w:val="00EF3956"/>
    <w:rsid w:val="00EF4098"/>
    <w:rsid w:val="00EF5B09"/>
    <w:rsid w:val="00EF63E6"/>
    <w:rsid w:val="00EF754B"/>
    <w:rsid w:val="00F01046"/>
    <w:rsid w:val="00F063A4"/>
    <w:rsid w:val="00F065B1"/>
    <w:rsid w:val="00F06718"/>
    <w:rsid w:val="00F127FE"/>
    <w:rsid w:val="00F13C89"/>
    <w:rsid w:val="00F209EF"/>
    <w:rsid w:val="00F21878"/>
    <w:rsid w:val="00F25F40"/>
    <w:rsid w:val="00F307E2"/>
    <w:rsid w:val="00F31C88"/>
    <w:rsid w:val="00F337C8"/>
    <w:rsid w:val="00F34E31"/>
    <w:rsid w:val="00F354FE"/>
    <w:rsid w:val="00F355CB"/>
    <w:rsid w:val="00F426A0"/>
    <w:rsid w:val="00F44E54"/>
    <w:rsid w:val="00F45660"/>
    <w:rsid w:val="00F45883"/>
    <w:rsid w:val="00F50B7D"/>
    <w:rsid w:val="00F50C13"/>
    <w:rsid w:val="00F5219D"/>
    <w:rsid w:val="00F52DC3"/>
    <w:rsid w:val="00F5688F"/>
    <w:rsid w:val="00F60EF7"/>
    <w:rsid w:val="00F615CA"/>
    <w:rsid w:val="00F638DD"/>
    <w:rsid w:val="00F63C98"/>
    <w:rsid w:val="00F63E04"/>
    <w:rsid w:val="00F63EC2"/>
    <w:rsid w:val="00F70615"/>
    <w:rsid w:val="00F73D84"/>
    <w:rsid w:val="00F77C1E"/>
    <w:rsid w:val="00F81A94"/>
    <w:rsid w:val="00F82856"/>
    <w:rsid w:val="00F84FD4"/>
    <w:rsid w:val="00F8565D"/>
    <w:rsid w:val="00F863D3"/>
    <w:rsid w:val="00F917CA"/>
    <w:rsid w:val="00F93F8A"/>
    <w:rsid w:val="00F94A52"/>
    <w:rsid w:val="00F95A84"/>
    <w:rsid w:val="00FA0165"/>
    <w:rsid w:val="00FA0DBE"/>
    <w:rsid w:val="00FA2044"/>
    <w:rsid w:val="00FA2799"/>
    <w:rsid w:val="00FA648F"/>
    <w:rsid w:val="00FB1CE5"/>
    <w:rsid w:val="00FB401A"/>
    <w:rsid w:val="00FB4AC8"/>
    <w:rsid w:val="00FB4B1B"/>
    <w:rsid w:val="00FB4E0E"/>
    <w:rsid w:val="00FB5E7A"/>
    <w:rsid w:val="00FB6FE9"/>
    <w:rsid w:val="00FB7C42"/>
    <w:rsid w:val="00FC053E"/>
    <w:rsid w:val="00FC089B"/>
    <w:rsid w:val="00FC55DE"/>
    <w:rsid w:val="00FC6BC5"/>
    <w:rsid w:val="00FC7822"/>
    <w:rsid w:val="00FD0A22"/>
    <w:rsid w:val="00FE0B9E"/>
    <w:rsid w:val="00FE1798"/>
    <w:rsid w:val="00FE30DC"/>
    <w:rsid w:val="00FE40F8"/>
    <w:rsid w:val="00FE410F"/>
    <w:rsid w:val="00FE4562"/>
    <w:rsid w:val="00FE5D3B"/>
    <w:rsid w:val="00FE6887"/>
    <w:rsid w:val="00FF09AC"/>
    <w:rsid w:val="00FF0F2B"/>
    <w:rsid w:val="00FF35F1"/>
    <w:rsid w:val="00FF4285"/>
    <w:rsid w:val="00FF48F2"/>
    <w:rsid w:val="00FF5BFA"/>
    <w:rsid w:val="00FF75BB"/>
    <w:rsid w:val="02FA7580"/>
    <w:rsid w:val="05E1D185"/>
    <w:rsid w:val="06120931"/>
    <w:rsid w:val="0682309B"/>
    <w:rsid w:val="088BCF7E"/>
    <w:rsid w:val="091D08A0"/>
    <w:rsid w:val="0D4904DC"/>
    <w:rsid w:val="1079F0C3"/>
    <w:rsid w:val="11B0A45D"/>
    <w:rsid w:val="13200EB4"/>
    <w:rsid w:val="148A6D18"/>
    <w:rsid w:val="14E3F350"/>
    <w:rsid w:val="15F5804D"/>
    <w:rsid w:val="16755EB7"/>
    <w:rsid w:val="167FC3B1"/>
    <w:rsid w:val="1830EEE2"/>
    <w:rsid w:val="188AE9E6"/>
    <w:rsid w:val="18C264A4"/>
    <w:rsid w:val="1B0B7162"/>
    <w:rsid w:val="1B23013D"/>
    <w:rsid w:val="1B4B170A"/>
    <w:rsid w:val="1ED386DC"/>
    <w:rsid w:val="20033157"/>
    <w:rsid w:val="2006F1D5"/>
    <w:rsid w:val="216A0DF0"/>
    <w:rsid w:val="2174A834"/>
    <w:rsid w:val="21FBDF05"/>
    <w:rsid w:val="2475DCCC"/>
    <w:rsid w:val="254C497D"/>
    <w:rsid w:val="26918276"/>
    <w:rsid w:val="27756B58"/>
    <w:rsid w:val="279362F4"/>
    <w:rsid w:val="297C75E3"/>
    <w:rsid w:val="2996B64D"/>
    <w:rsid w:val="2A1446EB"/>
    <w:rsid w:val="2A86FF04"/>
    <w:rsid w:val="2AC9A7E6"/>
    <w:rsid w:val="2ADE4530"/>
    <w:rsid w:val="2B557A1E"/>
    <w:rsid w:val="2B7C5C65"/>
    <w:rsid w:val="2C1F5935"/>
    <w:rsid w:val="2F1ACA3C"/>
    <w:rsid w:val="30BACAB6"/>
    <w:rsid w:val="30DAA467"/>
    <w:rsid w:val="31A7A9E1"/>
    <w:rsid w:val="32A972DE"/>
    <w:rsid w:val="32EDF180"/>
    <w:rsid w:val="3302FD6A"/>
    <w:rsid w:val="337B822D"/>
    <w:rsid w:val="33C0321A"/>
    <w:rsid w:val="33C79DFC"/>
    <w:rsid w:val="3527A967"/>
    <w:rsid w:val="361EDB92"/>
    <w:rsid w:val="376D7D7E"/>
    <w:rsid w:val="37F760C4"/>
    <w:rsid w:val="39933125"/>
    <w:rsid w:val="3B92772A"/>
    <w:rsid w:val="3BDCFFED"/>
    <w:rsid w:val="3BE1DAEF"/>
    <w:rsid w:val="3CCAD1E7"/>
    <w:rsid w:val="40EC6856"/>
    <w:rsid w:val="41DF6CB7"/>
    <w:rsid w:val="427153E5"/>
    <w:rsid w:val="444EA509"/>
    <w:rsid w:val="445229B3"/>
    <w:rsid w:val="44CEC08F"/>
    <w:rsid w:val="4571210A"/>
    <w:rsid w:val="474BB74B"/>
    <w:rsid w:val="4C58742C"/>
    <w:rsid w:val="4D0B9553"/>
    <w:rsid w:val="4D651C3B"/>
    <w:rsid w:val="5110D4F6"/>
    <w:rsid w:val="521E3895"/>
    <w:rsid w:val="5260075B"/>
    <w:rsid w:val="540CE0BD"/>
    <w:rsid w:val="549A657E"/>
    <w:rsid w:val="553D4872"/>
    <w:rsid w:val="55E838A4"/>
    <w:rsid w:val="57171F56"/>
    <w:rsid w:val="582F5ACD"/>
    <w:rsid w:val="5A581C50"/>
    <w:rsid w:val="5D625AE9"/>
    <w:rsid w:val="5DD90A1F"/>
    <w:rsid w:val="5E369A8E"/>
    <w:rsid w:val="5F666135"/>
    <w:rsid w:val="5F907B23"/>
    <w:rsid w:val="60AF8BA5"/>
    <w:rsid w:val="6285A08F"/>
    <w:rsid w:val="62CA977E"/>
    <w:rsid w:val="642709F3"/>
    <w:rsid w:val="66B7608C"/>
    <w:rsid w:val="66D664CB"/>
    <w:rsid w:val="6754FA88"/>
    <w:rsid w:val="67DE37B0"/>
    <w:rsid w:val="69C632AC"/>
    <w:rsid w:val="6A5517BD"/>
    <w:rsid w:val="6A805FCC"/>
    <w:rsid w:val="6A8DA057"/>
    <w:rsid w:val="6B9227BD"/>
    <w:rsid w:val="6BE644CD"/>
    <w:rsid w:val="6C395FFE"/>
    <w:rsid w:val="6C6269FC"/>
    <w:rsid w:val="6C66FDA1"/>
    <w:rsid w:val="6D16B275"/>
    <w:rsid w:val="6D8CB87F"/>
    <w:rsid w:val="6E199766"/>
    <w:rsid w:val="6E4C1D8A"/>
    <w:rsid w:val="70FA6EE6"/>
    <w:rsid w:val="71038F48"/>
    <w:rsid w:val="713A6EFB"/>
    <w:rsid w:val="72AAFA62"/>
    <w:rsid w:val="75704E9C"/>
    <w:rsid w:val="7596C3AD"/>
    <w:rsid w:val="75ED16E0"/>
    <w:rsid w:val="7761054A"/>
    <w:rsid w:val="786B2C64"/>
    <w:rsid w:val="788D5EA4"/>
    <w:rsid w:val="78D758AC"/>
    <w:rsid w:val="79C32E19"/>
    <w:rsid w:val="79F352C9"/>
    <w:rsid w:val="7B4D4349"/>
    <w:rsid w:val="7C31D746"/>
    <w:rsid w:val="7C6302AD"/>
    <w:rsid w:val="7CE934FB"/>
    <w:rsid w:val="7CFACEDB"/>
    <w:rsid w:val="7DAAC9CF"/>
    <w:rsid w:val="7DF2C122"/>
    <w:rsid w:val="7E0C050F"/>
    <w:rsid w:val="7E895FDF"/>
    <w:rsid w:val="7EC6C3EC"/>
    <w:rsid w:val="7FD3AF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37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67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6752"/>
    <w:pPr>
      <w:ind w:left="720"/>
      <w:contextualSpacing/>
    </w:pPr>
  </w:style>
  <w:style w:type="character" w:styleId="Odwoanieprzypisudolnego">
    <w:name w:val="footnote reference"/>
    <w:basedOn w:val="Domylnaczcionkaakapitu"/>
    <w:uiPriority w:val="99"/>
    <w:semiHidden/>
    <w:unhideWhenUsed/>
    <w:rsid w:val="00696752"/>
    <w:rPr>
      <w:vertAlign w:val="superscript"/>
    </w:rPr>
  </w:style>
  <w:style w:type="character" w:customStyle="1" w:styleId="TekstprzypisudolnegoZnak">
    <w:name w:val="Tekst przypisu dolnego Znak"/>
    <w:basedOn w:val="Domylnaczcionkaakapitu"/>
    <w:link w:val="Tekstprzypisudolnego"/>
    <w:uiPriority w:val="99"/>
    <w:semiHidden/>
    <w:rsid w:val="00696752"/>
    <w:rPr>
      <w:sz w:val="20"/>
      <w:szCs w:val="20"/>
    </w:rPr>
  </w:style>
  <w:style w:type="paragraph" w:styleId="Tekstprzypisudolnego">
    <w:name w:val="footnote text"/>
    <w:basedOn w:val="Normalny"/>
    <w:link w:val="TekstprzypisudolnegoZnak"/>
    <w:uiPriority w:val="99"/>
    <w:semiHidden/>
    <w:unhideWhenUsed/>
    <w:rsid w:val="00696752"/>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696752"/>
    <w:rPr>
      <w:sz w:val="20"/>
      <w:szCs w:val="20"/>
    </w:rPr>
  </w:style>
  <w:style w:type="paragraph" w:customStyle="1" w:styleId="ZUSTzmustartykuempunktem">
    <w:name w:val="Z/UST(§) – zm. ust. (§) artykułem (punktem)"/>
    <w:basedOn w:val="Normalny"/>
    <w:uiPriority w:val="30"/>
    <w:qFormat/>
    <w:rsid w:val="00696752"/>
    <w:pPr>
      <w:spacing w:after="0"/>
      <w:ind w:left="510" w:firstLine="510"/>
      <w:jc w:val="both"/>
    </w:pPr>
    <w:rPr>
      <w:rFonts w:ascii="Times" w:eastAsiaTheme="minorEastAsia" w:hAnsi="Times" w:cs="Arial"/>
      <w:sz w:val="24"/>
      <w:szCs w:val="24"/>
      <w:lang w:eastAsia="pl-PL"/>
    </w:rPr>
  </w:style>
  <w:style w:type="character" w:styleId="Odwoaniedokomentarza">
    <w:name w:val="annotation reference"/>
    <w:basedOn w:val="Domylnaczcionkaakapitu"/>
    <w:uiPriority w:val="99"/>
    <w:semiHidden/>
    <w:unhideWhenUsed/>
    <w:rsid w:val="00492498"/>
    <w:rPr>
      <w:sz w:val="16"/>
      <w:szCs w:val="16"/>
    </w:rPr>
  </w:style>
  <w:style w:type="paragraph" w:styleId="Tekstkomentarza">
    <w:name w:val="annotation text"/>
    <w:basedOn w:val="Normalny"/>
    <w:link w:val="TekstkomentarzaZnak"/>
    <w:uiPriority w:val="99"/>
    <w:semiHidden/>
    <w:unhideWhenUsed/>
    <w:rsid w:val="004924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2498"/>
    <w:rPr>
      <w:sz w:val="20"/>
      <w:szCs w:val="20"/>
    </w:rPr>
  </w:style>
  <w:style w:type="paragraph" w:styleId="Tematkomentarza">
    <w:name w:val="annotation subject"/>
    <w:basedOn w:val="Tekstkomentarza"/>
    <w:next w:val="Tekstkomentarza"/>
    <w:link w:val="TematkomentarzaZnak"/>
    <w:uiPriority w:val="99"/>
    <w:semiHidden/>
    <w:unhideWhenUsed/>
    <w:rsid w:val="00492498"/>
    <w:rPr>
      <w:b/>
      <w:bCs/>
    </w:rPr>
  </w:style>
  <w:style w:type="character" w:customStyle="1" w:styleId="TematkomentarzaZnak">
    <w:name w:val="Temat komentarza Znak"/>
    <w:basedOn w:val="TekstkomentarzaZnak"/>
    <w:link w:val="Tematkomentarza"/>
    <w:uiPriority w:val="99"/>
    <w:semiHidden/>
    <w:rsid w:val="00492498"/>
    <w:rPr>
      <w:b/>
      <w:bCs/>
      <w:sz w:val="20"/>
      <w:szCs w:val="20"/>
    </w:rPr>
  </w:style>
  <w:style w:type="paragraph" w:styleId="Nagwek">
    <w:name w:val="header"/>
    <w:basedOn w:val="Normalny"/>
    <w:link w:val="NagwekZnak"/>
    <w:uiPriority w:val="99"/>
    <w:unhideWhenUsed/>
    <w:rsid w:val="00C66F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66F4A"/>
  </w:style>
  <w:style w:type="paragraph" w:styleId="Stopka">
    <w:name w:val="footer"/>
    <w:basedOn w:val="Normalny"/>
    <w:link w:val="StopkaZnak"/>
    <w:uiPriority w:val="99"/>
    <w:unhideWhenUsed/>
    <w:rsid w:val="00C66F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6F4A"/>
  </w:style>
  <w:style w:type="paragraph" w:styleId="Poprawka">
    <w:name w:val="Revision"/>
    <w:hidden/>
    <w:uiPriority w:val="99"/>
    <w:semiHidden/>
    <w:rsid w:val="00585CB1"/>
    <w:pPr>
      <w:spacing w:after="0" w:line="240" w:lineRule="auto"/>
    </w:pPr>
  </w:style>
  <w:style w:type="character" w:styleId="Hipercze">
    <w:name w:val="Hyperlink"/>
    <w:basedOn w:val="Domylnaczcionkaakapitu"/>
    <w:uiPriority w:val="99"/>
    <w:unhideWhenUsed/>
    <w:rsid w:val="00540D98"/>
    <w:rPr>
      <w:color w:val="0563C1" w:themeColor="hyperlink"/>
      <w:u w:val="single"/>
    </w:rPr>
  </w:style>
  <w:style w:type="character" w:customStyle="1" w:styleId="Nierozpoznanawzmianka1">
    <w:name w:val="Nierozpoznana wzmianka1"/>
    <w:basedOn w:val="Domylnaczcionkaakapitu"/>
    <w:uiPriority w:val="99"/>
    <w:unhideWhenUsed/>
    <w:rsid w:val="00540D98"/>
    <w:rPr>
      <w:color w:val="605E5C"/>
      <w:shd w:val="clear" w:color="auto" w:fill="E1DFDD"/>
    </w:rPr>
  </w:style>
  <w:style w:type="character" w:customStyle="1" w:styleId="spellingerror">
    <w:name w:val="spellingerror"/>
    <w:basedOn w:val="Domylnaczcionkaakapitu"/>
    <w:rsid w:val="00B142B8"/>
  </w:style>
  <w:style w:type="paragraph" w:customStyle="1" w:styleId="ZARTzmartartykuempunktem">
    <w:name w:val="Z/ART(§) – zm. art. (§) artykułem (punktem)"/>
    <w:basedOn w:val="Normalny"/>
    <w:uiPriority w:val="30"/>
    <w:qFormat/>
    <w:rsid w:val="00B142B8"/>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B142B8"/>
    <w:pPr>
      <w:spacing w:after="0" w:line="360" w:lineRule="auto"/>
      <w:ind w:left="1020" w:hanging="510"/>
      <w:jc w:val="both"/>
    </w:pPr>
    <w:rPr>
      <w:rFonts w:ascii="Times" w:eastAsiaTheme="minorEastAsia" w:hAnsi="Times" w:cs="Arial"/>
      <w:bCs/>
      <w:sz w:val="24"/>
      <w:szCs w:val="20"/>
      <w:lang w:eastAsia="pl-PL"/>
    </w:rPr>
  </w:style>
  <w:style w:type="paragraph" w:styleId="NormalnyWeb">
    <w:name w:val="Normal (Web)"/>
    <w:basedOn w:val="Normalny"/>
    <w:uiPriority w:val="99"/>
    <w:unhideWhenUsed/>
    <w:rsid w:val="00B142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zmianka1">
    <w:name w:val="Wzmianka1"/>
    <w:basedOn w:val="Domylnaczcionkaakapitu"/>
    <w:uiPriority w:val="99"/>
    <w:unhideWhenUsed/>
    <w:rsid w:val="00076491"/>
    <w:rPr>
      <w:color w:val="2B579A"/>
      <w:shd w:val="clear" w:color="auto" w:fill="E1DFDD"/>
    </w:rPr>
  </w:style>
  <w:style w:type="paragraph" w:customStyle="1" w:styleId="ZLITUSTzmustliter">
    <w:name w:val="Z_LIT/UST(§) – zm. ust. (§) literą"/>
    <w:basedOn w:val="Normalny"/>
    <w:uiPriority w:val="46"/>
    <w:qFormat/>
    <w:rsid w:val="004F7AE1"/>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paragraph" w:customStyle="1" w:styleId="ZLITPKTzmpktliter">
    <w:name w:val="Z_LIT/PKT – zm. pkt literą"/>
    <w:basedOn w:val="Normalny"/>
    <w:uiPriority w:val="47"/>
    <w:qFormat/>
    <w:rsid w:val="004F7AE1"/>
    <w:pPr>
      <w:spacing w:after="0" w:line="360" w:lineRule="auto"/>
      <w:ind w:left="1497" w:hanging="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4F7AE1"/>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ODNONIKtreodnonika">
    <w:name w:val="ODNOŚNIK – treść odnośnika"/>
    <w:uiPriority w:val="19"/>
    <w:qFormat/>
    <w:rsid w:val="004F7AE1"/>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PKTpunkt">
    <w:name w:val="PKT – punkt"/>
    <w:uiPriority w:val="13"/>
    <w:qFormat/>
    <w:rsid w:val="00992340"/>
    <w:pPr>
      <w:spacing w:after="0" w:line="360" w:lineRule="auto"/>
      <w:ind w:left="510" w:hanging="510"/>
      <w:jc w:val="both"/>
    </w:pPr>
    <w:rPr>
      <w:rFonts w:ascii="Times" w:eastAsiaTheme="minorEastAsia" w:hAnsi="Times" w:cs="Arial"/>
      <w:bCs/>
      <w:sz w:val="24"/>
      <w:szCs w:val="20"/>
      <w:lang w:eastAsia="pl-PL"/>
    </w:rPr>
  </w:style>
  <w:style w:type="paragraph" w:styleId="Tekstdymka">
    <w:name w:val="Balloon Text"/>
    <w:basedOn w:val="Normalny"/>
    <w:link w:val="TekstdymkaZnak"/>
    <w:uiPriority w:val="99"/>
    <w:semiHidden/>
    <w:unhideWhenUsed/>
    <w:rsid w:val="0060788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7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28401">
      <w:bodyDiv w:val="1"/>
      <w:marLeft w:val="0"/>
      <w:marRight w:val="0"/>
      <w:marTop w:val="0"/>
      <w:marBottom w:val="0"/>
      <w:divBdr>
        <w:top w:val="none" w:sz="0" w:space="0" w:color="auto"/>
        <w:left w:val="none" w:sz="0" w:space="0" w:color="auto"/>
        <w:bottom w:val="none" w:sz="0" w:space="0" w:color="auto"/>
        <w:right w:val="none" w:sz="0" w:space="0" w:color="auto"/>
      </w:divBdr>
    </w:div>
    <w:div w:id="1821380402">
      <w:bodyDiv w:val="1"/>
      <w:marLeft w:val="0"/>
      <w:marRight w:val="0"/>
      <w:marTop w:val="0"/>
      <w:marBottom w:val="0"/>
      <w:divBdr>
        <w:top w:val="none" w:sz="0" w:space="0" w:color="auto"/>
        <w:left w:val="none" w:sz="0" w:space="0" w:color="auto"/>
        <w:bottom w:val="none" w:sz="0" w:space="0" w:color="auto"/>
        <w:right w:val="none" w:sz="0" w:space="0" w:color="auto"/>
      </w:divBdr>
    </w:div>
    <w:div w:id="1920098841">
      <w:bodyDiv w:val="1"/>
      <w:marLeft w:val="0"/>
      <w:marRight w:val="0"/>
      <w:marTop w:val="0"/>
      <w:marBottom w:val="0"/>
      <w:divBdr>
        <w:top w:val="none" w:sz="0" w:space="0" w:color="auto"/>
        <w:left w:val="none" w:sz="0" w:space="0" w:color="auto"/>
        <w:bottom w:val="none" w:sz="0" w:space="0" w:color="auto"/>
        <w:right w:val="none" w:sz="0" w:space="0" w:color="auto"/>
      </w:divBdr>
    </w:div>
    <w:div w:id="1925066989">
      <w:bodyDiv w:val="1"/>
      <w:marLeft w:val="0"/>
      <w:marRight w:val="0"/>
      <w:marTop w:val="0"/>
      <w:marBottom w:val="0"/>
      <w:divBdr>
        <w:top w:val="none" w:sz="0" w:space="0" w:color="auto"/>
        <w:left w:val="none" w:sz="0" w:space="0" w:color="auto"/>
        <w:bottom w:val="none" w:sz="0" w:space="0" w:color="auto"/>
        <w:right w:val="none" w:sz="0" w:space="0" w:color="auto"/>
      </w:divBdr>
      <w:divsChild>
        <w:div w:id="487676520">
          <w:marLeft w:val="144"/>
          <w:marRight w:val="0"/>
          <w:marTop w:val="260"/>
          <w:marBottom w:val="0"/>
          <w:divBdr>
            <w:top w:val="none" w:sz="0" w:space="0" w:color="auto"/>
            <w:left w:val="none" w:sz="0" w:space="0" w:color="auto"/>
            <w:bottom w:val="none" w:sz="0" w:space="0" w:color="auto"/>
            <w:right w:val="none" w:sz="0" w:space="0" w:color="auto"/>
          </w:divBdr>
        </w:div>
        <w:div w:id="555506931">
          <w:marLeft w:val="144"/>
          <w:marRight w:val="0"/>
          <w:marTop w:val="260"/>
          <w:marBottom w:val="0"/>
          <w:divBdr>
            <w:top w:val="none" w:sz="0" w:space="0" w:color="auto"/>
            <w:left w:val="none" w:sz="0" w:space="0" w:color="auto"/>
            <w:bottom w:val="none" w:sz="0" w:space="0" w:color="auto"/>
            <w:right w:val="none" w:sz="0" w:space="0" w:color="auto"/>
          </w:divBdr>
        </w:div>
        <w:div w:id="1373190244">
          <w:marLeft w:val="144"/>
          <w:marRight w:val="0"/>
          <w:marTop w:val="260"/>
          <w:marBottom w:val="0"/>
          <w:divBdr>
            <w:top w:val="none" w:sz="0" w:space="0" w:color="auto"/>
            <w:left w:val="none" w:sz="0" w:space="0" w:color="auto"/>
            <w:bottom w:val="none" w:sz="0" w:space="0" w:color="auto"/>
            <w:right w:val="none" w:sz="0" w:space="0" w:color="auto"/>
          </w:divBdr>
        </w:div>
      </w:divsChild>
    </w:div>
    <w:div w:id="2015061787">
      <w:bodyDiv w:val="1"/>
      <w:marLeft w:val="0"/>
      <w:marRight w:val="0"/>
      <w:marTop w:val="0"/>
      <w:marBottom w:val="0"/>
      <w:divBdr>
        <w:top w:val="none" w:sz="0" w:space="0" w:color="auto"/>
        <w:left w:val="none" w:sz="0" w:space="0" w:color="auto"/>
        <w:bottom w:val="none" w:sz="0" w:space="0" w:color="auto"/>
        <w:right w:val="none" w:sz="0" w:space="0" w:color="auto"/>
      </w:divBdr>
      <w:divsChild>
        <w:div w:id="1402562014">
          <w:marLeft w:val="0"/>
          <w:marRight w:val="0"/>
          <w:marTop w:val="0"/>
          <w:marBottom w:val="0"/>
          <w:divBdr>
            <w:top w:val="none" w:sz="0" w:space="0" w:color="auto"/>
            <w:left w:val="none" w:sz="0" w:space="0" w:color="auto"/>
            <w:bottom w:val="none" w:sz="0" w:space="0" w:color="auto"/>
            <w:right w:val="none" w:sz="0" w:space="0" w:color="auto"/>
          </w:divBdr>
          <w:divsChild>
            <w:div w:id="1251086983">
              <w:marLeft w:val="0"/>
              <w:marRight w:val="0"/>
              <w:marTop w:val="240"/>
              <w:marBottom w:val="0"/>
              <w:divBdr>
                <w:top w:val="none" w:sz="0" w:space="0" w:color="auto"/>
                <w:left w:val="none" w:sz="0" w:space="0" w:color="auto"/>
                <w:bottom w:val="none" w:sz="0" w:space="0" w:color="auto"/>
                <w:right w:val="none" w:sz="0" w:space="0" w:color="auto"/>
              </w:divBdr>
              <w:divsChild>
                <w:div w:id="1300963989">
                  <w:marLeft w:val="0"/>
                  <w:marRight w:val="0"/>
                  <w:marTop w:val="0"/>
                  <w:marBottom w:val="240"/>
                  <w:divBdr>
                    <w:top w:val="none" w:sz="0" w:space="0" w:color="auto"/>
                    <w:left w:val="none" w:sz="0" w:space="0" w:color="auto"/>
                    <w:bottom w:val="none" w:sz="0" w:space="0" w:color="auto"/>
                    <w:right w:val="none" w:sz="0" w:space="0" w:color="auto"/>
                  </w:divBdr>
                  <w:divsChild>
                    <w:div w:id="639500290">
                      <w:marLeft w:val="0"/>
                      <w:marRight w:val="0"/>
                      <w:marTop w:val="72"/>
                      <w:marBottom w:val="0"/>
                      <w:divBdr>
                        <w:top w:val="none" w:sz="0" w:space="0" w:color="auto"/>
                        <w:left w:val="none" w:sz="0" w:space="0" w:color="auto"/>
                        <w:bottom w:val="none" w:sz="0" w:space="0" w:color="auto"/>
                        <w:right w:val="none" w:sz="0" w:space="0" w:color="auto"/>
                      </w:divBdr>
                      <w:divsChild>
                        <w:div w:id="1878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1356-B9BD-4E40-94D2-B429E57E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9981</Words>
  <Characters>59889</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2022-05-26T13:20:00Z</dcterms:created>
  <dcterms:modified xsi:type="dcterms:W3CDTF">2022-06-09T13:34:00Z</dcterms:modified>
</cp:coreProperties>
</file>