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614CF" w14:textId="2A5A501D" w:rsidR="00AA4910" w:rsidRPr="004031C7" w:rsidRDefault="00AA4910" w:rsidP="004031C7">
      <w:pPr>
        <w:spacing w:before="120" w:after="0" w:line="36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031C7">
        <w:rPr>
          <w:rFonts w:ascii="Times New Roman" w:hAnsi="Times New Roman" w:cs="Times New Roman"/>
          <w:sz w:val="24"/>
        </w:rPr>
        <w:t>UZASADNIENIE</w:t>
      </w:r>
    </w:p>
    <w:p w14:paraId="20F8F928" w14:textId="3FB850CF" w:rsidR="00AA4910" w:rsidRPr="009A7B6C" w:rsidRDefault="00AA4910" w:rsidP="004031C7">
      <w:pPr>
        <w:spacing w:before="24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 xml:space="preserve">Ustawa z dnia 12 października 2012 r. o zmianie ustawy o </w:t>
      </w:r>
      <w:r w:rsidR="00C860C3">
        <w:rPr>
          <w:rFonts w:ascii="Times New Roman" w:hAnsi="Times New Roman" w:cs="Times New Roman"/>
          <w:sz w:val="24"/>
        </w:rPr>
        <w:t xml:space="preserve">radiofonii i telewizji (Dz. U. </w:t>
      </w:r>
      <w:r w:rsidRPr="009A7B6C">
        <w:rPr>
          <w:rFonts w:ascii="Times New Roman" w:hAnsi="Times New Roman" w:cs="Times New Roman"/>
          <w:sz w:val="24"/>
        </w:rPr>
        <w:t>poz.</w:t>
      </w:r>
      <w:r w:rsidR="00725912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 xml:space="preserve">1315) implementowała dyrektywę </w:t>
      </w:r>
      <w:r w:rsidR="00C860C3" w:rsidRPr="009A7B6C">
        <w:rPr>
          <w:rFonts w:ascii="Times New Roman" w:hAnsi="Times New Roman" w:cs="Times New Roman"/>
          <w:sz w:val="24"/>
        </w:rPr>
        <w:t xml:space="preserve">Parlamentu Europejskiego i Rady </w:t>
      </w:r>
      <w:r w:rsidRPr="009A7B6C">
        <w:rPr>
          <w:rFonts w:ascii="Times New Roman" w:hAnsi="Times New Roman" w:cs="Times New Roman"/>
          <w:sz w:val="24"/>
        </w:rPr>
        <w:t>20</w:t>
      </w:r>
      <w:r w:rsidR="007265E0">
        <w:rPr>
          <w:rFonts w:ascii="Times New Roman" w:hAnsi="Times New Roman" w:cs="Times New Roman"/>
          <w:sz w:val="24"/>
        </w:rPr>
        <w:t>10</w:t>
      </w:r>
      <w:r w:rsidRPr="009A7B6C">
        <w:rPr>
          <w:rFonts w:ascii="Times New Roman" w:hAnsi="Times New Roman" w:cs="Times New Roman"/>
          <w:sz w:val="24"/>
        </w:rPr>
        <w:t>/</w:t>
      </w:r>
      <w:r w:rsidR="007265E0">
        <w:rPr>
          <w:rFonts w:ascii="Times New Roman" w:hAnsi="Times New Roman" w:cs="Times New Roman"/>
          <w:sz w:val="24"/>
        </w:rPr>
        <w:t>13</w:t>
      </w:r>
      <w:r w:rsidRPr="009A7B6C">
        <w:rPr>
          <w:rFonts w:ascii="Times New Roman" w:hAnsi="Times New Roman" w:cs="Times New Roman"/>
          <w:sz w:val="24"/>
        </w:rPr>
        <w:t>/</w:t>
      </w:r>
      <w:r w:rsidR="007265E0">
        <w:rPr>
          <w:rFonts w:ascii="Times New Roman" w:hAnsi="Times New Roman" w:cs="Times New Roman"/>
          <w:sz w:val="24"/>
        </w:rPr>
        <w:t>U</w:t>
      </w:r>
      <w:r w:rsidRPr="009A7B6C">
        <w:rPr>
          <w:rFonts w:ascii="Times New Roman" w:hAnsi="Times New Roman" w:cs="Times New Roman"/>
          <w:sz w:val="24"/>
        </w:rPr>
        <w:t>E z dnia 1</w:t>
      </w:r>
      <w:r w:rsidR="007265E0">
        <w:rPr>
          <w:rFonts w:ascii="Times New Roman" w:hAnsi="Times New Roman" w:cs="Times New Roman"/>
          <w:sz w:val="24"/>
        </w:rPr>
        <w:t>0</w:t>
      </w:r>
      <w:r w:rsidR="00C860C3">
        <w:rPr>
          <w:rFonts w:ascii="Times New Roman" w:hAnsi="Times New Roman" w:cs="Times New Roman"/>
          <w:sz w:val="24"/>
        </w:rPr>
        <w:t> </w:t>
      </w:r>
      <w:r w:rsidR="007265E0">
        <w:rPr>
          <w:rFonts w:ascii="Times New Roman" w:hAnsi="Times New Roman" w:cs="Times New Roman"/>
          <w:sz w:val="24"/>
        </w:rPr>
        <w:t>marca</w:t>
      </w:r>
      <w:r w:rsidRPr="009A7B6C">
        <w:rPr>
          <w:rFonts w:ascii="Times New Roman" w:hAnsi="Times New Roman" w:cs="Times New Roman"/>
          <w:sz w:val="24"/>
        </w:rPr>
        <w:t xml:space="preserve"> 20</w:t>
      </w:r>
      <w:r w:rsidR="007265E0">
        <w:rPr>
          <w:rFonts w:ascii="Times New Roman" w:hAnsi="Times New Roman" w:cs="Times New Roman"/>
          <w:sz w:val="24"/>
        </w:rPr>
        <w:t>10</w:t>
      </w:r>
      <w:r w:rsidRPr="009A7B6C">
        <w:rPr>
          <w:rFonts w:ascii="Times New Roman" w:hAnsi="Times New Roman" w:cs="Times New Roman"/>
          <w:sz w:val="24"/>
        </w:rPr>
        <w:t xml:space="preserve"> r. w sprawie koordynacji niektórych przepisów ustawowych, wykonawczych i</w:t>
      </w:r>
      <w:r w:rsidR="00C860C3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 xml:space="preserve">administracyjnych państw członkowskich, dotyczących </w:t>
      </w:r>
      <w:r w:rsidR="007265E0">
        <w:rPr>
          <w:rFonts w:ascii="Times New Roman" w:hAnsi="Times New Roman" w:cs="Times New Roman"/>
          <w:sz w:val="24"/>
        </w:rPr>
        <w:t>świadczenia audiowizualnych usług medialnych</w:t>
      </w:r>
      <w:r w:rsidRPr="009A7B6C">
        <w:rPr>
          <w:rFonts w:ascii="Times New Roman" w:hAnsi="Times New Roman" w:cs="Times New Roman"/>
          <w:sz w:val="24"/>
        </w:rPr>
        <w:t xml:space="preserve"> (dyrektywa o audiowizualnych usługach medialnych) </w:t>
      </w:r>
      <w:r w:rsidR="00225A8E">
        <w:rPr>
          <w:rFonts w:ascii="Times New Roman" w:hAnsi="Times New Roman" w:cs="Times New Roman"/>
          <w:sz w:val="24"/>
        </w:rPr>
        <w:t xml:space="preserve">(Dz. Urz. UE L </w:t>
      </w:r>
      <w:r w:rsidR="007265E0">
        <w:rPr>
          <w:rFonts w:ascii="Times New Roman" w:hAnsi="Times New Roman" w:cs="Times New Roman"/>
          <w:sz w:val="24"/>
        </w:rPr>
        <w:t>95</w:t>
      </w:r>
      <w:r w:rsidR="00225A8E">
        <w:rPr>
          <w:rFonts w:ascii="Times New Roman" w:hAnsi="Times New Roman" w:cs="Times New Roman"/>
          <w:sz w:val="24"/>
        </w:rPr>
        <w:t xml:space="preserve"> z</w:t>
      </w:r>
      <w:r w:rsidR="00C860C3">
        <w:rPr>
          <w:rFonts w:ascii="Times New Roman" w:hAnsi="Times New Roman" w:cs="Times New Roman"/>
          <w:sz w:val="24"/>
        </w:rPr>
        <w:t> </w:t>
      </w:r>
      <w:r w:rsidR="00E058E2">
        <w:rPr>
          <w:rFonts w:ascii="Times New Roman" w:hAnsi="Times New Roman" w:cs="Times New Roman"/>
          <w:sz w:val="24"/>
        </w:rPr>
        <w:t>1</w:t>
      </w:r>
      <w:r w:rsidR="007265E0">
        <w:rPr>
          <w:rFonts w:ascii="Times New Roman" w:hAnsi="Times New Roman" w:cs="Times New Roman"/>
          <w:sz w:val="24"/>
        </w:rPr>
        <w:t>5</w:t>
      </w:r>
      <w:r w:rsidR="00E058E2">
        <w:rPr>
          <w:rFonts w:ascii="Times New Roman" w:hAnsi="Times New Roman" w:cs="Times New Roman"/>
          <w:sz w:val="24"/>
        </w:rPr>
        <w:t>.</w:t>
      </w:r>
      <w:r w:rsidR="007265E0">
        <w:rPr>
          <w:rFonts w:ascii="Times New Roman" w:hAnsi="Times New Roman" w:cs="Times New Roman"/>
          <w:sz w:val="24"/>
        </w:rPr>
        <w:t>04</w:t>
      </w:r>
      <w:r w:rsidR="00E058E2">
        <w:rPr>
          <w:rFonts w:ascii="Times New Roman" w:hAnsi="Times New Roman" w:cs="Times New Roman"/>
          <w:sz w:val="24"/>
        </w:rPr>
        <w:t>.20</w:t>
      </w:r>
      <w:r w:rsidR="007265E0">
        <w:rPr>
          <w:rFonts w:ascii="Times New Roman" w:hAnsi="Times New Roman" w:cs="Times New Roman"/>
          <w:sz w:val="24"/>
        </w:rPr>
        <w:t>10</w:t>
      </w:r>
      <w:r w:rsidR="00E058E2">
        <w:rPr>
          <w:rFonts w:ascii="Times New Roman" w:hAnsi="Times New Roman" w:cs="Times New Roman"/>
          <w:sz w:val="24"/>
        </w:rPr>
        <w:t xml:space="preserve">, str. </w:t>
      </w:r>
      <w:r w:rsidR="007265E0">
        <w:rPr>
          <w:rFonts w:ascii="Times New Roman" w:hAnsi="Times New Roman" w:cs="Times New Roman"/>
          <w:sz w:val="24"/>
        </w:rPr>
        <w:t>1</w:t>
      </w:r>
      <w:r w:rsidR="00225A8E">
        <w:rPr>
          <w:rFonts w:ascii="Times New Roman" w:hAnsi="Times New Roman" w:cs="Times New Roman"/>
          <w:sz w:val="24"/>
        </w:rPr>
        <w:t xml:space="preserve">) </w:t>
      </w:r>
      <w:r w:rsidRPr="009A7B6C">
        <w:rPr>
          <w:rFonts w:ascii="Times New Roman" w:hAnsi="Times New Roman" w:cs="Times New Roman"/>
          <w:sz w:val="24"/>
        </w:rPr>
        <w:t>w zakresie dotyczącym audiowizualnych usług medialnych na żądanie. Krajowa Rada Radiofonii i Telewizji (dalej „Krajowa Rada”) na podstawie ww</w:t>
      </w:r>
      <w:r w:rsidR="008A0395">
        <w:rPr>
          <w:rFonts w:ascii="Times New Roman" w:hAnsi="Times New Roman" w:cs="Times New Roman"/>
          <w:sz w:val="24"/>
        </w:rPr>
        <w:t>.</w:t>
      </w:r>
      <w:r w:rsidRPr="009A7B6C">
        <w:rPr>
          <w:rFonts w:ascii="Times New Roman" w:hAnsi="Times New Roman" w:cs="Times New Roman"/>
          <w:sz w:val="24"/>
        </w:rPr>
        <w:t xml:space="preserve"> ustawy otrzymała dodatkowe zadania związane z prowadzeniem monitoringu rynku audiowizualnych usług medialnych na żądanie. W związku z rozszerzeniem ustawowego katalogu zadań Krajowej Rady w art. 3</w:t>
      </w:r>
      <w:r w:rsidR="00E058E2">
        <w:rPr>
          <w:rFonts w:ascii="Times New Roman" w:hAnsi="Times New Roman" w:cs="Times New Roman"/>
          <w:sz w:val="24"/>
        </w:rPr>
        <w:t xml:space="preserve"> ust. 1</w:t>
      </w:r>
      <w:r w:rsidRPr="009A7B6C">
        <w:rPr>
          <w:rFonts w:ascii="Times New Roman" w:hAnsi="Times New Roman" w:cs="Times New Roman"/>
          <w:sz w:val="24"/>
        </w:rPr>
        <w:t xml:space="preserve"> ustawy z dnia 12 października 2012 r. o zmianie ustawy o</w:t>
      </w:r>
      <w:r w:rsidR="00C860C3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radiofonii i telewizji wskazano maksymalny limit wydatków na wynagrodzenia w Krajowej Radzie wraz z opłaconymi przez pracodawcę składkami na ubezpieczenie społeczne i</w:t>
      </w:r>
      <w:r w:rsidR="004031C7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Fundusz Pracy w latach 2013</w:t>
      </w:r>
      <w:r w:rsidR="004031C7">
        <w:rPr>
          <w:rFonts w:ascii="Times New Roman" w:hAnsi="Times New Roman" w:cs="Times New Roman"/>
          <w:sz w:val="24"/>
        </w:rPr>
        <w:t>–</w:t>
      </w:r>
      <w:r w:rsidRPr="009A7B6C">
        <w:rPr>
          <w:rFonts w:ascii="Times New Roman" w:hAnsi="Times New Roman" w:cs="Times New Roman"/>
          <w:sz w:val="24"/>
        </w:rPr>
        <w:t>2022.</w:t>
      </w:r>
      <w:r w:rsidR="00A149AE">
        <w:rPr>
          <w:rFonts w:ascii="Times New Roman" w:hAnsi="Times New Roman" w:cs="Times New Roman"/>
          <w:sz w:val="24"/>
        </w:rPr>
        <w:t xml:space="preserve"> Procedowana nowelizacja </w:t>
      </w:r>
      <w:r w:rsidR="007C26CD">
        <w:rPr>
          <w:rFonts w:ascii="Times New Roman" w:hAnsi="Times New Roman" w:cs="Times New Roman"/>
          <w:sz w:val="24"/>
        </w:rPr>
        <w:t xml:space="preserve">wynika </w:t>
      </w:r>
      <w:r w:rsidR="00A149AE">
        <w:rPr>
          <w:rFonts w:ascii="Times New Roman" w:hAnsi="Times New Roman" w:cs="Times New Roman"/>
          <w:sz w:val="24"/>
        </w:rPr>
        <w:t>z konieczności</w:t>
      </w:r>
      <w:r w:rsidR="007C26CD">
        <w:rPr>
          <w:rFonts w:ascii="Times New Roman" w:hAnsi="Times New Roman" w:cs="Times New Roman"/>
          <w:sz w:val="24"/>
        </w:rPr>
        <w:t xml:space="preserve"> zapewnienia</w:t>
      </w:r>
      <w:r w:rsidR="00A149AE" w:rsidRPr="00A149AE">
        <w:rPr>
          <w:rFonts w:ascii="Times New Roman" w:hAnsi="Times New Roman" w:cs="Times New Roman"/>
          <w:sz w:val="24"/>
        </w:rPr>
        <w:t xml:space="preserve"> kontynuacji wykonywania zadań w zakresie monitoringu rynku audiowizualnych usług medialnych na żądanie przez Krajow</w:t>
      </w:r>
      <w:r w:rsidR="00A149AE">
        <w:rPr>
          <w:rFonts w:ascii="Times New Roman" w:hAnsi="Times New Roman" w:cs="Times New Roman"/>
          <w:sz w:val="24"/>
        </w:rPr>
        <w:t>ą Radę Radiofonii i Telewizji, jak również</w:t>
      </w:r>
      <w:r w:rsidR="00B8054A">
        <w:rPr>
          <w:rFonts w:ascii="Times New Roman" w:hAnsi="Times New Roman" w:cs="Times New Roman"/>
          <w:sz w:val="24"/>
        </w:rPr>
        <w:t xml:space="preserve"> z</w:t>
      </w:r>
      <w:r w:rsidR="004031C7">
        <w:rPr>
          <w:rFonts w:ascii="Times New Roman" w:hAnsi="Times New Roman" w:cs="Times New Roman"/>
          <w:sz w:val="24"/>
        </w:rPr>
        <w:t> </w:t>
      </w:r>
      <w:r w:rsidR="00A149AE">
        <w:rPr>
          <w:rFonts w:ascii="Times New Roman" w:hAnsi="Times New Roman" w:cs="Times New Roman"/>
          <w:sz w:val="24"/>
        </w:rPr>
        <w:t>aktualności</w:t>
      </w:r>
      <w:r w:rsidR="00A149AE" w:rsidRPr="00A149AE">
        <w:rPr>
          <w:rFonts w:ascii="Times New Roman" w:hAnsi="Times New Roman" w:cs="Times New Roman"/>
          <w:sz w:val="24"/>
        </w:rPr>
        <w:t xml:space="preserve"> </w:t>
      </w:r>
      <w:r w:rsidR="00A149AE">
        <w:rPr>
          <w:rFonts w:ascii="Times New Roman" w:hAnsi="Times New Roman" w:cs="Times New Roman"/>
          <w:sz w:val="24"/>
        </w:rPr>
        <w:t xml:space="preserve">tego zadania </w:t>
      </w:r>
      <w:r w:rsidR="00A149AE" w:rsidRPr="00A149AE">
        <w:rPr>
          <w:rFonts w:ascii="Times New Roman" w:hAnsi="Times New Roman" w:cs="Times New Roman"/>
          <w:sz w:val="24"/>
        </w:rPr>
        <w:t>jako zadania państwa.</w:t>
      </w:r>
    </w:p>
    <w:p w14:paraId="0A7B309A" w14:textId="456F605E" w:rsidR="003A6B3B" w:rsidRDefault="00AA4910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>W związku z upływem 10-letniego okresu</w:t>
      </w:r>
      <w:r w:rsidR="004031C7">
        <w:rPr>
          <w:rFonts w:ascii="Times New Roman" w:hAnsi="Times New Roman" w:cs="Times New Roman"/>
          <w:sz w:val="24"/>
        </w:rPr>
        <w:t>,</w:t>
      </w:r>
      <w:r w:rsidRPr="009A7B6C">
        <w:rPr>
          <w:rFonts w:ascii="Times New Roman" w:hAnsi="Times New Roman" w:cs="Times New Roman"/>
          <w:sz w:val="24"/>
        </w:rPr>
        <w:t xml:space="preserve"> na jaki zostały określone limity wydatków Krajowej Rady, konieczn</w:t>
      </w:r>
      <w:r w:rsidR="008A0395">
        <w:rPr>
          <w:rFonts w:ascii="Times New Roman" w:hAnsi="Times New Roman" w:cs="Times New Roman"/>
          <w:sz w:val="24"/>
        </w:rPr>
        <w:t>a</w:t>
      </w:r>
      <w:r w:rsidR="00B47BAF">
        <w:rPr>
          <w:rFonts w:ascii="Times New Roman" w:hAnsi="Times New Roman" w:cs="Times New Roman"/>
          <w:sz w:val="24"/>
        </w:rPr>
        <w:t xml:space="preserve"> jest nowelizacja art. 3</w:t>
      </w:r>
      <w:r w:rsidR="00E058E2">
        <w:rPr>
          <w:rFonts w:ascii="Times New Roman" w:hAnsi="Times New Roman" w:cs="Times New Roman"/>
          <w:sz w:val="24"/>
        </w:rPr>
        <w:t xml:space="preserve"> </w:t>
      </w:r>
      <w:r w:rsidRPr="009A7B6C">
        <w:rPr>
          <w:rFonts w:ascii="Times New Roman" w:hAnsi="Times New Roman" w:cs="Times New Roman"/>
          <w:sz w:val="24"/>
        </w:rPr>
        <w:t>ustawy z dnia 12 października 2012 r. o</w:t>
      </w:r>
      <w:r w:rsidR="004031C7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zmianie ustawy o radiofonii i telewizji, w celu zapewnienia środków finansowych na dalsze wypełnianie przez Krajową Radę obowiązków związanych z monitorowaniem działalności rynku audiowizualnych usług medialnych na żądanie. Projek</w:t>
      </w:r>
      <w:r w:rsidR="00C860C3">
        <w:rPr>
          <w:rFonts w:ascii="Times New Roman" w:hAnsi="Times New Roman" w:cs="Times New Roman"/>
          <w:sz w:val="24"/>
        </w:rPr>
        <w:t>towana ustawa określa maksymalny</w:t>
      </w:r>
      <w:r w:rsidRPr="009A7B6C">
        <w:rPr>
          <w:rFonts w:ascii="Times New Roman" w:hAnsi="Times New Roman" w:cs="Times New Roman"/>
          <w:sz w:val="24"/>
        </w:rPr>
        <w:t xml:space="preserve"> limit wydatków na lata 2023</w:t>
      </w:r>
      <w:r w:rsidR="004031C7">
        <w:rPr>
          <w:rFonts w:ascii="Times New Roman" w:hAnsi="Times New Roman" w:cs="Times New Roman"/>
          <w:sz w:val="24"/>
        </w:rPr>
        <w:t>–</w:t>
      </w:r>
      <w:r w:rsidRPr="009A7B6C">
        <w:rPr>
          <w:rFonts w:ascii="Times New Roman" w:hAnsi="Times New Roman" w:cs="Times New Roman"/>
          <w:sz w:val="24"/>
        </w:rPr>
        <w:t>2032. Maksymalny limit wydatków określony został kwotowo na poszczególne lata przez waloryzację limitu na rok 2022 w kwocie 585</w:t>
      </w:r>
      <w:r w:rsidR="004031C7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000</w:t>
      </w:r>
      <w:r w:rsidR="004031C7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zł, w oparciu</w:t>
      </w:r>
      <w:r w:rsidR="00F36F78">
        <w:rPr>
          <w:rFonts w:ascii="Times New Roman" w:hAnsi="Times New Roman" w:cs="Times New Roman"/>
          <w:sz w:val="24"/>
        </w:rPr>
        <w:t xml:space="preserve"> </w:t>
      </w:r>
      <w:r w:rsidRPr="009A7B6C">
        <w:rPr>
          <w:rFonts w:ascii="Times New Roman" w:hAnsi="Times New Roman" w:cs="Times New Roman"/>
          <w:sz w:val="24"/>
        </w:rPr>
        <w:t>o</w:t>
      </w:r>
      <w:r w:rsidR="00F36F78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wskaźnik średnioroczny dynamiki cen towarów i usług konsumpcyjnych, zgodnie</w:t>
      </w:r>
      <w:r w:rsidR="00F36F78">
        <w:rPr>
          <w:rFonts w:ascii="Times New Roman" w:hAnsi="Times New Roman" w:cs="Times New Roman"/>
          <w:sz w:val="24"/>
        </w:rPr>
        <w:t xml:space="preserve"> </w:t>
      </w:r>
      <w:r w:rsidRPr="009A7B6C">
        <w:rPr>
          <w:rFonts w:ascii="Times New Roman" w:hAnsi="Times New Roman" w:cs="Times New Roman"/>
          <w:sz w:val="24"/>
        </w:rPr>
        <w:t>z</w:t>
      </w:r>
      <w:r w:rsidR="004031C7">
        <w:rPr>
          <w:rFonts w:ascii="Times New Roman" w:hAnsi="Times New Roman" w:cs="Times New Roman"/>
          <w:sz w:val="24"/>
        </w:rPr>
        <w:t xml:space="preserve"> </w:t>
      </w:r>
      <w:r w:rsidRPr="009A7B6C">
        <w:rPr>
          <w:rFonts w:ascii="Times New Roman" w:hAnsi="Times New Roman" w:cs="Times New Roman"/>
          <w:sz w:val="24"/>
        </w:rPr>
        <w:t>Wytycznymi Ministra Finansów dotyczący</w:t>
      </w:r>
      <w:r w:rsidR="004031C7">
        <w:rPr>
          <w:rFonts w:ascii="Times New Roman" w:hAnsi="Times New Roman" w:cs="Times New Roman"/>
          <w:sz w:val="24"/>
        </w:rPr>
        <w:t>mi</w:t>
      </w:r>
      <w:r w:rsidRPr="009A7B6C">
        <w:rPr>
          <w:rFonts w:ascii="Times New Roman" w:hAnsi="Times New Roman" w:cs="Times New Roman"/>
          <w:sz w:val="24"/>
        </w:rPr>
        <w:t xml:space="preserve"> stosowania jednolitych wskaźników makroekonomicznych będących podstawą oszacowania skutków finansowych projektowanych ustaw. Wskaźnik ten zastosowano w uzgodnieniu z</w:t>
      </w:r>
      <w:r w:rsidR="004031C7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Ministerstwem Finansów.</w:t>
      </w:r>
    </w:p>
    <w:p w14:paraId="330438D9" w14:textId="5CD0DB73" w:rsidR="00225A8E" w:rsidRDefault="00225A8E" w:rsidP="004031C7">
      <w:pPr>
        <w:pStyle w:val="Bezodstpw"/>
        <w:spacing w:before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Projekt ustawy, </w:t>
      </w:r>
      <w:r w:rsidRPr="009A7B6C">
        <w:rPr>
          <w:rFonts w:ascii="Times New Roman" w:hAnsi="Times New Roman" w:cs="Times New Roman"/>
          <w:sz w:val="24"/>
        </w:rPr>
        <w:t>zgodnie z art. 5 ustawy z dnia 7 lipca 2005 r. o działalności lobbingowej w</w:t>
      </w:r>
      <w:r w:rsidR="00C860C3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 xml:space="preserve">procesie stanowienia prawa (Dz. U. z 2017 r. poz. 248) oraz z § 52 ust. 1 uchwały </w:t>
      </w:r>
      <w:r w:rsidR="004031C7">
        <w:rPr>
          <w:rFonts w:ascii="Times New Roman" w:hAnsi="Times New Roman" w:cs="Times New Roman"/>
          <w:sz w:val="24"/>
        </w:rPr>
        <w:t>n</w:t>
      </w:r>
      <w:r w:rsidRPr="009A7B6C">
        <w:rPr>
          <w:rFonts w:ascii="Times New Roman" w:hAnsi="Times New Roman" w:cs="Times New Roman"/>
          <w:sz w:val="24"/>
        </w:rPr>
        <w:t>r 190 Rady Ministrów z dnia 29 października 2013 r. – Regu</w:t>
      </w:r>
      <w:r w:rsidR="00C860C3">
        <w:rPr>
          <w:rFonts w:ascii="Times New Roman" w:hAnsi="Times New Roman" w:cs="Times New Roman"/>
          <w:sz w:val="24"/>
        </w:rPr>
        <w:t>lamin pracy Rady Ministrów (M.</w:t>
      </w:r>
      <w:r w:rsidRPr="009A7B6C">
        <w:rPr>
          <w:rFonts w:ascii="Times New Roman" w:hAnsi="Times New Roman" w:cs="Times New Roman"/>
          <w:sz w:val="24"/>
        </w:rPr>
        <w:t xml:space="preserve">P. </w:t>
      </w:r>
      <w:r w:rsidRPr="009A7B6C">
        <w:rPr>
          <w:rFonts w:ascii="Times New Roman" w:hAnsi="Times New Roman" w:cs="Times New Roman"/>
          <w:sz w:val="24"/>
        </w:rPr>
        <w:lastRenderedPageBreak/>
        <w:t>z</w:t>
      </w:r>
      <w:r w:rsidR="00C860C3">
        <w:rPr>
          <w:rFonts w:ascii="Times New Roman" w:hAnsi="Times New Roman" w:cs="Times New Roman"/>
          <w:sz w:val="24"/>
        </w:rPr>
        <w:t> </w:t>
      </w:r>
      <w:r w:rsidRPr="009A7B6C">
        <w:rPr>
          <w:rFonts w:ascii="Times New Roman" w:hAnsi="Times New Roman" w:cs="Times New Roman"/>
          <w:sz w:val="24"/>
        </w:rPr>
        <w:t>20</w:t>
      </w:r>
      <w:r w:rsidR="00F36F78">
        <w:rPr>
          <w:rFonts w:ascii="Times New Roman" w:hAnsi="Times New Roman" w:cs="Times New Roman"/>
          <w:sz w:val="24"/>
        </w:rPr>
        <w:t>22</w:t>
      </w:r>
      <w:r w:rsidRPr="009A7B6C">
        <w:rPr>
          <w:rFonts w:ascii="Times New Roman" w:hAnsi="Times New Roman" w:cs="Times New Roman"/>
          <w:sz w:val="24"/>
        </w:rPr>
        <w:t xml:space="preserve"> r. poz. </w:t>
      </w:r>
      <w:r w:rsidR="00F36F78">
        <w:rPr>
          <w:rFonts w:ascii="Times New Roman" w:hAnsi="Times New Roman" w:cs="Times New Roman"/>
          <w:sz w:val="24"/>
        </w:rPr>
        <w:t>348</w:t>
      </w:r>
      <w:r w:rsidRPr="009A7B6C">
        <w:rPr>
          <w:rFonts w:ascii="Times New Roman" w:hAnsi="Times New Roman" w:cs="Times New Roman"/>
          <w:sz w:val="24"/>
        </w:rPr>
        <w:t>) zosta</w:t>
      </w:r>
      <w:r w:rsidR="00881CCF">
        <w:rPr>
          <w:rFonts w:ascii="Times New Roman" w:hAnsi="Times New Roman" w:cs="Times New Roman"/>
          <w:sz w:val="24"/>
        </w:rPr>
        <w:t>ł</w:t>
      </w:r>
      <w:r w:rsidRPr="009A7B6C">
        <w:rPr>
          <w:rFonts w:ascii="Times New Roman" w:hAnsi="Times New Roman" w:cs="Times New Roman"/>
          <w:sz w:val="24"/>
        </w:rPr>
        <w:t xml:space="preserve"> udostępniony w Biuletynie Informacji Publicznej na stronie podmiotowej Ministerstwa Kultury i Dziedzictwa Narodowego oraz na stronie podmiotowej Rządowego Centrum Legislacji w zakładce Rządowy Proces Legislacyjny. </w:t>
      </w:r>
      <w:r w:rsidR="00FE14EC">
        <w:rPr>
          <w:rFonts w:ascii="Times New Roman" w:hAnsi="Times New Roman" w:cs="Times New Roman"/>
          <w:sz w:val="24"/>
          <w:szCs w:val="24"/>
        </w:rPr>
        <w:t>W trybie przepisów o działalności lobbingowej w procesie stanowienia prawa żaden podmiot nie zgłosił zainteresowania pracami na projektem.</w:t>
      </w:r>
    </w:p>
    <w:p w14:paraId="25DCA898" w14:textId="77777777" w:rsidR="00225A8E" w:rsidRDefault="0054468E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>Projekt ustawy nie zawiera przepisów technicznych w rozumieniu przepisów rozporządzenia Rady Ministrów z dnia 23 grudnia 2002 r. w sprawie sposobu funkcjonowania krajowego systemu notyfikacji norm i aktów prawnych (Dz. U. poz. 2039, z późn. zm.) i w związku z tym nie podlega notyfikacji.</w:t>
      </w:r>
    </w:p>
    <w:p w14:paraId="1D3CA491" w14:textId="602EB164" w:rsidR="00225A8E" w:rsidRPr="009A7B6C" w:rsidRDefault="00225A8E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" w:eastAsiaTheme="minorEastAsia" w:hAnsi="Times" w:cs="Arial"/>
          <w:bCs/>
          <w:sz w:val="24"/>
          <w:szCs w:val="20"/>
          <w:lang w:eastAsia="pl-PL"/>
        </w:rPr>
        <w:t>Projekt ustawy</w:t>
      </w:r>
      <w:r w:rsidRPr="00AF6CE0"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nie wpływa na działalność mikroprzedsiębiorców, małych i</w:t>
      </w:r>
      <w:r w:rsidR="00F36F78">
        <w:rPr>
          <w:rFonts w:ascii="Times" w:eastAsiaTheme="minorEastAsia" w:hAnsi="Times" w:cs="Arial"/>
          <w:bCs/>
          <w:sz w:val="24"/>
          <w:szCs w:val="20"/>
          <w:lang w:eastAsia="pl-PL"/>
        </w:rPr>
        <w:t> </w:t>
      </w:r>
      <w:r w:rsidRPr="00AF6CE0">
        <w:rPr>
          <w:rFonts w:ascii="Times" w:eastAsiaTheme="minorEastAsia" w:hAnsi="Times" w:cs="Arial"/>
          <w:bCs/>
          <w:sz w:val="24"/>
          <w:szCs w:val="20"/>
          <w:lang w:eastAsia="pl-PL"/>
        </w:rPr>
        <w:t>średnich</w:t>
      </w:r>
      <w:r>
        <w:rPr>
          <w:rFonts w:ascii="Times" w:eastAsiaTheme="minorEastAsia" w:hAnsi="Times" w:cs="Arial"/>
          <w:bCs/>
          <w:sz w:val="24"/>
          <w:szCs w:val="20"/>
          <w:lang w:eastAsia="pl-PL"/>
        </w:rPr>
        <w:t xml:space="preserve"> </w:t>
      </w:r>
      <w:r w:rsidRPr="00AF6CE0">
        <w:rPr>
          <w:rFonts w:ascii="Times" w:eastAsiaTheme="minorEastAsia" w:hAnsi="Times" w:cs="Arial"/>
          <w:bCs/>
          <w:sz w:val="24"/>
          <w:szCs w:val="20"/>
          <w:lang w:eastAsia="pl-PL"/>
        </w:rPr>
        <w:t>przedsiębiorców.</w:t>
      </w:r>
    </w:p>
    <w:p w14:paraId="3A81FDE2" w14:textId="77777777" w:rsidR="009175F6" w:rsidRPr="009A7B6C" w:rsidRDefault="009175F6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 xml:space="preserve">Projekt </w:t>
      </w:r>
      <w:r w:rsidR="0054468E" w:rsidRPr="009A7B6C">
        <w:rPr>
          <w:rFonts w:ascii="Times New Roman" w:hAnsi="Times New Roman" w:cs="Times New Roman"/>
          <w:sz w:val="24"/>
        </w:rPr>
        <w:t xml:space="preserve">ustawy </w:t>
      </w:r>
      <w:r w:rsidRPr="009A7B6C">
        <w:rPr>
          <w:rFonts w:ascii="Times New Roman" w:hAnsi="Times New Roman" w:cs="Times New Roman"/>
          <w:sz w:val="24"/>
        </w:rPr>
        <w:t>jest zgodny z prawem Unii Europejskiej.</w:t>
      </w:r>
    </w:p>
    <w:p w14:paraId="27F58B37" w14:textId="77777777" w:rsidR="009175F6" w:rsidRPr="009A7B6C" w:rsidRDefault="0054468E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>Projekt nie wymaga przedstawienia właściwym organom i</w:t>
      </w:r>
      <w:r w:rsidR="009F270A" w:rsidRPr="009F270A">
        <w:rPr>
          <w:rFonts w:ascii="Times New Roman" w:hAnsi="Times New Roman" w:cs="Times New Roman"/>
          <w:sz w:val="24"/>
        </w:rPr>
        <w:t xml:space="preserve"> instytucjom Unii Europejskiej,</w:t>
      </w:r>
      <w:r w:rsidR="009F270A">
        <w:rPr>
          <w:rFonts w:ascii="Times New Roman" w:hAnsi="Times New Roman" w:cs="Times New Roman"/>
          <w:sz w:val="24"/>
        </w:rPr>
        <w:br/>
      </w:r>
      <w:r w:rsidRPr="009A7B6C">
        <w:rPr>
          <w:rFonts w:ascii="Times New Roman" w:hAnsi="Times New Roman" w:cs="Times New Roman"/>
          <w:sz w:val="24"/>
        </w:rPr>
        <w:t>w tym Europejskiemu Bankowi Centralnemu, w celu uzyskania opinii, dokonania powiadomienia, konsultacji albo uzgodnienia, jeżeli obowiązek taki wynika z odrębnych przepisów.</w:t>
      </w:r>
    </w:p>
    <w:p w14:paraId="11EA74BB" w14:textId="77777777" w:rsidR="0054468E" w:rsidRPr="009A7B6C" w:rsidRDefault="0054468E" w:rsidP="004031C7">
      <w:pPr>
        <w:spacing w:before="120" w:after="0" w:line="360" w:lineRule="auto"/>
        <w:jc w:val="both"/>
        <w:rPr>
          <w:rFonts w:ascii="Times New Roman" w:hAnsi="Times New Roman" w:cs="Times New Roman"/>
          <w:sz w:val="24"/>
        </w:rPr>
      </w:pPr>
      <w:r w:rsidRPr="009A7B6C">
        <w:rPr>
          <w:rFonts w:ascii="Times New Roman" w:hAnsi="Times New Roman" w:cs="Times New Roman"/>
          <w:sz w:val="24"/>
        </w:rPr>
        <w:t>Jednocześnie należy wskazać, że nie ma możliwości podjęcia alternatywnych w stosunku do projektowanej ustawy środków umożliwiających osiągnięcie zamierzonego celu.</w:t>
      </w:r>
    </w:p>
    <w:sectPr w:rsidR="0054468E" w:rsidRPr="009A7B6C" w:rsidSect="004031C7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54208" w14:textId="77777777" w:rsidR="0008082E" w:rsidRDefault="0008082E" w:rsidP="004031C7">
      <w:pPr>
        <w:spacing w:after="0" w:line="240" w:lineRule="auto"/>
      </w:pPr>
      <w:r>
        <w:separator/>
      </w:r>
    </w:p>
  </w:endnote>
  <w:endnote w:type="continuationSeparator" w:id="0">
    <w:p w14:paraId="2D8AE56A" w14:textId="77777777" w:rsidR="0008082E" w:rsidRDefault="0008082E" w:rsidP="0040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27768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CD739F" w14:textId="46E0E5E3" w:rsidR="004031C7" w:rsidRPr="004031C7" w:rsidRDefault="004031C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31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31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31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37F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031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5A4D8" w14:textId="77777777" w:rsidR="0008082E" w:rsidRDefault="0008082E" w:rsidP="004031C7">
      <w:pPr>
        <w:spacing w:after="0" w:line="240" w:lineRule="auto"/>
      </w:pPr>
      <w:r>
        <w:separator/>
      </w:r>
    </w:p>
  </w:footnote>
  <w:footnote w:type="continuationSeparator" w:id="0">
    <w:p w14:paraId="15908B3F" w14:textId="77777777" w:rsidR="0008082E" w:rsidRDefault="0008082E" w:rsidP="00403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28"/>
    <w:rsid w:val="000103D0"/>
    <w:rsid w:val="00023028"/>
    <w:rsid w:val="0008082E"/>
    <w:rsid w:val="00225A8E"/>
    <w:rsid w:val="0029173A"/>
    <w:rsid w:val="00293912"/>
    <w:rsid w:val="002A4D15"/>
    <w:rsid w:val="00316DA9"/>
    <w:rsid w:val="00337393"/>
    <w:rsid w:val="003A6B3B"/>
    <w:rsid w:val="003B01AB"/>
    <w:rsid w:val="004031C7"/>
    <w:rsid w:val="004A3BFA"/>
    <w:rsid w:val="0054468E"/>
    <w:rsid w:val="00725912"/>
    <w:rsid w:val="007265E0"/>
    <w:rsid w:val="007A6179"/>
    <w:rsid w:val="007C26CD"/>
    <w:rsid w:val="007E1F0C"/>
    <w:rsid w:val="00881CCF"/>
    <w:rsid w:val="008937F0"/>
    <w:rsid w:val="008A0395"/>
    <w:rsid w:val="009175F6"/>
    <w:rsid w:val="009A7B6C"/>
    <w:rsid w:val="009F270A"/>
    <w:rsid w:val="00A149AE"/>
    <w:rsid w:val="00A63035"/>
    <w:rsid w:val="00AA4910"/>
    <w:rsid w:val="00AB3621"/>
    <w:rsid w:val="00AF1519"/>
    <w:rsid w:val="00AF1F00"/>
    <w:rsid w:val="00AF3486"/>
    <w:rsid w:val="00B34B90"/>
    <w:rsid w:val="00B47BAF"/>
    <w:rsid w:val="00B71889"/>
    <w:rsid w:val="00B8054A"/>
    <w:rsid w:val="00C032FD"/>
    <w:rsid w:val="00C860C3"/>
    <w:rsid w:val="00E058E2"/>
    <w:rsid w:val="00E23914"/>
    <w:rsid w:val="00F36F78"/>
    <w:rsid w:val="00FE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ADE5"/>
  <w15:docId w15:val="{2E009264-47AC-499A-970F-F122EA07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44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68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25A8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25A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5A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5A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A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5A8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A7B6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0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1C7"/>
  </w:style>
  <w:style w:type="paragraph" w:styleId="Stopka">
    <w:name w:val="footer"/>
    <w:basedOn w:val="Normalny"/>
    <w:link w:val="StopkaZnak"/>
    <w:uiPriority w:val="99"/>
    <w:unhideWhenUsed/>
    <w:rsid w:val="00403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Bogusławski</dc:creator>
  <cp:lastModifiedBy>Czarnecka Grażyna</cp:lastModifiedBy>
  <cp:revision>5</cp:revision>
  <dcterms:created xsi:type="dcterms:W3CDTF">2022-06-14T13:44:00Z</dcterms:created>
  <dcterms:modified xsi:type="dcterms:W3CDTF">2022-06-15T06:15:00Z</dcterms:modified>
</cp:coreProperties>
</file>