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CF949" w14:textId="77777777" w:rsidR="006466AC" w:rsidRPr="00322697" w:rsidRDefault="007E26CA" w:rsidP="00FB55F8">
      <w:pPr>
        <w:spacing w:after="240" w:line="360" w:lineRule="auto"/>
        <w:jc w:val="center"/>
        <w:rPr>
          <w:rFonts w:ascii="Times New Roman" w:hAnsi="Times New Roman" w:cs="Times New Roman"/>
          <w:sz w:val="24"/>
          <w:szCs w:val="24"/>
        </w:rPr>
      </w:pPr>
      <w:bookmarkStart w:id="0" w:name="_GoBack"/>
      <w:bookmarkEnd w:id="0"/>
      <w:r w:rsidRPr="00322697">
        <w:rPr>
          <w:rFonts w:ascii="Times New Roman" w:hAnsi="Times New Roman" w:cs="Times New Roman"/>
          <w:sz w:val="24"/>
          <w:szCs w:val="24"/>
        </w:rPr>
        <w:t>UZASADNIENIE</w:t>
      </w:r>
    </w:p>
    <w:p w14:paraId="27E41C5E" w14:textId="77777777" w:rsidR="00322697" w:rsidRPr="00322697" w:rsidRDefault="00322697" w:rsidP="00292076">
      <w:pPr>
        <w:spacing w:after="120" w:line="360" w:lineRule="auto"/>
        <w:jc w:val="both"/>
        <w:rPr>
          <w:rFonts w:ascii="Times New Roman" w:hAnsi="Times New Roman" w:cs="Times New Roman"/>
          <w:sz w:val="24"/>
          <w:szCs w:val="24"/>
        </w:rPr>
      </w:pPr>
      <w:r w:rsidRPr="00322697">
        <w:rPr>
          <w:rFonts w:ascii="Times New Roman" w:hAnsi="Times New Roman" w:cs="Times New Roman"/>
          <w:sz w:val="24"/>
          <w:szCs w:val="24"/>
        </w:rPr>
        <w:t>Celem projektowanej regulacji jest zmiana granic ustawow</w:t>
      </w:r>
      <w:r w:rsidR="00FB55F8">
        <w:rPr>
          <w:rFonts w:ascii="Times New Roman" w:hAnsi="Times New Roman" w:cs="Times New Roman"/>
          <w:sz w:val="24"/>
          <w:szCs w:val="24"/>
        </w:rPr>
        <w:t>ego zagrożenia za wykroczenia i </w:t>
      </w:r>
      <w:r w:rsidRPr="00322697">
        <w:rPr>
          <w:rFonts w:ascii="Times New Roman" w:hAnsi="Times New Roman" w:cs="Times New Roman"/>
          <w:sz w:val="24"/>
          <w:szCs w:val="24"/>
        </w:rPr>
        <w:t>przestępstwa przeciwko środowisku. Projektodawca dąży do ochrony środowiska naturalnego przed szkodliwymi działaniami, spełniającymi znamiona przestępstw lub wykroczeń przeciwko środowisku. Praktyka stosowania dotychczas obowiązującego prawa pokazuje, iż obecne sankcje karne są niewystarczające, w związku z tym należy dokonać zmiany przepisów. Reakcja karna powinna odpowiadać stopniowi społecznej szkodliwości czynu, zawinienia oraz rzeczywistym względom prewencji ogólnej i indywidualnej. Przez zaproponowaną nowelizację projektodawca dąży do wyeliminowania niedoskonałości aktualnych regulacji prawnych.</w:t>
      </w:r>
    </w:p>
    <w:p w14:paraId="75211A7C"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Aktualne brzmienie art. 182, </w:t>
      </w:r>
      <w:r w:rsidR="00655949">
        <w:rPr>
          <w:rFonts w:ascii="Times New Roman" w:hAnsi="Times New Roman" w:cs="Times New Roman"/>
          <w:sz w:val="24"/>
          <w:szCs w:val="24"/>
        </w:rPr>
        <w:t xml:space="preserve">art. </w:t>
      </w:r>
      <w:r w:rsidRPr="00322697">
        <w:rPr>
          <w:rFonts w:ascii="Times New Roman" w:hAnsi="Times New Roman" w:cs="Times New Roman"/>
          <w:sz w:val="24"/>
          <w:szCs w:val="24"/>
        </w:rPr>
        <w:t xml:space="preserve">183 § 1, </w:t>
      </w:r>
      <w:r w:rsidR="00655949">
        <w:rPr>
          <w:rFonts w:ascii="Times New Roman" w:hAnsi="Times New Roman" w:cs="Times New Roman"/>
          <w:sz w:val="24"/>
          <w:szCs w:val="24"/>
        </w:rPr>
        <w:t xml:space="preserve">art. </w:t>
      </w:r>
      <w:r w:rsidRPr="00322697">
        <w:rPr>
          <w:rFonts w:ascii="Times New Roman" w:hAnsi="Times New Roman" w:cs="Times New Roman"/>
          <w:sz w:val="24"/>
          <w:szCs w:val="24"/>
        </w:rPr>
        <w:t xml:space="preserve">184 § 1, </w:t>
      </w:r>
      <w:r w:rsidR="00655949">
        <w:rPr>
          <w:rFonts w:ascii="Times New Roman" w:hAnsi="Times New Roman" w:cs="Times New Roman"/>
          <w:sz w:val="24"/>
          <w:szCs w:val="24"/>
        </w:rPr>
        <w:t xml:space="preserve">art. </w:t>
      </w:r>
      <w:r w:rsidRPr="00322697">
        <w:rPr>
          <w:rFonts w:ascii="Times New Roman" w:hAnsi="Times New Roman" w:cs="Times New Roman"/>
          <w:sz w:val="24"/>
          <w:szCs w:val="24"/>
        </w:rPr>
        <w:t>185 i art. 186 §</w:t>
      </w:r>
      <w:r w:rsidR="00655949">
        <w:rPr>
          <w:rFonts w:ascii="Times New Roman" w:hAnsi="Times New Roman" w:cs="Times New Roman"/>
          <w:sz w:val="24"/>
          <w:szCs w:val="24"/>
        </w:rPr>
        <w:t xml:space="preserve"> 1 ustawy z dnia 6 </w:t>
      </w:r>
      <w:r w:rsidR="00FB55F8">
        <w:rPr>
          <w:rFonts w:ascii="Times New Roman" w:hAnsi="Times New Roman" w:cs="Times New Roman"/>
          <w:sz w:val="24"/>
          <w:szCs w:val="24"/>
        </w:rPr>
        <w:t>czerwca 1997 </w:t>
      </w:r>
      <w:r w:rsidRPr="00322697">
        <w:rPr>
          <w:rFonts w:ascii="Times New Roman" w:hAnsi="Times New Roman" w:cs="Times New Roman"/>
          <w:sz w:val="24"/>
          <w:szCs w:val="24"/>
        </w:rPr>
        <w:t>r. – Kodeks karny (Dz. U. z 2022 r. poz. 1138), dalej: „kk”, stanowi wynik implementacji dyrektywy Parlamentu Europejs</w:t>
      </w:r>
      <w:r w:rsidR="00655949">
        <w:rPr>
          <w:rFonts w:ascii="Times New Roman" w:hAnsi="Times New Roman" w:cs="Times New Roman"/>
          <w:sz w:val="24"/>
          <w:szCs w:val="24"/>
        </w:rPr>
        <w:t>kiego i Rady Nr 2008/99/WE z 19 </w:t>
      </w:r>
      <w:r w:rsidRPr="00322697">
        <w:rPr>
          <w:rFonts w:ascii="Times New Roman" w:hAnsi="Times New Roman" w:cs="Times New Roman"/>
          <w:sz w:val="24"/>
          <w:szCs w:val="24"/>
        </w:rPr>
        <w:t>listopada</w:t>
      </w:r>
      <w:r w:rsidR="00655949">
        <w:rPr>
          <w:rFonts w:ascii="Times New Roman" w:hAnsi="Times New Roman" w:cs="Times New Roman"/>
          <w:sz w:val="24"/>
          <w:szCs w:val="24"/>
        </w:rPr>
        <w:t xml:space="preserve"> </w:t>
      </w:r>
      <w:r w:rsidRPr="00322697">
        <w:rPr>
          <w:rFonts w:ascii="Times New Roman" w:hAnsi="Times New Roman" w:cs="Times New Roman"/>
          <w:sz w:val="24"/>
          <w:szCs w:val="24"/>
        </w:rPr>
        <w:t>2008 r. w sprawie ochrony środowiska poprzez prawo karne (Dz. Urz. UE L 328 z 06.12.2008, str. 28) – por. ustawa z dnia 25 marca 2011 r. o zmianie ustawy – Kodeks karny oraz niektórych innych ustaw (Dz. U. poz. 549). Zgodnie z art. 5 tej dyrektywy „Państwa członkowskie przyjmują niezbędne środki w celu zapewnienia, by przestępstwa, o których mowa w art. 3 i 4, podlegały skutecznym, proporcjonalnym i odstraszającym sankcjom karnym.”.</w:t>
      </w:r>
    </w:p>
    <w:p w14:paraId="12020D2C"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Proponowane zmiany są reakcją na widoczny w ostatnich latach wzrost liczby przestępstw przeciwko środowisku. Zgodnie z informacjami na stronie internetowej Komendy Głównej Policji (https://statystyka.policja.pl/st/kodeks-karny/przestepstwa-przeciwko-3; dostęp: 06.12.2021 r.):</w:t>
      </w:r>
    </w:p>
    <w:p w14:paraId="73C009DA"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 xml:space="preserve">w przypadku art. 181 kk w ostatnich latach liczba wszczętych postępowań utrzymuje się na stałym poziomie (2017 r. – 106, 2018 r. – 67, 2019 r. – 60, 2020 r. </w:t>
      </w:r>
      <w:r w:rsidR="00655949">
        <w:rPr>
          <w:rFonts w:ascii="Times New Roman" w:hAnsi="Times New Roman" w:cs="Times New Roman"/>
          <w:sz w:val="24"/>
          <w:szCs w:val="24"/>
        </w:rPr>
        <w:t>–</w:t>
      </w:r>
      <w:r w:rsidRPr="00322697">
        <w:rPr>
          <w:rFonts w:ascii="Times New Roman" w:hAnsi="Times New Roman" w:cs="Times New Roman"/>
          <w:sz w:val="24"/>
          <w:szCs w:val="24"/>
        </w:rPr>
        <w:t xml:space="preserve"> 72), wzrosła liczba stwierdzonych przestępstw (2017 r. – 19, 2018 r. – 14, 2019 r. – 22, 2020 r. – 33) oraz wzrosła liczba wykrytych przestępstw (2017 r. – 5, 2018 r. – 6, 2019 r. – 4, 2020 r. </w:t>
      </w:r>
      <w:r w:rsidR="00655949">
        <w:rPr>
          <w:rFonts w:ascii="Times New Roman" w:hAnsi="Times New Roman" w:cs="Times New Roman"/>
          <w:sz w:val="24"/>
          <w:szCs w:val="24"/>
        </w:rPr>
        <w:t>–</w:t>
      </w:r>
      <w:r w:rsidRPr="00322697">
        <w:rPr>
          <w:rFonts w:ascii="Times New Roman" w:hAnsi="Times New Roman" w:cs="Times New Roman"/>
          <w:sz w:val="24"/>
          <w:szCs w:val="24"/>
        </w:rPr>
        <w:t xml:space="preserve"> 9);</w:t>
      </w:r>
    </w:p>
    <w:p w14:paraId="2946EB3B"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w przypadku art. 182 kk w ostatnich latach wzrosła liczba wszczętych postępowań (2017 r. – 111, 2018 r. – 129, 2019 r. – 134, 2020 r. – 169), liczba stwierdzonych przestępstw (2017 r. – 22, 2018 r. – 31, 2019 r. – 29, 2020 r. – 35) oraz lic</w:t>
      </w:r>
      <w:r w:rsidR="00FB55F8">
        <w:rPr>
          <w:rFonts w:ascii="Times New Roman" w:hAnsi="Times New Roman" w:cs="Times New Roman"/>
          <w:sz w:val="24"/>
          <w:szCs w:val="24"/>
        </w:rPr>
        <w:t>zba wykrytych przestępstw (2017 </w:t>
      </w:r>
      <w:r w:rsidRPr="00322697">
        <w:rPr>
          <w:rFonts w:ascii="Times New Roman" w:hAnsi="Times New Roman" w:cs="Times New Roman"/>
          <w:sz w:val="24"/>
          <w:szCs w:val="24"/>
        </w:rPr>
        <w:t>r. – 7, 2018 r. – 15, 2019 r. – 14, 2020 r. – 10);</w:t>
      </w:r>
    </w:p>
    <w:p w14:paraId="20BAF3CD"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 xml:space="preserve">w przypadku art. 183 kk w ostatnich latach wzrosła liczba wszczętych postępowań (2017 r. – 249, 2018 r. – 345, 2019 r. – 412, 2020 r. – 454), liczba stwierdzonych przestępstw </w:t>
      </w:r>
      <w:r w:rsidRPr="00322697">
        <w:rPr>
          <w:rFonts w:ascii="Times New Roman" w:hAnsi="Times New Roman" w:cs="Times New Roman"/>
          <w:sz w:val="24"/>
          <w:szCs w:val="24"/>
        </w:rPr>
        <w:lastRenderedPageBreak/>
        <w:t>(2017 r. – 51, 2018 r. – 94, 2019 r. – 167, 2020 r. – 352) oraz liczba wykrytych przestępstw (2017 r. – 28, 2018 r. – 70, 2019 r. – 109, 2020 r. – 287);</w:t>
      </w:r>
    </w:p>
    <w:p w14:paraId="3F27D03F"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w przypadku art. 184 kk w ostatnich latach wzrosła liczba wszczętych postępowań (2017 r. – 0, 2018 r. – 4, 2019 r. – 4, 2020 r. – 3), liczba stwierdzonych przestępstw (2017 r. – 0, 2018 r. – 0, 2019 r. – 2, 2020 r. – 1), a liczba wykrytych przestępstw utrzymuje się na stałym poziomie (2017 r. – 0, 2018 r. – 0, 2019 r. – 0, 2020 r. – 0);</w:t>
      </w:r>
    </w:p>
    <w:p w14:paraId="756CD361"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w przypadku art. 185 kk w ostatnich latach wzrosła liczba wszczętych postępowań (2017 r. – 0, 2018 r. – 1, 2019 r. – 0, 2020 r. – 0), liczba stwierdzonych przestępstw (2017 r. – 0, 2018 r. – 1, 2019 r. – 1, 2020 r. – 0) oraz liczba wykrytych przestępstw (2017 r. – 0, 2018 r. – 1, 2019 r. – 1, 2020 r. – 0);</w:t>
      </w:r>
    </w:p>
    <w:p w14:paraId="6AF62FEA"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w przypadku art. 186 kk w ostatnich latach wzrosła liczba wszczętych postępowań (2017 r. – 11, 2018 r. – 14, 2019 r. – 12, 2020 r. – 15), liczba stwie</w:t>
      </w:r>
      <w:r w:rsidR="00FB55F8">
        <w:rPr>
          <w:rFonts w:ascii="Times New Roman" w:hAnsi="Times New Roman" w:cs="Times New Roman"/>
          <w:sz w:val="24"/>
          <w:szCs w:val="24"/>
        </w:rPr>
        <w:t>rdzonych przestępstw (2017 </w:t>
      </w:r>
      <w:r w:rsidRPr="00322697">
        <w:rPr>
          <w:rFonts w:ascii="Times New Roman" w:hAnsi="Times New Roman" w:cs="Times New Roman"/>
          <w:sz w:val="24"/>
          <w:szCs w:val="24"/>
        </w:rPr>
        <w:t>r. – 8, 2018 r. – 5, 2019 r. – 8, 2020 r. – 9) oraz liczba wykrytych</w:t>
      </w:r>
      <w:r w:rsidR="00FB55F8">
        <w:rPr>
          <w:rFonts w:ascii="Times New Roman" w:hAnsi="Times New Roman" w:cs="Times New Roman"/>
          <w:sz w:val="24"/>
          <w:szCs w:val="24"/>
        </w:rPr>
        <w:t xml:space="preserve"> przestępstw (2017 r. – 7, 2018 </w:t>
      </w:r>
      <w:r w:rsidRPr="00322697">
        <w:rPr>
          <w:rFonts w:ascii="Times New Roman" w:hAnsi="Times New Roman" w:cs="Times New Roman"/>
          <w:sz w:val="24"/>
          <w:szCs w:val="24"/>
        </w:rPr>
        <w:t>r. – 5, 2019 r. – 8, 2020 r. – 6).</w:t>
      </w:r>
    </w:p>
    <w:p w14:paraId="019911A2"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W ostatnich latach jest widoczna tendencja wzrostowa liczby pożarów miejsc gromadzenia odpadów. W całej Polsce w 2012 r. było 75 pożarów, w </w:t>
      </w:r>
      <w:r w:rsidR="00285FE5">
        <w:rPr>
          <w:rFonts w:ascii="Times New Roman" w:hAnsi="Times New Roman" w:cs="Times New Roman"/>
          <w:sz w:val="24"/>
          <w:szCs w:val="24"/>
        </w:rPr>
        <w:t>2013 r. 82 pożary, w 2014 r. 88 </w:t>
      </w:r>
      <w:r w:rsidRPr="00322697">
        <w:rPr>
          <w:rFonts w:ascii="Times New Roman" w:hAnsi="Times New Roman" w:cs="Times New Roman"/>
          <w:sz w:val="24"/>
          <w:szCs w:val="24"/>
        </w:rPr>
        <w:t>pożarów, w 2015 r. 126 pożarów, w 2016 r. 117 pożarów, w 2017 r. 132 pożary, w 2018 r. 243 pożary, a w 2019 r. 177 pożarów. Najwięcej pożarów mi</w:t>
      </w:r>
      <w:r w:rsidR="00285FE5">
        <w:rPr>
          <w:rFonts w:ascii="Times New Roman" w:hAnsi="Times New Roman" w:cs="Times New Roman"/>
          <w:sz w:val="24"/>
          <w:szCs w:val="24"/>
        </w:rPr>
        <w:t>ejsc gromadzenia odpadów w 2019 </w:t>
      </w:r>
      <w:r w:rsidRPr="00322697">
        <w:rPr>
          <w:rFonts w:ascii="Times New Roman" w:hAnsi="Times New Roman" w:cs="Times New Roman"/>
          <w:sz w:val="24"/>
          <w:szCs w:val="24"/>
        </w:rPr>
        <w:t>r. było w województwach: lubuskim (34 pożary), mazowieck</w:t>
      </w:r>
      <w:r w:rsidR="00292076">
        <w:rPr>
          <w:rFonts w:ascii="Times New Roman" w:hAnsi="Times New Roman" w:cs="Times New Roman"/>
          <w:sz w:val="24"/>
          <w:szCs w:val="24"/>
        </w:rPr>
        <w:t>im (29 pożarów) i lubelskim (25 </w:t>
      </w:r>
      <w:r w:rsidRPr="00322697">
        <w:rPr>
          <w:rFonts w:ascii="Times New Roman" w:hAnsi="Times New Roman" w:cs="Times New Roman"/>
          <w:sz w:val="24"/>
          <w:szCs w:val="24"/>
        </w:rPr>
        <w:t>pożarów) (źródło: „Ochrona środowiska 2020”, Główny Urząd Statystyczny, Warszawa 2020, s. 161</w:t>
      </w:r>
      <w:r w:rsidR="00655949" w:rsidRPr="00322697">
        <w:rPr>
          <w:rFonts w:ascii="Times New Roman" w:hAnsi="Times New Roman" w:cs="Times New Roman"/>
          <w:sz w:val="24"/>
          <w:szCs w:val="24"/>
        </w:rPr>
        <w:t>–</w:t>
      </w:r>
      <w:r w:rsidRPr="00322697">
        <w:rPr>
          <w:rFonts w:ascii="Times New Roman" w:hAnsi="Times New Roman" w:cs="Times New Roman"/>
          <w:sz w:val="24"/>
          <w:szCs w:val="24"/>
        </w:rPr>
        <w:t>162).</w:t>
      </w:r>
    </w:p>
    <w:p w14:paraId="68461D6F"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 judykaturze trafnie podkreśla się, iż celem regulacji, określonej w art. 182 kk „(podobnie jak i pozostałych przepisów zawartych w rozdziale XXII Kodeksu karnego), jest zapewnienie – i to w możliwie najszerszym wymiarze – ochrony przed zanieczyszczeniami i promieniowaniem trzech podstawowych elementów środowiska: wody, powietrza i powierzchni ziemi (…) przepis art. 182 k.k. jest przejawem realizacji obowiązków nałożonych przez art. 74 Konstytucji RP na władzę publiczną w zakresie prowadzenia takiej polityki, która zapewnia bezpieczeństwo ekologiczne współczesnemu i przyszłym pokoleniom” (W</w:t>
      </w:r>
      <w:r w:rsidR="00FB55F8">
        <w:rPr>
          <w:rFonts w:ascii="Times New Roman" w:hAnsi="Times New Roman" w:cs="Times New Roman"/>
          <w:sz w:val="24"/>
          <w:szCs w:val="24"/>
        </w:rPr>
        <w:t>yrok Sądu Najwyższego z dnia 15 </w:t>
      </w:r>
      <w:r w:rsidRPr="00322697">
        <w:rPr>
          <w:rFonts w:ascii="Times New Roman" w:hAnsi="Times New Roman" w:cs="Times New Roman"/>
          <w:sz w:val="24"/>
          <w:szCs w:val="24"/>
        </w:rPr>
        <w:t>stycznia 2015 r., sygn. akt V KK 361/14). W tym miejscu należy podkreślić, że wyrażona w</w:t>
      </w:r>
      <w:r w:rsidR="00FB55F8">
        <w:rPr>
          <w:rFonts w:ascii="Times New Roman" w:hAnsi="Times New Roman" w:cs="Times New Roman"/>
          <w:sz w:val="24"/>
          <w:szCs w:val="24"/>
        </w:rPr>
        <w:t> </w:t>
      </w:r>
      <w:r w:rsidRPr="00322697">
        <w:rPr>
          <w:rFonts w:ascii="Times New Roman" w:hAnsi="Times New Roman" w:cs="Times New Roman"/>
          <w:sz w:val="24"/>
          <w:szCs w:val="24"/>
        </w:rPr>
        <w:t xml:space="preserve">art. 2 § 1 </w:t>
      </w:r>
      <w:proofErr w:type="spellStart"/>
      <w:r w:rsidRPr="00322697">
        <w:rPr>
          <w:rFonts w:ascii="Times New Roman" w:hAnsi="Times New Roman" w:cs="Times New Roman"/>
          <w:sz w:val="24"/>
          <w:szCs w:val="24"/>
        </w:rPr>
        <w:t>kpk</w:t>
      </w:r>
      <w:proofErr w:type="spellEnd"/>
      <w:r w:rsidRPr="00322697">
        <w:rPr>
          <w:rFonts w:ascii="Times New Roman" w:hAnsi="Times New Roman" w:cs="Times New Roman"/>
          <w:sz w:val="24"/>
          <w:szCs w:val="24"/>
        </w:rPr>
        <w:t xml:space="preserve"> „zasada trafnej reakcji karnej </w:t>
      </w:r>
      <w:r w:rsidR="00655949">
        <w:rPr>
          <w:rFonts w:ascii="Times New Roman" w:hAnsi="Times New Roman" w:cs="Times New Roman"/>
          <w:sz w:val="24"/>
          <w:szCs w:val="24"/>
        </w:rPr>
        <w:t>–</w:t>
      </w:r>
      <w:r w:rsidRPr="00322697">
        <w:rPr>
          <w:rFonts w:ascii="Times New Roman" w:hAnsi="Times New Roman" w:cs="Times New Roman"/>
          <w:sz w:val="24"/>
          <w:szCs w:val="24"/>
        </w:rPr>
        <w:t xml:space="preserve"> tak jak to się</w:t>
      </w:r>
      <w:r w:rsidR="00FB55F8">
        <w:rPr>
          <w:rFonts w:ascii="Times New Roman" w:hAnsi="Times New Roman" w:cs="Times New Roman"/>
          <w:sz w:val="24"/>
          <w:szCs w:val="24"/>
        </w:rPr>
        <w:t xml:space="preserve"> podnosi w literaturze (por. M. </w:t>
      </w:r>
      <w:r w:rsidRPr="00322697">
        <w:rPr>
          <w:rFonts w:ascii="Times New Roman" w:hAnsi="Times New Roman" w:cs="Times New Roman"/>
          <w:sz w:val="24"/>
          <w:szCs w:val="24"/>
        </w:rPr>
        <w:t>Cieślak: Polska procedura karna, Warszawa 1984</w:t>
      </w:r>
      <w:r w:rsidR="00FB55F8">
        <w:rPr>
          <w:rFonts w:ascii="Times New Roman" w:hAnsi="Times New Roman" w:cs="Times New Roman"/>
          <w:sz w:val="24"/>
          <w:szCs w:val="24"/>
        </w:rPr>
        <w:t>, s. 213</w:t>
      </w:r>
      <w:r w:rsidR="00655949" w:rsidRPr="00322697">
        <w:rPr>
          <w:rFonts w:ascii="Times New Roman" w:hAnsi="Times New Roman" w:cs="Times New Roman"/>
          <w:sz w:val="24"/>
          <w:szCs w:val="24"/>
        </w:rPr>
        <w:t>–</w:t>
      </w:r>
      <w:r w:rsidR="00FB55F8">
        <w:rPr>
          <w:rFonts w:ascii="Times New Roman" w:hAnsi="Times New Roman" w:cs="Times New Roman"/>
          <w:sz w:val="24"/>
          <w:szCs w:val="24"/>
        </w:rPr>
        <w:t xml:space="preserve">214) </w:t>
      </w:r>
      <w:r w:rsidR="00655949" w:rsidRPr="00322697">
        <w:rPr>
          <w:rFonts w:ascii="Times New Roman" w:hAnsi="Times New Roman" w:cs="Times New Roman"/>
          <w:sz w:val="24"/>
          <w:szCs w:val="24"/>
        </w:rPr>
        <w:t>–</w:t>
      </w:r>
      <w:r w:rsidR="00FB55F8">
        <w:rPr>
          <w:rFonts w:ascii="Times New Roman" w:hAnsi="Times New Roman" w:cs="Times New Roman"/>
          <w:sz w:val="24"/>
          <w:szCs w:val="24"/>
        </w:rPr>
        <w:t xml:space="preserve"> sprowadza się </w:t>
      </w:r>
      <w:r w:rsidR="00FB55F8">
        <w:rPr>
          <w:rFonts w:ascii="Times New Roman" w:hAnsi="Times New Roman" w:cs="Times New Roman"/>
          <w:sz w:val="24"/>
          <w:szCs w:val="24"/>
        </w:rPr>
        <w:lastRenderedPageBreak/>
        <w:t>w </w:t>
      </w:r>
      <w:r w:rsidRPr="00322697">
        <w:rPr>
          <w:rFonts w:ascii="Times New Roman" w:hAnsi="Times New Roman" w:cs="Times New Roman"/>
          <w:sz w:val="24"/>
          <w:szCs w:val="24"/>
        </w:rPr>
        <w:t>istocie do wymogu respektowania nakazu, aby nikt niewinny nie poniósł odpowiedzialności, by nie była ona ani większą ani mniejszą niż na to zasłużył i aby nikt winny jej nie uszedł” (Wyrok Sądu Najwyższego z dnia 11 lutego 2009 r., sygn. akt III KK 245/08). Proponowane zmiany w przepisach mają na celu realizację zasad, wyrażonych w przytoczonych orzeczeniach Sądu Najwyższego.</w:t>
      </w:r>
    </w:p>
    <w:p w14:paraId="64E42442"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Proponuje się zmianę art. 47 § 2 kk, polegającą na wprowadzeniu, w przypadku skazania sprawcy za umyślne przestępstwo przeciwko środowisku, obligatoryjnego orzekania przez sąd nawiązki w wysokości od 10 000 do 10 000 000 złotych na rzecz Narodowego Funduszu Ochrony Środowiska i Gospodarki Wodnej, o którym mowa w art. 400 ust. 1 ustawy</w:t>
      </w:r>
      <w:r w:rsidR="00FB55F8">
        <w:rPr>
          <w:rFonts w:ascii="Times New Roman" w:hAnsi="Times New Roman" w:cs="Times New Roman"/>
          <w:sz w:val="24"/>
          <w:szCs w:val="24"/>
        </w:rPr>
        <w:t xml:space="preserve"> z dnia 27 </w:t>
      </w:r>
      <w:r w:rsidRPr="00322697">
        <w:rPr>
          <w:rFonts w:ascii="Times New Roman" w:hAnsi="Times New Roman" w:cs="Times New Roman"/>
          <w:sz w:val="24"/>
          <w:szCs w:val="24"/>
        </w:rPr>
        <w:t>kwietnia 2001 r. – Prawo ochrony środowiska (Dz. U. z 202</w:t>
      </w:r>
      <w:r w:rsidR="00FB55F8">
        <w:rPr>
          <w:rFonts w:ascii="Times New Roman" w:hAnsi="Times New Roman" w:cs="Times New Roman"/>
          <w:sz w:val="24"/>
          <w:szCs w:val="24"/>
        </w:rPr>
        <w:t xml:space="preserve">1 r. poz. 1973, z </w:t>
      </w:r>
      <w:proofErr w:type="spellStart"/>
      <w:r w:rsidR="00FB55F8">
        <w:rPr>
          <w:rFonts w:ascii="Times New Roman" w:hAnsi="Times New Roman" w:cs="Times New Roman"/>
          <w:sz w:val="24"/>
          <w:szCs w:val="24"/>
        </w:rPr>
        <w:t>późn</w:t>
      </w:r>
      <w:proofErr w:type="spellEnd"/>
      <w:r w:rsidR="00FB55F8">
        <w:rPr>
          <w:rFonts w:ascii="Times New Roman" w:hAnsi="Times New Roman" w:cs="Times New Roman"/>
          <w:sz w:val="24"/>
          <w:szCs w:val="24"/>
        </w:rPr>
        <w:t>. zm.). W </w:t>
      </w:r>
      <w:r w:rsidRPr="00322697">
        <w:rPr>
          <w:rFonts w:ascii="Times New Roman" w:hAnsi="Times New Roman" w:cs="Times New Roman"/>
          <w:sz w:val="24"/>
          <w:szCs w:val="24"/>
        </w:rPr>
        <w:t>przypadku gdy przestępstwo zostanie popełnione nieumyślnie, nawiązka w ww. wysokości jest orzekana fakultatywnie.</w:t>
      </w:r>
    </w:p>
    <w:p w14:paraId="1F4FE3BA"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Dotkliwym problemem dla budżetu państwa oraz samorządów jest ponoszenie kosztów utylizacji porzuconych odpadów. Niejednokrotnie obciążenia te wynoszą kilkadziesiąt milionów złotych (np. usunięcie odpadów nagromadzonych nielegalnie na terenie Gorlic to 48</w:t>
      </w:r>
      <w:r w:rsidR="00655949">
        <w:rPr>
          <w:rFonts w:ascii="Times New Roman" w:hAnsi="Times New Roman" w:cs="Times New Roman"/>
          <w:sz w:val="24"/>
          <w:szCs w:val="24"/>
        </w:rPr>
        <w:t> </w:t>
      </w:r>
      <w:r w:rsidRPr="00322697">
        <w:rPr>
          <w:rFonts w:ascii="Times New Roman" w:hAnsi="Times New Roman" w:cs="Times New Roman"/>
          <w:sz w:val="24"/>
          <w:szCs w:val="24"/>
        </w:rPr>
        <w:t>870</w:t>
      </w:r>
      <w:r w:rsidR="00655949">
        <w:rPr>
          <w:rFonts w:ascii="Times New Roman" w:hAnsi="Times New Roman" w:cs="Times New Roman"/>
          <w:sz w:val="24"/>
          <w:szCs w:val="24"/>
        </w:rPr>
        <w:t> </w:t>
      </w:r>
      <w:r w:rsidRPr="00322697">
        <w:rPr>
          <w:rFonts w:ascii="Times New Roman" w:hAnsi="Times New Roman" w:cs="Times New Roman"/>
          <w:sz w:val="24"/>
          <w:szCs w:val="24"/>
        </w:rPr>
        <w:t>000,00 zł). Dlatego wśród proponowanych zmian jest nałożenie na sprawców przestępstw środowiskowych obligatoryjnego obowiązku wypłacenia nawiązki na rzecz Narodowego Funduszu Ochrony Środowiska i Gospodarki Wodnej w kwocie do 10</w:t>
      </w:r>
      <w:r w:rsidR="00655949">
        <w:rPr>
          <w:rFonts w:ascii="Times New Roman" w:hAnsi="Times New Roman" w:cs="Times New Roman"/>
          <w:sz w:val="24"/>
          <w:szCs w:val="24"/>
        </w:rPr>
        <w:t> </w:t>
      </w:r>
      <w:r w:rsidRPr="00322697">
        <w:rPr>
          <w:rFonts w:ascii="Times New Roman" w:hAnsi="Times New Roman" w:cs="Times New Roman"/>
          <w:sz w:val="24"/>
          <w:szCs w:val="24"/>
        </w:rPr>
        <w:t>000</w:t>
      </w:r>
      <w:r w:rsidR="00655949">
        <w:rPr>
          <w:rFonts w:ascii="Times New Roman" w:hAnsi="Times New Roman" w:cs="Times New Roman"/>
          <w:sz w:val="24"/>
          <w:szCs w:val="24"/>
        </w:rPr>
        <w:t> </w:t>
      </w:r>
      <w:r w:rsidRPr="00322697">
        <w:rPr>
          <w:rFonts w:ascii="Times New Roman" w:hAnsi="Times New Roman" w:cs="Times New Roman"/>
          <w:sz w:val="24"/>
          <w:szCs w:val="24"/>
        </w:rPr>
        <w:t>000</w:t>
      </w:r>
      <w:r w:rsidR="00655949">
        <w:rPr>
          <w:rFonts w:ascii="Times New Roman" w:hAnsi="Times New Roman" w:cs="Times New Roman"/>
          <w:sz w:val="24"/>
          <w:szCs w:val="24"/>
        </w:rPr>
        <w:t> </w:t>
      </w:r>
      <w:r w:rsidRPr="00322697">
        <w:rPr>
          <w:rFonts w:ascii="Times New Roman" w:hAnsi="Times New Roman" w:cs="Times New Roman"/>
          <w:sz w:val="24"/>
          <w:szCs w:val="24"/>
        </w:rPr>
        <w:t>złotych. Środki posłużą nie tylko do usuwania skutków działalności przestępczej, ale także zasilą różne programy ekologiczne, mające na celu m.in. poprawę jakości powietrza lub wody w Polsce.</w:t>
      </w:r>
    </w:p>
    <w:p w14:paraId="56E011B0"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Warto zaznaczyć, że obligatoryjna nawiązka będzie miała zastosowanie także do przestępstw z narażenia. Rozwiązanie to spełnia oczekiwania społeczne odnośnie do polityki kryminalnej względem przestępców środowiskowych. Prof. J. Makarewicz trafnie zauważył, iż „Prawo to wola społeczeństwa, a nie wola Rządu albo choćby elity społecznej, rozsądny ustawodawca nie narzuca społeczeństwu takiego prawa, którego większość społeczeństwa nie chce lub nie rozumie. Kto postępuje inaczej, ten naraża się albo na stworzenie ustawy papierowej, albo na bojkot ustawy, albo na nieustanne konflikty między społeczeństwem a organami władzy wykonawczej” (J. Makarewicz, „Prawo małżeńskie i polska rzeczywistość. Ustęp z mowy wypowiedzianej w Senacie Rzeczypospolitej Polskiej w marcu 1932 r.”, w: R. </w:t>
      </w:r>
      <w:proofErr w:type="spellStart"/>
      <w:r w:rsidRPr="00322697">
        <w:rPr>
          <w:rFonts w:ascii="Times New Roman" w:hAnsi="Times New Roman" w:cs="Times New Roman"/>
          <w:sz w:val="24"/>
          <w:szCs w:val="24"/>
        </w:rPr>
        <w:t>Longchamps</w:t>
      </w:r>
      <w:proofErr w:type="spellEnd"/>
      <w:r w:rsidRPr="00322697">
        <w:rPr>
          <w:rFonts w:ascii="Times New Roman" w:hAnsi="Times New Roman" w:cs="Times New Roman"/>
          <w:sz w:val="24"/>
          <w:szCs w:val="24"/>
        </w:rPr>
        <w:t xml:space="preserve">, A. </w:t>
      </w:r>
      <w:proofErr w:type="spellStart"/>
      <w:r w:rsidRPr="00322697">
        <w:rPr>
          <w:rFonts w:ascii="Times New Roman" w:hAnsi="Times New Roman" w:cs="Times New Roman"/>
          <w:sz w:val="24"/>
          <w:szCs w:val="24"/>
        </w:rPr>
        <w:t>Till</w:t>
      </w:r>
      <w:proofErr w:type="spellEnd"/>
      <w:r w:rsidRPr="00322697">
        <w:rPr>
          <w:rFonts w:ascii="Times New Roman" w:hAnsi="Times New Roman" w:cs="Times New Roman"/>
          <w:sz w:val="24"/>
          <w:szCs w:val="24"/>
        </w:rPr>
        <w:t xml:space="preserve"> (red.), „Przegląd Prawa i Administracji im. Ernesta </w:t>
      </w:r>
      <w:proofErr w:type="spellStart"/>
      <w:r w:rsidRPr="00322697">
        <w:rPr>
          <w:rFonts w:ascii="Times New Roman" w:hAnsi="Times New Roman" w:cs="Times New Roman"/>
          <w:sz w:val="24"/>
          <w:szCs w:val="24"/>
        </w:rPr>
        <w:t>Tilla</w:t>
      </w:r>
      <w:proofErr w:type="spellEnd"/>
      <w:r w:rsidRPr="00322697">
        <w:rPr>
          <w:rFonts w:ascii="Times New Roman" w:hAnsi="Times New Roman" w:cs="Times New Roman"/>
          <w:sz w:val="24"/>
          <w:szCs w:val="24"/>
        </w:rPr>
        <w:t>”, R. 57, 1932, nr 1, s. 178).</w:t>
      </w:r>
    </w:p>
    <w:p w14:paraId="6D1372D6"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lastRenderedPageBreak/>
        <w:t xml:space="preserve">Jednocześnie w art. 47 kk § 4 otrzymał brzmienie: „§ 4. W szczególnie uzasadnionych okolicznościach, gdy wymierzona nawiązka powodowałaby dla sprawcy uszczerbek dla niezbędnego utrzymania siebie i rodziny lub gdy pokrzywdzony pojednał się ze sprawcą, sąd może ją wymierzyć w wysokości niższej niż wskazana w § 2 i 3.”. </w:t>
      </w:r>
    </w:p>
    <w:p w14:paraId="1E297D25"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Zakłada się inny wymiar kary pozbawienia wolności za czyn polegający na zniszczeniu w świecie roślinnym lub zwierzęcym w znacznych rozmiarach, określony w a</w:t>
      </w:r>
      <w:r w:rsidR="00655949">
        <w:rPr>
          <w:rFonts w:ascii="Times New Roman" w:hAnsi="Times New Roman" w:cs="Times New Roman"/>
          <w:sz w:val="24"/>
          <w:szCs w:val="24"/>
        </w:rPr>
        <w:t>r</w:t>
      </w:r>
      <w:r w:rsidRPr="00322697">
        <w:rPr>
          <w:rFonts w:ascii="Times New Roman" w:hAnsi="Times New Roman" w:cs="Times New Roman"/>
          <w:sz w:val="24"/>
          <w:szCs w:val="24"/>
        </w:rPr>
        <w:t>t. 181 § 1 kk. Sprawca będzie podlegać karze pozbawienia wolności od 6 miesięcy do lat 8. Oprócz tego zmianie ulegną sankcje karne za czyny opisane w art. 181 § 2 i 3 kk. Za niszczenie albo uszkadzanie wbrew przepisom obowiązującym na terenie objętym ochroną roślin, zwierząt, grzybów lub ich siedlisk, lub siedlisk przyrodniczych, powodując istotną szkodę, grozić ma grzywna, kara ograniczenia wolności albo pozbawienia wolności od 3 miesięcy do lat 5. Taka sama kara jest przewidziana za niszczenie albo uszkadzanie roślin, zwierząt, grzybów pozostających pod ochroną gatunkową lub ich siedlisk, powodując istotną szkodę.</w:t>
      </w:r>
    </w:p>
    <w:p w14:paraId="38B2C298" w14:textId="1DBE9BB6"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Oprócz tego nowelizacja obejmuje również zmianę art. 182 kk. Przepis ten penalizuje zanieczyszczenie wody, powietrza lub powierzchni ziemi substancją albo promieniowaniem jonizującym w takiej ilości lub w takiej postaci, że może to zagrozić życiu lub zdrowiu człowieka lub spowodować istotne obniżenie jakości wody, powietrza lub powierzchni ziemi lub zniszczenie w świecie roślinnym lub zwierzęcym w znacznych rozmiarach (art. 182 § 1 kk). Zmiana wprowadza nowe granice ustawowego zagrożenia – od 6 miesięcy do lat 8. Proponuje się również podwyższenie do lat 3 wysokość kary pozbawienia wolności, którą można orzec wobec sprawcy tego czynu, działającego nieumyślnie (art. 182 § 2 kk). Ponadto zwiększono dolną i górną granicę ustawowego zagrożenia</w:t>
      </w:r>
      <w:r w:rsidR="00655949">
        <w:rPr>
          <w:rFonts w:ascii="Times New Roman" w:hAnsi="Times New Roman" w:cs="Times New Roman"/>
          <w:sz w:val="24"/>
          <w:szCs w:val="24"/>
        </w:rPr>
        <w:t>,</w:t>
      </w:r>
      <w:r w:rsidRPr="00322697">
        <w:rPr>
          <w:rFonts w:ascii="Times New Roman" w:hAnsi="Times New Roman" w:cs="Times New Roman"/>
          <w:sz w:val="24"/>
          <w:szCs w:val="24"/>
        </w:rPr>
        <w:t xml:space="preserve"> w przypadku gdy czyn określony w art. 182 § 1 został popełniony w związku z eksploatacją instalacji działającej w ramach zakładu, w zakresie korzystania ze środowiska, na które jest wymagane pozwolenie (art. 182 § 3 kk). Nowa sankcja wynosi od roku do lat 10 pozbawienia wolności. Oprócz tego wprowadzono surowszą karę za nieumyślne działanie sprawcy czynu określonego w § 3 (art. 182 § 4 kk). Odtąd sprawca podlega karze pozbawienia wolności od 3 miesięcy do lat 5.</w:t>
      </w:r>
    </w:p>
    <w:p w14:paraId="3CE00601" w14:textId="34684EBD"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Projekt zawiera również nowe granice ustawowego zagrożenia dla czynów określonych w art.</w:t>
      </w:r>
      <w:r w:rsidR="00655949">
        <w:rPr>
          <w:rFonts w:ascii="Times New Roman" w:hAnsi="Times New Roman" w:cs="Times New Roman"/>
          <w:sz w:val="24"/>
          <w:szCs w:val="24"/>
        </w:rPr>
        <w:t> </w:t>
      </w:r>
      <w:r w:rsidRPr="00322697">
        <w:rPr>
          <w:rFonts w:ascii="Times New Roman" w:hAnsi="Times New Roman" w:cs="Times New Roman"/>
          <w:sz w:val="24"/>
          <w:szCs w:val="24"/>
        </w:rPr>
        <w:t xml:space="preserve">183. Przepis ten sankcjonuje m.in. niezgodne z prawem składowanie, usuwanie, przetwarzanie, zbieranie, unieszkodliwianie, transport odpadów lub substancji albo dokonywanie odzysku odpadów lub substancji, i które może zagrażać życiu lub zdrowiu człowieka lub spowodować obniżenie jakości wody, powietrza, powierzchni ziemi lub zniszczenie w  świecie roślinnym lub zwierzęcym(art. 183 § 1 kk). Obecnie za opisany czyn kk </w:t>
      </w:r>
      <w:r w:rsidRPr="00322697">
        <w:rPr>
          <w:rFonts w:ascii="Times New Roman" w:hAnsi="Times New Roman" w:cs="Times New Roman"/>
          <w:sz w:val="24"/>
          <w:szCs w:val="24"/>
        </w:rPr>
        <w:lastRenderedPageBreak/>
        <w:t>przewiduje karę pozbawienia wolności w granicach od 3 miesięcy do lat 5. Proponowana zmiana będzie polegała na zwiększeniu dolnej i górnej granicy ustawowego zagrożenia, polegającej na wprowadzeniu kary pozbawienia wolności w przedziale od roku do 10 lat. Aktualna sankcja za przywożenie z zagranicy lub wywożenie za granicę bez wymaganego zgłoszenia lub zezwolenia albo wbrew jego warunkom odpadów niebezpiecznych to kara pozbawienia wolności od 6 miesięcy do lat 8 (art. 183 § 5 kk). Proponowana zmiana zaostrza kary w tym zakresie</w:t>
      </w:r>
      <w:r w:rsidR="00655949">
        <w:rPr>
          <w:rFonts w:ascii="Times New Roman" w:hAnsi="Times New Roman" w:cs="Times New Roman"/>
          <w:sz w:val="24"/>
          <w:szCs w:val="24"/>
        </w:rPr>
        <w:t>,</w:t>
      </w:r>
      <w:r w:rsidRPr="00322697">
        <w:rPr>
          <w:rFonts w:ascii="Times New Roman" w:hAnsi="Times New Roman" w:cs="Times New Roman"/>
          <w:sz w:val="24"/>
          <w:szCs w:val="24"/>
        </w:rPr>
        <w:t xml:space="preserve"> zwiększając dolną i górną granicę ustawowego zagrożenia, która będzie wynosić od lat 2 do lat 12 pozbawienia wolności.</w:t>
      </w:r>
    </w:p>
    <w:p w14:paraId="79532475" w14:textId="20A1764A"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W art. 183 dodano także § 5a, penalizujący porzucanie odpadów niebezpiecznych w miejscu nieprzeznaczonym do ich składowania lub magazynowania. Nowa sankcja karna dotyczy najczęściej ujawnianych przypadków nieodpowiedniego gospodarowania odpadami niebezpiecznymi. W odróżnieniu od usuwania odpadów, opisanego w art. 183 § 1 kk, przepis dotyczy porzucania odpadów niebezpiecznych. Porzucanie jest jednym ze sposobów usuwania odpadów. W wyroku z dnia 11 listopada 2004 r. w sprawie C-457/02 </w:t>
      </w:r>
      <w:proofErr w:type="spellStart"/>
      <w:r w:rsidRPr="00322697">
        <w:rPr>
          <w:rFonts w:ascii="Times New Roman" w:hAnsi="Times New Roman" w:cs="Times New Roman"/>
          <w:sz w:val="24"/>
          <w:szCs w:val="24"/>
        </w:rPr>
        <w:t>Niselli</w:t>
      </w:r>
      <w:proofErr w:type="spellEnd"/>
      <w:r w:rsidRPr="00322697">
        <w:rPr>
          <w:rFonts w:ascii="Times New Roman" w:hAnsi="Times New Roman" w:cs="Times New Roman"/>
          <w:sz w:val="24"/>
          <w:szCs w:val="24"/>
        </w:rPr>
        <w:t xml:space="preserve"> (https://curia.europa.eu/juris/showPdf.jsf?text=&amp;docid=49661&amp;pageIndex=0&amp;doclang=PL&amp;mode=lst&amp;dir=&amp;occ=first&amp;part=1&amp;cid=6413681, dostęp: 06.12.2021 r.) w pkt 39 Europejski Trybunał Sprawiedliwości orzekł, iż „Fakt, że porzucenie odpadów nie może zostać uznane za sposób ich unieszkodliwiania, wynika w szczególności z art. 4 akapit drugi dyrektywy 75/442, według którego „Państwa Członkowskie podejmują [...] niezbędne środki zakazujące porzucania, wysypywania lub niekontrolowanego unieszkodliwiania odpadów”. Przepis ten wyraźnie rozróżnia porzucenie i unieszkodliwianie. Wynika z niego, że porzucenie i unieszkodliwianie przedmiotu lub substancji stanowią dwa spośród innych sposobów usuwania ich w rozumieniu art. 1 lit. a akapit pierwszy dyrektywy 75/442”. Zaostrzenie sankcji karnych w gospodarce odpadami jest konieczne w sytuacji wzrastającej liczby wykrywanych tego typu przypadków, które stwarzają poważne zagrożenie dla zdrowia i życia ludzi oraz środowiska. W ostatnich dwóch latach Inspekcja Ochrony Środowiska wspólnie z innymi organami wykryła na terenie kraju ponad 200 miejsc porzucenia odpadów niebezpiecznych. Niezależnie od proponowanych w projekcie zmian zastosowanie będą miały nadal przepisy dotyczące obowiązku usunięcia odpadów (na własny koszt) przez posiadacza odpadów z miejsca nieprzeznaczonego do ich składowania lub magazynowania (art. 26 ust. 1 ustawy o odpadach) oraz w przypadku niewywiązania się z ww. obowiązku zwrotu poniesionych przez organ kosztów tzw. wykonania zastępczego.</w:t>
      </w:r>
    </w:p>
    <w:p w14:paraId="05AAA361" w14:textId="1D31B734"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lastRenderedPageBreak/>
        <w:t>Jednocześnie w art. 183 § 6 kk określono nowe granice ustawowego zagrożenia kary za ww. czyny popełnione przez nieumyślne działania sprawcy, tj. wskazano że tego rodzaju czyny zabronione mogą podlegać ka</w:t>
      </w:r>
      <w:r w:rsidR="00BD3BBB">
        <w:rPr>
          <w:rFonts w:ascii="Times New Roman" w:hAnsi="Times New Roman" w:cs="Times New Roman"/>
          <w:sz w:val="24"/>
          <w:szCs w:val="24"/>
        </w:rPr>
        <w:t>rz</w:t>
      </w:r>
      <w:r w:rsidRPr="00322697">
        <w:rPr>
          <w:rFonts w:ascii="Times New Roman" w:hAnsi="Times New Roman" w:cs="Times New Roman"/>
          <w:sz w:val="24"/>
          <w:szCs w:val="24"/>
        </w:rPr>
        <w:t>e pozbawienia wolności do lat 5 (obecne brzmienie kk wskazuj</w:t>
      </w:r>
      <w:r w:rsidR="00A209B2">
        <w:rPr>
          <w:rFonts w:ascii="Times New Roman" w:hAnsi="Times New Roman" w:cs="Times New Roman"/>
          <w:sz w:val="24"/>
          <w:szCs w:val="24"/>
        </w:rPr>
        <w:t>e</w:t>
      </w:r>
      <w:r w:rsidRPr="00322697">
        <w:rPr>
          <w:rFonts w:ascii="Times New Roman" w:hAnsi="Times New Roman" w:cs="Times New Roman"/>
          <w:sz w:val="24"/>
          <w:szCs w:val="24"/>
        </w:rPr>
        <w:t xml:space="preserve"> jako granic</w:t>
      </w:r>
      <w:r w:rsidR="00A209B2">
        <w:rPr>
          <w:rFonts w:ascii="Times New Roman" w:hAnsi="Times New Roman" w:cs="Times New Roman"/>
          <w:sz w:val="24"/>
          <w:szCs w:val="24"/>
        </w:rPr>
        <w:t>ę</w:t>
      </w:r>
      <w:r w:rsidRPr="00322697">
        <w:rPr>
          <w:rFonts w:ascii="Times New Roman" w:hAnsi="Times New Roman" w:cs="Times New Roman"/>
          <w:sz w:val="24"/>
          <w:szCs w:val="24"/>
        </w:rPr>
        <w:t xml:space="preserve"> kary 2 lata).</w:t>
      </w:r>
    </w:p>
    <w:p w14:paraId="7E4A71EA" w14:textId="174DF7CC"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Nowelizowany jest także art. 185 kk, obejmujący typ kwalifikowany przestępstw, wskazanych we wcześniejszych przepisach (tj. art. 182 § 1 lub 3, art. 183 § 1 lub 3 lub art. 184 § 1 lub 2), których następstwem jest:</w:t>
      </w:r>
    </w:p>
    <w:p w14:paraId="09010843"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zniszczenie w świecie roślinnym lub zwierzęcym w znacznych rozmiarach lub istotne obniżenie jakości wody, powietrza lub powierzchni ziemi (art. 185 § 1 kk). Obecnie sprawca takiego czynu podlega karze pozbawienia wolności od 6 miesięcy do lat 8. Nowelizacja zwiększa dolną i górną granicę ustawowego zagrożenia. Sprawca będzie odtąd podlegać karze pozbawienia wolności od lat 2 do 12;</w:t>
      </w:r>
    </w:p>
    <w:p w14:paraId="07A69556"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ciężki uszczerbek na zdrowiu człowieka (art. 185 § 2 kk). Obecnie sprawca takiego czynu podlega karze pozbawienia wolności od roku do lat 10. Nowelizacja zwiększa granice ustawowego zagrożenia. Sprawca będzie odtąd podlegać karze pozbawienia wolności na czas nie krótszy od lat 2 do 12;</w:t>
      </w:r>
    </w:p>
    <w:p w14:paraId="1CBBB10D"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 xml:space="preserve">śmierć człowieka lub ciężki uszczerbek na zdrowiu wielu osób (art. 185 § 3 kk). Obecnie sprawca takiego czynu podlega karze pozbawienia wolności od 2 lat do 12. Nowelizacja zwiększa granice ustawowego zagrożenia. Sprawca będzie odtąd podlegać karze pozbawienia wolności na czas nie krótszy od lat 3. </w:t>
      </w:r>
    </w:p>
    <w:p w14:paraId="67840B06"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Warto w tym miejscu wskazać, że np. w art. 270a § 2 kk przewidziano karę pozbawienia wolności na czas nie krótszy od lat 3, a w art. 277a § 1 kk przewidziano karę pozbawienia wolności na czas nie krótszy od lat 5 albo karze 25 lat pozbawienia wolności. Ustawodawca dąży do uniknięcia sytuacji, gdy w danym stanie faktycznym sąd nie będzie miał możliwości wymierzyć adekwatnej kary za dane przestępstwo. Na brak odpowiednich przepisów środowiskowych zwracano już uwagę w trakcie procesu odpowiedzialnych za katastrofę elektrowni w Czarnobylu (por. W. Siwiński, „Czarnobyl. Od katastrofy do procesu”, wyd. Iskry, Warszawa 1989, s. 231</w:t>
      </w:r>
      <w:r w:rsidR="00A209B2">
        <w:rPr>
          <w:rFonts w:ascii="Times New Roman" w:hAnsi="Times New Roman" w:cs="Times New Roman"/>
          <w:sz w:val="24"/>
          <w:szCs w:val="24"/>
        </w:rPr>
        <w:t>–</w:t>
      </w:r>
      <w:r w:rsidRPr="00322697">
        <w:rPr>
          <w:rFonts w:ascii="Times New Roman" w:hAnsi="Times New Roman" w:cs="Times New Roman"/>
          <w:sz w:val="24"/>
          <w:szCs w:val="24"/>
        </w:rPr>
        <w:t>248).</w:t>
      </w:r>
    </w:p>
    <w:p w14:paraId="4FA7D413"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Nowelizacja obejmuje również art. 186 § 1 kk. Proponuje się zmianę granic ustawowego zagrożenia kary pozbawienia wolności, która ma wynosić odtąd od 3 miesięcy do lat 5 dla osoby, która wbrew obowiązkowi nie utrzymuje w należytym stanie lub nie używa urządzeń </w:t>
      </w:r>
      <w:r w:rsidRPr="00322697">
        <w:rPr>
          <w:rFonts w:ascii="Times New Roman" w:hAnsi="Times New Roman" w:cs="Times New Roman"/>
          <w:sz w:val="24"/>
          <w:szCs w:val="24"/>
        </w:rPr>
        <w:lastRenderedPageBreak/>
        <w:t>zabezpieczających wodę, powietrze lub powierzchnię ziemi przed zanieczyszczeniem lub urządzeń zabezpieczających przed skażeniem promieniotwórczym lub promieniowaniem jonizującym.</w:t>
      </w:r>
    </w:p>
    <w:p w14:paraId="747FB025"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Należy w tym miejscu zwrócić uwagę na fakt, iż przedstawione zmiany wpływają pośrednio także na stosowanie art. 181 § 4 i 5, art. 183 § 2</w:t>
      </w:r>
      <w:r w:rsidR="00A209B2">
        <w:rPr>
          <w:rFonts w:ascii="Times New Roman" w:hAnsi="Times New Roman" w:cs="Times New Roman"/>
          <w:sz w:val="24"/>
          <w:szCs w:val="24"/>
        </w:rPr>
        <w:t>–</w:t>
      </w:r>
      <w:r w:rsidRPr="00322697">
        <w:rPr>
          <w:rFonts w:ascii="Times New Roman" w:hAnsi="Times New Roman" w:cs="Times New Roman"/>
          <w:sz w:val="24"/>
          <w:szCs w:val="24"/>
        </w:rPr>
        <w:t xml:space="preserve">4, art. 184 oraz art. 186 § 2 i 3 kk. </w:t>
      </w:r>
    </w:p>
    <w:p w14:paraId="61957413"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Zwiększenie dolnej granicy ustawowego zagrożenia za ww. czyny, spełniające znamiona przestępstw przeciwko środowisku, ma za zadanie uniemożliwienie zastosowania art. 69 § 1 kk, zgodnie z którym „sąd może warunkowo zawiesić wykonanie kary pozbawienia wolności orzeczonej w wymiarze nieprzekraczającym roku, jeżeli sprawca w czasie popełnienia przestępstwa nie był skazany na karę pozbawienia wolności i jest to wystarczające dla osiągnięcia wobec niego celów kary, a w szczególności zapobieżenia powrotowi do przestępstwa”. Natomiast zwiększenie górnej granicy ustawowego zagrożenia ww. przestępstw przeciwko środowisku spowoduje, że w przypadku przestępstw przeciwko środowisku nie będą miały zastosowania:</w:t>
      </w:r>
    </w:p>
    <w:p w14:paraId="3D92E7D3"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art. 37a § 1 kk: „Jeżeli przestępstwo jest zagrożone tylko karą pozbawienia wolności nieprzekraczającą 8 lat, a wymierzona za nie kara pozbawienia wolności nie byłaby surowsza od roku, sąd może zamiast tej kary orzec karę ograniczenia wolności nie niższą od 3 miesięcy albo grzywnę nie niższą od 100 stawek dziennych, jeżeli równocześnie orzeka środek karny, środek kompensacyjny lub przepadek”;</w:t>
      </w:r>
    </w:p>
    <w:p w14:paraId="47D46B35"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art. 59 kk: „Jeżeli przestępstwo jest zagrożone karą pozbawienia wolności nieprzekraczającą 3 lat albo karą łagodniejszego rodzaju i społeczna szkodliwość czynu nie jest znaczna, sąd może odstąpić od wymierzenia kary, jeżeli orzeka jednocześnie środek karny, przepadek lub środek kompensacyjny, a cele kary zostaną w ten sposób spełnione”;</w:t>
      </w:r>
    </w:p>
    <w:p w14:paraId="18614B8B" w14:textId="2527FF8A"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t>
      </w:r>
      <w:r w:rsidRPr="00322697">
        <w:rPr>
          <w:rFonts w:ascii="Times New Roman" w:hAnsi="Times New Roman" w:cs="Times New Roman"/>
          <w:sz w:val="24"/>
          <w:szCs w:val="24"/>
        </w:rPr>
        <w:tab/>
        <w:t>art. 66 kk: „§ 1. Sąd może warunkowo umorzyć postępowanie karne, jeżeli wina i społeczna szkodliwość czynu nie są znaczne, okoliczności jego popełnienia nie budzą wątpliwości, a postawa sprawcy niekaranego za przestępstwo umyślne, jego właściwości i warunki osobiste oraz dotychczasowy sposób życia uzasadniają przypuszczenie, że pomimo umorzenia postępowania będzie przestrzegał porządku prawnego, w szczególności nie popełni przestępstwa.</w:t>
      </w:r>
      <w:r w:rsidR="00A209B2">
        <w:rPr>
          <w:rFonts w:ascii="Times New Roman" w:hAnsi="Times New Roman" w:cs="Times New Roman"/>
          <w:sz w:val="24"/>
          <w:szCs w:val="24"/>
        </w:rPr>
        <w:t xml:space="preserve"> </w:t>
      </w:r>
      <w:r w:rsidRPr="00322697">
        <w:rPr>
          <w:rFonts w:ascii="Times New Roman" w:hAnsi="Times New Roman" w:cs="Times New Roman"/>
          <w:sz w:val="24"/>
          <w:szCs w:val="24"/>
        </w:rPr>
        <w:t>§ 2. Warunkowego umorzenia nie stosuje się do sprawcy przestępstwa zagrożonego karą przekraczającą 5 lat pozbawienia wolności”.</w:t>
      </w:r>
    </w:p>
    <w:p w14:paraId="679BE1F2"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Oprócz tego planuje się dodanie po art. 188 kk art. 188a:</w:t>
      </w:r>
    </w:p>
    <w:p w14:paraId="6237E192"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lastRenderedPageBreak/>
        <w:t xml:space="preserve">„Art. 188a. Wobec sprawcy przestępstwa określonego w art. 182 § 1 lub 3, art. 183 § 1, 3, 5a lub 6 lub w art. 184 § 1 lub 2, który dobrowolnie naprawił szkodę w całości lub w znacznej części, sąd może zastosować nadzwyczajne złagodzenie kary, a nawet odstąpić od jej wymierzenia.”. </w:t>
      </w:r>
    </w:p>
    <w:p w14:paraId="14D58405" w14:textId="60BBF62D"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Zmiana ta, wprowadzająca rozwiązanie analogiczne do przewidzianego w art. 295 kk oraz niemieckiego i austriackiego kodeksu karnego, ma na celu umożliwienie sądowi przy orzekaniu o karze uwzględnienia w pełni znamion strony przedmiotowej czynów zabronionych, określonych w art. 182–184. W judykaturze trafnie podkreśla się, że „(…) nie ma przeszkód do zastosowania wobec sprawcy art. 295 § 1 k.k., jeśli naprawi on szkodę przed wszczęciem postępowania karnego, w czasie jego trwania, jak też w czasie postępowania sądowego, aż do czasu wydania wyroku przed sądem pierwszej instancji (zob. powołany Komentarz do kodeksu karnego, pod redakcją A. Zolla, Warszawa 1999, teza 6 do art. 295 k.k.). Oczywiste jest, że </w:t>
      </w:r>
      <w:r w:rsidR="00A209B2">
        <w:rPr>
          <w:rFonts w:ascii="Times New Roman" w:hAnsi="Times New Roman" w:cs="Times New Roman"/>
          <w:sz w:val="24"/>
          <w:szCs w:val="24"/>
        </w:rPr>
        <w:t>„</w:t>
      </w:r>
      <w:r w:rsidRPr="00322697">
        <w:rPr>
          <w:rFonts w:ascii="Times New Roman" w:hAnsi="Times New Roman" w:cs="Times New Roman"/>
          <w:sz w:val="24"/>
          <w:szCs w:val="24"/>
        </w:rPr>
        <w:t>dobrowolność</w:t>
      </w:r>
      <w:r w:rsidR="00A209B2">
        <w:rPr>
          <w:rFonts w:ascii="Times New Roman" w:hAnsi="Times New Roman" w:cs="Times New Roman"/>
          <w:sz w:val="24"/>
          <w:szCs w:val="24"/>
        </w:rPr>
        <w:t>”</w:t>
      </w:r>
      <w:r w:rsidRPr="00322697">
        <w:rPr>
          <w:rFonts w:ascii="Times New Roman" w:hAnsi="Times New Roman" w:cs="Times New Roman"/>
          <w:sz w:val="24"/>
          <w:szCs w:val="24"/>
        </w:rPr>
        <w:t xml:space="preserve"> musi znaleźć odzwierciedlenie w naprawieniu szkody w wyniku swobodnej decyzji sprawcy przestępstwa.” (Wyrok Sądu Najwyższego z dnia 6 marca 2002 r., sygn. akt WA 6/02, OSNKW 2002, z. 7</w:t>
      </w:r>
      <w:r w:rsidR="00A209B2">
        <w:rPr>
          <w:rFonts w:ascii="Times New Roman" w:hAnsi="Times New Roman" w:cs="Times New Roman"/>
          <w:sz w:val="24"/>
          <w:szCs w:val="24"/>
        </w:rPr>
        <w:t>–</w:t>
      </w:r>
      <w:r w:rsidRPr="00322697">
        <w:rPr>
          <w:rFonts w:ascii="Times New Roman" w:hAnsi="Times New Roman" w:cs="Times New Roman"/>
          <w:sz w:val="24"/>
          <w:szCs w:val="24"/>
        </w:rPr>
        <w:t>8, poz. 57).</w:t>
      </w:r>
    </w:p>
    <w:p w14:paraId="5E366F75"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W ustawie z dnia 20 maja 1971 r. – Kodeks wykroczeń (Dz. U. z 2021 r. poz. 2008, z </w:t>
      </w:r>
      <w:proofErr w:type="spellStart"/>
      <w:r w:rsidRPr="00322697">
        <w:rPr>
          <w:rFonts w:ascii="Times New Roman" w:hAnsi="Times New Roman" w:cs="Times New Roman"/>
          <w:sz w:val="24"/>
          <w:szCs w:val="24"/>
        </w:rPr>
        <w:t>późn</w:t>
      </w:r>
      <w:proofErr w:type="spellEnd"/>
      <w:r w:rsidRPr="00322697">
        <w:rPr>
          <w:rFonts w:ascii="Times New Roman" w:hAnsi="Times New Roman" w:cs="Times New Roman"/>
          <w:sz w:val="24"/>
          <w:szCs w:val="24"/>
        </w:rPr>
        <w:t xml:space="preserve">. zm.), dalej: „Kodeks wykroczeń”, proponuje się uzupełnić katalog kar za czyn określony w art. 82 § 3 Kodeksu wykroczeń, tj. rozniecanie ognia, poza miejscami wyznaczonymi do tego celu, na terenie lasu, na terenach śródleśnych, na obszarze łąk, torfowisk i wrzosowisk, jak również w odległości do 100 m od nich albo palenie tytoniu, z wyjątkiem miejsc na drogach utwardzonych i miejsc wyznaczonych do pobytu ludzi o ograniczenie wolności. Orzeczenie tej kary, zgodnie z art. 20 § 2 pkt 2 Kodeksu wykroczeń, będzie skutkowało dla ukaranego obowiązkiem wykonywania nieodpłatnej kontrolowanej pracy na cele społeczne. Zgodnie z dodanym do art. 82 Kodeksu wykroczeń § 3a w przypadku ukarania za to wykroczenie możliwe będzie również przywrócenie przez ukaranego stanu poprzedniego. </w:t>
      </w:r>
    </w:p>
    <w:p w14:paraId="695ECBD2"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Oprócz tego zmieniono art. 145 i art. 154 Kodeksu wykroczeń, podwyższając karę grzywny za zaśmiecanie obszaru kolejowego, miejsca dostępnego dla publiczności oraz gruntów polnych. Ponadto wprowadzono możliwość orzeczenia przez sąd obowiązku przywrócenia do stanu poprzedniego. Zmiany te wynikają z napływających sygnałów o zwiększonej liczbie zaśmiecania miejsc publicznych i mają na celu zmniejszenie zaśmiecania miejsc publicznych.</w:t>
      </w:r>
    </w:p>
    <w:p w14:paraId="74BE1BD7" w14:textId="79EC7F55"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Ponadto proponuje się nowelizację art. 162 § 1 i  2 Kodeksu wykroczeń. Nowelizacja ta zakłada wprowadzenie kary ograniczenia wolności za zanieczyszczanie gleby lub wody w lasach albo </w:t>
      </w:r>
      <w:r w:rsidRPr="00322697">
        <w:rPr>
          <w:rFonts w:ascii="Times New Roman" w:hAnsi="Times New Roman" w:cs="Times New Roman"/>
          <w:sz w:val="24"/>
          <w:szCs w:val="24"/>
        </w:rPr>
        <w:lastRenderedPageBreak/>
        <w:t>wyrzucanie do lasu kamieni, odpadów, złomu lub padliny niebędących odpadami lub innych nieczystości, albo zaśmiecanie lasu w inny sposób. Orzeczenie tej kary, według art. 20 § 2 pkt</w:t>
      </w:r>
      <w:r w:rsidR="00A209B2">
        <w:rPr>
          <w:rFonts w:ascii="Times New Roman" w:hAnsi="Times New Roman" w:cs="Times New Roman"/>
          <w:sz w:val="24"/>
          <w:szCs w:val="24"/>
        </w:rPr>
        <w:t> </w:t>
      </w:r>
      <w:r w:rsidRPr="00322697">
        <w:rPr>
          <w:rFonts w:ascii="Times New Roman" w:hAnsi="Times New Roman" w:cs="Times New Roman"/>
          <w:sz w:val="24"/>
          <w:szCs w:val="24"/>
        </w:rPr>
        <w:t xml:space="preserve">2 Kodeksu wykroczeń, będzie skutkowało dla ukaranego obowiązkiem wykonywania nieodpłatnej kontrolowanej pracy na cele społeczne. Orzeczenie kary ograniczenia wolności za popełnienie wykroczenia może skutkować nałożeniem obowiązku oczyszczenia lasu z pozostawionych przez siebie i inne osoby zanieczyszczeń w trakcie wykonywania nieodpłatnej kontrolowanej pracy na cele społeczne. Uzupełnienie katalogu kar za wykroczenie zaśmiecania lasu i składowania w lesie odpadów o karę ograniczenia wolności, której wykonanie może polegać na oczyszczaniu lasu ze śmieci i odpadów, będzie miało funkcję prewencyjną i powinno skutkować zaniechaniem popełnienia takich wykroczeń w przyszłości. Ponadto proponuje się wprowadzić karę grzywny w kwocie od 500 do 5 000 zł w § 1 oraz od 1000 do 5000 zł w § 2. Taka kara grzywny ma </w:t>
      </w:r>
      <w:r w:rsidR="007F008A">
        <w:rPr>
          <w:rFonts w:ascii="Times New Roman" w:hAnsi="Times New Roman" w:cs="Times New Roman"/>
          <w:sz w:val="24"/>
          <w:szCs w:val="24"/>
        </w:rPr>
        <w:t>spowodować</w:t>
      </w:r>
      <w:r w:rsidRPr="00322697">
        <w:rPr>
          <w:rFonts w:ascii="Times New Roman" w:hAnsi="Times New Roman" w:cs="Times New Roman"/>
          <w:sz w:val="24"/>
          <w:szCs w:val="24"/>
        </w:rPr>
        <w:t>, że w przyszłości sprawca wykroczenia nie popełni go ponownie. Proponowane brzmienie art. 162 § 4 Kodeksu wykroczeń spowoduj</w:t>
      </w:r>
      <w:r w:rsidR="000E2EB9">
        <w:rPr>
          <w:rFonts w:ascii="Times New Roman" w:hAnsi="Times New Roman" w:cs="Times New Roman"/>
          <w:sz w:val="24"/>
          <w:szCs w:val="24"/>
        </w:rPr>
        <w:t>e</w:t>
      </w:r>
      <w:r w:rsidRPr="00322697">
        <w:rPr>
          <w:rFonts w:ascii="Times New Roman" w:hAnsi="Times New Roman" w:cs="Times New Roman"/>
          <w:sz w:val="24"/>
          <w:szCs w:val="24"/>
        </w:rPr>
        <w:t>, iż sprawca czynu będzie mógł być zobowiązany do przywrócenia, osobiście bądź za pomocą specjalistycznej firmy, do stanu sprzed popełnienia czynu</w:t>
      </w:r>
      <w:r w:rsidR="00A209B2">
        <w:rPr>
          <w:rFonts w:ascii="Times New Roman" w:hAnsi="Times New Roman" w:cs="Times New Roman"/>
          <w:sz w:val="24"/>
          <w:szCs w:val="24"/>
        </w:rPr>
        <w:t>,</w:t>
      </w:r>
      <w:r w:rsidRPr="00322697">
        <w:rPr>
          <w:rFonts w:ascii="Times New Roman" w:hAnsi="Times New Roman" w:cs="Times New Roman"/>
          <w:sz w:val="24"/>
          <w:szCs w:val="24"/>
        </w:rPr>
        <w:t xml:space="preserve"> tj. sprzed popełnienia wykroczenia polegającego na zaśmiecaniu lasu.</w:t>
      </w:r>
    </w:p>
    <w:p w14:paraId="3C3EFE2B" w14:textId="2EDFB895"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 związku z zaostrzeniem sankcji w art. 145 § 1, art. 154 § 2 i art. 162 § 1 i 2 Kodeksu wykroczeń usunięto dotychczas występującą karę nagany. Jednocześnie projektodawca podkreśla, iż do ww. wykroczeń nadal ma zastosowanie art. 39 Kodeksu wykroczeń, dotyczący nadzwyczajnego złagodzenia kary i odstąpieni</w:t>
      </w:r>
      <w:r w:rsidR="002C2391">
        <w:rPr>
          <w:rFonts w:ascii="Times New Roman" w:hAnsi="Times New Roman" w:cs="Times New Roman"/>
          <w:sz w:val="24"/>
          <w:szCs w:val="24"/>
        </w:rPr>
        <w:t>a</w:t>
      </w:r>
      <w:r w:rsidRPr="00322697">
        <w:rPr>
          <w:rFonts w:ascii="Times New Roman" w:hAnsi="Times New Roman" w:cs="Times New Roman"/>
          <w:sz w:val="24"/>
          <w:szCs w:val="24"/>
        </w:rPr>
        <w:t xml:space="preserve"> od jej wymierzenia. Ustawodawca postanowił o wprowadzeniu karalności usiłowania, podżegania i pomocnictwa ww. czynów z uwagi na prewencję ogólną i indywidualną. Niejednokrotnie, w przypadku np. zaśmiecania, inspiratorem popełnienia czynu jest inna osoba niż sprawca, który często może być zmuszony do jego dokonania. Względy słuszności wymagają, aby w takich wypadkach karać np. podżegacza.</w:t>
      </w:r>
    </w:p>
    <w:p w14:paraId="57A98339"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Warto w tym miejscu zaznaczyć, że objętość zebranych odpadów z terenów leśnych będących w zarządzie Państwowego Gospodarstwa Leśnego Lasy Państwowe oraz koszty związane z ich usunięciem w latach 2018</w:t>
      </w:r>
      <w:r w:rsidR="000E2EB9">
        <w:rPr>
          <w:rFonts w:ascii="Times New Roman" w:hAnsi="Times New Roman" w:cs="Times New Roman"/>
          <w:sz w:val="24"/>
          <w:szCs w:val="24"/>
        </w:rPr>
        <w:t>–</w:t>
      </w:r>
      <w:r w:rsidRPr="00322697">
        <w:rPr>
          <w:rFonts w:ascii="Times New Roman" w:hAnsi="Times New Roman" w:cs="Times New Roman"/>
          <w:sz w:val="24"/>
          <w:szCs w:val="24"/>
        </w:rPr>
        <w:t>2020 wyniosły:</w:t>
      </w:r>
    </w:p>
    <w:p w14:paraId="1D1C061D"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Rok</w:t>
      </w:r>
      <w:r w:rsidRPr="00322697">
        <w:rPr>
          <w:rFonts w:ascii="Times New Roman" w:hAnsi="Times New Roman" w:cs="Times New Roman"/>
          <w:sz w:val="24"/>
          <w:szCs w:val="24"/>
        </w:rPr>
        <w:tab/>
        <w:t>Zebrane śmieci w tys. m</w:t>
      </w:r>
      <w:r w:rsidRPr="00420B12">
        <w:rPr>
          <w:rFonts w:ascii="Times New Roman" w:hAnsi="Times New Roman" w:cs="Times New Roman"/>
          <w:sz w:val="24"/>
          <w:szCs w:val="24"/>
          <w:vertAlign w:val="superscript"/>
        </w:rPr>
        <w:t>3</w:t>
      </w:r>
      <w:r w:rsidRPr="00322697">
        <w:rPr>
          <w:rFonts w:ascii="Times New Roman" w:hAnsi="Times New Roman" w:cs="Times New Roman"/>
          <w:sz w:val="24"/>
          <w:szCs w:val="24"/>
        </w:rPr>
        <w:tab/>
        <w:t>Koszt w mln zł</w:t>
      </w:r>
    </w:p>
    <w:p w14:paraId="5723494C"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2018</w:t>
      </w:r>
      <w:r w:rsidRPr="00322697">
        <w:rPr>
          <w:rFonts w:ascii="Times New Roman" w:hAnsi="Times New Roman" w:cs="Times New Roman"/>
          <w:sz w:val="24"/>
          <w:szCs w:val="24"/>
        </w:rPr>
        <w:tab/>
        <w:t>109,0</w:t>
      </w:r>
      <w:r w:rsidRPr="00322697">
        <w:rPr>
          <w:rFonts w:ascii="Times New Roman" w:hAnsi="Times New Roman" w:cs="Times New Roman"/>
          <w:sz w:val="24"/>
          <w:szCs w:val="24"/>
        </w:rPr>
        <w:tab/>
        <w:t>19,2</w:t>
      </w:r>
    </w:p>
    <w:p w14:paraId="7FBFBC60"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2019</w:t>
      </w:r>
      <w:r w:rsidRPr="00322697">
        <w:rPr>
          <w:rFonts w:ascii="Times New Roman" w:hAnsi="Times New Roman" w:cs="Times New Roman"/>
          <w:sz w:val="24"/>
          <w:szCs w:val="24"/>
        </w:rPr>
        <w:tab/>
        <w:t>107,8</w:t>
      </w:r>
      <w:r w:rsidRPr="00322697">
        <w:rPr>
          <w:rFonts w:ascii="Times New Roman" w:hAnsi="Times New Roman" w:cs="Times New Roman"/>
          <w:sz w:val="24"/>
          <w:szCs w:val="24"/>
        </w:rPr>
        <w:tab/>
        <w:t>19,9</w:t>
      </w:r>
    </w:p>
    <w:p w14:paraId="79AAB1EC"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2020</w:t>
      </w:r>
      <w:r w:rsidRPr="00322697">
        <w:rPr>
          <w:rFonts w:ascii="Times New Roman" w:hAnsi="Times New Roman" w:cs="Times New Roman"/>
          <w:sz w:val="24"/>
          <w:szCs w:val="24"/>
        </w:rPr>
        <w:tab/>
        <w:t>91,0</w:t>
      </w:r>
      <w:r w:rsidRPr="00322697">
        <w:rPr>
          <w:rFonts w:ascii="Times New Roman" w:hAnsi="Times New Roman" w:cs="Times New Roman"/>
          <w:sz w:val="24"/>
          <w:szCs w:val="24"/>
        </w:rPr>
        <w:tab/>
        <w:t>18,6</w:t>
      </w:r>
    </w:p>
    <w:p w14:paraId="24789F1A" w14:textId="57B8F0B0"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lastRenderedPageBreak/>
        <w:t>Jak widać, są to liczby znaczące. W lasach pozostawiono dużą liczbę odpadów, a wysokie koszty ich usunięcia obciążają Państwowe Gospodarstwo Leśne Lasy Państwowe.</w:t>
      </w:r>
    </w:p>
    <w:p w14:paraId="427C5F5E" w14:textId="02A4D90B" w:rsidR="00322697" w:rsidRPr="00322697" w:rsidRDefault="00322697" w:rsidP="00420B12">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Jednocze</w:t>
      </w:r>
      <w:r w:rsidR="002C2391">
        <w:rPr>
          <w:rFonts w:ascii="Times New Roman" w:hAnsi="Times New Roman" w:cs="Times New Roman"/>
          <w:sz w:val="24"/>
          <w:szCs w:val="24"/>
        </w:rPr>
        <w:t>ś</w:t>
      </w:r>
      <w:r w:rsidRPr="00322697">
        <w:rPr>
          <w:rFonts w:ascii="Times New Roman" w:hAnsi="Times New Roman" w:cs="Times New Roman"/>
          <w:sz w:val="24"/>
          <w:szCs w:val="24"/>
        </w:rPr>
        <w:t>nie należy podkreślić, iż w ostatnich latach wzrasta liczba dzikich wysypisk śmieci. Zgodnie z danymi Komendy Głównej Policji, pochodzącymi z Krajowej Mapy Zagrożeń Bezpieczeństwa, w 2018 r. ogółem było 5340 potwierdzonych zgłoszeń, w 2019 r. ogółem było 6830 potwierdzonych zgłoszeń, w 2020 r. ogółem było 9006 potwierdzonych zgłoszeń, a w okresie od 01.01.2021 r. do 30.06.2021 r. ogółem było 4587 potwierdzonych zgłoszeń. Łącznie w okresie od 01.01.2018 r. do 30.06.2021 r. ogółem było 25</w:t>
      </w:r>
      <w:r w:rsidR="000E2EB9">
        <w:rPr>
          <w:rFonts w:ascii="Times New Roman" w:hAnsi="Times New Roman" w:cs="Times New Roman"/>
          <w:sz w:val="24"/>
          <w:szCs w:val="24"/>
        </w:rPr>
        <w:t> </w:t>
      </w:r>
      <w:r w:rsidRPr="00322697">
        <w:rPr>
          <w:rFonts w:ascii="Times New Roman" w:hAnsi="Times New Roman" w:cs="Times New Roman"/>
          <w:sz w:val="24"/>
          <w:szCs w:val="24"/>
        </w:rPr>
        <w:t>763 potwierdzonych zgłoszeń. Zmiany sankcji za wykroczenia są odpowiedzią na zaistniałą sytuację.</w:t>
      </w:r>
    </w:p>
    <w:p w14:paraId="38637875" w14:textId="6CF6717E"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 ustawie z dnia 20 lipca 1991 r. o Inspekcji Ochrony Środowiska (Dz. U. z 2021 r. poz. 1070) zmianie ulega art. 4 ust. 4. Procedowana zmiana ma na celu doprecyzowanie brzmienia ww. przepisu w celu uniknięcia wątpliwości interpretacyjnych w zakresie możliwości powołania więcej niż jednego zastępcy Głównego Inspektora Ochrony Środowiska. Jeden z zastępców Głównego Inspektora Ochrony Środowiska będzie miał w zakresie zadań m.in. nadzór nad zwalczaniem przestępczości środowiskowej. W związku ze zwiększającą się liczbą spraw, prowadzonych w Głównym Inspektoracie Ochrony Środowiska, zachodzi potrzeba wskazania w ustawie expressis verbis możliwości wyodrębnienia stanowiska kierowniczego, którego główną specjalizacją będzie zwalczanie przestępczości środowiskowej. Zakłada się, iż osoba pełniąca tę funkcję będzie posiadała szeroką wiedzę i bogate doświadczenie praktyczne w zakresie zwalczania przestępczości środowiskowej. Zmiana przyczyni się do usprawnienia i udoskonalenia działań Inspekcji Ochrony Środowiska odnośnie do przestępczości środowiskowej. Dlatego dwukrotnie występujący wyraz „zastępcę” zamieniono na wyraz „zastępców”.</w:t>
      </w:r>
    </w:p>
    <w:p w14:paraId="5B10FC24"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Oprócz tego proponuje się zmianę brzmienia art. 10b ust. 3 przez wyłączenia obowiązku okazywania legitymacji w przypadku prowadzenia czynności polegających na:</w:t>
      </w:r>
    </w:p>
    <w:p w14:paraId="35A5D08A"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1)</w:t>
      </w:r>
      <w:r w:rsidRPr="00322697">
        <w:rPr>
          <w:rFonts w:ascii="Times New Roman" w:hAnsi="Times New Roman" w:cs="Times New Roman"/>
          <w:sz w:val="24"/>
          <w:szCs w:val="24"/>
        </w:rPr>
        <w:tab/>
        <w:t>obserwowaniu i rejestrowaniu przy użyciu środków technicznych, w tym technik satelitarnych i bezzałogowych statków powietrznych, obrazu zdarzeń oraz dźwięku towarzyszącego tym zdarzeniom;</w:t>
      </w:r>
    </w:p>
    <w:p w14:paraId="353E0158"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2)</w:t>
      </w:r>
      <w:r w:rsidRPr="00322697">
        <w:rPr>
          <w:rFonts w:ascii="Times New Roman" w:hAnsi="Times New Roman" w:cs="Times New Roman"/>
          <w:sz w:val="24"/>
          <w:szCs w:val="24"/>
        </w:rPr>
        <w:tab/>
        <w:t>gromadzeniu i zabezpieczaniu dowodów popełnienia przestępstwa lub wykroczenia;</w:t>
      </w:r>
    </w:p>
    <w:p w14:paraId="26C66430" w14:textId="456CDBA5"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3)</w:t>
      </w:r>
      <w:r w:rsidRPr="00322697">
        <w:rPr>
          <w:rFonts w:ascii="Times New Roman" w:hAnsi="Times New Roman" w:cs="Times New Roman"/>
          <w:sz w:val="24"/>
          <w:szCs w:val="24"/>
        </w:rPr>
        <w:tab/>
        <w:t>dokonywani</w:t>
      </w:r>
      <w:r w:rsidR="00832DD0">
        <w:rPr>
          <w:rFonts w:ascii="Times New Roman" w:hAnsi="Times New Roman" w:cs="Times New Roman"/>
          <w:sz w:val="24"/>
          <w:szCs w:val="24"/>
        </w:rPr>
        <w:t>u</w:t>
      </w:r>
      <w:r w:rsidRPr="00322697">
        <w:rPr>
          <w:rFonts w:ascii="Times New Roman" w:hAnsi="Times New Roman" w:cs="Times New Roman"/>
          <w:sz w:val="24"/>
          <w:szCs w:val="24"/>
        </w:rPr>
        <w:t xml:space="preserve"> oględzin dostępnych publicznie pomieszczeń i innych miejsc.</w:t>
      </w:r>
    </w:p>
    <w:p w14:paraId="23FE4966" w14:textId="176CCC10"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lastRenderedPageBreak/>
        <w:t xml:space="preserve">Na konieczność znowelizowania art. 10b ust. 3 ustawy o Inspekcji Ochrony Środowiska wpłynęły dotychczasowe doświadczenie IOŚ w zakresie wykonywania uprawnień z art. 10b ust. 2 tej ustawy. W obecnym brzmieniu ustawy inspektorzy, w przypadku powzięcia uzasadnionego podejrzenia popełnienia przestępstw lub wykroczeń przeciwko środowisku, mogą wykonywać szereg czynności wyłącznie po okazaniu legitymacji. Taki stan prawny ogranicza skuteczność Inspekcji Ochrony Środowiska w zakresie przeciwdziałania przestępstwom i wykroczeniom przeciwko środowisku, gdyż faktycznie uniemożliwia prowadzenie obserwacji, a co za tym idzie eliminuje możliwość gromadzenia materiału dowodowego </w:t>
      </w:r>
      <w:r w:rsidR="000E2EB9">
        <w:rPr>
          <w:rFonts w:ascii="Times New Roman" w:hAnsi="Times New Roman" w:cs="Times New Roman"/>
          <w:sz w:val="24"/>
          <w:szCs w:val="24"/>
        </w:rPr>
        <w:t>n</w:t>
      </w:r>
      <w:r w:rsidRPr="00322697">
        <w:rPr>
          <w:rFonts w:ascii="Times New Roman" w:hAnsi="Times New Roman" w:cs="Times New Roman"/>
          <w:sz w:val="24"/>
          <w:szCs w:val="24"/>
        </w:rPr>
        <w:t>a potrzeb</w:t>
      </w:r>
      <w:r w:rsidR="000E2EB9">
        <w:rPr>
          <w:rFonts w:ascii="Times New Roman" w:hAnsi="Times New Roman" w:cs="Times New Roman"/>
          <w:sz w:val="24"/>
          <w:szCs w:val="24"/>
        </w:rPr>
        <w:t>y</w:t>
      </w:r>
      <w:r w:rsidRPr="00322697">
        <w:rPr>
          <w:rFonts w:ascii="Times New Roman" w:hAnsi="Times New Roman" w:cs="Times New Roman"/>
          <w:sz w:val="24"/>
          <w:szCs w:val="24"/>
        </w:rPr>
        <w:t xml:space="preserve"> ewentualnego późniejszego zawiadomienia o możliwości popełnienia przestępstwa lub wniosku o ukaranie.</w:t>
      </w:r>
    </w:p>
    <w:p w14:paraId="6D529E3A"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W ustawie z dnia 28 października 2002 r. o odpowiedzialności podmiotów zbiorowych za czyny zabronione pod groźbą kary (Dz. U. z 2020 r. poz. 358 oraz z 2021 r. poz. 1177) dodano art. 4a. Celem zmiany jest zwiększenie efektywności środków, określonych w tej ustawie, w odniesieniu do zwalczania przestępczości środowiskowej. Aktualnie dostrzegalna jest znikoma skuteczność tych środków. Liczba spraw prowadzonych wobec podmiotów zbiorowych jest niewielka, a nakładane kary są niewysokie. </w:t>
      </w:r>
    </w:p>
    <w:p w14:paraId="158CFE8D"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Efektywność regulacji odnoszących się do odpowiedzialności osób prawnych (podmiotów zbiorowych) ma również istotne znaczenie z uwagi na zobowiązania międzynarodowe Polski względem Unii Europejskiej, Rady Europy i Organizacji Współpracy Gospodarczej i Rozwoju (OECD). Polska ma obowiązek wprowadzenia sprawnie funkcjonującego systemu odpowiedzialności osób prawnych i zapewnienia, by osoby prawne podlegały skutecznym i odstraszającym sankcjom, proporcjonalnym do wagi popełnionych przestępstw. Warto również zauważyć, że w sprawozdaniu końcowym z VIII rundy ewaluacji wzajemnych, poświęconej przestępstwom przeciwko środowisku naturalnemu, przyjętym przez Radę Unii Europejskiej w 2019 r., podkreślono wagę skutecznego karania podmiotów zbiorowych jako niezbędnego warunku zwalczania tego typu przestępczości. </w:t>
      </w:r>
    </w:p>
    <w:p w14:paraId="5D0E14DA"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Proponuje się likwidację warunku odpowiedzialności podmiotów zbiorowych w postaci uprzedniego prawomocnego skazania osoby fizycznej w przypadku popełnienia przestępstw przeciwko środowisku. Art. 4a stanowi lex </w:t>
      </w:r>
      <w:proofErr w:type="spellStart"/>
      <w:r w:rsidRPr="00322697">
        <w:rPr>
          <w:rFonts w:ascii="Times New Roman" w:hAnsi="Times New Roman" w:cs="Times New Roman"/>
          <w:sz w:val="24"/>
          <w:szCs w:val="24"/>
        </w:rPr>
        <w:t>specialis</w:t>
      </w:r>
      <w:proofErr w:type="spellEnd"/>
      <w:r w:rsidRPr="00322697">
        <w:rPr>
          <w:rFonts w:ascii="Times New Roman" w:hAnsi="Times New Roman" w:cs="Times New Roman"/>
          <w:sz w:val="24"/>
          <w:szCs w:val="24"/>
        </w:rPr>
        <w:t xml:space="preserve"> względem art. 4 ustawy (argumentum a </w:t>
      </w:r>
      <w:proofErr w:type="spellStart"/>
      <w:r w:rsidRPr="00322697">
        <w:rPr>
          <w:rFonts w:ascii="Times New Roman" w:hAnsi="Times New Roman" w:cs="Times New Roman"/>
          <w:sz w:val="24"/>
          <w:szCs w:val="24"/>
        </w:rPr>
        <w:t>rubrica</w:t>
      </w:r>
      <w:proofErr w:type="spellEnd"/>
      <w:r w:rsidRPr="00322697">
        <w:rPr>
          <w:rFonts w:ascii="Times New Roman" w:hAnsi="Times New Roman" w:cs="Times New Roman"/>
          <w:sz w:val="24"/>
          <w:szCs w:val="24"/>
        </w:rPr>
        <w:t xml:space="preserve">). Dotychczas możliwość pociągnięcia podmiotu zbiorowego do odpowiedzialności była zawsze uzależniona od uprzedniego skazania, warunkowego umorzenia postępowania bądź orzeczenia o udzieleniu tej osobie zezwolenia na dobrowolne poddanie się odpowiedzialności albo orzeczenia sądu o umorzeniu przeciwko niej postępowania z powodu okoliczności </w:t>
      </w:r>
      <w:r w:rsidRPr="00322697">
        <w:rPr>
          <w:rFonts w:ascii="Times New Roman" w:hAnsi="Times New Roman" w:cs="Times New Roman"/>
          <w:sz w:val="24"/>
          <w:szCs w:val="24"/>
        </w:rPr>
        <w:lastRenderedPageBreak/>
        <w:t>wyłączającej ukaranie sprawcy (art. 4 ustawy). Charakter wtórny odpowiedzialności podmiotu zbiorowego przyczynił się w znacznej mierze do rzadkiego stosowania przepisów ustawy.</w:t>
      </w:r>
    </w:p>
    <w:p w14:paraId="0042E0CA"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Ta oparta na prejudykacie konstrukcja, będąca podstawowym elementem obecnej procedury, została przyjęta głównie z przyczyn praktycznych. Żaden z międzynarodowych aktów prawnych wiążących Polskę nie uzależnia odpowiedzialności podmiotu zbiorowego od uprzedniego osądzenia sprawcy przestępstwa popełnionego na jego korzyść. Aktualne rozwiązanie jest od wielu lat krytykowane przez organizacje międzynarodowe zajmujące się zagadnieniem odpowiedzialności osób prawnych.</w:t>
      </w:r>
    </w:p>
    <w:p w14:paraId="20B666F3"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W świetle wiążących Polskę instrumentów międzynarodowych warunek prejudykatu postrzegany jest jako utrudnienie wobec efektywnego i skutecznego karania osób prawnych proporcjonalnymi i odstraszającymi sankcjami. Mając na uwadze zasadę pacta </w:t>
      </w:r>
      <w:proofErr w:type="spellStart"/>
      <w:r w:rsidRPr="00322697">
        <w:rPr>
          <w:rFonts w:ascii="Times New Roman" w:hAnsi="Times New Roman" w:cs="Times New Roman"/>
          <w:sz w:val="24"/>
          <w:szCs w:val="24"/>
        </w:rPr>
        <w:t>sunt</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servanda</w:t>
      </w:r>
      <w:proofErr w:type="spellEnd"/>
      <w:r w:rsidRPr="00322697">
        <w:rPr>
          <w:rFonts w:ascii="Times New Roman" w:hAnsi="Times New Roman" w:cs="Times New Roman"/>
          <w:sz w:val="24"/>
          <w:szCs w:val="24"/>
        </w:rPr>
        <w:t>, aktualny stan prawny może być źródłem zastrzeżeń co do skuteczności implementacji poszczególnych umów międzynarodowych. Rozwiązanie zaproponowane w art. 4a występuje także w innych państwach. Zgodnie z art. 102 ust. 1 szwajcarskiego kodeksu karnego (</w:t>
      </w:r>
      <w:proofErr w:type="spellStart"/>
      <w:r w:rsidRPr="00322697">
        <w:rPr>
          <w:rFonts w:ascii="Times New Roman" w:hAnsi="Times New Roman" w:cs="Times New Roman"/>
          <w:sz w:val="24"/>
          <w:szCs w:val="24"/>
        </w:rPr>
        <w:t>Schweizerisches</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Strafgesetzbuch</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vom</w:t>
      </w:r>
      <w:proofErr w:type="spellEnd"/>
      <w:r w:rsidRPr="00322697">
        <w:rPr>
          <w:rFonts w:ascii="Times New Roman" w:hAnsi="Times New Roman" w:cs="Times New Roman"/>
          <w:sz w:val="24"/>
          <w:szCs w:val="24"/>
        </w:rPr>
        <w:t xml:space="preserve"> 21. </w:t>
      </w:r>
      <w:proofErr w:type="spellStart"/>
      <w:r w:rsidRPr="00322697">
        <w:rPr>
          <w:rFonts w:ascii="Times New Roman" w:hAnsi="Times New Roman" w:cs="Times New Roman"/>
          <w:sz w:val="24"/>
          <w:szCs w:val="24"/>
        </w:rPr>
        <w:t>Dezember</w:t>
      </w:r>
      <w:proofErr w:type="spellEnd"/>
      <w:r w:rsidRPr="00322697">
        <w:rPr>
          <w:rFonts w:ascii="Times New Roman" w:hAnsi="Times New Roman" w:cs="Times New Roman"/>
          <w:sz w:val="24"/>
          <w:szCs w:val="24"/>
        </w:rPr>
        <w:t xml:space="preserve"> 1937 (Stand </w:t>
      </w:r>
      <w:proofErr w:type="spellStart"/>
      <w:r w:rsidRPr="00322697">
        <w:rPr>
          <w:rFonts w:ascii="Times New Roman" w:hAnsi="Times New Roman" w:cs="Times New Roman"/>
          <w:sz w:val="24"/>
          <w:szCs w:val="24"/>
        </w:rPr>
        <w:t>am</w:t>
      </w:r>
      <w:proofErr w:type="spellEnd"/>
      <w:r w:rsidRPr="00322697">
        <w:rPr>
          <w:rFonts w:ascii="Times New Roman" w:hAnsi="Times New Roman" w:cs="Times New Roman"/>
          <w:sz w:val="24"/>
          <w:szCs w:val="24"/>
        </w:rPr>
        <w:t xml:space="preserve"> 1. Juli 2021), AS 54 757, https://www.fedlex.admin.ch/eli/cc/54/757_781_799/de, dostęp: 06.12.2021 r.) przedsiębiorstwo ponosi odpowiedzialność</w:t>
      </w:r>
      <w:r w:rsidR="000E2EB9">
        <w:rPr>
          <w:rFonts w:ascii="Times New Roman" w:hAnsi="Times New Roman" w:cs="Times New Roman"/>
          <w:sz w:val="24"/>
          <w:szCs w:val="24"/>
        </w:rPr>
        <w:t>,</w:t>
      </w:r>
      <w:r w:rsidRPr="00322697">
        <w:rPr>
          <w:rFonts w:ascii="Times New Roman" w:hAnsi="Times New Roman" w:cs="Times New Roman"/>
          <w:sz w:val="24"/>
          <w:szCs w:val="24"/>
        </w:rPr>
        <w:t xml:space="preserve"> gdy przestępstwo zostało popełnione w ramach działalności gospodarczej tego przedsiębiorstwa, a na skutek wadliwej organizacji przedsiębiorstwa nie można przypisać czynu konkretnej osobie fizycznej. Sankcją, stosowaną wobec takiego podmiotu, jest grzywna w wysokości do 5 000 000 franków szwajcarskich. Natomiast art. 102 ust. 2 szwajcarskiego kodeksu karnego stanowi, iż w przypadku niektórych przestępstw (udział lub wspieranie organizacji przestępczych lub terrorystycznych, finansowanie terroryzmu, pranie brudnych pieniędzy, przekupstwo) przedsiębiorstwo jest karane niezależne od karalności osoby fizycznej, jeżeli przedsiębiorstwu zarzuca się, że nie przedsięwzięło ono wszystkich niezbędnych i możliwych organizacyjnych środków zaradczych w celu zapobieżenia takiego przestępstwa.</w:t>
      </w:r>
    </w:p>
    <w:p w14:paraId="10982949"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Należy przy tym podkreślić, że pomimo likwidacji wymogu prejudykatu w przypadku popełnienia przestępstw przeciwko środowisku niniejszy projekt nie zakłada wszczynania i prowadzenia postępowania przygotowawczego w sprawie odpowiedzialności podmiotu zbiorowego. Postępowanie dowodowe w tej mierze ma się – co do zasady – toczyć przed sądem. Odpowiednie ustalenia, pozwalające na skierowanie wniosku w przedmiocie odpowiedzialności podmiotu zbiorowego, dokonywane będą w ramach postępowania </w:t>
      </w:r>
      <w:r w:rsidRPr="00322697">
        <w:rPr>
          <w:rFonts w:ascii="Times New Roman" w:hAnsi="Times New Roman" w:cs="Times New Roman"/>
          <w:sz w:val="24"/>
          <w:szCs w:val="24"/>
        </w:rPr>
        <w:lastRenderedPageBreak/>
        <w:t>przygotowawczego toczącego się w sprawie danego czynu zabronionego (in rem) albo przeciwko sprawcy takiego czynu (in personam).</w:t>
      </w:r>
    </w:p>
    <w:p w14:paraId="38748F71" w14:textId="1A3233F6"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Oprócz tego dodano nowy art. 7a. Stanowi on lex </w:t>
      </w:r>
      <w:proofErr w:type="spellStart"/>
      <w:r w:rsidRPr="00322697">
        <w:rPr>
          <w:rFonts w:ascii="Times New Roman" w:hAnsi="Times New Roman" w:cs="Times New Roman"/>
          <w:sz w:val="24"/>
          <w:szCs w:val="24"/>
        </w:rPr>
        <w:t>specialis</w:t>
      </w:r>
      <w:proofErr w:type="spellEnd"/>
      <w:r w:rsidRPr="00322697">
        <w:rPr>
          <w:rFonts w:ascii="Times New Roman" w:hAnsi="Times New Roman" w:cs="Times New Roman"/>
          <w:sz w:val="24"/>
          <w:szCs w:val="24"/>
        </w:rPr>
        <w:t xml:space="preserve"> względem art. 7 ustawy (argumentum a </w:t>
      </w:r>
      <w:proofErr w:type="spellStart"/>
      <w:r w:rsidRPr="00322697">
        <w:rPr>
          <w:rFonts w:ascii="Times New Roman" w:hAnsi="Times New Roman" w:cs="Times New Roman"/>
          <w:sz w:val="24"/>
          <w:szCs w:val="24"/>
        </w:rPr>
        <w:t>rubrica</w:t>
      </w:r>
      <w:proofErr w:type="spellEnd"/>
      <w:r w:rsidRPr="00322697">
        <w:rPr>
          <w:rFonts w:ascii="Times New Roman" w:hAnsi="Times New Roman" w:cs="Times New Roman"/>
          <w:sz w:val="24"/>
          <w:szCs w:val="24"/>
        </w:rPr>
        <w:t>). Art. 7 ustawy w obecnym brzmieniu przewiduje możliwość orzekania kar pieniężnych w wysokości od 1000 do 5 000 000 złotych, przy czym orzeczona kara nie może przekroczyć 3% przychodu osiągniętego w roku obrotowym, w którym popełniono czyn zabroniony. Maksymalny dopuszczalny wymiar kary pieniężnej jest zatem każdorazowo ograniczony wysokością przychodów osiąganych przez podmiot zbiorowy. Rozwiązanie to w założeniu miało przyczyniać się do racjonalności orzekanych kar pieniężnych przez powiązanie ich wysokości z osiąganymi przez podmiot zbiorowy wynikami finansowymi. W praktyce jednak podmiot zbiorowy, niezależnie od swoich rozmiarów, kapitału zakładowego, posiadanego majątku czy też pozycji gospodarczej, może nie osiągnąć przychodów lub posiadać jedynie niskie przychody w konkretnym roku podatkowym. Gdy podmiot nie osiągnie przychodu wówczas brak jest na gruncie omawianego przepisu podstawy do określenia wysokości sankcji. W przypadku podmiotów osiągających przychody na niskim poziomie dostępna sankcja uzależniona od wysokości przychodu w sposób opisany wyżej może okazać się niewystarczającą w stosunku do wagi popełnionego przestępstwa.</w:t>
      </w:r>
    </w:p>
    <w:p w14:paraId="6AAFA52F" w14:textId="130019B8"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Na możliwą nieskuteczność kar wymierzanych na podstawie rozwiązań przyjętych w art. 7 ustawy stale zwracała uwagę OECD podczas kolejnych przeglądów Polski. Grupa Robocza OECD ds. Przekupstwa w Międzynarodowych Transakcjach Handlowych wielokrotnie wyrażała zaniepokojenie, że przedsiębiorstwo wykazujące brak lub jedynie niskie przychody nie będzie podlegać karze pieniężnej lub będzie podlegać karze bardzo niskiej niezależnie od wysokości posiadanych aktywów. Warto zwrócić uwagę, że także w wyroku Trybunału Konstytucyjnego z dnia 3 listopada 2004 r., sygn. akt K 18/03, OTK-A 2004/10/103, stwierdzono, iż „(…) ustawodawca nie przewiduje szczególnych rozwiązań na wypadek, gdy podmiot zbiorowy nie osiągnął przychodu”.</w:t>
      </w:r>
    </w:p>
    <w:p w14:paraId="6F60F2AF" w14:textId="05E767E9"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Zrezygnowanie w przypadku popełnienia przestępstw przeciwko środowisku z ograniczenia wymiaru kar pieniężnych przez powiązanie ich z wysokością przychodu należy zatem uznać za uzasadnione. Jakkolwiek przesłanką takiego rozwiązania jest uzasadnione dążenie do dostosowania kar pieniężnych do sytuacji finansowej podmiotu, niemniej przepisy te nie powinny doprowadzać do sytuacji, w której system odpowiedzialności podmiotów zbiorowych okazuje się w pewnych sytuacjach nieskuteczny. Z tego względu uznać należy, iż dla prawidłowego miarkowania kary pieniężnej przez sąd wystarczające będą dyrektywy wymiaru </w:t>
      </w:r>
      <w:r w:rsidRPr="00322697">
        <w:rPr>
          <w:rFonts w:ascii="Times New Roman" w:hAnsi="Times New Roman" w:cs="Times New Roman"/>
          <w:sz w:val="24"/>
          <w:szCs w:val="24"/>
        </w:rPr>
        <w:lastRenderedPageBreak/>
        <w:t xml:space="preserve">kary zawarte w art. 10 ustawy. Przepis ten stanowi m.in., że sąd między innymi powinien uwzględnić sytuację majątkową podmiotu zbiorowego oraz wpływ ukarania na jego dalsze funkcjonowanie. </w:t>
      </w:r>
    </w:p>
    <w:p w14:paraId="754B1204"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W przypadku popełnienia przestępstw przeciwko środowisku przewiduje się również podniesienie progu zagrożenia kary pieniężnej do 10 000 zł. Dotychczasowa dolna granica kary pieniężnej nie jest adekwatna do wagi popełnionych czynów i często stanowi nieznaczny procent wartości szkody, wyrządzonej na skutek popełnienia przestępstw przeciwko środowisku. </w:t>
      </w:r>
    </w:p>
    <w:p w14:paraId="5BFF19C3"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Ponadto w art. 16 w ust. 1 w pkt 8 w lit. a ustawy rozszerzono odesłanie do przepisów Kodeksu karnego. Proponuje się, aby odtąd podmiot zbiorowy podlegał odpowiedzialności na podstawie ustawy, jeżeli osoba, o której mowa w art. 3, popełniła przestępstwo przeciwko środowisku, określone w rozdziale XXII Kodeksu karnego. W aktualnym stanie prawnym nie ma odesłania do art. 185 Kodeksu karnego. Jest to ważny przepis, sankcjonujący typy kwalifikowane przestępstw przeciwko środowisku. Zdaniem projektodawcy jest to istotne pominięcie prawodawcze, które powinno być niezwłocznie usunięte. W wyroku Trybunału Konstytucyjnego z dnia 6 listopada 2012 r., sygn. akt K 21/11, OTK-A 2012/10/119, wskazano, iż „Z przypadkiem pominięcia, który w praktyce nastręcza najwięcej trudności, mamy do czynienia wtedy, gdy w rozważanej regulacji prawnej nie uwzględniono pewnych podmiotów czy sytuacji, co może być konsekwencją nietrafnego doboru cech relewantnych, ze względu na które jakieś inne podmioty lub sytuacje zostały wyróżnione, albo wprowadzenia nieuzasadnionego zróżnicowania.”.</w:t>
      </w:r>
    </w:p>
    <w:p w14:paraId="7486DA15" w14:textId="79B4B643"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 ustawie o ochronie przyrody, przez dodanie art. 130a i jedno</w:t>
      </w:r>
      <w:r w:rsidR="00285FE5">
        <w:rPr>
          <w:rFonts w:ascii="Times New Roman" w:hAnsi="Times New Roman" w:cs="Times New Roman"/>
          <w:sz w:val="24"/>
          <w:szCs w:val="24"/>
        </w:rPr>
        <w:t>cze</w:t>
      </w:r>
      <w:r w:rsidR="002C2391">
        <w:rPr>
          <w:rFonts w:ascii="Times New Roman" w:hAnsi="Times New Roman" w:cs="Times New Roman"/>
          <w:sz w:val="24"/>
          <w:szCs w:val="24"/>
        </w:rPr>
        <w:t>ś</w:t>
      </w:r>
      <w:r w:rsidR="00285FE5">
        <w:rPr>
          <w:rFonts w:ascii="Times New Roman" w:hAnsi="Times New Roman" w:cs="Times New Roman"/>
          <w:sz w:val="24"/>
          <w:szCs w:val="24"/>
        </w:rPr>
        <w:t>n</w:t>
      </w:r>
      <w:r w:rsidR="002C2391">
        <w:rPr>
          <w:rFonts w:ascii="Times New Roman" w:hAnsi="Times New Roman" w:cs="Times New Roman"/>
          <w:sz w:val="24"/>
          <w:szCs w:val="24"/>
        </w:rPr>
        <w:t>i</w:t>
      </w:r>
      <w:r w:rsidR="00285FE5">
        <w:rPr>
          <w:rFonts w:ascii="Times New Roman" w:hAnsi="Times New Roman" w:cs="Times New Roman"/>
          <w:sz w:val="24"/>
          <w:szCs w:val="24"/>
        </w:rPr>
        <w:t>e uchylenie w art. 131 pkt </w:t>
      </w:r>
      <w:r w:rsidRPr="00322697">
        <w:rPr>
          <w:rFonts w:ascii="Times New Roman" w:hAnsi="Times New Roman" w:cs="Times New Roman"/>
          <w:sz w:val="24"/>
          <w:szCs w:val="24"/>
        </w:rPr>
        <w:t>12, proponuje się uzupełnić katalog kar za wypalanie łąk, pastwisk, nieużytków, rowów, pasów przydrożnych, obszarów kolejowych, trzcinowisk lub szuwarów o karę ograniczenia wolności. Orzeczenie tej kary, zgodnie z art. 20 § 2 pkt 2 Kodeksu wykroczeń, dodatkowo będzie skutkowało dla ukaranego obowiązkiem wykonywania nieodpłatnej kontrolowanej pracy na cele społeczne. W przypadku ukarania</w:t>
      </w:r>
      <w:r w:rsidR="000E2EB9">
        <w:rPr>
          <w:rFonts w:ascii="Times New Roman" w:hAnsi="Times New Roman" w:cs="Times New Roman"/>
          <w:sz w:val="24"/>
          <w:szCs w:val="24"/>
        </w:rPr>
        <w:t xml:space="preserve"> </w:t>
      </w:r>
      <w:r w:rsidRPr="00322697">
        <w:rPr>
          <w:rFonts w:ascii="Times New Roman" w:hAnsi="Times New Roman" w:cs="Times New Roman"/>
          <w:sz w:val="24"/>
          <w:szCs w:val="24"/>
        </w:rPr>
        <w:t>za to wykroczenie można będzie także orzec obowiązek przywrócenia stanu poprzedniego. Ponadto w dodanym art. 130a przewiduje się także podwyższenie górnej granicy grzywny do kwoty 30 000 złotych. Możliwość taką daje art. 24 § 1 Kodeksu wykroczeń, zgodnie z którym grzywnę</w:t>
      </w:r>
      <w:r w:rsidR="00285FE5">
        <w:rPr>
          <w:rFonts w:ascii="Times New Roman" w:hAnsi="Times New Roman" w:cs="Times New Roman"/>
          <w:sz w:val="24"/>
          <w:szCs w:val="24"/>
        </w:rPr>
        <w:t xml:space="preserve"> wymierza się w wysokości od 20 </w:t>
      </w:r>
      <w:r w:rsidRPr="00322697">
        <w:rPr>
          <w:rFonts w:ascii="Times New Roman" w:hAnsi="Times New Roman" w:cs="Times New Roman"/>
          <w:sz w:val="24"/>
          <w:szCs w:val="24"/>
        </w:rPr>
        <w:t>do 5000 złotych, chyba że ustawa stanowi inaczej. Rozwiązanie takie już funkcjonuje w obrocie prawnym, tj. dla przykładu w ustawie z dnia 10 lipca 2008 r. o odpadach wydobywczych (Dz. U. z 2021 r. poz. 1972).</w:t>
      </w:r>
    </w:p>
    <w:p w14:paraId="74693D01"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lastRenderedPageBreak/>
        <w:t>Ponadto proponuje się, aby w ustawie z dnia 21 października 2016 r. o umowie koncesji na roboty budowlane lub usługi (Dz. U. z 2021 r. poz. 541) w art. 32 w ust. 1</w:t>
      </w:r>
      <w:r w:rsidR="00325C54">
        <w:rPr>
          <w:rFonts w:ascii="Times New Roman" w:hAnsi="Times New Roman" w:cs="Times New Roman"/>
          <w:sz w:val="24"/>
          <w:szCs w:val="24"/>
        </w:rPr>
        <w:t xml:space="preserve"> </w:t>
      </w:r>
      <w:r w:rsidRPr="00322697">
        <w:rPr>
          <w:rFonts w:ascii="Times New Roman" w:hAnsi="Times New Roman" w:cs="Times New Roman"/>
          <w:sz w:val="24"/>
          <w:szCs w:val="24"/>
        </w:rPr>
        <w:t>w pkt 1 dodać literę „i” o następującym brzmieniu: „i) przeciwko środowisku, o którym mowa w rozdziale XXII Kodeksu karnego, popełnione umyślnie”. W związku z tym</w:t>
      </w:r>
      <w:r w:rsidR="00325C54">
        <w:rPr>
          <w:rFonts w:ascii="Times New Roman" w:hAnsi="Times New Roman" w:cs="Times New Roman"/>
          <w:sz w:val="24"/>
          <w:szCs w:val="24"/>
        </w:rPr>
        <w:t xml:space="preserve"> </w:t>
      </w:r>
      <w:r w:rsidRPr="00322697">
        <w:rPr>
          <w:rFonts w:ascii="Times New Roman" w:hAnsi="Times New Roman" w:cs="Times New Roman"/>
          <w:sz w:val="24"/>
          <w:szCs w:val="24"/>
        </w:rPr>
        <w:t>w art. 32 w ust. 2 w pkt 2 w lit. a po zwrocie: „przestępstwo przeciwko środowisku, o którym mowa w rozdziale XXII Kodeksu karnego” dodano po przecinku słowa „popełnione nieumyślnie”. Warto wskazać, że zgodnie z § 44 ust. 1 pkt 5 austriackiej ustawy o udzielaniu koncesji (</w:t>
      </w:r>
      <w:proofErr w:type="spellStart"/>
      <w:r w:rsidRPr="00322697">
        <w:rPr>
          <w:rFonts w:ascii="Times New Roman" w:hAnsi="Times New Roman" w:cs="Times New Roman"/>
          <w:sz w:val="24"/>
          <w:szCs w:val="24"/>
        </w:rPr>
        <w:t>Bundesgesetz</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über</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die</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Vergabe</w:t>
      </w:r>
      <w:proofErr w:type="spellEnd"/>
      <w:r w:rsidRPr="00322697">
        <w:rPr>
          <w:rFonts w:ascii="Times New Roman" w:hAnsi="Times New Roman" w:cs="Times New Roman"/>
          <w:sz w:val="24"/>
          <w:szCs w:val="24"/>
        </w:rPr>
        <w:t xml:space="preserve"> von </w:t>
      </w:r>
      <w:proofErr w:type="spellStart"/>
      <w:r w:rsidRPr="00322697">
        <w:rPr>
          <w:rFonts w:ascii="Times New Roman" w:hAnsi="Times New Roman" w:cs="Times New Roman"/>
          <w:sz w:val="24"/>
          <w:szCs w:val="24"/>
        </w:rPr>
        <w:t>Konzessionsverträgen</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Bundesvergabegesetz</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Konzessionen</w:t>
      </w:r>
      <w:proofErr w:type="spellEnd"/>
      <w:r w:rsidRPr="00322697">
        <w:rPr>
          <w:rFonts w:ascii="Times New Roman" w:hAnsi="Times New Roman" w:cs="Times New Roman"/>
          <w:sz w:val="24"/>
          <w:szCs w:val="24"/>
        </w:rPr>
        <w:t xml:space="preserve"> 2018 – </w:t>
      </w:r>
      <w:proofErr w:type="spellStart"/>
      <w:r w:rsidRPr="00322697">
        <w:rPr>
          <w:rFonts w:ascii="Times New Roman" w:hAnsi="Times New Roman" w:cs="Times New Roman"/>
          <w:sz w:val="24"/>
          <w:szCs w:val="24"/>
        </w:rPr>
        <w:t>BVergGKonz</w:t>
      </w:r>
      <w:proofErr w:type="spellEnd"/>
      <w:r w:rsidRPr="00322697">
        <w:rPr>
          <w:rFonts w:ascii="Times New Roman" w:hAnsi="Times New Roman" w:cs="Times New Roman"/>
          <w:sz w:val="24"/>
          <w:szCs w:val="24"/>
        </w:rPr>
        <w:t xml:space="preserve"> 2018), </w:t>
      </w:r>
      <w:proofErr w:type="spellStart"/>
      <w:r w:rsidRPr="00322697">
        <w:rPr>
          <w:rFonts w:ascii="Times New Roman" w:hAnsi="Times New Roman" w:cs="Times New Roman"/>
          <w:sz w:val="24"/>
          <w:szCs w:val="24"/>
        </w:rPr>
        <w:t>StF</w:t>
      </w:r>
      <w:proofErr w:type="spellEnd"/>
      <w:r w:rsidRPr="00322697">
        <w:rPr>
          <w:rFonts w:ascii="Times New Roman" w:hAnsi="Times New Roman" w:cs="Times New Roman"/>
          <w:sz w:val="24"/>
          <w:szCs w:val="24"/>
        </w:rPr>
        <w:t xml:space="preserve">: </w:t>
      </w:r>
      <w:proofErr w:type="spellStart"/>
      <w:r w:rsidRPr="00322697">
        <w:rPr>
          <w:rFonts w:ascii="Times New Roman" w:hAnsi="Times New Roman" w:cs="Times New Roman"/>
          <w:sz w:val="24"/>
          <w:szCs w:val="24"/>
        </w:rPr>
        <w:t>BGBl</w:t>
      </w:r>
      <w:proofErr w:type="spellEnd"/>
      <w:r w:rsidRPr="00322697">
        <w:rPr>
          <w:rFonts w:ascii="Times New Roman" w:hAnsi="Times New Roman" w:cs="Times New Roman"/>
          <w:sz w:val="24"/>
          <w:szCs w:val="24"/>
        </w:rPr>
        <w:t xml:space="preserve">. </w:t>
      </w:r>
      <w:r w:rsidRPr="00325C54">
        <w:rPr>
          <w:rFonts w:ascii="Times New Roman" w:hAnsi="Times New Roman" w:cs="Times New Roman"/>
          <w:sz w:val="24"/>
          <w:szCs w:val="24"/>
          <w:lang w:val="de-DE"/>
        </w:rPr>
        <w:t xml:space="preserve">I Nr. 65/2018 (NR: GP XXVI RV 69 AB 96 S. 21. BR: AB 9961 S. 879.), letzte Änderung: BGBl. </w:t>
      </w:r>
      <w:r w:rsidRPr="00322697">
        <w:rPr>
          <w:rFonts w:ascii="Times New Roman" w:hAnsi="Times New Roman" w:cs="Times New Roman"/>
          <w:sz w:val="24"/>
          <w:szCs w:val="24"/>
        </w:rPr>
        <w:t>I Nr. 100/2018 (NR: GP XXVI RV 329 AB 413 S. 57. BR: 10079 AB 10082 S. 888.), https://www.ris.bka.gv.at/GeltendeFassung.wxe?Abfrage=Bundesnormen&amp;</w:t>
      </w:r>
      <w:r w:rsidR="00325C54">
        <w:rPr>
          <w:rFonts w:ascii="Times New Roman" w:hAnsi="Times New Roman" w:cs="Times New Roman"/>
          <w:sz w:val="24"/>
          <w:szCs w:val="24"/>
        </w:rPr>
        <w:br/>
      </w:r>
      <w:proofErr w:type="spellStart"/>
      <w:r w:rsidRPr="00322697">
        <w:rPr>
          <w:rFonts w:ascii="Times New Roman" w:hAnsi="Times New Roman" w:cs="Times New Roman"/>
          <w:sz w:val="24"/>
          <w:szCs w:val="24"/>
        </w:rPr>
        <w:t>Gesetzesnummer</w:t>
      </w:r>
      <w:proofErr w:type="spellEnd"/>
      <w:r w:rsidRPr="00322697">
        <w:rPr>
          <w:rFonts w:ascii="Times New Roman" w:hAnsi="Times New Roman" w:cs="Times New Roman"/>
          <w:sz w:val="24"/>
          <w:szCs w:val="24"/>
        </w:rPr>
        <w:t>=20010294, dostęp: 09.12.2021 r.) zamawiający obligatoryjnie wyklucza z postępowania przedsiębiorcę, poważnie naruszającego w ramach swojej działalności przepisy dotyczące m.in. ochrony środowiska, co zostało udowodnione przez zamawiającego.</w:t>
      </w:r>
    </w:p>
    <w:p w14:paraId="0456466E"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Proponowana zmiana zapewni wykluczenie z procesu udzielenia zamówienia przez podmioty publiczne sprawców przestępstw środowiskowych, popełnionych umyślnie. Zgodnie z aktualnym brzmieniem przepisów wykluczenie z powodu popełnienia umyślnie przestępstwa przeciwko środowisku jest możliwe, ale nie jest obligatoryjne, również</w:t>
      </w:r>
      <w:r w:rsidR="00325C54">
        <w:rPr>
          <w:rFonts w:ascii="Times New Roman" w:hAnsi="Times New Roman" w:cs="Times New Roman"/>
          <w:sz w:val="24"/>
          <w:szCs w:val="24"/>
        </w:rPr>
        <w:t xml:space="preserve"> </w:t>
      </w:r>
      <w:r w:rsidRPr="00322697">
        <w:rPr>
          <w:rFonts w:ascii="Times New Roman" w:hAnsi="Times New Roman" w:cs="Times New Roman"/>
          <w:sz w:val="24"/>
          <w:szCs w:val="24"/>
        </w:rPr>
        <w:t>w postępowaniach rozpisanych przez podmioty publiczne. Oznacza to, że każdorazowo konkretny zamawiający samodzielnie dokonuje oceny, czy godzi się na udzielenie zamówienia komuś, kto wcześniej złamał prawo, szkodząc tym samym środowisku. Taka regulacja, z punktu widzenia prawa ochrony środowiska, jest nie do zaakceptowania.</w:t>
      </w:r>
    </w:p>
    <w:p w14:paraId="7CD88F32"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W ustawie dodano także przepis przejściowy, odnoszący się do postępowań o zawarcie umowy koncesji na roboty budowlane lub usługi, a także do umów koncesji na roboty budowlane lub usługi zawartych w następstwie postępowań o zawarcie umowy koncesji na roboty budowlane lub usługi wszczętych przed dniem wejścia w życie niniejszej ustawy. Zgodnie z art. 7 stosuje się przepisy dotychczasowe.</w:t>
      </w:r>
    </w:p>
    <w:p w14:paraId="1AFA7BEF"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Projektodawca ma świadomość, że proponowane w niniejszej ustawie zagrożenia karne przestępstw przeciwko środowisku sytuują te czyny wśród przestępstw zagrożonych najsurowszymi karami w systemie prawa polskiego, np. spowodowanie ciężkiego uszczerbku na zdrowiu (art. 156 § 1 kk), piractwo (art. 166 kk) czy podrobienie lub przerobienie faktury (art. 270a kk, typ kwalifikowany: art. 277a kk). Podobnie proponowane brzmienie</w:t>
      </w:r>
      <w:r w:rsidR="00325C54">
        <w:rPr>
          <w:rFonts w:ascii="Times New Roman" w:hAnsi="Times New Roman" w:cs="Times New Roman"/>
          <w:sz w:val="24"/>
          <w:szCs w:val="24"/>
        </w:rPr>
        <w:t xml:space="preserve"> </w:t>
      </w:r>
      <w:r w:rsidRPr="00322697">
        <w:rPr>
          <w:rFonts w:ascii="Times New Roman" w:hAnsi="Times New Roman" w:cs="Times New Roman"/>
          <w:sz w:val="24"/>
          <w:szCs w:val="24"/>
        </w:rPr>
        <w:t xml:space="preserve">art. 10b ust. 3 ustawy o Inspekcji Ochrony Środowiska, nadające nowe uprawnienia inspektorom Inspekcji </w:t>
      </w:r>
      <w:r w:rsidRPr="00322697">
        <w:rPr>
          <w:rFonts w:ascii="Times New Roman" w:hAnsi="Times New Roman" w:cs="Times New Roman"/>
          <w:sz w:val="24"/>
          <w:szCs w:val="24"/>
        </w:rPr>
        <w:lastRenderedPageBreak/>
        <w:t>Ochrony Środowiska, zmieniane przepisy ustawy o umowie koncesji na roboty budowlane lub usługi oraz nowe przepisy, dodawane do ustawy z dnia</w:t>
      </w:r>
      <w:r w:rsidR="00325C54">
        <w:rPr>
          <w:rFonts w:ascii="Times New Roman" w:hAnsi="Times New Roman" w:cs="Times New Roman"/>
          <w:sz w:val="24"/>
          <w:szCs w:val="24"/>
        </w:rPr>
        <w:t xml:space="preserve"> </w:t>
      </w:r>
      <w:r w:rsidRPr="00322697">
        <w:rPr>
          <w:rFonts w:ascii="Times New Roman" w:hAnsi="Times New Roman" w:cs="Times New Roman"/>
          <w:sz w:val="24"/>
          <w:szCs w:val="24"/>
        </w:rPr>
        <w:t>28 października 2002 r. o odpowiedzialności podmiotów zbiorowych za czyny zabronione pod groźbą kary mogą budzić wątpliwości odnośnie do proporcjonalności przedstawionych rozwiązań. Art. 31 ust. 3 Konstytucji RP stanowi, iż ograniczenia w zakresie korzystania z konstytucyjnych wolności i praw mogą być ustanawiane tylko w ustawie i tylko wtedy, gdy są konieczne w demokratycznym państwie dla jego bezpieczeństwa lub porządku publicznego, bądź dla ochrony środowiska, zdrowia i moralności publicznej, albo wolności i praw innych osób. Ograniczenia te nie mogą naruszać istoty wolności i praw. Zgodnie z wyrokiem Trybunału Konstytucyjnego z dnia 25 listopada 2008 r., sygn. akt K 5/08, OTK-A 2008/9/159, „Test proporcjonalności badanych przepisów (…) wymaga bowiem oceny w dwóch płaszczyznach czy etapach: w relacji do wolności (prawa) ograniczanego i w relacji do prawa (wolności), ze względu na które ustawodawca dokonał ograniczenia (…)”.</w:t>
      </w:r>
    </w:p>
    <w:p w14:paraId="16714297"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Należy zwrócić uwagę na fakt, iż szkodliwe skutki przestępstw przeciwko środowisku są trudne do usunięcia. Konsekwencją tych przestępstw jest istnienie zagrożenia dla zdrowia i życia ludzi oraz innych organizmów żywych nie tylko w najbliższych latach, ale również przez kolejne dekady, gdy doszło do trwałego zniszczenia zasobów przyrodniczych (np. wyciek substancji). Czyny wyczerpujące znamiona przestępstw przeciwko środowisku były dotychczas zagrożone sankcjami karnymi. Jednak ściganie tych czynów oraz orzekane kary nie zapewniały skutecznej walki z tą przestępczością. Zgodnie z przedstawionymi na początku statystykami, liczba przestępstw zamiast spadać utrzymywała się na stałym poziomie, a nawet w niektórych przypadkach w ostatnich latach wzrosła (np. art. 182</w:t>
      </w:r>
      <w:r w:rsidR="00325C54">
        <w:rPr>
          <w:rFonts w:ascii="Times New Roman" w:hAnsi="Times New Roman" w:cs="Times New Roman"/>
          <w:sz w:val="24"/>
          <w:szCs w:val="24"/>
        </w:rPr>
        <w:t xml:space="preserve"> </w:t>
      </w:r>
      <w:r w:rsidRPr="00322697">
        <w:rPr>
          <w:rFonts w:ascii="Times New Roman" w:hAnsi="Times New Roman" w:cs="Times New Roman"/>
          <w:sz w:val="24"/>
          <w:szCs w:val="24"/>
        </w:rPr>
        <w:t>i art. 183 kk). Dolegliwość środków administracyjnoprawnych nie odpowiada rozmiarom szkód spowodowanych tymi czynami. Projektowana wysokość kar za przestępstwa przeciwko środowisku jest zasadna z uwagi na rozmiar i długofalowe skutki dla społeczeństwa. Powoduje to, iż czyny te należy traktować analogicznie jak wymienione wyżej najpoważniejsze przestępstwa. Warto w tym miejscu wskazać, że w przypadku niepodejmowania działań zaradczych Skarb Państwa może być narażony na roszczenia odszkodowawcze z tytułu naruszenia dóbr osobistych (por. np. Wyrok Sądu Rejonowego dla Warszawy-Śródmieścia w Warszawie z dnia 24 stycznia 2019 r., sygn. akt VI C 1043/18, dotyczący smogu). Również dotychczas obowi</w:t>
      </w:r>
      <w:r w:rsidR="00285FE5">
        <w:rPr>
          <w:rFonts w:ascii="Times New Roman" w:hAnsi="Times New Roman" w:cs="Times New Roman"/>
          <w:sz w:val="24"/>
          <w:szCs w:val="24"/>
        </w:rPr>
        <w:t>ązujące przepisy: art. 10b ust. </w:t>
      </w:r>
      <w:r w:rsidRPr="00322697">
        <w:rPr>
          <w:rFonts w:ascii="Times New Roman" w:hAnsi="Times New Roman" w:cs="Times New Roman"/>
          <w:sz w:val="24"/>
          <w:szCs w:val="24"/>
        </w:rPr>
        <w:t>3 ustawy</w:t>
      </w:r>
      <w:r w:rsidR="00325C54">
        <w:rPr>
          <w:rFonts w:ascii="Times New Roman" w:hAnsi="Times New Roman" w:cs="Times New Roman"/>
          <w:sz w:val="24"/>
          <w:szCs w:val="24"/>
        </w:rPr>
        <w:t xml:space="preserve"> </w:t>
      </w:r>
      <w:r w:rsidRPr="00322697">
        <w:rPr>
          <w:rFonts w:ascii="Times New Roman" w:hAnsi="Times New Roman" w:cs="Times New Roman"/>
          <w:sz w:val="24"/>
          <w:szCs w:val="24"/>
        </w:rPr>
        <w:t xml:space="preserve">o Inspekcji Ochrony Środowiska, ustawy o umowie koncesji na roboty budowlane lub usługi oraz ustawy o odpowiedzialności podmiotów zbiorowych za czyny zabronione pod groźbą kary okazały się nieskuteczne i niewystarczające oraz nie zapewniały realizacji celów, dla których zostały ustanowione. Ich zmiana jest konieczna, aby zagwarantować realizację </w:t>
      </w:r>
      <w:r w:rsidRPr="00322697">
        <w:rPr>
          <w:rFonts w:ascii="Times New Roman" w:hAnsi="Times New Roman" w:cs="Times New Roman"/>
          <w:sz w:val="24"/>
          <w:szCs w:val="24"/>
        </w:rPr>
        <w:lastRenderedPageBreak/>
        <w:t>obowiązku władz, określonego w art. 74 Konstytucji RP. Wartość dóbr nadrzędnych</w:t>
      </w:r>
      <w:r w:rsidR="00325C54">
        <w:rPr>
          <w:rFonts w:ascii="Times New Roman" w:hAnsi="Times New Roman" w:cs="Times New Roman"/>
          <w:sz w:val="24"/>
          <w:szCs w:val="24"/>
        </w:rPr>
        <w:t xml:space="preserve"> </w:t>
      </w:r>
      <w:r w:rsidRPr="00322697">
        <w:rPr>
          <w:rFonts w:ascii="Times New Roman" w:hAnsi="Times New Roman" w:cs="Times New Roman"/>
          <w:sz w:val="24"/>
          <w:szCs w:val="24"/>
        </w:rPr>
        <w:t>(np. ochrona środowiska, zdrowie publiczne) w ocenie ustawodawcy przewyższa wartość dóbr poświęcanych (np. swoboda działalności gospodarczej). Ponadto zmiana ww. przepisów jest związana z prawidłową realizacją proponowanej nowelizacji Kodeksu karnego. Organy Państwa muszą mieć zapewnioną swobodę działania w wykonywaniu swoich obowiązków.</w:t>
      </w:r>
    </w:p>
    <w:p w14:paraId="12144844" w14:textId="24C130A3"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Projekt nie narusza praw gwarantowanych przez Europejską konwencję o ochronie praw człowieka i podstawowych wolności (Dz. U. z 1993 r. poz. 284, z </w:t>
      </w:r>
      <w:proofErr w:type="spellStart"/>
      <w:r w:rsidRPr="00322697">
        <w:rPr>
          <w:rFonts w:ascii="Times New Roman" w:hAnsi="Times New Roman" w:cs="Times New Roman"/>
          <w:sz w:val="24"/>
          <w:szCs w:val="24"/>
        </w:rPr>
        <w:t>późn</w:t>
      </w:r>
      <w:proofErr w:type="spellEnd"/>
      <w:r w:rsidRPr="00322697">
        <w:rPr>
          <w:rFonts w:ascii="Times New Roman" w:hAnsi="Times New Roman" w:cs="Times New Roman"/>
          <w:sz w:val="24"/>
          <w:szCs w:val="24"/>
        </w:rPr>
        <w:t>. zm.): prawa do wolności i bezpieczeństwa osobistego (art. 5 konwencji), prawa do rzetelnego procesu sądowego (art. 6 konwencji), zakaz karania bez podstawy prawnej (art. 7 konwencji), prawa do poszanowania życia prywatnego i rodzinnego (art. 8 konwencji) oraz ochrony własności (protokół nr 1). Ustawodawca przewiduje także wprowadz</w:t>
      </w:r>
      <w:r w:rsidR="00042BE2">
        <w:rPr>
          <w:rFonts w:ascii="Times New Roman" w:hAnsi="Times New Roman" w:cs="Times New Roman"/>
          <w:sz w:val="24"/>
          <w:szCs w:val="24"/>
        </w:rPr>
        <w:t>enie instytucji czynnego żalu w </w:t>
      </w:r>
      <w:r w:rsidRPr="00322697">
        <w:rPr>
          <w:rFonts w:ascii="Times New Roman" w:hAnsi="Times New Roman" w:cs="Times New Roman"/>
          <w:sz w:val="24"/>
          <w:szCs w:val="24"/>
        </w:rPr>
        <w:t>nowym art. 188a kk.</w:t>
      </w:r>
    </w:p>
    <w:p w14:paraId="2F250F07"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Konkludując, w ocenie projektodawcy zaproponowane rozwiązania prawnokarne spełniają zasadę proporcjonalności wyrażoną w art. 31 ust. 3 Konstytucji RP.</w:t>
      </w:r>
    </w:p>
    <w:p w14:paraId="3BBE4D78"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Przedstawione zmiany mają na celu prewencję ogólną i indywidualną oraz realizację konstytucyjnego obowiązku ochrony środowiska przez władze publiczne. Nowe sankcje karne będą w lepszym stopniu odpowiadać stopniowi społecznej szkodliwości czynu i zawinienia. Nowelizacja wyeliminuje niedoskonałości aktualnych regulacji prawnych. Zakłada się, że zmiana przepisów spowoduje spadek liczby popełnianych przestępstw i wykroczeń przeciwko środowisku, a co za tym idzie, zmniejszenie liczby spraw, prowadzonych przez organy ścigania i sądy. </w:t>
      </w:r>
    </w:p>
    <w:p w14:paraId="0EAECAD7"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Ustawa o zmianie niektórych ustaw w celu przeciwdziałania przestępczości środowiskowej zmienia ustawy: </w:t>
      </w:r>
      <w:r w:rsidR="00325C54">
        <w:rPr>
          <w:rFonts w:ascii="Times New Roman" w:hAnsi="Times New Roman" w:cs="Times New Roman"/>
          <w:sz w:val="24"/>
          <w:szCs w:val="24"/>
        </w:rPr>
        <w:t xml:space="preserve">ustawę </w:t>
      </w:r>
      <w:r w:rsidRPr="00322697">
        <w:rPr>
          <w:rFonts w:ascii="Times New Roman" w:hAnsi="Times New Roman" w:cs="Times New Roman"/>
          <w:sz w:val="24"/>
          <w:szCs w:val="24"/>
        </w:rPr>
        <w:t>z dnia 6 czerwca 1997 r. – Kodeks ka</w:t>
      </w:r>
      <w:r w:rsidR="00285FE5">
        <w:rPr>
          <w:rFonts w:ascii="Times New Roman" w:hAnsi="Times New Roman" w:cs="Times New Roman"/>
          <w:sz w:val="24"/>
          <w:szCs w:val="24"/>
        </w:rPr>
        <w:t>rny, ustawę z dnia 20 maja 1971 </w:t>
      </w:r>
      <w:r w:rsidRPr="00322697">
        <w:rPr>
          <w:rFonts w:ascii="Times New Roman" w:hAnsi="Times New Roman" w:cs="Times New Roman"/>
          <w:sz w:val="24"/>
          <w:szCs w:val="24"/>
        </w:rPr>
        <w:t>r. – Kodeks wykroczeń, ustawę z dnia 20 lipca 1991 r. o Inspekcji Ochrony Środowiska, ustawę z dnia 28 października 2002 r. o odpowiedzialności podmiotów zbiorowych za czyny zabronione pod groźbą kary, ustawę z dnia 16 kwietnia 2004 r. o ochronie przyrody ora</w:t>
      </w:r>
      <w:r w:rsidR="00FB55F8">
        <w:rPr>
          <w:rFonts w:ascii="Times New Roman" w:hAnsi="Times New Roman" w:cs="Times New Roman"/>
          <w:sz w:val="24"/>
          <w:szCs w:val="24"/>
        </w:rPr>
        <w:t xml:space="preserve">z ustawę z dnia </w:t>
      </w:r>
      <w:r w:rsidR="00FB55F8" w:rsidRPr="00FB55F8">
        <w:rPr>
          <w:rFonts w:ascii="Times New Roman" w:hAnsi="Times New Roman" w:cs="Times New Roman"/>
          <w:sz w:val="24"/>
          <w:szCs w:val="24"/>
        </w:rPr>
        <w:t>21 </w:t>
      </w:r>
      <w:r w:rsidRPr="00FB55F8">
        <w:rPr>
          <w:rFonts w:ascii="Times New Roman" w:hAnsi="Times New Roman" w:cs="Times New Roman"/>
          <w:sz w:val="24"/>
          <w:szCs w:val="24"/>
        </w:rPr>
        <w:t>października</w:t>
      </w:r>
      <w:r w:rsidRPr="00322697">
        <w:rPr>
          <w:rFonts w:ascii="Times New Roman" w:hAnsi="Times New Roman" w:cs="Times New Roman"/>
          <w:sz w:val="24"/>
          <w:szCs w:val="24"/>
        </w:rPr>
        <w:t xml:space="preserve"> 2016 r. o umowie koncesji na roboty bu</w:t>
      </w:r>
      <w:r w:rsidR="00066BD5">
        <w:rPr>
          <w:rFonts w:ascii="Times New Roman" w:hAnsi="Times New Roman" w:cs="Times New Roman"/>
          <w:sz w:val="24"/>
          <w:szCs w:val="24"/>
        </w:rPr>
        <w:t>dowlane lub usługi. W związku z </w:t>
      </w:r>
      <w:r w:rsidRPr="00322697">
        <w:rPr>
          <w:rFonts w:ascii="Times New Roman" w:hAnsi="Times New Roman" w:cs="Times New Roman"/>
          <w:sz w:val="24"/>
          <w:szCs w:val="24"/>
        </w:rPr>
        <w:t>szerokim zakresem przedmiotowym zmian, objętych projektem, zasadny jest zaproponowany tytuł ustawy. Podobne tytuły były już stosowane w polskim ustawodawstwie w ostatnim czasie (np. ustawa z dnia 28 października 2020 r. o zmian</w:t>
      </w:r>
      <w:r w:rsidR="00FB55F8">
        <w:rPr>
          <w:rFonts w:ascii="Times New Roman" w:hAnsi="Times New Roman" w:cs="Times New Roman"/>
          <w:sz w:val="24"/>
          <w:szCs w:val="24"/>
        </w:rPr>
        <w:t>ie niektórych ustaw w związku z </w:t>
      </w:r>
      <w:r w:rsidRPr="00322697">
        <w:rPr>
          <w:rFonts w:ascii="Times New Roman" w:hAnsi="Times New Roman" w:cs="Times New Roman"/>
          <w:sz w:val="24"/>
          <w:szCs w:val="24"/>
        </w:rPr>
        <w:t xml:space="preserve">przeciwdziałaniem sytuacjom kryzysowym związanym z wystąpieniem COVID-19 (Dz. U. poz. 2112, z </w:t>
      </w:r>
      <w:proofErr w:type="spellStart"/>
      <w:r w:rsidRPr="00322697">
        <w:rPr>
          <w:rFonts w:ascii="Times New Roman" w:hAnsi="Times New Roman" w:cs="Times New Roman"/>
          <w:sz w:val="24"/>
          <w:szCs w:val="24"/>
        </w:rPr>
        <w:t>późn</w:t>
      </w:r>
      <w:proofErr w:type="spellEnd"/>
      <w:r w:rsidRPr="00322697">
        <w:rPr>
          <w:rFonts w:ascii="Times New Roman" w:hAnsi="Times New Roman" w:cs="Times New Roman"/>
          <w:sz w:val="24"/>
          <w:szCs w:val="24"/>
        </w:rPr>
        <w:t xml:space="preserve">. zm.)). </w:t>
      </w:r>
    </w:p>
    <w:p w14:paraId="62A85034"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lastRenderedPageBreak/>
        <w:t xml:space="preserve">Ustawa wejdzie w życie po upływie 14 dni od dnia ogłoszenia. </w:t>
      </w:r>
    </w:p>
    <w:p w14:paraId="6E19BA46"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Ocena oddziaływania projektu na działalność </w:t>
      </w:r>
      <w:proofErr w:type="spellStart"/>
      <w:r w:rsidRPr="00322697">
        <w:rPr>
          <w:rFonts w:ascii="Times New Roman" w:hAnsi="Times New Roman" w:cs="Times New Roman"/>
          <w:sz w:val="24"/>
          <w:szCs w:val="24"/>
        </w:rPr>
        <w:t>mikroprzedsiębiorców</w:t>
      </w:r>
      <w:proofErr w:type="spellEnd"/>
      <w:r w:rsidRPr="00322697">
        <w:rPr>
          <w:rFonts w:ascii="Times New Roman" w:hAnsi="Times New Roman" w:cs="Times New Roman"/>
          <w:sz w:val="24"/>
          <w:szCs w:val="24"/>
        </w:rPr>
        <w:t xml:space="preserve">, małych i średnich przedsiębiorców zgodnie z art. 66 ust. 1 pkt 2 ustawy z dnia 6 marca 2018 r. – Prawo przedsiębiorców (Dz. U. z 2021 r. poz. 162, z </w:t>
      </w:r>
      <w:proofErr w:type="spellStart"/>
      <w:r w:rsidRPr="00322697">
        <w:rPr>
          <w:rFonts w:ascii="Times New Roman" w:hAnsi="Times New Roman" w:cs="Times New Roman"/>
          <w:sz w:val="24"/>
          <w:szCs w:val="24"/>
        </w:rPr>
        <w:t>późn</w:t>
      </w:r>
      <w:proofErr w:type="spellEnd"/>
      <w:r w:rsidRPr="00322697">
        <w:rPr>
          <w:rFonts w:ascii="Times New Roman" w:hAnsi="Times New Roman" w:cs="Times New Roman"/>
          <w:sz w:val="24"/>
          <w:szCs w:val="24"/>
        </w:rPr>
        <w:t>. zm.) jest przedstawiona w Ocenie Skutków Regulacji.</w:t>
      </w:r>
    </w:p>
    <w:p w14:paraId="6C0BF208"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Projekt nie zawiera norm technicznych, w związku z tym nie podlega procedurze notyfikacji zgodnie z trybem przewidzianym w przepisach rozporządzenia Rady Ministrów </w:t>
      </w:r>
      <w:r w:rsidR="00285FE5">
        <w:rPr>
          <w:rFonts w:ascii="Times New Roman" w:hAnsi="Times New Roman" w:cs="Times New Roman"/>
          <w:sz w:val="24"/>
          <w:szCs w:val="24"/>
        </w:rPr>
        <w:t>z dnia 23 </w:t>
      </w:r>
      <w:r w:rsidRPr="00322697">
        <w:rPr>
          <w:rFonts w:ascii="Times New Roman" w:hAnsi="Times New Roman" w:cs="Times New Roman"/>
          <w:sz w:val="24"/>
          <w:szCs w:val="24"/>
        </w:rPr>
        <w:t>grudnia 2002 r. w sprawie sposobu funkcjonowania krajowego systemu notyfikacji norm i aktów prawnych (Dz. U. poz. 2039 oraz z 2004 r. poz. 597).</w:t>
      </w:r>
    </w:p>
    <w:p w14:paraId="21511E9C" w14:textId="48D88D13"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 xml:space="preserve">Projekt ustawy nie wymaga przedłożenia instytucjom i organom Unii Europejskiej, w tym Europejskiemu Bankowi Centralnemu, w celu uzyskania opinii, dokonania powiadomienia, konsultacji albo uzgodnień, o których mowa w § 39 uchwały </w:t>
      </w:r>
      <w:r w:rsidR="009C1259">
        <w:rPr>
          <w:rFonts w:ascii="Times New Roman" w:hAnsi="Times New Roman" w:cs="Times New Roman"/>
          <w:sz w:val="24"/>
          <w:szCs w:val="24"/>
        </w:rPr>
        <w:t>n</w:t>
      </w:r>
      <w:r w:rsidR="00FB55F8">
        <w:rPr>
          <w:rFonts w:ascii="Times New Roman" w:hAnsi="Times New Roman" w:cs="Times New Roman"/>
          <w:sz w:val="24"/>
          <w:szCs w:val="24"/>
        </w:rPr>
        <w:t>r 190 Rady Ministrów z dnia 29 </w:t>
      </w:r>
      <w:r w:rsidRPr="00322697">
        <w:rPr>
          <w:rFonts w:ascii="Times New Roman" w:hAnsi="Times New Roman" w:cs="Times New Roman"/>
          <w:sz w:val="24"/>
          <w:szCs w:val="24"/>
        </w:rPr>
        <w:t>października 2013 r. – Regulamin pracy Rady Ministrów (M.P. z 2022 r. poz. 348).</w:t>
      </w:r>
    </w:p>
    <w:p w14:paraId="40100A55" w14:textId="77777777" w:rsidR="00322697" w:rsidRPr="00322697" w:rsidRDefault="00322697" w:rsidP="00322697">
      <w:pPr>
        <w:spacing w:after="240" w:line="360" w:lineRule="auto"/>
        <w:jc w:val="both"/>
        <w:rPr>
          <w:rFonts w:ascii="Times New Roman" w:hAnsi="Times New Roman" w:cs="Times New Roman"/>
          <w:sz w:val="24"/>
          <w:szCs w:val="24"/>
        </w:rPr>
      </w:pPr>
      <w:r w:rsidRPr="00322697">
        <w:rPr>
          <w:rFonts w:ascii="Times New Roman" w:hAnsi="Times New Roman" w:cs="Times New Roman"/>
          <w:sz w:val="24"/>
          <w:szCs w:val="24"/>
        </w:rPr>
        <w:t>Projekt jest zgodny z prawem Unii Europejskiej.</w:t>
      </w:r>
    </w:p>
    <w:sectPr w:rsidR="00322697" w:rsidRPr="00322697" w:rsidSect="00292076">
      <w:footerReference w:type="default" r:id="rId7"/>
      <w:pgSz w:w="11906" w:h="16838"/>
      <w:pgMar w:top="1134"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00EA7" w14:textId="77777777" w:rsidR="007C054E" w:rsidRDefault="007C054E" w:rsidP="009D78F9">
      <w:pPr>
        <w:spacing w:after="0" w:line="240" w:lineRule="auto"/>
      </w:pPr>
      <w:r>
        <w:separator/>
      </w:r>
    </w:p>
  </w:endnote>
  <w:endnote w:type="continuationSeparator" w:id="0">
    <w:p w14:paraId="79C10D3D" w14:textId="77777777" w:rsidR="007C054E" w:rsidRDefault="007C054E"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14:paraId="11CF6C70" w14:textId="5C5B5FEF"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4C5768">
          <w:rPr>
            <w:rFonts w:ascii="Times New Roman" w:hAnsi="Times New Roman" w:cs="Times New Roman"/>
            <w:noProof/>
            <w:sz w:val="24"/>
            <w:szCs w:val="24"/>
          </w:rPr>
          <w:t>18</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1D1B1" w14:textId="77777777" w:rsidR="007C054E" w:rsidRDefault="007C054E" w:rsidP="009D78F9">
      <w:pPr>
        <w:spacing w:after="0" w:line="240" w:lineRule="auto"/>
      </w:pPr>
      <w:r>
        <w:separator/>
      </w:r>
    </w:p>
  </w:footnote>
  <w:footnote w:type="continuationSeparator" w:id="0">
    <w:p w14:paraId="7A31F7B5" w14:textId="77777777" w:rsidR="007C054E" w:rsidRDefault="007C054E" w:rsidP="009D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6"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9"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7"/>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8"/>
  </w:num>
  <w:num w:numId="16">
    <w:abstractNumId w:val="23"/>
  </w:num>
  <w:num w:numId="17">
    <w:abstractNumId w:val="25"/>
  </w:num>
  <w:num w:numId="18">
    <w:abstractNumId w:val="9"/>
  </w:num>
  <w:num w:numId="19">
    <w:abstractNumId w:val="29"/>
  </w:num>
  <w:num w:numId="20">
    <w:abstractNumId w:val="31"/>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6"/>
  </w:num>
  <w:num w:numId="29">
    <w:abstractNumId w:val="4"/>
  </w:num>
  <w:num w:numId="30">
    <w:abstractNumId w:val="6"/>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42BE2"/>
    <w:rsid w:val="00056E79"/>
    <w:rsid w:val="00062362"/>
    <w:rsid w:val="00066BD5"/>
    <w:rsid w:val="000E2EB9"/>
    <w:rsid w:val="001B3166"/>
    <w:rsid w:val="00236955"/>
    <w:rsid w:val="00270E68"/>
    <w:rsid w:val="00285FE5"/>
    <w:rsid w:val="00292076"/>
    <w:rsid w:val="002C2391"/>
    <w:rsid w:val="002D3299"/>
    <w:rsid w:val="00322697"/>
    <w:rsid w:val="00325C54"/>
    <w:rsid w:val="00340C01"/>
    <w:rsid w:val="00392C21"/>
    <w:rsid w:val="003938F7"/>
    <w:rsid w:val="003B4650"/>
    <w:rsid w:val="003F6C95"/>
    <w:rsid w:val="00420AA2"/>
    <w:rsid w:val="00420B12"/>
    <w:rsid w:val="00445210"/>
    <w:rsid w:val="00453BA3"/>
    <w:rsid w:val="0046729B"/>
    <w:rsid w:val="004A2B6D"/>
    <w:rsid w:val="004A37A6"/>
    <w:rsid w:val="004B52F6"/>
    <w:rsid w:val="004C5768"/>
    <w:rsid w:val="004E0A95"/>
    <w:rsid w:val="004F3862"/>
    <w:rsid w:val="005F249D"/>
    <w:rsid w:val="005F4005"/>
    <w:rsid w:val="006466AC"/>
    <w:rsid w:val="00655949"/>
    <w:rsid w:val="006A57FA"/>
    <w:rsid w:val="006C43F1"/>
    <w:rsid w:val="00725B90"/>
    <w:rsid w:val="00726F0A"/>
    <w:rsid w:val="00727934"/>
    <w:rsid w:val="007455B5"/>
    <w:rsid w:val="007A3A37"/>
    <w:rsid w:val="007C054E"/>
    <w:rsid w:val="007E26CA"/>
    <w:rsid w:val="007F008A"/>
    <w:rsid w:val="0080005A"/>
    <w:rsid w:val="00832DD0"/>
    <w:rsid w:val="00851E3F"/>
    <w:rsid w:val="00867028"/>
    <w:rsid w:val="00874676"/>
    <w:rsid w:val="00877B10"/>
    <w:rsid w:val="00882207"/>
    <w:rsid w:val="00887DB4"/>
    <w:rsid w:val="008A1F8B"/>
    <w:rsid w:val="008C0F50"/>
    <w:rsid w:val="008D1573"/>
    <w:rsid w:val="008F6235"/>
    <w:rsid w:val="009B51A0"/>
    <w:rsid w:val="009C1259"/>
    <w:rsid w:val="009D78F9"/>
    <w:rsid w:val="009E788D"/>
    <w:rsid w:val="009F03C5"/>
    <w:rsid w:val="00A209B2"/>
    <w:rsid w:val="00A9033A"/>
    <w:rsid w:val="00AB053F"/>
    <w:rsid w:val="00AD453B"/>
    <w:rsid w:val="00B45E45"/>
    <w:rsid w:val="00BD3BBB"/>
    <w:rsid w:val="00C0254B"/>
    <w:rsid w:val="00C04DCD"/>
    <w:rsid w:val="00CF08F2"/>
    <w:rsid w:val="00D033A0"/>
    <w:rsid w:val="00D03895"/>
    <w:rsid w:val="00DF4048"/>
    <w:rsid w:val="00DF5F5A"/>
    <w:rsid w:val="00EE2731"/>
    <w:rsid w:val="00F159E7"/>
    <w:rsid w:val="00F736BD"/>
    <w:rsid w:val="00FB55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EE94F"/>
  <w15:docId w15:val="{4C72D5DC-13FD-4F9B-957E-F2C657591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266084547">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9217942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6476</Words>
  <Characters>38861</Characters>
  <Application>Microsoft Office Word</Application>
  <DocSecurity>0</DocSecurity>
  <Lines>323</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Wójcik Aleksandra</cp:lastModifiedBy>
  <cp:revision>3</cp:revision>
  <cp:lastPrinted>2018-10-02T13:01:00Z</cp:lastPrinted>
  <dcterms:created xsi:type="dcterms:W3CDTF">2022-06-17T11:24:00Z</dcterms:created>
  <dcterms:modified xsi:type="dcterms:W3CDTF">2022-06-17T11:38:00Z</dcterms:modified>
</cp:coreProperties>
</file>