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70149" w14:textId="77448092" w:rsidR="0061089B" w:rsidRPr="00C80766" w:rsidRDefault="0061089B" w:rsidP="0061089B">
      <w:pPr>
        <w:pStyle w:val="TYTUAKTUprzedmiotregulacjiustawylubrozporzdzenia"/>
        <w:rPr>
          <w:rStyle w:val="Ppogrubienie"/>
        </w:rPr>
      </w:pPr>
      <w:bookmarkStart w:id="0" w:name="_GoBack"/>
      <w:bookmarkEnd w:id="0"/>
      <w:r w:rsidRPr="00C80766">
        <w:rPr>
          <w:rStyle w:val="Ppogrubienie"/>
        </w:rPr>
        <w:t>UZASADNIENIE</w:t>
      </w:r>
    </w:p>
    <w:p w14:paraId="68392C14" w14:textId="16F79897" w:rsidR="0061089B" w:rsidRPr="0061089B" w:rsidRDefault="0061089B" w:rsidP="0061089B">
      <w:pPr>
        <w:pStyle w:val="NIEARTTEKSTtekstnieartykuowanynppodstprawnarozplubpreambua"/>
      </w:pPr>
      <w:r w:rsidRPr="0061089B">
        <w:t>Prokuratura Europejska, powołana na mocy rozporządzenia Rady (UE) 2017/1939 z dnia 12 października 2017 r. wdrażającego wzmocnioną współpracę w zakresie ustanowienia Prokuratury Europejskiej (Dz. Urz. UE L 283 z 31.10.2017</w:t>
      </w:r>
      <w:r w:rsidR="00A96FAF">
        <w:t>, str. 1</w:t>
      </w:r>
      <w:r w:rsidRPr="0061089B">
        <w:t xml:space="preserve">), </w:t>
      </w:r>
      <w:r w:rsidR="00A96FAF">
        <w:t xml:space="preserve">zwanego </w:t>
      </w:r>
      <w:r w:rsidRPr="0061089B">
        <w:t xml:space="preserve">dalej </w:t>
      </w:r>
      <w:r w:rsidR="00A96FAF">
        <w:t>„</w:t>
      </w:r>
      <w:r w:rsidRPr="0061089B">
        <w:t>rozporządzeni</w:t>
      </w:r>
      <w:r w:rsidR="00A96FAF">
        <w:t>em</w:t>
      </w:r>
      <w:r w:rsidRPr="0061089B">
        <w:t xml:space="preserve"> 2017/1939</w:t>
      </w:r>
      <w:r w:rsidR="00A96FAF">
        <w:t>”</w:t>
      </w:r>
      <w:r w:rsidRPr="0061089B">
        <w:t xml:space="preserve">, zgodnie z art. 3 ust. 1 stanowi organ Unii Europejskiej. </w:t>
      </w:r>
    </w:p>
    <w:p w14:paraId="745CDDF1" w14:textId="158E1360" w:rsidR="0061089B" w:rsidRPr="0061089B" w:rsidRDefault="0061089B" w:rsidP="0061089B">
      <w:pPr>
        <w:pStyle w:val="NIEARTTEKSTtekstnieartykuowanynppodstprawnarozplubpreambua"/>
      </w:pPr>
      <w:r w:rsidRPr="0061089B">
        <w:t xml:space="preserve">Prokuratura Europejska nie jest zatem organem państw członkowskich uczestniczących w mechanizmie wzmocnionej współpracy, co oznacza, że zgodnie z obecnymi regulacjami Kodeksu postępowania karnego nie jest ona uprawniona do występowania w ramach prowadzonych postępowań karnych w zakresie swojej kompetencji o udzielenie jej szeroko rozumianej pomocy prawnej przez polskie organy postępowania karnego (prokuratury i sądy) i </w:t>
      </w:r>
      <w:r w:rsidRPr="00AA53AE">
        <w:rPr>
          <w:rStyle w:val="Kkursywa"/>
        </w:rPr>
        <w:t>vice versa</w:t>
      </w:r>
      <w:r w:rsidRPr="0061089B">
        <w:t>.</w:t>
      </w:r>
    </w:p>
    <w:p w14:paraId="29BB6F39" w14:textId="75AB778E" w:rsidR="0061089B" w:rsidRPr="0061089B" w:rsidRDefault="0061089B" w:rsidP="0061089B">
      <w:pPr>
        <w:pStyle w:val="NIEARTTEKSTtekstnieartykuowanynppodstprawnarozplubpreambua"/>
      </w:pPr>
      <w:r w:rsidRPr="0061089B">
        <w:t>Przepisy Kodeksu postępowania karnego w rozdziałach 62a i 62b (zatrzymywanie dowodów i zabezpieczanie mienia), 62c i 62 d (europejski nakaz dochodzeniowy, dalej: END), 65a i 65b (europejski nakaz aresztowania), 65c i 65d (wykonywanie wolnościowych środków zapobiegawczych) przewidują wyłącznie możliwość wystąpienia do państw członkowskich UE lub wystąpienie państw członkowskich UE o wykonanie orzeczeń w przedmiocie ww. kwestii. Prokuratura Europejska jako organ UE, a nie organ państw członkowskich uczestniczących we wzmocnionej współpracy</w:t>
      </w:r>
      <w:r w:rsidR="00517E06">
        <w:t>,</w:t>
      </w:r>
      <w:r w:rsidRPr="0061089B">
        <w:t xml:space="preserve"> nie mieści się w żadnej z tych kategorii. Kodeks postępowania karnego nie przewiduje bowiem możliwości stosowania instrumentów unijnych w relacjach z organami Unii Europejskiej, lecz wyłącznie w relacjach z państwami członkowskimi UE i z kompetentnymi organami tych państw. </w:t>
      </w:r>
    </w:p>
    <w:p w14:paraId="16A69D2D" w14:textId="55A9C9F9" w:rsidR="0061089B" w:rsidRPr="0061089B" w:rsidRDefault="0061089B" w:rsidP="0061089B">
      <w:pPr>
        <w:pStyle w:val="NIEARTTEKSTtekstnieartykuowanynppodstprawnarozplubpreambua"/>
      </w:pPr>
      <w:r w:rsidRPr="0061089B">
        <w:t>Ta przeszkoda we wzajemnej współpracy między Polską, jako państwem nieuczestniczącym we wzmocnionej współpracy, a Prokuraturą Europejską nie może zostać rozwiązana wyłącznie w drodze notyfikacji składanych w trybie art. 105 ust. 3 rozporządzenia 2017/1939 przez państwa członkowskie uczestniczące wskazujących Prokuraturę Europejską jako podmiot uprawniony do występowania w zakresie obrotu prawnego dotyczącego wskazanych wyżej obszarów współpracy w sprawach karnych, a w przypadku END, w zakresie objętym przedmiotem postępowań prowadzonych przez Prokuraturę Europejską, także do wykonywania orzeczeń, wydanych przez właściwe organy państw członkowskich nieuczestniczących we wzmocnionej współpracy. Ta sama uwaga dotyczy przepisów art. </w:t>
      </w:r>
      <w:r w:rsidR="005760EB">
        <w:t>589b</w:t>
      </w:r>
      <w:r w:rsidR="005760EB" w:rsidRPr="005760EB">
        <w:sym w:font="Symbol" w:char="F02D"/>
      </w:r>
      <w:r w:rsidRPr="0061089B">
        <w:t xml:space="preserve">589f </w:t>
      </w:r>
      <w:r w:rsidR="00A96FAF">
        <w:t xml:space="preserve">Kodeksu postępowania karnego </w:t>
      </w:r>
      <w:r w:rsidRPr="0061089B">
        <w:t xml:space="preserve">dotyczących tworzenia i funkcjonowania </w:t>
      </w:r>
      <w:r w:rsidRPr="0061089B">
        <w:lastRenderedPageBreak/>
        <w:t>wspólnych zespołów śledczych oraz przepisów art.</w:t>
      </w:r>
      <w:r w:rsidR="00517E06">
        <w:t xml:space="preserve"> </w:t>
      </w:r>
      <w:r w:rsidRPr="0061089B">
        <w:t>592a</w:t>
      </w:r>
      <w:r w:rsidRPr="0061089B">
        <w:sym w:font="Symbol" w:char="F02D"/>
      </w:r>
      <w:r w:rsidRPr="0061089B">
        <w:t xml:space="preserve">592f </w:t>
      </w:r>
      <w:r w:rsidR="00A96FAF">
        <w:t xml:space="preserve">Kodeksu postępowania karnego </w:t>
      </w:r>
      <w:r w:rsidRPr="0061089B">
        <w:t>w sprawie zapobiegania konfliktom jurysdykcji w postępowaniu karnym i w sprawie rozstrzygania takich konfliktów.</w:t>
      </w:r>
    </w:p>
    <w:p w14:paraId="10E8750F" w14:textId="30434476" w:rsidR="0061089B" w:rsidRPr="0061089B" w:rsidRDefault="0061089B" w:rsidP="0061089B">
      <w:pPr>
        <w:pStyle w:val="NIEARTTEKSTtekstnieartykuowanynppodstprawnarozplubpreambua"/>
      </w:pPr>
      <w:r w:rsidRPr="0061089B">
        <w:t xml:space="preserve">Rozporządzenie 2017/1939 nie wiąże Polski i jako takie nie będzie bezpośrednio stosowane przez właściwe organy </w:t>
      </w:r>
      <w:r w:rsidR="00A96FAF">
        <w:t>krajowe</w:t>
      </w:r>
      <w:r w:rsidRPr="0061089B">
        <w:t>.</w:t>
      </w:r>
    </w:p>
    <w:p w14:paraId="40DF6C48" w14:textId="6DB630A4" w:rsidR="0061089B" w:rsidRPr="0061089B" w:rsidRDefault="0061089B" w:rsidP="0061089B">
      <w:pPr>
        <w:pStyle w:val="NIEARTTEKSTtekstnieartykuowanynppodstprawnarozplubpreambua"/>
      </w:pPr>
      <w:r w:rsidRPr="0061089B">
        <w:t>Polska jako państwo członkowskie Unii Europejskiej, zgodnie z art. 4 Traktatu o Unii Europejskiej, jest natomiast zobowiązana do lojalnej współpracy z Unią w wykonywaniu zadań wynikających z Traktatów, w tym przez ułatwianie wypełniania przez Unię jej zadań oraz powstrzymanie się od podejmowania środków, które mogłyby zagrażać urzeczywistnieniu celów Unii. Również art. 325 Traktatu o funkcjonowaniu Unii Europejskiej stanowi, że zarówno Unia</w:t>
      </w:r>
      <w:r w:rsidR="00517E06">
        <w:t>,</w:t>
      </w:r>
      <w:r w:rsidRPr="0061089B">
        <w:t xml:space="preserve"> jak i jej państwa członkowskie są zobowiązane do zwalczania wszelkich działań naruszających interesy finansowe Unii, a państwa członkowskie do podejmowania takich samych środków do zwalczania nadużyć finansowych naruszających interesy finansowe Unii, jakie podejmują do zwalczania nadużyć finansowych naruszających ich własne interesy finansowe. </w:t>
      </w:r>
    </w:p>
    <w:p w14:paraId="5649E9F6" w14:textId="4767360F" w:rsidR="0061089B" w:rsidRPr="0061089B" w:rsidRDefault="0061089B" w:rsidP="0061089B">
      <w:pPr>
        <w:pStyle w:val="NIEARTTEKSTtekstnieartykuowanynppodstprawnarozplubpreambua"/>
      </w:pPr>
      <w:r w:rsidRPr="0061089B">
        <w:t>Tym samym niezbędna jest nowelizacja przepisów Kodeksu postępowania karnego włączająca Prokuraturę Europejską do kręgu podmiotów uprawnionych do funkcjonowania w transgranicznym obrocie prawnym i umożliwiająca polskim prokuraturom i sądom wykonywanie jej wystąpień, jak również wprowadzająca możliwość występowania przez polskie prokuratury i</w:t>
      </w:r>
      <w:r w:rsidR="00517E06">
        <w:t xml:space="preserve"> </w:t>
      </w:r>
      <w:r w:rsidRPr="0061089B">
        <w:t>sądy do Prokuratury Europejskiej o zabezpieczenie i przekazanie materiału dowodowego w</w:t>
      </w:r>
      <w:r w:rsidR="00517E06">
        <w:t xml:space="preserve"> </w:t>
      </w:r>
      <w:r w:rsidRPr="0061089B">
        <w:t xml:space="preserve">sprawach objętych jej kompetencją. </w:t>
      </w:r>
    </w:p>
    <w:p w14:paraId="6CA15A1B" w14:textId="017505F5" w:rsidR="0061089B" w:rsidRPr="0061089B" w:rsidRDefault="0061089B" w:rsidP="0061089B">
      <w:pPr>
        <w:pStyle w:val="NIEARTTEKSTtekstnieartykuowanynppodstprawnarozplubpreambua"/>
      </w:pPr>
      <w:r w:rsidRPr="0061089B">
        <w:t xml:space="preserve">W tym celu </w:t>
      </w:r>
      <w:r w:rsidR="00517E06" w:rsidRPr="0061089B">
        <w:t xml:space="preserve">jest </w:t>
      </w:r>
      <w:r w:rsidRPr="0061089B">
        <w:t xml:space="preserve">niezbędne dodanie do Kodeksu postępowania karnego nowego przepisu </w:t>
      </w:r>
      <w:r w:rsidRPr="0061089B">
        <w:sym w:font="Symbol" w:char="F02D"/>
      </w:r>
      <w:r w:rsidRPr="0061089B">
        <w:t xml:space="preserve"> art. 615a, dotyczącego odpowiedniego stosowania w relacjach z Prokuraturą Europejską przepisów znajdujących się w: rozdziale 62 („Pomoc prawna i doręczenia w sprawach karnych”, w szczególności w odniesieniu do powołania zespołu śledczego), rozdziale 62c („Wystąpienie do państwa członkowskiego Unii Europejskiej o przeprowadzenie czynności dochodzeniowych na podstawie europejskiego nakazu dochodzeniowego”), rozdziale 62d („Wystąpienie państwa członkowskiego Unii Europejskiej o przeprowadzenie czynności dochodzeniowych na podstawie europejskiego nakazu dochodzeniowego”), rozdziale 63 („Przejęcie i przekazanie ścigania karnego”, w szczególności w zakresie odnoszącym się do konfliktów jurysdykcyjnych), rozdziale 65b („Wystąpienie państwa członkowskiego Unii Europejskiej o przekazanie osoby ściganej na podstawie europejskiego nakazu aresztowania”), </w:t>
      </w:r>
      <w:r w:rsidRPr="0061089B">
        <w:lastRenderedPageBreak/>
        <w:t xml:space="preserve">rozdziale 65d („Wystąpienie państwa członkowskiego Unii Europejskiej o wykonanie orzeczenia wydanego w celu zapewnienia prawidłowego toku postępowania”) i 67 („Przepisy końcowe”). </w:t>
      </w:r>
    </w:p>
    <w:p w14:paraId="050AB28D" w14:textId="25E7AFE3" w:rsidR="0061089B" w:rsidRPr="0061089B" w:rsidRDefault="0061089B" w:rsidP="0061089B">
      <w:pPr>
        <w:pStyle w:val="NIEARTTEKSTtekstnieartykuowanynppodstprawnarozplubpreambua"/>
      </w:pPr>
      <w:r w:rsidRPr="0061089B">
        <w:t>W celu koordynacji i integracji różnych działań między polskimi prokuratorami a</w:t>
      </w:r>
      <w:r w:rsidR="00517E06">
        <w:t> </w:t>
      </w:r>
      <w:r w:rsidRPr="0061089B">
        <w:t>Prokuraturą Europejsk</w:t>
      </w:r>
      <w:r w:rsidR="00517E06">
        <w:t>ą</w:t>
      </w:r>
      <w:r w:rsidRPr="0061089B">
        <w:t>, a także zapewnienia jednolitości w podejmowaniu strategicznych i</w:t>
      </w:r>
      <w:r w:rsidR="00517E06">
        <w:t> </w:t>
      </w:r>
      <w:r w:rsidRPr="0061089B">
        <w:t>taktycznych decyzji</w:t>
      </w:r>
      <w:r w:rsidR="00517E06">
        <w:t>,</w:t>
      </w:r>
      <w:r w:rsidR="002C2C85">
        <w:t xml:space="preserve"> projektowany </w:t>
      </w:r>
      <w:r w:rsidRPr="0061089B">
        <w:t>przepis</w:t>
      </w:r>
      <w:r w:rsidR="002C2C85">
        <w:t xml:space="preserve"> dodatkowo </w:t>
      </w:r>
      <w:r w:rsidRPr="0061089B">
        <w:t>wskazuje, że kontakt między</w:t>
      </w:r>
      <w:r w:rsidR="002C2C85">
        <w:t xml:space="preserve"> </w:t>
      </w:r>
      <w:r w:rsidRPr="0061089B">
        <w:t>polskimi jednostkami organizacyjnymi prokuratur</w:t>
      </w:r>
      <w:r w:rsidR="002C2C85">
        <w:t xml:space="preserve">y </w:t>
      </w:r>
      <w:r w:rsidRPr="0061089B">
        <w:t>a Prokuraturą Europejską, w tym wszelka korespondencja, przekazywanie informacji</w:t>
      </w:r>
      <w:r w:rsidR="00A96FAF">
        <w:t>,</w:t>
      </w:r>
      <w:r w:rsidRPr="0061089B">
        <w:t xml:space="preserve"> nakazy, wnioski lub inne wystąpienia kierowane przez polskich prokuratorów do Prokuratury Europejskiej</w:t>
      </w:r>
      <w:r w:rsidR="002C2C85">
        <w:t xml:space="preserve">, </w:t>
      </w:r>
      <w:r w:rsidRPr="0061089B">
        <w:t xml:space="preserve">będą odbywały się za pośrednictwem Prokuratury Krajowej. </w:t>
      </w:r>
      <w:r w:rsidR="002C2C85">
        <w:t xml:space="preserve">Jednocześnie wprowadza się obowiązek odmowy </w:t>
      </w:r>
      <w:r w:rsidRPr="0061089B">
        <w:t>wykonania żądanej czynności lub udzielenia informacji, jeżeli żądana czynność lub udzielenie informacji był</w:t>
      </w:r>
      <w:r w:rsidR="002C2C85">
        <w:t>y</w:t>
      </w:r>
      <w:r w:rsidRPr="0061089B">
        <w:t>by sprzeczne z zasadami porządku prawnego Rzeczypospolitej Polskiej lub naruszał</w:t>
      </w:r>
      <w:r w:rsidR="002C2C85">
        <w:t xml:space="preserve">y </w:t>
      </w:r>
      <w:r w:rsidRPr="0061089B">
        <w:t>suwerenność</w:t>
      </w:r>
      <w:r w:rsidR="002C2C85">
        <w:t xml:space="preserve"> RP</w:t>
      </w:r>
      <w:r w:rsidRPr="0061089B">
        <w:t xml:space="preserve">. </w:t>
      </w:r>
    </w:p>
    <w:p w14:paraId="06707EB4" w14:textId="5CCAE8FA" w:rsidR="0061089B" w:rsidRDefault="0061089B" w:rsidP="0061089B">
      <w:pPr>
        <w:pStyle w:val="NIEARTTEKSTtekstnieartykuowanynppodstprawnarozplubpreambua"/>
      </w:pPr>
      <w:r w:rsidRPr="0061089B">
        <w:t xml:space="preserve">Proponowane zmiany nie obejmują rozdziałów 62a i 62b Kodeksu postępowania karnego dotyczących zatrzymywania dowodów i zabezpieczania mienia w UE, gdyż obecnie mają one zastosowanie jedynie w relacjach z Danią i Irlandią, natomiast współpraca z pozostałymi państwami członkowskimi UE od dnia 19 grudnia 2020 r. odbywa się </w:t>
      </w:r>
      <w:r w:rsidR="003708A8">
        <w:t>na podstawie</w:t>
      </w:r>
      <w:r w:rsidRPr="0061089B">
        <w:t xml:space="preserve"> bezpośrednio stosowan</w:t>
      </w:r>
      <w:r w:rsidR="003708A8">
        <w:t>ych</w:t>
      </w:r>
      <w:r w:rsidRPr="0061089B">
        <w:t xml:space="preserve"> przepis</w:t>
      </w:r>
      <w:r w:rsidR="003708A8">
        <w:t>ów</w:t>
      </w:r>
      <w:r w:rsidRPr="0061089B">
        <w:t xml:space="preserve"> rozporządzenia Parlamentu Europejskiego i Rady 2018/1805 z dnia 14</w:t>
      </w:r>
      <w:r w:rsidR="00517E06">
        <w:t> </w:t>
      </w:r>
      <w:r w:rsidRPr="0061089B">
        <w:t>listopada 2018 r. w</w:t>
      </w:r>
      <w:r w:rsidR="00517E06">
        <w:t xml:space="preserve"> </w:t>
      </w:r>
      <w:r w:rsidRPr="0061089B">
        <w:t>sprawie wzajemnego uznawania nakazów zabezpieczenia i nakazów konfiskaty (Dz.</w:t>
      </w:r>
      <w:r w:rsidR="003708A8">
        <w:t xml:space="preserve"> </w:t>
      </w:r>
      <w:r w:rsidRPr="0061089B">
        <w:t>Urz.</w:t>
      </w:r>
      <w:r w:rsidR="003708A8">
        <w:t xml:space="preserve"> </w:t>
      </w:r>
      <w:r w:rsidRPr="0061089B">
        <w:t>UE</w:t>
      </w:r>
      <w:r w:rsidR="003708A8">
        <w:t xml:space="preserve"> </w:t>
      </w:r>
      <w:r w:rsidRPr="0061089B">
        <w:t>L</w:t>
      </w:r>
      <w:r w:rsidR="003708A8">
        <w:t xml:space="preserve"> </w:t>
      </w:r>
      <w:r w:rsidRPr="0061089B">
        <w:t>303 z 28.11.2018</w:t>
      </w:r>
      <w:r w:rsidR="00907313">
        <w:t>, s</w:t>
      </w:r>
      <w:r w:rsidR="009C4984">
        <w:t>tr</w:t>
      </w:r>
      <w:r w:rsidR="00907313">
        <w:t>. 1</w:t>
      </w:r>
      <w:r w:rsidRPr="0061089B">
        <w:t>).</w:t>
      </w:r>
    </w:p>
    <w:p w14:paraId="2E7FF2EE" w14:textId="2AE7E23A" w:rsidR="00CA5392" w:rsidRPr="00CA5392" w:rsidRDefault="00254003" w:rsidP="00CA5392">
      <w:pPr>
        <w:pStyle w:val="ARTartustawynprozporzdzenia"/>
      </w:pPr>
      <w:r w:rsidRPr="00254003">
        <w:t>Z kolei</w:t>
      </w:r>
      <w:r>
        <w:t xml:space="preserve"> </w:t>
      </w:r>
      <w:r w:rsidRPr="00254003">
        <w:t>zmiana przewidziana w projekcie</w:t>
      </w:r>
      <w:r>
        <w:t xml:space="preserve"> </w:t>
      </w:r>
      <w:r w:rsidRPr="00254003">
        <w:t>ustaw</w:t>
      </w:r>
      <w:r>
        <w:t>y</w:t>
      </w:r>
      <w:r w:rsidRPr="00254003">
        <w:t xml:space="preserve"> z dnia 28 stycznia 2016 r. – Prawo o</w:t>
      </w:r>
      <w:r w:rsidR="00955E14">
        <w:t> </w:t>
      </w:r>
      <w:r w:rsidRPr="00254003">
        <w:t>prokuraturze (Dz. U. z 2021 r. poz</w:t>
      </w:r>
      <w:r>
        <w:t xml:space="preserve">. </w:t>
      </w:r>
      <w:r w:rsidRPr="00254003">
        <w:t>66, 1236 i 2052 oraz z 2022 poz. 655)</w:t>
      </w:r>
      <w:r w:rsidR="00CA564C">
        <w:t xml:space="preserve"> ma na celu jednoznaczne uregulowanie kwestii powoływania i odwoływan</w:t>
      </w:r>
      <w:r w:rsidR="00CF0C46">
        <w:t>i</w:t>
      </w:r>
      <w:r w:rsidR="00CA564C">
        <w:t>a dyrektorów i zastępców dyrektora departament</w:t>
      </w:r>
      <w:r w:rsidR="00CF0C46">
        <w:t xml:space="preserve">u </w:t>
      </w:r>
      <w:r w:rsidR="00CA564C">
        <w:t>lub biura Prokuratury Krajowej oraz naczelnika Wydziału Spraw Wewnętrznych, jak również w zakresie powierzenia pełnienia obowiązków w tym zakresie</w:t>
      </w:r>
      <w:r w:rsidR="00F432EA">
        <w:t>,</w:t>
      </w:r>
      <w:r w:rsidR="00CC28EC">
        <w:t xml:space="preserve"> </w:t>
      </w:r>
      <w:r w:rsidR="00CC28EC" w:rsidRPr="00CC28EC">
        <w:t>co będzie należeć do wyłącznej kompetencji Prokuratora Krajowego jako kierującego Prokuraturą Krajową. Projektowana zmiana wynika z konieczności dostosowania reguł funkcjonowania i</w:t>
      </w:r>
      <w:r w:rsidR="00955E14">
        <w:t> </w:t>
      </w:r>
      <w:r w:rsidR="00CC28EC" w:rsidRPr="00CC28EC">
        <w:t>struktury organizacyjnej Prokuratury Krajowej do nowych zadań związanych ze współpracą z Prokuraturą Europejską.</w:t>
      </w:r>
    </w:p>
    <w:p w14:paraId="24B96AB4" w14:textId="77777777" w:rsidR="0061089B" w:rsidRPr="0061089B" w:rsidRDefault="0061089B" w:rsidP="0061089B">
      <w:pPr>
        <w:pStyle w:val="NIEARTTEKSTtekstnieartykuowanynppodstprawnarozplubpreambua"/>
      </w:pPr>
      <w:r w:rsidRPr="0061089B">
        <w:t>Zakres projektu nie jest objęty prawem Unii Europejskiej.</w:t>
      </w:r>
    </w:p>
    <w:p w14:paraId="783F2E6A" w14:textId="77777777" w:rsidR="0061089B" w:rsidRPr="0061089B" w:rsidRDefault="0061089B" w:rsidP="0061089B">
      <w:pPr>
        <w:pStyle w:val="NIEARTTEKSTtekstnieartykuowanynppodstprawnarozplubpreambua"/>
      </w:pPr>
      <w:r w:rsidRPr="0061089B">
        <w:lastRenderedPageBreak/>
        <w:t>Projekt nie będzie przedstawiany właściwym organom i instytucjom Unii Europejskiej, w tym Europejskiemu Bankowi Centralnemu, w celu uzyskania opinii, dokonania powiadomienia, konsultacji albo uzgodnieniom.</w:t>
      </w:r>
    </w:p>
    <w:p w14:paraId="2AE48D19" w14:textId="1745A2B2" w:rsidR="0061089B" w:rsidRPr="0061089B" w:rsidRDefault="0061089B" w:rsidP="0061089B">
      <w:pPr>
        <w:pStyle w:val="NIEARTTEKSTtekstnieartykuowanynppodstprawnarozplubpreambua"/>
      </w:pPr>
      <w:r w:rsidRPr="0061089B">
        <w:t>Zgodnie z § 4 rozporządzenia Rady Ministrów z dnia 23 grudnia 2002 r. w sprawie sposobu funkcjonowania krajowego systemu notyfikacji norm i aktów prawnych (Dz.</w:t>
      </w:r>
      <w:r w:rsidR="00750FCB">
        <w:t xml:space="preserve"> </w:t>
      </w:r>
      <w:r w:rsidRPr="0061089B">
        <w:t>U.</w:t>
      </w:r>
      <w:r w:rsidR="00750FCB">
        <w:t xml:space="preserve"> </w:t>
      </w:r>
      <w:r w:rsidRPr="0061089B">
        <w:t xml:space="preserve">poz. 2039, z </w:t>
      </w:r>
      <w:proofErr w:type="spellStart"/>
      <w:r w:rsidRPr="0061089B">
        <w:t>późn</w:t>
      </w:r>
      <w:proofErr w:type="spellEnd"/>
      <w:r w:rsidRPr="0061089B">
        <w:t>. zm.) projekt ustawy nie podlega notyfikacji Komisji Europejskiej.</w:t>
      </w:r>
    </w:p>
    <w:p w14:paraId="1D05C3D6" w14:textId="77777777" w:rsidR="0061089B" w:rsidRPr="0061089B" w:rsidRDefault="0061089B" w:rsidP="0061089B">
      <w:pPr>
        <w:pStyle w:val="NIEARTTEKSTtekstnieartykuowanynppodstprawnarozplubpreambua"/>
      </w:pPr>
      <w:r w:rsidRPr="0061089B">
        <w:t xml:space="preserve">Zgodnie z art. 5 ustawy z dnia 7 lipca 2005 r. o działalności lobbingowej w procesie stanowienia prawa (Dz. U. z 2017 r. poz. 248) projekt został udostępniony w Biuletynie Informacji Publicznej na stronie podmiotowej Rządowego Centrum Legislacji, w serwisie Rządowy Proces Legislacyjny. </w:t>
      </w:r>
    </w:p>
    <w:p w14:paraId="0136B4B9" w14:textId="77777777" w:rsidR="0061089B" w:rsidRPr="0061089B" w:rsidRDefault="0061089B" w:rsidP="0061089B">
      <w:pPr>
        <w:pStyle w:val="ARTartustawynprozporzdzenia"/>
      </w:pPr>
      <w:r w:rsidRPr="0061089B">
        <w:t>Projekt nie dotyczy warunków określonych w uchwale nr 20 Rady Ministrów z dnia 18 lutego 2014 r. w sprawie zaleceń ujednolicenia terminów wejścia w życie niektórych aktów normatywnych (M.P. poz. 205).</w:t>
      </w:r>
    </w:p>
    <w:p w14:paraId="2ABFD7BA" w14:textId="0468114F" w:rsidR="0061089B" w:rsidRPr="0061089B" w:rsidRDefault="0061089B" w:rsidP="0061089B">
      <w:pPr>
        <w:pStyle w:val="ARTartustawynprozporzdzenia"/>
      </w:pPr>
      <w:r w:rsidRPr="0061089B">
        <w:t xml:space="preserve">Stosownie do art. 66 ust. 1 ustawy z dnia 6 marca 2018 r. </w:t>
      </w:r>
      <w:r w:rsidRPr="0061089B">
        <w:sym w:font="Symbol" w:char="F02D"/>
      </w:r>
      <w:r w:rsidRPr="0061089B">
        <w:t xml:space="preserve"> Prawo przedsiębiorców (Dz. U.</w:t>
      </w:r>
      <w:r w:rsidR="00750FCB">
        <w:t xml:space="preserve"> </w:t>
      </w:r>
      <w:r w:rsidRPr="0061089B">
        <w:t>z 2021 r. poz. 162) projektowane przepisy nie będą miały wpływu na działalność mikro</w:t>
      </w:r>
      <w:r w:rsidR="00750FCB">
        <w:t>-</w:t>
      </w:r>
      <w:r w:rsidRPr="0061089B">
        <w:t>, małych i średnich przedsiębiorców.</w:t>
      </w:r>
    </w:p>
    <w:sectPr w:rsidR="0061089B" w:rsidRPr="0061089B" w:rsidSect="001A7F15"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2E12D" w14:textId="77777777" w:rsidR="001E4BAB" w:rsidRDefault="001E4BAB">
      <w:r>
        <w:separator/>
      </w:r>
    </w:p>
  </w:endnote>
  <w:endnote w:type="continuationSeparator" w:id="0">
    <w:p w14:paraId="59A82661" w14:textId="77777777" w:rsidR="001E4BAB" w:rsidRDefault="001E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155105"/>
      <w:docPartObj>
        <w:docPartGallery w:val="Page Numbers (Bottom of Page)"/>
        <w:docPartUnique/>
      </w:docPartObj>
    </w:sdtPr>
    <w:sdtEndPr/>
    <w:sdtContent>
      <w:p w14:paraId="6D7CF391" w14:textId="520F61EC" w:rsidR="00834143" w:rsidRPr="00834143" w:rsidRDefault="00834143" w:rsidP="00834143">
        <w:pPr>
          <w:pStyle w:val="Stopka"/>
          <w:ind w:firstLine="4536"/>
        </w:pPr>
        <w:r>
          <w:fldChar w:fldCharType="begin"/>
        </w:r>
        <w:r w:rsidRPr="00834143">
          <w:instrText>PAGE   \* MERGEFORMAT</w:instrText>
        </w:r>
        <w:r>
          <w:fldChar w:fldCharType="separate"/>
        </w:r>
        <w:r w:rsidR="0045021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81EAB" w14:textId="77777777" w:rsidR="001E4BAB" w:rsidRDefault="001E4BAB">
      <w:r>
        <w:separator/>
      </w:r>
    </w:p>
  </w:footnote>
  <w:footnote w:type="continuationSeparator" w:id="0">
    <w:p w14:paraId="5F280B96" w14:textId="77777777" w:rsidR="001E4BAB" w:rsidRDefault="001E4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9B"/>
    <w:rsid w:val="000012DA"/>
    <w:rsid w:val="0000246E"/>
    <w:rsid w:val="00003862"/>
    <w:rsid w:val="00010F78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295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044"/>
    <w:rsid w:val="00180F2A"/>
    <w:rsid w:val="00182545"/>
    <w:rsid w:val="00184B91"/>
    <w:rsid w:val="00184D4A"/>
    <w:rsid w:val="00186EC1"/>
    <w:rsid w:val="00190C6F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81A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BAB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4003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C85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24C"/>
    <w:rsid w:val="003148FD"/>
    <w:rsid w:val="00321080"/>
    <w:rsid w:val="00321A06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FCB"/>
    <w:rsid w:val="00352DAE"/>
    <w:rsid w:val="00354EB9"/>
    <w:rsid w:val="003602AE"/>
    <w:rsid w:val="00360929"/>
    <w:rsid w:val="003647D5"/>
    <w:rsid w:val="003674B0"/>
    <w:rsid w:val="003708A8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1F01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928"/>
    <w:rsid w:val="003D12C2"/>
    <w:rsid w:val="003D31B9"/>
    <w:rsid w:val="003D3867"/>
    <w:rsid w:val="003D5B24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07B"/>
    <w:rsid w:val="00432B76"/>
    <w:rsid w:val="00434D01"/>
    <w:rsid w:val="00435D26"/>
    <w:rsid w:val="00440C99"/>
    <w:rsid w:val="0044175C"/>
    <w:rsid w:val="00445F4D"/>
    <w:rsid w:val="00450210"/>
    <w:rsid w:val="004504C0"/>
    <w:rsid w:val="004550FB"/>
    <w:rsid w:val="0046111A"/>
    <w:rsid w:val="00462946"/>
    <w:rsid w:val="00463F43"/>
    <w:rsid w:val="00464B94"/>
    <w:rsid w:val="004653A8"/>
    <w:rsid w:val="0046544E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714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E06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0EB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41D8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44F"/>
    <w:rsid w:val="00607A93"/>
    <w:rsid w:val="0061089B"/>
    <w:rsid w:val="00610C08"/>
    <w:rsid w:val="00611F74"/>
    <w:rsid w:val="00615772"/>
    <w:rsid w:val="00621256"/>
    <w:rsid w:val="00621FCC"/>
    <w:rsid w:val="00622E4B"/>
    <w:rsid w:val="00631CC5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BEC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FCB"/>
    <w:rsid w:val="0075171A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4143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671"/>
    <w:rsid w:val="008F612A"/>
    <w:rsid w:val="0090293D"/>
    <w:rsid w:val="009034DE"/>
    <w:rsid w:val="00905396"/>
    <w:rsid w:val="0090605D"/>
    <w:rsid w:val="00906419"/>
    <w:rsid w:val="00907313"/>
    <w:rsid w:val="00912889"/>
    <w:rsid w:val="00913A42"/>
    <w:rsid w:val="00914167"/>
    <w:rsid w:val="009143DB"/>
    <w:rsid w:val="00915065"/>
    <w:rsid w:val="00917CE5"/>
    <w:rsid w:val="009217C0"/>
    <w:rsid w:val="00925241"/>
    <w:rsid w:val="009254C4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5E14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890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98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46D9"/>
    <w:rsid w:val="009F501D"/>
    <w:rsid w:val="00A039D5"/>
    <w:rsid w:val="00A046AD"/>
    <w:rsid w:val="00A079C1"/>
    <w:rsid w:val="00A10622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5C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4C4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1221"/>
    <w:rsid w:val="00A94574"/>
    <w:rsid w:val="00A95936"/>
    <w:rsid w:val="00A96265"/>
    <w:rsid w:val="00A96FAF"/>
    <w:rsid w:val="00A97084"/>
    <w:rsid w:val="00AA1C2C"/>
    <w:rsid w:val="00AA35F6"/>
    <w:rsid w:val="00AA53AE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65C3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4355"/>
    <w:rsid w:val="00BA561A"/>
    <w:rsid w:val="00BB0DC6"/>
    <w:rsid w:val="00BB15E4"/>
    <w:rsid w:val="00BB1E19"/>
    <w:rsid w:val="00BB21D1"/>
    <w:rsid w:val="00BB23C2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FC5"/>
    <w:rsid w:val="00C72223"/>
    <w:rsid w:val="00C76417"/>
    <w:rsid w:val="00C7726F"/>
    <w:rsid w:val="00C80766"/>
    <w:rsid w:val="00C823DA"/>
    <w:rsid w:val="00C8259F"/>
    <w:rsid w:val="00C82746"/>
    <w:rsid w:val="00C8312F"/>
    <w:rsid w:val="00C84C47"/>
    <w:rsid w:val="00C858A4"/>
    <w:rsid w:val="00C86AFA"/>
    <w:rsid w:val="00CA5392"/>
    <w:rsid w:val="00CA564C"/>
    <w:rsid w:val="00CB18D0"/>
    <w:rsid w:val="00CB1C8A"/>
    <w:rsid w:val="00CB24F5"/>
    <w:rsid w:val="00CB2663"/>
    <w:rsid w:val="00CB3BBE"/>
    <w:rsid w:val="00CB59E9"/>
    <w:rsid w:val="00CC0D6A"/>
    <w:rsid w:val="00CC28EC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0C46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256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AFA"/>
    <w:rsid w:val="00E37C2F"/>
    <w:rsid w:val="00E41C28"/>
    <w:rsid w:val="00E46308"/>
    <w:rsid w:val="00E51E17"/>
    <w:rsid w:val="00E52DAB"/>
    <w:rsid w:val="00E539B0"/>
    <w:rsid w:val="00E55994"/>
    <w:rsid w:val="00E60606"/>
    <w:rsid w:val="00E60C3F"/>
    <w:rsid w:val="00E60C66"/>
    <w:rsid w:val="00E6164D"/>
    <w:rsid w:val="00E618C9"/>
    <w:rsid w:val="00E62774"/>
    <w:rsid w:val="00E6307C"/>
    <w:rsid w:val="00E636FA"/>
    <w:rsid w:val="00E64977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DAD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811"/>
    <w:rsid w:val="00F33F8B"/>
    <w:rsid w:val="00F340B2"/>
    <w:rsid w:val="00F432E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92A"/>
    <w:rsid w:val="00FF1DD7"/>
    <w:rsid w:val="00FF3BF9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638BAA"/>
  <w15:docId w15:val="{D481F1FF-877C-4F94-A9B3-73A62F10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1D2CF7-A223-4881-91D5-CD083615F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1201</Words>
  <Characters>7211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Użytkownik</dc:creator>
  <cp:lastModifiedBy>Czarnecka Grażyna</cp:lastModifiedBy>
  <cp:revision>3</cp:revision>
  <cp:lastPrinted>2012-04-23T06:39:00Z</cp:lastPrinted>
  <dcterms:created xsi:type="dcterms:W3CDTF">2022-06-10T12:55:00Z</dcterms:created>
  <dcterms:modified xsi:type="dcterms:W3CDTF">2022-06-13T07:28:00Z</dcterms:modified>
  <cp:category>000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