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9D198" w14:textId="77777777" w:rsidR="00144F1C" w:rsidRPr="00144F1C" w:rsidRDefault="00144F1C" w:rsidP="00144F1C">
      <w:pPr>
        <w:pStyle w:val="ARTartustawynprozporzdzenia"/>
        <w:spacing w:before="0" w:line="276" w:lineRule="auto"/>
        <w:ind w:firstLine="0"/>
        <w:jc w:val="center"/>
        <w:rPr>
          <w:rFonts w:ascii="Times New Roman" w:hAnsi="Times New Roman" w:cs="Times New Roman"/>
          <w:b/>
          <w:szCs w:val="24"/>
        </w:rPr>
      </w:pPr>
      <w:bookmarkStart w:id="0" w:name="_GoBack"/>
      <w:bookmarkEnd w:id="0"/>
      <w:r w:rsidRPr="00144F1C">
        <w:rPr>
          <w:rFonts w:ascii="Times New Roman" w:hAnsi="Times New Roman" w:cs="Times New Roman"/>
          <w:b/>
          <w:szCs w:val="24"/>
        </w:rPr>
        <w:t>UZASADNIENIE</w:t>
      </w:r>
    </w:p>
    <w:p w14:paraId="64656338" w14:textId="77777777" w:rsidR="004B7A78" w:rsidRDefault="004B7A78" w:rsidP="00C11274">
      <w:pPr>
        <w:pStyle w:val="ARTartustawynprozporzdzenia"/>
        <w:spacing w:before="0" w:line="276" w:lineRule="auto"/>
        <w:rPr>
          <w:rFonts w:ascii="Times New Roman" w:hAnsi="Times New Roman" w:cs="Times New Roman"/>
          <w:bCs/>
          <w:szCs w:val="24"/>
        </w:rPr>
      </w:pPr>
    </w:p>
    <w:p w14:paraId="5BDA69F1" w14:textId="1601F6CA" w:rsidR="003D5EE0" w:rsidRPr="00C6391A" w:rsidRDefault="006C4633" w:rsidP="004B7A78">
      <w:pPr>
        <w:pStyle w:val="ARTartustawynprozporzdzenia"/>
        <w:spacing w:before="0"/>
        <w:rPr>
          <w:rFonts w:ascii="Times New Roman" w:hAnsi="Times New Roman" w:cs="Times New Roman"/>
          <w:bCs/>
          <w:szCs w:val="24"/>
        </w:rPr>
      </w:pPr>
      <w:r>
        <w:rPr>
          <w:rFonts w:ascii="Times New Roman" w:hAnsi="Times New Roman" w:cs="Times New Roman"/>
          <w:bCs/>
          <w:szCs w:val="24"/>
        </w:rPr>
        <w:t>P</w:t>
      </w:r>
      <w:r w:rsidR="003D5EE0" w:rsidRPr="00C6391A">
        <w:rPr>
          <w:rFonts w:ascii="Times New Roman" w:hAnsi="Times New Roman" w:cs="Times New Roman"/>
          <w:bCs/>
          <w:szCs w:val="24"/>
        </w:rPr>
        <w:t>roponowane zmiany do ustawy poszerzają katalog źródeł zasilania Funduszu Wsparcia Sił Zbrojnych („Fundusz”), zwiększając tym samym możliwość finansowania obronności kraju. Potrzeba wprowadzenia zmian powstała</w:t>
      </w:r>
      <w:r w:rsidR="009C4C6E">
        <w:rPr>
          <w:rFonts w:ascii="Times New Roman" w:hAnsi="Times New Roman" w:cs="Times New Roman"/>
          <w:bCs/>
          <w:szCs w:val="24"/>
        </w:rPr>
        <w:t xml:space="preserve"> w związku z przeprowadzonymi w </w:t>
      </w:r>
      <w:r w:rsidR="003D5EE0" w:rsidRPr="00C6391A">
        <w:rPr>
          <w:rFonts w:ascii="Times New Roman" w:hAnsi="Times New Roman" w:cs="Times New Roman"/>
          <w:bCs/>
          <w:szCs w:val="24"/>
        </w:rPr>
        <w:t>Ministerstwie Obrony Narodowej pracami analitycznymi dotyczącymi obowiązujących przepisów, w wyniku których zidentyfikowano przepisy wymagające zmiany i uproszczenia. Projektowane zmiany mają również na celu usunięcie zapisów budzących wątpliwości interpretacyjne.</w:t>
      </w:r>
      <w:r w:rsidR="00CD0124" w:rsidRPr="00C6391A">
        <w:rPr>
          <w:rFonts w:ascii="Times New Roman" w:hAnsi="Times New Roman" w:cs="Times New Roman"/>
          <w:bCs/>
          <w:szCs w:val="24"/>
        </w:rPr>
        <w:t xml:space="preserve"> </w:t>
      </w:r>
      <w:r w:rsidR="003D5EE0" w:rsidRPr="00C6391A">
        <w:rPr>
          <w:rFonts w:ascii="Times New Roman" w:hAnsi="Times New Roman" w:cs="Times New Roman"/>
          <w:bCs/>
          <w:szCs w:val="24"/>
        </w:rPr>
        <w:t>Projektowane zmiany polegają m.in. na wprowadzeniu modyfikacji w zakresie</w:t>
      </w:r>
    </w:p>
    <w:p w14:paraId="651F2574" w14:textId="59909A9F" w:rsidR="003D5EE0" w:rsidRPr="00C6391A" w:rsidRDefault="003D5EE0" w:rsidP="004B7A78">
      <w:pPr>
        <w:pStyle w:val="ARTartustawynprozporzdzenia"/>
        <w:spacing w:before="0"/>
        <w:ind w:firstLine="0"/>
        <w:rPr>
          <w:rFonts w:ascii="Times New Roman" w:hAnsi="Times New Roman" w:cs="Times New Roman"/>
          <w:bCs/>
          <w:szCs w:val="24"/>
        </w:rPr>
      </w:pPr>
      <w:r w:rsidRPr="00C6391A">
        <w:rPr>
          <w:rFonts w:ascii="Times New Roman" w:hAnsi="Times New Roman" w:cs="Times New Roman"/>
          <w:bCs/>
          <w:szCs w:val="24"/>
        </w:rPr>
        <w:t xml:space="preserve">źródeł finansowania </w:t>
      </w:r>
      <w:r w:rsidR="009522B3">
        <w:rPr>
          <w:rFonts w:ascii="Times New Roman" w:hAnsi="Times New Roman" w:cs="Times New Roman"/>
          <w:bCs/>
          <w:szCs w:val="24"/>
        </w:rPr>
        <w:t>Funduszu Wsparcia Sił Zbrojnych</w:t>
      </w:r>
      <w:r w:rsidR="007A5032">
        <w:rPr>
          <w:rFonts w:ascii="Times New Roman" w:hAnsi="Times New Roman" w:cs="Times New Roman"/>
          <w:bCs/>
          <w:szCs w:val="24"/>
        </w:rPr>
        <w:t>.</w:t>
      </w:r>
    </w:p>
    <w:p w14:paraId="751BB828" w14:textId="77777777" w:rsidR="003D5EE0" w:rsidRPr="00C6391A" w:rsidRDefault="003D5EE0" w:rsidP="004B7A78">
      <w:pPr>
        <w:pStyle w:val="ARTartustawynprozporzdzenia"/>
        <w:spacing w:before="0"/>
        <w:rPr>
          <w:rFonts w:ascii="Times New Roman" w:hAnsi="Times New Roman" w:cs="Times New Roman"/>
          <w:bCs/>
          <w:szCs w:val="24"/>
        </w:rPr>
      </w:pPr>
      <w:r w:rsidRPr="00C6391A">
        <w:rPr>
          <w:rFonts w:ascii="Times New Roman" w:hAnsi="Times New Roman" w:cs="Times New Roman"/>
          <w:szCs w:val="24"/>
        </w:rPr>
        <w:t>Projekt</w:t>
      </w:r>
      <w:r w:rsidRPr="00C6391A">
        <w:rPr>
          <w:rFonts w:ascii="Times New Roman" w:hAnsi="Times New Roman" w:cs="Times New Roman"/>
          <w:bCs/>
          <w:szCs w:val="24"/>
        </w:rPr>
        <w:t xml:space="preserve"> zakłada wprowadzenie w miejsce dotychczasowego źródła zasilania Funduszu opierającego się na środkach pochodzących z wyemitowanych przez Bank Gospodarstwa Krajowego obligacji, szerszego katalogu źródeł zasilania opierających się na pozyskiwanych przez Bank Gospodarstwa Krajowego także innych zwrotnych środkach finansowych, takich jak kredyty i pożyczki. Umożliwi to dywersyfikację strumieni finansowych zasilających Fundusz </w:t>
      </w:r>
      <w:r w:rsidR="00CD18FE" w:rsidRPr="00C6391A">
        <w:rPr>
          <w:rFonts w:ascii="Times New Roman" w:hAnsi="Times New Roman" w:cs="Times New Roman"/>
          <w:bCs/>
          <w:szCs w:val="24"/>
        </w:rPr>
        <w:t>przez</w:t>
      </w:r>
      <w:r w:rsidRPr="00C6391A">
        <w:rPr>
          <w:rFonts w:ascii="Times New Roman" w:hAnsi="Times New Roman" w:cs="Times New Roman"/>
          <w:bCs/>
          <w:szCs w:val="24"/>
        </w:rPr>
        <w:t xml:space="preserve"> pozyskiwanie dodatkowych zwrotnych środ</w:t>
      </w:r>
      <w:r w:rsidR="009C4C6E">
        <w:rPr>
          <w:rFonts w:ascii="Times New Roman" w:hAnsi="Times New Roman" w:cs="Times New Roman"/>
          <w:bCs/>
          <w:szCs w:val="24"/>
        </w:rPr>
        <w:t>ków finansowych (obok środków z </w:t>
      </w:r>
      <w:r w:rsidRPr="00C6391A">
        <w:rPr>
          <w:rFonts w:ascii="Times New Roman" w:hAnsi="Times New Roman" w:cs="Times New Roman"/>
          <w:bCs/>
          <w:szCs w:val="24"/>
        </w:rPr>
        <w:t>dotychczasowych obligacji), pochodzących między</w:t>
      </w:r>
      <w:r w:rsidR="009C4C6E">
        <w:rPr>
          <w:rFonts w:ascii="Times New Roman" w:hAnsi="Times New Roman" w:cs="Times New Roman"/>
          <w:bCs/>
          <w:szCs w:val="24"/>
        </w:rPr>
        <w:t xml:space="preserve"> innymi z kredytów i pożyczek z </w:t>
      </w:r>
      <w:r w:rsidRPr="00C6391A">
        <w:rPr>
          <w:rFonts w:ascii="Times New Roman" w:hAnsi="Times New Roman" w:cs="Times New Roman"/>
          <w:bCs/>
          <w:szCs w:val="24"/>
        </w:rPr>
        <w:t>międzynarodowych instytucji finansowych. Wprowadzenie proponowanego rozwiązania zapewni również zwiększenie poziomu finansowania pr</w:t>
      </w:r>
      <w:r w:rsidR="009C4C6E">
        <w:rPr>
          <w:rFonts w:ascii="Times New Roman" w:hAnsi="Times New Roman" w:cs="Times New Roman"/>
          <w:bCs/>
          <w:szCs w:val="24"/>
        </w:rPr>
        <w:t>ogramu rozwoju Sił Zbrojnych, o </w:t>
      </w:r>
      <w:r w:rsidRPr="00C6391A">
        <w:rPr>
          <w:rFonts w:ascii="Times New Roman" w:hAnsi="Times New Roman" w:cs="Times New Roman"/>
          <w:bCs/>
          <w:szCs w:val="24"/>
        </w:rPr>
        <w:t>którym mowa w art. 37 ustawy oraz umożliwi bardziej elastyczne podejście do zasilania Funduszu i wykorzystanie dostępnych na rynku innych instrumentów niż emisja obligacji.</w:t>
      </w:r>
    </w:p>
    <w:p w14:paraId="4374D23D" w14:textId="77777777" w:rsidR="003D5EE0" w:rsidRPr="00C6391A" w:rsidRDefault="003D5EE0" w:rsidP="004B7A78">
      <w:pPr>
        <w:pStyle w:val="ARTartustawynprozporzdzenia"/>
        <w:spacing w:before="0"/>
        <w:rPr>
          <w:rFonts w:ascii="Times New Roman" w:hAnsi="Times New Roman" w:cs="Times New Roman"/>
          <w:bCs/>
          <w:szCs w:val="24"/>
        </w:rPr>
      </w:pPr>
      <w:r w:rsidRPr="00C6391A">
        <w:rPr>
          <w:rFonts w:ascii="Times New Roman" w:hAnsi="Times New Roman" w:cs="Times New Roman"/>
          <w:szCs w:val="24"/>
        </w:rPr>
        <w:t>Proponowane</w:t>
      </w:r>
      <w:r w:rsidRPr="00C6391A">
        <w:rPr>
          <w:rFonts w:ascii="Times New Roman" w:hAnsi="Times New Roman" w:cs="Times New Roman"/>
          <w:bCs/>
          <w:szCs w:val="24"/>
        </w:rPr>
        <w:t xml:space="preserve"> instrumenty dłużne w postaci wskazanych w projektowanej zmianie kredytów i pożyczek funkcjonują także w konstrukcji innych funduszy utworzonych w Banku Gospodarstwa Krajowego. W szczególności stosowane są w finansowaniu Krajowego Funduszu Drogowego, który ma na celu usprawnienie procesu inwestycyjnego budowy dróg oraz podniesienia efektywności wykorzystania środków publicznych </w:t>
      </w:r>
      <w:r w:rsidR="00CD18FE" w:rsidRPr="00C6391A">
        <w:rPr>
          <w:rFonts w:ascii="Times New Roman" w:hAnsi="Times New Roman" w:cs="Times New Roman"/>
          <w:bCs/>
          <w:szCs w:val="24"/>
        </w:rPr>
        <w:t>przez</w:t>
      </w:r>
      <w:r w:rsidRPr="00C6391A">
        <w:rPr>
          <w:rFonts w:ascii="Times New Roman" w:hAnsi="Times New Roman" w:cs="Times New Roman"/>
          <w:bCs/>
          <w:szCs w:val="24"/>
        </w:rPr>
        <w:t xml:space="preserve"> wsparcie realizacji rządowego programu budowy dróg.</w:t>
      </w:r>
    </w:p>
    <w:p w14:paraId="73B243CD" w14:textId="77777777" w:rsidR="003D5EE0" w:rsidRPr="00C6391A" w:rsidRDefault="003D5EE0" w:rsidP="004B7A78">
      <w:pPr>
        <w:pStyle w:val="ARTartustawynprozporzdzenia"/>
        <w:spacing w:before="0"/>
        <w:rPr>
          <w:rFonts w:ascii="Times New Roman" w:hAnsi="Times New Roman" w:cs="Times New Roman"/>
          <w:bCs/>
          <w:szCs w:val="24"/>
        </w:rPr>
      </w:pPr>
      <w:r w:rsidRPr="00C6391A">
        <w:rPr>
          <w:rFonts w:ascii="Times New Roman" w:hAnsi="Times New Roman" w:cs="Times New Roman"/>
          <w:szCs w:val="24"/>
        </w:rPr>
        <w:t>Dodatkowo</w:t>
      </w:r>
      <w:r w:rsidRPr="00C6391A">
        <w:rPr>
          <w:rFonts w:ascii="Times New Roman" w:hAnsi="Times New Roman" w:cs="Times New Roman"/>
          <w:bCs/>
          <w:szCs w:val="24"/>
        </w:rPr>
        <w:t xml:space="preserve"> projekt przewiduje:</w:t>
      </w:r>
    </w:p>
    <w:p w14:paraId="18E000EB" w14:textId="77777777" w:rsidR="003D5EE0" w:rsidRPr="00C6391A" w:rsidRDefault="003D5EE0" w:rsidP="004B7A78">
      <w:pPr>
        <w:pStyle w:val="ARTartustawynprozporzdzenia"/>
        <w:numPr>
          <w:ilvl w:val="0"/>
          <w:numId w:val="11"/>
        </w:numPr>
        <w:spacing w:before="0"/>
        <w:ind w:left="426" w:hanging="426"/>
        <w:rPr>
          <w:rFonts w:ascii="Times New Roman" w:hAnsi="Times New Roman" w:cs="Times New Roman"/>
          <w:bCs/>
          <w:szCs w:val="24"/>
        </w:rPr>
      </w:pPr>
      <w:r w:rsidRPr="00C6391A">
        <w:rPr>
          <w:rFonts w:ascii="Times New Roman" w:hAnsi="Times New Roman" w:cs="Times New Roman"/>
          <w:bCs/>
          <w:szCs w:val="24"/>
        </w:rPr>
        <w:t xml:space="preserve">usunięcie jako źródła finansowania wpływów z tytułu przychodów, o których mowa w art. 4 ust. 6 ustawy z dnia 10 lipca 2008 r. o zmianie ustawy o gospodarowaniu niektórymi składnikami mienia Skarbu Państwa oraz o Agencji Mienia Wojskowego oraz o zmianie niektórych innych ustaw (Dz. U. poz. 901) co podyktowane jest wygaśnięciem wskazanego aktu prawnego w zakresie regulacji stanowiącej podstawę do przekazywania na rzecz </w:t>
      </w:r>
      <w:r w:rsidRPr="00C6391A">
        <w:rPr>
          <w:rFonts w:ascii="Times New Roman" w:hAnsi="Times New Roman" w:cs="Times New Roman"/>
          <w:bCs/>
          <w:szCs w:val="24"/>
        </w:rPr>
        <w:lastRenderedPageBreak/>
        <w:t>Funduszu Wsparcia Sił Zbrojnych przez JST śr</w:t>
      </w:r>
      <w:r w:rsidR="009C4C6E">
        <w:rPr>
          <w:rFonts w:ascii="Times New Roman" w:hAnsi="Times New Roman" w:cs="Times New Roman"/>
          <w:bCs/>
          <w:szCs w:val="24"/>
        </w:rPr>
        <w:t>odków 30% dochodów uzyskanych z </w:t>
      </w:r>
      <w:r w:rsidRPr="00C6391A">
        <w:rPr>
          <w:rFonts w:ascii="Times New Roman" w:hAnsi="Times New Roman" w:cs="Times New Roman"/>
          <w:bCs/>
          <w:szCs w:val="24"/>
        </w:rPr>
        <w:t>gospodarowania darowaną nieruchomością;</w:t>
      </w:r>
    </w:p>
    <w:p w14:paraId="648FEB25" w14:textId="77777777" w:rsidR="003D5EE0" w:rsidRPr="00C6391A" w:rsidRDefault="003D5EE0" w:rsidP="004B7A78">
      <w:pPr>
        <w:pStyle w:val="ARTartustawynprozporzdzenia"/>
        <w:numPr>
          <w:ilvl w:val="0"/>
          <w:numId w:val="11"/>
        </w:numPr>
        <w:spacing w:before="0"/>
        <w:ind w:left="426" w:hanging="426"/>
        <w:rPr>
          <w:rFonts w:ascii="Times New Roman" w:hAnsi="Times New Roman" w:cs="Times New Roman"/>
          <w:bCs/>
          <w:szCs w:val="24"/>
        </w:rPr>
      </w:pPr>
      <w:r w:rsidRPr="00C6391A">
        <w:rPr>
          <w:rFonts w:ascii="Times New Roman" w:hAnsi="Times New Roman" w:cs="Times New Roman"/>
          <w:bCs/>
          <w:szCs w:val="24"/>
        </w:rPr>
        <w:t>zmiany w zakresie wpływów Funduszu Wsparcia Sił Zbrojnych z tytułu, o którym mowa w art. 41 ust. 4 pkt 7. Z uwagi na wątpliwości interpretacyjne zmieniono zapis wskazując literalnie, iż pkt ten dotyczy środków uzyskanych w toku realizacji umów zawartych przez jednostki budżetowe RON niezależnie od źródła finansowania tych umów. Dodatkowo ograniczono kwestie zwracanych zaliczek do wypłacanych w poprzednich latach budżetowych;</w:t>
      </w:r>
    </w:p>
    <w:p w14:paraId="003CD7FE" w14:textId="50277D62" w:rsidR="003D5EE0" w:rsidRPr="00C6391A" w:rsidRDefault="003D5EE0" w:rsidP="004B7A78">
      <w:pPr>
        <w:pStyle w:val="ARTartustawynprozporzdzenia"/>
        <w:numPr>
          <w:ilvl w:val="0"/>
          <w:numId w:val="11"/>
        </w:numPr>
        <w:spacing w:before="0"/>
        <w:ind w:left="426" w:hanging="426"/>
        <w:rPr>
          <w:rFonts w:ascii="Times New Roman" w:hAnsi="Times New Roman" w:cs="Times New Roman"/>
          <w:bCs/>
          <w:szCs w:val="24"/>
        </w:rPr>
      </w:pPr>
      <w:r w:rsidRPr="00C6391A">
        <w:rPr>
          <w:rFonts w:ascii="Times New Roman" w:hAnsi="Times New Roman" w:cs="Times New Roman"/>
          <w:bCs/>
          <w:szCs w:val="24"/>
        </w:rPr>
        <w:t>dodano nowy kierunek wpływów Funduszu Wsparcia Sił Zbrojnych, którym są środki pochodzące ze źródeł zagranicznych niepodlegające zwrotowi, o których mowa w art. 5 ust. 1 pkt 3 ufp otrzymane przez RON. Potrzeba rozszerzenia katalogu wpływów Funduszu Wsparcia Sił Zbrojnych wynika z powstawania inicjatyw międzynarodowych, w ramach których istnieje możliwość pozyskiwania środków zagranicznych (innych niż z budżetu Unii Europejskiej) przeznaczonych m.in. na zakupy SpW. Z uwagi na klasyfikowanie ww. środków jako „pozabudżetowe” zasadnym jest stosowne rozszerzenie katalogu wpływów Funduszu.</w:t>
      </w:r>
    </w:p>
    <w:p w14:paraId="06829AA8" w14:textId="77777777" w:rsidR="001D2A05" w:rsidRPr="00C6391A" w:rsidRDefault="001D2A05" w:rsidP="004B7A78">
      <w:pPr>
        <w:pStyle w:val="PKTpunkt"/>
        <w:ind w:left="0" w:firstLine="567"/>
        <w:rPr>
          <w:rFonts w:cs="Times New Roman"/>
          <w:bCs w:val="0"/>
          <w:szCs w:val="24"/>
        </w:rPr>
      </w:pPr>
      <w:r w:rsidRPr="00C6391A">
        <w:rPr>
          <w:rFonts w:cs="Times New Roman"/>
          <w:bCs w:val="0"/>
          <w:szCs w:val="24"/>
        </w:rPr>
        <w:t xml:space="preserve">W art. 49 dodano nowy ust. 9, na podstawie którego przepisów ust. 2–8 tego artykułu nie stosuje się do zamówień podlegających szczególnej procedurze na podstawie umowy międzynarodowej, której stroną jest Rzeczpospolita Polska, lub porozumienia zawieranego na szczeblu ministerialnym lub zamówień, o których mowa w </w:t>
      </w:r>
      <w:hyperlink r:id="rId8" w:history="1">
        <w:r w:rsidRPr="00C6391A">
          <w:rPr>
            <w:rFonts w:cs="Times New Roman"/>
            <w:bCs w:val="0"/>
            <w:szCs w:val="24"/>
          </w:rPr>
          <w:t>art. 13 ust. 1 pkt 7</w:t>
        </w:r>
      </w:hyperlink>
      <w:r w:rsidRPr="00C6391A">
        <w:rPr>
          <w:rFonts w:cs="Times New Roman"/>
          <w:bCs w:val="0"/>
          <w:szCs w:val="24"/>
        </w:rPr>
        <w:t xml:space="preserve"> ustawy z dnia 11 września 2019 r. – Prawo zamówień publicznych.</w:t>
      </w:r>
    </w:p>
    <w:p w14:paraId="5B73C4B8" w14:textId="0F1A3919" w:rsidR="001D2A05" w:rsidRPr="00C6391A" w:rsidRDefault="001D2A05" w:rsidP="004B7A78">
      <w:pPr>
        <w:pStyle w:val="ARTartustawynprozporzdzenia"/>
        <w:spacing w:before="0"/>
        <w:rPr>
          <w:rFonts w:ascii="Times New Roman" w:hAnsi="Times New Roman" w:cs="Times New Roman"/>
          <w:szCs w:val="24"/>
        </w:rPr>
      </w:pPr>
      <w:r w:rsidRPr="00C6391A">
        <w:rPr>
          <w:rFonts w:ascii="Times New Roman" w:hAnsi="Times New Roman" w:cs="Times New Roman"/>
          <w:szCs w:val="24"/>
        </w:rPr>
        <w:t>Wybór programu Foreign Military Sales (FMS) jako sposobu pozyskania usług i sprzętu wojskowego wiąże się z bezwarunkowym przyjęciem zasad i warunków określonych przez stronę amerykańską, stanowiących przedmiot prawa amerykańskiego. Obligatoryjność dostosowania się do harmonogramu płatności określa</w:t>
      </w:r>
      <w:r w:rsidR="009C4C6E">
        <w:rPr>
          <w:rFonts w:ascii="Times New Roman" w:hAnsi="Times New Roman" w:cs="Times New Roman"/>
          <w:szCs w:val="24"/>
        </w:rPr>
        <w:t>nego przez stronę amerykańską w </w:t>
      </w:r>
      <w:r w:rsidRPr="00C6391A">
        <w:rPr>
          <w:rFonts w:ascii="Times New Roman" w:hAnsi="Times New Roman" w:cs="Times New Roman"/>
          <w:szCs w:val="24"/>
        </w:rPr>
        <w:t>programie FMS wynika z amerykańskiej dyrektywy DOD 5105.38-M, Security Assistance Management Manual (SAMM).</w:t>
      </w:r>
      <w:r w:rsidR="00EA43E8">
        <w:rPr>
          <w:rFonts w:ascii="Times New Roman" w:hAnsi="Times New Roman" w:cs="Times New Roman"/>
          <w:szCs w:val="24"/>
        </w:rPr>
        <w:t xml:space="preserve"> </w:t>
      </w:r>
      <w:r w:rsidRPr="00C6391A">
        <w:rPr>
          <w:rFonts w:ascii="Times New Roman" w:hAnsi="Times New Roman" w:cs="Times New Roman"/>
          <w:szCs w:val="24"/>
        </w:rPr>
        <w:t xml:space="preserve">SAMM dostępny jest na stronie agencji rządu USA - Defense Security Cooperation Agency. Zgodnie z ww. dyrektywą realizacja umowy Letter of Offer and Acceptance (LOA) uzależniona jest od uiszczenia przez zamawiającego przedpłaty (paragraf 6.1.1 ww. dyrektywy), której wysokość określana jest przez rząd USA w umowie LOA. W przypadku programu FMS środki finansowe przekazywane są na konto agencji rządowej DFAS (Defense Finance and Accounting Service), a gwarantem realizacji umowy LOA oraz zabezpieczenia przekazanych środków finansowych jest rząd USA, który prowadzi proces kontraktacji w imieniu zamawiającego. </w:t>
      </w:r>
    </w:p>
    <w:p w14:paraId="034EAEB3" w14:textId="77777777" w:rsidR="001D2A05" w:rsidRPr="00C6391A" w:rsidRDefault="001D2A05" w:rsidP="004B7A78">
      <w:pPr>
        <w:pStyle w:val="ARTartustawynprozporzdzenia"/>
        <w:spacing w:before="0"/>
        <w:rPr>
          <w:rFonts w:ascii="Times New Roman" w:hAnsi="Times New Roman" w:cs="Times New Roman"/>
          <w:szCs w:val="24"/>
        </w:rPr>
      </w:pPr>
      <w:r w:rsidRPr="00C6391A">
        <w:rPr>
          <w:rFonts w:ascii="Times New Roman" w:hAnsi="Times New Roman" w:cs="Times New Roman"/>
          <w:szCs w:val="24"/>
        </w:rPr>
        <w:lastRenderedPageBreak/>
        <w:t>Udzielenie zamówienia za pośrednictwem NATO Su</w:t>
      </w:r>
      <w:r w:rsidR="009C4C6E">
        <w:rPr>
          <w:rFonts w:ascii="Times New Roman" w:hAnsi="Times New Roman" w:cs="Times New Roman"/>
          <w:szCs w:val="24"/>
        </w:rPr>
        <w:t>pport Agency (NSPA) wiąże się z </w:t>
      </w:r>
      <w:r w:rsidRPr="00C6391A">
        <w:rPr>
          <w:rFonts w:ascii="Times New Roman" w:hAnsi="Times New Roman" w:cs="Times New Roman"/>
          <w:szCs w:val="24"/>
        </w:rPr>
        <w:t xml:space="preserve">przyjęciem zasad, które obowiązują w NSPA. Udzielanie </w:t>
      </w:r>
      <w:r w:rsidR="009C4C6E">
        <w:rPr>
          <w:rFonts w:ascii="Times New Roman" w:hAnsi="Times New Roman" w:cs="Times New Roman"/>
          <w:szCs w:val="24"/>
        </w:rPr>
        <w:t>zaliczek/przedpłat wynika z </w:t>
      </w:r>
      <w:r w:rsidRPr="00C6391A">
        <w:rPr>
          <w:rFonts w:ascii="Times New Roman" w:hAnsi="Times New Roman" w:cs="Times New Roman"/>
          <w:szCs w:val="24"/>
        </w:rPr>
        <w:t xml:space="preserve">przepisów Dyrektywy Funkcjonalnej NSPO nr 410, która jest podstawowym dokumentem regulującym w NSPA zasady i procedury finansowe – zawiera ona przepisy wykonawcze do Karty NSPO nadanej przez Radę Północnoatlantycką zgodnie z postanowieniami Traktatu Waszyngtońskiego i umowy ottawskiej. </w:t>
      </w:r>
      <w:r w:rsidRPr="00C6391A">
        <w:rPr>
          <w:rFonts w:ascii="Times New Roman" w:hAnsi="Times New Roman" w:cs="Times New Roman"/>
          <w:szCs w:val="24"/>
          <w:lang w:val="en-US"/>
        </w:rPr>
        <w:t xml:space="preserve">Reguła FRP XXII.C.4 dyrektywy stanowi: "The Agency may request advance payments for supplies and services funded from operational budgets.” </w:t>
      </w:r>
      <w:r w:rsidRPr="00C6391A">
        <w:rPr>
          <w:rFonts w:ascii="Times New Roman" w:hAnsi="Times New Roman" w:cs="Times New Roman"/>
          <w:szCs w:val="24"/>
        </w:rPr>
        <w:t xml:space="preserve">Wynika to z faktu, iż NSPA nie posiada własnych środków, więc wspólne projekty NATO lub indywidualne zakupy na rzecz poszczególnych krajów muszą być finansowane przez państwa członkowskie, co znajduje odzwierciedlenie w art. 14.1 ww. dyrektywy. </w:t>
      </w:r>
      <w:r w:rsidRPr="00C6391A">
        <w:rPr>
          <w:rFonts w:ascii="Times New Roman" w:hAnsi="Times New Roman" w:cs="Times New Roman"/>
          <w:szCs w:val="24"/>
          <w:lang w:val="en-US"/>
        </w:rPr>
        <w:t xml:space="preserve">Przepis ten brzmi: „The Agency does not have its own funds. As a result, approved budgets shall be funded individually by its customers”. </w:t>
      </w:r>
      <w:r w:rsidRPr="00C6391A">
        <w:rPr>
          <w:rFonts w:ascii="Times New Roman" w:hAnsi="Times New Roman" w:cs="Times New Roman"/>
          <w:szCs w:val="24"/>
        </w:rPr>
        <w:t xml:space="preserve">Wcześniejsza płatność realizowana jest na podstawie wystawionego przez NSPA dokumentu Call for Advance i stanowi zabezpieczenie na poczet zaciągniętego zobowiązania. Przekazane do NSPA środki finansowe nie są jednak wypłacane wykonawcy przed wykonaniem przez niego umowy </w:t>
      </w:r>
      <w:r w:rsidR="00E43812" w:rsidRPr="00C6391A">
        <w:rPr>
          <w:rFonts w:ascii="Times New Roman" w:hAnsi="Times New Roman" w:cs="Times New Roman"/>
          <w:szCs w:val="24"/>
        </w:rPr>
        <w:t>–</w:t>
      </w:r>
      <w:r w:rsidRPr="00C6391A">
        <w:rPr>
          <w:rFonts w:ascii="Times New Roman" w:hAnsi="Times New Roman" w:cs="Times New Roman"/>
          <w:szCs w:val="24"/>
        </w:rPr>
        <w:t xml:space="preserve"> pozostają do tego czasu na indywidualnym koncie danego kraju członkowskiego zarządzanym przez NSPA. </w:t>
      </w:r>
      <w:r w:rsidR="00E43812" w:rsidRPr="00C6391A">
        <w:rPr>
          <w:rFonts w:ascii="Times New Roman" w:hAnsi="Times New Roman" w:cs="Times New Roman"/>
          <w:szCs w:val="24"/>
        </w:rPr>
        <w:t>P</w:t>
      </w:r>
      <w:r w:rsidRPr="00C6391A">
        <w:rPr>
          <w:rFonts w:ascii="Times New Roman" w:hAnsi="Times New Roman" w:cs="Times New Roman"/>
          <w:szCs w:val="24"/>
        </w:rPr>
        <w:t>rzedpłata nie jest zabezpieczona żadnym instrumentem finansowym. Gwarantem jest sama NSPA.</w:t>
      </w:r>
    </w:p>
    <w:p w14:paraId="7C90B30F" w14:textId="77777777" w:rsidR="00503B50" w:rsidRPr="00C6391A" w:rsidRDefault="00503B50" w:rsidP="004B7A78">
      <w:pPr>
        <w:pStyle w:val="ARTartustawynprozporzdzenia"/>
        <w:spacing w:before="0"/>
        <w:rPr>
          <w:rFonts w:ascii="Times New Roman" w:eastAsia="Calibri" w:hAnsi="Times New Roman" w:cs="Times New Roman"/>
          <w:bCs/>
          <w:szCs w:val="24"/>
        </w:rPr>
      </w:pPr>
      <w:r w:rsidRPr="00C6391A">
        <w:rPr>
          <w:rFonts w:ascii="Times New Roman" w:eastAsia="Calibri" w:hAnsi="Times New Roman" w:cs="Times New Roman"/>
          <w:bCs/>
          <w:szCs w:val="24"/>
        </w:rPr>
        <w:t xml:space="preserve">Projektowana ustawa nie podlega notyfikacji zgodnie z przepisami rozporządzenia Rady Ministrów z dnia 23 grudnia 2002 r. </w:t>
      </w:r>
      <w:r w:rsidRPr="00C6391A">
        <w:rPr>
          <w:rFonts w:ascii="Times New Roman" w:eastAsia="Calibri" w:hAnsi="Times New Roman" w:cs="Times New Roman"/>
          <w:bCs/>
          <w:i/>
          <w:szCs w:val="24"/>
        </w:rPr>
        <w:t>w sprawie sposobu funkcjonowania krajowego systemu notyfikacji norm i aktów prawnych</w:t>
      </w:r>
      <w:r w:rsidRPr="00C6391A">
        <w:rPr>
          <w:rFonts w:ascii="Times New Roman" w:eastAsia="Calibri" w:hAnsi="Times New Roman" w:cs="Times New Roman"/>
          <w:bCs/>
          <w:szCs w:val="24"/>
        </w:rPr>
        <w:t xml:space="preserve"> (Dz. U. poz. 2039 oraz z 2004 r. poz. 597).</w:t>
      </w:r>
    </w:p>
    <w:p w14:paraId="563242D5" w14:textId="77777777" w:rsidR="00503B50" w:rsidRPr="00C6391A" w:rsidRDefault="00503B50" w:rsidP="004B7A78">
      <w:pPr>
        <w:pStyle w:val="ARTartustawynprozporzdzenia"/>
        <w:spacing w:before="0"/>
        <w:rPr>
          <w:rFonts w:ascii="Times New Roman" w:eastAsia="Calibri" w:hAnsi="Times New Roman" w:cs="Times New Roman"/>
          <w:szCs w:val="24"/>
        </w:rPr>
      </w:pPr>
      <w:r w:rsidRPr="00C6391A">
        <w:rPr>
          <w:rFonts w:ascii="Times New Roman" w:eastAsia="Calibri" w:hAnsi="Times New Roman" w:cs="Times New Roman"/>
          <w:szCs w:val="24"/>
        </w:rPr>
        <w:t xml:space="preserve">Projektowana ustawa nie dotyczy majątkowych praw i obowiązków przedsiębiorców lub praw i obowiązków przedsiębiorców wobec organów administracji publicznej. Projekt nie wpływa na działalność mikroprzedsiębiorców, małych i średnich przedsiębiorców. </w:t>
      </w:r>
    </w:p>
    <w:p w14:paraId="267E90BE" w14:textId="67671434" w:rsidR="00503B50" w:rsidRDefault="00503B50" w:rsidP="004B7A78">
      <w:pPr>
        <w:pStyle w:val="ARTartustawynprozporzdzenia"/>
        <w:spacing w:before="0"/>
        <w:rPr>
          <w:rFonts w:ascii="Times New Roman" w:eastAsia="Calibri" w:hAnsi="Times New Roman" w:cs="Times New Roman"/>
          <w:bCs/>
          <w:szCs w:val="24"/>
        </w:rPr>
      </w:pPr>
      <w:r w:rsidRPr="00C6391A">
        <w:rPr>
          <w:rFonts w:ascii="Times New Roman" w:hAnsi="Times New Roman" w:cs="Times New Roman"/>
          <w:szCs w:val="24"/>
        </w:rPr>
        <w:t>Projektowana</w:t>
      </w:r>
      <w:r w:rsidRPr="00C6391A">
        <w:rPr>
          <w:rFonts w:ascii="Times New Roman" w:eastAsia="Calibri" w:hAnsi="Times New Roman" w:cs="Times New Roman"/>
          <w:bCs/>
          <w:szCs w:val="24"/>
        </w:rPr>
        <w:t xml:space="preserve"> ustawa nie wymaga przedstawienia właściwym organom i instytucjom Unii Europejskiej, w tym Europejskiemu Bankowi Centralnemu, w celu uzyskania opinii, dokonania powiadomienia, konsultacji lub uzgodnienia.</w:t>
      </w:r>
    </w:p>
    <w:p w14:paraId="787EF3D1" w14:textId="31DBD2ED" w:rsidR="00EA43E8" w:rsidRPr="00C6391A" w:rsidRDefault="00EA43E8" w:rsidP="004B7A78">
      <w:pPr>
        <w:pStyle w:val="ARTartustawynprozporzdzenia"/>
        <w:spacing w:before="0"/>
        <w:rPr>
          <w:rFonts w:ascii="Times New Roman" w:eastAsia="Calibri" w:hAnsi="Times New Roman" w:cs="Times New Roman"/>
          <w:bCs/>
          <w:szCs w:val="24"/>
        </w:rPr>
      </w:pPr>
      <w:r w:rsidRPr="00EA43E8">
        <w:rPr>
          <w:rFonts w:ascii="Times New Roman" w:eastAsia="Calibri" w:hAnsi="Times New Roman" w:cs="Times New Roman"/>
          <w:bCs/>
          <w:szCs w:val="24"/>
        </w:rPr>
        <w:t xml:space="preserve">Projektowana ustawa nie pociąga za sobą skutków </w:t>
      </w:r>
      <w:r>
        <w:rPr>
          <w:rFonts w:ascii="Times New Roman" w:eastAsia="Calibri" w:hAnsi="Times New Roman" w:cs="Times New Roman"/>
          <w:bCs/>
          <w:szCs w:val="24"/>
        </w:rPr>
        <w:t xml:space="preserve">finansowych </w:t>
      </w:r>
      <w:r w:rsidRPr="00EA43E8">
        <w:rPr>
          <w:rFonts w:ascii="Times New Roman" w:eastAsia="Calibri" w:hAnsi="Times New Roman" w:cs="Times New Roman"/>
          <w:bCs/>
          <w:szCs w:val="24"/>
        </w:rPr>
        <w:t xml:space="preserve">dla budżetu państwa </w:t>
      </w:r>
      <w:r>
        <w:rPr>
          <w:rFonts w:ascii="Times New Roman" w:eastAsia="Calibri" w:hAnsi="Times New Roman" w:cs="Times New Roman"/>
          <w:bCs/>
          <w:szCs w:val="24"/>
        </w:rPr>
        <w:t>oraz</w:t>
      </w:r>
      <w:r w:rsidRPr="00EA43E8">
        <w:rPr>
          <w:rFonts w:ascii="Times New Roman" w:eastAsia="Calibri" w:hAnsi="Times New Roman" w:cs="Times New Roman"/>
          <w:bCs/>
          <w:szCs w:val="24"/>
        </w:rPr>
        <w:t xml:space="preserve"> budżetów jednostek samorządu terytorialnego</w:t>
      </w:r>
      <w:r>
        <w:rPr>
          <w:rFonts w:ascii="Times New Roman" w:eastAsia="Calibri" w:hAnsi="Times New Roman" w:cs="Times New Roman"/>
          <w:bCs/>
          <w:szCs w:val="24"/>
        </w:rPr>
        <w:t>.</w:t>
      </w:r>
    </w:p>
    <w:p w14:paraId="608380D8" w14:textId="77777777" w:rsidR="00503B50" w:rsidRPr="00C6391A" w:rsidRDefault="00503B50" w:rsidP="004B7A78">
      <w:pPr>
        <w:pStyle w:val="ARTartustawynprozporzdzenia"/>
        <w:spacing w:before="0"/>
        <w:rPr>
          <w:rFonts w:ascii="Times New Roman" w:hAnsi="Times New Roman" w:cs="Times New Roman"/>
          <w:szCs w:val="24"/>
        </w:rPr>
      </w:pPr>
      <w:r w:rsidRPr="00C6391A">
        <w:rPr>
          <w:rFonts w:ascii="Times New Roman" w:hAnsi="Times New Roman" w:cs="Times New Roman"/>
          <w:szCs w:val="24"/>
        </w:rPr>
        <w:t>Projektowana</w:t>
      </w:r>
      <w:r w:rsidRPr="00C6391A">
        <w:rPr>
          <w:rFonts w:ascii="Times New Roman" w:eastAsia="Calibri" w:hAnsi="Times New Roman" w:cs="Times New Roman"/>
          <w:bCs/>
          <w:szCs w:val="24"/>
        </w:rPr>
        <w:t xml:space="preserve"> ustawa nie jest sprzeczna z prawem Unii Europejskiej.</w:t>
      </w:r>
    </w:p>
    <w:sectPr w:rsidR="00503B50" w:rsidRPr="00C6391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B23CC" w14:textId="77777777" w:rsidR="00D31434" w:rsidRDefault="00D31434" w:rsidP="00E76D32">
      <w:pPr>
        <w:spacing w:line="240" w:lineRule="auto"/>
      </w:pPr>
      <w:r>
        <w:separator/>
      </w:r>
    </w:p>
  </w:endnote>
  <w:endnote w:type="continuationSeparator" w:id="0">
    <w:p w14:paraId="3E7434A9" w14:textId="77777777" w:rsidR="00D31434" w:rsidRDefault="00D31434" w:rsidP="00E76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33567"/>
      <w:docPartObj>
        <w:docPartGallery w:val="Page Numbers (Bottom of Page)"/>
        <w:docPartUnique/>
      </w:docPartObj>
    </w:sdtPr>
    <w:sdtEndPr/>
    <w:sdtContent>
      <w:p w14:paraId="1A387C83" w14:textId="3D40A4D9" w:rsidR="00503B50" w:rsidRDefault="00503B50">
        <w:pPr>
          <w:pStyle w:val="Stopka"/>
          <w:jc w:val="center"/>
        </w:pPr>
        <w:r>
          <w:fldChar w:fldCharType="begin"/>
        </w:r>
        <w:r>
          <w:instrText>PAGE   \* MERGEFORMAT</w:instrText>
        </w:r>
        <w:r>
          <w:fldChar w:fldCharType="separate"/>
        </w:r>
        <w:r w:rsidR="00E3235C">
          <w:rPr>
            <w:noProof/>
          </w:rPr>
          <w:t>1</w:t>
        </w:r>
        <w:r>
          <w:fldChar w:fldCharType="end"/>
        </w:r>
      </w:p>
    </w:sdtContent>
  </w:sdt>
  <w:p w14:paraId="040D6B8F" w14:textId="77777777" w:rsidR="00503B50" w:rsidRDefault="00503B5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C86EFE" w14:textId="77777777" w:rsidR="00D31434" w:rsidRDefault="00D31434" w:rsidP="00E76D32">
      <w:pPr>
        <w:spacing w:line="240" w:lineRule="auto"/>
      </w:pPr>
      <w:r>
        <w:separator/>
      </w:r>
    </w:p>
  </w:footnote>
  <w:footnote w:type="continuationSeparator" w:id="0">
    <w:p w14:paraId="73149EE5" w14:textId="77777777" w:rsidR="00D31434" w:rsidRDefault="00D31434" w:rsidP="00E76D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11506"/>
    <w:multiLevelType w:val="hybridMultilevel"/>
    <w:tmpl w:val="A56A7D50"/>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 w15:restartNumberingAfterBreak="0">
    <w:nsid w:val="1ADF02F0"/>
    <w:multiLevelType w:val="hybridMultilevel"/>
    <w:tmpl w:val="D17E5D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823031"/>
    <w:multiLevelType w:val="hybridMultilevel"/>
    <w:tmpl w:val="27FEC52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30D05BF1"/>
    <w:multiLevelType w:val="hybridMultilevel"/>
    <w:tmpl w:val="153035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83C225D"/>
    <w:multiLevelType w:val="hybridMultilevel"/>
    <w:tmpl w:val="A56A7D50"/>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 w15:restartNumberingAfterBreak="0">
    <w:nsid w:val="5A5530E0"/>
    <w:multiLevelType w:val="hybridMultilevel"/>
    <w:tmpl w:val="362E0A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111101D"/>
    <w:multiLevelType w:val="hybridMultilevel"/>
    <w:tmpl w:val="A56A7D50"/>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7" w15:restartNumberingAfterBreak="0">
    <w:nsid w:val="67A90F63"/>
    <w:multiLevelType w:val="hybridMultilevel"/>
    <w:tmpl w:val="0EAAF6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5B14FF3"/>
    <w:multiLevelType w:val="hybridMultilevel"/>
    <w:tmpl w:val="A56A7D50"/>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9" w15:restartNumberingAfterBreak="0">
    <w:nsid w:val="78AB05CC"/>
    <w:multiLevelType w:val="hybridMultilevel"/>
    <w:tmpl w:val="A56A7D50"/>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0" w15:restartNumberingAfterBreak="0">
    <w:nsid w:val="7C0D42F0"/>
    <w:multiLevelType w:val="hybridMultilevel"/>
    <w:tmpl w:val="43DCD94A"/>
    <w:lvl w:ilvl="0" w:tplc="C20281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F856433"/>
    <w:multiLevelType w:val="hybridMultilevel"/>
    <w:tmpl w:val="9CDE65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0"/>
  </w:num>
  <w:num w:numId="3">
    <w:abstractNumId w:val="7"/>
  </w:num>
  <w:num w:numId="4">
    <w:abstractNumId w:val="1"/>
  </w:num>
  <w:num w:numId="5">
    <w:abstractNumId w:val="6"/>
  </w:num>
  <w:num w:numId="6">
    <w:abstractNumId w:val="4"/>
  </w:num>
  <w:num w:numId="7">
    <w:abstractNumId w:val="2"/>
  </w:num>
  <w:num w:numId="8">
    <w:abstractNumId w:val="5"/>
  </w:num>
  <w:num w:numId="9">
    <w:abstractNumId w:val="3"/>
  </w:num>
  <w:num w:numId="10">
    <w:abstractNumId w:val="0"/>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5D0"/>
    <w:rsid w:val="00021477"/>
    <w:rsid w:val="00031A92"/>
    <w:rsid w:val="0009657F"/>
    <w:rsid w:val="000B5E62"/>
    <w:rsid w:val="00100B91"/>
    <w:rsid w:val="00141CEB"/>
    <w:rsid w:val="00142C70"/>
    <w:rsid w:val="00144F1C"/>
    <w:rsid w:val="00177631"/>
    <w:rsid w:val="00191B31"/>
    <w:rsid w:val="001D1D69"/>
    <w:rsid w:val="001D2A05"/>
    <w:rsid w:val="002013D3"/>
    <w:rsid w:val="00223F79"/>
    <w:rsid w:val="00242EC3"/>
    <w:rsid w:val="00260F3D"/>
    <w:rsid w:val="002A096A"/>
    <w:rsid w:val="002E5DE4"/>
    <w:rsid w:val="002E7D24"/>
    <w:rsid w:val="002F1C76"/>
    <w:rsid w:val="00306DC2"/>
    <w:rsid w:val="003D5EE0"/>
    <w:rsid w:val="0045258E"/>
    <w:rsid w:val="0047797A"/>
    <w:rsid w:val="004B7A78"/>
    <w:rsid w:val="00503B50"/>
    <w:rsid w:val="005152AA"/>
    <w:rsid w:val="0058378C"/>
    <w:rsid w:val="005A2E52"/>
    <w:rsid w:val="00653676"/>
    <w:rsid w:val="0067126E"/>
    <w:rsid w:val="006A752E"/>
    <w:rsid w:val="006C4633"/>
    <w:rsid w:val="006E45D0"/>
    <w:rsid w:val="00747F26"/>
    <w:rsid w:val="00787458"/>
    <w:rsid w:val="007A5032"/>
    <w:rsid w:val="007F373D"/>
    <w:rsid w:val="00842570"/>
    <w:rsid w:val="00864DED"/>
    <w:rsid w:val="00896CDD"/>
    <w:rsid w:val="008D7FD0"/>
    <w:rsid w:val="009522B3"/>
    <w:rsid w:val="00971109"/>
    <w:rsid w:val="009836FF"/>
    <w:rsid w:val="009B2CCF"/>
    <w:rsid w:val="009B6C96"/>
    <w:rsid w:val="009C4C6E"/>
    <w:rsid w:val="009E0A61"/>
    <w:rsid w:val="00A26CB4"/>
    <w:rsid w:val="00A432B5"/>
    <w:rsid w:val="00A63026"/>
    <w:rsid w:val="00A87D5D"/>
    <w:rsid w:val="00A93784"/>
    <w:rsid w:val="00AB1FC6"/>
    <w:rsid w:val="00B57DE4"/>
    <w:rsid w:val="00BA1CED"/>
    <w:rsid w:val="00C11274"/>
    <w:rsid w:val="00C35291"/>
    <w:rsid w:val="00C6391A"/>
    <w:rsid w:val="00C96ADD"/>
    <w:rsid w:val="00CA3CFC"/>
    <w:rsid w:val="00CC4425"/>
    <w:rsid w:val="00CD0124"/>
    <w:rsid w:val="00CD18FE"/>
    <w:rsid w:val="00CE6A10"/>
    <w:rsid w:val="00D31434"/>
    <w:rsid w:val="00D96483"/>
    <w:rsid w:val="00E3235C"/>
    <w:rsid w:val="00E43812"/>
    <w:rsid w:val="00E61B19"/>
    <w:rsid w:val="00E76D32"/>
    <w:rsid w:val="00E9160C"/>
    <w:rsid w:val="00EA43E8"/>
    <w:rsid w:val="00EC589B"/>
    <w:rsid w:val="00EF20BE"/>
    <w:rsid w:val="00F04C28"/>
    <w:rsid w:val="00F24AB2"/>
    <w:rsid w:val="00FB3947"/>
    <w:rsid w:val="00FB4E38"/>
    <w:rsid w:val="00FF603A"/>
    <w:rsid w:val="00FF6F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9304867"/>
  <w15:chartTrackingRefBased/>
  <w15:docId w15:val="{270F7F23-A8DE-4F03-A414-BA8B208B9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76D3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76D32"/>
    <w:pPr>
      <w:widowControl/>
      <w:tabs>
        <w:tab w:val="center" w:pos="4536"/>
        <w:tab w:val="right" w:pos="9072"/>
      </w:tabs>
      <w:autoSpaceDE/>
      <w:autoSpaceDN/>
      <w:adjustRightInd/>
      <w:spacing w:line="240" w:lineRule="auto"/>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E76D32"/>
  </w:style>
  <w:style w:type="paragraph" w:styleId="Stopka">
    <w:name w:val="footer"/>
    <w:basedOn w:val="Normalny"/>
    <w:link w:val="StopkaZnak"/>
    <w:uiPriority w:val="99"/>
    <w:unhideWhenUsed/>
    <w:rsid w:val="00E76D32"/>
    <w:pPr>
      <w:widowControl/>
      <w:tabs>
        <w:tab w:val="center" w:pos="4536"/>
        <w:tab w:val="right" w:pos="9072"/>
      </w:tabs>
      <w:autoSpaceDE/>
      <w:autoSpaceDN/>
      <w:adjustRightInd/>
      <w:spacing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E76D32"/>
  </w:style>
  <w:style w:type="paragraph" w:customStyle="1" w:styleId="ARTartustawynprozporzdzenia">
    <w:name w:val="ART(§) – art. ustawy (§ np. rozporządzenia)"/>
    <w:uiPriority w:val="11"/>
    <w:qFormat/>
    <w:rsid w:val="00E76D3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OZNRODZAKTUtznustawalubrozporzdzenieiorganwydajcy">
    <w:name w:val="OZN_RODZ_AKTU – tzn. ustawa lub rozporządzenie i organ wydający"/>
    <w:next w:val="Normalny"/>
    <w:uiPriority w:val="5"/>
    <w:qFormat/>
    <w:rsid w:val="00E76D3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Ppogrubienie">
    <w:name w:val="_P_ – pogrubienie"/>
    <w:basedOn w:val="Domylnaczcionkaakapitu"/>
    <w:uiPriority w:val="1"/>
    <w:qFormat/>
    <w:rsid w:val="00C96ADD"/>
    <w:rPr>
      <w:b/>
    </w:rPr>
  </w:style>
  <w:style w:type="paragraph" w:customStyle="1" w:styleId="ZARTzmartartykuempunktem">
    <w:name w:val="Z/ART(§) – zm. art. (§) artykułem (punktem)"/>
    <w:basedOn w:val="Normalny"/>
    <w:uiPriority w:val="30"/>
    <w:qFormat/>
    <w:rsid w:val="00191B31"/>
    <w:pPr>
      <w:widowControl/>
      <w:suppressAutoHyphens/>
      <w:ind w:left="510" w:firstLine="510"/>
      <w:jc w:val="both"/>
    </w:pPr>
    <w:rPr>
      <w:rFonts w:ascii="Times" w:hAnsi="Times"/>
    </w:rPr>
  </w:style>
  <w:style w:type="paragraph" w:styleId="Akapitzlist">
    <w:name w:val="List Paragraph"/>
    <w:basedOn w:val="Normalny"/>
    <w:uiPriority w:val="34"/>
    <w:qFormat/>
    <w:rsid w:val="00971109"/>
    <w:pPr>
      <w:ind w:left="720"/>
      <w:contextualSpacing/>
    </w:pPr>
  </w:style>
  <w:style w:type="paragraph" w:customStyle="1" w:styleId="PKTpunkt">
    <w:name w:val="PKT – punkt"/>
    <w:uiPriority w:val="13"/>
    <w:qFormat/>
    <w:rsid w:val="001D2A05"/>
    <w:pPr>
      <w:spacing w:after="0" w:line="360" w:lineRule="auto"/>
      <w:ind w:left="510" w:hanging="510"/>
      <w:jc w:val="both"/>
    </w:pPr>
    <w:rPr>
      <w:rFonts w:ascii="Times New Roman" w:eastAsiaTheme="minorEastAsia" w:hAnsi="Times New Roman" w:cs="Arial"/>
      <w:bCs/>
      <w:sz w:val="24"/>
      <w:szCs w:val="20"/>
      <w:lang w:eastAsia="pl-PL"/>
    </w:rPr>
  </w:style>
  <w:style w:type="paragraph" w:customStyle="1" w:styleId="ZUSTzmustartykuempunktem">
    <w:name w:val="Z/UST(§) – zm. ust. (§) artykułem (punktem)"/>
    <w:basedOn w:val="ZARTzmartartykuempunktem"/>
    <w:uiPriority w:val="30"/>
    <w:qFormat/>
    <w:rsid w:val="001D2A05"/>
    <w:rPr>
      <w:rFonts w:ascii="Times New Roman" w:hAnsi="Times New Roman"/>
    </w:rPr>
  </w:style>
  <w:style w:type="paragraph" w:styleId="Tekstdymka">
    <w:name w:val="Balloon Text"/>
    <w:basedOn w:val="Normalny"/>
    <w:link w:val="TekstdymkaZnak"/>
    <w:uiPriority w:val="99"/>
    <w:semiHidden/>
    <w:unhideWhenUsed/>
    <w:rsid w:val="00E9160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9160C"/>
    <w:rPr>
      <w:rFonts w:ascii="Segoe UI" w:eastAsiaTheme="minorEastAsia" w:hAnsi="Segoe UI" w:cs="Segoe UI"/>
      <w:sz w:val="18"/>
      <w:szCs w:val="18"/>
      <w:lang w:eastAsia="pl-PL"/>
    </w:rPr>
  </w:style>
  <w:style w:type="character" w:styleId="Odwoaniedokomentarza">
    <w:name w:val="annotation reference"/>
    <w:basedOn w:val="Domylnaczcionkaakapitu"/>
    <w:uiPriority w:val="99"/>
    <w:semiHidden/>
    <w:unhideWhenUsed/>
    <w:rsid w:val="00FB4E38"/>
    <w:rPr>
      <w:sz w:val="16"/>
      <w:szCs w:val="16"/>
    </w:rPr>
  </w:style>
  <w:style w:type="paragraph" w:styleId="Tekstkomentarza">
    <w:name w:val="annotation text"/>
    <w:basedOn w:val="Normalny"/>
    <w:link w:val="TekstkomentarzaZnak"/>
    <w:uiPriority w:val="99"/>
    <w:semiHidden/>
    <w:unhideWhenUsed/>
    <w:rsid w:val="00FB4E38"/>
    <w:pPr>
      <w:spacing w:line="240" w:lineRule="auto"/>
    </w:pPr>
    <w:rPr>
      <w:sz w:val="20"/>
    </w:rPr>
  </w:style>
  <w:style w:type="character" w:customStyle="1" w:styleId="TekstkomentarzaZnak">
    <w:name w:val="Tekst komentarza Znak"/>
    <w:basedOn w:val="Domylnaczcionkaakapitu"/>
    <w:link w:val="Tekstkomentarza"/>
    <w:uiPriority w:val="99"/>
    <w:semiHidden/>
    <w:rsid w:val="00FB4E38"/>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FB4E38"/>
    <w:rPr>
      <w:b/>
      <w:bCs/>
    </w:rPr>
  </w:style>
  <w:style w:type="character" w:customStyle="1" w:styleId="TematkomentarzaZnak">
    <w:name w:val="Temat komentarza Znak"/>
    <w:basedOn w:val="TekstkomentarzaZnak"/>
    <w:link w:val="Tematkomentarza"/>
    <w:uiPriority w:val="99"/>
    <w:semiHidden/>
    <w:rsid w:val="00FB4E38"/>
    <w:rPr>
      <w:rFonts w:ascii="Times New Roman" w:eastAsiaTheme="minorEastAsia"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084327">
      <w:bodyDiv w:val="1"/>
      <w:marLeft w:val="0"/>
      <w:marRight w:val="0"/>
      <w:marTop w:val="0"/>
      <w:marBottom w:val="0"/>
      <w:divBdr>
        <w:top w:val="none" w:sz="0" w:space="0" w:color="auto"/>
        <w:left w:val="none" w:sz="0" w:space="0" w:color="auto"/>
        <w:bottom w:val="none" w:sz="0" w:space="0" w:color="auto"/>
        <w:right w:val="none" w:sz="0" w:space="0" w:color="auto"/>
      </w:divBdr>
    </w:div>
    <w:div w:id="68984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lex.milnet-z.ron.in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8417b2fb-54a7-4fbc-b023-b6b37b7a623f" origin="userSelected">
  <element uid="d7220eed-17a6-431d-810c-83a0ddfed893" value=""/>
</sisl>
</file>

<file path=customXml/itemProps1.xml><?xml version="1.0" encoding="utf-8"?>
<ds:datastoreItem xmlns:ds="http://schemas.openxmlformats.org/officeDocument/2006/customXml" ds:itemID="{16AF8777-8751-4394-B29E-F5B533CCB3C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1064</Words>
  <Characters>6390</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Grażyna D. Grabowska</cp:lastModifiedBy>
  <cp:revision>2</cp:revision>
  <dcterms:created xsi:type="dcterms:W3CDTF">2022-07-01T11:48:00Z</dcterms:created>
  <dcterms:modified xsi:type="dcterms:W3CDTF">2022-07-01T11:48:00Z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080e00d5-a87c-41a4-b983-a675db8572f6</vt:lpwstr>
  </property>
  <property fmtid="{D5CDD505-2E9C-101B-9397-08002B2CF9AE}" pid="3" name="bjSaver">
    <vt:lpwstr>W0xw9nhyzF5fUh3DRJLaICLZbUBT3xIW</vt:lpwstr>
  </property>
  <property fmtid="{D5CDD505-2E9C-101B-9397-08002B2CF9AE}" pid="4" name="bjDocumentLabelXML">
    <vt:lpwstr>&lt;?xml version="1.0" encoding="us-ascii"?&gt;&lt;sisl xmlns:xsi="http://www.w3.org/2001/XMLSchema-instance" xmlns:xsd="http://www.w3.org/2001/XMLSchema" sislVersion="0" policy="8417b2fb-54a7-4fbc-b023-b6b37b7a623f" origin="userSelected" xmlns="http://www.boldonj</vt:lpwstr>
  </property>
  <property fmtid="{D5CDD505-2E9C-101B-9397-08002B2CF9AE}" pid="5" name="bjDocumentLabelXML-0">
    <vt:lpwstr>ames.com/2008/01/sie/internal/label"&gt;&lt;element uid="d7220eed-17a6-431d-810c-83a0ddfed893" value="" /&gt;&lt;/sisl&gt;</vt:lpwstr>
  </property>
  <property fmtid="{D5CDD505-2E9C-101B-9397-08002B2CF9AE}" pid="6" name="bjDocumentSecurityLabel">
    <vt:lpwstr>[d7220eed-17a6-431d-810c-83a0ddfed893]</vt:lpwstr>
  </property>
  <property fmtid="{D5CDD505-2E9C-101B-9397-08002B2CF9AE}" pid="7" name="bjClsUserRVM">
    <vt:lpwstr>[]</vt:lpwstr>
  </property>
  <property fmtid="{D5CDD505-2E9C-101B-9397-08002B2CF9AE}" pid="8" name="bjPortionMark">
    <vt:lpwstr>[]</vt:lpwstr>
  </property>
</Properties>
</file>