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5F22D" w14:textId="77777777" w:rsidR="006466AC" w:rsidRPr="00814124" w:rsidRDefault="007E26CA" w:rsidP="00814124">
      <w:pPr>
        <w:spacing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14124">
        <w:rPr>
          <w:rFonts w:ascii="Times New Roman" w:hAnsi="Times New Roman" w:cs="Times New Roman"/>
          <w:sz w:val="24"/>
          <w:szCs w:val="24"/>
        </w:rPr>
        <w:t>UZASADNIENIE</w:t>
      </w:r>
    </w:p>
    <w:p w14:paraId="01A89812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3BC2">
        <w:rPr>
          <w:rFonts w:ascii="Times New Roman" w:hAnsi="Times New Roman" w:cs="Times New Roman"/>
          <w:b/>
          <w:sz w:val="24"/>
          <w:szCs w:val="24"/>
        </w:rPr>
        <w:t xml:space="preserve">I. Wyjaśnienie potrzeby i celu związania Rzeczypospolitej Polskiej Protokołem </w:t>
      </w:r>
    </w:p>
    <w:p w14:paraId="3BDE9759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0FCA2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BC2">
        <w:rPr>
          <w:rFonts w:ascii="Times New Roman" w:hAnsi="Times New Roman" w:cs="Times New Roman"/>
          <w:sz w:val="24"/>
          <w:szCs w:val="24"/>
        </w:rPr>
        <w:t>Decyzja o zaproszeniu Republiki Finlandii do Sojuszu Północnoatlantyckiego stanowi potwierdzenie kontynuacji polityki „otwartych drzwi” i jest świadectwem woli sojuszników umacniania bezpieczeństwa strefy euroatlantyckiej, szczególnie w świetle agresji Rosji na Ukrainę. Stanowi potwierdzenie, że polityka rozszerzenia NATO ma nadal fundamentalne znaczenie dla rozszerzania strefy bezpieczeństwa i stabilności w Europie i wokół jej granic.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C8CD35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755BD9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BC2">
        <w:rPr>
          <w:rFonts w:ascii="Times New Roman" w:hAnsi="Times New Roman" w:cs="Times New Roman"/>
          <w:sz w:val="24"/>
          <w:szCs w:val="24"/>
        </w:rPr>
        <w:t>Wniosek Republiki Finlandii o akcesję jest jednocześnie potwierdzeniem, że sojusznicze zobowiązania do kolektywnej obrony pozostają najlepszym gwarantem bezpieczeństwa dla krajów obszaru euroatlantyckiego. Członkostwo Republiki Finlandii wzmocni Sojusz politycznie i militarnie i przyczyni się do zwiększenia bezpieczeństwa Rzeczypospolitej Polskiej. Republika Finlandii ma zbieżną z Rzecząpospolitą Polską ocenę bezpieczeństwa regionalnego, podziela obawy co do destrukcyjnych działań Rosji, opowiada się za wzmocnieniem więzi transatlantyckich. Dysponuje też zn</w:t>
      </w:r>
      <w:r>
        <w:rPr>
          <w:rFonts w:ascii="Times New Roman" w:hAnsi="Times New Roman" w:cs="Times New Roman"/>
          <w:sz w:val="24"/>
          <w:szCs w:val="24"/>
        </w:rPr>
        <w:t>aczącym potencjałem obronnym, w </w:t>
      </w:r>
      <w:r w:rsidRPr="00173BC2">
        <w:rPr>
          <w:rFonts w:ascii="Times New Roman" w:hAnsi="Times New Roman" w:cs="Times New Roman"/>
          <w:sz w:val="24"/>
          <w:szCs w:val="24"/>
        </w:rPr>
        <w:t xml:space="preserve">tym wysoko rozwiniętym przemysłem wojskowym. Siły zbrojne Republiki Finlandii już obecnie są w pełni interoperacyjne z siłami NATO. Republika Finlandii wydziela okresowo pododdziały do Sił Odpowiedzi NATO (NRF), bierze regularnie udział w ćwiczeniach sojuszniczych, wdrożyła system wymiany informacji z Sojuszem o sytuacji w przestrzeni powietrznej. Zawarła też z NATO porozumienie o wsparciu przez </w:t>
      </w:r>
      <w:r w:rsidRPr="00173B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państwo-gospodarza </w:t>
      </w:r>
      <w:r w:rsidRPr="00173BC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(HNS)</w:t>
      </w:r>
      <w:r w:rsidRPr="00173BC2">
        <w:rPr>
          <w:rFonts w:ascii="Times New Roman" w:hAnsi="Times New Roman" w:cs="Times New Roman"/>
          <w:i/>
          <w:sz w:val="24"/>
          <w:szCs w:val="24"/>
        </w:rPr>
        <w:t xml:space="preserve"> Host Nation Support</w:t>
      </w:r>
      <w:r w:rsidRPr="00173BC2">
        <w:rPr>
          <w:rFonts w:ascii="Times New Roman" w:hAnsi="Times New Roman" w:cs="Times New Roman"/>
          <w:sz w:val="24"/>
          <w:szCs w:val="24"/>
        </w:rPr>
        <w:t xml:space="preserve">, które daje polityczno-wojskowo-techniczne ramy wykorzystania fińskiego terytorium przez siły sojusznicze w czasie pokoju, w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sytuacjach kryzysowych i w </w:t>
      </w:r>
      <w:r w:rsidRPr="00173B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czasie wojny. </w:t>
      </w:r>
      <w:r w:rsidRPr="00173BC2">
        <w:rPr>
          <w:rFonts w:ascii="Times New Roman" w:hAnsi="Times New Roman" w:cs="Times New Roman"/>
          <w:sz w:val="24"/>
          <w:szCs w:val="24"/>
        </w:rPr>
        <w:t>Republika Finlandii zamierza też znacząco podnosić poziom wydatków obronnych.</w:t>
      </w:r>
    </w:p>
    <w:p w14:paraId="4F515565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45DB0E" w14:textId="5B5DB7B2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73BC2">
        <w:rPr>
          <w:rFonts w:ascii="Times New Roman" w:eastAsia="Calibri" w:hAnsi="Times New Roman" w:cs="Times New Roman"/>
          <w:sz w:val="24"/>
          <w:szCs w:val="24"/>
        </w:rPr>
        <w:t xml:space="preserve">Akcesja </w:t>
      </w:r>
      <w:r w:rsidRPr="00173BC2">
        <w:rPr>
          <w:rFonts w:ascii="Times New Roman" w:hAnsi="Times New Roman" w:cs="Times New Roman"/>
          <w:sz w:val="24"/>
          <w:szCs w:val="24"/>
        </w:rPr>
        <w:t xml:space="preserve">Republiki Finlandii, państwa członkowskiego Unii Europejskiej, </w:t>
      </w:r>
      <w:r w:rsidRPr="00173BC2">
        <w:rPr>
          <w:rFonts w:ascii="Times New Roman" w:eastAsia="Calibri" w:hAnsi="Times New Roman" w:cs="Times New Roman"/>
          <w:sz w:val="24"/>
          <w:szCs w:val="24"/>
        </w:rPr>
        <w:t xml:space="preserve">do Sojuszu stworzy też </w:t>
      </w:r>
      <w:r w:rsidRPr="00173BC2">
        <w:rPr>
          <w:rFonts w:ascii="Times New Roman" w:hAnsi="Times New Roman" w:cs="Times New Roman"/>
          <w:sz w:val="24"/>
          <w:szCs w:val="24"/>
        </w:rPr>
        <w:t xml:space="preserve">korzystniejsze warunki do rozwoju współpracy NATO-UE i komplementarnej z NATO Wspólnej Polityki Bezpieczeństwa i Obrony UE. Członkostwo Republiki Finlandii w Sojuszu sprzyjać będzie upowszechnieniu percepcji zagrożeń państw flanki wschodniej i północnej flanki NATO w UE oraz określaniu potrzeb sił zbrojnych w </w:t>
      </w:r>
      <w:r>
        <w:rPr>
          <w:rFonts w:ascii="Times New Roman" w:hAnsi="Times New Roman" w:cs="Times New Roman"/>
          <w:sz w:val="24"/>
          <w:szCs w:val="24"/>
        </w:rPr>
        <w:t>zakresie planowania obronnego i </w:t>
      </w:r>
      <w:r w:rsidRPr="00173BC2">
        <w:rPr>
          <w:rFonts w:ascii="Times New Roman" w:hAnsi="Times New Roman" w:cs="Times New Roman"/>
          <w:sz w:val="24"/>
          <w:szCs w:val="24"/>
        </w:rPr>
        <w:t>procesów modernizacji sił zbrojnych w obszarze euroatlantyckim.</w:t>
      </w:r>
    </w:p>
    <w:p w14:paraId="58F1A058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A13E57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BC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Akcesja </w:t>
      </w:r>
      <w:r w:rsidRPr="00173BC2">
        <w:rPr>
          <w:rFonts w:ascii="Times New Roman" w:hAnsi="Times New Roman" w:cs="Times New Roman"/>
          <w:sz w:val="24"/>
          <w:szCs w:val="24"/>
        </w:rPr>
        <w:t xml:space="preserve">Republiki Finlandii do NATO w sposób znaczący podniesie poziom bezpieczeństwa w regionie Morza Bałtyckiego, stanowiąc korzystną zmianę środowiska bezpieczeństwa wokół naszego kraju, sprzyjając bezpieczeństwu i rozwojowi Rzeczypospolitej Polskiej. Jednocześnie poszerzy możliwości politycznej i gospodarczej współpracy bilateralnej. </w:t>
      </w:r>
    </w:p>
    <w:p w14:paraId="6CE1586F" w14:textId="77777777" w:rsidR="00173BC2" w:rsidRPr="00173BC2" w:rsidRDefault="00173BC2" w:rsidP="00173BC2">
      <w:pPr>
        <w:pStyle w:val="wordsection1"/>
        <w:spacing w:before="0" w:beforeAutospacing="0" w:after="0" w:afterAutospacing="0" w:line="360" w:lineRule="auto"/>
        <w:jc w:val="both"/>
      </w:pPr>
    </w:p>
    <w:p w14:paraId="1C0A8972" w14:textId="355CFD15" w:rsidR="00173BC2" w:rsidRPr="00173BC2" w:rsidRDefault="00173BC2" w:rsidP="00173BC2">
      <w:pPr>
        <w:pStyle w:val="wordsection1"/>
        <w:spacing w:before="0" w:beforeAutospacing="0" w:after="0" w:afterAutospacing="0" w:line="360" w:lineRule="auto"/>
        <w:jc w:val="both"/>
      </w:pPr>
      <w:r w:rsidRPr="00173BC2">
        <w:t>Dzięki dalszemu zbliżaniu w wymiarze bezpieczeństwa polsko-fińskie relacje polityczne powinny ulec dalszemu pogłębieniu. Wspólna przynależność do NATO i UE powinna sprzyjać otwartości na nowe inicjatywy polityczne i wzmacnianiu już istniejącej kooperacji, w tym na podstawie przyjętego w grudniu 2011 r. „Wspólnego Komunikatu ws. wzmocnionej współpracy między Polską a Finlandią”. Stworzy też szansę na zacieśnienie i zdynamizowanie relacji polsko-fińskich, szczególnie w tych obszarach, które zostały zidentyfikowane jako najbardziej perspektywiczne, tj. w dziedzinie gospodarki, energetyki, technologii teleinformatycznych, środowiska, bezpieczeństwa, edukacji, ws</w:t>
      </w:r>
      <w:r>
        <w:t>chodniego sąsiedztwa UE, a </w:t>
      </w:r>
      <w:r w:rsidRPr="00173BC2">
        <w:t>także kultury i rolnictwa.</w:t>
      </w:r>
    </w:p>
    <w:p w14:paraId="5B479C46" w14:textId="77777777" w:rsidR="00173BC2" w:rsidRPr="00173BC2" w:rsidRDefault="00173BC2" w:rsidP="00173BC2">
      <w:pPr>
        <w:pStyle w:val="wordsection1"/>
        <w:spacing w:before="0" w:beforeAutospacing="0" w:after="0" w:afterAutospacing="0" w:line="360" w:lineRule="auto"/>
        <w:jc w:val="both"/>
      </w:pPr>
    </w:p>
    <w:p w14:paraId="65431CAB" w14:textId="77777777" w:rsidR="00173BC2" w:rsidRPr="00DF5313" w:rsidRDefault="00173BC2" w:rsidP="00173BC2">
      <w:pPr>
        <w:pStyle w:val="wordsection1"/>
        <w:spacing w:before="0" w:beforeAutospacing="0" w:after="0" w:afterAutospacing="0" w:line="360" w:lineRule="auto"/>
        <w:jc w:val="both"/>
      </w:pPr>
      <w:r w:rsidRPr="00173BC2">
        <w:t xml:space="preserve">Wspólna troska o bezpieczeństwo w najbliższym sąsiedztwie (Morze Bałtyckie) może oznaczać szczególne zbliżenie obu państw w zakresie wzmacniania w ramach NATO optyki krajów północnych, nadbałtyckich i ulokowanych w bezpośrednim sąsiedztwie Rosji. </w:t>
      </w:r>
    </w:p>
    <w:p w14:paraId="5AAFB3E5" w14:textId="77777777" w:rsidR="00173BC2" w:rsidRPr="00173BC2" w:rsidRDefault="00173BC2" w:rsidP="00173BC2">
      <w:pPr>
        <w:pStyle w:val="wordsection1"/>
        <w:spacing w:before="0" w:beforeAutospacing="0" w:after="0" w:afterAutospacing="0" w:line="360" w:lineRule="auto"/>
        <w:jc w:val="both"/>
      </w:pPr>
    </w:p>
    <w:p w14:paraId="219547FD" w14:textId="65882ECA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BC2">
        <w:rPr>
          <w:rFonts w:ascii="Times New Roman" w:hAnsi="Times New Roman" w:cs="Times New Roman"/>
          <w:sz w:val="24"/>
          <w:szCs w:val="24"/>
        </w:rPr>
        <w:t>Po tym jak Republika Finlandii stanie się stroną Traktatu Północnoatlantyckiego, na mocy postanowień Traktatu Rzeczpospolita Polska będzie zobowiązana do udzielania w razie potrzeby wsparcia wojskowego nowemu członkowi. Z wyjątkiem zakresu podmiotowego nie zmienią się natomiast istniejące już mechanizmy podejmowania decyzji i współpracy Sojuszników w ramach NATO.</w:t>
      </w:r>
    </w:p>
    <w:p w14:paraId="76F768AF" w14:textId="77777777" w:rsidR="00173BC2" w:rsidRPr="00DF5313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7EF1F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3BC2">
        <w:rPr>
          <w:rFonts w:ascii="Times New Roman" w:hAnsi="Times New Roman" w:cs="Times New Roman"/>
          <w:b/>
          <w:sz w:val="24"/>
          <w:szCs w:val="24"/>
        </w:rPr>
        <w:t xml:space="preserve">II. Wskazanie różnic między dotychczasowym i projektowanym stanem prawnym </w:t>
      </w:r>
    </w:p>
    <w:p w14:paraId="701D4150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D5F9E16" w14:textId="0282D7BC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BC2">
        <w:rPr>
          <w:rFonts w:ascii="Times New Roman" w:hAnsi="Times New Roman" w:cs="Times New Roman"/>
          <w:sz w:val="24"/>
          <w:szCs w:val="24"/>
        </w:rPr>
        <w:t>Tekst Protokołu nie odbiega od tekstu Protokołów stosowanych przy poprzednich rozszerzeniach, m.in. akcesji Rzeczypospolitej Polskiej. Protokół składa się z trzech artykułów. Pierwszy upoważnia Sekretarza Generalnego NATO do przekazania w imieniu wszystkich Sojuszników zaproszenia dla Republiki Finlandii do akcesji do Traktatu Północnoatlantyckiego. Przewiduje również, że Republika Finlandii stanie się stroną Traktatu po zakończeniu procesu ratyfikacji Protokołu w państwach sojuszniczych, w dniu złożenia swego dokumentu przystąpienia Rządowi Stanów Zjednoczonych Ameryki (depozytariusz).</w:t>
      </w:r>
    </w:p>
    <w:p w14:paraId="48408DEE" w14:textId="77777777" w:rsidR="00173BC2" w:rsidRPr="00DF5313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91B86D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BC2">
        <w:rPr>
          <w:rFonts w:ascii="Times New Roman" w:hAnsi="Times New Roman" w:cs="Times New Roman"/>
          <w:sz w:val="24"/>
          <w:szCs w:val="24"/>
        </w:rPr>
        <w:lastRenderedPageBreak/>
        <w:t>Pozostałe dwa artykuły mają charakter formalno-prawny. Artykuł drugi dotyczy warunków wejścia w życie Protokołu oraz obowiązku Rządu Stanów Zjednoczonych Ameryki w sprawie poinformowania pozostałych Stron o dacie otrzymania każdej notyfikacji przyjęcia Protokołu przez poszczególne państwa. Postanowienia artykułu trzeciego dotyczą języków autentycznych Protokołu (angielski i francuski), depozytariusza oraz obowiązku rozesłania przez niego należycie poświadczonych kopii Protokołu jego Stronom.</w:t>
      </w:r>
    </w:p>
    <w:p w14:paraId="445D2D0D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962483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3BC2">
        <w:rPr>
          <w:rFonts w:ascii="Times New Roman" w:hAnsi="Times New Roman" w:cs="Times New Roman"/>
          <w:b/>
          <w:sz w:val="24"/>
          <w:szCs w:val="24"/>
        </w:rPr>
        <w:t>III. Wskazanie przewidywanych skutków społecznych, gospodarczych, finansowych, politycznych i prawnych, związanych z wejściem w życie umowy międzynarodowej, wraz z określeniem źródeł finansowania</w:t>
      </w:r>
    </w:p>
    <w:p w14:paraId="2C0398CC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099078" w14:textId="1B9EDCC0" w:rsidR="00173BC2" w:rsidRPr="00173BC2" w:rsidRDefault="00173BC2" w:rsidP="00173BC2">
      <w:pPr>
        <w:pStyle w:val="wordsection1"/>
        <w:spacing w:before="0" w:beforeAutospacing="0" w:after="0" w:afterAutospacing="0" w:line="360" w:lineRule="auto"/>
        <w:jc w:val="both"/>
      </w:pPr>
      <w:r w:rsidRPr="00173BC2">
        <w:t>Podpisanie Protokołu nie powinno wywołać ani bezpośrednich, ani pośrednich skutków społecznych, finansowych czy prawnych dla Rzeczypospolitej Polskiej. Skutkiem politycznym wejścia Protokołu w życie będzie pogłębienie dwustronnych relacji z Republiką Finla</w:t>
      </w:r>
      <w:r>
        <w:t>ndii. Z </w:t>
      </w:r>
      <w:r w:rsidRPr="00173BC2">
        <w:t xml:space="preserve">kolei skutkiem gospodarczym będzie stworzenie szansy zdynamizowania i zacieśnienia dwustronnych relacji. </w:t>
      </w:r>
    </w:p>
    <w:p w14:paraId="06F81494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3A2217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3BC2">
        <w:rPr>
          <w:rFonts w:ascii="Times New Roman" w:hAnsi="Times New Roman" w:cs="Times New Roman"/>
          <w:b/>
          <w:sz w:val="24"/>
          <w:szCs w:val="24"/>
        </w:rPr>
        <w:t xml:space="preserve">IV. Wyjaśnienie wyboru trybu związania Rzeczypospolitej Polskiej Protokołem </w:t>
      </w:r>
    </w:p>
    <w:p w14:paraId="2F3AD2A1" w14:textId="77777777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AF3124" w14:textId="75142E2F" w:rsidR="00173BC2" w:rsidRPr="00173BC2" w:rsidRDefault="00173BC2" w:rsidP="00173BC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BC2">
        <w:rPr>
          <w:rFonts w:ascii="Times New Roman" w:hAnsi="Times New Roman" w:cs="Times New Roman"/>
          <w:sz w:val="24"/>
          <w:szCs w:val="24"/>
        </w:rPr>
        <w:t>Postanowienia Protokołu nie odnoszą się wprost do podmiotów prawa krajowego, w tym zwłaszcza do osób fizycznych lub prawnych</w:t>
      </w:r>
      <w:r w:rsidR="00743A2D">
        <w:rPr>
          <w:rFonts w:ascii="Times New Roman" w:hAnsi="Times New Roman" w:cs="Times New Roman"/>
          <w:sz w:val="24"/>
          <w:szCs w:val="24"/>
        </w:rPr>
        <w:t>,</w:t>
      </w:r>
      <w:r w:rsidRPr="00173BC2">
        <w:rPr>
          <w:rFonts w:ascii="Times New Roman" w:hAnsi="Times New Roman" w:cs="Times New Roman"/>
          <w:sz w:val="24"/>
          <w:szCs w:val="24"/>
        </w:rPr>
        <w:t xml:space="preserve"> i nie rodzą bezpośrednio dla tych podmiotów żadnych dodatkowych praw lub obowiązków, które wykr</w:t>
      </w:r>
      <w:r>
        <w:rPr>
          <w:rFonts w:ascii="Times New Roman" w:hAnsi="Times New Roman" w:cs="Times New Roman"/>
          <w:sz w:val="24"/>
          <w:szCs w:val="24"/>
        </w:rPr>
        <w:t>aczałyby poza ramy wynikające z </w:t>
      </w:r>
      <w:r w:rsidRPr="00173BC2">
        <w:rPr>
          <w:rFonts w:ascii="Times New Roman" w:hAnsi="Times New Roman" w:cs="Times New Roman"/>
          <w:sz w:val="24"/>
          <w:szCs w:val="24"/>
        </w:rPr>
        <w:t>istniejących już zobowiązań sojuszniczych Rzeczyposp</w:t>
      </w:r>
      <w:r>
        <w:rPr>
          <w:rFonts w:ascii="Times New Roman" w:hAnsi="Times New Roman" w:cs="Times New Roman"/>
          <w:sz w:val="24"/>
          <w:szCs w:val="24"/>
        </w:rPr>
        <w:t>olitej Polskiej. Obowiązujące w </w:t>
      </w:r>
      <w:r w:rsidRPr="00173BC2">
        <w:rPr>
          <w:rFonts w:ascii="Times New Roman" w:hAnsi="Times New Roman" w:cs="Times New Roman"/>
          <w:sz w:val="24"/>
          <w:szCs w:val="24"/>
        </w:rPr>
        <w:t>prawie wewnętrznym regulacje odnoszące się do realizacji przez Rzeczpospolitą Polską postanowień Traktatu Północnoatlantyckiego, sporządzonego w Waszyngtonie dnia 4 kwietnia 1949 r., będą miały zastosowanie także do Republiki Finlandii i nie zajdzie w tym zakresie konieczność przyjęcia nowych lub zmiany aktualnie obowiązujących aktów prawnych.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FD3D4C" w14:textId="77777777" w:rsidR="00173BC2" w:rsidRPr="00173BC2" w:rsidRDefault="00173BC2" w:rsidP="00173B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2552F8" w14:textId="08FE3BD6" w:rsidR="00173BC2" w:rsidRPr="00173BC2" w:rsidRDefault="00173BC2" w:rsidP="00173BC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BC2">
        <w:rPr>
          <w:rFonts w:ascii="Times New Roman" w:hAnsi="Times New Roman" w:cs="Times New Roman"/>
          <w:sz w:val="24"/>
          <w:szCs w:val="24"/>
        </w:rPr>
        <w:t xml:space="preserve">Protokół dotyczy sojuszy i układów wojskowych, o których mowa w art. 89 ust. 1 pkt 1 Konstytucji Rzeczypospolitej Polskiej z dnia 2 kwietnia 1997 r. (Dz. U. poz. 483, z późn. zm.). W konsekwencji związanie Rzeczypospolitej Polskiej Protokołem nastąpi w drodze ratyfikacji za uprzednią zgodą wyrażoną w ustawie, zgodnie z art. 89 ust. </w:t>
      </w:r>
      <w:r w:rsidR="00BC6214">
        <w:rPr>
          <w:rFonts w:ascii="Times New Roman" w:hAnsi="Times New Roman" w:cs="Times New Roman"/>
          <w:sz w:val="24"/>
          <w:szCs w:val="24"/>
        </w:rPr>
        <w:t>1 pkt 1 Konstytucji oraz z art. </w:t>
      </w:r>
      <w:r w:rsidRPr="00173BC2">
        <w:rPr>
          <w:rFonts w:ascii="Times New Roman" w:hAnsi="Times New Roman" w:cs="Times New Roman"/>
          <w:sz w:val="24"/>
          <w:szCs w:val="24"/>
        </w:rPr>
        <w:t>12 ust. 2 ustawy z dnia 14 kwietnia 2000 r. o umowach międzyna</w:t>
      </w:r>
      <w:r w:rsidR="0025602D">
        <w:rPr>
          <w:rFonts w:ascii="Times New Roman" w:hAnsi="Times New Roman" w:cs="Times New Roman"/>
          <w:sz w:val="24"/>
          <w:szCs w:val="24"/>
        </w:rPr>
        <w:t>rodowych (Dz. U. z 2020 r. poz. </w:t>
      </w:r>
      <w:r w:rsidRPr="00173BC2">
        <w:rPr>
          <w:rFonts w:ascii="Times New Roman" w:hAnsi="Times New Roman" w:cs="Times New Roman"/>
          <w:sz w:val="24"/>
          <w:szCs w:val="24"/>
        </w:rPr>
        <w:t xml:space="preserve">127). </w:t>
      </w:r>
    </w:p>
    <w:sectPr w:rsidR="00173BC2" w:rsidRPr="00173BC2" w:rsidSect="00173BC2">
      <w:footerReference w:type="default" r:id="rId7"/>
      <w:pgSz w:w="11906" w:h="16838"/>
      <w:pgMar w:top="1134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D41142" w14:textId="77777777" w:rsidR="00EA6107" w:rsidRDefault="00EA6107" w:rsidP="009D78F9">
      <w:pPr>
        <w:spacing w:after="0" w:line="240" w:lineRule="auto"/>
      </w:pPr>
      <w:r>
        <w:separator/>
      </w:r>
    </w:p>
  </w:endnote>
  <w:endnote w:type="continuationSeparator" w:id="0">
    <w:p w14:paraId="739C0DE0" w14:textId="77777777" w:rsidR="00EA6107" w:rsidRDefault="00EA6107" w:rsidP="009D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4411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7A1CAB" w14:textId="462BECE1" w:rsidR="00392C21" w:rsidRPr="00392C21" w:rsidRDefault="00392C21" w:rsidP="00392C2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2C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2C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112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88BB99" w14:textId="77777777" w:rsidR="00EA6107" w:rsidRDefault="00EA6107" w:rsidP="009D78F9">
      <w:pPr>
        <w:spacing w:after="0" w:line="240" w:lineRule="auto"/>
      </w:pPr>
      <w:r>
        <w:separator/>
      </w:r>
    </w:p>
  </w:footnote>
  <w:footnote w:type="continuationSeparator" w:id="0">
    <w:p w14:paraId="35983DE4" w14:textId="77777777" w:rsidR="00EA6107" w:rsidRDefault="00EA6107" w:rsidP="009D7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41EA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6254F"/>
    <w:multiLevelType w:val="hybridMultilevel"/>
    <w:tmpl w:val="20CA30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869C6"/>
    <w:multiLevelType w:val="hybridMultilevel"/>
    <w:tmpl w:val="4E9AD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6" w15:restartNumberingAfterBreak="0">
    <w:nsid w:val="1E3D318B"/>
    <w:multiLevelType w:val="hybridMultilevel"/>
    <w:tmpl w:val="0D7E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1" w15:restartNumberingAfterBreak="0">
    <w:nsid w:val="245A51BA"/>
    <w:multiLevelType w:val="hybridMultilevel"/>
    <w:tmpl w:val="4970AB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23FD6"/>
    <w:multiLevelType w:val="hybridMultilevel"/>
    <w:tmpl w:val="8048DF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6" w15:restartNumberingAfterBreak="0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3F4C0EBE"/>
    <w:multiLevelType w:val="multilevel"/>
    <w:tmpl w:val="7C6E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B5719"/>
    <w:multiLevelType w:val="hybridMultilevel"/>
    <w:tmpl w:val="5CD61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1" w15:restartNumberingAfterBreak="0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57D5579E"/>
    <w:multiLevelType w:val="hybridMultilevel"/>
    <w:tmpl w:val="0AD26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605729A9"/>
    <w:multiLevelType w:val="hybridMultilevel"/>
    <w:tmpl w:val="E06E7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9" w15:restartNumberingAfterBreak="0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0CF7D78"/>
    <w:multiLevelType w:val="hybridMultilevel"/>
    <w:tmpl w:val="EC5C0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7"/>
  </w:num>
  <w:num w:numId="4">
    <w:abstractNumId w:val="1"/>
  </w:num>
  <w:num w:numId="5">
    <w:abstractNumId w:val="27"/>
  </w:num>
  <w:num w:numId="6">
    <w:abstractNumId w:val="2"/>
  </w:num>
  <w:num w:numId="7">
    <w:abstractNumId w:val="12"/>
  </w:num>
  <w:num w:numId="8">
    <w:abstractNumId w:val="19"/>
  </w:num>
  <w:num w:numId="9">
    <w:abstractNumId w:val="8"/>
  </w:num>
  <w:num w:numId="10">
    <w:abstractNumId w:val="21"/>
  </w:num>
  <w:num w:numId="11">
    <w:abstractNumId w:val="16"/>
  </w:num>
  <w:num w:numId="12">
    <w:abstractNumId w:val="20"/>
  </w:num>
  <w:num w:numId="13">
    <w:abstractNumId w:val="5"/>
  </w:num>
  <w:num w:numId="14">
    <w:abstractNumId w:val="15"/>
  </w:num>
  <w:num w:numId="15">
    <w:abstractNumId w:val="28"/>
  </w:num>
  <w:num w:numId="16">
    <w:abstractNumId w:val="23"/>
  </w:num>
  <w:num w:numId="17">
    <w:abstractNumId w:val="25"/>
  </w:num>
  <w:num w:numId="18">
    <w:abstractNumId w:val="9"/>
  </w:num>
  <w:num w:numId="19">
    <w:abstractNumId w:val="29"/>
  </w:num>
  <w:num w:numId="20">
    <w:abstractNumId w:val="31"/>
  </w:num>
  <w:num w:numId="21">
    <w:abstractNumId w:val="24"/>
  </w:num>
  <w:num w:numId="22">
    <w:abstractNumId w:val="10"/>
  </w:num>
  <w:num w:numId="23">
    <w:abstractNumId w:val="17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3"/>
  </w:num>
  <w:num w:numId="27">
    <w:abstractNumId w:val="11"/>
  </w:num>
  <w:num w:numId="28">
    <w:abstractNumId w:val="26"/>
  </w:num>
  <w:num w:numId="29">
    <w:abstractNumId w:val="4"/>
  </w:num>
  <w:num w:numId="30">
    <w:abstractNumId w:val="6"/>
  </w:num>
  <w:num w:numId="31">
    <w:abstractNumId w:val="30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895"/>
    <w:rsid w:val="000019BB"/>
    <w:rsid w:val="00005C34"/>
    <w:rsid w:val="00016111"/>
    <w:rsid w:val="00051284"/>
    <w:rsid w:val="00056E79"/>
    <w:rsid w:val="00173BC2"/>
    <w:rsid w:val="00184173"/>
    <w:rsid w:val="001B3166"/>
    <w:rsid w:val="001E469B"/>
    <w:rsid w:val="00236955"/>
    <w:rsid w:val="0025602D"/>
    <w:rsid w:val="002A6A1D"/>
    <w:rsid w:val="002D3299"/>
    <w:rsid w:val="00392C21"/>
    <w:rsid w:val="003938F7"/>
    <w:rsid w:val="003F6C95"/>
    <w:rsid w:val="0044461B"/>
    <w:rsid w:val="00445210"/>
    <w:rsid w:val="00453BA3"/>
    <w:rsid w:val="004A2B6D"/>
    <w:rsid w:val="004A37A6"/>
    <w:rsid w:val="004E0A95"/>
    <w:rsid w:val="004F3862"/>
    <w:rsid w:val="00532006"/>
    <w:rsid w:val="005F249D"/>
    <w:rsid w:val="005F4005"/>
    <w:rsid w:val="006466AC"/>
    <w:rsid w:val="00672C07"/>
    <w:rsid w:val="00725B90"/>
    <w:rsid w:val="00726F0A"/>
    <w:rsid w:val="00727934"/>
    <w:rsid w:val="00743A2D"/>
    <w:rsid w:val="007455B5"/>
    <w:rsid w:val="00782AA4"/>
    <w:rsid w:val="007A3A37"/>
    <w:rsid w:val="007E26CA"/>
    <w:rsid w:val="00814124"/>
    <w:rsid w:val="00867028"/>
    <w:rsid w:val="00874676"/>
    <w:rsid w:val="00877B10"/>
    <w:rsid w:val="00882207"/>
    <w:rsid w:val="00887DB4"/>
    <w:rsid w:val="008D1573"/>
    <w:rsid w:val="008D19B1"/>
    <w:rsid w:val="008E704F"/>
    <w:rsid w:val="008F6235"/>
    <w:rsid w:val="0095112A"/>
    <w:rsid w:val="009B51A0"/>
    <w:rsid w:val="009D78F9"/>
    <w:rsid w:val="009E788D"/>
    <w:rsid w:val="009F03C5"/>
    <w:rsid w:val="00A02838"/>
    <w:rsid w:val="00AB053F"/>
    <w:rsid w:val="00AC6DA6"/>
    <w:rsid w:val="00AD453B"/>
    <w:rsid w:val="00BC6214"/>
    <w:rsid w:val="00C04DCD"/>
    <w:rsid w:val="00C80D90"/>
    <w:rsid w:val="00C86ABB"/>
    <w:rsid w:val="00CF08F2"/>
    <w:rsid w:val="00D033A0"/>
    <w:rsid w:val="00D03895"/>
    <w:rsid w:val="00DE0567"/>
    <w:rsid w:val="00DF4048"/>
    <w:rsid w:val="00DF5313"/>
    <w:rsid w:val="00DF5F5A"/>
    <w:rsid w:val="00E17213"/>
    <w:rsid w:val="00E7473F"/>
    <w:rsid w:val="00EA6107"/>
    <w:rsid w:val="00EE2731"/>
    <w:rsid w:val="00EF5460"/>
    <w:rsid w:val="00F130B2"/>
    <w:rsid w:val="00F14488"/>
    <w:rsid w:val="00F55ADE"/>
    <w:rsid w:val="00F7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D6FC3"/>
  <w15:docId w15:val="{7E59353C-FF48-4A97-9338-2D0045D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F08F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F08F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F08F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C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8F9"/>
  </w:style>
  <w:style w:type="paragraph" w:styleId="Stopka">
    <w:name w:val="footer"/>
    <w:basedOn w:val="Normalny"/>
    <w:link w:val="Stopka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8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08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08F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08F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CF08F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F08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CF08F2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F08F2"/>
  </w:style>
  <w:style w:type="table" w:styleId="Tabela-Siatka">
    <w:name w:val="Table Grid"/>
    <w:basedOn w:val="Standardowy"/>
    <w:uiPriority w:val="99"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F08F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8F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F08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08F2"/>
    <w:pPr>
      <w:spacing w:after="0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CF0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8F2"/>
    <w:pPr>
      <w:spacing w:after="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8F2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uiPriority w:val="99"/>
    <w:unhideWhenUsed/>
    <w:rsid w:val="00CF08F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F08F2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F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CF08F2"/>
    <w:rPr>
      <w:b/>
      <w:bCs/>
    </w:rPr>
  </w:style>
  <w:style w:type="table" w:styleId="Jasnecieniowanieakcent1">
    <w:name w:val="Light Shading Accent 1"/>
    <w:basedOn w:val="Standardowy"/>
    <w:uiPriority w:val="60"/>
    <w:rsid w:val="00CF08F2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rsid w:val="00CF08F2"/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C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C04DC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wordsection1">
    <w:name w:val="wordsection1"/>
    <w:basedOn w:val="Normalny"/>
    <w:uiPriority w:val="99"/>
    <w:rsid w:val="0081412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995</Words>
  <Characters>5972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Binkowska Joanna</dc:creator>
  <cp:lastModifiedBy>Grażyna D. Grabowska</cp:lastModifiedBy>
  <cp:revision>2</cp:revision>
  <cp:lastPrinted>2018-10-02T13:01:00Z</cp:lastPrinted>
  <dcterms:created xsi:type="dcterms:W3CDTF">2022-07-05T21:01:00Z</dcterms:created>
  <dcterms:modified xsi:type="dcterms:W3CDTF">2022-07-05T21:01:00Z</dcterms:modified>
</cp:coreProperties>
</file>