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78C" w:rsidRPr="00A60335" w:rsidRDefault="000B061A" w:rsidP="000B061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60335">
        <w:rPr>
          <w:rFonts w:ascii="Times New Roman" w:hAnsi="Times New Roman" w:cs="Times New Roman"/>
          <w:sz w:val="24"/>
          <w:szCs w:val="24"/>
        </w:rPr>
        <w:t>UZASADNIENIE</w:t>
      </w:r>
    </w:p>
    <w:p w:rsidR="006D6235" w:rsidRPr="00A60335" w:rsidRDefault="006D6235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bidi="pl-PL"/>
        </w:rPr>
      </w:pPr>
      <w:r w:rsidRPr="00A60335">
        <w:rPr>
          <w:rFonts w:ascii="Times New Roman" w:hAnsi="Times New Roman" w:cs="Times New Roman"/>
          <w:sz w:val="24"/>
          <w:szCs w:val="24"/>
        </w:rPr>
        <w:t xml:space="preserve">Ustawą z dnia 13 kwietnia 2022 r. o szczególnych rozwiązaniach w zakresie przeciwdziałania wspierania agresji na Ukrainę oraz służących ochronie bezpieczeństwa </w:t>
      </w:r>
      <w:r w:rsidR="00E54BB8" w:rsidRPr="00A60335">
        <w:rPr>
          <w:rFonts w:ascii="Times New Roman" w:hAnsi="Times New Roman" w:cs="Times New Roman"/>
          <w:sz w:val="24"/>
          <w:szCs w:val="24"/>
        </w:rPr>
        <w:t xml:space="preserve">(dalej „ustawa sankcyjna”) </w:t>
      </w:r>
      <w:r w:rsidRPr="00A60335">
        <w:rPr>
          <w:rFonts w:ascii="Times New Roman" w:hAnsi="Times New Roman" w:cs="Times New Roman"/>
          <w:sz w:val="24"/>
          <w:szCs w:val="24"/>
        </w:rPr>
        <w:t xml:space="preserve">wprowadzono regulacje prawne na poziomie krajowym, które umożliwiają stosowanie </w:t>
      </w:r>
      <w:r w:rsidRPr="00A60335">
        <w:rPr>
          <w:rFonts w:ascii="Times New Roman" w:hAnsi="Times New Roman" w:cs="Times New Roman"/>
          <w:sz w:val="24"/>
          <w:szCs w:val="24"/>
          <w:lang w:bidi="pl-PL"/>
        </w:rPr>
        <w:t xml:space="preserve">sankcji </w:t>
      </w:r>
      <w:r w:rsidR="00BA474E" w:rsidRPr="00A60335">
        <w:rPr>
          <w:rFonts w:ascii="Times New Roman" w:hAnsi="Times New Roman" w:cs="Times New Roman"/>
          <w:sz w:val="24"/>
          <w:szCs w:val="24"/>
          <w:lang w:bidi="pl-PL"/>
        </w:rPr>
        <w:t>wobec podmiotów potencjalnie mogących</w:t>
      </w:r>
      <w:r w:rsidRPr="00A60335">
        <w:rPr>
          <w:rFonts w:ascii="Times New Roman" w:hAnsi="Times New Roman" w:cs="Times New Roman"/>
          <w:sz w:val="24"/>
          <w:szCs w:val="24"/>
          <w:lang w:bidi="pl-PL"/>
        </w:rPr>
        <w:t xml:space="preserve"> wspierać agresję na Ukrainę oraz umożliwiły stworzenie odrębnej od wykazów zawartych w </w:t>
      </w:r>
      <w:r w:rsidR="00BA474E" w:rsidRPr="00A60335">
        <w:rPr>
          <w:rFonts w:ascii="Times New Roman" w:hAnsi="Times New Roman" w:cs="Times New Roman"/>
          <w:sz w:val="24"/>
          <w:szCs w:val="24"/>
          <w:lang w:bidi="pl-PL"/>
        </w:rPr>
        <w:t>aktach prawa unii europejskiej</w:t>
      </w:r>
      <w:r w:rsidRPr="00A60335">
        <w:rPr>
          <w:rFonts w:ascii="Times New Roman" w:hAnsi="Times New Roman" w:cs="Times New Roman"/>
          <w:sz w:val="24"/>
          <w:szCs w:val="24"/>
          <w:lang w:bidi="pl-PL"/>
        </w:rPr>
        <w:t xml:space="preserve"> listy osób i podmiotów objętych sankcjami. Wśród sankcji można wyróżnić zamrożenie wszystkich środków finansowych</w:t>
      </w:r>
      <w:r w:rsidR="00C27178" w:rsidRPr="00A60335">
        <w:rPr>
          <w:rFonts w:ascii="Times New Roman" w:hAnsi="Times New Roman" w:cs="Times New Roman"/>
          <w:sz w:val="24"/>
          <w:szCs w:val="24"/>
          <w:lang w:bidi="pl-PL"/>
        </w:rPr>
        <w:t>, funduszy</w:t>
      </w:r>
      <w:r w:rsidRPr="00A60335">
        <w:rPr>
          <w:rFonts w:ascii="Times New Roman" w:hAnsi="Times New Roman" w:cs="Times New Roman"/>
          <w:sz w:val="24"/>
          <w:szCs w:val="24"/>
          <w:lang w:bidi="pl-PL"/>
        </w:rPr>
        <w:t xml:space="preserve"> i zasobów gospodarczych </w:t>
      </w:r>
      <w:r w:rsidR="00C27178" w:rsidRPr="00A60335">
        <w:rPr>
          <w:rFonts w:ascii="Times New Roman" w:hAnsi="Times New Roman" w:cs="Times New Roman"/>
          <w:sz w:val="24"/>
          <w:szCs w:val="24"/>
        </w:rPr>
        <w:t>w rozumieniu rozporządzenia Rady (WE) nr 765/2006 z dnia 18 maja 2006 r. dotyczącego środków ograniczających w związku z sytuacją na Białorusi i udziałem Białorusi w agresji Rosji wobec Ukrainy</w:t>
      </w:r>
      <w:r w:rsidR="009B3381">
        <w:rPr>
          <w:rFonts w:ascii="Times New Roman" w:hAnsi="Times New Roman" w:cs="Times New Roman"/>
          <w:sz w:val="24"/>
          <w:szCs w:val="24"/>
        </w:rPr>
        <w:t xml:space="preserve"> </w:t>
      </w:r>
      <w:r w:rsidR="00C27178" w:rsidRPr="00A60335">
        <w:rPr>
          <w:rFonts w:ascii="Times New Roman" w:hAnsi="Times New Roman" w:cs="Times New Roman"/>
          <w:sz w:val="24"/>
          <w:szCs w:val="24"/>
        </w:rPr>
        <w:t>(Dz. Urz. UE L 134 z 20.05.2006, str. 1, z późn. zm. ) (dalej „rozporządzenie 765/2006”) lub rozporządzenia Rady (UE) nr 269/2014 z dnia 17 marca 2014 r. w sprawie środków ograniczających w odniesieniu do działań podważających integralność terytorialną, suwerenność i niezależność Ukrainy lub im zagrażających (Dz. Urz. UE L 78 z 17.03.2014, str. 6, z późn. zm.) (dalej „rozporządzenie 269/2014”)</w:t>
      </w:r>
      <w:r w:rsidR="00573EEC">
        <w:rPr>
          <w:rFonts w:ascii="Times New Roman" w:hAnsi="Times New Roman" w:cs="Times New Roman"/>
          <w:sz w:val="24"/>
          <w:szCs w:val="24"/>
        </w:rPr>
        <w:t xml:space="preserve"> </w:t>
      </w:r>
      <w:r w:rsidRPr="00A60335">
        <w:rPr>
          <w:rFonts w:ascii="Times New Roman" w:hAnsi="Times New Roman" w:cs="Times New Roman"/>
          <w:sz w:val="24"/>
          <w:szCs w:val="24"/>
          <w:lang w:bidi="pl-PL"/>
        </w:rPr>
        <w:t>oraz zakaz bezpośredniego lub nawet pośredniego ich przekazywania podmiotom objętym tymi sankcjami.</w:t>
      </w:r>
      <w:r w:rsidRPr="00A60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BB8" w:rsidRPr="00A60335" w:rsidRDefault="000B061A" w:rsidP="006D6235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 xml:space="preserve">Projektowana ustawa ma na celu uzupełnienie regulacji zawartych w ustawie </w:t>
      </w:r>
      <w:r w:rsidR="00E54BB8" w:rsidRPr="00A60335">
        <w:rPr>
          <w:rFonts w:ascii="Times New Roman" w:hAnsi="Times New Roman" w:cs="Times New Roman"/>
          <w:szCs w:val="24"/>
        </w:rPr>
        <w:t>sankcyjnej</w:t>
      </w:r>
      <w:r w:rsidR="00927600" w:rsidRPr="00A60335">
        <w:rPr>
          <w:rFonts w:ascii="Times New Roman" w:hAnsi="Times New Roman" w:cs="Times New Roman"/>
          <w:szCs w:val="24"/>
        </w:rPr>
        <w:t xml:space="preserve"> </w:t>
      </w:r>
      <w:r w:rsidR="00E84B01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szCs w:val="24"/>
        </w:rPr>
        <w:t>o instytucję tymczasow</w:t>
      </w:r>
      <w:r w:rsidR="00927600" w:rsidRPr="00A60335">
        <w:rPr>
          <w:rFonts w:ascii="Times New Roman" w:hAnsi="Times New Roman" w:cs="Times New Roman"/>
          <w:szCs w:val="24"/>
        </w:rPr>
        <w:t>ego zarządu przymusowego (dalej</w:t>
      </w:r>
      <w:r w:rsidRPr="00A60335">
        <w:rPr>
          <w:rFonts w:ascii="Times New Roman" w:hAnsi="Times New Roman" w:cs="Times New Roman"/>
          <w:szCs w:val="24"/>
        </w:rPr>
        <w:t xml:space="preserve"> „zarząd”)</w:t>
      </w:r>
      <w:r w:rsidR="00E54BB8" w:rsidRPr="00A60335">
        <w:rPr>
          <w:rFonts w:ascii="Times New Roman" w:hAnsi="Times New Roman" w:cs="Times New Roman"/>
          <w:szCs w:val="24"/>
        </w:rPr>
        <w:t xml:space="preserve"> oraz zapewnienie wsparcia pracownikom świadczącym pracę na rzecz pomiotów objętych sankcjami</w:t>
      </w:r>
      <w:r w:rsidRPr="00A60335">
        <w:rPr>
          <w:rFonts w:ascii="Times New Roman" w:hAnsi="Times New Roman" w:cs="Times New Roman"/>
          <w:szCs w:val="24"/>
        </w:rPr>
        <w:t xml:space="preserve">. </w:t>
      </w:r>
    </w:p>
    <w:p w:rsidR="00B66830" w:rsidRPr="00A60335" w:rsidRDefault="00927600" w:rsidP="006D6235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Wprowadzenie instytucji</w:t>
      </w:r>
      <w:r w:rsidR="000B061A" w:rsidRPr="00A60335">
        <w:rPr>
          <w:rFonts w:ascii="Times New Roman" w:hAnsi="Times New Roman" w:cs="Times New Roman"/>
          <w:szCs w:val="24"/>
        </w:rPr>
        <w:t xml:space="preserve"> zarządu </w:t>
      </w:r>
      <w:r w:rsidRPr="00A60335">
        <w:rPr>
          <w:rFonts w:ascii="Times New Roman" w:hAnsi="Times New Roman" w:cs="Times New Roman"/>
          <w:szCs w:val="24"/>
        </w:rPr>
        <w:t>ma na</w:t>
      </w:r>
      <w:r w:rsidR="000B061A" w:rsidRPr="00A60335">
        <w:rPr>
          <w:rFonts w:ascii="Times New Roman" w:hAnsi="Times New Roman" w:cs="Times New Roman"/>
          <w:szCs w:val="24"/>
        </w:rPr>
        <w:t xml:space="preserve"> celu</w:t>
      </w:r>
      <w:r w:rsidR="00B66830" w:rsidRPr="00A60335">
        <w:rPr>
          <w:rFonts w:ascii="Times New Roman" w:hAnsi="Times New Roman" w:cs="Times New Roman"/>
          <w:szCs w:val="24"/>
        </w:rPr>
        <w:t>:</w:t>
      </w:r>
    </w:p>
    <w:p w:rsidR="00927600" w:rsidRPr="00A60335" w:rsidRDefault="000B061A" w:rsidP="00A60335">
      <w:pPr>
        <w:pStyle w:val="ZARTzmartartykuempunktem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 xml:space="preserve">umożliwienie zbycia </w:t>
      </w:r>
      <w:bookmarkStart w:id="1" w:name="_Hlk104806665"/>
      <w:r w:rsidRPr="00A60335">
        <w:rPr>
          <w:rFonts w:ascii="Times New Roman" w:hAnsi="Times New Roman" w:cs="Times New Roman"/>
          <w:szCs w:val="24"/>
        </w:rPr>
        <w:t xml:space="preserve">środków finansowych, funduszy lub zasobów gospodarczych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szCs w:val="24"/>
        </w:rPr>
        <w:t xml:space="preserve">w rozumieniu rozporządzenia 765/2006 lub </w:t>
      </w:r>
      <w:bookmarkEnd w:id="1"/>
      <w:r w:rsidRPr="00A60335">
        <w:rPr>
          <w:rFonts w:ascii="Times New Roman" w:hAnsi="Times New Roman" w:cs="Times New Roman"/>
          <w:szCs w:val="24"/>
        </w:rPr>
        <w:t xml:space="preserve">rozporządzenia </w:t>
      </w:r>
      <w:r w:rsidR="00927600" w:rsidRPr="00A60335">
        <w:rPr>
          <w:rFonts w:ascii="Times New Roman" w:hAnsi="Times New Roman" w:cs="Times New Roman"/>
          <w:szCs w:val="24"/>
        </w:rPr>
        <w:t>269/2014”)</w:t>
      </w:r>
      <w:r w:rsidR="00B66830" w:rsidRPr="00A60335">
        <w:rPr>
          <w:rFonts w:ascii="Times New Roman" w:hAnsi="Times New Roman" w:cs="Times New Roman"/>
          <w:szCs w:val="24"/>
        </w:rPr>
        <w:t xml:space="preserve"> albo</w:t>
      </w:r>
    </w:p>
    <w:p w:rsidR="00B66830" w:rsidRPr="00A60335" w:rsidRDefault="00B66830" w:rsidP="00A60335">
      <w:pPr>
        <w:pStyle w:val="ZARTzmartartykuempunktem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przejęcia na rzecz Skarbu Państwa własności środków finansowych, funduszy lub zasobów gospodarczych w rozumieniu rozporządzenia 765/2006 lub rozporządzenia 269/2014 należących do osoby albo podmiotu wpisanych na listę</w:t>
      </w:r>
      <w:r w:rsidR="001A173A" w:rsidRPr="00A60335">
        <w:rPr>
          <w:rFonts w:ascii="Times New Roman" w:hAnsi="Times New Roman" w:cs="Times New Roman"/>
          <w:szCs w:val="24"/>
        </w:rPr>
        <w:t xml:space="preserve"> (dalej „ przejęcie własności”)</w:t>
      </w:r>
      <w:r w:rsidRPr="00A60335">
        <w:rPr>
          <w:rFonts w:ascii="Times New Roman" w:hAnsi="Times New Roman" w:cs="Times New Roman"/>
          <w:szCs w:val="24"/>
        </w:rPr>
        <w:t>.</w:t>
      </w:r>
    </w:p>
    <w:p w:rsidR="004734B2" w:rsidRPr="00A60335" w:rsidRDefault="00380BC9" w:rsidP="006D6235">
      <w:pPr>
        <w:pStyle w:val="ZARTzmartartykuempunktem"/>
        <w:spacing w:before="120"/>
        <w:ind w:left="0" w:firstLine="0"/>
        <w:rPr>
          <w:rFonts w:ascii="Times New Roman" w:eastAsia="Times New Roman" w:hAnsi="Times New Roman" w:cs="Times New Roman"/>
          <w:szCs w:val="24"/>
        </w:rPr>
      </w:pPr>
      <w:r w:rsidRPr="00A60335">
        <w:rPr>
          <w:rFonts w:ascii="Times New Roman" w:eastAsia="Times New Roman" w:hAnsi="Times New Roman" w:cs="Times New Roman"/>
          <w:szCs w:val="24"/>
        </w:rPr>
        <w:t>Na podstawie ustawy sankcyjnej</w:t>
      </w:r>
      <w:r w:rsidRPr="00A60335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Pr="00A60335">
        <w:rPr>
          <w:rFonts w:ascii="Times New Roman" w:eastAsia="Times New Roman" w:hAnsi="Times New Roman" w:cs="Times New Roman"/>
          <w:szCs w:val="24"/>
        </w:rPr>
        <w:t>minister właściwy do spraw wewnętrznych wydał do końca czerwca 202</w:t>
      </w:r>
      <w:r w:rsidR="0094611A" w:rsidRPr="00A60335">
        <w:rPr>
          <w:rFonts w:ascii="Times New Roman" w:eastAsia="Times New Roman" w:hAnsi="Times New Roman" w:cs="Times New Roman"/>
          <w:szCs w:val="24"/>
        </w:rPr>
        <w:t>2</w:t>
      </w:r>
      <w:r w:rsidRPr="00A60335">
        <w:rPr>
          <w:rFonts w:ascii="Times New Roman" w:eastAsia="Times New Roman" w:hAnsi="Times New Roman" w:cs="Times New Roman"/>
          <w:szCs w:val="24"/>
        </w:rPr>
        <w:t xml:space="preserve"> r.</w:t>
      </w:r>
      <w:r w:rsidR="0094611A" w:rsidRPr="00A60335">
        <w:rPr>
          <w:rFonts w:ascii="Times New Roman" w:eastAsia="Times New Roman" w:hAnsi="Times New Roman" w:cs="Times New Roman"/>
          <w:szCs w:val="24"/>
        </w:rPr>
        <w:t xml:space="preserve"> 51 decyzji</w:t>
      </w:r>
      <w:r w:rsidRPr="00A60335">
        <w:rPr>
          <w:rFonts w:ascii="Times New Roman" w:eastAsia="Times New Roman" w:hAnsi="Times New Roman" w:cs="Times New Roman"/>
          <w:szCs w:val="24"/>
        </w:rPr>
        <w:t xml:space="preserve"> dotycząc</w:t>
      </w:r>
      <w:r w:rsidR="0094611A" w:rsidRPr="00A60335">
        <w:rPr>
          <w:rFonts w:ascii="Times New Roman" w:eastAsia="Times New Roman" w:hAnsi="Times New Roman" w:cs="Times New Roman"/>
          <w:szCs w:val="24"/>
        </w:rPr>
        <w:t>ych</w:t>
      </w:r>
      <w:r w:rsidRPr="00A60335">
        <w:rPr>
          <w:rFonts w:ascii="Times New Roman" w:eastAsia="Times New Roman" w:hAnsi="Times New Roman" w:cs="Times New Roman"/>
          <w:szCs w:val="24"/>
        </w:rPr>
        <w:t xml:space="preserve"> wpisu na listę 16 osób i 35 podmiotów gospodarczych, przy czym podmioty te charakteryzuje różnoraka, często złożona struktura kapitałowa, w której niejednokrotnie kapitał rosyjski czy białoruski stanowi jedynie część udziałów. Mając na względzie z jednej strony potrzebę objęcia sankcjami podmiotów, które mogą być wykorzystywane do dysponowania środkami finansowymi, funduszami lub zasobami gospodarczymi w rozumieniu rozporządzenia 765/2006 lub rozporządzenia 269/2014, w celu </w:t>
      </w:r>
      <w:r w:rsidRPr="00A60335">
        <w:rPr>
          <w:rFonts w:ascii="Times New Roman" w:eastAsia="Times New Roman" w:hAnsi="Times New Roman" w:cs="Times New Roman"/>
          <w:szCs w:val="24"/>
        </w:rPr>
        <w:lastRenderedPageBreak/>
        <w:t xml:space="preserve">wspierania agresji Federacji Rosyjskiej na Ukrainę rozpoczętej w dniu 24 lutego 2022 lub innych poważnych naruszeń praw człowieka lub represji wobec społeczeństwa obywatelskiego i opozycji demokratycznej lub innej działalności stanowiącej poważne zagrożenie dla demokracji i praworządności w Federacji Rosyjskiej lub na Białorusi, </w:t>
      </w:r>
      <w:r w:rsidR="0094611A" w:rsidRPr="00A60335">
        <w:rPr>
          <w:rFonts w:ascii="Times New Roman" w:eastAsia="Times New Roman" w:hAnsi="Times New Roman" w:cs="Times New Roman"/>
          <w:szCs w:val="24"/>
        </w:rPr>
        <w:t xml:space="preserve">jak również interes </w:t>
      </w:r>
      <w:r w:rsidR="006624E6" w:rsidRPr="00A60335">
        <w:rPr>
          <w:rFonts w:ascii="Times New Roman" w:eastAsia="Times New Roman" w:hAnsi="Times New Roman" w:cs="Times New Roman"/>
          <w:szCs w:val="24"/>
        </w:rPr>
        <w:t xml:space="preserve">społeczny i </w:t>
      </w:r>
      <w:r w:rsidR="0094611A" w:rsidRPr="00A60335">
        <w:rPr>
          <w:rFonts w:ascii="Times New Roman" w:eastAsia="Times New Roman" w:hAnsi="Times New Roman" w:cs="Times New Roman"/>
          <w:szCs w:val="24"/>
        </w:rPr>
        <w:t xml:space="preserve">publiczny, </w:t>
      </w:r>
      <w:r w:rsidR="006624E6" w:rsidRPr="00A60335">
        <w:rPr>
          <w:rFonts w:ascii="Times New Roman" w:eastAsia="Times New Roman" w:hAnsi="Times New Roman" w:cs="Times New Roman"/>
          <w:szCs w:val="24"/>
        </w:rPr>
        <w:t xml:space="preserve">w tym interes strony pracowników przedsiębiorstw prowadzonych przez podmioty gospodarcze objęte sankcjami, </w:t>
      </w:r>
      <w:r w:rsidR="0094611A" w:rsidRPr="00A60335">
        <w:rPr>
          <w:rFonts w:ascii="Times New Roman" w:eastAsia="Times New Roman" w:hAnsi="Times New Roman" w:cs="Times New Roman"/>
          <w:szCs w:val="24"/>
        </w:rPr>
        <w:t xml:space="preserve">za celowe uznano wprowadzenie rozwiązania pozwalającego na funkcjonowanie podmiotów, </w:t>
      </w:r>
      <w:r w:rsidR="0094611A" w:rsidRPr="00A60335">
        <w:rPr>
          <w:rFonts w:ascii="Times New Roman" w:eastAsia="Calibri" w:hAnsi="Times New Roman" w:cs="Times New Roman"/>
          <w:color w:val="000000"/>
          <w:spacing w:val="-2"/>
          <w:szCs w:val="24"/>
          <w:lang w:eastAsia="en-US"/>
        </w:rPr>
        <w:t>wobec których zastosowano środek, o którym mowa w art. 1 pkt 1 albo 2 ustawy sankcyjnej</w:t>
      </w:r>
      <w:r w:rsidR="0094611A" w:rsidRPr="00A60335">
        <w:rPr>
          <w:rFonts w:ascii="Times New Roman" w:eastAsia="Times New Roman" w:hAnsi="Times New Roman" w:cs="Times New Roman"/>
          <w:szCs w:val="24"/>
        </w:rPr>
        <w:t xml:space="preserve"> do czasu zbycia całości środków finansowych, funduszy lub zasobów gospodarczych należących do tych podmiotów. </w:t>
      </w:r>
    </w:p>
    <w:p w:rsidR="00B66830" w:rsidRPr="00A60335" w:rsidRDefault="00927600" w:rsidP="006D6235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Zarząd będzie mógł być ustanawiany jeżeli jest to niezbędne</w:t>
      </w:r>
      <w:r w:rsidR="00B66830" w:rsidRPr="00A60335">
        <w:rPr>
          <w:rFonts w:ascii="Times New Roman" w:hAnsi="Times New Roman" w:cs="Times New Roman"/>
          <w:szCs w:val="24"/>
        </w:rPr>
        <w:t>:</w:t>
      </w:r>
    </w:p>
    <w:p w:rsidR="00927600" w:rsidRPr="00A60335" w:rsidRDefault="00927600" w:rsidP="00A60335">
      <w:pPr>
        <w:pStyle w:val="ZARTzmartartykuempunktem"/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dla zapewnienia funkcjonowania podmiotu gospodarczego, prowadzącego przedsiębiorstwo na teryt</w:t>
      </w:r>
      <w:r w:rsidR="00B66830" w:rsidRPr="00A60335">
        <w:rPr>
          <w:rFonts w:ascii="Times New Roman" w:hAnsi="Times New Roman" w:cs="Times New Roman"/>
          <w:szCs w:val="24"/>
        </w:rPr>
        <w:t xml:space="preserve">orium Rzeczypospolitej Polskiej </w:t>
      </w:r>
      <w:r w:rsidRPr="00A60335">
        <w:rPr>
          <w:rFonts w:ascii="Times New Roman" w:hAnsi="Times New Roman" w:cs="Times New Roman"/>
          <w:szCs w:val="24"/>
        </w:rPr>
        <w:t>w celu utrzymania miejsc pracy w tym przedsiębiorstwie lub utrzymania w zakresie działalności tego przedsiębiorstwa świadczenia usług użyteczności publicznej lub wykonywania innych zad</w:t>
      </w:r>
      <w:r w:rsidR="00B66830" w:rsidRPr="00A60335">
        <w:rPr>
          <w:rFonts w:ascii="Times New Roman" w:hAnsi="Times New Roman" w:cs="Times New Roman"/>
          <w:szCs w:val="24"/>
        </w:rPr>
        <w:t>ań o charakterze publi</w:t>
      </w:r>
      <w:r w:rsidR="00F8102E" w:rsidRPr="00A60335">
        <w:rPr>
          <w:rFonts w:ascii="Times New Roman" w:hAnsi="Times New Roman" w:cs="Times New Roman"/>
          <w:szCs w:val="24"/>
        </w:rPr>
        <w:t>cznym albo</w:t>
      </w:r>
    </w:p>
    <w:p w:rsidR="00057335" w:rsidRPr="00A60335" w:rsidRDefault="00B66830" w:rsidP="00A60335">
      <w:pPr>
        <w:pStyle w:val="ZPKTzmpktartykuempunktem"/>
        <w:numPr>
          <w:ilvl w:val="0"/>
          <w:numId w:val="3"/>
        </w:numPr>
        <w:tabs>
          <w:tab w:val="left" w:pos="709"/>
        </w:tabs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dla ochrony ważnego interesu publicznego lub ze względu na zapewnienie bezpieczeństwa państwa</w:t>
      </w:r>
      <w:r w:rsidR="00927600" w:rsidRPr="00A60335">
        <w:rPr>
          <w:rFonts w:ascii="Times New Roman" w:hAnsi="Times New Roman" w:cs="Times New Roman"/>
          <w:szCs w:val="24"/>
        </w:rPr>
        <w:t xml:space="preserve">. </w:t>
      </w:r>
    </w:p>
    <w:p w:rsidR="00057335" w:rsidRPr="00A60335" w:rsidRDefault="00927600" w:rsidP="006D6235">
      <w:pPr>
        <w:pStyle w:val="ZPKTzmpktartykuempunktem"/>
        <w:tabs>
          <w:tab w:val="left" w:pos="709"/>
        </w:tabs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 xml:space="preserve">Projekt przewiduje, </w:t>
      </w:r>
      <w:r w:rsidR="006624E6" w:rsidRPr="00A60335">
        <w:rPr>
          <w:rFonts w:ascii="Times New Roman" w:hAnsi="Times New Roman" w:cs="Times New Roman"/>
          <w:szCs w:val="24"/>
        </w:rPr>
        <w:t>ż</w:t>
      </w:r>
      <w:r w:rsidRPr="00A60335">
        <w:rPr>
          <w:rFonts w:ascii="Times New Roman" w:hAnsi="Times New Roman" w:cs="Times New Roman"/>
          <w:szCs w:val="24"/>
        </w:rPr>
        <w:t xml:space="preserve">e ustanowienie zarządu będzie następowało w formie decyzji administracyjnej wydawanej przez ministra </w:t>
      </w:r>
      <w:r w:rsidR="00F8102E" w:rsidRPr="00A60335">
        <w:rPr>
          <w:rFonts w:ascii="Times New Roman" w:hAnsi="Times New Roman" w:cs="Times New Roman"/>
          <w:szCs w:val="24"/>
        </w:rPr>
        <w:t>właściwego do spraw gospodarki.</w:t>
      </w:r>
      <w:r w:rsidR="00057335" w:rsidRPr="00A60335">
        <w:rPr>
          <w:rFonts w:ascii="Times New Roman" w:hAnsi="Times New Roman" w:cs="Times New Roman"/>
          <w:szCs w:val="24"/>
        </w:rPr>
        <w:t xml:space="preserve"> W decyzji minister właściwy do spraw gospodarki będzie:</w:t>
      </w:r>
    </w:p>
    <w:p w:rsidR="00927600" w:rsidRPr="00A60335" w:rsidRDefault="004734B2" w:rsidP="00A6033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 xml:space="preserve">określał </w:t>
      </w:r>
      <w:r w:rsidR="00927600" w:rsidRPr="00A60335">
        <w:rPr>
          <w:rFonts w:ascii="Times New Roman" w:hAnsi="Times New Roman" w:cs="Times New Roman"/>
          <w:sz w:val="24"/>
          <w:szCs w:val="24"/>
        </w:rPr>
        <w:t>osobę lub podmiot dysponujące środkami finansowymi, funduszami lub zasobami gospodarczymi w rozumieniu rozporządzenia 765/2006 lub rozporządzenia 269/2014 objętymi zarządem, wobec których ustanawiany jest zarząd</w:t>
      </w:r>
      <w:r w:rsidR="00057335" w:rsidRPr="00A60335">
        <w:rPr>
          <w:rFonts w:ascii="Times New Roman" w:hAnsi="Times New Roman" w:cs="Times New Roman"/>
          <w:sz w:val="24"/>
          <w:szCs w:val="24"/>
        </w:rPr>
        <w:t xml:space="preserve"> oraz</w:t>
      </w:r>
    </w:p>
    <w:p w:rsidR="00927600" w:rsidRPr="00A60335" w:rsidRDefault="004734B2" w:rsidP="00A6033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 xml:space="preserve">określał </w:t>
      </w:r>
      <w:r w:rsidR="00927600" w:rsidRPr="00A60335">
        <w:rPr>
          <w:rFonts w:ascii="Times New Roman" w:hAnsi="Times New Roman" w:cs="Times New Roman"/>
          <w:sz w:val="24"/>
          <w:szCs w:val="24"/>
        </w:rPr>
        <w:t>zakres środków finansowych, funduszy lub zasobów gospodarczych w rozumieniu rozporządzenia 765/2006 lub rozporządzenia 269/2014 objętych zarządem</w:t>
      </w:r>
      <w:r w:rsidRPr="00A60335">
        <w:rPr>
          <w:rFonts w:ascii="Times New Roman" w:hAnsi="Times New Roman" w:cs="Times New Roman"/>
          <w:sz w:val="24"/>
          <w:szCs w:val="24"/>
        </w:rPr>
        <w:t>;</w:t>
      </w:r>
    </w:p>
    <w:p w:rsidR="004734B2" w:rsidRPr="00A60335" w:rsidRDefault="004734B2" w:rsidP="00A6033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wyznaczał osobę wykonującą zarząd.</w:t>
      </w:r>
    </w:p>
    <w:p w:rsidR="00057335" w:rsidRPr="00A60335" w:rsidRDefault="00057335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Z uwagi na związek ustanowienia zarządu z zastosowaniem środka, o którym mowa w art. 1 pkt 1 albo 2 ustawy sankcyjnej decyzja ministra właściwego do spraw gospodarki będzie przekazywana do wiadomości ministra właściwego do spraw wewnętrznych.</w:t>
      </w:r>
    </w:p>
    <w:p w:rsidR="004734B2" w:rsidRPr="00A60335" w:rsidRDefault="00C27178" w:rsidP="004734B2">
      <w:pPr>
        <w:pStyle w:val="ZUSTzmustartykuempunktem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Zarządcą</w:t>
      </w:r>
      <w:r w:rsidR="004734B2" w:rsidRPr="00A60335">
        <w:rPr>
          <w:rFonts w:ascii="Times New Roman" w:hAnsi="Times New Roman" w:cs="Times New Roman"/>
          <w:szCs w:val="24"/>
        </w:rPr>
        <w:t xml:space="preserve"> będzie mogła być osoba fizyczna, która łącznie spełnia następujące warunki:</w:t>
      </w:r>
    </w:p>
    <w:p w:rsidR="004734B2" w:rsidRPr="00A60335" w:rsidRDefault="004734B2" w:rsidP="00A60335">
      <w:pPr>
        <w:pStyle w:val="ZPKTzmpktartykuempunktem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ma pełną zdolność do czynności prawnych;</w:t>
      </w:r>
    </w:p>
    <w:p w:rsidR="004734B2" w:rsidRPr="00A60335" w:rsidRDefault="004734B2" w:rsidP="00A60335">
      <w:pPr>
        <w:pStyle w:val="ZPKTzmpktartykuempunktem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posiada wykształcenie wyższe oraz doświadczenie w zakresie zarządzania działalnością przedsiębiorstw albo doradztwa gospodarczego;</w:t>
      </w:r>
    </w:p>
    <w:p w:rsidR="004734B2" w:rsidRPr="00A60335" w:rsidRDefault="004734B2" w:rsidP="00A60335">
      <w:pPr>
        <w:pStyle w:val="ZPKTzmpktartykuempunktem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lastRenderedPageBreak/>
        <w:t>nie orzeczono wobec niej prawomocnie:</w:t>
      </w:r>
    </w:p>
    <w:p w:rsidR="004734B2" w:rsidRPr="00A60335" w:rsidRDefault="004734B2" w:rsidP="00A60335">
      <w:pPr>
        <w:pStyle w:val="ZLITwPKTzmlitwpktartykuempunktem"/>
        <w:numPr>
          <w:ilvl w:val="0"/>
          <w:numId w:val="6"/>
        </w:numPr>
        <w:rPr>
          <w:rFonts w:ascii="Times New Roman" w:hAnsi="Times New Roman" w:cs="Times New Roman"/>
          <w:szCs w:val="24"/>
        </w:rPr>
      </w:pPr>
      <w:bookmarkStart w:id="2" w:name="mip57536706"/>
      <w:bookmarkEnd w:id="2"/>
      <w:r w:rsidRPr="00A60335">
        <w:rPr>
          <w:rFonts w:ascii="Times New Roman" w:hAnsi="Times New Roman" w:cs="Times New Roman"/>
          <w:szCs w:val="24"/>
        </w:rPr>
        <w:t xml:space="preserve">zakazu prowadzenia działalności gospodarczej, o którym mowa w art. 373 ust. 1 ustawy z dnia 28 lutego 2003 r. </w:t>
      </w:r>
      <w:r w:rsidR="00A60335">
        <w:rPr>
          <w:rFonts w:ascii="Times New Roman" w:hAnsi="Times New Roman" w:cs="Times New Roman"/>
          <w:szCs w:val="24"/>
        </w:rPr>
        <w:t>–</w:t>
      </w:r>
      <w:r w:rsidRPr="00A60335">
        <w:rPr>
          <w:rFonts w:ascii="Times New Roman" w:hAnsi="Times New Roman" w:cs="Times New Roman"/>
          <w:szCs w:val="24"/>
        </w:rPr>
        <w:t xml:space="preserve"> Prawo upadłościowe, lub</w:t>
      </w:r>
    </w:p>
    <w:p w:rsidR="004734B2" w:rsidRPr="00A60335" w:rsidRDefault="004734B2" w:rsidP="00A60335">
      <w:pPr>
        <w:pStyle w:val="ZLITwPKTzmlitwpktartykuempunktem"/>
        <w:numPr>
          <w:ilvl w:val="0"/>
          <w:numId w:val="6"/>
        </w:numPr>
        <w:rPr>
          <w:rFonts w:ascii="Times New Roman" w:hAnsi="Times New Roman" w:cs="Times New Roman"/>
          <w:szCs w:val="24"/>
        </w:rPr>
      </w:pPr>
      <w:bookmarkStart w:id="3" w:name="mip57536709"/>
      <w:bookmarkEnd w:id="3"/>
      <w:r w:rsidRPr="00A60335">
        <w:rPr>
          <w:rFonts w:ascii="Times New Roman" w:hAnsi="Times New Roman" w:cs="Times New Roman"/>
          <w:szCs w:val="24"/>
        </w:rPr>
        <w:t>środka karnego albo środka zabezpieczającego w postaci zakazu prowadzenia określonej działalności gospodarczej, obejmującego działalność gospodarczą wykonywaną przez podmiot gospodarczy, o którym mowa w ust. 1.</w:t>
      </w:r>
    </w:p>
    <w:p w:rsidR="004734B2" w:rsidRPr="00A60335" w:rsidRDefault="004734B2" w:rsidP="004734B2">
      <w:pPr>
        <w:pStyle w:val="ZUSTzmustartykuempunktem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Koszty związane z wykonywaniem zarządu będą obciążały osobę lub podmiot objęte zarządem. Wynagrodzenie zarządcy będzie ustalane w wysokości nieprzekraczającej przeciętnego wynagrodzenia zarządzającego przedsiębiorstwem o podobnym zakresie i skali działalności przy uwzględnieniu zakresu czynności zarządcy i wartości środków finansowych, funduszy lub zasobów gospodarczych objętych zarządem.</w:t>
      </w:r>
    </w:p>
    <w:p w:rsidR="008767A1" w:rsidRPr="00A60335" w:rsidRDefault="008767A1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Do zadań zarządcy będzie należało:</w:t>
      </w:r>
    </w:p>
    <w:p w:rsidR="008767A1" w:rsidRPr="00A60335" w:rsidRDefault="008767A1" w:rsidP="00A60335">
      <w:pPr>
        <w:pStyle w:val="ZPKTzmpktartykuempunktem"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zapewnienie ciągłości działalności przedsiębiorstwa podmiotu gospodarczego,</w:t>
      </w:r>
    </w:p>
    <w:p w:rsidR="008767A1" w:rsidRPr="00A60335" w:rsidRDefault="008767A1" w:rsidP="00A60335">
      <w:pPr>
        <w:pStyle w:val="ZPKTzmpktartykuempunktem"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zarządzanie przedsiębiorstwem, w szczególności na zarządcę przejdzie prawo podejmowania uchwał i decyzji we wszystkich sprawach zastrzeżonych do właściwości władz i organów podmiotu gospodarczego,</w:t>
      </w:r>
    </w:p>
    <w:p w:rsidR="008767A1" w:rsidRPr="00A60335" w:rsidRDefault="0092474F" w:rsidP="00A60335">
      <w:pPr>
        <w:pStyle w:val="ZPKTzmpktartykuempunktem"/>
        <w:numPr>
          <w:ilvl w:val="0"/>
          <w:numId w:val="7"/>
        </w:numPr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wykonywanie</w:t>
      </w:r>
      <w:r w:rsidR="008767A1" w:rsidRPr="00A60335">
        <w:rPr>
          <w:rFonts w:ascii="Times New Roman" w:hAnsi="Times New Roman" w:cs="Times New Roman"/>
          <w:szCs w:val="24"/>
        </w:rPr>
        <w:t xml:space="preserve"> w podmiocie gospoda</w:t>
      </w:r>
      <w:bookmarkStart w:id="4" w:name="_Hlk104806592"/>
      <w:r w:rsidR="00B66830" w:rsidRPr="00A60335">
        <w:rPr>
          <w:rFonts w:ascii="Times New Roman" w:hAnsi="Times New Roman" w:cs="Times New Roman"/>
          <w:szCs w:val="24"/>
        </w:rPr>
        <w:t xml:space="preserve">rczym uprawnienia przysługujące </w:t>
      </w:r>
      <w:r w:rsidR="004734B2" w:rsidRPr="00A60335">
        <w:rPr>
          <w:rFonts w:ascii="Times New Roman" w:hAnsi="Times New Roman" w:cs="Times New Roman"/>
          <w:szCs w:val="24"/>
        </w:rPr>
        <w:t xml:space="preserve">osobie lub </w:t>
      </w:r>
      <w:r w:rsidR="008767A1" w:rsidRPr="00A60335">
        <w:rPr>
          <w:rFonts w:ascii="Times New Roman" w:hAnsi="Times New Roman" w:cs="Times New Roman"/>
          <w:szCs w:val="24"/>
        </w:rPr>
        <w:t xml:space="preserve">podmiotowi wpisanym na listę </w:t>
      </w:r>
      <w:bookmarkEnd w:id="4"/>
      <w:r w:rsidR="008767A1" w:rsidRPr="00A60335">
        <w:rPr>
          <w:rFonts w:ascii="Times New Roman" w:hAnsi="Times New Roman" w:cs="Times New Roman"/>
          <w:szCs w:val="24"/>
        </w:rPr>
        <w:t xml:space="preserve">wobec których został ustanowiony </w:t>
      </w:r>
      <w:r w:rsidRPr="00A60335">
        <w:rPr>
          <w:rFonts w:ascii="Times New Roman" w:hAnsi="Times New Roman" w:cs="Times New Roman"/>
          <w:szCs w:val="24"/>
        </w:rPr>
        <w:t>zarząd, w szczególności wykonywał</w:t>
      </w:r>
      <w:r w:rsidR="008767A1" w:rsidRPr="00A60335">
        <w:rPr>
          <w:rFonts w:ascii="Times New Roman" w:hAnsi="Times New Roman" w:cs="Times New Roman"/>
          <w:szCs w:val="24"/>
        </w:rPr>
        <w:t xml:space="preserve"> prawa z akcji należących do takiej osoby lub podmiotu,</w:t>
      </w:r>
    </w:p>
    <w:p w:rsidR="004734B2" w:rsidRPr="00A60335" w:rsidRDefault="0092474F" w:rsidP="00A6033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podejmowanie działań niezbędnych</w:t>
      </w:r>
      <w:r w:rsidR="008767A1" w:rsidRPr="00A60335">
        <w:rPr>
          <w:rFonts w:ascii="Times New Roman" w:hAnsi="Times New Roman" w:cs="Times New Roman"/>
          <w:sz w:val="24"/>
          <w:szCs w:val="24"/>
        </w:rPr>
        <w:t xml:space="preserve"> do zapobieżenia wykorzystaniu środków finansowych, funduszy lub zasobów gospodarczych objętych zarządem w celu bezpośredniego lub pośredniego wspierania agresji, naruszeń lub innych działań określonych w art. 3 ust. 2</w:t>
      </w:r>
      <w:r w:rsidRPr="00A60335">
        <w:rPr>
          <w:rFonts w:ascii="Times New Roman" w:hAnsi="Times New Roman" w:cs="Times New Roman"/>
          <w:sz w:val="24"/>
          <w:szCs w:val="24"/>
        </w:rPr>
        <w:t xml:space="preserve"> ustawy sankcyjnej</w:t>
      </w:r>
      <w:r w:rsidR="00AA6335" w:rsidRPr="00A60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74F" w:rsidRPr="00A60335" w:rsidRDefault="003F7B27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Do zadań zarządcy ustanowionego w celu zbycia środków finansowych, funduszy lub zasobów gospodarczych w rozumieniu rozporządzenia 765/2006 lub rozporządzenia 269/2014</w:t>
      </w:r>
      <w:r w:rsidR="009B3381">
        <w:rPr>
          <w:rFonts w:ascii="Times New Roman" w:hAnsi="Times New Roman" w:cs="Times New Roman"/>
          <w:sz w:val="24"/>
          <w:szCs w:val="24"/>
        </w:rPr>
        <w:t xml:space="preserve"> </w:t>
      </w:r>
      <w:r w:rsidR="0092474F" w:rsidRPr="00A60335">
        <w:rPr>
          <w:rFonts w:ascii="Times New Roman" w:hAnsi="Times New Roman" w:cs="Times New Roman"/>
          <w:sz w:val="24"/>
          <w:szCs w:val="24"/>
        </w:rPr>
        <w:t>będzie należało także występowanie do s</w:t>
      </w:r>
      <w:r w:rsidR="006624E6" w:rsidRPr="00A60335">
        <w:rPr>
          <w:rFonts w:ascii="Times New Roman" w:hAnsi="Times New Roman" w:cs="Times New Roman"/>
          <w:sz w:val="24"/>
          <w:szCs w:val="24"/>
        </w:rPr>
        <w:t>ą</w:t>
      </w:r>
      <w:r w:rsidR="0092474F" w:rsidRPr="00A60335">
        <w:rPr>
          <w:rFonts w:ascii="Times New Roman" w:hAnsi="Times New Roman" w:cs="Times New Roman"/>
          <w:sz w:val="24"/>
          <w:szCs w:val="24"/>
        </w:rPr>
        <w:t>du o wydanie zarządzenia zbyci</w:t>
      </w:r>
      <w:r w:rsidR="00E84B01" w:rsidRPr="00A60335">
        <w:rPr>
          <w:rFonts w:ascii="Times New Roman" w:hAnsi="Times New Roman" w:cs="Times New Roman"/>
          <w:sz w:val="24"/>
          <w:szCs w:val="24"/>
        </w:rPr>
        <w:t>a</w:t>
      </w:r>
      <w:r w:rsidR="0092474F" w:rsidRPr="00A60335">
        <w:rPr>
          <w:rFonts w:ascii="Times New Roman" w:hAnsi="Times New Roman" w:cs="Times New Roman"/>
          <w:sz w:val="24"/>
          <w:szCs w:val="24"/>
        </w:rPr>
        <w:t xml:space="preserve"> tych środków finansowych, funduszy lub zasobów gospodarczych przez zarządcę</w:t>
      </w:r>
      <w:r w:rsidR="00AA6335" w:rsidRPr="00A60335">
        <w:rPr>
          <w:rFonts w:ascii="Times New Roman" w:hAnsi="Times New Roman" w:cs="Times New Roman"/>
          <w:sz w:val="24"/>
          <w:szCs w:val="24"/>
        </w:rPr>
        <w:t>.</w:t>
      </w:r>
    </w:p>
    <w:p w:rsidR="0092474F" w:rsidRPr="00A60335" w:rsidRDefault="0092474F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Powyższy zakres zadań zarządcy ma na celu dalsze sprawne funkcjonowanie przedsiębiorstwa podmiotu gospodarczego do czasu zbycia środków finansowych, funduszy lub zasobów gospodarczych objętych zarządem.</w:t>
      </w:r>
    </w:p>
    <w:p w:rsidR="00496360" w:rsidRPr="00A60335" w:rsidRDefault="0092474F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Projektowane przepisy przewiduj</w:t>
      </w:r>
      <w:r w:rsidR="00E84B01" w:rsidRPr="00A60335">
        <w:rPr>
          <w:rFonts w:ascii="Times New Roman" w:hAnsi="Times New Roman" w:cs="Times New Roman"/>
          <w:sz w:val="24"/>
          <w:szCs w:val="24"/>
        </w:rPr>
        <w:t>ą</w:t>
      </w:r>
      <w:r w:rsidRPr="00A60335">
        <w:rPr>
          <w:rFonts w:ascii="Times New Roman" w:hAnsi="Times New Roman" w:cs="Times New Roman"/>
          <w:sz w:val="24"/>
          <w:szCs w:val="24"/>
        </w:rPr>
        <w:t xml:space="preserve">, że w okresie </w:t>
      </w:r>
      <w:r w:rsidR="00841568" w:rsidRPr="00A60335">
        <w:rPr>
          <w:rFonts w:ascii="Times New Roman" w:hAnsi="Times New Roman" w:cs="Times New Roman"/>
          <w:sz w:val="24"/>
          <w:szCs w:val="24"/>
        </w:rPr>
        <w:t>objętym</w:t>
      </w:r>
      <w:r w:rsidRPr="00A60335">
        <w:rPr>
          <w:rFonts w:ascii="Times New Roman" w:hAnsi="Times New Roman" w:cs="Times New Roman"/>
          <w:sz w:val="24"/>
          <w:szCs w:val="24"/>
        </w:rPr>
        <w:t xml:space="preserve"> decyzją o ustanowieniu zarządu</w:t>
      </w:r>
      <w:r w:rsidR="003F7B27" w:rsidRPr="00A60335">
        <w:rPr>
          <w:rFonts w:ascii="Times New Roman" w:hAnsi="Times New Roman" w:cs="Times New Roman"/>
          <w:sz w:val="24"/>
          <w:szCs w:val="24"/>
        </w:rPr>
        <w:t xml:space="preserve"> w celu zbycia środków finansowych, funduszy lub zasobów gospodarczych w rozumieniu rozporządzenia 765/2006 lub rozporządzenia 269/2014</w:t>
      </w:r>
      <w:r w:rsidRPr="00A60335">
        <w:rPr>
          <w:rFonts w:ascii="Times New Roman" w:hAnsi="Times New Roman" w:cs="Times New Roman"/>
          <w:sz w:val="24"/>
          <w:szCs w:val="24"/>
        </w:rPr>
        <w:t xml:space="preserve"> może nastąpić zbycie</w:t>
      </w:r>
      <w:r w:rsidR="003F7B27" w:rsidRPr="00A60335">
        <w:rPr>
          <w:rFonts w:ascii="Times New Roman" w:hAnsi="Times New Roman" w:cs="Times New Roman"/>
          <w:sz w:val="24"/>
          <w:szCs w:val="24"/>
        </w:rPr>
        <w:t xml:space="preserve"> tych</w:t>
      </w:r>
      <w:r w:rsidRPr="00A60335">
        <w:rPr>
          <w:rFonts w:ascii="Times New Roman" w:hAnsi="Times New Roman" w:cs="Times New Roman"/>
          <w:sz w:val="24"/>
          <w:szCs w:val="24"/>
        </w:rPr>
        <w:t xml:space="preserve"> środków, </w:t>
      </w:r>
      <w:r w:rsidRPr="00A60335">
        <w:rPr>
          <w:rFonts w:ascii="Times New Roman" w:hAnsi="Times New Roman" w:cs="Times New Roman"/>
          <w:sz w:val="24"/>
          <w:szCs w:val="24"/>
        </w:rPr>
        <w:lastRenderedPageBreak/>
        <w:t xml:space="preserve">funduszy lub zasobów przez zarządcę działającego w imieniu i na rzecz osoby lub podmiotu, wobec których zarząd został ustanowiony, na podstawie udzielonego przez nie pełnomocnictwa. Jeżeli natomiast w powyższym okresie nie nastąpi zbycie środków finansowych, funduszy lub zasobów gospodarczych objętych zarządem Sąd Rejonowy dla miasta stołecznego Warszawy, będzie zarządzał zbycie tych </w:t>
      </w:r>
      <w:bookmarkStart w:id="5" w:name="_Hlk104381047"/>
      <w:r w:rsidRPr="00A60335">
        <w:rPr>
          <w:rFonts w:ascii="Times New Roman" w:hAnsi="Times New Roman" w:cs="Times New Roman"/>
          <w:sz w:val="24"/>
          <w:szCs w:val="24"/>
        </w:rPr>
        <w:t>środków finansowych, funduszy lub zasobów gospodarczych</w:t>
      </w:r>
      <w:bookmarkEnd w:id="5"/>
      <w:r w:rsidRPr="00A60335">
        <w:rPr>
          <w:rFonts w:ascii="Times New Roman" w:hAnsi="Times New Roman" w:cs="Times New Roman"/>
          <w:sz w:val="24"/>
          <w:szCs w:val="24"/>
        </w:rPr>
        <w:t xml:space="preserve"> przez zarządcę.</w:t>
      </w:r>
      <w:r w:rsidR="009B33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7B2" w:rsidRPr="00A60335" w:rsidRDefault="006427B2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 xml:space="preserve">Środki określone w projekcie polegające na ustanowieniu zarządu, który zapewnia ciągłość działania przedsiębiorstwa do momentu jego </w:t>
      </w:r>
      <w:r w:rsidR="003F7B27" w:rsidRPr="00A60335">
        <w:rPr>
          <w:rFonts w:ascii="Times New Roman" w:hAnsi="Times New Roman" w:cs="Times New Roman"/>
          <w:sz w:val="24"/>
          <w:szCs w:val="24"/>
        </w:rPr>
        <w:t>zbycia</w:t>
      </w:r>
      <w:r w:rsidRPr="00A60335">
        <w:rPr>
          <w:rFonts w:ascii="Times New Roman" w:hAnsi="Times New Roman" w:cs="Times New Roman"/>
          <w:sz w:val="24"/>
          <w:szCs w:val="24"/>
        </w:rPr>
        <w:t xml:space="preserve"> mieszczą się w ramach swobody regulacyjnej ustawodawcy zwykłego, wyznaczanego przez konstytucyjną zasadę proporcjonalności (art. 31 ust</w:t>
      </w:r>
      <w:r w:rsidR="00E84B01" w:rsidRPr="00A60335">
        <w:rPr>
          <w:rFonts w:ascii="Times New Roman" w:hAnsi="Times New Roman" w:cs="Times New Roman"/>
          <w:sz w:val="24"/>
          <w:szCs w:val="24"/>
        </w:rPr>
        <w:t>.</w:t>
      </w:r>
      <w:r w:rsidRPr="00A60335">
        <w:rPr>
          <w:rFonts w:ascii="Times New Roman" w:hAnsi="Times New Roman" w:cs="Times New Roman"/>
          <w:sz w:val="24"/>
          <w:szCs w:val="24"/>
        </w:rPr>
        <w:t xml:space="preserve"> 3 w zw. z art. 64 ust. 3 Konstytucji RP). Wskazać należy, że jest ona ustanowiona ze względu na konstytucyjnie legitymowane cele, określone w dodawanym art. 6a ust. 1</w:t>
      </w:r>
      <w:r w:rsidR="00C27178" w:rsidRPr="00A60335">
        <w:rPr>
          <w:rFonts w:ascii="Times New Roman" w:hAnsi="Times New Roman" w:cs="Times New Roman"/>
          <w:sz w:val="24"/>
          <w:szCs w:val="24"/>
        </w:rPr>
        <w:t xml:space="preserve"> i 6b ust. 1</w:t>
      </w:r>
      <w:r w:rsidRPr="00A60335">
        <w:rPr>
          <w:rFonts w:ascii="Times New Roman" w:hAnsi="Times New Roman" w:cs="Times New Roman"/>
          <w:sz w:val="24"/>
          <w:szCs w:val="24"/>
        </w:rPr>
        <w:t>, a więc wyłącznie gdy wobec podmiotu zastosowano środki, o którym mowa w art. 1 pkt 1 albo 2 ustawy sankcyjnej i tylko wtedy, gdy jest to niezbędne dla zapewnienia ciągłość działania przedsiębiorstwa, w tym zapewnienia bezpieczeństwa miejsc pracy, ciągłości świadczenia usług lub innych zadań o charakterze publicznym albo ze względów bezpieczeństwa państwa. Każdy z tych celów mieści się w wartościach ze względu na które można ograniczać prawa i wolności jednostki, o których mowa w art. 31 ust. 3 Konstytucji</w:t>
      </w:r>
      <w:r w:rsidR="009B3381">
        <w:rPr>
          <w:rFonts w:ascii="Times New Roman" w:hAnsi="Times New Roman" w:cs="Times New Roman"/>
          <w:sz w:val="24"/>
          <w:szCs w:val="24"/>
        </w:rPr>
        <w:t xml:space="preserve"> </w:t>
      </w:r>
      <w:r w:rsidRPr="00A60335">
        <w:rPr>
          <w:rFonts w:ascii="Times New Roman" w:hAnsi="Times New Roman" w:cs="Times New Roman"/>
          <w:sz w:val="24"/>
          <w:szCs w:val="24"/>
        </w:rPr>
        <w:t>RP (porządek publiczny, bezpieczeństwo publiczne ora</w:t>
      </w:r>
      <w:r w:rsidR="00E84B01" w:rsidRPr="00A60335">
        <w:rPr>
          <w:rFonts w:ascii="Times New Roman" w:hAnsi="Times New Roman" w:cs="Times New Roman"/>
          <w:sz w:val="24"/>
          <w:szCs w:val="24"/>
        </w:rPr>
        <w:t>z</w:t>
      </w:r>
      <w:r w:rsidRPr="00A60335">
        <w:rPr>
          <w:rFonts w:ascii="Times New Roman" w:hAnsi="Times New Roman" w:cs="Times New Roman"/>
          <w:sz w:val="24"/>
          <w:szCs w:val="24"/>
        </w:rPr>
        <w:t xml:space="preserve"> prawa i wolności innych osób). Zapewniono adekwatność i proporcjonalność </w:t>
      </w:r>
      <w:r w:rsidRPr="00A60335">
        <w:rPr>
          <w:rFonts w:ascii="Times New Roman" w:hAnsi="Times New Roman" w:cs="Times New Roman"/>
          <w:i/>
          <w:sz w:val="24"/>
          <w:szCs w:val="24"/>
        </w:rPr>
        <w:t xml:space="preserve">sensu stricto </w:t>
      </w:r>
      <w:r w:rsidRPr="00A60335">
        <w:rPr>
          <w:rFonts w:ascii="Times New Roman" w:hAnsi="Times New Roman" w:cs="Times New Roman"/>
          <w:sz w:val="24"/>
          <w:szCs w:val="24"/>
        </w:rPr>
        <w:t xml:space="preserve">omawianego środka przez kilka elementów, w szczególności: ograniczenia podmiotowe (wobec kogo może być zastosowany), ograniczenia przedmiotowe (wobec jakich aktywów może być </w:t>
      </w:r>
      <w:r w:rsidR="00E84B01" w:rsidRPr="00A60335">
        <w:rPr>
          <w:rFonts w:ascii="Times New Roman" w:hAnsi="Times New Roman" w:cs="Times New Roman"/>
          <w:sz w:val="24"/>
          <w:szCs w:val="24"/>
        </w:rPr>
        <w:t xml:space="preserve">stosowany </w:t>
      </w:r>
      <w:r w:rsidR="00C27178" w:rsidRPr="00A60335">
        <w:rPr>
          <w:rFonts w:ascii="Times New Roman" w:hAnsi="Times New Roman" w:cs="Times New Roman"/>
          <w:sz w:val="24"/>
          <w:szCs w:val="24"/>
        </w:rPr>
        <w:br/>
      </w:r>
      <w:r w:rsidRPr="00A60335">
        <w:rPr>
          <w:rFonts w:ascii="Times New Roman" w:hAnsi="Times New Roman" w:cs="Times New Roman"/>
          <w:sz w:val="24"/>
          <w:szCs w:val="24"/>
        </w:rPr>
        <w:t xml:space="preserve">i w jakich sytuacjach), wymóg proporcjonalności i niezbędności (konieczność limitowania stosowania środka, tylko do mienia zamrożonego i jedynie w sytuacjach, gdy środek może służyć celom określonym w dodawanym art. 6a ust. 1 </w:t>
      </w:r>
      <w:r w:rsidR="00C13DEF" w:rsidRPr="00A60335">
        <w:rPr>
          <w:rFonts w:ascii="Times New Roman" w:hAnsi="Times New Roman" w:cs="Times New Roman"/>
          <w:sz w:val="24"/>
          <w:szCs w:val="24"/>
        </w:rPr>
        <w:t xml:space="preserve">i 6b ust. 1 </w:t>
      </w:r>
      <w:r w:rsidRPr="00A60335">
        <w:rPr>
          <w:rFonts w:ascii="Times New Roman" w:hAnsi="Times New Roman" w:cs="Times New Roman"/>
          <w:sz w:val="24"/>
          <w:szCs w:val="24"/>
        </w:rPr>
        <w:t xml:space="preserve">projektu), ograniczenie czasowe co do trwania zarządu, możliwość zaskarżenia decyzji o ustanowieniu zarządu, </w:t>
      </w:r>
      <w:r w:rsidR="00BC1859" w:rsidRPr="00A60335">
        <w:rPr>
          <w:rFonts w:ascii="Times New Roman" w:hAnsi="Times New Roman" w:cs="Times New Roman"/>
          <w:sz w:val="24"/>
          <w:szCs w:val="24"/>
        </w:rPr>
        <w:t>zbycie środków finansowych, funduszy lub zasobów gospodarczych objętych zarządem, przez zarządcę działającego w imieniu i na rzecz osoby lub podmiotu, wobec których zarząd został ustanowiony, na podstawie udzielonego przez nie pełnomocnictwa, a przypadku gdy zbycie nie nastąpi w okresie, na który zarząd został ustanowiony</w:t>
      </w:r>
      <w:r w:rsidRPr="00A60335">
        <w:rPr>
          <w:rFonts w:ascii="Times New Roman" w:hAnsi="Times New Roman" w:cs="Times New Roman"/>
          <w:sz w:val="24"/>
          <w:szCs w:val="24"/>
        </w:rPr>
        <w:t xml:space="preserve"> </w:t>
      </w:r>
      <w:r w:rsidR="00BC1859" w:rsidRPr="00A60335">
        <w:rPr>
          <w:rFonts w:ascii="Times New Roman" w:hAnsi="Times New Roman" w:cs="Times New Roman"/>
          <w:sz w:val="24"/>
          <w:szCs w:val="24"/>
        </w:rPr>
        <w:t>zarządzenie</w:t>
      </w:r>
      <w:r w:rsidRPr="00A60335">
        <w:rPr>
          <w:rFonts w:ascii="Times New Roman" w:hAnsi="Times New Roman" w:cs="Times New Roman"/>
          <w:sz w:val="24"/>
          <w:szCs w:val="24"/>
        </w:rPr>
        <w:t xml:space="preserve"> niezależnego sądu </w:t>
      </w:r>
      <w:r w:rsidR="00C27178" w:rsidRPr="00A60335">
        <w:rPr>
          <w:rFonts w:ascii="Times New Roman" w:hAnsi="Times New Roman" w:cs="Times New Roman"/>
          <w:sz w:val="24"/>
          <w:szCs w:val="24"/>
        </w:rPr>
        <w:br/>
      </w:r>
      <w:r w:rsidRPr="00A60335">
        <w:rPr>
          <w:rFonts w:ascii="Times New Roman" w:hAnsi="Times New Roman" w:cs="Times New Roman"/>
          <w:sz w:val="24"/>
          <w:szCs w:val="24"/>
        </w:rPr>
        <w:t>o sprzedaży. W związku z tym wszelkie wymogi związane z zasadą proporcjonalności są spełnione.</w:t>
      </w:r>
    </w:p>
    <w:p w:rsidR="006427B2" w:rsidRPr="00A60335" w:rsidRDefault="006427B2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 xml:space="preserve">Co więcej, wskazać należy, że przedmiotowa regulacja nie stanowi </w:t>
      </w:r>
      <w:r w:rsidR="00E84B01" w:rsidRPr="00A60335">
        <w:rPr>
          <w:rFonts w:ascii="Times New Roman" w:hAnsi="Times New Roman" w:cs="Times New Roman"/>
          <w:sz w:val="24"/>
          <w:szCs w:val="24"/>
        </w:rPr>
        <w:t xml:space="preserve">niedozwolonej ingerencji </w:t>
      </w:r>
      <w:r w:rsidRPr="00A60335">
        <w:rPr>
          <w:rFonts w:ascii="Times New Roman" w:hAnsi="Times New Roman" w:cs="Times New Roman"/>
          <w:sz w:val="24"/>
          <w:szCs w:val="24"/>
        </w:rPr>
        <w:t xml:space="preserve">w istotę prawa własności. Oczywistym jest, że własność nie ma charakteru absolutnego, nie </w:t>
      </w:r>
      <w:r w:rsidRPr="00A60335">
        <w:rPr>
          <w:rFonts w:ascii="Times New Roman" w:hAnsi="Times New Roman" w:cs="Times New Roman"/>
          <w:sz w:val="24"/>
          <w:szCs w:val="24"/>
        </w:rPr>
        <w:lastRenderedPageBreak/>
        <w:t>może być traktowana jako </w:t>
      </w:r>
      <w:r w:rsidRPr="00A60335">
        <w:rPr>
          <w:rFonts w:ascii="Times New Roman" w:hAnsi="Times New Roman" w:cs="Times New Roman"/>
          <w:i/>
          <w:iCs/>
          <w:sz w:val="24"/>
          <w:szCs w:val="24"/>
        </w:rPr>
        <w:t>ius infinitum</w:t>
      </w:r>
      <w:r w:rsidRPr="00A60335">
        <w:rPr>
          <w:rFonts w:ascii="Times New Roman" w:hAnsi="Times New Roman" w:cs="Times New Roman"/>
          <w:sz w:val="24"/>
          <w:szCs w:val="24"/>
        </w:rPr>
        <w:t xml:space="preserve"> (zob. wyrok Trybunału Konstytucyjnego </w:t>
      </w:r>
      <w:r w:rsidR="00E84B01" w:rsidRPr="00A60335">
        <w:rPr>
          <w:rFonts w:ascii="Times New Roman" w:hAnsi="Times New Roman" w:cs="Times New Roman"/>
          <w:sz w:val="24"/>
          <w:szCs w:val="24"/>
        </w:rPr>
        <w:br/>
      </w:r>
      <w:r w:rsidRPr="00A60335">
        <w:rPr>
          <w:rFonts w:ascii="Times New Roman" w:hAnsi="Times New Roman" w:cs="Times New Roman"/>
          <w:sz w:val="24"/>
          <w:szCs w:val="24"/>
        </w:rPr>
        <w:t>z dnia 11 maja 1999 r., sygn. K 13/98). Granica oceny, czy dana ingerencja narusza istotę prawa własności musi być kontekstowa. Jak wskazywał Trybunał Konstytucyjny: „(…) </w:t>
      </w:r>
      <w:r w:rsidRPr="00A60335">
        <w:rPr>
          <w:rFonts w:ascii="Times New Roman" w:hAnsi="Times New Roman" w:cs="Times New Roman"/>
          <w:i/>
          <w:sz w:val="24"/>
          <w:szCs w:val="24"/>
        </w:rPr>
        <w:t xml:space="preserve">z dotychczasowego orzecznictwa wynika konieczność pewnego zróżnicowania ocen </w:t>
      </w:r>
      <w:r w:rsidR="00E84B01" w:rsidRPr="00A60335">
        <w:rPr>
          <w:rFonts w:ascii="Times New Roman" w:hAnsi="Times New Roman" w:cs="Times New Roman"/>
          <w:i/>
          <w:sz w:val="24"/>
          <w:szCs w:val="24"/>
        </w:rPr>
        <w:br/>
      </w:r>
      <w:r w:rsidRPr="00A60335">
        <w:rPr>
          <w:rFonts w:ascii="Times New Roman" w:hAnsi="Times New Roman" w:cs="Times New Roman"/>
          <w:i/>
          <w:sz w:val="24"/>
          <w:szCs w:val="24"/>
        </w:rPr>
        <w:t xml:space="preserve">w zależności od kontekstu sytuacyjnego; może mieć on znaczenie nawet dla określenia istoty prawa. Wyrażone w powołanych wyrokach Trybunału przekonanie o konieczności zbadania «funkcji», jaką konkretne prawo ma spełniać w porządku prawnym (wyrok z 12 stycznia </w:t>
      </w:r>
      <w:r w:rsidR="00E84B01" w:rsidRPr="00A60335">
        <w:rPr>
          <w:rFonts w:ascii="Times New Roman" w:hAnsi="Times New Roman" w:cs="Times New Roman"/>
          <w:i/>
          <w:sz w:val="24"/>
          <w:szCs w:val="24"/>
        </w:rPr>
        <w:br/>
      </w:r>
      <w:r w:rsidRPr="00A60335">
        <w:rPr>
          <w:rFonts w:ascii="Times New Roman" w:hAnsi="Times New Roman" w:cs="Times New Roman"/>
          <w:i/>
          <w:sz w:val="24"/>
          <w:szCs w:val="24"/>
        </w:rPr>
        <w:t>1999 r., sygn. P 2/98), oznacza, że zarówno przy określaniu prerogatyw właściciela, jak i ocenie wykonywania przez niego służącego mu prawa, należy brać pod uwagę cel gospodarczy prawa oraz kontekst sytuacyjny, w jakim prawo to funkcjonuje</w:t>
      </w:r>
      <w:r w:rsidRPr="00A60335">
        <w:rPr>
          <w:rFonts w:ascii="Times New Roman" w:hAnsi="Times New Roman" w:cs="Times New Roman"/>
          <w:sz w:val="24"/>
          <w:szCs w:val="24"/>
        </w:rPr>
        <w:t xml:space="preserve">” (wyrok Trybunału Konstytucyjnego </w:t>
      </w:r>
      <w:r w:rsidR="00E84B01" w:rsidRPr="00A60335">
        <w:rPr>
          <w:rFonts w:ascii="Times New Roman" w:hAnsi="Times New Roman" w:cs="Times New Roman"/>
          <w:sz w:val="24"/>
          <w:szCs w:val="24"/>
        </w:rPr>
        <w:br/>
      </w:r>
      <w:r w:rsidRPr="00A60335">
        <w:rPr>
          <w:rFonts w:ascii="Times New Roman" w:hAnsi="Times New Roman" w:cs="Times New Roman"/>
          <w:sz w:val="24"/>
          <w:szCs w:val="24"/>
        </w:rPr>
        <w:t>z dnia 14 grudnia 2004 r., sygn. akt K 25/03). W odniesieniu do prawa własności wyraźnie stwierdzono, że nawet odjęcie prawa własności nie musi oznaczać naruszenia jego istoty: „</w:t>
      </w:r>
      <w:r w:rsidRPr="00A60335">
        <w:rPr>
          <w:rFonts w:ascii="Times New Roman" w:hAnsi="Times New Roman" w:cs="Times New Roman"/>
          <w:i/>
          <w:sz w:val="24"/>
          <w:szCs w:val="24"/>
        </w:rPr>
        <w:t xml:space="preserve">nie każde pozbawienie prawa własności stanowi ingerencję w istotę prawa własności i świadczy </w:t>
      </w:r>
      <w:r w:rsidR="00E84B01" w:rsidRPr="00A60335">
        <w:rPr>
          <w:rFonts w:ascii="Times New Roman" w:hAnsi="Times New Roman" w:cs="Times New Roman"/>
          <w:i/>
          <w:sz w:val="24"/>
          <w:szCs w:val="24"/>
        </w:rPr>
        <w:br/>
      </w:r>
      <w:r w:rsidRPr="00A60335">
        <w:rPr>
          <w:rFonts w:ascii="Times New Roman" w:hAnsi="Times New Roman" w:cs="Times New Roman"/>
          <w:i/>
          <w:sz w:val="24"/>
          <w:szCs w:val="24"/>
        </w:rPr>
        <w:t xml:space="preserve">o przekroczeniu maksymalnych granic zakreślonych przez art. 31 ust. 3 zdanie drugie </w:t>
      </w:r>
      <w:r w:rsidR="00E84B01" w:rsidRPr="00A60335">
        <w:rPr>
          <w:rFonts w:ascii="Times New Roman" w:hAnsi="Times New Roman" w:cs="Times New Roman"/>
          <w:i/>
          <w:sz w:val="24"/>
          <w:szCs w:val="24"/>
        </w:rPr>
        <w:br/>
      </w:r>
      <w:r w:rsidRPr="00A60335">
        <w:rPr>
          <w:rFonts w:ascii="Times New Roman" w:hAnsi="Times New Roman" w:cs="Times New Roman"/>
          <w:i/>
          <w:sz w:val="24"/>
          <w:szCs w:val="24"/>
        </w:rPr>
        <w:t xml:space="preserve">i art. 64 ust. 3 Konstytucji. Wniosek o wkroczeniu w istotę własności można wysunąć dopiero po dokonaniu oceny wagi i sposobu pozbawienia tego prawa” </w:t>
      </w:r>
      <w:r w:rsidRPr="00A60335">
        <w:rPr>
          <w:rFonts w:ascii="Times New Roman" w:hAnsi="Times New Roman" w:cs="Times New Roman"/>
          <w:sz w:val="24"/>
          <w:szCs w:val="24"/>
        </w:rPr>
        <w:t xml:space="preserve">(wyrok Trybunału Konstytucyjnego z dnia 29 lipca 2013 r., sygn. SK 12/12). Konkretyzując powyższe rozważania na gruncie nakazu zbycia określonej rzeczy istnieje stała linia Trybunału Konstytucyjnego, </w:t>
      </w:r>
      <w:r w:rsidR="00E84B01" w:rsidRPr="00A60335">
        <w:rPr>
          <w:rFonts w:ascii="Times New Roman" w:hAnsi="Times New Roman" w:cs="Times New Roman"/>
          <w:sz w:val="24"/>
          <w:szCs w:val="24"/>
        </w:rPr>
        <w:br/>
      </w:r>
      <w:r w:rsidRPr="00A60335">
        <w:rPr>
          <w:rFonts w:ascii="Times New Roman" w:hAnsi="Times New Roman" w:cs="Times New Roman"/>
          <w:sz w:val="24"/>
          <w:szCs w:val="24"/>
        </w:rPr>
        <w:t xml:space="preserve">w której wskazuje się, że jest on konstytucyjnie dopuszczalny. Jak stwierdził Trybunał </w:t>
      </w:r>
      <w:r w:rsidR="00E84B01" w:rsidRPr="00A60335">
        <w:rPr>
          <w:rFonts w:ascii="Times New Roman" w:hAnsi="Times New Roman" w:cs="Times New Roman"/>
          <w:sz w:val="24"/>
          <w:szCs w:val="24"/>
        </w:rPr>
        <w:br/>
      </w:r>
      <w:r w:rsidRPr="00A60335">
        <w:rPr>
          <w:rFonts w:ascii="Times New Roman" w:hAnsi="Times New Roman" w:cs="Times New Roman"/>
          <w:sz w:val="24"/>
          <w:szCs w:val="24"/>
        </w:rPr>
        <w:t xml:space="preserve">w wyroku z dnia 30 października 2001 r., sygn. akt </w:t>
      </w:r>
      <w:r w:rsidRPr="00A60335">
        <w:rPr>
          <w:rFonts w:ascii="Times New Roman" w:hAnsi="Times New Roman" w:cs="Times New Roman"/>
          <w:bCs/>
          <w:sz w:val="24"/>
          <w:szCs w:val="24"/>
        </w:rPr>
        <w:t>K 33/00: „</w:t>
      </w:r>
      <w:r w:rsidRPr="00A60335">
        <w:rPr>
          <w:rFonts w:ascii="Times New Roman" w:hAnsi="Times New Roman" w:cs="Times New Roman"/>
          <w:i/>
          <w:sz w:val="24"/>
          <w:szCs w:val="24"/>
        </w:rPr>
        <w:t xml:space="preserve">Sens prawa własności polega niewątpliwie na przyznaniu określonej osobie (lub </w:t>
      </w:r>
      <w:r w:rsidR="00E84B01" w:rsidRPr="00A60335">
        <w:rPr>
          <w:rFonts w:ascii="Times New Roman" w:hAnsi="Times New Roman" w:cs="Times New Roman"/>
          <w:i/>
          <w:sz w:val="24"/>
          <w:szCs w:val="24"/>
        </w:rPr>
        <w:t>–</w:t>
      </w:r>
      <w:r w:rsidRPr="00A60335">
        <w:rPr>
          <w:rFonts w:ascii="Times New Roman" w:hAnsi="Times New Roman" w:cs="Times New Roman"/>
          <w:i/>
          <w:sz w:val="24"/>
          <w:szCs w:val="24"/>
        </w:rPr>
        <w:t xml:space="preserve"> w przypadku współwłasności </w:t>
      </w:r>
      <w:r w:rsidR="00E84B01" w:rsidRPr="00A60335">
        <w:rPr>
          <w:rFonts w:ascii="Times New Roman" w:hAnsi="Times New Roman" w:cs="Times New Roman"/>
          <w:i/>
          <w:sz w:val="24"/>
          <w:szCs w:val="24"/>
        </w:rPr>
        <w:t>–</w:t>
      </w:r>
      <w:r w:rsidRPr="00A60335">
        <w:rPr>
          <w:rFonts w:ascii="Times New Roman" w:hAnsi="Times New Roman" w:cs="Times New Roman"/>
          <w:i/>
          <w:sz w:val="24"/>
          <w:szCs w:val="24"/>
        </w:rPr>
        <w:t xml:space="preserve"> osobom) najszerszych uprawnień względem rzeczy. Zdaniem Trybunału Konstytucyjnego sam nakaz zbycia określonej rzeczy nie przekracza jeszcze granicy istoty prawa własności i może być </w:t>
      </w:r>
      <w:r w:rsidR="00E84B01" w:rsidRPr="00A60335">
        <w:rPr>
          <w:rFonts w:ascii="Times New Roman" w:hAnsi="Times New Roman" w:cs="Times New Roman"/>
          <w:i/>
          <w:sz w:val="24"/>
          <w:szCs w:val="24"/>
        </w:rPr>
        <w:br/>
      </w:r>
      <w:r w:rsidRPr="00A60335">
        <w:rPr>
          <w:rFonts w:ascii="Times New Roman" w:hAnsi="Times New Roman" w:cs="Times New Roman"/>
          <w:i/>
          <w:sz w:val="24"/>
          <w:szCs w:val="24"/>
        </w:rPr>
        <w:t>w pewnych szczególnych okolicznościach konstytucyjnie dopuszczalny</w:t>
      </w:r>
      <w:r w:rsidRPr="00A60335">
        <w:rPr>
          <w:rFonts w:ascii="Times New Roman" w:hAnsi="Times New Roman" w:cs="Times New Roman"/>
          <w:sz w:val="24"/>
          <w:szCs w:val="24"/>
        </w:rPr>
        <w:t>”. Teza ta została powtarzana wielokrotnie w orzecznictwie Trybunału</w:t>
      </w:r>
      <w:r w:rsidRPr="00A60335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A60335">
        <w:rPr>
          <w:rFonts w:ascii="Times New Roman" w:hAnsi="Times New Roman" w:cs="Times New Roman"/>
          <w:sz w:val="24"/>
          <w:szCs w:val="24"/>
        </w:rPr>
        <w:t xml:space="preserve">. Trybunał wskazywał również warunki, których spełnienie zapewnia, że interwencja legislacyjna tego rodzaju jest dopuszczalna konstytucyjnie: </w:t>
      </w:r>
    </w:p>
    <w:p w:rsidR="006427B2" w:rsidRPr="00A60335" w:rsidRDefault="006427B2" w:rsidP="00A60335">
      <w:pPr>
        <w:pStyle w:val="Akapitzlist"/>
        <w:numPr>
          <w:ilvl w:val="0"/>
          <w:numId w:val="8"/>
        </w:num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 xml:space="preserve">właściciel, na którego ustawodawca nakłada bezwzględny obowiązek zbycia własności na rzecz innych podmiotów niż Skarb Państwa i jednostki samorządu terytorialnego nie może być jednocześnie całkowicie pozbawiony możliwości wyboru osoby nabywcy </w:t>
      </w:r>
      <w:r w:rsidR="00E84B01" w:rsidRPr="00A60335">
        <w:rPr>
          <w:rFonts w:ascii="Times New Roman" w:hAnsi="Times New Roman" w:cs="Times New Roman"/>
          <w:sz w:val="24"/>
          <w:szCs w:val="24"/>
        </w:rPr>
        <w:br/>
      </w:r>
      <w:r w:rsidRPr="00A60335">
        <w:rPr>
          <w:rFonts w:ascii="Times New Roman" w:hAnsi="Times New Roman" w:cs="Times New Roman"/>
          <w:sz w:val="24"/>
          <w:szCs w:val="24"/>
        </w:rPr>
        <w:t>i wpływu na wysokość uzyskanego w zamian świadczenia;</w:t>
      </w:r>
    </w:p>
    <w:p w:rsidR="006427B2" w:rsidRPr="00A60335" w:rsidRDefault="006427B2" w:rsidP="00A60335">
      <w:pPr>
        <w:pStyle w:val="Akapitzlist"/>
        <w:numPr>
          <w:ilvl w:val="0"/>
          <w:numId w:val="8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lastRenderedPageBreak/>
        <w:t>merytoryczne uzasadnienie danego nakazu normami, zasadami i wartościami konstytucyjnymi;</w:t>
      </w:r>
    </w:p>
    <w:p w:rsidR="006427B2" w:rsidRPr="00A60335" w:rsidRDefault="006427B2" w:rsidP="00A60335">
      <w:pPr>
        <w:pStyle w:val="Akapitzlist"/>
        <w:numPr>
          <w:ilvl w:val="0"/>
          <w:numId w:val="8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 xml:space="preserve">odpowiednia konstrukcja przepisów wysławiających sam nakaz, w szczególności zgodność z zasadami wynikającymi z klauzuli demokratycznego państwa prawnego, takich jak zasady poprawnej legislacji oraz ochrony zaufania obywateli do państwa </w:t>
      </w:r>
      <w:r w:rsidR="00E84B01" w:rsidRPr="00A60335">
        <w:rPr>
          <w:rFonts w:ascii="Times New Roman" w:hAnsi="Times New Roman" w:cs="Times New Roman"/>
          <w:sz w:val="24"/>
          <w:szCs w:val="24"/>
        </w:rPr>
        <w:br/>
      </w:r>
      <w:r w:rsidRPr="00A60335">
        <w:rPr>
          <w:rFonts w:ascii="Times New Roman" w:hAnsi="Times New Roman" w:cs="Times New Roman"/>
          <w:sz w:val="24"/>
          <w:szCs w:val="24"/>
        </w:rPr>
        <w:t>i stanowionego przez nie prawa;</w:t>
      </w:r>
    </w:p>
    <w:p w:rsidR="006427B2" w:rsidRPr="00A60335" w:rsidRDefault="006427B2" w:rsidP="00A60335">
      <w:pPr>
        <w:pStyle w:val="Akapitzlist"/>
        <w:numPr>
          <w:ilvl w:val="0"/>
          <w:numId w:val="8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obowiązek sprzedaży powinien być ustanawiany wobec określonych podmiotów przez niearbitralne kryteria, w tym powinien mieć ściśle określone ramy czasowe (zob. wyroki: z dnia 30 października 2001 r., sygn. akt K 33/00, z dnia 14 lutego 2012 r. sygn. akt P 17/10,</w:t>
      </w:r>
      <w:r w:rsidR="009B3381">
        <w:rPr>
          <w:rFonts w:ascii="Times New Roman" w:hAnsi="Times New Roman" w:cs="Times New Roman"/>
          <w:sz w:val="24"/>
          <w:szCs w:val="24"/>
        </w:rPr>
        <w:t xml:space="preserve"> </w:t>
      </w:r>
      <w:r w:rsidRPr="00A60335">
        <w:rPr>
          <w:rFonts w:ascii="Times New Roman" w:hAnsi="Times New Roman" w:cs="Times New Roman"/>
          <w:sz w:val="24"/>
          <w:szCs w:val="24"/>
        </w:rPr>
        <w:t>z dnia 10 lipca 2012, sygn. akt P 15/12 oraz z dnia 20 czerwca 2018 r. sygn. akt SK 3/13).</w:t>
      </w:r>
    </w:p>
    <w:p w:rsidR="006427B2" w:rsidRPr="00A60335" w:rsidRDefault="006427B2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Analizując projektowane regulacje pod kątem spełnienia powyższych kryteriów wskazać należy, że wszystkie z powyższych warunków są spełnione. Projekt nie odbiera prawa do uzyskania świadczenia w zamian za dane mienie, nie decyduje komu i w jakiej wysokości należy je sprzedać, właściciel aż do momentu decyzji sądowej decyduje o jego sprzedaży, zarząd tymczasowy jest stosowany w ściśle określonych okolicznościach przez określony czas ze względu na wskazane w przepisach cele, co sprawia, że jest to środek proporcjonalny </w:t>
      </w:r>
      <w:r w:rsidR="00C64CD6" w:rsidRPr="00A60335">
        <w:rPr>
          <w:rFonts w:ascii="Times New Roman" w:hAnsi="Times New Roman" w:cs="Times New Roman"/>
          <w:sz w:val="24"/>
          <w:szCs w:val="24"/>
        </w:rPr>
        <w:br/>
      </w:r>
      <w:r w:rsidRPr="00A60335">
        <w:rPr>
          <w:rFonts w:ascii="Times New Roman" w:hAnsi="Times New Roman" w:cs="Times New Roman"/>
          <w:sz w:val="24"/>
          <w:szCs w:val="24"/>
        </w:rPr>
        <w:t>i nakładany wedle niearbitralnych</w:t>
      </w:r>
      <w:r w:rsidR="009B3381">
        <w:rPr>
          <w:rFonts w:ascii="Times New Roman" w:hAnsi="Times New Roman" w:cs="Times New Roman"/>
          <w:sz w:val="24"/>
          <w:szCs w:val="24"/>
        </w:rPr>
        <w:t xml:space="preserve"> </w:t>
      </w:r>
      <w:r w:rsidRPr="00A60335">
        <w:rPr>
          <w:rFonts w:ascii="Times New Roman" w:hAnsi="Times New Roman" w:cs="Times New Roman"/>
          <w:sz w:val="24"/>
          <w:szCs w:val="24"/>
        </w:rPr>
        <w:t>kryteriów, a podmiotowi wobec którego stosowany jest opisywany środek ma możliwość skarżenia decyzji do sądu administracyjnego.</w:t>
      </w:r>
      <w:r w:rsidR="009B33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7B2" w:rsidRPr="00A60335" w:rsidRDefault="006427B2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Wskazać także należy, że Trybunał Konstytucyjny wielokrotnie orzekał o konstytucyjności podobnych rozwiązań, np. w kontekście przymusowego wykupu akcji akcjonariuszy mniejszościowych, czy też przymusowej sprzedaży spółdzielczego własnościowego prawa do lokalu, a rozwiązania dot. przymusowego zarządu znane są polskiemu systemowi prawnego</w:t>
      </w:r>
      <w:r w:rsidRPr="00A60335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Pr="00A60335">
        <w:rPr>
          <w:rFonts w:ascii="Times New Roman" w:hAnsi="Times New Roman" w:cs="Times New Roman"/>
          <w:sz w:val="24"/>
          <w:szCs w:val="24"/>
        </w:rPr>
        <w:t>.</w:t>
      </w:r>
    </w:p>
    <w:p w:rsidR="0092474F" w:rsidRPr="00A60335" w:rsidRDefault="0092474F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 xml:space="preserve">Projektowane przepisy przewidują, </w:t>
      </w:r>
      <w:r w:rsidR="00496360" w:rsidRPr="00A60335">
        <w:rPr>
          <w:rFonts w:ascii="Times New Roman" w:hAnsi="Times New Roman" w:cs="Times New Roman"/>
          <w:sz w:val="24"/>
          <w:szCs w:val="24"/>
        </w:rPr>
        <w:t xml:space="preserve">że </w:t>
      </w:r>
      <w:r w:rsidRPr="00A60335">
        <w:rPr>
          <w:rFonts w:ascii="Times New Roman" w:hAnsi="Times New Roman" w:cs="Times New Roman"/>
          <w:sz w:val="24"/>
          <w:szCs w:val="24"/>
        </w:rPr>
        <w:t xml:space="preserve">pierwszeństwo w nabyciu przedsiębiorstwa podmiotu </w:t>
      </w:r>
      <w:r w:rsidR="00496360" w:rsidRPr="00A60335">
        <w:rPr>
          <w:rFonts w:ascii="Times New Roman" w:hAnsi="Times New Roman" w:cs="Times New Roman"/>
          <w:sz w:val="24"/>
          <w:szCs w:val="24"/>
        </w:rPr>
        <w:t xml:space="preserve">wobec którego zarząd został ustanowiony </w:t>
      </w:r>
      <w:r w:rsidRPr="00A60335">
        <w:rPr>
          <w:rFonts w:ascii="Times New Roman" w:hAnsi="Times New Roman" w:cs="Times New Roman"/>
          <w:sz w:val="24"/>
          <w:szCs w:val="24"/>
        </w:rPr>
        <w:t>albo zorganizowanej części tego przedsiębiorstwa nadającej się do prowadzenia działalności gospodarczej</w:t>
      </w:r>
      <w:r w:rsidR="00496360" w:rsidRPr="00A60335">
        <w:rPr>
          <w:rFonts w:ascii="Times New Roman" w:hAnsi="Times New Roman" w:cs="Times New Roman"/>
          <w:sz w:val="24"/>
          <w:szCs w:val="24"/>
        </w:rPr>
        <w:t xml:space="preserve"> przysługiwać będzie spółce z udziałem ponad połowy pracowników tego podmiotu</w:t>
      </w:r>
      <w:r w:rsidR="00BC1859" w:rsidRPr="00A60335">
        <w:rPr>
          <w:rFonts w:ascii="Times New Roman" w:hAnsi="Times New Roman" w:cs="Times New Roman"/>
          <w:sz w:val="24"/>
          <w:szCs w:val="24"/>
        </w:rPr>
        <w:t>.</w:t>
      </w:r>
    </w:p>
    <w:p w:rsidR="00B66830" w:rsidRPr="00A60335" w:rsidRDefault="00B66830" w:rsidP="006D6235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 xml:space="preserve">W przypadku zaś ustanowienia zarządu w celu przejęcia </w:t>
      </w:r>
      <w:r w:rsidR="001A173A" w:rsidRPr="00A60335">
        <w:rPr>
          <w:rFonts w:ascii="Times New Roman" w:hAnsi="Times New Roman" w:cs="Times New Roman"/>
          <w:szCs w:val="24"/>
        </w:rPr>
        <w:t>własności</w:t>
      </w:r>
      <w:r w:rsidRPr="00A60335">
        <w:rPr>
          <w:rFonts w:ascii="Times New Roman" w:hAnsi="Times New Roman" w:cs="Times New Roman"/>
          <w:szCs w:val="24"/>
        </w:rPr>
        <w:t>, do ustanowienia zarządu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szCs w:val="24"/>
        </w:rPr>
        <w:t xml:space="preserve"> i działalności zarządcy zastosowanie będą miały dodawane art. 6a ust. 2–9, 11 i 12 oraz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szCs w:val="24"/>
        </w:rPr>
        <w:lastRenderedPageBreak/>
        <w:t xml:space="preserve">ust. 24 pkt 1. Zarządca w powyższym przypadku będzie wykonywał swoje czynności do czasu przejęcia własności na podstawie decyzji ministra właściwego do spraw gospodarki. </w:t>
      </w:r>
    </w:p>
    <w:p w:rsidR="0076438A" w:rsidRPr="00A60335" w:rsidRDefault="0076438A" w:rsidP="006D623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 xml:space="preserve">Przejęcie własności następować będzie za odszkodowaniem odpowiadającym wartości rynkowej środków finansowych, funduszy lub zasobów gospodarczych podlegających przejęciu ustalonej w oparciu o aktualną wycenę sporządzoną przez niezależny podmiot zewnętrzny o uznanej pozycji na rynku świadczonych usług posiadający umiejętności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szCs w:val="24"/>
        </w:rPr>
        <w:t xml:space="preserve">i doświadczenie niezbędne do sporządzenia takiej wyceny majątkowego, a w przypadku nieruchomości w oparciu o operat szacunkowy sporządzony przez rzeczoznawcę, według stanu środków finansowych, funduszy lub zasobów gospodarczych podlegających przejęciu w dniu wydania decyzji ustalającej wysokość odszkodowania. </w:t>
      </w:r>
    </w:p>
    <w:p w:rsidR="00C57B44" w:rsidRPr="00A60335" w:rsidRDefault="0076438A" w:rsidP="006D623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 xml:space="preserve">Przewidziana projektowanymi przepisami możliwość przejęcia własności, które będzie następowało za odszkodowaniem odpowiadającym wartości rynkowej tych środków, funduszy lub zasobów w przypadku gdy jest to niezbędne dla ochrony ważnego interesu publicznego lub ze względu na zapewnienie </w:t>
      </w:r>
      <w:r w:rsidR="00C27178" w:rsidRPr="00A60335">
        <w:rPr>
          <w:rFonts w:ascii="Times New Roman" w:hAnsi="Times New Roman" w:cs="Times New Roman"/>
          <w:szCs w:val="24"/>
        </w:rPr>
        <w:t>bezpieczeństwa państwa realizuje</w:t>
      </w:r>
      <w:r w:rsidRPr="00A60335">
        <w:rPr>
          <w:rFonts w:ascii="Times New Roman" w:hAnsi="Times New Roman" w:cs="Times New Roman"/>
          <w:szCs w:val="24"/>
        </w:rPr>
        <w:t xml:space="preserve"> Konstytucyjne wymagania przewidziane w art. 21 ust. 2 Konstytucji RP. Zgodnie </w:t>
      </w:r>
      <w:r w:rsidR="00C27178" w:rsidRPr="00A60335">
        <w:rPr>
          <w:rFonts w:ascii="Times New Roman" w:hAnsi="Times New Roman" w:cs="Times New Roman"/>
          <w:szCs w:val="24"/>
        </w:rPr>
        <w:t>z tym przepisem Konstytucji RP w</w:t>
      </w:r>
      <w:r w:rsidRPr="00A60335">
        <w:rPr>
          <w:rFonts w:ascii="Times New Roman" w:hAnsi="Times New Roman" w:cs="Times New Roman"/>
          <w:szCs w:val="24"/>
        </w:rPr>
        <w:t xml:space="preserve">ywłaszczenie jest dopuszczalne jedynie wówczas, gdy jest dokonywane na cele publiczne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szCs w:val="24"/>
        </w:rPr>
        <w:t>i za słusznym odszkodowaniem.</w:t>
      </w:r>
    </w:p>
    <w:p w:rsidR="001A173A" w:rsidRPr="00A60335" w:rsidRDefault="00C57B44" w:rsidP="006D623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Zasada ochrony własności ma charakter ustrojowy.</w:t>
      </w:r>
      <w:r w:rsidR="00EC402C" w:rsidRPr="00A60335">
        <w:rPr>
          <w:rFonts w:ascii="Times New Roman" w:hAnsi="Times New Roman" w:cs="Times New Roman"/>
          <w:szCs w:val="24"/>
        </w:rPr>
        <w:t xml:space="preserve"> Prawo własność nie jest jednak prawem absolutnym i może być przedmiotem określonej ingerencji, w szczególności z strony państwa. Dlatego też prawo własności nie będzie mi</w:t>
      </w:r>
      <w:r w:rsidR="00C27178" w:rsidRPr="00A60335">
        <w:rPr>
          <w:rFonts w:ascii="Times New Roman" w:hAnsi="Times New Roman" w:cs="Times New Roman"/>
          <w:szCs w:val="24"/>
        </w:rPr>
        <w:t>a</w:t>
      </w:r>
      <w:r w:rsidR="00EC402C" w:rsidRPr="00A60335">
        <w:rPr>
          <w:rFonts w:ascii="Times New Roman" w:hAnsi="Times New Roman" w:cs="Times New Roman"/>
          <w:szCs w:val="24"/>
        </w:rPr>
        <w:t xml:space="preserve">ło pierwszeństwa przed innymi prawami,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="00EC402C" w:rsidRPr="00A60335">
        <w:rPr>
          <w:rFonts w:ascii="Times New Roman" w:hAnsi="Times New Roman" w:cs="Times New Roman"/>
          <w:szCs w:val="24"/>
        </w:rPr>
        <w:t xml:space="preserve">np. ważnym interesem publicznym lub bezpieczeństwem państwa. Jak wskazuje się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="00EC402C" w:rsidRPr="00A60335">
        <w:rPr>
          <w:rFonts w:ascii="Times New Roman" w:hAnsi="Times New Roman" w:cs="Times New Roman"/>
          <w:szCs w:val="24"/>
        </w:rPr>
        <w:t xml:space="preserve">w orzecznictwie Trybunału Konstytucyjnego w świetle Konstytucji RP warunkami dopuszczalności ograniczeń praw własności są: ustawowa forma ograniczenia, istnienie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="00EC402C" w:rsidRPr="00A60335">
        <w:rPr>
          <w:rFonts w:ascii="Times New Roman" w:hAnsi="Times New Roman" w:cs="Times New Roman"/>
          <w:szCs w:val="24"/>
        </w:rPr>
        <w:t xml:space="preserve">w państwie demokratycznym konieczności wprowadzenia ograniczenia, funkcjonalny związek ograniczenia z realizacją wskazanych w art. 31 ust. 3 Konstytucji RP wartości oraz zakaz naruszania istoty prawa własności. </w:t>
      </w:r>
    </w:p>
    <w:p w:rsidR="00C57B44" w:rsidRPr="00A60335" w:rsidRDefault="00EC402C" w:rsidP="006D623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Trybunał Konstytucyjny uznał, że odszkodowanie słuszne musi być ekwiwalentne do wartości dobra wywłaszczonego, co oznacza, że powinno dawać właścicielowi możliwość odtworzenia rzeczy, którą utracił.</w:t>
      </w:r>
      <w:r w:rsidR="001A173A" w:rsidRPr="00A60335">
        <w:rPr>
          <w:rFonts w:ascii="Times New Roman" w:hAnsi="Times New Roman" w:cs="Times New Roman"/>
          <w:szCs w:val="24"/>
        </w:rPr>
        <w:t xml:space="preserve"> Projektowane regulacje realizują ten postulat przez wskazanie, że przejęcie własności będzie następowało za odszkodowaniem odpowiadającym wartości rynkowej.</w:t>
      </w:r>
    </w:p>
    <w:p w:rsidR="004D3096" w:rsidRPr="00A60335" w:rsidRDefault="004D3096" w:rsidP="006D623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lastRenderedPageBreak/>
        <w:t>Należy podkreślić, że środki uzyskane ze zbycia środków finansowych, funduszy lub zasobów gospodarczych objętych zarządem jak również odszkodowanie z tytułu przecięcia własności będą podlegały</w:t>
      </w:r>
      <w:r w:rsidR="009B3381">
        <w:rPr>
          <w:rFonts w:ascii="Times New Roman" w:hAnsi="Times New Roman" w:cs="Times New Roman"/>
          <w:szCs w:val="24"/>
        </w:rPr>
        <w:t xml:space="preserve"> </w:t>
      </w:r>
      <w:r w:rsidRPr="00A60335">
        <w:rPr>
          <w:rFonts w:ascii="Times New Roman" w:hAnsi="Times New Roman" w:cs="Times New Roman"/>
          <w:szCs w:val="24"/>
        </w:rPr>
        <w:t>środkowi, o którym mowa w art. 1 pkt 1 albo 2 (podlegać będą tzw. „zamrożeniu”).</w:t>
      </w:r>
    </w:p>
    <w:p w:rsidR="004D3096" w:rsidRPr="00A60335" w:rsidRDefault="004D3096" w:rsidP="00E54BB8">
      <w:pPr>
        <w:pStyle w:val="ZARTzmartartykuempunktem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 xml:space="preserve">Projekt przewiduje również, że osobom lub podmiotom, wobec których zarząd został ustanowiony, nie przysługują roszczenia odszkodowawcze wobec Skarbu Państwa lub podmiotu wykonującego zadania zarządcy z tytułu podejmowania działań określonych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szCs w:val="24"/>
        </w:rPr>
        <w:t xml:space="preserve">w art. 6a i art. 6b. Ponadto zgodnie z </w:t>
      </w:r>
      <w:r w:rsidR="00F8102E" w:rsidRPr="00A60335">
        <w:rPr>
          <w:rFonts w:ascii="Times New Roman" w:hAnsi="Times New Roman" w:cs="Times New Roman"/>
          <w:szCs w:val="24"/>
        </w:rPr>
        <w:t>projektowanymi przepisami</w:t>
      </w:r>
      <w:r w:rsidRPr="00A60335">
        <w:rPr>
          <w:rFonts w:ascii="Times New Roman" w:hAnsi="Times New Roman" w:cs="Times New Roman"/>
          <w:szCs w:val="24"/>
        </w:rPr>
        <w:t xml:space="preserve"> nie będzie popełniał przestępstwa sprawca czynu określonego w art. 296 § 1, 1a, 3 lub 4 ustawy z dnia 6 czerwca 1997 r. – Kodeks karny (Dz. U. z 2021 r. poz. 2345, 2045 i 2447), jeżeli sprawca działał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szCs w:val="24"/>
        </w:rPr>
        <w:t>w ramach zadań określonych w art. 3 ust. 1, art. 6a ust. 1 i art. 6b ust. 1 i 5 albo w ramach wykonania określonych w art. 6a i art. 6b zadań zarządcy.</w:t>
      </w:r>
    </w:p>
    <w:p w:rsidR="004D3096" w:rsidRPr="00A60335" w:rsidRDefault="00E54BB8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bidi="pl-PL"/>
        </w:rPr>
      </w:pPr>
      <w:r w:rsidRPr="00A60335">
        <w:rPr>
          <w:rFonts w:ascii="Times New Roman" w:hAnsi="Times New Roman" w:cs="Times New Roman"/>
          <w:sz w:val="24"/>
          <w:szCs w:val="24"/>
        </w:rPr>
        <w:t>Należy zauważyć, że k</w:t>
      </w:r>
      <w:r w:rsidR="004D3096" w:rsidRPr="00A60335">
        <w:rPr>
          <w:rFonts w:ascii="Times New Roman" w:hAnsi="Times New Roman" w:cs="Times New Roman"/>
          <w:sz w:val="24"/>
          <w:szCs w:val="24"/>
        </w:rPr>
        <w:t>onsekwencje wpisu</w:t>
      </w:r>
      <w:r w:rsidRPr="00A60335">
        <w:rPr>
          <w:rFonts w:ascii="Times New Roman" w:hAnsi="Times New Roman" w:cs="Times New Roman"/>
          <w:sz w:val="24"/>
          <w:szCs w:val="24"/>
        </w:rPr>
        <w:t xml:space="preserve"> danej osoby lub danego podmiotu na tzw.</w:t>
      </w:r>
      <w:r w:rsidR="004D3096" w:rsidRPr="00A60335">
        <w:rPr>
          <w:rFonts w:ascii="Times New Roman" w:hAnsi="Times New Roman" w:cs="Times New Roman"/>
          <w:sz w:val="24"/>
          <w:szCs w:val="24"/>
        </w:rPr>
        <w:t xml:space="preserve"> listę</w:t>
      </w:r>
      <w:r w:rsidRPr="00A60335">
        <w:rPr>
          <w:rFonts w:ascii="Times New Roman" w:hAnsi="Times New Roman" w:cs="Times New Roman"/>
          <w:sz w:val="24"/>
          <w:szCs w:val="24"/>
        </w:rPr>
        <w:t xml:space="preserve"> sankcyjną prowadzoną przez ministra właściwego do spraw wewnętrznych</w:t>
      </w:r>
      <w:r w:rsidR="004D3096" w:rsidRPr="00A60335">
        <w:rPr>
          <w:rFonts w:ascii="Times New Roman" w:hAnsi="Times New Roman" w:cs="Times New Roman"/>
          <w:sz w:val="24"/>
          <w:szCs w:val="24"/>
        </w:rPr>
        <w:t xml:space="preserve"> </w:t>
      </w:r>
      <w:r w:rsidR="003F7B27" w:rsidRPr="00A60335">
        <w:rPr>
          <w:rFonts w:ascii="Times New Roman" w:hAnsi="Times New Roman" w:cs="Times New Roman"/>
          <w:sz w:val="24"/>
          <w:szCs w:val="24"/>
        </w:rPr>
        <w:t xml:space="preserve">jak również </w:t>
      </w:r>
      <w:r w:rsidR="00BA43EF" w:rsidRPr="00A60335">
        <w:rPr>
          <w:rFonts w:ascii="Times New Roman" w:hAnsi="Times New Roman" w:cs="Times New Roman"/>
          <w:sz w:val="24"/>
          <w:szCs w:val="24"/>
        </w:rPr>
        <w:t>wymieniony w wykazach określonych w rozporządzeniu 765/2006 lub rozporządzeniu 269/2014</w:t>
      </w:r>
      <w:r w:rsidR="003F7B27" w:rsidRPr="00A60335">
        <w:rPr>
          <w:rFonts w:ascii="Times New Roman" w:hAnsi="Times New Roman" w:cs="Times New Roman"/>
          <w:sz w:val="24"/>
          <w:szCs w:val="24"/>
        </w:rPr>
        <w:t xml:space="preserve"> </w:t>
      </w:r>
      <w:r w:rsidR="004D3096" w:rsidRPr="00A60335">
        <w:rPr>
          <w:rFonts w:ascii="Times New Roman" w:hAnsi="Times New Roman" w:cs="Times New Roman"/>
          <w:sz w:val="24"/>
          <w:szCs w:val="24"/>
          <w:lang w:bidi="pl-PL"/>
        </w:rPr>
        <w:t xml:space="preserve">ponoszą nie tylko właściciele firm, ale zwykli pracownicy (również obywatele polscy), którzy nie mogą otrzymać należnych od pracodawcy wynagrodzeń lub innych świadczeń. </w:t>
      </w:r>
    </w:p>
    <w:p w:rsidR="006D6235" w:rsidRPr="00A60335" w:rsidRDefault="006D6235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Obecnie obowiązujące przepisy rozwiązują problem wypłaty należnych i niezaspokojonych wynagrodzeń dla pracowników jedynie w ograniczonym zakresie, gdyż nie pozwalają na wypłatę świadczeń z Funduszu Gwarantowanych Świadczeń Pracowniczych (FGŚP) do czasu ogłoszenia upadłości lub wszczęcia restrukturyzacji.</w:t>
      </w:r>
      <w:r w:rsidR="009B33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235" w:rsidRPr="00A60335" w:rsidRDefault="006D6235" w:rsidP="006D6235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0335">
        <w:rPr>
          <w:rFonts w:ascii="Times New Roman" w:hAnsi="Times New Roman" w:cs="Times New Roman"/>
          <w:sz w:val="24"/>
          <w:szCs w:val="24"/>
        </w:rPr>
        <w:t>Projekt wprowadza nowy instrument dający możliwość wystąpienia przez podmiot objęty sankcjami</w:t>
      </w:r>
      <w:r w:rsidR="00BA43EF" w:rsidRPr="00A60335">
        <w:rPr>
          <w:rFonts w:ascii="Times New Roman" w:hAnsi="Times New Roman" w:cs="Times New Roman"/>
          <w:sz w:val="24"/>
          <w:szCs w:val="24"/>
        </w:rPr>
        <w:t xml:space="preserve"> na podstawie przepisów ustawy sankcyjnej jak również rozporządzenia 765/2006 lub rozporządzenia 269/2014</w:t>
      </w:r>
      <w:r w:rsidRPr="00A60335">
        <w:rPr>
          <w:rFonts w:ascii="Times New Roman" w:hAnsi="Times New Roman" w:cs="Times New Roman"/>
          <w:sz w:val="24"/>
          <w:szCs w:val="24"/>
        </w:rPr>
        <w:t xml:space="preserve"> z wnioskiem o przyznanie świadczeń z FGŚP na </w:t>
      </w:r>
      <w:r w:rsidRPr="00A60335">
        <w:rPr>
          <w:rFonts w:ascii="Times New Roman" w:eastAsia="Times New Roman" w:hAnsi="Times New Roman" w:cs="Times New Roman"/>
          <w:sz w:val="24"/>
          <w:szCs w:val="24"/>
          <w:lang w:eastAsia="pl-PL"/>
        </w:rPr>
        <w:t>zaspokojenie należności pracowniczych, o których mowa w art. 12 ust. 2 ustawy o ochronie roszczeń pracowniczych w razie niewypłacalności pracodawcy w razie ich niezaspokojenia przez pracodawcę z powodu braku środków finansowych. W przypadku niewystąpienia przez pracodawcę z powyższym wnioskiem wypłata świadczeń może nastąpić również na podstawie indywidualnego wniosku pracownika.</w:t>
      </w:r>
    </w:p>
    <w:p w:rsidR="006D6235" w:rsidRPr="00A60335" w:rsidRDefault="006D6235" w:rsidP="006D6235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0335">
        <w:rPr>
          <w:rFonts w:ascii="Times New Roman" w:hAnsi="Times New Roman" w:cs="Times New Roman"/>
          <w:color w:val="000000"/>
          <w:sz w:val="24"/>
          <w:szCs w:val="24"/>
        </w:rPr>
        <w:t xml:space="preserve">Projektowane wsparcie zostało przewidziane jako wsparcie jednorazowe, tj. świadczenia z tytułu niewypłaconych wynagrodzeń nie będą wypłacane ponownie za ten sam okres dla tych samych pracowników w przypadku ew. następnych postępowań (restrukturyzacji czy </w:t>
      </w:r>
      <w:r w:rsidRPr="00A6033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upadłości). Świadczenie z tytułu niewypłaconych wynagrodzeń będzie wypłacane maksymalnie za okres 3 miesięcy, przy czym maksymalna wysokość świadczenia za jeden miesiąc ograniczona jest do wysokości przeciętnego miesięcznego wynagrodzenia z poprzedniego kwartału. </w:t>
      </w:r>
    </w:p>
    <w:p w:rsidR="006D6235" w:rsidRPr="00A60335" w:rsidRDefault="006D6235" w:rsidP="006D6235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0335">
        <w:rPr>
          <w:rFonts w:ascii="Times New Roman" w:hAnsi="Times New Roman" w:cs="Times New Roman"/>
          <w:color w:val="000000"/>
          <w:sz w:val="24"/>
          <w:szCs w:val="24"/>
        </w:rPr>
        <w:t>Projektowane rozwiązanie przewiduje realizację wniosków o wypłatę świadczeń przez marszałków województw przy pomocy wojewódzkich urzędów pracy. Równocześnie dla usprawnienia wypłaty świadczeń wprowadza się przepis umożliwiający wymianę informacji pomiędzy marszałkami województwa a Szefem Krajowej Administracji Skarbowej w zakresie niezbędnym do rozpatrzenia wniosku.</w:t>
      </w:r>
      <w:r w:rsidR="009B33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D6235" w:rsidRPr="00A60335" w:rsidRDefault="00F8102E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Projektow</w:t>
      </w:r>
      <w:r w:rsidR="00BA43EF" w:rsidRPr="00A60335">
        <w:rPr>
          <w:rFonts w:ascii="Times New Roman" w:hAnsi="Times New Roman" w:cs="Times New Roman"/>
          <w:sz w:val="24"/>
          <w:szCs w:val="24"/>
        </w:rPr>
        <w:t>ane przepisy przewidują również</w:t>
      </w:r>
      <w:r w:rsidR="006D6235" w:rsidRPr="00A60335">
        <w:rPr>
          <w:rFonts w:ascii="Times New Roman" w:hAnsi="Times New Roman" w:cs="Times New Roman"/>
          <w:sz w:val="24"/>
          <w:szCs w:val="24"/>
        </w:rPr>
        <w:t xml:space="preserve"> zabezpieczenie interesu FGŚP. W przypadku wypłaty świadczeń ze środków FGŚP roszczenia wobec pracodawcy albo innej osoby zarządzającej majątkiem pracodawcy albo roszczenia do masy upadłości o zwrot wypłaconych świadczeń przechodzą z mocy prawa na marszałka województwa (działającego w imieniu dysponenta FGŚP).</w:t>
      </w:r>
    </w:p>
    <w:p w:rsidR="00336761" w:rsidRPr="00A60335" w:rsidRDefault="00336761" w:rsidP="00336761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Ponadto projekt ustawy zakłada, poprzez odwołanie w art. 4 ustawy sankcyjnej do art. 268a ustawy z dnia 14 czerwca 1960 r. – Kodeksu post</w:t>
      </w:r>
      <w:r w:rsidR="004336E7" w:rsidRPr="00A60335">
        <w:rPr>
          <w:rFonts w:ascii="Times New Roman" w:hAnsi="Times New Roman" w:cs="Times New Roman"/>
          <w:szCs w:val="24"/>
        </w:rPr>
        <w:t>ę</w:t>
      </w:r>
      <w:r w:rsidRPr="00A60335">
        <w:rPr>
          <w:rFonts w:ascii="Times New Roman" w:hAnsi="Times New Roman" w:cs="Times New Roman"/>
          <w:szCs w:val="24"/>
        </w:rPr>
        <w:t xml:space="preserve">powania administracyjnego, w celu usprawnienia i skrócenia czasu trwania postępowań w sprawach wpisu i wykreślenia z listy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szCs w:val="24"/>
        </w:rPr>
        <w:t>o której mowa w art. 2 ust. 1 tej ustawy, możliwość upoważnienia przez ministra właściwego do spraw wewnętrznych</w:t>
      </w:r>
      <w:r w:rsidRPr="00A60335">
        <w:rPr>
          <w:rFonts w:ascii="Times New Roman" w:hAnsi="Times New Roman" w:cs="Times New Roman"/>
          <w:szCs w:val="24"/>
          <w:shd w:val="clear" w:color="auto" w:fill="FFFFFF"/>
        </w:rPr>
        <w:t xml:space="preserve">, na piśmie utrwalonym w postaci papierowej lub elektronicznej, pracowników w </w:t>
      </w:r>
      <w:r w:rsidRPr="00A60335">
        <w:rPr>
          <w:rFonts w:ascii="Times New Roman" w:hAnsi="Times New Roman" w:cs="Times New Roman"/>
          <w:szCs w:val="24"/>
        </w:rPr>
        <w:t xml:space="preserve">obsługującym go </w:t>
      </w:r>
      <w:r w:rsidRPr="00A60335">
        <w:rPr>
          <w:rFonts w:ascii="Times New Roman" w:hAnsi="Times New Roman" w:cs="Times New Roman"/>
          <w:szCs w:val="24"/>
          <w:shd w:val="clear" w:color="auto" w:fill="FFFFFF"/>
        </w:rPr>
        <w:t>do załatwiania spraw w jego imieniu w zakresie</w:t>
      </w:r>
      <w:r w:rsidR="009B3381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Pr="00A60335">
        <w:rPr>
          <w:rFonts w:ascii="Times New Roman" w:hAnsi="Times New Roman" w:cs="Times New Roman"/>
          <w:szCs w:val="24"/>
        </w:rPr>
        <w:t xml:space="preserve">decyzji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szCs w:val="24"/>
        </w:rPr>
        <w:t xml:space="preserve">w sprawie wpisu na listę, o której mowa w art. 2 ust. 1 ustawy sankcyjnej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szCs w:val="24"/>
        </w:rPr>
        <w:t>oraz wykreślenia z niej.</w:t>
      </w:r>
    </w:p>
    <w:p w:rsidR="00336761" w:rsidRPr="00A60335" w:rsidRDefault="00336761" w:rsidP="00336761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 xml:space="preserve">W przepisie przejściowym przewidziano, że projektowane przepisy dotyczące możliwości ustanowienia </w:t>
      </w:r>
      <w:r w:rsidR="00F8102E" w:rsidRPr="00A60335">
        <w:rPr>
          <w:rFonts w:ascii="Times New Roman" w:hAnsi="Times New Roman" w:cs="Times New Roman"/>
          <w:szCs w:val="24"/>
        </w:rPr>
        <w:t>zarządu oraz przyznanie świadczeń z FGŚP</w:t>
      </w:r>
      <w:r w:rsidRPr="00A60335">
        <w:rPr>
          <w:rFonts w:ascii="Times New Roman" w:hAnsi="Times New Roman" w:cs="Times New Roman"/>
          <w:szCs w:val="24"/>
        </w:rPr>
        <w:t xml:space="preserve"> będą miały zastosowanie również</w:t>
      </w:r>
      <w:r w:rsidR="009B3381">
        <w:rPr>
          <w:rFonts w:ascii="Times New Roman" w:hAnsi="Times New Roman" w:cs="Times New Roman"/>
          <w:szCs w:val="24"/>
        </w:rPr>
        <w:t xml:space="preserve"> </w:t>
      </w:r>
      <w:r w:rsidR="00C27178" w:rsidRPr="00A60335">
        <w:rPr>
          <w:rFonts w:ascii="Times New Roman" w:hAnsi="Times New Roman" w:cs="Times New Roman"/>
          <w:szCs w:val="24"/>
        </w:rPr>
        <w:br/>
      </w:r>
      <w:r w:rsidRPr="00A60335">
        <w:rPr>
          <w:rFonts w:ascii="Times New Roman" w:hAnsi="Times New Roman" w:cs="Times New Roman"/>
          <w:bCs w:val="0"/>
          <w:szCs w:val="24"/>
        </w:rPr>
        <w:t>w</w:t>
      </w:r>
      <w:r w:rsidRPr="00A60335">
        <w:rPr>
          <w:rFonts w:ascii="Times New Roman" w:hAnsi="Times New Roman" w:cs="Times New Roman"/>
          <w:szCs w:val="24"/>
        </w:rPr>
        <w:t xml:space="preserve"> przypadku gdy środek, o którym mowa w art. 1 pkt 1 albo 2 ustawy sankcyjnej, został zastosowany przed dniem wejścia w życie niniejszej ustawy. </w:t>
      </w:r>
    </w:p>
    <w:p w:rsidR="0016504F" w:rsidRPr="00A60335" w:rsidRDefault="0016504F" w:rsidP="006D623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A60335">
        <w:rPr>
          <w:rFonts w:ascii="Times New Roman" w:hAnsi="Times New Roman" w:cs="Times New Roman"/>
          <w:szCs w:val="24"/>
        </w:rPr>
        <w:t>Projektowane przepisy wejdą w życie z dniem następującym po dniu ogłoszenia.</w:t>
      </w:r>
    </w:p>
    <w:p w:rsidR="0016504F" w:rsidRPr="00A60335" w:rsidRDefault="0016504F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Z uwagi na skutki stosowania środka, o którym mowa w art. 1 pkt 1 albo 2 ustawy sankcyjnej niezbędne jest</w:t>
      </w:r>
      <w:r w:rsidR="00516840" w:rsidRPr="00A60335">
        <w:rPr>
          <w:rFonts w:ascii="Times New Roman" w:hAnsi="Times New Roman" w:cs="Times New Roman"/>
          <w:sz w:val="24"/>
          <w:szCs w:val="24"/>
        </w:rPr>
        <w:t xml:space="preserve"> pilne umożliwienie</w:t>
      </w:r>
      <w:r w:rsidRPr="00A60335">
        <w:rPr>
          <w:rFonts w:ascii="Times New Roman" w:hAnsi="Times New Roman" w:cs="Times New Roman"/>
          <w:sz w:val="24"/>
          <w:szCs w:val="24"/>
        </w:rPr>
        <w:t xml:space="preserve"> zapewnienia funkcjonowania podmiotu gospodarczego</w:t>
      </w:r>
      <w:r w:rsidR="00516840" w:rsidRPr="00A60335">
        <w:rPr>
          <w:rFonts w:ascii="Times New Roman" w:hAnsi="Times New Roman" w:cs="Times New Roman"/>
          <w:sz w:val="24"/>
          <w:szCs w:val="24"/>
        </w:rPr>
        <w:t>, wobec którego zastosowano te środki.</w:t>
      </w:r>
      <w:r w:rsidRPr="00A60335">
        <w:rPr>
          <w:rFonts w:ascii="Times New Roman" w:hAnsi="Times New Roman" w:cs="Times New Roman"/>
          <w:sz w:val="24"/>
          <w:szCs w:val="24"/>
        </w:rPr>
        <w:t xml:space="preserve"> </w:t>
      </w:r>
      <w:r w:rsidR="006427B2" w:rsidRPr="00A60335">
        <w:rPr>
          <w:rFonts w:ascii="Times New Roman" w:hAnsi="Times New Roman" w:cs="Times New Roman"/>
          <w:sz w:val="24"/>
          <w:szCs w:val="24"/>
        </w:rPr>
        <w:t>Projektowane regulacje tworzą</w:t>
      </w:r>
      <w:r w:rsidR="00516840" w:rsidRPr="00A60335">
        <w:rPr>
          <w:rFonts w:ascii="Times New Roman" w:hAnsi="Times New Roman" w:cs="Times New Roman"/>
          <w:sz w:val="24"/>
          <w:szCs w:val="24"/>
        </w:rPr>
        <w:t xml:space="preserve"> ram</w:t>
      </w:r>
      <w:r w:rsidR="006427B2" w:rsidRPr="00A60335">
        <w:rPr>
          <w:rFonts w:ascii="Times New Roman" w:hAnsi="Times New Roman" w:cs="Times New Roman"/>
          <w:sz w:val="24"/>
          <w:szCs w:val="24"/>
        </w:rPr>
        <w:t xml:space="preserve">y prawne pozwalające na realizację powyższej </w:t>
      </w:r>
      <w:r w:rsidR="00AA6335" w:rsidRPr="00A60335">
        <w:rPr>
          <w:rFonts w:ascii="Times New Roman" w:hAnsi="Times New Roman" w:cs="Times New Roman"/>
          <w:sz w:val="24"/>
          <w:szCs w:val="24"/>
        </w:rPr>
        <w:t>możliwoś</w:t>
      </w:r>
      <w:r w:rsidR="006427B2" w:rsidRPr="00A60335">
        <w:rPr>
          <w:rFonts w:ascii="Times New Roman" w:hAnsi="Times New Roman" w:cs="Times New Roman"/>
          <w:sz w:val="24"/>
          <w:szCs w:val="24"/>
        </w:rPr>
        <w:t>ci</w:t>
      </w:r>
      <w:r w:rsidR="00516840" w:rsidRPr="00A60335">
        <w:rPr>
          <w:rFonts w:ascii="Times New Roman" w:hAnsi="Times New Roman" w:cs="Times New Roman"/>
          <w:sz w:val="24"/>
          <w:szCs w:val="24"/>
        </w:rPr>
        <w:t>.</w:t>
      </w:r>
      <w:r w:rsidRPr="00A60335">
        <w:rPr>
          <w:rFonts w:ascii="Times New Roman" w:hAnsi="Times New Roman" w:cs="Times New Roman"/>
          <w:sz w:val="24"/>
          <w:szCs w:val="24"/>
        </w:rPr>
        <w:t xml:space="preserve"> Tym samym w pełni uzasadnione jest jak </w:t>
      </w:r>
      <w:r w:rsidRPr="00A60335">
        <w:rPr>
          <w:rFonts w:ascii="Times New Roman" w:hAnsi="Times New Roman" w:cs="Times New Roman"/>
          <w:sz w:val="24"/>
          <w:szCs w:val="24"/>
        </w:rPr>
        <w:lastRenderedPageBreak/>
        <w:t xml:space="preserve">najszybsze wejście w życie przepisów projektu, dlatego też najkrótsze możliwe </w:t>
      </w:r>
      <w:r w:rsidRPr="00A60335">
        <w:rPr>
          <w:rFonts w:ascii="Times New Roman" w:hAnsi="Times New Roman" w:cs="Times New Roman"/>
          <w:i/>
          <w:sz w:val="24"/>
          <w:szCs w:val="24"/>
        </w:rPr>
        <w:t>vacatio legis</w:t>
      </w:r>
      <w:r w:rsidRPr="00A60335">
        <w:rPr>
          <w:rFonts w:ascii="Times New Roman" w:hAnsi="Times New Roman" w:cs="Times New Roman"/>
          <w:sz w:val="24"/>
          <w:szCs w:val="24"/>
        </w:rPr>
        <w:t xml:space="preserve"> jest w pełni uzasadnione.</w:t>
      </w:r>
    </w:p>
    <w:p w:rsidR="0016504F" w:rsidRPr="00A60335" w:rsidRDefault="0016504F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Projekt ustawy jest zgodny z prawem Unii Europejskiej.</w:t>
      </w:r>
    </w:p>
    <w:p w:rsidR="0016504F" w:rsidRPr="00A60335" w:rsidRDefault="0016504F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Projekt ustawy nie zawiera przepisów technicznych, a zatem nie podlega notyfikacji, zgodnie z trybem przewidzianym w przepisach rozporządzenia Rady Ministrów z dnia 23 grudnia 2002 r. w sprawie sposobu funkcjonowania krajowego systemu notyfikacji norm i aktów prawnych (Dz. U. poz. 2039, z późn. zm.).</w:t>
      </w:r>
    </w:p>
    <w:p w:rsidR="0016504F" w:rsidRPr="00A60335" w:rsidRDefault="0016504F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>Projekt ustawy nie wymaga przedłożenia instytucjom i organom Unii Europejskiej, w tym Europejskiemu Bankowi Centralnemu, w celu uzyskania opinii, dokonania powiadomienia, konsultacji albo uzgodnienia.</w:t>
      </w:r>
    </w:p>
    <w:p w:rsidR="000B061A" w:rsidRPr="00A60335" w:rsidRDefault="0016504F" w:rsidP="006D623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335">
        <w:rPr>
          <w:rFonts w:ascii="Times New Roman" w:hAnsi="Times New Roman" w:cs="Times New Roman"/>
          <w:sz w:val="24"/>
          <w:szCs w:val="24"/>
        </w:rPr>
        <w:t xml:space="preserve">Projekt zostanie udostępniony w Biuletynie Informacji Publicznej na stronie internetowej Rządowego Centrum Legislacji w zakładce Rządowy Proces Legislacyjny zgodnie z § 52 uchwały nr 190 Rady Ministrów z dnia 29 października 2013 r. – Regulamin pracy Rady Ministrów (M.P. z 2022 r. poz. 348) oraz stosownie do wymogów art. 5 ustawy z dnia 7 lipca 2005 r. o działalności lobbingowej w procesie stanowienia prawa (Dz. U. z 2017 r. poz. 248). </w:t>
      </w:r>
    </w:p>
    <w:sectPr w:rsidR="000B061A" w:rsidRPr="00A60335" w:rsidSect="007523E4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AFE" w:rsidRDefault="00BA7AFE" w:rsidP="006427B2">
      <w:pPr>
        <w:spacing w:after="0" w:line="240" w:lineRule="auto"/>
      </w:pPr>
      <w:r>
        <w:separator/>
      </w:r>
    </w:p>
  </w:endnote>
  <w:endnote w:type="continuationSeparator" w:id="0">
    <w:p w:rsidR="00BA7AFE" w:rsidRDefault="00BA7AFE" w:rsidP="00642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46330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523E4" w:rsidRPr="007523E4" w:rsidRDefault="007523E4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523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23E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523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3D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523E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D6235" w:rsidRDefault="006D62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AFE" w:rsidRDefault="00BA7AFE" w:rsidP="006427B2">
      <w:pPr>
        <w:spacing w:after="0" w:line="240" w:lineRule="auto"/>
      </w:pPr>
      <w:r>
        <w:separator/>
      </w:r>
    </w:p>
  </w:footnote>
  <w:footnote w:type="continuationSeparator" w:id="0">
    <w:p w:rsidR="00BA7AFE" w:rsidRDefault="00BA7AFE" w:rsidP="006427B2">
      <w:pPr>
        <w:spacing w:after="0" w:line="240" w:lineRule="auto"/>
      </w:pPr>
      <w:r>
        <w:continuationSeparator/>
      </w:r>
    </w:p>
  </w:footnote>
  <w:footnote w:id="1">
    <w:p w:rsidR="006624E6" w:rsidRPr="00CA4966" w:rsidRDefault="006624E6" w:rsidP="006427B2">
      <w:pPr>
        <w:pStyle w:val="Tekstprzypisudolnego"/>
        <w:jc w:val="both"/>
        <w:rPr>
          <w:rFonts w:ascii="Times New Roman" w:hAnsi="Times New Roman" w:cs="Times New Roman"/>
        </w:rPr>
      </w:pPr>
      <w:r w:rsidRPr="00CA4966">
        <w:rPr>
          <w:rStyle w:val="Odwoanieprzypisudolnego"/>
          <w:rFonts w:ascii="Times New Roman" w:hAnsi="Times New Roman" w:cs="Times New Roman"/>
        </w:rPr>
        <w:footnoteRef/>
      </w:r>
      <w:r w:rsidRPr="00CA4966">
        <w:rPr>
          <w:rFonts w:ascii="Times New Roman" w:hAnsi="Times New Roman" w:cs="Times New Roman"/>
        </w:rPr>
        <w:t xml:space="preserve"> Zob. np. wyroki Trybunału Konstytucyjnego: z dnia 14 grudnia 2004 r., sygn. akt K 25/03, z 21 czerwca </w:t>
      </w:r>
      <w:r>
        <w:rPr>
          <w:rFonts w:ascii="Times New Roman" w:hAnsi="Times New Roman" w:cs="Times New Roman"/>
        </w:rPr>
        <w:br/>
      </w:r>
      <w:r w:rsidRPr="00CA4966">
        <w:rPr>
          <w:rFonts w:ascii="Times New Roman" w:hAnsi="Times New Roman" w:cs="Times New Roman"/>
        </w:rPr>
        <w:t>2005 r., sygn. P 25/02, z dnia 14 lutego 2012 r. sygn. akt P 17/10,</w:t>
      </w:r>
      <w:r w:rsidR="009B3381">
        <w:rPr>
          <w:rFonts w:ascii="Times New Roman" w:hAnsi="Times New Roman" w:cs="Times New Roman"/>
        </w:rPr>
        <w:t xml:space="preserve"> </w:t>
      </w:r>
      <w:r w:rsidRPr="00CA4966">
        <w:rPr>
          <w:rFonts w:ascii="Times New Roman" w:hAnsi="Times New Roman" w:cs="Times New Roman"/>
        </w:rPr>
        <w:t>z dnia 8 października 2015 r., sygn. SK 11/13, z dnia 20 czerwca 2018 r. sygn. akt SK 3/13 oraz z dnia 9 lutego 2021 r. sygn. akt P 15/17.</w:t>
      </w:r>
    </w:p>
  </w:footnote>
  <w:footnote w:id="2">
    <w:p w:rsidR="006624E6" w:rsidRPr="00CA4966" w:rsidRDefault="006624E6" w:rsidP="006427B2">
      <w:pPr>
        <w:pStyle w:val="Tekstprzypisudolnego"/>
        <w:jc w:val="both"/>
        <w:rPr>
          <w:rFonts w:ascii="Times New Roman" w:hAnsi="Times New Roman" w:cs="Times New Roman"/>
        </w:rPr>
      </w:pPr>
      <w:r w:rsidRPr="00CA4966">
        <w:rPr>
          <w:rStyle w:val="Odwoanieprzypisudolnego"/>
          <w:rFonts w:ascii="Times New Roman" w:hAnsi="Times New Roman" w:cs="Times New Roman"/>
        </w:rPr>
        <w:footnoteRef/>
      </w:r>
      <w:r w:rsidRPr="00CA4966">
        <w:rPr>
          <w:rFonts w:ascii="Times New Roman" w:hAnsi="Times New Roman" w:cs="Times New Roman"/>
        </w:rPr>
        <w:t xml:space="preserve"> Przykładem może być art. 292a Kodeksu postępowania karnego i jest stosowany wobec przedsiębiorstwa podejrzanego, a nie li tylko skazanego. </w:t>
      </w:r>
    </w:p>
    <w:p w:rsidR="006624E6" w:rsidRPr="00CA4966" w:rsidRDefault="006624E6" w:rsidP="006427B2">
      <w:pPr>
        <w:pStyle w:val="Tekstprzypisudolnego"/>
        <w:jc w:val="both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E328E"/>
    <w:multiLevelType w:val="hybridMultilevel"/>
    <w:tmpl w:val="1EDE784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857664C"/>
    <w:multiLevelType w:val="hybridMultilevel"/>
    <w:tmpl w:val="D73EFC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B6086"/>
    <w:multiLevelType w:val="hybridMultilevel"/>
    <w:tmpl w:val="A55421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76490"/>
    <w:multiLevelType w:val="hybridMultilevel"/>
    <w:tmpl w:val="327AF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70B7"/>
    <w:multiLevelType w:val="hybridMultilevel"/>
    <w:tmpl w:val="07A6C8AA"/>
    <w:lvl w:ilvl="0" w:tplc="533EE72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64F38"/>
    <w:multiLevelType w:val="hybridMultilevel"/>
    <w:tmpl w:val="6242D7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11296"/>
    <w:multiLevelType w:val="hybridMultilevel"/>
    <w:tmpl w:val="2FF090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0574A"/>
    <w:multiLevelType w:val="hybridMultilevel"/>
    <w:tmpl w:val="BC28FCA8"/>
    <w:lvl w:ilvl="0" w:tplc="46548F0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872"/>
    <w:rsid w:val="00057335"/>
    <w:rsid w:val="000B061A"/>
    <w:rsid w:val="0016504F"/>
    <w:rsid w:val="001A173A"/>
    <w:rsid w:val="001A5B05"/>
    <w:rsid w:val="001C7C30"/>
    <w:rsid w:val="00270F6F"/>
    <w:rsid w:val="00336761"/>
    <w:rsid w:val="00380BC9"/>
    <w:rsid w:val="003F7B27"/>
    <w:rsid w:val="004244FD"/>
    <w:rsid w:val="004336E7"/>
    <w:rsid w:val="004436B8"/>
    <w:rsid w:val="00455DEC"/>
    <w:rsid w:val="004734B2"/>
    <w:rsid w:val="004850C4"/>
    <w:rsid w:val="00494F4B"/>
    <w:rsid w:val="00496360"/>
    <w:rsid w:val="004D3096"/>
    <w:rsid w:val="004E22FD"/>
    <w:rsid w:val="004E256B"/>
    <w:rsid w:val="0051478C"/>
    <w:rsid w:val="00516840"/>
    <w:rsid w:val="00556E1A"/>
    <w:rsid w:val="00573EEC"/>
    <w:rsid w:val="005F4271"/>
    <w:rsid w:val="00602872"/>
    <w:rsid w:val="006427B2"/>
    <w:rsid w:val="006624E6"/>
    <w:rsid w:val="006D6235"/>
    <w:rsid w:val="007523E4"/>
    <w:rsid w:val="0076438A"/>
    <w:rsid w:val="007E17B1"/>
    <w:rsid w:val="007E3485"/>
    <w:rsid w:val="0080641C"/>
    <w:rsid w:val="00841568"/>
    <w:rsid w:val="008767A1"/>
    <w:rsid w:val="0092474F"/>
    <w:rsid w:val="00927600"/>
    <w:rsid w:val="0094611A"/>
    <w:rsid w:val="00962313"/>
    <w:rsid w:val="009B3381"/>
    <w:rsid w:val="009F3DB1"/>
    <w:rsid w:val="00A02AD5"/>
    <w:rsid w:val="00A53F37"/>
    <w:rsid w:val="00A60335"/>
    <w:rsid w:val="00AA6335"/>
    <w:rsid w:val="00B15235"/>
    <w:rsid w:val="00B66830"/>
    <w:rsid w:val="00BA43EF"/>
    <w:rsid w:val="00BA474E"/>
    <w:rsid w:val="00BA7AFE"/>
    <w:rsid w:val="00BC1859"/>
    <w:rsid w:val="00BC2B3F"/>
    <w:rsid w:val="00BD25F8"/>
    <w:rsid w:val="00C13DEF"/>
    <w:rsid w:val="00C27178"/>
    <w:rsid w:val="00C57B44"/>
    <w:rsid w:val="00C64CD6"/>
    <w:rsid w:val="00D01B13"/>
    <w:rsid w:val="00DC72D0"/>
    <w:rsid w:val="00E54BB8"/>
    <w:rsid w:val="00E75BA4"/>
    <w:rsid w:val="00E84B01"/>
    <w:rsid w:val="00E8695C"/>
    <w:rsid w:val="00EA05F9"/>
    <w:rsid w:val="00EC402C"/>
    <w:rsid w:val="00F8102E"/>
    <w:rsid w:val="00FA2C79"/>
    <w:rsid w:val="00FE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3416E64-D52C-4513-BB5A-E98BFA3B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927600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27600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927600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CZWSPLITwPKTzmczciwsplitwpktartykuempunktem">
    <w:name w:val="Z/CZ_WSP_LIT_w_PKT – zm. części wsp. lit. w pkt artykułem (punktem)"/>
    <w:basedOn w:val="Normalny"/>
    <w:next w:val="ZARTzmartartykuempunktem"/>
    <w:uiPriority w:val="35"/>
    <w:qFormat/>
    <w:rsid w:val="008767A1"/>
    <w:pPr>
      <w:spacing w:after="0" w:line="360" w:lineRule="auto"/>
      <w:ind w:left="1021"/>
      <w:jc w:val="both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2474F"/>
  </w:style>
  <w:style w:type="paragraph" w:customStyle="1" w:styleId="USTustnpkodeksu">
    <w:name w:val="UST(§) – ust. (§ np. kodeksu)"/>
    <w:basedOn w:val="Normalny"/>
    <w:uiPriority w:val="12"/>
    <w:qFormat/>
    <w:rsid w:val="00496360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6504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27B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427B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27B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427B2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0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641C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ootnote">
    <w:name w:val="footnote"/>
    <w:basedOn w:val="Domylnaczcionkaakapitu"/>
    <w:rsid w:val="00EC402C"/>
  </w:style>
  <w:style w:type="character" w:styleId="Hipercze">
    <w:name w:val="Hyperlink"/>
    <w:basedOn w:val="Domylnaczcionkaakapitu"/>
    <w:uiPriority w:val="99"/>
    <w:semiHidden/>
    <w:unhideWhenUsed/>
    <w:rsid w:val="00EC402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D62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235"/>
  </w:style>
  <w:style w:type="paragraph" w:styleId="Stopka">
    <w:name w:val="footer"/>
    <w:basedOn w:val="Normalny"/>
    <w:link w:val="StopkaZnak"/>
    <w:uiPriority w:val="99"/>
    <w:unhideWhenUsed/>
    <w:rsid w:val="006D62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23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30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30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3096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4734B2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1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3329</Words>
  <Characters>19976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Gumowski Rafał</dc:creator>
  <cp:keywords/>
  <dc:description/>
  <cp:lastModifiedBy>Grażyna D. Grabowska</cp:lastModifiedBy>
  <cp:revision>2</cp:revision>
  <cp:lastPrinted>2022-06-13T07:23:00Z</cp:lastPrinted>
  <dcterms:created xsi:type="dcterms:W3CDTF">2022-07-05T20:57:00Z</dcterms:created>
  <dcterms:modified xsi:type="dcterms:W3CDTF">2022-07-05T20:57:00Z</dcterms:modified>
</cp:coreProperties>
</file>