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BBAC8" w14:textId="3F692E4D" w:rsidR="00DC1D02" w:rsidRPr="00C73107" w:rsidRDefault="00C73107" w:rsidP="009851D9">
      <w:pPr>
        <w:spacing w:before="120" w:after="0" w:line="360" w:lineRule="auto"/>
        <w:ind w:left="0" w:firstLine="0"/>
        <w:jc w:val="center"/>
        <w:rPr>
          <w:szCs w:val="24"/>
        </w:rPr>
      </w:pPr>
      <w:r w:rsidRPr="00C73107">
        <w:rPr>
          <w:szCs w:val="24"/>
        </w:rPr>
        <w:t>UZASADNIENIE</w:t>
      </w:r>
    </w:p>
    <w:p w14:paraId="2948C458" w14:textId="6DEE3906" w:rsidR="00DC1D02" w:rsidRPr="00C73107" w:rsidRDefault="000160D8" w:rsidP="009851D9">
      <w:pPr>
        <w:pStyle w:val="Nagwek1"/>
        <w:tabs>
          <w:tab w:val="left" w:pos="567"/>
        </w:tabs>
        <w:spacing w:before="120" w:after="0" w:line="360" w:lineRule="auto"/>
        <w:ind w:left="0" w:firstLine="0"/>
        <w:rPr>
          <w:szCs w:val="24"/>
        </w:rPr>
      </w:pPr>
      <w:r w:rsidRPr="00C73107">
        <w:rPr>
          <w:szCs w:val="24"/>
        </w:rPr>
        <w:t>I.</w:t>
      </w:r>
      <w:r w:rsidR="00C73107">
        <w:rPr>
          <w:szCs w:val="24"/>
        </w:rPr>
        <w:tab/>
      </w:r>
      <w:r w:rsidRPr="00C73107">
        <w:rPr>
          <w:szCs w:val="24"/>
        </w:rPr>
        <w:t>Cele projektu</w:t>
      </w:r>
    </w:p>
    <w:p w14:paraId="67A12D65" w14:textId="01A9DAFF" w:rsidR="00DC1D02" w:rsidRPr="00C73107" w:rsidRDefault="000160D8" w:rsidP="009851D9">
      <w:pPr>
        <w:spacing w:before="120" w:after="0" w:line="360" w:lineRule="auto"/>
        <w:ind w:left="-15" w:firstLine="0"/>
        <w:rPr>
          <w:szCs w:val="24"/>
        </w:rPr>
      </w:pPr>
      <w:r w:rsidRPr="00C73107">
        <w:rPr>
          <w:szCs w:val="24"/>
        </w:rPr>
        <w:t xml:space="preserve">Celem projektu jest implementacja dyrektywy Parlamentu Europejskiego i Rady (UE) 2019/770 z dnia 20 maja 2019 r. w sprawie niektórych aspektów umów o dostarczanie treści cyfrowych i usług cyfrowych (Dz. Urz. UE L 136 z 22.05.2019, str. 1 </w:t>
      </w:r>
      <w:r w:rsidR="00946DF3" w:rsidRPr="00C73107">
        <w:rPr>
          <w:szCs w:val="24"/>
        </w:rPr>
        <w:t>oraz</w:t>
      </w:r>
      <w:r w:rsidRPr="00C73107">
        <w:rPr>
          <w:szCs w:val="24"/>
        </w:rPr>
        <w:t xml:space="preserve"> Dz. Urz. UE L 305 z 26.11.2019</w:t>
      </w:r>
      <w:r w:rsidR="00946DF3" w:rsidRPr="00C73107">
        <w:rPr>
          <w:szCs w:val="24"/>
        </w:rPr>
        <w:t>,</w:t>
      </w:r>
      <w:r w:rsidRPr="00C73107">
        <w:rPr>
          <w:szCs w:val="24"/>
        </w:rPr>
        <w:t xml:space="preserve"> str. 60; </w:t>
      </w:r>
      <w:r w:rsidR="008B1B38">
        <w:rPr>
          <w:szCs w:val="24"/>
        </w:rPr>
        <w:t xml:space="preserve">zwanej </w:t>
      </w:r>
      <w:r w:rsidRPr="00C73107">
        <w:rPr>
          <w:szCs w:val="24"/>
        </w:rPr>
        <w:t xml:space="preserve">dalej: „DCD” lub „dyrektywa cyfrowa”) oraz dyrektywy Parlamentu Europejskiego i Rady (UE) 2019/771 z dnia 20 maja 2019 r. w sprawie niektórych aspektów umów sprzedaży towarów, zmieniającej rozporządzenie (UE) 2017/2394 oraz dyrektywę 2009/22/WE oraz uchylającej dyrektywę 1999/44/WE (Dz. Urz. UE L 136 </w:t>
      </w:r>
      <w:r w:rsidR="00BB389C" w:rsidRPr="00C73107">
        <w:rPr>
          <w:szCs w:val="24"/>
        </w:rPr>
        <w:t>z</w:t>
      </w:r>
      <w:r w:rsidR="00BB389C">
        <w:rPr>
          <w:szCs w:val="24"/>
        </w:rPr>
        <w:t> </w:t>
      </w:r>
      <w:r w:rsidRPr="00C73107">
        <w:rPr>
          <w:szCs w:val="24"/>
        </w:rPr>
        <w:t>22.05.2019, str.</w:t>
      </w:r>
      <w:r w:rsidR="00C73107" w:rsidRPr="00C73107">
        <w:rPr>
          <w:szCs w:val="24"/>
        </w:rPr>
        <w:t xml:space="preserve"> </w:t>
      </w:r>
      <w:r w:rsidRPr="00C73107">
        <w:rPr>
          <w:szCs w:val="24"/>
        </w:rPr>
        <w:t xml:space="preserve">28 </w:t>
      </w:r>
      <w:r w:rsidR="00946DF3" w:rsidRPr="00C73107">
        <w:rPr>
          <w:szCs w:val="24"/>
        </w:rPr>
        <w:t>oraz</w:t>
      </w:r>
      <w:r w:rsidRPr="00C73107">
        <w:rPr>
          <w:szCs w:val="24"/>
        </w:rPr>
        <w:t xml:space="preserve"> Dz. Urz. UE L 305 z 26.11.2019</w:t>
      </w:r>
      <w:r w:rsidR="00C02B16" w:rsidRPr="00C73107">
        <w:rPr>
          <w:szCs w:val="24"/>
        </w:rPr>
        <w:t>,</w:t>
      </w:r>
      <w:r w:rsidRPr="00C73107">
        <w:rPr>
          <w:szCs w:val="24"/>
        </w:rPr>
        <w:t xml:space="preserve"> str. 63;</w:t>
      </w:r>
      <w:r w:rsidR="008B1B38">
        <w:rPr>
          <w:szCs w:val="24"/>
        </w:rPr>
        <w:t xml:space="preserve"> zwa</w:t>
      </w:r>
      <w:r w:rsidR="00721F22">
        <w:rPr>
          <w:szCs w:val="24"/>
        </w:rPr>
        <w:t>n</w:t>
      </w:r>
      <w:r w:rsidR="008B1B38">
        <w:rPr>
          <w:szCs w:val="24"/>
        </w:rPr>
        <w:t>ej</w:t>
      </w:r>
      <w:r w:rsidRPr="00C73107">
        <w:rPr>
          <w:szCs w:val="24"/>
        </w:rPr>
        <w:t xml:space="preserve"> dalej: „SGD” lub „dyrektywa towarowa”)</w:t>
      </w:r>
      <w:r w:rsidRPr="00C73107">
        <w:rPr>
          <w:szCs w:val="24"/>
          <w:vertAlign w:val="superscript"/>
        </w:rPr>
        <w:footnoteReference w:id="1"/>
      </w:r>
      <w:r w:rsidR="00C73107" w:rsidRPr="009851D9">
        <w:rPr>
          <w:szCs w:val="24"/>
          <w:vertAlign w:val="superscript"/>
        </w:rPr>
        <w:t>)</w:t>
      </w:r>
      <w:r w:rsidRPr="00C73107">
        <w:rPr>
          <w:szCs w:val="24"/>
        </w:rPr>
        <w:t xml:space="preserve">. Dyrektywy te weszły w życie z dniem 11 czerwca 2019 r., a państwa członkowskie zobowiązane są do przyjęcia implementujących je przepisów do dnia 1 lipca </w:t>
      </w:r>
      <w:r w:rsidR="00BB389C" w:rsidRPr="00C73107">
        <w:rPr>
          <w:szCs w:val="24"/>
        </w:rPr>
        <w:t>2021</w:t>
      </w:r>
      <w:r w:rsidR="00BB389C">
        <w:rPr>
          <w:szCs w:val="24"/>
        </w:rPr>
        <w:t> </w:t>
      </w:r>
      <w:r w:rsidRPr="00C73107">
        <w:rPr>
          <w:szCs w:val="24"/>
        </w:rPr>
        <w:t>r., z mocą od dnia 1 stycznia 2022 r.</w:t>
      </w:r>
    </w:p>
    <w:p w14:paraId="2D577C32" w14:textId="06C47918" w:rsidR="00DC1D02" w:rsidRPr="00C73107" w:rsidRDefault="000160D8" w:rsidP="009851D9">
      <w:pPr>
        <w:spacing w:before="120" w:after="0" w:line="360" w:lineRule="auto"/>
        <w:ind w:left="-15" w:firstLine="0"/>
        <w:rPr>
          <w:szCs w:val="24"/>
        </w:rPr>
      </w:pPr>
      <w:r w:rsidRPr="00C73107">
        <w:rPr>
          <w:szCs w:val="24"/>
        </w:rPr>
        <w:t xml:space="preserve">Zasadniczym celem obu dyrektyw jest przyczynianie się do właściwego funkcjonowania rynku wewnętrznego i zapewnianie przy tym wysokiego poziomu ochrony konsumentów, </w:t>
      </w:r>
      <w:r w:rsidR="00234666" w:rsidRPr="00C73107">
        <w:rPr>
          <w:szCs w:val="24"/>
        </w:rPr>
        <w:t>w</w:t>
      </w:r>
      <w:r w:rsidR="00234666">
        <w:rPr>
          <w:szCs w:val="24"/>
        </w:rPr>
        <w:t> </w:t>
      </w:r>
      <w:r w:rsidRPr="00C73107">
        <w:rPr>
          <w:szCs w:val="24"/>
        </w:rPr>
        <w:t xml:space="preserve">szczególności przez ustanowienie wspólnych przepisów dotyczących niektórych wymagań w odniesieniu do umów zawartych między przedsiębiorcami a konsumentami </w:t>
      </w:r>
      <w:r w:rsidR="00234666" w:rsidRPr="00C73107">
        <w:rPr>
          <w:szCs w:val="24"/>
        </w:rPr>
        <w:t>o</w:t>
      </w:r>
      <w:r w:rsidR="00234666">
        <w:rPr>
          <w:szCs w:val="24"/>
        </w:rPr>
        <w:t> </w:t>
      </w:r>
      <w:r w:rsidRPr="00C73107">
        <w:rPr>
          <w:szCs w:val="24"/>
        </w:rPr>
        <w:t xml:space="preserve">dostarczanie treści cyfrowych lub usług cyfrowych, w szczególności przepisów dotyczących: zgodności treści cyfrowej lub usługi cyfrowej z umową, środków ochrony prawnej w przypadku braku zgodności treści cyfrowej lub usługi cyfrowej z umową lub ich niedostarczenia oraz sposobów korzystania z tych środków, oraz zmiany treści cyfrowej lub usługi cyfrowej, a także przez ustanowienie wspólnych przepisów dotyczących niektórych wymagań w odniesieniu do umów sprzedaży zawartych między sprzedawcą a konsumentem, w tym przepisów dotyczących zgodności towarów z umową, środków ochrony prawnej przysługujących </w:t>
      </w:r>
      <w:r w:rsidR="00234666" w:rsidRPr="00C73107">
        <w:rPr>
          <w:szCs w:val="24"/>
        </w:rPr>
        <w:t>w</w:t>
      </w:r>
      <w:r w:rsidR="00234666">
        <w:rPr>
          <w:szCs w:val="24"/>
        </w:rPr>
        <w:t> </w:t>
      </w:r>
      <w:r w:rsidRPr="00C73107">
        <w:rPr>
          <w:szCs w:val="24"/>
        </w:rPr>
        <w:t>przypadku braku takiej zgodności, sposobów korzystania z tych środków, a także gwarancji handlowych.</w:t>
      </w:r>
    </w:p>
    <w:p w14:paraId="10445159" w14:textId="3A663E20" w:rsidR="00DC1D02" w:rsidRPr="00C73107" w:rsidRDefault="000160D8" w:rsidP="009851D9">
      <w:pPr>
        <w:spacing w:before="120" w:after="0" w:line="360" w:lineRule="auto"/>
        <w:ind w:left="-15" w:firstLine="0"/>
        <w:rPr>
          <w:szCs w:val="24"/>
        </w:rPr>
      </w:pPr>
      <w:r w:rsidRPr="00C73107">
        <w:rPr>
          <w:szCs w:val="24"/>
        </w:rPr>
        <w:t>Przedmiotowe dyrektywy opierają się na harmonizacji maksymalnej (art. 4), co oznacza, że państwa członkowskie nie mogą przyjmować ani utrzymywać regulacji odmiennych od tych przyjętych w dyrektywach, w tym ustanawiać wyższego poziomu ochrony konsumentów. Zasada ta jednak doznaje wyjątków</w:t>
      </w:r>
      <w:r w:rsidR="00D14A67">
        <w:rPr>
          <w:szCs w:val="24"/>
        </w:rPr>
        <w:t>,</w:t>
      </w:r>
      <w:r w:rsidRPr="00C73107">
        <w:rPr>
          <w:szCs w:val="24"/>
        </w:rPr>
        <w:t xml:space="preserve"> np. w art. 10 ust. 3 SGD. </w:t>
      </w:r>
    </w:p>
    <w:p w14:paraId="27F18C3D" w14:textId="2346B19E" w:rsidR="00DC1D02" w:rsidRPr="00307623" w:rsidRDefault="000160D8" w:rsidP="009851D9">
      <w:pPr>
        <w:spacing w:before="120" w:after="0" w:line="360" w:lineRule="auto"/>
        <w:ind w:left="-15" w:firstLine="0"/>
        <w:rPr>
          <w:szCs w:val="24"/>
        </w:rPr>
      </w:pPr>
      <w:r w:rsidRPr="00C73107">
        <w:rPr>
          <w:szCs w:val="24"/>
        </w:rPr>
        <w:lastRenderedPageBreak/>
        <w:t xml:space="preserve">SGD zastępuje dyrektywę 1999/44/WE Parlamentu Europejskiego i Rady z dnia 25 maja </w:t>
      </w:r>
      <w:r w:rsidR="00234666" w:rsidRPr="00C73107">
        <w:rPr>
          <w:szCs w:val="24"/>
        </w:rPr>
        <w:t>1999</w:t>
      </w:r>
      <w:r w:rsidR="00234666">
        <w:rPr>
          <w:szCs w:val="24"/>
        </w:rPr>
        <w:t> </w:t>
      </w:r>
      <w:r w:rsidRPr="00C73107">
        <w:rPr>
          <w:szCs w:val="24"/>
        </w:rPr>
        <w:t xml:space="preserve">r. w sprawie niektórych aspektów sprzedaży towarów konsumpcyjnych i związanych </w:t>
      </w:r>
      <w:r w:rsidR="00234666" w:rsidRPr="00C73107">
        <w:rPr>
          <w:szCs w:val="24"/>
        </w:rPr>
        <w:t>z</w:t>
      </w:r>
      <w:r w:rsidR="00234666">
        <w:rPr>
          <w:szCs w:val="24"/>
        </w:rPr>
        <w:t> </w:t>
      </w:r>
      <w:r w:rsidRPr="00C73107">
        <w:rPr>
          <w:szCs w:val="24"/>
        </w:rPr>
        <w:t>tym gwarancji (Dz. Urz. UE L 171 z 07.07.1999, str. 12</w:t>
      </w:r>
      <w:r w:rsidR="00C02B16" w:rsidRPr="00C73107">
        <w:rPr>
          <w:szCs w:val="24"/>
        </w:rPr>
        <w:t>,</w:t>
      </w:r>
      <w:r w:rsidRPr="00C73107">
        <w:rPr>
          <w:szCs w:val="24"/>
        </w:rPr>
        <w:t xml:space="preserve"> z </w:t>
      </w:r>
      <w:proofErr w:type="spellStart"/>
      <w:r w:rsidRPr="00C73107">
        <w:rPr>
          <w:szCs w:val="24"/>
        </w:rPr>
        <w:t>późn</w:t>
      </w:r>
      <w:proofErr w:type="spellEnd"/>
      <w:r w:rsidRPr="00C73107">
        <w:rPr>
          <w:szCs w:val="24"/>
        </w:rPr>
        <w:t>. zm.</w:t>
      </w:r>
      <w:r w:rsidR="008B1B38">
        <w:rPr>
          <w:szCs w:val="24"/>
        </w:rPr>
        <w:t>;</w:t>
      </w:r>
      <w:r w:rsidR="00AF77DF" w:rsidRPr="00C73107">
        <w:rPr>
          <w:szCs w:val="24"/>
        </w:rPr>
        <w:t xml:space="preserve"> </w:t>
      </w:r>
      <w:r w:rsidR="008B1B38">
        <w:rPr>
          <w:szCs w:val="24"/>
        </w:rPr>
        <w:t xml:space="preserve">zwaną </w:t>
      </w:r>
      <w:r w:rsidR="00AF77DF" w:rsidRPr="00C73107">
        <w:rPr>
          <w:szCs w:val="24"/>
        </w:rPr>
        <w:t>dalej</w:t>
      </w:r>
      <w:r w:rsidR="00D14A67">
        <w:rPr>
          <w:szCs w:val="24"/>
        </w:rPr>
        <w:t>:</w:t>
      </w:r>
      <w:r w:rsidR="00AF77DF" w:rsidRPr="00C73107">
        <w:rPr>
          <w:szCs w:val="24"/>
        </w:rPr>
        <w:t xml:space="preserve"> „dyrektywa 1999/44/WE”</w:t>
      </w:r>
      <w:r w:rsidRPr="00C73107">
        <w:rPr>
          <w:szCs w:val="24"/>
        </w:rPr>
        <w:t>). Dyrektywa ta jest obecnie implementowana przez przepisy ustawy z dnia 23 kwietnia 1964 r. – Kodeks cywilny (Dz. U. z 2020 r. poz. 1740</w:t>
      </w:r>
      <w:r w:rsidR="00C02B16" w:rsidRPr="00C73107">
        <w:rPr>
          <w:szCs w:val="24"/>
        </w:rPr>
        <w:t>,</w:t>
      </w:r>
      <w:r w:rsidRPr="00C73107">
        <w:rPr>
          <w:szCs w:val="24"/>
        </w:rPr>
        <w:t xml:space="preserve"> z </w:t>
      </w:r>
      <w:proofErr w:type="spellStart"/>
      <w:r w:rsidRPr="00C73107">
        <w:rPr>
          <w:szCs w:val="24"/>
        </w:rPr>
        <w:t>późn</w:t>
      </w:r>
      <w:proofErr w:type="spellEnd"/>
      <w:r w:rsidRPr="00C73107">
        <w:rPr>
          <w:szCs w:val="24"/>
        </w:rPr>
        <w:t>. zm.</w:t>
      </w:r>
      <w:r w:rsidR="00C02B16" w:rsidRPr="00C73107">
        <w:rPr>
          <w:szCs w:val="24"/>
        </w:rPr>
        <w:t>)</w:t>
      </w:r>
      <w:r w:rsidRPr="00C73107">
        <w:rPr>
          <w:szCs w:val="24"/>
        </w:rPr>
        <w:t xml:space="preserve">, </w:t>
      </w:r>
      <w:r w:rsidR="008B1B38">
        <w:rPr>
          <w:szCs w:val="24"/>
        </w:rPr>
        <w:t xml:space="preserve">zwanej </w:t>
      </w:r>
      <w:r w:rsidRPr="00C73107">
        <w:rPr>
          <w:szCs w:val="24"/>
        </w:rPr>
        <w:t>dalej: „Kodeks cywilny” lub „k.c.”</w:t>
      </w:r>
      <w:r w:rsidR="00C02B16" w:rsidRPr="00C73107">
        <w:rPr>
          <w:szCs w:val="24"/>
        </w:rPr>
        <w:t>,</w:t>
      </w:r>
      <w:r w:rsidRPr="00C73107">
        <w:rPr>
          <w:szCs w:val="24"/>
        </w:rPr>
        <w:t xml:space="preserve"> dotyczące rękojmi przy sprzedaży, zmienione ustawą z dnia 30 maja </w:t>
      </w:r>
      <w:r w:rsidR="00234666" w:rsidRPr="00C73107">
        <w:rPr>
          <w:szCs w:val="24"/>
        </w:rPr>
        <w:t>2014</w:t>
      </w:r>
      <w:r w:rsidR="00234666">
        <w:rPr>
          <w:szCs w:val="24"/>
        </w:rPr>
        <w:t> </w:t>
      </w:r>
      <w:r w:rsidRPr="00C73107">
        <w:rPr>
          <w:szCs w:val="24"/>
        </w:rPr>
        <w:t>r. o prawach konsumenta</w:t>
      </w:r>
      <w:r w:rsidR="00CE513A" w:rsidRPr="00F82CDE">
        <w:rPr>
          <w:szCs w:val="24"/>
        </w:rPr>
        <w:t xml:space="preserve"> (Dz. U. z 2020 r. poz. 287, z </w:t>
      </w:r>
      <w:proofErr w:type="spellStart"/>
      <w:r w:rsidR="00CE513A" w:rsidRPr="00F82CDE">
        <w:rPr>
          <w:szCs w:val="24"/>
        </w:rPr>
        <w:t>późn</w:t>
      </w:r>
      <w:proofErr w:type="spellEnd"/>
      <w:r w:rsidR="00CE513A" w:rsidRPr="00F82CDE">
        <w:rPr>
          <w:szCs w:val="24"/>
        </w:rPr>
        <w:t>. zm.),</w:t>
      </w:r>
      <w:r w:rsidR="008B1B38">
        <w:rPr>
          <w:szCs w:val="24"/>
        </w:rPr>
        <w:t xml:space="preserve"> zwanej</w:t>
      </w:r>
      <w:r w:rsidR="00CE513A" w:rsidRPr="00F82CDE">
        <w:rPr>
          <w:szCs w:val="24"/>
        </w:rPr>
        <w:t xml:space="preserve"> dalej także: „</w:t>
      </w:r>
      <w:proofErr w:type="spellStart"/>
      <w:r w:rsidR="00CE513A" w:rsidRPr="00F82CDE">
        <w:rPr>
          <w:szCs w:val="24"/>
        </w:rPr>
        <w:t>u.p.k</w:t>
      </w:r>
      <w:proofErr w:type="spellEnd"/>
      <w:r w:rsidR="00CE513A" w:rsidRPr="00F82CDE">
        <w:rPr>
          <w:szCs w:val="24"/>
        </w:rPr>
        <w:t>.”</w:t>
      </w:r>
      <w:r w:rsidRPr="00F82CDE">
        <w:rPr>
          <w:szCs w:val="24"/>
        </w:rPr>
        <w:t>, która jednocześnie uchyliła ustawę z</w:t>
      </w:r>
      <w:r w:rsidR="00C73107" w:rsidRPr="00B64EF9">
        <w:rPr>
          <w:szCs w:val="24"/>
        </w:rPr>
        <w:t xml:space="preserve"> </w:t>
      </w:r>
      <w:r w:rsidRPr="00B64EF9">
        <w:rPr>
          <w:szCs w:val="24"/>
        </w:rPr>
        <w:t xml:space="preserve">dnia 27 lipca </w:t>
      </w:r>
      <w:r w:rsidR="00C02B16" w:rsidRPr="00B64EF9">
        <w:rPr>
          <w:szCs w:val="24"/>
        </w:rPr>
        <w:t>2002 r. o szczególnych warunkach sprzedaży konsumenckiej</w:t>
      </w:r>
      <w:r w:rsidR="006478F3">
        <w:rPr>
          <w:szCs w:val="24"/>
        </w:rPr>
        <w:t xml:space="preserve"> oraz o zmianie Kodeksu cywilnego (Dz. U. poz. 1176)</w:t>
      </w:r>
      <w:r w:rsidR="00C02B16" w:rsidRPr="00B64EF9">
        <w:rPr>
          <w:szCs w:val="24"/>
        </w:rPr>
        <w:t>, implementującą dyrektywę 1999/44/WE.</w:t>
      </w:r>
    </w:p>
    <w:p w14:paraId="593CF521" w14:textId="51882863" w:rsidR="00DC1D02" w:rsidRPr="00DB65ED" w:rsidRDefault="000160D8" w:rsidP="009851D9">
      <w:pPr>
        <w:spacing w:before="120" w:after="0" w:line="360" w:lineRule="auto"/>
        <w:ind w:left="-15" w:firstLine="0"/>
        <w:rPr>
          <w:szCs w:val="24"/>
        </w:rPr>
      </w:pPr>
      <w:r w:rsidRPr="00307623">
        <w:rPr>
          <w:szCs w:val="24"/>
        </w:rPr>
        <w:t xml:space="preserve">DCD reguluje prawa i obowiązki przedsiębiorców i konsumentów będących stronami umów </w:t>
      </w:r>
      <w:r w:rsidR="00234666" w:rsidRPr="00307623">
        <w:rPr>
          <w:szCs w:val="24"/>
        </w:rPr>
        <w:t>o</w:t>
      </w:r>
      <w:r w:rsidR="00234666">
        <w:rPr>
          <w:szCs w:val="24"/>
        </w:rPr>
        <w:t> </w:t>
      </w:r>
      <w:r w:rsidRPr="00307623">
        <w:rPr>
          <w:szCs w:val="24"/>
        </w:rPr>
        <w:t>dostarczanie treści cyfrowej lub usług cyfrowych. Oprócz przepisów odpowiadających przepisom SGD dot</w:t>
      </w:r>
      <w:r w:rsidR="008B1B38">
        <w:rPr>
          <w:szCs w:val="24"/>
        </w:rPr>
        <w:t>yczącym</w:t>
      </w:r>
      <w:r w:rsidRPr="00307623">
        <w:rPr>
          <w:szCs w:val="24"/>
        </w:rPr>
        <w:t xml:space="preserve"> odpowiedzialności przedsiębiorcy za niezgodność treści cyfrowej lub usługi cyfrowej z umową, dyrektywa reguluje równi</w:t>
      </w:r>
      <w:r w:rsidRPr="00DB65ED">
        <w:rPr>
          <w:szCs w:val="24"/>
        </w:rPr>
        <w:t>eż inne aspekty tychże umów</w:t>
      </w:r>
      <w:r w:rsidR="00A23F16">
        <w:rPr>
          <w:szCs w:val="24"/>
        </w:rPr>
        <w:t>,</w:t>
      </w:r>
      <w:r w:rsidRPr="00DB65ED">
        <w:rPr>
          <w:szCs w:val="24"/>
        </w:rPr>
        <w:t xml:space="preserve"> m.in. zasady dostarczania oraz zmiany treści cyfrowej lub usługi cyfrowej, a także kwestie aktualizacji.</w:t>
      </w:r>
    </w:p>
    <w:p w14:paraId="1294DFB6" w14:textId="653FFA24" w:rsidR="00DC1D02" w:rsidRPr="00C73107" w:rsidRDefault="000160D8" w:rsidP="009851D9">
      <w:pPr>
        <w:pStyle w:val="Nagwek1"/>
        <w:tabs>
          <w:tab w:val="left" w:pos="567"/>
        </w:tabs>
        <w:spacing w:before="120" w:after="0" w:line="360" w:lineRule="auto"/>
        <w:ind w:left="0" w:firstLine="0"/>
        <w:rPr>
          <w:szCs w:val="24"/>
        </w:rPr>
      </w:pPr>
      <w:r w:rsidRPr="00DB65ED">
        <w:rPr>
          <w:szCs w:val="24"/>
        </w:rPr>
        <w:t>II.</w:t>
      </w:r>
      <w:r w:rsidR="00C73107">
        <w:rPr>
          <w:szCs w:val="24"/>
        </w:rPr>
        <w:tab/>
      </w:r>
      <w:r w:rsidRPr="00C73107">
        <w:rPr>
          <w:szCs w:val="24"/>
        </w:rPr>
        <w:t xml:space="preserve">Proponowany sposób osiągnięcia celów projektu </w:t>
      </w:r>
    </w:p>
    <w:p w14:paraId="74571218" w14:textId="6F825121" w:rsidR="00DC1D02" w:rsidRPr="00C73107" w:rsidRDefault="000160D8" w:rsidP="009851D9">
      <w:pPr>
        <w:spacing w:before="120" w:after="0" w:line="360" w:lineRule="auto"/>
        <w:ind w:left="-15" w:firstLine="0"/>
        <w:rPr>
          <w:szCs w:val="24"/>
        </w:rPr>
      </w:pPr>
      <w:r w:rsidRPr="00C73107">
        <w:rPr>
          <w:szCs w:val="24"/>
        </w:rPr>
        <w:t xml:space="preserve">Rozważano, czy przedmiotowe dyrektywy powinny zostać wdrożone do polskiego porządku prawnego w Kodeksie cywilnym czy ewentualnie w odrębnej, nowej ustawie. Ostatecznie zdecydowano, aby implementacji dokonać w ustawie </w:t>
      </w:r>
      <w:bookmarkStart w:id="0" w:name="_Hlk96345676"/>
      <w:r w:rsidRPr="00C73107">
        <w:rPr>
          <w:szCs w:val="24"/>
        </w:rPr>
        <w:t>z dnia 30 maja 2014 r</w:t>
      </w:r>
      <w:bookmarkEnd w:id="0"/>
      <w:r w:rsidRPr="00C73107">
        <w:rPr>
          <w:szCs w:val="24"/>
        </w:rPr>
        <w:t>. o</w:t>
      </w:r>
      <w:r w:rsidR="00C73107" w:rsidRPr="00C73107">
        <w:rPr>
          <w:szCs w:val="24"/>
        </w:rPr>
        <w:t xml:space="preserve"> </w:t>
      </w:r>
      <w:r w:rsidRPr="00C73107">
        <w:rPr>
          <w:szCs w:val="24"/>
        </w:rPr>
        <w:t>prawach konsumenta</w:t>
      </w:r>
      <w:r w:rsidR="00A23F16">
        <w:rPr>
          <w:szCs w:val="24"/>
        </w:rPr>
        <w:t>.</w:t>
      </w:r>
      <w:r w:rsidRPr="00C73107">
        <w:rPr>
          <w:szCs w:val="24"/>
        </w:rPr>
        <w:t xml:space="preserve"> </w:t>
      </w:r>
    </w:p>
    <w:p w14:paraId="4B5E1FC6" w14:textId="16EE091F" w:rsidR="00DC1D02" w:rsidRPr="00C73107" w:rsidRDefault="000160D8" w:rsidP="009851D9">
      <w:pPr>
        <w:spacing w:before="120" w:after="0" w:line="360" w:lineRule="auto"/>
        <w:ind w:left="-15" w:firstLine="0"/>
        <w:rPr>
          <w:szCs w:val="24"/>
        </w:rPr>
      </w:pPr>
      <w:r w:rsidRPr="00C73107">
        <w:rPr>
          <w:szCs w:val="24"/>
        </w:rPr>
        <w:t xml:space="preserve">Wydawać by się mogło, że właściwym miejscem dla regulacji sprzedaży z udziałem konsumentów jest, tak jak to ma miejsce obecnie, Kodeks cywilny (Księga trzecia, Tytuł XI – Sprzedaż). Jednakże implementacja przepisów SGD do kodeksowej umowy sprzedaży nie jest możliwa bez głębokich zmian całego tytułu XI, i to zmian zarówno merytorycznych, jak </w:t>
      </w:r>
      <w:r w:rsidR="00234666" w:rsidRPr="00C73107">
        <w:rPr>
          <w:szCs w:val="24"/>
        </w:rPr>
        <w:t>i</w:t>
      </w:r>
      <w:r w:rsidR="00234666">
        <w:rPr>
          <w:szCs w:val="24"/>
        </w:rPr>
        <w:t> </w:t>
      </w:r>
      <w:r w:rsidRPr="00C73107">
        <w:rPr>
          <w:szCs w:val="24"/>
        </w:rPr>
        <w:t xml:space="preserve">dotyczących systematyki. </w:t>
      </w:r>
    </w:p>
    <w:p w14:paraId="74F5CEE9" w14:textId="33512AC3" w:rsidR="00DC1D02" w:rsidRPr="00C73107" w:rsidRDefault="000160D8" w:rsidP="009851D9">
      <w:pPr>
        <w:spacing w:before="120" w:after="0" w:line="360" w:lineRule="auto"/>
        <w:ind w:left="-15" w:firstLine="0"/>
        <w:rPr>
          <w:szCs w:val="24"/>
        </w:rPr>
      </w:pPr>
      <w:r w:rsidRPr="00C73107">
        <w:rPr>
          <w:szCs w:val="24"/>
        </w:rPr>
        <w:t xml:space="preserve">Przeciwko wprowadzaniu przepisów SGD do Kodeksu cywilnego przemawia przede wszystkim wymóg utrzymania stabilności </w:t>
      </w:r>
      <w:r w:rsidR="00CE513A" w:rsidRPr="00C73107">
        <w:rPr>
          <w:szCs w:val="24"/>
        </w:rPr>
        <w:t>K</w:t>
      </w:r>
      <w:r w:rsidRPr="00C73107">
        <w:rPr>
          <w:szCs w:val="24"/>
        </w:rPr>
        <w:t>odeksu</w:t>
      </w:r>
      <w:r w:rsidR="00CE513A" w:rsidRPr="00C73107">
        <w:rPr>
          <w:szCs w:val="24"/>
        </w:rPr>
        <w:t xml:space="preserve"> cywilnego</w:t>
      </w:r>
      <w:r w:rsidRPr="00C73107">
        <w:rPr>
          <w:szCs w:val="24"/>
        </w:rPr>
        <w:t>, o czym niżej, a także potrzeba przyjęcia szczegółowych rozwiązań prawnych, w dużej mierze nieznanych dotychczas prawu polskiemu, w szczególności dotyczących kwestii związanych z dostarczaniem treści i usług cyfrowych.</w:t>
      </w:r>
    </w:p>
    <w:p w14:paraId="150FB4A3" w14:textId="6918C571" w:rsidR="00DC1D02" w:rsidRPr="00F82CDE" w:rsidRDefault="00C02B16" w:rsidP="009851D9">
      <w:pPr>
        <w:spacing w:before="120" w:after="0" w:line="360" w:lineRule="auto"/>
        <w:ind w:left="-15" w:firstLine="0"/>
        <w:rPr>
          <w:szCs w:val="24"/>
        </w:rPr>
      </w:pPr>
      <w:r w:rsidRPr="00C73107">
        <w:rPr>
          <w:szCs w:val="24"/>
        </w:rPr>
        <w:lastRenderedPageBreak/>
        <w:t>Powyższe argumenty s</w:t>
      </w:r>
      <w:r w:rsidR="000160D8" w:rsidRPr="00C73107">
        <w:rPr>
          <w:szCs w:val="24"/>
        </w:rPr>
        <w:t>kłania</w:t>
      </w:r>
      <w:r w:rsidRPr="00C73107">
        <w:rPr>
          <w:szCs w:val="24"/>
        </w:rPr>
        <w:t>ją</w:t>
      </w:r>
      <w:r w:rsidR="000160D8" w:rsidRPr="00C73107">
        <w:rPr>
          <w:szCs w:val="24"/>
        </w:rPr>
        <w:t xml:space="preserve"> do przyjęcia rozwiązania polegającego na implementacji dyrektyw poza Kodeksem cywilnym i umiejscowienie nowych przepisów w</w:t>
      </w:r>
      <w:r w:rsidR="00C73107" w:rsidRPr="00C73107">
        <w:rPr>
          <w:szCs w:val="24"/>
        </w:rPr>
        <w:t xml:space="preserve"> </w:t>
      </w:r>
      <w:r w:rsidR="000160D8" w:rsidRPr="00C73107">
        <w:rPr>
          <w:szCs w:val="24"/>
        </w:rPr>
        <w:t xml:space="preserve">ustawie </w:t>
      </w:r>
      <w:r w:rsidR="00CE513A" w:rsidRPr="00C73107">
        <w:rPr>
          <w:szCs w:val="24"/>
        </w:rPr>
        <w:t xml:space="preserve">z dnia </w:t>
      </w:r>
      <w:r w:rsidR="00234666" w:rsidRPr="00C73107">
        <w:rPr>
          <w:szCs w:val="24"/>
        </w:rPr>
        <w:t>30</w:t>
      </w:r>
      <w:r w:rsidR="00234666">
        <w:rPr>
          <w:szCs w:val="24"/>
        </w:rPr>
        <w:t> </w:t>
      </w:r>
      <w:r w:rsidR="00CE513A" w:rsidRPr="00C73107">
        <w:rPr>
          <w:szCs w:val="24"/>
        </w:rPr>
        <w:t>maja 2014 r.</w:t>
      </w:r>
      <w:r w:rsidR="00CE513A" w:rsidRPr="00F82CDE">
        <w:rPr>
          <w:szCs w:val="24"/>
        </w:rPr>
        <w:t xml:space="preserve"> </w:t>
      </w:r>
      <w:r w:rsidR="000160D8" w:rsidRPr="00F82CDE">
        <w:rPr>
          <w:szCs w:val="24"/>
        </w:rPr>
        <w:t xml:space="preserve">o prawach konsumenta. </w:t>
      </w:r>
    </w:p>
    <w:p w14:paraId="16918B96" w14:textId="77777777" w:rsidR="00DC1D02" w:rsidRPr="00F82CDE" w:rsidRDefault="000160D8" w:rsidP="009851D9">
      <w:pPr>
        <w:spacing w:before="120" w:after="0" w:line="360" w:lineRule="auto"/>
        <w:ind w:left="0" w:firstLine="0"/>
        <w:rPr>
          <w:szCs w:val="24"/>
        </w:rPr>
      </w:pPr>
      <w:r w:rsidRPr="00F82CDE">
        <w:rPr>
          <w:szCs w:val="24"/>
        </w:rPr>
        <w:t xml:space="preserve">Wydaje się to najwłaściwsze z następujących powodów: </w:t>
      </w:r>
    </w:p>
    <w:p w14:paraId="7434E3C6" w14:textId="2C5AAC43" w:rsidR="00EC44AB" w:rsidRPr="009851D9" w:rsidRDefault="000160D8" w:rsidP="009851D9">
      <w:pPr>
        <w:spacing w:before="120" w:after="0" w:line="360" w:lineRule="auto"/>
        <w:ind w:left="-15" w:right="-14" w:firstLine="0"/>
        <w:rPr>
          <w:i/>
          <w:szCs w:val="24"/>
        </w:rPr>
      </w:pPr>
      <w:r w:rsidRPr="00B64EF9">
        <w:rPr>
          <w:szCs w:val="24"/>
        </w:rPr>
        <w:t xml:space="preserve">Po pierwsze, niniejsza ustawa dokonuje w zakresie swojej regulacji wdrożenia szeregu dyrektyw konsumenckich, tj. </w:t>
      </w:r>
      <w:r w:rsidRPr="00EF0456">
        <w:rPr>
          <w:szCs w:val="24"/>
        </w:rPr>
        <w:t>dyrektywy Parlamentu Europejskiego i Rady 2011/83/UE z dnia 25 października 2011 r. w sprawie praw konsumentów, zmieniającej dyrektywę Rady 93/13/EWG i dyrektywę 1999/44/WE Parlamentu Europejskiego i Rady oraz uchylającej dyrektywę Rady 85/577/EWG i dyrektywę 97/7/WE Parlamentu Europejskiego i Rady</w:t>
      </w:r>
      <w:r w:rsidRPr="00307623">
        <w:rPr>
          <w:szCs w:val="24"/>
        </w:rPr>
        <w:t xml:space="preserve"> (Dz</w:t>
      </w:r>
      <w:r w:rsidR="00BB389C" w:rsidRPr="00307623">
        <w:rPr>
          <w:szCs w:val="24"/>
        </w:rPr>
        <w:t>.</w:t>
      </w:r>
      <w:r w:rsidR="00BB389C">
        <w:rPr>
          <w:szCs w:val="24"/>
        </w:rPr>
        <w:t> </w:t>
      </w:r>
      <w:r w:rsidRPr="00307623">
        <w:rPr>
          <w:szCs w:val="24"/>
        </w:rPr>
        <w:t>Urz. UE L 304 z 22.11.2011, str. 64</w:t>
      </w:r>
      <w:r w:rsidR="00EC44AB" w:rsidRPr="00307623">
        <w:rPr>
          <w:szCs w:val="24"/>
        </w:rPr>
        <w:t>,</w:t>
      </w:r>
      <w:r w:rsidRPr="00307623">
        <w:rPr>
          <w:szCs w:val="24"/>
        </w:rPr>
        <w:t xml:space="preserve"> z </w:t>
      </w:r>
      <w:proofErr w:type="spellStart"/>
      <w:r w:rsidRPr="00307623">
        <w:rPr>
          <w:szCs w:val="24"/>
        </w:rPr>
        <w:t>późn</w:t>
      </w:r>
      <w:proofErr w:type="spellEnd"/>
      <w:r w:rsidRPr="00307623">
        <w:rPr>
          <w:szCs w:val="24"/>
        </w:rPr>
        <w:t xml:space="preserve">. zm.), </w:t>
      </w:r>
      <w:r w:rsidRPr="00EF0456">
        <w:rPr>
          <w:szCs w:val="24"/>
        </w:rPr>
        <w:t>dyrektywy 1999/44/WE Parlamentu Europejskiego i Rady z dnia 25 maja 1999 r. w sprawie niektórych aspektów sprzedaży towarów konsumpcyjnych i związanych z tym gwarancji</w:t>
      </w:r>
      <w:r w:rsidRPr="00DB65ED">
        <w:rPr>
          <w:szCs w:val="24"/>
        </w:rPr>
        <w:t xml:space="preserve"> </w:t>
      </w:r>
      <w:r w:rsidR="00237543" w:rsidRPr="00237543">
        <w:rPr>
          <w:szCs w:val="24"/>
        </w:rPr>
        <w:t>(</w:t>
      </w:r>
      <w:r w:rsidR="00237543" w:rsidRPr="00237543">
        <w:rPr>
          <w:rStyle w:val="markedcontent"/>
          <w:szCs w:val="16"/>
        </w:rPr>
        <w:t>Dz. Urz. UE L</w:t>
      </w:r>
      <w:r w:rsidR="00237543" w:rsidRPr="00237543">
        <w:br/>
      </w:r>
      <w:r w:rsidR="00237543" w:rsidRPr="00237543">
        <w:rPr>
          <w:rStyle w:val="markedcontent"/>
          <w:szCs w:val="16"/>
        </w:rPr>
        <w:t xml:space="preserve">171 z 07.07.1999, </w:t>
      </w:r>
      <w:r w:rsidR="00237543" w:rsidRPr="00EF0456">
        <w:rPr>
          <w:rStyle w:val="markedcontent"/>
          <w:szCs w:val="16"/>
        </w:rPr>
        <w:t xml:space="preserve">str. 12, </w:t>
      </w:r>
      <w:r w:rsidR="00237543" w:rsidRPr="00237543">
        <w:rPr>
          <w:rStyle w:val="markedcontent"/>
          <w:szCs w:val="16"/>
        </w:rPr>
        <w:t xml:space="preserve">z </w:t>
      </w:r>
      <w:proofErr w:type="spellStart"/>
      <w:r w:rsidR="00237543" w:rsidRPr="00237543">
        <w:rPr>
          <w:rStyle w:val="markedcontent"/>
          <w:szCs w:val="16"/>
        </w:rPr>
        <w:t>późn</w:t>
      </w:r>
      <w:proofErr w:type="spellEnd"/>
      <w:r w:rsidR="00237543" w:rsidRPr="00237543">
        <w:rPr>
          <w:rStyle w:val="markedcontent"/>
          <w:szCs w:val="16"/>
        </w:rPr>
        <w:t>. zm.)</w:t>
      </w:r>
      <w:r w:rsidR="00237543" w:rsidRPr="00237543">
        <w:rPr>
          <w:szCs w:val="24"/>
        </w:rPr>
        <w:t xml:space="preserve"> </w:t>
      </w:r>
      <w:r w:rsidRPr="00DB65ED">
        <w:rPr>
          <w:szCs w:val="24"/>
        </w:rPr>
        <w:t xml:space="preserve">oraz </w:t>
      </w:r>
      <w:r w:rsidRPr="00EF0456">
        <w:rPr>
          <w:szCs w:val="24"/>
        </w:rPr>
        <w:t xml:space="preserve">dyrektywy 2002/65/WE Parlamentu Europejskiego i Rady z dnia 23 września 2002 r. dotyczącej sprzedaży konsumentom usług finansowych na odległość oraz zmieniającej dyrektywę Rady 90/619/EWG oraz dyrektywy 97/7/WE </w:t>
      </w:r>
      <w:r w:rsidR="00BB389C" w:rsidRPr="00EF0456">
        <w:rPr>
          <w:szCs w:val="24"/>
        </w:rPr>
        <w:t>i</w:t>
      </w:r>
      <w:r w:rsidR="00BB389C">
        <w:rPr>
          <w:szCs w:val="24"/>
        </w:rPr>
        <w:t> </w:t>
      </w:r>
      <w:r w:rsidRPr="00EF0456">
        <w:rPr>
          <w:szCs w:val="24"/>
        </w:rPr>
        <w:t>98/27/WE</w:t>
      </w:r>
      <w:r w:rsidRPr="00DB65ED">
        <w:rPr>
          <w:szCs w:val="24"/>
        </w:rPr>
        <w:t xml:space="preserve"> (Dz. Urz. UE L 271 z 09.10.2002, str. 16, z </w:t>
      </w:r>
      <w:proofErr w:type="spellStart"/>
      <w:r w:rsidRPr="00DB65ED">
        <w:rPr>
          <w:szCs w:val="24"/>
        </w:rPr>
        <w:t>późn</w:t>
      </w:r>
      <w:proofErr w:type="spellEnd"/>
      <w:r w:rsidRPr="00DB65ED">
        <w:rPr>
          <w:szCs w:val="24"/>
        </w:rPr>
        <w:t xml:space="preserve">. zm.), ostatnio zmienionej </w:t>
      </w:r>
      <w:r w:rsidRPr="00EF0456">
        <w:rPr>
          <w:szCs w:val="24"/>
        </w:rPr>
        <w:t xml:space="preserve">dyrektywą 2007/64/WE </w:t>
      </w:r>
      <w:r w:rsidR="00EC44AB" w:rsidRPr="00EF0456">
        <w:rPr>
          <w:szCs w:val="24"/>
        </w:rPr>
        <w:t>Parlamentu Europejskiego i Rady z dnia 13 listopada 2007 r.</w:t>
      </w:r>
      <w:r w:rsidR="00EC44AB" w:rsidRPr="008B1B38">
        <w:rPr>
          <w:szCs w:val="24"/>
        </w:rPr>
        <w:t xml:space="preserve"> </w:t>
      </w:r>
      <w:r w:rsidR="00F70B40" w:rsidRPr="008B1B38">
        <w:t>w sprawie usług płatniczych w ramach rynku wewnętrznego zmieniająca dyrektywy 97/7/WE, 2002/65/WE, 2005/60/WE i 2006/48/WE i uchylająca dyrektywę 97/5/WE</w:t>
      </w:r>
      <w:r w:rsidR="00F70B40" w:rsidRPr="009851D9">
        <w:rPr>
          <w:szCs w:val="24"/>
        </w:rPr>
        <w:t xml:space="preserve"> </w:t>
      </w:r>
      <w:r w:rsidR="00EC44AB" w:rsidRPr="009851D9">
        <w:rPr>
          <w:szCs w:val="24"/>
        </w:rPr>
        <w:t xml:space="preserve">(Dz. Urz. UE L 319 z 05.12.2007, str. 1). </w:t>
      </w:r>
    </w:p>
    <w:p w14:paraId="01F24027" w14:textId="2C950109" w:rsidR="00DC1D02" w:rsidRPr="009851D9" w:rsidRDefault="000160D8" w:rsidP="009851D9">
      <w:pPr>
        <w:spacing w:before="120" w:after="0" w:line="360" w:lineRule="auto"/>
        <w:ind w:left="-15" w:firstLine="0"/>
        <w:rPr>
          <w:szCs w:val="24"/>
        </w:rPr>
      </w:pPr>
      <w:r w:rsidRPr="009851D9">
        <w:rPr>
          <w:szCs w:val="24"/>
        </w:rPr>
        <w:t>Po drugie, niniejsza ustawa określa prawa przysługujące konsumentowi w przypadku umów zawieranych z przedsiębiorcą (art. 1). Zatem prawa i obowiązki określone w</w:t>
      </w:r>
      <w:r w:rsidR="00C73107" w:rsidRPr="009851D9">
        <w:rPr>
          <w:szCs w:val="24"/>
        </w:rPr>
        <w:t xml:space="preserve"> </w:t>
      </w:r>
      <w:r w:rsidRPr="009851D9">
        <w:rPr>
          <w:szCs w:val="24"/>
        </w:rPr>
        <w:t>dyrektywach doskonale wpisują się w zakres przedmiotow</w:t>
      </w:r>
      <w:r w:rsidR="008B1B38">
        <w:rPr>
          <w:szCs w:val="24"/>
        </w:rPr>
        <w:t>y</w:t>
      </w:r>
      <w:r w:rsidRPr="009851D9">
        <w:rPr>
          <w:szCs w:val="24"/>
        </w:rPr>
        <w:t xml:space="preserve"> ustawy</w:t>
      </w:r>
      <w:r w:rsidR="008B1B38">
        <w:rPr>
          <w:szCs w:val="24"/>
        </w:rPr>
        <w:t xml:space="preserve"> </w:t>
      </w:r>
      <w:r w:rsidR="008B1B38" w:rsidRPr="00C73107">
        <w:rPr>
          <w:szCs w:val="24"/>
        </w:rPr>
        <w:t>z dnia 30</w:t>
      </w:r>
      <w:r w:rsidR="008B1B38">
        <w:rPr>
          <w:szCs w:val="24"/>
        </w:rPr>
        <w:t> </w:t>
      </w:r>
      <w:r w:rsidR="008B1B38" w:rsidRPr="00C73107">
        <w:rPr>
          <w:szCs w:val="24"/>
        </w:rPr>
        <w:t>maja 2014 r.</w:t>
      </w:r>
      <w:r w:rsidR="008B1B38" w:rsidRPr="00F82CDE">
        <w:rPr>
          <w:szCs w:val="24"/>
        </w:rPr>
        <w:t xml:space="preserve"> o prawach konsumenta</w:t>
      </w:r>
      <w:r w:rsidRPr="009851D9">
        <w:rPr>
          <w:szCs w:val="24"/>
        </w:rPr>
        <w:t xml:space="preserve">. Co więcej, zaimplementowanie dyrektyw do ustawy </w:t>
      </w:r>
      <w:r w:rsidR="00EC44AB" w:rsidRPr="009851D9">
        <w:rPr>
          <w:szCs w:val="24"/>
        </w:rPr>
        <w:t xml:space="preserve">z dnia 30 maja 2014 r. </w:t>
      </w:r>
      <w:r w:rsidR="00BB389C" w:rsidRPr="009851D9">
        <w:rPr>
          <w:szCs w:val="24"/>
        </w:rPr>
        <w:t>o</w:t>
      </w:r>
      <w:r w:rsidR="00BB389C">
        <w:rPr>
          <w:szCs w:val="24"/>
        </w:rPr>
        <w:t> </w:t>
      </w:r>
      <w:r w:rsidRPr="009851D9">
        <w:rPr>
          <w:szCs w:val="24"/>
        </w:rPr>
        <w:t xml:space="preserve">prawach konsumenta stworzy spójną i w zasadzie zamkniętą regulację, co z kolei przełoży się na „ustabilizowanie” sytuacji prawnej przedsiębiorców i konsumentów. Wyeliminowana zostanie przy tym, do niezbędnego minimum, potrzeba odesłań do innych przepisów prawa, </w:t>
      </w:r>
      <w:r w:rsidR="00BB389C" w:rsidRPr="009851D9">
        <w:rPr>
          <w:szCs w:val="24"/>
        </w:rPr>
        <w:t>w</w:t>
      </w:r>
      <w:r w:rsidR="00BB389C">
        <w:rPr>
          <w:szCs w:val="24"/>
        </w:rPr>
        <w:t> </w:t>
      </w:r>
      <w:r w:rsidRPr="009851D9">
        <w:rPr>
          <w:szCs w:val="24"/>
        </w:rPr>
        <w:t xml:space="preserve">tym z zakresu rękojmi i gwarancji. </w:t>
      </w:r>
    </w:p>
    <w:p w14:paraId="4593D443" w14:textId="4E91C468" w:rsidR="00DC1D02" w:rsidRPr="009851D9" w:rsidRDefault="000160D8" w:rsidP="009851D9">
      <w:pPr>
        <w:spacing w:before="120" w:after="0" w:line="360" w:lineRule="auto"/>
        <w:ind w:left="-15" w:firstLine="0"/>
        <w:rPr>
          <w:szCs w:val="24"/>
        </w:rPr>
      </w:pPr>
      <w:r w:rsidRPr="009851D9">
        <w:rPr>
          <w:szCs w:val="24"/>
        </w:rPr>
        <w:t xml:space="preserve">Po trzecie, ustawa </w:t>
      </w:r>
      <w:r w:rsidR="008B1B38">
        <w:rPr>
          <w:szCs w:val="24"/>
        </w:rPr>
        <w:t xml:space="preserve">ta </w:t>
      </w:r>
      <w:r w:rsidRPr="009851D9">
        <w:rPr>
          <w:szCs w:val="24"/>
        </w:rPr>
        <w:t xml:space="preserve">zawiera szereg definicji, które są tożsame z definicjami zawartymi </w:t>
      </w:r>
      <w:r w:rsidR="00BB389C" w:rsidRPr="009851D9">
        <w:rPr>
          <w:szCs w:val="24"/>
        </w:rPr>
        <w:t>w</w:t>
      </w:r>
      <w:r w:rsidR="00BB389C">
        <w:rPr>
          <w:szCs w:val="24"/>
        </w:rPr>
        <w:t> </w:t>
      </w:r>
      <w:r w:rsidRPr="009851D9">
        <w:rPr>
          <w:szCs w:val="24"/>
        </w:rPr>
        <w:t xml:space="preserve">szczególności w dyrektywie 2019/770, np. trwały nośnik czy treść cyfrowa. </w:t>
      </w:r>
    </w:p>
    <w:p w14:paraId="5342DBBE" w14:textId="11B43D7D" w:rsidR="00DC1D02" w:rsidRPr="009851D9" w:rsidRDefault="000160D8" w:rsidP="009851D9">
      <w:pPr>
        <w:spacing w:before="120" w:after="0" w:line="360" w:lineRule="auto"/>
        <w:ind w:left="-15" w:firstLine="0"/>
        <w:rPr>
          <w:szCs w:val="24"/>
        </w:rPr>
      </w:pPr>
      <w:r w:rsidRPr="009851D9">
        <w:rPr>
          <w:szCs w:val="24"/>
        </w:rPr>
        <w:t xml:space="preserve">Po czwarte, zaimplementowanie obu dyrektyw w Kodeksie cywilnym wiązałoby się </w:t>
      </w:r>
      <w:r w:rsidR="00234666" w:rsidRPr="009851D9">
        <w:rPr>
          <w:szCs w:val="24"/>
        </w:rPr>
        <w:t>z</w:t>
      </w:r>
      <w:r w:rsidR="00234666">
        <w:rPr>
          <w:szCs w:val="24"/>
        </w:rPr>
        <w:t> </w:t>
      </w:r>
      <w:r w:rsidRPr="009851D9">
        <w:rPr>
          <w:szCs w:val="24"/>
        </w:rPr>
        <w:t xml:space="preserve">wieloma problemami natury praktycznej, np. krzyżowym odsyłaniem, nieczytelnością regulacji, </w:t>
      </w:r>
      <w:r w:rsidRPr="009851D9">
        <w:rPr>
          <w:szCs w:val="24"/>
        </w:rPr>
        <w:lastRenderedPageBreak/>
        <w:t xml:space="preserve">nakładaniem się rozwiązań itp. W tym miejscu warto jeszcze raz podkreślić, że przepisy SGD są nie tylko znacznie bardziej szczegółowe od przepisów dyrektywy 1999/44/WE, ale również przewidują harmonizację maksymalną. Ich implementacja </w:t>
      </w:r>
      <w:r w:rsidR="00234666" w:rsidRPr="009851D9">
        <w:rPr>
          <w:szCs w:val="24"/>
        </w:rPr>
        <w:t>w</w:t>
      </w:r>
      <w:r w:rsidR="00234666">
        <w:rPr>
          <w:szCs w:val="24"/>
        </w:rPr>
        <w:t> </w:t>
      </w:r>
      <w:r w:rsidRPr="009851D9">
        <w:rPr>
          <w:szCs w:val="24"/>
        </w:rPr>
        <w:t>Kodeksie cywilnym musiałaby się</w:t>
      </w:r>
      <w:r w:rsidR="00505272" w:rsidRPr="009851D9">
        <w:rPr>
          <w:szCs w:val="24"/>
        </w:rPr>
        <w:t xml:space="preserve"> </w:t>
      </w:r>
      <w:r w:rsidRPr="009851D9">
        <w:rPr>
          <w:szCs w:val="24"/>
        </w:rPr>
        <w:t xml:space="preserve">zatem wiązać nie tylko z zasadniczą przebudową instytucji rękojmi (nie we wszystkich aspektach korzystną dla kupujących), ale również </w:t>
      </w:r>
      <w:r w:rsidR="00234666" w:rsidRPr="009851D9">
        <w:rPr>
          <w:szCs w:val="24"/>
        </w:rPr>
        <w:t>z</w:t>
      </w:r>
      <w:r w:rsidR="00234666">
        <w:rPr>
          <w:szCs w:val="24"/>
        </w:rPr>
        <w:t> </w:t>
      </w:r>
      <w:r w:rsidRPr="009851D9">
        <w:rPr>
          <w:szCs w:val="24"/>
        </w:rPr>
        <w:t xml:space="preserve">wprowadzeniem wielu kazuistycznych regulacji nieprzystających do jego charakteru. Przyjęcie stosownych regulacji w Kodeksie cywilnym wymagałoby nie tylko zasadniczych zmian o charakterze konstrukcyjnym </w:t>
      </w:r>
      <w:r w:rsidR="00BB389C" w:rsidRPr="009851D9">
        <w:rPr>
          <w:szCs w:val="24"/>
        </w:rPr>
        <w:t>i</w:t>
      </w:r>
      <w:r w:rsidR="00BB389C">
        <w:rPr>
          <w:szCs w:val="24"/>
        </w:rPr>
        <w:t> </w:t>
      </w:r>
      <w:r w:rsidRPr="009851D9">
        <w:rPr>
          <w:szCs w:val="24"/>
        </w:rPr>
        <w:t>terminologicznym w regulacji umowy sprzedaży, ale wiązałoby się również z niepotrzebnym „galimatiasem” prawnym spowodowanym koniecznością wprowadzenia mnogości specyficznych i szczegółowych definicji, co nie przystaje do charakteru Kodeksu cywilnego jako aktu o charakterze ogólnym, który nie powinien podlegać częstym zmianom.</w:t>
      </w:r>
    </w:p>
    <w:p w14:paraId="46F4EADB" w14:textId="595AC386" w:rsidR="00DC1D02" w:rsidRPr="009851D9" w:rsidRDefault="000160D8" w:rsidP="009851D9">
      <w:pPr>
        <w:spacing w:before="120" w:after="0" w:line="360" w:lineRule="auto"/>
        <w:ind w:left="-15" w:firstLine="0"/>
        <w:rPr>
          <w:szCs w:val="24"/>
        </w:rPr>
      </w:pPr>
      <w:r w:rsidRPr="009851D9">
        <w:rPr>
          <w:szCs w:val="24"/>
        </w:rPr>
        <w:t xml:space="preserve">Po piąte, uregulowanie zagadnień objętych dyrektywami w „zwykłej” ustawie pozwoli na łatwiejsze nowelizowanie przepisów polskich, w sytuacji ewentualnych zmian przepisów prawa </w:t>
      </w:r>
      <w:r w:rsidR="008B1B38">
        <w:rPr>
          <w:szCs w:val="24"/>
        </w:rPr>
        <w:t>Unii E</w:t>
      </w:r>
      <w:r w:rsidRPr="009851D9">
        <w:rPr>
          <w:szCs w:val="24"/>
        </w:rPr>
        <w:t>uropejskie</w:t>
      </w:r>
      <w:r w:rsidR="008B1B38">
        <w:rPr>
          <w:szCs w:val="24"/>
        </w:rPr>
        <w:t>j</w:t>
      </w:r>
      <w:r w:rsidRPr="009851D9">
        <w:rPr>
          <w:szCs w:val="24"/>
        </w:rPr>
        <w:t xml:space="preserve">. </w:t>
      </w:r>
    </w:p>
    <w:p w14:paraId="3CE29D70" w14:textId="60F4560B" w:rsidR="00DC1D02" w:rsidRPr="009851D9" w:rsidRDefault="000160D8" w:rsidP="009851D9">
      <w:pPr>
        <w:spacing w:before="120" w:after="0" w:line="360" w:lineRule="auto"/>
        <w:ind w:left="-15" w:firstLine="0"/>
        <w:rPr>
          <w:szCs w:val="24"/>
        </w:rPr>
      </w:pPr>
      <w:r w:rsidRPr="009851D9">
        <w:rPr>
          <w:szCs w:val="24"/>
        </w:rPr>
        <w:t>Po szóste, ponieważ zdecydowano, iż nowo projektowane przepisy mają objąć wyłącznie relacje konsument – przedsiębiorca (ang. B2C), bardziej praktyczne jest ich wyodrębnienie właśnie do ustawy</w:t>
      </w:r>
      <w:r w:rsidR="00505272" w:rsidRPr="009851D9">
        <w:rPr>
          <w:szCs w:val="24"/>
        </w:rPr>
        <w:t xml:space="preserve"> </w:t>
      </w:r>
      <w:bookmarkStart w:id="1" w:name="_Hlk96347195"/>
      <w:r w:rsidR="00505272" w:rsidRPr="009851D9">
        <w:rPr>
          <w:szCs w:val="24"/>
        </w:rPr>
        <w:t xml:space="preserve">z dnia 30 maja 2014 </w:t>
      </w:r>
      <w:bookmarkEnd w:id="1"/>
      <w:r w:rsidR="00505272" w:rsidRPr="009851D9">
        <w:rPr>
          <w:szCs w:val="24"/>
        </w:rPr>
        <w:t>r.</w:t>
      </w:r>
      <w:r w:rsidRPr="009851D9">
        <w:rPr>
          <w:szCs w:val="24"/>
        </w:rPr>
        <w:t xml:space="preserve"> o prawach konsumenta.</w:t>
      </w:r>
    </w:p>
    <w:p w14:paraId="5CBEAF46" w14:textId="1857230C" w:rsidR="00DC1D02" w:rsidRPr="009851D9" w:rsidRDefault="000160D8" w:rsidP="009851D9">
      <w:pPr>
        <w:spacing w:before="120" w:after="0" w:line="360" w:lineRule="auto"/>
        <w:ind w:left="-15" w:firstLine="0"/>
        <w:rPr>
          <w:szCs w:val="24"/>
        </w:rPr>
      </w:pPr>
      <w:r w:rsidRPr="009851D9">
        <w:rPr>
          <w:szCs w:val="24"/>
        </w:rPr>
        <w:t xml:space="preserve">Po siódme, SGD stanowi uzupełnienie istniejącego horyzontalnego prawodawstwa dotyczącego ochrony konsumentów, w szczególności </w:t>
      </w:r>
      <w:r w:rsidRPr="00EF0456">
        <w:rPr>
          <w:szCs w:val="24"/>
        </w:rPr>
        <w:t xml:space="preserve">dyrektywy Parlamentu Europejskiego </w:t>
      </w:r>
      <w:r w:rsidR="00234666" w:rsidRPr="00EF0456">
        <w:rPr>
          <w:szCs w:val="24"/>
        </w:rPr>
        <w:t>i </w:t>
      </w:r>
      <w:r w:rsidRPr="00EF0456">
        <w:rPr>
          <w:szCs w:val="24"/>
        </w:rPr>
        <w:t>Rady 2011/83/UE z dnia 25 października 2011 r. w sprawie praw konsumentów</w:t>
      </w:r>
      <w:r w:rsidRPr="009851D9">
        <w:rPr>
          <w:szCs w:val="24"/>
        </w:rPr>
        <w:t xml:space="preserve">, która została zaimplementowana właśnie w ustawie </w:t>
      </w:r>
      <w:bookmarkStart w:id="2" w:name="_Hlk96347954"/>
      <w:r w:rsidR="0072761D" w:rsidRPr="009851D9">
        <w:rPr>
          <w:szCs w:val="24"/>
        </w:rPr>
        <w:t xml:space="preserve">z dnia 30 maja 2014 r. </w:t>
      </w:r>
      <w:bookmarkEnd w:id="2"/>
      <w:r w:rsidRPr="009851D9">
        <w:rPr>
          <w:szCs w:val="24"/>
        </w:rPr>
        <w:t>o prawach konsumenta.</w:t>
      </w:r>
    </w:p>
    <w:p w14:paraId="1A56E540" w14:textId="0A0BC5BF" w:rsidR="00DC1D02" w:rsidRPr="009851D9" w:rsidRDefault="000160D8" w:rsidP="009851D9">
      <w:pPr>
        <w:spacing w:before="120" w:after="0" w:line="360" w:lineRule="auto"/>
        <w:ind w:left="-15" w:firstLine="0"/>
        <w:rPr>
          <w:szCs w:val="24"/>
        </w:rPr>
      </w:pPr>
      <w:r w:rsidRPr="009851D9">
        <w:rPr>
          <w:szCs w:val="24"/>
        </w:rPr>
        <w:t>Implementacja SGD i DCD</w:t>
      </w:r>
      <w:r w:rsidR="00AF3CCA">
        <w:rPr>
          <w:szCs w:val="24"/>
        </w:rPr>
        <w:t>,</w:t>
      </w:r>
      <w:r w:rsidRPr="009851D9">
        <w:rPr>
          <w:szCs w:val="24"/>
        </w:rPr>
        <w:t xml:space="preserve"> polegająca na wprowadzeniu nowych regulacji w ustawie</w:t>
      </w:r>
      <w:r w:rsidR="0072761D" w:rsidRPr="009851D9">
        <w:rPr>
          <w:szCs w:val="24"/>
        </w:rPr>
        <w:t xml:space="preserve"> z dnia 30 maja 2014 r. </w:t>
      </w:r>
      <w:r w:rsidRPr="009851D9">
        <w:rPr>
          <w:szCs w:val="24"/>
        </w:rPr>
        <w:t>o prawach konsumenta</w:t>
      </w:r>
      <w:r w:rsidR="00AF3CCA">
        <w:rPr>
          <w:szCs w:val="24"/>
        </w:rPr>
        <w:t>,</w:t>
      </w:r>
      <w:r w:rsidRPr="009851D9">
        <w:rPr>
          <w:szCs w:val="24"/>
        </w:rPr>
        <w:t xml:space="preserve"> stanowi zmianę w stosunku do obecnego stanu prawnego, w którym przepisy dotyczące rękojmi przy sprzedaży konsumenckiej </w:t>
      </w:r>
      <w:r w:rsidR="00505272" w:rsidRPr="009851D9">
        <w:rPr>
          <w:szCs w:val="24"/>
        </w:rPr>
        <w:t xml:space="preserve">są </w:t>
      </w:r>
      <w:r w:rsidRPr="009851D9">
        <w:rPr>
          <w:szCs w:val="24"/>
        </w:rPr>
        <w:t xml:space="preserve">zawarte </w:t>
      </w:r>
      <w:r w:rsidR="00234666" w:rsidRPr="009851D9">
        <w:rPr>
          <w:szCs w:val="24"/>
        </w:rPr>
        <w:t>w</w:t>
      </w:r>
      <w:r w:rsidR="00234666">
        <w:rPr>
          <w:szCs w:val="24"/>
        </w:rPr>
        <w:t> </w:t>
      </w:r>
      <w:r w:rsidRPr="009851D9">
        <w:rPr>
          <w:szCs w:val="24"/>
        </w:rPr>
        <w:t>Kodeksie cywilnym, jednak implementacja SGD przez zmianę przepisów Kodeksu cywilnego nie wydaje się odpowiednia z powodów, na które wskazano powyżej.</w:t>
      </w:r>
    </w:p>
    <w:p w14:paraId="12A59368" w14:textId="00ADF09B" w:rsidR="00DC1D02" w:rsidRPr="009851D9" w:rsidRDefault="000160D8" w:rsidP="009851D9">
      <w:pPr>
        <w:spacing w:before="120" w:after="0" w:line="360" w:lineRule="auto"/>
        <w:ind w:left="-15" w:firstLine="0"/>
        <w:rPr>
          <w:szCs w:val="24"/>
        </w:rPr>
      </w:pPr>
      <w:r w:rsidRPr="009851D9">
        <w:rPr>
          <w:szCs w:val="24"/>
        </w:rPr>
        <w:t>W tym miejscu należy podkreślić, że osiągni</w:t>
      </w:r>
      <w:r w:rsidR="00AF3CCA">
        <w:rPr>
          <w:szCs w:val="24"/>
        </w:rPr>
        <w:t>ę</w:t>
      </w:r>
      <w:r w:rsidRPr="009851D9">
        <w:rPr>
          <w:szCs w:val="24"/>
        </w:rPr>
        <w:t>cie celu</w:t>
      </w:r>
      <w:r w:rsidR="00756F03" w:rsidRPr="009851D9">
        <w:rPr>
          <w:szCs w:val="24"/>
        </w:rPr>
        <w:t>,</w:t>
      </w:r>
      <w:r w:rsidRPr="009851D9">
        <w:rPr>
          <w:szCs w:val="24"/>
        </w:rPr>
        <w:t xml:space="preserve"> jakim jest implementacja przedmiotowych dyrektyw, nie byłoby możliwe w inny sposób, jak w drodze interwencji legislacyjnej. </w:t>
      </w:r>
    </w:p>
    <w:p w14:paraId="7514B75F" w14:textId="7F996B51" w:rsidR="00DC1D02" w:rsidRPr="00C73107" w:rsidRDefault="000160D8" w:rsidP="009851D9">
      <w:pPr>
        <w:pStyle w:val="Nagwek1"/>
        <w:tabs>
          <w:tab w:val="left" w:pos="567"/>
        </w:tabs>
        <w:spacing w:before="120" w:after="0" w:line="360" w:lineRule="auto"/>
        <w:ind w:left="0" w:firstLine="0"/>
        <w:rPr>
          <w:szCs w:val="24"/>
        </w:rPr>
      </w:pPr>
      <w:r w:rsidRPr="00C73107">
        <w:rPr>
          <w:szCs w:val="24"/>
        </w:rPr>
        <w:lastRenderedPageBreak/>
        <w:t>III.</w:t>
      </w:r>
      <w:r w:rsidR="00C73107">
        <w:rPr>
          <w:szCs w:val="24"/>
        </w:rPr>
        <w:tab/>
      </w:r>
      <w:r w:rsidRPr="00C73107">
        <w:rPr>
          <w:szCs w:val="24"/>
        </w:rPr>
        <w:t xml:space="preserve">Zmiany w przepisach ogólnych ustawy </w:t>
      </w:r>
      <w:r w:rsidR="00756F03" w:rsidRPr="00C73107">
        <w:rPr>
          <w:szCs w:val="24"/>
        </w:rPr>
        <w:t xml:space="preserve">z dnia 30 maja 2014 r. </w:t>
      </w:r>
      <w:r w:rsidRPr="00C73107">
        <w:rPr>
          <w:szCs w:val="24"/>
        </w:rPr>
        <w:t>o prawach konsumenta</w:t>
      </w:r>
    </w:p>
    <w:p w14:paraId="36CBB95D" w14:textId="77777777" w:rsidR="00DC1D02" w:rsidRPr="00C73107" w:rsidRDefault="000160D8" w:rsidP="009851D9">
      <w:pPr>
        <w:spacing w:before="120" w:after="0" w:line="360" w:lineRule="auto"/>
        <w:ind w:left="-15" w:firstLine="0"/>
        <w:rPr>
          <w:szCs w:val="24"/>
        </w:rPr>
      </w:pPr>
      <w:r w:rsidRPr="00C73107">
        <w:rPr>
          <w:szCs w:val="24"/>
        </w:rPr>
        <w:t>Zmiana w art. 1 polega na zaktualizowaniu zakresu regulacji ustawy o nowo wprowadzane przepisy implementujące SGD i DCD.</w:t>
      </w:r>
    </w:p>
    <w:p w14:paraId="4092F662" w14:textId="2BF410F9" w:rsidR="00DC1D02" w:rsidRPr="00C73107" w:rsidRDefault="000160D8" w:rsidP="009851D9">
      <w:pPr>
        <w:spacing w:before="120" w:after="0" w:line="360" w:lineRule="auto"/>
        <w:ind w:left="-15" w:firstLine="0"/>
        <w:rPr>
          <w:szCs w:val="24"/>
        </w:rPr>
      </w:pPr>
      <w:r w:rsidRPr="00C73107">
        <w:rPr>
          <w:szCs w:val="24"/>
        </w:rPr>
        <w:t>Zmiany w art. 2 (słowniczek) polegają na zdefiniowaniu pojęć niezbędnych dla implementacji SGD i DCD, a w konsekwencji efektywnego stosowania nowych przepisów krajowych. Na marginesie należy wskazać, iż część definicji wskazanych w dyrektywach już funkcjonował</w:t>
      </w:r>
      <w:r w:rsidR="00756F03" w:rsidRPr="00C73107">
        <w:rPr>
          <w:szCs w:val="24"/>
        </w:rPr>
        <w:t>a</w:t>
      </w:r>
      <w:r w:rsidRPr="00C73107">
        <w:rPr>
          <w:szCs w:val="24"/>
        </w:rPr>
        <w:t xml:space="preserve"> w polskim porządku prawnym, np. definicja treści cyfrowej czy trwałego nośnika. Zdecydowana większość z nich będzie miała zastosowanie zasadniczo do umów o</w:t>
      </w:r>
      <w:r w:rsidR="00C73107" w:rsidRPr="00C73107">
        <w:rPr>
          <w:szCs w:val="24"/>
        </w:rPr>
        <w:t xml:space="preserve"> </w:t>
      </w:r>
      <w:r w:rsidRPr="00C73107">
        <w:rPr>
          <w:szCs w:val="24"/>
        </w:rPr>
        <w:t>dostarczanie treści cyfrowej i usługi cyfrowej (z wyjątkiem sytuacji „granicznych”</w:t>
      </w:r>
      <w:r w:rsidR="0013374A">
        <w:rPr>
          <w:szCs w:val="24"/>
        </w:rPr>
        <w:t>,</w:t>
      </w:r>
      <w:r w:rsidRPr="00C73107">
        <w:rPr>
          <w:szCs w:val="24"/>
        </w:rPr>
        <w:t xml:space="preserve"> tzn.</w:t>
      </w:r>
      <w:r w:rsidR="00C73107" w:rsidRPr="00C73107">
        <w:rPr>
          <w:szCs w:val="24"/>
        </w:rPr>
        <w:t xml:space="preserve"> </w:t>
      </w:r>
      <w:r w:rsidRPr="00C73107">
        <w:rPr>
          <w:szCs w:val="24"/>
        </w:rPr>
        <w:t>w</w:t>
      </w:r>
      <w:r w:rsidR="00C73107" w:rsidRPr="00C73107">
        <w:rPr>
          <w:szCs w:val="24"/>
        </w:rPr>
        <w:t xml:space="preserve"> </w:t>
      </w:r>
      <w:r w:rsidRPr="00C73107">
        <w:rPr>
          <w:szCs w:val="24"/>
        </w:rPr>
        <w:t>odniesieniu np. do sprzedaży towarów z wbudowanymi treściami cyfrowymi). W</w:t>
      </w:r>
      <w:r w:rsidR="00C73107" w:rsidRPr="00C73107">
        <w:rPr>
          <w:szCs w:val="24"/>
        </w:rPr>
        <w:t xml:space="preserve"> </w:t>
      </w:r>
      <w:r w:rsidRPr="00C73107">
        <w:rPr>
          <w:szCs w:val="24"/>
        </w:rPr>
        <w:t>słowniczku ustawodawca nie definiuje pojęć, które funkcjonują już w polskim porządku prawnym, a które znajdą zastosowanie do implementowanych dyrektyw cyfrowej, jak</w:t>
      </w:r>
      <w:r w:rsidR="00C73107" w:rsidRPr="00C73107">
        <w:rPr>
          <w:szCs w:val="24"/>
        </w:rPr>
        <w:t xml:space="preserve"> </w:t>
      </w:r>
      <w:r w:rsidRPr="00C73107">
        <w:rPr>
          <w:szCs w:val="24"/>
        </w:rPr>
        <w:t>i</w:t>
      </w:r>
      <w:r w:rsidR="00C73107" w:rsidRPr="00C73107">
        <w:rPr>
          <w:szCs w:val="24"/>
        </w:rPr>
        <w:t xml:space="preserve"> </w:t>
      </w:r>
      <w:r w:rsidRPr="00C73107">
        <w:rPr>
          <w:szCs w:val="24"/>
        </w:rPr>
        <w:t>towarowej, jak np. chociażby definicja przedsiębiorcy, którego należy rozumieć i</w:t>
      </w:r>
      <w:r w:rsidR="00C73107" w:rsidRPr="00C73107">
        <w:rPr>
          <w:szCs w:val="24"/>
        </w:rPr>
        <w:t xml:space="preserve"> </w:t>
      </w:r>
      <w:r w:rsidRPr="00C73107">
        <w:rPr>
          <w:szCs w:val="24"/>
        </w:rPr>
        <w:t>definiować przez pryzmat definicji funkcjonującej na gruncie Kodeksu cywilnego. Dokonując implementacji SGD w</w:t>
      </w:r>
      <w:r w:rsidR="00C73107" w:rsidRPr="00C73107">
        <w:rPr>
          <w:szCs w:val="24"/>
        </w:rPr>
        <w:t xml:space="preserve"> </w:t>
      </w:r>
      <w:r w:rsidRPr="00C73107">
        <w:rPr>
          <w:szCs w:val="24"/>
        </w:rPr>
        <w:t xml:space="preserve">ustawie </w:t>
      </w:r>
      <w:r w:rsidR="00234666" w:rsidRPr="00C73107">
        <w:rPr>
          <w:szCs w:val="24"/>
        </w:rPr>
        <w:t>z</w:t>
      </w:r>
      <w:r w:rsidR="00234666">
        <w:rPr>
          <w:szCs w:val="24"/>
        </w:rPr>
        <w:t> </w:t>
      </w:r>
      <w:r w:rsidRPr="00C73107">
        <w:rPr>
          <w:szCs w:val="24"/>
        </w:rPr>
        <w:t>dnia 30 maja 2014 r. o prawach konsumenta</w:t>
      </w:r>
      <w:r w:rsidR="0013374A">
        <w:rPr>
          <w:szCs w:val="24"/>
        </w:rPr>
        <w:t>,</w:t>
      </w:r>
      <w:r w:rsidRPr="00C73107">
        <w:rPr>
          <w:szCs w:val="24"/>
        </w:rPr>
        <w:t xml:space="preserve"> przyjęto definicję umów zobowiązujących do przeniesienia własności towaru określoną w art. 6 </w:t>
      </w:r>
      <w:proofErr w:type="spellStart"/>
      <w:r w:rsidRPr="00C73107">
        <w:rPr>
          <w:szCs w:val="24"/>
        </w:rPr>
        <w:t>u.p.k</w:t>
      </w:r>
      <w:proofErr w:type="spellEnd"/>
      <w:r w:rsidRPr="00C73107">
        <w:rPr>
          <w:szCs w:val="24"/>
        </w:rPr>
        <w:t>. Celem takiego zabiegu była potrzeba uniknięcia sporów i wątpliwości</w:t>
      </w:r>
      <w:r w:rsidR="00756F03" w:rsidRPr="00C73107">
        <w:rPr>
          <w:szCs w:val="24"/>
        </w:rPr>
        <w:t>,</w:t>
      </w:r>
      <w:r w:rsidRPr="00C73107">
        <w:rPr>
          <w:szCs w:val="24"/>
        </w:rPr>
        <w:t xml:space="preserve"> co do tego, czy także do innych umów przenoszących własność (np. umowy o dzieło, która może również być umową sprzedaży w</w:t>
      </w:r>
      <w:r w:rsidR="00C73107" w:rsidRPr="00C73107">
        <w:rPr>
          <w:szCs w:val="24"/>
        </w:rPr>
        <w:t xml:space="preserve"> </w:t>
      </w:r>
      <w:r w:rsidRPr="00C73107">
        <w:rPr>
          <w:szCs w:val="24"/>
        </w:rPr>
        <w:t xml:space="preserve">rozumieniu SGD) stosuje się nowo projektowane przepisy. Co więcej, zakres stosowania SGD jednoznacznie wskazuje, iż dyrektywa ta obejmuje sprzedaż towarów (art. 3 ust. 1 dyrektywy). </w:t>
      </w:r>
    </w:p>
    <w:p w14:paraId="6102E005" w14:textId="0F6BA4E4" w:rsidR="00DC1D02" w:rsidRPr="00307623" w:rsidRDefault="000160D8" w:rsidP="009851D9">
      <w:pPr>
        <w:spacing w:before="120" w:after="0" w:line="360" w:lineRule="auto"/>
        <w:ind w:left="-15" w:firstLine="0"/>
        <w:rPr>
          <w:szCs w:val="24"/>
        </w:rPr>
      </w:pPr>
      <w:r w:rsidRPr="00F82CDE">
        <w:rPr>
          <w:szCs w:val="24"/>
        </w:rPr>
        <w:t>Zmiana w art. 3 ustawy dotyczy doprecyzowania zakresu regulacji w odniesieniu do umów, wskutek których konsument zobowiązuje się do dostarczenia danych osobowych. Jednocześnie, wobec szerokiego określenia zakresu stosowania ustawy w art. 1, zgodnie z</w:t>
      </w:r>
      <w:r w:rsidR="00C73107" w:rsidRPr="00F82CDE">
        <w:rPr>
          <w:szCs w:val="24"/>
        </w:rPr>
        <w:t xml:space="preserve"> </w:t>
      </w:r>
      <w:r w:rsidRPr="00B64EF9">
        <w:rPr>
          <w:szCs w:val="24"/>
        </w:rPr>
        <w:t xml:space="preserve">którym ustawa ma zastosowanie do wszystkich umów z udziałem konsumentów, </w:t>
      </w:r>
      <w:r w:rsidR="008B1B38">
        <w:rPr>
          <w:szCs w:val="24"/>
        </w:rPr>
        <w:t>nie ma</w:t>
      </w:r>
      <w:r w:rsidR="008B1B38" w:rsidRPr="00B64EF9">
        <w:rPr>
          <w:szCs w:val="24"/>
        </w:rPr>
        <w:t xml:space="preserve"> </w:t>
      </w:r>
      <w:r w:rsidRPr="00B64EF9">
        <w:rPr>
          <w:szCs w:val="24"/>
        </w:rPr>
        <w:t>potrzeby określenia wprost, iż ustawa ma zastosowanie do umów</w:t>
      </w:r>
      <w:r w:rsidR="00AF1AC2" w:rsidRPr="00B64EF9">
        <w:rPr>
          <w:szCs w:val="24"/>
        </w:rPr>
        <w:t>,</w:t>
      </w:r>
      <w:r w:rsidRPr="00307623">
        <w:rPr>
          <w:szCs w:val="24"/>
        </w:rPr>
        <w:t xml:space="preserve"> na mocy których konsument zobowiązuje się do dostarczenia danych osobowych. </w:t>
      </w:r>
    </w:p>
    <w:p w14:paraId="46591887" w14:textId="7538E180" w:rsidR="00DC1D02" w:rsidRPr="009851D9" w:rsidRDefault="000160D8" w:rsidP="009851D9">
      <w:pPr>
        <w:spacing w:before="120" w:after="0" w:line="360" w:lineRule="auto"/>
        <w:ind w:left="-15" w:firstLine="0"/>
        <w:rPr>
          <w:szCs w:val="24"/>
        </w:rPr>
      </w:pPr>
      <w:r w:rsidRPr="00307623">
        <w:rPr>
          <w:szCs w:val="24"/>
        </w:rPr>
        <w:t xml:space="preserve">Zmiany w art. 6 </w:t>
      </w:r>
      <w:proofErr w:type="spellStart"/>
      <w:r w:rsidRPr="00307623">
        <w:rPr>
          <w:szCs w:val="24"/>
        </w:rPr>
        <w:t>u.p.k</w:t>
      </w:r>
      <w:proofErr w:type="spellEnd"/>
      <w:r w:rsidRPr="00307623">
        <w:rPr>
          <w:szCs w:val="24"/>
        </w:rPr>
        <w:t>. służą uregulowaniu kwestii rozgraniczenia między zakresem stosowania SGD i DCD, co ma szczególne znacz</w:t>
      </w:r>
      <w:r w:rsidR="0013374A">
        <w:rPr>
          <w:szCs w:val="24"/>
        </w:rPr>
        <w:t>e</w:t>
      </w:r>
      <w:r w:rsidRPr="00307623">
        <w:rPr>
          <w:szCs w:val="24"/>
        </w:rPr>
        <w:t>nie w przypadku treści cyfrowej lub usługi cyfrowej, które są dostarczane wraz z towarami na podstawie umowy sprzedaży, niezależnie od tego, czy taka treść cyfrowa lub usługa jest dostarczana przez tego samego sprzedawcę czy też przez osobę trzecią. Dotychczasowe brzmienie artykułu oznaczono</w:t>
      </w:r>
      <w:r w:rsidRPr="00DB65ED">
        <w:rPr>
          <w:szCs w:val="24"/>
        </w:rPr>
        <w:t xml:space="preserve"> jako ust. 1</w:t>
      </w:r>
      <w:r w:rsidR="00AF1AC2" w:rsidRPr="00DB65ED">
        <w:rPr>
          <w:szCs w:val="24"/>
        </w:rPr>
        <w:t>,</w:t>
      </w:r>
      <w:r w:rsidRPr="00DB65ED">
        <w:rPr>
          <w:szCs w:val="24"/>
        </w:rPr>
        <w:t xml:space="preserve"> zamieniając pojęcie </w:t>
      </w:r>
      <w:r w:rsidRPr="00DB65ED">
        <w:rPr>
          <w:szCs w:val="24"/>
        </w:rPr>
        <w:lastRenderedPageBreak/>
        <w:t>„rzecz” na „towar” w celu zachowania spójności z nomenklaturą SGD. Natomiast ust. 2 i 3 stanowią implementację tożsamych treściowo art. 3 ust. 3 SGD i art. 3 ust. 4 DCD. W tym mi</w:t>
      </w:r>
      <w:r w:rsidRPr="009851D9">
        <w:rPr>
          <w:szCs w:val="24"/>
        </w:rPr>
        <w:t xml:space="preserve">ejscu warto wskazać na treść nowo projektowanego ust. 3 art. 6 </w:t>
      </w:r>
      <w:proofErr w:type="spellStart"/>
      <w:r w:rsidRPr="009851D9">
        <w:rPr>
          <w:szCs w:val="24"/>
        </w:rPr>
        <w:t>u.p.k</w:t>
      </w:r>
      <w:proofErr w:type="spellEnd"/>
      <w:r w:rsidRPr="009851D9">
        <w:rPr>
          <w:szCs w:val="24"/>
        </w:rPr>
        <w:t xml:space="preserve">., który stanowi szczególną i jednocześnie przesądzającą normę kolizyjną. </w:t>
      </w:r>
    </w:p>
    <w:p w14:paraId="220E6E89" w14:textId="05ED7226" w:rsidR="00765038" w:rsidRPr="009851D9" w:rsidRDefault="000160D8" w:rsidP="009851D9">
      <w:pPr>
        <w:spacing w:before="120" w:after="0" w:line="360" w:lineRule="auto"/>
        <w:ind w:left="-17" w:firstLine="0"/>
        <w:rPr>
          <w:szCs w:val="24"/>
        </w:rPr>
      </w:pPr>
      <w:r w:rsidRPr="009851D9">
        <w:rPr>
          <w:szCs w:val="24"/>
        </w:rPr>
        <w:t xml:space="preserve">Do nowo wprowadzanych przepisów implementujących SGD i DCD do polskiego porządku prawnego </w:t>
      </w:r>
      <w:r w:rsidR="00AF1AC2" w:rsidRPr="009851D9">
        <w:rPr>
          <w:szCs w:val="24"/>
        </w:rPr>
        <w:t xml:space="preserve">znajdzie </w:t>
      </w:r>
      <w:r w:rsidRPr="009851D9">
        <w:rPr>
          <w:szCs w:val="24"/>
        </w:rPr>
        <w:t>zastosowanie przepis art. 7a ustawy</w:t>
      </w:r>
      <w:r w:rsidR="00AF1AC2" w:rsidRPr="009851D9">
        <w:rPr>
          <w:szCs w:val="24"/>
        </w:rPr>
        <w:t xml:space="preserve"> </w:t>
      </w:r>
      <w:bookmarkStart w:id="3" w:name="_Hlk96348570"/>
      <w:r w:rsidR="00AF1AC2" w:rsidRPr="009851D9">
        <w:rPr>
          <w:szCs w:val="24"/>
        </w:rPr>
        <w:t>z dnia 30 maja 2014 r.</w:t>
      </w:r>
      <w:bookmarkEnd w:id="3"/>
      <w:r w:rsidRPr="009851D9">
        <w:rPr>
          <w:szCs w:val="24"/>
        </w:rPr>
        <w:t xml:space="preserve"> o prawach konsumenta jako przepis ogólny dotyczący terminów rozpatrywania reklamacji. Ponadto dodano do ustawy </w:t>
      </w:r>
      <w:r w:rsidR="0067562F" w:rsidRPr="009851D9">
        <w:rPr>
          <w:szCs w:val="24"/>
        </w:rPr>
        <w:t xml:space="preserve">z dnia 30 maja 2014 r. </w:t>
      </w:r>
      <w:r w:rsidRPr="009851D9">
        <w:rPr>
          <w:szCs w:val="24"/>
        </w:rPr>
        <w:t xml:space="preserve">o prawach konsumenta art. </w:t>
      </w:r>
      <w:r w:rsidR="00170CB7" w:rsidRPr="009851D9">
        <w:rPr>
          <w:szCs w:val="24"/>
        </w:rPr>
        <w:t>7</w:t>
      </w:r>
      <w:r w:rsidR="00826C55">
        <w:rPr>
          <w:szCs w:val="24"/>
        </w:rPr>
        <w:t>c</w:t>
      </w:r>
      <w:r w:rsidR="00170CB7" w:rsidRPr="009851D9">
        <w:rPr>
          <w:szCs w:val="24"/>
        </w:rPr>
        <w:t xml:space="preserve"> </w:t>
      </w:r>
      <w:r w:rsidRPr="009851D9">
        <w:rPr>
          <w:szCs w:val="24"/>
        </w:rPr>
        <w:t xml:space="preserve">zawierający normę dotychczas zawartą w art. 38a </w:t>
      </w:r>
      <w:proofErr w:type="spellStart"/>
      <w:r w:rsidRPr="009851D9">
        <w:rPr>
          <w:szCs w:val="24"/>
        </w:rPr>
        <w:t>u.p.k</w:t>
      </w:r>
      <w:proofErr w:type="spellEnd"/>
      <w:r w:rsidRPr="009851D9">
        <w:rPr>
          <w:szCs w:val="24"/>
        </w:rPr>
        <w:t>. oraz normę analogiczną do art. 556</w:t>
      </w:r>
      <w:r w:rsidRPr="009851D9">
        <w:rPr>
          <w:szCs w:val="24"/>
          <w:vertAlign w:val="superscript"/>
        </w:rPr>
        <w:t>4</w:t>
      </w:r>
      <w:r w:rsidRPr="009851D9">
        <w:rPr>
          <w:szCs w:val="24"/>
        </w:rPr>
        <w:t xml:space="preserve"> k.c.</w:t>
      </w:r>
      <w:r w:rsidR="003C71F8" w:rsidRPr="009851D9">
        <w:rPr>
          <w:szCs w:val="24"/>
        </w:rPr>
        <w:t>,</w:t>
      </w:r>
      <w:r w:rsidRPr="009851D9">
        <w:rPr>
          <w:szCs w:val="24"/>
        </w:rPr>
        <w:t xml:space="preserve"> tj.</w:t>
      </w:r>
      <w:r w:rsidR="00C73107" w:rsidRPr="009851D9">
        <w:rPr>
          <w:szCs w:val="24"/>
        </w:rPr>
        <w:t xml:space="preserve"> </w:t>
      </w:r>
      <w:r w:rsidRPr="009851D9">
        <w:rPr>
          <w:szCs w:val="24"/>
        </w:rPr>
        <w:t xml:space="preserve">rozszerzający ochronę przyznaną konsumentom na osobę fizyczną zawierającą umowę bezpośrednio związaną z jej działalnością gospodarczą, gdy z treści tej umowy wynika, że nie posiada ona dla tej osoby charakteru zawodowego, wynikającego w szczególności z przedmiotu wykonywanej przez nią działalności gospodarczej udostępnionego na podstawie przepisów </w:t>
      </w:r>
      <w:r w:rsidR="00234666" w:rsidRPr="009851D9">
        <w:rPr>
          <w:szCs w:val="24"/>
        </w:rPr>
        <w:t>o</w:t>
      </w:r>
      <w:r w:rsidR="00234666">
        <w:rPr>
          <w:szCs w:val="24"/>
        </w:rPr>
        <w:t> </w:t>
      </w:r>
      <w:r w:rsidRPr="009851D9">
        <w:rPr>
          <w:szCs w:val="24"/>
        </w:rPr>
        <w:t>Centralnej Ewidencji i Informacji o Działalności Gospodarczej.</w:t>
      </w:r>
    </w:p>
    <w:p w14:paraId="630EBE6B" w14:textId="0140CCBD" w:rsidR="00DC1D02" w:rsidRPr="009851D9" w:rsidRDefault="00765038" w:rsidP="009851D9">
      <w:pPr>
        <w:spacing w:before="120" w:after="0" w:line="360" w:lineRule="auto"/>
        <w:ind w:left="-17" w:firstLine="0"/>
        <w:rPr>
          <w:szCs w:val="24"/>
        </w:rPr>
      </w:pPr>
      <w:r w:rsidRPr="009851D9">
        <w:rPr>
          <w:szCs w:val="24"/>
        </w:rPr>
        <w:t xml:space="preserve">Ogólny charakter </w:t>
      </w:r>
      <w:r w:rsidR="006113D6" w:rsidRPr="009851D9">
        <w:rPr>
          <w:szCs w:val="24"/>
        </w:rPr>
        <w:t>posiadają</w:t>
      </w:r>
      <w:r w:rsidRPr="009851D9">
        <w:rPr>
          <w:szCs w:val="24"/>
        </w:rPr>
        <w:t xml:space="preserve"> także </w:t>
      </w:r>
      <w:r w:rsidR="006113D6" w:rsidRPr="009851D9">
        <w:rPr>
          <w:szCs w:val="24"/>
        </w:rPr>
        <w:t xml:space="preserve">ujednolicające </w:t>
      </w:r>
      <w:r w:rsidRPr="009851D9">
        <w:rPr>
          <w:szCs w:val="24"/>
        </w:rPr>
        <w:t>zmiany zawarte w art. 1 pkt 7</w:t>
      </w:r>
      <w:r w:rsidR="006113D6" w:rsidRPr="009851D9">
        <w:rPr>
          <w:szCs w:val="24"/>
        </w:rPr>
        <w:t xml:space="preserve"> i 10</w:t>
      </w:r>
      <w:r w:rsidR="00C73107" w:rsidRPr="009851D9">
        <w:rPr>
          <w:szCs w:val="24"/>
        </w:rPr>
        <w:t>–</w:t>
      </w:r>
      <w:r w:rsidR="006113D6" w:rsidRPr="009851D9">
        <w:rPr>
          <w:szCs w:val="24"/>
        </w:rPr>
        <w:t>11 projektu,</w:t>
      </w:r>
      <w:r w:rsidRPr="009851D9">
        <w:rPr>
          <w:szCs w:val="24"/>
        </w:rPr>
        <w:t xml:space="preserve"> </w:t>
      </w:r>
      <w:r w:rsidR="006113D6" w:rsidRPr="009851D9">
        <w:rPr>
          <w:szCs w:val="24"/>
        </w:rPr>
        <w:t xml:space="preserve">tj. zmiany terminologii </w:t>
      </w:r>
      <w:r w:rsidRPr="009851D9">
        <w:rPr>
          <w:szCs w:val="24"/>
        </w:rPr>
        <w:t xml:space="preserve">w obrębie rozdziałów 3 i 4 </w:t>
      </w:r>
      <w:proofErr w:type="spellStart"/>
      <w:r w:rsidRPr="009851D9">
        <w:rPr>
          <w:szCs w:val="24"/>
        </w:rPr>
        <w:t>u.p.k</w:t>
      </w:r>
      <w:proofErr w:type="spellEnd"/>
      <w:r w:rsidRPr="009851D9">
        <w:rPr>
          <w:szCs w:val="24"/>
        </w:rPr>
        <w:t>. oraz w zakresie załączników do tejże ustawy. Polegają one na z</w:t>
      </w:r>
      <w:r w:rsidR="006113D6" w:rsidRPr="009851D9">
        <w:rPr>
          <w:szCs w:val="24"/>
        </w:rPr>
        <w:t>a</w:t>
      </w:r>
      <w:r w:rsidRPr="009851D9">
        <w:rPr>
          <w:szCs w:val="24"/>
        </w:rPr>
        <w:t xml:space="preserve">mianie użytych w ustawie załącznikach wyrazów „rzecz” na „towar”. Mają one na celu zachowanie spójności terminologicznej </w:t>
      </w:r>
      <w:proofErr w:type="spellStart"/>
      <w:r w:rsidRPr="009851D9">
        <w:rPr>
          <w:szCs w:val="24"/>
        </w:rPr>
        <w:t>u.p.k</w:t>
      </w:r>
      <w:proofErr w:type="spellEnd"/>
      <w:r w:rsidRPr="009851D9">
        <w:rPr>
          <w:szCs w:val="24"/>
        </w:rPr>
        <w:t>. i doprowadzenie do sytuacji, w której przepisy implementujące dyrektywę Parlamentu Europejskiego i Rady 2011/83/UE z dnia 25 października 2011 r. w</w:t>
      </w:r>
      <w:r w:rsidR="00C73107" w:rsidRPr="009851D9">
        <w:rPr>
          <w:szCs w:val="24"/>
        </w:rPr>
        <w:t xml:space="preserve"> </w:t>
      </w:r>
      <w:r w:rsidRPr="009851D9">
        <w:rPr>
          <w:szCs w:val="24"/>
        </w:rPr>
        <w:t>sprawie praw konsumentów</w:t>
      </w:r>
      <w:r w:rsidRPr="009851D9">
        <w:rPr>
          <w:szCs w:val="24"/>
          <w:vertAlign w:val="superscript"/>
        </w:rPr>
        <w:t xml:space="preserve"> </w:t>
      </w:r>
      <w:r w:rsidRPr="009851D9">
        <w:rPr>
          <w:szCs w:val="24"/>
        </w:rPr>
        <w:t>będą posługiwały się stosowanym przez tenże akt prawa UE pojęciem towaru</w:t>
      </w:r>
      <w:r w:rsidR="006113D6" w:rsidRPr="009851D9">
        <w:rPr>
          <w:szCs w:val="24"/>
        </w:rPr>
        <w:t xml:space="preserve"> i będą spójne z terminologi</w:t>
      </w:r>
      <w:r w:rsidR="0050695A" w:rsidRPr="009851D9">
        <w:rPr>
          <w:szCs w:val="24"/>
        </w:rPr>
        <w:t>ą</w:t>
      </w:r>
      <w:r w:rsidR="006113D6" w:rsidRPr="009851D9">
        <w:rPr>
          <w:szCs w:val="24"/>
        </w:rPr>
        <w:t xml:space="preserve"> stosowaną przez ustawodawcę w niniejszym akcie prawnym</w:t>
      </w:r>
      <w:r w:rsidR="007655C7" w:rsidRPr="009851D9">
        <w:rPr>
          <w:szCs w:val="24"/>
        </w:rPr>
        <w:t xml:space="preserve">. </w:t>
      </w:r>
    </w:p>
    <w:p w14:paraId="47AC04BC" w14:textId="07DE2F4D" w:rsidR="00DC1D02" w:rsidRPr="009851D9" w:rsidRDefault="000160D8" w:rsidP="009851D9">
      <w:pPr>
        <w:pStyle w:val="Nagwek1"/>
        <w:tabs>
          <w:tab w:val="left" w:pos="567"/>
        </w:tabs>
        <w:spacing w:before="120" w:after="0" w:line="360" w:lineRule="auto"/>
        <w:ind w:left="0" w:firstLine="0"/>
        <w:rPr>
          <w:szCs w:val="24"/>
        </w:rPr>
      </w:pPr>
      <w:r w:rsidRPr="009851D9">
        <w:rPr>
          <w:szCs w:val="24"/>
        </w:rPr>
        <w:t>IV.</w:t>
      </w:r>
      <w:r w:rsidRPr="009851D9">
        <w:rPr>
          <w:szCs w:val="24"/>
        </w:rPr>
        <w:tab/>
        <w:t xml:space="preserve">Rękojmia i gwarancja konsumencka (rozdział 5a ustawy </w:t>
      </w:r>
      <w:r w:rsidR="0067562F" w:rsidRPr="009851D9">
        <w:rPr>
          <w:szCs w:val="24"/>
        </w:rPr>
        <w:t xml:space="preserve">z dnia 30 maja 2014 r. </w:t>
      </w:r>
      <w:r w:rsidR="00234666" w:rsidRPr="009851D9">
        <w:rPr>
          <w:szCs w:val="24"/>
        </w:rPr>
        <w:t>o</w:t>
      </w:r>
      <w:r w:rsidR="00234666">
        <w:rPr>
          <w:szCs w:val="24"/>
        </w:rPr>
        <w:t> </w:t>
      </w:r>
      <w:r w:rsidRPr="009851D9">
        <w:rPr>
          <w:szCs w:val="24"/>
        </w:rPr>
        <w:t xml:space="preserve">prawach konsumenta) </w:t>
      </w:r>
    </w:p>
    <w:p w14:paraId="2D3E6F6C" w14:textId="5D241638" w:rsidR="00DC1D02" w:rsidRPr="009851D9" w:rsidRDefault="000160D8" w:rsidP="009851D9">
      <w:pPr>
        <w:spacing w:before="120" w:after="0" w:line="360" w:lineRule="auto"/>
        <w:ind w:left="-15" w:firstLine="0"/>
        <w:rPr>
          <w:szCs w:val="24"/>
        </w:rPr>
      </w:pPr>
      <w:r w:rsidRPr="009851D9">
        <w:rPr>
          <w:szCs w:val="24"/>
        </w:rPr>
        <w:t>Rozdziałem 5a dokonuje się implementacji SGD. Nowo wprowadzone przepisy przewidują wyłączenie stosowania przepisów Kodeksu cywilnego o rękojmi przy sprzedaży w</w:t>
      </w:r>
      <w:r w:rsidR="00C73107" w:rsidRPr="009851D9">
        <w:rPr>
          <w:szCs w:val="24"/>
        </w:rPr>
        <w:t xml:space="preserve"> </w:t>
      </w:r>
      <w:r w:rsidRPr="009851D9">
        <w:rPr>
          <w:szCs w:val="24"/>
        </w:rPr>
        <w:t>stosunku do konsumentów (art. 43a</w:t>
      </w:r>
      <w:r w:rsidR="00050DC9" w:rsidRPr="009851D9">
        <w:rPr>
          <w:szCs w:val="24"/>
        </w:rPr>
        <w:t xml:space="preserve"> ust.</w:t>
      </w:r>
      <w:r w:rsidR="00D351DA">
        <w:rPr>
          <w:szCs w:val="24"/>
        </w:rPr>
        <w:t xml:space="preserve"> </w:t>
      </w:r>
      <w:r w:rsidR="00050DC9" w:rsidRPr="009851D9">
        <w:rPr>
          <w:szCs w:val="24"/>
        </w:rPr>
        <w:t>1</w:t>
      </w:r>
      <w:r w:rsidRPr="009851D9">
        <w:rPr>
          <w:szCs w:val="24"/>
        </w:rPr>
        <w:t>) i odrębne uregulowanie tej materii. W tym miejscu należy po</w:t>
      </w:r>
      <w:r w:rsidR="009D3401">
        <w:rPr>
          <w:szCs w:val="24"/>
        </w:rPr>
        <w:t>d</w:t>
      </w:r>
      <w:r w:rsidRPr="009851D9">
        <w:rPr>
          <w:szCs w:val="24"/>
        </w:rPr>
        <w:t xml:space="preserve">kreślić, iż przyjęcie zaproponowanego tytułu </w:t>
      </w:r>
      <w:r w:rsidR="00050AB4">
        <w:rPr>
          <w:szCs w:val="24"/>
        </w:rPr>
        <w:t>r</w:t>
      </w:r>
      <w:r w:rsidRPr="009851D9">
        <w:rPr>
          <w:szCs w:val="24"/>
        </w:rPr>
        <w:t xml:space="preserve">ozdziału 5a wynika z potrzeby uregulowania w sposób szczególny zasad rękojmi i gwarancji przy sprzedaży konsumenckiej. Przepisy nie posługują się pojęciem rękojmi, ale pozostawiono to pojęcie w tytule rozdziału celem podkreślenia analogii do odpowiednich przepisów Kodeksu cywilnego. Podkreślić przy tym należy, iż zgodność towaru z umową (jej brak) nie jest czymś analogicznym do rękojmi, lecz </w:t>
      </w:r>
      <w:r w:rsidRPr="009851D9">
        <w:rPr>
          <w:szCs w:val="24"/>
        </w:rPr>
        <w:lastRenderedPageBreak/>
        <w:t>przesłanką skorzystania z niej. Z tego względu określenie tytułu rozdziału</w:t>
      </w:r>
      <w:r w:rsidR="0067562F" w:rsidRPr="009851D9">
        <w:rPr>
          <w:szCs w:val="24"/>
        </w:rPr>
        <w:t>,</w:t>
      </w:r>
      <w:r w:rsidRPr="009851D9">
        <w:rPr>
          <w:szCs w:val="24"/>
        </w:rPr>
        <w:t xml:space="preserve"> jako odnoszącego się do zgodności towaru z umową (jej braku)</w:t>
      </w:r>
      <w:r w:rsidR="0067562F" w:rsidRPr="009851D9">
        <w:rPr>
          <w:szCs w:val="24"/>
        </w:rPr>
        <w:t>,</w:t>
      </w:r>
      <w:r w:rsidRPr="009851D9">
        <w:rPr>
          <w:szCs w:val="24"/>
        </w:rPr>
        <w:t xml:space="preserve"> byłoby nieadekwatne. </w:t>
      </w:r>
    </w:p>
    <w:p w14:paraId="2AC7FF85" w14:textId="4696EC9D" w:rsidR="00D768AE" w:rsidRPr="00C73107" w:rsidRDefault="000160D8" w:rsidP="009851D9">
      <w:pPr>
        <w:spacing w:before="120" w:after="0" w:line="360" w:lineRule="auto"/>
        <w:ind w:left="-15" w:firstLine="0"/>
        <w:rPr>
          <w:bCs/>
          <w:color w:val="auto"/>
          <w:szCs w:val="24"/>
        </w:rPr>
      </w:pPr>
      <w:r w:rsidRPr="009851D9">
        <w:rPr>
          <w:szCs w:val="24"/>
        </w:rPr>
        <w:t>W tym miejscu należy również zaznaczyć, że wobec niestosowania w obrocie konsumenckim przepisów k.c. o rękojmi i braku odrębnego uregulowania tej kwestii w projektowanych przepisach, termin przedawnienia roszczenia konsumenta będzie określany na zasadach ogólnych (art. 118 i n. k.c.), które są znacznie korzystniejsze dla nabywcy, niż zawarte w k.c. przepisy szczególne dotyczące przedawnienia roszczeń z rękojmi (art. 568 § 2 k.c.)</w:t>
      </w:r>
      <w:r w:rsidR="00170CB7" w:rsidRPr="009851D9">
        <w:rPr>
          <w:szCs w:val="24"/>
        </w:rPr>
        <w:t>.</w:t>
      </w:r>
      <w:r w:rsidR="0035750E" w:rsidRPr="009851D9">
        <w:rPr>
          <w:szCs w:val="24"/>
        </w:rPr>
        <w:t xml:space="preserve"> </w:t>
      </w:r>
      <w:bookmarkStart w:id="4" w:name="_Hlk104374618"/>
      <w:r w:rsidR="0035750E" w:rsidRPr="00C73107">
        <w:rPr>
          <w:bCs/>
          <w:color w:val="auto"/>
          <w:szCs w:val="24"/>
        </w:rPr>
        <w:t>Posłużenie się ogólnymi terminami przedawnienia takich roszczeń pozwoli zagwarantować odpowiedni poziom ochrony konsumenta, przyczyniając się do ograniczania wprowadzania na polski rynek towarów wadliwych, jak i do zmotywowania sprzedawców towarów do sprawnej realizacji zgłoszeń dotyczących wadliwości towaru. Równocześnie</w:t>
      </w:r>
      <w:r w:rsidR="005333D5" w:rsidRPr="00C73107">
        <w:rPr>
          <w:bCs/>
          <w:color w:val="auto"/>
          <w:szCs w:val="24"/>
        </w:rPr>
        <w:t xml:space="preserve"> zastosowane rozwiązanie pozwoli</w:t>
      </w:r>
      <w:r w:rsidR="0050695A" w:rsidRPr="00C73107">
        <w:rPr>
          <w:bCs/>
          <w:color w:val="auto"/>
          <w:szCs w:val="24"/>
        </w:rPr>
        <w:t>,</w:t>
      </w:r>
      <w:r w:rsidR="005333D5" w:rsidRPr="00C73107">
        <w:rPr>
          <w:bCs/>
          <w:color w:val="auto"/>
          <w:szCs w:val="24"/>
        </w:rPr>
        <w:t xml:space="preserve"> co do zasady</w:t>
      </w:r>
      <w:r w:rsidR="0050695A" w:rsidRPr="00C73107">
        <w:rPr>
          <w:bCs/>
          <w:color w:val="auto"/>
          <w:szCs w:val="24"/>
        </w:rPr>
        <w:t>,</w:t>
      </w:r>
      <w:r w:rsidR="005333D5" w:rsidRPr="00C73107">
        <w:rPr>
          <w:bCs/>
          <w:color w:val="auto"/>
          <w:szCs w:val="24"/>
        </w:rPr>
        <w:t xml:space="preserve"> </w:t>
      </w:r>
      <w:r w:rsidR="0035750E" w:rsidRPr="00C73107">
        <w:rPr>
          <w:bCs/>
          <w:color w:val="auto"/>
          <w:szCs w:val="24"/>
        </w:rPr>
        <w:t>zapobie</w:t>
      </w:r>
      <w:r w:rsidR="005333D5" w:rsidRPr="00C73107">
        <w:rPr>
          <w:bCs/>
          <w:color w:val="auto"/>
          <w:szCs w:val="24"/>
        </w:rPr>
        <w:t>c</w:t>
      </w:r>
      <w:r w:rsidR="0035750E" w:rsidRPr="00C73107">
        <w:rPr>
          <w:bCs/>
          <w:color w:val="auto"/>
          <w:szCs w:val="24"/>
        </w:rPr>
        <w:t xml:space="preserve"> sytuacj</w:t>
      </w:r>
      <w:r w:rsidR="005333D5" w:rsidRPr="00C73107">
        <w:rPr>
          <w:bCs/>
          <w:color w:val="auto"/>
          <w:szCs w:val="24"/>
        </w:rPr>
        <w:t>om</w:t>
      </w:r>
      <w:r w:rsidR="0035750E" w:rsidRPr="00C73107">
        <w:rPr>
          <w:bCs/>
          <w:color w:val="auto"/>
          <w:szCs w:val="24"/>
        </w:rPr>
        <w:t>, w których przedłużające się próby rozstrzygnięcia żądań konsumentów wynikających z braku zgodności towaru z umową</w:t>
      </w:r>
      <w:r w:rsidR="00B1403D" w:rsidRPr="00C73107">
        <w:rPr>
          <w:bCs/>
          <w:color w:val="auto"/>
          <w:szCs w:val="24"/>
        </w:rPr>
        <w:t>,</w:t>
      </w:r>
      <w:r w:rsidR="0035750E" w:rsidRPr="00C73107">
        <w:rPr>
          <w:bCs/>
          <w:color w:val="auto"/>
          <w:szCs w:val="24"/>
        </w:rPr>
        <w:t xml:space="preserve"> </w:t>
      </w:r>
      <w:r w:rsidR="005333D5" w:rsidRPr="00C73107">
        <w:rPr>
          <w:bCs/>
          <w:color w:val="auto"/>
          <w:szCs w:val="24"/>
        </w:rPr>
        <w:t>doprowadziłyby do upływu terminu do skutecznego dochodzenia roszczeń w postępowaniu sądowym. Wynikające z</w:t>
      </w:r>
      <w:r w:rsidR="00B63E40" w:rsidRPr="00C73107">
        <w:rPr>
          <w:bCs/>
          <w:color w:val="auto"/>
          <w:szCs w:val="24"/>
        </w:rPr>
        <w:t xml:space="preserve"> art. 43a ust. 1</w:t>
      </w:r>
      <w:r w:rsidR="005333D5" w:rsidRPr="00C73107">
        <w:rPr>
          <w:bCs/>
          <w:color w:val="auto"/>
          <w:szCs w:val="24"/>
        </w:rPr>
        <w:t xml:space="preserve"> wyłączeni</w:t>
      </w:r>
      <w:r w:rsidR="00D768AE" w:rsidRPr="00C73107">
        <w:rPr>
          <w:bCs/>
          <w:color w:val="auto"/>
          <w:szCs w:val="24"/>
        </w:rPr>
        <w:t>e</w:t>
      </w:r>
      <w:r w:rsidR="005333D5" w:rsidRPr="00C73107">
        <w:rPr>
          <w:bCs/>
          <w:color w:val="auto"/>
          <w:szCs w:val="24"/>
        </w:rPr>
        <w:t xml:space="preserve"> stosowania</w:t>
      </w:r>
      <w:r w:rsidR="00B63E40" w:rsidRPr="00C73107">
        <w:rPr>
          <w:bCs/>
          <w:color w:val="auto"/>
          <w:szCs w:val="24"/>
        </w:rPr>
        <w:t xml:space="preserve"> przepisów działu II tytułu XI księgi trzeciej </w:t>
      </w:r>
      <w:r w:rsidR="00D768AE" w:rsidRPr="00C73107">
        <w:rPr>
          <w:bCs/>
          <w:color w:val="auto"/>
          <w:szCs w:val="24"/>
        </w:rPr>
        <w:t>Kodeksu cywilnego</w:t>
      </w:r>
      <w:r w:rsidR="00B1403D" w:rsidRPr="00C73107">
        <w:rPr>
          <w:bCs/>
          <w:color w:val="auto"/>
          <w:szCs w:val="24"/>
        </w:rPr>
        <w:t xml:space="preserve"> </w:t>
      </w:r>
      <w:r w:rsidR="00D768AE" w:rsidRPr="00C73107">
        <w:rPr>
          <w:bCs/>
          <w:color w:val="auto"/>
          <w:szCs w:val="24"/>
        </w:rPr>
        <w:t xml:space="preserve">skutkuje również brakiem stosowania </w:t>
      </w:r>
      <w:r w:rsidR="005333D5" w:rsidRPr="00C73107">
        <w:rPr>
          <w:bCs/>
          <w:color w:val="auto"/>
          <w:szCs w:val="24"/>
        </w:rPr>
        <w:t xml:space="preserve">art. </w:t>
      </w:r>
      <w:r w:rsidR="00B63E40" w:rsidRPr="00C73107">
        <w:rPr>
          <w:bCs/>
          <w:color w:val="auto"/>
          <w:szCs w:val="24"/>
        </w:rPr>
        <w:t>568 § 2 k.c.</w:t>
      </w:r>
      <w:r w:rsidR="00D768AE" w:rsidRPr="00C73107">
        <w:rPr>
          <w:bCs/>
          <w:color w:val="auto"/>
          <w:szCs w:val="24"/>
        </w:rPr>
        <w:t xml:space="preserve"> względem umów zobowiązujących do przeniesienia na konsumenta własności towaru. W wyniku nowelizacji</w:t>
      </w:r>
      <w:r w:rsidR="00B1403D" w:rsidRPr="00C73107">
        <w:rPr>
          <w:bCs/>
          <w:color w:val="auto"/>
          <w:szCs w:val="24"/>
        </w:rPr>
        <w:t>,</w:t>
      </w:r>
      <w:r w:rsidR="00D768AE" w:rsidRPr="00C73107">
        <w:rPr>
          <w:bCs/>
          <w:color w:val="auto"/>
          <w:szCs w:val="24"/>
        </w:rPr>
        <w:t xml:space="preserve"> termin przedawnienia wszystkich roszczeń </w:t>
      </w:r>
      <w:r w:rsidR="00DB67BB" w:rsidRPr="00C73107">
        <w:rPr>
          <w:bCs/>
          <w:color w:val="auto"/>
          <w:szCs w:val="24"/>
        </w:rPr>
        <w:t xml:space="preserve">konsumenta (realizowanych sekwencyjnie, wedle reguł określonych w art. 43d i </w:t>
      </w:r>
      <w:r w:rsidR="009D3401">
        <w:rPr>
          <w:bCs/>
          <w:color w:val="auto"/>
          <w:szCs w:val="24"/>
        </w:rPr>
        <w:t xml:space="preserve">art. </w:t>
      </w:r>
      <w:r w:rsidR="00DB67BB" w:rsidRPr="00C73107">
        <w:rPr>
          <w:bCs/>
          <w:color w:val="auto"/>
          <w:szCs w:val="24"/>
        </w:rPr>
        <w:t>43e) będzie</w:t>
      </w:r>
      <w:r w:rsidR="00B1403D" w:rsidRPr="00C73107">
        <w:rPr>
          <w:bCs/>
          <w:color w:val="auto"/>
          <w:szCs w:val="24"/>
        </w:rPr>
        <w:t xml:space="preserve"> obecnie</w:t>
      </w:r>
      <w:r w:rsidR="00DB67BB" w:rsidRPr="00C73107">
        <w:rPr>
          <w:bCs/>
          <w:color w:val="auto"/>
          <w:szCs w:val="24"/>
        </w:rPr>
        <w:t xml:space="preserve"> jednolity, a jednocześnie w wyniku jego wydłużenia możliw</w:t>
      </w:r>
      <w:r w:rsidR="009D3401">
        <w:rPr>
          <w:bCs/>
          <w:color w:val="auto"/>
          <w:szCs w:val="24"/>
        </w:rPr>
        <w:t>e</w:t>
      </w:r>
      <w:r w:rsidR="00DB67BB" w:rsidRPr="00C73107">
        <w:rPr>
          <w:bCs/>
          <w:color w:val="auto"/>
          <w:szCs w:val="24"/>
        </w:rPr>
        <w:t xml:space="preserve"> pozostaje wpłyni</w:t>
      </w:r>
      <w:r w:rsidR="009D3401">
        <w:rPr>
          <w:bCs/>
          <w:color w:val="auto"/>
          <w:szCs w:val="24"/>
        </w:rPr>
        <w:t>ę</w:t>
      </w:r>
      <w:r w:rsidR="00DB67BB" w:rsidRPr="00C73107">
        <w:rPr>
          <w:bCs/>
          <w:color w:val="auto"/>
          <w:szCs w:val="24"/>
        </w:rPr>
        <w:t xml:space="preserve">cie na producentów </w:t>
      </w:r>
      <w:r w:rsidR="00B1403D" w:rsidRPr="00C73107">
        <w:rPr>
          <w:bCs/>
          <w:color w:val="auto"/>
          <w:szCs w:val="24"/>
        </w:rPr>
        <w:t>i w</w:t>
      </w:r>
      <w:r w:rsidR="00DB67BB" w:rsidRPr="00C73107">
        <w:rPr>
          <w:bCs/>
          <w:color w:val="auto"/>
          <w:szCs w:val="24"/>
        </w:rPr>
        <w:t>prowadzenie</w:t>
      </w:r>
      <w:r w:rsidR="00B1403D" w:rsidRPr="00C73107">
        <w:rPr>
          <w:bCs/>
          <w:color w:val="auto"/>
          <w:szCs w:val="24"/>
        </w:rPr>
        <w:t xml:space="preserve"> przez nich odpowiednich procedur</w:t>
      </w:r>
      <w:r w:rsidR="0050695A" w:rsidRPr="00C73107">
        <w:rPr>
          <w:bCs/>
          <w:color w:val="auto"/>
          <w:szCs w:val="24"/>
        </w:rPr>
        <w:t>,</w:t>
      </w:r>
      <w:r w:rsidR="00B1403D" w:rsidRPr="00C73107">
        <w:rPr>
          <w:bCs/>
          <w:color w:val="auto"/>
          <w:szCs w:val="24"/>
        </w:rPr>
        <w:t xml:space="preserve"> gwarantujących naprawy i wymiany towarów także w okresie dłuższym, aniżeli następujący bezpośrednio po dostarczeniu towaru, co przyczyni się do budowania zrównoważonej gospodarki. </w:t>
      </w:r>
    </w:p>
    <w:bookmarkEnd w:id="4"/>
    <w:p w14:paraId="31D622FE" w14:textId="5E4B4843" w:rsidR="00DC1D02" w:rsidRPr="009851D9" w:rsidRDefault="000160D8" w:rsidP="009851D9">
      <w:pPr>
        <w:spacing w:before="120" w:after="0" w:line="360" w:lineRule="auto"/>
        <w:ind w:left="-15" w:firstLine="0"/>
        <w:rPr>
          <w:szCs w:val="24"/>
        </w:rPr>
      </w:pPr>
      <w:r w:rsidRPr="00B64EF9">
        <w:rPr>
          <w:szCs w:val="24"/>
        </w:rPr>
        <w:t xml:space="preserve">Art. 43a </w:t>
      </w:r>
      <w:r w:rsidR="00050DC9" w:rsidRPr="00B64EF9">
        <w:rPr>
          <w:szCs w:val="24"/>
        </w:rPr>
        <w:t xml:space="preserve">ust. 1 </w:t>
      </w:r>
      <w:r w:rsidRPr="00307623">
        <w:rPr>
          <w:szCs w:val="24"/>
        </w:rPr>
        <w:t xml:space="preserve">jednoznacznie przesądza o odrębności nowo projektowanych regulacji względem ogólnych przepisów Kodeksu cywilnego w zakresie rękojmi i gwarancji. Zakres przedmiotowy projektowanych przepisów </w:t>
      </w:r>
      <w:r w:rsidR="00AC26C0" w:rsidRPr="00307623">
        <w:rPr>
          <w:szCs w:val="24"/>
        </w:rPr>
        <w:t xml:space="preserve">dotyczy </w:t>
      </w:r>
      <w:r w:rsidRPr="00307623">
        <w:rPr>
          <w:szCs w:val="24"/>
        </w:rPr>
        <w:t>um</w:t>
      </w:r>
      <w:r w:rsidR="00AC26C0" w:rsidRPr="00307623">
        <w:rPr>
          <w:szCs w:val="24"/>
        </w:rPr>
        <w:t>ó</w:t>
      </w:r>
      <w:r w:rsidRPr="00307623">
        <w:rPr>
          <w:szCs w:val="24"/>
        </w:rPr>
        <w:t>w zobowiązując</w:t>
      </w:r>
      <w:r w:rsidR="00AC26C0" w:rsidRPr="00307623">
        <w:rPr>
          <w:szCs w:val="24"/>
        </w:rPr>
        <w:t>ych</w:t>
      </w:r>
      <w:r w:rsidRPr="00307623">
        <w:rPr>
          <w:szCs w:val="24"/>
        </w:rPr>
        <w:t xml:space="preserve"> do przeniesienia własności towaru na konsumenta, podobnie jak to uczyniono implementując </w:t>
      </w:r>
      <w:bookmarkStart w:id="5" w:name="_Hlk99029269"/>
      <w:r w:rsidRPr="00307623">
        <w:rPr>
          <w:szCs w:val="24"/>
        </w:rPr>
        <w:t>dyrektywę Parlamentu Europejskiego i Rady 2011/83/UE z dnia 25 października 2011 r. w</w:t>
      </w:r>
      <w:r w:rsidR="00C73107" w:rsidRPr="00DB65ED">
        <w:rPr>
          <w:szCs w:val="24"/>
        </w:rPr>
        <w:t xml:space="preserve"> </w:t>
      </w:r>
      <w:r w:rsidRPr="00DB65ED">
        <w:rPr>
          <w:szCs w:val="24"/>
        </w:rPr>
        <w:t>sprawie praw konsumentów</w:t>
      </w:r>
      <w:bookmarkEnd w:id="5"/>
      <w:r w:rsidRPr="00DB65ED">
        <w:rPr>
          <w:szCs w:val="24"/>
        </w:rPr>
        <w:t xml:space="preserve">. Rozwiązanie takie </w:t>
      </w:r>
      <w:r w:rsidR="00AC26C0" w:rsidRPr="00DB65ED">
        <w:rPr>
          <w:szCs w:val="24"/>
        </w:rPr>
        <w:t xml:space="preserve">jest </w:t>
      </w:r>
      <w:r w:rsidRPr="00DB65ED">
        <w:rPr>
          <w:szCs w:val="24"/>
        </w:rPr>
        <w:t xml:space="preserve">podyktowane nie tylko potrzebą spójności z istniejącymi regulacjami ustawy </w:t>
      </w:r>
      <w:r w:rsidR="00C432F7" w:rsidRPr="009851D9">
        <w:rPr>
          <w:szCs w:val="24"/>
        </w:rPr>
        <w:t xml:space="preserve">z dnia 30 maja 2014 r. </w:t>
      </w:r>
      <w:r w:rsidRPr="009851D9">
        <w:rPr>
          <w:szCs w:val="24"/>
        </w:rPr>
        <w:t>o prawach konsumenta, ale również szerokim ujęciem umowy sprzedaży w SGD (zob. art. 3 ust. 2), podobnie jak w</w:t>
      </w:r>
      <w:r w:rsidR="00C73107" w:rsidRPr="009851D9">
        <w:rPr>
          <w:szCs w:val="24"/>
        </w:rPr>
        <w:t xml:space="preserve"> </w:t>
      </w:r>
      <w:r w:rsidRPr="009851D9">
        <w:rPr>
          <w:szCs w:val="24"/>
        </w:rPr>
        <w:t>dyrektywie 2011/83/UE.</w:t>
      </w:r>
      <w:r w:rsidR="00050DC9" w:rsidRPr="009851D9">
        <w:rPr>
          <w:szCs w:val="24"/>
        </w:rPr>
        <w:t xml:space="preserve"> Art. 43a ust. 2 (wraz z art. 43p ust. 1) służy określeniu wzajemnego stosunku przepisów implementujących SGD i DCD.</w:t>
      </w:r>
    </w:p>
    <w:p w14:paraId="7F092949" w14:textId="28C636A0" w:rsidR="00DC1D02" w:rsidRPr="009851D9" w:rsidRDefault="000160D8" w:rsidP="009851D9">
      <w:pPr>
        <w:spacing w:before="120" w:after="0" w:line="360" w:lineRule="auto"/>
        <w:ind w:left="-15" w:firstLine="0"/>
        <w:rPr>
          <w:szCs w:val="24"/>
        </w:rPr>
      </w:pPr>
      <w:r w:rsidRPr="009851D9">
        <w:rPr>
          <w:szCs w:val="24"/>
        </w:rPr>
        <w:lastRenderedPageBreak/>
        <w:t>Art. 43b definiuje zgodność towaru z umową (art. 6</w:t>
      </w:r>
      <w:r w:rsidR="00C73107" w:rsidRPr="009851D9">
        <w:rPr>
          <w:szCs w:val="24"/>
        </w:rPr>
        <w:t>–</w:t>
      </w:r>
      <w:r w:rsidRPr="009851D9">
        <w:rPr>
          <w:szCs w:val="24"/>
        </w:rPr>
        <w:t xml:space="preserve">8 SGD). Przyjęcie takiego rozwiązania jest </w:t>
      </w:r>
      <w:r w:rsidRPr="009851D9">
        <w:rPr>
          <w:i/>
          <w:szCs w:val="24"/>
        </w:rPr>
        <w:t>novum</w:t>
      </w:r>
      <w:r w:rsidRPr="009851D9">
        <w:rPr>
          <w:szCs w:val="24"/>
        </w:rPr>
        <w:t xml:space="preserve"> na gruncie prawa cywilnego, bowiem w zasadzie stanowi odejście od instytucji wady fizycznej i prawnej na rzecz zgodności (bądź jej braku) towaru z umową. Owo</w:t>
      </w:r>
      <w:r w:rsidR="00C73107" w:rsidRPr="009851D9">
        <w:rPr>
          <w:szCs w:val="24"/>
        </w:rPr>
        <w:t xml:space="preserve"> </w:t>
      </w:r>
      <w:r w:rsidRPr="009851D9">
        <w:rPr>
          <w:szCs w:val="24"/>
        </w:rPr>
        <w:t xml:space="preserve">rozwiązanie jest efektem potrzeby dostosowania prawa polskiego do rozwiązań przyjętych </w:t>
      </w:r>
      <w:r w:rsidR="00234666" w:rsidRPr="009851D9">
        <w:rPr>
          <w:szCs w:val="24"/>
        </w:rPr>
        <w:t>w</w:t>
      </w:r>
      <w:r w:rsidR="00234666">
        <w:rPr>
          <w:szCs w:val="24"/>
        </w:rPr>
        <w:t> </w:t>
      </w:r>
      <w:r w:rsidRPr="009851D9">
        <w:rPr>
          <w:szCs w:val="24"/>
        </w:rPr>
        <w:t xml:space="preserve">dyrektywie. </w:t>
      </w:r>
    </w:p>
    <w:p w14:paraId="1D81CC82" w14:textId="58B7C703" w:rsidR="00DC1D02" w:rsidRPr="009851D9" w:rsidRDefault="000160D8" w:rsidP="009851D9">
      <w:pPr>
        <w:spacing w:before="120" w:after="0" w:line="360" w:lineRule="auto"/>
        <w:ind w:left="-15" w:firstLine="0"/>
        <w:rPr>
          <w:szCs w:val="24"/>
        </w:rPr>
      </w:pPr>
      <w:r w:rsidRPr="009851D9">
        <w:rPr>
          <w:szCs w:val="24"/>
        </w:rPr>
        <w:t xml:space="preserve">Przepisy SGD wymagają zdefiniowania zgodności z umową w sposób znacznie bardziej wyczerpujący niż dotychczas, co ma przyczynić się do poprawy ochrony konsumentów przez uniknięcie części sporów dotyczących zakresu obowiązków przedsiębiorcy. W ślad za prawodawcą unijnym przyjęto afirmatywne określenie zgodności towaru z umową, wyróżniając przy tym elementy subiektywne (ust. 1), jak i obiektywne (ust. 2). W ust. 4 przewidziano wyłączenia odpowiedzialności przedsiębiorcy (sprzedawcy). Stosownie do treści art. 43b ust. 4 przedsiębiorca nie ponosi odpowiedzialności za brak zgodności towaru z umową w zakresie, o którym mowa w ust. 2 lub 3, jeżeli konsument został wyraźnie poinformowany, że konkretna cecha towaru odbiega od wymogów zgodności z umową określonych w ust. 2 lub 3 oraz najpóźniej w chwili zawarcia umowy wyraźnie i odrębnie zaakceptował brak konkretnej cechy towaru. Przesłanką wyłączającą odpowiedzialność przedsiębiorcy jest zatem wyraźne, jasne i jednoznaczne zaakceptowanie braku konkretnej cechy towaru przez konsumenta, najpóźniej w chwili zawarcia umowy (konsument musi zatem być wyraźnie poinformowany </w:t>
      </w:r>
      <w:r w:rsidR="00234666" w:rsidRPr="009851D9">
        <w:rPr>
          <w:szCs w:val="24"/>
        </w:rPr>
        <w:t>o</w:t>
      </w:r>
      <w:r w:rsidR="00234666">
        <w:rPr>
          <w:szCs w:val="24"/>
        </w:rPr>
        <w:t> </w:t>
      </w:r>
      <w:r w:rsidRPr="009851D9">
        <w:rPr>
          <w:szCs w:val="24"/>
        </w:rPr>
        <w:t xml:space="preserve">braku konkretnej cechy towaru, którą zwyczajowo towar powinien mieć, i musi wyraźnie </w:t>
      </w:r>
      <w:r w:rsidR="00234666" w:rsidRPr="009851D9">
        <w:rPr>
          <w:szCs w:val="24"/>
        </w:rPr>
        <w:t>i</w:t>
      </w:r>
      <w:r w:rsidR="00234666">
        <w:rPr>
          <w:szCs w:val="24"/>
        </w:rPr>
        <w:t> </w:t>
      </w:r>
      <w:r w:rsidR="000F16ED" w:rsidRPr="009851D9">
        <w:rPr>
          <w:szCs w:val="24"/>
        </w:rPr>
        <w:t xml:space="preserve">odrębnie </w:t>
      </w:r>
      <w:r w:rsidRPr="009851D9">
        <w:rPr>
          <w:szCs w:val="24"/>
        </w:rPr>
        <w:t xml:space="preserve">zaakceptować ten fakt). Ust. 5 dotyczy natomiast braku zgodności w sytuacji niewłaściwego montażu towaru. </w:t>
      </w:r>
    </w:p>
    <w:p w14:paraId="178F5BCA" w14:textId="7B17162F" w:rsidR="00DC1D02" w:rsidRPr="009851D9" w:rsidRDefault="000160D8" w:rsidP="009851D9">
      <w:pPr>
        <w:spacing w:before="120" w:after="0" w:line="360" w:lineRule="auto"/>
        <w:ind w:left="-15" w:firstLine="0"/>
        <w:rPr>
          <w:szCs w:val="24"/>
        </w:rPr>
      </w:pPr>
      <w:r w:rsidRPr="009851D9">
        <w:rPr>
          <w:szCs w:val="24"/>
        </w:rPr>
        <w:t>Art. 43c ust. 1 określa czasowe granice odpowiedzialności przedsiębiorcy z tytułu rękojmi oraz zakres przeniesienia ciężaru dowodu (art. 10</w:t>
      </w:r>
      <w:r w:rsidR="00C73107" w:rsidRPr="009851D9">
        <w:rPr>
          <w:szCs w:val="24"/>
        </w:rPr>
        <w:t>–</w:t>
      </w:r>
      <w:r w:rsidRPr="009851D9">
        <w:rPr>
          <w:szCs w:val="24"/>
        </w:rPr>
        <w:t xml:space="preserve">11 SGD). W stosunku do przepisów dotychczasowych wydłużono okres, w którym ciężar dowodu zgodności towaru z umową zostaje przeniesiony na przedsiębiorcę z roku do dwóch lat od chwili dostarczenia towaru. </w:t>
      </w:r>
      <w:r w:rsidR="000F16ED" w:rsidRPr="009851D9">
        <w:rPr>
          <w:szCs w:val="24"/>
        </w:rPr>
        <w:t>A</w:t>
      </w:r>
      <w:r w:rsidRPr="009851D9">
        <w:rPr>
          <w:szCs w:val="24"/>
        </w:rPr>
        <w:t xml:space="preserve">rt. 43c </w:t>
      </w:r>
      <w:r w:rsidR="000F16ED" w:rsidRPr="009851D9">
        <w:rPr>
          <w:szCs w:val="24"/>
        </w:rPr>
        <w:t xml:space="preserve">ust. 1 </w:t>
      </w:r>
      <w:r w:rsidRPr="009851D9">
        <w:rPr>
          <w:szCs w:val="24"/>
        </w:rPr>
        <w:t>doprecyzowuje</w:t>
      </w:r>
      <w:r w:rsidR="004217D8" w:rsidRPr="009851D9">
        <w:rPr>
          <w:szCs w:val="24"/>
        </w:rPr>
        <w:t>,</w:t>
      </w:r>
      <w:r w:rsidRPr="009851D9">
        <w:rPr>
          <w:szCs w:val="24"/>
        </w:rPr>
        <w:t xml:space="preserve"> od jakiej daty przedsiębiorca odpowiada za brak zgodności towaru </w:t>
      </w:r>
      <w:r w:rsidR="00234666" w:rsidRPr="009851D9">
        <w:rPr>
          <w:szCs w:val="24"/>
        </w:rPr>
        <w:t>z</w:t>
      </w:r>
      <w:r w:rsidR="00234666">
        <w:rPr>
          <w:szCs w:val="24"/>
        </w:rPr>
        <w:t> </w:t>
      </w:r>
      <w:r w:rsidRPr="009851D9">
        <w:rPr>
          <w:szCs w:val="24"/>
        </w:rPr>
        <w:t>umową</w:t>
      </w:r>
      <w:r w:rsidR="000F16ED" w:rsidRPr="009851D9">
        <w:rPr>
          <w:szCs w:val="24"/>
        </w:rPr>
        <w:t>,</w:t>
      </w:r>
      <w:r w:rsidRPr="009851D9">
        <w:rPr>
          <w:szCs w:val="24"/>
        </w:rPr>
        <w:t xml:space="preserve"> istniejący w chwili jego dostarczenia i który się ujawnił w określonym czasie, tj. </w:t>
      </w:r>
      <w:r w:rsidR="00234666" w:rsidRPr="009851D9">
        <w:rPr>
          <w:szCs w:val="24"/>
        </w:rPr>
        <w:t>w</w:t>
      </w:r>
      <w:r w:rsidR="00234666">
        <w:rPr>
          <w:szCs w:val="24"/>
        </w:rPr>
        <w:t> </w:t>
      </w:r>
      <w:r w:rsidRPr="009851D9">
        <w:rPr>
          <w:szCs w:val="24"/>
        </w:rPr>
        <w:t xml:space="preserve">ciągu dwóch lat od dostarczenia towaru, chyba że termin przydatności towaru do użycia, określony przez przedsiębiorcę, jego poprzednika prawnego lub osoby działające w ich imieniu, jest dłuższy. </w:t>
      </w:r>
      <w:r w:rsidR="001412F8" w:rsidRPr="009851D9">
        <w:rPr>
          <w:szCs w:val="24"/>
        </w:rPr>
        <w:t>Art. 43 u</w:t>
      </w:r>
      <w:r w:rsidRPr="009851D9">
        <w:rPr>
          <w:szCs w:val="24"/>
        </w:rPr>
        <w:t>st. 2 reguluje zaś kwestię zgodności z umową towarów z elementami cyfrowymi</w:t>
      </w:r>
      <w:r w:rsidR="001412F8" w:rsidRPr="009851D9">
        <w:rPr>
          <w:szCs w:val="24"/>
        </w:rPr>
        <w:t>,</w:t>
      </w:r>
      <w:r w:rsidRPr="009851D9">
        <w:rPr>
          <w:szCs w:val="24"/>
        </w:rPr>
        <w:t xml:space="preserve"> dostarczanymi w sposób ciągły oraz granice czasowe zgodności z umową takich towarów. </w:t>
      </w:r>
    </w:p>
    <w:p w14:paraId="71C10F93" w14:textId="73564F48" w:rsidR="00DC1D02" w:rsidRPr="00C73107" w:rsidRDefault="000160D8" w:rsidP="009851D9">
      <w:pPr>
        <w:spacing w:before="120" w:after="0" w:line="360" w:lineRule="auto"/>
        <w:ind w:left="-15" w:firstLine="0"/>
        <w:rPr>
          <w:szCs w:val="24"/>
        </w:rPr>
      </w:pPr>
      <w:r w:rsidRPr="009851D9">
        <w:rPr>
          <w:szCs w:val="24"/>
        </w:rPr>
        <w:lastRenderedPageBreak/>
        <w:t>Art. 43d</w:t>
      </w:r>
      <w:r w:rsidR="00C73107" w:rsidRPr="009851D9">
        <w:rPr>
          <w:szCs w:val="24"/>
        </w:rPr>
        <w:t>–</w:t>
      </w:r>
      <w:r w:rsidRPr="009851D9">
        <w:rPr>
          <w:szCs w:val="24"/>
        </w:rPr>
        <w:t>43f określają prawa konsumenta z tytułu rękojmi i skorelowane z nimi obowiązki przedsiębiorcy (art. 13</w:t>
      </w:r>
      <w:r w:rsidR="00C73107" w:rsidRPr="009851D9">
        <w:rPr>
          <w:szCs w:val="24"/>
        </w:rPr>
        <w:t>–</w:t>
      </w:r>
      <w:r w:rsidRPr="009851D9">
        <w:rPr>
          <w:szCs w:val="24"/>
        </w:rPr>
        <w:t xml:space="preserve">16 SGD). SGD przewiduje tutaj daleko idące zmiany w stosunku do aktualnie obowiązujących przepisów Kodeksu cywilnego. Niemniej jednak z uwagi na zasadę pełnej harmonizacji przyjętą w art. 4 SGD, brak możliwości odstępstwa w zakresie zmian niekorzystnych dla konsumentów. Swoistym </w:t>
      </w:r>
      <w:r w:rsidRPr="009851D9">
        <w:rPr>
          <w:i/>
          <w:szCs w:val="24"/>
        </w:rPr>
        <w:t>novum</w:t>
      </w:r>
      <w:r w:rsidRPr="00C73107">
        <w:rPr>
          <w:szCs w:val="24"/>
          <w:vertAlign w:val="superscript"/>
        </w:rPr>
        <w:footnoteReference w:id="2"/>
      </w:r>
      <w:r w:rsidR="00F82CDE" w:rsidRPr="009851D9">
        <w:rPr>
          <w:szCs w:val="24"/>
          <w:vertAlign w:val="superscript"/>
        </w:rPr>
        <w:t>)</w:t>
      </w:r>
      <w:r w:rsidRPr="00C73107">
        <w:rPr>
          <w:szCs w:val="24"/>
        </w:rPr>
        <w:t xml:space="preserve"> jest właśnie wprowadzenie hierarchii środków ochrony konsumenta, który w pierwszej kolejności będzie miał prawo domagać się przywrócenia zgodności towaru z umową przez jego naprawę lub wymianę. Dopiero </w:t>
      </w:r>
      <w:r w:rsidR="00234666" w:rsidRPr="00C73107">
        <w:rPr>
          <w:szCs w:val="24"/>
        </w:rPr>
        <w:t>w</w:t>
      </w:r>
      <w:r w:rsidR="00234666">
        <w:rPr>
          <w:szCs w:val="24"/>
        </w:rPr>
        <w:t> </w:t>
      </w:r>
      <w:r w:rsidRPr="00C73107">
        <w:rPr>
          <w:szCs w:val="24"/>
        </w:rPr>
        <w:t xml:space="preserve">dalszej kolejności, o ile naprawa czy też wymiana okażą się m.in. nieopłacalne, konsument będzie mógł skorzystać z kolejnych uprawnień, tzn. żądać obniżenia ceny lub odstąpić od umowy. Nowe przepisy regulujące uprawnienia konsumenta z tytułu rękojmi są w niektórych aspektach mniej korzystne względem aktualnego stanu prawnego. </w:t>
      </w:r>
      <w:r w:rsidR="00BC0D8C">
        <w:rPr>
          <w:szCs w:val="24"/>
        </w:rPr>
        <w:t>P</w:t>
      </w:r>
      <w:r w:rsidRPr="00C73107">
        <w:rPr>
          <w:szCs w:val="24"/>
        </w:rPr>
        <w:t xml:space="preserve">określenia wymaga fakt, iż ustawodawca polski jest zobowiązany przyjąć zaproponowane rozwiązania wobec faktu, co już wcześniej podkreślano, że dyrektywa SGD ma charakter maksymalny (zupełny) w tym zakresie. </w:t>
      </w:r>
      <w:r w:rsidR="00BB389C" w:rsidRPr="00C73107">
        <w:rPr>
          <w:szCs w:val="24"/>
        </w:rPr>
        <w:t>W</w:t>
      </w:r>
      <w:r w:rsidR="00BB389C">
        <w:rPr>
          <w:szCs w:val="24"/>
        </w:rPr>
        <w:t> </w:t>
      </w:r>
      <w:r w:rsidRPr="00C73107">
        <w:rPr>
          <w:szCs w:val="24"/>
        </w:rPr>
        <w:t>uzasadnieniu projektu SGD wyrażono przeświadczenie, iż rozwiązanie takie jest bardziej efektywne i korzystniejsze dla konsumentów</w:t>
      </w:r>
      <w:r w:rsidRPr="00C73107">
        <w:rPr>
          <w:szCs w:val="24"/>
          <w:vertAlign w:val="superscript"/>
        </w:rPr>
        <w:footnoteReference w:id="3"/>
      </w:r>
      <w:r w:rsidR="00F82CDE" w:rsidRPr="009851D9">
        <w:rPr>
          <w:szCs w:val="24"/>
          <w:vertAlign w:val="superscript"/>
        </w:rPr>
        <w:t>)</w:t>
      </w:r>
      <w:r w:rsidRPr="00C73107">
        <w:rPr>
          <w:szCs w:val="24"/>
        </w:rPr>
        <w:t>. Jako argument za jego przyjęciem podnoszono także potrzebę wspierania tzw. gospodarki o obiegu zamkniętym</w:t>
      </w:r>
      <w:r w:rsidRPr="00C73107">
        <w:rPr>
          <w:szCs w:val="24"/>
          <w:vertAlign w:val="superscript"/>
        </w:rPr>
        <w:footnoteReference w:id="4"/>
      </w:r>
      <w:r w:rsidR="00F82CDE" w:rsidRPr="009851D9">
        <w:rPr>
          <w:szCs w:val="24"/>
          <w:vertAlign w:val="superscript"/>
        </w:rPr>
        <w:t>)</w:t>
      </w:r>
      <w:r w:rsidRPr="00C73107">
        <w:rPr>
          <w:szCs w:val="24"/>
        </w:rPr>
        <w:t>.</w:t>
      </w:r>
    </w:p>
    <w:p w14:paraId="7F619CBF" w14:textId="08199369" w:rsidR="00307F28" w:rsidRPr="00C73107" w:rsidRDefault="000160D8" w:rsidP="009851D9">
      <w:pPr>
        <w:spacing w:before="120" w:after="0" w:line="360" w:lineRule="auto"/>
        <w:ind w:left="-15" w:firstLine="0"/>
        <w:rPr>
          <w:szCs w:val="24"/>
        </w:rPr>
      </w:pPr>
      <w:r w:rsidRPr="00C73107">
        <w:rPr>
          <w:szCs w:val="24"/>
        </w:rPr>
        <w:t xml:space="preserve">W art. 43e ust. 6 przejęto rozwiązanie, zgodnie z którym przedsiębiorca zwraca konsumentowi cenę niezwłocznie, ale nie później niż w terminie 14 dni od otrzymania towaru lub dowodu jego zwrotu. Tożsame rozwiązanie przyjęto w art. 43l ust. 6. Powodem przyjęcia takiej regulacji była chęć zagwarantowania konsumentowi odpowiedniej pewności prawa, a jednocześnie zdyscyplinowanie przedsiębiorcy w wykonaniu jego obowiązku. Jednocześnie dla zagwarantowania wysokiego poziomu ochrony konsumenta, na podstawie art. 16 ust. 3 SGD, w art. 43e ust. 7 sprecyzowano sposób dokonania zwrotu płatności na jego rzecz. </w:t>
      </w:r>
    </w:p>
    <w:p w14:paraId="167F6747" w14:textId="24FFBCD7" w:rsidR="00DC1D02" w:rsidRPr="00C73107" w:rsidRDefault="000160D8" w:rsidP="009851D9">
      <w:pPr>
        <w:spacing w:before="120" w:after="0" w:line="360" w:lineRule="auto"/>
        <w:ind w:left="-15" w:firstLine="0"/>
        <w:rPr>
          <w:szCs w:val="24"/>
        </w:rPr>
      </w:pPr>
      <w:r w:rsidRPr="00C73107">
        <w:rPr>
          <w:szCs w:val="24"/>
        </w:rPr>
        <w:lastRenderedPageBreak/>
        <w:t>Art. 43g zawiera uzupełniającą regulację dotyczącą gwarancji udzielanej na rzecz konsumenta, w</w:t>
      </w:r>
      <w:r w:rsidR="00C73107" w:rsidRPr="00C73107">
        <w:rPr>
          <w:szCs w:val="24"/>
        </w:rPr>
        <w:t xml:space="preserve"> </w:t>
      </w:r>
      <w:r w:rsidRPr="00C73107">
        <w:rPr>
          <w:szCs w:val="24"/>
        </w:rPr>
        <w:t xml:space="preserve">zakresie w jakim art. 17 SGD wymaga ochrony wykraczającej ponad regulację gwarancji znajdującą się już w Kodeksie cywilnym. Obecnie obowiązujące przepisy dotyczące gwarancji w zasadzie wykonują postanowienia SGD. W odniesieniu do art. 17 pkt 1 </w:t>
      </w:r>
      <w:proofErr w:type="spellStart"/>
      <w:r w:rsidRPr="00C73107">
        <w:rPr>
          <w:szCs w:val="24"/>
        </w:rPr>
        <w:t>zd</w:t>
      </w:r>
      <w:proofErr w:type="spellEnd"/>
      <w:r w:rsidRPr="00C73107">
        <w:rPr>
          <w:szCs w:val="24"/>
        </w:rPr>
        <w:t>.</w:t>
      </w:r>
      <w:r w:rsidR="00C307E7">
        <w:rPr>
          <w:szCs w:val="24"/>
        </w:rPr>
        <w:t xml:space="preserve"> pierwsze</w:t>
      </w:r>
      <w:r w:rsidRPr="00C73107">
        <w:rPr>
          <w:szCs w:val="24"/>
        </w:rPr>
        <w:t xml:space="preserve"> SGD – zastosowanie w polskim porządku prawnym znajdują zasady ogólne z Kodeksu cywilnego. Odpowiednikiem art. 17 pkt 1 </w:t>
      </w:r>
      <w:proofErr w:type="spellStart"/>
      <w:r w:rsidRPr="00C73107">
        <w:rPr>
          <w:szCs w:val="24"/>
        </w:rPr>
        <w:t>zd</w:t>
      </w:r>
      <w:proofErr w:type="spellEnd"/>
      <w:r w:rsidRPr="00C73107">
        <w:rPr>
          <w:szCs w:val="24"/>
        </w:rPr>
        <w:t xml:space="preserve">. </w:t>
      </w:r>
      <w:r w:rsidR="00C307E7">
        <w:rPr>
          <w:szCs w:val="24"/>
        </w:rPr>
        <w:t>drugie</w:t>
      </w:r>
      <w:r w:rsidRPr="00C73107">
        <w:rPr>
          <w:szCs w:val="24"/>
        </w:rPr>
        <w:t xml:space="preserve"> SGD jest art. 577 § 2 k.c., natomiast art. 17 pkt 1 </w:t>
      </w:r>
      <w:proofErr w:type="spellStart"/>
      <w:r w:rsidRPr="00C73107">
        <w:rPr>
          <w:szCs w:val="24"/>
        </w:rPr>
        <w:t>zd</w:t>
      </w:r>
      <w:proofErr w:type="spellEnd"/>
      <w:r w:rsidRPr="00C73107">
        <w:rPr>
          <w:szCs w:val="24"/>
        </w:rPr>
        <w:t xml:space="preserve">. </w:t>
      </w:r>
      <w:r w:rsidR="00C307E7">
        <w:rPr>
          <w:szCs w:val="24"/>
        </w:rPr>
        <w:t>trzecie</w:t>
      </w:r>
      <w:r w:rsidRPr="00C73107">
        <w:rPr>
          <w:szCs w:val="24"/>
        </w:rPr>
        <w:t xml:space="preserve"> SGD </w:t>
      </w:r>
      <w:r w:rsidR="00C73107" w:rsidRPr="00C73107">
        <w:rPr>
          <w:szCs w:val="24"/>
        </w:rPr>
        <w:t>–</w:t>
      </w:r>
      <w:r w:rsidRPr="00C73107">
        <w:rPr>
          <w:szCs w:val="24"/>
        </w:rPr>
        <w:t xml:space="preserve"> art. 579 i nast. k.c. Z kolei odpowiednikiem art. 17 pkt 2 SGD jest </w:t>
      </w:r>
      <w:r w:rsidR="004217D8" w:rsidRPr="00C73107">
        <w:rPr>
          <w:szCs w:val="24"/>
        </w:rPr>
        <w:t xml:space="preserve">art. </w:t>
      </w:r>
      <w:r w:rsidRPr="00C73107">
        <w:rPr>
          <w:szCs w:val="24"/>
        </w:rPr>
        <w:t>577</w:t>
      </w:r>
      <w:r w:rsidRPr="00C73107">
        <w:rPr>
          <w:szCs w:val="24"/>
          <w:vertAlign w:val="superscript"/>
        </w:rPr>
        <w:t>1</w:t>
      </w:r>
      <w:r w:rsidRPr="00C73107">
        <w:rPr>
          <w:szCs w:val="24"/>
        </w:rPr>
        <w:t xml:space="preserve"> i </w:t>
      </w:r>
      <w:r w:rsidR="004217D8" w:rsidRPr="00C73107">
        <w:rPr>
          <w:szCs w:val="24"/>
        </w:rPr>
        <w:t xml:space="preserve">art. </w:t>
      </w:r>
      <w:r w:rsidRPr="00C73107">
        <w:rPr>
          <w:szCs w:val="24"/>
        </w:rPr>
        <w:t>577</w:t>
      </w:r>
      <w:r w:rsidRPr="00C73107">
        <w:rPr>
          <w:szCs w:val="24"/>
          <w:vertAlign w:val="superscript"/>
        </w:rPr>
        <w:t>2</w:t>
      </w:r>
      <w:r w:rsidRPr="00C73107">
        <w:rPr>
          <w:szCs w:val="24"/>
        </w:rPr>
        <w:t xml:space="preserve"> k.c., art. 17 pkt 3 – art. 577</w:t>
      </w:r>
      <w:r w:rsidRPr="00C73107">
        <w:rPr>
          <w:szCs w:val="24"/>
          <w:vertAlign w:val="superscript"/>
        </w:rPr>
        <w:t>1</w:t>
      </w:r>
      <w:r w:rsidRPr="00C73107">
        <w:rPr>
          <w:szCs w:val="24"/>
        </w:rPr>
        <w:t xml:space="preserve"> § 3 k.c., natomiast art. 17 pkt 4 – odpowiednikiem jest art. 577</w:t>
      </w:r>
      <w:r w:rsidRPr="00C73107">
        <w:rPr>
          <w:szCs w:val="24"/>
          <w:vertAlign w:val="superscript"/>
        </w:rPr>
        <w:t>3</w:t>
      </w:r>
      <w:r w:rsidRPr="00C73107">
        <w:rPr>
          <w:szCs w:val="24"/>
        </w:rPr>
        <w:t xml:space="preserve"> i nast</w:t>
      </w:r>
      <w:r w:rsidR="001412F8" w:rsidRPr="00C73107">
        <w:rPr>
          <w:szCs w:val="24"/>
        </w:rPr>
        <w:t>ępne przepisy</w:t>
      </w:r>
      <w:r w:rsidRPr="00C73107">
        <w:rPr>
          <w:szCs w:val="24"/>
        </w:rPr>
        <w:t xml:space="preserve"> k.c. W ocenie projektodawcy wszystkie te regulacje dotyczące gwarancji wzajemnie się uzupełniają, stąd nie zachodzi potrzeba szerszego uregulowania kwestii gwarancji w ustawie </w:t>
      </w:r>
      <w:r w:rsidR="005A6D7D" w:rsidRPr="00C73107">
        <w:rPr>
          <w:szCs w:val="24"/>
        </w:rPr>
        <w:t xml:space="preserve">z dnia 30 maja 2014 r. </w:t>
      </w:r>
      <w:r w:rsidRPr="00C73107">
        <w:rPr>
          <w:szCs w:val="24"/>
        </w:rPr>
        <w:t>o prawach konsumenta.</w:t>
      </w:r>
    </w:p>
    <w:p w14:paraId="0A47E75A" w14:textId="64A9AD40" w:rsidR="005A6D7D" w:rsidRPr="009851D9" w:rsidRDefault="000160D8" w:rsidP="009851D9">
      <w:pPr>
        <w:pStyle w:val="Nagwek1"/>
        <w:tabs>
          <w:tab w:val="left" w:pos="567"/>
        </w:tabs>
        <w:spacing w:before="120" w:after="0" w:line="360" w:lineRule="auto"/>
        <w:ind w:left="0" w:firstLine="0"/>
        <w:rPr>
          <w:b w:val="0"/>
          <w:szCs w:val="24"/>
        </w:rPr>
      </w:pPr>
      <w:r w:rsidRPr="00C73107">
        <w:rPr>
          <w:szCs w:val="24"/>
        </w:rPr>
        <w:t>V.</w:t>
      </w:r>
      <w:r w:rsidR="00C73107">
        <w:rPr>
          <w:szCs w:val="24"/>
        </w:rPr>
        <w:tab/>
      </w:r>
      <w:r w:rsidRPr="00C73107">
        <w:rPr>
          <w:szCs w:val="24"/>
        </w:rPr>
        <w:t xml:space="preserve">Prawa i obowiązki stron umów o dostarczanie treści cyfrowej lub usługi cyfrowej (rozdział 5b ustawy </w:t>
      </w:r>
      <w:r w:rsidR="005A6D7D" w:rsidRPr="00C73107">
        <w:rPr>
          <w:szCs w:val="24"/>
        </w:rPr>
        <w:t xml:space="preserve">z dnia 30 maja 2014 r. </w:t>
      </w:r>
      <w:r w:rsidRPr="00C73107">
        <w:rPr>
          <w:szCs w:val="24"/>
        </w:rPr>
        <w:t>o prawach konsumenta)</w:t>
      </w:r>
    </w:p>
    <w:p w14:paraId="30A9BF6C" w14:textId="5C685A46" w:rsidR="00DC1D02" w:rsidRPr="00C73107" w:rsidRDefault="000160D8" w:rsidP="009851D9">
      <w:pPr>
        <w:spacing w:before="120" w:after="0" w:line="360" w:lineRule="auto"/>
        <w:ind w:left="0" w:firstLine="0"/>
        <w:rPr>
          <w:szCs w:val="24"/>
        </w:rPr>
      </w:pPr>
      <w:r w:rsidRPr="00C73107">
        <w:rPr>
          <w:szCs w:val="24"/>
        </w:rPr>
        <w:t xml:space="preserve">Rozdziałem 5b dokonuje się implementacji DCD. </w:t>
      </w:r>
    </w:p>
    <w:p w14:paraId="7B2167A6" w14:textId="4970814D" w:rsidR="00DC1D02" w:rsidRPr="00C73107" w:rsidRDefault="000160D8" w:rsidP="009851D9">
      <w:pPr>
        <w:spacing w:before="120" w:after="0" w:line="360" w:lineRule="auto"/>
        <w:ind w:left="-15" w:firstLine="0"/>
        <w:rPr>
          <w:szCs w:val="24"/>
        </w:rPr>
      </w:pPr>
      <w:r w:rsidRPr="00C73107">
        <w:rPr>
          <w:szCs w:val="24"/>
        </w:rPr>
        <w:t>Jak wspomniano wyżej, zakres regulacji DCD jest szerszy niż SGD. Jednocześnie zagadnienia umów o dostarczanie treści cyfrowej lub usługi cyfrowej nie stanowiły dotychczas przedmiotu zainteresowania polskiego ustawodawcy, dlatego też brak punktu odniesienia dla proponowanych przepisów. Pewne paralele regulacyjne można odnaleźć jedynie w ogólnych przepisach dotyczących sprzedaży, niemniej nie są one wystarczające do efektywnego uregulowania kwestii dostarczania (nabywania) treści i usług cyfrowych, stąd konieczna jest interwencja ustawodawcy.</w:t>
      </w:r>
    </w:p>
    <w:p w14:paraId="4B924E34" w14:textId="7C1D4A2D" w:rsidR="00DC1D02" w:rsidRPr="00C73107" w:rsidRDefault="000160D8" w:rsidP="009851D9">
      <w:pPr>
        <w:spacing w:before="120" w:after="0" w:line="360" w:lineRule="auto"/>
        <w:ind w:left="-15" w:firstLine="0"/>
        <w:rPr>
          <w:szCs w:val="24"/>
        </w:rPr>
      </w:pPr>
      <w:r w:rsidRPr="00C73107">
        <w:rPr>
          <w:szCs w:val="24"/>
        </w:rPr>
        <w:t xml:space="preserve">Art. 43h reguluje sposób wykonania obowiązku dostarczenia treści cyfrowej lub usługi cyfrowej (art. 5 DCD) oraz uprawnienia konsumenta w razie jego niewykonania (art. 13 DCD). W zakresie poszczególnych ustępów należy wyjaśnić, co następuje. </w:t>
      </w:r>
    </w:p>
    <w:p w14:paraId="46CF0751" w14:textId="0AB3A413" w:rsidR="00DC1D02" w:rsidRPr="00F82CDE" w:rsidRDefault="000160D8" w:rsidP="009851D9">
      <w:pPr>
        <w:spacing w:before="120" w:after="0" w:line="360" w:lineRule="auto"/>
        <w:ind w:left="-15" w:firstLine="0"/>
        <w:rPr>
          <w:szCs w:val="24"/>
        </w:rPr>
      </w:pPr>
      <w:r w:rsidRPr="00C73107">
        <w:rPr>
          <w:szCs w:val="24"/>
        </w:rPr>
        <w:t>Art. 43h ust. 2</w:t>
      </w:r>
      <w:r w:rsidR="00C73107" w:rsidRPr="00C73107">
        <w:rPr>
          <w:szCs w:val="24"/>
        </w:rPr>
        <w:t>–</w:t>
      </w:r>
      <w:r w:rsidRPr="00C73107">
        <w:rPr>
          <w:szCs w:val="24"/>
        </w:rPr>
        <w:t xml:space="preserve">3 </w:t>
      </w:r>
      <w:proofErr w:type="spellStart"/>
      <w:r w:rsidRPr="00C73107">
        <w:rPr>
          <w:szCs w:val="24"/>
        </w:rPr>
        <w:t>u.p.k</w:t>
      </w:r>
      <w:proofErr w:type="spellEnd"/>
      <w:r w:rsidRPr="00C73107">
        <w:rPr>
          <w:szCs w:val="24"/>
        </w:rPr>
        <w:t xml:space="preserve">. posługuje się pojęciem „fizycznego lub wirtualnego urządzenia”, które oznacza każdego rodzaju przedmiot materialny lub oprogramowanie, które może służyć do odbioru lub dostępu do treści lub usług cyfrowych. Nie należy mylić owego urządzenia </w:t>
      </w:r>
      <w:r w:rsidR="00234666" w:rsidRPr="00C73107">
        <w:rPr>
          <w:szCs w:val="24"/>
        </w:rPr>
        <w:t>z</w:t>
      </w:r>
      <w:r w:rsidR="00234666">
        <w:rPr>
          <w:szCs w:val="24"/>
        </w:rPr>
        <w:t> </w:t>
      </w:r>
      <w:r w:rsidRPr="00C73107">
        <w:rPr>
          <w:szCs w:val="24"/>
        </w:rPr>
        <w:t xml:space="preserve">„materialnym nośnikiem”, o którym mowa w art. 43h ust. 8 i art. 43m ust. 3 </w:t>
      </w:r>
      <w:proofErr w:type="spellStart"/>
      <w:r w:rsidRPr="00C73107">
        <w:rPr>
          <w:szCs w:val="24"/>
        </w:rPr>
        <w:t>u.p.k</w:t>
      </w:r>
      <w:proofErr w:type="spellEnd"/>
      <w:r w:rsidRPr="00C73107">
        <w:rPr>
          <w:szCs w:val="24"/>
        </w:rPr>
        <w:t xml:space="preserve">. Jakkolwiek w praktyce oba te pojęcia mogą dotyczyć urządzenia tego samego rodzaju (np. przenośnej pamięci USB), to dostarczenie treści cyfrowej za pośrednictwem materialnego nośnika oznacza sytuację, w której zobowiązanie przedsiębiorcy polega na dostarczeniu nośnika zawierającego treść cyfrową, tj. umową objęta jest dostawa zarówno nośnika, jak i treści cyfrowej. Dostawa </w:t>
      </w:r>
      <w:r w:rsidRPr="00C73107">
        <w:rPr>
          <w:szCs w:val="24"/>
        </w:rPr>
        <w:lastRenderedPageBreak/>
        <w:t>przy użyciu fizycznego urządzenia, o której mowa w art. 43h ust. 2</w:t>
      </w:r>
      <w:r w:rsidR="00C307E7">
        <w:rPr>
          <w:szCs w:val="24"/>
        </w:rPr>
        <w:t xml:space="preserve"> i </w:t>
      </w:r>
      <w:r w:rsidRPr="00F82CDE">
        <w:rPr>
          <w:szCs w:val="24"/>
        </w:rPr>
        <w:t xml:space="preserve">3 </w:t>
      </w:r>
      <w:proofErr w:type="spellStart"/>
      <w:r w:rsidRPr="00F82CDE">
        <w:rPr>
          <w:szCs w:val="24"/>
        </w:rPr>
        <w:t>u.p.k</w:t>
      </w:r>
      <w:proofErr w:type="spellEnd"/>
      <w:r w:rsidRPr="00F82CDE">
        <w:rPr>
          <w:szCs w:val="24"/>
        </w:rPr>
        <w:t xml:space="preserve">., polega natomiast na tym, że konsument wskazuje, pozostające w jego dyspozycji niezależnie od umowy </w:t>
      </w:r>
      <w:r w:rsidR="00234666" w:rsidRPr="00F82CDE">
        <w:rPr>
          <w:szCs w:val="24"/>
        </w:rPr>
        <w:t>o</w:t>
      </w:r>
      <w:r w:rsidR="00234666">
        <w:rPr>
          <w:szCs w:val="24"/>
        </w:rPr>
        <w:t> </w:t>
      </w:r>
      <w:r w:rsidRPr="00F82CDE">
        <w:rPr>
          <w:szCs w:val="24"/>
        </w:rPr>
        <w:t xml:space="preserve">dostarczenie treści cyfrowej, urządzenie, na które treść cyfrowa ma być dostarczona. </w:t>
      </w:r>
    </w:p>
    <w:p w14:paraId="0F5893E2" w14:textId="769E0AD0" w:rsidR="00DC1D02" w:rsidRPr="00DB65ED" w:rsidRDefault="000160D8" w:rsidP="009851D9">
      <w:pPr>
        <w:spacing w:before="120" w:after="0" w:line="360" w:lineRule="auto"/>
        <w:ind w:left="-15" w:firstLine="0"/>
        <w:rPr>
          <w:szCs w:val="24"/>
        </w:rPr>
      </w:pPr>
      <w:r w:rsidRPr="00B64EF9">
        <w:rPr>
          <w:szCs w:val="24"/>
        </w:rPr>
        <w:t>W zakresie art. 43h ust. 2 należy również wyjaśnić, że przepis ten nie przesądza kwestii, jak długo przedsiębiorca powinien utrzymywać dostępność treści cyfrowej (możliwość jej pobrania przez konsumenta), a w żadnym wypadku jego interpretacja nie może prowadzić do wniosku, że</w:t>
      </w:r>
      <w:r w:rsidRPr="00307623">
        <w:rPr>
          <w:szCs w:val="24"/>
        </w:rPr>
        <w:t xml:space="preserve"> już w chwili udostępnienia treści cyfrowej zobowiązanie przedsiębiorcy wygasa. Treść zobowiązania przedsiębiorcy w zakresie czasu, przez jaki przedsiębiorca </w:t>
      </w:r>
      <w:r w:rsidR="005A6D7D" w:rsidRPr="00307623">
        <w:rPr>
          <w:szCs w:val="24"/>
        </w:rPr>
        <w:t xml:space="preserve">jest </w:t>
      </w:r>
      <w:r w:rsidRPr="00307623">
        <w:rPr>
          <w:szCs w:val="24"/>
        </w:rPr>
        <w:t>zobowiązany</w:t>
      </w:r>
      <w:r w:rsidR="00CE4F52" w:rsidRPr="00307623">
        <w:rPr>
          <w:szCs w:val="24"/>
        </w:rPr>
        <w:t xml:space="preserve"> </w:t>
      </w:r>
      <w:r w:rsidRPr="00DB65ED">
        <w:rPr>
          <w:szCs w:val="24"/>
        </w:rPr>
        <w:t>utrzymywać możliwość pobrania treści cyfrowej, należy ustalać zgodnie z ogólnymi zasadami prawa cywilnego.</w:t>
      </w:r>
    </w:p>
    <w:p w14:paraId="542DF654" w14:textId="28AA2CF8" w:rsidR="00DC1D02" w:rsidRPr="009851D9" w:rsidRDefault="000160D8" w:rsidP="009851D9">
      <w:pPr>
        <w:spacing w:before="120" w:after="0" w:line="360" w:lineRule="auto"/>
        <w:ind w:left="-15" w:firstLine="0"/>
        <w:rPr>
          <w:szCs w:val="24"/>
        </w:rPr>
      </w:pPr>
      <w:r w:rsidRPr="009851D9">
        <w:rPr>
          <w:szCs w:val="24"/>
        </w:rPr>
        <w:t xml:space="preserve">Art. 43h ust. 6 </w:t>
      </w:r>
      <w:proofErr w:type="spellStart"/>
      <w:r w:rsidRPr="009851D9">
        <w:rPr>
          <w:szCs w:val="24"/>
        </w:rPr>
        <w:t>u.p.k</w:t>
      </w:r>
      <w:proofErr w:type="spellEnd"/>
      <w:r w:rsidRPr="009851D9">
        <w:rPr>
          <w:szCs w:val="24"/>
        </w:rPr>
        <w:t>.</w:t>
      </w:r>
      <w:r w:rsidR="005A6D7D" w:rsidRPr="009851D9">
        <w:rPr>
          <w:szCs w:val="24"/>
        </w:rPr>
        <w:t>,</w:t>
      </w:r>
      <w:r w:rsidRPr="009851D9">
        <w:rPr>
          <w:szCs w:val="24"/>
        </w:rPr>
        <w:t xml:space="preserve"> zgodnie z którym obowiązek dowodowy w zakresie dostarczenia treści cyfrowej obciąża przedsiębiorcę, ma w istocie charakter </w:t>
      </w:r>
      <w:proofErr w:type="spellStart"/>
      <w:r w:rsidRPr="009851D9">
        <w:rPr>
          <w:szCs w:val="24"/>
        </w:rPr>
        <w:t>klaryfikujący</w:t>
      </w:r>
      <w:proofErr w:type="spellEnd"/>
      <w:r w:rsidRPr="009851D9">
        <w:rPr>
          <w:szCs w:val="24"/>
        </w:rPr>
        <w:t xml:space="preserve">. Już bowiem zgodnie </w:t>
      </w:r>
      <w:r w:rsidR="00234666" w:rsidRPr="009851D9">
        <w:rPr>
          <w:szCs w:val="24"/>
        </w:rPr>
        <w:t>z</w:t>
      </w:r>
      <w:r w:rsidR="00234666">
        <w:rPr>
          <w:szCs w:val="24"/>
        </w:rPr>
        <w:t> </w:t>
      </w:r>
      <w:r w:rsidRPr="009851D9">
        <w:rPr>
          <w:szCs w:val="24"/>
        </w:rPr>
        <w:t xml:space="preserve">ogólną zasadą postępowania dowodowego </w:t>
      </w:r>
      <w:proofErr w:type="spellStart"/>
      <w:r w:rsidRPr="009851D9">
        <w:rPr>
          <w:i/>
          <w:szCs w:val="24"/>
        </w:rPr>
        <w:t>ei</w:t>
      </w:r>
      <w:proofErr w:type="spellEnd"/>
      <w:r w:rsidRPr="009851D9">
        <w:rPr>
          <w:i/>
          <w:szCs w:val="24"/>
        </w:rPr>
        <w:t xml:space="preserve"> </w:t>
      </w:r>
      <w:proofErr w:type="spellStart"/>
      <w:r w:rsidRPr="009851D9">
        <w:rPr>
          <w:i/>
          <w:szCs w:val="24"/>
        </w:rPr>
        <w:t>incumbit</w:t>
      </w:r>
      <w:proofErr w:type="spellEnd"/>
      <w:r w:rsidRPr="009851D9">
        <w:rPr>
          <w:i/>
          <w:szCs w:val="24"/>
        </w:rPr>
        <w:t xml:space="preserve"> </w:t>
      </w:r>
      <w:proofErr w:type="spellStart"/>
      <w:r w:rsidRPr="009851D9">
        <w:rPr>
          <w:i/>
          <w:szCs w:val="24"/>
        </w:rPr>
        <w:t>probatio</w:t>
      </w:r>
      <w:proofErr w:type="spellEnd"/>
      <w:r w:rsidRPr="009851D9">
        <w:rPr>
          <w:i/>
          <w:szCs w:val="24"/>
        </w:rPr>
        <w:t xml:space="preserve"> qui </w:t>
      </w:r>
      <w:proofErr w:type="spellStart"/>
      <w:r w:rsidRPr="009851D9">
        <w:rPr>
          <w:i/>
          <w:szCs w:val="24"/>
        </w:rPr>
        <w:t>dicit</w:t>
      </w:r>
      <w:proofErr w:type="spellEnd"/>
      <w:r w:rsidRPr="009851D9">
        <w:rPr>
          <w:i/>
          <w:szCs w:val="24"/>
        </w:rPr>
        <w:t xml:space="preserve">, non qui </w:t>
      </w:r>
      <w:proofErr w:type="spellStart"/>
      <w:r w:rsidRPr="009851D9">
        <w:rPr>
          <w:i/>
          <w:szCs w:val="24"/>
        </w:rPr>
        <w:t>negat</w:t>
      </w:r>
      <w:proofErr w:type="spellEnd"/>
      <w:r w:rsidRPr="009851D9">
        <w:rPr>
          <w:szCs w:val="24"/>
        </w:rPr>
        <w:t xml:space="preserve">, konsument w razie sporu nie jest zobowiązany wykazać, że treść cyfrowa lub usługa cyfrowa nie zostały dostarczone. Przepis ten nie ustanawia zatem zasadniczo nowych obowiązków po stronie przedsiębiorców. </w:t>
      </w:r>
    </w:p>
    <w:p w14:paraId="024FDB52" w14:textId="238BE52F" w:rsidR="00DC1D02" w:rsidRPr="009851D9" w:rsidRDefault="000160D8" w:rsidP="009851D9">
      <w:pPr>
        <w:spacing w:before="120" w:after="0" w:line="360" w:lineRule="auto"/>
        <w:ind w:left="-15" w:firstLine="0"/>
        <w:rPr>
          <w:szCs w:val="24"/>
        </w:rPr>
      </w:pPr>
      <w:r w:rsidRPr="009851D9">
        <w:rPr>
          <w:szCs w:val="24"/>
        </w:rPr>
        <w:t>Art. 43i</w:t>
      </w:r>
      <w:r w:rsidR="00C73107" w:rsidRPr="009851D9">
        <w:rPr>
          <w:szCs w:val="24"/>
        </w:rPr>
        <w:t>–</w:t>
      </w:r>
      <w:r w:rsidRPr="009851D9">
        <w:rPr>
          <w:szCs w:val="24"/>
        </w:rPr>
        <w:t>43m dotyczą zgodności treści cyfrowej lub usługi cyfrowej z umową (art. 7</w:t>
      </w:r>
      <w:r w:rsidR="00C73107" w:rsidRPr="009851D9">
        <w:rPr>
          <w:szCs w:val="24"/>
        </w:rPr>
        <w:t>–</w:t>
      </w:r>
      <w:r w:rsidRPr="009851D9">
        <w:rPr>
          <w:szCs w:val="24"/>
        </w:rPr>
        <w:t>9 DCD), oraz odpowiedzialności przedsiębiorcy w razie jej braku (art. 11</w:t>
      </w:r>
      <w:r w:rsidR="00C73107" w:rsidRPr="009851D9">
        <w:rPr>
          <w:szCs w:val="24"/>
        </w:rPr>
        <w:t>–</w:t>
      </w:r>
      <w:r w:rsidRPr="009851D9">
        <w:rPr>
          <w:szCs w:val="24"/>
        </w:rPr>
        <w:t>18 DCD), tj. stanowią odpowiednik przepisów SGD. Przewiduje się uregulowanie tej kwestii</w:t>
      </w:r>
      <w:r w:rsidR="00991597">
        <w:rPr>
          <w:szCs w:val="24"/>
        </w:rPr>
        <w:t>,</w:t>
      </w:r>
      <w:r w:rsidRPr="009851D9">
        <w:rPr>
          <w:szCs w:val="24"/>
        </w:rPr>
        <w:t xml:space="preserve"> analogicznie </w:t>
      </w:r>
      <w:r w:rsidR="00276457">
        <w:rPr>
          <w:szCs w:val="24"/>
        </w:rPr>
        <w:t>do</w:t>
      </w:r>
      <w:r w:rsidRPr="009851D9">
        <w:rPr>
          <w:szCs w:val="24"/>
        </w:rPr>
        <w:t xml:space="preserve"> przypadku implementacji przepisów SGD, jedynie z uwzględnieniem drobnych odstępstw wymaganych przez DCD, a wynikających ze specyfiki treści cyfrowych i usług cyfrowych. </w:t>
      </w:r>
    </w:p>
    <w:p w14:paraId="4C9D945B" w14:textId="2BF3D9BC" w:rsidR="00DC1D02" w:rsidRPr="009851D9" w:rsidRDefault="000160D8" w:rsidP="009851D9">
      <w:pPr>
        <w:spacing w:before="120" w:after="0" w:line="360" w:lineRule="auto"/>
        <w:ind w:left="-15" w:firstLine="0"/>
        <w:rPr>
          <w:szCs w:val="24"/>
        </w:rPr>
      </w:pPr>
      <w:r w:rsidRPr="009851D9">
        <w:rPr>
          <w:szCs w:val="24"/>
        </w:rPr>
        <w:t xml:space="preserve">W art. 43i wskazano wymogi zgodności treści cyfrowej lub usługi cyfrowej z umową (ust. 1 </w:t>
      </w:r>
      <w:r w:rsidR="00234666" w:rsidRPr="009851D9">
        <w:rPr>
          <w:szCs w:val="24"/>
        </w:rPr>
        <w:t>i</w:t>
      </w:r>
      <w:r w:rsidR="00234666">
        <w:rPr>
          <w:szCs w:val="24"/>
        </w:rPr>
        <w:t> </w:t>
      </w:r>
      <w:r w:rsidRPr="009851D9">
        <w:rPr>
          <w:szCs w:val="24"/>
        </w:rPr>
        <w:t>2). Przy ocenie zgodności z umową należy wziąć między innymi pod uwagę, do jakiego celu są zazwyczaj wykorzystywane treści cyfrowe lub usługi cyfrowe tego samego rodzaju. Powinny one również charakteryzować się cechami i funkcjami działania, którymi zazwyczaj charakteryzują się treści cyfrowe lub usługi cyfrowe tego samego rodzaju, z uwzględnieniem obowiązujących przepisów prawa, norm technicznych lub dobrych praktyk.</w:t>
      </w:r>
    </w:p>
    <w:p w14:paraId="54515069" w14:textId="70D3478F" w:rsidR="00DC1D02" w:rsidRPr="009851D9" w:rsidRDefault="000160D8" w:rsidP="009851D9">
      <w:pPr>
        <w:spacing w:before="120" w:after="0" w:line="360" w:lineRule="auto"/>
        <w:ind w:left="-15" w:firstLine="0"/>
        <w:rPr>
          <w:szCs w:val="24"/>
        </w:rPr>
      </w:pPr>
      <w:r w:rsidRPr="009851D9">
        <w:rPr>
          <w:szCs w:val="24"/>
        </w:rPr>
        <w:t xml:space="preserve">Zgodnie z ust. 5 przedsiębiorca nie ponosi odpowiedzialności, jeżeli konsument, najpóźniej </w:t>
      </w:r>
      <w:r w:rsidR="00234666" w:rsidRPr="009851D9">
        <w:rPr>
          <w:szCs w:val="24"/>
        </w:rPr>
        <w:t>w</w:t>
      </w:r>
      <w:r w:rsidR="00234666">
        <w:rPr>
          <w:szCs w:val="24"/>
        </w:rPr>
        <w:t> </w:t>
      </w:r>
      <w:r w:rsidRPr="009851D9">
        <w:rPr>
          <w:szCs w:val="24"/>
        </w:rPr>
        <w:t xml:space="preserve">chwili zawarcia umowy, został wyraźnie poinformowany, że konkretna cecha treści cyfrowej lub usługi cyfrowej odbiega od wymogów zgodności z umową określonych w ust. 2 lub 3 oraz wyraźnie i odrębnie zaakceptował brak konkretnej cechy treści cyfrowej lub usługi cyfrowej. Powyższe oznacza, że aby uwolnić się od odpowiedzialności przewidzianej w tym przepisie, </w:t>
      </w:r>
      <w:r w:rsidRPr="009851D9">
        <w:rPr>
          <w:szCs w:val="24"/>
        </w:rPr>
        <w:lastRenderedPageBreak/>
        <w:t>przed zawarciem umowy przedsiębiorca powinien wyraźnie i jasno poinformować konsumenta o braku konkretnej cechy treści cyfrowej lub usługi cyfrowej (czyli o tym, że treść cyfrowa lub usługa cyfrowa nie posiada określonej cechy</w:t>
      </w:r>
      <w:r w:rsidR="00190DA7">
        <w:rPr>
          <w:szCs w:val="24"/>
        </w:rPr>
        <w:t>,</w:t>
      </w:r>
      <w:r w:rsidRPr="009851D9">
        <w:rPr>
          <w:szCs w:val="24"/>
        </w:rPr>
        <w:t xml:space="preserve"> mimo że treści tego samego rodzaju lub usługi tego samego rodzaju takie cechy zazwyczaj posiadają), a konsument powinien wyraźnie </w:t>
      </w:r>
      <w:r w:rsidR="00234666" w:rsidRPr="009851D9">
        <w:rPr>
          <w:szCs w:val="24"/>
        </w:rPr>
        <w:t>i</w:t>
      </w:r>
      <w:r w:rsidR="00234666">
        <w:rPr>
          <w:szCs w:val="24"/>
        </w:rPr>
        <w:t> </w:t>
      </w:r>
      <w:r w:rsidRPr="009851D9">
        <w:rPr>
          <w:szCs w:val="24"/>
        </w:rPr>
        <w:t xml:space="preserve">odrębnie zaakceptować brak tej cechy, co oznacza, że obie te przesłanki muszą wystąpić łącznie. </w:t>
      </w:r>
    </w:p>
    <w:p w14:paraId="4E86A575" w14:textId="1D3E4AC5" w:rsidR="00DC1D02" w:rsidRPr="009851D9" w:rsidRDefault="000160D8" w:rsidP="009851D9">
      <w:pPr>
        <w:spacing w:before="120" w:after="0" w:line="360" w:lineRule="auto"/>
        <w:ind w:left="-15" w:firstLine="0"/>
        <w:rPr>
          <w:szCs w:val="24"/>
        </w:rPr>
      </w:pPr>
      <w:r w:rsidRPr="009851D9">
        <w:rPr>
          <w:szCs w:val="24"/>
        </w:rPr>
        <w:t>W art. 43j ust. 1 i 3 określono granice czasowe odpowiedzialności przedsiębiorcy za brak zgodności treści lub usługi cyfrowej z umową dostarczanej jednorazowo, częściami i w sposób ciągły oraz przesłanki wskazujące</w:t>
      </w:r>
      <w:r w:rsidR="00721EE7">
        <w:rPr>
          <w:szCs w:val="24"/>
        </w:rPr>
        <w:t>,</w:t>
      </w:r>
      <w:r w:rsidRPr="009851D9">
        <w:rPr>
          <w:szCs w:val="24"/>
        </w:rPr>
        <w:t xml:space="preserve"> kiedy domniemanie odpowiedzialności przedsiębiorcy może zostać wyłączone (art. 43j ust. 5). Domniemania określone w ust. 1 i 3, zgodnie z art. 43j ust. 5 nie mają zatem zastosowania, jeżeli: (1) środowisko cyfrowe konsumenta nie jest zgodne </w:t>
      </w:r>
      <w:r w:rsidR="00BB389C" w:rsidRPr="009851D9">
        <w:rPr>
          <w:szCs w:val="24"/>
        </w:rPr>
        <w:t>z</w:t>
      </w:r>
      <w:r w:rsidR="00BB389C">
        <w:rPr>
          <w:szCs w:val="24"/>
        </w:rPr>
        <w:t> </w:t>
      </w:r>
      <w:r w:rsidRPr="009851D9">
        <w:rPr>
          <w:szCs w:val="24"/>
        </w:rPr>
        <w:t xml:space="preserve">wymaganiami technicznymi, o których przedsiębiorca poinformował go w sposób jasny </w:t>
      </w:r>
      <w:r w:rsidR="00234666" w:rsidRPr="009851D9">
        <w:rPr>
          <w:szCs w:val="24"/>
        </w:rPr>
        <w:t>i</w:t>
      </w:r>
      <w:r w:rsidR="00234666">
        <w:rPr>
          <w:szCs w:val="24"/>
        </w:rPr>
        <w:t> </w:t>
      </w:r>
      <w:r w:rsidRPr="009851D9">
        <w:rPr>
          <w:szCs w:val="24"/>
        </w:rPr>
        <w:t xml:space="preserve">zrozumiały przed zawarciem umowy; lub (2) konsument, poinformowany w jasny </w:t>
      </w:r>
      <w:r w:rsidR="00234666" w:rsidRPr="009851D9">
        <w:rPr>
          <w:szCs w:val="24"/>
        </w:rPr>
        <w:t>i</w:t>
      </w:r>
      <w:r w:rsidR="00234666">
        <w:rPr>
          <w:szCs w:val="24"/>
        </w:rPr>
        <w:t> </w:t>
      </w:r>
      <w:r w:rsidRPr="009851D9">
        <w:rPr>
          <w:szCs w:val="24"/>
        </w:rPr>
        <w:t xml:space="preserve">zrozumiały sposób przed zawarciem umowy o obowiązku współpracy z przedsiębiorcą, </w:t>
      </w:r>
      <w:r w:rsidR="00234666" w:rsidRPr="009851D9">
        <w:rPr>
          <w:szCs w:val="24"/>
        </w:rPr>
        <w:t>w</w:t>
      </w:r>
      <w:r w:rsidR="00234666">
        <w:rPr>
          <w:szCs w:val="24"/>
        </w:rPr>
        <w:t> </w:t>
      </w:r>
      <w:r w:rsidRPr="009851D9">
        <w:rPr>
          <w:szCs w:val="24"/>
        </w:rPr>
        <w:t>rozsądnym zakresie i przy zastosowaniu najmniej uciążliwych dla niego środków technicznych, w celu ustalenia, czy brak zgodności treści cyfrowej lub usługi cyfrowej z umową w odpowiednim czasie wynika z cech środowiska cyfrowego konsumenta, nie wykonuje tego obowiązku. Jednocześnie w art. 43j ust. 2 zastrzeżono</w:t>
      </w:r>
      <w:r w:rsidR="001C130F">
        <w:rPr>
          <w:szCs w:val="24"/>
        </w:rPr>
        <w:t>,</w:t>
      </w:r>
      <w:r w:rsidRPr="009851D9">
        <w:rPr>
          <w:szCs w:val="24"/>
        </w:rPr>
        <w:t xml:space="preserve"> analogicznie </w:t>
      </w:r>
      <w:r w:rsidR="00190DA7">
        <w:rPr>
          <w:szCs w:val="24"/>
        </w:rPr>
        <w:t>do</w:t>
      </w:r>
      <w:r w:rsidRPr="009851D9">
        <w:rPr>
          <w:szCs w:val="24"/>
        </w:rPr>
        <w:t xml:space="preserve"> przypadku art. 558 § 2 k.c., że podstępne zatajenie przez przedsiębiorcę braku zgodności treści cyfrowej lub usługi cyfrowej z umową wyłącza możliwość powoływania się na upływ terminu do stwierdzenia takiego braku. </w:t>
      </w:r>
    </w:p>
    <w:p w14:paraId="1E866720" w14:textId="25FA008D" w:rsidR="00DC1D02" w:rsidRPr="009851D9" w:rsidRDefault="000160D8" w:rsidP="009851D9">
      <w:pPr>
        <w:spacing w:before="120" w:after="0" w:line="360" w:lineRule="auto"/>
        <w:ind w:left="-15" w:firstLine="0"/>
        <w:rPr>
          <w:szCs w:val="24"/>
        </w:rPr>
      </w:pPr>
      <w:r w:rsidRPr="009851D9">
        <w:rPr>
          <w:szCs w:val="24"/>
        </w:rPr>
        <w:t xml:space="preserve">Z treści art. 43j ust. 5 pkt 2 wynika nałożony na konsumenta obowiązek współpracy </w:t>
      </w:r>
      <w:r w:rsidR="00234666" w:rsidRPr="009851D9">
        <w:rPr>
          <w:szCs w:val="24"/>
        </w:rPr>
        <w:t>z</w:t>
      </w:r>
      <w:r w:rsidR="00234666">
        <w:rPr>
          <w:szCs w:val="24"/>
        </w:rPr>
        <w:t> </w:t>
      </w:r>
      <w:r w:rsidRPr="009851D9">
        <w:rPr>
          <w:szCs w:val="24"/>
        </w:rPr>
        <w:t>przedsiębiorcą w celu ustalenia</w:t>
      </w:r>
      <w:r w:rsidR="00F84E3C" w:rsidRPr="009851D9">
        <w:rPr>
          <w:szCs w:val="24"/>
        </w:rPr>
        <w:t xml:space="preserve">, </w:t>
      </w:r>
      <w:r w:rsidRPr="009851D9">
        <w:rPr>
          <w:szCs w:val="24"/>
        </w:rPr>
        <w:t xml:space="preserve">czy brak zgodności treści cyfrowej lub usługi cyfrowej </w:t>
      </w:r>
      <w:r w:rsidR="00234666" w:rsidRPr="009851D9">
        <w:rPr>
          <w:szCs w:val="24"/>
        </w:rPr>
        <w:t>z</w:t>
      </w:r>
      <w:r w:rsidR="00234666">
        <w:rPr>
          <w:szCs w:val="24"/>
        </w:rPr>
        <w:t> </w:t>
      </w:r>
      <w:r w:rsidRPr="009851D9">
        <w:rPr>
          <w:szCs w:val="24"/>
        </w:rPr>
        <w:t>umową nie wynika ze środowiska cyfrowego konsumenta. O takim obowiązku konsument powinien być każdorazowo informowany przez przedsiębiorcę w sposób jasny i zrozumiały przed zawarciem umowy. Konsekwencją braku współpracy konsumenta, mimo poinformowania o takim obowiązku przez przedsiębiorcę, może być obalenie odpowiedzialności przedsiębiorcy. Co istotne, z dyspozycji art. 43j także wprost wynika, że treści cyfrowe lub usługi cyfrowe mogą być dostarczane konsumentom w ramach jednej dostawy, przykładowo</w:t>
      </w:r>
      <w:r w:rsidR="00EF1DE6" w:rsidRPr="009851D9">
        <w:rPr>
          <w:szCs w:val="24"/>
        </w:rPr>
        <w:t>,</w:t>
      </w:r>
      <w:r w:rsidRPr="009851D9">
        <w:rPr>
          <w:szCs w:val="24"/>
        </w:rPr>
        <w:t xml:space="preserve"> gdy konsumenci pobierają e-book i zachowują go na osobistym urządzeniu. Podobnie dostawa może składać się z szeregu takich odrębnych czynności, na przykład w sytuacji, gdy konsumenci otrzymują co tydzień link, aby pobrać nowy e-book. </w:t>
      </w:r>
      <w:r w:rsidR="00234666" w:rsidRPr="009851D9">
        <w:rPr>
          <w:szCs w:val="24"/>
        </w:rPr>
        <w:t>W</w:t>
      </w:r>
      <w:r w:rsidR="00234666">
        <w:rPr>
          <w:szCs w:val="24"/>
        </w:rPr>
        <w:t> </w:t>
      </w:r>
      <w:r w:rsidRPr="009851D9">
        <w:rPr>
          <w:szCs w:val="24"/>
        </w:rPr>
        <w:t xml:space="preserve">takich przypadkach, stosownie do DCD (motyw 56 dyrektywy), jak i treści art. 43j, zgodność </w:t>
      </w:r>
      <w:r w:rsidRPr="009851D9">
        <w:rPr>
          <w:szCs w:val="24"/>
        </w:rPr>
        <w:lastRenderedPageBreak/>
        <w:t>treści cyfrowych lub usługi cyfrowej z umową należy ocenić w momencie dostawy, a zatem przedsiębiorca powinien ponosić odpowiedzialność za ewentualny brak zgodności z umową</w:t>
      </w:r>
      <w:r w:rsidR="00EF1DE6" w:rsidRPr="009851D9">
        <w:rPr>
          <w:szCs w:val="24"/>
        </w:rPr>
        <w:t>,</w:t>
      </w:r>
      <w:r w:rsidRPr="009851D9">
        <w:rPr>
          <w:szCs w:val="24"/>
        </w:rPr>
        <w:t xml:space="preserve"> zaistniały w momencie pojedynczej dostawy lub każdej odrębnej dostawy. </w:t>
      </w:r>
    </w:p>
    <w:p w14:paraId="252F0680" w14:textId="769B4A6B" w:rsidR="00DC1D02" w:rsidRPr="009851D9" w:rsidRDefault="000160D8" w:rsidP="009851D9">
      <w:pPr>
        <w:spacing w:before="120" w:after="0" w:line="360" w:lineRule="auto"/>
        <w:ind w:left="-15" w:firstLine="0"/>
        <w:rPr>
          <w:szCs w:val="24"/>
        </w:rPr>
      </w:pPr>
      <w:r w:rsidRPr="009851D9">
        <w:rPr>
          <w:szCs w:val="24"/>
        </w:rPr>
        <w:t xml:space="preserve">Treści cyfrowe lub usługi cyfrowe można również dostarczać konsumentom w sposób ciągły przez określony czas. Dostawa w sposób ciągły może obejmować przypadki, gdy przedsiębiorca udostępnia usługę cyfrową konsumentowi przez określony lub nieokreślony czas, na przykład w przypadku dwuletniej umowy o przechowywanie w chmurze lub członkostwa w platformie mediów społecznościowych na czas nieokreślony. Cechą wyróżniającą tej kategorii jest to, że treści cyfrowe lub usługa cyfrowa są dostępne dla konsumentów lub im udostępniane wyłącznie w ustalonym okresie trwania umowy lub podczas obowiązywania umowy na czas nieokreślony. Dlatego też </w:t>
      </w:r>
      <w:r w:rsidR="00EF1DE6" w:rsidRPr="009851D9">
        <w:rPr>
          <w:szCs w:val="24"/>
        </w:rPr>
        <w:t xml:space="preserve">jest </w:t>
      </w:r>
      <w:r w:rsidRPr="009851D9">
        <w:rPr>
          <w:szCs w:val="24"/>
        </w:rPr>
        <w:t>uzasadnione, aby przedsiębiorca w takich przypadkach odpowiadał za brak zgodności z umową, który ujawnił się w tym okresie. Przypadki takie jak transmisja strumieniowa na żywo krótkiego filmu wideo należy uznać za dostawę w sposób ciągły przez określony czas, niezależnie od faktycznej długości pliku audiowizualnego. Przypadki, w których określone elementy treści cyfrowych lub usługi cyfrowej są udostępniane okresowo lub wielokrotnie w okresie trwania umowy lub tak długo, jak obowiązuje umowa na czas nieokreślony, należy również traktować jako dostawy w sposób ciągły przez określony czas, na przykład gdy umowa stanowi, że kopia oprogramowania antywirusowego może być wykorzystywana przez rok i będzie automatycznie aktualizowana pierwszego dnia każdego miesiąca w tym okresie lub że przedsiębiorca będzie wysyłał aktualizacje zawsze, gdy pojawią się nowe elementy gry cyfrowej, a treści cyfrowe lub usługa cyfrowa są dostępne dla konsumentów lub im udostępniane wyłącznie w okresie obowiązywania umowy lub tak długo, jak obowiązuje umowa na czas nieokreślony (motyw 57 DCD).</w:t>
      </w:r>
    </w:p>
    <w:p w14:paraId="1819281B" w14:textId="77777777" w:rsidR="00DC1D02" w:rsidRPr="009851D9" w:rsidRDefault="000160D8" w:rsidP="009851D9">
      <w:pPr>
        <w:spacing w:before="120" w:after="0" w:line="360" w:lineRule="auto"/>
        <w:ind w:left="-15" w:firstLine="0"/>
        <w:rPr>
          <w:szCs w:val="24"/>
        </w:rPr>
      </w:pPr>
      <w:r w:rsidRPr="009851D9">
        <w:rPr>
          <w:szCs w:val="24"/>
        </w:rPr>
        <w:t xml:space="preserve">W art. 43k wskazano uprawnienia konsumenta w przypadku braku zgodności treści cyfrowej lub usługi cyfrowej z umową. W ust. 1 uregulowano prawo konsumenta do doprowadzenia treści cyfrowej lub usługi cyfrowej do zgodności z umową, które przysługuje konsumentowi bezwarunkowo. </w:t>
      </w:r>
    </w:p>
    <w:p w14:paraId="182451DA" w14:textId="0966BD55" w:rsidR="00DC1D02" w:rsidRPr="009851D9" w:rsidRDefault="000160D8" w:rsidP="009851D9">
      <w:pPr>
        <w:spacing w:before="120" w:after="0" w:line="360" w:lineRule="auto"/>
        <w:ind w:left="-15" w:firstLine="0"/>
        <w:rPr>
          <w:szCs w:val="24"/>
        </w:rPr>
      </w:pPr>
      <w:r w:rsidRPr="009851D9">
        <w:rPr>
          <w:szCs w:val="24"/>
        </w:rPr>
        <w:t>W art. 43l ust. 1 wskazano, kiedy konsument może złożyć oświadczenie o obniżeniu ceny albo odstąpieniu od umowy. Zgodnie z treścią tego przepisu są to następujące sytuacje: doprowadzenie do zgodności z umową jest niemożliwe albo wymaga nadmiernych kosztów po stronie przedsiębiorcy</w:t>
      </w:r>
      <w:r w:rsidR="00A43578" w:rsidRPr="009851D9">
        <w:rPr>
          <w:szCs w:val="24"/>
        </w:rPr>
        <w:t>,</w:t>
      </w:r>
      <w:r w:rsidRPr="009851D9">
        <w:rPr>
          <w:szCs w:val="24"/>
        </w:rPr>
        <w:t xml:space="preserve"> przedsiębiorca nie doprowadził treści cyfrowej lub usługi cyfrowej do zgodności z umową zgodnie z art. 43k ust. 4</w:t>
      </w:r>
      <w:r w:rsidR="00A43578" w:rsidRPr="009851D9">
        <w:rPr>
          <w:szCs w:val="24"/>
        </w:rPr>
        <w:t>,</w:t>
      </w:r>
      <w:r w:rsidRPr="009851D9">
        <w:rPr>
          <w:szCs w:val="24"/>
        </w:rPr>
        <w:t xml:space="preserve"> brak zgodności z umową występuje nadal, mimo </w:t>
      </w:r>
      <w:r w:rsidRPr="009851D9">
        <w:rPr>
          <w:szCs w:val="24"/>
        </w:rPr>
        <w:lastRenderedPageBreak/>
        <w:t xml:space="preserve">że przedsiębiorca próbował doprowadzić treść cyfrową lub usługę cyfrową do zgodności </w:t>
      </w:r>
      <w:r w:rsidR="00BB389C" w:rsidRPr="009851D9">
        <w:rPr>
          <w:szCs w:val="24"/>
        </w:rPr>
        <w:t>z</w:t>
      </w:r>
      <w:r w:rsidR="00BB389C">
        <w:rPr>
          <w:szCs w:val="24"/>
        </w:rPr>
        <w:t> </w:t>
      </w:r>
      <w:r w:rsidRPr="009851D9">
        <w:rPr>
          <w:szCs w:val="24"/>
        </w:rPr>
        <w:t>umową</w:t>
      </w:r>
      <w:r w:rsidR="00A43578" w:rsidRPr="009851D9">
        <w:rPr>
          <w:szCs w:val="24"/>
        </w:rPr>
        <w:t>,</w:t>
      </w:r>
      <w:r w:rsidRPr="009851D9">
        <w:rPr>
          <w:szCs w:val="24"/>
        </w:rPr>
        <w:t xml:space="preserve"> lub brak zgodności treści cyfrowej lub usługi cyfrowej z umową jest na tyle istotny, że uzasadnia natychmiastowe obniżenie ceny albo odstąpienie od umowy</w:t>
      </w:r>
      <w:r w:rsidR="00A43578" w:rsidRPr="009851D9">
        <w:rPr>
          <w:szCs w:val="24"/>
        </w:rPr>
        <w:t>,</w:t>
      </w:r>
      <w:r w:rsidRPr="009851D9">
        <w:rPr>
          <w:szCs w:val="24"/>
        </w:rPr>
        <w:t xml:space="preserve"> lub </w:t>
      </w:r>
      <w:r w:rsidR="00234666" w:rsidRPr="009851D9">
        <w:rPr>
          <w:szCs w:val="24"/>
        </w:rPr>
        <w:t>z</w:t>
      </w:r>
      <w:r w:rsidR="00234666">
        <w:rPr>
          <w:szCs w:val="24"/>
        </w:rPr>
        <w:t> </w:t>
      </w:r>
      <w:r w:rsidRPr="009851D9">
        <w:rPr>
          <w:szCs w:val="24"/>
        </w:rPr>
        <w:t>oświadczenia przedsiębiorcy lub okoliczności wyraźnie wynika, że nie doprowadzi on treści cyfrowej lub usługi cyfrowej do zgodności z umową w rozsądnym czasie lub bez nadmiernych niedogodności dla konsument</w:t>
      </w:r>
      <w:r w:rsidR="00A43578" w:rsidRPr="009851D9">
        <w:rPr>
          <w:szCs w:val="24"/>
        </w:rPr>
        <w:t>a</w:t>
      </w:r>
      <w:r w:rsidRPr="009851D9">
        <w:rPr>
          <w:szCs w:val="24"/>
        </w:rPr>
        <w:t xml:space="preserve">. W niektórych sytuacjach </w:t>
      </w:r>
      <w:r w:rsidR="00A43578" w:rsidRPr="009851D9">
        <w:rPr>
          <w:szCs w:val="24"/>
        </w:rPr>
        <w:t xml:space="preserve">jest </w:t>
      </w:r>
      <w:r w:rsidRPr="009851D9">
        <w:rPr>
          <w:szCs w:val="24"/>
        </w:rPr>
        <w:t>uzasadnione, aby konsument miał prawo do natychmiastowego obniżenia ceny lub do odstąpienia od umowy, przykładowo</w:t>
      </w:r>
      <w:r w:rsidR="00721EE7">
        <w:rPr>
          <w:szCs w:val="24"/>
        </w:rPr>
        <w:t>,</w:t>
      </w:r>
      <w:r w:rsidRPr="009851D9">
        <w:rPr>
          <w:szCs w:val="24"/>
        </w:rPr>
        <w:t xml:space="preserve"> jeżeli przedsiębiorca poprzednio nie doprowadził treści cyfrowej lub usługi cyfrowej do zgodności </w:t>
      </w:r>
      <w:r w:rsidR="00234666" w:rsidRPr="009851D9">
        <w:rPr>
          <w:szCs w:val="24"/>
        </w:rPr>
        <w:t>z</w:t>
      </w:r>
      <w:r w:rsidR="00234666">
        <w:rPr>
          <w:szCs w:val="24"/>
        </w:rPr>
        <w:t> </w:t>
      </w:r>
      <w:r w:rsidRPr="009851D9">
        <w:rPr>
          <w:szCs w:val="24"/>
        </w:rPr>
        <w:t>umową lub jeżeli nie można oczekiwać od konsumenta dalszego zaufania do przedsiębiorcy i jego zdolności doprowadzenia treści cyfrowej lub usługi cyfrowej do zgodności z umową, ze względu na poważny brak zgodności z umową</w:t>
      </w:r>
      <w:r w:rsidR="00CB5ACB" w:rsidRPr="009851D9">
        <w:rPr>
          <w:szCs w:val="24"/>
        </w:rPr>
        <w:t xml:space="preserve"> treści cyfrowej lub usługi cyfrowej</w:t>
      </w:r>
      <w:r w:rsidRPr="009851D9">
        <w:rPr>
          <w:szCs w:val="24"/>
        </w:rPr>
        <w:t xml:space="preserve">. Przykładowo konsument powinien mieć prawo bezpośrednio zażądać obniżenia ceny lub rozwiązania umowy, jeżeli dostarczono mu oprogramowanie antywirusowe, które samo jest zainfekowane wirusem, co stanowi przykład istotnego (znaczącego, ponadprzeciętnie dużego) braku zgodności z umową. Ta sama zasada powinna mieć zastosowanie, jeżeli </w:t>
      </w:r>
      <w:r w:rsidR="00CB5ACB" w:rsidRPr="009851D9">
        <w:rPr>
          <w:szCs w:val="24"/>
        </w:rPr>
        <w:t xml:space="preserve">jest </w:t>
      </w:r>
      <w:r w:rsidRPr="009851D9">
        <w:rPr>
          <w:szCs w:val="24"/>
        </w:rPr>
        <w:t xml:space="preserve">jasne, że przedsiębiorca nie doprowadzi treści cyfrowej lub usługi cyfrowej do zgodności z umową </w:t>
      </w:r>
      <w:r w:rsidR="00234666" w:rsidRPr="009851D9">
        <w:rPr>
          <w:szCs w:val="24"/>
        </w:rPr>
        <w:t>w</w:t>
      </w:r>
      <w:r w:rsidR="00234666">
        <w:rPr>
          <w:szCs w:val="24"/>
        </w:rPr>
        <w:t> </w:t>
      </w:r>
      <w:r w:rsidRPr="009851D9">
        <w:rPr>
          <w:szCs w:val="24"/>
        </w:rPr>
        <w:t>rozsądnym terminie lub bez poważnych niedogodności dla konsumenta (powyższe rozumienie zgodne jest także z motywem 65 DCD).</w:t>
      </w:r>
    </w:p>
    <w:p w14:paraId="4464DAF5" w14:textId="1B40E481" w:rsidR="00DC1D02" w:rsidRPr="009851D9" w:rsidRDefault="00CB5ACB" w:rsidP="009851D9">
      <w:pPr>
        <w:spacing w:before="120" w:after="0" w:line="360" w:lineRule="auto"/>
        <w:ind w:left="-15" w:firstLine="0"/>
        <w:rPr>
          <w:szCs w:val="24"/>
        </w:rPr>
      </w:pPr>
      <w:r w:rsidRPr="009851D9">
        <w:rPr>
          <w:szCs w:val="24"/>
        </w:rPr>
        <w:t>Art. 43l u</w:t>
      </w:r>
      <w:r w:rsidR="000160D8" w:rsidRPr="009851D9">
        <w:rPr>
          <w:szCs w:val="24"/>
        </w:rPr>
        <w:t xml:space="preserve">st. 2 reguluje kwestię obniżenia ceny w przypadku braku zgodności treści cyfrowej lub usługi cyfrowej z umową. Jeżeli konsument ma prawo do obniżenia ceny zapłaconej za treści cyfrowe lub usługę cyfrową dostarczane przez określony czas, przy obliczaniu obniżki ceny należy uwzględnić zmniejszenie wartości treści cyfrowej lub usługi cyfrowej ze względu zarówno na brak zgodności z umową, jak i czas, w którym konsument nie mógł korzystać </w:t>
      </w:r>
      <w:r w:rsidR="00234666" w:rsidRPr="009851D9">
        <w:rPr>
          <w:szCs w:val="24"/>
        </w:rPr>
        <w:t>z</w:t>
      </w:r>
      <w:r w:rsidR="00234666">
        <w:rPr>
          <w:szCs w:val="24"/>
        </w:rPr>
        <w:t> </w:t>
      </w:r>
      <w:r w:rsidR="000160D8" w:rsidRPr="009851D9">
        <w:rPr>
          <w:szCs w:val="24"/>
        </w:rPr>
        <w:t>treści cyfrowej lub usługi cyfrowej zgodnych z umową.</w:t>
      </w:r>
    </w:p>
    <w:p w14:paraId="6C30BCC5" w14:textId="77777777" w:rsidR="00DC1D02" w:rsidRPr="009851D9" w:rsidRDefault="000160D8" w:rsidP="009851D9">
      <w:pPr>
        <w:spacing w:before="120" w:after="0" w:line="360" w:lineRule="auto"/>
        <w:ind w:left="-15" w:firstLine="0"/>
        <w:rPr>
          <w:szCs w:val="24"/>
        </w:rPr>
      </w:pPr>
      <w:r w:rsidRPr="009851D9">
        <w:rPr>
          <w:szCs w:val="24"/>
        </w:rPr>
        <w:t>Art. 43m statuuje obowiązek przedsiębiorcy dotyczący niewykorzystywania wytworzonych lub dostarczonych przez konsumenta treści, po odstąpieniu przez konsumenta od umowy. W ust. 3 przewidziano, że przedsiębiorca może żądać zwrotu nośnika materialnego, na którym dostarczał treść cyfrową. W tym miejscu należy wskazać, że przez nośnik materialny należy rozumieć takie rzeczy, jak np. płyty DVD, CD, pamięć podręczną USB i kartę pamięci oraz tym podobne przedmioty (motyw 20 DCD). W ust. 1 art. 43j, wzorem art. 43c ust. 1, dookreślono termin, w którym ujawnienie się niezgodności treści lub usługi cyfrowej rodzi odpowiedzialność przedsiębiorcy.</w:t>
      </w:r>
    </w:p>
    <w:p w14:paraId="24C6D49E" w14:textId="13031205" w:rsidR="00DC1D02" w:rsidRPr="009851D9" w:rsidRDefault="000160D8" w:rsidP="009851D9">
      <w:pPr>
        <w:spacing w:before="120" w:after="0" w:line="360" w:lineRule="auto"/>
        <w:ind w:left="-15" w:firstLine="0"/>
        <w:rPr>
          <w:szCs w:val="24"/>
        </w:rPr>
      </w:pPr>
      <w:r w:rsidRPr="009851D9">
        <w:rPr>
          <w:szCs w:val="24"/>
        </w:rPr>
        <w:lastRenderedPageBreak/>
        <w:t>Art. 43n</w:t>
      </w:r>
      <w:r w:rsidR="00FC568B">
        <w:rPr>
          <w:szCs w:val="24"/>
        </w:rPr>
        <w:t xml:space="preserve"> i </w:t>
      </w:r>
      <w:r w:rsidRPr="009851D9">
        <w:rPr>
          <w:szCs w:val="24"/>
        </w:rPr>
        <w:t xml:space="preserve">43o regulują zasady dokonywania zmiany treści cyfrowej lub usługi cyfrowej </w:t>
      </w:r>
      <w:r w:rsidR="00234666" w:rsidRPr="009851D9">
        <w:rPr>
          <w:szCs w:val="24"/>
        </w:rPr>
        <w:t>w</w:t>
      </w:r>
      <w:r w:rsidR="00234666">
        <w:rPr>
          <w:szCs w:val="24"/>
        </w:rPr>
        <w:t> </w:t>
      </w:r>
      <w:r w:rsidRPr="009851D9">
        <w:rPr>
          <w:szCs w:val="24"/>
        </w:rPr>
        <w:t>trakcie jej dostarczania (art. 19 DCD). Art. 43p</w:t>
      </w:r>
      <w:r w:rsidR="00FC568B">
        <w:rPr>
          <w:szCs w:val="24"/>
        </w:rPr>
        <w:t xml:space="preserve"> i art. </w:t>
      </w:r>
      <w:r w:rsidR="003622CB">
        <w:rPr>
          <w:szCs w:val="24"/>
        </w:rPr>
        <w:t>43</w:t>
      </w:r>
      <w:r w:rsidRPr="009851D9">
        <w:rPr>
          <w:szCs w:val="24"/>
        </w:rPr>
        <w:t xml:space="preserve">q doprecyzowują zakres regulacji rozdziału (art. 3 ust. 3 </w:t>
      </w:r>
      <w:r w:rsidR="003622CB">
        <w:rPr>
          <w:szCs w:val="24"/>
        </w:rPr>
        <w:t>i</w:t>
      </w:r>
      <w:r w:rsidRPr="009851D9">
        <w:rPr>
          <w:szCs w:val="24"/>
        </w:rPr>
        <w:t xml:space="preserve"> 6, art. 3 ust. 5 lit. </w:t>
      </w:r>
      <w:r w:rsidR="002D08ED" w:rsidRPr="009851D9">
        <w:rPr>
          <w:szCs w:val="24"/>
        </w:rPr>
        <w:t xml:space="preserve">b i </w:t>
      </w:r>
      <w:r w:rsidRPr="009851D9">
        <w:rPr>
          <w:szCs w:val="24"/>
        </w:rPr>
        <w:t xml:space="preserve">h DCD). </w:t>
      </w:r>
    </w:p>
    <w:p w14:paraId="7AD77F65" w14:textId="2385A939" w:rsidR="00DC1D02" w:rsidRPr="00C73107" w:rsidRDefault="000160D8" w:rsidP="009851D9">
      <w:pPr>
        <w:pStyle w:val="Nagwek1"/>
        <w:tabs>
          <w:tab w:val="left" w:pos="567"/>
        </w:tabs>
        <w:spacing w:before="120" w:after="0" w:line="360" w:lineRule="auto"/>
        <w:ind w:left="0" w:firstLine="0"/>
        <w:rPr>
          <w:szCs w:val="24"/>
        </w:rPr>
      </w:pPr>
      <w:r w:rsidRPr="00C73107">
        <w:rPr>
          <w:szCs w:val="24"/>
        </w:rPr>
        <w:t>VI.</w:t>
      </w:r>
      <w:r w:rsidRPr="00C73107">
        <w:rPr>
          <w:szCs w:val="24"/>
        </w:rPr>
        <w:tab/>
        <w:t xml:space="preserve">Zmiany w Kodeksie cywilnym </w:t>
      </w:r>
    </w:p>
    <w:p w14:paraId="383F4944" w14:textId="3CAE2A77" w:rsidR="00DC1D02" w:rsidRPr="00C73107" w:rsidRDefault="000160D8" w:rsidP="009851D9">
      <w:pPr>
        <w:spacing w:before="120" w:after="0" w:line="360" w:lineRule="auto"/>
        <w:ind w:left="-15" w:firstLine="0"/>
        <w:rPr>
          <w:szCs w:val="24"/>
        </w:rPr>
      </w:pPr>
      <w:r w:rsidRPr="00C73107">
        <w:rPr>
          <w:szCs w:val="24"/>
        </w:rPr>
        <w:t xml:space="preserve">Zmiany w Kodeksie cywilnym polegają na usunięciu odrębności dotyczących umów zawieranych z konsumentami w przepisach o rękojmi przy sprzedaży rzeczy ruchomych, które – wobec wyłączenia stosowania przepisów Kodeksu cywilnego dotyczących rękojmi względem konsumentów – stają się bezprzedmiotowe. Należy jednak pamiętać, że przepisy te będą znajdowały zastosowanie do umów sprzedaży nieruchomości zawieranych między przedsiębiorcą jako sprzedającym a konsumentem jako kupującym. </w:t>
      </w:r>
    </w:p>
    <w:p w14:paraId="6EEA8E0B" w14:textId="12D6B01B" w:rsidR="00DC1D02" w:rsidRPr="00C73107" w:rsidRDefault="000160D8" w:rsidP="009851D9">
      <w:pPr>
        <w:spacing w:before="120" w:after="0" w:line="360" w:lineRule="auto"/>
        <w:ind w:left="-15" w:firstLine="0"/>
        <w:rPr>
          <w:szCs w:val="24"/>
        </w:rPr>
      </w:pPr>
      <w:r w:rsidRPr="00C73107">
        <w:rPr>
          <w:szCs w:val="24"/>
        </w:rPr>
        <w:t>Zmiany w przepisach art. 556</w:t>
      </w:r>
      <w:r w:rsidR="00C73107" w:rsidRPr="00C73107">
        <w:rPr>
          <w:szCs w:val="24"/>
        </w:rPr>
        <w:t>–</w:t>
      </w:r>
      <w:r w:rsidRPr="00C73107">
        <w:rPr>
          <w:szCs w:val="24"/>
        </w:rPr>
        <w:t>556</w:t>
      </w:r>
      <w:r w:rsidRPr="00C73107">
        <w:rPr>
          <w:szCs w:val="24"/>
          <w:vertAlign w:val="superscript"/>
        </w:rPr>
        <w:t>3</w:t>
      </w:r>
      <w:r w:rsidRPr="00C73107">
        <w:rPr>
          <w:szCs w:val="24"/>
        </w:rPr>
        <w:t xml:space="preserve"> k.c. polegają na usunięciu błędnego</w:t>
      </w:r>
      <w:r w:rsidR="00FC568B">
        <w:rPr>
          <w:szCs w:val="24"/>
        </w:rPr>
        <w:t>,</w:t>
      </w:r>
      <w:r w:rsidRPr="00C73107">
        <w:rPr>
          <w:szCs w:val="24"/>
        </w:rPr>
        <w:t xml:space="preserve"> z punktu widzenia SGD</w:t>
      </w:r>
      <w:r w:rsidR="00FC568B">
        <w:rPr>
          <w:szCs w:val="24"/>
        </w:rPr>
        <w:t>,</w:t>
      </w:r>
      <w:r w:rsidRPr="00C73107">
        <w:rPr>
          <w:szCs w:val="24"/>
        </w:rPr>
        <w:t xml:space="preserve"> utożsamienia niezgodności z umową z wadą wyłącznie fizyczną i rozciągnięciu pojęcia niezgodności z umową również na wady prawne. Jakkolwiek zmieniane przepisy nie służą implementacji SGD, to zachowanie spójności terminologicznej przepisów k.c. o rękojmi </w:t>
      </w:r>
      <w:r w:rsidR="00234666" w:rsidRPr="00C73107">
        <w:rPr>
          <w:szCs w:val="24"/>
        </w:rPr>
        <w:t>z</w:t>
      </w:r>
      <w:r w:rsidR="00234666">
        <w:rPr>
          <w:szCs w:val="24"/>
        </w:rPr>
        <w:t> </w:t>
      </w:r>
      <w:r w:rsidRPr="00C73107">
        <w:rPr>
          <w:szCs w:val="24"/>
        </w:rPr>
        <w:t xml:space="preserve">implementacją SGD jest konieczne </w:t>
      </w:r>
      <w:r w:rsidR="00CE0AB2">
        <w:rPr>
          <w:szCs w:val="24"/>
        </w:rPr>
        <w:t xml:space="preserve">w </w:t>
      </w:r>
      <w:r w:rsidRPr="00C73107">
        <w:rPr>
          <w:szCs w:val="24"/>
        </w:rPr>
        <w:t>cel</w:t>
      </w:r>
      <w:r w:rsidR="00CE0AB2">
        <w:rPr>
          <w:szCs w:val="24"/>
        </w:rPr>
        <w:t>u</w:t>
      </w:r>
      <w:r w:rsidRPr="00C73107">
        <w:rPr>
          <w:szCs w:val="24"/>
        </w:rPr>
        <w:t xml:space="preserve"> uniknięcia potencjalnych wątpliwości, czy niezgodność z umową, o której mowa w przepisach implementujących SGD, obejmuje również wady prawne. Pozostawienie przepisów k.c. w obecnym brzmieniu sugerowałoby bowiem</w:t>
      </w:r>
      <w:r w:rsidR="000E57D8" w:rsidRPr="00C73107">
        <w:rPr>
          <w:szCs w:val="24"/>
        </w:rPr>
        <w:t xml:space="preserve">, </w:t>
      </w:r>
      <w:r w:rsidRPr="00C73107">
        <w:rPr>
          <w:szCs w:val="24"/>
        </w:rPr>
        <w:t xml:space="preserve">że przepisy implementujące SGD, jako posługujące się kodeksowym pojęciem niezgodności </w:t>
      </w:r>
      <w:r w:rsidR="00234666" w:rsidRPr="00C73107">
        <w:rPr>
          <w:szCs w:val="24"/>
        </w:rPr>
        <w:t>z</w:t>
      </w:r>
      <w:r w:rsidR="00234666">
        <w:rPr>
          <w:szCs w:val="24"/>
        </w:rPr>
        <w:t> </w:t>
      </w:r>
      <w:r w:rsidRPr="00C73107">
        <w:rPr>
          <w:szCs w:val="24"/>
        </w:rPr>
        <w:t>umową, nie obejmują wad prawnych. Nowa treść art. 556</w:t>
      </w:r>
      <w:r w:rsidRPr="00C73107">
        <w:rPr>
          <w:szCs w:val="24"/>
          <w:vertAlign w:val="superscript"/>
        </w:rPr>
        <w:t>3</w:t>
      </w:r>
      <w:r w:rsidRPr="00C73107">
        <w:rPr>
          <w:szCs w:val="24"/>
        </w:rPr>
        <w:t xml:space="preserve"> k.c. wynika zatem z potrzeby zachowania spójności terminologicznej z przepisami SGD, w szczególności jej art. 9, zgodnie z którym zgodność z umową powinna obejmować także wady prawne. Powyższe działanie ustawodawcy jest także spójne z motywem 35 dyrektywy SGD, zgodnie z którym „o</w:t>
      </w:r>
      <w:r w:rsidRPr="00C73107">
        <w:rPr>
          <w:i/>
          <w:szCs w:val="24"/>
        </w:rPr>
        <w:t>graniczenia wynikające z naruszenia praw osób trzecich, w szczególności praw własności intelektualnej, mogą uniemożliwić lub ograniczyć korzystanie z towarów zgodnie z umową. Państwa członkowskie powinny zapewnić, aby konsument miał wówczas prawo do środków ochrony prawnej w przypadku braku zgodności z umową zgodnie z niniejszą dyrektywą, chyba że prawo krajowe przewiduje w takich przypadkach nieważność umowy lub jej rozwiązanie</w:t>
      </w:r>
      <w:r w:rsidRPr="00C73107">
        <w:rPr>
          <w:szCs w:val="24"/>
        </w:rPr>
        <w:t>”. Celem zmiany treści art. 556</w:t>
      </w:r>
      <w:r w:rsidRPr="00C73107">
        <w:rPr>
          <w:szCs w:val="24"/>
          <w:vertAlign w:val="superscript"/>
        </w:rPr>
        <w:t xml:space="preserve">3 </w:t>
      </w:r>
      <w:r w:rsidRPr="00C73107">
        <w:rPr>
          <w:szCs w:val="24"/>
        </w:rPr>
        <w:t>k.c. nie jest zatem zniesienie rozróżnienia na wady fizyczne lub prawne, lecz rozciągnięcie zakresu art. 556</w:t>
      </w:r>
      <w:r w:rsidRPr="00C73107">
        <w:rPr>
          <w:szCs w:val="24"/>
          <w:vertAlign w:val="superscript"/>
        </w:rPr>
        <w:t>1</w:t>
      </w:r>
      <w:r w:rsidRPr="00C73107">
        <w:rPr>
          <w:szCs w:val="24"/>
        </w:rPr>
        <w:t xml:space="preserve"> k.c. także na wady prawne. </w:t>
      </w:r>
    </w:p>
    <w:p w14:paraId="37581BC1" w14:textId="6DDF52B3" w:rsidR="00DC1D02" w:rsidRPr="00C73107" w:rsidRDefault="000160D8" w:rsidP="009851D9">
      <w:pPr>
        <w:spacing w:before="120" w:after="0" w:line="360" w:lineRule="auto"/>
        <w:ind w:left="-15" w:firstLine="0"/>
        <w:rPr>
          <w:szCs w:val="24"/>
        </w:rPr>
      </w:pPr>
      <w:r w:rsidRPr="00C73107">
        <w:rPr>
          <w:szCs w:val="24"/>
        </w:rPr>
        <w:t xml:space="preserve">Jednocześnie </w:t>
      </w:r>
      <w:r w:rsidR="00B21FD6">
        <w:rPr>
          <w:szCs w:val="24"/>
        </w:rPr>
        <w:t xml:space="preserve">w </w:t>
      </w:r>
      <w:r w:rsidRPr="00C73107">
        <w:rPr>
          <w:szCs w:val="24"/>
        </w:rPr>
        <w:t>cel</w:t>
      </w:r>
      <w:r w:rsidR="00B21FD6">
        <w:rPr>
          <w:szCs w:val="24"/>
        </w:rPr>
        <w:t>u</w:t>
      </w:r>
      <w:r w:rsidRPr="00C73107">
        <w:rPr>
          <w:szCs w:val="24"/>
        </w:rPr>
        <w:t xml:space="preserve"> uniknięcia wątpliwości interpretacyjnych wskazać należy, iż wady prawne obejmujące przypadki ograniczeń, które mogą uniemożliwić lub ograniczyć korzystanie </w:t>
      </w:r>
      <w:r w:rsidR="00BB389C" w:rsidRPr="00C73107">
        <w:rPr>
          <w:szCs w:val="24"/>
        </w:rPr>
        <w:t>z</w:t>
      </w:r>
      <w:r w:rsidR="00BB389C">
        <w:rPr>
          <w:szCs w:val="24"/>
        </w:rPr>
        <w:t> </w:t>
      </w:r>
      <w:r w:rsidRPr="00C73107">
        <w:rPr>
          <w:szCs w:val="24"/>
        </w:rPr>
        <w:t xml:space="preserve">towarów zgodnie z umową, a wynikające z naruszenia praw osób trzecich, </w:t>
      </w:r>
      <w:r w:rsidR="00234666" w:rsidRPr="00C73107">
        <w:rPr>
          <w:szCs w:val="24"/>
        </w:rPr>
        <w:t>w</w:t>
      </w:r>
      <w:r w:rsidR="00234666">
        <w:rPr>
          <w:szCs w:val="24"/>
        </w:rPr>
        <w:t> </w:t>
      </w:r>
      <w:r w:rsidRPr="00C73107">
        <w:rPr>
          <w:szCs w:val="24"/>
        </w:rPr>
        <w:t xml:space="preserve">szczególności </w:t>
      </w:r>
      <w:r w:rsidRPr="00C73107">
        <w:rPr>
          <w:szCs w:val="24"/>
        </w:rPr>
        <w:lastRenderedPageBreak/>
        <w:t xml:space="preserve">praw własności intelektualnej (art. 9 SGD i art. 10 DCD), </w:t>
      </w:r>
      <w:r w:rsidR="00CB5ACB" w:rsidRPr="00C73107">
        <w:rPr>
          <w:szCs w:val="24"/>
        </w:rPr>
        <w:t xml:space="preserve">są </w:t>
      </w:r>
      <w:r w:rsidRPr="00C73107">
        <w:rPr>
          <w:szCs w:val="24"/>
        </w:rPr>
        <w:t xml:space="preserve">objęte ogólnymi regulacjami zawartymi w art. 43b i art. 43i </w:t>
      </w:r>
      <w:proofErr w:type="spellStart"/>
      <w:r w:rsidRPr="00C73107">
        <w:rPr>
          <w:szCs w:val="24"/>
        </w:rPr>
        <w:t>u.p.k</w:t>
      </w:r>
      <w:proofErr w:type="spellEnd"/>
      <w:r w:rsidRPr="00C73107">
        <w:rPr>
          <w:szCs w:val="24"/>
        </w:rPr>
        <w:t xml:space="preserve">. </w:t>
      </w:r>
    </w:p>
    <w:p w14:paraId="4A2D9A59" w14:textId="19F58935" w:rsidR="00DC1D02" w:rsidRPr="009851D9" w:rsidRDefault="000160D8" w:rsidP="009851D9">
      <w:pPr>
        <w:spacing w:before="120" w:after="0" w:line="360" w:lineRule="auto"/>
        <w:ind w:left="-15" w:right="-14" w:firstLine="0"/>
        <w:rPr>
          <w:szCs w:val="24"/>
        </w:rPr>
      </w:pPr>
      <w:r w:rsidRPr="00C73107">
        <w:rPr>
          <w:szCs w:val="24"/>
        </w:rPr>
        <w:t xml:space="preserve">W art. 557 § 2 k.c. skreślono </w:t>
      </w:r>
      <w:proofErr w:type="spellStart"/>
      <w:r w:rsidRPr="00C73107">
        <w:rPr>
          <w:szCs w:val="24"/>
        </w:rPr>
        <w:t>zd</w:t>
      </w:r>
      <w:proofErr w:type="spellEnd"/>
      <w:r w:rsidR="003622CB">
        <w:rPr>
          <w:szCs w:val="24"/>
        </w:rPr>
        <w:t>.</w:t>
      </w:r>
      <w:r w:rsidRPr="00C73107">
        <w:rPr>
          <w:szCs w:val="24"/>
        </w:rPr>
        <w:t xml:space="preserve"> dru</w:t>
      </w:r>
      <w:r w:rsidRPr="00F82CDE">
        <w:rPr>
          <w:szCs w:val="24"/>
        </w:rPr>
        <w:t>gie</w:t>
      </w:r>
      <w:r w:rsidR="003622CB">
        <w:rPr>
          <w:szCs w:val="24"/>
        </w:rPr>
        <w:t>:</w:t>
      </w:r>
      <w:r w:rsidRPr="00F82CDE">
        <w:rPr>
          <w:szCs w:val="24"/>
        </w:rPr>
        <w:t xml:space="preserve"> </w:t>
      </w:r>
      <w:r w:rsidR="003622CB">
        <w:rPr>
          <w:szCs w:val="24"/>
        </w:rPr>
        <w:t>„</w:t>
      </w:r>
      <w:r w:rsidRPr="00F82CDE">
        <w:rPr>
          <w:i/>
          <w:szCs w:val="24"/>
        </w:rPr>
        <w:t>Przepisu tego nie stosuje się, gdy kupującym jest konsument</w:t>
      </w:r>
      <w:r w:rsidR="003622CB">
        <w:rPr>
          <w:i/>
          <w:szCs w:val="24"/>
        </w:rPr>
        <w:t>”</w:t>
      </w:r>
      <w:r w:rsidRPr="00F82CDE">
        <w:rPr>
          <w:i/>
          <w:szCs w:val="24"/>
        </w:rPr>
        <w:t>.</w:t>
      </w:r>
      <w:r w:rsidRPr="00F82CDE">
        <w:rPr>
          <w:szCs w:val="24"/>
        </w:rPr>
        <w:t xml:space="preserve"> W art. 560 k.c. uchyla się § 2</w:t>
      </w:r>
      <w:r w:rsidR="003622CB">
        <w:rPr>
          <w:szCs w:val="24"/>
        </w:rPr>
        <w:t>:</w:t>
      </w:r>
      <w:r w:rsidRPr="00F82CDE">
        <w:rPr>
          <w:szCs w:val="24"/>
        </w:rPr>
        <w:t xml:space="preserve"> „</w:t>
      </w:r>
      <w:r w:rsidRPr="00F82CDE">
        <w:rPr>
          <w:i/>
          <w:szCs w:val="24"/>
        </w:rPr>
        <w:t>Jeżeli kupującym jest konsument, może zamiast zaproponowanego przez sprzedawcę usunięcia wady żądać wymiany rzeczy na wolną od wad albo zamiast wymiany rz</w:t>
      </w:r>
      <w:r w:rsidRPr="00B64EF9">
        <w:rPr>
          <w:i/>
          <w:szCs w:val="24"/>
        </w:rPr>
        <w:t xml:space="preserve">eczy żądać usunięcia wady, chyba że doprowadzenie rzeczy do zgodności z umową w sposób wybrany przez kupującego jest niemożliwe albo wymagałoby nadmiernych kosztów w porównaniu ze sposobem proponowanym przez sprzedawcę. Przy ocenie </w:t>
      </w:r>
      <w:r w:rsidRPr="00307623">
        <w:rPr>
          <w:i/>
          <w:szCs w:val="24"/>
        </w:rPr>
        <w:t>nadmierności kosztów uwzględnia się wartość rzeczy wolnej od wad, rodzaj i znaczenie stwierdzonej wady, a także bierze się pod uwagę niedogodności, na jakie narażałby kupującego inny sposób zaspokojenia”</w:t>
      </w:r>
      <w:r w:rsidRPr="00307623">
        <w:rPr>
          <w:szCs w:val="24"/>
        </w:rPr>
        <w:t>, zaś w art. 561</w:t>
      </w:r>
      <w:r w:rsidRPr="00307623">
        <w:rPr>
          <w:szCs w:val="24"/>
          <w:vertAlign w:val="superscript"/>
        </w:rPr>
        <w:t>1</w:t>
      </w:r>
      <w:r w:rsidRPr="00307623">
        <w:rPr>
          <w:szCs w:val="24"/>
        </w:rPr>
        <w:t xml:space="preserve"> k.c. uchyla się § 3</w:t>
      </w:r>
      <w:r w:rsidR="003622CB">
        <w:rPr>
          <w:szCs w:val="24"/>
        </w:rPr>
        <w:t>:</w:t>
      </w:r>
      <w:r w:rsidRPr="00307623">
        <w:rPr>
          <w:szCs w:val="24"/>
        </w:rPr>
        <w:t xml:space="preserve"> „</w:t>
      </w:r>
      <w:r w:rsidRPr="00307623">
        <w:rPr>
          <w:i/>
          <w:szCs w:val="24"/>
        </w:rPr>
        <w:t>Jeżeli kupującym jest konsument, może on żądać od sprzedawcy demontażu i ponownego zamontowania, jest obowiązany jednak ponieść część związanych z tym kosztów przewyższających cenę rzeczy sprzedanej albo może żądać od sprzedawcy zapłaty części kosztów demo</w:t>
      </w:r>
      <w:r w:rsidRPr="00DB65ED">
        <w:rPr>
          <w:i/>
          <w:szCs w:val="24"/>
        </w:rPr>
        <w:t xml:space="preserve">ntażu i ponownego zamontowania, do wysokości ceny rzeczy sprzedanej”. </w:t>
      </w:r>
      <w:r w:rsidRPr="009851D9">
        <w:rPr>
          <w:szCs w:val="24"/>
        </w:rPr>
        <w:t xml:space="preserve">Natomiast w art. 568 § 1 k.c. skreśla się </w:t>
      </w:r>
      <w:proofErr w:type="spellStart"/>
      <w:r w:rsidRPr="009851D9">
        <w:rPr>
          <w:szCs w:val="24"/>
        </w:rPr>
        <w:t>zd</w:t>
      </w:r>
      <w:proofErr w:type="spellEnd"/>
      <w:r w:rsidR="003622CB">
        <w:rPr>
          <w:szCs w:val="24"/>
        </w:rPr>
        <w:t>.</w:t>
      </w:r>
      <w:r w:rsidRPr="009851D9">
        <w:rPr>
          <w:szCs w:val="24"/>
        </w:rPr>
        <w:t xml:space="preserve"> drugie</w:t>
      </w:r>
      <w:r w:rsidR="003622CB">
        <w:rPr>
          <w:szCs w:val="24"/>
        </w:rPr>
        <w:t>:</w:t>
      </w:r>
      <w:r w:rsidRPr="009851D9">
        <w:rPr>
          <w:szCs w:val="24"/>
        </w:rPr>
        <w:t xml:space="preserve"> „</w:t>
      </w:r>
      <w:r w:rsidRPr="009851D9">
        <w:rPr>
          <w:i/>
          <w:szCs w:val="24"/>
        </w:rPr>
        <w:t>Jeżeli kupującym jest konsument a przedmiotem sprzedaży jest używana rzecz ruchoma, odpowiedzialność sprzedawcy może zostać ograniczona, nie mniej niż do roku od dnia wydania rzeczy kupującemu”</w:t>
      </w:r>
      <w:r w:rsidRPr="009851D9">
        <w:rPr>
          <w:szCs w:val="24"/>
        </w:rPr>
        <w:t xml:space="preserve">. Powodem zaproponowanych zmian w Kodeksie cywilnym jest potrzeba zachowania spójności regulacyjnej z dyrektywą towarową, a w konsekwencji </w:t>
      </w:r>
      <w:r w:rsidR="00234666" w:rsidRPr="009851D9">
        <w:rPr>
          <w:szCs w:val="24"/>
        </w:rPr>
        <w:t>z</w:t>
      </w:r>
      <w:r w:rsidR="00234666">
        <w:rPr>
          <w:szCs w:val="24"/>
        </w:rPr>
        <w:t> </w:t>
      </w:r>
      <w:r w:rsidRPr="009851D9">
        <w:rPr>
          <w:szCs w:val="24"/>
        </w:rPr>
        <w:t>nowo projektowanymi przepisami, które ją implementują. Uchylone przepisy stanowią specyficzne regulacje właściwe dla odpowiedzialności sprzedawcy z tytułu wadliwości rzeczy ruchomych. Tego rodzaju potrzeby projektodawca nie dostrzegł w odniesieniu do art. 556 § 2 k.c. – z tego względu, że może on znaleźć zastosowanie także w odniesieniu do um</w:t>
      </w:r>
      <w:r w:rsidR="003622CB">
        <w:rPr>
          <w:szCs w:val="24"/>
        </w:rPr>
        <w:t>o</w:t>
      </w:r>
      <w:r w:rsidRPr="009851D9">
        <w:rPr>
          <w:szCs w:val="24"/>
        </w:rPr>
        <w:t>w</w:t>
      </w:r>
      <w:r w:rsidR="003622CB">
        <w:rPr>
          <w:szCs w:val="24"/>
        </w:rPr>
        <w:t>y</w:t>
      </w:r>
      <w:r w:rsidRPr="009851D9">
        <w:rPr>
          <w:szCs w:val="24"/>
        </w:rPr>
        <w:t xml:space="preserve"> sprzedaży nieruchomości. </w:t>
      </w:r>
    </w:p>
    <w:p w14:paraId="52871D00" w14:textId="110378AB" w:rsidR="00DC1D02" w:rsidRPr="009851D9" w:rsidRDefault="000160D8" w:rsidP="009851D9">
      <w:pPr>
        <w:spacing w:before="120" w:after="0" w:line="360" w:lineRule="auto"/>
        <w:ind w:left="-15" w:firstLine="0"/>
        <w:rPr>
          <w:szCs w:val="24"/>
        </w:rPr>
      </w:pPr>
      <w:r w:rsidRPr="009851D9">
        <w:rPr>
          <w:szCs w:val="24"/>
        </w:rPr>
        <w:t xml:space="preserve">Przeniesienie zasadniczych przepisów o rękojmi konsumenckiej do ustawy </w:t>
      </w:r>
      <w:r w:rsidR="00A6733D" w:rsidRPr="009851D9">
        <w:rPr>
          <w:szCs w:val="24"/>
        </w:rPr>
        <w:t xml:space="preserve">z dnia 30 maja </w:t>
      </w:r>
      <w:r w:rsidR="00234666" w:rsidRPr="009851D9">
        <w:rPr>
          <w:szCs w:val="24"/>
        </w:rPr>
        <w:t>2014</w:t>
      </w:r>
      <w:r w:rsidR="00234666">
        <w:rPr>
          <w:szCs w:val="24"/>
        </w:rPr>
        <w:t> </w:t>
      </w:r>
      <w:r w:rsidR="00A6733D" w:rsidRPr="009851D9">
        <w:rPr>
          <w:szCs w:val="24"/>
        </w:rPr>
        <w:t xml:space="preserve">r. </w:t>
      </w:r>
      <w:r w:rsidRPr="009851D9">
        <w:rPr>
          <w:szCs w:val="24"/>
        </w:rPr>
        <w:t>o prawach konsumenta wymagało analizy kwestii roszczeń przedsiębiorcy do swoich poprzedników prawnych w związku z dochodzeniem przez konsumenta uprawnień z tytułu rękojmi (art. 18 SGD i art. 20 DCD, d. art. 4 dyrektywy 1999/44/WE). Aktualnie zagadnieniu temu poświęcony jest dział II</w:t>
      </w:r>
      <w:r w:rsidRPr="009851D9">
        <w:rPr>
          <w:szCs w:val="24"/>
          <w:vertAlign w:val="superscript"/>
        </w:rPr>
        <w:t>1</w:t>
      </w:r>
      <w:r w:rsidRPr="009851D9">
        <w:rPr>
          <w:szCs w:val="24"/>
        </w:rPr>
        <w:t xml:space="preserve"> w tytule XI księgi trzeciej </w:t>
      </w:r>
      <w:r w:rsidR="002A38CE">
        <w:rPr>
          <w:szCs w:val="24"/>
        </w:rPr>
        <w:t>K</w:t>
      </w:r>
      <w:r w:rsidRPr="009851D9">
        <w:rPr>
          <w:szCs w:val="24"/>
        </w:rPr>
        <w:t xml:space="preserve">odeksu cywilnego. Przepisy te </w:t>
      </w:r>
      <w:r w:rsidR="00234666" w:rsidRPr="009851D9">
        <w:rPr>
          <w:szCs w:val="24"/>
        </w:rPr>
        <w:t>w</w:t>
      </w:r>
      <w:r w:rsidR="00234666">
        <w:rPr>
          <w:szCs w:val="24"/>
        </w:rPr>
        <w:t> </w:t>
      </w:r>
      <w:r w:rsidRPr="009851D9">
        <w:rPr>
          <w:szCs w:val="24"/>
        </w:rPr>
        <w:t xml:space="preserve">aktualnym brzmieniu ustanawiają nowy rodzaj odpowiedzialności odszkodowawczej, jednak wskutek niejasnej redakcji, bardzo ograniczonego zakresu odszkodowania oraz krótkiego terminu przedawnienia stanowią prawo martwe. </w:t>
      </w:r>
    </w:p>
    <w:p w14:paraId="24706C95" w14:textId="77777777" w:rsidR="00DC1D02" w:rsidRPr="009851D9" w:rsidRDefault="000160D8" w:rsidP="009851D9">
      <w:pPr>
        <w:spacing w:before="120" w:after="0" w:line="360" w:lineRule="auto"/>
        <w:ind w:left="-15" w:firstLine="0"/>
        <w:rPr>
          <w:szCs w:val="24"/>
        </w:rPr>
      </w:pPr>
      <w:r w:rsidRPr="009851D9">
        <w:rPr>
          <w:szCs w:val="24"/>
        </w:rPr>
        <w:lastRenderedPageBreak/>
        <w:t xml:space="preserve">W toku analizy zagadnienia ustalono, że ogólne przepisy o odpowiedzialności kontraktowej (art. 470 k.c.) są wystarczające dla zapewnienia poziomu ochrony sprzedawcy wymaganego przez dyrektywy, zatem wobec nieskuteczności obecnej regulacji, zdecydowano się ją usunąć, uznając adaptację obecnych przepisów na potrzeby nowego stanu prawnego za niecelową. </w:t>
      </w:r>
    </w:p>
    <w:p w14:paraId="080252F8" w14:textId="338B9154" w:rsidR="00DC1D02" w:rsidRPr="009851D9" w:rsidRDefault="000160D8" w:rsidP="009851D9">
      <w:pPr>
        <w:spacing w:before="120" w:after="0" w:line="360" w:lineRule="auto"/>
        <w:ind w:left="-15" w:firstLine="0"/>
        <w:rPr>
          <w:szCs w:val="24"/>
        </w:rPr>
      </w:pPr>
      <w:r w:rsidRPr="009851D9">
        <w:rPr>
          <w:szCs w:val="24"/>
        </w:rPr>
        <w:t xml:space="preserve">Ponadto </w:t>
      </w:r>
      <w:r w:rsidR="000B2EE8" w:rsidRPr="009851D9">
        <w:rPr>
          <w:szCs w:val="24"/>
        </w:rPr>
        <w:t>w art. 577</w:t>
      </w:r>
      <w:r w:rsidR="000B2EE8" w:rsidRPr="009851D9">
        <w:rPr>
          <w:szCs w:val="24"/>
          <w:vertAlign w:val="superscript"/>
        </w:rPr>
        <w:t>1</w:t>
      </w:r>
      <w:r w:rsidR="000B2EE8" w:rsidRPr="009851D9">
        <w:rPr>
          <w:szCs w:val="24"/>
        </w:rPr>
        <w:t xml:space="preserve"> § 2 k.c.</w:t>
      </w:r>
      <w:r w:rsidR="000B2EE8">
        <w:rPr>
          <w:szCs w:val="24"/>
        </w:rPr>
        <w:t xml:space="preserve"> </w:t>
      </w:r>
      <w:r w:rsidRPr="009851D9">
        <w:rPr>
          <w:szCs w:val="24"/>
        </w:rPr>
        <w:t xml:space="preserve">wprowadza się zmiany dostosowujące wymogi dotyczące treści oświadczenia gwarancyjnego do art. 17 ust. 2 SGD. </w:t>
      </w:r>
      <w:r w:rsidR="000B2EE8">
        <w:rPr>
          <w:szCs w:val="24"/>
        </w:rPr>
        <w:t>W</w:t>
      </w:r>
      <w:r w:rsidRPr="009851D9">
        <w:rPr>
          <w:szCs w:val="24"/>
        </w:rPr>
        <w:t>prowadza się także zmianę w art. 579 k.c. w ten sposób, że wyrazy „z tytułu rękojmi” zastępuje się wyrazami „z tytułu niezgodności rzeczy sprzedanej z umową”. Zmiana art. 579 k.c. w zakresie wskazanym powyżej wydaje się być konieczna z uwagi na usunięcie ewentualnych wątpliwości interpretacyjnych w zakresie tego</w:t>
      </w:r>
      <w:r w:rsidR="003519F6">
        <w:rPr>
          <w:szCs w:val="24"/>
        </w:rPr>
        <w:t>,</w:t>
      </w:r>
      <w:r w:rsidRPr="009851D9">
        <w:rPr>
          <w:szCs w:val="24"/>
        </w:rPr>
        <w:t xml:space="preserve"> czy wspomniany artykuł, który określa wzajemny stosunek gwarancji do odpowiedzialności z tytułu rękojmi</w:t>
      </w:r>
      <w:r w:rsidR="000B2EE8">
        <w:rPr>
          <w:szCs w:val="24"/>
        </w:rPr>
        <w:t>,</w:t>
      </w:r>
      <w:r w:rsidRPr="009851D9">
        <w:rPr>
          <w:szCs w:val="24"/>
        </w:rPr>
        <w:t xml:space="preserve"> znajdzie zastosowanie do rękojmi konsumenckiej uregulowanej przepisami ustawy </w:t>
      </w:r>
      <w:r w:rsidR="00A6733D" w:rsidRPr="009851D9">
        <w:rPr>
          <w:szCs w:val="24"/>
        </w:rPr>
        <w:t xml:space="preserve">z dnia 30 maja 2014 r. </w:t>
      </w:r>
      <w:r w:rsidRPr="009851D9">
        <w:rPr>
          <w:szCs w:val="24"/>
        </w:rPr>
        <w:t xml:space="preserve">o prawach konsumenta. </w:t>
      </w:r>
    </w:p>
    <w:p w14:paraId="473244CE" w14:textId="05B8EBC7" w:rsidR="00F9061E" w:rsidRPr="009851D9" w:rsidRDefault="00F9061E" w:rsidP="009851D9">
      <w:pPr>
        <w:pStyle w:val="Nagwek1"/>
        <w:tabs>
          <w:tab w:val="left" w:pos="567"/>
        </w:tabs>
        <w:spacing w:before="120" w:after="0" w:line="360" w:lineRule="auto"/>
        <w:ind w:left="0" w:firstLine="0"/>
        <w:rPr>
          <w:b w:val="0"/>
          <w:bCs/>
          <w:szCs w:val="24"/>
        </w:rPr>
      </w:pPr>
      <w:r w:rsidRPr="009851D9">
        <w:rPr>
          <w:bCs/>
          <w:szCs w:val="24"/>
        </w:rPr>
        <w:t>VII.</w:t>
      </w:r>
      <w:r w:rsidRPr="009851D9">
        <w:rPr>
          <w:bCs/>
          <w:szCs w:val="24"/>
        </w:rPr>
        <w:tab/>
        <w:t xml:space="preserve">Zmiana </w:t>
      </w:r>
      <w:r w:rsidR="00AF77DF" w:rsidRPr="009851D9">
        <w:rPr>
          <w:bCs/>
          <w:szCs w:val="24"/>
        </w:rPr>
        <w:t xml:space="preserve">w </w:t>
      </w:r>
      <w:r w:rsidRPr="009851D9">
        <w:rPr>
          <w:bCs/>
          <w:szCs w:val="24"/>
        </w:rPr>
        <w:t>ustaw</w:t>
      </w:r>
      <w:r w:rsidR="00AF77DF" w:rsidRPr="009851D9">
        <w:rPr>
          <w:bCs/>
          <w:szCs w:val="24"/>
        </w:rPr>
        <w:t>ie</w:t>
      </w:r>
      <w:r w:rsidRPr="009851D9">
        <w:rPr>
          <w:bCs/>
          <w:szCs w:val="24"/>
        </w:rPr>
        <w:t xml:space="preserve"> – Prawo prywatne międzynarodowe </w:t>
      </w:r>
    </w:p>
    <w:p w14:paraId="69756CEB" w14:textId="6B66400E" w:rsidR="00F9061E" w:rsidRPr="00B64EF9" w:rsidRDefault="00F9061E" w:rsidP="009851D9">
      <w:pPr>
        <w:spacing w:before="120" w:after="0" w:line="360" w:lineRule="auto"/>
        <w:ind w:left="-15" w:firstLine="0"/>
        <w:rPr>
          <w:szCs w:val="24"/>
        </w:rPr>
      </w:pPr>
      <w:r w:rsidRPr="00C73107">
        <w:rPr>
          <w:color w:val="auto"/>
          <w:szCs w:val="24"/>
        </w:rPr>
        <w:t xml:space="preserve">Artykułem 3 projektu uchyla się art. 30 ust. </w:t>
      </w:r>
      <w:bookmarkStart w:id="7" w:name="_Hlk99019541"/>
      <w:r w:rsidRPr="00C73107">
        <w:rPr>
          <w:color w:val="auto"/>
          <w:szCs w:val="24"/>
        </w:rPr>
        <w:t xml:space="preserve">1 pkt 3 </w:t>
      </w:r>
      <w:bookmarkEnd w:id="7"/>
      <w:r w:rsidRPr="00C875F2">
        <w:rPr>
          <w:iCs/>
          <w:color w:val="auto"/>
          <w:szCs w:val="24"/>
        </w:rPr>
        <w:t xml:space="preserve">ustawy </w:t>
      </w:r>
      <w:bookmarkStart w:id="8" w:name="_Hlk99019475"/>
      <w:r w:rsidRPr="00C875F2">
        <w:rPr>
          <w:iCs/>
          <w:color w:val="auto"/>
          <w:szCs w:val="24"/>
        </w:rPr>
        <w:t xml:space="preserve">z dnia 4 lutego 2011 r. </w:t>
      </w:r>
      <w:r w:rsidRPr="003519F6">
        <w:rPr>
          <w:color w:val="auto"/>
          <w:szCs w:val="24"/>
        </w:rPr>
        <w:t xml:space="preserve">– </w:t>
      </w:r>
      <w:r w:rsidRPr="00C875F2">
        <w:rPr>
          <w:iCs/>
          <w:color w:val="auto"/>
          <w:szCs w:val="24"/>
        </w:rPr>
        <w:t>Prawo prywatne międzynarodowe</w:t>
      </w:r>
      <w:bookmarkEnd w:id="8"/>
      <w:r w:rsidRPr="00C73107">
        <w:rPr>
          <w:i/>
          <w:iCs/>
          <w:color w:val="auto"/>
          <w:szCs w:val="24"/>
        </w:rPr>
        <w:t xml:space="preserve"> </w:t>
      </w:r>
      <w:r w:rsidRPr="00C73107">
        <w:rPr>
          <w:color w:val="auto"/>
          <w:szCs w:val="24"/>
        </w:rPr>
        <w:t>(</w:t>
      </w:r>
      <w:bookmarkStart w:id="9" w:name="_Hlk99019454"/>
      <w:r w:rsidRPr="00C73107">
        <w:rPr>
          <w:color w:val="auto"/>
          <w:szCs w:val="24"/>
        </w:rPr>
        <w:t>Dz.</w:t>
      </w:r>
      <w:r w:rsidR="003519F6">
        <w:rPr>
          <w:color w:val="auto"/>
          <w:szCs w:val="24"/>
        </w:rPr>
        <w:t xml:space="preserve"> </w:t>
      </w:r>
      <w:r w:rsidRPr="00C73107">
        <w:rPr>
          <w:color w:val="auto"/>
          <w:szCs w:val="24"/>
        </w:rPr>
        <w:t>U. z 2015 r. poz. 1792</w:t>
      </w:r>
      <w:bookmarkEnd w:id="9"/>
      <w:r w:rsidR="00AF77DF" w:rsidRPr="00F82CDE">
        <w:rPr>
          <w:color w:val="auto"/>
          <w:szCs w:val="24"/>
        </w:rPr>
        <w:t>).</w:t>
      </w:r>
      <w:r w:rsidRPr="00F82CDE">
        <w:rPr>
          <w:color w:val="auto"/>
          <w:szCs w:val="24"/>
        </w:rPr>
        <w:t xml:space="preserve"> Uchylenie tego przepisu przez art. 4 projektu wynika z faktu, że odwołuje się on do dyrektywy 1999/4</w:t>
      </w:r>
      <w:r w:rsidR="00AF77DF" w:rsidRPr="00F82CDE">
        <w:rPr>
          <w:color w:val="auto"/>
          <w:szCs w:val="24"/>
        </w:rPr>
        <w:t>4/WE</w:t>
      </w:r>
      <w:r w:rsidRPr="00F82CDE">
        <w:rPr>
          <w:color w:val="auto"/>
          <w:szCs w:val="24"/>
        </w:rPr>
        <w:t xml:space="preserve">, która została uchylona przez implementowaną obecnie dyrektywę </w:t>
      </w:r>
      <w:r w:rsidRPr="00C73107">
        <w:rPr>
          <w:rFonts w:eastAsia="Calibri"/>
          <w:color w:val="auto"/>
          <w:szCs w:val="24"/>
          <w:lang w:eastAsia="en-US"/>
        </w:rPr>
        <w:t xml:space="preserve">2019/771. </w:t>
      </w:r>
      <w:r w:rsidR="00AF77DF" w:rsidRPr="00C73107">
        <w:rPr>
          <w:rFonts w:eastAsia="Calibri"/>
          <w:color w:val="auto"/>
          <w:szCs w:val="24"/>
          <w:lang w:eastAsia="en-US"/>
        </w:rPr>
        <w:t xml:space="preserve">Uchylane </w:t>
      </w:r>
      <w:r w:rsidRPr="00C73107">
        <w:rPr>
          <w:rFonts w:eastAsia="Calibri"/>
          <w:color w:val="auto"/>
          <w:szCs w:val="24"/>
          <w:lang w:eastAsia="en-US"/>
        </w:rPr>
        <w:t>odniesienie służyło implementacji art. 7 ust. 2 uchylonej dyrektywy 1999/44, który to przepis nie ma swojego odpowiednika w dyrektywie 2019/771.</w:t>
      </w:r>
    </w:p>
    <w:p w14:paraId="5C35A878" w14:textId="4CB4564A" w:rsidR="00DC1D02" w:rsidRPr="00C73107" w:rsidRDefault="000160D8" w:rsidP="009851D9">
      <w:pPr>
        <w:pStyle w:val="Nagwek1"/>
        <w:tabs>
          <w:tab w:val="left" w:pos="567"/>
        </w:tabs>
        <w:spacing w:before="120" w:after="0" w:line="360" w:lineRule="auto"/>
        <w:ind w:left="0" w:firstLine="0"/>
        <w:rPr>
          <w:szCs w:val="24"/>
        </w:rPr>
      </w:pPr>
      <w:r w:rsidRPr="00C73107">
        <w:rPr>
          <w:szCs w:val="24"/>
        </w:rPr>
        <w:t>VI</w:t>
      </w:r>
      <w:r w:rsidR="00F9061E" w:rsidRPr="00C73107">
        <w:rPr>
          <w:szCs w:val="24"/>
        </w:rPr>
        <w:t>I</w:t>
      </w:r>
      <w:r w:rsidRPr="00C73107">
        <w:rPr>
          <w:szCs w:val="24"/>
        </w:rPr>
        <w:t>I.</w:t>
      </w:r>
      <w:r w:rsidRPr="00C73107">
        <w:rPr>
          <w:szCs w:val="24"/>
        </w:rPr>
        <w:tab/>
      </w:r>
      <w:r w:rsidRPr="00C73107">
        <w:rPr>
          <w:bCs/>
          <w:szCs w:val="24"/>
        </w:rPr>
        <w:t>Przepisy</w:t>
      </w:r>
      <w:r w:rsidRPr="00C73107">
        <w:rPr>
          <w:szCs w:val="24"/>
        </w:rPr>
        <w:t xml:space="preserve"> przejściowe i </w:t>
      </w:r>
      <w:r w:rsidR="003519F6">
        <w:rPr>
          <w:szCs w:val="24"/>
        </w:rPr>
        <w:t xml:space="preserve">o </w:t>
      </w:r>
      <w:r w:rsidRPr="00C73107">
        <w:rPr>
          <w:szCs w:val="24"/>
        </w:rPr>
        <w:t>wejści</w:t>
      </w:r>
      <w:r w:rsidR="003519F6">
        <w:rPr>
          <w:szCs w:val="24"/>
        </w:rPr>
        <w:t>u</w:t>
      </w:r>
      <w:r w:rsidRPr="00C73107">
        <w:rPr>
          <w:szCs w:val="24"/>
        </w:rPr>
        <w:t xml:space="preserve"> w życie </w:t>
      </w:r>
    </w:p>
    <w:p w14:paraId="118CDC2A" w14:textId="0A929E39" w:rsidR="00DC1D02" w:rsidRPr="00C73107" w:rsidRDefault="000160D8" w:rsidP="009851D9">
      <w:pPr>
        <w:spacing w:before="120" w:after="0" w:line="360" w:lineRule="auto"/>
        <w:ind w:left="-15" w:firstLine="0"/>
        <w:rPr>
          <w:szCs w:val="24"/>
        </w:rPr>
      </w:pPr>
      <w:r w:rsidRPr="00C73107">
        <w:rPr>
          <w:szCs w:val="24"/>
        </w:rPr>
        <w:t xml:space="preserve">Zgodnie z art. </w:t>
      </w:r>
      <w:r w:rsidR="00AF77DF" w:rsidRPr="00C73107">
        <w:rPr>
          <w:szCs w:val="24"/>
        </w:rPr>
        <w:t>4</w:t>
      </w:r>
      <w:r w:rsidRPr="00C73107">
        <w:rPr>
          <w:szCs w:val="24"/>
        </w:rPr>
        <w:t xml:space="preserve"> ustawy przepisy implementujące SGD będą mieć zastosowanie to umów zawartych po wejściu w życie ustawy. Przepisy implementujące DCD znajdą zastosowanie do dostarczania treści lub usługi cyfrowej, które nastąpiło po wejściu w życie ustawy, z wyjątkiem przepisów art. 43n</w:t>
      </w:r>
      <w:r w:rsidR="003519F6">
        <w:rPr>
          <w:szCs w:val="24"/>
        </w:rPr>
        <w:t xml:space="preserve"> i art. </w:t>
      </w:r>
      <w:r w:rsidRPr="00C73107">
        <w:rPr>
          <w:szCs w:val="24"/>
        </w:rPr>
        <w:t xml:space="preserve">43o ustawy </w:t>
      </w:r>
      <w:r w:rsidR="003519F6" w:rsidRPr="00C73107">
        <w:rPr>
          <w:szCs w:val="24"/>
        </w:rPr>
        <w:t>z dnia 30 maja 2014</w:t>
      </w:r>
      <w:r w:rsidR="003519F6">
        <w:rPr>
          <w:szCs w:val="24"/>
        </w:rPr>
        <w:t> </w:t>
      </w:r>
      <w:r w:rsidR="003519F6" w:rsidRPr="00C73107">
        <w:rPr>
          <w:szCs w:val="24"/>
        </w:rPr>
        <w:t xml:space="preserve">r. </w:t>
      </w:r>
      <w:r w:rsidRPr="00C73107">
        <w:rPr>
          <w:szCs w:val="24"/>
        </w:rPr>
        <w:t>o prawach konsumenta, które stosuje się wyłącznie do umów zawartych po wejściu ustawy w życie. Owo rozróżnienie w stosowaniu przepisów zostało wyjaśnione w motywie 83 DCD</w:t>
      </w:r>
      <w:r w:rsidRPr="00C73107">
        <w:rPr>
          <w:szCs w:val="24"/>
          <w:vertAlign w:val="superscript"/>
        </w:rPr>
        <w:footnoteReference w:id="5"/>
      </w:r>
      <w:r w:rsidR="00F82CDE" w:rsidRPr="009851D9">
        <w:rPr>
          <w:szCs w:val="24"/>
          <w:vertAlign w:val="superscript"/>
        </w:rPr>
        <w:t>)</w:t>
      </w:r>
      <w:r w:rsidRPr="00C73107">
        <w:rPr>
          <w:szCs w:val="24"/>
        </w:rPr>
        <w:t>.</w:t>
      </w:r>
    </w:p>
    <w:p w14:paraId="63E6DF31" w14:textId="47DDE85B" w:rsidR="00DC1D02" w:rsidRPr="00C73107" w:rsidRDefault="000160D8" w:rsidP="009851D9">
      <w:pPr>
        <w:spacing w:before="120" w:after="0" w:line="360" w:lineRule="auto"/>
        <w:ind w:left="-15" w:firstLine="0"/>
        <w:rPr>
          <w:szCs w:val="24"/>
        </w:rPr>
      </w:pPr>
      <w:r w:rsidRPr="00C73107">
        <w:rPr>
          <w:szCs w:val="24"/>
        </w:rPr>
        <w:lastRenderedPageBreak/>
        <w:t xml:space="preserve">Treść przepisu przejściowego jest zdeterminowana dyspozycją art. 24 SGD i art. 24 DCD. </w:t>
      </w:r>
      <w:r w:rsidR="00234666" w:rsidRPr="00C73107">
        <w:rPr>
          <w:szCs w:val="24"/>
        </w:rPr>
        <w:t>Z</w:t>
      </w:r>
      <w:r w:rsidR="00234666">
        <w:rPr>
          <w:szCs w:val="24"/>
        </w:rPr>
        <w:t> </w:t>
      </w:r>
      <w:r w:rsidR="0054483A" w:rsidRPr="00C73107">
        <w:rPr>
          <w:szCs w:val="24"/>
        </w:rPr>
        <w:t>uwagi na opóźnienie procesu implementacyjnego przyjęto, że ustawa wejdzie w życie po upływie 14 dni od dnia ogłoszenia</w:t>
      </w:r>
      <w:r w:rsidRPr="00C73107">
        <w:rPr>
          <w:szCs w:val="24"/>
        </w:rPr>
        <w:t xml:space="preserve">. </w:t>
      </w:r>
    </w:p>
    <w:p w14:paraId="2B0D53E3" w14:textId="206337D1" w:rsidR="00DC1D02" w:rsidRPr="00C73107" w:rsidRDefault="00F9061E" w:rsidP="009851D9">
      <w:pPr>
        <w:pStyle w:val="Nagwek1"/>
        <w:tabs>
          <w:tab w:val="left" w:pos="567"/>
        </w:tabs>
        <w:spacing w:before="120" w:after="0" w:line="360" w:lineRule="auto"/>
        <w:ind w:left="0" w:firstLine="0"/>
        <w:rPr>
          <w:szCs w:val="24"/>
        </w:rPr>
      </w:pPr>
      <w:r w:rsidRPr="00C73107">
        <w:rPr>
          <w:szCs w:val="24"/>
        </w:rPr>
        <w:t>IX</w:t>
      </w:r>
      <w:r w:rsidR="000160D8" w:rsidRPr="00C73107">
        <w:rPr>
          <w:szCs w:val="24"/>
        </w:rPr>
        <w:t>.</w:t>
      </w:r>
      <w:r w:rsidR="000160D8" w:rsidRPr="00C73107">
        <w:rPr>
          <w:szCs w:val="24"/>
        </w:rPr>
        <w:tab/>
        <w:t xml:space="preserve">Kwestie </w:t>
      </w:r>
      <w:r w:rsidR="000160D8" w:rsidRPr="00C73107">
        <w:rPr>
          <w:bCs/>
          <w:szCs w:val="24"/>
        </w:rPr>
        <w:t>dodatkowe</w:t>
      </w:r>
    </w:p>
    <w:p w14:paraId="7E1E720B" w14:textId="1961081F" w:rsidR="00DC1D02" w:rsidRPr="00C73107" w:rsidRDefault="000160D8" w:rsidP="009851D9">
      <w:pPr>
        <w:spacing w:before="120" w:after="0" w:line="360" w:lineRule="auto"/>
        <w:ind w:left="0" w:firstLine="0"/>
        <w:rPr>
          <w:szCs w:val="24"/>
        </w:rPr>
      </w:pPr>
      <w:r w:rsidRPr="00C73107">
        <w:rPr>
          <w:szCs w:val="24"/>
        </w:rPr>
        <w:t>Projekt ustawy zosta</w:t>
      </w:r>
      <w:r w:rsidR="00A6733D" w:rsidRPr="00C73107">
        <w:rPr>
          <w:szCs w:val="24"/>
        </w:rPr>
        <w:t>ł</w:t>
      </w:r>
      <w:r w:rsidRPr="00C73107">
        <w:rPr>
          <w:szCs w:val="24"/>
        </w:rPr>
        <w:t xml:space="preserve"> udostępniony, zgodnie z art. 5 </w:t>
      </w:r>
      <w:r w:rsidRPr="007839F0">
        <w:rPr>
          <w:szCs w:val="24"/>
        </w:rPr>
        <w:t>ustawy z dnia 7 lipca 2005 r. o działalności lobbingowej w procesie stanowienia prawa</w:t>
      </w:r>
      <w:r w:rsidRPr="00C73107">
        <w:rPr>
          <w:szCs w:val="24"/>
        </w:rPr>
        <w:t xml:space="preserve"> (Dz. U. z 2017 r. poz. 248) oraz zgodnie z § 52 </w:t>
      </w:r>
      <w:r w:rsidRPr="007839F0">
        <w:rPr>
          <w:szCs w:val="24"/>
        </w:rPr>
        <w:t xml:space="preserve">uchwały </w:t>
      </w:r>
      <w:r w:rsidR="00A6733D" w:rsidRPr="007839F0">
        <w:rPr>
          <w:szCs w:val="24"/>
        </w:rPr>
        <w:t xml:space="preserve">nr 190 </w:t>
      </w:r>
      <w:r w:rsidRPr="007839F0">
        <w:rPr>
          <w:szCs w:val="24"/>
        </w:rPr>
        <w:t>Rady Ministrów z dnia 29 października 2013 r. – Regulamin pracy Rady Ministrów</w:t>
      </w:r>
      <w:r w:rsidRPr="00C73107">
        <w:rPr>
          <w:szCs w:val="24"/>
        </w:rPr>
        <w:t xml:space="preserve"> (M.P. z 20</w:t>
      </w:r>
      <w:r w:rsidR="004217D8" w:rsidRPr="00C73107">
        <w:rPr>
          <w:szCs w:val="24"/>
        </w:rPr>
        <w:t>22</w:t>
      </w:r>
      <w:r w:rsidRPr="00C73107">
        <w:rPr>
          <w:szCs w:val="24"/>
        </w:rPr>
        <w:t xml:space="preserve"> r. poz. </w:t>
      </w:r>
      <w:r w:rsidR="004217D8" w:rsidRPr="00C73107">
        <w:rPr>
          <w:szCs w:val="24"/>
        </w:rPr>
        <w:t>348</w:t>
      </w:r>
      <w:r w:rsidRPr="00C73107">
        <w:rPr>
          <w:szCs w:val="24"/>
        </w:rPr>
        <w:t>), na stronie Biuletynu Informacji Publicznej Rządowego Centrum Legislacji, zaś w Biuletynie Informacji Publicznej Ministerstwa Sprawiedliwości zamieszczony zosta</w:t>
      </w:r>
      <w:r w:rsidR="00A6733D" w:rsidRPr="00C73107">
        <w:rPr>
          <w:szCs w:val="24"/>
        </w:rPr>
        <w:t>ł</w:t>
      </w:r>
      <w:r w:rsidRPr="00C73107">
        <w:rPr>
          <w:szCs w:val="24"/>
        </w:rPr>
        <w:t xml:space="preserve"> odnośnik kierujący do odpowiedniej strony w BIP RCL.</w:t>
      </w:r>
    </w:p>
    <w:p w14:paraId="710A075B" w14:textId="3434398A" w:rsidR="00DC1D02" w:rsidRPr="00C73107" w:rsidRDefault="000160D8" w:rsidP="009851D9">
      <w:pPr>
        <w:spacing w:before="120" w:after="0" w:line="360" w:lineRule="auto"/>
        <w:ind w:left="-15" w:firstLine="0"/>
        <w:rPr>
          <w:szCs w:val="24"/>
        </w:rPr>
      </w:pPr>
      <w:r w:rsidRPr="00C73107">
        <w:rPr>
          <w:szCs w:val="24"/>
        </w:rPr>
        <w:t xml:space="preserve">Projektowana ustawa nie będzie wymagała notyfikacji Komisji Europejskiej w trybie </w:t>
      </w:r>
      <w:r w:rsidRPr="007839F0">
        <w:rPr>
          <w:szCs w:val="24"/>
        </w:rPr>
        <w:t xml:space="preserve">ustawy </w:t>
      </w:r>
      <w:r w:rsidR="00234666" w:rsidRPr="007839F0">
        <w:rPr>
          <w:szCs w:val="24"/>
        </w:rPr>
        <w:t>z </w:t>
      </w:r>
      <w:r w:rsidRPr="007839F0">
        <w:rPr>
          <w:szCs w:val="24"/>
        </w:rPr>
        <w:t>dnia 30 kwietnia 2004 r. o postępowaniu w sprawach dotyczących pomocy publicznej</w:t>
      </w:r>
      <w:r w:rsidRPr="003519F6">
        <w:rPr>
          <w:szCs w:val="24"/>
        </w:rPr>
        <w:t xml:space="preserve"> </w:t>
      </w:r>
      <w:r w:rsidRPr="00C73107">
        <w:rPr>
          <w:szCs w:val="24"/>
        </w:rPr>
        <w:t>(Dz</w:t>
      </w:r>
      <w:r w:rsidR="00BB389C" w:rsidRPr="00C73107">
        <w:rPr>
          <w:szCs w:val="24"/>
        </w:rPr>
        <w:t>.</w:t>
      </w:r>
      <w:r w:rsidR="00BB389C">
        <w:rPr>
          <w:szCs w:val="24"/>
        </w:rPr>
        <w:t> </w:t>
      </w:r>
      <w:r w:rsidRPr="00C73107">
        <w:rPr>
          <w:szCs w:val="24"/>
        </w:rPr>
        <w:t>U. z 2021 r. poz. 743</w:t>
      </w:r>
      <w:r w:rsidR="00C0108B">
        <w:rPr>
          <w:szCs w:val="24"/>
        </w:rPr>
        <w:t xml:space="preserve">, z </w:t>
      </w:r>
      <w:proofErr w:type="spellStart"/>
      <w:r w:rsidR="00C0108B">
        <w:rPr>
          <w:szCs w:val="24"/>
        </w:rPr>
        <w:t>późn</w:t>
      </w:r>
      <w:proofErr w:type="spellEnd"/>
      <w:r w:rsidR="00C0108B">
        <w:rPr>
          <w:szCs w:val="24"/>
        </w:rPr>
        <w:t>. zm</w:t>
      </w:r>
      <w:r w:rsidRPr="00C73107">
        <w:rPr>
          <w:szCs w:val="24"/>
        </w:rPr>
        <w:t>.).</w:t>
      </w:r>
    </w:p>
    <w:p w14:paraId="28C91589" w14:textId="02585AEA" w:rsidR="00DC1D02" w:rsidRPr="00C73107" w:rsidRDefault="000160D8" w:rsidP="009851D9">
      <w:pPr>
        <w:spacing w:before="120" w:after="0" w:line="360" w:lineRule="auto"/>
        <w:ind w:left="-15" w:right="-14" w:firstLine="0"/>
        <w:rPr>
          <w:szCs w:val="24"/>
        </w:rPr>
      </w:pPr>
      <w:r w:rsidRPr="00C73107">
        <w:rPr>
          <w:szCs w:val="24"/>
        </w:rPr>
        <w:t xml:space="preserve">Projektowana ustawa nie zawiera przepisów technicznych w rozumieniu </w:t>
      </w:r>
      <w:r w:rsidRPr="007839F0">
        <w:rPr>
          <w:szCs w:val="24"/>
        </w:rPr>
        <w:t>rozporządzenia Rady Ministrów z dnia 23 grudnia 2002 r. w sprawie sposobu funkcjonowania krajowego systemu notyfikacji norm i aktów prawnych</w:t>
      </w:r>
      <w:r w:rsidRPr="003519F6">
        <w:rPr>
          <w:szCs w:val="24"/>
        </w:rPr>
        <w:t xml:space="preserve"> </w:t>
      </w:r>
      <w:r w:rsidRPr="00C73107">
        <w:rPr>
          <w:szCs w:val="24"/>
        </w:rPr>
        <w:t>(Dz. U.</w:t>
      </w:r>
      <w:r w:rsidR="004217D8" w:rsidRPr="00C73107">
        <w:rPr>
          <w:szCs w:val="24"/>
        </w:rPr>
        <w:t xml:space="preserve"> </w:t>
      </w:r>
      <w:r w:rsidRPr="00C73107">
        <w:rPr>
          <w:szCs w:val="24"/>
        </w:rPr>
        <w:t xml:space="preserve">poz. 2039, z </w:t>
      </w:r>
      <w:proofErr w:type="spellStart"/>
      <w:r w:rsidRPr="00C73107">
        <w:rPr>
          <w:szCs w:val="24"/>
        </w:rPr>
        <w:t>późn</w:t>
      </w:r>
      <w:proofErr w:type="spellEnd"/>
      <w:r w:rsidRPr="00C73107">
        <w:rPr>
          <w:szCs w:val="24"/>
        </w:rPr>
        <w:t>. zm.).</w:t>
      </w:r>
    </w:p>
    <w:p w14:paraId="454BFCC4" w14:textId="77777777" w:rsidR="00DC1D02" w:rsidRPr="00C73107" w:rsidRDefault="000160D8" w:rsidP="009851D9">
      <w:pPr>
        <w:spacing w:before="120" w:after="0" w:line="360" w:lineRule="auto"/>
        <w:ind w:left="-15" w:firstLine="0"/>
        <w:rPr>
          <w:szCs w:val="24"/>
        </w:rPr>
      </w:pPr>
      <w:r w:rsidRPr="00C73107">
        <w:rPr>
          <w:szCs w:val="24"/>
        </w:rPr>
        <w:t>Projekt ustawy nie wymaga przedstawienia właściwym organom i instytucjom Unii Europejskiej, w tym Europejskiemu Bankowi Centralnemu, w celu uzyskania opinii, dokonania powiadomienia, konsultacji albo uzgodnienia.</w:t>
      </w:r>
    </w:p>
    <w:p w14:paraId="0F2CB66F" w14:textId="77777777" w:rsidR="00DC1D02" w:rsidRPr="00C73107" w:rsidRDefault="000160D8" w:rsidP="009851D9">
      <w:pPr>
        <w:spacing w:before="120" w:after="0" w:line="360" w:lineRule="auto"/>
        <w:ind w:left="-15" w:firstLine="0"/>
        <w:rPr>
          <w:szCs w:val="24"/>
        </w:rPr>
      </w:pPr>
      <w:r w:rsidRPr="00C73107">
        <w:rPr>
          <w:szCs w:val="24"/>
        </w:rPr>
        <w:t>Projekt ustawy nie dotyczy funkcjonowania samorządu terytorialnego oraz nie podlega notyfikacji zgodnie z przepisami dotyczącymi funkcjonowania krajowego systemu notyfikacji norm i aktów prawnych.</w:t>
      </w:r>
    </w:p>
    <w:p w14:paraId="415F81E3" w14:textId="06F28E8D" w:rsidR="00DC1D02" w:rsidRPr="00307623" w:rsidRDefault="000160D8" w:rsidP="009851D9">
      <w:pPr>
        <w:spacing w:before="120" w:after="0" w:line="360" w:lineRule="auto"/>
        <w:ind w:left="-15" w:firstLine="0"/>
        <w:rPr>
          <w:szCs w:val="24"/>
        </w:rPr>
      </w:pPr>
      <w:r w:rsidRPr="00C73107">
        <w:rPr>
          <w:szCs w:val="24"/>
        </w:rPr>
        <w:t xml:space="preserve">Projekt ustawy nie wpływa na </w:t>
      </w:r>
      <w:proofErr w:type="spellStart"/>
      <w:r w:rsidRPr="00C73107">
        <w:rPr>
          <w:szCs w:val="24"/>
        </w:rPr>
        <w:t>mikroprzedsiębiorców</w:t>
      </w:r>
      <w:proofErr w:type="spellEnd"/>
      <w:r w:rsidRPr="00C73107">
        <w:rPr>
          <w:szCs w:val="24"/>
        </w:rPr>
        <w:t xml:space="preserve">, małych i średnich przedsiębiorców i jest zgodny z przepisami </w:t>
      </w:r>
      <w:r w:rsidRPr="007839F0">
        <w:rPr>
          <w:szCs w:val="24"/>
        </w:rPr>
        <w:t>ustawy z dnia 6 marca 2018 r. – Prawo przedsiębiorców</w:t>
      </w:r>
      <w:r w:rsidRPr="00F82CDE">
        <w:rPr>
          <w:szCs w:val="24"/>
        </w:rPr>
        <w:t xml:space="preserve"> (Dz. U. z </w:t>
      </w:r>
      <w:r w:rsidR="001B5A32" w:rsidRPr="00F82CDE">
        <w:rPr>
          <w:szCs w:val="24"/>
        </w:rPr>
        <w:t>2021</w:t>
      </w:r>
      <w:r w:rsidR="001B5A32">
        <w:rPr>
          <w:szCs w:val="24"/>
        </w:rPr>
        <w:t> </w:t>
      </w:r>
      <w:r w:rsidRPr="00F82CDE">
        <w:rPr>
          <w:szCs w:val="24"/>
        </w:rPr>
        <w:t>r. poz. 162</w:t>
      </w:r>
      <w:r w:rsidR="00A6733D" w:rsidRPr="00B64EF9">
        <w:rPr>
          <w:szCs w:val="24"/>
        </w:rPr>
        <w:t>,</w:t>
      </w:r>
      <w:r w:rsidRPr="00B64EF9">
        <w:rPr>
          <w:szCs w:val="24"/>
        </w:rPr>
        <w:t xml:space="preserve"> z </w:t>
      </w:r>
      <w:proofErr w:type="spellStart"/>
      <w:r w:rsidRPr="00B64EF9">
        <w:rPr>
          <w:szCs w:val="24"/>
        </w:rPr>
        <w:t>późn</w:t>
      </w:r>
      <w:proofErr w:type="spellEnd"/>
      <w:r w:rsidRPr="00B64EF9">
        <w:rPr>
          <w:szCs w:val="24"/>
        </w:rPr>
        <w:t xml:space="preserve">. zm.). </w:t>
      </w:r>
    </w:p>
    <w:p w14:paraId="0806B8D6" w14:textId="77777777" w:rsidR="00DC1D02" w:rsidRPr="00307623" w:rsidRDefault="000160D8" w:rsidP="009851D9">
      <w:pPr>
        <w:spacing w:before="120" w:after="0" w:line="360" w:lineRule="auto"/>
        <w:ind w:left="-15" w:firstLine="0"/>
        <w:rPr>
          <w:szCs w:val="24"/>
        </w:rPr>
      </w:pPr>
      <w:r w:rsidRPr="00307623">
        <w:rPr>
          <w:szCs w:val="24"/>
        </w:rPr>
        <w:t>Projektowana ustawa nie zawiera przepisów mających na celu ograniczenie biurokracji ani mogących spowodować jej wzrost.</w:t>
      </w:r>
    </w:p>
    <w:p w14:paraId="04ED9548" w14:textId="77777777" w:rsidR="00DC1D02" w:rsidRPr="00DB65ED" w:rsidRDefault="000160D8" w:rsidP="009851D9">
      <w:pPr>
        <w:spacing w:before="120" w:after="0" w:line="360" w:lineRule="auto"/>
        <w:ind w:left="-15" w:firstLine="0"/>
        <w:rPr>
          <w:szCs w:val="24"/>
        </w:rPr>
      </w:pPr>
      <w:r w:rsidRPr="00307623">
        <w:rPr>
          <w:szCs w:val="24"/>
        </w:rPr>
        <w:t>Projekt ustawy jest zgodny z prawem Unii Europejskiej, a osiągnięcie celu, którym była implementacja obu dyrektyw, nie było możliwe za pomocą innych środków.</w:t>
      </w:r>
    </w:p>
    <w:sectPr w:rsidR="00DC1D02" w:rsidRPr="00DB65ED" w:rsidSect="009851D9">
      <w:headerReference w:type="even" r:id="rId7"/>
      <w:headerReference w:type="default" r:id="rId8"/>
      <w:footerReference w:type="default" r:id="rId9"/>
      <w:headerReference w:type="first" r:id="rId10"/>
      <w:pgSz w:w="11906" w:h="16838"/>
      <w:pgMar w:top="1418" w:right="1418" w:bottom="1418" w:left="1418" w:header="765"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FEBD1" w14:textId="77777777" w:rsidR="004C1896" w:rsidRDefault="004C1896">
      <w:pPr>
        <w:spacing w:after="0" w:line="240" w:lineRule="auto"/>
      </w:pPr>
      <w:r>
        <w:separator/>
      </w:r>
    </w:p>
  </w:endnote>
  <w:endnote w:type="continuationSeparator" w:id="0">
    <w:p w14:paraId="666A255A" w14:textId="77777777" w:rsidR="004C1896" w:rsidRDefault="004C1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100863"/>
      <w:docPartObj>
        <w:docPartGallery w:val="Page Numbers (Bottom of Page)"/>
        <w:docPartUnique/>
      </w:docPartObj>
    </w:sdtPr>
    <w:sdtEndPr/>
    <w:sdtContent>
      <w:p w14:paraId="4708A269" w14:textId="020215CD" w:rsidR="00C73107" w:rsidRDefault="00C73107" w:rsidP="00C73107">
        <w:pPr>
          <w:pStyle w:val="Stopka"/>
        </w:pPr>
        <w:r>
          <w:fldChar w:fldCharType="begin"/>
        </w:r>
        <w:r>
          <w:instrText>PAGE   \* MERGEFORMAT</w:instrText>
        </w:r>
        <w:r>
          <w:fldChar w:fldCharType="separate"/>
        </w:r>
        <w:r w:rsidR="00CB777D">
          <w:rPr>
            <w:noProof/>
          </w:rPr>
          <w:t>18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88814" w14:textId="77777777" w:rsidR="004C1896" w:rsidRDefault="004C1896">
      <w:pPr>
        <w:spacing w:after="0" w:line="244" w:lineRule="auto"/>
        <w:ind w:left="0" w:firstLine="0"/>
        <w:jc w:val="left"/>
      </w:pPr>
      <w:r>
        <w:separator/>
      </w:r>
    </w:p>
  </w:footnote>
  <w:footnote w:type="continuationSeparator" w:id="0">
    <w:p w14:paraId="5B521A26" w14:textId="77777777" w:rsidR="004C1896" w:rsidRDefault="004C1896">
      <w:pPr>
        <w:spacing w:after="0" w:line="244" w:lineRule="auto"/>
        <w:ind w:left="0" w:firstLine="0"/>
        <w:jc w:val="left"/>
      </w:pPr>
      <w:r>
        <w:continuationSeparator/>
      </w:r>
    </w:p>
  </w:footnote>
  <w:footnote w:id="1">
    <w:p w14:paraId="7CAE0947" w14:textId="4771AAFB" w:rsidR="00CB5ACB" w:rsidRPr="009851D9" w:rsidRDefault="00CB5ACB" w:rsidP="00EF0456">
      <w:pPr>
        <w:pStyle w:val="footnotedescription"/>
        <w:ind w:left="284" w:hanging="284"/>
        <w:rPr>
          <w:sz w:val="20"/>
          <w:szCs w:val="20"/>
        </w:rPr>
      </w:pPr>
      <w:r w:rsidRPr="009851D9">
        <w:rPr>
          <w:rStyle w:val="footnotemark"/>
          <w:sz w:val="20"/>
          <w:szCs w:val="20"/>
        </w:rPr>
        <w:footnoteRef/>
      </w:r>
      <w:r w:rsidR="00C73107" w:rsidRPr="009851D9">
        <w:rPr>
          <w:sz w:val="20"/>
          <w:szCs w:val="20"/>
          <w:vertAlign w:val="superscript"/>
        </w:rPr>
        <w:t>)</w:t>
      </w:r>
      <w:r w:rsidR="00C73107" w:rsidRPr="009851D9">
        <w:rPr>
          <w:sz w:val="20"/>
          <w:szCs w:val="20"/>
        </w:rPr>
        <w:tab/>
      </w:r>
      <w:r w:rsidRPr="009851D9">
        <w:rPr>
          <w:sz w:val="20"/>
          <w:szCs w:val="20"/>
        </w:rPr>
        <w:t xml:space="preserve">Początkowo SGD ograniczała się jedynie do sprzedaży towarów przez Internet lub w inny sposób na odległość. Zmienionym wnioskiem z 31 października 2017 r. COM(2017) 637 </w:t>
      </w:r>
      <w:proofErr w:type="spellStart"/>
      <w:r w:rsidRPr="009851D9">
        <w:rPr>
          <w:i/>
          <w:sz w:val="20"/>
          <w:szCs w:val="20"/>
        </w:rPr>
        <w:t>final</w:t>
      </w:r>
      <w:proofErr w:type="spellEnd"/>
      <w:r w:rsidRPr="009851D9">
        <w:rPr>
          <w:sz w:val="20"/>
          <w:szCs w:val="20"/>
        </w:rPr>
        <w:t xml:space="preserve"> rozszerzono jej zakres na każdy rodzaj sprzedaży. </w:t>
      </w:r>
    </w:p>
  </w:footnote>
  <w:footnote w:id="2">
    <w:p w14:paraId="3BA6D55D" w14:textId="6EB94695" w:rsidR="00CB5ACB" w:rsidRPr="009851D9" w:rsidRDefault="00CB5ACB" w:rsidP="00EF0456">
      <w:pPr>
        <w:pStyle w:val="footnotedescription"/>
        <w:ind w:left="284" w:hanging="284"/>
        <w:rPr>
          <w:sz w:val="20"/>
          <w:szCs w:val="20"/>
        </w:rPr>
      </w:pPr>
      <w:r w:rsidRPr="009851D9">
        <w:rPr>
          <w:rStyle w:val="footnotemark"/>
          <w:sz w:val="20"/>
          <w:szCs w:val="20"/>
        </w:rPr>
        <w:footnoteRef/>
      </w:r>
      <w:r w:rsidR="00C73107" w:rsidRPr="009851D9">
        <w:rPr>
          <w:sz w:val="20"/>
          <w:szCs w:val="20"/>
          <w:vertAlign w:val="superscript"/>
        </w:rPr>
        <w:t>)</w:t>
      </w:r>
      <w:r w:rsidR="00C73107">
        <w:rPr>
          <w:sz w:val="20"/>
          <w:szCs w:val="20"/>
        </w:rPr>
        <w:tab/>
      </w:r>
      <w:r w:rsidRPr="009851D9">
        <w:rPr>
          <w:sz w:val="20"/>
          <w:szCs w:val="20"/>
        </w:rPr>
        <w:t xml:space="preserve">Podobne regulacje w tym zakresie zawierała ustawa z dnia 27 lipca 2002 r. </w:t>
      </w:r>
      <w:r w:rsidRPr="00EF0456">
        <w:rPr>
          <w:sz w:val="20"/>
          <w:szCs w:val="20"/>
        </w:rPr>
        <w:t xml:space="preserve">o szczególnych warunkach sprzedaży konsumenckiej oraz o zmianie </w:t>
      </w:r>
      <w:r w:rsidRPr="00050AB4">
        <w:rPr>
          <w:sz w:val="20"/>
          <w:szCs w:val="20"/>
        </w:rPr>
        <w:t>Kodeksu</w:t>
      </w:r>
      <w:r w:rsidRPr="00EF0456">
        <w:rPr>
          <w:sz w:val="20"/>
          <w:szCs w:val="20"/>
        </w:rPr>
        <w:t xml:space="preserve"> cywilnego</w:t>
      </w:r>
      <w:r w:rsidRPr="009851D9">
        <w:rPr>
          <w:sz w:val="20"/>
          <w:szCs w:val="20"/>
        </w:rPr>
        <w:t xml:space="preserve"> (Dz. U</w:t>
      </w:r>
      <w:r w:rsidR="004217D8" w:rsidRPr="009851D9">
        <w:rPr>
          <w:sz w:val="20"/>
          <w:szCs w:val="20"/>
        </w:rPr>
        <w:t>.</w:t>
      </w:r>
      <w:r w:rsidRPr="009851D9">
        <w:rPr>
          <w:sz w:val="20"/>
          <w:szCs w:val="20"/>
        </w:rPr>
        <w:t xml:space="preserve"> poz. 1176</w:t>
      </w:r>
      <w:r w:rsidR="004217D8" w:rsidRPr="009851D9">
        <w:rPr>
          <w:sz w:val="20"/>
          <w:szCs w:val="20"/>
        </w:rPr>
        <w:t>,</w:t>
      </w:r>
      <w:r w:rsidRPr="009851D9">
        <w:rPr>
          <w:sz w:val="20"/>
          <w:szCs w:val="20"/>
        </w:rPr>
        <w:t xml:space="preserve"> z </w:t>
      </w:r>
      <w:proofErr w:type="spellStart"/>
      <w:r w:rsidRPr="009851D9">
        <w:rPr>
          <w:sz w:val="20"/>
          <w:szCs w:val="20"/>
        </w:rPr>
        <w:t>późn</w:t>
      </w:r>
      <w:proofErr w:type="spellEnd"/>
      <w:r w:rsidRPr="009851D9">
        <w:rPr>
          <w:sz w:val="20"/>
          <w:szCs w:val="20"/>
        </w:rPr>
        <w:t>. zm.)</w:t>
      </w:r>
      <w:r w:rsidR="00C53506" w:rsidRPr="009851D9">
        <w:rPr>
          <w:sz w:val="20"/>
          <w:szCs w:val="20"/>
        </w:rPr>
        <w:t>.</w:t>
      </w:r>
    </w:p>
  </w:footnote>
  <w:footnote w:id="3">
    <w:p w14:paraId="0A543245" w14:textId="184BE3FE" w:rsidR="00CB5ACB" w:rsidRPr="009851D9" w:rsidRDefault="00CB5ACB" w:rsidP="00EF0456">
      <w:pPr>
        <w:pStyle w:val="footnotedescription"/>
        <w:spacing w:line="240" w:lineRule="auto"/>
        <w:ind w:left="284" w:hanging="284"/>
        <w:rPr>
          <w:sz w:val="20"/>
          <w:szCs w:val="20"/>
        </w:rPr>
      </w:pPr>
      <w:r w:rsidRPr="009851D9">
        <w:rPr>
          <w:rStyle w:val="footnotemark"/>
          <w:sz w:val="20"/>
          <w:szCs w:val="20"/>
        </w:rPr>
        <w:footnoteRef/>
      </w:r>
      <w:r w:rsidR="00F82CDE" w:rsidRPr="009851D9">
        <w:rPr>
          <w:sz w:val="20"/>
          <w:szCs w:val="20"/>
          <w:vertAlign w:val="superscript"/>
        </w:rPr>
        <w:t>)</w:t>
      </w:r>
      <w:r w:rsidR="00F82CDE">
        <w:rPr>
          <w:sz w:val="20"/>
          <w:szCs w:val="20"/>
        </w:rPr>
        <w:tab/>
      </w:r>
      <w:r w:rsidRPr="009851D9">
        <w:rPr>
          <w:sz w:val="20"/>
          <w:szCs w:val="20"/>
        </w:rPr>
        <w:t>W dyrektywie 1999/44/WE określono hierarchię środków ochrony przysługujących konsumentom. Jeżeli towary nie są zgodne z umową, konsument ma prawo do tego, żeby towary zostały dostosowane do warunków umowy w pierwszej kolejności przez naprawę lub wymianę. Dopiero w następnej kolejności konsument może rozwiązać umowę lub żądać obniżenia ceny. Implementując dyrektywę 1999/44/WE</w:t>
      </w:r>
      <w:r w:rsidR="002233CC">
        <w:rPr>
          <w:sz w:val="20"/>
          <w:szCs w:val="20"/>
        </w:rPr>
        <w:t>,</w:t>
      </w:r>
      <w:r w:rsidRPr="009851D9">
        <w:rPr>
          <w:sz w:val="20"/>
          <w:szCs w:val="20"/>
        </w:rPr>
        <w:t xml:space="preserve"> 20 państw członkowskich nie wykroczyło poza </w:t>
      </w:r>
      <w:r w:rsidR="00050AB4">
        <w:rPr>
          <w:sz w:val="20"/>
          <w:szCs w:val="20"/>
        </w:rPr>
        <w:t>powyższy</w:t>
      </w:r>
      <w:r w:rsidRPr="009851D9">
        <w:rPr>
          <w:sz w:val="20"/>
          <w:szCs w:val="20"/>
        </w:rPr>
        <w:t xml:space="preserve"> schemat hierarchii środków ochrony, a pozostałe albo dały konsumentom swobodę wyboru środka ochrony (np. Polska), albo uzupełniły hierarchię środków o inne środki, na przykład prawo do zwrotu towarów niezgodnych z umową w krótkim terminie. Źródło: Wniosek dyrektywa Parlamentu Europejskiego i Rady w sprawie niektórych aspektów umów sprzedaży towarów zawieranych przez </w:t>
      </w:r>
      <w:proofErr w:type="spellStart"/>
      <w:r w:rsidRPr="009851D9">
        <w:rPr>
          <w:sz w:val="20"/>
          <w:szCs w:val="20"/>
        </w:rPr>
        <w:t>internet</w:t>
      </w:r>
      <w:proofErr w:type="spellEnd"/>
      <w:r w:rsidRPr="009851D9">
        <w:rPr>
          <w:sz w:val="20"/>
          <w:szCs w:val="20"/>
        </w:rPr>
        <w:t xml:space="preserve"> lub w inny sposób na odległość COM (2015) 635 </w:t>
      </w:r>
      <w:proofErr w:type="spellStart"/>
      <w:r w:rsidRPr="009851D9">
        <w:rPr>
          <w:i/>
          <w:sz w:val="20"/>
          <w:szCs w:val="20"/>
        </w:rPr>
        <w:t>final</w:t>
      </w:r>
      <w:proofErr w:type="spellEnd"/>
      <w:r w:rsidRPr="009851D9">
        <w:rPr>
          <w:sz w:val="20"/>
          <w:szCs w:val="20"/>
        </w:rPr>
        <w:t xml:space="preserve">. </w:t>
      </w:r>
    </w:p>
  </w:footnote>
  <w:footnote w:id="4">
    <w:p w14:paraId="5B19409B" w14:textId="6063C5D4" w:rsidR="00CB5ACB" w:rsidRDefault="00CB5ACB" w:rsidP="009851D9">
      <w:pPr>
        <w:pStyle w:val="footnotedescription"/>
        <w:spacing w:after="71" w:line="239" w:lineRule="auto"/>
        <w:ind w:left="284" w:hanging="284"/>
      </w:pPr>
      <w:r w:rsidRPr="009851D9">
        <w:rPr>
          <w:rStyle w:val="footnotemark"/>
          <w:sz w:val="20"/>
          <w:szCs w:val="20"/>
        </w:rPr>
        <w:footnoteRef/>
      </w:r>
      <w:r w:rsidR="00F82CDE" w:rsidRPr="009851D9">
        <w:rPr>
          <w:sz w:val="20"/>
          <w:szCs w:val="20"/>
          <w:vertAlign w:val="superscript"/>
        </w:rPr>
        <w:t>)</w:t>
      </w:r>
      <w:r w:rsidR="00F82CDE">
        <w:rPr>
          <w:sz w:val="20"/>
          <w:szCs w:val="20"/>
        </w:rPr>
        <w:tab/>
      </w:r>
      <w:r w:rsidRPr="009851D9">
        <w:rPr>
          <w:sz w:val="20"/>
          <w:szCs w:val="20"/>
        </w:rPr>
        <w:t xml:space="preserve">Gospodarka o obiegu zamkniętym (ang. </w:t>
      </w:r>
      <w:proofErr w:type="spellStart"/>
      <w:r w:rsidRPr="009851D9">
        <w:rPr>
          <w:i/>
          <w:sz w:val="20"/>
          <w:szCs w:val="20"/>
        </w:rPr>
        <w:t>circular</w:t>
      </w:r>
      <w:proofErr w:type="spellEnd"/>
      <w:r w:rsidRPr="009851D9">
        <w:rPr>
          <w:i/>
          <w:sz w:val="20"/>
          <w:szCs w:val="20"/>
        </w:rPr>
        <w:t xml:space="preserve"> </w:t>
      </w:r>
      <w:proofErr w:type="spellStart"/>
      <w:r w:rsidRPr="009851D9">
        <w:rPr>
          <w:i/>
          <w:sz w:val="20"/>
          <w:szCs w:val="20"/>
        </w:rPr>
        <w:t>economy</w:t>
      </w:r>
      <w:proofErr w:type="spellEnd"/>
      <w:r w:rsidRPr="009851D9">
        <w:rPr>
          <w:sz w:val="20"/>
          <w:szCs w:val="20"/>
        </w:rPr>
        <w:t xml:space="preserve">) jest koncepcją zmierzającą do racjonalnego wykorzystania zasobów i ograniczenia negatywnego oddziaływania na środowisko wytwarzanych produktów, które </w:t>
      </w:r>
      <w:r w:rsidR="00C73107" w:rsidRPr="009851D9">
        <w:rPr>
          <w:sz w:val="20"/>
          <w:szCs w:val="20"/>
        </w:rPr>
        <w:t>–</w:t>
      </w:r>
      <w:r w:rsidRPr="009851D9">
        <w:rPr>
          <w:sz w:val="20"/>
          <w:szCs w:val="20"/>
        </w:rPr>
        <w:t xml:space="preserve"> podobnie jak materiały oraz surowce </w:t>
      </w:r>
      <w:r w:rsidR="00C73107" w:rsidRPr="009851D9">
        <w:rPr>
          <w:sz w:val="20"/>
          <w:szCs w:val="20"/>
        </w:rPr>
        <w:t>–</w:t>
      </w:r>
      <w:r w:rsidRPr="009851D9">
        <w:rPr>
          <w:sz w:val="20"/>
          <w:szCs w:val="20"/>
        </w:rPr>
        <w:t xml:space="preserve"> powinny pozostawać w gospodarce tak długo, jak jest to możliwe, a wytwarzanie odpadów powinno być jak najbardziej zminimalizowane. Źródło: </w:t>
      </w:r>
      <w:r w:rsidR="00F82CDE" w:rsidRPr="00CB777D">
        <w:rPr>
          <w:color w:val="000000" w:themeColor="text1"/>
          <w:sz w:val="20"/>
          <w:szCs w:val="20"/>
          <w:u w:color="0000FF"/>
        </w:rPr>
        <w:t>https://www.gov.pl/w</w:t>
      </w:r>
      <w:bookmarkStart w:id="6" w:name="_GoBack"/>
      <w:bookmarkEnd w:id="6"/>
      <w:r w:rsidR="00F82CDE" w:rsidRPr="00CB777D">
        <w:rPr>
          <w:color w:val="000000" w:themeColor="text1"/>
          <w:sz w:val="20"/>
          <w:szCs w:val="20"/>
          <w:u w:color="0000FF"/>
        </w:rPr>
        <w:t>eb/klimat/goz</w:t>
      </w:r>
      <w:r w:rsidR="00F82CDE" w:rsidRPr="00CB777D">
        <w:rPr>
          <w:color w:val="000000" w:themeColor="text1"/>
          <w:sz w:val="20"/>
          <w:szCs w:val="20"/>
        </w:rPr>
        <w:t>.</w:t>
      </w:r>
      <w:r w:rsidRPr="00CB777D">
        <w:rPr>
          <w:color w:val="000000" w:themeColor="text1"/>
          <w:sz w:val="20"/>
          <w:szCs w:val="20"/>
        </w:rPr>
        <w:t xml:space="preserve"> </w:t>
      </w:r>
      <w:r w:rsidRPr="009851D9">
        <w:rPr>
          <w:color w:val="000000" w:themeColor="text1"/>
          <w:sz w:val="20"/>
          <w:szCs w:val="20"/>
        </w:rPr>
        <w:t>Zob. też dokument KE COM(2020)98.</w:t>
      </w:r>
      <w:r w:rsidRPr="009851D9">
        <w:rPr>
          <w:color w:val="000000" w:themeColor="text1"/>
        </w:rPr>
        <w:t xml:space="preserve"> </w:t>
      </w:r>
    </w:p>
  </w:footnote>
  <w:footnote w:id="5">
    <w:p w14:paraId="72D05558" w14:textId="0C60FD1E" w:rsidR="00CB5ACB" w:rsidRPr="009851D9" w:rsidRDefault="00CB5ACB" w:rsidP="00F82CDE">
      <w:pPr>
        <w:pStyle w:val="footnotedescription"/>
        <w:spacing w:line="240" w:lineRule="auto"/>
        <w:ind w:left="284" w:right="1" w:hanging="284"/>
        <w:rPr>
          <w:sz w:val="20"/>
          <w:szCs w:val="20"/>
        </w:rPr>
      </w:pPr>
      <w:r w:rsidRPr="009851D9">
        <w:rPr>
          <w:rStyle w:val="footnotemark"/>
          <w:sz w:val="20"/>
          <w:szCs w:val="20"/>
        </w:rPr>
        <w:footnoteRef/>
      </w:r>
      <w:r w:rsidR="00F82CDE" w:rsidRPr="009851D9">
        <w:rPr>
          <w:sz w:val="20"/>
          <w:szCs w:val="20"/>
          <w:vertAlign w:val="superscript"/>
        </w:rPr>
        <w:t>)</w:t>
      </w:r>
      <w:r w:rsidR="00F82CDE" w:rsidRPr="009851D9">
        <w:rPr>
          <w:sz w:val="20"/>
          <w:szCs w:val="20"/>
        </w:rPr>
        <w:tab/>
      </w:r>
      <w:r w:rsidRPr="009851D9">
        <w:rPr>
          <w:sz w:val="20"/>
          <w:szCs w:val="20"/>
        </w:rPr>
        <w:t xml:space="preserve">(83) Konsumenci powinni móc korzystać ze swoich praw na mocy niniejszej dyrektywy, gdy tylko odpowiednie krajowe środki transpozycji zaczną obowiązywać. W związku z tym krajowe środki transpozycji powinny mieć również zastosowanie do umów na czas nieokreślony lub na czas określony, które zostały zawarte przed dniem rozpoczęcia stosowania, i których przedmiotem jest dostarczanie treści cyfrowych lub usług cyfrowych przez określony czas, w sposób ciągły lub przez szereg odrębnych dostaw, ale wyłącznie </w:t>
      </w:r>
      <w:r w:rsidR="001B5A32" w:rsidRPr="009851D9">
        <w:rPr>
          <w:sz w:val="20"/>
          <w:szCs w:val="20"/>
        </w:rPr>
        <w:t>w</w:t>
      </w:r>
      <w:r w:rsidR="001B5A32">
        <w:rPr>
          <w:sz w:val="20"/>
          <w:szCs w:val="20"/>
        </w:rPr>
        <w:t> </w:t>
      </w:r>
      <w:r w:rsidRPr="009851D9">
        <w:rPr>
          <w:sz w:val="20"/>
          <w:szCs w:val="20"/>
        </w:rPr>
        <w:t xml:space="preserve">odniesieniu do treści cyfrowych lub usługi cyfrowej dostarczanych od dnia rozpoczęcia stosowania krajowych środków transpozycji. Jednak w celu zapewnienia równowagi między uzasadnionym interesem konsumenta i przedsiębiorcy, krajowe środki transponujące przepisy niniejszej dyrektywy dotyczące zmiany treści cyfrowych lub usługi cyfrowej oraz roszczeń regresowych powinny mieć zastosowanie jedynie do umów zawartych po dniu rozpoczęcia stosowania zgodnie z niniejszą dyrektywą.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2AEA0" w14:textId="77777777" w:rsidR="00CB5ACB" w:rsidRDefault="00CB5ACB">
    <w:pPr>
      <w:spacing w:after="0" w:line="259" w:lineRule="auto"/>
      <w:ind w:left="0" w:firstLine="0"/>
      <w:jc w:val="center"/>
    </w:pPr>
    <w:r>
      <w:fldChar w:fldCharType="begin"/>
    </w:r>
    <w:r>
      <w:instrText xml:space="preserve"> PAGE   \* MERGEFORMAT </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C08E4" w14:textId="3A8153C5" w:rsidR="00CB5ACB" w:rsidRDefault="00CB5ACB">
    <w:pPr>
      <w:spacing w:after="0" w:line="259" w:lineRule="auto"/>
      <w:ind w:left="0"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66AE4" w14:textId="572F2A2B" w:rsidR="00CB5ACB" w:rsidRDefault="00CB5ACB">
    <w:pPr>
      <w:spacing w:after="0" w:line="259" w:lineRule="auto"/>
      <w:ind w:left="0" w:firstLine="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D02"/>
    <w:rsid w:val="000160D8"/>
    <w:rsid w:val="00050AB4"/>
    <w:rsid w:val="00050DC9"/>
    <w:rsid w:val="0005107C"/>
    <w:rsid w:val="00052D24"/>
    <w:rsid w:val="00076452"/>
    <w:rsid w:val="00082EDA"/>
    <w:rsid w:val="000B2EE8"/>
    <w:rsid w:val="000B5A3F"/>
    <w:rsid w:val="000E57D8"/>
    <w:rsid w:val="000F16ED"/>
    <w:rsid w:val="000F6406"/>
    <w:rsid w:val="00126DDC"/>
    <w:rsid w:val="0013374A"/>
    <w:rsid w:val="001412F8"/>
    <w:rsid w:val="001529C4"/>
    <w:rsid w:val="00166DFB"/>
    <w:rsid w:val="00170CB7"/>
    <w:rsid w:val="00190DA7"/>
    <w:rsid w:val="001B5A32"/>
    <w:rsid w:val="001C130F"/>
    <w:rsid w:val="001C7A18"/>
    <w:rsid w:val="001E38CE"/>
    <w:rsid w:val="002172B6"/>
    <w:rsid w:val="002233CC"/>
    <w:rsid w:val="00234666"/>
    <w:rsid w:val="00237543"/>
    <w:rsid w:val="0026525B"/>
    <w:rsid w:val="00276457"/>
    <w:rsid w:val="00285A68"/>
    <w:rsid w:val="002A38CE"/>
    <w:rsid w:val="002D08ED"/>
    <w:rsid w:val="002D562C"/>
    <w:rsid w:val="00307623"/>
    <w:rsid w:val="00307F28"/>
    <w:rsid w:val="003138D8"/>
    <w:rsid w:val="0033340F"/>
    <w:rsid w:val="003519F6"/>
    <w:rsid w:val="00351B48"/>
    <w:rsid w:val="0035750E"/>
    <w:rsid w:val="003622CB"/>
    <w:rsid w:val="003923D0"/>
    <w:rsid w:val="003C71F8"/>
    <w:rsid w:val="003D2918"/>
    <w:rsid w:val="004217D8"/>
    <w:rsid w:val="004502EE"/>
    <w:rsid w:val="00453706"/>
    <w:rsid w:val="00485FCD"/>
    <w:rsid w:val="00487FDF"/>
    <w:rsid w:val="004C1896"/>
    <w:rsid w:val="004C27D4"/>
    <w:rsid w:val="00505272"/>
    <w:rsid w:val="0050695A"/>
    <w:rsid w:val="00523EBE"/>
    <w:rsid w:val="005333D5"/>
    <w:rsid w:val="00543317"/>
    <w:rsid w:val="0054483A"/>
    <w:rsid w:val="005A6D7D"/>
    <w:rsid w:val="005D455E"/>
    <w:rsid w:val="006113D6"/>
    <w:rsid w:val="00630CBE"/>
    <w:rsid w:val="0064025B"/>
    <w:rsid w:val="006478F3"/>
    <w:rsid w:val="0067562F"/>
    <w:rsid w:val="006D0C13"/>
    <w:rsid w:val="006D6BC5"/>
    <w:rsid w:val="00703CC1"/>
    <w:rsid w:val="00721EE7"/>
    <w:rsid w:val="00721F22"/>
    <w:rsid w:val="0072761D"/>
    <w:rsid w:val="00756F03"/>
    <w:rsid w:val="00765038"/>
    <w:rsid w:val="007655C7"/>
    <w:rsid w:val="007839F0"/>
    <w:rsid w:val="007B7747"/>
    <w:rsid w:val="007D69F0"/>
    <w:rsid w:val="00824C5F"/>
    <w:rsid w:val="00826C55"/>
    <w:rsid w:val="008B1B38"/>
    <w:rsid w:val="008C6B2C"/>
    <w:rsid w:val="009225C6"/>
    <w:rsid w:val="00946DF3"/>
    <w:rsid w:val="00982FC6"/>
    <w:rsid w:val="009851D9"/>
    <w:rsid w:val="00991597"/>
    <w:rsid w:val="009D3401"/>
    <w:rsid w:val="00A148E7"/>
    <w:rsid w:val="00A20F84"/>
    <w:rsid w:val="00A23F16"/>
    <w:rsid w:val="00A26253"/>
    <w:rsid w:val="00A43578"/>
    <w:rsid w:val="00A6733D"/>
    <w:rsid w:val="00A87A06"/>
    <w:rsid w:val="00AB55DC"/>
    <w:rsid w:val="00AC26C0"/>
    <w:rsid w:val="00AF1AC2"/>
    <w:rsid w:val="00AF3CCA"/>
    <w:rsid w:val="00AF77DF"/>
    <w:rsid w:val="00B1403D"/>
    <w:rsid w:val="00B21FD6"/>
    <w:rsid w:val="00B51C94"/>
    <w:rsid w:val="00B63E40"/>
    <w:rsid w:val="00B64EF9"/>
    <w:rsid w:val="00BA1CF4"/>
    <w:rsid w:val="00BB389C"/>
    <w:rsid w:val="00BC0D8C"/>
    <w:rsid w:val="00BC4869"/>
    <w:rsid w:val="00BD466D"/>
    <w:rsid w:val="00BD5A17"/>
    <w:rsid w:val="00BD799E"/>
    <w:rsid w:val="00BE7122"/>
    <w:rsid w:val="00C0108B"/>
    <w:rsid w:val="00C02B16"/>
    <w:rsid w:val="00C307E7"/>
    <w:rsid w:val="00C33086"/>
    <w:rsid w:val="00C432F7"/>
    <w:rsid w:val="00C53506"/>
    <w:rsid w:val="00C609A3"/>
    <w:rsid w:val="00C73107"/>
    <w:rsid w:val="00C875F2"/>
    <w:rsid w:val="00CB5ACB"/>
    <w:rsid w:val="00CB777D"/>
    <w:rsid w:val="00CE0AB2"/>
    <w:rsid w:val="00CE4F52"/>
    <w:rsid w:val="00CE513A"/>
    <w:rsid w:val="00D14A67"/>
    <w:rsid w:val="00D351DA"/>
    <w:rsid w:val="00D768AE"/>
    <w:rsid w:val="00DB65ED"/>
    <w:rsid w:val="00DB6757"/>
    <w:rsid w:val="00DB67BB"/>
    <w:rsid w:val="00DC1ADA"/>
    <w:rsid w:val="00DC1D02"/>
    <w:rsid w:val="00EC44AB"/>
    <w:rsid w:val="00ED0F2C"/>
    <w:rsid w:val="00EF0456"/>
    <w:rsid w:val="00EF1DE6"/>
    <w:rsid w:val="00F05AFB"/>
    <w:rsid w:val="00F14E07"/>
    <w:rsid w:val="00F32398"/>
    <w:rsid w:val="00F4209B"/>
    <w:rsid w:val="00F56F8C"/>
    <w:rsid w:val="00F70B40"/>
    <w:rsid w:val="00F75317"/>
    <w:rsid w:val="00F80645"/>
    <w:rsid w:val="00F82CDE"/>
    <w:rsid w:val="00F84E3C"/>
    <w:rsid w:val="00F9061E"/>
    <w:rsid w:val="00FC00BF"/>
    <w:rsid w:val="00FC568B"/>
    <w:rsid w:val="00FE5C59"/>
    <w:rsid w:val="00FE67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95354"/>
  <w15:docId w15:val="{010DE230-7733-4306-8BB5-E594E2580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4" w:line="358" w:lineRule="auto"/>
      <w:ind w:left="3890" w:firstLine="698"/>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spacing w:after="227" w:line="251" w:lineRule="auto"/>
      <w:ind w:left="718" w:hanging="9"/>
      <w:jc w:val="both"/>
      <w:outlineLvl w:val="0"/>
    </w:pPr>
    <w:rPr>
      <w:rFonts w:ascii="Times New Roman" w:eastAsia="Times New Roman" w:hAnsi="Times New Roman" w:cs="Times New Roman"/>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after="0" w:line="244" w:lineRule="auto"/>
      <w:jc w:val="both"/>
    </w:pPr>
    <w:rPr>
      <w:rFonts w:ascii="Times New Roman" w:eastAsia="Times New Roman" w:hAnsi="Times New Roman" w:cs="Times New Roman"/>
      <w:color w:val="000000"/>
      <w:sz w:val="16"/>
    </w:rPr>
  </w:style>
  <w:style w:type="character" w:customStyle="1" w:styleId="footnotedescriptionChar">
    <w:name w:val="footnote description Char"/>
    <w:link w:val="footnotedescription"/>
    <w:rPr>
      <w:rFonts w:ascii="Times New Roman" w:eastAsia="Times New Roman" w:hAnsi="Times New Roman" w:cs="Times New Roman"/>
      <w:color w:val="000000"/>
      <w:sz w:val="16"/>
    </w:rPr>
  </w:style>
  <w:style w:type="character" w:customStyle="1" w:styleId="Nagwek1Znak">
    <w:name w:val="Nagłówek 1 Znak"/>
    <w:link w:val="Nagwek1"/>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16"/>
      <w:vertAlign w:val="superscript"/>
    </w:rPr>
  </w:style>
  <w:style w:type="paragraph" w:styleId="Tekstdymka">
    <w:name w:val="Balloon Text"/>
    <w:basedOn w:val="Normalny"/>
    <w:link w:val="TekstdymkaZnak"/>
    <w:uiPriority w:val="99"/>
    <w:semiHidden/>
    <w:unhideWhenUsed/>
    <w:rsid w:val="00946DF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46DF3"/>
    <w:rPr>
      <w:rFonts w:ascii="Segoe UI" w:eastAsia="Times New Roman" w:hAnsi="Segoe UI" w:cs="Segoe UI"/>
      <w:color w:val="000000"/>
      <w:sz w:val="18"/>
      <w:szCs w:val="18"/>
    </w:rPr>
  </w:style>
  <w:style w:type="character" w:styleId="Odwoaniedokomentarza">
    <w:name w:val="annotation reference"/>
    <w:basedOn w:val="Domylnaczcionkaakapitu"/>
    <w:uiPriority w:val="99"/>
    <w:semiHidden/>
    <w:unhideWhenUsed/>
    <w:rsid w:val="00C02B16"/>
    <w:rPr>
      <w:sz w:val="16"/>
      <w:szCs w:val="16"/>
    </w:rPr>
  </w:style>
  <w:style w:type="paragraph" w:styleId="Tekstkomentarza">
    <w:name w:val="annotation text"/>
    <w:basedOn w:val="Normalny"/>
    <w:link w:val="TekstkomentarzaZnak"/>
    <w:uiPriority w:val="99"/>
    <w:semiHidden/>
    <w:unhideWhenUsed/>
    <w:rsid w:val="00C02B1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2B16"/>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C02B16"/>
    <w:rPr>
      <w:b/>
      <w:bCs/>
    </w:rPr>
  </w:style>
  <w:style w:type="character" w:customStyle="1" w:styleId="TematkomentarzaZnak">
    <w:name w:val="Temat komentarza Znak"/>
    <w:basedOn w:val="TekstkomentarzaZnak"/>
    <w:link w:val="Tematkomentarza"/>
    <w:uiPriority w:val="99"/>
    <w:semiHidden/>
    <w:rsid w:val="00C02B16"/>
    <w:rPr>
      <w:rFonts w:ascii="Times New Roman" w:eastAsia="Times New Roman" w:hAnsi="Times New Roman" w:cs="Times New Roman"/>
      <w:b/>
      <w:bCs/>
      <w:color w:val="000000"/>
      <w:sz w:val="20"/>
      <w:szCs w:val="20"/>
    </w:rPr>
  </w:style>
  <w:style w:type="paragraph" w:styleId="Tekstprzypisudolnego">
    <w:name w:val="footnote text"/>
    <w:basedOn w:val="Normalny"/>
    <w:link w:val="TekstprzypisudolnegoZnak"/>
    <w:uiPriority w:val="99"/>
    <w:semiHidden/>
    <w:unhideWhenUsed/>
    <w:rsid w:val="00F9061E"/>
    <w:pPr>
      <w:spacing w:after="0" w:line="240" w:lineRule="auto"/>
      <w:ind w:left="0" w:firstLine="0"/>
      <w:jc w:val="left"/>
    </w:pPr>
    <w:rPr>
      <w:rFonts w:ascii="Calibri" w:hAnsi="Calibri"/>
      <w:color w:val="auto"/>
      <w:sz w:val="20"/>
      <w:szCs w:val="20"/>
    </w:rPr>
  </w:style>
  <w:style w:type="character" w:customStyle="1" w:styleId="TekstprzypisudolnegoZnak">
    <w:name w:val="Tekst przypisu dolnego Znak"/>
    <w:basedOn w:val="Domylnaczcionkaakapitu"/>
    <w:link w:val="Tekstprzypisudolnego"/>
    <w:uiPriority w:val="99"/>
    <w:semiHidden/>
    <w:rsid w:val="00F9061E"/>
    <w:rPr>
      <w:rFonts w:ascii="Calibri" w:eastAsia="Times New Roman" w:hAnsi="Calibri" w:cs="Times New Roman"/>
      <w:sz w:val="20"/>
      <w:szCs w:val="20"/>
    </w:rPr>
  </w:style>
  <w:style w:type="character" w:styleId="Odwoanieprzypisudolnego">
    <w:name w:val="footnote reference"/>
    <w:basedOn w:val="Domylnaczcionkaakapitu"/>
    <w:uiPriority w:val="99"/>
    <w:semiHidden/>
    <w:unhideWhenUsed/>
    <w:rsid w:val="00F9061E"/>
    <w:rPr>
      <w:vertAlign w:val="superscript"/>
    </w:rPr>
  </w:style>
  <w:style w:type="paragraph" w:styleId="Stopka">
    <w:name w:val="footer"/>
    <w:basedOn w:val="Normalny"/>
    <w:link w:val="StopkaZnak"/>
    <w:uiPriority w:val="99"/>
    <w:unhideWhenUsed/>
    <w:rsid w:val="00C7310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3107"/>
    <w:rPr>
      <w:rFonts w:ascii="Times New Roman" w:eastAsia="Times New Roman" w:hAnsi="Times New Roman" w:cs="Times New Roman"/>
      <w:color w:val="000000"/>
      <w:sz w:val="24"/>
    </w:rPr>
  </w:style>
  <w:style w:type="character" w:customStyle="1" w:styleId="markedcontent">
    <w:name w:val="markedcontent"/>
    <w:basedOn w:val="Domylnaczcionkaakapitu"/>
    <w:rsid w:val="00237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A9EF7-31F6-45F7-A8DE-65B9E09E8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18</Pages>
  <Words>6417</Words>
  <Characters>38507</Characters>
  <Application>Microsoft Office Word</Application>
  <DocSecurity>0</DocSecurity>
  <Lines>320</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Zbrojewski Konrad  (DPE)</dc:creator>
  <cp:keywords/>
  <cp:lastModifiedBy>Rybkowska Bożena</cp:lastModifiedBy>
  <cp:revision>6</cp:revision>
  <dcterms:created xsi:type="dcterms:W3CDTF">2022-06-10T09:14:00Z</dcterms:created>
  <dcterms:modified xsi:type="dcterms:W3CDTF">2022-06-13T08:19:00Z</dcterms:modified>
</cp:coreProperties>
</file>