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556" w:rsidRPr="005D66E0" w:rsidRDefault="008E2556" w:rsidP="005D66E0">
      <w:pPr>
        <w:pStyle w:val="ROZDZODDZOZNoznaczenierozdziauluboddziau"/>
        <w:spacing w:before="0" w:after="240"/>
        <w:rPr>
          <w:rStyle w:val="Ppogrubienie"/>
          <w:rFonts w:ascii="Times New Roman" w:hAnsi="Times New Roman" w:cs="Times New Roman"/>
          <w:b w:val="0"/>
        </w:rPr>
      </w:pPr>
      <w:r w:rsidRPr="005D66E0">
        <w:rPr>
          <w:rStyle w:val="Ppogrubienie"/>
          <w:rFonts w:ascii="Times New Roman" w:hAnsi="Times New Roman" w:cs="Times New Roman"/>
          <w:b w:val="0"/>
        </w:rPr>
        <w:t>UZASADNIENIE</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 xml:space="preserve">Projektowana regulacja wprowadza zmiany w ustawie z dnia 15 lipca 2011 r. o zawodach pielęgniarki i położnej (Dz. U. z 2022 r. poz. 551,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xml:space="preserve">. zm.), zwanej dalej </w:t>
      </w:r>
      <w:r>
        <w:rPr>
          <w:rFonts w:ascii="Times New Roman" w:hAnsi="Times New Roman" w:cs="Times New Roman"/>
          <w:szCs w:val="24"/>
        </w:rPr>
        <w:t>„</w:t>
      </w:r>
      <w:r w:rsidRPr="005D66E0">
        <w:rPr>
          <w:rFonts w:ascii="Times New Roman" w:hAnsi="Times New Roman" w:cs="Times New Roman"/>
          <w:szCs w:val="24"/>
        </w:rPr>
        <w:t>ustawą”,</w:t>
      </w:r>
      <w:r>
        <w:rPr>
          <w:rFonts w:ascii="Times New Roman" w:hAnsi="Times New Roman" w:cs="Times New Roman"/>
          <w:szCs w:val="24"/>
        </w:rPr>
        <w:t xml:space="preserve"> </w:t>
      </w:r>
      <w:r w:rsidRPr="005D66E0">
        <w:rPr>
          <w:rFonts w:ascii="Times New Roman" w:hAnsi="Times New Roman" w:cs="Times New Roman"/>
          <w:szCs w:val="24"/>
        </w:rPr>
        <w:t>w</w:t>
      </w:r>
      <w:r>
        <w:rPr>
          <w:rFonts w:ascii="Times New Roman" w:hAnsi="Times New Roman" w:cs="Times New Roman"/>
          <w:szCs w:val="24"/>
        </w:rPr>
        <w:t> </w:t>
      </w:r>
      <w:r w:rsidRPr="005D66E0">
        <w:rPr>
          <w:rFonts w:ascii="Times New Roman" w:hAnsi="Times New Roman" w:cs="Times New Roman"/>
          <w:szCs w:val="24"/>
        </w:rPr>
        <w:t>związku z</w:t>
      </w:r>
      <w:r>
        <w:rPr>
          <w:rFonts w:ascii="Times New Roman" w:hAnsi="Times New Roman" w:cs="Times New Roman"/>
          <w:szCs w:val="24"/>
        </w:rPr>
        <w:t xml:space="preserve"> </w:t>
      </w:r>
      <w:r w:rsidRPr="005D66E0">
        <w:rPr>
          <w:rFonts w:ascii="Times New Roman" w:hAnsi="Times New Roman" w:cs="Times New Roman"/>
          <w:szCs w:val="24"/>
        </w:rPr>
        <w:t>potrzebą wdrożenia do przepisów prawa krajowego regulacji wynikających z</w:t>
      </w:r>
      <w:r>
        <w:rPr>
          <w:rFonts w:ascii="Times New Roman" w:hAnsi="Times New Roman" w:cs="Times New Roman"/>
          <w:szCs w:val="24"/>
        </w:rPr>
        <w:t> </w:t>
      </w:r>
      <w:r w:rsidRPr="005D66E0">
        <w:rPr>
          <w:rFonts w:ascii="Times New Roman" w:hAnsi="Times New Roman" w:cs="Times New Roman"/>
          <w:szCs w:val="24"/>
        </w:rPr>
        <w:t>przepisów art.</w:t>
      </w:r>
      <w:r>
        <w:rPr>
          <w:rFonts w:ascii="Times New Roman" w:hAnsi="Times New Roman" w:cs="Times New Roman"/>
          <w:szCs w:val="24"/>
        </w:rPr>
        <w:t xml:space="preserve"> </w:t>
      </w:r>
      <w:r w:rsidRPr="005D66E0">
        <w:rPr>
          <w:rFonts w:ascii="Times New Roman" w:hAnsi="Times New Roman" w:cs="Times New Roman"/>
          <w:szCs w:val="24"/>
        </w:rPr>
        <w:t xml:space="preserve">7 ust. 1, art. 33 ust. 1, art. 41 ust. 1 i 2, art. 43 ust. 1, 1a i 2 dyrektywy 2005/36/WE Parlamentu Europejskiego i Rady z dnia 7 września 2005 r. w sprawie uznawania kwalifikacji zawodowych (Dz. Urz. UE L 255 z 30.09.2005, str. 22,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zm.), zwanej dalej „dyrektywą”.</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Na uchybienia związane z nieprawidłową implementacją wybranych przepisów dyrektywy wskazywała Komisja Europejska za pośrednictwem ministra właściwego do spraw edukacji i</w:t>
      </w:r>
      <w:r>
        <w:rPr>
          <w:rFonts w:ascii="Times New Roman" w:hAnsi="Times New Roman" w:cs="Times New Roman"/>
          <w:szCs w:val="24"/>
        </w:rPr>
        <w:t> </w:t>
      </w:r>
      <w:r w:rsidRPr="005D66E0">
        <w:rPr>
          <w:rFonts w:ascii="Times New Roman" w:hAnsi="Times New Roman" w:cs="Times New Roman"/>
          <w:szCs w:val="24"/>
        </w:rPr>
        <w:t>nauki w uzasadnionej opinii z dnia 28 listopada 2019 r. – numer naruszenia według ewidencji KE: 2018/2301. W związku z</w:t>
      </w:r>
      <w:r>
        <w:rPr>
          <w:rFonts w:ascii="Times New Roman" w:hAnsi="Times New Roman" w:cs="Times New Roman"/>
          <w:szCs w:val="24"/>
        </w:rPr>
        <w:t xml:space="preserve"> </w:t>
      </w:r>
      <w:r w:rsidRPr="005D66E0">
        <w:rPr>
          <w:rFonts w:ascii="Times New Roman" w:hAnsi="Times New Roman" w:cs="Times New Roman"/>
          <w:szCs w:val="24"/>
        </w:rPr>
        <w:t>powyższym projektowana regulacja obejmuje kwestie:</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1)</w:t>
      </w:r>
      <w:r w:rsidRPr="005D66E0">
        <w:rPr>
          <w:rFonts w:ascii="Times New Roman" w:hAnsi="Times New Roman" w:cs="Times New Roman"/>
          <w:szCs w:val="24"/>
        </w:rPr>
        <w:tab/>
        <w:t>swobody świadczenia usług – uprzednie oświadczenie składane w przypadku przeniesienia się usługodawcy;</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2)</w:t>
      </w:r>
      <w:r w:rsidRPr="005D66E0">
        <w:rPr>
          <w:rFonts w:ascii="Times New Roman" w:hAnsi="Times New Roman" w:cs="Times New Roman"/>
          <w:szCs w:val="24"/>
        </w:rPr>
        <w:tab/>
        <w:t>uznawania na podstawie przepisów o koordynacji minimalnych wymogów w zakresie kształcenia: prawa nabyte pielęgniarek odpowiedzialnych za opiekę ogólną, procedury uznawania dokumentów potwierdzających posiadanie kwalifikacji położnych oraz prawa nabyte położnych.</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Celem projektowanej regulacji jest zapewnienie spójności przepisów prawa krajowego</w:t>
      </w:r>
      <w:r>
        <w:rPr>
          <w:rFonts w:ascii="Times New Roman" w:hAnsi="Times New Roman" w:cs="Times New Roman"/>
          <w:szCs w:val="24"/>
        </w:rPr>
        <w:t xml:space="preserve"> </w:t>
      </w:r>
      <w:r w:rsidRPr="005D66E0">
        <w:rPr>
          <w:rFonts w:ascii="Times New Roman" w:hAnsi="Times New Roman" w:cs="Times New Roman"/>
          <w:szCs w:val="24"/>
        </w:rPr>
        <w:t>z przepisami dyrektywy.</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Projekt ustawy wprowadza zmianę do art. 24 ust. 1 pkt 1 ustawy</w:t>
      </w:r>
      <w:r w:rsidR="00681AB6">
        <w:rPr>
          <w:rFonts w:ascii="Times New Roman" w:hAnsi="Times New Roman" w:cs="Times New Roman"/>
          <w:szCs w:val="24"/>
        </w:rPr>
        <w:t>,</w:t>
      </w:r>
      <w:r w:rsidRPr="005D66E0">
        <w:rPr>
          <w:rFonts w:ascii="Times New Roman" w:hAnsi="Times New Roman" w:cs="Times New Roman"/>
          <w:szCs w:val="24"/>
        </w:rPr>
        <w:t xml:space="preserve"> regulującego świadczenie usług transgranicznych czasowo i okazjonalnie przez pielęgniarki i położne będące obywatelami państw członkowskich Unii Europejskiej, polegającą na zniesieniu obowiązku podawania przez te pielęgniarki lub położne w oświadczeniu o zamiarze czasowego i</w:t>
      </w:r>
      <w:r>
        <w:rPr>
          <w:rFonts w:ascii="Times New Roman" w:hAnsi="Times New Roman" w:cs="Times New Roman"/>
          <w:szCs w:val="24"/>
        </w:rPr>
        <w:t> </w:t>
      </w:r>
      <w:r w:rsidRPr="005D66E0">
        <w:rPr>
          <w:rFonts w:ascii="Times New Roman" w:hAnsi="Times New Roman" w:cs="Times New Roman"/>
          <w:szCs w:val="24"/>
        </w:rPr>
        <w:t>okazjonalnego wykonywania zawodu, informacji o miejscu i czasie jego wykonywania. W opinii Komisji Europejskiej aktualnie obowiązujące przepisy w tym zakresie stanowią naruszenie art. 7 ust. 1 dyrektywy, który nie wskazuje tego rodzaju informacji jako</w:t>
      </w:r>
      <w:r>
        <w:rPr>
          <w:rFonts w:ascii="Times New Roman" w:hAnsi="Times New Roman" w:cs="Times New Roman"/>
          <w:szCs w:val="24"/>
        </w:rPr>
        <w:t xml:space="preserve"> </w:t>
      </w:r>
      <w:r w:rsidRPr="005D66E0">
        <w:rPr>
          <w:rFonts w:ascii="Times New Roman" w:hAnsi="Times New Roman" w:cs="Times New Roman"/>
          <w:szCs w:val="24"/>
        </w:rPr>
        <w:t>obowiązkowych do podania w przedmiotowym oświadczeniu. W projektowanym przepisie umożliwiono również pielęgniarkom lub położnym złożenie przedmiotowego oświadczenia w</w:t>
      </w:r>
      <w:r>
        <w:rPr>
          <w:rFonts w:ascii="Times New Roman" w:hAnsi="Times New Roman" w:cs="Times New Roman"/>
          <w:szCs w:val="24"/>
        </w:rPr>
        <w:t> </w:t>
      </w:r>
      <w:r w:rsidRPr="005D66E0">
        <w:rPr>
          <w:rFonts w:ascii="Times New Roman" w:hAnsi="Times New Roman" w:cs="Times New Roman"/>
          <w:szCs w:val="24"/>
        </w:rPr>
        <w:t>dowolnej okręgowej izbie pielęgniarek i położnych, a nie jak dotychczas tylko we właściwej ze względu na miejsce wykonywania zawodu.</w:t>
      </w:r>
      <w:r>
        <w:rPr>
          <w:rFonts w:ascii="Times New Roman" w:hAnsi="Times New Roman" w:cs="Times New Roman"/>
          <w:szCs w:val="24"/>
        </w:rPr>
        <w:t xml:space="preserve">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lastRenderedPageBreak/>
        <w:t>W związku z zarzutem Komisji Europejskiej w zakresie braku transpozycji przepisów art.</w:t>
      </w:r>
      <w:r>
        <w:rPr>
          <w:rFonts w:ascii="Times New Roman" w:hAnsi="Times New Roman" w:cs="Times New Roman"/>
          <w:szCs w:val="24"/>
        </w:rPr>
        <w:t xml:space="preserve"> </w:t>
      </w:r>
      <w:r w:rsidRPr="005D66E0">
        <w:rPr>
          <w:rFonts w:ascii="Times New Roman" w:hAnsi="Times New Roman" w:cs="Times New Roman"/>
          <w:szCs w:val="24"/>
        </w:rPr>
        <w:t>41 ust. 1 oraz art.</w:t>
      </w:r>
      <w:r>
        <w:rPr>
          <w:rFonts w:ascii="Times New Roman" w:hAnsi="Times New Roman" w:cs="Times New Roman"/>
          <w:szCs w:val="24"/>
        </w:rPr>
        <w:t xml:space="preserve"> </w:t>
      </w:r>
      <w:r w:rsidRPr="005D66E0">
        <w:rPr>
          <w:rFonts w:ascii="Times New Roman" w:hAnsi="Times New Roman" w:cs="Times New Roman"/>
          <w:szCs w:val="24"/>
        </w:rPr>
        <w:t xml:space="preserve">43 ust. 1a dyrektywy, w brzmieniu nadanym dyrektywą Parlamentu Europejskiego i Rady 2013/55/UE z dnia 20 listopada 2013 r. zmieniającą dyrektywę 2005/36/WE w sprawie uznawania kwalifikacji zawodowych i rozporządzenie (UE) nr 1024/2012 w sprawie współpracy administracyjnej za pośrednictwem systemu wymiany informacji na rynku wewnętrznym („rozporządzenie w sprawie IMI”) (Dz. Urz. UE L 354 z 28.12.2013, str. 132), zwaną dalej „dyrektywą 2013/55/UE”, zaproponowano nowe brzmienie art. 32 ust. 1 pkt 2 lit. a–c ustawy. Nowe brzmienie tego przepisu dotyczy minimalnych wymogów kształcenia położnych, tj. procedury uznawania dokumentów potwierdzających posiadanie kwalifikacji położnych. </w:t>
      </w:r>
      <w:bookmarkStart w:id="0" w:name="_Hlk94179101"/>
      <w:r w:rsidRPr="005D66E0">
        <w:rPr>
          <w:rFonts w:ascii="Times New Roman" w:hAnsi="Times New Roman" w:cs="Times New Roman"/>
          <w:szCs w:val="24"/>
        </w:rPr>
        <w:t>Ponadto zaproponowano dodanie w tym przepisie lit. d, zgodnie z którą należy zagwarantować prawo położnych do automatycznego uznania kwalifikacji, jeżeli wnioskodawca rozpoczął kształcenie przed dniem 18 stycznia 2016 r., a wymogi związane z dopuszczeniem do takiego kształcenia obejmowały 10 lat kształcenia ogólnego lub równorzędny poziom w przypadku kształcenia, o którym mowa w art. 32 ust. 1 pkt 2 lit. a ustawy, lub trwało co najmniej 18 miesięcy i obejmowało co najmniej 3000 godzin, a wymogi związane z dopuszczeniem do</w:t>
      </w:r>
      <w:r>
        <w:rPr>
          <w:rFonts w:ascii="Times New Roman" w:hAnsi="Times New Roman" w:cs="Times New Roman"/>
          <w:szCs w:val="24"/>
        </w:rPr>
        <w:t xml:space="preserve"> </w:t>
      </w:r>
      <w:r w:rsidRPr="005D66E0">
        <w:rPr>
          <w:rFonts w:ascii="Times New Roman" w:hAnsi="Times New Roman" w:cs="Times New Roman"/>
          <w:szCs w:val="24"/>
        </w:rPr>
        <w:t>takiego kształcenia obejmowały ukończone kształcenie pielęgniarki odpowiedzialnej za</w:t>
      </w:r>
      <w:r>
        <w:rPr>
          <w:rFonts w:ascii="Times New Roman" w:hAnsi="Times New Roman" w:cs="Times New Roman"/>
          <w:szCs w:val="24"/>
        </w:rPr>
        <w:t xml:space="preserve"> </w:t>
      </w:r>
      <w:r w:rsidRPr="005D66E0">
        <w:rPr>
          <w:rFonts w:ascii="Times New Roman" w:hAnsi="Times New Roman" w:cs="Times New Roman"/>
          <w:szCs w:val="24"/>
        </w:rPr>
        <w:t>opiekę ogólną poświadczone dokumentem potwierdzającym posiadanie kwalifikacji, o którym mowa w załączniku V pkt 5.2.2 do dyrektywy.</w:t>
      </w:r>
    </w:p>
    <w:bookmarkEnd w:id="0"/>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Mając na uwadze nowe brzmienie art. 32 ust. 1 pkt 2 lit. c ustawy</w:t>
      </w:r>
      <w:r w:rsidR="008B09AD">
        <w:rPr>
          <w:rFonts w:ascii="Times New Roman" w:hAnsi="Times New Roman" w:cs="Times New Roman"/>
          <w:szCs w:val="24"/>
        </w:rPr>
        <w:t>,</w:t>
      </w:r>
      <w:r w:rsidRPr="005D66E0">
        <w:rPr>
          <w:rFonts w:ascii="Times New Roman" w:hAnsi="Times New Roman" w:cs="Times New Roman"/>
          <w:szCs w:val="24"/>
        </w:rPr>
        <w:t xml:space="preserve"> dodano przepis dotyczący zaświadczenia wydawanego przez odpowiednie władze lub organizacje państwa członkowskiego Unii Europejskiej potwierdzającego, że jego posiadacz po zdobyciu dokumentu potwierdzającego posiadanie kwalifikacji położnej z powodzeniem wykonywał w danym okresie pełen zakres czynności położnej w szpitalu lub w upoważnionym podmiocie wykonującym działalność leczniczą (art. 32 ust. 1a ustawy).</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Jednocześnie należy podkreślić, że proponowane przepisy art. 32 ust. 1 pkt 2 lit. a–d oraz</w:t>
      </w:r>
      <w:r>
        <w:rPr>
          <w:rFonts w:ascii="Times New Roman" w:hAnsi="Times New Roman" w:cs="Times New Roman"/>
          <w:szCs w:val="24"/>
        </w:rPr>
        <w:t xml:space="preserve"> </w:t>
      </w:r>
      <w:r w:rsidRPr="005D66E0">
        <w:rPr>
          <w:rFonts w:ascii="Times New Roman" w:hAnsi="Times New Roman" w:cs="Times New Roman"/>
          <w:szCs w:val="24"/>
        </w:rPr>
        <w:t>ust.</w:t>
      </w:r>
      <w:r>
        <w:rPr>
          <w:rFonts w:ascii="Times New Roman" w:hAnsi="Times New Roman" w:cs="Times New Roman"/>
          <w:szCs w:val="24"/>
        </w:rPr>
        <w:t> </w:t>
      </w:r>
      <w:r w:rsidRPr="005D66E0">
        <w:rPr>
          <w:rFonts w:ascii="Times New Roman" w:hAnsi="Times New Roman" w:cs="Times New Roman"/>
          <w:szCs w:val="24"/>
        </w:rPr>
        <w:t>1a ustawy implementują warunki niezbędne do automatycznego uznania kwalifikacji zawodowych położnych będących obywatelami państw członkowskich Unii Europejskiej i przyznania tym położnym prawa wykonywania zawodu położnej na terytorium Rzeczypospolitej Polskiej, w brzmieniu zgodnym z przepisami dyrektywy.</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 xml:space="preserve">Projektowana regulacja dokonuje zmiany brzmienia art. 33 ust. 1 ustawy dotyczącego praw nabytych położnych, będących obywatelami państwa członkowskiego Unii Europejskiej, </w:t>
      </w:r>
      <w:r w:rsidRPr="005D66E0">
        <w:rPr>
          <w:rFonts w:ascii="Times New Roman" w:hAnsi="Times New Roman" w:cs="Times New Roman"/>
          <w:szCs w:val="24"/>
        </w:rPr>
        <w:lastRenderedPageBreak/>
        <w:t xml:space="preserve">których dokumenty potwierdzające posiadanie kwalifikacji w zawodzie położnej nie spełniają minimalnych wymogów w zakresie kształcenia określonych w prawie Unii Europejskiej. Przedmiotowa zmiana ma charakter doprecyzowujący, że przepis ten odnosi się do grupy położnych, których wykształcenie nie spełnia minimalnych wymogów kształcenia wynikających z prawa Unii Europejskiej. </w:t>
      </w:r>
    </w:p>
    <w:p w:rsidR="008E2556" w:rsidRPr="005D66E0" w:rsidRDefault="008E2556" w:rsidP="005D66E0">
      <w:pPr>
        <w:pStyle w:val="NIEARTTEKSTtekstnieartykuowanynppodstprawnarozplubpreambua"/>
        <w:ind w:firstLine="0"/>
        <w:rPr>
          <w:rFonts w:ascii="Times New Roman" w:hAnsi="Times New Roman" w:cs="Times New Roman"/>
          <w:szCs w:val="24"/>
        </w:rPr>
      </w:pPr>
      <w:bookmarkStart w:id="1" w:name="_Hlk94179929"/>
      <w:r w:rsidRPr="005D66E0">
        <w:rPr>
          <w:rFonts w:ascii="Times New Roman" w:hAnsi="Times New Roman" w:cs="Times New Roman"/>
          <w:szCs w:val="24"/>
        </w:rPr>
        <w:t>Ponadto projektowana ustawa dodaje przepis art. 33 ust. 1a ustawy dotyczący szczególnych praw nabytych położnych (art. 43 ust. 1 dyrektywy), będących obywatelami państwa członkowskiego Unii Europejskiej, których dokumenty potwierdzające posiadanie kwalifikacji w zawodzie położnej wydane przed datą określoną w załączniku V pkt</w:t>
      </w:r>
      <w:r>
        <w:rPr>
          <w:rFonts w:ascii="Times New Roman" w:hAnsi="Times New Roman" w:cs="Times New Roman"/>
          <w:szCs w:val="24"/>
        </w:rPr>
        <w:t xml:space="preserve"> </w:t>
      </w:r>
      <w:r w:rsidRPr="005D66E0">
        <w:rPr>
          <w:rFonts w:ascii="Times New Roman" w:hAnsi="Times New Roman" w:cs="Times New Roman"/>
          <w:szCs w:val="24"/>
        </w:rPr>
        <w:t xml:space="preserve">5.5.2 do dyrektywy, które odpowiadają minimalnym wymogom kształcenia zgodnego z przepisami prawa Unii Europejskiej, ale są uznawane na podstawie praw nabytych tylko pod warunkiem uzupełnienia ich praktyką zawodową, kwalifikacje są uznawane po przedstawieniu zaświadczenia potwierdzającego faktyczne i zgodne z prawem wykonywanie zawodu położnej przez co najmniej 2 kolejne lata w okresie 5 lat poprzedzających wydanie tego zaświadczenia (dotyczy położnych, które ukończyły kształcenie zawodowe w ramach ścieżki 18-miesięcznej – 3000 godzin). Przepis art. 33 ust. 1a ustawy nie generuje kwestii intertemporalnych, ponieważ wprowadza nowe rozwiązania dotychczas nie ujęte w ustawie. </w:t>
      </w:r>
    </w:p>
    <w:bookmarkEnd w:id="1"/>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W projektowanej ustawie zaproponowano również analogiczne rozwiązanie dla</w:t>
      </w:r>
      <w:r>
        <w:rPr>
          <w:rFonts w:ascii="Times New Roman" w:hAnsi="Times New Roman" w:cs="Times New Roman"/>
          <w:szCs w:val="24"/>
        </w:rPr>
        <w:t xml:space="preserve"> </w:t>
      </w:r>
      <w:r w:rsidRPr="005D66E0">
        <w:rPr>
          <w:rFonts w:ascii="Times New Roman" w:hAnsi="Times New Roman" w:cs="Times New Roman"/>
          <w:szCs w:val="24"/>
        </w:rPr>
        <w:t>położnych będących obywatelami państw członkowskich Unii Europejskiej, których</w:t>
      </w:r>
      <w:r>
        <w:rPr>
          <w:rFonts w:ascii="Times New Roman" w:hAnsi="Times New Roman" w:cs="Times New Roman"/>
          <w:szCs w:val="24"/>
        </w:rPr>
        <w:t xml:space="preserve"> </w:t>
      </w:r>
      <w:r w:rsidRPr="005D66E0">
        <w:rPr>
          <w:rFonts w:ascii="Times New Roman" w:hAnsi="Times New Roman" w:cs="Times New Roman"/>
          <w:szCs w:val="24"/>
        </w:rPr>
        <w:t>kształcenie rozpoczęło się</w:t>
      </w:r>
      <w:r>
        <w:rPr>
          <w:rFonts w:ascii="Times New Roman" w:hAnsi="Times New Roman" w:cs="Times New Roman"/>
          <w:szCs w:val="24"/>
        </w:rPr>
        <w:t xml:space="preserve"> </w:t>
      </w:r>
      <w:r w:rsidRPr="005D66E0">
        <w:rPr>
          <w:rFonts w:ascii="Times New Roman" w:hAnsi="Times New Roman" w:cs="Times New Roman"/>
          <w:szCs w:val="24"/>
        </w:rPr>
        <w:t>na terytorium byłej Niemieckiej Republiki Demokratycznej przed dniem 3</w:t>
      </w:r>
      <w:r w:rsidR="00D151BC">
        <w:rPr>
          <w:rFonts w:ascii="Times New Roman" w:hAnsi="Times New Roman" w:cs="Times New Roman"/>
          <w:szCs w:val="24"/>
        </w:rPr>
        <w:t> </w:t>
      </w:r>
      <w:r w:rsidRPr="005D66E0">
        <w:rPr>
          <w:rFonts w:ascii="Times New Roman" w:hAnsi="Times New Roman" w:cs="Times New Roman"/>
          <w:szCs w:val="24"/>
        </w:rPr>
        <w:t>października 1990 r. – art. 33 ust. 2 ustawy, implementując tym samym do</w:t>
      </w:r>
      <w:r>
        <w:rPr>
          <w:rFonts w:ascii="Times New Roman" w:hAnsi="Times New Roman" w:cs="Times New Roman"/>
          <w:szCs w:val="24"/>
        </w:rPr>
        <w:t xml:space="preserve"> </w:t>
      </w:r>
      <w:r w:rsidRPr="005D66E0">
        <w:rPr>
          <w:rFonts w:ascii="Times New Roman" w:hAnsi="Times New Roman" w:cs="Times New Roman"/>
          <w:szCs w:val="24"/>
        </w:rPr>
        <w:t xml:space="preserve">polskiego prawa art. 43 ust. 2 dyrektywy.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Zmiana art. 24 ust. 1 ustawy skutkuje koniecznością dokonania korekty w art. 49 ust. 1 ustawy przez wskazanie, że rejestr obywateli państw członkowskich Unii Europejskiej wykonujących na terenie Rzeczypospolitej Polskiej czasowo i okazjonalnie zawód pielęgniarki lub położnej jest prowadzony przez Naczelną Radę Pielęgniarek i Położnych, w ramach Centralnego Rejestru Pielęgniarek i Położnych (art. 43 ust. 1 ustawy). O wprowadzenie zmiany tego przepisu wnioskowała również Naczelna Rada Pielęgniarek i Położnych. Ponadto</w:t>
      </w:r>
      <w:r>
        <w:rPr>
          <w:rFonts w:ascii="Times New Roman" w:hAnsi="Times New Roman" w:cs="Times New Roman"/>
          <w:szCs w:val="24"/>
        </w:rPr>
        <w:t xml:space="preserve"> </w:t>
      </w:r>
      <w:r w:rsidRPr="005D66E0">
        <w:rPr>
          <w:rFonts w:ascii="Times New Roman" w:hAnsi="Times New Roman" w:cs="Times New Roman"/>
          <w:szCs w:val="24"/>
        </w:rPr>
        <w:t xml:space="preserve">powyższa zmiana pozwoli zgromadzić w jednym rejestrze dane wszystkich osób wykonujących zawód w tej formie. Kwestie dotyczące prowadzenia rejestru oraz sposobu przekazywania do Naczelnej Rady Pielęgniarek i Położnych danych pielęgniarek i położnych wynikających </w:t>
      </w:r>
      <w:r w:rsidRPr="005D66E0">
        <w:rPr>
          <w:rFonts w:ascii="Times New Roman" w:hAnsi="Times New Roman" w:cs="Times New Roman"/>
          <w:szCs w:val="24"/>
        </w:rPr>
        <w:lastRenderedPageBreak/>
        <w:t>z rejestrów prowadzonych przez okręgowe rady pielęgniarek i położnych zostały uregulowane w art. 43</w:t>
      </w:r>
      <w:r>
        <w:rPr>
          <w:rFonts w:ascii="Times New Roman" w:hAnsi="Times New Roman" w:cs="Times New Roman"/>
          <w:szCs w:val="24"/>
        </w:rPr>
        <w:t xml:space="preserve"> </w:t>
      </w:r>
      <w:r w:rsidRPr="005D66E0">
        <w:rPr>
          <w:rFonts w:ascii="Times New Roman" w:hAnsi="Times New Roman" w:cs="Times New Roman"/>
          <w:szCs w:val="24"/>
        </w:rPr>
        <w:t>i art. 48 ust. 7 ustawy.</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W związku ze zmianą dotycząca art. 24 ust. 1 pkt 1 projektu ustawy, konieczne jest</w:t>
      </w:r>
      <w:r>
        <w:rPr>
          <w:rFonts w:ascii="Times New Roman" w:hAnsi="Times New Roman" w:cs="Times New Roman"/>
          <w:szCs w:val="24"/>
        </w:rPr>
        <w:t xml:space="preserve"> </w:t>
      </w:r>
      <w:r w:rsidRPr="005D66E0">
        <w:rPr>
          <w:rFonts w:ascii="Times New Roman" w:hAnsi="Times New Roman" w:cs="Times New Roman"/>
          <w:szCs w:val="24"/>
        </w:rPr>
        <w:t>również uchylenie przepisu art. 49 ust. 2 pkt 10 ustawy wskazującego na zakres informacji zamieszczanych w rejestrze obywateli Unii Europejskiej.</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Ponadto w następstwie wyżej wymienionych zmian dokonano w projekcie ustawy zmiany brzmienia art. 49 ust. 6 ustawy przez wskazanie Naczelnej Rady Pielęgniarek</w:t>
      </w:r>
      <w:r>
        <w:rPr>
          <w:rFonts w:ascii="Times New Roman" w:hAnsi="Times New Roman" w:cs="Times New Roman"/>
          <w:szCs w:val="24"/>
        </w:rPr>
        <w:t xml:space="preserve"> </w:t>
      </w:r>
      <w:r w:rsidRPr="005D66E0">
        <w:rPr>
          <w:rFonts w:ascii="Times New Roman" w:hAnsi="Times New Roman" w:cs="Times New Roman"/>
          <w:szCs w:val="24"/>
        </w:rPr>
        <w:t>i</w:t>
      </w:r>
      <w:r>
        <w:rPr>
          <w:rFonts w:ascii="Times New Roman" w:hAnsi="Times New Roman" w:cs="Times New Roman"/>
          <w:szCs w:val="24"/>
        </w:rPr>
        <w:t xml:space="preserve"> </w:t>
      </w:r>
      <w:r w:rsidRPr="005D66E0">
        <w:rPr>
          <w:rFonts w:ascii="Times New Roman" w:hAnsi="Times New Roman" w:cs="Times New Roman"/>
          <w:szCs w:val="24"/>
        </w:rPr>
        <w:t>Położnych jako właściwego organu samorządu zawodowego pielęgniarek i</w:t>
      </w:r>
      <w:r>
        <w:rPr>
          <w:rFonts w:ascii="Times New Roman" w:hAnsi="Times New Roman" w:cs="Times New Roman"/>
          <w:szCs w:val="24"/>
        </w:rPr>
        <w:t xml:space="preserve"> </w:t>
      </w:r>
      <w:r w:rsidRPr="005D66E0">
        <w:rPr>
          <w:rFonts w:ascii="Times New Roman" w:hAnsi="Times New Roman" w:cs="Times New Roman"/>
          <w:szCs w:val="24"/>
        </w:rPr>
        <w:t>położnych</w:t>
      </w:r>
      <w:r>
        <w:rPr>
          <w:rFonts w:ascii="Times New Roman" w:hAnsi="Times New Roman" w:cs="Times New Roman"/>
          <w:szCs w:val="24"/>
        </w:rPr>
        <w:t xml:space="preserve"> </w:t>
      </w:r>
      <w:r w:rsidRPr="005D66E0">
        <w:rPr>
          <w:rFonts w:ascii="Times New Roman" w:hAnsi="Times New Roman" w:cs="Times New Roman"/>
          <w:szCs w:val="24"/>
        </w:rPr>
        <w:t>do udostępnienia systemowi informacji w ochronie zdrowia, o którym mowa w</w:t>
      </w:r>
      <w:r>
        <w:rPr>
          <w:rFonts w:ascii="Times New Roman" w:hAnsi="Times New Roman" w:cs="Times New Roman"/>
          <w:szCs w:val="24"/>
        </w:rPr>
        <w:t xml:space="preserve"> </w:t>
      </w:r>
      <w:r w:rsidRPr="005D66E0">
        <w:rPr>
          <w:rFonts w:ascii="Times New Roman" w:hAnsi="Times New Roman" w:cs="Times New Roman"/>
          <w:szCs w:val="24"/>
        </w:rPr>
        <w:t>ustawie z dnia 28 kwietnia 2011</w:t>
      </w:r>
      <w:r w:rsidR="00D151BC">
        <w:rPr>
          <w:rFonts w:ascii="Times New Roman" w:hAnsi="Times New Roman" w:cs="Times New Roman"/>
          <w:szCs w:val="24"/>
        </w:rPr>
        <w:t> </w:t>
      </w:r>
      <w:r w:rsidRPr="005D66E0">
        <w:rPr>
          <w:rFonts w:ascii="Times New Roman" w:hAnsi="Times New Roman" w:cs="Times New Roman"/>
          <w:szCs w:val="24"/>
        </w:rPr>
        <w:t>r. o systemie informacji w ochronie zdrowia (Dz. U. 2021</w:t>
      </w:r>
      <w:r>
        <w:rPr>
          <w:rFonts w:ascii="Times New Roman" w:hAnsi="Times New Roman" w:cs="Times New Roman"/>
          <w:szCs w:val="24"/>
        </w:rPr>
        <w:t xml:space="preserve"> </w:t>
      </w:r>
      <w:r w:rsidRPr="005D66E0">
        <w:rPr>
          <w:rFonts w:ascii="Times New Roman" w:hAnsi="Times New Roman" w:cs="Times New Roman"/>
          <w:szCs w:val="24"/>
        </w:rPr>
        <w:t>r. poz. 666, z</w:t>
      </w:r>
      <w:r>
        <w:rPr>
          <w:rFonts w:ascii="Times New Roman" w:hAnsi="Times New Roman" w:cs="Times New Roman"/>
          <w:szCs w:val="24"/>
        </w:rPr>
        <w:t xml:space="preserve">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xml:space="preserve">. zm.), danych objętych rejestrem, o którym mowa w art. 49 ust. 1 ustawy.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W związku z zarzutem Komisji Europejskiej dotyczącym braku wdrożenia art. 33 ust. 1 dyrektywy do polskiego prawa, w projekcie ustawy wprowadzono przepis dotyczący wydania zaświadczenia przez właściwy krajowy organ, które poświadcza,</w:t>
      </w:r>
      <w:r>
        <w:rPr>
          <w:rFonts w:ascii="Times New Roman" w:hAnsi="Times New Roman" w:cs="Times New Roman"/>
          <w:szCs w:val="24"/>
        </w:rPr>
        <w:t xml:space="preserve"> </w:t>
      </w:r>
      <w:r w:rsidRPr="005D66E0">
        <w:rPr>
          <w:rFonts w:ascii="Times New Roman" w:hAnsi="Times New Roman" w:cs="Times New Roman"/>
          <w:szCs w:val="24"/>
        </w:rPr>
        <w:t>że pielęgniarka ubiegająca się</w:t>
      </w:r>
      <w:r>
        <w:rPr>
          <w:rFonts w:ascii="Times New Roman" w:hAnsi="Times New Roman" w:cs="Times New Roman"/>
          <w:szCs w:val="24"/>
        </w:rPr>
        <w:t xml:space="preserve"> </w:t>
      </w:r>
      <w:r w:rsidRPr="005D66E0">
        <w:rPr>
          <w:rFonts w:ascii="Times New Roman" w:hAnsi="Times New Roman" w:cs="Times New Roman"/>
          <w:szCs w:val="24"/>
        </w:rPr>
        <w:t>o uznanie kwalifikacji zawodowych pielęgniarki odpowiedzialnej za opiekę ogólną na</w:t>
      </w:r>
      <w:r>
        <w:rPr>
          <w:rFonts w:ascii="Times New Roman" w:hAnsi="Times New Roman" w:cs="Times New Roman"/>
          <w:szCs w:val="24"/>
        </w:rPr>
        <w:t xml:space="preserve"> </w:t>
      </w:r>
      <w:r w:rsidRPr="005D66E0">
        <w:rPr>
          <w:rFonts w:ascii="Times New Roman" w:hAnsi="Times New Roman" w:cs="Times New Roman"/>
          <w:szCs w:val="24"/>
        </w:rPr>
        <w:t>zasadach praw nabytych w innym kraju członkowskim Unii Europejskiej faktycznie i</w:t>
      </w:r>
      <w:r>
        <w:rPr>
          <w:rFonts w:ascii="Times New Roman" w:hAnsi="Times New Roman" w:cs="Times New Roman"/>
          <w:szCs w:val="24"/>
        </w:rPr>
        <w:t xml:space="preserve"> </w:t>
      </w:r>
      <w:r w:rsidRPr="005D66E0">
        <w:rPr>
          <w:rFonts w:ascii="Times New Roman" w:hAnsi="Times New Roman" w:cs="Times New Roman"/>
          <w:szCs w:val="24"/>
        </w:rPr>
        <w:t>zgodnie z przepisami prawa wykonywała zawód pielęgniarki, w tym ponosiła pełną odpowiedzialność za planowanie, organizację i sprawowanie opieki pielęgniarskiej nad</w:t>
      </w:r>
      <w:r>
        <w:rPr>
          <w:rFonts w:ascii="Times New Roman" w:hAnsi="Times New Roman" w:cs="Times New Roman"/>
          <w:szCs w:val="24"/>
        </w:rPr>
        <w:t xml:space="preserve"> </w:t>
      </w:r>
      <w:r w:rsidRPr="005D66E0">
        <w:rPr>
          <w:rFonts w:ascii="Times New Roman" w:hAnsi="Times New Roman" w:cs="Times New Roman"/>
          <w:szCs w:val="24"/>
        </w:rPr>
        <w:t>pacjentami, przez co najmniej 3 kolejne lata w okresie 5 lat poprzedzających wydanie tego</w:t>
      </w:r>
      <w:r>
        <w:rPr>
          <w:rFonts w:ascii="Times New Roman" w:hAnsi="Times New Roman" w:cs="Times New Roman"/>
          <w:szCs w:val="24"/>
        </w:rPr>
        <w:t xml:space="preserve"> </w:t>
      </w:r>
      <w:r w:rsidRPr="005D66E0">
        <w:rPr>
          <w:rFonts w:ascii="Times New Roman" w:hAnsi="Times New Roman" w:cs="Times New Roman"/>
          <w:szCs w:val="24"/>
        </w:rPr>
        <w:t>zaświadczenia, po uprzedniej weryfikacji tej pielęgniarki</w:t>
      </w:r>
      <w:r>
        <w:rPr>
          <w:rFonts w:ascii="Times New Roman" w:hAnsi="Times New Roman" w:cs="Times New Roman"/>
          <w:szCs w:val="24"/>
        </w:rPr>
        <w:t xml:space="preserve"> </w:t>
      </w:r>
      <w:r w:rsidRPr="005D66E0">
        <w:rPr>
          <w:rFonts w:ascii="Times New Roman" w:hAnsi="Times New Roman" w:cs="Times New Roman"/>
          <w:szCs w:val="24"/>
        </w:rPr>
        <w:t>w okręgowym rejestrze pielęgniarek i położnych (proponowany art. 51 ust. 1a ustawy).</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Ponadto projektowana regulacja porządkuje kwestię jednolitego odwoływania się</w:t>
      </w:r>
      <w:r>
        <w:rPr>
          <w:rFonts w:ascii="Times New Roman" w:hAnsi="Times New Roman" w:cs="Times New Roman"/>
          <w:szCs w:val="24"/>
        </w:rPr>
        <w:t xml:space="preserve"> </w:t>
      </w:r>
      <w:r w:rsidRPr="005D66E0">
        <w:rPr>
          <w:rFonts w:ascii="Times New Roman" w:hAnsi="Times New Roman" w:cs="Times New Roman"/>
          <w:szCs w:val="24"/>
        </w:rPr>
        <w:t>do</w:t>
      </w:r>
      <w:r>
        <w:rPr>
          <w:rFonts w:ascii="Times New Roman" w:hAnsi="Times New Roman" w:cs="Times New Roman"/>
          <w:szCs w:val="24"/>
        </w:rPr>
        <w:t xml:space="preserve"> </w:t>
      </w:r>
      <w:r w:rsidRPr="005D66E0">
        <w:rPr>
          <w:rFonts w:ascii="Times New Roman" w:hAnsi="Times New Roman" w:cs="Times New Roman"/>
          <w:szCs w:val="24"/>
        </w:rPr>
        <w:t>przepisów dyrektywy – nadano nowe brzmienie art. 53 ust. 3 pkt 2 ustawy przez</w:t>
      </w:r>
      <w:r>
        <w:rPr>
          <w:rFonts w:ascii="Times New Roman" w:hAnsi="Times New Roman" w:cs="Times New Roman"/>
          <w:szCs w:val="24"/>
        </w:rPr>
        <w:t xml:space="preserve"> </w:t>
      </w:r>
      <w:r w:rsidRPr="005D66E0">
        <w:rPr>
          <w:rFonts w:ascii="Times New Roman" w:hAnsi="Times New Roman" w:cs="Times New Roman"/>
          <w:szCs w:val="24"/>
        </w:rPr>
        <w:t xml:space="preserve">właściwe odniesienie się do załącznika V pkt 5.2.2 tej dyrektywy.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Poza powyższym projektowaną ustawą wprowadzane są zmiany mające na celu:</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1)</w:t>
      </w:r>
      <w:r w:rsidRPr="005D66E0">
        <w:rPr>
          <w:rFonts w:ascii="Times New Roman" w:hAnsi="Times New Roman" w:cs="Times New Roman"/>
          <w:szCs w:val="24"/>
        </w:rPr>
        <w:tab/>
        <w:t>rezygnację z przeprowadzenia Państwowego Egzaminu Fizjoterapeutycznego (PEF) oraz Państwowego Egzaminu z Ratownictwa Medycznego (PERM);</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2)</w:t>
      </w:r>
      <w:r w:rsidRPr="005D66E0">
        <w:rPr>
          <w:rFonts w:ascii="Times New Roman" w:hAnsi="Times New Roman" w:cs="Times New Roman"/>
          <w:szCs w:val="24"/>
        </w:rPr>
        <w:tab/>
        <w:t>wprowadzenie rozwiązań umożliwiających dokonywanie oceny wniosków o pozwolenie na badanie kliniczne.</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W art. 4 i art. 6 zostały wprowadzone zmiany, które umożliwią rezygnację z przeprowadzenia PERM i PEF. Likwidacja tych egzaminów znacznie przyspieszy wejście na rynek pracy </w:t>
      </w:r>
      <w:r w:rsidRPr="005D66E0">
        <w:rPr>
          <w:rFonts w:ascii="Times New Roman" w:hAnsi="Times New Roman" w:cs="Times New Roman"/>
          <w:szCs w:val="24"/>
        </w:rPr>
        <w:lastRenderedPageBreak/>
        <w:t>fizjoterapeutów, a przede wszystkim ratowników medycznych, którzy w trakcie epidemii oraz inwazji Rosji na Ukrainę są bardzo potrzebni.</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Ponadto należy wskazać, iż zarówno studia dla kierunku ratownictwo medyczne, jak i</w:t>
      </w:r>
      <w:r w:rsidR="00D151BC">
        <w:rPr>
          <w:rFonts w:ascii="Times New Roman" w:hAnsi="Times New Roman" w:cs="Times New Roman"/>
          <w:szCs w:val="24"/>
        </w:rPr>
        <w:t> </w:t>
      </w:r>
      <w:r w:rsidRPr="005D66E0">
        <w:rPr>
          <w:rFonts w:ascii="Times New Roman" w:hAnsi="Times New Roman" w:cs="Times New Roman"/>
          <w:szCs w:val="24"/>
        </w:rPr>
        <w:t xml:space="preserve">fizjoterapia są prowadzone w jednolity sposób – </w:t>
      </w:r>
      <w:r w:rsidR="00F67DF2">
        <w:rPr>
          <w:rFonts w:ascii="Times New Roman" w:hAnsi="Times New Roman" w:cs="Times New Roman"/>
          <w:szCs w:val="24"/>
        </w:rPr>
        <w:t>na podstawie</w:t>
      </w:r>
      <w:r w:rsidRPr="005D66E0">
        <w:rPr>
          <w:rFonts w:ascii="Times New Roman" w:hAnsi="Times New Roman" w:cs="Times New Roman"/>
          <w:szCs w:val="24"/>
        </w:rPr>
        <w:t xml:space="preserve"> standard</w:t>
      </w:r>
      <w:r w:rsidR="00F67DF2">
        <w:rPr>
          <w:rFonts w:ascii="Times New Roman" w:hAnsi="Times New Roman" w:cs="Times New Roman"/>
          <w:szCs w:val="24"/>
        </w:rPr>
        <w:t>ów</w:t>
      </w:r>
      <w:r w:rsidRPr="005D66E0">
        <w:rPr>
          <w:rFonts w:ascii="Times New Roman" w:hAnsi="Times New Roman" w:cs="Times New Roman"/>
          <w:szCs w:val="24"/>
        </w:rPr>
        <w:t xml:space="preserve"> kształcenia </w:t>
      </w:r>
      <w:r w:rsidR="00E62F2D" w:rsidRPr="005D66E0">
        <w:rPr>
          <w:rFonts w:ascii="Times New Roman" w:hAnsi="Times New Roman" w:cs="Times New Roman"/>
          <w:szCs w:val="24"/>
        </w:rPr>
        <w:t>i</w:t>
      </w:r>
      <w:r w:rsidR="00E62F2D">
        <w:rPr>
          <w:rFonts w:ascii="Times New Roman" w:hAnsi="Times New Roman" w:cs="Times New Roman"/>
          <w:szCs w:val="24"/>
        </w:rPr>
        <w:t> </w:t>
      </w:r>
      <w:r w:rsidRPr="005D66E0">
        <w:rPr>
          <w:rFonts w:ascii="Times New Roman" w:hAnsi="Times New Roman" w:cs="Times New Roman"/>
          <w:szCs w:val="24"/>
        </w:rPr>
        <w:t>kończą się złożeniem egzaminu dyplomowego. Tak więc nie ma potrzeby utrzymywania rozwiązania, jakim jest dodatkowy egzamin weryfikujący wiedzę, przeprowadzany w Centrum Egzaminów Medycznych. Rezygnacja z dodatkowej formy weryfikacji wiedzy przez egzamin będzie miała pozytywne skutki dla fizjoterapeutów oraz ratowników medycznych, pacjentów i</w:t>
      </w:r>
      <w:r w:rsidR="00D151BC">
        <w:rPr>
          <w:rFonts w:ascii="Times New Roman" w:hAnsi="Times New Roman" w:cs="Times New Roman"/>
          <w:szCs w:val="24"/>
        </w:rPr>
        <w:t> </w:t>
      </w:r>
      <w:r w:rsidRPr="005D66E0">
        <w:rPr>
          <w:rFonts w:ascii="Times New Roman" w:hAnsi="Times New Roman" w:cs="Times New Roman"/>
          <w:szCs w:val="24"/>
        </w:rPr>
        <w:t xml:space="preserve">systemu ochrony zdrowia. 5-letni program kształcenia zawierający wiele przedmiotów, realizowany </w:t>
      </w:r>
      <w:r w:rsidR="00F67DF2">
        <w:rPr>
          <w:rFonts w:ascii="Times New Roman" w:hAnsi="Times New Roman" w:cs="Times New Roman"/>
          <w:szCs w:val="24"/>
        </w:rPr>
        <w:t>na podstawie</w:t>
      </w:r>
      <w:r w:rsidRPr="005D66E0">
        <w:rPr>
          <w:rFonts w:ascii="Times New Roman" w:hAnsi="Times New Roman" w:cs="Times New Roman"/>
          <w:szCs w:val="24"/>
        </w:rPr>
        <w:t xml:space="preserve"> standard</w:t>
      </w:r>
      <w:r w:rsidR="00F67DF2">
        <w:rPr>
          <w:rFonts w:ascii="Times New Roman" w:hAnsi="Times New Roman" w:cs="Times New Roman"/>
          <w:szCs w:val="24"/>
        </w:rPr>
        <w:t>ów</w:t>
      </w:r>
      <w:r w:rsidRPr="005D66E0">
        <w:rPr>
          <w:rFonts w:ascii="Times New Roman" w:hAnsi="Times New Roman" w:cs="Times New Roman"/>
          <w:szCs w:val="24"/>
        </w:rPr>
        <w:t xml:space="preserve"> nauczania, które obowiązują wszystkie uczelnie, wreszcie obrona pracy magisterskiej i egzamin dyplomowy powinny wystarczyć, aby absolwent mógł wykazać się odpowiednią wiedzą </w:t>
      </w:r>
      <w:r w:rsidR="00415203" w:rsidRPr="005D66E0">
        <w:rPr>
          <w:rFonts w:ascii="Times New Roman" w:hAnsi="Times New Roman" w:cs="Times New Roman"/>
          <w:szCs w:val="24"/>
        </w:rPr>
        <w:t>i</w:t>
      </w:r>
      <w:r w:rsidR="00415203">
        <w:rPr>
          <w:rFonts w:ascii="Times New Roman" w:hAnsi="Times New Roman" w:cs="Times New Roman"/>
          <w:szCs w:val="24"/>
        </w:rPr>
        <w:t> </w:t>
      </w:r>
      <w:r w:rsidRPr="005D66E0">
        <w:rPr>
          <w:rFonts w:ascii="Times New Roman" w:hAnsi="Times New Roman" w:cs="Times New Roman"/>
          <w:szCs w:val="24"/>
        </w:rPr>
        <w:t xml:space="preserve">umiejętnościami. A przede wszystkim, że jest dobrze przygotowany do wykonywania zawodu. I co ważne, dowieść odpowiedniego przygotowania przy zachowaniu prestiżu </w:t>
      </w:r>
      <w:r w:rsidR="00415203" w:rsidRPr="005D66E0">
        <w:rPr>
          <w:rFonts w:ascii="Times New Roman" w:hAnsi="Times New Roman" w:cs="Times New Roman"/>
          <w:szCs w:val="24"/>
        </w:rPr>
        <w:t>i</w:t>
      </w:r>
      <w:r w:rsidR="00415203">
        <w:rPr>
          <w:rFonts w:ascii="Times New Roman" w:hAnsi="Times New Roman" w:cs="Times New Roman"/>
          <w:szCs w:val="24"/>
        </w:rPr>
        <w:t> </w:t>
      </w:r>
      <w:r w:rsidRPr="005D66E0">
        <w:rPr>
          <w:rFonts w:ascii="Times New Roman" w:hAnsi="Times New Roman" w:cs="Times New Roman"/>
          <w:szCs w:val="24"/>
        </w:rPr>
        <w:t>autonomii polskiej uczelni wyższej. Ponadto po uzyskaniu samodzielności w wykonywaniu zawodu, każdy fizjoterapeuta ma obowiązek uczestniczyć w</w:t>
      </w:r>
      <w:r w:rsidR="00D151BC">
        <w:rPr>
          <w:rFonts w:ascii="Times New Roman" w:hAnsi="Times New Roman" w:cs="Times New Roman"/>
          <w:szCs w:val="24"/>
        </w:rPr>
        <w:t> </w:t>
      </w:r>
      <w:r w:rsidRPr="005D66E0">
        <w:rPr>
          <w:rFonts w:ascii="Times New Roman" w:hAnsi="Times New Roman" w:cs="Times New Roman"/>
          <w:szCs w:val="24"/>
        </w:rPr>
        <w:t xml:space="preserve">procesie ustawicznego kształcenia, a także ma prawo uczestniczyć </w:t>
      </w:r>
      <w:bookmarkStart w:id="2" w:name="_GoBack"/>
      <w:bookmarkEnd w:id="2"/>
      <w:r w:rsidR="00E62F2D" w:rsidRPr="005D66E0">
        <w:rPr>
          <w:rFonts w:ascii="Times New Roman" w:hAnsi="Times New Roman" w:cs="Times New Roman"/>
          <w:szCs w:val="24"/>
        </w:rPr>
        <w:t>w</w:t>
      </w:r>
      <w:r w:rsidR="00E62F2D">
        <w:rPr>
          <w:rFonts w:ascii="Times New Roman" w:hAnsi="Times New Roman" w:cs="Times New Roman"/>
          <w:szCs w:val="24"/>
        </w:rPr>
        <w:t> </w:t>
      </w:r>
      <w:r w:rsidRPr="005D66E0">
        <w:rPr>
          <w:rFonts w:ascii="Times New Roman" w:hAnsi="Times New Roman" w:cs="Times New Roman"/>
          <w:szCs w:val="24"/>
        </w:rPr>
        <w:t>kształceniu podyplomowym. Wielu z nich korzysta z tych uprawnień, realizując pogram specjalizacyjny lub wybierając karierę naukową. Zarówno jedna, jak i druga forma, służy podniesieniu jakości usług fizjoterapeutycznych. Jest to sprawdzona forma kształcenia podyplomowego. Kwestia odstąpienia od przeprowadzania PERM</w:t>
      </w:r>
      <w:r w:rsidRPr="005D66E0" w:rsidDel="001B5689">
        <w:rPr>
          <w:rFonts w:ascii="Times New Roman" w:hAnsi="Times New Roman" w:cs="Times New Roman"/>
          <w:szCs w:val="24"/>
        </w:rPr>
        <w:t xml:space="preserve"> </w:t>
      </w:r>
      <w:r w:rsidRPr="005D66E0">
        <w:rPr>
          <w:rFonts w:ascii="Times New Roman" w:hAnsi="Times New Roman" w:cs="Times New Roman"/>
          <w:szCs w:val="24"/>
        </w:rPr>
        <w:t>była konsultowana ze środowiskiem ratowników medycznych</w:t>
      </w:r>
      <w:r w:rsidR="00F67DF2">
        <w:rPr>
          <w:rFonts w:ascii="Times New Roman" w:hAnsi="Times New Roman" w:cs="Times New Roman"/>
          <w:szCs w:val="24"/>
        </w:rPr>
        <w:t>.</w:t>
      </w:r>
      <w:r w:rsidRPr="005D66E0">
        <w:rPr>
          <w:rFonts w:ascii="Times New Roman" w:hAnsi="Times New Roman" w:cs="Times New Roman"/>
          <w:szCs w:val="24"/>
        </w:rPr>
        <w:t xml:space="preserve"> </w:t>
      </w:r>
      <w:r w:rsidR="00F67DF2">
        <w:rPr>
          <w:rFonts w:ascii="Times New Roman" w:hAnsi="Times New Roman" w:cs="Times New Roman"/>
          <w:szCs w:val="24"/>
        </w:rPr>
        <w:t>N</w:t>
      </w:r>
      <w:r w:rsidRPr="005D66E0">
        <w:rPr>
          <w:rFonts w:ascii="Times New Roman" w:hAnsi="Times New Roman" w:cs="Times New Roman"/>
          <w:szCs w:val="24"/>
        </w:rPr>
        <w:t xml:space="preserve">atomiast kwestia odstąpienia od przeprowadzania PEF była przedmiotem konsultacji z przedstawicielami Krajowej Izby Fizjoterapeutów, Ogólnopolskiego Związku Zawodowego Pracowników Fizjoterapii oraz studentów kierunku fizjoterapia.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Odnosząc się do zmian w zakresie badań klinicznych, proponuje się wprowadzenie zmian w</w:t>
      </w:r>
      <w:r w:rsidR="00D151BC">
        <w:rPr>
          <w:rFonts w:ascii="Times New Roman" w:hAnsi="Times New Roman" w:cs="Times New Roman"/>
          <w:szCs w:val="24"/>
        </w:rPr>
        <w:t> </w:t>
      </w:r>
      <w:r w:rsidRPr="005D66E0">
        <w:rPr>
          <w:rFonts w:ascii="Times New Roman" w:hAnsi="Times New Roman" w:cs="Times New Roman"/>
          <w:szCs w:val="24"/>
        </w:rPr>
        <w:t>ustawie z dnia 5 grudnia 1996 r. o zawodach lekarza i lekarza dentysty (Dz. U. z 2021 r. poz.</w:t>
      </w:r>
      <w:r w:rsidR="00D151BC">
        <w:rPr>
          <w:rFonts w:ascii="Times New Roman" w:hAnsi="Times New Roman" w:cs="Times New Roman"/>
          <w:szCs w:val="24"/>
        </w:rPr>
        <w:t> </w:t>
      </w:r>
      <w:r w:rsidRPr="005D66E0">
        <w:rPr>
          <w:rFonts w:ascii="Times New Roman" w:hAnsi="Times New Roman" w:cs="Times New Roman"/>
          <w:szCs w:val="24"/>
        </w:rPr>
        <w:t xml:space="preserve">790,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xml:space="preserve">. zm.) oraz w ustawie z dnia 18 marca 2011 r. o Urzędzie Rejestracji Produktów Leczniczych, Wyrobów Medycznych I Produktów Biobójczych (Dz. U. z 2020 r. poz. 836 oraz z 2022 r. poz. 974) – art. 2 i art. 5 pkt 2 lit. a </w:t>
      </w:r>
      <w:proofErr w:type="spellStart"/>
      <w:r w:rsidRPr="005D66E0">
        <w:rPr>
          <w:rFonts w:ascii="Times New Roman" w:hAnsi="Times New Roman" w:cs="Times New Roman"/>
          <w:szCs w:val="24"/>
        </w:rPr>
        <w:t>tiret</w:t>
      </w:r>
      <w:proofErr w:type="spellEnd"/>
      <w:r w:rsidRPr="005D66E0">
        <w:rPr>
          <w:rFonts w:ascii="Times New Roman" w:hAnsi="Times New Roman" w:cs="Times New Roman"/>
          <w:szCs w:val="24"/>
        </w:rPr>
        <w:t xml:space="preserve"> drugie. Z dniem 31 stycznia 2022 r. rozpoczęło się bezpośrednie stosowanie rozporządzenia Parlamentu Europejskiego i Rady (UE) nr</w:t>
      </w:r>
      <w:r w:rsidR="00D151BC">
        <w:rPr>
          <w:rFonts w:ascii="Times New Roman" w:hAnsi="Times New Roman" w:cs="Times New Roman"/>
          <w:szCs w:val="24"/>
        </w:rPr>
        <w:t> </w:t>
      </w:r>
      <w:r w:rsidRPr="005D66E0">
        <w:rPr>
          <w:rFonts w:ascii="Times New Roman" w:hAnsi="Times New Roman" w:cs="Times New Roman"/>
          <w:szCs w:val="24"/>
        </w:rPr>
        <w:t xml:space="preserve">536/2014 z dnia 16 kwietnia 2014 r. w sprawie badań klinicznych produktów leczniczych stosowanych u ludzi oraz uchylenia dyrektywy 2001/20/WE (Dz. Urz. UE L 158 z 27.05.2014, </w:t>
      </w:r>
      <w:r w:rsidRPr="005D66E0">
        <w:rPr>
          <w:rFonts w:ascii="Times New Roman" w:hAnsi="Times New Roman" w:cs="Times New Roman"/>
          <w:szCs w:val="24"/>
        </w:rPr>
        <w:lastRenderedPageBreak/>
        <w:t xml:space="preserve">str. 1,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zm.), zwanego dalej „rozporządzeniem 536/2014”. Rozporządzenie 536/2014 obowiązuje w polskim porządku prawnym bezpośrednio, ale nie ma charakteru wyczerpującego i wymaga od państw członkowskich wprowadzenia regulacji prawnych, które nie mogą zostać przyjęte na poziomie wspólnotowym. Do najważniejszych kwestii należy:</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1)</w:t>
      </w:r>
      <w:r w:rsidRPr="005D66E0">
        <w:rPr>
          <w:rFonts w:ascii="Times New Roman" w:hAnsi="Times New Roman" w:cs="Times New Roman"/>
          <w:szCs w:val="24"/>
        </w:rPr>
        <w:tab/>
        <w:t>określenie krajowego organu kompetentnego odpowiedzialnego za wydanie pozwolenia na prowadzenie badania klinicznego oraz trybu postępowania w przedmiocie wydania pozwolenia na badanie kliniczne produktu leczniczego stosowanego u ludzi, oraz pozwolenia na istotną zmianę badania klinicznego;</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2)</w:t>
      </w:r>
      <w:r w:rsidRPr="005D66E0">
        <w:rPr>
          <w:rFonts w:ascii="Times New Roman" w:hAnsi="Times New Roman" w:cs="Times New Roman"/>
          <w:szCs w:val="24"/>
        </w:rPr>
        <w:tab/>
        <w:t>określenie systemu oceny etycznej badań klinicznych produktów leczniczych.</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Odnosząc się do kwestii organu kompetentnego odpowiedzialnego m.in. za wydanie pozwolenia na prowadzenie badania klinicznego, mając na uwadze, że aktualnie centralnym organem administracji rządowej właściwym w sprawach związanych z badaniami klinicznymi jest Prezes Urzędu Rejestracji Produktów Leczniczych, Wyrobów Medycznych i Produktów Biobójczych, zasadne jest aby Prezes ww. Urzędu był również organem kompetentnym w</w:t>
      </w:r>
      <w:r w:rsidR="00D151BC">
        <w:rPr>
          <w:rFonts w:ascii="Times New Roman" w:hAnsi="Times New Roman" w:cs="Times New Roman"/>
          <w:szCs w:val="24"/>
        </w:rPr>
        <w:t> </w:t>
      </w:r>
      <w:r w:rsidRPr="005D66E0">
        <w:rPr>
          <w:rFonts w:ascii="Times New Roman" w:hAnsi="Times New Roman" w:cs="Times New Roman"/>
          <w:szCs w:val="24"/>
        </w:rPr>
        <w:t>rozumieniu przepisów rozporządzenia 536/2014.</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Odnosząc się do kwestii systemu oceny etycznej, to zgodnie z rozporządzeniem 536/2014, ocena etyczna przeprowadzana jest przez komisję bioetyczną, która jest niezależnym podmiotem ustanowiony</w:t>
      </w:r>
      <w:r w:rsidR="00CC140C">
        <w:rPr>
          <w:rFonts w:ascii="Times New Roman" w:hAnsi="Times New Roman" w:cs="Times New Roman"/>
          <w:szCs w:val="24"/>
        </w:rPr>
        <w:t>m</w:t>
      </w:r>
      <w:r w:rsidRPr="005D66E0">
        <w:rPr>
          <w:rFonts w:ascii="Times New Roman" w:hAnsi="Times New Roman" w:cs="Times New Roman"/>
          <w:szCs w:val="24"/>
        </w:rPr>
        <w:t xml:space="preserve"> w państwie członkowskim, zgodnie z prawem tego państwa członkowskiego i uprawnionym do wydawania opinii do celów niniejszego rozporządzenia, z</w:t>
      </w:r>
      <w:r>
        <w:rPr>
          <w:rFonts w:ascii="Times New Roman" w:hAnsi="Times New Roman" w:cs="Times New Roman"/>
          <w:szCs w:val="24"/>
        </w:rPr>
        <w:t> </w:t>
      </w:r>
      <w:r w:rsidRPr="005D66E0">
        <w:rPr>
          <w:rFonts w:ascii="Times New Roman" w:hAnsi="Times New Roman" w:cs="Times New Roman"/>
          <w:szCs w:val="24"/>
        </w:rPr>
        <w:t xml:space="preserve">uwzględnieniem opinii osób nieposiadających wiedzy fachowej, w szczególności pacjentów lub organizacji pacjentów. Mając na uwadze, że w Rzeczypospolitej Polskiej funkcjonują na podstawie ustawy z dnia 5 grudnia 1996 r. o zawodach lekarza i lekarza dentysty komisje bioetyczne, które wyrażają opinie o projektach eksperymentów medycznych (w tym badań klinicznych), przy uwzględnieniu warunków przeprowadzania eksperymentu i kryteriów etycznych odnoszących się do prowadzenia eksperymentów z udziałem człowieka oraz celowości i wykonalności projektu, zasadne jest umożliwienie tym komisjom bioetycznym sporządzania ocen etycznych badań klinicznych, o których mowa w rozporządzeniu 536/2014. Niemniej jednak nie wszystkie komisje bioetyczne mogą być w pełni przygotowane do sporządzania przedmiotowych ocen, zasadne jest, aby minister właściwy do spraw zdrowia wyznaczył komisję bioetyczną, która tych ocen będzie dokonywała. Ponadto, mając na uwadze, że z rozporządzenia 536/2014 wynika obowiązek zapewnienia udziału przedstawiciela pacjentów w ocenie etycznej badania klinicznego, wprowadzono przepis obligujący komisję </w:t>
      </w:r>
      <w:r w:rsidRPr="005D66E0">
        <w:rPr>
          <w:rFonts w:ascii="Times New Roman" w:hAnsi="Times New Roman" w:cs="Times New Roman"/>
          <w:szCs w:val="24"/>
        </w:rPr>
        <w:lastRenderedPageBreak/>
        <w:t>bioetyczną sporządzającą ww. ocenę do zasięgania opinii organizacji, których celem statutowym jest ochrona praw pacjentów. Ponadto komisja będzie mogła zasięgać opinii eksperta w dziedzinie, której dotyczy badanie kliniczne, wyznaczając jej zakres i termin wydania.</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Określenie podmiotu odpowiedzialnego m.in. za wydawanie pozwoleń na badanie kliniczne oraz podmiotu, który będzie mógł sporządzać ocenę etyczną badania klinicznego, w</w:t>
      </w:r>
      <w:r w:rsidR="00D151BC">
        <w:rPr>
          <w:rFonts w:ascii="Times New Roman" w:hAnsi="Times New Roman" w:cs="Times New Roman"/>
          <w:szCs w:val="24"/>
        </w:rPr>
        <w:t> </w:t>
      </w:r>
      <w:r w:rsidRPr="005D66E0">
        <w:rPr>
          <w:rFonts w:ascii="Times New Roman" w:hAnsi="Times New Roman" w:cs="Times New Roman"/>
          <w:szCs w:val="24"/>
        </w:rPr>
        <w:t>odniesieniu do wniosków składanych w trybie przepisów</w:t>
      </w:r>
      <w:r>
        <w:rPr>
          <w:rFonts w:ascii="Times New Roman" w:hAnsi="Times New Roman" w:cs="Times New Roman"/>
          <w:szCs w:val="24"/>
        </w:rPr>
        <w:t xml:space="preserve"> </w:t>
      </w:r>
      <w:r w:rsidRPr="005D66E0">
        <w:rPr>
          <w:rFonts w:ascii="Times New Roman" w:hAnsi="Times New Roman" w:cs="Times New Roman"/>
          <w:szCs w:val="24"/>
        </w:rPr>
        <w:t xml:space="preserve">rozporządzenia 536/2014, ma na celu możliwość wybierania Rzeczypospolitej Polskiej, jako kraju w którym przeprowadzane będą badania kliniczne. </w:t>
      </w:r>
    </w:p>
    <w:p w:rsidR="008E2556" w:rsidRPr="008E2556" w:rsidRDefault="008E2556" w:rsidP="008E2556">
      <w:pPr>
        <w:rPr>
          <w:rFonts w:cs="Times New Roman"/>
          <w:szCs w:val="24"/>
        </w:rPr>
      </w:pPr>
      <w:r w:rsidRPr="008E2556">
        <w:rPr>
          <w:rFonts w:cs="Times New Roman"/>
          <w:szCs w:val="24"/>
        </w:rPr>
        <w:t>Zaznaczyć należy, że rozporządzenie 536/2014 przewiduje składanie wniosków o pozwolenie na badanie kliniczne w dwóch trybach:</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1)</w:t>
      </w:r>
      <w:r w:rsidRPr="005D66E0">
        <w:rPr>
          <w:rFonts w:ascii="Times New Roman" w:hAnsi="Times New Roman" w:cs="Times New Roman"/>
          <w:szCs w:val="24"/>
        </w:rPr>
        <w:tab/>
        <w:t xml:space="preserve">od dnia 31 stycznia 2022 r. do dnia 31 stycznia 2023 r. sponsorzy badań klinicznych mogą składać wnioski o pozwolenie na badanie kliniczne na dotychczasowych zasadach, zgodnie z dyrektywą 2001/20/WE w ramach krajowych procesów składania wniosków, lub </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2)</w:t>
      </w:r>
      <w:r w:rsidRPr="005D66E0">
        <w:rPr>
          <w:rFonts w:ascii="Times New Roman" w:hAnsi="Times New Roman" w:cs="Times New Roman"/>
          <w:szCs w:val="24"/>
        </w:rPr>
        <w:tab/>
        <w:t>od dnia 31 stycznia 2022 r. sponsorzy badań klinicznych mogą składać wnioski o</w:t>
      </w:r>
      <w:r w:rsidR="00D151BC">
        <w:rPr>
          <w:rFonts w:ascii="Times New Roman" w:hAnsi="Times New Roman" w:cs="Times New Roman"/>
          <w:szCs w:val="24"/>
        </w:rPr>
        <w:t> </w:t>
      </w:r>
      <w:r w:rsidRPr="005D66E0">
        <w:rPr>
          <w:rFonts w:ascii="Times New Roman" w:hAnsi="Times New Roman" w:cs="Times New Roman"/>
          <w:szCs w:val="24"/>
        </w:rPr>
        <w:t xml:space="preserve">pozwolenie na badanie kliniczne na nowych zasadach, zgodnie z rozporządzeniem 536/2014 za pośrednictwem </w:t>
      </w:r>
      <w:proofErr w:type="spellStart"/>
      <w:r w:rsidRPr="005D66E0">
        <w:rPr>
          <w:rFonts w:ascii="Times New Roman" w:hAnsi="Times New Roman" w:cs="Times New Roman"/>
          <w:szCs w:val="24"/>
        </w:rPr>
        <w:t>Clinical</w:t>
      </w:r>
      <w:proofErr w:type="spellEnd"/>
      <w:r w:rsidRPr="005D66E0">
        <w:rPr>
          <w:rFonts w:ascii="Times New Roman" w:hAnsi="Times New Roman" w:cs="Times New Roman"/>
          <w:szCs w:val="24"/>
        </w:rPr>
        <w:t xml:space="preserve"> </w:t>
      </w:r>
      <w:proofErr w:type="spellStart"/>
      <w:r w:rsidRPr="005D66E0">
        <w:rPr>
          <w:rFonts w:ascii="Times New Roman" w:hAnsi="Times New Roman" w:cs="Times New Roman"/>
          <w:szCs w:val="24"/>
        </w:rPr>
        <w:t>Trials</w:t>
      </w:r>
      <w:proofErr w:type="spellEnd"/>
      <w:r w:rsidRPr="005D66E0">
        <w:rPr>
          <w:rFonts w:ascii="Times New Roman" w:hAnsi="Times New Roman" w:cs="Times New Roman"/>
          <w:szCs w:val="24"/>
        </w:rPr>
        <w:t xml:space="preserve"> Information System.</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 xml:space="preserve">Zatem projektowane rozwiązania będzie dotyczyło wyłącznie wniosków </w:t>
      </w:r>
      <w:bookmarkStart w:id="3" w:name="_Hlk99644765"/>
      <w:r w:rsidRPr="005D66E0">
        <w:rPr>
          <w:rFonts w:ascii="Times New Roman" w:hAnsi="Times New Roman" w:cs="Times New Roman"/>
          <w:szCs w:val="24"/>
        </w:rPr>
        <w:t xml:space="preserve">o pozwolenie na badanie kliniczne </w:t>
      </w:r>
      <w:bookmarkEnd w:id="3"/>
      <w:r w:rsidRPr="005D66E0">
        <w:rPr>
          <w:rFonts w:ascii="Times New Roman" w:hAnsi="Times New Roman" w:cs="Times New Roman"/>
          <w:szCs w:val="24"/>
        </w:rPr>
        <w:t xml:space="preserve">składanych zgodnie z rozporządzeniem 536/2014 za pośrednictwem </w:t>
      </w:r>
      <w:proofErr w:type="spellStart"/>
      <w:r w:rsidRPr="005D66E0">
        <w:rPr>
          <w:rFonts w:ascii="Times New Roman" w:hAnsi="Times New Roman" w:cs="Times New Roman"/>
          <w:szCs w:val="24"/>
        </w:rPr>
        <w:t>Clinical</w:t>
      </w:r>
      <w:proofErr w:type="spellEnd"/>
      <w:r w:rsidRPr="005D66E0">
        <w:rPr>
          <w:rFonts w:ascii="Times New Roman" w:hAnsi="Times New Roman" w:cs="Times New Roman"/>
          <w:szCs w:val="24"/>
        </w:rPr>
        <w:t xml:space="preserve"> </w:t>
      </w:r>
      <w:proofErr w:type="spellStart"/>
      <w:r w:rsidRPr="005D66E0">
        <w:rPr>
          <w:rFonts w:ascii="Times New Roman" w:hAnsi="Times New Roman" w:cs="Times New Roman"/>
          <w:szCs w:val="24"/>
        </w:rPr>
        <w:t>Trials</w:t>
      </w:r>
      <w:proofErr w:type="spellEnd"/>
      <w:r w:rsidRPr="005D66E0">
        <w:rPr>
          <w:rFonts w:ascii="Times New Roman" w:hAnsi="Times New Roman" w:cs="Times New Roman"/>
          <w:szCs w:val="24"/>
        </w:rPr>
        <w:t xml:space="preserve"> Information System i będzie funkcjonowało do czasu wejścia w życie kompleksowej regulacji o badaniach klinicznych produktów leczniczych stosowanych u ludzi.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Celem projektowanej ustawy jest także stworzenie krajowych przepisów kompetencyjnych dla organów właściwych w sprawach dopuszczania do obrotu oraz nadzoru nad wytwarzaniem, obrotem i stosowaniem weterynaryjnych produktów leczniczych oraz przepisów umożliwiających pobieranie opłat za czynności przeprowadzane w tym zakresie w związku z</w:t>
      </w:r>
      <w:r w:rsidR="00D151BC">
        <w:rPr>
          <w:rFonts w:ascii="Times New Roman" w:hAnsi="Times New Roman" w:cs="Times New Roman"/>
          <w:szCs w:val="24"/>
        </w:rPr>
        <w:t> </w:t>
      </w:r>
      <w:r w:rsidRPr="005D66E0">
        <w:rPr>
          <w:rFonts w:ascii="Times New Roman" w:hAnsi="Times New Roman" w:cs="Times New Roman"/>
          <w:szCs w:val="24"/>
        </w:rPr>
        <w:t>rozpoczęciem stosowania od dnia 28 stycznia 2022 r. przepisów rozporządzenia Parlamentu Europejskiego i Rady (UE) 2019/6 z dnia 11</w:t>
      </w:r>
      <w:r>
        <w:rPr>
          <w:rFonts w:ascii="Times New Roman" w:hAnsi="Times New Roman" w:cs="Times New Roman"/>
          <w:szCs w:val="24"/>
        </w:rPr>
        <w:t xml:space="preserve"> </w:t>
      </w:r>
      <w:r w:rsidRPr="005D66E0">
        <w:rPr>
          <w:rFonts w:ascii="Times New Roman" w:hAnsi="Times New Roman" w:cs="Times New Roman"/>
          <w:szCs w:val="24"/>
        </w:rPr>
        <w:t xml:space="preserve">grudnia 2018 r. w sprawie weterynaryjnych produktów leczniczych i uchylającego dyrektywę 2001/82/WE (Dz. Urz. UE L 4 z 07.01.2019, str. 43,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xml:space="preserve">. zm.), zwanego dalej „rozporządzeniem 2019/6”.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Rozporządzenie 2019/6 wprowadziło kluczową zmianę dotyczącą weterynaryjnych produktów leczniczych. Dotychczas wszystkie kwestie regulujące ww. obszar były zawarte w dyrektywie </w:t>
      </w:r>
      <w:r w:rsidRPr="005D66E0">
        <w:rPr>
          <w:rFonts w:ascii="Times New Roman" w:hAnsi="Times New Roman" w:cs="Times New Roman"/>
          <w:szCs w:val="24"/>
        </w:rPr>
        <w:lastRenderedPageBreak/>
        <w:t>2001/82/WE Parlamentu Europejskiego</w:t>
      </w:r>
      <w:r>
        <w:rPr>
          <w:rFonts w:ascii="Times New Roman" w:hAnsi="Times New Roman" w:cs="Times New Roman"/>
          <w:szCs w:val="24"/>
        </w:rPr>
        <w:t xml:space="preserve"> </w:t>
      </w:r>
      <w:r w:rsidRPr="005D66E0">
        <w:rPr>
          <w:rFonts w:ascii="Times New Roman" w:hAnsi="Times New Roman" w:cs="Times New Roman"/>
          <w:szCs w:val="24"/>
        </w:rPr>
        <w:t>i</w:t>
      </w:r>
      <w:r>
        <w:rPr>
          <w:rFonts w:ascii="Times New Roman" w:hAnsi="Times New Roman" w:cs="Times New Roman"/>
          <w:szCs w:val="24"/>
        </w:rPr>
        <w:t xml:space="preserve"> </w:t>
      </w:r>
      <w:r w:rsidRPr="005D66E0">
        <w:rPr>
          <w:rFonts w:ascii="Times New Roman" w:hAnsi="Times New Roman" w:cs="Times New Roman"/>
          <w:szCs w:val="24"/>
        </w:rPr>
        <w:t>Rady z dnia 6</w:t>
      </w:r>
      <w:r>
        <w:rPr>
          <w:rFonts w:ascii="Times New Roman" w:hAnsi="Times New Roman" w:cs="Times New Roman"/>
          <w:szCs w:val="24"/>
        </w:rPr>
        <w:t xml:space="preserve"> </w:t>
      </w:r>
      <w:r w:rsidRPr="005D66E0">
        <w:rPr>
          <w:rFonts w:ascii="Times New Roman" w:hAnsi="Times New Roman" w:cs="Times New Roman"/>
          <w:szCs w:val="24"/>
        </w:rPr>
        <w:t>listopada 2001</w:t>
      </w:r>
      <w:r>
        <w:rPr>
          <w:rFonts w:ascii="Times New Roman" w:hAnsi="Times New Roman" w:cs="Times New Roman"/>
          <w:szCs w:val="24"/>
        </w:rPr>
        <w:t xml:space="preserve"> </w:t>
      </w:r>
      <w:r w:rsidRPr="005D66E0">
        <w:rPr>
          <w:rFonts w:ascii="Times New Roman" w:hAnsi="Times New Roman" w:cs="Times New Roman"/>
          <w:szCs w:val="24"/>
        </w:rPr>
        <w:t>r. w</w:t>
      </w:r>
      <w:r>
        <w:rPr>
          <w:rFonts w:ascii="Times New Roman" w:hAnsi="Times New Roman" w:cs="Times New Roman"/>
          <w:szCs w:val="24"/>
        </w:rPr>
        <w:t xml:space="preserve"> </w:t>
      </w:r>
      <w:r w:rsidRPr="005D66E0">
        <w:rPr>
          <w:rFonts w:ascii="Times New Roman" w:hAnsi="Times New Roman" w:cs="Times New Roman"/>
          <w:szCs w:val="24"/>
        </w:rPr>
        <w:t>sprawie wspólnotowego kodeksu odnoszącego się do weterynaryjnych produktów</w:t>
      </w:r>
      <w:r>
        <w:rPr>
          <w:rFonts w:ascii="Times New Roman" w:hAnsi="Times New Roman" w:cs="Times New Roman"/>
          <w:szCs w:val="24"/>
        </w:rPr>
        <w:t xml:space="preserve"> </w:t>
      </w:r>
      <w:r w:rsidRPr="005D66E0">
        <w:rPr>
          <w:rFonts w:ascii="Times New Roman" w:hAnsi="Times New Roman" w:cs="Times New Roman"/>
          <w:szCs w:val="24"/>
        </w:rPr>
        <w:t>leczniczych (Dz.</w:t>
      </w:r>
      <w:r w:rsidR="00D151BC">
        <w:rPr>
          <w:rFonts w:ascii="Times New Roman" w:hAnsi="Times New Roman" w:cs="Times New Roman"/>
          <w:szCs w:val="24"/>
        </w:rPr>
        <w:t> </w:t>
      </w:r>
      <w:r w:rsidRPr="005D66E0">
        <w:rPr>
          <w:rFonts w:ascii="Times New Roman" w:hAnsi="Times New Roman" w:cs="Times New Roman"/>
          <w:szCs w:val="24"/>
        </w:rPr>
        <w:t xml:space="preserve">Urz. UE L 311 z 28.11.2001, str. 1,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zm.; Dz. Urz. UE Polskie wydanie specjalne rozdz. 13, t. 27, str. 3) i w aktach prawa krajowego, które implementowały ww. dyrektywę, w</w:t>
      </w:r>
      <w:r w:rsidR="00D151BC">
        <w:rPr>
          <w:rFonts w:ascii="Times New Roman" w:hAnsi="Times New Roman" w:cs="Times New Roman"/>
          <w:szCs w:val="24"/>
        </w:rPr>
        <w:t> </w:t>
      </w:r>
      <w:r w:rsidRPr="005D66E0">
        <w:rPr>
          <w:rFonts w:ascii="Times New Roman" w:hAnsi="Times New Roman" w:cs="Times New Roman"/>
          <w:szCs w:val="24"/>
        </w:rPr>
        <w:t xml:space="preserve">tym przede wszystkim w przepisach ustawy z dnia 6 września 2001 r. – Prawo farmaceutyczne (Dz. U. z 2021 r. poz. 1977,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zm.), zwanej dalej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oraz w aktach wykonawczych wydanych na podstawie tej ustawy. Jednakże w związku z faktem uchylenia ww. dyrektywy i wydaniem rozporządzenia 2019/6, które od dnia 28 stycznia 2022 r. jest stosowane wprost i bezpośrednio, trwają obecnie prace nad stworzeniem odrębnej ustawy </w:t>
      </w:r>
      <w:proofErr w:type="spellStart"/>
      <w:r w:rsidRPr="005D66E0">
        <w:rPr>
          <w:rFonts w:ascii="Times New Roman" w:hAnsi="Times New Roman" w:cs="Times New Roman"/>
          <w:szCs w:val="24"/>
        </w:rPr>
        <w:t>okołorozporządzeniowej</w:t>
      </w:r>
      <w:proofErr w:type="spellEnd"/>
      <w:r w:rsidRPr="005D66E0">
        <w:rPr>
          <w:rFonts w:ascii="Times New Roman" w:hAnsi="Times New Roman" w:cs="Times New Roman"/>
          <w:szCs w:val="24"/>
        </w:rPr>
        <w:t xml:space="preserve"> służącej stosowaniu rozporządzenia 2019/6. Jednakże do czasu wejścia w życie przepisów projektowanej ustawy o weterynaryjnych produktach leczniczych istnieje potrzeba stworzenia przepisów krajowych, które w okresie od dnia 28 stycznia 2022 r. do dnia wejścia w życie ustawy o weterynaryjnych produktach leczniczych stworzyłyby podstawę prawną dla działania w obszarze weterynaryjnych produktów leczniczych – na podstawie przepisów rozporządzenia 2019/6 – Prezesowi Urzędu</w:t>
      </w:r>
      <w:r>
        <w:rPr>
          <w:rFonts w:ascii="Times New Roman" w:hAnsi="Times New Roman" w:cs="Times New Roman"/>
          <w:szCs w:val="24"/>
        </w:rPr>
        <w:t xml:space="preserve"> </w:t>
      </w:r>
      <w:r w:rsidRPr="005D66E0">
        <w:rPr>
          <w:rFonts w:ascii="Times New Roman" w:hAnsi="Times New Roman" w:cs="Times New Roman"/>
          <w:szCs w:val="24"/>
        </w:rPr>
        <w:t>Rejestracji Produktów Leczniczych, Wyrobów Medycznych i Produktów Biobójczych, Głównemu Inspektorowi Farmaceutycznemu i Głównemu Lekarzowi Weterynarii, w tym także stworzyłyby podstawy prawne do pobierania opłat za dokonanie czynności związanych ze stosowaniem rozporządzenia 2019/6.</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W art. 36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planuje się wprowadzenie ust. 1a–1c</w:t>
      </w:r>
      <w:r>
        <w:rPr>
          <w:rFonts w:ascii="Times New Roman" w:hAnsi="Times New Roman" w:cs="Times New Roman"/>
          <w:szCs w:val="24"/>
        </w:rPr>
        <w:t xml:space="preserve"> </w:t>
      </w:r>
      <w:r w:rsidRPr="005D66E0">
        <w:rPr>
          <w:rFonts w:ascii="Times New Roman" w:hAnsi="Times New Roman" w:cs="Times New Roman"/>
          <w:szCs w:val="24"/>
        </w:rPr>
        <w:t xml:space="preserve">i 2a, w których opisano czynności związane z dopuszczeniem do obrotu weterynaryjnych produktów leczniczych przeprowadzane na podstawie przepisów rozporządzenia 2019/6, w przypadku których za złożenie wniosku o ich dokonanie należy uiścić odpowiednią opłatę, a także kwestię zwrotu części opłaty przy cofnięciu wniosku, obniżenia wysokości opłaty w przypadku grupy zmian w warunkach pozwolenia na dopuszczenie do obrotu weterynaryjnego produktu leczniczego oraz opłaty rocznej za każdy rok ważności pozwolenia na dopuszczenie do obrotu weterynaryjnego produktu leczniczego (rozumiany jako kolejne 12 miesięcy od dnia wydania pozwolenia). W projektowanym przepisie art. 36aa wprowadzono natomiast upoważnienie dla ministra właściwego do spraw zdrowia do określenia – w porozumieniu z ministrem właściwym do spraw rolnictwa – w drodze rozporządzenia, wysokości opłat, o których mowa w art. 36 ust. 1a i 2a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oraz sposobu ich uiszczania, a także sposobu ustalania wysokości opłat w przypadku, o którym mowa w art. 36 ust. 1c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przy uwzględnieniu wysokości opłaty w państwach członkowskich Unii Europejskiej o zbliżonym produkcie krajowym brutto </w:t>
      </w:r>
      <w:r w:rsidRPr="005D66E0">
        <w:rPr>
          <w:rFonts w:ascii="Times New Roman" w:hAnsi="Times New Roman" w:cs="Times New Roman"/>
          <w:szCs w:val="24"/>
        </w:rPr>
        <w:lastRenderedPageBreak/>
        <w:t>na jednego mieszkańca, nakładu pracy związanej z wykonaniem danej czynności, poziomu kosztów ponoszonych przez Urząd Rejestracji, a także faktu pełnienia przez Rzeczpospolitą Polską roli referencyjnego państwa członkowskiego.</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Pozostałe zmiany w zakresie art. 36 i art. 36a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mają charakter wynikowy i są spowodowane wprowadzeniem odrębnych regulacji dotyczących podstaw pobierania opłat w przypadku weterynaryjnych produktów leczniczych (dotychczas bowiem przepisy art. 36 ust. 1 i art. 36a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dotyczyły nie tylko produktów leczniczych stosowanych u ludzi, ale także produktów leczniczych weterynaryjnych). Należy przy tym zauważyć, że zmiana upoważnienia do wydania rozporządzenia zawarta w art. 36a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nie dotyczy treści upoważnienia w</w:t>
      </w:r>
      <w:r w:rsidR="00D151BC">
        <w:rPr>
          <w:rFonts w:ascii="Times New Roman" w:hAnsi="Times New Roman" w:cs="Times New Roman"/>
          <w:szCs w:val="24"/>
        </w:rPr>
        <w:t> </w:t>
      </w:r>
      <w:r w:rsidRPr="005D66E0">
        <w:rPr>
          <w:rFonts w:ascii="Times New Roman" w:hAnsi="Times New Roman" w:cs="Times New Roman"/>
          <w:szCs w:val="24"/>
        </w:rPr>
        <w:t>odniesieniu do produktów leczniczych stosowanych u ludzi, nie powoduje zmiany jego zakresu przedmiotowego, nie zmieniają się również wytyczne dotyczące treści aktu. Tym samym rozporządzenie Ministra Zdrowia z dnia 16 czerwca 2015 r. w sprawie sposobu ustalania i uiszczania opłat związanych z dopuszczeniem do obrotu produktu leczniczego (Dz.</w:t>
      </w:r>
      <w:r w:rsidR="00D151BC">
        <w:rPr>
          <w:rFonts w:ascii="Times New Roman" w:hAnsi="Times New Roman" w:cs="Times New Roman"/>
          <w:szCs w:val="24"/>
        </w:rPr>
        <w:t> </w:t>
      </w:r>
      <w:r w:rsidRPr="005D66E0">
        <w:rPr>
          <w:rFonts w:ascii="Times New Roman" w:hAnsi="Times New Roman" w:cs="Times New Roman"/>
          <w:szCs w:val="24"/>
        </w:rPr>
        <w:t xml:space="preserve">U. poz. 958) nie utraci mocy obowiązującej z dniem wejścia w życie przepisu zmieniającego treść upoważnienia określonego w art. 36a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Zmiany wprowadzone do ustawy z dnia 18 marca 2011 r. o Urzędzie Rejestracji Produktów Leczniczych, Wyrobów Medycznych i Produktów Biobójczych mają na celu wprowadzenie do ww. ustawy – określającej podstawy prawne zakresu działania Prezesa Urzędu Rejestracji Produktów Leczniczych, Wyrobów Medycznych i Produktów Biobójczych jako centralnego organu administracji rządowej – przepisy umożliwiające podejmowanie czynności w zakresie weterynaryjnych produktów leczniczych na podstawie przepisów rozporządzenia 2019/6 (zmiany w zakresie art. 2 tej ustawy). W odniesieniu do zakresu przedmiotowego projektowanych regulacji należy zauważyć, że jest on analogiczny do zakresu kompetencji Prezesa Urzędu posiadanych na podstawie obecnie obowiązujących przepisów ustawy z dnia 6</w:t>
      </w:r>
      <w:r w:rsidR="00D151BC">
        <w:rPr>
          <w:rFonts w:ascii="Times New Roman" w:hAnsi="Times New Roman" w:cs="Times New Roman"/>
          <w:szCs w:val="24"/>
        </w:rPr>
        <w:t> </w:t>
      </w:r>
      <w:r w:rsidRPr="005D66E0">
        <w:rPr>
          <w:rFonts w:ascii="Times New Roman" w:hAnsi="Times New Roman" w:cs="Times New Roman"/>
          <w:szCs w:val="24"/>
        </w:rPr>
        <w:t>września 2001 r. – Prawo farmaceutyczne, a zmianie ulegają zasadniczo wyłącznie podstawy prawne podejmowanych działań (od dnia 28 stycznia 2022 r. są to przepisy rozporządzenia 2019/6).</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Dotychczas w prawie krajowym w zakresie dotyczącym dystrybucji hurtowej przedmiotowych produktów leczniczych funkcjonowały przepisy, które mówiły o zezwoleniach na prowadzenie hurtowni farmaceutycznej produktów leczniczych weterynaryjnych, natomiast w</w:t>
      </w:r>
      <w:r w:rsidR="00D151BC">
        <w:rPr>
          <w:rFonts w:ascii="Times New Roman" w:hAnsi="Times New Roman" w:cs="Times New Roman"/>
          <w:szCs w:val="24"/>
        </w:rPr>
        <w:t> </w:t>
      </w:r>
      <w:r w:rsidRPr="005D66E0">
        <w:rPr>
          <w:rFonts w:ascii="Times New Roman" w:hAnsi="Times New Roman" w:cs="Times New Roman"/>
          <w:szCs w:val="24"/>
        </w:rPr>
        <w:t xml:space="preserve">rozporządzeniu 2019/6 mowa jest o dystrybucji hurtowej weterynaryjnych produktów </w:t>
      </w:r>
      <w:r w:rsidRPr="005D66E0">
        <w:rPr>
          <w:rFonts w:ascii="Times New Roman" w:hAnsi="Times New Roman" w:cs="Times New Roman"/>
          <w:szCs w:val="24"/>
        </w:rPr>
        <w:lastRenderedPageBreak/>
        <w:t>leczniczych</w:t>
      </w:r>
      <w:r w:rsidR="00E4752C">
        <w:rPr>
          <w:rFonts w:ascii="Times New Roman" w:hAnsi="Times New Roman" w:cs="Times New Roman"/>
          <w:szCs w:val="24"/>
        </w:rPr>
        <w:t>,</w:t>
      </w:r>
      <w:r w:rsidRPr="005D66E0">
        <w:rPr>
          <w:rFonts w:ascii="Times New Roman" w:hAnsi="Times New Roman" w:cs="Times New Roman"/>
          <w:szCs w:val="24"/>
        </w:rPr>
        <w:t xml:space="preserve"> w związku z tym należy zmienić przepisy ustawowe w zakresie kompetencji Głównego Lekarza Weterynarii.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Ponadto w związku ze zmianą przedmiotu decyzji wydawanej przez Głównego Lekarza Weterynarii należy wprowadzić przepisy przejściowe regulujące postępowanie odnośnie do wniosków składanych przed wejściem w życie projektowanej ustawy oraz odnośnie do decyzji wydanych na podstawie dotychczasowych przepisów.</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Proponuje się również dodanie przepisu przejściowego, zgodnie z którym w postępowaniach prowadzonych przed Prezesem Urzędu Rejestracji Produktów Leczniczych, Wyrobów Medycznych i Produktów Biobójczych, wszczętych i niezakończonych przed dniem 28</w:t>
      </w:r>
      <w:r w:rsidR="00D151BC">
        <w:rPr>
          <w:rFonts w:ascii="Times New Roman" w:hAnsi="Times New Roman" w:cs="Times New Roman"/>
          <w:szCs w:val="24"/>
        </w:rPr>
        <w:t> </w:t>
      </w:r>
      <w:r w:rsidRPr="005D66E0">
        <w:rPr>
          <w:rFonts w:ascii="Times New Roman" w:hAnsi="Times New Roman" w:cs="Times New Roman"/>
          <w:szCs w:val="24"/>
        </w:rPr>
        <w:t xml:space="preserve">stycznia 2022 r., opłaty związane z dopuszczeniem do obrotu produktu leczniczego weterynaryjnego uiszcza się na podstawie przepisów dotychczasowych. Powyższy przepis pozostaje zgodny </w:t>
      </w:r>
      <w:r w:rsidR="00E4752C">
        <w:rPr>
          <w:rFonts w:ascii="Times New Roman" w:hAnsi="Times New Roman" w:cs="Times New Roman"/>
          <w:szCs w:val="24"/>
        </w:rPr>
        <w:t xml:space="preserve">z </w:t>
      </w:r>
      <w:r w:rsidRPr="005D66E0">
        <w:rPr>
          <w:rFonts w:ascii="Times New Roman" w:hAnsi="Times New Roman" w:cs="Times New Roman"/>
          <w:szCs w:val="24"/>
        </w:rPr>
        <w:t>ogólną zasadą dotyczącą stosowania przepisów dotychczasowych wyrażoną w przepisach przejściowych określonych w art. 151 ust. 2 i 3 rozporządzenia 2019/6, a jego dodanie jest konieczne w celu zapewnienia możliwości pobierania opłat w przypadku postępowań wszczętych na podstawie dotychczasowych przepisów i niezakończonych przed rozpoczęciem stosowania rozporządzenia 2019/6. Jednocześnie należy podkreślić, że intencją projektodawcy nie jest stosowanie – w odniesieniu do wniosków o dopuszczenie do obrotu produktu leczniczego weterynaryjnego, które zostały złożone po dniu 28 stycznia 2022 r., a</w:t>
      </w:r>
      <w:r w:rsidR="00D151BC">
        <w:rPr>
          <w:rFonts w:ascii="Times New Roman" w:hAnsi="Times New Roman" w:cs="Times New Roman"/>
          <w:szCs w:val="24"/>
        </w:rPr>
        <w:t> </w:t>
      </w:r>
      <w:r w:rsidRPr="005D66E0">
        <w:rPr>
          <w:rFonts w:ascii="Times New Roman" w:hAnsi="Times New Roman" w:cs="Times New Roman"/>
          <w:szCs w:val="24"/>
        </w:rPr>
        <w:t>przed dniem wejścia w życie projektowanej ustawy – opłat w wysokości zaproponowanej w</w:t>
      </w:r>
      <w:r w:rsidR="00D151BC">
        <w:rPr>
          <w:rFonts w:ascii="Times New Roman" w:hAnsi="Times New Roman" w:cs="Times New Roman"/>
          <w:szCs w:val="24"/>
        </w:rPr>
        <w:t> </w:t>
      </w:r>
      <w:r w:rsidRPr="005D66E0">
        <w:rPr>
          <w:rFonts w:ascii="Times New Roman" w:hAnsi="Times New Roman" w:cs="Times New Roman"/>
          <w:szCs w:val="24"/>
        </w:rPr>
        <w:t xml:space="preserve">dodawanych w art. 3 pkt 1 lit. b projektu ustawy przepisach art. 36 ust. 1a–1c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oraz w</w:t>
      </w:r>
      <w:r w:rsidR="00D151BC">
        <w:rPr>
          <w:rFonts w:ascii="Times New Roman" w:hAnsi="Times New Roman" w:cs="Times New Roman"/>
          <w:szCs w:val="24"/>
        </w:rPr>
        <w:t> </w:t>
      </w:r>
      <w:r w:rsidRPr="005D66E0">
        <w:rPr>
          <w:rFonts w:ascii="Times New Roman" w:hAnsi="Times New Roman" w:cs="Times New Roman"/>
          <w:szCs w:val="24"/>
        </w:rPr>
        <w:t>przepisach wydanych na podstawie dodawanego art. 36aa tej ustawy (art. 3 pkt 3 projektu ustawy). W przypadku postępowań wszczętych w okresie od dnia 28 stycznia 2022 r. do dnia wejścia w życie projektowanej ustawy opłaty nie są i nie będą pobierane, gdyż brak</w:t>
      </w:r>
      <w:r w:rsidR="00E4752C">
        <w:rPr>
          <w:rFonts w:ascii="Times New Roman" w:hAnsi="Times New Roman" w:cs="Times New Roman"/>
          <w:szCs w:val="24"/>
        </w:rPr>
        <w:t>uje</w:t>
      </w:r>
      <w:r w:rsidRPr="005D66E0">
        <w:rPr>
          <w:rFonts w:ascii="Times New Roman" w:hAnsi="Times New Roman" w:cs="Times New Roman"/>
          <w:szCs w:val="24"/>
        </w:rPr>
        <w:t xml:space="preserve"> ku temu podstawy prawnej – do wniosków składanych po dniu 28 stycznia 2022 r. stosuje się już bowiem przepisy rozporządzenia 2019/6 i dotychczas obowiązujące przepisy krajowe w</w:t>
      </w:r>
      <w:r w:rsidR="00D151BC">
        <w:rPr>
          <w:rFonts w:ascii="Times New Roman" w:hAnsi="Times New Roman" w:cs="Times New Roman"/>
          <w:szCs w:val="24"/>
        </w:rPr>
        <w:t> </w:t>
      </w:r>
      <w:r w:rsidRPr="005D66E0">
        <w:rPr>
          <w:rFonts w:ascii="Times New Roman" w:hAnsi="Times New Roman" w:cs="Times New Roman"/>
          <w:szCs w:val="24"/>
        </w:rPr>
        <w:t>zakresie opłat nie</w:t>
      </w:r>
      <w:r>
        <w:rPr>
          <w:rFonts w:ascii="Times New Roman" w:hAnsi="Times New Roman" w:cs="Times New Roman"/>
          <w:szCs w:val="24"/>
        </w:rPr>
        <w:t xml:space="preserve"> </w:t>
      </w:r>
      <w:r w:rsidRPr="005D66E0">
        <w:rPr>
          <w:rFonts w:ascii="Times New Roman" w:hAnsi="Times New Roman" w:cs="Times New Roman"/>
          <w:szCs w:val="24"/>
        </w:rPr>
        <w:t>zawierają podstawy prawnej do pobierania opłat za złożenie wniosków na podstawie przepisów tego rozporządzenia. Taką podstawę prawną wprowadzą dopiero przepisy projektowanej ustawy, przy czym znajdzie ona zastosowanie wyłącznie do wniosków złożonych po dniu jej wejścia w życie.</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Projektowana zmiana art. 51l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służy stosowaniu rozporządzenia 2019/6, bowiem uchyla regulację wskazującą, że w przypadku substancji czynnej przeznaczonej wyłącznie do wytwarzania produktów leczniczych weterynaryjnych stosuje się jedynie przepis:</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lastRenderedPageBreak/>
        <w:t>1)</w:t>
      </w:r>
      <w:r w:rsidRPr="005D66E0">
        <w:rPr>
          <w:rFonts w:ascii="Times New Roman" w:hAnsi="Times New Roman" w:cs="Times New Roman"/>
          <w:szCs w:val="24"/>
        </w:rPr>
        <w:tab/>
        <w:t>uprawniający Głównego Inspektora Farmaceutyczny do zarządzenia inspekcji doraźnej w</w:t>
      </w:r>
      <w:r w:rsidR="00D151BC">
        <w:rPr>
          <w:rFonts w:ascii="Times New Roman" w:hAnsi="Times New Roman" w:cs="Times New Roman"/>
          <w:szCs w:val="24"/>
        </w:rPr>
        <w:t> </w:t>
      </w:r>
      <w:r w:rsidRPr="005D66E0">
        <w:rPr>
          <w:rFonts w:ascii="Times New Roman" w:hAnsi="Times New Roman" w:cs="Times New Roman"/>
          <w:szCs w:val="24"/>
        </w:rPr>
        <w:t>przypadku powzięcia uzasadnionego podejrzenia o uchybieniach powodujących zagrożenie dla bezpieczeństwa lub jakości lub na wniosek właściwego organu państwa członkowskiego Unii Europejskiej lub państwa członkowskiego Europejskiego Porozumienia o Wolnym Handlu (EFTA) – strony umowy o Europejskim Obszarze Gospodarczym, Europejskiej Agencji Leków lub Komisji Europejskiej;</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2)</w:t>
      </w:r>
      <w:r w:rsidRPr="005D66E0">
        <w:rPr>
          <w:rFonts w:ascii="Times New Roman" w:hAnsi="Times New Roman" w:cs="Times New Roman"/>
          <w:szCs w:val="24"/>
        </w:rPr>
        <w:tab/>
        <w:t>uprawniający Głównego Inspektora Farmaceutyczn</w:t>
      </w:r>
      <w:r w:rsidR="00E4752C">
        <w:rPr>
          <w:rFonts w:ascii="Times New Roman" w:hAnsi="Times New Roman" w:cs="Times New Roman"/>
          <w:szCs w:val="24"/>
        </w:rPr>
        <w:t>ego</w:t>
      </w:r>
      <w:r w:rsidRPr="005D66E0">
        <w:rPr>
          <w:rFonts w:ascii="Times New Roman" w:hAnsi="Times New Roman" w:cs="Times New Roman"/>
          <w:szCs w:val="24"/>
        </w:rPr>
        <w:t xml:space="preserve"> do przeprowadzenia inspekcji na wniosek wytwórcy ww. substancji czynnej, w celu wydania zaświadczenia stanowiącego certyfikat potwierdzający zgodność warunków wytwarzania substancji czynnej z</w:t>
      </w:r>
      <w:r w:rsidR="00D151BC">
        <w:rPr>
          <w:rFonts w:ascii="Times New Roman" w:hAnsi="Times New Roman" w:cs="Times New Roman"/>
          <w:szCs w:val="24"/>
        </w:rPr>
        <w:t> </w:t>
      </w:r>
      <w:r w:rsidRPr="005D66E0">
        <w:rPr>
          <w:rFonts w:ascii="Times New Roman" w:hAnsi="Times New Roman" w:cs="Times New Roman"/>
          <w:szCs w:val="24"/>
        </w:rPr>
        <w:t>wymaganiami Dobrej Praktyki Wytwarzania;</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3)</w:t>
      </w:r>
      <w:r w:rsidRPr="005D66E0">
        <w:rPr>
          <w:rFonts w:ascii="Times New Roman" w:hAnsi="Times New Roman" w:cs="Times New Roman"/>
          <w:szCs w:val="24"/>
        </w:rPr>
        <w:tab/>
        <w:t xml:space="preserve">wskazujący, że Prezes Urzędu Rejestracji Produktów Leczniczych, Wyrobów Medycznych i Produktów Biobójczych jest organem właściwym w zakresie rejestracji wytwórców substancji czynnych mających zastosowanie przy wytwarzaniu produktów leczniczych weterynaryjnych </w:t>
      </w:r>
      <w:r w:rsidR="00E4752C">
        <w:rPr>
          <w:rFonts w:ascii="Times New Roman" w:hAnsi="Times New Roman" w:cs="Times New Roman"/>
          <w:szCs w:val="24"/>
        </w:rPr>
        <w:t>posiadających</w:t>
      </w:r>
      <w:r w:rsidRPr="005D66E0">
        <w:rPr>
          <w:rFonts w:ascii="Times New Roman" w:hAnsi="Times New Roman" w:cs="Times New Roman"/>
          <w:szCs w:val="24"/>
        </w:rPr>
        <w:t xml:space="preserve"> właściwości anaboliczne, przeciwzakaźne, przeciwpasożytnicze, przeciwzapalne, hormonalne lub psychotropowe.</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Dodanie w ustawie z dnia 6 września 2001 r. – Prawo farmaceutyczne</w:t>
      </w:r>
      <w:r w:rsidRPr="005D66E0" w:rsidDel="00574239">
        <w:rPr>
          <w:rFonts w:ascii="Times New Roman" w:hAnsi="Times New Roman" w:cs="Times New Roman"/>
          <w:szCs w:val="24"/>
        </w:rPr>
        <w:t xml:space="preserve"> </w:t>
      </w:r>
      <w:r w:rsidRPr="005D66E0">
        <w:rPr>
          <w:rFonts w:ascii="Times New Roman" w:hAnsi="Times New Roman" w:cs="Times New Roman"/>
          <w:szCs w:val="24"/>
        </w:rPr>
        <w:t xml:space="preserve">art. 51m służy stosowaniu rozporządzenia 2019/6, bowiem wskazuje, że przepisy rozdziału 3a „Wytwarzanie, import i dystrybucja substancji czynnej” ustawy stosuje się również do substancji czynnej przeznaczonej do wytwarzania produktów leczniczych weterynaryjnych.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Powyższe między innymi umożliwi importerom, wytwórcom i dystrybutorom substancji czynnych wykorzystywanych do wytwarzania weterynaryjnych produktów leczniczych uzyskanie wpisu do Krajowego Rejestru Wytwórców, Importerów oraz Dystrybutorów Substancji Czynnych, gdyż w sposób jednoznaczny przesądzi, że Główny Inspektor Farmaceutyczny jest organem właściwym w zakresie rejestracji importerów, producentów i</w:t>
      </w:r>
      <w:r w:rsidR="00D151BC">
        <w:rPr>
          <w:rFonts w:ascii="Times New Roman" w:hAnsi="Times New Roman" w:cs="Times New Roman"/>
          <w:szCs w:val="24"/>
        </w:rPr>
        <w:t> </w:t>
      </w:r>
      <w:r w:rsidRPr="005D66E0">
        <w:rPr>
          <w:rFonts w:ascii="Times New Roman" w:hAnsi="Times New Roman" w:cs="Times New Roman"/>
          <w:szCs w:val="24"/>
        </w:rPr>
        <w:t>dystrybutorów substancji czynnych wykorzystywanych do wytwarzania weterynaryjnych produktów leczniczych, o której mowa w art. 95 ust. 1 rozporządzenia 2019/6.</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Przesądzono, że w przypadku substancji czynnej przeznaczonej do wytwarzania produktów leczniczych weterynaryjnych nie będą miały zastosowania:</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1)</w:t>
      </w:r>
      <w:r w:rsidRPr="005D66E0">
        <w:rPr>
          <w:rFonts w:ascii="Times New Roman" w:hAnsi="Times New Roman" w:cs="Times New Roman"/>
          <w:szCs w:val="24"/>
        </w:rPr>
        <w:tab/>
        <w:t>wymagania Dobrej Praktyki Dystrybucyjnej substancji czynnych określone w</w:t>
      </w:r>
      <w:r w:rsidR="00D151BC">
        <w:rPr>
          <w:rFonts w:ascii="Times New Roman" w:hAnsi="Times New Roman" w:cs="Times New Roman"/>
          <w:szCs w:val="24"/>
        </w:rPr>
        <w:t> </w:t>
      </w:r>
      <w:r w:rsidRPr="005D66E0">
        <w:rPr>
          <w:rFonts w:ascii="Times New Roman" w:hAnsi="Times New Roman" w:cs="Times New Roman"/>
          <w:szCs w:val="24"/>
        </w:rPr>
        <w:t>rozporządzeniu Ministra Zdrowia z dnia 3 grudnia 2015 r. w sprawie wymagań Dobrej Praktyki Dystrybucyjnej substancji czynnych (Dz. U. poz. 2101);</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lastRenderedPageBreak/>
        <w:t>2)</w:t>
      </w:r>
      <w:r w:rsidRPr="005D66E0">
        <w:rPr>
          <w:rFonts w:ascii="Times New Roman" w:hAnsi="Times New Roman" w:cs="Times New Roman"/>
          <w:szCs w:val="24"/>
        </w:rPr>
        <w:tab/>
        <w:t>obowiązki importerów substancji czynnej obejmujące sprawdzenie sprowadzanej substancji pod kątem jej wytworzenia zgodnie z Dobrą Praktyką Wytwarzania oraz importowanie wyłącznie tej substancji czynnej, w stosunku do której dołączono pisemne potwierdzenie od właściwego organu kraju trzeciego;</w:t>
      </w:r>
    </w:p>
    <w:p w:rsidR="008E2556" w:rsidRPr="005D66E0" w:rsidRDefault="008E2556" w:rsidP="008E2556">
      <w:pPr>
        <w:pStyle w:val="PKTpunkt"/>
        <w:rPr>
          <w:rFonts w:ascii="Times New Roman" w:hAnsi="Times New Roman" w:cs="Times New Roman"/>
          <w:szCs w:val="24"/>
        </w:rPr>
      </w:pPr>
      <w:r w:rsidRPr="005D66E0">
        <w:rPr>
          <w:rFonts w:ascii="Times New Roman" w:hAnsi="Times New Roman" w:cs="Times New Roman"/>
          <w:szCs w:val="24"/>
        </w:rPr>
        <w:t>3)</w:t>
      </w:r>
      <w:r w:rsidRPr="005D66E0">
        <w:rPr>
          <w:rFonts w:ascii="Times New Roman" w:hAnsi="Times New Roman" w:cs="Times New Roman"/>
          <w:szCs w:val="24"/>
        </w:rPr>
        <w:tab/>
        <w:t>przepisy uprawniające Głównego Inspektora Farmaceutycznego do wyznaczania inspektora do spraw wytwarzania Głównego Inspektoratu Farmaceutycznego przeprowadzania na wniosek Komisji Europejskiej, który przeprowadzi w imieniu Komisji Europejskiej ocenę równoważności przepisów, środków kontrolnych i</w:t>
      </w:r>
      <w:r w:rsidR="00D151BC">
        <w:rPr>
          <w:rFonts w:ascii="Times New Roman" w:hAnsi="Times New Roman" w:cs="Times New Roman"/>
          <w:szCs w:val="24"/>
        </w:rPr>
        <w:t> </w:t>
      </w:r>
      <w:r w:rsidRPr="005D66E0">
        <w:rPr>
          <w:rFonts w:ascii="Times New Roman" w:hAnsi="Times New Roman" w:cs="Times New Roman"/>
          <w:szCs w:val="24"/>
        </w:rPr>
        <w:t>wykonawczych kraju trzeciego, stosowanych wobec substancji czynnej importowanej na obszar Unii Europejskiej lub państwa członkowskiego Europejskiego Porozumienia o</w:t>
      </w:r>
      <w:r w:rsidR="00D151BC">
        <w:rPr>
          <w:rFonts w:ascii="Times New Roman" w:hAnsi="Times New Roman" w:cs="Times New Roman"/>
          <w:szCs w:val="24"/>
        </w:rPr>
        <w:t> </w:t>
      </w:r>
      <w:r w:rsidRPr="005D66E0">
        <w:rPr>
          <w:rFonts w:ascii="Times New Roman" w:hAnsi="Times New Roman" w:cs="Times New Roman"/>
          <w:szCs w:val="24"/>
        </w:rPr>
        <w:t>Wolnym Handlu (EFTA) – strony umowy o Europejskim Obszarze Gospodarczym z</w:t>
      </w:r>
      <w:r w:rsidR="00D151BC">
        <w:rPr>
          <w:rFonts w:ascii="Times New Roman" w:hAnsi="Times New Roman" w:cs="Times New Roman"/>
          <w:szCs w:val="24"/>
        </w:rPr>
        <w:t> </w:t>
      </w:r>
      <w:r w:rsidRPr="005D66E0">
        <w:rPr>
          <w:rFonts w:ascii="Times New Roman" w:hAnsi="Times New Roman" w:cs="Times New Roman"/>
          <w:szCs w:val="24"/>
        </w:rPr>
        <w:t>przepisami Unii Europejskiej.</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Ponadto wprowadzenie art. 51m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spowoduje, że importerzy, wytwórcy i dystrybutorzy substancji czynnych wykorzystywanych do wytwarzania weterynaryjnych produktów leczniczych będą mogli wypełnić swój obowiązek wskazany w art. 95 ust. 3 rozporządzenia 2019/6, tj. zgłosić się do odpowiedniego organu</w:t>
      </w:r>
      <w:r w:rsidR="000870FA">
        <w:rPr>
          <w:rFonts w:ascii="Times New Roman" w:hAnsi="Times New Roman" w:cs="Times New Roman"/>
          <w:szCs w:val="24"/>
        </w:rPr>
        <w:t>,</w:t>
      </w:r>
      <w:r w:rsidRPr="005D66E0">
        <w:rPr>
          <w:rFonts w:ascii="Times New Roman" w:hAnsi="Times New Roman" w:cs="Times New Roman"/>
          <w:szCs w:val="24"/>
        </w:rPr>
        <w:t xml:space="preserve"> aby zarejestrować swoją działalność. Zgodnie z przedmiotowym artykułem powinni wypełnić ten obowiązek do 29 marca 2022 r. Ponadto możliwość uzyskania wpisu do Rejestru Wytwórców, Importerów i Dystrybutorów substancji czynnych wykorzystywanych do wytwarzania weterynaryjnych produktów leczniczych spowoduje, że wytwórcy weterynaryjnych produktów leczniczych będą mogli wypełnić swój obowiązek</w:t>
      </w:r>
      <w:r w:rsidR="000870FA">
        <w:rPr>
          <w:rFonts w:ascii="Times New Roman" w:hAnsi="Times New Roman" w:cs="Times New Roman"/>
          <w:szCs w:val="24"/>
        </w:rPr>
        <w:t>,</w:t>
      </w:r>
      <w:r w:rsidRPr="005D66E0">
        <w:rPr>
          <w:rFonts w:ascii="Times New Roman" w:hAnsi="Times New Roman" w:cs="Times New Roman"/>
          <w:szCs w:val="24"/>
        </w:rPr>
        <w:t xml:space="preserve"> określony w art. 93 rozporządzenia 2019/6, polegający na wykorzystywaniu w</w:t>
      </w:r>
      <w:r w:rsidR="00D151BC">
        <w:rPr>
          <w:rFonts w:ascii="Times New Roman" w:hAnsi="Times New Roman" w:cs="Times New Roman"/>
          <w:szCs w:val="24"/>
        </w:rPr>
        <w:t> </w:t>
      </w:r>
      <w:r w:rsidRPr="005D66E0">
        <w:rPr>
          <w:rFonts w:ascii="Times New Roman" w:hAnsi="Times New Roman" w:cs="Times New Roman"/>
          <w:szCs w:val="24"/>
        </w:rPr>
        <w:t>procesie wytwarzania wyłącznie substancji czynnych pochodzących od zarejestrowanych dostawców (wytwórców, importerów i dystrybutorów substancji czynnych). Dzięki przedmiotowym przepisom zostanie wyeliminowany problem z możliwym pojawieniem się braku dostępności substancji czynnych pochodzących od zarejestrowanych dostawców, a tym samym brakiem weterynaryjnych produktów leczniczych. Jednocześnie należy podkreślić, że dzięki powyższej regulacji polscy przedsiębiorcy prowadzący działalność w zakresie wytwarzania, importu i dystrybucji substancji czynnych wykorzystywanych do wytwarzania weterynaryjnych produktów leczniczych będą mogli sprzedawać substancje przedsiębiorcom zlokalizowanym w innych państwach członkowskich Unii Europejskiej.</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Zmiana dotycząca art. 72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ma na celu uregulowanie kwestii zaopatrywania w produkty lecznicze i wyroby medyczne Polskich Kontyngentów Wojskowych oraz gromadzenia </w:t>
      </w:r>
      <w:r w:rsidRPr="005D66E0">
        <w:rPr>
          <w:rFonts w:ascii="Times New Roman" w:hAnsi="Times New Roman" w:cs="Times New Roman"/>
          <w:szCs w:val="24"/>
        </w:rPr>
        <w:lastRenderedPageBreak/>
        <w:t>zapasów wojennych produktów leczniczych i wyrobów medycznych pozyskiwanych centralnie w drodze procedur przetargowych przez jednostki organizacyjne podległe Ministrowi Obrony Narodowej, Szefowi Służby Kontrwywiadu Wojskowego lub Szefowi Służby Wywiadu Wojskowego działające, na podstawie statutu, na potrzeby własne i innych jednostek organizacyjnych MON (przez wyłączenie tych czynności z</w:t>
      </w:r>
      <w:r>
        <w:rPr>
          <w:rFonts w:ascii="Times New Roman" w:hAnsi="Times New Roman" w:cs="Times New Roman"/>
          <w:szCs w:val="24"/>
        </w:rPr>
        <w:t xml:space="preserve"> </w:t>
      </w:r>
      <w:r w:rsidRPr="005D66E0">
        <w:rPr>
          <w:rFonts w:ascii="Times New Roman" w:hAnsi="Times New Roman" w:cs="Times New Roman"/>
          <w:szCs w:val="24"/>
        </w:rPr>
        <w:t>pojęcia obrotu hurtowego).</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Aktualnie art. 119a ust.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budzi wątpliwości interpretacyjne, bowiem jego redakcja wymaga gruntownej analizy art. 3 ust. 1 i 3 w zw. z art. 23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pozwalającej na odkodowanie, że do produktów leczniczych dopuszczonych po raz pierwszy na podstawie ustawy do obrotu na terenie Rzeczypospolitej Polskiej nie należy zaliczać produktów, które uzyskały pozwolenie wydane przez Radę Unii Europejskiej lub Komisję Europejską. Takie produkty nie są bowiem dopuszczone do obrotu na terenie Rzeczypospolitej Polskiej na podstawie ustawy, ale na podstawie stosowanego bezpośrednio w krajowym porządku prawnym aktu normatywnego jakim jest rozporządzenie Parlamentu Europejskiego i Rady (WE) nr 726/2004 z dnia 31 marca 2004 r. ustanawiające wspólnotowe procedury wydawania pozwoleń dla produktów leczniczych stosowanych u ludzi, nadzoru nad nimi oraz ustanawiającego Europejską Agencję Leków (Dz. Urz. UE L 136 z 30.04.2004, str. 1, z </w:t>
      </w:r>
      <w:proofErr w:type="spellStart"/>
      <w:r w:rsidRPr="005D66E0">
        <w:rPr>
          <w:rFonts w:ascii="Times New Roman" w:hAnsi="Times New Roman" w:cs="Times New Roman"/>
          <w:szCs w:val="24"/>
        </w:rPr>
        <w:t>późn</w:t>
      </w:r>
      <w:proofErr w:type="spellEnd"/>
      <w:r w:rsidRPr="005D66E0">
        <w:rPr>
          <w:rFonts w:ascii="Times New Roman" w:hAnsi="Times New Roman" w:cs="Times New Roman"/>
          <w:szCs w:val="24"/>
        </w:rPr>
        <w:t>. zm.).</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Ponadto należy mieć na uwadze, że obowiązki określone w art. 119a ust. 1 i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(badania jakościowe, powiadomienie o wprowadzeniu do obrotu) ciążą na podmiocie odpowiedzialnym. Natomiast w przypadku produktów leczniczych będących przedmiotem importu równoległego, które uzyskały pozwolenie na import równoległy, obowiązek w zakresie poinformowania Głównego Inspektora Farmaceutycznego o przewidywanym terminie wprowadzenia produktu leczniczego do obrotu na terytorium Rzeczypospolitej Polskiej ciąży na podmiocie uprawnionym do importu równoległego (por. art. 21a ust. 8a pkt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Jednocześnie nie wydaje się zasadne kierowanie produktów </w:t>
      </w:r>
      <w:proofErr w:type="spellStart"/>
      <w:r w:rsidRPr="005D66E0">
        <w:rPr>
          <w:rFonts w:ascii="Times New Roman" w:hAnsi="Times New Roman" w:cs="Times New Roman"/>
          <w:szCs w:val="24"/>
        </w:rPr>
        <w:t>radiofarmaceutycznych</w:t>
      </w:r>
      <w:proofErr w:type="spellEnd"/>
      <w:r w:rsidRPr="005D66E0">
        <w:rPr>
          <w:rFonts w:ascii="Times New Roman" w:hAnsi="Times New Roman" w:cs="Times New Roman"/>
          <w:szCs w:val="24"/>
        </w:rPr>
        <w:t>, gazów medycznych oraz produktów leczniczych</w:t>
      </w:r>
      <w:r w:rsidR="008B7CDB">
        <w:rPr>
          <w:rFonts w:ascii="Times New Roman" w:hAnsi="Times New Roman" w:cs="Times New Roman"/>
          <w:szCs w:val="24"/>
        </w:rPr>
        <w:t>,</w:t>
      </w:r>
      <w:r w:rsidRPr="005D66E0">
        <w:rPr>
          <w:rFonts w:ascii="Times New Roman" w:hAnsi="Times New Roman" w:cs="Times New Roman"/>
          <w:szCs w:val="24"/>
        </w:rPr>
        <w:t xml:space="preserve"> wymienionych w art. 65 ust. 4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r w:rsidR="008B7CDB">
        <w:rPr>
          <w:rFonts w:ascii="Times New Roman" w:hAnsi="Times New Roman" w:cs="Times New Roman"/>
          <w:szCs w:val="24"/>
        </w:rPr>
        <w:t>,</w:t>
      </w:r>
      <w:r w:rsidRPr="005D66E0">
        <w:rPr>
          <w:rFonts w:ascii="Times New Roman" w:hAnsi="Times New Roman" w:cs="Times New Roman"/>
          <w:szCs w:val="24"/>
        </w:rPr>
        <w:t xml:space="preserve"> do badań jakościowych.</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Do badań jakościowych produktów </w:t>
      </w:r>
      <w:proofErr w:type="spellStart"/>
      <w:r w:rsidRPr="005D66E0">
        <w:rPr>
          <w:rFonts w:ascii="Times New Roman" w:hAnsi="Times New Roman" w:cs="Times New Roman"/>
          <w:szCs w:val="24"/>
        </w:rPr>
        <w:t>radiofarmaceutycznych</w:t>
      </w:r>
      <w:proofErr w:type="spellEnd"/>
      <w:r w:rsidRPr="005D66E0">
        <w:rPr>
          <w:rFonts w:ascii="Times New Roman" w:hAnsi="Times New Roman" w:cs="Times New Roman"/>
          <w:szCs w:val="24"/>
        </w:rPr>
        <w:t xml:space="preserve"> i gazów medycznych niezbędne jest specjalistyczne wyposażenie i instalacje oraz odpowiednio zabezpieczone pomieszczenia.</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Jednostki, o których mowa w art. 22 ust.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nie posiadają tego typu rozwiązań, tym samym nie byłyby w stanie przeprowadzić badań tych produktów. Ponadto, w przypadku produktów </w:t>
      </w:r>
      <w:proofErr w:type="spellStart"/>
      <w:r w:rsidRPr="005D66E0">
        <w:rPr>
          <w:rFonts w:ascii="Times New Roman" w:hAnsi="Times New Roman" w:cs="Times New Roman"/>
          <w:szCs w:val="24"/>
        </w:rPr>
        <w:t>radiofarmaceutycznych</w:t>
      </w:r>
      <w:proofErr w:type="spellEnd"/>
      <w:r w:rsidR="00F9471D">
        <w:rPr>
          <w:rFonts w:ascii="Times New Roman" w:hAnsi="Times New Roman" w:cs="Times New Roman"/>
          <w:szCs w:val="24"/>
        </w:rPr>
        <w:t>,</w:t>
      </w:r>
      <w:r w:rsidRPr="005D66E0">
        <w:rPr>
          <w:rFonts w:ascii="Times New Roman" w:hAnsi="Times New Roman" w:cs="Times New Roman"/>
          <w:szCs w:val="24"/>
        </w:rPr>
        <w:t xml:space="preserve"> należy brać pod uwagę ich krótki okres trwałości uniemożliwiający przeprowadzenie badań w jednostce wymienionej powyżej.</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lastRenderedPageBreak/>
        <w:t xml:space="preserve">Natomiast w przypadku produktów leczniczych wymienionych w art. 65 ust. 4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nie ma konieczności prowadzenia badań po pierwszym wprowadzeniu do obrotu, ponieważ każda seria tych produktów podlega kontroli seryjnej wstępnej, którą wykonują instytuty badawcze oraz laboratoria kontroli jakości leków przed każdym wprowadzeniem do obrotu.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Biorąc pod uwagę powyższe, zaproponowano nowe brzmienie art. 119a ust. 1 i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aby jednoznacznie wskazać, że powiadomienie o wprowadzeniu produktu leczniczego po raz pierwszy do obrotu na terenie Rzeczypospolitej Polskiej i badania jakościowe, dotyczą produktu określonego w pozwoleniu, o którym mowa w art. 3 ust.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a nie dotyczą produktów </w:t>
      </w:r>
      <w:proofErr w:type="spellStart"/>
      <w:r w:rsidRPr="005D66E0">
        <w:rPr>
          <w:rFonts w:ascii="Times New Roman" w:hAnsi="Times New Roman" w:cs="Times New Roman"/>
          <w:szCs w:val="24"/>
        </w:rPr>
        <w:t>radiofarmaceutycznych</w:t>
      </w:r>
      <w:proofErr w:type="spellEnd"/>
      <w:r w:rsidRPr="005D66E0">
        <w:rPr>
          <w:rFonts w:ascii="Times New Roman" w:hAnsi="Times New Roman" w:cs="Times New Roman"/>
          <w:szCs w:val="24"/>
        </w:rPr>
        <w:t xml:space="preserve">, gazów medycznych oraz produktów leczniczych, o których mowa w art. 3 ust. 2 i art. 65 ust. 4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Jednocześnie doprecyzowano, że obowiązek przekazywania informacji o wprowadzeniu produktu leczniczego po raz pierwszy do obrotu na terenie Rzeczypospolitej Polskiej powinien być wykonany niezwłocznie oraz obejmować podanie daty takiego wprowadzenia do obrotu.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W projektowanym art. 119a ust. 3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wskazano termin na przekazanie próbki produktu leczniczego do badań jakościowych. Jednocześnie z uwagi na fakt, że wiele próbek wymaga dodatkowej dokumentacji oraz materiałów niezbędnych do przeprowadzenia badania jakościowego produktu leczniczego przewidziano, że podmiot odpowiedzialny będzie obowiązany do ich dostarczenia.</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Dodano również możliwość przekazywania próbek, dokumentacji i materiałów niezbędnych do przeprowadzenia badania jakościowego produktu leczniczego również za pośrednictwem hurtowni farmaceutycznej wskazanej przez podmiot odpowiedzialny</w:t>
      </w:r>
      <w:r w:rsidR="00F9471D">
        <w:rPr>
          <w:rFonts w:ascii="Times New Roman" w:hAnsi="Times New Roman" w:cs="Times New Roman"/>
          <w:szCs w:val="24"/>
        </w:rPr>
        <w:t>,</w:t>
      </w:r>
      <w:r w:rsidRPr="005D66E0">
        <w:rPr>
          <w:rFonts w:ascii="Times New Roman" w:hAnsi="Times New Roman" w:cs="Times New Roman"/>
          <w:szCs w:val="24"/>
        </w:rPr>
        <w:t xml:space="preserve"> zgodnie z art. 77a ust.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r w:rsidR="00F9471D">
        <w:rPr>
          <w:rFonts w:ascii="Times New Roman" w:hAnsi="Times New Roman" w:cs="Times New Roman"/>
          <w:szCs w:val="24"/>
        </w:rPr>
        <w:t>,</w:t>
      </w:r>
      <w:r w:rsidRPr="005D66E0">
        <w:rPr>
          <w:rFonts w:ascii="Times New Roman" w:hAnsi="Times New Roman" w:cs="Times New Roman"/>
          <w:szCs w:val="24"/>
        </w:rPr>
        <w:t xml:space="preserve"> wychodząc naprzeciw postulatowi Krajowych Producentów Leków zrzeszonych w</w:t>
      </w:r>
      <w:r w:rsidR="00D151BC">
        <w:rPr>
          <w:rFonts w:ascii="Times New Roman" w:hAnsi="Times New Roman" w:cs="Times New Roman"/>
          <w:szCs w:val="24"/>
        </w:rPr>
        <w:t> </w:t>
      </w:r>
      <w:r w:rsidRPr="005D66E0">
        <w:rPr>
          <w:rFonts w:ascii="Times New Roman" w:hAnsi="Times New Roman" w:cs="Times New Roman"/>
          <w:szCs w:val="24"/>
        </w:rPr>
        <w:t>Polskim Związku Pracodawców Przemysłu Farmaceutycznego, którzy w piśmie z dnia 11</w:t>
      </w:r>
      <w:r w:rsidR="00D151BC">
        <w:rPr>
          <w:rFonts w:ascii="Times New Roman" w:hAnsi="Times New Roman" w:cs="Times New Roman"/>
          <w:szCs w:val="24"/>
        </w:rPr>
        <w:t> </w:t>
      </w:r>
      <w:r w:rsidRPr="005D66E0">
        <w:rPr>
          <w:rFonts w:ascii="Times New Roman" w:hAnsi="Times New Roman" w:cs="Times New Roman"/>
          <w:szCs w:val="24"/>
        </w:rPr>
        <w:t xml:space="preserve">maja 2021 r., wskazali, że: „Istotny praktyczny problem stanowi kwestionowanie przez GIF wysyłki próbek przekazanych do badań analitycznych na podstawie art. 119a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przez same hurtownie, a nie podmiot odpowiedzialny. Problem ten pojawia się w sytuacji, kiedy podmiot odpowiedzialny nie prowadzi sprzedaży i fizycznie nie jest w posiadaniu produktu. Proponowanym przez Związek rozwiązaniem, jest podjęcie działań, które umożliwią hurtowniom przesyłanie do NIL próbek do badań analitycznych pierwszej wprowadzonej do obrotu serii leku, w szczególności w przypadkach gdy hurtownia działa z upoważnienia </w:t>
      </w:r>
      <w:r w:rsidRPr="005D66E0">
        <w:rPr>
          <w:rFonts w:ascii="Times New Roman" w:hAnsi="Times New Roman" w:cs="Times New Roman"/>
          <w:szCs w:val="24"/>
        </w:rPr>
        <w:br/>
        <w:t>MAH-a. Powyższa zmiana nie wpływa na realizację głównego celu, jakim jest bezpieczeństwo obrotu produktami leczniczymi.</w:t>
      </w:r>
      <w:r>
        <w:rPr>
          <w:rFonts w:ascii="Times New Roman" w:hAnsi="Times New Roman" w:cs="Times New Roman"/>
          <w:szCs w:val="24"/>
        </w:rPr>
        <w:t>”</w:t>
      </w:r>
      <w:r w:rsidRPr="005D66E0">
        <w:rPr>
          <w:rFonts w:ascii="Times New Roman" w:hAnsi="Times New Roman" w:cs="Times New Roman"/>
          <w:szCs w:val="24"/>
        </w:rPr>
        <w:t>.</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lastRenderedPageBreak/>
        <w:t xml:space="preserve">Projektowany art. 119a ust. 4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ma na celu dostarczenie Głównemu Inspektorowi Farmaceutycznemu wiedzy o realizacji lub braku realizacji wydanej przez niego decyzji o</w:t>
      </w:r>
      <w:r w:rsidR="00D151BC">
        <w:rPr>
          <w:rFonts w:ascii="Times New Roman" w:hAnsi="Times New Roman" w:cs="Times New Roman"/>
          <w:szCs w:val="24"/>
        </w:rPr>
        <w:t> </w:t>
      </w:r>
      <w:r w:rsidRPr="005D66E0">
        <w:rPr>
          <w:rFonts w:ascii="Times New Roman" w:hAnsi="Times New Roman" w:cs="Times New Roman"/>
          <w:szCs w:val="24"/>
        </w:rPr>
        <w:t xml:space="preserve">skierowaniu produktu leczniczego do badań. Przewidziano, że jednostka, o której mowa </w:t>
      </w:r>
      <w:r w:rsidR="00415203" w:rsidRPr="005D66E0">
        <w:rPr>
          <w:rFonts w:ascii="Times New Roman" w:hAnsi="Times New Roman" w:cs="Times New Roman"/>
          <w:szCs w:val="24"/>
        </w:rPr>
        <w:t>w</w:t>
      </w:r>
      <w:r w:rsidR="00415203">
        <w:rPr>
          <w:rFonts w:ascii="Times New Roman" w:hAnsi="Times New Roman" w:cs="Times New Roman"/>
          <w:szCs w:val="24"/>
        </w:rPr>
        <w:t> </w:t>
      </w:r>
      <w:r w:rsidRPr="005D66E0">
        <w:rPr>
          <w:rFonts w:ascii="Times New Roman" w:hAnsi="Times New Roman" w:cs="Times New Roman"/>
          <w:szCs w:val="24"/>
        </w:rPr>
        <w:t xml:space="preserve">art. 22 ust.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która otrzymała próbkę, dokumentację i materiały niezbędne do przeprowadzenia badania jakościowego produktu leczniczego, niezwłocznie powiadamia Głównego Inspektora Farmaceutycznego o dacie otrzymania próbki, dokumentacji i</w:t>
      </w:r>
      <w:r w:rsidR="00D151BC">
        <w:rPr>
          <w:rFonts w:ascii="Times New Roman" w:hAnsi="Times New Roman" w:cs="Times New Roman"/>
          <w:szCs w:val="24"/>
        </w:rPr>
        <w:t> </w:t>
      </w:r>
      <w:r w:rsidRPr="005D66E0">
        <w:rPr>
          <w:rFonts w:ascii="Times New Roman" w:hAnsi="Times New Roman" w:cs="Times New Roman"/>
          <w:szCs w:val="24"/>
        </w:rPr>
        <w:t>materiałów. Jednocześnie określono termin na przekazanie do Głównego Inspektora Farmaceutycznego wyniku przeprowadzonego badania jakościowego produktu leczniczego.</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Na podstawie dotychczasowych doświadczeń zaproponowano, że wynik badania jakościowego produktu leczniczego jednostki, o których mowa w art. 22 ust.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przekazują do Głównego Inspektora Farmaceutycznego nie później niż w terminie 90 dni od dnia otrzymania próbki wraz z dokumentacją i materiałami niezbędnymi do przeprowadzenia badania jakościowego tego produktu.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Proponowane brzmienie art. 119a ust. 5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uwzględnia realne możliwości przeprowadzenia badań jakościowych produktu leczniczego przez jednostki, o których mowa w art. 22 ust.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Przewidziano, że w przypadku gdy dane laboratorium ze względów technicznych nie może przeprowadzić badania jakościowego produktu leczniczego to przekazuje próbkę wraz z</w:t>
      </w:r>
      <w:r w:rsidR="00D151BC">
        <w:rPr>
          <w:rFonts w:ascii="Times New Roman" w:hAnsi="Times New Roman" w:cs="Times New Roman"/>
          <w:szCs w:val="24"/>
        </w:rPr>
        <w:t> </w:t>
      </w:r>
      <w:r w:rsidRPr="005D66E0">
        <w:rPr>
          <w:rFonts w:ascii="Times New Roman" w:hAnsi="Times New Roman" w:cs="Times New Roman"/>
          <w:szCs w:val="24"/>
        </w:rPr>
        <w:t xml:space="preserve">dokumentacją i materiałami niezbędnymi do przeprowadzenia badania jakościowego produktu do jednostki mającej status Państwowego Laboratorium Kontroli Produktów Leczniczych (OMCL – </w:t>
      </w:r>
      <w:proofErr w:type="spellStart"/>
      <w:r w:rsidRPr="005D66E0">
        <w:rPr>
          <w:rFonts w:ascii="Times New Roman" w:hAnsi="Times New Roman" w:cs="Times New Roman"/>
          <w:szCs w:val="24"/>
        </w:rPr>
        <w:t>Official</w:t>
      </w:r>
      <w:proofErr w:type="spellEnd"/>
      <w:r w:rsidRPr="005D66E0">
        <w:rPr>
          <w:rFonts w:ascii="Times New Roman" w:hAnsi="Times New Roman" w:cs="Times New Roman"/>
          <w:szCs w:val="24"/>
        </w:rPr>
        <w:t xml:space="preserve"> </w:t>
      </w:r>
      <w:proofErr w:type="spellStart"/>
      <w:r w:rsidRPr="005D66E0">
        <w:rPr>
          <w:rFonts w:ascii="Times New Roman" w:hAnsi="Times New Roman" w:cs="Times New Roman"/>
          <w:szCs w:val="24"/>
        </w:rPr>
        <w:t>Medicines</w:t>
      </w:r>
      <w:proofErr w:type="spellEnd"/>
      <w:r w:rsidRPr="005D66E0">
        <w:rPr>
          <w:rFonts w:ascii="Times New Roman" w:hAnsi="Times New Roman" w:cs="Times New Roman"/>
          <w:szCs w:val="24"/>
        </w:rPr>
        <w:t xml:space="preserve"> Control </w:t>
      </w:r>
      <w:proofErr w:type="spellStart"/>
      <w:r w:rsidRPr="005D66E0">
        <w:rPr>
          <w:rFonts w:ascii="Times New Roman" w:hAnsi="Times New Roman" w:cs="Times New Roman"/>
          <w:szCs w:val="24"/>
        </w:rPr>
        <w:t>Laboratory</w:t>
      </w:r>
      <w:proofErr w:type="spellEnd"/>
      <w:r w:rsidRPr="005D66E0">
        <w:rPr>
          <w:rFonts w:ascii="Times New Roman" w:hAnsi="Times New Roman" w:cs="Times New Roman"/>
          <w:szCs w:val="24"/>
        </w:rPr>
        <w:t>) w innym państwie członkowskim Unii Europejskiej lub państwie członkowskim Europejskiego Porozumienia o</w:t>
      </w:r>
      <w:r w:rsidR="00D151BC">
        <w:rPr>
          <w:rFonts w:ascii="Times New Roman" w:hAnsi="Times New Roman" w:cs="Times New Roman"/>
          <w:szCs w:val="24"/>
        </w:rPr>
        <w:t> </w:t>
      </w:r>
      <w:r w:rsidRPr="005D66E0">
        <w:rPr>
          <w:rFonts w:ascii="Times New Roman" w:hAnsi="Times New Roman" w:cs="Times New Roman"/>
          <w:szCs w:val="24"/>
        </w:rPr>
        <w:t>Wolnym Handlu (EFTA) – strony umowy o Europejskim Obszarze Gospodarczym, w celu przeprowadzenia badania jakościowego produktu leczniczego.</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W takim przypadku jednostka, o której mowa w art. 22 ust. 2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przekazuje do Głównego Inspektora Farmaceutycznego wynik badania jakościowego produktu leczniczego nie później niż w terminie 120 dni od dnia otrzymania próbki wraz z dokumentacją i materiałami niezbędnymi do przeprowadzenia badania jakościowego tego produktu.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Aktualnie art. 119a ust. 2a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przewiduje sankcję wyłącznie za brak powiadomienia Głównego Inspektora Farmaceutycznego o wprowadzeniu produktu leczniczego do obrotu w</w:t>
      </w:r>
      <w:r w:rsidR="00D151BC">
        <w:rPr>
          <w:rFonts w:ascii="Times New Roman" w:hAnsi="Times New Roman" w:cs="Times New Roman"/>
          <w:szCs w:val="24"/>
        </w:rPr>
        <w:t> </w:t>
      </w:r>
      <w:r w:rsidRPr="005D66E0">
        <w:rPr>
          <w:rFonts w:ascii="Times New Roman" w:hAnsi="Times New Roman" w:cs="Times New Roman"/>
          <w:szCs w:val="24"/>
        </w:rPr>
        <w:t>terminie 30 dni od dnia wprowadzenia produktu leczniczego do obrotu. Sankcją tą jest wycofanie produktu leczniczego z obrotu.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lastRenderedPageBreak/>
        <w:t>Z danych historycznych wynika, że w wielu przypadkach termin 30 dni od pierwszego wprowadzenia do obrotu był przekraczany, a jednocześnie nie było żadnej sankcji za niezrealizowanie lub nieterminową realizację decyzji wydanej przez Głównego Inspektora Farmaceutycznego o skierowaniu produktu leczniczego do badań jakościowych.</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Z tego względu w art. 119a ust. 6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przewidziano, że w przypadku, gdy podmiot odpowiedzialny nie wykona decyzji Głównego Inspektora Farmaceutycznego o skierowaniu produktu leczniczego do badań jakościowych w terminie 30 dni od dnia, w którym decyzja o</w:t>
      </w:r>
      <w:r w:rsidR="00D151BC">
        <w:rPr>
          <w:rFonts w:ascii="Times New Roman" w:hAnsi="Times New Roman" w:cs="Times New Roman"/>
          <w:szCs w:val="24"/>
        </w:rPr>
        <w:t> </w:t>
      </w:r>
      <w:r w:rsidRPr="005D66E0">
        <w:rPr>
          <w:rFonts w:ascii="Times New Roman" w:hAnsi="Times New Roman" w:cs="Times New Roman"/>
          <w:szCs w:val="24"/>
        </w:rPr>
        <w:t xml:space="preserve">nałożeniu kary pieniężnej, o której mowa w art. 127cba ust. 1 pkt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stała się ostateczna Główny Inspektor Farmaceutyczny może wydać decyzję o wycofaniu produktu leczniczego z</w:t>
      </w:r>
      <w:r w:rsidR="00D151BC">
        <w:rPr>
          <w:rFonts w:ascii="Times New Roman" w:hAnsi="Times New Roman" w:cs="Times New Roman"/>
          <w:szCs w:val="24"/>
        </w:rPr>
        <w:t> </w:t>
      </w:r>
      <w:r w:rsidRPr="005D66E0">
        <w:rPr>
          <w:rFonts w:ascii="Times New Roman" w:hAnsi="Times New Roman" w:cs="Times New Roman"/>
          <w:szCs w:val="24"/>
        </w:rPr>
        <w:t>obrotu.</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W celu umożliwienia Głównemu Inspektorowi Farmaceutycznemu egzekwowania obowiązków wynikających z art. 119a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zaproponowano wprowadzenie przepisów nakładających kary pieniężne – art. 127cba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Karze pieniężnej w wysokości od 10 000 zł do 100 000 zł będzie podlegał podmiot odpowiedzialny, który wbrew przepisowi art. 119a ust.1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nie zrealizował obowiązku powiadomienia o wprowadzeniu do obrotu produktu leczniczego lub nieterminowo zrealizował ten obowiązek. Natomiast podmiot odpowiedzialny, który wbrew przepisowi art. 119a ust. 3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nie przekazał próbki produktu leczniczego wraz dokumentacją i materiałami niezbędnymi do przeprowadzenia badania jakościowego produktu leczniczego lub nieterminowo zrealizował ten obowiązek będzie podlegał karze pieniężnej w wysokości od 50</w:t>
      </w:r>
      <w:r w:rsidR="00D151BC">
        <w:rPr>
          <w:rFonts w:ascii="Times New Roman" w:hAnsi="Times New Roman" w:cs="Times New Roman"/>
          <w:szCs w:val="24"/>
        </w:rPr>
        <w:t> </w:t>
      </w:r>
      <w:r w:rsidRPr="005D66E0">
        <w:rPr>
          <w:rFonts w:ascii="Times New Roman" w:hAnsi="Times New Roman" w:cs="Times New Roman"/>
          <w:szCs w:val="24"/>
        </w:rPr>
        <w:t>000 zł do 300 000 zł.</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Zmianą wynikową dodania art. 127cba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 xml:space="preserve">. jest zmiana art. 127d ust. 1 </w:t>
      </w:r>
      <w:proofErr w:type="spellStart"/>
      <w:r w:rsidRPr="005D66E0">
        <w:rPr>
          <w:rFonts w:ascii="Times New Roman" w:hAnsi="Times New Roman" w:cs="Times New Roman"/>
          <w:szCs w:val="24"/>
        </w:rPr>
        <w:t>u.p.f</w:t>
      </w:r>
      <w:proofErr w:type="spellEnd"/>
      <w:r w:rsidRPr="005D66E0">
        <w:rPr>
          <w:rFonts w:ascii="Times New Roman" w:hAnsi="Times New Roman" w:cs="Times New Roman"/>
          <w:szCs w:val="24"/>
        </w:rPr>
        <w:t>.</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Proponuje się, aby do sporządzenia oceny etycznej badań klinicznych składanych od dnia 31</w:t>
      </w:r>
      <w:r w:rsidR="00D151BC">
        <w:rPr>
          <w:rFonts w:ascii="Times New Roman" w:hAnsi="Times New Roman" w:cs="Times New Roman"/>
          <w:szCs w:val="24"/>
        </w:rPr>
        <w:t> </w:t>
      </w:r>
      <w:r w:rsidRPr="005D66E0">
        <w:rPr>
          <w:rFonts w:ascii="Times New Roman" w:hAnsi="Times New Roman" w:cs="Times New Roman"/>
          <w:szCs w:val="24"/>
        </w:rPr>
        <w:t>stycznia 2022 r. w trybie przepisów rozporządzenia 536/2014, stosować przepisy art. 29 ust.</w:t>
      </w:r>
      <w:r w:rsidR="00D151BC">
        <w:rPr>
          <w:rFonts w:ascii="Times New Roman" w:hAnsi="Times New Roman" w:cs="Times New Roman"/>
          <w:szCs w:val="24"/>
        </w:rPr>
        <w:t> </w:t>
      </w:r>
      <w:r w:rsidRPr="005D66E0">
        <w:rPr>
          <w:rFonts w:ascii="Times New Roman" w:hAnsi="Times New Roman" w:cs="Times New Roman"/>
          <w:szCs w:val="24"/>
        </w:rPr>
        <w:t>2a–2c ustawy zmienianej w art. 2, w brzmieniu nadanym niniejszą ustawą, oraz art. 2 ust.</w:t>
      </w:r>
      <w:r w:rsidR="00D151BC">
        <w:rPr>
          <w:rFonts w:ascii="Times New Roman" w:hAnsi="Times New Roman" w:cs="Times New Roman"/>
          <w:szCs w:val="24"/>
        </w:rPr>
        <w:t> </w:t>
      </w:r>
      <w:r w:rsidRPr="005D66E0">
        <w:rPr>
          <w:rFonts w:ascii="Times New Roman" w:hAnsi="Times New Roman" w:cs="Times New Roman"/>
          <w:szCs w:val="24"/>
        </w:rPr>
        <w:t xml:space="preserve">1 pkt 4 ustawy zmienianej w art. 5, w brzmieniu nadanym niniejszą ustawą. </w:t>
      </w:r>
    </w:p>
    <w:p w:rsidR="008E2556" w:rsidRPr="005D66E0" w:rsidRDefault="008E2556" w:rsidP="005D66E0">
      <w:pPr>
        <w:pStyle w:val="ARTartustawynprozporzdzenia"/>
        <w:ind w:firstLine="0"/>
        <w:rPr>
          <w:rFonts w:ascii="Times New Roman" w:hAnsi="Times New Roman" w:cs="Times New Roman"/>
          <w:szCs w:val="24"/>
        </w:rPr>
      </w:pPr>
      <w:r w:rsidRPr="005D66E0">
        <w:rPr>
          <w:rFonts w:ascii="Times New Roman" w:hAnsi="Times New Roman" w:cs="Times New Roman"/>
          <w:szCs w:val="24"/>
        </w:rPr>
        <w:t xml:space="preserve">Zakłada się, że projektowana ustawa wejdzie w życie po upływie 14 dni od dnia ogłoszenia. </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 xml:space="preserve">Tak określony termin </w:t>
      </w:r>
      <w:r w:rsidRPr="005D66E0">
        <w:rPr>
          <w:rStyle w:val="Kkursywa"/>
          <w:rFonts w:ascii="Times New Roman" w:hAnsi="Times New Roman" w:cs="Times New Roman"/>
          <w:szCs w:val="24"/>
        </w:rPr>
        <w:t>vacatio legis</w:t>
      </w:r>
      <w:r w:rsidRPr="005D66E0">
        <w:rPr>
          <w:rFonts w:ascii="Times New Roman" w:hAnsi="Times New Roman" w:cs="Times New Roman"/>
          <w:szCs w:val="24"/>
        </w:rPr>
        <w:t xml:space="preserve"> jest wystarczający do zrealizowania rozstrzygnięcia zawartego w art. 1 pkt 4 projektu ustawy (nowe brzmienie art. 49 ust. 1 ustawy), polegającego na zmianie organu prowadzącego rejestr obywateli państw członkowskich Unii Europejskiej wykonujących na terytorium Rzeczypospolitej Polskiej czasowo i okazjonalnie zawód </w:t>
      </w:r>
      <w:r w:rsidRPr="005D66E0">
        <w:rPr>
          <w:rFonts w:ascii="Times New Roman" w:hAnsi="Times New Roman" w:cs="Times New Roman"/>
          <w:szCs w:val="24"/>
        </w:rPr>
        <w:lastRenderedPageBreak/>
        <w:t xml:space="preserve">pielęgniarki lub położnej (tj. z okręgowej rady pielęgniarek i położnych na Naczelną Radę Pielęgniarek i Położnych). </w:t>
      </w:r>
      <w:bookmarkStart w:id="4" w:name="_Hlk68784577"/>
      <w:r w:rsidRPr="005D66E0">
        <w:rPr>
          <w:rFonts w:ascii="Times New Roman" w:hAnsi="Times New Roman" w:cs="Times New Roman"/>
          <w:szCs w:val="24"/>
        </w:rPr>
        <w:t xml:space="preserve">Ponadto, mając na uwadze, że państwa członkowskie Unii Europejskiej były obowiązane wdrożyć dyrektywę, w brzmieniu nadanym dyrektywą 2013/55/UE, do swojego prawa krajowego do dnia 18 stycznia 2016 r., konieczne jest implementowanie stosownych regulacji określonych tą dyrektywą, sprecyzowanych w uzasadnionej opinii Komisji Europejskiej, do przepisów prawa krajowego w możliwie szybkim terminie, tak, aby uniknąć przedłożenia przedmiotowej sprawy przed Trybunał Sprawiedliwości Unii Europejskiej. Proponowana </w:t>
      </w:r>
      <w:r w:rsidRPr="005D66E0">
        <w:rPr>
          <w:rStyle w:val="Kkursywa"/>
          <w:rFonts w:ascii="Times New Roman" w:hAnsi="Times New Roman" w:cs="Times New Roman"/>
          <w:szCs w:val="24"/>
        </w:rPr>
        <w:t>vacatio legis</w:t>
      </w:r>
      <w:r w:rsidRPr="005D66E0">
        <w:rPr>
          <w:rFonts w:ascii="Times New Roman" w:hAnsi="Times New Roman" w:cs="Times New Roman"/>
          <w:szCs w:val="24"/>
        </w:rPr>
        <w:t xml:space="preserve"> wychodzi zatem naprzeciw potrzebie niezwłocznego przyjęcia tych przepisów</w:t>
      </w:r>
      <w:bookmarkEnd w:id="4"/>
      <w:r w:rsidRPr="005D66E0">
        <w:rPr>
          <w:rFonts w:ascii="Times New Roman" w:hAnsi="Times New Roman" w:cs="Times New Roman"/>
          <w:szCs w:val="24"/>
        </w:rPr>
        <w:t>. Projektowane przepisy, w tym w</w:t>
      </w:r>
      <w:r>
        <w:rPr>
          <w:rFonts w:ascii="Times New Roman" w:hAnsi="Times New Roman" w:cs="Times New Roman"/>
          <w:szCs w:val="24"/>
        </w:rPr>
        <w:t> </w:t>
      </w:r>
      <w:r w:rsidRPr="005D66E0">
        <w:rPr>
          <w:rFonts w:ascii="Times New Roman" w:hAnsi="Times New Roman" w:cs="Times New Roman"/>
          <w:szCs w:val="24"/>
        </w:rPr>
        <w:t>szczególności określone w art. 1 pkt 3 lit. b, wprowadzają rozwiązania, które nie generują potrzeby ustanawiania przepisów przejściowych.</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Projekt ustawy będzie miał wpływ na sektor mikro</w:t>
      </w:r>
      <w:r w:rsidR="003809A5">
        <w:rPr>
          <w:rFonts w:ascii="Times New Roman" w:hAnsi="Times New Roman" w:cs="Times New Roman"/>
          <w:szCs w:val="24"/>
        </w:rPr>
        <w:t>-</w:t>
      </w:r>
      <w:r w:rsidRPr="005D66E0">
        <w:rPr>
          <w:rFonts w:ascii="Times New Roman" w:hAnsi="Times New Roman" w:cs="Times New Roman"/>
          <w:szCs w:val="24"/>
        </w:rPr>
        <w:t>, małych i średnich przedsiębiorstw, w zakresie poprawy dostępności do wykwalifikowanej kadry medycznej mogącej świadczyć usługi zdrowotne, w tym finansowane ze środków publicznych oraz wzmocnienia mobilności pielęgniarek i położnych w Unii Europejskiej, co przełoży się na poprawę efektywności systemu opieki zdrowotnej oraz stanu zdrowia obywateli.</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Projekt ustawy nie zawiera przepisów technicznych i w związku z tym nie podlega procedurze notyfikacji w rozumieniu przepisów rozporządzenia Rady Ministrów z</w:t>
      </w:r>
      <w:r>
        <w:rPr>
          <w:rFonts w:ascii="Times New Roman" w:hAnsi="Times New Roman" w:cs="Times New Roman"/>
          <w:szCs w:val="24"/>
        </w:rPr>
        <w:t xml:space="preserve"> </w:t>
      </w:r>
      <w:r w:rsidRPr="005D66E0">
        <w:rPr>
          <w:rFonts w:ascii="Times New Roman" w:hAnsi="Times New Roman" w:cs="Times New Roman"/>
          <w:szCs w:val="24"/>
        </w:rPr>
        <w:t>dnia</w:t>
      </w:r>
      <w:r>
        <w:rPr>
          <w:rFonts w:ascii="Times New Roman" w:hAnsi="Times New Roman" w:cs="Times New Roman"/>
          <w:szCs w:val="24"/>
        </w:rPr>
        <w:t xml:space="preserve"> </w:t>
      </w:r>
      <w:r w:rsidRPr="005D66E0">
        <w:rPr>
          <w:rFonts w:ascii="Times New Roman" w:hAnsi="Times New Roman" w:cs="Times New Roman"/>
          <w:szCs w:val="24"/>
        </w:rPr>
        <w:t>23</w:t>
      </w:r>
      <w:r>
        <w:rPr>
          <w:rFonts w:ascii="Times New Roman" w:hAnsi="Times New Roman" w:cs="Times New Roman"/>
          <w:szCs w:val="24"/>
        </w:rPr>
        <w:t xml:space="preserve"> </w:t>
      </w:r>
      <w:r w:rsidRPr="005D66E0">
        <w:rPr>
          <w:rFonts w:ascii="Times New Roman" w:hAnsi="Times New Roman" w:cs="Times New Roman"/>
          <w:szCs w:val="24"/>
        </w:rPr>
        <w:t>grudnia 2002 r. w sprawie sposobu funkcjonowania krajowego systemu notyfikacji norm</w:t>
      </w:r>
      <w:r>
        <w:rPr>
          <w:rFonts w:ascii="Times New Roman" w:hAnsi="Times New Roman" w:cs="Times New Roman"/>
          <w:szCs w:val="24"/>
        </w:rPr>
        <w:t xml:space="preserve"> </w:t>
      </w:r>
      <w:r w:rsidRPr="005D66E0">
        <w:rPr>
          <w:rFonts w:ascii="Times New Roman" w:hAnsi="Times New Roman" w:cs="Times New Roman"/>
          <w:szCs w:val="24"/>
        </w:rPr>
        <w:t>i aktów prawnych (Dz. U. poz. 2039 oraz z 2004 r. poz. 597).</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Projektowana regulacja jest zgodna z prawem Unii Europejskiej.</w:t>
      </w:r>
    </w:p>
    <w:p w:rsidR="008E2556" w:rsidRPr="005D66E0" w:rsidRDefault="008E2556" w:rsidP="005D66E0">
      <w:pPr>
        <w:pStyle w:val="NIEARTTEKSTtekstnieartykuowanynppodstprawnarozplubpreambua"/>
        <w:ind w:firstLine="0"/>
        <w:rPr>
          <w:rFonts w:ascii="Times New Roman" w:hAnsi="Times New Roman" w:cs="Times New Roman"/>
          <w:szCs w:val="24"/>
        </w:rPr>
      </w:pPr>
      <w:r w:rsidRPr="005D66E0">
        <w:rPr>
          <w:rFonts w:ascii="Times New Roman" w:hAnsi="Times New Roman" w:cs="Times New Roman"/>
          <w:szCs w:val="24"/>
        </w:rPr>
        <w:t>Należy również wskazać, że art. 1 pkt 4 lit. a oraz c, art. 4 i art. 6 projektu ustawy nie są regulacjami dokonującymi wdrożenia prawa Unii Europejskiej.</w:t>
      </w:r>
    </w:p>
    <w:p w:rsidR="008E2556" w:rsidRPr="005D66E0" w:rsidRDefault="008E2556" w:rsidP="005D66E0">
      <w:pPr>
        <w:pStyle w:val="NIEARTTEKSTtekstnieartykuowanynppodstprawnarozplubpreambua"/>
        <w:ind w:firstLine="0"/>
        <w:rPr>
          <w:rFonts w:cs="Times New Roman"/>
          <w:szCs w:val="24"/>
        </w:rPr>
      </w:pPr>
      <w:r w:rsidRPr="005D66E0">
        <w:rPr>
          <w:rFonts w:ascii="Times New Roman" w:hAnsi="Times New Roman" w:cs="Times New Roman"/>
          <w:bCs w:val="0"/>
          <w:szCs w:val="24"/>
        </w:rPr>
        <w:t>Projekt nie wymagał przedstawienia właściwym organom i instytucjom Unii Europejskiej, w</w:t>
      </w:r>
      <w:r w:rsidR="00D151BC">
        <w:rPr>
          <w:rFonts w:ascii="Times New Roman" w:hAnsi="Times New Roman" w:cs="Times New Roman"/>
          <w:szCs w:val="24"/>
        </w:rPr>
        <w:t> </w:t>
      </w:r>
      <w:r w:rsidRPr="005D66E0">
        <w:rPr>
          <w:rFonts w:ascii="Times New Roman" w:hAnsi="Times New Roman" w:cs="Times New Roman"/>
          <w:bCs w:val="0"/>
          <w:szCs w:val="24"/>
        </w:rPr>
        <w:t xml:space="preserve">tym Europejskiemu Bankowi Centralnemu, w celu uzyskania opinii, dokonania powiadomienia, konsultacji albo uzgodnienia. </w:t>
      </w:r>
    </w:p>
    <w:p w:rsidR="008E70DC" w:rsidRPr="008E2556" w:rsidRDefault="008E2556" w:rsidP="005D66E0">
      <w:pPr>
        <w:spacing w:before="120"/>
        <w:jc w:val="both"/>
        <w:rPr>
          <w:rFonts w:cs="Times New Roman"/>
          <w:szCs w:val="24"/>
        </w:rPr>
      </w:pPr>
      <w:r w:rsidRPr="0040478B">
        <w:rPr>
          <w:rFonts w:cs="Times New Roman"/>
          <w:szCs w:val="24"/>
        </w:rPr>
        <w:t>Nie istnieją alternatywne środki w stosunku do projektowanej ustawy umożliwiające osiągni</w:t>
      </w:r>
      <w:r w:rsidR="003809A5">
        <w:rPr>
          <w:rFonts w:cs="Times New Roman"/>
          <w:szCs w:val="24"/>
        </w:rPr>
        <w:t>ę</w:t>
      </w:r>
      <w:r w:rsidRPr="0040478B">
        <w:rPr>
          <w:rFonts w:cs="Times New Roman"/>
          <w:szCs w:val="24"/>
        </w:rPr>
        <w:t>cie zamierzonego celu.</w:t>
      </w:r>
    </w:p>
    <w:sectPr w:rsidR="008E70DC" w:rsidRPr="008E2556" w:rsidSect="001A7F15">
      <w:headerReference w:type="default" r:id="rId6"/>
      <w:footerReference w:type="default" r:id="rId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89D" w:rsidRDefault="003E789D" w:rsidP="008E2556">
      <w:pPr>
        <w:spacing w:line="240" w:lineRule="auto"/>
      </w:pPr>
      <w:r>
        <w:separator/>
      </w:r>
    </w:p>
  </w:endnote>
  <w:endnote w:type="continuationSeparator" w:id="0">
    <w:p w:rsidR="003E789D" w:rsidRDefault="003E789D" w:rsidP="008E25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925994"/>
      <w:docPartObj>
        <w:docPartGallery w:val="Page Numbers (Bottom of Page)"/>
        <w:docPartUnique/>
      </w:docPartObj>
    </w:sdtPr>
    <w:sdtEndPr/>
    <w:sdtContent>
      <w:p w:rsidR="008E2556" w:rsidRDefault="008E2556" w:rsidP="005D66E0">
        <w:pPr>
          <w:pStyle w:val="Stopka"/>
          <w:jc w:val="center"/>
        </w:pPr>
        <w:r>
          <w:fldChar w:fldCharType="begin"/>
        </w:r>
        <w:r>
          <w:instrText>PAGE   \* MERGEFORMAT</w:instrText>
        </w:r>
        <w:r>
          <w:fldChar w:fldCharType="separate"/>
        </w:r>
        <w:r w:rsidR="00E62F2D">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89D" w:rsidRDefault="003E789D" w:rsidP="008E2556">
      <w:pPr>
        <w:spacing w:line="240" w:lineRule="auto"/>
      </w:pPr>
      <w:r>
        <w:separator/>
      </w:r>
    </w:p>
  </w:footnote>
  <w:footnote w:type="continuationSeparator" w:id="0">
    <w:p w:rsidR="003E789D" w:rsidRDefault="003E789D" w:rsidP="008E25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903" w:rsidRPr="00B371CC" w:rsidRDefault="00E62F2D" w:rsidP="00B371CC">
    <w:pPr>
      <w:pStyle w:val="Nagwek"/>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556"/>
    <w:rsid w:val="000260CC"/>
    <w:rsid w:val="000870FA"/>
    <w:rsid w:val="001921C6"/>
    <w:rsid w:val="003020C7"/>
    <w:rsid w:val="003809A5"/>
    <w:rsid w:val="003E789D"/>
    <w:rsid w:val="0040478B"/>
    <w:rsid w:val="00406357"/>
    <w:rsid w:val="00413100"/>
    <w:rsid w:val="00415203"/>
    <w:rsid w:val="00415B06"/>
    <w:rsid w:val="00494FE8"/>
    <w:rsid w:val="005D66E0"/>
    <w:rsid w:val="00681AB6"/>
    <w:rsid w:val="006B6678"/>
    <w:rsid w:val="00741C21"/>
    <w:rsid w:val="0084171A"/>
    <w:rsid w:val="008858C2"/>
    <w:rsid w:val="008B09AD"/>
    <w:rsid w:val="008B1617"/>
    <w:rsid w:val="008B7CDB"/>
    <w:rsid w:val="008E2556"/>
    <w:rsid w:val="008E70DC"/>
    <w:rsid w:val="00CC140C"/>
    <w:rsid w:val="00D151BC"/>
    <w:rsid w:val="00E4752C"/>
    <w:rsid w:val="00E62F2D"/>
    <w:rsid w:val="00F67DF2"/>
    <w:rsid w:val="00F9471D"/>
    <w:rsid w:val="00FF63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57A4F"/>
  <w15:chartTrackingRefBased/>
  <w15:docId w15:val="{D785E04A-43A4-47F9-BF18-D9664F7E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E2556"/>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8E255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8E2556"/>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8E255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E2556"/>
    <w:rPr>
      <w:bCs/>
    </w:rPr>
  </w:style>
  <w:style w:type="paragraph" w:customStyle="1" w:styleId="PKTpunkt">
    <w:name w:val="PKT – punkt"/>
    <w:uiPriority w:val="99"/>
    <w:qFormat/>
    <w:rsid w:val="008E2556"/>
    <w:pPr>
      <w:spacing w:after="0" w:line="360" w:lineRule="auto"/>
      <w:ind w:left="510" w:hanging="510"/>
      <w:jc w:val="both"/>
    </w:pPr>
    <w:rPr>
      <w:rFonts w:ascii="Times" w:eastAsiaTheme="minorEastAsia" w:hAnsi="Times" w:cs="Arial"/>
      <w:bCs/>
      <w:sz w:val="24"/>
      <w:szCs w:val="20"/>
      <w:lang w:eastAsia="pl-PL"/>
    </w:rPr>
  </w:style>
  <w:style w:type="paragraph" w:customStyle="1" w:styleId="ROZDZODDZOZNoznaczenierozdziauluboddziau">
    <w:name w:val="ROZDZ(ODDZ)_OZN – oznaczenie rozdziału lub oddziału"/>
    <w:next w:val="ARTartustawynprozporzdzenia"/>
    <w:uiPriority w:val="10"/>
    <w:qFormat/>
    <w:rsid w:val="008E2556"/>
    <w:pPr>
      <w:keepNext/>
      <w:suppressAutoHyphens/>
      <w:spacing w:before="120" w:after="0" w:line="360" w:lineRule="auto"/>
      <w:jc w:val="center"/>
    </w:pPr>
    <w:rPr>
      <w:rFonts w:ascii="Times" w:eastAsiaTheme="minorEastAsia" w:hAnsi="Times" w:cs="Arial"/>
      <w:bCs/>
      <w:kern w:val="24"/>
      <w:sz w:val="24"/>
      <w:szCs w:val="24"/>
      <w:lang w:eastAsia="pl-PL"/>
    </w:rPr>
  </w:style>
  <w:style w:type="character" w:customStyle="1" w:styleId="Ppogrubienie">
    <w:name w:val="_P_ – pogrubienie"/>
    <w:basedOn w:val="Domylnaczcionkaakapitu"/>
    <w:uiPriority w:val="1"/>
    <w:qFormat/>
    <w:rsid w:val="008E2556"/>
    <w:rPr>
      <w:b/>
    </w:rPr>
  </w:style>
  <w:style w:type="character" w:customStyle="1" w:styleId="Kkursywa">
    <w:name w:val="_K_ – kursywa"/>
    <w:basedOn w:val="Domylnaczcionkaakapitu"/>
    <w:uiPriority w:val="1"/>
    <w:qFormat/>
    <w:rsid w:val="008E2556"/>
    <w:rPr>
      <w:i/>
    </w:rPr>
  </w:style>
  <w:style w:type="paragraph" w:styleId="Stopka">
    <w:name w:val="footer"/>
    <w:basedOn w:val="Normalny"/>
    <w:link w:val="StopkaZnak"/>
    <w:uiPriority w:val="99"/>
    <w:unhideWhenUsed/>
    <w:rsid w:val="008E2556"/>
    <w:pPr>
      <w:tabs>
        <w:tab w:val="center" w:pos="4536"/>
        <w:tab w:val="right" w:pos="9072"/>
      </w:tabs>
      <w:spacing w:line="240" w:lineRule="auto"/>
    </w:pPr>
  </w:style>
  <w:style w:type="character" w:customStyle="1" w:styleId="StopkaZnak">
    <w:name w:val="Stopka Znak"/>
    <w:basedOn w:val="Domylnaczcionkaakapitu"/>
    <w:link w:val="Stopka"/>
    <w:uiPriority w:val="99"/>
    <w:rsid w:val="008E2556"/>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8E2556"/>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E2556"/>
    <w:rPr>
      <w:rFonts w:ascii="Segoe UI" w:eastAsiaTheme="minorEastAsia" w:hAnsi="Segoe UI" w:cs="Segoe UI"/>
      <w:sz w:val="18"/>
      <w:szCs w:val="18"/>
      <w:lang w:eastAsia="pl-PL"/>
    </w:rPr>
  </w:style>
  <w:style w:type="paragraph" w:styleId="Poprawka">
    <w:name w:val="Revision"/>
    <w:hidden/>
    <w:uiPriority w:val="99"/>
    <w:semiHidden/>
    <w:rsid w:val="0040478B"/>
    <w:pPr>
      <w:spacing w:after="0" w:line="240" w:lineRule="auto"/>
    </w:pPr>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17</Pages>
  <Words>6089</Words>
  <Characters>36534</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Bodych Dominika</dc:creator>
  <cp:keywords/>
  <dc:description/>
  <cp:lastModifiedBy>Rybkowska Bożena</cp:lastModifiedBy>
  <cp:revision>12</cp:revision>
  <dcterms:created xsi:type="dcterms:W3CDTF">2022-06-27T08:15:00Z</dcterms:created>
  <dcterms:modified xsi:type="dcterms:W3CDTF">2022-06-28T13:27:00Z</dcterms:modified>
</cp:coreProperties>
</file>