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2D69A0" w14:textId="77777777" w:rsidR="003D7316" w:rsidRPr="005B2709" w:rsidRDefault="003D7316" w:rsidP="003D7316">
      <w:pPr>
        <w:keepNext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bookmarkStart w:id="0" w:name="_GoBack"/>
      <w:bookmarkEnd w:id="0"/>
      <w:r w:rsidRPr="005B2709">
        <w:rPr>
          <w:rFonts w:ascii="Times New Roman" w:eastAsia="Times New Roman" w:hAnsi="Times New Roman" w:cs="Times New Roman"/>
          <w:b/>
          <w:bCs/>
          <w:caps/>
          <w:spacing w:val="54"/>
          <w:kern w:val="24"/>
          <w:sz w:val="24"/>
          <w:szCs w:val="24"/>
          <w:lang w:eastAsia="pl-PL"/>
        </w:rPr>
        <w:t>UZASADNIENIE</w:t>
      </w:r>
    </w:p>
    <w:p w14:paraId="2A39FA04" w14:textId="77777777" w:rsidR="00224B6A" w:rsidRDefault="00224B6A" w:rsidP="001D6CA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</w:p>
    <w:p w14:paraId="0D392B98" w14:textId="51BA79F2" w:rsidR="00D12604" w:rsidRPr="00DB7B79" w:rsidRDefault="00D12604" w:rsidP="001D6CA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DB7B79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Przedmiotem inicjatywy ustawodawczej Prezydenta Rzeczypospolitej Polskiej jest zmiana </w:t>
      </w:r>
      <w:r w:rsidRPr="00DB7B79">
        <w:rPr>
          <w:rFonts w:ascii="Times New Roman" w:eastAsia="Times New Roman" w:hAnsi="Times New Roman" w:cs="Times New Roman"/>
          <w:sz w:val="24"/>
          <w:szCs w:val="24"/>
        </w:rPr>
        <w:t xml:space="preserve">ustawy z dnia 30 sierpnia 2019 r. o Państwowej Komisji do spraw wyjaśniania przypadków czynności skierowanych przeciwko wolności seksualnej i obyczajności wobec małoletniego poniżej lat </w:t>
      </w:r>
      <w:r w:rsidR="00D739B2">
        <w:rPr>
          <w:rFonts w:ascii="Times New Roman" w:eastAsia="Times New Roman" w:hAnsi="Times New Roman" w:cs="Times New Roman"/>
          <w:sz w:val="24"/>
          <w:szCs w:val="24"/>
        </w:rPr>
        <w:t>15 (Dz. U. z 2020 r. poz. 2219), zwanej dalej „ustawą”</w:t>
      </w:r>
      <w:r w:rsidR="00E41A10">
        <w:rPr>
          <w:rFonts w:ascii="Times New Roman" w:eastAsia="Times New Roman" w:hAnsi="Times New Roman" w:cs="Times New Roman"/>
          <w:sz w:val="24"/>
          <w:szCs w:val="24"/>
        </w:rPr>
        <w:t xml:space="preserve"> oraz niektórych innych ustaw</w:t>
      </w:r>
      <w:r w:rsidR="00D739B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4A2C46" w14:textId="77777777" w:rsidR="001D6CA9" w:rsidRPr="00DB7B79" w:rsidRDefault="001D6CA9" w:rsidP="00796B3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</w:p>
    <w:p w14:paraId="69917343" w14:textId="61E188D5" w:rsidR="001D6CA9" w:rsidRPr="00796B35" w:rsidRDefault="00C506F1" w:rsidP="00E41A10">
      <w:pPr>
        <w:pStyle w:val="NIEARTTEKSTtekstnieartykuowanynppodstprawnarozplubpreambua"/>
        <w:spacing w:before="0"/>
        <w:ind w:firstLine="709"/>
        <w:rPr>
          <w:rFonts w:ascii="Times New Roman" w:eastAsia="Times New Roman" w:hAnsi="Times New Roman" w:cs="Times New Roman"/>
        </w:rPr>
      </w:pPr>
      <w:r w:rsidRPr="00DB7B79">
        <w:rPr>
          <w:rFonts w:ascii="Times New Roman" w:eastAsia="SimSun" w:hAnsi="Times New Roman" w:cs="Times New Roman"/>
          <w:szCs w:val="24"/>
        </w:rPr>
        <w:t>Celem projektu</w:t>
      </w:r>
      <w:r w:rsidR="00D12604" w:rsidRPr="00DB7B79">
        <w:rPr>
          <w:rFonts w:ascii="Times New Roman" w:eastAsia="SimSun" w:hAnsi="Times New Roman" w:cs="Times New Roman"/>
          <w:szCs w:val="24"/>
        </w:rPr>
        <w:t xml:space="preserve"> ustawy</w:t>
      </w:r>
      <w:r w:rsidR="001D6CA9" w:rsidRPr="00DB7B79">
        <w:rPr>
          <w:rFonts w:ascii="Times New Roman" w:eastAsia="SimSun" w:hAnsi="Times New Roman" w:cs="Times New Roman"/>
          <w:szCs w:val="24"/>
        </w:rPr>
        <w:t xml:space="preserve"> </w:t>
      </w:r>
      <w:r w:rsidR="001D6CA9" w:rsidRPr="00DB7B79">
        <w:rPr>
          <w:rFonts w:ascii="Times New Roman" w:hAnsi="Times New Roman" w:cs="Times New Roman"/>
        </w:rPr>
        <w:t>jest uzupełnienie obowiązując</w:t>
      </w:r>
      <w:r w:rsidR="00E41A10">
        <w:rPr>
          <w:rFonts w:ascii="Times New Roman" w:hAnsi="Times New Roman" w:cs="Times New Roman"/>
        </w:rPr>
        <w:t>ych</w:t>
      </w:r>
      <w:r w:rsidR="001D6CA9" w:rsidRPr="00DB7B79">
        <w:rPr>
          <w:rFonts w:ascii="Times New Roman" w:hAnsi="Times New Roman" w:cs="Times New Roman"/>
        </w:rPr>
        <w:t xml:space="preserve"> regulacji, w szczególności w zakresie prowadzenia </w:t>
      </w:r>
      <w:r w:rsidR="00E41A10">
        <w:rPr>
          <w:rFonts w:ascii="Times New Roman" w:hAnsi="Times New Roman" w:cs="Times New Roman"/>
        </w:rPr>
        <w:t xml:space="preserve">przez Państwową Komisję do spraw wyjaśniania przypadków czynności skierowanych </w:t>
      </w:r>
      <w:r w:rsidR="00E41A10" w:rsidRPr="00DB7B79">
        <w:rPr>
          <w:rFonts w:ascii="Times New Roman" w:eastAsia="Times New Roman" w:hAnsi="Times New Roman" w:cs="Times New Roman"/>
          <w:szCs w:val="24"/>
        </w:rPr>
        <w:t xml:space="preserve">przeciwko wolności seksualnej i obyczajności wobec małoletniego poniżej lat </w:t>
      </w:r>
      <w:r w:rsidR="00E41A10">
        <w:rPr>
          <w:rFonts w:ascii="Times New Roman" w:eastAsia="Times New Roman" w:hAnsi="Times New Roman" w:cs="Times New Roman"/>
          <w:szCs w:val="24"/>
        </w:rPr>
        <w:t xml:space="preserve">15, zwanej dalej „Komisją”, postępowania wyjaśniającego. </w:t>
      </w:r>
      <w:r w:rsidR="00E41A10" w:rsidRPr="00E41A10">
        <w:rPr>
          <w:rFonts w:ascii="Times New Roman" w:eastAsia="Times New Roman" w:hAnsi="Times New Roman" w:cs="Times New Roman"/>
          <w:szCs w:val="24"/>
        </w:rPr>
        <w:t>Projekt ma także na celu uczynienie obowiązującej ustawy bardziej czytelną poprzez dookreślenie obszaru działania Komisji oraz uporządkowanie zakresu pojęciowego przedmio</w:t>
      </w:r>
      <w:r w:rsidR="00E41A10">
        <w:rPr>
          <w:rFonts w:ascii="Times New Roman" w:eastAsia="Times New Roman" w:hAnsi="Times New Roman" w:cs="Times New Roman"/>
          <w:szCs w:val="24"/>
        </w:rPr>
        <w:t>tu ustawy i jego ujednolicenie</w:t>
      </w:r>
      <w:r w:rsidR="00E41A10">
        <w:rPr>
          <w:rFonts w:ascii="Times New Roman" w:eastAsia="Times New Roman" w:hAnsi="Times New Roman" w:cs="Times New Roman"/>
        </w:rPr>
        <w:t xml:space="preserve">. </w:t>
      </w:r>
      <w:r w:rsidRPr="00DB7B79">
        <w:rPr>
          <w:rFonts w:ascii="Times New Roman" w:hAnsi="Times New Roman" w:cs="Times New Roman"/>
        </w:rPr>
        <w:t>P</w:t>
      </w:r>
      <w:r w:rsidR="001D6CA9" w:rsidRPr="00DB7B79">
        <w:rPr>
          <w:rFonts w:ascii="Times New Roman" w:hAnsi="Times New Roman" w:cs="Times New Roman"/>
        </w:rPr>
        <w:t>roponowane zmiany</w:t>
      </w:r>
      <w:r w:rsidR="008E7A33">
        <w:rPr>
          <w:rFonts w:ascii="Times New Roman" w:hAnsi="Times New Roman" w:cs="Times New Roman"/>
        </w:rPr>
        <w:t xml:space="preserve"> powinny</w:t>
      </w:r>
      <w:r w:rsidR="001D6CA9" w:rsidRPr="00DB7B79">
        <w:rPr>
          <w:rFonts w:ascii="Times New Roman" w:hAnsi="Times New Roman" w:cs="Times New Roman"/>
        </w:rPr>
        <w:t xml:space="preserve"> </w:t>
      </w:r>
      <w:r w:rsidRPr="00DB7B79">
        <w:rPr>
          <w:rFonts w:ascii="Times New Roman" w:hAnsi="Times New Roman" w:cs="Times New Roman"/>
          <w:szCs w:val="24"/>
        </w:rPr>
        <w:t>zwiększ</w:t>
      </w:r>
      <w:r w:rsidR="008E7A33">
        <w:rPr>
          <w:rFonts w:ascii="Times New Roman" w:hAnsi="Times New Roman" w:cs="Times New Roman"/>
          <w:szCs w:val="24"/>
        </w:rPr>
        <w:t>yć</w:t>
      </w:r>
      <w:r w:rsidR="001D6CA9" w:rsidRPr="00DB7B79">
        <w:rPr>
          <w:rFonts w:ascii="Times New Roman" w:hAnsi="Times New Roman" w:cs="Times New Roman"/>
          <w:szCs w:val="24"/>
        </w:rPr>
        <w:t xml:space="preserve"> efektywność d</w:t>
      </w:r>
      <w:r w:rsidRPr="00DB7B79">
        <w:rPr>
          <w:rFonts w:ascii="Times New Roman" w:hAnsi="Times New Roman" w:cs="Times New Roman"/>
          <w:szCs w:val="24"/>
        </w:rPr>
        <w:t xml:space="preserve">ziałalności Komisji </w:t>
      </w:r>
      <w:r w:rsidR="001D6CA9" w:rsidRPr="00DB7B79">
        <w:rPr>
          <w:rFonts w:ascii="Times New Roman" w:hAnsi="Times New Roman" w:cs="Times New Roman"/>
        </w:rPr>
        <w:t xml:space="preserve">przy jednoczesnym zapewnieniu osobie poszkodowanej oraz osobie wskazanej jako sprawca konstytucyjnej zasady równości stron i zasady obrony </w:t>
      </w:r>
      <w:r w:rsidR="00941897">
        <w:rPr>
          <w:rFonts w:ascii="Times New Roman" w:hAnsi="Times New Roman" w:cs="Times New Roman"/>
        </w:rPr>
        <w:t xml:space="preserve">swoich </w:t>
      </w:r>
      <w:r w:rsidR="001D6CA9" w:rsidRPr="00DB7B79">
        <w:rPr>
          <w:rFonts w:ascii="Times New Roman" w:hAnsi="Times New Roman" w:cs="Times New Roman"/>
        </w:rPr>
        <w:t xml:space="preserve">praw, </w:t>
      </w:r>
      <w:r w:rsidR="00E10345">
        <w:rPr>
          <w:rFonts w:ascii="Times New Roman" w:hAnsi="Times New Roman" w:cs="Times New Roman"/>
        </w:rPr>
        <w:t xml:space="preserve">a także przy zapewnieniu </w:t>
      </w:r>
      <w:r w:rsidR="001D6CA9" w:rsidRPr="00DB7B79">
        <w:rPr>
          <w:rFonts w:ascii="Times New Roman" w:hAnsi="Times New Roman" w:cs="Times New Roman"/>
        </w:rPr>
        <w:t>przestrzegani</w:t>
      </w:r>
      <w:r w:rsidR="00E10345">
        <w:rPr>
          <w:rFonts w:ascii="Times New Roman" w:hAnsi="Times New Roman" w:cs="Times New Roman"/>
        </w:rPr>
        <w:t>a</w:t>
      </w:r>
      <w:r w:rsidR="001D6CA9" w:rsidRPr="00DB7B79">
        <w:rPr>
          <w:rFonts w:ascii="Times New Roman" w:hAnsi="Times New Roman" w:cs="Times New Roman"/>
        </w:rPr>
        <w:t xml:space="preserve"> zasad</w:t>
      </w:r>
      <w:r w:rsidR="00941897">
        <w:rPr>
          <w:rFonts w:ascii="Times New Roman" w:hAnsi="Times New Roman" w:cs="Times New Roman"/>
        </w:rPr>
        <w:t>y</w:t>
      </w:r>
      <w:r w:rsidR="001D6CA9" w:rsidRPr="00DB7B79">
        <w:rPr>
          <w:rFonts w:ascii="Times New Roman" w:hAnsi="Times New Roman" w:cs="Times New Roman"/>
        </w:rPr>
        <w:t xml:space="preserve"> sprawiedliwości naprawczej oraz zadośćuczynieni</w:t>
      </w:r>
      <w:r w:rsidR="00E10345">
        <w:rPr>
          <w:rFonts w:ascii="Times New Roman" w:hAnsi="Times New Roman" w:cs="Times New Roman"/>
        </w:rPr>
        <w:t>a</w:t>
      </w:r>
      <w:r w:rsidR="001D6CA9" w:rsidRPr="00DB7B79">
        <w:rPr>
          <w:rFonts w:ascii="Times New Roman" w:hAnsi="Times New Roman" w:cs="Times New Roman"/>
        </w:rPr>
        <w:t xml:space="preserve"> krzywdzie doznanej przez osoby poszkodowane, wykorzystane seksualnie w okresie dzieciństwa. </w:t>
      </w:r>
    </w:p>
    <w:p w14:paraId="0BFFB885" w14:textId="77777777" w:rsidR="00C506F1" w:rsidRPr="00DB7B79" w:rsidRDefault="00C506F1" w:rsidP="00C506F1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076825D5" w14:textId="710E7A75" w:rsidR="00AE6F19" w:rsidRDefault="00AE6F19" w:rsidP="00796B35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Obowiązująca ustawa, wyznaczając zakres przedmiotowy kompetencji Komisji, posługuje się różnymi pojęciami, które obejmują ten sam przedmiot działania osoby sprawcy. I tak, ustawa używa zamiennie pojęcia: „przestępstwo pedofilii” (np. art. 2 ust. 2 pkt 3, art. 3 ust. 2 pkt 1, 3 i 4, art. 26, art. 27 ust. 1), „nadużycie seksualne” (np. art. 1 pkt 2, art. 2 ust. 1, ust. 2 pkt 2 i 3, art. 21 ust. 1 i 3, art. 42 ust. 1, art. 44 ust. 1 pkt 2), „czyny o charakterze pedofilskim” (np. art. 42 ust. 2) oraz „czynności skierowane przeciwko wolności seksualnej i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>obyczajności wobec małoletniego poniżej 15 lat (np. art. 1 pkt 2, art. 41). Wskazać należy, że żadne z tych pojęć nie występuje w Kodeksie karnym. Pojęcie pedofilii występuje jedynie pośrednio poprzez kryminalizację pochwalania lub propagowania zachowani</w:t>
      </w:r>
      <w:r w:rsidR="00941897">
        <w:rPr>
          <w:rFonts w:cs="Times New Roman"/>
        </w:rPr>
        <w:t>a</w:t>
      </w:r>
      <w:r w:rsidRPr="00DB7B79">
        <w:rPr>
          <w:rFonts w:cs="Times New Roman"/>
        </w:rPr>
        <w:t xml:space="preserve"> o charakterze pedofilskim (art. 200b k.k.). Ustawa definiuje „nadużycie seksualne” jako „czynność skierowaną przeciwko wolności seksualnej i obyczajności wobec małoletniego poniżej lat 15” (art. 1 pkt 2). Natomiast w rozumieniu ustawy, „przestępstwo pedofilii” to „przestępstwo przeciwko wolności seksualnej i obyczajności wobec małoletniego poniżej lat 15” (art. 2 ust. 1 pkt 3). Pojęcia te mają istotne znaczenie dla wykładni przepisów ustawy – wyznaczają granice </w:t>
      </w:r>
      <w:r w:rsidRPr="00DB7B79">
        <w:rPr>
          <w:rFonts w:cs="Times New Roman"/>
        </w:rPr>
        <w:lastRenderedPageBreak/>
        <w:t xml:space="preserve">właściwości rzeczowej Komisji. Przedmiot działania Komisji </w:t>
      </w:r>
      <w:r w:rsidR="00894BA5">
        <w:rPr>
          <w:rFonts w:cs="Times New Roman"/>
        </w:rPr>
        <w:t>powinien być</w:t>
      </w:r>
      <w:r w:rsidRPr="00DB7B79">
        <w:rPr>
          <w:rFonts w:cs="Times New Roman"/>
        </w:rPr>
        <w:t xml:space="preserve"> precyzyjnie określony i zrozumiały dla wszystkich </w:t>
      </w:r>
      <w:r w:rsidR="00530308">
        <w:rPr>
          <w:rFonts w:cs="Times New Roman"/>
        </w:rPr>
        <w:t xml:space="preserve">adresatów </w:t>
      </w:r>
      <w:r w:rsidRPr="00DB7B79">
        <w:rPr>
          <w:rFonts w:cs="Times New Roman"/>
        </w:rPr>
        <w:t>ustawy i nie budzić żadnych wątpliwości w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>ich stosowaniu przez Komisję</w:t>
      </w:r>
      <w:r w:rsidR="00D972EA">
        <w:rPr>
          <w:rFonts w:cs="Times New Roman"/>
        </w:rPr>
        <w:t>, a następnie</w:t>
      </w:r>
      <w:r w:rsidRPr="00DB7B79">
        <w:rPr>
          <w:rFonts w:cs="Times New Roman"/>
        </w:rPr>
        <w:t xml:space="preserve"> przez sąd w toku kontroli sądowej postanowień </w:t>
      </w:r>
      <w:r w:rsidR="00530308">
        <w:rPr>
          <w:rFonts w:cs="Times New Roman"/>
        </w:rPr>
        <w:t xml:space="preserve"> Komisji </w:t>
      </w:r>
      <w:r w:rsidRPr="00DB7B79">
        <w:rPr>
          <w:rFonts w:cs="Times New Roman"/>
        </w:rPr>
        <w:t>w przedmiocie wpisu w Rejestrze. Nietrafne</w:t>
      </w:r>
      <w:r w:rsidR="00894BA5">
        <w:rPr>
          <w:rFonts w:cs="Times New Roman"/>
        </w:rPr>
        <w:t xml:space="preserve"> wydaje się</w:t>
      </w:r>
      <w:r w:rsidRPr="00DB7B79">
        <w:rPr>
          <w:rFonts w:cs="Times New Roman"/>
        </w:rPr>
        <w:t xml:space="preserve"> zatem posługiwanie się w tym samym akcie prawnym</w:t>
      </w:r>
      <w:r w:rsidR="00894BA5">
        <w:rPr>
          <w:rFonts w:cs="Times New Roman"/>
        </w:rPr>
        <w:t>,</w:t>
      </w:r>
      <w:r w:rsidRPr="00DB7B79">
        <w:rPr>
          <w:rFonts w:cs="Times New Roman"/>
        </w:rPr>
        <w:t xml:space="preserve"> dla określenia tych samych </w:t>
      </w:r>
      <w:proofErr w:type="spellStart"/>
      <w:r w:rsidRPr="00DB7B79">
        <w:rPr>
          <w:rFonts w:cs="Times New Roman"/>
        </w:rPr>
        <w:t>zachowań</w:t>
      </w:r>
      <w:proofErr w:type="spellEnd"/>
      <w:r w:rsidRPr="00DB7B79">
        <w:rPr>
          <w:rFonts w:cs="Times New Roman"/>
        </w:rPr>
        <w:t xml:space="preserve"> przestępczych</w:t>
      </w:r>
      <w:r w:rsidR="00894BA5">
        <w:rPr>
          <w:rFonts w:cs="Times New Roman"/>
        </w:rPr>
        <w:t>,</w:t>
      </w:r>
      <w:r w:rsidRPr="00DB7B79">
        <w:rPr>
          <w:rFonts w:cs="Times New Roman"/>
        </w:rPr>
        <w:t xml:space="preserve"> różnymi pojęciami zamiennie. Proponowane w art. 1 pkt 2 projektu ustawy rozwiązanie</w:t>
      </w:r>
      <w:r w:rsidR="00530308">
        <w:rPr>
          <w:rFonts w:cs="Times New Roman"/>
        </w:rPr>
        <w:t>, które polega na bezpośrednim</w:t>
      </w:r>
      <w:r w:rsidR="00D972EA">
        <w:rPr>
          <w:rFonts w:cs="Times New Roman"/>
        </w:rPr>
        <w:t xml:space="preserve"> odesłani</w:t>
      </w:r>
      <w:r w:rsidR="00530308">
        <w:rPr>
          <w:rFonts w:cs="Times New Roman"/>
        </w:rPr>
        <w:t>u</w:t>
      </w:r>
      <w:r w:rsidR="00D972EA">
        <w:rPr>
          <w:rFonts w:cs="Times New Roman"/>
        </w:rPr>
        <w:t xml:space="preserve"> do czynów zabronionych przeciwko wolności seksualnej i</w:t>
      </w:r>
      <w:r w:rsidR="0063707A">
        <w:rPr>
          <w:rFonts w:cs="Times New Roman"/>
        </w:rPr>
        <w:t> </w:t>
      </w:r>
      <w:r w:rsidR="00D972EA">
        <w:rPr>
          <w:rFonts w:cs="Times New Roman"/>
        </w:rPr>
        <w:t>obyczajnoś</w:t>
      </w:r>
      <w:r w:rsidR="00F336E3">
        <w:rPr>
          <w:rFonts w:cs="Times New Roman"/>
        </w:rPr>
        <w:t>ci,</w:t>
      </w:r>
      <w:r w:rsidR="00D972EA">
        <w:rPr>
          <w:rFonts w:cs="Times New Roman"/>
        </w:rPr>
        <w:t xml:space="preserve"> stypizowanych w rozdziale XXV i popełnionych na szkodę małoletniego poniżej lat 15, </w:t>
      </w:r>
      <w:r w:rsidRPr="00DB7B79">
        <w:rPr>
          <w:rFonts w:cs="Times New Roman"/>
        </w:rPr>
        <w:t>wyeliminuje zatem z ustawy nieostre</w:t>
      </w:r>
      <w:r w:rsidR="00530308">
        <w:rPr>
          <w:rFonts w:cs="Times New Roman"/>
        </w:rPr>
        <w:t xml:space="preserve"> i niejednoznaczne</w:t>
      </w:r>
      <w:r w:rsidRPr="00DB7B79">
        <w:rPr>
          <w:rFonts w:cs="Times New Roman"/>
        </w:rPr>
        <w:t xml:space="preserve"> pojęcia, </w:t>
      </w:r>
      <w:r w:rsidR="00894BA5">
        <w:rPr>
          <w:rFonts w:cs="Times New Roman"/>
        </w:rPr>
        <w:t>co</w:t>
      </w:r>
      <w:r w:rsidRPr="00DB7B79">
        <w:rPr>
          <w:rFonts w:cs="Times New Roman"/>
        </w:rPr>
        <w:t xml:space="preserve"> zapewni spójność i przejrzystość regulacji</w:t>
      </w:r>
      <w:r w:rsidR="00894BA5">
        <w:rPr>
          <w:rFonts w:cs="Times New Roman"/>
        </w:rPr>
        <w:t>.</w:t>
      </w:r>
      <w:r w:rsidRPr="00DB7B79">
        <w:rPr>
          <w:rFonts w:cs="Times New Roman"/>
        </w:rPr>
        <w:t xml:space="preserve"> Uczyni </w:t>
      </w:r>
      <w:r w:rsidR="00F336E3">
        <w:rPr>
          <w:rFonts w:cs="Times New Roman"/>
        </w:rPr>
        <w:t xml:space="preserve">także </w:t>
      </w:r>
      <w:r w:rsidRPr="00DB7B79">
        <w:rPr>
          <w:rFonts w:cs="Times New Roman"/>
        </w:rPr>
        <w:t xml:space="preserve">ustawę </w:t>
      </w:r>
      <w:r w:rsidR="001D3962">
        <w:rPr>
          <w:rFonts w:cs="Times New Roman"/>
        </w:rPr>
        <w:t>zgodną</w:t>
      </w:r>
      <w:r w:rsidRPr="00DB7B79">
        <w:rPr>
          <w:rFonts w:cs="Times New Roman"/>
        </w:rPr>
        <w:t xml:space="preserve"> m.in. z art. 240 k.k. (sankcjonowanie niezawiadomienia organów ścigania o popełnieniu przestępstw stypizowanych, m.in. w: 197 § 3 i 4 k.k., 198 k.k., 200 k.k., 202 § 3-4c k.k. oraz 204 § 3 k.k.) oraz z ustawą z dnia 13 maja 2016 r. o przeciwdziałaniu zagrożeniom przestępczością na tle seksualnym.</w:t>
      </w:r>
    </w:p>
    <w:p w14:paraId="34CE38E7" w14:textId="5DF738DD" w:rsidR="00D972EA" w:rsidRPr="00DB7B79" w:rsidRDefault="00D972EA" w:rsidP="00796B35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K</w:t>
      </w:r>
      <w:r w:rsidRPr="00D972EA">
        <w:rPr>
          <w:rFonts w:cs="Times New Roman"/>
        </w:rPr>
        <w:t>onsekwencją zaproponowanych zmian w zakresie ujednolicenia siatki pojęć ustawy z</w:t>
      </w:r>
      <w:r w:rsidR="0063707A">
        <w:rPr>
          <w:rFonts w:cs="Times New Roman"/>
        </w:rPr>
        <w:t> </w:t>
      </w:r>
      <w:r w:rsidRPr="00D972EA">
        <w:rPr>
          <w:rFonts w:cs="Times New Roman"/>
        </w:rPr>
        <w:t>pojęciami występującymi na gruncie przepisów Kodeksu karnego</w:t>
      </w:r>
      <w:r>
        <w:rPr>
          <w:rFonts w:cs="Times New Roman"/>
        </w:rPr>
        <w:t xml:space="preserve"> jest zmiana nazwy Komisji oraz tytułu ustawy. Za zmianą nazwy Komisji przemawia dodatkowo to, iż jej nazwa powinna zawierać w sobie jasne, czytelne i zrozumiałe dla każdego odbiorcy przesłanie – celem jest ochrona przed wykorzystaniem seksualnym małoletnich poniżej lat 15 w każdej formie.</w:t>
      </w:r>
      <w:r w:rsidR="00530308">
        <w:rPr>
          <w:rFonts w:cs="Times New Roman"/>
        </w:rPr>
        <w:t xml:space="preserve"> Propozycja nowej nazwy Komisji odpowiada</w:t>
      </w:r>
      <w:r w:rsidR="00905CAC">
        <w:rPr>
          <w:rFonts w:cs="Times New Roman"/>
        </w:rPr>
        <w:t xml:space="preserve"> temu postulatowi</w:t>
      </w:r>
      <w:r w:rsidR="00530308">
        <w:rPr>
          <w:rFonts w:cs="Times New Roman"/>
        </w:rPr>
        <w:t>.</w:t>
      </w:r>
    </w:p>
    <w:p w14:paraId="530B6841" w14:textId="77777777" w:rsidR="00D972EA" w:rsidRDefault="00D972EA" w:rsidP="00796B35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4C8ECE6A" w14:textId="629FDAEE" w:rsidR="00AC1E87" w:rsidRDefault="00AE6F19" w:rsidP="00531F59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Projekt wprowadza istotną zmianę w zakresie dostępu Komisji do informacji i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>dokumentów uzyskiwanych w związku z realizacj</w:t>
      </w:r>
      <w:r w:rsidR="00AC1E87">
        <w:rPr>
          <w:rFonts w:cs="Times New Roman"/>
        </w:rPr>
        <w:t>ą przez nią</w:t>
      </w:r>
      <w:r w:rsidRPr="00DB7B79">
        <w:rPr>
          <w:rFonts w:cs="Times New Roman"/>
        </w:rPr>
        <w:t xml:space="preserve"> ustawowych zadań. </w:t>
      </w:r>
      <w:r w:rsidR="004411C2" w:rsidRPr="00DB7B79">
        <w:rPr>
          <w:rFonts w:cs="Times New Roman"/>
        </w:rPr>
        <w:t>W art. 3a proponuje się, aby o</w:t>
      </w:r>
      <w:r w:rsidRPr="00DB7B79">
        <w:rPr>
          <w:rFonts w:cs="Times New Roman"/>
        </w:rPr>
        <w:t>rgany państwa oraz organizacje i podmioty, o których mowa w art. 1 pkt 3 u</w:t>
      </w:r>
      <w:r w:rsidR="004411C2" w:rsidRPr="00DB7B79">
        <w:rPr>
          <w:rFonts w:cs="Times New Roman"/>
        </w:rPr>
        <w:t>stawy</w:t>
      </w:r>
      <w:r w:rsidR="00AC1E87">
        <w:rPr>
          <w:rFonts w:cs="Times New Roman"/>
        </w:rPr>
        <w:t>,</w:t>
      </w:r>
      <w:r w:rsidR="004411C2" w:rsidRPr="00DB7B79">
        <w:rPr>
          <w:rFonts w:cs="Times New Roman"/>
        </w:rPr>
        <w:t xml:space="preserve"> były</w:t>
      </w:r>
      <w:r w:rsidRPr="00DB7B79">
        <w:rPr>
          <w:rFonts w:cs="Times New Roman"/>
        </w:rPr>
        <w:t xml:space="preserve"> obowiązane, na wniosek Komisji, do niezwłocznego przekazania, nie później niż w terminie 30 dni</w:t>
      </w:r>
      <w:r w:rsidR="00531F59">
        <w:rPr>
          <w:rFonts w:cs="Times New Roman"/>
        </w:rPr>
        <w:t xml:space="preserve"> od dnia otrzymania wniosku</w:t>
      </w:r>
      <w:r w:rsidRPr="00DB7B79">
        <w:rPr>
          <w:rFonts w:cs="Times New Roman"/>
        </w:rPr>
        <w:t xml:space="preserve">, </w:t>
      </w:r>
      <w:r w:rsidR="00531F59">
        <w:rPr>
          <w:rFonts w:cs="Times New Roman"/>
        </w:rPr>
        <w:t>żąd</w:t>
      </w:r>
      <w:r w:rsidR="00AC1E87">
        <w:rPr>
          <w:rFonts w:cs="Times New Roman"/>
        </w:rPr>
        <w:t>a</w:t>
      </w:r>
      <w:r w:rsidR="00531F59">
        <w:rPr>
          <w:rFonts w:cs="Times New Roman"/>
        </w:rPr>
        <w:t xml:space="preserve">nych przez Komisję </w:t>
      </w:r>
      <w:r w:rsidRPr="00DB7B79">
        <w:rPr>
          <w:rFonts w:cs="Times New Roman"/>
        </w:rPr>
        <w:t xml:space="preserve">informacji </w:t>
      </w:r>
      <w:r w:rsidR="00531F59">
        <w:rPr>
          <w:rFonts w:cs="Times New Roman"/>
        </w:rPr>
        <w:t>lub</w:t>
      </w:r>
      <w:r w:rsidR="00894BA5">
        <w:rPr>
          <w:rFonts w:cs="Times New Roman"/>
        </w:rPr>
        <w:t xml:space="preserve"> dokumentów.</w:t>
      </w:r>
      <w:r w:rsidRPr="00DB7B79">
        <w:rPr>
          <w:rFonts w:cs="Times New Roman"/>
        </w:rPr>
        <w:t xml:space="preserve"> </w:t>
      </w:r>
      <w:r w:rsidR="00530308">
        <w:rPr>
          <w:rFonts w:cs="Times New Roman"/>
        </w:rPr>
        <w:t>Wykonanie tego o</w:t>
      </w:r>
      <w:r w:rsidR="00530308" w:rsidRPr="00DB7B79">
        <w:rPr>
          <w:rFonts w:cs="Times New Roman"/>
        </w:rPr>
        <w:t>bowiąz</w:t>
      </w:r>
      <w:r w:rsidR="00530308">
        <w:rPr>
          <w:rFonts w:cs="Times New Roman"/>
        </w:rPr>
        <w:t>ku</w:t>
      </w:r>
      <w:r w:rsidRPr="00DB7B79">
        <w:rPr>
          <w:rFonts w:cs="Times New Roman"/>
        </w:rPr>
        <w:t xml:space="preserve"> </w:t>
      </w:r>
      <w:r w:rsidR="00530308">
        <w:rPr>
          <w:rFonts w:cs="Times New Roman"/>
        </w:rPr>
        <w:t xml:space="preserve">wyznaczają </w:t>
      </w:r>
      <w:r w:rsidRPr="00DB7B79">
        <w:rPr>
          <w:rFonts w:cs="Times New Roman"/>
        </w:rPr>
        <w:t xml:space="preserve">dwie przesłanki. </w:t>
      </w:r>
      <w:r w:rsidR="00531F59">
        <w:rPr>
          <w:rFonts w:cs="Times New Roman"/>
        </w:rPr>
        <w:t>Po pierwsze, p</w:t>
      </w:r>
      <w:r w:rsidRPr="00DB7B79">
        <w:rPr>
          <w:rFonts w:cs="Times New Roman"/>
        </w:rPr>
        <w:t>rze</w:t>
      </w:r>
      <w:r w:rsidR="004411C2" w:rsidRPr="00DB7B79">
        <w:rPr>
          <w:rFonts w:cs="Times New Roman"/>
        </w:rPr>
        <w:t>kazane informacje i dokumenty muszą być</w:t>
      </w:r>
      <w:r w:rsidRPr="00DB7B79">
        <w:rPr>
          <w:rFonts w:cs="Times New Roman"/>
        </w:rPr>
        <w:t xml:space="preserve"> niezbędne do realizacji zadań wykonywanych przez Komisję</w:t>
      </w:r>
      <w:r w:rsidR="00244400">
        <w:rPr>
          <w:rFonts w:cs="Times New Roman"/>
        </w:rPr>
        <w:t>.</w:t>
      </w:r>
      <w:r w:rsidR="00531F59">
        <w:rPr>
          <w:rFonts w:cs="Times New Roman"/>
        </w:rPr>
        <w:t xml:space="preserve"> Po drugie, przekazanie dokumentów lub informacji nie może być wyłączone lub ograniczone na podstawie odrębnych przepisów prawa (np. informacj</w:t>
      </w:r>
      <w:r w:rsidR="000E34F8">
        <w:rPr>
          <w:rFonts w:cs="Times New Roman"/>
        </w:rPr>
        <w:t>i</w:t>
      </w:r>
      <w:r w:rsidR="00531F59">
        <w:rPr>
          <w:rFonts w:cs="Times New Roman"/>
        </w:rPr>
        <w:t xml:space="preserve"> niejawn</w:t>
      </w:r>
      <w:r w:rsidR="000E34F8">
        <w:rPr>
          <w:rFonts w:cs="Times New Roman"/>
        </w:rPr>
        <w:t>ych</w:t>
      </w:r>
      <w:r w:rsidR="00531F59">
        <w:rPr>
          <w:rFonts w:cs="Times New Roman"/>
        </w:rPr>
        <w:t xml:space="preserve">). </w:t>
      </w:r>
      <w:r w:rsidRPr="00DB7B79">
        <w:rPr>
          <w:rFonts w:cs="Times New Roman"/>
        </w:rPr>
        <w:t xml:space="preserve">Projekt nakłada także na organy państwa, do których Komisja wystąpi z interwencją określoną art. 3 ust. 2 pkt 2, obowiązek niezwłocznego - nie później niż w terminie 30 dni - poinformowania Komisji o podjętych działaniach lub zajętym stanowisku oraz przekazania żądanych informacji lub dokumentów. Jedynym ograniczeniem </w:t>
      </w:r>
      <w:r w:rsidR="00AC1E87">
        <w:rPr>
          <w:rFonts w:cs="Times New Roman"/>
        </w:rPr>
        <w:t>będzie tu</w:t>
      </w:r>
      <w:r w:rsidRPr="00DB7B79">
        <w:rPr>
          <w:rFonts w:cs="Times New Roman"/>
        </w:rPr>
        <w:t xml:space="preserve"> potrzeba ochrony informacji niejawnych.</w:t>
      </w:r>
      <w:r w:rsidR="00531F59">
        <w:rPr>
          <w:rFonts w:cs="Times New Roman"/>
        </w:rPr>
        <w:t xml:space="preserve"> </w:t>
      </w:r>
    </w:p>
    <w:p w14:paraId="29B48714" w14:textId="0396698E" w:rsidR="00531F59" w:rsidRPr="00DB7B79" w:rsidRDefault="00531F59" w:rsidP="00531F59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531F59">
        <w:rPr>
          <w:rFonts w:cs="Times New Roman"/>
        </w:rPr>
        <w:lastRenderedPageBreak/>
        <w:t>Wprowadzenie wyraźn</w:t>
      </w:r>
      <w:r w:rsidR="000E34F8">
        <w:rPr>
          <w:rFonts w:cs="Times New Roman"/>
        </w:rPr>
        <w:t>ych</w:t>
      </w:r>
      <w:r w:rsidRPr="00531F59">
        <w:rPr>
          <w:rFonts w:cs="Times New Roman"/>
        </w:rPr>
        <w:t xml:space="preserve"> podstaw normatywn</w:t>
      </w:r>
      <w:r w:rsidR="000E34F8">
        <w:rPr>
          <w:rFonts w:cs="Times New Roman"/>
        </w:rPr>
        <w:t>ych</w:t>
      </w:r>
      <w:r w:rsidRPr="00531F59">
        <w:rPr>
          <w:rFonts w:cs="Times New Roman"/>
        </w:rPr>
        <w:t xml:space="preserve"> do żądania </w:t>
      </w:r>
      <w:r>
        <w:rPr>
          <w:rFonts w:cs="Times New Roman"/>
        </w:rPr>
        <w:t xml:space="preserve">przez Komisję </w:t>
      </w:r>
      <w:r w:rsidRPr="00531F59">
        <w:rPr>
          <w:rFonts w:cs="Times New Roman"/>
        </w:rPr>
        <w:t>informacji i dokumentów</w:t>
      </w:r>
      <w:r>
        <w:rPr>
          <w:rFonts w:cs="Times New Roman"/>
        </w:rPr>
        <w:t xml:space="preserve"> w określonych </w:t>
      </w:r>
      <w:r w:rsidR="00AC1E87">
        <w:rPr>
          <w:rFonts w:cs="Times New Roman"/>
        </w:rPr>
        <w:t xml:space="preserve">powyżej </w:t>
      </w:r>
      <w:r>
        <w:rPr>
          <w:rFonts w:cs="Times New Roman"/>
        </w:rPr>
        <w:t>sprawach</w:t>
      </w:r>
      <w:r w:rsidRPr="00531F59">
        <w:rPr>
          <w:rFonts w:cs="Times New Roman"/>
        </w:rPr>
        <w:t>, usunie wątpliwości</w:t>
      </w:r>
      <w:r>
        <w:rPr>
          <w:rFonts w:cs="Times New Roman"/>
        </w:rPr>
        <w:t xml:space="preserve"> interpretacyjne</w:t>
      </w:r>
      <w:r w:rsidRPr="00531F59">
        <w:rPr>
          <w:rFonts w:cs="Times New Roman"/>
        </w:rPr>
        <w:t xml:space="preserve"> adresatów wystąpień Komisji co do </w:t>
      </w:r>
      <w:r w:rsidR="000E34F8">
        <w:rPr>
          <w:rFonts w:cs="Times New Roman"/>
        </w:rPr>
        <w:t xml:space="preserve">istnienia </w:t>
      </w:r>
      <w:r w:rsidRPr="00531F59">
        <w:rPr>
          <w:rFonts w:cs="Times New Roman"/>
        </w:rPr>
        <w:t>obowiązku udostępnienia informacji i dokumentów</w:t>
      </w:r>
      <w:r w:rsidR="000E34F8">
        <w:rPr>
          <w:rFonts w:cs="Times New Roman"/>
        </w:rPr>
        <w:t xml:space="preserve">, a także </w:t>
      </w:r>
      <w:r w:rsidR="00E10345">
        <w:rPr>
          <w:rFonts w:cs="Times New Roman"/>
        </w:rPr>
        <w:t xml:space="preserve">co do </w:t>
      </w:r>
      <w:r w:rsidR="000E34F8">
        <w:rPr>
          <w:rFonts w:cs="Times New Roman"/>
        </w:rPr>
        <w:t>jego zakresu</w:t>
      </w:r>
      <w:r w:rsidRPr="00531F59">
        <w:rPr>
          <w:rFonts w:cs="Times New Roman"/>
        </w:rPr>
        <w:t>.</w:t>
      </w:r>
    </w:p>
    <w:p w14:paraId="11AE1EC9" w14:textId="76373350" w:rsidR="00531F59" w:rsidRDefault="00AE6F19" w:rsidP="00796B35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 xml:space="preserve">W zakresie </w:t>
      </w:r>
      <w:r w:rsidR="00531F59">
        <w:rPr>
          <w:rFonts w:cs="Times New Roman"/>
        </w:rPr>
        <w:t xml:space="preserve">zaś </w:t>
      </w:r>
      <w:r w:rsidRPr="00DB7B79">
        <w:rPr>
          <w:rFonts w:cs="Times New Roman"/>
        </w:rPr>
        <w:t xml:space="preserve">niezbędnym do realizacji zadań, </w:t>
      </w:r>
      <w:r w:rsidR="00AC1E87">
        <w:rPr>
          <w:rFonts w:cs="Times New Roman"/>
        </w:rPr>
        <w:t>o których mowa</w:t>
      </w:r>
      <w:r w:rsidRPr="00DB7B79">
        <w:rPr>
          <w:rFonts w:cs="Times New Roman"/>
        </w:rPr>
        <w:t xml:space="preserve"> </w:t>
      </w:r>
      <w:r w:rsidR="00D16343" w:rsidRPr="00DB7B79">
        <w:rPr>
          <w:rFonts w:cs="Times New Roman"/>
        </w:rPr>
        <w:t>w</w:t>
      </w:r>
      <w:r w:rsidRPr="00DB7B79">
        <w:rPr>
          <w:rFonts w:cs="Times New Roman"/>
        </w:rPr>
        <w:t xml:space="preserve"> art.</w:t>
      </w:r>
      <w:r w:rsidR="00D16343" w:rsidRPr="00DB7B79">
        <w:rPr>
          <w:rFonts w:cs="Times New Roman"/>
        </w:rPr>
        <w:t xml:space="preserve"> 2</w:t>
      </w:r>
      <w:r w:rsidR="001D3962">
        <w:rPr>
          <w:rFonts w:cs="Times New Roman"/>
        </w:rPr>
        <w:t xml:space="preserve"> ust. 2 pkt 1 i </w:t>
      </w:r>
      <w:r w:rsidR="00AC1E87">
        <w:rPr>
          <w:rFonts w:cs="Times New Roman"/>
        </w:rPr>
        <w:t>2</w:t>
      </w:r>
      <w:r w:rsidR="00D16343" w:rsidRPr="00DB7B79">
        <w:rPr>
          <w:rFonts w:cs="Times New Roman"/>
        </w:rPr>
        <w:t xml:space="preserve"> i</w:t>
      </w:r>
      <w:r w:rsidRPr="00DB7B79">
        <w:rPr>
          <w:rFonts w:cs="Times New Roman"/>
        </w:rPr>
        <w:t xml:space="preserve"> art. 3</w:t>
      </w:r>
      <w:r w:rsidR="00AC1E87">
        <w:rPr>
          <w:rFonts w:cs="Times New Roman"/>
        </w:rPr>
        <w:t xml:space="preserve"> ust. 2 pkt 2 ustawy</w:t>
      </w:r>
      <w:r w:rsidRPr="00DB7B79">
        <w:rPr>
          <w:rFonts w:cs="Times New Roman"/>
        </w:rPr>
        <w:t>, proponuje się dodanie</w:t>
      </w:r>
      <w:r w:rsidR="004411C2" w:rsidRPr="00DB7B79">
        <w:rPr>
          <w:rFonts w:cs="Times New Roman"/>
        </w:rPr>
        <w:t xml:space="preserve"> w art. 3c</w:t>
      </w:r>
      <w:r w:rsidR="00AC1E87">
        <w:rPr>
          <w:rFonts w:cs="Times New Roman"/>
        </w:rPr>
        <w:t xml:space="preserve"> </w:t>
      </w:r>
      <w:r w:rsidRPr="00DB7B79">
        <w:rPr>
          <w:rFonts w:cs="Times New Roman"/>
        </w:rPr>
        <w:t>upraw</w:t>
      </w:r>
      <w:r w:rsidR="004411C2" w:rsidRPr="00DB7B79">
        <w:rPr>
          <w:rFonts w:cs="Times New Roman"/>
        </w:rPr>
        <w:t xml:space="preserve">nienia Komisji do przetwarzania informacji, które </w:t>
      </w:r>
      <w:r w:rsidR="00AC1E87">
        <w:rPr>
          <w:rFonts w:cs="Times New Roman"/>
        </w:rPr>
        <w:t xml:space="preserve">zawierają informację o istotnych zdarzeniach dla wykonywania przez Komisję ustawowych kompetencji, jednakże </w:t>
      </w:r>
      <w:r w:rsidR="004411C2" w:rsidRPr="00DB7B79">
        <w:rPr>
          <w:rFonts w:cs="Times New Roman"/>
        </w:rPr>
        <w:t>stanowią</w:t>
      </w:r>
      <w:r w:rsidR="000E34F8">
        <w:rPr>
          <w:rFonts w:cs="Times New Roman"/>
        </w:rPr>
        <w:t xml:space="preserve"> one</w:t>
      </w:r>
      <w:r w:rsidR="00244400">
        <w:rPr>
          <w:rFonts w:cs="Times New Roman"/>
        </w:rPr>
        <w:t>, wskazaną w ustawie wprost,</w:t>
      </w:r>
      <w:r w:rsidR="004411C2" w:rsidRPr="00DB7B79">
        <w:rPr>
          <w:rFonts w:cs="Times New Roman"/>
        </w:rPr>
        <w:t xml:space="preserve"> tajemnic</w:t>
      </w:r>
      <w:r w:rsidR="00244400">
        <w:rPr>
          <w:rFonts w:cs="Times New Roman"/>
        </w:rPr>
        <w:t>ę</w:t>
      </w:r>
      <w:r w:rsidR="004411C2" w:rsidRPr="00DB7B79">
        <w:rPr>
          <w:rFonts w:cs="Times New Roman"/>
        </w:rPr>
        <w:t xml:space="preserve"> zawodow</w:t>
      </w:r>
      <w:r w:rsidR="00244400">
        <w:rPr>
          <w:rFonts w:cs="Times New Roman"/>
        </w:rPr>
        <w:t>ą</w:t>
      </w:r>
      <w:r w:rsidR="004411C2" w:rsidRPr="00DB7B79">
        <w:rPr>
          <w:rFonts w:cs="Times New Roman"/>
        </w:rPr>
        <w:t xml:space="preserve">. </w:t>
      </w:r>
    </w:p>
    <w:p w14:paraId="0A10BABA" w14:textId="77777777" w:rsidR="00AE6F19" w:rsidRDefault="00AE6F19" w:rsidP="000C4C10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3ED819A8" w14:textId="786511B6" w:rsidR="00D16343" w:rsidRPr="00D16343" w:rsidRDefault="00D16343" w:rsidP="00D163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6343">
        <w:rPr>
          <w:rFonts w:ascii="Times New Roman" w:hAnsi="Times New Roman" w:cs="Times New Roman"/>
          <w:sz w:val="24"/>
          <w:szCs w:val="24"/>
        </w:rPr>
        <w:t xml:space="preserve">Projekt doprecyzowuje </w:t>
      </w:r>
      <w:r w:rsidR="000E34F8"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D16343">
        <w:rPr>
          <w:rFonts w:ascii="Times New Roman" w:hAnsi="Times New Roman" w:cs="Times New Roman"/>
          <w:sz w:val="24"/>
          <w:szCs w:val="24"/>
        </w:rPr>
        <w:t xml:space="preserve">zadania Komisji w zakresie </w:t>
      </w:r>
      <w:r w:rsidR="00AC1E87">
        <w:rPr>
          <w:rFonts w:ascii="Times New Roman" w:hAnsi="Times New Roman" w:cs="Times New Roman"/>
          <w:sz w:val="24"/>
          <w:szCs w:val="24"/>
        </w:rPr>
        <w:t xml:space="preserve">jej </w:t>
      </w:r>
      <w:r w:rsidRPr="00D16343">
        <w:rPr>
          <w:rFonts w:ascii="Times New Roman" w:hAnsi="Times New Roman" w:cs="Times New Roman"/>
          <w:sz w:val="24"/>
          <w:szCs w:val="24"/>
        </w:rPr>
        <w:t xml:space="preserve">działalności prewencyjnej i edukacyjnej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16343"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sz w:val="24"/>
          <w:szCs w:val="24"/>
        </w:rPr>
        <w:t xml:space="preserve"> 4 ust. 2</w:t>
      </w:r>
      <w:r w:rsidR="00AC1E87">
        <w:rPr>
          <w:rFonts w:ascii="Times New Roman" w:hAnsi="Times New Roman" w:cs="Times New Roman"/>
          <w:sz w:val="24"/>
          <w:szCs w:val="24"/>
        </w:rPr>
        <w:t xml:space="preserve"> oraz</w:t>
      </w:r>
      <w:r w:rsidRPr="00D16343">
        <w:rPr>
          <w:rFonts w:ascii="Times New Roman" w:hAnsi="Times New Roman" w:cs="Times New Roman"/>
          <w:sz w:val="24"/>
          <w:szCs w:val="24"/>
        </w:rPr>
        <w:t xml:space="preserve"> art. 42 – 44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16343">
        <w:rPr>
          <w:rFonts w:ascii="Times New Roman" w:hAnsi="Times New Roman" w:cs="Times New Roman"/>
          <w:sz w:val="24"/>
          <w:szCs w:val="24"/>
        </w:rPr>
        <w:t xml:space="preserve"> art. 44a)</w:t>
      </w:r>
      <w:r w:rsidR="00244400">
        <w:rPr>
          <w:rFonts w:ascii="Times New Roman" w:hAnsi="Times New Roman" w:cs="Times New Roman"/>
          <w:sz w:val="24"/>
          <w:szCs w:val="24"/>
        </w:rPr>
        <w:t xml:space="preserve"> oraz</w:t>
      </w:r>
      <w:r w:rsidRPr="00D16343">
        <w:rPr>
          <w:rFonts w:ascii="Times New Roman" w:hAnsi="Times New Roman" w:cs="Times New Roman"/>
          <w:sz w:val="24"/>
          <w:szCs w:val="24"/>
        </w:rPr>
        <w:t xml:space="preserve"> poszerza obszar zadań, którymi Komisja może się zająć</w:t>
      </w:r>
      <w:r w:rsidR="00244400">
        <w:rPr>
          <w:rFonts w:ascii="Times New Roman" w:hAnsi="Times New Roman" w:cs="Times New Roman"/>
          <w:sz w:val="24"/>
          <w:szCs w:val="24"/>
        </w:rPr>
        <w:t xml:space="preserve"> -</w:t>
      </w:r>
      <w:r w:rsidRPr="00D16343">
        <w:rPr>
          <w:rFonts w:ascii="Times New Roman" w:hAnsi="Times New Roman" w:cs="Times New Roman"/>
          <w:sz w:val="24"/>
          <w:szCs w:val="24"/>
        </w:rPr>
        <w:t xml:space="preserve"> wprowadzając w art. 4 ust. 2 katalog otwarty. Dodaje także do działalności prewencyjnej i edukacyjnej </w:t>
      </w:r>
      <w:r w:rsidR="000E34F8">
        <w:rPr>
          <w:rFonts w:ascii="Times New Roman" w:hAnsi="Times New Roman" w:cs="Times New Roman"/>
          <w:sz w:val="24"/>
          <w:szCs w:val="24"/>
        </w:rPr>
        <w:t xml:space="preserve">- </w:t>
      </w:r>
      <w:r w:rsidRPr="00D16343">
        <w:rPr>
          <w:rFonts w:ascii="Times New Roman" w:hAnsi="Times New Roman" w:cs="Times New Roman"/>
          <w:sz w:val="24"/>
          <w:szCs w:val="24"/>
        </w:rPr>
        <w:t>w części ogólnej</w:t>
      </w:r>
      <w:r w:rsidR="000E34F8">
        <w:rPr>
          <w:rFonts w:ascii="Times New Roman" w:hAnsi="Times New Roman" w:cs="Times New Roman"/>
          <w:sz w:val="24"/>
          <w:szCs w:val="24"/>
        </w:rPr>
        <w:t xml:space="preserve"> -</w:t>
      </w:r>
      <w:r w:rsidRPr="00D16343">
        <w:rPr>
          <w:rFonts w:ascii="Times New Roman" w:hAnsi="Times New Roman" w:cs="Times New Roman"/>
          <w:sz w:val="24"/>
          <w:szCs w:val="24"/>
        </w:rPr>
        <w:t xml:space="preserve"> zadania</w:t>
      </w:r>
      <w:r w:rsidR="000E34F8">
        <w:rPr>
          <w:rFonts w:ascii="Times New Roman" w:hAnsi="Times New Roman" w:cs="Times New Roman"/>
          <w:sz w:val="24"/>
          <w:szCs w:val="24"/>
        </w:rPr>
        <w:t xml:space="preserve"> </w:t>
      </w:r>
      <w:r w:rsidRPr="00D16343">
        <w:rPr>
          <w:rFonts w:ascii="Times New Roman" w:hAnsi="Times New Roman" w:cs="Times New Roman"/>
          <w:sz w:val="24"/>
          <w:szCs w:val="24"/>
        </w:rPr>
        <w:t xml:space="preserve"> </w:t>
      </w:r>
      <w:r w:rsidR="00AC1E87">
        <w:rPr>
          <w:rFonts w:ascii="Times New Roman" w:hAnsi="Times New Roman" w:cs="Times New Roman"/>
          <w:sz w:val="24"/>
          <w:szCs w:val="24"/>
        </w:rPr>
        <w:t xml:space="preserve">w postaci </w:t>
      </w:r>
      <w:r w:rsidRPr="00D16343">
        <w:rPr>
          <w:rFonts w:ascii="Times New Roman" w:hAnsi="Times New Roman" w:cs="Times New Roman"/>
          <w:sz w:val="24"/>
          <w:szCs w:val="24"/>
        </w:rPr>
        <w:t xml:space="preserve">prowadzenia badań zjawiska wykorzystania seksualnego małoletnich poniżej lat 15 oraz opracowywania raportów dotyczących wybranych zagadnień istotnych społecznie pozostających w zakresie właściwości Komisji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16343">
        <w:rPr>
          <w:rFonts w:ascii="Times New Roman" w:hAnsi="Times New Roman" w:cs="Times New Roman"/>
          <w:sz w:val="24"/>
          <w:szCs w:val="24"/>
        </w:rPr>
        <w:t>art. 4 ust. 2 pkt 3 i 4).</w:t>
      </w:r>
    </w:p>
    <w:p w14:paraId="035D22B1" w14:textId="77777777" w:rsidR="00D16343" w:rsidRDefault="00D16343" w:rsidP="000C4C10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7BF77570" w14:textId="053E84C0" w:rsidR="00745354" w:rsidRDefault="00244400" w:rsidP="00632550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W projekcie</w:t>
      </w:r>
      <w:r w:rsidR="00D16343" w:rsidRPr="00B45FAE">
        <w:rPr>
          <w:rFonts w:cs="Times New Roman"/>
        </w:rPr>
        <w:t xml:space="preserve"> </w:t>
      </w:r>
      <w:r>
        <w:rPr>
          <w:rFonts w:cs="Times New Roman"/>
        </w:rPr>
        <w:t>p</w:t>
      </w:r>
      <w:r w:rsidR="00D16343" w:rsidRPr="00B45FAE">
        <w:rPr>
          <w:rFonts w:cs="Times New Roman"/>
        </w:rPr>
        <w:t>roponuje się</w:t>
      </w:r>
      <w:r w:rsidR="00D16343">
        <w:rPr>
          <w:rFonts w:cs="Times New Roman"/>
        </w:rPr>
        <w:t xml:space="preserve"> modyfikację art. 5 ust. 2 u</w:t>
      </w:r>
      <w:r w:rsidR="00D16343" w:rsidRPr="00B45FAE">
        <w:rPr>
          <w:rFonts w:cs="Times New Roman"/>
        </w:rPr>
        <w:t>stawy, który reguluje odmowę ujawnienia danych osobowych osoby, od której uzyskała informacje, oraz osoby, której dotyczy zgłoszenie, a także dokumentacji zgromadzonej w toku postępowania wyjaśniającego</w:t>
      </w:r>
      <w:r w:rsidR="00D16343">
        <w:rPr>
          <w:rFonts w:cs="Times New Roman"/>
        </w:rPr>
        <w:t>. Zmiana polega na</w:t>
      </w:r>
      <w:r w:rsidR="00D16343" w:rsidRPr="00B45FAE">
        <w:rPr>
          <w:rFonts w:cs="Times New Roman"/>
          <w:color w:val="FF0000"/>
        </w:rPr>
        <w:t xml:space="preserve"> </w:t>
      </w:r>
      <w:r w:rsidR="00D16343" w:rsidRPr="00B45FAE">
        <w:rPr>
          <w:rFonts w:cs="Times New Roman"/>
        </w:rPr>
        <w:t>pozostawieni</w:t>
      </w:r>
      <w:r w:rsidR="00D16343">
        <w:rPr>
          <w:rFonts w:cs="Times New Roman"/>
        </w:rPr>
        <w:t>u</w:t>
      </w:r>
      <w:r w:rsidR="00D16343" w:rsidRPr="00B45FAE">
        <w:rPr>
          <w:rFonts w:cs="Times New Roman"/>
        </w:rPr>
        <w:t xml:space="preserve"> Komisji kompetencji do podjęcia decyzji o odmowie</w:t>
      </w:r>
      <w:r w:rsidR="00D16343" w:rsidRPr="00B45FAE">
        <w:rPr>
          <w:rFonts w:cs="Times New Roman"/>
          <w:color w:val="FF0000"/>
        </w:rPr>
        <w:t xml:space="preserve"> </w:t>
      </w:r>
      <w:r w:rsidR="00D16343" w:rsidRPr="00B45FAE">
        <w:rPr>
          <w:rFonts w:cs="Times New Roman"/>
        </w:rPr>
        <w:t>ujawnienia danych osobowych osoby, od której uzyskała informacje oraz osoby, której dotyczy zgłoszenie</w:t>
      </w:r>
      <w:r w:rsidR="00D16343" w:rsidRPr="00B45FAE">
        <w:rPr>
          <w:rFonts w:cs="Times New Roman"/>
          <w:color w:val="FF0000"/>
        </w:rPr>
        <w:t xml:space="preserve"> </w:t>
      </w:r>
      <w:r w:rsidR="00D16343" w:rsidRPr="00B45FAE">
        <w:rPr>
          <w:rFonts w:cs="Times New Roman"/>
        </w:rPr>
        <w:t xml:space="preserve">oraz rozszerzenie określonego w ww. przepisie ograniczenia dostępu do danych osobowych ze względu na ochronę czci praw i godności nie tylko </w:t>
      </w:r>
      <w:r w:rsidR="00D16343">
        <w:rPr>
          <w:rFonts w:cs="Times New Roman"/>
        </w:rPr>
        <w:t xml:space="preserve">co do </w:t>
      </w:r>
      <w:r w:rsidR="00D16343" w:rsidRPr="00B45FAE">
        <w:rPr>
          <w:rFonts w:cs="Times New Roman"/>
        </w:rPr>
        <w:t xml:space="preserve">osoby poszkodowanej, ale również osoby, od której Komisja uzyskała informacje – osoby zgłaszającej </w:t>
      </w:r>
      <w:r>
        <w:rPr>
          <w:rFonts w:cs="Times New Roman"/>
        </w:rPr>
        <w:t>lub</w:t>
      </w:r>
      <w:r w:rsidR="00D16343" w:rsidRPr="00B45FAE">
        <w:rPr>
          <w:rFonts w:cs="Times New Roman"/>
        </w:rPr>
        <w:t xml:space="preserve"> świadka </w:t>
      </w:r>
      <w:r w:rsidR="00D16343">
        <w:rPr>
          <w:rFonts w:cs="Times New Roman"/>
        </w:rPr>
        <w:t>(</w:t>
      </w:r>
      <w:r w:rsidR="00D16343" w:rsidRPr="00B45FAE">
        <w:rPr>
          <w:rFonts w:cs="Times New Roman"/>
        </w:rPr>
        <w:t xml:space="preserve">art. 5 ust. 2). Odmowa może dotyczyć także dokumentacji zgromadzonej przez Komisję, co znacznie powiększa obszar </w:t>
      </w:r>
      <w:proofErr w:type="spellStart"/>
      <w:r w:rsidR="00D16343" w:rsidRPr="00B45FAE">
        <w:rPr>
          <w:rFonts w:cs="Times New Roman"/>
        </w:rPr>
        <w:t>an</w:t>
      </w:r>
      <w:r w:rsidR="00D16343">
        <w:rPr>
          <w:rFonts w:cs="Times New Roman"/>
        </w:rPr>
        <w:t>on</w:t>
      </w:r>
      <w:r w:rsidR="00D16343" w:rsidRPr="00B45FAE">
        <w:rPr>
          <w:rFonts w:cs="Times New Roman"/>
        </w:rPr>
        <w:t>imizacji</w:t>
      </w:r>
      <w:proofErr w:type="spellEnd"/>
      <w:r w:rsidR="00D16343" w:rsidRPr="00B45FAE">
        <w:rPr>
          <w:rFonts w:cs="Times New Roman"/>
        </w:rPr>
        <w:t xml:space="preserve"> dokumentacji</w:t>
      </w:r>
      <w:r w:rsidR="00632550">
        <w:rPr>
          <w:rFonts w:cs="Times New Roman"/>
        </w:rPr>
        <w:t xml:space="preserve"> jako istotnej instytucji chroniącej</w:t>
      </w:r>
      <w:r w:rsidR="00745354">
        <w:rPr>
          <w:rFonts w:cs="Times New Roman"/>
        </w:rPr>
        <w:t xml:space="preserve"> słuszne prawa podmiotowe</w:t>
      </w:r>
      <w:r w:rsidR="00632550">
        <w:rPr>
          <w:rFonts w:cs="Times New Roman"/>
        </w:rPr>
        <w:t xml:space="preserve"> uczestników postępowania przed Komisją</w:t>
      </w:r>
      <w:r w:rsidR="00D16343" w:rsidRPr="00B45FAE">
        <w:rPr>
          <w:rFonts w:cs="Times New Roman"/>
        </w:rPr>
        <w:t xml:space="preserve">. Obowiązujący przepis dotyczy wyłącznie dokumentacji zgromadzonej w toku postępowania wyjaśniającego. </w:t>
      </w:r>
    </w:p>
    <w:p w14:paraId="10EBB604" w14:textId="4CFD4904" w:rsidR="00D16343" w:rsidRPr="00B45FAE" w:rsidRDefault="00D16343" w:rsidP="00632550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B45FAE">
        <w:rPr>
          <w:rFonts w:cs="Times New Roman"/>
        </w:rPr>
        <w:t xml:space="preserve">Projekt przewiduje także zmiany </w:t>
      </w:r>
      <w:r w:rsidR="007F5DBD">
        <w:rPr>
          <w:rFonts w:cs="Times New Roman"/>
        </w:rPr>
        <w:t>w</w:t>
      </w:r>
      <w:r w:rsidR="00244400">
        <w:rPr>
          <w:rFonts w:cs="Times New Roman"/>
        </w:rPr>
        <w:t xml:space="preserve"> </w:t>
      </w:r>
      <w:r w:rsidRPr="00B45FAE">
        <w:rPr>
          <w:rFonts w:cs="Times New Roman"/>
        </w:rPr>
        <w:t>art. 5 ust. 3 przez poszerzenie zakresu dokumentów Komisji, które nie stanowią informacji publicznej i nie podlegają udostępnieniu w</w:t>
      </w:r>
      <w:r>
        <w:rPr>
          <w:rFonts w:cs="Times New Roman"/>
        </w:rPr>
        <w:t> </w:t>
      </w:r>
      <w:r w:rsidRPr="00B45FAE">
        <w:rPr>
          <w:rFonts w:cs="Times New Roman"/>
        </w:rPr>
        <w:t>trybie określonym ustawą o dostępie do informacji publicznej.</w:t>
      </w:r>
      <w:r w:rsidR="00632550">
        <w:rPr>
          <w:rFonts w:cs="Times New Roman"/>
        </w:rPr>
        <w:t xml:space="preserve"> Jest to zmiana wynikowa, będąca następstwem </w:t>
      </w:r>
      <w:r w:rsidR="00745354">
        <w:rPr>
          <w:rFonts w:cs="Times New Roman"/>
        </w:rPr>
        <w:t xml:space="preserve">propozycji </w:t>
      </w:r>
      <w:r w:rsidR="00632550">
        <w:rPr>
          <w:rFonts w:cs="Times New Roman"/>
        </w:rPr>
        <w:t xml:space="preserve">zmian przepisów regulujących postępowanie wyjaśniające, w tym </w:t>
      </w:r>
      <w:r w:rsidR="00632550">
        <w:rPr>
          <w:rFonts w:cs="Times New Roman"/>
        </w:rPr>
        <w:lastRenderedPageBreak/>
        <w:t>w</w:t>
      </w:r>
      <w:r w:rsidR="0063707A">
        <w:rPr>
          <w:rFonts w:cs="Times New Roman"/>
        </w:rPr>
        <w:t> </w:t>
      </w:r>
      <w:r w:rsidR="00632550">
        <w:rPr>
          <w:rFonts w:cs="Times New Roman"/>
        </w:rPr>
        <w:t>zakresie rodzaju orzeczeń wydawanych przez Komisję.</w:t>
      </w:r>
    </w:p>
    <w:p w14:paraId="3DB28168" w14:textId="7E9BE0EE" w:rsidR="00D16343" w:rsidRPr="00B45FAE" w:rsidRDefault="00632550" w:rsidP="00EC6B7D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Ochrona wrażliwych informacji przetwarzanych przez Komisję w związku z realizacją ustawowych zadań </w:t>
      </w:r>
      <w:r w:rsidR="00745354">
        <w:rPr>
          <w:rFonts w:cs="Times New Roman"/>
        </w:rPr>
        <w:t xml:space="preserve">oraz zasada poufności postępowania wyjaśniającego (art. 32) </w:t>
      </w:r>
      <w:r>
        <w:rPr>
          <w:rFonts w:cs="Times New Roman"/>
        </w:rPr>
        <w:t xml:space="preserve">zostaje </w:t>
      </w:r>
      <w:r w:rsidR="00D16343" w:rsidRPr="00B45FAE">
        <w:rPr>
          <w:rFonts w:cs="Times New Roman"/>
        </w:rPr>
        <w:t xml:space="preserve">wzmocniona przez </w:t>
      </w:r>
      <w:r w:rsidR="00D16343">
        <w:rPr>
          <w:rFonts w:cs="Times New Roman"/>
        </w:rPr>
        <w:t xml:space="preserve">dodanie art. 18a i wprowadzenie tajemnicy zawodowej, </w:t>
      </w:r>
      <w:r w:rsidR="00D16343" w:rsidRPr="00B45FAE">
        <w:rPr>
          <w:rFonts w:cs="Times New Roman"/>
        </w:rPr>
        <w:t>któ</w:t>
      </w:r>
      <w:r w:rsidR="00D16343">
        <w:rPr>
          <w:rFonts w:cs="Times New Roman"/>
        </w:rPr>
        <w:t>ra</w:t>
      </w:r>
      <w:r w:rsidR="00D16343" w:rsidRPr="00B45FAE">
        <w:rPr>
          <w:rFonts w:cs="Times New Roman"/>
        </w:rPr>
        <w:t xml:space="preserve"> nakłada na członków Komisji, pracowników Urzędu Komisji oraz osoby wykonujące </w:t>
      </w:r>
      <w:r w:rsidR="00E51978">
        <w:rPr>
          <w:rFonts w:cs="Times New Roman"/>
        </w:rPr>
        <w:t xml:space="preserve">czynności </w:t>
      </w:r>
      <w:r w:rsidR="00D16343" w:rsidRPr="00B45FAE">
        <w:rPr>
          <w:rFonts w:cs="Times New Roman"/>
        </w:rPr>
        <w:t>w Urzędzie Komisji na podstawie umowy o dzieło, umowy zlecenia albo innych umów cywilnoprawnych</w:t>
      </w:r>
      <w:r w:rsidR="00E51978">
        <w:rPr>
          <w:rFonts w:cs="Times New Roman"/>
        </w:rPr>
        <w:t>,</w:t>
      </w:r>
      <w:r w:rsidR="00D16343" w:rsidRPr="00B45FAE">
        <w:rPr>
          <w:rFonts w:cs="Times New Roman"/>
        </w:rPr>
        <w:t xml:space="preserve"> obowiązek nieujawniania osobom nieuprawnionym informacji, z którymi zapoznały się w trakcie wykonywania swoich obowiązków wynikających z </w:t>
      </w:r>
      <w:r w:rsidR="00D16343">
        <w:rPr>
          <w:rFonts w:cs="Times New Roman"/>
        </w:rPr>
        <w:t>ustawy</w:t>
      </w:r>
      <w:r w:rsidR="00D16343" w:rsidRPr="00B45FAE">
        <w:rPr>
          <w:rFonts w:cs="Times New Roman"/>
        </w:rPr>
        <w:t>.</w:t>
      </w:r>
    </w:p>
    <w:p w14:paraId="041B5757" w14:textId="77777777" w:rsidR="00D16343" w:rsidRDefault="00D16343" w:rsidP="00EC6B7D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27F24EF1" w14:textId="4AE5DE2A" w:rsidR="00CE1EA3" w:rsidRPr="00B45FAE" w:rsidRDefault="00D16343" w:rsidP="00CE1EA3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>
        <w:rPr>
          <w:rFonts w:cs="Times New Roman"/>
        </w:rPr>
        <w:t>Proje</w:t>
      </w:r>
      <w:r w:rsidR="00CE1EA3">
        <w:rPr>
          <w:rFonts w:cs="Times New Roman"/>
        </w:rPr>
        <w:t xml:space="preserve">kt przewiduje również zmiany w zakresie organizacyjnego funkcjonowania Komisji. W art. 5a </w:t>
      </w:r>
      <w:r w:rsidR="00CE1EA3" w:rsidRPr="00B45FAE">
        <w:rPr>
          <w:rFonts w:cs="Times New Roman"/>
        </w:rPr>
        <w:t>określono siedzi</w:t>
      </w:r>
      <w:r w:rsidR="00CE1EA3">
        <w:rPr>
          <w:rFonts w:cs="Times New Roman"/>
        </w:rPr>
        <w:t xml:space="preserve">bę Komisji - </w:t>
      </w:r>
      <w:r w:rsidR="00CE1EA3" w:rsidRPr="00B45FAE">
        <w:rPr>
          <w:rFonts w:cs="Times New Roman"/>
        </w:rPr>
        <w:t xml:space="preserve">jest nią </w:t>
      </w:r>
      <w:r w:rsidR="00E51978">
        <w:rPr>
          <w:rFonts w:cs="Times New Roman"/>
        </w:rPr>
        <w:t xml:space="preserve">miasto stołeczne </w:t>
      </w:r>
      <w:r w:rsidR="00CE1EA3" w:rsidRPr="00B45FAE">
        <w:rPr>
          <w:rFonts w:cs="Times New Roman"/>
        </w:rPr>
        <w:t>Warszawa.</w:t>
      </w:r>
      <w:r w:rsidR="00CE1EA3">
        <w:rPr>
          <w:rFonts w:cs="Times New Roman"/>
        </w:rPr>
        <w:t xml:space="preserve"> P</w:t>
      </w:r>
      <w:r w:rsidR="00CE1EA3" w:rsidRPr="00B45FAE">
        <w:rPr>
          <w:rFonts w:cs="Times New Roman"/>
        </w:rPr>
        <w:t>roponuje się</w:t>
      </w:r>
      <w:r w:rsidR="00CE1EA3">
        <w:rPr>
          <w:rFonts w:cs="Times New Roman"/>
        </w:rPr>
        <w:t xml:space="preserve"> także</w:t>
      </w:r>
      <w:r w:rsidR="00CE1EA3" w:rsidRPr="00B45FAE">
        <w:rPr>
          <w:rFonts w:cs="Times New Roman"/>
        </w:rPr>
        <w:t>, aby członkostwo w Komisji wygasało przed upływem kadencji z dniem prawomocnego skazania członka Komisji za przestępstwo umyślne lub umyślne przestępstwo sk</w:t>
      </w:r>
      <w:r w:rsidR="00CE1EA3">
        <w:rPr>
          <w:rFonts w:cs="Times New Roman"/>
        </w:rPr>
        <w:t>arbowe (</w:t>
      </w:r>
      <w:r w:rsidR="00CE1EA3" w:rsidRPr="00B45FAE">
        <w:rPr>
          <w:rFonts w:cs="Times New Roman"/>
        </w:rPr>
        <w:t>art. 10 ust. 1 pkt 4), w miejsce obowiązującego przepisu (art. 10 ust. 1 pkt</w:t>
      </w:r>
      <w:r w:rsidR="00EC6B7D">
        <w:rPr>
          <w:rFonts w:cs="Times New Roman"/>
        </w:rPr>
        <w:t xml:space="preserve"> 4 u</w:t>
      </w:r>
      <w:r w:rsidR="00CE1EA3" w:rsidRPr="00B45FAE">
        <w:rPr>
          <w:rFonts w:cs="Times New Roman"/>
        </w:rPr>
        <w:t>stawy), który wskazuje na prawomocne skazanie za przestępstwo oraz przestępstwo skarbowe</w:t>
      </w:r>
      <w:r w:rsidR="00E51978">
        <w:rPr>
          <w:rFonts w:cs="Times New Roman"/>
        </w:rPr>
        <w:t>, a więc niezależnie od stopnia winy</w:t>
      </w:r>
      <w:r w:rsidR="00244400">
        <w:rPr>
          <w:rFonts w:cs="Times New Roman"/>
        </w:rPr>
        <w:t>.</w:t>
      </w:r>
      <w:r w:rsidR="00CE1EA3" w:rsidRPr="00B45FAE">
        <w:rPr>
          <w:rFonts w:cs="Times New Roman"/>
        </w:rPr>
        <w:t xml:space="preserve"> Analogiczna zmiana została zaproponowana w odniesieniu do art. 6 ust. 6</w:t>
      </w:r>
      <w:r w:rsidR="00CE1EA3">
        <w:rPr>
          <w:rFonts w:cs="Times New Roman"/>
        </w:rPr>
        <w:t xml:space="preserve"> u</w:t>
      </w:r>
      <w:r w:rsidR="00CE1EA3" w:rsidRPr="00B45FAE">
        <w:rPr>
          <w:rFonts w:cs="Times New Roman"/>
        </w:rPr>
        <w:t>stawy, dotyczącego warunków, jakie musi spełniać osoba powołana w skład Komisji</w:t>
      </w:r>
      <w:r w:rsidR="00CE1EA3">
        <w:rPr>
          <w:rFonts w:cs="Times New Roman"/>
        </w:rPr>
        <w:t xml:space="preserve"> (</w:t>
      </w:r>
      <w:r w:rsidR="00CE1EA3" w:rsidRPr="00B45FAE">
        <w:rPr>
          <w:rFonts w:cs="Times New Roman"/>
        </w:rPr>
        <w:t>art. 6 ust. 6 pkt 3).</w:t>
      </w:r>
      <w:r w:rsidR="00CE1EA3">
        <w:rPr>
          <w:rFonts w:cs="Times New Roman"/>
        </w:rPr>
        <w:t xml:space="preserve"> </w:t>
      </w:r>
      <w:r w:rsidR="00CE1EA3" w:rsidRPr="00B45FAE">
        <w:rPr>
          <w:rFonts w:cs="Times New Roman"/>
        </w:rPr>
        <w:t>Zdaniem projektodawcy, słuszna jest wątpliwość czy skazanie również za nieumyślne przestępstwo lub nieumyślne przestępstwo skarbowe powinno być połączone z tak radykalnym skutkiem, jak wygaśnięcie członkostwa w Komisji</w:t>
      </w:r>
      <w:r w:rsidR="00CE1EA3">
        <w:rPr>
          <w:rFonts w:cs="Times New Roman"/>
        </w:rPr>
        <w:t xml:space="preserve"> z mocy</w:t>
      </w:r>
      <w:r w:rsidR="00244400">
        <w:rPr>
          <w:rFonts w:cs="Times New Roman"/>
        </w:rPr>
        <w:t xml:space="preserve"> prawa</w:t>
      </w:r>
      <w:r w:rsidR="00CE1EA3" w:rsidRPr="00B45FAE">
        <w:rPr>
          <w:rFonts w:cs="Times New Roman"/>
        </w:rPr>
        <w:t xml:space="preserve">. Z tego względu, konieczna jest zmiana do </w:t>
      </w:r>
      <w:r w:rsidR="00E51978">
        <w:rPr>
          <w:rFonts w:cs="Times New Roman"/>
        </w:rPr>
        <w:t>u</w:t>
      </w:r>
      <w:r w:rsidR="00CE1EA3" w:rsidRPr="00B45FAE">
        <w:rPr>
          <w:rFonts w:cs="Times New Roman"/>
        </w:rPr>
        <w:t>stawy</w:t>
      </w:r>
      <w:r w:rsidR="00244400">
        <w:rPr>
          <w:rFonts w:cs="Times New Roman"/>
        </w:rPr>
        <w:t xml:space="preserve"> </w:t>
      </w:r>
      <w:r w:rsidR="00CE1EA3" w:rsidRPr="00B45FAE">
        <w:rPr>
          <w:rFonts w:cs="Times New Roman"/>
        </w:rPr>
        <w:t>przez przyjęcie rozwiązań obowiązujących w innych ustawach - warunek prawomocnego skazania za przestępstwo umyś</w:t>
      </w:r>
      <w:r w:rsidR="00CE1EA3">
        <w:rPr>
          <w:rFonts w:cs="Times New Roman"/>
        </w:rPr>
        <w:t>l</w:t>
      </w:r>
      <w:r w:rsidR="00CE1EA3" w:rsidRPr="00B45FAE">
        <w:rPr>
          <w:rFonts w:cs="Times New Roman"/>
        </w:rPr>
        <w:t>n</w:t>
      </w:r>
      <w:r w:rsidR="00CE1EA3">
        <w:rPr>
          <w:rFonts w:cs="Times New Roman"/>
        </w:rPr>
        <w:t>e</w:t>
      </w:r>
      <w:r w:rsidR="00CE1EA3" w:rsidRPr="00B45FAE">
        <w:rPr>
          <w:rFonts w:cs="Times New Roman"/>
        </w:rPr>
        <w:t xml:space="preserve"> lub</w:t>
      </w:r>
      <w:r w:rsidR="00CE1EA3">
        <w:rPr>
          <w:rFonts w:cs="Times New Roman"/>
        </w:rPr>
        <w:t> </w:t>
      </w:r>
      <w:r w:rsidR="00CE1EA3" w:rsidRPr="00B45FAE">
        <w:rPr>
          <w:rFonts w:cs="Times New Roman"/>
        </w:rPr>
        <w:t>umyślne przestępstwo skarbowe.</w:t>
      </w:r>
      <w:r w:rsidR="00CE1EA3">
        <w:rPr>
          <w:rFonts w:cs="Times New Roman"/>
        </w:rPr>
        <w:t xml:space="preserve"> </w:t>
      </w:r>
    </w:p>
    <w:p w14:paraId="75AA2345" w14:textId="5A3FBF58" w:rsidR="00CE1EA3" w:rsidRDefault="00CE1EA3" w:rsidP="00961EDA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B45FAE">
        <w:rPr>
          <w:rFonts w:cs="Times New Roman"/>
        </w:rPr>
        <w:t xml:space="preserve">Projekt wprowadza również zasady powoływania i odwoływania oraz nadawania uprawnień zastępcom </w:t>
      </w:r>
      <w:r w:rsidR="00157AC1">
        <w:rPr>
          <w:rFonts w:cs="Times New Roman"/>
        </w:rPr>
        <w:t>p</w:t>
      </w:r>
      <w:r w:rsidRPr="00B45FAE">
        <w:rPr>
          <w:rFonts w:cs="Times New Roman"/>
        </w:rPr>
        <w:t>rzewodniczącego, ustalając ich maksymalną liczbę na dwóch</w:t>
      </w:r>
      <w:r>
        <w:rPr>
          <w:rFonts w:cs="Times New Roman"/>
        </w:rPr>
        <w:t xml:space="preserve"> (</w:t>
      </w:r>
      <w:r w:rsidR="00EC6B7D">
        <w:rPr>
          <w:rFonts w:cs="Times New Roman"/>
        </w:rPr>
        <w:t>art.</w:t>
      </w:r>
      <w:r w:rsidRPr="00B45FAE">
        <w:rPr>
          <w:rFonts w:cs="Times New Roman"/>
        </w:rPr>
        <w:t xml:space="preserve"> 13 ust</w:t>
      </w:r>
      <w:r w:rsidR="00EC6B7D">
        <w:rPr>
          <w:rFonts w:cs="Times New Roman"/>
        </w:rPr>
        <w:t>.</w:t>
      </w:r>
      <w:r w:rsidRPr="00B45FAE">
        <w:rPr>
          <w:rFonts w:cs="Times New Roman"/>
        </w:rPr>
        <w:t xml:space="preserve"> 2</w:t>
      </w:r>
      <w:r>
        <w:rPr>
          <w:rFonts w:cs="Times New Roman"/>
        </w:rPr>
        <w:t xml:space="preserve"> i </w:t>
      </w:r>
      <w:r w:rsidRPr="00B45FAE">
        <w:rPr>
          <w:rFonts w:cs="Times New Roman"/>
        </w:rPr>
        <w:t xml:space="preserve">ust. 2a-2c). Uprawnienie do złożenia wniosku o powołanie i odwołanie zastępcy </w:t>
      </w:r>
      <w:r w:rsidR="00157AC1">
        <w:rPr>
          <w:rFonts w:cs="Times New Roman"/>
        </w:rPr>
        <w:t>p</w:t>
      </w:r>
      <w:r w:rsidRPr="00B45FAE">
        <w:rPr>
          <w:rFonts w:cs="Times New Roman"/>
        </w:rPr>
        <w:t>rzewodniczącego, przyznaje także członkowi Komisji.</w:t>
      </w:r>
      <w:r>
        <w:rPr>
          <w:rFonts w:cs="Times New Roman"/>
        </w:rPr>
        <w:t xml:space="preserve"> Określenie kworum i zasad odwoływania jest niezbędne dla ważności postępowań wyjaśniających oraz dla skuteczności i</w:t>
      </w:r>
      <w:r w:rsidR="0063707A">
        <w:rPr>
          <w:rFonts w:cs="Times New Roman"/>
        </w:rPr>
        <w:t> </w:t>
      </w:r>
      <w:r>
        <w:rPr>
          <w:rFonts w:cs="Times New Roman"/>
        </w:rPr>
        <w:t>ważności czynności cywilnoprawnych dokonywanych w imieniu Komisji przez zastępcę przewodniczącego.</w:t>
      </w:r>
      <w:r w:rsidR="00961EDA">
        <w:rPr>
          <w:rFonts w:cs="Times New Roman"/>
        </w:rPr>
        <w:t xml:space="preserve"> </w:t>
      </w:r>
      <w:r w:rsidRPr="00B45FAE">
        <w:rPr>
          <w:rFonts w:cs="Times New Roman"/>
        </w:rPr>
        <w:t>Dodatkowo</w:t>
      </w:r>
      <w:r>
        <w:rPr>
          <w:rFonts w:cs="Times New Roman"/>
        </w:rPr>
        <w:t xml:space="preserve"> w</w:t>
      </w:r>
      <w:r w:rsidRPr="00B45FAE">
        <w:rPr>
          <w:rFonts w:cs="Times New Roman"/>
        </w:rPr>
        <w:t xml:space="preserve"> art. 15 wskazuje się na konieczność określenia przez Komisję zarówno regulamin</w:t>
      </w:r>
      <w:r>
        <w:rPr>
          <w:rFonts w:cs="Times New Roman"/>
        </w:rPr>
        <w:t>u</w:t>
      </w:r>
      <w:r w:rsidRPr="00B45FAE">
        <w:rPr>
          <w:rFonts w:cs="Times New Roman"/>
        </w:rPr>
        <w:t xml:space="preserve"> swojego działania oraz wzorów informacji i dokumentów okre</w:t>
      </w:r>
      <w:r>
        <w:rPr>
          <w:rFonts w:cs="Times New Roman"/>
        </w:rPr>
        <w:t>ślonych w u</w:t>
      </w:r>
      <w:r w:rsidRPr="00B45FAE">
        <w:rPr>
          <w:rFonts w:cs="Times New Roman"/>
        </w:rPr>
        <w:t xml:space="preserve">stawie. </w:t>
      </w:r>
      <w:r>
        <w:rPr>
          <w:rFonts w:cs="Times New Roman"/>
        </w:rPr>
        <w:t xml:space="preserve">Proponowane </w:t>
      </w:r>
      <w:r w:rsidR="00905CAC">
        <w:rPr>
          <w:rFonts w:cs="Times New Roman"/>
        </w:rPr>
        <w:t xml:space="preserve">zaś </w:t>
      </w:r>
      <w:r w:rsidR="00941897">
        <w:rPr>
          <w:rFonts w:cs="Times New Roman"/>
        </w:rPr>
        <w:t xml:space="preserve">w </w:t>
      </w:r>
      <w:r w:rsidRPr="00B45FAE">
        <w:rPr>
          <w:rFonts w:cs="Times New Roman"/>
        </w:rPr>
        <w:t xml:space="preserve">art. 17 ust. </w:t>
      </w:r>
      <w:r w:rsidR="00EC6B7D">
        <w:rPr>
          <w:rFonts w:cs="Times New Roman"/>
        </w:rPr>
        <w:t>1, 1a-</w:t>
      </w:r>
      <w:r w:rsidRPr="00B45FAE">
        <w:rPr>
          <w:rFonts w:cs="Times New Roman"/>
        </w:rPr>
        <w:t xml:space="preserve">1b i </w:t>
      </w:r>
      <w:r w:rsidR="00E51978">
        <w:rPr>
          <w:rFonts w:cs="Times New Roman"/>
        </w:rPr>
        <w:t xml:space="preserve">ust. </w:t>
      </w:r>
      <w:r w:rsidRPr="00B45FAE">
        <w:rPr>
          <w:rFonts w:cs="Times New Roman"/>
        </w:rPr>
        <w:t xml:space="preserve">2 </w:t>
      </w:r>
      <w:r w:rsidR="00941897">
        <w:rPr>
          <w:rFonts w:cs="Times New Roman"/>
        </w:rPr>
        <w:t xml:space="preserve">zmiany </w:t>
      </w:r>
      <w:r w:rsidRPr="00B45FAE">
        <w:rPr>
          <w:rFonts w:cs="Times New Roman"/>
        </w:rPr>
        <w:t>regulują kwestie obsługi merytorycznej, administracyjnej i</w:t>
      </w:r>
      <w:r>
        <w:rPr>
          <w:rFonts w:cs="Times New Roman"/>
        </w:rPr>
        <w:t> </w:t>
      </w:r>
      <w:r w:rsidRPr="00B45FAE">
        <w:rPr>
          <w:rFonts w:cs="Times New Roman"/>
        </w:rPr>
        <w:t xml:space="preserve">biurowej Komisji, określają także wzajemne relacje </w:t>
      </w:r>
      <w:r w:rsidR="00157AC1">
        <w:rPr>
          <w:rFonts w:cs="Times New Roman"/>
        </w:rPr>
        <w:t>p</w:t>
      </w:r>
      <w:r w:rsidRPr="00B45FAE">
        <w:rPr>
          <w:rFonts w:cs="Times New Roman"/>
        </w:rPr>
        <w:t xml:space="preserve">rzewodniczącego Komisji, jego zastępców, </w:t>
      </w:r>
      <w:r w:rsidRPr="00905CAC">
        <w:rPr>
          <w:rFonts w:cs="Times New Roman"/>
        </w:rPr>
        <w:t xml:space="preserve">dyrektora generalnego </w:t>
      </w:r>
      <w:r w:rsidRPr="00B45FAE">
        <w:rPr>
          <w:rFonts w:cs="Times New Roman"/>
        </w:rPr>
        <w:t xml:space="preserve">i pracowników Urzędu </w:t>
      </w:r>
      <w:r w:rsidRPr="00B45FAE">
        <w:rPr>
          <w:rFonts w:cs="Times New Roman"/>
        </w:rPr>
        <w:lastRenderedPageBreak/>
        <w:t>Komisji.</w:t>
      </w:r>
    </w:p>
    <w:p w14:paraId="1B1807D4" w14:textId="77777777" w:rsidR="00CE1EA3" w:rsidRPr="00B45FAE" w:rsidRDefault="00CE1EA3" w:rsidP="00BF5AF9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7A4DE366" w14:textId="4AC81222" w:rsidR="00CE1EA3" w:rsidRPr="00B45FAE" w:rsidRDefault="00CE1EA3" w:rsidP="00EF3BF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B45FAE">
        <w:rPr>
          <w:rFonts w:cs="Times New Roman"/>
        </w:rPr>
        <w:t xml:space="preserve">Projekt </w:t>
      </w:r>
      <w:r w:rsidR="005E3339">
        <w:rPr>
          <w:rFonts w:cs="Times New Roman"/>
        </w:rPr>
        <w:t xml:space="preserve">w art. 22 ust. 3 </w:t>
      </w:r>
      <w:r w:rsidRPr="00B45FAE">
        <w:rPr>
          <w:rFonts w:cs="Times New Roman"/>
        </w:rPr>
        <w:t>wprowadza podstawę do nieprzekazania prokuratorowi zgłoszenia o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podejr</w:t>
      </w:r>
      <w:r w:rsidR="005E3339">
        <w:rPr>
          <w:rFonts w:cs="Times New Roman"/>
        </w:rPr>
        <w:t>zeniu popełnienia przestępstwa</w:t>
      </w:r>
      <w:r w:rsidR="00EF3BF1">
        <w:rPr>
          <w:rFonts w:cs="Times New Roman"/>
        </w:rPr>
        <w:t>.</w:t>
      </w:r>
      <w:r w:rsidRPr="00B45FAE">
        <w:rPr>
          <w:rFonts w:cs="Times New Roman"/>
        </w:rPr>
        <w:t xml:space="preserve"> Dotyczy to sytuacji, w której z treści zgłoszenia, </w:t>
      </w:r>
      <w:r w:rsidR="005E3339">
        <w:rPr>
          <w:rFonts w:cs="Times New Roman"/>
        </w:rPr>
        <w:t>o którym mowa w art. 21 ust. 1 u</w:t>
      </w:r>
      <w:r w:rsidRPr="00B45FAE">
        <w:rPr>
          <w:rFonts w:cs="Times New Roman"/>
        </w:rPr>
        <w:t>stawy</w:t>
      </w:r>
      <w:r w:rsidR="00BF5AF9">
        <w:rPr>
          <w:rFonts w:cs="Times New Roman"/>
        </w:rPr>
        <w:t>,</w:t>
      </w:r>
      <w:r w:rsidRPr="00B45FAE">
        <w:rPr>
          <w:rFonts w:cs="Times New Roman"/>
        </w:rPr>
        <w:t xml:space="preserve"> wynika, że w sprawie zostało prawomocnie zakończone postępowanie decyzją o odmowie wszczęcia albo o umorzeniu, ze względu na przedawnienie karalności. Wówczas Komisja mogłaby odstąpić od czynności niezwłocznego przekazania zgłoszenia prokuratorowi prokuratury właściwej ze względu na miejsce zamieszkania osoby poszkodowanej, co nakazuje obowiązujący art</w:t>
      </w:r>
      <w:r w:rsidR="005E3339">
        <w:rPr>
          <w:rFonts w:cs="Times New Roman"/>
        </w:rPr>
        <w:t>. 22 ust. 1 u</w:t>
      </w:r>
      <w:r w:rsidRPr="00B45FAE">
        <w:rPr>
          <w:rFonts w:cs="Times New Roman"/>
        </w:rPr>
        <w:t>stawy. Komisja mogłaby zwrócić się bezpośrednio do</w:t>
      </w:r>
      <w:r>
        <w:rPr>
          <w:rFonts w:cs="Times New Roman"/>
        </w:rPr>
        <w:t> </w:t>
      </w:r>
      <w:r w:rsidRPr="00B45FAE">
        <w:rPr>
          <w:rFonts w:cs="Times New Roman"/>
        </w:rPr>
        <w:t>właściwej w</w:t>
      </w:r>
      <w:r w:rsidR="00EF3BF1">
        <w:rPr>
          <w:rFonts w:cs="Times New Roman"/>
        </w:rPr>
        <w:t>edłu</w:t>
      </w:r>
      <w:r w:rsidRPr="00B45FAE">
        <w:rPr>
          <w:rFonts w:cs="Times New Roman"/>
        </w:rPr>
        <w:t>g przepisów Kodeksu postępowania karnego prokuratury lub sądu o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przekazanie akt sprawy.</w:t>
      </w:r>
      <w:r w:rsidR="005E3339">
        <w:rPr>
          <w:rFonts w:cs="Times New Roman"/>
        </w:rPr>
        <w:t xml:space="preserve"> P</w:t>
      </w:r>
      <w:r w:rsidRPr="00B45FAE">
        <w:rPr>
          <w:rFonts w:cs="Times New Roman"/>
        </w:rPr>
        <w:t>roponowana regulacja przyspieszy postępowanie Komisji w</w:t>
      </w:r>
      <w:r>
        <w:rPr>
          <w:rFonts w:cs="Times New Roman"/>
        </w:rPr>
        <w:t> </w:t>
      </w:r>
      <w:r w:rsidRPr="00B45FAE">
        <w:rPr>
          <w:rFonts w:cs="Times New Roman"/>
        </w:rPr>
        <w:t xml:space="preserve">zakresie postępowania wyjaśniającego </w:t>
      </w:r>
      <w:r>
        <w:rPr>
          <w:rFonts w:cs="Times New Roman"/>
        </w:rPr>
        <w:t>oraz</w:t>
      </w:r>
      <w:r w:rsidRPr="00B45FAE">
        <w:rPr>
          <w:rFonts w:cs="Times New Roman"/>
        </w:rPr>
        <w:t xml:space="preserve"> wyeliminuje zbędne czynności organu procesowego i</w:t>
      </w:r>
      <w:r>
        <w:rPr>
          <w:rFonts w:cs="Times New Roman"/>
        </w:rPr>
        <w:t> </w:t>
      </w:r>
      <w:r w:rsidRPr="00B45FAE">
        <w:rPr>
          <w:rFonts w:cs="Times New Roman"/>
        </w:rPr>
        <w:t xml:space="preserve"> Komisji.</w:t>
      </w:r>
      <w:r w:rsidR="00EF3BF1">
        <w:rPr>
          <w:rFonts w:cs="Times New Roman"/>
        </w:rPr>
        <w:t xml:space="preserve"> </w:t>
      </w:r>
      <w:r w:rsidRPr="00B45FAE">
        <w:rPr>
          <w:rFonts w:cs="Times New Roman"/>
        </w:rPr>
        <w:t xml:space="preserve">Projekt </w:t>
      </w:r>
      <w:r w:rsidR="00EC6B7D">
        <w:rPr>
          <w:rFonts w:cs="Times New Roman"/>
        </w:rPr>
        <w:t xml:space="preserve">ustawy </w:t>
      </w:r>
      <w:r w:rsidRPr="00B45FAE">
        <w:rPr>
          <w:rFonts w:cs="Times New Roman"/>
        </w:rPr>
        <w:t xml:space="preserve">przewiduje </w:t>
      </w:r>
      <w:r w:rsidR="00EF3BF1">
        <w:rPr>
          <w:rFonts w:cs="Times New Roman"/>
        </w:rPr>
        <w:t xml:space="preserve">także </w:t>
      </w:r>
      <w:r w:rsidRPr="00B45FAE">
        <w:rPr>
          <w:rFonts w:cs="Times New Roman"/>
        </w:rPr>
        <w:t>wyodrębnienie procedury postępowania w przypadku oczywistej bezzasadności zgłoszenia, określa skład Komisji przy podjęciu decyzji w tym przedmiocie oraz jej formę.</w:t>
      </w:r>
      <w:bookmarkStart w:id="1" w:name="_Hlk69300610"/>
      <w:bookmarkEnd w:id="1"/>
      <w:r>
        <w:rPr>
          <w:rFonts w:cs="Times New Roman"/>
        </w:rPr>
        <w:t xml:space="preserve"> </w:t>
      </w:r>
      <w:bookmarkStart w:id="2" w:name="_Hlk69300677"/>
      <w:bookmarkEnd w:id="2"/>
      <w:r w:rsidR="00EF3BF1">
        <w:rPr>
          <w:rFonts w:cs="Times New Roman"/>
        </w:rPr>
        <w:t xml:space="preserve">Natomiast poprzez dodanie art. 23a projekt ustawy </w:t>
      </w:r>
      <w:r w:rsidRPr="00B45FAE">
        <w:rPr>
          <w:rFonts w:cs="Times New Roman"/>
        </w:rPr>
        <w:t xml:space="preserve">wychodzi naprzeciw sytuacjom, w których do Komisji wpływają </w:t>
      </w:r>
      <w:r w:rsidR="00157AC1">
        <w:rPr>
          <w:rFonts w:cs="Times New Roman"/>
        </w:rPr>
        <w:t>zgłoszenia</w:t>
      </w:r>
      <w:r w:rsidRPr="00B45FAE">
        <w:rPr>
          <w:rFonts w:cs="Times New Roman"/>
        </w:rPr>
        <w:t xml:space="preserve"> niezawierające żądań lub informacji umożliwiających nadanie im dalszego biegu. Przed podjęciem uchwały o pozostawieniu takiego zgłoszenia bez rozpoznania, </w:t>
      </w:r>
      <w:r>
        <w:rPr>
          <w:rFonts w:cs="Times New Roman"/>
        </w:rPr>
        <w:t>K</w:t>
      </w:r>
      <w:r w:rsidRPr="00B45FAE">
        <w:rPr>
          <w:rFonts w:cs="Times New Roman"/>
        </w:rPr>
        <w:t>omisja wzywa osobę zgłaszającą do uzupełnienia zgłoszenia</w:t>
      </w:r>
      <w:r w:rsidR="00157AC1">
        <w:rPr>
          <w:rFonts w:cs="Times New Roman"/>
        </w:rPr>
        <w:t>.</w:t>
      </w:r>
      <w:r w:rsidRPr="00B45FAE">
        <w:rPr>
          <w:rFonts w:cs="Times New Roman"/>
        </w:rPr>
        <w:t xml:space="preserve"> Projekt przewiduje, że</w:t>
      </w:r>
      <w:r>
        <w:rPr>
          <w:rFonts w:cs="Times New Roman"/>
        </w:rPr>
        <w:t> </w:t>
      </w:r>
      <w:r w:rsidRPr="00B45FAE">
        <w:rPr>
          <w:rFonts w:cs="Times New Roman"/>
        </w:rPr>
        <w:t>nieuzupełnienie braków w wyznaczonym terminie nie wyłącza</w:t>
      </w:r>
      <w:r w:rsidR="00905CAC">
        <w:rPr>
          <w:rFonts w:cs="Times New Roman"/>
        </w:rPr>
        <w:t xml:space="preserve"> jednak</w:t>
      </w:r>
      <w:r w:rsidRPr="00B45FAE">
        <w:rPr>
          <w:rFonts w:cs="Times New Roman"/>
        </w:rPr>
        <w:t xml:space="preserve"> możliwości dokonania</w:t>
      </w:r>
      <w:r w:rsidR="00745354">
        <w:rPr>
          <w:rFonts w:cs="Times New Roman"/>
        </w:rPr>
        <w:t xml:space="preserve"> w przyszłości</w:t>
      </w:r>
      <w:r w:rsidRPr="00B45FAE">
        <w:rPr>
          <w:rFonts w:cs="Times New Roman"/>
        </w:rPr>
        <w:t xml:space="preserve"> nowego zgłoszenia. </w:t>
      </w:r>
    </w:p>
    <w:p w14:paraId="1919AE80" w14:textId="77777777" w:rsidR="00EC6B7D" w:rsidRDefault="00EC6B7D" w:rsidP="00EC6B7D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151E4865" w14:textId="3EB874FB" w:rsidR="00EF3BF1" w:rsidRDefault="00157AC1" w:rsidP="00EF3BF1">
      <w:pPr>
        <w:pStyle w:val="Tekstpodstawowy"/>
        <w:spacing w:after="0" w:line="360" w:lineRule="auto"/>
        <w:ind w:firstLine="708"/>
        <w:jc w:val="both"/>
        <w:rPr>
          <w:rFonts w:eastAsia="Calibri"/>
        </w:rPr>
      </w:pPr>
      <w:r>
        <w:rPr>
          <w:rFonts w:cs="Times New Roman"/>
        </w:rPr>
        <w:t>W</w:t>
      </w:r>
      <w:r w:rsidR="00CE1EA3" w:rsidRPr="00B45FAE">
        <w:rPr>
          <w:rFonts w:cs="Times New Roman"/>
        </w:rPr>
        <w:t xml:space="preserve"> </w:t>
      </w:r>
      <w:r>
        <w:rPr>
          <w:rFonts w:cs="Times New Roman"/>
        </w:rPr>
        <w:t>p</w:t>
      </w:r>
      <w:r w:rsidR="00CE1EA3" w:rsidRPr="00B45FAE">
        <w:rPr>
          <w:rFonts w:cs="Times New Roman"/>
        </w:rPr>
        <w:t>rojekcie proponuje się nowe brzmienie art. 19 oraz dodanie art. 19a-</w:t>
      </w:r>
      <w:r>
        <w:rPr>
          <w:rFonts w:cs="Times New Roman"/>
        </w:rPr>
        <w:t>19</w:t>
      </w:r>
      <w:r w:rsidR="00CE1EA3" w:rsidRPr="00B45FAE">
        <w:rPr>
          <w:rFonts w:cs="Times New Roman"/>
        </w:rPr>
        <w:t>d, które w</w:t>
      </w:r>
      <w:r w:rsidR="0063707A">
        <w:rPr>
          <w:rFonts w:cs="Times New Roman"/>
        </w:rPr>
        <w:t> </w:t>
      </w:r>
      <w:r w:rsidR="00CE1EA3" w:rsidRPr="00B45FAE">
        <w:rPr>
          <w:rFonts w:cs="Times New Roman"/>
        </w:rPr>
        <w:t>jasny sposób wprowadzają ogólne podstawy działania przed Komisją</w:t>
      </w:r>
      <w:r w:rsidR="00CE1EA3">
        <w:rPr>
          <w:rFonts w:cs="Times New Roman"/>
        </w:rPr>
        <w:t>,</w:t>
      </w:r>
      <w:r w:rsidR="00CE1EA3" w:rsidRPr="00B45FAE">
        <w:rPr>
          <w:rFonts w:cs="Times New Roman"/>
        </w:rPr>
        <w:t xml:space="preserve"> jak również podejmowania uchwał i innych decyzji. </w:t>
      </w:r>
      <w:r w:rsidR="00EF3BF1" w:rsidRPr="00EF3BF1">
        <w:rPr>
          <w:rFonts w:cs="Times New Roman"/>
        </w:rPr>
        <w:t>Art. 19 ust. 1 określa, że Komisja prowadzi postępowanie w czterech obszarach: zgłoszenia o podejrzeniu popełnienia przestępstwa (pkt 1), zgłoszenia podejrzenia niezawiadomienia właściwego organu o podejrzeniu popełnienia przestępstwa (pkt 2), zgłoszenia monitorowania postępowania karnego (pkt 3) oraz prawomocnego orzeczenia o odmowie wszczęcia lub umorzeniu postępowania karnego ze względu na przedawnienie karalności przestępstwa (pkt 4).</w:t>
      </w:r>
      <w:r w:rsidR="00EF3BF1">
        <w:rPr>
          <w:rFonts w:cs="Times New Roman"/>
        </w:rPr>
        <w:t>Takie ujęcie zapewni przejrzystość ustawy</w:t>
      </w:r>
      <w:r w:rsidR="00961EDA">
        <w:rPr>
          <w:rFonts w:cs="Times New Roman"/>
        </w:rPr>
        <w:t xml:space="preserve"> i właściwie ujmować będzie zakres kompetencyjny działania Komisji</w:t>
      </w:r>
      <w:r w:rsidR="00EF3BF1" w:rsidRPr="00EF3BF1">
        <w:rPr>
          <w:rFonts w:cs="Times New Roman"/>
        </w:rPr>
        <w:t>.</w:t>
      </w:r>
    </w:p>
    <w:p w14:paraId="3210F259" w14:textId="06CD150D" w:rsidR="00CE1EA3" w:rsidRPr="00B45FAE" w:rsidRDefault="00CE1EA3" w:rsidP="00EF3BF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>
        <w:rPr>
          <w:rFonts w:eastAsia="Calibri"/>
        </w:rPr>
        <w:t>Projekt przewiduje, że Komisja będzie wydawać postanowienia wyłącznie w</w:t>
      </w:r>
      <w:r w:rsidR="0063707A">
        <w:rPr>
          <w:rFonts w:eastAsia="Calibri"/>
        </w:rPr>
        <w:t> </w:t>
      </w:r>
      <w:r>
        <w:rPr>
          <w:rFonts w:eastAsia="Calibri"/>
        </w:rPr>
        <w:t xml:space="preserve">przedmiocie wpisu w Rejestrze oraz podejmować uchwały w innych sprawach, w tym co do oczywistej bezzasadności zgłoszenia, pozostawienia zgłoszenia bez rozpoznania lub wstąpienia </w:t>
      </w:r>
      <w:r>
        <w:rPr>
          <w:rFonts w:eastAsia="Calibri"/>
        </w:rPr>
        <w:lastRenderedPageBreak/>
        <w:t>do postępowania sądowego na prawach oskarżyciela posiłkowego. Projekt wprowadza uregulowania w zakresie składania podpisów przez członków Komisji pod postanowieniami i</w:t>
      </w:r>
      <w:r w:rsidR="0063707A">
        <w:rPr>
          <w:rFonts w:eastAsia="Calibri"/>
        </w:rPr>
        <w:t> </w:t>
      </w:r>
      <w:r>
        <w:rPr>
          <w:rFonts w:eastAsia="Calibri"/>
        </w:rPr>
        <w:t xml:space="preserve">uchwałami, możliwość złożenia zdania odrębnego, a także sporządzania uzasadnienia (art. 19b i art. 19c). Jest to celowe z uwagi na gwarancje procesowe i prawa osób uczestniczących w postępowaniu, które mają możliwość poznania motywów, jakimi kierowała się Komisja lub jej członek. </w:t>
      </w:r>
      <w:r>
        <w:rPr>
          <w:rFonts w:cs="Times New Roman"/>
        </w:rPr>
        <w:t xml:space="preserve">Projekt </w:t>
      </w:r>
      <w:r w:rsidR="0007569D">
        <w:rPr>
          <w:rFonts w:cs="Times New Roman"/>
        </w:rPr>
        <w:t xml:space="preserve">doprecyzowuje, że </w:t>
      </w:r>
      <w:r w:rsidR="00EF3BF1">
        <w:rPr>
          <w:rFonts w:cs="Times New Roman"/>
        </w:rPr>
        <w:t>przewodnicząc</w:t>
      </w:r>
      <w:r w:rsidR="0007569D">
        <w:rPr>
          <w:rFonts w:cs="Times New Roman"/>
        </w:rPr>
        <w:t>y</w:t>
      </w:r>
      <w:r w:rsidR="00EF3BF1">
        <w:rPr>
          <w:rFonts w:cs="Times New Roman"/>
        </w:rPr>
        <w:t xml:space="preserve"> </w:t>
      </w:r>
      <w:r w:rsidRPr="00B45FAE">
        <w:rPr>
          <w:rFonts w:cs="Times New Roman"/>
        </w:rPr>
        <w:t>Komisji</w:t>
      </w:r>
      <w:r w:rsidR="0063707A">
        <w:rPr>
          <w:rFonts w:cs="Times New Roman"/>
        </w:rPr>
        <w:t xml:space="preserve"> może wydawać zarządzenia</w:t>
      </w:r>
      <w:r w:rsidR="00EC6B7D">
        <w:rPr>
          <w:rFonts w:cs="Times New Roman"/>
        </w:rPr>
        <w:t xml:space="preserve"> (</w:t>
      </w:r>
      <w:r>
        <w:rPr>
          <w:rFonts w:cs="Times New Roman"/>
        </w:rPr>
        <w:t>art. 19 ust. 2)</w:t>
      </w:r>
      <w:r w:rsidRPr="00B45FAE">
        <w:rPr>
          <w:rFonts w:cs="Times New Roman"/>
        </w:rPr>
        <w:t xml:space="preserve">. </w:t>
      </w:r>
    </w:p>
    <w:p w14:paraId="37A61089" w14:textId="77777777" w:rsidR="00EC6B7D" w:rsidRDefault="00EC6B7D" w:rsidP="0007569D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0707BA82" w14:textId="29DEC7BF" w:rsidR="00EC6B7D" w:rsidRPr="00B45FAE" w:rsidRDefault="00EC6B7D" w:rsidP="00F51E3A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B45FAE">
        <w:rPr>
          <w:rFonts w:cs="Times New Roman"/>
        </w:rPr>
        <w:t>Odnosząc się do</w:t>
      </w:r>
      <w:r w:rsidR="0044527F">
        <w:rPr>
          <w:rFonts w:cs="Times New Roman"/>
        </w:rPr>
        <w:t xml:space="preserve"> </w:t>
      </w:r>
      <w:r w:rsidR="00D4450F">
        <w:rPr>
          <w:rFonts w:cs="Times New Roman"/>
        </w:rPr>
        <w:t xml:space="preserve">proponowanych zmian w zakresie </w:t>
      </w:r>
      <w:r w:rsidR="0044527F">
        <w:rPr>
          <w:rFonts w:cs="Times New Roman"/>
        </w:rPr>
        <w:t>kompetencji</w:t>
      </w:r>
      <w:r w:rsidRPr="00B45FAE">
        <w:rPr>
          <w:rFonts w:cs="Times New Roman"/>
        </w:rPr>
        <w:t xml:space="preserve"> </w:t>
      </w:r>
      <w:r w:rsidR="00D4450F">
        <w:rPr>
          <w:rFonts w:cs="Times New Roman"/>
        </w:rPr>
        <w:t xml:space="preserve">Komisji do </w:t>
      </w:r>
      <w:r w:rsidRPr="00B45FAE">
        <w:rPr>
          <w:rFonts w:cs="Times New Roman"/>
        </w:rPr>
        <w:t xml:space="preserve">monitorowania postępowania karnego (przygotowawczego </w:t>
      </w:r>
      <w:r>
        <w:rPr>
          <w:rFonts w:cs="Times New Roman"/>
        </w:rPr>
        <w:t xml:space="preserve">lub </w:t>
      </w:r>
      <w:r w:rsidRPr="00B45FAE">
        <w:rPr>
          <w:rFonts w:cs="Times New Roman"/>
        </w:rPr>
        <w:t xml:space="preserve">sądowego), </w:t>
      </w:r>
      <w:r w:rsidR="009C4661">
        <w:rPr>
          <w:rFonts w:cs="Times New Roman"/>
        </w:rPr>
        <w:t xml:space="preserve">to </w:t>
      </w:r>
      <w:r w:rsidR="00961EDA">
        <w:rPr>
          <w:rFonts w:cs="Times New Roman"/>
        </w:rPr>
        <w:t>c</w:t>
      </w:r>
      <w:r w:rsidRPr="00B45FAE">
        <w:rPr>
          <w:rFonts w:cs="Times New Roman"/>
        </w:rPr>
        <w:t>elem objęcia jak najszerszego spektrum spraw w ramach zadań Komisji</w:t>
      </w:r>
      <w:r>
        <w:rPr>
          <w:rFonts w:cs="Times New Roman"/>
        </w:rPr>
        <w:t xml:space="preserve">, </w:t>
      </w:r>
      <w:r w:rsidR="00CB2BAA">
        <w:rPr>
          <w:rFonts w:cs="Times New Roman"/>
        </w:rPr>
        <w:t>p</w:t>
      </w:r>
      <w:r>
        <w:rPr>
          <w:rFonts w:cs="Times New Roman"/>
        </w:rPr>
        <w:t>rojekt</w:t>
      </w:r>
      <w:r w:rsidRPr="00B45FAE">
        <w:rPr>
          <w:rFonts w:cs="Times New Roman"/>
        </w:rPr>
        <w:t xml:space="preserve"> wprowadz</w:t>
      </w:r>
      <w:r>
        <w:rPr>
          <w:rFonts w:cs="Times New Roman"/>
        </w:rPr>
        <w:t>a</w:t>
      </w:r>
      <w:r w:rsidRPr="00B45FAE">
        <w:rPr>
          <w:rFonts w:cs="Times New Roman"/>
        </w:rPr>
        <w:t xml:space="preserve"> obowiąz</w:t>
      </w:r>
      <w:r>
        <w:rPr>
          <w:rFonts w:cs="Times New Roman"/>
        </w:rPr>
        <w:t>e</w:t>
      </w:r>
      <w:r w:rsidRPr="00B45FAE">
        <w:rPr>
          <w:rFonts w:cs="Times New Roman"/>
        </w:rPr>
        <w:t xml:space="preserve">k przesyłania przez prokuratorów </w:t>
      </w:r>
      <w:r w:rsidR="0063707A">
        <w:rPr>
          <w:rFonts w:cs="Times New Roman"/>
        </w:rPr>
        <w:t xml:space="preserve">do Komisji </w:t>
      </w:r>
      <w:r w:rsidR="00833A95">
        <w:rPr>
          <w:rFonts w:cs="Times New Roman"/>
        </w:rPr>
        <w:t xml:space="preserve">nie tylko </w:t>
      </w:r>
      <w:r w:rsidR="00F51E3A">
        <w:rPr>
          <w:rFonts w:cs="Times New Roman"/>
        </w:rPr>
        <w:t xml:space="preserve">odpisów </w:t>
      </w:r>
      <w:r w:rsidR="00833A95">
        <w:rPr>
          <w:rFonts w:cs="Times New Roman"/>
        </w:rPr>
        <w:t>wnoszon</w:t>
      </w:r>
      <w:r w:rsidR="00F51E3A">
        <w:rPr>
          <w:rFonts w:cs="Times New Roman"/>
        </w:rPr>
        <w:t>ych</w:t>
      </w:r>
      <w:r w:rsidR="00833A95">
        <w:rPr>
          <w:rFonts w:cs="Times New Roman"/>
        </w:rPr>
        <w:t xml:space="preserve"> do sądu </w:t>
      </w:r>
      <w:r w:rsidRPr="00B45FAE">
        <w:rPr>
          <w:rFonts w:cs="Times New Roman"/>
        </w:rPr>
        <w:t>akt</w:t>
      </w:r>
      <w:r w:rsidR="00F51E3A">
        <w:rPr>
          <w:rFonts w:cs="Times New Roman"/>
        </w:rPr>
        <w:t>ów</w:t>
      </w:r>
      <w:r w:rsidRPr="00B45FAE">
        <w:rPr>
          <w:rFonts w:cs="Times New Roman"/>
        </w:rPr>
        <w:t xml:space="preserve"> oskarżenia</w:t>
      </w:r>
      <w:r>
        <w:rPr>
          <w:rFonts w:cs="Times New Roman"/>
        </w:rPr>
        <w:t xml:space="preserve">, </w:t>
      </w:r>
      <w:r w:rsidR="00961EDA">
        <w:rPr>
          <w:rFonts w:cs="Times New Roman"/>
        </w:rPr>
        <w:t xml:space="preserve">ale również </w:t>
      </w:r>
      <w:r w:rsidR="00F51E3A">
        <w:rPr>
          <w:rFonts w:cs="Times New Roman"/>
        </w:rPr>
        <w:t xml:space="preserve">odpisów </w:t>
      </w:r>
      <w:r w:rsidRPr="00B45FAE">
        <w:rPr>
          <w:rFonts w:cs="Times New Roman"/>
        </w:rPr>
        <w:t>wniosk</w:t>
      </w:r>
      <w:r w:rsidR="00F51E3A">
        <w:rPr>
          <w:rFonts w:cs="Times New Roman"/>
        </w:rPr>
        <w:t>ów</w:t>
      </w:r>
      <w:r w:rsidRPr="00B45FAE">
        <w:rPr>
          <w:rFonts w:cs="Times New Roman"/>
        </w:rPr>
        <w:t xml:space="preserve"> w trybie art. 335 k.p.k. albo art. 336 k.p.k.</w:t>
      </w:r>
      <w:r>
        <w:rPr>
          <w:rFonts w:cs="Times New Roman"/>
        </w:rPr>
        <w:t xml:space="preserve"> (art. 24 ust. 5)</w:t>
      </w:r>
      <w:r w:rsidRPr="00B45FAE">
        <w:rPr>
          <w:rFonts w:cs="Times New Roman"/>
        </w:rPr>
        <w:t>.</w:t>
      </w:r>
      <w:r w:rsidR="0044527F">
        <w:rPr>
          <w:rFonts w:cs="Times New Roman"/>
        </w:rPr>
        <w:t xml:space="preserve"> </w:t>
      </w:r>
      <w:r w:rsidRPr="00B45FAE">
        <w:rPr>
          <w:rFonts w:cs="Times New Roman"/>
        </w:rPr>
        <w:t xml:space="preserve">W przypadku monitorowania postępowania </w:t>
      </w:r>
      <w:r w:rsidR="00833A95">
        <w:rPr>
          <w:rFonts w:cs="Times New Roman"/>
        </w:rPr>
        <w:t xml:space="preserve">przygotowawczego lub </w:t>
      </w:r>
      <w:r w:rsidRPr="00B45FAE">
        <w:rPr>
          <w:rFonts w:cs="Times New Roman"/>
        </w:rPr>
        <w:t xml:space="preserve">sądowego Komisji </w:t>
      </w:r>
      <w:r w:rsidR="00F51E3A">
        <w:rPr>
          <w:rFonts w:cs="Times New Roman"/>
        </w:rPr>
        <w:t xml:space="preserve">będzie </w:t>
      </w:r>
      <w:r w:rsidRPr="00B45FAE">
        <w:rPr>
          <w:rFonts w:cs="Times New Roman"/>
        </w:rPr>
        <w:t>przysług</w:t>
      </w:r>
      <w:r w:rsidR="00F51E3A">
        <w:rPr>
          <w:rFonts w:cs="Times New Roman"/>
        </w:rPr>
        <w:t>iwało</w:t>
      </w:r>
      <w:r w:rsidRPr="00B45FAE">
        <w:rPr>
          <w:rFonts w:cs="Times New Roman"/>
        </w:rPr>
        <w:t xml:space="preserve"> prawo wglądu do akt także w Urzędzie </w:t>
      </w:r>
      <w:r w:rsidR="0044527F">
        <w:rPr>
          <w:rFonts w:cs="Times New Roman"/>
        </w:rPr>
        <w:t>Komisji (</w:t>
      </w:r>
      <w:r w:rsidR="00833A95">
        <w:rPr>
          <w:rFonts w:cs="Times New Roman"/>
        </w:rPr>
        <w:t xml:space="preserve">art. 25 ust. 1 pkt 1 i </w:t>
      </w:r>
      <w:r w:rsidRPr="00B45FAE">
        <w:rPr>
          <w:rFonts w:cs="Times New Roman"/>
        </w:rPr>
        <w:t>art. 25 ust. 1</w:t>
      </w:r>
      <w:r w:rsidR="00833A95">
        <w:rPr>
          <w:rFonts w:cs="Times New Roman"/>
        </w:rPr>
        <w:t xml:space="preserve"> pkt 1</w:t>
      </w:r>
      <w:r w:rsidRPr="00B45FAE">
        <w:rPr>
          <w:rFonts w:cs="Times New Roman"/>
        </w:rPr>
        <w:t xml:space="preserve">). </w:t>
      </w:r>
    </w:p>
    <w:p w14:paraId="49E13B72" w14:textId="22CBF82B" w:rsidR="007649DA" w:rsidRPr="00DB7B79" w:rsidRDefault="007649DA" w:rsidP="00F42753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B45FAE">
        <w:rPr>
          <w:rFonts w:cs="Times New Roman"/>
        </w:rPr>
        <w:t>Istotnym uprawnieniem Komisji w zakresie monitorowania postęp</w:t>
      </w:r>
      <w:r>
        <w:rPr>
          <w:rFonts w:cs="Times New Roman"/>
        </w:rPr>
        <w:t>owania sądowego</w:t>
      </w:r>
      <w:r w:rsidRPr="00B45FAE">
        <w:rPr>
          <w:rFonts w:cs="Times New Roman"/>
        </w:rPr>
        <w:t xml:space="preserve"> jest działanie na prawach oskarżyciela posiłkowego. Ustawa nie precyzuje jednak tego uprawnienia</w:t>
      </w:r>
      <w:r w:rsidR="00CB2BAA">
        <w:rPr>
          <w:rFonts w:cs="Times New Roman"/>
        </w:rPr>
        <w:t>,</w:t>
      </w:r>
      <w:r w:rsidRPr="00B45FAE">
        <w:rPr>
          <w:rFonts w:cs="Times New Roman"/>
        </w:rPr>
        <w:t xml:space="preserve"> </w:t>
      </w:r>
      <w:r w:rsidR="00CB2BAA">
        <w:rPr>
          <w:rFonts w:cs="Times New Roman"/>
        </w:rPr>
        <w:t>w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szczególności, nie określa terminu, do którego Komisja może złożyć przedmiotowe oświadczenie. Ustawa nie precyzuje</w:t>
      </w:r>
      <w:r w:rsidR="00833A95">
        <w:rPr>
          <w:rFonts w:cs="Times New Roman"/>
        </w:rPr>
        <w:t xml:space="preserve"> także</w:t>
      </w:r>
      <w:r w:rsidRPr="00B45FAE">
        <w:rPr>
          <w:rFonts w:cs="Times New Roman"/>
        </w:rPr>
        <w:t>, czy do Komisji stosuje się odpowiednio przepisy Kodeksu postępowania karnego o oskarżycielu posiłkowym. Co więcej, Kodeks postępowania karnego nie zna podmiotu uczestniczącego w postępowaniu na prawach oskarżyciela posiłkowego. A więc Komisja uczestnicząca w postępowaniu karnym na prawach oskarżyciela posiłkowego stanowi istotne</w:t>
      </w:r>
      <w:r>
        <w:rPr>
          <w:rFonts w:cs="Times New Roman"/>
        </w:rPr>
        <w:t xml:space="preserve"> </w:t>
      </w:r>
      <w:r w:rsidRPr="00B45FAE">
        <w:rPr>
          <w:rFonts w:cs="Times New Roman"/>
          <w:i/>
        </w:rPr>
        <w:t>novum</w:t>
      </w:r>
      <w:r>
        <w:rPr>
          <w:rFonts w:cs="Times New Roman"/>
          <w:i/>
        </w:rPr>
        <w:t xml:space="preserve"> </w:t>
      </w:r>
      <w:r w:rsidRPr="00B45FAE">
        <w:rPr>
          <w:rFonts w:cs="Times New Roman"/>
        </w:rPr>
        <w:t>w polskiej procedurze karnej.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Wydaje się w</w:t>
      </w:r>
      <w:r w:rsidR="0063707A">
        <w:rPr>
          <w:rFonts w:cs="Times New Roman"/>
        </w:rPr>
        <w:t> </w:t>
      </w:r>
      <w:r w:rsidRPr="00B45FAE">
        <w:rPr>
          <w:rFonts w:cs="Times New Roman"/>
        </w:rPr>
        <w:t>pełni zasadnym twierdzenie, że celowym założeniem ustawodawcy było takie ukształtowanie pozycji Komisji w postępowaniu karnym, aby podmiot ten – jako strona postępowania – mógł w każdym czasie</w:t>
      </w:r>
      <w:r>
        <w:rPr>
          <w:rFonts w:cs="Times New Roman"/>
        </w:rPr>
        <w:t xml:space="preserve"> i</w:t>
      </w:r>
      <w:r w:rsidRPr="00B45FAE">
        <w:rPr>
          <w:rFonts w:cs="Times New Roman"/>
        </w:rPr>
        <w:t xml:space="preserve"> na każdym etapie postępowania – wstąpić do</w:t>
      </w:r>
      <w:r>
        <w:rPr>
          <w:rFonts w:cs="Times New Roman"/>
        </w:rPr>
        <w:t> </w:t>
      </w:r>
      <w:r w:rsidRPr="00B45FAE">
        <w:rPr>
          <w:rFonts w:cs="Times New Roman"/>
        </w:rPr>
        <w:t>procesu z wachlarzem uprawnień, jakie przysługują oskarżycielowi posiłkowemu. Dlatego też ustawodawca posłużył się pojęciem „na prawach oskarżyciela posiłkowego”, nie zaś „działania w</w:t>
      </w:r>
      <w:r>
        <w:rPr>
          <w:rFonts w:cs="Times New Roman"/>
        </w:rPr>
        <w:t> </w:t>
      </w:r>
      <w:r w:rsidRPr="00B45FAE">
        <w:rPr>
          <w:rFonts w:cs="Times New Roman"/>
        </w:rPr>
        <w:t>charakterze oskarżyciela posiłkowego”.</w:t>
      </w:r>
      <w:r>
        <w:rPr>
          <w:rFonts w:cs="Times New Roman"/>
        </w:rPr>
        <w:t xml:space="preserve"> </w:t>
      </w:r>
      <w:r w:rsidRPr="00DB7B79">
        <w:rPr>
          <w:rFonts w:cs="Times New Roman"/>
        </w:rPr>
        <w:t xml:space="preserve">Z </w:t>
      </w:r>
      <w:r w:rsidR="00F42753">
        <w:rPr>
          <w:rFonts w:cs="Times New Roman"/>
        </w:rPr>
        <w:t>tych</w:t>
      </w:r>
      <w:r w:rsidRPr="00DB7B79">
        <w:rPr>
          <w:rFonts w:cs="Times New Roman"/>
        </w:rPr>
        <w:t xml:space="preserve"> względów, proponuje się wyraźnie wskazać, że Komisja może działać na prawach oskarżyciela posiłkowego na każdym etapie postępowania</w:t>
      </w:r>
      <w:r w:rsidR="00F42753">
        <w:rPr>
          <w:rFonts w:cs="Times New Roman"/>
        </w:rPr>
        <w:t>, aż do zakończenia przewodu sądowego w drugiej instancji</w:t>
      </w:r>
      <w:r w:rsidRPr="00DB7B79">
        <w:rPr>
          <w:rFonts w:cs="Times New Roman"/>
        </w:rPr>
        <w:t>. Jedynym warunkiem jest zgoda</w:t>
      </w:r>
      <w:r w:rsidR="00F42753">
        <w:rPr>
          <w:rFonts w:cs="Times New Roman"/>
        </w:rPr>
        <w:t xml:space="preserve"> pokrzywdzonego lub osoby wykonującej prawa pokrzywdzonego</w:t>
      </w:r>
      <w:r w:rsidRPr="00DB7B79">
        <w:rPr>
          <w:rFonts w:cs="Times New Roman"/>
        </w:rPr>
        <w:t xml:space="preserve">, która dla </w:t>
      </w:r>
      <w:r w:rsidR="00F42753">
        <w:rPr>
          <w:rFonts w:cs="Times New Roman"/>
        </w:rPr>
        <w:t xml:space="preserve">skuteczności </w:t>
      </w:r>
      <w:r w:rsidRPr="00DB7B79">
        <w:rPr>
          <w:rFonts w:cs="Times New Roman"/>
        </w:rPr>
        <w:t xml:space="preserve">musi mieć formę pisemną lub zostać złożona ustnie do protokołu rozprawy </w:t>
      </w:r>
      <w:r w:rsidRPr="00DB7B79">
        <w:rPr>
          <w:rFonts w:cs="Times New Roman"/>
        </w:rPr>
        <w:lastRenderedPageBreak/>
        <w:t xml:space="preserve">głównej. </w:t>
      </w:r>
      <w:r w:rsidR="00F51E3A">
        <w:rPr>
          <w:rFonts w:cs="Times New Roman"/>
        </w:rPr>
        <w:t>Projekt w</w:t>
      </w:r>
      <w:r w:rsidRPr="00DB7B79">
        <w:rPr>
          <w:rFonts w:cs="Times New Roman"/>
        </w:rPr>
        <w:t>prowadza również możliwość wycofania przez te osoby zgody w każdym czasie, co skutkuje utratą przez Komisję możliwości działania w postępowaniu sądowym (art. 25 ust. 2 i 3). W art. 25 ust. 4 określono także czas, w którym cofnięcie zgody przez osobę uprawnioną odnosi skutek prawny w stosunku do sądu (z chwilą zawiadomienia go o tym) oraz w stosunku do innych uczestników postępowania (z chwilą doręczenia im tego zawiadomienia przez sąd).</w:t>
      </w:r>
    </w:p>
    <w:p w14:paraId="38F01198" w14:textId="196562D7" w:rsidR="007649DA" w:rsidRPr="00DB7B79" w:rsidRDefault="007649DA" w:rsidP="007649DA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 xml:space="preserve">Projekt precyzuje </w:t>
      </w:r>
      <w:r w:rsidR="00F42753">
        <w:rPr>
          <w:rFonts w:cs="Times New Roman"/>
        </w:rPr>
        <w:t xml:space="preserve">także </w:t>
      </w:r>
      <w:r w:rsidRPr="00DB7B79">
        <w:rPr>
          <w:rFonts w:cs="Times New Roman"/>
        </w:rPr>
        <w:t xml:space="preserve">postępowanie Komisji w części dotyczącej monitorowania postępowania w sprawach nieletnich sprawców czynów karalnych. </w:t>
      </w:r>
      <w:r w:rsidR="00F42753">
        <w:rPr>
          <w:rFonts w:cs="Times New Roman"/>
        </w:rPr>
        <w:t xml:space="preserve">Aktualnie </w:t>
      </w:r>
      <w:r w:rsidRPr="00DB7B79">
        <w:rPr>
          <w:rFonts w:cs="Times New Roman"/>
        </w:rPr>
        <w:t xml:space="preserve">działania monitorujące postępowanie w sprawie nieletniego sprawcy czynu karalnego, m.in. z art. 197 § 3 pkt 2 k.k., </w:t>
      </w:r>
      <w:r w:rsidR="00F42753">
        <w:rPr>
          <w:rFonts w:cs="Times New Roman"/>
        </w:rPr>
        <w:t xml:space="preserve">dokonywane są </w:t>
      </w:r>
      <w:r w:rsidRPr="00DB7B79">
        <w:rPr>
          <w:rFonts w:cs="Times New Roman"/>
        </w:rPr>
        <w:t xml:space="preserve">na ogólnej zasadzie zawartej w ustawie - prawa monitorowania postępowania sądowego. Art. 25a precyzuje to działanie, dając Komisji niekwestionowaną </w:t>
      </w:r>
      <w:r w:rsidR="00CE1672">
        <w:rPr>
          <w:rFonts w:cs="Times New Roman"/>
        </w:rPr>
        <w:t xml:space="preserve">na przyszłość </w:t>
      </w:r>
      <w:r w:rsidRPr="00DB7B79">
        <w:rPr>
          <w:rFonts w:cs="Times New Roman"/>
        </w:rPr>
        <w:t xml:space="preserve">podstawę prawną. Projektowany przepis wskazuje na odpowiednie stosowanie do postępowania prowadzonego przez sąd rodzinny na </w:t>
      </w:r>
      <w:r w:rsidRPr="00905CAC">
        <w:rPr>
          <w:rFonts w:cs="Times New Roman"/>
        </w:rPr>
        <w:t>podstawie ustawy z dnia 26 października 1982 r. o postępowaniu w sprawach nieletnich przez zapewnienie możliwości monitorowania postępowania sądowego</w:t>
      </w:r>
      <w:r w:rsidRPr="00DB7B79">
        <w:rPr>
          <w:rFonts w:cs="Times New Roman"/>
        </w:rPr>
        <w:t>, w zakresie czynów</w:t>
      </w:r>
      <w:r w:rsidR="00833A95">
        <w:rPr>
          <w:rFonts w:cs="Times New Roman"/>
        </w:rPr>
        <w:t xml:space="preserve"> karalnych </w:t>
      </w:r>
      <w:r w:rsidRPr="00DB7B79">
        <w:rPr>
          <w:rFonts w:cs="Times New Roman"/>
        </w:rPr>
        <w:t>, o których mowa w art. 1 pkt 2 ustawy, w sytuacji, gdy sprawcą jest nieletni – oczywiście z wyłączeniem działania na prawach oskarżyciela posiłkowego.</w:t>
      </w:r>
    </w:p>
    <w:p w14:paraId="6CDFB4BB" w14:textId="77777777" w:rsidR="007649DA" w:rsidRPr="00DB7B79" w:rsidRDefault="007649DA" w:rsidP="00CE1672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5D2552D5" w14:textId="48593090" w:rsidR="007649DA" w:rsidRPr="00DB7B79" w:rsidRDefault="007649DA" w:rsidP="007649DA">
      <w:pPr>
        <w:pStyle w:val="Tekstpodstawowy"/>
        <w:spacing w:line="360" w:lineRule="auto"/>
        <w:ind w:firstLine="708"/>
        <w:jc w:val="both"/>
        <w:rPr>
          <w:rFonts w:cs="Times New Roman"/>
          <w:color w:val="000000"/>
          <w:shd w:val="clear" w:color="auto" w:fill="FFFFFF"/>
        </w:rPr>
      </w:pPr>
      <w:r w:rsidRPr="00DB7B79">
        <w:rPr>
          <w:rFonts w:cs="Times New Roman"/>
          <w:color w:val="000000"/>
          <w:shd w:val="clear" w:color="auto" w:fill="FFFFFF"/>
        </w:rPr>
        <w:t xml:space="preserve">W ocenie projektodawcy, uzupełnienia wymaga też treść art. 26 i art. 27 ust. 1 ustawy. Ustawodawca nie wyczerpał bowiem katalogu sytuacji prawnych, w których może zapaść orzeczenie o umorzeniu postępowania karnego z uwagi na przedawnienie karalności. Umorzenie postępowania karnego także wyrokiem może nastąpić wówczas, gdy sąd po rozpoczęciu przewodu sądowego stwierdzi okoliczności wyłączające ściganie, w tym przedawnienie karalności czynu (art. 414 § 1 k.p.k.). Zmiana polega </w:t>
      </w:r>
      <w:r w:rsidR="00764752">
        <w:rPr>
          <w:rFonts w:cs="Times New Roman"/>
          <w:color w:val="000000"/>
          <w:shd w:val="clear" w:color="auto" w:fill="FFFFFF"/>
        </w:rPr>
        <w:t xml:space="preserve">zatem </w:t>
      </w:r>
      <w:r w:rsidRPr="00DB7B79">
        <w:rPr>
          <w:rFonts w:cs="Times New Roman"/>
          <w:color w:val="000000"/>
          <w:shd w:val="clear" w:color="auto" w:fill="FFFFFF"/>
        </w:rPr>
        <w:t xml:space="preserve">na zastąpieniu </w:t>
      </w:r>
      <w:r w:rsidR="00CE1672">
        <w:rPr>
          <w:rFonts w:cs="Times New Roman"/>
          <w:color w:val="000000"/>
          <w:shd w:val="clear" w:color="auto" w:fill="FFFFFF"/>
        </w:rPr>
        <w:t xml:space="preserve">wyrazu </w:t>
      </w:r>
      <w:r w:rsidRPr="00DB7B79">
        <w:rPr>
          <w:rFonts w:cs="Times New Roman"/>
          <w:color w:val="000000"/>
          <w:shd w:val="clear" w:color="auto" w:fill="FFFFFF"/>
        </w:rPr>
        <w:t xml:space="preserve">„postanowienie” </w:t>
      </w:r>
      <w:r w:rsidR="00CE1672">
        <w:rPr>
          <w:rFonts w:cs="Times New Roman"/>
          <w:color w:val="000000"/>
          <w:shd w:val="clear" w:color="auto" w:fill="FFFFFF"/>
        </w:rPr>
        <w:t xml:space="preserve">wyrazem </w:t>
      </w:r>
      <w:r w:rsidRPr="00DB7B79">
        <w:rPr>
          <w:rFonts w:cs="Times New Roman"/>
          <w:color w:val="000000"/>
          <w:shd w:val="clear" w:color="auto" w:fill="FFFFFF"/>
        </w:rPr>
        <w:t xml:space="preserve">„orzeczenie”. </w:t>
      </w:r>
    </w:p>
    <w:p w14:paraId="7FF7375F" w14:textId="3716DBDE" w:rsidR="007649DA" w:rsidRPr="00DB7B79" w:rsidRDefault="007649DA" w:rsidP="00540C1D">
      <w:pPr>
        <w:pStyle w:val="Tekstpodstawowy"/>
        <w:spacing w:after="0" w:line="360" w:lineRule="auto"/>
        <w:ind w:firstLine="709"/>
        <w:jc w:val="both"/>
      </w:pPr>
      <w:r w:rsidRPr="00DB7B79">
        <w:rPr>
          <w:rFonts w:cs="Times New Roman"/>
        </w:rPr>
        <w:t>Czwartą podstawą działania Komisji stanowi prawomocne orzeczenie o odmowie wszczęcia lub o umorzeniu postępowania karnego ze względu na przedawnienie karalności przestępstwa (art. 19 ust. 1 pkt 4). W takim przypadku Komisja wszczyna postępowanie wyjaśniające określone w ustawie. Wskazać należy, że przepisy obowiązującej ustawy mają charakter wieloaspektowy, zarówno ustrojowy, jak i materialny oraz proceduralny, jednak, mimo że przyjęte rozwiązania - co do zasady - są słuszne, nie zawierają kompleksowej regulacji normowanej materii i nie są spójne dla całego systemu.</w:t>
      </w:r>
      <w:r w:rsidR="00CE1672">
        <w:rPr>
          <w:rFonts w:cs="Times New Roman"/>
        </w:rPr>
        <w:t xml:space="preserve"> </w:t>
      </w:r>
      <w:r w:rsidRPr="00DB7B79">
        <w:rPr>
          <w:rFonts w:eastAsia="Calibri" w:cs="Times New Roman"/>
        </w:rPr>
        <w:t xml:space="preserve">W zakresie postępowania wyjaśniającego </w:t>
      </w:r>
      <w:r w:rsidR="00CB2BAA">
        <w:rPr>
          <w:rFonts w:eastAsia="Calibri" w:cs="Times New Roman"/>
        </w:rPr>
        <w:t>u</w:t>
      </w:r>
      <w:r w:rsidRPr="00DB7B79">
        <w:rPr>
          <w:rFonts w:eastAsia="Calibri" w:cs="Times New Roman"/>
        </w:rPr>
        <w:t xml:space="preserve">stawa wskazuje, że postępowanie ma być prowadzone w siedzibie Urzędu Komisji, wysłuchanie odbywa się na posiedzeniu zamkniętym, a wiadomości uzyskane na </w:t>
      </w:r>
      <w:r w:rsidRPr="00DB7B79">
        <w:rPr>
          <w:rFonts w:eastAsia="Calibri" w:cs="Times New Roman"/>
        </w:rPr>
        <w:lastRenderedPageBreak/>
        <w:t>wysłuchaniu są objęte tajemnicą (art. 32). P</w:t>
      </w:r>
      <w:r w:rsidRPr="00DB7B79">
        <w:rPr>
          <w:rFonts w:cs="Times New Roman"/>
          <w:bCs/>
        </w:rPr>
        <w:t>rzewiduje możliwość prowadzenia wysłuchania w</w:t>
      </w:r>
      <w:r w:rsidR="0063707A">
        <w:rPr>
          <w:rFonts w:cs="Times New Roman"/>
          <w:bCs/>
        </w:rPr>
        <w:t> </w:t>
      </w:r>
      <w:r w:rsidRPr="00DB7B79">
        <w:rPr>
          <w:rFonts w:cs="Times New Roman"/>
          <w:bCs/>
        </w:rPr>
        <w:t xml:space="preserve">miejscu pobytu osoby wysłuchiwanej (art. 28 ust. 4), określa także skład Komisji do podejmowania uchwał i postanowień (art. 19). </w:t>
      </w:r>
      <w:r w:rsidRPr="00DB7B79">
        <w:rPr>
          <w:rFonts w:cs="Times New Roman"/>
        </w:rPr>
        <w:t xml:space="preserve">Ustawa nie zawiera natomiast </w:t>
      </w:r>
      <w:r w:rsidR="00CE1672">
        <w:rPr>
          <w:rFonts w:cs="Times New Roman"/>
        </w:rPr>
        <w:t xml:space="preserve">rozbudowanych </w:t>
      </w:r>
      <w:r w:rsidRPr="00DB7B79">
        <w:rPr>
          <w:rFonts w:cs="Times New Roman"/>
        </w:rPr>
        <w:t xml:space="preserve">przepisów proceduralnych postępowania wyjaśniającego, nie odwołuje się do odpowiedniego stosowania przepisów innych ustaw, w szczególności: </w:t>
      </w:r>
      <w:r w:rsidRPr="00DB7B79">
        <w:rPr>
          <w:rFonts w:eastAsia="Calibri" w:cs="Times New Roman"/>
        </w:rPr>
        <w:t>w jakim zakresie należy stosować procedury Kodeksu postępowania cywilnego, nie określa sposobu prowadzenia postępowania dowodowego, przerwy, odroczenia posiedzenia, zawieszenia postępowania, narady, głosowania, zdania odrębnego, zasad doręczeń</w:t>
      </w:r>
      <w:r w:rsidR="00CB2BAA">
        <w:rPr>
          <w:rFonts w:eastAsia="Calibri" w:cs="Times New Roman"/>
        </w:rPr>
        <w:t>, wskazania</w:t>
      </w:r>
      <w:r w:rsidRPr="00DB7B79">
        <w:rPr>
          <w:rFonts w:eastAsia="Calibri" w:cs="Times New Roman"/>
        </w:rPr>
        <w:t xml:space="preserve"> w jakiej formie Komisja kończy postępowanie wyjaśniające bez wydania decyzji o wpisie w Rejestrze, kiedy Komisja wydaje postanowienia a kiedy uchwały, a także w jakim składzie ma być prowadzone postępowanie wyjaśniające czy czynności wysłuchania w miejscu pobytu wysłuchiwanego i jaki powinien być przebieg takiego wysłuchania</w:t>
      </w:r>
      <w:r w:rsidR="00CE1672">
        <w:rPr>
          <w:rFonts w:eastAsia="Calibri" w:cs="Times New Roman"/>
        </w:rPr>
        <w:t>, itp.</w:t>
      </w:r>
      <w:r w:rsidR="00764752">
        <w:rPr>
          <w:rFonts w:eastAsia="Calibri" w:cs="Times New Roman"/>
        </w:rPr>
        <w:t xml:space="preserve"> </w:t>
      </w:r>
      <w:r w:rsidRPr="00DB7B79">
        <w:t xml:space="preserve">W projekcie wprowadzono </w:t>
      </w:r>
      <w:r w:rsidR="00764752">
        <w:t xml:space="preserve">zatem </w:t>
      </w:r>
      <w:r w:rsidRPr="00DB7B79">
        <w:t>szereg istotnych uzupełnień i zmian do postępowania wyjaśniającego przed Komisją. W pierwszej kolejności usystematyzowany został katalog formalnych podstaw upoważniających do wszczęcia i</w:t>
      </w:r>
      <w:r w:rsidR="0063707A">
        <w:t> </w:t>
      </w:r>
      <w:r w:rsidRPr="00DB7B79">
        <w:t>prowadzenia postępowania, który znajduje się w art. 19 p</w:t>
      </w:r>
      <w:r w:rsidR="00B62165" w:rsidRPr="00DB7B79">
        <w:t>kt 4</w:t>
      </w:r>
      <w:r w:rsidRPr="00DB7B79">
        <w:t xml:space="preserve">. Jest to </w:t>
      </w:r>
      <w:r w:rsidR="00B62165" w:rsidRPr="00DB7B79">
        <w:t xml:space="preserve">także </w:t>
      </w:r>
      <w:r w:rsidRPr="00DB7B79">
        <w:t xml:space="preserve">niezbędne z uwagi na proponowaną zmianę treści art. 1 pkt 2. </w:t>
      </w:r>
    </w:p>
    <w:p w14:paraId="4A142655" w14:textId="29E22AF3" w:rsidR="007649DA" w:rsidRPr="00DB7B79" w:rsidRDefault="007649DA" w:rsidP="00B6216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Projekt utrzymuje regu</w:t>
      </w:r>
      <w:r w:rsidR="00B62165" w:rsidRPr="00DB7B79">
        <w:rPr>
          <w:rFonts w:ascii="Times New Roman" w:eastAsia="Calibri" w:hAnsi="Times New Roman" w:cs="Times New Roman"/>
          <w:sz w:val="24"/>
          <w:szCs w:val="24"/>
        </w:rPr>
        <w:t>lację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dotyczącą kworum członków Komisji przy podejmowaniu przez nią decyzji w przedmiocie wpisu w Rejestrze oraz doprecyzowuje sposób głosowania (art. 19a ust. 3 i 4). Wprowadza także regulację odnośnie kworum i zasad głosowania w postępowaniu wyjaśniającym w innych sprawach niż w przedmiocie wpisu w Rejestrze. Przesądzone zostaje, że w tych kwestiach Komisja jako organ kolegialny podejmować będzie uchwały, od których nie będzie przysługiwało odwołanie (art. 19d). Sam charakter rozstrzygnięć wpadkowych nie wymaga kontroli instancyjnej na tym etapie postępowania. </w:t>
      </w:r>
    </w:p>
    <w:p w14:paraId="1E837F04" w14:textId="77777777" w:rsidR="00764752" w:rsidRDefault="007649DA" w:rsidP="002202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Zakłada się dodanie do </w:t>
      </w:r>
      <w:r w:rsidR="00CB2BAA">
        <w:rPr>
          <w:rFonts w:ascii="Times New Roman" w:eastAsia="Calibri" w:hAnsi="Times New Roman" w:cs="Times New Roman"/>
          <w:sz w:val="24"/>
          <w:szCs w:val="24"/>
        </w:rPr>
        <w:t>u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stawy nowej jednostki redakcyjnej (art. 27a), w której wprowadza się kluczowe gwarancje procesowe, a mianowicie: zasady </w:t>
      </w:r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in dubio pro </w:t>
      </w:r>
      <w:proofErr w:type="spellStart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>reo</w:t>
      </w:r>
      <w:proofErr w:type="spellEnd"/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(ust. 1), zasada działania z urzędu (ust. 2) oraz zasada </w:t>
      </w:r>
      <w:proofErr w:type="spellStart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>nemo</w:t>
      </w:r>
      <w:proofErr w:type="spellEnd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>se</w:t>
      </w:r>
      <w:proofErr w:type="spellEnd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>ipsum</w:t>
      </w:r>
      <w:proofErr w:type="spellEnd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>accusare</w:t>
      </w:r>
      <w:proofErr w:type="spellEnd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7B79">
        <w:rPr>
          <w:rFonts w:ascii="Times New Roman" w:eastAsia="Calibri" w:hAnsi="Times New Roman" w:cs="Times New Roman"/>
          <w:i/>
          <w:iCs/>
          <w:sz w:val="24"/>
          <w:szCs w:val="24"/>
        </w:rPr>
        <w:t>tenetur</w:t>
      </w:r>
      <w:proofErr w:type="spellEnd"/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(ust. 3). </w:t>
      </w:r>
    </w:p>
    <w:p w14:paraId="21924FCC" w14:textId="35AC90E6" w:rsidR="007649DA" w:rsidRPr="00DB7B79" w:rsidRDefault="007649DA" w:rsidP="002202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Wprowadzona zostaje także regulacja dotycząca podstawy materialnej wydania postanowienia o wpisie w Rejestrze (art. 27b). Komisja może wydać takie postanowienie tylko po ustaleniu w postępowaniu wyjaśniającym, że zachowanie osoby wskazanej jako sprawca było co najmniej jednym z </w:t>
      </w:r>
      <w:proofErr w:type="spellStart"/>
      <w:r w:rsidRPr="00DB7B79">
        <w:rPr>
          <w:rFonts w:ascii="Times New Roman" w:eastAsia="Calibri" w:hAnsi="Times New Roman" w:cs="Times New Roman"/>
          <w:sz w:val="24"/>
          <w:szCs w:val="24"/>
        </w:rPr>
        <w:t>zachowań</w:t>
      </w:r>
      <w:proofErr w:type="spellEnd"/>
      <w:r w:rsidRPr="00DB7B79">
        <w:rPr>
          <w:rFonts w:ascii="Times New Roman" w:eastAsia="Calibri" w:hAnsi="Times New Roman" w:cs="Times New Roman"/>
          <w:sz w:val="24"/>
          <w:szCs w:val="24"/>
        </w:rPr>
        <w:t>, o których mowa w rozdziale XXV Kodeksu karnego na szkodę małoletniego poniżej lat 15. Wprowadzenie powyższego kryterium jest niezbędne dla wydania postanowienia o wpisie w Rejestrze.</w:t>
      </w:r>
    </w:p>
    <w:p w14:paraId="050C0508" w14:textId="7AA12BA9" w:rsidR="007649DA" w:rsidRPr="00DB7B79" w:rsidRDefault="007649DA" w:rsidP="00B6216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Czynności postępowania dowodowego, podejmowane przez Komisję w trakcie postępowania wyjaśniającego, zostały podzielone w 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p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rojekcie na dwie kategorie: obligatoryjne </w:t>
      </w:r>
      <w:r w:rsidRPr="00DB7B7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(art. 28 ust. 1) i fakultatywne (art. 28 ust. 2). W ramach tych pierwszych, Komisja przed wydaniem postanowienia o wpisie w Rejestrze musi zapoznać się z aktami sprawy przekazanymi przez prokuratora albo właściwy sąd (pkt 1), wysłuchać osobę poszkodowaną (pkt 2) i wysłuchać osobę wskazaną jako sprawca (pkt 3). Natomiast w ramach fakultatywnych czynności Komisja może wysłuchać osobę zgłaszającą (pkt 1), inną osobę w charakterze świadka (pkt 2), zasięgnąć opinii biegłego (pkt 3) lub przeprowadzić dowód z innych materiałów, w tym dokumentów zgromadzonych w sprawie lub przedstawionych przez określone osoby (pkt 4). </w:t>
      </w:r>
    </w:p>
    <w:p w14:paraId="0DC69ACC" w14:textId="591AC466" w:rsidR="00FF3582" w:rsidRPr="00DB7B79" w:rsidRDefault="007649DA" w:rsidP="002202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Projekt wprowadza regulację nakazującą wyznaczenie członka sprawozdawcy z grona Komisji (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art. 28 </w:t>
      </w:r>
      <w:r w:rsidRPr="00DB7B79">
        <w:rPr>
          <w:rFonts w:ascii="Times New Roman" w:eastAsia="Calibri" w:hAnsi="Times New Roman" w:cs="Times New Roman"/>
          <w:sz w:val="24"/>
          <w:szCs w:val="24"/>
        </w:rPr>
        <w:t>ust. 2a)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,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określającą minimalny skład Komisji przy prowadzeniu czynności postępowania wyjaśniającego (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art. 28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ust. 2b)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,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nakazującą wyznaczenie funkcji przewodniczącego w toku postępowania wyjaśniającego (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art. 28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ust. 2c)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, a także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ograniczającą czynności postępowania wyjaśniającego w przypadku przyznania się przez osobę wskazaną jako sprawca. Projekt przewiduje również wprowadzenie możliwości wysłuchania osoby poszkodowanej – na jej wniosek – w miejscu jej zamieszkania (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art. 28 </w:t>
      </w:r>
      <w:r w:rsidRPr="00DB7B79">
        <w:rPr>
          <w:rFonts w:ascii="Times New Roman" w:eastAsia="Calibri" w:hAnsi="Times New Roman" w:cs="Times New Roman"/>
          <w:sz w:val="24"/>
          <w:szCs w:val="24"/>
        </w:rPr>
        <w:t>ust. 4a) lub przy użyciu urządzeń technicznych umożliwiających przeprowadzenie tej czynności na odległość z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jednoczesnym bezpośrednim przekazem obrazu i dźwięku albo na piśmie 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(art. 28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ust. 4c). Wprowadzenie </w:t>
      </w:r>
      <w:r w:rsidR="0022029F">
        <w:rPr>
          <w:rFonts w:ascii="Times New Roman" w:eastAsia="Calibri" w:hAnsi="Times New Roman" w:cs="Times New Roman"/>
          <w:sz w:val="24"/>
          <w:szCs w:val="24"/>
        </w:rPr>
        <w:t xml:space="preserve">tych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regulacji jest pożądane z uwagi na ich kluczowe znaczenie dla możliwości sprawnego przeprowadzenia postępowania wyjaśniającego przez Komisję. </w:t>
      </w:r>
    </w:p>
    <w:p w14:paraId="172D44A0" w14:textId="21B95B2D" w:rsidR="00FF3582" w:rsidRPr="00DB7B79" w:rsidRDefault="007649DA" w:rsidP="00FF35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Projekt ogr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anicza także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możliwość ustanowienia pełnomocnika jedynie przez osobę poszkodowaną i osobę wskazaną jako sprawca (ust. 5). W ocenie projektodawcy, brak </w:t>
      </w:r>
      <w:r w:rsidR="00764752">
        <w:rPr>
          <w:rFonts w:ascii="Times New Roman" w:eastAsia="Calibri" w:hAnsi="Times New Roman" w:cs="Times New Roman"/>
          <w:sz w:val="24"/>
          <w:szCs w:val="24"/>
        </w:rPr>
        <w:t xml:space="preserve">jest </w:t>
      </w:r>
      <w:r w:rsidRPr="00DB7B79">
        <w:rPr>
          <w:rFonts w:ascii="Times New Roman" w:eastAsia="Calibri" w:hAnsi="Times New Roman" w:cs="Times New Roman"/>
          <w:sz w:val="24"/>
          <w:szCs w:val="24"/>
        </w:rPr>
        <w:t>uzasadnienia  dla utrzymania możliwości ustanawiania pełnomocnika przez inne osoby (osob</w:t>
      </w:r>
      <w:r w:rsidR="0022029F">
        <w:rPr>
          <w:rFonts w:ascii="Times New Roman" w:eastAsia="Calibri" w:hAnsi="Times New Roman" w:cs="Times New Roman"/>
          <w:sz w:val="24"/>
          <w:szCs w:val="24"/>
        </w:rPr>
        <w:t>ę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zgłaszając</w:t>
      </w:r>
      <w:r w:rsidR="0022029F">
        <w:rPr>
          <w:rFonts w:ascii="Times New Roman" w:eastAsia="Calibri" w:hAnsi="Times New Roman" w:cs="Times New Roman"/>
          <w:sz w:val="24"/>
          <w:szCs w:val="24"/>
        </w:rPr>
        <w:t>ą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22029F">
        <w:rPr>
          <w:rFonts w:ascii="Times New Roman" w:eastAsia="Calibri" w:hAnsi="Times New Roman" w:cs="Times New Roman"/>
          <w:sz w:val="24"/>
          <w:szCs w:val="24"/>
        </w:rPr>
        <w:t xml:space="preserve">czy </w:t>
      </w:r>
      <w:r w:rsidRPr="00DB7B79">
        <w:rPr>
          <w:rFonts w:ascii="Times New Roman" w:eastAsia="Calibri" w:hAnsi="Times New Roman" w:cs="Times New Roman"/>
          <w:sz w:val="24"/>
          <w:szCs w:val="24"/>
        </w:rPr>
        <w:t>świad</w:t>
      </w:r>
      <w:r w:rsidR="0022029F">
        <w:rPr>
          <w:rFonts w:ascii="Times New Roman" w:eastAsia="Calibri" w:hAnsi="Times New Roman" w:cs="Times New Roman"/>
          <w:sz w:val="24"/>
          <w:szCs w:val="24"/>
        </w:rPr>
        <w:t>ka</w:t>
      </w:r>
      <w:r w:rsidRPr="00DB7B79">
        <w:rPr>
          <w:rFonts w:ascii="Times New Roman" w:eastAsia="Calibri" w:hAnsi="Times New Roman" w:cs="Times New Roman"/>
          <w:sz w:val="24"/>
          <w:szCs w:val="24"/>
        </w:rPr>
        <w:t>). W postępowaniu wyjaśniającym</w:t>
      </w:r>
      <w:r w:rsidR="00764752">
        <w:rPr>
          <w:rFonts w:ascii="Times New Roman" w:eastAsia="Calibri" w:hAnsi="Times New Roman" w:cs="Times New Roman"/>
          <w:sz w:val="24"/>
          <w:szCs w:val="24"/>
        </w:rPr>
        <w:t xml:space="preserve"> przed Komisją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to osoba poszkodowana i osoba wskazana jako sprawca są swoistymi stronami postępowania i to one właśnie powinny posiadać takie uprawnie. </w:t>
      </w:r>
    </w:p>
    <w:p w14:paraId="3EAE70A9" w14:textId="6144B3CD" w:rsidR="007649DA" w:rsidRPr="00DB7B79" w:rsidRDefault="007649DA" w:rsidP="00FF35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Brak aktywności (odmowa odpowiedzi na pytania zadawane w toku wysłuchania lub odmowa poddania się badaniu przez biegłego, nieobecność na wysłuchaniu) osoby poszkodowanej lub osoby wskazanej jako sprawca w toku postępowania wyjaśniającego nie stanowi przeszkody dla sprawnego przeprowadzenia tego postępowania i wydania przez Komisję postanowienia w przedmiocie wpisu w Rejestrze. Poszerzono katalog czynności związanych z brakiem aktywności  o odmowę poddania się badaniu przez biegłego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 (art. 28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ust. 6). </w:t>
      </w:r>
    </w:p>
    <w:p w14:paraId="4524E89F" w14:textId="5EEB9A99" w:rsidR="007649DA" w:rsidRPr="00DB7B79" w:rsidRDefault="007649DA" w:rsidP="00FF35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Projekt zakłada 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także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zmianę art. 29 ust. 3 przez wprowadzenie wyraźnego katalogu osób, którym przysługiwać będzie w trakcie wysłuchania, prawo uchylenia się lub odmowy </w:t>
      </w:r>
      <w:r w:rsidRPr="00DB7B7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odpowiedzi na pytanie. Do katalogu tych osób oprócz osoby poszkodowanej i osoby wskazanej jako sprawca, należy również osoba zgłaszająca. Równocześnie projekt wprowadza w 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art. 28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ust. 3 pkt. 2 zamianę </w:t>
      </w:r>
      <w:r w:rsidR="0022029F">
        <w:rPr>
          <w:rFonts w:ascii="Times New Roman" w:eastAsia="Calibri" w:hAnsi="Times New Roman" w:cs="Times New Roman"/>
          <w:sz w:val="24"/>
          <w:szCs w:val="24"/>
        </w:rPr>
        <w:t xml:space="preserve">wyrazu </w:t>
      </w:r>
      <w:r w:rsidRPr="00DB7B79">
        <w:rPr>
          <w:rFonts w:ascii="Times New Roman" w:eastAsia="Calibri" w:hAnsi="Times New Roman" w:cs="Times New Roman"/>
          <w:sz w:val="24"/>
          <w:szCs w:val="24"/>
        </w:rPr>
        <w:t>„osoba podejrzana” na „podejrzany” albo ”oskarżony”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B7B79">
        <w:rPr>
          <w:rFonts w:ascii="Times New Roman" w:eastAsia="Calibri" w:hAnsi="Times New Roman" w:cs="Times New Roman"/>
          <w:sz w:val="24"/>
          <w:szCs w:val="24"/>
        </w:rPr>
        <w:t>porządkując w ten sposób kwestię terminologii postępowania karn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ego w u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stawie. </w:t>
      </w:r>
    </w:p>
    <w:p w14:paraId="33FD04D0" w14:textId="0135BFF3" w:rsidR="00E7058A" w:rsidRPr="00905CAC" w:rsidRDefault="007649DA" w:rsidP="00FF35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Projekt 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w art. 30 ust. 1 i 2 </w:t>
      </w:r>
      <w:r w:rsidRPr="00DB7B79">
        <w:rPr>
          <w:rFonts w:ascii="Times New Roman" w:eastAsia="Calibri" w:hAnsi="Times New Roman" w:cs="Times New Roman"/>
          <w:sz w:val="24"/>
          <w:szCs w:val="24"/>
        </w:rPr>
        <w:t>wprowadza rozróżnienie powiadomień o posiedzeniu Komisji w postępowaniu wyjaśniającym, pozostawiając formę zaproszenia dla osoby zgłaszającej, osoby poszkodowanej oraz osoby wskazanej jako sprawca i formę wezwania dla świadka oraz biegłego. Rozróżnienie to łączy się ze skutkami  niestawiennictwa tych osób. W przypadku nieusprawiedliwionego niestawiennictwa świadka lub biegłego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>, p</w:t>
      </w:r>
      <w:r w:rsidRPr="00DB7B79">
        <w:rPr>
          <w:rFonts w:ascii="Times New Roman" w:eastAsia="Calibri" w:hAnsi="Times New Roman" w:cs="Times New Roman"/>
          <w:sz w:val="24"/>
          <w:szCs w:val="24"/>
        </w:rPr>
        <w:t>rojekt wyposaża Komisję w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możliwość wystąpienia do sądu o ukaranie tych osób karą grzywny. Dotyczy to także odmowy lub uchylenie się od odpowiedzi na zadawane pytania (art. 30 ust. 7). Ponadto Komisja może wnioskować o przymus sprowadzenia świadka na jej posiedzenie (art. 30 ust. 8).</w:t>
      </w:r>
      <w:r w:rsidR="00FF3582" w:rsidRPr="00DB7B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B79">
        <w:rPr>
          <w:rFonts w:ascii="Times New Roman" w:eastAsia="Calibri" w:hAnsi="Times New Roman" w:cs="Times New Roman"/>
          <w:sz w:val="24"/>
          <w:szCs w:val="24"/>
        </w:rPr>
        <w:t>Wprowadzenie środków dyscyplinujących ma na celu zapewnienie sprawnego prowadzenia postępowania wyjaśniającego.</w:t>
      </w:r>
      <w:r w:rsidR="0022029F">
        <w:rPr>
          <w:rFonts w:ascii="Times New Roman" w:eastAsia="Calibri" w:hAnsi="Times New Roman" w:cs="Times New Roman"/>
          <w:sz w:val="24"/>
          <w:szCs w:val="24"/>
        </w:rPr>
        <w:t xml:space="preserve"> Co istotne,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029F">
        <w:rPr>
          <w:rFonts w:ascii="Times New Roman" w:eastAsia="Calibri" w:hAnsi="Times New Roman" w:cs="Times New Roman"/>
          <w:sz w:val="24"/>
          <w:szCs w:val="24"/>
        </w:rPr>
        <w:t>o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ich zastosowaniu będzie decydował sąd, każdorazowo badający zasadność wniosku Komisji. </w:t>
      </w:r>
      <w:r w:rsidRPr="00905CAC">
        <w:rPr>
          <w:rFonts w:ascii="Times New Roman" w:eastAsia="Calibri" w:hAnsi="Times New Roman" w:cs="Times New Roman"/>
          <w:sz w:val="24"/>
          <w:szCs w:val="24"/>
        </w:rPr>
        <w:t>Analogiczna regulacja funkcjonuje już w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905CAC">
        <w:rPr>
          <w:rFonts w:ascii="Times New Roman" w:eastAsia="Calibri" w:hAnsi="Times New Roman" w:cs="Times New Roman"/>
          <w:sz w:val="24"/>
          <w:szCs w:val="24"/>
        </w:rPr>
        <w:t xml:space="preserve">polskim porządku prawnym (np. sądy dyscyplinarne prawniczych samorządów zawodowych). </w:t>
      </w:r>
      <w:r w:rsidR="0022029F" w:rsidRPr="00905CA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CAE6C5E" w14:textId="677709F1" w:rsidR="007649DA" w:rsidRPr="00DB7B79" w:rsidRDefault="007649DA" w:rsidP="00FF358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Projekt nakłada na Komisję obowiązek opracowania treści pouczeń i informacji kierowanych do osób zapraszanych i wezwanych na posiedzenie wyjaśniające. Pouczenia i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informacje są przekazywane wraz z zapr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oszeniem albo wezwaniem (</w:t>
      </w:r>
      <w:r w:rsidRPr="00DB7B79">
        <w:rPr>
          <w:rFonts w:ascii="Times New Roman" w:eastAsia="Calibri" w:hAnsi="Times New Roman" w:cs="Times New Roman"/>
          <w:sz w:val="24"/>
          <w:szCs w:val="24"/>
        </w:rPr>
        <w:t>art. 30 ust. 6).</w:t>
      </w:r>
    </w:p>
    <w:p w14:paraId="3D6FF0C5" w14:textId="61933943" w:rsidR="007649DA" w:rsidRPr="00DB7B79" w:rsidRDefault="007649DA" w:rsidP="0076475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Projekt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w art. 31a ust. 2-7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wprowadza gwarancje zachowania anonimowości przez osobę poszkodowaną oraz osobę wskazaną jako sprawca, z jednoczesną możliwością zapoznania się przez te osoby z całością materiału dowodowego, przy czym w odniesieniu do osoby wskazanej jako sprawca jej </w:t>
      </w:r>
      <w:proofErr w:type="spellStart"/>
      <w:r w:rsidRPr="00DB7B79">
        <w:rPr>
          <w:rFonts w:ascii="Times New Roman" w:eastAsia="Calibri" w:hAnsi="Times New Roman" w:cs="Times New Roman"/>
          <w:sz w:val="24"/>
          <w:szCs w:val="24"/>
        </w:rPr>
        <w:t>anonimizacja</w:t>
      </w:r>
      <w:proofErr w:type="spellEnd"/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trwa do czasu uprawomocnienia się postanowienia o wpisie w Rejestrze. Gwarancja zachowania anonimowości ma swoje zastosowanie także do osoby zgłaszającej i świadka. Projekt przewiduje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 także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możliwość wysłuchania osoby zgłaszającej, osoby poszkodowanej i świadka pod nieobecność osoby wskazanej jako sprawca. Zezwalając na powrót osobie wskazanej jako sprawca, należy niezwłocznie o przebiegu posiedzenia w czasie jej nieobecności oraz ma prawo odniesienia się do przeprowadzonych w tym czasie </w:t>
      </w:r>
      <w:proofErr w:type="spellStart"/>
      <w:r w:rsidRPr="00DB7B79">
        <w:rPr>
          <w:rFonts w:ascii="Times New Roman" w:eastAsia="Calibri" w:hAnsi="Times New Roman" w:cs="Times New Roman"/>
          <w:sz w:val="24"/>
          <w:szCs w:val="24"/>
        </w:rPr>
        <w:t>wysłuchań</w:t>
      </w:r>
      <w:proofErr w:type="spellEnd"/>
      <w:r w:rsidRPr="00DB7B79">
        <w:rPr>
          <w:rFonts w:ascii="Times New Roman" w:eastAsia="Calibri" w:hAnsi="Times New Roman" w:cs="Times New Roman"/>
          <w:sz w:val="24"/>
          <w:szCs w:val="24"/>
        </w:rPr>
        <w:t>. Projekt wyraźnie wskazuje prawo osoby wskazanej jako sprawca do jej „ostatniego słowa”, co oznacza, że powinna być ona wysłuchiwana jako ostatnia.</w:t>
      </w:r>
      <w:r w:rsidR="007647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Osoba poszkodowana, osoba zgłaszająca lub świadek </w:t>
      </w:r>
      <w:r w:rsidR="00996C0A">
        <w:rPr>
          <w:rFonts w:ascii="Times New Roman" w:eastAsia="Calibri" w:hAnsi="Times New Roman" w:cs="Times New Roman"/>
          <w:sz w:val="24"/>
          <w:szCs w:val="24"/>
        </w:rPr>
        <w:t xml:space="preserve">będą </w:t>
      </w:r>
      <w:r w:rsidRPr="00DB7B79">
        <w:rPr>
          <w:rFonts w:ascii="Times New Roman" w:eastAsia="Calibri" w:hAnsi="Times New Roman" w:cs="Times New Roman"/>
          <w:sz w:val="24"/>
          <w:szCs w:val="24"/>
        </w:rPr>
        <w:t>mog</w:t>
      </w:r>
      <w:r w:rsidR="00996C0A">
        <w:rPr>
          <w:rFonts w:ascii="Times New Roman" w:eastAsia="Calibri" w:hAnsi="Times New Roman" w:cs="Times New Roman"/>
          <w:sz w:val="24"/>
          <w:szCs w:val="24"/>
        </w:rPr>
        <w:t>ły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złożyć w toku postępowania wyjaśniającego wniosek o zanonimizowanie ich danych osobowych, adresu i wizerunku oraz innych informacji umożliwiających identyfikację tych </w:t>
      </w:r>
      <w:r w:rsidRPr="00DB7B7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osób, a także o niezamieszczanie w protokole wysłuchania danych tych osób, w tym miejsca zamieszkania, numeru telefonu, adresu poczty elektronicznej. Projekt przewiduje, że zanonimizowane dane będą przechowywane w załączniku do akt sprawy do wyłącznej wiadomości Komisji. Anonimowość osób wysłuchiwanych wzmacnia sposób udostępniania akt osobie poszkodowanej i osobie wskazanej jako sprawca – uniemożliwiający ujawnienie danych zanonimizowanych. </w:t>
      </w:r>
    </w:p>
    <w:p w14:paraId="34AB7A95" w14:textId="53699EA5" w:rsidR="007649DA" w:rsidRPr="00DB7B79" w:rsidRDefault="007649DA" w:rsidP="00E7058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Ustawa </w:t>
      </w:r>
      <w:r w:rsidR="00764752">
        <w:rPr>
          <w:rFonts w:ascii="Times New Roman" w:eastAsia="Calibri" w:hAnsi="Times New Roman" w:cs="Times New Roman"/>
          <w:sz w:val="24"/>
          <w:szCs w:val="24"/>
        </w:rPr>
        <w:t xml:space="preserve">w art. 33 </w:t>
      </w:r>
      <w:r w:rsidR="004B7B0F">
        <w:rPr>
          <w:rFonts w:ascii="Times New Roman" w:eastAsia="Calibri" w:hAnsi="Times New Roman" w:cs="Times New Roman"/>
          <w:sz w:val="24"/>
          <w:szCs w:val="24"/>
        </w:rPr>
        <w:t>doprecyzowuje zasady związane ze sporządzaniem protokołu oraz wprowadza możliwość żądania jego sprostowania lub uzupełnienia, a także procedurę odwoławczą od decyzji w tym zakresie</w:t>
      </w:r>
      <w:r w:rsidRPr="00DB7B7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8A83A4" w14:textId="5E765436" w:rsidR="007649DA" w:rsidRPr="00DB7B79" w:rsidRDefault="007649DA" w:rsidP="00E7058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Projekt przesądza, że umorzenie postępowania wyjaśniającego będzie następować w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formie uchwały (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a</w:t>
      </w:r>
      <w:r w:rsidRPr="00DB7B79">
        <w:rPr>
          <w:rFonts w:ascii="Times New Roman" w:eastAsia="Calibri" w:hAnsi="Times New Roman" w:cs="Times New Roman"/>
          <w:sz w:val="24"/>
          <w:szCs w:val="24"/>
        </w:rPr>
        <w:t>rt. 36 ust. 1). Wprowadzona zostaje także nowa przesłanka umorzenia postępowania wyjaśniającego, tj. sprzeciw osoby poszkodowanej na prowadzenie postępowania wyjaśniającego (art. 36 ust. 1 pkt 2). Przyjęcie proponowanego rozwiązania opiera się na założeniu pełnego poszanowania woli osoby poszkodowanej. Wzmacnia to podmiotowość osoby poszkodowanej, która ma większą swobodę w podjęciu decyzji o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prowadzeniu postępowania wyjaśniającego. Obok wniosku o </w:t>
      </w:r>
      <w:proofErr w:type="spellStart"/>
      <w:r w:rsidRPr="00DB7B79">
        <w:rPr>
          <w:rFonts w:ascii="Times New Roman" w:eastAsia="Calibri" w:hAnsi="Times New Roman" w:cs="Times New Roman"/>
          <w:sz w:val="24"/>
          <w:szCs w:val="24"/>
        </w:rPr>
        <w:t>anonimizację</w:t>
      </w:r>
      <w:proofErr w:type="spellEnd"/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danych osobowych osoby poszkodowanej, wniosku o jej wysłuchanie w miejscu zamieszkania, jest to oddanie przez projektodawcę w ręce osoby poszkodowanej możliwości podjęcia decyzji istotnej dla prowadzenia postępowania wyjaśniającego.  Sprzeciw osoby poszkodowanej będzie oznaczał zakończeni</w:t>
      </w:r>
      <w:r w:rsidR="00764752">
        <w:rPr>
          <w:rFonts w:ascii="Times New Roman" w:eastAsia="Calibri" w:hAnsi="Times New Roman" w:cs="Times New Roman"/>
          <w:sz w:val="24"/>
          <w:szCs w:val="24"/>
        </w:rPr>
        <w:t>e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postępowania wyjaśniającego przed rozstrzygnięciem w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przedmiocie wpisu w Rejestrze.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B79">
        <w:rPr>
          <w:rFonts w:ascii="Times New Roman" w:eastAsia="Calibri" w:hAnsi="Times New Roman" w:cs="Times New Roman"/>
          <w:sz w:val="24"/>
          <w:szCs w:val="24"/>
        </w:rPr>
        <w:t>Projekt zakłada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 przy tym</w:t>
      </w:r>
      <w:r w:rsidRPr="00DB7B79">
        <w:rPr>
          <w:rFonts w:ascii="Times New Roman" w:eastAsia="Calibri" w:hAnsi="Times New Roman" w:cs="Times New Roman"/>
          <w:sz w:val="24"/>
          <w:szCs w:val="24"/>
        </w:rPr>
        <w:t>, że jeżeli w przypadku postępowania wyjaśniającego, w którym uczestniczy więcej niż jedna osoba poszkodowana, zostanie złożony sprzeciw, postępowanie wyjaśniające umarza się w części dotyczącej tej osoby poszkodowanej, która z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łożyła sprzeciw (art. 36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ust. 2). Odpis uchwały o umorzeniu doręcza się osobie poszkodowanej, która złożyła sprzeciw oraz osobie wskazanej jako sprawca. Osobę zgłaszającą powiadamia się o umorzeniu postępowania wyjaśniającego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(art. 36 </w:t>
      </w:r>
      <w:r w:rsidRPr="00DB7B79">
        <w:rPr>
          <w:rFonts w:ascii="Times New Roman" w:eastAsia="Calibri" w:hAnsi="Times New Roman" w:cs="Times New Roman"/>
          <w:sz w:val="24"/>
          <w:szCs w:val="24"/>
        </w:rPr>
        <w:t>ust. 3).</w:t>
      </w:r>
    </w:p>
    <w:p w14:paraId="29E8F86E" w14:textId="61C370CA" w:rsidR="007649DA" w:rsidRPr="00DB7B79" w:rsidRDefault="007649DA" w:rsidP="00E7058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Projekt przewiduje – w razie śmierci osoby poszkodowanej - możliwość wstąpienia przez osoby jej najbliższe w rozumieniu art. 115 § 1 k.k. w prawa osoby poszkodowanej w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ramach toczącego się już postępowania wyjaśniającego. Odwołanie do definicji osoby najbliższej jest spójne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art. 29 ust. 3 pkt 1</w:t>
      </w:r>
      <w:r w:rsidR="000B72A2">
        <w:rPr>
          <w:rFonts w:ascii="Times New Roman" w:eastAsia="Calibri" w:hAnsi="Times New Roman" w:cs="Times New Roman"/>
          <w:sz w:val="24"/>
          <w:szCs w:val="24"/>
        </w:rPr>
        <w:t xml:space="preserve"> ustawy</w:t>
      </w:r>
      <w:r w:rsidRPr="00DB7B79">
        <w:rPr>
          <w:rFonts w:ascii="Times New Roman" w:eastAsia="Calibri" w:hAnsi="Times New Roman" w:cs="Times New Roman"/>
          <w:sz w:val="24"/>
          <w:szCs w:val="24"/>
        </w:rPr>
        <w:t>. Wskazanie osoby najbliższej następuje w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drodze pisemnego oświadczenia osoby poszkodowanej, złożonego Komisji (art. 36a ust. 1 i</w:t>
      </w:r>
      <w:r w:rsidR="0063707A">
        <w:rPr>
          <w:rFonts w:ascii="Times New Roman" w:eastAsia="Calibri" w:hAnsi="Times New Roman" w:cs="Times New Roman"/>
          <w:sz w:val="24"/>
          <w:szCs w:val="24"/>
        </w:rPr>
        <w:t> </w:t>
      </w:r>
      <w:r w:rsidRPr="00DB7B79">
        <w:rPr>
          <w:rFonts w:ascii="Times New Roman" w:eastAsia="Calibri" w:hAnsi="Times New Roman" w:cs="Times New Roman"/>
          <w:sz w:val="24"/>
          <w:szCs w:val="24"/>
        </w:rPr>
        <w:t>2). Projekt nakłada na Komisję obowiązek zawiadomienia osoby najbliższej wskazanej przez poszkodowanego o przysługującym jej prawie wstąpienia do postępowania wyjaśniającego (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art.</w:t>
      </w:r>
      <w:r w:rsidR="000B72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36a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ust. 3) W przypadku gdy osoba poszkodowana nie wskazała osoby najbliższej albo </w:t>
      </w:r>
      <w:r w:rsidRPr="00DB7B7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osoba najbliższa nie wstąpiła do postępowania wyjaśniającego, prawa osoby poszkodowanej wykonuje prokurator (art. 36a ust. 4). </w:t>
      </w:r>
    </w:p>
    <w:p w14:paraId="3CDED561" w14:textId="67380D37" w:rsidR="007649DA" w:rsidRPr="00DB7B79" w:rsidRDefault="007649DA" w:rsidP="0062367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7B79">
        <w:rPr>
          <w:rFonts w:ascii="Times New Roman" w:eastAsia="Calibri" w:hAnsi="Times New Roman" w:cs="Times New Roman"/>
          <w:sz w:val="24"/>
          <w:szCs w:val="24"/>
        </w:rPr>
        <w:t>Ustawa wskazuje obecnie, że</w:t>
      </w:r>
      <w:r w:rsidR="009A5A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Komisja po przeprowadzeniu postępowania wyjaśniającego wydaje postanowienie o wpisie w Rejestrze albo kończy postępowanie bez wydawania postanowienia o wpisie w Rejestrze. Projekt rozstrzyga wątpliwości, jakie powstały na gruncie obowiązującej </w:t>
      </w:r>
      <w:r w:rsidR="000B72A2">
        <w:rPr>
          <w:rFonts w:ascii="Times New Roman" w:eastAsia="Calibri" w:hAnsi="Times New Roman" w:cs="Times New Roman"/>
          <w:sz w:val="24"/>
          <w:szCs w:val="24"/>
        </w:rPr>
        <w:t>u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stawy, wskazując na formę decyzji Komisji – postanowienie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(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art.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37 ust. 1).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Wydawane </w:t>
      </w:r>
      <w:r w:rsidR="000B72A2">
        <w:rPr>
          <w:rFonts w:ascii="Times New Roman" w:eastAsia="Calibri" w:hAnsi="Times New Roman" w:cs="Times New Roman"/>
          <w:sz w:val="24"/>
          <w:szCs w:val="24"/>
        </w:rPr>
        <w:t>p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ostanowienia</w:t>
      </w:r>
      <w:r w:rsidR="00F51E3A">
        <w:rPr>
          <w:rFonts w:ascii="Times New Roman" w:eastAsia="Calibri" w:hAnsi="Times New Roman" w:cs="Times New Roman"/>
          <w:sz w:val="24"/>
          <w:szCs w:val="24"/>
        </w:rPr>
        <w:t xml:space="preserve"> o wpisie lub o odmowie wpisu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 będą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poprzedzone niejawną naradą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(art. 37 </w:t>
      </w:r>
      <w:r w:rsidRPr="00DB7B79">
        <w:rPr>
          <w:rFonts w:ascii="Times New Roman" w:eastAsia="Calibri" w:hAnsi="Times New Roman" w:cs="Times New Roman"/>
          <w:sz w:val="24"/>
          <w:szCs w:val="24"/>
        </w:rPr>
        <w:t>ust. 2)</w:t>
      </w:r>
      <w:r w:rsidR="00764752">
        <w:rPr>
          <w:rFonts w:ascii="Times New Roman" w:eastAsia="Calibri" w:hAnsi="Times New Roman" w:cs="Times New Roman"/>
          <w:sz w:val="24"/>
          <w:szCs w:val="24"/>
        </w:rPr>
        <w:t>, a także wymagały uzasadnienia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. Projekt doprecyzowuje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jednocześnie </w:t>
      </w:r>
      <w:r w:rsidRPr="00DB7B79">
        <w:rPr>
          <w:rFonts w:ascii="Times New Roman" w:eastAsia="Calibri" w:hAnsi="Times New Roman" w:cs="Times New Roman"/>
          <w:sz w:val="24"/>
          <w:szCs w:val="24"/>
        </w:rPr>
        <w:t>dane, które muszą się znaleźć w treści  postanowienia o wpisie w Rejestrze. Uzupełnienie w tym zakresie wynika z konieczności przesyłania odpowiednich danych do Biura Informacyjnego Krajowego Rejestru Karnego prowadzącego Rejestr. Ponadto wprowadza się obowiązek uzasadnienia postanowień oraz konieczność ich doręczenia osobie poszkodowanej oraz osobie wskazanej jako sprawca wraz z niezbędnym pouczeniem co do środka zaskarżenia. Doręczenie postanowienia wraz z uzasadnieniem pozwala zapoznać się tym osobom z motywami jakimi kierowała się Komisja lub jej poszczególni członkowie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 xml:space="preserve"> (art. 37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ust. 5). Osobę zgłaszającą zawiadamia się o sposobie zakończenia postępowania wyjaśniającego </w:t>
      </w:r>
      <w:r w:rsidR="00E7058A" w:rsidRPr="00DB7B79">
        <w:rPr>
          <w:rFonts w:ascii="Times New Roman" w:eastAsia="Calibri" w:hAnsi="Times New Roman" w:cs="Times New Roman"/>
          <w:sz w:val="24"/>
          <w:szCs w:val="24"/>
        </w:rPr>
        <w:t>(art. 37</w:t>
      </w:r>
      <w:r w:rsidRPr="00DB7B79">
        <w:rPr>
          <w:rFonts w:ascii="Times New Roman" w:eastAsia="Calibri" w:hAnsi="Times New Roman" w:cs="Times New Roman"/>
          <w:sz w:val="24"/>
          <w:szCs w:val="24"/>
        </w:rPr>
        <w:t xml:space="preserve"> ust. 6).</w:t>
      </w:r>
    </w:p>
    <w:p w14:paraId="3EB15C04" w14:textId="2073EB54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Projekt  przewiduje wydanie przez Komisję postanowienia o odmowie wpisu w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>Rejestrze również wówczas, gdy wpis spowodowałby niewspółmiernie surowe skutki dla osoby wskazanej jako sprawca, a jednocześnie nie zachodzi wysokie prawdopodobieństwo popełnienia przez nią przestępstwa, o którym mowa w art. 1 pkt 2 (art. 37a). Proponowany przepis nakłada na Komisję obowiązek dokonania oceny skutków wydania postanowienia o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>wpisie w Rejestrze w stosunku do sytuacji osoby wskazanej jako sprawca. Powyższy obowiązek dotyczyć będzie sytuacji, gdy Komisja po przeprowadzeniu postępowania wyjaśniającego uzna, że zebrany materiał dowodowy wskazuje, że jest podstawa do dokonania wpisu w Rejestrze. Wówczas niezbędnym będzie dokonanie oceny czy skutki dokonania wpisu w Rejestrze będą niewspółmierne dla osoby wskazanej jako sprawca. Założenie takie ma na celu ważenie dóbr, jakimi są prewencja w stosunku do przestępstw, o których mowa w art. 1 pkt 2</w:t>
      </w:r>
      <w:r w:rsidR="000B72A2">
        <w:rPr>
          <w:rFonts w:cs="Times New Roman"/>
        </w:rPr>
        <w:t xml:space="preserve"> ustawy</w:t>
      </w:r>
      <w:r w:rsidRPr="00DB7B79">
        <w:rPr>
          <w:rFonts w:cs="Times New Roman"/>
        </w:rPr>
        <w:t>, a dobra osobiste osoby wskazanej jako sprawca. Drugą przesłanką, którą Komisja będzie musiała ocenić</w:t>
      </w:r>
      <w:r w:rsidR="00E61E4D">
        <w:rPr>
          <w:rFonts w:cs="Times New Roman"/>
        </w:rPr>
        <w:t>,</w:t>
      </w:r>
      <w:r w:rsidRPr="00DB7B79">
        <w:rPr>
          <w:rFonts w:cs="Times New Roman"/>
        </w:rPr>
        <w:t xml:space="preserve"> jest prawdopodobieństwo popełnienia przez osobę wskazaną jako sprawca w przyszłości przestępstwa, o którym mowa w art. 1 pkt 2</w:t>
      </w:r>
      <w:r w:rsidR="000B72A2">
        <w:rPr>
          <w:rFonts w:cs="Times New Roman"/>
        </w:rPr>
        <w:t xml:space="preserve"> ustawy.</w:t>
      </w:r>
      <w:r w:rsidRPr="00DB7B79">
        <w:rPr>
          <w:rFonts w:cs="Times New Roman"/>
        </w:rPr>
        <w:t xml:space="preserve"> Jeżeli Komisja uzna, że zgromadzony materiał dowodowy wskazuje, że pomimo istnienia podstaw do wydania postanowienia o wpisie w Rejestrze, jego dokonanie spowoduje niewspółmierne skutki dla osoby wskazanej jako sprawca i nie zachodzi wysokie prawdopodobieństwo popełnienia </w:t>
      </w:r>
      <w:r w:rsidRPr="00DB7B79">
        <w:rPr>
          <w:rFonts w:cs="Times New Roman"/>
        </w:rPr>
        <w:lastRenderedPageBreak/>
        <w:t>przestępstwa, o którym mowa w art. 1 pkt 2</w:t>
      </w:r>
      <w:r w:rsidR="000B72A2">
        <w:rPr>
          <w:rFonts w:cs="Times New Roman"/>
        </w:rPr>
        <w:t xml:space="preserve"> ustawy</w:t>
      </w:r>
      <w:r w:rsidRPr="00DB7B79">
        <w:rPr>
          <w:rFonts w:cs="Times New Roman"/>
        </w:rPr>
        <w:t>, zobowiązana będzie do wydania postanowienia o odmowie wpisu w Rejestrze. Tym samym projekt wprowadza dodatkową regulację mającą na celu ochronę praw osoby wskazanej jako sprawca. Od postanowienia wydanego na podstawie art. 37a</w:t>
      </w:r>
      <w:r w:rsidR="000B72A2">
        <w:rPr>
          <w:rFonts w:cs="Times New Roman"/>
        </w:rPr>
        <w:t xml:space="preserve"> nie będzie</w:t>
      </w:r>
      <w:r w:rsidRPr="00DB7B79">
        <w:rPr>
          <w:rFonts w:cs="Times New Roman"/>
        </w:rPr>
        <w:t xml:space="preserve"> przysług</w:t>
      </w:r>
      <w:r w:rsidR="000B72A2">
        <w:rPr>
          <w:rFonts w:cs="Times New Roman"/>
        </w:rPr>
        <w:t>iwało</w:t>
      </w:r>
      <w:r w:rsidRPr="00DB7B79">
        <w:rPr>
          <w:rFonts w:cs="Times New Roman"/>
        </w:rPr>
        <w:t xml:space="preserve"> odwołanie.</w:t>
      </w:r>
      <w:r w:rsidR="00764752">
        <w:rPr>
          <w:rFonts w:cs="Times New Roman"/>
        </w:rPr>
        <w:t xml:space="preserve"> Decyzja Komisji w tym zakresie będzie podlegała kontroli sądowej, w tym w drodze nadzwyczajnego środka zaskarżenia – skargi kasacyjnej – przez Sąd Najwyższy.</w:t>
      </w:r>
    </w:p>
    <w:p w14:paraId="39CA4DFB" w14:textId="78421D51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 xml:space="preserve">Obecnie </w:t>
      </w:r>
      <w:r w:rsidR="000B72A2">
        <w:rPr>
          <w:rFonts w:cs="Times New Roman"/>
        </w:rPr>
        <w:t>u</w:t>
      </w:r>
      <w:r w:rsidRPr="00DB7B79">
        <w:rPr>
          <w:rFonts w:cs="Times New Roman"/>
        </w:rPr>
        <w:t xml:space="preserve">stawa przyznaje prawo do odwołania tylko osobie wskazanej jako sprawca. Przyjęte rozwiązanie </w:t>
      </w:r>
      <w:r w:rsidR="00540C1D">
        <w:rPr>
          <w:rFonts w:cs="Times New Roman"/>
        </w:rPr>
        <w:t xml:space="preserve">może budzić </w:t>
      </w:r>
      <w:r w:rsidRPr="00DB7B79">
        <w:rPr>
          <w:rFonts w:cs="Times New Roman"/>
        </w:rPr>
        <w:t>wątpliwości z punktu widzenia konstytucyjnej zasady równości stron</w:t>
      </w:r>
      <w:r w:rsidR="00540C1D">
        <w:rPr>
          <w:rFonts w:cs="Times New Roman"/>
        </w:rPr>
        <w:t>, dlatego też</w:t>
      </w:r>
      <w:r w:rsidRPr="00DB7B79">
        <w:rPr>
          <w:rFonts w:cs="Times New Roman"/>
        </w:rPr>
        <w:t xml:space="preserve"> </w:t>
      </w:r>
      <w:r w:rsidR="00540C1D">
        <w:rPr>
          <w:rFonts w:cs="Times New Roman"/>
        </w:rPr>
        <w:t>w</w:t>
      </w:r>
      <w:r w:rsidRPr="00DB7B79">
        <w:rPr>
          <w:rFonts w:cs="Times New Roman"/>
        </w:rPr>
        <w:t xml:space="preserve"> art. 38 ust. 2 osobie poszkodowanej przyznane zostało uprawnienie do wniesienia odwołania na takich samych zasadach, jak osobie wskazanej jako sprawca</w:t>
      </w:r>
      <w:r w:rsidR="00540C1D">
        <w:rPr>
          <w:rFonts w:cs="Times New Roman"/>
        </w:rPr>
        <w:t xml:space="preserve"> – w granicach interesu prawnego</w:t>
      </w:r>
      <w:r w:rsidRPr="00DB7B79">
        <w:rPr>
          <w:rFonts w:cs="Times New Roman"/>
        </w:rPr>
        <w:t>.</w:t>
      </w:r>
      <w:r w:rsidR="00540C1D">
        <w:rPr>
          <w:rFonts w:cs="Times New Roman"/>
        </w:rPr>
        <w:t xml:space="preserve"> Oznacza to, że osobie poszkodowanej będzie przysługiwało odwołanie od postanowienia Komisji o odmowie wpisu do Rejestru, natomiast osobie wskazanej jako sprawca – odwołanie od postanowienia Komisji o wpis do Rejestru.</w:t>
      </w:r>
    </w:p>
    <w:p w14:paraId="211E7B7D" w14:textId="617638F4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Projekt w art. 36 ust. 4 przewiduje, że odwołanie wnoszone tylko i wyłącznie za pośrednictwem Komisji, która będzie niezwłocznie przekazywać je wraz z aktami postępowania wyjaśniającego do właściwego sądu.  W projekcie doprecyzowano właściwość miejscową sądu odwoławczego do rozpoznania odwołania (art. 38 ust. 1</w:t>
      </w:r>
      <w:r w:rsidR="00540C1D">
        <w:rPr>
          <w:rFonts w:cs="Times New Roman"/>
        </w:rPr>
        <w:t>-</w:t>
      </w:r>
      <w:r w:rsidRPr="00DB7B79">
        <w:rPr>
          <w:rFonts w:cs="Times New Roman"/>
        </w:rPr>
        <w:t xml:space="preserve">3). </w:t>
      </w:r>
    </w:p>
    <w:p w14:paraId="29743411" w14:textId="322969DC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W art. 38a określono wymogi formalne odwołania. Projekt przewiduje, że odwołanie powinno zawierać: oznaczenie sądu, do którego jest skierowane; imiona i nazwisko wnoszącego odwołanie, jego przedstawicieli ustawowych i pełnomocników; oznaczenie zaskarżonego postanowienia; przytoczenie zarzutów i zwięzłe ich uzasadnienie; powołanie w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 xml:space="preserve">razie potrzeby nowych faktów i dowodów; wniosek o uchylenie lub zmianę postanowienia w całości lub w części; podpis wnoszącego odwołanie albo jego przedstawiciela ustawowego lub pełnomocnika; wymienienie załączników. Dodatkowo jeżeli w odwołaniu zostaną wskazane nowe fakty lub dowody, należy uprawdopodobnić, że ich powołanie w postępowaniu wyjaśniającym przed Komisją nie było możliwe albo potrzeba ich </w:t>
      </w:r>
      <w:r w:rsidR="0063707A">
        <w:rPr>
          <w:rFonts w:cs="Times New Roman"/>
        </w:rPr>
        <w:t>powołania wynikła później.</w:t>
      </w:r>
    </w:p>
    <w:p w14:paraId="69FE38DB" w14:textId="4D35623F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 xml:space="preserve"> W art. 38b określone zostały strony postępowania odwoławczego (ust. 1) i osoby mogące również reprezentować Komisję (ust. 2). Projekt przewiduje, że pełnomocnikiem Komisji może być również pracownik Urzędu Komisji. </w:t>
      </w:r>
    </w:p>
    <w:p w14:paraId="58D80ABD" w14:textId="11428685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Rodzaje możliwych rozstrzygnięć w postępowaniu odwoławczym uregulowane zostały w art. 38c. Projekt przewiduje, że sąd oddala odwołanie od postanowienia w przedmiocie wpisu w Rejestrze, jeżeli nie ma podstaw do jego uwzględnienia (ust. 1). Natomiast jeżeli sąd uwzględni odwołanie, to wówczas zaskarżone postanowienie albo uchyla, albo zmienia w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 xml:space="preserve">całości lub w części i orzeka co do istoty sprawy (ust. 3). W sytuacji gdy odwołanie zostało </w:t>
      </w:r>
      <w:r w:rsidRPr="00DB7B79">
        <w:rPr>
          <w:rFonts w:cs="Times New Roman"/>
        </w:rPr>
        <w:lastRenderedPageBreak/>
        <w:t>wniesione po upływie terminu lub jest niedopuszczalne z innych przyczyn, a także, gdy nie uzupełniono w wyznaczonym terminie braków odwołania, sąd odrzuci odwołanie (ust. 2). Odpis orzeczenia wydanego przez sąd będzie niezwłocznie przekazywany Komisji wraz z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>aktami (ust. 4). Projekt przewiduje również możliwość wniesienia nadzwyczajnego środka odwoławczego od orzeczenia sądowego w postaci skargi kasacyjnej (art. 38d).</w:t>
      </w:r>
    </w:p>
    <w:p w14:paraId="7320E50D" w14:textId="2B2FBA48" w:rsidR="00623671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 xml:space="preserve">W art. 38e przewiduje się wprowadzenie zwolnienia wskazanych podmiotów od kosztów postępowania wyjaśniającego. Projekt zakłada, że co do zasady całość postępowania wyjaśniającego przed Komisją powinna być nieodpłatna (ust. 1). </w:t>
      </w:r>
      <w:r w:rsidR="00540C1D">
        <w:rPr>
          <w:rFonts w:cs="Times New Roman"/>
        </w:rPr>
        <w:t xml:space="preserve">Potwierdza </w:t>
      </w:r>
      <w:r w:rsidR="00E61E4D">
        <w:rPr>
          <w:rFonts w:cs="Times New Roman"/>
        </w:rPr>
        <w:t xml:space="preserve">również </w:t>
      </w:r>
      <w:r w:rsidRPr="00DB7B79">
        <w:rPr>
          <w:rFonts w:cs="Times New Roman"/>
        </w:rPr>
        <w:t>możliwość uzyskania zwrotu kosztu podróży dla osób zaproszonych i wezwanych w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 xml:space="preserve">charakterze świadka (ust. 2). Zwrot kosztów przyznawany będzie na wniosek, który należy złożyć ustnie do protokołu lub na piśmie, w terminie tygodniowym od dnia zakończenia czynności z jej udziałem. Osobie wskazanej jako sprawca zwrot kosztów przysługuje jedynie w wypadku wydania prawomocnego postanowienia o odmowie wpisu w Rejestrze (ust. 3). Projekt przewiduje także kontrolę odwoławczą od zarządzenia </w:t>
      </w:r>
      <w:r w:rsidR="000B72A2">
        <w:rPr>
          <w:rFonts w:cs="Times New Roman"/>
        </w:rPr>
        <w:t>p</w:t>
      </w:r>
      <w:r w:rsidRPr="00DB7B79">
        <w:rPr>
          <w:rFonts w:cs="Times New Roman"/>
        </w:rPr>
        <w:t>rzewodniczącego</w:t>
      </w:r>
      <w:r w:rsidR="000B72A2">
        <w:rPr>
          <w:rFonts w:cs="Times New Roman"/>
        </w:rPr>
        <w:t xml:space="preserve"> </w:t>
      </w:r>
      <w:r w:rsidRPr="00DB7B79">
        <w:rPr>
          <w:rFonts w:cs="Times New Roman"/>
        </w:rPr>
        <w:t>Komisji w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 xml:space="preserve">przedmiocie zwrotu kosztów podróży (ust. 4). </w:t>
      </w:r>
    </w:p>
    <w:p w14:paraId="4B627101" w14:textId="66EF7676" w:rsidR="00623671" w:rsidRPr="00DB7B79" w:rsidRDefault="00623671" w:rsidP="00540C1D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Projekt  nakłada na Komisję obowiązek weryfikacji w bazie PESEL informacji o osobie wskazanej w aktach jako sprawca. Jeżeli ustalone zostanie, że osoba ta zmarła, Komisja ma obowiązek zakończyć postępowanie wyjaśniające i pozostawić postanowienie w aktach sprawy, gdy śmierć nastąpiła po wydaniu postanowienia o wpisie w Rejestrze (art. 39 ust. 4) lub uchylić postanowienie o wpisie w Rejestrze i umorzyć postępowanie wyjaśniające, gdy śmierć nastąpiła przed wydaniem postanowienia (art. 39 ust. 5).</w:t>
      </w:r>
    </w:p>
    <w:p w14:paraId="1A960929" w14:textId="66455DE4" w:rsidR="007649DA" w:rsidRPr="00DB7B79" w:rsidRDefault="00623671" w:rsidP="00623671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DB7B79">
        <w:rPr>
          <w:rFonts w:cs="Times New Roman"/>
        </w:rPr>
        <w:t>Projekt precyzuje zakres przepisów stosowanych w postępowaniu wyjaśniającym i</w:t>
      </w:r>
      <w:r w:rsidR="0063707A">
        <w:rPr>
          <w:rFonts w:cs="Times New Roman"/>
        </w:rPr>
        <w:t> </w:t>
      </w:r>
      <w:r w:rsidRPr="00DB7B79">
        <w:rPr>
          <w:rFonts w:cs="Times New Roman"/>
        </w:rPr>
        <w:t xml:space="preserve">odwoławczym przez szczegółowe odesłanie do właściwych jednostek redakcyjnych Kodeksu postępowania cywilnego (art. 40 ust. 1 i 2). Ograniczenie zawarte w proponowanej zmianie art. 40 ma na celu wyeliminowanie wątpliwości interpretacyjnych, które mogą się pojawić w toku stosowania przez Komisję </w:t>
      </w:r>
      <w:r w:rsidR="00540C1D">
        <w:rPr>
          <w:rFonts w:cs="Times New Roman"/>
        </w:rPr>
        <w:t xml:space="preserve">przepisów </w:t>
      </w:r>
      <w:r w:rsidRPr="00DB7B79">
        <w:rPr>
          <w:rFonts w:cs="Times New Roman"/>
        </w:rPr>
        <w:t xml:space="preserve">procedury cywilnej. Jednocześnie w art. 40 ust. 3 wprowadza się odesłanie do ustawy z dnia 28 lipca 2005 r. o kosztach sądowych w sprawach cywilnych w zakresie dokonywania zwrotu kosztów podróży oraz wynagrodzenia biegłego </w:t>
      </w:r>
      <w:r w:rsidRPr="0063707A">
        <w:t>i</w:t>
      </w:r>
      <w:r w:rsidR="0063707A">
        <w:t> </w:t>
      </w:r>
      <w:r w:rsidRPr="0063707A">
        <w:t>zwrotu</w:t>
      </w:r>
      <w:r w:rsidRPr="00DB7B79">
        <w:rPr>
          <w:rFonts w:cs="Times New Roman"/>
        </w:rPr>
        <w:t xml:space="preserve"> poniesionych przez niego wydatków. </w:t>
      </w:r>
    </w:p>
    <w:p w14:paraId="08EA1C8D" w14:textId="77777777" w:rsidR="00623671" w:rsidRDefault="00623671" w:rsidP="002825B2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04D809FD" w14:textId="5F7B368B" w:rsidR="00E90668" w:rsidRPr="00B45FAE" w:rsidRDefault="00E90668" w:rsidP="00E90668">
      <w:pPr>
        <w:pStyle w:val="Tekstpodstawowy"/>
        <w:spacing w:after="0" w:line="360" w:lineRule="auto"/>
        <w:ind w:firstLine="708"/>
        <w:jc w:val="both"/>
        <w:rPr>
          <w:rFonts w:cs="Times New Roman"/>
        </w:rPr>
      </w:pPr>
      <w:r w:rsidRPr="00B45FAE">
        <w:rPr>
          <w:rFonts w:cs="Times New Roman"/>
          <w:color w:val="000000"/>
        </w:rPr>
        <w:t>Propozycj</w:t>
      </w:r>
      <w:r w:rsidR="00E61E4D">
        <w:rPr>
          <w:rFonts w:cs="Times New Roman"/>
          <w:color w:val="000000"/>
        </w:rPr>
        <w:t>e zmian</w:t>
      </w:r>
      <w:r w:rsidRPr="00B45FAE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w obszarze przepisów dotyczących działalności prewencyjnej i</w:t>
      </w:r>
      <w:r w:rsidR="0063707A">
        <w:rPr>
          <w:rFonts w:cs="Times New Roman"/>
          <w:color w:val="000000"/>
        </w:rPr>
        <w:t> </w:t>
      </w:r>
      <w:r>
        <w:rPr>
          <w:rFonts w:cs="Times New Roman"/>
          <w:color w:val="000000"/>
        </w:rPr>
        <w:t xml:space="preserve">edukacyjnej </w:t>
      </w:r>
      <w:r w:rsidRPr="00B45FAE">
        <w:rPr>
          <w:rFonts w:cs="Times New Roman"/>
          <w:color w:val="000000"/>
        </w:rPr>
        <w:t xml:space="preserve">stanowią wyraz dążenia do dostosowania treści normatywnej do optymalnego </w:t>
      </w:r>
      <w:r w:rsidR="000876A3" w:rsidRPr="00B45FAE">
        <w:rPr>
          <w:rFonts w:cs="Times New Roman"/>
          <w:color w:val="000000"/>
        </w:rPr>
        <w:t>funkcjonowania</w:t>
      </w:r>
      <w:r w:rsidR="000876A3">
        <w:rPr>
          <w:rFonts w:cs="Times New Roman"/>
          <w:color w:val="000000"/>
        </w:rPr>
        <w:t xml:space="preserve"> Komisji</w:t>
      </w:r>
      <w:r w:rsidRPr="00B45FAE">
        <w:rPr>
          <w:rFonts w:cs="Times New Roman"/>
          <w:color w:val="000000"/>
        </w:rPr>
        <w:t>.</w:t>
      </w:r>
      <w:r>
        <w:rPr>
          <w:rFonts w:cs="Times New Roman"/>
        </w:rPr>
        <w:t xml:space="preserve"> Z</w:t>
      </w:r>
      <w:r w:rsidRPr="00B45FAE">
        <w:rPr>
          <w:rFonts w:cs="Times New Roman"/>
        </w:rPr>
        <w:t xml:space="preserve">agadnienie działalności edukacyjnej i prewencyjnej Komisji zostało uregulowane w rozdziale piątym </w:t>
      </w:r>
      <w:r>
        <w:rPr>
          <w:rFonts w:cs="Times New Roman"/>
        </w:rPr>
        <w:t>u</w:t>
      </w:r>
      <w:r w:rsidRPr="00B45FAE">
        <w:rPr>
          <w:rFonts w:cs="Times New Roman"/>
        </w:rPr>
        <w:t xml:space="preserve">stawy. Projekt przewiduje zmianę brzmienia art. 42 oraz </w:t>
      </w:r>
      <w:r w:rsidRPr="00B45FAE">
        <w:rPr>
          <w:rFonts w:cs="Times New Roman"/>
        </w:rPr>
        <w:lastRenderedPageBreak/>
        <w:t xml:space="preserve">zmianę tytułu oddziału 1 na „Sprawozdanie roczne”. Ponadto nowe brzmienie otrzyma art. 43 i </w:t>
      </w:r>
      <w:r>
        <w:rPr>
          <w:rFonts w:cs="Times New Roman"/>
        </w:rPr>
        <w:t xml:space="preserve">art. </w:t>
      </w:r>
      <w:r w:rsidRPr="00B45FAE">
        <w:rPr>
          <w:rFonts w:cs="Times New Roman"/>
        </w:rPr>
        <w:t xml:space="preserve">44. </w:t>
      </w:r>
    </w:p>
    <w:p w14:paraId="6F03D4D2" w14:textId="77777777" w:rsidR="00E90668" w:rsidRPr="00B45FAE" w:rsidRDefault="00E90668" w:rsidP="00E90668">
      <w:pPr>
        <w:pStyle w:val="Tekstpodstawowy"/>
        <w:spacing w:after="0" w:line="360" w:lineRule="auto"/>
        <w:ind w:firstLine="708"/>
        <w:jc w:val="both"/>
        <w:rPr>
          <w:rFonts w:cs="Times New Roman"/>
        </w:rPr>
      </w:pPr>
      <w:r w:rsidRPr="00B45FAE">
        <w:rPr>
          <w:rFonts w:cs="Times New Roman"/>
        </w:rPr>
        <w:t>Istotnym elementem projektu jest wyodrębnienie raportu dotyczącego zjawiska wykorzystywania seksualnego małoletnich poniżej lat 15 wraz z rekomendacjami (opracowywanego nie rzadziej niż raz na trzy lata</w:t>
      </w:r>
      <w:r>
        <w:rPr>
          <w:rFonts w:cs="Times New Roman"/>
        </w:rPr>
        <w:t xml:space="preserve"> – art. 44b</w:t>
      </w:r>
      <w:r w:rsidRPr="00B45FAE">
        <w:rPr>
          <w:rFonts w:cs="Times New Roman"/>
        </w:rPr>
        <w:t>) oraz sprawozdania (co do zasady – corocznego; z wyjątkiem sprawozdania rocznego za rok 2022 obejmującego okres od 25 lipca 2021 r. do 31 grudnia 2022 r.). Sprawozdanie musi być opracowane i udostępnione publicznie nie później niż do 31 marca roku następnego po roku sprawozdawczym (art. 42).</w:t>
      </w:r>
    </w:p>
    <w:p w14:paraId="0108790D" w14:textId="0A8B8B72" w:rsidR="00E90668" w:rsidRPr="00B45FAE" w:rsidRDefault="00E90668" w:rsidP="00E90668">
      <w:pPr>
        <w:pStyle w:val="Tekstpodstawowy"/>
        <w:spacing w:after="0" w:line="360" w:lineRule="auto"/>
        <w:ind w:firstLine="708"/>
        <w:jc w:val="both"/>
        <w:rPr>
          <w:rFonts w:cs="Times New Roman"/>
        </w:rPr>
      </w:pPr>
      <w:r w:rsidRPr="00B45FAE">
        <w:rPr>
          <w:rFonts w:cs="Times New Roman"/>
        </w:rPr>
        <w:t>Z</w:t>
      </w:r>
      <w:r>
        <w:rPr>
          <w:rFonts w:cs="Times New Roman"/>
        </w:rPr>
        <w:t>godnie z p</w:t>
      </w:r>
      <w:r w:rsidRPr="00B45FAE">
        <w:rPr>
          <w:rFonts w:cs="Times New Roman"/>
        </w:rPr>
        <w:t>rojektem, Komisja będzie prowadzić działalność badawczą i opracowuje raport dotyczący zjawiska wykorzystywania seksualnego małoletnich</w:t>
      </w:r>
      <w:r>
        <w:rPr>
          <w:rFonts w:cs="Times New Roman"/>
        </w:rPr>
        <w:t xml:space="preserve"> poniżej lat 15</w:t>
      </w:r>
      <w:r w:rsidRPr="00B45FAE">
        <w:rPr>
          <w:rFonts w:cs="Times New Roman"/>
        </w:rPr>
        <w:t xml:space="preserve"> wraz z</w:t>
      </w:r>
      <w:r w:rsidR="007E37C3">
        <w:rPr>
          <w:rFonts w:cs="Times New Roman"/>
        </w:rPr>
        <w:t> </w:t>
      </w:r>
      <w:r w:rsidRPr="00B45FAE">
        <w:rPr>
          <w:rFonts w:cs="Times New Roman"/>
        </w:rPr>
        <w:t>konkretnymi rekomendacjami,</w:t>
      </w:r>
      <w:r w:rsidR="002825B2">
        <w:rPr>
          <w:rFonts w:cs="Times New Roman"/>
        </w:rPr>
        <w:t xml:space="preserve"> </w:t>
      </w:r>
      <w:r w:rsidRPr="00B45FAE">
        <w:rPr>
          <w:rFonts w:cs="Times New Roman"/>
        </w:rPr>
        <w:t>przez analizę m.in. danych zawartych w aktach spraw karnych udostępnianych przez sądy działające na terytorium Rzeczpospolitej Polskiej. Okres przygotowywania tego typu analiz uzasadniony jest, m.in. potrzebami związanymi z</w:t>
      </w:r>
      <w:r w:rsidR="007E37C3">
        <w:rPr>
          <w:rFonts w:cs="Times New Roman"/>
        </w:rPr>
        <w:t> </w:t>
      </w:r>
      <w:r w:rsidRPr="00B45FAE">
        <w:rPr>
          <w:rFonts w:cs="Times New Roman"/>
        </w:rPr>
        <w:t>prowadzeniem badań prawno-porównawczych</w:t>
      </w:r>
      <w:r>
        <w:rPr>
          <w:rFonts w:cs="Times New Roman"/>
        </w:rPr>
        <w:t>.</w:t>
      </w:r>
      <w:r w:rsidRPr="00B45FAE">
        <w:rPr>
          <w:rFonts w:cs="Times New Roman"/>
        </w:rPr>
        <w:t xml:space="preserve"> Warto nadmienić, że ilość materiałów przesyłanych do analizy Komisji </w:t>
      </w:r>
      <w:r w:rsidR="00540C1D">
        <w:rPr>
          <w:rFonts w:cs="Times New Roman"/>
        </w:rPr>
        <w:t xml:space="preserve">może </w:t>
      </w:r>
      <w:r w:rsidRPr="00B45FAE">
        <w:rPr>
          <w:rFonts w:cs="Times New Roman"/>
        </w:rPr>
        <w:t>sprowadza</w:t>
      </w:r>
      <w:r w:rsidR="00540C1D">
        <w:rPr>
          <w:rFonts w:cs="Times New Roman"/>
        </w:rPr>
        <w:t>ć</w:t>
      </w:r>
      <w:r w:rsidRPr="00B45FAE">
        <w:rPr>
          <w:rFonts w:cs="Times New Roman"/>
        </w:rPr>
        <w:t xml:space="preserve"> się do kilku tysięcy tomów spraw karnych, które muszą zostać zbadane z uwzględnieniem znacznej liczby zmiennych, a </w:t>
      </w:r>
      <w:r w:rsidRPr="00F44006">
        <w:rPr>
          <w:rFonts w:cs="Times New Roman"/>
        </w:rPr>
        <w:t>następnie pozyskane dane będą wykorzystywane w toku wypracowywania metod przeciwdziałania kolejnym (pozostającym w przedmiocie prac Komisji) czynom zabronionym oraz pomocy ofiarom poszczególnych przestępstw</w:t>
      </w:r>
      <w:r w:rsidRPr="00B45FAE">
        <w:rPr>
          <w:rFonts w:cs="Times New Roman"/>
        </w:rPr>
        <w:t>.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Możliwość tworzenia - obok corocznego sprawozdania - również szczegółowego raportu badawczego wzorowana jest na australijskiej Komisji Królewskiej ds. Odpowiedzi Instytucji na</w:t>
      </w:r>
      <w:r>
        <w:rPr>
          <w:rFonts w:cs="Times New Roman"/>
        </w:rPr>
        <w:t> </w:t>
      </w:r>
      <w:r w:rsidRPr="00B45FAE">
        <w:rPr>
          <w:rFonts w:cs="Times New Roman"/>
        </w:rPr>
        <w:t>Wykorzystywanie Seksualne Dzieci</w:t>
      </w:r>
      <w:r w:rsidR="000B72A2">
        <w:rPr>
          <w:rFonts w:cs="Times New Roman"/>
        </w:rPr>
        <w:t>. M</w:t>
      </w:r>
      <w:r w:rsidRPr="00B45FAE">
        <w:rPr>
          <w:rFonts w:cs="Times New Roman"/>
        </w:rPr>
        <w:t>odel jej działania zakłada publikowanie obszernych rekomendacji - znajdujących praktyczne zastosowanie w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sferze przeciwdziałania przestępczości seksualnej wymierzonej w małoletnich</w:t>
      </w:r>
      <w:r>
        <w:rPr>
          <w:rFonts w:cs="Times New Roman"/>
        </w:rPr>
        <w:t>, a jej pierwszy raport został opublikowany po prawie 5 latach działalności.</w:t>
      </w:r>
      <w:r w:rsidRPr="00B45FAE">
        <w:rPr>
          <w:rFonts w:cs="Times New Roman"/>
        </w:rPr>
        <w:t xml:space="preserve"> Jednocześnie warto zauważyć, że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 xml:space="preserve">chociażby w przypadku Republiki Federalnej Niemiec pracę nad </w:t>
      </w:r>
      <w:r>
        <w:rPr>
          <w:rFonts w:cs="Times New Roman"/>
        </w:rPr>
        <w:t>raportem trwały</w:t>
      </w:r>
      <w:r w:rsidRPr="00B45FAE">
        <w:rPr>
          <w:rFonts w:cs="Times New Roman"/>
        </w:rPr>
        <w:t xml:space="preserve"> trzy lata.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W dalszej kolejności należy wskazać na walor porządkujący projektowanej zmiany – czego przykład stanow</w:t>
      </w:r>
      <w:r>
        <w:rPr>
          <w:rFonts w:cs="Times New Roman"/>
        </w:rPr>
        <w:t>i m.in. fakt, iż w ramach</w:t>
      </w:r>
      <w:r w:rsidRPr="00B45FAE">
        <w:rPr>
          <w:rFonts w:cs="Times New Roman"/>
        </w:rPr>
        <w:t xml:space="preserve"> art. 44 ust. 1 zdecydowano się na łączne przedstawienie przykładowego zestawienia zadań edukacyjnych i prewencyjnych wymieniając, m.in. upowszechnianie wiedzy na temat zapobiegania i przeciwdziałania wykorzystywaniu seksualnemu małoletnich, wspieranie przedsięwzięć społecznych mających na celu promowanie właściwych postaw społecznych w zakresie zgłaszania organom ścigania przypadków wykorzystywania seksualnego</w:t>
      </w:r>
      <w:r>
        <w:rPr>
          <w:rFonts w:cs="Times New Roman"/>
        </w:rPr>
        <w:t xml:space="preserve"> małoletnich</w:t>
      </w:r>
      <w:r w:rsidRPr="00B45FAE">
        <w:rPr>
          <w:rFonts w:cs="Times New Roman"/>
        </w:rPr>
        <w:t xml:space="preserve">, w tym prowadzenie kampanii informacyjnych (elementy zasadniczo zbieżne z art. 44 ust. 1 pkt 1 i 2 </w:t>
      </w:r>
      <w:r w:rsidR="00082E68">
        <w:rPr>
          <w:rFonts w:cs="Times New Roman"/>
        </w:rPr>
        <w:t>u</w:t>
      </w:r>
      <w:r w:rsidRPr="00B45FAE">
        <w:rPr>
          <w:rFonts w:cs="Times New Roman"/>
        </w:rPr>
        <w:t xml:space="preserve">stawy – </w:t>
      </w:r>
      <w:r>
        <w:rPr>
          <w:rFonts w:cs="Times New Roman"/>
        </w:rPr>
        <w:t>obecnie</w:t>
      </w:r>
      <w:r w:rsidRPr="00B45FAE">
        <w:rPr>
          <w:rFonts w:cs="Times New Roman"/>
        </w:rPr>
        <w:t xml:space="preserve"> jako przykłady zadań o</w:t>
      </w:r>
      <w:r>
        <w:rPr>
          <w:rFonts w:cs="Times New Roman"/>
        </w:rPr>
        <w:t> </w:t>
      </w:r>
      <w:r w:rsidRPr="00B45FAE">
        <w:rPr>
          <w:rFonts w:cs="Times New Roman"/>
        </w:rPr>
        <w:t>charakterze edukacyjnym).</w:t>
      </w:r>
    </w:p>
    <w:p w14:paraId="70C52AB4" w14:textId="43562619" w:rsidR="00453095" w:rsidRPr="00B45FAE" w:rsidRDefault="00453095" w:rsidP="00453095">
      <w:pPr>
        <w:pStyle w:val="Tekstpodstawowy"/>
        <w:spacing w:after="0" w:line="360" w:lineRule="auto"/>
        <w:ind w:firstLine="708"/>
        <w:jc w:val="both"/>
        <w:rPr>
          <w:rFonts w:cs="Times New Roman"/>
        </w:rPr>
      </w:pPr>
      <w:r w:rsidRPr="00B45FAE">
        <w:rPr>
          <w:rFonts w:cs="Times New Roman"/>
        </w:rPr>
        <w:lastRenderedPageBreak/>
        <w:t>Przewidziana jawność poszczególnych analiz (raportu badawczego, sprawozdania z</w:t>
      </w:r>
      <w:r>
        <w:rPr>
          <w:rFonts w:cs="Times New Roman"/>
        </w:rPr>
        <w:t> </w:t>
      </w:r>
      <w:r w:rsidRPr="00B45FAE">
        <w:rPr>
          <w:rFonts w:cs="Times New Roman"/>
        </w:rPr>
        <w:t>działalności) zmierza do jak najszerszego upublicznienia wyników prac Komisji wśród wszystkich zainteresowanych podmiotów.</w:t>
      </w:r>
    </w:p>
    <w:p w14:paraId="57042616" w14:textId="6466B5E9" w:rsidR="00453095" w:rsidRPr="00B45FAE" w:rsidRDefault="00453095" w:rsidP="00453095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B45FAE">
        <w:rPr>
          <w:rFonts w:cs="Times New Roman"/>
        </w:rPr>
        <w:t xml:space="preserve">Okoliczność, </w:t>
      </w:r>
      <w:r>
        <w:rPr>
          <w:rFonts w:cs="Times New Roman"/>
        </w:rPr>
        <w:t>że</w:t>
      </w:r>
      <w:r w:rsidRPr="00B45FAE">
        <w:rPr>
          <w:rFonts w:cs="Times New Roman"/>
        </w:rPr>
        <w:t xml:space="preserve"> sprawozdanie roczne z działalności za rok 2022 ma obejmować działania Komisji od 25 lipca 2021 r. do 31 grudnia 2022 r. (art. 7) ma charakter porządkujący w</w:t>
      </w:r>
      <w:r>
        <w:rPr>
          <w:rFonts w:cs="Times New Roman"/>
        </w:rPr>
        <w:t> </w:t>
      </w:r>
      <w:r w:rsidRPr="00B45FAE">
        <w:rPr>
          <w:rFonts w:cs="Times New Roman"/>
        </w:rPr>
        <w:t>aspekcie sprawozdań rocznych z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działalności Komisji i podyktowane jest dążeniem do ich optymalnego zestawienia, przez rozpoczynanie okresu objętego kolejnym sprawozdaniem od</w:t>
      </w:r>
      <w:r>
        <w:rPr>
          <w:rFonts w:cs="Times New Roman"/>
        </w:rPr>
        <w:t> </w:t>
      </w:r>
      <w:r w:rsidRPr="00B45FAE">
        <w:rPr>
          <w:rFonts w:cs="Times New Roman"/>
        </w:rPr>
        <w:t>początku każdorazowego roku kalendarzowego, tak by docelowo były to sprawdzania obejmujące jedynie jeden pełny rok kalendarzowy (podobne sprawozdania przedstawia w</w:t>
      </w:r>
      <w:r>
        <w:rPr>
          <w:rFonts w:cs="Times New Roman"/>
        </w:rPr>
        <w:t> </w:t>
      </w:r>
      <w:r w:rsidRPr="00B45FAE">
        <w:rPr>
          <w:rFonts w:cs="Times New Roman"/>
        </w:rPr>
        <w:t>Rzeczpospolitej Polskiej szereg istotnych dla funkcjonowania państwa podmiotów, m.in. Sąd Najwyższy, Rzecznik Praw Dziecka czy Najwyższa Izba Kontroli).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Komisja opracowuje i</w:t>
      </w:r>
      <w:r w:rsidR="007E37C3">
        <w:rPr>
          <w:rFonts w:cs="Times New Roman"/>
        </w:rPr>
        <w:t> </w:t>
      </w:r>
      <w:r w:rsidRPr="00B45FAE">
        <w:rPr>
          <w:rFonts w:cs="Times New Roman"/>
        </w:rPr>
        <w:t xml:space="preserve">udostępni swój pierwszy raport w terminie do 31 grudnia 2023 r. (art. </w:t>
      </w:r>
      <w:r>
        <w:rPr>
          <w:rFonts w:cs="Times New Roman"/>
        </w:rPr>
        <w:t>8)</w:t>
      </w:r>
      <w:r w:rsidRPr="00B45FAE">
        <w:rPr>
          <w:rFonts w:cs="Times New Roman"/>
        </w:rPr>
        <w:t xml:space="preserve">. </w:t>
      </w:r>
      <w:r>
        <w:rPr>
          <w:rFonts w:cs="Times New Roman"/>
        </w:rPr>
        <w:t>P</w:t>
      </w:r>
      <w:r w:rsidRPr="00B45FAE">
        <w:rPr>
          <w:rFonts w:cs="Times New Roman"/>
        </w:rPr>
        <w:t xml:space="preserve">rzepis pozwala na czytelne określenie ram czasowych na </w:t>
      </w:r>
      <w:r>
        <w:rPr>
          <w:rFonts w:cs="Times New Roman"/>
        </w:rPr>
        <w:t>wykonanie</w:t>
      </w:r>
      <w:r w:rsidRPr="00B45FAE">
        <w:rPr>
          <w:rFonts w:cs="Times New Roman"/>
        </w:rPr>
        <w:t xml:space="preserve"> przez Komisję </w:t>
      </w:r>
      <w:r>
        <w:rPr>
          <w:rFonts w:cs="Times New Roman"/>
        </w:rPr>
        <w:t>wskazanego</w:t>
      </w:r>
      <w:r w:rsidRPr="00B45FAE">
        <w:rPr>
          <w:rFonts w:cs="Times New Roman"/>
        </w:rPr>
        <w:t xml:space="preserve"> zadania oraz jednocześnie pozwoli na prawidłową realizację wymagań postawionych wobec takiego dokumentu.</w:t>
      </w:r>
    </w:p>
    <w:p w14:paraId="55360D02" w14:textId="77777777" w:rsidR="00453095" w:rsidRDefault="00453095" w:rsidP="00453095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0B9E14C2" w14:textId="77777777" w:rsidR="00540C1D" w:rsidRDefault="00540C1D" w:rsidP="00540C1D">
      <w:pPr>
        <w:pStyle w:val="Tekstpodstawowy"/>
        <w:spacing w:after="0" w:line="360" w:lineRule="auto"/>
        <w:ind w:firstLine="709"/>
        <w:jc w:val="both"/>
        <w:rPr>
          <w:rFonts w:cs="Times New Roman"/>
        </w:rPr>
      </w:pPr>
      <w:r w:rsidRPr="00212C65">
        <w:rPr>
          <w:rFonts w:cs="Times New Roman"/>
        </w:rPr>
        <w:t>Projekt wprowadza też</w:t>
      </w:r>
      <w:r w:rsidRPr="00B45FAE">
        <w:rPr>
          <w:rFonts w:cs="Times New Roman"/>
        </w:rPr>
        <w:t xml:space="preserve"> wiele zmian porządkujących te</w:t>
      </w:r>
      <w:r>
        <w:rPr>
          <w:rFonts w:cs="Times New Roman"/>
        </w:rPr>
        <w:t>rminologię (</w:t>
      </w:r>
      <w:r w:rsidRPr="00B45FAE">
        <w:rPr>
          <w:rFonts w:cs="Times New Roman"/>
        </w:rPr>
        <w:t xml:space="preserve">art. 1 pkt </w:t>
      </w:r>
      <w:r>
        <w:rPr>
          <w:rFonts w:cs="Times New Roman"/>
        </w:rPr>
        <w:t>3,</w:t>
      </w:r>
      <w:r w:rsidRPr="00B45FAE">
        <w:rPr>
          <w:rFonts w:cs="Times New Roman"/>
        </w:rPr>
        <w:t xml:space="preserve"> art. 2 us</w:t>
      </w:r>
      <w:r>
        <w:rPr>
          <w:rFonts w:cs="Times New Roman"/>
        </w:rPr>
        <w:t>t. 1 i ust. 2 pkt 2,</w:t>
      </w:r>
      <w:r w:rsidRPr="00B45FAE">
        <w:rPr>
          <w:rFonts w:cs="Times New Roman"/>
        </w:rPr>
        <w:t xml:space="preserve"> art. 17 ust. 4), a także zmiany dostosowawcze </w:t>
      </w:r>
      <w:r>
        <w:rPr>
          <w:rFonts w:cs="Times New Roman"/>
        </w:rPr>
        <w:t>(art. 2 ust. 2 pkt 3,</w:t>
      </w:r>
      <w:r w:rsidRPr="00B45FAE">
        <w:rPr>
          <w:rFonts w:cs="Times New Roman"/>
        </w:rPr>
        <w:t xml:space="preserve"> </w:t>
      </w:r>
      <w:r>
        <w:rPr>
          <w:rFonts w:cs="Times New Roman"/>
        </w:rPr>
        <w:t>art. 3 ust. 2 pkt 1 lit. a i b,</w:t>
      </w:r>
      <w:r w:rsidRPr="00B45FAE">
        <w:rPr>
          <w:rFonts w:cs="Times New Roman"/>
        </w:rPr>
        <w:t>. art. 3 ust. 2 pkt 2 lit. a i b or</w:t>
      </w:r>
      <w:r>
        <w:rPr>
          <w:rFonts w:cs="Times New Roman"/>
        </w:rPr>
        <w:t>az pkt 4,</w:t>
      </w:r>
      <w:r w:rsidRPr="00B45FAE">
        <w:rPr>
          <w:rFonts w:cs="Times New Roman"/>
        </w:rPr>
        <w:t xml:space="preserve"> art. 8 ust.</w:t>
      </w:r>
      <w:r>
        <w:rPr>
          <w:rFonts w:cs="Times New Roman"/>
        </w:rPr>
        <w:t xml:space="preserve"> 4,</w:t>
      </w:r>
      <w:r w:rsidRPr="00B45FAE">
        <w:rPr>
          <w:rFonts w:cs="Times New Roman"/>
        </w:rPr>
        <w:t xml:space="preserve"> art. 17 ust. 1), czy doprecyzowujące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(np.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art. 3 ust. 2 pkt 5,</w:t>
      </w:r>
      <w:r>
        <w:rPr>
          <w:rFonts w:cs="Times New Roman"/>
        </w:rPr>
        <w:t xml:space="preserve"> </w:t>
      </w:r>
      <w:r w:rsidRPr="00B45FAE">
        <w:rPr>
          <w:rFonts w:cs="Times New Roman"/>
        </w:rPr>
        <w:t>art. 4</w:t>
      </w:r>
      <w:r>
        <w:rPr>
          <w:rFonts w:cs="Times New Roman"/>
        </w:rPr>
        <w:t>).</w:t>
      </w:r>
    </w:p>
    <w:p w14:paraId="45D4975C" w14:textId="77777777" w:rsidR="00540C1D" w:rsidRDefault="00540C1D" w:rsidP="00540C1D">
      <w:pPr>
        <w:pStyle w:val="Tekstpodstawowy"/>
        <w:spacing w:after="0"/>
        <w:ind w:firstLine="709"/>
        <w:jc w:val="both"/>
        <w:rPr>
          <w:rFonts w:cs="Times New Roman"/>
        </w:rPr>
      </w:pPr>
    </w:p>
    <w:p w14:paraId="159DD89A" w14:textId="48045EA1" w:rsidR="00453095" w:rsidRPr="005D170A" w:rsidRDefault="00453095" w:rsidP="00540C1D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bCs/>
          <w:sz w:val="24"/>
          <w:szCs w:val="24"/>
          <w:lang w:eastAsia="pl-PL"/>
        </w:rPr>
      </w:pPr>
      <w:r w:rsidRPr="00453095">
        <w:rPr>
          <w:rFonts w:ascii="Times New Roman" w:eastAsia="SimSun" w:hAnsi="Times New Roman" w:cs="Times New Roman"/>
          <w:bCs/>
          <w:sz w:val="24"/>
          <w:szCs w:val="24"/>
          <w:lang w:eastAsia="pl-PL"/>
        </w:rPr>
        <w:t xml:space="preserve">Projektowana ustawa nowelizuje ustawę </w:t>
      </w:r>
      <w:r w:rsidRPr="00453095">
        <w:rPr>
          <w:rFonts w:ascii="Times New Roman" w:hAnsi="Times New Roman" w:cs="Times New Roman"/>
          <w:sz w:val="24"/>
          <w:szCs w:val="24"/>
        </w:rPr>
        <w:t xml:space="preserve">z dnia 31 lipca 1981 r. o wynagrodzeniu osób zajmujących kierownicze </w:t>
      </w:r>
      <w:r w:rsidR="002825B2" w:rsidRPr="00453095">
        <w:rPr>
          <w:rFonts w:ascii="Times New Roman" w:hAnsi="Times New Roman" w:cs="Times New Roman"/>
          <w:sz w:val="24"/>
          <w:szCs w:val="24"/>
        </w:rPr>
        <w:t xml:space="preserve">stanowisk </w:t>
      </w:r>
      <w:r w:rsidR="002825B2">
        <w:rPr>
          <w:rFonts w:ascii="Times New Roman" w:hAnsi="Times New Roman" w:cs="Times New Roman"/>
          <w:sz w:val="24"/>
          <w:szCs w:val="24"/>
        </w:rPr>
        <w:t>państwowe</w:t>
      </w:r>
      <w:r w:rsidRPr="00453095">
        <w:rPr>
          <w:rFonts w:ascii="Times New Roman" w:hAnsi="Times New Roman" w:cs="Times New Roman"/>
          <w:sz w:val="24"/>
          <w:szCs w:val="24"/>
        </w:rPr>
        <w:t>, ustawę z dnia 16 września 1982 r. o</w:t>
      </w:r>
      <w:r w:rsidR="007E37C3">
        <w:rPr>
          <w:rFonts w:ascii="Times New Roman" w:hAnsi="Times New Roman" w:cs="Times New Roman"/>
          <w:sz w:val="24"/>
          <w:szCs w:val="24"/>
        </w:rPr>
        <w:t> </w:t>
      </w:r>
      <w:r w:rsidRPr="00453095">
        <w:rPr>
          <w:rFonts w:ascii="Times New Roman" w:hAnsi="Times New Roman" w:cs="Times New Roman"/>
          <w:sz w:val="24"/>
          <w:szCs w:val="24"/>
        </w:rPr>
        <w:t>pracownikach urzędów państwowych, ustawę o z dnia 28 lipca 2005 r. o kosztach sądowych w sprawach cywilnych</w:t>
      </w:r>
      <w:r w:rsidR="00082E68">
        <w:rPr>
          <w:rFonts w:ascii="Times New Roman" w:hAnsi="Times New Roman" w:cs="Times New Roman"/>
          <w:sz w:val="24"/>
          <w:szCs w:val="24"/>
        </w:rPr>
        <w:t>,</w:t>
      </w:r>
      <w:r w:rsidRPr="00453095">
        <w:rPr>
          <w:rFonts w:ascii="Times New Roman" w:hAnsi="Times New Roman" w:cs="Times New Roman"/>
          <w:sz w:val="24"/>
          <w:szCs w:val="24"/>
        </w:rPr>
        <w:t xml:space="preserve"> </w:t>
      </w:r>
      <w:r w:rsidR="00082E68" w:rsidRPr="00453095">
        <w:rPr>
          <w:rFonts w:ascii="Times New Roman" w:hAnsi="Times New Roman" w:cs="Times New Roman"/>
          <w:sz w:val="24"/>
          <w:szCs w:val="24"/>
        </w:rPr>
        <w:t xml:space="preserve">ustawę z dnia 13 maja 2016 r. o przeciwdziałaniu zagrożeniom przestępczością na tle seksualnym </w:t>
      </w:r>
      <w:r w:rsidRPr="00453095">
        <w:rPr>
          <w:rFonts w:ascii="Times New Roman" w:hAnsi="Times New Roman" w:cs="Times New Roman"/>
          <w:sz w:val="24"/>
          <w:szCs w:val="24"/>
        </w:rPr>
        <w:t>oraz ustawę z dnia 8 grudnia 2017 r. o Sądzie Najwyższym.</w:t>
      </w:r>
      <w:r>
        <w:rPr>
          <w:rFonts w:ascii="Times New Roman" w:eastAsia="SimSun" w:hAnsi="Times New Roman" w:cs="Times New Roman"/>
          <w:bCs/>
          <w:sz w:val="24"/>
          <w:szCs w:val="24"/>
          <w:lang w:eastAsia="pl-PL"/>
        </w:rPr>
        <w:t xml:space="preserve"> </w:t>
      </w:r>
      <w:r w:rsidRPr="005D170A">
        <w:rPr>
          <w:rFonts w:ascii="Times New Roman" w:eastAsia="SimSun" w:hAnsi="Times New Roman" w:cs="Times New Roman"/>
          <w:bCs/>
          <w:sz w:val="24"/>
          <w:szCs w:val="24"/>
          <w:lang w:eastAsia="pl-PL"/>
        </w:rPr>
        <w:t>Zmiany wprowadzane do wymienionych wyżej ustaw mają charakter wynikowy i są konsekwencją wprowadzenia do systemu prawnego</w:t>
      </w:r>
      <w:r>
        <w:rPr>
          <w:rFonts w:ascii="Times New Roman" w:eastAsia="SimSun" w:hAnsi="Times New Roman" w:cs="Times New Roman"/>
          <w:bCs/>
          <w:sz w:val="24"/>
          <w:szCs w:val="24"/>
          <w:lang w:eastAsia="pl-PL"/>
        </w:rPr>
        <w:t xml:space="preserve"> nowelizacji ustawy</w:t>
      </w:r>
      <w:r w:rsidRPr="005D170A">
        <w:rPr>
          <w:rFonts w:ascii="Times New Roman" w:eastAsia="SimSun" w:hAnsi="Times New Roman" w:cs="Times New Roman"/>
          <w:bCs/>
          <w:sz w:val="24"/>
          <w:szCs w:val="24"/>
          <w:lang w:eastAsia="pl-PL"/>
        </w:rPr>
        <w:t xml:space="preserve">. </w:t>
      </w:r>
    </w:p>
    <w:p w14:paraId="638B3B60" w14:textId="77777777" w:rsidR="00453095" w:rsidRDefault="00453095" w:rsidP="00540C1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</w:p>
    <w:p w14:paraId="6F71AAE3" w14:textId="5C527E5B" w:rsidR="00D12604" w:rsidRPr="00E90668" w:rsidRDefault="00224B6A" w:rsidP="001D6CA9">
      <w:pPr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  <w:lang w:eastAsia="pl-PL"/>
        </w:rPr>
      </w:pPr>
      <w:r w:rsidRPr="00E90668">
        <w:rPr>
          <w:rFonts w:ascii="Times New Roman" w:eastAsia="SimSun" w:hAnsi="Times New Roman" w:cs="Times New Roman"/>
          <w:sz w:val="24"/>
          <w:szCs w:val="24"/>
          <w:lang w:eastAsia="pl-PL"/>
        </w:rPr>
        <w:t>Projektowana ustawa wejdzie w życie po upływie miesiąca od dnia ogłoszenia. Tak określony termin uzasadniony jest porządkującym i korygującym charakterem zmian</w:t>
      </w:r>
      <w:r w:rsidR="00D12604" w:rsidRPr="00E90668">
        <w:rPr>
          <w:rFonts w:ascii="Times New Roman" w:eastAsia="SimSun" w:hAnsi="Times New Roman" w:cs="Times New Roman"/>
          <w:sz w:val="24"/>
          <w:szCs w:val="24"/>
          <w:lang w:eastAsia="pl-PL"/>
        </w:rPr>
        <w:t xml:space="preserve"> oraz koniecznością niezwłocznego </w:t>
      </w:r>
      <w:r w:rsidR="00D12604" w:rsidRPr="00E90668">
        <w:rPr>
          <w:rFonts w:ascii="Times New Roman" w:hAnsi="Times New Roman" w:cs="Times New Roman"/>
          <w:sz w:val="24"/>
          <w:szCs w:val="24"/>
        </w:rPr>
        <w:t>uzupełnienia lub zmodyfikowania podstawy prawnej, na której oparte jest nie tylko postępowanie wyjaśniające, ale i codzienne funkcjonowanie Komisji, ukierunkowane na pomoc osobom dotkniętym przestępczością seksualną wymierzoną w</w:t>
      </w:r>
      <w:r w:rsidR="007E37C3">
        <w:rPr>
          <w:rFonts w:ascii="Times New Roman" w:hAnsi="Times New Roman" w:cs="Times New Roman"/>
          <w:sz w:val="24"/>
          <w:szCs w:val="24"/>
        </w:rPr>
        <w:t> </w:t>
      </w:r>
      <w:r w:rsidR="00D12604" w:rsidRPr="00E90668">
        <w:rPr>
          <w:rFonts w:ascii="Times New Roman" w:hAnsi="Times New Roman" w:cs="Times New Roman"/>
          <w:sz w:val="24"/>
          <w:szCs w:val="24"/>
        </w:rPr>
        <w:t>małoletnich poniżej lat 15</w:t>
      </w:r>
      <w:r w:rsidR="00082E68">
        <w:rPr>
          <w:rFonts w:ascii="Times New Roman" w:hAnsi="Times New Roman" w:cs="Times New Roman"/>
          <w:sz w:val="24"/>
          <w:szCs w:val="24"/>
        </w:rPr>
        <w:t>.</w:t>
      </w:r>
    </w:p>
    <w:p w14:paraId="76B5BE92" w14:textId="77777777" w:rsidR="001D6CA9" w:rsidRDefault="001D6CA9" w:rsidP="001D6CA9">
      <w:pPr>
        <w:pStyle w:val="ARTartustawynprozporzdzenia"/>
        <w:spacing w:before="0" w:line="240" w:lineRule="auto"/>
        <w:ind w:firstLine="709"/>
        <w:rPr>
          <w:rFonts w:ascii="Times New Roman" w:hAnsi="Times New Roman" w:cs="Times New Roman"/>
          <w:szCs w:val="24"/>
        </w:rPr>
      </w:pPr>
    </w:p>
    <w:p w14:paraId="355CEDD6" w14:textId="08AE6FAA" w:rsidR="003D7316" w:rsidRDefault="00844277" w:rsidP="001D6CA9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Projekt ustawy nie spowoduje skutków gospodarczych i finansowych, nie rodzi dodatkowych kosztów, w tym nie spowoduje obciążenia budżetu państwa lub jednostek samorządu terytorialnego. Koszty związane ze zmianą nazwy Komisji zostaną poniesione w</w:t>
      </w:r>
      <w:r w:rsidR="007E37C3">
        <w:rPr>
          <w:rFonts w:ascii="Times New Roman" w:hAnsi="Times New Roman" w:cs="Times New Roman"/>
          <w:szCs w:val="24"/>
        </w:rPr>
        <w:t> </w:t>
      </w:r>
      <w:r>
        <w:rPr>
          <w:rFonts w:ascii="Times New Roman" w:hAnsi="Times New Roman" w:cs="Times New Roman"/>
          <w:szCs w:val="24"/>
        </w:rPr>
        <w:t xml:space="preserve">ramach posiadanych środków w budżecie Komisji. </w:t>
      </w:r>
      <w:r w:rsidR="001133AD">
        <w:rPr>
          <w:rFonts w:ascii="Times New Roman" w:hAnsi="Times New Roman" w:cs="Times New Roman"/>
          <w:szCs w:val="24"/>
        </w:rPr>
        <w:t>Również doprecyzowanie, że uczestnicy postępowania wyjaśniającego nie ponoszą kosztów tego postępowania oraz</w:t>
      </w:r>
      <w:r w:rsidR="00082E68">
        <w:rPr>
          <w:rFonts w:ascii="Times New Roman" w:hAnsi="Times New Roman" w:cs="Times New Roman"/>
          <w:szCs w:val="24"/>
        </w:rPr>
        <w:t>,</w:t>
      </w:r>
      <w:r w:rsidR="001133AD">
        <w:rPr>
          <w:rFonts w:ascii="Times New Roman" w:hAnsi="Times New Roman" w:cs="Times New Roman"/>
          <w:szCs w:val="24"/>
        </w:rPr>
        <w:t xml:space="preserve"> że w określonych sytuacjach osoby sprawcy, osobie poszkodowanej, świadkom i biegłym przysługuje zwrot kosztów stawiennictwa według kryteriów wskazanych w ustawie o kosztach sądowych w</w:t>
      </w:r>
      <w:r w:rsidR="007E37C3">
        <w:rPr>
          <w:rFonts w:ascii="Times New Roman" w:hAnsi="Times New Roman" w:cs="Times New Roman"/>
          <w:szCs w:val="24"/>
        </w:rPr>
        <w:t> </w:t>
      </w:r>
      <w:r w:rsidR="001133AD">
        <w:rPr>
          <w:rFonts w:ascii="Times New Roman" w:hAnsi="Times New Roman" w:cs="Times New Roman"/>
          <w:szCs w:val="24"/>
        </w:rPr>
        <w:t>sprawach cywilnych, nie rodzi nowych zobowiązań i kosztów Komisji, gdyż tego rodzaju koszty w aktualnym stanie prawnym Komisji jest obowiązana ponieść na podstawie odpo</w:t>
      </w:r>
      <w:r w:rsidR="00C506F1">
        <w:rPr>
          <w:rFonts w:ascii="Times New Roman" w:hAnsi="Times New Roman" w:cs="Times New Roman"/>
          <w:szCs w:val="24"/>
        </w:rPr>
        <w:t>wiedniego stosowania przepisów K</w:t>
      </w:r>
      <w:r w:rsidR="001133AD">
        <w:rPr>
          <w:rFonts w:ascii="Times New Roman" w:hAnsi="Times New Roman" w:cs="Times New Roman"/>
          <w:szCs w:val="24"/>
        </w:rPr>
        <w:t>odeksu postępowania cywilnego.</w:t>
      </w:r>
    </w:p>
    <w:p w14:paraId="491CFBE4" w14:textId="77777777" w:rsidR="001D6CA9" w:rsidRDefault="001D6CA9" w:rsidP="001D6CA9">
      <w:pPr>
        <w:pStyle w:val="ARTartustawynprozporzdzenia"/>
        <w:spacing w:before="0" w:line="240" w:lineRule="auto"/>
        <w:ind w:firstLine="709"/>
        <w:rPr>
          <w:rFonts w:ascii="Times New Roman" w:eastAsia="SimSun" w:hAnsi="Times New Roman" w:cs="Times New Roman"/>
          <w:bCs/>
          <w:szCs w:val="24"/>
        </w:rPr>
      </w:pPr>
    </w:p>
    <w:p w14:paraId="77F828CD" w14:textId="59519F63" w:rsidR="00224B6A" w:rsidRDefault="00844277" w:rsidP="001D6CA9">
      <w:pPr>
        <w:pStyle w:val="ARTartustawynprozporzdzenia"/>
        <w:spacing w:before="0"/>
        <w:ind w:firstLine="709"/>
        <w:rPr>
          <w:rFonts w:ascii="Times New Roman" w:eastAsia="SimSun" w:hAnsi="Times New Roman" w:cs="Times New Roman"/>
          <w:bCs/>
          <w:szCs w:val="24"/>
        </w:rPr>
      </w:pPr>
      <w:r>
        <w:rPr>
          <w:rFonts w:ascii="Times New Roman" w:eastAsia="SimSun" w:hAnsi="Times New Roman" w:cs="Times New Roman"/>
          <w:bCs/>
          <w:szCs w:val="24"/>
        </w:rPr>
        <w:t>Projekt ustawy nie będzie miał</w:t>
      </w:r>
      <w:r w:rsidRPr="005D170A">
        <w:rPr>
          <w:rFonts w:ascii="Times New Roman" w:eastAsia="SimSun" w:hAnsi="Times New Roman" w:cs="Times New Roman"/>
          <w:bCs/>
          <w:szCs w:val="24"/>
        </w:rPr>
        <w:t xml:space="preserve"> wpływ</w:t>
      </w:r>
      <w:r>
        <w:rPr>
          <w:rFonts w:ascii="Times New Roman" w:eastAsia="SimSun" w:hAnsi="Times New Roman" w:cs="Times New Roman"/>
          <w:bCs/>
          <w:szCs w:val="24"/>
        </w:rPr>
        <w:t>u</w:t>
      </w:r>
      <w:r w:rsidRPr="005D170A">
        <w:rPr>
          <w:rFonts w:ascii="Times New Roman" w:eastAsia="SimSun" w:hAnsi="Times New Roman" w:cs="Times New Roman"/>
          <w:bCs/>
          <w:szCs w:val="24"/>
        </w:rPr>
        <w:t xml:space="preserve"> na sytuację </w:t>
      </w:r>
      <w:proofErr w:type="spellStart"/>
      <w:r w:rsidRPr="005D170A">
        <w:rPr>
          <w:rFonts w:ascii="Times New Roman" w:eastAsia="SimSun" w:hAnsi="Times New Roman" w:cs="Times New Roman"/>
          <w:bCs/>
          <w:szCs w:val="24"/>
        </w:rPr>
        <w:t>mikroprzedsiębiorców</w:t>
      </w:r>
      <w:proofErr w:type="spellEnd"/>
      <w:r w:rsidRPr="005D170A">
        <w:rPr>
          <w:rFonts w:ascii="Times New Roman" w:eastAsia="SimSun" w:hAnsi="Times New Roman" w:cs="Times New Roman"/>
          <w:bCs/>
          <w:szCs w:val="24"/>
        </w:rPr>
        <w:t>, małych i średnich przedsiębiorców</w:t>
      </w:r>
      <w:r w:rsidR="00E61E4D">
        <w:rPr>
          <w:rFonts w:ascii="Times New Roman" w:eastAsia="SimSun" w:hAnsi="Times New Roman" w:cs="Times New Roman"/>
          <w:bCs/>
          <w:szCs w:val="24"/>
        </w:rPr>
        <w:t>.</w:t>
      </w:r>
    </w:p>
    <w:p w14:paraId="17E85C8C" w14:textId="77777777" w:rsidR="00905CAC" w:rsidRDefault="00905CAC" w:rsidP="00905CAC">
      <w:pPr>
        <w:pStyle w:val="ARTartustawynprozporzdzenia"/>
        <w:spacing w:before="0" w:line="240" w:lineRule="auto"/>
        <w:ind w:firstLine="709"/>
        <w:rPr>
          <w:rFonts w:ascii="Times New Roman" w:eastAsia="SimSun" w:hAnsi="Times New Roman" w:cs="Times New Roman"/>
          <w:bCs/>
          <w:szCs w:val="24"/>
        </w:rPr>
      </w:pPr>
    </w:p>
    <w:p w14:paraId="06422B8D" w14:textId="77777777" w:rsidR="007E69ED" w:rsidRDefault="007E69ED" w:rsidP="001D6CA9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>
        <w:rPr>
          <w:rFonts w:ascii="Times New Roman" w:eastAsia="SimSun" w:hAnsi="Times New Roman" w:cs="Times New Roman"/>
          <w:bCs/>
          <w:szCs w:val="24"/>
        </w:rPr>
        <w:t>Z uwagi na</w:t>
      </w:r>
      <w:r w:rsidRPr="005B2709">
        <w:rPr>
          <w:rFonts w:ascii="Times New Roman" w:eastAsia="SimSun" w:hAnsi="Times New Roman" w:cs="Times New Roman"/>
          <w:bCs/>
          <w:szCs w:val="24"/>
        </w:rPr>
        <w:t xml:space="preserve"> m</w:t>
      </w:r>
      <w:r>
        <w:rPr>
          <w:rFonts w:ascii="Times New Roman" w:eastAsia="SimSun" w:hAnsi="Times New Roman" w:cs="Times New Roman"/>
          <w:bCs/>
          <w:szCs w:val="24"/>
        </w:rPr>
        <w:t xml:space="preserve">aterię przedmiotowego projektu </w:t>
      </w:r>
      <w:r w:rsidRPr="005B2709">
        <w:rPr>
          <w:rFonts w:ascii="Times New Roman" w:eastAsia="SimSun" w:hAnsi="Times New Roman" w:cs="Times New Roman"/>
          <w:bCs/>
          <w:szCs w:val="24"/>
        </w:rPr>
        <w:t>nie istnieje możliwość osiągnięcia celów projektu przy pomocy innych niż legislacyjne środków interwencji – w zakresie,</w:t>
      </w:r>
      <w:r w:rsidR="00224B6A">
        <w:rPr>
          <w:rFonts w:ascii="Times New Roman" w:eastAsia="SimSun" w:hAnsi="Times New Roman" w:cs="Times New Roman"/>
          <w:bCs/>
          <w:szCs w:val="24"/>
        </w:rPr>
        <w:t xml:space="preserve"> w</w:t>
      </w:r>
      <w:r w:rsidRPr="005B2709">
        <w:rPr>
          <w:rFonts w:ascii="Times New Roman" w:eastAsia="SimSun" w:hAnsi="Times New Roman" w:cs="Times New Roman"/>
          <w:bCs/>
          <w:szCs w:val="24"/>
        </w:rPr>
        <w:t xml:space="preserve"> jaki podlega uregulowaniu.</w:t>
      </w:r>
    </w:p>
    <w:p w14:paraId="338D6311" w14:textId="77777777" w:rsidR="001D6CA9" w:rsidRDefault="001D6CA9" w:rsidP="00E90668">
      <w:pPr>
        <w:pStyle w:val="NIEARTTEKSTtekstnieartykuowanynppodstprawnarozplubpreambua"/>
        <w:spacing w:before="0" w:line="240" w:lineRule="auto"/>
        <w:ind w:firstLine="709"/>
        <w:rPr>
          <w:rFonts w:ascii="Times New Roman" w:hAnsi="Times New Roman" w:cs="Times New Roman"/>
          <w:szCs w:val="24"/>
        </w:rPr>
      </w:pPr>
    </w:p>
    <w:p w14:paraId="521E4869" w14:textId="11A551C6" w:rsidR="00FD4A72" w:rsidRPr="00FD4A72" w:rsidRDefault="00D86508" w:rsidP="001D6CA9">
      <w:pPr>
        <w:pStyle w:val="NIEARTTEKSTtekstnieartykuowanynppodstprawnarozplubpreambua"/>
        <w:spacing w:before="0"/>
        <w:ind w:firstLine="709"/>
      </w:pPr>
      <w:r w:rsidRPr="00017456">
        <w:rPr>
          <w:rFonts w:ascii="Times New Roman" w:hAnsi="Times New Roman" w:cs="Times New Roman"/>
          <w:szCs w:val="24"/>
        </w:rPr>
        <w:t>Projektowana ustawa będzie m</w:t>
      </w:r>
      <w:r>
        <w:rPr>
          <w:rFonts w:ascii="Times New Roman" w:hAnsi="Times New Roman" w:cs="Times New Roman"/>
          <w:szCs w:val="24"/>
        </w:rPr>
        <w:t>iała pozytywne skutki społeczne</w:t>
      </w:r>
      <w:r w:rsidR="00082E68">
        <w:rPr>
          <w:rFonts w:ascii="Times New Roman" w:hAnsi="Times New Roman" w:cs="Times New Roman"/>
          <w:szCs w:val="24"/>
        </w:rPr>
        <w:t>,</w:t>
      </w:r>
      <w:r>
        <w:rPr>
          <w:rFonts w:ascii="Times New Roman" w:hAnsi="Times New Roman" w:cs="Times New Roman"/>
          <w:szCs w:val="24"/>
        </w:rPr>
        <w:t xml:space="preserve"> zwiększy efektywność </w:t>
      </w:r>
      <w:r w:rsidR="00FD4A72">
        <w:rPr>
          <w:rFonts w:ascii="Times New Roman" w:hAnsi="Times New Roman" w:cs="Times New Roman"/>
          <w:szCs w:val="24"/>
        </w:rPr>
        <w:t xml:space="preserve">działalności Komisji. Dodatkowo zwiększy </w:t>
      </w:r>
      <w:r w:rsidR="00FD4A72">
        <w:rPr>
          <w:rFonts w:cs="Times New Roman"/>
        </w:rPr>
        <w:t>gwarancję realizacji założeń obowiązującej ustawy</w:t>
      </w:r>
      <w:r w:rsidR="00FD4A72" w:rsidRPr="00B45FAE">
        <w:rPr>
          <w:rFonts w:cs="Times New Roman"/>
        </w:rPr>
        <w:t xml:space="preserve">, przy </w:t>
      </w:r>
      <w:r w:rsidR="00FD4A72">
        <w:rPr>
          <w:rFonts w:cs="Times New Roman"/>
        </w:rPr>
        <w:t xml:space="preserve">jednoczesnym </w:t>
      </w:r>
      <w:r w:rsidR="00FD4A72" w:rsidRPr="00B45FAE">
        <w:rPr>
          <w:rFonts w:cs="Times New Roman"/>
        </w:rPr>
        <w:t xml:space="preserve">zapewnieniu osobie poszkodowanej oraz osobie wskazanej jako sprawca konstytucyjnej zasady równości stron i zasady obrony swych praw, gwarantując przestrzeganie zasad sprawiedliwości </w:t>
      </w:r>
      <w:r w:rsidR="00FD4A72" w:rsidRPr="008945A2">
        <w:rPr>
          <w:rFonts w:cs="Times New Roman"/>
        </w:rPr>
        <w:t xml:space="preserve">naprawczej </w:t>
      </w:r>
      <w:r w:rsidR="00FD4A72" w:rsidRPr="00BF55D0">
        <w:rPr>
          <w:rFonts w:cs="Times New Roman"/>
        </w:rPr>
        <w:t>oraz zadośćuczynienie krzywdzie</w:t>
      </w:r>
      <w:r w:rsidR="00FD4A72" w:rsidRPr="008945A2">
        <w:rPr>
          <w:rFonts w:cs="Times New Roman"/>
        </w:rPr>
        <w:t xml:space="preserve"> doznanej przez osoby poszkodowane, wykorzystane</w:t>
      </w:r>
      <w:r w:rsidR="00FD4A72" w:rsidRPr="00B45FAE">
        <w:rPr>
          <w:rFonts w:cs="Times New Roman"/>
        </w:rPr>
        <w:t xml:space="preserve"> seksualnie w okresie dzieciństwa. </w:t>
      </w:r>
    </w:p>
    <w:p w14:paraId="6ECCB7B0" w14:textId="77777777" w:rsidR="001D6CA9" w:rsidRDefault="001D6CA9" w:rsidP="002825B2">
      <w:pPr>
        <w:pStyle w:val="NIEARTTEKSTtekstnieartykuowanynppodstprawnarozplubpreambua"/>
        <w:spacing w:before="0" w:line="240" w:lineRule="auto"/>
        <w:rPr>
          <w:rFonts w:ascii="Times New Roman" w:hAnsi="Times New Roman" w:cs="Times New Roman"/>
          <w:szCs w:val="24"/>
        </w:rPr>
      </w:pPr>
    </w:p>
    <w:p w14:paraId="3EAFC915" w14:textId="0BEF1675" w:rsidR="008630ED" w:rsidRPr="00AA2F80" w:rsidRDefault="008630ED" w:rsidP="001D6CA9">
      <w:pPr>
        <w:pStyle w:val="NIEARTTEKSTtekstnieartykuowanynppodstprawnarozplubpreambua"/>
        <w:spacing w:before="0"/>
        <w:ind w:firstLine="709"/>
        <w:rPr>
          <w:rFonts w:ascii="Times New Roman" w:hAnsi="Times New Roman" w:cs="Times New Roman"/>
          <w:szCs w:val="24"/>
        </w:rPr>
      </w:pPr>
      <w:r w:rsidRPr="00AA2F80">
        <w:rPr>
          <w:rFonts w:ascii="Times New Roman" w:hAnsi="Times New Roman" w:cs="Times New Roman"/>
          <w:szCs w:val="24"/>
        </w:rPr>
        <w:t>Projekt ustawy nie wymaga przedstawienia organom i instytucjom Unii Europejskiej</w:t>
      </w:r>
      <w:r w:rsidR="00082E68">
        <w:rPr>
          <w:rFonts w:ascii="Times New Roman" w:hAnsi="Times New Roman" w:cs="Times New Roman"/>
          <w:szCs w:val="24"/>
        </w:rPr>
        <w:t xml:space="preserve">, </w:t>
      </w:r>
      <w:r w:rsidR="00082E68" w:rsidRPr="007E37C3">
        <w:t>w</w:t>
      </w:r>
      <w:r w:rsidR="007E37C3">
        <w:t> </w:t>
      </w:r>
      <w:r w:rsidR="00082E68" w:rsidRPr="007E37C3">
        <w:t>tym</w:t>
      </w:r>
      <w:r w:rsidR="00082E68">
        <w:rPr>
          <w:rFonts w:ascii="Times New Roman" w:hAnsi="Times New Roman" w:cs="Times New Roman"/>
          <w:szCs w:val="24"/>
        </w:rPr>
        <w:t xml:space="preserve"> Europejskiemu Bankowi Centralnemu,</w:t>
      </w:r>
      <w:r w:rsidRPr="00AA2F80">
        <w:rPr>
          <w:rFonts w:ascii="Times New Roman" w:hAnsi="Times New Roman" w:cs="Times New Roman"/>
          <w:szCs w:val="24"/>
        </w:rPr>
        <w:t xml:space="preserve"> w celu uzyskania opinii, dokonania powiadomienia, konsultacji albo uzgodnienia. </w:t>
      </w:r>
    </w:p>
    <w:p w14:paraId="78C20510" w14:textId="77777777" w:rsidR="001D6CA9" w:rsidRDefault="001D6CA9" w:rsidP="00E90668">
      <w:pPr>
        <w:pStyle w:val="ARTartustawynprozporzdzenia"/>
        <w:spacing w:before="0" w:line="240" w:lineRule="auto"/>
        <w:ind w:firstLine="709"/>
        <w:rPr>
          <w:rFonts w:ascii="Times New Roman" w:hAnsi="Times New Roman" w:cs="Times New Roman"/>
          <w:szCs w:val="24"/>
        </w:rPr>
      </w:pPr>
    </w:p>
    <w:p w14:paraId="4649403B" w14:textId="1AC15D1E" w:rsidR="003D7316" w:rsidRDefault="003D7316" w:rsidP="001D6CA9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 w:rsidRPr="00AA2F80">
        <w:rPr>
          <w:rFonts w:ascii="Times New Roman" w:hAnsi="Times New Roman" w:cs="Times New Roman"/>
          <w:szCs w:val="24"/>
        </w:rPr>
        <w:t xml:space="preserve">Projekt ustawy </w:t>
      </w:r>
      <w:r w:rsidR="008E7A33">
        <w:rPr>
          <w:rFonts w:ascii="Times New Roman" w:hAnsi="Times New Roman" w:cs="Times New Roman"/>
          <w:szCs w:val="24"/>
        </w:rPr>
        <w:t xml:space="preserve">uwzględnia </w:t>
      </w:r>
      <w:r w:rsidR="00D86508">
        <w:rPr>
          <w:rFonts w:ascii="Times New Roman" w:hAnsi="Times New Roman" w:cs="Times New Roman"/>
          <w:szCs w:val="24"/>
        </w:rPr>
        <w:t>postulaty</w:t>
      </w:r>
      <w:r w:rsidR="008E7A33" w:rsidRPr="008E7A33">
        <w:t xml:space="preserve"> </w:t>
      </w:r>
      <w:r w:rsidR="009A5A33">
        <w:rPr>
          <w:rFonts w:ascii="Times New Roman" w:hAnsi="Times New Roman" w:cs="Times New Roman"/>
          <w:szCs w:val="24"/>
        </w:rPr>
        <w:t xml:space="preserve">Państwowej </w:t>
      </w:r>
      <w:r w:rsidR="008E7A33" w:rsidRPr="008E7A33">
        <w:rPr>
          <w:rFonts w:ascii="Times New Roman" w:hAnsi="Times New Roman" w:cs="Times New Roman"/>
          <w:szCs w:val="24"/>
        </w:rPr>
        <w:t>Komisji do spraw wyjaśniania przypadków czynności skierowanych przeciwko wolności seksualnej i obyczajności wobec małoletniego poniżej 15 lat</w:t>
      </w:r>
      <w:r w:rsidR="00D86508">
        <w:rPr>
          <w:rFonts w:ascii="Times New Roman" w:hAnsi="Times New Roman" w:cs="Times New Roman"/>
          <w:szCs w:val="24"/>
        </w:rPr>
        <w:t xml:space="preserve"> co do zakresu podmiotowego i przedmiotowego nowelizacji ustawy, </w:t>
      </w:r>
      <w:r w:rsidR="008E7A33">
        <w:rPr>
          <w:rFonts w:ascii="Times New Roman" w:hAnsi="Times New Roman" w:cs="Times New Roman"/>
          <w:szCs w:val="24"/>
        </w:rPr>
        <w:t xml:space="preserve">sformułowane przez Komisję </w:t>
      </w:r>
      <w:r w:rsidR="00D86508">
        <w:rPr>
          <w:rFonts w:ascii="Times New Roman" w:hAnsi="Times New Roman" w:cs="Times New Roman"/>
          <w:szCs w:val="24"/>
        </w:rPr>
        <w:t xml:space="preserve">między innymi </w:t>
      </w:r>
      <w:r w:rsidR="00FD4A72">
        <w:rPr>
          <w:rFonts w:ascii="Times New Roman" w:hAnsi="Times New Roman" w:cs="Times New Roman"/>
          <w:szCs w:val="24"/>
        </w:rPr>
        <w:t xml:space="preserve">w „Pierwszym Raporcie Państwowej Komisji do spraw wyjaśniania przypadków czynności skierowanych przeciwko wolności seksualnej i obyczajności wobec małoletniego poniżej 15 lat.” </w:t>
      </w:r>
    </w:p>
    <w:p w14:paraId="0331F65F" w14:textId="77777777" w:rsidR="001D6CA9" w:rsidRDefault="001D6CA9" w:rsidP="00E90668">
      <w:pPr>
        <w:pStyle w:val="ARTartustawynprozporzdzenia"/>
        <w:spacing w:before="0" w:line="240" w:lineRule="auto"/>
        <w:ind w:firstLine="709"/>
        <w:rPr>
          <w:rFonts w:ascii="Times New Roman" w:hAnsi="Times New Roman" w:cs="Times New Roman"/>
          <w:szCs w:val="24"/>
        </w:rPr>
      </w:pPr>
    </w:p>
    <w:p w14:paraId="2EC5534F" w14:textId="3CAFB1D3" w:rsidR="003D7316" w:rsidRPr="00AA2F80" w:rsidRDefault="003D7316" w:rsidP="001D6CA9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 w:rsidRPr="00AA2F80">
        <w:rPr>
          <w:rFonts w:ascii="Times New Roman" w:hAnsi="Times New Roman" w:cs="Times New Roman"/>
          <w:szCs w:val="24"/>
        </w:rPr>
        <w:t xml:space="preserve"> Projekt ustawy nie zawiera norm technicznych w rozumieniu przepisów rozporządzenia Rady Ministrów z dnia 23 grudnia 2002 r. w sprawie sposobu funkcjonowania krajowego systemu notyfikacji norm i aktów prawnych (Dz. U. poz. 2039, z </w:t>
      </w:r>
      <w:proofErr w:type="spellStart"/>
      <w:r w:rsidRPr="00AA2F80">
        <w:rPr>
          <w:rFonts w:ascii="Times New Roman" w:hAnsi="Times New Roman" w:cs="Times New Roman"/>
          <w:szCs w:val="24"/>
        </w:rPr>
        <w:t>późn</w:t>
      </w:r>
      <w:proofErr w:type="spellEnd"/>
      <w:r w:rsidRPr="00AA2F80">
        <w:rPr>
          <w:rFonts w:ascii="Times New Roman" w:hAnsi="Times New Roman" w:cs="Times New Roman"/>
          <w:szCs w:val="24"/>
        </w:rPr>
        <w:t>. zm.), w</w:t>
      </w:r>
      <w:r w:rsidR="007E37C3">
        <w:rPr>
          <w:rFonts w:ascii="Times New Roman" w:hAnsi="Times New Roman" w:cs="Times New Roman"/>
          <w:szCs w:val="24"/>
        </w:rPr>
        <w:t> </w:t>
      </w:r>
      <w:r w:rsidRPr="00AA2F80">
        <w:rPr>
          <w:rFonts w:ascii="Times New Roman" w:hAnsi="Times New Roman" w:cs="Times New Roman"/>
          <w:szCs w:val="24"/>
        </w:rPr>
        <w:t>związku z powyższym nie podlega notyfikacji zgodnie z trybem przewidzianym w tych przepisach.</w:t>
      </w:r>
    </w:p>
    <w:p w14:paraId="6319CB66" w14:textId="77777777" w:rsidR="001D6CA9" w:rsidRDefault="001D6CA9" w:rsidP="00E90668">
      <w:pPr>
        <w:pStyle w:val="NIEARTTEKSTtekstnieartykuowanynppodstprawnarozplubpreambua"/>
        <w:spacing w:before="0" w:line="240" w:lineRule="auto"/>
        <w:ind w:firstLine="709"/>
        <w:rPr>
          <w:rFonts w:ascii="Times New Roman" w:hAnsi="Times New Roman" w:cs="Times New Roman"/>
          <w:szCs w:val="24"/>
        </w:rPr>
      </w:pPr>
    </w:p>
    <w:p w14:paraId="6F9D06C1" w14:textId="77777777" w:rsidR="003D7316" w:rsidRPr="00AA2F80" w:rsidRDefault="003D7316" w:rsidP="001D6CA9">
      <w:pPr>
        <w:pStyle w:val="NIEARTTEKSTtekstnieartykuowanynppodstprawnarozplubpreambua"/>
        <w:spacing w:before="0"/>
        <w:ind w:firstLine="709"/>
        <w:rPr>
          <w:rFonts w:ascii="Times New Roman" w:hAnsi="Times New Roman" w:cs="Times New Roman"/>
          <w:szCs w:val="24"/>
        </w:rPr>
      </w:pPr>
      <w:r w:rsidRPr="00AA2F80">
        <w:rPr>
          <w:rFonts w:ascii="Times New Roman" w:hAnsi="Times New Roman" w:cs="Times New Roman"/>
          <w:szCs w:val="24"/>
        </w:rPr>
        <w:t>Projekt ustawy nie jest sprzeczny z prawem Unii Europejskiej.</w:t>
      </w:r>
    </w:p>
    <w:p w14:paraId="7619203B" w14:textId="77777777" w:rsidR="003D5C21" w:rsidRDefault="003D5C21"/>
    <w:sectPr w:rsidR="003D5C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8444D9" w14:textId="77777777" w:rsidR="00591B43" w:rsidRDefault="00591B43" w:rsidP="00453095">
      <w:pPr>
        <w:spacing w:after="0" w:line="240" w:lineRule="auto"/>
      </w:pPr>
      <w:r>
        <w:separator/>
      </w:r>
    </w:p>
  </w:endnote>
  <w:endnote w:type="continuationSeparator" w:id="0">
    <w:p w14:paraId="765D4BB5" w14:textId="77777777" w:rsidR="00591B43" w:rsidRDefault="00591B43" w:rsidP="0045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25469" w14:textId="77777777" w:rsidR="00581688" w:rsidRDefault="005816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3345A" w14:textId="77777777" w:rsidR="000B72A2" w:rsidRPr="00581688" w:rsidRDefault="000B72A2" w:rsidP="005816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258467" w14:textId="77777777" w:rsidR="00581688" w:rsidRDefault="005816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51060" w14:textId="77777777" w:rsidR="00591B43" w:rsidRDefault="00591B43" w:rsidP="00453095">
      <w:pPr>
        <w:spacing w:after="0" w:line="240" w:lineRule="auto"/>
      </w:pPr>
      <w:r>
        <w:separator/>
      </w:r>
    </w:p>
  </w:footnote>
  <w:footnote w:type="continuationSeparator" w:id="0">
    <w:p w14:paraId="69EFCAB8" w14:textId="77777777" w:rsidR="00591B43" w:rsidRDefault="00591B43" w:rsidP="0045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4E7B0" w14:textId="77777777" w:rsidR="00581688" w:rsidRDefault="005816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C739F" w14:textId="77777777" w:rsidR="00581688" w:rsidRDefault="005816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9500B" w14:textId="77777777" w:rsidR="00581688" w:rsidRDefault="005816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BF91D19"/>
    <w:multiLevelType w:val="hybridMultilevel"/>
    <w:tmpl w:val="5E9C1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14A9E"/>
    <w:multiLevelType w:val="hybridMultilevel"/>
    <w:tmpl w:val="3A6C90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B604F3"/>
    <w:multiLevelType w:val="hybridMultilevel"/>
    <w:tmpl w:val="50F40C1E"/>
    <w:lvl w:ilvl="0" w:tplc="0FE079E2">
      <w:start w:val="1"/>
      <w:numFmt w:val="lowerLetter"/>
      <w:lvlText w:val="%1)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5E373742"/>
    <w:multiLevelType w:val="hybridMultilevel"/>
    <w:tmpl w:val="700CF3D0"/>
    <w:lvl w:ilvl="0" w:tplc="F0E082C6">
      <w:start w:val="10"/>
      <w:numFmt w:val="decimal"/>
      <w:lvlText w:val="%1)"/>
      <w:lvlJc w:val="left"/>
      <w:pPr>
        <w:ind w:left="2204" w:hanging="360"/>
      </w:pPr>
    </w:lvl>
    <w:lvl w:ilvl="1" w:tplc="04150019">
      <w:start w:val="1"/>
      <w:numFmt w:val="lowerLetter"/>
      <w:lvlText w:val="%2."/>
      <w:lvlJc w:val="left"/>
      <w:pPr>
        <w:ind w:left="2924" w:hanging="360"/>
      </w:pPr>
    </w:lvl>
    <w:lvl w:ilvl="2" w:tplc="0415001B">
      <w:start w:val="1"/>
      <w:numFmt w:val="lowerRoman"/>
      <w:lvlText w:val="%3."/>
      <w:lvlJc w:val="right"/>
      <w:pPr>
        <w:ind w:left="3644" w:hanging="180"/>
      </w:pPr>
    </w:lvl>
    <w:lvl w:ilvl="3" w:tplc="0415000F">
      <w:start w:val="1"/>
      <w:numFmt w:val="decimal"/>
      <w:lvlText w:val="%4."/>
      <w:lvlJc w:val="left"/>
      <w:pPr>
        <w:ind w:left="4364" w:hanging="360"/>
      </w:pPr>
    </w:lvl>
    <w:lvl w:ilvl="4" w:tplc="04150019">
      <w:start w:val="1"/>
      <w:numFmt w:val="lowerLetter"/>
      <w:lvlText w:val="%5."/>
      <w:lvlJc w:val="left"/>
      <w:pPr>
        <w:ind w:left="5084" w:hanging="360"/>
      </w:pPr>
    </w:lvl>
    <w:lvl w:ilvl="5" w:tplc="0415001B">
      <w:start w:val="1"/>
      <w:numFmt w:val="lowerRoman"/>
      <w:lvlText w:val="%6."/>
      <w:lvlJc w:val="right"/>
      <w:pPr>
        <w:ind w:left="5804" w:hanging="180"/>
      </w:pPr>
    </w:lvl>
    <w:lvl w:ilvl="6" w:tplc="0415000F">
      <w:start w:val="1"/>
      <w:numFmt w:val="decimal"/>
      <w:lvlText w:val="%7."/>
      <w:lvlJc w:val="left"/>
      <w:pPr>
        <w:ind w:left="6524" w:hanging="360"/>
      </w:pPr>
    </w:lvl>
    <w:lvl w:ilvl="7" w:tplc="04150019">
      <w:start w:val="1"/>
      <w:numFmt w:val="lowerLetter"/>
      <w:lvlText w:val="%8."/>
      <w:lvlJc w:val="left"/>
      <w:pPr>
        <w:ind w:left="7244" w:hanging="360"/>
      </w:pPr>
    </w:lvl>
    <w:lvl w:ilvl="8" w:tplc="0415001B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607C35D1"/>
    <w:multiLevelType w:val="hybridMultilevel"/>
    <w:tmpl w:val="0E80920C"/>
    <w:lvl w:ilvl="0" w:tplc="B9DA8EB4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9" w:hanging="360"/>
      </w:pPr>
    </w:lvl>
    <w:lvl w:ilvl="2" w:tplc="0415001B" w:tentative="1">
      <w:start w:val="1"/>
      <w:numFmt w:val="lowerRoman"/>
      <w:lvlText w:val="%3."/>
      <w:lvlJc w:val="right"/>
      <w:pPr>
        <w:ind w:left="3219" w:hanging="180"/>
      </w:p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6" w15:restartNumberingAfterBreak="0">
    <w:nsid w:val="64BC534D"/>
    <w:multiLevelType w:val="hybridMultilevel"/>
    <w:tmpl w:val="0E80920C"/>
    <w:lvl w:ilvl="0" w:tplc="B9DA8EB4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9" w:hanging="360"/>
      </w:pPr>
    </w:lvl>
    <w:lvl w:ilvl="2" w:tplc="0415001B" w:tentative="1">
      <w:start w:val="1"/>
      <w:numFmt w:val="lowerRoman"/>
      <w:lvlText w:val="%3."/>
      <w:lvlJc w:val="right"/>
      <w:pPr>
        <w:ind w:left="3219" w:hanging="180"/>
      </w:pPr>
    </w:lvl>
    <w:lvl w:ilvl="3" w:tplc="0415000F" w:tentative="1">
      <w:start w:val="1"/>
      <w:numFmt w:val="decimal"/>
      <w:lvlText w:val="%4."/>
      <w:lvlJc w:val="left"/>
      <w:pPr>
        <w:ind w:left="3939" w:hanging="360"/>
      </w:pPr>
    </w:lvl>
    <w:lvl w:ilvl="4" w:tplc="04150019" w:tentative="1">
      <w:start w:val="1"/>
      <w:numFmt w:val="lowerLetter"/>
      <w:lvlText w:val="%5."/>
      <w:lvlJc w:val="left"/>
      <w:pPr>
        <w:ind w:left="4659" w:hanging="360"/>
      </w:pPr>
    </w:lvl>
    <w:lvl w:ilvl="5" w:tplc="0415001B" w:tentative="1">
      <w:start w:val="1"/>
      <w:numFmt w:val="lowerRoman"/>
      <w:lvlText w:val="%6."/>
      <w:lvlJc w:val="right"/>
      <w:pPr>
        <w:ind w:left="5379" w:hanging="180"/>
      </w:pPr>
    </w:lvl>
    <w:lvl w:ilvl="6" w:tplc="0415000F" w:tentative="1">
      <w:start w:val="1"/>
      <w:numFmt w:val="decimal"/>
      <w:lvlText w:val="%7."/>
      <w:lvlJc w:val="left"/>
      <w:pPr>
        <w:ind w:left="6099" w:hanging="360"/>
      </w:pPr>
    </w:lvl>
    <w:lvl w:ilvl="7" w:tplc="04150019" w:tentative="1">
      <w:start w:val="1"/>
      <w:numFmt w:val="lowerLetter"/>
      <w:lvlText w:val="%8."/>
      <w:lvlJc w:val="left"/>
      <w:pPr>
        <w:ind w:left="6819" w:hanging="360"/>
      </w:pPr>
    </w:lvl>
    <w:lvl w:ilvl="8" w:tplc="041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7" w15:restartNumberingAfterBreak="0">
    <w:nsid w:val="6E3B1962"/>
    <w:multiLevelType w:val="hybridMultilevel"/>
    <w:tmpl w:val="40F0860A"/>
    <w:lvl w:ilvl="0" w:tplc="43D244FE">
      <w:start w:val="2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180652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48"/>
    <w:rsid w:val="00014581"/>
    <w:rsid w:val="0007569D"/>
    <w:rsid w:val="00082E68"/>
    <w:rsid w:val="000876A3"/>
    <w:rsid w:val="0009704A"/>
    <w:rsid w:val="000B72A2"/>
    <w:rsid w:val="000C4C10"/>
    <w:rsid w:val="000E34F8"/>
    <w:rsid w:val="001133AD"/>
    <w:rsid w:val="001525D0"/>
    <w:rsid w:val="00157AC1"/>
    <w:rsid w:val="001B7D41"/>
    <w:rsid w:val="001D3962"/>
    <w:rsid w:val="001D6CA9"/>
    <w:rsid w:val="001E799B"/>
    <w:rsid w:val="0022029F"/>
    <w:rsid w:val="00224B6A"/>
    <w:rsid w:val="00244400"/>
    <w:rsid w:val="002825B2"/>
    <w:rsid w:val="002F603A"/>
    <w:rsid w:val="003D5C21"/>
    <w:rsid w:val="003D7316"/>
    <w:rsid w:val="003F5460"/>
    <w:rsid w:val="004411C2"/>
    <w:rsid w:val="0044527F"/>
    <w:rsid w:val="00453095"/>
    <w:rsid w:val="004913E9"/>
    <w:rsid w:val="004B7B0F"/>
    <w:rsid w:val="0051619C"/>
    <w:rsid w:val="00530308"/>
    <w:rsid w:val="00531F59"/>
    <w:rsid w:val="00540C1D"/>
    <w:rsid w:val="00574B18"/>
    <w:rsid w:val="00581688"/>
    <w:rsid w:val="00591B43"/>
    <w:rsid w:val="005E3339"/>
    <w:rsid w:val="006012D1"/>
    <w:rsid w:val="00623671"/>
    <w:rsid w:val="00632550"/>
    <w:rsid w:val="0063707A"/>
    <w:rsid w:val="006A38B3"/>
    <w:rsid w:val="00702A48"/>
    <w:rsid w:val="007433FA"/>
    <w:rsid w:val="00745354"/>
    <w:rsid w:val="00764752"/>
    <w:rsid w:val="007649DA"/>
    <w:rsid w:val="00796B35"/>
    <w:rsid w:val="007B0758"/>
    <w:rsid w:val="007E37C3"/>
    <w:rsid w:val="007E69ED"/>
    <w:rsid w:val="007F5DBD"/>
    <w:rsid w:val="0082471A"/>
    <w:rsid w:val="00833A95"/>
    <w:rsid w:val="00837721"/>
    <w:rsid w:val="00844277"/>
    <w:rsid w:val="008630ED"/>
    <w:rsid w:val="008777F8"/>
    <w:rsid w:val="00894BA5"/>
    <w:rsid w:val="008A336F"/>
    <w:rsid w:val="008E7A33"/>
    <w:rsid w:val="00905CAC"/>
    <w:rsid w:val="00941897"/>
    <w:rsid w:val="00945779"/>
    <w:rsid w:val="00961EDA"/>
    <w:rsid w:val="00996C0A"/>
    <w:rsid w:val="009A5A33"/>
    <w:rsid w:val="009C4661"/>
    <w:rsid w:val="009D5EC1"/>
    <w:rsid w:val="00AC1E87"/>
    <w:rsid w:val="00AD40C6"/>
    <w:rsid w:val="00AE6F19"/>
    <w:rsid w:val="00B34DC8"/>
    <w:rsid w:val="00B62165"/>
    <w:rsid w:val="00B72F57"/>
    <w:rsid w:val="00B90D19"/>
    <w:rsid w:val="00BF5AF9"/>
    <w:rsid w:val="00C16C64"/>
    <w:rsid w:val="00C35EA7"/>
    <w:rsid w:val="00C506F1"/>
    <w:rsid w:val="00C73041"/>
    <w:rsid w:val="00CB2BAA"/>
    <w:rsid w:val="00CE1672"/>
    <w:rsid w:val="00CE1EA3"/>
    <w:rsid w:val="00D12604"/>
    <w:rsid w:val="00D13803"/>
    <w:rsid w:val="00D16343"/>
    <w:rsid w:val="00D34ECF"/>
    <w:rsid w:val="00D4450F"/>
    <w:rsid w:val="00D739B2"/>
    <w:rsid w:val="00D831A3"/>
    <w:rsid w:val="00D86508"/>
    <w:rsid w:val="00D972EA"/>
    <w:rsid w:val="00DB7B79"/>
    <w:rsid w:val="00DD25C6"/>
    <w:rsid w:val="00DE1577"/>
    <w:rsid w:val="00DF63D2"/>
    <w:rsid w:val="00E05056"/>
    <w:rsid w:val="00E10345"/>
    <w:rsid w:val="00E41A10"/>
    <w:rsid w:val="00E51978"/>
    <w:rsid w:val="00E61E4D"/>
    <w:rsid w:val="00E7058A"/>
    <w:rsid w:val="00E90668"/>
    <w:rsid w:val="00EA57D9"/>
    <w:rsid w:val="00EC6B7D"/>
    <w:rsid w:val="00EF3BF1"/>
    <w:rsid w:val="00F336E3"/>
    <w:rsid w:val="00F42753"/>
    <w:rsid w:val="00F51E3A"/>
    <w:rsid w:val="00FD4A72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44EE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7316"/>
  </w:style>
  <w:style w:type="paragraph" w:styleId="Nagwek3">
    <w:name w:val="heading 3"/>
    <w:basedOn w:val="Nagwek1"/>
    <w:next w:val="Tekstpodstawowy"/>
    <w:link w:val="Nagwek3Znak"/>
    <w:qFormat/>
    <w:rsid w:val="007649DA"/>
    <w:pPr>
      <w:numPr>
        <w:ilvl w:val="2"/>
        <w:numId w:val="1"/>
      </w:numPr>
      <w:outlineLvl w:val="2"/>
    </w:pPr>
    <w:rPr>
      <w:rFonts w:ascii="Times New Roman" w:eastAsia="SimSu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3D731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3D7316"/>
    <w:rPr>
      <w:bCs/>
    </w:rPr>
  </w:style>
  <w:style w:type="paragraph" w:styleId="Tekstpodstawowy">
    <w:name w:val="Body Text"/>
    <w:basedOn w:val="Normalny"/>
    <w:link w:val="TekstpodstawowyZnak"/>
    <w:rsid w:val="00FD4A7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FD4A7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Nagwek3Znak">
    <w:name w:val="Nagłówek 3 Znak"/>
    <w:basedOn w:val="Domylnaczcionkaakapitu"/>
    <w:link w:val="Nagwek3"/>
    <w:rsid w:val="007649DA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styleId="Hipercze">
    <w:name w:val="Hyperlink"/>
    <w:rsid w:val="007649DA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rsid w:val="007649DA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hi-IN" w:bidi="hi-IN"/>
    </w:rPr>
  </w:style>
  <w:style w:type="paragraph" w:styleId="Lista">
    <w:name w:val="List"/>
    <w:basedOn w:val="Tekstpodstawowy"/>
    <w:rsid w:val="007649DA"/>
  </w:style>
  <w:style w:type="paragraph" w:customStyle="1" w:styleId="Podpis1">
    <w:name w:val="Podpis1"/>
    <w:basedOn w:val="Normalny"/>
    <w:rsid w:val="007649DA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Mangal"/>
      <w:i/>
      <w:iCs/>
      <w:kern w:val="1"/>
      <w:sz w:val="24"/>
      <w:szCs w:val="24"/>
      <w:lang w:eastAsia="hi-IN" w:bidi="hi-IN"/>
    </w:rPr>
  </w:style>
  <w:style w:type="paragraph" w:customStyle="1" w:styleId="Indeks">
    <w:name w:val="Indeks"/>
    <w:basedOn w:val="Normalny"/>
    <w:rsid w:val="007649DA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Liniapozioma">
    <w:name w:val="Linia pozioma"/>
    <w:basedOn w:val="Normalny"/>
    <w:next w:val="Tekstpodstawowy"/>
    <w:rsid w:val="007649DA"/>
    <w:pPr>
      <w:widowControl w:val="0"/>
      <w:suppressLineNumbers/>
      <w:pBdr>
        <w:bottom w:val="double" w:sz="1" w:space="0" w:color="808080"/>
      </w:pBdr>
      <w:suppressAutoHyphens/>
      <w:spacing w:after="283" w:line="240" w:lineRule="auto"/>
    </w:pPr>
    <w:rPr>
      <w:rFonts w:ascii="Times New Roman" w:eastAsia="SimSun" w:hAnsi="Times New Roman" w:cs="Mangal"/>
      <w:kern w:val="1"/>
      <w:sz w:val="12"/>
      <w:szCs w:val="12"/>
      <w:lang w:eastAsia="hi-IN" w:bidi="hi-IN"/>
    </w:rPr>
  </w:style>
  <w:style w:type="character" w:styleId="Odwoaniedokomentarza">
    <w:name w:val="annotation reference"/>
    <w:uiPriority w:val="99"/>
    <w:semiHidden/>
    <w:unhideWhenUsed/>
    <w:rsid w:val="007649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49DA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49DA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49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49DA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Akapitzlist">
    <w:name w:val="List Paragraph"/>
    <w:basedOn w:val="Normalny"/>
    <w:uiPriority w:val="34"/>
    <w:qFormat/>
    <w:rsid w:val="007649DA"/>
    <w:pPr>
      <w:ind w:left="720"/>
      <w:contextualSpacing/>
    </w:pPr>
    <w:rPr>
      <w:rFonts w:ascii="Calibri" w:eastAsia="Calibri" w:hAnsi="Calibri" w:cs="Arial"/>
    </w:rPr>
  </w:style>
  <w:style w:type="character" w:customStyle="1" w:styleId="FontStyle16">
    <w:name w:val="Font Style16"/>
    <w:uiPriority w:val="99"/>
    <w:rsid w:val="007649DA"/>
    <w:rPr>
      <w:rFonts w:ascii="Arial" w:hAnsi="Arial" w:cs="Arial" w:hint="default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7649D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7649D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7649DA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7649DA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Poprawka">
    <w:name w:val="Revision"/>
    <w:hidden/>
    <w:uiPriority w:val="99"/>
    <w:semiHidden/>
    <w:rsid w:val="007649DA"/>
    <w:pPr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ODNONIKtreodnonika">
    <w:name w:val="ODNOŚNIK – treść odnośnika"/>
    <w:uiPriority w:val="19"/>
    <w:qFormat/>
    <w:rsid w:val="00453095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5309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5309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5309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39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9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6580</Words>
  <Characters>39486</Characters>
  <Application>Microsoft Office Word</Application>
  <DocSecurity>0</DocSecurity>
  <Lines>329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2022-08-05T11:21:00Z</dcterms:created>
  <dcterms:modified xsi:type="dcterms:W3CDTF">2022-08-05T11:22:00Z</dcterms:modified>
</cp:coreProperties>
</file>