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BA383" w14:textId="613DAD54" w:rsidR="005C08D4" w:rsidRPr="00655CBD" w:rsidRDefault="005C08D4" w:rsidP="00655CBD">
      <w:pPr>
        <w:widowControl w:val="0"/>
        <w:autoSpaceDE w:val="0"/>
        <w:autoSpaceDN w:val="0"/>
        <w:adjustRightInd w:val="0"/>
        <w:spacing w:before="360" w:after="0" w:line="360" w:lineRule="auto"/>
        <w:jc w:val="center"/>
        <w:rPr>
          <w:rFonts w:ascii="Times New Roman" w:eastAsiaTheme="minorEastAsia" w:hAnsi="Times New Roman" w:cs="Arial"/>
          <w:sz w:val="24"/>
          <w:szCs w:val="20"/>
          <w:lang w:eastAsia="pl-PL"/>
        </w:rPr>
      </w:pPr>
      <w:bookmarkStart w:id="0" w:name="_GoBack"/>
      <w:bookmarkEnd w:id="0"/>
      <w:r w:rsidRPr="00655CBD">
        <w:rPr>
          <w:rFonts w:ascii="Times New Roman" w:eastAsiaTheme="minorEastAsia" w:hAnsi="Times New Roman" w:cs="Arial"/>
          <w:sz w:val="24"/>
          <w:szCs w:val="20"/>
          <w:lang w:eastAsia="pl-PL"/>
        </w:rPr>
        <w:t>UZASADNIENIE</w:t>
      </w:r>
    </w:p>
    <w:p w14:paraId="2C3CA10C" w14:textId="77777777" w:rsidR="005C08D4" w:rsidRDefault="005C08D4" w:rsidP="005C08D4">
      <w:pPr>
        <w:widowControl w:val="0"/>
        <w:autoSpaceDE w:val="0"/>
        <w:autoSpaceDN w:val="0"/>
        <w:adjustRightInd w:val="0"/>
        <w:spacing w:after="0" w:line="360" w:lineRule="auto"/>
        <w:jc w:val="center"/>
        <w:rPr>
          <w:rFonts w:ascii="Times New Roman" w:eastAsiaTheme="minorEastAsia" w:hAnsi="Times New Roman" w:cs="Arial"/>
          <w:b/>
          <w:sz w:val="24"/>
          <w:szCs w:val="20"/>
          <w:lang w:eastAsia="pl-PL"/>
        </w:rPr>
      </w:pPr>
    </w:p>
    <w:p w14:paraId="2CFB15A3" w14:textId="2D67CA0C" w:rsidR="005C08D4" w:rsidRDefault="005C08D4" w:rsidP="005C08D4">
      <w:pPr>
        <w:pStyle w:val="ZARTzmartartykuempunktem"/>
        <w:spacing w:after="120"/>
        <w:ind w:left="0" w:firstLine="0"/>
      </w:pPr>
      <w:r>
        <w:t xml:space="preserve">Ustawa z dnia 25 sierpnia 2006 r. </w:t>
      </w:r>
      <w:r w:rsidRPr="00FA4762">
        <w:t>o</w:t>
      </w:r>
      <w:r w:rsidR="00B443DE">
        <w:t xml:space="preserve"> </w:t>
      </w:r>
      <w:r w:rsidRPr="00FA4762">
        <w:t>biokomponentach i biopaliwach ciekłych</w:t>
      </w:r>
      <w:r>
        <w:t xml:space="preserve"> (Dz. U. z 2022 r. poz. 403), zwana dalej „ustawą o biokomponentach”, zawiera przepisy służące zapewnieniu minimalnego udziału energii odnawialnej w transporcie. Narzędziem służącym osiągnięciu założonego udziału jest Narodowy Cel Wskaźnikowy. </w:t>
      </w:r>
      <w:r w:rsidRPr="00EB58B3">
        <w:t xml:space="preserve">Krajowi producenci ciekłych paliw transportowych oraz importerzy tych paliw </w:t>
      </w:r>
      <w:r w:rsidR="00B443DE" w:rsidRPr="00EB58B3">
        <w:t xml:space="preserve">są </w:t>
      </w:r>
      <w:r w:rsidRPr="00EB58B3">
        <w:t>obowiązani</w:t>
      </w:r>
      <w:r>
        <w:t>,</w:t>
      </w:r>
      <w:r w:rsidRPr="00EB58B3">
        <w:t xml:space="preserve"> na podstawie przepisów ustawy o</w:t>
      </w:r>
      <w:r>
        <w:t> </w:t>
      </w:r>
      <w:r w:rsidRPr="00EB58B3">
        <w:t>biokomponentach</w:t>
      </w:r>
      <w:r>
        <w:t>,</w:t>
      </w:r>
      <w:r w:rsidRPr="00EB58B3">
        <w:t xml:space="preserve"> do realizacji Narodowego Celu Wskaźnikowego polegającego na</w:t>
      </w:r>
      <w:r>
        <w:t> </w:t>
      </w:r>
      <w:r w:rsidRPr="00EB58B3">
        <w:t>zapewnieniu minimalnego udziału biokomponentó</w:t>
      </w:r>
      <w:r>
        <w:t>w i innych paliw odnawialnych w </w:t>
      </w:r>
      <w:r w:rsidRPr="00EB58B3">
        <w:t>paliwach (benzyna silnikowa, olej napędowy) i biopaliwach stosowanych w transporcie. Udział ten wyrażany jest w procentowej wartości energetycznej bioko</w:t>
      </w:r>
      <w:r>
        <w:t xml:space="preserve">mponentów i paliw odnawialnych. </w:t>
      </w:r>
    </w:p>
    <w:p w14:paraId="3779E49C" w14:textId="77777777" w:rsidR="005C08D4" w:rsidRDefault="005C08D4" w:rsidP="005C08D4">
      <w:pPr>
        <w:pStyle w:val="ZARTzmartartykuempunktem"/>
        <w:spacing w:after="120"/>
        <w:ind w:left="0" w:firstLine="0"/>
      </w:pPr>
      <w:r>
        <w:t xml:space="preserve">Realizacja Narodowego Celu Wskaźnikowego w 2020 r. była oparta na biokomponentach wyprodukowanych z roślin spożywczych i pastewnych (w przypadku bioetanolu – z kukurydzy, w przypadku estrów – z rzepaku). Zgodnie ze sprawozdaniem Eurostatu SHARES w 2020 r. udział energii odnawialnej w transporcie wyniósł 6,58%, z czego 5,1% przypadło na biokomponenty z roślin spożywczych i pastewnych, natomiast pozostała część przypadła na energię elektryczną z odnawialnych źródeł energii stosowaną w transporcie drogowym i kolejowym oraz biokomponenty II generacji. </w:t>
      </w:r>
    </w:p>
    <w:p w14:paraId="5A43F8B5" w14:textId="01BEF133" w:rsidR="005C08D4" w:rsidRDefault="005C08D4" w:rsidP="005C08D4">
      <w:pPr>
        <w:pStyle w:val="ZARTzmartartykuempunktem"/>
        <w:spacing w:after="120"/>
        <w:ind w:left="0" w:firstLine="0"/>
      </w:pPr>
      <w:r>
        <w:t>Inwazja Federacji Rosyjskiej na Ukrainę wywołała zaburzenia na europejskim rynku paliw, powodując m.in. bezprecedensowy wzrost cen paliw. Wojna odcisnęła swój ślad również na sektorze biopaliwowym z uwagi na istotną rolę Ukrainy w europejskim rolnictwie. W </w:t>
      </w:r>
      <w:r w:rsidRPr="009C49A5">
        <w:t xml:space="preserve">związku z powyższym </w:t>
      </w:r>
      <w:r w:rsidR="00B443DE" w:rsidRPr="009C49A5">
        <w:t xml:space="preserve">jest </w:t>
      </w:r>
      <w:r w:rsidRPr="009C49A5">
        <w:t>konieczne wprowadzenie stosownych zmian w przepisach ustawy o biokomponentach</w:t>
      </w:r>
      <w:r>
        <w:t>.</w:t>
      </w:r>
    </w:p>
    <w:p w14:paraId="7CA90EE4" w14:textId="0C500EDA" w:rsidR="005C08D4" w:rsidRDefault="005C08D4" w:rsidP="009444A9">
      <w:pPr>
        <w:pStyle w:val="ZARTzmartartykuempunktem"/>
        <w:spacing w:after="120"/>
        <w:ind w:left="0" w:firstLine="0"/>
      </w:pPr>
      <w:r>
        <w:t>Ponadto projekt wprowadza zmiany w ustawie z</w:t>
      </w:r>
      <w:r w:rsidR="00B443DE">
        <w:t xml:space="preserve"> </w:t>
      </w:r>
      <w:r>
        <w:t xml:space="preserve">dnia 25 sierpnia 2006 r. </w:t>
      </w:r>
      <w:r w:rsidRPr="00FA4762">
        <w:t>o</w:t>
      </w:r>
      <w:r w:rsidR="00B443DE">
        <w:t xml:space="preserve"> </w:t>
      </w:r>
      <w:r w:rsidRPr="00FA4762">
        <w:t>systemie monitorowania i kontrolowania jakości paliw</w:t>
      </w:r>
      <w:r>
        <w:t xml:space="preserve"> (Dz.</w:t>
      </w:r>
      <w:r w:rsidR="00B443DE">
        <w:t xml:space="preserve"> </w:t>
      </w:r>
      <w:r>
        <w:t>U.</w:t>
      </w:r>
      <w:r w:rsidR="00B443DE">
        <w:t xml:space="preserve"> </w:t>
      </w:r>
      <w:r>
        <w:t>z</w:t>
      </w:r>
      <w:r w:rsidR="00B443DE">
        <w:t xml:space="preserve"> </w:t>
      </w:r>
      <w:r>
        <w:t>2022 r. poz. 1315</w:t>
      </w:r>
      <w:r w:rsidR="00824A7D">
        <w:t>, z późn. zm.</w:t>
      </w:r>
      <w:r>
        <w:t xml:space="preserve">), zwanej dalej „ustawą o systemie monitorowania”, polegające na zniesieniu obowiązku sprzedaży na stacji paliw benzyn E5 w przypadku sprzedaży benzyny E10. </w:t>
      </w:r>
      <w:r w:rsidRPr="00126744">
        <w:t>Zmian</w:t>
      </w:r>
      <w:r>
        <w:t>a ta</w:t>
      </w:r>
      <w:r w:rsidRPr="00126744">
        <w:t xml:space="preserve"> </w:t>
      </w:r>
      <w:r>
        <w:t>jest</w:t>
      </w:r>
      <w:r w:rsidRPr="00126744">
        <w:t xml:space="preserve"> podyktowan</w:t>
      </w:r>
      <w:r>
        <w:t>a</w:t>
      </w:r>
      <w:r w:rsidRPr="00126744">
        <w:t xml:space="preserve"> planowanym nałożeniem </w:t>
      </w:r>
      <w:r>
        <w:t xml:space="preserve">w niedalekiej przyszłości </w:t>
      </w:r>
      <w:r w:rsidRPr="00126744">
        <w:t>obowi</w:t>
      </w:r>
      <w:r>
        <w:t>ązku dystrybucji benzyny Pb95 w </w:t>
      </w:r>
      <w:r w:rsidRPr="00126744">
        <w:t>formacie E10.</w:t>
      </w:r>
    </w:p>
    <w:p w14:paraId="0E8BBAFE" w14:textId="77777777" w:rsidR="00655CBD" w:rsidRPr="00126744" w:rsidRDefault="00655CBD" w:rsidP="009444A9">
      <w:pPr>
        <w:pStyle w:val="ZARTzmartartykuempunktem"/>
        <w:spacing w:after="120"/>
        <w:ind w:left="0" w:firstLine="0"/>
      </w:pPr>
    </w:p>
    <w:p w14:paraId="72F2DB2B" w14:textId="7B501022" w:rsidR="00FC29F6" w:rsidRPr="006D7C38" w:rsidRDefault="00FC29F6" w:rsidP="00FC29F6">
      <w:pPr>
        <w:pStyle w:val="ZARTzmartartykuempunktem"/>
        <w:spacing w:after="120"/>
        <w:ind w:left="0" w:firstLine="0"/>
        <w:rPr>
          <w:b/>
        </w:rPr>
      </w:pPr>
      <w:r>
        <w:rPr>
          <w:b/>
        </w:rPr>
        <w:lastRenderedPageBreak/>
        <w:t xml:space="preserve">1. </w:t>
      </w:r>
      <w:r w:rsidRPr="006D7C38">
        <w:rPr>
          <w:b/>
        </w:rPr>
        <w:t xml:space="preserve">Przepisy </w:t>
      </w:r>
      <w:r>
        <w:rPr>
          <w:b/>
        </w:rPr>
        <w:t>dotyczące realizacji</w:t>
      </w:r>
      <w:r w:rsidRPr="006D7C38">
        <w:rPr>
          <w:b/>
        </w:rPr>
        <w:t xml:space="preserve"> Narodowego Celu Wskaźnikowego</w:t>
      </w:r>
      <w:r>
        <w:rPr>
          <w:b/>
        </w:rPr>
        <w:t xml:space="preserve"> w 2022 r.</w:t>
      </w:r>
    </w:p>
    <w:p w14:paraId="69CEEE8A" w14:textId="1537E5E8" w:rsidR="00FC29F6" w:rsidRDefault="00FC29F6" w:rsidP="00FC29F6">
      <w:pPr>
        <w:pStyle w:val="ZARTzmartartykuempunktem"/>
        <w:spacing w:after="120"/>
        <w:ind w:left="0" w:firstLine="0"/>
      </w:pPr>
      <w:r>
        <w:t>Agresja Federacji Rosyjskiej na Ukrainę spowodowała szereg konsekwencji gospodarczych. Niektóre z nich mają istotny wpływ na warunki obrotu biopaliwami ciekłymi będącymi</w:t>
      </w:r>
      <w:r w:rsidR="008C70B6">
        <w:t>, obok blendingu paliw z biokomponentami,</w:t>
      </w:r>
      <w:r>
        <w:t xml:space="preserve"> jednym z zasadniczych elementów procesu realizacji Narodowego Celu Wskaźnikowego w Polsce. Wywołane konfliktem zbrojnym zaburzenia cenowe na rynku surowców rolnych wykorzystywanych do produkcji biopaliw istotnie ograniczyły rynki zbytu dla tych produktów. Rosnące ceny energii efekt ten dodatkowo pogłębiły. Nie bez znaczenia dla realizacji Narodowego Celu Wskaźnikowego przez hurtową sprzedaż biopaliw są również utrudnienia logistyczne i transportowe</w:t>
      </w:r>
      <w:r w:rsidR="001535C8">
        <w:t>,</w:t>
      </w:r>
      <w:r>
        <w:t xml:space="preserve"> np. występujące deficyty cystern kolejowych niezbędnych do dokonywania obrotu.</w:t>
      </w:r>
    </w:p>
    <w:p w14:paraId="42A20FF4" w14:textId="1C7BA77D" w:rsidR="00FC29F6" w:rsidRDefault="00FC29F6" w:rsidP="00FC29F6">
      <w:pPr>
        <w:pStyle w:val="ZARTzmartartykuempunktem"/>
        <w:spacing w:after="120"/>
        <w:ind w:left="0" w:firstLine="0"/>
      </w:pPr>
      <w:r>
        <w:t>Wskazane powyżej zaburzenia rynkowe mogą istotnie ograniczać możliwość realizacji w</w:t>
      </w:r>
      <w:r w:rsidR="001535C8">
        <w:t> </w:t>
      </w:r>
      <w:r>
        <w:t>Polsce Narodowego Celu Wskaźnikowego przez obrót biopaliwami. Sytuacja wymaga zatem interwencji legislacyjnej, której celem jest zwiększenie bezpieczeństwa prawnego podmiotów gospodarczych napotykających na trudności w realizacji Narodowego Celu Wskaźnikowego, których pierwotną przyczyną jest rosyjska agresja na Ukrainę.</w:t>
      </w:r>
    </w:p>
    <w:p w14:paraId="7E2DBE8A" w14:textId="1E553BE1" w:rsidR="00FC29F6" w:rsidRDefault="00FC29F6" w:rsidP="00FC29F6">
      <w:pPr>
        <w:pStyle w:val="ZARTzmartartykuempunktem"/>
        <w:spacing w:after="120"/>
        <w:ind w:left="0" w:firstLine="0"/>
      </w:pPr>
      <w:r>
        <w:t xml:space="preserve">W związku z powyższym, biorąc pod uwagę, że część podmiotów realizujących </w:t>
      </w:r>
      <w:r w:rsidR="007F00F2">
        <w:t>Narodowy Cel Wskaźnikowy identyfikuje wyzwania związane z realizacją Narodowego Celu Wskaźnikowego w 2022 r., wynikające z przyczyn od nich niezależnych i niemożliwych do przewidzenia, w przedmiotowym projekcie proponuje się odejście od wymierzania przez Prezesa Urzędu Regulacji Energetyki kar za brak realizacji Narodowego Celu Wskaźnikowego celem zmniejszenia presji administracyjnej na przedsiębiorców. Jednocześnie zastrzega się, że warunkiem skorzystania z tego nadzwyczajnego zwolnienia jest realizacja obowiązku, o którym mowa w art. 23b</w:t>
      </w:r>
      <w:r w:rsidR="000F39BB">
        <w:t xml:space="preserve"> ustawy o biokomponentach</w:t>
      </w:r>
      <w:r w:rsidR="007F00F2">
        <w:t xml:space="preserve">, tj. dotrzymania poziomów obligatoryjnego blendingu dla benzyn silnikowych i oleju napędowego. </w:t>
      </w:r>
    </w:p>
    <w:p w14:paraId="46E6FC28" w14:textId="77777777" w:rsidR="00655CBD" w:rsidRPr="001535C8" w:rsidRDefault="00655CBD" w:rsidP="00FC29F6">
      <w:pPr>
        <w:pStyle w:val="ZARTzmartartykuempunktem"/>
        <w:spacing w:after="120"/>
        <w:ind w:left="0" w:firstLine="0"/>
        <w:rPr>
          <w:sz w:val="16"/>
          <w:szCs w:val="16"/>
        </w:rPr>
      </w:pPr>
    </w:p>
    <w:p w14:paraId="7CAD4A8B" w14:textId="47BA71EE" w:rsidR="005C08D4" w:rsidRPr="006D7C38" w:rsidRDefault="00FC29F6" w:rsidP="005C08D4">
      <w:pPr>
        <w:pStyle w:val="ZARTzmartartykuempunktem"/>
        <w:spacing w:after="120"/>
        <w:ind w:left="0" w:firstLine="0"/>
        <w:rPr>
          <w:b/>
        </w:rPr>
      </w:pPr>
      <w:r>
        <w:rPr>
          <w:b/>
        </w:rPr>
        <w:t>2</w:t>
      </w:r>
      <w:r w:rsidR="005C08D4">
        <w:rPr>
          <w:b/>
        </w:rPr>
        <w:t xml:space="preserve">. </w:t>
      </w:r>
      <w:r w:rsidR="005C08D4" w:rsidRPr="006D7C38">
        <w:rPr>
          <w:b/>
        </w:rPr>
        <w:t>Przepisy ustanawiające sposób realizacji Narodowego Celu Wskaźnikowego</w:t>
      </w:r>
      <w:r w:rsidR="005C08D4">
        <w:rPr>
          <w:b/>
        </w:rPr>
        <w:t xml:space="preserve"> w 2023 r.</w:t>
      </w:r>
    </w:p>
    <w:p w14:paraId="1F11B14E" w14:textId="77777777" w:rsidR="005C08D4" w:rsidRDefault="005C08D4" w:rsidP="005C08D4">
      <w:pPr>
        <w:pStyle w:val="ZARTzmartartykuempunktem"/>
        <w:spacing w:after="120"/>
        <w:ind w:left="0" w:firstLine="0"/>
      </w:pPr>
      <w:r>
        <w:t>Mając na uwadze powyższe uwarunkowania, w celu ograniczenia dalszego wzrostu cen paliw, a także ustabilizowania sytuacji na krajowym rynku paliwowym i biopaliwowym, proponuje się wprowadzić następujące zmiany w zakresie realizacji Narodowego Celu Wskaźnikowego na 2023 r.:</w:t>
      </w:r>
    </w:p>
    <w:p w14:paraId="04CBCC17" w14:textId="10753AA4" w:rsidR="005C08D4" w:rsidRDefault="005C08D4" w:rsidP="00655CBD">
      <w:pPr>
        <w:pStyle w:val="ZARTzmartartykuempunktem"/>
        <w:numPr>
          <w:ilvl w:val="0"/>
          <w:numId w:val="5"/>
        </w:numPr>
        <w:spacing w:after="120"/>
        <w:ind w:left="426" w:hanging="426"/>
      </w:pPr>
      <w:r>
        <w:t>określić minimalny poziom realizacji Narodowego Celu Wskaźnikowego, uprawniający do skorzystania z mechanizmu opłaty zastępczej, na</w:t>
      </w:r>
      <w:r w:rsidR="001535C8">
        <w:t xml:space="preserve"> </w:t>
      </w:r>
      <w:r>
        <w:t xml:space="preserve">poziomie </w:t>
      </w:r>
      <w:r w:rsidR="00FC29F6">
        <w:t>6</w:t>
      </w:r>
      <w:r>
        <w:t>0%,</w:t>
      </w:r>
    </w:p>
    <w:p w14:paraId="19613E2A" w14:textId="77777777" w:rsidR="005C08D4" w:rsidRDefault="005C08D4" w:rsidP="00655CBD">
      <w:pPr>
        <w:pStyle w:val="ZARTzmartartykuempunktem"/>
        <w:numPr>
          <w:ilvl w:val="0"/>
          <w:numId w:val="5"/>
        </w:numPr>
        <w:spacing w:after="120"/>
        <w:ind w:left="426" w:hanging="426"/>
      </w:pPr>
      <w:r>
        <w:lastRenderedPageBreak/>
        <w:t xml:space="preserve">określić wysokość współczynnika redukcyjnego na poziomie 0,82, </w:t>
      </w:r>
    </w:p>
    <w:p w14:paraId="429A8063" w14:textId="77777777" w:rsidR="005C08D4" w:rsidRDefault="005C08D4" w:rsidP="00655CBD">
      <w:pPr>
        <w:pStyle w:val="ZARTzmartartykuempunktem"/>
        <w:numPr>
          <w:ilvl w:val="0"/>
          <w:numId w:val="5"/>
        </w:numPr>
        <w:spacing w:after="120"/>
        <w:ind w:left="426" w:hanging="426"/>
      </w:pPr>
      <w:r>
        <w:t xml:space="preserve">obniżyć obligatoryjny blending dla oleju napędowego do poziomu 5,2%, </w:t>
      </w:r>
    </w:p>
    <w:p w14:paraId="3C3C3978" w14:textId="77777777" w:rsidR="005C08D4" w:rsidRDefault="005C08D4" w:rsidP="00655CBD">
      <w:pPr>
        <w:pStyle w:val="ZARTzmartartykuempunktem"/>
        <w:numPr>
          <w:ilvl w:val="0"/>
          <w:numId w:val="5"/>
        </w:numPr>
        <w:spacing w:after="120"/>
        <w:ind w:left="426" w:hanging="426"/>
      </w:pPr>
      <w:r>
        <w:t>ustanowić limit wykorzystania biowęglowodorów ciekłych w realizacji Narodowego Celu Wskaźnikowego na poziomie 0,9%,</w:t>
      </w:r>
    </w:p>
    <w:p w14:paraId="528E8783" w14:textId="52D05367" w:rsidR="005C08D4" w:rsidRDefault="005C08D4" w:rsidP="00655CBD">
      <w:pPr>
        <w:pStyle w:val="ZARTzmartartykuempunktem"/>
        <w:numPr>
          <w:ilvl w:val="0"/>
          <w:numId w:val="5"/>
        </w:numPr>
        <w:spacing w:after="120"/>
        <w:ind w:left="426" w:hanging="426"/>
      </w:pPr>
      <w:r>
        <w:t>ustanowić limit wykorzystania biokomponentów wytworzonych z surowców określonych w załączniku nr 1 do ustawy o biokomponentach i biopaliwach ciekłych na</w:t>
      </w:r>
      <w:r w:rsidR="001535C8">
        <w:t xml:space="preserve"> </w:t>
      </w:r>
      <w:r>
        <w:t xml:space="preserve">poziomie 0,5%. </w:t>
      </w:r>
    </w:p>
    <w:p w14:paraId="0C857E39" w14:textId="77777777" w:rsidR="005C08D4" w:rsidRDefault="005C08D4" w:rsidP="00655CBD">
      <w:pPr>
        <w:pStyle w:val="ZARTzmartartykuempunktem"/>
        <w:spacing w:before="240" w:after="120"/>
        <w:ind w:left="0" w:firstLine="0"/>
      </w:pPr>
      <w:r>
        <w:t xml:space="preserve">Proponuje się, aby ustawa weszła w życie z dniem 1 stycznia 2023 r.  </w:t>
      </w:r>
    </w:p>
    <w:p w14:paraId="7848096D" w14:textId="050AA882" w:rsidR="005C08D4" w:rsidRDefault="005C08D4" w:rsidP="005C08D4">
      <w:pPr>
        <w:pStyle w:val="ZARTzmartartykuempunktem"/>
        <w:spacing w:after="120"/>
        <w:ind w:left="0" w:firstLine="0"/>
      </w:pPr>
      <w:r w:rsidRPr="00697321">
        <w:t>Z uwagi na przedmiot regulacji ustawa będzie w</w:t>
      </w:r>
      <w:r>
        <w:t xml:space="preserve">pływać zarówno na mikroprzedsiębiorców, jak </w:t>
      </w:r>
      <w:r w:rsidR="001535C8">
        <w:t>i </w:t>
      </w:r>
      <w:r>
        <w:t>małych i średnich przedsiębiorców, funkcjonujących na krajowym rynku paliw ciekłych</w:t>
      </w:r>
      <w:r w:rsidRPr="00697321">
        <w:t>. Przewidywany wpływ został opisany w Ocenie Skutków Regulacji.</w:t>
      </w:r>
    </w:p>
    <w:p w14:paraId="7E9E87B1" w14:textId="77777777" w:rsidR="005C08D4" w:rsidRDefault="005C08D4" w:rsidP="005C08D4">
      <w:pPr>
        <w:pStyle w:val="ZARTzmartartykuempunktem"/>
        <w:spacing w:after="120"/>
        <w:ind w:left="0" w:firstLine="0"/>
      </w:pPr>
      <w:r w:rsidRPr="00A62480">
        <w:t>Projektowana ustawa nie zawiera przepisów technicznych, o których mowa w § 4 ust. 1 rozporządzenia Rady Ministrów z dnia 23 grudnia 2002 r. w sprawie sposobu funkcjonowania krajowego systemu notyfikacji norm i aktów prawnych (Dz. U. poz. 2039 oraz z 2004 r. poz.</w:t>
      </w:r>
      <w:r>
        <w:t> </w:t>
      </w:r>
      <w:r w:rsidRPr="00A62480">
        <w:t>597)</w:t>
      </w:r>
      <w:r>
        <w:t>,</w:t>
      </w:r>
      <w:r w:rsidRPr="00A62480">
        <w:t xml:space="preserve"> i w związku z tym nie podlega notyfikacji Komisji Europejskiej.</w:t>
      </w:r>
      <w:r>
        <w:t xml:space="preserve"> </w:t>
      </w:r>
    </w:p>
    <w:p w14:paraId="22C87D20" w14:textId="77777777" w:rsidR="005C08D4" w:rsidRDefault="005C08D4" w:rsidP="005C08D4">
      <w:pPr>
        <w:pStyle w:val="ZARTzmartartykuempunktem"/>
        <w:spacing w:after="120"/>
        <w:ind w:left="0" w:firstLine="0"/>
      </w:pPr>
      <w:r w:rsidRPr="00705C7B">
        <w:t>Projekt zostanie udostępniony w Biuletynie Informacji Publicznej na stronie internetowej Rządowego Centrum Legislacji w zakładce Rządowy Proces Legislacyjny zgodnie z § 52 uchwały nr 190 Rady Ministrów z dnia 29 października 2013 r. – Regulamin pracy Rady Ministrów (M.P. z 2022 r. poz. 348) oraz stosownie do wymogów art. 5 ustawy z dnia 7 lipca 2005 r. o działalności lobbingowej w procesie stanowienia pra</w:t>
      </w:r>
      <w:r>
        <w:t>wa (Dz. U. z 2017 r. poz. 248).</w:t>
      </w:r>
    </w:p>
    <w:p w14:paraId="0074F6CA" w14:textId="2CF1DF10" w:rsidR="005C08D4" w:rsidRDefault="005C08D4" w:rsidP="005C08D4">
      <w:pPr>
        <w:pStyle w:val="ZARTzmartartykuempunktem"/>
        <w:spacing w:after="120"/>
        <w:ind w:left="0" w:firstLine="0"/>
      </w:pPr>
      <w:r w:rsidRPr="00697321">
        <w:t>Projekt ustawy nie wymaga przedstawienia organom i instytucjom Unii Europejskiej, w</w:t>
      </w:r>
      <w:r w:rsidR="001535C8">
        <w:t xml:space="preserve"> </w:t>
      </w:r>
      <w:r w:rsidRPr="00697321">
        <w:t>tym</w:t>
      </w:r>
      <w:r w:rsidR="001535C8">
        <w:t xml:space="preserve"> </w:t>
      </w:r>
      <w:r w:rsidRPr="00697321">
        <w:t>Europejskiemu Bankowi Centralnemu, w celu uzyskania opinii, dokonania powiadomienia, konsultacji albo uzgodnienia, zgodnie z § 27 ust 4 uchwały nr 190 Rady Ministrów z dnia 29</w:t>
      </w:r>
      <w:r w:rsidR="001535C8">
        <w:t> </w:t>
      </w:r>
      <w:r w:rsidRPr="00697321">
        <w:t xml:space="preserve">października 2013 r. </w:t>
      </w:r>
      <w:r>
        <w:t>–</w:t>
      </w:r>
      <w:r w:rsidRPr="00697321">
        <w:t xml:space="preserve"> Regulamin pracy Rady Ministrów.</w:t>
      </w:r>
    </w:p>
    <w:p w14:paraId="222C65C5" w14:textId="77777777" w:rsidR="005C08D4" w:rsidRPr="00A62480" w:rsidRDefault="005C08D4" w:rsidP="005C08D4">
      <w:pPr>
        <w:pStyle w:val="ZARTzmartartykuempunktem"/>
        <w:spacing w:after="120"/>
        <w:ind w:left="0" w:firstLine="0"/>
      </w:pPr>
      <w:r w:rsidRPr="00A62480">
        <w:t>Projekt jest zgodny z prawem Unii Europejskiej.</w:t>
      </w:r>
    </w:p>
    <w:sectPr w:rsidR="005C08D4" w:rsidRPr="00A62480" w:rsidSect="00655CBD">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F037E7" w14:textId="77777777" w:rsidR="00B57008" w:rsidRDefault="00B57008" w:rsidP="00655CBD">
      <w:pPr>
        <w:spacing w:after="0" w:line="240" w:lineRule="auto"/>
      </w:pPr>
      <w:r>
        <w:separator/>
      </w:r>
    </w:p>
  </w:endnote>
  <w:endnote w:type="continuationSeparator" w:id="0">
    <w:p w14:paraId="2F873FC0" w14:textId="77777777" w:rsidR="00B57008" w:rsidRDefault="00B57008" w:rsidP="00655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348171"/>
      <w:docPartObj>
        <w:docPartGallery w:val="Page Numbers (Bottom of Page)"/>
        <w:docPartUnique/>
      </w:docPartObj>
    </w:sdtPr>
    <w:sdtEndPr>
      <w:rPr>
        <w:rFonts w:ascii="Times New Roman" w:hAnsi="Times New Roman" w:cs="Times New Roman"/>
        <w:sz w:val="24"/>
        <w:szCs w:val="24"/>
      </w:rPr>
    </w:sdtEndPr>
    <w:sdtContent>
      <w:p w14:paraId="5C927318" w14:textId="302A11B0" w:rsidR="00655CBD" w:rsidRPr="00655CBD" w:rsidRDefault="00655CBD">
        <w:pPr>
          <w:pStyle w:val="Stopka"/>
          <w:jc w:val="center"/>
          <w:rPr>
            <w:rFonts w:ascii="Times New Roman" w:hAnsi="Times New Roman" w:cs="Times New Roman"/>
            <w:sz w:val="24"/>
            <w:szCs w:val="24"/>
          </w:rPr>
        </w:pPr>
        <w:r w:rsidRPr="00655CBD">
          <w:rPr>
            <w:rFonts w:ascii="Times New Roman" w:hAnsi="Times New Roman" w:cs="Times New Roman"/>
            <w:sz w:val="24"/>
            <w:szCs w:val="24"/>
          </w:rPr>
          <w:fldChar w:fldCharType="begin"/>
        </w:r>
        <w:r w:rsidRPr="00655CBD">
          <w:rPr>
            <w:rFonts w:ascii="Times New Roman" w:hAnsi="Times New Roman" w:cs="Times New Roman"/>
            <w:sz w:val="24"/>
            <w:szCs w:val="24"/>
          </w:rPr>
          <w:instrText>PAGE   \* MERGEFORMAT</w:instrText>
        </w:r>
        <w:r w:rsidRPr="00655CBD">
          <w:rPr>
            <w:rFonts w:ascii="Times New Roman" w:hAnsi="Times New Roman" w:cs="Times New Roman"/>
            <w:sz w:val="24"/>
            <w:szCs w:val="24"/>
          </w:rPr>
          <w:fldChar w:fldCharType="separate"/>
        </w:r>
        <w:r w:rsidR="00E62773">
          <w:rPr>
            <w:rFonts w:ascii="Times New Roman" w:hAnsi="Times New Roman" w:cs="Times New Roman"/>
            <w:noProof/>
            <w:sz w:val="24"/>
            <w:szCs w:val="24"/>
          </w:rPr>
          <w:t>3</w:t>
        </w:r>
        <w:r w:rsidRPr="00655CBD">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01581" w14:textId="77777777" w:rsidR="00B57008" w:rsidRDefault="00B57008" w:rsidP="00655CBD">
      <w:pPr>
        <w:spacing w:after="0" w:line="240" w:lineRule="auto"/>
      </w:pPr>
      <w:r>
        <w:separator/>
      </w:r>
    </w:p>
  </w:footnote>
  <w:footnote w:type="continuationSeparator" w:id="0">
    <w:p w14:paraId="0B817546" w14:textId="77777777" w:rsidR="00B57008" w:rsidRDefault="00B57008" w:rsidP="00655C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6288D"/>
    <w:multiLevelType w:val="hybridMultilevel"/>
    <w:tmpl w:val="AD6E03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B09296A"/>
    <w:multiLevelType w:val="hybridMultilevel"/>
    <w:tmpl w:val="281AF2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45B3369E"/>
    <w:multiLevelType w:val="hybridMultilevel"/>
    <w:tmpl w:val="1EDC4928"/>
    <w:lvl w:ilvl="0" w:tplc="951032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DAA548E"/>
    <w:multiLevelType w:val="hybridMultilevel"/>
    <w:tmpl w:val="D33C59F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E1566E5"/>
    <w:multiLevelType w:val="hybridMultilevel"/>
    <w:tmpl w:val="72B88E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6D4"/>
    <w:rsid w:val="000032C4"/>
    <w:rsid w:val="00015414"/>
    <w:rsid w:val="00037C3F"/>
    <w:rsid w:val="00077C44"/>
    <w:rsid w:val="000D7526"/>
    <w:rsid w:val="000F39BB"/>
    <w:rsid w:val="000F721D"/>
    <w:rsid w:val="001056D4"/>
    <w:rsid w:val="001535C8"/>
    <w:rsid w:val="001669EB"/>
    <w:rsid w:val="001B5DFE"/>
    <w:rsid w:val="001C109F"/>
    <w:rsid w:val="001E3DC1"/>
    <w:rsid w:val="00225325"/>
    <w:rsid w:val="002325CC"/>
    <w:rsid w:val="00296786"/>
    <w:rsid w:val="002A3B6F"/>
    <w:rsid w:val="0031263A"/>
    <w:rsid w:val="0033773C"/>
    <w:rsid w:val="003725ED"/>
    <w:rsid w:val="00376001"/>
    <w:rsid w:val="003A1AC5"/>
    <w:rsid w:val="005063A6"/>
    <w:rsid w:val="0052650D"/>
    <w:rsid w:val="00551C28"/>
    <w:rsid w:val="005733E8"/>
    <w:rsid w:val="005C08D4"/>
    <w:rsid w:val="00616822"/>
    <w:rsid w:val="00620531"/>
    <w:rsid w:val="00655CBD"/>
    <w:rsid w:val="006961C7"/>
    <w:rsid w:val="006D7C38"/>
    <w:rsid w:val="007C7680"/>
    <w:rsid w:val="007D7D1D"/>
    <w:rsid w:val="007F00F2"/>
    <w:rsid w:val="00810764"/>
    <w:rsid w:val="008146BE"/>
    <w:rsid w:val="00824A7D"/>
    <w:rsid w:val="0083147E"/>
    <w:rsid w:val="008C70B6"/>
    <w:rsid w:val="008C79EC"/>
    <w:rsid w:val="009204D6"/>
    <w:rsid w:val="009444A9"/>
    <w:rsid w:val="009740C8"/>
    <w:rsid w:val="009B469D"/>
    <w:rsid w:val="00A02FD0"/>
    <w:rsid w:val="00A75F7F"/>
    <w:rsid w:val="00B133A4"/>
    <w:rsid w:val="00B3402E"/>
    <w:rsid w:val="00B443DE"/>
    <w:rsid w:val="00B57008"/>
    <w:rsid w:val="00BA0CEA"/>
    <w:rsid w:val="00BF4893"/>
    <w:rsid w:val="00BF6994"/>
    <w:rsid w:val="00C04803"/>
    <w:rsid w:val="00C06F59"/>
    <w:rsid w:val="00C87874"/>
    <w:rsid w:val="00CA2EB0"/>
    <w:rsid w:val="00CE2EFB"/>
    <w:rsid w:val="00D11C37"/>
    <w:rsid w:val="00D25B1E"/>
    <w:rsid w:val="00D91492"/>
    <w:rsid w:val="00D94B54"/>
    <w:rsid w:val="00DD20C6"/>
    <w:rsid w:val="00E10A39"/>
    <w:rsid w:val="00E2090A"/>
    <w:rsid w:val="00E40B73"/>
    <w:rsid w:val="00E56A2D"/>
    <w:rsid w:val="00E62773"/>
    <w:rsid w:val="00E865A6"/>
    <w:rsid w:val="00EB58B3"/>
    <w:rsid w:val="00EC6E33"/>
    <w:rsid w:val="00F66D20"/>
    <w:rsid w:val="00FA0ECA"/>
    <w:rsid w:val="00FA4762"/>
    <w:rsid w:val="00FC29F6"/>
    <w:rsid w:val="00FE07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C5527"/>
  <w15:chartTrackingRefBased/>
  <w15:docId w15:val="{AD884B09-8E62-45DD-AD99-8C0D2BB9F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C08D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056D4"/>
    <w:pPr>
      <w:ind w:left="720"/>
      <w:contextualSpacing/>
    </w:pPr>
  </w:style>
  <w:style w:type="paragraph" w:customStyle="1" w:styleId="ZARTzmartartykuempunktem">
    <w:name w:val="Z/ART(§) – zm. art. (§) artykułem (punktem)"/>
    <w:basedOn w:val="Normalny"/>
    <w:uiPriority w:val="30"/>
    <w:qFormat/>
    <w:rsid w:val="00E2090A"/>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Poprawka">
    <w:name w:val="Revision"/>
    <w:hidden/>
    <w:uiPriority w:val="99"/>
    <w:semiHidden/>
    <w:rsid w:val="00BF6994"/>
    <w:pPr>
      <w:spacing w:after="0" w:line="240" w:lineRule="auto"/>
    </w:pPr>
  </w:style>
  <w:style w:type="character" w:styleId="Odwoaniedokomentarza">
    <w:name w:val="annotation reference"/>
    <w:basedOn w:val="Domylnaczcionkaakapitu"/>
    <w:uiPriority w:val="99"/>
    <w:semiHidden/>
    <w:unhideWhenUsed/>
    <w:rsid w:val="00810764"/>
    <w:rPr>
      <w:sz w:val="16"/>
      <w:szCs w:val="16"/>
    </w:rPr>
  </w:style>
  <w:style w:type="paragraph" w:styleId="Tekstkomentarza">
    <w:name w:val="annotation text"/>
    <w:basedOn w:val="Normalny"/>
    <w:link w:val="TekstkomentarzaZnak"/>
    <w:uiPriority w:val="99"/>
    <w:semiHidden/>
    <w:unhideWhenUsed/>
    <w:rsid w:val="0081076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10764"/>
    <w:rPr>
      <w:sz w:val="20"/>
      <w:szCs w:val="20"/>
    </w:rPr>
  </w:style>
  <w:style w:type="paragraph" w:styleId="Tematkomentarza">
    <w:name w:val="annotation subject"/>
    <w:basedOn w:val="Tekstkomentarza"/>
    <w:next w:val="Tekstkomentarza"/>
    <w:link w:val="TematkomentarzaZnak"/>
    <w:uiPriority w:val="99"/>
    <w:semiHidden/>
    <w:unhideWhenUsed/>
    <w:rsid w:val="00810764"/>
    <w:rPr>
      <w:b/>
      <w:bCs/>
    </w:rPr>
  </w:style>
  <w:style w:type="character" w:customStyle="1" w:styleId="TematkomentarzaZnak">
    <w:name w:val="Temat komentarza Znak"/>
    <w:basedOn w:val="TekstkomentarzaZnak"/>
    <w:link w:val="Tematkomentarza"/>
    <w:uiPriority w:val="99"/>
    <w:semiHidden/>
    <w:rsid w:val="00810764"/>
    <w:rPr>
      <w:b/>
      <w:bCs/>
      <w:sz w:val="20"/>
      <w:szCs w:val="20"/>
    </w:rPr>
  </w:style>
  <w:style w:type="paragraph" w:styleId="Tekstdymka">
    <w:name w:val="Balloon Text"/>
    <w:basedOn w:val="Normalny"/>
    <w:link w:val="TekstdymkaZnak"/>
    <w:uiPriority w:val="99"/>
    <w:semiHidden/>
    <w:unhideWhenUsed/>
    <w:rsid w:val="0081076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10764"/>
    <w:rPr>
      <w:rFonts w:ascii="Segoe UI" w:hAnsi="Segoe UI" w:cs="Segoe UI"/>
      <w:sz w:val="18"/>
      <w:szCs w:val="18"/>
    </w:rPr>
  </w:style>
  <w:style w:type="paragraph" w:styleId="Nagwek">
    <w:name w:val="header"/>
    <w:basedOn w:val="Normalny"/>
    <w:link w:val="NagwekZnak"/>
    <w:uiPriority w:val="99"/>
    <w:unhideWhenUsed/>
    <w:rsid w:val="00655CB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55CBD"/>
  </w:style>
  <w:style w:type="paragraph" w:styleId="Stopka">
    <w:name w:val="footer"/>
    <w:basedOn w:val="Normalny"/>
    <w:link w:val="StopkaZnak"/>
    <w:uiPriority w:val="99"/>
    <w:unhideWhenUsed/>
    <w:rsid w:val="00655CB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55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020976">
      <w:bodyDiv w:val="1"/>
      <w:marLeft w:val="0"/>
      <w:marRight w:val="0"/>
      <w:marTop w:val="0"/>
      <w:marBottom w:val="0"/>
      <w:divBdr>
        <w:top w:val="none" w:sz="0" w:space="0" w:color="auto"/>
        <w:left w:val="none" w:sz="0" w:space="0" w:color="auto"/>
        <w:bottom w:val="none" w:sz="0" w:space="0" w:color="auto"/>
        <w:right w:val="none" w:sz="0" w:space="0" w:color="auto"/>
      </w:divBdr>
      <w:divsChild>
        <w:div w:id="1250696156">
          <w:marLeft w:val="0"/>
          <w:marRight w:val="0"/>
          <w:marTop w:val="0"/>
          <w:marBottom w:val="0"/>
          <w:divBdr>
            <w:top w:val="none" w:sz="0" w:space="0" w:color="auto"/>
            <w:left w:val="none" w:sz="0" w:space="0" w:color="auto"/>
            <w:bottom w:val="none" w:sz="0" w:space="0" w:color="auto"/>
            <w:right w:val="none" w:sz="0" w:space="0" w:color="auto"/>
          </w:divBdr>
        </w:div>
      </w:divsChild>
    </w:div>
    <w:div w:id="156598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928</Words>
  <Characters>5569</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NOWAKOWSKA Monika</dc:creator>
  <cp:keywords/>
  <dc:description/>
  <cp:lastModifiedBy>Binkowska Joanna</cp:lastModifiedBy>
  <cp:revision>5</cp:revision>
  <dcterms:created xsi:type="dcterms:W3CDTF">2022-08-11T13:06:00Z</dcterms:created>
  <dcterms:modified xsi:type="dcterms:W3CDTF">2022-08-11T14:10:00Z</dcterms:modified>
</cp:coreProperties>
</file>