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D3FA7" w14:textId="1C64E2D7" w:rsidR="00F370E9" w:rsidRPr="00C10205" w:rsidRDefault="00B96862" w:rsidP="002A2C20">
      <w:pPr>
        <w:widowControl w:val="0"/>
        <w:autoSpaceDE w:val="0"/>
        <w:autoSpaceDN w:val="0"/>
        <w:adjustRightInd w:val="0"/>
        <w:spacing w:before="120" w:after="0" w:line="276" w:lineRule="auto"/>
        <w:jc w:val="center"/>
        <w:rPr>
          <w:rFonts w:ascii="Times New Roman" w:eastAsiaTheme="minorEastAsia" w:hAnsi="Times New Roman" w:cs="Times New Roman"/>
          <w:sz w:val="24"/>
          <w:szCs w:val="24"/>
          <w:lang w:eastAsia="pl-PL"/>
        </w:rPr>
      </w:pPr>
      <w:r w:rsidRPr="00C10205">
        <w:rPr>
          <w:rFonts w:ascii="Times New Roman" w:eastAsiaTheme="minorEastAsia" w:hAnsi="Times New Roman" w:cs="Times New Roman"/>
          <w:sz w:val="24"/>
          <w:szCs w:val="24"/>
          <w:lang w:eastAsia="pl-PL"/>
        </w:rPr>
        <w:t>Uzasadnienie</w:t>
      </w:r>
    </w:p>
    <w:p w14:paraId="085FAED5" w14:textId="77777777" w:rsidR="00F370E9" w:rsidRPr="00A720EE" w:rsidRDefault="00F370E9" w:rsidP="00F370E9">
      <w:pPr>
        <w:widowControl w:val="0"/>
        <w:autoSpaceDE w:val="0"/>
        <w:autoSpaceDN w:val="0"/>
        <w:adjustRightInd w:val="0"/>
        <w:spacing w:before="120" w:after="0" w:line="276" w:lineRule="auto"/>
        <w:jc w:val="center"/>
        <w:rPr>
          <w:rFonts w:ascii="Times New Roman" w:eastAsiaTheme="minorEastAsia" w:hAnsi="Times New Roman" w:cs="Times New Roman"/>
          <w:b/>
          <w:sz w:val="24"/>
          <w:szCs w:val="24"/>
          <w:lang w:eastAsia="pl-PL"/>
        </w:rPr>
      </w:pPr>
    </w:p>
    <w:p w14:paraId="59C2C797" w14:textId="77777777" w:rsidR="00B96862" w:rsidRPr="00C10205" w:rsidRDefault="00B96862" w:rsidP="00221011">
      <w:pPr>
        <w:widowControl w:val="0"/>
        <w:numPr>
          <w:ilvl w:val="0"/>
          <w:numId w:val="18"/>
        </w:numPr>
        <w:autoSpaceDE w:val="0"/>
        <w:autoSpaceDN w:val="0"/>
        <w:adjustRightInd w:val="0"/>
        <w:spacing w:before="120" w:after="0" w:line="276" w:lineRule="auto"/>
        <w:contextualSpacing/>
        <w:jc w:val="both"/>
        <w:rPr>
          <w:rFonts w:ascii="Times New Roman" w:eastAsiaTheme="minorEastAsia" w:hAnsi="Times New Roman" w:cs="Times New Roman"/>
          <w:b/>
          <w:color w:val="000000" w:themeColor="text1"/>
          <w:sz w:val="24"/>
          <w:szCs w:val="24"/>
          <w:lang w:eastAsia="pl-PL"/>
        </w:rPr>
      </w:pPr>
      <w:r w:rsidRPr="00C10205">
        <w:rPr>
          <w:rFonts w:ascii="Times New Roman" w:eastAsiaTheme="minorEastAsia" w:hAnsi="Times New Roman" w:cs="Times New Roman"/>
          <w:b/>
          <w:color w:val="000000" w:themeColor="text1"/>
          <w:sz w:val="24"/>
          <w:szCs w:val="24"/>
          <w:lang w:eastAsia="pl-PL"/>
        </w:rPr>
        <w:t>Część ogólna</w:t>
      </w:r>
      <w:r w:rsidR="00D53F40" w:rsidRPr="00C10205">
        <w:rPr>
          <w:rFonts w:ascii="Times New Roman" w:eastAsiaTheme="minorEastAsia" w:hAnsi="Times New Roman" w:cs="Times New Roman"/>
          <w:b/>
          <w:color w:val="000000" w:themeColor="text1"/>
          <w:sz w:val="24"/>
          <w:szCs w:val="24"/>
          <w:lang w:eastAsia="pl-PL"/>
        </w:rPr>
        <w:t xml:space="preserve"> – potrzeba i cel uchwalenia ustawy</w:t>
      </w:r>
    </w:p>
    <w:p w14:paraId="206FDE20" w14:textId="6B78DB63" w:rsidR="000514BE" w:rsidRPr="00A720EE" w:rsidRDefault="002366DD" w:rsidP="0000728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Przedłożony projekt wprowadza zmiany w</w:t>
      </w:r>
      <w:r w:rsidR="005F6E08" w:rsidRPr="00A720EE">
        <w:rPr>
          <w:rFonts w:ascii="Times New Roman" w:eastAsiaTheme="minorEastAsia" w:hAnsi="Times New Roman" w:cs="Times New Roman"/>
          <w:sz w:val="24"/>
          <w:szCs w:val="24"/>
          <w:lang w:eastAsia="pl-PL"/>
        </w:rPr>
        <w:t xml:space="preserve"> ustawie z</w:t>
      </w:r>
      <w:r w:rsidR="00194671" w:rsidRPr="00A720EE">
        <w:rPr>
          <w:rFonts w:ascii="Times New Roman" w:eastAsiaTheme="minorEastAsia" w:hAnsi="Times New Roman" w:cs="Times New Roman"/>
          <w:sz w:val="24"/>
          <w:szCs w:val="24"/>
          <w:lang w:eastAsia="pl-PL"/>
        </w:rPr>
        <w:t xml:space="preserve"> dnia</w:t>
      </w:r>
      <w:r w:rsidR="000514BE" w:rsidRPr="00A720EE">
        <w:rPr>
          <w:rFonts w:ascii="Times New Roman" w:eastAsiaTheme="minorEastAsia" w:hAnsi="Times New Roman" w:cs="Times New Roman"/>
          <w:sz w:val="24"/>
          <w:szCs w:val="24"/>
          <w:lang w:eastAsia="pl-PL"/>
        </w:rPr>
        <w:t>:</w:t>
      </w:r>
    </w:p>
    <w:p w14:paraId="7EA9252C" w14:textId="3A6AE681" w:rsidR="00210406" w:rsidRPr="00A720EE" w:rsidRDefault="00200444" w:rsidP="00221011">
      <w:pPr>
        <w:pStyle w:val="Akapitzlist"/>
        <w:widowControl w:val="0"/>
        <w:numPr>
          <w:ilvl w:val="0"/>
          <w:numId w:val="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15 lutego 1992 r. o podatku dochodowym od osób prawnych (Dz. U. z 2021 r. poz. 1800, z </w:t>
      </w:r>
      <w:proofErr w:type="spellStart"/>
      <w:r w:rsidRPr="00A720EE">
        <w:rPr>
          <w:rFonts w:ascii="Times New Roman" w:eastAsiaTheme="minorEastAsia" w:hAnsi="Times New Roman" w:cs="Times New Roman"/>
          <w:sz w:val="24"/>
          <w:szCs w:val="24"/>
          <w:lang w:eastAsia="pl-PL"/>
        </w:rPr>
        <w:t>późn</w:t>
      </w:r>
      <w:proofErr w:type="spellEnd"/>
      <w:r w:rsidRPr="00A720EE">
        <w:rPr>
          <w:rFonts w:ascii="Times New Roman" w:eastAsiaTheme="minorEastAsia" w:hAnsi="Times New Roman" w:cs="Times New Roman"/>
          <w:sz w:val="24"/>
          <w:szCs w:val="24"/>
          <w:lang w:eastAsia="pl-PL"/>
        </w:rPr>
        <w:t xml:space="preserve">. zm.), dalej: </w:t>
      </w:r>
      <w:r w:rsidRPr="00A720EE">
        <w:rPr>
          <w:rFonts w:ascii="Times New Roman" w:eastAsiaTheme="minorEastAsia" w:hAnsi="Times New Roman" w:cs="Times New Roman"/>
          <w:b/>
          <w:sz w:val="24"/>
          <w:szCs w:val="24"/>
          <w:lang w:eastAsia="pl-PL"/>
        </w:rPr>
        <w:t>„ustaw</w:t>
      </w:r>
      <w:r w:rsidR="004E0F72" w:rsidRPr="00A720EE">
        <w:rPr>
          <w:rFonts w:ascii="Times New Roman" w:eastAsiaTheme="minorEastAsia" w:hAnsi="Times New Roman" w:cs="Times New Roman"/>
          <w:b/>
          <w:sz w:val="24"/>
          <w:szCs w:val="24"/>
          <w:lang w:eastAsia="pl-PL"/>
        </w:rPr>
        <w:t>a</w:t>
      </w:r>
      <w:r w:rsidRPr="00A720EE">
        <w:rPr>
          <w:rFonts w:ascii="Times New Roman" w:eastAsiaTheme="minorEastAsia" w:hAnsi="Times New Roman" w:cs="Times New Roman"/>
          <w:b/>
          <w:sz w:val="24"/>
          <w:szCs w:val="24"/>
          <w:lang w:eastAsia="pl-PL"/>
        </w:rPr>
        <w:t xml:space="preserve"> CIT”</w:t>
      </w:r>
      <w:r w:rsidRPr="00A720EE">
        <w:rPr>
          <w:rFonts w:ascii="Times New Roman" w:eastAsiaTheme="minorEastAsia" w:hAnsi="Times New Roman" w:cs="Times New Roman"/>
          <w:sz w:val="24"/>
          <w:szCs w:val="24"/>
          <w:lang w:eastAsia="pl-PL"/>
        </w:rPr>
        <w:t>,</w:t>
      </w:r>
    </w:p>
    <w:p w14:paraId="3A0407FD" w14:textId="07617263" w:rsidR="00B75066" w:rsidRPr="00A720EE" w:rsidRDefault="00B75066" w:rsidP="000151A2">
      <w:pPr>
        <w:pStyle w:val="Akapitzlist"/>
        <w:numPr>
          <w:ilvl w:val="0"/>
          <w:numId w:val="3"/>
        </w:numPr>
        <w:rPr>
          <w:rFonts w:ascii="Times New Roman" w:eastAsiaTheme="minorEastAsia" w:hAnsi="Times New Roman" w:cs="Times New Roman"/>
          <w:color w:val="000000" w:themeColor="text1"/>
          <w:sz w:val="24"/>
          <w:szCs w:val="24"/>
          <w:lang w:eastAsia="pl-PL"/>
        </w:rPr>
      </w:pPr>
      <w:r w:rsidRPr="00A720EE">
        <w:rPr>
          <w:rFonts w:ascii="Times New Roman" w:eastAsiaTheme="minorEastAsia" w:hAnsi="Times New Roman" w:cs="Times New Roman"/>
          <w:color w:val="000000" w:themeColor="text1"/>
          <w:sz w:val="24"/>
          <w:szCs w:val="24"/>
          <w:lang w:eastAsia="pl-PL"/>
        </w:rPr>
        <w:t>28 lipca 1983 r. o podatku od spadków i darowizn (Dz. U. z 2021 r. poz. 1043), dalej: „</w:t>
      </w:r>
      <w:r w:rsidRPr="00A720EE">
        <w:rPr>
          <w:rFonts w:ascii="Times New Roman" w:eastAsiaTheme="minorEastAsia" w:hAnsi="Times New Roman" w:cs="Times New Roman"/>
          <w:b/>
          <w:color w:val="000000" w:themeColor="text1"/>
          <w:sz w:val="24"/>
          <w:szCs w:val="24"/>
          <w:lang w:eastAsia="pl-PL"/>
        </w:rPr>
        <w:t>ustawa o podatku od spadków i darowizn”</w:t>
      </w:r>
      <w:r w:rsidRPr="00A720EE">
        <w:rPr>
          <w:rFonts w:ascii="Times New Roman" w:eastAsiaTheme="minorEastAsia" w:hAnsi="Times New Roman" w:cs="Times New Roman"/>
          <w:color w:val="000000" w:themeColor="text1"/>
          <w:sz w:val="24"/>
          <w:szCs w:val="24"/>
          <w:lang w:eastAsia="pl-PL"/>
        </w:rPr>
        <w:t>,</w:t>
      </w:r>
    </w:p>
    <w:p w14:paraId="47B34A41" w14:textId="79B0E03F" w:rsidR="00FC5C02" w:rsidRPr="00A720EE" w:rsidRDefault="00200444" w:rsidP="00221011">
      <w:pPr>
        <w:pStyle w:val="Akapitzlist"/>
        <w:widowControl w:val="0"/>
        <w:numPr>
          <w:ilvl w:val="0"/>
          <w:numId w:val="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26 lipca 1991 r. o podatku dochodowym od osób fizycznych (Dz. U z 2021 r. poz. 1128, z </w:t>
      </w:r>
      <w:proofErr w:type="spellStart"/>
      <w:r w:rsidRPr="00A720EE">
        <w:rPr>
          <w:rFonts w:ascii="Times New Roman" w:eastAsiaTheme="minorEastAsia" w:hAnsi="Times New Roman" w:cs="Times New Roman"/>
          <w:sz w:val="24"/>
          <w:szCs w:val="24"/>
          <w:lang w:eastAsia="pl-PL"/>
        </w:rPr>
        <w:t>późn</w:t>
      </w:r>
      <w:proofErr w:type="spellEnd"/>
      <w:r w:rsidRPr="00A720EE">
        <w:rPr>
          <w:rFonts w:ascii="Times New Roman" w:eastAsiaTheme="minorEastAsia" w:hAnsi="Times New Roman" w:cs="Times New Roman"/>
          <w:sz w:val="24"/>
          <w:szCs w:val="24"/>
          <w:lang w:eastAsia="pl-PL"/>
        </w:rPr>
        <w:t xml:space="preserve">. zm.), dalej: </w:t>
      </w:r>
      <w:r w:rsidRPr="00A720EE">
        <w:rPr>
          <w:rFonts w:ascii="Times New Roman" w:eastAsiaTheme="minorEastAsia" w:hAnsi="Times New Roman" w:cs="Times New Roman"/>
          <w:b/>
          <w:sz w:val="24"/>
          <w:szCs w:val="24"/>
          <w:lang w:eastAsia="pl-PL"/>
        </w:rPr>
        <w:t>„ustawa PIT”</w:t>
      </w:r>
      <w:r w:rsidR="00FC5C02" w:rsidRPr="00A720EE">
        <w:rPr>
          <w:rFonts w:ascii="Times New Roman" w:eastAsiaTheme="minorEastAsia" w:hAnsi="Times New Roman" w:cs="Times New Roman"/>
          <w:sz w:val="24"/>
          <w:szCs w:val="24"/>
          <w:lang w:eastAsia="pl-PL"/>
        </w:rPr>
        <w:t>,</w:t>
      </w:r>
    </w:p>
    <w:p w14:paraId="4434752E" w14:textId="47EF8295" w:rsidR="0067276D" w:rsidRPr="00A720EE" w:rsidRDefault="0067276D" w:rsidP="00221011">
      <w:pPr>
        <w:pStyle w:val="Akapitzlist"/>
        <w:widowControl w:val="0"/>
        <w:numPr>
          <w:ilvl w:val="0"/>
          <w:numId w:val="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29 sierpnia 1997 r. – Ordynacja podatkowa (Dz. U. z 2021 r. poz. 1540</w:t>
      </w:r>
      <w:r w:rsidR="000947B7" w:rsidRPr="00A720EE">
        <w:rPr>
          <w:rFonts w:ascii="Times New Roman" w:eastAsiaTheme="minorEastAsia" w:hAnsi="Times New Roman" w:cs="Times New Roman"/>
          <w:sz w:val="24"/>
          <w:szCs w:val="24"/>
          <w:lang w:eastAsia="pl-PL"/>
        </w:rPr>
        <w:t xml:space="preserve">, z </w:t>
      </w:r>
      <w:proofErr w:type="spellStart"/>
      <w:r w:rsidR="000947B7" w:rsidRPr="00A720EE">
        <w:rPr>
          <w:rFonts w:ascii="Times New Roman" w:eastAsiaTheme="minorEastAsia" w:hAnsi="Times New Roman" w:cs="Times New Roman"/>
          <w:sz w:val="24"/>
          <w:szCs w:val="24"/>
          <w:lang w:eastAsia="pl-PL"/>
        </w:rPr>
        <w:t>późn</w:t>
      </w:r>
      <w:proofErr w:type="spellEnd"/>
      <w:r w:rsidR="000947B7" w:rsidRPr="00A720EE">
        <w:rPr>
          <w:rFonts w:ascii="Times New Roman" w:eastAsiaTheme="minorEastAsia" w:hAnsi="Times New Roman" w:cs="Times New Roman"/>
          <w:sz w:val="24"/>
          <w:szCs w:val="24"/>
          <w:lang w:eastAsia="pl-PL"/>
        </w:rPr>
        <w:t>. zm.</w:t>
      </w:r>
      <w:r w:rsidRPr="00A720EE">
        <w:rPr>
          <w:rFonts w:ascii="Times New Roman" w:eastAsiaTheme="minorEastAsia" w:hAnsi="Times New Roman" w:cs="Times New Roman"/>
          <w:sz w:val="24"/>
          <w:szCs w:val="24"/>
          <w:lang w:eastAsia="pl-PL"/>
        </w:rPr>
        <w:t xml:space="preserve">), dalej: </w:t>
      </w:r>
      <w:r w:rsidRPr="00A720EE">
        <w:rPr>
          <w:rFonts w:ascii="Times New Roman" w:eastAsiaTheme="minorEastAsia" w:hAnsi="Times New Roman" w:cs="Times New Roman"/>
          <w:b/>
          <w:sz w:val="24"/>
          <w:szCs w:val="24"/>
          <w:lang w:eastAsia="pl-PL"/>
        </w:rPr>
        <w:t>„Ordynacja podatkowa”</w:t>
      </w:r>
      <w:r w:rsidRPr="00A720EE">
        <w:rPr>
          <w:rFonts w:ascii="Times New Roman" w:eastAsiaTheme="minorEastAsia" w:hAnsi="Times New Roman" w:cs="Times New Roman"/>
          <w:sz w:val="24"/>
          <w:szCs w:val="24"/>
          <w:lang w:eastAsia="pl-PL"/>
        </w:rPr>
        <w:t>,</w:t>
      </w:r>
    </w:p>
    <w:p w14:paraId="2B805030" w14:textId="4E0A19CE" w:rsidR="00BC30B1" w:rsidRPr="00A720EE" w:rsidRDefault="00BC30B1" w:rsidP="00221011">
      <w:pPr>
        <w:pStyle w:val="Akapitzlist"/>
        <w:widowControl w:val="0"/>
        <w:numPr>
          <w:ilvl w:val="0"/>
          <w:numId w:val="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20 listopada 1998 r. o zryczałtowanym podatku dochodowym od niektórych przychodów osiąganych przez osoby fizyczne (Dz. U. z 2021 r. poz. 1993,</w:t>
      </w:r>
      <w:r w:rsidR="000947B7" w:rsidRPr="00A720EE">
        <w:rPr>
          <w:rFonts w:ascii="Times New Roman" w:eastAsiaTheme="minorEastAsia" w:hAnsi="Times New Roman" w:cs="Times New Roman"/>
          <w:color w:val="FF0000"/>
          <w:sz w:val="24"/>
          <w:szCs w:val="24"/>
          <w:lang w:eastAsia="pl-PL"/>
        </w:rPr>
        <w:t xml:space="preserve"> </w:t>
      </w:r>
      <w:r w:rsidR="00194671" w:rsidRPr="00A720EE">
        <w:rPr>
          <w:rFonts w:ascii="Times New Roman" w:eastAsiaTheme="minorEastAsia" w:hAnsi="Times New Roman" w:cs="Times New Roman"/>
          <w:sz w:val="24"/>
          <w:szCs w:val="24"/>
          <w:lang w:eastAsia="pl-PL"/>
        </w:rPr>
        <w:t xml:space="preserve">z </w:t>
      </w:r>
      <w:proofErr w:type="spellStart"/>
      <w:r w:rsidR="00194671" w:rsidRPr="00A720EE">
        <w:rPr>
          <w:rFonts w:ascii="Times New Roman" w:eastAsiaTheme="minorEastAsia" w:hAnsi="Times New Roman" w:cs="Times New Roman"/>
          <w:sz w:val="24"/>
          <w:szCs w:val="24"/>
          <w:lang w:eastAsia="pl-PL"/>
        </w:rPr>
        <w:t>późn</w:t>
      </w:r>
      <w:proofErr w:type="spellEnd"/>
      <w:r w:rsidR="00194671" w:rsidRPr="00A720EE">
        <w:rPr>
          <w:rFonts w:ascii="Times New Roman" w:eastAsiaTheme="minorEastAsia" w:hAnsi="Times New Roman" w:cs="Times New Roman"/>
          <w:sz w:val="24"/>
          <w:szCs w:val="24"/>
          <w:lang w:eastAsia="pl-PL"/>
        </w:rPr>
        <w:t>. zm.</w:t>
      </w:r>
      <w:r w:rsidRPr="00A720EE">
        <w:rPr>
          <w:rFonts w:ascii="Times New Roman" w:eastAsiaTheme="minorEastAsia" w:hAnsi="Times New Roman" w:cs="Times New Roman"/>
          <w:sz w:val="24"/>
          <w:szCs w:val="24"/>
          <w:lang w:eastAsia="pl-PL"/>
        </w:rPr>
        <w:t>), dalej: „</w:t>
      </w:r>
      <w:r w:rsidRPr="00A720EE">
        <w:rPr>
          <w:rFonts w:ascii="Times New Roman" w:eastAsiaTheme="minorEastAsia" w:hAnsi="Times New Roman" w:cs="Times New Roman"/>
          <w:b/>
          <w:sz w:val="24"/>
          <w:szCs w:val="24"/>
          <w:lang w:eastAsia="pl-PL"/>
        </w:rPr>
        <w:t>ustawa o ryczałcie</w:t>
      </w:r>
      <w:r w:rsidRPr="00A720EE">
        <w:rPr>
          <w:rFonts w:ascii="Times New Roman" w:eastAsiaTheme="minorEastAsia" w:hAnsi="Times New Roman" w:cs="Times New Roman"/>
          <w:sz w:val="24"/>
          <w:szCs w:val="24"/>
          <w:lang w:eastAsia="pl-PL"/>
        </w:rPr>
        <w:t>”</w:t>
      </w:r>
      <w:r w:rsidR="0098330B" w:rsidRPr="00A720EE">
        <w:rPr>
          <w:rFonts w:ascii="Times New Roman" w:eastAsiaTheme="minorEastAsia" w:hAnsi="Times New Roman" w:cs="Times New Roman"/>
          <w:sz w:val="24"/>
          <w:szCs w:val="24"/>
          <w:lang w:eastAsia="pl-PL"/>
        </w:rPr>
        <w:t>,</w:t>
      </w:r>
    </w:p>
    <w:p w14:paraId="7490F92E" w14:textId="748CDC35" w:rsidR="00B75066" w:rsidRPr="00A720EE" w:rsidRDefault="00B75066" w:rsidP="000151A2">
      <w:pPr>
        <w:pStyle w:val="Akapitzlist"/>
        <w:numPr>
          <w:ilvl w:val="0"/>
          <w:numId w:val="3"/>
        </w:numPr>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 9 września 2000 r. o podatku od czynności cywilnoprawnych (Dz. U. z 2022 r. poz. 111</w:t>
      </w:r>
      <w:r w:rsidR="00194671"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w:t>
      </w:r>
      <w:r w:rsidR="00194671" w:rsidRPr="00A720EE">
        <w:rPr>
          <w:rFonts w:ascii="Times New Roman" w:eastAsiaTheme="minorEastAsia" w:hAnsi="Times New Roman" w:cs="Times New Roman"/>
          <w:sz w:val="24"/>
          <w:szCs w:val="24"/>
          <w:lang w:eastAsia="pl-PL"/>
        </w:rPr>
        <w:t xml:space="preserve">z </w:t>
      </w:r>
      <w:proofErr w:type="spellStart"/>
      <w:r w:rsidR="00194671" w:rsidRPr="00A720EE">
        <w:rPr>
          <w:rFonts w:ascii="Times New Roman" w:eastAsiaTheme="minorEastAsia" w:hAnsi="Times New Roman" w:cs="Times New Roman"/>
          <w:sz w:val="24"/>
          <w:szCs w:val="24"/>
          <w:lang w:eastAsia="pl-PL"/>
        </w:rPr>
        <w:t>późn</w:t>
      </w:r>
      <w:proofErr w:type="spellEnd"/>
      <w:r w:rsidR="00194671" w:rsidRPr="00A720EE">
        <w:rPr>
          <w:rFonts w:ascii="Times New Roman" w:eastAsiaTheme="minorEastAsia" w:hAnsi="Times New Roman" w:cs="Times New Roman"/>
          <w:sz w:val="24"/>
          <w:szCs w:val="24"/>
          <w:lang w:eastAsia="pl-PL"/>
        </w:rPr>
        <w:t>. zm.</w:t>
      </w:r>
      <w:r w:rsidRPr="00A720EE">
        <w:rPr>
          <w:rFonts w:ascii="Times New Roman" w:eastAsiaTheme="minorEastAsia" w:hAnsi="Times New Roman" w:cs="Times New Roman"/>
          <w:sz w:val="24"/>
          <w:szCs w:val="24"/>
          <w:lang w:eastAsia="pl-PL"/>
        </w:rPr>
        <w:t xml:space="preserve">), dalej: </w:t>
      </w:r>
      <w:r w:rsidRPr="00A720EE">
        <w:rPr>
          <w:rFonts w:ascii="Times New Roman" w:eastAsiaTheme="minorEastAsia" w:hAnsi="Times New Roman" w:cs="Times New Roman"/>
          <w:b/>
          <w:sz w:val="24"/>
          <w:szCs w:val="24"/>
          <w:lang w:eastAsia="pl-PL"/>
        </w:rPr>
        <w:t>„ustawa o PCC”</w:t>
      </w:r>
      <w:r w:rsidRPr="00A720EE">
        <w:rPr>
          <w:rFonts w:ascii="Times New Roman" w:eastAsiaTheme="minorEastAsia" w:hAnsi="Times New Roman" w:cs="Times New Roman"/>
          <w:sz w:val="24"/>
          <w:szCs w:val="24"/>
          <w:lang w:eastAsia="pl-PL"/>
        </w:rPr>
        <w:t>,</w:t>
      </w:r>
    </w:p>
    <w:p w14:paraId="78B45F4E" w14:textId="5AE8DE6E" w:rsidR="008B68F4" w:rsidRPr="00A720EE" w:rsidRDefault="008B68F4" w:rsidP="00221011">
      <w:pPr>
        <w:pStyle w:val="Akapitzlist"/>
        <w:widowControl w:val="0"/>
        <w:numPr>
          <w:ilvl w:val="0"/>
          <w:numId w:val="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11 marca 2004 r. o podatku od towarów i usług (Dz. U. z 2022 r. poz. 931, </w:t>
      </w:r>
      <w:r w:rsidR="00194671" w:rsidRPr="00A720EE">
        <w:rPr>
          <w:rFonts w:ascii="Times New Roman" w:eastAsiaTheme="minorEastAsia" w:hAnsi="Times New Roman" w:cs="Times New Roman"/>
          <w:sz w:val="24"/>
          <w:szCs w:val="24"/>
          <w:lang w:eastAsia="pl-PL"/>
        </w:rPr>
        <w:t xml:space="preserve">z </w:t>
      </w:r>
      <w:proofErr w:type="spellStart"/>
      <w:r w:rsidR="00194671" w:rsidRPr="00A720EE">
        <w:rPr>
          <w:rFonts w:ascii="Times New Roman" w:eastAsiaTheme="minorEastAsia" w:hAnsi="Times New Roman" w:cs="Times New Roman"/>
          <w:sz w:val="24"/>
          <w:szCs w:val="24"/>
          <w:lang w:eastAsia="pl-PL"/>
        </w:rPr>
        <w:t>późn</w:t>
      </w:r>
      <w:proofErr w:type="spellEnd"/>
      <w:r w:rsidR="00194671" w:rsidRPr="00A720EE">
        <w:rPr>
          <w:rFonts w:ascii="Times New Roman" w:eastAsiaTheme="minorEastAsia" w:hAnsi="Times New Roman" w:cs="Times New Roman"/>
          <w:sz w:val="24"/>
          <w:szCs w:val="24"/>
          <w:lang w:eastAsia="pl-PL"/>
        </w:rPr>
        <w:t>. zm.</w:t>
      </w:r>
      <w:r w:rsidRPr="00A720EE">
        <w:rPr>
          <w:rFonts w:ascii="Times New Roman" w:eastAsiaTheme="minorEastAsia" w:hAnsi="Times New Roman" w:cs="Times New Roman"/>
          <w:sz w:val="24"/>
          <w:szCs w:val="24"/>
          <w:lang w:eastAsia="pl-PL"/>
        </w:rPr>
        <w:t xml:space="preserve">), dalej: </w:t>
      </w:r>
      <w:r w:rsidRPr="00A720EE">
        <w:rPr>
          <w:rFonts w:ascii="Times New Roman" w:eastAsiaTheme="minorEastAsia" w:hAnsi="Times New Roman" w:cs="Times New Roman"/>
          <w:b/>
          <w:sz w:val="24"/>
          <w:szCs w:val="24"/>
          <w:lang w:eastAsia="pl-PL"/>
        </w:rPr>
        <w:t>„ustawa o VAT”</w:t>
      </w:r>
      <w:r w:rsidRPr="00A720EE">
        <w:rPr>
          <w:rFonts w:ascii="Times New Roman" w:eastAsiaTheme="minorEastAsia" w:hAnsi="Times New Roman" w:cs="Times New Roman"/>
          <w:sz w:val="24"/>
          <w:szCs w:val="24"/>
          <w:lang w:eastAsia="pl-PL"/>
        </w:rPr>
        <w:t>,</w:t>
      </w:r>
    </w:p>
    <w:p w14:paraId="3AB92E72" w14:textId="77777777" w:rsidR="0067276D" w:rsidRPr="00A720EE" w:rsidRDefault="0067276D" w:rsidP="00221011">
      <w:pPr>
        <w:pStyle w:val="Akapitzlist"/>
        <w:widowControl w:val="0"/>
        <w:numPr>
          <w:ilvl w:val="0"/>
          <w:numId w:val="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27 sierpnia 2004 r. o świadczeniach opieki zdrowotnej finansowanych ze środków publicznych (Dz. U. z 2021 r. poz. 1285, z </w:t>
      </w:r>
      <w:proofErr w:type="spellStart"/>
      <w:r w:rsidRPr="00A720EE">
        <w:rPr>
          <w:rFonts w:ascii="Times New Roman" w:eastAsiaTheme="minorEastAsia" w:hAnsi="Times New Roman" w:cs="Times New Roman"/>
          <w:sz w:val="24"/>
          <w:szCs w:val="24"/>
          <w:lang w:eastAsia="pl-PL"/>
        </w:rPr>
        <w:t>późn</w:t>
      </w:r>
      <w:proofErr w:type="spellEnd"/>
      <w:r w:rsidRPr="00A720EE">
        <w:rPr>
          <w:rFonts w:ascii="Times New Roman" w:eastAsiaTheme="minorEastAsia" w:hAnsi="Times New Roman" w:cs="Times New Roman"/>
          <w:sz w:val="24"/>
          <w:szCs w:val="24"/>
          <w:lang w:eastAsia="pl-PL"/>
        </w:rPr>
        <w:t xml:space="preserve">. zm.), dalej: </w:t>
      </w:r>
      <w:r w:rsidRPr="00A720EE">
        <w:rPr>
          <w:rFonts w:ascii="Times New Roman" w:eastAsiaTheme="minorEastAsia" w:hAnsi="Times New Roman" w:cs="Times New Roman"/>
          <w:b/>
          <w:sz w:val="24"/>
          <w:szCs w:val="24"/>
          <w:lang w:eastAsia="pl-PL"/>
        </w:rPr>
        <w:t>„ustawa o świadczeniach opieki zdrowotnej”</w:t>
      </w:r>
      <w:r w:rsidRPr="00A720EE">
        <w:rPr>
          <w:rFonts w:ascii="Times New Roman" w:eastAsiaTheme="minorEastAsia" w:hAnsi="Times New Roman" w:cs="Times New Roman"/>
          <w:sz w:val="24"/>
          <w:szCs w:val="24"/>
          <w:lang w:eastAsia="pl-PL"/>
        </w:rPr>
        <w:t>,</w:t>
      </w:r>
    </w:p>
    <w:p w14:paraId="6D378FAC" w14:textId="32AA017F" w:rsidR="008B68F4" w:rsidRPr="00A720EE" w:rsidRDefault="008B68F4" w:rsidP="00221011">
      <w:pPr>
        <w:pStyle w:val="Akapitzlist"/>
        <w:widowControl w:val="0"/>
        <w:numPr>
          <w:ilvl w:val="0"/>
          <w:numId w:val="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6 grudnia 2008 r. o podatku akcyzowym (Dz. U. z 2022 r. poz. 143, </w:t>
      </w:r>
      <w:r w:rsidR="00194671" w:rsidRPr="00A720EE">
        <w:rPr>
          <w:rFonts w:ascii="Times New Roman" w:eastAsiaTheme="minorEastAsia" w:hAnsi="Times New Roman" w:cs="Times New Roman"/>
          <w:sz w:val="24"/>
          <w:szCs w:val="24"/>
          <w:lang w:eastAsia="pl-PL"/>
        </w:rPr>
        <w:t xml:space="preserve">z </w:t>
      </w:r>
      <w:proofErr w:type="spellStart"/>
      <w:r w:rsidR="00194671" w:rsidRPr="00A720EE">
        <w:rPr>
          <w:rFonts w:ascii="Times New Roman" w:eastAsiaTheme="minorEastAsia" w:hAnsi="Times New Roman" w:cs="Times New Roman"/>
          <w:sz w:val="24"/>
          <w:szCs w:val="24"/>
          <w:lang w:eastAsia="pl-PL"/>
        </w:rPr>
        <w:t>późn</w:t>
      </w:r>
      <w:proofErr w:type="spellEnd"/>
      <w:r w:rsidR="00194671" w:rsidRPr="00A720EE">
        <w:rPr>
          <w:rFonts w:ascii="Times New Roman" w:eastAsiaTheme="minorEastAsia" w:hAnsi="Times New Roman" w:cs="Times New Roman"/>
          <w:sz w:val="24"/>
          <w:szCs w:val="24"/>
          <w:lang w:eastAsia="pl-PL"/>
        </w:rPr>
        <w:t>. zm.</w:t>
      </w:r>
      <w:r w:rsidRPr="00A720EE">
        <w:rPr>
          <w:rFonts w:ascii="Times New Roman" w:eastAsiaTheme="minorEastAsia" w:hAnsi="Times New Roman" w:cs="Times New Roman"/>
          <w:sz w:val="24"/>
          <w:szCs w:val="24"/>
          <w:lang w:eastAsia="pl-PL"/>
        </w:rPr>
        <w:t xml:space="preserve">); dalej: </w:t>
      </w:r>
      <w:r w:rsidRPr="00A720EE">
        <w:rPr>
          <w:rFonts w:ascii="Times New Roman" w:eastAsiaTheme="minorEastAsia" w:hAnsi="Times New Roman" w:cs="Times New Roman"/>
          <w:b/>
          <w:sz w:val="24"/>
          <w:szCs w:val="24"/>
          <w:lang w:eastAsia="pl-PL"/>
        </w:rPr>
        <w:t>„ustawa o podatku akcyzowym”</w:t>
      </w:r>
      <w:r w:rsidRPr="00A720EE">
        <w:rPr>
          <w:rFonts w:ascii="Times New Roman" w:eastAsiaTheme="minorEastAsia" w:hAnsi="Times New Roman" w:cs="Times New Roman"/>
          <w:sz w:val="24"/>
          <w:szCs w:val="24"/>
          <w:lang w:eastAsia="pl-PL"/>
        </w:rPr>
        <w:t>,</w:t>
      </w:r>
    </w:p>
    <w:p w14:paraId="078FA589" w14:textId="3F082F51" w:rsidR="00F11EDE" w:rsidRPr="00A720EE" w:rsidRDefault="00F11EDE" w:rsidP="00221011">
      <w:pPr>
        <w:pStyle w:val="Akapitzlist"/>
        <w:widowControl w:val="0"/>
        <w:numPr>
          <w:ilvl w:val="0"/>
          <w:numId w:val="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6 lipca 2016 r. o podatku od sprzedaży detalicznej (Dz. U. z 2022 r. poz. 761, </w:t>
      </w:r>
      <w:r w:rsidR="00194671" w:rsidRPr="00A720EE">
        <w:rPr>
          <w:rFonts w:ascii="Times New Roman" w:eastAsiaTheme="minorEastAsia" w:hAnsi="Times New Roman" w:cs="Times New Roman"/>
          <w:sz w:val="24"/>
          <w:szCs w:val="24"/>
          <w:lang w:eastAsia="pl-PL"/>
        </w:rPr>
        <w:t xml:space="preserve">z </w:t>
      </w:r>
      <w:proofErr w:type="spellStart"/>
      <w:r w:rsidR="00194671" w:rsidRPr="00A720EE">
        <w:rPr>
          <w:rFonts w:ascii="Times New Roman" w:eastAsiaTheme="minorEastAsia" w:hAnsi="Times New Roman" w:cs="Times New Roman"/>
          <w:sz w:val="24"/>
          <w:szCs w:val="24"/>
          <w:lang w:eastAsia="pl-PL"/>
        </w:rPr>
        <w:t>późn</w:t>
      </w:r>
      <w:proofErr w:type="spellEnd"/>
      <w:r w:rsidR="00194671" w:rsidRPr="00A720EE">
        <w:rPr>
          <w:rFonts w:ascii="Times New Roman" w:eastAsiaTheme="minorEastAsia" w:hAnsi="Times New Roman" w:cs="Times New Roman"/>
          <w:sz w:val="24"/>
          <w:szCs w:val="24"/>
          <w:lang w:eastAsia="pl-PL"/>
        </w:rPr>
        <w:t>. zm.</w:t>
      </w:r>
      <w:r w:rsidRPr="00A720EE">
        <w:rPr>
          <w:rFonts w:ascii="Times New Roman" w:eastAsiaTheme="minorEastAsia" w:hAnsi="Times New Roman" w:cs="Times New Roman"/>
          <w:sz w:val="24"/>
          <w:szCs w:val="24"/>
          <w:lang w:eastAsia="pl-PL"/>
        </w:rPr>
        <w:t xml:space="preserve">); dalej: </w:t>
      </w:r>
      <w:r w:rsidRPr="00A720EE">
        <w:rPr>
          <w:rFonts w:ascii="Times New Roman" w:eastAsiaTheme="minorEastAsia" w:hAnsi="Times New Roman" w:cs="Times New Roman"/>
          <w:b/>
          <w:sz w:val="24"/>
          <w:szCs w:val="24"/>
          <w:lang w:eastAsia="pl-PL"/>
        </w:rPr>
        <w:t>„ustawa o podatku od sprzedaży detalicznej",</w:t>
      </w:r>
    </w:p>
    <w:p w14:paraId="2CCE298D" w14:textId="380C0986" w:rsidR="00B75066" w:rsidRPr="00A720EE" w:rsidRDefault="00B75066" w:rsidP="000151A2">
      <w:pPr>
        <w:pStyle w:val="Akapitzlist"/>
        <w:numPr>
          <w:ilvl w:val="0"/>
          <w:numId w:val="3"/>
        </w:numPr>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1 marca 2018 r. o przeciwdziałaniu praniu pieniędzy oraz finansowaniu terroryzmu (Dz. U. z 2022 r. poz. 593, </w:t>
      </w:r>
      <w:r w:rsidR="00194671" w:rsidRPr="00A720EE">
        <w:rPr>
          <w:rFonts w:ascii="Times New Roman" w:eastAsiaTheme="minorEastAsia" w:hAnsi="Times New Roman" w:cs="Times New Roman"/>
          <w:sz w:val="24"/>
          <w:szCs w:val="24"/>
          <w:lang w:eastAsia="pl-PL"/>
        </w:rPr>
        <w:t xml:space="preserve">z </w:t>
      </w:r>
      <w:proofErr w:type="spellStart"/>
      <w:r w:rsidR="00194671" w:rsidRPr="00A720EE">
        <w:rPr>
          <w:rFonts w:ascii="Times New Roman" w:eastAsiaTheme="minorEastAsia" w:hAnsi="Times New Roman" w:cs="Times New Roman"/>
          <w:sz w:val="24"/>
          <w:szCs w:val="24"/>
          <w:lang w:eastAsia="pl-PL"/>
        </w:rPr>
        <w:t>późn</w:t>
      </w:r>
      <w:proofErr w:type="spellEnd"/>
      <w:r w:rsidR="00194671" w:rsidRPr="00A720EE">
        <w:rPr>
          <w:rFonts w:ascii="Times New Roman" w:eastAsiaTheme="minorEastAsia" w:hAnsi="Times New Roman" w:cs="Times New Roman"/>
          <w:sz w:val="24"/>
          <w:szCs w:val="24"/>
          <w:lang w:eastAsia="pl-PL"/>
        </w:rPr>
        <w:t>. zm.</w:t>
      </w:r>
      <w:r w:rsidRPr="00A720EE">
        <w:rPr>
          <w:rFonts w:ascii="Times New Roman" w:eastAsiaTheme="minorEastAsia" w:hAnsi="Times New Roman" w:cs="Times New Roman"/>
          <w:sz w:val="24"/>
          <w:szCs w:val="24"/>
          <w:lang w:eastAsia="pl-PL"/>
        </w:rPr>
        <w:t xml:space="preserve">), dalej: </w:t>
      </w:r>
      <w:r w:rsidRPr="00A720EE">
        <w:rPr>
          <w:rFonts w:ascii="Times New Roman" w:eastAsiaTheme="minorEastAsia" w:hAnsi="Times New Roman" w:cs="Times New Roman"/>
          <w:b/>
          <w:sz w:val="24"/>
          <w:szCs w:val="24"/>
          <w:lang w:eastAsia="pl-PL"/>
        </w:rPr>
        <w:t>„ustawa o przeciwdziałaniu praniu pieniędzy oraz finansowaniu terroryzmu”</w:t>
      </w:r>
      <w:r w:rsidRPr="00A720EE">
        <w:rPr>
          <w:rFonts w:ascii="Times New Roman" w:eastAsiaTheme="minorEastAsia" w:hAnsi="Times New Roman" w:cs="Times New Roman"/>
          <w:sz w:val="24"/>
          <w:szCs w:val="24"/>
          <w:lang w:eastAsia="pl-PL"/>
        </w:rPr>
        <w:t>,</w:t>
      </w:r>
    </w:p>
    <w:p w14:paraId="7C1CC336" w14:textId="6EED81FA" w:rsidR="00A876FA" w:rsidRPr="00A720EE" w:rsidRDefault="00BC30B1" w:rsidP="00221011">
      <w:pPr>
        <w:pStyle w:val="Akapitzlist"/>
        <w:widowControl w:val="0"/>
        <w:numPr>
          <w:ilvl w:val="0"/>
          <w:numId w:val="3"/>
        </w:numPr>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29 października 2021 r. o zmianie ustawy o podatku dochodowym od osób fizycznych, ustawy o podatku dochodowym od osób prawnych oraz niektóryc</w:t>
      </w:r>
      <w:r w:rsidR="0098330B" w:rsidRPr="00A720EE">
        <w:rPr>
          <w:rFonts w:ascii="Times New Roman" w:eastAsiaTheme="minorEastAsia" w:hAnsi="Times New Roman" w:cs="Times New Roman"/>
          <w:sz w:val="24"/>
          <w:szCs w:val="24"/>
          <w:lang w:eastAsia="pl-PL"/>
        </w:rPr>
        <w:t>h innych ustaw (Dz.U. z 2021 r.</w:t>
      </w:r>
      <w:r w:rsidRPr="00A720EE">
        <w:rPr>
          <w:rFonts w:ascii="Times New Roman" w:eastAsiaTheme="minorEastAsia" w:hAnsi="Times New Roman" w:cs="Times New Roman"/>
          <w:sz w:val="24"/>
          <w:szCs w:val="24"/>
          <w:lang w:eastAsia="pl-PL"/>
        </w:rPr>
        <w:t xml:space="preserve"> poz. 2105</w:t>
      </w:r>
      <w:r w:rsidR="000947B7" w:rsidRPr="00A720EE">
        <w:rPr>
          <w:rFonts w:ascii="Times New Roman" w:eastAsiaTheme="minorEastAsia" w:hAnsi="Times New Roman" w:cs="Times New Roman"/>
          <w:sz w:val="24"/>
          <w:szCs w:val="24"/>
          <w:lang w:eastAsia="pl-PL"/>
        </w:rPr>
        <w:t xml:space="preserve">, z </w:t>
      </w:r>
      <w:proofErr w:type="spellStart"/>
      <w:r w:rsidR="000947B7" w:rsidRPr="00A720EE">
        <w:rPr>
          <w:rFonts w:ascii="Times New Roman" w:eastAsiaTheme="minorEastAsia" w:hAnsi="Times New Roman" w:cs="Times New Roman"/>
          <w:sz w:val="24"/>
          <w:szCs w:val="24"/>
          <w:lang w:eastAsia="pl-PL"/>
        </w:rPr>
        <w:t>późn</w:t>
      </w:r>
      <w:proofErr w:type="spellEnd"/>
      <w:r w:rsidR="000947B7" w:rsidRPr="00A720EE">
        <w:rPr>
          <w:rFonts w:ascii="Times New Roman" w:eastAsiaTheme="minorEastAsia" w:hAnsi="Times New Roman" w:cs="Times New Roman"/>
          <w:sz w:val="24"/>
          <w:szCs w:val="24"/>
          <w:lang w:eastAsia="pl-PL"/>
        </w:rPr>
        <w:t>. zm.</w:t>
      </w:r>
      <w:r w:rsidRPr="00A720EE">
        <w:rPr>
          <w:rFonts w:ascii="Times New Roman" w:eastAsiaTheme="minorEastAsia" w:hAnsi="Times New Roman" w:cs="Times New Roman"/>
          <w:sz w:val="24"/>
          <w:szCs w:val="24"/>
          <w:lang w:eastAsia="pl-PL"/>
        </w:rPr>
        <w:t xml:space="preserve">), dalej: </w:t>
      </w:r>
      <w:r w:rsidRPr="00A720EE">
        <w:rPr>
          <w:rFonts w:ascii="Times New Roman" w:eastAsiaTheme="minorEastAsia" w:hAnsi="Times New Roman" w:cs="Times New Roman"/>
          <w:b/>
          <w:sz w:val="24"/>
          <w:szCs w:val="24"/>
          <w:lang w:eastAsia="pl-PL"/>
        </w:rPr>
        <w:t xml:space="preserve">„ustawa </w:t>
      </w:r>
      <w:r w:rsidR="00A34465" w:rsidRPr="00A720EE">
        <w:rPr>
          <w:rFonts w:ascii="Times New Roman" w:eastAsiaTheme="minorEastAsia" w:hAnsi="Times New Roman" w:cs="Times New Roman"/>
          <w:b/>
          <w:sz w:val="24"/>
          <w:szCs w:val="24"/>
          <w:lang w:eastAsia="pl-PL"/>
        </w:rPr>
        <w:t>z 29 października 2021 r.</w:t>
      </w:r>
      <w:r w:rsidRPr="00A720EE">
        <w:rPr>
          <w:rFonts w:ascii="Times New Roman" w:eastAsiaTheme="minorEastAsia" w:hAnsi="Times New Roman" w:cs="Times New Roman"/>
          <w:b/>
          <w:sz w:val="24"/>
          <w:szCs w:val="24"/>
          <w:lang w:eastAsia="pl-PL"/>
        </w:rPr>
        <w:t>”</w:t>
      </w:r>
      <w:r w:rsidR="00A876FA" w:rsidRPr="00A720EE">
        <w:rPr>
          <w:rFonts w:ascii="Times New Roman" w:eastAsiaTheme="minorEastAsia" w:hAnsi="Times New Roman" w:cs="Times New Roman"/>
          <w:sz w:val="24"/>
          <w:szCs w:val="24"/>
          <w:lang w:eastAsia="pl-PL"/>
        </w:rPr>
        <w:t>,</w:t>
      </w:r>
    </w:p>
    <w:p w14:paraId="7679E946" w14:textId="77777777" w:rsidR="00DF1CF8" w:rsidRPr="00A720EE" w:rsidRDefault="004710F7" w:rsidP="00221011">
      <w:pPr>
        <w:pStyle w:val="Akapitzlist"/>
        <w:widowControl w:val="0"/>
        <w:numPr>
          <w:ilvl w:val="0"/>
          <w:numId w:val="3"/>
        </w:numPr>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9 czerwca</w:t>
      </w:r>
      <w:r w:rsidR="00A876FA" w:rsidRPr="00A720EE">
        <w:rPr>
          <w:rFonts w:ascii="Times New Roman" w:eastAsiaTheme="minorEastAsia" w:hAnsi="Times New Roman" w:cs="Times New Roman"/>
          <w:sz w:val="24"/>
          <w:szCs w:val="24"/>
          <w:lang w:eastAsia="pl-PL"/>
        </w:rPr>
        <w:t xml:space="preserve"> 2022 r. o zmianie ustawy o podatku dochodowym od osób fizycznych oraz niektórych innych ustaw</w:t>
      </w:r>
      <w:bookmarkStart w:id="0" w:name="_ftnref1"/>
      <w:r w:rsidR="00A876FA" w:rsidRPr="00A720EE">
        <w:rPr>
          <w:rFonts w:ascii="Times New Roman" w:eastAsiaTheme="minorEastAsia" w:hAnsi="Times New Roman" w:cs="Times New Roman"/>
          <w:b/>
          <w:sz w:val="24"/>
          <w:szCs w:val="24"/>
          <w:lang w:eastAsia="pl-PL"/>
        </w:rPr>
        <w:t xml:space="preserve"> </w:t>
      </w:r>
      <w:bookmarkEnd w:id="0"/>
      <w:r w:rsidR="00A876FA" w:rsidRPr="00A720EE">
        <w:rPr>
          <w:rFonts w:ascii="Times New Roman" w:eastAsiaTheme="minorEastAsia" w:hAnsi="Times New Roman" w:cs="Times New Roman"/>
          <w:sz w:val="24"/>
          <w:szCs w:val="24"/>
          <w:lang w:eastAsia="pl-PL"/>
        </w:rPr>
        <w:t>(Dz. U. poz</w:t>
      </w:r>
      <w:r w:rsidRPr="00A720EE">
        <w:rPr>
          <w:rFonts w:ascii="Times New Roman" w:eastAsiaTheme="minorEastAsia" w:hAnsi="Times New Roman" w:cs="Times New Roman"/>
          <w:sz w:val="24"/>
          <w:szCs w:val="24"/>
          <w:lang w:eastAsia="pl-PL"/>
        </w:rPr>
        <w:t xml:space="preserve">. </w:t>
      </w:r>
      <w:r w:rsidR="0063718F" w:rsidRPr="00A720EE">
        <w:rPr>
          <w:rFonts w:ascii="Times New Roman" w:eastAsiaTheme="minorEastAsia" w:hAnsi="Times New Roman" w:cs="Times New Roman"/>
          <w:sz w:val="24"/>
          <w:szCs w:val="24"/>
          <w:lang w:eastAsia="pl-PL"/>
        </w:rPr>
        <w:t>1265</w:t>
      </w:r>
      <w:r w:rsidR="00A876FA" w:rsidRPr="00A720EE">
        <w:rPr>
          <w:rFonts w:ascii="Times New Roman" w:eastAsiaTheme="minorEastAsia" w:hAnsi="Times New Roman" w:cs="Times New Roman"/>
          <w:sz w:val="24"/>
          <w:szCs w:val="24"/>
          <w:lang w:eastAsia="pl-PL"/>
        </w:rPr>
        <w:t xml:space="preserve">), dalej: </w:t>
      </w:r>
      <w:r w:rsidR="00A876FA" w:rsidRPr="00A720EE">
        <w:rPr>
          <w:rFonts w:ascii="Times New Roman" w:eastAsiaTheme="minorEastAsia" w:hAnsi="Times New Roman" w:cs="Times New Roman"/>
          <w:b/>
          <w:sz w:val="24"/>
          <w:szCs w:val="24"/>
          <w:lang w:eastAsia="pl-PL"/>
        </w:rPr>
        <w:t xml:space="preserve">„ustawa z </w:t>
      </w:r>
      <w:r w:rsidRPr="00A720EE">
        <w:rPr>
          <w:rFonts w:ascii="Times New Roman" w:eastAsiaTheme="minorEastAsia" w:hAnsi="Times New Roman" w:cs="Times New Roman"/>
          <w:b/>
          <w:sz w:val="24"/>
          <w:szCs w:val="24"/>
          <w:lang w:eastAsia="pl-PL"/>
        </w:rPr>
        <w:t>9 czerwca 2022 r.</w:t>
      </w:r>
      <w:r w:rsidR="00A876FA" w:rsidRPr="00A720EE">
        <w:rPr>
          <w:rFonts w:ascii="Times New Roman" w:eastAsiaTheme="minorEastAsia" w:hAnsi="Times New Roman" w:cs="Times New Roman"/>
          <w:b/>
          <w:sz w:val="24"/>
          <w:szCs w:val="24"/>
          <w:lang w:eastAsia="pl-PL"/>
        </w:rPr>
        <w:t>”</w:t>
      </w:r>
      <w:r w:rsidR="00DF1CF8" w:rsidRPr="00A720EE">
        <w:rPr>
          <w:rFonts w:ascii="Times New Roman" w:eastAsiaTheme="minorEastAsia" w:hAnsi="Times New Roman" w:cs="Times New Roman"/>
          <w:b/>
          <w:sz w:val="24"/>
          <w:szCs w:val="24"/>
          <w:lang w:eastAsia="pl-PL"/>
        </w:rPr>
        <w:t>,</w:t>
      </w:r>
    </w:p>
    <w:p w14:paraId="3DF7099B" w14:textId="24DEF451" w:rsidR="00BC30B1" w:rsidRPr="00A720EE" w:rsidRDefault="00DF1CF8" w:rsidP="00221011">
      <w:pPr>
        <w:pStyle w:val="Akapitzlist"/>
        <w:widowControl w:val="0"/>
        <w:numPr>
          <w:ilvl w:val="0"/>
          <w:numId w:val="3"/>
        </w:numPr>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7 lipca 2022 r. o finansowaniu społecznościowym dla przedsięwzięć gospodarczych i</w:t>
      </w:r>
      <w:r w:rsidR="003D05DB"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pomocy kredytobiorcom (Dz. U. poz. 1488)</w:t>
      </w:r>
      <w:r w:rsidR="003149EA"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dalej: </w:t>
      </w:r>
      <w:r w:rsidRPr="00A720EE">
        <w:rPr>
          <w:rFonts w:ascii="Times New Roman" w:eastAsiaTheme="minorEastAsia" w:hAnsi="Times New Roman" w:cs="Times New Roman"/>
          <w:b/>
          <w:sz w:val="24"/>
          <w:szCs w:val="24"/>
          <w:lang w:eastAsia="pl-PL"/>
        </w:rPr>
        <w:t>„ustawa o finansowaniu społecznościowym dla przedsięwzięć gospodarczych i pomocy kredytobiorcom”</w:t>
      </w:r>
      <w:r w:rsidR="00C90673" w:rsidRPr="00A720EE">
        <w:rPr>
          <w:rFonts w:ascii="Times New Roman" w:eastAsiaTheme="minorEastAsia" w:hAnsi="Times New Roman" w:cs="Times New Roman"/>
          <w:sz w:val="24"/>
          <w:szCs w:val="24"/>
          <w:lang w:eastAsia="pl-PL"/>
        </w:rPr>
        <w:t>.</w:t>
      </w:r>
    </w:p>
    <w:p w14:paraId="49385DCB" w14:textId="77777777" w:rsidR="002366DD" w:rsidRPr="00A720EE" w:rsidRDefault="002366DD" w:rsidP="005D626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Wspieranie rozwoju gospodarczego Polski, wzmacnianie jej wizerunku jako miejsca atrakcyjnego dla inwestycji, jest stałym wyzwaniem wymagającym działań ze strony Państwa. Jednym z możliwych obszarów w tym zakresie jest przestrzeń podatkowa.</w:t>
      </w:r>
    </w:p>
    <w:p w14:paraId="12731076" w14:textId="77777777" w:rsidR="002366DD" w:rsidRPr="00A720EE" w:rsidRDefault="002366DD" w:rsidP="005D6268">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 orzecznictwa Trybunału Konstytucyjnego wynika, że władzy ustawodawczej przysługuje </w:t>
      </w:r>
      <w:r w:rsidRPr="00A720EE">
        <w:rPr>
          <w:rFonts w:ascii="Times New Roman" w:eastAsiaTheme="minorEastAsia" w:hAnsi="Times New Roman" w:cs="Times New Roman"/>
          <w:sz w:val="24"/>
          <w:szCs w:val="24"/>
          <w:lang w:eastAsia="pl-PL"/>
        </w:rPr>
        <w:lastRenderedPageBreak/>
        <w:t xml:space="preserve">prawo decyzji w kształtowaniu dochodów i wydatków państwa i że ma ona w tej dziedzinie szeroką swobodę wyboru pomiędzy różnymi konstrukcjami zobowiązań podatkowych. </w:t>
      </w:r>
      <w:r w:rsidRPr="00A720EE">
        <w:rPr>
          <w:rFonts w:ascii="Times New Roman" w:eastAsia="Times New Roman" w:hAnsi="Times New Roman" w:cs="Times New Roman"/>
          <w:sz w:val="24"/>
          <w:szCs w:val="24"/>
          <w:lang w:eastAsia="pl-PL"/>
        </w:rPr>
        <w:t>Trybunał wielokrotnie wskazywał, iż w prawie podatkowym decydującą rolę odgrywa zasada sprawiedliwości podatkowej, wyrażająca się między innymi powszechnością i równością opodatkowania. Ustawodawca ma zatem znaczną swobodę w określaniu w ustawie stanów faktycznych, stanowiących podstawę opodatkowania lub podstawę ulgi podatkowej oraz generalnie swobodę w kształtowaniu poszczególnych konstrukcji prawnopodatkowych. O zakresie i przedmiocie opodatkowania oraz o zakresie i przedmiocie ulg podatkowych nie decydują przesłanki o charakterze prawnym, lecz przesłanki ekonomiczne i społeczne</w:t>
      </w:r>
      <w:r w:rsidRPr="00A720EE">
        <w:rPr>
          <w:rFonts w:ascii="Times New Roman" w:eastAsia="Times New Roman" w:hAnsi="Times New Roman" w:cs="Times New Roman"/>
          <w:sz w:val="24"/>
          <w:szCs w:val="24"/>
          <w:vertAlign w:val="superscript"/>
          <w:lang w:eastAsia="pl-PL"/>
        </w:rPr>
        <w:footnoteReference w:id="1"/>
      </w:r>
      <w:r w:rsidRPr="00A720EE">
        <w:rPr>
          <w:rFonts w:ascii="Times New Roman" w:eastAsia="Times New Roman" w:hAnsi="Times New Roman" w:cs="Times New Roman"/>
          <w:sz w:val="24"/>
          <w:szCs w:val="24"/>
          <w:lang w:eastAsia="pl-PL"/>
        </w:rPr>
        <w:t xml:space="preserve">. </w:t>
      </w:r>
    </w:p>
    <w:p w14:paraId="634B3EEE" w14:textId="77777777" w:rsidR="002366DD" w:rsidRPr="00A720EE" w:rsidRDefault="002366DD" w:rsidP="005D626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Ustawodawca jest</w:t>
      </w:r>
      <w:r w:rsidR="005D78E3"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uprawniony do stanowienia prawa odpowiadającego założonym celom politycznym i gospodarczym. Polityka podatkowa powinna być zaś kształtowana w taki sposób, aby ustanowiony system podatkowy zapewniał państwu systematyczne dochody umożliwiające realizację założonych wydatków, a jednocześnie wpływał na gospodarcze i społeczne zachowania podatników.</w:t>
      </w:r>
    </w:p>
    <w:p w14:paraId="58BA15EA" w14:textId="77777777" w:rsidR="002366DD" w:rsidRPr="00A720EE" w:rsidRDefault="002366DD" w:rsidP="005D6268">
      <w:pPr>
        <w:pStyle w:val="NormalnyWeb"/>
        <w:spacing w:before="120" w:beforeAutospacing="0" w:after="0" w:afterAutospacing="0" w:line="276" w:lineRule="auto"/>
        <w:jc w:val="both"/>
      </w:pPr>
      <w:r w:rsidRPr="00A720EE">
        <w:t>Istniejący system podatkowy ukształtowany na początku lat 90</w:t>
      </w:r>
      <w:r w:rsidR="009A788D" w:rsidRPr="00A720EE">
        <w:t>.</w:t>
      </w:r>
      <w:r w:rsidRPr="00A720EE">
        <w:t xml:space="preserve"> XX wieku ulegał stopniowym, sukcesywnym modyfikacjom wynikającym ze zmieniających się</w:t>
      </w:r>
      <w:r w:rsidRPr="00A720EE">
        <w:rPr>
          <w:rFonts w:eastAsiaTheme="minorEastAsia"/>
        </w:rPr>
        <w:t xml:space="preserve"> </w:t>
      </w:r>
      <w:r w:rsidRPr="00A720EE">
        <w:t xml:space="preserve">warunków gospodarczych, otoczenia prawnego, a także przemian geopolitycznych. </w:t>
      </w:r>
    </w:p>
    <w:p w14:paraId="75E78999" w14:textId="5DB0EBB5" w:rsidR="002366DD" w:rsidRPr="00A720EE" w:rsidRDefault="002366DD" w:rsidP="005D6268">
      <w:pPr>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Szczególnego podkreślenia wymaga, że punktem wyjścia i tym samym podbudową do stworzenia wielu wprowadzonych w ostatnim czasie regulacji w podatku dochodowy</w:t>
      </w:r>
      <w:r w:rsidR="00C03EA6" w:rsidRPr="00A720EE">
        <w:rPr>
          <w:rFonts w:ascii="Times New Roman" w:eastAsia="Times New Roman" w:hAnsi="Times New Roman" w:cs="Times New Roman"/>
          <w:sz w:val="24"/>
          <w:szCs w:val="24"/>
          <w:lang w:eastAsia="pl-PL"/>
        </w:rPr>
        <w:t>m</w:t>
      </w:r>
      <w:r w:rsidRPr="00A720EE">
        <w:rPr>
          <w:rFonts w:ascii="Times New Roman" w:eastAsia="Times New Roman" w:hAnsi="Times New Roman" w:cs="Times New Roman"/>
          <w:sz w:val="24"/>
          <w:szCs w:val="24"/>
          <w:lang w:eastAsia="pl-PL"/>
        </w:rPr>
        <w:t xml:space="preserve"> była zgoła inna rzeczywistość społeczno-gospodarcza, ale również sytuacja geopolityczna. W</w:t>
      </w:r>
      <w:r w:rsidR="00837B43" w:rsidRPr="00A720EE">
        <w:rPr>
          <w:rFonts w:ascii="Times New Roman" w:eastAsia="Times New Roman" w:hAnsi="Times New Roman" w:cs="Times New Roman"/>
          <w:sz w:val="24"/>
          <w:szCs w:val="24"/>
          <w:lang w:eastAsia="pl-PL"/>
        </w:rPr>
        <w:t> </w:t>
      </w:r>
      <w:r w:rsidRPr="00A720EE">
        <w:rPr>
          <w:rFonts w:ascii="Times New Roman" w:eastAsia="Times New Roman" w:hAnsi="Times New Roman" w:cs="Times New Roman"/>
          <w:sz w:val="24"/>
          <w:szCs w:val="24"/>
          <w:lang w:eastAsia="pl-PL"/>
        </w:rPr>
        <w:t>związku z tym przyjęte wówczas założenia i zastosowana do nich metodologia, w</w:t>
      </w:r>
      <w:r w:rsidR="00837B43" w:rsidRPr="00A720EE">
        <w:rPr>
          <w:rFonts w:ascii="Times New Roman" w:eastAsia="Times New Roman" w:hAnsi="Times New Roman" w:cs="Times New Roman"/>
          <w:sz w:val="24"/>
          <w:szCs w:val="24"/>
          <w:lang w:eastAsia="pl-PL"/>
        </w:rPr>
        <w:t> </w:t>
      </w:r>
      <w:r w:rsidRPr="00A720EE">
        <w:rPr>
          <w:rFonts w:ascii="Times New Roman" w:eastAsia="Times New Roman" w:hAnsi="Times New Roman" w:cs="Times New Roman"/>
          <w:sz w:val="24"/>
          <w:szCs w:val="24"/>
          <w:lang w:eastAsia="pl-PL"/>
        </w:rPr>
        <w:t xml:space="preserve">okolicznościach tak nowych, odmiennych i nieprzewidywalnych uwarunkowań spowodowanych konfliktem zbrojnym na Ukrainie, </w:t>
      </w:r>
      <w:r w:rsidR="001B2B5A" w:rsidRPr="00A720EE">
        <w:rPr>
          <w:rFonts w:ascii="Times New Roman" w:eastAsia="Times New Roman" w:hAnsi="Times New Roman" w:cs="Times New Roman"/>
          <w:sz w:val="24"/>
          <w:szCs w:val="24"/>
          <w:lang w:eastAsia="pl-PL"/>
        </w:rPr>
        <w:t>mogą aktualnie zostać zweryfikowane, w</w:t>
      </w:r>
      <w:r w:rsidR="00837B43" w:rsidRPr="00A720EE">
        <w:rPr>
          <w:rFonts w:ascii="Times New Roman" w:eastAsia="Times New Roman" w:hAnsi="Times New Roman" w:cs="Times New Roman"/>
          <w:sz w:val="24"/>
          <w:szCs w:val="24"/>
          <w:lang w:eastAsia="pl-PL"/>
        </w:rPr>
        <w:t> </w:t>
      </w:r>
      <w:r w:rsidR="001B2B5A" w:rsidRPr="00A720EE">
        <w:rPr>
          <w:rFonts w:ascii="Times New Roman" w:eastAsia="Times New Roman" w:hAnsi="Times New Roman" w:cs="Times New Roman"/>
          <w:sz w:val="24"/>
          <w:szCs w:val="24"/>
          <w:lang w:eastAsia="pl-PL"/>
        </w:rPr>
        <w:t>tym pod kątem ich wpływu</w:t>
      </w:r>
      <w:r w:rsidRPr="00A720EE">
        <w:rPr>
          <w:rFonts w:ascii="Times New Roman" w:eastAsia="Times New Roman" w:hAnsi="Times New Roman" w:cs="Times New Roman"/>
          <w:sz w:val="24"/>
          <w:szCs w:val="24"/>
          <w:lang w:eastAsia="pl-PL"/>
        </w:rPr>
        <w:t xml:space="preserve"> na sytuację podmiotów działających w obrocie gospodarczym. </w:t>
      </w:r>
    </w:p>
    <w:p w14:paraId="4E969962" w14:textId="5500DECE" w:rsidR="00B75066" w:rsidRPr="00A720EE" w:rsidRDefault="002366DD" w:rsidP="005D6268">
      <w:pPr>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Projektowana ustawa ma na celu udoskonalenie przepisów dotyczących opodatkowania dochodów osób prawnych</w:t>
      </w:r>
      <w:r w:rsidR="000514BE" w:rsidRPr="00A720EE">
        <w:rPr>
          <w:rFonts w:ascii="Times New Roman" w:eastAsia="Times New Roman" w:hAnsi="Times New Roman" w:cs="Times New Roman"/>
          <w:sz w:val="24"/>
          <w:szCs w:val="24"/>
          <w:lang w:eastAsia="pl-PL"/>
        </w:rPr>
        <w:t xml:space="preserve"> (oraz na zasadzie analogicznego odwzorowania, także niektórych przepisów w podatku dochodowym od osób fizycznych</w:t>
      </w:r>
      <w:r w:rsidR="00BE2C63" w:rsidRPr="00A720EE">
        <w:rPr>
          <w:rFonts w:ascii="Times New Roman" w:eastAsia="Times New Roman" w:hAnsi="Times New Roman" w:cs="Times New Roman"/>
          <w:sz w:val="24"/>
          <w:szCs w:val="24"/>
          <w:lang w:eastAsia="pl-PL"/>
        </w:rPr>
        <w:t xml:space="preserve"> </w:t>
      </w:r>
      <w:r w:rsidR="00EC1813" w:rsidRPr="00A720EE">
        <w:rPr>
          <w:rFonts w:ascii="Times New Roman" w:eastAsia="Times New Roman" w:hAnsi="Times New Roman" w:cs="Times New Roman"/>
          <w:sz w:val="24"/>
          <w:szCs w:val="24"/>
          <w:lang w:eastAsia="pl-PL"/>
        </w:rPr>
        <w:t>i</w:t>
      </w:r>
      <w:r w:rsidR="00BE2C63" w:rsidRPr="00A720EE">
        <w:rPr>
          <w:rFonts w:ascii="Times New Roman" w:eastAsia="Times New Roman" w:hAnsi="Times New Roman" w:cs="Times New Roman"/>
          <w:sz w:val="24"/>
          <w:szCs w:val="24"/>
          <w:lang w:eastAsia="pl-PL"/>
        </w:rPr>
        <w:t xml:space="preserve"> zryczałtowanym podatku dochodowym</w:t>
      </w:r>
      <w:r w:rsidR="000514BE" w:rsidRPr="00A720EE">
        <w:rPr>
          <w:rFonts w:ascii="Times New Roman" w:eastAsia="Times New Roman" w:hAnsi="Times New Roman" w:cs="Times New Roman"/>
          <w:sz w:val="24"/>
          <w:szCs w:val="24"/>
          <w:lang w:eastAsia="pl-PL"/>
        </w:rPr>
        <w:t>)</w:t>
      </w:r>
      <w:r w:rsidRPr="00A720EE">
        <w:rPr>
          <w:rFonts w:ascii="Times New Roman" w:eastAsia="Times New Roman" w:hAnsi="Times New Roman" w:cs="Times New Roman"/>
          <w:sz w:val="24"/>
          <w:szCs w:val="24"/>
          <w:lang w:eastAsia="pl-PL"/>
        </w:rPr>
        <w:t xml:space="preserve"> w sposób, który uczyni je </w:t>
      </w:r>
      <w:r w:rsidR="00E71C00" w:rsidRPr="00A720EE">
        <w:rPr>
          <w:rFonts w:ascii="Times New Roman" w:eastAsia="Times New Roman" w:hAnsi="Times New Roman" w:cs="Times New Roman"/>
          <w:sz w:val="24"/>
          <w:szCs w:val="24"/>
          <w:lang w:eastAsia="pl-PL"/>
        </w:rPr>
        <w:t xml:space="preserve">bardziej </w:t>
      </w:r>
      <w:r w:rsidRPr="00A720EE">
        <w:rPr>
          <w:rFonts w:ascii="Times New Roman" w:eastAsia="Times New Roman" w:hAnsi="Times New Roman" w:cs="Times New Roman"/>
          <w:sz w:val="24"/>
          <w:szCs w:val="24"/>
          <w:lang w:eastAsia="pl-PL"/>
        </w:rPr>
        <w:t xml:space="preserve">przejrzystymi i jednocześnie </w:t>
      </w:r>
      <w:r w:rsidR="00E71C00" w:rsidRPr="00A720EE">
        <w:rPr>
          <w:rFonts w:ascii="Times New Roman" w:eastAsia="Times New Roman" w:hAnsi="Times New Roman" w:cs="Times New Roman"/>
          <w:sz w:val="24"/>
          <w:szCs w:val="24"/>
          <w:lang w:eastAsia="pl-PL"/>
        </w:rPr>
        <w:t>zapewni ich większą efektywność</w:t>
      </w:r>
      <w:r w:rsidRPr="00A720EE">
        <w:rPr>
          <w:rFonts w:ascii="Times New Roman" w:eastAsia="Times New Roman" w:hAnsi="Times New Roman" w:cs="Times New Roman"/>
          <w:sz w:val="24"/>
          <w:szCs w:val="24"/>
          <w:lang w:eastAsia="pl-PL"/>
        </w:rPr>
        <w:t xml:space="preserve"> z punktu widzenia ich stosowania i celu</w:t>
      </w:r>
      <w:r w:rsidR="005D78E3" w:rsidRPr="00A720EE">
        <w:rPr>
          <w:rFonts w:ascii="Times New Roman" w:eastAsia="Times New Roman" w:hAnsi="Times New Roman" w:cs="Times New Roman"/>
          <w:sz w:val="24"/>
          <w:szCs w:val="24"/>
          <w:lang w:eastAsia="pl-PL"/>
        </w:rPr>
        <w:t>,</w:t>
      </w:r>
      <w:r w:rsidRPr="00A720EE">
        <w:rPr>
          <w:rFonts w:ascii="Times New Roman" w:eastAsia="Times New Roman" w:hAnsi="Times New Roman" w:cs="Times New Roman"/>
          <w:sz w:val="24"/>
          <w:szCs w:val="24"/>
          <w:lang w:eastAsia="pl-PL"/>
        </w:rPr>
        <w:t xml:space="preserve"> jakiemu mają służyć.</w:t>
      </w:r>
      <w:r w:rsidR="00BE2C63" w:rsidRPr="00A720EE">
        <w:rPr>
          <w:rFonts w:ascii="Times New Roman" w:eastAsia="Times New Roman" w:hAnsi="Times New Roman" w:cs="Times New Roman"/>
          <w:sz w:val="24"/>
          <w:szCs w:val="24"/>
          <w:lang w:eastAsia="pl-PL"/>
        </w:rPr>
        <w:t xml:space="preserve"> </w:t>
      </w:r>
    </w:p>
    <w:p w14:paraId="02872689" w14:textId="674F78CF" w:rsidR="00BE2C63" w:rsidRPr="00A720EE" w:rsidRDefault="00BE2C63" w:rsidP="005D6268">
      <w:pPr>
        <w:spacing w:before="120" w:after="0" w:line="276" w:lineRule="auto"/>
        <w:jc w:val="both"/>
        <w:rPr>
          <w:rFonts w:ascii="Times New Roman" w:eastAsia="Times New Roman" w:hAnsi="Times New Roman" w:cs="Times New Roman"/>
          <w:color w:val="000000" w:themeColor="text1"/>
          <w:sz w:val="24"/>
          <w:szCs w:val="24"/>
          <w:lang w:eastAsia="pl-PL"/>
        </w:rPr>
      </w:pPr>
      <w:r w:rsidRPr="00A720EE">
        <w:rPr>
          <w:rFonts w:ascii="Times New Roman" w:eastAsia="Times New Roman" w:hAnsi="Times New Roman" w:cs="Times New Roman"/>
          <w:color w:val="000000" w:themeColor="text1"/>
          <w:sz w:val="24"/>
          <w:szCs w:val="24"/>
          <w:lang w:eastAsia="pl-PL"/>
        </w:rPr>
        <w:t>Projekt wprowadza ponadto zmian</w:t>
      </w:r>
      <w:r w:rsidR="008E7316" w:rsidRPr="00A720EE">
        <w:rPr>
          <w:rFonts w:ascii="Times New Roman" w:eastAsia="Times New Roman" w:hAnsi="Times New Roman" w:cs="Times New Roman"/>
          <w:color w:val="000000" w:themeColor="text1"/>
          <w:sz w:val="24"/>
          <w:szCs w:val="24"/>
          <w:lang w:eastAsia="pl-PL"/>
        </w:rPr>
        <w:t>y w:</w:t>
      </w:r>
      <w:r w:rsidR="00B75066" w:rsidRPr="00A720EE">
        <w:rPr>
          <w:rFonts w:ascii="Times New Roman" w:eastAsia="Times New Roman" w:hAnsi="Times New Roman" w:cs="Times New Roman"/>
          <w:color w:val="000000" w:themeColor="text1"/>
          <w:sz w:val="24"/>
          <w:szCs w:val="24"/>
          <w:lang w:eastAsia="pl-PL"/>
        </w:rPr>
        <w:t xml:space="preserve"> ustawie o podatku od spadków i darowizn, </w:t>
      </w:r>
      <w:r w:rsidRPr="00A720EE">
        <w:rPr>
          <w:rFonts w:ascii="Times New Roman" w:eastAsia="Times New Roman" w:hAnsi="Times New Roman" w:cs="Times New Roman"/>
          <w:color w:val="000000" w:themeColor="text1"/>
          <w:sz w:val="24"/>
          <w:szCs w:val="24"/>
          <w:lang w:eastAsia="pl-PL"/>
        </w:rPr>
        <w:t>Ordynacji podatkowej</w:t>
      </w:r>
      <w:r w:rsidR="008E7316" w:rsidRPr="00A720EE">
        <w:rPr>
          <w:rFonts w:ascii="Times New Roman" w:eastAsia="Times New Roman" w:hAnsi="Times New Roman" w:cs="Times New Roman"/>
          <w:color w:val="000000" w:themeColor="text1"/>
          <w:sz w:val="24"/>
          <w:szCs w:val="24"/>
          <w:lang w:eastAsia="pl-PL"/>
        </w:rPr>
        <w:t xml:space="preserve">, </w:t>
      </w:r>
      <w:r w:rsidR="00B75066" w:rsidRPr="00A720EE">
        <w:rPr>
          <w:rFonts w:ascii="Times New Roman" w:eastAsia="Times New Roman" w:hAnsi="Times New Roman" w:cs="Times New Roman"/>
          <w:color w:val="000000" w:themeColor="text1"/>
          <w:sz w:val="24"/>
          <w:szCs w:val="24"/>
          <w:lang w:eastAsia="pl-PL"/>
        </w:rPr>
        <w:t xml:space="preserve">ustawie o PCC, ustawie o VAT, </w:t>
      </w:r>
      <w:r w:rsidR="008E7316" w:rsidRPr="00A720EE">
        <w:rPr>
          <w:rFonts w:ascii="Times New Roman" w:eastAsia="Times New Roman" w:hAnsi="Times New Roman" w:cs="Times New Roman"/>
          <w:color w:val="000000" w:themeColor="text1"/>
          <w:sz w:val="24"/>
          <w:szCs w:val="24"/>
          <w:lang w:eastAsia="pl-PL"/>
        </w:rPr>
        <w:t xml:space="preserve">ustawie o świadczeniach opieki zdrowotnej, </w:t>
      </w:r>
      <w:r w:rsidR="00B75066" w:rsidRPr="00A720EE">
        <w:rPr>
          <w:rFonts w:ascii="Times New Roman" w:eastAsia="Times New Roman" w:hAnsi="Times New Roman" w:cs="Times New Roman"/>
          <w:color w:val="000000" w:themeColor="text1"/>
          <w:sz w:val="24"/>
          <w:szCs w:val="24"/>
          <w:lang w:eastAsia="pl-PL"/>
        </w:rPr>
        <w:t>ustawie o podatku akcyzowym, ustawie o podatku od sprzedaży detalicznej, ustawie o</w:t>
      </w:r>
      <w:r w:rsidR="00837B43" w:rsidRPr="00A720EE">
        <w:rPr>
          <w:rFonts w:ascii="Times New Roman" w:eastAsia="Times New Roman" w:hAnsi="Times New Roman" w:cs="Times New Roman"/>
          <w:color w:val="000000" w:themeColor="text1"/>
          <w:sz w:val="24"/>
          <w:szCs w:val="24"/>
          <w:lang w:eastAsia="pl-PL"/>
        </w:rPr>
        <w:t> </w:t>
      </w:r>
      <w:r w:rsidR="00B75066" w:rsidRPr="00A720EE">
        <w:rPr>
          <w:rFonts w:ascii="Times New Roman" w:eastAsia="Times New Roman" w:hAnsi="Times New Roman" w:cs="Times New Roman"/>
          <w:color w:val="000000" w:themeColor="text1"/>
          <w:sz w:val="24"/>
          <w:szCs w:val="24"/>
          <w:lang w:eastAsia="pl-PL"/>
        </w:rPr>
        <w:t xml:space="preserve">przeciwdziałaniu praniu pieniędzy oraz finansowaniu terroryzmu, </w:t>
      </w:r>
      <w:r w:rsidR="008E7316" w:rsidRPr="00A720EE">
        <w:rPr>
          <w:rFonts w:ascii="Times New Roman" w:eastAsia="Times New Roman" w:hAnsi="Times New Roman" w:cs="Times New Roman"/>
          <w:color w:val="000000" w:themeColor="text1"/>
          <w:sz w:val="24"/>
          <w:szCs w:val="24"/>
          <w:lang w:eastAsia="pl-PL"/>
        </w:rPr>
        <w:t>ustawie z 29 października 2021 r., ustawie z 9 czerwca 2022 r.</w:t>
      </w:r>
      <w:r w:rsidR="00B75066" w:rsidRPr="00A720EE">
        <w:rPr>
          <w:rFonts w:ascii="Times New Roman" w:eastAsia="Times New Roman" w:hAnsi="Times New Roman" w:cs="Times New Roman"/>
          <w:color w:val="000000" w:themeColor="text1"/>
          <w:sz w:val="24"/>
          <w:szCs w:val="24"/>
          <w:lang w:eastAsia="pl-PL"/>
        </w:rPr>
        <w:t>, a także ustawie o finansowaniu społecznościowym dla przedsięwzięć gospodarczych i pomocy kredytobiorcom.</w:t>
      </w:r>
    </w:p>
    <w:p w14:paraId="15DE18C2" w14:textId="5D456DA4" w:rsidR="002366DD" w:rsidRPr="00A720EE" w:rsidRDefault="002366DD" w:rsidP="005D6268">
      <w:pPr>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Proponowane w projekcie regulacje uwzględniają postulaty zmian i sygnały pochodzące od podatników poda</w:t>
      </w:r>
      <w:r w:rsidR="000514BE" w:rsidRPr="00A720EE">
        <w:rPr>
          <w:rFonts w:ascii="Times New Roman" w:eastAsia="Times New Roman" w:hAnsi="Times New Roman" w:cs="Times New Roman"/>
          <w:sz w:val="24"/>
          <w:szCs w:val="24"/>
          <w:lang w:eastAsia="pl-PL"/>
        </w:rPr>
        <w:t>tku dochodowego</w:t>
      </w:r>
      <w:r w:rsidRPr="00A720EE">
        <w:rPr>
          <w:rFonts w:ascii="Times New Roman" w:eastAsia="Times New Roman" w:hAnsi="Times New Roman" w:cs="Times New Roman"/>
          <w:sz w:val="24"/>
          <w:szCs w:val="24"/>
          <w:lang w:eastAsia="pl-PL"/>
        </w:rPr>
        <w:t>, w tym</w:t>
      </w:r>
      <w:r w:rsidR="005D78E3" w:rsidRPr="00A720EE">
        <w:rPr>
          <w:rFonts w:ascii="Times New Roman" w:eastAsia="Times New Roman" w:hAnsi="Times New Roman" w:cs="Times New Roman"/>
          <w:sz w:val="24"/>
          <w:szCs w:val="24"/>
          <w:lang w:eastAsia="pl-PL"/>
        </w:rPr>
        <w:t xml:space="preserve"> zarówno małych, średnich, jak również dużych podmiotów oraz </w:t>
      </w:r>
      <w:r w:rsidRPr="00A720EE">
        <w:rPr>
          <w:rFonts w:ascii="Times New Roman" w:eastAsia="Times New Roman" w:hAnsi="Times New Roman" w:cs="Times New Roman"/>
          <w:sz w:val="24"/>
          <w:szCs w:val="24"/>
          <w:lang w:eastAsia="pl-PL"/>
        </w:rPr>
        <w:t xml:space="preserve">organizacji społecznych i zawodowych. </w:t>
      </w:r>
      <w:r w:rsidR="005D78E3" w:rsidRPr="00A720EE">
        <w:rPr>
          <w:rFonts w:ascii="Times New Roman" w:eastAsia="Times New Roman" w:hAnsi="Times New Roman" w:cs="Times New Roman"/>
          <w:sz w:val="24"/>
          <w:szCs w:val="24"/>
          <w:lang w:eastAsia="pl-PL"/>
        </w:rPr>
        <w:t xml:space="preserve">Postulaty te dotyczą </w:t>
      </w:r>
      <w:r w:rsidRPr="00A720EE">
        <w:rPr>
          <w:rFonts w:ascii="Times New Roman" w:eastAsia="Times New Roman" w:hAnsi="Times New Roman" w:cs="Times New Roman"/>
          <w:sz w:val="24"/>
          <w:szCs w:val="24"/>
          <w:lang w:eastAsia="pl-PL"/>
        </w:rPr>
        <w:t xml:space="preserve">w szczególności </w:t>
      </w:r>
      <w:r w:rsidRPr="00A720EE">
        <w:rPr>
          <w:rFonts w:ascii="Times New Roman" w:eastAsia="Times New Roman" w:hAnsi="Times New Roman" w:cs="Times New Roman"/>
          <w:sz w:val="24"/>
          <w:szCs w:val="24"/>
          <w:lang w:eastAsia="pl-PL"/>
        </w:rPr>
        <w:lastRenderedPageBreak/>
        <w:t>potrzeby uproszczenia systemu podatkowego</w:t>
      </w:r>
      <w:r w:rsidR="00E71C00" w:rsidRPr="00A720EE">
        <w:rPr>
          <w:rFonts w:ascii="Times New Roman" w:eastAsia="Times New Roman" w:hAnsi="Times New Roman" w:cs="Times New Roman"/>
          <w:sz w:val="24"/>
          <w:szCs w:val="24"/>
          <w:lang w:eastAsia="pl-PL"/>
        </w:rPr>
        <w:t xml:space="preserve"> i</w:t>
      </w:r>
      <w:r w:rsidRPr="00A720EE">
        <w:rPr>
          <w:rFonts w:ascii="Times New Roman" w:eastAsia="Times New Roman" w:hAnsi="Times New Roman" w:cs="Times New Roman"/>
          <w:sz w:val="24"/>
          <w:szCs w:val="24"/>
          <w:lang w:eastAsia="pl-PL"/>
        </w:rPr>
        <w:t xml:space="preserve"> doprecyzowania niektórych obowiązujących przepisów. </w:t>
      </w:r>
    </w:p>
    <w:p w14:paraId="04688CCB" w14:textId="07676DD6" w:rsidR="002366DD" w:rsidRPr="00A720EE" w:rsidRDefault="002366DD" w:rsidP="005D626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Przedkładany projekt ustawy wprowadza zatem regulacje o charakterze naprawczym i</w:t>
      </w:r>
      <w:r w:rsidR="00837B43"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doprecyzowującym istniejące rozwiązania,</w:t>
      </w:r>
      <w:r w:rsidR="00972C61" w:rsidRPr="00A720EE">
        <w:rPr>
          <w:rFonts w:ascii="Times New Roman" w:eastAsiaTheme="minorEastAsia" w:hAnsi="Times New Roman" w:cs="Times New Roman"/>
          <w:sz w:val="24"/>
          <w:szCs w:val="24"/>
          <w:lang w:eastAsia="pl-PL"/>
        </w:rPr>
        <w:t xml:space="preserve"> w tym m.in. </w:t>
      </w:r>
      <w:r w:rsidRPr="00A720EE">
        <w:rPr>
          <w:rFonts w:ascii="Times New Roman" w:eastAsiaTheme="minorEastAsia" w:hAnsi="Times New Roman" w:cs="Times New Roman"/>
          <w:sz w:val="24"/>
          <w:szCs w:val="24"/>
          <w:lang w:eastAsia="pl-PL"/>
        </w:rPr>
        <w:t>odracza stosowanie niektórych instytucji, obowiązujących od 1 stycznia 2022 r.</w:t>
      </w:r>
      <w:r w:rsidR="00747287"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zaproponowanych w ustawie</w:t>
      </w:r>
      <w:r w:rsidR="00A34465" w:rsidRPr="00A720EE">
        <w:rPr>
          <w:rFonts w:ascii="Times New Roman" w:eastAsiaTheme="minorEastAsia" w:hAnsi="Times New Roman" w:cs="Times New Roman"/>
          <w:sz w:val="24"/>
          <w:szCs w:val="24"/>
          <w:lang w:eastAsia="pl-PL"/>
        </w:rPr>
        <w:t xml:space="preserve"> z</w:t>
      </w:r>
      <w:r w:rsidR="00837B43" w:rsidRPr="00A720EE">
        <w:rPr>
          <w:rFonts w:ascii="Times New Roman" w:eastAsiaTheme="minorEastAsia" w:hAnsi="Times New Roman" w:cs="Times New Roman"/>
          <w:sz w:val="24"/>
          <w:szCs w:val="24"/>
          <w:lang w:eastAsia="pl-PL"/>
        </w:rPr>
        <w:t> </w:t>
      </w:r>
      <w:r w:rsidR="00A34465" w:rsidRPr="00A720EE">
        <w:rPr>
          <w:rFonts w:ascii="Times New Roman" w:eastAsiaTheme="minorEastAsia" w:hAnsi="Times New Roman" w:cs="Times New Roman"/>
          <w:sz w:val="24"/>
          <w:szCs w:val="24"/>
          <w:lang w:eastAsia="pl-PL"/>
        </w:rPr>
        <w:t>29</w:t>
      </w:r>
      <w:r w:rsidR="00837B43" w:rsidRPr="00A720EE">
        <w:rPr>
          <w:rFonts w:ascii="Times New Roman" w:eastAsiaTheme="minorEastAsia" w:hAnsi="Times New Roman" w:cs="Times New Roman"/>
          <w:sz w:val="24"/>
          <w:szCs w:val="24"/>
          <w:lang w:eastAsia="pl-PL"/>
        </w:rPr>
        <w:t> </w:t>
      </w:r>
      <w:r w:rsidR="00A34465" w:rsidRPr="00A720EE">
        <w:rPr>
          <w:rFonts w:ascii="Times New Roman" w:eastAsiaTheme="minorEastAsia" w:hAnsi="Times New Roman" w:cs="Times New Roman"/>
          <w:sz w:val="24"/>
          <w:szCs w:val="24"/>
          <w:lang w:eastAsia="pl-PL"/>
        </w:rPr>
        <w:t>października 2021 r.</w:t>
      </w:r>
      <w:r w:rsidRPr="00A720EE">
        <w:rPr>
          <w:rFonts w:ascii="Times New Roman" w:eastAsiaTheme="minorEastAsia" w:hAnsi="Times New Roman" w:cs="Times New Roman"/>
          <w:sz w:val="24"/>
          <w:szCs w:val="24"/>
          <w:lang w:eastAsia="pl-PL"/>
        </w:rPr>
        <w:t xml:space="preserve"> Jednocześnie, odzwierciedlenie </w:t>
      </w:r>
      <w:r w:rsidR="00E71C00"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 xml:space="preserve">w aktualnym kształcie projektu </w:t>
      </w:r>
      <w:r w:rsidR="00E71C00"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sygnałów co do oczekiwań społecznych, nie wyklucza kolejnych zmian, które będą służyć realizacji głównego celu tej inicjatywy legislacyjnej</w:t>
      </w:r>
      <w:r w:rsidR="005E1EC6"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jakim jest osiągnięcie </w:t>
      </w:r>
      <w:r w:rsidR="005D78E3" w:rsidRPr="00A720EE">
        <w:rPr>
          <w:rFonts w:ascii="Times New Roman" w:eastAsiaTheme="minorEastAsia" w:hAnsi="Times New Roman" w:cs="Times New Roman"/>
          <w:sz w:val="24"/>
          <w:szCs w:val="24"/>
          <w:lang w:eastAsia="pl-PL"/>
        </w:rPr>
        <w:t xml:space="preserve">większej </w:t>
      </w:r>
      <w:r w:rsidRPr="00A720EE">
        <w:rPr>
          <w:rFonts w:ascii="Times New Roman" w:eastAsiaTheme="minorEastAsia" w:hAnsi="Times New Roman" w:cs="Times New Roman"/>
          <w:sz w:val="24"/>
          <w:szCs w:val="24"/>
          <w:lang w:eastAsia="pl-PL"/>
        </w:rPr>
        <w:t xml:space="preserve">przejrzystości systemu podatkowego. Działanie to będzie sprzyjało </w:t>
      </w:r>
      <w:r w:rsidR="00E71C00" w:rsidRPr="00A720EE">
        <w:rPr>
          <w:rFonts w:ascii="Times New Roman" w:eastAsiaTheme="minorEastAsia" w:hAnsi="Times New Roman" w:cs="Times New Roman"/>
          <w:sz w:val="24"/>
          <w:szCs w:val="24"/>
          <w:lang w:eastAsia="pl-PL"/>
        </w:rPr>
        <w:t xml:space="preserve">również </w:t>
      </w:r>
      <w:r w:rsidRPr="00A720EE">
        <w:rPr>
          <w:rFonts w:ascii="Times New Roman" w:eastAsiaTheme="minorEastAsia" w:hAnsi="Times New Roman" w:cs="Times New Roman"/>
          <w:sz w:val="24"/>
          <w:szCs w:val="24"/>
          <w:lang w:eastAsia="pl-PL"/>
        </w:rPr>
        <w:t xml:space="preserve">urzeczywistnianiu idei sprawiedliwego systemu podatkowego, a ponadto powinno przyczynić się, w dłuższej perspektywie, do sukcesywnego rozwoju gospodarczego. </w:t>
      </w:r>
    </w:p>
    <w:p w14:paraId="39EE08B6" w14:textId="77777777" w:rsidR="002366DD" w:rsidRPr="00A720EE" w:rsidRDefault="002366DD" w:rsidP="002366D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Do zmian, o których mowa powyżej</w:t>
      </w:r>
      <w:r w:rsidR="005E1EC6"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zaliczyć należy następujące rozwiązania:</w:t>
      </w:r>
    </w:p>
    <w:p w14:paraId="7BD0F419" w14:textId="77BAA0AB" w:rsidR="004121B3" w:rsidRPr="00A720EE" w:rsidRDefault="00B23DD9">
      <w:pPr>
        <w:widowControl w:val="0"/>
        <w:numPr>
          <w:ilvl w:val="0"/>
          <w:numId w:val="2"/>
        </w:numPr>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modyfikacja i odroczenie wejścia w życie przepisów o minimalnym podatku dochodowym (art. 24ca ust. 1 pkt 2, ust. 2 pkt </w:t>
      </w:r>
      <w:r w:rsidR="00E57ACF" w:rsidRPr="00A720EE">
        <w:rPr>
          <w:rFonts w:ascii="Times New Roman" w:eastAsiaTheme="minorEastAsia" w:hAnsi="Times New Roman" w:cs="Times New Roman"/>
          <w:sz w:val="24"/>
          <w:szCs w:val="24"/>
          <w:lang w:eastAsia="pl-PL"/>
        </w:rPr>
        <w:t>1, 2 lit. b, 3-8, ust. 3 pkt 1-3</w:t>
      </w:r>
      <w:r w:rsidRPr="00A720EE">
        <w:rPr>
          <w:rFonts w:ascii="Times New Roman" w:eastAsiaTheme="minorEastAsia" w:hAnsi="Times New Roman" w:cs="Times New Roman"/>
          <w:sz w:val="24"/>
          <w:szCs w:val="24"/>
          <w:lang w:eastAsia="pl-PL"/>
        </w:rPr>
        <w:t>, ust. 3a, ust. 10 pkt 2</w:t>
      </w:r>
      <w:r w:rsidR="00E57ACF" w:rsidRPr="00A720EE">
        <w:rPr>
          <w:rFonts w:ascii="Times New Roman" w:eastAsiaTheme="minorEastAsia" w:hAnsi="Times New Roman" w:cs="Times New Roman"/>
          <w:sz w:val="24"/>
          <w:szCs w:val="24"/>
          <w:lang w:eastAsia="pl-PL"/>
        </w:rPr>
        <w:t xml:space="preserve"> i 3</w:t>
      </w:r>
      <w:r w:rsidRPr="00A720EE">
        <w:rPr>
          <w:rFonts w:ascii="Times New Roman" w:eastAsiaTheme="minorEastAsia" w:hAnsi="Times New Roman" w:cs="Times New Roman"/>
          <w:sz w:val="24"/>
          <w:szCs w:val="24"/>
          <w:lang w:eastAsia="pl-PL"/>
        </w:rPr>
        <w:t xml:space="preserve">, ust. 14 pkt 4, 5 lit. c i d, </w:t>
      </w:r>
      <w:r w:rsidR="00E57ACF" w:rsidRPr="00A720EE">
        <w:rPr>
          <w:rFonts w:ascii="Times New Roman" w:eastAsiaTheme="minorEastAsia" w:hAnsi="Times New Roman" w:cs="Times New Roman"/>
          <w:sz w:val="24"/>
          <w:szCs w:val="24"/>
          <w:lang w:eastAsia="pl-PL"/>
        </w:rPr>
        <w:t xml:space="preserve">pkt </w:t>
      </w:r>
      <w:r w:rsidRPr="00A720EE">
        <w:rPr>
          <w:rFonts w:ascii="Times New Roman" w:eastAsiaTheme="minorEastAsia" w:hAnsi="Times New Roman" w:cs="Times New Roman"/>
          <w:sz w:val="24"/>
          <w:szCs w:val="24"/>
          <w:lang w:eastAsia="pl-PL"/>
        </w:rPr>
        <w:t>6-12 i ust. 15a oraz art. 38hb ustawy CIT),</w:t>
      </w:r>
    </w:p>
    <w:p w14:paraId="1A3155F3" w14:textId="77777777" w:rsidR="00CF7604" w:rsidRPr="00A720EE" w:rsidRDefault="00CF7604" w:rsidP="00221011">
      <w:pPr>
        <w:widowControl w:val="0"/>
        <w:numPr>
          <w:ilvl w:val="0"/>
          <w:numId w:val="2"/>
        </w:numPr>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terminu aktualizacji indywidualnych danych podatnika (art. 27b</w:t>
      </w:r>
      <w:r w:rsidR="0091677C" w:rsidRPr="00A720EE">
        <w:rPr>
          <w:rFonts w:ascii="Times New Roman" w:eastAsiaTheme="minorEastAsia" w:hAnsi="Times New Roman" w:cs="Times New Roman"/>
          <w:sz w:val="24"/>
          <w:szCs w:val="24"/>
          <w:lang w:eastAsia="pl-PL"/>
        </w:rPr>
        <w:t xml:space="preserve"> ust. 8</w:t>
      </w:r>
      <w:r w:rsidR="00210406" w:rsidRPr="00A720EE">
        <w:rPr>
          <w:rFonts w:ascii="Times New Roman" w:eastAsiaTheme="minorEastAsia" w:hAnsi="Times New Roman" w:cs="Times New Roman"/>
          <w:sz w:val="24"/>
          <w:szCs w:val="24"/>
          <w:lang w:eastAsia="pl-PL"/>
        </w:rPr>
        <w:t xml:space="preserve"> ustawy CIT</w:t>
      </w:r>
      <w:r w:rsidRPr="00A720EE">
        <w:rPr>
          <w:rFonts w:ascii="Times New Roman" w:eastAsiaTheme="minorEastAsia" w:hAnsi="Times New Roman" w:cs="Times New Roman"/>
          <w:sz w:val="24"/>
          <w:szCs w:val="24"/>
          <w:lang w:eastAsia="pl-PL"/>
        </w:rPr>
        <w:t>)</w:t>
      </w:r>
      <w:r w:rsidR="00D5039E" w:rsidRPr="00A720EE">
        <w:rPr>
          <w:rFonts w:ascii="Times New Roman" w:eastAsiaTheme="minorEastAsia" w:hAnsi="Times New Roman" w:cs="Times New Roman"/>
          <w:sz w:val="24"/>
          <w:szCs w:val="24"/>
          <w:lang w:eastAsia="pl-PL"/>
        </w:rPr>
        <w:t>,</w:t>
      </w:r>
    </w:p>
    <w:p w14:paraId="71BB1049" w14:textId="203B6563" w:rsidR="002366DD" w:rsidRPr="00A720EE" w:rsidRDefault="00F201C4" w:rsidP="00221011">
      <w:pPr>
        <w:widowControl w:val="0"/>
        <w:numPr>
          <w:ilvl w:val="0"/>
          <w:numId w:val="2"/>
        </w:numPr>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uchylenie przepisów o</w:t>
      </w:r>
      <w:r w:rsidR="002366DD" w:rsidRPr="00A720EE">
        <w:rPr>
          <w:rFonts w:ascii="Times New Roman" w:eastAsiaTheme="minorEastAsia" w:hAnsi="Times New Roman" w:cs="Times New Roman"/>
          <w:sz w:val="24"/>
          <w:szCs w:val="24"/>
          <w:lang w:eastAsia="pl-PL"/>
        </w:rPr>
        <w:t xml:space="preserve"> </w:t>
      </w:r>
      <w:r w:rsidR="00654DF3" w:rsidRPr="00A720EE">
        <w:rPr>
          <w:rFonts w:ascii="Times New Roman" w:eastAsiaTheme="minorEastAsia" w:hAnsi="Times New Roman" w:cs="Times New Roman"/>
          <w:sz w:val="24"/>
          <w:szCs w:val="24"/>
          <w:lang w:eastAsia="pl-PL"/>
        </w:rPr>
        <w:t xml:space="preserve">tzw. </w:t>
      </w:r>
      <w:r w:rsidR="002366DD"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ukrytej </w:t>
      </w:r>
      <w:r w:rsidR="002366DD" w:rsidRPr="00A720EE">
        <w:rPr>
          <w:rFonts w:ascii="Times New Roman" w:eastAsiaTheme="minorEastAsia" w:hAnsi="Times New Roman" w:cs="Times New Roman"/>
          <w:sz w:val="24"/>
          <w:szCs w:val="24"/>
          <w:lang w:eastAsia="pl-PL"/>
        </w:rPr>
        <w:t>dywidend</w:t>
      </w:r>
      <w:r w:rsidRPr="00A720EE">
        <w:rPr>
          <w:rFonts w:ascii="Times New Roman" w:eastAsiaTheme="minorEastAsia" w:hAnsi="Times New Roman" w:cs="Times New Roman"/>
          <w:sz w:val="24"/>
          <w:szCs w:val="24"/>
          <w:lang w:eastAsia="pl-PL"/>
        </w:rPr>
        <w:t>zie</w:t>
      </w:r>
      <w:r w:rsidR="002366DD" w:rsidRPr="00A720EE">
        <w:rPr>
          <w:rFonts w:ascii="Times New Roman" w:eastAsiaTheme="minorEastAsia" w:hAnsi="Times New Roman" w:cs="Times New Roman"/>
          <w:sz w:val="24"/>
          <w:szCs w:val="24"/>
          <w:lang w:eastAsia="pl-PL"/>
        </w:rPr>
        <w:t>”</w:t>
      </w:r>
      <w:r w:rsidR="00D5039E" w:rsidRPr="00A720EE">
        <w:rPr>
          <w:rFonts w:ascii="Times New Roman" w:eastAsiaTheme="minorEastAsia" w:hAnsi="Times New Roman" w:cs="Times New Roman"/>
          <w:sz w:val="24"/>
          <w:szCs w:val="24"/>
          <w:lang w:eastAsia="pl-PL"/>
        </w:rPr>
        <w:t xml:space="preserve"> (</w:t>
      </w:r>
      <w:r w:rsidR="008B3B56" w:rsidRPr="00A720EE">
        <w:rPr>
          <w:rFonts w:ascii="Times New Roman" w:eastAsiaTheme="minorEastAsia" w:hAnsi="Times New Roman" w:cs="Times New Roman"/>
          <w:sz w:val="24"/>
          <w:szCs w:val="24"/>
          <w:lang w:eastAsia="pl-PL"/>
        </w:rPr>
        <w:t xml:space="preserve">art. 2 pkt 31 lit. a </w:t>
      </w:r>
      <w:proofErr w:type="spellStart"/>
      <w:r w:rsidR="008B3B56" w:rsidRPr="00A720EE">
        <w:rPr>
          <w:rFonts w:ascii="Times New Roman" w:eastAsiaTheme="minorEastAsia" w:hAnsi="Times New Roman" w:cs="Times New Roman"/>
          <w:sz w:val="24"/>
          <w:szCs w:val="24"/>
          <w:lang w:eastAsia="pl-PL"/>
        </w:rPr>
        <w:t>tiret</w:t>
      </w:r>
      <w:proofErr w:type="spellEnd"/>
      <w:r w:rsidR="008B3B56" w:rsidRPr="00A720EE">
        <w:rPr>
          <w:rFonts w:ascii="Times New Roman" w:eastAsiaTheme="minorEastAsia" w:hAnsi="Times New Roman" w:cs="Times New Roman"/>
          <w:sz w:val="24"/>
          <w:szCs w:val="24"/>
          <w:lang w:eastAsia="pl-PL"/>
        </w:rPr>
        <w:t xml:space="preserve"> trzecie i</w:t>
      </w:r>
      <w:r w:rsidR="00837B43" w:rsidRPr="00A720EE">
        <w:rPr>
          <w:rFonts w:ascii="Times New Roman" w:eastAsiaTheme="minorEastAsia" w:hAnsi="Times New Roman" w:cs="Times New Roman"/>
          <w:sz w:val="24"/>
          <w:szCs w:val="24"/>
          <w:lang w:eastAsia="pl-PL"/>
        </w:rPr>
        <w:t> </w:t>
      </w:r>
      <w:r w:rsidR="008B3B56" w:rsidRPr="00A720EE">
        <w:rPr>
          <w:rFonts w:ascii="Times New Roman" w:eastAsiaTheme="minorEastAsia" w:hAnsi="Times New Roman" w:cs="Times New Roman"/>
          <w:sz w:val="24"/>
          <w:szCs w:val="24"/>
          <w:lang w:eastAsia="pl-PL"/>
        </w:rPr>
        <w:t>lit.</w:t>
      </w:r>
      <w:r w:rsidR="00837B43" w:rsidRPr="00A720EE">
        <w:rPr>
          <w:rFonts w:ascii="Times New Roman" w:eastAsiaTheme="minorEastAsia" w:hAnsi="Times New Roman" w:cs="Times New Roman"/>
          <w:sz w:val="24"/>
          <w:szCs w:val="24"/>
          <w:lang w:eastAsia="pl-PL"/>
        </w:rPr>
        <w:t> </w:t>
      </w:r>
      <w:r w:rsidR="008B3B56" w:rsidRPr="00A720EE">
        <w:rPr>
          <w:rFonts w:ascii="Times New Roman" w:eastAsiaTheme="minorEastAsia" w:hAnsi="Times New Roman" w:cs="Times New Roman"/>
          <w:sz w:val="24"/>
          <w:szCs w:val="24"/>
          <w:lang w:eastAsia="pl-PL"/>
        </w:rPr>
        <w:t xml:space="preserve">b ustawy </w:t>
      </w:r>
      <w:r w:rsidR="00A34465" w:rsidRPr="00A720EE">
        <w:rPr>
          <w:rFonts w:ascii="Times New Roman" w:eastAsiaTheme="minorEastAsia" w:hAnsi="Times New Roman" w:cs="Times New Roman"/>
          <w:sz w:val="24"/>
          <w:szCs w:val="24"/>
          <w:lang w:eastAsia="pl-PL"/>
        </w:rPr>
        <w:t>z 29 października 2021 r.</w:t>
      </w:r>
      <w:r w:rsidR="00D5039E" w:rsidRPr="00A720EE">
        <w:rPr>
          <w:rFonts w:ascii="Times New Roman" w:eastAsiaTheme="minorEastAsia" w:hAnsi="Times New Roman" w:cs="Times New Roman"/>
          <w:sz w:val="24"/>
          <w:szCs w:val="24"/>
          <w:lang w:eastAsia="pl-PL"/>
        </w:rPr>
        <w:t>)</w:t>
      </w:r>
      <w:r w:rsidR="002366DD" w:rsidRPr="00A720EE">
        <w:rPr>
          <w:rFonts w:ascii="Times New Roman" w:eastAsiaTheme="minorEastAsia" w:hAnsi="Times New Roman" w:cs="Times New Roman"/>
          <w:sz w:val="24"/>
          <w:szCs w:val="24"/>
          <w:lang w:eastAsia="pl-PL"/>
        </w:rPr>
        <w:t>,</w:t>
      </w:r>
    </w:p>
    <w:p w14:paraId="306CA586" w14:textId="77777777" w:rsidR="00C21893" w:rsidRPr="00A720EE" w:rsidRDefault="00C21893" w:rsidP="00C21893">
      <w:pPr>
        <w:widowControl w:val="0"/>
        <w:numPr>
          <w:ilvl w:val="0"/>
          <w:numId w:val="2"/>
        </w:numPr>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przepisów dotyczących obowiązku dokumentacyjnego w zakresie tzw. pośrednich transakcji rajowych (art. 11o ustawy CIT i art. 23za ustawy PIT),</w:t>
      </w:r>
    </w:p>
    <w:p w14:paraId="5316D9D3" w14:textId="0092A456" w:rsidR="00CF7BE5" w:rsidRPr="00A720EE" w:rsidRDefault="00CF7BE5" w:rsidP="00221011">
      <w:pPr>
        <w:pStyle w:val="Akapitzlist"/>
        <w:numPr>
          <w:ilvl w:val="0"/>
          <w:numId w:val="2"/>
        </w:numPr>
        <w:spacing w:before="120"/>
        <w:ind w:left="782" w:hanging="357"/>
        <w:jc w:val="both"/>
        <w:rPr>
          <w:rFonts w:ascii="Times New Roman" w:hAnsi="Times New Roman" w:cs="Times New Roman"/>
          <w:sz w:val="24"/>
          <w:szCs w:val="24"/>
        </w:rPr>
      </w:pPr>
      <w:r w:rsidRPr="00A720EE">
        <w:rPr>
          <w:rFonts w:ascii="Times New Roman" w:hAnsi="Times New Roman" w:cs="Times New Roman"/>
          <w:sz w:val="24"/>
          <w:szCs w:val="24"/>
        </w:rPr>
        <w:t xml:space="preserve">zmiana przepisów o zagranicznych jednostkach kontrolowanych (CFC) w zakresie </w:t>
      </w:r>
      <w:r w:rsidR="000E53FD" w:rsidRPr="00A720EE">
        <w:rPr>
          <w:rFonts w:ascii="Times New Roman" w:hAnsi="Times New Roman" w:cs="Times New Roman"/>
          <w:sz w:val="24"/>
          <w:szCs w:val="24"/>
        </w:rPr>
        <w:t>wyeliminowania wątpliwości co do zasad ustalania dochodu</w:t>
      </w:r>
      <w:r w:rsidRPr="00A720EE">
        <w:rPr>
          <w:rFonts w:ascii="Times New Roman" w:hAnsi="Times New Roman" w:cs="Times New Roman"/>
          <w:sz w:val="24"/>
          <w:szCs w:val="24"/>
        </w:rPr>
        <w:t xml:space="preserve"> CFC (art. 24a </w:t>
      </w:r>
      <w:r w:rsidR="0032515D" w:rsidRPr="00A720EE">
        <w:rPr>
          <w:rFonts w:ascii="Times New Roman" w:hAnsi="Times New Roman" w:cs="Times New Roman"/>
          <w:sz w:val="24"/>
          <w:szCs w:val="24"/>
        </w:rPr>
        <w:t xml:space="preserve">ust. 6c, </w:t>
      </w:r>
      <w:r w:rsidR="00306B9C" w:rsidRPr="00A720EE">
        <w:rPr>
          <w:rFonts w:ascii="Times New Roman" w:hAnsi="Times New Roman" w:cs="Times New Roman"/>
          <w:sz w:val="24"/>
          <w:szCs w:val="24"/>
        </w:rPr>
        <w:t>ust. 11</w:t>
      </w:r>
      <w:r w:rsidRPr="00A720EE">
        <w:rPr>
          <w:rFonts w:ascii="Times New Roman" w:hAnsi="Times New Roman" w:cs="Times New Roman"/>
          <w:sz w:val="24"/>
          <w:szCs w:val="24"/>
        </w:rPr>
        <w:t xml:space="preserve">), zbycia aktywów w trakcie roku (art. 24a ust. 3f) </w:t>
      </w:r>
      <w:r w:rsidR="00286EC5" w:rsidRPr="00A720EE">
        <w:rPr>
          <w:rFonts w:ascii="Times New Roman" w:hAnsi="Times New Roman" w:cs="Times New Roman"/>
          <w:sz w:val="24"/>
          <w:szCs w:val="24"/>
        </w:rPr>
        <w:t>oraz</w:t>
      </w:r>
      <w:r w:rsidRPr="00A720EE">
        <w:rPr>
          <w:rFonts w:ascii="Times New Roman" w:hAnsi="Times New Roman" w:cs="Times New Roman"/>
          <w:sz w:val="24"/>
          <w:szCs w:val="24"/>
        </w:rPr>
        <w:t xml:space="preserve"> </w:t>
      </w:r>
      <w:r w:rsidR="00286EC5" w:rsidRPr="00A720EE">
        <w:rPr>
          <w:rFonts w:ascii="Times New Roman" w:hAnsi="Times New Roman" w:cs="Times New Roman"/>
          <w:sz w:val="24"/>
          <w:szCs w:val="24"/>
        </w:rPr>
        <w:t>zmiany mające na celu odpowiednie ujęcie dodatkowych przesłanek CFC wprowadzonych ustawą z 21 października 2021 r.</w:t>
      </w:r>
      <w:r w:rsidRPr="00A720EE">
        <w:rPr>
          <w:rFonts w:ascii="Times New Roman" w:hAnsi="Times New Roman" w:cs="Times New Roman"/>
          <w:sz w:val="24"/>
          <w:szCs w:val="24"/>
        </w:rPr>
        <w:t xml:space="preserve"> (art. 24a ust. 2 pkt 3</w:t>
      </w:r>
      <w:r w:rsidR="00673426" w:rsidRPr="00A720EE">
        <w:rPr>
          <w:rFonts w:ascii="Times New Roman" w:hAnsi="Times New Roman" w:cs="Times New Roman"/>
          <w:sz w:val="24"/>
          <w:szCs w:val="24"/>
        </w:rPr>
        <w:t xml:space="preserve"> i ust. 3a</w:t>
      </w:r>
      <w:r w:rsidRPr="00A720EE">
        <w:rPr>
          <w:rFonts w:ascii="Times New Roman" w:hAnsi="Times New Roman" w:cs="Times New Roman"/>
          <w:sz w:val="24"/>
          <w:szCs w:val="24"/>
        </w:rPr>
        <w:t>),</w:t>
      </w:r>
      <w:r w:rsidR="005E0698" w:rsidRPr="00A720EE">
        <w:rPr>
          <w:rFonts w:ascii="Times New Roman" w:hAnsi="Times New Roman" w:cs="Times New Roman"/>
          <w:sz w:val="24"/>
          <w:szCs w:val="24"/>
        </w:rPr>
        <w:t xml:space="preserve"> jak również analogiczna zmiana art. 30f ustawy PIT</w:t>
      </w:r>
      <w:r w:rsidR="004F344B" w:rsidRPr="00A720EE">
        <w:rPr>
          <w:rFonts w:ascii="Times New Roman" w:hAnsi="Times New Roman" w:cs="Times New Roman"/>
          <w:sz w:val="24"/>
          <w:szCs w:val="24"/>
        </w:rPr>
        <w:t xml:space="preserve"> (art. 30f ust. 2 pkt 3, </w:t>
      </w:r>
      <w:r w:rsidR="00286EC5" w:rsidRPr="00A720EE">
        <w:rPr>
          <w:rFonts w:ascii="Times New Roman" w:hAnsi="Times New Roman" w:cs="Times New Roman"/>
          <w:sz w:val="24"/>
          <w:szCs w:val="24"/>
        </w:rPr>
        <w:t xml:space="preserve">ust. 3a, </w:t>
      </w:r>
      <w:r w:rsidR="004F344B" w:rsidRPr="00A720EE">
        <w:rPr>
          <w:rFonts w:ascii="Times New Roman" w:hAnsi="Times New Roman" w:cs="Times New Roman"/>
          <w:sz w:val="24"/>
          <w:szCs w:val="24"/>
        </w:rPr>
        <w:t xml:space="preserve">ust. 3f, </w:t>
      </w:r>
      <w:r w:rsidR="00221011" w:rsidRPr="00A720EE">
        <w:rPr>
          <w:rFonts w:ascii="Times New Roman" w:hAnsi="Times New Roman" w:cs="Times New Roman"/>
          <w:sz w:val="24"/>
          <w:szCs w:val="24"/>
        </w:rPr>
        <w:t>ust. 7c</w:t>
      </w:r>
      <w:r w:rsidR="000E53FD" w:rsidRPr="00A720EE">
        <w:rPr>
          <w:rFonts w:ascii="Times New Roman" w:hAnsi="Times New Roman" w:cs="Times New Roman"/>
          <w:sz w:val="24"/>
          <w:szCs w:val="24"/>
        </w:rPr>
        <w:t xml:space="preserve">, ust. 12 </w:t>
      </w:r>
      <w:r w:rsidR="004F344B" w:rsidRPr="00A720EE">
        <w:rPr>
          <w:rFonts w:ascii="Times New Roman" w:hAnsi="Times New Roman" w:cs="Times New Roman"/>
          <w:sz w:val="24"/>
          <w:szCs w:val="24"/>
        </w:rPr>
        <w:t>ustawy PIT),</w:t>
      </w:r>
    </w:p>
    <w:p w14:paraId="2EAF4CD2" w14:textId="14B71BCF" w:rsidR="003E765F" w:rsidRPr="00A720EE" w:rsidRDefault="003E765F" w:rsidP="000151A2">
      <w:pPr>
        <w:widowControl w:val="0"/>
        <w:numPr>
          <w:ilvl w:val="0"/>
          <w:numId w:val="2"/>
        </w:numPr>
        <w:autoSpaceDE w:val="0"/>
        <w:autoSpaceDN w:val="0"/>
        <w:adjustRightInd w:val="0"/>
        <w:spacing w:before="120" w:after="120" w:line="276" w:lineRule="auto"/>
        <w:ind w:left="782" w:hanging="357"/>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przepisów dotyczących opodatkowania podatkiem od przerzuconych dochodów (art. 24aa ust. </w:t>
      </w:r>
      <w:r w:rsidR="00BB7C27" w:rsidRPr="00A720EE">
        <w:rPr>
          <w:rFonts w:ascii="Times New Roman" w:eastAsiaTheme="minorEastAsia" w:hAnsi="Times New Roman" w:cs="Times New Roman"/>
          <w:sz w:val="24"/>
          <w:szCs w:val="24"/>
          <w:lang w:eastAsia="pl-PL"/>
        </w:rPr>
        <w:t>1</w:t>
      </w:r>
      <w:r w:rsidR="0032515D" w:rsidRPr="00A720EE">
        <w:rPr>
          <w:rFonts w:ascii="Times New Roman" w:eastAsiaTheme="minorEastAsia" w:hAnsi="Times New Roman" w:cs="Times New Roman"/>
          <w:sz w:val="24"/>
          <w:szCs w:val="24"/>
          <w:lang w:eastAsia="pl-PL"/>
        </w:rPr>
        <w:t xml:space="preserve">, 2, 2a, 2b, </w:t>
      </w:r>
      <w:r w:rsidR="00BB7C27" w:rsidRPr="00A720EE">
        <w:rPr>
          <w:rFonts w:ascii="Times New Roman" w:eastAsiaTheme="minorEastAsia" w:hAnsi="Times New Roman" w:cs="Times New Roman"/>
          <w:sz w:val="24"/>
          <w:szCs w:val="24"/>
          <w:lang w:eastAsia="pl-PL"/>
        </w:rPr>
        <w:t>3</w:t>
      </w:r>
      <w:r w:rsidR="00CF7BE5" w:rsidRPr="00A720EE">
        <w:rPr>
          <w:rFonts w:ascii="Times New Roman" w:eastAsiaTheme="minorEastAsia" w:hAnsi="Times New Roman" w:cs="Times New Roman"/>
          <w:sz w:val="24"/>
          <w:szCs w:val="24"/>
          <w:lang w:eastAsia="pl-PL"/>
        </w:rPr>
        <w:t xml:space="preserve">, 3a, </w:t>
      </w:r>
      <w:r w:rsidR="00286EC5" w:rsidRPr="00A720EE">
        <w:rPr>
          <w:rFonts w:ascii="Times New Roman" w:eastAsiaTheme="minorEastAsia" w:hAnsi="Times New Roman" w:cs="Times New Roman"/>
          <w:sz w:val="24"/>
          <w:szCs w:val="24"/>
          <w:lang w:eastAsia="pl-PL"/>
        </w:rPr>
        <w:t xml:space="preserve"> </w:t>
      </w:r>
      <w:r w:rsidR="0032515D" w:rsidRPr="00A720EE">
        <w:rPr>
          <w:rFonts w:ascii="Times New Roman" w:eastAsiaTheme="minorEastAsia" w:hAnsi="Times New Roman" w:cs="Times New Roman"/>
          <w:sz w:val="24"/>
          <w:szCs w:val="24"/>
          <w:lang w:eastAsia="pl-PL"/>
        </w:rPr>
        <w:t xml:space="preserve">5, 7, </w:t>
      </w:r>
      <w:r w:rsidR="00BB7C27" w:rsidRPr="00A720EE">
        <w:rPr>
          <w:rFonts w:ascii="Times New Roman" w:eastAsiaTheme="minorEastAsia" w:hAnsi="Times New Roman" w:cs="Times New Roman"/>
          <w:sz w:val="24"/>
          <w:szCs w:val="24"/>
          <w:lang w:eastAsia="pl-PL"/>
        </w:rPr>
        <w:t>8</w:t>
      </w:r>
      <w:r w:rsidR="00CF7BE5" w:rsidRPr="00A720EE">
        <w:rPr>
          <w:rFonts w:ascii="Times New Roman" w:eastAsiaTheme="minorEastAsia" w:hAnsi="Times New Roman" w:cs="Times New Roman"/>
          <w:sz w:val="24"/>
          <w:szCs w:val="24"/>
          <w:lang w:eastAsia="pl-PL"/>
        </w:rPr>
        <w:t>,</w:t>
      </w:r>
      <w:r w:rsidR="0032515D" w:rsidRPr="00A720EE">
        <w:rPr>
          <w:rFonts w:ascii="Times New Roman" w:eastAsiaTheme="minorEastAsia" w:hAnsi="Times New Roman" w:cs="Times New Roman"/>
          <w:sz w:val="24"/>
          <w:szCs w:val="24"/>
          <w:lang w:eastAsia="pl-PL"/>
        </w:rPr>
        <w:t xml:space="preserve"> 10,</w:t>
      </w:r>
      <w:r w:rsidR="00CF7BE5" w:rsidRPr="00A720EE">
        <w:rPr>
          <w:rFonts w:ascii="Times New Roman" w:eastAsiaTheme="minorEastAsia" w:hAnsi="Times New Roman" w:cs="Times New Roman"/>
          <w:sz w:val="24"/>
          <w:szCs w:val="24"/>
          <w:lang w:eastAsia="pl-PL"/>
        </w:rPr>
        <w:t xml:space="preserve"> 13, 14 i 15 </w:t>
      </w:r>
      <w:r w:rsidR="00210406" w:rsidRPr="00A720EE">
        <w:rPr>
          <w:rFonts w:ascii="Times New Roman" w:eastAsiaTheme="minorEastAsia" w:hAnsi="Times New Roman" w:cs="Times New Roman"/>
          <w:sz w:val="24"/>
          <w:szCs w:val="24"/>
          <w:lang w:eastAsia="pl-PL"/>
        </w:rPr>
        <w:t>ustawy CIT</w:t>
      </w:r>
      <w:r w:rsidRPr="00A720EE">
        <w:rPr>
          <w:rFonts w:ascii="Times New Roman" w:eastAsiaTheme="minorEastAsia" w:hAnsi="Times New Roman" w:cs="Times New Roman"/>
          <w:sz w:val="24"/>
          <w:szCs w:val="24"/>
          <w:lang w:eastAsia="pl-PL"/>
        </w:rPr>
        <w:t>),</w:t>
      </w:r>
    </w:p>
    <w:p w14:paraId="1622CD9D" w14:textId="3B3ECC95" w:rsidR="002366DD" w:rsidRPr="00A720EE" w:rsidRDefault="002E12B2" w:rsidP="000151A2">
      <w:pPr>
        <w:widowControl w:val="0"/>
        <w:numPr>
          <w:ilvl w:val="0"/>
          <w:numId w:val="2"/>
        </w:numPr>
        <w:autoSpaceDE w:val="0"/>
        <w:autoSpaceDN w:val="0"/>
        <w:adjustRightInd w:val="0"/>
        <w:spacing w:before="120"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uchylenie niektórych obowiązków płatników w zakresie opodatkowania u źródła odsetek i dyskonta od skarbowych papierów wartościowych oraz uelastycznienie konstrukcji oświadczenia płatnik</w:t>
      </w:r>
      <w:r w:rsidR="00F7753E" w:rsidRPr="00A720EE">
        <w:rPr>
          <w:rFonts w:ascii="Times New Roman" w:eastAsiaTheme="minorEastAsia" w:hAnsi="Times New Roman" w:cs="Times New Roman"/>
          <w:sz w:val="24"/>
          <w:szCs w:val="24"/>
          <w:lang w:eastAsia="pl-PL"/>
        </w:rPr>
        <w:t>ów</w:t>
      </w:r>
      <w:r w:rsidRPr="00A720EE">
        <w:rPr>
          <w:rFonts w:ascii="Times New Roman" w:eastAsiaTheme="minorEastAsia" w:hAnsi="Times New Roman" w:cs="Times New Roman"/>
          <w:sz w:val="24"/>
          <w:szCs w:val="24"/>
          <w:lang w:eastAsia="pl-PL"/>
        </w:rPr>
        <w:t xml:space="preserve"> </w:t>
      </w:r>
      <w:r w:rsidR="00F7753E" w:rsidRPr="00A720EE">
        <w:rPr>
          <w:rFonts w:ascii="Times New Roman" w:eastAsiaTheme="minorEastAsia" w:hAnsi="Times New Roman" w:cs="Times New Roman"/>
          <w:sz w:val="24"/>
          <w:szCs w:val="24"/>
          <w:lang w:eastAsia="pl-PL"/>
        </w:rPr>
        <w:t xml:space="preserve">(emitentów) </w:t>
      </w:r>
      <w:r w:rsidRPr="00A720EE">
        <w:rPr>
          <w:rFonts w:ascii="Times New Roman" w:eastAsiaTheme="minorEastAsia" w:hAnsi="Times New Roman" w:cs="Times New Roman"/>
          <w:sz w:val="24"/>
          <w:szCs w:val="24"/>
          <w:lang w:eastAsia="pl-PL"/>
        </w:rPr>
        <w:t xml:space="preserve">wyłączającego obowiązek stosowania mechanizmu </w:t>
      </w:r>
      <w:proofErr w:type="spellStart"/>
      <w:r w:rsidRPr="00A720EE">
        <w:rPr>
          <w:rFonts w:ascii="Times New Roman" w:eastAsiaTheme="minorEastAsia" w:hAnsi="Times New Roman" w:cs="Times New Roman"/>
          <w:i/>
          <w:sz w:val="24"/>
          <w:szCs w:val="24"/>
          <w:lang w:eastAsia="pl-PL"/>
        </w:rPr>
        <w:t>pay</w:t>
      </w:r>
      <w:proofErr w:type="spellEnd"/>
      <w:r w:rsidRPr="00A720EE">
        <w:rPr>
          <w:rFonts w:ascii="Times New Roman" w:eastAsiaTheme="minorEastAsia" w:hAnsi="Times New Roman" w:cs="Times New Roman"/>
          <w:i/>
          <w:sz w:val="24"/>
          <w:szCs w:val="24"/>
          <w:lang w:eastAsia="pl-PL"/>
        </w:rPr>
        <w:t xml:space="preserve"> &amp; </w:t>
      </w:r>
      <w:proofErr w:type="spellStart"/>
      <w:r w:rsidRPr="00A720EE">
        <w:rPr>
          <w:rFonts w:ascii="Times New Roman" w:eastAsiaTheme="minorEastAsia" w:hAnsi="Times New Roman" w:cs="Times New Roman"/>
          <w:i/>
          <w:sz w:val="24"/>
          <w:szCs w:val="24"/>
          <w:lang w:eastAsia="pl-PL"/>
        </w:rPr>
        <w:t>refund</w:t>
      </w:r>
      <w:proofErr w:type="spellEnd"/>
      <w:r w:rsidRPr="00A720EE">
        <w:rPr>
          <w:rFonts w:ascii="Times New Roman" w:eastAsiaTheme="minorEastAsia" w:hAnsi="Times New Roman" w:cs="Times New Roman"/>
          <w:sz w:val="24"/>
          <w:szCs w:val="24"/>
          <w:lang w:eastAsia="pl-PL"/>
        </w:rPr>
        <w:t xml:space="preserve"> (art. 26 ustawy CIT oraz art. 41 ustawy PIT)</w:t>
      </w:r>
      <w:r w:rsidR="002366DD" w:rsidRPr="00A720EE">
        <w:rPr>
          <w:rFonts w:ascii="Times New Roman" w:eastAsiaTheme="minorEastAsia" w:hAnsi="Times New Roman" w:cs="Times New Roman"/>
          <w:sz w:val="24"/>
          <w:szCs w:val="24"/>
          <w:lang w:eastAsia="pl-PL"/>
        </w:rPr>
        <w:t>,</w:t>
      </w:r>
    </w:p>
    <w:p w14:paraId="5036B1C9" w14:textId="4FB2A041" w:rsidR="002366DD" w:rsidRPr="00A720EE" w:rsidRDefault="002366DD" w:rsidP="000151A2">
      <w:pPr>
        <w:widowControl w:val="0"/>
        <w:numPr>
          <w:ilvl w:val="0"/>
          <w:numId w:val="2"/>
        </w:numPr>
        <w:autoSpaceDE w:val="0"/>
        <w:autoSpaceDN w:val="0"/>
        <w:adjustRightInd w:val="0"/>
        <w:spacing w:before="120" w:after="120" w:line="276" w:lineRule="auto"/>
        <w:ind w:left="782" w:hanging="357"/>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zmiany w rozliczaniu kosztów finansowania dłużnego w kosztach podatkowych</w:t>
      </w:r>
      <w:r w:rsidR="00CF7604" w:rsidRPr="00A720EE">
        <w:rPr>
          <w:rFonts w:ascii="Times New Roman" w:eastAsiaTheme="minorEastAsia" w:hAnsi="Times New Roman" w:cs="Times New Roman"/>
          <w:sz w:val="24"/>
          <w:szCs w:val="24"/>
          <w:lang w:eastAsia="pl-PL"/>
        </w:rPr>
        <w:t xml:space="preserve"> (art.</w:t>
      </w:r>
      <w:r w:rsidR="00837B43" w:rsidRPr="00A720EE">
        <w:rPr>
          <w:rFonts w:ascii="Times New Roman" w:eastAsiaTheme="minorEastAsia" w:hAnsi="Times New Roman" w:cs="Times New Roman"/>
          <w:sz w:val="24"/>
          <w:szCs w:val="24"/>
          <w:lang w:eastAsia="pl-PL"/>
        </w:rPr>
        <w:t> </w:t>
      </w:r>
      <w:r w:rsidR="00CF7604" w:rsidRPr="00A720EE">
        <w:rPr>
          <w:rFonts w:ascii="Times New Roman" w:eastAsiaTheme="minorEastAsia" w:hAnsi="Times New Roman" w:cs="Times New Roman"/>
          <w:sz w:val="24"/>
          <w:szCs w:val="24"/>
          <w:lang w:eastAsia="pl-PL"/>
        </w:rPr>
        <w:t>15c</w:t>
      </w:r>
      <w:r w:rsidR="00BF17CC" w:rsidRPr="00A720EE">
        <w:rPr>
          <w:rFonts w:ascii="Times New Roman" w:eastAsiaTheme="minorEastAsia" w:hAnsi="Times New Roman" w:cs="Times New Roman"/>
          <w:sz w:val="24"/>
          <w:szCs w:val="24"/>
          <w:lang w:eastAsia="pl-PL"/>
        </w:rPr>
        <w:t xml:space="preserve"> ust. 1</w:t>
      </w:r>
      <w:r w:rsidR="00747287" w:rsidRPr="00A720EE">
        <w:rPr>
          <w:rFonts w:ascii="Times New Roman" w:eastAsiaTheme="minorEastAsia" w:hAnsi="Times New Roman" w:cs="Times New Roman"/>
          <w:sz w:val="24"/>
          <w:szCs w:val="24"/>
          <w:lang w:eastAsia="pl-PL"/>
        </w:rPr>
        <w:t xml:space="preserve"> i</w:t>
      </w:r>
      <w:r w:rsidR="00CF7604" w:rsidRPr="00A720EE">
        <w:rPr>
          <w:rFonts w:ascii="Times New Roman" w:eastAsiaTheme="minorEastAsia" w:hAnsi="Times New Roman" w:cs="Times New Roman"/>
          <w:sz w:val="24"/>
          <w:szCs w:val="24"/>
          <w:lang w:eastAsia="pl-PL"/>
        </w:rPr>
        <w:t xml:space="preserve"> art. 16</w:t>
      </w:r>
      <w:r w:rsidR="00BF17CC" w:rsidRPr="00A720EE">
        <w:rPr>
          <w:rFonts w:ascii="Times New Roman" w:eastAsiaTheme="minorEastAsia" w:hAnsi="Times New Roman" w:cs="Times New Roman"/>
          <w:sz w:val="24"/>
          <w:szCs w:val="24"/>
          <w:lang w:eastAsia="pl-PL"/>
        </w:rPr>
        <w:t xml:space="preserve"> ust.</w:t>
      </w:r>
      <w:r w:rsidR="00F97DC4" w:rsidRPr="00A720EE">
        <w:rPr>
          <w:rFonts w:ascii="Times New Roman" w:eastAsiaTheme="minorEastAsia" w:hAnsi="Times New Roman" w:cs="Times New Roman"/>
          <w:sz w:val="24"/>
          <w:szCs w:val="24"/>
          <w:lang w:eastAsia="pl-PL"/>
        </w:rPr>
        <w:t xml:space="preserve"> 1</w:t>
      </w:r>
      <w:r w:rsidR="00BF17CC" w:rsidRPr="00A720EE">
        <w:rPr>
          <w:rFonts w:ascii="Times New Roman" w:eastAsiaTheme="minorEastAsia" w:hAnsi="Times New Roman" w:cs="Times New Roman"/>
          <w:sz w:val="24"/>
          <w:szCs w:val="24"/>
          <w:lang w:eastAsia="pl-PL"/>
        </w:rPr>
        <w:t xml:space="preserve"> </w:t>
      </w:r>
      <w:r w:rsidR="00F97DC4" w:rsidRPr="00A720EE">
        <w:rPr>
          <w:rFonts w:ascii="Times New Roman" w:eastAsiaTheme="minorEastAsia" w:hAnsi="Times New Roman" w:cs="Times New Roman"/>
          <w:sz w:val="24"/>
          <w:szCs w:val="24"/>
          <w:lang w:eastAsia="pl-PL"/>
        </w:rPr>
        <w:t>pkt 13f</w:t>
      </w:r>
      <w:r w:rsidR="00646649" w:rsidRPr="00A720EE">
        <w:rPr>
          <w:rFonts w:ascii="Times New Roman" w:eastAsiaTheme="minorEastAsia" w:hAnsi="Times New Roman" w:cs="Times New Roman"/>
          <w:sz w:val="24"/>
          <w:szCs w:val="24"/>
          <w:lang w:eastAsia="pl-PL"/>
        </w:rPr>
        <w:t xml:space="preserve"> </w:t>
      </w:r>
      <w:r w:rsidR="00210406" w:rsidRPr="00A720EE">
        <w:rPr>
          <w:rFonts w:ascii="Times New Roman" w:eastAsiaTheme="minorEastAsia" w:hAnsi="Times New Roman" w:cs="Times New Roman"/>
          <w:sz w:val="24"/>
          <w:szCs w:val="24"/>
          <w:lang w:eastAsia="pl-PL"/>
        </w:rPr>
        <w:t>ustawy CIT</w:t>
      </w:r>
      <w:r w:rsidR="00CF7604"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w:t>
      </w:r>
    </w:p>
    <w:p w14:paraId="5D4F5D3C" w14:textId="77777777" w:rsidR="00D7556F" w:rsidRPr="00A720EE" w:rsidRDefault="00D7556F" w:rsidP="000151A2">
      <w:pPr>
        <w:pStyle w:val="Akapitzlist"/>
        <w:numPr>
          <w:ilvl w:val="0"/>
          <w:numId w:val="2"/>
        </w:numPr>
        <w:spacing w:before="120" w:after="120" w:line="276" w:lineRule="auto"/>
        <w:ind w:left="782" w:hanging="357"/>
        <w:contextualSpacing w:val="0"/>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przepisów dotyczących polskiej spółki holdingowej (PSH) (art. 24m i art. 24n ustawy CIT),</w:t>
      </w:r>
    </w:p>
    <w:p w14:paraId="709AE07E" w14:textId="77777777" w:rsidR="00B24743" w:rsidRPr="00A720EE" w:rsidRDefault="000C19B6" w:rsidP="000151A2">
      <w:pPr>
        <w:pStyle w:val="Akapitzlist"/>
        <w:numPr>
          <w:ilvl w:val="0"/>
          <w:numId w:val="2"/>
        </w:numPr>
        <w:spacing w:before="120" w:after="120" w:line="276" w:lineRule="auto"/>
        <w:ind w:left="782" w:hanging="357"/>
        <w:contextualSpacing w:val="0"/>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lastRenderedPageBreak/>
        <w:t xml:space="preserve">zmiany w przepisach dotyczących ulgi na zatrudnienie innowacyjnych pracowników o charakterze dostosowawczym, wynikające ze zmian wprowadzonych w ustawie PIT (art. 18db ust. 2 ustawy CIT), </w:t>
      </w:r>
    </w:p>
    <w:p w14:paraId="00A3382A" w14:textId="77777777" w:rsidR="000C19B6" w:rsidRPr="00A720EE" w:rsidRDefault="009A6BBC" w:rsidP="000151A2">
      <w:pPr>
        <w:pStyle w:val="Akapitzlist"/>
        <w:numPr>
          <w:ilvl w:val="0"/>
          <w:numId w:val="2"/>
        </w:numPr>
        <w:spacing w:before="120" w:after="120" w:line="276" w:lineRule="auto"/>
        <w:ind w:left="782" w:hanging="357"/>
        <w:contextualSpacing w:val="0"/>
        <w:jc w:val="both"/>
        <w:rPr>
          <w:rFonts w:ascii="Times New Roman" w:hAnsi="Times New Roman" w:cs="Times New Roman"/>
          <w:sz w:val="24"/>
          <w:szCs w:val="24"/>
          <w:lang w:eastAsia="pl-PL"/>
        </w:rPr>
      </w:pPr>
      <w:r w:rsidRPr="00A720EE">
        <w:rPr>
          <w:rFonts w:ascii="Times New Roman" w:eastAsiaTheme="minorEastAsia" w:hAnsi="Times New Roman" w:cs="Times New Roman"/>
          <w:sz w:val="24"/>
          <w:szCs w:val="24"/>
          <w:lang w:eastAsia="pl-PL"/>
        </w:rPr>
        <w:t>zmiany w przepisach dotyczących ulgi na dokonanie pierwszej oferty publicznej (art. 18ed ustawy CIT)</w:t>
      </w:r>
      <w:r w:rsidR="00BE5181" w:rsidRPr="00A720EE">
        <w:rPr>
          <w:rFonts w:ascii="Times New Roman" w:eastAsiaTheme="minorEastAsia" w:hAnsi="Times New Roman" w:cs="Times New Roman"/>
          <w:sz w:val="24"/>
          <w:szCs w:val="24"/>
          <w:lang w:eastAsia="pl-PL"/>
        </w:rPr>
        <w:t>,</w:t>
      </w:r>
      <w:r w:rsidR="007B03FB" w:rsidRPr="00A720EE">
        <w:rPr>
          <w:rFonts w:ascii="Times New Roman" w:hAnsi="Times New Roman" w:cs="Times New Roman"/>
          <w:sz w:val="24"/>
          <w:szCs w:val="24"/>
          <w:lang w:eastAsia="pl-PL"/>
        </w:rPr>
        <w:t xml:space="preserve"> </w:t>
      </w:r>
    </w:p>
    <w:p w14:paraId="10AE5670" w14:textId="77777777" w:rsidR="00E83893" w:rsidRPr="00A720EE" w:rsidRDefault="00E83893" w:rsidP="000151A2">
      <w:pPr>
        <w:pStyle w:val="Akapitzlist"/>
        <w:numPr>
          <w:ilvl w:val="0"/>
          <w:numId w:val="2"/>
        </w:numPr>
        <w:spacing w:before="120" w:after="120" w:line="276" w:lineRule="auto"/>
        <w:ind w:left="782" w:hanging="357"/>
        <w:contextualSpacing w:val="0"/>
        <w:jc w:val="both"/>
        <w:rPr>
          <w:rFonts w:ascii="Times New Roman" w:hAnsi="Times New Roman" w:cs="Times New Roman"/>
          <w:sz w:val="24"/>
          <w:szCs w:val="24"/>
          <w:lang w:eastAsia="pl-PL"/>
        </w:rPr>
      </w:pPr>
      <w:r w:rsidRPr="00A720EE">
        <w:rPr>
          <w:rFonts w:ascii="Times New Roman" w:hAnsi="Times New Roman" w:cs="Times New Roman"/>
          <w:sz w:val="24"/>
          <w:szCs w:val="24"/>
          <w:lang w:eastAsia="pl-PL"/>
        </w:rPr>
        <w:t>zmiany w przepisach dotyczących obowiązku przesyłania ksiąg i ewidencji za pomocą środków komunikacji elektronicznej (art. 9 ust. 1c ustawy CIT)</w:t>
      </w:r>
      <w:r w:rsidR="00083560" w:rsidRPr="00A720EE">
        <w:rPr>
          <w:rFonts w:ascii="Times New Roman" w:hAnsi="Times New Roman" w:cs="Times New Roman"/>
          <w:sz w:val="24"/>
          <w:szCs w:val="24"/>
          <w:lang w:eastAsia="pl-PL"/>
        </w:rPr>
        <w:t>,</w:t>
      </w:r>
    </w:p>
    <w:p w14:paraId="0B36BC7E" w14:textId="2B54FDC5" w:rsidR="007B03FB" w:rsidRPr="00A720EE" w:rsidRDefault="007B03FB" w:rsidP="00221011">
      <w:pPr>
        <w:pStyle w:val="Akapitzlist"/>
        <w:numPr>
          <w:ilvl w:val="0"/>
          <w:numId w:val="2"/>
        </w:numPr>
        <w:spacing w:before="120"/>
        <w:jc w:val="both"/>
        <w:rPr>
          <w:rFonts w:ascii="Times New Roman" w:hAnsi="Times New Roman" w:cs="Times New Roman"/>
          <w:sz w:val="24"/>
          <w:szCs w:val="24"/>
          <w:lang w:eastAsia="pl-PL"/>
        </w:rPr>
      </w:pPr>
      <w:r w:rsidRPr="00A720EE">
        <w:rPr>
          <w:rFonts w:ascii="Times New Roman" w:eastAsiaTheme="minorEastAsia" w:hAnsi="Times New Roman" w:cs="Times New Roman"/>
          <w:sz w:val="24"/>
          <w:szCs w:val="24"/>
          <w:lang w:eastAsia="pl-PL"/>
        </w:rPr>
        <w:t>uproszczenie przepisów o tzw. „uldze na złe długi” (art. 18f ust. 19 ustawy CIT</w:t>
      </w:r>
      <w:r w:rsidR="00673426"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w:t>
      </w:r>
      <w:r w:rsidRPr="00A720EE">
        <w:rPr>
          <w:rFonts w:ascii="Times New Roman" w:eastAsia="Times New Roman" w:hAnsi="Times New Roman" w:cs="Times New Roman"/>
          <w:sz w:val="24"/>
          <w:szCs w:val="24"/>
          <w:lang w:eastAsia="pl-PL"/>
        </w:rPr>
        <w:t>art. 26i ust. 19 ustawy PIT</w:t>
      </w:r>
      <w:r w:rsidR="00673426" w:rsidRPr="00A720EE">
        <w:rPr>
          <w:rFonts w:ascii="Times New Roman" w:eastAsia="Times New Roman" w:hAnsi="Times New Roman" w:cs="Times New Roman"/>
          <w:sz w:val="24"/>
          <w:szCs w:val="24"/>
          <w:lang w:eastAsia="pl-PL"/>
        </w:rPr>
        <w:t xml:space="preserve"> i art. 11 ust. 18 ustawy o ryczałcie</w:t>
      </w:r>
      <w:r w:rsidRPr="00A720EE">
        <w:rPr>
          <w:rFonts w:ascii="Times New Roman" w:eastAsiaTheme="minorEastAsia" w:hAnsi="Times New Roman" w:cs="Times New Roman"/>
          <w:sz w:val="24"/>
          <w:szCs w:val="24"/>
          <w:lang w:eastAsia="pl-PL"/>
        </w:rPr>
        <w:t>)</w:t>
      </w:r>
      <w:r w:rsidR="0032515D" w:rsidRPr="00A720EE">
        <w:rPr>
          <w:rFonts w:ascii="Times New Roman" w:eastAsiaTheme="minorEastAsia" w:hAnsi="Times New Roman" w:cs="Times New Roman"/>
          <w:sz w:val="24"/>
          <w:szCs w:val="24"/>
          <w:lang w:eastAsia="pl-PL"/>
        </w:rPr>
        <w:t xml:space="preserve"> jak również ich doprecyzowanie (art. 18f ust. 1a i ust. 2 ustawy CIT),</w:t>
      </w:r>
    </w:p>
    <w:p w14:paraId="1ED3C89D" w14:textId="1E2FB4F5" w:rsidR="00D53F40" w:rsidRPr="00A720EE" w:rsidRDefault="00BF17CC" w:rsidP="00221011">
      <w:pPr>
        <w:widowControl w:val="0"/>
        <w:numPr>
          <w:ilvl w:val="0"/>
          <w:numId w:val="2"/>
        </w:numPr>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przepisów dotyczących opodatkowania ryczałtem od dochodów spółek</w:t>
      </w:r>
      <w:r w:rsidR="00E34357" w:rsidRPr="00A720EE">
        <w:rPr>
          <w:rFonts w:ascii="Times New Roman" w:eastAsiaTheme="minorEastAsia" w:hAnsi="Times New Roman" w:cs="Times New Roman"/>
          <w:sz w:val="24"/>
          <w:szCs w:val="24"/>
          <w:lang w:eastAsia="pl-PL"/>
        </w:rPr>
        <w:t xml:space="preserve"> (</w:t>
      </w:r>
      <w:r w:rsidR="000C19B6" w:rsidRPr="00A720EE">
        <w:rPr>
          <w:rFonts w:ascii="Times New Roman" w:eastAsiaTheme="minorEastAsia" w:hAnsi="Times New Roman" w:cs="Times New Roman"/>
          <w:sz w:val="24"/>
          <w:szCs w:val="24"/>
          <w:lang w:eastAsia="pl-PL"/>
        </w:rPr>
        <w:t>art.</w:t>
      </w:r>
      <w:r w:rsidR="00837B43" w:rsidRPr="00A720EE">
        <w:rPr>
          <w:rFonts w:ascii="Times New Roman" w:eastAsiaTheme="minorEastAsia" w:hAnsi="Times New Roman" w:cs="Times New Roman"/>
          <w:sz w:val="24"/>
          <w:szCs w:val="24"/>
          <w:lang w:eastAsia="pl-PL"/>
        </w:rPr>
        <w:t> </w:t>
      </w:r>
      <w:r w:rsidR="000C19B6" w:rsidRPr="00A720EE">
        <w:rPr>
          <w:rFonts w:ascii="Times New Roman" w:eastAsiaTheme="minorEastAsia" w:hAnsi="Times New Roman" w:cs="Times New Roman"/>
          <w:sz w:val="24"/>
          <w:szCs w:val="24"/>
          <w:lang w:eastAsia="pl-PL"/>
        </w:rPr>
        <w:t>7aa ust. 5 pkt 1</w:t>
      </w:r>
      <w:r w:rsidR="003149EA" w:rsidRPr="00A720EE">
        <w:rPr>
          <w:rFonts w:ascii="Times New Roman" w:eastAsiaTheme="minorEastAsia" w:hAnsi="Times New Roman" w:cs="Times New Roman"/>
          <w:sz w:val="24"/>
          <w:szCs w:val="24"/>
          <w:lang w:eastAsia="pl-PL"/>
        </w:rPr>
        <w:t xml:space="preserve"> i </w:t>
      </w:r>
      <w:r w:rsidR="000C19B6" w:rsidRPr="00A720EE">
        <w:rPr>
          <w:rFonts w:ascii="Times New Roman" w:eastAsiaTheme="minorEastAsia" w:hAnsi="Times New Roman" w:cs="Times New Roman"/>
          <w:sz w:val="24"/>
          <w:szCs w:val="24"/>
          <w:lang w:eastAsia="pl-PL"/>
        </w:rPr>
        <w:t>ust. 9 pkt 4, art. 28j ust. 1 pkt 3 lit. b, ust. 3 pkt 2 i ust. 5, art.</w:t>
      </w:r>
      <w:r w:rsidR="00837B43" w:rsidRPr="00A720EE">
        <w:rPr>
          <w:rFonts w:ascii="Times New Roman" w:eastAsiaTheme="minorEastAsia" w:hAnsi="Times New Roman" w:cs="Times New Roman"/>
          <w:sz w:val="24"/>
          <w:szCs w:val="24"/>
          <w:lang w:eastAsia="pl-PL"/>
        </w:rPr>
        <w:t> </w:t>
      </w:r>
      <w:r w:rsidR="000C19B6" w:rsidRPr="00A720EE">
        <w:rPr>
          <w:rFonts w:ascii="Times New Roman" w:eastAsiaTheme="minorEastAsia" w:hAnsi="Times New Roman" w:cs="Times New Roman"/>
          <w:sz w:val="24"/>
          <w:szCs w:val="24"/>
          <w:lang w:eastAsia="pl-PL"/>
        </w:rPr>
        <w:t>28m ust. 4a i 5, art. 28n ust. 1 pkt 1 i ust. 2, art. 28r ust. 3 oraz art. 28t ust. 1 pkt 1 i 2 ustawy CIT</w:t>
      </w:r>
      <w:r w:rsidR="00E34357" w:rsidRPr="00A720EE">
        <w:rPr>
          <w:rFonts w:ascii="Times New Roman" w:eastAsiaTheme="minorEastAsia" w:hAnsi="Times New Roman" w:cs="Times New Roman"/>
          <w:sz w:val="24"/>
          <w:szCs w:val="24"/>
          <w:lang w:eastAsia="pl-PL"/>
        </w:rPr>
        <w:t>)</w:t>
      </w:r>
      <w:r w:rsidR="00D53F40" w:rsidRPr="00A720EE">
        <w:rPr>
          <w:rFonts w:ascii="Times New Roman" w:eastAsiaTheme="minorEastAsia" w:hAnsi="Times New Roman" w:cs="Times New Roman"/>
          <w:sz w:val="24"/>
          <w:szCs w:val="24"/>
          <w:lang w:eastAsia="pl-PL"/>
        </w:rPr>
        <w:t>,</w:t>
      </w:r>
    </w:p>
    <w:p w14:paraId="3DC3E2E3" w14:textId="77777777" w:rsidR="00D53F40" w:rsidRPr="00A720EE" w:rsidRDefault="00D53F40" w:rsidP="00221011">
      <w:pPr>
        <w:widowControl w:val="0"/>
        <w:numPr>
          <w:ilvl w:val="0"/>
          <w:numId w:val="2"/>
        </w:numPr>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w:t>
      </w:r>
      <w:r w:rsidR="00474F95" w:rsidRPr="00A720EE">
        <w:rPr>
          <w:rFonts w:ascii="Times New Roman" w:eastAsiaTheme="minorEastAsia" w:hAnsi="Times New Roman" w:cs="Times New Roman"/>
          <w:sz w:val="24"/>
          <w:szCs w:val="24"/>
          <w:lang w:eastAsia="pl-PL"/>
        </w:rPr>
        <w:t>przepisu dotyczącego terminu opłacenia składek z tytułu przychodów ze stosunku pracy i zrównanych, w części finansowanej przez płatnika, składek na Fundusz Pracy, Fundusz Solidarnościowy oraz Fundusz Gwarantowanych Świadczeń Pracowniczych (</w:t>
      </w:r>
      <w:r w:rsidRPr="00A720EE">
        <w:rPr>
          <w:rFonts w:ascii="Times New Roman" w:eastAsiaTheme="minorEastAsia" w:hAnsi="Times New Roman" w:cs="Times New Roman"/>
          <w:sz w:val="24"/>
          <w:szCs w:val="24"/>
          <w:lang w:eastAsia="pl-PL"/>
        </w:rPr>
        <w:t>art. 15 ust. 4h ustawy CIT</w:t>
      </w:r>
      <w:r w:rsidR="00474F95" w:rsidRPr="00A720EE">
        <w:rPr>
          <w:rFonts w:ascii="Times New Roman" w:eastAsiaTheme="minorEastAsia" w:hAnsi="Times New Roman" w:cs="Times New Roman"/>
          <w:sz w:val="24"/>
          <w:szCs w:val="24"/>
          <w:lang w:eastAsia="pl-PL"/>
        </w:rPr>
        <w:t>),</w:t>
      </w:r>
    </w:p>
    <w:p w14:paraId="1EE3EC9E" w14:textId="77777777" w:rsidR="007967E1" w:rsidRPr="00A720EE" w:rsidRDefault="00D53F40" w:rsidP="00221011">
      <w:pPr>
        <w:widowControl w:val="0"/>
        <w:numPr>
          <w:ilvl w:val="0"/>
          <w:numId w:val="2"/>
        </w:numPr>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przepis</w:t>
      </w:r>
      <w:r w:rsidR="00FD0CBC" w:rsidRPr="00A720EE">
        <w:rPr>
          <w:rFonts w:ascii="Times New Roman" w:eastAsiaTheme="minorEastAsia" w:hAnsi="Times New Roman" w:cs="Times New Roman"/>
          <w:sz w:val="24"/>
          <w:szCs w:val="24"/>
          <w:lang w:eastAsia="pl-PL"/>
        </w:rPr>
        <w:t>ów</w:t>
      </w:r>
      <w:r w:rsidRPr="00A720EE">
        <w:rPr>
          <w:rFonts w:ascii="Times New Roman" w:eastAsiaTheme="minorEastAsia" w:hAnsi="Times New Roman" w:cs="Times New Roman"/>
          <w:sz w:val="24"/>
          <w:szCs w:val="24"/>
          <w:lang w:eastAsia="pl-PL"/>
        </w:rPr>
        <w:t xml:space="preserve"> dotycząc</w:t>
      </w:r>
      <w:r w:rsidR="00FD0CBC" w:rsidRPr="00A720EE">
        <w:rPr>
          <w:rFonts w:ascii="Times New Roman" w:eastAsiaTheme="minorEastAsia" w:hAnsi="Times New Roman" w:cs="Times New Roman"/>
          <w:sz w:val="24"/>
          <w:szCs w:val="24"/>
          <w:lang w:eastAsia="pl-PL"/>
        </w:rPr>
        <w:t>ych</w:t>
      </w:r>
      <w:r w:rsidRPr="00A720EE">
        <w:rPr>
          <w:rFonts w:ascii="Times New Roman" w:eastAsiaTheme="minorEastAsia" w:hAnsi="Times New Roman" w:cs="Times New Roman"/>
          <w:sz w:val="24"/>
          <w:szCs w:val="24"/>
          <w:lang w:eastAsia="pl-PL"/>
        </w:rPr>
        <w:t xml:space="preserve"> procedury zwrotu podatku od przychodów z budynków (art. 24b ust. 15 </w:t>
      </w:r>
      <w:r w:rsidR="00FD0CBC" w:rsidRPr="00A720EE">
        <w:rPr>
          <w:rFonts w:ascii="Times New Roman" w:eastAsiaTheme="minorEastAsia" w:hAnsi="Times New Roman" w:cs="Times New Roman"/>
          <w:sz w:val="24"/>
          <w:szCs w:val="24"/>
          <w:lang w:eastAsia="pl-PL"/>
        </w:rPr>
        <w:t xml:space="preserve">i 16 </w:t>
      </w:r>
      <w:r w:rsidRPr="00A720EE">
        <w:rPr>
          <w:rFonts w:ascii="Times New Roman" w:eastAsiaTheme="minorEastAsia" w:hAnsi="Times New Roman" w:cs="Times New Roman"/>
          <w:sz w:val="24"/>
          <w:szCs w:val="24"/>
          <w:lang w:eastAsia="pl-PL"/>
        </w:rPr>
        <w:t xml:space="preserve">ustawy CIT i art. 30g ust. 15 </w:t>
      </w:r>
      <w:r w:rsidR="00FD0CBC" w:rsidRPr="00A720EE">
        <w:rPr>
          <w:rFonts w:ascii="Times New Roman" w:eastAsiaTheme="minorEastAsia" w:hAnsi="Times New Roman" w:cs="Times New Roman"/>
          <w:sz w:val="24"/>
          <w:szCs w:val="24"/>
          <w:lang w:eastAsia="pl-PL"/>
        </w:rPr>
        <w:t xml:space="preserve">i 16 </w:t>
      </w:r>
      <w:r w:rsidRPr="00A720EE">
        <w:rPr>
          <w:rFonts w:ascii="Times New Roman" w:eastAsiaTheme="minorEastAsia" w:hAnsi="Times New Roman" w:cs="Times New Roman"/>
          <w:sz w:val="24"/>
          <w:szCs w:val="24"/>
          <w:lang w:eastAsia="pl-PL"/>
        </w:rPr>
        <w:t>ustawy PIT)</w:t>
      </w:r>
      <w:r w:rsidR="007967E1" w:rsidRPr="00A720EE">
        <w:rPr>
          <w:rFonts w:ascii="Times New Roman" w:eastAsiaTheme="minorEastAsia" w:hAnsi="Times New Roman" w:cs="Times New Roman"/>
          <w:sz w:val="24"/>
          <w:szCs w:val="24"/>
          <w:lang w:eastAsia="pl-PL"/>
        </w:rPr>
        <w:t>,</w:t>
      </w:r>
    </w:p>
    <w:p w14:paraId="7A6D912B" w14:textId="77777777" w:rsidR="0098330B" w:rsidRPr="00A720EE" w:rsidRDefault="001F7731" w:rsidP="00221011">
      <w:pPr>
        <w:widowControl w:val="0"/>
        <w:numPr>
          <w:ilvl w:val="0"/>
          <w:numId w:val="2"/>
        </w:numPr>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doprecyzowanie przepisów </w:t>
      </w:r>
      <w:r w:rsidR="00140896" w:rsidRPr="00A720EE">
        <w:rPr>
          <w:rFonts w:ascii="Times New Roman" w:eastAsiaTheme="minorEastAsia" w:hAnsi="Times New Roman" w:cs="Times New Roman"/>
          <w:sz w:val="24"/>
          <w:szCs w:val="24"/>
          <w:lang w:eastAsia="pl-PL"/>
        </w:rPr>
        <w:t>w zakresie</w:t>
      </w:r>
      <w:r w:rsidRPr="00A720EE">
        <w:rPr>
          <w:rFonts w:ascii="Times New Roman" w:eastAsiaTheme="minorEastAsia" w:hAnsi="Times New Roman" w:cs="Times New Roman"/>
          <w:sz w:val="24"/>
          <w:szCs w:val="24"/>
          <w:lang w:eastAsia="pl-PL"/>
        </w:rPr>
        <w:t>,</w:t>
      </w:r>
      <w:r w:rsidR="00140896" w:rsidRPr="00A720EE">
        <w:rPr>
          <w:rFonts w:ascii="Times New Roman" w:eastAsiaTheme="minorEastAsia" w:hAnsi="Times New Roman" w:cs="Times New Roman"/>
          <w:sz w:val="24"/>
          <w:szCs w:val="24"/>
          <w:lang w:eastAsia="pl-PL"/>
        </w:rPr>
        <w:t xml:space="preserve"> w jakim nakładają na Ministra Finansów obowiązek </w:t>
      </w:r>
      <w:r w:rsidRPr="00A720EE">
        <w:rPr>
          <w:rFonts w:ascii="Times New Roman" w:eastAsiaTheme="minorEastAsia" w:hAnsi="Times New Roman" w:cs="Times New Roman"/>
          <w:sz w:val="24"/>
          <w:szCs w:val="24"/>
          <w:lang w:eastAsia="pl-PL"/>
        </w:rPr>
        <w:t xml:space="preserve">udostępniania wzorów deklaracji (art. 28a ust. 1 i 2 ustawy CIT, art. 45b ust. 1 i 2 ustawy PIT, art. 52 ust. 1 i 2 ustawy o ryczałcie oraz art. 84 ust. 2-4 ustawy </w:t>
      </w:r>
      <w:r w:rsidR="00A34465" w:rsidRPr="00A720EE">
        <w:rPr>
          <w:rFonts w:ascii="Times New Roman" w:eastAsiaTheme="minorEastAsia" w:hAnsi="Times New Roman" w:cs="Times New Roman"/>
          <w:sz w:val="24"/>
          <w:szCs w:val="24"/>
          <w:lang w:eastAsia="pl-PL"/>
        </w:rPr>
        <w:t>z 29 października 2021 r.</w:t>
      </w:r>
      <w:r w:rsidRPr="00A720EE">
        <w:rPr>
          <w:rFonts w:ascii="Times New Roman" w:eastAsiaTheme="minorEastAsia" w:hAnsi="Times New Roman" w:cs="Times New Roman"/>
          <w:sz w:val="24"/>
          <w:szCs w:val="24"/>
          <w:lang w:eastAsia="pl-PL"/>
        </w:rPr>
        <w:t>)</w:t>
      </w:r>
      <w:r w:rsidR="0098330B" w:rsidRPr="00A720EE">
        <w:rPr>
          <w:rFonts w:ascii="Times New Roman" w:eastAsiaTheme="minorEastAsia" w:hAnsi="Times New Roman" w:cs="Times New Roman"/>
          <w:sz w:val="24"/>
          <w:szCs w:val="24"/>
          <w:lang w:eastAsia="pl-PL"/>
        </w:rPr>
        <w:t>,</w:t>
      </w:r>
    </w:p>
    <w:p w14:paraId="5867257E" w14:textId="4A7BD52E" w:rsidR="00A876FA" w:rsidRPr="00A720EE" w:rsidRDefault="00463E0E" w:rsidP="00221011">
      <w:pPr>
        <w:widowControl w:val="0"/>
        <w:numPr>
          <w:ilvl w:val="0"/>
          <w:numId w:val="2"/>
        </w:numPr>
        <w:autoSpaceDE w:val="0"/>
        <w:autoSpaceDN w:val="0"/>
        <w:adjustRightInd w:val="0"/>
        <w:spacing w:before="120" w:after="0" w:line="276" w:lineRule="auto"/>
        <w:ind w:left="782" w:hanging="357"/>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przepisu dotyczącego</w:t>
      </w:r>
      <w:r w:rsidR="0098330B" w:rsidRPr="00A720EE">
        <w:rPr>
          <w:rFonts w:ascii="Times New Roman" w:eastAsiaTheme="minorEastAsia" w:hAnsi="Times New Roman" w:cs="Times New Roman"/>
          <w:sz w:val="24"/>
          <w:szCs w:val="24"/>
          <w:lang w:eastAsia="pl-PL"/>
        </w:rPr>
        <w:t xml:space="preserve"> obowiązku przekazywania do właściwego dla podatnika naczelnika urzędu skarbowego informacji o umowach z nierezydentami, w przypadku obowiązku składania informacji o cenach transferowych (art. 82 §</w:t>
      </w:r>
      <w:r w:rsidR="003149EA" w:rsidRPr="00A720EE">
        <w:rPr>
          <w:rFonts w:ascii="Times New Roman" w:eastAsiaTheme="minorEastAsia" w:hAnsi="Times New Roman" w:cs="Times New Roman"/>
          <w:sz w:val="24"/>
          <w:szCs w:val="24"/>
          <w:lang w:eastAsia="pl-PL"/>
        </w:rPr>
        <w:t xml:space="preserve"> </w:t>
      </w:r>
      <w:r w:rsidR="0098330B" w:rsidRPr="00A720EE">
        <w:rPr>
          <w:rFonts w:ascii="Times New Roman" w:eastAsiaTheme="minorEastAsia" w:hAnsi="Times New Roman" w:cs="Times New Roman"/>
          <w:sz w:val="24"/>
          <w:szCs w:val="24"/>
          <w:lang w:eastAsia="pl-PL"/>
        </w:rPr>
        <w:t>1c Ordynacji podatkowej)</w:t>
      </w:r>
      <w:r w:rsidR="00A876FA" w:rsidRPr="00A720EE">
        <w:rPr>
          <w:rFonts w:ascii="Times New Roman" w:eastAsiaTheme="minorEastAsia" w:hAnsi="Times New Roman" w:cs="Times New Roman"/>
          <w:sz w:val="24"/>
          <w:szCs w:val="24"/>
          <w:lang w:eastAsia="pl-PL"/>
        </w:rPr>
        <w:t>,</w:t>
      </w:r>
    </w:p>
    <w:p w14:paraId="08162AD1" w14:textId="0BAE2CAA" w:rsidR="007B03FB" w:rsidRPr="00A720EE" w:rsidRDefault="007B03FB" w:rsidP="00221011">
      <w:pPr>
        <w:pStyle w:val="Akapitzlist"/>
        <w:numPr>
          <w:ilvl w:val="0"/>
          <w:numId w:val="2"/>
        </w:numPr>
        <w:spacing w:before="120" w:after="120" w:line="276" w:lineRule="auto"/>
        <w:contextualSpacing w:val="0"/>
        <w:jc w:val="both"/>
        <w:rPr>
          <w:rFonts w:ascii="Times New Roman" w:hAnsi="Times New Roman" w:cs="Times New Roman"/>
          <w:sz w:val="24"/>
          <w:szCs w:val="24"/>
        </w:rPr>
      </w:pPr>
      <w:r w:rsidRPr="00A720EE">
        <w:rPr>
          <w:rFonts w:ascii="Times New Roman" w:eastAsiaTheme="minorEastAsia" w:hAnsi="Times New Roman" w:cs="Times New Roman"/>
          <w:bCs/>
          <w:sz w:val="24"/>
          <w:szCs w:val="24"/>
          <w:lang w:eastAsia="pl-PL"/>
        </w:rPr>
        <w:t xml:space="preserve">zmiana ustawy o świadczeniach opieki zdrowotnej poprzez uregulowanie </w:t>
      </w:r>
      <w:r w:rsidRPr="00A720EE">
        <w:rPr>
          <w:rFonts w:ascii="Times New Roman" w:hAnsi="Times New Roman" w:cs="Times New Roman"/>
          <w:sz w:val="24"/>
          <w:szCs w:val="24"/>
        </w:rPr>
        <w:t>sytuacji, gdy ubezpieczony przedsiębiorca (ryczałtowiec) nie przekaże do ZUS informacji o miesięcznym przychodzie z działalności gospodarczej (art. 81 ust. 2zc ustawy o świadczeniach opieki zdrowotnej)</w:t>
      </w:r>
      <w:r w:rsidR="00235FAA" w:rsidRPr="00A720EE">
        <w:rPr>
          <w:rFonts w:ascii="Times New Roman" w:hAnsi="Times New Roman" w:cs="Times New Roman"/>
          <w:sz w:val="24"/>
          <w:szCs w:val="24"/>
        </w:rPr>
        <w:t>,</w:t>
      </w:r>
    </w:p>
    <w:p w14:paraId="557557CF" w14:textId="77777777" w:rsidR="007B03FB" w:rsidRPr="00A720EE" w:rsidRDefault="007B03FB" w:rsidP="00221011">
      <w:pPr>
        <w:widowControl w:val="0"/>
        <w:numPr>
          <w:ilvl w:val="0"/>
          <w:numId w:val="2"/>
        </w:numPr>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doprecyzowanie przepisów dotyczących rozliczania strat przez spółki tworzące podatkowe grupy kapitałowe (PGK) (art. 69b ustawy z 29 października 2021 r.),</w:t>
      </w:r>
    </w:p>
    <w:p w14:paraId="776F1501" w14:textId="779BD4D6" w:rsidR="000E1DD4" w:rsidRPr="00A720EE" w:rsidRDefault="00A876FA" w:rsidP="000151A2">
      <w:pPr>
        <w:widowControl w:val="0"/>
        <w:numPr>
          <w:ilvl w:val="0"/>
          <w:numId w:val="2"/>
        </w:numPr>
        <w:autoSpaceDE w:val="0"/>
        <w:autoSpaceDN w:val="0"/>
        <w:adjustRightInd w:val="0"/>
        <w:spacing w:before="120"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Cs/>
          <w:sz w:val="24"/>
          <w:szCs w:val="24"/>
          <w:lang w:eastAsia="pl-PL"/>
        </w:rPr>
        <w:t>zmiana porządkująca przepisy ustawy PIT dotyczące oświadczeń i wniosków, jakie podatnicy składają płatnikom w celach poboru zaliczek na podatek</w:t>
      </w:r>
      <w:r w:rsidR="00083560" w:rsidRPr="00A720EE">
        <w:rPr>
          <w:rFonts w:ascii="Times New Roman" w:eastAsiaTheme="minorEastAsia" w:hAnsi="Times New Roman" w:cs="Times New Roman"/>
          <w:bCs/>
          <w:sz w:val="24"/>
          <w:szCs w:val="24"/>
          <w:lang w:eastAsia="pl-PL"/>
        </w:rPr>
        <w:t xml:space="preserve">, a także </w:t>
      </w:r>
      <w:r w:rsidR="000E1DD4" w:rsidRPr="00A720EE">
        <w:rPr>
          <w:rFonts w:ascii="Times New Roman" w:eastAsiaTheme="minorEastAsia" w:hAnsi="Times New Roman" w:cs="Times New Roman"/>
          <w:bCs/>
          <w:sz w:val="24"/>
          <w:szCs w:val="24"/>
          <w:lang w:eastAsia="pl-PL"/>
        </w:rPr>
        <w:t xml:space="preserve">w zakresie części </w:t>
      </w:r>
      <w:r w:rsidR="00083560" w:rsidRPr="00A720EE">
        <w:rPr>
          <w:rFonts w:ascii="Times New Roman" w:eastAsiaTheme="minorEastAsia" w:hAnsi="Times New Roman" w:cs="Times New Roman"/>
          <w:bCs/>
          <w:sz w:val="24"/>
          <w:szCs w:val="24"/>
          <w:lang w:eastAsia="pl-PL"/>
        </w:rPr>
        <w:t xml:space="preserve">podatku </w:t>
      </w:r>
      <w:r w:rsidR="000E1DD4" w:rsidRPr="00A720EE">
        <w:rPr>
          <w:rFonts w:ascii="Times New Roman" w:eastAsiaTheme="minorEastAsia" w:hAnsi="Times New Roman" w:cs="Times New Roman"/>
          <w:bCs/>
          <w:sz w:val="24"/>
          <w:szCs w:val="24"/>
          <w:lang w:eastAsia="pl-PL"/>
        </w:rPr>
        <w:t>należnego przekazywanego na rzecz organizacji pożytku publicznego (wzrost z 1% do 1,5%)</w:t>
      </w:r>
      <w:r w:rsidR="000E1DD4"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bCs/>
          <w:sz w:val="24"/>
          <w:szCs w:val="24"/>
          <w:lang w:eastAsia="pl-PL"/>
        </w:rPr>
        <w:t>(art. 1 pk</w:t>
      </w:r>
      <w:r w:rsidR="009A6C58" w:rsidRPr="00A720EE">
        <w:rPr>
          <w:rFonts w:ascii="Times New Roman" w:eastAsiaTheme="minorEastAsia" w:hAnsi="Times New Roman" w:cs="Times New Roman"/>
          <w:bCs/>
          <w:sz w:val="24"/>
          <w:szCs w:val="24"/>
          <w:lang w:eastAsia="pl-PL"/>
        </w:rPr>
        <w:t>t 20 i pkt 3</w:t>
      </w:r>
      <w:r w:rsidR="004710F7" w:rsidRPr="00A720EE">
        <w:rPr>
          <w:rFonts w:ascii="Times New Roman" w:eastAsiaTheme="minorEastAsia" w:hAnsi="Times New Roman" w:cs="Times New Roman"/>
          <w:bCs/>
          <w:sz w:val="24"/>
          <w:szCs w:val="24"/>
          <w:lang w:eastAsia="pl-PL"/>
        </w:rPr>
        <w:t>7</w:t>
      </w:r>
      <w:r w:rsidR="009A6C58" w:rsidRPr="00A720EE">
        <w:rPr>
          <w:rFonts w:ascii="Times New Roman" w:eastAsiaTheme="minorEastAsia" w:hAnsi="Times New Roman" w:cs="Times New Roman"/>
          <w:bCs/>
          <w:sz w:val="24"/>
          <w:szCs w:val="24"/>
          <w:lang w:eastAsia="pl-PL"/>
        </w:rPr>
        <w:t xml:space="preserve"> lit b </w:t>
      </w:r>
      <w:r w:rsidR="00083560" w:rsidRPr="00A720EE">
        <w:rPr>
          <w:rFonts w:ascii="Times New Roman" w:eastAsiaTheme="minorEastAsia" w:hAnsi="Times New Roman" w:cs="Times New Roman"/>
          <w:bCs/>
          <w:sz w:val="24"/>
          <w:szCs w:val="24"/>
          <w:lang w:eastAsia="pl-PL"/>
        </w:rPr>
        <w:t xml:space="preserve">oraz </w:t>
      </w:r>
      <w:r w:rsidR="000E1DD4" w:rsidRPr="00A720EE">
        <w:rPr>
          <w:rFonts w:ascii="Times New Roman" w:eastAsiaTheme="minorEastAsia" w:hAnsi="Times New Roman" w:cs="Times New Roman"/>
          <w:bCs/>
          <w:sz w:val="24"/>
          <w:szCs w:val="24"/>
          <w:lang w:eastAsia="pl-PL"/>
        </w:rPr>
        <w:t>art. 18a</w:t>
      </w:r>
      <w:r w:rsidR="00083560" w:rsidRPr="00A720EE">
        <w:rPr>
          <w:rFonts w:ascii="Times New Roman" w:eastAsiaTheme="minorEastAsia" w:hAnsi="Times New Roman" w:cs="Times New Roman"/>
          <w:bCs/>
          <w:sz w:val="24"/>
          <w:szCs w:val="24"/>
          <w:lang w:eastAsia="pl-PL"/>
        </w:rPr>
        <w:t xml:space="preserve"> </w:t>
      </w:r>
      <w:r w:rsidR="009A6C58" w:rsidRPr="00A720EE">
        <w:rPr>
          <w:rFonts w:ascii="Times New Roman" w:eastAsiaTheme="minorEastAsia" w:hAnsi="Times New Roman" w:cs="Times New Roman"/>
          <w:bCs/>
          <w:sz w:val="24"/>
          <w:szCs w:val="24"/>
          <w:lang w:eastAsia="pl-PL"/>
        </w:rPr>
        <w:t xml:space="preserve">ustawy z </w:t>
      </w:r>
      <w:r w:rsidR="004710F7" w:rsidRPr="00A720EE">
        <w:rPr>
          <w:rFonts w:ascii="Times New Roman" w:eastAsiaTheme="minorEastAsia" w:hAnsi="Times New Roman" w:cs="Times New Roman"/>
          <w:bCs/>
          <w:sz w:val="24"/>
          <w:szCs w:val="24"/>
          <w:lang w:eastAsia="pl-PL"/>
        </w:rPr>
        <w:t>9 czerwca 2022 r.</w:t>
      </w:r>
      <w:r w:rsidRPr="00A720EE">
        <w:rPr>
          <w:rFonts w:ascii="Times New Roman" w:eastAsiaTheme="minorEastAsia" w:hAnsi="Times New Roman" w:cs="Times New Roman"/>
          <w:bCs/>
          <w:sz w:val="24"/>
          <w:szCs w:val="24"/>
          <w:lang w:eastAsia="pl-PL"/>
        </w:rPr>
        <w:t>)</w:t>
      </w:r>
      <w:r w:rsidR="00673426" w:rsidRPr="00A720EE">
        <w:rPr>
          <w:rFonts w:ascii="Times New Roman" w:eastAsiaTheme="minorEastAsia" w:hAnsi="Times New Roman" w:cs="Times New Roman"/>
          <w:bCs/>
          <w:sz w:val="24"/>
          <w:szCs w:val="24"/>
          <w:lang w:eastAsia="pl-PL"/>
        </w:rPr>
        <w:t>,</w:t>
      </w:r>
      <w:r w:rsidR="00673426" w:rsidRPr="00A720EE" w:rsidDel="00673426">
        <w:rPr>
          <w:rFonts w:ascii="Times New Roman" w:eastAsiaTheme="minorEastAsia" w:hAnsi="Times New Roman" w:cs="Times New Roman"/>
          <w:bCs/>
          <w:sz w:val="24"/>
          <w:szCs w:val="24"/>
          <w:lang w:eastAsia="pl-PL"/>
        </w:rPr>
        <w:t xml:space="preserve"> </w:t>
      </w:r>
      <w:r w:rsidR="00083560" w:rsidRPr="00A720EE">
        <w:rPr>
          <w:rFonts w:ascii="Times New Roman" w:eastAsiaTheme="minorEastAsia" w:hAnsi="Times New Roman" w:cs="Times New Roman"/>
          <w:bCs/>
          <w:sz w:val="24"/>
          <w:szCs w:val="24"/>
          <w:lang w:eastAsia="pl-PL"/>
        </w:rPr>
        <w:t xml:space="preserve"> </w:t>
      </w:r>
    </w:p>
    <w:p w14:paraId="23B63DCD" w14:textId="49787351" w:rsidR="00673426" w:rsidRPr="00A720EE" w:rsidRDefault="00673426" w:rsidP="000151A2">
      <w:pPr>
        <w:widowControl w:val="0"/>
        <w:numPr>
          <w:ilvl w:val="0"/>
          <w:numId w:val="2"/>
        </w:numPr>
        <w:autoSpaceDE w:val="0"/>
        <w:autoSpaceDN w:val="0"/>
        <w:adjustRightInd w:val="0"/>
        <w:spacing w:before="120"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lastRenderedPageBreak/>
        <w:t>zmiana dostosowująca przepisy ustawy PIT dotyczące sporządzania przez administrację podatkową zeznania podatkowego o możliwość udostępnienia także nowej informacji o dzieciach uprawniających podatnika do ulgi dla rodzin 4+ (PIT-DZ) w usłudze Twój e-PIT</w:t>
      </w:r>
      <w:r w:rsidRPr="00A720EE">
        <w:rPr>
          <w:rFonts w:ascii="Times New Roman" w:eastAsiaTheme="minorEastAsia" w:hAnsi="Times New Roman" w:cs="Times New Roman"/>
          <w:b/>
          <w:sz w:val="24"/>
          <w:szCs w:val="24"/>
          <w:lang w:eastAsia="pl-PL"/>
        </w:rPr>
        <w:t xml:space="preserve"> </w:t>
      </w:r>
      <w:r w:rsidRPr="00A720EE">
        <w:rPr>
          <w:rFonts w:ascii="Times New Roman" w:eastAsiaTheme="minorEastAsia" w:hAnsi="Times New Roman" w:cs="Times New Roman"/>
          <w:sz w:val="24"/>
          <w:szCs w:val="24"/>
          <w:lang w:eastAsia="pl-PL"/>
        </w:rPr>
        <w:t>(art. 45cd ustawy PIT)</w:t>
      </w:r>
      <w:r w:rsidR="000211E0" w:rsidRPr="00A720EE">
        <w:rPr>
          <w:rFonts w:ascii="Times New Roman" w:eastAsiaTheme="minorEastAsia" w:hAnsi="Times New Roman" w:cs="Times New Roman"/>
          <w:sz w:val="24"/>
          <w:szCs w:val="24"/>
          <w:lang w:eastAsia="pl-PL"/>
        </w:rPr>
        <w:t>,</w:t>
      </w:r>
    </w:p>
    <w:p w14:paraId="216DB505" w14:textId="77777777" w:rsidR="001C3844" w:rsidRPr="00A720EE" w:rsidRDefault="001C3844" w:rsidP="000151A2">
      <w:pPr>
        <w:widowControl w:val="0"/>
        <w:numPr>
          <w:ilvl w:val="0"/>
          <w:numId w:val="2"/>
        </w:numPr>
        <w:autoSpaceDE w:val="0"/>
        <w:autoSpaceDN w:val="0"/>
        <w:adjustRightInd w:val="0"/>
        <w:spacing w:before="120"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polegająca na rozszerzeniu uprawnień płatnika do składania wniosku o stwierdzenie nadpłaty (ustawa PIT),</w:t>
      </w:r>
    </w:p>
    <w:p w14:paraId="08C6489A" w14:textId="77777777" w:rsidR="00753ADC" w:rsidRPr="00A720EE" w:rsidRDefault="00B60E26" w:rsidP="000151A2">
      <w:pPr>
        <w:widowControl w:val="0"/>
        <w:numPr>
          <w:ilvl w:val="0"/>
          <w:numId w:val="2"/>
        </w:numPr>
        <w:autoSpaceDE w:val="0"/>
        <w:autoSpaceDN w:val="0"/>
        <w:adjustRightInd w:val="0"/>
        <w:spacing w:before="120"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przepisów dotyczących pierwszego terminu składania JPK/CIT w przypadku wcześniejszego zakończenia roku podatkowego</w:t>
      </w:r>
      <w:r w:rsidR="00B51AE6" w:rsidRPr="00A720EE">
        <w:rPr>
          <w:rFonts w:ascii="Times New Roman" w:eastAsiaTheme="minorEastAsia" w:hAnsi="Times New Roman" w:cs="Times New Roman"/>
          <w:sz w:val="24"/>
          <w:szCs w:val="24"/>
          <w:lang w:eastAsia="pl-PL"/>
        </w:rPr>
        <w:t xml:space="preserve"> (art. 66 ust. 3 i art. 89 pkt </w:t>
      </w:r>
      <w:r w:rsidR="008C4F7A" w:rsidRPr="00A720EE">
        <w:rPr>
          <w:rFonts w:ascii="Times New Roman" w:eastAsiaTheme="minorEastAsia" w:hAnsi="Times New Roman" w:cs="Times New Roman"/>
          <w:sz w:val="24"/>
          <w:szCs w:val="24"/>
          <w:lang w:eastAsia="pl-PL"/>
        </w:rPr>
        <w:t xml:space="preserve">4 i </w:t>
      </w:r>
      <w:r w:rsidR="00B51AE6" w:rsidRPr="00A720EE">
        <w:rPr>
          <w:rFonts w:ascii="Times New Roman" w:eastAsiaTheme="minorEastAsia" w:hAnsi="Times New Roman" w:cs="Times New Roman"/>
          <w:sz w:val="24"/>
          <w:szCs w:val="24"/>
          <w:lang w:eastAsia="pl-PL"/>
        </w:rPr>
        <w:t>5 ustawy z 29 października 2021 r.)</w:t>
      </w:r>
      <w:r w:rsidR="00753ADC" w:rsidRPr="00A720EE">
        <w:rPr>
          <w:rFonts w:ascii="Times New Roman" w:eastAsiaTheme="minorEastAsia" w:hAnsi="Times New Roman" w:cs="Times New Roman"/>
          <w:sz w:val="24"/>
          <w:szCs w:val="24"/>
          <w:lang w:eastAsia="pl-PL"/>
        </w:rPr>
        <w:t>,</w:t>
      </w:r>
    </w:p>
    <w:p w14:paraId="7680C003" w14:textId="6EB170D0" w:rsidR="00F10FFF" w:rsidRPr="00A720EE" w:rsidRDefault="00B75066" w:rsidP="00B75066">
      <w:pPr>
        <w:widowControl w:val="0"/>
        <w:numPr>
          <w:ilvl w:val="0"/>
          <w:numId w:val="2"/>
        </w:numPr>
        <w:autoSpaceDE w:val="0"/>
        <w:autoSpaceDN w:val="0"/>
        <w:adjustRightInd w:val="0"/>
        <w:spacing w:before="120"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przepisów związana </w:t>
      </w:r>
      <w:r w:rsidR="00B80B47" w:rsidRPr="00A720EE">
        <w:rPr>
          <w:rFonts w:ascii="Times New Roman" w:hAnsi="Times New Roman" w:cs="Times New Roman"/>
          <w:color w:val="000000"/>
          <w:sz w:val="24"/>
          <w:szCs w:val="24"/>
        </w:rPr>
        <w:t xml:space="preserve">z </w:t>
      </w:r>
      <w:r w:rsidR="00F87E8F" w:rsidRPr="00A720EE">
        <w:rPr>
          <w:rFonts w:ascii="Times New Roman" w:hAnsi="Times New Roman" w:cs="Times New Roman"/>
          <w:color w:val="000000"/>
          <w:sz w:val="24"/>
          <w:szCs w:val="24"/>
        </w:rPr>
        <w:t>koniecznoś</w:t>
      </w:r>
      <w:r w:rsidR="00B80B47" w:rsidRPr="00A720EE">
        <w:rPr>
          <w:rFonts w:ascii="Times New Roman" w:hAnsi="Times New Roman" w:cs="Times New Roman"/>
          <w:color w:val="000000"/>
          <w:sz w:val="24"/>
          <w:szCs w:val="24"/>
        </w:rPr>
        <w:t>cią</w:t>
      </w:r>
      <w:r w:rsidR="00F87E8F" w:rsidRPr="00A720EE">
        <w:rPr>
          <w:rFonts w:ascii="Times New Roman" w:hAnsi="Times New Roman" w:cs="Times New Roman"/>
          <w:color w:val="000000"/>
          <w:sz w:val="24"/>
          <w:szCs w:val="24"/>
        </w:rPr>
        <w:t xml:space="preserve"> wydłużenia wprowadzonych działań antyinflacyjnych oraz utrzymani</w:t>
      </w:r>
      <w:r w:rsidR="00B80B47" w:rsidRPr="00A720EE">
        <w:rPr>
          <w:rFonts w:ascii="Times New Roman" w:hAnsi="Times New Roman" w:cs="Times New Roman"/>
          <w:color w:val="000000"/>
          <w:sz w:val="24"/>
          <w:szCs w:val="24"/>
        </w:rPr>
        <w:t>a</w:t>
      </w:r>
      <w:r w:rsidR="00F87E8F" w:rsidRPr="00A720EE">
        <w:rPr>
          <w:rFonts w:ascii="Times New Roman" w:hAnsi="Times New Roman" w:cs="Times New Roman"/>
          <w:color w:val="000000"/>
          <w:sz w:val="24"/>
          <w:szCs w:val="24"/>
        </w:rPr>
        <w:t xml:space="preserve"> stawek VAT na dotychczasowym poziomie w związku z ciągłym wzrostem inflacji oraz negatywnymi dla polskiej gospodarki i społeczeństwa skutkami wojny prowadzonej w Ukrainie (art. 146da-146dc i art. 146ea-146ee ustawy o VAT; art. 163d, art. 164a, art. 164b ustawy o podatku akcyzowym; art. 11b ustawy o podatku od sprzedaży detalicznej; art. 79 ustawy o finansowaniu społecznościowym dla przedsięwzięć gospodarczych i pomocy kredytobiorcom)</w:t>
      </w:r>
      <w:r w:rsidR="00F10FFF" w:rsidRPr="00A720EE">
        <w:rPr>
          <w:rFonts w:ascii="Times New Roman" w:eastAsiaTheme="minorEastAsia" w:hAnsi="Times New Roman" w:cs="Times New Roman"/>
          <w:sz w:val="24"/>
          <w:szCs w:val="24"/>
          <w:lang w:eastAsia="pl-PL"/>
        </w:rPr>
        <w:t>,</w:t>
      </w:r>
    </w:p>
    <w:p w14:paraId="445329ED" w14:textId="2841C523" w:rsidR="00753ADC" w:rsidRPr="00A720EE" w:rsidRDefault="00F10FFF" w:rsidP="00F10FFF">
      <w:pPr>
        <w:widowControl w:val="0"/>
        <w:numPr>
          <w:ilvl w:val="0"/>
          <w:numId w:val="2"/>
        </w:numPr>
        <w:autoSpaceDE w:val="0"/>
        <w:autoSpaceDN w:val="0"/>
        <w:adjustRightInd w:val="0"/>
        <w:spacing w:before="120"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przepisów zmierzająca do digitalizacji obowiązków informacyjnych notariuszy w zakresie zdarzeń prawnych</w:t>
      </w:r>
      <w:r w:rsidRPr="00A720EE">
        <w:rPr>
          <w:rFonts w:ascii="Times New Roman" w:hAnsi="Times New Roman" w:cs="Times New Roman"/>
          <w:sz w:val="24"/>
          <w:szCs w:val="24"/>
        </w:rPr>
        <w:t xml:space="preserve"> </w:t>
      </w:r>
      <w:r w:rsidRPr="00A720EE">
        <w:rPr>
          <w:rFonts w:ascii="Times New Roman" w:eastAsiaTheme="minorEastAsia" w:hAnsi="Times New Roman" w:cs="Times New Roman"/>
          <w:sz w:val="24"/>
          <w:szCs w:val="24"/>
          <w:lang w:eastAsia="pl-PL"/>
        </w:rPr>
        <w:t>zawartych w aktach notarialnych, aktach poświadczenia dziedziczenia i europejskich poświadczeniach spadkowych (</w:t>
      </w:r>
      <w:r w:rsidR="003955AA" w:rsidRPr="00A720EE">
        <w:rPr>
          <w:rFonts w:ascii="Times New Roman" w:eastAsiaTheme="minorEastAsia" w:hAnsi="Times New Roman" w:cs="Times New Roman"/>
          <w:sz w:val="24"/>
          <w:szCs w:val="24"/>
          <w:lang w:eastAsia="pl-PL"/>
        </w:rPr>
        <w:t xml:space="preserve">art. 84 § 1 i 2 oraz art. 84a </w:t>
      </w:r>
      <w:r w:rsidRPr="00A720EE">
        <w:rPr>
          <w:rFonts w:ascii="Times New Roman" w:eastAsiaTheme="minorEastAsia" w:hAnsi="Times New Roman" w:cs="Times New Roman"/>
          <w:sz w:val="24"/>
          <w:szCs w:val="24"/>
          <w:lang w:eastAsia="pl-PL"/>
        </w:rPr>
        <w:t xml:space="preserve">Ordynacji podatkowej, </w:t>
      </w:r>
      <w:r w:rsidR="003955AA" w:rsidRPr="00A720EE">
        <w:rPr>
          <w:rFonts w:ascii="Times New Roman" w:eastAsiaTheme="minorEastAsia" w:hAnsi="Times New Roman" w:cs="Times New Roman"/>
          <w:sz w:val="24"/>
          <w:szCs w:val="24"/>
          <w:lang w:eastAsia="pl-PL"/>
        </w:rPr>
        <w:t xml:space="preserve">art. 18 ust. 2 pkt 4 i ust. 5 pkt 3 </w:t>
      </w:r>
      <w:r w:rsidRPr="00A720EE">
        <w:rPr>
          <w:rFonts w:ascii="Times New Roman" w:eastAsiaTheme="minorEastAsia" w:hAnsi="Times New Roman" w:cs="Times New Roman"/>
          <w:sz w:val="24"/>
          <w:szCs w:val="24"/>
          <w:lang w:eastAsia="pl-PL"/>
        </w:rPr>
        <w:t xml:space="preserve">ustawy o podatku od spadków i darowizn, </w:t>
      </w:r>
      <w:r w:rsidR="003955AA" w:rsidRPr="00A720EE">
        <w:rPr>
          <w:rFonts w:ascii="Times New Roman" w:eastAsiaTheme="minorEastAsia" w:hAnsi="Times New Roman" w:cs="Times New Roman"/>
          <w:sz w:val="24"/>
          <w:szCs w:val="24"/>
          <w:lang w:eastAsia="pl-PL"/>
        </w:rPr>
        <w:t xml:space="preserve">art. 10 ust. 3a pkt 3 i ust. 4 pkt 3 </w:t>
      </w:r>
      <w:r w:rsidRPr="00A720EE">
        <w:rPr>
          <w:rFonts w:ascii="Times New Roman" w:eastAsiaTheme="minorEastAsia" w:hAnsi="Times New Roman" w:cs="Times New Roman"/>
          <w:sz w:val="24"/>
          <w:szCs w:val="24"/>
          <w:lang w:eastAsia="pl-PL"/>
        </w:rPr>
        <w:t xml:space="preserve">ustawy o PCC i </w:t>
      </w:r>
      <w:r w:rsidR="003955AA" w:rsidRPr="00A720EE">
        <w:rPr>
          <w:rFonts w:ascii="Times New Roman" w:eastAsiaTheme="minorEastAsia" w:hAnsi="Times New Roman" w:cs="Times New Roman"/>
          <w:sz w:val="24"/>
          <w:szCs w:val="24"/>
          <w:lang w:eastAsia="pl-PL"/>
        </w:rPr>
        <w:t xml:space="preserve">art. 72 ust. 6 pkt 7a </w:t>
      </w:r>
      <w:r w:rsidRPr="00A720EE">
        <w:rPr>
          <w:rFonts w:ascii="Times New Roman" w:eastAsiaTheme="minorEastAsia" w:hAnsi="Times New Roman" w:cs="Times New Roman"/>
          <w:sz w:val="24"/>
          <w:szCs w:val="24"/>
          <w:lang w:eastAsia="pl-PL"/>
        </w:rPr>
        <w:t>ustawy o przeciwdziałaniu praniu pieniędzy oraz finansowaniu terroryzmu</w:t>
      </w:r>
      <w:r w:rsidR="003955AA" w:rsidRPr="00A720EE">
        <w:rPr>
          <w:rFonts w:ascii="Times New Roman" w:eastAsiaTheme="minorEastAsia" w:hAnsi="Times New Roman" w:cs="Times New Roman"/>
          <w:sz w:val="24"/>
          <w:szCs w:val="24"/>
          <w:lang w:eastAsia="pl-PL"/>
        </w:rPr>
        <w:t>.</w:t>
      </w:r>
    </w:p>
    <w:p w14:paraId="2CC2558C" w14:textId="77777777" w:rsidR="0022102C" w:rsidRPr="00A720EE" w:rsidRDefault="0022102C" w:rsidP="00EB7C70">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p>
    <w:p w14:paraId="4B9F3D2B" w14:textId="77777777" w:rsidR="002366DD" w:rsidRPr="00A720EE" w:rsidRDefault="002366DD" w:rsidP="00EB7C70">
      <w:pPr>
        <w:widowControl w:val="0"/>
        <w:autoSpaceDE w:val="0"/>
        <w:autoSpaceDN w:val="0"/>
        <w:adjustRightInd w:val="0"/>
        <w:spacing w:before="120" w:after="0" w:line="276" w:lineRule="auto"/>
        <w:jc w:val="both"/>
        <w:rPr>
          <w:rFonts w:ascii="Times New Roman" w:eastAsia="Calibri" w:hAnsi="Times New Roman" w:cs="Times New Roman"/>
          <w:sz w:val="24"/>
          <w:szCs w:val="24"/>
        </w:rPr>
      </w:pPr>
      <w:r w:rsidRPr="00A720EE">
        <w:rPr>
          <w:rFonts w:ascii="Times New Roman" w:eastAsia="Calibri" w:hAnsi="Times New Roman" w:cs="Times New Roman"/>
          <w:sz w:val="24"/>
          <w:szCs w:val="24"/>
        </w:rPr>
        <w:t>Poniżej przedstawiono szczegółowe omówienie projektowanych regulacji, w ujęciu tematycznym, wskazującym cel wprowadzanych rozwiązań.</w:t>
      </w:r>
    </w:p>
    <w:p w14:paraId="36FA7E80" w14:textId="77777777" w:rsidR="00DF1CF8" w:rsidRPr="00A720EE" w:rsidRDefault="00DF1CF8" w:rsidP="00DF1CF8">
      <w:pPr>
        <w:spacing w:line="276" w:lineRule="auto"/>
        <w:jc w:val="both"/>
        <w:rPr>
          <w:rFonts w:ascii="Times New Roman" w:hAnsi="Times New Roman" w:cs="Times New Roman"/>
          <w:sz w:val="24"/>
          <w:szCs w:val="24"/>
        </w:rPr>
      </w:pPr>
    </w:p>
    <w:p w14:paraId="3658A2D1" w14:textId="77777777" w:rsidR="0022102C" w:rsidRPr="00C10205" w:rsidRDefault="0022102C" w:rsidP="00B96862">
      <w:pPr>
        <w:widowControl w:val="0"/>
        <w:autoSpaceDE w:val="0"/>
        <w:autoSpaceDN w:val="0"/>
        <w:adjustRightInd w:val="0"/>
        <w:spacing w:before="120" w:after="0" w:line="276" w:lineRule="auto"/>
        <w:jc w:val="both"/>
        <w:rPr>
          <w:rFonts w:ascii="Times New Roman" w:eastAsiaTheme="minorEastAsia" w:hAnsi="Times New Roman" w:cs="Times New Roman"/>
          <w:b/>
          <w:color w:val="000000" w:themeColor="text1"/>
          <w:sz w:val="24"/>
          <w:szCs w:val="24"/>
          <w:lang w:eastAsia="pl-PL"/>
        </w:rPr>
      </w:pPr>
    </w:p>
    <w:p w14:paraId="535A88DF" w14:textId="71B6CCA8" w:rsidR="000514BE" w:rsidRPr="00C10205" w:rsidRDefault="00B96862" w:rsidP="00B96862">
      <w:pPr>
        <w:widowControl w:val="0"/>
        <w:autoSpaceDE w:val="0"/>
        <w:autoSpaceDN w:val="0"/>
        <w:adjustRightInd w:val="0"/>
        <w:spacing w:before="120" w:after="0" w:line="276" w:lineRule="auto"/>
        <w:jc w:val="both"/>
        <w:rPr>
          <w:rFonts w:ascii="Times New Roman" w:eastAsiaTheme="minorEastAsia" w:hAnsi="Times New Roman" w:cs="Times New Roman"/>
          <w:b/>
          <w:color w:val="000000" w:themeColor="text1"/>
          <w:sz w:val="24"/>
          <w:szCs w:val="24"/>
          <w:lang w:eastAsia="pl-PL"/>
        </w:rPr>
      </w:pPr>
      <w:r w:rsidRPr="00C10205">
        <w:rPr>
          <w:rFonts w:ascii="Times New Roman" w:eastAsiaTheme="minorEastAsia" w:hAnsi="Times New Roman" w:cs="Times New Roman"/>
          <w:b/>
          <w:color w:val="000000" w:themeColor="text1"/>
          <w:sz w:val="24"/>
          <w:szCs w:val="24"/>
          <w:lang w:eastAsia="pl-PL"/>
        </w:rPr>
        <w:t>I. O</w:t>
      </w:r>
      <w:r w:rsidR="00D53F40" w:rsidRPr="00C10205">
        <w:rPr>
          <w:rFonts w:ascii="Times New Roman" w:eastAsiaTheme="minorEastAsia" w:hAnsi="Times New Roman" w:cs="Times New Roman"/>
          <w:b/>
          <w:color w:val="000000" w:themeColor="text1"/>
          <w:sz w:val="24"/>
          <w:szCs w:val="24"/>
          <w:lang w:eastAsia="pl-PL"/>
        </w:rPr>
        <w:t>gólne o</w:t>
      </w:r>
      <w:r w:rsidRPr="00C10205">
        <w:rPr>
          <w:rFonts w:ascii="Times New Roman" w:eastAsiaTheme="minorEastAsia" w:hAnsi="Times New Roman" w:cs="Times New Roman"/>
          <w:b/>
          <w:color w:val="000000" w:themeColor="text1"/>
          <w:sz w:val="24"/>
          <w:szCs w:val="24"/>
          <w:lang w:eastAsia="pl-PL"/>
        </w:rPr>
        <w:t>mówi</w:t>
      </w:r>
      <w:r w:rsidR="008101FD" w:rsidRPr="00C10205">
        <w:rPr>
          <w:rFonts w:ascii="Times New Roman" w:eastAsiaTheme="minorEastAsia" w:hAnsi="Times New Roman" w:cs="Times New Roman"/>
          <w:b/>
          <w:color w:val="000000" w:themeColor="text1"/>
          <w:sz w:val="24"/>
          <w:szCs w:val="24"/>
          <w:lang w:eastAsia="pl-PL"/>
        </w:rPr>
        <w:t xml:space="preserve">enie </w:t>
      </w:r>
      <w:r w:rsidR="00D53F40" w:rsidRPr="00C10205">
        <w:rPr>
          <w:rFonts w:ascii="Times New Roman" w:eastAsiaTheme="minorEastAsia" w:hAnsi="Times New Roman" w:cs="Times New Roman"/>
          <w:b/>
          <w:color w:val="000000" w:themeColor="text1"/>
          <w:sz w:val="24"/>
          <w:szCs w:val="24"/>
          <w:lang w:eastAsia="pl-PL"/>
        </w:rPr>
        <w:t>zmian</w:t>
      </w:r>
    </w:p>
    <w:p w14:paraId="5341AD13" w14:textId="14820C03" w:rsidR="00D8222B" w:rsidRPr="00A720EE" w:rsidRDefault="00210406" w:rsidP="003F1B80">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 xml:space="preserve">1) </w:t>
      </w:r>
      <w:r w:rsidR="00B23DD9" w:rsidRPr="00A720EE">
        <w:rPr>
          <w:rFonts w:ascii="Times New Roman" w:eastAsiaTheme="minorEastAsia" w:hAnsi="Times New Roman" w:cs="Times New Roman"/>
          <w:b/>
          <w:color w:val="000000" w:themeColor="text1"/>
          <w:sz w:val="24"/>
          <w:szCs w:val="24"/>
          <w:lang w:eastAsia="pl-PL"/>
        </w:rPr>
        <w:t xml:space="preserve">Modyfikacja i odroczenie stosowania </w:t>
      </w:r>
      <w:r w:rsidR="00D8222B" w:rsidRPr="00A720EE">
        <w:rPr>
          <w:rFonts w:ascii="Times New Roman" w:eastAsiaTheme="minorEastAsia" w:hAnsi="Times New Roman" w:cs="Times New Roman"/>
          <w:b/>
          <w:color w:val="000000" w:themeColor="text1"/>
          <w:sz w:val="24"/>
          <w:szCs w:val="24"/>
          <w:lang w:eastAsia="pl-PL"/>
        </w:rPr>
        <w:t xml:space="preserve">przepisów o minimalnym podatku dochodowym </w:t>
      </w:r>
      <w:r w:rsidR="00D53F40" w:rsidRPr="00A720EE">
        <w:rPr>
          <w:rFonts w:ascii="Times New Roman" w:eastAsiaTheme="minorEastAsia" w:hAnsi="Times New Roman" w:cs="Times New Roman"/>
          <w:b/>
          <w:color w:val="000000" w:themeColor="text1"/>
          <w:sz w:val="24"/>
          <w:szCs w:val="24"/>
          <w:lang w:eastAsia="pl-PL"/>
        </w:rPr>
        <w:t>(</w:t>
      </w:r>
      <w:r w:rsidR="00096A5F" w:rsidRPr="00A720EE">
        <w:rPr>
          <w:rFonts w:ascii="Times New Roman" w:eastAsiaTheme="minorEastAsia" w:hAnsi="Times New Roman" w:cs="Times New Roman"/>
          <w:b/>
          <w:color w:val="000000" w:themeColor="text1"/>
          <w:sz w:val="24"/>
          <w:szCs w:val="24"/>
          <w:lang w:eastAsia="pl-PL"/>
        </w:rPr>
        <w:t xml:space="preserve">ustawa </w:t>
      </w:r>
      <w:r w:rsidR="00D53F40" w:rsidRPr="00A720EE">
        <w:rPr>
          <w:rFonts w:ascii="Times New Roman" w:eastAsiaTheme="minorEastAsia" w:hAnsi="Times New Roman" w:cs="Times New Roman"/>
          <w:b/>
          <w:color w:val="000000" w:themeColor="text1"/>
          <w:sz w:val="24"/>
          <w:szCs w:val="24"/>
          <w:lang w:eastAsia="pl-PL"/>
        </w:rPr>
        <w:t>CIT)</w:t>
      </w:r>
    </w:p>
    <w:p w14:paraId="1999987B" w14:textId="77777777" w:rsidR="002366DD" w:rsidRPr="00A720EE" w:rsidRDefault="002366DD" w:rsidP="005A7883">
      <w:pPr>
        <w:widowControl w:val="0"/>
        <w:autoSpaceDE w:val="0"/>
        <w:autoSpaceDN w:val="0"/>
        <w:adjustRightInd w:val="0"/>
        <w:spacing w:before="120" w:after="0" w:line="276" w:lineRule="auto"/>
        <w:jc w:val="both"/>
        <w:rPr>
          <w:rFonts w:ascii="Times New Roman" w:eastAsia="Lato" w:hAnsi="Times New Roman" w:cs="Times New Roman"/>
          <w:color w:val="000000"/>
          <w:sz w:val="24"/>
          <w:szCs w:val="24"/>
        </w:rPr>
      </w:pPr>
      <w:r w:rsidRPr="00A720EE">
        <w:rPr>
          <w:rFonts w:ascii="Times New Roman" w:eastAsiaTheme="minorEastAsia" w:hAnsi="Times New Roman" w:cs="Times New Roman"/>
          <w:sz w:val="24"/>
          <w:szCs w:val="24"/>
          <w:lang w:eastAsia="pl-PL"/>
        </w:rPr>
        <w:t xml:space="preserve">Z dniem 1 stycznia 2022 r. wprowadzona została nowa forma opodatkowania minimalnym podatkiem dochodowym. </w:t>
      </w:r>
      <w:r w:rsidRPr="00A720EE">
        <w:rPr>
          <w:rFonts w:ascii="Times New Roman" w:eastAsia="Lato" w:hAnsi="Times New Roman" w:cs="Times New Roman"/>
          <w:sz w:val="24"/>
          <w:szCs w:val="24"/>
        </w:rPr>
        <w:t xml:space="preserve">W świetle art. </w:t>
      </w:r>
      <w:r w:rsidRPr="00A720EE">
        <w:rPr>
          <w:rFonts w:ascii="Times New Roman" w:eastAsia="Lato" w:hAnsi="Times New Roman" w:cs="Times New Roman"/>
          <w:iCs/>
          <w:sz w:val="24"/>
          <w:szCs w:val="24"/>
        </w:rPr>
        <w:t xml:space="preserve">24ca ustawy CIT </w:t>
      </w:r>
      <w:r w:rsidRPr="00A720EE">
        <w:rPr>
          <w:rFonts w:ascii="Times New Roman" w:eastAsia="Lato" w:hAnsi="Times New Roman" w:cs="Times New Roman"/>
          <w:sz w:val="24"/>
          <w:szCs w:val="24"/>
        </w:rPr>
        <w:t>podatek ten, w wysokości 10% podstawy opodatkowania, skierowany jest do podatników będących spółkami</w:t>
      </w:r>
      <w:r w:rsidRPr="00A720EE">
        <w:rPr>
          <w:rFonts w:ascii="Times New Roman" w:eastAsia="Lato" w:hAnsi="Times New Roman" w:cs="Times New Roman"/>
          <w:sz w:val="24"/>
          <w:szCs w:val="24"/>
          <w:vertAlign w:val="superscript"/>
        </w:rPr>
        <w:footnoteReference w:id="2"/>
      </w:r>
      <w:r w:rsidRPr="00A720EE">
        <w:rPr>
          <w:rFonts w:ascii="Times New Roman" w:eastAsia="Lato" w:hAnsi="Times New Roman" w:cs="Times New Roman"/>
          <w:sz w:val="24"/>
          <w:szCs w:val="24"/>
        </w:rPr>
        <w:t xml:space="preserve"> </w:t>
      </w:r>
      <w:r w:rsidRPr="00A720EE">
        <w:rPr>
          <w:rFonts w:ascii="Times New Roman" w:eastAsia="Lato" w:hAnsi="Times New Roman" w:cs="Times New Roman"/>
          <w:color w:val="000000"/>
          <w:sz w:val="24"/>
          <w:szCs w:val="24"/>
        </w:rPr>
        <w:t xml:space="preserve">oraz podatkowymi grupami kapitałowymi, mających siedzibę lub zarząd na terytorium Polski, którzy w ramach działalności operacyjnej ponoszą stratę lub wykazują określony niski wskaźnik dochodowości (udział dochodów w przychodach w wysokości nieprzekraczającej </w:t>
      </w:r>
      <w:r w:rsidRPr="00A720EE">
        <w:rPr>
          <w:rFonts w:ascii="Times New Roman" w:eastAsia="Lato" w:hAnsi="Times New Roman" w:cs="Times New Roman"/>
          <w:color w:val="000000"/>
          <w:sz w:val="24"/>
          <w:szCs w:val="24"/>
        </w:rPr>
        <w:lastRenderedPageBreak/>
        <w:t xml:space="preserve">1%). </w:t>
      </w:r>
    </w:p>
    <w:p w14:paraId="347B73B6" w14:textId="7101133C" w:rsidR="002366DD" w:rsidRPr="00A720EE" w:rsidRDefault="002366DD" w:rsidP="003F1B80">
      <w:pPr>
        <w:spacing w:before="120" w:after="0" w:line="276" w:lineRule="auto"/>
        <w:jc w:val="both"/>
        <w:rPr>
          <w:rFonts w:ascii="Times New Roman" w:eastAsia="Lato" w:hAnsi="Times New Roman" w:cs="Times New Roman"/>
          <w:color w:val="000000" w:themeColor="text1"/>
          <w:sz w:val="24"/>
          <w:szCs w:val="24"/>
        </w:rPr>
      </w:pPr>
      <w:r w:rsidRPr="00A720EE">
        <w:rPr>
          <w:rFonts w:ascii="Times New Roman" w:eastAsia="Lato" w:hAnsi="Times New Roman" w:cs="Times New Roman"/>
          <w:color w:val="000000" w:themeColor="text1"/>
          <w:sz w:val="24"/>
          <w:szCs w:val="24"/>
        </w:rPr>
        <w:t xml:space="preserve">Rozwiązanie to miało służyć ograniczeniu działań optymalizacyjnych </w:t>
      </w:r>
      <w:r w:rsidR="00BF7095" w:rsidRPr="00A720EE">
        <w:rPr>
          <w:rFonts w:ascii="Times New Roman" w:eastAsia="Lato" w:hAnsi="Times New Roman" w:cs="Times New Roman"/>
          <w:bCs/>
          <w:color w:val="000000" w:themeColor="text1"/>
          <w:sz w:val="24"/>
          <w:szCs w:val="24"/>
        </w:rPr>
        <w:t>poprzez opodatkowanie na poziomie minimalnym tych podatników, u których określony dochód lub strata występują permanentnie, a zatem z dużym prawdopodobieństwem w sposób zamierzony.</w:t>
      </w:r>
      <w:r w:rsidR="00BF7095" w:rsidRPr="00A720EE">
        <w:rPr>
          <w:rFonts w:ascii="Times New Roman" w:eastAsia="Lato" w:hAnsi="Times New Roman" w:cs="Times New Roman"/>
          <w:color w:val="000000" w:themeColor="text1"/>
          <w:sz w:val="24"/>
          <w:szCs w:val="24"/>
        </w:rPr>
        <w:t xml:space="preserve"> Celem </w:t>
      </w:r>
      <w:r w:rsidR="00C21893" w:rsidRPr="00A720EE">
        <w:rPr>
          <w:rFonts w:ascii="Times New Roman" w:eastAsia="Lato" w:hAnsi="Times New Roman" w:cs="Times New Roman"/>
          <w:color w:val="000000" w:themeColor="text1"/>
          <w:sz w:val="24"/>
          <w:szCs w:val="24"/>
        </w:rPr>
        <w:t xml:space="preserve">tej </w:t>
      </w:r>
      <w:r w:rsidR="00BF7095" w:rsidRPr="00A720EE">
        <w:rPr>
          <w:rFonts w:ascii="Times New Roman" w:eastAsia="Lato" w:hAnsi="Times New Roman" w:cs="Times New Roman"/>
          <w:color w:val="000000" w:themeColor="text1"/>
          <w:sz w:val="24"/>
          <w:szCs w:val="24"/>
        </w:rPr>
        <w:t xml:space="preserve">regulacji było przy tym ograniczenie </w:t>
      </w:r>
      <w:r w:rsidRPr="00A720EE">
        <w:rPr>
          <w:rFonts w:ascii="Times New Roman" w:eastAsia="Lato" w:hAnsi="Times New Roman" w:cs="Times New Roman"/>
          <w:color w:val="000000" w:themeColor="text1"/>
          <w:sz w:val="24"/>
          <w:szCs w:val="24"/>
        </w:rPr>
        <w:t>nieuzasadnione</w:t>
      </w:r>
      <w:r w:rsidR="001E5F43" w:rsidRPr="00A720EE">
        <w:rPr>
          <w:rFonts w:ascii="Times New Roman" w:eastAsia="Lato" w:hAnsi="Times New Roman" w:cs="Times New Roman"/>
          <w:color w:val="000000" w:themeColor="text1"/>
          <w:sz w:val="24"/>
          <w:szCs w:val="24"/>
        </w:rPr>
        <w:t>go</w:t>
      </w:r>
      <w:r w:rsidRPr="00A720EE">
        <w:rPr>
          <w:rFonts w:ascii="Times New Roman" w:eastAsia="Lato" w:hAnsi="Times New Roman" w:cs="Times New Roman"/>
          <w:color w:val="000000" w:themeColor="text1"/>
          <w:sz w:val="24"/>
          <w:szCs w:val="24"/>
        </w:rPr>
        <w:t xml:space="preserve"> wspierani</w:t>
      </w:r>
      <w:r w:rsidR="001E5F43" w:rsidRPr="00A720EE">
        <w:rPr>
          <w:rFonts w:ascii="Times New Roman" w:eastAsia="Lato" w:hAnsi="Times New Roman" w:cs="Times New Roman"/>
          <w:color w:val="000000" w:themeColor="text1"/>
          <w:sz w:val="24"/>
          <w:szCs w:val="24"/>
        </w:rPr>
        <w:t>a</w:t>
      </w:r>
      <w:r w:rsidRPr="00A720EE">
        <w:rPr>
          <w:rFonts w:ascii="Times New Roman" w:eastAsia="Lato" w:hAnsi="Times New Roman" w:cs="Times New Roman"/>
          <w:color w:val="000000" w:themeColor="text1"/>
          <w:sz w:val="24"/>
          <w:szCs w:val="24"/>
        </w:rPr>
        <w:t xml:space="preserve"> pozycji biznesowej największych </w:t>
      </w:r>
      <w:r w:rsidR="00C21893" w:rsidRPr="00A720EE">
        <w:rPr>
          <w:rFonts w:ascii="Times New Roman" w:eastAsia="Lato" w:hAnsi="Times New Roman" w:cs="Times New Roman"/>
          <w:color w:val="000000" w:themeColor="text1"/>
          <w:sz w:val="24"/>
          <w:szCs w:val="24"/>
        </w:rPr>
        <w:t>grup kapitałowych</w:t>
      </w:r>
      <w:r w:rsidRPr="00A720EE">
        <w:rPr>
          <w:rFonts w:ascii="Times New Roman" w:eastAsia="Lato" w:hAnsi="Times New Roman" w:cs="Times New Roman"/>
          <w:color w:val="000000" w:themeColor="text1"/>
          <w:sz w:val="24"/>
          <w:szCs w:val="24"/>
        </w:rPr>
        <w:t xml:space="preserve">, z równoczesnym zmniejszeniem bariery wejścia na rynek dla nowych przedsiębiorstw. </w:t>
      </w:r>
      <w:r w:rsidRPr="00A720EE">
        <w:rPr>
          <w:rFonts w:ascii="Times New Roman" w:eastAsia="Lato" w:hAnsi="Times New Roman" w:cs="Times New Roman"/>
          <w:iCs/>
          <w:color w:val="000000" w:themeColor="text1"/>
          <w:sz w:val="24"/>
          <w:szCs w:val="24"/>
        </w:rPr>
        <w:t>Działanie to miało także wpłynąć na zwiększenie dochodów budżetowych (m.in. z uwagi na wyeliminowanie zagranicznej luki w podatku CIT</w:t>
      </w:r>
      <w:r w:rsidRPr="00A720EE">
        <w:rPr>
          <w:rFonts w:ascii="Times New Roman" w:eastAsia="Lato" w:hAnsi="Times New Roman" w:cs="Times New Roman"/>
          <w:iCs/>
          <w:color w:val="000000" w:themeColor="text1"/>
          <w:sz w:val="24"/>
          <w:szCs w:val="24"/>
          <w:vertAlign w:val="superscript"/>
        </w:rPr>
        <w:footnoteReference w:id="3"/>
      </w:r>
      <w:r w:rsidRPr="00A720EE">
        <w:rPr>
          <w:rFonts w:ascii="Times New Roman" w:eastAsia="Lato" w:hAnsi="Times New Roman" w:cs="Times New Roman"/>
          <w:iCs/>
          <w:color w:val="000000" w:themeColor="text1"/>
          <w:sz w:val="24"/>
          <w:szCs w:val="24"/>
        </w:rPr>
        <w:t xml:space="preserve">), stanowiąc przy tym </w:t>
      </w:r>
      <w:r w:rsidRPr="00A720EE">
        <w:rPr>
          <w:rFonts w:ascii="Times New Roman" w:eastAsia="Lato" w:hAnsi="Times New Roman" w:cs="Times New Roman"/>
          <w:color w:val="000000" w:themeColor="text1"/>
          <w:sz w:val="24"/>
          <w:szCs w:val="24"/>
        </w:rPr>
        <w:t xml:space="preserve">odzwierciedlenie intencji i kierunku wskazanego przez państwa grupy OECD </w:t>
      </w:r>
      <w:r w:rsidR="000348A4" w:rsidRPr="00A720EE">
        <w:rPr>
          <w:rFonts w:ascii="Times New Roman" w:eastAsia="Lato" w:hAnsi="Times New Roman" w:cs="Times New Roman"/>
          <w:color w:val="000000" w:themeColor="text1"/>
          <w:sz w:val="24"/>
          <w:szCs w:val="24"/>
        </w:rPr>
        <w:t xml:space="preserve">w zakresie </w:t>
      </w:r>
      <w:r w:rsidRPr="00A720EE">
        <w:rPr>
          <w:rFonts w:ascii="Times New Roman" w:eastAsia="Lato" w:hAnsi="Times New Roman" w:cs="Times New Roman"/>
          <w:color w:val="000000" w:themeColor="text1"/>
          <w:sz w:val="24"/>
          <w:szCs w:val="24"/>
        </w:rPr>
        <w:t xml:space="preserve">przeciwdziałania unikaniu opodatkowania. </w:t>
      </w:r>
    </w:p>
    <w:p w14:paraId="11A0A8C9" w14:textId="514BE8E5" w:rsidR="00C34827" w:rsidRPr="00A720EE" w:rsidRDefault="002366DD" w:rsidP="003F1B80">
      <w:pPr>
        <w:spacing w:before="120" w:after="0" w:line="276" w:lineRule="auto"/>
        <w:jc w:val="both"/>
        <w:rPr>
          <w:rFonts w:ascii="Times New Roman" w:eastAsia="Lato" w:hAnsi="Times New Roman" w:cs="Times New Roman"/>
          <w:color w:val="000000" w:themeColor="text1"/>
          <w:sz w:val="24"/>
          <w:szCs w:val="24"/>
        </w:rPr>
      </w:pPr>
      <w:r w:rsidRPr="00A720EE">
        <w:rPr>
          <w:rFonts w:ascii="Times New Roman" w:eastAsia="Lato" w:hAnsi="Times New Roman" w:cs="Times New Roman"/>
          <w:color w:val="000000" w:themeColor="text1"/>
          <w:sz w:val="24"/>
          <w:szCs w:val="24"/>
        </w:rPr>
        <w:t xml:space="preserve">Przepisy art. 24ca </w:t>
      </w:r>
      <w:r w:rsidR="001E5F43" w:rsidRPr="00A720EE">
        <w:rPr>
          <w:rFonts w:ascii="Times New Roman" w:eastAsia="Lato" w:hAnsi="Times New Roman" w:cs="Times New Roman"/>
          <w:color w:val="000000" w:themeColor="text1"/>
          <w:sz w:val="24"/>
          <w:szCs w:val="24"/>
        </w:rPr>
        <w:t>ustawy CIT</w:t>
      </w:r>
      <w:r w:rsidR="000348A4" w:rsidRPr="00A720EE">
        <w:rPr>
          <w:rFonts w:ascii="Times New Roman" w:eastAsia="Lato" w:hAnsi="Times New Roman" w:cs="Times New Roman"/>
          <w:color w:val="000000" w:themeColor="text1"/>
          <w:sz w:val="24"/>
          <w:szCs w:val="24"/>
        </w:rPr>
        <w:t xml:space="preserve"> w założeniu miały</w:t>
      </w:r>
      <w:r w:rsidR="001E5F43" w:rsidRPr="00A720EE">
        <w:rPr>
          <w:rFonts w:ascii="Times New Roman" w:eastAsia="Lato" w:hAnsi="Times New Roman" w:cs="Times New Roman"/>
          <w:color w:val="000000" w:themeColor="text1"/>
          <w:sz w:val="24"/>
          <w:szCs w:val="24"/>
        </w:rPr>
        <w:t xml:space="preserve"> </w:t>
      </w:r>
      <w:r w:rsidRPr="00A720EE">
        <w:rPr>
          <w:rFonts w:ascii="Times New Roman" w:eastAsia="Lato" w:hAnsi="Times New Roman" w:cs="Times New Roman"/>
          <w:color w:val="000000" w:themeColor="text1"/>
          <w:sz w:val="24"/>
          <w:szCs w:val="24"/>
        </w:rPr>
        <w:t>uwzględnia</w:t>
      </w:r>
      <w:r w:rsidR="000348A4" w:rsidRPr="00A720EE">
        <w:rPr>
          <w:rFonts w:ascii="Times New Roman" w:eastAsia="Lato" w:hAnsi="Times New Roman" w:cs="Times New Roman"/>
          <w:color w:val="000000" w:themeColor="text1"/>
          <w:sz w:val="24"/>
          <w:szCs w:val="24"/>
        </w:rPr>
        <w:t>ć</w:t>
      </w:r>
      <w:r w:rsidRPr="00A720EE">
        <w:rPr>
          <w:rFonts w:ascii="Times New Roman" w:eastAsia="Lato" w:hAnsi="Times New Roman" w:cs="Times New Roman"/>
          <w:color w:val="000000" w:themeColor="text1"/>
          <w:sz w:val="24"/>
          <w:szCs w:val="24"/>
        </w:rPr>
        <w:t xml:space="preserve"> specyfikę działalności, w których niska rentowność (lub strata) wynika z obiektywnych przesłanek (np. dotyczących cen regulowanych przez państwo lub wynikających z notowań surowców), jak również określonych grup podatników (np. przedsiębiorstw finansowych, z uwagi na charakter ich działalności).</w:t>
      </w:r>
      <w:r w:rsidRPr="00A720EE">
        <w:rPr>
          <w:rFonts w:ascii="Times New Roman" w:eastAsia="Lato" w:hAnsi="Times New Roman" w:cs="Times New Roman"/>
          <w:iCs/>
          <w:color w:val="000000" w:themeColor="text1"/>
          <w:sz w:val="24"/>
          <w:szCs w:val="24"/>
        </w:rPr>
        <w:t xml:space="preserve"> </w:t>
      </w:r>
      <w:r w:rsidRPr="00A720EE">
        <w:rPr>
          <w:rFonts w:ascii="Times New Roman" w:eastAsia="Lato" w:hAnsi="Times New Roman" w:cs="Times New Roman"/>
          <w:color w:val="000000" w:themeColor="text1"/>
          <w:sz w:val="24"/>
          <w:szCs w:val="24"/>
        </w:rPr>
        <w:t xml:space="preserve">Przewidziano ponadto szereg </w:t>
      </w:r>
      <w:proofErr w:type="spellStart"/>
      <w:r w:rsidRPr="00A720EE">
        <w:rPr>
          <w:rFonts w:ascii="Times New Roman" w:eastAsia="Lato" w:hAnsi="Times New Roman" w:cs="Times New Roman"/>
          <w:color w:val="000000" w:themeColor="text1"/>
          <w:sz w:val="24"/>
          <w:szCs w:val="24"/>
        </w:rPr>
        <w:t>wyłączeń</w:t>
      </w:r>
      <w:proofErr w:type="spellEnd"/>
      <w:r w:rsidRPr="00A720EE">
        <w:rPr>
          <w:rFonts w:ascii="Times New Roman" w:eastAsia="Lato" w:hAnsi="Times New Roman" w:cs="Times New Roman"/>
          <w:color w:val="000000" w:themeColor="text1"/>
          <w:sz w:val="24"/>
          <w:szCs w:val="24"/>
        </w:rPr>
        <w:t xml:space="preserve"> podmiotowo-przedmiotowych, wśród których można wymienić m.in: podatników rozpoczynających prowadzenie działalności (zarówno start-</w:t>
      </w:r>
      <w:proofErr w:type="spellStart"/>
      <w:r w:rsidRPr="00A720EE">
        <w:rPr>
          <w:rFonts w:ascii="Times New Roman" w:eastAsia="Lato" w:hAnsi="Times New Roman" w:cs="Times New Roman"/>
          <w:color w:val="000000" w:themeColor="text1"/>
          <w:sz w:val="24"/>
          <w:szCs w:val="24"/>
        </w:rPr>
        <w:t>upy</w:t>
      </w:r>
      <w:proofErr w:type="spellEnd"/>
      <w:r w:rsidRPr="00A720EE">
        <w:rPr>
          <w:rFonts w:ascii="Times New Roman" w:eastAsia="Lato" w:hAnsi="Times New Roman" w:cs="Times New Roman"/>
          <w:color w:val="000000" w:themeColor="text1"/>
          <w:sz w:val="24"/>
          <w:szCs w:val="24"/>
        </w:rPr>
        <w:t xml:space="preserve">, nowe spółki zakładane przez polskie firmy, jak i podmioty wchodzące na polski rynek), czy podatników z prostą strukturą właścicielską. </w:t>
      </w:r>
    </w:p>
    <w:p w14:paraId="5B77DBB1" w14:textId="68327C05" w:rsidR="003E765F" w:rsidRPr="00A720EE" w:rsidRDefault="002366DD" w:rsidP="003F1B80">
      <w:pPr>
        <w:spacing w:before="120" w:after="0" w:line="276" w:lineRule="auto"/>
        <w:jc w:val="both"/>
        <w:rPr>
          <w:rFonts w:ascii="Times New Roman" w:eastAsia="Lato" w:hAnsi="Times New Roman" w:cs="Times New Roman"/>
          <w:color w:val="000000" w:themeColor="text1"/>
          <w:sz w:val="24"/>
          <w:szCs w:val="24"/>
        </w:rPr>
      </w:pPr>
      <w:r w:rsidRPr="00A720EE">
        <w:rPr>
          <w:rFonts w:ascii="Times New Roman" w:eastAsia="Lato" w:hAnsi="Times New Roman" w:cs="Times New Roman"/>
          <w:color w:val="000000" w:themeColor="text1"/>
          <w:sz w:val="24"/>
          <w:szCs w:val="24"/>
        </w:rPr>
        <w:t xml:space="preserve">Przyjęta konstrukcja podatku, w której znalazły się liczne </w:t>
      </w:r>
      <w:r w:rsidR="00C34827" w:rsidRPr="00A720EE">
        <w:rPr>
          <w:rFonts w:ascii="Times New Roman" w:eastAsia="Lato" w:hAnsi="Times New Roman" w:cs="Times New Roman"/>
          <w:color w:val="000000" w:themeColor="text1"/>
          <w:sz w:val="24"/>
          <w:szCs w:val="24"/>
        </w:rPr>
        <w:t>zwolnienia</w:t>
      </w:r>
      <w:r w:rsidRPr="00A720EE">
        <w:rPr>
          <w:rFonts w:ascii="Times New Roman" w:eastAsia="Lato" w:hAnsi="Times New Roman" w:cs="Times New Roman"/>
          <w:color w:val="000000" w:themeColor="text1"/>
          <w:sz w:val="24"/>
          <w:szCs w:val="24"/>
        </w:rPr>
        <w:t xml:space="preserve"> podmiotowe oraz wyłączenia określonych przychodów i kosztów z wyliczania wskaźnika dochodowości (straty) powodowała zatem, iż rozwiązaniem tym z założenia miało zostać objęte tylko kilka procent podatników.</w:t>
      </w:r>
    </w:p>
    <w:p w14:paraId="203409BE" w14:textId="0465532B" w:rsidR="002366DD" w:rsidRPr="00A720EE" w:rsidRDefault="002366DD" w:rsidP="003F1B80">
      <w:pPr>
        <w:spacing w:before="120" w:after="0" w:line="276" w:lineRule="auto"/>
        <w:jc w:val="both"/>
        <w:rPr>
          <w:rFonts w:ascii="Times New Roman" w:eastAsia="Lato" w:hAnsi="Times New Roman" w:cs="Times New Roman"/>
          <w:color w:val="000000" w:themeColor="text1"/>
          <w:sz w:val="24"/>
          <w:szCs w:val="24"/>
        </w:rPr>
      </w:pPr>
      <w:r w:rsidRPr="00A720EE">
        <w:rPr>
          <w:rFonts w:ascii="Times New Roman" w:eastAsia="Lato" w:hAnsi="Times New Roman" w:cs="Times New Roman"/>
          <w:color w:val="000000" w:themeColor="text1"/>
          <w:sz w:val="24"/>
          <w:szCs w:val="24"/>
        </w:rPr>
        <w:t>Jednak w obliczu trwającego konfliktu zbrojnego na Ukrainie</w:t>
      </w:r>
      <w:r w:rsidR="00673426" w:rsidRPr="00A720EE">
        <w:rPr>
          <w:rFonts w:ascii="Times New Roman" w:eastAsia="Lato" w:hAnsi="Times New Roman" w:cs="Times New Roman"/>
          <w:color w:val="FF0000"/>
          <w:sz w:val="24"/>
          <w:szCs w:val="24"/>
        </w:rPr>
        <w:t xml:space="preserve"> </w:t>
      </w:r>
      <w:r w:rsidR="00673426" w:rsidRPr="00A720EE">
        <w:rPr>
          <w:rFonts w:ascii="Times New Roman" w:eastAsia="Lato" w:hAnsi="Times New Roman" w:cs="Times New Roman"/>
          <w:color w:val="000000" w:themeColor="text1"/>
          <w:sz w:val="24"/>
          <w:szCs w:val="24"/>
        </w:rPr>
        <w:t>i związanych z nim, już obecnie odczuwalnych, negatywnych konsekwencji dla gospodarki</w:t>
      </w:r>
      <w:r w:rsidRPr="00A720EE">
        <w:rPr>
          <w:rFonts w:ascii="Times New Roman" w:eastAsia="Lato" w:hAnsi="Times New Roman" w:cs="Times New Roman"/>
          <w:color w:val="000000" w:themeColor="text1"/>
          <w:sz w:val="24"/>
          <w:szCs w:val="24"/>
        </w:rPr>
        <w:t xml:space="preserve">, </w:t>
      </w:r>
      <w:r w:rsidR="00474F95" w:rsidRPr="00A720EE">
        <w:rPr>
          <w:rFonts w:ascii="Times New Roman" w:eastAsia="Lato" w:hAnsi="Times New Roman" w:cs="Times New Roman"/>
          <w:color w:val="000000" w:themeColor="text1"/>
          <w:sz w:val="24"/>
          <w:szCs w:val="24"/>
        </w:rPr>
        <w:t xml:space="preserve">jak również mając na uwadze widoczne nadal w niektórych obszarach skutki gospodarcze pandemii, </w:t>
      </w:r>
      <w:r w:rsidR="00BF7095" w:rsidRPr="00A720EE">
        <w:rPr>
          <w:rFonts w:ascii="Times New Roman" w:eastAsia="Lato" w:hAnsi="Times New Roman" w:cs="Times New Roman"/>
          <w:bCs/>
          <w:color w:val="000000" w:themeColor="text1"/>
          <w:sz w:val="24"/>
          <w:szCs w:val="24"/>
        </w:rPr>
        <w:t xml:space="preserve">a także liczne apele działających w obrocie podmiotów gospodarczych, </w:t>
      </w:r>
      <w:r w:rsidRPr="00A720EE">
        <w:rPr>
          <w:rFonts w:ascii="Times New Roman" w:eastAsia="Lato" w:hAnsi="Times New Roman" w:cs="Times New Roman"/>
          <w:color w:val="000000" w:themeColor="text1"/>
          <w:sz w:val="24"/>
          <w:szCs w:val="24"/>
        </w:rPr>
        <w:t>dotychczasowe uzasadnienie dla wprowadzenia</w:t>
      </w:r>
      <w:r w:rsidR="001B2B5A" w:rsidRPr="00A720EE">
        <w:rPr>
          <w:rFonts w:ascii="Times New Roman" w:eastAsia="Lato" w:hAnsi="Times New Roman" w:cs="Times New Roman"/>
          <w:color w:val="000000" w:themeColor="text1"/>
          <w:sz w:val="24"/>
          <w:szCs w:val="24"/>
        </w:rPr>
        <w:t xml:space="preserve"> omawianej regulacji zosta</w:t>
      </w:r>
      <w:r w:rsidR="00673426" w:rsidRPr="00A720EE">
        <w:rPr>
          <w:rFonts w:ascii="Times New Roman" w:eastAsia="Lato" w:hAnsi="Times New Roman" w:cs="Times New Roman"/>
          <w:color w:val="000000" w:themeColor="text1"/>
          <w:sz w:val="24"/>
          <w:szCs w:val="24"/>
        </w:rPr>
        <w:t>ło</w:t>
      </w:r>
      <w:r w:rsidR="001B2B5A" w:rsidRPr="00A720EE">
        <w:rPr>
          <w:rFonts w:ascii="Times New Roman" w:eastAsia="Lato" w:hAnsi="Times New Roman" w:cs="Times New Roman"/>
          <w:color w:val="000000" w:themeColor="text1"/>
          <w:sz w:val="24"/>
          <w:szCs w:val="24"/>
        </w:rPr>
        <w:t xml:space="preserve"> ponownie przeanalizowane i poddane</w:t>
      </w:r>
      <w:r w:rsidR="00474F95" w:rsidRPr="00A720EE">
        <w:rPr>
          <w:rFonts w:ascii="Times New Roman" w:eastAsia="Lato" w:hAnsi="Times New Roman" w:cs="Times New Roman"/>
          <w:color w:val="000000" w:themeColor="text1"/>
          <w:sz w:val="24"/>
          <w:szCs w:val="24"/>
        </w:rPr>
        <w:t xml:space="preserve"> </w:t>
      </w:r>
      <w:r w:rsidR="001B2B5A" w:rsidRPr="00A720EE">
        <w:rPr>
          <w:rFonts w:ascii="Times New Roman" w:eastAsia="Lato" w:hAnsi="Times New Roman" w:cs="Times New Roman"/>
          <w:color w:val="000000" w:themeColor="text1"/>
          <w:sz w:val="24"/>
          <w:szCs w:val="24"/>
        </w:rPr>
        <w:t>ocenie</w:t>
      </w:r>
      <w:r w:rsidRPr="00A720EE">
        <w:rPr>
          <w:rFonts w:ascii="Times New Roman" w:eastAsia="Lato" w:hAnsi="Times New Roman" w:cs="Times New Roman"/>
          <w:color w:val="000000" w:themeColor="text1"/>
          <w:sz w:val="24"/>
          <w:szCs w:val="24"/>
        </w:rPr>
        <w:t>.</w:t>
      </w:r>
      <w:r w:rsidR="00673426" w:rsidRPr="00A720EE">
        <w:rPr>
          <w:rFonts w:ascii="Times New Roman" w:eastAsia="Lato" w:hAnsi="Times New Roman" w:cs="Times New Roman"/>
          <w:color w:val="000000" w:themeColor="text1"/>
          <w:sz w:val="24"/>
          <w:szCs w:val="24"/>
        </w:rPr>
        <w:t xml:space="preserve"> </w:t>
      </w:r>
    </w:p>
    <w:p w14:paraId="07667BD8" w14:textId="3E344461" w:rsidR="002366DD" w:rsidRPr="00A720EE" w:rsidRDefault="00BF7095" w:rsidP="003F1B80">
      <w:pPr>
        <w:spacing w:before="120" w:after="0" w:line="276" w:lineRule="auto"/>
        <w:jc w:val="both"/>
        <w:rPr>
          <w:rFonts w:ascii="Times New Roman" w:eastAsia="Lato" w:hAnsi="Times New Roman" w:cs="Times New Roman"/>
          <w:color w:val="000000" w:themeColor="text1"/>
          <w:sz w:val="24"/>
          <w:szCs w:val="24"/>
        </w:rPr>
      </w:pPr>
      <w:r w:rsidRPr="00A720EE">
        <w:rPr>
          <w:rFonts w:ascii="Times New Roman" w:eastAsia="Lato" w:hAnsi="Times New Roman" w:cs="Times New Roman"/>
          <w:color w:val="000000" w:themeColor="text1"/>
          <w:sz w:val="24"/>
          <w:szCs w:val="24"/>
        </w:rPr>
        <w:t>Należy zauważyć, że w</w:t>
      </w:r>
      <w:r w:rsidR="002366DD" w:rsidRPr="00A720EE">
        <w:rPr>
          <w:rFonts w:ascii="Times New Roman" w:eastAsia="Lato" w:hAnsi="Times New Roman" w:cs="Times New Roman"/>
          <w:color w:val="000000" w:themeColor="text1"/>
          <w:sz w:val="24"/>
          <w:szCs w:val="24"/>
        </w:rPr>
        <w:t>edług analityków Polskiego Instytutu Ekonomicznego (PIE)</w:t>
      </w:r>
      <w:r w:rsidR="002366DD" w:rsidRPr="00A720EE">
        <w:rPr>
          <w:rFonts w:ascii="Times New Roman" w:eastAsia="Lato" w:hAnsi="Times New Roman" w:cs="Times New Roman"/>
          <w:color w:val="000000" w:themeColor="text1"/>
          <w:sz w:val="24"/>
          <w:szCs w:val="24"/>
          <w:vertAlign w:val="superscript"/>
        </w:rPr>
        <w:footnoteReference w:id="4"/>
      </w:r>
      <w:r w:rsidR="002366DD" w:rsidRPr="00A720EE">
        <w:rPr>
          <w:rFonts w:ascii="Times New Roman" w:eastAsia="Lato" w:hAnsi="Times New Roman" w:cs="Times New Roman"/>
          <w:color w:val="000000" w:themeColor="text1"/>
          <w:sz w:val="24"/>
          <w:szCs w:val="24"/>
        </w:rPr>
        <w:t xml:space="preserve"> „(…)</w:t>
      </w:r>
      <w:r w:rsidR="005E1EC6" w:rsidRPr="00A720EE">
        <w:rPr>
          <w:rFonts w:ascii="Times New Roman" w:eastAsia="Lato" w:hAnsi="Times New Roman" w:cs="Times New Roman"/>
          <w:color w:val="000000" w:themeColor="text1"/>
          <w:sz w:val="24"/>
          <w:szCs w:val="24"/>
        </w:rPr>
        <w:t xml:space="preserve"> </w:t>
      </w:r>
      <w:r w:rsidR="002366DD" w:rsidRPr="00A720EE">
        <w:rPr>
          <w:rFonts w:ascii="Times New Roman" w:eastAsia="Lato" w:hAnsi="Times New Roman" w:cs="Times New Roman"/>
          <w:i/>
          <w:color w:val="000000" w:themeColor="text1"/>
          <w:sz w:val="24"/>
          <w:szCs w:val="24"/>
        </w:rPr>
        <w:t>42% firm odczuwa niepokój związany z inwazją Rosji na Ukrainę. (…)</w:t>
      </w:r>
      <w:r w:rsidR="005E1EC6" w:rsidRPr="00A720EE">
        <w:rPr>
          <w:rFonts w:ascii="Times New Roman" w:eastAsia="Lato" w:hAnsi="Times New Roman" w:cs="Times New Roman"/>
          <w:i/>
          <w:color w:val="000000" w:themeColor="text1"/>
          <w:sz w:val="24"/>
          <w:szCs w:val="24"/>
        </w:rPr>
        <w:t xml:space="preserve"> </w:t>
      </w:r>
      <w:r w:rsidR="002366DD" w:rsidRPr="00A720EE">
        <w:rPr>
          <w:rFonts w:ascii="Times New Roman" w:eastAsia="Lato" w:hAnsi="Times New Roman" w:cs="Times New Roman"/>
          <w:i/>
          <w:color w:val="000000" w:themeColor="text1"/>
          <w:sz w:val="24"/>
          <w:szCs w:val="24"/>
        </w:rPr>
        <w:t xml:space="preserve">Część przedsiębiorstw już teraz boryka się z problemami związanymi z przerwanymi łańcuchami dostaw czy brakiem pracowników. Co trzecia firma zmaga się z niedostępnością produktów, szczególnie w branży budowlanej (52%) oraz w handlu (41%). Agresja rosyjska z pewnością przyczyni się do wzrostu cen paliw, energii oraz zbóż. Aktualnie wzrost cen energii stanowi problem dla 70% firm. Obawy widać szczególnie w branży TSL (transport, spedycja, logistyka). Niepokój widoczny jest również w branży budowlanej, gdzie 42% przedsiębiorstw wskazuje na duże lub bardzo </w:t>
      </w:r>
      <w:r w:rsidR="002366DD" w:rsidRPr="00A720EE">
        <w:rPr>
          <w:rFonts w:ascii="Times New Roman" w:eastAsia="Lato" w:hAnsi="Times New Roman" w:cs="Times New Roman"/>
          <w:i/>
          <w:color w:val="000000" w:themeColor="text1"/>
          <w:sz w:val="24"/>
          <w:szCs w:val="24"/>
        </w:rPr>
        <w:lastRenderedPageBreak/>
        <w:t>duże zagrożenie dla prowadzonej działalności. Sporą barierą ograniczającą funkcjonowanie jest utrata pracowników, którzy pochodzili z Ukrainy.</w:t>
      </w:r>
      <w:r w:rsidR="005A7883" w:rsidRPr="00A720EE">
        <w:rPr>
          <w:rFonts w:ascii="Times New Roman" w:eastAsia="Lato" w:hAnsi="Times New Roman" w:cs="Times New Roman"/>
          <w:color w:val="000000" w:themeColor="text1"/>
          <w:sz w:val="24"/>
          <w:szCs w:val="24"/>
        </w:rPr>
        <w:t xml:space="preserve"> </w:t>
      </w:r>
      <w:r w:rsidR="002366DD" w:rsidRPr="00A720EE">
        <w:rPr>
          <w:rFonts w:ascii="Times New Roman" w:eastAsia="Lato" w:hAnsi="Times New Roman" w:cs="Times New Roman"/>
          <w:color w:val="000000" w:themeColor="text1"/>
          <w:sz w:val="24"/>
          <w:szCs w:val="24"/>
        </w:rPr>
        <w:t>(…)</w:t>
      </w:r>
      <w:r w:rsidR="002366DD" w:rsidRPr="00A720EE">
        <w:rPr>
          <w:rFonts w:ascii="Times New Roman" w:eastAsia="Lato" w:hAnsi="Times New Roman" w:cs="Times New Roman"/>
          <w:color w:val="000000" w:themeColor="text1"/>
          <w:sz w:val="24"/>
          <w:szCs w:val="24"/>
          <w:vertAlign w:val="superscript"/>
        </w:rPr>
        <w:footnoteReference w:id="5"/>
      </w:r>
    </w:p>
    <w:p w14:paraId="01A9BB54" w14:textId="731B0192" w:rsidR="002366DD" w:rsidRPr="00A720EE" w:rsidRDefault="00BF7095" w:rsidP="005A788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efekcie, w sytuacji </w:t>
      </w:r>
      <w:r w:rsidR="000D582A" w:rsidRPr="00A720EE">
        <w:rPr>
          <w:rFonts w:ascii="Times New Roman" w:eastAsiaTheme="minorEastAsia" w:hAnsi="Times New Roman" w:cs="Times New Roman"/>
          <w:sz w:val="24"/>
          <w:szCs w:val="24"/>
          <w:lang w:eastAsia="pl-PL"/>
        </w:rPr>
        <w:t>gdy</w:t>
      </w:r>
      <w:r w:rsidR="005C6E91"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uwarunkowania</w:t>
      </w:r>
      <w:r w:rsidR="000D582A" w:rsidRPr="00A720EE">
        <w:rPr>
          <w:rFonts w:ascii="Times New Roman" w:eastAsiaTheme="minorEastAsia" w:hAnsi="Times New Roman" w:cs="Times New Roman"/>
          <w:sz w:val="24"/>
          <w:szCs w:val="24"/>
          <w:lang w:eastAsia="pl-PL"/>
        </w:rPr>
        <w:t xml:space="preserve"> polityczno-gospodarcz</w:t>
      </w:r>
      <w:r w:rsidRPr="00A720EE">
        <w:rPr>
          <w:rFonts w:ascii="Times New Roman" w:eastAsiaTheme="minorEastAsia" w:hAnsi="Times New Roman" w:cs="Times New Roman"/>
          <w:sz w:val="24"/>
          <w:szCs w:val="24"/>
          <w:lang w:eastAsia="pl-PL"/>
        </w:rPr>
        <w:t>e</w:t>
      </w:r>
      <w:r w:rsidR="000D582A" w:rsidRPr="00A720EE">
        <w:rPr>
          <w:rFonts w:ascii="Times New Roman" w:eastAsiaTheme="minorEastAsia" w:hAnsi="Times New Roman" w:cs="Times New Roman"/>
          <w:sz w:val="24"/>
          <w:szCs w:val="24"/>
          <w:lang w:eastAsia="pl-PL"/>
        </w:rPr>
        <w:t xml:space="preserve"> ma</w:t>
      </w:r>
      <w:r w:rsidRPr="00A720EE">
        <w:rPr>
          <w:rFonts w:ascii="Times New Roman" w:eastAsiaTheme="minorEastAsia" w:hAnsi="Times New Roman" w:cs="Times New Roman"/>
          <w:sz w:val="24"/>
          <w:szCs w:val="24"/>
          <w:lang w:eastAsia="pl-PL"/>
        </w:rPr>
        <w:t xml:space="preserve">ją </w:t>
      </w:r>
      <w:r w:rsidR="005C6E91" w:rsidRPr="00A720EE">
        <w:rPr>
          <w:rFonts w:ascii="Times New Roman" w:eastAsiaTheme="minorEastAsia" w:hAnsi="Times New Roman" w:cs="Times New Roman"/>
          <w:sz w:val="24"/>
          <w:szCs w:val="24"/>
          <w:lang w:eastAsia="pl-PL"/>
        </w:rPr>
        <w:t xml:space="preserve">znaczący </w:t>
      </w:r>
      <w:r w:rsidR="000D582A" w:rsidRPr="00A720EE">
        <w:rPr>
          <w:rFonts w:ascii="Times New Roman" w:eastAsiaTheme="minorEastAsia" w:hAnsi="Times New Roman" w:cs="Times New Roman"/>
          <w:sz w:val="24"/>
          <w:szCs w:val="24"/>
          <w:lang w:eastAsia="pl-PL"/>
        </w:rPr>
        <w:t xml:space="preserve">wpływ na globalną gospodarkę i tym samym na funkcjonujące w jej przestrzeni podmioty, co jest szczególnie nasilone w odniesieniu do Polski, realizowanie przyjętych uprzednio założeń i </w:t>
      </w:r>
      <w:r w:rsidR="001B40DC" w:rsidRPr="00A720EE">
        <w:rPr>
          <w:rFonts w:ascii="Times New Roman" w:eastAsiaTheme="minorEastAsia" w:hAnsi="Times New Roman" w:cs="Times New Roman"/>
          <w:sz w:val="24"/>
          <w:szCs w:val="24"/>
          <w:lang w:eastAsia="pl-PL"/>
        </w:rPr>
        <w:t xml:space="preserve">wprowadzanie aktualnie w życie przepisów </w:t>
      </w:r>
      <w:r w:rsidR="000D582A" w:rsidRPr="00A720EE">
        <w:rPr>
          <w:rFonts w:ascii="Times New Roman" w:eastAsiaTheme="minorEastAsia" w:hAnsi="Times New Roman" w:cs="Times New Roman"/>
          <w:sz w:val="24"/>
          <w:szCs w:val="24"/>
          <w:lang w:eastAsia="pl-PL"/>
        </w:rPr>
        <w:t>dotyczących minimalnego podatku dochodowego</w:t>
      </w:r>
      <w:r w:rsidR="00B23DD9" w:rsidRPr="00A720EE">
        <w:rPr>
          <w:rFonts w:ascii="Times New Roman" w:eastAsiaTheme="minorEastAsia" w:hAnsi="Times New Roman" w:cs="Times New Roman"/>
          <w:sz w:val="24"/>
          <w:szCs w:val="24"/>
          <w:lang w:eastAsia="pl-PL"/>
        </w:rPr>
        <w:t xml:space="preserve"> nie jest wskazane</w:t>
      </w:r>
      <w:r w:rsidR="000D582A" w:rsidRPr="00A720EE">
        <w:rPr>
          <w:rFonts w:ascii="Times New Roman" w:eastAsiaTheme="minorEastAsia" w:hAnsi="Times New Roman" w:cs="Times New Roman"/>
          <w:sz w:val="24"/>
          <w:szCs w:val="24"/>
          <w:lang w:eastAsia="pl-PL"/>
        </w:rPr>
        <w:t xml:space="preserve">. </w:t>
      </w:r>
      <w:r w:rsidR="001B40DC" w:rsidRPr="00A720EE">
        <w:rPr>
          <w:rFonts w:ascii="Times New Roman" w:eastAsiaTheme="minorEastAsia" w:hAnsi="Times New Roman" w:cs="Times New Roman"/>
          <w:sz w:val="24"/>
          <w:szCs w:val="24"/>
          <w:lang w:eastAsia="pl-PL"/>
        </w:rPr>
        <w:t>W</w:t>
      </w:r>
      <w:r w:rsidRPr="00A720EE">
        <w:rPr>
          <w:rFonts w:ascii="Times New Roman" w:eastAsiaTheme="minorEastAsia" w:hAnsi="Times New Roman" w:cs="Times New Roman"/>
          <w:sz w:val="24"/>
          <w:szCs w:val="24"/>
          <w:lang w:eastAsia="pl-PL"/>
        </w:rPr>
        <w:t xml:space="preserve"> obecnych okolicznościach (przerwane łańcuchy dostaw, utrata rynków zbytu, nienotowane w XXI w. poziomy CPI i PPI, </w:t>
      </w:r>
      <w:r w:rsidR="0068522A" w:rsidRPr="00A720EE">
        <w:rPr>
          <w:rFonts w:ascii="Times New Roman" w:eastAsiaTheme="minorEastAsia" w:hAnsi="Times New Roman" w:cs="Times New Roman"/>
          <w:sz w:val="24"/>
          <w:szCs w:val="24"/>
          <w:lang w:eastAsia="pl-PL"/>
        </w:rPr>
        <w:t xml:space="preserve">ryzyko powstania </w:t>
      </w:r>
      <w:r w:rsidRPr="00A720EE">
        <w:rPr>
          <w:rFonts w:ascii="Times New Roman" w:eastAsiaTheme="minorEastAsia" w:hAnsi="Times New Roman" w:cs="Times New Roman"/>
          <w:sz w:val="24"/>
          <w:szCs w:val="24"/>
          <w:lang w:eastAsia="pl-PL"/>
        </w:rPr>
        <w:t>spira</w:t>
      </w:r>
      <w:r w:rsidR="0068522A" w:rsidRPr="00A720EE">
        <w:rPr>
          <w:rFonts w:ascii="Times New Roman" w:eastAsiaTheme="minorEastAsia" w:hAnsi="Times New Roman" w:cs="Times New Roman"/>
          <w:sz w:val="24"/>
          <w:szCs w:val="24"/>
          <w:lang w:eastAsia="pl-PL"/>
        </w:rPr>
        <w:t>li</w:t>
      </w:r>
      <w:r w:rsidRPr="00A720EE">
        <w:rPr>
          <w:rFonts w:ascii="Times New Roman" w:eastAsiaTheme="minorEastAsia" w:hAnsi="Times New Roman" w:cs="Times New Roman"/>
          <w:sz w:val="24"/>
          <w:szCs w:val="24"/>
          <w:lang w:eastAsia="pl-PL"/>
        </w:rPr>
        <w:t xml:space="preserve"> płacowo-cenow</w:t>
      </w:r>
      <w:r w:rsidR="0068522A" w:rsidRPr="00A720EE">
        <w:rPr>
          <w:rFonts w:ascii="Times New Roman" w:eastAsiaTheme="minorEastAsia" w:hAnsi="Times New Roman" w:cs="Times New Roman"/>
          <w:sz w:val="24"/>
          <w:szCs w:val="24"/>
          <w:lang w:eastAsia="pl-PL"/>
        </w:rPr>
        <w:t>ej</w:t>
      </w:r>
      <w:r w:rsidRPr="00A720EE">
        <w:rPr>
          <w:rFonts w:ascii="Times New Roman" w:eastAsiaTheme="minorEastAsia" w:hAnsi="Times New Roman" w:cs="Times New Roman"/>
          <w:sz w:val="24"/>
          <w:szCs w:val="24"/>
          <w:lang w:eastAsia="pl-PL"/>
        </w:rPr>
        <w:t xml:space="preserve">, </w:t>
      </w:r>
      <w:r w:rsidR="0068522A" w:rsidRPr="00A720EE">
        <w:rPr>
          <w:rFonts w:ascii="Times New Roman" w:eastAsiaTheme="minorEastAsia" w:hAnsi="Times New Roman" w:cs="Times New Roman"/>
          <w:sz w:val="24"/>
          <w:szCs w:val="24"/>
          <w:lang w:eastAsia="pl-PL"/>
        </w:rPr>
        <w:t>wysoka</w:t>
      </w:r>
      <w:r w:rsidRPr="00A720EE">
        <w:rPr>
          <w:rFonts w:ascii="Times New Roman" w:eastAsiaTheme="minorEastAsia" w:hAnsi="Times New Roman" w:cs="Times New Roman"/>
          <w:sz w:val="24"/>
          <w:szCs w:val="24"/>
          <w:lang w:eastAsia="pl-PL"/>
        </w:rPr>
        <w:t xml:space="preserve"> inflacja itp.), m</w:t>
      </w:r>
      <w:r w:rsidR="002366DD" w:rsidRPr="00A720EE">
        <w:rPr>
          <w:rFonts w:ascii="Times New Roman" w:eastAsiaTheme="minorEastAsia" w:hAnsi="Times New Roman" w:cs="Times New Roman"/>
          <w:sz w:val="24"/>
          <w:szCs w:val="24"/>
          <w:lang w:eastAsia="pl-PL"/>
        </w:rPr>
        <w:t>ogłoby</w:t>
      </w:r>
      <w:r w:rsidRPr="00A720EE">
        <w:rPr>
          <w:rFonts w:ascii="Times New Roman" w:eastAsiaTheme="minorEastAsia" w:hAnsi="Times New Roman" w:cs="Times New Roman"/>
          <w:sz w:val="24"/>
          <w:szCs w:val="24"/>
          <w:lang w:eastAsia="pl-PL"/>
        </w:rPr>
        <w:t xml:space="preserve"> </w:t>
      </w:r>
      <w:r w:rsidR="001B40DC" w:rsidRPr="00A720EE">
        <w:rPr>
          <w:rFonts w:ascii="Times New Roman" w:eastAsiaTheme="minorEastAsia" w:hAnsi="Times New Roman" w:cs="Times New Roman"/>
          <w:sz w:val="24"/>
          <w:szCs w:val="24"/>
          <w:lang w:eastAsia="pl-PL"/>
        </w:rPr>
        <w:t xml:space="preserve">to </w:t>
      </w:r>
      <w:r w:rsidR="002366DD" w:rsidRPr="00A720EE">
        <w:rPr>
          <w:rFonts w:ascii="Times New Roman" w:eastAsiaTheme="minorEastAsia" w:hAnsi="Times New Roman" w:cs="Times New Roman"/>
          <w:sz w:val="24"/>
          <w:szCs w:val="24"/>
          <w:lang w:eastAsia="pl-PL"/>
        </w:rPr>
        <w:t>spowodować bardzo niekorzystne, a niekiedy nieodwracalne skutki dla działających w Polsce</w:t>
      </w:r>
      <w:r w:rsidR="008C4F7A" w:rsidRPr="00A720EE">
        <w:rPr>
          <w:rFonts w:ascii="Times New Roman" w:eastAsiaTheme="minorEastAsia" w:hAnsi="Times New Roman" w:cs="Times New Roman"/>
          <w:sz w:val="24"/>
          <w:szCs w:val="24"/>
          <w:lang w:eastAsia="pl-PL"/>
        </w:rPr>
        <w:t xml:space="preserve"> </w:t>
      </w:r>
      <w:r w:rsidR="000D582A" w:rsidRPr="00A720EE">
        <w:rPr>
          <w:rFonts w:ascii="Times New Roman" w:eastAsiaTheme="minorEastAsia" w:hAnsi="Times New Roman" w:cs="Times New Roman"/>
          <w:sz w:val="24"/>
          <w:szCs w:val="24"/>
          <w:lang w:eastAsia="pl-PL"/>
        </w:rPr>
        <w:t>przedsiębiorstw</w:t>
      </w:r>
      <w:r w:rsidR="002366DD" w:rsidRPr="00A720EE">
        <w:rPr>
          <w:rFonts w:ascii="Times New Roman" w:hAnsi="Times New Roman" w:cs="Times New Roman"/>
          <w:sz w:val="24"/>
          <w:szCs w:val="24"/>
        </w:rPr>
        <w:t xml:space="preserve"> </w:t>
      </w:r>
      <w:r w:rsidR="002366DD" w:rsidRPr="00A720EE">
        <w:rPr>
          <w:rFonts w:ascii="Times New Roman" w:eastAsiaTheme="minorEastAsia" w:hAnsi="Times New Roman" w:cs="Times New Roman"/>
          <w:sz w:val="24"/>
          <w:szCs w:val="24"/>
          <w:lang w:eastAsia="pl-PL"/>
        </w:rPr>
        <w:t xml:space="preserve">spełniających warunki do objęcia ich przedmiotową </w:t>
      </w:r>
      <w:r w:rsidR="00EB0A4F" w:rsidRPr="00A720EE">
        <w:rPr>
          <w:rFonts w:ascii="Times New Roman" w:eastAsiaTheme="minorEastAsia" w:hAnsi="Times New Roman" w:cs="Times New Roman"/>
          <w:sz w:val="24"/>
          <w:szCs w:val="24"/>
          <w:lang w:eastAsia="pl-PL"/>
        </w:rPr>
        <w:t>regulacją</w:t>
      </w:r>
      <w:r w:rsidR="002366DD"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 xml:space="preserve">Stanowiłoby to </w:t>
      </w:r>
      <w:r w:rsidRPr="00A720EE">
        <w:rPr>
          <w:rFonts w:ascii="Times New Roman" w:eastAsiaTheme="minorEastAsia" w:hAnsi="Times New Roman" w:cs="Times New Roman"/>
          <w:bCs/>
          <w:sz w:val="24"/>
          <w:szCs w:val="24"/>
          <w:lang w:eastAsia="pl-PL"/>
        </w:rPr>
        <w:t xml:space="preserve">istotne zagrożenie dla </w:t>
      </w:r>
      <w:r w:rsidR="008C4F7A" w:rsidRPr="00A720EE">
        <w:rPr>
          <w:rFonts w:ascii="Times New Roman" w:eastAsiaTheme="minorEastAsia" w:hAnsi="Times New Roman" w:cs="Times New Roman"/>
          <w:bCs/>
          <w:sz w:val="24"/>
          <w:szCs w:val="24"/>
          <w:lang w:eastAsia="pl-PL"/>
        </w:rPr>
        <w:t>ich funkcjonowania</w:t>
      </w:r>
      <w:r w:rsidRPr="00A720EE">
        <w:rPr>
          <w:rFonts w:ascii="Times New Roman" w:eastAsiaTheme="minorEastAsia" w:hAnsi="Times New Roman" w:cs="Times New Roman"/>
          <w:bCs/>
          <w:sz w:val="24"/>
          <w:szCs w:val="24"/>
          <w:lang w:eastAsia="pl-PL"/>
        </w:rPr>
        <w:t>, względnie konieczność radykalnego zwiększenia kosztów łańcucha dostaw, co mogłoby doprowadzić do zamykania działalności z powodu obniżonej konkurencyjności wobec sieci zagranicznych.</w:t>
      </w:r>
    </w:p>
    <w:p w14:paraId="67843F49" w14:textId="6D68DA60" w:rsidR="001B40DC" w:rsidRPr="00A720EE" w:rsidRDefault="002366DD" w:rsidP="001B40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Wobec przedstawionych uwarunkowań, projekt przewiduje</w:t>
      </w:r>
      <w:r w:rsidR="001B2B5A" w:rsidRPr="00A720EE">
        <w:rPr>
          <w:rFonts w:ascii="Times New Roman" w:eastAsiaTheme="minorEastAsia" w:hAnsi="Times New Roman" w:cs="Times New Roman"/>
          <w:sz w:val="24"/>
          <w:szCs w:val="24"/>
          <w:lang w:eastAsia="pl-PL"/>
        </w:rPr>
        <w:t xml:space="preserve"> </w:t>
      </w:r>
      <w:r w:rsidR="001B40DC" w:rsidRPr="00A720EE">
        <w:rPr>
          <w:rFonts w:ascii="Times New Roman" w:eastAsiaTheme="minorEastAsia" w:hAnsi="Times New Roman" w:cs="Times New Roman"/>
          <w:sz w:val="24"/>
          <w:szCs w:val="24"/>
          <w:lang w:eastAsia="pl-PL"/>
        </w:rPr>
        <w:t xml:space="preserve">zwolnienie z minimalnego podatku dochodowego, o którym mowa w art. 24ca ustawy CIT w okresie 2 lat (art. 38hb ustawy CIT).  </w:t>
      </w:r>
    </w:p>
    <w:p w14:paraId="577CAF15" w14:textId="796A63E9" w:rsidR="00EB0A4F" w:rsidRPr="00A720EE" w:rsidRDefault="001B40DC" w:rsidP="001B40D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sz w:val="24"/>
          <w:szCs w:val="24"/>
          <w:lang w:eastAsia="pl-PL"/>
        </w:rPr>
        <w:t>Jednocześnie, nie wyklucza to wprowadzenia zmian w konstrukcji samego rozwiązania.</w:t>
      </w:r>
      <w:r w:rsidRPr="00A720EE">
        <w:rPr>
          <w:rFonts w:ascii="Times New Roman" w:eastAsiaTheme="minorEastAsia" w:hAnsi="Times New Roman" w:cs="Times New Roman"/>
          <w:bCs/>
          <w:sz w:val="24"/>
          <w:szCs w:val="24"/>
          <w:lang w:eastAsia="pl-PL"/>
        </w:rPr>
        <w:t xml:space="preserve"> Przepisy w obecnym kształcie powodują bowiem w szczególności, że minimalnym podatkiem dochodowym </w:t>
      </w:r>
      <w:r w:rsidR="00EB0A4F" w:rsidRPr="00A720EE">
        <w:rPr>
          <w:rFonts w:ascii="Times New Roman" w:eastAsiaTheme="minorEastAsia" w:hAnsi="Times New Roman" w:cs="Times New Roman"/>
          <w:bCs/>
          <w:sz w:val="24"/>
          <w:szCs w:val="24"/>
          <w:lang w:eastAsia="pl-PL"/>
        </w:rPr>
        <w:t>mogą być</w:t>
      </w:r>
      <w:r w:rsidRPr="00A720EE">
        <w:rPr>
          <w:rFonts w:ascii="Times New Roman" w:eastAsiaTheme="minorEastAsia" w:hAnsi="Times New Roman" w:cs="Times New Roman"/>
          <w:bCs/>
          <w:sz w:val="24"/>
          <w:szCs w:val="24"/>
          <w:lang w:eastAsia="pl-PL"/>
        </w:rPr>
        <w:t xml:space="preserve"> ob</w:t>
      </w:r>
      <w:r w:rsidR="00EB0A4F" w:rsidRPr="00A720EE">
        <w:rPr>
          <w:rFonts w:ascii="Times New Roman" w:eastAsiaTheme="minorEastAsia" w:hAnsi="Times New Roman" w:cs="Times New Roman"/>
          <w:bCs/>
          <w:sz w:val="24"/>
          <w:szCs w:val="24"/>
          <w:lang w:eastAsia="pl-PL"/>
        </w:rPr>
        <w:t>jęte</w:t>
      </w:r>
      <w:r w:rsidRPr="00A720EE">
        <w:rPr>
          <w:rFonts w:ascii="Times New Roman" w:eastAsiaTheme="minorEastAsia" w:hAnsi="Times New Roman" w:cs="Times New Roman"/>
          <w:bCs/>
          <w:sz w:val="24"/>
          <w:szCs w:val="24"/>
          <w:lang w:eastAsia="pl-PL"/>
        </w:rPr>
        <w:t xml:space="preserve"> podmioty, których wyniki podatkowe (strata lub niski poziom dochodowości) nie zawsze są rezul</w:t>
      </w:r>
      <w:r w:rsidR="008C4F7A" w:rsidRPr="00A720EE">
        <w:rPr>
          <w:rFonts w:ascii="Times New Roman" w:eastAsiaTheme="minorEastAsia" w:hAnsi="Times New Roman" w:cs="Times New Roman"/>
          <w:bCs/>
          <w:sz w:val="24"/>
          <w:szCs w:val="24"/>
          <w:lang w:eastAsia="pl-PL"/>
        </w:rPr>
        <w:t>tatem działań optymalizacyjnych</w:t>
      </w:r>
      <w:r w:rsidRPr="00A720EE">
        <w:rPr>
          <w:rFonts w:ascii="Times New Roman" w:eastAsiaTheme="minorEastAsia" w:hAnsi="Times New Roman" w:cs="Times New Roman"/>
          <w:bCs/>
          <w:sz w:val="24"/>
          <w:szCs w:val="24"/>
          <w:lang w:eastAsia="pl-PL"/>
        </w:rPr>
        <w:t xml:space="preserve">. </w:t>
      </w:r>
      <w:r w:rsidR="00EB0A4F" w:rsidRPr="00A720EE">
        <w:rPr>
          <w:rFonts w:ascii="Times New Roman" w:eastAsiaTheme="minorEastAsia" w:hAnsi="Times New Roman" w:cs="Times New Roman"/>
          <w:bCs/>
          <w:sz w:val="24"/>
          <w:szCs w:val="24"/>
          <w:lang w:eastAsia="pl-PL"/>
        </w:rPr>
        <w:t>Proponowane w projekcie zmiany zmierzają do tego, aby w jak najszerszym stopniu uwzględnić</w:t>
      </w:r>
      <w:r w:rsidR="00650D94" w:rsidRPr="00A720EE">
        <w:rPr>
          <w:rFonts w:ascii="Times New Roman" w:eastAsiaTheme="minorEastAsia" w:hAnsi="Times New Roman" w:cs="Times New Roman"/>
          <w:bCs/>
          <w:sz w:val="24"/>
          <w:szCs w:val="24"/>
          <w:lang w:eastAsia="pl-PL"/>
        </w:rPr>
        <w:t xml:space="preserve"> okoliczności, które świadczą</w:t>
      </w:r>
      <w:r w:rsidR="00CD3466" w:rsidRPr="00A720EE">
        <w:rPr>
          <w:rFonts w:ascii="Times New Roman" w:eastAsiaTheme="minorEastAsia" w:hAnsi="Times New Roman" w:cs="Times New Roman"/>
          <w:bCs/>
          <w:sz w:val="24"/>
          <w:szCs w:val="24"/>
          <w:lang w:eastAsia="pl-PL"/>
        </w:rPr>
        <w:t xml:space="preserve"> lub mogą świadczyć</w:t>
      </w:r>
      <w:r w:rsidR="00650D94" w:rsidRPr="00A720EE">
        <w:rPr>
          <w:rFonts w:ascii="Times New Roman" w:eastAsiaTheme="minorEastAsia" w:hAnsi="Times New Roman" w:cs="Times New Roman"/>
          <w:bCs/>
          <w:sz w:val="24"/>
          <w:szCs w:val="24"/>
          <w:lang w:eastAsia="pl-PL"/>
        </w:rPr>
        <w:t xml:space="preserve"> o tym, iż niższy niż założony przez ustawodawcę poziom rentowności ma swoje gospodarcze uzasadnienie, a tym samym ryzyko, iż jego przyczyną są działania optymalizacyjne nie jest znaczne. </w:t>
      </w:r>
      <w:r w:rsidR="00EB0A4F" w:rsidRPr="00A720EE">
        <w:rPr>
          <w:rFonts w:ascii="Times New Roman" w:eastAsiaTheme="minorEastAsia" w:hAnsi="Times New Roman" w:cs="Times New Roman"/>
          <w:bCs/>
          <w:sz w:val="24"/>
          <w:szCs w:val="24"/>
          <w:lang w:eastAsia="pl-PL"/>
        </w:rPr>
        <w:t xml:space="preserve">   </w:t>
      </w:r>
    </w:p>
    <w:p w14:paraId="65559C95" w14:textId="6FE7DF7A" w:rsidR="001B40DC" w:rsidRPr="00A720EE" w:rsidRDefault="001B40DC" w:rsidP="001B40DC">
      <w:pPr>
        <w:widowControl w:val="0"/>
        <w:autoSpaceDE w:val="0"/>
        <w:autoSpaceDN w:val="0"/>
        <w:adjustRightInd w:val="0"/>
        <w:spacing w:before="120" w:after="0" w:line="276" w:lineRule="auto"/>
        <w:jc w:val="both"/>
        <w:rPr>
          <w:rFonts w:ascii="Times New Roman" w:eastAsiaTheme="minorEastAsia" w:hAnsi="Times New Roman" w:cs="Times New Roman"/>
          <w:bCs/>
          <w:color w:val="FF0000"/>
          <w:sz w:val="24"/>
          <w:szCs w:val="24"/>
          <w:lang w:eastAsia="pl-PL"/>
        </w:rPr>
      </w:pPr>
      <w:r w:rsidRPr="00A720EE">
        <w:rPr>
          <w:rFonts w:ascii="Times New Roman" w:eastAsiaTheme="minorEastAsia" w:hAnsi="Times New Roman" w:cs="Times New Roman"/>
          <w:bCs/>
          <w:sz w:val="24"/>
          <w:szCs w:val="24"/>
          <w:lang w:eastAsia="pl-PL"/>
        </w:rPr>
        <w:t>Proponuje się zatem wprowadzenie takich modyfikacji w obowiązujących przepisach, które zbliżą obecn</w:t>
      </w:r>
      <w:r w:rsidR="00CD3466" w:rsidRPr="00A720EE">
        <w:rPr>
          <w:rFonts w:ascii="Times New Roman" w:eastAsiaTheme="minorEastAsia" w:hAnsi="Times New Roman" w:cs="Times New Roman"/>
          <w:bCs/>
          <w:sz w:val="24"/>
          <w:szCs w:val="24"/>
          <w:lang w:eastAsia="pl-PL"/>
        </w:rPr>
        <w:t>ą</w:t>
      </w:r>
      <w:r w:rsidRPr="00A720EE">
        <w:rPr>
          <w:rFonts w:ascii="Times New Roman" w:eastAsiaTheme="minorEastAsia" w:hAnsi="Times New Roman" w:cs="Times New Roman"/>
          <w:bCs/>
          <w:sz w:val="24"/>
          <w:szCs w:val="24"/>
          <w:lang w:eastAsia="pl-PL"/>
        </w:rPr>
        <w:t xml:space="preserve"> regulacj</w:t>
      </w:r>
      <w:r w:rsidR="00CD3466" w:rsidRPr="00A720EE">
        <w:rPr>
          <w:rFonts w:ascii="Times New Roman" w:eastAsiaTheme="minorEastAsia" w:hAnsi="Times New Roman" w:cs="Times New Roman"/>
          <w:bCs/>
          <w:sz w:val="24"/>
          <w:szCs w:val="24"/>
          <w:lang w:eastAsia="pl-PL"/>
        </w:rPr>
        <w:t>ę</w:t>
      </w:r>
      <w:r w:rsidRPr="00A720EE">
        <w:rPr>
          <w:rFonts w:ascii="Times New Roman" w:eastAsiaTheme="minorEastAsia" w:hAnsi="Times New Roman" w:cs="Times New Roman"/>
          <w:bCs/>
          <w:sz w:val="24"/>
          <w:szCs w:val="24"/>
          <w:lang w:eastAsia="pl-PL"/>
        </w:rPr>
        <w:t xml:space="preserve"> do celów, które miał</w:t>
      </w:r>
      <w:r w:rsidR="00CD3466" w:rsidRPr="00A720EE">
        <w:rPr>
          <w:rFonts w:ascii="Times New Roman" w:eastAsiaTheme="minorEastAsia" w:hAnsi="Times New Roman" w:cs="Times New Roman"/>
          <w:bCs/>
          <w:sz w:val="24"/>
          <w:szCs w:val="24"/>
          <w:lang w:eastAsia="pl-PL"/>
        </w:rPr>
        <w:t>a ona</w:t>
      </w:r>
      <w:r w:rsidRPr="00A720EE">
        <w:rPr>
          <w:rFonts w:ascii="Times New Roman" w:eastAsiaTheme="minorEastAsia" w:hAnsi="Times New Roman" w:cs="Times New Roman"/>
          <w:bCs/>
          <w:sz w:val="24"/>
          <w:szCs w:val="24"/>
          <w:lang w:eastAsia="pl-PL"/>
        </w:rPr>
        <w:t xml:space="preserve"> realizować.</w:t>
      </w:r>
    </w:p>
    <w:p w14:paraId="2064E5CF" w14:textId="77777777" w:rsidR="001B40DC" w:rsidRPr="00A720EE" w:rsidRDefault="001B40DC" w:rsidP="001B40D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sz w:val="24"/>
          <w:szCs w:val="24"/>
          <w:lang w:eastAsia="pl-PL"/>
        </w:rPr>
        <w:t xml:space="preserve">Projektowane </w:t>
      </w:r>
      <w:r w:rsidRPr="00A720EE">
        <w:rPr>
          <w:rFonts w:ascii="Times New Roman" w:eastAsiaTheme="minorEastAsia" w:hAnsi="Times New Roman" w:cs="Times New Roman"/>
          <w:bCs/>
          <w:sz w:val="24"/>
          <w:szCs w:val="24"/>
          <w:lang w:eastAsia="pl-PL"/>
        </w:rPr>
        <w:t>rozwiązania mają w szczególności na celu:</w:t>
      </w:r>
    </w:p>
    <w:p w14:paraId="59D0FC55" w14:textId="77777777" w:rsidR="001B40DC" w:rsidRPr="00A720EE" w:rsidRDefault="001B40DC" w:rsidP="001B40DC">
      <w:pPr>
        <w:widowControl w:val="0"/>
        <w:numPr>
          <w:ilvl w:val="0"/>
          <w:numId w:val="6"/>
        </w:numPr>
        <w:autoSpaceDE w:val="0"/>
        <w:autoSpaceDN w:val="0"/>
        <w:adjustRightInd w:val="0"/>
        <w:spacing w:before="120" w:after="0" w:line="276" w:lineRule="auto"/>
        <w:contextualSpacing/>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korektę przepisów budzących w</w:t>
      </w:r>
      <w:r w:rsidR="008C4F7A" w:rsidRPr="00A720EE">
        <w:rPr>
          <w:rFonts w:ascii="Times New Roman" w:eastAsiaTheme="minorEastAsia" w:hAnsi="Times New Roman" w:cs="Times New Roman"/>
          <w:bCs/>
          <w:sz w:val="24"/>
          <w:szCs w:val="24"/>
          <w:lang w:eastAsia="pl-PL"/>
        </w:rPr>
        <w:t xml:space="preserve">ątpliwości interpretacyjne lub </w:t>
      </w:r>
      <w:r w:rsidRPr="00A720EE">
        <w:rPr>
          <w:rFonts w:ascii="Times New Roman" w:eastAsiaTheme="minorEastAsia" w:hAnsi="Times New Roman" w:cs="Times New Roman"/>
          <w:bCs/>
          <w:sz w:val="24"/>
          <w:szCs w:val="24"/>
          <w:lang w:eastAsia="pl-PL"/>
        </w:rPr>
        <w:t>prowadzących do rezultatów sprzecznych z ideą regulacji o minimalnym podatku dochodowym,</w:t>
      </w:r>
    </w:p>
    <w:p w14:paraId="416D2351" w14:textId="77777777" w:rsidR="001B40DC" w:rsidRPr="00A720EE" w:rsidRDefault="001B40DC" w:rsidP="001B40DC">
      <w:pPr>
        <w:widowControl w:val="0"/>
        <w:numPr>
          <w:ilvl w:val="0"/>
          <w:numId w:val="6"/>
        </w:numPr>
        <w:autoSpaceDE w:val="0"/>
        <w:autoSpaceDN w:val="0"/>
        <w:adjustRightInd w:val="0"/>
        <w:spacing w:before="120" w:after="0" w:line="276" w:lineRule="auto"/>
        <w:contextualSpacing/>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większe uwzględnienie specyfiki poszczególnych branż,  </w:t>
      </w:r>
    </w:p>
    <w:p w14:paraId="12F0BD7C" w14:textId="77777777" w:rsidR="001B40DC" w:rsidRPr="00A720EE" w:rsidRDefault="001B40DC" w:rsidP="001B40DC">
      <w:pPr>
        <w:widowControl w:val="0"/>
        <w:numPr>
          <w:ilvl w:val="0"/>
          <w:numId w:val="6"/>
        </w:numPr>
        <w:autoSpaceDE w:val="0"/>
        <w:autoSpaceDN w:val="0"/>
        <w:adjustRightInd w:val="0"/>
        <w:spacing w:before="120" w:after="0" w:line="276" w:lineRule="auto"/>
        <w:contextualSpacing/>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wzmocnienie ukierunkowania omawianej regulacji na faktyczne przypadki unikania opodatkowania,</w:t>
      </w:r>
    </w:p>
    <w:p w14:paraId="38A1F678" w14:textId="77777777" w:rsidR="001B40DC" w:rsidRPr="00A720EE" w:rsidRDefault="001B40DC" w:rsidP="001B40DC">
      <w:pPr>
        <w:widowControl w:val="0"/>
        <w:numPr>
          <w:ilvl w:val="0"/>
          <w:numId w:val="6"/>
        </w:numPr>
        <w:autoSpaceDE w:val="0"/>
        <w:autoSpaceDN w:val="0"/>
        <w:adjustRightInd w:val="0"/>
        <w:spacing w:before="120" w:after="0" w:line="276" w:lineRule="auto"/>
        <w:contextualSpacing/>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uzyskanie efektu większej przewidywalności tych regulacji, </w:t>
      </w:r>
    </w:p>
    <w:p w14:paraId="38792AD1" w14:textId="77777777" w:rsidR="001B40DC" w:rsidRPr="00A720EE" w:rsidRDefault="001B40DC" w:rsidP="001B40D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i w konsekwencji </w:t>
      </w:r>
    </w:p>
    <w:p w14:paraId="1B6C69DF" w14:textId="044FEE80" w:rsidR="001B40DC" w:rsidRPr="00A720EE" w:rsidRDefault="001B40DC" w:rsidP="001B40DC">
      <w:pPr>
        <w:widowControl w:val="0"/>
        <w:numPr>
          <w:ilvl w:val="0"/>
          <w:numId w:val="6"/>
        </w:numPr>
        <w:autoSpaceDE w:val="0"/>
        <w:autoSpaceDN w:val="0"/>
        <w:adjustRightInd w:val="0"/>
        <w:spacing w:before="120" w:after="0" w:line="276" w:lineRule="auto"/>
        <w:contextualSpacing/>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osiągnięcie sprawiedliwości, stabilności</w:t>
      </w:r>
      <w:r w:rsidR="00CD3466" w:rsidRPr="00A720EE">
        <w:rPr>
          <w:rFonts w:ascii="Times New Roman" w:eastAsiaTheme="minorEastAsia" w:hAnsi="Times New Roman" w:cs="Times New Roman"/>
          <w:bCs/>
          <w:sz w:val="24"/>
          <w:szCs w:val="24"/>
          <w:lang w:eastAsia="pl-PL"/>
        </w:rPr>
        <w:t xml:space="preserve"> </w:t>
      </w:r>
      <w:r w:rsidRPr="00A720EE">
        <w:rPr>
          <w:rFonts w:ascii="Times New Roman" w:eastAsiaTheme="minorEastAsia" w:hAnsi="Times New Roman" w:cs="Times New Roman"/>
          <w:bCs/>
          <w:sz w:val="24"/>
          <w:szCs w:val="24"/>
          <w:lang w:eastAsia="pl-PL"/>
        </w:rPr>
        <w:t>oraz przejrzystości tych przepisów.</w:t>
      </w:r>
    </w:p>
    <w:p w14:paraId="2926509A" w14:textId="77777777" w:rsidR="001B40DC" w:rsidRPr="00A720EE" w:rsidRDefault="001B40DC"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Cs/>
          <w:sz w:val="24"/>
          <w:szCs w:val="24"/>
          <w:lang w:eastAsia="pl-PL"/>
        </w:rPr>
        <w:t>Wprowadzane  zmiany polegają m.in. na:</w:t>
      </w:r>
    </w:p>
    <w:p w14:paraId="3DEEED73" w14:textId="77777777" w:rsidR="001B40DC" w:rsidRPr="00A720EE" w:rsidRDefault="001B40DC" w:rsidP="000151A2">
      <w:pPr>
        <w:widowControl w:val="0"/>
        <w:numPr>
          <w:ilvl w:val="0"/>
          <w:numId w:val="5"/>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podwyższeniu, do 2%, wskaźnika rentowności i zmianie metodologii jego wyliczania </w:t>
      </w:r>
      <w:r w:rsidRPr="00A720EE">
        <w:rPr>
          <w:rFonts w:ascii="Times New Roman" w:eastAsiaTheme="minorEastAsia" w:hAnsi="Times New Roman" w:cs="Times New Roman"/>
          <w:bCs/>
          <w:sz w:val="24"/>
          <w:szCs w:val="24"/>
          <w:lang w:eastAsia="pl-PL"/>
        </w:rPr>
        <w:lastRenderedPageBreak/>
        <w:t xml:space="preserve">poprzez wyłączenie: </w:t>
      </w:r>
    </w:p>
    <w:p w14:paraId="121835E3" w14:textId="77777777" w:rsidR="001B40DC" w:rsidRPr="00A720EE" w:rsidRDefault="001B40DC" w:rsidP="000151A2">
      <w:pPr>
        <w:widowControl w:val="0"/>
        <w:numPr>
          <w:ilvl w:val="0"/>
          <w:numId w:val="9"/>
        </w:numPr>
        <w:autoSpaceDE w:val="0"/>
        <w:autoSpaceDN w:val="0"/>
        <w:adjustRightInd w:val="0"/>
        <w:spacing w:after="0" w:line="276" w:lineRule="auto"/>
        <w:ind w:left="1434" w:hanging="357"/>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z kosztów uzyskania przychodów opłat z tytułu umowy leasingu, w tym odpisów amortyzacyjnych od środka trwałego wykorzystywanego na podstawie umowy określonej w art. 17a pkt 1, jeżeli odpisów amortyzacyjnych dokonuje korzystający,</w:t>
      </w:r>
    </w:p>
    <w:p w14:paraId="45D80887" w14:textId="77777777" w:rsidR="001B40DC" w:rsidRPr="00A720EE" w:rsidRDefault="001B40DC" w:rsidP="000151A2">
      <w:pPr>
        <w:widowControl w:val="0"/>
        <w:numPr>
          <w:ilvl w:val="0"/>
          <w:numId w:val="9"/>
        </w:numPr>
        <w:autoSpaceDE w:val="0"/>
        <w:autoSpaceDN w:val="0"/>
        <w:adjustRightInd w:val="0"/>
        <w:spacing w:after="0" w:line="276" w:lineRule="auto"/>
        <w:ind w:left="1434" w:hanging="357"/>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z przychodów oraz kosztów uzyskania przychodów wartości należności handlowych zbywanych na rzecz podmiotów z branży faktoringowej,</w:t>
      </w:r>
    </w:p>
    <w:p w14:paraId="0BCBEC54" w14:textId="77777777" w:rsidR="001B40DC" w:rsidRPr="00A720EE" w:rsidRDefault="001B40DC" w:rsidP="000151A2">
      <w:pPr>
        <w:widowControl w:val="0"/>
        <w:numPr>
          <w:ilvl w:val="0"/>
          <w:numId w:val="9"/>
        </w:numPr>
        <w:autoSpaceDE w:val="0"/>
        <w:autoSpaceDN w:val="0"/>
        <w:adjustRightInd w:val="0"/>
        <w:spacing w:after="0" w:line="276" w:lineRule="auto"/>
        <w:ind w:left="1434" w:hanging="357"/>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z kosztów uzyskania przychodów określonej wartości kosztów z tytułu wynagrodzeń i składek na ubezpieczenie społeczne oraz wpłat do PPK,</w:t>
      </w:r>
    </w:p>
    <w:p w14:paraId="2935F85B" w14:textId="77777777" w:rsidR="001B40DC" w:rsidRPr="00A720EE" w:rsidRDefault="001B40DC" w:rsidP="000151A2">
      <w:pPr>
        <w:widowControl w:val="0"/>
        <w:numPr>
          <w:ilvl w:val="0"/>
          <w:numId w:val="9"/>
        </w:numPr>
        <w:autoSpaceDE w:val="0"/>
        <w:autoSpaceDN w:val="0"/>
        <w:adjustRightInd w:val="0"/>
        <w:spacing w:after="0" w:line="276" w:lineRule="auto"/>
        <w:ind w:left="1434" w:hanging="357"/>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z kosztów uzyskania przychodów wzrostu wartości energii elektrycznej, cieplnej i gazu przewodowego w odstępach rocznych, czy</w:t>
      </w:r>
    </w:p>
    <w:p w14:paraId="16858A7C" w14:textId="77777777" w:rsidR="001B40DC" w:rsidRPr="00A720EE" w:rsidRDefault="001B40DC" w:rsidP="000151A2">
      <w:pPr>
        <w:numPr>
          <w:ilvl w:val="0"/>
          <w:numId w:val="9"/>
        </w:numPr>
        <w:spacing w:after="120"/>
        <w:ind w:left="1434" w:hanging="357"/>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wartości podatku akcyzowego (przy uwzględnieniu także obrotu wyrobami akcyzowymi), podatku od sprzedaży detalicznej, podatku od gier, opłaty paliwowej, opłaty emisyjnej;</w:t>
      </w:r>
    </w:p>
    <w:p w14:paraId="1C1E7F35" w14:textId="77777777" w:rsidR="001B40DC" w:rsidRPr="00A720EE" w:rsidRDefault="001B40DC" w:rsidP="000151A2">
      <w:pPr>
        <w:widowControl w:val="0"/>
        <w:numPr>
          <w:ilvl w:val="0"/>
          <w:numId w:val="5"/>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zmianie dotychczasowego wskaźnika przychodów na potrzeby ustalania podstawy opodatkowania z jednoczesnym wprowadzeniem alternatywnej podstawy opodatkowania – wg wyboru podatnika, tj.:</w:t>
      </w:r>
    </w:p>
    <w:p w14:paraId="5902C4A8" w14:textId="77777777" w:rsidR="001B40DC" w:rsidRPr="00A720EE" w:rsidRDefault="001B40DC" w:rsidP="000151A2">
      <w:pPr>
        <w:numPr>
          <w:ilvl w:val="0"/>
          <w:numId w:val="10"/>
        </w:numPr>
        <w:spacing w:after="0"/>
        <w:ind w:left="1434" w:hanging="357"/>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podstawa opodatkowania to 1,5% przychodów + koszty pasywne tj. finansowanie dłużne i usługi niematerialne (stawka podatku 10%) albo</w:t>
      </w:r>
    </w:p>
    <w:p w14:paraId="5A3F47E8" w14:textId="77777777" w:rsidR="001B40DC" w:rsidRPr="00A720EE" w:rsidRDefault="001B40DC" w:rsidP="000151A2">
      <w:pPr>
        <w:numPr>
          <w:ilvl w:val="0"/>
          <w:numId w:val="10"/>
        </w:numPr>
        <w:spacing w:after="120"/>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podstawa opodatkowania to 3% przychodów (stawka podatku 10%);</w:t>
      </w:r>
    </w:p>
    <w:p w14:paraId="48B6782E" w14:textId="77777777" w:rsidR="001B40DC" w:rsidRPr="00A720EE" w:rsidRDefault="001B40DC" w:rsidP="000151A2">
      <w:pPr>
        <w:widowControl w:val="0"/>
        <w:numPr>
          <w:ilvl w:val="0"/>
          <w:numId w:val="5"/>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modyfikacji dotychczasowych </w:t>
      </w:r>
      <w:proofErr w:type="spellStart"/>
      <w:r w:rsidRPr="00A720EE">
        <w:rPr>
          <w:rFonts w:ascii="Times New Roman" w:eastAsiaTheme="minorEastAsia" w:hAnsi="Times New Roman" w:cs="Times New Roman"/>
          <w:bCs/>
          <w:sz w:val="24"/>
          <w:szCs w:val="24"/>
          <w:lang w:eastAsia="pl-PL"/>
        </w:rPr>
        <w:t>wyłączeń</w:t>
      </w:r>
      <w:proofErr w:type="spellEnd"/>
      <w:r w:rsidRPr="00A720EE">
        <w:rPr>
          <w:rFonts w:ascii="Times New Roman" w:eastAsiaTheme="minorEastAsia" w:hAnsi="Times New Roman" w:cs="Times New Roman"/>
          <w:bCs/>
          <w:sz w:val="24"/>
          <w:szCs w:val="24"/>
          <w:lang w:eastAsia="pl-PL"/>
        </w:rPr>
        <w:t xml:space="preserve"> i rozszerzeniu tego katalogu dodatkowo m.in. o:</w:t>
      </w:r>
    </w:p>
    <w:p w14:paraId="1B2D61F1" w14:textId="77777777" w:rsidR="001B40DC" w:rsidRPr="00A720EE" w:rsidRDefault="001B40DC" w:rsidP="000151A2">
      <w:pPr>
        <w:widowControl w:val="0"/>
        <w:numPr>
          <w:ilvl w:val="0"/>
          <w:numId w:val="11"/>
        </w:numPr>
        <w:autoSpaceDE w:val="0"/>
        <w:autoSpaceDN w:val="0"/>
        <w:adjustRightInd w:val="0"/>
        <w:spacing w:after="0" w:line="276" w:lineRule="auto"/>
        <w:ind w:left="1434" w:hanging="357"/>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podatników CIT, których roczne przychody nie przekraczają 2.000.000 euro (tj. tzw. małych podatników), </w:t>
      </w:r>
    </w:p>
    <w:p w14:paraId="37131D3D" w14:textId="77777777" w:rsidR="001B40DC" w:rsidRPr="00A720EE" w:rsidRDefault="001B40DC" w:rsidP="000151A2">
      <w:pPr>
        <w:widowControl w:val="0"/>
        <w:numPr>
          <w:ilvl w:val="0"/>
          <w:numId w:val="11"/>
        </w:numPr>
        <w:autoSpaceDE w:val="0"/>
        <w:autoSpaceDN w:val="0"/>
        <w:adjustRightInd w:val="0"/>
        <w:spacing w:after="0" w:line="276" w:lineRule="auto"/>
        <w:ind w:left="1434" w:hanging="357"/>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spółki komunalne,</w:t>
      </w:r>
      <w:r w:rsidRPr="00A720EE">
        <w:rPr>
          <w:rFonts w:ascii="Times New Roman" w:hAnsi="Times New Roman" w:cs="Times New Roman"/>
          <w:sz w:val="24"/>
          <w:szCs w:val="24"/>
        </w:rPr>
        <w:t xml:space="preserve"> </w:t>
      </w:r>
    </w:p>
    <w:p w14:paraId="735579F5" w14:textId="77777777" w:rsidR="001B40DC" w:rsidRPr="00A720EE" w:rsidRDefault="001B40DC" w:rsidP="000151A2">
      <w:pPr>
        <w:widowControl w:val="0"/>
        <w:numPr>
          <w:ilvl w:val="0"/>
          <w:numId w:val="11"/>
        </w:numPr>
        <w:autoSpaceDE w:val="0"/>
        <w:autoSpaceDN w:val="0"/>
        <w:adjustRightInd w:val="0"/>
        <w:spacing w:after="0" w:line="276" w:lineRule="auto"/>
        <w:ind w:left="1434" w:hanging="357"/>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podatników, jeżeli większość przychodów zostało osiągniętych w związku ze świadczeniem usług ochrony zdrowia, </w:t>
      </w:r>
    </w:p>
    <w:p w14:paraId="3134B32D" w14:textId="77777777" w:rsidR="001B40DC" w:rsidRPr="00A720EE" w:rsidRDefault="001B40DC" w:rsidP="000151A2">
      <w:pPr>
        <w:widowControl w:val="0"/>
        <w:numPr>
          <w:ilvl w:val="0"/>
          <w:numId w:val="11"/>
        </w:numPr>
        <w:autoSpaceDE w:val="0"/>
        <w:autoSpaceDN w:val="0"/>
        <w:adjustRightInd w:val="0"/>
        <w:spacing w:after="0" w:line="276" w:lineRule="auto"/>
        <w:ind w:left="1434" w:hanging="357"/>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podatników, których rentowność w 1 z 3 ostatnich lat podatkowych była powyżej wskaźnika 2%, czy </w:t>
      </w:r>
    </w:p>
    <w:p w14:paraId="4DCA92E6" w14:textId="77777777" w:rsidR="001B40DC" w:rsidRPr="00A720EE" w:rsidRDefault="001B40DC" w:rsidP="000151A2">
      <w:pPr>
        <w:widowControl w:val="0"/>
        <w:numPr>
          <w:ilvl w:val="0"/>
          <w:numId w:val="11"/>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podatników postawionych w stan upadłości, likwidacji lub objętych postępowaniem restrukturyzacyjnym.</w:t>
      </w:r>
    </w:p>
    <w:p w14:paraId="6F725B51" w14:textId="77777777" w:rsidR="0033649D" w:rsidRPr="00A720EE" w:rsidRDefault="00BC407D">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Odnosząc się do przyczyn przewidzianego w projekcie podniesienia wskaźnika rentowności z 1% do 2% należy zauważyć, iż</w:t>
      </w:r>
      <w:r w:rsidR="0033649D" w:rsidRPr="00A720EE">
        <w:rPr>
          <w:rFonts w:ascii="Times New Roman" w:eastAsiaTheme="minorEastAsia" w:hAnsi="Times New Roman" w:cs="Times New Roman"/>
          <w:bCs/>
          <w:sz w:val="24"/>
          <w:szCs w:val="24"/>
          <w:lang w:eastAsia="pl-PL"/>
        </w:rPr>
        <w:t xml:space="preserve"> zgodnie z danymi GUS</w:t>
      </w:r>
      <w:r w:rsidR="0033649D" w:rsidRPr="00A720EE">
        <w:rPr>
          <w:rFonts w:ascii="Times New Roman" w:eastAsiaTheme="minorEastAsia" w:hAnsi="Times New Roman" w:cs="Times New Roman"/>
          <w:bCs/>
          <w:iCs/>
          <w:sz w:val="24"/>
          <w:szCs w:val="24"/>
          <w:vertAlign w:val="superscript"/>
          <w:lang w:eastAsia="pl-PL"/>
        </w:rPr>
        <w:footnoteReference w:id="6"/>
      </w:r>
      <w:r w:rsidR="0033649D" w:rsidRPr="00A720EE">
        <w:rPr>
          <w:rFonts w:ascii="Times New Roman" w:eastAsiaTheme="minorEastAsia" w:hAnsi="Times New Roman" w:cs="Times New Roman"/>
          <w:bCs/>
          <w:sz w:val="24"/>
          <w:szCs w:val="24"/>
          <w:lang w:eastAsia="pl-PL"/>
        </w:rPr>
        <w:t xml:space="preserve"> w okresie styczeń – grudzień 2021 r. wskaźnik rentowności sprzedaży brutto przedsiębiorstw niefinansowych zwiększył się z 4,8% do 5,8%, wskaźnik rentowności obrotu brutto z 4,4% do 6,7%, a wskaźnik rentowności obrotu netto z 3,6% do 5,6%. </w:t>
      </w:r>
    </w:p>
    <w:p w14:paraId="1126237F" w14:textId="77777777" w:rsidR="0033649D" w:rsidRPr="00A720EE" w:rsidRDefault="0033649D" w:rsidP="0033649D">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i/>
          <w:iCs/>
          <w:sz w:val="24"/>
          <w:szCs w:val="24"/>
          <w:lang w:eastAsia="pl-PL"/>
        </w:rPr>
        <w:t xml:space="preserve">„(…)Największą poprawę wskaźnika rentowności obrotu netto odnotowano m.in. w górnictwie i wydobywaniu (z minus 5,5% do 7,7%), zakwaterowaniu i gastronomii (z minus 7,7% do 5,3%), informacji i komunikacji (z 9,1% do 15,2%), pozostałej działalności usługowej (z minus </w:t>
      </w:r>
      <w:r w:rsidRPr="00A720EE">
        <w:rPr>
          <w:rFonts w:ascii="Times New Roman" w:eastAsiaTheme="minorEastAsia" w:hAnsi="Times New Roman" w:cs="Times New Roman"/>
          <w:bCs/>
          <w:i/>
          <w:iCs/>
          <w:sz w:val="24"/>
          <w:szCs w:val="24"/>
          <w:lang w:eastAsia="pl-PL"/>
        </w:rPr>
        <w:lastRenderedPageBreak/>
        <w:t>1,3% do 4,4%), administrowaniu i działalności wspierającej (z 3,9% do 7,7%), budownictwie (z 4,6% do 7,8%), transporcie i gospodarce magazynowej (z 1,5% do 4,1%), działalności profesjonalnej, naukowej i technicznej (z 6,9% do 9,1%), dostawie wody; gospodarowaniu ściekami i odpadami; rekultywacji (z 7,1% do 8,9%) oraz w przetwórstwie przemysłowym (z 4,1% do 5,8%). Pogorszenie wskaźnika rentowności obrotu netto odnotowano w obsłudze rynku nieruchomości (z 6,2% do 5,5%).(…)”</w:t>
      </w:r>
    </w:p>
    <w:p w14:paraId="7F2C765B" w14:textId="77777777" w:rsidR="0033649D" w:rsidRPr="00A720EE" w:rsidRDefault="0033649D" w:rsidP="0033649D">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Z danych podatkowych zawartych w deklaracjach CIT-8 wynika zaś, iż w 2019 r. rentowność dla celów podatkowych (udział dochodu w przychodach) wynosiła 6%, zaś w 2020 r. 7%.</w:t>
      </w:r>
    </w:p>
    <w:p w14:paraId="67C57C3D" w14:textId="77777777" w:rsidR="0033649D" w:rsidRPr="00A720EE" w:rsidRDefault="0033649D" w:rsidP="0033649D">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Powyższe wskaźniki oznaczają, że obecny poziom rentowności jest zdecydowanie niższy niż średnia rentowność wynikająca z danych GUS. Trudno w świetle tych danych zakładać, aby poziom 1% rentowności był jakąkolwiek granicą uzasadniającą działania optymalizacyjne. Jednocześnie mimo tego podnoszone są zarzuty, iż nie uwzględnia on sytuacji poszczególnych branż charakteryzujących się permanentną niską rentownością (np. handel i dystrybucja). </w:t>
      </w:r>
    </w:p>
    <w:p w14:paraId="1E3C21AE" w14:textId="77777777" w:rsidR="0033649D" w:rsidRPr="00A720EE" w:rsidRDefault="0033649D" w:rsidP="0033649D">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Ponadto, obecny poziom rentowności jest nieadekwatny do przyjętego składnika podstawy opodatkowania w postaci 4% wartości osiągniętych przychodów z działalności „operacyjnej” (skutkujących opodatkowaniem na poziomie </w:t>
      </w:r>
      <w:r w:rsidRPr="00A720EE">
        <w:rPr>
          <w:rFonts w:ascii="Times New Roman" w:eastAsiaTheme="minorEastAsia" w:hAnsi="Times New Roman" w:cs="Times New Roman"/>
          <w:bCs/>
          <w:sz w:val="24"/>
          <w:szCs w:val="24"/>
          <w:u w:val="single"/>
          <w:lang w:eastAsia="pl-PL"/>
        </w:rPr>
        <w:t>co najmniej</w:t>
      </w:r>
      <w:r w:rsidRPr="00A720EE">
        <w:rPr>
          <w:rFonts w:ascii="Times New Roman" w:eastAsiaTheme="minorEastAsia" w:hAnsi="Times New Roman" w:cs="Times New Roman"/>
          <w:bCs/>
          <w:sz w:val="24"/>
          <w:szCs w:val="24"/>
          <w:lang w:eastAsia="pl-PL"/>
        </w:rPr>
        <w:t xml:space="preserve">  0,4% tych przychodów – 4% x 10% od podstawy opodatkowania). Przy tak ustalonych parametrach efektywna stopa opodatkowania (ETR) spółki o rentowności 0,99% wynosi 40,4% (przy nominalnej stawce podatku CIT na poziomie 19%), gdy średnia relacja podatku do przychodów podmiotów z listy MF o rentowności w przedziale od 1% do 2% wynosi 0,2471 (2020 r.). Sytuacja ta prowadzi do postrzegania minimalnego podatku dochodowego jako „kary” za niską rentowność i  w praktyce prowadzi do sytuacji, w której podatek spółki o rentowności niższej (np. 0,99) będzie (średnio ok. dwukrotnie) wyższy niż spółki o rentowności 1,01%. Przy czym, jak wskazano, trudno racjonalnie zakładać, że różnica rentowności miedzy tymi dwoma spółkami jest spowodowana stosowaniem przez tą pierwszą optymalizacji podatkowej (z kolei druga tej optymalizacji nie stosuje); </w:t>
      </w:r>
    </w:p>
    <w:p w14:paraId="03E4CACF" w14:textId="77777777" w:rsidR="0033649D" w:rsidRPr="00A720EE" w:rsidRDefault="0033649D" w:rsidP="0033649D">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Jednocześnie, proponowane zwiększenie wskaźnika rentowności decydującego o „wejściu” w zakres opodatkowania minimalnym podatkiem dochodowym jest mitygowane przez pozostałe zawarte w projekcie rozwiązania, tj. w szczególności liberalizację sposobu liczenia rentowności, dodatkowe wyłączenia spod tego podatku, jak również uproszczenie sposobu kalkulacji podstawy opodatkowania podatkiem minimalnym (alternatywna podstawa opodatkowania). </w:t>
      </w:r>
    </w:p>
    <w:p w14:paraId="7B451C52" w14:textId="77777777" w:rsidR="00BC407D" w:rsidRPr="00A720EE" w:rsidRDefault="004D3BD7" w:rsidP="001B40D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iCs/>
          <w:sz w:val="24"/>
          <w:szCs w:val="24"/>
          <w:lang w:eastAsia="pl-PL"/>
        </w:rPr>
        <w:t xml:space="preserve">Celem takiego działania (podniesienie wskaźnika dochodowości przy jednoczesnej modyfikacji sposobu jego wyliczania) jest dążenie do lepszego ukierunkowania tej regulacji na realizację zakładanego celu. Chodzi w tym przypadku o niewyłączanie „na starcie” z jej zakresu podatników, których przedmiot działalności uzasadnia osiąganie rentowności wyższej niż 1%. Jednocześnie proponowany system rozwiązań mitygujących zmierza do „wyłapania” sytuacji, w przypadku których zachodzi duże prawdopodobieństwo, iż niższa niż zakładana rentowność (lub strata) ma swoje uzasadnienie gospodarcze.  </w:t>
      </w:r>
    </w:p>
    <w:p w14:paraId="255C6DAD" w14:textId="77777777" w:rsidR="001B40DC" w:rsidRPr="00A720EE" w:rsidRDefault="001B40DC" w:rsidP="001B40D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Dodatkowego wyjaśnienia wymaga wprowadzenie w art. 24ca ust. 14 ustawy CIT kolejnych zwolnień podmiotowych. Należy wskazać, że podobnie jak dotychczasowe wyłączenia z tego </w:t>
      </w:r>
      <w:r w:rsidRPr="00A720EE">
        <w:rPr>
          <w:rFonts w:ascii="Times New Roman" w:eastAsiaTheme="minorEastAsia" w:hAnsi="Times New Roman" w:cs="Times New Roman"/>
          <w:bCs/>
          <w:sz w:val="24"/>
          <w:szCs w:val="24"/>
          <w:lang w:eastAsia="pl-PL"/>
        </w:rPr>
        <w:lastRenderedPageBreak/>
        <w:t>opodatkowania, również nowe propozycje nie stoją w sprzeczności z założeniami postawionymi dla tej regulacji.</w:t>
      </w:r>
    </w:p>
    <w:p w14:paraId="65E8514C" w14:textId="77777777" w:rsidR="001B40DC" w:rsidRPr="00A720EE" w:rsidRDefault="001B40DC" w:rsidP="001B40D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Konstrukcja minimalnego podatku dochodowego u podstaw miała (i nadal ma) na celu zminimalizowanie zjawiska praktyk optymalizacyjnych, w tym m.in. w sytuacjach skutkujących wykazywaniem straty w sposób ciągły. Wprawdzie naturalnym elementem rzeczywistości gospodarczej jest ponoszenie straty z działalności, jednak w przypadku gdy zjawisko to ma charakter powtarzalny a wręcz permanentny regulacja o podatku minimalnym powinna znaleźć zastosowanie.</w:t>
      </w:r>
    </w:p>
    <w:p w14:paraId="1C83CD71" w14:textId="2AF7E8B9" w:rsidR="001B40DC" w:rsidRPr="00A720EE" w:rsidRDefault="001B40DC" w:rsidP="001B40D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Proponowane zwolnienia skierowane są do podatników, którzy ze względu na charakter funkcjonowania, czy strukturę właścicielską nie działają (z uwagi na brak ku temu przesłanek i uzasadnienia) z zamiarem unikania opodatkowania (np. mali podatnicy – ze względu na zakres prowadzonej działalności i prostą strukturę powiązań powodującą nieopłacalność i niecelowość takich działań; spółki komunalne – ze względu na strukturę własnościową z udziałem </w:t>
      </w:r>
      <w:r w:rsidR="00C233AC" w:rsidRPr="00A720EE">
        <w:rPr>
          <w:rFonts w:ascii="Times New Roman" w:eastAsiaTheme="minorEastAsia" w:hAnsi="Times New Roman" w:cs="Times New Roman"/>
          <w:bCs/>
          <w:sz w:val="24"/>
          <w:szCs w:val="24"/>
          <w:lang w:eastAsia="pl-PL"/>
        </w:rPr>
        <w:t>jednostek samorządu terytorialnego</w:t>
      </w:r>
      <w:r w:rsidRPr="00A720EE">
        <w:rPr>
          <w:rFonts w:ascii="Times New Roman" w:eastAsiaTheme="minorEastAsia" w:hAnsi="Times New Roman" w:cs="Times New Roman"/>
          <w:bCs/>
          <w:sz w:val="24"/>
          <w:szCs w:val="24"/>
          <w:lang w:eastAsia="pl-PL"/>
        </w:rPr>
        <w:t>, a także cele jakim służą, tj. usługi komunalne w szerokim rozumieniu, w tym fakt, że znaczna część działalności takich podmiotów ma charakter regulowany, czy podmioty świadczące usługi ochrony zdrowia – o zbliżonej do spółek komunalnych charakterystyce, bowiem działające dla dobra ogółu społeczeństwa, w</w:t>
      </w:r>
      <w:r w:rsidR="00C233AC" w:rsidRPr="00A720EE">
        <w:rPr>
          <w:rFonts w:ascii="Times New Roman" w:eastAsiaTheme="minorEastAsia" w:hAnsi="Times New Roman" w:cs="Times New Roman"/>
          <w:bCs/>
          <w:sz w:val="24"/>
          <w:szCs w:val="24"/>
          <w:lang w:eastAsia="pl-PL"/>
        </w:rPr>
        <w:t> </w:t>
      </w:r>
      <w:r w:rsidRPr="00A720EE">
        <w:rPr>
          <w:rFonts w:ascii="Times New Roman" w:eastAsiaTheme="minorEastAsia" w:hAnsi="Times New Roman" w:cs="Times New Roman"/>
          <w:bCs/>
          <w:sz w:val="24"/>
          <w:szCs w:val="24"/>
          <w:lang w:eastAsia="pl-PL"/>
        </w:rPr>
        <w:t xml:space="preserve">dużej mierze poprzez świadczenia o regulowanym charakterze). Zaproponowane wyłączenia wynikają zatem z specyfiki poszczególnych branż i są zgodne z celem przepisów o minimalnym podatku dochodowym. </w:t>
      </w:r>
    </w:p>
    <w:p w14:paraId="076D330F" w14:textId="03A7D189" w:rsidR="001B40DC" w:rsidRPr="00A720EE" w:rsidRDefault="001B40DC" w:rsidP="001B40D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Należy przy tym zaznaczyć, że zwolnienie z tej daniny nie oznacza wyłączenia generalnie z systemu podatku CIT, który jest wciąż należny i wyliczany na zasadach ogólnych, a także przy uwzględnieniu szczególnych regulacji (np. dotyczących podatku od przychodów z budynków z art. 24b ustawy CIT). </w:t>
      </w:r>
    </w:p>
    <w:p w14:paraId="034C731C" w14:textId="4B7FAAFA" w:rsidR="001B40DC" w:rsidRPr="00A720EE" w:rsidRDefault="001B40DC" w:rsidP="001B40D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Trudno zatem </w:t>
      </w:r>
      <w:r w:rsidRPr="00A720EE">
        <w:rPr>
          <w:rFonts w:ascii="Times New Roman" w:eastAsiaTheme="minorEastAsia" w:hAnsi="Times New Roman" w:cs="Times New Roman"/>
          <w:bCs/>
          <w:i/>
          <w:sz w:val="24"/>
          <w:szCs w:val="24"/>
          <w:lang w:eastAsia="pl-PL"/>
        </w:rPr>
        <w:t>a priori</w:t>
      </w:r>
      <w:r w:rsidRPr="00A720EE">
        <w:rPr>
          <w:rFonts w:ascii="Times New Roman" w:eastAsiaTheme="minorEastAsia" w:hAnsi="Times New Roman" w:cs="Times New Roman"/>
          <w:bCs/>
          <w:sz w:val="24"/>
          <w:szCs w:val="24"/>
          <w:lang w:eastAsia="pl-PL"/>
        </w:rPr>
        <w:t xml:space="preserve"> mówić o korzyści podatkowej wynikającej z wyłączenia spod minimalnego podatku dochodowego, czy zakładać, że dany podmiot stracił lub zyskał. Nie sposób przesądzić również, że każdorazowo </w:t>
      </w:r>
      <w:r w:rsidR="00C233AC" w:rsidRPr="00A720EE">
        <w:rPr>
          <w:rFonts w:ascii="Times New Roman" w:eastAsiaTheme="minorEastAsia" w:hAnsi="Times New Roman" w:cs="Times New Roman"/>
          <w:bCs/>
          <w:sz w:val="24"/>
          <w:szCs w:val="24"/>
          <w:lang w:eastAsia="pl-PL"/>
        </w:rPr>
        <w:t>podstawowy</w:t>
      </w:r>
      <w:r w:rsidRPr="00A720EE">
        <w:rPr>
          <w:rFonts w:ascii="Times New Roman" w:eastAsiaTheme="minorEastAsia" w:hAnsi="Times New Roman" w:cs="Times New Roman"/>
          <w:bCs/>
          <w:sz w:val="24"/>
          <w:szCs w:val="24"/>
          <w:lang w:eastAsia="pl-PL"/>
        </w:rPr>
        <w:t xml:space="preserve"> CIT będzie wartością </w:t>
      </w:r>
      <w:r w:rsidR="00C233AC" w:rsidRPr="00A720EE">
        <w:rPr>
          <w:rFonts w:ascii="Times New Roman" w:eastAsiaTheme="minorEastAsia" w:hAnsi="Times New Roman" w:cs="Times New Roman"/>
          <w:bCs/>
          <w:sz w:val="24"/>
          <w:szCs w:val="24"/>
          <w:lang w:eastAsia="pl-PL"/>
        </w:rPr>
        <w:t>niższą</w:t>
      </w:r>
      <w:r w:rsidRPr="00A720EE">
        <w:rPr>
          <w:rFonts w:ascii="Times New Roman" w:eastAsiaTheme="minorEastAsia" w:hAnsi="Times New Roman" w:cs="Times New Roman"/>
          <w:bCs/>
          <w:sz w:val="24"/>
          <w:szCs w:val="24"/>
          <w:lang w:eastAsia="pl-PL"/>
        </w:rPr>
        <w:t>, w</w:t>
      </w:r>
      <w:r w:rsidR="00C233AC" w:rsidRPr="00A720EE">
        <w:rPr>
          <w:rFonts w:ascii="Times New Roman" w:eastAsiaTheme="minorEastAsia" w:hAnsi="Times New Roman" w:cs="Times New Roman"/>
          <w:bCs/>
          <w:sz w:val="24"/>
          <w:szCs w:val="24"/>
          <w:lang w:eastAsia="pl-PL"/>
        </w:rPr>
        <w:t> </w:t>
      </w:r>
      <w:r w:rsidRPr="00A720EE">
        <w:rPr>
          <w:rFonts w:ascii="Times New Roman" w:eastAsiaTheme="minorEastAsia" w:hAnsi="Times New Roman" w:cs="Times New Roman"/>
          <w:bCs/>
          <w:sz w:val="24"/>
          <w:szCs w:val="24"/>
          <w:lang w:eastAsia="pl-PL"/>
        </w:rPr>
        <w:t>szczególności w kontekście szeregu korzystnych rozwiązań jakie przewiduje zmieniany art. 24ca ustawy CIT (np. wyłączenia ze wskaźnika rentowności, wyłączenia z podstawy opodatkowania, czy alternatywna formuła ustalania podstawy opodatkowania), mogących finalnie wykluczyć podatnika</w:t>
      </w:r>
      <w:r w:rsidR="00C233AC" w:rsidRPr="00A720EE">
        <w:rPr>
          <w:rFonts w:ascii="Times New Roman" w:eastAsiaTheme="minorEastAsia" w:hAnsi="Times New Roman" w:cs="Times New Roman"/>
          <w:bCs/>
          <w:sz w:val="24"/>
          <w:szCs w:val="24"/>
          <w:lang w:eastAsia="pl-PL"/>
        </w:rPr>
        <w:t xml:space="preserve"> </w:t>
      </w:r>
      <w:r w:rsidRPr="00A720EE">
        <w:rPr>
          <w:rFonts w:ascii="Times New Roman" w:eastAsiaTheme="minorEastAsia" w:hAnsi="Times New Roman" w:cs="Times New Roman"/>
          <w:bCs/>
          <w:sz w:val="24"/>
          <w:szCs w:val="24"/>
          <w:lang w:eastAsia="pl-PL"/>
        </w:rPr>
        <w:t xml:space="preserve">z </w:t>
      </w:r>
      <w:r w:rsidR="00C233AC" w:rsidRPr="00A720EE">
        <w:rPr>
          <w:rFonts w:ascii="Times New Roman" w:eastAsiaTheme="minorEastAsia" w:hAnsi="Times New Roman" w:cs="Times New Roman"/>
          <w:bCs/>
          <w:sz w:val="24"/>
          <w:szCs w:val="24"/>
          <w:lang w:eastAsia="pl-PL"/>
        </w:rPr>
        <w:t>zakresu tej regulacji</w:t>
      </w:r>
      <w:r w:rsidRPr="00A720EE">
        <w:rPr>
          <w:rFonts w:ascii="Times New Roman" w:eastAsiaTheme="minorEastAsia" w:hAnsi="Times New Roman" w:cs="Times New Roman"/>
          <w:bCs/>
          <w:sz w:val="24"/>
          <w:szCs w:val="24"/>
          <w:lang w:eastAsia="pl-PL"/>
        </w:rPr>
        <w:t xml:space="preserve">. Podkreślenia wymaga również, że w przypadku wystąpienia minimalnego podatku dochodowego jest on odliczany od </w:t>
      </w:r>
      <w:r w:rsidR="00BC407D" w:rsidRPr="00A720EE">
        <w:rPr>
          <w:rFonts w:ascii="Times New Roman" w:eastAsiaTheme="minorEastAsia" w:hAnsi="Times New Roman" w:cs="Times New Roman"/>
          <w:bCs/>
          <w:sz w:val="24"/>
          <w:szCs w:val="24"/>
          <w:lang w:eastAsia="pl-PL"/>
        </w:rPr>
        <w:t>„</w:t>
      </w:r>
      <w:r w:rsidRPr="00A720EE">
        <w:rPr>
          <w:rFonts w:ascii="Times New Roman" w:eastAsiaTheme="minorEastAsia" w:hAnsi="Times New Roman" w:cs="Times New Roman"/>
          <w:bCs/>
          <w:sz w:val="24"/>
          <w:szCs w:val="24"/>
          <w:lang w:eastAsia="pl-PL"/>
        </w:rPr>
        <w:t>klasycznego</w:t>
      </w:r>
      <w:r w:rsidR="00BC407D" w:rsidRPr="00A720EE">
        <w:rPr>
          <w:rFonts w:ascii="Times New Roman" w:eastAsiaTheme="minorEastAsia" w:hAnsi="Times New Roman" w:cs="Times New Roman"/>
          <w:bCs/>
          <w:sz w:val="24"/>
          <w:szCs w:val="24"/>
          <w:lang w:eastAsia="pl-PL"/>
        </w:rPr>
        <w:t>”</w:t>
      </w:r>
      <w:r w:rsidRPr="00A720EE">
        <w:rPr>
          <w:rFonts w:ascii="Times New Roman" w:eastAsiaTheme="minorEastAsia" w:hAnsi="Times New Roman" w:cs="Times New Roman"/>
          <w:bCs/>
          <w:sz w:val="24"/>
          <w:szCs w:val="24"/>
          <w:lang w:eastAsia="pl-PL"/>
        </w:rPr>
        <w:t xml:space="preserve"> podatku CIT w ciągu kolejnych 3 lat podatkowych następujących bezpośrednio po roku, za który podatnik wpłacił minimalny podatek dochodowy.</w:t>
      </w:r>
    </w:p>
    <w:p w14:paraId="26E8B68A" w14:textId="77777777" w:rsidR="001B40DC" w:rsidRPr="00A720EE" w:rsidRDefault="008C4F7A" w:rsidP="001B40D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D</w:t>
      </w:r>
      <w:r w:rsidR="001B40DC" w:rsidRPr="00A720EE">
        <w:rPr>
          <w:rFonts w:ascii="Times New Roman" w:eastAsiaTheme="minorEastAsia" w:hAnsi="Times New Roman" w:cs="Times New Roman"/>
          <w:bCs/>
          <w:sz w:val="24"/>
          <w:szCs w:val="24"/>
          <w:lang w:eastAsia="pl-PL"/>
        </w:rPr>
        <w:t xml:space="preserve">okonanie jednoznacznej oceny w zakresie rzeczywistego oddziaływania tych przepisów na konkretną jednostkę, wymagałoby </w:t>
      </w:r>
      <w:r w:rsidRPr="00A720EE">
        <w:rPr>
          <w:rFonts w:ascii="Times New Roman" w:eastAsiaTheme="minorEastAsia" w:hAnsi="Times New Roman" w:cs="Times New Roman"/>
          <w:bCs/>
          <w:sz w:val="24"/>
          <w:szCs w:val="24"/>
          <w:lang w:eastAsia="pl-PL"/>
        </w:rPr>
        <w:t xml:space="preserve">więc </w:t>
      </w:r>
      <w:r w:rsidR="001B40DC" w:rsidRPr="00A720EE">
        <w:rPr>
          <w:rFonts w:ascii="Times New Roman" w:eastAsiaTheme="minorEastAsia" w:hAnsi="Times New Roman" w:cs="Times New Roman"/>
          <w:bCs/>
          <w:sz w:val="24"/>
          <w:szCs w:val="24"/>
          <w:lang w:eastAsia="pl-PL"/>
        </w:rPr>
        <w:t>zestawienia konkretnej sytuacji danego podatnika w ramach całego systemu opodatkowania uregulowanego w ustawie CIT.</w:t>
      </w:r>
    </w:p>
    <w:p w14:paraId="48AF9CE8" w14:textId="7BCF077E" w:rsidR="001B40DC" w:rsidRPr="00A720EE" w:rsidRDefault="001B40DC" w:rsidP="001B40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Cs/>
          <w:sz w:val="24"/>
          <w:szCs w:val="24"/>
          <w:lang w:eastAsia="pl-PL"/>
        </w:rPr>
        <w:t>Należy przy tym podkreślić, że ideą przyświecającą wprowadzeniu tej szczególnej formy podatku było opodatkowanie na poziomie minimalnym tych podatników, u których określony dochód lub strata występują permanentnie, powtarzalnie, a zatem z dużym prawdop</w:t>
      </w:r>
      <w:r w:rsidR="008C4F7A" w:rsidRPr="00A720EE">
        <w:rPr>
          <w:rFonts w:ascii="Times New Roman" w:eastAsiaTheme="minorEastAsia" w:hAnsi="Times New Roman" w:cs="Times New Roman"/>
          <w:bCs/>
          <w:sz w:val="24"/>
          <w:szCs w:val="24"/>
          <w:lang w:eastAsia="pl-PL"/>
        </w:rPr>
        <w:t>odobieństwem w sposób kierunkowo zaplanowany</w:t>
      </w:r>
      <w:r w:rsidRPr="00A720EE">
        <w:rPr>
          <w:rFonts w:ascii="Times New Roman" w:eastAsiaTheme="minorEastAsia" w:hAnsi="Times New Roman" w:cs="Times New Roman"/>
          <w:bCs/>
          <w:sz w:val="24"/>
          <w:szCs w:val="24"/>
          <w:lang w:eastAsia="pl-PL"/>
        </w:rPr>
        <w:t xml:space="preserve">. W świetle zatem celu </w:t>
      </w:r>
      <w:r w:rsidRPr="00A720EE">
        <w:rPr>
          <w:rFonts w:ascii="Times New Roman" w:eastAsiaTheme="minorEastAsia" w:hAnsi="Times New Roman" w:cs="Times New Roman"/>
          <w:bCs/>
          <w:sz w:val="24"/>
          <w:szCs w:val="24"/>
          <w:lang w:eastAsia="pl-PL"/>
        </w:rPr>
        <w:lastRenderedPageBreak/>
        <w:t>minimalnego podatku dochodowego, w kontekście całego systemu opodatkowania CIT, a także biorąc pod uwagę charakter i specyfikę funkcjonowania podmiotów wymienionych w ust. 14, nie zachodzą okoliczności wskazujące na faworyzowanie określonej grupy podatników, czy różnicowanie sytuacji podmiotów znajdujących się w tym samym położeniu faktycznym i prawnym. Brak jest uzasadnienia dla kreowania takich rozróżnień.</w:t>
      </w:r>
    </w:p>
    <w:p w14:paraId="13300202" w14:textId="77777777" w:rsidR="00BF17CC" w:rsidRPr="00A720EE" w:rsidRDefault="0098330B" w:rsidP="00007288">
      <w:pPr>
        <w:suppressAutoHyphens/>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2</w:t>
      </w:r>
      <w:r w:rsidR="00210406" w:rsidRPr="00A720EE">
        <w:rPr>
          <w:rFonts w:ascii="Times New Roman" w:eastAsiaTheme="minorEastAsia" w:hAnsi="Times New Roman" w:cs="Times New Roman"/>
          <w:b/>
          <w:color w:val="000000" w:themeColor="text1"/>
          <w:sz w:val="24"/>
          <w:szCs w:val="24"/>
          <w:lang w:eastAsia="pl-PL"/>
        </w:rPr>
        <w:t xml:space="preserve">) </w:t>
      </w:r>
      <w:r w:rsidR="003E765F" w:rsidRPr="00A720EE">
        <w:rPr>
          <w:rFonts w:ascii="Times New Roman" w:eastAsiaTheme="minorEastAsia" w:hAnsi="Times New Roman" w:cs="Times New Roman"/>
          <w:b/>
          <w:color w:val="000000" w:themeColor="text1"/>
          <w:sz w:val="24"/>
          <w:szCs w:val="24"/>
          <w:lang w:eastAsia="pl-PL"/>
        </w:rPr>
        <w:t>Z</w:t>
      </w:r>
      <w:r w:rsidR="00BF17CC" w:rsidRPr="00A720EE">
        <w:rPr>
          <w:rFonts w:ascii="Times New Roman" w:eastAsiaTheme="minorEastAsia" w:hAnsi="Times New Roman" w:cs="Times New Roman"/>
          <w:b/>
          <w:color w:val="000000" w:themeColor="text1"/>
          <w:sz w:val="24"/>
          <w:szCs w:val="24"/>
          <w:lang w:eastAsia="pl-PL"/>
        </w:rPr>
        <w:t>miana terminu aktualizacji indywidualnych danych podatnika</w:t>
      </w:r>
      <w:r w:rsidR="00D53F40" w:rsidRPr="00A720EE">
        <w:rPr>
          <w:rFonts w:ascii="Times New Roman" w:eastAsiaTheme="minorEastAsia" w:hAnsi="Times New Roman" w:cs="Times New Roman"/>
          <w:b/>
          <w:color w:val="000000" w:themeColor="text1"/>
          <w:sz w:val="24"/>
          <w:szCs w:val="24"/>
          <w:lang w:eastAsia="pl-PL"/>
        </w:rPr>
        <w:t xml:space="preserve"> (</w:t>
      </w:r>
      <w:r w:rsidR="00096A5F" w:rsidRPr="00A720EE">
        <w:rPr>
          <w:rFonts w:ascii="Times New Roman" w:eastAsiaTheme="minorEastAsia" w:hAnsi="Times New Roman" w:cs="Times New Roman"/>
          <w:b/>
          <w:color w:val="000000" w:themeColor="text1"/>
          <w:sz w:val="24"/>
          <w:szCs w:val="24"/>
          <w:lang w:eastAsia="pl-PL"/>
        </w:rPr>
        <w:t xml:space="preserve">ustawa </w:t>
      </w:r>
      <w:r w:rsidR="00D53F40" w:rsidRPr="00A720EE">
        <w:rPr>
          <w:rFonts w:ascii="Times New Roman" w:eastAsiaTheme="minorEastAsia" w:hAnsi="Times New Roman" w:cs="Times New Roman"/>
          <w:b/>
          <w:color w:val="000000" w:themeColor="text1"/>
          <w:sz w:val="24"/>
          <w:szCs w:val="24"/>
          <w:lang w:eastAsia="pl-PL"/>
        </w:rPr>
        <w:t>CIT)</w:t>
      </w:r>
    </w:p>
    <w:p w14:paraId="33C9CD9C" w14:textId="26B7BA3E" w:rsidR="00D53F40" w:rsidRPr="00A720EE" w:rsidRDefault="0091677C" w:rsidP="005D6268">
      <w:pPr>
        <w:suppressAutoHyphens/>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w:t>
      </w:r>
      <w:r w:rsidR="00AA7CE3" w:rsidRPr="00A720EE">
        <w:rPr>
          <w:rFonts w:ascii="Times New Roman" w:eastAsiaTheme="minorEastAsia" w:hAnsi="Times New Roman" w:cs="Times New Roman"/>
          <w:sz w:val="24"/>
          <w:szCs w:val="24"/>
          <w:lang w:eastAsia="pl-PL"/>
        </w:rPr>
        <w:t xml:space="preserve">proponowana </w:t>
      </w:r>
      <w:r w:rsidRPr="00A720EE">
        <w:rPr>
          <w:rFonts w:ascii="Times New Roman" w:eastAsiaTheme="minorEastAsia" w:hAnsi="Times New Roman" w:cs="Times New Roman"/>
          <w:sz w:val="24"/>
          <w:szCs w:val="24"/>
          <w:lang w:eastAsia="pl-PL"/>
        </w:rPr>
        <w:t xml:space="preserve">w art. 27b ust. 8 </w:t>
      </w:r>
      <w:r w:rsidR="00D1613E" w:rsidRPr="00A720EE">
        <w:rPr>
          <w:rFonts w:ascii="Times New Roman" w:eastAsiaTheme="minorEastAsia" w:hAnsi="Times New Roman" w:cs="Times New Roman"/>
          <w:sz w:val="24"/>
          <w:szCs w:val="24"/>
          <w:lang w:eastAsia="pl-PL"/>
        </w:rPr>
        <w:t xml:space="preserve">ustawy CIT </w:t>
      </w:r>
      <w:r w:rsidRPr="00A720EE">
        <w:rPr>
          <w:rFonts w:ascii="Times New Roman" w:eastAsiaTheme="minorEastAsia" w:hAnsi="Times New Roman" w:cs="Times New Roman"/>
          <w:sz w:val="24"/>
          <w:szCs w:val="24"/>
          <w:lang w:eastAsia="pl-PL"/>
        </w:rPr>
        <w:t xml:space="preserve">ma na celu usprawnienie procesu aktualizacji gromadzonych </w:t>
      </w:r>
      <w:r w:rsidR="00D53F40" w:rsidRPr="00A720EE">
        <w:rPr>
          <w:rFonts w:ascii="Times New Roman" w:eastAsiaTheme="minorEastAsia" w:hAnsi="Times New Roman" w:cs="Times New Roman"/>
          <w:sz w:val="24"/>
          <w:szCs w:val="24"/>
          <w:lang w:eastAsia="pl-PL"/>
        </w:rPr>
        <w:t xml:space="preserve">indywidualnych </w:t>
      </w:r>
      <w:r w:rsidRPr="00A720EE">
        <w:rPr>
          <w:rFonts w:ascii="Times New Roman" w:eastAsiaTheme="minorEastAsia" w:hAnsi="Times New Roman" w:cs="Times New Roman"/>
          <w:sz w:val="24"/>
          <w:szCs w:val="24"/>
          <w:lang w:eastAsia="pl-PL"/>
        </w:rPr>
        <w:t>danych</w:t>
      </w:r>
      <w:r w:rsidR="00D53F40" w:rsidRPr="00A720EE">
        <w:rPr>
          <w:rFonts w:ascii="Times New Roman" w:eastAsiaTheme="minorEastAsia" w:hAnsi="Times New Roman" w:cs="Times New Roman"/>
          <w:sz w:val="24"/>
          <w:szCs w:val="24"/>
          <w:lang w:eastAsia="pl-PL"/>
        </w:rPr>
        <w:t xml:space="preserve"> podatników podatku dochodowego od osób prawnych</w:t>
      </w:r>
      <w:r w:rsidRPr="00A720EE">
        <w:rPr>
          <w:rFonts w:ascii="Times New Roman" w:eastAsiaTheme="minorEastAsia" w:hAnsi="Times New Roman" w:cs="Times New Roman"/>
          <w:sz w:val="24"/>
          <w:szCs w:val="24"/>
          <w:lang w:eastAsia="pl-PL"/>
        </w:rPr>
        <w:t xml:space="preserve">. Dane </w:t>
      </w:r>
      <w:r w:rsidR="00D53F40" w:rsidRPr="00A720EE">
        <w:rPr>
          <w:rFonts w:ascii="Times New Roman" w:eastAsiaTheme="minorEastAsia" w:hAnsi="Times New Roman" w:cs="Times New Roman"/>
          <w:sz w:val="24"/>
          <w:szCs w:val="24"/>
          <w:lang w:eastAsia="pl-PL"/>
        </w:rPr>
        <w:t xml:space="preserve">te wynikają z zeznań podatkowych złożonych w poprzednim roku kalendarzowym, są </w:t>
      </w:r>
      <w:r w:rsidRPr="00A720EE">
        <w:rPr>
          <w:rFonts w:ascii="Times New Roman" w:eastAsiaTheme="minorEastAsia" w:hAnsi="Times New Roman" w:cs="Times New Roman"/>
          <w:sz w:val="24"/>
          <w:szCs w:val="24"/>
          <w:lang w:eastAsia="pl-PL"/>
        </w:rPr>
        <w:t xml:space="preserve">podawane do publicznej wiadomości </w:t>
      </w:r>
      <w:r w:rsidR="00D53F40" w:rsidRPr="00A720EE">
        <w:rPr>
          <w:rFonts w:ascii="Times New Roman" w:eastAsiaTheme="minorEastAsia" w:hAnsi="Times New Roman" w:cs="Times New Roman"/>
          <w:sz w:val="24"/>
          <w:szCs w:val="24"/>
          <w:lang w:eastAsia="pl-PL"/>
        </w:rPr>
        <w:t>w terminie do dnia 30 września i</w:t>
      </w:r>
      <w:r w:rsidR="00AA7CE3" w:rsidRPr="00A720EE">
        <w:rPr>
          <w:rFonts w:ascii="Times New Roman" w:eastAsiaTheme="minorEastAsia" w:hAnsi="Times New Roman" w:cs="Times New Roman"/>
          <w:sz w:val="24"/>
          <w:szCs w:val="24"/>
          <w:lang w:eastAsia="pl-PL"/>
        </w:rPr>
        <w:t> </w:t>
      </w:r>
      <w:r w:rsidR="00D53F40" w:rsidRPr="00A720EE">
        <w:rPr>
          <w:rFonts w:ascii="Times New Roman" w:eastAsiaTheme="minorEastAsia" w:hAnsi="Times New Roman" w:cs="Times New Roman"/>
          <w:sz w:val="24"/>
          <w:szCs w:val="24"/>
          <w:lang w:eastAsia="pl-PL"/>
        </w:rPr>
        <w:t xml:space="preserve">podlegają </w:t>
      </w:r>
      <w:r w:rsidRPr="00A720EE">
        <w:rPr>
          <w:rFonts w:ascii="Times New Roman" w:eastAsiaTheme="minorEastAsia" w:hAnsi="Times New Roman" w:cs="Times New Roman"/>
          <w:sz w:val="24"/>
          <w:szCs w:val="24"/>
          <w:lang w:eastAsia="pl-PL"/>
        </w:rPr>
        <w:t>aktualiz</w:t>
      </w:r>
      <w:r w:rsidR="00D53F40" w:rsidRPr="00A720EE">
        <w:rPr>
          <w:rFonts w:ascii="Times New Roman" w:eastAsiaTheme="minorEastAsia" w:hAnsi="Times New Roman" w:cs="Times New Roman"/>
          <w:sz w:val="24"/>
          <w:szCs w:val="24"/>
          <w:lang w:eastAsia="pl-PL"/>
        </w:rPr>
        <w:t>acji</w:t>
      </w:r>
      <w:r w:rsidRPr="00A720EE">
        <w:rPr>
          <w:rFonts w:ascii="Times New Roman" w:eastAsiaTheme="minorEastAsia" w:hAnsi="Times New Roman" w:cs="Times New Roman"/>
          <w:sz w:val="24"/>
          <w:szCs w:val="24"/>
          <w:lang w:eastAsia="pl-PL"/>
        </w:rPr>
        <w:t xml:space="preserve"> kwartalnie – według stanu na pierwszy dzień miesiąca, w którym kończy się dany kwartał roku kalendarzowego. </w:t>
      </w:r>
    </w:p>
    <w:p w14:paraId="5FE1AD11" w14:textId="7170A401" w:rsidR="00C939B5" w:rsidRPr="00A720EE" w:rsidRDefault="0091677C" w:rsidP="005D626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Doświadczenia </w:t>
      </w:r>
      <w:r w:rsidR="001E5F43" w:rsidRPr="00A720EE">
        <w:rPr>
          <w:rFonts w:ascii="Times New Roman" w:eastAsiaTheme="minorEastAsia" w:hAnsi="Times New Roman" w:cs="Times New Roman"/>
          <w:sz w:val="24"/>
          <w:szCs w:val="24"/>
          <w:lang w:eastAsia="pl-PL"/>
        </w:rPr>
        <w:t xml:space="preserve">w </w:t>
      </w:r>
      <w:r w:rsidRPr="00A720EE">
        <w:rPr>
          <w:rFonts w:ascii="Times New Roman" w:eastAsiaTheme="minorEastAsia" w:hAnsi="Times New Roman" w:cs="Times New Roman"/>
          <w:sz w:val="24"/>
          <w:szCs w:val="24"/>
          <w:lang w:eastAsia="pl-PL"/>
        </w:rPr>
        <w:t>stosowani</w:t>
      </w:r>
      <w:r w:rsidR="001E5F43" w:rsidRPr="00A720EE">
        <w:rPr>
          <w:rFonts w:ascii="Times New Roman" w:eastAsiaTheme="minorEastAsia" w:hAnsi="Times New Roman" w:cs="Times New Roman"/>
          <w:sz w:val="24"/>
          <w:szCs w:val="24"/>
          <w:lang w:eastAsia="pl-PL"/>
        </w:rPr>
        <w:t>u</w:t>
      </w:r>
      <w:r w:rsidRPr="00A720EE">
        <w:rPr>
          <w:rFonts w:ascii="Times New Roman" w:eastAsiaTheme="minorEastAsia" w:hAnsi="Times New Roman" w:cs="Times New Roman"/>
          <w:sz w:val="24"/>
          <w:szCs w:val="24"/>
          <w:lang w:eastAsia="pl-PL"/>
        </w:rPr>
        <w:t xml:space="preserve"> przedmiotowej regulacji wskazują </w:t>
      </w:r>
      <w:r w:rsidR="00D53F40" w:rsidRPr="00A720EE">
        <w:rPr>
          <w:rFonts w:ascii="Times New Roman" w:eastAsiaTheme="minorEastAsia" w:hAnsi="Times New Roman" w:cs="Times New Roman"/>
          <w:sz w:val="24"/>
          <w:szCs w:val="24"/>
          <w:lang w:eastAsia="pl-PL"/>
        </w:rPr>
        <w:t>jednak</w:t>
      </w:r>
      <w:r w:rsidR="001B2B5A" w:rsidRPr="00A720EE">
        <w:rPr>
          <w:rFonts w:ascii="Times New Roman" w:eastAsiaTheme="minorEastAsia" w:hAnsi="Times New Roman" w:cs="Times New Roman"/>
          <w:sz w:val="24"/>
          <w:szCs w:val="24"/>
          <w:lang w:eastAsia="pl-PL"/>
        </w:rPr>
        <w:t xml:space="preserve">, że zasadna jest zmiana </w:t>
      </w:r>
      <w:r w:rsidR="007552AC" w:rsidRPr="00A720EE">
        <w:rPr>
          <w:rFonts w:ascii="Times New Roman" w:eastAsiaTheme="minorEastAsia" w:hAnsi="Times New Roman" w:cs="Times New Roman"/>
          <w:sz w:val="24"/>
          <w:szCs w:val="24"/>
          <w:lang w:eastAsia="pl-PL"/>
        </w:rPr>
        <w:t xml:space="preserve">mająca na celu niższą </w:t>
      </w:r>
      <w:r w:rsidR="001B2B5A" w:rsidRPr="00A720EE">
        <w:rPr>
          <w:rFonts w:ascii="Times New Roman" w:eastAsiaTheme="minorEastAsia" w:hAnsi="Times New Roman" w:cs="Times New Roman"/>
          <w:sz w:val="24"/>
          <w:szCs w:val="24"/>
          <w:lang w:eastAsia="pl-PL"/>
        </w:rPr>
        <w:t>częstotliwoś</w:t>
      </w:r>
      <w:r w:rsidR="007552AC" w:rsidRPr="00A720EE">
        <w:rPr>
          <w:rFonts w:ascii="Times New Roman" w:eastAsiaTheme="minorEastAsia" w:hAnsi="Times New Roman" w:cs="Times New Roman"/>
          <w:sz w:val="24"/>
          <w:szCs w:val="24"/>
          <w:lang w:eastAsia="pl-PL"/>
        </w:rPr>
        <w:t>ć</w:t>
      </w:r>
      <w:r w:rsidR="001B2B5A" w:rsidRPr="00A720EE">
        <w:rPr>
          <w:rFonts w:ascii="Times New Roman" w:eastAsiaTheme="minorEastAsia" w:hAnsi="Times New Roman" w:cs="Times New Roman"/>
          <w:sz w:val="24"/>
          <w:szCs w:val="24"/>
          <w:lang w:eastAsia="pl-PL"/>
        </w:rPr>
        <w:t xml:space="preserve"> </w:t>
      </w:r>
      <w:r w:rsidR="00AA7CE3" w:rsidRPr="00A720EE">
        <w:rPr>
          <w:rFonts w:ascii="Times New Roman" w:eastAsiaTheme="minorEastAsia" w:hAnsi="Times New Roman" w:cs="Times New Roman"/>
          <w:sz w:val="24"/>
          <w:szCs w:val="24"/>
          <w:lang w:eastAsia="pl-PL"/>
        </w:rPr>
        <w:t xml:space="preserve">dokonywania </w:t>
      </w:r>
      <w:r w:rsidR="001B2B5A" w:rsidRPr="00A720EE">
        <w:rPr>
          <w:rFonts w:ascii="Times New Roman" w:eastAsiaTheme="minorEastAsia" w:hAnsi="Times New Roman" w:cs="Times New Roman"/>
          <w:sz w:val="24"/>
          <w:szCs w:val="24"/>
          <w:lang w:eastAsia="pl-PL"/>
        </w:rPr>
        <w:t xml:space="preserve">aktualizacji </w:t>
      </w:r>
      <w:r w:rsidR="007552AC" w:rsidRPr="00A720EE">
        <w:rPr>
          <w:rFonts w:ascii="Times New Roman" w:eastAsiaTheme="minorEastAsia" w:hAnsi="Times New Roman" w:cs="Times New Roman"/>
          <w:sz w:val="24"/>
          <w:szCs w:val="24"/>
          <w:lang w:eastAsia="pl-PL"/>
        </w:rPr>
        <w:t>(coroczną)</w:t>
      </w:r>
      <w:r w:rsidR="00AA7CE3" w:rsidRPr="00A720EE">
        <w:rPr>
          <w:rFonts w:ascii="Times New Roman" w:eastAsiaTheme="minorEastAsia" w:hAnsi="Times New Roman" w:cs="Times New Roman"/>
          <w:sz w:val="24"/>
          <w:szCs w:val="24"/>
          <w:lang w:eastAsia="pl-PL"/>
        </w:rPr>
        <w:t xml:space="preserve"> opublikowanych danych</w:t>
      </w:r>
      <w:r w:rsidR="001B2B5A" w:rsidRPr="00A720EE">
        <w:rPr>
          <w:rFonts w:ascii="Times New Roman" w:eastAsiaTheme="minorEastAsia" w:hAnsi="Times New Roman" w:cs="Times New Roman"/>
          <w:sz w:val="24"/>
          <w:szCs w:val="24"/>
          <w:lang w:eastAsia="pl-PL"/>
        </w:rPr>
        <w:t>.</w:t>
      </w:r>
      <w:r w:rsidR="00D53F40" w:rsidRPr="00A720EE">
        <w:rPr>
          <w:rFonts w:ascii="Times New Roman" w:eastAsiaTheme="minorEastAsia" w:hAnsi="Times New Roman" w:cs="Times New Roman"/>
          <w:sz w:val="24"/>
          <w:szCs w:val="24"/>
          <w:lang w:eastAsia="pl-PL"/>
        </w:rPr>
        <w:t xml:space="preserve"> </w:t>
      </w:r>
    </w:p>
    <w:p w14:paraId="6FB94562" w14:textId="77777777" w:rsidR="0080238E" w:rsidRPr="00A720EE" w:rsidRDefault="0098330B" w:rsidP="00007288">
      <w:pPr>
        <w:widowControl w:val="0"/>
        <w:autoSpaceDE w:val="0"/>
        <w:autoSpaceDN w:val="0"/>
        <w:adjustRightInd w:val="0"/>
        <w:spacing w:before="240" w:after="0" w:line="276" w:lineRule="auto"/>
        <w:jc w:val="both"/>
        <w:rPr>
          <w:rFonts w:ascii="Times New Roman" w:eastAsiaTheme="minorEastAsia" w:hAnsi="Times New Roman" w:cs="Times New Roman"/>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3</w:t>
      </w:r>
      <w:r w:rsidR="00210406" w:rsidRPr="00A720EE">
        <w:rPr>
          <w:rFonts w:ascii="Times New Roman" w:eastAsiaTheme="minorEastAsia" w:hAnsi="Times New Roman" w:cs="Times New Roman"/>
          <w:b/>
          <w:color w:val="000000" w:themeColor="text1"/>
          <w:sz w:val="24"/>
          <w:szCs w:val="24"/>
          <w:lang w:eastAsia="pl-PL"/>
        </w:rPr>
        <w:t xml:space="preserve">) </w:t>
      </w:r>
      <w:r w:rsidR="005E0698" w:rsidRPr="00A720EE">
        <w:rPr>
          <w:rFonts w:ascii="Times New Roman" w:eastAsiaTheme="minorEastAsia" w:hAnsi="Times New Roman" w:cs="Times New Roman"/>
          <w:b/>
          <w:color w:val="000000" w:themeColor="text1"/>
          <w:sz w:val="24"/>
          <w:szCs w:val="24"/>
          <w:lang w:eastAsia="pl-PL"/>
        </w:rPr>
        <w:t>Uchylenie przepisów o</w:t>
      </w:r>
      <w:r w:rsidR="0080238E" w:rsidRPr="00A720EE">
        <w:rPr>
          <w:rFonts w:ascii="Times New Roman" w:eastAsiaTheme="minorEastAsia" w:hAnsi="Times New Roman" w:cs="Times New Roman"/>
          <w:b/>
          <w:color w:val="000000" w:themeColor="text1"/>
          <w:sz w:val="24"/>
          <w:szCs w:val="24"/>
          <w:lang w:eastAsia="pl-PL"/>
        </w:rPr>
        <w:t xml:space="preserve"> „ukryt</w:t>
      </w:r>
      <w:r w:rsidR="005E0698" w:rsidRPr="00A720EE">
        <w:rPr>
          <w:rFonts w:ascii="Times New Roman" w:eastAsiaTheme="minorEastAsia" w:hAnsi="Times New Roman" w:cs="Times New Roman"/>
          <w:b/>
          <w:color w:val="000000" w:themeColor="text1"/>
          <w:sz w:val="24"/>
          <w:szCs w:val="24"/>
          <w:lang w:eastAsia="pl-PL"/>
        </w:rPr>
        <w:t>ej</w:t>
      </w:r>
      <w:r w:rsidR="0080238E" w:rsidRPr="00A720EE">
        <w:rPr>
          <w:rFonts w:ascii="Times New Roman" w:eastAsiaTheme="minorEastAsia" w:hAnsi="Times New Roman" w:cs="Times New Roman"/>
          <w:b/>
          <w:color w:val="000000" w:themeColor="text1"/>
          <w:sz w:val="24"/>
          <w:szCs w:val="24"/>
          <w:lang w:eastAsia="pl-PL"/>
        </w:rPr>
        <w:t xml:space="preserve"> dywidend</w:t>
      </w:r>
      <w:r w:rsidR="005E0698" w:rsidRPr="00A720EE">
        <w:rPr>
          <w:rFonts w:ascii="Times New Roman" w:eastAsiaTheme="minorEastAsia" w:hAnsi="Times New Roman" w:cs="Times New Roman"/>
          <w:b/>
          <w:color w:val="000000" w:themeColor="text1"/>
          <w:sz w:val="24"/>
          <w:szCs w:val="24"/>
          <w:lang w:eastAsia="pl-PL"/>
        </w:rPr>
        <w:t>zie</w:t>
      </w:r>
      <w:r w:rsidR="0080238E" w:rsidRPr="00A720EE">
        <w:rPr>
          <w:rFonts w:ascii="Times New Roman" w:eastAsiaTheme="minorEastAsia" w:hAnsi="Times New Roman" w:cs="Times New Roman"/>
          <w:b/>
          <w:color w:val="000000" w:themeColor="text1"/>
          <w:sz w:val="24"/>
          <w:szCs w:val="24"/>
          <w:lang w:eastAsia="pl-PL"/>
        </w:rPr>
        <w:t>”</w:t>
      </w:r>
      <w:r w:rsidR="00D53F40" w:rsidRPr="00A720EE">
        <w:rPr>
          <w:rFonts w:ascii="Times New Roman" w:eastAsiaTheme="minorEastAsia" w:hAnsi="Times New Roman" w:cs="Times New Roman"/>
          <w:b/>
          <w:color w:val="000000" w:themeColor="text1"/>
          <w:sz w:val="24"/>
          <w:szCs w:val="24"/>
          <w:lang w:eastAsia="pl-PL"/>
        </w:rPr>
        <w:t xml:space="preserve"> (</w:t>
      </w:r>
      <w:r w:rsidR="0094181C" w:rsidRPr="00A720EE">
        <w:rPr>
          <w:rFonts w:ascii="Times New Roman" w:eastAsiaTheme="minorEastAsia" w:hAnsi="Times New Roman" w:cs="Times New Roman"/>
          <w:b/>
          <w:color w:val="000000" w:themeColor="text1"/>
          <w:sz w:val="24"/>
          <w:szCs w:val="24"/>
          <w:lang w:eastAsia="pl-PL"/>
        </w:rPr>
        <w:t xml:space="preserve">ustawa </w:t>
      </w:r>
      <w:r w:rsidR="00A34465" w:rsidRPr="00A720EE">
        <w:rPr>
          <w:rFonts w:ascii="Times New Roman" w:eastAsiaTheme="minorEastAsia" w:hAnsi="Times New Roman" w:cs="Times New Roman"/>
          <w:b/>
          <w:color w:val="000000" w:themeColor="text1"/>
          <w:sz w:val="24"/>
          <w:szCs w:val="24"/>
          <w:lang w:eastAsia="pl-PL"/>
        </w:rPr>
        <w:t>z 29 października 2021 r.</w:t>
      </w:r>
      <w:r w:rsidR="00D53F40" w:rsidRPr="00A720EE">
        <w:rPr>
          <w:rFonts w:ascii="Times New Roman" w:eastAsiaTheme="minorEastAsia" w:hAnsi="Times New Roman" w:cs="Times New Roman"/>
          <w:b/>
          <w:color w:val="000000" w:themeColor="text1"/>
          <w:sz w:val="24"/>
          <w:szCs w:val="24"/>
          <w:lang w:eastAsia="pl-PL"/>
        </w:rPr>
        <w:t>)</w:t>
      </w:r>
    </w:p>
    <w:p w14:paraId="31A7A322" w14:textId="77777777" w:rsidR="009F429E" w:rsidRPr="00A720EE" w:rsidRDefault="007552AC" w:rsidP="005D626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Zawarte </w:t>
      </w:r>
      <w:r w:rsidR="009F429E" w:rsidRPr="00A720EE">
        <w:rPr>
          <w:rFonts w:ascii="Times New Roman" w:eastAsiaTheme="minorEastAsia" w:hAnsi="Times New Roman" w:cs="Times New Roman"/>
          <w:sz w:val="24"/>
          <w:szCs w:val="24"/>
          <w:lang w:eastAsia="pl-PL"/>
        </w:rPr>
        <w:t xml:space="preserve">w ramach ustawy </w:t>
      </w:r>
      <w:r w:rsidR="00A34465" w:rsidRPr="00A720EE">
        <w:rPr>
          <w:rFonts w:ascii="Times New Roman" w:eastAsiaTheme="minorEastAsia" w:hAnsi="Times New Roman" w:cs="Times New Roman"/>
          <w:sz w:val="24"/>
          <w:szCs w:val="24"/>
          <w:lang w:eastAsia="pl-PL"/>
        </w:rPr>
        <w:t xml:space="preserve">z 29 października 2021 r. </w:t>
      </w:r>
      <w:r w:rsidR="009F429E" w:rsidRPr="00A720EE">
        <w:rPr>
          <w:rFonts w:ascii="Times New Roman" w:eastAsiaTheme="minorEastAsia" w:hAnsi="Times New Roman" w:cs="Times New Roman"/>
          <w:sz w:val="24"/>
          <w:szCs w:val="24"/>
          <w:lang w:eastAsia="pl-PL"/>
        </w:rPr>
        <w:t xml:space="preserve">regulacje dotyczące tzw. </w:t>
      </w:r>
      <w:r w:rsidR="00AA48E6" w:rsidRPr="00A720EE">
        <w:rPr>
          <w:rFonts w:ascii="Times New Roman" w:eastAsiaTheme="minorEastAsia" w:hAnsi="Times New Roman" w:cs="Times New Roman"/>
          <w:sz w:val="24"/>
          <w:szCs w:val="24"/>
          <w:lang w:eastAsia="pl-PL"/>
        </w:rPr>
        <w:t>„</w:t>
      </w:r>
      <w:r w:rsidR="009F429E" w:rsidRPr="00A720EE">
        <w:rPr>
          <w:rFonts w:ascii="Times New Roman" w:eastAsiaTheme="minorEastAsia" w:hAnsi="Times New Roman" w:cs="Times New Roman"/>
          <w:sz w:val="24"/>
          <w:szCs w:val="24"/>
          <w:lang w:eastAsia="pl-PL"/>
        </w:rPr>
        <w:t>ukrytej dywidendy</w:t>
      </w:r>
      <w:r w:rsidR="00AA48E6" w:rsidRPr="00A720EE">
        <w:rPr>
          <w:rFonts w:ascii="Times New Roman" w:eastAsiaTheme="minorEastAsia" w:hAnsi="Times New Roman" w:cs="Times New Roman"/>
          <w:sz w:val="24"/>
          <w:szCs w:val="24"/>
          <w:lang w:eastAsia="pl-PL"/>
        </w:rPr>
        <w:t>”</w:t>
      </w:r>
      <w:r w:rsidR="008B3B56"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 xml:space="preserve">wprowadzające </w:t>
      </w:r>
      <w:r w:rsidR="008B3B56" w:rsidRPr="00A720EE">
        <w:rPr>
          <w:rFonts w:ascii="Times New Roman" w:eastAsiaTheme="minorEastAsia" w:hAnsi="Times New Roman" w:cs="Times New Roman"/>
          <w:sz w:val="24"/>
          <w:szCs w:val="24"/>
          <w:lang w:eastAsia="pl-PL"/>
        </w:rPr>
        <w:t>art. 16 ust. 1 pkt 15b oraz ust. 1d i 1e ustawy CIT</w:t>
      </w:r>
      <w:r w:rsidRPr="00A720EE">
        <w:rPr>
          <w:rFonts w:ascii="Times New Roman" w:eastAsiaTheme="minorEastAsia" w:hAnsi="Times New Roman" w:cs="Times New Roman"/>
          <w:sz w:val="24"/>
          <w:szCs w:val="24"/>
          <w:lang w:eastAsia="pl-PL"/>
        </w:rPr>
        <w:t xml:space="preserve"> ze skutkiem od 1 stycznia 2023 r.</w:t>
      </w:r>
      <w:r w:rsidR="008B3B56" w:rsidRPr="00A720EE">
        <w:rPr>
          <w:rFonts w:ascii="Times New Roman" w:eastAsiaTheme="minorEastAsia" w:hAnsi="Times New Roman" w:cs="Times New Roman"/>
          <w:sz w:val="24"/>
          <w:szCs w:val="24"/>
          <w:lang w:eastAsia="pl-PL"/>
        </w:rPr>
        <w:t>)</w:t>
      </w:r>
      <w:r w:rsidR="009F429E" w:rsidRPr="00A720EE">
        <w:rPr>
          <w:rFonts w:ascii="Times New Roman" w:eastAsiaTheme="minorEastAsia" w:hAnsi="Times New Roman" w:cs="Times New Roman"/>
          <w:sz w:val="24"/>
          <w:szCs w:val="24"/>
          <w:lang w:eastAsia="pl-PL"/>
        </w:rPr>
        <w:t xml:space="preserve"> m</w:t>
      </w:r>
      <w:r w:rsidR="00F201C4" w:rsidRPr="00A720EE">
        <w:rPr>
          <w:rFonts w:ascii="Times New Roman" w:eastAsiaTheme="minorEastAsia" w:hAnsi="Times New Roman" w:cs="Times New Roman"/>
          <w:sz w:val="24"/>
          <w:szCs w:val="24"/>
          <w:lang w:eastAsia="pl-PL"/>
        </w:rPr>
        <w:t>iały</w:t>
      </w:r>
      <w:r w:rsidR="009F429E" w:rsidRPr="00A720EE">
        <w:rPr>
          <w:rFonts w:ascii="Times New Roman" w:eastAsiaTheme="minorEastAsia" w:hAnsi="Times New Roman" w:cs="Times New Roman"/>
          <w:sz w:val="24"/>
          <w:szCs w:val="24"/>
          <w:lang w:eastAsia="pl-PL"/>
        </w:rPr>
        <w:t xml:space="preserve"> na celu przeciwdziałanie sytuacji, w której dystrybucja zysku do wspólników dokonywana jest w sposób powodujący zmniejszenie dochodu podatnika</w:t>
      </w:r>
      <w:r w:rsidR="00BE5181" w:rsidRPr="00A720EE">
        <w:rPr>
          <w:rFonts w:ascii="Times New Roman" w:eastAsiaTheme="minorEastAsia" w:hAnsi="Times New Roman" w:cs="Times New Roman"/>
          <w:sz w:val="24"/>
          <w:szCs w:val="24"/>
          <w:lang w:eastAsia="pl-PL"/>
        </w:rPr>
        <w:t>,</w:t>
      </w:r>
      <w:r w:rsidR="009F429E" w:rsidRPr="00A720EE">
        <w:rPr>
          <w:rFonts w:ascii="Times New Roman" w:eastAsiaTheme="minorEastAsia" w:hAnsi="Times New Roman" w:cs="Times New Roman"/>
          <w:sz w:val="24"/>
          <w:szCs w:val="24"/>
          <w:lang w:eastAsia="pl-PL"/>
        </w:rPr>
        <w:t xml:space="preserve"> poprzez zaliczenie</w:t>
      </w:r>
      <w:r w:rsidR="00D53F40" w:rsidRPr="00A720EE">
        <w:rPr>
          <w:rFonts w:ascii="Times New Roman" w:eastAsiaTheme="minorEastAsia" w:hAnsi="Times New Roman" w:cs="Times New Roman"/>
          <w:sz w:val="24"/>
          <w:szCs w:val="24"/>
          <w:lang w:eastAsia="pl-PL"/>
        </w:rPr>
        <w:t xml:space="preserve"> określonej płatności</w:t>
      </w:r>
      <w:r w:rsidR="009F429E" w:rsidRPr="00A720EE">
        <w:rPr>
          <w:rFonts w:ascii="Times New Roman" w:eastAsiaTheme="minorEastAsia" w:hAnsi="Times New Roman" w:cs="Times New Roman"/>
          <w:sz w:val="24"/>
          <w:szCs w:val="24"/>
          <w:lang w:eastAsia="pl-PL"/>
        </w:rPr>
        <w:t xml:space="preserve"> do kosztów uzyskania przychodu</w:t>
      </w:r>
      <w:r w:rsidR="00694774" w:rsidRPr="00A720EE">
        <w:rPr>
          <w:rFonts w:ascii="Times New Roman" w:eastAsiaTheme="minorEastAsia" w:hAnsi="Times New Roman" w:cs="Times New Roman"/>
          <w:sz w:val="24"/>
          <w:szCs w:val="24"/>
          <w:lang w:eastAsia="pl-PL"/>
        </w:rPr>
        <w:t>.</w:t>
      </w:r>
    </w:p>
    <w:p w14:paraId="072A23CD" w14:textId="77777777" w:rsidR="009F429E" w:rsidRPr="00A720EE" w:rsidRDefault="00694774" w:rsidP="005D626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hAnsi="Times New Roman" w:cs="Times New Roman"/>
          <w:sz w:val="24"/>
          <w:szCs w:val="24"/>
          <w:lang w:eastAsia="pl-PL"/>
        </w:rPr>
        <w:t xml:space="preserve">W świetle art. 16 ust. 1 pkt 15b ustawy CIT, </w:t>
      </w:r>
      <w:r w:rsidRPr="00A720EE">
        <w:rPr>
          <w:rFonts w:ascii="Times New Roman" w:eastAsiaTheme="minorEastAsia" w:hAnsi="Times New Roman" w:cs="Times New Roman"/>
          <w:sz w:val="24"/>
          <w:szCs w:val="24"/>
          <w:lang w:eastAsia="pl-PL"/>
        </w:rPr>
        <w:t>w</w:t>
      </w:r>
      <w:r w:rsidR="009F429E" w:rsidRPr="00A720EE">
        <w:rPr>
          <w:rFonts w:ascii="Times New Roman" w:eastAsiaTheme="minorEastAsia" w:hAnsi="Times New Roman" w:cs="Times New Roman"/>
          <w:sz w:val="24"/>
          <w:szCs w:val="24"/>
          <w:lang w:eastAsia="pl-PL"/>
        </w:rPr>
        <w:t xml:space="preserve"> przypadku stwierdzenia, iż wypłacane świadczenie ma charakter ukrytej dywidendy</w:t>
      </w:r>
      <w:r w:rsidR="00E71C00" w:rsidRPr="00A720EE">
        <w:rPr>
          <w:rFonts w:ascii="Times New Roman" w:eastAsiaTheme="minorEastAsia" w:hAnsi="Times New Roman" w:cs="Times New Roman"/>
          <w:sz w:val="24"/>
          <w:szCs w:val="24"/>
          <w:lang w:eastAsia="pl-PL"/>
        </w:rPr>
        <w:t>,</w:t>
      </w:r>
      <w:r w:rsidR="009F429E" w:rsidRPr="00A720EE">
        <w:rPr>
          <w:rFonts w:ascii="Times New Roman" w:eastAsiaTheme="minorEastAsia" w:hAnsi="Times New Roman" w:cs="Times New Roman"/>
          <w:sz w:val="24"/>
          <w:szCs w:val="24"/>
          <w:lang w:eastAsia="pl-PL"/>
        </w:rPr>
        <w:t xml:space="preserve"> podatnik nie m</w:t>
      </w:r>
      <w:r w:rsidR="00F201C4" w:rsidRPr="00A720EE">
        <w:rPr>
          <w:rFonts w:ascii="Times New Roman" w:eastAsiaTheme="minorEastAsia" w:hAnsi="Times New Roman" w:cs="Times New Roman"/>
          <w:sz w:val="24"/>
          <w:szCs w:val="24"/>
          <w:lang w:eastAsia="pl-PL"/>
        </w:rPr>
        <w:t>iałby</w:t>
      </w:r>
      <w:r w:rsidR="009F429E" w:rsidRPr="00A720EE">
        <w:rPr>
          <w:rFonts w:ascii="Times New Roman" w:eastAsiaTheme="minorEastAsia" w:hAnsi="Times New Roman" w:cs="Times New Roman"/>
          <w:sz w:val="24"/>
          <w:szCs w:val="24"/>
          <w:lang w:eastAsia="pl-PL"/>
        </w:rPr>
        <w:t xml:space="preserve"> możliwości rozpoznania kosztów uzyskania przychodów (w wartości tego świadczenia).</w:t>
      </w:r>
      <w:r w:rsidRPr="00A720EE">
        <w:rPr>
          <w:rFonts w:ascii="Times New Roman" w:eastAsiaTheme="minorEastAsia" w:hAnsi="Times New Roman" w:cs="Times New Roman"/>
          <w:sz w:val="24"/>
          <w:szCs w:val="24"/>
          <w:lang w:eastAsia="pl-PL"/>
        </w:rPr>
        <w:t xml:space="preserve"> W</w:t>
      </w:r>
      <w:r w:rsidR="009F429E" w:rsidRPr="00A720EE">
        <w:rPr>
          <w:rFonts w:ascii="Times New Roman" w:eastAsiaTheme="minorEastAsia" w:hAnsi="Times New Roman" w:cs="Times New Roman"/>
          <w:sz w:val="24"/>
          <w:szCs w:val="24"/>
          <w:lang w:eastAsia="pl-PL"/>
        </w:rPr>
        <w:t xml:space="preserve"> ust. 1d </w:t>
      </w:r>
      <w:r w:rsidRPr="00A720EE">
        <w:rPr>
          <w:rFonts w:ascii="Times New Roman" w:eastAsiaTheme="minorEastAsia" w:hAnsi="Times New Roman" w:cs="Times New Roman"/>
          <w:sz w:val="24"/>
          <w:szCs w:val="24"/>
          <w:lang w:eastAsia="pl-PL"/>
        </w:rPr>
        <w:t xml:space="preserve">wskazano </w:t>
      </w:r>
      <w:r w:rsidR="009F429E" w:rsidRPr="00A720EE">
        <w:rPr>
          <w:rFonts w:ascii="Times New Roman" w:eastAsiaTheme="minorEastAsia" w:hAnsi="Times New Roman" w:cs="Times New Roman"/>
          <w:sz w:val="24"/>
          <w:szCs w:val="24"/>
          <w:lang w:eastAsia="pl-PL"/>
        </w:rPr>
        <w:t>trzy kategorie kosztów uznawanych za ukrytą dywidendę, tj.:</w:t>
      </w:r>
    </w:p>
    <w:p w14:paraId="76AC17C8" w14:textId="77777777" w:rsidR="009F429E" w:rsidRPr="00A720EE" w:rsidRDefault="009F429E" w:rsidP="00371561">
      <w:pPr>
        <w:widowControl w:val="0"/>
        <w:autoSpaceDE w:val="0"/>
        <w:autoSpaceDN w:val="0"/>
        <w:adjustRightInd w:val="0"/>
        <w:spacing w:before="120" w:after="0" w:line="276" w:lineRule="auto"/>
        <w:ind w:left="284" w:hanging="284"/>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1) </w:t>
      </w:r>
      <w:r w:rsidR="00371561" w:rsidRPr="00A720EE">
        <w:rPr>
          <w:rFonts w:ascii="Times New Roman" w:eastAsiaTheme="minorEastAsia" w:hAnsi="Times New Roman" w:cs="Times New Roman"/>
          <w:sz w:val="24"/>
          <w:szCs w:val="24"/>
          <w:lang w:eastAsia="pl-PL"/>
        </w:rPr>
        <w:tab/>
      </w:r>
      <w:r w:rsidRPr="00A720EE">
        <w:rPr>
          <w:rFonts w:ascii="Times New Roman" w:eastAsiaTheme="minorEastAsia" w:hAnsi="Times New Roman" w:cs="Times New Roman"/>
          <w:sz w:val="24"/>
          <w:szCs w:val="24"/>
          <w:lang w:eastAsia="pl-PL"/>
        </w:rPr>
        <w:t xml:space="preserve">gdy wysokość tych kosztów lub termin ich poniesienia w jakikolwiek sposób są uzależnione od osiągnięcia zysku przez podatnika lub wysokości tego zysku lub </w:t>
      </w:r>
    </w:p>
    <w:p w14:paraId="43194938" w14:textId="77777777" w:rsidR="009F429E" w:rsidRPr="00A720EE" w:rsidRDefault="009F429E" w:rsidP="00371561">
      <w:pPr>
        <w:widowControl w:val="0"/>
        <w:autoSpaceDE w:val="0"/>
        <w:autoSpaceDN w:val="0"/>
        <w:adjustRightInd w:val="0"/>
        <w:spacing w:before="120" w:after="0" w:line="276" w:lineRule="auto"/>
        <w:ind w:left="284" w:hanging="284"/>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2) </w:t>
      </w:r>
      <w:r w:rsidR="00371561" w:rsidRPr="00A720EE">
        <w:rPr>
          <w:rFonts w:ascii="Times New Roman" w:eastAsiaTheme="minorEastAsia" w:hAnsi="Times New Roman" w:cs="Times New Roman"/>
          <w:sz w:val="24"/>
          <w:szCs w:val="24"/>
          <w:lang w:eastAsia="pl-PL"/>
        </w:rPr>
        <w:tab/>
      </w:r>
      <w:r w:rsidRPr="00A720EE">
        <w:rPr>
          <w:rFonts w:ascii="Times New Roman" w:eastAsiaTheme="minorEastAsia" w:hAnsi="Times New Roman" w:cs="Times New Roman"/>
          <w:sz w:val="24"/>
          <w:szCs w:val="24"/>
          <w:lang w:eastAsia="pl-PL"/>
        </w:rPr>
        <w:t xml:space="preserve">gdy racjonalnie działający podatnik nie poniósłby takich kosztów lub mógłby ponieść niższe koszty w przypadku wykonania porównywalnego świadczenia przez podmiot niepowiązany </w:t>
      </w:r>
      <w:r w:rsidR="00694774"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lub </w:t>
      </w:r>
    </w:p>
    <w:p w14:paraId="3C1AC309" w14:textId="77777777" w:rsidR="009F429E" w:rsidRPr="00A720EE" w:rsidRDefault="009F429E" w:rsidP="00371561">
      <w:pPr>
        <w:widowControl w:val="0"/>
        <w:autoSpaceDE w:val="0"/>
        <w:autoSpaceDN w:val="0"/>
        <w:adjustRightInd w:val="0"/>
        <w:spacing w:before="120" w:after="0" w:line="276" w:lineRule="auto"/>
        <w:ind w:left="284" w:hanging="284"/>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3) </w:t>
      </w:r>
      <w:r w:rsidR="00371561" w:rsidRPr="00A720EE">
        <w:rPr>
          <w:rFonts w:ascii="Times New Roman" w:eastAsiaTheme="minorEastAsia" w:hAnsi="Times New Roman" w:cs="Times New Roman"/>
          <w:sz w:val="24"/>
          <w:szCs w:val="24"/>
          <w:lang w:eastAsia="pl-PL"/>
        </w:rPr>
        <w:tab/>
      </w:r>
      <w:r w:rsidRPr="00A720EE">
        <w:rPr>
          <w:rFonts w:ascii="Times New Roman" w:eastAsiaTheme="minorEastAsia" w:hAnsi="Times New Roman" w:cs="Times New Roman"/>
          <w:sz w:val="24"/>
          <w:szCs w:val="24"/>
          <w:lang w:eastAsia="pl-PL"/>
        </w:rPr>
        <w:t>gdy koszty te obejmują wynagrodzenie za prawo do korzystania z aktywów, które stanowiły własność lub współwłasność wspólnika lub podmiotu powiązanego ze wspólnikiem przed utworzeniem podatnika.</w:t>
      </w:r>
    </w:p>
    <w:p w14:paraId="69B8F401" w14:textId="77777777" w:rsidR="003B3B75" w:rsidRPr="00A720EE" w:rsidRDefault="00694774" w:rsidP="00694774">
      <w:pPr>
        <w:autoSpaceDE w:val="0"/>
        <w:autoSpaceDN w:val="0"/>
        <w:spacing w:before="120" w:line="276" w:lineRule="auto"/>
        <w:jc w:val="both"/>
        <w:rPr>
          <w:rFonts w:ascii="Times New Roman" w:hAnsi="Times New Roman" w:cs="Times New Roman"/>
          <w:sz w:val="24"/>
          <w:szCs w:val="24"/>
          <w:lang w:eastAsia="pl-PL"/>
        </w:rPr>
      </w:pPr>
      <w:r w:rsidRPr="00A720EE">
        <w:rPr>
          <w:rFonts w:ascii="Times New Roman" w:hAnsi="Times New Roman" w:cs="Times New Roman"/>
          <w:sz w:val="24"/>
          <w:szCs w:val="24"/>
          <w:lang w:eastAsia="pl-PL"/>
        </w:rPr>
        <w:t>Zgodnie z ust. 1e, dwie ostatnie przesłanki nie miałyby zastosowania, gdy suma poniesionych w roku podatkowym przez podatnika kosztów stanowiących ukrytą dywidendę</w:t>
      </w:r>
      <w:r w:rsidR="00972C61" w:rsidRPr="00A720EE">
        <w:rPr>
          <w:rFonts w:ascii="Times New Roman" w:hAnsi="Times New Roman" w:cs="Times New Roman"/>
          <w:sz w:val="24"/>
          <w:szCs w:val="24"/>
          <w:lang w:eastAsia="pl-PL"/>
        </w:rPr>
        <w:t>,</w:t>
      </w:r>
      <w:r w:rsidRPr="00A720EE">
        <w:rPr>
          <w:rFonts w:ascii="Times New Roman" w:hAnsi="Times New Roman" w:cs="Times New Roman"/>
          <w:sz w:val="24"/>
          <w:szCs w:val="24"/>
          <w:lang w:eastAsia="pl-PL"/>
        </w:rPr>
        <w:t xml:space="preserve"> byłaby niższa niż kwota zysku brutto w rozumieniu przepisów o rachunkowości.</w:t>
      </w:r>
      <w:r w:rsidR="00972C61" w:rsidRPr="00A720EE">
        <w:rPr>
          <w:rFonts w:ascii="Times New Roman" w:hAnsi="Times New Roman" w:cs="Times New Roman"/>
          <w:sz w:val="24"/>
          <w:szCs w:val="24"/>
          <w:lang w:eastAsia="pl-PL"/>
        </w:rPr>
        <w:t xml:space="preserve"> </w:t>
      </w:r>
    </w:p>
    <w:p w14:paraId="7775ABFE" w14:textId="09509F25" w:rsidR="00694774" w:rsidRPr="00A720EE" w:rsidRDefault="00694774" w:rsidP="00694774">
      <w:pPr>
        <w:autoSpaceDE w:val="0"/>
        <w:autoSpaceDN w:val="0"/>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rPr>
        <w:t>Jednakże, jak wynika z postulatów zgłaszanych przez organizacje branżowe, przedsiębiorców i ekspertów, jak również w świetle dalszych analiz Ministerstwa Finansów, wskazane</w:t>
      </w:r>
      <w:r w:rsidR="00F201C4" w:rsidRPr="00A720EE">
        <w:rPr>
          <w:rFonts w:ascii="Times New Roman" w:hAnsi="Times New Roman" w:cs="Times New Roman"/>
          <w:sz w:val="24"/>
          <w:szCs w:val="24"/>
        </w:rPr>
        <w:t xml:space="preserve"> </w:t>
      </w:r>
      <w:r w:rsidR="00F201C4" w:rsidRPr="00A720EE">
        <w:rPr>
          <w:rFonts w:ascii="Times New Roman" w:hAnsi="Times New Roman" w:cs="Times New Roman"/>
          <w:sz w:val="24"/>
          <w:szCs w:val="24"/>
        </w:rPr>
        <w:lastRenderedPageBreak/>
        <w:t>brzmienie przepisu prowadziłoby do wątpliwości interpretacyjnych w zakresie wzajemnych zależności pomiędzy przepisami o ukrytej dywidendzie i przepisami o cenach transferowych.</w:t>
      </w:r>
      <w:r w:rsidRPr="00A720EE">
        <w:rPr>
          <w:rFonts w:ascii="Times New Roman" w:hAnsi="Times New Roman" w:cs="Times New Roman"/>
          <w:sz w:val="24"/>
          <w:szCs w:val="24"/>
        </w:rPr>
        <w:t xml:space="preserve"> Regulacje w zakresie ukrytej dywidendy mogłyby znacznie utrudnić działanie grup kapitałowych świadczących na rzecz spółek zależnych usługi wsparcia, uzależnione od rentowności tych spółek, jak również wpłynąć negatywnie na świadczenie usług licencyjnych. Istotne wątpliwości budziły również potencjalnie skutki przepisów o ukrytej dywidendzie względem stosowanej na gruncie cen transferowych metody podziału zysku oraz korekty cen transferowych.</w:t>
      </w:r>
    </w:p>
    <w:p w14:paraId="7854231C" w14:textId="77777777" w:rsidR="00694774" w:rsidRPr="00A720EE" w:rsidRDefault="00694774" w:rsidP="00F201C4">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Poza aspektami wskazanymi wyżej</w:t>
      </w:r>
      <w:r w:rsidR="00F201C4" w:rsidRPr="00A720EE">
        <w:rPr>
          <w:rFonts w:ascii="Times New Roman" w:hAnsi="Times New Roman" w:cs="Times New Roman"/>
          <w:sz w:val="24"/>
          <w:szCs w:val="24"/>
        </w:rPr>
        <w:t>, z uwagi na szeroki charakter przesłanek prowadzących do uznania kosztów za ukrytą dywidendę</w:t>
      </w:r>
      <w:r w:rsidRPr="00A720EE">
        <w:rPr>
          <w:rFonts w:ascii="Times New Roman" w:hAnsi="Times New Roman" w:cs="Times New Roman"/>
          <w:sz w:val="24"/>
          <w:szCs w:val="24"/>
        </w:rPr>
        <w:t xml:space="preserve"> (w tym przesłanki dotyczącej korzystania z aktywów)</w:t>
      </w:r>
      <w:r w:rsidR="00F201C4" w:rsidRPr="00A720EE">
        <w:rPr>
          <w:rFonts w:ascii="Times New Roman" w:hAnsi="Times New Roman" w:cs="Times New Roman"/>
          <w:sz w:val="24"/>
          <w:szCs w:val="24"/>
        </w:rPr>
        <w:t xml:space="preserve">, </w:t>
      </w:r>
      <w:r w:rsidRPr="00A720EE">
        <w:rPr>
          <w:rFonts w:ascii="Times New Roman" w:hAnsi="Times New Roman" w:cs="Times New Roman"/>
          <w:sz w:val="24"/>
          <w:szCs w:val="24"/>
        </w:rPr>
        <w:t>nie można byłoby zupełnie wykluczyć sytuacji</w:t>
      </w:r>
      <w:r w:rsidR="00F201C4" w:rsidRPr="00A720EE">
        <w:rPr>
          <w:rFonts w:ascii="Times New Roman" w:hAnsi="Times New Roman" w:cs="Times New Roman"/>
          <w:sz w:val="24"/>
          <w:szCs w:val="24"/>
        </w:rPr>
        <w:t xml:space="preserve">, w których zakresem przepisu objęte byłyby </w:t>
      </w:r>
      <w:r w:rsidRPr="00A720EE">
        <w:rPr>
          <w:rFonts w:ascii="Times New Roman" w:hAnsi="Times New Roman" w:cs="Times New Roman"/>
          <w:sz w:val="24"/>
          <w:szCs w:val="24"/>
        </w:rPr>
        <w:t xml:space="preserve">również inne </w:t>
      </w:r>
      <w:r w:rsidR="00F201C4" w:rsidRPr="00A720EE">
        <w:rPr>
          <w:rFonts w:ascii="Times New Roman" w:hAnsi="Times New Roman" w:cs="Times New Roman"/>
          <w:sz w:val="24"/>
          <w:szCs w:val="24"/>
        </w:rPr>
        <w:t xml:space="preserve">określone transakcje uzasadnione gospodarczo, których głównym celem nie jest </w:t>
      </w:r>
      <w:r w:rsidR="00F201C4" w:rsidRPr="00A720EE">
        <w:rPr>
          <w:rFonts w:ascii="Times New Roman" w:hAnsi="Times New Roman" w:cs="Times New Roman"/>
          <w:i/>
          <w:sz w:val="24"/>
          <w:szCs w:val="24"/>
        </w:rPr>
        <w:t>de facto</w:t>
      </w:r>
      <w:r w:rsidR="00F201C4" w:rsidRPr="00A720EE">
        <w:rPr>
          <w:rFonts w:ascii="Times New Roman" w:hAnsi="Times New Roman" w:cs="Times New Roman"/>
          <w:sz w:val="24"/>
          <w:szCs w:val="24"/>
        </w:rPr>
        <w:t xml:space="preserve"> transfer nadwyżek finansowych do podmiotów powiązanych. </w:t>
      </w:r>
    </w:p>
    <w:p w14:paraId="4ED3E27B" w14:textId="1E7A919D" w:rsidR="00F201C4" w:rsidRPr="00A720EE" w:rsidRDefault="00F201C4" w:rsidP="00EB7C70">
      <w:pPr>
        <w:autoSpaceDE w:val="0"/>
        <w:autoSpaceDN w:val="0"/>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Jednocześnie, postulaty zgłoszone przez organizacje branżowe wskazywały na konieczność ograniczenia przepisów </w:t>
      </w:r>
      <w:proofErr w:type="spellStart"/>
      <w:r w:rsidRPr="00A720EE">
        <w:rPr>
          <w:rFonts w:ascii="Times New Roman" w:hAnsi="Times New Roman" w:cs="Times New Roman"/>
          <w:sz w:val="24"/>
          <w:szCs w:val="24"/>
        </w:rPr>
        <w:t>antyabuzywnych</w:t>
      </w:r>
      <w:proofErr w:type="spellEnd"/>
      <w:r w:rsidRPr="00A720EE">
        <w:rPr>
          <w:rFonts w:ascii="Times New Roman" w:hAnsi="Times New Roman" w:cs="Times New Roman"/>
          <w:sz w:val="24"/>
          <w:szCs w:val="24"/>
        </w:rPr>
        <w:t>, które mogą dotyczyć podobnych kategorii płatności</w:t>
      </w:r>
      <w:r w:rsidR="00694774" w:rsidRPr="00A720EE">
        <w:rPr>
          <w:rFonts w:ascii="Times New Roman" w:hAnsi="Times New Roman" w:cs="Times New Roman"/>
          <w:sz w:val="24"/>
          <w:szCs w:val="24"/>
        </w:rPr>
        <w:t>. Tożsamych</w:t>
      </w:r>
      <w:r w:rsidRPr="00A720EE">
        <w:rPr>
          <w:rFonts w:ascii="Times New Roman" w:hAnsi="Times New Roman" w:cs="Times New Roman"/>
          <w:sz w:val="24"/>
          <w:szCs w:val="24"/>
        </w:rPr>
        <w:t xml:space="preserve"> kategorii płatności mogłyby </w:t>
      </w:r>
      <w:r w:rsidR="00694774" w:rsidRPr="00A720EE">
        <w:rPr>
          <w:rFonts w:ascii="Times New Roman" w:hAnsi="Times New Roman" w:cs="Times New Roman"/>
          <w:sz w:val="24"/>
          <w:szCs w:val="24"/>
        </w:rPr>
        <w:t xml:space="preserve">bowiem </w:t>
      </w:r>
      <w:r w:rsidRPr="00A720EE">
        <w:rPr>
          <w:rFonts w:ascii="Times New Roman" w:hAnsi="Times New Roman" w:cs="Times New Roman"/>
          <w:sz w:val="24"/>
          <w:szCs w:val="24"/>
        </w:rPr>
        <w:t>dotyczyć przepisy o ukrytej dywidendzie, podatku od przerzuconych dochodów i minimalnym</w:t>
      </w:r>
      <w:r w:rsidR="003B3B75" w:rsidRPr="00A720EE">
        <w:rPr>
          <w:rFonts w:ascii="Times New Roman" w:hAnsi="Times New Roman" w:cs="Times New Roman"/>
          <w:sz w:val="24"/>
          <w:szCs w:val="24"/>
        </w:rPr>
        <w:t xml:space="preserve"> podatku dochodowym</w:t>
      </w:r>
      <w:r w:rsidR="00694774" w:rsidRPr="00A720EE">
        <w:rPr>
          <w:rFonts w:ascii="Times New Roman" w:hAnsi="Times New Roman" w:cs="Times New Roman"/>
          <w:sz w:val="24"/>
          <w:szCs w:val="24"/>
        </w:rPr>
        <w:t>.</w:t>
      </w:r>
      <w:r w:rsidR="003B3B75" w:rsidRPr="00A720EE">
        <w:rPr>
          <w:rFonts w:ascii="Times New Roman" w:hAnsi="Times New Roman" w:cs="Times New Roman"/>
          <w:sz w:val="24"/>
          <w:szCs w:val="24"/>
        </w:rPr>
        <w:t xml:space="preserve"> </w:t>
      </w:r>
      <w:r w:rsidR="00694774" w:rsidRPr="00A720EE">
        <w:rPr>
          <w:rFonts w:ascii="Times New Roman" w:hAnsi="Times New Roman" w:cs="Times New Roman"/>
          <w:sz w:val="24"/>
          <w:szCs w:val="24"/>
        </w:rPr>
        <w:t xml:space="preserve">Ponadto, </w:t>
      </w:r>
      <w:r w:rsidRPr="00A720EE">
        <w:rPr>
          <w:rFonts w:ascii="Times New Roman" w:hAnsi="Times New Roman" w:cs="Times New Roman"/>
          <w:sz w:val="24"/>
          <w:szCs w:val="24"/>
        </w:rPr>
        <w:t xml:space="preserve">niektóre z </w:t>
      </w:r>
      <w:r w:rsidR="007467E5" w:rsidRPr="00A720EE">
        <w:rPr>
          <w:rFonts w:ascii="Times New Roman" w:hAnsi="Times New Roman" w:cs="Times New Roman"/>
          <w:sz w:val="24"/>
          <w:szCs w:val="24"/>
        </w:rPr>
        <w:t xml:space="preserve">kategorii </w:t>
      </w:r>
      <w:r w:rsidRPr="00A720EE">
        <w:rPr>
          <w:rFonts w:ascii="Times New Roman" w:hAnsi="Times New Roman" w:cs="Times New Roman"/>
          <w:sz w:val="24"/>
          <w:szCs w:val="24"/>
        </w:rPr>
        <w:t>płatności</w:t>
      </w:r>
      <w:r w:rsidR="007467E5" w:rsidRPr="00A720EE">
        <w:rPr>
          <w:rFonts w:ascii="Times New Roman" w:hAnsi="Times New Roman" w:cs="Times New Roman"/>
          <w:sz w:val="24"/>
          <w:szCs w:val="24"/>
        </w:rPr>
        <w:t>, np. koszty finansowania dłużnego,</w:t>
      </w:r>
      <w:r w:rsidRPr="00A720EE">
        <w:rPr>
          <w:rFonts w:ascii="Times New Roman" w:hAnsi="Times New Roman" w:cs="Times New Roman"/>
          <w:sz w:val="24"/>
          <w:szCs w:val="24"/>
        </w:rPr>
        <w:t xml:space="preserve"> podlega</w:t>
      </w:r>
      <w:r w:rsidR="00371561" w:rsidRPr="00A720EE">
        <w:rPr>
          <w:rFonts w:ascii="Times New Roman" w:hAnsi="Times New Roman" w:cs="Times New Roman"/>
          <w:sz w:val="24"/>
          <w:szCs w:val="24"/>
        </w:rPr>
        <w:t>ją już obecnie</w:t>
      </w:r>
      <w:r w:rsidRPr="00A720EE">
        <w:rPr>
          <w:rFonts w:ascii="Times New Roman" w:hAnsi="Times New Roman" w:cs="Times New Roman"/>
          <w:sz w:val="24"/>
          <w:szCs w:val="24"/>
        </w:rPr>
        <w:t xml:space="preserve"> dodatkowym ograniczeniom</w:t>
      </w:r>
      <w:r w:rsidR="007467E5" w:rsidRPr="00A720EE">
        <w:rPr>
          <w:rFonts w:ascii="Times New Roman" w:hAnsi="Times New Roman" w:cs="Times New Roman"/>
          <w:sz w:val="24"/>
          <w:szCs w:val="24"/>
        </w:rPr>
        <w:t xml:space="preserve"> lub limitom</w:t>
      </w:r>
      <w:r w:rsidRPr="00A720EE">
        <w:rPr>
          <w:rFonts w:ascii="Times New Roman" w:hAnsi="Times New Roman" w:cs="Times New Roman"/>
          <w:sz w:val="24"/>
          <w:szCs w:val="24"/>
        </w:rPr>
        <w:t>.</w:t>
      </w:r>
    </w:p>
    <w:p w14:paraId="31A46585" w14:textId="5F30E81C" w:rsidR="00F201C4" w:rsidRPr="00A720EE" w:rsidRDefault="00F201C4" w:rsidP="005D626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hAnsi="Times New Roman" w:cs="Times New Roman"/>
          <w:sz w:val="24"/>
          <w:szCs w:val="24"/>
        </w:rPr>
        <w:t>Mając na uwadze powyższe</w:t>
      </w:r>
      <w:r w:rsidR="007467E5" w:rsidRPr="00A720EE">
        <w:rPr>
          <w:rFonts w:ascii="Times New Roman" w:hAnsi="Times New Roman" w:cs="Times New Roman"/>
          <w:sz w:val="24"/>
          <w:szCs w:val="24"/>
        </w:rPr>
        <w:t xml:space="preserve"> wątpliwości i przewidywany negatywny wpływ wskazanych przepisów na działalność grup kapitałowych</w:t>
      </w:r>
      <w:r w:rsidRPr="00A720EE">
        <w:rPr>
          <w:rFonts w:ascii="Times New Roman" w:hAnsi="Times New Roman" w:cs="Times New Roman"/>
          <w:sz w:val="24"/>
          <w:szCs w:val="24"/>
        </w:rPr>
        <w:t>, jak również niepewną sytuację gospodarczą, w</w:t>
      </w:r>
      <w:r w:rsidR="00371561" w:rsidRPr="00A720EE">
        <w:rPr>
          <w:rFonts w:ascii="Times New Roman" w:hAnsi="Times New Roman" w:cs="Times New Roman"/>
          <w:sz w:val="24"/>
          <w:szCs w:val="24"/>
        </w:rPr>
        <w:t> </w:t>
      </w:r>
      <w:r w:rsidRPr="00A720EE">
        <w:rPr>
          <w:rFonts w:ascii="Times New Roman" w:hAnsi="Times New Roman" w:cs="Times New Roman"/>
          <w:sz w:val="24"/>
          <w:szCs w:val="24"/>
        </w:rPr>
        <w:t xml:space="preserve">jakiej znalazły się wskutek wojny na Ukrainie podmioty prowadzące działalność w Polsce, zasadne jest uchylenie wskazanych przepisów, tj. </w:t>
      </w:r>
      <w:r w:rsidRPr="00A720EE">
        <w:rPr>
          <w:rFonts w:ascii="Times New Roman" w:eastAsiaTheme="minorEastAsia" w:hAnsi="Times New Roman" w:cs="Times New Roman"/>
          <w:sz w:val="24"/>
          <w:szCs w:val="24"/>
          <w:lang w:eastAsia="pl-PL"/>
        </w:rPr>
        <w:t xml:space="preserve">art. 2 pkt 31 lit. a </w:t>
      </w:r>
      <w:proofErr w:type="spellStart"/>
      <w:r w:rsidRPr="00A720EE">
        <w:rPr>
          <w:rFonts w:ascii="Times New Roman" w:eastAsiaTheme="minorEastAsia" w:hAnsi="Times New Roman" w:cs="Times New Roman"/>
          <w:sz w:val="24"/>
          <w:szCs w:val="24"/>
          <w:lang w:eastAsia="pl-PL"/>
        </w:rPr>
        <w:t>tiret</w:t>
      </w:r>
      <w:proofErr w:type="spellEnd"/>
      <w:r w:rsidRPr="00A720EE">
        <w:rPr>
          <w:rFonts w:ascii="Times New Roman" w:eastAsiaTheme="minorEastAsia" w:hAnsi="Times New Roman" w:cs="Times New Roman"/>
          <w:sz w:val="24"/>
          <w:szCs w:val="24"/>
          <w:lang w:eastAsia="pl-PL"/>
        </w:rPr>
        <w:t xml:space="preserve"> trzecie i lit. b ustawy </w:t>
      </w:r>
      <w:r w:rsidR="00A34465" w:rsidRPr="00A720EE">
        <w:rPr>
          <w:rFonts w:ascii="Times New Roman" w:eastAsiaTheme="minorEastAsia" w:hAnsi="Times New Roman" w:cs="Times New Roman"/>
          <w:sz w:val="24"/>
          <w:szCs w:val="24"/>
          <w:lang w:eastAsia="pl-PL"/>
        </w:rPr>
        <w:t>z 29 października 2021 r.</w:t>
      </w:r>
    </w:p>
    <w:p w14:paraId="0AD77B2F" w14:textId="77777777" w:rsidR="00DD679D" w:rsidRPr="00A720EE" w:rsidRDefault="00DD679D" w:rsidP="00DD679D">
      <w:pPr>
        <w:widowControl w:val="0"/>
        <w:autoSpaceDE w:val="0"/>
        <w:autoSpaceDN w:val="0"/>
        <w:adjustRightInd w:val="0"/>
        <w:spacing w:before="240" w:after="12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4) Zmiana przepisów dotyczących obowiązku dokumentacyjnego w zakresie tzw. pośrednich transakcji rajowych (ustawa CIT i PIT)</w:t>
      </w:r>
    </w:p>
    <w:p w14:paraId="079D61B7"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Zgodnie z art. 11i ustawy CIT oraz art. 23u ustawy PIT zasadę ceny rynkowej stosuje się odpowiednio do transakcji innej niż transakcja kontrolowana z podmiotem mającym miejsce zamieszkania, siedzibę lub zarząd na terytorium lub w kraju stosującym szkodliwą konkurencję podatkową (tzw. bezpośrednia transakcja rajowa) lub z każdym innym podmiotem, jeżeli rzeczywisty właściciel ma miejsce zamieszkania, siedzibę lub zarząd na terytorium lub w kraju stosującym szkodliwą konkurencję podatkową (tzw. pośrednia transakcja rajowa).</w:t>
      </w:r>
    </w:p>
    <w:p w14:paraId="3BBA6054"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Jednocześnie przepisy art. 11o ustawy CIT oraz art. 23za ustawy PIT wprowadzają obowiązek sporządzenia lokalnej dokumentacji cen transferowych dla podatników i spółek niebędących osobami prawnymi dokonujących:</w:t>
      </w:r>
    </w:p>
    <w:p w14:paraId="780E4EDA" w14:textId="505F6256" w:rsidR="00DD679D" w:rsidRPr="00A720EE" w:rsidRDefault="00DD679D" w:rsidP="003107E8">
      <w:pPr>
        <w:widowControl w:val="0"/>
        <w:autoSpaceDE w:val="0"/>
        <w:autoSpaceDN w:val="0"/>
        <w:adjustRightInd w:val="0"/>
        <w:spacing w:after="120" w:line="276" w:lineRule="auto"/>
        <w:ind w:left="284" w:hanging="284"/>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1) </w:t>
      </w:r>
      <w:r w:rsidR="003107E8" w:rsidRPr="00A720EE">
        <w:rPr>
          <w:rFonts w:ascii="Times New Roman" w:eastAsiaTheme="minorEastAsia" w:hAnsi="Times New Roman" w:cs="Times New Roman"/>
          <w:sz w:val="24"/>
          <w:szCs w:val="24"/>
          <w:lang w:eastAsia="pl-PL"/>
        </w:rPr>
        <w:tab/>
      </w:r>
      <w:r w:rsidRPr="00A720EE">
        <w:rPr>
          <w:rFonts w:ascii="Times New Roman" w:eastAsiaTheme="minorEastAsia" w:hAnsi="Times New Roman" w:cs="Times New Roman"/>
          <w:sz w:val="24"/>
          <w:szCs w:val="24"/>
          <w:lang w:eastAsia="pl-PL"/>
        </w:rPr>
        <w:t>bezpośredniej transakcji rajowej, jeżeli wartość tej transakcji za rok podatkowy, a w przypadku spółek niebędących osobami prawnymi – za rok obrotowy, przekracza 100.000</w:t>
      </w:r>
      <w:r w:rsidR="00837B43"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zł, oraz</w:t>
      </w:r>
    </w:p>
    <w:p w14:paraId="57F40751" w14:textId="764C56EE" w:rsidR="00DD679D" w:rsidRPr="00A720EE" w:rsidRDefault="00DD679D" w:rsidP="003107E8">
      <w:pPr>
        <w:widowControl w:val="0"/>
        <w:autoSpaceDE w:val="0"/>
        <w:autoSpaceDN w:val="0"/>
        <w:adjustRightInd w:val="0"/>
        <w:spacing w:after="120" w:line="276" w:lineRule="auto"/>
        <w:ind w:left="284" w:hanging="284"/>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2) </w:t>
      </w:r>
      <w:r w:rsidR="003107E8" w:rsidRPr="00A720EE">
        <w:rPr>
          <w:rFonts w:ascii="Times New Roman" w:eastAsiaTheme="minorEastAsia" w:hAnsi="Times New Roman" w:cs="Times New Roman"/>
          <w:sz w:val="24"/>
          <w:szCs w:val="24"/>
          <w:lang w:eastAsia="pl-PL"/>
        </w:rPr>
        <w:tab/>
      </w:r>
      <w:r w:rsidRPr="00A720EE">
        <w:rPr>
          <w:rFonts w:ascii="Times New Roman" w:eastAsiaTheme="minorEastAsia" w:hAnsi="Times New Roman" w:cs="Times New Roman"/>
          <w:sz w:val="24"/>
          <w:szCs w:val="24"/>
          <w:lang w:eastAsia="pl-PL"/>
        </w:rPr>
        <w:t xml:space="preserve">pośredniej transakcji rajowej, jeżeli wartość tej transakcji za rok podatkowy, a w przypadku </w:t>
      </w:r>
      <w:r w:rsidRPr="00A720EE">
        <w:rPr>
          <w:rFonts w:ascii="Times New Roman" w:eastAsiaTheme="minorEastAsia" w:hAnsi="Times New Roman" w:cs="Times New Roman"/>
          <w:sz w:val="24"/>
          <w:szCs w:val="24"/>
          <w:lang w:eastAsia="pl-PL"/>
        </w:rPr>
        <w:lastRenderedPageBreak/>
        <w:t>spółek niebędących osobami prawnymi – za rok obrotowy, przekracza 500</w:t>
      </w:r>
      <w:r w:rsidR="00837B43"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000 zł.</w:t>
      </w:r>
    </w:p>
    <w:p w14:paraId="47C98DA9"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i/>
          <w:sz w:val="24"/>
          <w:szCs w:val="24"/>
          <w:u w:val="single"/>
          <w:lang w:eastAsia="pl-PL"/>
        </w:rPr>
      </w:pPr>
      <w:r w:rsidRPr="00A720EE">
        <w:rPr>
          <w:rFonts w:ascii="Times New Roman" w:eastAsiaTheme="minorEastAsia" w:hAnsi="Times New Roman" w:cs="Times New Roman"/>
          <w:i/>
          <w:sz w:val="24"/>
          <w:szCs w:val="24"/>
          <w:u w:val="single"/>
          <w:lang w:eastAsia="pl-PL"/>
        </w:rPr>
        <w:t>Uchylenie obowiązku stosowania zasady ceny rynkowej oraz obowiązku dokumentacyjnego do pośrednich transakcji rajowych</w:t>
      </w:r>
    </w:p>
    <w:p w14:paraId="1A4C6111"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Obecnie obowiązek dokumentacyjny w zakresie pośrednich transakcji rajowych dotyczy transakcji kontrolowanych oraz transakcji innych niż kontrolowane zarówno krajowych (pomiędzy dwoma podmiotami zlokalizowanymi w Polsce), jak i transgranicznych (pomiędzy podmiotem polskim a zagranicznym). Dla podatników oznacza to w praktyce konieczność badania rzeczywistego właściciela należności wynikającej z każdej transakcji, również tej pomiędzy podmiotami niepowiązanymi, przekraczającej progi dokumentacyjne. Dla dużych przedsiębiorstw wiąże się to </w:t>
      </w:r>
      <w:r w:rsidR="003107E8" w:rsidRPr="00A720EE">
        <w:rPr>
          <w:rFonts w:ascii="Times New Roman" w:eastAsiaTheme="minorEastAsia" w:hAnsi="Times New Roman" w:cs="Times New Roman"/>
          <w:sz w:val="24"/>
          <w:szCs w:val="24"/>
          <w:lang w:eastAsia="pl-PL"/>
        </w:rPr>
        <w:t>często z koniecznością zbadania</w:t>
      </w:r>
      <w:r w:rsidRPr="00A720EE">
        <w:rPr>
          <w:rFonts w:ascii="Times New Roman" w:eastAsiaTheme="minorEastAsia" w:hAnsi="Times New Roman" w:cs="Times New Roman"/>
          <w:sz w:val="24"/>
          <w:szCs w:val="24"/>
          <w:lang w:eastAsia="pl-PL"/>
        </w:rPr>
        <w:t xml:space="preserve"> kilku</w:t>
      </w:r>
      <w:r w:rsidR="003107E8" w:rsidRPr="00A720EE">
        <w:rPr>
          <w:rFonts w:ascii="Times New Roman" w:eastAsiaTheme="minorEastAsia" w:hAnsi="Times New Roman" w:cs="Times New Roman"/>
          <w:sz w:val="24"/>
          <w:szCs w:val="24"/>
          <w:lang w:eastAsia="pl-PL"/>
        </w:rPr>
        <w:t>set</w:t>
      </w:r>
      <w:r w:rsidRPr="00A720EE">
        <w:rPr>
          <w:rFonts w:ascii="Times New Roman" w:eastAsiaTheme="minorEastAsia" w:hAnsi="Times New Roman" w:cs="Times New Roman"/>
          <w:sz w:val="24"/>
          <w:szCs w:val="24"/>
          <w:lang w:eastAsia="pl-PL"/>
        </w:rPr>
        <w:t xml:space="preserve"> lub nawet </w:t>
      </w:r>
      <w:r w:rsidR="003107E8" w:rsidRPr="00A720EE">
        <w:rPr>
          <w:rFonts w:ascii="Times New Roman" w:eastAsiaTheme="minorEastAsia" w:hAnsi="Times New Roman" w:cs="Times New Roman"/>
          <w:sz w:val="24"/>
          <w:szCs w:val="24"/>
          <w:lang w:eastAsia="pl-PL"/>
        </w:rPr>
        <w:t>kilku</w:t>
      </w:r>
      <w:r w:rsidRPr="00A720EE">
        <w:rPr>
          <w:rFonts w:ascii="Times New Roman" w:eastAsiaTheme="minorEastAsia" w:hAnsi="Times New Roman" w:cs="Times New Roman"/>
          <w:sz w:val="24"/>
          <w:szCs w:val="24"/>
          <w:lang w:eastAsia="pl-PL"/>
        </w:rPr>
        <w:t xml:space="preserve"> tysięcy kontrahentów.</w:t>
      </w:r>
    </w:p>
    <w:p w14:paraId="7F348663" w14:textId="77777777" w:rsidR="003107E8"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Jak wynika z postulatów zgłaszanych przez organizacje branżowe, przedsiębiorców i ekspertów, jak również w świetle dalszych analiz Ministerstwa Finansów, brzmienie wprowadzonych w 2020 r. przepisów dotyczących pośrednich transakcji rajowych prowadziłoby do nadmiernego obciążenia polskich podmiotów dokonujących transakcji, obciążenia nieproporcjonalnego w relacji do ewent</w:t>
      </w:r>
      <w:r w:rsidR="003107E8" w:rsidRPr="00A720EE">
        <w:rPr>
          <w:rFonts w:ascii="Times New Roman" w:eastAsiaTheme="minorEastAsia" w:hAnsi="Times New Roman" w:cs="Times New Roman"/>
          <w:sz w:val="24"/>
          <w:szCs w:val="24"/>
          <w:lang w:eastAsia="pl-PL"/>
        </w:rPr>
        <w:t>ualnych korzyści wynikających z </w:t>
      </w:r>
      <w:r w:rsidRPr="00A720EE">
        <w:rPr>
          <w:rFonts w:ascii="Times New Roman" w:eastAsiaTheme="minorEastAsia" w:hAnsi="Times New Roman" w:cs="Times New Roman"/>
          <w:sz w:val="24"/>
          <w:szCs w:val="24"/>
          <w:lang w:eastAsia="pl-PL"/>
        </w:rPr>
        <w:t xml:space="preserve">pozyskania informacji przez Krajową Administrację Skarbową. </w:t>
      </w:r>
    </w:p>
    <w:p w14:paraId="1D149388"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Wątpliwości interpretacyjne oraz trudności praktyczne w identyfikacji rzeczywistego właściciela należności oraz stosowania domniemania jego rezydencji w raju podatkowym mogłyby również prowadzić do pozyskiwania informacji, które nie odzwierciedlałyby rzeczywistych relacji pośrednich polskich podmiotów z rajami podatkowymi. Ograniczałoby to w znacznym stopniu przydatność takich informacji dla rzetelnej analizy ryzyka prowadzonej przez KAS.</w:t>
      </w:r>
    </w:p>
    <w:p w14:paraId="396C7CC8" w14:textId="69AFD28F" w:rsidR="004A5E2C" w:rsidRPr="00A720EE" w:rsidRDefault="004A5E2C"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Rozwiązani</w:t>
      </w:r>
      <w:r w:rsidR="003367A8" w:rsidRPr="00A720EE">
        <w:rPr>
          <w:rFonts w:ascii="Times New Roman" w:eastAsiaTheme="minorEastAsia" w:hAnsi="Times New Roman" w:cs="Times New Roman"/>
          <w:sz w:val="24"/>
          <w:szCs w:val="24"/>
          <w:lang w:eastAsia="pl-PL"/>
        </w:rPr>
        <w:t>a</w:t>
      </w:r>
      <w:r w:rsidRPr="00A720EE">
        <w:rPr>
          <w:rFonts w:ascii="Times New Roman" w:eastAsiaTheme="minorEastAsia" w:hAnsi="Times New Roman" w:cs="Times New Roman"/>
          <w:sz w:val="24"/>
          <w:szCs w:val="24"/>
          <w:lang w:eastAsia="pl-PL"/>
        </w:rPr>
        <w:t xml:space="preserve"> te należy zatem ocenić jako nieproporcjonalne do celu, któremu miały służyć, a także – co istotniejsze - wątpliwe w zakresie możliwości jego osiągniecia. </w:t>
      </w:r>
    </w:p>
    <w:p w14:paraId="11FBDD3A"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Nie negując słuszności walki z przerzucaniem i ukrywaniem dochodów w rajach podatkowych, jednakże mając na uwadze przedstawione powyżej argumenty oraz konieczność podejścia do kwestii walki z rajami podatkowymi w sposób szeroki niekoncertujący się jedynie na rozwiązaniach z zakresu cen transferowych, zrezygnowano z obowiązku odpowiedniego stosowania zasady ceny rynkowej oraz obowiązku dokumentacyjnego do pośrednich transakcji rajowych wyrażonych obecnie w art. 11i pkt 2 i art. 11o ust. 1a i 1b ustawy CIT oraz w art. 23u pkt 2 i art. 23za ust. 1a i 1b ustawy PIT. Przepisy te w praktyce nie realizowałyby bowiem skutecznie zakładanych celów.</w:t>
      </w:r>
    </w:p>
    <w:p w14:paraId="0662A203"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i/>
          <w:sz w:val="24"/>
          <w:szCs w:val="24"/>
          <w:u w:val="single"/>
          <w:lang w:eastAsia="pl-PL"/>
        </w:rPr>
      </w:pPr>
      <w:r w:rsidRPr="00A720EE">
        <w:rPr>
          <w:rFonts w:ascii="Times New Roman" w:eastAsiaTheme="minorEastAsia" w:hAnsi="Times New Roman" w:cs="Times New Roman"/>
          <w:i/>
          <w:sz w:val="24"/>
          <w:szCs w:val="24"/>
          <w:u w:val="single"/>
          <w:lang w:eastAsia="pl-PL"/>
        </w:rPr>
        <w:t>Podniesienie progów dokumentacyjnych dla bezpośrednich transakcji rajowych</w:t>
      </w:r>
    </w:p>
    <w:p w14:paraId="10EDF973" w14:textId="3AB5657A" w:rsidR="007D3892"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Przewidziane w przepisach art. 11o ust. 1 ustawy CIT oraz art. 23za ust. 1 ustawy PIT progi istotności, których przekroczenie powoduje powstanie obowiązku </w:t>
      </w:r>
      <w:r w:rsidR="003367A8" w:rsidRPr="00A720EE">
        <w:rPr>
          <w:rFonts w:ascii="Times New Roman" w:eastAsiaTheme="minorEastAsia" w:hAnsi="Times New Roman" w:cs="Times New Roman"/>
          <w:sz w:val="24"/>
          <w:szCs w:val="24"/>
          <w:lang w:eastAsia="pl-PL"/>
        </w:rPr>
        <w:t>dokumentacyjnego</w:t>
      </w:r>
      <w:r w:rsidRPr="00A720EE">
        <w:rPr>
          <w:rFonts w:ascii="Times New Roman" w:eastAsiaTheme="minorEastAsia" w:hAnsi="Times New Roman" w:cs="Times New Roman"/>
          <w:sz w:val="24"/>
          <w:szCs w:val="24"/>
          <w:lang w:eastAsia="pl-PL"/>
        </w:rPr>
        <w:t>, wymagają urealnienia</w:t>
      </w:r>
      <w:r w:rsidR="007D3892" w:rsidRPr="00A720EE">
        <w:rPr>
          <w:rFonts w:ascii="Times New Roman" w:eastAsiaTheme="minorEastAsia" w:hAnsi="Times New Roman" w:cs="Times New Roman"/>
          <w:sz w:val="24"/>
          <w:szCs w:val="24"/>
          <w:lang w:eastAsia="pl-PL"/>
        </w:rPr>
        <w:t xml:space="preserve"> do zmienionych na przestrzeni lat warunków gospodarczych</w:t>
      </w:r>
      <w:r w:rsidRPr="00A720EE">
        <w:rPr>
          <w:rFonts w:ascii="Times New Roman" w:eastAsiaTheme="minorEastAsia" w:hAnsi="Times New Roman" w:cs="Times New Roman"/>
          <w:sz w:val="24"/>
          <w:szCs w:val="24"/>
          <w:lang w:eastAsia="pl-PL"/>
        </w:rPr>
        <w:t xml:space="preserve">. W przypadku </w:t>
      </w:r>
      <w:r w:rsidR="007D3892" w:rsidRPr="00A720EE">
        <w:rPr>
          <w:rFonts w:ascii="Times New Roman" w:eastAsiaTheme="minorEastAsia" w:hAnsi="Times New Roman" w:cs="Times New Roman"/>
          <w:sz w:val="24"/>
          <w:szCs w:val="24"/>
          <w:lang w:eastAsia="pl-PL"/>
        </w:rPr>
        <w:t xml:space="preserve">bezpośrednich transakcji rajowych </w:t>
      </w:r>
      <w:r w:rsidRPr="00A720EE">
        <w:rPr>
          <w:rFonts w:ascii="Times New Roman" w:eastAsiaTheme="minorEastAsia" w:hAnsi="Times New Roman" w:cs="Times New Roman"/>
          <w:sz w:val="24"/>
          <w:szCs w:val="24"/>
          <w:lang w:eastAsia="pl-PL"/>
        </w:rPr>
        <w:t xml:space="preserve">innych niż kontrolowane proponuje się podniesienie dokumentacyjnego progu istotności. Projekt przewiduje, aby podstawowy próg istotności wynosił 500 tys. zł, jednakże dla transakcji finansowych był on pięciokrotnie wyższy </w:t>
      </w:r>
      <w:r w:rsidRPr="00A720EE">
        <w:rPr>
          <w:rFonts w:ascii="Times New Roman" w:eastAsiaTheme="minorEastAsia" w:hAnsi="Times New Roman" w:cs="Times New Roman"/>
          <w:sz w:val="24"/>
          <w:szCs w:val="24"/>
          <w:lang w:eastAsia="pl-PL"/>
        </w:rPr>
        <w:lastRenderedPageBreak/>
        <w:t>i wyniósł 2,5 mln zł. Rozwiązanie to przyczyni się do znacznego ograniczenia obowiązków dokumentacyjnych w szczególności w przypadku transakcji finansowych, których wartość na poziomie odpowiadającym obecnie obwiązując</w:t>
      </w:r>
      <w:r w:rsidR="003367A8" w:rsidRPr="00A720EE">
        <w:rPr>
          <w:rFonts w:ascii="Times New Roman" w:eastAsiaTheme="minorEastAsia" w:hAnsi="Times New Roman" w:cs="Times New Roman"/>
          <w:sz w:val="24"/>
          <w:szCs w:val="24"/>
          <w:lang w:eastAsia="pl-PL"/>
        </w:rPr>
        <w:t>emu</w:t>
      </w:r>
      <w:r w:rsidRPr="00A720EE">
        <w:rPr>
          <w:rFonts w:ascii="Times New Roman" w:eastAsiaTheme="minorEastAsia" w:hAnsi="Times New Roman" w:cs="Times New Roman"/>
          <w:sz w:val="24"/>
          <w:szCs w:val="24"/>
          <w:lang w:eastAsia="pl-PL"/>
        </w:rPr>
        <w:t xml:space="preserve"> prog</w:t>
      </w:r>
      <w:r w:rsidR="003367A8" w:rsidRPr="00A720EE">
        <w:rPr>
          <w:rFonts w:ascii="Times New Roman" w:eastAsiaTheme="minorEastAsia" w:hAnsi="Times New Roman" w:cs="Times New Roman"/>
          <w:sz w:val="24"/>
          <w:szCs w:val="24"/>
          <w:lang w:eastAsia="pl-PL"/>
        </w:rPr>
        <w:t>owi</w:t>
      </w:r>
      <w:r w:rsidRPr="00A720EE">
        <w:rPr>
          <w:rFonts w:ascii="Times New Roman" w:eastAsiaTheme="minorEastAsia" w:hAnsi="Times New Roman" w:cs="Times New Roman"/>
          <w:sz w:val="24"/>
          <w:szCs w:val="24"/>
          <w:lang w:eastAsia="pl-PL"/>
        </w:rPr>
        <w:t xml:space="preserve"> </w:t>
      </w:r>
      <w:r w:rsidR="003367A8" w:rsidRPr="00A720EE">
        <w:rPr>
          <w:rFonts w:ascii="Times New Roman" w:eastAsiaTheme="minorEastAsia" w:hAnsi="Times New Roman" w:cs="Times New Roman"/>
          <w:sz w:val="24"/>
          <w:szCs w:val="24"/>
          <w:lang w:eastAsia="pl-PL"/>
        </w:rPr>
        <w:t>dokumentacyjnemu</w:t>
      </w:r>
      <w:r w:rsidRPr="00A720EE">
        <w:rPr>
          <w:rFonts w:ascii="Times New Roman" w:eastAsiaTheme="minorEastAsia" w:hAnsi="Times New Roman" w:cs="Times New Roman"/>
          <w:sz w:val="24"/>
          <w:szCs w:val="24"/>
          <w:lang w:eastAsia="pl-PL"/>
        </w:rPr>
        <w:t xml:space="preserve"> w praktyce nie generowałaby na tyle istotnych przesunięć dochodów do rajów podatkowych, które uzasadniałyby nałożenie na nie obowiązku dokumentacyjnego.</w:t>
      </w:r>
    </w:p>
    <w:p w14:paraId="148778A3"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i/>
          <w:sz w:val="24"/>
          <w:szCs w:val="24"/>
          <w:u w:val="single"/>
          <w:lang w:eastAsia="pl-PL"/>
        </w:rPr>
      </w:pPr>
      <w:r w:rsidRPr="00A720EE">
        <w:rPr>
          <w:rFonts w:ascii="Times New Roman" w:eastAsiaTheme="minorEastAsia" w:hAnsi="Times New Roman" w:cs="Times New Roman"/>
          <w:i/>
          <w:sz w:val="24"/>
          <w:szCs w:val="24"/>
          <w:u w:val="single"/>
          <w:lang w:eastAsia="pl-PL"/>
        </w:rPr>
        <w:t>Pozostałe zmiany w zakresie dokumentacji transakcji rajowych</w:t>
      </w:r>
    </w:p>
    <w:p w14:paraId="2C2BC01C"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 projekcie zaproponowano również zmiany doprecyzowujące oraz będące konsekwencją innych wprowadzonych zmian przepisów.</w:t>
      </w:r>
    </w:p>
    <w:p w14:paraId="2575C32C"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Doprecyzowano treść art. 11b pkt 1 ustawy CIT oraz 23n ustawy PIT. Wyłączenie przepisów rozdziałów ustaw podatkowych w zakresie cen transferowych do transakcji kontrolowanych, w których cena lub sposób określenia ceny przedmiotu takiej transakcji kontrolowanej wynika z przepisów ustaw lub wydanych na ich podstawie aktów normatywnych, powinno mieć zastosowanie również dla transakcji innych niż kontrolowane. Przepisy o cenach transferowych obejmują bowiem incydentalnie również transakcje inne niż kontrolowane.</w:t>
      </w:r>
    </w:p>
    <w:p w14:paraId="31CD3006" w14:textId="77777777" w:rsidR="00DD679D" w:rsidRPr="00A720EE" w:rsidRDefault="00DD679D" w:rsidP="00DD679D">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Zmieniona została treść ust. 2a w art. 11k ustawy CIT (odpowiednio w art. 23w ustawy PIT) dotyczącego obowiązku dokumentacyjnego w zakresie bezpośrednich rajowych transakcji kontrolowanych. Podniesione zostały dokumentacyjne progi istotności adekwatnie do progów przewidzianych dla bezpośrednich transakcji rajowych innych niż kontrolowane (500 tys. zł – próg podstawowy i 2,5 mln zł – próg dla transakcji finansowych).</w:t>
      </w:r>
    </w:p>
    <w:p w14:paraId="5651CC9B" w14:textId="1FC4A18D" w:rsidR="00DD679D" w:rsidRPr="00A720EE" w:rsidRDefault="00DD679D" w:rsidP="000151A2">
      <w:pPr>
        <w:widowControl w:val="0"/>
        <w:autoSpaceDE w:val="0"/>
        <w:autoSpaceDN w:val="0"/>
        <w:adjustRightInd w:val="0"/>
        <w:spacing w:after="12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sz w:val="24"/>
          <w:szCs w:val="24"/>
          <w:lang w:eastAsia="pl-PL"/>
        </w:rPr>
        <w:t>Zaproponowano również wprowadzenie przepisu przejściowego, który zezwalałby na wybór retroaktywnego stosowania zaproponowanych rozwiązań, do transakcji rozpoczętych i niezakończonych przed 1 stycznia 2021 r. oraz transakcji zawartych po 31 grudnia 2020 r. Zaproponowane przepisy łagodzą rygory związane z doku</w:t>
      </w:r>
      <w:r w:rsidR="00042AB5" w:rsidRPr="00A720EE">
        <w:rPr>
          <w:rFonts w:ascii="Times New Roman" w:eastAsiaTheme="minorEastAsia" w:hAnsi="Times New Roman" w:cs="Times New Roman"/>
          <w:sz w:val="24"/>
          <w:szCs w:val="24"/>
          <w:lang w:eastAsia="pl-PL"/>
        </w:rPr>
        <w:t>mentowaniem transakcji rajowych</w:t>
      </w:r>
      <w:r w:rsidRPr="00A720EE">
        <w:rPr>
          <w:rFonts w:ascii="Times New Roman" w:eastAsiaTheme="minorEastAsia" w:hAnsi="Times New Roman" w:cs="Times New Roman"/>
          <w:sz w:val="24"/>
          <w:szCs w:val="24"/>
          <w:lang w:eastAsia="pl-PL"/>
        </w:rPr>
        <w:t xml:space="preserve"> zatem ich wsteczne </w:t>
      </w:r>
      <w:r w:rsidR="003367A8" w:rsidRPr="00A720EE">
        <w:rPr>
          <w:rFonts w:ascii="Times New Roman" w:eastAsiaTheme="minorEastAsia" w:hAnsi="Times New Roman" w:cs="Times New Roman"/>
          <w:sz w:val="24"/>
          <w:szCs w:val="24"/>
          <w:lang w:eastAsia="pl-PL"/>
        </w:rPr>
        <w:t xml:space="preserve">zastosowanie </w:t>
      </w:r>
      <w:r w:rsidR="007D3892" w:rsidRPr="00A720EE">
        <w:rPr>
          <w:rFonts w:ascii="Times New Roman" w:eastAsiaTheme="minorEastAsia" w:hAnsi="Times New Roman" w:cs="Times New Roman"/>
          <w:sz w:val="24"/>
          <w:szCs w:val="24"/>
          <w:lang w:eastAsia="pl-PL"/>
        </w:rPr>
        <w:t xml:space="preserve">nie narusza standardów konstytucyjnych. </w:t>
      </w:r>
    </w:p>
    <w:p w14:paraId="1B2330D3" w14:textId="771577F1" w:rsidR="00CF7BE5" w:rsidRPr="00A720EE" w:rsidRDefault="00D7556F" w:rsidP="00007288">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5</w:t>
      </w:r>
      <w:r w:rsidR="00210406" w:rsidRPr="00A720EE">
        <w:rPr>
          <w:rFonts w:ascii="Times New Roman" w:eastAsiaTheme="minorEastAsia" w:hAnsi="Times New Roman" w:cs="Times New Roman"/>
          <w:b/>
          <w:color w:val="000000" w:themeColor="text1"/>
          <w:sz w:val="24"/>
          <w:szCs w:val="24"/>
          <w:lang w:eastAsia="pl-PL"/>
        </w:rPr>
        <w:t>)</w:t>
      </w:r>
      <w:r w:rsidR="00FF1640" w:rsidRPr="00A720EE">
        <w:rPr>
          <w:rFonts w:ascii="Times New Roman" w:eastAsiaTheme="minorEastAsia" w:hAnsi="Times New Roman" w:cs="Times New Roman"/>
          <w:b/>
          <w:color w:val="000000" w:themeColor="text1"/>
          <w:sz w:val="24"/>
          <w:szCs w:val="24"/>
          <w:lang w:eastAsia="pl-PL"/>
        </w:rPr>
        <w:t xml:space="preserve"> </w:t>
      </w:r>
      <w:r w:rsidR="00CF7BE5" w:rsidRPr="00A720EE">
        <w:rPr>
          <w:rFonts w:ascii="Times New Roman" w:eastAsiaTheme="minorEastAsia" w:hAnsi="Times New Roman" w:cs="Times New Roman"/>
          <w:b/>
          <w:color w:val="000000" w:themeColor="text1"/>
          <w:sz w:val="24"/>
          <w:szCs w:val="24"/>
          <w:lang w:eastAsia="pl-PL"/>
        </w:rPr>
        <w:t>Zmiana przepisów o zagranicznych jednostkach kontrolowanych (</w:t>
      </w:r>
      <w:r w:rsidR="00096A5F" w:rsidRPr="00A720EE">
        <w:rPr>
          <w:rFonts w:ascii="Times New Roman" w:eastAsiaTheme="minorEastAsia" w:hAnsi="Times New Roman" w:cs="Times New Roman"/>
          <w:b/>
          <w:color w:val="000000" w:themeColor="text1"/>
          <w:sz w:val="24"/>
          <w:szCs w:val="24"/>
          <w:lang w:eastAsia="pl-PL"/>
        </w:rPr>
        <w:t xml:space="preserve">ustawa </w:t>
      </w:r>
      <w:r w:rsidR="00CF7BE5" w:rsidRPr="00A720EE">
        <w:rPr>
          <w:rFonts w:ascii="Times New Roman" w:eastAsiaTheme="minorEastAsia" w:hAnsi="Times New Roman" w:cs="Times New Roman"/>
          <w:b/>
          <w:color w:val="000000" w:themeColor="text1"/>
          <w:sz w:val="24"/>
          <w:szCs w:val="24"/>
          <w:lang w:eastAsia="pl-PL"/>
        </w:rPr>
        <w:t>CIT i PIT)</w:t>
      </w:r>
    </w:p>
    <w:p w14:paraId="3014D250" w14:textId="77777777" w:rsidR="00A22700" w:rsidRPr="00A720EE" w:rsidRDefault="00A22700" w:rsidP="00A22700">
      <w:pPr>
        <w:pStyle w:val="Akapitzlist"/>
        <w:spacing w:before="120" w:line="276" w:lineRule="auto"/>
        <w:ind w:left="0"/>
        <w:contextualSpacing w:val="0"/>
        <w:jc w:val="both"/>
        <w:rPr>
          <w:rFonts w:ascii="Times New Roman" w:hAnsi="Times New Roman" w:cs="Times New Roman"/>
          <w:sz w:val="24"/>
          <w:szCs w:val="24"/>
        </w:rPr>
      </w:pPr>
      <w:r w:rsidRPr="00A720EE">
        <w:rPr>
          <w:rFonts w:ascii="Times New Roman" w:hAnsi="Times New Roman" w:cs="Times New Roman"/>
          <w:sz w:val="24"/>
          <w:szCs w:val="24"/>
        </w:rPr>
        <w:t xml:space="preserve">Proponuje się zmianę przepisów o zagranicznych jednostkach kontrolowanych (CFC) </w:t>
      </w:r>
      <w:r w:rsidR="004E411E" w:rsidRPr="00A720EE">
        <w:rPr>
          <w:rFonts w:ascii="Times New Roman" w:hAnsi="Times New Roman" w:cs="Times New Roman"/>
          <w:sz w:val="24"/>
          <w:szCs w:val="24"/>
        </w:rPr>
        <w:br/>
      </w:r>
      <w:r w:rsidRPr="00A720EE">
        <w:rPr>
          <w:rFonts w:ascii="Times New Roman" w:hAnsi="Times New Roman" w:cs="Times New Roman"/>
          <w:sz w:val="24"/>
          <w:szCs w:val="24"/>
        </w:rPr>
        <w:t xml:space="preserve">w następującym zakresie: </w:t>
      </w:r>
    </w:p>
    <w:p w14:paraId="707BAE2A" w14:textId="0DA7584F" w:rsidR="00A22700" w:rsidRPr="00A720EE" w:rsidRDefault="0032515D" w:rsidP="00683BAD">
      <w:pPr>
        <w:pStyle w:val="Akapitzlist"/>
        <w:numPr>
          <w:ilvl w:val="0"/>
          <w:numId w:val="7"/>
        </w:numPr>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rPr>
        <w:t>doprecyzowanie sposobu ustalania dochodu zagranicznej jednostki kontrolowanej (art. 24a ust. 6c ustawy CIT) w zakresie uwzględniania przychodów i kosztów spółek niebędących osobami prawnymi oraz braku stosowania</w:t>
      </w:r>
      <w:r w:rsidR="000F2167" w:rsidRPr="00A720EE">
        <w:rPr>
          <w:rFonts w:ascii="Times New Roman" w:hAnsi="Times New Roman" w:cs="Times New Roman"/>
          <w:sz w:val="24"/>
          <w:szCs w:val="24"/>
        </w:rPr>
        <w:t xml:space="preserve"> ulg i zwolnień wynikających z ustawy CIT, z wyjątkiem określonych w przepisach o CFC</w:t>
      </w:r>
      <w:r w:rsidRPr="00A720EE">
        <w:rPr>
          <w:rFonts w:ascii="Times New Roman" w:hAnsi="Times New Roman" w:cs="Times New Roman"/>
          <w:sz w:val="24"/>
          <w:szCs w:val="24"/>
        </w:rPr>
        <w:t>,</w:t>
      </w:r>
    </w:p>
    <w:p w14:paraId="53D57A0B" w14:textId="77777777" w:rsidR="00A22700" w:rsidRPr="00A720EE" w:rsidRDefault="00A22700" w:rsidP="00683BAD">
      <w:pPr>
        <w:pStyle w:val="Akapitzlist"/>
        <w:numPr>
          <w:ilvl w:val="0"/>
          <w:numId w:val="7"/>
        </w:numPr>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doprecyzowanie jednej z przesłanek </w:t>
      </w:r>
      <w:r w:rsidR="004E411E" w:rsidRPr="00A720EE">
        <w:rPr>
          <w:rFonts w:ascii="Times New Roman" w:hAnsi="Times New Roman" w:cs="Times New Roman"/>
          <w:sz w:val="24"/>
          <w:szCs w:val="24"/>
        </w:rPr>
        <w:t>konstytuujących</w:t>
      </w:r>
      <w:r w:rsidRPr="00A720EE">
        <w:rPr>
          <w:rFonts w:ascii="Times New Roman" w:hAnsi="Times New Roman" w:cs="Times New Roman"/>
          <w:sz w:val="24"/>
          <w:szCs w:val="24"/>
        </w:rPr>
        <w:t xml:space="preserve"> zagraniczną jednostkę kontrolowaną</w:t>
      </w:r>
      <w:r w:rsidR="004E411E" w:rsidRPr="00A720EE">
        <w:rPr>
          <w:rFonts w:ascii="Times New Roman" w:hAnsi="Times New Roman" w:cs="Times New Roman"/>
          <w:sz w:val="24"/>
          <w:szCs w:val="24"/>
        </w:rPr>
        <w:t>,</w:t>
      </w:r>
      <w:r w:rsidRPr="00A720EE">
        <w:rPr>
          <w:rFonts w:ascii="Times New Roman" w:hAnsi="Times New Roman" w:cs="Times New Roman"/>
          <w:sz w:val="24"/>
          <w:szCs w:val="24"/>
        </w:rPr>
        <w:t xml:space="preserve"> określonej w art. 24a ust. 3 pkt 5</w:t>
      </w:r>
      <w:r w:rsidR="004E411E" w:rsidRPr="00A720EE">
        <w:rPr>
          <w:rFonts w:ascii="Times New Roman" w:hAnsi="Times New Roman" w:cs="Times New Roman"/>
          <w:sz w:val="24"/>
          <w:szCs w:val="24"/>
        </w:rPr>
        <w:t xml:space="preserve"> ustawy CIT</w:t>
      </w:r>
      <w:r w:rsidRPr="00A720EE">
        <w:rPr>
          <w:rFonts w:ascii="Times New Roman" w:hAnsi="Times New Roman" w:cs="Times New Roman"/>
          <w:sz w:val="24"/>
          <w:szCs w:val="24"/>
        </w:rPr>
        <w:t xml:space="preserve"> (tj. przesłanki dotyczącej wysokiej rentowności zagranicznej jednostki w stosunku do posiadanych aktywów) w przypadku potencjalnego zbycia aktywów w trakcie roku (art. 24a ust. 3f</w:t>
      </w:r>
      <w:r w:rsidR="004E411E" w:rsidRPr="00A720EE">
        <w:rPr>
          <w:rFonts w:ascii="Times New Roman" w:hAnsi="Times New Roman" w:cs="Times New Roman"/>
          <w:sz w:val="24"/>
          <w:szCs w:val="24"/>
        </w:rPr>
        <w:t xml:space="preserve"> ustawy CIT</w:t>
      </w:r>
      <w:r w:rsidRPr="00A720EE">
        <w:rPr>
          <w:rFonts w:ascii="Times New Roman" w:hAnsi="Times New Roman" w:cs="Times New Roman"/>
          <w:sz w:val="24"/>
          <w:szCs w:val="24"/>
        </w:rPr>
        <w:t>),</w:t>
      </w:r>
    </w:p>
    <w:p w14:paraId="3FB7CA58" w14:textId="77777777" w:rsidR="00286EC5" w:rsidRPr="00A720EE" w:rsidRDefault="00A22700" w:rsidP="00683BAD">
      <w:pPr>
        <w:pStyle w:val="Akapitzlist"/>
        <w:numPr>
          <w:ilvl w:val="0"/>
          <w:numId w:val="7"/>
        </w:numPr>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rPr>
        <w:t>doprecyzowanie definicji jednostki zależnej (art. 24a ust. 2 pkt 3</w:t>
      </w:r>
      <w:r w:rsidR="004E411E" w:rsidRPr="00A720EE">
        <w:rPr>
          <w:rFonts w:ascii="Times New Roman" w:hAnsi="Times New Roman" w:cs="Times New Roman"/>
          <w:sz w:val="24"/>
          <w:szCs w:val="24"/>
        </w:rPr>
        <w:t xml:space="preserve"> ustawy CIT</w:t>
      </w:r>
      <w:r w:rsidRPr="00A720EE">
        <w:rPr>
          <w:rFonts w:ascii="Times New Roman" w:hAnsi="Times New Roman" w:cs="Times New Roman"/>
          <w:sz w:val="24"/>
          <w:szCs w:val="24"/>
        </w:rPr>
        <w:t xml:space="preserve">) – jest </w:t>
      </w:r>
      <w:r w:rsidR="004E411E" w:rsidRPr="00A720EE">
        <w:rPr>
          <w:rFonts w:ascii="Times New Roman" w:hAnsi="Times New Roman" w:cs="Times New Roman"/>
          <w:sz w:val="24"/>
          <w:szCs w:val="24"/>
        </w:rPr>
        <w:t xml:space="preserve"> to </w:t>
      </w:r>
      <w:r w:rsidRPr="00A720EE">
        <w:rPr>
          <w:rFonts w:ascii="Times New Roman" w:hAnsi="Times New Roman" w:cs="Times New Roman"/>
          <w:sz w:val="24"/>
          <w:szCs w:val="24"/>
        </w:rPr>
        <w:t>zmiana o charakterze redakcyjnym / uzupełniającym</w:t>
      </w:r>
      <w:r w:rsidR="00286EC5" w:rsidRPr="00A720EE">
        <w:rPr>
          <w:rFonts w:ascii="Times New Roman" w:hAnsi="Times New Roman" w:cs="Times New Roman"/>
          <w:sz w:val="24"/>
          <w:szCs w:val="24"/>
        </w:rPr>
        <w:t>,</w:t>
      </w:r>
    </w:p>
    <w:p w14:paraId="08DA5D5A" w14:textId="67F376A2" w:rsidR="00A22700" w:rsidRPr="00A720EE" w:rsidRDefault="00286EC5" w:rsidP="00683BAD">
      <w:pPr>
        <w:pStyle w:val="Akapitzlist"/>
        <w:numPr>
          <w:ilvl w:val="0"/>
          <w:numId w:val="7"/>
        </w:numPr>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zmiana art. 24a ust. 3a, dotyczącego sposobu wyliczania różnicy pomiędzy faktycznie zapłaconym przez zagraniczną jednostkę kontrolowaną a podatkiem, który byłby </w:t>
      </w:r>
      <w:r w:rsidRPr="00A720EE">
        <w:rPr>
          <w:rFonts w:ascii="Times New Roman" w:hAnsi="Times New Roman" w:cs="Times New Roman"/>
          <w:sz w:val="24"/>
          <w:szCs w:val="24"/>
        </w:rPr>
        <w:lastRenderedPageBreak/>
        <w:t>zapłacony przez polskiego podatnika – zmiana ma na celu uzupełnienie przepisu o dodatkowe przesłanki konstytuujące CFC wprowadzone ustawą z 21 października 2021.</w:t>
      </w:r>
    </w:p>
    <w:p w14:paraId="2E9457D1" w14:textId="77777777" w:rsidR="0032515D" w:rsidRPr="00A720EE" w:rsidRDefault="0032515D" w:rsidP="0032515D">
      <w:pPr>
        <w:spacing w:line="276" w:lineRule="auto"/>
        <w:jc w:val="both"/>
        <w:rPr>
          <w:rFonts w:ascii="Times New Roman" w:hAnsi="Times New Roman" w:cs="Times New Roman"/>
          <w:i/>
          <w:sz w:val="24"/>
          <w:szCs w:val="24"/>
          <w:u w:val="single"/>
        </w:rPr>
      </w:pPr>
      <w:r w:rsidRPr="00A720EE">
        <w:rPr>
          <w:rFonts w:ascii="Times New Roman" w:hAnsi="Times New Roman" w:cs="Times New Roman"/>
          <w:i/>
          <w:sz w:val="24"/>
          <w:szCs w:val="24"/>
          <w:u w:val="single"/>
        </w:rPr>
        <w:t>Ustalanie dochodu zagranicznej jednostki kontrolowanej</w:t>
      </w:r>
    </w:p>
    <w:p w14:paraId="04ECC5AD" w14:textId="50A98693" w:rsidR="0032515D" w:rsidRPr="00A720EE" w:rsidRDefault="0032515D" w:rsidP="000151A2">
      <w:pPr>
        <w:autoSpaceDE w:val="0"/>
        <w:autoSpaceDN w:val="0"/>
        <w:adjustRightInd w:val="0"/>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Przepisy o zagranicznych jednostkach kontrolowanych stanowią regulacje szczególne, o anty-abuzywnym charakterze. Stanowią istotne odstępstwo od zasady terytorialności, stanowiącej paradygmat wykonywania władztwa podatkowego w ramach jurysdykcji danego państwa. Z technicznego punktu widzenia opodatkowaniu podlega zysk osiągnięty przez podmiot, na którym nie ciąży obowiązek podatkowy stosownie do treści art. 3 ustawy CIT. Zysk ten jednak, z uwagi na zakwalifikowanie go jako sztucznie wytransferowanego z polskiego systemu, podlega przypisaniu do podmiotu podlegającego polskiemu władztwu podatkowemu.</w:t>
      </w:r>
    </w:p>
    <w:p w14:paraId="0A683992" w14:textId="77777777" w:rsidR="0032515D" w:rsidRPr="00A720EE" w:rsidRDefault="0032515D" w:rsidP="0032515D">
      <w:pPr>
        <w:autoSpaceDE w:val="0"/>
        <w:autoSpaceDN w:val="0"/>
        <w:adjustRightInd w:val="0"/>
        <w:spacing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Powyższy szczególny charakter reżimu opodatkowania dochodów podatników uzyskiwanych za pośrednictwem zagranicznej jednostki kontrolowanej znajduje swój wyraz w szeregu cech odróżniających ten reżim od wszelkich pozostałych kategorii dochodów, które zostały przewidziane w ustawie CIT. W szczególności, przepisy poświęcone zagranicznym jednostkom kontrolowanym dysponują samodzielną definicją podstawy opodatkowania, ustalaną w sposób odbiegający od wskazań płynących z ogólnych zasad, sformułowanych w art. 18 ustawy CIT, oraz samodzielną definicją dochodu.</w:t>
      </w:r>
    </w:p>
    <w:p w14:paraId="5B754099" w14:textId="77777777" w:rsidR="0032515D" w:rsidRPr="00A720EE" w:rsidRDefault="0032515D" w:rsidP="0032515D">
      <w:pPr>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shd w:val="clear" w:color="auto" w:fill="FFFFFF"/>
        </w:rPr>
        <w:t>W świetle art. 24a ust. 6 ustawy CIT dochodem zagranicznej jednostki kontrolowanej jest, co do zasady, uzyskana w roku podatkowym nadwyżka sumy przychodów nad kosztami ich uzyskania, ustalonymi zgodnie z przepisami ustawy, bez względu na rodzaj źródeł przychodów, ustalona na ostatni dzień roku podatkowego zagranicznej jednostki kontrolowanej. Dochód zagranicznej jednostki kontrolowanej nie podlega pomniejszeniu o straty poniesione w latach poprzednich, co jest - podobnie jak brak wyszczególniania źródeł przychodu - wyrazem szczególnego reżimu właściwego dla zagranicznych jednostek kontrolowanych.</w:t>
      </w:r>
    </w:p>
    <w:p w14:paraId="3C3C0E04" w14:textId="77777777" w:rsidR="0032515D" w:rsidRPr="00A720EE" w:rsidRDefault="0032515D" w:rsidP="0032515D">
      <w:pPr>
        <w:pStyle w:val="LITlitera"/>
        <w:spacing w:after="120" w:line="276" w:lineRule="auto"/>
        <w:ind w:left="0" w:firstLine="0"/>
        <w:rPr>
          <w:rFonts w:ascii="Times New Roman" w:hAnsi="Times New Roman" w:cs="Times New Roman"/>
          <w:szCs w:val="24"/>
        </w:rPr>
      </w:pPr>
      <w:r w:rsidRPr="00A720EE">
        <w:rPr>
          <w:rFonts w:ascii="Times New Roman" w:hAnsi="Times New Roman" w:cs="Times New Roman"/>
          <w:szCs w:val="24"/>
        </w:rPr>
        <w:t>Z uwagi jednakże na wątpliwości, które wyniknęły m.in. z orzecznictwa niektórych sądów administracyjnych, konieczne jest doprecyzowanie sposobu ustalania dochodu zagranicznej jednostki kontrolowanej. W tym zakresie proponuje się przepis zawarty w nowym ust. 6c, który potwierdza, iż dla celów ustalania dochodu zagranicznej jednostki kontrolowanej:</w:t>
      </w:r>
    </w:p>
    <w:p w14:paraId="66F28086" w14:textId="77777777" w:rsidR="0032515D" w:rsidRPr="00A720EE" w:rsidRDefault="0032515D" w:rsidP="00683BAD">
      <w:pPr>
        <w:pStyle w:val="LITlitera"/>
        <w:numPr>
          <w:ilvl w:val="0"/>
          <w:numId w:val="17"/>
        </w:numPr>
        <w:spacing w:after="120" w:line="276" w:lineRule="auto"/>
        <w:ind w:hanging="357"/>
        <w:rPr>
          <w:rFonts w:ascii="Times New Roman" w:hAnsi="Times New Roman" w:cs="Times New Roman"/>
          <w:szCs w:val="24"/>
        </w:rPr>
      </w:pPr>
      <w:r w:rsidRPr="00A720EE">
        <w:rPr>
          <w:rFonts w:ascii="Times New Roman" w:hAnsi="Times New Roman" w:cs="Times New Roman"/>
          <w:szCs w:val="24"/>
        </w:rPr>
        <w:t xml:space="preserve">uwzględnia się również przychody i koszty przypisane zgodnie z art. 5 ustawy CIT, tj. w szczególności: </w:t>
      </w:r>
    </w:p>
    <w:p w14:paraId="0039830E" w14:textId="77777777" w:rsidR="0032515D" w:rsidRPr="00A720EE" w:rsidRDefault="0032515D" w:rsidP="00683BAD">
      <w:pPr>
        <w:pStyle w:val="LITlitera"/>
        <w:numPr>
          <w:ilvl w:val="1"/>
          <w:numId w:val="48"/>
        </w:numPr>
        <w:spacing w:after="120" w:line="276" w:lineRule="auto"/>
        <w:rPr>
          <w:rFonts w:ascii="Times New Roman" w:hAnsi="Times New Roman" w:cs="Times New Roman"/>
          <w:szCs w:val="24"/>
        </w:rPr>
      </w:pPr>
      <w:r w:rsidRPr="00A720EE">
        <w:rPr>
          <w:rFonts w:ascii="Times New Roman" w:hAnsi="Times New Roman" w:cs="Times New Roman"/>
          <w:szCs w:val="24"/>
        </w:rPr>
        <w:t>podatnikowi przypisuje się przychody z udziału w spółce niebędącej osobą prawną i odpowiadające im koszty w przypadku, gdy ta spółka niebędąca osobą prawną posiada odpowiednie udziały lub prawa głosu w zagranicznej jednostce kontrolowanej, lub sprawuje nad nią kontrolę faktyczną (w efekcie, podatnik jest zobowiązany do zapłaty podatku z tytułu kontroli nad zagraniczną jednostką kontrolowaną, jeżeli kontrola ta sprawowana jest za pośrednictwem spółki niebędącej osobą prawną);</w:t>
      </w:r>
    </w:p>
    <w:p w14:paraId="3965528E" w14:textId="77777777" w:rsidR="0032515D" w:rsidRPr="00A720EE" w:rsidRDefault="0032515D" w:rsidP="00683BAD">
      <w:pPr>
        <w:pStyle w:val="LITlitera"/>
        <w:numPr>
          <w:ilvl w:val="1"/>
          <w:numId w:val="48"/>
        </w:numPr>
        <w:spacing w:after="120" w:line="276" w:lineRule="auto"/>
        <w:rPr>
          <w:rFonts w:ascii="Times New Roman" w:hAnsi="Times New Roman" w:cs="Times New Roman"/>
          <w:szCs w:val="24"/>
        </w:rPr>
      </w:pPr>
      <w:r w:rsidRPr="00A720EE">
        <w:rPr>
          <w:rFonts w:ascii="Times New Roman" w:hAnsi="Times New Roman" w:cs="Times New Roman"/>
          <w:szCs w:val="24"/>
        </w:rPr>
        <w:lastRenderedPageBreak/>
        <w:t>zagranicznej jednostce kontrolowanej przypisuje się przychody z udziału w spółce niebędącej osobą prawną i odpowiadające im koszty.</w:t>
      </w:r>
    </w:p>
    <w:p w14:paraId="7F1CDA57" w14:textId="77777777" w:rsidR="0032515D" w:rsidRPr="00A720EE" w:rsidRDefault="000F2167" w:rsidP="00683BAD">
      <w:pPr>
        <w:pStyle w:val="LITlitera"/>
        <w:numPr>
          <w:ilvl w:val="0"/>
          <w:numId w:val="17"/>
        </w:numPr>
        <w:spacing w:after="120" w:line="276" w:lineRule="auto"/>
        <w:ind w:hanging="357"/>
        <w:rPr>
          <w:rFonts w:ascii="Times New Roman" w:hAnsi="Times New Roman" w:cs="Times New Roman"/>
          <w:szCs w:val="24"/>
        </w:rPr>
      </w:pPr>
      <w:r w:rsidRPr="00A720EE">
        <w:rPr>
          <w:rFonts w:ascii="Times New Roman" w:hAnsi="Times New Roman" w:cs="Times New Roman"/>
          <w:szCs w:val="24"/>
        </w:rPr>
        <w:t>nie stosuje się ulg i zwolnień wynikających z ustawy CIT, z wyjątkiem określonych w przepisach o CFC</w:t>
      </w:r>
      <w:r w:rsidR="0032515D" w:rsidRPr="00A720EE">
        <w:rPr>
          <w:rFonts w:ascii="Times New Roman" w:hAnsi="Times New Roman" w:cs="Times New Roman"/>
          <w:szCs w:val="24"/>
        </w:rPr>
        <w:t xml:space="preserve">, </w:t>
      </w:r>
      <w:r w:rsidRPr="00A720EE">
        <w:rPr>
          <w:rFonts w:ascii="Times New Roman" w:hAnsi="Times New Roman" w:cs="Times New Roman"/>
          <w:szCs w:val="24"/>
        </w:rPr>
        <w:t>(</w:t>
      </w:r>
      <w:r w:rsidR="0032515D" w:rsidRPr="00A720EE">
        <w:rPr>
          <w:rFonts w:ascii="Times New Roman" w:hAnsi="Times New Roman" w:cs="Times New Roman"/>
          <w:szCs w:val="24"/>
        </w:rPr>
        <w:t>w tym zakresie nie stosuje się zatem m.in.</w:t>
      </w:r>
      <w:r w:rsidRPr="00A720EE">
        <w:rPr>
          <w:rFonts w:ascii="Times New Roman" w:hAnsi="Times New Roman" w:cs="Times New Roman"/>
          <w:szCs w:val="24"/>
        </w:rPr>
        <w:t xml:space="preserve"> z</w:t>
      </w:r>
      <w:r w:rsidR="0032515D" w:rsidRPr="00A720EE">
        <w:rPr>
          <w:rFonts w:ascii="Times New Roman" w:hAnsi="Times New Roman" w:cs="Times New Roman"/>
          <w:szCs w:val="24"/>
        </w:rPr>
        <w:t xml:space="preserve">wolnień z opodatkowania wynikających z art. 17 ustawy CIT, w tym np. zwolnienia przewidzianego na mocy art. 17 ust. 1 pkt 57 dla funduszy inwestycyjnych </w:t>
      </w:r>
      <w:r w:rsidR="0032515D" w:rsidRPr="00A720EE">
        <w:rPr>
          <w:rFonts w:ascii="Times New Roman" w:hAnsi="Times New Roman" w:cs="Times New Roman"/>
          <w:szCs w:val="24"/>
          <w:shd w:val="clear" w:color="auto" w:fill="FFFFFF"/>
        </w:rPr>
        <w:t>zamkniętych lub specjalistycznych funduszy inwestycyjnych otwartych stosujących zasady i ograniczenia inwestycyjne określone dla funduszy inwestycyjnych zamkniętych</w:t>
      </w:r>
      <w:r w:rsidRPr="00A720EE">
        <w:rPr>
          <w:rFonts w:ascii="Times New Roman" w:hAnsi="Times New Roman" w:cs="Times New Roman"/>
          <w:szCs w:val="24"/>
          <w:shd w:val="clear" w:color="auto" w:fill="FFFFFF"/>
        </w:rPr>
        <w:t>).</w:t>
      </w:r>
    </w:p>
    <w:p w14:paraId="10F13225" w14:textId="77777777" w:rsidR="00A22700" w:rsidRPr="00A720EE" w:rsidRDefault="005E0698" w:rsidP="00A22700">
      <w:pPr>
        <w:spacing w:line="276" w:lineRule="auto"/>
        <w:jc w:val="both"/>
        <w:rPr>
          <w:rFonts w:ascii="Times New Roman" w:hAnsi="Times New Roman" w:cs="Times New Roman"/>
          <w:i/>
          <w:sz w:val="24"/>
          <w:szCs w:val="24"/>
          <w:u w:val="single"/>
        </w:rPr>
      </w:pPr>
      <w:r w:rsidRPr="00A720EE">
        <w:rPr>
          <w:rFonts w:ascii="Times New Roman" w:hAnsi="Times New Roman" w:cs="Times New Roman"/>
          <w:i/>
          <w:sz w:val="24"/>
          <w:szCs w:val="24"/>
          <w:u w:val="single"/>
        </w:rPr>
        <w:t>Przesłanka dotycząca wysokiej rentowności</w:t>
      </w:r>
    </w:p>
    <w:p w14:paraId="101D76B5" w14:textId="129C9B16" w:rsidR="00A22700" w:rsidRPr="00A720EE" w:rsidRDefault="00A22700" w:rsidP="00A22700">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Ustawą </w:t>
      </w:r>
      <w:r w:rsidR="00A34465" w:rsidRPr="00A720EE">
        <w:rPr>
          <w:rFonts w:ascii="Times New Roman" w:hAnsi="Times New Roman" w:cs="Times New Roman"/>
          <w:sz w:val="24"/>
          <w:szCs w:val="24"/>
        </w:rPr>
        <w:t xml:space="preserve">z 29 października 2021 r. </w:t>
      </w:r>
      <w:r w:rsidRPr="00A720EE">
        <w:rPr>
          <w:rFonts w:ascii="Times New Roman" w:hAnsi="Times New Roman" w:cs="Times New Roman"/>
          <w:sz w:val="24"/>
          <w:szCs w:val="24"/>
        </w:rPr>
        <w:t>wprowadzono dwie dodatkowe przesłanki, konstytuujące zagraniczną jednostkę kontrolowaną, określone w art. 24a ust. 3 pkt 4 (w zakresie wartości aktywów posiadanych przez jednostki) i pkt 5 (w zakresie zagranicznych jednostek o wysokiej rentowności, ustalanej w oparciu o stosunek przychodów do wartości bilansowej aktywów na koniec roku).</w:t>
      </w:r>
    </w:p>
    <w:p w14:paraId="555FB93F" w14:textId="77777777" w:rsidR="00A22700" w:rsidRPr="00A720EE" w:rsidRDefault="00A22700" w:rsidP="00A22700">
      <w:pPr>
        <w:spacing w:before="120" w:line="276" w:lineRule="auto"/>
        <w:jc w:val="both"/>
        <w:rPr>
          <w:rStyle w:val="bumpedfont20"/>
          <w:rFonts w:ascii="Times New Roman" w:hAnsi="Times New Roman" w:cs="Times New Roman"/>
          <w:sz w:val="24"/>
          <w:szCs w:val="24"/>
        </w:rPr>
      </w:pPr>
      <w:r w:rsidRPr="00A720EE">
        <w:rPr>
          <w:rFonts w:ascii="Times New Roman" w:hAnsi="Times New Roman" w:cs="Times New Roman"/>
          <w:sz w:val="24"/>
          <w:szCs w:val="24"/>
        </w:rPr>
        <w:t>W tym zakresie zasadne jest doprecyzowanie przesłanki uznania za zagraniczną jednostkę kontrolowaną, wskazanej w art. 24a ust. 3 pkt 5 (tj. przesłanki dotyczącej wysokiej rentowności zagranicznej jednostki w stosunku do posiadanych aktywów) w przypadku potencjalnego zbycia aktywów w trakcie roku. W tym celu dodaje się w art. 24a nowy ust. 3f. Zgodnie z projektowanym przepisem, co do zasady w</w:t>
      </w:r>
      <w:r w:rsidRPr="00A720EE">
        <w:rPr>
          <w:rStyle w:val="bumpedfont20"/>
          <w:rFonts w:ascii="Times New Roman" w:hAnsi="Times New Roman" w:cs="Times New Roman"/>
          <w:sz w:val="24"/>
          <w:szCs w:val="24"/>
        </w:rPr>
        <w:t>artość bilansową aktywów jednostki oraz odpisów amortyzacyjnych, uwzględnianych dla potrzeb wyliczenia rentowności, określa się na koniec roku, za który ma być zapłacony podatek. Jednakże, w przypadku aktywów, które jednostka zbyła przed końcem roku wartość tę określa się na dzień poprzedzający dzień zbycia tych aktywów i mnoży się ją przez proporcję liczby dni, w których aktywa były własnością jednostki w roku, za który ma być zapłacony podatek, do całkowitej liczby dni w tym roku.</w:t>
      </w:r>
      <w:r w:rsidRPr="00A720EE">
        <w:rPr>
          <w:rFonts w:ascii="Times New Roman" w:hAnsi="Times New Roman" w:cs="Times New Roman"/>
          <w:sz w:val="24"/>
          <w:szCs w:val="24"/>
        </w:rPr>
        <w:t xml:space="preserve"> Z uwagi na efektywność stosowania wskazanych wyliczeń po stronie podatników</w:t>
      </w:r>
      <w:r w:rsidRPr="00A720EE">
        <w:rPr>
          <w:rStyle w:val="bumpedfont20"/>
          <w:rFonts w:ascii="Times New Roman" w:hAnsi="Times New Roman" w:cs="Times New Roman"/>
          <w:sz w:val="24"/>
          <w:szCs w:val="24"/>
        </w:rPr>
        <w:t>, przepis ten stosuje się wyłącznie, jeżeli wartość ta stanowi co najmniej 25% wartości bilansowej wszystkich aktywów jednostki</w:t>
      </w:r>
      <w:r w:rsidR="00306B9C" w:rsidRPr="00A720EE">
        <w:rPr>
          <w:rStyle w:val="bumpedfont20"/>
          <w:rFonts w:ascii="Times New Roman" w:hAnsi="Times New Roman" w:cs="Times New Roman"/>
          <w:sz w:val="24"/>
          <w:szCs w:val="24"/>
        </w:rPr>
        <w:t xml:space="preserve"> określanych na koniec poprzedniego roku podatkowego</w:t>
      </w:r>
      <w:r w:rsidRPr="00A720EE">
        <w:rPr>
          <w:rStyle w:val="bumpedfont20"/>
          <w:rFonts w:ascii="Times New Roman" w:hAnsi="Times New Roman" w:cs="Times New Roman"/>
          <w:sz w:val="24"/>
          <w:szCs w:val="24"/>
        </w:rPr>
        <w:t>.</w:t>
      </w:r>
    </w:p>
    <w:p w14:paraId="54528844" w14:textId="77777777" w:rsidR="00A22700" w:rsidRPr="00A720EE" w:rsidRDefault="005E0698" w:rsidP="00A22700">
      <w:pPr>
        <w:spacing w:before="120" w:line="276" w:lineRule="auto"/>
        <w:jc w:val="both"/>
        <w:rPr>
          <w:rFonts w:ascii="Times New Roman" w:hAnsi="Times New Roman" w:cs="Times New Roman"/>
          <w:i/>
          <w:sz w:val="24"/>
          <w:szCs w:val="24"/>
          <w:u w:val="single"/>
        </w:rPr>
      </w:pPr>
      <w:r w:rsidRPr="00A720EE">
        <w:rPr>
          <w:rStyle w:val="bumpedfont20"/>
          <w:rFonts w:ascii="Times New Roman" w:hAnsi="Times New Roman" w:cs="Times New Roman"/>
          <w:i/>
          <w:sz w:val="24"/>
          <w:szCs w:val="24"/>
          <w:u w:val="single"/>
        </w:rPr>
        <w:t>Definicja jednostki zależnej</w:t>
      </w:r>
    </w:p>
    <w:p w14:paraId="7D42857F" w14:textId="30AB9D94" w:rsidR="00A22700" w:rsidRPr="00A720EE" w:rsidRDefault="00A22700" w:rsidP="00A22700">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Doprecyzowanie definicji jednostki zależnej (art. 24a ust. 2 pkt 3) ma charakter uzupełniający. W definicji uwzględnia się dwie nowe przesłanki konstytuujące zagraniczną jednostkę kontrolowaną, dodane ustawą </w:t>
      </w:r>
      <w:r w:rsidR="00A34465" w:rsidRPr="00A720EE">
        <w:rPr>
          <w:rFonts w:ascii="Times New Roman" w:hAnsi="Times New Roman" w:cs="Times New Roman"/>
          <w:sz w:val="24"/>
          <w:szCs w:val="24"/>
        </w:rPr>
        <w:t>z 29 października 2021 r.</w:t>
      </w:r>
      <w:r w:rsidRPr="00A720EE">
        <w:rPr>
          <w:rFonts w:ascii="Times New Roman" w:hAnsi="Times New Roman" w:cs="Times New Roman"/>
          <w:sz w:val="24"/>
          <w:szCs w:val="24"/>
        </w:rPr>
        <w:t xml:space="preserve"> Tym samym, jednostką zależną będzie, w uproszczeniu, m</w:t>
      </w:r>
      <w:r w:rsidR="008F48FA" w:rsidRPr="00A720EE">
        <w:rPr>
          <w:rFonts w:ascii="Times New Roman" w:hAnsi="Times New Roman" w:cs="Times New Roman"/>
          <w:sz w:val="24"/>
          <w:szCs w:val="24"/>
        </w:rPr>
        <w:t>.</w:t>
      </w:r>
      <w:r w:rsidRPr="00A720EE">
        <w:rPr>
          <w:rFonts w:ascii="Times New Roman" w:hAnsi="Times New Roman" w:cs="Times New Roman"/>
          <w:sz w:val="24"/>
          <w:szCs w:val="24"/>
        </w:rPr>
        <w:t>in. zagraniczna jednostka, któr</w:t>
      </w:r>
      <w:r w:rsidR="00D1613E" w:rsidRPr="00A720EE">
        <w:rPr>
          <w:rFonts w:ascii="Times New Roman" w:hAnsi="Times New Roman" w:cs="Times New Roman"/>
          <w:sz w:val="24"/>
          <w:szCs w:val="24"/>
        </w:rPr>
        <w:t>a</w:t>
      </w:r>
      <w:r w:rsidRPr="00A720EE">
        <w:rPr>
          <w:rFonts w:ascii="Times New Roman" w:hAnsi="Times New Roman" w:cs="Times New Roman"/>
          <w:sz w:val="24"/>
          <w:szCs w:val="24"/>
        </w:rPr>
        <w:t xml:space="preserve"> nie spełnia przesłanek zagranicznej jednostki kontrolowanej wskazanych w art. 24a ust. 3 pkt 3, 4 </w:t>
      </w:r>
      <w:r w:rsidR="00306B9C" w:rsidRPr="00A720EE">
        <w:rPr>
          <w:rFonts w:ascii="Times New Roman" w:hAnsi="Times New Roman" w:cs="Times New Roman"/>
          <w:sz w:val="24"/>
          <w:szCs w:val="24"/>
        </w:rPr>
        <w:t xml:space="preserve">lub </w:t>
      </w:r>
      <w:r w:rsidRPr="00A720EE">
        <w:rPr>
          <w:rFonts w:ascii="Times New Roman" w:hAnsi="Times New Roman" w:cs="Times New Roman"/>
          <w:sz w:val="24"/>
          <w:szCs w:val="24"/>
        </w:rPr>
        <w:t>5.</w:t>
      </w:r>
    </w:p>
    <w:p w14:paraId="7C084F72" w14:textId="42C8F448" w:rsidR="005E0698" w:rsidRPr="00A720EE" w:rsidRDefault="005E0698" w:rsidP="00A22700">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Analogiczne przepisy w wymienionych wyżej obszarach proponuje się w art. 30f ustawy PIT.</w:t>
      </w:r>
    </w:p>
    <w:p w14:paraId="65DCC16C" w14:textId="77777777" w:rsidR="00DE2920" w:rsidRPr="00A720EE" w:rsidRDefault="00DE2920" w:rsidP="00A22700">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Projekt precyzuje, że pomniejszenie od podatku stosować się będzie do podatku od dochodów zależnej zagranicznej jednostki kontrolowanej, osiągniętych od roku podatkowego tej zależnej jednostki, w którym obowiązują zmienione zasady.  </w:t>
      </w:r>
    </w:p>
    <w:p w14:paraId="60F5338F" w14:textId="77777777" w:rsidR="00DE2920" w:rsidRPr="00A720EE" w:rsidRDefault="00DE2920" w:rsidP="00A22700">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lastRenderedPageBreak/>
        <w:t>W przypadku, gdy rok podatkowy zagranicznej jednostki jest inny niż rok kalendarzowy i rozpoczął się przed dniem 1 stycznia 2023 r., a zakończy się po dniu 31 grudnia 2022 r</w:t>
      </w:r>
      <w:r w:rsidR="00B51A8A" w:rsidRPr="00A720EE">
        <w:rPr>
          <w:rFonts w:ascii="Times New Roman" w:hAnsi="Times New Roman" w:cs="Times New Roman"/>
          <w:sz w:val="24"/>
          <w:szCs w:val="24"/>
        </w:rPr>
        <w:t>.</w:t>
      </w:r>
      <w:r w:rsidRPr="00A720EE">
        <w:rPr>
          <w:rFonts w:ascii="Times New Roman" w:hAnsi="Times New Roman" w:cs="Times New Roman"/>
          <w:sz w:val="24"/>
          <w:szCs w:val="24"/>
        </w:rPr>
        <w:t>, zmienione przepisy ustawy CIT</w:t>
      </w:r>
      <w:r w:rsidR="00330CF0" w:rsidRPr="00A720EE">
        <w:rPr>
          <w:rFonts w:ascii="Times New Roman" w:hAnsi="Times New Roman" w:cs="Times New Roman"/>
          <w:sz w:val="24"/>
          <w:szCs w:val="24"/>
        </w:rPr>
        <w:t xml:space="preserve"> i PIT</w:t>
      </w:r>
      <w:r w:rsidRPr="00A720EE">
        <w:rPr>
          <w:rFonts w:ascii="Times New Roman" w:hAnsi="Times New Roman" w:cs="Times New Roman"/>
          <w:sz w:val="24"/>
          <w:szCs w:val="24"/>
        </w:rPr>
        <w:t xml:space="preserve"> stosować się będzie począwszy od następnego roku podatkowego.</w:t>
      </w:r>
    </w:p>
    <w:p w14:paraId="39C7E14C" w14:textId="32504CDE" w:rsidR="003E765F" w:rsidRPr="00A720EE" w:rsidRDefault="00D7556F" w:rsidP="00007288">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6</w:t>
      </w:r>
      <w:r w:rsidR="00CF7BE5" w:rsidRPr="00A720EE">
        <w:rPr>
          <w:rFonts w:ascii="Times New Roman" w:eastAsiaTheme="minorEastAsia" w:hAnsi="Times New Roman" w:cs="Times New Roman"/>
          <w:b/>
          <w:color w:val="000000" w:themeColor="text1"/>
          <w:sz w:val="24"/>
          <w:szCs w:val="24"/>
          <w:lang w:eastAsia="pl-PL"/>
        </w:rPr>
        <w:t>)</w:t>
      </w:r>
      <w:r w:rsidR="00FF1640" w:rsidRPr="00A720EE">
        <w:rPr>
          <w:rFonts w:ascii="Times New Roman" w:eastAsiaTheme="minorEastAsia" w:hAnsi="Times New Roman" w:cs="Times New Roman"/>
          <w:b/>
          <w:color w:val="000000" w:themeColor="text1"/>
          <w:sz w:val="24"/>
          <w:szCs w:val="24"/>
          <w:lang w:eastAsia="pl-PL"/>
        </w:rPr>
        <w:t xml:space="preserve"> </w:t>
      </w:r>
      <w:r w:rsidR="003E765F" w:rsidRPr="00A720EE">
        <w:rPr>
          <w:rFonts w:ascii="Times New Roman" w:eastAsiaTheme="minorEastAsia" w:hAnsi="Times New Roman" w:cs="Times New Roman"/>
          <w:b/>
          <w:color w:val="000000" w:themeColor="text1"/>
          <w:sz w:val="24"/>
          <w:szCs w:val="24"/>
          <w:lang w:eastAsia="pl-PL"/>
        </w:rPr>
        <w:t xml:space="preserve">Zmiana przepisów dotyczących opodatkowania podatkiem od przerzuconych dochodów </w:t>
      </w:r>
      <w:r w:rsidR="00D53F40" w:rsidRPr="00A720EE">
        <w:rPr>
          <w:rFonts w:ascii="Times New Roman" w:eastAsiaTheme="minorEastAsia" w:hAnsi="Times New Roman" w:cs="Times New Roman"/>
          <w:b/>
          <w:color w:val="000000" w:themeColor="text1"/>
          <w:sz w:val="24"/>
          <w:szCs w:val="24"/>
          <w:lang w:eastAsia="pl-PL"/>
        </w:rPr>
        <w:t>(</w:t>
      </w:r>
      <w:r w:rsidR="00096A5F" w:rsidRPr="00A720EE">
        <w:rPr>
          <w:rFonts w:ascii="Times New Roman" w:eastAsiaTheme="minorEastAsia" w:hAnsi="Times New Roman" w:cs="Times New Roman"/>
          <w:b/>
          <w:color w:val="000000" w:themeColor="text1"/>
          <w:sz w:val="24"/>
          <w:szCs w:val="24"/>
          <w:lang w:eastAsia="pl-PL"/>
        </w:rPr>
        <w:t xml:space="preserve">ustawa </w:t>
      </w:r>
      <w:r w:rsidR="00D53F40" w:rsidRPr="00A720EE">
        <w:rPr>
          <w:rFonts w:ascii="Times New Roman" w:eastAsiaTheme="minorEastAsia" w:hAnsi="Times New Roman" w:cs="Times New Roman"/>
          <w:b/>
          <w:color w:val="000000" w:themeColor="text1"/>
          <w:sz w:val="24"/>
          <w:szCs w:val="24"/>
          <w:lang w:eastAsia="pl-PL"/>
        </w:rPr>
        <w:t>CIT)</w:t>
      </w:r>
    </w:p>
    <w:p w14:paraId="441AED1C" w14:textId="2B8B38C3" w:rsidR="00360A1D" w:rsidRPr="00A720EE" w:rsidRDefault="00360A1D" w:rsidP="00360A1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Wprowadzone mocą ustawy </w:t>
      </w:r>
      <w:r w:rsidR="00A34465" w:rsidRPr="00A720EE">
        <w:rPr>
          <w:rFonts w:ascii="Times New Roman" w:eastAsiaTheme="minorEastAsia" w:hAnsi="Times New Roman" w:cs="Times New Roman"/>
          <w:sz w:val="24"/>
          <w:szCs w:val="24"/>
          <w:lang w:eastAsia="pl-PL"/>
        </w:rPr>
        <w:t xml:space="preserve">z 29 października 2021 r. </w:t>
      </w:r>
      <w:r w:rsidRPr="00A720EE">
        <w:rPr>
          <w:rFonts w:ascii="Times New Roman" w:eastAsiaTheme="minorEastAsia" w:hAnsi="Times New Roman" w:cs="Times New Roman"/>
          <w:sz w:val="24"/>
          <w:szCs w:val="24"/>
          <w:lang w:eastAsia="pl-PL"/>
        </w:rPr>
        <w:t xml:space="preserve">przepisy o podatku od przerzuconych dochodów (art. 24aa ustawy CIT) realizują cel, jakim jest przeciwdziałanie unikaniu opodatkowania </w:t>
      </w:r>
      <w:r w:rsidRPr="00A720EE">
        <w:rPr>
          <w:rFonts w:ascii="Times New Roman" w:hAnsi="Times New Roman" w:cs="Times New Roman"/>
          <w:sz w:val="24"/>
          <w:szCs w:val="24"/>
        </w:rPr>
        <w:t>poprzez transfer dochodów</w:t>
      </w:r>
      <w:r w:rsidR="0032515D" w:rsidRPr="00A720EE">
        <w:rPr>
          <w:rFonts w:ascii="Times New Roman" w:hAnsi="Times New Roman" w:cs="Times New Roman"/>
          <w:sz w:val="24"/>
          <w:szCs w:val="24"/>
        </w:rPr>
        <w:t xml:space="preserve"> przy pomocy jednostek pośredniczących i poprzez</w:t>
      </w:r>
      <w:r w:rsidR="00FF1640" w:rsidRPr="00A720EE">
        <w:rPr>
          <w:rFonts w:ascii="Times New Roman" w:hAnsi="Times New Roman" w:cs="Times New Roman"/>
          <w:sz w:val="24"/>
          <w:szCs w:val="24"/>
        </w:rPr>
        <w:t xml:space="preserve"> </w:t>
      </w:r>
      <w:r w:rsidRPr="00A720EE">
        <w:rPr>
          <w:rFonts w:ascii="Times New Roman" w:hAnsi="Times New Roman" w:cs="Times New Roman"/>
          <w:sz w:val="24"/>
          <w:szCs w:val="24"/>
        </w:rPr>
        <w:t>jurysdykcj</w:t>
      </w:r>
      <w:r w:rsidR="0032515D" w:rsidRPr="00A720EE">
        <w:rPr>
          <w:rFonts w:ascii="Times New Roman" w:hAnsi="Times New Roman" w:cs="Times New Roman"/>
          <w:sz w:val="24"/>
          <w:szCs w:val="24"/>
        </w:rPr>
        <w:t>e</w:t>
      </w:r>
      <w:r w:rsidRPr="00A720EE">
        <w:rPr>
          <w:rFonts w:ascii="Times New Roman" w:hAnsi="Times New Roman" w:cs="Times New Roman"/>
          <w:sz w:val="24"/>
          <w:szCs w:val="24"/>
        </w:rPr>
        <w:t xml:space="preserve"> podatkow</w:t>
      </w:r>
      <w:r w:rsidR="0032515D" w:rsidRPr="00A720EE">
        <w:rPr>
          <w:rFonts w:ascii="Times New Roman" w:hAnsi="Times New Roman" w:cs="Times New Roman"/>
          <w:sz w:val="24"/>
          <w:szCs w:val="24"/>
        </w:rPr>
        <w:t>e</w:t>
      </w:r>
      <w:r w:rsidRPr="00A720EE">
        <w:rPr>
          <w:rFonts w:ascii="Times New Roman" w:hAnsi="Times New Roman" w:cs="Times New Roman"/>
          <w:sz w:val="24"/>
          <w:szCs w:val="24"/>
        </w:rPr>
        <w:t xml:space="preserve"> o znikomej efektywnej stawce opodatkowania. </w:t>
      </w:r>
    </w:p>
    <w:p w14:paraId="58073678" w14:textId="678A4C65" w:rsidR="00360A1D" w:rsidRPr="00A720EE" w:rsidRDefault="00360A1D" w:rsidP="00360A1D">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eastAsiaTheme="minorEastAsia" w:hAnsi="Times New Roman" w:cs="Times New Roman"/>
          <w:sz w:val="24"/>
          <w:szCs w:val="24"/>
          <w:lang w:eastAsia="pl-PL"/>
        </w:rPr>
        <w:t>W celu ograniczenia wątpliwości interpretacyjnych w tym zakresie proponuje się</w:t>
      </w:r>
      <w:r w:rsidRPr="00A720EE">
        <w:rPr>
          <w:rFonts w:ascii="Times New Roman" w:hAnsi="Times New Roman" w:cs="Times New Roman"/>
          <w:sz w:val="24"/>
          <w:szCs w:val="24"/>
        </w:rPr>
        <w:t xml:space="preserve"> zmianę redakcji i struktury art. 24aa, w tym zastosowanie bardziej czytelnej siatki pojęciowej dotyczącej ponoszonych przez poszczególne podmioty kosztów, uzyskiwanych przychodów oraz związanych z nimi należności.</w:t>
      </w:r>
    </w:p>
    <w:p w14:paraId="27C177A1" w14:textId="3FA1A2DF" w:rsidR="00360A1D" w:rsidRPr="00A720EE" w:rsidRDefault="00360A1D" w:rsidP="00360A1D">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Ponadto, proponuje się doprecyzowanie </w:t>
      </w:r>
      <w:r w:rsidR="0032515D" w:rsidRPr="00A720EE">
        <w:rPr>
          <w:rFonts w:ascii="Times New Roman" w:hAnsi="Times New Roman" w:cs="Times New Roman"/>
          <w:sz w:val="24"/>
          <w:szCs w:val="24"/>
        </w:rPr>
        <w:t xml:space="preserve">zakresu kosztów </w:t>
      </w:r>
      <w:r w:rsidRPr="00A720EE">
        <w:rPr>
          <w:rFonts w:ascii="Times New Roman" w:hAnsi="Times New Roman" w:cs="Times New Roman"/>
          <w:sz w:val="24"/>
          <w:szCs w:val="24"/>
        </w:rPr>
        <w:t>podlegają</w:t>
      </w:r>
      <w:r w:rsidR="0032515D" w:rsidRPr="00A720EE">
        <w:rPr>
          <w:rFonts w:ascii="Times New Roman" w:hAnsi="Times New Roman" w:cs="Times New Roman"/>
          <w:sz w:val="24"/>
          <w:szCs w:val="24"/>
        </w:rPr>
        <w:t>cych</w:t>
      </w:r>
      <w:r w:rsidRPr="00A720EE">
        <w:rPr>
          <w:rFonts w:ascii="Times New Roman" w:hAnsi="Times New Roman" w:cs="Times New Roman"/>
          <w:sz w:val="24"/>
          <w:szCs w:val="24"/>
        </w:rPr>
        <w:t xml:space="preserve"> podatkowi od przerzuconych dochodów</w:t>
      </w:r>
      <w:r w:rsidR="0032515D" w:rsidRPr="00A720EE">
        <w:rPr>
          <w:rFonts w:ascii="Times New Roman" w:hAnsi="Times New Roman" w:cs="Times New Roman"/>
          <w:sz w:val="24"/>
          <w:szCs w:val="24"/>
        </w:rPr>
        <w:t xml:space="preserve"> po stronie spółek, które posiadają siedzibę lub zarząd na terytorium RP</w:t>
      </w:r>
      <w:r w:rsidRPr="00A720EE">
        <w:rPr>
          <w:rFonts w:ascii="Times New Roman" w:hAnsi="Times New Roman" w:cs="Times New Roman"/>
          <w:sz w:val="24"/>
          <w:szCs w:val="24"/>
        </w:rPr>
        <w:t>, jak i warunków, które ma spełniać podmiot powiązany, na rzecz którego spółki te ponoszą koszty.</w:t>
      </w:r>
    </w:p>
    <w:p w14:paraId="441733C1" w14:textId="77777777" w:rsidR="0032515D" w:rsidRPr="00A720EE" w:rsidRDefault="0032515D" w:rsidP="00360A1D">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i/>
          <w:sz w:val="24"/>
          <w:szCs w:val="24"/>
        </w:rPr>
        <w:t>Zakres kosztów objętych podatkiem od przerzuconych dochodów</w:t>
      </w:r>
    </w:p>
    <w:p w14:paraId="49294BE7" w14:textId="77777777" w:rsidR="00753ADC" w:rsidRPr="00A720EE" w:rsidRDefault="00753ADC" w:rsidP="00753ADC">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W odniesieniu do spółek, które posiadają siedzibę lub zarząd na terytorium RP i podlegają podatkowi od przerzuconych dochodów doprecyzowuje się, iż:</w:t>
      </w:r>
    </w:p>
    <w:p w14:paraId="5051C01F" w14:textId="77777777" w:rsidR="00753ADC" w:rsidRPr="00A720EE" w:rsidRDefault="00753ADC" w:rsidP="00753ADC">
      <w:pPr>
        <w:pStyle w:val="Akapitzlist"/>
        <w:widowControl w:val="0"/>
        <w:numPr>
          <w:ilvl w:val="0"/>
          <w:numId w:val="49"/>
        </w:numPr>
        <w:autoSpaceDE w:val="0"/>
        <w:autoSpaceDN w:val="0"/>
        <w:adjustRightInd w:val="0"/>
        <w:spacing w:before="120"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 xml:space="preserve">Zakresem podatku od przerzuconych dochodów objęte są koszty zaliczone przez podatnika do kosztów uzyskania przychodów (tylko w takim przypadkach, co do zasady, może dojść do erozji podstawy opodatkowania u polskiego podatnika). </w:t>
      </w:r>
    </w:p>
    <w:p w14:paraId="6B4451FB" w14:textId="77777777" w:rsidR="00753ADC" w:rsidRPr="00A720EE" w:rsidRDefault="00753ADC" w:rsidP="0032515D">
      <w:pPr>
        <w:widowControl w:val="0"/>
        <w:autoSpaceDE w:val="0"/>
        <w:autoSpaceDN w:val="0"/>
        <w:adjustRightInd w:val="0"/>
        <w:spacing w:before="120" w:after="120" w:line="276" w:lineRule="auto"/>
        <w:ind w:left="142"/>
        <w:jc w:val="both"/>
        <w:rPr>
          <w:rFonts w:ascii="Times New Roman" w:hAnsi="Times New Roman" w:cs="Times New Roman"/>
          <w:sz w:val="24"/>
          <w:szCs w:val="24"/>
        </w:rPr>
      </w:pPr>
      <w:r w:rsidRPr="00A720EE">
        <w:rPr>
          <w:rFonts w:ascii="Times New Roman" w:hAnsi="Times New Roman" w:cs="Times New Roman"/>
          <w:sz w:val="24"/>
          <w:szCs w:val="24"/>
        </w:rPr>
        <w:t>Spółki te nie podlegają opodatkowaniu podatkiem od przerzuconych dochodów, jeżeli suma kosztów pasywnych (wskazanych w ust. 3</w:t>
      </w:r>
      <w:r w:rsidR="00C530C7" w:rsidRPr="00A720EE">
        <w:rPr>
          <w:rFonts w:ascii="Times New Roman" w:hAnsi="Times New Roman" w:cs="Times New Roman"/>
          <w:sz w:val="24"/>
          <w:szCs w:val="24"/>
        </w:rPr>
        <w:t xml:space="preserve"> omawianego przepisu</w:t>
      </w:r>
      <w:r w:rsidRPr="00A720EE">
        <w:rPr>
          <w:rFonts w:ascii="Times New Roman" w:hAnsi="Times New Roman" w:cs="Times New Roman"/>
          <w:sz w:val="24"/>
          <w:szCs w:val="24"/>
        </w:rPr>
        <w:t xml:space="preserve">) poniesionych przez spółkę w roku podatkowym na rzecz podmiotów powiązanych zaliczonych w danym roku do kosztów uzyskania przychodów tego podatnika, stanowi mniej niż 3% sumy kosztów uzyskania przychodów podatnika. Zarówno w liczniku, jak i mianowniku proporcji uwzględnia się koszty zaliczone w danym roku do kosztów uzyskania przychodów podatnika. Ponadto, zgodnie z nowym brzmieniem w liczniku proporcji uwzględnia się jedynie wskazane koszty pasywne poniesione na rzecz podmiotów powiązanych, a nie - jak uprzednio - wskazane koszty pasywne poniesione na rzecz wszystkich podmiotów, w tym niepowiązanych (przy czym, jak zaznaczono chodzi o koszty zaliczone w danym roku do kosztów uzyskania przychodów. Zarazem, aby uprościć stosowanie powyższej „bezpiecznej przystani”, należy podkreślić, że licznik obejmuje sumę kosztów pasywnych na rzecz podmiotów powiązanych jako takich, lecz nie podmiotów powiązanych spełniających warunki określone w ust. 2. Stosowanie limitu 3% względem podmiotów spełniających warunki wskazane w ust. 2 niweczyłoby sens „bezpiecznej przystani”, bowiem konieczne </w:t>
      </w:r>
      <w:r w:rsidRPr="00A720EE">
        <w:rPr>
          <w:rFonts w:ascii="Times New Roman" w:hAnsi="Times New Roman" w:cs="Times New Roman"/>
          <w:sz w:val="24"/>
          <w:szCs w:val="24"/>
        </w:rPr>
        <w:lastRenderedPageBreak/>
        <w:t xml:space="preserve">byłoby badanie warunków już na tym etapie. </w:t>
      </w:r>
    </w:p>
    <w:p w14:paraId="3709F987" w14:textId="77777777" w:rsidR="0032515D" w:rsidRPr="00A720EE" w:rsidRDefault="0032515D" w:rsidP="0032515D">
      <w:pPr>
        <w:widowControl w:val="0"/>
        <w:autoSpaceDE w:val="0"/>
        <w:autoSpaceDN w:val="0"/>
        <w:adjustRightInd w:val="0"/>
        <w:spacing w:before="120" w:after="120" w:line="276" w:lineRule="auto"/>
        <w:ind w:left="142"/>
        <w:jc w:val="both"/>
        <w:rPr>
          <w:rFonts w:ascii="Times New Roman" w:hAnsi="Times New Roman" w:cs="Times New Roman"/>
          <w:i/>
          <w:sz w:val="24"/>
          <w:szCs w:val="24"/>
        </w:rPr>
      </w:pPr>
      <w:r w:rsidRPr="00A720EE">
        <w:rPr>
          <w:rFonts w:ascii="Times New Roman" w:hAnsi="Times New Roman" w:cs="Times New Roman"/>
          <w:i/>
          <w:sz w:val="24"/>
          <w:szCs w:val="24"/>
        </w:rPr>
        <w:t>Warunki dotyczące podmiotu powiązanego</w:t>
      </w:r>
    </w:p>
    <w:p w14:paraId="14B686E3" w14:textId="77777777" w:rsidR="00360A1D" w:rsidRPr="00A720EE" w:rsidRDefault="00360A1D" w:rsidP="00360A1D">
      <w:pPr>
        <w:widowControl w:val="0"/>
        <w:autoSpaceDE w:val="0"/>
        <w:autoSpaceDN w:val="0"/>
        <w:adjustRightInd w:val="0"/>
        <w:spacing w:before="120" w:after="120" w:line="276" w:lineRule="auto"/>
        <w:ind w:left="142"/>
        <w:jc w:val="both"/>
        <w:rPr>
          <w:rFonts w:ascii="Times New Roman" w:hAnsi="Times New Roman" w:cs="Times New Roman"/>
          <w:sz w:val="24"/>
          <w:szCs w:val="24"/>
        </w:rPr>
      </w:pPr>
      <w:r w:rsidRPr="00A720EE">
        <w:rPr>
          <w:rFonts w:ascii="Times New Roman" w:hAnsi="Times New Roman" w:cs="Times New Roman"/>
          <w:sz w:val="24"/>
          <w:szCs w:val="24"/>
        </w:rPr>
        <w:t>W odniesieniu do podmiotu powiązanego, na rzecz którego ponoszone są koszty, doprecyzowuje się warunki, które musi spełniać, w następującym zakresie:</w:t>
      </w:r>
    </w:p>
    <w:p w14:paraId="396179F2" w14:textId="00BECC92" w:rsidR="00360A1D" w:rsidRPr="00A720EE" w:rsidRDefault="0032515D" w:rsidP="00683BAD">
      <w:pPr>
        <w:pStyle w:val="Akapitzlist"/>
        <w:numPr>
          <w:ilvl w:val="0"/>
          <w:numId w:val="19"/>
        </w:numPr>
        <w:jc w:val="both"/>
        <w:rPr>
          <w:rFonts w:ascii="Times New Roman" w:hAnsi="Times New Roman" w:cs="Times New Roman"/>
          <w:sz w:val="24"/>
          <w:szCs w:val="24"/>
        </w:rPr>
      </w:pPr>
      <w:r w:rsidRPr="00A720EE">
        <w:rPr>
          <w:rFonts w:ascii="Times New Roman" w:hAnsi="Times New Roman" w:cs="Times New Roman"/>
          <w:sz w:val="24"/>
          <w:szCs w:val="24"/>
        </w:rPr>
        <w:t>P</w:t>
      </w:r>
      <w:r w:rsidR="00360A1D" w:rsidRPr="00A720EE">
        <w:rPr>
          <w:rFonts w:ascii="Times New Roman" w:hAnsi="Times New Roman" w:cs="Times New Roman"/>
          <w:sz w:val="24"/>
          <w:szCs w:val="24"/>
        </w:rPr>
        <w:t>odmiot ten nie ma siedziby lub zarządu na terytorium Rzeczypospolitej Polskiej (celem jest objęcie zakresem przepisu agresywnych struktur optymalizacyjnych z uwzględnieniem elementów transgranicznych, i wyłączenie z jego zakresu płatności pomiędzy polskimi spółkami, w sytuacji gdy odbiorca płatności korzysta z ulg innowacyjnych, a transakcja nie jest częścią schematu mającego na celu optymalizację podatkową)</w:t>
      </w:r>
      <w:r w:rsidRPr="00A720EE">
        <w:rPr>
          <w:rFonts w:ascii="Times New Roman" w:hAnsi="Times New Roman" w:cs="Times New Roman"/>
          <w:sz w:val="24"/>
          <w:szCs w:val="24"/>
        </w:rPr>
        <w:t>.</w:t>
      </w:r>
    </w:p>
    <w:p w14:paraId="6B901DB1" w14:textId="32BAB23D" w:rsidR="00360A1D" w:rsidRPr="00A720EE" w:rsidRDefault="0032515D" w:rsidP="00683BAD">
      <w:pPr>
        <w:pStyle w:val="ZLITUSTzmustliter"/>
        <w:numPr>
          <w:ilvl w:val="0"/>
          <w:numId w:val="19"/>
        </w:numPr>
        <w:spacing w:after="120" w:line="276" w:lineRule="auto"/>
        <w:rPr>
          <w:rFonts w:ascii="Times New Roman" w:eastAsia="Times New Roman" w:hAnsi="Times New Roman" w:cs="Times New Roman"/>
          <w:bCs w:val="0"/>
          <w:szCs w:val="24"/>
          <w:shd w:val="clear" w:color="auto" w:fill="FFFFFF"/>
        </w:rPr>
      </w:pPr>
      <w:r w:rsidRPr="00A720EE">
        <w:rPr>
          <w:rFonts w:ascii="Times New Roman" w:eastAsia="Times New Roman" w:hAnsi="Times New Roman" w:cs="Times New Roman"/>
          <w:bCs w:val="0"/>
          <w:szCs w:val="24"/>
          <w:shd w:val="clear" w:color="auto" w:fill="FFFFFF"/>
        </w:rPr>
        <w:t>P</w:t>
      </w:r>
      <w:r w:rsidR="00360A1D" w:rsidRPr="00A720EE">
        <w:rPr>
          <w:rFonts w:ascii="Times New Roman" w:eastAsia="Times New Roman" w:hAnsi="Times New Roman" w:cs="Times New Roman"/>
          <w:bCs w:val="0"/>
          <w:szCs w:val="24"/>
          <w:shd w:val="clear" w:color="auto" w:fill="FFFFFF"/>
        </w:rPr>
        <w:t>odmiot ten uzyskuje co najmniej 50% przychodów z tytułu wskazanych należności pasywnych, przy czym doprecyzowuje się, iż chodzi o przychody uzyskane:</w:t>
      </w:r>
    </w:p>
    <w:p w14:paraId="12CFF4E8" w14:textId="3F54A6A7" w:rsidR="00360A1D" w:rsidRPr="00A720EE" w:rsidRDefault="00360A1D" w:rsidP="00683BAD">
      <w:pPr>
        <w:pStyle w:val="ZLITUSTzmustliter"/>
        <w:numPr>
          <w:ilvl w:val="1"/>
          <w:numId w:val="20"/>
        </w:numPr>
        <w:spacing w:after="120" w:line="276" w:lineRule="auto"/>
        <w:rPr>
          <w:rFonts w:ascii="Times New Roman" w:eastAsia="Times New Roman" w:hAnsi="Times New Roman" w:cs="Times New Roman"/>
          <w:bCs w:val="0"/>
          <w:szCs w:val="24"/>
          <w:shd w:val="clear" w:color="auto" w:fill="FFFFFF"/>
        </w:rPr>
      </w:pPr>
      <w:r w:rsidRPr="00A720EE">
        <w:rPr>
          <w:rFonts w:ascii="Times New Roman" w:eastAsia="Times New Roman" w:hAnsi="Times New Roman" w:cs="Times New Roman"/>
          <w:bCs w:val="0"/>
          <w:szCs w:val="24"/>
          <w:shd w:val="clear" w:color="auto" w:fill="FFFFFF"/>
        </w:rPr>
        <w:t>co do zasady od jednej spółki z siedzibą lub zarządem na terytorium RP, która przekazuje należności pasywne i spełnia inne wskazane w przepisie warunki, albo</w:t>
      </w:r>
    </w:p>
    <w:p w14:paraId="4EF32772" w14:textId="77777777" w:rsidR="00360A1D" w:rsidRPr="00A720EE" w:rsidRDefault="00360A1D" w:rsidP="00683BAD">
      <w:pPr>
        <w:pStyle w:val="ZLITUSTzmustliter"/>
        <w:numPr>
          <w:ilvl w:val="1"/>
          <w:numId w:val="20"/>
        </w:numPr>
        <w:spacing w:after="120" w:line="276" w:lineRule="auto"/>
        <w:rPr>
          <w:rFonts w:ascii="Times New Roman" w:eastAsia="Times New Roman" w:hAnsi="Times New Roman" w:cs="Times New Roman"/>
          <w:bCs w:val="0"/>
          <w:szCs w:val="24"/>
          <w:shd w:val="clear" w:color="auto" w:fill="FFFFFF"/>
        </w:rPr>
      </w:pPr>
      <w:r w:rsidRPr="00A720EE">
        <w:rPr>
          <w:rFonts w:ascii="Times New Roman" w:eastAsia="Times New Roman" w:hAnsi="Times New Roman" w:cs="Times New Roman"/>
          <w:bCs w:val="0"/>
          <w:szCs w:val="24"/>
          <w:shd w:val="clear" w:color="auto" w:fill="FFFFFF"/>
        </w:rPr>
        <w:t>jeżeli jednak podmiot powiązany otrzymuje przychody z tytułu wskazanych należności pasywnych również od innych spółek z siedzibą lub zarządem na terytorium RP, wartość otrzymanych przez podmiot powiązany przychodów określa się  łącznie dla tej spółki i tych innych spółek powiązanych, z siedzibą lub zarządem na terytorium RP. Zarazem, wystarczające jest, aby inne spółki ponosiły koszty pasywne na rzecz tego podmiotu powiązanego, bez konieczności spełnienia wszystkich warunków do objęcia podatkiem od przerzuconych dochodów.</w:t>
      </w:r>
    </w:p>
    <w:p w14:paraId="613D1EF9" w14:textId="6FD9343C" w:rsidR="00360A1D" w:rsidRPr="00A720EE" w:rsidRDefault="00360A1D" w:rsidP="0032515D">
      <w:pPr>
        <w:pStyle w:val="ZLITUSTzmustliter"/>
        <w:spacing w:after="120" w:line="276" w:lineRule="auto"/>
        <w:ind w:left="720" w:firstLine="0"/>
        <w:rPr>
          <w:rFonts w:ascii="Times New Roman" w:eastAsia="Times New Roman" w:hAnsi="Times New Roman" w:cs="Times New Roman"/>
          <w:bCs w:val="0"/>
          <w:szCs w:val="24"/>
          <w:shd w:val="clear" w:color="auto" w:fill="FFFFFF"/>
        </w:rPr>
      </w:pPr>
      <w:r w:rsidRPr="00A720EE">
        <w:rPr>
          <w:rFonts w:ascii="Times New Roman" w:eastAsia="Times New Roman" w:hAnsi="Times New Roman" w:cs="Times New Roman"/>
          <w:bCs w:val="0"/>
          <w:szCs w:val="24"/>
          <w:shd w:val="clear" w:color="auto" w:fill="FFFFFF"/>
        </w:rPr>
        <w:t xml:space="preserve">Przykładowo, spółka A z siedzibą w Polsce </w:t>
      </w:r>
      <w:r w:rsidR="0032515D" w:rsidRPr="00A720EE">
        <w:rPr>
          <w:rFonts w:ascii="Times New Roman" w:eastAsia="Times New Roman" w:hAnsi="Times New Roman" w:cs="Times New Roman"/>
          <w:bCs w:val="0"/>
          <w:szCs w:val="24"/>
          <w:shd w:val="clear" w:color="auto" w:fill="FFFFFF"/>
        </w:rPr>
        <w:t>w</w:t>
      </w:r>
      <w:r w:rsidRPr="00A720EE">
        <w:rPr>
          <w:rFonts w:ascii="Times New Roman" w:eastAsia="Times New Roman" w:hAnsi="Times New Roman" w:cs="Times New Roman"/>
          <w:bCs w:val="0"/>
          <w:szCs w:val="24"/>
          <w:shd w:val="clear" w:color="auto" w:fill="FFFFFF"/>
        </w:rPr>
        <w:t xml:space="preserve">ypłaca należności licencyjne w wysokości 40 swojemu wspólnikowi, podmiotowi X z siedzibą na Cyprze, i spełnione są wszystkie warunki właściwe dla podatku od przerzuconych dochodów. Spółka A posiada wiedzę, że podmiot X jest udziałowcem dwóch innych spółek z siedzibą w Polsce: spółki B i spółki C (są to podmioty powiązane ze spółką A). Podmiot X deklaruje, że otrzymuje od spółki B należności licencyjne w wysokości 30, a od spółki C odsetki w wysokości 20, oraz że księguje, dla potrzeb rachunkowości, łączne przychody 100, w tym 90 od spółek A, B i C (tj. 40+30+20). </w:t>
      </w:r>
    </w:p>
    <w:p w14:paraId="00DA1924" w14:textId="77777777" w:rsidR="00360A1D" w:rsidRPr="00A720EE" w:rsidRDefault="00360A1D" w:rsidP="0032515D">
      <w:pPr>
        <w:pStyle w:val="ZLITUSTzmustliter"/>
        <w:spacing w:after="120" w:line="276" w:lineRule="auto"/>
        <w:ind w:left="720" w:firstLine="0"/>
        <w:rPr>
          <w:rFonts w:ascii="Times New Roman" w:eastAsia="Times New Roman" w:hAnsi="Times New Roman" w:cs="Times New Roman"/>
          <w:bCs w:val="0"/>
          <w:szCs w:val="24"/>
          <w:shd w:val="clear" w:color="auto" w:fill="FFFFFF"/>
        </w:rPr>
      </w:pPr>
      <w:r w:rsidRPr="00A720EE">
        <w:rPr>
          <w:rFonts w:ascii="Times New Roman" w:eastAsia="Times New Roman" w:hAnsi="Times New Roman" w:cs="Times New Roman"/>
          <w:bCs w:val="0"/>
          <w:szCs w:val="24"/>
          <w:shd w:val="clear" w:color="auto" w:fill="FFFFFF"/>
        </w:rPr>
        <w:t>W takim przypadku przychody od spółki A oraz dwóch innych spółek powiązanych z siedzibą w Polsce, ze wskazanych przychodów pasywnych (w tym przypadku należności licencyjnych i odsetek) wynoszą ponad 50% łącznych przychodów podmiotu X. Przychody spółek B i C wlicza się do proporcji bez względu na to, czy spółki te podlegają podatkowi od przerzuconych dochodów, czy nie (np. z uwagi na próg 3%).</w:t>
      </w:r>
    </w:p>
    <w:p w14:paraId="4A033605" w14:textId="77777777" w:rsidR="00360A1D" w:rsidRPr="00A720EE" w:rsidRDefault="00360A1D" w:rsidP="0032515D">
      <w:pPr>
        <w:pStyle w:val="ZLITUSTzmustliter"/>
        <w:spacing w:after="120" w:line="276" w:lineRule="auto"/>
        <w:ind w:left="720" w:firstLine="0"/>
        <w:rPr>
          <w:rFonts w:ascii="Times New Roman" w:eastAsia="Times New Roman" w:hAnsi="Times New Roman" w:cs="Times New Roman"/>
          <w:bCs w:val="0"/>
          <w:szCs w:val="24"/>
          <w:shd w:val="clear" w:color="auto" w:fill="FFFFFF"/>
        </w:rPr>
      </w:pPr>
      <w:r w:rsidRPr="00A720EE">
        <w:rPr>
          <w:rFonts w:ascii="Times New Roman" w:eastAsia="Times New Roman" w:hAnsi="Times New Roman" w:cs="Times New Roman"/>
          <w:bCs w:val="0"/>
          <w:szCs w:val="24"/>
          <w:shd w:val="clear" w:color="auto" w:fill="FFFFFF"/>
        </w:rPr>
        <w:t xml:space="preserve">Celem takiego uregulowania jest uniknięcie potencjalnych sytuacji, w których należności dzielone są w sposób sztuczny pomiędzy spółki powiązane lub dzielone na poszczególne strumienie przychodowe, aby przychody danej spółki z danego tytułu </w:t>
      </w:r>
      <w:r w:rsidRPr="00A720EE">
        <w:rPr>
          <w:rFonts w:ascii="Times New Roman" w:eastAsia="Times New Roman" w:hAnsi="Times New Roman" w:cs="Times New Roman"/>
          <w:bCs w:val="0"/>
          <w:szCs w:val="24"/>
          <w:shd w:val="clear" w:color="auto" w:fill="FFFFFF"/>
        </w:rPr>
        <w:lastRenderedPageBreak/>
        <w:t>ustalić na poziomie poniżej 50% łącznych przychodów i tym samym uniknąć objęcia podatkiem od przerzuconych dochodów.</w:t>
      </w:r>
    </w:p>
    <w:p w14:paraId="783C43A4" w14:textId="7AB5C3BA" w:rsidR="00360A1D" w:rsidRPr="00A720EE" w:rsidRDefault="0032515D" w:rsidP="00683BAD">
      <w:pPr>
        <w:pStyle w:val="Akapitzlist"/>
        <w:numPr>
          <w:ilvl w:val="0"/>
          <w:numId w:val="19"/>
        </w:numPr>
        <w:jc w:val="both"/>
        <w:rPr>
          <w:rFonts w:ascii="Times New Roman" w:hAnsi="Times New Roman" w:cs="Times New Roman"/>
          <w:sz w:val="24"/>
          <w:szCs w:val="24"/>
        </w:rPr>
      </w:pPr>
      <w:r w:rsidRPr="00A720EE">
        <w:rPr>
          <w:rFonts w:ascii="Times New Roman" w:hAnsi="Times New Roman" w:cs="Times New Roman"/>
          <w:sz w:val="24"/>
          <w:szCs w:val="24"/>
        </w:rPr>
        <w:t>P</w:t>
      </w:r>
      <w:r w:rsidR="00360A1D" w:rsidRPr="00A720EE">
        <w:rPr>
          <w:rFonts w:ascii="Times New Roman" w:hAnsi="Times New Roman" w:cs="Times New Roman"/>
          <w:sz w:val="24"/>
          <w:szCs w:val="24"/>
        </w:rPr>
        <w:t xml:space="preserve">odmiot powiązany </w:t>
      </w:r>
      <w:r w:rsidR="00306B9C" w:rsidRPr="00A720EE">
        <w:rPr>
          <w:rFonts w:ascii="Times New Roman" w:hAnsi="Times New Roman" w:cs="Times New Roman"/>
          <w:sz w:val="24"/>
          <w:szCs w:val="24"/>
        </w:rPr>
        <w:t xml:space="preserve">przekazuje </w:t>
      </w:r>
      <w:r w:rsidR="00360A1D" w:rsidRPr="00A720EE">
        <w:rPr>
          <w:rFonts w:ascii="Times New Roman" w:hAnsi="Times New Roman" w:cs="Times New Roman"/>
          <w:sz w:val="24"/>
          <w:szCs w:val="24"/>
        </w:rPr>
        <w:t xml:space="preserve">przychody uzyskane od polskiej spółki </w:t>
      </w:r>
      <w:r w:rsidR="00306B9C" w:rsidRPr="00A720EE">
        <w:rPr>
          <w:rFonts w:ascii="Times New Roman" w:hAnsi="Times New Roman" w:cs="Times New Roman"/>
          <w:sz w:val="24"/>
          <w:szCs w:val="24"/>
        </w:rPr>
        <w:br/>
      </w:r>
      <w:r w:rsidR="00360A1D" w:rsidRPr="00A720EE">
        <w:rPr>
          <w:rFonts w:ascii="Times New Roman" w:hAnsi="Times New Roman" w:cs="Times New Roman"/>
          <w:sz w:val="24"/>
          <w:szCs w:val="24"/>
        </w:rPr>
        <w:t xml:space="preserve">w wysokości co najmniej 10% na rzecz innego podmiotu: </w:t>
      </w:r>
    </w:p>
    <w:p w14:paraId="3AFBF07A" w14:textId="77777777" w:rsidR="00360A1D" w:rsidRPr="00A720EE" w:rsidRDefault="00360A1D" w:rsidP="00683BAD">
      <w:pPr>
        <w:pStyle w:val="Akapitzlist"/>
        <w:numPr>
          <w:ilvl w:val="1"/>
          <w:numId w:val="21"/>
        </w:numPr>
        <w:jc w:val="both"/>
        <w:rPr>
          <w:rFonts w:ascii="Times New Roman" w:hAnsi="Times New Roman" w:cs="Times New Roman"/>
          <w:sz w:val="24"/>
          <w:szCs w:val="24"/>
        </w:rPr>
      </w:pPr>
      <w:r w:rsidRPr="00A720EE">
        <w:rPr>
          <w:rFonts w:ascii="Times New Roman" w:hAnsi="Times New Roman" w:cs="Times New Roman"/>
          <w:sz w:val="24"/>
          <w:szCs w:val="24"/>
        </w:rPr>
        <w:t xml:space="preserve">zaliczając wydatki z tego tytułu do kosztów rozliczanych dla celów podatku dochodowego lub wydatki te lub przychody odlicza od dochodu, podstawy opodatkowania lub od podatku lub </w:t>
      </w:r>
    </w:p>
    <w:p w14:paraId="6E454292" w14:textId="2A229FFF" w:rsidR="00360A1D" w:rsidRPr="00A720EE" w:rsidRDefault="0032515D" w:rsidP="00683BAD">
      <w:pPr>
        <w:pStyle w:val="Akapitzlist"/>
        <w:numPr>
          <w:ilvl w:val="1"/>
          <w:numId w:val="21"/>
        </w:numPr>
        <w:jc w:val="both"/>
        <w:rPr>
          <w:rFonts w:ascii="Times New Roman" w:hAnsi="Times New Roman" w:cs="Times New Roman"/>
          <w:sz w:val="24"/>
          <w:szCs w:val="24"/>
        </w:rPr>
      </w:pPr>
      <w:r w:rsidRPr="00A720EE">
        <w:rPr>
          <w:rFonts w:ascii="Times New Roman" w:hAnsi="Times New Roman" w:cs="Times New Roman"/>
          <w:sz w:val="24"/>
          <w:szCs w:val="24"/>
        </w:rPr>
        <w:t xml:space="preserve">jeżeli </w:t>
      </w:r>
      <w:r w:rsidR="00360A1D" w:rsidRPr="00A720EE">
        <w:rPr>
          <w:rFonts w:ascii="Times New Roman" w:hAnsi="Times New Roman" w:cs="Times New Roman"/>
          <w:sz w:val="24"/>
          <w:szCs w:val="24"/>
        </w:rPr>
        <w:t>przychody te stanowią zysk przeznaczony do wypłaty</w:t>
      </w:r>
      <w:r w:rsidRPr="00A720EE">
        <w:rPr>
          <w:rFonts w:ascii="Times New Roman" w:hAnsi="Times New Roman" w:cs="Times New Roman"/>
          <w:sz w:val="24"/>
          <w:szCs w:val="24"/>
        </w:rPr>
        <w:t>, bez względu na termin,</w:t>
      </w:r>
      <w:r w:rsidR="00360A1D" w:rsidRPr="00A720EE">
        <w:rPr>
          <w:rFonts w:ascii="Times New Roman" w:hAnsi="Times New Roman" w:cs="Times New Roman"/>
          <w:sz w:val="24"/>
          <w:szCs w:val="24"/>
        </w:rPr>
        <w:t xml:space="preserve"> w formie dywidendy lub innych przychodów z udziału w zyskach osób prawnych</w:t>
      </w:r>
      <w:r w:rsidRPr="00A720EE">
        <w:rPr>
          <w:rFonts w:ascii="Times New Roman" w:hAnsi="Times New Roman" w:cs="Times New Roman"/>
          <w:sz w:val="24"/>
          <w:szCs w:val="24"/>
        </w:rPr>
        <w:t>.</w:t>
      </w:r>
      <w:r w:rsidR="00360A1D" w:rsidRPr="00A720EE">
        <w:rPr>
          <w:rFonts w:ascii="Times New Roman" w:hAnsi="Times New Roman" w:cs="Times New Roman"/>
          <w:sz w:val="24"/>
          <w:szCs w:val="24"/>
        </w:rPr>
        <w:t xml:space="preserve"> </w:t>
      </w:r>
    </w:p>
    <w:p w14:paraId="7217DB77" w14:textId="0D60C2FF" w:rsidR="00306B9C" w:rsidRPr="00A720EE" w:rsidRDefault="0032515D" w:rsidP="00683BAD">
      <w:pPr>
        <w:pStyle w:val="ZLITUSTzmustliter"/>
        <w:numPr>
          <w:ilvl w:val="0"/>
          <w:numId w:val="19"/>
        </w:numPr>
        <w:spacing w:after="120" w:line="276" w:lineRule="auto"/>
        <w:rPr>
          <w:rFonts w:ascii="Times New Roman" w:hAnsi="Times New Roman" w:cs="Times New Roman"/>
          <w:szCs w:val="24"/>
        </w:rPr>
      </w:pPr>
      <w:r w:rsidRPr="00A720EE">
        <w:rPr>
          <w:rFonts w:ascii="Times New Roman" w:hAnsi="Times New Roman" w:cs="Times New Roman"/>
          <w:szCs w:val="24"/>
        </w:rPr>
        <w:t>P</w:t>
      </w:r>
      <w:r w:rsidR="00360A1D" w:rsidRPr="00A720EE">
        <w:rPr>
          <w:rFonts w:ascii="Times New Roman" w:hAnsi="Times New Roman" w:cs="Times New Roman"/>
          <w:szCs w:val="24"/>
        </w:rPr>
        <w:t>onadto, upraszcza się warunek dotyczący preferencyjnego opodatkowania w państwie siedziby, zarządu, zarejestrowania lub położenia podmiotu powiązanego</w:t>
      </w:r>
      <w:r w:rsidRPr="00A720EE">
        <w:rPr>
          <w:rFonts w:ascii="Times New Roman" w:hAnsi="Times New Roman" w:cs="Times New Roman"/>
          <w:szCs w:val="24"/>
        </w:rPr>
        <w:t>.</w:t>
      </w:r>
      <w:r w:rsidR="00360A1D" w:rsidRPr="00A720EE">
        <w:rPr>
          <w:rFonts w:ascii="Times New Roman" w:hAnsi="Times New Roman" w:cs="Times New Roman"/>
          <w:szCs w:val="24"/>
        </w:rPr>
        <w:t xml:space="preserve"> </w:t>
      </w:r>
    </w:p>
    <w:p w14:paraId="184B4AF6" w14:textId="54255D71" w:rsidR="0032515D" w:rsidRPr="00A720EE" w:rsidRDefault="0032515D" w:rsidP="0032515D">
      <w:pPr>
        <w:ind w:left="709"/>
        <w:jc w:val="both"/>
        <w:rPr>
          <w:rFonts w:ascii="Times New Roman" w:hAnsi="Times New Roman" w:cs="Times New Roman"/>
          <w:sz w:val="24"/>
          <w:szCs w:val="24"/>
        </w:rPr>
      </w:pPr>
      <w:r w:rsidRPr="00A720EE">
        <w:rPr>
          <w:rFonts w:ascii="Times New Roman" w:hAnsi="Times New Roman" w:cs="Times New Roman"/>
          <w:sz w:val="24"/>
          <w:szCs w:val="24"/>
        </w:rPr>
        <w:t xml:space="preserve">Warunek preferencyjnego opodatkowania, będzie spełniony jeżeli według przepisów prawa podatkowego obowiązujących w państwie siedziby, zarządu, zarejestrowania lub położenia podmiotu powiązanego, dochód (przychód) tego podmiotu uzyskany z jednego z tytułów wymienionych w ust. 3 pkt 1–5, podlegałby: </w:t>
      </w:r>
    </w:p>
    <w:p w14:paraId="1B87740B" w14:textId="6E41C05F" w:rsidR="0032515D" w:rsidRPr="00A720EE" w:rsidRDefault="0032515D" w:rsidP="00683BAD">
      <w:pPr>
        <w:pStyle w:val="Akapitzlist"/>
        <w:numPr>
          <w:ilvl w:val="0"/>
          <w:numId w:val="22"/>
        </w:numPr>
        <w:jc w:val="both"/>
        <w:rPr>
          <w:rFonts w:ascii="Times New Roman" w:hAnsi="Times New Roman" w:cs="Times New Roman"/>
          <w:sz w:val="24"/>
          <w:szCs w:val="24"/>
        </w:rPr>
      </w:pPr>
      <w:r w:rsidRPr="00A720EE">
        <w:rPr>
          <w:rFonts w:ascii="Times New Roman" w:hAnsi="Times New Roman" w:cs="Times New Roman"/>
          <w:sz w:val="24"/>
          <w:szCs w:val="24"/>
        </w:rPr>
        <w:t>opodatkowaniu według stawki podatku dochodowego niższej niż 14</w:t>
      </w:r>
      <w:r w:rsidR="00AB6E43" w:rsidRPr="00A720EE">
        <w:rPr>
          <w:rFonts w:ascii="Times New Roman" w:hAnsi="Times New Roman" w:cs="Times New Roman"/>
          <w:sz w:val="24"/>
          <w:szCs w:val="24"/>
        </w:rPr>
        <w:t>,</w:t>
      </w:r>
      <w:r w:rsidRPr="00A720EE">
        <w:rPr>
          <w:rFonts w:ascii="Times New Roman" w:hAnsi="Times New Roman" w:cs="Times New Roman"/>
          <w:sz w:val="24"/>
          <w:szCs w:val="24"/>
        </w:rPr>
        <w:t xml:space="preserve">25% lub </w:t>
      </w:r>
    </w:p>
    <w:p w14:paraId="367B9813" w14:textId="77777777" w:rsidR="0032515D" w:rsidRPr="00A720EE" w:rsidRDefault="0032515D" w:rsidP="00683BAD">
      <w:pPr>
        <w:pStyle w:val="Akapitzlist"/>
        <w:numPr>
          <w:ilvl w:val="0"/>
          <w:numId w:val="22"/>
        </w:numPr>
        <w:jc w:val="both"/>
        <w:rPr>
          <w:rFonts w:ascii="Times New Roman" w:hAnsi="Times New Roman" w:cs="Times New Roman"/>
          <w:sz w:val="24"/>
          <w:szCs w:val="24"/>
        </w:rPr>
      </w:pPr>
      <w:r w:rsidRPr="00A720EE">
        <w:rPr>
          <w:rFonts w:ascii="Times New Roman" w:hAnsi="Times New Roman" w:cs="Times New Roman"/>
          <w:sz w:val="24"/>
          <w:szCs w:val="24"/>
        </w:rPr>
        <w:t xml:space="preserve">zwolnieniu lub wyłączeniu z opodatkowania. </w:t>
      </w:r>
    </w:p>
    <w:p w14:paraId="3E85CEB8" w14:textId="77777777" w:rsidR="0032515D" w:rsidRPr="00A720EE" w:rsidRDefault="0032515D" w:rsidP="000151A2">
      <w:pPr>
        <w:spacing w:after="120" w:line="276" w:lineRule="auto"/>
        <w:ind w:left="709"/>
        <w:jc w:val="both"/>
        <w:rPr>
          <w:rFonts w:ascii="Times New Roman" w:hAnsi="Times New Roman" w:cs="Times New Roman"/>
          <w:sz w:val="24"/>
          <w:szCs w:val="24"/>
        </w:rPr>
      </w:pPr>
      <w:r w:rsidRPr="00A720EE">
        <w:rPr>
          <w:rFonts w:ascii="Times New Roman" w:hAnsi="Times New Roman" w:cs="Times New Roman"/>
          <w:sz w:val="24"/>
          <w:szCs w:val="24"/>
        </w:rPr>
        <w:t>Preferencyjne opodatkowanie ustala się zatem w szczególności w oparciu o stawkę podatku dochodowego niższą niż 14,25%. Zgodnie z proponowanym ust. 2a, podstawą do jej ustalenia byłaby nominalna stawka podatku dochodowego obowiązująca w kraju siedziby, zarządu, zarejestrowania lub położenia podmiotu powiązanego w odniesieniu do przychodu z danego tytułu wymienionego w ust. 3 pkt 1–5. Jednakże w tym zakresie uwzględnia się przysługujące podmiotowi powiązanemu ulgi (odliczenia od podstawy opodatkowania albo od podatku) lub zwroty podatku, związane z przychodem z danego tytułu (np. przychodem z odsetek, usług zarządczych, należności licencyjnych).</w:t>
      </w:r>
    </w:p>
    <w:p w14:paraId="2E583D11" w14:textId="03FA4696" w:rsidR="00306B9C" w:rsidRPr="00A720EE" w:rsidRDefault="00306B9C" w:rsidP="000151A2">
      <w:pPr>
        <w:spacing w:after="120" w:line="276" w:lineRule="auto"/>
        <w:ind w:left="709"/>
        <w:jc w:val="both"/>
        <w:rPr>
          <w:rFonts w:ascii="Times New Roman" w:hAnsi="Times New Roman" w:cs="Times New Roman"/>
          <w:sz w:val="24"/>
          <w:szCs w:val="24"/>
        </w:rPr>
      </w:pPr>
      <w:r w:rsidRPr="00A720EE">
        <w:rPr>
          <w:rFonts w:ascii="Times New Roman" w:hAnsi="Times New Roman" w:cs="Times New Roman"/>
          <w:sz w:val="24"/>
          <w:szCs w:val="24"/>
        </w:rPr>
        <w:t xml:space="preserve">Po zmianie warunek niższego opodatkowania nie </w:t>
      </w:r>
      <w:r w:rsidR="0032515D" w:rsidRPr="00A720EE">
        <w:rPr>
          <w:rFonts w:ascii="Times New Roman" w:hAnsi="Times New Roman" w:cs="Times New Roman"/>
          <w:sz w:val="24"/>
          <w:szCs w:val="24"/>
        </w:rPr>
        <w:t>dotyczy zatem faktycznie zapłaconego podatku, kalkulowanego w odniesieniu do</w:t>
      </w:r>
      <w:r w:rsidRPr="00A720EE">
        <w:rPr>
          <w:rFonts w:ascii="Times New Roman" w:hAnsi="Times New Roman" w:cs="Times New Roman"/>
          <w:sz w:val="24"/>
          <w:szCs w:val="24"/>
        </w:rPr>
        <w:t xml:space="preserve"> całokształtu działalności lub całkowitego dochodu podmiotu powiązanego</w:t>
      </w:r>
      <w:r w:rsidR="0032515D" w:rsidRPr="00A720EE">
        <w:rPr>
          <w:rFonts w:ascii="Times New Roman" w:hAnsi="Times New Roman" w:cs="Times New Roman"/>
          <w:sz w:val="24"/>
          <w:szCs w:val="24"/>
        </w:rPr>
        <w:t>. Warunek ten</w:t>
      </w:r>
      <w:r w:rsidRPr="00A720EE">
        <w:rPr>
          <w:rFonts w:ascii="Times New Roman" w:hAnsi="Times New Roman" w:cs="Times New Roman"/>
          <w:sz w:val="24"/>
          <w:szCs w:val="24"/>
        </w:rPr>
        <w:t xml:space="preserve"> odnosi się do przychodów podmiotu powiązanego z jednego z poszczególnych tytułów wymienionych w art. 24aa ust. 3 pkt 1-5, np. </w:t>
      </w:r>
      <w:r w:rsidR="0032515D" w:rsidRPr="00A720EE">
        <w:rPr>
          <w:rFonts w:ascii="Times New Roman" w:hAnsi="Times New Roman" w:cs="Times New Roman"/>
          <w:sz w:val="24"/>
          <w:szCs w:val="24"/>
        </w:rPr>
        <w:t xml:space="preserve">przychodów </w:t>
      </w:r>
      <w:r w:rsidRPr="00A720EE">
        <w:rPr>
          <w:rFonts w:ascii="Times New Roman" w:hAnsi="Times New Roman" w:cs="Times New Roman"/>
          <w:sz w:val="24"/>
          <w:szCs w:val="24"/>
        </w:rPr>
        <w:t xml:space="preserve">z odsetek, </w:t>
      </w:r>
      <w:r w:rsidR="0032515D" w:rsidRPr="00A720EE">
        <w:rPr>
          <w:rFonts w:ascii="Times New Roman" w:hAnsi="Times New Roman" w:cs="Times New Roman"/>
          <w:sz w:val="24"/>
          <w:szCs w:val="24"/>
        </w:rPr>
        <w:t xml:space="preserve">przychodów z </w:t>
      </w:r>
      <w:r w:rsidRPr="00A720EE">
        <w:rPr>
          <w:rFonts w:ascii="Times New Roman" w:hAnsi="Times New Roman" w:cs="Times New Roman"/>
          <w:sz w:val="24"/>
          <w:szCs w:val="24"/>
        </w:rPr>
        <w:t xml:space="preserve">usług doradczych lub </w:t>
      </w:r>
      <w:r w:rsidR="0032515D" w:rsidRPr="00A720EE">
        <w:rPr>
          <w:rFonts w:ascii="Times New Roman" w:hAnsi="Times New Roman" w:cs="Times New Roman"/>
          <w:sz w:val="24"/>
          <w:szCs w:val="24"/>
        </w:rPr>
        <w:t xml:space="preserve">przychodów z </w:t>
      </w:r>
      <w:r w:rsidRPr="00A720EE">
        <w:rPr>
          <w:rFonts w:ascii="Times New Roman" w:hAnsi="Times New Roman" w:cs="Times New Roman"/>
          <w:sz w:val="24"/>
          <w:szCs w:val="24"/>
        </w:rPr>
        <w:t xml:space="preserve">należności licencyjnych. </w:t>
      </w:r>
    </w:p>
    <w:p w14:paraId="0A2B6EF3" w14:textId="77777777" w:rsidR="0032515D" w:rsidRPr="00A720EE" w:rsidRDefault="0032515D" w:rsidP="000151A2">
      <w:pPr>
        <w:spacing w:after="120" w:line="276" w:lineRule="auto"/>
        <w:ind w:left="709"/>
        <w:jc w:val="both"/>
        <w:rPr>
          <w:rFonts w:ascii="Times New Roman" w:hAnsi="Times New Roman" w:cs="Times New Roman"/>
          <w:sz w:val="24"/>
          <w:szCs w:val="24"/>
        </w:rPr>
      </w:pPr>
      <w:r w:rsidRPr="00A720EE">
        <w:rPr>
          <w:rFonts w:ascii="Times New Roman" w:hAnsi="Times New Roman" w:cs="Times New Roman"/>
          <w:sz w:val="24"/>
          <w:szCs w:val="24"/>
        </w:rPr>
        <w:t>Zgodnie z powyższymi założeniami, i w świetle proponowanego brzmienia ust. 2a, nie uwzględnia się kosztów związanych z danym przychodem (równoważnych kosztom uzyskania przychodu), tj. nie uwzględnia się ani kosztów bezpośrednich ani nie alokuje się kosztów pośrednich.</w:t>
      </w:r>
    </w:p>
    <w:p w14:paraId="3F4C157A" w14:textId="77777777" w:rsidR="0032515D" w:rsidRPr="00A720EE" w:rsidRDefault="0032515D" w:rsidP="000151A2">
      <w:pPr>
        <w:spacing w:after="120" w:line="276" w:lineRule="auto"/>
        <w:ind w:left="709"/>
        <w:jc w:val="both"/>
        <w:rPr>
          <w:rFonts w:ascii="Times New Roman" w:hAnsi="Times New Roman" w:cs="Times New Roman"/>
          <w:sz w:val="24"/>
          <w:szCs w:val="24"/>
        </w:rPr>
      </w:pPr>
      <w:r w:rsidRPr="00A720EE">
        <w:rPr>
          <w:rFonts w:ascii="Times New Roman" w:hAnsi="Times New Roman" w:cs="Times New Roman"/>
          <w:sz w:val="24"/>
          <w:szCs w:val="24"/>
        </w:rPr>
        <w:t xml:space="preserve">Ponadto, jeżeli podmiot powiązany podlega częściowemu zwolnieniu lub częściowemu wyłączeniu z opodatkowania podatkiem dochodowym, warunek dotyczący stawki podatku niższej niż 14.25%, ustala się korygując nominalną stawkę podatkową o odpowiednią wartość procentową przysługującego zwolnienia lub wyłączenia z </w:t>
      </w:r>
      <w:r w:rsidRPr="00A720EE">
        <w:rPr>
          <w:rFonts w:ascii="Times New Roman" w:hAnsi="Times New Roman" w:cs="Times New Roman"/>
          <w:sz w:val="24"/>
          <w:szCs w:val="24"/>
        </w:rPr>
        <w:lastRenderedPageBreak/>
        <w:t>opodatkowania. W tym zakresie uwzględnia się również korektę wysokości stawki o efekt ewentualnych ulg lub zwrotów (w potencjalnym przypadku, gdy przysługiwałyby jednocześnie z częściowym zwolnieniem lub wyłączeniem z opodatkowania).</w:t>
      </w:r>
    </w:p>
    <w:p w14:paraId="72766FC0" w14:textId="7D4C4825" w:rsidR="00306B9C" w:rsidRPr="00A720EE" w:rsidRDefault="0032515D">
      <w:pPr>
        <w:pStyle w:val="ZLITUSTzmustliter"/>
        <w:spacing w:after="120" w:line="276" w:lineRule="auto"/>
        <w:ind w:left="720" w:firstLine="0"/>
        <w:rPr>
          <w:rFonts w:ascii="Times New Roman" w:hAnsi="Times New Roman" w:cs="Times New Roman"/>
          <w:szCs w:val="24"/>
        </w:rPr>
      </w:pPr>
      <w:r w:rsidRPr="00A720EE">
        <w:rPr>
          <w:rFonts w:ascii="Times New Roman" w:hAnsi="Times New Roman" w:cs="Times New Roman"/>
          <w:szCs w:val="24"/>
        </w:rPr>
        <w:t>Przykładowo</w:t>
      </w:r>
      <w:r w:rsidR="00306B9C" w:rsidRPr="00A720EE">
        <w:rPr>
          <w:rFonts w:ascii="Times New Roman" w:hAnsi="Times New Roman" w:cs="Times New Roman"/>
          <w:szCs w:val="24"/>
        </w:rPr>
        <w:t xml:space="preserve">, podmiot powiązany z siedzibą w państwie </w:t>
      </w:r>
      <w:r w:rsidRPr="00A720EE">
        <w:rPr>
          <w:rFonts w:ascii="Times New Roman" w:hAnsi="Times New Roman" w:cs="Times New Roman"/>
          <w:szCs w:val="24"/>
        </w:rPr>
        <w:t xml:space="preserve">Y </w:t>
      </w:r>
      <w:r w:rsidR="00306B9C" w:rsidRPr="00A720EE">
        <w:rPr>
          <w:rFonts w:ascii="Times New Roman" w:hAnsi="Times New Roman" w:cs="Times New Roman"/>
          <w:szCs w:val="24"/>
        </w:rPr>
        <w:t xml:space="preserve">uzyskał od polskiej spółki płatność za usługi zarządzania w wysokości 100. Stawka nominalna podatku dochodowego w państwie Y wynosi 15%, jednakże zgodnie ze szczególnymi przepisami dotyczącymi usług niematerialnych podmiot ten jest uprawniony do zwrotu podatku w wysokości 5%. </w:t>
      </w:r>
      <w:r w:rsidRPr="00A720EE">
        <w:rPr>
          <w:rFonts w:ascii="Times New Roman" w:hAnsi="Times New Roman" w:cs="Times New Roman"/>
          <w:szCs w:val="24"/>
        </w:rPr>
        <w:t xml:space="preserve">Stawka podatku dochodowego w rozumieniu art. 24aa ust. 1 pkt 1, po korekcie o efekt zwrotu, wyniosłaby zatem 15% - 5% = 10% </w:t>
      </w:r>
    </w:p>
    <w:p w14:paraId="44A9FD87" w14:textId="77777777" w:rsidR="0032515D" w:rsidRPr="00A720EE" w:rsidRDefault="0032515D">
      <w:pPr>
        <w:pStyle w:val="ZLITUSTzmustliter"/>
        <w:spacing w:after="120" w:line="276" w:lineRule="auto"/>
        <w:ind w:left="720" w:firstLine="0"/>
        <w:rPr>
          <w:rFonts w:ascii="Times New Roman" w:hAnsi="Times New Roman" w:cs="Times New Roman"/>
          <w:szCs w:val="24"/>
        </w:rPr>
      </w:pPr>
      <w:r w:rsidRPr="00A720EE">
        <w:rPr>
          <w:rFonts w:ascii="Times New Roman" w:hAnsi="Times New Roman" w:cs="Times New Roman"/>
          <w:szCs w:val="24"/>
        </w:rPr>
        <w:t>Tytułem innego przykładu, podmiot powiązany z siedzibą w państwie X uzyskał od polskiej spółki odsetki w wysokości 100. Stawka nominalna podatku dochodowego w państwie X wynosi 30%, jednakże zgodnie ze szczególnymi przepisami dotyczącymi odsetek podmiot ten będzie uprawniony do ulgi - odliczenia kwotowego od dochodu równego 60. Odliczenie to będzie miało wpływ na pomniejszenie podatku o 60*30%=18.  Jest to równoważne zmniejszeniu stawki podatku o 18% [(60/100)*30%)]. Stawka podatku dochodowego w rozumieniu art. 24aa ust. 1 pkt 1, po korekcie o efekt ulgi, wyniosłaby zatem 30% - 18% = 12%.</w:t>
      </w:r>
    </w:p>
    <w:p w14:paraId="487009B8" w14:textId="7278B67D" w:rsidR="0032515D" w:rsidRPr="00A720EE" w:rsidRDefault="0032515D">
      <w:pPr>
        <w:pStyle w:val="ZLITUSTzmustliter"/>
        <w:spacing w:after="120" w:line="276" w:lineRule="auto"/>
        <w:ind w:left="720" w:firstLine="0"/>
        <w:rPr>
          <w:rFonts w:ascii="Times New Roman" w:hAnsi="Times New Roman" w:cs="Times New Roman"/>
          <w:szCs w:val="24"/>
        </w:rPr>
      </w:pPr>
      <w:r w:rsidRPr="00A720EE">
        <w:rPr>
          <w:rFonts w:ascii="Times New Roman" w:hAnsi="Times New Roman" w:cs="Times New Roman"/>
          <w:szCs w:val="24"/>
        </w:rPr>
        <w:t>Zmieniając powyższy przykład, jeżeli podmiot powiązany uzyskał od polskiej spółki odsetki w wysokości 200, a stawka nominalna wynosi 30% i ulga (odliczenie kwotowe) wynosi 60,  będzie to równoważne zmniejszeniu stawki podatku o 9% [(60/200)*30%)]. Stawka podatku dochodowego po korekcie o efekt ulgi wyniosłaby zatem 30% - 9% = 21%.</w:t>
      </w:r>
    </w:p>
    <w:p w14:paraId="0D31C458" w14:textId="1BFDCDC7" w:rsidR="0032515D" w:rsidRPr="00A720EE" w:rsidRDefault="0032515D">
      <w:pPr>
        <w:pStyle w:val="ZLITUSTzmustliter"/>
        <w:spacing w:after="120" w:line="276" w:lineRule="auto"/>
        <w:ind w:left="720" w:firstLine="0"/>
        <w:rPr>
          <w:rFonts w:ascii="Times New Roman" w:hAnsi="Times New Roman" w:cs="Times New Roman"/>
          <w:szCs w:val="24"/>
        </w:rPr>
      </w:pPr>
      <w:r w:rsidRPr="00A720EE">
        <w:rPr>
          <w:rFonts w:ascii="Times New Roman" w:hAnsi="Times New Roman" w:cs="Times New Roman"/>
          <w:szCs w:val="24"/>
        </w:rPr>
        <w:t>Kolejnym przykładem może być odliczenie procentowe. Jeżeli podmiot powiązany uzyskał od polskiej spółki odsetki (w dowolnej wysokości), stawka nominalna wynosi 30%, lecz przysługuje specyficzna ulga w postaci odliczenia 20% przychodu z odsetek,  będzie to równoważne zmniejszeniu nominalnej stawki podatku o 6% (0,2*30%). Stawka podatku dochodowego po korekcie o efekt ulgi wyniosłaby zatem 30% - 6% = 24%.</w:t>
      </w:r>
    </w:p>
    <w:p w14:paraId="4946180B" w14:textId="77777777" w:rsidR="0032515D" w:rsidRPr="00A720EE" w:rsidRDefault="0032515D">
      <w:pPr>
        <w:pStyle w:val="ZLITUSTzmustliter"/>
        <w:spacing w:after="120" w:line="276" w:lineRule="auto"/>
        <w:ind w:left="720" w:firstLine="0"/>
        <w:rPr>
          <w:rFonts w:ascii="Times New Roman" w:hAnsi="Times New Roman" w:cs="Times New Roman"/>
          <w:b/>
          <w:szCs w:val="24"/>
        </w:rPr>
      </w:pPr>
      <w:r w:rsidRPr="00A720EE">
        <w:rPr>
          <w:rFonts w:ascii="Times New Roman" w:hAnsi="Times New Roman" w:cs="Times New Roman"/>
          <w:szCs w:val="24"/>
        </w:rPr>
        <w:t>Zgodnie z powyższymi przykładami, stawki podatku dochodowego (czy też stawki nominalnej skorygowanej o efekt ulg, odliczeń lub zwrotów) nie odnosi się do marży na odsetkach. Nie kalkuluje się bowiem podatku, który byłby zapłacony przez podmiot powiązany w odniesieniu do marży na odsetkach (ani w odniesieniu do całkowitego dochodu), a jedynie koryguje się stawkę nominalną o efekt specyficznych preferencji podatkowych związanych z daną kategorią przychodu (np. odsetek).</w:t>
      </w:r>
    </w:p>
    <w:p w14:paraId="2115410E" w14:textId="0DDFAA63" w:rsidR="0032515D" w:rsidRPr="00A720EE" w:rsidRDefault="0032515D">
      <w:pPr>
        <w:pStyle w:val="ZLITUSTzmustliter"/>
        <w:spacing w:after="120" w:line="276" w:lineRule="auto"/>
        <w:ind w:left="0" w:firstLine="0"/>
        <w:rPr>
          <w:rFonts w:ascii="Times New Roman" w:hAnsi="Times New Roman" w:cs="Times New Roman"/>
          <w:szCs w:val="24"/>
        </w:rPr>
      </w:pPr>
      <w:r w:rsidRPr="00A720EE">
        <w:rPr>
          <w:rFonts w:ascii="Times New Roman" w:hAnsi="Times New Roman" w:cs="Times New Roman"/>
          <w:szCs w:val="24"/>
        </w:rPr>
        <w:t>Konsekwencją zmiany warunku dotyczącego niskiej stawki podatkowej, jest też dostosowanie art. 24a</w:t>
      </w:r>
      <w:r w:rsidR="004D68D3" w:rsidRPr="00A720EE">
        <w:rPr>
          <w:rFonts w:ascii="Times New Roman" w:hAnsi="Times New Roman" w:cs="Times New Roman"/>
          <w:szCs w:val="24"/>
        </w:rPr>
        <w:t>a</w:t>
      </w:r>
      <w:r w:rsidRPr="00A720EE">
        <w:rPr>
          <w:rFonts w:ascii="Times New Roman" w:hAnsi="Times New Roman" w:cs="Times New Roman"/>
          <w:szCs w:val="24"/>
        </w:rPr>
        <w:t xml:space="preserve"> ust. 5. W świetle obecnego brzmienia tego przepisu, w przypadku podmiotów powiązanych, które są traktowane jako transparentne podatkowo, </w:t>
      </w:r>
      <w:r w:rsidRPr="00A720EE">
        <w:rPr>
          <w:rFonts w:ascii="Times New Roman" w:hAnsi="Times New Roman" w:cs="Times New Roman"/>
          <w:szCs w:val="24"/>
          <w:shd w:val="clear" w:color="auto" w:fill="FFFFFF"/>
        </w:rPr>
        <w:t>dla celów badania warunku niskiego opodatkowania (wskazanego w ust. 2 pkt 1) uwzględnia się </w:t>
      </w:r>
      <w:bookmarkStart w:id="1" w:name="highlightHit_292"/>
      <w:bookmarkStart w:id="2" w:name="highlightHit_293"/>
      <w:bookmarkEnd w:id="1"/>
      <w:bookmarkEnd w:id="2"/>
      <w:r w:rsidRPr="00A720EE">
        <w:rPr>
          <w:rFonts w:ascii="Times New Roman" w:hAnsi="Times New Roman" w:cs="Times New Roman"/>
          <w:szCs w:val="24"/>
          <w:shd w:val="clear" w:color="auto" w:fill="FFFFFF"/>
        </w:rPr>
        <w:t xml:space="preserve"> podatek dochodowy „faktycznie zapłacony” przez </w:t>
      </w:r>
      <w:bookmarkStart w:id="3" w:name="highlightHit_294"/>
      <w:bookmarkEnd w:id="3"/>
      <w:r w:rsidRPr="00A720EE">
        <w:rPr>
          <w:rFonts w:ascii="Times New Roman" w:hAnsi="Times New Roman" w:cs="Times New Roman"/>
          <w:szCs w:val="24"/>
          <w:shd w:val="clear" w:color="auto" w:fill="FFFFFF"/>
        </w:rPr>
        <w:t xml:space="preserve">wspólników takiego podmiotu. W związku z odejściem, w ramach warunku niskiego opodatkowania od koncepcji „faktycznie zapłaconego podatku”, proponuje się brzmienie ust. 5, w świetle którego w przypadku podmiotów transparentnych </w:t>
      </w:r>
      <w:r w:rsidRPr="00A720EE">
        <w:rPr>
          <w:rFonts w:ascii="Times New Roman" w:hAnsi="Times New Roman" w:cs="Times New Roman"/>
          <w:szCs w:val="24"/>
          <w:shd w:val="clear" w:color="auto" w:fill="FFFFFF"/>
        </w:rPr>
        <w:lastRenderedPageBreak/>
        <w:t xml:space="preserve">podatkowo, </w:t>
      </w:r>
      <w:r w:rsidRPr="00A720EE">
        <w:rPr>
          <w:rFonts w:ascii="Times New Roman" w:hAnsi="Times New Roman" w:cs="Times New Roman"/>
          <w:szCs w:val="24"/>
        </w:rPr>
        <w:t>stawkę podatku, o której mowa w ust. 2 pkt 1, ustala się dla wspólników / podmiotów lub osób fizycznych, którym przypisuje się przychody i koszty. Ze względów efektywności, zdecydowano się przy tym na wyłączenie obowiązku takiego badania w przypadku wspólników (podmiotów lub osób fizycznych), które posiadają w danym podmiocie powiązanym bezpośrednio lub pośrednio poniżej 5% prawa do uczestnictwa w zysku (w takich przypadkach i w tym zakresie podatek od przerzuconych dochodów nie będzie zatem miał zastosowania).</w:t>
      </w:r>
    </w:p>
    <w:p w14:paraId="476D6E82" w14:textId="77777777" w:rsidR="0032515D" w:rsidRPr="00A720EE" w:rsidRDefault="0032515D"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i/>
          <w:sz w:val="24"/>
          <w:szCs w:val="24"/>
        </w:rPr>
        <w:t>Podstawa opodatkowania</w:t>
      </w:r>
    </w:p>
    <w:p w14:paraId="4C354273" w14:textId="177DD74B" w:rsidR="00753ADC" w:rsidRPr="00A720EE" w:rsidRDefault="00753ADC"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Podstawą opodatkowania jest suma przerzuconych dochodów w roku podatkowym, tj. suma kosztów, o których mowa w ust. 2. Jest to zatem zasadniczo suma kosztów pasywnych, w zakresie w jakim zostały w danym roku zaliczone do kosztów uzyskania przychodów podatnika, poniesionych na rzecz podmiotów powiązanych spełniających wskazane warunki dotyczące proporcji przychodów, przenoszenia przychodów i preferencyjnego opodatkowania. Gdy koszty podlegają zaliczeniu do kosztów uzyskania przychodów w roku podatkowym innym niż rok, w którym koszty te zostały poniesione, podstawę opodatkowania ustala się w roku, w którym koszty te zostały zaliczone do kosztów uzyskania przychodów. Przykładowo, może dotyczyć to nabycia przez polską spółkę wartości niematerialnych i prawnych, które będą następnie amortyzowane dla celów podatkowych. W takim przypadku podstawę opodatkowania ustala się w poszczególnych latach, w których odpisy amortyzacyjne zostały zaliczone do kosztów uzyskania przychodów. Innym przykładem może być poniesienie kosztu, który będzie stanowił koszt uzyskania przychodu na moment osiągnięcia przychodu, np. na moment zbycia </w:t>
      </w:r>
      <w:proofErr w:type="spellStart"/>
      <w:r w:rsidRPr="00A720EE">
        <w:rPr>
          <w:rFonts w:ascii="Times New Roman" w:hAnsi="Times New Roman" w:cs="Times New Roman"/>
          <w:sz w:val="24"/>
          <w:szCs w:val="24"/>
        </w:rPr>
        <w:t>WNiP</w:t>
      </w:r>
      <w:proofErr w:type="spellEnd"/>
      <w:r w:rsidRPr="00A720EE">
        <w:rPr>
          <w:rFonts w:ascii="Times New Roman" w:hAnsi="Times New Roman" w:cs="Times New Roman"/>
          <w:sz w:val="24"/>
          <w:szCs w:val="24"/>
        </w:rPr>
        <w:t xml:space="preserve"> (podstawę opodatkowania należy ustalić w roku, w którym koszt zostanie zaliczony do kosztów uzyskania przychodów w związku ze zbyciem WNIP).</w:t>
      </w:r>
    </w:p>
    <w:p w14:paraId="32430BB9" w14:textId="51B90D85" w:rsidR="00753ADC" w:rsidRPr="00A720EE" w:rsidRDefault="00753ADC"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W tym kontekście na szczególne omówienie zasługują koszty finansowania dłużnego. W świetle projektowanych przepisów, w podstawie opodatkowania z tytułu podatku od przerzuconych dochodów nie uwzględnia się odsetek naliczonych, które są neutralne z punktu widzenia przepisów ustawy CIT. Podstawę opodatkowania stanowią jedynie odsetki zapłacone, w zakresie w jakim zostały w danym roku zaliczone do kosztów uzyskania przychodów. W świetle projektowanych przepisów do postawy opodatkowania zalicza się zatem część nadwyżki kosztów finansowania dłużnego, która faktycznie została zaliczona do kosztów uzyskania przychodów w danym roku podatkowym na podstawie art. 15c ust. 1 ustawy CIT. Jeżeli część nadwyżki kosztów finansowania dłużnego została zaliczona do kosztów uzyskania przychodów w następnych 5 latach podatkowych na podstawie art. 15c ust. 18 ustawy CIT, podstawę opodatkowania w kolejnych latach ustala się z uwzględnieniem powyższych kwot. Tym samym, w uproszczeniu, w podstawie opodatkowania uwzględnia się m.in. odsetki zapłacone, zaliczone w poszczególnych latach podatkowych do kosztów uzyskania przychodów do wysokości limitów wynikających z art. 15c ustawy CIT.</w:t>
      </w:r>
    </w:p>
    <w:p w14:paraId="512578CB" w14:textId="434886C6" w:rsidR="00753ADC" w:rsidRPr="00A720EE" w:rsidRDefault="00753ADC"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Z uwagi na systematykę projektowanych przepisów, podobne kwoty </w:t>
      </w:r>
      <w:r w:rsidR="00465AD9" w:rsidRPr="00A720EE">
        <w:rPr>
          <w:rFonts w:ascii="Times New Roman" w:hAnsi="Times New Roman" w:cs="Times New Roman"/>
          <w:sz w:val="24"/>
          <w:szCs w:val="24"/>
        </w:rPr>
        <w:t>„</w:t>
      </w:r>
      <w:r w:rsidRPr="00A720EE">
        <w:rPr>
          <w:rFonts w:ascii="Times New Roman" w:hAnsi="Times New Roman" w:cs="Times New Roman"/>
          <w:sz w:val="24"/>
          <w:szCs w:val="24"/>
        </w:rPr>
        <w:t xml:space="preserve">zaliczone do kosztów uzyskania przychodów” uwzględnia się na potrzeby ustalania licznika w proporcji 3%, o której mowa w ust. 2. Jednakże w liczniku proporcji 3%, jak wspomniano, uwzględnia się koszty </w:t>
      </w:r>
      <w:r w:rsidRPr="00A720EE">
        <w:rPr>
          <w:rFonts w:ascii="Times New Roman" w:hAnsi="Times New Roman" w:cs="Times New Roman"/>
          <w:sz w:val="24"/>
          <w:szCs w:val="24"/>
        </w:rPr>
        <w:lastRenderedPageBreak/>
        <w:t>wskazane w ust. 3 poniesione ogólnie na rzecz podmiotów powiązanych, a nie specyficznie podmiotów spełniających warunki z ust. 2.</w:t>
      </w:r>
    </w:p>
    <w:p w14:paraId="2597F39E" w14:textId="77777777" w:rsidR="0032515D" w:rsidRPr="00A720EE" w:rsidRDefault="00753ADC"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Ponadto, w świetle proponowanego ust. 3a, w przypadku podatkowej grupy kapitałowej podstawą opodatkowania jest suma przerzuconych dochodów spółek tworzących tę grupę. </w:t>
      </w:r>
    </w:p>
    <w:p w14:paraId="5169AF24" w14:textId="77777777" w:rsidR="0032515D" w:rsidRPr="00A720EE" w:rsidRDefault="0032515D" w:rsidP="000151A2">
      <w:pPr>
        <w:spacing w:after="120" w:line="276" w:lineRule="auto"/>
        <w:jc w:val="both"/>
        <w:rPr>
          <w:rFonts w:ascii="Times New Roman" w:hAnsi="Times New Roman" w:cs="Times New Roman"/>
          <w:i/>
          <w:sz w:val="24"/>
          <w:szCs w:val="24"/>
        </w:rPr>
      </w:pPr>
      <w:r w:rsidRPr="00A720EE">
        <w:rPr>
          <w:rFonts w:ascii="Times New Roman" w:hAnsi="Times New Roman" w:cs="Times New Roman"/>
          <w:i/>
          <w:sz w:val="24"/>
          <w:szCs w:val="24"/>
        </w:rPr>
        <w:t>Podatnik</w:t>
      </w:r>
    </w:p>
    <w:p w14:paraId="5E70E180" w14:textId="50674381" w:rsidR="0032515D" w:rsidRPr="00A720EE" w:rsidRDefault="0032515D" w:rsidP="000151A2">
      <w:pPr>
        <w:spacing w:after="120" w:line="276" w:lineRule="auto"/>
        <w:jc w:val="both"/>
        <w:rPr>
          <w:rFonts w:ascii="Times New Roman" w:hAnsi="Times New Roman" w:cs="Times New Roman"/>
          <w:i/>
          <w:sz w:val="24"/>
          <w:szCs w:val="24"/>
        </w:rPr>
      </w:pPr>
      <w:r w:rsidRPr="00A720EE">
        <w:rPr>
          <w:rFonts w:ascii="Times New Roman" w:hAnsi="Times New Roman" w:cs="Times New Roman"/>
          <w:sz w:val="24"/>
          <w:szCs w:val="24"/>
        </w:rPr>
        <w:t xml:space="preserve">Zgodnie z dotychczas obowiązującym brzmieniem ust. 7, podatnikiem podatku od przerzuconych dochodów jest spółka, o której mowa w ust. 1, a w przypadku podatkowej grupy kapitałowej – </w:t>
      </w:r>
      <w:r w:rsidRPr="00A720EE">
        <w:rPr>
          <w:rFonts w:ascii="Times New Roman" w:hAnsi="Times New Roman" w:cs="Times New Roman"/>
          <w:sz w:val="24"/>
          <w:szCs w:val="24"/>
          <w:shd w:val="clear" w:color="auto" w:fill="FFFFFF"/>
        </w:rPr>
        <w:t xml:space="preserve">każda ze spółek tworzących tę grupę. Proponuje się zmianę dotyczącą podatkowych grup kapitałowych (PGK), tj. po zmianie podatnikiem będzie </w:t>
      </w:r>
      <w:r w:rsidRPr="00A720EE">
        <w:rPr>
          <w:rFonts w:ascii="Times New Roman" w:hAnsi="Times New Roman" w:cs="Times New Roman"/>
          <w:sz w:val="24"/>
          <w:szCs w:val="24"/>
        </w:rPr>
        <w:t xml:space="preserve">ta grupa. Zapewni to spójność z art. 1a ustawy CIT oraz ułatwi rozliczenie podatku od przerzuconych dochodów przez grupę i jego wykazanie w zeznaniu podatkowym. </w:t>
      </w:r>
    </w:p>
    <w:p w14:paraId="2B87DB25" w14:textId="77777777" w:rsidR="0032515D" w:rsidRPr="00A720EE" w:rsidRDefault="0032515D"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i/>
          <w:sz w:val="24"/>
          <w:szCs w:val="24"/>
        </w:rPr>
        <w:t>Odpowiednie stosowanie podatku do wybranych podmiotów</w:t>
      </w:r>
    </w:p>
    <w:p w14:paraId="15EEE6A5" w14:textId="77777777" w:rsidR="00360A1D" w:rsidRPr="00A720EE" w:rsidRDefault="0032515D" w:rsidP="0032515D">
      <w:pPr>
        <w:jc w:val="both"/>
        <w:rPr>
          <w:rFonts w:ascii="Times New Roman" w:hAnsi="Times New Roman" w:cs="Times New Roman"/>
          <w:sz w:val="24"/>
          <w:szCs w:val="24"/>
        </w:rPr>
      </w:pPr>
      <w:r w:rsidRPr="00A720EE">
        <w:rPr>
          <w:rFonts w:ascii="Times New Roman" w:hAnsi="Times New Roman" w:cs="Times New Roman"/>
          <w:sz w:val="24"/>
          <w:szCs w:val="24"/>
        </w:rPr>
        <w:t>P</w:t>
      </w:r>
      <w:r w:rsidR="00306B9C" w:rsidRPr="00A720EE">
        <w:rPr>
          <w:rFonts w:ascii="Times New Roman" w:hAnsi="Times New Roman" w:cs="Times New Roman"/>
          <w:sz w:val="24"/>
          <w:szCs w:val="24"/>
        </w:rPr>
        <w:t xml:space="preserve">o zmianach, ust. 2 nie odwołuje się do kosztów „poniesionych pośrednio”; jednakże </w:t>
      </w:r>
      <w:r w:rsidR="00360A1D" w:rsidRPr="00A720EE">
        <w:rPr>
          <w:rFonts w:ascii="Times New Roman" w:hAnsi="Times New Roman" w:cs="Times New Roman"/>
          <w:sz w:val="24"/>
          <w:szCs w:val="24"/>
        </w:rPr>
        <w:t xml:space="preserve">wprowadza się zasadę, iż przepisy o podatku od przerzuconych dochodów stosuje się odpowiednio w sytuacji, gdy: </w:t>
      </w:r>
    </w:p>
    <w:p w14:paraId="0913175E" w14:textId="249BF108" w:rsidR="0096045A" w:rsidRPr="00A720EE" w:rsidRDefault="00360A1D" w:rsidP="00683BAD">
      <w:pPr>
        <w:pStyle w:val="Akapitzlist"/>
        <w:numPr>
          <w:ilvl w:val="1"/>
          <w:numId w:val="23"/>
        </w:numPr>
        <w:ind w:left="851" w:hanging="425"/>
        <w:jc w:val="both"/>
        <w:rPr>
          <w:rFonts w:ascii="Times New Roman" w:hAnsi="Times New Roman" w:cs="Times New Roman"/>
          <w:sz w:val="24"/>
          <w:szCs w:val="24"/>
        </w:rPr>
      </w:pPr>
      <w:r w:rsidRPr="00A720EE">
        <w:rPr>
          <w:rFonts w:ascii="Times New Roman" w:hAnsi="Times New Roman" w:cs="Times New Roman"/>
          <w:sz w:val="24"/>
          <w:szCs w:val="24"/>
        </w:rPr>
        <w:t xml:space="preserve">spółka będąca podatnikiem z siedzibą lub zarządem na terytorium RP </w:t>
      </w:r>
      <w:r w:rsidR="002E21B8" w:rsidRPr="00A720EE">
        <w:rPr>
          <w:rFonts w:ascii="Times New Roman" w:hAnsi="Times New Roman" w:cs="Times New Roman"/>
          <w:sz w:val="24"/>
          <w:szCs w:val="24"/>
        </w:rPr>
        <w:t>ponosi koszty wskazanych świadczeń pasywnych na rzecz</w:t>
      </w:r>
      <w:r w:rsidRPr="00A720EE">
        <w:rPr>
          <w:rFonts w:ascii="Times New Roman" w:hAnsi="Times New Roman" w:cs="Times New Roman"/>
          <w:sz w:val="24"/>
          <w:szCs w:val="24"/>
        </w:rPr>
        <w:t xml:space="preserve"> spółki </w:t>
      </w:r>
      <w:r w:rsidR="002E21B8" w:rsidRPr="00A720EE">
        <w:rPr>
          <w:rFonts w:ascii="Times New Roman" w:hAnsi="Times New Roman" w:cs="Times New Roman"/>
          <w:sz w:val="24"/>
          <w:szCs w:val="24"/>
        </w:rPr>
        <w:t>niebędącej osobą prawną (</w:t>
      </w:r>
      <w:r w:rsidRPr="00A720EE">
        <w:rPr>
          <w:rFonts w:ascii="Times New Roman" w:hAnsi="Times New Roman" w:cs="Times New Roman"/>
          <w:sz w:val="24"/>
          <w:szCs w:val="24"/>
        </w:rPr>
        <w:t>transparentnej podatkowo</w:t>
      </w:r>
      <w:r w:rsidR="002E21B8" w:rsidRPr="00A720EE">
        <w:rPr>
          <w:rFonts w:ascii="Times New Roman" w:hAnsi="Times New Roman" w:cs="Times New Roman"/>
          <w:sz w:val="24"/>
          <w:szCs w:val="24"/>
        </w:rPr>
        <w:t>)</w:t>
      </w:r>
      <w:r w:rsidRPr="00A720EE">
        <w:rPr>
          <w:rFonts w:ascii="Times New Roman" w:hAnsi="Times New Roman" w:cs="Times New Roman"/>
          <w:sz w:val="24"/>
          <w:szCs w:val="24"/>
        </w:rPr>
        <w:t xml:space="preserve"> mającej siedzibę lub zarząd na terytorium Rzeczypospolitej Polskiej, jeżeli ta spółka niebędąca osobą prawną </w:t>
      </w:r>
      <w:r w:rsidR="00306B9C" w:rsidRPr="00A720EE">
        <w:rPr>
          <w:rFonts w:ascii="Times New Roman" w:hAnsi="Times New Roman" w:cs="Times New Roman"/>
          <w:sz w:val="24"/>
          <w:szCs w:val="24"/>
        </w:rPr>
        <w:t xml:space="preserve">przekazuje </w:t>
      </w:r>
      <w:r w:rsidRPr="00A720EE">
        <w:rPr>
          <w:rFonts w:ascii="Times New Roman" w:hAnsi="Times New Roman" w:cs="Times New Roman"/>
          <w:sz w:val="24"/>
          <w:szCs w:val="24"/>
        </w:rPr>
        <w:t xml:space="preserve">te należności na rzecz podmiotu powiązanego spełniającego warunki wymienione w ust. </w:t>
      </w:r>
      <w:r w:rsidR="00306B9C" w:rsidRPr="00A720EE">
        <w:rPr>
          <w:rFonts w:ascii="Times New Roman" w:hAnsi="Times New Roman" w:cs="Times New Roman"/>
          <w:sz w:val="24"/>
          <w:szCs w:val="24"/>
        </w:rPr>
        <w:t>2</w:t>
      </w:r>
      <w:r w:rsidR="0032515D" w:rsidRPr="00A720EE">
        <w:rPr>
          <w:rFonts w:ascii="Times New Roman" w:hAnsi="Times New Roman" w:cs="Times New Roman"/>
          <w:sz w:val="24"/>
          <w:szCs w:val="24"/>
        </w:rPr>
        <w:t xml:space="preserve"> (ust. 14 pkt 1)</w:t>
      </w:r>
      <w:r w:rsidRPr="00A720EE">
        <w:rPr>
          <w:rFonts w:ascii="Times New Roman" w:hAnsi="Times New Roman" w:cs="Times New Roman"/>
          <w:sz w:val="24"/>
          <w:szCs w:val="24"/>
        </w:rPr>
        <w:t xml:space="preserve">; </w:t>
      </w:r>
    </w:p>
    <w:p w14:paraId="3C74394E" w14:textId="0BC44FB5" w:rsidR="0032515D" w:rsidRPr="00A720EE" w:rsidRDefault="00360A1D" w:rsidP="00683BAD">
      <w:pPr>
        <w:pStyle w:val="Akapitzlist"/>
        <w:numPr>
          <w:ilvl w:val="1"/>
          <w:numId w:val="23"/>
        </w:numPr>
        <w:ind w:left="851" w:hanging="425"/>
        <w:jc w:val="both"/>
        <w:rPr>
          <w:rFonts w:ascii="Times New Roman" w:hAnsi="Times New Roman" w:cs="Times New Roman"/>
          <w:sz w:val="24"/>
          <w:szCs w:val="24"/>
        </w:rPr>
      </w:pPr>
      <w:r w:rsidRPr="00A720EE">
        <w:rPr>
          <w:rFonts w:ascii="Times New Roman" w:hAnsi="Times New Roman" w:cs="Times New Roman"/>
          <w:bCs/>
          <w:sz w:val="24"/>
          <w:szCs w:val="24"/>
        </w:rPr>
        <w:t>spółka</w:t>
      </w:r>
      <w:r w:rsidRPr="00A720EE">
        <w:rPr>
          <w:rFonts w:ascii="Times New Roman" w:hAnsi="Times New Roman" w:cs="Times New Roman"/>
          <w:sz w:val="24"/>
          <w:szCs w:val="24"/>
        </w:rPr>
        <w:t xml:space="preserve"> będąca podatnikiem z siedzibą lub zarządem na terytorium RP </w:t>
      </w:r>
      <w:r w:rsidR="002E21B8" w:rsidRPr="00A720EE">
        <w:rPr>
          <w:rFonts w:ascii="Times New Roman" w:hAnsi="Times New Roman" w:cs="Times New Roman"/>
          <w:sz w:val="24"/>
          <w:szCs w:val="24"/>
        </w:rPr>
        <w:t>ponosi koszty</w:t>
      </w:r>
      <w:r w:rsidRPr="00A720EE">
        <w:rPr>
          <w:rFonts w:ascii="Times New Roman" w:hAnsi="Times New Roman" w:cs="Times New Roman"/>
          <w:bCs/>
          <w:sz w:val="24"/>
          <w:szCs w:val="24"/>
        </w:rPr>
        <w:t xml:space="preserve"> wskazanych świadczeń pasywnych</w:t>
      </w:r>
      <w:r w:rsidRPr="00A720EE">
        <w:rPr>
          <w:rFonts w:ascii="Times New Roman" w:hAnsi="Times New Roman" w:cs="Times New Roman"/>
          <w:sz w:val="24"/>
          <w:szCs w:val="24"/>
        </w:rPr>
        <w:t xml:space="preserve"> </w:t>
      </w:r>
      <w:r w:rsidR="002E21B8" w:rsidRPr="00A720EE">
        <w:rPr>
          <w:rFonts w:ascii="Times New Roman" w:hAnsi="Times New Roman" w:cs="Times New Roman"/>
          <w:sz w:val="24"/>
          <w:szCs w:val="24"/>
        </w:rPr>
        <w:t xml:space="preserve">na rzecz </w:t>
      </w:r>
      <w:r w:rsidRPr="00A720EE">
        <w:rPr>
          <w:rFonts w:ascii="Times New Roman" w:hAnsi="Times New Roman" w:cs="Times New Roman"/>
          <w:sz w:val="24"/>
          <w:szCs w:val="24"/>
        </w:rPr>
        <w:t xml:space="preserve">podmiotu powiązanego, który nie spełnia warunków wymienionych w ust. </w:t>
      </w:r>
      <w:r w:rsidR="00306B9C" w:rsidRPr="00A720EE">
        <w:rPr>
          <w:rFonts w:ascii="Times New Roman" w:hAnsi="Times New Roman" w:cs="Times New Roman"/>
          <w:sz w:val="24"/>
          <w:szCs w:val="24"/>
        </w:rPr>
        <w:t>2</w:t>
      </w:r>
      <w:r w:rsidRPr="00A720EE">
        <w:rPr>
          <w:rFonts w:ascii="Times New Roman" w:hAnsi="Times New Roman" w:cs="Times New Roman"/>
          <w:sz w:val="24"/>
          <w:szCs w:val="24"/>
        </w:rPr>
        <w:t xml:space="preserve">, jeżeli ten podmiot </w:t>
      </w:r>
      <w:r w:rsidR="002E21B8" w:rsidRPr="00A720EE">
        <w:rPr>
          <w:rFonts w:ascii="Times New Roman" w:hAnsi="Times New Roman" w:cs="Times New Roman"/>
          <w:sz w:val="24"/>
          <w:szCs w:val="24"/>
        </w:rPr>
        <w:t xml:space="preserve">przekazuje </w:t>
      </w:r>
      <w:r w:rsidRPr="00A720EE">
        <w:rPr>
          <w:rFonts w:ascii="Times New Roman" w:hAnsi="Times New Roman" w:cs="Times New Roman"/>
          <w:sz w:val="24"/>
          <w:szCs w:val="24"/>
        </w:rPr>
        <w:t xml:space="preserve">te należności otrzymane od spółki na rzecz podmiotu powiązanego z tą spółką i spełniającego warunki wymienione w ust. </w:t>
      </w:r>
      <w:r w:rsidR="00306B9C" w:rsidRPr="00A720EE">
        <w:rPr>
          <w:rFonts w:ascii="Times New Roman" w:hAnsi="Times New Roman" w:cs="Times New Roman"/>
          <w:sz w:val="24"/>
          <w:szCs w:val="24"/>
        </w:rPr>
        <w:t xml:space="preserve">2 </w:t>
      </w:r>
      <w:r w:rsidR="0032515D" w:rsidRPr="00A720EE">
        <w:rPr>
          <w:rFonts w:ascii="Times New Roman" w:hAnsi="Times New Roman" w:cs="Times New Roman"/>
          <w:sz w:val="24"/>
          <w:szCs w:val="24"/>
        </w:rPr>
        <w:t>(ust. 14 pkt 2).</w:t>
      </w:r>
    </w:p>
    <w:p w14:paraId="63599852" w14:textId="7EBBD272" w:rsidR="002E21B8" w:rsidRPr="00A720EE" w:rsidRDefault="0032515D" w:rsidP="002E21B8">
      <w:pPr>
        <w:jc w:val="both"/>
        <w:rPr>
          <w:rFonts w:ascii="Times New Roman" w:hAnsi="Times New Roman" w:cs="Times New Roman"/>
          <w:sz w:val="24"/>
          <w:szCs w:val="24"/>
        </w:rPr>
      </w:pPr>
      <w:r w:rsidRPr="00A720EE">
        <w:rPr>
          <w:rFonts w:ascii="Times New Roman" w:hAnsi="Times New Roman" w:cs="Times New Roman"/>
          <w:sz w:val="24"/>
          <w:szCs w:val="24"/>
        </w:rPr>
        <w:t>W odniesieniu do drugiej sytuacji wskazanej wyżej</w:t>
      </w:r>
      <w:r w:rsidR="002E21B8" w:rsidRPr="00A720EE">
        <w:rPr>
          <w:rFonts w:ascii="Times New Roman" w:hAnsi="Times New Roman" w:cs="Times New Roman"/>
          <w:sz w:val="24"/>
          <w:szCs w:val="24"/>
        </w:rPr>
        <w:t xml:space="preserve"> n</w:t>
      </w:r>
      <w:r w:rsidR="001231F9" w:rsidRPr="00A720EE">
        <w:rPr>
          <w:rFonts w:ascii="Times New Roman" w:hAnsi="Times New Roman" w:cs="Times New Roman"/>
          <w:sz w:val="24"/>
          <w:szCs w:val="24"/>
        </w:rPr>
        <w:t>ależy podkreślić, że</w:t>
      </w:r>
      <w:r w:rsidR="002E21B8" w:rsidRPr="00A720EE">
        <w:rPr>
          <w:rFonts w:ascii="Times New Roman" w:hAnsi="Times New Roman" w:cs="Times New Roman"/>
          <w:sz w:val="24"/>
          <w:szCs w:val="24"/>
        </w:rPr>
        <w:t>:</w:t>
      </w:r>
      <w:r w:rsidR="001231F9" w:rsidRPr="00A720EE">
        <w:rPr>
          <w:rFonts w:ascii="Times New Roman" w:hAnsi="Times New Roman" w:cs="Times New Roman"/>
          <w:sz w:val="24"/>
          <w:szCs w:val="24"/>
        </w:rPr>
        <w:t xml:space="preserve"> spełnienie warunków wymienionych w ust. </w:t>
      </w:r>
      <w:r w:rsidR="00306B9C" w:rsidRPr="00A720EE">
        <w:rPr>
          <w:rFonts w:ascii="Times New Roman" w:hAnsi="Times New Roman" w:cs="Times New Roman"/>
          <w:sz w:val="24"/>
          <w:szCs w:val="24"/>
        </w:rPr>
        <w:t xml:space="preserve">2 </w:t>
      </w:r>
      <w:r w:rsidR="001231F9" w:rsidRPr="00A720EE">
        <w:rPr>
          <w:rFonts w:ascii="Times New Roman" w:hAnsi="Times New Roman" w:cs="Times New Roman"/>
          <w:sz w:val="24"/>
          <w:szCs w:val="24"/>
        </w:rPr>
        <w:t xml:space="preserve">przez </w:t>
      </w:r>
      <w:r w:rsidR="002E21B8" w:rsidRPr="00A720EE">
        <w:rPr>
          <w:rFonts w:ascii="Times New Roman" w:hAnsi="Times New Roman" w:cs="Times New Roman"/>
          <w:sz w:val="24"/>
          <w:szCs w:val="24"/>
        </w:rPr>
        <w:t xml:space="preserve">drugi </w:t>
      </w:r>
      <w:r w:rsidR="001231F9" w:rsidRPr="00A720EE">
        <w:rPr>
          <w:rFonts w:ascii="Times New Roman" w:hAnsi="Times New Roman" w:cs="Times New Roman"/>
          <w:sz w:val="24"/>
          <w:szCs w:val="24"/>
        </w:rPr>
        <w:t xml:space="preserve">podmiot zagraniczny, do którego </w:t>
      </w:r>
      <w:r w:rsidR="002E21B8" w:rsidRPr="00A720EE">
        <w:rPr>
          <w:rFonts w:ascii="Times New Roman" w:hAnsi="Times New Roman" w:cs="Times New Roman"/>
          <w:sz w:val="24"/>
          <w:szCs w:val="24"/>
        </w:rPr>
        <w:t xml:space="preserve">przekazuje </w:t>
      </w:r>
      <w:r w:rsidR="001231F9" w:rsidRPr="00A720EE">
        <w:rPr>
          <w:rFonts w:ascii="Times New Roman" w:hAnsi="Times New Roman" w:cs="Times New Roman"/>
          <w:sz w:val="24"/>
          <w:szCs w:val="24"/>
        </w:rPr>
        <w:t>należności spółka pośrednicząca należy oceniać odpowiednio, tj. biorąc pod uwagę, że wypłata następuje pomiędzy dwoma zagranicznymi podmiotami</w:t>
      </w:r>
      <w:r w:rsidR="00A54246" w:rsidRPr="00A720EE">
        <w:rPr>
          <w:rFonts w:ascii="Times New Roman" w:hAnsi="Times New Roman" w:cs="Times New Roman"/>
          <w:sz w:val="24"/>
          <w:szCs w:val="24"/>
        </w:rPr>
        <w:t xml:space="preserve"> i w szczególności warunek </w:t>
      </w:r>
      <w:r w:rsidR="00306B9C" w:rsidRPr="00A720EE">
        <w:rPr>
          <w:rFonts w:ascii="Times New Roman" w:hAnsi="Times New Roman" w:cs="Times New Roman"/>
          <w:sz w:val="24"/>
          <w:szCs w:val="24"/>
        </w:rPr>
        <w:t>dotyczący 50% progu przychodów</w:t>
      </w:r>
      <w:r w:rsidR="00A54246" w:rsidRPr="00A720EE">
        <w:rPr>
          <w:rFonts w:ascii="Times New Roman" w:hAnsi="Times New Roman" w:cs="Times New Roman"/>
          <w:sz w:val="24"/>
          <w:szCs w:val="24"/>
        </w:rPr>
        <w:t xml:space="preserve"> może </w:t>
      </w:r>
      <w:r w:rsidR="00306B9C" w:rsidRPr="00A720EE">
        <w:rPr>
          <w:rFonts w:ascii="Times New Roman" w:hAnsi="Times New Roman" w:cs="Times New Roman"/>
          <w:sz w:val="24"/>
          <w:szCs w:val="24"/>
        </w:rPr>
        <w:t xml:space="preserve">odnosić się </w:t>
      </w:r>
      <w:r w:rsidR="00A54246" w:rsidRPr="00A720EE">
        <w:rPr>
          <w:rFonts w:ascii="Times New Roman" w:hAnsi="Times New Roman" w:cs="Times New Roman"/>
          <w:sz w:val="24"/>
          <w:szCs w:val="24"/>
        </w:rPr>
        <w:t xml:space="preserve">jedynie </w:t>
      </w:r>
      <w:r w:rsidR="00306B9C" w:rsidRPr="00A720EE">
        <w:rPr>
          <w:rFonts w:ascii="Times New Roman" w:hAnsi="Times New Roman" w:cs="Times New Roman"/>
          <w:sz w:val="24"/>
          <w:szCs w:val="24"/>
        </w:rPr>
        <w:t xml:space="preserve">do </w:t>
      </w:r>
      <w:r w:rsidR="00A54246" w:rsidRPr="00A720EE">
        <w:rPr>
          <w:rFonts w:ascii="Times New Roman" w:hAnsi="Times New Roman" w:cs="Times New Roman"/>
          <w:sz w:val="24"/>
          <w:szCs w:val="24"/>
        </w:rPr>
        <w:t>płatności od zagranicznego podmiotu pośredniczącego</w:t>
      </w:r>
      <w:r w:rsidR="002E21B8" w:rsidRPr="00A720EE">
        <w:rPr>
          <w:rFonts w:ascii="Times New Roman" w:hAnsi="Times New Roman" w:cs="Times New Roman"/>
          <w:sz w:val="24"/>
          <w:szCs w:val="24"/>
        </w:rPr>
        <w:t>.</w:t>
      </w:r>
    </w:p>
    <w:p w14:paraId="7F356AAF" w14:textId="77777777" w:rsidR="0032515D" w:rsidRPr="00A720EE" w:rsidRDefault="0032515D" w:rsidP="0032515D">
      <w:pPr>
        <w:jc w:val="both"/>
        <w:rPr>
          <w:rFonts w:ascii="Times New Roman" w:hAnsi="Times New Roman" w:cs="Times New Roman"/>
          <w:sz w:val="24"/>
          <w:szCs w:val="24"/>
        </w:rPr>
      </w:pPr>
      <w:r w:rsidRPr="00A720EE">
        <w:rPr>
          <w:rFonts w:ascii="Times New Roman" w:hAnsi="Times New Roman" w:cs="Times New Roman"/>
          <w:sz w:val="24"/>
          <w:szCs w:val="24"/>
        </w:rPr>
        <w:t xml:space="preserve">Należy również zwrócić uwagę na odpowiednią zmianę ust. 10. Zgodnie z jego obecnym brzmieniem, </w:t>
      </w:r>
      <w:r w:rsidRPr="00A720EE">
        <w:rPr>
          <w:rFonts w:ascii="Times New Roman" w:hAnsi="Times New Roman" w:cs="Times New Roman"/>
          <w:sz w:val="24"/>
          <w:szCs w:val="24"/>
          <w:shd w:val="clear" w:color="auto" w:fill="FFFFFF"/>
        </w:rPr>
        <w:t xml:space="preserve">przepisów o podatku od przerzuconych dochodów nie stosuje się w zakresie, w jakim koszty zostały poniesione na rzecz podmiotu powiązanego podlegającego opodatkowaniu od całości swoich dochodów w państwie członkowskim UE lub w państwie należącym do EOG i prowadzącego w tym państwie istotną rzeczywistą działalność gospodarczą. Zgodnie z proponowaną zmianą ust. 10, powyższą zasadę </w:t>
      </w:r>
      <w:r w:rsidRPr="00A720EE">
        <w:rPr>
          <w:rFonts w:ascii="Times New Roman" w:hAnsi="Times New Roman" w:cs="Times New Roman"/>
          <w:sz w:val="24"/>
          <w:szCs w:val="24"/>
        </w:rPr>
        <w:t>stosuje się odpowiednio do podmiotu, o którym mowa w ust. 14 pkt 2, powiązanego z podatnikiem i spełniającego warunki wymienione w ust. 2, tj. drugiego podmiotu zagranicznego wskazanego w ust. 14 pkt 2.</w:t>
      </w:r>
    </w:p>
    <w:p w14:paraId="3F4AC72A" w14:textId="06856444" w:rsidR="002E21B8" w:rsidRPr="00A720EE" w:rsidRDefault="002E21B8" w:rsidP="0032515D">
      <w:pPr>
        <w:jc w:val="both"/>
        <w:rPr>
          <w:rFonts w:ascii="Times New Roman" w:hAnsi="Times New Roman" w:cs="Times New Roman"/>
          <w:sz w:val="24"/>
          <w:szCs w:val="24"/>
        </w:rPr>
      </w:pPr>
      <w:r w:rsidRPr="00A720EE">
        <w:rPr>
          <w:rFonts w:ascii="Times New Roman" w:hAnsi="Times New Roman" w:cs="Times New Roman"/>
          <w:sz w:val="24"/>
          <w:szCs w:val="24"/>
        </w:rPr>
        <w:lastRenderedPageBreak/>
        <w:t>W opisanych wyżej dwóch przypadkach (ust. 14 pkt 1 i pkt 2) mowa jest o „podatniku”, który ponosi koszty na rzecz innych podmiotów (spółki niebędącej osobą prawną z siedzibą w Polsce albo podmiotu zagranicznego), które to podmioty przekazują przychody do kolejnych podmiotów. W świetle ust. 1 oraz ust. 7  podatnikiem podatku od przerzuconych dochodów jest spółka będąca podatnikiem, o którym mowa w art. 3 ust. 1 ustawy CIT. Zasada ta obowiązuje również względem przypadków opisanych w ust. 14 pkt 1 i pkt 2, tj. to polska spółka będąca podatnikiem będzie zobowiązana do rozliczenia podatku od przerzuconych dochodów (w szczególności nie będzie zobowiązany do rozliczenia podatku podmiot zagraniczny niespełniający warunków ust. 2 przekazujący przychody do kolejnego podmiotu zagranicznego spełniającego te warunki).</w:t>
      </w:r>
    </w:p>
    <w:p w14:paraId="32C77F62" w14:textId="4DB069C5" w:rsidR="005E0698" w:rsidRPr="00A720EE" w:rsidRDefault="005E0698" w:rsidP="00385703">
      <w:pPr>
        <w:spacing w:line="276" w:lineRule="auto"/>
        <w:jc w:val="both"/>
        <w:rPr>
          <w:rFonts w:ascii="Times New Roman" w:hAnsi="Times New Roman" w:cs="Times New Roman"/>
          <w:color w:val="000000" w:themeColor="text1"/>
          <w:sz w:val="24"/>
          <w:szCs w:val="24"/>
        </w:rPr>
      </w:pPr>
      <w:r w:rsidRPr="00A720EE">
        <w:rPr>
          <w:rFonts w:ascii="Times New Roman" w:hAnsi="Times New Roman" w:cs="Times New Roman"/>
          <w:color w:val="000000" w:themeColor="text1"/>
          <w:sz w:val="24"/>
          <w:szCs w:val="24"/>
        </w:rPr>
        <w:t>Szczególne zasady wprowadza się ponadto dla podmiotów zlokalizowanych w tzw. rajach podatkowych lub państwach</w:t>
      </w:r>
      <w:r w:rsidR="00AB6E43" w:rsidRPr="00A720EE">
        <w:rPr>
          <w:rFonts w:ascii="Times New Roman" w:hAnsi="Times New Roman" w:cs="Times New Roman"/>
          <w:color w:val="000000" w:themeColor="text1"/>
          <w:sz w:val="24"/>
          <w:szCs w:val="24"/>
        </w:rPr>
        <w:t>,</w:t>
      </w:r>
      <w:r w:rsidRPr="00A720EE">
        <w:rPr>
          <w:rFonts w:ascii="Times New Roman" w:hAnsi="Times New Roman" w:cs="Times New Roman"/>
          <w:color w:val="000000" w:themeColor="text1"/>
          <w:sz w:val="24"/>
          <w:szCs w:val="24"/>
        </w:rPr>
        <w:t xml:space="preserve"> z którym</w:t>
      </w:r>
      <w:r w:rsidR="00D1613E" w:rsidRPr="00A720EE">
        <w:rPr>
          <w:rFonts w:ascii="Times New Roman" w:hAnsi="Times New Roman" w:cs="Times New Roman"/>
          <w:color w:val="000000" w:themeColor="text1"/>
          <w:sz w:val="24"/>
          <w:szCs w:val="24"/>
        </w:rPr>
        <w:t>i</w:t>
      </w:r>
      <w:r w:rsidRPr="00A720EE">
        <w:rPr>
          <w:rFonts w:ascii="Times New Roman" w:hAnsi="Times New Roman" w:cs="Times New Roman"/>
          <w:color w:val="000000" w:themeColor="text1"/>
          <w:sz w:val="24"/>
          <w:szCs w:val="24"/>
        </w:rPr>
        <w:t xml:space="preserve"> nie ratyfikowano umowy o unikaniu podwójnego opodatkowania lub umowy o wymianie informacji podatkowych. W tym zakresie, aby dan</w:t>
      </w:r>
      <w:r w:rsidR="0032515D" w:rsidRPr="00A720EE">
        <w:rPr>
          <w:rFonts w:ascii="Times New Roman" w:hAnsi="Times New Roman" w:cs="Times New Roman"/>
          <w:color w:val="000000" w:themeColor="text1"/>
          <w:sz w:val="24"/>
          <w:szCs w:val="24"/>
        </w:rPr>
        <w:t>y</w:t>
      </w:r>
      <w:r w:rsidRPr="00A720EE">
        <w:rPr>
          <w:rFonts w:ascii="Times New Roman" w:hAnsi="Times New Roman" w:cs="Times New Roman"/>
          <w:color w:val="000000" w:themeColor="text1"/>
          <w:sz w:val="24"/>
          <w:szCs w:val="24"/>
        </w:rPr>
        <w:t xml:space="preserve"> </w:t>
      </w:r>
      <w:r w:rsidR="0032515D" w:rsidRPr="00A720EE">
        <w:rPr>
          <w:rFonts w:ascii="Times New Roman" w:hAnsi="Times New Roman" w:cs="Times New Roman"/>
          <w:color w:val="000000" w:themeColor="text1"/>
          <w:sz w:val="24"/>
          <w:szCs w:val="24"/>
        </w:rPr>
        <w:t xml:space="preserve">koszt </w:t>
      </w:r>
      <w:r w:rsidRPr="00A720EE">
        <w:rPr>
          <w:rFonts w:ascii="Times New Roman" w:hAnsi="Times New Roman" w:cs="Times New Roman"/>
          <w:color w:val="000000" w:themeColor="text1"/>
          <w:sz w:val="24"/>
          <w:szCs w:val="24"/>
        </w:rPr>
        <w:t>został objęt</w:t>
      </w:r>
      <w:r w:rsidR="0032515D" w:rsidRPr="00A720EE">
        <w:rPr>
          <w:rFonts w:ascii="Times New Roman" w:hAnsi="Times New Roman" w:cs="Times New Roman"/>
          <w:color w:val="000000" w:themeColor="text1"/>
          <w:sz w:val="24"/>
          <w:szCs w:val="24"/>
        </w:rPr>
        <w:t>y</w:t>
      </w:r>
      <w:r w:rsidRPr="00A720EE">
        <w:rPr>
          <w:rFonts w:ascii="Times New Roman" w:hAnsi="Times New Roman" w:cs="Times New Roman"/>
          <w:color w:val="000000" w:themeColor="text1"/>
          <w:sz w:val="24"/>
          <w:szCs w:val="24"/>
        </w:rPr>
        <w:t xml:space="preserve"> podatkiem od przerzuconych dochodów wystarczające jest spełnienie podstawowych warunków określonych w art. 24aa ust. 2, natomiast nie bada się, czy zagraniczny podmiot powiązany przekazał dalej przychody z otrzymanych należności, czy osiąga ponad 50% z określonych należności oraz czy spełnia warunek dotyczący niskiej efektywnej stawki podatkowej. </w:t>
      </w:r>
    </w:p>
    <w:p w14:paraId="2A6EA65F" w14:textId="77777777" w:rsidR="00753ADC" w:rsidRPr="00A720EE" w:rsidRDefault="00753ADC" w:rsidP="00753ADC">
      <w:pPr>
        <w:spacing w:line="276" w:lineRule="auto"/>
        <w:jc w:val="both"/>
        <w:rPr>
          <w:rFonts w:ascii="Times New Roman" w:hAnsi="Times New Roman" w:cs="Times New Roman"/>
          <w:color w:val="000000" w:themeColor="text1"/>
          <w:sz w:val="24"/>
          <w:szCs w:val="24"/>
        </w:rPr>
      </w:pPr>
      <w:r w:rsidRPr="00A720EE">
        <w:rPr>
          <w:rFonts w:ascii="Times New Roman" w:hAnsi="Times New Roman" w:cs="Times New Roman"/>
          <w:color w:val="000000" w:themeColor="text1"/>
          <w:sz w:val="24"/>
          <w:szCs w:val="24"/>
        </w:rPr>
        <w:t xml:space="preserve">Zgodnie z systematyką podatku od przerzuconych dochodów odpowiednie stosowanie przepisów w wyżej wskazanych przypadkach dotyczy to kosztów </w:t>
      </w:r>
      <w:r w:rsidRPr="00A720EE">
        <w:rPr>
          <w:rFonts w:ascii="Times New Roman" w:hAnsi="Times New Roman" w:cs="Times New Roman"/>
          <w:sz w:val="24"/>
          <w:szCs w:val="24"/>
        </w:rPr>
        <w:t xml:space="preserve">zaliczonych w danym roku do kosztów uzyskania przychodów podatnika. </w:t>
      </w:r>
    </w:p>
    <w:p w14:paraId="5510DD74" w14:textId="77777777" w:rsidR="0032515D" w:rsidRPr="00A720EE" w:rsidRDefault="0032515D" w:rsidP="0032515D">
      <w:pPr>
        <w:jc w:val="both"/>
        <w:rPr>
          <w:rFonts w:ascii="Times New Roman" w:hAnsi="Times New Roman" w:cs="Times New Roman"/>
          <w:i/>
          <w:sz w:val="24"/>
          <w:szCs w:val="24"/>
        </w:rPr>
      </w:pPr>
      <w:r w:rsidRPr="00A720EE">
        <w:rPr>
          <w:rFonts w:ascii="Times New Roman" w:hAnsi="Times New Roman" w:cs="Times New Roman"/>
          <w:i/>
          <w:sz w:val="24"/>
          <w:szCs w:val="24"/>
        </w:rPr>
        <w:t>Pomniejszenie podatku od przerzuconych dochodów o podatek u źródła</w:t>
      </w:r>
    </w:p>
    <w:p w14:paraId="030C8163" w14:textId="55765E36" w:rsidR="0032515D" w:rsidRPr="00A720EE" w:rsidRDefault="0032515D" w:rsidP="0032515D">
      <w:pPr>
        <w:jc w:val="both"/>
        <w:rPr>
          <w:rFonts w:ascii="Times New Roman" w:hAnsi="Times New Roman" w:cs="Times New Roman"/>
          <w:color w:val="000000" w:themeColor="text1"/>
          <w:sz w:val="24"/>
          <w:szCs w:val="24"/>
        </w:rPr>
      </w:pPr>
      <w:r w:rsidRPr="00A720EE">
        <w:rPr>
          <w:rFonts w:ascii="Times New Roman" w:hAnsi="Times New Roman" w:cs="Times New Roman"/>
          <w:sz w:val="24"/>
          <w:szCs w:val="24"/>
        </w:rPr>
        <w:t>Doprecyzowuje się, iż pomniejszenie o pobrany podatek u źródła nie może przekroczyć kwoty podatku od przerzuconych dochodów i reguluje, iż w przypadku dalszego zwrotu / pomniejszenia podatku u źródła podatnik jest obowiązany do zwrotu nienależnie dokonanego pomniejszenia w zeznaniu za rok podatkowy, w którym kwota podatku u źródła została zmniejszona</w:t>
      </w:r>
      <w:r w:rsidR="00055998" w:rsidRPr="00A720EE">
        <w:rPr>
          <w:rFonts w:ascii="Times New Roman" w:hAnsi="Times New Roman" w:cs="Times New Roman"/>
          <w:sz w:val="24"/>
          <w:szCs w:val="24"/>
        </w:rPr>
        <w:t>.</w:t>
      </w:r>
    </w:p>
    <w:p w14:paraId="11CC6911" w14:textId="514368C1" w:rsidR="005D6268" w:rsidRPr="00A720EE" w:rsidRDefault="00D7556F" w:rsidP="00F07620">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7</w:t>
      </w:r>
      <w:r w:rsidR="00210406" w:rsidRPr="00A720EE">
        <w:rPr>
          <w:rFonts w:ascii="Times New Roman" w:eastAsiaTheme="minorEastAsia" w:hAnsi="Times New Roman" w:cs="Times New Roman"/>
          <w:b/>
          <w:color w:val="000000" w:themeColor="text1"/>
          <w:sz w:val="24"/>
          <w:szCs w:val="24"/>
          <w:lang w:eastAsia="pl-PL"/>
        </w:rPr>
        <w:t xml:space="preserve">) </w:t>
      </w:r>
      <w:r w:rsidR="002E12B2" w:rsidRPr="00A720EE">
        <w:rPr>
          <w:rFonts w:ascii="Times New Roman" w:eastAsiaTheme="minorEastAsia" w:hAnsi="Times New Roman" w:cs="Times New Roman"/>
          <w:b/>
          <w:color w:val="000000" w:themeColor="text1"/>
          <w:sz w:val="24"/>
          <w:szCs w:val="24"/>
          <w:lang w:eastAsia="pl-PL"/>
        </w:rPr>
        <w:t xml:space="preserve">Zmiany w podatku u źródła (WHT) </w:t>
      </w:r>
      <w:r w:rsidR="009E31DB" w:rsidRPr="00A720EE">
        <w:rPr>
          <w:rFonts w:ascii="Times New Roman" w:eastAsiaTheme="minorEastAsia" w:hAnsi="Times New Roman" w:cs="Times New Roman"/>
          <w:b/>
          <w:color w:val="000000" w:themeColor="text1"/>
          <w:sz w:val="24"/>
          <w:szCs w:val="24"/>
          <w:lang w:eastAsia="pl-PL"/>
        </w:rPr>
        <w:t>(</w:t>
      </w:r>
      <w:r w:rsidR="00096A5F" w:rsidRPr="00A720EE">
        <w:rPr>
          <w:rFonts w:ascii="Times New Roman" w:eastAsiaTheme="minorEastAsia" w:hAnsi="Times New Roman" w:cs="Times New Roman"/>
          <w:b/>
          <w:color w:val="000000" w:themeColor="text1"/>
          <w:sz w:val="24"/>
          <w:szCs w:val="24"/>
          <w:lang w:eastAsia="pl-PL"/>
        </w:rPr>
        <w:t xml:space="preserve">ustawa </w:t>
      </w:r>
      <w:r w:rsidR="002E12B2" w:rsidRPr="00A720EE">
        <w:rPr>
          <w:rFonts w:ascii="Times New Roman" w:eastAsiaTheme="minorEastAsia" w:hAnsi="Times New Roman" w:cs="Times New Roman"/>
          <w:b/>
          <w:color w:val="000000" w:themeColor="text1"/>
          <w:sz w:val="24"/>
          <w:szCs w:val="24"/>
          <w:lang w:eastAsia="pl-PL"/>
        </w:rPr>
        <w:t>CIT i PIT</w:t>
      </w:r>
      <w:r w:rsidR="009E31DB" w:rsidRPr="00A720EE">
        <w:rPr>
          <w:rFonts w:ascii="Times New Roman" w:eastAsiaTheme="minorEastAsia" w:hAnsi="Times New Roman" w:cs="Times New Roman"/>
          <w:b/>
          <w:color w:val="000000" w:themeColor="text1"/>
          <w:sz w:val="24"/>
          <w:szCs w:val="24"/>
          <w:lang w:eastAsia="pl-PL"/>
        </w:rPr>
        <w:t>)</w:t>
      </w:r>
    </w:p>
    <w:p w14:paraId="69E76A32" w14:textId="77777777" w:rsidR="00B217E4" w:rsidRPr="00A720EE" w:rsidRDefault="00B217E4" w:rsidP="00B217E4">
      <w:pPr>
        <w:suppressAutoHyphens/>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Ogólnym celem projektowanych zmian w przepisach o podatku u źródła (ang. </w:t>
      </w:r>
      <w:proofErr w:type="spellStart"/>
      <w:r w:rsidRPr="00A720EE">
        <w:rPr>
          <w:rFonts w:ascii="Times New Roman" w:eastAsiaTheme="minorEastAsia" w:hAnsi="Times New Roman" w:cs="Times New Roman"/>
          <w:i/>
          <w:sz w:val="24"/>
          <w:szCs w:val="24"/>
          <w:lang w:eastAsia="pl-PL"/>
        </w:rPr>
        <w:t>withholding</w:t>
      </w:r>
      <w:proofErr w:type="spellEnd"/>
      <w:r w:rsidRPr="00A720EE">
        <w:rPr>
          <w:rFonts w:ascii="Times New Roman" w:eastAsiaTheme="minorEastAsia" w:hAnsi="Times New Roman" w:cs="Times New Roman"/>
          <w:i/>
          <w:sz w:val="24"/>
          <w:szCs w:val="24"/>
          <w:lang w:eastAsia="pl-PL"/>
        </w:rPr>
        <w:t xml:space="preserve"> </w:t>
      </w:r>
      <w:proofErr w:type="spellStart"/>
      <w:r w:rsidRPr="00A720EE">
        <w:rPr>
          <w:rFonts w:ascii="Times New Roman" w:eastAsiaTheme="minorEastAsia" w:hAnsi="Times New Roman" w:cs="Times New Roman"/>
          <w:i/>
          <w:sz w:val="24"/>
          <w:szCs w:val="24"/>
          <w:lang w:eastAsia="pl-PL"/>
        </w:rPr>
        <w:t>tax</w:t>
      </w:r>
      <w:proofErr w:type="spellEnd"/>
      <w:r w:rsidRPr="00A720EE">
        <w:rPr>
          <w:rFonts w:ascii="Times New Roman" w:eastAsiaTheme="minorEastAsia" w:hAnsi="Times New Roman" w:cs="Times New Roman"/>
          <w:sz w:val="24"/>
          <w:szCs w:val="24"/>
          <w:lang w:eastAsia="pl-PL"/>
        </w:rPr>
        <w:t xml:space="preserve">) [w skrócie: WHT] jest urealnienie lub złagodzenie obowiązującego od 1 stycznia 2019 r.  mechanizmu poboru tego podatku, nazywanego w skrócie mechanizmem </w:t>
      </w:r>
      <w:proofErr w:type="spellStart"/>
      <w:r w:rsidRPr="00A720EE">
        <w:rPr>
          <w:rFonts w:ascii="Times New Roman" w:eastAsiaTheme="minorEastAsia" w:hAnsi="Times New Roman" w:cs="Times New Roman"/>
          <w:i/>
          <w:sz w:val="24"/>
          <w:szCs w:val="24"/>
          <w:lang w:eastAsia="pl-PL"/>
        </w:rPr>
        <w:t>pay</w:t>
      </w:r>
      <w:proofErr w:type="spellEnd"/>
      <w:r w:rsidRPr="00A720EE">
        <w:rPr>
          <w:rFonts w:ascii="Times New Roman" w:eastAsiaTheme="minorEastAsia" w:hAnsi="Times New Roman" w:cs="Times New Roman"/>
          <w:i/>
          <w:sz w:val="24"/>
          <w:szCs w:val="24"/>
          <w:lang w:eastAsia="pl-PL"/>
        </w:rPr>
        <w:t xml:space="preserve"> &amp; </w:t>
      </w:r>
      <w:proofErr w:type="spellStart"/>
      <w:r w:rsidRPr="00A720EE">
        <w:rPr>
          <w:rFonts w:ascii="Times New Roman" w:eastAsiaTheme="minorEastAsia" w:hAnsi="Times New Roman" w:cs="Times New Roman"/>
          <w:i/>
          <w:sz w:val="24"/>
          <w:szCs w:val="24"/>
          <w:lang w:eastAsia="pl-PL"/>
        </w:rPr>
        <w:t>refund</w:t>
      </w:r>
      <w:proofErr w:type="spellEnd"/>
      <w:r w:rsidRPr="00A720EE">
        <w:rPr>
          <w:rFonts w:ascii="Times New Roman" w:eastAsiaTheme="minorEastAsia" w:hAnsi="Times New Roman" w:cs="Times New Roman"/>
          <w:sz w:val="24"/>
          <w:szCs w:val="24"/>
          <w:lang w:eastAsia="pl-PL"/>
        </w:rPr>
        <w:t xml:space="preserve"> (art. 26 ust. 2e i nast. ustawy CIT oraz art. 41 ust. 12 i nast. ustawy PIT). W tym celu proponuje się - po pierwsze - uelastycznienie zakresu czasowego oświadczenia płatnika z art. 26 ust. 7a ustawy CIT i art. 41 ust. 15 ustawy PIT poprzez wydłużenie terminów do złożenia tzw. oświadczenia pierwotnego i tzw. oświadczenia następczego oraz wydłużenie ważności tego pierwszego oświadczenia do końca roku podatkowego. W praktyce to oznacza, że płatnik będzie mieć więcej czasu na przygotowanie się do złożenia tych oświadczeń i że złożenie oświadczenia pierwotnego pozwoli nie stosować mechanizmu </w:t>
      </w:r>
      <w:proofErr w:type="spellStart"/>
      <w:r w:rsidRPr="00A720EE">
        <w:rPr>
          <w:rFonts w:ascii="Times New Roman" w:eastAsiaTheme="minorEastAsia" w:hAnsi="Times New Roman" w:cs="Times New Roman"/>
          <w:i/>
          <w:sz w:val="24"/>
          <w:szCs w:val="24"/>
          <w:lang w:eastAsia="pl-PL"/>
        </w:rPr>
        <w:t>pay</w:t>
      </w:r>
      <w:proofErr w:type="spellEnd"/>
      <w:r w:rsidRPr="00A720EE">
        <w:rPr>
          <w:rFonts w:ascii="Times New Roman" w:eastAsiaTheme="minorEastAsia" w:hAnsi="Times New Roman" w:cs="Times New Roman"/>
          <w:i/>
          <w:sz w:val="24"/>
          <w:szCs w:val="24"/>
          <w:lang w:eastAsia="pl-PL"/>
        </w:rPr>
        <w:t xml:space="preserve"> &amp; </w:t>
      </w:r>
      <w:proofErr w:type="spellStart"/>
      <w:r w:rsidRPr="00A720EE">
        <w:rPr>
          <w:rFonts w:ascii="Times New Roman" w:eastAsiaTheme="minorEastAsia" w:hAnsi="Times New Roman" w:cs="Times New Roman"/>
          <w:i/>
          <w:sz w:val="24"/>
          <w:szCs w:val="24"/>
          <w:lang w:eastAsia="pl-PL"/>
        </w:rPr>
        <w:t>refund</w:t>
      </w:r>
      <w:proofErr w:type="spellEnd"/>
      <w:r w:rsidRPr="00A720EE">
        <w:rPr>
          <w:rFonts w:ascii="Times New Roman" w:eastAsiaTheme="minorEastAsia" w:hAnsi="Times New Roman" w:cs="Times New Roman"/>
          <w:sz w:val="24"/>
          <w:szCs w:val="24"/>
          <w:lang w:eastAsia="pl-PL"/>
        </w:rPr>
        <w:t xml:space="preserve"> do końca roku podatkowego płatnika.</w:t>
      </w:r>
    </w:p>
    <w:p w14:paraId="6DE1F9C5" w14:textId="7D35D77E" w:rsidR="00B217E4" w:rsidRPr="00A720EE" w:rsidRDefault="00B217E4" w:rsidP="00B217E4">
      <w:pPr>
        <w:suppressAutoHyphens/>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lastRenderedPageBreak/>
        <w:t>Po drugie, proponuje się szczególne rozwiązanie dla płatników w kontekście oświadczeń złożonych w 2022 r</w:t>
      </w:r>
      <w:r w:rsidR="002D61BF"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w:t>
      </w:r>
      <w:r w:rsidR="003B029A" w:rsidRPr="00A720EE">
        <w:rPr>
          <w:rFonts w:ascii="Times New Roman" w:eastAsiaTheme="minorEastAsia" w:hAnsi="Times New Roman" w:cs="Times New Roman"/>
          <w:sz w:val="24"/>
          <w:szCs w:val="24"/>
          <w:lang w:eastAsia="pl-PL"/>
        </w:rPr>
        <w:t>art. 23</w:t>
      </w:r>
      <w:r w:rsidR="00F7753E" w:rsidRPr="00A720EE">
        <w:rPr>
          <w:rFonts w:ascii="Times New Roman" w:eastAsiaTheme="minorEastAsia" w:hAnsi="Times New Roman" w:cs="Times New Roman"/>
          <w:sz w:val="24"/>
          <w:szCs w:val="24"/>
          <w:lang w:eastAsia="pl-PL"/>
        </w:rPr>
        <w:t xml:space="preserve"> ust. 10 </w:t>
      </w:r>
      <w:r w:rsidRPr="00A720EE">
        <w:rPr>
          <w:rFonts w:ascii="Times New Roman" w:eastAsiaTheme="minorEastAsia" w:hAnsi="Times New Roman" w:cs="Times New Roman"/>
          <w:sz w:val="24"/>
          <w:szCs w:val="24"/>
          <w:lang w:eastAsia="pl-PL"/>
        </w:rPr>
        <w:t xml:space="preserve"> projektu ustawy). Chodzi o swoistą abolicję polegającą na retroakcji wspomnianych wyżej zmian w konstrukcji oświadczenia, czyli zastosowaniu wydłużonych terminów względem należności wypłaconych w 2022 r. </w:t>
      </w:r>
    </w:p>
    <w:p w14:paraId="1137F334" w14:textId="2767C940" w:rsidR="00B217E4" w:rsidRPr="00A720EE" w:rsidRDefault="00B217E4" w:rsidP="00B217E4">
      <w:pPr>
        <w:suppressAutoHyphens/>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Po trzecie, proponuje się </w:t>
      </w:r>
      <w:r w:rsidR="00717DC6" w:rsidRPr="00A720EE">
        <w:rPr>
          <w:rFonts w:ascii="Times New Roman" w:eastAsiaTheme="minorEastAsia" w:hAnsi="Times New Roman" w:cs="Times New Roman"/>
          <w:sz w:val="24"/>
          <w:szCs w:val="24"/>
          <w:lang w:eastAsia="pl-PL"/>
        </w:rPr>
        <w:t>złagodzenie warunku niepobierania przez płatnika WHT</w:t>
      </w:r>
      <w:r w:rsidRPr="00A720EE">
        <w:rPr>
          <w:rFonts w:ascii="Times New Roman" w:eastAsiaTheme="minorEastAsia" w:hAnsi="Times New Roman" w:cs="Times New Roman"/>
          <w:sz w:val="24"/>
          <w:szCs w:val="24"/>
          <w:lang w:eastAsia="pl-PL"/>
        </w:rPr>
        <w:t xml:space="preserve"> w</w:t>
      </w:r>
      <w:r w:rsidR="00717DC6"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 xml:space="preserve">zakresie opodatkowania odsetek i dyskonta od niektórych obligacji </w:t>
      </w:r>
      <w:r w:rsidR="00082C39"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art. 26 ust. 1ab-1ac ustawy </w:t>
      </w:r>
      <w:r w:rsidR="00082C39" w:rsidRPr="00A720EE">
        <w:rPr>
          <w:rFonts w:ascii="Times New Roman" w:eastAsiaTheme="minorEastAsia" w:hAnsi="Times New Roman" w:cs="Times New Roman"/>
          <w:sz w:val="24"/>
          <w:szCs w:val="24"/>
          <w:lang w:eastAsia="pl-PL"/>
        </w:rPr>
        <w:t>CIT oraz</w:t>
      </w:r>
      <w:r w:rsidRPr="00A720EE">
        <w:rPr>
          <w:rFonts w:ascii="Times New Roman" w:eastAsiaTheme="minorEastAsia" w:hAnsi="Times New Roman" w:cs="Times New Roman"/>
          <w:sz w:val="24"/>
          <w:szCs w:val="24"/>
          <w:lang w:eastAsia="pl-PL"/>
        </w:rPr>
        <w:t xml:space="preserve"> i art. 41 ust. 25-26 ustawy PIT). Chodzi o uchylenie obowiązku emitenta co do poinformowania podatników o warunkach zwolnienia i złożenia do organu podatkowego oświadczenia o dochowaniu należytej staranności.</w:t>
      </w:r>
    </w:p>
    <w:p w14:paraId="2A79D674" w14:textId="01B9B72C" w:rsidR="00B217E4" w:rsidRPr="00A720EE" w:rsidRDefault="00B217E4" w:rsidP="002B12F3">
      <w:pPr>
        <w:suppressAutoHyphens/>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Pozostałe zmiany mają charakter </w:t>
      </w:r>
      <w:proofErr w:type="spellStart"/>
      <w:r w:rsidRPr="00A720EE">
        <w:rPr>
          <w:rFonts w:ascii="Times New Roman" w:eastAsiaTheme="minorEastAsia" w:hAnsi="Times New Roman" w:cs="Times New Roman"/>
          <w:sz w:val="24"/>
          <w:szCs w:val="24"/>
          <w:lang w:eastAsia="pl-PL"/>
        </w:rPr>
        <w:t>klaryfikacyjny</w:t>
      </w:r>
      <w:proofErr w:type="spellEnd"/>
      <w:r w:rsidRPr="00A720EE">
        <w:rPr>
          <w:rFonts w:ascii="Times New Roman" w:eastAsiaTheme="minorEastAsia" w:hAnsi="Times New Roman" w:cs="Times New Roman"/>
          <w:sz w:val="24"/>
          <w:szCs w:val="24"/>
          <w:lang w:eastAsia="pl-PL"/>
        </w:rPr>
        <w:t xml:space="preserve"> </w:t>
      </w:r>
      <w:r w:rsidR="00717DC6" w:rsidRPr="00A720EE">
        <w:rPr>
          <w:rFonts w:ascii="Times New Roman" w:eastAsiaTheme="minorEastAsia" w:hAnsi="Times New Roman" w:cs="Times New Roman"/>
          <w:sz w:val="24"/>
          <w:szCs w:val="24"/>
          <w:lang w:eastAsia="pl-PL"/>
        </w:rPr>
        <w:t>oraz</w:t>
      </w:r>
      <w:r w:rsidRPr="00A720EE">
        <w:rPr>
          <w:rFonts w:ascii="Times New Roman" w:eastAsiaTheme="minorEastAsia" w:hAnsi="Times New Roman" w:cs="Times New Roman"/>
          <w:sz w:val="24"/>
          <w:szCs w:val="24"/>
          <w:lang w:eastAsia="pl-PL"/>
        </w:rPr>
        <w:t xml:space="preserve"> porządkowy</w:t>
      </w:r>
      <w:r w:rsidR="00717DC6" w:rsidRPr="00A720EE">
        <w:rPr>
          <w:rFonts w:ascii="Times New Roman" w:eastAsiaTheme="minorEastAsia" w:hAnsi="Times New Roman" w:cs="Times New Roman"/>
          <w:sz w:val="24"/>
          <w:szCs w:val="24"/>
          <w:lang w:eastAsia="pl-PL"/>
        </w:rPr>
        <w:t xml:space="preserve"> i </w:t>
      </w:r>
      <w:r w:rsidRPr="00A720EE">
        <w:rPr>
          <w:rFonts w:ascii="Times New Roman" w:eastAsiaTheme="minorEastAsia" w:hAnsi="Times New Roman" w:cs="Times New Roman"/>
          <w:sz w:val="24"/>
          <w:szCs w:val="24"/>
          <w:lang w:eastAsia="pl-PL"/>
        </w:rPr>
        <w:t xml:space="preserve"> mają przyczynić się do uelastycznienia mechanizmu </w:t>
      </w:r>
      <w:proofErr w:type="spellStart"/>
      <w:r w:rsidRPr="00A720EE">
        <w:rPr>
          <w:rFonts w:ascii="Times New Roman" w:eastAsiaTheme="minorEastAsia" w:hAnsi="Times New Roman" w:cs="Times New Roman"/>
          <w:i/>
          <w:sz w:val="24"/>
          <w:szCs w:val="24"/>
          <w:lang w:eastAsia="pl-PL"/>
        </w:rPr>
        <w:t>pay</w:t>
      </w:r>
      <w:proofErr w:type="spellEnd"/>
      <w:r w:rsidRPr="00A720EE">
        <w:rPr>
          <w:rFonts w:ascii="Times New Roman" w:eastAsiaTheme="minorEastAsia" w:hAnsi="Times New Roman" w:cs="Times New Roman"/>
          <w:i/>
          <w:sz w:val="24"/>
          <w:szCs w:val="24"/>
          <w:lang w:eastAsia="pl-PL"/>
        </w:rPr>
        <w:t xml:space="preserve"> &amp; </w:t>
      </w:r>
      <w:proofErr w:type="spellStart"/>
      <w:r w:rsidRPr="00A720EE">
        <w:rPr>
          <w:rFonts w:ascii="Times New Roman" w:eastAsiaTheme="minorEastAsia" w:hAnsi="Times New Roman" w:cs="Times New Roman"/>
          <w:i/>
          <w:sz w:val="24"/>
          <w:szCs w:val="24"/>
          <w:lang w:eastAsia="pl-PL"/>
        </w:rPr>
        <w:t>refund</w:t>
      </w:r>
      <w:proofErr w:type="spellEnd"/>
      <w:r w:rsidRPr="00A720EE">
        <w:rPr>
          <w:rFonts w:ascii="Times New Roman" w:eastAsiaTheme="minorEastAsia" w:hAnsi="Times New Roman" w:cs="Times New Roman"/>
          <w:sz w:val="24"/>
          <w:szCs w:val="24"/>
          <w:lang w:eastAsia="pl-PL"/>
        </w:rPr>
        <w:t>.</w:t>
      </w:r>
    </w:p>
    <w:p w14:paraId="5E271292" w14:textId="5BA2DC92" w:rsidR="0080238E" w:rsidRPr="00A720EE" w:rsidRDefault="00D7556F" w:rsidP="003F1B80">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8</w:t>
      </w:r>
      <w:r w:rsidR="00210406" w:rsidRPr="00A720EE">
        <w:rPr>
          <w:rFonts w:ascii="Times New Roman" w:eastAsiaTheme="minorEastAsia" w:hAnsi="Times New Roman" w:cs="Times New Roman"/>
          <w:b/>
          <w:color w:val="000000" w:themeColor="text1"/>
          <w:sz w:val="24"/>
          <w:szCs w:val="24"/>
          <w:lang w:eastAsia="pl-PL"/>
        </w:rPr>
        <w:t xml:space="preserve">) </w:t>
      </w:r>
      <w:r w:rsidR="0080238E" w:rsidRPr="00A720EE">
        <w:rPr>
          <w:rFonts w:ascii="Times New Roman" w:eastAsiaTheme="minorEastAsia" w:hAnsi="Times New Roman" w:cs="Times New Roman"/>
          <w:b/>
          <w:color w:val="000000" w:themeColor="text1"/>
          <w:sz w:val="24"/>
          <w:szCs w:val="24"/>
          <w:lang w:eastAsia="pl-PL"/>
        </w:rPr>
        <w:t>Zmiany w rozliczaniu kosztów finansowania dłużnego w kosztach podatkowych</w:t>
      </w:r>
      <w:r w:rsidR="00D53F40" w:rsidRPr="00A720EE">
        <w:rPr>
          <w:rFonts w:ascii="Times New Roman" w:eastAsiaTheme="minorEastAsia" w:hAnsi="Times New Roman" w:cs="Times New Roman"/>
          <w:b/>
          <w:color w:val="000000" w:themeColor="text1"/>
          <w:sz w:val="24"/>
          <w:szCs w:val="24"/>
          <w:lang w:eastAsia="pl-PL"/>
        </w:rPr>
        <w:t xml:space="preserve"> (</w:t>
      </w:r>
      <w:r w:rsidR="00096A5F" w:rsidRPr="00A720EE">
        <w:rPr>
          <w:rFonts w:ascii="Times New Roman" w:eastAsiaTheme="minorEastAsia" w:hAnsi="Times New Roman" w:cs="Times New Roman"/>
          <w:b/>
          <w:color w:val="000000" w:themeColor="text1"/>
          <w:sz w:val="24"/>
          <w:szCs w:val="24"/>
          <w:lang w:eastAsia="pl-PL"/>
        </w:rPr>
        <w:t xml:space="preserve">ustawa </w:t>
      </w:r>
      <w:r w:rsidR="00D53F40" w:rsidRPr="00A720EE">
        <w:rPr>
          <w:rFonts w:ascii="Times New Roman" w:eastAsiaTheme="minorEastAsia" w:hAnsi="Times New Roman" w:cs="Times New Roman"/>
          <w:b/>
          <w:color w:val="000000" w:themeColor="text1"/>
          <w:sz w:val="24"/>
          <w:szCs w:val="24"/>
          <w:lang w:eastAsia="pl-PL"/>
        </w:rPr>
        <w:t>CIT)</w:t>
      </w:r>
    </w:p>
    <w:p w14:paraId="1C004BB3" w14:textId="2D87ED29" w:rsidR="0052751D" w:rsidRPr="00A720EE" w:rsidRDefault="0052751D" w:rsidP="0052751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u w:val="single"/>
          <w:lang w:eastAsia="pl-PL"/>
        </w:rPr>
        <w:t>Przepisy art. 15c</w:t>
      </w:r>
      <w:r w:rsidR="00D20F79"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 w brzmieniu obowiązującym w 2021 r. – wprowadzone zostały do ustawy CIT z dniem 1 stycznia 2018 r. ustaw</w:t>
      </w:r>
      <w:r w:rsidR="00055998" w:rsidRPr="00A720EE">
        <w:rPr>
          <w:rFonts w:ascii="Times New Roman" w:eastAsiaTheme="minorEastAsia" w:hAnsi="Times New Roman" w:cs="Times New Roman"/>
          <w:sz w:val="24"/>
          <w:szCs w:val="24"/>
          <w:lang w:eastAsia="pl-PL"/>
        </w:rPr>
        <w:t>ą</w:t>
      </w:r>
      <w:r w:rsidRPr="00A720EE">
        <w:rPr>
          <w:rFonts w:ascii="Times New Roman" w:eastAsiaTheme="minorEastAsia" w:hAnsi="Times New Roman" w:cs="Times New Roman"/>
          <w:sz w:val="24"/>
          <w:szCs w:val="24"/>
          <w:lang w:eastAsia="pl-PL"/>
        </w:rPr>
        <w:t xml:space="preserve"> z 27 października 2017 r. o zmianie ustawy o podatku dochodowym od osób fizycznych, ustawy o podatku dochodowym od osób prawnych oraz ustawy o zryczałtowanym podatku dochodowym od niektórych przychodów osiąganych przez osoby fizyczne</w:t>
      </w:r>
      <w:r w:rsidR="00D53F40" w:rsidRPr="00A720EE">
        <w:rPr>
          <w:rStyle w:val="Odwoanieprzypisudolnego"/>
          <w:rFonts w:ascii="Times New Roman" w:eastAsiaTheme="minorEastAsia" w:hAnsi="Times New Roman"/>
          <w:sz w:val="24"/>
          <w:szCs w:val="24"/>
          <w:lang w:eastAsia="pl-PL"/>
        </w:rPr>
        <w:footnoteReference w:id="7"/>
      </w:r>
      <w:r w:rsidRPr="00A720EE">
        <w:rPr>
          <w:rFonts w:ascii="Times New Roman" w:eastAsiaTheme="minorEastAsia" w:hAnsi="Times New Roman" w:cs="Times New Roman"/>
          <w:sz w:val="24"/>
          <w:szCs w:val="24"/>
          <w:lang w:eastAsia="pl-PL"/>
        </w:rPr>
        <w:t>. Jak wynika z uzasadnienia do tej ustawy (druk sejmowy nr 1878), ich funkcją jest ograniczenie nadmiernego finansowania działalności podatnika długiem, co skutkuje zaniżeniem dochodów wykazywanych w miejscu (kraju), w którym prowadzona jest przez podatnika działalność gospodarcza. Przepisami tym</w:t>
      </w:r>
      <w:r w:rsidR="00D20F79" w:rsidRPr="00A720EE">
        <w:rPr>
          <w:rFonts w:ascii="Times New Roman" w:eastAsiaTheme="minorEastAsia" w:hAnsi="Times New Roman" w:cs="Times New Roman"/>
          <w:sz w:val="24"/>
          <w:szCs w:val="24"/>
          <w:lang w:eastAsia="pl-PL"/>
        </w:rPr>
        <w:t>i</w:t>
      </w:r>
      <w:r w:rsidRPr="00A720EE">
        <w:rPr>
          <w:rFonts w:ascii="Times New Roman" w:eastAsiaTheme="minorEastAsia" w:hAnsi="Times New Roman" w:cs="Times New Roman"/>
          <w:sz w:val="24"/>
          <w:szCs w:val="24"/>
          <w:lang w:eastAsia="pl-PL"/>
        </w:rPr>
        <w:t xml:space="preserve"> ograniczone zostały fiskalne efekty stosowania przez podatnika mechanizmu optymalizacyjnego polegającego na nadmiernym finansowaniu jego działalności długiem. Z powyższych względów ustawodawca wprowadził do ustawy CIT limit takiego finansowania dłużnego, jakie może przez podatnika być uwzględnione w jego kosztach uzyskania przychodów. Limit ten odniesiony został do nadwyżki kosztów finansowania dłużnego ponad uzyskane z analogicznych tytułów przychody i wyznaczony uzyskanym za ten sam okres wskaźnikiem EBITDA.</w:t>
      </w:r>
    </w:p>
    <w:p w14:paraId="5264D1A4" w14:textId="77777777" w:rsidR="0052751D" w:rsidRPr="00A720EE" w:rsidRDefault="0052751D" w:rsidP="0052751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Polski ustawodawca określił jednak w 2017 r.</w:t>
      </w:r>
      <w:r w:rsidR="005E1EC6"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iż tzw. „bezpieczną przystanią” będzie kwota nadwyżki kosztów finansowania dłużnego nieprzekraczająca 3.000.000 zł. Celem tej regulacji było wyłączenie jej stosowania wobec podatników</w:t>
      </w:r>
      <w:r w:rsidR="00D20F79"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u których uzyskana w roku podatkowym trwającym 12 miesięcy nadwyżka kosztów finansowania dłużnego kwoty tej nie przewyższa.</w:t>
      </w:r>
    </w:p>
    <w:p w14:paraId="00CB6297" w14:textId="77777777" w:rsidR="0052751D" w:rsidRPr="00A720EE" w:rsidRDefault="0052751D" w:rsidP="0052751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Powyższy przepis ustawy CIT spotkał się jednak z różnym jego interpretowaniem. Część podatników zaczęła traktować</w:t>
      </w:r>
      <w:r w:rsidR="007F7AEE" w:rsidRPr="00A720EE">
        <w:rPr>
          <w:rFonts w:ascii="Times New Roman" w:eastAsiaTheme="minorEastAsia" w:hAnsi="Times New Roman" w:cs="Times New Roman"/>
          <w:sz w:val="24"/>
          <w:szCs w:val="24"/>
          <w:lang w:eastAsia="pl-PL"/>
        </w:rPr>
        <w:t xml:space="preserve"> tę regulację</w:t>
      </w:r>
      <w:r w:rsidRPr="00A720EE">
        <w:rPr>
          <w:rFonts w:ascii="Times New Roman" w:eastAsiaTheme="minorEastAsia" w:hAnsi="Times New Roman" w:cs="Times New Roman"/>
          <w:sz w:val="24"/>
          <w:szCs w:val="24"/>
          <w:lang w:eastAsia="pl-PL"/>
        </w:rPr>
        <w:t xml:space="preserve"> jako dając</w:t>
      </w:r>
      <w:r w:rsidR="007F7AEE" w:rsidRPr="00A720EE">
        <w:rPr>
          <w:rFonts w:ascii="Times New Roman" w:eastAsiaTheme="minorEastAsia" w:hAnsi="Times New Roman" w:cs="Times New Roman"/>
          <w:sz w:val="24"/>
          <w:szCs w:val="24"/>
          <w:lang w:eastAsia="pl-PL"/>
        </w:rPr>
        <w:t>ą</w:t>
      </w:r>
      <w:r w:rsidRPr="00A720EE">
        <w:rPr>
          <w:rFonts w:ascii="Times New Roman" w:eastAsiaTheme="minorEastAsia" w:hAnsi="Times New Roman" w:cs="Times New Roman"/>
          <w:sz w:val="24"/>
          <w:szCs w:val="24"/>
          <w:lang w:eastAsia="pl-PL"/>
        </w:rPr>
        <w:t xml:space="preserve"> prawo do podwyższenia przez podatnika limitu nadwyżki kosztów finansowania dłużnego, wynikającego z uzyskanego wskaźnika EBITDA o kwotę 3.000.000 zł. W ocenie tych podatników limit nadwyżki kosztów finansowania dłużnego, jaka w roku podatkowym może przez podatnika zostać zaliczona do jego kosztów w podatku dochodowym, należy obliczać jako 30% uzyskanego w roku podatkowym EBITDA + 3.000.000 zł.</w:t>
      </w:r>
    </w:p>
    <w:p w14:paraId="1591DE73" w14:textId="77777777" w:rsidR="0052751D" w:rsidRPr="00A720EE" w:rsidRDefault="0052751D" w:rsidP="0052751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lastRenderedPageBreak/>
        <w:t xml:space="preserve">Celem uniknięcia sporów z podatnikami, przepisami ustawy </w:t>
      </w:r>
      <w:r w:rsidR="00A34465" w:rsidRPr="00A720EE">
        <w:rPr>
          <w:rFonts w:ascii="Times New Roman" w:eastAsiaTheme="minorEastAsia" w:hAnsi="Times New Roman" w:cs="Times New Roman"/>
          <w:sz w:val="24"/>
          <w:szCs w:val="24"/>
          <w:lang w:eastAsia="pl-PL"/>
        </w:rPr>
        <w:t xml:space="preserve">z 29 października 2021 r. </w:t>
      </w:r>
      <w:r w:rsidRPr="00A720EE">
        <w:rPr>
          <w:rFonts w:ascii="Times New Roman" w:eastAsiaTheme="minorEastAsia" w:hAnsi="Times New Roman" w:cs="Times New Roman"/>
          <w:sz w:val="24"/>
          <w:szCs w:val="24"/>
          <w:lang w:eastAsia="pl-PL"/>
        </w:rPr>
        <w:t>ustawodawca wskazał w zmienionej treści art. 15c, iż wyłączona z kosztów uzyskania przychodów podlegać będzie kwota nadwyżki kosztów finansowania dłużnego przewyższająca:</w:t>
      </w:r>
    </w:p>
    <w:p w14:paraId="180F9FF9" w14:textId="77777777" w:rsidR="0052751D" w:rsidRPr="00A720EE" w:rsidRDefault="0052751D" w:rsidP="0052751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1) kwotę 3.000.000 zł albo</w:t>
      </w:r>
    </w:p>
    <w:p w14:paraId="2A78C94B" w14:textId="77777777" w:rsidR="0052751D" w:rsidRPr="00A720EE" w:rsidRDefault="0052751D" w:rsidP="0052751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2) kwotę odpowiadającą 30% uzyskanego przez podatnika EBITDA.</w:t>
      </w:r>
    </w:p>
    <w:p w14:paraId="76CF1C6B" w14:textId="77777777" w:rsidR="0032515D" w:rsidRPr="00A720EE" w:rsidRDefault="0052751D" w:rsidP="0032515D">
      <w:pPr>
        <w:shd w:val="clear" w:color="auto" w:fill="FFFFFF"/>
        <w:spacing w:before="120"/>
        <w:jc w:val="both"/>
        <w:rPr>
          <w:rFonts w:ascii="Times New Roman" w:eastAsia="Calibri" w:hAnsi="Times New Roman" w:cs="Times New Roman"/>
          <w:iCs/>
          <w:sz w:val="24"/>
          <w:szCs w:val="24"/>
        </w:rPr>
      </w:pPr>
      <w:r w:rsidRPr="00A720EE">
        <w:rPr>
          <w:rFonts w:ascii="Times New Roman" w:eastAsiaTheme="minorEastAsia" w:hAnsi="Times New Roman" w:cs="Times New Roman"/>
          <w:sz w:val="24"/>
          <w:szCs w:val="24"/>
          <w:lang w:eastAsia="pl-PL"/>
        </w:rPr>
        <w:t xml:space="preserve">Nowe brzmienie tych przepisów, choć wykluczyło wcześniej wskazane wątpliwości, spotkało się jednak z zastrzeżeniami, iż przy niekorzystnym dla podatników interpretowaniu aktualnego brzmienia tych przepisów organy podatkowe mogłyby oczekiwać wyłączenia przez podatnika z kosztów </w:t>
      </w:r>
      <w:r w:rsidR="00595886" w:rsidRPr="00A720EE">
        <w:rPr>
          <w:rFonts w:ascii="Times New Roman" w:eastAsiaTheme="minorEastAsia" w:hAnsi="Times New Roman" w:cs="Times New Roman"/>
          <w:sz w:val="24"/>
          <w:szCs w:val="24"/>
          <w:lang w:eastAsia="pl-PL"/>
        </w:rPr>
        <w:t xml:space="preserve">uzyskania przychodów </w:t>
      </w:r>
      <w:r w:rsidRPr="00A720EE">
        <w:rPr>
          <w:rFonts w:ascii="Times New Roman" w:eastAsiaTheme="minorEastAsia" w:hAnsi="Times New Roman" w:cs="Times New Roman"/>
          <w:sz w:val="24"/>
          <w:szCs w:val="24"/>
          <w:lang w:eastAsia="pl-PL"/>
        </w:rPr>
        <w:t>mniejszej z powyższych wartości.</w:t>
      </w:r>
      <w:r w:rsidR="0032515D" w:rsidRPr="00A720EE">
        <w:rPr>
          <w:rFonts w:ascii="Times New Roman" w:eastAsiaTheme="minorEastAsia" w:hAnsi="Times New Roman" w:cs="Times New Roman"/>
          <w:sz w:val="24"/>
          <w:szCs w:val="24"/>
          <w:lang w:eastAsia="pl-PL"/>
        </w:rPr>
        <w:t xml:space="preserve"> </w:t>
      </w:r>
      <w:r w:rsidR="0032515D" w:rsidRPr="00A720EE">
        <w:rPr>
          <w:rFonts w:ascii="Times New Roman" w:eastAsia="Calibri" w:hAnsi="Times New Roman" w:cs="Times New Roman"/>
          <w:iCs/>
          <w:sz w:val="24"/>
          <w:szCs w:val="24"/>
        </w:rPr>
        <w:t>Ta potencjalna niekorzystna interpretacja polega na tym, iż podatnik byłby zobowiązany do zastosowania jednocześnie dwóch limitów – kwoty 3 mln zł oraz wskaźnika 30% EBITDA, co sprawiałoby, że zawsze obowiązywałby niższy limit kosztów uzyskania przychodu. Zatem to obecne brzmienie mogło – w świetle obaw podatników – prowadzić do wyłączenia prawa wyboru i stąd, organizacje branżowe zgłosiły liczne postulaty o doprecyzowanie przepisów.</w:t>
      </w:r>
    </w:p>
    <w:p w14:paraId="02823916" w14:textId="11F4BC76" w:rsidR="0032515D" w:rsidRPr="00A720EE" w:rsidRDefault="0032515D" w:rsidP="0032515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Uwzględniając powyższe proponuje się takie doprecyzowanie ust. 1 tej regulacji, które usunie powstałe wątpliwości. </w:t>
      </w:r>
    </w:p>
    <w:p w14:paraId="7327B0BF" w14:textId="74EEB229" w:rsidR="0052751D" w:rsidRPr="00A720EE" w:rsidRDefault="0032515D" w:rsidP="000151A2">
      <w:pPr>
        <w:shd w:val="clear" w:color="auto" w:fill="FFFFFF"/>
        <w:spacing w:before="120" w:after="0"/>
        <w:jc w:val="both"/>
        <w:rPr>
          <w:rFonts w:ascii="Times New Roman" w:eastAsiaTheme="minorEastAsia" w:hAnsi="Times New Roman" w:cs="Times New Roman"/>
          <w:sz w:val="24"/>
          <w:szCs w:val="24"/>
          <w:lang w:eastAsia="pl-PL"/>
        </w:rPr>
      </w:pPr>
      <w:r w:rsidRPr="00A720EE">
        <w:rPr>
          <w:rFonts w:ascii="Times New Roman" w:eastAsia="Calibri" w:hAnsi="Times New Roman" w:cs="Times New Roman"/>
          <w:iCs/>
          <w:sz w:val="24"/>
          <w:szCs w:val="24"/>
        </w:rPr>
        <w:t>Zmiana odpowiada na zgłaszane postulaty i ma charakter ewidentnie korzystny – podatnik może zastosować limit odliczenia 3 mln zł albo 30% EBITDA, którykolwiek jest w jego przypadku wyższy. Podatnik może zatem wykazać wyższe koszty uzyskania przychodu, spośród podanych dwóch kwot.</w:t>
      </w:r>
    </w:p>
    <w:p w14:paraId="54B495A8" w14:textId="77777777" w:rsidR="000D4703" w:rsidRPr="00A720EE" w:rsidRDefault="000D4703" w:rsidP="0052751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u w:val="single"/>
          <w:lang w:eastAsia="pl-PL"/>
        </w:rPr>
      </w:pPr>
      <w:r w:rsidRPr="00A720EE">
        <w:rPr>
          <w:rFonts w:ascii="Times New Roman" w:eastAsiaTheme="minorEastAsia" w:hAnsi="Times New Roman" w:cs="Times New Roman"/>
          <w:sz w:val="24"/>
          <w:szCs w:val="24"/>
          <w:u w:val="single"/>
          <w:lang w:eastAsia="pl-PL"/>
        </w:rPr>
        <w:t>Art. 16 ust. 1 pkt 13f ustawy CIT</w:t>
      </w:r>
    </w:p>
    <w:p w14:paraId="2EDE3B0E" w14:textId="1544B119" w:rsidR="0032515D" w:rsidRPr="00A720EE" w:rsidRDefault="002E77EE" w:rsidP="0032515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w:t>
      </w:r>
      <w:r w:rsidR="0032515D" w:rsidRPr="00A720EE">
        <w:rPr>
          <w:rFonts w:ascii="Times New Roman" w:eastAsiaTheme="minorEastAsia" w:hAnsi="Times New Roman" w:cs="Times New Roman"/>
          <w:sz w:val="24"/>
          <w:szCs w:val="24"/>
          <w:lang w:eastAsia="pl-PL"/>
        </w:rPr>
        <w:t>rzepis</w:t>
      </w:r>
      <w:r w:rsidRPr="00A720EE">
        <w:rPr>
          <w:rFonts w:ascii="Times New Roman" w:eastAsiaTheme="minorEastAsia" w:hAnsi="Times New Roman" w:cs="Times New Roman"/>
          <w:sz w:val="24"/>
          <w:szCs w:val="24"/>
          <w:lang w:eastAsia="pl-PL"/>
        </w:rPr>
        <w:t>ami</w:t>
      </w:r>
      <w:r w:rsidR="0032515D" w:rsidRPr="00A720EE">
        <w:rPr>
          <w:rFonts w:ascii="Times New Roman" w:eastAsiaTheme="minorEastAsia" w:hAnsi="Times New Roman" w:cs="Times New Roman"/>
          <w:sz w:val="24"/>
          <w:szCs w:val="24"/>
          <w:lang w:eastAsia="pl-PL"/>
        </w:rPr>
        <w:t xml:space="preserve"> ustawy z 29 października 2021 r. wprowadzony został do ustawy CIT - art. 16 ust. 1 - nowy pkt 13f, ograniczający możliwość zaliczania do kosztów uzyskania przychodów, kosztów finansowania dłużnego uzyskanego od podmiotu powiązanego i przeznaczonego na sfinansowanie działań restrukturyzacyjnych lub polegających na akwizycji innych podmiotów. W świetle tego przepisu, nie uważa się za koszty uzyskania przychodów kosztów finansowania dłużnego w rozumieniu art. 15c ust. 12 ustawy CIT uzyskan</w:t>
      </w:r>
      <w:r w:rsidR="00333939" w:rsidRPr="00A720EE">
        <w:rPr>
          <w:rFonts w:ascii="Times New Roman" w:eastAsiaTheme="minorEastAsia" w:hAnsi="Times New Roman" w:cs="Times New Roman"/>
          <w:sz w:val="24"/>
          <w:szCs w:val="24"/>
          <w:lang w:eastAsia="pl-PL"/>
        </w:rPr>
        <w:t>ego</w:t>
      </w:r>
      <w:r w:rsidR="0032515D" w:rsidRPr="00A720EE">
        <w:rPr>
          <w:rFonts w:ascii="Times New Roman" w:eastAsiaTheme="minorEastAsia" w:hAnsi="Times New Roman" w:cs="Times New Roman"/>
          <w:sz w:val="24"/>
          <w:szCs w:val="24"/>
          <w:lang w:eastAsia="pl-PL"/>
        </w:rPr>
        <w:t xml:space="preserve"> od podmiotu powiązanego w rozumieniu art. 11a ust. 1 pkt 4 tej ustawy, w części, w jakiej finansowanie zostało przeznaczone bezpośrednio lub pośrednio na transakcje kapitałowe, w szczególności nabycie lub objęcie udziałów (akcji), nabycie ogółu praw i obowiązków w spółce niebędącej osobą prawną, wniesienie dopłat, podwyższenie kapitału zakładowego lub wykup udziałów własnych w celu ich umorzenia. </w:t>
      </w:r>
    </w:p>
    <w:p w14:paraId="1E8C4694" w14:textId="77777777" w:rsidR="0032515D" w:rsidRPr="00A720EE" w:rsidRDefault="0032515D" w:rsidP="0032515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Uwzględniając jednak fakt, iż celem tego przepisu było wyeliminowanie działań optymalizacyjnych w grupach podmiotów powiązanych, proponuje się:</w:t>
      </w:r>
    </w:p>
    <w:p w14:paraId="067C61FA" w14:textId="4444AE16" w:rsidR="0032515D" w:rsidRPr="00A720EE" w:rsidRDefault="0032515D" w:rsidP="0032515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wprowadzenie ograniczenia w stosowaniu tego przepisu i wyłączenie z jego zakresu finansowania dłużnego udzielonego przez banki lub przez spółdzielcze kasy oszczędnościowo-kredytowe, mające siedzibę w państwie członkowskim Unii Europejskiej lub w innym państwie należącym do Europejskiego Obszaru Gospodarczego</w:t>
      </w:r>
      <w:r w:rsidR="00683BAD"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w:t>
      </w:r>
    </w:p>
    <w:p w14:paraId="6CC76EDD" w14:textId="77777777" w:rsidR="00683BAD" w:rsidRPr="00A720EE" w:rsidRDefault="0032515D" w:rsidP="0032515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 wyłączenie jego stosowania w przypadkach finansowania dłużnego udzielonego na nabycie </w:t>
      </w:r>
      <w:r w:rsidRPr="00A720EE">
        <w:rPr>
          <w:rFonts w:ascii="Times New Roman" w:eastAsiaTheme="minorEastAsia" w:hAnsi="Times New Roman" w:cs="Times New Roman"/>
          <w:sz w:val="24"/>
          <w:szCs w:val="24"/>
          <w:lang w:eastAsia="pl-PL"/>
        </w:rPr>
        <w:lastRenderedPageBreak/>
        <w:t>lub objęcie udziałów (akcji) lub ogółu praw i obowiązków w podmiotach niepowiązanych z podatnikiem</w:t>
      </w:r>
      <w:r w:rsidR="002E21B8" w:rsidRPr="00A720EE">
        <w:rPr>
          <w:rFonts w:ascii="Times New Roman" w:eastAsiaTheme="minorEastAsia" w:hAnsi="Times New Roman" w:cs="Times New Roman"/>
          <w:sz w:val="24"/>
          <w:szCs w:val="24"/>
          <w:lang w:eastAsia="pl-PL"/>
        </w:rPr>
        <w:t xml:space="preserve"> (wyłączenie to stosuje się również w odniesieniu do </w:t>
      </w:r>
      <w:r w:rsidR="002E21B8" w:rsidRPr="00A720EE">
        <w:rPr>
          <w:rFonts w:ascii="Times New Roman" w:hAnsi="Times New Roman" w:cs="Times New Roman"/>
          <w:sz w:val="24"/>
          <w:szCs w:val="24"/>
        </w:rPr>
        <w:t>nabycia kolejnych udziałów (akcji) w podmiotach, w których podatnik uprzednio nabył część udziałów (akcji) w przypadku, gdy nabycie kolejnych udziałów (akcji) nastąpi w terminie 12 miesięcy począwszy od dnia nabycia pierwszych udziałów (akcji))</w:t>
      </w:r>
      <w:r w:rsidR="00683BAD" w:rsidRPr="00A720EE">
        <w:rPr>
          <w:rFonts w:ascii="Times New Roman" w:eastAsiaTheme="minorEastAsia" w:hAnsi="Times New Roman" w:cs="Times New Roman"/>
          <w:sz w:val="24"/>
          <w:szCs w:val="24"/>
          <w:lang w:eastAsia="pl-PL"/>
        </w:rPr>
        <w:t>;</w:t>
      </w:r>
    </w:p>
    <w:p w14:paraId="39F4F338" w14:textId="756F319C" w:rsidR="0032515D" w:rsidRPr="00A720EE" w:rsidRDefault="00683BAD" w:rsidP="0032515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 ograniczenie wyłączenia do finansowania </w:t>
      </w:r>
      <w:r w:rsidR="00753ADC" w:rsidRPr="00A720EE">
        <w:rPr>
          <w:rFonts w:ascii="Times New Roman" w:eastAsiaTheme="minorEastAsia" w:hAnsi="Times New Roman" w:cs="Times New Roman"/>
          <w:sz w:val="24"/>
          <w:szCs w:val="24"/>
          <w:lang w:eastAsia="pl-PL"/>
        </w:rPr>
        <w:t>dłużnego uzyskanego przez spółki lub spół</w:t>
      </w:r>
      <w:r w:rsidRPr="00A720EE">
        <w:rPr>
          <w:rFonts w:ascii="Times New Roman" w:eastAsiaTheme="minorEastAsia" w:hAnsi="Times New Roman" w:cs="Times New Roman"/>
          <w:sz w:val="24"/>
          <w:szCs w:val="24"/>
          <w:lang w:eastAsia="pl-PL"/>
        </w:rPr>
        <w:t>k</w:t>
      </w:r>
      <w:r w:rsidR="00753ADC" w:rsidRPr="00A720EE">
        <w:rPr>
          <w:rFonts w:ascii="Times New Roman" w:eastAsiaTheme="minorEastAsia" w:hAnsi="Times New Roman" w:cs="Times New Roman"/>
          <w:sz w:val="24"/>
          <w:szCs w:val="24"/>
          <w:lang w:eastAsia="pl-PL"/>
        </w:rPr>
        <w:t>i niebędące</w:t>
      </w:r>
      <w:r w:rsidRPr="00A720EE">
        <w:rPr>
          <w:rFonts w:ascii="Times New Roman" w:eastAsiaTheme="minorEastAsia" w:hAnsi="Times New Roman" w:cs="Times New Roman"/>
          <w:sz w:val="24"/>
          <w:szCs w:val="24"/>
          <w:lang w:eastAsia="pl-PL"/>
        </w:rPr>
        <w:t xml:space="preserve"> osobami prawnymi (tym samym przepis art. 16 ust. 1 pkt 13f będzie oddziaływał przede wszystkim na transakcje w grupach kapitałowych, natomiast wyłączeniem nie będą objęte transakcje dotyczące m.in. spółdzielni).</w:t>
      </w:r>
    </w:p>
    <w:p w14:paraId="05238A95" w14:textId="77777777" w:rsidR="0032515D" w:rsidRPr="00A720EE" w:rsidRDefault="0032515D" w:rsidP="0032515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Ponadto, w celu wyeliminowania niejasności ze stosowaniem w praktyce ograniczenia wynikającego z art. 16 ust. 1 pkt 13f, proponuje się nowe brzmienie tego przepisu, które nie odnosi się do przeznaczenia finansowania „bezpośrednio lub pośrednio” na transakcje kapitałowe. </w:t>
      </w:r>
    </w:p>
    <w:p w14:paraId="3F88246F" w14:textId="77777777" w:rsidR="0032515D" w:rsidRPr="00A720EE" w:rsidRDefault="0032515D" w:rsidP="0032515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Zgodnie z przepisem przejściowym powyższe zmiany, dotyczące zarówno art. 15c jak i art. 16 ust. 1 pkt 13f ustawy CIT, obowiązywałyby z mocą wsteczną od dnia 1 stycznia 2022 r</w:t>
      </w:r>
      <w:r w:rsidRPr="00A720EE">
        <w:rPr>
          <w:rFonts w:ascii="Times New Roman" w:eastAsiaTheme="minorEastAsia" w:hAnsi="Times New Roman" w:cs="Times New Roman"/>
          <w:color w:val="0070C0"/>
          <w:sz w:val="24"/>
          <w:szCs w:val="24"/>
          <w:lang w:eastAsia="pl-PL"/>
        </w:rPr>
        <w:t>.</w:t>
      </w:r>
    </w:p>
    <w:p w14:paraId="64EA99E7" w14:textId="77777777" w:rsidR="00D7556F" w:rsidRPr="00A720EE" w:rsidRDefault="00D7556F" w:rsidP="00D7556F">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9)  Zmiana przepisów dotyczących polskiej spółki holdingowej (PSH) (ustawa CIT)</w:t>
      </w:r>
    </w:p>
    <w:p w14:paraId="171F1C1F" w14:textId="77777777" w:rsidR="00D7556F" w:rsidRPr="00A720EE" w:rsidRDefault="00D7556F" w:rsidP="000151A2">
      <w:pPr>
        <w:widowControl w:val="0"/>
        <w:autoSpaceDE w:val="0"/>
        <w:autoSpaceDN w:val="0"/>
        <w:adjustRightInd w:val="0"/>
        <w:spacing w:before="120"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Na mocy ustawy z 29 października 2021 r., do ustawy CIT został dodany rozdział 5b, wprowadzający nowy reżim podatkowy. Reżim ten umożliwia polskim spółkom holdingowym, posiadającym zarówno krajowe, jak i zagraniczne spółki zależne, skorzystanie ze zwolnienia z opodatkowania dywidend i zysków ze zbycia udziałów i akcji. Wprowadzenie do polskich przepisów podatkowych rozwiązania, umożliwiającego skorzystanie przez spółkę holdingową z możliwości redukcji obciążeń podatkowych, ma wspierać rozwój gospodarczy Polski oraz wzmacniać jej wizerunek jako miejsca atrakcyjnego dla inwestycji.</w:t>
      </w:r>
    </w:p>
    <w:p w14:paraId="1F8685A4" w14:textId="77777777" w:rsidR="00D7556F" w:rsidRPr="00A720EE" w:rsidRDefault="00D7556F"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Reżim holdingowy stanowi pewną alternatywę względem instytucji podatkowej grupy kapitałowej. Jego podstawowym celem jest zapewnienie polskim przedsiębiorcom korzystnych warunków zakładania i kontroli grup holdingowych oraz stworzenie konkurencyjnego otoczenia podatkowego, które będzie sprzyjać powrotowi polskich przedsiębiorców z zagranicznych jurysdykcji. Dodatkowo, reżim holdingowy ma za zadanie stworzenie dla inwestorów zagranicznych korzystnego środowiska do lokowania w Polsce spółek holdingowych (np. regionalnych), co przełoży się na wzrost kapitału obecnego w Polsce.</w:t>
      </w:r>
    </w:p>
    <w:p w14:paraId="06C196C9" w14:textId="77777777" w:rsidR="00D7556F" w:rsidRPr="00A720EE" w:rsidRDefault="00D7556F"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Projektowane zmiany mają na celu doprecyzowanie i udoskonalenie przedmiotowych regulacji w sposób, który uczyni je bardziej prostymi i efektywnymi z punktu widzenia ich stosowania i celu wprowadzenia. Dodatkowo, omawiane zmiany umożliwią skorzystanie z reżimu holdingowego przez większy krąg przedsiębiorców.</w:t>
      </w:r>
    </w:p>
    <w:p w14:paraId="4BC244F5" w14:textId="77777777" w:rsidR="00D7556F" w:rsidRPr="00A720EE" w:rsidRDefault="00D7556F"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Definicja spółki holdingowej została zmieniona poprzez wykreślenie warunku niekorzystania ze zwolnień podatkowych z art. 20 ust. 3 oraz art. 22 ust. 4 ustawy CIT. Zmiana ta została dokonana na skutek uwzględnienia faktu, że w ramach jednej grupy holdingowej może istnieć wiele zależności między spółkami i ograniczanie możliwości stosowania zwolnień z art. 20 ust. 3 oraz art. 22 ust. 4 ustawy CIT może znacząco obniżyć atrakcyjność reżimu holdingowego. </w:t>
      </w:r>
      <w:r w:rsidRPr="00A720EE">
        <w:rPr>
          <w:rFonts w:ascii="Times New Roman" w:eastAsiaTheme="minorEastAsia" w:hAnsi="Times New Roman" w:cs="Times New Roman"/>
          <w:sz w:val="24"/>
          <w:szCs w:val="24"/>
          <w:lang w:eastAsia="pl-PL"/>
        </w:rPr>
        <w:lastRenderedPageBreak/>
        <w:t xml:space="preserve">Dodatkowo, </w:t>
      </w:r>
      <w:r w:rsidRPr="00A720EE">
        <w:rPr>
          <w:rFonts w:ascii="Times New Roman" w:eastAsiaTheme="minorEastAsia" w:hAnsi="Times New Roman" w:cs="Times New Roman"/>
          <w:bCs/>
          <w:sz w:val="24"/>
          <w:szCs w:val="24"/>
          <w:lang w:eastAsia="pl-PL"/>
        </w:rPr>
        <w:t>rozszerzeniu ulega – o prostą spółkę akcyjną – katalog form prawnych, w których może działać spółka holdingowa.</w:t>
      </w:r>
      <w:r w:rsidRPr="00A720EE">
        <w:rPr>
          <w:rFonts w:ascii="Times New Roman" w:eastAsiaTheme="minorEastAsia" w:hAnsi="Times New Roman" w:cs="Times New Roman"/>
          <w:sz w:val="24"/>
          <w:szCs w:val="24"/>
          <w:lang w:eastAsia="pl-PL"/>
        </w:rPr>
        <w:t xml:space="preserve">  </w:t>
      </w:r>
    </w:p>
    <w:p w14:paraId="76DC3DB9" w14:textId="77777777" w:rsidR="00D7556F" w:rsidRPr="00A720EE" w:rsidRDefault="00D7556F"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Ponadto, istotne zmiany zostały dokonane w definicji spółki zależnej poprzez usunięcie warunku braku (i) posiadania więcej niż 5% udziałów lub akcji w innych spółkach, (ii) posiadania ogółu praw i obowiązków w spółce niebędącej osobą prawną oraz (iii) korzystania ze zwolnienia z art. 17 ust. 1 pkt 34 lub 34a ustawy CIT, tj. w ramach specjalnej strefy ekonomicznej lub tzw. Polskiej Strefy Inwestycji. </w:t>
      </w:r>
    </w:p>
    <w:p w14:paraId="7A38D06C" w14:textId="1A903F8C" w:rsidR="00D7556F" w:rsidRPr="00A720EE" w:rsidRDefault="00D7556F"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Zmiany te spowodują możliwość korzystania z reżimu holdingowego przez struktury wielopoziomowe, które najczęściej występują w praktyce obrotu gospodarczego i są konsekwencją okoliczności biznesowych, związanych z rozwojem spółek zależnych, skutkujących np. tworzeniem przez te spółki spółek dystrybucyjnych. Z kolei, możliwość zwolnienia z CIT dywidendy, wypłacanej przez spółkę prowadzącą działalność w SSE lub PSI, znacząco zwiększy atrakcyjność reżimu holdingowego. Zmiana ta ma na celu umożliwienie tworzenia w Polsce struktur holdingowych na potrzeby rozbudowywania działalności w Polsce. W konsekwencji, będzie przekładać się to na tworzenie miejsc pracy oraz wzrost kapitału obecnego w Polsce. Ponadto, w celu zapobieżenia ewentualnym wątpliwościom co do okresu, w którym powinny być spełnione warunki konieczne dla możliwości skorzystania ze zwolnienia z CIT dywidendy lub zysków ze zbycia udziałów, przepisy art. 24m zostały odpowiednio doprecyzowane. W konsekwencji, dywidendy lub zyski ze zbycia udziałów/akcji będą zwolnione, jeżeli na dzień poprzedzający uzyskanie przychodów warunki, określone w ust. 1 pkt 1–4, będą spełnione nieprzerwanie przez okres co najmniej </w:t>
      </w:r>
      <w:r w:rsidR="00677DE8" w:rsidRPr="00A720EE">
        <w:rPr>
          <w:rFonts w:ascii="Times New Roman" w:eastAsiaTheme="minorEastAsia" w:hAnsi="Times New Roman" w:cs="Times New Roman"/>
          <w:sz w:val="24"/>
          <w:szCs w:val="24"/>
          <w:lang w:eastAsia="pl-PL"/>
        </w:rPr>
        <w:t>2 lat</w:t>
      </w:r>
      <w:r w:rsidRPr="00A720EE">
        <w:rPr>
          <w:rFonts w:ascii="Times New Roman" w:eastAsiaTheme="minorEastAsia" w:hAnsi="Times New Roman" w:cs="Times New Roman"/>
          <w:sz w:val="24"/>
          <w:szCs w:val="24"/>
          <w:lang w:eastAsia="pl-PL"/>
        </w:rPr>
        <w:t>.</w:t>
      </w:r>
    </w:p>
    <w:p w14:paraId="70A0C6ED" w14:textId="77777777" w:rsidR="00D7556F" w:rsidRPr="00A720EE" w:rsidRDefault="00D7556F"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 celu uproszczenia reżimu holdingowego, jak również uczynienia go bardziej atrakcyjnym dla przedsiębiorców, zwolnienie z podatku dochodowego 95% dywidendy uzyskanej przez spółkę holdingową podlega zastąpieniu całkowitym zwolnieniem.</w:t>
      </w:r>
    </w:p>
    <w:p w14:paraId="0974C8D4" w14:textId="77777777" w:rsidR="00D7556F" w:rsidRPr="00A720EE" w:rsidRDefault="00D7556F" w:rsidP="000151A2">
      <w:pPr>
        <w:widowControl w:val="0"/>
        <w:autoSpaceDE w:val="0"/>
        <w:autoSpaceDN w:val="0"/>
        <w:adjustRightInd w:val="0"/>
        <w:spacing w:after="12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sz w:val="24"/>
          <w:szCs w:val="24"/>
          <w:lang w:eastAsia="pl-PL"/>
        </w:rPr>
        <w:t>Ponadto, w celu uniknięcia wątpliwości co do ewentualnych obowiązków krajowej spółki zależnej jako płatnika w przypadku wypłaty dywidendy spółce holdingowej, art. 26 ustawy CIT został odpowiednio uzupełniony o przepisy wyłączające obowiązek poboru podatku u źródła. Wyłączenie to obejmuje sytuację, w której krajowa spółka zależna samodzielnie wypłaca dywidendę, jak i przypadek wypłaty za pośrednictwem podmiotu prowadzącego rachunek papierów wartościowych lub rachunek zbiorczy.</w:t>
      </w:r>
    </w:p>
    <w:p w14:paraId="6B137688" w14:textId="03A0DF68" w:rsidR="000C19B6" w:rsidRPr="00A720EE" w:rsidRDefault="00D7656D" w:rsidP="000C19B6">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10</w:t>
      </w:r>
      <w:r w:rsidR="00210406" w:rsidRPr="00A720EE">
        <w:rPr>
          <w:rFonts w:ascii="Times New Roman" w:eastAsiaTheme="minorEastAsia" w:hAnsi="Times New Roman" w:cs="Times New Roman"/>
          <w:b/>
          <w:color w:val="000000" w:themeColor="text1"/>
          <w:sz w:val="24"/>
          <w:szCs w:val="24"/>
          <w:lang w:eastAsia="pl-PL"/>
        </w:rPr>
        <w:t xml:space="preserve">) </w:t>
      </w:r>
      <w:r w:rsidR="000C19B6" w:rsidRPr="00A720EE">
        <w:rPr>
          <w:rFonts w:ascii="Times New Roman" w:eastAsiaTheme="minorEastAsia" w:hAnsi="Times New Roman" w:cs="Times New Roman"/>
          <w:b/>
          <w:color w:val="000000" w:themeColor="text1"/>
          <w:sz w:val="24"/>
          <w:szCs w:val="24"/>
          <w:lang w:eastAsia="pl-PL"/>
        </w:rPr>
        <w:t>Zmiana przepisów dotyczących ulgi na zatrudnienie innowacyjnych pracowników</w:t>
      </w:r>
      <w:r w:rsidR="00BE5181" w:rsidRPr="00A720EE">
        <w:rPr>
          <w:rFonts w:ascii="Times New Roman" w:eastAsiaTheme="minorEastAsia" w:hAnsi="Times New Roman" w:cs="Times New Roman"/>
          <w:b/>
          <w:color w:val="000000" w:themeColor="text1"/>
          <w:sz w:val="24"/>
          <w:szCs w:val="24"/>
          <w:lang w:eastAsia="pl-PL"/>
        </w:rPr>
        <w:t xml:space="preserve"> (</w:t>
      </w:r>
      <w:r w:rsidR="00096A5F" w:rsidRPr="00A720EE">
        <w:rPr>
          <w:rFonts w:ascii="Times New Roman" w:eastAsiaTheme="minorEastAsia" w:hAnsi="Times New Roman" w:cs="Times New Roman"/>
          <w:b/>
          <w:color w:val="000000" w:themeColor="text1"/>
          <w:sz w:val="24"/>
          <w:szCs w:val="24"/>
          <w:lang w:eastAsia="pl-PL"/>
        </w:rPr>
        <w:t xml:space="preserve">ustawa </w:t>
      </w:r>
      <w:r w:rsidR="00BE5181" w:rsidRPr="00A720EE">
        <w:rPr>
          <w:rFonts w:ascii="Times New Roman" w:eastAsiaTheme="minorEastAsia" w:hAnsi="Times New Roman" w:cs="Times New Roman"/>
          <w:b/>
          <w:color w:val="000000" w:themeColor="text1"/>
          <w:sz w:val="24"/>
          <w:szCs w:val="24"/>
          <w:lang w:eastAsia="pl-PL"/>
        </w:rPr>
        <w:t>CIT)</w:t>
      </w:r>
    </w:p>
    <w:p w14:paraId="64B721A3" w14:textId="77777777" w:rsidR="000C19B6" w:rsidRPr="00A720EE" w:rsidRDefault="000C19B6" w:rsidP="000C19B6">
      <w:pPr>
        <w:widowControl w:val="0"/>
        <w:autoSpaceDE w:val="0"/>
        <w:autoSpaceDN w:val="0"/>
        <w:adjustRightInd w:val="0"/>
        <w:spacing w:before="240" w:after="0" w:line="276" w:lineRule="auto"/>
        <w:jc w:val="both"/>
        <w:rPr>
          <w:rFonts w:ascii="Times New Roman" w:eastAsiaTheme="minorEastAsia" w:hAnsi="Times New Roman" w:cs="Times New Roman"/>
          <w:color w:val="000000" w:themeColor="text1"/>
          <w:sz w:val="24"/>
          <w:szCs w:val="24"/>
          <w:lang w:eastAsia="pl-PL"/>
        </w:rPr>
      </w:pPr>
      <w:r w:rsidRPr="00A720EE">
        <w:rPr>
          <w:rFonts w:ascii="Times New Roman" w:eastAsiaTheme="minorEastAsia" w:hAnsi="Times New Roman" w:cs="Times New Roman"/>
          <w:color w:val="000000" w:themeColor="text1"/>
          <w:sz w:val="24"/>
          <w:szCs w:val="24"/>
          <w:lang w:eastAsia="pl-PL"/>
        </w:rPr>
        <w:t>Zmiana o charakterze dostosowawczym, związana ze zmianą jednostki redakcyjnej w ustawie PIT od 1 stycznia 2023 r.</w:t>
      </w:r>
    </w:p>
    <w:p w14:paraId="60924926" w14:textId="2DAFC73C" w:rsidR="009A6BBC" w:rsidRPr="00A720EE" w:rsidRDefault="00D7556F" w:rsidP="000C19B6">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1</w:t>
      </w:r>
      <w:r w:rsidR="00D7656D" w:rsidRPr="00A720EE">
        <w:rPr>
          <w:rFonts w:ascii="Times New Roman" w:eastAsiaTheme="minorEastAsia" w:hAnsi="Times New Roman" w:cs="Times New Roman"/>
          <w:b/>
          <w:color w:val="000000" w:themeColor="text1"/>
          <w:sz w:val="24"/>
          <w:szCs w:val="24"/>
          <w:lang w:eastAsia="pl-PL"/>
        </w:rPr>
        <w:t>1</w:t>
      </w:r>
      <w:r w:rsidR="009A6BBC" w:rsidRPr="00A720EE">
        <w:rPr>
          <w:rFonts w:ascii="Times New Roman" w:eastAsiaTheme="minorEastAsia" w:hAnsi="Times New Roman" w:cs="Times New Roman"/>
          <w:b/>
          <w:color w:val="000000" w:themeColor="text1"/>
          <w:sz w:val="24"/>
          <w:szCs w:val="24"/>
          <w:lang w:eastAsia="pl-PL"/>
        </w:rPr>
        <w:t>) Zmiana przepisów dotyczących ulgi na dokonanie pierwszej oferty publicznej</w:t>
      </w:r>
      <w:r w:rsidR="00BE5181" w:rsidRPr="00A720EE">
        <w:rPr>
          <w:rFonts w:ascii="Times New Roman" w:eastAsiaTheme="minorEastAsia" w:hAnsi="Times New Roman" w:cs="Times New Roman"/>
          <w:b/>
          <w:color w:val="000000" w:themeColor="text1"/>
          <w:sz w:val="24"/>
          <w:szCs w:val="24"/>
          <w:lang w:eastAsia="pl-PL"/>
        </w:rPr>
        <w:t xml:space="preserve"> (</w:t>
      </w:r>
      <w:r w:rsidR="00096A5F" w:rsidRPr="00A720EE">
        <w:rPr>
          <w:rFonts w:ascii="Times New Roman" w:eastAsiaTheme="minorEastAsia" w:hAnsi="Times New Roman" w:cs="Times New Roman"/>
          <w:b/>
          <w:color w:val="000000" w:themeColor="text1"/>
          <w:sz w:val="24"/>
          <w:szCs w:val="24"/>
          <w:lang w:eastAsia="pl-PL"/>
        </w:rPr>
        <w:t xml:space="preserve">ustawa </w:t>
      </w:r>
      <w:r w:rsidR="00BE5181" w:rsidRPr="00A720EE">
        <w:rPr>
          <w:rFonts w:ascii="Times New Roman" w:eastAsiaTheme="minorEastAsia" w:hAnsi="Times New Roman" w:cs="Times New Roman"/>
          <w:b/>
          <w:color w:val="000000" w:themeColor="text1"/>
          <w:sz w:val="24"/>
          <w:szCs w:val="24"/>
          <w:lang w:eastAsia="pl-PL"/>
        </w:rPr>
        <w:t>CIT)</w:t>
      </w:r>
    </w:p>
    <w:p w14:paraId="670D15F6" w14:textId="77777777" w:rsidR="009A6BBC" w:rsidRPr="00A720EE" w:rsidRDefault="009A6BBC" w:rsidP="0030512D">
      <w:pPr>
        <w:widowControl w:val="0"/>
        <w:autoSpaceDE w:val="0"/>
        <w:autoSpaceDN w:val="0"/>
        <w:adjustRightInd w:val="0"/>
        <w:spacing w:before="240" w:after="0" w:line="276" w:lineRule="auto"/>
        <w:jc w:val="both"/>
        <w:rPr>
          <w:rFonts w:ascii="Times New Roman" w:eastAsiaTheme="minorEastAsia" w:hAnsi="Times New Roman" w:cs="Times New Roman"/>
          <w:color w:val="000000" w:themeColor="text1"/>
          <w:sz w:val="24"/>
          <w:szCs w:val="24"/>
          <w:lang w:val="en-US" w:eastAsia="pl-PL"/>
        </w:rPr>
      </w:pPr>
      <w:r w:rsidRPr="00A720EE">
        <w:rPr>
          <w:rFonts w:ascii="Times New Roman" w:eastAsiaTheme="minorEastAsia" w:hAnsi="Times New Roman" w:cs="Times New Roman"/>
          <w:color w:val="000000" w:themeColor="text1"/>
          <w:sz w:val="24"/>
          <w:szCs w:val="24"/>
          <w:lang w:eastAsia="pl-PL"/>
        </w:rPr>
        <w:t xml:space="preserve">Zmiana polega na wyłączeniu możliwości odliczenia od podstawy opodatkowania wydatków na dokonanie pierwszej oferty publicznej, przez podatników osiągających dochody z </w:t>
      </w:r>
      <w:r w:rsidRPr="00A720EE">
        <w:rPr>
          <w:rFonts w:ascii="Times New Roman" w:eastAsiaTheme="minorEastAsia" w:hAnsi="Times New Roman" w:cs="Times New Roman"/>
          <w:color w:val="000000" w:themeColor="text1"/>
          <w:sz w:val="24"/>
          <w:szCs w:val="24"/>
          <w:lang w:eastAsia="pl-PL"/>
        </w:rPr>
        <w:lastRenderedPageBreak/>
        <w:t xml:space="preserve">kwalifikowanych praw własności intelektualnej, które opodatkowane są preferencyjną 5% stawką. </w:t>
      </w:r>
      <w:r w:rsidR="00CC759F" w:rsidRPr="00A720EE">
        <w:rPr>
          <w:rFonts w:ascii="Times New Roman" w:eastAsiaTheme="minorEastAsia" w:hAnsi="Times New Roman" w:cs="Times New Roman"/>
          <w:color w:val="000000" w:themeColor="text1"/>
          <w:sz w:val="24"/>
          <w:szCs w:val="24"/>
          <w:lang w:eastAsia="pl-PL"/>
        </w:rPr>
        <w:t xml:space="preserve">Niniejsza zmiana wynika z charakterystyki wydatków, które mogą być rozpoznane podczas ustalania dochodu z kwalifikowanego prawa własności intelektualnej. Wydatków poniesionych na dokonanie pierwszej oferty publicznej nie można uznać za koszty, które służą osiągnięciu, zabezpieczeniu czy zachowaniu źródła przychodów z kwalifikowanego prawa własności intelektualnej.  </w:t>
      </w:r>
      <w:r w:rsidR="0030512D" w:rsidRPr="00A720EE">
        <w:rPr>
          <w:rFonts w:ascii="Times New Roman" w:eastAsiaTheme="minorEastAsia" w:hAnsi="Times New Roman" w:cs="Times New Roman"/>
          <w:color w:val="000000" w:themeColor="text1"/>
          <w:sz w:val="24"/>
          <w:szCs w:val="24"/>
          <w:lang w:eastAsia="pl-PL"/>
        </w:rPr>
        <w:t>Pozostawienie przepisów w aktualnie obowiązującym brzmieniu mogłoby doprowadzić do naruszenia wytycznych OECD zawartych w Raporcie do Planu Działania nr 5 w ramach Projektu Erozji Bazy Podatkowej i Przerzucania Zysków (ang.</w:t>
      </w:r>
      <w:r w:rsidR="0030512D" w:rsidRPr="00A720EE">
        <w:rPr>
          <w:rFonts w:ascii="Times New Roman" w:eastAsiaTheme="minorEastAsia" w:hAnsi="Times New Roman" w:cs="Times New Roman"/>
          <w:i/>
          <w:color w:val="000000" w:themeColor="text1"/>
          <w:sz w:val="24"/>
          <w:szCs w:val="24"/>
          <w:lang w:eastAsia="pl-PL"/>
        </w:rPr>
        <w:t xml:space="preserve"> Base </w:t>
      </w:r>
      <w:proofErr w:type="spellStart"/>
      <w:r w:rsidR="0030512D" w:rsidRPr="00A720EE">
        <w:rPr>
          <w:rFonts w:ascii="Times New Roman" w:eastAsiaTheme="minorEastAsia" w:hAnsi="Times New Roman" w:cs="Times New Roman"/>
          <w:i/>
          <w:color w:val="000000" w:themeColor="text1"/>
          <w:sz w:val="24"/>
          <w:szCs w:val="24"/>
          <w:lang w:eastAsia="pl-PL"/>
        </w:rPr>
        <w:t>Erosion</w:t>
      </w:r>
      <w:proofErr w:type="spellEnd"/>
      <w:r w:rsidR="0030512D" w:rsidRPr="00A720EE">
        <w:rPr>
          <w:rFonts w:ascii="Times New Roman" w:eastAsiaTheme="minorEastAsia" w:hAnsi="Times New Roman" w:cs="Times New Roman"/>
          <w:i/>
          <w:color w:val="000000" w:themeColor="text1"/>
          <w:sz w:val="24"/>
          <w:szCs w:val="24"/>
          <w:lang w:eastAsia="pl-PL"/>
        </w:rPr>
        <w:t xml:space="preserve"> and Profit </w:t>
      </w:r>
      <w:proofErr w:type="spellStart"/>
      <w:r w:rsidR="0030512D" w:rsidRPr="00A720EE">
        <w:rPr>
          <w:rFonts w:ascii="Times New Roman" w:eastAsiaTheme="minorEastAsia" w:hAnsi="Times New Roman" w:cs="Times New Roman"/>
          <w:i/>
          <w:color w:val="000000" w:themeColor="text1"/>
          <w:sz w:val="24"/>
          <w:szCs w:val="24"/>
          <w:lang w:eastAsia="pl-PL"/>
        </w:rPr>
        <w:t>Shifting</w:t>
      </w:r>
      <w:proofErr w:type="spellEnd"/>
      <w:r w:rsidR="0030512D" w:rsidRPr="00A720EE">
        <w:rPr>
          <w:rFonts w:ascii="Times New Roman" w:eastAsiaTheme="minorEastAsia" w:hAnsi="Times New Roman" w:cs="Times New Roman"/>
          <w:color w:val="000000" w:themeColor="text1"/>
          <w:sz w:val="24"/>
          <w:szCs w:val="24"/>
          <w:lang w:eastAsia="pl-PL"/>
        </w:rPr>
        <w:t xml:space="preserve">) zatytułowanym „Efektywne zwalczanie szkodliwych praktyk podatkowych przy uwzględnieniu transparentności i rzeczywistej działalności podatników” (ang. </w:t>
      </w:r>
      <w:r w:rsidR="0030512D" w:rsidRPr="00A720EE">
        <w:rPr>
          <w:rFonts w:ascii="Times New Roman" w:eastAsiaTheme="minorEastAsia" w:hAnsi="Times New Roman" w:cs="Times New Roman"/>
          <w:i/>
          <w:color w:val="000000" w:themeColor="text1"/>
          <w:sz w:val="24"/>
          <w:szCs w:val="24"/>
          <w:lang w:val="en-US" w:eastAsia="pl-PL"/>
        </w:rPr>
        <w:t>Countering Harmful Tax Practices More Effectively, Taking into Account Transparency and Substance</w:t>
      </w:r>
      <w:r w:rsidR="0030512D" w:rsidRPr="00A720EE">
        <w:rPr>
          <w:rFonts w:ascii="Times New Roman" w:eastAsiaTheme="minorEastAsia" w:hAnsi="Times New Roman" w:cs="Times New Roman"/>
          <w:color w:val="000000" w:themeColor="text1"/>
          <w:sz w:val="24"/>
          <w:szCs w:val="24"/>
          <w:lang w:val="en-US" w:eastAsia="pl-PL"/>
        </w:rPr>
        <w:t xml:space="preserve">). </w:t>
      </w:r>
    </w:p>
    <w:p w14:paraId="7C10726E" w14:textId="3D180922" w:rsidR="00E83893" w:rsidRPr="00A720EE" w:rsidRDefault="00E83893" w:rsidP="007B03FB">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1</w:t>
      </w:r>
      <w:r w:rsidR="00D7656D" w:rsidRPr="00A720EE">
        <w:rPr>
          <w:rFonts w:ascii="Times New Roman" w:eastAsiaTheme="minorEastAsia" w:hAnsi="Times New Roman" w:cs="Times New Roman"/>
          <w:b/>
          <w:color w:val="000000" w:themeColor="text1"/>
          <w:sz w:val="24"/>
          <w:szCs w:val="24"/>
          <w:lang w:eastAsia="pl-PL"/>
        </w:rPr>
        <w:t>2</w:t>
      </w:r>
      <w:r w:rsidRPr="00A720EE">
        <w:rPr>
          <w:rFonts w:ascii="Times New Roman" w:eastAsiaTheme="minorEastAsia" w:hAnsi="Times New Roman" w:cs="Times New Roman"/>
          <w:b/>
          <w:color w:val="000000" w:themeColor="text1"/>
          <w:sz w:val="24"/>
          <w:szCs w:val="24"/>
          <w:lang w:eastAsia="pl-PL"/>
        </w:rPr>
        <w:t>) Zmian</w:t>
      </w:r>
      <w:r w:rsidR="006B2507" w:rsidRPr="00A720EE">
        <w:rPr>
          <w:rFonts w:ascii="Times New Roman" w:eastAsiaTheme="minorEastAsia" w:hAnsi="Times New Roman" w:cs="Times New Roman"/>
          <w:b/>
          <w:color w:val="000000" w:themeColor="text1"/>
          <w:sz w:val="24"/>
          <w:szCs w:val="24"/>
          <w:lang w:eastAsia="pl-PL"/>
        </w:rPr>
        <w:t>a</w:t>
      </w:r>
      <w:r w:rsidRPr="00A720EE">
        <w:rPr>
          <w:rFonts w:ascii="Times New Roman" w:eastAsiaTheme="minorEastAsia" w:hAnsi="Times New Roman" w:cs="Times New Roman"/>
          <w:b/>
          <w:color w:val="000000" w:themeColor="text1"/>
          <w:sz w:val="24"/>
          <w:szCs w:val="24"/>
          <w:lang w:eastAsia="pl-PL"/>
        </w:rPr>
        <w:t xml:space="preserve"> przepis</w:t>
      </w:r>
      <w:r w:rsidR="006B2507" w:rsidRPr="00A720EE">
        <w:rPr>
          <w:rFonts w:ascii="Times New Roman" w:eastAsiaTheme="minorEastAsia" w:hAnsi="Times New Roman" w:cs="Times New Roman"/>
          <w:b/>
          <w:color w:val="000000" w:themeColor="text1"/>
          <w:sz w:val="24"/>
          <w:szCs w:val="24"/>
          <w:lang w:eastAsia="pl-PL"/>
        </w:rPr>
        <w:t>ów</w:t>
      </w:r>
      <w:r w:rsidRPr="00A720EE">
        <w:rPr>
          <w:rFonts w:ascii="Times New Roman" w:eastAsiaTheme="minorEastAsia" w:hAnsi="Times New Roman" w:cs="Times New Roman"/>
          <w:b/>
          <w:color w:val="000000" w:themeColor="text1"/>
          <w:sz w:val="24"/>
          <w:szCs w:val="24"/>
          <w:lang w:eastAsia="pl-PL"/>
        </w:rPr>
        <w:t xml:space="preserve"> dotyczących obowiązku przesyłania ksiąg i ewidencji za pomocą środków komunikacji elektronicznej (ustawa CIT)</w:t>
      </w:r>
    </w:p>
    <w:p w14:paraId="1E02CDAA" w14:textId="19A243BC" w:rsidR="00E83893" w:rsidRPr="00A720EE" w:rsidRDefault="00E83893" w:rsidP="000151A2">
      <w:pPr>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rPr>
        <w:t>Zmiana art. 9 ust. 1c ustawy CIT, który został wprowadzony do ustawy CIT ustawą z 9 czerwca 2022 r</w:t>
      </w:r>
      <w:r w:rsidR="00B73B1B" w:rsidRPr="00A720EE">
        <w:rPr>
          <w:rFonts w:ascii="Times New Roman" w:hAnsi="Times New Roman" w:cs="Times New Roman"/>
          <w:sz w:val="24"/>
          <w:szCs w:val="24"/>
        </w:rPr>
        <w:t xml:space="preserve">., </w:t>
      </w:r>
      <w:r w:rsidRPr="00A720EE">
        <w:rPr>
          <w:rFonts w:ascii="Times New Roman" w:hAnsi="Times New Roman" w:cs="Times New Roman"/>
          <w:sz w:val="24"/>
          <w:szCs w:val="24"/>
        </w:rPr>
        <w:t>ma na celu wyeliminowanie ewentualnych wątpliwości interpretacyjnych co do terminu na przesłanie do urzędu skarbowego ksiąg rachunkowych przez podatników opodatkowanych ryczałtem od dochodów spółek, o którym mowa w Rozdziale 6b ustawy CIT.</w:t>
      </w:r>
    </w:p>
    <w:p w14:paraId="6C98B538" w14:textId="77777777" w:rsidR="00E83893" w:rsidRPr="00A720EE" w:rsidRDefault="00E83893" w:rsidP="000151A2">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W związku z powyższym proponuje się doprecyzowanie przepisu poprzez wskazanie wprost w treści art. 9 ust. 1c ustawy CIT, że podatnicy są obowiązani po zakończeniu roku podatkowego do przesłania do urzędu skarbowego ksiąg rachunkowych, w terminie do dnia upływu terminu określonego dla złożenia deklaracji, o której mowa w art. 28r ust. 1 ustawy CIT.  </w:t>
      </w:r>
    </w:p>
    <w:p w14:paraId="396D039B" w14:textId="57EC0735" w:rsidR="007B03FB" w:rsidRPr="00A720EE" w:rsidRDefault="007B03FB" w:rsidP="007B03FB">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1</w:t>
      </w:r>
      <w:r w:rsidR="00D7656D" w:rsidRPr="00A720EE">
        <w:rPr>
          <w:rFonts w:ascii="Times New Roman" w:eastAsiaTheme="minorEastAsia" w:hAnsi="Times New Roman" w:cs="Times New Roman"/>
          <w:b/>
          <w:color w:val="000000" w:themeColor="text1"/>
          <w:sz w:val="24"/>
          <w:szCs w:val="24"/>
          <w:lang w:eastAsia="pl-PL"/>
        </w:rPr>
        <w:t>3</w:t>
      </w:r>
      <w:r w:rsidRPr="00A720EE">
        <w:rPr>
          <w:rFonts w:ascii="Times New Roman" w:eastAsiaTheme="minorEastAsia" w:hAnsi="Times New Roman" w:cs="Times New Roman"/>
          <w:b/>
          <w:color w:val="000000" w:themeColor="text1"/>
          <w:sz w:val="24"/>
          <w:szCs w:val="24"/>
          <w:lang w:eastAsia="pl-PL"/>
        </w:rPr>
        <w:t>) Uproszczenie przepisów o uldze na złe długi (</w:t>
      </w:r>
      <w:r w:rsidR="00096A5F" w:rsidRPr="00A720EE">
        <w:rPr>
          <w:rFonts w:ascii="Times New Roman" w:eastAsiaTheme="minorEastAsia" w:hAnsi="Times New Roman" w:cs="Times New Roman"/>
          <w:b/>
          <w:color w:val="000000" w:themeColor="text1"/>
          <w:sz w:val="24"/>
          <w:szCs w:val="24"/>
          <w:lang w:eastAsia="pl-PL"/>
        </w:rPr>
        <w:t xml:space="preserve">ustawa </w:t>
      </w:r>
      <w:r w:rsidRPr="00A720EE">
        <w:rPr>
          <w:rFonts w:ascii="Times New Roman" w:eastAsiaTheme="minorEastAsia" w:hAnsi="Times New Roman" w:cs="Times New Roman"/>
          <w:b/>
          <w:color w:val="000000" w:themeColor="text1"/>
          <w:sz w:val="24"/>
          <w:szCs w:val="24"/>
          <w:lang w:eastAsia="pl-PL"/>
        </w:rPr>
        <w:t>CIT</w:t>
      </w:r>
      <w:r w:rsidR="00151E35" w:rsidRPr="00A720EE">
        <w:rPr>
          <w:rFonts w:ascii="Times New Roman" w:eastAsiaTheme="minorEastAsia" w:hAnsi="Times New Roman" w:cs="Times New Roman"/>
          <w:b/>
          <w:color w:val="000000" w:themeColor="text1"/>
          <w:sz w:val="24"/>
          <w:szCs w:val="24"/>
          <w:lang w:eastAsia="pl-PL"/>
        </w:rPr>
        <w:t>,</w:t>
      </w:r>
      <w:r w:rsidRPr="00A720EE">
        <w:rPr>
          <w:rFonts w:ascii="Times New Roman" w:eastAsiaTheme="minorEastAsia" w:hAnsi="Times New Roman" w:cs="Times New Roman"/>
          <w:b/>
          <w:color w:val="000000" w:themeColor="text1"/>
          <w:sz w:val="24"/>
          <w:szCs w:val="24"/>
          <w:lang w:eastAsia="pl-PL"/>
        </w:rPr>
        <w:t xml:space="preserve"> PIT</w:t>
      </w:r>
      <w:r w:rsidR="00151E35" w:rsidRPr="00A720EE">
        <w:rPr>
          <w:rFonts w:ascii="Times New Roman" w:eastAsiaTheme="minorEastAsia" w:hAnsi="Times New Roman" w:cs="Times New Roman"/>
          <w:b/>
          <w:color w:val="000000" w:themeColor="text1"/>
          <w:sz w:val="24"/>
          <w:szCs w:val="24"/>
          <w:lang w:eastAsia="pl-PL"/>
        </w:rPr>
        <w:t xml:space="preserve"> i ustawa o ryczałcie</w:t>
      </w:r>
      <w:r w:rsidRPr="00A720EE">
        <w:rPr>
          <w:rFonts w:ascii="Times New Roman" w:eastAsiaTheme="minorEastAsia" w:hAnsi="Times New Roman" w:cs="Times New Roman"/>
          <w:b/>
          <w:color w:val="000000" w:themeColor="text1"/>
          <w:sz w:val="24"/>
          <w:szCs w:val="24"/>
          <w:lang w:eastAsia="pl-PL"/>
        </w:rPr>
        <w:t>)</w:t>
      </w:r>
    </w:p>
    <w:p w14:paraId="26301845" w14:textId="77777777" w:rsidR="007B03FB" w:rsidRPr="00A720EE" w:rsidRDefault="007B03FB" w:rsidP="003F1B80">
      <w:pPr>
        <w:widowControl w:val="0"/>
        <w:autoSpaceDE w:val="0"/>
        <w:autoSpaceDN w:val="0"/>
        <w:adjustRightInd w:val="0"/>
        <w:spacing w:before="120" w:after="0" w:line="276" w:lineRule="auto"/>
        <w:jc w:val="both"/>
        <w:rPr>
          <w:rFonts w:ascii="Times New Roman" w:eastAsiaTheme="minorEastAsia" w:hAnsi="Times New Roman" w:cs="Times New Roman"/>
          <w:color w:val="000000" w:themeColor="text1"/>
          <w:sz w:val="24"/>
          <w:szCs w:val="24"/>
          <w:lang w:eastAsia="pl-PL"/>
        </w:rPr>
      </w:pPr>
      <w:r w:rsidRPr="00A720EE">
        <w:rPr>
          <w:rFonts w:ascii="Times New Roman" w:eastAsiaTheme="minorEastAsia" w:hAnsi="Times New Roman" w:cs="Times New Roman"/>
          <w:color w:val="000000" w:themeColor="text1"/>
          <w:sz w:val="24"/>
          <w:szCs w:val="24"/>
          <w:lang w:eastAsia="pl-PL"/>
        </w:rPr>
        <w:t xml:space="preserve">Proponuje się uchylenie </w:t>
      </w:r>
      <w:r w:rsidR="00151E35" w:rsidRPr="00A720EE">
        <w:rPr>
          <w:rFonts w:ascii="Times New Roman" w:eastAsiaTheme="minorEastAsia" w:hAnsi="Times New Roman" w:cs="Times New Roman"/>
          <w:color w:val="000000" w:themeColor="text1"/>
          <w:sz w:val="24"/>
          <w:szCs w:val="24"/>
          <w:lang w:eastAsia="pl-PL"/>
        </w:rPr>
        <w:t xml:space="preserve">w </w:t>
      </w:r>
      <w:r w:rsidRPr="00A720EE">
        <w:rPr>
          <w:rFonts w:ascii="Times New Roman" w:eastAsiaTheme="minorEastAsia" w:hAnsi="Times New Roman" w:cs="Times New Roman"/>
          <w:color w:val="000000" w:themeColor="text1"/>
          <w:sz w:val="24"/>
          <w:szCs w:val="24"/>
          <w:lang w:eastAsia="pl-PL"/>
        </w:rPr>
        <w:t xml:space="preserve">art. 18f ust. 19 ustawy CIT oraz odpowiednio </w:t>
      </w:r>
      <w:r w:rsidR="00151E35" w:rsidRPr="00A720EE">
        <w:rPr>
          <w:rFonts w:ascii="Times New Roman" w:eastAsiaTheme="minorEastAsia" w:hAnsi="Times New Roman" w:cs="Times New Roman"/>
          <w:color w:val="000000" w:themeColor="text1"/>
          <w:sz w:val="24"/>
          <w:szCs w:val="24"/>
          <w:lang w:eastAsia="pl-PL"/>
        </w:rPr>
        <w:t xml:space="preserve">w </w:t>
      </w:r>
      <w:r w:rsidRPr="00A720EE">
        <w:rPr>
          <w:rFonts w:ascii="Times New Roman" w:eastAsiaTheme="minorEastAsia" w:hAnsi="Times New Roman" w:cs="Times New Roman"/>
          <w:color w:val="000000" w:themeColor="text1"/>
          <w:sz w:val="24"/>
          <w:szCs w:val="24"/>
          <w:lang w:eastAsia="pl-PL"/>
        </w:rPr>
        <w:t>art. 26i ust. 19 ustawy PIT</w:t>
      </w:r>
      <w:r w:rsidR="00151E35" w:rsidRPr="00A720EE">
        <w:rPr>
          <w:rFonts w:ascii="Times New Roman" w:eastAsiaTheme="minorEastAsia" w:hAnsi="Times New Roman" w:cs="Times New Roman"/>
          <w:color w:val="000000" w:themeColor="text1"/>
          <w:sz w:val="24"/>
          <w:szCs w:val="24"/>
          <w:lang w:eastAsia="pl-PL"/>
        </w:rPr>
        <w:t xml:space="preserve"> i w art. 11 ust. 18 ustawy o ryczałcie</w:t>
      </w:r>
      <w:r w:rsidRPr="00A720EE">
        <w:rPr>
          <w:rFonts w:ascii="Times New Roman" w:eastAsiaTheme="minorEastAsia" w:hAnsi="Times New Roman" w:cs="Times New Roman"/>
          <w:color w:val="000000" w:themeColor="text1"/>
          <w:sz w:val="24"/>
          <w:szCs w:val="24"/>
          <w:lang w:eastAsia="pl-PL"/>
        </w:rPr>
        <w:t>, zgodnie z którym podatnicy dokonujący odpowiednich zwiększeń lub zmniejszeń wynikających z ulgi na złe długi obowiązani są wykazać w zeznaniu podatkowym wierzytelności lub zobowiązania, z którymi związane są te zwiększenia lub zmniejszenia. Przyczyną uchylenia wskazanych przepisów jest okoliczność, iż podatnik – niezależnie od obowiązków dotyczących zeznania – i tak musi udowodnić wysokość wierzytelności i długów, które mają wpływ na podstawę opodatkowania. Rezygnacja z odpowiedniego załącznika do zeznania podatkowego, w którym dotychczas wykazywane były takie dane, pozwoli na uproszczenie obowiązków administracyjnych po stronie podatników.</w:t>
      </w:r>
    </w:p>
    <w:p w14:paraId="6A0E8BA9" w14:textId="1E04F51A" w:rsidR="00820761" w:rsidRPr="00A720EE" w:rsidRDefault="006C5444" w:rsidP="004E0F72">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color w:val="000000" w:themeColor="text1"/>
          <w:sz w:val="24"/>
          <w:szCs w:val="24"/>
          <w:lang w:eastAsia="pl-PL"/>
        </w:rPr>
        <w:t>Pozostałe proponowane w art. 18f ustawy CIT zmiany mają charakter doprecyzowujący, mający na celu wyeliminowanie ewentualnych wątpliwości pojawiających się przy rozliczaniu złych długów w zeznaniu.</w:t>
      </w:r>
    </w:p>
    <w:p w14:paraId="4B10B872" w14:textId="4B4E0845" w:rsidR="00190CA6" w:rsidRPr="00A720EE" w:rsidRDefault="006E6570">
      <w:pPr>
        <w:widowControl w:val="0"/>
        <w:autoSpaceDE w:val="0"/>
        <w:autoSpaceDN w:val="0"/>
        <w:adjustRightInd w:val="0"/>
        <w:spacing w:before="240" w:after="0" w:line="276" w:lineRule="auto"/>
        <w:jc w:val="both"/>
        <w:rPr>
          <w:rFonts w:ascii="Times New Roman" w:eastAsiaTheme="minorEastAsia" w:hAnsi="Times New Roman" w:cs="Times New Roman"/>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1</w:t>
      </w:r>
      <w:r w:rsidR="00D7656D" w:rsidRPr="00A720EE">
        <w:rPr>
          <w:rFonts w:ascii="Times New Roman" w:eastAsiaTheme="minorEastAsia" w:hAnsi="Times New Roman" w:cs="Times New Roman"/>
          <w:b/>
          <w:color w:val="000000" w:themeColor="text1"/>
          <w:sz w:val="24"/>
          <w:szCs w:val="24"/>
          <w:lang w:eastAsia="pl-PL"/>
        </w:rPr>
        <w:t>4</w:t>
      </w:r>
      <w:r w:rsidR="00210406" w:rsidRPr="00A720EE">
        <w:rPr>
          <w:rFonts w:ascii="Times New Roman" w:eastAsiaTheme="minorEastAsia" w:hAnsi="Times New Roman" w:cs="Times New Roman"/>
          <w:b/>
          <w:color w:val="000000" w:themeColor="text1"/>
          <w:sz w:val="24"/>
          <w:szCs w:val="24"/>
          <w:lang w:eastAsia="pl-PL"/>
        </w:rPr>
        <w:t xml:space="preserve">) </w:t>
      </w:r>
      <w:r w:rsidR="00190CA6" w:rsidRPr="00A720EE">
        <w:rPr>
          <w:rFonts w:ascii="Times New Roman" w:eastAsiaTheme="minorEastAsia" w:hAnsi="Times New Roman" w:cs="Times New Roman"/>
          <w:b/>
          <w:color w:val="000000" w:themeColor="text1"/>
          <w:sz w:val="24"/>
          <w:szCs w:val="24"/>
          <w:lang w:eastAsia="pl-PL"/>
        </w:rPr>
        <w:t>Zmiana przepisów dotyczących opodatkowania ryczałtem od dochodów spółek</w:t>
      </w:r>
      <w:r w:rsidR="00D53F40" w:rsidRPr="00A720EE">
        <w:rPr>
          <w:rFonts w:ascii="Times New Roman" w:eastAsiaTheme="minorEastAsia" w:hAnsi="Times New Roman" w:cs="Times New Roman"/>
          <w:b/>
          <w:color w:val="000000" w:themeColor="text1"/>
          <w:sz w:val="24"/>
          <w:szCs w:val="24"/>
          <w:lang w:eastAsia="pl-PL"/>
        </w:rPr>
        <w:t xml:space="preserve"> (</w:t>
      </w:r>
      <w:r w:rsidR="00096A5F" w:rsidRPr="00A720EE">
        <w:rPr>
          <w:rFonts w:ascii="Times New Roman" w:eastAsiaTheme="minorEastAsia" w:hAnsi="Times New Roman" w:cs="Times New Roman"/>
          <w:b/>
          <w:color w:val="000000" w:themeColor="text1"/>
          <w:sz w:val="24"/>
          <w:szCs w:val="24"/>
          <w:lang w:eastAsia="pl-PL"/>
        </w:rPr>
        <w:t xml:space="preserve">ustawa </w:t>
      </w:r>
      <w:r w:rsidR="00D53F40" w:rsidRPr="00A720EE">
        <w:rPr>
          <w:rFonts w:ascii="Times New Roman" w:eastAsiaTheme="minorEastAsia" w:hAnsi="Times New Roman" w:cs="Times New Roman"/>
          <w:b/>
          <w:color w:val="000000" w:themeColor="text1"/>
          <w:sz w:val="24"/>
          <w:szCs w:val="24"/>
          <w:lang w:eastAsia="pl-PL"/>
        </w:rPr>
        <w:t>CIT)</w:t>
      </w:r>
    </w:p>
    <w:p w14:paraId="5B80D663"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lastRenderedPageBreak/>
        <w:t>a) Zmiany przepisów o ryczałcie od dochodów spółek dotyczą sposobu określania dochodu z tytułu wydatków niezwiązanych z działalnością gospodarczą od wydatków i odpisów amortyzacyjnych oraz odpisów z tytułu trwałej utraty wartości, związanych z używaniem samochodów osobowych, środków transportu lotniczego, taboru pływającego oraz innych składników majątku, wykorzystywanych zarówno dla celów prowadzonej przez podatnika działalności gospodarczej jak i dla celów prywatnych.</w:t>
      </w:r>
    </w:p>
    <w:p w14:paraId="78AD8028"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W aktualnym stanie prawnym prawidłowe odczytanie normy prawnej dotyczącej określenia dochodu z tytułu wydatków niezwiązanych z działalnością</w:t>
      </w:r>
      <w:r w:rsidR="00CE38D6" w:rsidRPr="00A720EE">
        <w:rPr>
          <w:rFonts w:ascii="Times New Roman" w:hAnsi="Times New Roman" w:cs="Times New Roman"/>
          <w:sz w:val="24"/>
          <w:szCs w:val="24"/>
        </w:rPr>
        <w:t xml:space="preserve"> gospodarczą</w:t>
      </w:r>
      <w:r w:rsidRPr="00A720EE">
        <w:rPr>
          <w:rFonts w:ascii="Times New Roman" w:hAnsi="Times New Roman" w:cs="Times New Roman"/>
          <w:sz w:val="24"/>
          <w:szCs w:val="24"/>
        </w:rPr>
        <w:t xml:space="preserve"> od wydatków i odpisów amortyzacyjnych oraz odpisów z tytułu trwałej utraty wartości, związanych z używaniem samochodów osobowych, środków transportu lotniczego, taboru pływającego oraz innych składników majątku wykorzystywanych zarówno dla celów prowadzonej przez podatnika działalności gospodarczej jak i dla celów prywatnych, wymaga zastosowania reguł wykładni systemowej oraz celowościowej.</w:t>
      </w:r>
    </w:p>
    <w:p w14:paraId="331A89D3" w14:textId="2AE2A425"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Powyższa kwestia została precyzyjnie określona w odniesieniu do ukrytych zysków. Zgodnie z treścią art. 28m ust. 4 pkt 2 lit. b ustawy CIT do ukrytych zysków należy zaliczyć 50% wydatków i odpisów amortyzacyjnych oraz odpisów z tytułu trwałej utraty wartości, związanych z używaniem samochodów osobowych, środków transportu lotniczego, taboru pływającego oraz innych składników majątku, które nie są wykorzystywane wyłącznie dla celów prowadzonej przez podatnika działalności gospodarczej. </w:t>
      </w:r>
    </w:p>
    <w:p w14:paraId="1C2630E8"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Podczas analizy czy takie wydatki, odpisy amortyzacyjne oraz odpisy z tytułu trwałej utraty wartości mogą stanowić również wydatki niezwiązane z działalnością gospodarczą</w:t>
      </w:r>
      <w:r w:rsidR="006F3412" w:rsidRPr="00A720EE">
        <w:rPr>
          <w:rFonts w:ascii="Times New Roman" w:hAnsi="Times New Roman" w:cs="Times New Roman"/>
          <w:sz w:val="24"/>
          <w:szCs w:val="24"/>
        </w:rPr>
        <w:t>,</w:t>
      </w:r>
      <w:r w:rsidRPr="00A720EE">
        <w:rPr>
          <w:rFonts w:ascii="Times New Roman" w:hAnsi="Times New Roman" w:cs="Times New Roman"/>
          <w:sz w:val="24"/>
          <w:szCs w:val="24"/>
        </w:rPr>
        <w:t xml:space="preserve"> w pierwszej kolejności należy sięgnąć do reguł wykładni systemowej. Zgodnie z art. 28n ust. 1 pkt 2 ustawy CIT jedną z podstaw opodatkowania ryczałtem od dochodów spółek jest suma dochodu z tytułu ukrytych zysków i dochodu z tytułu wydatków niezwiązanych z działalnością gospodarczą ustalona w miesiącu, w którym wykonano świadczenie lub dokonano wypłaty lub wy</w:t>
      </w:r>
      <w:r w:rsidR="006F3412" w:rsidRPr="00A720EE">
        <w:rPr>
          <w:rFonts w:ascii="Times New Roman" w:hAnsi="Times New Roman" w:cs="Times New Roman"/>
          <w:sz w:val="24"/>
          <w:szCs w:val="24"/>
        </w:rPr>
        <w:t>datku. W konsekwencji, stosownie do</w:t>
      </w:r>
      <w:r w:rsidRPr="00A720EE">
        <w:rPr>
          <w:rFonts w:ascii="Times New Roman" w:hAnsi="Times New Roman" w:cs="Times New Roman"/>
          <w:sz w:val="24"/>
          <w:szCs w:val="24"/>
        </w:rPr>
        <w:t xml:space="preserve"> art. 28t ust. 1 pkt 4 ustawy CIT</w:t>
      </w:r>
      <w:r w:rsidR="006F3412" w:rsidRPr="00A720EE">
        <w:rPr>
          <w:rFonts w:ascii="Times New Roman" w:hAnsi="Times New Roman" w:cs="Times New Roman"/>
          <w:sz w:val="24"/>
          <w:szCs w:val="24"/>
        </w:rPr>
        <w:t>,</w:t>
      </w:r>
      <w:r w:rsidRPr="00A720EE">
        <w:rPr>
          <w:rFonts w:ascii="Times New Roman" w:hAnsi="Times New Roman" w:cs="Times New Roman"/>
          <w:sz w:val="24"/>
          <w:szCs w:val="24"/>
        </w:rPr>
        <w:t xml:space="preserve"> ryczałt od dochodu z tytułu ukrytych zysków i dochodu z tytułu wydatków niezwiązanych z działalnością gospodarczą płatny jest do 20-go dnia miesiąca następującego po miesiącu, w którym dokonan</w:t>
      </w:r>
      <w:r w:rsidR="006F3412" w:rsidRPr="00A720EE">
        <w:rPr>
          <w:rFonts w:ascii="Times New Roman" w:hAnsi="Times New Roman" w:cs="Times New Roman"/>
          <w:sz w:val="24"/>
          <w:szCs w:val="24"/>
        </w:rPr>
        <w:t>o wypłaty, wydatku lub wykonano świadczenie</w:t>
      </w:r>
      <w:r w:rsidRPr="00A720EE">
        <w:rPr>
          <w:rFonts w:ascii="Times New Roman" w:hAnsi="Times New Roman" w:cs="Times New Roman"/>
          <w:sz w:val="24"/>
          <w:szCs w:val="24"/>
        </w:rPr>
        <w:t xml:space="preserve">. </w:t>
      </w:r>
    </w:p>
    <w:p w14:paraId="002EF22D"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Ponadto powyższe znajduje również potwierdzenie w treści Przewodnika do Ryczałtu od dochodów spółek z dnia 23 grudnia 2021 r. (dalej jako: „Przewodnik”). Na stronie 41 w poz. 63 Przewodnika wskazuje się, że niektóre świadczenia, stanowić mogą jednocześnie ukryte zyski bądź wydatki niezwiązane z działalnością gospodarczą, w zależności </w:t>
      </w:r>
      <w:r w:rsidR="008572E0" w:rsidRPr="00A720EE">
        <w:rPr>
          <w:rFonts w:ascii="Times New Roman" w:hAnsi="Times New Roman" w:cs="Times New Roman"/>
          <w:sz w:val="24"/>
          <w:szCs w:val="24"/>
        </w:rPr>
        <w:t>od tego, czy stroną transakcji jest wspólnik, podmiot powiązany bezpośrednio lub pośrednio z podatnikiem lub z tym wspólnikiem</w:t>
      </w:r>
      <w:r w:rsidRPr="00A720EE">
        <w:rPr>
          <w:rFonts w:ascii="Times New Roman" w:hAnsi="Times New Roman" w:cs="Times New Roman"/>
          <w:sz w:val="24"/>
          <w:szCs w:val="24"/>
        </w:rPr>
        <w:t xml:space="preserve">, czy nie. Wykorzystywanie składników majątku podatnika opodatkowanego ryczałtem od dochodów spółek zarówno dla celów prowadzonej działalności gospodarczej jak i dla celów prywatnych, jest przykładem świadczenia, które może spełniać przesłanki uzasadniające uznanie go zarówno za ukryte zyski, jak i wydatki niezwiązane z działalnością gospodarczą, w zależności od tego, czy jest dokonane pomiędzy podmiotami powiązanymi, czy nie. </w:t>
      </w:r>
    </w:p>
    <w:p w14:paraId="240D5D2D"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lastRenderedPageBreak/>
        <w:t>Jeżeli ze składnika majątku podatnika opodatkowanego ryczałtem od dochodów spółek, zarówno dla celów działalności gospodarczej jak i dla innych celów niezwiązanych z działalnością gospodarczą, korzysta</w:t>
      </w:r>
      <w:r w:rsidR="008572E0" w:rsidRPr="00A720EE">
        <w:rPr>
          <w:rFonts w:ascii="Times New Roman" w:hAnsi="Times New Roman" w:cs="Times New Roman"/>
          <w:sz w:val="24"/>
          <w:szCs w:val="24"/>
        </w:rPr>
        <w:t xml:space="preserve"> wspólnik, podmiot powiązany bezpośrednio lub pośrednio z podatnikiem lub z tym wspólnikiem</w:t>
      </w:r>
      <w:r w:rsidRPr="00A720EE">
        <w:rPr>
          <w:rFonts w:ascii="Times New Roman" w:hAnsi="Times New Roman" w:cs="Times New Roman"/>
          <w:sz w:val="24"/>
          <w:szCs w:val="24"/>
        </w:rPr>
        <w:t xml:space="preserve">, wtedy 50% wydatków, odpisów amortyzacyjnych oraz odpisów z tytułu trwałej utraty wartości tego składnika majątku stanowi ukryte zyski, zgodnie z art. 28m ust. 4 pkt 2 lit. b ustawy CIT. </w:t>
      </w:r>
    </w:p>
    <w:p w14:paraId="2FBC3D00" w14:textId="0BA02679"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Z kolei w przypadku, kiedy składniki majątku podatnika opodatkowanego ryczałtem od dochodów spółek wykorzystywane są zarówno dla celów działalności gospodarczej jak i dla innych cel</w:t>
      </w:r>
      <w:r w:rsidR="008572E0" w:rsidRPr="00A720EE">
        <w:rPr>
          <w:rFonts w:ascii="Times New Roman" w:hAnsi="Times New Roman" w:cs="Times New Roman"/>
          <w:sz w:val="24"/>
          <w:szCs w:val="24"/>
        </w:rPr>
        <w:t>ów przez</w:t>
      </w:r>
      <w:r w:rsidR="00440E84" w:rsidRPr="00A720EE">
        <w:rPr>
          <w:rFonts w:ascii="Times New Roman" w:hAnsi="Times New Roman" w:cs="Times New Roman"/>
          <w:sz w:val="24"/>
          <w:szCs w:val="24"/>
        </w:rPr>
        <w:t xml:space="preserve"> podmiot nie będący</w:t>
      </w:r>
      <w:r w:rsidR="008572E0" w:rsidRPr="00A720EE">
        <w:rPr>
          <w:rFonts w:ascii="Times New Roman" w:hAnsi="Times New Roman" w:cs="Times New Roman"/>
          <w:sz w:val="24"/>
          <w:szCs w:val="24"/>
        </w:rPr>
        <w:t xml:space="preserve"> </w:t>
      </w:r>
      <w:r w:rsidR="00440E84" w:rsidRPr="00A720EE">
        <w:rPr>
          <w:rFonts w:ascii="Times New Roman" w:hAnsi="Times New Roman" w:cs="Times New Roman"/>
          <w:sz w:val="24"/>
          <w:szCs w:val="24"/>
        </w:rPr>
        <w:t>wspólnikiem</w:t>
      </w:r>
      <w:r w:rsidRPr="00A720EE">
        <w:rPr>
          <w:rFonts w:ascii="Times New Roman" w:hAnsi="Times New Roman" w:cs="Times New Roman"/>
          <w:sz w:val="24"/>
          <w:szCs w:val="24"/>
        </w:rPr>
        <w:t>,</w:t>
      </w:r>
      <w:r w:rsidR="008572E0" w:rsidRPr="00A720EE">
        <w:rPr>
          <w:rFonts w:ascii="Times New Roman" w:hAnsi="Times New Roman" w:cs="Times New Roman"/>
          <w:sz w:val="24"/>
          <w:szCs w:val="24"/>
        </w:rPr>
        <w:t xml:space="preserve"> podmiot</w:t>
      </w:r>
      <w:r w:rsidR="00440E84" w:rsidRPr="00A720EE">
        <w:rPr>
          <w:rFonts w:ascii="Times New Roman" w:hAnsi="Times New Roman" w:cs="Times New Roman"/>
          <w:sz w:val="24"/>
          <w:szCs w:val="24"/>
        </w:rPr>
        <w:t>em</w:t>
      </w:r>
      <w:r w:rsidR="008572E0" w:rsidRPr="00A720EE">
        <w:rPr>
          <w:rFonts w:ascii="Times New Roman" w:hAnsi="Times New Roman" w:cs="Times New Roman"/>
          <w:sz w:val="24"/>
          <w:szCs w:val="24"/>
        </w:rPr>
        <w:t xml:space="preserve"> powiązany</w:t>
      </w:r>
      <w:r w:rsidR="00440E84" w:rsidRPr="00A720EE">
        <w:rPr>
          <w:rFonts w:ascii="Times New Roman" w:hAnsi="Times New Roman" w:cs="Times New Roman"/>
          <w:sz w:val="24"/>
          <w:szCs w:val="24"/>
        </w:rPr>
        <w:t>m</w:t>
      </w:r>
      <w:r w:rsidR="008572E0" w:rsidRPr="00A720EE">
        <w:rPr>
          <w:rFonts w:ascii="Times New Roman" w:hAnsi="Times New Roman" w:cs="Times New Roman"/>
          <w:sz w:val="24"/>
          <w:szCs w:val="24"/>
        </w:rPr>
        <w:t xml:space="preserve"> bezpośrednio lub pośrednio z podatnikiem lub z tym wspólnikiem,</w:t>
      </w:r>
      <w:r w:rsidRPr="00A720EE">
        <w:rPr>
          <w:rFonts w:ascii="Times New Roman" w:hAnsi="Times New Roman" w:cs="Times New Roman"/>
          <w:sz w:val="24"/>
          <w:szCs w:val="24"/>
        </w:rPr>
        <w:t xml:space="preserve"> wtedy wydatki, odpisy amortyzacyjne oraz odpisy z tytułu trwałej utraty wartości tych składników majątku związane z ich używaniem</w:t>
      </w:r>
      <w:r w:rsidR="00D53879" w:rsidRPr="00A720EE">
        <w:rPr>
          <w:rFonts w:ascii="Times New Roman" w:hAnsi="Times New Roman" w:cs="Times New Roman"/>
          <w:sz w:val="24"/>
          <w:szCs w:val="24"/>
        </w:rPr>
        <w:t>,</w:t>
      </w:r>
      <w:r w:rsidRPr="00A720EE">
        <w:rPr>
          <w:rFonts w:ascii="Times New Roman" w:hAnsi="Times New Roman" w:cs="Times New Roman"/>
          <w:sz w:val="24"/>
          <w:szCs w:val="24"/>
        </w:rPr>
        <w:t xml:space="preserve"> nie mogą być uznane za ukryte zyski. </w:t>
      </w:r>
    </w:p>
    <w:p w14:paraId="637CECF5"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Nie oznacza to jednak, że w takiej sytuacji wydatki, odpisy amortyzacyjne oraz odpisy z tytułu trwałej utraty wartości nie stanowią wydatków niezwiązanych z działalnością gospodarczą. Jeżeli składnik majątku nie jest wykorzystywany wyłącznie na cele działalności gospodarczej, to w konsekwencji podatnik jest obowiązany część wydatków, odpisów amortyzacyjnych oraz odpisów z tytułu trwałej utraty wartości, związanych z używaniem tego składnika majątku, zaliczyć do wydatków niezwiązanych z działalnością gospodarczą.</w:t>
      </w:r>
    </w:p>
    <w:p w14:paraId="4A9B698A" w14:textId="53BFE174"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Mając na uwadze wysoki stopień podobieństwa pomiędzy ukrytymi zyskami a wydatkami niezwiązanymi z działalnością gospodarczą, treść art. 28m ust. 4 pkt 2 lit. b ustawy CIT oraz regułę racjonalnego prawodawcy, należy uznać, że również w przypadku relacji pomiędzy podmiotami niepowiązanymi, analogicznie 50% wysokości wydatków, odpisów amortyzacyjnych oraz odpisów z tytułu trwałej utraty wartości związanych z używaniem składników majątku, które nie są wykorzystywane wyłącznie na cele działalności gospodarczej, stanowi</w:t>
      </w:r>
      <w:r w:rsidR="00D53879" w:rsidRPr="00A720EE">
        <w:rPr>
          <w:rFonts w:ascii="Times New Roman" w:hAnsi="Times New Roman" w:cs="Times New Roman"/>
          <w:sz w:val="24"/>
          <w:szCs w:val="24"/>
        </w:rPr>
        <w:t>ą</w:t>
      </w:r>
      <w:r w:rsidRPr="00A720EE">
        <w:rPr>
          <w:rFonts w:ascii="Times New Roman" w:hAnsi="Times New Roman" w:cs="Times New Roman"/>
          <w:sz w:val="24"/>
          <w:szCs w:val="24"/>
        </w:rPr>
        <w:t xml:space="preserve"> wydatk</w:t>
      </w:r>
      <w:r w:rsidR="00440E84" w:rsidRPr="00A720EE">
        <w:rPr>
          <w:rFonts w:ascii="Times New Roman" w:hAnsi="Times New Roman" w:cs="Times New Roman"/>
          <w:sz w:val="24"/>
          <w:szCs w:val="24"/>
        </w:rPr>
        <w:t>i</w:t>
      </w:r>
      <w:r w:rsidRPr="00A720EE">
        <w:rPr>
          <w:rFonts w:ascii="Times New Roman" w:hAnsi="Times New Roman" w:cs="Times New Roman"/>
          <w:sz w:val="24"/>
          <w:szCs w:val="24"/>
        </w:rPr>
        <w:t xml:space="preserve"> niezwiązan</w:t>
      </w:r>
      <w:r w:rsidR="00440E84" w:rsidRPr="00A720EE">
        <w:rPr>
          <w:rFonts w:ascii="Times New Roman" w:hAnsi="Times New Roman" w:cs="Times New Roman"/>
          <w:sz w:val="24"/>
          <w:szCs w:val="24"/>
        </w:rPr>
        <w:t>e</w:t>
      </w:r>
      <w:r w:rsidRPr="00A720EE">
        <w:rPr>
          <w:rFonts w:ascii="Times New Roman" w:hAnsi="Times New Roman" w:cs="Times New Roman"/>
          <w:sz w:val="24"/>
          <w:szCs w:val="24"/>
        </w:rPr>
        <w:t xml:space="preserve"> z działalnością gospodarczą. </w:t>
      </w:r>
    </w:p>
    <w:p w14:paraId="472CBA9C"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Dodatkowo proponowane zmiany przes</w:t>
      </w:r>
      <w:r w:rsidR="00D1613E" w:rsidRPr="00A720EE">
        <w:rPr>
          <w:rFonts w:ascii="Times New Roman" w:hAnsi="Times New Roman" w:cs="Times New Roman"/>
          <w:sz w:val="24"/>
          <w:szCs w:val="24"/>
        </w:rPr>
        <w:t>ą</w:t>
      </w:r>
      <w:r w:rsidRPr="00A720EE">
        <w:rPr>
          <w:rFonts w:ascii="Times New Roman" w:hAnsi="Times New Roman" w:cs="Times New Roman"/>
          <w:sz w:val="24"/>
          <w:szCs w:val="24"/>
        </w:rPr>
        <w:t xml:space="preserve">dzają o tym, że ciężar dowodu, iż składnik majątku jest wykorzystywany wyłącznie na cele działalności gospodarczej spoczywa na podatniku, poprzez stosowną zmianę treści </w:t>
      </w:r>
      <w:r w:rsidRPr="00A720EE">
        <w:rPr>
          <w:rFonts w:ascii="Times New Roman" w:hAnsi="Times New Roman" w:cs="Times New Roman"/>
          <w:sz w:val="24"/>
          <w:szCs w:val="24"/>
          <w:u w:val="single"/>
        </w:rPr>
        <w:t>art. 28m ust. 5 ustawy CIT</w:t>
      </w:r>
      <w:r w:rsidRPr="00A720EE">
        <w:rPr>
          <w:rFonts w:ascii="Times New Roman" w:hAnsi="Times New Roman" w:cs="Times New Roman"/>
          <w:sz w:val="24"/>
          <w:szCs w:val="24"/>
        </w:rPr>
        <w:t>.</w:t>
      </w:r>
    </w:p>
    <w:p w14:paraId="19FFC698" w14:textId="77E0E34E"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Ze względu na powszechność powyższego zjawiska oraz stosunkowo skomplikowany proces prawidłowego dekodowania normy prawnej ze względu na konieczność wykorzystania reguł wykładni systemowej oraz celowościowej, doprecyzowanie przepisów o ryczałcie od dochodów spółek poprzez dodanie</w:t>
      </w:r>
      <w:r w:rsidR="00D53879" w:rsidRPr="00A720EE">
        <w:rPr>
          <w:rFonts w:ascii="Times New Roman" w:hAnsi="Times New Roman" w:cs="Times New Roman"/>
          <w:sz w:val="24"/>
          <w:szCs w:val="24"/>
        </w:rPr>
        <w:t xml:space="preserve"> w </w:t>
      </w:r>
      <w:r w:rsidR="00D53879" w:rsidRPr="00A720EE">
        <w:rPr>
          <w:rFonts w:ascii="Times New Roman" w:hAnsi="Times New Roman" w:cs="Times New Roman"/>
          <w:sz w:val="24"/>
          <w:szCs w:val="24"/>
          <w:u w:val="single"/>
        </w:rPr>
        <w:t>art. 28m ust. 4a</w:t>
      </w:r>
      <w:r w:rsidRPr="00A720EE">
        <w:rPr>
          <w:rFonts w:ascii="Times New Roman" w:hAnsi="Times New Roman" w:cs="Times New Roman"/>
          <w:sz w:val="24"/>
          <w:szCs w:val="24"/>
        </w:rPr>
        <w:t>, w brzmieniu przedstawionym w projekcie ustawy, jest rozwiązaniem korzystnym dla podatników.</w:t>
      </w:r>
    </w:p>
    <w:p w14:paraId="0472797B"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b) Druga zmiana w zakresie ryczałtu od dochodów spółek dotyczy treści </w:t>
      </w:r>
      <w:r w:rsidRPr="00A720EE">
        <w:rPr>
          <w:rFonts w:ascii="Times New Roman" w:hAnsi="Times New Roman" w:cs="Times New Roman"/>
          <w:sz w:val="24"/>
          <w:szCs w:val="24"/>
          <w:u w:val="single"/>
        </w:rPr>
        <w:t>art. 28j ust. 5 ustawy CIT</w:t>
      </w:r>
      <w:r w:rsidRPr="00A720EE">
        <w:rPr>
          <w:rFonts w:ascii="Times New Roman" w:hAnsi="Times New Roman" w:cs="Times New Roman"/>
          <w:sz w:val="24"/>
          <w:szCs w:val="24"/>
        </w:rPr>
        <w:t>. Co do zasady podatnicy wybierają ryczałt od dochodów spółek po zakończeniu roku podatkowego wraz z rozpoczęciem kolejnego, bezpośrednio następującego roku podatkowego. W takim przypadku, zgodnie z art. 28j ust. 1 pkt 7 ustawy CIT, podatnicy składają zawiadomienie o wyborze ryczałtu od dochodów spółek do końca pierwszego miesiąca pierwszego roku podatkowego, w którym mają być opodatkowani ryczałtem. Artykuł 28j ust. 5 ustawy CIT umożliwia podatnikowi złożenie zawiadomienia ZAW-RD przed upływem przyjętego przez podatnika roku podatkowego, jeżeli podatnik zdecyduj</w:t>
      </w:r>
      <w:r w:rsidR="00D1613E" w:rsidRPr="00A720EE">
        <w:rPr>
          <w:rFonts w:ascii="Times New Roman" w:hAnsi="Times New Roman" w:cs="Times New Roman"/>
          <w:sz w:val="24"/>
          <w:szCs w:val="24"/>
        </w:rPr>
        <w:t>e</w:t>
      </w:r>
      <w:r w:rsidRPr="00A720EE">
        <w:rPr>
          <w:rFonts w:ascii="Times New Roman" w:hAnsi="Times New Roman" w:cs="Times New Roman"/>
          <w:sz w:val="24"/>
          <w:szCs w:val="24"/>
        </w:rPr>
        <w:t xml:space="preserve"> się na wybór ryczałtu </w:t>
      </w:r>
      <w:r w:rsidRPr="00A720EE">
        <w:rPr>
          <w:rFonts w:ascii="Times New Roman" w:hAnsi="Times New Roman" w:cs="Times New Roman"/>
          <w:sz w:val="24"/>
          <w:szCs w:val="24"/>
        </w:rPr>
        <w:lastRenderedPageBreak/>
        <w:t xml:space="preserve">od dochodów spółek w trakcie trwającego roku podatkowego. Norma prawna zawarta w art. 28j ust. 5 nie wyznacza innego terminu na złożenie ZAW-RD, lecz stanowi podstawę prawną do wyboru ryczałtu od dochodów spółek przed upływem przyjętego przez podatnika roku podatkowego, który to wybór musi być poprzedzony m.in. złożeniem zawiadomienia ZAW-RD. Jednakże termin na złożenie zawiadomienia ZAW-RD określa art. 28j ust. 1 pkt 7 ustawy CIT, zgodnie z którym niniejsze zawiadomienie podatnik składa w terminie do końca pierwszego roku podatkowego, w którym ma być opodatkowany ryczałtem.  </w:t>
      </w:r>
    </w:p>
    <w:p w14:paraId="36AB295E"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Zmiana treści art. 28j ust. 5 ustawy CIT, w brzmieniu przedstawionym w projekcie ustawy, ma na celu wyraźne wyartykułowanie prawa podatnika do wyboru opodatkowania ryczałtem od dochodów spółek przed upływem przyjętego przez podatnika roku podatkowego oraz doprecyzowanie, że w odniesieniu do zawiadomienia o wyborze ryczałtu od dochodów spółek – ZAW-RD, o którym mowa w niniejszym przepisie, odpowiednie zastosowanie znajduje art. 28j ust. 1 pkt 7 ustawy CIT. Niniejsza zmiana w żaden sposób nie modyfikuje treści normy prawnej, która została zawarta w tym przepisie, lecz ma na celu ułatwić jej prawidłowe odczytanie. W związku z powyższym rozwiązanie należy uznać za korzystne dla podatników.</w:t>
      </w:r>
    </w:p>
    <w:p w14:paraId="5F5ED223"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c) Celem kolejnej zmiany jest wyeliminowanie potencjalnych wątpliwości interpretacyjnych wynikających z literalnego brzmienia </w:t>
      </w:r>
      <w:r w:rsidRPr="00A720EE">
        <w:rPr>
          <w:rFonts w:ascii="Times New Roman" w:hAnsi="Times New Roman" w:cs="Times New Roman"/>
          <w:sz w:val="24"/>
          <w:szCs w:val="24"/>
          <w:u w:val="single"/>
        </w:rPr>
        <w:t>art. 7aa ust. 5 pkt 1 ustawy CIT</w:t>
      </w:r>
      <w:r w:rsidRPr="00A720EE">
        <w:rPr>
          <w:rFonts w:ascii="Times New Roman" w:hAnsi="Times New Roman" w:cs="Times New Roman"/>
          <w:sz w:val="24"/>
          <w:szCs w:val="24"/>
        </w:rPr>
        <w:t>, który dotyczy terminu zapłaty podatku od dochodu z tytułu tzw. korekty wstępnej. Komentowany przepis wprost odnosi się do sytuacji, w której podatnik był opodatkowany ryczałtem od dochodów spółek przez okres krótszy niż 4 lata podatkowe (podatek należny płatny jest z końcem pierwszego miesiąca następującego po ostatnim roku opodatkowania ryczałtem) oraz do sytuacji, w której podatnik jest opodatkowany ryczałtem od dochodów spółek przez okres dłuższy niż 4 lata podatkowe (zobowiązanie podatkowe wygasa w całości). Przepis art. 7aa ust. 5 pkt 1 ustawy CIT w aktualnie obowiązującym brzmieniu nie odnosi się natomiast wprost do sytuacji, kiedy podatnik był opodatkowany ryczałtem od dochodów spółek równo przez 4 lata podatkowe. Jednakże poprzez zastosowanie reguł wykładni celowościowej należy uznać, że intencją ustawodawcy było zwolnienie podatnika z obowiązku zapłaty podatku od dochodu z tytułu tzw. korek</w:t>
      </w:r>
      <w:r w:rsidR="003B6083" w:rsidRPr="00A720EE">
        <w:rPr>
          <w:rFonts w:ascii="Times New Roman" w:hAnsi="Times New Roman" w:cs="Times New Roman"/>
          <w:sz w:val="24"/>
          <w:szCs w:val="24"/>
        </w:rPr>
        <w:t>ty wstępnej, jeśli podatnik był</w:t>
      </w:r>
      <w:r w:rsidRPr="00A720EE">
        <w:rPr>
          <w:rFonts w:ascii="Times New Roman" w:hAnsi="Times New Roman" w:cs="Times New Roman"/>
          <w:sz w:val="24"/>
          <w:szCs w:val="24"/>
        </w:rPr>
        <w:t xml:space="preserve"> opodatkowany ryczałtem w sposób nieprzerwany przez co najmniej jeden pełen okres, o którym mowa w art. 28f ust. 1 ustawy CIT, tj. 4 lata podatkowe. Powyższe znajduje potwierdzenie na stronie 13 w poz. 16 Przewodnika. </w:t>
      </w:r>
    </w:p>
    <w:p w14:paraId="53B0847F"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W związku z powyższym, aby zapobiec ewentualnym wątpliwością interpretacyjnym, w projekcie proponuje się dookreślenie i wskazanie wprost w treści przepisu, że zobowiązanie podatkowe z tytułu tzw. korekty wstępnej wygasa w całości również po upływie co najmniej jednego pełnego okresu opodatkowania ryczałtem, tj. 4 lat podatkowych. </w:t>
      </w:r>
    </w:p>
    <w:p w14:paraId="35D7D8AD"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d) Ponadto proponuje się zmianę treści </w:t>
      </w:r>
      <w:r w:rsidRPr="00A720EE">
        <w:rPr>
          <w:rFonts w:ascii="Times New Roman" w:hAnsi="Times New Roman" w:cs="Times New Roman"/>
          <w:sz w:val="24"/>
          <w:szCs w:val="24"/>
          <w:u w:val="single"/>
        </w:rPr>
        <w:t>art. 7aa ust. 9 pkt 4 ustawy CIT</w:t>
      </w:r>
      <w:r w:rsidRPr="00A720EE">
        <w:rPr>
          <w:rFonts w:ascii="Times New Roman" w:hAnsi="Times New Roman" w:cs="Times New Roman"/>
          <w:sz w:val="24"/>
          <w:szCs w:val="24"/>
        </w:rPr>
        <w:t xml:space="preserve">, która ma na celu doprecyzowanie terminu do zapłaty podatku należnego od dochodu z przekształcenia w całości. Prawidłowe odczytanie normy prawnej zawartej w komentowanym przepisie wymaga bowiem uzupełnienia reguł wykładni językowej o reguły wykładni systemowej i celowościowej. </w:t>
      </w:r>
    </w:p>
    <w:p w14:paraId="34A024D6"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Przepis art. 7aa ust. 9 pkt 4 ustawy CIT w aktualnie obowiązującym brzmieniu stanowi, że jednorazowej zapłaty podatku należnego od dochodu z przekształcenia w całości, dokonuje się w terminie wskazanym w art. 27 ust. 1 ustawy CIT, a więc w terminie przewidziany </w:t>
      </w:r>
      <w:r w:rsidR="003B6083" w:rsidRPr="00A720EE">
        <w:rPr>
          <w:rFonts w:ascii="Times New Roman" w:hAnsi="Times New Roman" w:cs="Times New Roman"/>
          <w:sz w:val="24"/>
          <w:szCs w:val="24"/>
        </w:rPr>
        <w:t>na złożenie</w:t>
      </w:r>
      <w:r w:rsidRPr="00A720EE">
        <w:rPr>
          <w:rFonts w:ascii="Times New Roman" w:hAnsi="Times New Roman" w:cs="Times New Roman"/>
          <w:sz w:val="24"/>
          <w:szCs w:val="24"/>
        </w:rPr>
        <w:t xml:space="preserve"> </w:t>
      </w:r>
      <w:r w:rsidRPr="00A720EE">
        <w:rPr>
          <w:rFonts w:ascii="Times New Roman" w:hAnsi="Times New Roman" w:cs="Times New Roman"/>
          <w:sz w:val="24"/>
          <w:szCs w:val="24"/>
        </w:rPr>
        <w:lastRenderedPageBreak/>
        <w:t xml:space="preserve">zeznania CIT-8. Z kolei termin na złożenie zeznania CIT-8 określony jest jako koniec trzeciego miesiąca roku następującego po roku podatkowym, w którym podatnik osiągnął dochód (stratę). Mając na uwadze literalne brzemiennie art. 7aa ust. 9 pkt 4 ustawy CIT oraz sposób w jaki jest określony termin na złożenie zeznania CIT-8 w art. 27 ust. 1 ustawy CIT, mogą pojawić się wątpliwości interpretacyjne w zakresie prawidłowego ustalenia terminu na jednorazową zapłatę podatku należnego od dochodu z przekształcenia w całości, tj. czy powyższy termin określony jest na koniec trzeciego miesiąca roku następującego po roku podatkowym poprzedzającym pierwszy rok opodatkowania ryczałtem, czy na koniec trzeciego miesiąca roku podatkowego następującego po pierwszym roku opodatkowania ryczałtem. </w:t>
      </w:r>
    </w:p>
    <w:p w14:paraId="7EB20439" w14:textId="77777777"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Powyższe wątpliwości można jednak wyeliminować poprzez zastosowanie reguł wykładni systemowej i celowościowej. Po pierwsze należy zwrócić uwagę, że za rok podatkowy, w którym podatnik był opodatkowany ryczałtem, zgodnie z art. 28r ust. 1 ustawy CIT, podatnik jest zobowiązany do złożenia zeznania CIT-8E. Zgodnie z art. 28h ust. 1 ustawy CIT podatnicy opodatkowani ryczałtem nie podlegają opodatkowaniu na zasadach określonych w art. 19, art. 24b, art. 24ca i art. 24d tejże ustawy. W związku z powyższym nie są oni również obowiązani do składania zeznania CIT-8, o którym mowa w art. 27 ust. 1 ustawy CIT,  za rok podatkowy, w którym byli opodatkowani ryczałtem. Ponadto w treści Przewodnika m.in. na str. 16 w poz. 23 jednoznacznie zostało wskazane, że w przypadku jednorazowej zapłaty podatku należnego od dochodu od przekształcenia w całości, podatnik j</w:t>
      </w:r>
      <w:r w:rsidR="003B6083" w:rsidRPr="00A720EE">
        <w:rPr>
          <w:rFonts w:ascii="Times New Roman" w:hAnsi="Times New Roman" w:cs="Times New Roman"/>
          <w:sz w:val="24"/>
          <w:szCs w:val="24"/>
        </w:rPr>
        <w:t xml:space="preserve">est zobowiązany uiścić podatek w </w:t>
      </w:r>
      <w:r w:rsidRPr="00A720EE">
        <w:rPr>
          <w:rFonts w:ascii="Times New Roman" w:hAnsi="Times New Roman" w:cs="Times New Roman"/>
          <w:sz w:val="24"/>
          <w:szCs w:val="24"/>
        </w:rPr>
        <w:t>terminie przewidzianym na złożenie zeznania CIT-8 za rok podatkowym poprzedzający pierwszy rok opodatkowania ryczałtem.</w:t>
      </w:r>
    </w:p>
    <w:p w14:paraId="0E5900C9" w14:textId="074ACC86"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Mając na uwadze możliwość wystąpienia wątpliwości interpretacyjnych na kanwie literalnego brzmienia przepisu art. 7aa ust. 9 pkt 4 ustawy CIT, proponuje się zmianę przepisu poprzez jednoznaczne wskazanie, że termin na złożenie zeznania oraz zapłatę podatku upływa wraz z końcem trzeciego miesiąca pierwszego roku opodatkowania ryczałtem od dochodów spółek.</w:t>
      </w:r>
    </w:p>
    <w:p w14:paraId="077FDF16" w14:textId="0338F9F5"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e) Dodatkowo projekt przewiduje </w:t>
      </w:r>
      <w:r w:rsidRPr="00A720EE">
        <w:rPr>
          <w:rFonts w:ascii="Times New Roman" w:hAnsi="Times New Roman" w:cs="Times New Roman"/>
          <w:sz w:val="24"/>
          <w:szCs w:val="24"/>
          <w:u w:val="single"/>
        </w:rPr>
        <w:t>zmianę terminu zapłaty ryczałtu od dochodu z tytułu podzielonego zysku i dochodu z tytułu zysku na pokrycie strat, zaliczek na poczet przewidywanej dywidendy oraz ryczałtu od rozdysponowanego dochodu z tytułu zysku netto.</w:t>
      </w:r>
      <w:r w:rsidRPr="00A720EE">
        <w:rPr>
          <w:rFonts w:ascii="Times New Roman" w:hAnsi="Times New Roman" w:cs="Times New Roman"/>
          <w:sz w:val="24"/>
          <w:szCs w:val="24"/>
        </w:rPr>
        <w:t xml:space="preserve"> Zmiana ma na celu wyeliminowanie obowiązku zapłaty odsetek w przypadku podziału lub pokrycia wyniku finansowego netto, wypłaty zaliczek na poczet przewidywanej dywidendy lub rozdysponowania dochodem z tytułu zysku netto po zakończeniu opodatkowania ryczałtem, po upływie szóstego miesiąca roku podatkowego. </w:t>
      </w:r>
    </w:p>
    <w:p w14:paraId="4F9E0E15" w14:textId="4B0001E1" w:rsidR="003A3719" w:rsidRPr="00A720EE" w:rsidRDefault="003A3719" w:rsidP="003F1B80">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Zgodnie z treścią aktualnie obowiązującego art. 28n ust. 2 ustawy CIT w przypadku podjęcia uchwały o podziale lub pokryciu wyniku finansowego netto po upływie szóstego miesiąca roku podatkowego, dla celów stosowania przepisów o ryczałcie przyjmuje się, że została ona podjęta ostatniego dnia szóstego miesiąca. W związku z powyższym termin zapłaty ryczałtu od dochodu z tytułu podzielonego zysku i dochodu przeznaczonego na pokrycie strat, zgodnie z treścią art. 28t ust. 1 pkt 1 ustawy CIT (odpowiednio art. 28t ust. 1 pkt 2 ustawy CIT w przypadku rozdysponowanego dochodu z tytułu zysku netto) upływa z dniem 20-go dnia siódmego miesiąca danego roku podatkowego oraz 20-go dnia miesiąca następującego po miesiącu, w którym dokonano w całości lub w części wypłaty tego dochodu lub </w:t>
      </w:r>
      <w:r w:rsidRPr="00A720EE">
        <w:rPr>
          <w:rFonts w:ascii="Times New Roman" w:hAnsi="Times New Roman" w:cs="Times New Roman"/>
          <w:sz w:val="24"/>
          <w:szCs w:val="24"/>
        </w:rPr>
        <w:lastRenderedPageBreak/>
        <w:t xml:space="preserve">rozdysponowano nim w jakiejkolwiek formie, nie później niż 20-go dnia siódmego miesiąca, w przypadku rozdysponowanego dochodu z tytułu zysku netto. Powyższa konstrukcja przepisów sprawia, że w przypadku podjęcia uchwały o podziale lub pokryciu wyniku finansowego netto, wypłaty zaliczki na poczet przewidywanej dywidendy lub rozdysponowania dochodem z tytułu zysku netto po upływie szóstego miesiąca roku podatkowego, a przed rozpoczęciem kolejnego roku podatkowego, podatnik z założenia zawsze pozostaje w zwłoce, ponieważ termin na zapłatę podatku należnego upływa 20-go dnia siódmego miesiąca roku podatkowego. </w:t>
      </w:r>
    </w:p>
    <w:p w14:paraId="7D8F1337" w14:textId="77777777" w:rsidR="003A3719" w:rsidRPr="00A720EE" w:rsidRDefault="003A3719" w:rsidP="003F1B80">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Proponuje się zatem przedłużenie terminu do zapłaty podatku do końca 3-go miesiąca roku podatkowego następującego po roku, w którym dokonano podziału lub pokrycia wyniku finansowego netto, wypłacono zaliczkę na poczet przewidywanej dywidendy lub rozdysponowano dochodem z tytułu zysku netto po zakończeniu opodatkowania ryczałtem. Powyższe ma umożliwić podatnikowi terminową zapłatę podatku bez konieczności uiszczenia odsetek za zwłokę w zapłacie podatku należnego.</w:t>
      </w:r>
    </w:p>
    <w:p w14:paraId="74E13224" w14:textId="3139B988" w:rsidR="00670D0A" w:rsidRPr="00A720EE" w:rsidRDefault="00670D0A" w:rsidP="003F1B80">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Zgodnie z projektowanym przepisem przejściowym art. 23 ust. </w:t>
      </w:r>
      <w:r w:rsidR="008B2DD0" w:rsidRPr="00A720EE">
        <w:rPr>
          <w:rFonts w:ascii="Times New Roman" w:hAnsi="Times New Roman" w:cs="Times New Roman"/>
          <w:sz w:val="24"/>
          <w:szCs w:val="24"/>
        </w:rPr>
        <w:t>11</w:t>
      </w:r>
      <w:r w:rsidRPr="00A720EE">
        <w:rPr>
          <w:rFonts w:ascii="Times New Roman" w:hAnsi="Times New Roman" w:cs="Times New Roman"/>
          <w:sz w:val="24"/>
          <w:szCs w:val="24"/>
        </w:rPr>
        <w:t xml:space="preserve"> omawianej zmianie, jako korzystnej dla podatników, nadano moc wsteczną. Będzie ona miała zastosowanie do dochodów uzyskanych po dniu 30 czerwca 2022 r. przez podatników opodatkowanych ryczałtem od dochodów spółek, których rok podatkowy rozpoczął się po dniu 31 grudnia 2021 r. </w:t>
      </w:r>
    </w:p>
    <w:p w14:paraId="01B500F1" w14:textId="77777777" w:rsidR="000C19B6" w:rsidRPr="00A720EE" w:rsidRDefault="000C19B6" w:rsidP="003F1B80">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f) W projekcie proponuje się również </w:t>
      </w:r>
      <w:r w:rsidRPr="00A720EE">
        <w:rPr>
          <w:rFonts w:ascii="Times New Roman" w:hAnsi="Times New Roman" w:cs="Times New Roman"/>
          <w:sz w:val="24"/>
          <w:szCs w:val="24"/>
          <w:u w:val="single"/>
        </w:rPr>
        <w:t>zmianę art. 28j ust. 1 pkt 3 lit. b</w:t>
      </w:r>
      <w:r w:rsidR="005A2FF8" w:rsidRPr="00A720EE">
        <w:rPr>
          <w:rFonts w:ascii="Times New Roman" w:hAnsi="Times New Roman" w:cs="Times New Roman"/>
          <w:sz w:val="24"/>
          <w:szCs w:val="24"/>
          <w:u w:val="single"/>
        </w:rPr>
        <w:t xml:space="preserve"> </w:t>
      </w:r>
      <w:r w:rsidRPr="00A720EE">
        <w:rPr>
          <w:rFonts w:ascii="Times New Roman" w:hAnsi="Times New Roman" w:cs="Times New Roman"/>
          <w:sz w:val="24"/>
          <w:szCs w:val="24"/>
          <w:u w:val="single"/>
        </w:rPr>
        <w:t>oraz zmianę ust. 3 pkt 2 ustawy CIT</w:t>
      </w:r>
      <w:r w:rsidRPr="00A720EE">
        <w:rPr>
          <w:rFonts w:ascii="Times New Roman" w:hAnsi="Times New Roman" w:cs="Times New Roman"/>
          <w:sz w:val="24"/>
          <w:szCs w:val="24"/>
        </w:rPr>
        <w:t xml:space="preserve">. Na tle literalnego brzmienia art. 28j ust. 1 pkt 3 lit. b oraz ust. 3 pkt 2 ustawy CIT mogą bowiem pojawić się wątpliwości interpretacyjne, czy warunek dotyczący ponoszenia trzykrotności przeciętnego miesięcznego wynagrodzenia w sektorze przedsiębiorstw (odpowiednio jednokrotności w przypadku małego podatnika) z tytułu zatrudnienia na podstawie umowy innej niż umowa o pracę co najmniej trzech osób fizycznych (odpowiednio jednej w przypadku małego podatnika), uznaje się za spełniony także w sytuacji, gdy zaliczki na podatek dochodowy i składki określone w ustawie z dnia 13 października 1998 r. o systemie ubezpieczeń, zgodnie z odrębnymi regulacjami, nie zostały pobrane. </w:t>
      </w:r>
    </w:p>
    <w:p w14:paraId="17F1C08C" w14:textId="306FA629" w:rsidR="000C19B6" w:rsidRPr="00A720EE" w:rsidRDefault="000C19B6" w:rsidP="003F1B80">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Zmiany przedstawione w projekcie</w:t>
      </w:r>
      <w:r w:rsidR="00672232" w:rsidRPr="00A720EE">
        <w:rPr>
          <w:rFonts w:ascii="Times New Roman" w:hAnsi="Times New Roman" w:cs="Times New Roman"/>
          <w:sz w:val="24"/>
          <w:szCs w:val="24"/>
        </w:rPr>
        <w:t xml:space="preserve"> zakładają</w:t>
      </w:r>
      <w:r w:rsidRPr="00A720EE">
        <w:rPr>
          <w:rFonts w:ascii="Times New Roman" w:hAnsi="Times New Roman" w:cs="Times New Roman"/>
          <w:sz w:val="24"/>
          <w:szCs w:val="24"/>
        </w:rPr>
        <w:t xml:space="preserve">, że przy ocenie spełnienia warunków określonych w art. 28j ust. 1 pkt 3 lit. b oraz ust. 3 pkt 2 ustawy CIT, należy brać pod uwagę, czy </w:t>
      </w:r>
      <w:r w:rsidR="00672232" w:rsidRPr="00A720EE">
        <w:rPr>
          <w:rFonts w:ascii="Times New Roman" w:hAnsi="Times New Roman" w:cs="Times New Roman"/>
          <w:sz w:val="24"/>
          <w:szCs w:val="24"/>
        </w:rPr>
        <w:t xml:space="preserve">w związku </w:t>
      </w:r>
      <w:r w:rsidR="00EE7F2C" w:rsidRPr="00A720EE">
        <w:rPr>
          <w:rFonts w:ascii="Times New Roman" w:hAnsi="Times New Roman" w:cs="Times New Roman"/>
          <w:sz w:val="24"/>
          <w:szCs w:val="24"/>
        </w:rPr>
        <w:t xml:space="preserve">z </w:t>
      </w:r>
      <w:r w:rsidRPr="00A720EE">
        <w:rPr>
          <w:rFonts w:ascii="Times New Roman" w:hAnsi="Times New Roman" w:cs="Times New Roman"/>
          <w:sz w:val="24"/>
          <w:szCs w:val="24"/>
        </w:rPr>
        <w:t>wypłat</w:t>
      </w:r>
      <w:r w:rsidR="00672232" w:rsidRPr="00A720EE">
        <w:rPr>
          <w:rFonts w:ascii="Times New Roman" w:hAnsi="Times New Roman" w:cs="Times New Roman"/>
          <w:sz w:val="24"/>
          <w:szCs w:val="24"/>
        </w:rPr>
        <w:t>ą</w:t>
      </w:r>
      <w:r w:rsidRPr="00A720EE">
        <w:rPr>
          <w:rFonts w:ascii="Times New Roman" w:hAnsi="Times New Roman" w:cs="Times New Roman"/>
          <w:sz w:val="24"/>
          <w:szCs w:val="24"/>
        </w:rPr>
        <w:t xml:space="preserve"> wynagrodzenia podatnik</w:t>
      </w:r>
      <w:r w:rsidR="005A2FF8" w:rsidRPr="00A720EE">
        <w:rPr>
          <w:rFonts w:ascii="Times New Roman" w:hAnsi="Times New Roman" w:cs="Times New Roman"/>
          <w:sz w:val="24"/>
          <w:szCs w:val="24"/>
        </w:rPr>
        <w:t xml:space="preserve"> </w:t>
      </w:r>
      <w:r w:rsidR="00672232" w:rsidRPr="00A720EE">
        <w:rPr>
          <w:rFonts w:ascii="Times New Roman" w:hAnsi="Times New Roman" w:cs="Times New Roman"/>
          <w:sz w:val="24"/>
          <w:szCs w:val="24"/>
        </w:rPr>
        <w:t xml:space="preserve">jest </w:t>
      </w:r>
      <w:r w:rsidR="005A2FF8" w:rsidRPr="00A720EE">
        <w:rPr>
          <w:rFonts w:ascii="Times New Roman" w:hAnsi="Times New Roman" w:cs="Times New Roman"/>
          <w:sz w:val="24"/>
          <w:szCs w:val="24"/>
        </w:rPr>
        <w:t>płatnik</w:t>
      </w:r>
      <w:r w:rsidR="00672232" w:rsidRPr="00A720EE">
        <w:rPr>
          <w:rFonts w:ascii="Times New Roman" w:hAnsi="Times New Roman" w:cs="Times New Roman"/>
          <w:sz w:val="24"/>
          <w:szCs w:val="24"/>
        </w:rPr>
        <w:t>iem podatku dochodowego od osób fizycznych</w:t>
      </w:r>
      <w:r w:rsidR="005A0B89" w:rsidRPr="00A720EE">
        <w:rPr>
          <w:rFonts w:ascii="Times New Roman" w:hAnsi="Times New Roman" w:cs="Times New Roman"/>
          <w:sz w:val="24"/>
          <w:szCs w:val="24"/>
        </w:rPr>
        <w:t>,</w:t>
      </w:r>
      <w:r w:rsidRPr="00A720EE">
        <w:rPr>
          <w:rFonts w:ascii="Times New Roman" w:hAnsi="Times New Roman" w:cs="Times New Roman"/>
          <w:sz w:val="24"/>
          <w:szCs w:val="24"/>
        </w:rPr>
        <w:t xml:space="preserve"> </w:t>
      </w:r>
      <w:r w:rsidR="00430866" w:rsidRPr="00A720EE">
        <w:rPr>
          <w:rFonts w:ascii="Times New Roman" w:hAnsi="Times New Roman" w:cs="Times New Roman"/>
          <w:sz w:val="24"/>
          <w:szCs w:val="24"/>
        </w:rPr>
        <w:t>lub</w:t>
      </w:r>
      <w:r w:rsidR="00672232" w:rsidRPr="00A720EE">
        <w:rPr>
          <w:rFonts w:ascii="Times New Roman" w:hAnsi="Times New Roman" w:cs="Times New Roman"/>
          <w:sz w:val="24"/>
          <w:szCs w:val="24"/>
        </w:rPr>
        <w:t xml:space="preserve"> płatnikiem</w:t>
      </w:r>
      <w:r w:rsidRPr="00A720EE">
        <w:rPr>
          <w:rFonts w:ascii="Times New Roman" w:hAnsi="Times New Roman" w:cs="Times New Roman"/>
          <w:sz w:val="24"/>
          <w:szCs w:val="24"/>
        </w:rPr>
        <w:t xml:space="preserve"> składek określonych w ustawie z dnia 13 października 1998 r. o systemie ubezpieczeń społecznych</w:t>
      </w:r>
      <w:r w:rsidR="004E3BF8" w:rsidRPr="00A720EE">
        <w:rPr>
          <w:rFonts w:ascii="Times New Roman" w:hAnsi="Times New Roman" w:cs="Times New Roman"/>
          <w:sz w:val="24"/>
          <w:szCs w:val="24"/>
        </w:rPr>
        <w:t xml:space="preserve"> lub ustawie o świadczeniach opieki zdrowotnej</w:t>
      </w:r>
      <w:r w:rsidR="00672232" w:rsidRPr="00A720EE">
        <w:rPr>
          <w:rFonts w:ascii="Times New Roman" w:hAnsi="Times New Roman" w:cs="Times New Roman"/>
          <w:sz w:val="24"/>
          <w:szCs w:val="24"/>
        </w:rPr>
        <w:t>. W związku z powyższym</w:t>
      </w:r>
      <w:r w:rsidR="005F4248" w:rsidRPr="00A720EE">
        <w:rPr>
          <w:rFonts w:ascii="Times New Roman" w:hAnsi="Times New Roman" w:cs="Times New Roman"/>
          <w:sz w:val="24"/>
          <w:szCs w:val="24"/>
        </w:rPr>
        <w:t xml:space="preserve"> o spełnieniu warun</w:t>
      </w:r>
      <w:r w:rsidR="00672232" w:rsidRPr="00A720EE">
        <w:rPr>
          <w:rFonts w:ascii="Times New Roman" w:hAnsi="Times New Roman" w:cs="Times New Roman"/>
          <w:sz w:val="24"/>
          <w:szCs w:val="24"/>
        </w:rPr>
        <w:t>k</w:t>
      </w:r>
      <w:r w:rsidR="008137E2" w:rsidRPr="00A720EE">
        <w:rPr>
          <w:rFonts w:ascii="Times New Roman" w:hAnsi="Times New Roman" w:cs="Times New Roman"/>
          <w:sz w:val="24"/>
          <w:szCs w:val="24"/>
        </w:rPr>
        <w:t>ów</w:t>
      </w:r>
      <w:r w:rsidR="005F4248" w:rsidRPr="00A720EE">
        <w:rPr>
          <w:rFonts w:ascii="Times New Roman" w:hAnsi="Times New Roman" w:cs="Times New Roman"/>
          <w:sz w:val="24"/>
          <w:szCs w:val="24"/>
        </w:rPr>
        <w:t>,</w:t>
      </w:r>
      <w:r w:rsidR="008137E2" w:rsidRPr="00A720EE">
        <w:rPr>
          <w:rFonts w:ascii="Times New Roman" w:hAnsi="Times New Roman" w:cs="Times New Roman"/>
          <w:sz w:val="24"/>
          <w:szCs w:val="24"/>
        </w:rPr>
        <w:t xml:space="preserve"> o których</w:t>
      </w:r>
      <w:r w:rsidR="00672232" w:rsidRPr="00A720EE">
        <w:rPr>
          <w:rFonts w:ascii="Times New Roman" w:hAnsi="Times New Roman" w:cs="Times New Roman"/>
          <w:sz w:val="24"/>
          <w:szCs w:val="24"/>
        </w:rPr>
        <w:t xml:space="preserve"> mowa w art. 28j ust. 1 pkt 3 lit. b oraz ust. 3 pkt 2 ustawy CIT</w:t>
      </w:r>
      <w:r w:rsidR="005F4248" w:rsidRPr="00A720EE">
        <w:rPr>
          <w:rFonts w:ascii="Times New Roman" w:hAnsi="Times New Roman" w:cs="Times New Roman"/>
          <w:sz w:val="24"/>
          <w:szCs w:val="24"/>
        </w:rPr>
        <w:t xml:space="preserve">, nie decyduje faktyczne pobranie przez podatnika </w:t>
      </w:r>
      <w:r w:rsidRPr="00A720EE">
        <w:rPr>
          <w:rFonts w:ascii="Times New Roman" w:hAnsi="Times New Roman" w:cs="Times New Roman"/>
          <w:sz w:val="24"/>
          <w:szCs w:val="24"/>
        </w:rPr>
        <w:t>zalicz</w:t>
      </w:r>
      <w:r w:rsidR="005F4248" w:rsidRPr="00A720EE">
        <w:rPr>
          <w:rFonts w:ascii="Times New Roman" w:hAnsi="Times New Roman" w:cs="Times New Roman"/>
          <w:sz w:val="24"/>
          <w:szCs w:val="24"/>
        </w:rPr>
        <w:t>e</w:t>
      </w:r>
      <w:r w:rsidRPr="00A720EE">
        <w:rPr>
          <w:rFonts w:ascii="Times New Roman" w:hAnsi="Times New Roman" w:cs="Times New Roman"/>
          <w:sz w:val="24"/>
          <w:szCs w:val="24"/>
        </w:rPr>
        <w:t xml:space="preserve">k na podatek dochodowy </w:t>
      </w:r>
      <w:r w:rsidR="005F4248" w:rsidRPr="00A720EE">
        <w:rPr>
          <w:rFonts w:ascii="Times New Roman" w:hAnsi="Times New Roman" w:cs="Times New Roman"/>
          <w:sz w:val="24"/>
          <w:szCs w:val="24"/>
        </w:rPr>
        <w:t>lub</w:t>
      </w:r>
      <w:r w:rsidRPr="00A720EE">
        <w:rPr>
          <w:rFonts w:ascii="Times New Roman" w:hAnsi="Times New Roman" w:cs="Times New Roman"/>
          <w:sz w:val="24"/>
          <w:szCs w:val="24"/>
        </w:rPr>
        <w:t xml:space="preserve"> skład</w:t>
      </w:r>
      <w:r w:rsidR="005F4248" w:rsidRPr="00A720EE">
        <w:rPr>
          <w:rFonts w:ascii="Times New Roman" w:hAnsi="Times New Roman" w:cs="Times New Roman"/>
          <w:sz w:val="24"/>
          <w:szCs w:val="24"/>
        </w:rPr>
        <w:t>ek</w:t>
      </w:r>
      <w:r w:rsidRPr="00A720EE">
        <w:rPr>
          <w:rFonts w:ascii="Times New Roman" w:hAnsi="Times New Roman" w:cs="Times New Roman"/>
          <w:sz w:val="24"/>
          <w:szCs w:val="24"/>
        </w:rPr>
        <w:t xml:space="preserve"> </w:t>
      </w:r>
      <w:r w:rsidR="005F4248" w:rsidRPr="00A720EE">
        <w:rPr>
          <w:rFonts w:ascii="Times New Roman" w:hAnsi="Times New Roman" w:cs="Times New Roman"/>
          <w:sz w:val="24"/>
          <w:szCs w:val="24"/>
        </w:rPr>
        <w:t>określonych w ustawie o systemie ubezpieczeń społecznych lub ustawie o świadczeniach opieki zdrowotnej, lecz pełnienie przez podatnika funkcji płatnika w związku z wypłatą tych wynagrodzeń, w rozumieniu przynajmniej jednej z wyżej wymienionych ustaw.</w:t>
      </w:r>
      <w:r w:rsidRPr="00A720EE">
        <w:rPr>
          <w:rFonts w:ascii="Times New Roman" w:hAnsi="Times New Roman" w:cs="Times New Roman"/>
          <w:sz w:val="24"/>
          <w:szCs w:val="24"/>
        </w:rPr>
        <w:t xml:space="preserve"> </w:t>
      </w:r>
      <w:r w:rsidR="008137E2" w:rsidRPr="00A720EE">
        <w:rPr>
          <w:rFonts w:ascii="Times New Roman" w:hAnsi="Times New Roman" w:cs="Times New Roman"/>
          <w:sz w:val="24"/>
          <w:szCs w:val="24"/>
        </w:rPr>
        <w:t xml:space="preserve">Zatem </w:t>
      </w:r>
      <w:r w:rsidRPr="00A720EE">
        <w:rPr>
          <w:rFonts w:ascii="Times New Roman" w:hAnsi="Times New Roman" w:cs="Times New Roman"/>
          <w:sz w:val="24"/>
          <w:szCs w:val="24"/>
        </w:rPr>
        <w:t>warunki określone w art. 28j ust. 1 pkt 3 lit. b oraz ust. 3 pkt 2 ustawy CIT będą spełnione również w sytuacji, gdy</w:t>
      </w:r>
      <w:r w:rsidR="008137E2" w:rsidRPr="00A720EE">
        <w:rPr>
          <w:rFonts w:ascii="Times New Roman" w:hAnsi="Times New Roman" w:cs="Times New Roman"/>
          <w:sz w:val="24"/>
          <w:szCs w:val="24"/>
        </w:rPr>
        <w:t xml:space="preserve"> podatnik zatrudnia na podstawie umowy cywilnoprawnej (np. umowy zlecenia lub umowy o dzieło) trzech studentów poniżej 26 roku </w:t>
      </w:r>
      <w:r w:rsidR="008137E2" w:rsidRPr="00A720EE">
        <w:rPr>
          <w:rFonts w:ascii="Times New Roman" w:hAnsi="Times New Roman" w:cs="Times New Roman"/>
          <w:sz w:val="24"/>
          <w:szCs w:val="24"/>
        </w:rPr>
        <w:lastRenderedPageBreak/>
        <w:t>życia.</w:t>
      </w:r>
    </w:p>
    <w:p w14:paraId="307467AC" w14:textId="46463488" w:rsidR="000C19B6" w:rsidRPr="00A720EE" w:rsidRDefault="000C19B6" w:rsidP="003F1B80">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Przyjęcie odmiennej interpretacji byłoby sprzeczne nie tylko z treścią Przewodnika</w:t>
      </w:r>
      <w:r w:rsidR="008137E2" w:rsidRPr="00A720EE">
        <w:rPr>
          <w:rFonts w:ascii="Times New Roman" w:hAnsi="Times New Roman" w:cs="Times New Roman"/>
          <w:sz w:val="24"/>
          <w:szCs w:val="24"/>
        </w:rPr>
        <w:t xml:space="preserve"> (zob. poz. 32 str. 19-20)</w:t>
      </w:r>
      <w:r w:rsidRPr="00A720EE">
        <w:rPr>
          <w:rFonts w:ascii="Times New Roman" w:hAnsi="Times New Roman" w:cs="Times New Roman"/>
          <w:sz w:val="24"/>
          <w:szCs w:val="24"/>
        </w:rPr>
        <w:t xml:space="preserve">, ale również z intencją ustawodawcy. </w:t>
      </w:r>
      <w:r w:rsidR="005A2FF8" w:rsidRPr="00A720EE">
        <w:rPr>
          <w:rFonts w:ascii="Times New Roman" w:hAnsi="Times New Roman" w:cs="Times New Roman"/>
          <w:sz w:val="24"/>
          <w:szCs w:val="24"/>
        </w:rPr>
        <w:t>Prowadziłoby</w:t>
      </w:r>
      <w:r w:rsidRPr="00A720EE">
        <w:rPr>
          <w:rFonts w:ascii="Times New Roman" w:hAnsi="Times New Roman" w:cs="Times New Roman"/>
          <w:sz w:val="24"/>
          <w:szCs w:val="24"/>
        </w:rPr>
        <w:t xml:space="preserve"> </w:t>
      </w:r>
      <w:r w:rsidR="005A0B89" w:rsidRPr="00A720EE">
        <w:rPr>
          <w:rFonts w:ascii="Times New Roman" w:hAnsi="Times New Roman" w:cs="Times New Roman"/>
          <w:sz w:val="24"/>
          <w:szCs w:val="24"/>
        </w:rPr>
        <w:t xml:space="preserve">to </w:t>
      </w:r>
      <w:r w:rsidRPr="00A720EE">
        <w:rPr>
          <w:rFonts w:ascii="Times New Roman" w:hAnsi="Times New Roman" w:cs="Times New Roman"/>
          <w:sz w:val="24"/>
          <w:szCs w:val="24"/>
        </w:rPr>
        <w:t xml:space="preserve">bowiem </w:t>
      </w:r>
      <w:r w:rsidR="005A2FF8" w:rsidRPr="00A720EE">
        <w:rPr>
          <w:rFonts w:ascii="Times New Roman" w:hAnsi="Times New Roman" w:cs="Times New Roman"/>
          <w:sz w:val="24"/>
          <w:szCs w:val="24"/>
        </w:rPr>
        <w:t>do konkluzji</w:t>
      </w:r>
      <w:r w:rsidRPr="00A720EE">
        <w:rPr>
          <w:rFonts w:ascii="Times New Roman" w:hAnsi="Times New Roman" w:cs="Times New Roman"/>
          <w:sz w:val="24"/>
          <w:szCs w:val="24"/>
        </w:rPr>
        <w:t xml:space="preserve">, że o spełnieniu jednego z warunków uprawniających do wyboru ryczałtu od dochodów spółek przez podatnika CIT, </w:t>
      </w:r>
      <w:r w:rsidR="008137E2" w:rsidRPr="00A720EE">
        <w:rPr>
          <w:rFonts w:ascii="Times New Roman" w:hAnsi="Times New Roman" w:cs="Times New Roman"/>
          <w:sz w:val="24"/>
          <w:szCs w:val="24"/>
        </w:rPr>
        <w:t xml:space="preserve">mogłaby </w:t>
      </w:r>
      <w:r w:rsidRPr="00A720EE">
        <w:rPr>
          <w:rFonts w:ascii="Times New Roman" w:hAnsi="Times New Roman" w:cs="Times New Roman"/>
          <w:sz w:val="24"/>
          <w:szCs w:val="24"/>
        </w:rPr>
        <w:t>decydowa</w:t>
      </w:r>
      <w:r w:rsidR="008137E2" w:rsidRPr="00A720EE">
        <w:rPr>
          <w:rFonts w:ascii="Times New Roman" w:hAnsi="Times New Roman" w:cs="Times New Roman"/>
          <w:sz w:val="24"/>
          <w:szCs w:val="24"/>
        </w:rPr>
        <w:t>ć</w:t>
      </w:r>
      <w:r w:rsidRPr="00A720EE">
        <w:rPr>
          <w:rFonts w:ascii="Times New Roman" w:hAnsi="Times New Roman" w:cs="Times New Roman"/>
          <w:sz w:val="24"/>
          <w:szCs w:val="24"/>
        </w:rPr>
        <w:t xml:space="preserve"> indywidualna sytuacja podatnika PIT, na którą podatnik CIT nie ma wpływu.</w:t>
      </w:r>
    </w:p>
    <w:p w14:paraId="7CB9ED6C" w14:textId="0128DC00" w:rsidR="005D6268" w:rsidRPr="00A720EE" w:rsidRDefault="00D8735C" w:rsidP="00D53F40">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1</w:t>
      </w:r>
      <w:r w:rsidR="00D7656D" w:rsidRPr="00A720EE">
        <w:rPr>
          <w:rFonts w:ascii="Times New Roman" w:eastAsiaTheme="minorEastAsia" w:hAnsi="Times New Roman" w:cs="Times New Roman"/>
          <w:b/>
          <w:color w:val="000000" w:themeColor="text1"/>
          <w:sz w:val="24"/>
          <w:szCs w:val="24"/>
          <w:lang w:eastAsia="pl-PL"/>
        </w:rPr>
        <w:t>5</w:t>
      </w:r>
      <w:r w:rsidR="00D53F40" w:rsidRPr="00A720EE">
        <w:rPr>
          <w:rFonts w:ascii="Times New Roman" w:eastAsiaTheme="minorEastAsia" w:hAnsi="Times New Roman" w:cs="Times New Roman"/>
          <w:b/>
          <w:color w:val="000000" w:themeColor="text1"/>
          <w:sz w:val="24"/>
          <w:szCs w:val="24"/>
          <w:lang w:eastAsia="pl-PL"/>
        </w:rPr>
        <w:t xml:space="preserve">) </w:t>
      </w:r>
      <w:r w:rsidR="00474F95" w:rsidRPr="00A720EE">
        <w:rPr>
          <w:rFonts w:ascii="Times New Roman" w:eastAsiaTheme="minorEastAsia" w:hAnsi="Times New Roman" w:cs="Times New Roman"/>
          <w:b/>
          <w:color w:val="000000" w:themeColor="text1"/>
          <w:sz w:val="24"/>
          <w:szCs w:val="24"/>
          <w:lang w:eastAsia="pl-PL"/>
        </w:rPr>
        <w:t xml:space="preserve">Zmiana przepisu dotyczącego terminu opłacenia składek z tytułu przychodów ze stosunku pracy i zrównanych, w części finansowanej przez płatnika, składek na Fundusz Pracy, Fundusz Solidarnościowy oraz Fundusz Gwarantowanych Świadczeń Pracowniczych </w:t>
      </w:r>
      <w:r w:rsidR="00D53F40" w:rsidRPr="00A720EE">
        <w:rPr>
          <w:rFonts w:ascii="Times New Roman" w:eastAsiaTheme="minorEastAsia" w:hAnsi="Times New Roman" w:cs="Times New Roman"/>
          <w:b/>
          <w:color w:val="000000" w:themeColor="text1"/>
          <w:sz w:val="24"/>
          <w:szCs w:val="24"/>
          <w:lang w:eastAsia="pl-PL"/>
        </w:rPr>
        <w:t>(</w:t>
      </w:r>
      <w:r w:rsidR="00096A5F" w:rsidRPr="00A720EE">
        <w:rPr>
          <w:rFonts w:ascii="Times New Roman" w:eastAsiaTheme="minorEastAsia" w:hAnsi="Times New Roman" w:cs="Times New Roman"/>
          <w:b/>
          <w:color w:val="000000" w:themeColor="text1"/>
          <w:sz w:val="24"/>
          <w:szCs w:val="24"/>
          <w:lang w:eastAsia="pl-PL"/>
        </w:rPr>
        <w:t xml:space="preserve">ustawa </w:t>
      </w:r>
      <w:r w:rsidR="00D53F40" w:rsidRPr="00A720EE">
        <w:rPr>
          <w:rFonts w:ascii="Times New Roman" w:eastAsiaTheme="minorEastAsia" w:hAnsi="Times New Roman" w:cs="Times New Roman"/>
          <w:b/>
          <w:color w:val="000000" w:themeColor="text1"/>
          <w:sz w:val="24"/>
          <w:szCs w:val="24"/>
          <w:lang w:eastAsia="pl-PL"/>
        </w:rPr>
        <w:t>CIT)</w:t>
      </w:r>
    </w:p>
    <w:p w14:paraId="03D6546E" w14:textId="77777777" w:rsidR="00B51A8A" w:rsidRPr="00A720EE" w:rsidRDefault="00B51A8A" w:rsidP="00B51A8A">
      <w:pPr>
        <w:widowControl w:val="0"/>
        <w:autoSpaceDE w:val="0"/>
        <w:autoSpaceDN w:val="0"/>
        <w:adjustRightInd w:val="0"/>
        <w:spacing w:before="120" w:after="0" w:line="276" w:lineRule="auto"/>
        <w:jc w:val="both"/>
        <w:rPr>
          <w:rFonts w:ascii="Times New Roman" w:eastAsiaTheme="minorEastAsia" w:hAnsi="Times New Roman" w:cs="Times New Roman"/>
          <w:iCs/>
          <w:sz w:val="24"/>
          <w:szCs w:val="24"/>
          <w:lang w:eastAsia="pl-PL"/>
        </w:rPr>
      </w:pPr>
      <w:r w:rsidRPr="00A720EE">
        <w:rPr>
          <w:rFonts w:ascii="Times New Roman" w:eastAsiaTheme="minorEastAsia" w:hAnsi="Times New Roman" w:cs="Times New Roman"/>
          <w:iCs/>
          <w:sz w:val="24"/>
          <w:szCs w:val="24"/>
          <w:lang w:eastAsia="pl-PL"/>
        </w:rPr>
        <w:t>Aktualnie składki  na ubezpieczenie społeczne oraz określone fundusze podlegają szczególnym regulacjom przewidzianym m.in. w art. 15 ust.4h, które z jednej strony umożliwiają ich rozliczenie w miesiącu, za który wynagrodzenie, od którego są one obliczane jest należne, a z drugiej wprowadzają ich kasowe rozliczenie w przypadku nieopłacenia ich w wymaganych terminach (z ewentualnym obowiązkiem podatkowej korekty).</w:t>
      </w:r>
    </w:p>
    <w:p w14:paraId="5071ADBE" w14:textId="77777777" w:rsidR="00C939B5" w:rsidRPr="00A720EE" w:rsidRDefault="00686F57" w:rsidP="005D626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treści art. 15 ust. 4h </w:t>
      </w:r>
      <w:r w:rsidR="009E31DB" w:rsidRPr="00A720EE">
        <w:rPr>
          <w:rFonts w:ascii="Times New Roman" w:eastAsiaTheme="minorEastAsia" w:hAnsi="Times New Roman" w:cs="Times New Roman"/>
          <w:sz w:val="24"/>
          <w:szCs w:val="24"/>
          <w:lang w:eastAsia="pl-PL"/>
        </w:rPr>
        <w:t xml:space="preserve">ustawy CIT </w:t>
      </w:r>
      <w:r w:rsidRPr="00A720EE">
        <w:rPr>
          <w:rFonts w:ascii="Times New Roman" w:eastAsiaTheme="minorEastAsia" w:hAnsi="Times New Roman" w:cs="Times New Roman"/>
          <w:sz w:val="24"/>
          <w:szCs w:val="24"/>
          <w:lang w:eastAsia="pl-PL"/>
        </w:rPr>
        <w:t>podyktowana jest względami ujednolicenia regulacji w zakresie zachowania terminu opłacenia wskazanych przepisem składek. Proponuje się odesłanie do odrębnych przepisów, precyzujących ww. termin.</w:t>
      </w:r>
    </w:p>
    <w:p w14:paraId="34232B30" w14:textId="77777777" w:rsidR="00045BA7" w:rsidRPr="00A720EE" w:rsidRDefault="00045BA7" w:rsidP="005D626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 zakresie niniejszej zmiany przewidzian</w:t>
      </w:r>
      <w:r w:rsidR="002D61BF" w:rsidRPr="00A720EE">
        <w:rPr>
          <w:rFonts w:ascii="Times New Roman" w:eastAsiaTheme="minorEastAsia" w:hAnsi="Times New Roman" w:cs="Times New Roman"/>
          <w:sz w:val="24"/>
          <w:szCs w:val="24"/>
          <w:lang w:eastAsia="pl-PL"/>
        </w:rPr>
        <w:t>y został przepis przejściowy</w:t>
      </w:r>
      <w:r w:rsidRPr="00A720EE">
        <w:rPr>
          <w:rFonts w:ascii="Times New Roman" w:eastAsiaTheme="minorEastAsia" w:hAnsi="Times New Roman" w:cs="Times New Roman"/>
          <w:sz w:val="24"/>
          <w:szCs w:val="24"/>
          <w:lang w:eastAsia="pl-PL"/>
        </w:rPr>
        <w:t xml:space="preserve"> </w:t>
      </w:r>
      <w:r w:rsidR="00B51A8A" w:rsidRPr="00A720EE">
        <w:rPr>
          <w:rFonts w:ascii="Times New Roman" w:eastAsiaTheme="minorEastAsia" w:hAnsi="Times New Roman" w:cs="Times New Roman"/>
          <w:sz w:val="24"/>
          <w:szCs w:val="24"/>
          <w:lang w:eastAsia="pl-PL"/>
        </w:rPr>
        <w:t xml:space="preserve">przesądzający, że </w:t>
      </w:r>
      <w:r w:rsidRPr="00A720EE">
        <w:rPr>
          <w:rFonts w:ascii="Times New Roman" w:eastAsiaTheme="minorEastAsia" w:hAnsi="Times New Roman" w:cs="Times New Roman"/>
          <w:sz w:val="24"/>
          <w:szCs w:val="24"/>
          <w:lang w:eastAsia="pl-PL"/>
        </w:rPr>
        <w:t>znajdzie ona zastosowanie do składek z tytułu należności, o których mowa w tym przepisie, należnych od dnia 1 stycznia 2023 r.</w:t>
      </w:r>
      <w:r w:rsidR="00B51A8A" w:rsidRPr="00A720EE">
        <w:rPr>
          <w:rFonts w:ascii="Times New Roman" w:eastAsiaTheme="minorEastAsia" w:hAnsi="Times New Roman" w:cs="Times New Roman"/>
          <w:color w:val="FF0000"/>
          <w:sz w:val="24"/>
          <w:szCs w:val="24"/>
          <w:lang w:eastAsia="pl-PL"/>
        </w:rPr>
        <w:t xml:space="preserve"> </w:t>
      </w:r>
      <w:r w:rsidR="00B51A8A" w:rsidRPr="00A720EE">
        <w:rPr>
          <w:rFonts w:ascii="Times New Roman" w:eastAsiaTheme="minorEastAsia" w:hAnsi="Times New Roman" w:cs="Times New Roman"/>
          <w:sz w:val="24"/>
          <w:szCs w:val="24"/>
          <w:lang w:eastAsia="pl-PL"/>
        </w:rPr>
        <w:t>(analogicznie jak rozwiązania obowiązujące w zakresie podatku dochodowego od osób fizycznych).</w:t>
      </w:r>
    </w:p>
    <w:p w14:paraId="443CB01F" w14:textId="26DEF21C" w:rsidR="00D53F40" w:rsidRPr="00A720EE" w:rsidRDefault="004D19C5" w:rsidP="00007288">
      <w:pPr>
        <w:widowControl w:val="0"/>
        <w:autoSpaceDE w:val="0"/>
        <w:autoSpaceDN w:val="0"/>
        <w:adjustRightInd w:val="0"/>
        <w:spacing w:before="240" w:after="0" w:line="276" w:lineRule="auto"/>
        <w:jc w:val="both"/>
        <w:rPr>
          <w:rFonts w:ascii="Times New Roman" w:eastAsiaTheme="minorEastAsia" w:hAnsi="Times New Roman" w:cs="Times New Roman"/>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1</w:t>
      </w:r>
      <w:r w:rsidR="002D4031" w:rsidRPr="00A720EE">
        <w:rPr>
          <w:rFonts w:ascii="Times New Roman" w:eastAsiaTheme="minorEastAsia" w:hAnsi="Times New Roman" w:cs="Times New Roman"/>
          <w:b/>
          <w:color w:val="000000" w:themeColor="text1"/>
          <w:sz w:val="24"/>
          <w:szCs w:val="24"/>
          <w:lang w:eastAsia="pl-PL"/>
        </w:rPr>
        <w:t>6</w:t>
      </w:r>
      <w:r w:rsidRPr="00A720EE">
        <w:rPr>
          <w:rFonts w:ascii="Times New Roman" w:eastAsiaTheme="minorEastAsia" w:hAnsi="Times New Roman" w:cs="Times New Roman"/>
          <w:b/>
          <w:color w:val="000000" w:themeColor="text1"/>
          <w:sz w:val="24"/>
          <w:szCs w:val="24"/>
          <w:lang w:eastAsia="pl-PL"/>
        </w:rPr>
        <w:t>) Z</w:t>
      </w:r>
      <w:r w:rsidR="00D53F40" w:rsidRPr="00A720EE">
        <w:rPr>
          <w:rFonts w:ascii="Times New Roman" w:eastAsiaTheme="minorEastAsia" w:hAnsi="Times New Roman" w:cs="Times New Roman"/>
          <w:b/>
          <w:color w:val="000000" w:themeColor="text1"/>
          <w:sz w:val="24"/>
          <w:szCs w:val="24"/>
          <w:lang w:eastAsia="pl-PL"/>
        </w:rPr>
        <w:t>miana przepis</w:t>
      </w:r>
      <w:r w:rsidR="00737EBF" w:rsidRPr="00A720EE">
        <w:rPr>
          <w:rFonts w:ascii="Times New Roman" w:eastAsiaTheme="minorEastAsia" w:hAnsi="Times New Roman" w:cs="Times New Roman"/>
          <w:b/>
          <w:color w:val="000000" w:themeColor="text1"/>
          <w:sz w:val="24"/>
          <w:szCs w:val="24"/>
          <w:lang w:eastAsia="pl-PL"/>
        </w:rPr>
        <w:t>u</w:t>
      </w:r>
      <w:r w:rsidR="00D53F40" w:rsidRPr="00A720EE">
        <w:rPr>
          <w:rFonts w:ascii="Times New Roman" w:eastAsiaTheme="minorEastAsia" w:hAnsi="Times New Roman" w:cs="Times New Roman"/>
          <w:b/>
          <w:color w:val="000000" w:themeColor="text1"/>
          <w:sz w:val="24"/>
          <w:szCs w:val="24"/>
          <w:lang w:eastAsia="pl-PL"/>
        </w:rPr>
        <w:t xml:space="preserve"> dotycząc</w:t>
      </w:r>
      <w:r w:rsidR="00737EBF" w:rsidRPr="00A720EE">
        <w:rPr>
          <w:rFonts w:ascii="Times New Roman" w:eastAsiaTheme="minorEastAsia" w:hAnsi="Times New Roman" w:cs="Times New Roman"/>
          <w:b/>
          <w:color w:val="000000" w:themeColor="text1"/>
          <w:sz w:val="24"/>
          <w:szCs w:val="24"/>
          <w:lang w:eastAsia="pl-PL"/>
        </w:rPr>
        <w:t>ego</w:t>
      </w:r>
      <w:r w:rsidR="00D53F40" w:rsidRPr="00A720EE">
        <w:rPr>
          <w:rFonts w:ascii="Times New Roman" w:eastAsiaTheme="minorEastAsia" w:hAnsi="Times New Roman" w:cs="Times New Roman"/>
          <w:b/>
          <w:color w:val="000000" w:themeColor="text1"/>
          <w:sz w:val="24"/>
          <w:szCs w:val="24"/>
          <w:lang w:eastAsia="pl-PL"/>
        </w:rPr>
        <w:t xml:space="preserve"> procedury zwrotu podatku od przychodów z budynków (</w:t>
      </w:r>
      <w:r w:rsidR="00096A5F" w:rsidRPr="00A720EE">
        <w:rPr>
          <w:rFonts w:ascii="Times New Roman" w:eastAsiaTheme="minorEastAsia" w:hAnsi="Times New Roman" w:cs="Times New Roman"/>
          <w:b/>
          <w:color w:val="000000" w:themeColor="text1"/>
          <w:sz w:val="24"/>
          <w:szCs w:val="24"/>
          <w:lang w:eastAsia="pl-PL"/>
        </w:rPr>
        <w:t xml:space="preserve">ustawa </w:t>
      </w:r>
      <w:r w:rsidR="00D53F40" w:rsidRPr="00A720EE">
        <w:rPr>
          <w:rFonts w:ascii="Times New Roman" w:eastAsiaTheme="minorEastAsia" w:hAnsi="Times New Roman" w:cs="Times New Roman"/>
          <w:b/>
          <w:color w:val="000000" w:themeColor="text1"/>
          <w:sz w:val="24"/>
          <w:szCs w:val="24"/>
          <w:lang w:eastAsia="pl-PL"/>
        </w:rPr>
        <w:t>CIT i PIT)</w:t>
      </w:r>
    </w:p>
    <w:p w14:paraId="673D6D60" w14:textId="77777777" w:rsidR="00001578" w:rsidRPr="00A720EE" w:rsidRDefault="002E638D" w:rsidP="00001578">
      <w:pPr>
        <w:widowControl w:val="0"/>
        <w:suppressAutoHyphens/>
        <w:spacing w:before="120" w:after="0" w:line="276" w:lineRule="auto"/>
        <w:jc w:val="both"/>
        <w:rPr>
          <w:rFonts w:ascii="Times New Roman" w:eastAsia="Lato" w:hAnsi="Times New Roman" w:cs="Times New Roman"/>
          <w:iCs/>
          <w:sz w:val="24"/>
          <w:szCs w:val="24"/>
        </w:rPr>
      </w:pPr>
      <w:r w:rsidRPr="00A720EE">
        <w:rPr>
          <w:rFonts w:ascii="Times New Roman" w:eastAsia="Lato" w:hAnsi="Times New Roman" w:cs="Times New Roman"/>
          <w:iCs/>
          <w:sz w:val="24"/>
          <w:szCs w:val="24"/>
        </w:rPr>
        <w:t>Opodatkowanie</w:t>
      </w:r>
      <w:r w:rsidR="00001578" w:rsidRPr="00A720EE">
        <w:rPr>
          <w:rFonts w:ascii="Times New Roman" w:eastAsia="Lato" w:hAnsi="Times New Roman" w:cs="Times New Roman"/>
          <w:iCs/>
          <w:sz w:val="24"/>
          <w:szCs w:val="24"/>
        </w:rPr>
        <w:t xml:space="preserve"> podatkiem od przychodów z budynków, o którym mowa w art. 24b ustawy CIT i art. 30g ustawy PIT wprowadzone zostało 1 stycznia 2018 r.</w:t>
      </w:r>
      <w:r w:rsidR="00001578" w:rsidRPr="00A720EE">
        <w:rPr>
          <w:rFonts w:ascii="Times New Roman" w:eastAsia="Lato" w:hAnsi="Times New Roman" w:cs="Times New Roman"/>
          <w:iCs/>
          <w:sz w:val="24"/>
          <w:szCs w:val="24"/>
          <w:vertAlign w:val="superscript"/>
        </w:rPr>
        <w:footnoteReference w:id="8"/>
      </w:r>
      <w:r w:rsidR="00001578" w:rsidRPr="00A720EE">
        <w:rPr>
          <w:rFonts w:ascii="Times New Roman" w:eastAsia="Lato" w:hAnsi="Times New Roman" w:cs="Times New Roman"/>
          <w:iCs/>
          <w:sz w:val="24"/>
          <w:szCs w:val="24"/>
        </w:rPr>
        <w:t xml:space="preserve"> Przepisy te uległy następnie pewnym modyfikacjom</w:t>
      </w:r>
      <w:r w:rsidR="00001578" w:rsidRPr="00A720EE">
        <w:rPr>
          <w:rFonts w:ascii="Times New Roman" w:eastAsia="Lato" w:hAnsi="Times New Roman" w:cs="Times New Roman"/>
          <w:iCs/>
          <w:sz w:val="24"/>
          <w:szCs w:val="24"/>
          <w:vertAlign w:val="superscript"/>
        </w:rPr>
        <w:footnoteReference w:id="9"/>
      </w:r>
      <w:r w:rsidR="00001578" w:rsidRPr="00A720EE">
        <w:rPr>
          <w:rFonts w:ascii="Times New Roman" w:eastAsia="Lato" w:hAnsi="Times New Roman" w:cs="Times New Roman"/>
          <w:iCs/>
          <w:sz w:val="24"/>
          <w:szCs w:val="24"/>
        </w:rPr>
        <w:t>, z mocą obowiązującą od 1 stycznia 2019 r., stosownie do zaleceń Komisji Europejskiej</w:t>
      </w:r>
      <w:r w:rsidR="00001578" w:rsidRPr="00A720EE">
        <w:rPr>
          <w:rFonts w:ascii="Times New Roman" w:eastAsia="Lato" w:hAnsi="Times New Roman" w:cs="Times New Roman"/>
          <w:iCs/>
          <w:sz w:val="24"/>
          <w:szCs w:val="24"/>
          <w:vertAlign w:val="superscript"/>
        </w:rPr>
        <w:footnoteReference w:id="10"/>
      </w:r>
      <w:r w:rsidR="00001578" w:rsidRPr="00A720EE">
        <w:rPr>
          <w:rFonts w:ascii="Times New Roman" w:eastAsia="Lato" w:hAnsi="Times New Roman" w:cs="Times New Roman"/>
          <w:iCs/>
          <w:sz w:val="24"/>
          <w:szCs w:val="24"/>
        </w:rPr>
        <w:t>, podyktowanych zasadami równej konkurencji zgodnie z regułami udzielania pomocy publicznej.</w:t>
      </w:r>
    </w:p>
    <w:p w14:paraId="3A99ED18" w14:textId="51FAED22" w:rsidR="00595886" w:rsidRPr="00A720EE" w:rsidRDefault="00001578" w:rsidP="00595886">
      <w:pPr>
        <w:widowControl w:val="0"/>
        <w:suppressAutoHyphens/>
        <w:spacing w:before="120" w:after="0" w:line="276" w:lineRule="auto"/>
        <w:jc w:val="both"/>
        <w:rPr>
          <w:rFonts w:ascii="Times New Roman" w:eastAsia="Lato" w:hAnsi="Times New Roman" w:cs="Times New Roman"/>
          <w:iCs/>
          <w:sz w:val="24"/>
          <w:szCs w:val="24"/>
        </w:rPr>
      </w:pPr>
      <w:r w:rsidRPr="00A720EE">
        <w:rPr>
          <w:rFonts w:ascii="Times New Roman" w:eastAsia="Lato" w:hAnsi="Times New Roman" w:cs="Times New Roman"/>
          <w:iCs/>
          <w:sz w:val="24"/>
          <w:szCs w:val="24"/>
        </w:rPr>
        <w:t xml:space="preserve">W świetle wymienionych regulacji podatnik, bez względu na formę i rodzaj prowadzonej działalności, jest obowiązany do zapłaty podatku od przychodów z budynków będących środkami trwałymi posiadanymi na własność (współwłasność), położonymi w Polsce, </w:t>
      </w:r>
      <w:r w:rsidRPr="00A720EE">
        <w:rPr>
          <w:rFonts w:ascii="Times New Roman" w:eastAsia="Lato" w:hAnsi="Times New Roman" w:cs="Times New Roman"/>
          <w:iCs/>
          <w:sz w:val="24"/>
          <w:szCs w:val="24"/>
        </w:rPr>
        <w:lastRenderedPageBreak/>
        <w:t>stanowiącymi składnik majątku związany z działalnością gospodarczą (na gruncie podatku PIT), oddanymi w całości albo części do odpłatnego używania na podstawie umowy najmu, dzierżawy lub innej umowy o podobnym charakterze. Jednocześnie wartość 1</w:t>
      </w:r>
      <w:r w:rsidR="00B51A8A" w:rsidRPr="00A720EE">
        <w:rPr>
          <w:rFonts w:ascii="Times New Roman" w:eastAsia="Lato" w:hAnsi="Times New Roman" w:cs="Times New Roman"/>
          <w:iCs/>
          <w:sz w:val="24"/>
          <w:szCs w:val="24"/>
        </w:rPr>
        <w:t> </w:t>
      </w:r>
      <w:r w:rsidRPr="00A720EE">
        <w:rPr>
          <w:rFonts w:ascii="Times New Roman" w:eastAsia="Lato" w:hAnsi="Times New Roman" w:cs="Times New Roman"/>
          <w:iCs/>
          <w:sz w:val="24"/>
          <w:szCs w:val="24"/>
        </w:rPr>
        <w:t>0</w:t>
      </w:r>
      <w:r w:rsidR="00B51A8A" w:rsidRPr="00A720EE">
        <w:rPr>
          <w:rFonts w:ascii="Times New Roman" w:eastAsia="Lato" w:hAnsi="Times New Roman" w:cs="Times New Roman"/>
          <w:iCs/>
          <w:sz w:val="24"/>
          <w:szCs w:val="24"/>
        </w:rPr>
        <w:t>00 000</w:t>
      </w:r>
      <w:r w:rsidRPr="00A720EE">
        <w:rPr>
          <w:rFonts w:ascii="Times New Roman" w:eastAsia="Lato" w:hAnsi="Times New Roman" w:cs="Times New Roman"/>
          <w:iCs/>
          <w:sz w:val="24"/>
          <w:szCs w:val="24"/>
        </w:rPr>
        <w:t xml:space="preserve"> </w:t>
      </w:r>
      <w:r w:rsidR="00B51A8A" w:rsidRPr="00A720EE">
        <w:rPr>
          <w:rFonts w:ascii="Times New Roman" w:eastAsia="Lato" w:hAnsi="Times New Roman" w:cs="Times New Roman"/>
          <w:iCs/>
          <w:sz w:val="24"/>
          <w:szCs w:val="24"/>
        </w:rPr>
        <w:t xml:space="preserve">zł </w:t>
      </w:r>
      <w:r w:rsidRPr="00A720EE">
        <w:rPr>
          <w:rFonts w:ascii="Times New Roman" w:eastAsia="Lato" w:hAnsi="Times New Roman" w:cs="Times New Roman"/>
          <w:iCs/>
          <w:sz w:val="24"/>
          <w:szCs w:val="24"/>
        </w:rPr>
        <w:t xml:space="preserve">określona została jako próg (kwota wolna), przypadający na podatnika bez względu na liczbę i wartość posiadanych przez niego budynków, do którego danina ta nie ma zastosowania. </w:t>
      </w:r>
      <w:r w:rsidR="00595886" w:rsidRPr="00A720EE">
        <w:rPr>
          <w:rFonts w:ascii="Times New Roman" w:eastAsia="Lato" w:hAnsi="Times New Roman" w:cs="Times New Roman"/>
          <w:iCs/>
          <w:sz w:val="24"/>
          <w:szCs w:val="24"/>
        </w:rPr>
        <w:t>Kwota wolna w tej wysokości przypada na podatnika bez względu na liczbę i wartość posiadanych przez niego budynków.</w:t>
      </w:r>
    </w:p>
    <w:p w14:paraId="3E2976CE" w14:textId="77777777" w:rsidR="00001578" w:rsidRPr="00A720EE" w:rsidRDefault="00001578" w:rsidP="00001578">
      <w:pPr>
        <w:widowControl w:val="0"/>
        <w:suppressAutoHyphens/>
        <w:spacing w:before="120" w:after="0" w:line="276" w:lineRule="auto"/>
        <w:jc w:val="both"/>
        <w:rPr>
          <w:rFonts w:ascii="Times New Roman" w:eastAsia="Lato" w:hAnsi="Times New Roman" w:cs="Times New Roman"/>
          <w:iCs/>
          <w:sz w:val="24"/>
          <w:szCs w:val="24"/>
        </w:rPr>
      </w:pPr>
      <w:r w:rsidRPr="00A720EE">
        <w:rPr>
          <w:rFonts w:ascii="Times New Roman" w:eastAsia="Lato" w:hAnsi="Times New Roman" w:cs="Times New Roman"/>
          <w:iCs/>
          <w:sz w:val="24"/>
          <w:szCs w:val="24"/>
        </w:rPr>
        <w:t xml:space="preserve">Z założenia podatek od przychodów z budynków jest neutralny, co przejawia się w możliwości jego niepłacenia (gdy przewyższa go podatek obliczony na zasadach ogólnych), jak również możliwości odliczenia </w:t>
      </w:r>
      <w:r w:rsidR="00595886" w:rsidRPr="00A720EE">
        <w:rPr>
          <w:rFonts w:ascii="Times New Roman" w:eastAsia="Lato" w:hAnsi="Times New Roman" w:cs="Times New Roman"/>
          <w:iCs/>
          <w:sz w:val="24"/>
          <w:szCs w:val="24"/>
        </w:rPr>
        <w:t xml:space="preserve">go </w:t>
      </w:r>
      <w:r w:rsidRPr="00A720EE">
        <w:rPr>
          <w:rFonts w:ascii="Times New Roman" w:eastAsia="Lato" w:hAnsi="Times New Roman" w:cs="Times New Roman"/>
          <w:iCs/>
          <w:sz w:val="24"/>
          <w:szCs w:val="24"/>
        </w:rPr>
        <w:t xml:space="preserve">od podatku obliczonego na zasadach ogólnych – zarówno na poziomie zaliczek, jak też w rozliczeniu za rok podatkowy. </w:t>
      </w:r>
    </w:p>
    <w:p w14:paraId="57BF8271" w14:textId="77777777" w:rsidR="00001578" w:rsidRPr="00A720EE" w:rsidRDefault="00001578" w:rsidP="00001578">
      <w:pPr>
        <w:widowControl w:val="0"/>
        <w:suppressAutoHyphens/>
        <w:spacing w:before="120" w:after="0" w:line="276" w:lineRule="auto"/>
        <w:jc w:val="both"/>
        <w:rPr>
          <w:rFonts w:ascii="Times New Roman" w:eastAsia="Lato" w:hAnsi="Times New Roman" w:cs="Times New Roman"/>
          <w:iCs/>
          <w:sz w:val="24"/>
          <w:szCs w:val="24"/>
        </w:rPr>
      </w:pPr>
      <w:r w:rsidRPr="00A720EE">
        <w:rPr>
          <w:rFonts w:ascii="Times New Roman" w:eastAsia="Lato" w:hAnsi="Times New Roman" w:cs="Times New Roman"/>
          <w:iCs/>
          <w:sz w:val="24"/>
          <w:szCs w:val="24"/>
        </w:rPr>
        <w:t>Ponadto, kwota podatku od przychodów z budynków nieodliczona w ww. sposób podlega zwrotowi, na wniosek podatnika, jeżeli organ podatkowy nie stwierdzi nieprawidłowości w wysokości zobowiązania podatkowego (straty) obliczonego na zasadach ogólnych w złożonym zeznaniu podatkowym oraz w zakresie podatku od przychodów z budynków. Przy czym</w:t>
      </w:r>
      <w:r w:rsidR="00B51A8A" w:rsidRPr="00A720EE">
        <w:rPr>
          <w:rFonts w:ascii="Times New Roman" w:eastAsia="Lato" w:hAnsi="Times New Roman" w:cs="Times New Roman"/>
          <w:iCs/>
          <w:sz w:val="24"/>
          <w:szCs w:val="24"/>
        </w:rPr>
        <w:t>,</w:t>
      </w:r>
      <w:r w:rsidRPr="00A720EE">
        <w:rPr>
          <w:rFonts w:ascii="Times New Roman" w:eastAsia="Lato" w:hAnsi="Times New Roman" w:cs="Times New Roman"/>
          <w:iCs/>
          <w:sz w:val="24"/>
          <w:szCs w:val="24"/>
        </w:rPr>
        <w:t xml:space="preserve"> w ewentualnej ocenie organ podatkowy bierze pod uwagę, czy ponoszone przez podatnika koszty finansowania dłużnego w związku z nabyciem (wytworzeniem) budynku, a także inne przychody i koszty, ustalone </w:t>
      </w:r>
      <w:r w:rsidR="002E638D" w:rsidRPr="00A720EE">
        <w:rPr>
          <w:rFonts w:ascii="Times New Roman" w:eastAsia="Lato" w:hAnsi="Times New Roman" w:cs="Times New Roman"/>
          <w:iCs/>
          <w:sz w:val="24"/>
          <w:szCs w:val="24"/>
        </w:rPr>
        <w:t>zostały na warunkach rynkowych (r</w:t>
      </w:r>
      <w:r w:rsidRPr="00A720EE">
        <w:rPr>
          <w:rFonts w:ascii="Times New Roman" w:eastAsia="Lato" w:hAnsi="Times New Roman" w:cs="Times New Roman"/>
          <w:iCs/>
          <w:sz w:val="24"/>
          <w:szCs w:val="24"/>
        </w:rPr>
        <w:t>ozwiązanie to ma na celu przeciwdziałanie schematom optymalizacyjnym związanym np. z finansowaniem dłużnym</w:t>
      </w:r>
      <w:r w:rsidR="002E638D" w:rsidRPr="00A720EE">
        <w:rPr>
          <w:rFonts w:ascii="Times New Roman" w:eastAsia="Lato" w:hAnsi="Times New Roman" w:cs="Times New Roman"/>
          <w:iCs/>
          <w:sz w:val="24"/>
          <w:szCs w:val="24"/>
        </w:rPr>
        <w:t>)</w:t>
      </w:r>
      <w:r w:rsidRPr="00A720EE">
        <w:rPr>
          <w:rFonts w:ascii="Times New Roman" w:eastAsia="Lato" w:hAnsi="Times New Roman" w:cs="Times New Roman"/>
          <w:iCs/>
          <w:sz w:val="24"/>
          <w:szCs w:val="24"/>
        </w:rPr>
        <w:t xml:space="preserve">. </w:t>
      </w:r>
    </w:p>
    <w:p w14:paraId="68FC1F6F" w14:textId="77777777" w:rsidR="00001578" w:rsidRPr="00A720EE" w:rsidRDefault="00001578" w:rsidP="00001578">
      <w:pPr>
        <w:widowControl w:val="0"/>
        <w:suppressAutoHyphens/>
        <w:spacing w:before="120" w:after="0" w:line="276" w:lineRule="auto"/>
        <w:jc w:val="both"/>
        <w:rPr>
          <w:rFonts w:ascii="Times New Roman" w:eastAsia="Lato" w:hAnsi="Times New Roman" w:cs="Times New Roman"/>
          <w:iCs/>
          <w:sz w:val="24"/>
          <w:szCs w:val="24"/>
        </w:rPr>
      </w:pPr>
      <w:r w:rsidRPr="00A720EE">
        <w:rPr>
          <w:rFonts w:ascii="Times New Roman" w:eastAsia="Lato" w:hAnsi="Times New Roman" w:cs="Times New Roman"/>
          <w:iCs/>
          <w:sz w:val="24"/>
          <w:szCs w:val="24"/>
        </w:rPr>
        <w:t>Praktyka stosowania wymienionych regulacji ujawniła jednak problem związany z procedurą zwrotu podatku od przychodów z budynków na wniosek (art. 24b ust. 15 ustawy CIT i art. 30g ust. 15 ustawy PIT)</w:t>
      </w:r>
      <w:r w:rsidR="00AC7FAF" w:rsidRPr="00A720EE">
        <w:rPr>
          <w:rFonts w:ascii="Times New Roman" w:eastAsia="Lato" w:hAnsi="Times New Roman" w:cs="Times New Roman"/>
          <w:iCs/>
          <w:sz w:val="24"/>
          <w:szCs w:val="24"/>
        </w:rPr>
        <w:t>,</w:t>
      </w:r>
      <w:r w:rsidRPr="00A720EE">
        <w:rPr>
          <w:rFonts w:ascii="Times New Roman" w:eastAsia="Lato" w:hAnsi="Times New Roman" w:cs="Times New Roman"/>
          <w:iCs/>
          <w:sz w:val="24"/>
          <w:szCs w:val="24"/>
        </w:rPr>
        <w:t xml:space="preserve"> wynikający z braku określenia w obowiązujących przepisach trybu weryfikacji jak i zasad zwrotu. Spowodowało to liczne wątpliwości zgłaszane w ostatnich latach przez Dyrektorów Izb Administracji Skarbowej. </w:t>
      </w:r>
      <w:r w:rsidR="002E638D" w:rsidRPr="00A720EE">
        <w:rPr>
          <w:rFonts w:ascii="Times New Roman" w:eastAsia="Lato" w:hAnsi="Times New Roman" w:cs="Times New Roman"/>
          <w:iCs/>
          <w:sz w:val="24"/>
          <w:szCs w:val="24"/>
        </w:rPr>
        <w:t>Organy podatkowe podnoszą, że k</w:t>
      </w:r>
      <w:r w:rsidRPr="00A720EE">
        <w:rPr>
          <w:rFonts w:ascii="Times New Roman" w:eastAsia="Lato" w:hAnsi="Times New Roman" w:cs="Times New Roman"/>
          <w:iCs/>
          <w:sz w:val="24"/>
          <w:szCs w:val="24"/>
        </w:rPr>
        <w:t>ażdorazowe stosowanie inicjowanej wnioskiem podatnika procedury postępowania podatkowego, samodzielnie lub w połączeniu z pozostałymi procedurami podatkowymi (czynności sprawdzające, kontrola podatkowa, kontrola celno-skarbow</w:t>
      </w:r>
      <w:r w:rsidR="00AC7FAF" w:rsidRPr="00A720EE">
        <w:rPr>
          <w:rFonts w:ascii="Times New Roman" w:eastAsia="Lato" w:hAnsi="Times New Roman" w:cs="Times New Roman"/>
          <w:iCs/>
          <w:sz w:val="24"/>
          <w:szCs w:val="24"/>
        </w:rPr>
        <w:t>a), prowadzi</w:t>
      </w:r>
      <w:r w:rsidR="004D19C5" w:rsidRPr="00A720EE">
        <w:rPr>
          <w:rStyle w:val="Odwoanieprzypisudolnego"/>
          <w:rFonts w:ascii="Times New Roman" w:eastAsia="Lato" w:hAnsi="Times New Roman"/>
          <w:iCs/>
          <w:sz w:val="24"/>
          <w:szCs w:val="24"/>
        </w:rPr>
        <w:footnoteReference w:id="11"/>
      </w:r>
      <w:r w:rsidR="002E638D" w:rsidRPr="00A720EE">
        <w:rPr>
          <w:rFonts w:ascii="Times New Roman" w:eastAsia="Lato" w:hAnsi="Times New Roman" w:cs="Times New Roman"/>
          <w:iCs/>
          <w:sz w:val="24"/>
          <w:szCs w:val="24"/>
        </w:rPr>
        <w:t xml:space="preserve"> </w:t>
      </w:r>
      <w:r w:rsidRPr="00A720EE">
        <w:rPr>
          <w:rFonts w:ascii="Times New Roman" w:eastAsia="Lato" w:hAnsi="Times New Roman" w:cs="Times New Roman"/>
          <w:iCs/>
          <w:sz w:val="24"/>
          <w:szCs w:val="24"/>
        </w:rPr>
        <w:t>do konieczności weryfikacji całego rozliczenia podatkowego wnioskodawcy zwrotu. Oznacza to, że procedura zwrotu podatku, który z założenia ma być neutralny, może powodować wszczęcie rozbudowanego postępowania dowodowego zakończonego wydaniem decyzji na podstawie art. 207 Ordynacji podatkowej, co w konsekwencji oznacza znaczne utrudnienie i wydłużenie przebiegu całego procesu.</w:t>
      </w:r>
    </w:p>
    <w:p w14:paraId="2B4EE53A" w14:textId="22680217" w:rsidR="00001578" w:rsidRPr="00A720EE" w:rsidRDefault="00001578" w:rsidP="00001578">
      <w:pPr>
        <w:widowControl w:val="0"/>
        <w:suppressAutoHyphens/>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W związku z tym projekt zawiera propozycję uproszczenia procedury zwrotu podatku od przychodów z budynków, poprzez </w:t>
      </w:r>
      <w:r w:rsidR="00D910DD" w:rsidRPr="00A720EE">
        <w:rPr>
          <w:rFonts w:ascii="Times New Roman" w:hAnsi="Times New Roman" w:cs="Times New Roman"/>
          <w:sz w:val="24"/>
          <w:szCs w:val="24"/>
        </w:rPr>
        <w:t xml:space="preserve">nienakładanie </w:t>
      </w:r>
      <w:r w:rsidRPr="00A720EE">
        <w:rPr>
          <w:rFonts w:ascii="Times New Roman" w:hAnsi="Times New Roman" w:cs="Times New Roman"/>
          <w:sz w:val="24"/>
          <w:szCs w:val="24"/>
        </w:rPr>
        <w:t xml:space="preserve">obowiązku wydawania decyzji o zwrocie </w:t>
      </w:r>
      <w:r w:rsidRPr="00A720EE">
        <w:rPr>
          <w:rFonts w:ascii="Times New Roman" w:hAnsi="Times New Roman" w:cs="Times New Roman"/>
          <w:sz w:val="24"/>
          <w:szCs w:val="24"/>
        </w:rPr>
        <w:lastRenderedPageBreak/>
        <w:t>p</w:t>
      </w:r>
      <w:r w:rsidR="002E638D" w:rsidRPr="00A720EE">
        <w:rPr>
          <w:rFonts w:ascii="Times New Roman" w:hAnsi="Times New Roman" w:cs="Times New Roman"/>
          <w:sz w:val="24"/>
          <w:szCs w:val="24"/>
        </w:rPr>
        <w:t xml:space="preserve">odatku w przypadku braku </w:t>
      </w:r>
      <w:r w:rsidRPr="00A720EE">
        <w:rPr>
          <w:rFonts w:ascii="Times New Roman" w:hAnsi="Times New Roman" w:cs="Times New Roman"/>
          <w:sz w:val="24"/>
          <w:szCs w:val="24"/>
        </w:rPr>
        <w:t>wątpliwości</w:t>
      </w:r>
      <w:r w:rsidR="002E638D" w:rsidRPr="00A720EE">
        <w:rPr>
          <w:rFonts w:ascii="Times New Roman" w:hAnsi="Times New Roman" w:cs="Times New Roman"/>
          <w:sz w:val="24"/>
          <w:szCs w:val="24"/>
        </w:rPr>
        <w:t xml:space="preserve"> co do </w:t>
      </w:r>
      <w:r w:rsidR="00BF66D3" w:rsidRPr="00A720EE">
        <w:rPr>
          <w:rFonts w:ascii="Times New Roman" w:hAnsi="Times New Roman" w:cs="Times New Roman"/>
          <w:sz w:val="24"/>
          <w:szCs w:val="24"/>
        </w:rPr>
        <w:t>złożonego wniosku</w:t>
      </w:r>
      <w:r w:rsidRPr="00A720EE">
        <w:rPr>
          <w:rFonts w:ascii="Times New Roman" w:hAnsi="Times New Roman" w:cs="Times New Roman"/>
          <w:sz w:val="24"/>
          <w:szCs w:val="24"/>
        </w:rPr>
        <w:t>.</w:t>
      </w:r>
    </w:p>
    <w:p w14:paraId="0CBCBE3C" w14:textId="77777777" w:rsidR="00CF2D0B" w:rsidRPr="00A720EE" w:rsidRDefault="00CF2D0B" w:rsidP="00CF2D0B">
      <w:pPr>
        <w:widowControl w:val="0"/>
        <w:suppressAutoHyphens/>
        <w:spacing w:before="120" w:after="0" w:line="276" w:lineRule="auto"/>
        <w:jc w:val="both"/>
        <w:rPr>
          <w:rFonts w:ascii="Times New Roman" w:hAnsi="Times New Roman" w:cs="Times New Roman"/>
          <w:iCs/>
          <w:sz w:val="24"/>
          <w:szCs w:val="24"/>
        </w:rPr>
      </w:pPr>
      <w:r w:rsidRPr="00A720EE">
        <w:rPr>
          <w:rFonts w:ascii="Times New Roman" w:hAnsi="Times New Roman" w:cs="Times New Roman"/>
          <w:iCs/>
          <w:sz w:val="24"/>
          <w:szCs w:val="24"/>
        </w:rPr>
        <w:t xml:space="preserve">Należy przy tym wyjaśnić, że zastosowana w przepisie przesłanka „braku wątpliwości” nie narzuca obowiązku przeprowadzenia postępowania dowodowego. Weryfikacja wniosku podatnika może zostać osiągnięta z zastosowaniem innych środków/informacji (zależnie od szczegółów danej sprawy) dostępnych organowi z urzędu, takich jak np. wcześniejsze deklaracje, sprawozdania finansowe, własne bazy danych, czy historia wywiązywania się z dotychczasowych zobowiązań wobec organu. </w:t>
      </w:r>
    </w:p>
    <w:p w14:paraId="3FDAC74F" w14:textId="77777777" w:rsidR="00CF2D0B" w:rsidRPr="00A720EE" w:rsidRDefault="00CF2D0B" w:rsidP="00CF2D0B">
      <w:pPr>
        <w:widowControl w:val="0"/>
        <w:suppressAutoHyphens/>
        <w:spacing w:before="120" w:after="0" w:line="276" w:lineRule="auto"/>
        <w:jc w:val="both"/>
        <w:rPr>
          <w:rFonts w:ascii="Times New Roman" w:hAnsi="Times New Roman" w:cs="Times New Roman"/>
          <w:iCs/>
          <w:sz w:val="24"/>
          <w:szCs w:val="24"/>
        </w:rPr>
      </w:pPr>
      <w:r w:rsidRPr="00A720EE">
        <w:rPr>
          <w:rFonts w:ascii="Times New Roman" w:hAnsi="Times New Roman" w:cs="Times New Roman"/>
          <w:iCs/>
          <w:sz w:val="24"/>
          <w:szCs w:val="24"/>
        </w:rPr>
        <w:t>A zatem, to indywidualna sytuacja podatnika (wnioskodawcy) na którą składać się może wiele okoliczności prawno-podatkowych, będzie dla organu punktem odniesienia do oceny czy istnieją wątpliwości co do żądania zwrotu podatku, oraz co do zastosowania procedury weryfikacji wniosku. Nie będzie przy tym potrzeby angażowania strony i wszczynania formalnego postępowania dowodowego  (kontroli).</w:t>
      </w:r>
    </w:p>
    <w:p w14:paraId="471CEE6D" w14:textId="77777777" w:rsidR="00CF2D0B" w:rsidRPr="00A720EE" w:rsidRDefault="00CF2D0B" w:rsidP="00001578">
      <w:pPr>
        <w:widowControl w:val="0"/>
        <w:suppressAutoHyphens/>
        <w:spacing w:before="120" w:after="0" w:line="276" w:lineRule="auto"/>
        <w:jc w:val="both"/>
        <w:rPr>
          <w:rFonts w:ascii="Times New Roman" w:hAnsi="Times New Roman" w:cs="Times New Roman"/>
          <w:iCs/>
          <w:sz w:val="24"/>
          <w:szCs w:val="24"/>
        </w:rPr>
      </w:pPr>
      <w:r w:rsidRPr="00A720EE">
        <w:rPr>
          <w:rFonts w:ascii="Times New Roman" w:hAnsi="Times New Roman" w:cs="Times New Roman"/>
          <w:iCs/>
          <w:sz w:val="24"/>
          <w:szCs w:val="24"/>
        </w:rPr>
        <w:t xml:space="preserve">Powyższe stanowisko potwierdza stosowanie już przez ustawodawcę sformułowania „nie budzi wątpliwości” w innych regulacjach (np. art. 28b ust. 10 ustawy CIT, art. 75 § 4, art. 62b § 2 Ordynacji podatkowej, czy art. 132 § 2 ustawy o postępowaniu egzekucyjnym w administracji). Także w wyroku NSA z 17 czerwca 2020 r., sygn. akt II FSK 717/20 stwierdzono: </w:t>
      </w:r>
      <w:r w:rsidRPr="00A720EE">
        <w:rPr>
          <w:rFonts w:ascii="Times New Roman" w:hAnsi="Times New Roman" w:cs="Times New Roman"/>
          <w:i/>
          <w:iCs/>
          <w:sz w:val="24"/>
          <w:szCs w:val="24"/>
        </w:rPr>
        <w:t xml:space="preserve">„W sytuacji, gdy organ załatwia wniosek w drodze czynności </w:t>
      </w:r>
      <w:proofErr w:type="spellStart"/>
      <w:r w:rsidRPr="00A720EE">
        <w:rPr>
          <w:rFonts w:ascii="Times New Roman" w:hAnsi="Times New Roman" w:cs="Times New Roman"/>
          <w:i/>
          <w:iCs/>
          <w:sz w:val="24"/>
          <w:szCs w:val="24"/>
        </w:rPr>
        <w:t>materialno</w:t>
      </w:r>
      <w:proofErr w:type="spellEnd"/>
      <w:r w:rsidRPr="00A720EE">
        <w:rPr>
          <w:rFonts w:ascii="Times New Roman" w:hAnsi="Times New Roman" w:cs="Times New Roman"/>
          <w:i/>
          <w:iCs/>
          <w:sz w:val="24"/>
          <w:szCs w:val="24"/>
        </w:rPr>
        <w:t>–technicznej, stosownie do treści i zakresu żądania strony nie oznacza to, że organ kształtuje sytuację prawną strony. Stwierdza jedynie, że wniosek jako taki nie budzi wątpliwości, zaś zobowiązanie w dalszym ciągu wynika ze złożonej deklaracji (zeznania) a nie z rozstrzygnięcia organu.”</w:t>
      </w:r>
    </w:p>
    <w:p w14:paraId="3BF3A570" w14:textId="77777777" w:rsidR="00151E35" w:rsidRPr="00A720EE" w:rsidRDefault="00151E35" w:rsidP="00001578">
      <w:pPr>
        <w:widowControl w:val="0"/>
        <w:suppressAutoHyphens/>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Nowe regulacje upraszające procedurę zwrotu podatku od przychodów z budynków znajdą zastosowanie do wniosków złożonych od 1 stycznia 2023 r. </w:t>
      </w:r>
    </w:p>
    <w:p w14:paraId="53E66A19" w14:textId="6AC8178F" w:rsidR="001F7731" w:rsidRPr="00A720EE" w:rsidRDefault="00D8735C" w:rsidP="003F1B80">
      <w:pPr>
        <w:widowControl w:val="0"/>
        <w:autoSpaceDE w:val="0"/>
        <w:autoSpaceDN w:val="0"/>
        <w:adjustRightInd w:val="0"/>
        <w:spacing w:before="240" w:after="12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1</w:t>
      </w:r>
      <w:r w:rsidR="00EE07CA" w:rsidRPr="00A720EE">
        <w:rPr>
          <w:rFonts w:ascii="Times New Roman" w:eastAsiaTheme="minorEastAsia" w:hAnsi="Times New Roman" w:cs="Times New Roman"/>
          <w:b/>
          <w:color w:val="000000" w:themeColor="text1"/>
          <w:sz w:val="24"/>
          <w:szCs w:val="24"/>
          <w:lang w:eastAsia="pl-PL"/>
        </w:rPr>
        <w:t>7</w:t>
      </w:r>
      <w:r w:rsidR="001F7731" w:rsidRPr="00A720EE">
        <w:rPr>
          <w:rFonts w:ascii="Times New Roman" w:eastAsiaTheme="minorEastAsia" w:hAnsi="Times New Roman" w:cs="Times New Roman"/>
          <w:b/>
          <w:color w:val="000000" w:themeColor="text1"/>
          <w:sz w:val="24"/>
          <w:szCs w:val="24"/>
          <w:lang w:eastAsia="pl-PL"/>
        </w:rPr>
        <w:t xml:space="preserve">) </w:t>
      </w:r>
      <w:r w:rsidR="00FF1640" w:rsidRPr="00A720EE">
        <w:rPr>
          <w:rFonts w:ascii="Times New Roman" w:eastAsiaTheme="minorEastAsia" w:hAnsi="Times New Roman" w:cs="Times New Roman"/>
          <w:b/>
          <w:color w:val="000000" w:themeColor="text1"/>
          <w:sz w:val="24"/>
          <w:szCs w:val="24"/>
          <w:lang w:eastAsia="pl-PL"/>
        </w:rPr>
        <w:t>D</w:t>
      </w:r>
      <w:r w:rsidR="001F7731" w:rsidRPr="00A720EE">
        <w:rPr>
          <w:rFonts w:ascii="Times New Roman" w:eastAsiaTheme="minorEastAsia" w:hAnsi="Times New Roman" w:cs="Times New Roman"/>
          <w:b/>
          <w:color w:val="000000" w:themeColor="text1"/>
          <w:sz w:val="24"/>
          <w:szCs w:val="24"/>
          <w:lang w:eastAsia="pl-PL"/>
        </w:rPr>
        <w:t>oprecyzowanie przepisów w zakresie, w jakim nakładają na Ministra Finansów obowiązek udostępniania wzorów deklaracji (</w:t>
      </w:r>
      <w:r w:rsidR="00096A5F" w:rsidRPr="00A720EE">
        <w:rPr>
          <w:rFonts w:ascii="Times New Roman" w:eastAsiaTheme="minorEastAsia" w:hAnsi="Times New Roman" w:cs="Times New Roman"/>
          <w:b/>
          <w:color w:val="000000" w:themeColor="text1"/>
          <w:sz w:val="24"/>
          <w:szCs w:val="24"/>
          <w:lang w:eastAsia="pl-PL"/>
        </w:rPr>
        <w:t xml:space="preserve">ustawa </w:t>
      </w:r>
      <w:r w:rsidR="001F7731" w:rsidRPr="00A720EE">
        <w:rPr>
          <w:rFonts w:ascii="Times New Roman" w:eastAsiaTheme="minorEastAsia" w:hAnsi="Times New Roman" w:cs="Times New Roman"/>
          <w:b/>
          <w:color w:val="000000" w:themeColor="text1"/>
          <w:sz w:val="24"/>
          <w:szCs w:val="24"/>
          <w:lang w:eastAsia="pl-PL"/>
        </w:rPr>
        <w:t>CIT</w:t>
      </w:r>
      <w:r w:rsidR="00096A5F" w:rsidRPr="00A720EE">
        <w:rPr>
          <w:rFonts w:ascii="Times New Roman" w:eastAsiaTheme="minorEastAsia" w:hAnsi="Times New Roman" w:cs="Times New Roman"/>
          <w:b/>
          <w:color w:val="000000" w:themeColor="text1"/>
          <w:sz w:val="24"/>
          <w:szCs w:val="24"/>
          <w:lang w:eastAsia="pl-PL"/>
        </w:rPr>
        <w:t xml:space="preserve">, </w:t>
      </w:r>
      <w:r w:rsidR="001F7731" w:rsidRPr="00A720EE">
        <w:rPr>
          <w:rFonts w:ascii="Times New Roman" w:eastAsiaTheme="minorEastAsia" w:hAnsi="Times New Roman" w:cs="Times New Roman"/>
          <w:b/>
          <w:color w:val="000000" w:themeColor="text1"/>
          <w:sz w:val="24"/>
          <w:szCs w:val="24"/>
          <w:lang w:eastAsia="pl-PL"/>
        </w:rPr>
        <w:t>PIT</w:t>
      </w:r>
      <w:r w:rsidR="00096A5F" w:rsidRPr="00A720EE">
        <w:rPr>
          <w:rFonts w:ascii="Times New Roman" w:eastAsiaTheme="minorEastAsia" w:hAnsi="Times New Roman" w:cs="Times New Roman"/>
          <w:b/>
          <w:color w:val="000000" w:themeColor="text1"/>
          <w:sz w:val="24"/>
          <w:szCs w:val="24"/>
          <w:lang w:eastAsia="pl-PL"/>
        </w:rPr>
        <w:t xml:space="preserve"> i o </w:t>
      </w:r>
      <w:r w:rsidR="001F7731" w:rsidRPr="00A720EE">
        <w:rPr>
          <w:rFonts w:ascii="Times New Roman" w:eastAsiaTheme="minorEastAsia" w:hAnsi="Times New Roman" w:cs="Times New Roman"/>
          <w:b/>
          <w:color w:val="000000" w:themeColor="text1"/>
          <w:sz w:val="24"/>
          <w:szCs w:val="24"/>
          <w:lang w:eastAsia="pl-PL"/>
        </w:rPr>
        <w:t>ryczał</w:t>
      </w:r>
      <w:r w:rsidR="00096A5F" w:rsidRPr="00A720EE">
        <w:rPr>
          <w:rFonts w:ascii="Times New Roman" w:eastAsiaTheme="minorEastAsia" w:hAnsi="Times New Roman" w:cs="Times New Roman"/>
          <w:b/>
          <w:color w:val="000000" w:themeColor="text1"/>
          <w:sz w:val="24"/>
          <w:szCs w:val="24"/>
          <w:lang w:eastAsia="pl-PL"/>
        </w:rPr>
        <w:t>cie</w:t>
      </w:r>
      <w:r w:rsidR="001F7731" w:rsidRPr="00A720EE">
        <w:rPr>
          <w:rFonts w:ascii="Times New Roman" w:eastAsiaTheme="minorEastAsia" w:hAnsi="Times New Roman" w:cs="Times New Roman"/>
          <w:b/>
          <w:color w:val="000000" w:themeColor="text1"/>
          <w:sz w:val="24"/>
          <w:szCs w:val="24"/>
          <w:lang w:eastAsia="pl-PL"/>
        </w:rPr>
        <w:t>)</w:t>
      </w:r>
    </w:p>
    <w:p w14:paraId="49811347" w14:textId="77777777" w:rsidR="00CF2D0B" w:rsidRPr="00A720EE" w:rsidRDefault="001F7731" w:rsidP="00385703">
      <w:pPr>
        <w:spacing w:line="256" w:lineRule="auto"/>
        <w:jc w:val="both"/>
        <w:rPr>
          <w:rFonts w:ascii="Times New Roman" w:eastAsia="Calibri" w:hAnsi="Times New Roman" w:cs="Times New Roman"/>
          <w:sz w:val="24"/>
          <w:szCs w:val="24"/>
        </w:rPr>
      </w:pPr>
      <w:r w:rsidRPr="00A720EE">
        <w:rPr>
          <w:rFonts w:ascii="Times New Roman" w:eastAsia="Calibri" w:hAnsi="Times New Roman" w:cs="Times New Roman"/>
          <w:sz w:val="24"/>
          <w:szCs w:val="24"/>
        </w:rPr>
        <w:t>Zmiana ma na celu doprecyzowanie przepisów dotyczących udostępniania wzorów deklaracji w zak</w:t>
      </w:r>
      <w:r w:rsidR="00FF1FC4" w:rsidRPr="00A720EE">
        <w:rPr>
          <w:rFonts w:ascii="Times New Roman" w:eastAsia="Calibri" w:hAnsi="Times New Roman" w:cs="Times New Roman"/>
          <w:sz w:val="24"/>
          <w:szCs w:val="24"/>
        </w:rPr>
        <w:t>res</w:t>
      </w:r>
      <w:r w:rsidR="00637243" w:rsidRPr="00A720EE">
        <w:rPr>
          <w:rFonts w:ascii="Times New Roman" w:eastAsia="Calibri" w:hAnsi="Times New Roman" w:cs="Times New Roman"/>
          <w:sz w:val="24"/>
          <w:szCs w:val="24"/>
        </w:rPr>
        <w:t>ie</w:t>
      </w:r>
      <w:r w:rsidR="00FF1FC4" w:rsidRPr="00A720EE">
        <w:rPr>
          <w:rFonts w:ascii="Times New Roman" w:eastAsia="Calibri" w:hAnsi="Times New Roman" w:cs="Times New Roman"/>
          <w:sz w:val="24"/>
          <w:szCs w:val="24"/>
        </w:rPr>
        <w:t xml:space="preserve"> podatków dochodowych. </w:t>
      </w:r>
    </w:p>
    <w:p w14:paraId="77CD6E98" w14:textId="22832FF0" w:rsidR="00FF1FC4" w:rsidRPr="00A720EE" w:rsidRDefault="00FF1FC4" w:rsidP="00385703">
      <w:pPr>
        <w:spacing w:line="256" w:lineRule="auto"/>
        <w:jc w:val="both"/>
        <w:rPr>
          <w:rFonts w:ascii="Times New Roman" w:eastAsia="Calibri" w:hAnsi="Times New Roman" w:cs="Times New Roman"/>
          <w:sz w:val="24"/>
          <w:szCs w:val="24"/>
        </w:rPr>
      </w:pPr>
      <w:r w:rsidRPr="00A720EE">
        <w:rPr>
          <w:rFonts w:ascii="Times New Roman" w:eastAsia="Calibri" w:hAnsi="Times New Roman" w:cs="Times New Roman"/>
          <w:sz w:val="24"/>
          <w:szCs w:val="24"/>
        </w:rPr>
        <w:t>Intencją</w:t>
      </w:r>
      <w:r w:rsidR="001F7731" w:rsidRPr="00A720EE">
        <w:rPr>
          <w:rFonts w:ascii="Times New Roman" w:eastAsia="Calibri" w:hAnsi="Times New Roman" w:cs="Times New Roman"/>
          <w:sz w:val="24"/>
          <w:szCs w:val="24"/>
        </w:rPr>
        <w:t xml:space="preserve"> </w:t>
      </w:r>
      <w:r w:rsidR="00CF2D0B" w:rsidRPr="00A720EE">
        <w:rPr>
          <w:rFonts w:ascii="Times New Roman" w:eastAsia="Calibri" w:hAnsi="Times New Roman" w:cs="Times New Roman"/>
          <w:sz w:val="24"/>
          <w:szCs w:val="24"/>
        </w:rPr>
        <w:t xml:space="preserve">regulacji w tym zakresie było nałożenie </w:t>
      </w:r>
      <w:r w:rsidR="001F7731" w:rsidRPr="00A720EE">
        <w:rPr>
          <w:rFonts w:ascii="Times New Roman" w:eastAsia="Calibri" w:hAnsi="Times New Roman" w:cs="Times New Roman"/>
          <w:sz w:val="24"/>
          <w:szCs w:val="24"/>
        </w:rPr>
        <w:t>na ministra właściwego do spraw finansów publicznych obowiązk</w:t>
      </w:r>
      <w:r w:rsidR="00CF2D0B" w:rsidRPr="00A720EE">
        <w:rPr>
          <w:rFonts w:ascii="Times New Roman" w:eastAsia="Calibri" w:hAnsi="Times New Roman" w:cs="Times New Roman"/>
          <w:sz w:val="24"/>
          <w:szCs w:val="24"/>
        </w:rPr>
        <w:t>u</w:t>
      </w:r>
      <w:r w:rsidR="001F7731" w:rsidRPr="00A720EE">
        <w:rPr>
          <w:rFonts w:ascii="Times New Roman" w:eastAsia="Calibri" w:hAnsi="Times New Roman" w:cs="Times New Roman"/>
          <w:sz w:val="24"/>
          <w:szCs w:val="24"/>
        </w:rPr>
        <w:t xml:space="preserve"> udostępni</w:t>
      </w:r>
      <w:r w:rsidR="00CF2D0B" w:rsidRPr="00A720EE">
        <w:rPr>
          <w:rFonts w:ascii="Times New Roman" w:eastAsia="Calibri" w:hAnsi="Times New Roman" w:cs="Times New Roman"/>
          <w:sz w:val="24"/>
          <w:szCs w:val="24"/>
        </w:rPr>
        <w:t>a</w:t>
      </w:r>
      <w:r w:rsidR="001F7731" w:rsidRPr="00A720EE">
        <w:rPr>
          <w:rFonts w:ascii="Times New Roman" w:eastAsia="Calibri" w:hAnsi="Times New Roman" w:cs="Times New Roman"/>
          <w:sz w:val="24"/>
          <w:szCs w:val="24"/>
        </w:rPr>
        <w:t>nia wizualizacji wzoru dokumentu elektronicznego, a</w:t>
      </w:r>
      <w:r w:rsidR="0005593F" w:rsidRPr="00A720EE">
        <w:rPr>
          <w:rFonts w:ascii="Times New Roman" w:eastAsia="Calibri" w:hAnsi="Times New Roman" w:cs="Times New Roman"/>
          <w:sz w:val="24"/>
          <w:szCs w:val="24"/>
        </w:rPr>
        <w:t> </w:t>
      </w:r>
      <w:r w:rsidR="001F7731" w:rsidRPr="00A720EE">
        <w:rPr>
          <w:rFonts w:ascii="Times New Roman" w:eastAsia="Calibri" w:hAnsi="Times New Roman" w:cs="Times New Roman"/>
          <w:sz w:val="24"/>
          <w:szCs w:val="24"/>
        </w:rPr>
        <w:t>nie</w:t>
      </w:r>
      <w:r w:rsidR="0005593F" w:rsidRPr="00A720EE">
        <w:rPr>
          <w:rFonts w:ascii="Times New Roman" w:eastAsia="Calibri" w:hAnsi="Times New Roman" w:cs="Times New Roman"/>
          <w:sz w:val="24"/>
          <w:szCs w:val="24"/>
        </w:rPr>
        <w:t> </w:t>
      </w:r>
      <w:r w:rsidR="001F7731" w:rsidRPr="00A720EE">
        <w:rPr>
          <w:rFonts w:ascii="Times New Roman" w:eastAsia="Calibri" w:hAnsi="Times New Roman" w:cs="Times New Roman"/>
          <w:sz w:val="24"/>
          <w:szCs w:val="24"/>
        </w:rPr>
        <w:t xml:space="preserve">samego wzoru tego dokumentu w znaczeniu jakie nadają </w:t>
      </w:r>
      <w:r w:rsidR="00CF2D0B" w:rsidRPr="00A720EE">
        <w:rPr>
          <w:rFonts w:ascii="Times New Roman" w:eastAsia="Calibri" w:hAnsi="Times New Roman" w:cs="Times New Roman"/>
          <w:sz w:val="24"/>
          <w:szCs w:val="24"/>
        </w:rPr>
        <w:t xml:space="preserve">mu </w:t>
      </w:r>
      <w:r w:rsidR="001F7731" w:rsidRPr="00A720EE">
        <w:rPr>
          <w:rFonts w:ascii="Times New Roman" w:eastAsia="Calibri" w:hAnsi="Times New Roman" w:cs="Times New Roman"/>
          <w:sz w:val="24"/>
          <w:szCs w:val="24"/>
        </w:rPr>
        <w:t>przepisy ustawy z 17 lutego 2005 r. o informatyzacji działalności podmiotów realizujących zadania publiczne</w:t>
      </w:r>
      <w:r w:rsidR="00CF2D0B" w:rsidRPr="00A720EE">
        <w:rPr>
          <w:rStyle w:val="Odwoanieprzypisudolnego"/>
          <w:rFonts w:ascii="Times New Roman" w:eastAsia="Calibri" w:hAnsi="Times New Roman"/>
          <w:sz w:val="24"/>
          <w:szCs w:val="24"/>
        </w:rPr>
        <w:footnoteReference w:id="12"/>
      </w:r>
      <w:r w:rsidR="001F7731" w:rsidRPr="00A720EE">
        <w:rPr>
          <w:rFonts w:ascii="Times New Roman" w:eastAsia="Calibri" w:hAnsi="Times New Roman" w:cs="Times New Roman"/>
          <w:sz w:val="24"/>
          <w:szCs w:val="24"/>
        </w:rPr>
        <w:t>. Zgodnie bowiem z obowiązującymi przepisami wzór dokumentu elektronicznego jest umieszczany przez ministra właściwego do spraw informatyzacji w Centralnym Repozytorium Wzorów Dokumentów Elektronicznych</w:t>
      </w:r>
      <w:r w:rsidR="00CF2D0B" w:rsidRPr="00A720EE">
        <w:rPr>
          <w:rFonts w:ascii="Times New Roman" w:eastAsia="Calibri" w:hAnsi="Times New Roman" w:cs="Times New Roman"/>
          <w:sz w:val="24"/>
          <w:szCs w:val="24"/>
        </w:rPr>
        <w:t xml:space="preserve"> (CRWDE)</w:t>
      </w:r>
      <w:r w:rsidR="001F7731" w:rsidRPr="00A720EE">
        <w:rPr>
          <w:rFonts w:ascii="Times New Roman" w:eastAsia="Calibri" w:hAnsi="Times New Roman" w:cs="Times New Roman"/>
          <w:sz w:val="24"/>
          <w:szCs w:val="24"/>
        </w:rPr>
        <w:t xml:space="preserve">. </w:t>
      </w:r>
      <w:r w:rsidR="00CF2D0B" w:rsidRPr="00A720EE">
        <w:rPr>
          <w:rFonts w:ascii="Times New Roman" w:eastAsia="Calibri" w:hAnsi="Times New Roman" w:cs="Times New Roman"/>
          <w:sz w:val="24"/>
          <w:szCs w:val="24"/>
        </w:rPr>
        <w:t>Zatem, u</w:t>
      </w:r>
      <w:r w:rsidR="001F7731" w:rsidRPr="00A720EE">
        <w:rPr>
          <w:rFonts w:ascii="Times New Roman" w:eastAsia="Calibri" w:hAnsi="Times New Roman" w:cs="Times New Roman"/>
          <w:sz w:val="24"/>
          <w:szCs w:val="24"/>
        </w:rPr>
        <w:t>dostępnianie tego samego wzoru dokumentu elektronicznego przez ministra właściwego do spraw finansów publicznych nie znajduje uzasadnienia na gru</w:t>
      </w:r>
      <w:r w:rsidRPr="00A720EE">
        <w:rPr>
          <w:rFonts w:ascii="Times New Roman" w:eastAsia="Calibri" w:hAnsi="Times New Roman" w:cs="Times New Roman"/>
          <w:sz w:val="24"/>
          <w:szCs w:val="24"/>
        </w:rPr>
        <w:t xml:space="preserve">ncie </w:t>
      </w:r>
      <w:r w:rsidR="00CF2D0B" w:rsidRPr="00A720EE">
        <w:rPr>
          <w:rFonts w:ascii="Times New Roman" w:eastAsia="Calibri" w:hAnsi="Times New Roman" w:cs="Times New Roman"/>
          <w:sz w:val="24"/>
          <w:szCs w:val="24"/>
        </w:rPr>
        <w:t>funkcjonujących regulacji</w:t>
      </w:r>
      <w:r w:rsidRPr="00A720EE">
        <w:rPr>
          <w:rFonts w:ascii="Times New Roman" w:eastAsia="Calibri" w:hAnsi="Times New Roman" w:cs="Times New Roman"/>
          <w:sz w:val="24"/>
          <w:szCs w:val="24"/>
        </w:rPr>
        <w:t>.</w:t>
      </w:r>
    </w:p>
    <w:p w14:paraId="1F18BB53" w14:textId="0083AC84" w:rsidR="001F7731" w:rsidRPr="00A720EE" w:rsidRDefault="00FF1FC4" w:rsidP="00385703">
      <w:pPr>
        <w:spacing w:line="256" w:lineRule="auto"/>
        <w:jc w:val="both"/>
        <w:rPr>
          <w:rFonts w:ascii="Times New Roman" w:eastAsia="Calibri" w:hAnsi="Times New Roman" w:cs="Times New Roman"/>
          <w:sz w:val="24"/>
          <w:szCs w:val="24"/>
        </w:rPr>
      </w:pPr>
      <w:r w:rsidRPr="00A720EE">
        <w:rPr>
          <w:rFonts w:ascii="Times New Roman" w:eastAsiaTheme="minorEastAsia" w:hAnsi="Times New Roman" w:cs="Times New Roman"/>
          <w:sz w:val="24"/>
          <w:szCs w:val="24"/>
          <w:lang w:eastAsia="pl-PL"/>
        </w:rPr>
        <w:lastRenderedPageBreak/>
        <w:t xml:space="preserve">W </w:t>
      </w:r>
      <w:r w:rsidR="00CF2D0B" w:rsidRPr="00A720EE">
        <w:rPr>
          <w:rFonts w:ascii="Times New Roman" w:eastAsiaTheme="minorEastAsia" w:hAnsi="Times New Roman" w:cs="Times New Roman"/>
          <w:sz w:val="24"/>
          <w:szCs w:val="24"/>
          <w:lang w:eastAsia="pl-PL"/>
        </w:rPr>
        <w:t xml:space="preserve">następstwie </w:t>
      </w:r>
      <w:r w:rsidR="001F7731" w:rsidRPr="00A720EE">
        <w:rPr>
          <w:rFonts w:ascii="Times New Roman" w:eastAsiaTheme="minorEastAsia" w:hAnsi="Times New Roman" w:cs="Times New Roman"/>
          <w:sz w:val="24"/>
          <w:szCs w:val="24"/>
          <w:lang w:eastAsia="pl-PL"/>
        </w:rPr>
        <w:t>zmian</w:t>
      </w:r>
      <w:r w:rsidR="00CF2D0B" w:rsidRPr="00A720EE">
        <w:rPr>
          <w:rFonts w:ascii="Times New Roman" w:eastAsiaTheme="minorEastAsia" w:hAnsi="Times New Roman" w:cs="Times New Roman"/>
          <w:sz w:val="24"/>
          <w:szCs w:val="24"/>
          <w:lang w:eastAsia="pl-PL"/>
        </w:rPr>
        <w:t>y</w:t>
      </w:r>
      <w:r w:rsidR="001F7731" w:rsidRPr="00A720EE">
        <w:rPr>
          <w:rFonts w:ascii="Times New Roman" w:eastAsiaTheme="minorEastAsia" w:hAnsi="Times New Roman" w:cs="Times New Roman"/>
          <w:sz w:val="24"/>
          <w:szCs w:val="24"/>
          <w:lang w:eastAsia="pl-PL"/>
        </w:rPr>
        <w:t xml:space="preserve"> nie będzie budziło wątpliwości, że obowiązek udostępniania deklaracji jest ograniczony do ich wizualizacji a nie </w:t>
      </w:r>
      <w:proofErr w:type="spellStart"/>
      <w:r w:rsidR="001F7731" w:rsidRPr="00A720EE">
        <w:rPr>
          <w:rFonts w:ascii="Times New Roman" w:eastAsiaTheme="minorEastAsia" w:hAnsi="Times New Roman" w:cs="Times New Roman"/>
          <w:sz w:val="24"/>
          <w:szCs w:val="24"/>
          <w:lang w:eastAsia="pl-PL"/>
        </w:rPr>
        <w:t>schemy</w:t>
      </w:r>
      <w:proofErr w:type="spellEnd"/>
      <w:r w:rsidR="001F7731" w:rsidRPr="00A720EE">
        <w:rPr>
          <w:rFonts w:ascii="Times New Roman" w:eastAsiaTheme="minorEastAsia" w:hAnsi="Times New Roman" w:cs="Times New Roman"/>
          <w:sz w:val="24"/>
          <w:szCs w:val="24"/>
          <w:lang w:eastAsia="pl-PL"/>
        </w:rPr>
        <w:t xml:space="preserve">, która jest udostępniania przez Ministra Cyfryzacji w CRWDE. </w:t>
      </w:r>
    </w:p>
    <w:p w14:paraId="12D72D9B" w14:textId="2633A83B" w:rsidR="005B280F" w:rsidRPr="00A720EE" w:rsidRDefault="0098330B" w:rsidP="003F1B80">
      <w:pPr>
        <w:widowControl w:val="0"/>
        <w:autoSpaceDE w:val="0"/>
        <w:autoSpaceDN w:val="0"/>
        <w:adjustRightInd w:val="0"/>
        <w:spacing w:before="24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1</w:t>
      </w:r>
      <w:r w:rsidR="006020D7" w:rsidRPr="00A720EE">
        <w:rPr>
          <w:rFonts w:ascii="Times New Roman" w:eastAsiaTheme="minorEastAsia" w:hAnsi="Times New Roman" w:cs="Times New Roman"/>
          <w:b/>
          <w:color w:val="000000" w:themeColor="text1"/>
          <w:sz w:val="24"/>
          <w:szCs w:val="24"/>
          <w:lang w:eastAsia="pl-PL"/>
        </w:rPr>
        <w:t>8</w:t>
      </w:r>
      <w:r w:rsidRPr="00A720EE">
        <w:rPr>
          <w:rFonts w:ascii="Times New Roman" w:eastAsiaTheme="minorEastAsia" w:hAnsi="Times New Roman" w:cs="Times New Roman"/>
          <w:b/>
          <w:color w:val="000000" w:themeColor="text1"/>
          <w:sz w:val="24"/>
          <w:szCs w:val="24"/>
          <w:lang w:eastAsia="pl-PL"/>
        </w:rPr>
        <w:t xml:space="preserve">) </w:t>
      </w:r>
      <w:r w:rsidR="00F504AC" w:rsidRPr="00A720EE">
        <w:rPr>
          <w:rFonts w:ascii="Times New Roman" w:eastAsiaTheme="minorEastAsia" w:hAnsi="Times New Roman" w:cs="Times New Roman"/>
          <w:b/>
          <w:color w:val="000000" w:themeColor="text1"/>
          <w:sz w:val="24"/>
          <w:szCs w:val="24"/>
          <w:lang w:eastAsia="pl-PL"/>
        </w:rPr>
        <w:t>Zmiana przepisu dotyczącego</w:t>
      </w:r>
      <w:r w:rsidRPr="00A720EE">
        <w:rPr>
          <w:rFonts w:ascii="Times New Roman" w:eastAsiaTheme="minorEastAsia" w:hAnsi="Times New Roman" w:cs="Times New Roman"/>
          <w:b/>
          <w:color w:val="000000" w:themeColor="text1"/>
          <w:sz w:val="24"/>
          <w:szCs w:val="24"/>
          <w:lang w:eastAsia="pl-PL"/>
        </w:rPr>
        <w:t xml:space="preserve"> obowiązku przekazywania do właściwego dla podatnika naczelnika urzędu skarbowego informacji o umowach z nierezydentami, w przypadku obowiązku składania informacji o cenach transferowych (Ordynacja podatkowa)</w:t>
      </w:r>
    </w:p>
    <w:p w14:paraId="63FD4D9A" w14:textId="77777777" w:rsidR="00F504AC" w:rsidRPr="00A720EE" w:rsidRDefault="00F504AC" w:rsidP="00F504A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w art. 82 § 1c Ordynacji podatkowej </w:t>
      </w:r>
      <w:r w:rsidR="00861B92" w:rsidRPr="00A720EE">
        <w:rPr>
          <w:rFonts w:ascii="Times New Roman" w:eastAsiaTheme="minorEastAsia" w:hAnsi="Times New Roman" w:cs="Times New Roman"/>
          <w:sz w:val="24"/>
          <w:szCs w:val="24"/>
          <w:lang w:eastAsia="pl-PL"/>
        </w:rPr>
        <w:t>ma charakter systemowy i dodaje wyjątek</w:t>
      </w:r>
      <w:r w:rsidR="00B1485D" w:rsidRPr="00A720EE">
        <w:rPr>
          <w:rFonts w:ascii="Times New Roman" w:eastAsiaTheme="minorEastAsia" w:hAnsi="Times New Roman" w:cs="Times New Roman"/>
          <w:sz w:val="24"/>
          <w:szCs w:val="24"/>
          <w:lang w:eastAsia="pl-PL"/>
        </w:rPr>
        <w:t xml:space="preserve">, zgodnie z którym podmiot w przypadku transakcji kontrolowanych z tzw. rajami podatkowymi, o których mowa w art. 23w ust. 2a ustawy PIT oraz art. 11k ust. 2a ustawy CIT, będzie zobowiązany, po spełnieniu warunków określonych w Ordynacji podatkowej oraz ustawach o podatkach dochodowych, do złożenia informacji ORD-U oraz informacji TPR. </w:t>
      </w:r>
    </w:p>
    <w:p w14:paraId="0796F2ED" w14:textId="0E8F5A25" w:rsidR="00CF6AD9" w:rsidRPr="00A720EE" w:rsidRDefault="006020D7" w:rsidP="003F1B80">
      <w:pPr>
        <w:widowControl w:val="0"/>
        <w:autoSpaceDE w:val="0"/>
        <w:autoSpaceDN w:val="0"/>
        <w:adjustRightInd w:val="0"/>
        <w:spacing w:before="240"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
          <w:sz w:val="24"/>
          <w:szCs w:val="24"/>
          <w:lang w:eastAsia="pl-PL"/>
        </w:rPr>
        <w:t>19</w:t>
      </w:r>
      <w:r w:rsidR="0075384F" w:rsidRPr="00A720EE">
        <w:rPr>
          <w:rFonts w:ascii="Times New Roman" w:eastAsiaTheme="minorEastAsia" w:hAnsi="Times New Roman" w:cs="Times New Roman"/>
          <w:b/>
          <w:sz w:val="24"/>
          <w:szCs w:val="24"/>
          <w:lang w:eastAsia="pl-PL"/>
        </w:rPr>
        <w:t xml:space="preserve">) </w:t>
      </w:r>
      <w:r w:rsidR="0067276D" w:rsidRPr="00A720EE">
        <w:rPr>
          <w:rFonts w:ascii="Times New Roman" w:eastAsiaTheme="minorEastAsia" w:hAnsi="Times New Roman" w:cs="Times New Roman"/>
          <w:b/>
          <w:sz w:val="24"/>
          <w:szCs w:val="24"/>
          <w:lang w:eastAsia="pl-PL"/>
        </w:rPr>
        <w:t>Zmiana przepisów ustawy o świadczeniach opieki zdrowotne</w:t>
      </w:r>
      <w:r w:rsidR="005D29E4" w:rsidRPr="00A720EE">
        <w:rPr>
          <w:rFonts w:ascii="Times New Roman" w:eastAsiaTheme="minorEastAsia" w:hAnsi="Times New Roman" w:cs="Times New Roman"/>
          <w:b/>
          <w:sz w:val="24"/>
          <w:szCs w:val="24"/>
          <w:lang w:eastAsia="pl-PL"/>
        </w:rPr>
        <w:t>j</w:t>
      </w:r>
      <w:r w:rsidR="00096A5F" w:rsidRPr="00A720EE">
        <w:rPr>
          <w:rFonts w:ascii="Times New Roman" w:eastAsiaTheme="minorEastAsia" w:hAnsi="Times New Roman" w:cs="Times New Roman"/>
          <w:b/>
          <w:sz w:val="24"/>
          <w:szCs w:val="24"/>
          <w:lang w:eastAsia="pl-PL"/>
        </w:rPr>
        <w:t xml:space="preserve"> (ustawa o świadczeniach opieki zdrowotnej)</w:t>
      </w:r>
    </w:p>
    <w:p w14:paraId="44F229BE" w14:textId="77777777" w:rsidR="005C2A9E" w:rsidRPr="00A720EE" w:rsidRDefault="005C2A9E" w:rsidP="00CD3718">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Zmiana art. 81 ust. 2zc ww. ustawy, polega na wprowadzeniu dla przedsiębiorców stosujących opodatkowanie uzyskiwanych z działalności gospodarczej przychodów w formie ryczałtu od przychodów ewidencjonowanych - zgodnie z przepisami ustawy o ryczałcie - adekwatnej podstawy wymiaru składki ustalanej z urzędu przez Zakład Ubezpieczeń Społecznych (ZUS) w sytuacji, gdy ubezpieczony przedsiębiorca nie przekaże do ZUS informacji o miesięcznym przychodzie z działalności gospodarczej. </w:t>
      </w:r>
    </w:p>
    <w:p w14:paraId="193827FB" w14:textId="77777777" w:rsidR="005C2A9E" w:rsidRPr="00A720EE" w:rsidRDefault="005C2A9E" w:rsidP="00CD3718">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W obowiązującym stanie prawnym art. 81 ust. 2zc ustawy o świadczeniach opieki zdrowotnej przewiduje, że dla przedsiębiorcy rozliczającego się w podatku dochodowym od osób fizycznych w formie zryczałtowanej, podstawą wymiaru miesięcznej składki zdrowotnej w wyżej wskazanej sytuacji jest kwota minimalnego wynagrodzenia obowiązującego w dniu 1 stycznia danego roku. Tymczasem, w myśl 81 ust. 2f ustawy o świadczeniach opieki zdrowotnej dla tej kategorii ubezpieczonych minimalną podstawę wymiaru składki zdrowotnej stanowi kwota odpowiadająca 60% przeciętnego miesięcznego wynagrodzenia w sektorze przedsiębiorstw w czwartym kwartale roku poprzedniego, włącznie z wypłatami z zysku, ogłaszanego przez Prezesa Głównego Urzędu Statystycznego w Dzienniku Urzędowym Rzeczypospolitej Polskiej „Monitor Polski”, jeżeli przychody z działalności gospodarczej w rozumieniu ustawy o ryczałcie, osiągnięte od początku roku kalendarzowego, nie przekroczyły kwoty 60.000 zł. </w:t>
      </w:r>
    </w:p>
    <w:p w14:paraId="1A628660" w14:textId="55EB0664" w:rsidR="005C2A9E" w:rsidRPr="00A720EE" w:rsidRDefault="005C2A9E" w:rsidP="00CD3718">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W obowiązującym stanie prawnym zachodzi zatem niespójność regulacyjna, która może doprowadzić do niekorzystnych dla przedsiębiorcy konsekwencji. W sytuacji bowiem, gdy z powodu przeoczenia przedsiębiorca rozliczający się w podatku dochodowym od osób fizycznych w formie zryczałtowanej nie przekaże do ZUS informacji o przychodzie, to Zakład z urzędu ustali składkę miesięczną od kwoty minimalnego wynagrodzenia, a nie kwoty przeciętnego wynagrodzenia, co w rozliczeniu rocznym wygeneruje różnicą konieczną do pokrycia w drodze dopłaty, o której mowa w art. 81 ust. 2j ustawy o świadczeniach opieki zdrowotnej. Projektowana zmiana usuwa to ryzyko oraz służy wprowadzeniu spójności </w:t>
      </w:r>
      <w:r w:rsidRPr="00A720EE">
        <w:rPr>
          <w:rFonts w:ascii="Times New Roman" w:hAnsi="Times New Roman" w:cs="Times New Roman"/>
          <w:sz w:val="24"/>
          <w:szCs w:val="24"/>
        </w:rPr>
        <w:lastRenderedPageBreak/>
        <w:t xml:space="preserve">regulacji dotyczących miesięcznej składki zdrowotnej przedsiębiorców rozliczających się w podatku dochodowym od osób fizycznych w formie zryczałtowanej. </w:t>
      </w:r>
    </w:p>
    <w:p w14:paraId="50C9E192" w14:textId="10B4BF2C" w:rsidR="007B03FB" w:rsidRPr="00A720EE" w:rsidRDefault="000A2925" w:rsidP="003F1B80">
      <w:pPr>
        <w:spacing w:before="240" w:line="276" w:lineRule="auto"/>
        <w:jc w:val="both"/>
        <w:rPr>
          <w:rFonts w:ascii="Times New Roman" w:hAnsi="Times New Roman" w:cs="Times New Roman"/>
          <w:sz w:val="24"/>
          <w:szCs w:val="24"/>
        </w:rPr>
      </w:pPr>
      <w:r w:rsidRPr="00A720EE">
        <w:rPr>
          <w:rFonts w:ascii="Times New Roman" w:hAnsi="Times New Roman" w:cs="Times New Roman"/>
          <w:b/>
          <w:sz w:val="24"/>
          <w:szCs w:val="24"/>
        </w:rPr>
        <w:t>2</w:t>
      </w:r>
      <w:r w:rsidR="006020D7" w:rsidRPr="00A720EE">
        <w:rPr>
          <w:rFonts w:ascii="Times New Roman" w:hAnsi="Times New Roman" w:cs="Times New Roman"/>
          <w:b/>
          <w:sz w:val="24"/>
          <w:szCs w:val="24"/>
        </w:rPr>
        <w:t>0</w:t>
      </w:r>
      <w:r w:rsidR="007B03FB" w:rsidRPr="00A720EE">
        <w:rPr>
          <w:rFonts w:ascii="Times New Roman" w:hAnsi="Times New Roman" w:cs="Times New Roman"/>
          <w:b/>
          <w:sz w:val="24"/>
          <w:szCs w:val="24"/>
        </w:rPr>
        <w:t>) Doprecyzowanie przepisów dotyczących procedury rozliczania strat przez spółki tworzące PGK</w:t>
      </w:r>
      <w:r w:rsidR="00096A5F" w:rsidRPr="00A720EE">
        <w:rPr>
          <w:rFonts w:ascii="Times New Roman" w:hAnsi="Times New Roman" w:cs="Times New Roman"/>
          <w:b/>
          <w:sz w:val="24"/>
          <w:szCs w:val="24"/>
        </w:rPr>
        <w:t xml:space="preserve"> (</w:t>
      </w:r>
      <w:r w:rsidR="007B03FB" w:rsidRPr="00A720EE">
        <w:rPr>
          <w:rFonts w:ascii="Times New Roman" w:hAnsi="Times New Roman" w:cs="Times New Roman"/>
          <w:b/>
          <w:sz w:val="24"/>
          <w:szCs w:val="24"/>
        </w:rPr>
        <w:t>ustawa z 29 października 2021 r.)</w:t>
      </w:r>
    </w:p>
    <w:p w14:paraId="6BDF8FED" w14:textId="77777777" w:rsidR="007B03FB" w:rsidRPr="00A720EE" w:rsidRDefault="007B03FB"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Do końca 2021 r. podatkowej grupie kapitałowej nie przysługiwało prawo do pomniejszenia dochodu o stratę poniesioną przez spółkę ją tworzącą, przed przystąpieniem do PGK. Strata taka mogła być rozliczona dopiero po upływie obowiązywania umowy lub w przypadku utraty przez PGK statusu podatnika, w ciągu 5 lat podatkowych spółki, bez uwzględnienia okresu współtworzenia PGK. Potwierdza to interpretacja ogólna Ministra Finansów, Funduszy i Polityki Regionalnej</w:t>
      </w:r>
      <w:r w:rsidRPr="00A720EE">
        <w:rPr>
          <w:rFonts w:ascii="Times New Roman" w:hAnsi="Times New Roman" w:cs="Times New Roman"/>
          <w:sz w:val="24"/>
          <w:szCs w:val="24"/>
          <w:vertAlign w:val="superscript"/>
        </w:rPr>
        <w:footnoteReference w:id="13"/>
      </w:r>
      <w:r w:rsidRPr="00A720EE">
        <w:rPr>
          <w:rFonts w:ascii="Times New Roman" w:hAnsi="Times New Roman" w:cs="Times New Roman"/>
          <w:sz w:val="24"/>
          <w:szCs w:val="24"/>
        </w:rPr>
        <w:t xml:space="preserve"> wskazująca, że </w:t>
      </w:r>
      <w:r w:rsidRPr="00A720EE">
        <w:rPr>
          <w:rFonts w:ascii="Times New Roman" w:hAnsi="Times New Roman" w:cs="Times New Roman"/>
          <w:i/>
          <w:sz w:val="24"/>
          <w:szCs w:val="24"/>
        </w:rPr>
        <w:t>„(…) bieg pięcioletniego terminu na odliczenie straty poniesionej przez Spółkę przed utworzeniem podatkowej grupy kapitałowej zostaje zawieszony na okres obowiązywania umowy podatkowej grupy kapitałowej(…)”</w:t>
      </w:r>
      <w:r w:rsidRPr="00A720EE">
        <w:rPr>
          <w:rFonts w:ascii="Times New Roman" w:hAnsi="Times New Roman" w:cs="Times New Roman"/>
          <w:sz w:val="24"/>
          <w:szCs w:val="24"/>
        </w:rPr>
        <w:t>.</w:t>
      </w:r>
    </w:p>
    <w:p w14:paraId="7AA17AE5" w14:textId="77777777" w:rsidR="007B03FB" w:rsidRPr="00A720EE" w:rsidRDefault="007B03FB"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Ustawa z 29 października 2021 r. wprowadziła, z mocą obowiązującą od 1 stycznia 2022 r., przepisy przewidujące złagodzenie warunków tworzenia i funkcjonowania podatkowych grup kapitałowych oraz zabezpieczające takie podmioty przed podatkowymi skutkami okresowego spadku zyskowności. Zgodnie z uzasadnieniem </w:t>
      </w:r>
      <w:r w:rsidRPr="00A720EE">
        <w:rPr>
          <w:rFonts w:ascii="Times New Roman" w:hAnsi="Times New Roman" w:cs="Times New Roman"/>
          <w:i/>
          <w:sz w:val="24"/>
          <w:szCs w:val="24"/>
        </w:rPr>
        <w:t>„(…) Zmiany te mają na celu (…) uwzględnienie gospodarczych realiów funkcjonowania przedsiębiorstw i urealnienie dotychczas funkcjonujących warunków decydujących o możliwości uzyskania statusu PGK.”</w:t>
      </w:r>
    </w:p>
    <w:p w14:paraId="1FF49084" w14:textId="77777777" w:rsidR="007B03FB" w:rsidRPr="00A720EE" w:rsidRDefault="007B03FB"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W świetle dodanego art. 7a ust. 4 ustawy CIT przyznano PGK prawo do obniżenia dochodu ze źródła przychodów takiej grupy osiągniętego za rok podatkowy, o stratę z tego źródła przychodów poniesioną w okresie przed utworzeniem grupy przez spółkę tworzącą tę grupę, przy jednoczesnym spełnieniu następujących warunków:</w:t>
      </w:r>
    </w:p>
    <w:p w14:paraId="0458CC08" w14:textId="77777777" w:rsidR="007B03FB" w:rsidRPr="00A720EE" w:rsidRDefault="007B03FB"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1) strata ta podlegałaby odliczeniu od dochodu tej spółki na podstawie art. 7 ust. 5 ustawy CIT, gdyby spółka ta nie weszła w skład PGK;</w:t>
      </w:r>
    </w:p>
    <w:p w14:paraId="5D980B99" w14:textId="77777777" w:rsidR="007B03FB" w:rsidRPr="00A720EE" w:rsidRDefault="007B03FB"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2) strata została poniesiona przez spółkę nie wcześniej niż w piątym roku podatkowym, poprzedzającym rok PGK, za który dokonuje się tego obniżenia; </w:t>
      </w:r>
    </w:p>
    <w:p w14:paraId="2D01CB5E" w14:textId="77777777" w:rsidR="007B03FB" w:rsidRPr="00A720EE" w:rsidRDefault="007B03FB"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3) strata nie została odliczona od dochodu spółki na podstawie art. 7 ust. 5; </w:t>
      </w:r>
    </w:p>
    <w:p w14:paraId="38E3A65F" w14:textId="77777777" w:rsidR="007B03FB" w:rsidRPr="00A720EE" w:rsidRDefault="007B03FB"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4) spółka osiągnęła w roku podatkowym, za który dokonuje się tego obniżenia, dochód z tego źródła przychodów, z którego poniesiona została strata.</w:t>
      </w:r>
    </w:p>
    <w:p w14:paraId="10726075" w14:textId="5B94EC3F" w:rsidR="007B03FB" w:rsidRPr="00A720EE" w:rsidRDefault="007B03FB" w:rsidP="000151A2">
      <w:pPr>
        <w:spacing w:before="120"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W kontekście przesłanki z punktu 2 wymienionej regulacji oraz w świetle dodanego art. 7 ust. 6a ustawy CIT, powstała wątpliwość odnośnie sytuacji spółek posiadających nierozliczone, na dzień 31 grudnia 2021 r., straty, poniesione wcześniej niż 5 lat przed wprowadzeniem wspomnianych regulacji (1 stycznia 2022 r.). Spowodowało to w szczególności pogorszenie sytuacji prawno-podatkowej części spółek wchodzących w skład PGK, posiadających </w:t>
      </w:r>
      <w:r w:rsidRPr="00A720EE">
        <w:rPr>
          <w:rFonts w:ascii="Times New Roman" w:hAnsi="Times New Roman" w:cs="Times New Roman"/>
          <w:sz w:val="24"/>
          <w:szCs w:val="24"/>
        </w:rPr>
        <w:lastRenderedPageBreak/>
        <w:t>nierozliczone straty np. z 2015 r., co w konsekwencji mogło doprowadzić do nieuzasadnionego różnicowania położenia podmiotów działających w przestrzeni gospodarczej.</w:t>
      </w:r>
    </w:p>
    <w:p w14:paraId="0EEB2918" w14:textId="77777777" w:rsidR="007B03FB" w:rsidRPr="00A720EE" w:rsidRDefault="007B03FB" w:rsidP="000151A2">
      <w:pPr>
        <w:spacing w:before="120"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Wobec przedstawionych uwarunkowań proponowana zmiana ma charakter doprecyzowujący, poprzez wprowadzenie przepisu przejściowego w ustawie z 29 października 2021 r. wskazującego wprost, że nowe regulacje, które weszły w życie 1 stycznia 2022 r. dotyczące rozliczania strat przez spółki tworzące PGK mają zastosowanie do strat poniesionych od tej daty. Oznacza to tym samym, że do strat p</w:t>
      </w:r>
      <w:r w:rsidR="006C5444" w:rsidRPr="00A720EE">
        <w:rPr>
          <w:rFonts w:ascii="Times New Roman" w:hAnsi="Times New Roman" w:cs="Times New Roman"/>
          <w:sz w:val="24"/>
          <w:szCs w:val="24"/>
        </w:rPr>
        <w:t>owstałych przed 1 stycznia 2022 </w:t>
      </w:r>
      <w:r w:rsidRPr="00A720EE">
        <w:rPr>
          <w:rFonts w:ascii="Times New Roman" w:hAnsi="Times New Roman" w:cs="Times New Roman"/>
          <w:sz w:val="24"/>
          <w:szCs w:val="24"/>
        </w:rPr>
        <w:t>r. stosuje się przepisy dotychczasowe.</w:t>
      </w:r>
      <w:r w:rsidR="006C5444" w:rsidRPr="00A720EE">
        <w:rPr>
          <w:rFonts w:ascii="Times New Roman" w:hAnsi="Times New Roman" w:cs="Times New Roman"/>
          <w:sz w:val="24"/>
          <w:szCs w:val="24"/>
        </w:rPr>
        <w:t xml:space="preserve"> </w:t>
      </w:r>
    </w:p>
    <w:p w14:paraId="6E944739" w14:textId="5DD628AB" w:rsidR="006C5444" w:rsidRPr="00A720EE" w:rsidRDefault="006C5444" w:rsidP="000151A2">
      <w:pPr>
        <w:autoSpaceDE w:val="0"/>
        <w:autoSpaceDN w:val="0"/>
        <w:adjustRightInd w:val="0"/>
        <w:spacing w:before="120" w:after="120" w:line="276" w:lineRule="auto"/>
        <w:jc w:val="both"/>
        <w:rPr>
          <w:rFonts w:ascii="Times New Roman" w:eastAsia="Lato" w:hAnsi="Times New Roman" w:cs="Times New Roman"/>
          <w:iCs/>
          <w:sz w:val="24"/>
          <w:szCs w:val="24"/>
        </w:rPr>
      </w:pPr>
      <w:r w:rsidRPr="00A720EE">
        <w:rPr>
          <w:rFonts w:ascii="Times New Roman" w:hAnsi="Times New Roman" w:cs="Times New Roman"/>
          <w:sz w:val="24"/>
          <w:szCs w:val="24"/>
        </w:rPr>
        <w:t xml:space="preserve">Proponowana wyżej zmiana ma charakter korzystny dla podatników. </w:t>
      </w:r>
      <w:r w:rsidRPr="00A720EE">
        <w:rPr>
          <w:rFonts w:ascii="Times New Roman" w:eastAsia="Lato" w:hAnsi="Times New Roman" w:cs="Times New Roman"/>
          <w:iCs/>
          <w:sz w:val="24"/>
          <w:szCs w:val="24"/>
        </w:rPr>
        <w:t xml:space="preserve">Do końca 2021 r. PGK nie przysługiwało </w:t>
      </w:r>
      <w:r w:rsidR="00944917" w:rsidRPr="00A720EE">
        <w:rPr>
          <w:rFonts w:ascii="Times New Roman" w:eastAsia="Lato" w:hAnsi="Times New Roman" w:cs="Times New Roman"/>
          <w:iCs/>
          <w:sz w:val="24"/>
          <w:szCs w:val="24"/>
        </w:rPr>
        <w:t xml:space="preserve">bowiem </w:t>
      </w:r>
      <w:r w:rsidRPr="00A720EE">
        <w:rPr>
          <w:rFonts w:ascii="Times New Roman" w:eastAsia="Lato" w:hAnsi="Times New Roman" w:cs="Times New Roman"/>
          <w:iCs/>
          <w:sz w:val="24"/>
          <w:szCs w:val="24"/>
        </w:rPr>
        <w:t>prawo do pomniejszenia dochodu o stratę poniesioną przez spółkę ją tworzącą, przed przystąpieniem do struktury</w:t>
      </w:r>
      <w:r w:rsidR="00944917" w:rsidRPr="00A720EE">
        <w:rPr>
          <w:rFonts w:ascii="Times New Roman" w:eastAsia="Lato" w:hAnsi="Times New Roman" w:cs="Times New Roman"/>
          <w:iCs/>
          <w:sz w:val="24"/>
          <w:szCs w:val="24"/>
        </w:rPr>
        <w:t>,</w:t>
      </w:r>
      <w:r w:rsidRPr="00A720EE">
        <w:rPr>
          <w:rFonts w:ascii="Times New Roman" w:eastAsia="Lato" w:hAnsi="Times New Roman" w:cs="Times New Roman"/>
          <w:iCs/>
          <w:sz w:val="24"/>
          <w:szCs w:val="24"/>
        </w:rPr>
        <w:t xml:space="preserve"> </w:t>
      </w:r>
      <w:r w:rsidR="00944917" w:rsidRPr="00A720EE">
        <w:rPr>
          <w:rFonts w:ascii="Times New Roman" w:eastAsia="Lato" w:hAnsi="Times New Roman" w:cs="Times New Roman"/>
          <w:iCs/>
          <w:sz w:val="24"/>
          <w:szCs w:val="24"/>
        </w:rPr>
        <w:t>j</w:t>
      </w:r>
      <w:r w:rsidRPr="00A720EE">
        <w:rPr>
          <w:rFonts w:ascii="Times New Roman" w:eastAsia="Lato" w:hAnsi="Times New Roman" w:cs="Times New Roman"/>
          <w:iCs/>
          <w:sz w:val="24"/>
          <w:szCs w:val="24"/>
        </w:rPr>
        <w:t>ednakże bieg pięcioletniego terminu rozliczenia straty ulegał zawieszeniu na okres obowiązywania umowy PGK</w:t>
      </w:r>
      <w:r w:rsidR="00944917" w:rsidRPr="00A720EE">
        <w:rPr>
          <w:rFonts w:ascii="Times New Roman" w:eastAsia="Lato" w:hAnsi="Times New Roman" w:cs="Times New Roman"/>
          <w:iCs/>
          <w:sz w:val="24"/>
          <w:szCs w:val="24"/>
        </w:rPr>
        <w:t>. T</w:t>
      </w:r>
      <w:r w:rsidRPr="00A720EE">
        <w:rPr>
          <w:rFonts w:ascii="Times New Roman" w:eastAsia="Lato" w:hAnsi="Times New Roman" w:cs="Times New Roman"/>
          <w:iCs/>
          <w:sz w:val="24"/>
          <w:szCs w:val="24"/>
        </w:rPr>
        <w:t xml:space="preserve">ermin rozliczenia straty mógł być zatem znacznie wydłużony. </w:t>
      </w:r>
    </w:p>
    <w:p w14:paraId="497D36D0" w14:textId="5127D102" w:rsidR="006C5444" w:rsidRPr="00A720EE" w:rsidRDefault="006C5444" w:rsidP="000151A2">
      <w:pPr>
        <w:autoSpaceDE w:val="0"/>
        <w:autoSpaceDN w:val="0"/>
        <w:adjustRightInd w:val="0"/>
        <w:spacing w:before="120" w:after="120" w:line="276" w:lineRule="auto"/>
        <w:jc w:val="both"/>
        <w:rPr>
          <w:rFonts w:ascii="Times New Roman" w:eastAsia="Lato" w:hAnsi="Times New Roman" w:cs="Times New Roman"/>
          <w:iCs/>
          <w:sz w:val="24"/>
          <w:szCs w:val="24"/>
        </w:rPr>
      </w:pPr>
      <w:r w:rsidRPr="00A720EE">
        <w:rPr>
          <w:rFonts w:ascii="Times New Roman" w:eastAsia="Lato" w:hAnsi="Times New Roman" w:cs="Times New Roman"/>
          <w:iCs/>
          <w:sz w:val="24"/>
          <w:szCs w:val="24"/>
        </w:rPr>
        <w:t xml:space="preserve">Natomiast od 1 stycznia 2022 r. dochód PGK może, pod pewnymi warunkami, zostać obniżony o stratę z tego źródła przychodów, poniesioną w okresie przed utworzeniem grupy przez spółkę. Spółka tworząca PGK może również rozliczyć stratę podatkową, po upływie obowiązywania umowy PGK lub utraty przez PGK statusu podatnika, jeżeli została ona poniesiona nie wcześniej niż w piątym roku podatkowym spółki poprzedzającym rok, za który dokonuje się tego obniżenia, z tym że okres ten obejmuje również lata podatkowe PGK tworzonej przez tę spółkę. </w:t>
      </w:r>
    </w:p>
    <w:p w14:paraId="63ACB2FC" w14:textId="77777777" w:rsidR="006C5444" w:rsidRPr="00A720EE" w:rsidRDefault="006C5444" w:rsidP="000151A2">
      <w:pPr>
        <w:autoSpaceDE w:val="0"/>
        <w:autoSpaceDN w:val="0"/>
        <w:adjustRightInd w:val="0"/>
        <w:spacing w:before="120" w:after="120" w:line="276" w:lineRule="auto"/>
        <w:jc w:val="both"/>
        <w:rPr>
          <w:rFonts w:ascii="Times New Roman" w:eastAsia="Lato" w:hAnsi="Times New Roman" w:cs="Times New Roman"/>
          <w:iCs/>
          <w:sz w:val="24"/>
          <w:szCs w:val="24"/>
        </w:rPr>
      </w:pPr>
      <w:r w:rsidRPr="00A720EE">
        <w:rPr>
          <w:rFonts w:ascii="Times New Roman" w:eastAsia="Lato" w:hAnsi="Times New Roman" w:cs="Times New Roman"/>
          <w:iCs/>
          <w:sz w:val="24"/>
          <w:szCs w:val="24"/>
        </w:rPr>
        <w:t xml:space="preserve">Dodawany art. 69b do ustawy z 29 października 2021 r. rozstrzyga o zastosowaniu wprowadzonych z dniem 1 stycznia 2022 r. zasad rozliczania strat w spółkach tworzących PGK jedynie do „nowych” strat, powstałych począwszy od roku podatkowego rozpoczynającego się po 31 grudnia 2021 r. </w:t>
      </w:r>
    </w:p>
    <w:p w14:paraId="735B5D30" w14:textId="7F8A283E" w:rsidR="006C5444" w:rsidRPr="00A720EE" w:rsidRDefault="006C5444" w:rsidP="000151A2">
      <w:pPr>
        <w:spacing w:before="120" w:after="120" w:line="276" w:lineRule="auto"/>
        <w:jc w:val="both"/>
        <w:rPr>
          <w:rFonts w:ascii="Times New Roman" w:hAnsi="Times New Roman" w:cs="Times New Roman"/>
          <w:sz w:val="24"/>
          <w:szCs w:val="24"/>
        </w:rPr>
      </w:pPr>
      <w:r w:rsidRPr="00A720EE">
        <w:rPr>
          <w:rFonts w:ascii="Times New Roman" w:eastAsia="Lato" w:hAnsi="Times New Roman" w:cs="Times New Roman"/>
          <w:bCs/>
          <w:iCs/>
          <w:sz w:val="24"/>
          <w:szCs w:val="24"/>
        </w:rPr>
        <w:t>Wprowadzany przepis przejściowy pozwala zatem na niestosowanie rozwiązania obowiązującego od 1 stycznia 2022 r. w przypadku strat sprzed wejścia w życie ustawy z 21</w:t>
      </w:r>
      <w:r w:rsidR="0005593F" w:rsidRPr="00A720EE">
        <w:rPr>
          <w:rFonts w:ascii="Times New Roman" w:eastAsia="Lato" w:hAnsi="Times New Roman" w:cs="Times New Roman"/>
          <w:bCs/>
          <w:iCs/>
          <w:sz w:val="24"/>
          <w:szCs w:val="24"/>
        </w:rPr>
        <w:t> </w:t>
      </w:r>
      <w:r w:rsidRPr="00A720EE">
        <w:rPr>
          <w:rFonts w:ascii="Times New Roman" w:eastAsia="Lato" w:hAnsi="Times New Roman" w:cs="Times New Roman"/>
          <w:bCs/>
          <w:iCs/>
          <w:sz w:val="24"/>
          <w:szCs w:val="24"/>
        </w:rPr>
        <w:t>października 2021 r., co oznacza a contrario respektowanie przepisów dotychczasowych (obowiązujących przed 1 stycznia 2022 r.) do strat powstałych przed 1 stycznia 2022 r.</w:t>
      </w:r>
    </w:p>
    <w:p w14:paraId="1312ED02" w14:textId="2C81F8B6" w:rsidR="007B03FB" w:rsidRPr="00A720EE" w:rsidRDefault="007B03FB" w:rsidP="003F1B80">
      <w:pPr>
        <w:spacing w:before="240" w:line="276" w:lineRule="auto"/>
        <w:jc w:val="both"/>
        <w:rPr>
          <w:rFonts w:ascii="Times New Roman" w:hAnsi="Times New Roman" w:cs="Times New Roman"/>
          <w:b/>
          <w:sz w:val="24"/>
          <w:szCs w:val="24"/>
        </w:rPr>
      </w:pPr>
      <w:r w:rsidRPr="00A720EE">
        <w:rPr>
          <w:rFonts w:ascii="Times New Roman" w:hAnsi="Times New Roman" w:cs="Times New Roman"/>
          <w:b/>
          <w:sz w:val="24"/>
          <w:szCs w:val="24"/>
        </w:rPr>
        <w:t>2</w:t>
      </w:r>
      <w:r w:rsidR="006020D7" w:rsidRPr="00A720EE">
        <w:rPr>
          <w:rFonts w:ascii="Times New Roman" w:hAnsi="Times New Roman" w:cs="Times New Roman"/>
          <w:b/>
          <w:sz w:val="24"/>
          <w:szCs w:val="24"/>
        </w:rPr>
        <w:t>1</w:t>
      </w:r>
      <w:r w:rsidRPr="00A720EE">
        <w:rPr>
          <w:rFonts w:ascii="Times New Roman" w:hAnsi="Times New Roman" w:cs="Times New Roman"/>
          <w:b/>
          <w:sz w:val="24"/>
          <w:szCs w:val="24"/>
        </w:rPr>
        <w:t xml:space="preserve">) </w:t>
      </w:r>
      <w:r w:rsidRPr="00A720EE">
        <w:rPr>
          <w:rFonts w:ascii="Times New Roman" w:hAnsi="Times New Roman" w:cs="Times New Roman"/>
          <w:b/>
          <w:bCs/>
          <w:sz w:val="24"/>
          <w:szCs w:val="24"/>
        </w:rPr>
        <w:t>Zmiana porządkująca przepisy ustawy PIT dotyczące oświadczeń i wniosków, jakie podatnicy składają płatnikom w celach</w:t>
      </w:r>
      <w:r w:rsidR="00744FB6" w:rsidRPr="00A720EE">
        <w:rPr>
          <w:rFonts w:ascii="Times New Roman" w:hAnsi="Times New Roman" w:cs="Times New Roman"/>
          <w:b/>
          <w:bCs/>
          <w:sz w:val="24"/>
          <w:szCs w:val="24"/>
        </w:rPr>
        <w:t xml:space="preserve"> poboru zaliczek na podatek</w:t>
      </w:r>
      <w:r w:rsidR="00F428B4" w:rsidRPr="00A720EE">
        <w:rPr>
          <w:rFonts w:ascii="Times New Roman" w:hAnsi="Times New Roman" w:cs="Times New Roman"/>
          <w:b/>
          <w:bCs/>
          <w:sz w:val="24"/>
          <w:szCs w:val="24"/>
        </w:rPr>
        <w:t>, a także podatku przekazywanego na rzecz organizacji pożytku publicznego (</w:t>
      </w:r>
      <w:r w:rsidR="009842E7" w:rsidRPr="00A720EE">
        <w:rPr>
          <w:rFonts w:ascii="Times New Roman" w:hAnsi="Times New Roman" w:cs="Times New Roman"/>
          <w:b/>
          <w:bCs/>
          <w:sz w:val="24"/>
          <w:szCs w:val="24"/>
        </w:rPr>
        <w:t>z związku z podniesieniem kwoty odpisu</w:t>
      </w:r>
      <w:r w:rsidR="00F428B4" w:rsidRPr="00A720EE">
        <w:rPr>
          <w:rFonts w:ascii="Times New Roman" w:hAnsi="Times New Roman" w:cs="Times New Roman"/>
          <w:b/>
          <w:bCs/>
          <w:sz w:val="24"/>
          <w:szCs w:val="24"/>
        </w:rPr>
        <w:t xml:space="preserve"> z 1% do 1,5%</w:t>
      </w:r>
      <w:r w:rsidR="00A90DE6" w:rsidRPr="00A720EE">
        <w:rPr>
          <w:rFonts w:ascii="Times New Roman" w:hAnsi="Times New Roman" w:cs="Times New Roman"/>
          <w:b/>
          <w:bCs/>
          <w:sz w:val="24"/>
          <w:szCs w:val="24"/>
        </w:rPr>
        <w:t xml:space="preserve"> PIT</w:t>
      </w:r>
      <w:r w:rsidR="00F428B4" w:rsidRPr="00A720EE">
        <w:rPr>
          <w:rFonts w:ascii="Times New Roman" w:hAnsi="Times New Roman" w:cs="Times New Roman"/>
          <w:b/>
          <w:bCs/>
          <w:sz w:val="24"/>
          <w:szCs w:val="24"/>
        </w:rPr>
        <w:t>)</w:t>
      </w:r>
      <w:r w:rsidR="00744FB6" w:rsidRPr="00A720EE">
        <w:rPr>
          <w:rFonts w:ascii="Times New Roman" w:hAnsi="Times New Roman" w:cs="Times New Roman"/>
          <w:b/>
          <w:bCs/>
          <w:sz w:val="24"/>
          <w:szCs w:val="24"/>
        </w:rPr>
        <w:t xml:space="preserve"> (</w:t>
      </w:r>
      <w:r w:rsidR="00B24743" w:rsidRPr="00A720EE">
        <w:rPr>
          <w:rFonts w:ascii="Times New Roman" w:hAnsi="Times New Roman" w:cs="Times New Roman"/>
          <w:b/>
          <w:bCs/>
          <w:sz w:val="24"/>
          <w:szCs w:val="24"/>
        </w:rPr>
        <w:t>ustawa z 9 czerwca 2022 r.</w:t>
      </w:r>
      <w:r w:rsidRPr="00A720EE">
        <w:rPr>
          <w:rFonts w:ascii="Times New Roman" w:hAnsi="Times New Roman" w:cs="Times New Roman"/>
          <w:b/>
          <w:bCs/>
          <w:sz w:val="24"/>
          <w:szCs w:val="24"/>
        </w:rPr>
        <w:t>)</w:t>
      </w:r>
    </w:p>
    <w:p w14:paraId="581B0EDC" w14:textId="112F2B99" w:rsidR="007B03FB" w:rsidRPr="00A720EE" w:rsidRDefault="007B03FB" w:rsidP="007B03FB">
      <w:pPr>
        <w:spacing w:line="276" w:lineRule="auto"/>
        <w:jc w:val="both"/>
        <w:rPr>
          <w:rFonts w:ascii="Times New Roman" w:hAnsi="Times New Roman" w:cs="Times New Roman"/>
          <w:bCs/>
          <w:sz w:val="24"/>
          <w:szCs w:val="24"/>
        </w:rPr>
      </w:pPr>
      <w:r w:rsidRPr="00A720EE">
        <w:rPr>
          <w:rFonts w:ascii="Times New Roman" w:hAnsi="Times New Roman" w:cs="Times New Roman"/>
          <w:bCs/>
          <w:sz w:val="24"/>
          <w:szCs w:val="24"/>
        </w:rPr>
        <w:t xml:space="preserve">Zmiana ma na celu dookreślenie, że w zakresie przepisów ustawy PIT dotyczących oświadczeń i wniosków, jakie podatnicy składają płatnikom w celach poboru zaliczek na podatek, wszędzie tam gdzie jest to możliwe, kwestie te będzie regulować norma ogólna zawarta w 31a ustawy PIT. </w:t>
      </w:r>
    </w:p>
    <w:p w14:paraId="21160369" w14:textId="77777777" w:rsidR="007B03FB" w:rsidRPr="00A720EE" w:rsidRDefault="007B03FB" w:rsidP="007B03FB">
      <w:pPr>
        <w:spacing w:line="276" w:lineRule="auto"/>
        <w:jc w:val="both"/>
        <w:rPr>
          <w:rFonts w:ascii="Times New Roman" w:hAnsi="Times New Roman" w:cs="Times New Roman"/>
          <w:bCs/>
          <w:sz w:val="24"/>
          <w:szCs w:val="24"/>
        </w:rPr>
      </w:pPr>
      <w:r w:rsidRPr="00A720EE">
        <w:rPr>
          <w:rFonts w:ascii="Times New Roman" w:hAnsi="Times New Roman" w:cs="Times New Roman"/>
          <w:bCs/>
          <w:sz w:val="24"/>
          <w:szCs w:val="24"/>
        </w:rPr>
        <w:t xml:space="preserve">Proponuje się, aby zakresem wyjątków wymienionych w art. 31a ust. 7 ustawy PIT objęty został również art. 41 ust. 11 ustawy PIT, który dotyczy niestosowania 50% kosztów uzyskania przychodów przez płatników wymienionych w art. 41 ust. 1 ustawy PIT, a także aby wniosek </w:t>
      </w:r>
      <w:r w:rsidRPr="00A720EE">
        <w:rPr>
          <w:rFonts w:ascii="Times New Roman" w:hAnsi="Times New Roman" w:cs="Times New Roman"/>
          <w:bCs/>
          <w:sz w:val="24"/>
          <w:szCs w:val="24"/>
        </w:rPr>
        <w:lastRenderedPageBreak/>
        <w:t xml:space="preserve">ten mógł być złożony według wzoru ustalonego przez ministra finansów (zmiana w art. 45b ust. 1 pkt 3 ustawy PIT).  </w:t>
      </w:r>
    </w:p>
    <w:p w14:paraId="3727E2F1" w14:textId="2AE40720" w:rsidR="000E1DD4" w:rsidRPr="00A720EE" w:rsidRDefault="000E1DD4" w:rsidP="00636299">
      <w:pPr>
        <w:spacing w:line="276" w:lineRule="auto"/>
        <w:jc w:val="both"/>
        <w:rPr>
          <w:rFonts w:ascii="Times New Roman" w:hAnsi="Times New Roman" w:cs="Times New Roman"/>
          <w:bCs/>
          <w:sz w:val="24"/>
          <w:szCs w:val="24"/>
        </w:rPr>
      </w:pPr>
      <w:r w:rsidRPr="00A720EE">
        <w:rPr>
          <w:rFonts w:ascii="Times New Roman" w:hAnsi="Times New Roman" w:cs="Times New Roman"/>
          <w:bCs/>
          <w:sz w:val="24"/>
          <w:szCs w:val="24"/>
        </w:rPr>
        <w:t>Dodano również art. 18a będący konsekwencją zmiany brzmienia art. 18 w zakresie podwyższenia kwoty podatku należnego przekazywanego na rzecz OPP z 1% do 1,5% tego podatku. W art. 18a uregulowano, że nowe rozwiązanie w zakresie części podatku przekazywanego na rzecz organizacji pożytku publicznego (wzrost części podatku należnego z 1%  do 1,5%), będzie dotyczyło podatku obliczonego za rok podatkowy rozpoczynający się nie wcześniej niż od 1 stycznia 2022 r. Zatem do podatku dochodowego obliczonego za wcześniejsze okresy będą miały zastosowanie przepisy w dotychczasowym brzmieniu, czyli odwołujące się w swej treści do 1%. Ponadto zaproponowano regulacje o charakterze porządkowym art. 77c § 1 Ordynacji podatkowej oraz przepisów ustawy z 24 kwietnia 2003 r. o działalności pożytku publicznego i o wolontariacie</w:t>
      </w:r>
      <w:r w:rsidRPr="00A720EE">
        <w:rPr>
          <w:rFonts w:ascii="Times New Roman" w:hAnsi="Times New Roman" w:cs="Times New Roman"/>
          <w:bCs/>
          <w:sz w:val="24"/>
          <w:szCs w:val="24"/>
          <w:vertAlign w:val="superscript"/>
        </w:rPr>
        <w:footnoteReference w:customMarkFollows="1" w:id="14"/>
        <w:t>[1]</w:t>
      </w:r>
      <w:r w:rsidRPr="00A720EE">
        <w:rPr>
          <w:rFonts w:ascii="Times New Roman" w:hAnsi="Times New Roman" w:cs="Times New Roman"/>
          <w:bCs/>
          <w:sz w:val="24"/>
          <w:szCs w:val="24"/>
        </w:rPr>
        <w:t>, w których zmiana polega na zastąpieniu wyrazu „1%” wyrazem „1,5%”.</w:t>
      </w:r>
    </w:p>
    <w:p w14:paraId="232C690F" w14:textId="20E18D85" w:rsidR="00F84DEC" w:rsidRPr="00A720EE" w:rsidRDefault="00F84DEC" w:rsidP="000151A2">
      <w:pPr>
        <w:autoSpaceDE w:val="0"/>
        <w:autoSpaceDN w:val="0"/>
        <w:adjustRightInd w:val="0"/>
        <w:spacing w:before="240" w:after="0" w:line="276" w:lineRule="auto"/>
        <w:jc w:val="both"/>
        <w:rPr>
          <w:rFonts w:ascii="Times New Roman" w:hAnsi="Times New Roman" w:cs="Times New Roman"/>
          <w:sz w:val="24"/>
          <w:szCs w:val="24"/>
        </w:rPr>
      </w:pPr>
      <w:r w:rsidRPr="00A720EE">
        <w:rPr>
          <w:rFonts w:ascii="Times New Roman" w:hAnsi="Times New Roman" w:cs="Times New Roman"/>
          <w:b/>
          <w:sz w:val="24"/>
          <w:szCs w:val="24"/>
        </w:rPr>
        <w:t>2</w:t>
      </w:r>
      <w:r w:rsidR="006020D7" w:rsidRPr="00A720EE">
        <w:rPr>
          <w:rFonts w:ascii="Times New Roman" w:hAnsi="Times New Roman" w:cs="Times New Roman"/>
          <w:b/>
          <w:sz w:val="24"/>
          <w:szCs w:val="24"/>
        </w:rPr>
        <w:t>2</w:t>
      </w:r>
      <w:r w:rsidRPr="00A720EE">
        <w:rPr>
          <w:rFonts w:ascii="Times New Roman" w:hAnsi="Times New Roman" w:cs="Times New Roman"/>
          <w:b/>
          <w:sz w:val="24"/>
          <w:szCs w:val="24"/>
        </w:rPr>
        <w:t xml:space="preserve">) </w:t>
      </w:r>
      <w:r w:rsidRPr="00A720EE">
        <w:rPr>
          <w:rFonts w:ascii="Times New Roman" w:hAnsi="Times New Roman" w:cs="Times New Roman"/>
          <w:b/>
          <w:bCs/>
          <w:sz w:val="24"/>
          <w:szCs w:val="24"/>
        </w:rPr>
        <w:t xml:space="preserve">Zmiana dostosowująca przepisy ustawy PIT dotyczące sporządzania przez administrację podatkową zeznania podatkowego o możliwość </w:t>
      </w:r>
      <w:r w:rsidRPr="00A720EE">
        <w:rPr>
          <w:rFonts w:ascii="Times New Roman" w:hAnsi="Times New Roman" w:cs="Times New Roman"/>
          <w:b/>
          <w:sz w:val="24"/>
          <w:szCs w:val="24"/>
        </w:rPr>
        <w:t xml:space="preserve">udostępnienia także nowej </w:t>
      </w:r>
      <w:r w:rsidR="00636299" w:rsidRPr="00A720EE">
        <w:rPr>
          <w:rFonts w:ascii="Times New Roman" w:hAnsi="Times New Roman" w:cs="Times New Roman"/>
          <w:b/>
          <w:sz w:val="24"/>
          <w:szCs w:val="24"/>
        </w:rPr>
        <w:t>informacji o </w:t>
      </w:r>
      <w:r w:rsidRPr="00A720EE">
        <w:rPr>
          <w:rFonts w:ascii="Times New Roman" w:hAnsi="Times New Roman" w:cs="Times New Roman"/>
          <w:b/>
          <w:sz w:val="24"/>
          <w:szCs w:val="24"/>
        </w:rPr>
        <w:t>dzieciach uprawniających podatnika do ulgi dla rodzin 4+ (PIT-DZ) w usłudze Twój e-PIT</w:t>
      </w:r>
      <w:r w:rsidR="007025DE" w:rsidRPr="00A720EE">
        <w:rPr>
          <w:rFonts w:ascii="Times New Roman" w:hAnsi="Times New Roman" w:cs="Times New Roman"/>
          <w:b/>
          <w:sz w:val="24"/>
          <w:szCs w:val="24"/>
        </w:rPr>
        <w:t xml:space="preserve"> (ustawa PIT)</w:t>
      </w:r>
    </w:p>
    <w:p w14:paraId="21599E2E" w14:textId="07FEF3F9" w:rsidR="00B51AE6" w:rsidRPr="00A720EE" w:rsidRDefault="00F84DEC" w:rsidP="000151A2">
      <w:pPr>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Zmiana umożliwi podatnikom skorzystanie z możliwości złożenia informacji o dzieciach uprawniających podatnika do ulgi dla rodzin 4+ za pomocą e-Urzędu Skarbowego. Takie rozwiązanie ułatwi kompleksowy dostęp i wysyłkę formularza, a w konsekwencji doprowadzi do jego całkowitego zautomatyzowania.</w:t>
      </w:r>
    </w:p>
    <w:p w14:paraId="06160934" w14:textId="59A83903" w:rsidR="00636299" w:rsidRPr="00A720EE" w:rsidRDefault="00B60E26" w:rsidP="000151A2">
      <w:pPr>
        <w:autoSpaceDE w:val="0"/>
        <w:autoSpaceDN w:val="0"/>
        <w:adjustRightInd w:val="0"/>
        <w:spacing w:before="120" w:after="120" w:line="276" w:lineRule="auto"/>
        <w:jc w:val="both"/>
        <w:rPr>
          <w:rFonts w:ascii="Times New Roman" w:hAnsi="Times New Roman" w:cs="Times New Roman"/>
          <w:b/>
          <w:sz w:val="24"/>
          <w:szCs w:val="24"/>
        </w:rPr>
      </w:pPr>
      <w:r w:rsidRPr="00A720EE">
        <w:rPr>
          <w:rFonts w:ascii="Times New Roman" w:eastAsiaTheme="minorEastAsia" w:hAnsi="Times New Roman" w:cs="Times New Roman"/>
          <w:b/>
          <w:sz w:val="24"/>
          <w:szCs w:val="24"/>
          <w:lang w:eastAsia="pl-PL"/>
        </w:rPr>
        <w:t>2</w:t>
      </w:r>
      <w:r w:rsidR="006020D7" w:rsidRPr="00A720EE">
        <w:rPr>
          <w:rFonts w:ascii="Times New Roman" w:eastAsiaTheme="minorEastAsia" w:hAnsi="Times New Roman" w:cs="Times New Roman"/>
          <w:b/>
          <w:sz w:val="24"/>
          <w:szCs w:val="24"/>
          <w:lang w:eastAsia="pl-PL"/>
        </w:rPr>
        <w:t>3</w:t>
      </w:r>
      <w:r w:rsidRPr="00A720EE">
        <w:rPr>
          <w:rFonts w:ascii="Times New Roman" w:eastAsiaTheme="minorEastAsia" w:hAnsi="Times New Roman" w:cs="Times New Roman"/>
          <w:b/>
          <w:sz w:val="24"/>
          <w:szCs w:val="24"/>
          <w:lang w:eastAsia="pl-PL"/>
        </w:rPr>
        <w:t>)</w:t>
      </w:r>
      <w:r w:rsidRPr="00A720EE">
        <w:rPr>
          <w:rFonts w:ascii="Times New Roman" w:eastAsiaTheme="minorEastAsia" w:hAnsi="Times New Roman" w:cs="Times New Roman"/>
          <w:sz w:val="24"/>
          <w:szCs w:val="24"/>
          <w:lang w:eastAsia="pl-PL"/>
        </w:rPr>
        <w:t xml:space="preserve"> </w:t>
      </w:r>
      <w:r w:rsidR="00636299" w:rsidRPr="00A720EE">
        <w:rPr>
          <w:rFonts w:ascii="Times New Roman" w:hAnsi="Times New Roman" w:cs="Times New Roman"/>
          <w:b/>
          <w:sz w:val="24"/>
          <w:szCs w:val="24"/>
        </w:rPr>
        <w:t xml:space="preserve">Zmiana polegająca na rozszerzeniu uprawnień płatnika do składania wniosku o stwierdzenie nadpłaty </w:t>
      </w:r>
      <w:r w:rsidR="001C3844" w:rsidRPr="00A720EE">
        <w:rPr>
          <w:rFonts w:ascii="Times New Roman" w:hAnsi="Times New Roman" w:cs="Times New Roman"/>
          <w:b/>
          <w:sz w:val="24"/>
          <w:szCs w:val="24"/>
        </w:rPr>
        <w:t>(ustawa</w:t>
      </w:r>
      <w:r w:rsidR="00657A1B" w:rsidRPr="00A720EE">
        <w:rPr>
          <w:rFonts w:ascii="Times New Roman" w:hAnsi="Times New Roman" w:cs="Times New Roman"/>
          <w:b/>
          <w:sz w:val="24"/>
          <w:szCs w:val="24"/>
        </w:rPr>
        <w:t xml:space="preserve"> PIT</w:t>
      </w:r>
      <w:r w:rsidR="001C3844" w:rsidRPr="00A720EE">
        <w:rPr>
          <w:rFonts w:ascii="Times New Roman" w:hAnsi="Times New Roman" w:cs="Times New Roman"/>
          <w:b/>
          <w:sz w:val="24"/>
          <w:szCs w:val="24"/>
        </w:rPr>
        <w:t>)</w:t>
      </w:r>
    </w:p>
    <w:p w14:paraId="166BD61A" w14:textId="146FBB39" w:rsidR="00636299" w:rsidRPr="00A720EE" w:rsidRDefault="00035CC3" w:rsidP="000151A2">
      <w:pPr>
        <w:autoSpaceDE w:val="0"/>
        <w:autoSpaceDN w:val="0"/>
        <w:adjustRightInd w:val="0"/>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Zmiana</w:t>
      </w:r>
      <w:r w:rsidR="00636299" w:rsidRPr="00A720EE">
        <w:rPr>
          <w:rFonts w:ascii="Times New Roman" w:hAnsi="Times New Roman" w:cs="Times New Roman"/>
          <w:sz w:val="24"/>
          <w:szCs w:val="24"/>
        </w:rPr>
        <w:t xml:space="preserve"> </w:t>
      </w:r>
      <w:r w:rsidR="002F3237" w:rsidRPr="00A720EE">
        <w:rPr>
          <w:rFonts w:ascii="Times New Roman" w:hAnsi="Times New Roman" w:cs="Times New Roman"/>
          <w:sz w:val="24"/>
          <w:szCs w:val="24"/>
        </w:rPr>
        <w:t xml:space="preserve">(dodawany art. 31d) </w:t>
      </w:r>
      <w:r w:rsidR="00636299" w:rsidRPr="00A720EE">
        <w:rPr>
          <w:rFonts w:ascii="Times New Roman" w:hAnsi="Times New Roman" w:cs="Times New Roman"/>
          <w:sz w:val="24"/>
          <w:szCs w:val="24"/>
        </w:rPr>
        <w:t>umożliwi płatnikowi wystąpienie o stwierdzenie nadpłaty, jeśli w wyniku poboru przez płatnika zryczałtowanego podatku, o którym mowa w art. 30 ustawy PIT, powstała nadpłata w tym podatku. Obecnie w sytuacji gdy płatnik pobierze podatek zryczałtowany, o którym mowa w art. 30 ustawy PIT w wyższej wysokości niż wynikająca z przepisów, nie jest uprawniony do występowania do organu podatkowego z wnioskiem o stwierdzenie nadpłaty. Wniosek taki może złożyć jedynie podatnik. Jednak specyfika podatku zryczałtowanego, pobieranego u źródła, jest taka, że nie jest on rozliczany w zeznaniu podatkowym. Podatnik nie otrzymuje żadnej informacji od płatnika o pobranym podatku i może nie wiedzieć, że mogła u niego powstać nadpłata. Z taką sytuacją możemy mieć do czynienia w tym roku, gdyż ustawą z 9 czerwca 2022 r. podwyższono limit zwolnienia przedmiotowego, z 3 000 zł do 4 500 zł rocznie, dotyczącego wartości świadczeń otrzymywanych przez emerytów lub rencistów w związku z łączącym ich uprzednio z zakładem pracy stosunkiem pracy lub stosunkiem pokrewnym. Przy czym</w:t>
      </w:r>
      <w:r w:rsidRPr="00A720EE">
        <w:rPr>
          <w:rFonts w:ascii="Times New Roman" w:hAnsi="Times New Roman" w:cs="Times New Roman"/>
          <w:sz w:val="24"/>
          <w:szCs w:val="24"/>
        </w:rPr>
        <w:t>,</w:t>
      </w:r>
      <w:r w:rsidR="00636299" w:rsidRPr="00A720EE">
        <w:rPr>
          <w:rFonts w:ascii="Times New Roman" w:hAnsi="Times New Roman" w:cs="Times New Roman"/>
          <w:sz w:val="24"/>
          <w:szCs w:val="24"/>
        </w:rPr>
        <w:t xml:space="preserve"> wyższy limit stosuje się do dochodów uzyskanych od 1 stycznia 2022</w:t>
      </w:r>
      <w:r w:rsidR="002F3237" w:rsidRPr="00A720EE">
        <w:rPr>
          <w:rFonts w:ascii="Times New Roman" w:hAnsi="Times New Roman" w:cs="Times New Roman"/>
          <w:sz w:val="24"/>
          <w:szCs w:val="24"/>
        </w:rPr>
        <w:t> </w:t>
      </w:r>
      <w:r w:rsidR="00636299" w:rsidRPr="00A720EE">
        <w:rPr>
          <w:rFonts w:ascii="Times New Roman" w:hAnsi="Times New Roman" w:cs="Times New Roman"/>
          <w:sz w:val="24"/>
          <w:szCs w:val="24"/>
        </w:rPr>
        <w:t xml:space="preserve">r. Zaistniały już sytuacje, w których w pierwszej połowie roku płatnik przekazał świadczenie emerytowi w wysokości wyższej niż 3 000 zł i od nadwyżki ponad tę kwotę pobrał zryczałtowany podatek dochodowy w wysokości </w:t>
      </w:r>
      <w:r w:rsidR="00636299" w:rsidRPr="00A720EE">
        <w:rPr>
          <w:rFonts w:ascii="Times New Roman" w:hAnsi="Times New Roman" w:cs="Times New Roman"/>
          <w:sz w:val="24"/>
          <w:szCs w:val="24"/>
        </w:rPr>
        <w:lastRenderedPageBreak/>
        <w:t>10%. Podwyższenie limitu z mocą od początku roku, spowodowało, że powstała nadpłata w podatku zryczałtowanym. Proponowany przepis uprości procedurę występowania o nadpłatę w takiej sytuacji. Zamiast wielu wystąpień podatników do organów podatkowych będzie jedno wystąpienie o stwierdzenie nadpłaty od płatnika. Po otrzymaniu nadpłaty płatnik będzie obowiązany do bezzwłocznego przekazania jej podatnikowi.</w:t>
      </w:r>
    </w:p>
    <w:p w14:paraId="42015E7D" w14:textId="1D6E422B" w:rsidR="00B60E26" w:rsidRPr="00A720EE" w:rsidRDefault="00636299" w:rsidP="000151A2">
      <w:pPr>
        <w:autoSpaceDE w:val="0"/>
        <w:autoSpaceDN w:val="0"/>
        <w:adjustRightInd w:val="0"/>
        <w:spacing w:after="12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2</w:t>
      </w:r>
      <w:r w:rsidR="006020D7" w:rsidRPr="00A720EE">
        <w:rPr>
          <w:rFonts w:ascii="Times New Roman" w:eastAsiaTheme="minorEastAsia" w:hAnsi="Times New Roman" w:cs="Times New Roman"/>
          <w:b/>
          <w:sz w:val="24"/>
          <w:szCs w:val="24"/>
          <w:lang w:eastAsia="pl-PL"/>
        </w:rPr>
        <w:t>4</w:t>
      </w:r>
      <w:r w:rsidRPr="00A720EE">
        <w:rPr>
          <w:rFonts w:ascii="Times New Roman" w:eastAsiaTheme="minorEastAsia" w:hAnsi="Times New Roman" w:cs="Times New Roman"/>
          <w:b/>
          <w:sz w:val="24"/>
          <w:szCs w:val="24"/>
          <w:lang w:eastAsia="pl-PL"/>
        </w:rPr>
        <w:t>)</w:t>
      </w:r>
      <w:r w:rsidRPr="00A720EE">
        <w:rPr>
          <w:rFonts w:ascii="Times New Roman" w:eastAsiaTheme="minorEastAsia" w:hAnsi="Times New Roman" w:cs="Times New Roman"/>
          <w:sz w:val="24"/>
          <w:szCs w:val="24"/>
          <w:lang w:eastAsia="pl-PL"/>
        </w:rPr>
        <w:t xml:space="preserve"> </w:t>
      </w:r>
      <w:r w:rsidR="00B60E26" w:rsidRPr="00A720EE">
        <w:rPr>
          <w:rFonts w:ascii="Times New Roman" w:eastAsiaTheme="minorEastAsia" w:hAnsi="Times New Roman" w:cs="Times New Roman"/>
          <w:b/>
          <w:sz w:val="24"/>
          <w:szCs w:val="24"/>
          <w:lang w:eastAsia="pl-PL"/>
        </w:rPr>
        <w:t>Zmiana przepisów dotyczących pierwszego terminu składania JPK/CIT w przypadku wcześniejszego zakończenia roku podatkowego</w:t>
      </w:r>
      <w:r w:rsidR="00B51AE6" w:rsidRPr="00A720EE">
        <w:rPr>
          <w:rFonts w:ascii="Times New Roman" w:eastAsiaTheme="minorEastAsia" w:hAnsi="Times New Roman" w:cs="Times New Roman"/>
          <w:b/>
          <w:sz w:val="24"/>
          <w:szCs w:val="24"/>
          <w:lang w:eastAsia="pl-PL"/>
        </w:rPr>
        <w:t xml:space="preserve"> (ustawa z 21 października 2021 r.)</w:t>
      </w:r>
    </w:p>
    <w:p w14:paraId="052F230B" w14:textId="54BB57BD" w:rsidR="00753ADC" w:rsidRPr="00A720EE" w:rsidRDefault="00B60E26" w:rsidP="000151A2">
      <w:p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wydłuży podatnikom CIT termin do przesłania JPK za 2024 r. (pierwszy rok, za który JPK ma być przesyłany), w przypadku wcześniejszego zakończenia roku podatkowego.</w:t>
      </w:r>
    </w:p>
    <w:p w14:paraId="7C6014E4" w14:textId="7F476023" w:rsidR="00F87E8F" w:rsidRPr="00A720EE" w:rsidRDefault="00F87E8F" w:rsidP="000151A2">
      <w:pPr>
        <w:spacing w:after="120" w:line="276" w:lineRule="auto"/>
        <w:jc w:val="both"/>
        <w:rPr>
          <w:rFonts w:ascii="Times New Roman" w:hAnsi="Times New Roman" w:cs="Times New Roman"/>
          <w:b/>
          <w:spacing w:val="-2"/>
          <w:sz w:val="24"/>
          <w:szCs w:val="24"/>
        </w:rPr>
      </w:pPr>
      <w:r w:rsidRPr="00A720EE">
        <w:rPr>
          <w:rFonts w:ascii="Times New Roman" w:eastAsiaTheme="minorEastAsia" w:hAnsi="Times New Roman" w:cs="Times New Roman"/>
          <w:b/>
          <w:sz w:val="24"/>
          <w:szCs w:val="24"/>
          <w:lang w:eastAsia="pl-PL"/>
        </w:rPr>
        <w:t>2</w:t>
      </w:r>
      <w:r w:rsidR="00B61236" w:rsidRPr="00A720EE">
        <w:rPr>
          <w:rFonts w:ascii="Times New Roman" w:eastAsiaTheme="minorEastAsia" w:hAnsi="Times New Roman" w:cs="Times New Roman"/>
          <w:b/>
          <w:sz w:val="24"/>
          <w:szCs w:val="24"/>
          <w:lang w:eastAsia="pl-PL"/>
        </w:rPr>
        <w:t>5</w:t>
      </w:r>
      <w:r w:rsidRPr="00A720EE">
        <w:rPr>
          <w:rFonts w:ascii="Times New Roman" w:eastAsiaTheme="minorEastAsia" w:hAnsi="Times New Roman" w:cs="Times New Roman"/>
          <w:b/>
          <w:sz w:val="24"/>
          <w:szCs w:val="24"/>
          <w:lang w:eastAsia="pl-PL"/>
        </w:rPr>
        <w:t xml:space="preserve">) </w:t>
      </w:r>
      <w:r w:rsidR="006742A7" w:rsidRPr="00A720EE">
        <w:rPr>
          <w:rFonts w:ascii="Times New Roman" w:eastAsiaTheme="minorEastAsia" w:hAnsi="Times New Roman" w:cs="Times New Roman"/>
          <w:b/>
          <w:sz w:val="24"/>
          <w:szCs w:val="24"/>
          <w:lang w:eastAsia="pl-PL"/>
        </w:rPr>
        <w:t>Z</w:t>
      </w:r>
      <w:r w:rsidR="00B75066" w:rsidRPr="00A720EE">
        <w:rPr>
          <w:rFonts w:ascii="Times New Roman" w:eastAsiaTheme="minorEastAsia" w:hAnsi="Times New Roman" w:cs="Times New Roman"/>
          <w:b/>
          <w:sz w:val="24"/>
          <w:szCs w:val="24"/>
          <w:lang w:eastAsia="pl-PL"/>
        </w:rPr>
        <w:t xml:space="preserve">miana przepisów wynikająca z </w:t>
      </w:r>
      <w:r w:rsidRPr="00A720EE">
        <w:rPr>
          <w:rFonts w:ascii="Times New Roman" w:hAnsi="Times New Roman" w:cs="Times New Roman"/>
          <w:b/>
          <w:sz w:val="24"/>
          <w:szCs w:val="24"/>
        </w:rPr>
        <w:t>koniecznoś</w:t>
      </w:r>
      <w:r w:rsidR="00B75066" w:rsidRPr="00A720EE">
        <w:rPr>
          <w:rFonts w:ascii="Times New Roman" w:hAnsi="Times New Roman" w:cs="Times New Roman"/>
          <w:b/>
          <w:sz w:val="24"/>
          <w:szCs w:val="24"/>
        </w:rPr>
        <w:t>ci</w:t>
      </w:r>
      <w:r w:rsidRPr="00A720EE">
        <w:rPr>
          <w:rFonts w:ascii="Times New Roman" w:hAnsi="Times New Roman" w:cs="Times New Roman"/>
          <w:b/>
          <w:sz w:val="24"/>
          <w:szCs w:val="24"/>
        </w:rPr>
        <w:t xml:space="preserve"> wydłużenia wprowadzonych działań antyinflacyjnych oraz utrzymani</w:t>
      </w:r>
      <w:r w:rsidR="00B75066" w:rsidRPr="00A720EE">
        <w:rPr>
          <w:rFonts w:ascii="Times New Roman" w:hAnsi="Times New Roman" w:cs="Times New Roman"/>
          <w:b/>
          <w:sz w:val="24"/>
          <w:szCs w:val="24"/>
        </w:rPr>
        <w:t>a</w:t>
      </w:r>
      <w:r w:rsidRPr="00A720EE">
        <w:rPr>
          <w:rFonts w:ascii="Times New Roman" w:hAnsi="Times New Roman" w:cs="Times New Roman"/>
          <w:b/>
          <w:sz w:val="24"/>
          <w:szCs w:val="24"/>
        </w:rPr>
        <w:t xml:space="preserve"> stawek VAT na dotychczasowym poziomie w związku z ciągłym wzrostem inflacji oraz negatywnymi dla polskiej gospodarki i społeczeństwa skutkami wojny prowadzonej w Ukrainie (ustaw</w:t>
      </w:r>
      <w:r w:rsidR="00B75066" w:rsidRPr="00A720EE">
        <w:rPr>
          <w:rFonts w:ascii="Times New Roman" w:hAnsi="Times New Roman" w:cs="Times New Roman"/>
          <w:b/>
          <w:sz w:val="24"/>
          <w:szCs w:val="24"/>
        </w:rPr>
        <w:t>a</w:t>
      </w:r>
      <w:r w:rsidRPr="00A720EE">
        <w:rPr>
          <w:rFonts w:ascii="Times New Roman" w:hAnsi="Times New Roman" w:cs="Times New Roman"/>
          <w:b/>
          <w:sz w:val="24"/>
          <w:szCs w:val="24"/>
        </w:rPr>
        <w:t xml:space="preserve"> o VAT</w:t>
      </w:r>
      <w:r w:rsidR="00B75066" w:rsidRPr="00A720EE">
        <w:rPr>
          <w:rFonts w:ascii="Times New Roman" w:hAnsi="Times New Roman" w:cs="Times New Roman"/>
          <w:b/>
          <w:sz w:val="24"/>
          <w:szCs w:val="24"/>
        </w:rPr>
        <w:t>,</w:t>
      </w:r>
      <w:r w:rsidRPr="00A720EE">
        <w:rPr>
          <w:rFonts w:ascii="Times New Roman" w:hAnsi="Times New Roman" w:cs="Times New Roman"/>
          <w:b/>
          <w:sz w:val="24"/>
          <w:szCs w:val="24"/>
        </w:rPr>
        <w:t xml:space="preserve"> ustaw</w:t>
      </w:r>
      <w:r w:rsidR="00B75066" w:rsidRPr="00A720EE">
        <w:rPr>
          <w:rFonts w:ascii="Times New Roman" w:hAnsi="Times New Roman" w:cs="Times New Roman"/>
          <w:b/>
          <w:sz w:val="24"/>
          <w:szCs w:val="24"/>
        </w:rPr>
        <w:t>a</w:t>
      </w:r>
      <w:r w:rsidRPr="00A720EE">
        <w:rPr>
          <w:rFonts w:ascii="Times New Roman" w:hAnsi="Times New Roman" w:cs="Times New Roman"/>
          <w:b/>
          <w:sz w:val="24"/>
          <w:szCs w:val="24"/>
        </w:rPr>
        <w:t xml:space="preserve"> o podatku akcyzowym</w:t>
      </w:r>
      <w:r w:rsidR="00B75066" w:rsidRPr="00A720EE">
        <w:rPr>
          <w:rFonts w:ascii="Times New Roman" w:hAnsi="Times New Roman" w:cs="Times New Roman"/>
          <w:b/>
          <w:sz w:val="24"/>
          <w:szCs w:val="24"/>
        </w:rPr>
        <w:t>,</w:t>
      </w:r>
      <w:r w:rsidRPr="00A720EE">
        <w:rPr>
          <w:rFonts w:ascii="Times New Roman" w:hAnsi="Times New Roman" w:cs="Times New Roman"/>
          <w:b/>
          <w:sz w:val="24"/>
          <w:szCs w:val="24"/>
        </w:rPr>
        <w:t xml:space="preserve"> ustaw</w:t>
      </w:r>
      <w:r w:rsidR="00B75066" w:rsidRPr="00A720EE">
        <w:rPr>
          <w:rFonts w:ascii="Times New Roman" w:hAnsi="Times New Roman" w:cs="Times New Roman"/>
          <w:b/>
          <w:sz w:val="24"/>
          <w:szCs w:val="24"/>
        </w:rPr>
        <w:t>a</w:t>
      </w:r>
      <w:r w:rsidRPr="00A720EE">
        <w:rPr>
          <w:rFonts w:ascii="Times New Roman" w:hAnsi="Times New Roman" w:cs="Times New Roman"/>
          <w:b/>
          <w:sz w:val="24"/>
          <w:szCs w:val="24"/>
        </w:rPr>
        <w:t xml:space="preserve"> o podatku od sprzedaży detalicznej</w:t>
      </w:r>
      <w:r w:rsidR="00B75066" w:rsidRPr="00A720EE">
        <w:rPr>
          <w:rFonts w:ascii="Times New Roman" w:hAnsi="Times New Roman" w:cs="Times New Roman"/>
          <w:b/>
          <w:sz w:val="24"/>
          <w:szCs w:val="24"/>
        </w:rPr>
        <w:t xml:space="preserve"> i </w:t>
      </w:r>
      <w:r w:rsidRPr="00A720EE">
        <w:rPr>
          <w:rFonts w:ascii="Times New Roman" w:hAnsi="Times New Roman" w:cs="Times New Roman"/>
          <w:b/>
          <w:sz w:val="24"/>
          <w:szCs w:val="24"/>
        </w:rPr>
        <w:t>ustaw</w:t>
      </w:r>
      <w:r w:rsidR="00B75066" w:rsidRPr="00A720EE">
        <w:rPr>
          <w:rFonts w:ascii="Times New Roman" w:hAnsi="Times New Roman" w:cs="Times New Roman"/>
          <w:b/>
          <w:sz w:val="24"/>
          <w:szCs w:val="24"/>
        </w:rPr>
        <w:t>a</w:t>
      </w:r>
      <w:r w:rsidRPr="00A720EE">
        <w:rPr>
          <w:rFonts w:ascii="Times New Roman" w:hAnsi="Times New Roman" w:cs="Times New Roman"/>
          <w:b/>
          <w:sz w:val="24"/>
          <w:szCs w:val="24"/>
        </w:rPr>
        <w:t xml:space="preserve"> o finansowaniu społecznościowym dla przedsięwzięć gospodarczych i pomocy kredytobiorcom)</w:t>
      </w:r>
      <w:r w:rsidRPr="00A720EE">
        <w:rPr>
          <w:rFonts w:ascii="Times New Roman" w:hAnsi="Times New Roman" w:cs="Times New Roman"/>
          <w:sz w:val="24"/>
          <w:szCs w:val="24"/>
        </w:rPr>
        <w:t>:</w:t>
      </w:r>
    </w:p>
    <w:p w14:paraId="0D0E5C01" w14:textId="77777777" w:rsidR="00F87E8F" w:rsidRPr="00A720EE" w:rsidRDefault="00F87E8F" w:rsidP="000151A2">
      <w:pPr>
        <w:pStyle w:val="Akapitzlist"/>
        <w:numPr>
          <w:ilvl w:val="0"/>
          <w:numId w:val="60"/>
        </w:numPr>
        <w:spacing w:after="120" w:line="276" w:lineRule="auto"/>
        <w:contextualSpacing w:val="0"/>
        <w:jc w:val="both"/>
        <w:rPr>
          <w:rFonts w:ascii="Times New Roman" w:hAnsi="Times New Roman" w:cs="Times New Roman"/>
          <w:b/>
          <w:spacing w:val="-2"/>
          <w:sz w:val="24"/>
          <w:szCs w:val="24"/>
        </w:rPr>
      </w:pPr>
      <w:r w:rsidRPr="00A720EE">
        <w:rPr>
          <w:rFonts w:ascii="Times New Roman" w:hAnsi="Times New Roman" w:cs="Times New Roman"/>
          <w:b/>
          <w:spacing w:val="-2"/>
          <w:sz w:val="24"/>
          <w:szCs w:val="24"/>
        </w:rPr>
        <w:t xml:space="preserve">wydłużenie tarczy antyinflacyjnej do końca 2022 r.: </w:t>
      </w:r>
    </w:p>
    <w:p w14:paraId="7AEC3880" w14:textId="70402D87" w:rsidR="00F87E8F" w:rsidRPr="00A720EE" w:rsidRDefault="00F87E8F" w:rsidP="000151A2">
      <w:pPr>
        <w:pStyle w:val="Akapitzlist"/>
        <w:numPr>
          <w:ilvl w:val="0"/>
          <w:numId w:val="61"/>
        </w:numPr>
        <w:spacing w:after="120" w:line="276" w:lineRule="auto"/>
        <w:ind w:left="1027" w:hanging="386"/>
        <w:contextualSpacing w:val="0"/>
        <w:jc w:val="both"/>
        <w:rPr>
          <w:rFonts w:ascii="Times New Roman" w:hAnsi="Times New Roman" w:cs="Times New Roman"/>
          <w:spacing w:val="-2"/>
          <w:sz w:val="24"/>
          <w:szCs w:val="24"/>
        </w:rPr>
      </w:pPr>
      <w:r w:rsidRPr="00A720EE">
        <w:rPr>
          <w:rFonts w:ascii="Times New Roman" w:hAnsi="Times New Roman" w:cs="Times New Roman"/>
          <w:spacing w:val="-2"/>
          <w:sz w:val="24"/>
          <w:szCs w:val="24"/>
        </w:rPr>
        <w:t xml:space="preserve">utrzymanie czasowego obniżenia stawek VAT w zakresie żywności, paliw silnikowych, gazu ziemnego, energii elektrycznej i cieplnej, nawozów i innych środków wspomagających produkcję rolniczą </w:t>
      </w:r>
      <w:r w:rsidR="008C0657" w:rsidRPr="00A720EE">
        <w:rPr>
          <w:rFonts w:ascii="Times New Roman" w:hAnsi="Times New Roman" w:cs="Times New Roman"/>
          <w:spacing w:val="-2"/>
          <w:sz w:val="24"/>
          <w:szCs w:val="24"/>
        </w:rPr>
        <w:t>–</w:t>
      </w:r>
      <w:r w:rsidRPr="00A720EE">
        <w:rPr>
          <w:rFonts w:ascii="Times New Roman" w:hAnsi="Times New Roman" w:cs="Times New Roman"/>
          <w:spacing w:val="-2"/>
          <w:sz w:val="24"/>
          <w:szCs w:val="24"/>
        </w:rPr>
        <w:t xml:space="preserve"> obniżenie stawek VAT pomoże społeczeństwu oraz przedsiębiorcom, w tym </w:t>
      </w:r>
      <w:proofErr w:type="spellStart"/>
      <w:r w:rsidRPr="00A720EE">
        <w:rPr>
          <w:rFonts w:ascii="Times New Roman" w:hAnsi="Times New Roman" w:cs="Times New Roman"/>
          <w:spacing w:val="-2"/>
          <w:sz w:val="24"/>
          <w:szCs w:val="24"/>
        </w:rPr>
        <w:t>mikrofirmom</w:t>
      </w:r>
      <w:proofErr w:type="spellEnd"/>
      <w:r w:rsidRPr="00A720EE">
        <w:rPr>
          <w:rFonts w:ascii="Times New Roman" w:hAnsi="Times New Roman" w:cs="Times New Roman"/>
          <w:spacing w:val="-2"/>
          <w:sz w:val="24"/>
          <w:szCs w:val="24"/>
        </w:rPr>
        <w:t xml:space="preserve"> dominującym na polskim rynku, w realnej walce z inflacją. Utrzymanie czasowej redukcji stawek </w:t>
      </w:r>
      <w:r w:rsidR="008C0657" w:rsidRPr="00A720EE">
        <w:rPr>
          <w:rFonts w:ascii="Times New Roman" w:hAnsi="Times New Roman" w:cs="Times New Roman"/>
          <w:spacing w:val="-2"/>
          <w:sz w:val="24"/>
          <w:szCs w:val="24"/>
        </w:rPr>
        <w:t xml:space="preserve">podatku </w:t>
      </w:r>
      <w:r w:rsidRPr="00A720EE">
        <w:rPr>
          <w:rFonts w:ascii="Times New Roman" w:hAnsi="Times New Roman" w:cs="Times New Roman"/>
          <w:spacing w:val="-2"/>
          <w:sz w:val="24"/>
          <w:szCs w:val="24"/>
        </w:rPr>
        <w:t>na te towary, w przypadku pełnego przeniesienia obniżek stawek VAT na ceny tych towarów, efektywnie powinna wpłynąć na obniżkę cen tych towarów;</w:t>
      </w:r>
    </w:p>
    <w:p w14:paraId="534071CC" w14:textId="7EF73961" w:rsidR="00F87E8F" w:rsidRPr="00A720EE" w:rsidRDefault="00F87E8F" w:rsidP="000151A2">
      <w:pPr>
        <w:pStyle w:val="Akapitzlist"/>
        <w:numPr>
          <w:ilvl w:val="0"/>
          <w:numId w:val="61"/>
        </w:numPr>
        <w:spacing w:after="120" w:line="276" w:lineRule="auto"/>
        <w:ind w:left="1027" w:hanging="386"/>
        <w:contextualSpacing w:val="0"/>
        <w:jc w:val="both"/>
        <w:rPr>
          <w:rFonts w:ascii="Times New Roman" w:hAnsi="Times New Roman" w:cs="Times New Roman"/>
          <w:spacing w:val="-2"/>
          <w:sz w:val="24"/>
          <w:szCs w:val="24"/>
        </w:rPr>
      </w:pPr>
      <w:r w:rsidRPr="00A720EE">
        <w:rPr>
          <w:rFonts w:ascii="Times New Roman" w:hAnsi="Times New Roman" w:cs="Times New Roman"/>
          <w:spacing w:val="-2"/>
          <w:sz w:val="24"/>
          <w:szCs w:val="24"/>
        </w:rPr>
        <w:t>utrzymanie czasowego obniżenia stawek akcyzy na paliwa silnikowe (olej napędowy, benzyny silnikowe, LPG), energię elektryczną i lekki olej opałowy oraz utrzymanie czasowego wyłączenia z podatku od sprzedaży detalicznej sprzedaży paliw (benzyn silnikowych, olejów napędowych, biokomponentów stanowiących samoistne paliwa, gazów przeznaczonych do napędu silników spalinowych) – te działania mają doprowadzić do ograniczenia wzrostu cen paliw na stacjach paliw i obniżenie wydatków na zakup lekkiego oleju opałowego i energii elektrycznej, a zatem również pomóc w walce z inflacją</w:t>
      </w:r>
      <w:r w:rsidR="008C0657" w:rsidRPr="00A720EE">
        <w:rPr>
          <w:rFonts w:ascii="Times New Roman" w:hAnsi="Times New Roman" w:cs="Times New Roman"/>
          <w:spacing w:val="-2"/>
          <w:sz w:val="24"/>
          <w:szCs w:val="24"/>
        </w:rPr>
        <w:t>.</w:t>
      </w:r>
      <w:r w:rsidRPr="00A720EE">
        <w:rPr>
          <w:rFonts w:ascii="Times New Roman" w:hAnsi="Times New Roman" w:cs="Times New Roman"/>
          <w:spacing w:val="-2"/>
          <w:sz w:val="24"/>
          <w:szCs w:val="24"/>
        </w:rPr>
        <w:t xml:space="preserve"> </w:t>
      </w:r>
      <w:r w:rsidR="008C0657" w:rsidRPr="00A720EE">
        <w:rPr>
          <w:rFonts w:ascii="Times New Roman" w:hAnsi="Times New Roman" w:cs="Times New Roman"/>
          <w:spacing w:val="-2"/>
          <w:sz w:val="24"/>
          <w:szCs w:val="24"/>
        </w:rPr>
        <w:t>N</w:t>
      </w:r>
      <w:r w:rsidRPr="00A720EE">
        <w:rPr>
          <w:rFonts w:ascii="Times New Roman" w:hAnsi="Times New Roman" w:cs="Times New Roman"/>
          <w:spacing w:val="-2"/>
          <w:sz w:val="24"/>
          <w:szCs w:val="24"/>
        </w:rPr>
        <w:t>ależy podkreślić, że wzrost cen surowców energetycznych na rynkach światowych jest główną przyczyną wzrostu inflacji w Polsce i innych krajach unijnych</w:t>
      </w:r>
      <w:r w:rsidR="008C0657" w:rsidRPr="00A720EE">
        <w:rPr>
          <w:rFonts w:ascii="Times New Roman" w:hAnsi="Times New Roman" w:cs="Times New Roman"/>
          <w:spacing w:val="-2"/>
          <w:sz w:val="24"/>
          <w:szCs w:val="24"/>
        </w:rPr>
        <w:t>,</w:t>
      </w:r>
      <w:r w:rsidRPr="00A720EE">
        <w:rPr>
          <w:rFonts w:ascii="Times New Roman" w:hAnsi="Times New Roman" w:cs="Times New Roman"/>
          <w:spacing w:val="-2"/>
          <w:sz w:val="24"/>
          <w:szCs w:val="24"/>
        </w:rPr>
        <w:t xml:space="preserve"> zatem ograniczenie wzrostu cen paliw powinno się przyczynić do stabilizacji cen także w innych obszarach gospodarki, w tym cen żywności; </w:t>
      </w:r>
    </w:p>
    <w:p w14:paraId="6A5A7D24" w14:textId="449FDE14" w:rsidR="00F87E8F" w:rsidRPr="00A720EE" w:rsidRDefault="00F87E8F" w:rsidP="000151A2">
      <w:pPr>
        <w:pStyle w:val="Akapitzlist"/>
        <w:numPr>
          <w:ilvl w:val="0"/>
          <w:numId w:val="61"/>
        </w:numPr>
        <w:spacing w:after="120" w:line="276" w:lineRule="auto"/>
        <w:ind w:left="1027" w:hanging="386"/>
        <w:contextualSpacing w:val="0"/>
        <w:jc w:val="both"/>
        <w:rPr>
          <w:rFonts w:ascii="Times New Roman" w:hAnsi="Times New Roman" w:cs="Times New Roman"/>
          <w:spacing w:val="-2"/>
          <w:sz w:val="24"/>
          <w:szCs w:val="24"/>
        </w:rPr>
      </w:pPr>
      <w:r w:rsidRPr="00A720EE">
        <w:rPr>
          <w:rFonts w:ascii="Times New Roman" w:hAnsi="Times New Roman" w:cs="Times New Roman"/>
          <w:spacing w:val="-2"/>
          <w:sz w:val="24"/>
          <w:szCs w:val="24"/>
        </w:rPr>
        <w:t xml:space="preserve">utrzymanie w mocy zwolnienia od akcyzy dla energii elektrycznej wykorzystywanej przez gospodarstwa domowe </w:t>
      </w:r>
      <w:r w:rsidR="008C0657" w:rsidRPr="00A720EE">
        <w:rPr>
          <w:rFonts w:ascii="Times New Roman" w:hAnsi="Times New Roman" w:cs="Times New Roman"/>
          <w:spacing w:val="-2"/>
          <w:sz w:val="24"/>
          <w:szCs w:val="24"/>
        </w:rPr>
        <w:t>–</w:t>
      </w:r>
      <w:r w:rsidRPr="00A720EE">
        <w:rPr>
          <w:rFonts w:ascii="Times New Roman" w:hAnsi="Times New Roman" w:cs="Times New Roman"/>
          <w:spacing w:val="-2"/>
          <w:sz w:val="24"/>
          <w:szCs w:val="24"/>
        </w:rPr>
        <w:t xml:space="preserve"> pozwoli na zmniejszenie kosztów </w:t>
      </w:r>
      <w:r w:rsidR="00A03A4E" w:rsidRPr="00A720EE">
        <w:rPr>
          <w:rFonts w:ascii="Times New Roman" w:hAnsi="Times New Roman" w:cs="Times New Roman"/>
          <w:spacing w:val="-2"/>
          <w:sz w:val="24"/>
          <w:szCs w:val="24"/>
        </w:rPr>
        <w:t>dla</w:t>
      </w:r>
      <w:r w:rsidRPr="00A720EE">
        <w:rPr>
          <w:rFonts w:ascii="Times New Roman" w:hAnsi="Times New Roman" w:cs="Times New Roman"/>
          <w:spacing w:val="-2"/>
          <w:sz w:val="24"/>
          <w:szCs w:val="24"/>
        </w:rPr>
        <w:t xml:space="preserve"> tej grupy odbiorców.</w:t>
      </w:r>
    </w:p>
    <w:p w14:paraId="2C7FCCB5" w14:textId="44176C39" w:rsidR="00F87E8F" w:rsidRPr="00A720EE" w:rsidRDefault="00F87E8F" w:rsidP="000151A2">
      <w:pPr>
        <w:pStyle w:val="Akapitzlist"/>
        <w:numPr>
          <w:ilvl w:val="0"/>
          <w:numId w:val="60"/>
        </w:numPr>
        <w:spacing w:after="120" w:line="276" w:lineRule="auto"/>
        <w:contextualSpacing w:val="0"/>
        <w:jc w:val="both"/>
        <w:rPr>
          <w:rFonts w:ascii="Times New Roman" w:hAnsi="Times New Roman" w:cs="Times New Roman"/>
          <w:spacing w:val="-2"/>
          <w:sz w:val="24"/>
          <w:szCs w:val="24"/>
        </w:rPr>
      </w:pPr>
      <w:r w:rsidRPr="00A720EE">
        <w:rPr>
          <w:rFonts w:ascii="Times New Roman" w:hAnsi="Times New Roman" w:cs="Times New Roman"/>
          <w:b/>
          <w:spacing w:val="-2"/>
          <w:sz w:val="24"/>
          <w:szCs w:val="24"/>
        </w:rPr>
        <w:t xml:space="preserve">utrzymanie stawek VAT na dotychczasowym poziomie 23% i 8% – </w:t>
      </w:r>
      <w:r w:rsidRPr="00A720EE">
        <w:rPr>
          <w:rFonts w:ascii="Times New Roman" w:hAnsi="Times New Roman" w:cs="Times New Roman"/>
          <w:spacing w:val="-2"/>
          <w:sz w:val="24"/>
          <w:szCs w:val="24"/>
        </w:rPr>
        <w:t xml:space="preserve">jest niezbędne w związku z konfliktem zbrojnym w Ukrainie i koniecznością ponoszenia przez budżet państwa zwiększonych wydatków; jednocześnie podejmowane przez Rząd działania </w:t>
      </w:r>
      <w:r w:rsidRPr="00A720EE">
        <w:rPr>
          <w:rFonts w:ascii="Times New Roman" w:hAnsi="Times New Roman" w:cs="Times New Roman"/>
          <w:spacing w:val="-2"/>
          <w:sz w:val="24"/>
          <w:szCs w:val="24"/>
        </w:rPr>
        <w:lastRenderedPageBreak/>
        <w:t xml:space="preserve">pomocowe jak utrzymanie tarczy antyinflacyjnej do końca roku 2022 pozwoli na skierowanie środków na przeciwdziałanie skutkom inflacji oraz wojny w Ukrainie. </w:t>
      </w:r>
    </w:p>
    <w:p w14:paraId="3DDD148B" w14:textId="0A9009EF" w:rsidR="00F10FFF" w:rsidRPr="00A720EE" w:rsidRDefault="00F10FFF"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
          <w:color w:val="000000" w:themeColor="text1"/>
          <w:sz w:val="24"/>
          <w:szCs w:val="24"/>
          <w:lang w:eastAsia="pl-PL"/>
        </w:rPr>
        <w:t>2</w:t>
      </w:r>
      <w:r w:rsidR="00B61236" w:rsidRPr="00A720EE">
        <w:rPr>
          <w:rFonts w:ascii="Times New Roman" w:eastAsiaTheme="minorEastAsia" w:hAnsi="Times New Roman" w:cs="Times New Roman"/>
          <w:b/>
          <w:color w:val="000000" w:themeColor="text1"/>
          <w:sz w:val="24"/>
          <w:szCs w:val="24"/>
          <w:lang w:eastAsia="pl-PL"/>
        </w:rPr>
        <w:t>6</w:t>
      </w:r>
      <w:r w:rsidRPr="00A720EE">
        <w:rPr>
          <w:rFonts w:ascii="Times New Roman" w:eastAsiaTheme="minorEastAsia" w:hAnsi="Times New Roman" w:cs="Times New Roman"/>
          <w:b/>
          <w:color w:val="000000" w:themeColor="text1"/>
          <w:sz w:val="24"/>
          <w:szCs w:val="24"/>
          <w:lang w:eastAsia="pl-PL"/>
        </w:rPr>
        <w:t>) Zmiana przepisów zmierzająca do digitalizacji obowiązków informacyjnych notariuszy (Ordynacja podatkowa, ustawa o podatku od spadków i darowizn, ustawa o PCC i ustawa o</w:t>
      </w:r>
      <w:r w:rsidR="005A1165" w:rsidRPr="00A720EE">
        <w:rPr>
          <w:rFonts w:ascii="Times New Roman" w:eastAsiaTheme="minorEastAsia" w:hAnsi="Times New Roman" w:cs="Times New Roman"/>
          <w:b/>
          <w:color w:val="000000" w:themeColor="text1"/>
          <w:sz w:val="24"/>
          <w:szCs w:val="24"/>
          <w:lang w:eastAsia="pl-PL"/>
        </w:rPr>
        <w:t> </w:t>
      </w:r>
      <w:r w:rsidRPr="00A720EE">
        <w:rPr>
          <w:rFonts w:ascii="Times New Roman" w:eastAsiaTheme="minorEastAsia" w:hAnsi="Times New Roman" w:cs="Times New Roman"/>
          <w:b/>
          <w:color w:val="000000" w:themeColor="text1"/>
          <w:sz w:val="24"/>
          <w:szCs w:val="24"/>
          <w:lang w:eastAsia="pl-PL"/>
        </w:rPr>
        <w:t>przeciwdziałaniu praniu pieniędzy oraz finansowaniu terroryzmu)</w:t>
      </w:r>
    </w:p>
    <w:p w14:paraId="6569FBB3" w14:textId="77777777" w:rsidR="00F10FFF" w:rsidRPr="00A720EE" w:rsidRDefault="00F10FFF"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Przedkładany projekt dotyczy również skoku jakościowego w obowiązkach informacyjnych </w:t>
      </w:r>
      <w:r w:rsidR="007E6D43" w:rsidRPr="00A720EE">
        <w:rPr>
          <w:rFonts w:ascii="Times New Roman" w:eastAsiaTheme="minorEastAsia" w:hAnsi="Times New Roman" w:cs="Times New Roman"/>
          <w:sz w:val="24"/>
          <w:szCs w:val="24"/>
          <w:lang w:eastAsia="pl-PL"/>
        </w:rPr>
        <w:t>proponując w</w:t>
      </w:r>
      <w:r w:rsidRPr="00A720EE">
        <w:rPr>
          <w:rFonts w:ascii="Times New Roman" w:eastAsiaTheme="minorEastAsia" w:hAnsi="Times New Roman" w:cs="Times New Roman"/>
          <w:sz w:val="24"/>
          <w:szCs w:val="24"/>
          <w:lang w:eastAsia="pl-PL"/>
        </w:rPr>
        <w:t xml:space="preserve"> tym obszarze peł</w:t>
      </w:r>
      <w:r w:rsidR="007E6D43" w:rsidRPr="00A720EE">
        <w:rPr>
          <w:rFonts w:ascii="Times New Roman" w:eastAsiaTheme="minorEastAsia" w:hAnsi="Times New Roman" w:cs="Times New Roman"/>
          <w:sz w:val="24"/>
          <w:szCs w:val="24"/>
          <w:lang w:eastAsia="pl-PL"/>
        </w:rPr>
        <w:t>ną digitalizację</w:t>
      </w:r>
      <w:r w:rsidRPr="00A720EE">
        <w:rPr>
          <w:rFonts w:ascii="Times New Roman" w:eastAsiaTheme="minorEastAsia" w:hAnsi="Times New Roman" w:cs="Times New Roman"/>
          <w:sz w:val="24"/>
          <w:szCs w:val="24"/>
          <w:lang w:eastAsia="pl-PL"/>
        </w:rPr>
        <w:t>.</w:t>
      </w:r>
    </w:p>
    <w:p w14:paraId="027904BC" w14:textId="06C78F43" w:rsidR="007E6D43" w:rsidRPr="00A720EE" w:rsidRDefault="00384A6A" w:rsidP="001C6FCA">
      <w:pPr>
        <w:spacing w:after="120" w:line="276" w:lineRule="auto"/>
        <w:jc w:val="both"/>
        <w:rPr>
          <w:rFonts w:ascii="Times New Roman" w:hAnsi="Times New Roman" w:cs="Times New Roman"/>
          <w:sz w:val="24"/>
          <w:szCs w:val="24"/>
        </w:rPr>
      </w:pPr>
      <w:r w:rsidRPr="00A720EE">
        <w:rPr>
          <w:rFonts w:ascii="Times New Roman" w:eastAsiaTheme="minorEastAsia" w:hAnsi="Times New Roman" w:cs="Times New Roman"/>
          <w:sz w:val="24"/>
          <w:szCs w:val="24"/>
          <w:lang w:eastAsia="pl-PL"/>
        </w:rPr>
        <w:t xml:space="preserve">Projektowana ustawa ma na celu zmianę dotychczasowych procedur </w:t>
      </w:r>
      <w:r w:rsidR="00035CC3" w:rsidRPr="00A720EE">
        <w:rPr>
          <w:rFonts w:ascii="Times New Roman" w:eastAsiaTheme="minorEastAsia" w:hAnsi="Times New Roman" w:cs="Times New Roman"/>
          <w:sz w:val="24"/>
          <w:szCs w:val="24"/>
          <w:lang w:eastAsia="pl-PL"/>
        </w:rPr>
        <w:t xml:space="preserve">dostępu dla </w:t>
      </w:r>
      <w:r w:rsidRPr="00A720EE">
        <w:rPr>
          <w:rFonts w:ascii="Times New Roman" w:eastAsiaTheme="minorEastAsia" w:hAnsi="Times New Roman" w:cs="Times New Roman"/>
          <w:sz w:val="24"/>
          <w:szCs w:val="24"/>
          <w:lang w:eastAsia="pl-PL"/>
        </w:rPr>
        <w:t>organ</w:t>
      </w:r>
      <w:r w:rsidR="00035CC3" w:rsidRPr="00A720EE">
        <w:rPr>
          <w:rFonts w:ascii="Times New Roman" w:eastAsiaTheme="minorEastAsia" w:hAnsi="Times New Roman" w:cs="Times New Roman"/>
          <w:sz w:val="24"/>
          <w:szCs w:val="24"/>
          <w:lang w:eastAsia="pl-PL"/>
        </w:rPr>
        <w:t>ów</w:t>
      </w:r>
      <w:r w:rsidRPr="00A720EE">
        <w:rPr>
          <w:rFonts w:ascii="Times New Roman" w:eastAsiaTheme="minorEastAsia" w:hAnsi="Times New Roman" w:cs="Times New Roman"/>
          <w:sz w:val="24"/>
          <w:szCs w:val="24"/>
          <w:lang w:eastAsia="pl-PL"/>
        </w:rPr>
        <w:t xml:space="preserve"> KAS</w:t>
      </w:r>
      <w:r w:rsidR="00035CC3"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 xml:space="preserve">do informacji o zdarzeniach prawnych, które mogą spowodować powstanie zobowiązania podatkowego zawartych w aktach notarialnych, </w:t>
      </w:r>
      <w:r w:rsidR="007E6D43" w:rsidRPr="00A720EE">
        <w:rPr>
          <w:rFonts w:ascii="Times New Roman" w:eastAsiaTheme="minorEastAsia" w:hAnsi="Times New Roman" w:cs="Times New Roman"/>
          <w:sz w:val="24"/>
          <w:szCs w:val="24"/>
          <w:lang w:eastAsia="pl-PL"/>
        </w:rPr>
        <w:t xml:space="preserve">zarejestrowanych </w:t>
      </w:r>
      <w:r w:rsidRPr="00A720EE">
        <w:rPr>
          <w:rFonts w:ascii="Times New Roman" w:eastAsiaTheme="minorEastAsia" w:hAnsi="Times New Roman" w:cs="Times New Roman"/>
          <w:sz w:val="24"/>
          <w:szCs w:val="24"/>
          <w:lang w:eastAsia="pl-PL"/>
        </w:rPr>
        <w:t>aktach poświadczenia dziedziczenia i europejskich poświadczeniach spadkowych, które przekazywane są obecnie do</w:t>
      </w:r>
      <w:r w:rsidR="005A1165"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tych organów w postaci papierowych wypisów. Aktualne rozwiązania obciążają zarówno notariuszy, strony tych czynności (tu: w zakresie zapłaty kosztów sporządzenia wypisu z</w:t>
      </w:r>
      <w:r w:rsidR="005A1165"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przeznaczeniem dla organu podatkowego) jak i organy KAS, generując znaczne koszty administracyjne.</w:t>
      </w:r>
      <w:r w:rsidRPr="00A720EE">
        <w:rPr>
          <w:rFonts w:ascii="Times New Roman" w:hAnsi="Times New Roman" w:cs="Times New Roman"/>
          <w:sz w:val="24"/>
          <w:szCs w:val="24"/>
        </w:rPr>
        <w:t xml:space="preserve"> </w:t>
      </w:r>
    </w:p>
    <w:p w14:paraId="4E9CEA09" w14:textId="537E6F63" w:rsidR="006E7A7E" w:rsidRPr="00A720EE" w:rsidRDefault="00384A6A" w:rsidP="000151A2">
      <w:pPr>
        <w:spacing w:before="160" w:after="0"/>
        <w:jc w:val="both"/>
        <w:rPr>
          <w:rFonts w:ascii="Times New Roman" w:hAnsi="Times New Roman" w:cs="Times New Roman"/>
          <w:b/>
          <w:sz w:val="24"/>
          <w:szCs w:val="24"/>
          <w:lang w:eastAsia="pl-PL"/>
        </w:rPr>
      </w:pPr>
      <w:r w:rsidRPr="00A720EE">
        <w:rPr>
          <w:rFonts w:ascii="Times New Roman" w:hAnsi="Times New Roman" w:cs="Times New Roman"/>
          <w:sz w:val="24"/>
          <w:szCs w:val="24"/>
        </w:rPr>
        <w:t>Projektowana z</w:t>
      </w:r>
      <w:r w:rsidRPr="00A720EE">
        <w:rPr>
          <w:rFonts w:ascii="Times New Roman" w:eastAsiaTheme="minorEastAsia" w:hAnsi="Times New Roman" w:cs="Times New Roman"/>
          <w:sz w:val="24"/>
          <w:szCs w:val="24"/>
          <w:lang w:eastAsia="pl-PL"/>
        </w:rPr>
        <w:t>miana ustaw: Ordynacja podatkowa, ustawy o podatku od spadków i</w:t>
      </w:r>
      <w:r w:rsidR="005A1165"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 xml:space="preserve">darowizn, ustawy o PCC i ustawy o przeciwdziałaniu praniu pieniędzy oraz finansowaniu terroryzmu zapewni organom KAS dostęp do elektronicznych, w miejsce papierowych, informacji o </w:t>
      </w:r>
      <w:r w:rsidR="00035CC3" w:rsidRPr="00A720EE">
        <w:rPr>
          <w:rFonts w:ascii="Times New Roman" w:eastAsiaTheme="minorEastAsia" w:hAnsi="Times New Roman" w:cs="Times New Roman"/>
          <w:sz w:val="24"/>
          <w:szCs w:val="24"/>
          <w:lang w:eastAsia="pl-PL"/>
        </w:rPr>
        <w:t xml:space="preserve">ww. </w:t>
      </w:r>
      <w:r w:rsidRPr="00A720EE">
        <w:rPr>
          <w:rFonts w:ascii="Times New Roman" w:eastAsiaTheme="minorEastAsia" w:hAnsi="Times New Roman" w:cs="Times New Roman"/>
          <w:sz w:val="24"/>
          <w:szCs w:val="24"/>
          <w:lang w:eastAsia="pl-PL"/>
        </w:rPr>
        <w:t>zdarzeniach prawnych</w:t>
      </w:r>
      <w:r w:rsidR="00035CC3"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W</w:t>
      </w:r>
      <w:r w:rsidR="005A1165"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projekcie rezygnuje się z regulacji ustanawiających obowiązek przesyłania do organów podatkowych papierowych wypisów z tych czynności notarialnych, w miejsce informacji o</w:t>
      </w:r>
      <w:r w:rsidR="005A1165"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tych czynnościach przekazywanych za pomocą środków komunikacji elektronicznej przy wykorzystaniu systemu teleinformatycznego służącego przeciwdziałaniu praniu pieniędzy i</w:t>
      </w:r>
      <w:r w:rsidR="005A1165"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finansowaniu terroryzmu, który jest stosowany przez notariuszy od wielu lat. Jednocześnie z tymi informacji przekazywany b</w:t>
      </w:r>
      <w:r w:rsidR="00765649" w:rsidRPr="00A720EE">
        <w:rPr>
          <w:rFonts w:ascii="Times New Roman" w:eastAsiaTheme="minorEastAsia" w:hAnsi="Times New Roman" w:cs="Times New Roman"/>
          <w:sz w:val="24"/>
          <w:szCs w:val="24"/>
          <w:lang w:eastAsia="pl-PL"/>
        </w:rPr>
        <w:t>ędzie</w:t>
      </w:r>
      <w:r w:rsidRPr="00A720EE">
        <w:rPr>
          <w:rFonts w:ascii="Times New Roman" w:eastAsiaTheme="minorEastAsia" w:hAnsi="Times New Roman" w:cs="Times New Roman"/>
          <w:sz w:val="24"/>
          <w:szCs w:val="24"/>
          <w:lang w:eastAsia="pl-PL"/>
        </w:rPr>
        <w:t xml:space="preserve"> jeden z</w:t>
      </w:r>
      <w:r w:rsidR="005A1165"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 xml:space="preserve">wymienionych wyżej dokumentów z czynności notarialnej w formacie umożliwiającym elektroniczne przeszukiwanie </w:t>
      </w:r>
      <w:r w:rsidR="00765649" w:rsidRPr="00A720EE">
        <w:rPr>
          <w:rFonts w:ascii="Times New Roman" w:eastAsiaTheme="minorEastAsia" w:hAnsi="Times New Roman" w:cs="Times New Roman"/>
          <w:sz w:val="24"/>
          <w:szCs w:val="24"/>
          <w:lang w:eastAsia="pl-PL"/>
        </w:rPr>
        <w:t xml:space="preserve">i kopiowanie </w:t>
      </w:r>
      <w:r w:rsidRPr="00A720EE">
        <w:rPr>
          <w:rFonts w:ascii="Times New Roman" w:eastAsiaTheme="minorEastAsia" w:hAnsi="Times New Roman" w:cs="Times New Roman"/>
          <w:sz w:val="24"/>
          <w:szCs w:val="24"/>
          <w:lang w:eastAsia="pl-PL"/>
        </w:rPr>
        <w:t>jego treści</w:t>
      </w:r>
      <w:r w:rsidR="00765649" w:rsidRPr="00A720EE">
        <w:rPr>
          <w:rFonts w:ascii="Times New Roman" w:eastAsiaTheme="minorEastAsia" w:hAnsi="Times New Roman" w:cs="Times New Roman"/>
          <w:sz w:val="24"/>
          <w:szCs w:val="24"/>
          <w:lang w:eastAsia="pl-PL"/>
        </w:rPr>
        <w:t>.</w:t>
      </w:r>
    </w:p>
    <w:p w14:paraId="3356BE1F" w14:textId="42E3F408" w:rsidR="00E04297" w:rsidRPr="00C10205" w:rsidRDefault="00010C63" w:rsidP="00010C63">
      <w:pPr>
        <w:widowControl w:val="0"/>
        <w:autoSpaceDE w:val="0"/>
        <w:autoSpaceDN w:val="0"/>
        <w:adjustRightInd w:val="0"/>
        <w:spacing w:before="120" w:after="0" w:line="276" w:lineRule="auto"/>
        <w:jc w:val="both"/>
        <w:rPr>
          <w:rFonts w:ascii="Times New Roman" w:eastAsiaTheme="minorEastAsia" w:hAnsi="Times New Roman" w:cs="Times New Roman"/>
          <w:b/>
          <w:color w:val="000000" w:themeColor="text1"/>
          <w:sz w:val="24"/>
          <w:szCs w:val="24"/>
          <w:u w:val="single"/>
          <w:lang w:eastAsia="pl-PL"/>
        </w:rPr>
      </w:pPr>
      <w:r w:rsidRPr="00C10205">
        <w:rPr>
          <w:rFonts w:ascii="Times New Roman" w:eastAsiaTheme="minorEastAsia" w:hAnsi="Times New Roman" w:cs="Times New Roman"/>
          <w:b/>
          <w:color w:val="000000" w:themeColor="text1"/>
          <w:sz w:val="24"/>
          <w:szCs w:val="24"/>
          <w:lang w:eastAsia="pl-PL"/>
        </w:rPr>
        <w:t xml:space="preserve">II. </w:t>
      </w:r>
      <w:r w:rsidR="005A7883" w:rsidRPr="00C10205">
        <w:rPr>
          <w:rFonts w:ascii="Times New Roman" w:eastAsiaTheme="minorEastAsia" w:hAnsi="Times New Roman" w:cs="Times New Roman"/>
          <w:b/>
          <w:color w:val="000000" w:themeColor="text1"/>
          <w:sz w:val="24"/>
          <w:szCs w:val="24"/>
          <w:lang w:eastAsia="pl-PL"/>
        </w:rPr>
        <w:t>S</w:t>
      </w:r>
      <w:r w:rsidR="005E6C7B" w:rsidRPr="00C10205">
        <w:rPr>
          <w:rFonts w:ascii="Times New Roman" w:eastAsiaTheme="minorEastAsia" w:hAnsi="Times New Roman" w:cs="Times New Roman"/>
          <w:b/>
          <w:color w:val="000000" w:themeColor="text1"/>
          <w:sz w:val="24"/>
          <w:szCs w:val="24"/>
          <w:lang w:eastAsia="pl-PL"/>
        </w:rPr>
        <w:t>zczegółowe omówienie zmian</w:t>
      </w:r>
    </w:p>
    <w:p w14:paraId="213D2F6F" w14:textId="3E15A428" w:rsidR="00A879E2" w:rsidRPr="00A720EE" w:rsidRDefault="00010C63"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u w:val="single"/>
          <w:lang w:eastAsia="pl-PL"/>
        </w:rPr>
        <w:t>Art. 1 projektu ustawy</w:t>
      </w:r>
      <w:r w:rsidR="000B1556" w:rsidRPr="00A720EE">
        <w:rPr>
          <w:rFonts w:ascii="Times New Roman" w:eastAsiaTheme="minorEastAsia" w:hAnsi="Times New Roman" w:cs="Times New Roman"/>
          <w:b/>
          <w:sz w:val="24"/>
          <w:szCs w:val="24"/>
          <w:u w:val="single"/>
          <w:lang w:eastAsia="pl-PL"/>
        </w:rPr>
        <w:t xml:space="preserve"> </w:t>
      </w:r>
      <w:r w:rsidR="000B1556" w:rsidRPr="00A720EE">
        <w:rPr>
          <w:rFonts w:ascii="Times New Roman" w:eastAsia="Times New Roman" w:hAnsi="Times New Roman" w:cs="Times New Roman"/>
          <w:bCs/>
          <w:sz w:val="24"/>
          <w:szCs w:val="24"/>
          <w:lang w:eastAsia="pl-PL"/>
        </w:rPr>
        <w:t>– dotyczy zmian w ustawie CIT</w:t>
      </w:r>
    </w:p>
    <w:p w14:paraId="43518187" w14:textId="53A4D835" w:rsidR="00270705" w:rsidRPr="00A720EE" w:rsidRDefault="00270705"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643B95" w:rsidRPr="00A720EE">
        <w:rPr>
          <w:rFonts w:ascii="Times New Roman" w:eastAsiaTheme="minorEastAsia" w:hAnsi="Times New Roman" w:cs="Times New Roman"/>
          <w:b/>
          <w:sz w:val="24"/>
          <w:szCs w:val="24"/>
          <w:lang w:eastAsia="pl-PL"/>
        </w:rPr>
        <w:t>1</w:t>
      </w:r>
      <w:r w:rsidRPr="00A720EE">
        <w:rPr>
          <w:rFonts w:ascii="Times New Roman" w:eastAsiaTheme="minorEastAsia" w:hAnsi="Times New Roman" w:cs="Times New Roman"/>
          <w:b/>
          <w:sz w:val="24"/>
          <w:szCs w:val="24"/>
          <w:lang w:eastAsia="pl-PL"/>
        </w:rPr>
        <w:t xml:space="preserve"> – dotyczy art. 7aa ust. </w:t>
      </w:r>
      <w:r w:rsidR="00DC7078" w:rsidRPr="00A720EE">
        <w:rPr>
          <w:rFonts w:ascii="Times New Roman" w:eastAsiaTheme="minorEastAsia" w:hAnsi="Times New Roman" w:cs="Times New Roman"/>
          <w:b/>
          <w:sz w:val="24"/>
          <w:szCs w:val="24"/>
          <w:lang w:eastAsia="pl-PL"/>
        </w:rPr>
        <w:t>5</w:t>
      </w:r>
      <w:r w:rsidRPr="00A720EE">
        <w:rPr>
          <w:rFonts w:ascii="Times New Roman" w:eastAsiaTheme="minorEastAsia" w:hAnsi="Times New Roman" w:cs="Times New Roman"/>
          <w:b/>
          <w:sz w:val="24"/>
          <w:szCs w:val="24"/>
          <w:lang w:eastAsia="pl-PL"/>
        </w:rPr>
        <w:t xml:space="preserve"> pkt 1 i ust. 9 pkt 4</w:t>
      </w:r>
    </w:p>
    <w:p w14:paraId="28E2E778" w14:textId="77777777" w:rsidR="003A3719"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art. 7aa </w:t>
      </w:r>
      <w:r w:rsidRPr="00A720EE">
        <w:rPr>
          <w:rFonts w:ascii="Times New Roman" w:eastAsiaTheme="minorEastAsia" w:hAnsi="Times New Roman" w:cs="Times New Roman"/>
          <w:sz w:val="24"/>
          <w:szCs w:val="24"/>
          <w:u w:val="single"/>
          <w:lang w:eastAsia="pl-PL"/>
        </w:rPr>
        <w:t>ust. 5 pkt 1</w:t>
      </w:r>
      <w:r w:rsidRPr="00A720EE">
        <w:rPr>
          <w:rFonts w:ascii="Times New Roman" w:eastAsiaTheme="minorEastAsia" w:hAnsi="Times New Roman" w:cs="Times New Roman"/>
          <w:sz w:val="24"/>
          <w:szCs w:val="24"/>
          <w:lang w:eastAsia="pl-PL"/>
        </w:rPr>
        <w:t xml:space="preserve"> ustawy CIT wyrazy „przez okres dłuższy niż cztery lata podatkowe” zastępuje się wyrazami „przez okres co najmniej czterech lat podatkowych”. </w:t>
      </w:r>
    </w:p>
    <w:p w14:paraId="23D6AEC0" w14:textId="77777777" w:rsidR="003A3719"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Propozycja zmiany polega na doprecyzowaniu przepisu określającego warunek wygaśnięcia zobowiązania podatkowego z tytułu tzw. korekty wstępnej poprzez dookreślenie, że zobowiązanie podatkowe z tytułu tzw. korekty wstępnej wygasa w całości po upływie co najmniej jednego pełnego okresu opodatkowania ryczałtem, tj. 4 lat podatkowych.</w:t>
      </w:r>
    </w:p>
    <w:p w14:paraId="7DFAD283" w14:textId="76074543" w:rsidR="003A3719"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art. 7aa </w:t>
      </w:r>
      <w:r w:rsidRPr="00A720EE">
        <w:rPr>
          <w:rFonts w:ascii="Times New Roman" w:eastAsiaTheme="minorEastAsia" w:hAnsi="Times New Roman" w:cs="Times New Roman"/>
          <w:sz w:val="24"/>
          <w:szCs w:val="24"/>
          <w:u w:val="single"/>
          <w:lang w:eastAsia="pl-PL"/>
        </w:rPr>
        <w:t>ust. 9 pkt 4</w:t>
      </w:r>
      <w:r w:rsidRPr="00A720EE">
        <w:rPr>
          <w:rFonts w:ascii="Times New Roman" w:eastAsiaTheme="minorEastAsia" w:hAnsi="Times New Roman" w:cs="Times New Roman"/>
          <w:sz w:val="24"/>
          <w:szCs w:val="24"/>
          <w:lang w:eastAsia="pl-PL"/>
        </w:rPr>
        <w:t xml:space="preserve"> ustawy CIT wyrazy „w całości w terminie wskazanym w art. 27 ust. 1” zastępuje się wyrazami „w całości </w:t>
      </w:r>
      <w:r w:rsidR="005A2FF8" w:rsidRPr="00A720EE">
        <w:rPr>
          <w:rFonts w:ascii="Times New Roman" w:eastAsiaTheme="minorEastAsia" w:hAnsi="Times New Roman" w:cs="Times New Roman"/>
          <w:sz w:val="24"/>
          <w:szCs w:val="24"/>
          <w:lang w:eastAsia="pl-PL"/>
        </w:rPr>
        <w:t>do końca trzeciego miesiąca pierwszego roku opodatkowania ryczałtem od dochodów spółek</w:t>
      </w:r>
      <w:r w:rsidRPr="00A720EE">
        <w:rPr>
          <w:rFonts w:ascii="Times New Roman" w:eastAsiaTheme="minorEastAsia" w:hAnsi="Times New Roman" w:cs="Times New Roman"/>
          <w:sz w:val="24"/>
          <w:szCs w:val="24"/>
          <w:lang w:eastAsia="pl-PL"/>
        </w:rPr>
        <w:t xml:space="preserve">”, a po wyrazach „o którym mowa w art. 27 ust. 1” dodaje się wyrazy „składanym w terminie </w:t>
      </w:r>
      <w:r w:rsidR="005A2FF8" w:rsidRPr="00A720EE">
        <w:rPr>
          <w:rFonts w:ascii="Times New Roman" w:eastAsiaTheme="minorEastAsia" w:hAnsi="Times New Roman" w:cs="Times New Roman"/>
          <w:sz w:val="24"/>
          <w:szCs w:val="24"/>
          <w:lang w:eastAsia="pl-PL"/>
        </w:rPr>
        <w:t xml:space="preserve">określonym </w:t>
      </w:r>
      <w:r w:rsidRPr="00A720EE">
        <w:rPr>
          <w:rFonts w:ascii="Times New Roman" w:eastAsiaTheme="minorEastAsia" w:hAnsi="Times New Roman" w:cs="Times New Roman"/>
          <w:sz w:val="24"/>
          <w:szCs w:val="24"/>
          <w:lang w:eastAsia="pl-PL"/>
        </w:rPr>
        <w:t>w pkt 2.”.</w:t>
      </w:r>
    </w:p>
    <w:p w14:paraId="1A6AF8D5" w14:textId="77777777" w:rsidR="00270705"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lastRenderedPageBreak/>
        <w:t>Propozycja zmiany polega na doprecyzowaniu przepisu określającego termin na zapłatę podatku należnego od dochodu z przekształcenia poprzez odesłanie do art. 7aa ust. 9 pkt 2 ustawy CIT w zakresie terminu zapłaty podatku oraz terminu złożenia zeznania, tj. do końca trzeciego miesiąca pierwszego roku opodatkowania ryczałtem od dochodów spółek.</w:t>
      </w:r>
    </w:p>
    <w:p w14:paraId="14D8C5FE" w14:textId="77777777" w:rsidR="00BE3CE5" w:rsidRPr="00A720EE" w:rsidRDefault="00643B95" w:rsidP="003A3719">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Art. 1 pkt 2</w:t>
      </w:r>
      <w:r w:rsidR="00BE3CE5" w:rsidRPr="00A720EE">
        <w:rPr>
          <w:rFonts w:ascii="Times New Roman" w:eastAsiaTheme="minorEastAsia" w:hAnsi="Times New Roman" w:cs="Times New Roman"/>
          <w:b/>
          <w:sz w:val="24"/>
          <w:szCs w:val="24"/>
          <w:lang w:eastAsia="pl-PL"/>
        </w:rPr>
        <w:t xml:space="preserve"> – dotyczy art. 9 ust. 1c</w:t>
      </w:r>
    </w:p>
    <w:p w14:paraId="5B30671B" w14:textId="77777777" w:rsidR="00E83893" w:rsidRPr="00A720EE" w:rsidRDefault="00E83893"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 art. 9 ust. 1c ustawy CIT po wyrazach „art. 27 ust. 1” dodaje się wyrazy „albo deklaracji, o której mowa w art. 28r ust. 1”.</w:t>
      </w:r>
    </w:p>
    <w:p w14:paraId="6AF05BBC" w14:textId="0FF91DA5" w:rsidR="00BE3CE5" w:rsidRPr="00A720EE" w:rsidRDefault="00E83893"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Propozycja zmiany polega na doprecyzowaniu przepisu określającego termin na </w:t>
      </w:r>
      <w:r w:rsidRPr="00A720EE">
        <w:rPr>
          <w:rFonts w:ascii="Times New Roman" w:hAnsi="Times New Roman" w:cs="Times New Roman"/>
          <w:sz w:val="24"/>
          <w:szCs w:val="24"/>
        </w:rPr>
        <w:t>przesłanie do urzędu skarbowego ksiąg rachunkowych przez podatników opodatkowanych ryczałtem od dochodów spółek, o którym mowa w Rozdziale 6b ustawy CIT.</w:t>
      </w:r>
      <w:r w:rsidRPr="00A720EE" w:rsidDel="00E83893">
        <w:rPr>
          <w:rFonts w:ascii="Times New Roman" w:eastAsiaTheme="minorEastAsia" w:hAnsi="Times New Roman" w:cs="Times New Roman"/>
          <w:sz w:val="24"/>
          <w:szCs w:val="24"/>
          <w:lang w:eastAsia="pl-PL"/>
        </w:rPr>
        <w:t xml:space="preserve"> </w:t>
      </w:r>
    </w:p>
    <w:p w14:paraId="21FC2ED7" w14:textId="62F2F19F" w:rsidR="00BE3CE5" w:rsidRPr="00A720EE" w:rsidRDefault="00643B95" w:rsidP="003A3719">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Art. 1 pkt 3</w:t>
      </w:r>
      <w:r w:rsidR="00BE3CE5" w:rsidRPr="00A720EE">
        <w:rPr>
          <w:rFonts w:ascii="Times New Roman" w:eastAsiaTheme="minorEastAsia" w:hAnsi="Times New Roman" w:cs="Times New Roman"/>
          <w:b/>
          <w:sz w:val="24"/>
          <w:szCs w:val="24"/>
          <w:lang w:eastAsia="pl-PL"/>
        </w:rPr>
        <w:t xml:space="preserve"> – dotyczy art. 11b</w:t>
      </w:r>
      <w:r w:rsidR="00B73B1B" w:rsidRPr="00A720EE">
        <w:rPr>
          <w:rFonts w:ascii="Times New Roman" w:eastAsiaTheme="minorEastAsia" w:hAnsi="Times New Roman" w:cs="Times New Roman"/>
          <w:b/>
          <w:sz w:val="24"/>
          <w:szCs w:val="24"/>
          <w:lang w:eastAsia="pl-PL"/>
        </w:rPr>
        <w:t xml:space="preserve"> pkt 1</w:t>
      </w:r>
      <w:r w:rsidR="00AE178C" w:rsidRPr="00A720EE">
        <w:rPr>
          <w:rFonts w:ascii="Times New Roman" w:eastAsiaTheme="minorEastAsia" w:hAnsi="Times New Roman" w:cs="Times New Roman"/>
          <w:b/>
          <w:sz w:val="24"/>
          <w:szCs w:val="24"/>
          <w:lang w:eastAsia="pl-PL"/>
        </w:rPr>
        <w:t xml:space="preserve"> (tożsama zmiana w art. </w:t>
      </w:r>
      <w:r w:rsidR="007408A9" w:rsidRPr="00A720EE">
        <w:rPr>
          <w:rFonts w:ascii="Times New Roman" w:eastAsiaTheme="minorEastAsia" w:hAnsi="Times New Roman" w:cs="Times New Roman"/>
          <w:b/>
          <w:sz w:val="24"/>
          <w:szCs w:val="24"/>
          <w:lang w:eastAsia="pl-PL"/>
        </w:rPr>
        <w:t>3</w:t>
      </w:r>
      <w:r w:rsidR="00AE178C" w:rsidRPr="00A720EE">
        <w:rPr>
          <w:rFonts w:ascii="Times New Roman" w:eastAsiaTheme="minorEastAsia" w:hAnsi="Times New Roman" w:cs="Times New Roman"/>
          <w:b/>
          <w:sz w:val="24"/>
          <w:szCs w:val="24"/>
          <w:lang w:eastAsia="pl-PL"/>
        </w:rPr>
        <w:t xml:space="preserve"> pkt 2 – dotyczy art. 23n ustawy PIT)</w:t>
      </w:r>
    </w:p>
    <w:p w14:paraId="629DA52D" w14:textId="77777777" w:rsidR="00BE3CE5" w:rsidRPr="00A720EE" w:rsidRDefault="00AE178C"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Doprecyzowano treść art. 11b pkt 1 ustawy CIT. Obecnie wyłączenie przepisów Rozdziału 1a ustawy CIT ma zastosowanie jedynie do transakcji kontrolowanych, w których cena lub sposób określenia ceny przedmiotu takiej transakcji kontrolowanej wynika z przepisów ustaw lub wydanych na ich podstawie aktów normatywnych. Przepis rozszerzono o transakcje inne niż kontrolowane, do których również zgodnie z art. 11i będzie miała zastosowanie zasada ceny rynkowej. W związku z tym jeśli w przypadku, gdy cena transakcji (lub sposób jej ustalenia) wynika z przepisów prawa to do takich transakcji innych niż kontrolowane również powinno się stosować wyłączenie z art. 11b.</w:t>
      </w:r>
    </w:p>
    <w:p w14:paraId="54D69C98" w14:textId="422AFECF" w:rsidR="00250780" w:rsidRPr="00A720EE" w:rsidRDefault="00250780"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643B95" w:rsidRPr="00A720EE">
        <w:rPr>
          <w:rFonts w:ascii="Times New Roman" w:eastAsiaTheme="minorEastAsia" w:hAnsi="Times New Roman" w:cs="Times New Roman"/>
          <w:b/>
          <w:sz w:val="24"/>
          <w:szCs w:val="24"/>
          <w:lang w:eastAsia="pl-PL"/>
        </w:rPr>
        <w:t>4</w:t>
      </w:r>
      <w:r w:rsidRPr="00A720EE">
        <w:rPr>
          <w:rFonts w:ascii="Times New Roman" w:eastAsiaTheme="minorEastAsia" w:hAnsi="Times New Roman" w:cs="Times New Roman"/>
          <w:b/>
          <w:sz w:val="24"/>
          <w:szCs w:val="24"/>
          <w:lang w:eastAsia="pl-PL"/>
        </w:rPr>
        <w:t xml:space="preserve"> – dotyczy art. 11i </w:t>
      </w:r>
      <w:r w:rsidR="006B0072" w:rsidRPr="00A720EE">
        <w:rPr>
          <w:rFonts w:ascii="Times New Roman" w:eastAsiaTheme="minorEastAsia" w:hAnsi="Times New Roman" w:cs="Times New Roman"/>
          <w:b/>
          <w:sz w:val="24"/>
          <w:szCs w:val="24"/>
          <w:lang w:eastAsia="pl-PL"/>
        </w:rPr>
        <w:t xml:space="preserve">(tożsama zmiana w art. </w:t>
      </w:r>
      <w:r w:rsidR="007408A9" w:rsidRPr="00A720EE">
        <w:rPr>
          <w:rFonts w:ascii="Times New Roman" w:eastAsiaTheme="minorEastAsia" w:hAnsi="Times New Roman" w:cs="Times New Roman"/>
          <w:b/>
          <w:sz w:val="24"/>
          <w:szCs w:val="24"/>
          <w:lang w:eastAsia="pl-PL"/>
        </w:rPr>
        <w:t>3</w:t>
      </w:r>
      <w:r w:rsidR="006B0072" w:rsidRPr="00A720EE">
        <w:rPr>
          <w:rFonts w:ascii="Times New Roman" w:eastAsiaTheme="minorEastAsia" w:hAnsi="Times New Roman" w:cs="Times New Roman"/>
          <w:b/>
          <w:sz w:val="24"/>
          <w:szCs w:val="24"/>
          <w:lang w:eastAsia="pl-PL"/>
        </w:rPr>
        <w:t xml:space="preserve"> pkt </w:t>
      </w:r>
      <w:r w:rsidR="00AE178C" w:rsidRPr="00A720EE">
        <w:rPr>
          <w:rFonts w:ascii="Times New Roman" w:eastAsiaTheme="minorEastAsia" w:hAnsi="Times New Roman" w:cs="Times New Roman"/>
          <w:b/>
          <w:sz w:val="24"/>
          <w:szCs w:val="24"/>
          <w:lang w:eastAsia="pl-PL"/>
        </w:rPr>
        <w:t>3</w:t>
      </w:r>
      <w:r w:rsidR="006B0072" w:rsidRPr="00A720EE">
        <w:rPr>
          <w:rFonts w:ascii="Times New Roman" w:eastAsiaTheme="minorEastAsia" w:hAnsi="Times New Roman" w:cs="Times New Roman"/>
          <w:b/>
          <w:sz w:val="24"/>
          <w:szCs w:val="24"/>
          <w:lang w:eastAsia="pl-PL"/>
        </w:rPr>
        <w:t xml:space="preserve"> – dotyczy art. 23u</w:t>
      </w:r>
      <w:r w:rsidR="000F7E53" w:rsidRPr="00A720EE">
        <w:rPr>
          <w:rFonts w:ascii="Times New Roman" w:eastAsiaTheme="minorEastAsia" w:hAnsi="Times New Roman" w:cs="Times New Roman"/>
          <w:b/>
          <w:sz w:val="24"/>
          <w:szCs w:val="24"/>
          <w:lang w:eastAsia="pl-PL"/>
        </w:rPr>
        <w:t xml:space="preserve"> ustawy PIT</w:t>
      </w:r>
      <w:r w:rsidR="006B0072" w:rsidRPr="00A720EE">
        <w:rPr>
          <w:rFonts w:ascii="Times New Roman" w:eastAsiaTheme="minorEastAsia" w:hAnsi="Times New Roman" w:cs="Times New Roman"/>
          <w:b/>
          <w:sz w:val="24"/>
          <w:szCs w:val="24"/>
          <w:lang w:eastAsia="pl-PL"/>
        </w:rPr>
        <w:t>)</w:t>
      </w:r>
    </w:p>
    <w:p w14:paraId="4842469D" w14:textId="31BE7287" w:rsidR="00250780" w:rsidRPr="00A720EE" w:rsidRDefault="00AE178C" w:rsidP="00010C6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Nadano nowe brzmienie art. 11i. Uchylono stosowanie zasady ceny rynkowej w do transakcji innych niż kontrolowane, w których rzeczywisty właściciel jest podmiotem rajowym. Zaproponowano, aby zasadę tę stosować jedynie do bezpośrednich transakcji </w:t>
      </w:r>
      <w:r w:rsidR="000931FC" w:rsidRPr="00A720EE">
        <w:rPr>
          <w:rFonts w:ascii="Times New Roman" w:eastAsiaTheme="minorEastAsia" w:hAnsi="Times New Roman" w:cs="Times New Roman"/>
          <w:sz w:val="24"/>
          <w:szCs w:val="24"/>
          <w:lang w:eastAsia="pl-PL"/>
        </w:rPr>
        <w:t>innych niż kontrolowane z</w:t>
      </w:r>
      <w:r w:rsidRPr="00A720EE">
        <w:rPr>
          <w:rFonts w:ascii="Times New Roman" w:eastAsiaTheme="minorEastAsia" w:hAnsi="Times New Roman" w:cs="Times New Roman"/>
          <w:sz w:val="24"/>
          <w:szCs w:val="24"/>
          <w:lang w:eastAsia="pl-PL"/>
        </w:rPr>
        <w:t xml:space="preserve"> podmiotem </w:t>
      </w:r>
      <w:r w:rsidR="000931FC" w:rsidRPr="00A720EE">
        <w:rPr>
          <w:rFonts w:ascii="Times New Roman" w:eastAsiaTheme="minorEastAsia" w:hAnsi="Times New Roman" w:cs="Times New Roman"/>
          <w:sz w:val="24"/>
          <w:szCs w:val="24"/>
          <w:lang w:eastAsia="pl-PL"/>
        </w:rPr>
        <w:t>rajowym</w:t>
      </w:r>
      <w:r w:rsidRPr="00A720EE">
        <w:rPr>
          <w:rFonts w:ascii="Times New Roman" w:eastAsiaTheme="minorEastAsia" w:hAnsi="Times New Roman" w:cs="Times New Roman"/>
          <w:sz w:val="24"/>
          <w:szCs w:val="24"/>
          <w:lang w:eastAsia="pl-PL"/>
        </w:rPr>
        <w:t xml:space="preserve">, lub z położonym </w:t>
      </w:r>
      <w:r w:rsidR="000931FC" w:rsidRPr="00A720EE">
        <w:rPr>
          <w:rFonts w:ascii="Times New Roman" w:eastAsiaTheme="minorEastAsia" w:hAnsi="Times New Roman" w:cs="Times New Roman"/>
          <w:sz w:val="24"/>
          <w:szCs w:val="24"/>
          <w:lang w:eastAsia="pl-PL"/>
        </w:rPr>
        <w:t>w raju podatkowym zagranicznym zakładem. Projekt doprecyzowywane warunki stosowania zasady ceny rynkowej dla transakcji rajowych. W takim przypadku należało będzie uwzględnić</w:t>
      </w:r>
      <w:r w:rsidRPr="00A720EE">
        <w:rPr>
          <w:rFonts w:ascii="Times New Roman" w:eastAsiaTheme="minorEastAsia" w:hAnsi="Times New Roman" w:cs="Times New Roman"/>
          <w:sz w:val="24"/>
          <w:szCs w:val="24"/>
          <w:lang w:eastAsia="pl-PL"/>
        </w:rPr>
        <w:t xml:space="preserve"> warunki, które ustaliłyby między sobą podmioty niepowiązane, z których żaden nie </w:t>
      </w:r>
      <w:r w:rsidR="000931FC" w:rsidRPr="00A720EE">
        <w:rPr>
          <w:rFonts w:ascii="Times New Roman" w:eastAsiaTheme="minorEastAsia" w:hAnsi="Times New Roman" w:cs="Times New Roman"/>
          <w:sz w:val="24"/>
          <w:szCs w:val="24"/>
          <w:lang w:eastAsia="pl-PL"/>
        </w:rPr>
        <w:t>jest podmiotem rajowym</w:t>
      </w:r>
      <w:r w:rsidRPr="00A720EE">
        <w:rPr>
          <w:rFonts w:ascii="Times New Roman" w:eastAsiaTheme="minorEastAsia" w:hAnsi="Times New Roman" w:cs="Times New Roman"/>
          <w:sz w:val="24"/>
          <w:szCs w:val="24"/>
          <w:lang w:eastAsia="pl-PL"/>
        </w:rPr>
        <w:t>.</w:t>
      </w:r>
    </w:p>
    <w:p w14:paraId="319BD53F" w14:textId="6D1E3507" w:rsidR="00250780" w:rsidRPr="00A720EE" w:rsidRDefault="00250780" w:rsidP="00010C63">
      <w:pPr>
        <w:widowControl w:val="0"/>
        <w:autoSpaceDE w:val="0"/>
        <w:autoSpaceDN w:val="0"/>
        <w:adjustRightInd w:val="0"/>
        <w:spacing w:before="120" w:after="0" w:line="276" w:lineRule="auto"/>
        <w:jc w:val="both"/>
        <w:rPr>
          <w:rFonts w:ascii="Times New Roman" w:eastAsia="Times New Roman"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643B95" w:rsidRPr="00A720EE">
        <w:rPr>
          <w:rFonts w:ascii="Times New Roman" w:eastAsiaTheme="minorEastAsia" w:hAnsi="Times New Roman" w:cs="Times New Roman"/>
          <w:b/>
          <w:sz w:val="24"/>
          <w:szCs w:val="24"/>
          <w:lang w:eastAsia="pl-PL"/>
        </w:rPr>
        <w:t>5</w:t>
      </w:r>
      <w:r w:rsidRPr="00A720EE">
        <w:rPr>
          <w:rFonts w:ascii="Times New Roman" w:eastAsiaTheme="minorEastAsia" w:hAnsi="Times New Roman" w:cs="Times New Roman"/>
          <w:b/>
          <w:sz w:val="24"/>
          <w:szCs w:val="24"/>
          <w:lang w:eastAsia="pl-PL"/>
        </w:rPr>
        <w:t xml:space="preserve"> – dotyczy </w:t>
      </w:r>
      <w:r w:rsidRPr="00A720EE">
        <w:rPr>
          <w:rFonts w:ascii="Times New Roman" w:eastAsia="Times New Roman" w:hAnsi="Times New Roman" w:cs="Times New Roman"/>
          <w:b/>
          <w:sz w:val="24"/>
          <w:szCs w:val="24"/>
          <w:lang w:eastAsia="pl-PL"/>
        </w:rPr>
        <w:t>art. 11k</w:t>
      </w:r>
      <w:r w:rsidR="006B0072" w:rsidRPr="00A720EE">
        <w:rPr>
          <w:rFonts w:ascii="Times New Roman" w:eastAsia="Times New Roman" w:hAnsi="Times New Roman" w:cs="Times New Roman"/>
          <w:b/>
          <w:sz w:val="24"/>
          <w:szCs w:val="24"/>
          <w:lang w:eastAsia="pl-PL"/>
        </w:rPr>
        <w:t xml:space="preserve"> </w:t>
      </w:r>
      <w:r w:rsidR="000931FC" w:rsidRPr="00A720EE">
        <w:rPr>
          <w:rFonts w:ascii="Times New Roman" w:eastAsia="Times New Roman" w:hAnsi="Times New Roman" w:cs="Times New Roman"/>
          <w:b/>
          <w:sz w:val="24"/>
          <w:szCs w:val="24"/>
          <w:lang w:eastAsia="pl-PL"/>
        </w:rPr>
        <w:t xml:space="preserve">ust. 2a </w:t>
      </w:r>
      <w:r w:rsidR="006B0072" w:rsidRPr="00A720EE">
        <w:rPr>
          <w:rFonts w:ascii="Times New Roman" w:eastAsia="Times New Roman" w:hAnsi="Times New Roman" w:cs="Times New Roman"/>
          <w:b/>
          <w:sz w:val="24"/>
          <w:szCs w:val="24"/>
          <w:lang w:eastAsia="pl-PL"/>
        </w:rPr>
        <w:t xml:space="preserve">(tożsama zmiana w art. </w:t>
      </w:r>
      <w:r w:rsidR="007408A9" w:rsidRPr="00A720EE">
        <w:rPr>
          <w:rFonts w:ascii="Times New Roman" w:eastAsia="Times New Roman" w:hAnsi="Times New Roman" w:cs="Times New Roman"/>
          <w:b/>
          <w:sz w:val="24"/>
          <w:szCs w:val="24"/>
          <w:lang w:eastAsia="pl-PL"/>
        </w:rPr>
        <w:t>3</w:t>
      </w:r>
      <w:r w:rsidR="006B0072" w:rsidRPr="00A720EE">
        <w:rPr>
          <w:rFonts w:ascii="Times New Roman" w:eastAsia="Times New Roman" w:hAnsi="Times New Roman" w:cs="Times New Roman"/>
          <w:b/>
          <w:sz w:val="24"/>
          <w:szCs w:val="24"/>
          <w:lang w:eastAsia="pl-PL"/>
        </w:rPr>
        <w:t xml:space="preserve"> pkt </w:t>
      </w:r>
      <w:r w:rsidR="000931FC" w:rsidRPr="00A720EE">
        <w:rPr>
          <w:rFonts w:ascii="Times New Roman" w:eastAsia="Times New Roman" w:hAnsi="Times New Roman" w:cs="Times New Roman"/>
          <w:b/>
          <w:sz w:val="24"/>
          <w:szCs w:val="24"/>
          <w:lang w:eastAsia="pl-PL"/>
        </w:rPr>
        <w:t>4</w:t>
      </w:r>
      <w:r w:rsidR="006B0072" w:rsidRPr="00A720EE">
        <w:rPr>
          <w:rFonts w:ascii="Times New Roman" w:eastAsia="Times New Roman" w:hAnsi="Times New Roman" w:cs="Times New Roman"/>
          <w:b/>
          <w:sz w:val="24"/>
          <w:szCs w:val="24"/>
          <w:lang w:eastAsia="pl-PL"/>
        </w:rPr>
        <w:t xml:space="preserve"> – dotyczy art. 23w</w:t>
      </w:r>
      <w:r w:rsidR="000931FC" w:rsidRPr="00A720EE">
        <w:rPr>
          <w:rFonts w:ascii="Times New Roman" w:eastAsia="Times New Roman" w:hAnsi="Times New Roman" w:cs="Times New Roman"/>
          <w:b/>
          <w:sz w:val="24"/>
          <w:szCs w:val="24"/>
          <w:lang w:eastAsia="pl-PL"/>
        </w:rPr>
        <w:t xml:space="preserve"> ust. 2a</w:t>
      </w:r>
      <w:r w:rsidR="000F7E53" w:rsidRPr="00A720EE">
        <w:rPr>
          <w:rFonts w:ascii="Times New Roman" w:eastAsia="Times New Roman" w:hAnsi="Times New Roman" w:cs="Times New Roman"/>
          <w:b/>
          <w:sz w:val="24"/>
          <w:szCs w:val="24"/>
          <w:lang w:eastAsia="pl-PL"/>
        </w:rPr>
        <w:t xml:space="preserve"> ustawy PIT</w:t>
      </w:r>
      <w:r w:rsidR="006B0072" w:rsidRPr="00A720EE">
        <w:rPr>
          <w:rFonts w:ascii="Times New Roman" w:eastAsia="Times New Roman" w:hAnsi="Times New Roman" w:cs="Times New Roman"/>
          <w:b/>
          <w:sz w:val="24"/>
          <w:szCs w:val="24"/>
          <w:lang w:eastAsia="pl-PL"/>
        </w:rPr>
        <w:t>)</w:t>
      </w:r>
    </w:p>
    <w:p w14:paraId="27668375" w14:textId="31B9E479" w:rsidR="000931FC" w:rsidRPr="00A720EE" w:rsidRDefault="000931FC" w:rsidP="001C6FCA">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Zaproponowano now</w:t>
      </w:r>
      <w:r w:rsidR="000150F7" w:rsidRPr="00A720EE">
        <w:rPr>
          <w:rFonts w:ascii="Times New Roman" w:eastAsia="Times New Roman" w:hAnsi="Times New Roman" w:cs="Times New Roman"/>
          <w:sz w:val="24"/>
          <w:szCs w:val="24"/>
          <w:lang w:eastAsia="pl-PL"/>
        </w:rPr>
        <w:t>e</w:t>
      </w:r>
      <w:r w:rsidRPr="00A720EE">
        <w:rPr>
          <w:rFonts w:ascii="Times New Roman" w:eastAsia="Times New Roman" w:hAnsi="Times New Roman" w:cs="Times New Roman"/>
          <w:sz w:val="24"/>
          <w:szCs w:val="24"/>
          <w:lang w:eastAsia="pl-PL"/>
        </w:rPr>
        <w:t xml:space="preserve"> </w:t>
      </w:r>
      <w:r w:rsidR="000150F7" w:rsidRPr="00A720EE">
        <w:rPr>
          <w:rFonts w:ascii="Times New Roman" w:eastAsia="Times New Roman" w:hAnsi="Times New Roman" w:cs="Times New Roman"/>
          <w:sz w:val="24"/>
          <w:szCs w:val="24"/>
          <w:lang w:eastAsia="pl-PL"/>
        </w:rPr>
        <w:t>brzmienie</w:t>
      </w:r>
      <w:r w:rsidRPr="00A720EE">
        <w:rPr>
          <w:rFonts w:ascii="Times New Roman" w:eastAsia="Times New Roman" w:hAnsi="Times New Roman" w:cs="Times New Roman"/>
          <w:sz w:val="24"/>
          <w:szCs w:val="24"/>
          <w:lang w:eastAsia="pl-PL"/>
        </w:rPr>
        <w:t xml:space="preserve"> ust. 2a w art. 11k ustawy CIT. Zmiana polega na podniesieniu progów dokumentacyjnych oraz doprecyzowaniu, że przepis ten dotyczy również zagranicznego zakładu położonego w raju podatkowym.</w:t>
      </w:r>
    </w:p>
    <w:p w14:paraId="22CDE736" w14:textId="3483FF5C" w:rsidR="000931FC" w:rsidRPr="00A720EE" w:rsidRDefault="000931FC">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Zaproponowano nowe progi istotności dla rajowych transakcji kontrolowanych. Podstawowy próg podniesiono do kwoty 500 tys. zł. Wyodrębniono również próg dla transakcji finansowych w kwocie 2,5 mln zł.</w:t>
      </w:r>
    </w:p>
    <w:p w14:paraId="7464093F" w14:textId="711403D7" w:rsidR="009E31DB" w:rsidRPr="00A720EE" w:rsidRDefault="009E31DB" w:rsidP="00F07620">
      <w:pPr>
        <w:widowControl w:val="0"/>
        <w:autoSpaceDE w:val="0"/>
        <w:autoSpaceDN w:val="0"/>
        <w:adjustRightInd w:val="0"/>
        <w:spacing w:before="120" w:after="0" w:line="276" w:lineRule="auto"/>
        <w:jc w:val="both"/>
        <w:rPr>
          <w:rFonts w:ascii="Times New Roman" w:hAnsi="Times New Roman" w:cs="Times New Roman"/>
          <w:b/>
          <w:sz w:val="24"/>
          <w:szCs w:val="24"/>
        </w:rPr>
      </w:pPr>
      <w:r w:rsidRPr="00A720EE">
        <w:rPr>
          <w:rFonts w:ascii="Times New Roman" w:hAnsi="Times New Roman" w:cs="Times New Roman"/>
          <w:b/>
          <w:sz w:val="24"/>
          <w:szCs w:val="24"/>
        </w:rPr>
        <w:t xml:space="preserve">Art. 1 pkt </w:t>
      </w:r>
      <w:r w:rsidR="00643B95" w:rsidRPr="00A720EE">
        <w:rPr>
          <w:rFonts w:ascii="Times New Roman" w:hAnsi="Times New Roman" w:cs="Times New Roman"/>
          <w:b/>
          <w:sz w:val="24"/>
          <w:szCs w:val="24"/>
        </w:rPr>
        <w:t>6</w:t>
      </w:r>
      <w:r w:rsidRPr="00A720EE">
        <w:rPr>
          <w:rFonts w:ascii="Times New Roman" w:hAnsi="Times New Roman" w:cs="Times New Roman"/>
          <w:b/>
          <w:sz w:val="24"/>
          <w:szCs w:val="24"/>
        </w:rPr>
        <w:t xml:space="preserve"> – dotyczy</w:t>
      </w:r>
      <w:r w:rsidR="007E6F45" w:rsidRPr="00A720EE">
        <w:rPr>
          <w:rFonts w:ascii="Times New Roman" w:hAnsi="Times New Roman" w:cs="Times New Roman"/>
          <w:b/>
          <w:sz w:val="24"/>
          <w:szCs w:val="24"/>
        </w:rPr>
        <w:t xml:space="preserve"> </w:t>
      </w:r>
      <w:r w:rsidR="00250780" w:rsidRPr="00A720EE">
        <w:rPr>
          <w:rFonts w:ascii="Times New Roman" w:hAnsi="Times New Roman" w:cs="Times New Roman"/>
          <w:b/>
          <w:sz w:val="24"/>
          <w:szCs w:val="24"/>
        </w:rPr>
        <w:t xml:space="preserve">art. 11o </w:t>
      </w:r>
      <w:r w:rsidR="007E6F45" w:rsidRPr="00A720EE">
        <w:rPr>
          <w:rFonts w:ascii="Times New Roman" w:hAnsi="Times New Roman" w:cs="Times New Roman"/>
          <w:b/>
          <w:sz w:val="24"/>
          <w:szCs w:val="24"/>
        </w:rPr>
        <w:t>ustawy CIT</w:t>
      </w:r>
      <w:r w:rsidR="006B0072" w:rsidRPr="00A720EE">
        <w:rPr>
          <w:rFonts w:ascii="Times New Roman" w:hAnsi="Times New Roman" w:cs="Times New Roman"/>
          <w:b/>
          <w:sz w:val="24"/>
          <w:szCs w:val="24"/>
        </w:rPr>
        <w:t xml:space="preserve"> (tożsama zmiana w art. </w:t>
      </w:r>
      <w:r w:rsidR="007408A9" w:rsidRPr="00A720EE">
        <w:rPr>
          <w:rFonts w:ascii="Times New Roman" w:hAnsi="Times New Roman" w:cs="Times New Roman"/>
          <w:b/>
          <w:sz w:val="24"/>
          <w:szCs w:val="24"/>
        </w:rPr>
        <w:t>3</w:t>
      </w:r>
      <w:r w:rsidR="006B0072" w:rsidRPr="00A720EE">
        <w:rPr>
          <w:rFonts w:ascii="Times New Roman" w:hAnsi="Times New Roman" w:cs="Times New Roman"/>
          <w:b/>
          <w:sz w:val="24"/>
          <w:szCs w:val="24"/>
        </w:rPr>
        <w:t xml:space="preserve"> pkt </w:t>
      </w:r>
      <w:r w:rsidR="00083C0C" w:rsidRPr="00A720EE">
        <w:rPr>
          <w:rFonts w:ascii="Times New Roman" w:hAnsi="Times New Roman" w:cs="Times New Roman"/>
          <w:b/>
          <w:sz w:val="24"/>
          <w:szCs w:val="24"/>
        </w:rPr>
        <w:t>5</w:t>
      </w:r>
      <w:r w:rsidR="006B0072" w:rsidRPr="00A720EE">
        <w:rPr>
          <w:rFonts w:ascii="Times New Roman" w:hAnsi="Times New Roman" w:cs="Times New Roman"/>
          <w:b/>
          <w:sz w:val="24"/>
          <w:szCs w:val="24"/>
        </w:rPr>
        <w:t xml:space="preserve"> – dotyczy</w:t>
      </w:r>
      <w:r w:rsidR="007E6F45" w:rsidRPr="00A720EE">
        <w:rPr>
          <w:rFonts w:ascii="Times New Roman" w:hAnsi="Times New Roman" w:cs="Times New Roman"/>
          <w:b/>
          <w:sz w:val="24"/>
          <w:szCs w:val="24"/>
        </w:rPr>
        <w:t xml:space="preserve"> </w:t>
      </w:r>
      <w:r w:rsidR="006B0072" w:rsidRPr="00A720EE">
        <w:rPr>
          <w:rFonts w:ascii="Times New Roman" w:hAnsi="Times New Roman" w:cs="Times New Roman"/>
          <w:b/>
          <w:sz w:val="24"/>
          <w:szCs w:val="24"/>
        </w:rPr>
        <w:t xml:space="preserve">art. 23za </w:t>
      </w:r>
      <w:r w:rsidR="007E6F45" w:rsidRPr="00A720EE">
        <w:rPr>
          <w:rFonts w:ascii="Times New Roman" w:hAnsi="Times New Roman" w:cs="Times New Roman"/>
          <w:b/>
          <w:sz w:val="24"/>
          <w:szCs w:val="24"/>
        </w:rPr>
        <w:t>ustawy PIT</w:t>
      </w:r>
      <w:r w:rsidR="006B0072" w:rsidRPr="00A720EE">
        <w:rPr>
          <w:rFonts w:ascii="Times New Roman" w:hAnsi="Times New Roman" w:cs="Times New Roman"/>
          <w:b/>
          <w:sz w:val="24"/>
          <w:szCs w:val="24"/>
        </w:rPr>
        <w:t>)</w:t>
      </w:r>
    </w:p>
    <w:p w14:paraId="3CC3B03F" w14:textId="25473CB3" w:rsidR="007E6F45" w:rsidRPr="00A720EE" w:rsidRDefault="007E6F45" w:rsidP="00F07620">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lastRenderedPageBreak/>
        <w:t>Projekt przewiduje nadanie nowego brzmienia</w:t>
      </w:r>
      <w:r w:rsidR="000F7E53" w:rsidRPr="00A720EE">
        <w:rPr>
          <w:rFonts w:ascii="Times New Roman" w:eastAsia="Times New Roman" w:hAnsi="Times New Roman" w:cs="Times New Roman"/>
          <w:sz w:val="24"/>
          <w:szCs w:val="24"/>
          <w:lang w:eastAsia="pl-PL"/>
        </w:rPr>
        <w:t xml:space="preserve"> ust. 1</w:t>
      </w:r>
      <w:r w:rsidRPr="00A720EE">
        <w:rPr>
          <w:rFonts w:ascii="Times New Roman" w:eastAsia="Times New Roman" w:hAnsi="Times New Roman" w:cs="Times New Roman"/>
          <w:sz w:val="24"/>
          <w:szCs w:val="24"/>
          <w:lang w:eastAsia="pl-PL"/>
        </w:rPr>
        <w:t xml:space="preserve"> </w:t>
      </w:r>
      <w:r w:rsidR="000F7E53" w:rsidRPr="00A720EE">
        <w:rPr>
          <w:rFonts w:ascii="Times New Roman" w:eastAsia="Times New Roman" w:hAnsi="Times New Roman" w:cs="Times New Roman"/>
          <w:sz w:val="24"/>
          <w:szCs w:val="24"/>
          <w:lang w:eastAsia="pl-PL"/>
        </w:rPr>
        <w:t xml:space="preserve">w </w:t>
      </w:r>
      <w:r w:rsidRPr="00A720EE">
        <w:rPr>
          <w:rFonts w:ascii="Times New Roman" w:eastAsia="Times New Roman" w:hAnsi="Times New Roman" w:cs="Times New Roman"/>
          <w:sz w:val="24"/>
          <w:szCs w:val="24"/>
          <w:lang w:eastAsia="pl-PL"/>
        </w:rPr>
        <w:t xml:space="preserve">art. 11o ustawy CIT </w:t>
      </w:r>
      <w:r w:rsidR="000F7E53" w:rsidRPr="00A720EE">
        <w:rPr>
          <w:rFonts w:ascii="Times New Roman" w:eastAsia="Times New Roman" w:hAnsi="Times New Roman" w:cs="Times New Roman"/>
          <w:sz w:val="24"/>
          <w:szCs w:val="24"/>
          <w:lang w:eastAsia="pl-PL"/>
        </w:rPr>
        <w:t>oraz uchyleni</w:t>
      </w:r>
      <w:r w:rsidR="002F331C" w:rsidRPr="00A720EE">
        <w:rPr>
          <w:rFonts w:ascii="Times New Roman" w:eastAsia="Times New Roman" w:hAnsi="Times New Roman" w:cs="Times New Roman"/>
          <w:sz w:val="24"/>
          <w:szCs w:val="24"/>
          <w:lang w:eastAsia="pl-PL"/>
        </w:rPr>
        <w:t>e</w:t>
      </w:r>
      <w:r w:rsidR="000F7E53" w:rsidRPr="00A720EE">
        <w:rPr>
          <w:rFonts w:ascii="Times New Roman" w:eastAsia="Times New Roman" w:hAnsi="Times New Roman" w:cs="Times New Roman"/>
          <w:sz w:val="24"/>
          <w:szCs w:val="24"/>
          <w:lang w:eastAsia="pl-PL"/>
        </w:rPr>
        <w:t xml:space="preserve"> ust. 1a i 1b tego artykułu.</w:t>
      </w:r>
    </w:p>
    <w:p w14:paraId="3DA51C55" w14:textId="5497CFA5" w:rsidR="00BF5852" w:rsidRPr="00A720EE" w:rsidRDefault="00C94ECD" w:rsidP="00BF5852">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Przepis u</w:t>
      </w:r>
      <w:r w:rsidR="000F7E53" w:rsidRPr="00A720EE">
        <w:rPr>
          <w:rFonts w:ascii="Times New Roman" w:eastAsia="Times New Roman" w:hAnsi="Times New Roman" w:cs="Times New Roman"/>
          <w:sz w:val="24"/>
          <w:szCs w:val="24"/>
          <w:lang w:eastAsia="pl-PL"/>
        </w:rPr>
        <w:t>st. 1 w</w:t>
      </w:r>
      <w:r w:rsidR="00BF5852" w:rsidRPr="00A720EE">
        <w:rPr>
          <w:rFonts w:ascii="Times New Roman" w:eastAsia="Times New Roman" w:hAnsi="Times New Roman" w:cs="Times New Roman"/>
          <w:sz w:val="24"/>
          <w:szCs w:val="24"/>
          <w:lang w:eastAsia="pl-PL"/>
        </w:rPr>
        <w:t>yraża obowiązek sporządzenia lokalnej dokumentacji cen transferowych nałożony na podatników i spółki niebędące osobami prawnymi, którzy dokonują transakcji innej niż kontrolowana z podmiotem mającym rezydencję podatkową w raju podatkowym</w:t>
      </w:r>
      <w:r w:rsidR="000F7E53" w:rsidRPr="00A720EE">
        <w:rPr>
          <w:rFonts w:ascii="Times New Roman" w:eastAsia="Times New Roman" w:hAnsi="Times New Roman" w:cs="Times New Roman"/>
          <w:sz w:val="24"/>
          <w:szCs w:val="24"/>
          <w:lang w:eastAsia="pl-PL"/>
        </w:rPr>
        <w:t xml:space="preserve"> lub z położonym w raju podatkowym zagranicznym zakładem. Przepis dotyczy bezpośrednich transakcji z podmiotem rajowym co nie oznacza automatycznie, że w przypadku transakcji zakupowych zapłata należności z tytułu takich transakcji musi trafiać bezpośrednio i wprost do kontrahenta w raju. Istotny jest natomiast fakt, iż transakcja jest przeprowadzana pomiędzy podmiotem krajowym a kontrahentem w raju podatkowym.</w:t>
      </w:r>
    </w:p>
    <w:p w14:paraId="023CBC21" w14:textId="618341DB" w:rsidR="00BF5852" w:rsidRPr="00A720EE" w:rsidRDefault="000F7E53" w:rsidP="00BF5852">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 xml:space="preserve">Zaproponowano podniesienie progów dokumentacyjnych. </w:t>
      </w:r>
      <w:r w:rsidR="00BF5852" w:rsidRPr="00A720EE">
        <w:rPr>
          <w:rFonts w:ascii="Times New Roman" w:eastAsia="Times New Roman" w:hAnsi="Times New Roman" w:cs="Times New Roman"/>
          <w:sz w:val="24"/>
          <w:szCs w:val="24"/>
          <w:lang w:eastAsia="pl-PL"/>
        </w:rPr>
        <w:t xml:space="preserve">Względem dotychczas obowiązującej treści art. 11o ustawy CIT zmieniony został próg istotności od którego należy realizować obowiązek, </w:t>
      </w:r>
      <w:r w:rsidR="008735C3" w:rsidRPr="00A720EE">
        <w:rPr>
          <w:rFonts w:ascii="Times New Roman" w:eastAsia="Times New Roman" w:hAnsi="Times New Roman" w:cs="Times New Roman"/>
          <w:sz w:val="24"/>
          <w:szCs w:val="24"/>
          <w:lang w:eastAsia="pl-PL"/>
        </w:rPr>
        <w:t xml:space="preserve">dla bezpośrednich transakcji rajowych </w:t>
      </w:r>
      <w:r w:rsidR="00BF5852" w:rsidRPr="00A720EE">
        <w:rPr>
          <w:rFonts w:ascii="Times New Roman" w:eastAsia="Times New Roman" w:hAnsi="Times New Roman" w:cs="Times New Roman"/>
          <w:sz w:val="24"/>
          <w:szCs w:val="24"/>
          <w:lang w:eastAsia="pl-PL"/>
        </w:rPr>
        <w:t xml:space="preserve">został on ustalony na poziomie </w:t>
      </w:r>
      <w:r w:rsidRPr="00A720EE">
        <w:rPr>
          <w:rFonts w:ascii="Times New Roman" w:eastAsia="Times New Roman" w:hAnsi="Times New Roman" w:cs="Times New Roman"/>
          <w:sz w:val="24"/>
          <w:szCs w:val="24"/>
          <w:lang w:eastAsia="pl-PL"/>
        </w:rPr>
        <w:t>5</w:t>
      </w:r>
      <w:r w:rsidR="00BF5852" w:rsidRPr="00A720EE">
        <w:rPr>
          <w:rFonts w:ascii="Times New Roman" w:eastAsia="Times New Roman" w:hAnsi="Times New Roman" w:cs="Times New Roman"/>
          <w:sz w:val="24"/>
          <w:szCs w:val="24"/>
          <w:lang w:eastAsia="pl-PL"/>
        </w:rPr>
        <w:t>00</w:t>
      </w:r>
      <w:r w:rsidRPr="00A720EE">
        <w:rPr>
          <w:rFonts w:ascii="Times New Roman" w:eastAsia="Times New Roman" w:hAnsi="Times New Roman" w:cs="Times New Roman"/>
          <w:sz w:val="24"/>
          <w:szCs w:val="24"/>
          <w:lang w:eastAsia="pl-PL"/>
        </w:rPr>
        <w:t xml:space="preserve"> tys.</w:t>
      </w:r>
      <w:r w:rsidR="00BF5852" w:rsidRPr="00A720EE">
        <w:rPr>
          <w:rFonts w:ascii="Times New Roman" w:eastAsia="Times New Roman" w:hAnsi="Times New Roman" w:cs="Times New Roman"/>
          <w:sz w:val="24"/>
          <w:szCs w:val="24"/>
          <w:lang w:eastAsia="pl-PL"/>
        </w:rPr>
        <w:t xml:space="preserve"> zł (pkt 1)</w:t>
      </w:r>
      <w:r w:rsidR="008735C3" w:rsidRPr="00A720EE">
        <w:rPr>
          <w:rFonts w:ascii="Times New Roman" w:eastAsia="Times New Roman" w:hAnsi="Times New Roman" w:cs="Times New Roman"/>
          <w:sz w:val="24"/>
          <w:szCs w:val="24"/>
          <w:lang w:eastAsia="pl-PL"/>
        </w:rPr>
        <w:t xml:space="preserve">, natomiast dla </w:t>
      </w:r>
      <w:r w:rsidR="00BF5852" w:rsidRPr="00A720EE">
        <w:rPr>
          <w:rFonts w:ascii="Times New Roman" w:eastAsia="Times New Roman" w:hAnsi="Times New Roman" w:cs="Times New Roman"/>
          <w:sz w:val="24"/>
          <w:szCs w:val="24"/>
          <w:lang w:eastAsia="pl-PL"/>
        </w:rPr>
        <w:t>transakcji finansow</w:t>
      </w:r>
      <w:r w:rsidRPr="00A720EE">
        <w:rPr>
          <w:rFonts w:ascii="Times New Roman" w:eastAsia="Times New Roman" w:hAnsi="Times New Roman" w:cs="Times New Roman"/>
          <w:sz w:val="24"/>
          <w:szCs w:val="24"/>
          <w:lang w:eastAsia="pl-PL"/>
        </w:rPr>
        <w:t>ych zaproponowano odrębny próg w wysokości 2,5 mln. zł.</w:t>
      </w:r>
    </w:p>
    <w:p w14:paraId="6F09E9E5" w14:textId="5F05D04B" w:rsidR="00BF5852" w:rsidRPr="00A720EE" w:rsidRDefault="00BF5852" w:rsidP="00BF5852">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Ponadto</w:t>
      </w:r>
      <w:r w:rsidR="00C94ECD" w:rsidRPr="00A720EE">
        <w:rPr>
          <w:rFonts w:ascii="Times New Roman" w:hAnsi="Times New Roman" w:cs="Times New Roman"/>
          <w:sz w:val="24"/>
          <w:szCs w:val="24"/>
        </w:rPr>
        <w:t xml:space="preserve"> w ust. 1</w:t>
      </w:r>
      <w:r w:rsidRPr="00A720EE">
        <w:rPr>
          <w:rFonts w:ascii="Times New Roman" w:hAnsi="Times New Roman" w:cs="Times New Roman"/>
          <w:sz w:val="24"/>
          <w:szCs w:val="24"/>
        </w:rPr>
        <w:t xml:space="preserve"> przewidziano odpowiednie zastosowanie przepisów </w:t>
      </w:r>
      <w:r w:rsidR="000F7E53" w:rsidRPr="00A720EE">
        <w:rPr>
          <w:rFonts w:ascii="Times New Roman" w:hAnsi="Times New Roman" w:cs="Times New Roman"/>
          <w:sz w:val="24"/>
          <w:szCs w:val="24"/>
        </w:rPr>
        <w:t>art. 11k ust. 1 i 3–5, art. 11l, art. 11n pkt 3 i 6-8, art. 11q ust. 1 oraz art. 11r</w:t>
      </w:r>
      <w:r w:rsidRPr="00A720EE">
        <w:rPr>
          <w:rFonts w:ascii="Times New Roman" w:hAnsi="Times New Roman" w:cs="Times New Roman"/>
          <w:sz w:val="24"/>
          <w:szCs w:val="24"/>
        </w:rPr>
        <w:t xml:space="preserve"> ustawy CIT. </w:t>
      </w:r>
    </w:p>
    <w:p w14:paraId="6A5EE0F7" w14:textId="77777777" w:rsidR="00C94ECD" w:rsidRPr="00A720EE" w:rsidRDefault="00C94ECD" w:rsidP="00BF5852">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Projekt przewiduje również uchylenie w art. 11o przepisów ust. 1a i 1b. Oznacza to, iż zostanie uchylony obowiązek dokumentacyjny w stosunku do tzw. pośrednich transakcji rajowych.</w:t>
      </w:r>
    </w:p>
    <w:p w14:paraId="54E94E5A" w14:textId="77777777" w:rsidR="00C94ECD" w:rsidRPr="00A720EE" w:rsidRDefault="00C94ECD" w:rsidP="00BF5852">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W przepisach ust. 2 i 3 wprowadzono zamiany wynikające z dostosowania brzmienia tym przepisów zmian wprowadzonych w art. 11o ustawy CIT.</w:t>
      </w:r>
    </w:p>
    <w:p w14:paraId="243AB048" w14:textId="1535FC2B" w:rsidR="009E31DB" w:rsidRPr="00A720EE" w:rsidRDefault="00250780" w:rsidP="00F07620">
      <w:pPr>
        <w:widowControl w:val="0"/>
        <w:autoSpaceDE w:val="0"/>
        <w:autoSpaceDN w:val="0"/>
        <w:adjustRightInd w:val="0"/>
        <w:spacing w:before="120" w:after="0" w:line="276" w:lineRule="auto"/>
        <w:jc w:val="both"/>
        <w:rPr>
          <w:rFonts w:ascii="Times New Roman" w:hAnsi="Times New Roman" w:cs="Times New Roman"/>
          <w:b/>
          <w:sz w:val="24"/>
          <w:szCs w:val="24"/>
        </w:rPr>
      </w:pPr>
      <w:r w:rsidRPr="00A720EE">
        <w:rPr>
          <w:rFonts w:ascii="Times New Roman" w:hAnsi="Times New Roman" w:cs="Times New Roman"/>
          <w:b/>
          <w:sz w:val="24"/>
          <w:szCs w:val="24"/>
        </w:rPr>
        <w:t xml:space="preserve">Art. 1 pkt </w:t>
      </w:r>
      <w:r w:rsidR="00643B95" w:rsidRPr="00A720EE">
        <w:rPr>
          <w:rFonts w:ascii="Times New Roman" w:hAnsi="Times New Roman" w:cs="Times New Roman"/>
          <w:b/>
          <w:sz w:val="24"/>
          <w:szCs w:val="24"/>
        </w:rPr>
        <w:t>7</w:t>
      </w:r>
      <w:r w:rsidRPr="00A720EE">
        <w:rPr>
          <w:rFonts w:ascii="Times New Roman" w:hAnsi="Times New Roman" w:cs="Times New Roman"/>
          <w:b/>
          <w:sz w:val="24"/>
          <w:szCs w:val="24"/>
        </w:rPr>
        <w:t xml:space="preserve"> </w:t>
      </w:r>
      <w:r w:rsidR="009A3ADC" w:rsidRPr="00A720EE">
        <w:rPr>
          <w:rFonts w:ascii="Times New Roman" w:hAnsi="Times New Roman" w:cs="Times New Roman"/>
          <w:b/>
          <w:sz w:val="24"/>
          <w:szCs w:val="24"/>
        </w:rPr>
        <w:t xml:space="preserve">- </w:t>
      </w:r>
      <w:r w:rsidR="00643B95" w:rsidRPr="00A720EE">
        <w:rPr>
          <w:rFonts w:ascii="Times New Roman" w:hAnsi="Times New Roman" w:cs="Times New Roman"/>
          <w:b/>
          <w:sz w:val="24"/>
          <w:szCs w:val="24"/>
        </w:rPr>
        <w:t>9</w:t>
      </w:r>
      <w:r w:rsidR="00FC0B2A" w:rsidRPr="00A720EE">
        <w:rPr>
          <w:rFonts w:ascii="Times New Roman" w:hAnsi="Times New Roman" w:cs="Times New Roman"/>
          <w:b/>
          <w:sz w:val="24"/>
          <w:szCs w:val="24"/>
        </w:rPr>
        <w:t xml:space="preserve"> </w:t>
      </w:r>
      <w:r w:rsidRPr="00A720EE">
        <w:rPr>
          <w:rFonts w:ascii="Times New Roman" w:hAnsi="Times New Roman" w:cs="Times New Roman"/>
          <w:b/>
          <w:sz w:val="24"/>
          <w:szCs w:val="24"/>
        </w:rPr>
        <w:t>– dotycz</w:t>
      </w:r>
      <w:r w:rsidR="00FC0B2A" w:rsidRPr="00A720EE">
        <w:rPr>
          <w:rFonts w:ascii="Times New Roman" w:hAnsi="Times New Roman" w:cs="Times New Roman"/>
          <w:b/>
          <w:sz w:val="24"/>
          <w:szCs w:val="24"/>
        </w:rPr>
        <w:t>ą</w:t>
      </w:r>
      <w:r w:rsidRPr="00A720EE">
        <w:rPr>
          <w:rFonts w:ascii="Times New Roman" w:hAnsi="Times New Roman" w:cs="Times New Roman"/>
          <w:b/>
          <w:sz w:val="24"/>
          <w:szCs w:val="24"/>
        </w:rPr>
        <w:t xml:space="preserve"> </w:t>
      </w:r>
      <w:r w:rsidRPr="00A720EE">
        <w:rPr>
          <w:rFonts w:ascii="Times New Roman" w:hAnsi="Times New Roman" w:cs="Times New Roman"/>
          <w:b/>
          <w:bCs/>
          <w:sz w:val="24"/>
          <w:szCs w:val="24"/>
        </w:rPr>
        <w:t>art. 11q ust. 1a i 3</w:t>
      </w:r>
      <w:r w:rsidR="00DA2181" w:rsidRPr="00A720EE">
        <w:rPr>
          <w:rFonts w:ascii="Times New Roman" w:hAnsi="Times New Roman" w:cs="Times New Roman"/>
          <w:b/>
          <w:bCs/>
          <w:sz w:val="24"/>
          <w:szCs w:val="24"/>
        </w:rPr>
        <w:t>a</w:t>
      </w:r>
      <w:r w:rsidR="00FC0B2A" w:rsidRPr="00A720EE">
        <w:rPr>
          <w:rFonts w:ascii="Times New Roman" w:hAnsi="Times New Roman" w:cs="Times New Roman"/>
          <w:b/>
          <w:sz w:val="24"/>
          <w:szCs w:val="24"/>
        </w:rPr>
        <w:t xml:space="preserve">, art. 11s ust. 4 i art. 11t ust. 3 (tożsame zmiany w art. </w:t>
      </w:r>
      <w:r w:rsidR="007408A9" w:rsidRPr="00A720EE">
        <w:rPr>
          <w:rFonts w:ascii="Times New Roman" w:hAnsi="Times New Roman" w:cs="Times New Roman"/>
          <w:b/>
          <w:sz w:val="24"/>
          <w:szCs w:val="24"/>
        </w:rPr>
        <w:t>3</w:t>
      </w:r>
      <w:r w:rsidR="00FC0B2A" w:rsidRPr="00A720EE">
        <w:rPr>
          <w:rFonts w:ascii="Times New Roman" w:hAnsi="Times New Roman" w:cs="Times New Roman"/>
          <w:b/>
          <w:sz w:val="24"/>
          <w:szCs w:val="24"/>
        </w:rPr>
        <w:t xml:space="preserve"> pkt </w:t>
      </w:r>
      <w:r w:rsidR="0013121C" w:rsidRPr="00A720EE">
        <w:rPr>
          <w:rFonts w:ascii="Times New Roman" w:hAnsi="Times New Roman" w:cs="Times New Roman"/>
          <w:b/>
          <w:sz w:val="24"/>
          <w:szCs w:val="24"/>
        </w:rPr>
        <w:t>6</w:t>
      </w:r>
      <w:r w:rsidR="009A3ADC" w:rsidRPr="00A720EE">
        <w:rPr>
          <w:rFonts w:ascii="Times New Roman" w:hAnsi="Times New Roman" w:cs="Times New Roman"/>
          <w:b/>
          <w:sz w:val="24"/>
          <w:szCs w:val="24"/>
        </w:rPr>
        <w:t xml:space="preserve"> - </w:t>
      </w:r>
      <w:r w:rsidR="0013121C" w:rsidRPr="00A720EE">
        <w:rPr>
          <w:rFonts w:ascii="Times New Roman" w:hAnsi="Times New Roman" w:cs="Times New Roman"/>
          <w:b/>
          <w:sz w:val="24"/>
          <w:szCs w:val="24"/>
        </w:rPr>
        <w:t>8</w:t>
      </w:r>
      <w:r w:rsidR="00FC0B2A" w:rsidRPr="00A720EE">
        <w:rPr>
          <w:rFonts w:ascii="Times New Roman" w:hAnsi="Times New Roman" w:cs="Times New Roman"/>
          <w:b/>
          <w:sz w:val="24"/>
          <w:szCs w:val="24"/>
        </w:rPr>
        <w:t xml:space="preserve"> - dotyczą art. 23zc ust. 1a i 3</w:t>
      </w:r>
      <w:r w:rsidR="009A3ADC" w:rsidRPr="00A720EE">
        <w:rPr>
          <w:rFonts w:ascii="Times New Roman" w:hAnsi="Times New Roman" w:cs="Times New Roman"/>
          <w:b/>
          <w:sz w:val="24"/>
          <w:szCs w:val="24"/>
        </w:rPr>
        <w:t>a</w:t>
      </w:r>
      <w:r w:rsidR="00FC0B2A" w:rsidRPr="00A720EE">
        <w:rPr>
          <w:rFonts w:ascii="Times New Roman" w:hAnsi="Times New Roman" w:cs="Times New Roman"/>
          <w:b/>
          <w:sz w:val="24"/>
          <w:szCs w:val="24"/>
        </w:rPr>
        <w:t>, art. 23ze ust. 4 i art. 23zf ust. 3)</w:t>
      </w:r>
    </w:p>
    <w:p w14:paraId="7A898934" w14:textId="7D14C7E6" w:rsidR="00250780" w:rsidRPr="00A720EE" w:rsidRDefault="00FC0B2A" w:rsidP="00010C6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imes New Roman" w:hAnsi="Times New Roman" w:cs="Times New Roman"/>
          <w:sz w:val="24"/>
          <w:szCs w:val="24"/>
          <w:lang w:eastAsia="pl-PL"/>
        </w:rPr>
        <w:t>Zmiany w art. 11q ustawy CIT (art. 23zc ustawy PIT) ust. 1a i ust. 3</w:t>
      </w:r>
      <w:r w:rsidR="009A3ADC" w:rsidRPr="00A720EE">
        <w:rPr>
          <w:rFonts w:ascii="Times New Roman" w:eastAsia="Times New Roman" w:hAnsi="Times New Roman" w:cs="Times New Roman"/>
          <w:sz w:val="24"/>
          <w:szCs w:val="24"/>
          <w:lang w:eastAsia="pl-PL"/>
        </w:rPr>
        <w:t>a</w:t>
      </w:r>
      <w:r w:rsidRPr="00A720EE">
        <w:rPr>
          <w:rFonts w:ascii="Times New Roman" w:eastAsia="Times New Roman" w:hAnsi="Times New Roman" w:cs="Times New Roman"/>
          <w:sz w:val="24"/>
          <w:szCs w:val="24"/>
          <w:lang w:eastAsia="pl-PL"/>
        </w:rPr>
        <w:t>, art. 11s ustawy CIT (art. 23ze ustawy PIT) ust. 4 i art. 11t ustawy CIT (art. 23zf ustawy PIT) ust. 3 są porządkowe i wynikają z</w:t>
      </w:r>
      <w:r w:rsidR="00C94ECD" w:rsidRPr="00A720EE">
        <w:rPr>
          <w:rFonts w:ascii="Times New Roman" w:eastAsia="Times New Roman" w:hAnsi="Times New Roman" w:cs="Times New Roman"/>
          <w:sz w:val="24"/>
          <w:szCs w:val="24"/>
          <w:lang w:eastAsia="pl-PL"/>
        </w:rPr>
        <w:t xml:space="preserve"> konieczności dostosowania przepisów do</w:t>
      </w:r>
      <w:r w:rsidRPr="00A720EE">
        <w:rPr>
          <w:rFonts w:ascii="Times New Roman" w:eastAsia="Times New Roman" w:hAnsi="Times New Roman" w:cs="Times New Roman"/>
          <w:sz w:val="24"/>
          <w:szCs w:val="24"/>
          <w:lang w:eastAsia="pl-PL"/>
        </w:rPr>
        <w:t xml:space="preserve"> zmian zaproponowanych w projekcie.</w:t>
      </w:r>
    </w:p>
    <w:p w14:paraId="4AC1FA20" w14:textId="3726CFB3" w:rsidR="002C7626" w:rsidRPr="00A720EE" w:rsidRDefault="002C7626" w:rsidP="002C7626">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
          <w:sz w:val="24"/>
          <w:szCs w:val="24"/>
          <w:lang w:eastAsia="pl-PL"/>
        </w:rPr>
        <w:t xml:space="preserve">Art. 1 pkt </w:t>
      </w:r>
      <w:r w:rsidR="00B61236" w:rsidRPr="00A720EE">
        <w:rPr>
          <w:rFonts w:ascii="Times New Roman" w:eastAsiaTheme="minorEastAsia" w:hAnsi="Times New Roman" w:cs="Times New Roman"/>
          <w:b/>
          <w:sz w:val="24"/>
          <w:szCs w:val="24"/>
          <w:lang w:eastAsia="pl-PL"/>
        </w:rPr>
        <w:t>10</w:t>
      </w:r>
      <w:r w:rsidR="00282CDF"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b/>
          <w:sz w:val="24"/>
          <w:szCs w:val="24"/>
          <w:lang w:eastAsia="pl-PL"/>
        </w:rPr>
        <w:t>– dotyczy art. 15 ust. 4h</w:t>
      </w:r>
      <w:r w:rsidR="00110BB5" w:rsidRPr="00A720EE">
        <w:rPr>
          <w:rFonts w:ascii="Times New Roman" w:eastAsiaTheme="minorEastAsia" w:hAnsi="Times New Roman" w:cs="Times New Roman"/>
          <w:b/>
          <w:sz w:val="24"/>
          <w:szCs w:val="24"/>
          <w:lang w:eastAsia="pl-PL"/>
        </w:rPr>
        <w:t xml:space="preserve"> </w:t>
      </w:r>
    </w:p>
    <w:p w14:paraId="0EA569AE" w14:textId="77777777" w:rsidR="00103E8C" w:rsidRPr="00A720EE" w:rsidRDefault="00103E8C" w:rsidP="00103E8C">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Zmiana podyktowana jest względami ujednolicenia regulacji w zakresie zachowania terminu opłacenia wskazanych przepisem składek, tj. z tytułu przychodów ze stosunku pracy i zrównanych, w części finansowanej przez płatnika (należności ze stosunku służbowego, stosunku pracy, pracy nakładczej oraz spółdzielczego stosunku pracy, z tytułu członkostwa w rolniczej spółdzielni produkcyjnej lub innej spółdzielni zajmującej się produkcją rolną, a także zasiłków pieniężnych z ubezpieczenia społecznego wypłacanych przez zakład pracy) jak też składek na Fundusz Pracy, Fundusz Solidarnościowy oraz Fundusz Gwarantowanych Świadczeń Pracowniczych</w:t>
      </w:r>
    </w:p>
    <w:p w14:paraId="7AD3F9B2" w14:textId="77777777" w:rsidR="00AC0694" w:rsidRPr="00A720EE" w:rsidRDefault="00103E8C" w:rsidP="006C5444">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Cs/>
          <w:sz w:val="24"/>
          <w:szCs w:val="24"/>
          <w:lang w:eastAsia="pl-PL"/>
        </w:rPr>
        <w:t>Proponuje się odesłanie do odrębnych przepisów, precyzujących ww. termin.</w:t>
      </w:r>
    </w:p>
    <w:p w14:paraId="311F186D" w14:textId="66FAE45C"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Art. 1 pkt 1</w:t>
      </w:r>
      <w:r w:rsidR="00B61236" w:rsidRPr="00A720EE">
        <w:rPr>
          <w:rFonts w:ascii="Times New Roman" w:eastAsiaTheme="minorEastAsia" w:hAnsi="Times New Roman" w:cs="Times New Roman"/>
          <w:b/>
          <w:sz w:val="24"/>
          <w:szCs w:val="24"/>
          <w:lang w:eastAsia="pl-PL"/>
        </w:rPr>
        <w:t>1</w:t>
      </w:r>
      <w:r w:rsidRPr="00A720EE">
        <w:rPr>
          <w:rFonts w:ascii="Times New Roman" w:eastAsiaTheme="minorEastAsia" w:hAnsi="Times New Roman" w:cs="Times New Roman"/>
          <w:b/>
          <w:sz w:val="24"/>
          <w:szCs w:val="24"/>
          <w:lang w:eastAsia="pl-PL"/>
        </w:rPr>
        <w:t xml:space="preserve"> – dotyczy art. 15c ust. 1</w:t>
      </w:r>
    </w:p>
    <w:p w14:paraId="10F8E3B2" w14:textId="77777777"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związana jest z przeredagowaniem brzmienia przepisu art. 15c ust. 1 ustawy CIT w </w:t>
      </w:r>
      <w:r w:rsidRPr="00A720EE">
        <w:rPr>
          <w:rFonts w:ascii="Times New Roman" w:eastAsiaTheme="minorEastAsia" w:hAnsi="Times New Roman" w:cs="Times New Roman"/>
          <w:sz w:val="24"/>
          <w:szCs w:val="24"/>
          <w:lang w:eastAsia="pl-PL"/>
        </w:rPr>
        <w:lastRenderedPageBreak/>
        <w:t>celu wyeliminowania wątpliwości interpretacyjnych z nim związanych.</w:t>
      </w:r>
    </w:p>
    <w:p w14:paraId="3743CBD4" w14:textId="42179190"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 zmianie przepis ten w zdaniu pierwszym będzie jednoznacznie wskazywać, iż wyłączeniu z podatkowych kosztów podlega nadwyżka kosztów finansowania dłużnego przekraczająca wyższą ze wskazanych wartości; 30% EBITDA albo 3 mln zł.</w:t>
      </w:r>
    </w:p>
    <w:p w14:paraId="3EEF4547" w14:textId="09D5D71B"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Art. 1 pkt 1</w:t>
      </w:r>
      <w:r w:rsidR="00B61236" w:rsidRPr="00A720EE">
        <w:rPr>
          <w:rFonts w:ascii="Times New Roman" w:eastAsiaTheme="minorEastAsia" w:hAnsi="Times New Roman" w:cs="Times New Roman"/>
          <w:b/>
          <w:sz w:val="24"/>
          <w:szCs w:val="24"/>
          <w:lang w:eastAsia="pl-PL"/>
        </w:rPr>
        <w:t>2</w:t>
      </w:r>
      <w:r w:rsidRPr="00A720EE">
        <w:rPr>
          <w:rFonts w:ascii="Times New Roman" w:eastAsiaTheme="minorEastAsia" w:hAnsi="Times New Roman" w:cs="Times New Roman"/>
          <w:b/>
          <w:sz w:val="24"/>
          <w:szCs w:val="24"/>
          <w:lang w:eastAsia="pl-PL"/>
        </w:rPr>
        <w:t xml:space="preserve"> – dotyczy art. 16 ust. 1 pkt 13f </w:t>
      </w:r>
    </w:p>
    <w:p w14:paraId="7C4196A5" w14:textId="77777777"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Zgodnie z nowym brzmieniem art. 16 ust. 1 pkt 13f wyłączenia z kosztów uzyskania przychodu dla finansowania dłużnego przeznaczonego na tzw. „transakcje kapitałowe” nie stosuje się w przypadkach, kiedy podmiotem finansującym jest bank lub spółdzielcza kasa oszczędnościowo-kredytowa mające siedzibę w państwie członkowskim Unii Europejskiej lub w innym państwie należącym do Europejskiego Obszaru Gospodarczego. </w:t>
      </w:r>
    </w:p>
    <w:p w14:paraId="7B3D40AF" w14:textId="77777777"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Ponadto, wyłącza się stosowanie ograniczeń wynikających z art. 16 ust. 1 pkt 13f ustawy CIT w przypadkach finansowania dłużnego uzyskanego na nabycie lub objęcie udziałów (akcji) lub ogółu praw i obowiązków w podmiotach niepowiązanych z podatnikiem</w:t>
      </w:r>
      <w:r w:rsidR="0057354D" w:rsidRPr="00A720EE">
        <w:rPr>
          <w:rFonts w:ascii="Times New Roman" w:eastAsiaTheme="minorEastAsia" w:hAnsi="Times New Roman" w:cs="Times New Roman"/>
          <w:sz w:val="24"/>
          <w:szCs w:val="24"/>
          <w:lang w:eastAsia="pl-PL"/>
        </w:rPr>
        <w:t xml:space="preserve"> oraz </w:t>
      </w:r>
      <w:r w:rsidR="00502406" w:rsidRPr="00A720EE">
        <w:rPr>
          <w:rFonts w:ascii="Times New Roman" w:eastAsiaTheme="minorEastAsia" w:hAnsi="Times New Roman" w:cs="Times New Roman"/>
          <w:sz w:val="24"/>
          <w:szCs w:val="24"/>
          <w:lang w:eastAsia="pl-PL"/>
        </w:rPr>
        <w:t>finansowania dłużnego uzyskanego przez</w:t>
      </w:r>
      <w:r w:rsidR="0057354D" w:rsidRPr="00A720EE">
        <w:rPr>
          <w:rFonts w:ascii="Times New Roman" w:eastAsiaTheme="minorEastAsia" w:hAnsi="Times New Roman" w:cs="Times New Roman"/>
          <w:sz w:val="24"/>
          <w:szCs w:val="24"/>
          <w:lang w:eastAsia="pl-PL"/>
        </w:rPr>
        <w:t xml:space="preserve"> </w:t>
      </w:r>
      <w:r w:rsidR="00502406" w:rsidRPr="00A720EE">
        <w:rPr>
          <w:rFonts w:ascii="Times New Roman" w:eastAsiaTheme="minorEastAsia" w:hAnsi="Times New Roman" w:cs="Times New Roman"/>
          <w:sz w:val="24"/>
          <w:szCs w:val="24"/>
          <w:lang w:eastAsia="pl-PL"/>
        </w:rPr>
        <w:t>spół</w:t>
      </w:r>
      <w:r w:rsidR="0057354D" w:rsidRPr="00A720EE">
        <w:rPr>
          <w:rFonts w:ascii="Times New Roman" w:eastAsiaTheme="minorEastAsia" w:hAnsi="Times New Roman" w:cs="Times New Roman"/>
          <w:sz w:val="24"/>
          <w:szCs w:val="24"/>
          <w:lang w:eastAsia="pl-PL"/>
        </w:rPr>
        <w:t>k</w:t>
      </w:r>
      <w:r w:rsidR="00502406" w:rsidRPr="00A720EE">
        <w:rPr>
          <w:rFonts w:ascii="Times New Roman" w:eastAsiaTheme="minorEastAsia" w:hAnsi="Times New Roman" w:cs="Times New Roman"/>
          <w:sz w:val="24"/>
          <w:szCs w:val="24"/>
          <w:lang w:eastAsia="pl-PL"/>
        </w:rPr>
        <w:t>i lub spół</w:t>
      </w:r>
      <w:r w:rsidR="0057354D" w:rsidRPr="00A720EE">
        <w:rPr>
          <w:rFonts w:ascii="Times New Roman" w:eastAsiaTheme="minorEastAsia" w:hAnsi="Times New Roman" w:cs="Times New Roman"/>
          <w:sz w:val="24"/>
          <w:szCs w:val="24"/>
          <w:lang w:eastAsia="pl-PL"/>
        </w:rPr>
        <w:t>k</w:t>
      </w:r>
      <w:r w:rsidR="00502406" w:rsidRPr="00A720EE">
        <w:rPr>
          <w:rFonts w:ascii="Times New Roman" w:eastAsiaTheme="minorEastAsia" w:hAnsi="Times New Roman" w:cs="Times New Roman"/>
          <w:sz w:val="24"/>
          <w:szCs w:val="24"/>
          <w:lang w:eastAsia="pl-PL"/>
        </w:rPr>
        <w:t>i</w:t>
      </w:r>
      <w:r w:rsidR="0057354D" w:rsidRPr="00A720EE">
        <w:rPr>
          <w:rFonts w:ascii="Times New Roman" w:eastAsiaTheme="minorEastAsia" w:hAnsi="Times New Roman" w:cs="Times New Roman"/>
          <w:sz w:val="24"/>
          <w:szCs w:val="24"/>
          <w:lang w:eastAsia="pl-PL"/>
        </w:rPr>
        <w:t xml:space="preserve"> niebędąc</w:t>
      </w:r>
      <w:r w:rsidR="00502406" w:rsidRPr="00A720EE">
        <w:rPr>
          <w:rFonts w:ascii="Times New Roman" w:eastAsiaTheme="minorEastAsia" w:hAnsi="Times New Roman" w:cs="Times New Roman"/>
          <w:sz w:val="24"/>
          <w:szCs w:val="24"/>
          <w:lang w:eastAsia="pl-PL"/>
        </w:rPr>
        <w:t>e</w:t>
      </w:r>
      <w:r w:rsidR="0057354D" w:rsidRPr="00A720EE">
        <w:rPr>
          <w:rFonts w:ascii="Times New Roman" w:eastAsiaTheme="minorEastAsia" w:hAnsi="Times New Roman" w:cs="Times New Roman"/>
          <w:sz w:val="24"/>
          <w:szCs w:val="24"/>
          <w:lang w:eastAsia="pl-PL"/>
        </w:rPr>
        <w:t xml:space="preserve"> osobami prawnymi</w:t>
      </w:r>
      <w:r w:rsidRPr="00A720EE">
        <w:rPr>
          <w:rFonts w:ascii="Times New Roman" w:eastAsiaTheme="minorEastAsia" w:hAnsi="Times New Roman" w:cs="Times New Roman"/>
          <w:sz w:val="24"/>
          <w:szCs w:val="24"/>
          <w:lang w:eastAsia="pl-PL"/>
        </w:rPr>
        <w:t>.</w:t>
      </w:r>
    </w:p>
    <w:p w14:paraId="77E76671" w14:textId="77777777" w:rsidR="009E31DB"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 ramach proponowanego nowego brzmienia zrezygnowano również z odniesienia do przeznaczenia finansowania „bezpośrednio lub pośrednio” na transakcje kapitałowe oraz skorygowano gramatyczną redakcję przepisu.</w:t>
      </w:r>
    </w:p>
    <w:p w14:paraId="62B719B9" w14:textId="193F8408" w:rsidR="009146E6" w:rsidRPr="00A720EE" w:rsidRDefault="00B61236" w:rsidP="002B12F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Art. 1 pkt 13</w:t>
      </w:r>
      <w:r w:rsidR="009146E6" w:rsidRPr="00A720EE">
        <w:rPr>
          <w:rFonts w:ascii="Times New Roman" w:eastAsiaTheme="minorEastAsia" w:hAnsi="Times New Roman" w:cs="Times New Roman"/>
          <w:b/>
          <w:sz w:val="24"/>
          <w:szCs w:val="24"/>
          <w:lang w:eastAsia="pl-PL"/>
        </w:rPr>
        <w:t xml:space="preserve"> – dotyczy art. 18 ust. 1 </w:t>
      </w:r>
    </w:p>
    <w:p w14:paraId="2562BF0D" w14:textId="77777777" w:rsidR="00D01D50" w:rsidRPr="00A720EE" w:rsidRDefault="00D01D50" w:rsidP="00D01D50">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ma charakter redakcyjno-dostosowujący</w:t>
      </w:r>
      <w:r w:rsidR="009146E6" w:rsidRPr="00A720EE">
        <w:rPr>
          <w:rFonts w:ascii="Times New Roman" w:eastAsiaTheme="minorEastAsia" w:hAnsi="Times New Roman" w:cs="Times New Roman"/>
          <w:sz w:val="24"/>
          <w:szCs w:val="24"/>
          <w:lang w:eastAsia="pl-PL"/>
        </w:rPr>
        <w:t xml:space="preserve"> i polega na</w:t>
      </w:r>
      <w:r w:rsidR="00A879E2" w:rsidRPr="00A720EE">
        <w:rPr>
          <w:rFonts w:ascii="Times New Roman" w:eastAsiaTheme="minorEastAsia" w:hAnsi="Times New Roman" w:cs="Times New Roman"/>
          <w:sz w:val="24"/>
          <w:szCs w:val="24"/>
          <w:lang w:eastAsia="pl-PL"/>
        </w:rPr>
        <w:t xml:space="preserve"> </w:t>
      </w:r>
      <w:r w:rsidR="009146E6" w:rsidRPr="00A720EE">
        <w:rPr>
          <w:rFonts w:ascii="Times New Roman" w:eastAsiaTheme="minorEastAsia" w:hAnsi="Times New Roman" w:cs="Times New Roman"/>
          <w:sz w:val="24"/>
          <w:szCs w:val="24"/>
          <w:lang w:eastAsia="pl-PL"/>
        </w:rPr>
        <w:t>uzupełnieniu regulacji o przepis</w:t>
      </w:r>
      <w:r w:rsidR="00CB09E7" w:rsidRPr="00A720EE">
        <w:rPr>
          <w:rFonts w:ascii="Times New Roman" w:eastAsiaTheme="minorEastAsia" w:hAnsi="Times New Roman" w:cs="Times New Roman"/>
          <w:sz w:val="24"/>
          <w:szCs w:val="24"/>
          <w:lang w:eastAsia="pl-PL"/>
        </w:rPr>
        <w:t>y</w:t>
      </w:r>
      <w:r w:rsidR="009146E6" w:rsidRPr="00A720EE">
        <w:rPr>
          <w:rFonts w:ascii="Times New Roman" w:eastAsiaTheme="minorEastAsia" w:hAnsi="Times New Roman" w:cs="Times New Roman"/>
          <w:sz w:val="24"/>
          <w:szCs w:val="24"/>
          <w:lang w:eastAsia="pl-PL"/>
        </w:rPr>
        <w:t xml:space="preserve"> art. 24aa</w:t>
      </w:r>
      <w:r w:rsidR="00CB09E7" w:rsidRPr="00A720EE">
        <w:rPr>
          <w:rFonts w:ascii="Times New Roman" w:eastAsiaTheme="minorEastAsia" w:hAnsi="Times New Roman" w:cs="Times New Roman"/>
          <w:sz w:val="24"/>
          <w:szCs w:val="24"/>
          <w:lang w:eastAsia="pl-PL"/>
        </w:rPr>
        <w:t xml:space="preserve"> (podatek od przerzuconych dochodów)</w:t>
      </w:r>
      <w:r w:rsidR="009146E6" w:rsidRPr="00A720EE">
        <w:rPr>
          <w:rFonts w:ascii="Times New Roman" w:eastAsiaTheme="minorEastAsia" w:hAnsi="Times New Roman" w:cs="Times New Roman"/>
          <w:sz w:val="24"/>
          <w:szCs w:val="24"/>
          <w:lang w:eastAsia="pl-PL"/>
        </w:rPr>
        <w:t xml:space="preserve"> </w:t>
      </w:r>
      <w:r w:rsidR="00684FA7" w:rsidRPr="00A720EE">
        <w:rPr>
          <w:rFonts w:ascii="Times New Roman" w:eastAsiaTheme="minorEastAsia" w:hAnsi="Times New Roman" w:cs="Times New Roman"/>
          <w:sz w:val="24"/>
          <w:szCs w:val="24"/>
          <w:lang w:eastAsia="pl-PL"/>
        </w:rPr>
        <w:t xml:space="preserve">i art. 28h </w:t>
      </w:r>
      <w:r w:rsidR="00CB09E7" w:rsidRPr="00A720EE">
        <w:rPr>
          <w:rFonts w:ascii="Times New Roman" w:eastAsiaTheme="minorEastAsia" w:hAnsi="Times New Roman" w:cs="Times New Roman"/>
          <w:sz w:val="24"/>
          <w:szCs w:val="24"/>
          <w:lang w:eastAsia="pl-PL"/>
        </w:rPr>
        <w:t xml:space="preserve">(opodatkowanie ryczałtem od dochodów spółek) </w:t>
      </w:r>
      <w:r w:rsidR="00643B95" w:rsidRPr="00A720EE">
        <w:rPr>
          <w:rFonts w:ascii="Times New Roman" w:eastAsiaTheme="minorEastAsia" w:hAnsi="Times New Roman" w:cs="Times New Roman"/>
          <w:sz w:val="24"/>
          <w:szCs w:val="24"/>
          <w:lang w:eastAsia="pl-PL"/>
        </w:rPr>
        <w:t>ustawy CIT.</w:t>
      </w:r>
    </w:p>
    <w:p w14:paraId="61C056BA" w14:textId="2F4885F8" w:rsidR="00704BC0" w:rsidRPr="00A720EE" w:rsidRDefault="005423E2" w:rsidP="002B12F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4E1D5D" w:rsidRPr="00A720EE">
        <w:rPr>
          <w:rFonts w:ascii="Times New Roman" w:eastAsiaTheme="minorEastAsia" w:hAnsi="Times New Roman" w:cs="Times New Roman"/>
          <w:b/>
          <w:sz w:val="24"/>
          <w:szCs w:val="24"/>
          <w:lang w:eastAsia="pl-PL"/>
        </w:rPr>
        <w:t>1</w:t>
      </w:r>
      <w:r w:rsidR="00B61236" w:rsidRPr="00A720EE">
        <w:rPr>
          <w:rFonts w:ascii="Times New Roman" w:eastAsiaTheme="minorEastAsia" w:hAnsi="Times New Roman" w:cs="Times New Roman"/>
          <w:b/>
          <w:sz w:val="24"/>
          <w:szCs w:val="24"/>
          <w:lang w:eastAsia="pl-PL"/>
        </w:rPr>
        <w:t>4</w:t>
      </w:r>
      <w:r w:rsidR="004E1D5D" w:rsidRPr="00A720EE">
        <w:rPr>
          <w:rFonts w:ascii="Times New Roman" w:eastAsiaTheme="minorEastAsia" w:hAnsi="Times New Roman" w:cs="Times New Roman"/>
          <w:b/>
          <w:sz w:val="24"/>
          <w:szCs w:val="24"/>
          <w:lang w:eastAsia="pl-PL"/>
        </w:rPr>
        <w:t xml:space="preserve"> </w:t>
      </w:r>
      <w:r w:rsidR="00D8735C" w:rsidRPr="00A720EE">
        <w:rPr>
          <w:rFonts w:ascii="Times New Roman" w:eastAsiaTheme="minorEastAsia" w:hAnsi="Times New Roman" w:cs="Times New Roman"/>
          <w:b/>
          <w:sz w:val="24"/>
          <w:szCs w:val="24"/>
          <w:lang w:eastAsia="pl-PL"/>
        </w:rPr>
        <w:t xml:space="preserve">– </w:t>
      </w:r>
      <w:r w:rsidR="00704BC0" w:rsidRPr="00A720EE">
        <w:rPr>
          <w:rFonts w:ascii="Times New Roman" w:eastAsiaTheme="minorEastAsia" w:hAnsi="Times New Roman" w:cs="Times New Roman"/>
          <w:b/>
          <w:sz w:val="24"/>
          <w:szCs w:val="24"/>
          <w:lang w:eastAsia="pl-PL"/>
        </w:rPr>
        <w:t>dotyczy art. 18db ust. 2</w:t>
      </w:r>
    </w:p>
    <w:p w14:paraId="2ACC1216" w14:textId="77777777" w:rsidR="00704BC0" w:rsidRPr="00A720EE" w:rsidRDefault="00704BC0" w:rsidP="002B12F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art. 18db w ust. 2, we wprowadzeniu do wyliczenia, wyrazy „art. 31” zastępuje się wyrazami „art. 32”. </w:t>
      </w:r>
    </w:p>
    <w:p w14:paraId="71DE9AC6" w14:textId="77777777" w:rsidR="00704BC0" w:rsidRPr="00A720EE" w:rsidRDefault="00704BC0" w:rsidP="002B12F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Powyższa propozycja zmiany przepisu ma charakter dostosowawczy i jest związana ze zmianą jednostki redakcyjnej w ustawie PIT od 1 stycznia 2023 r (uchylenie art. 31 ustawy PIT).</w:t>
      </w:r>
    </w:p>
    <w:p w14:paraId="03E49465" w14:textId="0C48522A" w:rsidR="006E6570" w:rsidRPr="00A720EE" w:rsidRDefault="00704BC0" w:rsidP="002B12F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Art. 1 pkt 1</w:t>
      </w:r>
      <w:r w:rsidR="00B61236" w:rsidRPr="00A720EE">
        <w:rPr>
          <w:rFonts w:ascii="Times New Roman" w:eastAsiaTheme="minorEastAsia" w:hAnsi="Times New Roman" w:cs="Times New Roman"/>
          <w:b/>
          <w:sz w:val="24"/>
          <w:szCs w:val="24"/>
          <w:lang w:eastAsia="pl-PL"/>
        </w:rPr>
        <w:t>5</w:t>
      </w:r>
      <w:r w:rsidRPr="00A720EE">
        <w:rPr>
          <w:rFonts w:ascii="Times New Roman" w:eastAsiaTheme="minorEastAsia" w:hAnsi="Times New Roman" w:cs="Times New Roman"/>
          <w:b/>
          <w:sz w:val="24"/>
          <w:szCs w:val="24"/>
          <w:lang w:eastAsia="pl-PL"/>
        </w:rPr>
        <w:t xml:space="preserve"> </w:t>
      </w:r>
      <w:r w:rsidR="006E6570" w:rsidRPr="00A720EE">
        <w:rPr>
          <w:rFonts w:ascii="Times New Roman" w:eastAsiaTheme="minorEastAsia" w:hAnsi="Times New Roman" w:cs="Times New Roman"/>
          <w:b/>
          <w:sz w:val="24"/>
          <w:szCs w:val="24"/>
          <w:lang w:eastAsia="pl-PL"/>
        </w:rPr>
        <w:t xml:space="preserve">– dotyczy art. 18ed ust. 1 </w:t>
      </w:r>
    </w:p>
    <w:p w14:paraId="731DA0E8" w14:textId="77777777" w:rsidR="006E6570" w:rsidRPr="00A720EE" w:rsidRDefault="006E6570" w:rsidP="002B12F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art. 18ed w ust. 1, we wprowadzeniu do wyliczenia, </w:t>
      </w:r>
      <w:r w:rsidR="00243565" w:rsidRPr="00A720EE">
        <w:rPr>
          <w:rFonts w:ascii="Times New Roman" w:eastAsiaTheme="minorEastAsia" w:hAnsi="Times New Roman" w:cs="Times New Roman"/>
          <w:sz w:val="24"/>
          <w:szCs w:val="24"/>
          <w:lang w:eastAsia="pl-PL"/>
        </w:rPr>
        <w:t xml:space="preserve">skreśla się </w:t>
      </w:r>
      <w:r w:rsidRPr="00A720EE">
        <w:rPr>
          <w:rFonts w:ascii="Times New Roman" w:eastAsiaTheme="minorEastAsia" w:hAnsi="Times New Roman" w:cs="Times New Roman"/>
          <w:sz w:val="24"/>
          <w:szCs w:val="24"/>
          <w:lang w:eastAsia="pl-PL"/>
        </w:rPr>
        <w:t>wyrazy „</w:t>
      </w:r>
      <w:r w:rsidR="00243565" w:rsidRPr="00A720EE">
        <w:rPr>
          <w:rFonts w:ascii="Times New Roman" w:eastAsiaTheme="minorEastAsia" w:hAnsi="Times New Roman" w:cs="Times New Roman"/>
          <w:sz w:val="24"/>
          <w:szCs w:val="24"/>
          <w:lang w:eastAsia="pl-PL"/>
        </w:rPr>
        <w:t>lub art. 24d ust. 3</w:t>
      </w:r>
      <w:r w:rsidRPr="00A720EE">
        <w:rPr>
          <w:rFonts w:ascii="Times New Roman" w:eastAsiaTheme="minorEastAsia" w:hAnsi="Times New Roman" w:cs="Times New Roman"/>
          <w:sz w:val="24"/>
          <w:szCs w:val="24"/>
          <w:lang w:eastAsia="pl-PL"/>
        </w:rPr>
        <w:t>”</w:t>
      </w:r>
      <w:r w:rsidR="00243565" w:rsidRPr="00A720EE">
        <w:rPr>
          <w:rFonts w:ascii="Times New Roman" w:eastAsiaTheme="minorEastAsia" w:hAnsi="Times New Roman" w:cs="Times New Roman"/>
          <w:sz w:val="24"/>
          <w:szCs w:val="24"/>
          <w:lang w:eastAsia="pl-PL"/>
        </w:rPr>
        <w:t xml:space="preserve">. </w:t>
      </w:r>
    </w:p>
    <w:p w14:paraId="52B2E9A7" w14:textId="77777777" w:rsidR="00243565" w:rsidRPr="00A720EE" w:rsidRDefault="00243565" w:rsidP="002B12F3">
      <w:pPr>
        <w:widowControl w:val="0"/>
        <w:autoSpaceDE w:val="0"/>
        <w:autoSpaceDN w:val="0"/>
        <w:adjustRightInd w:val="0"/>
        <w:spacing w:before="120" w:after="0" w:line="276" w:lineRule="auto"/>
        <w:jc w:val="both"/>
        <w:rPr>
          <w:rFonts w:ascii="Times New Roman" w:eastAsiaTheme="minorEastAsia" w:hAnsi="Times New Roman" w:cs="Times New Roman"/>
          <w:color w:val="000000" w:themeColor="text1"/>
          <w:sz w:val="24"/>
          <w:szCs w:val="24"/>
          <w:lang w:eastAsia="pl-PL"/>
        </w:rPr>
      </w:pPr>
      <w:r w:rsidRPr="00A720EE">
        <w:rPr>
          <w:rFonts w:ascii="Times New Roman" w:eastAsiaTheme="minorEastAsia" w:hAnsi="Times New Roman" w:cs="Times New Roman"/>
          <w:sz w:val="24"/>
          <w:szCs w:val="24"/>
          <w:lang w:eastAsia="pl-PL"/>
        </w:rPr>
        <w:t>Powyższa propozycja zmiany przepisu ma na celu</w:t>
      </w:r>
      <w:r w:rsidRPr="00A720EE">
        <w:rPr>
          <w:rFonts w:ascii="Times New Roman" w:eastAsiaTheme="minorEastAsia" w:hAnsi="Times New Roman" w:cs="Times New Roman"/>
          <w:color w:val="000000" w:themeColor="text1"/>
          <w:sz w:val="24"/>
          <w:szCs w:val="24"/>
          <w:lang w:eastAsia="pl-PL"/>
        </w:rPr>
        <w:t xml:space="preserve"> wyłączenie możliwości odliczenia od podstawy opodatkowania wydatków na dokonanie pierwszej oferty publicznej, przez podatników osiągających dochody z kwalifikowanych praw własności intelektualnej, które opodatkowane są preferencyjną 5% stawką.</w:t>
      </w:r>
    </w:p>
    <w:p w14:paraId="34BA91CC" w14:textId="7A776192" w:rsidR="005B107D" w:rsidRPr="00A720EE" w:rsidRDefault="005B107D" w:rsidP="005B107D">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B61236" w:rsidRPr="00A720EE">
        <w:rPr>
          <w:rFonts w:ascii="Times New Roman" w:eastAsiaTheme="minorEastAsia" w:hAnsi="Times New Roman" w:cs="Times New Roman"/>
          <w:b/>
          <w:sz w:val="24"/>
          <w:szCs w:val="24"/>
          <w:lang w:eastAsia="pl-PL"/>
        </w:rPr>
        <w:t>16</w:t>
      </w:r>
      <w:r w:rsidRPr="00A720EE">
        <w:rPr>
          <w:rFonts w:ascii="Times New Roman" w:eastAsiaTheme="minorEastAsia" w:hAnsi="Times New Roman" w:cs="Times New Roman"/>
          <w:b/>
          <w:sz w:val="24"/>
          <w:szCs w:val="24"/>
          <w:lang w:eastAsia="pl-PL"/>
        </w:rPr>
        <w:t xml:space="preserve"> – dotyczy art. 18f </w:t>
      </w:r>
      <w:r w:rsidR="00CB09E7" w:rsidRPr="00A720EE">
        <w:rPr>
          <w:rFonts w:ascii="Times New Roman" w:eastAsiaTheme="minorEastAsia" w:hAnsi="Times New Roman" w:cs="Times New Roman"/>
          <w:b/>
          <w:sz w:val="24"/>
          <w:szCs w:val="24"/>
          <w:lang w:eastAsia="pl-PL"/>
        </w:rPr>
        <w:t>ust. 1a, ust. 2 i ust. 19</w:t>
      </w:r>
    </w:p>
    <w:p w14:paraId="747808B0" w14:textId="50E704C4" w:rsidR="00F06884" w:rsidRPr="00A720EE" w:rsidRDefault="00F06884" w:rsidP="00F0688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polega na uchyleniu art. 18f ust. 19</w:t>
      </w:r>
      <w:r w:rsidR="00413972" w:rsidRPr="00A720EE">
        <w:rPr>
          <w:rFonts w:ascii="Times New Roman" w:eastAsiaTheme="minorEastAsia" w:hAnsi="Times New Roman" w:cs="Times New Roman"/>
          <w:sz w:val="24"/>
          <w:szCs w:val="24"/>
          <w:lang w:eastAsia="pl-PL"/>
        </w:rPr>
        <w:t xml:space="preserve"> ustawy CIT (odpowiednio art. 26i ust. 19 ustawy PIT</w:t>
      </w:r>
      <w:r w:rsidR="00CB09E7" w:rsidRPr="00A720EE">
        <w:rPr>
          <w:rFonts w:ascii="Times New Roman" w:eastAsiaTheme="minorEastAsia" w:hAnsi="Times New Roman" w:cs="Times New Roman"/>
          <w:color w:val="FF0000"/>
          <w:sz w:val="24"/>
          <w:szCs w:val="24"/>
          <w:lang w:eastAsia="pl-PL"/>
        </w:rPr>
        <w:t xml:space="preserve"> </w:t>
      </w:r>
      <w:r w:rsidR="00CB09E7" w:rsidRPr="00A720EE">
        <w:rPr>
          <w:rFonts w:ascii="Times New Roman" w:eastAsiaTheme="minorEastAsia" w:hAnsi="Times New Roman" w:cs="Times New Roman"/>
          <w:sz w:val="24"/>
          <w:szCs w:val="24"/>
          <w:lang w:eastAsia="pl-PL"/>
        </w:rPr>
        <w:t>i art. 11 ust. 18 ustawy o ryczałcie</w:t>
      </w:r>
      <w:r w:rsidR="00413972"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zgodnie z którym podatnicy dokonujący odpowiednich zwiększeń lub zmniejszeń wynikających z ulgi na złe długi obowiązani są wykazać w zeznaniu podatkowym wierzytelności lub zobowiązania, z którymi związane są te zwiększenia lub </w:t>
      </w:r>
      <w:r w:rsidRPr="00A720EE">
        <w:rPr>
          <w:rFonts w:ascii="Times New Roman" w:eastAsiaTheme="minorEastAsia" w:hAnsi="Times New Roman" w:cs="Times New Roman"/>
          <w:sz w:val="24"/>
          <w:szCs w:val="24"/>
          <w:lang w:eastAsia="pl-PL"/>
        </w:rPr>
        <w:lastRenderedPageBreak/>
        <w:t>zmniejszenia. Oznacza to rezygnację z odpowiedniego załącznika do zeznania podatkowego, w którym dotychczas wykazywane były takie dane, co pozwoli na uproszczenie obowiązków administracyjnych po stronie podatników.</w:t>
      </w:r>
    </w:p>
    <w:p w14:paraId="3BF23003" w14:textId="77777777" w:rsidR="00DD3D3F" w:rsidRPr="00A720EE" w:rsidRDefault="00DD3D3F" w:rsidP="00F0688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Pozostałe proponowane w art. 18f ustawy CIT zmiany mają charakter doprecyzowujący, mający na celu wyeliminowanie ewentualnych wątpliwości pojawiających się przy rozliczaniu złych długów w zeznaniu za rok podatkowy.</w:t>
      </w:r>
      <w:r w:rsidR="0066595C" w:rsidRPr="00A720EE">
        <w:rPr>
          <w:rFonts w:ascii="Times New Roman" w:eastAsiaTheme="minorEastAsia" w:hAnsi="Times New Roman" w:cs="Times New Roman"/>
          <w:sz w:val="24"/>
          <w:szCs w:val="24"/>
          <w:lang w:eastAsia="pl-PL"/>
        </w:rPr>
        <w:t xml:space="preserve"> Eliminuje</w:t>
      </w:r>
      <w:r w:rsidR="00B96953" w:rsidRPr="00A720EE">
        <w:rPr>
          <w:rFonts w:ascii="Times New Roman" w:eastAsiaTheme="minorEastAsia" w:hAnsi="Times New Roman" w:cs="Times New Roman"/>
          <w:sz w:val="24"/>
          <w:szCs w:val="24"/>
          <w:lang w:eastAsia="pl-PL"/>
        </w:rPr>
        <w:t xml:space="preserve"> się</w:t>
      </w:r>
      <w:r w:rsidR="0066595C" w:rsidRPr="00A720EE">
        <w:rPr>
          <w:rFonts w:ascii="Times New Roman" w:eastAsiaTheme="minorEastAsia" w:hAnsi="Times New Roman" w:cs="Times New Roman"/>
          <w:sz w:val="24"/>
          <w:szCs w:val="24"/>
          <w:lang w:eastAsia="pl-PL"/>
        </w:rPr>
        <w:t xml:space="preserve"> pojawiające się wątpliwości w przypadku, gdy podatnik będący małym podatnikiem opodatkowuje swój dochód z działalności gospodarczej wg stawki 9% - jako mały podatnik, a jednocześnie występuje u niego dochód związany ze źródłem przychodów z zysków kapitałowych objęty 19% stawką podatku. </w:t>
      </w:r>
      <w:r w:rsidR="004B6F13" w:rsidRPr="00A720EE">
        <w:rPr>
          <w:rFonts w:ascii="Times New Roman" w:eastAsiaTheme="minorEastAsia" w:hAnsi="Times New Roman" w:cs="Times New Roman"/>
          <w:sz w:val="24"/>
          <w:szCs w:val="24"/>
          <w:lang w:eastAsia="pl-PL"/>
        </w:rPr>
        <w:t>Przesądza</w:t>
      </w:r>
      <w:r w:rsidR="00616BAD" w:rsidRPr="00A720EE">
        <w:rPr>
          <w:rFonts w:ascii="Times New Roman" w:eastAsiaTheme="minorEastAsia" w:hAnsi="Times New Roman" w:cs="Times New Roman"/>
          <w:sz w:val="24"/>
          <w:szCs w:val="24"/>
          <w:lang w:eastAsia="pl-PL"/>
        </w:rPr>
        <w:t xml:space="preserve"> się</w:t>
      </w:r>
      <w:r w:rsidR="004B6F13" w:rsidRPr="00A720EE">
        <w:rPr>
          <w:rFonts w:ascii="Times New Roman" w:eastAsiaTheme="minorEastAsia" w:hAnsi="Times New Roman" w:cs="Times New Roman"/>
          <w:sz w:val="24"/>
          <w:szCs w:val="24"/>
          <w:lang w:eastAsia="pl-PL"/>
        </w:rPr>
        <w:t>, że</w:t>
      </w:r>
      <w:r w:rsidR="004B6F13" w:rsidRPr="00A720EE">
        <w:rPr>
          <w:rFonts w:ascii="Times New Roman" w:hAnsi="Times New Roman" w:cs="Times New Roman"/>
          <w:sz w:val="24"/>
          <w:szCs w:val="24"/>
        </w:rPr>
        <w:t xml:space="preserve"> </w:t>
      </w:r>
      <w:r w:rsidR="004B6F13" w:rsidRPr="00A720EE">
        <w:rPr>
          <w:rFonts w:ascii="Times New Roman" w:eastAsiaTheme="minorEastAsia" w:hAnsi="Times New Roman" w:cs="Times New Roman"/>
          <w:sz w:val="24"/>
          <w:szCs w:val="24"/>
          <w:lang w:eastAsia="pl-PL"/>
        </w:rPr>
        <w:t xml:space="preserve">jeżeli podatnik uzyskuje dochody opodatkowane różnymi stawkami, zwiększeń i zmniejszeń podstawy opodatkowania dokonuje się od każdej podstawy opodatkowania w takim stosunku, w jakim w roku podatkowym pozostają dochody opodatkowane różnymi stawkami w ogólnej kwocie dochodów. </w:t>
      </w:r>
      <w:r w:rsidR="0066595C" w:rsidRPr="00A720EE">
        <w:rPr>
          <w:rFonts w:ascii="Times New Roman" w:eastAsiaTheme="minorEastAsia" w:hAnsi="Times New Roman" w:cs="Times New Roman"/>
          <w:sz w:val="24"/>
          <w:szCs w:val="24"/>
          <w:lang w:eastAsia="pl-PL"/>
        </w:rPr>
        <w:t>Natomiast w przypadku występowania</w:t>
      </w:r>
      <w:r w:rsidR="007A6C06" w:rsidRPr="00A720EE">
        <w:rPr>
          <w:rFonts w:ascii="Times New Roman" w:eastAsiaTheme="minorEastAsia" w:hAnsi="Times New Roman" w:cs="Times New Roman"/>
          <w:sz w:val="24"/>
          <w:szCs w:val="24"/>
          <w:lang w:eastAsia="pl-PL"/>
        </w:rPr>
        <w:t xml:space="preserve"> stra</w:t>
      </w:r>
      <w:r w:rsidR="0079216D" w:rsidRPr="00A720EE">
        <w:rPr>
          <w:rFonts w:ascii="Times New Roman" w:eastAsiaTheme="minorEastAsia" w:hAnsi="Times New Roman" w:cs="Times New Roman"/>
          <w:sz w:val="24"/>
          <w:szCs w:val="24"/>
          <w:lang w:eastAsia="pl-PL"/>
        </w:rPr>
        <w:t xml:space="preserve">ty w rozliczeniu podatnika </w:t>
      </w:r>
      <w:r w:rsidR="00616BAD" w:rsidRPr="00A720EE">
        <w:rPr>
          <w:rFonts w:ascii="Times New Roman" w:eastAsiaTheme="minorEastAsia" w:hAnsi="Times New Roman" w:cs="Times New Roman"/>
          <w:sz w:val="24"/>
          <w:szCs w:val="24"/>
          <w:lang w:eastAsia="pl-PL"/>
        </w:rPr>
        <w:t>następuje doprecyzowanie</w:t>
      </w:r>
      <w:r w:rsidR="007A6C06" w:rsidRPr="00A720EE">
        <w:rPr>
          <w:rFonts w:ascii="Times New Roman" w:eastAsiaTheme="minorEastAsia" w:hAnsi="Times New Roman" w:cs="Times New Roman"/>
          <w:sz w:val="24"/>
          <w:szCs w:val="24"/>
          <w:lang w:eastAsia="pl-PL"/>
        </w:rPr>
        <w:t xml:space="preserve">, że </w:t>
      </w:r>
      <w:r w:rsidR="004B6F13" w:rsidRPr="00A720EE">
        <w:rPr>
          <w:rFonts w:ascii="Times New Roman" w:eastAsiaTheme="minorEastAsia" w:hAnsi="Times New Roman" w:cs="Times New Roman"/>
          <w:sz w:val="24"/>
          <w:szCs w:val="24"/>
          <w:lang w:eastAsia="pl-PL"/>
        </w:rPr>
        <w:t>zwiększeniu bądź zmniejszeniu podlega strat</w:t>
      </w:r>
      <w:r w:rsidR="0079216D" w:rsidRPr="00A720EE">
        <w:rPr>
          <w:rFonts w:ascii="Times New Roman" w:eastAsiaTheme="minorEastAsia" w:hAnsi="Times New Roman" w:cs="Times New Roman"/>
          <w:sz w:val="24"/>
          <w:szCs w:val="24"/>
          <w:lang w:eastAsia="pl-PL"/>
        </w:rPr>
        <w:t>a</w:t>
      </w:r>
      <w:r w:rsidR="004B6F13" w:rsidRPr="00A720EE">
        <w:rPr>
          <w:rFonts w:ascii="Times New Roman" w:eastAsiaTheme="minorEastAsia" w:hAnsi="Times New Roman" w:cs="Times New Roman"/>
          <w:sz w:val="24"/>
          <w:szCs w:val="24"/>
          <w:lang w:eastAsia="pl-PL"/>
        </w:rPr>
        <w:t xml:space="preserve"> </w:t>
      </w:r>
      <w:r w:rsidR="0079216D" w:rsidRPr="00A720EE">
        <w:rPr>
          <w:rFonts w:ascii="Times New Roman" w:eastAsiaTheme="minorEastAsia" w:hAnsi="Times New Roman" w:cs="Times New Roman"/>
          <w:sz w:val="24"/>
          <w:szCs w:val="24"/>
          <w:lang w:eastAsia="pl-PL"/>
        </w:rPr>
        <w:t xml:space="preserve">pochodząca </w:t>
      </w:r>
      <w:r w:rsidR="004B6F13" w:rsidRPr="00A720EE">
        <w:rPr>
          <w:rFonts w:ascii="Times New Roman" w:eastAsiaTheme="minorEastAsia" w:hAnsi="Times New Roman" w:cs="Times New Roman"/>
          <w:sz w:val="24"/>
          <w:szCs w:val="24"/>
          <w:lang w:eastAsia="pl-PL"/>
        </w:rPr>
        <w:t xml:space="preserve">ze źródła, z którą związana jest transakcja handlowa w rozumieniu ustawy o przeciwdziałaniu nadmiernym opóźnieniom. </w:t>
      </w:r>
    </w:p>
    <w:p w14:paraId="6C1BDDD3" w14:textId="625B0D47" w:rsidR="006C5444" w:rsidRPr="00A720EE" w:rsidRDefault="006E6570" w:rsidP="006C5444">
      <w:pPr>
        <w:widowControl w:val="0"/>
        <w:autoSpaceDE w:val="0"/>
        <w:autoSpaceDN w:val="0"/>
        <w:adjustRightInd w:val="0"/>
        <w:spacing w:before="120" w:after="0" w:line="276" w:lineRule="auto"/>
        <w:jc w:val="both"/>
        <w:rPr>
          <w:rFonts w:ascii="Times New Roman" w:eastAsiaTheme="minorEastAsia" w:hAnsi="Times New Roman" w:cs="Times New Roman"/>
          <w:b/>
          <w:color w:val="FF0000"/>
          <w:sz w:val="24"/>
          <w:szCs w:val="24"/>
          <w:lang w:eastAsia="pl-PL"/>
        </w:rPr>
      </w:pPr>
      <w:r w:rsidRPr="00A720EE">
        <w:rPr>
          <w:rFonts w:ascii="Times New Roman" w:eastAsiaTheme="minorEastAsia" w:hAnsi="Times New Roman" w:cs="Times New Roman"/>
          <w:b/>
          <w:sz w:val="24"/>
          <w:szCs w:val="24"/>
          <w:lang w:eastAsia="pl-PL"/>
        </w:rPr>
        <w:t xml:space="preserve">Art. 1 pkt </w:t>
      </w:r>
      <w:r w:rsidR="00B61236" w:rsidRPr="00A720EE">
        <w:rPr>
          <w:rFonts w:ascii="Times New Roman" w:eastAsiaTheme="minorEastAsia" w:hAnsi="Times New Roman" w:cs="Times New Roman"/>
          <w:b/>
          <w:sz w:val="24"/>
          <w:szCs w:val="24"/>
          <w:lang w:eastAsia="pl-PL"/>
        </w:rPr>
        <w:t>17</w:t>
      </w:r>
      <w:r w:rsidRPr="00A720EE">
        <w:rPr>
          <w:rFonts w:ascii="Times New Roman" w:eastAsiaTheme="minorEastAsia" w:hAnsi="Times New Roman" w:cs="Times New Roman"/>
          <w:b/>
          <w:sz w:val="24"/>
          <w:szCs w:val="24"/>
          <w:lang w:eastAsia="pl-PL"/>
        </w:rPr>
        <w:t xml:space="preserve"> </w:t>
      </w:r>
      <w:r w:rsidR="002F331C" w:rsidRPr="00A720EE">
        <w:rPr>
          <w:rFonts w:ascii="Times New Roman" w:eastAsiaTheme="minorEastAsia" w:hAnsi="Times New Roman" w:cs="Times New Roman"/>
          <w:b/>
          <w:sz w:val="24"/>
          <w:szCs w:val="24"/>
          <w:lang w:eastAsia="pl-PL"/>
        </w:rPr>
        <w:t>–</w:t>
      </w:r>
      <w:r w:rsidR="006C5444" w:rsidRPr="00A720EE">
        <w:rPr>
          <w:rFonts w:ascii="Times New Roman" w:eastAsiaTheme="minorEastAsia" w:hAnsi="Times New Roman" w:cs="Times New Roman"/>
          <w:b/>
          <w:sz w:val="24"/>
          <w:szCs w:val="24"/>
          <w:lang w:eastAsia="pl-PL"/>
        </w:rPr>
        <w:t xml:space="preserve"> dotyczy art. 24a ust. 2 pkt 3, </w:t>
      </w:r>
      <w:r w:rsidR="00CB09E7" w:rsidRPr="00A720EE">
        <w:rPr>
          <w:rFonts w:ascii="Times New Roman" w:eastAsiaTheme="minorEastAsia" w:hAnsi="Times New Roman" w:cs="Times New Roman"/>
          <w:b/>
          <w:sz w:val="24"/>
          <w:szCs w:val="24"/>
          <w:lang w:eastAsia="pl-PL"/>
        </w:rPr>
        <w:t xml:space="preserve">ust. 3a, </w:t>
      </w:r>
      <w:r w:rsidR="006C5444" w:rsidRPr="00A720EE">
        <w:rPr>
          <w:rFonts w:ascii="Times New Roman" w:eastAsiaTheme="minorEastAsia" w:hAnsi="Times New Roman" w:cs="Times New Roman"/>
          <w:b/>
          <w:sz w:val="24"/>
          <w:szCs w:val="24"/>
          <w:lang w:eastAsia="pl-PL"/>
        </w:rPr>
        <w:t xml:space="preserve">ust. 3f, ust. 6c, </w:t>
      </w:r>
      <w:r w:rsidR="002F331C" w:rsidRPr="00A720EE">
        <w:rPr>
          <w:rFonts w:ascii="Times New Roman" w:eastAsiaTheme="minorEastAsia" w:hAnsi="Times New Roman" w:cs="Times New Roman"/>
          <w:b/>
          <w:sz w:val="24"/>
          <w:szCs w:val="24"/>
          <w:lang w:eastAsia="pl-PL"/>
        </w:rPr>
        <w:t xml:space="preserve">ust. </w:t>
      </w:r>
      <w:r w:rsidR="006C5444" w:rsidRPr="00A720EE">
        <w:rPr>
          <w:rFonts w:ascii="Times New Roman" w:eastAsiaTheme="minorEastAsia" w:hAnsi="Times New Roman" w:cs="Times New Roman"/>
          <w:b/>
          <w:sz w:val="24"/>
          <w:szCs w:val="24"/>
          <w:lang w:eastAsia="pl-PL"/>
        </w:rPr>
        <w:t>11</w:t>
      </w:r>
    </w:p>
    <w:p w14:paraId="0419E4F0" w14:textId="1E0034B5" w:rsidR="006C5444" w:rsidRPr="00A720EE" w:rsidRDefault="006C5444" w:rsidP="006C5444">
      <w:pPr>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Zmiana </w:t>
      </w:r>
      <w:r w:rsidRPr="00A720EE">
        <w:rPr>
          <w:rFonts w:ascii="Times New Roman" w:hAnsi="Times New Roman" w:cs="Times New Roman"/>
          <w:sz w:val="24"/>
          <w:szCs w:val="24"/>
          <w:u w:val="single"/>
        </w:rPr>
        <w:t>art. 24a ust. 2 pkt 3</w:t>
      </w:r>
      <w:r w:rsidRPr="00A720EE">
        <w:rPr>
          <w:rFonts w:ascii="Times New Roman" w:hAnsi="Times New Roman" w:cs="Times New Roman"/>
          <w:sz w:val="24"/>
          <w:szCs w:val="24"/>
        </w:rPr>
        <w:t xml:space="preserve"> ustawy CIT polega na doprecyzowaniu definicji jednostki zależnej – uzupełnieniu jej w odniesieniu do dwóch przesłanek konstytuujących zagraniczną jednostkę kontrolowaną, dodanych ustawą z 29 października 2021 r.</w:t>
      </w:r>
    </w:p>
    <w:p w14:paraId="25032517" w14:textId="77777777" w:rsidR="006C5444" w:rsidRPr="00A720EE" w:rsidRDefault="006C5444" w:rsidP="006C5444">
      <w:pPr>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Ponadto, wprowadza się </w:t>
      </w:r>
      <w:r w:rsidRPr="00A720EE">
        <w:rPr>
          <w:rFonts w:ascii="Times New Roman" w:hAnsi="Times New Roman" w:cs="Times New Roman"/>
          <w:sz w:val="24"/>
          <w:szCs w:val="24"/>
          <w:u w:val="single"/>
        </w:rPr>
        <w:t>nowy ust. 3f</w:t>
      </w:r>
      <w:r w:rsidRPr="00A720EE">
        <w:rPr>
          <w:rFonts w:ascii="Times New Roman" w:hAnsi="Times New Roman" w:cs="Times New Roman"/>
          <w:sz w:val="24"/>
          <w:szCs w:val="24"/>
        </w:rPr>
        <w:t>, który dotyczy zagranicznej jednostki kontrolowanej spełniającej kryteria wskazane w art. 24a ust. 3 pkt 5 (tj. kryteria dotyczące wysokiej rentowności zagranicznej jednostki w stosunku do posiadanych aktywów). W tym zakresie doprecyzowuje się sposób liczenia wskaźnika rentowności w przypadku potencjalnego zbycia aktywów w trakcie roku.</w:t>
      </w:r>
    </w:p>
    <w:p w14:paraId="5428A5D7" w14:textId="77777777" w:rsidR="006C5444" w:rsidRPr="00A720EE" w:rsidRDefault="006C5444" w:rsidP="006C5444">
      <w:pPr>
        <w:pStyle w:val="LITlitera"/>
        <w:spacing w:after="120" w:line="276" w:lineRule="auto"/>
        <w:ind w:left="0" w:firstLine="0"/>
        <w:rPr>
          <w:rFonts w:ascii="Times New Roman" w:hAnsi="Times New Roman" w:cs="Times New Roman"/>
          <w:szCs w:val="24"/>
        </w:rPr>
      </w:pPr>
      <w:r w:rsidRPr="00A720EE">
        <w:rPr>
          <w:rFonts w:ascii="Times New Roman" w:hAnsi="Times New Roman" w:cs="Times New Roman"/>
          <w:szCs w:val="24"/>
        </w:rPr>
        <w:t xml:space="preserve">Proponuje się nowy </w:t>
      </w:r>
      <w:r w:rsidRPr="00A720EE">
        <w:rPr>
          <w:rFonts w:ascii="Times New Roman" w:hAnsi="Times New Roman" w:cs="Times New Roman"/>
          <w:szCs w:val="24"/>
          <w:u w:val="single"/>
        </w:rPr>
        <w:t>ust. 6c</w:t>
      </w:r>
      <w:r w:rsidRPr="00A720EE">
        <w:rPr>
          <w:rFonts w:ascii="Times New Roman" w:hAnsi="Times New Roman" w:cs="Times New Roman"/>
          <w:szCs w:val="24"/>
        </w:rPr>
        <w:t>, który potwierdza, iż dla celów ustalania dochodu zagranicznej jednostki kontrolowanej:</w:t>
      </w:r>
    </w:p>
    <w:p w14:paraId="366F112F" w14:textId="77777777" w:rsidR="006C5444" w:rsidRPr="00A720EE" w:rsidRDefault="006C5444" w:rsidP="000151A2">
      <w:pPr>
        <w:pStyle w:val="LITlitera"/>
        <w:numPr>
          <w:ilvl w:val="0"/>
          <w:numId w:val="17"/>
        </w:numPr>
        <w:spacing w:before="120" w:after="120" w:line="276" w:lineRule="auto"/>
        <w:ind w:hanging="357"/>
        <w:rPr>
          <w:rFonts w:ascii="Times New Roman" w:hAnsi="Times New Roman" w:cs="Times New Roman"/>
          <w:szCs w:val="24"/>
        </w:rPr>
      </w:pPr>
      <w:r w:rsidRPr="00A720EE">
        <w:rPr>
          <w:rFonts w:ascii="Times New Roman" w:hAnsi="Times New Roman" w:cs="Times New Roman"/>
          <w:szCs w:val="24"/>
        </w:rPr>
        <w:t xml:space="preserve">uwzględnia się również przychody i koszty przypisane zgodnie z art. 5 ustawy CIT, </w:t>
      </w:r>
    </w:p>
    <w:p w14:paraId="5DF2F703" w14:textId="77777777" w:rsidR="006C5444" w:rsidRPr="00A720EE" w:rsidRDefault="006C5444" w:rsidP="000151A2">
      <w:pPr>
        <w:pStyle w:val="LITlitera"/>
        <w:numPr>
          <w:ilvl w:val="0"/>
          <w:numId w:val="17"/>
        </w:numPr>
        <w:spacing w:before="120" w:after="120" w:line="276" w:lineRule="auto"/>
        <w:ind w:hanging="357"/>
        <w:rPr>
          <w:rFonts w:ascii="Times New Roman" w:hAnsi="Times New Roman" w:cs="Times New Roman"/>
          <w:szCs w:val="24"/>
        </w:rPr>
      </w:pPr>
      <w:r w:rsidRPr="00A720EE">
        <w:rPr>
          <w:rFonts w:ascii="Times New Roman" w:hAnsi="Times New Roman" w:cs="Times New Roman"/>
          <w:szCs w:val="24"/>
        </w:rPr>
        <w:t>nie stosuje się przepisów art. 7, art. 7a oraz art. 17 ustawy CIT.</w:t>
      </w:r>
    </w:p>
    <w:p w14:paraId="4CFB1E1B" w14:textId="77777777" w:rsidR="00D8735C" w:rsidRPr="00A720EE" w:rsidRDefault="006C5444" w:rsidP="006C5444">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Powyższe stanowi potwierdzenie co do szczególnych zasad ustalania dochodu dla zagranicznych jednostek kontrolowanych, z uwagi na pojawiające się wątpliwości interpretacyjne w tym zakresie.</w:t>
      </w:r>
    </w:p>
    <w:p w14:paraId="58BEE0DA" w14:textId="77777777" w:rsidR="00286EC5" w:rsidRPr="00A720EE" w:rsidRDefault="00286EC5" w:rsidP="00286EC5">
      <w:pPr>
        <w:spacing w:before="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Dodatkowo, proponuję się zmianę </w:t>
      </w:r>
      <w:r w:rsidRPr="00A720EE">
        <w:rPr>
          <w:rFonts w:ascii="Times New Roman" w:hAnsi="Times New Roman" w:cs="Times New Roman"/>
          <w:sz w:val="24"/>
          <w:szCs w:val="24"/>
          <w:u w:val="single"/>
        </w:rPr>
        <w:t>ust. 3a</w:t>
      </w:r>
      <w:r w:rsidRPr="00A720EE">
        <w:rPr>
          <w:rFonts w:ascii="Times New Roman" w:hAnsi="Times New Roman" w:cs="Times New Roman"/>
          <w:sz w:val="24"/>
          <w:szCs w:val="24"/>
        </w:rPr>
        <w:t>, dotyczącego sposobu wyliczania różnicy pomiędzy faktycznie zapłaconym przez zagraniczną jednostkę kontrolowaną a podatkiem, który byłby zapłacony przez polskiego podatnika. Zmiana ma na celu uzupełnienie przepisu o dodatkowe przesłanki konstytuujące CFC wprowadzone ustawą z 21 października 2021 r. (art. 24a ust. 3 pkt 4 i 5).</w:t>
      </w:r>
    </w:p>
    <w:p w14:paraId="76AD0F44" w14:textId="32042BCD" w:rsidR="006C5444" w:rsidRPr="00A720EE" w:rsidRDefault="001E50D2" w:rsidP="006C5444">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B61236" w:rsidRPr="00A720EE">
        <w:rPr>
          <w:rFonts w:ascii="Times New Roman" w:eastAsiaTheme="minorEastAsia" w:hAnsi="Times New Roman" w:cs="Times New Roman"/>
          <w:b/>
          <w:sz w:val="24"/>
          <w:szCs w:val="24"/>
          <w:lang w:eastAsia="pl-PL"/>
        </w:rPr>
        <w:t>18</w:t>
      </w:r>
      <w:r w:rsidR="002F331C" w:rsidRPr="00A720EE">
        <w:rPr>
          <w:rFonts w:ascii="Times New Roman" w:eastAsiaTheme="minorEastAsia" w:hAnsi="Times New Roman" w:cs="Times New Roman"/>
          <w:b/>
          <w:sz w:val="24"/>
          <w:szCs w:val="24"/>
          <w:lang w:eastAsia="pl-PL"/>
        </w:rPr>
        <w:t xml:space="preserve"> – </w:t>
      </w:r>
      <w:r w:rsidR="006C5444" w:rsidRPr="00A720EE">
        <w:rPr>
          <w:rFonts w:ascii="Times New Roman" w:eastAsiaTheme="minorEastAsia" w:hAnsi="Times New Roman" w:cs="Times New Roman"/>
          <w:b/>
          <w:sz w:val="24"/>
          <w:szCs w:val="24"/>
          <w:lang w:eastAsia="pl-PL"/>
        </w:rPr>
        <w:t>dotyczy art. 24aa ust. 1-</w:t>
      </w:r>
      <w:r w:rsidR="00CB09E7" w:rsidRPr="00A720EE">
        <w:rPr>
          <w:rFonts w:ascii="Times New Roman" w:eastAsiaTheme="minorEastAsia" w:hAnsi="Times New Roman" w:cs="Times New Roman"/>
          <w:b/>
          <w:sz w:val="24"/>
          <w:szCs w:val="24"/>
          <w:lang w:eastAsia="pl-PL"/>
        </w:rPr>
        <w:t>2</w:t>
      </w:r>
      <w:r w:rsidR="006C5444" w:rsidRPr="00A720EE">
        <w:rPr>
          <w:rFonts w:ascii="Times New Roman" w:eastAsiaTheme="minorEastAsia" w:hAnsi="Times New Roman" w:cs="Times New Roman"/>
          <w:b/>
          <w:sz w:val="24"/>
          <w:szCs w:val="24"/>
          <w:lang w:eastAsia="pl-PL"/>
        </w:rPr>
        <w:t xml:space="preserve">, </w:t>
      </w:r>
      <w:r w:rsidR="00CB09E7" w:rsidRPr="00A720EE">
        <w:rPr>
          <w:rFonts w:ascii="Times New Roman" w:eastAsiaTheme="minorEastAsia" w:hAnsi="Times New Roman" w:cs="Times New Roman"/>
          <w:b/>
          <w:sz w:val="24"/>
          <w:szCs w:val="24"/>
          <w:lang w:eastAsia="pl-PL"/>
        </w:rPr>
        <w:t xml:space="preserve">2a-2b, 3, </w:t>
      </w:r>
      <w:r w:rsidR="006C5444" w:rsidRPr="00A720EE">
        <w:rPr>
          <w:rFonts w:ascii="Times New Roman" w:eastAsiaTheme="minorEastAsia" w:hAnsi="Times New Roman" w:cs="Times New Roman"/>
          <w:b/>
          <w:sz w:val="24"/>
          <w:szCs w:val="24"/>
          <w:lang w:eastAsia="pl-PL"/>
        </w:rPr>
        <w:t>3a, 5, 7</w:t>
      </w:r>
      <w:r w:rsidR="00643B95" w:rsidRPr="00A720EE">
        <w:rPr>
          <w:rFonts w:ascii="Times New Roman" w:eastAsiaTheme="minorEastAsia" w:hAnsi="Times New Roman" w:cs="Times New Roman"/>
          <w:b/>
          <w:sz w:val="24"/>
          <w:szCs w:val="24"/>
          <w:lang w:eastAsia="pl-PL"/>
        </w:rPr>
        <w:t>,</w:t>
      </w:r>
      <w:r w:rsidR="006C5444" w:rsidRPr="00A720EE">
        <w:rPr>
          <w:rFonts w:ascii="Times New Roman" w:eastAsiaTheme="minorEastAsia" w:hAnsi="Times New Roman" w:cs="Times New Roman"/>
          <w:b/>
          <w:sz w:val="24"/>
          <w:szCs w:val="24"/>
          <w:lang w:eastAsia="pl-PL"/>
        </w:rPr>
        <w:t xml:space="preserve"> 8, 10, 13, 14 i 15</w:t>
      </w:r>
    </w:p>
    <w:p w14:paraId="682F8F39" w14:textId="77777777"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lastRenderedPageBreak/>
        <w:t xml:space="preserve">Zmiana </w:t>
      </w:r>
      <w:r w:rsidRPr="00A720EE">
        <w:rPr>
          <w:rFonts w:ascii="Times New Roman" w:eastAsiaTheme="minorEastAsia" w:hAnsi="Times New Roman" w:cs="Times New Roman"/>
          <w:sz w:val="24"/>
          <w:szCs w:val="24"/>
          <w:u w:val="single"/>
          <w:lang w:eastAsia="pl-PL"/>
        </w:rPr>
        <w:t>ust. 1</w:t>
      </w:r>
      <w:r w:rsidRPr="00A720EE">
        <w:rPr>
          <w:rFonts w:ascii="Times New Roman" w:eastAsiaTheme="minorEastAsia" w:hAnsi="Times New Roman" w:cs="Times New Roman"/>
          <w:sz w:val="24"/>
          <w:szCs w:val="24"/>
          <w:lang w:eastAsia="pl-PL"/>
        </w:rPr>
        <w:t xml:space="preserve"> ma charakter redakcyjny i jest związana z wprowadzeniem ust. 3a dotyczącego podstawy opodatkowania.</w:t>
      </w:r>
    </w:p>
    <w:p w14:paraId="039670BA" w14:textId="6C44EE56"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w:t>
      </w:r>
      <w:r w:rsidRPr="00A720EE">
        <w:rPr>
          <w:rFonts w:ascii="Times New Roman" w:eastAsiaTheme="minorEastAsia" w:hAnsi="Times New Roman" w:cs="Times New Roman"/>
          <w:sz w:val="24"/>
          <w:szCs w:val="24"/>
          <w:u w:val="single"/>
          <w:lang w:eastAsia="pl-PL"/>
        </w:rPr>
        <w:t>ust. 2</w:t>
      </w:r>
      <w:r w:rsidRPr="00A720EE">
        <w:rPr>
          <w:rFonts w:ascii="Times New Roman" w:eastAsiaTheme="minorEastAsia" w:hAnsi="Times New Roman" w:cs="Times New Roman"/>
          <w:sz w:val="24"/>
          <w:szCs w:val="24"/>
          <w:lang w:eastAsia="pl-PL"/>
        </w:rPr>
        <w:t xml:space="preserve"> polega na usystematyzowaniu i doprecyzowaniu zakresu kosztów objętych podatkiem od przerzuconych dochodów, jak również doprecyzowaniu warunków, jakie spełniają podmioty powiązane, na rzecz których ponoszone są koszty (w tym, w przede wszystkim w odniesieniu do kryterium niskiego opodatkowania, jak również ustalania proporcji 50% przychodów i przenoszenia co najmniej 10% przychodów do innego podmiotu).</w:t>
      </w:r>
    </w:p>
    <w:p w14:paraId="3D6F3C14" w14:textId="77777777" w:rsidR="00F948FF" w:rsidRPr="00A720EE" w:rsidRDefault="00F948FF"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Nowo dodane </w:t>
      </w:r>
      <w:r w:rsidRPr="00A720EE">
        <w:rPr>
          <w:rFonts w:ascii="Times New Roman" w:eastAsiaTheme="minorEastAsia" w:hAnsi="Times New Roman" w:cs="Times New Roman"/>
          <w:sz w:val="24"/>
          <w:szCs w:val="24"/>
          <w:u w:val="single"/>
          <w:lang w:eastAsia="pl-PL"/>
        </w:rPr>
        <w:t>ust. 2a i 2b</w:t>
      </w:r>
      <w:r w:rsidRPr="00A720EE">
        <w:rPr>
          <w:rFonts w:ascii="Times New Roman" w:eastAsiaTheme="minorEastAsia" w:hAnsi="Times New Roman" w:cs="Times New Roman"/>
          <w:sz w:val="24"/>
          <w:szCs w:val="24"/>
          <w:lang w:eastAsia="pl-PL"/>
        </w:rPr>
        <w:t xml:space="preserve"> stanowią uszczegółowienie warunku niskiej stawki podatku dochodowego, o której mowa w ust. 2 pkt 1.</w:t>
      </w:r>
    </w:p>
    <w:p w14:paraId="6F60A10E" w14:textId="0D7F7127" w:rsidR="00F948FF" w:rsidRPr="00A720EE" w:rsidRDefault="00F948FF" w:rsidP="00F948FF">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w:t>
      </w:r>
      <w:r w:rsidRPr="00A720EE">
        <w:rPr>
          <w:rFonts w:ascii="Times New Roman" w:eastAsiaTheme="minorEastAsia" w:hAnsi="Times New Roman" w:cs="Times New Roman"/>
          <w:sz w:val="24"/>
          <w:szCs w:val="24"/>
          <w:u w:val="single"/>
          <w:lang w:eastAsia="pl-PL"/>
        </w:rPr>
        <w:t>ust. 3</w:t>
      </w:r>
      <w:r w:rsidRPr="00A720EE">
        <w:rPr>
          <w:rFonts w:ascii="Times New Roman" w:eastAsiaTheme="minorEastAsia" w:hAnsi="Times New Roman" w:cs="Times New Roman"/>
          <w:sz w:val="24"/>
          <w:szCs w:val="24"/>
          <w:lang w:eastAsia="pl-PL"/>
        </w:rPr>
        <w:t xml:space="preserve"> dotyczy przede wszystkim skreślenia części wspólnej, która reguluje sposób liczenia progu 3%, poniżej którego nie stosuje się przepisów o podatku od przerzuconych dochodów. Warunek obejmujący kalkulację progu 3% został wskazany jako nowy punkt 4 w ust. 2.</w:t>
      </w:r>
    </w:p>
    <w:p w14:paraId="2B35A22E" w14:textId="5A644CFD"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Nowo dodany </w:t>
      </w:r>
      <w:r w:rsidRPr="00A720EE">
        <w:rPr>
          <w:rFonts w:ascii="Times New Roman" w:eastAsiaTheme="minorEastAsia" w:hAnsi="Times New Roman" w:cs="Times New Roman"/>
          <w:sz w:val="24"/>
          <w:szCs w:val="24"/>
          <w:u w:val="single"/>
          <w:lang w:eastAsia="pl-PL"/>
        </w:rPr>
        <w:t>ust. 3a</w:t>
      </w:r>
      <w:r w:rsidRPr="00A720EE">
        <w:rPr>
          <w:rFonts w:ascii="Times New Roman" w:eastAsiaTheme="minorEastAsia" w:hAnsi="Times New Roman" w:cs="Times New Roman"/>
          <w:sz w:val="24"/>
          <w:szCs w:val="24"/>
          <w:lang w:eastAsia="pl-PL"/>
        </w:rPr>
        <w:t xml:space="preserve"> wprowadza określenie podstawy opodatkowania w podatku od przerzuconych dochodów.</w:t>
      </w:r>
    </w:p>
    <w:p w14:paraId="439B88D1" w14:textId="77777777"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w:t>
      </w:r>
      <w:r w:rsidRPr="00A720EE">
        <w:rPr>
          <w:rFonts w:ascii="Times New Roman" w:eastAsiaTheme="minorEastAsia" w:hAnsi="Times New Roman" w:cs="Times New Roman"/>
          <w:sz w:val="24"/>
          <w:szCs w:val="24"/>
          <w:u w:val="single"/>
          <w:lang w:eastAsia="pl-PL"/>
        </w:rPr>
        <w:t>ust. 5</w:t>
      </w:r>
      <w:r w:rsidRPr="00A720EE">
        <w:rPr>
          <w:rFonts w:ascii="Times New Roman" w:eastAsiaTheme="minorEastAsia" w:hAnsi="Times New Roman" w:cs="Times New Roman"/>
          <w:sz w:val="24"/>
          <w:szCs w:val="24"/>
          <w:lang w:eastAsia="pl-PL"/>
        </w:rPr>
        <w:t xml:space="preserve">, dotycząca podmiotów transparentnych podatkowo, stanowi dostosowanie brzmienia tego ustępu do nowego sformułowania warunku dotyczącego niskiego opodatkowania (ust. 2 pkt 1), tj. polega na rezygnacji z odniesienia do „faktycznie zapłaconego podatku” przez wspólników podmiotu transparentnego. Dodatkowo, zgodnie z nowym ustępem warunku niskiego opodatkowania nie ustala się dla podmiotów lub osób, które </w:t>
      </w:r>
      <w:r w:rsidRPr="00A720EE">
        <w:rPr>
          <w:rFonts w:ascii="Times New Roman" w:hAnsi="Times New Roman" w:cs="Times New Roman"/>
          <w:sz w:val="24"/>
          <w:szCs w:val="24"/>
        </w:rPr>
        <w:t>posiadają w tym podmiocie powiązanym bezpośrednio lub pośrednio poniżej 5% prawa do uczestnictwa w zysku.</w:t>
      </w:r>
    </w:p>
    <w:p w14:paraId="40DC860E" w14:textId="77777777"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w:t>
      </w:r>
      <w:r w:rsidRPr="00A720EE">
        <w:rPr>
          <w:rFonts w:ascii="Times New Roman" w:eastAsiaTheme="minorEastAsia" w:hAnsi="Times New Roman" w:cs="Times New Roman"/>
          <w:sz w:val="24"/>
          <w:szCs w:val="24"/>
          <w:u w:val="single"/>
          <w:lang w:eastAsia="pl-PL"/>
        </w:rPr>
        <w:t>ust. 7</w:t>
      </w:r>
      <w:r w:rsidRPr="00A720EE">
        <w:rPr>
          <w:rFonts w:ascii="Times New Roman" w:eastAsiaTheme="minorEastAsia" w:hAnsi="Times New Roman" w:cs="Times New Roman"/>
          <w:sz w:val="24"/>
          <w:szCs w:val="24"/>
          <w:lang w:eastAsia="pl-PL"/>
        </w:rPr>
        <w:t xml:space="preserve"> wprowadzono zmianę polegającą na uregulowaniu, że w przypadku podatkowej grupy kapitałowej podatnikiem podatku od przerzuconych dochodów jest ta grupa (a nie, tak przy dotychczasowym brzmieniu, każda ze spółek tworzących grupę)..</w:t>
      </w:r>
    </w:p>
    <w:p w14:paraId="670F8F8A" w14:textId="77777777" w:rsidR="006C5444" w:rsidRPr="00A720EE" w:rsidRDefault="006C5444" w:rsidP="006C5444">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Ponadto, zmiana proponowana w </w:t>
      </w:r>
      <w:r w:rsidRPr="00A720EE">
        <w:rPr>
          <w:rFonts w:ascii="Times New Roman" w:eastAsiaTheme="minorEastAsia" w:hAnsi="Times New Roman" w:cs="Times New Roman"/>
          <w:sz w:val="24"/>
          <w:szCs w:val="24"/>
          <w:u w:val="single"/>
          <w:lang w:eastAsia="pl-PL"/>
        </w:rPr>
        <w:t>ust. 8</w:t>
      </w:r>
      <w:r w:rsidRPr="00A720EE">
        <w:rPr>
          <w:rFonts w:ascii="Times New Roman" w:eastAsiaTheme="minorEastAsia" w:hAnsi="Times New Roman" w:cs="Times New Roman"/>
          <w:sz w:val="24"/>
          <w:szCs w:val="24"/>
          <w:lang w:eastAsia="pl-PL"/>
        </w:rPr>
        <w:t xml:space="preserve"> polega na doprecyzowaniu warunków pomniejszenia podatku od przerzuconych dochodów o kwotę podatku u źródła od m.in. odsetek, należności licencyjnych i usług niematerialnych.</w:t>
      </w:r>
    </w:p>
    <w:p w14:paraId="5B0293C6" w14:textId="77777777" w:rsidR="006C5444" w:rsidRPr="00A720EE" w:rsidRDefault="006C5444" w:rsidP="006C5444">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Zmiana </w:t>
      </w:r>
      <w:r w:rsidRPr="00A720EE">
        <w:rPr>
          <w:rFonts w:ascii="Times New Roman" w:hAnsi="Times New Roman" w:cs="Times New Roman"/>
          <w:sz w:val="24"/>
          <w:szCs w:val="24"/>
          <w:u w:val="single"/>
        </w:rPr>
        <w:t>ust. 13</w:t>
      </w:r>
      <w:r w:rsidRPr="00A720EE">
        <w:rPr>
          <w:rFonts w:ascii="Times New Roman" w:hAnsi="Times New Roman" w:cs="Times New Roman"/>
          <w:sz w:val="24"/>
          <w:szCs w:val="24"/>
        </w:rPr>
        <w:t xml:space="preserve"> polega na uzupełnieniu, w zakresie w jakim przepisy o podatku od przerzuconych dochodów stosuje się do transakcji pomiędzy podatnikiem a jego zagranicznym zakładem.</w:t>
      </w:r>
    </w:p>
    <w:p w14:paraId="0CEBE953" w14:textId="333C9E5E" w:rsidR="006C5444" w:rsidRPr="00A720EE" w:rsidRDefault="006C5444" w:rsidP="006C5444">
      <w:pPr>
        <w:jc w:val="both"/>
        <w:rPr>
          <w:rFonts w:ascii="Times New Roman" w:hAnsi="Times New Roman" w:cs="Times New Roman"/>
          <w:sz w:val="24"/>
          <w:szCs w:val="24"/>
        </w:rPr>
      </w:pPr>
      <w:r w:rsidRPr="00A720EE">
        <w:rPr>
          <w:rFonts w:ascii="Times New Roman" w:hAnsi="Times New Roman" w:cs="Times New Roman"/>
          <w:sz w:val="24"/>
          <w:szCs w:val="24"/>
        </w:rPr>
        <w:t xml:space="preserve">Dodatkowo, zgodnie z nowo dodanym </w:t>
      </w:r>
      <w:r w:rsidRPr="00A720EE">
        <w:rPr>
          <w:rFonts w:ascii="Times New Roman" w:hAnsi="Times New Roman" w:cs="Times New Roman"/>
          <w:sz w:val="24"/>
          <w:szCs w:val="24"/>
          <w:u w:val="single"/>
        </w:rPr>
        <w:t>ust. 14</w:t>
      </w:r>
      <w:r w:rsidRPr="00A720EE">
        <w:rPr>
          <w:rFonts w:ascii="Times New Roman" w:hAnsi="Times New Roman" w:cs="Times New Roman"/>
          <w:sz w:val="24"/>
          <w:szCs w:val="24"/>
        </w:rPr>
        <w:t xml:space="preserve">, przepisy o podatku od przerzuconych dochodów stosuje się odpowiednio w przypadkach, w których (i.) koszty ponoszone są za pośrednictwem spółki transparentnej podatkowo mającej siedzibę lub zarząd na terytorium Rzeczypospolitej Polskiej, bądź (ii.) </w:t>
      </w:r>
      <w:r w:rsidRPr="00A720EE">
        <w:rPr>
          <w:rFonts w:ascii="Times New Roman" w:hAnsi="Times New Roman" w:cs="Times New Roman"/>
          <w:bCs/>
          <w:sz w:val="24"/>
          <w:szCs w:val="24"/>
        </w:rPr>
        <w:t>spółka</w:t>
      </w:r>
      <w:r w:rsidRPr="00A720EE">
        <w:rPr>
          <w:rFonts w:ascii="Times New Roman" w:hAnsi="Times New Roman" w:cs="Times New Roman"/>
          <w:sz w:val="24"/>
          <w:szCs w:val="24"/>
        </w:rPr>
        <w:t xml:space="preserve"> będąca podatnikiem z siedzibą lub zarządem na terytorium RP przekazuje należności do podmiotu powiązanego, który spełnia warunki wymienione w ust. 3, za pośrednictwem innego podmiotu zagranicznego niespełniającego tych warunków. </w:t>
      </w:r>
      <w:r w:rsidRPr="00A720EE">
        <w:rPr>
          <w:rFonts w:ascii="Times New Roman" w:hAnsi="Times New Roman" w:cs="Times New Roman"/>
          <w:sz w:val="24"/>
          <w:szCs w:val="24"/>
          <w:shd w:val="clear" w:color="auto" w:fill="FFFFFF"/>
        </w:rPr>
        <w:t xml:space="preserve">W tym kontekście należy wskazać na proponowaną zmianę </w:t>
      </w:r>
      <w:r w:rsidRPr="00A720EE">
        <w:rPr>
          <w:rFonts w:ascii="Times New Roman" w:hAnsi="Times New Roman" w:cs="Times New Roman"/>
          <w:sz w:val="24"/>
          <w:szCs w:val="24"/>
          <w:u w:val="single"/>
          <w:shd w:val="clear" w:color="auto" w:fill="FFFFFF"/>
        </w:rPr>
        <w:t>ust. 10</w:t>
      </w:r>
      <w:r w:rsidRPr="00A720EE">
        <w:rPr>
          <w:rFonts w:ascii="Times New Roman" w:hAnsi="Times New Roman" w:cs="Times New Roman"/>
          <w:sz w:val="24"/>
          <w:szCs w:val="24"/>
          <w:shd w:val="clear" w:color="auto" w:fill="FFFFFF"/>
        </w:rPr>
        <w:t>, zgodnie z</w:t>
      </w:r>
      <w:r w:rsidR="006B5313" w:rsidRPr="00A720EE">
        <w:rPr>
          <w:rFonts w:ascii="Times New Roman" w:hAnsi="Times New Roman" w:cs="Times New Roman"/>
          <w:sz w:val="24"/>
          <w:szCs w:val="24"/>
          <w:shd w:val="clear" w:color="auto" w:fill="FFFFFF"/>
        </w:rPr>
        <w:t> </w:t>
      </w:r>
      <w:r w:rsidRPr="00A720EE">
        <w:rPr>
          <w:rFonts w:ascii="Times New Roman" w:hAnsi="Times New Roman" w:cs="Times New Roman"/>
          <w:sz w:val="24"/>
          <w:szCs w:val="24"/>
          <w:shd w:val="clear" w:color="auto" w:fill="FFFFFF"/>
        </w:rPr>
        <w:t xml:space="preserve">którą wyłączenie z podatku od przerzuconych dochodów z uwagi na prowadzenie istotnej rzeczywistej działalności gospodarczej </w:t>
      </w:r>
      <w:r w:rsidRPr="00A720EE">
        <w:rPr>
          <w:rFonts w:ascii="Times New Roman" w:hAnsi="Times New Roman" w:cs="Times New Roman"/>
          <w:sz w:val="24"/>
          <w:szCs w:val="24"/>
        </w:rPr>
        <w:t xml:space="preserve">stosuje się odpowiednio do podmiotu, o którym mowa w ust. 14 pkt </w:t>
      </w:r>
      <w:r w:rsidRPr="00A720EE">
        <w:rPr>
          <w:rFonts w:ascii="Times New Roman" w:hAnsi="Times New Roman" w:cs="Times New Roman"/>
          <w:sz w:val="24"/>
          <w:szCs w:val="24"/>
        </w:rPr>
        <w:lastRenderedPageBreak/>
        <w:t>2, powiązanego z podatnikiem i spełniającego warunki wymienione w ust. 2, tj.</w:t>
      </w:r>
      <w:r w:rsidR="006B5313" w:rsidRPr="00A720EE">
        <w:rPr>
          <w:rFonts w:ascii="Times New Roman" w:hAnsi="Times New Roman" w:cs="Times New Roman"/>
          <w:sz w:val="24"/>
          <w:szCs w:val="24"/>
        </w:rPr>
        <w:t> </w:t>
      </w:r>
      <w:r w:rsidRPr="00A720EE">
        <w:rPr>
          <w:rFonts w:ascii="Times New Roman" w:hAnsi="Times New Roman" w:cs="Times New Roman"/>
          <w:sz w:val="24"/>
          <w:szCs w:val="24"/>
        </w:rPr>
        <w:t>drugiego podmiotu zagranicznego wskazanego w ust. 14 pkt 2.</w:t>
      </w:r>
    </w:p>
    <w:p w14:paraId="5832DD94" w14:textId="37945816" w:rsidR="00212D75" w:rsidRPr="00A720EE" w:rsidRDefault="006C5444" w:rsidP="006C5444">
      <w:pPr>
        <w:widowControl w:val="0"/>
        <w:autoSpaceDE w:val="0"/>
        <w:autoSpaceDN w:val="0"/>
        <w:adjustRightInd w:val="0"/>
        <w:spacing w:before="120" w:after="0" w:line="276" w:lineRule="auto"/>
        <w:jc w:val="both"/>
        <w:rPr>
          <w:rFonts w:ascii="Times New Roman" w:hAnsi="Times New Roman" w:cs="Times New Roman"/>
          <w:color w:val="333333"/>
          <w:sz w:val="24"/>
          <w:szCs w:val="24"/>
        </w:rPr>
      </w:pPr>
      <w:r w:rsidRPr="00A720EE">
        <w:rPr>
          <w:rFonts w:ascii="Times New Roman" w:eastAsiaTheme="minorEastAsia" w:hAnsi="Times New Roman" w:cs="Times New Roman"/>
          <w:sz w:val="24"/>
          <w:szCs w:val="24"/>
          <w:lang w:eastAsia="pl-PL"/>
        </w:rPr>
        <w:t xml:space="preserve">Zgodnie z nowo dodanym </w:t>
      </w:r>
      <w:r w:rsidRPr="00A720EE">
        <w:rPr>
          <w:rFonts w:ascii="Times New Roman" w:eastAsiaTheme="minorEastAsia" w:hAnsi="Times New Roman" w:cs="Times New Roman"/>
          <w:sz w:val="24"/>
          <w:szCs w:val="24"/>
          <w:u w:val="single"/>
          <w:lang w:eastAsia="pl-PL"/>
        </w:rPr>
        <w:t>ust. 15</w:t>
      </w:r>
      <w:r w:rsidRPr="00A720EE">
        <w:rPr>
          <w:rFonts w:ascii="Times New Roman" w:eastAsiaTheme="minorEastAsia" w:hAnsi="Times New Roman" w:cs="Times New Roman"/>
          <w:sz w:val="24"/>
          <w:szCs w:val="24"/>
          <w:lang w:eastAsia="pl-PL"/>
        </w:rPr>
        <w:t xml:space="preserve"> szczególne zasady stosuje się ponadto do podmiotów powiązanych zlokalizowanych w tzw. rajach podatkowych i państwach, z którymi nie</w:t>
      </w:r>
      <w:r w:rsidR="006B5313"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ratyfikowano umowy o unikaniu podwójnego opodatkowania lub umowy o wymianie informacji podatkowych.</w:t>
      </w:r>
    </w:p>
    <w:p w14:paraId="326B5A1F" w14:textId="15D5E014" w:rsidR="002C7626" w:rsidRPr="00A720EE" w:rsidRDefault="001E50D2" w:rsidP="002C7626">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B61236" w:rsidRPr="00A720EE">
        <w:rPr>
          <w:rFonts w:ascii="Times New Roman" w:eastAsiaTheme="minorEastAsia" w:hAnsi="Times New Roman" w:cs="Times New Roman"/>
          <w:b/>
          <w:sz w:val="24"/>
          <w:szCs w:val="24"/>
          <w:lang w:eastAsia="pl-PL"/>
        </w:rPr>
        <w:t>19</w:t>
      </w:r>
      <w:r w:rsidR="001C02A4" w:rsidRPr="00A720EE">
        <w:rPr>
          <w:rFonts w:ascii="Times New Roman" w:eastAsiaTheme="minorEastAsia" w:hAnsi="Times New Roman" w:cs="Times New Roman"/>
          <w:b/>
          <w:sz w:val="24"/>
          <w:szCs w:val="24"/>
          <w:lang w:eastAsia="pl-PL"/>
        </w:rPr>
        <w:t xml:space="preserve"> </w:t>
      </w:r>
      <w:r w:rsidR="002C7626" w:rsidRPr="00A720EE">
        <w:rPr>
          <w:rFonts w:ascii="Times New Roman" w:eastAsiaTheme="minorEastAsia" w:hAnsi="Times New Roman" w:cs="Times New Roman"/>
          <w:b/>
          <w:sz w:val="24"/>
          <w:szCs w:val="24"/>
          <w:lang w:eastAsia="pl-PL"/>
        </w:rPr>
        <w:t>– dotyczy art. 24b ust. 15</w:t>
      </w:r>
      <w:r w:rsidR="009A3ADC" w:rsidRPr="00A720EE">
        <w:rPr>
          <w:rFonts w:ascii="Times New Roman" w:eastAsiaTheme="minorEastAsia" w:hAnsi="Times New Roman" w:cs="Times New Roman"/>
          <w:b/>
          <w:sz w:val="24"/>
          <w:szCs w:val="24"/>
          <w:lang w:eastAsia="pl-PL"/>
        </w:rPr>
        <w:t xml:space="preserve"> i 16</w:t>
      </w:r>
    </w:p>
    <w:p w14:paraId="5B6D2B8E" w14:textId="5D851348" w:rsidR="001E50D2" w:rsidRPr="00A720EE" w:rsidRDefault="001E50D2" w:rsidP="001E50D2">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w:t>
      </w:r>
      <w:r w:rsidR="009A3ADC" w:rsidRPr="00A720EE">
        <w:rPr>
          <w:rFonts w:ascii="Times New Roman" w:eastAsiaTheme="minorEastAsia" w:hAnsi="Times New Roman" w:cs="Times New Roman"/>
          <w:sz w:val="24"/>
          <w:szCs w:val="24"/>
          <w:u w:val="single"/>
          <w:lang w:eastAsia="pl-PL"/>
        </w:rPr>
        <w:t>ust. 15</w:t>
      </w:r>
      <w:r w:rsidR="009A3ADC"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 xml:space="preserve">dotyczy przeformułowania procedury zwrotu podatku od przychodów </w:t>
      </w:r>
      <w:r w:rsidR="000122FE" w:rsidRPr="00A720EE">
        <w:rPr>
          <w:rFonts w:ascii="Times New Roman" w:eastAsiaTheme="minorEastAsia" w:hAnsi="Times New Roman" w:cs="Times New Roman"/>
          <w:sz w:val="24"/>
          <w:szCs w:val="24"/>
          <w:lang w:eastAsia="pl-PL"/>
        </w:rPr>
        <w:t>z budynków poprzez doprecyzowanie</w:t>
      </w:r>
      <w:r w:rsidRPr="00A720EE">
        <w:rPr>
          <w:rFonts w:ascii="Times New Roman" w:eastAsiaTheme="minorEastAsia" w:hAnsi="Times New Roman" w:cs="Times New Roman"/>
          <w:sz w:val="24"/>
          <w:szCs w:val="24"/>
          <w:lang w:eastAsia="pl-PL"/>
        </w:rPr>
        <w:t xml:space="preserve">, że zwrot podatku nastąpi bez </w:t>
      </w:r>
      <w:r w:rsidR="000122FE" w:rsidRPr="00A720EE">
        <w:rPr>
          <w:rFonts w:ascii="Times New Roman" w:eastAsiaTheme="minorEastAsia" w:hAnsi="Times New Roman" w:cs="Times New Roman"/>
          <w:sz w:val="24"/>
          <w:szCs w:val="24"/>
          <w:lang w:eastAsia="pl-PL"/>
        </w:rPr>
        <w:t xml:space="preserve">konieczności wydawania decyzji w każdym przypadku, gdy </w:t>
      </w:r>
      <w:r w:rsidR="00BF66D3" w:rsidRPr="00A720EE">
        <w:rPr>
          <w:rFonts w:ascii="Times New Roman" w:eastAsiaTheme="minorEastAsia" w:hAnsi="Times New Roman" w:cs="Times New Roman"/>
          <w:sz w:val="24"/>
          <w:szCs w:val="24"/>
          <w:lang w:eastAsia="pl-PL"/>
        </w:rPr>
        <w:t>wniosek</w:t>
      </w:r>
      <w:r w:rsidR="004E66D3" w:rsidRPr="00A720EE">
        <w:rPr>
          <w:rFonts w:ascii="Times New Roman" w:eastAsiaTheme="minorEastAsia" w:hAnsi="Times New Roman" w:cs="Times New Roman"/>
          <w:sz w:val="24"/>
          <w:szCs w:val="24"/>
          <w:lang w:eastAsia="pl-PL"/>
        </w:rPr>
        <w:t xml:space="preserve"> </w:t>
      </w:r>
      <w:r w:rsidR="000122FE" w:rsidRPr="00A720EE">
        <w:rPr>
          <w:rFonts w:ascii="Times New Roman" w:eastAsiaTheme="minorEastAsia" w:hAnsi="Times New Roman" w:cs="Times New Roman"/>
          <w:sz w:val="24"/>
          <w:szCs w:val="24"/>
          <w:lang w:eastAsia="pl-PL"/>
        </w:rPr>
        <w:t xml:space="preserve">nie będzie budzić wątpliwości. Jest to działanie ukierunkowane na uproszczenie całego procesu </w:t>
      </w:r>
      <w:r w:rsidR="00654DF3" w:rsidRPr="00A720EE">
        <w:rPr>
          <w:rFonts w:ascii="Times New Roman" w:eastAsiaTheme="minorEastAsia" w:hAnsi="Times New Roman" w:cs="Times New Roman"/>
          <w:sz w:val="24"/>
          <w:szCs w:val="24"/>
          <w:lang w:eastAsia="pl-PL"/>
        </w:rPr>
        <w:t xml:space="preserve">administracyjnego </w:t>
      </w:r>
      <w:r w:rsidR="000122FE" w:rsidRPr="00A720EE">
        <w:rPr>
          <w:rFonts w:ascii="Times New Roman" w:eastAsiaTheme="minorEastAsia" w:hAnsi="Times New Roman" w:cs="Times New Roman"/>
          <w:sz w:val="24"/>
          <w:szCs w:val="24"/>
          <w:lang w:eastAsia="pl-PL"/>
        </w:rPr>
        <w:t>przewidzianego w art. 24b ust. 15.</w:t>
      </w:r>
    </w:p>
    <w:p w14:paraId="062CCDB1" w14:textId="77777777" w:rsidR="009A3ADC" w:rsidRPr="00A720EE" w:rsidRDefault="009A3ADC" w:rsidP="001E50D2">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w:t>
      </w:r>
      <w:r w:rsidRPr="00A720EE">
        <w:rPr>
          <w:rFonts w:ascii="Times New Roman" w:eastAsiaTheme="minorEastAsia" w:hAnsi="Times New Roman" w:cs="Times New Roman"/>
          <w:sz w:val="24"/>
          <w:szCs w:val="24"/>
          <w:u w:val="single"/>
          <w:lang w:eastAsia="pl-PL"/>
        </w:rPr>
        <w:t>ust. 16</w:t>
      </w:r>
      <w:r w:rsidRPr="00A720EE">
        <w:rPr>
          <w:rFonts w:ascii="Times New Roman" w:eastAsiaTheme="minorEastAsia" w:hAnsi="Times New Roman" w:cs="Times New Roman"/>
          <w:sz w:val="24"/>
          <w:szCs w:val="24"/>
          <w:lang w:eastAsia="pl-PL"/>
        </w:rPr>
        <w:t xml:space="preserve"> ma charakter dostosowawczy, wynikający ze zmiany ust. 15.</w:t>
      </w:r>
    </w:p>
    <w:p w14:paraId="7FDBB060" w14:textId="080A3E20" w:rsidR="00D01D50" w:rsidRPr="00A720EE" w:rsidRDefault="00250780" w:rsidP="001E50D2">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9146E6" w:rsidRPr="00A720EE">
        <w:rPr>
          <w:rFonts w:ascii="Times New Roman" w:eastAsiaTheme="minorEastAsia" w:hAnsi="Times New Roman" w:cs="Times New Roman"/>
          <w:b/>
          <w:sz w:val="24"/>
          <w:szCs w:val="24"/>
          <w:lang w:eastAsia="pl-PL"/>
        </w:rPr>
        <w:t>2</w:t>
      </w:r>
      <w:r w:rsidR="00B61236" w:rsidRPr="00A720EE">
        <w:rPr>
          <w:rFonts w:ascii="Times New Roman" w:eastAsiaTheme="minorEastAsia" w:hAnsi="Times New Roman" w:cs="Times New Roman"/>
          <w:b/>
          <w:sz w:val="24"/>
          <w:szCs w:val="24"/>
          <w:lang w:eastAsia="pl-PL"/>
        </w:rPr>
        <w:t>0</w:t>
      </w:r>
      <w:r w:rsidR="00D910DD" w:rsidRPr="00A720EE">
        <w:rPr>
          <w:rFonts w:ascii="Times New Roman" w:eastAsiaTheme="minorEastAsia" w:hAnsi="Times New Roman" w:cs="Times New Roman"/>
          <w:b/>
          <w:sz w:val="24"/>
          <w:szCs w:val="24"/>
          <w:lang w:eastAsia="pl-PL"/>
        </w:rPr>
        <w:t xml:space="preserve"> – dotyczy art. 24ca</w:t>
      </w:r>
      <w:r w:rsidRPr="00A720EE">
        <w:rPr>
          <w:rFonts w:ascii="Times New Roman" w:eastAsiaTheme="minorEastAsia" w:hAnsi="Times New Roman" w:cs="Times New Roman"/>
          <w:b/>
          <w:sz w:val="24"/>
          <w:szCs w:val="24"/>
          <w:lang w:eastAsia="pl-PL"/>
        </w:rPr>
        <w:t xml:space="preserve"> </w:t>
      </w:r>
      <w:r w:rsidR="00A879E2" w:rsidRPr="00A720EE">
        <w:rPr>
          <w:rFonts w:ascii="Times New Roman" w:eastAsiaTheme="minorEastAsia" w:hAnsi="Times New Roman" w:cs="Times New Roman"/>
          <w:b/>
          <w:sz w:val="24"/>
          <w:szCs w:val="24"/>
          <w:lang w:eastAsia="pl-PL"/>
        </w:rPr>
        <w:t xml:space="preserve">ust. 1 pkt 2, ust. 2 pkt 1, 2 lit. b, </w:t>
      </w:r>
      <w:r w:rsidR="00643B95" w:rsidRPr="00A720EE">
        <w:rPr>
          <w:rFonts w:ascii="Times New Roman" w:eastAsiaTheme="minorEastAsia" w:hAnsi="Times New Roman" w:cs="Times New Roman"/>
          <w:b/>
          <w:sz w:val="24"/>
          <w:szCs w:val="24"/>
          <w:lang w:eastAsia="pl-PL"/>
        </w:rPr>
        <w:t xml:space="preserve">pkt </w:t>
      </w:r>
      <w:r w:rsidR="00A879E2" w:rsidRPr="00A720EE">
        <w:rPr>
          <w:rFonts w:ascii="Times New Roman" w:eastAsiaTheme="minorEastAsia" w:hAnsi="Times New Roman" w:cs="Times New Roman"/>
          <w:b/>
          <w:sz w:val="24"/>
          <w:szCs w:val="24"/>
          <w:lang w:eastAsia="pl-PL"/>
        </w:rPr>
        <w:t>3-</w:t>
      </w:r>
      <w:r w:rsidR="00643B95" w:rsidRPr="00A720EE">
        <w:rPr>
          <w:rFonts w:ascii="Times New Roman" w:eastAsiaTheme="minorEastAsia" w:hAnsi="Times New Roman" w:cs="Times New Roman"/>
          <w:b/>
          <w:sz w:val="24"/>
          <w:szCs w:val="24"/>
          <w:lang w:eastAsia="pl-PL"/>
        </w:rPr>
        <w:t>8, ust. 3 pkt 1-3</w:t>
      </w:r>
      <w:r w:rsidR="00A879E2" w:rsidRPr="00A720EE">
        <w:rPr>
          <w:rFonts w:ascii="Times New Roman" w:eastAsiaTheme="minorEastAsia" w:hAnsi="Times New Roman" w:cs="Times New Roman"/>
          <w:b/>
          <w:sz w:val="24"/>
          <w:szCs w:val="24"/>
          <w:lang w:eastAsia="pl-PL"/>
        </w:rPr>
        <w:t>, ust. 3a, ust. 10 pkt 2</w:t>
      </w:r>
      <w:r w:rsidR="00643B95" w:rsidRPr="00A720EE">
        <w:rPr>
          <w:rFonts w:ascii="Times New Roman" w:eastAsiaTheme="minorEastAsia" w:hAnsi="Times New Roman" w:cs="Times New Roman"/>
          <w:b/>
          <w:sz w:val="24"/>
          <w:szCs w:val="24"/>
          <w:lang w:eastAsia="pl-PL"/>
        </w:rPr>
        <w:t xml:space="preserve"> i 3</w:t>
      </w:r>
      <w:r w:rsidR="00A879E2" w:rsidRPr="00A720EE">
        <w:rPr>
          <w:rFonts w:ascii="Times New Roman" w:eastAsiaTheme="minorEastAsia" w:hAnsi="Times New Roman" w:cs="Times New Roman"/>
          <w:b/>
          <w:sz w:val="24"/>
          <w:szCs w:val="24"/>
          <w:lang w:eastAsia="pl-PL"/>
        </w:rPr>
        <w:t>, ust. 14 pkt 4, 5 lit. c i d, 6-12 i ust. 15a</w:t>
      </w:r>
    </w:p>
    <w:p w14:paraId="2A0A521B" w14:textId="77777777" w:rsidR="00A879E2" w:rsidRPr="00A720EE" w:rsidRDefault="00A879E2" w:rsidP="00A879E2">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sz w:val="24"/>
          <w:szCs w:val="24"/>
          <w:u w:val="single"/>
          <w:lang w:eastAsia="pl-PL"/>
        </w:rPr>
        <w:t>Zmiana w ust. 1 pkt 2</w:t>
      </w:r>
      <w:r w:rsidRPr="00A720EE">
        <w:rPr>
          <w:rFonts w:ascii="Times New Roman" w:eastAsiaTheme="minorEastAsia" w:hAnsi="Times New Roman" w:cs="Times New Roman"/>
          <w:sz w:val="24"/>
          <w:szCs w:val="24"/>
          <w:lang w:eastAsia="pl-PL"/>
        </w:rPr>
        <w:t xml:space="preserve"> polega na </w:t>
      </w:r>
      <w:r w:rsidRPr="00A720EE">
        <w:rPr>
          <w:rFonts w:ascii="Times New Roman" w:eastAsiaTheme="minorEastAsia" w:hAnsi="Times New Roman" w:cs="Times New Roman"/>
          <w:bCs/>
          <w:sz w:val="24"/>
          <w:szCs w:val="24"/>
          <w:lang w:eastAsia="pl-PL"/>
        </w:rPr>
        <w:t>podwyższeniu wskaźnika rentowności z 1% na 2%, a także uzupełnieniu, na potrzeby jego określenia, odwołania do „dochodu” w rozumieniu art. 7a ust. 1 ustawy CIT (obecnie odwołanie jedynie do art. 7 ust. 1).</w:t>
      </w:r>
    </w:p>
    <w:p w14:paraId="60C9E25A"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u w:val="single"/>
          <w:lang w:eastAsia="pl-PL"/>
        </w:rPr>
        <w:t>Zmiana w ust. 2</w:t>
      </w:r>
      <w:r w:rsidRPr="00A720EE">
        <w:rPr>
          <w:rFonts w:ascii="Times New Roman" w:eastAsiaTheme="minorEastAsia" w:hAnsi="Times New Roman" w:cs="Times New Roman"/>
          <w:bCs/>
          <w:sz w:val="24"/>
          <w:szCs w:val="24"/>
          <w:lang w:eastAsia="pl-PL"/>
        </w:rPr>
        <w:t xml:space="preserve"> dotyczącym metodologii wyliczania wskaźnika rentowności, polega na doprecyzowaniu brzmienia dotychczasowych </w:t>
      </w:r>
      <w:proofErr w:type="spellStart"/>
      <w:r w:rsidRPr="00A720EE">
        <w:rPr>
          <w:rFonts w:ascii="Times New Roman" w:eastAsiaTheme="minorEastAsia" w:hAnsi="Times New Roman" w:cs="Times New Roman"/>
          <w:bCs/>
          <w:sz w:val="24"/>
          <w:szCs w:val="24"/>
          <w:lang w:eastAsia="pl-PL"/>
        </w:rPr>
        <w:t>wyłączeń</w:t>
      </w:r>
      <w:proofErr w:type="spellEnd"/>
      <w:r w:rsidRPr="00A720EE">
        <w:rPr>
          <w:rFonts w:ascii="Times New Roman" w:eastAsiaTheme="minorEastAsia" w:hAnsi="Times New Roman" w:cs="Times New Roman"/>
          <w:bCs/>
          <w:sz w:val="24"/>
          <w:szCs w:val="24"/>
          <w:lang w:eastAsia="pl-PL"/>
        </w:rPr>
        <w:t xml:space="preserve"> (także w związku z podwyższeniem wskaźnika rentowności do 2%)</w:t>
      </w:r>
      <w:r w:rsidRPr="00A720EE">
        <w:rPr>
          <w:rFonts w:ascii="Times New Roman" w:hAnsi="Times New Roman" w:cs="Times New Roman"/>
          <w:sz w:val="24"/>
          <w:szCs w:val="24"/>
        </w:rPr>
        <w:t xml:space="preserve"> </w:t>
      </w:r>
      <w:r w:rsidRPr="00A720EE">
        <w:rPr>
          <w:rFonts w:ascii="Times New Roman" w:eastAsiaTheme="minorEastAsia" w:hAnsi="Times New Roman" w:cs="Times New Roman"/>
          <w:bCs/>
          <w:sz w:val="24"/>
          <w:szCs w:val="24"/>
          <w:lang w:eastAsia="pl-PL"/>
        </w:rPr>
        <w:t>oraz wprowadzeniu nowych pozycji nieuwzględnianych przy wyliczaniu rentowności.</w:t>
      </w:r>
    </w:p>
    <w:p w14:paraId="3BFD927A" w14:textId="185C4852" w:rsidR="00A879E2" w:rsidRPr="00A720EE" w:rsidRDefault="00A879E2" w:rsidP="000151A2">
      <w:pPr>
        <w:numPr>
          <w:ilvl w:val="0"/>
          <w:numId w:val="12"/>
        </w:numPr>
        <w:spacing w:after="120" w:line="276" w:lineRule="auto"/>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pkt 1 - rezygnacja z odwoływania się do „roku podatkowego”</w:t>
      </w:r>
      <w:r w:rsidR="00554921" w:rsidRPr="00A720EE">
        <w:rPr>
          <w:rFonts w:ascii="Times New Roman" w:eastAsiaTheme="minorEastAsia" w:hAnsi="Times New Roman" w:cs="Times New Roman"/>
          <w:bCs/>
          <w:sz w:val="24"/>
          <w:szCs w:val="24"/>
          <w:lang w:eastAsia="pl-PL"/>
        </w:rPr>
        <w:t>.</w:t>
      </w:r>
    </w:p>
    <w:p w14:paraId="09E92EDC"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Wobec zgłaszanych wątpliwości do jakiego okresu należy odnosić przychody i koszty uzyskania przychodów wskazane w tym przepisie, odstępuje się od odwoływania się do „roku podatkowego”. Uzasadnienie zmiany wynika z charakterystyki minimalnego podatku dochodowego, który jest daniną rozliczaną po zakończeniu roku podatkowego co oznacza, że przychody jak i odpowiadające im koszty muszą być uzyskane/poniesione w danym roku podatkowym.</w:t>
      </w:r>
    </w:p>
    <w:p w14:paraId="51B76DE9" w14:textId="437EC65B"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Dodatkowo wyłączenie w pkt 1 (który koresponduje z ust. 2 pkt 3 – opłaty w ramach umowy leasingu) zostaje rozszerzone o odpisy amortyzacyjne od środka trwałego wykorzystywanego na podstawie umowy określonej w art. 17a pkt 1, jeżeli odpisów amortyzacyjnych dokonuje korzystający. Pozwoli to na usunięcie potencjalnej luki w zakresie leasingu finansowego (przepis odnosi się obecnie jedynie do kosztów, w tym poprzez odpisy amortyzacyjne, wynikających z nabycia, wytworzenia lub ulepszenia środków trwałych, podczas gdy leasing finansowy nie stanowi nabycia). Brak uwzględnienia nakładów ponoszonych w ramach umowy leasingu, podczas gdy nabycie środków trwałych sfinansowanych kredytem umożliwia skorzystanie z preferencji zawartych w tym przepisie, powodowało niezasadne różnicowanie sytuacji podatników oznaczając tym samym w szczególności, że dla podatników objętych </w:t>
      </w:r>
      <w:r w:rsidRPr="00A720EE">
        <w:rPr>
          <w:rFonts w:ascii="Times New Roman" w:eastAsiaTheme="minorEastAsia" w:hAnsi="Times New Roman" w:cs="Times New Roman"/>
          <w:bCs/>
          <w:sz w:val="24"/>
          <w:szCs w:val="24"/>
          <w:lang w:eastAsia="pl-PL"/>
        </w:rPr>
        <w:lastRenderedPageBreak/>
        <w:t>minimalnym podatkiem dochodowym leasing stałby się mniej korzystną formą finansowania, niż np. kredyt bankowy</w:t>
      </w:r>
      <w:r w:rsidR="00554921" w:rsidRPr="00A720EE">
        <w:rPr>
          <w:rFonts w:ascii="Times New Roman" w:eastAsiaTheme="minorEastAsia" w:hAnsi="Times New Roman" w:cs="Times New Roman"/>
          <w:bCs/>
          <w:sz w:val="24"/>
          <w:szCs w:val="24"/>
          <w:lang w:eastAsia="pl-PL"/>
        </w:rPr>
        <w:t>.</w:t>
      </w:r>
    </w:p>
    <w:p w14:paraId="05006222" w14:textId="77777777" w:rsidR="00A879E2" w:rsidRPr="00A720EE" w:rsidRDefault="00A879E2" w:rsidP="000151A2">
      <w:pPr>
        <w:widowControl w:val="0"/>
        <w:numPr>
          <w:ilvl w:val="0"/>
          <w:numId w:val="12"/>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pkt 2 lit. b – zmiana redakcyjna związana z podwyższeniem wskaźnika w ust. 1 pkt 2 oraz rozszerzeniem dotychczasowej listy </w:t>
      </w:r>
      <w:proofErr w:type="spellStart"/>
      <w:r w:rsidRPr="00A720EE">
        <w:rPr>
          <w:rFonts w:ascii="Times New Roman" w:eastAsiaTheme="minorEastAsia" w:hAnsi="Times New Roman" w:cs="Times New Roman"/>
          <w:bCs/>
          <w:sz w:val="24"/>
          <w:szCs w:val="24"/>
          <w:lang w:eastAsia="pl-PL"/>
        </w:rPr>
        <w:t>wyłaczeń</w:t>
      </w:r>
      <w:proofErr w:type="spellEnd"/>
      <w:r w:rsidRPr="00A720EE">
        <w:rPr>
          <w:rFonts w:ascii="Times New Roman" w:eastAsiaTheme="minorEastAsia" w:hAnsi="Times New Roman" w:cs="Times New Roman"/>
          <w:bCs/>
          <w:sz w:val="24"/>
          <w:szCs w:val="24"/>
          <w:lang w:eastAsia="pl-PL"/>
        </w:rPr>
        <w:t xml:space="preserve"> (dodatkowo o punkty 3-8);</w:t>
      </w:r>
    </w:p>
    <w:p w14:paraId="7AC167B2" w14:textId="193B85B8" w:rsidR="00A879E2" w:rsidRPr="00A720EE" w:rsidRDefault="00A879E2" w:rsidP="000151A2">
      <w:pPr>
        <w:widowControl w:val="0"/>
        <w:numPr>
          <w:ilvl w:val="0"/>
          <w:numId w:val="12"/>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pkt 3 - wyłączenie z kosztów uzyskania przychodów opłat z tytułu umowy leasingu, o której mowa w art. 17a pkt 1</w:t>
      </w:r>
      <w:r w:rsidR="00554921" w:rsidRPr="00A720EE">
        <w:rPr>
          <w:rFonts w:ascii="Times New Roman" w:eastAsiaTheme="minorEastAsia" w:hAnsi="Times New Roman" w:cs="Times New Roman"/>
          <w:bCs/>
          <w:sz w:val="24"/>
          <w:szCs w:val="24"/>
          <w:lang w:eastAsia="pl-PL"/>
        </w:rPr>
        <w:t>.</w:t>
      </w:r>
    </w:p>
    <w:p w14:paraId="68B42474" w14:textId="718C6713"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Przepis dotyczy wyłączenia ze wskaźnika opłat z tytułu umowy leasingu i stanowi uzupełnienie treści ust. 2 pkt 1 dzięki czemu aspekt umowy leasingu na gruncie minimalnego podatku dochodowego jest ujęty w sposób kompleksowy i wyczerpujący</w:t>
      </w:r>
      <w:r w:rsidR="00554921" w:rsidRPr="00A720EE">
        <w:rPr>
          <w:rFonts w:ascii="Times New Roman" w:eastAsiaTheme="minorEastAsia" w:hAnsi="Times New Roman" w:cs="Times New Roman"/>
          <w:bCs/>
          <w:sz w:val="24"/>
          <w:szCs w:val="24"/>
          <w:lang w:eastAsia="pl-PL"/>
        </w:rPr>
        <w:t>.</w:t>
      </w:r>
    </w:p>
    <w:p w14:paraId="61E75BAB" w14:textId="77777777" w:rsidR="00A879E2" w:rsidRPr="00A720EE" w:rsidRDefault="00A879E2" w:rsidP="000151A2">
      <w:pPr>
        <w:widowControl w:val="0"/>
        <w:numPr>
          <w:ilvl w:val="0"/>
          <w:numId w:val="12"/>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pkt 4 - wyłączenie z przychodów oraz kosztów uzyskania przychodów wartości należności handlowych zbywanych na rzecz podmiotów z branży faktoringowej (objętych umowami faktoringu)</w:t>
      </w:r>
    </w:p>
    <w:p w14:paraId="03B48DAF"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Kwestia prezentacji cesji wierzytelności w ramach faktoringu po stronie faktoranta została rozstrzygnięta w Interpretacji ogólnej Ministra Finansów, Funduszy i Polityki Regionalnej z 15 lutego 2021 r., nr DD5.8201.11.2020 stwierdzającej, że zbycie wierzytelności przez faktoranta stanowi odrębną operację gospodarczą od pierwotnej sprzedaży towarów lub usług, czyli transakcji, z których wynikają finansowane wierzytelności. Tym samym, w przypadku zbycia wierzytelności własnych zaliczonych uprzednio do przychodów należnych, po stronie faktoranta powstaje: (I) obowiązek rozpoznania przychodu podatkowego w wysokości odpowiadającej cenie zawartej w umowie sprzedaży wierzytelności (kwoty brutto), ustalonej na poziomie rynkowym oraz (II) prawo do kosztów uzyskania przychodów z tej transakcji (zasadniczo w wartości brutto wierzytelności, tj. wraz z podatkiem VAT). Interpretacja ogólna odniosła się również do możliwości rozpoznawania ewentualnej straty podatkowej na takiej transakcji. </w:t>
      </w:r>
    </w:p>
    <w:p w14:paraId="40AC2EE4"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Jednocześnie zgodnie z sygnałami płynącymi ze strony podmiotów działających w branży faktoringowej, w wyniku stosowania ww. interpretacji ogólnej dotyczącej sposobu rozpoznawania przychodów i kosztów, podmioty z branży faktoringowej będą kalkulowały minimalny podatek dochodowy od obrotu, a nie od rzeczywistego dochodu. Ponadto, z uwagi na brak statusu „przedsiębiorstwa finansowego” kwalifikującego do zwolnienia z opodatkowania minimalnym podatkiem dochodowym, część faktorów - banki oferujące usługi faktoringu, które jako przedsiębiorstwa finansowe korzystają z wyłączenia z tego opodatkowania - stawiana jest na uprzywilejowanej pozycji. Może to oznaczać przewagę konkurencyjną takich banków (faktorów) nad spółkami faktoringowymi. </w:t>
      </w:r>
    </w:p>
    <w:p w14:paraId="288FC323"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Proponowana w ust. 2 pkt 4 zmiana zmierza w kierunku osiągnięcia sytuacji pożądanej zarówno z perspektywy faktorantów (zbywających) jak i faktorów (na rzecz których dokonywana jest cesja). W tym celu wyłączenie ze wskaźnika rentowności rozszerzone zostanie o przychody i koszty z tytułu zbycia wierzytelności na rzecz zarówno instytucji finansowych w rozumieniu art. 15c ust. 16 (już obecnie zwolnionych podmiotowo z minimalnego podatku dochodowego na mocy ust. 14 pkt 2), jak i instytucji finansowych w </w:t>
      </w:r>
      <w:r w:rsidRPr="00A720EE">
        <w:rPr>
          <w:rFonts w:ascii="Times New Roman" w:eastAsiaTheme="minorEastAsia" w:hAnsi="Times New Roman" w:cs="Times New Roman"/>
          <w:bCs/>
          <w:sz w:val="24"/>
          <w:szCs w:val="24"/>
          <w:lang w:eastAsia="pl-PL"/>
        </w:rPr>
        <w:lastRenderedPageBreak/>
        <w:t>rozumieniu art. 4 ust. 1 pkt 7 ustawy z 29 sierpnia 1997 r. - Prawo bankowe</w:t>
      </w:r>
      <w:r w:rsidRPr="00A720EE">
        <w:rPr>
          <w:rFonts w:ascii="Times New Roman" w:eastAsiaTheme="minorEastAsia" w:hAnsi="Times New Roman" w:cs="Times New Roman"/>
          <w:bCs/>
          <w:sz w:val="24"/>
          <w:szCs w:val="24"/>
          <w:vertAlign w:val="superscript"/>
          <w:lang w:eastAsia="pl-PL"/>
        </w:rPr>
        <w:footnoteReference w:id="15"/>
      </w:r>
      <w:r w:rsidRPr="00A720EE">
        <w:rPr>
          <w:rFonts w:ascii="Times New Roman" w:eastAsiaTheme="minorEastAsia" w:hAnsi="Times New Roman" w:cs="Times New Roman"/>
          <w:bCs/>
          <w:sz w:val="24"/>
          <w:szCs w:val="24"/>
          <w:lang w:eastAsia="pl-PL"/>
        </w:rPr>
        <w:t xml:space="preserve"> (dalej: „Prawo bankowe”) w przypadku których przedmiotem działalności jest świadczenie usług finansowych polegających na odpłatnym nabywaniu wierzytelności powstałych w wyniku umowy sprzedaży towarów lub świadczenia usług pomiędzy wierzycielem a dłużnikiem.</w:t>
      </w:r>
    </w:p>
    <w:p w14:paraId="2E3DD52E" w14:textId="325B31D3"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Symetrycznie z powyższym przepisem przychody, o których mowa w ust. 2 pkt 4 podlegać będą wyłączeniu z podstawy opodatkowania minimalnym podatkiem dochodowym (ust. 10). Ponadto, instytucje finansowe, o którym mowa w ww. przepisach Prawa bankowego (spółki/przedsiębiorstwa faktoringowe) zostaną objęte zwolnieniem podmiotowym (przewidzianym w ust. 14 pkt 12)</w:t>
      </w:r>
      <w:r w:rsidR="00554921" w:rsidRPr="00A720EE">
        <w:rPr>
          <w:rFonts w:ascii="Times New Roman" w:eastAsiaTheme="minorEastAsia" w:hAnsi="Times New Roman" w:cs="Times New Roman"/>
          <w:bCs/>
          <w:sz w:val="24"/>
          <w:szCs w:val="24"/>
          <w:lang w:eastAsia="pl-PL"/>
        </w:rPr>
        <w:t>.</w:t>
      </w:r>
    </w:p>
    <w:p w14:paraId="152819C9" w14:textId="499F146D" w:rsidR="00A879E2" w:rsidRPr="00A720EE" w:rsidRDefault="00A879E2" w:rsidP="000151A2">
      <w:pPr>
        <w:widowControl w:val="0"/>
        <w:numPr>
          <w:ilvl w:val="0"/>
          <w:numId w:val="12"/>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pkt 5 – wyłączenie z kosztów uzyskania przychodów wzrostu kosztów zakupu energii</w:t>
      </w:r>
      <w:r w:rsidR="006B5313" w:rsidRPr="00A720EE">
        <w:rPr>
          <w:rFonts w:ascii="Times New Roman" w:eastAsiaTheme="minorEastAsia" w:hAnsi="Times New Roman" w:cs="Times New Roman"/>
          <w:bCs/>
          <w:sz w:val="24"/>
          <w:szCs w:val="24"/>
          <w:lang w:eastAsia="pl-PL"/>
        </w:rPr>
        <w:t>.</w:t>
      </w:r>
    </w:p>
    <w:p w14:paraId="3E71DFDA" w14:textId="77777777" w:rsidR="00A879E2" w:rsidRPr="00A720EE" w:rsidRDefault="00A879E2" w:rsidP="000151A2">
      <w:pPr>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Zgodnie z propozycją zmiany, mając na uwadze trudną sytuację gospodarczą związaną z gwałtownym wzrostem cen wszystkich nośników energii, z kalkulacji wskaźnika rentowności wyłączony zostanie wzrost kosztów uzyskania przychodów z tytułu zakupu energii elektrycznej, energii cieplnej i gazu przewodowego (przesyłowego), rok do roku. </w:t>
      </w:r>
    </w:p>
    <w:p w14:paraId="31A59200" w14:textId="510418F6" w:rsidR="005C24BF"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Proponowany przepis określa metodologię wyliczenia różnicy stanowiącej o wzroście wartości kosztów. Będzie nią dodatnia różnica między kosztami uzyskania przychodów poniesionymi w</w:t>
      </w:r>
      <w:r w:rsidR="006B5313" w:rsidRPr="00A720EE">
        <w:rPr>
          <w:rFonts w:ascii="Times New Roman" w:eastAsiaTheme="minorEastAsia" w:hAnsi="Times New Roman" w:cs="Times New Roman"/>
          <w:bCs/>
          <w:sz w:val="24"/>
          <w:szCs w:val="24"/>
          <w:lang w:eastAsia="pl-PL"/>
        </w:rPr>
        <w:t> </w:t>
      </w:r>
      <w:r w:rsidRPr="00A720EE">
        <w:rPr>
          <w:rFonts w:ascii="Times New Roman" w:eastAsiaTheme="minorEastAsia" w:hAnsi="Times New Roman" w:cs="Times New Roman"/>
          <w:bCs/>
          <w:sz w:val="24"/>
          <w:szCs w:val="24"/>
          <w:lang w:eastAsia="pl-PL"/>
        </w:rPr>
        <w:t>roku podatkowego, za który należny jest minimalny podatek dochodowy, a kosztami uzyskania przychodów poniesionymi w roku podatkowym bezpośrednio poprzedzającym ten rok.</w:t>
      </w:r>
    </w:p>
    <w:p w14:paraId="37DEE1BE" w14:textId="1B50823C" w:rsidR="00A879E2" w:rsidRPr="00A720EE" w:rsidRDefault="00A879E2" w:rsidP="000151A2">
      <w:pPr>
        <w:pStyle w:val="Akapitzlist"/>
        <w:widowControl w:val="0"/>
        <w:numPr>
          <w:ilvl w:val="0"/>
          <w:numId w:val="12"/>
        </w:numPr>
        <w:autoSpaceDE w:val="0"/>
        <w:autoSpaceDN w:val="0"/>
        <w:adjustRightInd w:val="0"/>
        <w:spacing w:after="120" w:line="276" w:lineRule="auto"/>
        <w:contextualSpacing w:val="0"/>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pkt 6 – wyłączenie </w:t>
      </w:r>
      <w:r w:rsidRPr="00A720EE">
        <w:rPr>
          <w:rFonts w:ascii="Times New Roman" w:hAnsi="Times New Roman" w:cs="Times New Roman"/>
          <w:sz w:val="24"/>
          <w:szCs w:val="24"/>
        </w:rPr>
        <w:t>przychodów oraz kosztów uzyskania przychodów odpowiadających</w:t>
      </w:r>
      <w:r w:rsidRPr="00A720EE">
        <w:rPr>
          <w:rFonts w:ascii="Times New Roman" w:eastAsiaTheme="minorEastAsia" w:hAnsi="Times New Roman" w:cs="Times New Roman"/>
          <w:bCs/>
          <w:sz w:val="24"/>
          <w:szCs w:val="24"/>
          <w:lang w:eastAsia="pl-PL"/>
        </w:rPr>
        <w:t xml:space="preserve"> wartości zapłaconego podatku akcyzowego, podatku od sprzedaży detalicznej, podatku od gier, opłaty paliwowej, opłaty emisyjnej</w:t>
      </w:r>
      <w:r w:rsidR="00554921" w:rsidRPr="00A720EE">
        <w:rPr>
          <w:rFonts w:ascii="Times New Roman" w:eastAsiaTheme="minorEastAsia" w:hAnsi="Times New Roman" w:cs="Times New Roman"/>
          <w:bCs/>
          <w:sz w:val="24"/>
          <w:szCs w:val="24"/>
          <w:lang w:eastAsia="pl-PL"/>
        </w:rPr>
        <w:t>.</w:t>
      </w:r>
    </w:p>
    <w:p w14:paraId="7C870465"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Wyłączenie podatku akcyzowego z przychodu, będącego w przypadku minimalnego podatku dochodowego podstawą opodatkowania, jest odpowiedzią na apele zgłaszane przez środowisko przedsiębiorców działających w branży akcyzowej (np. wystąpienie BCC). Zwracano w nich uwagę na dotkliwe obciążenie podatników funkcjonujących w tym sektorze związane przede wszystkim z zawyżaniem wartości przychodów firm o kwotę podatku akcyzowego, zawartego w sprzedawanych wyrobach akcyzowych. Wskazywano, że w konsekwencji obowiązującego brzmienia przepisów, </w:t>
      </w:r>
      <w:r w:rsidRPr="00A720EE">
        <w:rPr>
          <w:rFonts w:ascii="Times New Roman" w:eastAsia="Calibri" w:hAnsi="Times New Roman" w:cs="Times New Roman"/>
          <w:sz w:val="24"/>
          <w:szCs w:val="24"/>
          <w:lang w:eastAsia="pl-PL"/>
        </w:rPr>
        <w:t xml:space="preserve">firmy z branż akcyzowych mogą zapłacić nawet o kilkanaście milionów złotych więcej w formie podatku dochodowego, co znacznie wpłynie na zaburzenie równości traktowania przedsiębiorców oraz możliwości działania tych firm na rynku. </w:t>
      </w:r>
      <w:r w:rsidRPr="00A720EE">
        <w:rPr>
          <w:rFonts w:ascii="Times New Roman" w:eastAsiaTheme="minorEastAsia" w:hAnsi="Times New Roman" w:cs="Times New Roman"/>
          <w:sz w:val="24"/>
          <w:szCs w:val="24"/>
          <w:lang w:eastAsia="pl-PL"/>
        </w:rPr>
        <w:t>Wprowadzana zmiana ma przy tym przeciwdziałać sytuacji odprowadzania przez firmy z branży akcyzowej „podatku od podatku”, czyli podatku przychodowego od wartości akcyzy, która stanowić może nawet kilkadziesiąt procent wartości przychodu firmy.</w:t>
      </w:r>
    </w:p>
    <w:p w14:paraId="62C096BE"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Zgodnie z propozycją, z uwagi na podobieństwo konstrukcyjne i ogólną charakterystykę zbliżoną do podatku akcyzowego, wyłączeniem objęte zostaną również niektóre podatki sektorowe i opłaty – podatek od sprzedaży detalicznej, podatek od gier, opłata paliwowa i opłata emisyjna. </w:t>
      </w:r>
    </w:p>
    <w:p w14:paraId="1163E133" w14:textId="46A2FB09" w:rsidR="00A879E2" w:rsidRPr="00A720EE" w:rsidRDefault="00A879E2" w:rsidP="000151A2">
      <w:pPr>
        <w:widowControl w:val="0"/>
        <w:numPr>
          <w:ilvl w:val="0"/>
          <w:numId w:val="12"/>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lastRenderedPageBreak/>
        <w:t>pkt 7 – wyłączenie podatku akcyzowego zawartego w cenie sprzedanych wyrobów akcyzowych (obrót wyrobami akcyzowymi)</w:t>
      </w:r>
      <w:r w:rsidR="00554921" w:rsidRPr="00A720EE">
        <w:rPr>
          <w:rFonts w:ascii="Times New Roman" w:eastAsiaTheme="minorEastAsia" w:hAnsi="Times New Roman" w:cs="Times New Roman"/>
          <w:bCs/>
          <w:sz w:val="24"/>
          <w:szCs w:val="24"/>
          <w:lang w:eastAsia="pl-PL"/>
        </w:rPr>
        <w:t>.</w:t>
      </w:r>
    </w:p>
    <w:p w14:paraId="3FC323C4"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Przepis pozostaje w związku z ww. pkt 6 w zakresie podatku akcyzowego, stanowiąc jego uzupełnienie o sytuację podatników dokonujących obrotu wyrobami akcyzowymi. Zgodnie z propozycją wyłączenie ze wskaźnika obejmie kwotę podatku akcyzowego zawartego w cenie sprzedanych wyrobów akcyzowych zaliczoną do przychodów lub kosztów uzyskania przychodów. Jednocześnie, wartość podatku akcyzowego obliczać będzie samodzielnie podmiot dokonujący obrotu, w oparciu o stosowną informację wykazaną przez sprzedawcę wyrobów akcyzowych na fakturze lub załączniku do niej.</w:t>
      </w:r>
    </w:p>
    <w:p w14:paraId="3C3FDF8F" w14:textId="18DA3E2A" w:rsidR="00A879E2" w:rsidRPr="00A720EE" w:rsidRDefault="00A879E2" w:rsidP="000151A2">
      <w:pPr>
        <w:widowControl w:val="0"/>
        <w:numPr>
          <w:ilvl w:val="0"/>
          <w:numId w:val="12"/>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pkt 8 - wyłączenie z kosztów uzyskania przychodów 20% kosztów z tytułu wynagrodzeń (lit. a), składek na ubezpieczenie społeczne od tych wynagrodzeń (lit. b), a także wpłat do pracowniczych planów kapitałowych (lit. c)</w:t>
      </w:r>
      <w:r w:rsidR="00554921" w:rsidRPr="00A720EE">
        <w:rPr>
          <w:rFonts w:ascii="Times New Roman" w:eastAsiaTheme="minorEastAsia" w:hAnsi="Times New Roman" w:cs="Times New Roman"/>
          <w:bCs/>
          <w:sz w:val="24"/>
          <w:szCs w:val="24"/>
          <w:lang w:eastAsia="pl-PL"/>
        </w:rPr>
        <w:t>.</w:t>
      </w:r>
    </w:p>
    <w:p w14:paraId="7970441E" w14:textId="253E6E75"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Zgodnie z przepisem odstąpiono od propozycji wyłączenia ze wskaźnika wzrostu kosztów i związanej z tym konieczności porównywania wartości rok do roku. Wyłączenie będzie obejmować wszystkie wymienione pozycje (lit. a-c) jednak do wysokości nieprzekraczającej 20%.  </w:t>
      </w:r>
    </w:p>
    <w:p w14:paraId="62F22490" w14:textId="6F93311C"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sz w:val="24"/>
          <w:szCs w:val="24"/>
          <w:u w:val="single"/>
          <w:lang w:eastAsia="pl-PL"/>
        </w:rPr>
        <w:t>Reasumując zmiany dotyczące ust. 2</w:t>
      </w:r>
      <w:r w:rsidRPr="00A720EE">
        <w:rPr>
          <w:rFonts w:ascii="Times New Roman" w:eastAsiaTheme="minorEastAsia" w:hAnsi="Times New Roman" w:cs="Times New Roman"/>
          <w:sz w:val="24"/>
          <w:szCs w:val="24"/>
          <w:lang w:eastAsia="pl-PL"/>
        </w:rPr>
        <w:t xml:space="preserve">, poszerzenie zakresu ww. </w:t>
      </w:r>
      <w:proofErr w:type="spellStart"/>
      <w:r w:rsidRPr="00A720EE">
        <w:rPr>
          <w:rFonts w:ascii="Times New Roman" w:eastAsiaTheme="minorEastAsia" w:hAnsi="Times New Roman" w:cs="Times New Roman"/>
          <w:sz w:val="24"/>
          <w:szCs w:val="24"/>
          <w:lang w:eastAsia="pl-PL"/>
        </w:rPr>
        <w:t>wyłączeń</w:t>
      </w:r>
      <w:proofErr w:type="spellEnd"/>
      <w:r w:rsidRPr="00A720EE">
        <w:rPr>
          <w:rFonts w:ascii="Times New Roman" w:eastAsiaTheme="minorEastAsia" w:hAnsi="Times New Roman" w:cs="Times New Roman"/>
          <w:sz w:val="24"/>
          <w:szCs w:val="24"/>
          <w:lang w:eastAsia="pl-PL"/>
        </w:rPr>
        <w:t xml:space="preserve"> wychodzi naprzeciw głosom organizacji przedsiębiorców i ma na celu: zapewnienie spójności z dotychczasowymi </w:t>
      </w:r>
      <w:proofErr w:type="spellStart"/>
      <w:r w:rsidRPr="00A720EE">
        <w:rPr>
          <w:rFonts w:ascii="Times New Roman" w:eastAsiaTheme="minorEastAsia" w:hAnsi="Times New Roman" w:cs="Times New Roman"/>
          <w:sz w:val="24"/>
          <w:szCs w:val="24"/>
          <w:lang w:eastAsia="pl-PL"/>
        </w:rPr>
        <w:t>wyłączeniami</w:t>
      </w:r>
      <w:proofErr w:type="spellEnd"/>
      <w:r w:rsidRPr="00A720EE">
        <w:rPr>
          <w:rFonts w:ascii="Times New Roman" w:eastAsiaTheme="minorEastAsia" w:hAnsi="Times New Roman" w:cs="Times New Roman"/>
          <w:sz w:val="24"/>
          <w:szCs w:val="24"/>
          <w:lang w:eastAsia="pl-PL"/>
        </w:rPr>
        <w:t xml:space="preserve"> (pkt 3), uwzględnienie specyfiki podatkowego rozliczania niektórych transakcji (pkt 4), większe uwzględnienie w ramach omawianych przepisów elementu gospodarczego (pkt 5-8). Jednocześnie zmiany te łagodzą podwyższenie wskaźnika rentowności decydującego o „wejściu” do systemu minimalnego podatku dochodowego, zapewniając jednakże większą „elastyczność” tych regulacji (większe uwzględnienie indywidualnej sytuacji podatnika). Powyższe stanowi wsparcie dla przedsiębiorstw w szczególnie trudnej sytuacji związanej z obecnymi uwarunkowaniami geopolitycznymi</w:t>
      </w:r>
      <w:r w:rsidR="00554921" w:rsidRPr="00A720EE">
        <w:rPr>
          <w:rFonts w:ascii="Times New Roman" w:eastAsiaTheme="minorEastAsia" w:hAnsi="Times New Roman" w:cs="Times New Roman"/>
          <w:sz w:val="24"/>
          <w:szCs w:val="24"/>
          <w:lang w:eastAsia="pl-PL"/>
        </w:rPr>
        <w:t>.</w:t>
      </w:r>
    </w:p>
    <w:p w14:paraId="7E719747"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u w:val="single"/>
          <w:lang w:eastAsia="pl-PL"/>
        </w:rPr>
        <w:t>Zmiana w ust. 3</w:t>
      </w:r>
      <w:r w:rsidRPr="00A720EE">
        <w:rPr>
          <w:rFonts w:ascii="Times New Roman" w:eastAsiaTheme="minorEastAsia" w:hAnsi="Times New Roman" w:cs="Times New Roman"/>
          <w:sz w:val="24"/>
          <w:szCs w:val="24"/>
          <w:lang w:eastAsia="pl-PL"/>
        </w:rPr>
        <w:t xml:space="preserve"> związana jest z modyfikacją wskaźnika przychodowego</w:t>
      </w:r>
      <w:r w:rsidRPr="00A720EE">
        <w:rPr>
          <w:rFonts w:ascii="Times New Roman" w:hAnsi="Times New Roman" w:cs="Times New Roman"/>
          <w:sz w:val="24"/>
          <w:szCs w:val="24"/>
        </w:rPr>
        <w:t xml:space="preserve"> </w:t>
      </w:r>
      <w:r w:rsidRPr="00A720EE">
        <w:rPr>
          <w:rFonts w:ascii="Times New Roman" w:eastAsiaTheme="minorEastAsia" w:hAnsi="Times New Roman" w:cs="Times New Roman"/>
          <w:sz w:val="24"/>
          <w:szCs w:val="24"/>
          <w:lang w:eastAsia="pl-PL"/>
        </w:rPr>
        <w:t>na potrzeby ustalania podstawy opodatkowania, wykreśleniem pkt 3 (podatek odroczony), potrzebą uwzględnienia powiązań ze Skarbem Państwa, a także z wprowadzeniem alternatywy co do metody ustalania podstawy opodatkowania, o której mowa w dodawanym ust. 3a poprzez:</w:t>
      </w:r>
    </w:p>
    <w:p w14:paraId="66C57F5E" w14:textId="5F6AF741" w:rsidR="00A879E2" w:rsidRPr="00A720EE" w:rsidRDefault="00A879E2" w:rsidP="000151A2">
      <w:pPr>
        <w:widowControl w:val="0"/>
        <w:numPr>
          <w:ilvl w:val="0"/>
          <w:numId w:val="13"/>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sz w:val="24"/>
          <w:szCs w:val="24"/>
          <w:lang w:eastAsia="pl-PL"/>
        </w:rPr>
        <w:t>pkt 1 – obniżenie wskaźnika wartości przychodów ze źródła przychodów innych niż z zysków kapitałowych z 4% do 1,5%</w:t>
      </w:r>
      <w:r w:rsidR="00554921" w:rsidRPr="00A720EE">
        <w:rPr>
          <w:rFonts w:ascii="Times New Roman" w:eastAsiaTheme="minorEastAsia" w:hAnsi="Times New Roman" w:cs="Times New Roman"/>
          <w:sz w:val="24"/>
          <w:szCs w:val="24"/>
          <w:lang w:eastAsia="pl-PL"/>
        </w:rPr>
        <w:t>;</w:t>
      </w:r>
    </w:p>
    <w:p w14:paraId="41B42DAA" w14:textId="7CCFE79E" w:rsidR="00A879E2" w:rsidRPr="00A720EE" w:rsidRDefault="00A879E2" w:rsidP="000151A2">
      <w:pPr>
        <w:widowControl w:val="0"/>
        <w:numPr>
          <w:ilvl w:val="0"/>
          <w:numId w:val="1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pkt 2 – wyłączenie z zakresu przepisu, o którym mowa w art. 11a ust. 1 pkt 4 tych powiązań, które wynikają z powiązania ze Skarbem Państwa</w:t>
      </w:r>
      <w:r w:rsidR="00554921" w:rsidRPr="00A720EE">
        <w:rPr>
          <w:rFonts w:ascii="Times New Roman" w:eastAsiaTheme="minorEastAsia" w:hAnsi="Times New Roman" w:cs="Times New Roman"/>
          <w:sz w:val="24"/>
          <w:szCs w:val="24"/>
          <w:lang w:eastAsia="pl-PL"/>
        </w:rPr>
        <w:t>.</w:t>
      </w:r>
    </w:p>
    <w:p w14:paraId="3848978B"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Jest to istotne z perspektywy spółek, w których wyłącznym udziałowcem jest Skarb Państwa. Obecne brzmienie powoduje bowiem, że np. odsetki wypłacane na rzecz banków, w których Skarb Państwa ma udziały, mogłyby zwiększać podstawę opodatkowania minimalnym podatkiem dochodowym.</w:t>
      </w:r>
    </w:p>
    <w:p w14:paraId="53EA7F98" w14:textId="4EF5A0B1" w:rsidR="00A879E2" w:rsidRPr="00A720EE" w:rsidRDefault="00A879E2" w:rsidP="000151A2">
      <w:pPr>
        <w:widowControl w:val="0"/>
        <w:numPr>
          <w:ilvl w:val="0"/>
          <w:numId w:val="1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Cs/>
          <w:sz w:val="24"/>
          <w:szCs w:val="24"/>
          <w:lang w:eastAsia="pl-PL"/>
        </w:rPr>
        <w:t xml:space="preserve">pkt 3 </w:t>
      </w:r>
      <w:r w:rsidRPr="00A720EE">
        <w:rPr>
          <w:rFonts w:ascii="Times New Roman" w:eastAsiaTheme="minorEastAsia" w:hAnsi="Times New Roman" w:cs="Times New Roman"/>
          <w:sz w:val="24"/>
          <w:szCs w:val="24"/>
          <w:lang w:eastAsia="pl-PL"/>
        </w:rPr>
        <w:t>– skreślenie pozycji dotyczącej podatku odroczonego</w:t>
      </w:r>
      <w:r w:rsidR="00554921" w:rsidRPr="00A720EE">
        <w:rPr>
          <w:rFonts w:ascii="Times New Roman" w:eastAsiaTheme="minorEastAsia" w:hAnsi="Times New Roman" w:cs="Times New Roman"/>
          <w:sz w:val="24"/>
          <w:szCs w:val="24"/>
          <w:lang w:eastAsia="pl-PL"/>
        </w:rPr>
        <w:t>.</w:t>
      </w:r>
    </w:p>
    <w:p w14:paraId="662DCAB9"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Przepis powoduje istotne wątpliwości interpretacyjne. Odstąpienie od tego elementu w </w:t>
      </w:r>
      <w:r w:rsidRPr="00A720EE">
        <w:rPr>
          <w:rFonts w:ascii="Times New Roman" w:eastAsiaTheme="minorEastAsia" w:hAnsi="Times New Roman" w:cs="Times New Roman"/>
          <w:sz w:val="24"/>
          <w:szCs w:val="24"/>
          <w:lang w:eastAsia="pl-PL"/>
        </w:rPr>
        <w:lastRenderedPageBreak/>
        <w:t>podstawie opodatkowania nie zaburzy intencji całego przepisu, a pozwoli na wyeliminowanie ewentualnych trudności w jego stosowaniu.</w:t>
      </w:r>
    </w:p>
    <w:p w14:paraId="05C7199D"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u w:val="single"/>
          <w:lang w:eastAsia="pl-PL"/>
        </w:rPr>
        <w:t xml:space="preserve">Dodany ustęp 3a </w:t>
      </w:r>
      <w:r w:rsidRPr="00A720EE">
        <w:rPr>
          <w:rFonts w:ascii="Times New Roman" w:eastAsiaTheme="minorEastAsia" w:hAnsi="Times New Roman" w:cs="Times New Roman"/>
          <w:sz w:val="24"/>
          <w:szCs w:val="24"/>
          <w:lang w:eastAsia="pl-PL"/>
        </w:rPr>
        <w:t xml:space="preserve">dotyczy wprowadzanej alternatywnej metody ustalania podstawy opodatkowania. </w:t>
      </w:r>
    </w:p>
    <w:p w14:paraId="422E5FEC"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Obecny algorytm wyliczania podstawy opodatkowania</w:t>
      </w:r>
      <w:r w:rsidRPr="00A720EE">
        <w:rPr>
          <w:rFonts w:ascii="Times New Roman" w:eastAsiaTheme="minorEastAsia" w:hAnsi="Times New Roman" w:cs="Times New Roman"/>
          <w:sz w:val="24"/>
          <w:szCs w:val="24"/>
          <w:vertAlign w:val="superscript"/>
          <w:lang w:eastAsia="pl-PL"/>
        </w:rPr>
        <w:footnoteReference w:id="16"/>
      </w:r>
      <w:r w:rsidRPr="00A720EE">
        <w:rPr>
          <w:rFonts w:ascii="Times New Roman" w:eastAsiaTheme="minorEastAsia" w:hAnsi="Times New Roman" w:cs="Times New Roman"/>
          <w:sz w:val="24"/>
          <w:szCs w:val="24"/>
          <w:lang w:eastAsia="pl-PL"/>
        </w:rPr>
        <w:t xml:space="preserve"> jest </w:t>
      </w:r>
      <w:r w:rsidRPr="00A720EE">
        <w:rPr>
          <w:rFonts w:ascii="Times New Roman" w:eastAsiaTheme="minorEastAsia" w:hAnsi="Times New Roman" w:cs="Times New Roman"/>
          <w:bCs/>
          <w:sz w:val="24"/>
          <w:szCs w:val="24"/>
          <w:lang w:eastAsia="pl-PL"/>
        </w:rPr>
        <w:t>zbyt skomplikowany</w:t>
      </w:r>
      <w:r w:rsidRPr="00A720EE">
        <w:rPr>
          <w:rFonts w:ascii="Times New Roman" w:eastAsiaTheme="minorEastAsia" w:hAnsi="Times New Roman" w:cs="Times New Roman"/>
          <w:b/>
          <w:bCs/>
          <w:sz w:val="24"/>
          <w:szCs w:val="24"/>
          <w:lang w:eastAsia="pl-PL"/>
        </w:rPr>
        <w:t xml:space="preserve"> </w:t>
      </w:r>
      <w:r w:rsidRPr="00A720EE">
        <w:rPr>
          <w:rFonts w:ascii="Times New Roman" w:eastAsiaTheme="minorEastAsia" w:hAnsi="Times New Roman" w:cs="Times New Roman"/>
          <w:sz w:val="24"/>
          <w:szCs w:val="24"/>
          <w:lang w:eastAsia="pl-PL"/>
        </w:rPr>
        <w:t>(m.in. w zakresie usług niematerialnych powiela zasadniczo treść uchylonego art. 15e, który wywołał liczne wątpliwości interpretacyjne). Z tego względu proponuje się możliwość wyboru prostszej formuły,</w:t>
      </w:r>
      <w:r w:rsidRPr="00A720EE">
        <w:rPr>
          <w:rFonts w:ascii="Times New Roman" w:eastAsiaTheme="minorEastAsia" w:hAnsi="Times New Roman" w:cs="Times New Roman"/>
          <w:bCs/>
          <w:sz w:val="24"/>
          <w:szCs w:val="24"/>
          <w:lang w:eastAsia="pl-PL"/>
        </w:rPr>
        <w:t xml:space="preserve"> jednakże z wyższym wskaźnikiem przychodowym</w:t>
      </w:r>
      <w:r w:rsidRPr="00A720EE">
        <w:rPr>
          <w:rFonts w:ascii="Times New Roman" w:eastAsiaTheme="minorEastAsia" w:hAnsi="Times New Roman" w:cs="Times New Roman"/>
          <w:sz w:val="24"/>
          <w:szCs w:val="24"/>
          <w:lang w:eastAsia="pl-PL"/>
        </w:rPr>
        <w:t xml:space="preserve">. </w:t>
      </w:r>
    </w:p>
    <w:p w14:paraId="0822A9F1"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Oznacza to, że zależnie od wyboru podatnika podstawę opodatkowania będzie stanowiło:</w:t>
      </w:r>
    </w:p>
    <w:p w14:paraId="34DE47C9" w14:textId="77777777" w:rsidR="00A879E2" w:rsidRPr="00A720EE" w:rsidRDefault="00A879E2" w:rsidP="000151A2">
      <w:pPr>
        <w:widowControl w:val="0"/>
        <w:numPr>
          <w:ilvl w:val="0"/>
          <w:numId w:val="14"/>
        </w:numPr>
        <w:autoSpaceDE w:val="0"/>
        <w:autoSpaceDN w:val="0"/>
        <w:adjustRightInd w:val="0"/>
        <w:spacing w:after="120" w:line="276" w:lineRule="auto"/>
        <w:jc w:val="both"/>
        <w:rPr>
          <w:rFonts w:ascii="Times New Roman" w:hAnsi="Times New Roman" w:cs="Times New Roman"/>
          <w:sz w:val="24"/>
          <w:szCs w:val="24"/>
          <w:lang w:eastAsia="pl-PL"/>
        </w:rPr>
      </w:pPr>
      <w:r w:rsidRPr="00A720EE">
        <w:rPr>
          <w:rFonts w:ascii="Times New Roman" w:eastAsiaTheme="minorEastAsia" w:hAnsi="Times New Roman" w:cs="Times New Roman"/>
          <w:sz w:val="24"/>
          <w:szCs w:val="24"/>
          <w:lang w:eastAsia="pl-PL"/>
        </w:rPr>
        <w:t>3% przychodów</w:t>
      </w:r>
      <w:r w:rsidRPr="00A720EE">
        <w:rPr>
          <w:rFonts w:ascii="Times New Roman" w:hAnsi="Times New Roman" w:cs="Times New Roman"/>
          <w:sz w:val="24"/>
          <w:szCs w:val="24"/>
        </w:rPr>
        <w:t xml:space="preserve"> </w:t>
      </w:r>
      <w:r w:rsidRPr="00A720EE">
        <w:rPr>
          <w:rFonts w:ascii="Times New Roman" w:eastAsiaTheme="minorEastAsia" w:hAnsi="Times New Roman" w:cs="Times New Roman"/>
          <w:sz w:val="24"/>
          <w:szCs w:val="24"/>
          <w:lang w:eastAsia="pl-PL"/>
        </w:rPr>
        <w:t>ze źródła przychodów innych niż z zysków kapitałowych osiągniętych przez podatnika w roku podatkowym (prosta formuła oparta wyłącznie na relacji do osiąganych przychodów) (stawka podatku 10%) albo</w:t>
      </w:r>
    </w:p>
    <w:p w14:paraId="4E74BD90" w14:textId="77777777" w:rsidR="00A879E2" w:rsidRPr="00A720EE" w:rsidRDefault="00A879E2" w:rsidP="000151A2">
      <w:pPr>
        <w:widowControl w:val="0"/>
        <w:numPr>
          <w:ilvl w:val="0"/>
          <w:numId w:val="14"/>
        </w:numPr>
        <w:autoSpaceDE w:val="0"/>
        <w:autoSpaceDN w:val="0"/>
        <w:adjustRightInd w:val="0"/>
        <w:spacing w:after="120" w:line="276" w:lineRule="auto"/>
        <w:jc w:val="both"/>
        <w:rPr>
          <w:rFonts w:ascii="Times New Roman" w:hAnsi="Times New Roman" w:cs="Times New Roman"/>
          <w:sz w:val="24"/>
          <w:szCs w:val="24"/>
          <w:lang w:eastAsia="pl-PL"/>
        </w:rPr>
      </w:pPr>
      <w:r w:rsidRPr="00A720EE">
        <w:rPr>
          <w:rFonts w:ascii="Times New Roman" w:eastAsiaTheme="minorEastAsia" w:hAnsi="Times New Roman" w:cs="Times New Roman"/>
          <w:sz w:val="24"/>
          <w:szCs w:val="24"/>
          <w:lang w:eastAsia="pl-PL"/>
        </w:rPr>
        <w:t>suma 1,5% przychodów i kosztów pasywnych, tj. kosztów finansowania dłużnego i usług niematerialnych (obniżenie obecnego poziomu przychodów z 4% do 1,5%, przy zachowaniu dodatkowych elementów wyliczania podstawy opodatkowania (stawka podatku 10%).</w:t>
      </w:r>
    </w:p>
    <w:p w14:paraId="6F992B74"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 konsekwencji, w przypadku, gdy podatnik nie posiada istotnych „kwalifikowanych” płatności wobec podmiotów powiązanych, będzie mógł skorzystać z innego sposobu ustalania podstawy opodatkowania. Zobowiązany przy tym będzie do poinformowania o wyborze metody w zeznaniu podatkowym, o którym mowa w art. 27 ust. 1, składanym za rok podatkowy, za który dokonano wyboru takiego sposób ustalania podstawy opodatkowania.</w:t>
      </w:r>
    </w:p>
    <w:p w14:paraId="622501CA"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u w:val="single"/>
          <w:lang w:eastAsia="pl-PL"/>
        </w:rPr>
        <w:t>Zmiana w ust. 10</w:t>
      </w:r>
      <w:r w:rsidRPr="00A720EE">
        <w:rPr>
          <w:rFonts w:ascii="Times New Roman" w:eastAsiaTheme="minorEastAsia" w:hAnsi="Times New Roman" w:cs="Times New Roman"/>
          <w:sz w:val="24"/>
          <w:szCs w:val="24"/>
          <w:lang w:eastAsia="pl-PL"/>
        </w:rPr>
        <w:t xml:space="preserve"> dotyczy modyfikacji w zakresie </w:t>
      </w:r>
      <w:proofErr w:type="spellStart"/>
      <w:r w:rsidRPr="00A720EE">
        <w:rPr>
          <w:rFonts w:ascii="Times New Roman" w:eastAsiaTheme="minorEastAsia" w:hAnsi="Times New Roman" w:cs="Times New Roman"/>
          <w:sz w:val="24"/>
          <w:szCs w:val="24"/>
          <w:lang w:eastAsia="pl-PL"/>
        </w:rPr>
        <w:t>wyłączeń</w:t>
      </w:r>
      <w:proofErr w:type="spellEnd"/>
      <w:r w:rsidRPr="00A720EE">
        <w:rPr>
          <w:rFonts w:ascii="Times New Roman" w:eastAsiaTheme="minorEastAsia" w:hAnsi="Times New Roman" w:cs="Times New Roman"/>
          <w:sz w:val="24"/>
          <w:szCs w:val="24"/>
          <w:lang w:eastAsia="pl-PL"/>
        </w:rPr>
        <w:t xml:space="preserve"> z podstawy opodatkowania minimalnym podatkiem dochodowym i polega na:</w:t>
      </w:r>
    </w:p>
    <w:p w14:paraId="40C29DF1" w14:textId="0E403DFB" w:rsidR="00A879E2" w:rsidRPr="00A720EE" w:rsidRDefault="00A879E2" w:rsidP="000151A2">
      <w:pPr>
        <w:widowControl w:val="0"/>
        <w:numPr>
          <w:ilvl w:val="0"/>
          <w:numId w:val="1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pkt 2 – zastąpieniu wyrazów „wartość dochodów” wyrazem „przychody”, w związku z czym wyłączeniu z podstawy opodatkowania podlegać będą przychody podatników prowadzących działalność w SSE wpływające na dochód zwolniony SSE</w:t>
      </w:r>
      <w:r w:rsidR="00554921" w:rsidRPr="00A720EE">
        <w:rPr>
          <w:rFonts w:ascii="Times New Roman" w:eastAsiaTheme="minorEastAsia" w:hAnsi="Times New Roman" w:cs="Times New Roman"/>
          <w:sz w:val="24"/>
          <w:szCs w:val="24"/>
          <w:lang w:eastAsia="pl-PL"/>
        </w:rPr>
        <w:t>;</w:t>
      </w:r>
    </w:p>
    <w:p w14:paraId="0531EE30" w14:textId="77777777" w:rsidR="00A879E2" w:rsidRPr="00A720EE" w:rsidRDefault="00A879E2" w:rsidP="000151A2">
      <w:pPr>
        <w:widowControl w:val="0"/>
        <w:numPr>
          <w:ilvl w:val="0"/>
          <w:numId w:val="13"/>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dodaniu pkt 3 – i objęcie tym samym wyłączeniem z podstawy opodatkowania minimalnym podatkiem dochodowym wszystkich przychodów, które nie są uwzględniane dla celów wyliczenia wskaźnika rentowności (straty). Chodzi zatem o pozycje przychodowe wymienione w art. 24ca ust. 2, w tym m.in. przychody osiągane z transakcji objętych cenami regulowanymi. </w:t>
      </w:r>
    </w:p>
    <w:p w14:paraId="678B4D6D"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u w:val="single"/>
          <w:lang w:eastAsia="pl-PL"/>
        </w:rPr>
        <w:t>Zmiana w ust. 14</w:t>
      </w:r>
      <w:r w:rsidRPr="00A720EE">
        <w:rPr>
          <w:rFonts w:ascii="Times New Roman" w:eastAsiaTheme="minorEastAsia" w:hAnsi="Times New Roman" w:cs="Times New Roman"/>
          <w:sz w:val="24"/>
          <w:szCs w:val="24"/>
          <w:lang w:eastAsia="pl-PL"/>
        </w:rPr>
        <w:t xml:space="preserve"> polega na</w:t>
      </w:r>
      <w:r w:rsidRPr="00A720EE">
        <w:rPr>
          <w:rFonts w:ascii="Times New Roman" w:hAnsi="Times New Roman" w:cs="Times New Roman"/>
          <w:sz w:val="24"/>
          <w:szCs w:val="24"/>
        </w:rPr>
        <w:t xml:space="preserve"> </w:t>
      </w:r>
      <w:r w:rsidRPr="00A720EE">
        <w:rPr>
          <w:rFonts w:ascii="Times New Roman" w:eastAsiaTheme="minorEastAsia" w:hAnsi="Times New Roman" w:cs="Times New Roman"/>
          <w:sz w:val="24"/>
          <w:szCs w:val="24"/>
          <w:lang w:eastAsia="pl-PL"/>
        </w:rPr>
        <w:t xml:space="preserve">modyfikacji dotychczasowych </w:t>
      </w:r>
      <w:proofErr w:type="spellStart"/>
      <w:r w:rsidRPr="00A720EE">
        <w:rPr>
          <w:rFonts w:ascii="Times New Roman" w:eastAsiaTheme="minorEastAsia" w:hAnsi="Times New Roman" w:cs="Times New Roman"/>
          <w:sz w:val="24"/>
          <w:szCs w:val="24"/>
          <w:lang w:eastAsia="pl-PL"/>
        </w:rPr>
        <w:t>wyłączeń</w:t>
      </w:r>
      <w:proofErr w:type="spellEnd"/>
      <w:r w:rsidRPr="00A720EE">
        <w:rPr>
          <w:rFonts w:ascii="Times New Roman" w:eastAsiaTheme="minorEastAsia" w:hAnsi="Times New Roman" w:cs="Times New Roman"/>
          <w:sz w:val="24"/>
          <w:szCs w:val="24"/>
          <w:lang w:eastAsia="pl-PL"/>
        </w:rPr>
        <w:t xml:space="preserve"> oraz wprowadzeniu nowych zwolnień podmiotowych.</w:t>
      </w:r>
    </w:p>
    <w:p w14:paraId="66262BF5" w14:textId="5BA6CC41" w:rsidR="00A879E2" w:rsidRPr="00A720EE" w:rsidRDefault="00A879E2" w:rsidP="000151A2">
      <w:pPr>
        <w:widowControl w:val="0"/>
        <w:numPr>
          <w:ilvl w:val="0"/>
          <w:numId w:val="15"/>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color w:val="000000" w:themeColor="text1"/>
          <w:sz w:val="24"/>
          <w:szCs w:val="24"/>
          <w:lang w:eastAsia="pl-PL"/>
        </w:rPr>
        <w:t xml:space="preserve">pkt 4 </w:t>
      </w:r>
      <w:r w:rsidRPr="00A720EE">
        <w:rPr>
          <w:rFonts w:ascii="Times New Roman" w:eastAsiaTheme="minorEastAsia" w:hAnsi="Times New Roman" w:cs="Times New Roman"/>
          <w:sz w:val="24"/>
          <w:szCs w:val="24"/>
          <w:lang w:eastAsia="pl-PL"/>
        </w:rPr>
        <w:t>– doprecyzowanie w zakresie posiadanego udziału (akcji)/praw i obowiązków</w:t>
      </w:r>
      <w:r w:rsidRPr="00A720EE">
        <w:rPr>
          <w:rFonts w:ascii="Times New Roman" w:hAnsi="Times New Roman" w:cs="Times New Roman"/>
          <w:sz w:val="24"/>
          <w:szCs w:val="24"/>
        </w:rPr>
        <w:t xml:space="preserve"> </w:t>
      </w:r>
      <w:r w:rsidRPr="00A720EE">
        <w:rPr>
          <w:rFonts w:ascii="Times New Roman" w:hAnsi="Times New Roman" w:cs="Times New Roman"/>
          <w:sz w:val="24"/>
          <w:szCs w:val="24"/>
        </w:rPr>
        <w:lastRenderedPageBreak/>
        <w:t>(5%)</w:t>
      </w:r>
      <w:r w:rsidR="00554921" w:rsidRPr="00A720EE">
        <w:rPr>
          <w:rFonts w:ascii="Times New Roman" w:hAnsi="Times New Roman" w:cs="Times New Roman"/>
          <w:sz w:val="24"/>
          <w:szCs w:val="24"/>
        </w:rPr>
        <w:t>.</w:t>
      </w:r>
    </w:p>
    <w:p w14:paraId="61713C48" w14:textId="67205738"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Zgodnie z propozycją zmiany podatnikom, których udziałowcami, akcjonariuszami albo wspólnikami są wyłącznie osoby fizyczne, przysługiwać będzie zwolnienie z minimalnego podatku dochodowego jeżeli posiadają, bezpośrednio lub pośrednio, nie więcej niż 5% „udziałów (akcji) w kapitale innej spółki lub ogółu praw i obowiązków w spółce niebędącej osobą prawną”. </w:t>
      </w:r>
    </w:p>
    <w:p w14:paraId="50226DAC"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odniesieniu do „innych praw majątkowych związanych z prawem do otrzymania świadczenia jako założyciel (fundator) lub beneficjent fundacji, trustu lub innego podmiotu albo stosunku prawnego o charakterze powierniczym”, wskaźnik 5% nie będzie miał zastosowania (obecny wymóg braku posiadania pozostaje aktualny). </w:t>
      </w:r>
    </w:p>
    <w:p w14:paraId="53D63F51"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Jednocześnie całkowicie wyłącza się z zakresu przepisu „tytuły uczestnictwa w funduszu inwestycyjnym lub instytucji wspólnego inwestowania” co oznacza, że wejście w posiadanie takich tytułów nie spowoduje zmiany struktury w jakiej działa podatnik z prostej, w rozbudowaną i nie wpłynie na jego prawo do zwolnienia. </w:t>
      </w:r>
    </w:p>
    <w:p w14:paraId="5D47EC7A"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 perspektywy branży TFI dotychczasowa konstrukcja przepisów zniechęca potencjalnych, przyszłych uczestników do nabywania tytułów uczestnictwa w funduszach inwestycyjnych, natomiast obecnych uczestników może sprowokować do wyzbycia się posiadanego prawa. Wynika to z faktu, że decyzja podjęta w obszarze inwestycyjnym danego podatnika niezwiązanym z bieżącą działalnością operacyjną (tj. zainwestowanie nadwyżek finansowych w tytuły uczestnictwa funduszu inwestycyjnego), może mieć negatywne skutki dla ów bieżącej działalności w postaci obowiązku zapłaty minimalnego podatku dochodowego.   </w:t>
      </w:r>
    </w:p>
    <w:p w14:paraId="2B47ED4C" w14:textId="77777777" w:rsidR="00A879E2" w:rsidRPr="00A720EE" w:rsidRDefault="00A879E2" w:rsidP="000151A2">
      <w:pPr>
        <w:widowControl w:val="0"/>
        <w:numPr>
          <w:ilvl w:val="0"/>
          <w:numId w:val="15"/>
        </w:numPr>
        <w:autoSpaceDE w:val="0"/>
        <w:autoSpaceDN w:val="0"/>
        <w:adjustRightInd w:val="0"/>
        <w:spacing w:after="120" w:line="276" w:lineRule="auto"/>
        <w:jc w:val="both"/>
        <w:rPr>
          <w:rFonts w:ascii="Times New Roman" w:eastAsiaTheme="minorEastAsia" w:hAnsi="Times New Roman" w:cs="Times New Roman"/>
          <w:color w:val="000000" w:themeColor="text1"/>
          <w:sz w:val="24"/>
          <w:szCs w:val="24"/>
          <w:lang w:eastAsia="pl-PL"/>
        </w:rPr>
      </w:pPr>
      <w:r w:rsidRPr="00A720EE">
        <w:rPr>
          <w:rFonts w:ascii="Times New Roman" w:eastAsiaTheme="minorEastAsia" w:hAnsi="Times New Roman" w:cs="Times New Roman"/>
          <w:color w:val="000000" w:themeColor="text1"/>
          <w:sz w:val="24"/>
          <w:szCs w:val="24"/>
          <w:lang w:eastAsia="pl-PL"/>
        </w:rPr>
        <w:t>pkt 5 – rozszerzenie zwolnienia w zakresie podmiotów z tego punktu dodatkowo o podatników, u których większość przychodów, innych niż z zysków kapitałowych, uzyskanych w roku podatkowym związana jest z:</w:t>
      </w:r>
    </w:p>
    <w:p w14:paraId="01674272" w14:textId="5EBEDB94" w:rsidR="00A879E2" w:rsidRPr="00A720EE" w:rsidRDefault="00A879E2" w:rsidP="000151A2">
      <w:pPr>
        <w:widowControl w:val="0"/>
        <w:numPr>
          <w:ilvl w:val="0"/>
          <w:numId w:val="52"/>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prowadzeniem działalności leczniczej w rozumieniu ustawy z dnia 15 kwietnia 2011 r. o działalności leczniczej (Dz.</w:t>
      </w:r>
      <w:r w:rsidR="006B5313"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U. z 2022 r. poz. 633) (lit. c),</w:t>
      </w:r>
    </w:p>
    <w:p w14:paraId="716CCDFA" w14:textId="77777777" w:rsidR="00A879E2" w:rsidRPr="00A720EE" w:rsidRDefault="00A879E2" w:rsidP="000151A2">
      <w:pPr>
        <w:widowControl w:val="0"/>
        <w:autoSpaceDE w:val="0"/>
        <w:autoSpaceDN w:val="0"/>
        <w:adjustRightInd w:val="0"/>
        <w:spacing w:after="120" w:line="276" w:lineRule="auto"/>
        <w:ind w:left="1416"/>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Propozycja ta wychodzi naprzeciw głosom płynącym ze strony podmiotów (szpitale), charakteryzujących się stałą niską rentownością, wynikającą ze specyfiki ich funkcjonowania.   </w:t>
      </w:r>
    </w:p>
    <w:p w14:paraId="7626E35C" w14:textId="77777777" w:rsidR="00A879E2" w:rsidRPr="00A720EE" w:rsidRDefault="00A879E2" w:rsidP="000151A2">
      <w:pPr>
        <w:widowControl w:val="0"/>
        <w:autoSpaceDE w:val="0"/>
        <w:autoSpaceDN w:val="0"/>
        <w:adjustRightInd w:val="0"/>
        <w:spacing w:after="120" w:line="276" w:lineRule="auto"/>
        <w:ind w:left="1416"/>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 świetle obowiązującego brzmienia art. 24ca ustawy CIT w przypadku usług opieki zdrowotnej w zakresie różnych świadczeń (a zatem nie tylko leczenia szpitalnego) finansowanych ze środków publicznych, spełniony jest warunek z art. 24ca ust. 2 pkt 2 lit. a ustawy CIT, tj. ich ceny mają charakter regulowany. W konsekwencji, jeśli spółka kapitałowa, prowadząca działalność leczniczą w zakresie ww. usług, ponosi stratę albo jej wskaźnik rentowności nie przekracza 1%, przychody i koszty związane z taką działalnością nie będą uwzględniane dla celów obliczenia straty oraz wskaźnika rentowności na potrzeby minimalnego podatku dochodowego. Oznacza to, że działalność lecznicza w zakresie finansowanym ze środków publicznych, po spełnieniu wskazanych powyżej warunków, będzie wyłączona z minimalnego podatku dochodowego.</w:t>
      </w:r>
    </w:p>
    <w:p w14:paraId="4CED293F" w14:textId="77777777" w:rsidR="00A879E2" w:rsidRPr="00A720EE" w:rsidRDefault="00A879E2" w:rsidP="000151A2">
      <w:pPr>
        <w:widowControl w:val="0"/>
        <w:autoSpaceDE w:val="0"/>
        <w:autoSpaceDN w:val="0"/>
        <w:adjustRightInd w:val="0"/>
        <w:spacing w:after="120" w:line="276" w:lineRule="auto"/>
        <w:ind w:left="1416"/>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lastRenderedPageBreak/>
        <w:t>Niezależnie od powyższego, podmioty z branży leczniczej, szczególnie prowadzone w formie spółek kapitałowych, z udziałem Skarbu Państwa lub udziałem jednostek samorządu terytorialnego, wielokrotnie występowały o wyłączenie z opodatkowania minimalnym podatkiem dochodowym. Wskazywano, że podmioty takie ponoszą obecnie zwiększone koszty funkcjonowania, co jest wynikiem m.in. wzrostu minimalnego wynagrodzenia za pracę i związanego z tym zwiększenia kosztów usług obcych, jak również dynamicznie rosnących cen paliw oraz energii elektrycznej i cieplnej. Podkreślano przy tym, że okres pandemii COVID-19 wymuszał na podmiotach leczniczych wydatkowanie dodatkowych środków na zakup materiałów i produktów leczniczych, a w konsekwencji ponoszenie zwiększonych kosztów ich utylizacji.</w:t>
      </w:r>
    </w:p>
    <w:p w14:paraId="41543439" w14:textId="77777777" w:rsidR="00A879E2" w:rsidRPr="00A720EE" w:rsidRDefault="00A879E2" w:rsidP="000151A2">
      <w:pPr>
        <w:widowControl w:val="0"/>
        <w:autoSpaceDE w:val="0"/>
        <w:autoSpaceDN w:val="0"/>
        <w:adjustRightInd w:val="0"/>
        <w:spacing w:after="120" w:line="276" w:lineRule="auto"/>
        <w:ind w:left="1416"/>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Proponowana zmiana pozwoli na zatrzymanie w publicznych podmiotach leczniczych wypracowanych środków pieniężnych, a tym samym będzie sprzyjała wzmocnieniu stabilności sytuacji finansowo-ekonomicznej, szczególnie w zakresie płynności finansowej i ograniczenia dynamiki wzrostu zadłużenia, a pośrednio przyczyni się do dostępności usług medycznych świadczonych przez te podmioty.</w:t>
      </w:r>
    </w:p>
    <w:p w14:paraId="56643C7B" w14:textId="77777777" w:rsidR="00A879E2" w:rsidRPr="00A720EE" w:rsidRDefault="00A879E2" w:rsidP="000151A2">
      <w:pPr>
        <w:widowControl w:val="0"/>
        <w:autoSpaceDE w:val="0"/>
        <w:autoSpaceDN w:val="0"/>
        <w:adjustRightInd w:val="0"/>
        <w:spacing w:after="120" w:line="276" w:lineRule="auto"/>
        <w:ind w:left="1416"/>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Podkreślić należy również, że wprowadzenie wprost wyłączenia dla takich podatników, przy uwzględnieniu charakteru (struktura własnościowa z udziałem JST) i celów jakim służą (świadczenie usług ochrony zdrowia, działanie dla dobra ogółu społeczeństwa, w dużej mierze o regulowanym charakterze, działanie dla dobra ogółu) wyłącza ich z potencjalnego grona przedsiębiorców stosujących praktyki optymalizacyjne.</w:t>
      </w:r>
    </w:p>
    <w:p w14:paraId="5E71295A" w14:textId="6004E634" w:rsidR="00A879E2" w:rsidRPr="00A720EE" w:rsidRDefault="00A879E2" w:rsidP="000151A2">
      <w:pPr>
        <w:widowControl w:val="0"/>
        <w:numPr>
          <w:ilvl w:val="0"/>
          <w:numId w:val="52"/>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transakcjami objętymi cenami regulowanymi, o których mowa w ust. 2 pkt 2 (lit. d)</w:t>
      </w:r>
      <w:r w:rsidR="00554921" w:rsidRPr="00A720EE">
        <w:rPr>
          <w:rFonts w:ascii="Times New Roman" w:eastAsiaTheme="minorEastAsia" w:hAnsi="Times New Roman" w:cs="Times New Roman"/>
          <w:sz w:val="24"/>
          <w:szCs w:val="24"/>
          <w:lang w:eastAsia="pl-PL"/>
        </w:rPr>
        <w:t>,</w:t>
      </w:r>
    </w:p>
    <w:p w14:paraId="364C4666" w14:textId="77777777" w:rsidR="00A879E2" w:rsidRPr="00A720EE" w:rsidRDefault="00A879E2" w:rsidP="000151A2">
      <w:pPr>
        <w:widowControl w:val="0"/>
        <w:autoSpaceDE w:val="0"/>
        <w:autoSpaceDN w:val="0"/>
        <w:adjustRightInd w:val="0"/>
        <w:spacing w:after="120" w:line="276" w:lineRule="auto"/>
        <w:ind w:left="1416"/>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Art. 24ca ust. pkt 2 ustawy CIT uwzględnia sytuację podatnika, który nie ma swobody ustalania ceny bowiem jest ona regulowana przez państwo (energia) lub jest uzależniona od notowań na światowych rynkach (kopaliny) – wyłączenie ze wskaźnika rentowności. Już na tej podstawie znaczna część działalności takich przedsiębiorstw podlega wyłączeniu z minimalnego podatku dochodowego (w tym wszystkie przychody objęte taryfami zatwierdzanymi przez Prezesa URE). </w:t>
      </w:r>
    </w:p>
    <w:p w14:paraId="273595B1" w14:textId="77777777" w:rsidR="00A879E2" w:rsidRPr="00A720EE" w:rsidRDefault="00A879E2" w:rsidP="000151A2">
      <w:pPr>
        <w:widowControl w:val="0"/>
        <w:autoSpaceDE w:val="0"/>
        <w:autoSpaceDN w:val="0"/>
        <w:adjustRightInd w:val="0"/>
        <w:spacing w:after="120" w:line="276" w:lineRule="auto"/>
        <w:ind w:left="1416"/>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Zgodnie z niniejszą propozycją, dodatkowo w ramach zwolnienia podmiotowego znajdą się podatnicy, których przychody w większości związane są z transakcjami, o których mowa w ust. 2 pkt 2.</w:t>
      </w:r>
    </w:p>
    <w:p w14:paraId="4DBC6A96" w14:textId="77777777" w:rsidR="00A879E2" w:rsidRPr="00A720EE" w:rsidRDefault="00A879E2" w:rsidP="000151A2">
      <w:pPr>
        <w:widowControl w:val="0"/>
        <w:numPr>
          <w:ilvl w:val="0"/>
          <w:numId w:val="15"/>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pkt 6 – wyeliminowanie wątpliwości interpretacyjnych odnośnie grupy kapitałowej (m.in. co do zakresu spółek tworzących grupę, charakteru posiadanego udziału i sposobu liczenia łącznej rentowności w grupie)</w:t>
      </w:r>
    </w:p>
    <w:p w14:paraId="5051DAAD"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Zgodnie z propozycją zmiany brzmienia przy ustalaniu spełnienia warunków, o których mowa </w:t>
      </w:r>
      <w:r w:rsidRPr="00A720EE">
        <w:rPr>
          <w:rFonts w:ascii="Times New Roman" w:eastAsiaTheme="minorEastAsia" w:hAnsi="Times New Roman" w:cs="Times New Roman"/>
          <w:sz w:val="24"/>
          <w:szCs w:val="24"/>
          <w:lang w:eastAsia="pl-PL"/>
        </w:rPr>
        <w:lastRenderedPageBreak/>
        <w:t>w tym przepisie uwzględniać się będzie wszystkie spółki z grupy będące podatnikami lub należące do podatkowej grupy kapitałowej. przepis jednoznacznie wskazuje zatem, że dotyczy wszystkich spółek w grupie (lit. b).</w:t>
      </w:r>
    </w:p>
    <w:p w14:paraId="6F3F050C" w14:textId="77777777"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Ponadto posiadanie udziałów, o których mowa we wprowadzeniu do wyliczenia będzie miało charakter bezpośredni (jak obecnie), ale również pośredni.</w:t>
      </w:r>
    </w:p>
    <w:p w14:paraId="5FB19445" w14:textId="5AFAAD9B" w:rsidR="00A879E2"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Dodawany w art. 24ca ust. 15a rozstrzygnie natomiast, że pod pojęciem „łączny dochód spółek”, o którym mowa  w ust. 6 lit. b (przy uwzględnieniu zmiany wskaźnika rentowności na 2%) należy rozumieć nadwyżkę sumy dochodów nad sumą strat wszystkich spółek tworzących grupę.</w:t>
      </w:r>
    </w:p>
    <w:p w14:paraId="3A91FF19" w14:textId="40228FBA" w:rsidR="00A879E2" w:rsidRPr="00A720EE" w:rsidRDefault="00A879E2" w:rsidP="000151A2">
      <w:pPr>
        <w:widowControl w:val="0"/>
        <w:numPr>
          <w:ilvl w:val="0"/>
          <w:numId w:val="15"/>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punkty 7-1</w:t>
      </w:r>
      <w:r w:rsidR="009F2F68" w:rsidRPr="00A720EE">
        <w:rPr>
          <w:rFonts w:ascii="Times New Roman" w:eastAsiaTheme="minorEastAsia" w:hAnsi="Times New Roman" w:cs="Times New Roman"/>
          <w:bCs/>
          <w:sz w:val="24"/>
          <w:szCs w:val="24"/>
          <w:lang w:eastAsia="pl-PL"/>
        </w:rPr>
        <w:t>3</w:t>
      </w:r>
      <w:r w:rsidRPr="00A720EE">
        <w:rPr>
          <w:rFonts w:ascii="Times New Roman" w:eastAsiaTheme="minorEastAsia" w:hAnsi="Times New Roman" w:cs="Times New Roman"/>
          <w:bCs/>
          <w:sz w:val="24"/>
          <w:szCs w:val="24"/>
          <w:lang w:eastAsia="pl-PL"/>
        </w:rPr>
        <w:t xml:space="preserve"> - rozszerzenie katalogu </w:t>
      </w:r>
      <w:proofErr w:type="spellStart"/>
      <w:r w:rsidRPr="00A720EE">
        <w:rPr>
          <w:rFonts w:ascii="Times New Roman" w:eastAsiaTheme="minorEastAsia" w:hAnsi="Times New Roman" w:cs="Times New Roman"/>
          <w:bCs/>
          <w:sz w:val="24"/>
          <w:szCs w:val="24"/>
          <w:lang w:eastAsia="pl-PL"/>
        </w:rPr>
        <w:t>wyłączeń</w:t>
      </w:r>
      <w:proofErr w:type="spellEnd"/>
      <w:r w:rsidRPr="00A720EE">
        <w:rPr>
          <w:rFonts w:ascii="Times New Roman" w:eastAsiaTheme="minorEastAsia" w:hAnsi="Times New Roman" w:cs="Times New Roman"/>
          <w:bCs/>
          <w:sz w:val="24"/>
          <w:szCs w:val="24"/>
          <w:lang w:eastAsia="pl-PL"/>
        </w:rPr>
        <w:t xml:space="preserve"> spod minimalnego podatku dochodowego o:</w:t>
      </w:r>
    </w:p>
    <w:p w14:paraId="0DF4285E" w14:textId="77777777" w:rsidR="00A879E2" w:rsidRPr="00A720EE" w:rsidRDefault="00A879E2" w:rsidP="000151A2">
      <w:pPr>
        <w:widowControl w:val="0"/>
        <w:numPr>
          <w:ilvl w:val="0"/>
          <w:numId w:val="16"/>
        </w:numPr>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u w:val="single"/>
          <w:lang w:eastAsia="pl-PL"/>
        </w:rPr>
        <w:t>małych podatników CIT</w:t>
      </w:r>
      <w:r w:rsidRPr="00A720EE">
        <w:rPr>
          <w:rFonts w:ascii="Times New Roman" w:eastAsiaTheme="minorEastAsia" w:hAnsi="Times New Roman" w:cs="Times New Roman"/>
          <w:bCs/>
          <w:sz w:val="24"/>
          <w:szCs w:val="24"/>
          <w:lang w:eastAsia="pl-PL"/>
        </w:rPr>
        <w:t>, a zatem oprócz istniejącego obecnie wyłączenia dla przedsiębiorstw o prostej strukturze udziałowej, także podatników, których roczne przychody nie przekraczają 2.000.000 euro (pkt 7),</w:t>
      </w:r>
    </w:p>
    <w:p w14:paraId="6ABD6028" w14:textId="77777777" w:rsidR="00A879E2" w:rsidRPr="00A720EE" w:rsidRDefault="00A879E2" w:rsidP="000151A2">
      <w:pPr>
        <w:widowControl w:val="0"/>
        <w:autoSpaceDE w:val="0"/>
        <w:autoSpaceDN w:val="0"/>
        <w:adjustRightInd w:val="0"/>
        <w:spacing w:after="120" w:line="276" w:lineRule="auto"/>
        <w:ind w:left="1500"/>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Wprowadzenie wprost wyłączenia dla takich podatników wydaje się spójne z deklarowanym celem omawianej regulacji (przeciwdziałanie optymalizacji podatkowej stosowanej przez duże grupy kapitałowe), uwzględniając zakres prowadzonej przez nich działalności i prostą strukturę powiązań powodującą niecelowość i nieopłacalność takich działań.</w:t>
      </w:r>
    </w:p>
    <w:p w14:paraId="7E1EDFB4" w14:textId="77777777" w:rsidR="00A879E2" w:rsidRPr="00A720EE" w:rsidRDefault="00A879E2" w:rsidP="000151A2">
      <w:pPr>
        <w:widowControl w:val="0"/>
        <w:numPr>
          <w:ilvl w:val="0"/>
          <w:numId w:val="16"/>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u w:val="single"/>
          <w:lang w:eastAsia="pl-PL"/>
        </w:rPr>
        <w:t>spółki prowadzące gospodarkę komunalną</w:t>
      </w:r>
      <w:r w:rsidRPr="00A720EE">
        <w:rPr>
          <w:rFonts w:ascii="Times New Roman" w:eastAsiaTheme="minorEastAsia" w:hAnsi="Times New Roman" w:cs="Times New Roman"/>
          <w:sz w:val="24"/>
          <w:szCs w:val="24"/>
          <w:lang w:eastAsia="pl-PL"/>
        </w:rPr>
        <w:t>, o których mowa w ustawie o gospodarce komunalnej (pkt 8),</w:t>
      </w:r>
    </w:p>
    <w:p w14:paraId="0179024B" w14:textId="77777777" w:rsidR="00A879E2" w:rsidRPr="00A720EE" w:rsidRDefault="00A879E2" w:rsidP="000151A2">
      <w:pPr>
        <w:widowControl w:val="0"/>
        <w:autoSpaceDE w:val="0"/>
        <w:autoSpaceDN w:val="0"/>
        <w:adjustRightInd w:val="0"/>
        <w:spacing w:after="120" w:line="276" w:lineRule="auto"/>
        <w:ind w:left="1500"/>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Zasady podejmowania i wykonywania działalności komunalnej (w ramach realizacji zadań jednostek samorządu terytorialnego), zawarte są w wielu aktach prawa materialnego. Wśród szeregu czynności wykonywanych przez spółki komunalne (z założenia mające świadczyć usługi publiczne, w celu zaspokojenia zbiorowych potrzeb wspólnoty, bez ukierunkowania na osiąganie zysku) wymienić można obszary dotyczące m. in.: wodociągów i zaopatrzenia w wodę, kanalizacji, usuwania i oczyszczania ścieków komunalnych, utrzymania czystości i porządku oraz urządzeń sanitarnych, wysypisk i unieszkodliwiania odpadów komunalnych, zaopatrzenia w energię elektryczną i cieplną oraz </w:t>
      </w:r>
      <w:hyperlink r:id="rId8" w:tooltip="gaz" w:history="1">
        <w:r w:rsidRPr="00A720EE">
          <w:rPr>
            <w:rFonts w:ascii="Times New Roman" w:eastAsiaTheme="minorEastAsia" w:hAnsi="Times New Roman" w:cs="Times New Roman"/>
            <w:sz w:val="24"/>
            <w:szCs w:val="24"/>
            <w:lang w:eastAsia="pl-PL"/>
          </w:rPr>
          <w:t>gaz</w:t>
        </w:r>
      </w:hyperlink>
      <w:r w:rsidRPr="00A720EE">
        <w:rPr>
          <w:rFonts w:ascii="Times New Roman" w:eastAsiaTheme="minorEastAsia" w:hAnsi="Times New Roman" w:cs="Times New Roman"/>
          <w:sz w:val="24"/>
          <w:szCs w:val="24"/>
          <w:lang w:eastAsia="pl-PL"/>
        </w:rPr>
        <w:t>; czy lokalnego transportu zbiorowego.</w:t>
      </w:r>
    </w:p>
    <w:p w14:paraId="1A599B24" w14:textId="77777777" w:rsidR="00A879E2" w:rsidRPr="00A720EE" w:rsidRDefault="00A879E2" w:rsidP="000151A2">
      <w:pPr>
        <w:widowControl w:val="0"/>
        <w:autoSpaceDE w:val="0"/>
        <w:autoSpaceDN w:val="0"/>
        <w:adjustRightInd w:val="0"/>
        <w:spacing w:after="120" w:line="276" w:lineRule="auto"/>
        <w:ind w:left="1500"/>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Poszczególne kategorie działalności (zadań) komunalnych znajdują swoje umocowanie w przepisach ustaw regulujących w sposób szczegółowy daną sferę zadań publicznych. W przypadku spółek komunalnych znaczna część kierunków działalności i uzyskiwanych z tego tytułu przychodów takich spółek ma charakter regulowany. Dla przykładu wymienić można obszar: usług zaopatrzenia w wodę i odprowadzania ścieków</w:t>
      </w:r>
      <w:r w:rsidRPr="00A720EE">
        <w:rPr>
          <w:rFonts w:ascii="Times New Roman" w:eastAsiaTheme="minorEastAsia" w:hAnsi="Times New Roman" w:cs="Times New Roman"/>
          <w:sz w:val="24"/>
          <w:szCs w:val="24"/>
          <w:vertAlign w:val="superscript"/>
          <w:lang w:eastAsia="pl-PL"/>
        </w:rPr>
        <w:footnoteReference w:id="17"/>
      </w:r>
      <w:r w:rsidRPr="00A720EE">
        <w:rPr>
          <w:rFonts w:ascii="Times New Roman" w:eastAsiaTheme="minorEastAsia" w:hAnsi="Times New Roman" w:cs="Times New Roman"/>
          <w:sz w:val="24"/>
          <w:szCs w:val="24"/>
          <w:lang w:eastAsia="pl-PL"/>
        </w:rPr>
        <w:t xml:space="preserve">, usług gospodarowania </w:t>
      </w:r>
      <w:r w:rsidRPr="00A720EE">
        <w:rPr>
          <w:rFonts w:ascii="Times New Roman" w:eastAsiaTheme="minorEastAsia" w:hAnsi="Times New Roman" w:cs="Times New Roman"/>
          <w:sz w:val="24"/>
          <w:szCs w:val="24"/>
          <w:lang w:eastAsia="pl-PL"/>
        </w:rPr>
        <w:lastRenderedPageBreak/>
        <w:t>odpadami komunalnymi</w:t>
      </w:r>
      <w:r w:rsidRPr="00A720EE">
        <w:rPr>
          <w:rFonts w:ascii="Times New Roman" w:eastAsiaTheme="minorEastAsia" w:hAnsi="Times New Roman" w:cs="Times New Roman"/>
          <w:sz w:val="24"/>
          <w:szCs w:val="24"/>
          <w:vertAlign w:val="superscript"/>
          <w:lang w:eastAsia="pl-PL"/>
        </w:rPr>
        <w:footnoteReference w:id="18"/>
      </w:r>
      <w:r w:rsidRPr="00A720EE">
        <w:rPr>
          <w:rFonts w:ascii="Times New Roman" w:eastAsiaTheme="minorEastAsia" w:hAnsi="Times New Roman" w:cs="Times New Roman"/>
          <w:sz w:val="24"/>
          <w:szCs w:val="24"/>
          <w:lang w:eastAsia="pl-PL"/>
        </w:rPr>
        <w:t>, usług dostarczania paliw gazowych, energii elektrycznej, cieplnej i paliw gazowych</w:t>
      </w:r>
      <w:r w:rsidRPr="00A720EE">
        <w:rPr>
          <w:rFonts w:ascii="Times New Roman" w:eastAsiaTheme="minorEastAsia" w:hAnsi="Times New Roman" w:cs="Times New Roman"/>
          <w:sz w:val="24"/>
          <w:szCs w:val="24"/>
          <w:vertAlign w:val="superscript"/>
          <w:lang w:eastAsia="pl-PL"/>
        </w:rPr>
        <w:footnoteReference w:id="19"/>
      </w:r>
      <w:r w:rsidRPr="00A720EE">
        <w:rPr>
          <w:rFonts w:ascii="Times New Roman" w:eastAsiaTheme="minorEastAsia" w:hAnsi="Times New Roman" w:cs="Times New Roman"/>
          <w:sz w:val="24"/>
          <w:szCs w:val="24"/>
          <w:lang w:eastAsia="pl-PL"/>
        </w:rPr>
        <w:t>, czy usług przewozowych (w tym komunikacja miejska)</w:t>
      </w:r>
      <w:r w:rsidRPr="00A720EE">
        <w:rPr>
          <w:rFonts w:ascii="Times New Roman" w:eastAsiaTheme="minorEastAsia" w:hAnsi="Times New Roman" w:cs="Times New Roman"/>
          <w:sz w:val="24"/>
          <w:szCs w:val="24"/>
          <w:vertAlign w:val="superscript"/>
          <w:lang w:eastAsia="pl-PL"/>
        </w:rPr>
        <w:footnoteReference w:id="20"/>
      </w:r>
      <w:r w:rsidRPr="00A720EE">
        <w:rPr>
          <w:rFonts w:ascii="Times New Roman" w:eastAsiaTheme="minorEastAsia" w:hAnsi="Times New Roman" w:cs="Times New Roman"/>
          <w:sz w:val="24"/>
          <w:szCs w:val="24"/>
          <w:lang w:eastAsia="pl-PL"/>
        </w:rPr>
        <w:t>.</w:t>
      </w:r>
    </w:p>
    <w:p w14:paraId="7AA167C7" w14:textId="77777777" w:rsidR="00A879E2" w:rsidRPr="00A720EE" w:rsidRDefault="00A879E2" w:rsidP="000151A2">
      <w:pPr>
        <w:widowControl w:val="0"/>
        <w:autoSpaceDE w:val="0"/>
        <w:autoSpaceDN w:val="0"/>
        <w:adjustRightInd w:val="0"/>
        <w:spacing w:after="120" w:line="276" w:lineRule="auto"/>
        <w:ind w:left="1500"/>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Wprowadzana zmiana ma zatem na celu wyłączenie spod regulacji minimalnego podatku dochodowego de facto spółek, których udziałowcami są jednostki samorządu terytorialnego, nie mających decydującego wpływu na wielkość osiąganych przychodów, bowiem prowadzących działalność, w których występują ceny regulowane.</w:t>
      </w:r>
    </w:p>
    <w:p w14:paraId="1D172F60" w14:textId="77777777" w:rsidR="00A879E2" w:rsidRPr="00A720EE" w:rsidRDefault="00A879E2" w:rsidP="000151A2">
      <w:pPr>
        <w:widowControl w:val="0"/>
        <w:autoSpaceDE w:val="0"/>
        <w:autoSpaceDN w:val="0"/>
        <w:adjustRightInd w:val="0"/>
        <w:spacing w:after="120" w:line="276" w:lineRule="auto"/>
        <w:ind w:left="1500"/>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Podobnie jak w przypadku zwolnienia podmiotów prowadzących działalność leczniczą, niniejsza zmiana stanowi odpowiedź na głosy płynące ze strony w szczególności przedsiębiorstw użyteczności publicznej, które charakteryzują się stałą niską rentownością, wynikającą ze specyfiki ich funkcjonowania.   </w:t>
      </w:r>
    </w:p>
    <w:p w14:paraId="1D812B4D" w14:textId="77777777" w:rsidR="00A879E2" w:rsidRPr="00A720EE" w:rsidRDefault="00A879E2" w:rsidP="000151A2">
      <w:pPr>
        <w:widowControl w:val="0"/>
        <w:autoSpaceDE w:val="0"/>
        <w:autoSpaceDN w:val="0"/>
        <w:adjustRightInd w:val="0"/>
        <w:spacing w:after="120" w:line="276" w:lineRule="auto"/>
        <w:ind w:left="1500"/>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Cs/>
          <w:sz w:val="24"/>
          <w:szCs w:val="24"/>
          <w:lang w:eastAsia="pl-PL"/>
        </w:rPr>
        <w:t>Ponadto, biorąc pod uwagę strukturę własnościową z udziałem JST, a także cele jakim służą takie podmioty, tj. usługi komunalne w szerokim rozumieniu, w tym fakt, że znaczna część działalności takich podmiotów ma charakter regulowany, objęcie zwolnieniem tych podatników nie stoi w sprzeczności z założeniami omawianej regulacji (przeciwdziałanie optymalizacji podatkowej stosowanej przez duże grupy kapitałowe).</w:t>
      </w:r>
    </w:p>
    <w:p w14:paraId="7F66F000" w14:textId="77777777" w:rsidR="00A879E2" w:rsidRPr="00A720EE" w:rsidRDefault="00A879E2" w:rsidP="000151A2">
      <w:pPr>
        <w:widowControl w:val="0"/>
        <w:numPr>
          <w:ilvl w:val="0"/>
          <w:numId w:val="16"/>
        </w:numPr>
        <w:autoSpaceDE w:val="0"/>
        <w:autoSpaceDN w:val="0"/>
        <w:adjustRightInd w:val="0"/>
        <w:spacing w:after="120" w:line="276" w:lineRule="auto"/>
        <w:jc w:val="both"/>
        <w:rPr>
          <w:rFonts w:ascii="Times New Roman" w:eastAsiaTheme="minorEastAsia" w:hAnsi="Times New Roman" w:cs="Times New Roman"/>
          <w:color w:val="000000" w:themeColor="text1"/>
          <w:sz w:val="24"/>
          <w:szCs w:val="24"/>
          <w:lang w:eastAsia="pl-PL"/>
        </w:rPr>
      </w:pPr>
      <w:r w:rsidRPr="00A720EE">
        <w:rPr>
          <w:rFonts w:ascii="Times New Roman" w:eastAsiaTheme="minorEastAsia" w:hAnsi="Times New Roman" w:cs="Times New Roman"/>
          <w:color w:val="000000" w:themeColor="text1"/>
          <w:sz w:val="24"/>
          <w:szCs w:val="24"/>
          <w:lang w:eastAsia="pl-PL"/>
        </w:rPr>
        <w:t xml:space="preserve">podatników, których </w:t>
      </w:r>
      <w:r w:rsidRPr="00A720EE">
        <w:rPr>
          <w:rFonts w:ascii="Times New Roman" w:eastAsiaTheme="minorEastAsia" w:hAnsi="Times New Roman" w:cs="Times New Roman"/>
          <w:color w:val="000000" w:themeColor="text1"/>
          <w:sz w:val="24"/>
          <w:szCs w:val="24"/>
          <w:u w:val="single"/>
          <w:lang w:eastAsia="pl-PL"/>
        </w:rPr>
        <w:t>rentowność w 1 z 3 ostatnich lat</w:t>
      </w:r>
      <w:r w:rsidRPr="00A720EE">
        <w:rPr>
          <w:rFonts w:ascii="Times New Roman" w:eastAsiaTheme="minorEastAsia" w:hAnsi="Times New Roman" w:cs="Times New Roman"/>
          <w:color w:val="000000" w:themeColor="text1"/>
          <w:sz w:val="24"/>
          <w:szCs w:val="24"/>
          <w:lang w:eastAsia="pl-PL"/>
        </w:rPr>
        <w:t xml:space="preserve"> podatkowych była </w:t>
      </w:r>
      <w:r w:rsidRPr="00A720EE">
        <w:rPr>
          <w:rFonts w:ascii="Times New Roman" w:eastAsiaTheme="minorEastAsia" w:hAnsi="Times New Roman" w:cs="Times New Roman"/>
          <w:color w:val="000000" w:themeColor="text1"/>
          <w:sz w:val="24"/>
          <w:szCs w:val="24"/>
          <w:u w:val="single"/>
          <w:lang w:eastAsia="pl-PL"/>
        </w:rPr>
        <w:t>powyżej wskaźnika 2%</w:t>
      </w:r>
      <w:r w:rsidRPr="00A720EE">
        <w:rPr>
          <w:rFonts w:ascii="Times New Roman" w:eastAsiaTheme="minorEastAsia" w:hAnsi="Times New Roman" w:cs="Times New Roman"/>
          <w:color w:val="000000" w:themeColor="text1"/>
          <w:sz w:val="24"/>
          <w:szCs w:val="24"/>
          <w:lang w:eastAsia="pl-PL"/>
        </w:rPr>
        <w:t xml:space="preserve"> (pkt 9), </w:t>
      </w:r>
    </w:p>
    <w:p w14:paraId="2B1237B2" w14:textId="5DE30247" w:rsidR="00A879E2" w:rsidRPr="00A720EE" w:rsidRDefault="00A879E2" w:rsidP="000151A2">
      <w:pPr>
        <w:widowControl w:val="0"/>
        <w:autoSpaceDE w:val="0"/>
        <w:autoSpaceDN w:val="0"/>
        <w:adjustRightInd w:val="0"/>
        <w:spacing w:after="120" w:line="276" w:lineRule="auto"/>
        <w:ind w:left="1500"/>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Propozycja ta łagodzi podwyższenie wskaźnika rentowności i zmierza do pełniejszego uwzględniania strat/niższej rentowności wynikających z czynników o charakterze ekonomicznym. Nie można wykluczyć, iż w konkretnym roku dany podmiot z uwagi na czynniki ekonomiczne osiągnie niższy niż wymagany poziom rentowności. Zgodnie z propozycją przepisy o minimalnym podatku dochodowym nie będą stosowane, jeżeli taka sytuacja będzie miała charakter incydentalny, a nie stały. P</w:t>
      </w:r>
      <w:r w:rsidRPr="00A720EE">
        <w:rPr>
          <w:rFonts w:ascii="Times New Roman" w:eastAsiaTheme="minorEastAsia" w:hAnsi="Times New Roman" w:cs="Times New Roman"/>
          <w:bCs/>
          <w:sz w:val="24"/>
          <w:szCs w:val="24"/>
          <w:lang w:eastAsia="pl-PL"/>
        </w:rPr>
        <w:t>od ocenę tego warunku będą brane też lata przed 2022 r. (bądź 2023 r.),</w:t>
      </w:r>
    </w:p>
    <w:p w14:paraId="74EF7FB4" w14:textId="77777777" w:rsidR="00A879E2" w:rsidRPr="00A720EE" w:rsidRDefault="00A879E2" w:rsidP="000151A2">
      <w:pPr>
        <w:widowControl w:val="0"/>
        <w:numPr>
          <w:ilvl w:val="0"/>
          <w:numId w:val="16"/>
        </w:numPr>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hAnsi="Times New Roman" w:cs="Times New Roman"/>
          <w:bCs/>
          <w:sz w:val="24"/>
          <w:szCs w:val="24"/>
          <w:lang w:eastAsia="pl-PL"/>
        </w:rPr>
        <w:t xml:space="preserve">podatników postawionych w </w:t>
      </w:r>
      <w:r w:rsidRPr="00A720EE">
        <w:rPr>
          <w:rFonts w:ascii="Times New Roman" w:hAnsi="Times New Roman" w:cs="Times New Roman"/>
          <w:bCs/>
          <w:sz w:val="24"/>
          <w:szCs w:val="24"/>
          <w:u w:val="single"/>
          <w:lang w:eastAsia="pl-PL"/>
        </w:rPr>
        <w:t>stan upadłości, likwidacji lub objętych postępowaniem restrukturyzacyjnym</w:t>
      </w:r>
      <w:r w:rsidRPr="00A720EE">
        <w:rPr>
          <w:rFonts w:ascii="Times New Roman" w:hAnsi="Times New Roman" w:cs="Times New Roman"/>
          <w:bCs/>
          <w:sz w:val="24"/>
          <w:szCs w:val="24"/>
          <w:lang w:eastAsia="pl-PL"/>
        </w:rPr>
        <w:t xml:space="preserve"> (pkt 10),</w:t>
      </w:r>
    </w:p>
    <w:p w14:paraId="230306A4" w14:textId="77777777" w:rsidR="00A879E2" w:rsidRPr="00A720EE" w:rsidRDefault="00A879E2" w:rsidP="000151A2">
      <w:pPr>
        <w:widowControl w:val="0"/>
        <w:autoSpaceDE w:val="0"/>
        <w:autoSpaceDN w:val="0"/>
        <w:adjustRightInd w:val="0"/>
        <w:spacing w:after="120" w:line="276" w:lineRule="auto"/>
        <w:ind w:left="1500"/>
        <w:jc w:val="both"/>
        <w:rPr>
          <w:rFonts w:ascii="Times New Roman" w:eastAsiaTheme="minorEastAsia" w:hAnsi="Times New Roman" w:cs="Times New Roman"/>
          <w:sz w:val="24"/>
          <w:szCs w:val="24"/>
          <w:lang w:eastAsia="pl-PL"/>
        </w:rPr>
      </w:pPr>
      <w:r w:rsidRPr="00A720EE">
        <w:rPr>
          <w:rFonts w:ascii="Times New Roman" w:hAnsi="Times New Roman" w:cs="Times New Roman"/>
          <w:bCs/>
          <w:sz w:val="24"/>
          <w:szCs w:val="24"/>
          <w:lang w:eastAsia="pl-PL"/>
        </w:rPr>
        <w:t xml:space="preserve">Podmioty takie osiągają zwykle niską dochodowość albo generują straty, lecz nie wynika to z działań optymalizacyjnych (celem pogorszenia wyniku podatkowego), a z problemów w prowadzonej działalności gospodarczej. Obowiązek zapłaty minimalnego podatku dochodowego utrudniłby osiąganie dochodów pozwalających na realizację celów prowadzonego postępowania – spłacenie wierzycieli. W związku z tym wyłączenie takich podmiotów spod </w:t>
      </w:r>
      <w:r w:rsidRPr="00A720EE">
        <w:rPr>
          <w:rFonts w:ascii="Times New Roman" w:hAnsi="Times New Roman" w:cs="Times New Roman"/>
          <w:bCs/>
          <w:sz w:val="24"/>
          <w:szCs w:val="24"/>
          <w:lang w:eastAsia="pl-PL"/>
        </w:rPr>
        <w:lastRenderedPageBreak/>
        <w:t>reżimu opodatkowania tym podatkiem nie generuje ryzyka unikania opodatkowania.</w:t>
      </w:r>
    </w:p>
    <w:p w14:paraId="3638C5FF" w14:textId="4B337251" w:rsidR="00A879E2" w:rsidRPr="00A720EE" w:rsidRDefault="00A879E2" w:rsidP="000151A2">
      <w:pPr>
        <w:numPr>
          <w:ilvl w:val="0"/>
          <w:numId w:val="16"/>
        </w:numPr>
        <w:spacing w:after="120" w:line="276" w:lineRule="auto"/>
        <w:rPr>
          <w:rFonts w:ascii="Times New Roman" w:hAnsi="Times New Roman" w:cs="Times New Roman"/>
          <w:bCs/>
          <w:sz w:val="24"/>
          <w:szCs w:val="24"/>
          <w:lang w:eastAsia="pl-PL"/>
        </w:rPr>
      </w:pPr>
      <w:r w:rsidRPr="00A720EE">
        <w:rPr>
          <w:rFonts w:ascii="Times New Roman" w:hAnsi="Times New Roman" w:cs="Times New Roman"/>
          <w:bCs/>
          <w:sz w:val="24"/>
          <w:szCs w:val="24"/>
          <w:lang w:eastAsia="pl-PL"/>
        </w:rPr>
        <w:t>podatników będących strona umowy o współdziałanie, o której mowa w</w:t>
      </w:r>
      <w:r w:rsidR="006B5313" w:rsidRPr="00A720EE">
        <w:rPr>
          <w:rFonts w:ascii="Times New Roman" w:hAnsi="Times New Roman" w:cs="Times New Roman"/>
          <w:bCs/>
          <w:sz w:val="24"/>
          <w:szCs w:val="24"/>
          <w:lang w:eastAsia="pl-PL"/>
        </w:rPr>
        <w:t> </w:t>
      </w:r>
      <w:r w:rsidRPr="00A720EE">
        <w:rPr>
          <w:rFonts w:ascii="Times New Roman" w:hAnsi="Times New Roman" w:cs="Times New Roman"/>
          <w:bCs/>
          <w:sz w:val="24"/>
          <w:szCs w:val="24"/>
          <w:lang w:eastAsia="pl-PL"/>
        </w:rPr>
        <w:t>art.</w:t>
      </w:r>
      <w:r w:rsidR="006B5313" w:rsidRPr="00A720EE">
        <w:rPr>
          <w:rFonts w:ascii="Times New Roman" w:hAnsi="Times New Roman" w:cs="Times New Roman"/>
          <w:bCs/>
          <w:sz w:val="24"/>
          <w:szCs w:val="24"/>
          <w:lang w:eastAsia="pl-PL"/>
        </w:rPr>
        <w:t> </w:t>
      </w:r>
      <w:r w:rsidRPr="00A720EE">
        <w:rPr>
          <w:rFonts w:ascii="Times New Roman" w:hAnsi="Times New Roman" w:cs="Times New Roman"/>
          <w:bCs/>
          <w:sz w:val="24"/>
          <w:szCs w:val="24"/>
          <w:lang w:eastAsia="pl-PL"/>
        </w:rPr>
        <w:t>20s ust. 1 Ordynacji podatkowej (pkt 11)</w:t>
      </w:r>
      <w:r w:rsidR="00554921" w:rsidRPr="00A720EE">
        <w:rPr>
          <w:rFonts w:ascii="Times New Roman" w:hAnsi="Times New Roman" w:cs="Times New Roman"/>
          <w:bCs/>
          <w:sz w:val="24"/>
          <w:szCs w:val="24"/>
          <w:lang w:eastAsia="pl-PL"/>
        </w:rPr>
        <w:t>,</w:t>
      </w:r>
    </w:p>
    <w:p w14:paraId="3B1092F1" w14:textId="2B1C3921" w:rsidR="00A879E2" w:rsidRPr="00A720EE" w:rsidRDefault="00A879E2" w:rsidP="000151A2">
      <w:pPr>
        <w:numPr>
          <w:ilvl w:val="0"/>
          <w:numId w:val="16"/>
        </w:numPr>
        <w:spacing w:after="120" w:line="276" w:lineRule="auto"/>
        <w:rPr>
          <w:rFonts w:ascii="Times New Roman" w:hAnsi="Times New Roman" w:cs="Times New Roman"/>
          <w:bCs/>
          <w:sz w:val="24"/>
          <w:szCs w:val="24"/>
          <w:lang w:eastAsia="pl-PL"/>
        </w:rPr>
      </w:pPr>
      <w:r w:rsidRPr="00A720EE">
        <w:rPr>
          <w:rFonts w:ascii="Times New Roman" w:hAnsi="Times New Roman" w:cs="Times New Roman"/>
          <w:bCs/>
          <w:sz w:val="24"/>
          <w:szCs w:val="24"/>
          <w:lang w:eastAsia="pl-PL"/>
        </w:rPr>
        <w:t>instytucje finansowe w rozumieniu art. 4 ust. 7 Prawa bankowego (pkt 12)</w:t>
      </w:r>
      <w:r w:rsidR="009F2F68" w:rsidRPr="00A720EE">
        <w:rPr>
          <w:rFonts w:ascii="Times New Roman" w:hAnsi="Times New Roman" w:cs="Times New Roman"/>
          <w:bCs/>
          <w:sz w:val="24"/>
          <w:szCs w:val="24"/>
          <w:lang w:eastAsia="pl-PL"/>
        </w:rPr>
        <w:t>,</w:t>
      </w:r>
    </w:p>
    <w:p w14:paraId="05E1F016" w14:textId="77777777" w:rsidR="00A879E2" w:rsidRPr="00A720EE" w:rsidRDefault="00A879E2" w:rsidP="000151A2">
      <w:pPr>
        <w:widowControl w:val="0"/>
        <w:autoSpaceDE w:val="0"/>
        <w:autoSpaceDN w:val="0"/>
        <w:adjustRightInd w:val="0"/>
        <w:spacing w:after="120" w:line="276" w:lineRule="auto"/>
        <w:ind w:left="1500"/>
        <w:jc w:val="both"/>
        <w:rPr>
          <w:rFonts w:ascii="Times New Roman" w:eastAsiaTheme="minorEastAsia" w:hAnsi="Times New Roman" w:cs="Times New Roman"/>
          <w:bCs/>
          <w:color w:val="000000" w:themeColor="text1"/>
          <w:sz w:val="24"/>
          <w:szCs w:val="24"/>
          <w:lang w:eastAsia="pl-PL"/>
        </w:rPr>
      </w:pPr>
      <w:r w:rsidRPr="00A720EE">
        <w:rPr>
          <w:rFonts w:ascii="Times New Roman" w:eastAsiaTheme="minorEastAsia" w:hAnsi="Times New Roman" w:cs="Times New Roman"/>
          <w:bCs/>
          <w:color w:val="000000" w:themeColor="text1"/>
          <w:sz w:val="24"/>
          <w:szCs w:val="24"/>
          <w:lang w:eastAsia="pl-PL"/>
        </w:rPr>
        <w:t>Proponowane zwolnienie jest dopełnieniem regulacji dot. branży faktoringowej przewidzianych w art. 24ca ust. 2 pkt 4 (wyłączenie</w:t>
      </w:r>
      <w:r w:rsidRPr="00A720EE">
        <w:rPr>
          <w:rFonts w:ascii="Times New Roman" w:hAnsi="Times New Roman" w:cs="Times New Roman"/>
          <w:color w:val="000000" w:themeColor="text1"/>
          <w:sz w:val="24"/>
          <w:szCs w:val="24"/>
        </w:rPr>
        <w:t xml:space="preserve"> </w:t>
      </w:r>
      <w:r w:rsidRPr="00A720EE">
        <w:rPr>
          <w:rFonts w:ascii="Times New Roman" w:eastAsiaTheme="minorEastAsia" w:hAnsi="Times New Roman" w:cs="Times New Roman"/>
          <w:bCs/>
          <w:color w:val="000000" w:themeColor="text1"/>
          <w:sz w:val="24"/>
          <w:szCs w:val="24"/>
          <w:lang w:eastAsia="pl-PL"/>
        </w:rPr>
        <w:t>wartości należności handlowych zbywanych na rzecz podmiotów z branży faktoringowej (objętych umowami faktoringu)) i ust. 10 (wyłączenie z podstawy opodatkowania przychodów z tego tytułu).</w:t>
      </w:r>
    </w:p>
    <w:p w14:paraId="47C428E0" w14:textId="4C67884F" w:rsidR="00A879E2" w:rsidRPr="00A720EE" w:rsidRDefault="00A879E2" w:rsidP="000151A2">
      <w:pPr>
        <w:widowControl w:val="0"/>
        <w:autoSpaceDE w:val="0"/>
        <w:autoSpaceDN w:val="0"/>
        <w:adjustRightInd w:val="0"/>
        <w:spacing w:after="120" w:line="276" w:lineRule="auto"/>
        <w:ind w:left="1500"/>
        <w:jc w:val="both"/>
        <w:rPr>
          <w:rFonts w:ascii="Times New Roman" w:eastAsiaTheme="minorEastAsia" w:hAnsi="Times New Roman" w:cs="Times New Roman"/>
          <w:bCs/>
          <w:color w:val="000000" w:themeColor="text1"/>
          <w:sz w:val="24"/>
          <w:szCs w:val="24"/>
          <w:lang w:eastAsia="pl-PL"/>
        </w:rPr>
      </w:pPr>
      <w:r w:rsidRPr="00A720EE">
        <w:rPr>
          <w:rFonts w:ascii="Times New Roman" w:eastAsiaTheme="minorEastAsia" w:hAnsi="Times New Roman" w:cs="Times New Roman"/>
          <w:bCs/>
          <w:color w:val="000000" w:themeColor="text1"/>
          <w:sz w:val="24"/>
          <w:szCs w:val="24"/>
          <w:lang w:eastAsia="pl-PL"/>
        </w:rPr>
        <w:t>Zgodnie z propozycją, zwolnieniem podmiotowym objęte zostaną instytucje finansowe w rozumieniu art. 4 ust. 1 pkt 7 Prawa bankowego (pod pojęciem „instytucji finansowej” należy rozumieć instytucję finansową, o której mowa w art. 4 ust. 1 pkt 26 rozporządzenia nr 575/2013</w:t>
      </w:r>
      <w:r w:rsidRPr="00A720EE">
        <w:rPr>
          <w:rFonts w:ascii="Times New Roman" w:eastAsiaTheme="minorEastAsia" w:hAnsi="Times New Roman" w:cs="Times New Roman"/>
          <w:bCs/>
          <w:color w:val="000000" w:themeColor="text1"/>
          <w:sz w:val="24"/>
          <w:szCs w:val="24"/>
          <w:vertAlign w:val="superscript"/>
          <w:lang w:eastAsia="pl-PL"/>
        </w:rPr>
        <w:footnoteReference w:id="21"/>
      </w:r>
      <w:r w:rsidRPr="00A720EE">
        <w:rPr>
          <w:rFonts w:ascii="Times New Roman" w:eastAsiaTheme="minorEastAsia" w:hAnsi="Times New Roman" w:cs="Times New Roman"/>
          <w:bCs/>
          <w:color w:val="000000" w:themeColor="text1"/>
          <w:sz w:val="24"/>
          <w:szCs w:val="24"/>
          <w:lang w:eastAsia="pl-PL"/>
        </w:rPr>
        <w:t>), których podstawowym przedmiotem działalności jest świadczenie usług finansowych polegających na odpłatnym nabywaniu od wierzyciela wierzytelności powstałych w wyniku zawarcia umowy sprzedaży towarów lub świadczenia usług pomiędzy tym wierzycielem a dłużnikiem.</w:t>
      </w:r>
    </w:p>
    <w:p w14:paraId="3AE52BDF" w14:textId="2BDD346C" w:rsidR="009F2F68" w:rsidRPr="00A720EE" w:rsidRDefault="009F2F68" w:rsidP="00F73790">
      <w:pPr>
        <w:numPr>
          <w:ilvl w:val="0"/>
          <w:numId w:val="16"/>
        </w:numPr>
        <w:spacing w:after="120" w:line="276" w:lineRule="auto"/>
        <w:jc w:val="both"/>
        <w:rPr>
          <w:rFonts w:ascii="Times New Roman" w:hAnsi="Times New Roman" w:cs="Times New Roman"/>
          <w:bCs/>
          <w:sz w:val="24"/>
          <w:szCs w:val="24"/>
          <w:lang w:eastAsia="pl-PL"/>
        </w:rPr>
      </w:pPr>
      <w:r w:rsidRPr="00A720EE">
        <w:rPr>
          <w:rFonts w:ascii="Times New Roman" w:hAnsi="Times New Roman" w:cs="Times New Roman"/>
          <w:bCs/>
          <w:sz w:val="24"/>
          <w:szCs w:val="24"/>
          <w:lang w:eastAsia="pl-PL"/>
        </w:rPr>
        <w:t>przedsiębiorstwa górnicze, otrzymujące pomoc publiczną na podstawie ustawy z dnia 7 września 2007 r. o funkcjonowaniu górnictwa węgla kamiennego (Dz. U. z 2022 r. poz. 1309),</w:t>
      </w:r>
    </w:p>
    <w:p w14:paraId="0FB920BA" w14:textId="3419E801" w:rsidR="009F2F68" w:rsidRPr="00A720EE" w:rsidRDefault="009F2F68" w:rsidP="00F73790">
      <w:pPr>
        <w:spacing w:after="120" w:line="276" w:lineRule="auto"/>
        <w:ind w:left="1500"/>
        <w:jc w:val="both"/>
        <w:rPr>
          <w:rFonts w:ascii="Times New Roman" w:hAnsi="Times New Roman" w:cs="Times New Roman"/>
          <w:bCs/>
          <w:sz w:val="24"/>
          <w:szCs w:val="24"/>
          <w:lang w:eastAsia="pl-PL"/>
        </w:rPr>
      </w:pPr>
      <w:r w:rsidRPr="00A720EE">
        <w:rPr>
          <w:rFonts w:ascii="Times New Roman" w:hAnsi="Times New Roman" w:cs="Times New Roman"/>
          <w:sz w:val="24"/>
          <w:szCs w:val="24"/>
        </w:rPr>
        <w:t>Podmioty te otrzymują dotacje z budżetu państwa na finansowanie działalności operacyjnej tj. na dopłaty do redukcji</w:t>
      </w:r>
      <w:r w:rsidRPr="00A720EE">
        <w:rPr>
          <w:rFonts w:ascii="Times New Roman" w:hAnsi="Times New Roman" w:cs="Times New Roman"/>
          <w:bCs/>
          <w:sz w:val="24"/>
          <w:szCs w:val="24"/>
          <w:lang w:eastAsia="pl-PL"/>
        </w:rPr>
        <w:t xml:space="preserve"> </w:t>
      </w:r>
      <w:r w:rsidRPr="00A720EE">
        <w:rPr>
          <w:rFonts w:ascii="Times New Roman" w:hAnsi="Times New Roman" w:cs="Times New Roman"/>
          <w:sz w:val="24"/>
          <w:szCs w:val="24"/>
        </w:rPr>
        <w:t>zdolności produkcyjnych i dotacje na zadania związane z likwidacją zakładów górniczych. Objęcie tych podmiotów</w:t>
      </w:r>
      <w:r w:rsidRPr="00A720EE">
        <w:rPr>
          <w:rFonts w:ascii="Times New Roman" w:hAnsi="Times New Roman" w:cs="Times New Roman"/>
          <w:bCs/>
          <w:sz w:val="24"/>
          <w:szCs w:val="24"/>
          <w:lang w:eastAsia="pl-PL"/>
        </w:rPr>
        <w:t xml:space="preserve"> </w:t>
      </w:r>
      <w:r w:rsidRPr="00A720EE">
        <w:rPr>
          <w:rFonts w:ascii="Times New Roman" w:hAnsi="Times New Roman" w:cs="Times New Roman"/>
          <w:sz w:val="24"/>
          <w:szCs w:val="24"/>
        </w:rPr>
        <w:t>podatkiem minimalnym byłoby nieuzasadnione, gdyż w rezultacie byłby on finansowany środkami pochodzącymi z</w:t>
      </w:r>
      <w:r w:rsidRPr="00A720EE">
        <w:rPr>
          <w:rFonts w:ascii="Times New Roman" w:hAnsi="Times New Roman" w:cs="Times New Roman"/>
          <w:bCs/>
          <w:sz w:val="24"/>
          <w:szCs w:val="24"/>
          <w:lang w:eastAsia="pl-PL"/>
        </w:rPr>
        <w:t xml:space="preserve"> </w:t>
      </w:r>
      <w:r w:rsidRPr="00A720EE">
        <w:rPr>
          <w:rFonts w:ascii="Times New Roman" w:hAnsi="Times New Roman" w:cs="Times New Roman"/>
          <w:sz w:val="24"/>
          <w:szCs w:val="24"/>
        </w:rPr>
        <w:t>budżetu państwa.</w:t>
      </w:r>
    </w:p>
    <w:p w14:paraId="1DC10D4E" w14:textId="77777777" w:rsidR="009F2F68" w:rsidRPr="00A720EE" w:rsidRDefault="009F2F68" w:rsidP="000151A2">
      <w:pPr>
        <w:widowControl w:val="0"/>
        <w:autoSpaceDE w:val="0"/>
        <w:autoSpaceDN w:val="0"/>
        <w:adjustRightInd w:val="0"/>
        <w:spacing w:after="120" w:line="276" w:lineRule="auto"/>
        <w:ind w:left="1500"/>
        <w:jc w:val="both"/>
        <w:rPr>
          <w:rFonts w:ascii="Times New Roman" w:eastAsiaTheme="minorEastAsia" w:hAnsi="Times New Roman" w:cs="Times New Roman"/>
          <w:bCs/>
          <w:color w:val="000000" w:themeColor="text1"/>
          <w:sz w:val="24"/>
          <w:szCs w:val="24"/>
          <w:lang w:eastAsia="pl-PL"/>
        </w:rPr>
      </w:pPr>
    </w:p>
    <w:p w14:paraId="4B60EBA5" w14:textId="0F330AC2" w:rsidR="004121B3" w:rsidRPr="00A720EE" w:rsidRDefault="00A879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hAnsi="Times New Roman" w:cs="Times New Roman"/>
          <w:bCs/>
          <w:sz w:val="24"/>
          <w:szCs w:val="24"/>
          <w:u w:val="single"/>
          <w:lang w:eastAsia="pl-PL"/>
        </w:rPr>
        <w:t>Dodany ust. 15a</w:t>
      </w:r>
      <w:r w:rsidRPr="00A720EE">
        <w:rPr>
          <w:rFonts w:ascii="Times New Roman" w:hAnsi="Times New Roman" w:cs="Times New Roman"/>
          <w:bCs/>
          <w:sz w:val="24"/>
          <w:szCs w:val="24"/>
          <w:lang w:eastAsia="pl-PL"/>
        </w:rPr>
        <w:t xml:space="preserve"> dotyczy łącznego dochodu grupy kapitałowej (omówione przy treści ust.</w:t>
      </w:r>
      <w:r w:rsidR="006B5313" w:rsidRPr="00A720EE">
        <w:rPr>
          <w:rFonts w:ascii="Times New Roman" w:hAnsi="Times New Roman" w:cs="Times New Roman"/>
          <w:bCs/>
          <w:sz w:val="24"/>
          <w:szCs w:val="24"/>
          <w:lang w:eastAsia="pl-PL"/>
        </w:rPr>
        <w:t xml:space="preserve"> </w:t>
      </w:r>
      <w:r w:rsidRPr="00A720EE">
        <w:rPr>
          <w:rFonts w:ascii="Times New Roman" w:hAnsi="Times New Roman" w:cs="Times New Roman"/>
          <w:bCs/>
          <w:sz w:val="24"/>
          <w:szCs w:val="24"/>
          <w:lang w:eastAsia="pl-PL"/>
        </w:rPr>
        <w:t xml:space="preserve">14 pkt 6).  </w:t>
      </w:r>
    </w:p>
    <w:p w14:paraId="1CD7CD7A" w14:textId="068F6ACC" w:rsidR="003E57AA" w:rsidRPr="00A720EE" w:rsidRDefault="002C7626" w:rsidP="003E57AA">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6E6570" w:rsidRPr="00A720EE">
        <w:rPr>
          <w:rFonts w:ascii="Times New Roman" w:eastAsiaTheme="minorEastAsia" w:hAnsi="Times New Roman" w:cs="Times New Roman"/>
          <w:b/>
          <w:sz w:val="24"/>
          <w:szCs w:val="24"/>
          <w:lang w:eastAsia="pl-PL"/>
        </w:rPr>
        <w:t>2</w:t>
      </w:r>
      <w:r w:rsidR="00B61236" w:rsidRPr="00A720EE">
        <w:rPr>
          <w:rFonts w:ascii="Times New Roman" w:eastAsiaTheme="minorEastAsia" w:hAnsi="Times New Roman" w:cs="Times New Roman"/>
          <w:b/>
          <w:sz w:val="24"/>
          <w:szCs w:val="24"/>
          <w:lang w:eastAsia="pl-PL"/>
        </w:rPr>
        <w:t>1</w:t>
      </w:r>
      <w:r w:rsidR="003E57AA" w:rsidRPr="00A720EE">
        <w:rPr>
          <w:rFonts w:ascii="Times New Roman" w:eastAsiaTheme="minorEastAsia" w:hAnsi="Times New Roman" w:cs="Times New Roman"/>
          <w:b/>
          <w:sz w:val="24"/>
          <w:szCs w:val="24"/>
          <w:lang w:eastAsia="pl-PL"/>
        </w:rPr>
        <w:t xml:space="preserve"> – dotyczy art. </w:t>
      </w:r>
      <w:r w:rsidR="00136E69" w:rsidRPr="00A720EE">
        <w:rPr>
          <w:rFonts w:ascii="Times New Roman" w:eastAsiaTheme="minorEastAsia" w:hAnsi="Times New Roman" w:cs="Times New Roman"/>
          <w:b/>
          <w:sz w:val="24"/>
          <w:szCs w:val="24"/>
          <w:lang w:eastAsia="pl-PL"/>
        </w:rPr>
        <w:t>24m</w:t>
      </w:r>
      <w:r w:rsidR="00DA656A" w:rsidRPr="00A720EE">
        <w:rPr>
          <w:rFonts w:ascii="Times New Roman" w:eastAsiaTheme="minorEastAsia" w:hAnsi="Times New Roman" w:cs="Times New Roman"/>
          <w:b/>
          <w:sz w:val="24"/>
          <w:szCs w:val="24"/>
          <w:lang w:eastAsia="pl-PL"/>
        </w:rPr>
        <w:t xml:space="preserve"> </w:t>
      </w:r>
      <w:r w:rsidR="00CB09E7" w:rsidRPr="00A720EE">
        <w:rPr>
          <w:rFonts w:ascii="Times New Roman" w:eastAsiaTheme="minorEastAsia" w:hAnsi="Times New Roman" w:cs="Times New Roman"/>
          <w:b/>
          <w:sz w:val="24"/>
          <w:szCs w:val="24"/>
          <w:lang w:eastAsia="pl-PL"/>
        </w:rPr>
        <w:t>ust. 1 pkt 2, 3 i ust. 2</w:t>
      </w:r>
    </w:p>
    <w:p w14:paraId="1DF2807D" w14:textId="77777777" w:rsidR="00516FAE" w:rsidRPr="00A720EE" w:rsidRDefault="004E0F72" w:rsidP="00516FAE">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sz w:val="24"/>
          <w:szCs w:val="24"/>
          <w:lang w:eastAsia="pl-PL"/>
        </w:rPr>
        <w:t xml:space="preserve">W art. 24m </w:t>
      </w:r>
      <w:r w:rsidR="00351E7C" w:rsidRPr="00A720EE">
        <w:rPr>
          <w:rFonts w:ascii="Times New Roman" w:eastAsiaTheme="minorEastAsia" w:hAnsi="Times New Roman" w:cs="Times New Roman"/>
          <w:sz w:val="24"/>
          <w:szCs w:val="24"/>
          <w:lang w:eastAsia="pl-PL"/>
        </w:rPr>
        <w:t xml:space="preserve">ust. 1 </w:t>
      </w:r>
      <w:r w:rsidRPr="00A720EE">
        <w:rPr>
          <w:rFonts w:ascii="Times New Roman" w:eastAsiaTheme="minorEastAsia" w:hAnsi="Times New Roman" w:cs="Times New Roman"/>
          <w:sz w:val="24"/>
          <w:szCs w:val="24"/>
          <w:lang w:eastAsia="pl-PL"/>
        </w:rPr>
        <w:t xml:space="preserve">pkt </w:t>
      </w:r>
      <w:r w:rsidR="00256D18" w:rsidRPr="00A720EE">
        <w:rPr>
          <w:rFonts w:ascii="Times New Roman" w:eastAsiaTheme="minorEastAsia" w:hAnsi="Times New Roman" w:cs="Times New Roman"/>
          <w:sz w:val="24"/>
          <w:szCs w:val="24"/>
          <w:lang w:eastAsia="pl-PL"/>
        </w:rPr>
        <w:t>2</w:t>
      </w:r>
      <w:r w:rsidRPr="00A720EE">
        <w:rPr>
          <w:rFonts w:ascii="Times New Roman" w:eastAsiaTheme="minorEastAsia" w:hAnsi="Times New Roman" w:cs="Times New Roman"/>
          <w:sz w:val="24"/>
          <w:szCs w:val="24"/>
          <w:lang w:eastAsia="pl-PL"/>
        </w:rPr>
        <w:t xml:space="preserve"> rozszerzany jest, poprzez dodanie prostej spółki akcyjnej, zakres </w:t>
      </w:r>
      <w:r w:rsidRPr="00A720EE">
        <w:rPr>
          <w:rFonts w:ascii="Times New Roman" w:eastAsiaTheme="minorEastAsia" w:hAnsi="Times New Roman" w:cs="Times New Roman"/>
          <w:sz w:val="24"/>
          <w:szCs w:val="24"/>
          <w:lang w:eastAsia="pl-PL"/>
        </w:rPr>
        <w:lastRenderedPageBreak/>
        <w:t xml:space="preserve">podmiotowy spółek, które mogą uzyskać status spółki holdingowej. </w:t>
      </w:r>
      <w:r w:rsidR="00256D18" w:rsidRPr="00A720EE">
        <w:rPr>
          <w:rFonts w:ascii="Times New Roman" w:eastAsiaTheme="minorEastAsia" w:hAnsi="Times New Roman" w:cs="Times New Roman"/>
          <w:sz w:val="24"/>
          <w:szCs w:val="24"/>
          <w:lang w:eastAsia="pl-PL"/>
        </w:rPr>
        <w:t>Ponadto, w przypadku definicji spółki holdingowej usuwany jest warunek braku korzystania ze zwolnień, o których mowa w art. 20 ust. 3 oraz art. 22 ust. 4.</w:t>
      </w:r>
      <w:r w:rsidR="00516FAE" w:rsidRPr="00A720EE">
        <w:rPr>
          <w:rFonts w:ascii="Times New Roman" w:eastAsia="Calibri" w:hAnsi="Times New Roman" w:cs="Times New Roman"/>
          <w:bCs/>
          <w:color w:val="000000"/>
          <w:spacing w:val="-2"/>
          <w:sz w:val="24"/>
          <w:szCs w:val="24"/>
        </w:rPr>
        <w:t xml:space="preserve"> </w:t>
      </w:r>
      <w:r w:rsidR="00516FAE" w:rsidRPr="00A720EE">
        <w:rPr>
          <w:rFonts w:ascii="Times New Roman" w:eastAsiaTheme="minorEastAsia" w:hAnsi="Times New Roman" w:cs="Times New Roman"/>
          <w:bCs/>
          <w:sz w:val="24"/>
          <w:szCs w:val="24"/>
          <w:lang w:eastAsia="pl-PL"/>
        </w:rPr>
        <w:t>W celu zapobieżenia ewentualnym wątpliwościom co do okresu, w którym powinny być spełnione warunki konieczne dla możliwości skorzystania ze zwolnienia z CIT dywidendy lub zysków ze zbycia udziałów, przepisy art. 24m ustawy CIT zostały odpowiednio doprecyzowane.</w:t>
      </w:r>
    </w:p>
    <w:p w14:paraId="7B37F39A" w14:textId="77777777" w:rsidR="00256D18" w:rsidRPr="00A720EE" w:rsidRDefault="00B71EBC" w:rsidP="004E0F72">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 kolei, w przypadku spółki zależnej, usuwane są warunki zakazujące (i)</w:t>
      </w:r>
      <w:r w:rsidR="002B7447" w:rsidRPr="00A720EE">
        <w:rPr>
          <w:rFonts w:ascii="Times New Roman" w:eastAsiaTheme="minorEastAsia" w:hAnsi="Times New Roman" w:cs="Times New Roman"/>
          <w:sz w:val="24"/>
          <w:szCs w:val="24"/>
          <w:lang w:eastAsia="pl-PL"/>
        </w:rPr>
        <w:t xml:space="preserve"> posiadania</w:t>
      </w:r>
      <w:r w:rsidRPr="00A720EE">
        <w:rPr>
          <w:rFonts w:ascii="Times New Roman" w:eastAsiaTheme="minorEastAsia" w:hAnsi="Times New Roman" w:cs="Times New Roman"/>
          <w:sz w:val="24"/>
          <w:szCs w:val="24"/>
          <w:lang w:eastAsia="pl-PL"/>
        </w:rPr>
        <w:t xml:space="preserve"> więcej niż 5% udziałów (akcji) w kapitale innej spółki</w:t>
      </w:r>
      <w:r w:rsidR="00EE7073"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(ii)</w:t>
      </w:r>
      <w:r w:rsidR="002B7447" w:rsidRPr="00A720EE">
        <w:rPr>
          <w:rFonts w:ascii="Times New Roman" w:eastAsiaTheme="minorEastAsia" w:hAnsi="Times New Roman" w:cs="Times New Roman"/>
          <w:sz w:val="24"/>
          <w:szCs w:val="24"/>
          <w:lang w:eastAsia="pl-PL"/>
        </w:rPr>
        <w:t xml:space="preserve"> posiadania</w:t>
      </w:r>
      <w:r w:rsidRPr="00A720EE">
        <w:rPr>
          <w:rFonts w:ascii="Times New Roman" w:eastAsiaTheme="minorEastAsia" w:hAnsi="Times New Roman" w:cs="Times New Roman"/>
          <w:sz w:val="24"/>
          <w:szCs w:val="24"/>
          <w:lang w:eastAsia="pl-PL"/>
        </w:rPr>
        <w:t xml:space="preserve"> ogółu praw i obowiązków w spółce niebędącej osobą prawną</w:t>
      </w:r>
      <w:r w:rsidR="00EE7073" w:rsidRPr="00A720EE">
        <w:rPr>
          <w:rFonts w:ascii="Times New Roman" w:eastAsiaTheme="minorEastAsia" w:hAnsi="Times New Roman" w:cs="Times New Roman"/>
          <w:sz w:val="24"/>
          <w:szCs w:val="24"/>
          <w:lang w:eastAsia="pl-PL"/>
        </w:rPr>
        <w:t xml:space="preserve"> oraz (iii) korzystania ze zwolnień, o których mowa w art. 17 ust. 1 pkt 34 i 34a. </w:t>
      </w:r>
    </w:p>
    <w:p w14:paraId="2C8963FE" w14:textId="151D40C8" w:rsidR="00D910DD" w:rsidRPr="00A720EE" w:rsidRDefault="00D910DD" w:rsidP="004E0F72">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w:t>
      </w:r>
      <w:r w:rsidR="00250780" w:rsidRPr="00A720EE">
        <w:rPr>
          <w:rFonts w:ascii="Times New Roman" w:eastAsiaTheme="minorEastAsia" w:hAnsi="Times New Roman" w:cs="Times New Roman"/>
          <w:b/>
          <w:sz w:val="24"/>
          <w:szCs w:val="24"/>
          <w:lang w:eastAsia="pl-PL"/>
        </w:rPr>
        <w:t xml:space="preserve">1 pkt </w:t>
      </w:r>
      <w:r w:rsidR="006E6570" w:rsidRPr="00A720EE">
        <w:rPr>
          <w:rFonts w:ascii="Times New Roman" w:eastAsiaTheme="minorEastAsia" w:hAnsi="Times New Roman" w:cs="Times New Roman"/>
          <w:b/>
          <w:sz w:val="24"/>
          <w:szCs w:val="24"/>
          <w:lang w:eastAsia="pl-PL"/>
        </w:rPr>
        <w:t>2</w:t>
      </w:r>
      <w:r w:rsidR="00B61236" w:rsidRPr="00A720EE">
        <w:rPr>
          <w:rFonts w:ascii="Times New Roman" w:eastAsiaTheme="minorEastAsia" w:hAnsi="Times New Roman" w:cs="Times New Roman"/>
          <w:b/>
          <w:sz w:val="24"/>
          <w:szCs w:val="24"/>
          <w:lang w:eastAsia="pl-PL"/>
        </w:rPr>
        <w:t>2</w:t>
      </w:r>
      <w:r w:rsidRPr="00A720EE">
        <w:rPr>
          <w:rFonts w:ascii="Times New Roman" w:eastAsiaTheme="minorEastAsia" w:hAnsi="Times New Roman" w:cs="Times New Roman"/>
          <w:b/>
          <w:sz w:val="24"/>
          <w:szCs w:val="24"/>
          <w:lang w:eastAsia="pl-PL"/>
        </w:rPr>
        <w:t xml:space="preserve"> – dotyczy art. 24n</w:t>
      </w:r>
      <w:r w:rsidR="00DA656A" w:rsidRPr="00A720EE">
        <w:rPr>
          <w:rFonts w:ascii="Times New Roman" w:eastAsiaTheme="minorEastAsia" w:hAnsi="Times New Roman" w:cs="Times New Roman"/>
          <w:b/>
          <w:sz w:val="24"/>
          <w:szCs w:val="24"/>
          <w:lang w:eastAsia="pl-PL"/>
        </w:rPr>
        <w:t xml:space="preserve"> ust. 1-3 i ust. 5</w:t>
      </w:r>
    </w:p>
    <w:p w14:paraId="2DCDC34B" w14:textId="77777777" w:rsidR="00D910DD" w:rsidRPr="00A720EE" w:rsidRDefault="00D910DD" w:rsidP="004E0F72">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 art. 24n ust. 1 usuwane jest ograniczenie zwolnienia od podatku dochodowego przychodów z dywidend do 95% kwoty tych dywidend</w:t>
      </w:r>
      <w:r w:rsidR="00470E8C" w:rsidRPr="00A720EE">
        <w:rPr>
          <w:rFonts w:ascii="Times New Roman" w:eastAsiaTheme="minorEastAsia" w:hAnsi="Times New Roman" w:cs="Times New Roman"/>
          <w:sz w:val="24"/>
          <w:szCs w:val="24"/>
          <w:lang w:eastAsia="pl-PL"/>
        </w:rPr>
        <w:t xml:space="preserve"> natomiast ust. 2 podlega uchyleniu.</w:t>
      </w:r>
      <w:r w:rsidR="00651321"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 xml:space="preserve">W konsekwencji wprowadzenia całkowitego zwolnienia dywidend otrzymanych przez spółkę holdingową od krajowej spółki zależnej lub zagranicznej spółki zależnej, usunięciu podlega ust. </w:t>
      </w:r>
      <w:r w:rsidR="008A1A0E" w:rsidRPr="00A720EE">
        <w:rPr>
          <w:rFonts w:ascii="Times New Roman" w:eastAsiaTheme="minorEastAsia" w:hAnsi="Times New Roman" w:cs="Times New Roman"/>
          <w:sz w:val="24"/>
          <w:szCs w:val="24"/>
          <w:lang w:eastAsia="pl-PL"/>
        </w:rPr>
        <w:t>5</w:t>
      </w:r>
      <w:r w:rsidRPr="00A720EE">
        <w:rPr>
          <w:rFonts w:ascii="Times New Roman" w:eastAsiaTheme="minorEastAsia" w:hAnsi="Times New Roman" w:cs="Times New Roman"/>
          <w:sz w:val="24"/>
          <w:szCs w:val="24"/>
          <w:lang w:eastAsia="pl-PL"/>
        </w:rPr>
        <w:t xml:space="preserve"> w art. 24n.  </w:t>
      </w:r>
    </w:p>
    <w:p w14:paraId="49C9DAAE" w14:textId="18073376" w:rsidR="00351E7C" w:rsidRPr="00A720EE" w:rsidRDefault="002C7626"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A301CA" w:rsidRPr="00A720EE">
        <w:rPr>
          <w:rFonts w:ascii="Times New Roman" w:eastAsiaTheme="minorEastAsia" w:hAnsi="Times New Roman" w:cs="Times New Roman"/>
          <w:b/>
          <w:sz w:val="24"/>
          <w:szCs w:val="24"/>
          <w:lang w:eastAsia="pl-PL"/>
        </w:rPr>
        <w:t>2</w:t>
      </w:r>
      <w:r w:rsidR="00B61236" w:rsidRPr="00A720EE">
        <w:rPr>
          <w:rFonts w:ascii="Times New Roman" w:eastAsiaTheme="minorEastAsia" w:hAnsi="Times New Roman" w:cs="Times New Roman"/>
          <w:b/>
          <w:sz w:val="24"/>
          <w:szCs w:val="24"/>
          <w:lang w:eastAsia="pl-PL"/>
        </w:rPr>
        <w:t>3</w:t>
      </w:r>
      <w:r w:rsidR="00010C63" w:rsidRPr="00A720EE">
        <w:rPr>
          <w:rFonts w:ascii="Times New Roman" w:eastAsiaTheme="minorEastAsia" w:hAnsi="Times New Roman" w:cs="Times New Roman"/>
          <w:b/>
          <w:sz w:val="24"/>
          <w:szCs w:val="24"/>
          <w:lang w:eastAsia="pl-PL"/>
        </w:rPr>
        <w:t xml:space="preserve"> – dotyczy art. 26</w:t>
      </w:r>
      <w:r w:rsidR="00DA656A" w:rsidRPr="00A720EE">
        <w:rPr>
          <w:rFonts w:ascii="Times New Roman" w:eastAsiaTheme="minorEastAsia" w:hAnsi="Times New Roman" w:cs="Times New Roman"/>
          <w:b/>
          <w:sz w:val="24"/>
          <w:szCs w:val="24"/>
          <w:lang w:eastAsia="pl-PL"/>
        </w:rPr>
        <w:t xml:space="preserve"> ust. 1ab</w:t>
      </w:r>
      <w:r w:rsidR="00E50539" w:rsidRPr="00A720EE">
        <w:rPr>
          <w:rFonts w:ascii="Times New Roman" w:eastAsiaTheme="minorEastAsia" w:hAnsi="Times New Roman" w:cs="Times New Roman"/>
          <w:b/>
          <w:sz w:val="24"/>
          <w:szCs w:val="24"/>
          <w:lang w:eastAsia="pl-PL"/>
        </w:rPr>
        <w:t xml:space="preserve">, </w:t>
      </w:r>
      <w:r w:rsidR="00351E7C" w:rsidRPr="00A720EE">
        <w:rPr>
          <w:rFonts w:ascii="Times New Roman" w:eastAsiaTheme="minorEastAsia" w:hAnsi="Times New Roman" w:cs="Times New Roman"/>
          <w:b/>
          <w:sz w:val="24"/>
          <w:szCs w:val="24"/>
          <w:lang w:eastAsia="pl-PL"/>
        </w:rPr>
        <w:t xml:space="preserve">1ac, </w:t>
      </w:r>
      <w:r w:rsidR="006C2EA2" w:rsidRPr="00A720EE">
        <w:rPr>
          <w:rFonts w:ascii="Times New Roman" w:eastAsiaTheme="minorEastAsia" w:hAnsi="Times New Roman" w:cs="Times New Roman"/>
          <w:b/>
          <w:sz w:val="24"/>
          <w:szCs w:val="24"/>
          <w:lang w:eastAsia="pl-PL"/>
        </w:rPr>
        <w:t xml:space="preserve">1p, </w:t>
      </w:r>
      <w:r w:rsidR="00351E7C" w:rsidRPr="00A720EE">
        <w:rPr>
          <w:rFonts w:ascii="Times New Roman" w:eastAsiaTheme="minorEastAsia" w:hAnsi="Times New Roman" w:cs="Times New Roman"/>
          <w:b/>
          <w:sz w:val="24"/>
          <w:szCs w:val="24"/>
          <w:lang w:eastAsia="pl-PL"/>
        </w:rPr>
        <w:t>7, 7c, 7f, 7g,</w:t>
      </w:r>
      <w:r w:rsidR="00351E7C" w:rsidRPr="00A720EE" w:rsidDel="002D7749">
        <w:rPr>
          <w:rFonts w:ascii="Times New Roman" w:eastAsiaTheme="minorEastAsia" w:hAnsi="Times New Roman" w:cs="Times New Roman"/>
          <w:b/>
          <w:sz w:val="24"/>
          <w:szCs w:val="24"/>
          <w:lang w:eastAsia="pl-PL"/>
        </w:rPr>
        <w:t xml:space="preserve"> </w:t>
      </w:r>
      <w:r w:rsidR="00AC0950" w:rsidRPr="00A720EE">
        <w:rPr>
          <w:rFonts w:ascii="Times New Roman" w:eastAsiaTheme="minorEastAsia" w:hAnsi="Times New Roman" w:cs="Times New Roman"/>
          <w:b/>
          <w:sz w:val="24"/>
          <w:szCs w:val="24"/>
          <w:lang w:eastAsia="pl-PL"/>
        </w:rPr>
        <w:t>7j i 10</w:t>
      </w:r>
      <w:r w:rsidR="002D7749" w:rsidRPr="00A720EE">
        <w:rPr>
          <w:rFonts w:ascii="Times New Roman" w:eastAsiaTheme="minorEastAsia" w:hAnsi="Times New Roman" w:cs="Times New Roman"/>
          <w:b/>
          <w:sz w:val="24"/>
          <w:szCs w:val="24"/>
          <w:lang w:eastAsia="pl-PL"/>
        </w:rPr>
        <w:t xml:space="preserve"> </w:t>
      </w:r>
      <w:r w:rsidR="00F7753E" w:rsidRPr="00A720EE">
        <w:rPr>
          <w:rFonts w:ascii="Times New Roman" w:eastAsiaTheme="minorEastAsia" w:hAnsi="Times New Roman" w:cs="Times New Roman"/>
          <w:b/>
          <w:sz w:val="24"/>
          <w:szCs w:val="24"/>
          <w:lang w:eastAsia="pl-PL"/>
        </w:rPr>
        <w:t xml:space="preserve">ustawy CIT </w:t>
      </w:r>
      <w:r w:rsidR="002D7749" w:rsidRPr="00A720EE">
        <w:rPr>
          <w:rFonts w:ascii="Times New Roman" w:eastAsiaTheme="minorEastAsia" w:hAnsi="Times New Roman" w:cs="Times New Roman"/>
          <w:b/>
          <w:sz w:val="24"/>
          <w:szCs w:val="24"/>
          <w:lang w:eastAsia="pl-PL"/>
        </w:rPr>
        <w:t>(art. 41. ust. 25</w:t>
      </w:r>
      <w:r w:rsidR="005B2A72" w:rsidRPr="00A720EE">
        <w:rPr>
          <w:rFonts w:ascii="Times New Roman" w:eastAsiaTheme="minorEastAsia" w:hAnsi="Times New Roman" w:cs="Times New Roman"/>
          <w:b/>
          <w:sz w:val="24"/>
          <w:szCs w:val="24"/>
          <w:lang w:eastAsia="pl-PL"/>
        </w:rPr>
        <w:t>-</w:t>
      </w:r>
      <w:r w:rsidR="002D7749" w:rsidRPr="00A720EE">
        <w:rPr>
          <w:rFonts w:ascii="Times New Roman" w:eastAsiaTheme="minorEastAsia" w:hAnsi="Times New Roman" w:cs="Times New Roman"/>
          <w:b/>
          <w:sz w:val="24"/>
          <w:szCs w:val="24"/>
          <w:lang w:eastAsia="pl-PL"/>
        </w:rPr>
        <w:t>28</w:t>
      </w:r>
      <w:r w:rsidR="00F7753E" w:rsidRPr="00A720EE">
        <w:rPr>
          <w:rFonts w:ascii="Times New Roman" w:eastAsiaTheme="minorEastAsia" w:hAnsi="Times New Roman" w:cs="Times New Roman"/>
          <w:b/>
          <w:sz w:val="24"/>
          <w:szCs w:val="24"/>
          <w:lang w:eastAsia="pl-PL"/>
        </w:rPr>
        <w:t xml:space="preserve"> ustawy PIT</w:t>
      </w:r>
      <w:r w:rsidR="002D7749" w:rsidRPr="00A720EE">
        <w:rPr>
          <w:rFonts w:ascii="Times New Roman" w:eastAsiaTheme="minorEastAsia" w:hAnsi="Times New Roman" w:cs="Times New Roman"/>
          <w:b/>
          <w:sz w:val="24"/>
          <w:szCs w:val="24"/>
          <w:lang w:eastAsia="pl-PL"/>
        </w:rPr>
        <w:t>)</w:t>
      </w:r>
    </w:p>
    <w:p w14:paraId="7C1E9851" w14:textId="65DA2028" w:rsidR="00F7753E" w:rsidRPr="00A720EE" w:rsidRDefault="00F7753E" w:rsidP="002B12F3">
      <w:pPr>
        <w:widowControl w:val="0"/>
        <w:autoSpaceDE w:val="0"/>
        <w:autoSpaceDN w:val="0"/>
        <w:adjustRightInd w:val="0"/>
        <w:spacing w:before="120" w:after="0" w:line="276" w:lineRule="auto"/>
        <w:jc w:val="both"/>
        <w:rPr>
          <w:rFonts w:ascii="Times New Roman" w:eastAsiaTheme="minorEastAsia" w:hAnsi="Times New Roman" w:cs="Times New Roman"/>
          <w:i/>
          <w:sz w:val="24"/>
          <w:szCs w:val="24"/>
          <w:u w:val="single"/>
          <w:lang w:eastAsia="pl-PL"/>
        </w:rPr>
      </w:pPr>
      <w:r w:rsidRPr="00A720EE">
        <w:rPr>
          <w:rFonts w:ascii="Times New Roman" w:eastAsiaTheme="minorEastAsia" w:hAnsi="Times New Roman" w:cs="Times New Roman"/>
          <w:i/>
          <w:sz w:val="24"/>
          <w:szCs w:val="24"/>
          <w:u w:val="single"/>
          <w:lang w:eastAsia="pl-PL"/>
        </w:rPr>
        <w:t>Zwolnienie płatnika od obowiązku poboru podatku - dotyczy art. 26 ust. 1ab-1ac, 1p, 7, 7j i 10 ustawy CIT (art. 41 ust. 25-28 ustawy PIT)</w:t>
      </w:r>
    </w:p>
    <w:p w14:paraId="4600A417" w14:textId="28EF72C8" w:rsidR="00930CE7" w:rsidRPr="00A720EE" w:rsidRDefault="00930CE7" w:rsidP="000151A2">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Od 1 stycznia 2019 r., w ramach szerszej reformy przepisów o WHT, obowiązuje zwolnienie płatnika od obowiązku poboru podatku, zawarte w art. 26 ust. 1aa pkt 2 ustawy CIT i art. 41 ust. 24 pkt 2 ustawy PIT. Istotny czysto praktyczny sens tego zwolnienia płatnika jest taki, że w pewnym zakresie płatnik zostaje wyłączony ze szczególnego obowiązku stosowania mechanizmu </w:t>
      </w:r>
      <w:proofErr w:type="spellStart"/>
      <w:r w:rsidRPr="00A720EE">
        <w:rPr>
          <w:rFonts w:ascii="Times New Roman" w:eastAsiaTheme="minorEastAsia" w:hAnsi="Times New Roman" w:cs="Times New Roman"/>
          <w:i/>
          <w:sz w:val="24"/>
          <w:szCs w:val="24"/>
          <w:lang w:eastAsia="pl-PL"/>
        </w:rPr>
        <w:t>pay</w:t>
      </w:r>
      <w:proofErr w:type="spellEnd"/>
      <w:r w:rsidRPr="00A720EE">
        <w:rPr>
          <w:rFonts w:ascii="Times New Roman" w:eastAsiaTheme="minorEastAsia" w:hAnsi="Times New Roman" w:cs="Times New Roman"/>
          <w:i/>
          <w:sz w:val="24"/>
          <w:szCs w:val="24"/>
          <w:lang w:eastAsia="pl-PL"/>
        </w:rPr>
        <w:t xml:space="preserve"> &amp; </w:t>
      </w:r>
      <w:proofErr w:type="spellStart"/>
      <w:r w:rsidRPr="00A720EE">
        <w:rPr>
          <w:rFonts w:ascii="Times New Roman" w:eastAsiaTheme="minorEastAsia" w:hAnsi="Times New Roman" w:cs="Times New Roman"/>
          <w:i/>
          <w:sz w:val="24"/>
          <w:szCs w:val="24"/>
          <w:lang w:eastAsia="pl-PL"/>
        </w:rPr>
        <w:t>refund</w:t>
      </w:r>
      <w:proofErr w:type="spellEnd"/>
      <w:r w:rsidRPr="00A720EE">
        <w:rPr>
          <w:rFonts w:ascii="Times New Roman" w:eastAsiaTheme="minorEastAsia" w:hAnsi="Times New Roman" w:cs="Times New Roman"/>
          <w:sz w:val="24"/>
          <w:szCs w:val="24"/>
          <w:lang w:eastAsia="pl-PL"/>
        </w:rPr>
        <w:t xml:space="preserve"> (art. 26 ust. 2e ustawy CIT i art. 41 ust. 12 ustawy PIT) i po ustaleniu istnienia przesłanek zwolnienia nie pobiera podatku od wypłaty należności objętej tym zwolnieniem płatnika. Przed zmianą, w świetle art. 26 ust. 1ab ustawy CIT i art. 41 ust. 25 ustawy PIT, warunkiem powstania tego zwolnienia jest złożenie przez emitenta do organu podatkowego oświadczenia, że dochował należytej staranności w poinformowaniu tych interesariuszy, którzy są podmiotami powiązanymi z nim, o warunkach zwolnienia od podatku. Ten warunek - od 1 stycznia 2022 r. - nie dotyczy Skarbu Państwa jako emitenta obligacji. Praktyka stosowania warunku poinformowania podatników i złożenia do organu podatkowego oświadczenia wskazuje, że celowość warunku braku powiązań jest wątpliwa, a konstrukcja - ułomna. W dominującej praktyce bowiem ten warunek jest „martwy”, czyli emitenci nie stosują go, a w konsekwencji płatnicy nie korzystają ze zwolnienia. W tej sytuacji proponuje się uchylenie przepisów o tym warunku (tj. art. 26 ust. 1ab</w:t>
      </w:r>
      <w:r w:rsidR="00F7753E" w:rsidRPr="00A720EE">
        <w:rPr>
          <w:rFonts w:ascii="Times New Roman" w:eastAsiaTheme="minorEastAsia" w:hAnsi="Times New Roman" w:cs="Times New Roman"/>
          <w:sz w:val="24"/>
          <w:szCs w:val="24"/>
          <w:lang w:eastAsia="pl-PL"/>
        </w:rPr>
        <w:t xml:space="preserve"> ustawy CIT</w:t>
      </w:r>
      <w:r w:rsidRPr="00A720EE">
        <w:rPr>
          <w:rFonts w:ascii="Times New Roman" w:eastAsiaTheme="minorEastAsia" w:hAnsi="Times New Roman" w:cs="Times New Roman"/>
          <w:sz w:val="24"/>
          <w:szCs w:val="24"/>
          <w:lang w:eastAsia="pl-PL"/>
        </w:rPr>
        <w:t xml:space="preserve"> i art. 41 ust. 25</w:t>
      </w:r>
      <w:r w:rsidR="00F7753E" w:rsidRPr="00A720EE">
        <w:rPr>
          <w:rFonts w:ascii="Times New Roman" w:eastAsiaTheme="minorEastAsia" w:hAnsi="Times New Roman" w:cs="Times New Roman"/>
          <w:sz w:val="24"/>
          <w:szCs w:val="24"/>
          <w:lang w:eastAsia="pl-PL"/>
        </w:rPr>
        <w:t xml:space="preserve"> ustawy PIT</w:t>
      </w:r>
      <w:r w:rsidRPr="00A720EE">
        <w:rPr>
          <w:rFonts w:ascii="Times New Roman" w:eastAsiaTheme="minorEastAsia" w:hAnsi="Times New Roman" w:cs="Times New Roman"/>
          <w:sz w:val="24"/>
          <w:szCs w:val="24"/>
          <w:lang w:eastAsia="pl-PL"/>
        </w:rPr>
        <w:t xml:space="preserve">) oraz powiązanych przepisów o sposobie i terminie złożenia oświadczenia (tj. art. 26 ust. 1ac i art. 41 ust. 26). </w:t>
      </w:r>
      <w:r w:rsidR="00AC0950" w:rsidRPr="00A720EE">
        <w:rPr>
          <w:rFonts w:ascii="Times New Roman" w:eastAsiaTheme="minorEastAsia" w:hAnsi="Times New Roman" w:cs="Times New Roman"/>
          <w:sz w:val="24"/>
          <w:szCs w:val="24"/>
          <w:lang w:eastAsia="pl-PL"/>
        </w:rPr>
        <w:t xml:space="preserve">W związku uchyleniem przepisów art. 26 ust. </w:t>
      </w:r>
      <w:r w:rsidR="00EB70AE" w:rsidRPr="00A720EE">
        <w:rPr>
          <w:rFonts w:ascii="Times New Roman" w:eastAsiaTheme="minorEastAsia" w:hAnsi="Times New Roman" w:cs="Times New Roman"/>
          <w:sz w:val="24"/>
          <w:szCs w:val="24"/>
          <w:lang w:eastAsia="pl-PL"/>
        </w:rPr>
        <w:t xml:space="preserve">1ab i ust. 1ac </w:t>
      </w:r>
      <w:r w:rsidR="00F7753E" w:rsidRPr="00A720EE">
        <w:rPr>
          <w:rFonts w:ascii="Times New Roman" w:eastAsiaTheme="minorEastAsia" w:hAnsi="Times New Roman" w:cs="Times New Roman"/>
          <w:sz w:val="24"/>
          <w:szCs w:val="24"/>
          <w:lang w:eastAsia="pl-PL"/>
        </w:rPr>
        <w:t xml:space="preserve">ustawy CIT </w:t>
      </w:r>
      <w:r w:rsidR="00EB70AE" w:rsidRPr="00A720EE">
        <w:rPr>
          <w:rFonts w:ascii="Times New Roman" w:eastAsiaTheme="minorEastAsia" w:hAnsi="Times New Roman" w:cs="Times New Roman"/>
          <w:sz w:val="24"/>
          <w:szCs w:val="24"/>
          <w:lang w:eastAsia="pl-PL"/>
        </w:rPr>
        <w:t>(art. 41 ust. 25 i 26</w:t>
      </w:r>
      <w:r w:rsidR="00F7753E" w:rsidRPr="00A720EE">
        <w:rPr>
          <w:rFonts w:ascii="Times New Roman" w:eastAsiaTheme="minorEastAsia" w:hAnsi="Times New Roman" w:cs="Times New Roman"/>
          <w:sz w:val="24"/>
          <w:szCs w:val="24"/>
          <w:lang w:eastAsia="pl-PL"/>
        </w:rPr>
        <w:t xml:space="preserve"> ustawy PIT</w:t>
      </w:r>
      <w:r w:rsidR="00EB70AE" w:rsidRPr="00A720EE">
        <w:rPr>
          <w:rFonts w:ascii="Times New Roman" w:eastAsiaTheme="minorEastAsia" w:hAnsi="Times New Roman" w:cs="Times New Roman"/>
          <w:sz w:val="24"/>
          <w:szCs w:val="24"/>
          <w:lang w:eastAsia="pl-PL"/>
        </w:rPr>
        <w:t xml:space="preserve">) konieczne są </w:t>
      </w:r>
      <w:r w:rsidR="002D7749" w:rsidRPr="00A720EE">
        <w:rPr>
          <w:rFonts w:ascii="Times New Roman" w:eastAsiaTheme="minorEastAsia" w:hAnsi="Times New Roman" w:cs="Times New Roman"/>
          <w:sz w:val="24"/>
          <w:szCs w:val="24"/>
          <w:lang w:eastAsia="pl-PL"/>
        </w:rPr>
        <w:t xml:space="preserve">także </w:t>
      </w:r>
      <w:r w:rsidR="00EB70AE" w:rsidRPr="00A720EE">
        <w:rPr>
          <w:rFonts w:ascii="Times New Roman" w:eastAsiaTheme="minorEastAsia" w:hAnsi="Times New Roman" w:cs="Times New Roman"/>
          <w:sz w:val="24"/>
          <w:szCs w:val="24"/>
          <w:lang w:eastAsia="pl-PL"/>
        </w:rPr>
        <w:t xml:space="preserve">zmiany dostosowawcze w art. 26 ust. </w:t>
      </w:r>
      <w:r w:rsidR="00F32BC9" w:rsidRPr="00A720EE">
        <w:rPr>
          <w:rFonts w:ascii="Times New Roman" w:eastAsiaTheme="minorEastAsia" w:hAnsi="Times New Roman" w:cs="Times New Roman"/>
          <w:sz w:val="24"/>
          <w:szCs w:val="24"/>
          <w:lang w:eastAsia="pl-PL"/>
        </w:rPr>
        <w:t xml:space="preserve">7, </w:t>
      </w:r>
      <w:r w:rsidR="00EB70AE" w:rsidRPr="00A720EE">
        <w:rPr>
          <w:rFonts w:ascii="Times New Roman" w:eastAsiaTheme="minorEastAsia" w:hAnsi="Times New Roman" w:cs="Times New Roman"/>
          <w:sz w:val="24"/>
          <w:szCs w:val="24"/>
          <w:lang w:eastAsia="pl-PL"/>
        </w:rPr>
        <w:t>7j i ust. 10 (art. 41 ust. 27 i 28).</w:t>
      </w:r>
    </w:p>
    <w:p w14:paraId="21A3D69B" w14:textId="77777777" w:rsidR="00930CE7" w:rsidRPr="00A720EE" w:rsidRDefault="00930CE7" w:rsidP="00930CE7">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Opisywane zmiany obejmują jeszcze dodanie nowego ustępu 1p w art. 26 ustawy CIT, który </w:t>
      </w:r>
      <w:r w:rsidRPr="00A720EE">
        <w:rPr>
          <w:rFonts w:ascii="Times New Roman" w:eastAsiaTheme="minorEastAsia" w:hAnsi="Times New Roman" w:cs="Times New Roman"/>
          <w:sz w:val="24"/>
          <w:szCs w:val="24"/>
          <w:lang w:eastAsia="pl-PL"/>
        </w:rPr>
        <w:lastRenderedPageBreak/>
        <w:t xml:space="preserve">dotyczy instytucji Polskiej Spółki Holdingowej i statuuje zwolnienie płatnika od obowiązku poboru podatku w ramach zwolnienia spółki holdingowej jako podatnika (art. 24n ust. 1 ustawy CIT). Zwolnienie płatnika obejmuje zarówno sytuację, gdy krajowa spółka zależna samodzielnie wypłaca dywidendę dla spółki holdingowej, jak i sytuację, gdy czyni to za pośrednictwem tzw. płatnika technicznego, czyli podmiotu prowadzącego rachunek papierów wartościowych lub rachunek zbiorczy. </w:t>
      </w:r>
    </w:p>
    <w:p w14:paraId="256CC064" w14:textId="77777777" w:rsidR="00930CE7" w:rsidRPr="00A720EE" w:rsidRDefault="002D7749" w:rsidP="00930CE7">
      <w:pPr>
        <w:widowControl w:val="0"/>
        <w:autoSpaceDE w:val="0"/>
        <w:autoSpaceDN w:val="0"/>
        <w:adjustRightInd w:val="0"/>
        <w:spacing w:before="120" w:after="0" w:line="276" w:lineRule="auto"/>
        <w:jc w:val="both"/>
        <w:rPr>
          <w:rFonts w:ascii="Times New Roman" w:eastAsiaTheme="minorEastAsia" w:hAnsi="Times New Roman" w:cs="Times New Roman"/>
          <w:i/>
          <w:sz w:val="24"/>
          <w:szCs w:val="24"/>
          <w:u w:val="single"/>
          <w:lang w:eastAsia="pl-PL"/>
        </w:rPr>
      </w:pPr>
      <w:r w:rsidRPr="00A720EE">
        <w:rPr>
          <w:rFonts w:ascii="Times New Roman" w:eastAsiaTheme="minorEastAsia" w:hAnsi="Times New Roman" w:cs="Times New Roman"/>
          <w:i/>
          <w:sz w:val="24"/>
          <w:szCs w:val="24"/>
          <w:u w:val="single"/>
          <w:lang w:eastAsia="pl-PL"/>
        </w:rPr>
        <w:t xml:space="preserve">Oświadczenie płatnika – dotyczy </w:t>
      </w:r>
      <w:r w:rsidR="00930CE7" w:rsidRPr="00A720EE">
        <w:rPr>
          <w:rFonts w:ascii="Times New Roman" w:eastAsiaTheme="minorEastAsia" w:hAnsi="Times New Roman" w:cs="Times New Roman"/>
          <w:i/>
          <w:sz w:val="24"/>
          <w:szCs w:val="24"/>
          <w:u w:val="single"/>
          <w:lang w:eastAsia="pl-PL"/>
        </w:rPr>
        <w:t>art. 26 ust.</w:t>
      </w:r>
      <w:r w:rsidRPr="00A720EE">
        <w:rPr>
          <w:rFonts w:ascii="Times New Roman" w:eastAsiaTheme="minorEastAsia" w:hAnsi="Times New Roman" w:cs="Times New Roman"/>
          <w:i/>
          <w:sz w:val="24"/>
          <w:szCs w:val="24"/>
          <w:u w:val="single"/>
          <w:lang w:eastAsia="pl-PL"/>
        </w:rPr>
        <w:t xml:space="preserve"> 7c i 7f-7g ustawy CIT</w:t>
      </w:r>
      <w:r w:rsidR="00930CE7" w:rsidRPr="00A720EE">
        <w:rPr>
          <w:rFonts w:ascii="Times New Roman" w:eastAsiaTheme="minorEastAsia" w:hAnsi="Times New Roman" w:cs="Times New Roman"/>
          <w:i/>
          <w:sz w:val="24"/>
          <w:szCs w:val="24"/>
          <w:u w:val="single"/>
          <w:lang w:eastAsia="pl-PL"/>
        </w:rPr>
        <w:t xml:space="preserve"> </w:t>
      </w:r>
      <w:r w:rsidRPr="00A720EE">
        <w:rPr>
          <w:rFonts w:ascii="Times New Roman" w:eastAsiaTheme="minorEastAsia" w:hAnsi="Times New Roman" w:cs="Times New Roman"/>
          <w:i/>
          <w:sz w:val="24"/>
          <w:szCs w:val="24"/>
          <w:u w:val="single"/>
          <w:lang w:eastAsia="pl-PL"/>
        </w:rPr>
        <w:t>(</w:t>
      </w:r>
      <w:r w:rsidR="00930CE7" w:rsidRPr="00A720EE">
        <w:rPr>
          <w:rFonts w:ascii="Times New Roman" w:eastAsiaTheme="minorEastAsia" w:hAnsi="Times New Roman" w:cs="Times New Roman"/>
          <w:i/>
          <w:sz w:val="24"/>
          <w:szCs w:val="24"/>
          <w:u w:val="single"/>
          <w:lang w:eastAsia="pl-PL"/>
        </w:rPr>
        <w:t>art. 41 ust. 17 i 20-21 ustawy PIT)</w:t>
      </w:r>
    </w:p>
    <w:p w14:paraId="581D8C20" w14:textId="77777777" w:rsidR="00930CE7" w:rsidRPr="00A720EE" w:rsidRDefault="00930CE7" w:rsidP="00930CE7">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obowiązującym od 1 stycznia 2019 r. nowym modelu poboru WHT są dwa wyjątki od obowiązku stosowania mechanizmu </w:t>
      </w:r>
      <w:proofErr w:type="spellStart"/>
      <w:r w:rsidRPr="00A720EE">
        <w:rPr>
          <w:rFonts w:ascii="Times New Roman" w:eastAsiaTheme="minorEastAsia" w:hAnsi="Times New Roman" w:cs="Times New Roman"/>
          <w:i/>
          <w:sz w:val="24"/>
          <w:szCs w:val="24"/>
          <w:lang w:eastAsia="pl-PL"/>
        </w:rPr>
        <w:t>pay</w:t>
      </w:r>
      <w:proofErr w:type="spellEnd"/>
      <w:r w:rsidRPr="00A720EE">
        <w:rPr>
          <w:rFonts w:ascii="Times New Roman" w:eastAsiaTheme="minorEastAsia" w:hAnsi="Times New Roman" w:cs="Times New Roman"/>
          <w:i/>
          <w:sz w:val="24"/>
          <w:szCs w:val="24"/>
          <w:lang w:eastAsia="pl-PL"/>
        </w:rPr>
        <w:t xml:space="preserve"> &amp; </w:t>
      </w:r>
      <w:proofErr w:type="spellStart"/>
      <w:r w:rsidRPr="00A720EE">
        <w:rPr>
          <w:rFonts w:ascii="Times New Roman" w:eastAsiaTheme="minorEastAsia" w:hAnsi="Times New Roman" w:cs="Times New Roman"/>
          <w:i/>
          <w:sz w:val="24"/>
          <w:szCs w:val="24"/>
          <w:lang w:eastAsia="pl-PL"/>
        </w:rPr>
        <w:t>refund</w:t>
      </w:r>
      <w:proofErr w:type="spellEnd"/>
      <w:r w:rsidRPr="00A720EE">
        <w:rPr>
          <w:rFonts w:ascii="Times New Roman" w:eastAsiaTheme="minorEastAsia" w:hAnsi="Times New Roman" w:cs="Times New Roman"/>
          <w:sz w:val="24"/>
          <w:szCs w:val="24"/>
          <w:lang w:eastAsia="pl-PL"/>
        </w:rPr>
        <w:t>. Pierwszym jest opinia o stosowaniu zwolnieniu, wydana przed 2022 r. przez dedykowany organ podatkowy na wniosek podatnika lub płatnika (która może być ważna nawet do 31 grudnia 2024 r.), albo opinia o stosowaniu preferencji, wydana już w 2022 r. na podstawie przepisów zmienionych ustawą z 29 października 2021 r. (która może być ważna przez 36 miesięcy od dnia wydania). W tym zakresie nie przewiduje się żadnych zmian w tej nowelizacji. Proponuje się natomiast zmianę w konstrukcji drugiego wyjątku, którym jest oświadczenie płatnika, o którym mowa w art. 26 ust. 7a ustawy CIT i art. 41 ust. 15 ustawy PIT. Chodzi o oświadczenie o posiadaniu wymaganych dokumentów i przeprowadzeniu weryfikacji, które w skrócie można nazwać oświadczeniem o dochowaniu należytej staranności w weryfikacji warunków stosowania preferencji podatkowych w poborze WHT. To jest w istocie deklaracja płatnika o wykonaniu ogólnego obowiązku dochowania należytej staranności z art. 26 ust. 1 ustawy CIT albo art. 41 ust. 4aa ustawy PIT i jako takie dotyczy przeszłości (czyli już dokonanej wypłaty należności), ale może dotyczyć także przyszłości (czyli wypłaty należności, która dopiero ma być dokonana). Ze względu na możliwe działanie na przyszłość to oświadczenie ma charakter pierwotny czy wstępny (</w:t>
      </w:r>
      <w:r w:rsidRPr="00A720EE">
        <w:rPr>
          <w:rFonts w:ascii="Times New Roman" w:eastAsiaTheme="minorEastAsia" w:hAnsi="Times New Roman" w:cs="Times New Roman"/>
          <w:i/>
          <w:sz w:val="24"/>
          <w:szCs w:val="24"/>
          <w:lang w:eastAsia="pl-PL"/>
        </w:rPr>
        <w:t xml:space="preserve">ex </w:t>
      </w:r>
      <w:proofErr w:type="spellStart"/>
      <w:r w:rsidRPr="00A720EE">
        <w:rPr>
          <w:rFonts w:ascii="Times New Roman" w:eastAsiaTheme="minorEastAsia" w:hAnsi="Times New Roman" w:cs="Times New Roman"/>
          <w:i/>
          <w:sz w:val="24"/>
          <w:szCs w:val="24"/>
          <w:lang w:eastAsia="pl-PL"/>
        </w:rPr>
        <w:t>ante</w:t>
      </w:r>
      <w:proofErr w:type="spellEnd"/>
      <w:r w:rsidRPr="00A720EE">
        <w:rPr>
          <w:rFonts w:ascii="Times New Roman" w:eastAsiaTheme="minorEastAsia" w:hAnsi="Times New Roman" w:cs="Times New Roman"/>
          <w:sz w:val="24"/>
          <w:szCs w:val="24"/>
          <w:lang w:eastAsia="pl-PL"/>
        </w:rPr>
        <w:t>) i - jeżeli taka przyszła wypłata została rzeczywiście dokonana - musi zostać dopełnione poprzez złożenie kolejnego oświadczenia, które w praktyce nazywa się następczym bądź zamykającym (art. 26 ust. 7f ustawy CIT i art. 41 ust. 20 ustawy PIT). Oświadczenie następcze (</w:t>
      </w:r>
      <w:r w:rsidRPr="00A720EE">
        <w:rPr>
          <w:rFonts w:ascii="Times New Roman" w:eastAsiaTheme="minorEastAsia" w:hAnsi="Times New Roman" w:cs="Times New Roman"/>
          <w:i/>
          <w:sz w:val="24"/>
          <w:szCs w:val="24"/>
          <w:lang w:eastAsia="pl-PL"/>
        </w:rPr>
        <w:t>ex post</w:t>
      </w:r>
      <w:r w:rsidRPr="00A720EE">
        <w:rPr>
          <w:rFonts w:ascii="Times New Roman" w:eastAsiaTheme="minorEastAsia" w:hAnsi="Times New Roman" w:cs="Times New Roman"/>
          <w:sz w:val="24"/>
          <w:szCs w:val="24"/>
          <w:lang w:eastAsia="pl-PL"/>
        </w:rPr>
        <w:t xml:space="preserve">) stanowi potwierdzenie, że płatnik zadośćuczynił deklarowanemu </w:t>
      </w:r>
      <w:r w:rsidRPr="00A720EE">
        <w:rPr>
          <w:rFonts w:ascii="Times New Roman" w:eastAsiaTheme="minorEastAsia" w:hAnsi="Times New Roman" w:cs="Times New Roman"/>
          <w:i/>
          <w:sz w:val="24"/>
          <w:szCs w:val="24"/>
          <w:lang w:eastAsia="pl-PL"/>
        </w:rPr>
        <w:t xml:space="preserve">ex </w:t>
      </w:r>
      <w:proofErr w:type="spellStart"/>
      <w:r w:rsidRPr="00A720EE">
        <w:rPr>
          <w:rFonts w:ascii="Times New Roman" w:eastAsiaTheme="minorEastAsia" w:hAnsi="Times New Roman" w:cs="Times New Roman"/>
          <w:i/>
          <w:sz w:val="24"/>
          <w:szCs w:val="24"/>
          <w:lang w:eastAsia="pl-PL"/>
        </w:rPr>
        <w:t>ante</w:t>
      </w:r>
      <w:proofErr w:type="spellEnd"/>
      <w:r w:rsidRPr="00A720EE">
        <w:rPr>
          <w:rFonts w:ascii="Times New Roman" w:eastAsiaTheme="minorEastAsia" w:hAnsi="Times New Roman" w:cs="Times New Roman"/>
          <w:sz w:val="24"/>
          <w:szCs w:val="24"/>
          <w:lang w:eastAsia="pl-PL"/>
        </w:rPr>
        <w:t xml:space="preserve"> wykonaniu obowiązku dochowania należytej staranności.</w:t>
      </w:r>
    </w:p>
    <w:p w14:paraId="009592A0" w14:textId="77777777" w:rsidR="00930CE7" w:rsidRPr="00A720EE" w:rsidRDefault="00930CE7" w:rsidP="00930CE7">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hAnsi="Times New Roman" w:cs="Times New Roman"/>
          <w:sz w:val="24"/>
          <w:szCs w:val="24"/>
        </w:rPr>
        <w:t>Do 31 grudnia 2021 r. moment złożenia oświadczenia pierwotnego (wstępnego) był związany z momentem dokonania wypłaty należności („</w:t>
      </w:r>
      <w:r w:rsidRPr="00A720EE">
        <w:rPr>
          <w:rFonts w:ascii="Times New Roman" w:hAnsi="Times New Roman" w:cs="Times New Roman"/>
          <w:i/>
          <w:sz w:val="24"/>
          <w:szCs w:val="24"/>
        </w:rPr>
        <w:t>najpóźniej w dniu dokonania wypłaty</w:t>
      </w:r>
      <w:r w:rsidRPr="00A720EE">
        <w:rPr>
          <w:rFonts w:ascii="Times New Roman" w:hAnsi="Times New Roman" w:cs="Times New Roman"/>
          <w:sz w:val="24"/>
          <w:szCs w:val="24"/>
        </w:rPr>
        <w:t>”</w:t>
      </w:r>
      <w:r w:rsidRPr="00A720EE">
        <w:rPr>
          <w:rFonts w:ascii="Times New Roman" w:hAnsi="Times New Roman" w:cs="Times New Roman"/>
          <w:sz w:val="24"/>
          <w:szCs w:val="24"/>
          <w:vertAlign w:val="superscript"/>
        </w:rPr>
        <w:footnoteReference w:id="22"/>
      </w:r>
      <w:r w:rsidRPr="00A720EE">
        <w:rPr>
          <w:rFonts w:ascii="Times New Roman" w:hAnsi="Times New Roman" w:cs="Times New Roman"/>
          <w:sz w:val="24"/>
          <w:szCs w:val="24"/>
        </w:rPr>
        <w:t>), a jego działanie na przyszłość mogło obejmować kolejne dwa miesiące („</w:t>
      </w:r>
      <w:r w:rsidRPr="00A720EE">
        <w:rPr>
          <w:rFonts w:ascii="Times New Roman" w:hAnsi="Times New Roman" w:cs="Times New Roman"/>
          <w:i/>
          <w:sz w:val="24"/>
          <w:szCs w:val="24"/>
        </w:rPr>
        <w:t>do momentu upływu drugiego miesiąca następującego po miesiącu, w którym złożono to oświadczenie</w:t>
      </w:r>
      <w:r w:rsidRPr="00A720EE">
        <w:rPr>
          <w:rFonts w:ascii="Times New Roman" w:hAnsi="Times New Roman" w:cs="Times New Roman"/>
          <w:sz w:val="24"/>
          <w:szCs w:val="24"/>
        </w:rPr>
        <w:t>”</w:t>
      </w:r>
      <w:r w:rsidRPr="00A720EE">
        <w:rPr>
          <w:rFonts w:ascii="Times New Roman" w:hAnsi="Times New Roman" w:cs="Times New Roman"/>
          <w:sz w:val="24"/>
          <w:szCs w:val="24"/>
          <w:vertAlign w:val="superscript"/>
        </w:rPr>
        <w:footnoteReference w:id="23"/>
      </w:r>
      <w:r w:rsidRPr="00A720EE">
        <w:rPr>
          <w:rFonts w:ascii="Times New Roman" w:hAnsi="Times New Roman" w:cs="Times New Roman"/>
          <w:sz w:val="24"/>
          <w:szCs w:val="24"/>
        </w:rPr>
        <w:t>). Z kolei oświadczenie następcze należało złożyć do 7. dnia miesiąca następującego po upływie tych dwóch miesięcy</w:t>
      </w:r>
      <w:r w:rsidRPr="00A720EE">
        <w:rPr>
          <w:rFonts w:ascii="Times New Roman" w:hAnsi="Times New Roman" w:cs="Times New Roman"/>
          <w:sz w:val="24"/>
          <w:szCs w:val="24"/>
          <w:vertAlign w:val="superscript"/>
        </w:rPr>
        <w:footnoteReference w:id="24"/>
      </w:r>
      <w:r w:rsidRPr="00A720EE">
        <w:rPr>
          <w:rFonts w:ascii="Times New Roman" w:hAnsi="Times New Roman" w:cs="Times New Roman"/>
          <w:sz w:val="24"/>
          <w:szCs w:val="24"/>
        </w:rPr>
        <w:t xml:space="preserve">. Dopuszczalne zatem było wielokrotne złożenie oświadczenia pierwotnego i odpowiednio później oświadczenia następczego. To oznaczało, że w praktyce płatnik mógł </w:t>
      </w:r>
      <w:r w:rsidRPr="00A720EE">
        <w:rPr>
          <w:rFonts w:ascii="Times New Roman" w:hAnsi="Times New Roman" w:cs="Times New Roman"/>
          <w:sz w:val="24"/>
          <w:szCs w:val="24"/>
        </w:rPr>
        <w:lastRenderedPageBreak/>
        <w:t xml:space="preserve">składać oświadczenia przez cały rok podatkowy i być wolnym od obowiązku stosowania mechanizmu </w:t>
      </w:r>
      <w:proofErr w:type="spellStart"/>
      <w:r w:rsidRPr="00A720EE">
        <w:rPr>
          <w:rFonts w:ascii="Times New Roman" w:hAnsi="Times New Roman" w:cs="Times New Roman"/>
          <w:i/>
          <w:sz w:val="24"/>
          <w:szCs w:val="24"/>
        </w:rPr>
        <w:t>pay</w:t>
      </w:r>
      <w:proofErr w:type="spellEnd"/>
      <w:r w:rsidRPr="00A720EE">
        <w:rPr>
          <w:rFonts w:ascii="Times New Roman" w:hAnsi="Times New Roman" w:cs="Times New Roman"/>
          <w:i/>
          <w:sz w:val="24"/>
          <w:szCs w:val="24"/>
        </w:rPr>
        <w:t xml:space="preserve"> &amp; </w:t>
      </w:r>
      <w:proofErr w:type="spellStart"/>
      <w:r w:rsidRPr="00A720EE">
        <w:rPr>
          <w:rFonts w:ascii="Times New Roman" w:hAnsi="Times New Roman" w:cs="Times New Roman"/>
          <w:i/>
          <w:sz w:val="24"/>
          <w:szCs w:val="24"/>
        </w:rPr>
        <w:t>refund</w:t>
      </w:r>
      <w:proofErr w:type="spellEnd"/>
      <w:r w:rsidRPr="00A720EE">
        <w:rPr>
          <w:rFonts w:ascii="Times New Roman" w:hAnsi="Times New Roman" w:cs="Times New Roman"/>
          <w:sz w:val="24"/>
          <w:szCs w:val="24"/>
        </w:rPr>
        <w:t>.</w:t>
      </w:r>
    </w:p>
    <w:p w14:paraId="0526C64A" w14:textId="77777777" w:rsidR="00930CE7" w:rsidRPr="00A720EE" w:rsidRDefault="00930CE7" w:rsidP="00930CE7">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hAnsi="Times New Roman" w:cs="Times New Roman"/>
          <w:sz w:val="24"/>
          <w:szCs w:val="24"/>
        </w:rPr>
        <w:t>Wskutek zmian zawartych w ustawie z 29 października 2021 r. i ustawie z 9 grudnia 2021 r.</w:t>
      </w:r>
      <w:r w:rsidRPr="00A720EE">
        <w:rPr>
          <w:rFonts w:ascii="Times New Roman" w:hAnsi="Times New Roman" w:cs="Times New Roman"/>
          <w:sz w:val="24"/>
          <w:szCs w:val="24"/>
          <w:vertAlign w:val="superscript"/>
        </w:rPr>
        <w:footnoteReference w:id="25"/>
      </w:r>
      <w:r w:rsidRPr="00A720EE">
        <w:rPr>
          <w:rFonts w:ascii="Times New Roman" w:hAnsi="Times New Roman" w:cs="Times New Roman"/>
          <w:sz w:val="24"/>
          <w:szCs w:val="24"/>
        </w:rPr>
        <w:t>, które weszły w życie 1 stycznia 2022 r., moment złożenia oświadczenia pierwotnego został ustalony w art. 26 ust. 7c ustawy CIT i art. 41 ust. 17 ustawy PIT jako związany z momentem wpłaty pobranego podatku „</w:t>
      </w:r>
      <w:r w:rsidRPr="00A720EE">
        <w:rPr>
          <w:rFonts w:ascii="Times New Roman" w:hAnsi="Times New Roman" w:cs="Times New Roman"/>
          <w:i/>
          <w:sz w:val="24"/>
          <w:szCs w:val="24"/>
        </w:rPr>
        <w:t>za miesiąc, w którym doszło do przekroczenia kwoty określonej w [art. 26 ust. 2e ustawy CIT i art. 41 ust. 12 ustawy PIT]</w:t>
      </w:r>
      <w:r w:rsidRPr="00A720EE">
        <w:rPr>
          <w:rFonts w:ascii="Times New Roman" w:hAnsi="Times New Roman" w:cs="Times New Roman"/>
          <w:sz w:val="24"/>
          <w:szCs w:val="24"/>
        </w:rPr>
        <w:t xml:space="preserve">” (czyli 2.000.000 złotych z tytułu wypłaty należności na rzecz tego samego podatnika w roku podatkowym płatnika). Zmianom nie uległ natomiast ustalony w art. 26 ust. 7f ustawy CIT i art. 41 ust. 20 ustawy PIT okres, przez który płatnik może stosować preferencje w przypadku dalszych wypłat dla danego podatnika na podstawie oświadczenia pierwotnego, ani termin na złożenie oświadczenia następczego (art. 26 ust. 7g ustawy CIT i art. 41 ust. 21 ustawy PIT). Praktycznym skutkiem tego rozwiązania jest usztywnienie konstrukcji oświadczenia płatnika, które stało się aktem jednorazowym (zarówno oświadczenie pierwotne, jak i następcze), a przez to wyłączającym obowiązek stosowania mechanizmu </w:t>
      </w:r>
      <w:proofErr w:type="spellStart"/>
      <w:r w:rsidRPr="00A720EE">
        <w:rPr>
          <w:rFonts w:ascii="Times New Roman" w:hAnsi="Times New Roman" w:cs="Times New Roman"/>
          <w:i/>
          <w:sz w:val="24"/>
          <w:szCs w:val="24"/>
        </w:rPr>
        <w:t>pay</w:t>
      </w:r>
      <w:proofErr w:type="spellEnd"/>
      <w:r w:rsidRPr="00A720EE">
        <w:rPr>
          <w:rFonts w:ascii="Times New Roman" w:hAnsi="Times New Roman" w:cs="Times New Roman"/>
          <w:i/>
          <w:sz w:val="24"/>
          <w:szCs w:val="24"/>
        </w:rPr>
        <w:t xml:space="preserve"> &amp; </w:t>
      </w:r>
      <w:proofErr w:type="spellStart"/>
      <w:r w:rsidRPr="00A720EE">
        <w:rPr>
          <w:rFonts w:ascii="Times New Roman" w:hAnsi="Times New Roman" w:cs="Times New Roman"/>
          <w:i/>
          <w:sz w:val="24"/>
          <w:szCs w:val="24"/>
        </w:rPr>
        <w:t>refund</w:t>
      </w:r>
      <w:proofErr w:type="spellEnd"/>
      <w:r w:rsidRPr="00A720EE">
        <w:rPr>
          <w:rFonts w:ascii="Times New Roman" w:hAnsi="Times New Roman" w:cs="Times New Roman"/>
          <w:sz w:val="24"/>
          <w:szCs w:val="24"/>
        </w:rPr>
        <w:t xml:space="preserve"> w sumie przez co najwyżej tylko trzy miesiące w roku podatkowym płatnika.</w:t>
      </w:r>
    </w:p>
    <w:p w14:paraId="3B91C745" w14:textId="77777777" w:rsidR="00930CE7" w:rsidRPr="00A720EE" w:rsidRDefault="00930CE7" w:rsidP="00930CE7">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 celu złagodzenia tego negatywnego dla płatników i podatników skutku zmian z 2021 r. i uelastycznienia konstrukcji oświadczenia płatnika proponuje się wydłużenie działania oświadczenia pierwotnego do końca roku podatkowego płatnika (a nie tylko przez dodatkowe dwa miesiące) poprzez odpowiednią zmianę w treści art. 26 ust. 7f ustawy CIT i art. 41 ust. 20 ustawy PIT oraz wynikającą stąd zmianę momentu złożenia oświadczenia następczego: po zakończeniu roku podatkowego, w tym wydłużenie terminu do złożenia do końca miesiąca (art. 26 ust. 7g ustawy CIT i art. 41 ust. 21 ustawy PIT).</w:t>
      </w:r>
    </w:p>
    <w:p w14:paraId="629684DA" w14:textId="77777777" w:rsidR="00930CE7" w:rsidRPr="00A720EE" w:rsidRDefault="00930CE7" w:rsidP="00930CE7">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Dodatkowo, ze względu na propozycje wniesione w ramach konsultacji publicznych na temat projektu ustawy, proponuje się wydłużenie terminu do złożenia oświadczenia pierwotnego: do końca drugiego miesiąca następującego po miesiącu przekroczenia wspomnianej kwoty 2 000 000 złotych.</w:t>
      </w:r>
    </w:p>
    <w:p w14:paraId="43739788" w14:textId="77777777" w:rsidR="00930CE7" w:rsidRPr="00A720EE" w:rsidRDefault="00930CE7" w:rsidP="002B12F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konsultacjach publicznych zaproponowano także usunięcie z konstrukcji oświadczenia następczego odesłania do art. 28 ust. 4 pkt. 4-6 ustawy CIT i art. art. 44f ust. 4 pkt 4-5 ustawy o PIT, czyli do przesłanek zasadności zwrotu podatku w mechanizmie </w:t>
      </w:r>
      <w:proofErr w:type="spellStart"/>
      <w:r w:rsidRPr="00A720EE">
        <w:rPr>
          <w:rFonts w:ascii="Times New Roman" w:eastAsiaTheme="minorEastAsia" w:hAnsi="Times New Roman" w:cs="Times New Roman"/>
          <w:i/>
          <w:sz w:val="24"/>
          <w:szCs w:val="24"/>
          <w:lang w:eastAsia="pl-PL"/>
        </w:rPr>
        <w:t>pay</w:t>
      </w:r>
      <w:proofErr w:type="spellEnd"/>
      <w:r w:rsidRPr="00A720EE">
        <w:rPr>
          <w:rFonts w:ascii="Times New Roman" w:eastAsiaTheme="minorEastAsia" w:hAnsi="Times New Roman" w:cs="Times New Roman"/>
          <w:i/>
          <w:sz w:val="24"/>
          <w:szCs w:val="24"/>
          <w:lang w:eastAsia="pl-PL"/>
        </w:rPr>
        <w:t xml:space="preserve"> &amp; </w:t>
      </w:r>
      <w:proofErr w:type="spellStart"/>
      <w:r w:rsidRPr="00A720EE">
        <w:rPr>
          <w:rFonts w:ascii="Times New Roman" w:eastAsiaTheme="minorEastAsia" w:hAnsi="Times New Roman" w:cs="Times New Roman"/>
          <w:i/>
          <w:sz w:val="24"/>
          <w:szCs w:val="24"/>
          <w:lang w:eastAsia="pl-PL"/>
        </w:rPr>
        <w:t>refund</w:t>
      </w:r>
      <w:proofErr w:type="spellEnd"/>
      <w:r w:rsidRPr="00A720EE">
        <w:rPr>
          <w:rFonts w:ascii="Times New Roman" w:eastAsiaTheme="minorEastAsia" w:hAnsi="Times New Roman" w:cs="Times New Roman"/>
          <w:sz w:val="24"/>
          <w:szCs w:val="24"/>
          <w:lang w:eastAsia="pl-PL"/>
        </w:rPr>
        <w:t>. Ta zmiana jest dopełnieniem zmiany zawartej w ustawie z 29 października 2021 r., która polegała na usunięciu - ze skutkiem od 1 stycznia 2022 roku - takiego samego odesłania z konstrukcji oświadczenia pierwotnego (zmiana w art. 26 ust. 7a pkt 2 ustawy CIT i art. 41 ust. 15 pkt 2 ustawy PIT). Usuwane odesłanie jest częściowo zbędne, a częściowo nieadekwatne z punktu widzenia mechanizmu oświadczenia płatnika.</w:t>
      </w:r>
    </w:p>
    <w:p w14:paraId="43D7FD42" w14:textId="77777777" w:rsidR="00CB09E7" w:rsidRPr="00A720EE" w:rsidRDefault="009E2237" w:rsidP="00921352">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Opisywane zmiany obejmują jeszcze dodanie nowego ustępu 1p w art. 26 ustawy CIT, który dotyczy instytucji Polskiej Spółki Holdingowej i statuuje zwolnienie płatnika od obowiązku poboru podatku w ramach zwolnienia spółki holdingowej jako podatnika (art. 24n ust. 1 ustawy CIT). Zwolnienie płatnika obejmuje zarówno sytuację, gdy krajowa spółka zależna </w:t>
      </w:r>
      <w:r w:rsidRPr="00A720EE">
        <w:rPr>
          <w:rFonts w:ascii="Times New Roman" w:eastAsiaTheme="minorEastAsia" w:hAnsi="Times New Roman" w:cs="Times New Roman"/>
          <w:sz w:val="24"/>
          <w:szCs w:val="24"/>
          <w:lang w:eastAsia="pl-PL"/>
        </w:rPr>
        <w:lastRenderedPageBreak/>
        <w:t xml:space="preserve">samodzielnie wypłaca dywidendę dla spółki holdingowej, jak i sytuację, gdy czyni to za pośrednictwem tzw. płatnika technicznego, czyli podmiotu prowadzącego rachunek papierów wartościowych lub rachunek zbiorczy. </w:t>
      </w:r>
    </w:p>
    <w:p w14:paraId="4541EE65" w14:textId="75B7B60B" w:rsidR="00361C72" w:rsidRPr="00A720EE" w:rsidRDefault="002F331C" w:rsidP="000151A2">
      <w:pPr>
        <w:widowControl w:val="0"/>
        <w:tabs>
          <w:tab w:val="left" w:pos="3626"/>
        </w:tabs>
        <w:autoSpaceDE w:val="0"/>
        <w:autoSpaceDN w:val="0"/>
        <w:adjustRightInd w:val="0"/>
        <w:spacing w:before="120" w:after="0" w:line="276" w:lineRule="auto"/>
        <w:jc w:val="both"/>
        <w:rPr>
          <w:rFonts w:ascii="Times New Roman" w:eastAsiaTheme="minorEastAsia" w:hAnsi="Times New Roman" w:cs="Times New Roman"/>
          <w:i/>
          <w:sz w:val="24"/>
          <w:szCs w:val="24"/>
          <w:lang w:eastAsia="pl-PL"/>
        </w:rPr>
      </w:pPr>
      <w:r w:rsidRPr="00A720EE">
        <w:rPr>
          <w:rFonts w:ascii="Times New Roman" w:eastAsiaTheme="minorEastAsia" w:hAnsi="Times New Roman" w:cs="Times New Roman"/>
          <w:b/>
          <w:sz w:val="24"/>
          <w:szCs w:val="24"/>
          <w:lang w:eastAsia="pl-PL"/>
        </w:rPr>
        <w:t>Art. 1 pkt 2</w:t>
      </w:r>
      <w:r w:rsidR="00B61236" w:rsidRPr="00A720EE">
        <w:rPr>
          <w:rFonts w:ascii="Times New Roman" w:eastAsiaTheme="minorEastAsia" w:hAnsi="Times New Roman" w:cs="Times New Roman"/>
          <w:b/>
          <w:sz w:val="24"/>
          <w:szCs w:val="24"/>
          <w:lang w:eastAsia="pl-PL"/>
        </w:rPr>
        <w:t>4</w:t>
      </w:r>
      <w:r w:rsidRPr="00A720EE">
        <w:rPr>
          <w:rFonts w:ascii="Times New Roman" w:eastAsiaTheme="minorEastAsia" w:hAnsi="Times New Roman" w:cs="Times New Roman"/>
          <w:b/>
          <w:sz w:val="24"/>
          <w:szCs w:val="24"/>
          <w:lang w:eastAsia="pl-PL"/>
        </w:rPr>
        <w:t xml:space="preserve"> – dotyczy art. 26b w ust. 9</w:t>
      </w:r>
      <w:r w:rsidR="00351E7C" w:rsidRPr="00A720EE">
        <w:rPr>
          <w:rFonts w:ascii="Times New Roman" w:eastAsiaTheme="minorEastAsia" w:hAnsi="Times New Roman" w:cs="Times New Roman"/>
          <w:b/>
          <w:sz w:val="24"/>
          <w:szCs w:val="24"/>
          <w:lang w:eastAsia="pl-PL"/>
        </w:rPr>
        <w:t xml:space="preserve"> </w:t>
      </w:r>
      <w:r w:rsidR="00361C72" w:rsidRPr="00A720EE">
        <w:rPr>
          <w:rFonts w:ascii="Times New Roman" w:eastAsiaTheme="minorEastAsia" w:hAnsi="Times New Roman" w:cs="Times New Roman"/>
          <w:b/>
          <w:sz w:val="24"/>
          <w:szCs w:val="24"/>
          <w:lang w:eastAsia="pl-PL"/>
        </w:rPr>
        <w:t>ustawy CIT (art. 41d ust. 9 ustawy PIT)</w:t>
      </w:r>
      <w:r w:rsidR="00361C72" w:rsidRPr="00A720EE">
        <w:rPr>
          <w:rFonts w:ascii="Times New Roman" w:eastAsiaTheme="minorEastAsia" w:hAnsi="Times New Roman" w:cs="Times New Roman"/>
          <w:i/>
          <w:sz w:val="24"/>
          <w:szCs w:val="24"/>
          <w:lang w:eastAsia="pl-PL"/>
        </w:rPr>
        <w:t>Opinia o stosowaniu preferencji - dotyczy art. 26b ust. 9 ustawy CIT (art. 41d ust. 9 ustawy PIT.</w:t>
      </w:r>
    </w:p>
    <w:p w14:paraId="56F5F278" w14:textId="71B2AC36" w:rsidR="002F331C" w:rsidRPr="00A720EE" w:rsidRDefault="00930CE7" w:rsidP="000151A2">
      <w:pPr>
        <w:widowControl w:val="0"/>
        <w:tabs>
          <w:tab w:val="left" w:pos="3626"/>
        </w:tabs>
        <w:autoSpaceDE w:val="0"/>
        <w:autoSpaceDN w:val="0"/>
        <w:adjustRightInd w:val="0"/>
        <w:spacing w:before="120" w:after="0" w:line="276" w:lineRule="auto"/>
        <w:jc w:val="both"/>
        <w:rPr>
          <w:rFonts w:ascii="Times New Roman" w:eastAsiaTheme="minorEastAsia" w:hAnsi="Times New Roman" w:cs="Times New Roman"/>
          <w:i/>
          <w:sz w:val="24"/>
          <w:szCs w:val="24"/>
          <w:lang w:eastAsia="pl-PL"/>
        </w:rPr>
      </w:pPr>
      <w:r w:rsidRPr="00A720EE">
        <w:rPr>
          <w:rFonts w:ascii="Times New Roman" w:eastAsiaTheme="minorEastAsia" w:hAnsi="Times New Roman" w:cs="Times New Roman"/>
          <w:sz w:val="24"/>
          <w:szCs w:val="24"/>
          <w:lang w:eastAsia="pl-PL"/>
        </w:rPr>
        <w:t xml:space="preserve">W tym miejscu zostaje uwzględniona propozycja wniesiona w ramach konsultacji publicznych projektu ustawy. Proponowana zmiana polega na usunięciu z konstrukcji opinii o stosowaniu preferencji odesłania do art. 28b ust. 2 ustawy CIT (art. 44f ust. 2 ustawy PIT).  Podobnie jak w opisanej wyżej jako ostatnia zmianie w konstrukcji oświadczenia płatnika chodzi o dopełnienie zmiany zawartej w ustawie z 29 października 2021 r., która okazała się niepełna. Usuwane odesłanie jest bowiem niespójne z obowiązującą od 1 stycznia 2022 roku zmianą co do podmiotów legitymowanych do złożenia wniosku o wydanie opinii o stosowaniu preferencji: o ile przed tą zmianą mogły to uczynić podmioty wymienione właśnie w odesłanych przepisach art. 28b ust. 2 i art. 44f ust. 2 (tj. podatnik i warunkowo płatnik), o tyle od 1 stycznia 2022 roku legitymowani są nie tylko podatnik i - już bezwarunkowo - płatnik, ale także tzw. emitent (tj. „podmiot dokonujący wypłaty należności za pośrednictwem podmiotów prowadzących rachunki papierów wartościowych albo rachunki zbiorcze”, o którym mowa w art. 26 ust. 2c ustawy CIT oraz art. 41 ust. 4d i 10 ustawy PIT). W tej sytuacji usuwane odesłanie jest nieadekwatne i niezasadne.  </w:t>
      </w:r>
    </w:p>
    <w:p w14:paraId="3463CDBF" w14:textId="0D8C7F1C" w:rsidR="00010C63" w:rsidRPr="00A720EE" w:rsidRDefault="002C7626"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A301CA" w:rsidRPr="00A720EE">
        <w:rPr>
          <w:rFonts w:ascii="Times New Roman" w:eastAsiaTheme="minorEastAsia" w:hAnsi="Times New Roman" w:cs="Times New Roman"/>
          <w:b/>
          <w:sz w:val="24"/>
          <w:szCs w:val="24"/>
          <w:lang w:eastAsia="pl-PL"/>
        </w:rPr>
        <w:t>2</w:t>
      </w:r>
      <w:r w:rsidR="00B61236" w:rsidRPr="00A720EE">
        <w:rPr>
          <w:rFonts w:ascii="Times New Roman" w:eastAsiaTheme="minorEastAsia" w:hAnsi="Times New Roman" w:cs="Times New Roman"/>
          <w:b/>
          <w:sz w:val="24"/>
          <w:szCs w:val="24"/>
          <w:lang w:eastAsia="pl-PL"/>
        </w:rPr>
        <w:t>5</w:t>
      </w:r>
      <w:r w:rsidR="009B28EB" w:rsidRPr="00A720EE">
        <w:rPr>
          <w:rFonts w:ascii="Times New Roman" w:eastAsiaTheme="minorEastAsia" w:hAnsi="Times New Roman" w:cs="Times New Roman"/>
          <w:b/>
          <w:sz w:val="24"/>
          <w:szCs w:val="24"/>
          <w:lang w:eastAsia="pl-PL"/>
        </w:rPr>
        <w:t xml:space="preserve"> </w:t>
      </w:r>
      <w:r w:rsidR="00010C63" w:rsidRPr="00A720EE">
        <w:rPr>
          <w:rFonts w:ascii="Times New Roman" w:eastAsiaTheme="minorEastAsia" w:hAnsi="Times New Roman" w:cs="Times New Roman"/>
          <w:b/>
          <w:sz w:val="24"/>
          <w:szCs w:val="24"/>
          <w:lang w:eastAsia="pl-PL"/>
        </w:rPr>
        <w:t>– dotyczy art. 27b ust. 8</w:t>
      </w:r>
    </w:p>
    <w:p w14:paraId="73D8DE4B" w14:textId="77777777" w:rsidR="00200444" w:rsidRPr="00A720EE" w:rsidRDefault="00200444" w:rsidP="00200444">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Zmiana polega na określeniu nowego terminu dla aktualizacji przez ministra właściwego do spraw finansów indywidualnych danych podatników podatku dochodowego od osób prawnych. </w:t>
      </w:r>
    </w:p>
    <w:p w14:paraId="61D4CF24" w14:textId="77777777" w:rsidR="00200444" w:rsidRPr="00A720EE" w:rsidRDefault="00136E69" w:rsidP="00136E69">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Dotychczasową </w:t>
      </w:r>
      <w:r w:rsidR="00200444" w:rsidRPr="00A720EE">
        <w:rPr>
          <w:rFonts w:ascii="Times New Roman" w:eastAsiaTheme="minorEastAsia" w:hAnsi="Times New Roman" w:cs="Times New Roman"/>
          <w:bCs/>
          <w:sz w:val="24"/>
          <w:szCs w:val="24"/>
          <w:lang w:eastAsia="pl-PL"/>
        </w:rPr>
        <w:t xml:space="preserve">formułę </w:t>
      </w:r>
      <w:r w:rsidRPr="00A720EE">
        <w:rPr>
          <w:rFonts w:ascii="Times New Roman" w:eastAsiaTheme="minorEastAsia" w:hAnsi="Times New Roman" w:cs="Times New Roman"/>
          <w:bCs/>
          <w:sz w:val="24"/>
          <w:szCs w:val="24"/>
          <w:lang w:eastAsia="pl-PL"/>
        </w:rPr>
        <w:t xml:space="preserve">kwartalną aktualizacji (według stanu na pierwszy dzień miesiąca, w którym kończy się dany kwartał roku kalendarzowego), </w:t>
      </w:r>
      <w:r w:rsidR="00D53F40" w:rsidRPr="00A720EE">
        <w:rPr>
          <w:rFonts w:ascii="Times New Roman" w:eastAsiaTheme="minorEastAsia" w:hAnsi="Times New Roman" w:cs="Times New Roman"/>
          <w:bCs/>
          <w:sz w:val="24"/>
          <w:szCs w:val="24"/>
          <w:lang w:eastAsia="pl-PL"/>
        </w:rPr>
        <w:t>zastąpi</w:t>
      </w:r>
      <w:r w:rsidRPr="00A720EE">
        <w:rPr>
          <w:rFonts w:ascii="Times New Roman" w:eastAsiaTheme="minorEastAsia" w:hAnsi="Times New Roman" w:cs="Times New Roman"/>
          <w:bCs/>
          <w:sz w:val="24"/>
          <w:szCs w:val="24"/>
          <w:lang w:eastAsia="pl-PL"/>
        </w:rPr>
        <w:t xml:space="preserve"> aktualizacja </w:t>
      </w:r>
      <w:r w:rsidR="00BA070B" w:rsidRPr="00A720EE">
        <w:rPr>
          <w:rFonts w:ascii="Times New Roman" w:eastAsiaTheme="minorEastAsia" w:hAnsi="Times New Roman" w:cs="Times New Roman"/>
          <w:bCs/>
          <w:sz w:val="24"/>
          <w:szCs w:val="24"/>
          <w:lang w:eastAsia="pl-PL"/>
        </w:rPr>
        <w:t xml:space="preserve">roczna dokonywana </w:t>
      </w:r>
      <w:r w:rsidRPr="00A720EE">
        <w:rPr>
          <w:rFonts w:ascii="Times New Roman" w:eastAsiaTheme="minorEastAsia" w:hAnsi="Times New Roman" w:cs="Times New Roman"/>
          <w:bCs/>
          <w:sz w:val="24"/>
          <w:szCs w:val="24"/>
          <w:lang w:eastAsia="pl-PL"/>
        </w:rPr>
        <w:t>w terminie do dnia 30 września (według stanu na pierwszy dzień miesiąca poprzedzającego miesiąc, w którym indywidualne dane podatników mają zostać podane do publicznej wiadomości, tj. wg stanu na dzień 1 sierpnia).</w:t>
      </w:r>
    </w:p>
    <w:p w14:paraId="3C1B877F" w14:textId="33F878DA" w:rsidR="004E1D5D" w:rsidRPr="00A720EE" w:rsidRDefault="004E1D5D" w:rsidP="004E1D5D">
      <w:pPr>
        <w:widowControl w:val="0"/>
        <w:autoSpaceDE w:val="0"/>
        <w:autoSpaceDN w:val="0"/>
        <w:adjustRightInd w:val="0"/>
        <w:spacing w:before="120" w:after="0" w:line="276" w:lineRule="auto"/>
        <w:jc w:val="both"/>
        <w:rPr>
          <w:rFonts w:ascii="Times New Roman" w:eastAsiaTheme="minorEastAsia" w:hAnsi="Times New Roman" w:cs="Times New Roman"/>
          <w:b/>
          <w:bCs/>
          <w:sz w:val="24"/>
          <w:szCs w:val="24"/>
          <w:lang w:eastAsia="pl-PL"/>
        </w:rPr>
      </w:pPr>
      <w:r w:rsidRPr="00A720EE">
        <w:rPr>
          <w:rFonts w:ascii="Times New Roman" w:eastAsiaTheme="minorEastAsia" w:hAnsi="Times New Roman" w:cs="Times New Roman"/>
          <w:b/>
          <w:bCs/>
          <w:sz w:val="24"/>
          <w:szCs w:val="24"/>
          <w:lang w:eastAsia="pl-PL"/>
        </w:rPr>
        <w:t xml:space="preserve">Art. 1 pkt </w:t>
      </w:r>
      <w:r w:rsidR="00B61236" w:rsidRPr="00A720EE">
        <w:rPr>
          <w:rFonts w:ascii="Times New Roman" w:eastAsiaTheme="minorEastAsia" w:hAnsi="Times New Roman" w:cs="Times New Roman"/>
          <w:b/>
          <w:bCs/>
          <w:sz w:val="24"/>
          <w:szCs w:val="24"/>
          <w:lang w:eastAsia="pl-PL"/>
        </w:rPr>
        <w:t>26</w:t>
      </w:r>
      <w:r w:rsidRPr="00A720EE">
        <w:rPr>
          <w:rFonts w:ascii="Times New Roman" w:eastAsiaTheme="minorEastAsia" w:hAnsi="Times New Roman" w:cs="Times New Roman"/>
          <w:b/>
          <w:bCs/>
          <w:sz w:val="24"/>
          <w:szCs w:val="24"/>
          <w:lang w:eastAsia="pl-PL"/>
        </w:rPr>
        <w:t xml:space="preserve"> – dotyczy art. 27c ust. 11</w:t>
      </w:r>
    </w:p>
    <w:p w14:paraId="0729F0CD" w14:textId="41EB17F9" w:rsidR="004E1D5D" w:rsidRPr="00A720EE" w:rsidRDefault="004E1D5D" w:rsidP="005B107D">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Zmiana o charakterze porządkowym</w:t>
      </w:r>
      <w:r w:rsidR="006B5313" w:rsidRPr="00A720EE">
        <w:rPr>
          <w:rFonts w:ascii="Times New Roman" w:eastAsiaTheme="minorEastAsia" w:hAnsi="Times New Roman" w:cs="Times New Roman"/>
          <w:bCs/>
          <w:sz w:val="24"/>
          <w:szCs w:val="24"/>
          <w:lang w:eastAsia="pl-PL"/>
        </w:rPr>
        <w:t>.</w:t>
      </w:r>
    </w:p>
    <w:p w14:paraId="6F079DE5" w14:textId="2E7B8155" w:rsidR="005B107D" w:rsidRPr="00A720EE" w:rsidRDefault="005B107D" w:rsidP="005B107D">
      <w:pPr>
        <w:widowControl w:val="0"/>
        <w:autoSpaceDE w:val="0"/>
        <w:autoSpaceDN w:val="0"/>
        <w:adjustRightInd w:val="0"/>
        <w:spacing w:before="120" w:after="0" w:line="276" w:lineRule="auto"/>
        <w:jc w:val="both"/>
        <w:rPr>
          <w:rFonts w:ascii="Times New Roman" w:eastAsiaTheme="minorEastAsia" w:hAnsi="Times New Roman" w:cs="Times New Roman"/>
          <w:b/>
          <w:bCs/>
          <w:sz w:val="24"/>
          <w:szCs w:val="24"/>
          <w:lang w:eastAsia="pl-PL"/>
        </w:rPr>
      </w:pPr>
      <w:r w:rsidRPr="00A720EE">
        <w:rPr>
          <w:rFonts w:ascii="Times New Roman" w:eastAsiaTheme="minorEastAsia" w:hAnsi="Times New Roman" w:cs="Times New Roman"/>
          <w:b/>
          <w:bCs/>
          <w:sz w:val="24"/>
          <w:szCs w:val="24"/>
          <w:lang w:eastAsia="pl-PL"/>
        </w:rPr>
        <w:t xml:space="preserve">Art. 1 pkt </w:t>
      </w:r>
      <w:r w:rsidR="00B61236" w:rsidRPr="00A720EE">
        <w:rPr>
          <w:rFonts w:ascii="Times New Roman" w:eastAsiaTheme="minorEastAsia" w:hAnsi="Times New Roman" w:cs="Times New Roman"/>
          <w:b/>
          <w:bCs/>
          <w:sz w:val="24"/>
          <w:szCs w:val="24"/>
          <w:lang w:eastAsia="pl-PL"/>
        </w:rPr>
        <w:t>27</w:t>
      </w:r>
      <w:r w:rsidRPr="00A720EE">
        <w:rPr>
          <w:rFonts w:ascii="Times New Roman" w:eastAsiaTheme="minorEastAsia" w:hAnsi="Times New Roman" w:cs="Times New Roman"/>
          <w:b/>
          <w:bCs/>
          <w:sz w:val="24"/>
          <w:szCs w:val="24"/>
          <w:lang w:eastAsia="pl-PL"/>
        </w:rPr>
        <w:t xml:space="preserve"> – dotyczy art. 28 ust. 4</w:t>
      </w:r>
    </w:p>
    <w:p w14:paraId="12414797" w14:textId="77777777" w:rsidR="005B107D" w:rsidRPr="00A720EE" w:rsidRDefault="004E1D5D" w:rsidP="00136E69">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Zmiana polega na określeniu, iż informacja dotycząca zakładów (oddziałów) oraz liczby osób zatrudnionych świadczących pracę w poszczególnych zakładach (oddziałach) ze wskazaniem </w:t>
      </w:r>
      <w:r w:rsidR="00910DC5" w:rsidRPr="00A720EE">
        <w:rPr>
          <w:rFonts w:ascii="Times New Roman" w:eastAsiaTheme="minorEastAsia" w:hAnsi="Times New Roman" w:cs="Times New Roman"/>
          <w:bCs/>
          <w:sz w:val="24"/>
          <w:szCs w:val="24"/>
          <w:lang w:eastAsia="pl-PL"/>
        </w:rPr>
        <w:t>jednostek samorządu terytorialnego na terenie któr</w:t>
      </w:r>
      <w:r w:rsidR="0074325B" w:rsidRPr="00A720EE">
        <w:rPr>
          <w:rFonts w:ascii="Times New Roman" w:eastAsiaTheme="minorEastAsia" w:hAnsi="Times New Roman" w:cs="Times New Roman"/>
          <w:bCs/>
          <w:sz w:val="24"/>
          <w:szCs w:val="24"/>
          <w:lang w:eastAsia="pl-PL"/>
        </w:rPr>
        <w:t>ych</w:t>
      </w:r>
      <w:r w:rsidR="00910DC5" w:rsidRPr="00A720EE">
        <w:rPr>
          <w:rFonts w:ascii="Times New Roman" w:eastAsiaTheme="minorEastAsia" w:hAnsi="Times New Roman" w:cs="Times New Roman"/>
          <w:bCs/>
          <w:sz w:val="24"/>
          <w:szCs w:val="24"/>
          <w:lang w:eastAsia="pl-PL"/>
        </w:rPr>
        <w:t xml:space="preserve"> te zakłady (oddziały) są położone</w:t>
      </w:r>
      <w:r w:rsidR="0074325B" w:rsidRPr="00A720EE">
        <w:rPr>
          <w:rFonts w:ascii="Times New Roman" w:eastAsiaTheme="minorEastAsia" w:hAnsi="Times New Roman" w:cs="Times New Roman"/>
          <w:bCs/>
          <w:sz w:val="24"/>
          <w:szCs w:val="24"/>
          <w:lang w:eastAsia="pl-PL"/>
        </w:rPr>
        <w:t>,</w:t>
      </w:r>
      <w:r w:rsidR="00910DC5" w:rsidRPr="00A720EE">
        <w:rPr>
          <w:rFonts w:ascii="Times New Roman" w:eastAsiaTheme="minorEastAsia" w:hAnsi="Times New Roman" w:cs="Times New Roman"/>
          <w:bCs/>
          <w:sz w:val="24"/>
          <w:szCs w:val="24"/>
          <w:lang w:eastAsia="pl-PL"/>
        </w:rPr>
        <w:t xml:space="preserve"> będzie składana za pomocą środków komunikacji elektronicznej</w:t>
      </w:r>
      <w:r w:rsidR="0074325B" w:rsidRPr="00A720EE">
        <w:rPr>
          <w:rFonts w:ascii="Times New Roman" w:eastAsiaTheme="minorEastAsia" w:hAnsi="Times New Roman" w:cs="Times New Roman"/>
          <w:bCs/>
          <w:sz w:val="24"/>
          <w:szCs w:val="24"/>
          <w:lang w:eastAsia="pl-PL"/>
        </w:rPr>
        <w:t>,</w:t>
      </w:r>
      <w:r w:rsidR="00910DC5" w:rsidRPr="00A720EE">
        <w:rPr>
          <w:rFonts w:ascii="Times New Roman" w:eastAsiaTheme="minorEastAsia" w:hAnsi="Times New Roman" w:cs="Times New Roman"/>
          <w:bCs/>
          <w:sz w:val="24"/>
          <w:szCs w:val="24"/>
          <w:lang w:eastAsia="pl-PL"/>
        </w:rPr>
        <w:t xml:space="preserve"> zgodnie z przepisami Ordynacji podatkowej.</w:t>
      </w:r>
    </w:p>
    <w:p w14:paraId="6D6426D2" w14:textId="2955A2CE" w:rsidR="00FF1FC4" w:rsidRPr="00A720EE" w:rsidRDefault="00270705" w:rsidP="00136E69">
      <w:pPr>
        <w:widowControl w:val="0"/>
        <w:autoSpaceDE w:val="0"/>
        <w:autoSpaceDN w:val="0"/>
        <w:adjustRightInd w:val="0"/>
        <w:spacing w:before="120" w:after="0" w:line="276" w:lineRule="auto"/>
        <w:jc w:val="both"/>
        <w:rPr>
          <w:rFonts w:ascii="Times New Roman" w:eastAsiaTheme="minorEastAsia" w:hAnsi="Times New Roman" w:cs="Times New Roman"/>
          <w:b/>
          <w:bCs/>
          <w:sz w:val="24"/>
          <w:szCs w:val="24"/>
          <w:lang w:eastAsia="pl-PL"/>
        </w:rPr>
      </w:pPr>
      <w:r w:rsidRPr="00A720EE">
        <w:rPr>
          <w:rFonts w:ascii="Times New Roman" w:eastAsiaTheme="minorEastAsia" w:hAnsi="Times New Roman" w:cs="Times New Roman"/>
          <w:b/>
          <w:bCs/>
          <w:sz w:val="24"/>
          <w:szCs w:val="24"/>
          <w:lang w:eastAsia="pl-PL"/>
        </w:rPr>
        <w:t>Art. 1 pkt</w:t>
      </w:r>
      <w:r w:rsidR="00B61236" w:rsidRPr="00A720EE">
        <w:rPr>
          <w:rFonts w:ascii="Times New Roman" w:eastAsiaTheme="minorEastAsia" w:hAnsi="Times New Roman" w:cs="Times New Roman"/>
          <w:b/>
          <w:bCs/>
          <w:sz w:val="24"/>
          <w:szCs w:val="24"/>
          <w:lang w:eastAsia="pl-PL"/>
        </w:rPr>
        <w:t xml:space="preserve"> 28</w:t>
      </w:r>
      <w:r w:rsidR="00FF1FC4" w:rsidRPr="00A720EE">
        <w:rPr>
          <w:rFonts w:ascii="Times New Roman" w:eastAsiaTheme="minorEastAsia" w:hAnsi="Times New Roman" w:cs="Times New Roman"/>
          <w:b/>
          <w:bCs/>
          <w:sz w:val="24"/>
          <w:szCs w:val="24"/>
          <w:lang w:eastAsia="pl-PL"/>
        </w:rPr>
        <w:t xml:space="preserve"> – dotyczy art. 28a ust. 1 i 2</w:t>
      </w:r>
    </w:p>
    <w:p w14:paraId="3632449E" w14:textId="77777777" w:rsidR="00595886" w:rsidRPr="00A720EE" w:rsidRDefault="00FF1FC4">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Zmiana polega na doprecyzowaniu przepisów dotyczących udostępniania wzorów deklaracji w zakresu podatków dochodowych. W </w:t>
      </w:r>
      <w:r w:rsidR="0074325B" w:rsidRPr="00A720EE">
        <w:rPr>
          <w:rFonts w:ascii="Times New Roman" w:eastAsiaTheme="minorEastAsia" w:hAnsi="Times New Roman" w:cs="Times New Roman"/>
          <w:bCs/>
          <w:sz w:val="24"/>
          <w:szCs w:val="24"/>
          <w:lang w:eastAsia="pl-PL"/>
        </w:rPr>
        <w:t xml:space="preserve">jej </w:t>
      </w:r>
      <w:r w:rsidRPr="00A720EE">
        <w:rPr>
          <w:rFonts w:ascii="Times New Roman" w:eastAsiaTheme="minorEastAsia" w:hAnsi="Times New Roman" w:cs="Times New Roman"/>
          <w:bCs/>
          <w:sz w:val="24"/>
          <w:szCs w:val="24"/>
          <w:lang w:eastAsia="pl-PL"/>
        </w:rPr>
        <w:t xml:space="preserve">następstwie, nie będzie budziło wątpliwości, że obowiązek udostępniania przez ministra właściwego do spraw finansów publicznych deklaracji </w:t>
      </w:r>
      <w:r w:rsidRPr="00A720EE">
        <w:rPr>
          <w:rFonts w:ascii="Times New Roman" w:eastAsiaTheme="minorEastAsia" w:hAnsi="Times New Roman" w:cs="Times New Roman"/>
          <w:bCs/>
          <w:sz w:val="24"/>
          <w:szCs w:val="24"/>
          <w:lang w:eastAsia="pl-PL"/>
        </w:rPr>
        <w:lastRenderedPageBreak/>
        <w:t xml:space="preserve">jest ograniczony do udostępniania ich wizualizacji, a nie </w:t>
      </w:r>
      <w:proofErr w:type="spellStart"/>
      <w:r w:rsidRPr="00A720EE">
        <w:rPr>
          <w:rFonts w:ascii="Times New Roman" w:eastAsiaTheme="minorEastAsia" w:hAnsi="Times New Roman" w:cs="Times New Roman"/>
          <w:bCs/>
          <w:sz w:val="24"/>
          <w:szCs w:val="24"/>
          <w:lang w:eastAsia="pl-PL"/>
        </w:rPr>
        <w:t>schemy</w:t>
      </w:r>
      <w:proofErr w:type="spellEnd"/>
      <w:r w:rsidRPr="00A720EE">
        <w:rPr>
          <w:rFonts w:ascii="Times New Roman" w:eastAsiaTheme="minorEastAsia" w:hAnsi="Times New Roman" w:cs="Times New Roman"/>
          <w:bCs/>
          <w:sz w:val="24"/>
          <w:szCs w:val="24"/>
          <w:lang w:eastAsia="pl-PL"/>
        </w:rPr>
        <w:t xml:space="preserve">, która jest udostępniania przez Ministra Cyfryzacji w Centralnym Repozytorium Wzorów Dokumentów Elektronicznych (CRWDE). </w:t>
      </w:r>
    </w:p>
    <w:p w14:paraId="417F44D4" w14:textId="77777777" w:rsidR="006671A6" w:rsidRPr="00A720EE" w:rsidRDefault="004F344B">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Zob. odpowiednie z</w:t>
      </w:r>
      <w:r w:rsidR="006671A6" w:rsidRPr="00A720EE">
        <w:rPr>
          <w:rFonts w:ascii="Times New Roman" w:eastAsiaTheme="minorEastAsia" w:hAnsi="Times New Roman" w:cs="Times New Roman"/>
          <w:bCs/>
          <w:sz w:val="24"/>
          <w:szCs w:val="24"/>
          <w:lang w:eastAsia="pl-PL"/>
        </w:rPr>
        <w:t>miany w ustawie PIT</w:t>
      </w:r>
      <w:r w:rsidRPr="00A720EE">
        <w:rPr>
          <w:rFonts w:ascii="Times New Roman" w:eastAsiaTheme="minorEastAsia" w:hAnsi="Times New Roman" w:cs="Times New Roman"/>
          <w:bCs/>
          <w:sz w:val="24"/>
          <w:szCs w:val="24"/>
          <w:lang w:eastAsia="pl-PL"/>
        </w:rPr>
        <w:t xml:space="preserve"> (art. 45b ust</w:t>
      </w:r>
      <w:r w:rsidR="00EE36B9" w:rsidRPr="00A720EE">
        <w:rPr>
          <w:rFonts w:ascii="Times New Roman" w:eastAsiaTheme="minorEastAsia" w:hAnsi="Times New Roman" w:cs="Times New Roman"/>
          <w:bCs/>
          <w:sz w:val="24"/>
          <w:szCs w:val="24"/>
          <w:lang w:eastAsia="pl-PL"/>
        </w:rPr>
        <w:t>.</w:t>
      </w:r>
      <w:r w:rsidRPr="00A720EE">
        <w:rPr>
          <w:rFonts w:ascii="Times New Roman" w:eastAsiaTheme="minorEastAsia" w:hAnsi="Times New Roman" w:cs="Times New Roman"/>
          <w:bCs/>
          <w:sz w:val="24"/>
          <w:szCs w:val="24"/>
          <w:lang w:eastAsia="pl-PL"/>
        </w:rPr>
        <w:t xml:space="preserve"> 1 i 2)</w:t>
      </w:r>
      <w:r w:rsidR="006671A6" w:rsidRPr="00A720EE">
        <w:rPr>
          <w:rFonts w:ascii="Times New Roman" w:eastAsiaTheme="minorEastAsia" w:hAnsi="Times New Roman" w:cs="Times New Roman"/>
          <w:bCs/>
          <w:sz w:val="24"/>
          <w:szCs w:val="24"/>
          <w:lang w:eastAsia="pl-PL"/>
        </w:rPr>
        <w:t xml:space="preserve">, </w:t>
      </w:r>
      <w:r w:rsidRPr="00A720EE">
        <w:rPr>
          <w:rFonts w:ascii="Times New Roman" w:eastAsiaTheme="minorEastAsia" w:hAnsi="Times New Roman" w:cs="Times New Roman"/>
          <w:bCs/>
          <w:sz w:val="24"/>
          <w:szCs w:val="24"/>
          <w:lang w:eastAsia="pl-PL"/>
        </w:rPr>
        <w:t xml:space="preserve">ustawie </w:t>
      </w:r>
      <w:r w:rsidR="006671A6" w:rsidRPr="00A720EE">
        <w:rPr>
          <w:rFonts w:ascii="Times New Roman" w:eastAsiaTheme="minorEastAsia" w:hAnsi="Times New Roman" w:cs="Times New Roman"/>
          <w:bCs/>
          <w:sz w:val="24"/>
          <w:szCs w:val="24"/>
          <w:lang w:eastAsia="pl-PL"/>
        </w:rPr>
        <w:t xml:space="preserve">o ryczałcie </w:t>
      </w:r>
      <w:r w:rsidRPr="00A720EE">
        <w:rPr>
          <w:rFonts w:ascii="Times New Roman" w:eastAsiaTheme="minorEastAsia" w:hAnsi="Times New Roman" w:cs="Times New Roman"/>
          <w:bCs/>
          <w:sz w:val="24"/>
          <w:szCs w:val="24"/>
          <w:lang w:eastAsia="pl-PL"/>
        </w:rPr>
        <w:t>(art. 52 ust. 1 i 2) oraz</w:t>
      </w:r>
      <w:r w:rsidR="006671A6" w:rsidRPr="00A720EE">
        <w:rPr>
          <w:rFonts w:ascii="Times New Roman" w:eastAsiaTheme="minorEastAsia" w:hAnsi="Times New Roman" w:cs="Times New Roman"/>
          <w:bCs/>
          <w:sz w:val="24"/>
          <w:szCs w:val="24"/>
          <w:lang w:eastAsia="pl-PL"/>
        </w:rPr>
        <w:t xml:space="preserve"> ustawie </w:t>
      </w:r>
      <w:r w:rsidR="00A34465" w:rsidRPr="00A720EE">
        <w:rPr>
          <w:rFonts w:ascii="Times New Roman" w:eastAsiaTheme="minorEastAsia" w:hAnsi="Times New Roman" w:cs="Times New Roman"/>
          <w:bCs/>
          <w:sz w:val="24"/>
          <w:szCs w:val="24"/>
          <w:lang w:eastAsia="pl-PL"/>
        </w:rPr>
        <w:t>z 29 października 2021 r.</w:t>
      </w:r>
      <w:r w:rsidR="00A34465" w:rsidRPr="00A720EE" w:rsidDel="00A34465">
        <w:rPr>
          <w:rFonts w:ascii="Times New Roman" w:eastAsiaTheme="minorEastAsia" w:hAnsi="Times New Roman" w:cs="Times New Roman"/>
          <w:bCs/>
          <w:sz w:val="24"/>
          <w:szCs w:val="24"/>
          <w:lang w:eastAsia="pl-PL"/>
        </w:rPr>
        <w:t xml:space="preserve"> </w:t>
      </w:r>
      <w:r w:rsidRPr="00A720EE">
        <w:rPr>
          <w:rFonts w:ascii="Times New Roman" w:eastAsiaTheme="minorEastAsia" w:hAnsi="Times New Roman" w:cs="Times New Roman"/>
          <w:bCs/>
          <w:sz w:val="24"/>
          <w:szCs w:val="24"/>
          <w:lang w:eastAsia="pl-PL"/>
        </w:rPr>
        <w:t>(art. 84 ust. 2-4</w:t>
      </w:r>
      <w:r w:rsidR="006671A6" w:rsidRPr="00A720EE">
        <w:rPr>
          <w:rFonts w:ascii="Times New Roman" w:eastAsiaTheme="minorEastAsia" w:hAnsi="Times New Roman" w:cs="Times New Roman"/>
          <w:bCs/>
          <w:sz w:val="24"/>
          <w:szCs w:val="24"/>
          <w:lang w:eastAsia="pl-PL"/>
        </w:rPr>
        <w:t>)</w:t>
      </w:r>
      <w:r w:rsidRPr="00A720EE">
        <w:rPr>
          <w:rFonts w:ascii="Times New Roman" w:eastAsiaTheme="minorEastAsia" w:hAnsi="Times New Roman" w:cs="Times New Roman"/>
          <w:bCs/>
          <w:sz w:val="24"/>
          <w:szCs w:val="24"/>
          <w:lang w:eastAsia="pl-PL"/>
        </w:rPr>
        <w:t>.</w:t>
      </w:r>
    </w:p>
    <w:p w14:paraId="382E0AC6" w14:textId="79B4A4B8" w:rsidR="00010C63" w:rsidRPr="00A720EE" w:rsidRDefault="002C7626"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B61236" w:rsidRPr="00A720EE">
        <w:rPr>
          <w:rFonts w:ascii="Times New Roman" w:eastAsiaTheme="minorEastAsia" w:hAnsi="Times New Roman" w:cs="Times New Roman"/>
          <w:b/>
          <w:sz w:val="24"/>
          <w:szCs w:val="24"/>
          <w:lang w:eastAsia="pl-PL"/>
        </w:rPr>
        <w:t>29</w:t>
      </w:r>
      <w:r w:rsidR="00010C63" w:rsidRPr="00A720EE">
        <w:rPr>
          <w:rFonts w:ascii="Times New Roman" w:eastAsiaTheme="minorEastAsia" w:hAnsi="Times New Roman" w:cs="Times New Roman"/>
          <w:b/>
          <w:sz w:val="24"/>
          <w:szCs w:val="24"/>
          <w:lang w:eastAsia="pl-PL"/>
        </w:rPr>
        <w:t xml:space="preserve"> – </w:t>
      </w:r>
      <w:r w:rsidR="004245DA" w:rsidRPr="00A720EE">
        <w:rPr>
          <w:rFonts w:ascii="Times New Roman" w:eastAsiaTheme="minorEastAsia" w:hAnsi="Times New Roman" w:cs="Times New Roman"/>
          <w:b/>
          <w:sz w:val="24"/>
          <w:szCs w:val="24"/>
          <w:lang w:eastAsia="pl-PL"/>
        </w:rPr>
        <w:t>dotyczy art. 28j ust. 1 pkt 3 lit. b, ust. 3 pkt 2 oraz ust. 5</w:t>
      </w:r>
    </w:p>
    <w:p w14:paraId="596025BF" w14:textId="5CC30C56" w:rsidR="004245DA" w:rsidRPr="00A720EE" w:rsidRDefault="004245DA" w:rsidP="004245DA">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art. 28j </w:t>
      </w:r>
      <w:r w:rsidRPr="00A720EE">
        <w:rPr>
          <w:rFonts w:ascii="Times New Roman" w:eastAsiaTheme="minorEastAsia" w:hAnsi="Times New Roman" w:cs="Times New Roman"/>
          <w:sz w:val="24"/>
          <w:szCs w:val="24"/>
          <w:u w:val="single"/>
          <w:lang w:eastAsia="pl-PL"/>
        </w:rPr>
        <w:t>ust. 1 pkt 3 lit. b</w:t>
      </w:r>
      <w:r w:rsidRPr="00A720EE">
        <w:rPr>
          <w:rFonts w:ascii="Times New Roman" w:eastAsiaTheme="minorEastAsia" w:hAnsi="Times New Roman" w:cs="Times New Roman"/>
          <w:sz w:val="24"/>
          <w:szCs w:val="24"/>
          <w:lang w:eastAsia="pl-PL"/>
        </w:rPr>
        <w:t xml:space="preserve"> oraz </w:t>
      </w:r>
      <w:r w:rsidRPr="00A720EE">
        <w:rPr>
          <w:rFonts w:ascii="Times New Roman" w:eastAsiaTheme="minorEastAsia" w:hAnsi="Times New Roman" w:cs="Times New Roman"/>
          <w:sz w:val="24"/>
          <w:szCs w:val="24"/>
          <w:u w:val="single"/>
          <w:lang w:eastAsia="pl-PL"/>
        </w:rPr>
        <w:t>ust. 3 pkt 2</w:t>
      </w:r>
      <w:r w:rsidRPr="00A720EE">
        <w:rPr>
          <w:rFonts w:ascii="Times New Roman" w:eastAsiaTheme="minorEastAsia" w:hAnsi="Times New Roman" w:cs="Times New Roman"/>
          <w:sz w:val="24"/>
          <w:szCs w:val="24"/>
          <w:lang w:eastAsia="pl-PL"/>
        </w:rPr>
        <w:t xml:space="preserve"> ustawy CIT wyrazy „na podatniku ciąży obowiązek</w:t>
      </w:r>
      <w:r w:rsidR="005A2FF8" w:rsidRPr="00A720EE">
        <w:rPr>
          <w:rFonts w:ascii="Times New Roman" w:eastAsiaTheme="minorEastAsia" w:hAnsi="Times New Roman" w:cs="Times New Roman"/>
          <w:sz w:val="24"/>
          <w:szCs w:val="24"/>
          <w:lang w:eastAsia="pl-PL"/>
        </w:rPr>
        <w:t xml:space="preserve"> poboru zaliczek na podatek dochodowy</w:t>
      </w:r>
      <w:r w:rsidR="00430866" w:rsidRPr="00A720EE">
        <w:rPr>
          <w:rFonts w:ascii="Times New Roman" w:eastAsiaTheme="minorEastAsia" w:hAnsi="Times New Roman" w:cs="Times New Roman"/>
          <w:sz w:val="24"/>
          <w:szCs w:val="24"/>
          <w:lang w:eastAsia="pl-PL"/>
        </w:rPr>
        <w:t xml:space="preserve"> od osób fizycznych i składek określonych w ustawie z dnia 13 października 1998 r. o systemie ubezpieczeń społecznych</w:t>
      </w:r>
      <w:r w:rsidRPr="00A720EE">
        <w:rPr>
          <w:rFonts w:ascii="Times New Roman" w:eastAsiaTheme="minorEastAsia" w:hAnsi="Times New Roman" w:cs="Times New Roman"/>
          <w:sz w:val="24"/>
          <w:szCs w:val="24"/>
          <w:lang w:eastAsia="pl-PL"/>
        </w:rPr>
        <w:t>” zastępuje się wyrazami „</w:t>
      </w:r>
      <w:r w:rsidR="00C04DB4" w:rsidRPr="00A720EE">
        <w:rPr>
          <w:rFonts w:ascii="Times New Roman" w:eastAsiaTheme="minorEastAsia" w:hAnsi="Times New Roman" w:cs="Times New Roman"/>
          <w:sz w:val="24"/>
          <w:szCs w:val="24"/>
          <w:lang w:eastAsia="pl-PL"/>
        </w:rPr>
        <w:t>podatnik jest płatnikiem podatku dochodowego</w:t>
      </w:r>
      <w:r w:rsidR="00430866" w:rsidRPr="00A720EE">
        <w:rPr>
          <w:rFonts w:ascii="Times New Roman" w:eastAsiaTheme="minorEastAsia" w:hAnsi="Times New Roman" w:cs="Times New Roman"/>
          <w:sz w:val="24"/>
          <w:szCs w:val="24"/>
          <w:lang w:eastAsia="pl-PL"/>
        </w:rPr>
        <w:t xml:space="preserve"> od osób </w:t>
      </w:r>
      <w:r w:rsidR="00430866" w:rsidRPr="00A720EE">
        <w:rPr>
          <w:rFonts w:ascii="Times New Roman" w:hAnsi="Times New Roman" w:cs="Times New Roman"/>
          <w:sz w:val="24"/>
          <w:szCs w:val="24"/>
        </w:rPr>
        <w:t>fizycznych lub płatnikiem składek określonych w ustawie z dnia 13 października 1998 r. o systemie ubezpieczeń społecznych lub ustawie z dnia 27 sierpnia 2004 r. o świadczeniach opieki zdrowotnej finansowanych ze środków publicznych</w:t>
      </w:r>
      <w:r w:rsidRPr="00A720EE">
        <w:rPr>
          <w:rFonts w:ascii="Times New Roman" w:eastAsiaTheme="minorEastAsia" w:hAnsi="Times New Roman" w:cs="Times New Roman"/>
          <w:sz w:val="24"/>
          <w:szCs w:val="24"/>
          <w:lang w:eastAsia="pl-PL"/>
        </w:rPr>
        <w:t>”.</w:t>
      </w:r>
    </w:p>
    <w:p w14:paraId="5894E5BB" w14:textId="016C65F7" w:rsidR="004245DA" w:rsidRPr="00A720EE" w:rsidRDefault="004245DA" w:rsidP="004245DA">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treści art. 28j </w:t>
      </w:r>
      <w:r w:rsidRPr="00A720EE">
        <w:rPr>
          <w:rFonts w:ascii="Times New Roman" w:eastAsiaTheme="minorEastAsia" w:hAnsi="Times New Roman" w:cs="Times New Roman"/>
          <w:sz w:val="24"/>
          <w:szCs w:val="24"/>
          <w:u w:val="single"/>
          <w:lang w:eastAsia="pl-PL"/>
        </w:rPr>
        <w:t>ust. 1 pkt 3 lit. b</w:t>
      </w:r>
      <w:r w:rsidRPr="00A720EE">
        <w:rPr>
          <w:rFonts w:ascii="Times New Roman" w:eastAsiaTheme="minorEastAsia" w:hAnsi="Times New Roman" w:cs="Times New Roman"/>
          <w:sz w:val="24"/>
          <w:szCs w:val="24"/>
          <w:lang w:eastAsia="pl-PL"/>
        </w:rPr>
        <w:t xml:space="preserve"> ustawy CIT ma na celu doprecyzowanie, że przy ocenie czy warunek, o którym mowa w niniejszym przepisie jest spełniony należy brać pod uwagę</w:t>
      </w:r>
      <w:r w:rsidR="008137E2" w:rsidRPr="00A720EE">
        <w:rPr>
          <w:rFonts w:ascii="Times New Roman" w:eastAsiaTheme="minorEastAsia" w:hAnsi="Times New Roman" w:cs="Times New Roman"/>
          <w:sz w:val="24"/>
          <w:szCs w:val="24"/>
          <w:lang w:eastAsia="pl-PL"/>
        </w:rPr>
        <w:t xml:space="preserve">, czy </w:t>
      </w:r>
      <w:r w:rsidR="00C04DB4" w:rsidRPr="00A720EE">
        <w:rPr>
          <w:rFonts w:ascii="Times New Roman" w:eastAsiaTheme="minorEastAsia" w:hAnsi="Times New Roman" w:cs="Times New Roman"/>
          <w:sz w:val="24"/>
          <w:szCs w:val="24"/>
          <w:lang w:eastAsia="pl-PL"/>
        </w:rPr>
        <w:t xml:space="preserve">podatnik </w:t>
      </w:r>
      <w:r w:rsidR="008137E2" w:rsidRPr="00A720EE">
        <w:rPr>
          <w:rFonts w:ascii="Times New Roman" w:eastAsiaTheme="minorEastAsia" w:hAnsi="Times New Roman" w:cs="Times New Roman"/>
          <w:sz w:val="24"/>
          <w:szCs w:val="24"/>
          <w:lang w:eastAsia="pl-PL"/>
        </w:rPr>
        <w:t>jest płatnikiem</w:t>
      </w:r>
      <w:r w:rsidR="00C04DB4" w:rsidRPr="00A720EE">
        <w:rPr>
          <w:rFonts w:ascii="Times New Roman" w:eastAsiaTheme="minorEastAsia" w:hAnsi="Times New Roman" w:cs="Times New Roman"/>
          <w:sz w:val="24"/>
          <w:szCs w:val="24"/>
          <w:lang w:eastAsia="pl-PL"/>
        </w:rPr>
        <w:t xml:space="preserve"> </w:t>
      </w:r>
      <w:r w:rsidR="008137E2" w:rsidRPr="00A720EE">
        <w:rPr>
          <w:rFonts w:ascii="Times New Roman" w:eastAsiaTheme="minorEastAsia" w:hAnsi="Times New Roman" w:cs="Times New Roman"/>
          <w:sz w:val="24"/>
          <w:szCs w:val="24"/>
          <w:lang w:eastAsia="pl-PL"/>
        </w:rPr>
        <w:t xml:space="preserve">podatku dochodowego od osób fizycznych </w:t>
      </w:r>
      <w:r w:rsidR="00430866" w:rsidRPr="00A720EE">
        <w:rPr>
          <w:rFonts w:ascii="Times New Roman" w:eastAsiaTheme="minorEastAsia" w:hAnsi="Times New Roman" w:cs="Times New Roman"/>
          <w:sz w:val="24"/>
          <w:szCs w:val="24"/>
          <w:lang w:eastAsia="pl-PL"/>
        </w:rPr>
        <w:t>lub</w:t>
      </w:r>
      <w:r w:rsidR="00C04DB4" w:rsidRPr="00A720EE">
        <w:rPr>
          <w:rFonts w:ascii="Times New Roman" w:eastAsiaTheme="minorEastAsia" w:hAnsi="Times New Roman" w:cs="Times New Roman"/>
          <w:sz w:val="24"/>
          <w:szCs w:val="24"/>
          <w:lang w:eastAsia="pl-PL"/>
        </w:rPr>
        <w:t xml:space="preserve"> składek</w:t>
      </w:r>
      <w:r w:rsidR="008137E2" w:rsidRPr="00A720EE">
        <w:rPr>
          <w:rFonts w:ascii="Times New Roman" w:hAnsi="Times New Roman" w:cs="Times New Roman"/>
          <w:sz w:val="24"/>
          <w:szCs w:val="24"/>
        </w:rPr>
        <w:t xml:space="preserve"> określonych w ustawie z dnia 13 października 1998 r. o systemie ubezpieczeń społecznych lub ustawie z dnia 27 sierpnia 2004 r. o świadczeniach opieki zdrowotnej finansowanych ze środków publicznych</w:t>
      </w:r>
      <w:r w:rsidRPr="00A720EE">
        <w:rPr>
          <w:rFonts w:ascii="Times New Roman" w:eastAsiaTheme="minorEastAsia" w:hAnsi="Times New Roman" w:cs="Times New Roman"/>
          <w:sz w:val="24"/>
          <w:szCs w:val="24"/>
          <w:lang w:eastAsia="pl-PL"/>
        </w:rPr>
        <w:t>,</w:t>
      </w:r>
      <w:r w:rsidR="00C04DB4" w:rsidRPr="00A720EE">
        <w:rPr>
          <w:rFonts w:ascii="Times New Roman" w:eastAsiaTheme="minorEastAsia" w:hAnsi="Times New Roman" w:cs="Times New Roman"/>
          <w:sz w:val="24"/>
          <w:szCs w:val="24"/>
          <w:lang w:eastAsia="pl-PL"/>
        </w:rPr>
        <w:t xml:space="preserve"> w związku z</w:t>
      </w:r>
      <w:r w:rsidR="008137E2" w:rsidRPr="00A720EE">
        <w:rPr>
          <w:rFonts w:ascii="Times New Roman" w:eastAsiaTheme="minorEastAsia" w:hAnsi="Times New Roman" w:cs="Times New Roman"/>
          <w:sz w:val="24"/>
          <w:szCs w:val="24"/>
          <w:lang w:eastAsia="pl-PL"/>
        </w:rPr>
        <w:t xml:space="preserve"> wypłatą wynagrodzenia na rzecz zatrudnionych przez niego osób fizycznych</w:t>
      </w:r>
      <w:r w:rsidRPr="00A720EE">
        <w:rPr>
          <w:rFonts w:ascii="Times New Roman" w:eastAsiaTheme="minorEastAsia" w:hAnsi="Times New Roman" w:cs="Times New Roman"/>
          <w:sz w:val="24"/>
          <w:szCs w:val="24"/>
          <w:lang w:eastAsia="pl-PL"/>
        </w:rPr>
        <w:t>.</w:t>
      </w:r>
    </w:p>
    <w:p w14:paraId="633E0C80" w14:textId="77777777" w:rsidR="004245DA" w:rsidRPr="00A720EE" w:rsidRDefault="004245DA" w:rsidP="004245DA">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Analogiczny cel przyświeca zmianie treści przepisu art. 28j </w:t>
      </w:r>
      <w:r w:rsidRPr="00A720EE">
        <w:rPr>
          <w:rFonts w:ascii="Times New Roman" w:eastAsiaTheme="minorEastAsia" w:hAnsi="Times New Roman" w:cs="Times New Roman"/>
          <w:sz w:val="24"/>
          <w:szCs w:val="24"/>
          <w:u w:val="single"/>
          <w:lang w:eastAsia="pl-PL"/>
        </w:rPr>
        <w:t>ust. 3 pkt 2</w:t>
      </w:r>
      <w:r w:rsidRPr="00A720EE">
        <w:rPr>
          <w:rFonts w:ascii="Times New Roman" w:eastAsiaTheme="minorEastAsia" w:hAnsi="Times New Roman" w:cs="Times New Roman"/>
          <w:sz w:val="24"/>
          <w:szCs w:val="24"/>
          <w:lang w:eastAsia="pl-PL"/>
        </w:rPr>
        <w:t>, który znajduje zastosowanie w przypadku małego podatnika.</w:t>
      </w:r>
    </w:p>
    <w:p w14:paraId="5E7274F9" w14:textId="77777777" w:rsidR="003A3719"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W art. 2</w:t>
      </w:r>
      <w:r w:rsidR="004245DA" w:rsidRPr="00A720EE">
        <w:rPr>
          <w:rFonts w:ascii="Times New Roman" w:eastAsiaTheme="minorEastAsia" w:hAnsi="Times New Roman" w:cs="Times New Roman"/>
          <w:sz w:val="24"/>
          <w:szCs w:val="24"/>
          <w:lang w:eastAsia="pl-PL"/>
        </w:rPr>
        <w:t>8</w:t>
      </w:r>
      <w:r w:rsidRPr="00A720EE">
        <w:rPr>
          <w:rFonts w:ascii="Times New Roman" w:eastAsiaTheme="minorEastAsia" w:hAnsi="Times New Roman" w:cs="Times New Roman"/>
          <w:sz w:val="24"/>
          <w:szCs w:val="24"/>
          <w:lang w:eastAsia="pl-PL"/>
        </w:rPr>
        <w:t xml:space="preserve">j </w:t>
      </w:r>
      <w:r w:rsidRPr="00A720EE">
        <w:rPr>
          <w:rFonts w:ascii="Times New Roman" w:eastAsiaTheme="minorEastAsia" w:hAnsi="Times New Roman" w:cs="Times New Roman"/>
          <w:sz w:val="24"/>
          <w:szCs w:val="24"/>
          <w:u w:val="single"/>
          <w:lang w:eastAsia="pl-PL"/>
        </w:rPr>
        <w:t>ust. 5</w:t>
      </w:r>
      <w:r w:rsidRPr="00A720EE">
        <w:rPr>
          <w:rFonts w:ascii="Times New Roman" w:eastAsiaTheme="minorEastAsia" w:hAnsi="Times New Roman" w:cs="Times New Roman"/>
          <w:sz w:val="24"/>
          <w:szCs w:val="24"/>
          <w:lang w:eastAsia="pl-PL"/>
        </w:rPr>
        <w:t xml:space="preserve"> ustawy CIT wyrazy „Zawiadomienie, o którym mowa w ust. 1 pkt 7, może zostać złożone” zastępuje się wyrazami „Podatnik może wybrać opodatkowanie ryczałtem od dochodów spółek”. Ponadto po ostatnim zdaniu dodaje się wyrazy „Przepisy ust. 1 pkt 7 stosuje się odpowiednio.”</w:t>
      </w:r>
    </w:p>
    <w:p w14:paraId="67FE5291" w14:textId="77777777" w:rsidR="00DC7078"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treści art. 28j ust. 5 ustawy o CIT, w brzmieniu przedstawionym w projekcie ustawy, ma na celu wyraźne wyartykułowanie prawa podatnika do wyboru opodatkowania ryczałtem od dochodów spółek przed upływem przyjętego przez podatnika roku podatkowego oraz doprecyzowanie, że w odniesieniu do zawiadomienia o wyborze ryczałtu od dochodów spółek – ZAW-RD, o którym mowa w niniejszym przepisie, odpowiednie zastosowanie znajduje art. 28j ust. 1 pkt 7 ustawy CIT.</w:t>
      </w:r>
    </w:p>
    <w:p w14:paraId="22B263E9" w14:textId="4A32F4BD" w:rsidR="00DC7078" w:rsidRPr="00A720EE" w:rsidRDefault="00DC7078"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0D6A8A" w:rsidRPr="00A720EE">
        <w:rPr>
          <w:rFonts w:ascii="Times New Roman" w:eastAsiaTheme="minorEastAsia" w:hAnsi="Times New Roman" w:cs="Times New Roman"/>
          <w:b/>
          <w:sz w:val="24"/>
          <w:szCs w:val="24"/>
          <w:lang w:eastAsia="pl-PL"/>
        </w:rPr>
        <w:t>3</w:t>
      </w:r>
      <w:r w:rsidR="00B61236" w:rsidRPr="00A720EE">
        <w:rPr>
          <w:rFonts w:ascii="Times New Roman" w:eastAsiaTheme="minorEastAsia" w:hAnsi="Times New Roman" w:cs="Times New Roman"/>
          <w:b/>
          <w:sz w:val="24"/>
          <w:szCs w:val="24"/>
          <w:lang w:eastAsia="pl-PL"/>
        </w:rPr>
        <w:t>0</w:t>
      </w:r>
      <w:r w:rsidRPr="00A720EE">
        <w:rPr>
          <w:rFonts w:ascii="Times New Roman" w:eastAsiaTheme="minorEastAsia" w:hAnsi="Times New Roman" w:cs="Times New Roman"/>
          <w:b/>
          <w:sz w:val="24"/>
          <w:szCs w:val="24"/>
          <w:lang w:eastAsia="pl-PL"/>
        </w:rPr>
        <w:t xml:space="preserve"> – dotyczy art. 28m ust. 4a i 5</w:t>
      </w:r>
    </w:p>
    <w:p w14:paraId="30AFB651" w14:textId="77777777" w:rsidR="003A3719"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Propozycja polega na dodaniu art. 28m </w:t>
      </w:r>
      <w:r w:rsidRPr="00A720EE">
        <w:rPr>
          <w:rFonts w:ascii="Times New Roman" w:eastAsiaTheme="minorEastAsia" w:hAnsi="Times New Roman" w:cs="Times New Roman"/>
          <w:sz w:val="24"/>
          <w:szCs w:val="24"/>
          <w:u w:val="single"/>
          <w:lang w:eastAsia="pl-PL"/>
        </w:rPr>
        <w:t>ust. 4a</w:t>
      </w:r>
      <w:r w:rsidRPr="00A720EE">
        <w:rPr>
          <w:rFonts w:ascii="Times New Roman" w:eastAsiaTheme="minorEastAsia" w:hAnsi="Times New Roman" w:cs="Times New Roman"/>
          <w:sz w:val="24"/>
          <w:szCs w:val="24"/>
          <w:lang w:eastAsia="pl-PL"/>
        </w:rPr>
        <w:t xml:space="preserve"> dotyczącego określania dochodu z tytułu wydatków niezwiązanych z działalnością gospodarczą w przypadku wykorzystywania składników majątku (np. samochodów osobowych) wyłącznie na cele działalności gospodarczej lub na cele działalności gospodarczej oraz inne cele niezwiązane z działalnością gospodarczą. Zgodnie z proponowanym brzmieniem art. 28m ust. 4a wydatki, odpisy amortyzacyjne oraz odpisy z tytułu trwałej utraty wartości związane z wykorzystywaniem </w:t>
      </w:r>
      <w:r w:rsidRPr="00A720EE">
        <w:rPr>
          <w:rFonts w:ascii="Times New Roman" w:eastAsiaTheme="minorEastAsia" w:hAnsi="Times New Roman" w:cs="Times New Roman"/>
          <w:sz w:val="24"/>
          <w:szCs w:val="24"/>
          <w:lang w:eastAsia="pl-PL"/>
        </w:rPr>
        <w:lastRenderedPageBreak/>
        <w:t xml:space="preserve">składników majątku wyłącznie na cele działalności gospodarczej nie stanowią wydatków niezwiązanych z działalnością gospodarczą w 100%, natomiast w przypadku wykorzystywania składników majątku zarówno na cele działalności gospodarczej oraz na cele prywatne, wydatki, odpisy amortyzacyjne oraz odpisy z tytułu trwałej utraty wartości z nimi związane, nie stanowią wydatków niezwiązanych z działalnością gospodarczą w 50%. </w:t>
      </w:r>
    </w:p>
    <w:p w14:paraId="5FF1FEA4" w14:textId="77777777" w:rsidR="003A3719"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 kolei w art. 28m </w:t>
      </w:r>
      <w:r w:rsidRPr="00A720EE">
        <w:rPr>
          <w:rFonts w:ascii="Times New Roman" w:eastAsiaTheme="minorEastAsia" w:hAnsi="Times New Roman" w:cs="Times New Roman"/>
          <w:sz w:val="24"/>
          <w:szCs w:val="24"/>
          <w:u w:val="single"/>
          <w:lang w:eastAsia="pl-PL"/>
        </w:rPr>
        <w:t>ust. 5</w:t>
      </w:r>
      <w:r w:rsidRPr="00A720EE">
        <w:rPr>
          <w:rFonts w:ascii="Times New Roman" w:eastAsiaTheme="minorEastAsia" w:hAnsi="Times New Roman" w:cs="Times New Roman"/>
          <w:sz w:val="24"/>
          <w:szCs w:val="24"/>
          <w:lang w:eastAsia="pl-PL"/>
        </w:rPr>
        <w:t xml:space="preserve"> ustawy CIT</w:t>
      </w:r>
      <w:r w:rsidR="00980921" w:rsidRPr="00A720EE">
        <w:rPr>
          <w:rFonts w:ascii="Times New Roman" w:eastAsiaTheme="minorEastAsia" w:hAnsi="Times New Roman" w:cs="Times New Roman"/>
          <w:sz w:val="24"/>
          <w:szCs w:val="24"/>
          <w:lang w:eastAsia="pl-PL"/>
        </w:rPr>
        <w:t xml:space="preserve"> wyrazy „W przypadku” zastępuje się wyrazami </w:t>
      </w:r>
      <w:r w:rsidR="004245DA" w:rsidRPr="00A720EE">
        <w:rPr>
          <w:rFonts w:ascii="Times New Roman" w:eastAsiaTheme="minorEastAsia" w:hAnsi="Times New Roman" w:cs="Times New Roman"/>
          <w:sz w:val="24"/>
          <w:szCs w:val="24"/>
          <w:lang w:eastAsia="pl-PL"/>
        </w:rPr>
        <w:br/>
      </w:r>
      <w:r w:rsidR="00980921" w:rsidRPr="00A720EE">
        <w:rPr>
          <w:rFonts w:ascii="Times New Roman" w:eastAsiaTheme="minorEastAsia" w:hAnsi="Times New Roman" w:cs="Times New Roman"/>
          <w:sz w:val="24"/>
          <w:szCs w:val="24"/>
          <w:lang w:eastAsia="pl-PL"/>
        </w:rPr>
        <w:t>„W przypadkach” oraz</w:t>
      </w:r>
      <w:r w:rsidRPr="00A720EE">
        <w:rPr>
          <w:rFonts w:ascii="Times New Roman" w:eastAsiaTheme="minorEastAsia" w:hAnsi="Times New Roman" w:cs="Times New Roman"/>
          <w:sz w:val="24"/>
          <w:szCs w:val="24"/>
          <w:lang w:eastAsia="pl-PL"/>
        </w:rPr>
        <w:t xml:space="preserve"> wyrazy „o którym mowa w ust. 4 pkt 2 lit. a” zastępuje się wyrazami </w:t>
      </w:r>
      <w:r w:rsidR="004245DA" w:rsidRPr="00A720EE">
        <w:rPr>
          <w:rFonts w:ascii="Times New Roman" w:eastAsiaTheme="minorEastAsia" w:hAnsi="Times New Roman" w:cs="Times New Roman"/>
          <w:sz w:val="24"/>
          <w:szCs w:val="24"/>
          <w:lang w:eastAsia="pl-PL"/>
        </w:rPr>
        <w:br/>
      </w:r>
      <w:r w:rsidRPr="00A720EE">
        <w:rPr>
          <w:rFonts w:ascii="Times New Roman" w:eastAsiaTheme="minorEastAsia" w:hAnsi="Times New Roman" w:cs="Times New Roman"/>
          <w:sz w:val="24"/>
          <w:szCs w:val="24"/>
          <w:lang w:eastAsia="pl-PL"/>
        </w:rPr>
        <w:t xml:space="preserve">„o których mowa w ust. 4 pkt 2 lit. a oraz ust. 4a pkt 1”. </w:t>
      </w:r>
    </w:p>
    <w:p w14:paraId="61C2C2C7" w14:textId="77777777" w:rsidR="00DC7078" w:rsidRPr="00A720EE" w:rsidRDefault="00980921" w:rsidP="00010C6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Powyższa zmiana przesą</w:t>
      </w:r>
      <w:r w:rsidR="003A3719" w:rsidRPr="00A720EE">
        <w:rPr>
          <w:rFonts w:ascii="Times New Roman" w:eastAsiaTheme="minorEastAsia" w:hAnsi="Times New Roman" w:cs="Times New Roman"/>
          <w:sz w:val="24"/>
          <w:szCs w:val="24"/>
          <w:lang w:eastAsia="pl-PL"/>
        </w:rPr>
        <w:t>dza o tym, że ciężar dowodu, iż składnik majątku jest wykorzystywany wyłącznie na cele działalności gospodarczej spoczywa na podatniku.</w:t>
      </w:r>
    </w:p>
    <w:p w14:paraId="07B72709" w14:textId="65D27833" w:rsidR="00270705" w:rsidRPr="00A720EE" w:rsidRDefault="00DC7078"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4121B3" w:rsidRPr="00A720EE">
        <w:rPr>
          <w:rFonts w:ascii="Times New Roman" w:eastAsiaTheme="minorEastAsia" w:hAnsi="Times New Roman" w:cs="Times New Roman"/>
          <w:b/>
          <w:sz w:val="24"/>
          <w:szCs w:val="24"/>
          <w:lang w:eastAsia="pl-PL"/>
        </w:rPr>
        <w:t>3</w:t>
      </w:r>
      <w:r w:rsidR="00B61236" w:rsidRPr="00A720EE">
        <w:rPr>
          <w:rFonts w:ascii="Times New Roman" w:eastAsiaTheme="minorEastAsia" w:hAnsi="Times New Roman" w:cs="Times New Roman"/>
          <w:b/>
          <w:sz w:val="24"/>
          <w:szCs w:val="24"/>
          <w:lang w:eastAsia="pl-PL"/>
        </w:rPr>
        <w:t>1</w:t>
      </w:r>
      <w:r w:rsidRPr="00A720EE">
        <w:rPr>
          <w:rFonts w:ascii="Times New Roman" w:eastAsiaTheme="minorEastAsia" w:hAnsi="Times New Roman" w:cs="Times New Roman"/>
          <w:b/>
          <w:sz w:val="24"/>
          <w:szCs w:val="24"/>
          <w:lang w:eastAsia="pl-PL"/>
        </w:rPr>
        <w:t xml:space="preserve"> </w:t>
      </w:r>
      <w:r w:rsidR="00270705" w:rsidRPr="00A720EE">
        <w:rPr>
          <w:rFonts w:ascii="Times New Roman" w:eastAsiaTheme="minorEastAsia" w:hAnsi="Times New Roman" w:cs="Times New Roman"/>
          <w:b/>
          <w:sz w:val="24"/>
          <w:szCs w:val="24"/>
          <w:lang w:eastAsia="pl-PL"/>
        </w:rPr>
        <w:t>– dotyczy art. 28n ust. 1 pkt</w:t>
      </w:r>
      <w:r w:rsidR="00A301CA" w:rsidRPr="00A720EE">
        <w:rPr>
          <w:rFonts w:ascii="Times New Roman" w:eastAsiaTheme="minorEastAsia" w:hAnsi="Times New Roman" w:cs="Times New Roman"/>
          <w:b/>
          <w:sz w:val="24"/>
          <w:szCs w:val="24"/>
          <w:lang w:eastAsia="pl-PL"/>
        </w:rPr>
        <w:t xml:space="preserve"> </w:t>
      </w:r>
      <w:r w:rsidR="001C1B6E" w:rsidRPr="00A720EE">
        <w:rPr>
          <w:rFonts w:ascii="Times New Roman" w:eastAsiaTheme="minorEastAsia" w:hAnsi="Times New Roman" w:cs="Times New Roman"/>
          <w:b/>
          <w:sz w:val="24"/>
          <w:szCs w:val="24"/>
          <w:lang w:eastAsia="pl-PL"/>
        </w:rPr>
        <w:t>1</w:t>
      </w:r>
      <w:r w:rsidR="00270705" w:rsidRPr="00A720EE">
        <w:rPr>
          <w:rFonts w:ascii="Times New Roman" w:eastAsiaTheme="minorEastAsia" w:hAnsi="Times New Roman" w:cs="Times New Roman"/>
          <w:b/>
          <w:sz w:val="24"/>
          <w:szCs w:val="24"/>
          <w:lang w:eastAsia="pl-PL"/>
        </w:rPr>
        <w:t xml:space="preserve"> i ust. 2</w:t>
      </w:r>
    </w:p>
    <w:p w14:paraId="18613679" w14:textId="77777777" w:rsidR="003A3719"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art. 28n </w:t>
      </w:r>
      <w:r w:rsidRPr="00A720EE">
        <w:rPr>
          <w:rFonts w:ascii="Times New Roman" w:eastAsiaTheme="minorEastAsia" w:hAnsi="Times New Roman" w:cs="Times New Roman"/>
          <w:sz w:val="24"/>
          <w:szCs w:val="24"/>
          <w:u w:val="single"/>
          <w:lang w:eastAsia="pl-PL"/>
        </w:rPr>
        <w:t>ust. 1</w:t>
      </w:r>
      <w:r w:rsidRPr="00A720EE">
        <w:rPr>
          <w:rFonts w:ascii="Times New Roman" w:eastAsiaTheme="minorEastAsia" w:hAnsi="Times New Roman" w:cs="Times New Roman"/>
          <w:sz w:val="24"/>
          <w:szCs w:val="24"/>
          <w:lang w:eastAsia="pl-PL"/>
        </w:rPr>
        <w:t xml:space="preserve"> ustawy CIT wyrazy „ustalona w miesiącu” zastępuje się wyrazami „ustalona w roku podatkowym”, natomiast </w:t>
      </w:r>
      <w:r w:rsidRPr="00A720EE">
        <w:rPr>
          <w:rFonts w:ascii="Times New Roman" w:eastAsiaTheme="minorEastAsia" w:hAnsi="Times New Roman" w:cs="Times New Roman"/>
          <w:sz w:val="24"/>
          <w:szCs w:val="24"/>
          <w:u w:val="single"/>
          <w:lang w:eastAsia="pl-PL"/>
        </w:rPr>
        <w:t>ust. 2</w:t>
      </w:r>
      <w:r w:rsidR="00980921" w:rsidRPr="00A720EE">
        <w:rPr>
          <w:rFonts w:ascii="Times New Roman" w:eastAsiaTheme="minorEastAsia" w:hAnsi="Times New Roman" w:cs="Times New Roman"/>
          <w:sz w:val="24"/>
          <w:szCs w:val="24"/>
          <w:lang w:eastAsia="pl-PL"/>
        </w:rPr>
        <w:t xml:space="preserve"> w art. 28n ustawy</w:t>
      </w:r>
      <w:r w:rsidRPr="00A720EE">
        <w:rPr>
          <w:rFonts w:ascii="Times New Roman" w:eastAsiaTheme="minorEastAsia" w:hAnsi="Times New Roman" w:cs="Times New Roman"/>
          <w:sz w:val="24"/>
          <w:szCs w:val="24"/>
          <w:lang w:eastAsia="pl-PL"/>
        </w:rPr>
        <w:t xml:space="preserve"> CIT zostaje uchylony.</w:t>
      </w:r>
    </w:p>
    <w:p w14:paraId="64738E41" w14:textId="77777777" w:rsidR="00270705"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sz w:val="24"/>
          <w:szCs w:val="24"/>
          <w:lang w:eastAsia="pl-PL"/>
        </w:rPr>
        <w:t>Powyższe zmiany są konsekwencją przesunięcia terminu zapłaty ryczałtu od dochodu z tytułu podzielonego zysku i dochodu z tytułu zysku na pokrycie strat, zaliczek na poczet przewidywanej dywidendy oraz ryczałtu od rozdysponowanego dochodu z tytułu zysku netto (zmiana art. 28t ust. 1 pkt 1-2 ustawy CIT).</w:t>
      </w:r>
    </w:p>
    <w:p w14:paraId="40254CB3" w14:textId="4BC02048" w:rsidR="001C1B6E" w:rsidRPr="00A720EE" w:rsidRDefault="00D8735C"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910DC5" w:rsidRPr="00A720EE">
        <w:rPr>
          <w:rFonts w:ascii="Times New Roman" w:eastAsiaTheme="minorEastAsia" w:hAnsi="Times New Roman" w:cs="Times New Roman"/>
          <w:b/>
          <w:sz w:val="24"/>
          <w:szCs w:val="24"/>
          <w:lang w:eastAsia="pl-PL"/>
        </w:rPr>
        <w:t>3</w:t>
      </w:r>
      <w:r w:rsidR="00B61236" w:rsidRPr="00A720EE">
        <w:rPr>
          <w:rFonts w:ascii="Times New Roman" w:eastAsiaTheme="minorEastAsia" w:hAnsi="Times New Roman" w:cs="Times New Roman"/>
          <w:b/>
          <w:sz w:val="24"/>
          <w:szCs w:val="24"/>
          <w:lang w:eastAsia="pl-PL"/>
        </w:rPr>
        <w:t>2</w:t>
      </w:r>
      <w:r w:rsidR="00245E6E" w:rsidRPr="00A720EE">
        <w:rPr>
          <w:rFonts w:ascii="Times New Roman" w:eastAsiaTheme="minorEastAsia" w:hAnsi="Times New Roman" w:cs="Times New Roman"/>
          <w:b/>
          <w:sz w:val="24"/>
          <w:szCs w:val="24"/>
          <w:lang w:eastAsia="pl-PL"/>
        </w:rPr>
        <w:t xml:space="preserve"> </w:t>
      </w:r>
      <w:r w:rsidR="00270705" w:rsidRPr="00A720EE">
        <w:rPr>
          <w:rFonts w:ascii="Times New Roman" w:eastAsiaTheme="minorEastAsia" w:hAnsi="Times New Roman" w:cs="Times New Roman"/>
          <w:b/>
          <w:sz w:val="24"/>
          <w:szCs w:val="24"/>
          <w:lang w:eastAsia="pl-PL"/>
        </w:rPr>
        <w:t xml:space="preserve">– dotyczy art. 28r ust. 3 </w:t>
      </w:r>
    </w:p>
    <w:p w14:paraId="71FC36E1" w14:textId="77777777" w:rsidR="003A3719"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art. 28r </w:t>
      </w:r>
      <w:r w:rsidRPr="00A720EE">
        <w:rPr>
          <w:rFonts w:ascii="Times New Roman" w:eastAsiaTheme="minorEastAsia" w:hAnsi="Times New Roman" w:cs="Times New Roman"/>
          <w:sz w:val="24"/>
          <w:szCs w:val="24"/>
          <w:u w:val="single"/>
          <w:lang w:eastAsia="pl-PL"/>
        </w:rPr>
        <w:t>ust. 3</w:t>
      </w:r>
      <w:r w:rsidRPr="00A720EE">
        <w:rPr>
          <w:rFonts w:ascii="Times New Roman" w:eastAsiaTheme="minorEastAsia" w:hAnsi="Times New Roman" w:cs="Times New Roman"/>
          <w:sz w:val="24"/>
          <w:szCs w:val="24"/>
          <w:lang w:eastAsia="pl-PL"/>
        </w:rPr>
        <w:t xml:space="preserve"> ustawy CIT wyrazy „do 20. dnia miesiąca następującego po miesiącu” zastępuje się wyrazami „w terminie do końca trzeciego miesiąca roku podatkowego następującego po roku”, a ostatnie zdanie zostaje wykreślone.</w:t>
      </w:r>
    </w:p>
    <w:p w14:paraId="73D25D5B" w14:textId="77777777" w:rsidR="00270705"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jest konsekwencją przesunięcia terminu zapłaty ryczałtu od dochodu z tytułu podzielonego zysku i dochodu z tytułu zysku na pokrycie strat, zaliczek na poczet przewidywanej dywidendy oraz ryczałtu od rozdysponowanego dochodu z tytułu zysku netto (zmiana art. 28t ust. 1 pkt 1-2 ustawy CIT).</w:t>
      </w:r>
    </w:p>
    <w:p w14:paraId="68546391" w14:textId="63781BD5" w:rsidR="00270705" w:rsidRPr="00A720EE" w:rsidRDefault="00D8735C"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6E6570" w:rsidRPr="00A720EE">
        <w:rPr>
          <w:rFonts w:ascii="Times New Roman" w:eastAsiaTheme="minorEastAsia" w:hAnsi="Times New Roman" w:cs="Times New Roman"/>
          <w:b/>
          <w:sz w:val="24"/>
          <w:szCs w:val="24"/>
          <w:lang w:eastAsia="pl-PL"/>
        </w:rPr>
        <w:t>3</w:t>
      </w:r>
      <w:r w:rsidR="00B61236" w:rsidRPr="00A720EE">
        <w:rPr>
          <w:rFonts w:ascii="Times New Roman" w:eastAsiaTheme="minorEastAsia" w:hAnsi="Times New Roman" w:cs="Times New Roman"/>
          <w:b/>
          <w:sz w:val="24"/>
          <w:szCs w:val="24"/>
          <w:lang w:eastAsia="pl-PL"/>
        </w:rPr>
        <w:t>3</w:t>
      </w:r>
      <w:r w:rsidR="00270705" w:rsidRPr="00A720EE">
        <w:rPr>
          <w:rFonts w:ascii="Times New Roman" w:eastAsiaTheme="minorEastAsia" w:hAnsi="Times New Roman" w:cs="Times New Roman"/>
          <w:b/>
          <w:sz w:val="24"/>
          <w:szCs w:val="24"/>
          <w:lang w:eastAsia="pl-PL"/>
        </w:rPr>
        <w:t xml:space="preserve"> – dotyczy art. 28t ust. 1 pkt 1 i 2</w:t>
      </w:r>
    </w:p>
    <w:p w14:paraId="087CA718" w14:textId="77777777" w:rsidR="003A3719"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W art. 28t </w:t>
      </w:r>
      <w:r w:rsidRPr="00A720EE">
        <w:rPr>
          <w:rFonts w:ascii="Times New Roman" w:eastAsiaTheme="minorEastAsia" w:hAnsi="Times New Roman" w:cs="Times New Roman"/>
          <w:sz w:val="24"/>
          <w:szCs w:val="24"/>
          <w:u w:val="single"/>
          <w:lang w:eastAsia="pl-PL"/>
        </w:rPr>
        <w:t>ust. 1 p</w:t>
      </w:r>
      <w:r w:rsidR="00980921" w:rsidRPr="00A720EE">
        <w:rPr>
          <w:rFonts w:ascii="Times New Roman" w:eastAsiaTheme="minorEastAsia" w:hAnsi="Times New Roman" w:cs="Times New Roman"/>
          <w:sz w:val="24"/>
          <w:szCs w:val="24"/>
          <w:u w:val="single"/>
          <w:lang w:eastAsia="pl-PL"/>
        </w:rPr>
        <w:t>kt 1</w:t>
      </w:r>
      <w:r w:rsidR="00980921" w:rsidRPr="00A720EE">
        <w:rPr>
          <w:rFonts w:ascii="Times New Roman" w:eastAsiaTheme="minorEastAsia" w:hAnsi="Times New Roman" w:cs="Times New Roman"/>
          <w:sz w:val="24"/>
          <w:szCs w:val="24"/>
          <w:lang w:eastAsia="pl-PL"/>
        </w:rPr>
        <w:t xml:space="preserve"> ustawy CIT wyrazy „do 20. d</w:t>
      </w:r>
      <w:r w:rsidRPr="00A720EE">
        <w:rPr>
          <w:rFonts w:ascii="Times New Roman" w:eastAsiaTheme="minorEastAsia" w:hAnsi="Times New Roman" w:cs="Times New Roman"/>
          <w:sz w:val="24"/>
          <w:szCs w:val="24"/>
          <w:lang w:eastAsia="pl-PL"/>
        </w:rPr>
        <w:t xml:space="preserve">nia siódmego miesiąca roku podatkowego” zastępuje się wyrazami „do końca trzeciego miesiąca roku podatkowego następującego po roku, w którym podjęto uchwałę o podziale lub pokryciu wyniku finansowego netto”, natomiast w art. 28t </w:t>
      </w:r>
      <w:r w:rsidRPr="00A720EE">
        <w:rPr>
          <w:rFonts w:ascii="Times New Roman" w:eastAsiaTheme="minorEastAsia" w:hAnsi="Times New Roman" w:cs="Times New Roman"/>
          <w:sz w:val="24"/>
          <w:szCs w:val="24"/>
          <w:u w:val="single"/>
          <w:lang w:eastAsia="pl-PL"/>
        </w:rPr>
        <w:t>ust. 1 pkt 2</w:t>
      </w:r>
      <w:r w:rsidRPr="00A720EE">
        <w:rPr>
          <w:rFonts w:ascii="Times New Roman" w:eastAsiaTheme="minorEastAsia" w:hAnsi="Times New Roman" w:cs="Times New Roman"/>
          <w:sz w:val="24"/>
          <w:szCs w:val="24"/>
          <w:lang w:eastAsia="pl-PL"/>
        </w:rPr>
        <w:t xml:space="preserve"> ustawy CIT wyrazy „do 20. dnia miesiąca następującego po miesiącu” zastępuje się wyrazami „do końca trzeciego miesiąca roku podatkowego następującego po roku” a ponadto wykreśla się wyrazy „nie później niż do 20. dnia siódmego miesiąca roku podatkowego, w którym dokonano tej dyspozycji”</w:t>
      </w:r>
      <w:r w:rsidR="001D0256"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  </w:t>
      </w:r>
    </w:p>
    <w:p w14:paraId="3122E909" w14:textId="05131CCE" w:rsidR="00270705" w:rsidRPr="00A720EE" w:rsidRDefault="003A3719" w:rsidP="003A3719">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Powyższa propozycja zmian dotyczy przesunięcia terminu zapłaty ryczałtu od dochodu z tytułu podzielonego zysku i dochodu z tytułu zysku na pokrycie strat, zaliczek na poczet przewidywanej dywidendy oraz ryczałtu od rozdysponowanego dochodu z tytułu zysku netto. Celem proponowanej zmiany jest wyeliminowanie obowiązku zapłaty odsetek w przypadku podziału lub pokrycia wyniku finansowego netto, wypłaty zaliczek na poczet przewidywanej dywidendy lub rozdysponowania dochodem z tytułu zysku netto po zakońc</w:t>
      </w:r>
      <w:r w:rsidR="001D0256" w:rsidRPr="00A720EE">
        <w:rPr>
          <w:rFonts w:ascii="Times New Roman" w:eastAsiaTheme="minorEastAsia" w:hAnsi="Times New Roman" w:cs="Times New Roman"/>
          <w:sz w:val="24"/>
          <w:szCs w:val="24"/>
          <w:lang w:eastAsia="pl-PL"/>
        </w:rPr>
        <w:t xml:space="preserve">zeniu </w:t>
      </w:r>
      <w:r w:rsidR="001D0256" w:rsidRPr="00A720EE">
        <w:rPr>
          <w:rFonts w:ascii="Times New Roman" w:eastAsiaTheme="minorEastAsia" w:hAnsi="Times New Roman" w:cs="Times New Roman"/>
          <w:sz w:val="24"/>
          <w:szCs w:val="24"/>
          <w:lang w:eastAsia="pl-PL"/>
        </w:rPr>
        <w:lastRenderedPageBreak/>
        <w:t xml:space="preserve">opodatkowania ryczałtem, </w:t>
      </w:r>
      <w:r w:rsidRPr="00A720EE">
        <w:rPr>
          <w:rFonts w:ascii="Times New Roman" w:eastAsiaTheme="minorEastAsia" w:hAnsi="Times New Roman" w:cs="Times New Roman"/>
          <w:sz w:val="24"/>
          <w:szCs w:val="24"/>
          <w:lang w:eastAsia="pl-PL"/>
        </w:rPr>
        <w:t>po szóstym miesiącu roku podatkowego. Obecnie termin zapłaty podatku upływa z dniem 20. dnia siódmego miesiąca danego roku podatkowego. Proponuje się przedłużenie terminu do zapłaty podatku do końca 3-go miesiąca roku podatkowego następującego po roku podatkowym, w którym powstał obowiązek podatkowy.</w:t>
      </w:r>
    </w:p>
    <w:p w14:paraId="2352C348" w14:textId="53B4004A" w:rsidR="00A879E2" w:rsidRPr="00A720EE" w:rsidRDefault="00D01D50" w:rsidP="00A879E2">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1 pkt </w:t>
      </w:r>
      <w:r w:rsidR="00B61236" w:rsidRPr="00A720EE">
        <w:rPr>
          <w:rFonts w:ascii="Times New Roman" w:eastAsiaTheme="minorEastAsia" w:hAnsi="Times New Roman" w:cs="Times New Roman"/>
          <w:b/>
          <w:sz w:val="24"/>
          <w:szCs w:val="24"/>
          <w:lang w:eastAsia="pl-PL"/>
        </w:rPr>
        <w:t>34</w:t>
      </w:r>
      <w:r w:rsidR="00280853" w:rsidRPr="00A720EE">
        <w:rPr>
          <w:rFonts w:ascii="Times New Roman" w:eastAsiaTheme="minorEastAsia" w:hAnsi="Times New Roman" w:cs="Times New Roman"/>
          <w:b/>
          <w:sz w:val="24"/>
          <w:szCs w:val="24"/>
          <w:lang w:eastAsia="pl-PL"/>
        </w:rPr>
        <w:t xml:space="preserve"> </w:t>
      </w:r>
      <w:r w:rsidR="00066A1B" w:rsidRPr="00A720EE">
        <w:rPr>
          <w:rFonts w:ascii="Times New Roman" w:eastAsiaTheme="minorEastAsia" w:hAnsi="Times New Roman" w:cs="Times New Roman"/>
          <w:b/>
          <w:sz w:val="24"/>
          <w:szCs w:val="24"/>
          <w:lang w:eastAsia="pl-PL"/>
        </w:rPr>
        <w:t xml:space="preserve">– dotyczy </w:t>
      </w:r>
      <w:r w:rsidR="00A879E2" w:rsidRPr="00A720EE">
        <w:rPr>
          <w:rFonts w:ascii="Times New Roman" w:eastAsiaTheme="minorEastAsia" w:hAnsi="Times New Roman" w:cs="Times New Roman"/>
          <w:b/>
          <w:sz w:val="24"/>
          <w:szCs w:val="24"/>
          <w:lang w:eastAsia="pl-PL"/>
        </w:rPr>
        <w:t>art. 38hb ust. 1 i 2</w:t>
      </w:r>
    </w:p>
    <w:p w14:paraId="391A5FCC" w14:textId="77777777" w:rsidR="00A879E2" w:rsidRPr="00A720EE" w:rsidRDefault="00A879E2" w:rsidP="00A879E2">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sz w:val="24"/>
          <w:szCs w:val="24"/>
          <w:lang w:eastAsia="pl-PL"/>
        </w:rPr>
        <w:t xml:space="preserve">Wprowadzona regulacja w </w:t>
      </w:r>
      <w:r w:rsidRPr="00A720EE">
        <w:rPr>
          <w:rFonts w:ascii="Times New Roman" w:eastAsiaTheme="minorEastAsia" w:hAnsi="Times New Roman" w:cs="Times New Roman"/>
          <w:sz w:val="24"/>
          <w:szCs w:val="24"/>
          <w:u w:val="single"/>
          <w:lang w:eastAsia="pl-PL"/>
        </w:rPr>
        <w:t>ust. 1</w:t>
      </w:r>
      <w:r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bCs/>
          <w:sz w:val="24"/>
          <w:szCs w:val="24"/>
          <w:lang w:eastAsia="pl-PL"/>
        </w:rPr>
        <w:t xml:space="preserve">przewiduje zwolnienie od minimalnego podatku dochodowego w okresie 2 lat, tj. od dnia 1 stycznia 2022 r. do dnia 31 grudnia 2023 r. Zgodnie z </w:t>
      </w:r>
      <w:r w:rsidRPr="00A720EE">
        <w:rPr>
          <w:rFonts w:ascii="Times New Roman" w:eastAsiaTheme="minorEastAsia" w:hAnsi="Times New Roman" w:cs="Times New Roman"/>
          <w:bCs/>
          <w:sz w:val="24"/>
          <w:szCs w:val="24"/>
          <w:u w:val="single"/>
          <w:lang w:eastAsia="pl-PL"/>
        </w:rPr>
        <w:t>ust. 2</w:t>
      </w:r>
      <w:r w:rsidRPr="00A720EE">
        <w:rPr>
          <w:rFonts w:ascii="Times New Roman" w:eastAsiaTheme="minorEastAsia" w:hAnsi="Times New Roman" w:cs="Times New Roman"/>
          <w:bCs/>
          <w:sz w:val="24"/>
          <w:szCs w:val="24"/>
          <w:lang w:eastAsia="pl-PL"/>
        </w:rPr>
        <w:t xml:space="preserve"> w przypadku podatników z innym niż kalendarzowy rokiem podatkowym rozpoczętym przed</w:t>
      </w:r>
      <w:r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bCs/>
          <w:sz w:val="24"/>
          <w:szCs w:val="24"/>
          <w:lang w:eastAsia="pl-PL"/>
        </w:rPr>
        <w:t>dniem 1 stycznia 2024 r. i zakończonym po dniu 31 grudnia 2023 r., zwolnienie będzie stosowane do zakończenia takiego roku podatkowego. Zwolnienie znajdzie zastosowanie do dochodów (przychodów) osiągniętych od dnia 1 stycznia 2022 r. (art. 9 ust. 3 projektu).</w:t>
      </w:r>
    </w:p>
    <w:p w14:paraId="43D9E941" w14:textId="77777777" w:rsidR="00A879E2" w:rsidRPr="00A720EE" w:rsidRDefault="00A879E2" w:rsidP="00A879E2">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Celem wprowadzanego rozwiązania jest zapobiegnięcie negatywnym konsekwencjom obowiązywania tego podatku, w tym realnemu ryzyku zaburzenia konkurencji i utraty płynności finansowej, w okolicznościach, gdy zawirowania polityczno-gospodarcze mają wpływ na globalną gospodarkę i tym samym na funkcjonujące w jej przestrzeni podmioty. Intencją proponowanego rozwiązania jest przy tym zbliżenie niniejszych przepisów do celów, które miały realizować.</w:t>
      </w:r>
    </w:p>
    <w:p w14:paraId="19D63BC8" w14:textId="6D00D7D6" w:rsidR="00A879E2" w:rsidRPr="00A720EE" w:rsidRDefault="00A879E2" w:rsidP="00A879E2">
      <w:pPr>
        <w:widowControl w:val="0"/>
        <w:autoSpaceDE w:val="0"/>
        <w:autoSpaceDN w:val="0"/>
        <w:adjustRightInd w:val="0"/>
        <w:spacing w:before="120" w:after="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sz w:val="24"/>
          <w:szCs w:val="24"/>
          <w:lang w:eastAsia="pl-PL"/>
        </w:rPr>
        <w:t>Zwolnienie z obowiązku zapłaty minimalnego podatku dochodowego w latach 2022</w:t>
      </w:r>
      <w:r w:rsidR="00266E38" w:rsidRPr="00A720EE">
        <w:rPr>
          <w:rFonts w:ascii="Times New Roman" w:eastAsiaTheme="minorEastAsia" w:hAnsi="Times New Roman" w:cs="Times New Roman"/>
          <w:sz w:val="24"/>
          <w:szCs w:val="24"/>
          <w:lang w:eastAsia="pl-PL"/>
        </w:rPr>
        <w:t>-</w:t>
      </w:r>
      <w:r w:rsidRPr="00A720EE">
        <w:rPr>
          <w:rFonts w:ascii="Times New Roman" w:eastAsiaTheme="minorEastAsia" w:hAnsi="Times New Roman" w:cs="Times New Roman"/>
          <w:sz w:val="24"/>
          <w:szCs w:val="24"/>
          <w:lang w:eastAsia="pl-PL"/>
        </w:rPr>
        <w:t xml:space="preserve">2023 jest uzasadnione w szczególności w świetle aktualnej sytuacji geopolitycznej i związanych z nią zaburzeń na polu gospodarczym (przerwane łańcuchy dostaw, utrata rynków zbytu, nienotowane w XXI w. poziomy CPI i PPI, </w:t>
      </w:r>
      <w:r w:rsidR="00243AD4" w:rsidRPr="00A720EE">
        <w:rPr>
          <w:rFonts w:ascii="Times New Roman" w:eastAsiaTheme="minorEastAsia" w:hAnsi="Times New Roman" w:cs="Times New Roman"/>
          <w:sz w:val="24"/>
          <w:szCs w:val="24"/>
          <w:lang w:eastAsia="pl-PL"/>
        </w:rPr>
        <w:t xml:space="preserve">ryzyko powstania </w:t>
      </w:r>
      <w:r w:rsidRPr="00A720EE">
        <w:rPr>
          <w:rFonts w:ascii="Times New Roman" w:eastAsiaTheme="minorEastAsia" w:hAnsi="Times New Roman" w:cs="Times New Roman"/>
          <w:sz w:val="24"/>
          <w:szCs w:val="24"/>
          <w:lang w:eastAsia="pl-PL"/>
        </w:rPr>
        <w:t>spiral</w:t>
      </w:r>
      <w:r w:rsidR="00243AD4" w:rsidRPr="00A720EE">
        <w:rPr>
          <w:rFonts w:ascii="Times New Roman" w:eastAsiaTheme="minorEastAsia" w:hAnsi="Times New Roman" w:cs="Times New Roman"/>
          <w:sz w:val="24"/>
          <w:szCs w:val="24"/>
          <w:lang w:eastAsia="pl-PL"/>
        </w:rPr>
        <w:t>i</w:t>
      </w:r>
      <w:r w:rsidRPr="00A720EE">
        <w:rPr>
          <w:rFonts w:ascii="Times New Roman" w:eastAsiaTheme="minorEastAsia" w:hAnsi="Times New Roman" w:cs="Times New Roman"/>
          <w:sz w:val="24"/>
          <w:szCs w:val="24"/>
          <w:lang w:eastAsia="pl-PL"/>
        </w:rPr>
        <w:t xml:space="preserve"> płacowo-cenow</w:t>
      </w:r>
      <w:r w:rsidR="00243AD4" w:rsidRPr="00A720EE">
        <w:rPr>
          <w:rFonts w:ascii="Times New Roman" w:eastAsiaTheme="minorEastAsia" w:hAnsi="Times New Roman" w:cs="Times New Roman"/>
          <w:sz w:val="24"/>
          <w:szCs w:val="24"/>
          <w:lang w:eastAsia="pl-PL"/>
        </w:rPr>
        <w:t>ej</w:t>
      </w:r>
      <w:r w:rsidRPr="00A720EE">
        <w:rPr>
          <w:rFonts w:ascii="Times New Roman" w:eastAsiaTheme="minorEastAsia" w:hAnsi="Times New Roman" w:cs="Times New Roman"/>
          <w:sz w:val="24"/>
          <w:szCs w:val="24"/>
          <w:lang w:eastAsia="pl-PL"/>
        </w:rPr>
        <w:t xml:space="preserve"> itp.). Nie</w:t>
      </w:r>
      <w:r w:rsidR="00266E38"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 xml:space="preserve">wszystkie te czynniki mogą być uwzględnione w ramach instrumentu ogólnego jakim jest minimalny podatek dochodowy.    </w:t>
      </w:r>
    </w:p>
    <w:p w14:paraId="4AC020FA" w14:textId="45FBEE5F" w:rsidR="00A879E2" w:rsidRPr="00A720EE" w:rsidRDefault="00A879E2" w:rsidP="00A879E2">
      <w:pPr>
        <w:widowControl w:val="0"/>
        <w:autoSpaceDE w:val="0"/>
        <w:autoSpaceDN w:val="0"/>
        <w:adjustRightInd w:val="0"/>
        <w:spacing w:before="120" w:after="0" w:line="276" w:lineRule="auto"/>
        <w:jc w:val="both"/>
        <w:rPr>
          <w:rFonts w:ascii="Times New Roman" w:eastAsiaTheme="minorEastAsia" w:hAnsi="Times New Roman" w:cs="Times New Roman"/>
          <w:iCs/>
          <w:sz w:val="24"/>
          <w:szCs w:val="24"/>
          <w:lang w:eastAsia="pl-PL"/>
        </w:rPr>
      </w:pPr>
      <w:r w:rsidRPr="00A720EE">
        <w:rPr>
          <w:rFonts w:ascii="Times New Roman" w:eastAsiaTheme="minorEastAsia" w:hAnsi="Times New Roman" w:cs="Times New Roman"/>
          <w:iCs/>
          <w:sz w:val="24"/>
          <w:szCs w:val="24"/>
          <w:lang w:eastAsia="pl-PL"/>
        </w:rPr>
        <w:t>W kontekście relacji projektowanego przepisu do rozporządzenia Ministra Finansów z dnia 28</w:t>
      </w:r>
      <w:r w:rsidR="00266E38" w:rsidRPr="00A720EE">
        <w:rPr>
          <w:rFonts w:ascii="Times New Roman" w:eastAsiaTheme="minorEastAsia" w:hAnsi="Times New Roman" w:cs="Times New Roman"/>
          <w:iCs/>
          <w:sz w:val="24"/>
          <w:szCs w:val="24"/>
          <w:lang w:eastAsia="pl-PL"/>
        </w:rPr>
        <w:t> </w:t>
      </w:r>
      <w:r w:rsidRPr="00A720EE">
        <w:rPr>
          <w:rFonts w:ascii="Times New Roman" w:eastAsiaTheme="minorEastAsia" w:hAnsi="Times New Roman" w:cs="Times New Roman"/>
          <w:iCs/>
          <w:sz w:val="24"/>
          <w:szCs w:val="24"/>
          <w:lang w:eastAsia="pl-PL"/>
        </w:rPr>
        <w:t>czerwca 2022 r.</w:t>
      </w:r>
      <w:r w:rsidRPr="00A720EE">
        <w:rPr>
          <w:rFonts w:ascii="Times New Roman" w:eastAsiaTheme="minorEastAsia" w:hAnsi="Times New Roman" w:cs="Times New Roman"/>
          <w:iCs/>
          <w:sz w:val="24"/>
          <w:szCs w:val="24"/>
          <w:vertAlign w:val="superscript"/>
          <w:lang w:eastAsia="pl-PL"/>
        </w:rPr>
        <w:footnoteReference w:id="26"/>
      </w:r>
      <w:r w:rsidRPr="00A720EE">
        <w:rPr>
          <w:rFonts w:ascii="Times New Roman" w:eastAsiaTheme="minorEastAsia" w:hAnsi="Times New Roman" w:cs="Times New Roman"/>
          <w:iCs/>
          <w:sz w:val="24"/>
          <w:szCs w:val="24"/>
          <w:lang w:eastAsia="pl-PL"/>
        </w:rPr>
        <w:t xml:space="preserve">, należy wskazać, że przepis art. 24ca ustawy CIT obowiązuje od 1 stycznia 2022 r. Potencjalnie mogło zatem dojść do sytuacji, w której podatnik (w szczególności z krótszym niż rok kalendarzowy rokiem podatkowym), byłby zobowiązany do rozliczenia minimalnego podatku dochodowego. </w:t>
      </w:r>
      <w:r w:rsidRPr="00A720EE">
        <w:rPr>
          <w:rFonts w:ascii="Times New Roman" w:eastAsiaTheme="minorEastAsia" w:hAnsi="Times New Roman" w:cs="Times New Roman"/>
          <w:bCs/>
          <w:iCs/>
          <w:sz w:val="24"/>
          <w:szCs w:val="24"/>
          <w:lang w:eastAsia="pl-PL"/>
        </w:rPr>
        <w:t>Zgodnie bowiem z ustawą CIT podatnicy zobowiązani do zapłaty tego podatku czynią to w zeznaniu rocznym składanym do końca trzeciego miesiąca po zakończeniu swego roku podatkowego (ust. 11 art. 24ca ustawy CIT odwołuję się do art. 27 ust. 1 ustawy CIT). W tym samym terminie, w sytuacji osiągnięcia dochodów do opodatkowania za poprzedni rok (które w myśl ustawy CIT rozliczane są w zeznaniu, o którym mowa w art. 27 ust. 1 ustawy CIT), podatnicy winni również wpłacić należny podatek od dochodów osiągniętych w minionym roku podatkowym, w tym także minimalny podatek dochodowy (ust. 12 art. 24ca ustawy CIT).</w:t>
      </w:r>
    </w:p>
    <w:p w14:paraId="47BDEEF0" w14:textId="04CE4391" w:rsidR="00A879E2" w:rsidRPr="00A720EE" w:rsidRDefault="00A879E2" w:rsidP="00A879E2">
      <w:pPr>
        <w:widowControl w:val="0"/>
        <w:autoSpaceDE w:val="0"/>
        <w:autoSpaceDN w:val="0"/>
        <w:adjustRightInd w:val="0"/>
        <w:spacing w:before="120" w:after="0" w:line="276" w:lineRule="auto"/>
        <w:jc w:val="both"/>
        <w:rPr>
          <w:rFonts w:ascii="Times New Roman" w:eastAsiaTheme="minorEastAsia" w:hAnsi="Times New Roman" w:cs="Times New Roman"/>
          <w:iCs/>
          <w:sz w:val="24"/>
          <w:szCs w:val="24"/>
          <w:lang w:eastAsia="pl-PL"/>
        </w:rPr>
      </w:pPr>
      <w:r w:rsidRPr="00A720EE">
        <w:rPr>
          <w:rFonts w:ascii="Times New Roman" w:eastAsiaTheme="minorEastAsia" w:hAnsi="Times New Roman" w:cs="Times New Roman"/>
          <w:iCs/>
          <w:sz w:val="24"/>
          <w:szCs w:val="24"/>
          <w:lang w:eastAsia="pl-PL"/>
        </w:rPr>
        <w:t>W świetle powyższego, zastosowany zabieg legislacyjny (ww. rozporządzenie) przedłużający termin do realizacji wymienionych obowiązków pozwala na uniknięcie opodatkowania wszystkim podatnikom minimalnego podatku dochodowego,</w:t>
      </w:r>
      <w:r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iCs/>
          <w:sz w:val="24"/>
          <w:szCs w:val="24"/>
          <w:lang w:eastAsia="pl-PL"/>
        </w:rPr>
        <w:t xml:space="preserve">których rok podatkowy rozpoczął </w:t>
      </w:r>
      <w:r w:rsidRPr="00A720EE">
        <w:rPr>
          <w:rFonts w:ascii="Times New Roman" w:eastAsiaTheme="minorEastAsia" w:hAnsi="Times New Roman" w:cs="Times New Roman"/>
          <w:iCs/>
          <w:sz w:val="24"/>
          <w:szCs w:val="24"/>
          <w:lang w:eastAsia="pl-PL"/>
        </w:rPr>
        <w:lastRenderedPageBreak/>
        <w:t>się po dniu 31 grudnia 2021 r. a zakończył się do dnia 30 listopada 2022 r. Termin do złożenia zeznania i wpłaty należnego minimalnego CIT wydłużony został do 31 marca 2023</w:t>
      </w:r>
      <w:r w:rsidR="00243AD4" w:rsidRPr="00A720EE">
        <w:rPr>
          <w:rFonts w:ascii="Times New Roman" w:eastAsiaTheme="minorEastAsia" w:hAnsi="Times New Roman" w:cs="Times New Roman"/>
          <w:iCs/>
          <w:sz w:val="24"/>
          <w:szCs w:val="24"/>
          <w:lang w:eastAsia="pl-PL"/>
        </w:rPr>
        <w:t> </w:t>
      </w:r>
      <w:r w:rsidRPr="00A720EE">
        <w:rPr>
          <w:rFonts w:ascii="Times New Roman" w:eastAsiaTheme="minorEastAsia" w:hAnsi="Times New Roman" w:cs="Times New Roman"/>
          <w:iCs/>
          <w:sz w:val="24"/>
          <w:szCs w:val="24"/>
          <w:lang w:eastAsia="pl-PL"/>
        </w:rPr>
        <w:t>r., a zatem, co do zasady, daty rozliczenia tego podatku za 2022 r. Tym samym procedowane w projekcie regulacje dotyczące minimalnego podatku dochodowego stworzyły wraz ze wskazanym rozporządzeniem kompleksową regulację. Celem przyświecającym tym działaniom jest bowiem możliwie najpełniejsze zabezpieczenie sytuacji podatnika przed koniecznością zapłaty minimalnego CIT za 2022 r.</w:t>
      </w:r>
    </w:p>
    <w:p w14:paraId="1C56C23D" w14:textId="1EEA687A" w:rsidR="006742A7" w:rsidRPr="00A720EE" w:rsidRDefault="00A879E2"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iCs/>
          <w:sz w:val="24"/>
          <w:szCs w:val="24"/>
          <w:lang w:eastAsia="pl-PL"/>
        </w:rPr>
        <w:t>Przy czym projektowane przepisy wychodzą o krok dalej, proponując zwolnienie z opodatkowania tą daniną na kolejny rok (2023).</w:t>
      </w:r>
    </w:p>
    <w:p w14:paraId="47666E2F" w14:textId="77777777" w:rsidR="00243AD4" w:rsidRPr="00A720EE" w:rsidRDefault="00243AD4"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u w:val="single"/>
          <w:lang w:eastAsia="pl-PL"/>
        </w:rPr>
      </w:pPr>
    </w:p>
    <w:p w14:paraId="106F8E70" w14:textId="3B59D7D9" w:rsidR="00D22F73" w:rsidRPr="00A720EE" w:rsidRDefault="006742A7" w:rsidP="00010C6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
          <w:sz w:val="24"/>
          <w:szCs w:val="24"/>
          <w:u w:val="single"/>
          <w:lang w:eastAsia="pl-PL"/>
        </w:rPr>
        <w:t xml:space="preserve">Art. 2 projektu ustawy </w:t>
      </w:r>
      <w:r w:rsidRPr="00A720EE">
        <w:rPr>
          <w:rFonts w:ascii="Times New Roman" w:eastAsiaTheme="minorEastAsia" w:hAnsi="Times New Roman" w:cs="Times New Roman"/>
          <w:bCs/>
          <w:sz w:val="24"/>
          <w:szCs w:val="24"/>
          <w:lang w:eastAsia="pl-PL"/>
        </w:rPr>
        <w:t xml:space="preserve">– dotyczy zmian w </w:t>
      </w:r>
      <w:r w:rsidR="00480C02" w:rsidRPr="00A720EE">
        <w:rPr>
          <w:rFonts w:ascii="Times New Roman" w:eastAsiaTheme="minorEastAsia" w:hAnsi="Times New Roman" w:cs="Times New Roman"/>
          <w:bCs/>
          <w:sz w:val="24"/>
          <w:szCs w:val="24"/>
          <w:lang w:eastAsia="pl-PL"/>
        </w:rPr>
        <w:t>art. 18 ust. 2 pkt 4 i ust. 5 pkt 3 ustawy</w:t>
      </w:r>
      <w:r w:rsidRPr="00A720EE">
        <w:rPr>
          <w:rFonts w:ascii="Times New Roman" w:eastAsiaTheme="minorEastAsia" w:hAnsi="Times New Roman" w:cs="Times New Roman"/>
          <w:bCs/>
          <w:sz w:val="24"/>
          <w:szCs w:val="24"/>
          <w:lang w:eastAsia="pl-PL"/>
        </w:rPr>
        <w:t xml:space="preserve"> o podatku od spadków i darowizn</w:t>
      </w:r>
    </w:p>
    <w:p w14:paraId="22B8153D" w14:textId="77777777" w:rsidR="00142549" w:rsidRPr="00A720EE" w:rsidRDefault="00142549" w:rsidP="00142549">
      <w:pPr>
        <w:widowControl w:val="0"/>
        <w:autoSpaceDE w:val="0"/>
        <w:autoSpaceDN w:val="0"/>
        <w:adjustRightInd w:val="0"/>
        <w:spacing w:before="12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Art. 2 pkt 1 – dotyczy</w:t>
      </w:r>
      <w:r w:rsidRPr="00A720EE">
        <w:rPr>
          <w:rFonts w:ascii="Times New Roman" w:eastAsiaTheme="minorEastAsia" w:hAnsi="Times New Roman" w:cs="Times New Roman"/>
          <w:color w:val="000000" w:themeColor="text1"/>
          <w:sz w:val="24"/>
          <w:szCs w:val="24"/>
          <w:lang w:eastAsia="pl-PL"/>
        </w:rPr>
        <w:t xml:space="preserve"> </w:t>
      </w:r>
      <w:r w:rsidRPr="00A720EE">
        <w:rPr>
          <w:rFonts w:ascii="Times New Roman" w:eastAsiaTheme="minorEastAsia" w:hAnsi="Times New Roman" w:cs="Times New Roman"/>
          <w:b/>
          <w:color w:val="000000" w:themeColor="text1"/>
          <w:sz w:val="24"/>
          <w:szCs w:val="24"/>
          <w:lang w:eastAsia="pl-PL"/>
        </w:rPr>
        <w:t xml:space="preserve">art. 18 ust. 2 pkt 4 </w:t>
      </w:r>
    </w:p>
    <w:p w14:paraId="0B1381A1" w14:textId="77777777" w:rsidR="00142549" w:rsidRPr="00A720EE" w:rsidRDefault="00142549" w:rsidP="00142549">
      <w:pPr>
        <w:widowControl w:val="0"/>
        <w:autoSpaceDE w:val="0"/>
        <w:autoSpaceDN w:val="0"/>
        <w:adjustRightInd w:val="0"/>
        <w:spacing w:before="120" w:after="0" w:line="276" w:lineRule="auto"/>
        <w:jc w:val="both"/>
        <w:rPr>
          <w:rFonts w:ascii="Times New Roman" w:eastAsiaTheme="minorEastAsia" w:hAnsi="Times New Roman" w:cs="Times New Roman"/>
          <w:bCs/>
          <w:color w:val="000000" w:themeColor="text1"/>
          <w:sz w:val="24"/>
          <w:szCs w:val="24"/>
          <w:lang w:eastAsia="pl-PL"/>
        </w:rPr>
      </w:pPr>
      <w:r w:rsidRPr="00A720EE">
        <w:rPr>
          <w:rFonts w:ascii="Times New Roman" w:eastAsiaTheme="minorEastAsia" w:hAnsi="Times New Roman" w:cs="Times New Roman"/>
          <w:color w:val="000000" w:themeColor="text1"/>
          <w:sz w:val="24"/>
          <w:szCs w:val="24"/>
          <w:lang w:eastAsia="pl-PL"/>
        </w:rPr>
        <w:t xml:space="preserve">Zmiana polegająca na uchyleniu w art. 18 w ust. 2 pkt 4 nakładającego w aktualnie obowiązującym stanie prawnym obowiązek na notariuszy, jako płatników podatku od spadków i darowizn przekazywania naczelnikowi urzędu skarbowego właściwemu ze względu na siedzibę płatnika sporządzoną w formie papierowej albo w formie elektronicznej informację zawierającą treść aktów notarialnych lub dane z tych aktów dotyczące czynności, o których mowa w art. 18 ust. 1 </w:t>
      </w:r>
      <w:r w:rsidRPr="00A720EE">
        <w:rPr>
          <w:rFonts w:ascii="Times New Roman" w:eastAsiaTheme="minorEastAsia" w:hAnsi="Times New Roman" w:cs="Times New Roman"/>
          <w:bCs/>
          <w:color w:val="000000" w:themeColor="text1"/>
          <w:sz w:val="24"/>
          <w:szCs w:val="24"/>
          <w:lang w:eastAsia="pl-PL"/>
        </w:rPr>
        <w:t>ustawy o podatku od spadków i darowizn. Obowiązek ten zostanie zastąpiony obowiązkiem informacyjnym uregulowanym w nowo projektowanym art. 84a Ordynacji podatkowej.</w:t>
      </w:r>
    </w:p>
    <w:p w14:paraId="0660C75F" w14:textId="77777777" w:rsidR="00142549" w:rsidRPr="00A720EE" w:rsidRDefault="00142549" w:rsidP="00142549">
      <w:pPr>
        <w:widowControl w:val="0"/>
        <w:autoSpaceDE w:val="0"/>
        <w:autoSpaceDN w:val="0"/>
        <w:adjustRightInd w:val="0"/>
        <w:spacing w:before="120" w:after="0" w:line="276" w:lineRule="auto"/>
        <w:jc w:val="both"/>
        <w:rPr>
          <w:rFonts w:ascii="Times New Roman" w:eastAsiaTheme="minorEastAsia" w:hAnsi="Times New Roman" w:cs="Times New Roman"/>
          <w:b/>
          <w:color w:val="000000" w:themeColor="text1"/>
          <w:sz w:val="24"/>
          <w:szCs w:val="24"/>
          <w:lang w:eastAsia="pl-PL"/>
        </w:rPr>
      </w:pPr>
      <w:r w:rsidRPr="00A720EE">
        <w:rPr>
          <w:rFonts w:ascii="Times New Roman" w:eastAsiaTheme="minorEastAsia" w:hAnsi="Times New Roman" w:cs="Times New Roman"/>
          <w:b/>
          <w:color w:val="000000" w:themeColor="text1"/>
          <w:sz w:val="24"/>
          <w:szCs w:val="24"/>
          <w:lang w:eastAsia="pl-PL"/>
        </w:rPr>
        <w:t>Art. 2 pkt 2 – dotyczy</w:t>
      </w:r>
      <w:r w:rsidRPr="00A720EE">
        <w:rPr>
          <w:rFonts w:ascii="Times New Roman" w:eastAsiaTheme="minorEastAsia" w:hAnsi="Times New Roman" w:cs="Times New Roman"/>
          <w:color w:val="000000" w:themeColor="text1"/>
          <w:sz w:val="24"/>
          <w:szCs w:val="24"/>
          <w:lang w:eastAsia="pl-PL"/>
        </w:rPr>
        <w:t xml:space="preserve"> </w:t>
      </w:r>
      <w:r w:rsidRPr="00A720EE">
        <w:rPr>
          <w:rFonts w:ascii="Times New Roman" w:eastAsiaTheme="minorEastAsia" w:hAnsi="Times New Roman" w:cs="Times New Roman"/>
          <w:b/>
          <w:color w:val="000000" w:themeColor="text1"/>
          <w:sz w:val="24"/>
          <w:szCs w:val="24"/>
          <w:lang w:eastAsia="pl-PL"/>
        </w:rPr>
        <w:t>art. 18 ust. 5 pkt 3</w:t>
      </w:r>
    </w:p>
    <w:p w14:paraId="49CD3EBC" w14:textId="77777777" w:rsidR="00142549" w:rsidRPr="00A720EE" w:rsidRDefault="00142549" w:rsidP="00142549">
      <w:pPr>
        <w:widowControl w:val="0"/>
        <w:autoSpaceDE w:val="0"/>
        <w:autoSpaceDN w:val="0"/>
        <w:adjustRightInd w:val="0"/>
        <w:spacing w:before="120" w:after="0" w:line="276" w:lineRule="auto"/>
        <w:jc w:val="both"/>
        <w:rPr>
          <w:rFonts w:ascii="Times New Roman" w:eastAsiaTheme="minorEastAsia" w:hAnsi="Times New Roman" w:cs="Times New Roman"/>
          <w:bCs/>
          <w:color w:val="000000" w:themeColor="text1"/>
          <w:sz w:val="24"/>
          <w:szCs w:val="24"/>
          <w:lang w:eastAsia="pl-PL"/>
        </w:rPr>
      </w:pPr>
      <w:r w:rsidRPr="00A720EE">
        <w:rPr>
          <w:rFonts w:ascii="Times New Roman" w:eastAsiaTheme="minorEastAsia" w:hAnsi="Times New Roman" w:cs="Times New Roman"/>
          <w:color w:val="000000" w:themeColor="text1"/>
          <w:sz w:val="24"/>
          <w:szCs w:val="24"/>
          <w:lang w:eastAsia="pl-PL"/>
        </w:rPr>
        <w:t>Zmiana polegająca na uchyleniu w art. 18 w ust. 5 pkt 3 jest konsekwencją uchylenia pkt 4 ust. 2 art. 18. Na podstawie tego przepisu Minister Finansów w wydawanym akcie wykonawczym określał zakres informacji, o której mowa w uchylanym ust. 2 pkt 4, oraz sposób jej przekazywania.</w:t>
      </w:r>
    </w:p>
    <w:p w14:paraId="4A08550D" w14:textId="77777777" w:rsidR="00280853" w:rsidRPr="00A720EE" w:rsidRDefault="00280853"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u w:val="single"/>
          <w:lang w:eastAsia="pl-PL"/>
        </w:rPr>
      </w:pPr>
    </w:p>
    <w:p w14:paraId="3CB3B4AE" w14:textId="09203819" w:rsidR="00010C63" w:rsidRPr="00A720EE" w:rsidRDefault="00010C63" w:rsidP="00010C6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u w:val="single"/>
          <w:lang w:eastAsia="pl-PL"/>
        </w:rPr>
      </w:pPr>
      <w:r w:rsidRPr="00A720EE">
        <w:rPr>
          <w:rFonts w:ascii="Times New Roman" w:eastAsiaTheme="minorEastAsia" w:hAnsi="Times New Roman" w:cs="Times New Roman"/>
          <w:b/>
          <w:sz w:val="24"/>
          <w:szCs w:val="24"/>
          <w:u w:val="single"/>
          <w:lang w:eastAsia="pl-PL"/>
        </w:rPr>
        <w:t xml:space="preserve">Art. </w:t>
      </w:r>
      <w:r w:rsidR="006742A7" w:rsidRPr="00A720EE">
        <w:rPr>
          <w:rFonts w:ascii="Times New Roman" w:eastAsiaTheme="minorEastAsia" w:hAnsi="Times New Roman" w:cs="Times New Roman"/>
          <w:b/>
          <w:sz w:val="24"/>
          <w:szCs w:val="24"/>
          <w:u w:val="single"/>
          <w:lang w:eastAsia="pl-PL"/>
        </w:rPr>
        <w:t>3</w:t>
      </w:r>
      <w:r w:rsidRPr="00A720EE">
        <w:rPr>
          <w:rFonts w:ascii="Times New Roman" w:eastAsiaTheme="minorEastAsia" w:hAnsi="Times New Roman" w:cs="Times New Roman"/>
          <w:b/>
          <w:sz w:val="24"/>
          <w:szCs w:val="24"/>
          <w:u w:val="single"/>
          <w:lang w:eastAsia="pl-PL"/>
        </w:rPr>
        <w:t xml:space="preserve"> projektu ustawy</w:t>
      </w:r>
      <w:r w:rsidR="000B1556" w:rsidRPr="00A720EE">
        <w:rPr>
          <w:rFonts w:ascii="Times New Roman" w:eastAsiaTheme="minorEastAsia" w:hAnsi="Times New Roman" w:cs="Times New Roman"/>
          <w:b/>
          <w:sz w:val="24"/>
          <w:szCs w:val="24"/>
          <w:u w:val="single"/>
          <w:lang w:eastAsia="pl-PL"/>
        </w:rPr>
        <w:t xml:space="preserve"> </w:t>
      </w:r>
      <w:r w:rsidR="000B1556" w:rsidRPr="00A720EE">
        <w:rPr>
          <w:rFonts w:ascii="Times New Roman" w:eastAsia="Times New Roman" w:hAnsi="Times New Roman" w:cs="Times New Roman"/>
          <w:bCs/>
          <w:sz w:val="24"/>
          <w:szCs w:val="24"/>
          <w:lang w:eastAsia="pl-PL"/>
        </w:rPr>
        <w:t>– dotyczy zmian w ustawie PIT</w:t>
      </w:r>
    </w:p>
    <w:p w14:paraId="552752B3" w14:textId="44C18C2C" w:rsidR="007A3726" w:rsidRPr="00A720EE" w:rsidRDefault="007A3726" w:rsidP="007A3726">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w:t>
      </w:r>
      <w:r w:rsidR="006742A7" w:rsidRPr="00A720EE">
        <w:rPr>
          <w:rFonts w:ascii="Times New Roman" w:eastAsiaTheme="minorEastAsia" w:hAnsi="Times New Roman" w:cs="Times New Roman"/>
          <w:b/>
          <w:sz w:val="24"/>
          <w:szCs w:val="24"/>
          <w:lang w:eastAsia="pl-PL"/>
        </w:rPr>
        <w:t>3</w:t>
      </w:r>
      <w:r w:rsidRPr="00A720EE">
        <w:rPr>
          <w:rFonts w:ascii="Times New Roman" w:eastAsiaTheme="minorEastAsia" w:hAnsi="Times New Roman" w:cs="Times New Roman"/>
          <w:b/>
          <w:sz w:val="24"/>
          <w:szCs w:val="24"/>
          <w:lang w:eastAsia="pl-PL"/>
        </w:rPr>
        <w:t xml:space="preserve"> pkt 1 – dotyczy</w:t>
      </w:r>
      <w:r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b/>
          <w:sz w:val="24"/>
          <w:szCs w:val="24"/>
          <w:lang w:eastAsia="pl-PL"/>
        </w:rPr>
        <w:t xml:space="preserve">art. 21 </w:t>
      </w:r>
      <w:r w:rsidR="004E2FA9" w:rsidRPr="00A720EE">
        <w:rPr>
          <w:rFonts w:ascii="Times New Roman" w:eastAsiaTheme="minorEastAsia" w:hAnsi="Times New Roman" w:cs="Times New Roman"/>
          <w:b/>
          <w:sz w:val="24"/>
          <w:szCs w:val="24"/>
          <w:lang w:eastAsia="pl-PL"/>
        </w:rPr>
        <w:t>ust. 48</w:t>
      </w:r>
    </w:p>
    <w:p w14:paraId="2EED09B9" w14:textId="2DC3A830" w:rsidR="00FA2FDC" w:rsidRPr="00A720EE" w:rsidRDefault="00DA7244" w:rsidP="00FA2F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u w:val="single"/>
          <w:lang w:eastAsia="pl-PL"/>
        </w:rPr>
        <w:t>Lit. a</w:t>
      </w:r>
      <w:r w:rsidR="000E24A6" w:rsidRPr="00A720EE">
        <w:rPr>
          <w:rFonts w:ascii="Times New Roman" w:eastAsiaTheme="minorEastAsia" w:hAnsi="Times New Roman" w:cs="Times New Roman"/>
          <w:sz w:val="24"/>
          <w:szCs w:val="24"/>
          <w:u w:val="single"/>
          <w:lang w:eastAsia="pl-PL"/>
        </w:rPr>
        <w:t xml:space="preserve"> </w:t>
      </w:r>
      <w:r w:rsidR="00FA2FDC" w:rsidRPr="00A720EE">
        <w:rPr>
          <w:rFonts w:ascii="Times New Roman" w:eastAsiaTheme="minorEastAsia" w:hAnsi="Times New Roman" w:cs="Times New Roman"/>
          <w:sz w:val="24"/>
          <w:szCs w:val="24"/>
          <w:u w:val="single"/>
          <w:lang w:eastAsia="pl-PL"/>
        </w:rPr>
        <w:t>Lit. b</w:t>
      </w:r>
      <w:r w:rsidR="00FA2FDC" w:rsidRPr="00A720EE">
        <w:rPr>
          <w:rFonts w:ascii="Times New Roman" w:eastAsiaTheme="minorEastAsia" w:hAnsi="Times New Roman" w:cs="Times New Roman"/>
          <w:sz w:val="24"/>
          <w:szCs w:val="24"/>
          <w:lang w:eastAsia="pl-PL"/>
        </w:rPr>
        <w:t xml:space="preserve"> – dotyczy ust. 48 - zaproponowano nowe uproszczone brzmienie przepisu. Nowa redakcja doprecyzowuje w jakich sytuacjach podatnik nie składa informacji PIT-DZ w związku z korzystaniem z ulgi dla rodzin 4+. Mianowicie informacji tej podatnik nie składa, jeśli w złożonym zeznaniu poinformował o liczbie dzieci i ich numerach PESEL,</w:t>
      </w:r>
      <w:r w:rsidR="00FA2FDC" w:rsidRPr="00A720EE">
        <w:rPr>
          <w:rFonts w:ascii="Times New Roman" w:hAnsi="Times New Roman" w:cs="Times New Roman"/>
          <w:sz w:val="24"/>
          <w:szCs w:val="24"/>
        </w:rPr>
        <w:t xml:space="preserve"> </w:t>
      </w:r>
      <w:r w:rsidR="00FA2FDC" w:rsidRPr="00A720EE">
        <w:rPr>
          <w:rFonts w:ascii="Times New Roman" w:eastAsiaTheme="minorEastAsia" w:hAnsi="Times New Roman" w:cs="Times New Roman"/>
          <w:sz w:val="24"/>
          <w:szCs w:val="24"/>
          <w:lang w:eastAsia="pl-PL"/>
        </w:rPr>
        <w:t xml:space="preserve">a w przypadku braku tych numerów podał imiona, nazwiska oraz daty urodzenia dzieci uprawniających do stosowania tej preferencji. </w:t>
      </w:r>
    </w:p>
    <w:p w14:paraId="0DEA23E5" w14:textId="48E8B156" w:rsidR="002F2A22" w:rsidRPr="00A720EE" w:rsidRDefault="0028085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Art. 3 pkt 2</w:t>
      </w:r>
      <w:r w:rsidR="00E04297" w:rsidRPr="00A720EE">
        <w:rPr>
          <w:rFonts w:ascii="Times New Roman" w:eastAsiaTheme="minorEastAsia" w:hAnsi="Times New Roman" w:cs="Times New Roman"/>
          <w:b/>
          <w:sz w:val="24"/>
          <w:szCs w:val="24"/>
          <w:lang w:eastAsia="pl-PL"/>
        </w:rPr>
        <w:t>-</w:t>
      </w:r>
      <w:r w:rsidR="00910DC5" w:rsidRPr="00A720EE">
        <w:rPr>
          <w:rFonts w:ascii="Times New Roman" w:eastAsiaTheme="minorEastAsia" w:hAnsi="Times New Roman" w:cs="Times New Roman"/>
          <w:b/>
          <w:sz w:val="24"/>
          <w:szCs w:val="24"/>
          <w:lang w:eastAsia="pl-PL"/>
        </w:rPr>
        <w:t xml:space="preserve">8 </w:t>
      </w:r>
      <w:r w:rsidR="00E04297" w:rsidRPr="00A720EE">
        <w:rPr>
          <w:rFonts w:ascii="Times New Roman" w:eastAsiaTheme="minorEastAsia" w:hAnsi="Times New Roman" w:cs="Times New Roman"/>
          <w:b/>
          <w:sz w:val="24"/>
          <w:szCs w:val="24"/>
          <w:lang w:eastAsia="pl-PL"/>
        </w:rPr>
        <w:t>–</w:t>
      </w:r>
      <w:r w:rsidR="009E2346" w:rsidRPr="00A720EE">
        <w:rPr>
          <w:rFonts w:ascii="Times New Roman" w:eastAsiaTheme="minorEastAsia" w:hAnsi="Times New Roman" w:cs="Times New Roman"/>
          <w:b/>
          <w:sz w:val="24"/>
          <w:szCs w:val="24"/>
          <w:lang w:eastAsia="pl-PL"/>
        </w:rPr>
        <w:t xml:space="preserve"> dotyczą art. </w:t>
      </w:r>
      <w:r w:rsidR="00A4508C" w:rsidRPr="00A720EE">
        <w:rPr>
          <w:rFonts w:ascii="Times New Roman" w:eastAsiaTheme="minorEastAsia" w:hAnsi="Times New Roman" w:cs="Times New Roman"/>
          <w:b/>
          <w:sz w:val="24"/>
          <w:szCs w:val="24"/>
          <w:lang w:eastAsia="pl-PL"/>
        </w:rPr>
        <w:t xml:space="preserve">23n, </w:t>
      </w:r>
      <w:r w:rsidR="009E2346" w:rsidRPr="00A720EE">
        <w:rPr>
          <w:rFonts w:ascii="Times New Roman" w:eastAsiaTheme="minorEastAsia" w:hAnsi="Times New Roman" w:cs="Times New Roman"/>
          <w:b/>
          <w:sz w:val="24"/>
          <w:szCs w:val="24"/>
          <w:lang w:eastAsia="pl-PL"/>
        </w:rPr>
        <w:t>23u, art. 23w</w:t>
      </w:r>
      <w:r w:rsidR="00A4508C" w:rsidRPr="00A720EE">
        <w:rPr>
          <w:rFonts w:ascii="Times New Roman" w:eastAsiaTheme="minorEastAsia" w:hAnsi="Times New Roman" w:cs="Times New Roman"/>
          <w:b/>
          <w:sz w:val="24"/>
          <w:szCs w:val="24"/>
          <w:lang w:eastAsia="pl-PL"/>
        </w:rPr>
        <w:t xml:space="preserve"> ust. 2a</w:t>
      </w:r>
      <w:r w:rsidR="009E2346" w:rsidRPr="00A720EE">
        <w:rPr>
          <w:rFonts w:ascii="Times New Roman" w:eastAsiaTheme="minorEastAsia" w:hAnsi="Times New Roman" w:cs="Times New Roman"/>
          <w:b/>
          <w:sz w:val="24"/>
          <w:szCs w:val="24"/>
          <w:lang w:eastAsia="pl-PL"/>
        </w:rPr>
        <w:t>, art. 23za, art. 23zc ust. 1a i 3a, art. 23ze ust. 4 i art. 23zf ust. 3</w:t>
      </w:r>
    </w:p>
    <w:p w14:paraId="5AFE069C" w14:textId="126993E5" w:rsidR="00280853" w:rsidRPr="00A720EE" w:rsidRDefault="00A4508C" w:rsidP="0086594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Zmiany dotyczące cen transferowych analogiczne do zmian omówionych w części dot. </w:t>
      </w:r>
      <w:r w:rsidR="002F2A22" w:rsidRPr="00A720EE">
        <w:rPr>
          <w:rFonts w:ascii="Times New Roman" w:eastAsiaTheme="minorEastAsia" w:hAnsi="Times New Roman" w:cs="Times New Roman"/>
          <w:sz w:val="24"/>
          <w:szCs w:val="24"/>
          <w:lang w:eastAsia="pl-PL"/>
        </w:rPr>
        <w:t xml:space="preserve">ustawy </w:t>
      </w:r>
      <w:r w:rsidR="002F2A22" w:rsidRPr="00A720EE">
        <w:rPr>
          <w:rFonts w:ascii="Times New Roman" w:eastAsiaTheme="minorEastAsia" w:hAnsi="Times New Roman" w:cs="Times New Roman"/>
          <w:sz w:val="24"/>
          <w:szCs w:val="24"/>
          <w:lang w:eastAsia="pl-PL"/>
        </w:rPr>
        <w:lastRenderedPageBreak/>
        <w:t>CIT.</w:t>
      </w:r>
    </w:p>
    <w:p w14:paraId="33DE8386" w14:textId="76854451" w:rsidR="0067276D" w:rsidRPr="00A720EE" w:rsidRDefault="0067276D" w:rsidP="00865948">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w:t>
      </w:r>
      <w:r w:rsidR="006742A7" w:rsidRPr="00A720EE">
        <w:rPr>
          <w:rFonts w:ascii="Times New Roman" w:eastAsiaTheme="minorEastAsia" w:hAnsi="Times New Roman" w:cs="Times New Roman"/>
          <w:b/>
          <w:sz w:val="24"/>
          <w:szCs w:val="24"/>
          <w:lang w:eastAsia="pl-PL"/>
        </w:rPr>
        <w:t>3</w:t>
      </w:r>
      <w:r w:rsidRPr="00A720EE">
        <w:rPr>
          <w:rFonts w:ascii="Times New Roman" w:eastAsiaTheme="minorEastAsia" w:hAnsi="Times New Roman" w:cs="Times New Roman"/>
          <w:b/>
          <w:sz w:val="24"/>
          <w:szCs w:val="24"/>
          <w:lang w:eastAsia="pl-PL"/>
        </w:rPr>
        <w:t xml:space="preserve"> pkt </w:t>
      </w:r>
      <w:r w:rsidR="00B61236" w:rsidRPr="00A720EE">
        <w:rPr>
          <w:rFonts w:ascii="Times New Roman" w:eastAsiaTheme="minorEastAsia" w:hAnsi="Times New Roman" w:cs="Times New Roman"/>
          <w:b/>
          <w:sz w:val="24"/>
          <w:szCs w:val="24"/>
          <w:lang w:eastAsia="pl-PL"/>
        </w:rPr>
        <w:t>9</w:t>
      </w:r>
      <w:r w:rsidRPr="00A720EE">
        <w:rPr>
          <w:rFonts w:ascii="Times New Roman" w:eastAsiaTheme="minorEastAsia" w:hAnsi="Times New Roman" w:cs="Times New Roman"/>
          <w:b/>
          <w:sz w:val="24"/>
          <w:szCs w:val="24"/>
          <w:lang w:eastAsia="pl-PL"/>
        </w:rPr>
        <w:t xml:space="preserve"> – dotyczy art. 26i ust. 19</w:t>
      </w:r>
    </w:p>
    <w:p w14:paraId="7A6884FE" w14:textId="5ADC3DFE" w:rsidR="0067276D" w:rsidRPr="00A720EE" w:rsidRDefault="00AA7533" w:rsidP="00865948">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polegająca na uchyleniu w art. 26i ust. 19 (analogiczna jak w ustawie CIT w art. 18f</w:t>
      </w:r>
      <w:r w:rsidR="00C127FF" w:rsidRPr="00A720EE">
        <w:rPr>
          <w:rFonts w:ascii="Times New Roman" w:eastAsiaTheme="minorEastAsia" w:hAnsi="Times New Roman" w:cs="Times New Roman"/>
          <w:sz w:val="24"/>
          <w:szCs w:val="24"/>
          <w:lang w:eastAsia="pl-PL"/>
        </w:rPr>
        <w:t xml:space="preserve"> – art. 1 pkt 16</w:t>
      </w:r>
      <w:r w:rsidR="00CB09E7" w:rsidRPr="00A720EE">
        <w:rPr>
          <w:rFonts w:ascii="Times New Roman" w:hAnsi="Times New Roman" w:cs="Times New Roman"/>
          <w:sz w:val="24"/>
          <w:szCs w:val="24"/>
        </w:rPr>
        <w:t xml:space="preserve"> </w:t>
      </w:r>
      <w:r w:rsidR="00CB09E7" w:rsidRPr="00A720EE">
        <w:rPr>
          <w:rFonts w:ascii="Times New Roman" w:eastAsiaTheme="minorEastAsia" w:hAnsi="Times New Roman" w:cs="Times New Roman"/>
          <w:sz w:val="24"/>
          <w:szCs w:val="24"/>
          <w:lang w:eastAsia="pl-PL"/>
        </w:rPr>
        <w:t>i w ustawie o ryczałcie w art. 11 ust. 18</w:t>
      </w:r>
      <w:r w:rsidRPr="00A720EE">
        <w:rPr>
          <w:rFonts w:ascii="Times New Roman" w:eastAsiaTheme="minorEastAsia" w:hAnsi="Times New Roman" w:cs="Times New Roman"/>
          <w:sz w:val="24"/>
          <w:szCs w:val="24"/>
          <w:lang w:eastAsia="pl-PL"/>
        </w:rPr>
        <w:t>)</w:t>
      </w:r>
      <w:r w:rsidR="00413972" w:rsidRPr="00A720EE">
        <w:rPr>
          <w:rFonts w:ascii="Times New Roman" w:eastAsiaTheme="minorEastAsia" w:hAnsi="Times New Roman" w:cs="Times New Roman"/>
          <w:sz w:val="24"/>
          <w:szCs w:val="24"/>
          <w:lang w:eastAsia="pl-PL"/>
        </w:rPr>
        <w:t xml:space="preserve"> </w:t>
      </w:r>
      <w:r w:rsidR="000641DD" w:rsidRPr="00A720EE">
        <w:rPr>
          <w:rFonts w:ascii="Times New Roman" w:eastAsiaTheme="minorEastAsia" w:hAnsi="Times New Roman" w:cs="Times New Roman"/>
          <w:sz w:val="24"/>
          <w:szCs w:val="24"/>
          <w:lang w:eastAsia="pl-PL"/>
        </w:rPr>
        <w:t xml:space="preserve">dotyczy tzw. ulgi na złe długi i </w:t>
      </w:r>
      <w:r w:rsidR="00413972" w:rsidRPr="00A720EE">
        <w:rPr>
          <w:rFonts w:ascii="Times New Roman" w:eastAsiaTheme="minorEastAsia" w:hAnsi="Times New Roman" w:cs="Times New Roman"/>
          <w:sz w:val="24"/>
          <w:szCs w:val="24"/>
          <w:lang w:eastAsia="pl-PL"/>
        </w:rPr>
        <w:t xml:space="preserve">oznacza rezygnację z odpowiedniego załącznika do zeznania podatkowego, w którym dotychczas wykazywane były </w:t>
      </w:r>
      <w:r w:rsidR="0034185C" w:rsidRPr="00A720EE">
        <w:rPr>
          <w:rFonts w:ascii="Times New Roman" w:eastAsiaTheme="minorEastAsia" w:hAnsi="Times New Roman" w:cs="Times New Roman"/>
          <w:sz w:val="24"/>
          <w:szCs w:val="24"/>
          <w:lang w:eastAsia="pl-PL"/>
        </w:rPr>
        <w:t>wierzytelności lub zobowiązania</w:t>
      </w:r>
      <w:r w:rsidR="00142549" w:rsidRPr="00A720EE">
        <w:rPr>
          <w:rFonts w:ascii="Times New Roman" w:eastAsiaTheme="minorEastAsia" w:hAnsi="Times New Roman" w:cs="Times New Roman"/>
          <w:sz w:val="24"/>
          <w:szCs w:val="24"/>
          <w:lang w:eastAsia="pl-PL"/>
        </w:rPr>
        <w:t>,</w:t>
      </w:r>
      <w:r w:rsidR="0034185C" w:rsidRPr="00A720EE">
        <w:rPr>
          <w:rFonts w:ascii="Times New Roman" w:eastAsiaTheme="minorEastAsia" w:hAnsi="Times New Roman" w:cs="Times New Roman"/>
          <w:sz w:val="24"/>
          <w:szCs w:val="24"/>
          <w:lang w:eastAsia="pl-PL"/>
        </w:rPr>
        <w:t xml:space="preserve"> z którymi związane były zwiększenia lub zmniejszenia</w:t>
      </w:r>
      <w:r w:rsidR="00413972" w:rsidRPr="00A720EE">
        <w:rPr>
          <w:rFonts w:ascii="Times New Roman" w:eastAsiaTheme="minorEastAsia" w:hAnsi="Times New Roman" w:cs="Times New Roman"/>
          <w:sz w:val="24"/>
          <w:szCs w:val="24"/>
          <w:lang w:eastAsia="pl-PL"/>
        </w:rPr>
        <w:t xml:space="preserve">, </w:t>
      </w:r>
      <w:r w:rsidR="00156DE5" w:rsidRPr="00A720EE">
        <w:rPr>
          <w:rFonts w:ascii="Times New Roman" w:eastAsiaTheme="minorEastAsia" w:hAnsi="Times New Roman" w:cs="Times New Roman"/>
          <w:sz w:val="24"/>
          <w:szCs w:val="24"/>
          <w:lang w:eastAsia="pl-PL"/>
        </w:rPr>
        <w:t xml:space="preserve">co </w:t>
      </w:r>
      <w:r w:rsidR="00413972" w:rsidRPr="00A720EE">
        <w:rPr>
          <w:rFonts w:ascii="Times New Roman" w:eastAsiaTheme="minorEastAsia" w:hAnsi="Times New Roman" w:cs="Times New Roman"/>
          <w:sz w:val="24"/>
          <w:szCs w:val="24"/>
          <w:lang w:eastAsia="pl-PL"/>
        </w:rPr>
        <w:t>pozwoli na uproszczenie obowiązków administracyjnych po stronie podatników.</w:t>
      </w:r>
    </w:p>
    <w:p w14:paraId="14136DA7" w14:textId="4E431B34" w:rsidR="00372DF7" w:rsidRPr="00A720EE" w:rsidRDefault="00857706" w:rsidP="00865948">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 xml:space="preserve">Proponowana zmiana </w:t>
      </w:r>
      <w:r w:rsidR="0034185C" w:rsidRPr="00A720EE">
        <w:rPr>
          <w:rFonts w:ascii="Times New Roman" w:eastAsia="Times New Roman" w:hAnsi="Times New Roman" w:cs="Times New Roman"/>
          <w:sz w:val="24"/>
          <w:szCs w:val="24"/>
          <w:lang w:eastAsia="pl-PL"/>
        </w:rPr>
        <w:t xml:space="preserve">wchodzi w życie 1 stycznia 2023 r. i </w:t>
      </w:r>
      <w:r w:rsidRPr="00A720EE">
        <w:rPr>
          <w:rFonts w:ascii="Times New Roman" w:eastAsia="Times New Roman" w:hAnsi="Times New Roman" w:cs="Times New Roman"/>
          <w:sz w:val="24"/>
          <w:szCs w:val="24"/>
          <w:lang w:eastAsia="pl-PL"/>
        </w:rPr>
        <w:t>znajdzie zastosowani</w:t>
      </w:r>
      <w:r w:rsidR="0034185C" w:rsidRPr="00A720EE">
        <w:rPr>
          <w:rFonts w:ascii="Times New Roman" w:eastAsia="Times New Roman" w:hAnsi="Times New Roman" w:cs="Times New Roman"/>
          <w:sz w:val="24"/>
          <w:szCs w:val="24"/>
          <w:lang w:eastAsia="pl-PL"/>
        </w:rPr>
        <w:t>e</w:t>
      </w:r>
      <w:r w:rsidRPr="00A720EE">
        <w:rPr>
          <w:rFonts w:ascii="Times New Roman" w:eastAsia="Times New Roman" w:hAnsi="Times New Roman" w:cs="Times New Roman"/>
          <w:sz w:val="24"/>
          <w:szCs w:val="24"/>
          <w:lang w:eastAsia="pl-PL"/>
        </w:rPr>
        <w:t xml:space="preserve"> do zeznań składanych </w:t>
      </w:r>
      <w:r w:rsidR="0034185C" w:rsidRPr="00A720EE">
        <w:rPr>
          <w:rFonts w:ascii="Times New Roman" w:eastAsia="Times New Roman" w:hAnsi="Times New Roman" w:cs="Times New Roman"/>
          <w:sz w:val="24"/>
          <w:szCs w:val="24"/>
          <w:lang w:eastAsia="pl-PL"/>
        </w:rPr>
        <w:t>poczynając od rozliczenia za 2023 r., co oznacza, że n</w:t>
      </w:r>
      <w:r w:rsidRPr="00A720EE">
        <w:rPr>
          <w:rFonts w:ascii="Times New Roman" w:eastAsia="Times New Roman" w:hAnsi="Times New Roman" w:cs="Times New Roman"/>
          <w:sz w:val="24"/>
          <w:szCs w:val="24"/>
          <w:lang w:eastAsia="pl-PL"/>
        </w:rPr>
        <w:t>ie znajd</w:t>
      </w:r>
      <w:r w:rsidR="0034185C" w:rsidRPr="00A720EE">
        <w:rPr>
          <w:rFonts w:ascii="Times New Roman" w:eastAsia="Times New Roman" w:hAnsi="Times New Roman" w:cs="Times New Roman"/>
          <w:sz w:val="24"/>
          <w:szCs w:val="24"/>
          <w:lang w:eastAsia="pl-PL"/>
        </w:rPr>
        <w:t>zie</w:t>
      </w:r>
      <w:r w:rsidRPr="00A720EE">
        <w:rPr>
          <w:rFonts w:ascii="Times New Roman" w:eastAsia="Times New Roman" w:hAnsi="Times New Roman" w:cs="Times New Roman"/>
          <w:sz w:val="24"/>
          <w:szCs w:val="24"/>
          <w:lang w:eastAsia="pl-PL"/>
        </w:rPr>
        <w:t xml:space="preserve"> zastosowania do zeznań składanych za 2022 r.</w:t>
      </w:r>
      <w:r w:rsidR="0034185C" w:rsidRPr="00A720EE">
        <w:rPr>
          <w:rFonts w:ascii="Times New Roman" w:eastAsia="Times New Roman" w:hAnsi="Times New Roman" w:cs="Times New Roman"/>
          <w:sz w:val="24"/>
          <w:szCs w:val="24"/>
          <w:lang w:eastAsia="pl-PL"/>
        </w:rPr>
        <w:t xml:space="preserve"> </w:t>
      </w:r>
    </w:p>
    <w:p w14:paraId="48625996" w14:textId="26F2A3D6" w:rsidR="001C49C5" w:rsidRPr="00A720EE" w:rsidRDefault="001C49C5" w:rsidP="00865948">
      <w:pPr>
        <w:widowControl w:val="0"/>
        <w:autoSpaceDE w:val="0"/>
        <w:autoSpaceDN w:val="0"/>
        <w:adjustRightInd w:val="0"/>
        <w:spacing w:before="120" w:after="0" w:line="276" w:lineRule="auto"/>
        <w:jc w:val="both"/>
        <w:rPr>
          <w:rFonts w:ascii="Times New Roman" w:eastAsia="Times New Roman" w:hAnsi="Times New Roman" w:cs="Times New Roman"/>
          <w:b/>
          <w:sz w:val="24"/>
          <w:szCs w:val="24"/>
          <w:lang w:eastAsia="pl-PL"/>
        </w:rPr>
      </w:pPr>
      <w:r w:rsidRPr="00A720EE">
        <w:rPr>
          <w:rFonts w:ascii="Times New Roman" w:eastAsia="Times New Roman" w:hAnsi="Times New Roman" w:cs="Times New Roman"/>
          <w:b/>
          <w:sz w:val="24"/>
          <w:szCs w:val="24"/>
          <w:lang w:eastAsia="pl-PL"/>
        </w:rPr>
        <w:t xml:space="preserve">Art. </w:t>
      </w:r>
      <w:r w:rsidR="006742A7" w:rsidRPr="00A720EE">
        <w:rPr>
          <w:rFonts w:ascii="Times New Roman" w:eastAsia="Times New Roman" w:hAnsi="Times New Roman" w:cs="Times New Roman"/>
          <w:b/>
          <w:sz w:val="24"/>
          <w:szCs w:val="24"/>
          <w:lang w:eastAsia="pl-PL"/>
        </w:rPr>
        <w:t>3</w:t>
      </w:r>
      <w:r w:rsidRPr="00A720EE">
        <w:rPr>
          <w:rFonts w:ascii="Times New Roman" w:eastAsia="Times New Roman" w:hAnsi="Times New Roman" w:cs="Times New Roman"/>
          <w:b/>
          <w:sz w:val="24"/>
          <w:szCs w:val="24"/>
          <w:lang w:eastAsia="pl-PL"/>
        </w:rPr>
        <w:t xml:space="preserve"> pkt 1</w:t>
      </w:r>
      <w:r w:rsidR="00B61236" w:rsidRPr="00A720EE">
        <w:rPr>
          <w:rFonts w:ascii="Times New Roman" w:eastAsia="Times New Roman" w:hAnsi="Times New Roman" w:cs="Times New Roman"/>
          <w:b/>
          <w:sz w:val="24"/>
          <w:szCs w:val="24"/>
          <w:lang w:eastAsia="pl-PL"/>
        </w:rPr>
        <w:t>0</w:t>
      </w:r>
      <w:r w:rsidRPr="00A720EE">
        <w:rPr>
          <w:rFonts w:ascii="Times New Roman" w:eastAsia="Times New Roman" w:hAnsi="Times New Roman" w:cs="Times New Roman"/>
          <w:b/>
          <w:sz w:val="24"/>
          <w:szCs w:val="24"/>
          <w:lang w:eastAsia="pl-PL"/>
        </w:rPr>
        <w:t xml:space="preserve"> – dotyczy art. 30 ust. 1 pkt 4</w:t>
      </w:r>
    </w:p>
    <w:p w14:paraId="0013B8FF" w14:textId="77C55018" w:rsidR="00FA2FDC" w:rsidRPr="00A720EE" w:rsidRDefault="00FA2FDC" w:rsidP="00FA2F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o charakterze dostosowującym. Ustawa z 9 czerwca 2022 r. rozszerzyła zwolnienie przedmiotowe, o którym mowa w art. 21 ust. 1 pkt 38 ustawy PIT. Po pierwsze objęła zakresem tego zwolnienia nie tylko świadczenia otrzymywane przez emerytów i rencistów od byłych zakładów pracy i związków zawodowych, ale również otrzymywane przez osoby pobierające nauczycielskie świadczenie kompensacyjne. Po drugie podwyższyła jego limit z 3000 zł do 4500 zł. </w:t>
      </w:r>
    </w:p>
    <w:p w14:paraId="0FACB886" w14:textId="77777777" w:rsidR="00FA2FDC" w:rsidRPr="00A720EE" w:rsidRDefault="00FA2FDC" w:rsidP="00FA2F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Nadwyżka ponad kwotę objęta zwolnieniem podlega opodatkowaniu. Przy czym, w przypadku emerytów i rencistów od nadwyżki tej pobierany jest dziesięcioprocentowy zryczałtowany podatek dochodowy, o którym mowa w art. 30 ust. 1 pkt 4 ustawy PIT, odpowiednio w przypadku osób pobierających nauczycielskie świadczenie kompensacyjne podatek obliczany jest według skali podatkowej. </w:t>
      </w:r>
    </w:p>
    <w:p w14:paraId="702FB4C2" w14:textId="77777777" w:rsidR="00FA2FDC" w:rsidRPr="00A720EE" w:rsidRDefault="00FA2FDC" w:rsidP="00FA2F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Proponowana zmiana ma na celu zlikwidowanie tej nierówności i w efekcie objęcie zakresem zryczałtowanego podatku, o którym mowa w art. 30 ust. 1 pkt 4 ustawy PIT, również wartości świadczeń otrzymywanych przez osoby pobierające nauczycielskie świadczenie kompensacyjne. </w:t>
      </w:r>
    </w:p>
    <w:p w14:paraId="71367A4B" w14:textId="77777777" w:rsidR="00FA2FDC" w:rsidRPr="00A720EE" w:rsidRDefault="00FA2FDC" w:rsidP="00FA2F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Proponuje się, aby zmiana ta weszła w życie od 1 stycznia 2023 r. i miała zastosowanie do dochodów (przychodów) otrzymanych od tego dnia. </w:t>
      </w:r>
    </w:p>
    <w:p w14:paraId="51FE74C6" w14:textId="7E7FF074" w:rsidR="001C02A4" w:rsidRPr="00A720EE" w:rsidRDefault="001C02A4" w:rsidP="001C02A4">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w:t>
      </w:r>
      <w:r w:rsidR="006742A7" w:rsidRPr="00A720EE">
        <w:rPr>
          <w:rFonts w:ascii="Times New Roman" w:eastAsiaTheme="minorEastAsia" w:hAnsi="Times New Roman" w:cs="Times New Roman"/>
          <w:b/>
          <w:sz w:val="24"/>
          <w:szCs w:val="24"/>
          <w:lang w:eastAsia="pl-PL"/>
        </w:rPr>
        <w:t>3</w:t>
      </w:r>
      <w:r w:rsidRPr="00A720EE">
        <w:rPr>
          <w:rFonts w:ascii="Times New Roman" w:eastAsiaTheme="minorEastAsia" w:hAnsi="Times New Roman" w:cs="Times New Roman"/>
          <w:b/>
          <w:sz w:val="24"/>
          <w:szCs w:val="24"/>
          <w:lang w:eastAsia="pl-PL"/>
        </w:rPr>
        <w:t xml:space="preserve"> pkt 1</w:t>
      </w:r>
      <w:r w:rsidR="00167D62" w:rsidRPr="00A720EE">
        <w:rPr>
          <w:rFonts w:ascii="Times New Roman" w:eastAsiaTheme="minorEastAsia" w:hAnsi="Times New Roman" w:cs="Times New Roman"/>
          <w:b/>
          <w:sz w:val="24"/>
          <w:szCs w:val="24"/>
          <w:lang w:eastAsia="pl-PL"/>
        </w:rPr>
        <w:t>1 – dotyczy art. 30f</w:t>
      </w:r>
    </w:p>
    <w:p w14:paraId="29D2AE91" w14:textId="77777777" w:rsidR="009B1465" w:rsidRPr="00A720EE" w:rsidRDefault="009B1465" w:rsidP="009B1465">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Zmiany dotyczące zagranicznej jednostki kontrolowanej (CFC) analogiczne do zmian omówionych w części dot. ustawy CIT.</w:t>
      </w:r>
    </w:p>
    <w:p w14:paraId="4827C28D" w14:textId="7424A9E8" w:rsidR="00865948" w:rsidRPr="00A720EE" w:rsidRDefault="00865948" w:rsidP="00865948">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Art.</w:t>
      </w:r>
      <w:r w:rsidR="00280853" w:rsidRPr="00A720EE">
        <w:rPr>
          <w:rFonts w:ascii="Times New Roman" w:eastAsiaTheme="minorEastAsia" w:hAnsi="Times New Roman" w:cs="Times New Roman"/>
          <w:b/>
          <w:sz w:val="24"/>
          <w:szCs w:val="24"/>
          <w:lang w:eastAsia="pl-PL"/>
        </w:rPr>
        <w:t xml:space="preserve"> </w:t>
      </w:r>
      <w:r w:rsidR="006742A7" w:rsidRPr="00A720EE">
        <w:rPr>
          <w:rFonts w:ascii="Times New Roman" w:eastAsiaTheme="minorEastAsia" w:hAnsi="Times New Roman" w:cs="Times New Roman"/>
          <w:b/>
          <w:sz w:val="24"/>
          <w:szCs w:val="24"/>
          <w:lang w:eastAsia="pl-PL"/>
        </w:rPr>
        <w:t>3</w:t>
      </w:r>
      <w:r w:rsidRPr="00A720EE">
        <w:rPr>
          <w:rFonts w:ascii="Times New Roman" w:eastAsiaTheme="minorEastAsia" w:hAnsi="Times New Roman" w:cs="Times New Roman"/>
          <w:b/>
          <w:sz w:val="24"/>
          <w:szCs w:val="24"/>
          <w:lang w:eastAsia="pl-PL"/>
        </w:rPr>
        <w:t xml:space="preserve"> pkt </w:t>
      </w:r>
      <w:r w:rsidR="009D1750" w:rsidRPr="00A720EE">
        <w:rPr>
          <w:rFonts w:ascii="Times New Roman" w:eastAsiaTheme="minorEastAsia" w:hAnsi="Times New Roman" w:cs="Times New Roman"/>
          <w:b/>
          <w:sz w:val="24"/>
          <w:szCs w:val="24"/>
          <w:lang w:eastAsia="pl-PL"/>
        </w:rPr>
        <w:t>1</w:t>
      </w:r>
      <w:r w:rsidR="00167D62" w:rsidRPr="00A720EE">
        <w:rPr>
          <w:rFonts w:ascii="Times New Roman" w:eastAsiaTheme="minorEastAsia" w:hAnsi="Times New Roman" w:cs="Times New Roman"/>
          <w:b/>
          <w:sz w:val="24"/>
          <w:szCs w:val="24"/>
          <w:lang w:eastAsia="pl-PL"/>
        </w:rPr>
        <w:t>2</w:t>
      </w:r>
      <w:r w:rsidR="009D1750"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b/>
          <w:sz w:val="24"/>
          <w:szCs w:val="24"/>
          <w:lang w:eastAsia="pl-PL"/>
        </w:rPr>
        <w:t xml:space="preserve">– dotyczy art. 30g ust. 15 </w:t>
      </w:r>
      <w:r w:rsidR="009E2346" w:rsidRPr="00A720EE">
        <w:rPr>
          <w:rFonts w:ascii="Times New Roman" w:eastAsiaTheme="minorEastAsia" w:hAnsi="Times New Roman" w:cs="Times New Roman"/>
          <w:b/>
          <w:sz w:val="24"/>
          <w:szCs w:val="24"/>
          <w:lang w:eastAsia="pl-PL"/>
        </w:rPr>
        <w:t>i 16</w:t>
      </w:r>
    </w:p>
    <w:p w14:paraId="385F816D" w14:textId="11A5A3B9" w:rsidR="009E2346" w:rsidRPr="00A720EE" w:rsidRDefault="00865948" w:rsidP="008B649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Zmiany w zakresie procedury zwrotu podatku od przychodów z budynków wprowadzone na gruncie podatku dochodowego od osób fizycznych do </w:t>
      </w:r>
      <w:r w:rsidR="00D6140E" w:rsidRPr="00A720EE">
        <w:rPr>
          <w:rFonts w:ascii="Times New Roman" w:eastAsiaTheme="minorEastAsia" w:hAnsi="Times New Roman" w:cs="Times New Roman"/>
          <w:sz w:val="24"/>
          <w:szCs w:val="24"/>
          <w:lang w:eastAsia="pl-PL"/>
        </w:rPr>
        <w:t>art. 30g</w:t>
      </w:r>
      <w:r w:rsidRPr="00A720EE">
        <w:rPr>
          <w:rFonts w:ascii="Times New Roman" w:eastAsiaTheme="minorEastAsia" w:hAnsi="Times New Roman" w:cs="Times New Roman"/>
          <w:sz w:val="24"/>
          <w:szCs w:val="24"/>
          <w:lang w:eastAsia="pl-PL"/>
        </w:rPr>
        <w:t xml:space="preserve"> ustawy PIT są analogiczne do zmian wprowadzonych w </w:t>
      </w:r>
      <w:r w:rsidR="00D6140E" w:rsidRPr="00A720EE">
        <w:rPr>
          <w:rFonts w:ascii="Times New Roman" w:eastAsiaTheme="minorEastAsia" w:hAnsi="Times New Roman" w:cs="Times New Roman"/>
          <w:sz w:val="24"/>
          <w:szCs w:val="24"/>
          <w:lang w:eastAsia="pl-PL"/>
        </w:rPr>
        <w:t>art. 24b</w:t>
      </w:r>
      <w:r w:rsidRPr="00A720EE">
        <w:rPr>
          <w:rFonts w:ascii="Times New Roman" w:eastAsiaTheme="minorEastAsia" w:hAnsi="Times New Roman" w:cs="Times New Roman"/>
          <w:sz w:val="24"/>
          <w:szCs w:val="24"/>
          <w:lang w:eastAsia="pl-PL"/>
        </w:rPr>
        <w:t xml:space="preserve"> </w:t>
      </w:r>
      <w:r w:rsidR="00103E8C" w:rsidRPr="00A720EE">
        <w:rPr>
          <w:rFonts w:ascii="Times New Roman" w:eastAsiaTheme="minorEastAsia" w:hAnsi="Times New Roman" w:cs="Times New Roman"/>
          <w:sz w:val="24"/>
          <w:szCs w:val="24"/>
          <w:lang w:eastAsia="pl-PL"/>
        </w:rPr>
        <w:t>ustawy CIT</w:t>
      </w:r>
      <w:r w:rsidR="00554921" w:rsidRPr="00A720EE">
        <w:rPr>
          <w:rFonts w:ascii="Times New Roman" w:eastAsiaTheme="minorEastAsia" w:hAnsi="Times New Roman" w:cs="Times New Roman"/>
          <w:sz w:val="24"/>
          <w:szCs w:val="24"/>
          <w:lang w:eastAsia="pl-PL"/>
        </w:rPr>
        <w:t>.</w:t>
      </w:r>
      <w:r w:rsidR="00103E8C" w:rsidRPr="00A720EE">
        <w:rPr>
          <w:rFonts w:ascii="Times New Roman" w:eastAsiaTheme="minorEastAsia" w:hAnsi="Times New Roman" w:cs="Times New Roman"/>
          <w:sz w:val="24"/>
          <w:szCs w:val="24"/>
          <w:lang w:eastAsia="pl-PL"/>
        </w:rPr>
        <w:t xml:space="preserve"> </w:t>
      </w:r>
    </w:p>
    <w:p w14:paraId="4C868665" w14:textId="323CAED7" w:rsidR="00056BBE" w:rsidRPr="00A720EE" w:rsidRDefault="00056BBE" w:rsidP="008B649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w:t>
      </w:r>
      <w:r w:rsidR="006742A7" w:rsidRPr="00A720EE">
        <w:rPr>
          <w:rFonts w:ascii="Times New Roman" w:eastAsiaTheme="minorEastAsia" w:hAnsi="Times New Roman" w:cs="Times New Roman"/>
          <w:b/>
          <w:sz w:val="24"/>
          <w:szCs w:val="24"/>
          <w:lang w:eastAsia="pl-PL"/>
        </w:rPr>
        <w:t>3</w:t>
      </w:r>
      <w:r w:rsidRPr="00A720EE">
        <w:rPr>
          <w:rFonts w:ascii="Times New Roman" w:eastAsiaTheme="minorEastAsia" w:hAnsi="Times New Roman" w:cs="Times New Roman"/>
          <w:b/>
          <w:sz w:val="24"/>
          <w:szCs w:val="24"/>
          <w:lang w:eastAsia="pl-PL"/>
        </w:rPr>
        <w:t xml:space="preserve"> pkt </w:t>
      </w:r>
      <w:r w:rsidR="009D1750" w:rsidRPr="00A720EE">
        <w:rPr>
          <w:rFonts w:ascii="Times New Roman" w:eastAsiaTheme="minorEastAsia" w:hAnsi="Times New Roman" w:cs="Times New Roman"/>
          <w:b/>
          <w:sz w:val="24"/>
          <w:szCs w:val="24"/>
          <w:lang w:eastAsia="pl-PL"/>
        </w:rPr>
        <w:t>1</w:t>
      </w:r>
      <w:r w:rsidR="00167D62" w:rsidRPr="00A720EE">
        <w:rPr>
          <w:rFonts w:ascii="Times New Roman" w:eastAsiaTheme="minorEastAsia" w:hAnsi="Times New Roman" w:cs="Times New Roman"/>
          <w:b/>
          <w:sz w:val="24"/>
          <w:szCs w:val="24"/>
          <w:lang w:eastAsia="pl-PL"/>
        </w:rPr>
        <w:t>3</w:t>
      </w:r>
      <w:r w:rsidR="009D1750" w:rsidRPr="00A720EE">
        <w:rPr>
          <w:rFonts w:ascii="Times New Roman" w:eastAsiaTheme="minorEastAsia" w:hAnsi="Times New Roman" w:cs="Times New Roman"/>
          <w:b/>
          <w:sz w:val="24"/>
          <w:szCs w:val="24"/>
          <w:lang w:eastAsia="pl-PL"/>
        </w:rPr>
        <w:t xml:space="preserve"> </w:t>
      </w:r>
      <w:r w:rsidRPr="00A720EE">
        <w:rPr>
          <w:rFonts w:ascii="Times New Roman" w:eastAsiaTheme="minorEastAsia" w:hAnsi="Times New Roman" w:cs="Times New Roman"/>
          <w:b/>
          <w:sz w:val="24"/>
          <w:szCs w:val="24"/>
          <w:lang w:eastAsia="pl-PL"/>
        </w:rPr>
        <w:t xml:space="preserve">– dotyczy art. 30h </w:t>
      </w:r>
      <w:r w:rsidR="006F72E9" w:rsidRPr="00A720EE">
        <w:rPr>
          <w:rFonts w:ascii="Times New Roman" w:eastAsiaTheme="minorEastAsia" w:hAnsi="Times New Roman" w:cs="Times New Roman"/>
          <w:b/>
          <w:sz w:val="24"/>
          <w:szCs w:val="24"/>
          <w:lang w:eastAsia="pl-PL"/>
        </w:rPr>
        <w:t>ust. 6</w:t>
      </w:r>
    </w:p>
    <w:p w14:paraId="5FDEB65E" w14:textId="77777777" w:rsidR="00DA2181" w:rsidRPr="00A720EE" w:rsidRDefault="006F72E9" w:rsidP="008B6493">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polega na uchyleniu ust. 6 w art. 30h. Na podstawie tej regulacji minister finansów </w:t>
      </w:r>
      <w:r w:rsidRPr="00A720EE">
        <w:rPr>
          <w:rFonts w:ascii="Times New Roman" w:eastAsiaTheme="minorEastAsia" w:hAnsi="Times New Roman" w:cs="Times New Roman"/>
          <w:sz w:val="24"/>
          <w:szCs w:val="24"/>
          <w:lang w:eastAsia="pl-PL"/>
        </w:rPr>
        <w:lastRenderedPageBreak/>
        <w:t xml:space="preserve">udostępnia na stronie internetowej Ministerstwa Finansów wzór deklaracji o wysokości daniny solidarnościowej. Zmiana ma charakter porządkowy, gdyż jej konsekwencją jest dodanie przepisu dotyczącego wzoru deklaracji o wysokości daniny solidarnościowej (tj. art. 30h ust. 4 ustawy PIT) do ogólnej normy zawartej w art. 45b ustawy PIT regulującej udostępnianie przez ministra finansów wzorów formularzy, w tym deklaracji. </w:t>
      </w:r>
    </w:p>
    <w:p w14:paraId="7E0720A4" w14:textId="7706C7C9" w:rsidR="00280853" w:rsidRPr="00A720EE" w:rsidRDefault="00280853" w:rsidP="008B649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3 pkt </w:t>
      </w:r>
      <w:r w:rsidR="00167D62" w:rsidRPr="00A720EE">
        <w:rPr>
          <w:rFonts w:ascii="Times New Roman" w:eastAsiaTheme="minorEastAsia" w:hAnsi="Times New Roman" w:cs="Times New Roman"/>
          <w:b/>
          <w:sz w:val="24"/>
          <w:szCs w:val="24"/>
          <w:lang w:eastAsia="pl-PL"/>
        </w:rPr>
        <w:t>14</w:t>
      </w:r>
      <w:r w:rsidRPr="00A720EE">
        <w:rPr>
          <w:rFonts w:ascii="Times New Roman" w:eastAsiaTheme="minorEastAsia" w:hAnsi="Times New Roman" w:cs="Times New Roman"/>
          <w:b/>
          <w:sz w:val="24"/>
          <w:szCs w:val="24"/>
          <w:lang w:eastAsia="pl-PL"/>
        </w:rPr>
        <w:t xml:space="preserve"> – dotyczy art. 31d</w:t>
      </w:r>
    </w:p>
    <w:p w14:paraId="727C3461" w14:textId="77777777" w:rsidR="00FA2FDC" w:rsidRPr="00A720EE" w:rsidRDefault="00FA2FDC" w:rsidP="00FA2F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polega na dodaniu nowej, systemowej regulacji, która umożliwi płatnikom zryczałtowanego podatku dochodowego od osób fizycznych, o którym mowa w art. 30 ust. 1 pkt 2, 4–5a, 13–16 ustawy PIT (w tym od świadczeń otrzymywanych przez emerytów od byłych zakładów pracy), złożenie wniosku o stwierdzenie nadpłaty tego podatku, w sytuacji gdy został on pobrany ze środków podatnika nienależnie lub w wysokości większej od należnej.</w:t>
      </w:r>
    </w:p>
    <w:p w14:paraId="21F2505F" w14:textId="77777777" w:rsidR="00FA2FDC" w:rsidRPr="00A720EE" w:rsidRDefault="00FA2F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Przy czym przepis art. 31d ustawy PIT jest przepisem szczególnym w stosunku do Ordynacji podatkowej. Oznacza to, że reguluje jedynie „odstępstwa” od ogólnych norm prawa podatkowego. I tak, do wniosku o zwrot nadpłaty płatnik nie będzie musiał dołączać deklaracji PIT-8AR, jeśli z wnioskiem o zwrot nadpłaty za rok podatkowy płatnik występuje przed złożeniem deklaracji PIT-8AR dotyczącej tego roku. W przeciwnym wypadku płatnik (na podstawie nor</w:t>
      </w:r>
      <w:r w:rsidR="00657A1B" w:rsidRPr="00A720EE">
        <w:rPr>
          <w:rFonts w:ascii="Times New Roman" w:eastAsiaTheme="minorEastAsia" w:hAnsi="Times New Roman" w:cs="Times New Roman"/>
          <w:sz w:val="24"/>
          <w:szCs w:val="24"/>
          <w:lang w:eastAsia="pl-PL"/>
        </w:rPr>
        <w:t>m</w:t>
      </w:r>
      <w:r w:rsidRPr="00A720EE">
        <w:rPr>
          <w:rFonts w:ascii="Times New Roman" w:eastAsiaTheme="minorEastAsia" w:hAnsi="Times New Roman" w:cs="Times New Roman"/>
          <w:sz w:val="24"/>
          <w:szCs w:val="24"/>
          <w:lang w:eastAsia="pl-PL"/>
        </w:rPr>
        <w:t xml:space="preserve">y ogólnej) jest zobligowany do dołączenia do wniosku deklaracji PIT-8AR, jej korekty albo do późniejszego skorygowania uprzednio złożonej deklaracji. Dotyczy to sytuacji, gdy prawidłowość wniosku złożonego przez płatnika nie będzie budziła wątpliwości. W takim bowiem przypadku organ podatkowy zwróci płatnikowi nadpłatę bez wydawania decyzji stwierdzającej jej wysokość. Ma na to 30 dni od dnia złożenia wniosku. </w:t>
      </w:r>
    </w:p>
    <w:p w14:paraId="68020BF9" w14:textId="77777777" w:rsidR="00FA2FDC" w:rsidRPr="00A720EE" w:rsidRDefault="00FA2FDC" w:rsidP="00FA2F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Kwotę nadpłaty zwróconej przez organ podatkowy płatnik będzie niezwłocznie przekazywał podatnikowi oraz będzie ją wykazywał w składanej deklaracji PIT-8AR lub jej korekcie. </w:t>
      </w:r>
    </w:p>
    <w:p w14:paraId="319249E4" w14:textId="77777777" w:rsidR="00FA2FDC" w:rsidRPr="00A720EE" w:rsidRDefault="00FA2FDC" w:rsidP="00FA2FD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Kwota nadpłaty, której organ podatkowy nie w terminie, będzie podlegała oprocentowaniu. Naliczone odsetki (po ich otrzymaniu od organu podatkowego) płatnik będzie zwracał podatnikowi wraz z należnością główną. </w:t>
      </w:r>
    </w:p>
    <w:p w14:paraId="576E03FC" w14:textId="7CD30933" w:rsidR="008B6493" w:rsidRPr="00A720EE" w:rsidRDefault="008B6493" w:rsidP="008B6493">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w:t>
      </w:r>
      <w:r w:rsidR="006742A7" w:rsidRPr="00A720EE">
        <w:rPr>
          <w:rFonts w:ascii="Times New Roman" w:eastAsiaTheme="minorEastAsia" w:hAnsi="Times New Roman" w:cs="Times New Roman"/>
          <w:b/>
          <w:sz w:val="24"/>
          <w:szCs w:val="24"/>
          <w:lang w:eastAsia="pl-PL"/>
        </w:rPr>
        <w:t>3</w:t>
      </w:r>
      <w:r w:rsidRPr="00A720EE">
        <w:rPr>
          <w:rFonts w:ascii="Times New Roman" w:eastAsiaTheme="minorEastAsia" w:hAnsi="Times New Roman" w:cs="Times New Roman"/>
          <w:b/>
          <w:sz w:val="24"/>
          <w:szCs w:val="24"/>
          <w:lang w:eastAsia="pl-PL"/>
        </w:rPr>
        <w:t xml:space="preserve"> pkt </w:t>
      </w:r>
      <w:r w:rsidR="009D1750" w:rsidRPr="00A720EE">
        <w:rPr>
          <w:rFonts w:ascii="Times New Roman" w:eastAsiaTheme="minorEastAsia" w:hAnsi="Times New Roman" w:cs="Times New Roman"/>
          <w:b/>
          <w:sz w:val="24"/>
          <w:szCs w:val="24"/>
          <w:lang w:eastAsia="pl-PL"/>
        </w:rPr>
        <w:t>1</w:t>
      </w:r>
      <w:r w:rsidR="00167D62" w:rsidRPr="00A720EE">
        <w:rPr>
          <w:rFonts w:ascii="Times New Roman" w:eastAsiaTheme="minorEastAsia" w:hAnsi="Times New Roman" w:cs="Times New Roman"/>
          <w:b/>
          <w:sz w:val="24"/>
          <w:szCs w:val="24"/>
          <w:lang w:eastAsia="pl-PL"/>
        </w:rPr>
        <w:t>5</w:t>
      </w:r>
      <w:r w:rsidR="009D1750" w:rsidRPr="00A720EE">
        <w:rPr>
          <w:rFonts w:ascii="Times New Roman" w:eastAsiaTheme="minorEastAsia" w:hAnsi="Times New Roman" w:cs="Times New Roman"/>
          <w:b/>
          <w:sz w:val="24"/>
          <w:szCs w:val="24"/>
          <w:lang w:eastAsia="pl-PL"/>
        </w:rPr>
        <w:t xml:space="preserve"> </w:t>
      </w:r>
      <w:r w:rsidRPr="00A720EE">
        <w:rPr>
          <w:rFonts w:ascii="Times New Roman" w:eastAsiaTheme="minorEastAsia" w:hAnsi="Times New Roman" w:cs="Times New Roman"/>
          <w:b/>
          <w:sz w:val="24"/>
          <w:szCs w:val="24"/>
          <w:lang w:eastAsia="pl-PL"/>
        </w:rPr>
        <w:t>– dotyczy art. 41</w:t>
      </w:r>
      <w:r w:rsidR="009A20C8" w:rsidRPr="00A720EE">
        <w:rPr>
          <w:rFonts w:ascii="Times New Roman" w:eastAsiaTheme="minorEastAsia" w:hAnsi="Times New Roman" w:cs="Times New Roman"/>
          <w:b/>
          <w:sz w:val="24"/>
          <w:szCs w:val="24"/>
          <w:lang w:eastAsia="pl-PL"/>
        </w:rPr>
        <w:t xml:space="preserve"> ust.</w:t>
      </w:r>
      <w:r w:rsidR="009E2346" w:rsidRPr="00A720EE">
        <w:rPr>
          <w:rFonts w:ascii="Times New Roman" w:eastAsiaTheme="minorEastAsia" w:hAnsi="Times New Roman" w:cs="Times New Roman"/>
          <w:b/>
          <w:sz w:val="24"/>
          <w:szCs w:val="24"/>
          <w:lang w:eastAsia="pl-PL"/>
        </w:rPr>
        <w:t xml:space="preserve"> </w:t>
      </w:r>
      <w:r w:rsidR="00231087" w:rsidRPr="00A720EE">
        <w:rPr>
          <w:rFonts w:ascii="Times New Roman" w:eastAsiaTheme="minorEastAsia" w:hAnsi="Times New Roman" w:cs="Times New Roman"/>
          <w:b/>
          <w:sz w:val="24"/>
          <w:szCs w:val="24"/>
          <w:lang w:eastAsia="pl-PL"/>
        </w:rPr>
        <w:t xml:space="preserve">11, </w:t>
      </w:r>
      <w:r w:rsidR="00280853" w:rsidRPr="00A720EE">
        <w:rPr>
          <w:rFonts w:ascii="Times New Roman" w:eastAsiaTheme="minorEastAsia" w:hAnsi="Times New Roman" w:cs="Times New Roman"/>
          <w:b/>
          <w:sz w:val="24"/>
          <w:szCs w:val="24"/>
          <w:lang w:eastAsia="pl-PL"/>
        </w:rPr>
        <w:t xml:space="preserve">17, </w:t>
      </w:r>
      <w:r w:rsidR="009E2346" w:rsidRPr="00A720EE">
        <w:rPr>
          <w:rFonts w:ascii="Times New Roman" w:eastAsiaTheme="minorEastAsia" w:hAnsi="Times New Roman" w:cs="Times New Roman"/>
          <w:b/>
          <w:sz w:val="24"/>
          <w:szCs w:val="24"/>
          <w:lang w:eastAsia="pl-PL"/>
        </w:rPr>
        <w:t>20, 21, 25</w:t>
      </w:r>
      <w:r w:rsidR="0037435C" w:rsidRPr="00A720EE">
        <w:rPr>
          <w:rFonts w:ascii="Times New Roman" w:eastAsiaTheme="minorEastAsia" w:hAnsi="Times New Roman" w:cs="Times New Roman"/>
          <w:b/>
          <w:sz w:val="24"/>
          <w:szCs w:val="24"/>
          <w:lang w:eastAsia="pl-PL"/>
        </w:rPr>
        <w:t>-</w:t>
      </w:r>
      <w:r w:rsidR="005C24BF" w:rsidRPr="00A720EE">
        <w:rPr>
          <w:rFonts w:ascii="Times New Roman" w:eastAsiaTheme="minorEastAsia" w:hAnsi="Times New Roman" w:cs="Times New Roman"/>
          <w:b/>
          <w:sz w:val="24"/>
          <w:szCs w:val="24"/>
          <w:lang w:eastAsia="pl-PL"/>
        </w:rPr>
        <w:t>28</w:t>
      </w:r>
    </w:p>
    <w:p w14:paraId="329BB24A" w14:textId="77777777" w:rsidR="006F47C8" w:rsidRPr="00A720EE" w:rsidRDefault="00231087" w:rsidP="00231087">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u w:val="single"/>
          <w:lang w:eastAsia="pl-PL"/>
        </w:rPr>
        <w:t>Lit. a</w:t>
      </w:r>
      <w:r w:rsidRPr="00A720EE">
        <w:rPr>
          <w:rFonts w:ascii="Times New Roman" w:eastAsiaTheme="minorEastAsia" w:hAnsi="Times New Roman" w:cs="Times New Roman"/>
          <w:sz w:val="24"/>
          <w:szCs w:val="24"/>
          <w:lang w:eastAsia="pl-PL"/>
        </w:rPr>
        <w:t xml:space="preserve"> </w:t>
      </w:r>
      <w:r w:rsidR="006F47C8" w:rsidRPr="00A720EE">
        <w:rPr>
          <w:rFonts w:ascii="Times New Roman" w:eastAsiaTheme="minorEastAsia" w:hAnsi="Times New Roman" w:cs="Times New Roman"/>
          <w:sz w:val="24"/>
          <w:szCs w:val="24"/>
          <w:lang w:eastAsia="pl-PL"/>
        </w:rPr>
        <w:t xml:space="preserve">nadaje nowe brzmienie </w:t>
      </w:r>
      <w:r w:rsidRPr="00A720EE">
        <w:rPr>
          <w:rFonts w:ascii="Times New Roman" w:eastAsiaTheme="minorEastAsia" w:hAnsi="Times New Roman" w:cs="Times New Roman"/>
          <w:sz w:val="24"/>
          <w:szCs w:val="24"/>
          <w:u w:val="single"/>
          <w:lang w:eastAsia="pl-PL"/>
        </w:rPr>
        <w:t>ust. 11</w:t>
      </w:r>
      <w:r w:rsidRPr="00A720EE">
        <w:rPr>
          <w:rFonts w:ascii="Times New Roman" w:eastAsiaTheme="minorEastAsia" w:hAnsi="Times New Roman" w:cs="Times New Roman"/>
          <w:sz w:val="24"/>
          <w:szCs w:val="24"/>
          <w:lang w:eastAsia="pl-PL"/>
        </w:rPr>
        <w:t xml:space="preserve"> w art. 41 ustawy PIT</w:t>
      </w:r>
      <w:r w:rsidR="006F47C8" w:rsidRPr="00A720EE">
        <w:rPr>
          <w:rFonts w:ascii="Times New Roman" w:eastAsiaTheme="minorEastAsia" w:hAnsi="Times New Roman" w:cs="Times New Roman"/>
          <w:sz w:val="24"/>
          <w:szCs w:val="24"/>
          <w:lang w:eastAsia="pl-PL"/>
        </w:rPr>
        <w:t xml:space="preserve">, który nie zawiera już informacji </w:t>
      </w:r>
      <w:r w:rsidRPr="00A720EE">
        <w:rPr>
          <w:rFonts w:ascii="Times New Roman" w:eastAsiaTheme="minorEastAsia" w:hAnsi="Times New Roman" w:cs="Times New Roman"/>
          <w:sz w:val="24"/>
          <w:szCs w:val="24"/>
          <w:lang w:eastAsia="pl-PL"/>
        </w:rPr>
        <w:t xml:space="preserve">zgodnie </w:t>
      </w:r>
      <w:r w:rsidR="006F47C8" w:rsidRPr="00A720EE">
        <w:rPr>
          <w:rFonts w:ascii="Times New Roman" w:eastAsiaTheme="minorEastAsia" w:hAnsi="Times New Roman" w:cs="Times New Roman"/>
          <w:sz w:val="24"/>
          <w:szCs w:val="24"/>
          <w:lang w:eastAsia="pl-PL"/>
        </w:rPr>
        <w:t xml:space="preserve">z którą </w:t>
      </w:r>
      <w:r w:rsidRPr="00A720EE">
        <w:rPr>
          <w:rFonts w:ascii="Times New Roman" w:eastAsiaTheme="minorEastAsia" w:hAnsi="Times New Roman" w:cs="Times New Roman"/>
          <w:sz w:val="24"/>
          <w:szCs w:val="24"/>
          <w:lang w:eastAsia="pl-PL"/>
        </w:rPr>
        <w:t>oświadczenie o rezygnacji ze stosowania 50% kosztów uzyskania przychodów</w:t>
      </w:r>
      <w:r w:rsidR="006F47C8" w:rsidRPr="00A720EE">
        <w:rPr>
          <w:rFonts w:ascii="Times New Roman" w:eastAsiaTheme="minorEastAsia" w:hAnsi="Times New Roman" w:cs="Times New Roman"/>
          <w:sz w:val="24"/>
          <w:szCs w:val="24"/>
          <w:lang w:eastAsia="pl-PL"/>
        </w:rPr>
        <w:t xml:space="preserve"> (składane płatnikowi przez podatnika)</w:t>
      </w:r>
      <w:r w:rsidRPr="00A720EE">
        <w:rPr>
          <w:rFonts w:ascii="Times New Roman" w:eastAsiaTheme="minorEastAsia" w:hAnsi="Times New Roman" w:cs="Times New Roman"/>
          <w:sz w:val="24"/>
          <w:szCs w:val="24"/>
          <w:lang w:eastAsia="pl-PL"/>
        </w:rPr>
        <w:t xml:space="preserve"> dotyczy tylko jednego roku, a co za tym idzie składa się odrębnie dla każdego roku podatkowego. </w:t>
      </w:r>
      <w:r w:rsidR="006F47C8" w:rsidRPr="00A720EE">
        <w:rPr>
          <w:rFonts w:ascii="Times New Roman" w:eastAsiaTheme="minorEastAsia" w:hAnsi="Times New Roman" w:cs="Times New Roman"/>
          <w:sz w:val="24"/>
          <w:szCs w:val="24"/>
          <w:lang w:eastAsia="pl-PL"/>
        </w:rPr>
        <w:t>Ponadto wyraz „oświadczenie” został zastąpiony wyrazem „wniosek”.</w:t>
      </w:r>
    </w:p>
    <w:p w14:paraId="7B6BB0AA" w14:textId="7F116923" w:rsidR="005B2A72" w:rsidRPr="00A720EE" w:rsidRDefault="00231087" w:rsidP="00B214D1">
      <w:pPr>
        <w:widowControl w:val="0"/>
        <w:autoSpaceDE w:val="0"/>
        <w:autoSpaceDN w:val="0"/>
        <w:adjustRightInd w:val="0"/>
        <w:spacing w:before="120" w:after="0" w:line="276" w:lineRule="auto"/>
        <w:jc w:val="both"/>
        <w:rPr>
          <w:rFonts w:ascii="Times New Roman" w:eastAsiaTheme="minorEastAsia" w:hAnsi="Times New Roman" w:cs="Times New Roman"/>
          <w:sz w:val="24"/>
          <w:szCs w:val="24"/>
          <w:highlight w:val="green"/>
          <w:u w:val="single"/>
          <w:lang w:eastAsia="pl-PL"/>
        </w:rPr>
      </w:pPr>
      <w:r w:rsidRPr="00A720EE">
        <w:rPr>
          <w:rFonts w:ascii="Times New Roman" w:eastAsiaTheme="minorEastAsia" w:hAnsi="Times New Roman" w:cs="Times New Roman"/>
          <w:sz w:val="24"/>
          <w:szCs w:val="24"/>
          <w:lang w:eastAsia="pl-PL"/>
        </w:rPr>
        <w:t xml:space="preserve">Zmiana ma charakter dostosowawczy do zmian wprowadzanych od 1 stycznia 2023 r. ustawą uchwaloną w oparciu o druk sejmowy nr 2186, zgodnie z którymi kwestia składania przez podatnika wniosków i oświadczeń mających wpływ na obliczanie zaliczki jest całościowo regulowana w art. 31a ustawy PIT. Od 2023 r. generalną zasadą będzie, że wnioski </w:t>
      </w:r>
      <w:r w:rsidR="004D6E51" w:rsidRPr="00A720EE">
        <w:rPr>
          <w:rFonts w:ascii="Times New Roman" w:eastAsiaTheme="minorEastAsia" w:hAnsi="Times New Roman" w:cs="Times New Roman"/>
          <w:sz w:val="24"/>
          <w:szCs w:val="24"/>
          <w:lang w:eastAsia="pl-PL"/>
        </w:rPr>
        <w:t>i</w:t>
      </w:r>
      <w:r w:rsidR="00142549"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oświadczenia mające wpływ na obliczenie zaliczek będą dotyczyć również kolejnych lat podatkowych. Konsekwencją tej zmiany jest zastąpienie w art. 31a ust. 7 wyrazów „art. 32 ust. 6 i 8” wyrazami „art. 32 ust. 6</w:t>
      </w:r>
      <w:r w:rsidR="006F47C8"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sz w:val="24"/>
          <w:szCs w:val="24"/>
          <w:lang w:eastAsia="pl-PL"/>
        </w:rPr>
        <w:t xml:space="preserve">i 8 oraz art. 41 ust. 11”. </w:t>
      </w:r>
    </w:p>
    <w:p w14:paraId="6D6553DB" w14:textId="1B494ABA" w:rsidR="00002544" w:rsidRPr="00A720EE" w:rsidRDefault="00B214D1" w:rsidP="00B214D1">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u w:val="single"/>
          <w:lang w:eastAsia="pl-PL"/>
        </w:rPr>
        <w:lastRenderedPageBreak/>
        <w:t>Lit. b –</w:t>
      </w:r>
      <w:r w:rsidR="00002544" w:rsidRPr="00A720EE">
        <w:rPr>
          <w:rFonts w:ascii="Times New Roman" w:eastAsiaTheme="minorEastAsia" w:hAnsi="Times New Roman" w:cs="Times New Roman"/>
          <w:sz w:val="24"/>
          <w:szCs w:val="24"/>
          <w:u w:val="single"/>
          <w:lang w:eastAsia="pl-PL"/>
        </w:rPr>
        <w:t>g</w:t>
      </w:r>
      <w:r w:rsidRPr="00A720EE">
        <w:rPr>
          <w:rFonts w:ascii="Times New Roman" w:eastAsiaTheme="minorEastAsia" w:hAnsi="Times New Roman" w:cs="Times New Roman"/>
          <w:sz w:val="24"/>
          <w:szCs w:val="24"/>
          <w:lang w:eastAsia="pl-PL"/>
        </w:rPr>
        <w:t xml:space="preserve"> dot. </w:t>
      </w:r>
      <w:r w:rsidRPr="00A720EE">
        <w:rPr>
          <w:rFonts w:ascii="Times New Roman" w:eastAsiaTheme="minorEastAsia" w:hAnsi="Times New Roman" w:cs="Times New Roman"/>
          <w:sz w:val="24"/>
          <w:szCs w:val="24"/>
          <w:u w:val="single"/>
          <w:lang w:eastAsia="pl-PL"/>
        </w:rPr>
        <w:t>ust. 17, 20-21 i</w:t>
      </w:r>
      <w:r w:rsidR="000204FE" w:rsidRPr="00A720EE">
        <w:rPr>
          <w:rFonts w:ascii="Times New Roman" w:eastAsiaTheme="minorEastAsia" w:hAnsi="Times New Roman" w:cs="Times New Roman"/>
          <w:sz w:val="24"/>
          <w:szCs w:val="24"/>
          <w:u w:val="single"/>
          <w:lang w:eastAsia="pl-PL"/>
        </w:rPr>
        <w:t xml:space="preserve"> 25</w:t>
      </w:r>
      <w:r w:rsidRPr="00A720EE">
        <w:rPr>
          <w:rFonts w:ascii="Times New Roman" w:eastAsiaTheme="minorEastAsia" w:hAnsi="Times New Roman" w:cs="Times New Roman"/>
          <w:sz w:val="24"/>
          <w:szCs w:val="24"/>
          <w:u w:val="single"/>
          <w:lang w:eastAsia="pl-PL"/>
        </w:rPr>
        <w:t>-2</w:t>
      </w:r>
      <w:r w:rsidR="00002544" w:rsidRPr="00A720EE">
        <w:rPr>
          <w:rFonts w:ascii="Times New Roman" w:eastAsiaTheme="minorEastAsia" w:hAnsi="Times New Roman" w:cs="Times New Roman"/>
          <w:sz w:val="24"/>
          <w:szCs w:val="24"/>
          <w:u w:val="single"/>
          <w:lang w:eastAsia="pl-PL"/>
        </w:rPr>
        <w:t>8</w:t>
      </w:r>
      <w:r w:rsidRPr="00A720EE">
        <w:rPr>
          <w:rFonts w:ascii="Times New Roman" w:eastAsiaTheme="minorEastAsia" w:hAnsi="Times New Roman" w:cs="Times New Roman"/>
          <w:sz w:val="24"/>
          <w:szCs w:val="24"/>
          <w:lang w:eastAsia="pl-PL"/>
        </w:rPr>
        <w:t xml:space="preserve"> </w:t>
      </w:r>
    </w:p>
    <w:p w14:paraId="2AEF9D7B" w14:textId="72760117" w:rsidR="00361C72" w:rsidRPr="00A720EE" w:rsidRDefault="00361C72" w:rsidP="00B214D1">
      <w:pPr>
        <w:widowControl w:val="0"/>
        <w:autoSpaceDE w:val="0"/>
        <w:autoSpaceDN w:val="0"/>
        <w:adjustRightInd w:val="0"/>
        <w:spacing w:before="120" w:after="0" w:line="276" w:lineRule="auto"/>
        <w:jc w:val="both"/>
        <w:rPr>
          <w:rFonts w:ascii="Times New Roman" w:eastAsiaTheme="minorEastAsia" w:hAnsi="Times New Roman" w:cs="Times New Roman"/>
          <w:sz w:val="24"/>
          <w:szCs w:val="24"/>
          <w:highlight w:val="green"/>
          <w:lang w:eastAsia="pl-PL"/>
        </w:rPr>
      </w:pPr>
      <w:r w:rsidRPr="00A720EE">
        <w:rPr>
          <w:rFonts w:ascii="Times New Roman" w:eastAsiaTheme="minorEastAsia" w:hAnsi="Times New Roman" w:cs="Times New Roman"/>
          <w:sz w:val="24"/>
          <w:szCs w:val="24"/>
          <w:lang w:eastAsia="pl-PL"/>
        </w:rPr>
        <w:t>Zob. uzasadnienie analogicznych zmian w ustawie CIT, tj. do art. 1 pkt 23 projektu ustawy.</w:t>
      </w:r>
    </w:p>
    <w:p w14:paraId="494AC72D" w14:textId="1B968AE2" w:rsidR="00280853" w:rsidRPr="00A720EE" w:rsidRDefault="00280853" w:rsidP="00160A3C">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3 pkt </w:t>
      </w:r>
      <w:r w:rsidR="00167D62" w:rsidRPr="00A720EE">
        <w:rPr>
          <w:rFonts w:ascii="Times New Roman" w:eastAsiaTheme="minorEastAsia" w:hAnsi="Times New Roman" w:cs="Times New Roman"/>
          <w:b/>
          <w:sz w:val="24"/>
          <w:szCs w:val="24"/>
          <w:lang w:eastAsia="pl-PL"/>
        </w:rPr>
        <w:t>16</w:t>
      </w:r>
      <w:r w:rsidRPr="00A720EE">
        <w:rPr>
          <w:rFonts w:ascii="Times New Roman" w:eastAsiaTheme="minorEastAsia" w:hAnsi="Times New Roman" w:cs="Times New Roman"/>
          <w:b/>
          <w:sz w:val="24"/>
          <w:szCs w:val="24"/>
          <w:lang w:eastAsia="pl-PL"/>
        </w:rPr>
        <w:t xml:space="preserve"> – dotyczy art.</w:t>
      </w:r>
      <w:r w:rsidRPr="00A720EE">
        <w:rPr>
          <w:rFonts w:ascii="Times New Roman" w:eastAsiaTheme="minorEastAsia" w:hAnsi="Times New Roman" w:cs="Times New Roman"/>
          <w:sz w:val="24"/>
          <w:szCs w:val="24"/>
          <w:lang w:eastAsia="pl-PL"/>
        </w:rPr>
        <w:t xml:space="preserve"> </w:t>
      </w:r>
      <w:r w:rsidRPr="00A720EE">
        <w:rPr>
          <w:rFonts w:ascii="Times New Roman" w:eastAsiaTheme="minorEastAsia" w:hAnsi="Times New Roman" w:cs="Times New Roman"/>
          <w:b/>
          <w:sz w:val="24"/>
          <w:szCs w:val="24"/>
          <w:lang w:eastAsia="pl-PL"/>
        </w:rPr>
        <w:t>41d ust. 9</w:t>
      </w:r>
    </w:p>
    <w:p w14:paraId="77B21302" w14:textId="350FF6C7" w:rsidR="00361C72" w:rsidRPr="00A720EE" w:rsidRDefault="00361C72" w:rsidP="00160A3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Zob. uzasadnienie analogicznej zmiany w ustawie CIT, tj. do art. 1 pkt 24 projektu ustawy.</w:t>
      </w:r>
    </w:p>
    <w:p w14:paraId="50F65DC9" w14:textId="462FF13E" w:rsidR="006671A6" w:rsidRPr="00A720EE" w:rsidRDefault="00A301CA" w:rsidP="00160A3C">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 xml:space="preserve">Art. </w:t>
      </w:r>
      <w:r w:rsidR="006742A7" w:rsidRPr="00A720EE">
        <w:rPr>
          <w:rFonts w:ascii="Times New Roman" w:eastAsiaTheme="minorEastAsia" w:hAnsi="Times New Roman" w:cs="Times New Roman"/>
          <w:b/>
          <w:sz w:val="24"/>
          <w:szCs w:val="24"/>
          <w:lang w:eastAsia="pl-PL"/>
        </w:rPr>
        <w:t>3</w:t>
      </w:r>
      <w:r w:rsidRPr="00A720EE">
        <w:rPr>
          <w:rFonts w:ascii="Times New Roman" w:eastAsiaTheme="minorEastAsia" w:hAnsi="Times New Roman" w:cs="Times New Roman"/>
          <w:b/>
          <w:sz w:val="24"/>
          <w:szCs w:val="24"/>
          <w:lang w:eastAsia="pl-PL"/>
        </w:rPr>
        <w:t xml:space="preserve"> pkt </w:t>
      </w:r>
      <w:r w:rsidR="009D1750" w:rsidRPr="00A720EE">
        <w:rPr>
          <w:rFonts w:ascii="Times New Roman" w:eastAsiaTheme="minorEastAsia" w:hAnsi="Times New Roman" w:cs="Times New Roman"/>
          <w:b/>
          <w:sz w:val="24"/>
          <w:szCs w:val="24"/>
          <w:lang w:eastAsia="pl-PL"/>
        </w:rPr>
        <w:t>1</w:t>
      </w:r>
      <w:r w:rsidR="00167D62" w:rsidRPr="00A720EE">
        <w:rPr>
          <w:rFonts w:ascii="Times New Roman" w:eastAsiaTheme="minorEastAsia" w:hAnsi="Times New Roman" w:cs="Times New Roman"/>
          <w:b/>
          <w:sz w:val="24"/>
          <w:szCs w:val="24"/>
          <w:lang w:eastAsia="pl-PL"/>
        </w:rPr>
        <w:t>7</w:t>
      </w:r>
      <w:r w:rsidR="009D1750" w:rsidRPr="00A720EE">
        <w:rPr>
          <w:rFonts w:ascii="Times New Roman" w:eastAsiaTheme="minorEastAsia" w:hAnsi="Times New Roman" w:cs="Times New Roman"/>
          <w:b/>
          <w:sz w:val="24"/>
          <w:szCs w:val="24"/>
          <w:lang w:eastAsia="pl-PL"/>
        </w:rPr>
        <w:t xml:space="preserve"> </w:t>
      </w:r>
      <w:r w:rsidR="006671A6" w:rsidRPr="00A720EE">
        <w:rPr>
          <w:rFonts w:ascii="Times New Roman" w:eastAsiaTheme="minorEastAsia" w:hAnsi="Times New Roman" w:cs="Times New Roman"/>
          <w:b/>
          <w:sz w:val="24"/>
          <w:szCs w:val="24"/>
          <w:lang w:eastAsia="pl-PL"/>
        </w:rPr>
        <w:t>– dotyczy art. 45b ust. 1 i 2</w:t>
      </w:r>
    </w:p>
    <w:p w14:paraId="1678D019" w14:textId="4714EAA1" w:rsidR="003D0E60" w:rsidRPr="00A720EE" w:rsidRDefault="003D0E60" w:rsidP="006671A6">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Przepis art. 45b ustawy PIT zawiera delegację dla ministra finansów. Na jej podstawie minister udostępnia wybrane wzory (np. deklaracji, zeznań)  w BIP na stronie Ministerstwa Finansów. </w:t>
      </w:r>
      <w:r w:rsidR="006671A6" w:rsidRPr="00A720EE">
        <w:rPr>
          <w:rFonts w:ascii="Times New Roman" w:eastAsiaTheme="minorEastAsia" w:hAnsi="Times New Roman" w:cs="Times New Roman"/>
          <w:sz w:val="24"/>
          <w:szCs w:val="24"/>
          <w:lang w:eastAsia="pl-PL"/>
        </w:rPr>
        <w:t>Zmian</w:t>
      </w:r>
      <w:r w:rsidRPr="00A720EE">
        <w:rPr>
          <w:rFonts w:ascii="Times New Roman" w:eastAsiaTheme="minorEastAsia" w:hAnsi="Times New Roman" w:cs="Times New Roman"/>
          <w:sz w:val="24"/>
          <w:szCs w:val="24"/>
          <w:lang w:eastAsia="pl-PL"/>
        </w:rPr>
        <w:t xml:space="preserve">a w zakresie dodania w ust. 1 pkt 1 tego artykułu przepisu art. 30h ust. 4 jest konsekwencją przeniesienia do normy ogólnej zawartej w art. 45b również regulacji dotyczącej udostępnienia wzoru deklaracji o wysokości daniny solidarnościowej. </w:t>
      </w:r>
    </w:p>
    <w:p w14:paraId="33D40E06" w14:textId="2ABF63D8" w:rsidR="006671A6" w:rsidRPr="00A720EE" w:rsidRDefault="003D0E60" w:rsidP="006671A6">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Pozostałe zmiany w tym artykule </w:t>
      </w:r>
      <w:r w:rsidR="006671A6" w:rsidRPr="00A720EE">
        <w:rPr>
          <w:rFonts w:ascii="Times New Roman" w:eastAsiaTheme="minorEastAsia" w:hAnsi="Times New Roman" w:cs="Times New Roman"/>
          <w:bCs/>
          <w:sz w:val="24"/>
          <w:szCs w:val="24"/>
          <w:lang w:eastAsia="pl-PL"/>
        </w:rPr>
        <w:t>doprecyzowujące przepisy dotyczące udostępniania wzorów deklaracji w zakresu podatków dochodowych</w:t>
      </w:r>
      <w:r w:rsidR="006671A6" w:rsidRPr="00A720EE">
        <w:rPr>
          <w:rFonts w:ascii="Times New Roman" w:eastAsiaTheme="minorEastAsia" w:hAnsi="Times New Roman" w:cs="Times New Roman"/>
          <w:sz w:val="24"/>
          <w:szCs w:val="24"/>
          <w:lang w:eastAsia="pl-PL"/>
        </w:rPr>
        <w:t xml:space="preserve"> są analogiczne do zmian wprowadzonych w art. 28a ustawy CIT.</w:t>
      </w:r>
    </w:p>
    <w:p w14:paraId="5119A195" w14:textId="2EE5AA5A" w:rsidR="00055BFD" w:rsidRPr="00A720EE" w:rsidRDefault="00055BFD" w:rsidP="00055BFD">
      <w:pPr>
        <w:widowControl w:val="0"/>
        <w:autoSpaceDE w:val="0"/>
        <w:autoSpaceDN w:val="0"/>
        <w:adjustRightInd w:val="0"/>
        <w:spacing w:before="120" w:after="0" w:line="276" w:lineRule="auto"/>
        <w:jc w:val="both"/>
        <w:rPr>
          <w:rFonts w:ascii="Times New Roman" w:eastAsiaTheme="minorEastAsia" w:hAnsi="Times New Roman" w:cs="Times New Roman"/>
          <w:b/>
          <w:bCs/>
          <w:sz w:val="24"/>
          <w:szCs w:val="24"/>
          <w:lang w:eastAsia="pl-PL"/>
        </w:rPr>
      </w:pPr>
      <w:r w:rsidRPr="00A720EE">
        <w:rPr>
          <w:rFonts w:ascii="Times New Roman" w:eastAsiaTheme="minorEastAsia" w:hAnsi="Times New Roman" w:cs="Times New Roman"/>
          <w:b/>
          <w:bCs/>
          <w:sz w:val="24"/>
          <w:szCs w:val="24"/>
          <w:lang w:eastAsia="pl-PL"/>
        </w:rPr>
        <w:t xml:space="preserve">Art. 3 pkt 18 – dotyczy art. 45cd ust. </w:t>
      </w:r>
      <w:r w:rsidR="00EF3C83" w:rsidRPr="00A720EE">
        <w:rPr>
          <w:rFonts w:ascii="Times New Roman" w:eastAsiaTheme="minorEastAsia" w:hAnsi="Times New Roman" w:cs="Times New Roman"/>
          <w:b/>
          <w:bCs/>
          <w:sz w:val="24"/>
          <w:szCs w:val="24"/>
          <w:lang w:eastAsia="pl-PL"/>
        </w:rPr>
        <w:t>1, 2, 2a, 3 i 6</w:t>
      </w:r>
    </w:p>
    <w:p w14:paraId="5F58A366" w14:textId="77777777" w:rsidR="00055BFD" w:rsidRPr="00A720EE" w:rsidRDefault="00055BFD" w:rsidP="00055BF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Art. 45cd ustawy PIT reguluje kwestie udostępniania w portalu podatkowym zeznań podatkowych przygotowanych przez administrację podatkową. </w:t>
      </w:r>
    </w:p>
    <w:p w14:paraId="66816AD3" w14:textId="77777777" w:rsidR="00055BFD" w:rsidRPr="00A720EE" w:rsidRDefault="00055BFD" w:rsidP="00055BF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Celem zmian wprowadzanych w tym artykule jest umożliwienie Szefowi Krajowej Administracji Podatkowej udostępniania w usłudze Twój e-PIT również informacji PIT-DZ. Informację tę składają podatnicy korzystający z ulgi dla rodzin 4+. Wprowadzenie tej zmiany pozwoli na udostępnianie PIT-DZ w usłudze Twój e-PIT za pośrednictwem e-Urzędu Skarbowego. </w:t>
      </w:r>
    </w:p>
    <w:p w14:paraId="0DEC1AA4" w14:textId="77777777" w:rsidR="00055BFD" w:rsidRPr="00A720EE" w:rsidRDefault="00055BFD" w:rsidP="00055BF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Proponuje się, aby przepis ten wszedł w życie z 1 stycznia 2023 r. i miał zastosowanie do dochodów uzyskanych od 1 stycznia 2022 r., z tym że w pierwszym roku obowiązywania tej regulacji Szef Krajowej Administracji Skarbowej wypełniałby PIT-DZ wyłącznie danymi identyfikacyjnymi podatnika (informacja o dzieciach byłaby uzupełniana przez podatnika). </w:t>
      </w:r>
    </w:p>
    <w:p w14:paraId="692AC5D5" w14:textId="77777777" w:rsidR="004A611F" w:rsidRPr="00A720EE" w:rsidRDefault="004A611F" w:rsidP="00007288">
      <w:pPr>
        <w:spacing w:before="120" w:after="0" w:line="312" w:lineRule="auto"/>
        <w:jc w:val="both"/>
        <w:rPr>
          <w:rFonts w:ascii="Times New Roman" w:eastAsia="Times New Roman" w:hAnsi="Times New Roman" w:cs="Times New Roman"/>
          <w:b/>
          <w:bCs/>
          <w:sz w:val="24"/>
          <w:szCs w:val="24"/>
          <w:lang w:eastAsia="pl-PL"/>
        </w:rPr>
      </w:pPr>
    </w:p>
    <w:p w14:paraId="554D4FD7" w14:textId="79AD14AF" w:rsidR="005D6268" w:rsidRPr="00A720EE" w:rsidRDefault="00D910DD" w:rsidP="00007288">
      <w:pPr>
        <w:spacing w:before="120" w:after="0" w:line="312" w:lineRule="auto"/>
        <w:jc w:val="both"/>
        <w:rPr>
          <w:rFonts w:ascii="Times New Roman" w:eastAsia="Times New Roman" w:hAnsi="Times New Roman" w:cs="Times New Roman"/>
          <w:b/>
          <w:bCs/>
          <w:sz w:val="24"/>
          <w:szCs w:val="24"/>
          <w:u w:val="single"/>
          <w:lang w:eastAsia="pl-PL"/>
        </w:rPr>
      </w:pPr>
      <w:r w:rsidRPr="00A720EE">
        <w:rPr>
          <w:rFonts w:ascii="Times New Roman" w:eastAsia="Times New Roman" w:hAnsi="Times New Roman" w:cs="Times New Roman"/>
          <w:b/>
          <w:bCs/>
          <w:sz w:val="24"/>
          <w:szCs w:val="24"/>
          <w:u w:val="single"/>
          <w:lang w:eastAsia="pl-PL"/>
        </w:rPr>
        <w:t xml:space="preserve">Art. </w:t>
      </w:r>
      <w:r w:rsidR="006742A7" w:rsidRPr="00A720EE">
        <w:rPr>
          <w:rFonts w:ascii="Times New Roman" w:eastAsia="Times New Roman" w:hAnsi="Times New Roman" w:cs="Times New Roman"/>
          <w:b/>
          <w:bCs/>
          <w:sz w:val="24"/>
          <w:szCs w:val="24"/>
          <w:u w:val="single"/>
          <w:lang w:eastAsia="pl-PL"/>
        </w:rPr>
        <w:t>4</w:t>
      </w:r>
      <w:r w:rsidRPr="00A720EE">
        <w:rPr>
          <w:rFonts w:ascii="Times New Roman" w:eastAsia="Times New Roman" w:hAnsi="Times New Roman" w:cs="Times New Roman"/>
          <w:b/>
          <w:bCs/>
          <w:sz w:val="24"/>
          <w:szCs w:val="24"/>
          <w:u w:val="single"/>
          <w:lang w:eastAsia="pl-PL"/>
        </w:rPr>
        <w:t xml:space="preserve"> projektu ustawy</w:t>
      </w:r>
      <w:r w:rsidR="004D521E" w:rsidRPr="00A720EE">
        <w:rPr>
          <w:rFonts w:ascii="Times New Roman" w:eastAsia="Times New Roman" w:hAnsi="Times New Roman" w:cs="Times New Roman"/>
          <w:b/>
          <w:bCs/>
          <w:sz w:val="24"/>
          <w:szCs w:val="24"/>
          <w:u w:val="single"/>
          <w:lang w:eastAsia="pl-PL"/>
        </w:rPr>
        <w:t xml:space="preserve"> </w:t>
      </w:r>
      <w:r w:rsidR="004D521E" w:rsidRPr="00A720EE">
        <w:rPr>
          <w:rFonts w:ascii="Times New Roman" w:eastAsia="Times New Roman" w:hAnsi="Times New Roman" w:cs="Times New Roman"/>
          <w:bCs/>
          <w:sz w:val="24"/>
          <w:szCs w:val="24"/>
          <w:lang w:eastAsia="pl-PL"/>
        </w:rPr>
        <w:t xml:space="preserve">– dotyczy </w:t>
      </w:r>
      <w:r w:rsidR="00480C02" w:rsidRPr="00A720EE">
        <w:rPr>
          <w:rFonts w:ascii="Times New Roman" w:eastAsia="Times New Roman" w:hAnsi="Times New Roman" w:cs="Times New Roman"/>
          <w:bCs/>
          <w:sz w:val="24"/>
          <w:szCs w:val="24"/>
          <w:lang w:eastAsia="pl-PL"/>
        </w:rPr>
        <w:t xml:space="preserve">zmian w </w:t>
      </w:r>
      <w:r w:rsidR="004D521E" w:rsidRPr="00A720EE">
        <w:rPr>
          <w:rFonts w:ascii="Times New Roman" w:eastAsia="Times New Roman" w:hAnsi="Times New Roman" w:cs="Times New Roman"/>
          <w:bCs/>
          <w:sz w:val="24"/>
          <w:szCs w:val="24"/>
          <w:lang w:eastAsia="pl-PL"/>
        </w:rPr>
        <w:t>Ordynacji podatkowej</w:t>
      </w:r>
    </w:p>
    <w:p w14:paraId="11FCDD60" w14:textId="77777777" w:rsidR="00480C02" w:rsidRPr="00A720EE" w:rsidRDefault="00480C02" w:rsidP="00F504AC">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eastAsia="Times New Roman" w:hAnsi="Times New Roman" w:cs="Times New Roman"/>
          <w:b/>
          <w:bCs/>
          <w:sz w:val="24"/>
          <w:szCs w:val="24"/>
          <w:lang w:eastAsia="pl-PL"/>
        </w:rPr>
        <w:t>Art. 4 pkt 1 – dotyczy art.</w:t>
      </w:r>
      <w:r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
          <w:bCs/>
          <w:sz w:val="24"/>
          <w:szCs w:val="24"/>
          <w:lang w:eastAsia="pl-PL"/>
        </w:rPr>
        <w:t>82 § 1c</w:t>
      </w:r>
    </w:p>
    <w:p w14:paraId="2CC55F6D" w14:textId="7FFF8830" w:rsidR="00F504AC" w:rsidRPr="00A720EE" w:rsidRDefault="00F504AC" w:rsidP="00F504AC">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Zmiana w art. 82 § 1c Ordynacji podatkowej m określa zasady przekazywania do właściwego dla podatnika naczelnika urzędu skarbowego informacji o umowach z nierezydentami (informacja ORD-U), w przypadku obowiązku składania informacji o cenach transferowych (informacja TPR). Obowiązek sporządzenia informacji ORD-U nie będzie występował w przypadku podmiotów, które są obowiązane do sporządzenia informacji TPR na podstawie art. 23zf ust. 1 ustawy PIT oraz art. 11t ust. 1 ustawy CIT. </w:t>
      </w:r>
    </w:p>
    <w:p w14:paraId="2AEAB13D" w14:textId="6197DD2B" w:rsidR="00F504AC" w:rsidRPr="00A720EE" w:rsidRDefault="00F504AC" w:rsidP="00F504AC">
      <w:pPr>
        <w:widowControl w:val="0"/>
        <w:autoSpaceDE w:val="0"/>
        <w:autoSpaceDN w:val="0"/>
        <w:adjustRightInd w:val="0"/>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Zwolnienie z obowiązku sporządzenia informacji ORD-U nie będzie dotycz</w:t>
      </w:r>
      <w:r w:rsidR="005D29E4" w:rsidRPr="00A720EE">
        <w:rPr>
          <w:rFonts w:ascii="Times New Roman" w:hAnsi="Times New Roman" w:cs="Times New Roman"/>
          <w:sz w:val="24"/>
          <w:szCs w:val="24"/>
        </w:rPr>
        <w:t>yć</w:t>
      </w:r>
      <w:r w:rsidRPr="00A720EE">
        <w:rPr>
          <w:rFonts w:ascii="Times New Roman" w:hAnsi="Times New Roman" w:cs="Times New Roman"/>
          <w:color w:val="FF0000"/>
          <w:sz w:val="24"/>
          <w:szCs w:val="24"/>
        </w:rPr>
        <w:t xml:space="preserve"> </w:t>
      </w:r>
      <w:r w:rsidRPr="00A720EE">
        <w:rPr>
          <w:rFonts w:ascii="Times New Roman" w:hAnsi="Times New Roman" w:cs="Times New Roman"/>
          <w:sz w:val="24"/>
          <w:szCs w:val="24"/>
        </w:rPr>
        <w:t xml:space="preserve">podatników i spółek niebędących osobami prawnymi, które składają informację o cenach transferowych na podstawie art. 23zf ust. 3 ustawy PIT oraz art. 11t ust. 3 ustawy CIT. W tym przypadku ich </w:t>
      </w:r>
      <w:r w:rsidRPr="00A720EE">
        <w:rPr>
          <w:rFonts w:ascii="Times New Roman" w:hAnsi="Times New Roman" w:cs="Times New Roman"/>
          <w:sz w:val="24"/>
          <w:szCs w:val="24"/>
        </w:rPr>
        <w:lastRenderedPageBreak/>
        <w:t>sytuacja nie ulega zmianie, tzn. nie korzystają</w:t>
      </w:r>
      <w:r w:rsidRPr="00A720EE">
        <w:rPr>
          <w:rFonts w:ascii="Times New Roman" w:hAnsi="Times New Roman" w:cs="Times New Roman"/>
          <w:color w:val="1F497D"/>
          <w:sz w:val="24"/>
          <w:szCs w:val="24"/>
        </w:rPr>
        <w:t xml:space="preserve"> </w:t>
      </w:r>
      <w:r w:rsidRPr="00A720EE">
        <w:rPr>
          <w:rFonts w:ascii="Times New Roman" w:hAnsi="Times New Roman" w:cs="Times New Roman"/>
          <w:sz w:val="24"/>
          <w:szCs w:val="24"/>
        </w:rPr>
        <w:t>one, podobnie jak dotychczas,</w:t>
      </w:r>
      <w:r w:rsidR="005D29E4" w:rsidRPr="00A720EE">
        <w:rPr>
          <w:rFonts w:ascii="Times New Roman" w:hAnsi="Times New Roman" w:cs="Times New Roman"/>
          <w:sz w:val="24"/>
          <w:szCs w:val="24"/>
        </w:rPr>
        <w:t xml:space="preserve"> </w:t>
      </w:r>
      <w:r w:rsidRPr="00A720EE">
        <w:rPr>
          <w:rFonts w:ascii="Times New Roman" w:hAnsi="Times New Roman" w:cs="Times New Roman"/>
          <w:sz w:val="24"/>
          <w:szCs w:val="24"/>
        </w:rPr>
        <w:t>ze zwolnienia ze złożenia informacji ORD-U. Zmiana w tym przepisie dotyczy natomiast podmiotów powiązanych, które realizuję transakcje kontrolowane z podmiotami z tzw. rajów podatkowych, o których mowa w art. 23w ust. 2a ustawy PIT oraz art. 11k ust. 2a ustawy CIT. Przepis rozszerza wyłączenie ze zwolnienia, tzn. podmioty te będą zobowiązane do złożenia informacji ORD-U. W powyższych przypadkach podmioty, po spełnieniu określonych ustawowo warunków na podstawie Ordynacji podatkowej oraz wskazanych powyżej ustaw podatkowych, będą zobowiązane zarówno do złożenia informacji ORD-U oraz informacji TPR.</w:t>
      </w:r>
    </w:p>
    <w:p w14:paraId="089E466F" w14:textId="77777777" w:rsidR="00480C02" w:rsidRPr="00A720EE" w:rsidRDefault="00480C02" w:rsidP="000151A2">
      <w:pPr>
        <w:widowControl w:val="0"/>
        <w:autoSpaceDE w:val="0"/>
        <w:autoSpaceDN w:val="0"/>
        <w:adjustRightInd w:val="0"/>
        <w:spacing w:before="120" w:after="120" w:line="276" w:lineRule="auto"/>
        <w:jc w:val="both"/>
        <w:rPr>
          <w:rFonts w:ascii="Times New Roman" w:hAnsi="Times New Roman" w:cs="Times New Roman"/>
          <w:sz w:val="24"/>
          <w:szCs w:val="24"/>
        </w:rPr>
      </w:pPr>
      <w:r w:rsidRPr="00A720EE">
        <w:rPr>
          <w:rFonts w:ascii="Times New Roman" w:eastAsia="Times New Roman" w:hAnsi="Times New Roman" w:cs="Times New Roman"/>
          <w:b/>
          <w:bCs/>
          <w:sz w:val="24"/>
          <w:szCs w:val="24"/>
          <w:lang w:eastAsia="pl-PL"/>
        </w:rPr>
        <w:t>Art. 4 pkt 2 – dotyczy art. 84 § 1 i 2</w:t>
      </w:r>
    </w:p>
    <w:p w14:paraId="3B00B890" w14:textId="77777777" w:rsidR="00142549" w:rsidRPr="00A720EE" w:rsidRDefault="00142549"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Zmiana w art. 84 § 1 i 2 Ordynacji podatkowej ma charakter dostosowujący w związku z wyodrębnieniem przepisów dotyczących obowiązków informacyjnych notariuszy, o których mowa w nowych, dodawanych przepisach art. 84a tej ustawy. W obu przepisach skreśla się odmieniany wyraz „notariusz”.</w:t>
      </w:r>
    </w:p>
    <w:p w14:paraId="33AD963C" w14:textId="77777777" w:rsidR="00480C02" w:rsidRPr="00A720EE" w:rsidRDefault="00480C02" w:rsidP="000151A2">
      <w:pPr>
        <w:spacing w:after="120" w:line="276" w:lineRule="auto"/>
        <w:jc w:val="both"/>
        <w:rPr>
          <w:rFonts w:ascii="Times New Roman" w:eastAsia="Times New Roman" w:hAnsi="Times New Roman" w:cs="Times New Roman"/>
          <w:b/>
          <w:bCs/>
          <w:sz w:val="24"/>
          <w:szCs w:val="24"/>
          <w:lang w:eastAsia="pl-PL"/>
        </w:rPr>
      </w:pPr>
      <w:r w:rsidRPr="00A720EE">
        <w:rPr>
          <w:rFonts w:ascii="Times New Roman" w:eastAsia="Times New Roman" w:hAnsi="Times New Roman" w:cs="Times New Roman"/>
          <w:b/>
          <w:bCs/>
          <w:sz w:val="24"/>
          <w:szCs w:val="24"/>
          <w:lang w:eastAsia="pl-PL"/>
        </w:rPr>
        <w:t xml:space="preserve">Art. 4 pkt 3 – dotyczy art. 84a </w:t>
      </w:r>
    </w:p>
    <w:p w14:paraId="25693831" w14:textId="77777777" w:rsidR="00142549" w:rsidRPr="00A720EE" w:rsidRDefault="00142549" w:rsidP="00133A1C">
      <w:pPr>
        <w:spacing w:after="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W obecnym stanie prawnym wskazanym w art. 84 § 1 Ordynacji podatkowej s</w:t>
      </w:r>
      <w:r w:rsidRPr="00A720EE">
        <w:rPr>
          <w:rFonts w:ascii="Times New Roman" w:hAnsi="Times New Roman" w:cs="Times New Roman"/>
          <w:sz w:val="24"/>
          <w:szCs w:val="24"/>
        </w:rPr>
        <w:t xml:space="preserve">ądy, komornicy sądowi oraz notariusze są obowiązani sporządzać i przekazywać właściwym organom podatkowym informacje wynikające ze zdarzeń prawnych, które mogą spowodować powstanie zobowiązania podatkowego. Projektowany nowy przepis art. 84a § 1 dedykowany jest notariuszom, którzy będą, jak dotychczas, </w:t>
      </w:r>
      <w:r w:rsidRPr="00A720EE">
        <w:rPr>
          <w:rFonts w:ascii="Times New Roman" w:eastAsia="Times New Roman" w:hAnsi="Times New Roman" w:cs="Times New Roman"/>
          <w:bCs/>
          <w:sz w:val="24"/>
          <w:szCs w:val="24"/>
          <w:lang w:eastAsia="pl-PL"/>
        </w:rPr>
        <w:t>obowiązani do przekazywania Szefowi Krajowej Administracji Skarbowej informacji z czynności notarialnych związanych ze sporządzonym:</w:t>
      </w:r>
    </w:p>
    <w:p w14:paraId="509D72B6" w14:textId="74488F41" w:rsidR="00142549" w:rsidRPr="00A720EE" w:rsidRDefault="00142549" w:rsidP="00133A1C">
      <w:pPr>
        <w:spacing w:after="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1)</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aktem notarialnym obejmującym:</w:t>
      </w:r>
    </w:p>
    <w:p w14:paraId="434691D3" w14:textId="1EACA67A" w:rsidR="00142549" w:rsidRPr="00A720EE" w:rsidRDefault="00142549" w:rsidP="00133A1C">
      <w:pPr>
        <w:spacing w:after="0" w:line="276" w:lineRule="auto"/>
        <w:ind w:left="142"/>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a)</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czynności cywilnoprawne, o których mowa w ustawie o PCC,</w:t>
      </w:r>
    </w:p>
    <w:p w14:paraId="0555201A" w14:textId="607B6585" w:rsidR="00142549" w:rsidRPr="00A720EE" w:rsidRDefault="00142549" w:rsidP="00133A1C">
      <w:pPr>
        <w:spacing w:after="0" w:line="276" w:lineRule="auto"/>
        <w:ind w:left="142"/>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b)</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czynności prawne, o których mowa w ustawie o podatku od spadków i darowizn,</w:t>
      </w:r>
    </w:p>
    <w:p w14:paraId="2DBD2DC2" w14:textId="53A6C8A5" w:rsidR="00142549" w:rsidRPr="00A720EE" w:rsidRDefault="00142549" w:rsidP="00133A1C">
      <w:pPr>
        <w:spacing w:after="0" w:line="276" w:lineRule="auto"/>
        <w:ind w:left="142"/>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c)</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oświadczenie, o którym mowa w art. 43 ust. 10 pkt 2 lit. b ustawy</w:t>
      </w:r>
      <w:r w:rsidR="00AF45F4" w:rsidRPr="00A720EE">
        <w:rPr>
          <w:rFonts w:ascii="Times New Roman" w:eastAsia="Times New Roman" w:hAnsi="Times New Roman" w:cs="Times New Roman"/>
          <w:bCs/>
          <w:sz w:val="24"/>
          <w:szCs w:val="24"/>
          <w:lang w:eastAsia="pl-PL"/>
        </w:rPr>
        <w:t xml:space="preserve"> o VAT</w:t>
      </w:r>
      <w:r w:rsidRPr="00A720EE">
        <w:rPr>
          <w:rFonts w:ascii="Times New Roman" w:eastAsia="Times New Roman" w:hAnsi="Times New Roman" w:cs="Times New Roman"/>
          <w:bCs/>
          <w:sz w:val="24"/>
          <w:szCs w:val="24"/>
          <w:lang w:eastAsia="pl-PL"/>
        </w:rPr>
        <w:t>,</w:t>
      </w:r>
    </w:p>
    <w:p w14:paraId="4D913AAD" w14:textId="0879FB22" w:rsidR="00142549" w:rsidRPr="00A720EE" w:rsidRDefault="00142549" w:rsidP="00133A1C">
      <w:pPr>
        <w:spacing w:after="0" w:line="276" w:lineRule="auto"/>
        <w:ind w:left="142"/>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d)</w:t>
      </w:r>
      <w:r w:rsidR="009111EB" w:rsidRPr="00A720EE">
        <w:rPr>
          <w:rFonts w:ascii="Times New Roman" w:eastAsia="Times New Roman" w:hAnsi="Times New Roman" w:cs="Times New Roman"/>
          <w:bCs/>
          <w:sz w:val="24"/>
          <w:szCs w:val="24"/>
          <w:lang w:eastAsia="pl-PL"/>
        </w:rPr>
        <w:t> </w:t>
      </w:r>
      <w:r w:rsidRPr="00A720EE">
        <w:rPr>
          <w:rFonts w:ascii="Times New Roman" w:eastAsia="Times New Roman" w:hAnsi="Times New Roman" w:cs="Times New Roman"/>
          <w:bCs/>
          <w:sz w:val="24"/>
          <w:szCs w:val="24"/>
          <w:lang w:eastAsia="pl-PL"/>
        </w:rPr>
        <w:t>inne zdarzenia mogące spowodować powstanie zobowiązania podatkowego niewymienione w lit. a-c,</w:t>
      </w:r>
    </w:p>
    <w:p w14:paraId="5784D876" w14:textId="12190686" w:rsidR="00142549" w:rsidRPr="00A720EE" w:rsidRDefault="00142549" w:rsidP="00133A1C">
      <w:pPr>
        <w:spacing w:after="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2)</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zarejestrowanym aktem poświadczenia dziedziczenia;</w:t>
      </w:r>
    </w:p>
    <w:p w14:paraId="1E710A00" w14:textId="651BF40E" w:rsidR="00142549" w:rsidRPr="00A720EE" w:rsidRDefault="00142549" w:rsidP="001C6FCA">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3)</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zarejestrowanym europejskim poświadczeniu spadkowym.</w:t>
      </w:r>
    </w:p>
    <w:p w14:paraId="71996163" w14:textId="77777777" w:rsidR="00142549" w:rsidRPr="00A720EE" w:rsidRDefault="00142549" w:rsidP="00133A1C">
      <w:pPr>
        <w:spacing w:after="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Proponuje się w § 2 by informacje te były przekazywane:</w:t>
      </w:r>
    </w:p>
    <w:p w14:paraId="243A066E" w14:textId="7C6EB1D2" w:rsidR="00142549" w:rsidRPr="00A720EE" w:rsidRDefault="00142549" w:rsidP="00133A1C">
      <w:pPr>
        <w:spacing w:after="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1)</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według wzoru informacji udostępnionego na podstawie art. 78 ust. 2 ustawy o przeciwdziałaniu praniu pieniędzy oraz finansowaniu terroryzmu z odpowiednim stosowaniem art. 72 ust. 6;</w:t>
      </w:r>
    </w:p>
    <w:p w14:paraId="6115805A" w14:textId="3DA8C558" w:rsidR="00142549" w:rsidRPr="00A720EE" w:rsidRDefault="00142549" w:rsidP="00133A1C">
      <w:pPr>
        <w:spacing w:after="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2)</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za pomocą środków komunikacji elektronicznej przy wykorzystaniu systemu teleinformatycznego służącego przeciwdziałaniu praniu pieniędzy i finansowaniu terroryzmu, z odpowiednim stosowaniem art. 77 oraz przepisów wykonawczych wydanych na podstawie art. 78 ust. 3 ustawy o przeciwdziałaniu praniu pieniędzy oraz finansowaniu terroryzmu;</w:t>
      </w:r>
    </w:p>
    <w:p w14:paraId="10E9E719" w14:textId="73069531" w:rsidR="00142549" w:rsidRPr="00A720EE" w:rsidRDefault="00142549" w:rsidP="00133A1C">
      <w:pPr>
        <w:spacing w:after="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3)</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w terminie 7 dni od dnia ich odpowiednio sporządzenia lub zarejestrowania</w:t>
      </w:r>
      <w:r w:rsidR="001C6FCA" w:rsidRPr="00A720EE">
        <w:rPr>
          <w:rFonts w:ascii="Times New Roman" w:eastAsia="Times New Roman" w:hAnsi="Times New Roman" w:cs="Times New Roman"/>
          <w:bCs/>
          <w:sz w:val="24"/>
          <w:szCs w:val="24"/>
          <w:lang w:eastAsia="pl-PL"/>
        </w:rPr>
        <w:t>, co jest tożsame z terminami aktualnie obowiązującymi notariuszy wskazanymi w ustawie o przeciwdziałaniu praniu pieniędzy oraz finansowaniu terroryzmu</w:t>
      </w:r>
      <w:r w:rsidRPr="00A720EE">
        <w:rPr>
          <w:rFonts w:ascii="Times New Roman" w:eastAsia="Times New Roman" w:hAnsi="Times New Roman" w:cs="Times New Roman"/>
          <w:bCs/>
          <w:sz w:val="24"/>
          <w:szCs w:val="24"/>
          <w:lang w:eastAsia="pl-PL"/>
        </w:rPr>
        <w:t>.</w:t>
      </w:r>
    </w:p>
    <w:p w14:paraId="78535ADB" w14:textId="4DCF6B8F" w:rsidR="00142549" w:rsidRPr="00A720EE" w:rsidRDefault="00142549"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lastRenderedPageBreak/>
        <w:t xml:space="preserve">W punkcie 3 </w:t>
      </w:r>
      <w:r w:rsidR="001C6FCA" w:rsidRPr="00A720EE">
        <w:rPr>
          <w:rFonts w:ascii="Times New Roman" w:eastAsia="Times New Roman" w:hAnsi="Times New Roman" w:cs="Times New Roman"/>
          <w:bCs/>
          <w:sz w:val="24"/>
          <w:szCs w:val="24"/>
          <w:lang w:eastAsia="pl-PL"/>
        </w:rPr>
        <w:t xml:space="preserve">projektowanego przepisu, </w:t>
      </w:r>
      <w:r w:rsidRPr="00A720EE">
        <w:rPr>
          <w:rFonts w:ascii="Times New Roman" w:eastAsia="Times New Roman" w:hAnsi="Times New Roman" w:cs="Times New Roman"/>
          <w:bCs/>
          <w:sz w:val="24"/>
          <w:szCs w:val="24"/>
          <w:lang w:eastAsia="pl-PL"/>
        </w:rPr>
        <w:t>wskazuje się również, że w przypadku awarii systemu teleinformatycznego do biegu tego terminu nie wliczać się będzie dni, w których wystąpiła ta awaria.</w:t>
      </w:r>
    </w:p>
    <w:p w14:paraId="30D18D47" w14:textId="77777777" w:rsidR="00142549" w:rsidRPr="00A720EE" w:rsidRDefault="00142549"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Przedłożone rozwiązanie polega na wykorzystaniu aktualnie funkcjonujących rozwiązań informatycznych w przekazywaniu przez notariuszy, jako instytucji obowiązanej, informacji Generalnemu Inspektorowi Informacji Finansowej o czynnościach wymienionych w art. 72 ust. 1-5 ustawy o przeciwdziałaniu praniu pieniędzy oraz finansowaniu terroryzmu. Wykorzystanie jednego kanału i jednego wzorca informacji ułatwi notariuszom wypełnianie obowiązków ustawowych przewidzianych dotychczas w trzech ustawach podatkowych. Tym kanałem będzie funkcjonujący system teleinformatyczny SI GIIF, zaś wzorzec będzie tożsamy z tym wskazanym w art. 72 ust. 6 ww. ustawy.</w:t>
      </w:r>
    </w:p>
    <w:p w14:paraId="7225B13C" w14:textId="77777777" w:rsidR="00142549" w:rsidRPr="00A720EE" w:rsidRDefault="00142549"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W celu dostosowania do tego kanału przekazywania informacji i obowiązków instytucji obowiązanej wynikających z ustawy o przeciwdziałaniu praniu pieniędzy oraz finansowaniu terroryzmu zmieniono zgodnie z art. 72 ust. 5 tej ustawy termin przekazywania informacji organom podatkowym. Jak już wskazano, będzie to termin 7 dni licząc od dnia odpowiednio sporządzenia lub zarejestrowania stosownego dokumentu.</w:t>
      </w:r>
    </w:p>
    <w:p w14:paraId="2B0D3FD6" w14:textId="7B230802" w:rsidR="00142549" w:rsidRPr="00A720EE" w:rsidRDefault="00142549"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 xml:space="preserve">W tym terminie notariusz będzie obowiązany również umieścić w Centralnym Repozytorium Elektronicznych Wypisów Aktów Notarialnych, o którym mowa w ustawie o przeciwdziałaniu praniu pieniędzy oraz finansowaniu terroryzmu, zwanym dalej „repozytorium”, elektroniczny wypis odpowiednio aktu notarialnego, zarejestrowanego aktu poświadczenia dziedziczenia i europejskiego poświadczenia spadkowego. Wypisy te będą umieszczanie w formacie umożliwiającym elektroniczne przeszukiwanie ich treści (§ 3). Będzie to kolejny krok technologiczny dla notariatu zwiększający wykorzystanie </w:t>
      </w:r>
      <w:r w:rsidR="001C6FCA" w:rsidRPr="00A720EE">
        <w:rPr>
          <w:rFonts w:ascii="Times New Roman" w:eastAsia="Times New Roman" w:hAnsi="Times New Roman" w:cs="Times New Roman"/>
          <w:bCs/>
          <w:sz w:val="24"/>
          <w:szCs w:val="24"/>
          <w:lang w:eastAsia="pl-PL"/>
        </w:rPr>
        <w:t xml:space="preserve">tego </w:t>
      </w:r>
      <w:r w:rsidR="00A64145" w:rsidRPr="00A720EE">
        <w:rPr>
          <w:rFonts w:ascii="Times New Roman" w:eastAsia="Times New Roman" w:hAnsi="Times New Roman" w:cs="Times New Roman"/>
          <w:bCs/>
          <w:sz w:val="24"/>
          <w:szCs w:val="24"/>
          <w:lang w:eastAsia="pl-PL"/>
        </w:rPr>
        <w:t>utworzonego wysiłkiem notariatu repozytorium.</w:t>
      </w:r>
    </w:p>
    <w:p w14:paraId="3656C418" w14:textId="77777777" w:rsidR="00142549" w:rsidRPr="00A720EE" w:rsidRDefault="00142549"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Zgodnie z projektowanym § 4 umieszczony, na podstawie § 3, przez notariusza w repozytorium wypis stosownego dokumentu, Krajowa Rada Notarialna będzie niezwłocznie przekazywała za pośrednictwem elektronicznego systemu SI GIIF do Szefa Krajowej Administracji Skarbowej.</w:t>
      </w:r>
    </w:p>
    <w:p w14:paraId="39AD8DE8" w14:textId="77777777" w:rsidR="00142549" w:rsidRPr="00A720EE" w:rsidRDefault="00142549"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W związku z faktem, że liczba przekazywanych w ten sposób dokumentów sięga kilku milionów niezbędnym jest zapewnienie środków Krajowej Radzie Notarialnej na utrzymanie odpowiedniej wielkości repozytorium. Dlatego też w miejsce uiszczanej przez stronę czynności notarialnej taksy za sporządzenie wypisu aktu notarialnego (6 zł za każdą stronę) sięgającej zazwyczaj kilkadziesiąt złotych, zasadnym jest umożliwienie notariuszom pobierania od tych osób kilku złotowej opłaty za umieszczenie elektronicznego wypisu aktu notarialnego w repozytorium. Notariusz, który pobrał tę opłatę obowiązany będzie przekazać ją Krajowej Radzie Notarialnej w celach, które wskazano powyżej (§ 5).</w:t>
      </w:r>
    </w:p>
    <w:p w14:paraId="5229D82B" w14:textId="77777777" w:rsidR="00142549" w:rsidRPr="00A720EE" w:rsidRDefault="00142549" w:rsidP="00133A1C">
      <w:pPr>
        <w:spacing w:after="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W projektowanym § 6 proponuje się Minister Finansów, po zasięgnięciu opinii Krajowej Rady Notarialnej, określał, w drodze rozporządzenia:</w:t>
      </w:r>
    </w:p>
    <w:p w14:paraId="2A56D020" w14:textId="4B9DAEE4" w:rsidR="00142549" w:rsidRPr="00A720EE" w:rsidRDefault="00142549" w:rsidP="00133A1C">
      <w:pPr>
        <w:spacing w:after="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1)</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okres przechowywania w Centralnym Repozytorium Elektronicznych Wypisów Aktów Notarialnych aktów notarialnych, zarejestrowanych aktów poświadczenia dziedziczenia i zarejestrowanych europejskich poświadczeń spadkowych;</w:t>
      </w:r>
    </w:p>
    <w:p w14:paraId="5F7B21AE" w14:textId="7B4B508B" w:rsidR="00142549" w:rsidRPr="00A720EE" w:rsidRDefault="00142549"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lastRenderedPageBreak/>
        <w:t>2)</w:t>
      </w:r>
      <w:r w:rsidR="00AF45F4"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sposób uiszczania i wysokość opłaty za umieszczenie elektronicznego wypisu aktu notarialnego w repozytorium.</w:t>
      </w:r>
    </w:p>
    <w:p w14:paraId="11C80A0C" w14:textId="77777777" w:rsidR="00142549" w:rsidRPr="00A720EE" w:rsidRDefault="00142549" w:rsidP="000151A2">
      <w:pPr>
        <w:spacing w:after="120" w:line="276" w:lineRule="auto"/>
        <w:jc w:val="both"/>
        <w:rPr>
          <w:rFonts w:ascii="Times New Roman" w:eastAsiaTheme="minorEastAsia" w:hAnsi="Times New Roman" w:cs="Times New Roman"/>
          <w:bCs/>
          <w:sz w:val="24"/>
          <w:szCs w:val="24"/>
          <w:u w:val="single"/>
          <w:lang w:eastAsia="pl-PL"/>
        </w:rPr>
      </w:pPr>
      <w:r w:rsidRPr="00A720EE">
        <w:rPr>
          <w:rFonts w:ascii="Times New Roman" w:eastAsia="Times New Roman" w:hAnsi="Times New Roman" w:cs="Times New Roman"/>
          <w:bCs/>
          <w:sz w:val="24"/>
          <w:szCs w:val="24"/>
          <w:lang w:eastAsia="pl-PL"/>
        </w:rPr>
        <w:t>Przyjmując ten akt wykonawczy, proponuje się by Minister Finansów kierował się zapewnieniem wykonywania obowiązków przez notariuszy i Krajową Radę Notarialną, jak również wysokością kosztów administracyjnych prowadzenia przez tę radę repozytorium uwzględniając jego niedochodowy charakter i środki na jego niezbędny dla prawidłowego funkcjonowania rozwój.</w:t>
      </w:r>
    </w:p>
    <w:p w14:paraId="221CD8E0" w14:textId="77777777" w:rsidR="00480C02" w:rsidRPr="00A720EE" w:rsidRDefault="00480C02" w:rsidP="0067276D">
      <w:pPr>
        <w:spacing w:before="120" w:after="0" w:line="312" w:lineRule="auto"/>
        <w:jc w:val="both"/>
        <w:rPr>
          <w:rFonts w:ascii="Times New Roman" w:eastAsiaTheme="minorEastAsia" w:hAnsi="Times New Roman" w:cs="Times New Roman"/>
          <w:b/>
          <w:bCs/>
          <w:sz w:val="24"/>
          <w:szCs w:val="24"/>
          <w:u w:val="single"/>
          <w:lang w:eastAsia="pl-PL"/>
        </w:rPr>
      </w:pPr>
    </w:p>
    <w:p w14:paraId="47B8C817" w14:textId="05659F40" w:rsidR="0067276D" w:rsidRPr="00A720EE" w:rsidRDefault="0067276D" w:rsidP="0067276D">
      <w:pPr>
        <w:spacing w:before="120" w:after="0" w:line="312" w:lineRule="auto"/>
        <w:jc w:val="both"/>
        <w:rPr>
          <w:rFonts w:ascii="Times New Roman" w:eastAsiaTheme="minorEastAsia" w:hAnsi="Times New Roman" w:cs="Times New Roman"/>
          <w:bCs/>
          <w:sz w:val="24"/>
          <w:szCs w:val="24"/>
          <w:u w:val="single"/>
          <w:lang w:eastAsia="pl-PL"/>
        </w:rPr>
      </w:pPr>
      <w:r w:rsidRPr="00A720EE">
        <w:rPr>
          <w:rFonts w:ascii="Times New Roman" w:eastAsiaTheme="minorEastAsia" w:hAnsi="Times New Roman" w:cs="Times New Roman"/>
          <w:b/>
          <w:bCs/>
          <w:sz w:val="24"/>
          <w:szCs w:val="24"/>
          <w:u w:val="single"/>
          <w:lang w:eastAsia="pl-PL"/>
        </w:rPr>
        <w:t xml:space="preserve">Art. </w:t>
      </w:r>
      <w:r w:rsidR="006742A7" w:rsidRPr="00A720EE">
        <w:rPr>
          <w:rFonts w:ascii="Times New Roman" w:eastAsiaTheme="minorEastAsia" w:hAnsi="Times New Roman" w:cs="Times New Roman"/>
          <w:b/>
          <w:bCs/>
          <w:sz w:val="24"/>
          <w:szCs w:val="24"/>
          <w:u w:val="single"/>
          <w:lang w:eastAsia="pl-PL"/>
        </w:rPr>
        <w:t>5</w:t>
      </w:r>
      <w:r w:rsidRPr="00A720EE">
        <w:rPr>
          <w:rFonts w:ascii="Times New Roman" w:eastAsiaTheme="minorEastAsia" w:hAnsi="Times New Roman" w:cs="Times New Roman"/>
          <w:b/>
          <w:bCs/>
          <w:sz w:val="24"/>
          <w:szCs w:val="24"/>
          <w:u w:val="single"/>
          <w:lang w:eastAsia="pl-PL"/>
        </w:rPr>
        <w:t xml:space="preserve"> projektu ustawy</w:t>
      </w:r>
      <w:r w:rsidR="000B1556" w:rsidRPr="00A720EE">
        <w:rPr>
          <w:rFonts w:ascii="Times New Roman" w:eastAsiaTheme="minorEastAsia" w:hAnsi="Times New Roman" w:cs="Times New Roman"/>
          <w:b/>
          <w:bCs/>
          <w:sz w:val="24"/>
          <w:szCs w:val="24"/>
          <w:lang w:eastAsia="pl-PL"/>
        </w:rPr>
        <w:t xml:space="preserve"> </w:t>
      </w:r>
      <w:r w:rsidR="000B1556" w:rsidRPr="00A720EE">
        <w:rPr>
          <w:rFonts w:ascii="Times New Roman" w:eastAsia="Times New Roman" w:hAnsi="Times New Roman" w:cs="Times New Roman"/>
          <w:bCs/>
          <w:sz w:val="24"/>
          <w:szCs w:val="24"/>
          <w:lang w:eastAsia="pl-PL"/>
        </w:rPr>
        <w:t>– dotyczy zmian w ustawie o ryczałcie</w:t>
      </w:r>
    </w:p>
    <w:p w14:paraId="16E0F579" w14:textId="269B1093" w:rsidR="008E6484" w:rsidRPr="00A720EE" w:rsidRDefault="008E6484" w:rsidP="0067276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
          <w:sz w:val="24"/>
          <w:szCs w:val="24"/>
          <w:lang w:eastAsia="pl-PL"/>
        </w:rPr>
        <w:t xml:space="preserve">Art. </w:t>
      </w:r>
      <w:r w:rsidR="006742A7" w:rsidRPr="00A720EE">
        <w:rPr>
          <w:rFonts w:ascii="Times New Roman" w:eastAsiaTheme="minorEastAsia" w:hAnsi="Times New Roman" w:cs="Times New Roman"/>
          <w:b/>
          <w:sz w:val="24"/>
          <w:szCs w:val="24"/>
          <w:lang w:eastAsia="pl-PL"/>
        </w:rPr>
        <w:t>5</w:t>
      </w:r>
      <w:r w:rsidRPr="00A720EE">
        <w:rPr>
          <w:rFonts w:ascii="Times New Roman" w:eastAsiaTheme="minorEastAsia" w:hAnsi="Times New Roman" w:cs="Times New Roman"/>
          <w:b/>
          <w:sz w:val="24"/>
          <w:szCs w:val="24"/>
          <w:lang w:eastAsia="pl-PL"/>
        </w:rPr>
        <w:t xml:space="preserve"> pkt 1 – dotyczy art. 11 ust. </w:t>
      </w:r>
      <w:r w:rsidR="00857706" w:rsidRPr="00A720EE">
        <w:rPr>
          <w:rFonts w:ascii="Times New Roman" w:eastAsiaTheme="minorEastAsia" w:hAnsi="Times New Roman" w:cs="Times New Roman"/>
          <w:b/>
          <w:sz w:val="24"/>
          <w:szCs w:val="24"/>
          <w:lang w:eastAsia="pl-PL"/>
        </w:rPr>
        <w:t xml:space="preserve">13a, </w:t>
      </w:r>
      <w:r w:rsidRPr="00A720EE">
        <w:rPr>
          <w:rFonts w:ascii="Times New Roman" w:eastAsiaTheme="minorEastAsia" w:hAnsi="Times New Roman" w:cs="Times New Roman"/>
          <w:b/>
          <w:sz w:val="24"/>
          <w:szCs w:val="24"/>
          <w:lang w:eastAsia="pl-PL"/>
        </w:rPr>
        <w:t>18 i 19</w:t>
      </w:r>
    </w:p>
    <w:p w14:paraId="4F35D1A3" w14:textId="77777777" w:rsidR="00857706" w:rsidRPr="00A720EE" w:rsidRDefault="00857706" w:rsidP="0067276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hAnsi="Times New Roman" w:cs="Times New Roman"/>
          <w:sz w:val="24"/>
          <w:szCs w:val="24"/>
        </w:rPr>
        <w:t>Zmiana w art. 11 polegająca na dodaniu ust. 13a, doprecyzowuje regulacje w zakresie zwiększania lub zmniejszania przychodów o wartość wierzytelności i zobowiązań wynikających z transakcji handlowych. Eliminuje podnoszone wątpliwości w zakresie zwiększania lub zmniejszania przychodów o wartość wierzytelności lub zobowiązań wynikających z transakcji handlowych w przypadku, gdy podatnik osiąga przychody, np. z działalności gospodarczej, opodatkowane różnymi stawkami ryczałtu. Przesądza, że w przypadku osiągania, np. przychodów z działalności gospodarczej opodatkowanych różnymi stawkami ryczałtu, zwiększenia lub zmniejszenie przychodów będzie odbywało się od każdego rodzaju przychodów, w takim stosunku, w jakim pozostają poszczególne przychody opodatkowane różnymi stawkami w ogólnej kwocie przychodów.</w:t>
      </w:r>
    </w:p>
    <w:p w14:paraId="5EB83A45" w14:textId="77777777" w:rsidR="000641DD" w:rsidRPr="00A720EE" w:rsidRDefault="00525052" w:rsidP="000641D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Zmiana w art. 11 polegająca na uchyleniu ust. 18 stanowi konsekwencję uchylenia w ustawie </w:t>
      </w:r>
      <w:r w:rsidR="00CD3718" w:rsidRPr="00A720EE">
        <w:rPr>
          <w:rFonts w:ascii="Times New Roman" w:eastAsiaTheme="minorEastAsia" w:hAnsi="Times New Roman" w:cs="Times New Roman"/>
          <w:sz w:val="24"/>
          <w:szCs w:val="24"/>
          <w:lang w:eastAsia="pl-PL"/>
        </w:rPr>
        <w:t>PIT</w:t>
      </w:r>
      <w:r w:rsidRPr="00A720EE">
        <w:rPr>
          <w:rFonts w:ascii="Times New Roman" w:eastAsiaTheme="minorEastAsia" w:hAnsi="Times New Roman" w:cs="Times New Roman"/>
          <w:sz w:val="24"/>
          <w:szCs w:val="24"/>
          <w:lang w:eastAsia="pl-PL"/>
        </w:rPr>
        <w:t xml:space="preserve"> w art. 26 ust. 19</w:t>
      </w:r>
      <w:r w:rsidR="008E6484" w:rsidRPr="00A720EE">
        <w:rPr>
          <w:rFonts w:ascii="Times New Roman" w:eastAsiaTheme="minorEastAsia" w:hAnsi="Times New Roman" w:cs="Times New Roman"/>
          <w:sz w:val="24"/>
          <w:szCs w:val="24"/>
          <w:lang w:eastAsia="pl-PL"/>
        </w:rPr>
        <w:t>.</w:t>
      </w:r>
      <w:r w:rsidR="000641DD" w:rsidRPr="00A720EE">
        <w:rPr>
          <w:rFonts w:ascii="Times New Roman" w:eastAsiaTheme="minorEastAsia" w:hAnsi="Times New Roman" w:cs="Times New Roman"/>
          <w:sz w:val="24"/>
          <w:szCs w:val="24"/>
          <w:lang w:eastAsia="pl-PL"/>
        </w:rPr>
        <w:t xml:space="preserve"> Zmiana dotyczy tzw. ulgi na złe długi i oznacza w praktyce rezygnację z odpowiedniego załącznika do zeznania podatkowego, w którym dotychczas wykazywane były wierzytelności lub zobowiązania</w:t>
      </w:r>
      <w:r w:rsidR="00142549" w:rsidRPr="00A720EE">
        <w:rPr>
          <w:rFonts w:ascii="Times New Roman" w:eastAsiaTheme="minorEastAsia" w:hAnsi="Times New Roman" w:cs="Times New Roman"/>
          <w:sz w:val="24"/>
          <w:szCs w:val="24"/>
          <w:lang w:eastAsia="pl-PL"/>
        </w:rPr>
        <w:t>,</w:t>
      </w:r>
      <w:r w:rsidR="000641DD" w:rsidRPr="00A720EE">
        <w:rPr>
          <w:rFonts w:ascii="Times New Roman" w:eastAsiaTheme="minorEastAsia" w:hAnsi="Times New Roman" w:cs="Times New Roman"/>
          <w:sz w:val="24"/>
          <w:szCs w:val="24"/>
          <w:lang w:eastAsia="pl-PL"/>
        </w:rPr>
        <w:t xml:space="preserve"> z którymi związane były zwiększenia lub zmniejszenia, co pozwoli na uproszczenie obowiązków administracyjnych po stronie podatników.</w:t>
      </w:r>
    </w:p>
    <w:p w14:paraId="5CA06406" w14:textId="77777777" w:rsidR="008E6484" w:rsidRPr="00A720EE" w:rsidRDefault="0034185C" w:rsidP="0067276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imes New Roman" w:hAnsi="Times New Roman" w:cs="Times New Roman"/>
          <w:sz w:val="24"/>
          <w:szCs w:val="24"/>
          <w:lang w:eastAsia="pl-PL"/>
        </w:rPr>
        <w:t>Podobnie jak w przypadku ustawy PIT, również zmiana proponowana w ustawie o ryczałcie wchodzi w życie 1 stycznia 2023 r. i znajdzie zastosowanie do zeznań składanych poczynając od rozliczenia za 2023 r., co oznacza, że nie znajdzie zastosowania do zeznań składanych za 2022 r.</w:t>
      </w:r>
    </w:p>
    <w:p w14:paraId="102A16CB" w14:textId="77777777" w:rsidR="00525052" w:rsidRPr="00A720EE" w:rsidRDefault="008E6484" w:rsidP="0067276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w:t>
      </w:r>
      <w:r w:rsidR="00525052" w:rsidRPr="00A720EE">
        <w:rPr>
          <w:rFonts w:ascii="Times New Roman" w:eastAsiaTheme="minorEastAsia" w:hAnsi="Times New Roman" w:cs="Times New Roman"/>
          <w:sz w:val="24"/>
          <w:szCs w:val="24"/>
          <w:lang w:eastAsia="pl-PL"/>
        </w:rPr>
        <w:t>miana w ust. 19 w art. 11 ma charakter porządkowy</w:t>
      </w:r>
      <w:r w:rsidR="00A84F0E" w:rsidRPr="00A720EE">
        <w:rPr>
          <w:rFonts w:ascii="Times New Roman" w:eastAsiaTheme="minorEastAsia" w:hAnsi="Times New Roman" w:cs="Times New Roman"/>
          <w:sz w:val="24"/>
          <w:szCs w:val="24"/>
          <w:lang w:eastAsia="pl-PL"/>
        </w:rPr>
        <w:t>.</w:t>
      </w:r>
    </w:p>
    <w:p w14:paraId="39B930B4" w14:textId="25D7A554" w:rsidR="008E6484" w:rsidRPr="00A720EE" w:rsidRDefault="008E6484" w:rsidP="0067276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
          <w:sz w:val="24"/>
          <w:szCs w:val="24"/>
          <w:lang w:eastAsia="pl-PL"/>
        </w:rPr>
        <w:t xml:space="preserve">Art. </w:t>
      </w:r>
      <w:r w:rsidR="006742A7" w:rsidRPr="00A720EE">
        <w:rPr>
          <w:rFonts w:ascii="Times New Roman" w:eastAsiaTheme="minorEastAsia" w:hAnsi="Times New Roman" w:cs="Times New Roman"/>
          <w:b/>
          <w:sz w:val="24"/>
          <w:szCs w:val="24"/>
          <w:lang w:eastAsia="pl-PL"/>
        </w:rPr>
        <w:t>5</w:t>
      </w:r>
      <w:r w:rsidRPr="00A720EE">
        <w:rPr>
          <w:rFonts w:ascii="Times New Roman" w:eastAsiaTheme="minorEastAsia" w:hAnsi="Times New Roman" w:cs="Times New Roman"/>
          <w:b/>
          <w:sz w:val="24"/>
          <w:szCs w:val="24"/>
          <w:lang w:eastAsia="pl-PL"/>
        </w:rPr>
        <w:t xml:space="preserve"> pkt 2 – dotyczy art. 52 ust. 1 i 2</w:t>
      </w:r>
    </w:p>
    <w:p w14:paraId="108E43C2" w14:textId="729772B7" w:rsidR="0067276D" w:rsidRPr="00A720EE" w:rsidRDefault="0067276D" w:rsidP="0067276D">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Zmiany </w:t>
      </w:r>
      <w:r w:rsidRPr="00A720EE">
        <w:rPr>
          <w:rFonts w:ascii="Times New Roman" w:eastAsiaTheme="minorEastAsia" w:hAnsi="Times New Roman" w:cs="Times New Roman"/>
          <w:bCs/>
          <w:sz w:val="24"/>
          <w:szCs w:val="24"/>
          <w:lang w:eastAsia="pl-PL"/>
        </w:rPr>
        <w:t>doprecyzowujące przepisy dotyczące udostępniania wzorów deklaracji w zakres</w:t>
      </w:r>
      <w:r w:rsidR="00CD3718" w:rsidRPr="00A720EE">
        <w:rPr>
          <w:rFonts w:ascii="Times New Roman" w:eastAsiaTheme="minorEastAsia" w:hAnsi="Times New Roman" w:cs="Times New Roman"/>
          <w:bCs/>
          <w:sz w:val="24"/>
          <w:szCs w:val="24"/>
          <w:lang w:eastAsia="pl-PL"/>
        </w:rPr>
        <w:t>ie</w:t>
      </w:r>
      <w:r w:rsidRPr="00A720EE">
        <w:rPr>
          <w:rFonts w:ascii="Times New Roman" w:eastAsiaTheme="minorEastAsia" w:hAnsi="Times New Roman" w:cs="Times New Roman"/>
          <w:bCs/>
          <w:sz w:val="24"/>
          <w:szCs w:val="24"/>
          <w:lang w:eastAsia="pl-PL"/>
        </w:rPr>
        <w:t xml:space="preserve"> podatków dochodowych</w:t>
      </w:r>
      <w:r w:rsidRPr="00A720EE">
        <w:rPr>
          <w:rFonts w:ascii="Times New Roman" w:eastAsiaTheme="minorEastAsia" w:hAnsi="Times New Roman" w:cs="Times New Roman"/>
          <w:sz w:val="24"/>
          <w:szCs w:val="24"/>
          <w:lang w:eastAsia="pl-PL"/>
        </w:rPr>
        <w:t xml:space="preserve"> </w:t>
      </w:r>
      <w:r w:rsidR="00CD3718" w:rsidRPr="00A720EE">
        <w:rPr>
          <w:rFonts w:ascii="Times New Roman" w:eastAsiaTheme="minorEastAsia" w:hAnsi="Times New Roman" w:cs="Times New Roman"/>
          <w:sz w:val="24"/>
          <w:szCs w:val="24"/>
          <w:lang w:eastAsia="pl-PL"/>
        </w:rPr>
        <w:t xml:space="preserve">są </w:t>
      </w:r>
      <w:r w:rsidRPr="00A720EE">
        <w:rPr>
          <w:rFonts w:ascii="Times New Roman" w:eastAsiaTheme="minorEastAsia" w:hAnsi="Times New Roman" w:cs="Times New Roman"/>
          <w:sz w:val="24"/>
          <w:szCs w:val="24"/>
          <w:lang w:eastAsia="pl-PL"/>
        </w:rPr>
        <w:t>wprowadzane w ustawie o ryczałcie, analogicznie do zmian wprowadzonych w art. 28a ustawy CIT i art. 45b ustawy PIT.</w:t>
      </w:r>
    </w:p>
    <w:p w14:paraId="3CCA1F33" w14:textId="77777777" w:rsidR="00AF45F4" w:rsidRPr="00A720EE" w:rsidRDefault="00AF45F4" w:rsidP="006742A7">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u w:val="single"/>
          <w:lang w:eastAsia="pl-PL"/>
        </w:rPr>
      </w:pPr>
    </w:p>
    <w:p w14:paraId="311BCA6F" w14:textId="77777777" w:rsidR="006742A7" w:rsidRPr="00A720EE" w:rsidRDefault="006742A7" w:rsidP="006742A7">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u w:val="single"/>
          <w:lang w:eastAsia="pl-PL"/>
        </w:rPr>
        <w:t xml:space="preserve">Art. 6 projektu ustawy </w:t>
      </w:r>
      <w:r w:rsidRPr="00A720EE">
        <w:rPr>
          <w:rFonts w:ascii="Times New Roman" w:eastAsiaTheme="minorEastAsia" w:hAnsi="Times New Roman" w:cs="Times New Roman"/>
          <w:sz w:val="24"/>
          <w:szCs w:val="24"/>
          <w:lang w:eastAsia="pl-PL"/>
        </w:rPr>
        <w:t xml:space="preserve">– dotyczy zmian w </w:t>
      </w:r>
      <w:r w:rsidR="00480C02" w:rsidRPr="00A720EE">
        <w:rPr>
          <w:rFonts w:ascii="Times New Roman" w:eastAsiaTheme="minorEastAsia" w:hAnsi="Times New Roman" w:cs="Times New Roman"/>
          <w:sz w:val="24"/>
          <w:szCs w:val="24"/>
          <w:lang w:eastAsia="pl-PL"/>
        </w:rPr>
        <w:t>art. 10 ust. 3a pkt 3 i ust. 4 pkt 3 ustawy</w:t>
      </w:r>
      <w:r w:rsidRPr="00A720EE">
        <w:rPr>
          <w:rFonts w:ascii="Times New Roman" w:eastAsiaTheme="minorEastAsia" w:hAnsi="Times New Roman" w:cs="Times New Roman"/>
          <w:sz w:val="24"/>
          <w:szCs w:val="24"/>
          <w:lang w:eastAsia="pl-PL"/>
        </w:rPr>
        <w:t xml:space="preserve"> o PCC</w:t>
      </w:r>
    </w:p>
    <w:p w14:paraId="1231D52D" w14:textId="77777777" w:rsidR="00C8603C" w:rsidRPr="00A720EE" w:rsidRDefault="00C8603C" w:rsidP="00C8603C">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Art. 6 pkt 1 – dotyczy art. 10 ust. 3a pkt 3</w:t>
      </w:r>
    </w:p>
    <w:p w14:paraId="1CCBD274" w14:textId="77777777" w:rsidR="00C8603C" w:rsidRPr="00A720EE" w:rsidRDefault="00C8603C" w:rsidP="00C8603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lastRenderedPageBreak/>
        <w:t>Zmiana polegająca na uchyleniu w art. 10 w ust. 3a pkt 3 nakładającego w aktualnie obowiązującym stanie prawnym obowiązek na notariuszy, jako płatników podatku od czynności cywilnoprawnych przekazywania naczelnikowi urzędu skarbowego właściwemu ze względu na siedzibę płatnika sporządzoną w formie papierowej albo w formie elektronicznej informację zawierającą treść aktów notarialnych lub dane z tych aktów dotyczące czynności cywilnoprawnych dokonywanych w formie aktu notarialnego. Obowiązek ten zostanie zastąpiony obowiązkiem informacyjnym uregulowanym w nowo projektowanym art. 84a Ordynacji podatkowej.</w:t>
      </w:r>
    </w:p>
    <w:p w14:paraId="52555AF8" w14:textId="77777777" w:rsidR="00C8603C" w:rsidRPr="00A720EE" w:rsidRDefault="00C8603C" w:rsidP="00C8603C">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b/>
          <w:sz w:val="24"/>
          <w:szCs w:val="24"/>
          <w:lang w:eastAsia="pl-PL"/>
        </w:rPr>
        <w:t>Art. 6 pkt 2 – dotyczy art. 10 ust. 4 pkt 3</w:t>
      </w:r>
    </w:p>
    <w:p w14:paraId="2F8FCA17" w14:textId="77777777" w:rsidR="00C8603C" w:rsidRPr="00A720EE" w:rsidRDefault="00C8603C" w:rsidP="00C8603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Zmiana polegająca na uchyleniu w art. 10 w ust. 4 pkt 3 jest konsekwencją uchylenia pkt 3 ust. 3a art. 10. Na podstawie tego przepisu Minister Finansów w wydawanym akcie wykonawczym określał zakres informacji, o której mowa w uchylanym ust. 3a pkt 3, oraz sposób jej przekazywania.</w:t>
      </w:r>
    </w:p>
    <w:p w14:paraId="3A48A0B5" w14:textId="77777777" w:rsidR="00AF45F4" w:rsidRPr="00A720EE" w:rsidRDefault="00AF45F4" w:rsidP="009A5887">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p>
    <w:p w14:paraId="5B3D4E14" w14:textId="77777777" w:rsidR="0067276D" w:rsidRPr="00A720EE" w:rsidRDefault="005351E9" w:rsidP="009A5887">
      <w:pPr>
        <w:widowControl w:val="0"/>
        <w:autoSpaceDE w:val="0"/>
        <w:autoSpaceDN w:val="0"/>
        <w:adjustRightInd w:val="0"/>
        <w:spacing w:before="120" w:after="0" w:line="276" w:lineRule="auto"/>
        <w:jc w:val="both"/>
        <w:rPr>
          <w:rFonts w:ascii="Times New Roman" w:eastAsia="Times New Roman" w:hAnsi="Times New Roman" w:cs="Times New Roman"/>
          <w:b/>
          <w:sz w:val="24"/>
          <w:szCs w:val="24"/>
          <w:lang w:eastAsia="pl-PL"/>
        </w:rPr>
      </w:pPr>
      <w:r w:rsidRPr="00A720EE">
        <w:rPr>
          <w:rFonts w:ascii="Times New Roman" w:eastAsia="Times New Roman" w:hAnsi="Times New Roman" w:cs="Times New Roman"/>
          <w:b/>
          <w:sz w:val="24"/>
          <w:szCs w:val="24"/>
          <w:u w:val="single"/>
          <w:lang w:eastAsia="pl-PL"/>
        </w:rPr>
        <w:t>Art. 7</w:t>
      </w:r>
      <w:r w:rsidR="00DF1CF8" w:rsidRPr="00A720EE">
        <w:rPr>
          <w:rFonts w:ascii="Times New Roman" w:eastAsia="Times New Roman" w:hAnsi="Times New Roman" w:cs="Times New Roman"/>
          <w:b/>
          <w:sz w:val="24"/>
          <w:szCs w:val="24"/>
          <w:u w:val="single"/>
          <w:lang w:eastAsia="pl-PL"/>
        </w:rPr>
        <w:t xml:space="preserve"> projektu ustawy</w:t>
      </w:r>
      <w:r w:rsidR="00DF1CF8" w:rsidRPr="00A720EE">
        <w:rPr>
          <w:rFonts w:ascii="Times New Roman" w:eastAsia="Times New Roman" w:hAnsi="Times New Roman" w:cs="Times New Roman"/>
          <w:b/>
          <w:sz w:val="24"/>
          <w:szCs w:val="24"/>
          <w:lang w:eastAsia="pl-PL"/>
        </w:rPr>
        <w:t xml:space="preserve"> </w:t>
      </w:r>
      <w:r w:rsidR="00DF1CF8" w:rsidRPr="00A720EE">
        <w:rPr>
          <w:rFonts w:ascii="Times New Roman" w:eastAsia="Times New Roman" w:hAnsi="Times New Roman" w:cs="Times New Roman"/>
          <w:sz w:val="24"/>
          <w:szCs w:val="24"/>
          <w:lang w:eastAsia="pl-PL"/>
        </w:rPr>
        <w:t xml:space="preserve">– dotyczy zmian w ustawie o </w:t>
      </w:r>
      <w:r w:rsidR="00F87E8F" w:rsidRPr="00A720EE">
        <w:rPr>
          <w:rFonts w:ascii="Times New Roman" w:eastAsia="Times New Roman" w:hAnsi="Times New Roman" w:cs="Times New Roman"/>
          <w:sz w:val="24"/>
          <w:szCs w:val="24"/>
          <w:lang w:eastAsia="pl-PL"/>
        </w:rPr>
        <w:t>VAT</w:t>
      </w:r>
    </w:p>
    <w:p w14:paraId="59E93519" w14:textId="55448F4A" w:rsidR="00DF1CF8" w:rsidRPr="00A720EE" w:rsidRDefault="00DF1CF8" w:rsidP="00DF1CF8">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W zakresie podatku od towarów i usług obowiązujące obecnie do dnia 31 października 2022</w:t>
      </w:r>
      <w:r w:rsidR="00C8603C" w:rsidRPr="00A720EE">
        <w:rPr>
          <w:rFonts w:ascii="Times New Roman" w:eastAsia="Times New Roman" w:hAnsi="Times New Roman" w:cs="Times New Roman"/>
          <w:sz w:val="24"/>
          <w:szCs w:val="24"/>
          <w:lang w:eastAsia="pl-PL"/>
        </w:rPr>
        <w:t> </w:t>
      </w:r>
      <w:r w:rsidRPr="00A720EE">
        <w:rPr>
          <w:rFonts w:ascii="Times New Roman" w:eastAsia="Times New Roman" w:hAnsi="Times New Roman" w:cs="Times New Roman"/>
          <w:sz w:val="24"/>
          <w:szCs w:val="24"/>
          <w:lang w:eastAsia="pl-PL"/>
        </w:rPr>
        <w:t xml:space="preserve">r. rozwiązania </w:t>
      </w:r>
      <w:r w:rsidR="008C0657" w:rsidRPr="00A720EE">
        <w:rPr>
          <w:rFonts w:ascii="Times New Roman" w:eastAsia="Times New Roman" w:hAnsi="Times New Roman" w:cs="Times New Roman"/>
          <w:sz w:val="24"/>
          <w:szCs w:val="24"/>
          <w:lang w:eastAsia="pl-PL"/>
        </w:rPr>
        <w:t xml:space="preserve">antyinflacyjne </w:t>
      </w:r>
      <w:r w:rsidRPr="00A720EE">
        <w:rPr>
          <w:rFonts w:ascii="Times New Roman" w:eastAsia="Times New Roman" w:hAnsi="Times New Roman" w:cs="Times New Roman"/>
          <w:sz w:val="24"/>
          <w:szCs w:val="24"/>
          <w:lang w:eastAsia="pl-PL"/>
        </w:rPr>
        <w:t xml:space="preserve">polegają na czasowej obniżce stawek podatku VAT na żywność (z 5% do 0%); paliwa </w:t>
      </w:r>
      <w:r w:rsidR="008C0657" w:rsidRPr="00A720EE">
        <w:rPr>
          <w:rFonts w:ascii="Times New Roman" w:eastAsia="Times New Roman" w:hAnsi="Times New Roman" w:cs="Times New Roman"/>
          <w:sz w:val="24"/>
          <w:szCs w:val="24"/>
          <w:lang w:eastAsia="pl-PL"/>
        </w:rPr>
        <w:t xml:space="preserve">silnikowe </w:t>
      </w:r>
      <w:r w:rsidRPr="00A720EE">
        <w:rPr>
          <w:rFonts w:ascii="Times New Roman" w:eastAsia="Times New Roman" w:hAnsi="Times New Roman" w:cs="Times New Roman"/>
          <w:sz w:val="24"/>
          <w:szCs w:val="24"/>
          <w:lang w:eastAsia="pl-PL"/>
        </w:rPr>
        <w:t>(z 23% do 8%), gaz ziemny (do wysokości 0%), energię elektryczną i energię cieplną (do wysokości 5%) oraz nawozy i inne środki wspomagające produkcję rolniczą (z 8% do 0%).</w:t>
      </w:r>
    </w:p>
    <w:p w14:paraId="62A6E622" w14:textId="4239E9DE" w:rsidR="00DF1CF8" w:rsidRPr="00A720EE" w:rsidRDefault="00DF1CF8" w:rsidP="00DF1CF8">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 xml:space="preserve">W związku z ciągłym wzrostem inflacji oraz negatywnymi dla polskiej gospodarki i społeczeństwa skutkami wojny prowadzonej w Ukrainie uzasadnione jest przedłużenie wprowadzonych rozwiązań do 31 grudnia 2022 r. </w:t>
      </w:r>
      <w:r w:rsidR="005351E9" w:rsidRPr="00A720EE">
        <w:rPr>
          <w:rFonts w:ascii="Times New Roman" w:eastAsia="Times New Roman" w:hAnsi="Times New Roman" w:cs="Times New Roman"/>
          <w:sz w:val="24"/>
          <w:szCs w:val="24"/>
          <w:lang w:eastAsia="pl-PL"/>
        </w:rPr>
        <w:t>(zmian</w:t>
      </w:r>
      <w:r w:rsidR="008C0657" w:rsidRPr="00A720EE">
        <w:rPr>
          <w:rFonts w:ascii="Times New Roman" w:eastAsia="Times New Roman" w:hAnsi="Times New Roman" w:cs="Times New Roman"/>
          <w:sz w:val="24"/>
          <w:szCs w:val="24"/>
          <w:lang w:eastAsia="pl-PL"/>
        </w:rPr>
        <w:t>y</w:t>
      </w:r>
      <w:r w:rsidR="005351E9" w:rsidRPr="00A720EE">
        <w:rPr>
          <w:rFonts w:ascii="Times New Roman" w:eastAsia="Times New Roman" w:hAnsi="Times New Roman" w:cs="Times New Roman"/>
          <w:sz w:val="24"/>
          <w:szCs w:val="24"/>
          <w:lang w:eastAsia="pl-PL"/>
        </w:rPr>
        <w:t xml:space="preserve"> w art. 146da-146dc</w:t>
      </w:r>
      <w:r w:rsidR="008C0657" w:rsidRPr="00A720EE">
        <w:rPr>
          <w:rFonts w:ascii="Times New Roman" w:eastAsia="Times New Roman" w:hAnsi="Times New Roman" w:cs="Times New Roman"/>
          <w:sz w:val="24"/>
          <w:szCs w:val="24"/>
          <w:lang w:eastAsia="pl-PL"/>
        </w:rPr>
        <w:t xml:space="preserve"> ustawy o VAT</w:t>
      </w:r>
      <w:r w:rsidR="005351E9" w:rsidRPr="00A720EE">
        <w:rPr>
          <w:rFonts w:ascii="Times New Roman" w:eastAsia="Times New Roman" w:hAnsi="Times New Roman" w:cs="Times New Roman"/>
          <w:sz w:val="24"/>
          <w:szCs w:val="24"/>
          <w:lang w:eastAsia="pl-PL"/>
        </w:rPr>
        <w:t>).</w:t>
      </w:r>
    </w:p>
    <w:p w14:paraId="37D78F54" w14:textId="77777777" w:rsidR="00DF1CF8" w:rsidRPr="00A720EE" w:rsidRDefault="00DF1CF8" w:rsidP="00DF1CF8">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 xml:space="preserve">Obniżenie stawek VAT </w:t>
      </w:r>
      <w:r w:rsidR="008C0657" w:rsidRPr="00A720EE">
        <w:rPr>
          <w:rFonts w:ascii="Times New Roman" w:eastAsia="Times New Roman" w:hAnsi="Times New Roman" w:cs="Times New Roman"/>
          <w:sz w:val="24"/>
          <w:szCs w:val="24"/>
          <w:lang w:eastAsia="pl-PL"/>
        </w:rPr>
        <w:t xml:space="preserve">dla wskazanych towarów </w:t>
      </w:r>
      <w:r w:rsidRPr="00A720EE">
        <w:rPr>
          <w:rFonts w:ascii="Times New Roman" w:eastAsia="Times New Roman" w:hAnsi="Times New Roman" w:cs="Times New Roman"/>
          <w:sz w:val="24"/>
          <w:szCs w:val="24"/>
          <w:lang w:eastAsia="pl-PL"/>
        </w:rPr>
        <w:t xml:space="preserve">pomoże społeczeństwu oraz przedsiębiorcom, w tym </w:t>
      </w:r>
      <w:proofErr w:type="spellStart"/>
      <w:r w:rsidRPr="00A720EE">
        <w:rPr>
          <w:rFonts w:ascii="Times New Roman" w:eastAsia="Times New Roman" w:hAnsi="Times New Roman" w:cs="Times New Roman"/>
          <w:sz w:val="24"/>
          <w:szCs w:val="24"/>
          <w:lang w:eastAsia="pl-PL"/>
        </w:rPr>
        <w:t>mikrofirmom</w:t>
      </w:r>
      <w:proofErr w:type="spellEnd"/>
      <w:r w:rsidRPr="00A720EE">
        <w:rPr>
          <w:rFonts w:ascii="Times New Roman" w:eastAsia="Times New Roman" w:hAnsi="Times New Roman" w:cs="Times New Roman"/>
          <w:sz w:val="24"/>
          <w:szCs w:val="24"/>
          <w:lang w:eastAsia="pl-PL"/>
        </w:rPr>
        <w:t xml:space="preserve"> dominującym na polskim rynku, w realnej walce z inflacją. Czasowa redukcja stawek VAT w zakresie żywności, paliw</w:t>
      </w:r>
      <w:r w:rsidR="008C0657" w:rsidRPr="00A720EE">
        <w:rPr>
          <w:rFonts w:ascii="Times New Roman" w:eastAsia="Times New Roman" w:hAnsi="Times New Roman" w:cs="Times New Roman"/>
          <w:sz w:val="24"/>
          <w:szCs w:val="24"/>
          <w:lang w:eastAsia="pl-PL"/>
        </w:rPr>
        <w:t xml:space="preserve"> silnikowych</w:t>
      </w:r>
      <w:r w:rsidRPr="00A720EE">
        <w:rPr>
          <w:rFonts w:ascii="Times New Roman" w:eastAsia="Times New Roman" w:hAnsi="Times New Roman" w:cs="Times New Roman"/>
          <w:sz w:val="24"/>
          <w:szCs w:val="24"/>
          <w:lang w:eastAsia="pl-PL"/>
        </w:rPr>
        <w:t>, gazu</w:t>
      </w:r>
      <w:r w:rsidR="008C0657" w:rsidRPr="00A720EE">
        <w:rPr>
          <w:rFonts w:ascii="Times New Roman" w:eastAsia="Times New Roman" w:hAnsi="Times New Roman" w:cs="Times New Roman"/>
          <w:sz w:val="24"/>
          <w:szCs w:val="24"/>
          <w:lang w:eastAsia="pl-PL"/>
        </w:rPr>
        <w:t xml:space="preserve"> ziemnego</w:t>
      </w:r>
      <w:r w:rsidRPr="00A720EE">
        <w:rPr>
          <w:rFonts w:ascii="Times New Roman" w:eastAsia="Times New Roman" w:hAnsi="Times New Roman" w:cs="Times New Roman"/>
          <w:sz w:val="24"/>
          <w:szCs w:val="24"/>
          <w:lang w:eastAsia="pl-PL"/>
        </w:rPr>
        <w:t>, energii</w:t>
      </w:r>
      <w:r w:rsidR="008C0657" w:rsidRPr="00A720EE">
        <w:rPr>
          <w:rFonts w:ascii="Times New Roman" w:eastAsia="Times New Roman" w:hAnsi="Times New Roman" w:cs="Times New Roman"/>
          <w:sz w:val="24"/>
          <w:szCs w:val="24"/>
          <w:lang w:eastAsia="pl-PL"/>
        </w:rPr>
        <w:t xml:space="preserve"> elektrycznej i cieplnej</w:t>
      </w:r>
      <w:r w:rsidRPr="00A720EE">
        <w:rPr>
          <w:rFonts w:ascii="Times New Roman" w:eastAsia="Times New Roman" w:hAnsi="Times New Roman" w:cs="Times New Roman"/>
          <w:sz w:val="24"/>
          <w:szCs w:val="24"/>
          <w:lang w:eastAsia="pl-PL"/>
        </w:rPr>
        <w:t>, nawozów i innych środków wspomagających produkcję rolniczą, w przypadku pełnego przeniesienia obniżek stawek VAT na ceny tych towarów, efektywnie powinna wpłynąć na obniżkę cen tych towarów.</w:t>
      </w:r>
    </w:p>
    <w:p w14:paraId="64CAEE42" w14:textId="68FCD929" w:rsidR="00DF1CF8" w:rsidRPr="00A720EE" w:rsidRDefault="00DF1CF8" w:rsidP="00DF1CF8">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Jednocześnie proponuje się kontynuację wypełniania przez sprzedawców obowiązków informacyjnych o obniżkach</w:t>
      </w:r>
      <w:r w:rsidR="003B3334" w:rsidRPr="00A720EE">
        <w:rPr>
          <w:rFonts w:ascii="Times New Roman" w:eastAsia="Times New Roman" w:hAnsi="Times New Roman" w:cs="Times New Roman"/>
          <w:sz w:val="24"/>
          <w:szCs w:val="24"/>
          <w:lang w:eastAsia="pl-PL"/>
        </w:rPr>
        <w:t xml:space="preserve"> stawek VAT dla określonych towarów</w:t>
      </w:r>
      <w:r w:rsidRPr="00A720EE">
        <w:rPr>
          <w:rFonts w:ascii="Times New Roman" w:eastAsia="Times New Roman" w:hAnsi="Times New Roman" w:cs="Times New Roman"/>
          <w:sz w:val="24"/>
          <w:szCs w:val="24"/>
          <w:lang w:eastAsia="pl-PL"/>
        </w:rPr>
        <w:t xml:space="preserve">. Obowiązki te w </w:t>
      </w:r>
      <w:r w:rsidR="00F81BD3" w:rsidRPr="00A720EE">
        <w:rPr>
          <w:rFonts w:ascii="Times New Roman" w:eastAsia="Times New Roman" w:hAnsi="Times New Roman" w:cs="Times New Roman"/>
          <w:sz w:val="24"/>
          <w:szCs w:val="24"/>
          <w:lang w:eastAsia="pl-PL"/>
        </w:rPr>
        <w:t>przedmiotowym</w:t>
      </w:r>
      <w:r w:rsidRPr="00A720EE">
        <w:rPr>
          <w:rFonts w:ascii="Times New Roman" w:eastAsia="Times New Roman" w:hAnsi="Times New Roman" w:cs="Times New Roman"/>
          <w:sz w:val="24"/>
          <w:szCs w:val="24"/>
          <w:lang w:eastAsia="pl-PL"/>
        </w:rPr>
        <w:t xml:space="preserve"> projekcie zostały przedłużone do dnia 31 grudnia 2022 r. </w:t>
      </w:r>
    </w:p>
    <w:p w14:paraId="5D619E3D" w14:textId="77777777" w:rsidR="00DF1CF8" w:rsidRPr="00A720EE" w:rsidRDefault="00DF1CF8" w:rsidP="00DF1CF8">
      <w:pPr>
        <w:widowControl w:val="0"/>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 xml:space="preserve">Ze względu na upływający w dniu 31 października 2022 r. termin obowiązywania obecnych rozwiązań, planowany termin wejścia w życie projektowanych </w:t>
      </w:r>
      <w:r w:rsidR="003B3334" w:rsidRPr="00A720EE">
        <w:rPr>
          <w:rFonts w:ascii="Times New Roman" w:eastAsia="Times New Roman" w:hAnsi="Times New Roman" w:cs="Times New Roman"/>
          <w:sz w:val="24"/>
          <w:szCs w:val="24"/>
          <w:lang w:eastAsia="pl-PL"/>
        </w:rPr>
        <w:t xml:space="preserve">w ww. zakresie </w:t>
      </w:r>
      <w:r w:rsidRPr="00A720EE">
        <w:rPr>
          <w:rFonts w:ascii="Times New Roman" w:eastAsia="Times New Roman" w:hAnsi="Times New Roman" w:cs="Times New Roman"/>
          <w:sz w:val="24"/>
          <w:szCs w:val="24"/>
          <w:lang w:eastAsia="pl-PL"/>
        </w:rPr>
        <w:t xml:space="preserve">zmian określono na dzień 31 października 2022 r. </w:t>
      </w:r>
    </w:p>
    <w:p w14:paraId="1B0B42E5" w14:textId="2A5904DB" w:rsidR="00480C02" w:rsidRPr="00A720EE" w:rsidRDefault="005351E9" w:rsidP="000151A2">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Zmiany </w:t>
      </w:r>
      <w:r w:rsidR="003B3334" w:rsidRPr="00A720EE">
        <w:rPr>
          <w:rFonts w:ascii="Times New Roman" w:hAnsi="Times New Roman" w:cs="Times New Roman"/>
          <w:sz w:val="24"/>
          <w:szCs w:val="24"/>
        </w:rPr>
        <w:t>proponowane</w:t>
      </w:r>
      <w:r w:rsidRPr="00A720EE">
        <w:rPr>
          <w:rFonts w:ascii="Times New Roman" w:hAnsi="Times New Roman" w:cs="Times New Roman"/>
          <w:sz w:val="24"/>
          <w:szCs w:val="24"/>
        </w:rPr>
        <w:t xml:space="preserve"> w art. 146ea-146ee ustawy o </w:t>
      </w:r>
      <w:r w:rsidR="00F87E8F" w:rsidRPr="00A720EE">
        <w:rPr>
          <w:rFonts w:ascii="Times New Roman" w:hAnsi="Times New Roman" w:cs="Times New Roman"/>
          <w:sz w:val="24"/>
          <w:szCs w:val="24"/>
        </w:rPr>
        <w:t>VAT</w:t>
      </w:r>
      <w:r w:rsidRPr="00A720EE">
        <w:rPr>
          <w:rFonts w:ascii="Times New Roman" w:hAnsi="Times New Roman" w:cs="Times New Roman"/>
          <w:sz w:val="24"/>
          <w:szCs w:val="24"/>
        </w:rPr>
        <w:t xml:space="preserve"> przewidują </w:t>
      </w:r>
      <w:r w:rsidR="00F87E8F" w:rsidRPr="00A720EE">
        <w:rPr>
          <w:rFonts w:ascii="Times New Roman" w:hAnsi="Times New Roman" w:cs="Times New Roman"/>
          <w:sz w:val="24"/>
          <w:szCs w:val="24"/>
        </w:rPr>
        <w:t>utrzymani</w:t>
      </w:r>
      <w:r w:rsidR="003B3334" w:rsidRPr="00A720EE">
        <w:rPr>
          <w:rFonts w:ascii="Times New Roman" w:hAnsi="Times New Roman" w:cs="Times New Roman"/>
          <w:sz w:val="24"/>
          <w:szCs w:val="24"/>
        </w:rPr>
        <w:t>e</w:t>
      </w:r>
      <w:r w:rsidR="00F87E8F" w:rsidRPr="00A720EE">
        <w:rPr>
          <w:rFonts w:ascii="Times New Roman" w:hAnsi="Times New Roman" w:cs="Times New Roman"/>
          <w:sz w:val="24"/>
          <w:szCs w:val="24"/>
        </w:rPr>
        <w:t xml:space="preserve"> stawek VAT na dotychczasowym poziomie 23% i 8%</w:t>
      </w:r>
      <w:r w:rsidRPr="00A720EE">
        <w:rPr>
          <w:rFonts w:ascii="Times New Roman" w:hAnsi="Times New Roman" w:cs="Times New Roman"/>
          <w:sz w:val="24"/>
          <w:szCs w:val="24"/>
        </w:rPr>
        <w:t>, skorelowan</w:t>
      </w:r>
      <w:r w:rsidR="003B3334" w:rsidRPr="00A720EE">
        <w:rPr>
          <w:rFonts w:ascii="Times New Roman" w:hAnsi="Times New Roman" w:cs="Times New Roman"/>
          <w:sz w:val="24"/>
          <w:szCs w:val="24"/>
        </w:rPr>
        <w:t>ym</w:t>
      </w:r>
      <w:r w:rsidRPr="00A720EE">
        <w:rPr>
          <w:rFonts w:ascii="Times New Roman" w:hAnsi="Times New Roman" w:cs="Times New Roman"/>
          <w:sz w:val="24"/>
          <w:szCs w:val="24"/>
        </w:rPr>
        <w:t xml:space="preserve"> z wydatkami przeznaczonymi na obronność kraju. </w:t>
      </w:r>
    </w:p>
    <w:p w14:paraId="1A120E8E" w14:textId="77777777" w:rsidR="005351E9" w:rsidRPr="00A720EE" w:rsidRDefault="005351E9" w:rsidP="000151A2">
      <w:pPr>
        <w:spacing w:before="120" w:after="0" w:line="276" w:lineRule="auto"/>
        <w:jc w:val="both"/>
        <w:rPr>
          <w:rFonts w:ascii="Times New Roman" w:hAnsi="Times New Roman" w:cs="Times New Roman"/>
          <w:sz w:val="24"/>
          <w:szCs w:val="24"/>
        </w:rPr>
      </w:pPr>
      <w:r w:rsidRPr="00A720EE">
        <w:rPr>
          <w:rFonts w:ascii="Times New Roman" w:hAnsi="Times New Roman" w:cs="Times New Roman"/>
          <w:sz w:val="24"/>
          <w:szCs w:val="24"/>
        </w:rPr>
        <w:lastRenderedPageBreak/>
        <w:t>Zgodnie z aktualnie obowiązującymi przepisami (art. 146aa ust. 1a ustawy</w:t>
      </w:r>
      <w:r w:rsidR="003B3334" w:rsidRPr="00A720EE">
        <w:rPr>
          <w:rFonts w:ascii="Times New Roman" w:hAnsi="Times New Roman" w:cs="Times New Roman"/>
          <w:sz w:val="24"/>
          <w:szCs w:val="24"/>
        </w:rPr>
        <w:t xml:space="preserve"> o VAT</w:t>
      </w:r>
      <w:r w:rsidRPr="00A720EE">
        <w:rPr>
          <w:rFonts w:ascii="Times New Roman" w:hAnsi="Times New Roman" w:cs="Times New Roman"/>
          <w:sz w:val="24"/>
          <w:szCs w:val="24"/>
        </w:rPr>
        <w:t>) podwyższone o 1 punkt procentowy stawki podatku VAT obowiązują do końca roku następującego po roku, w którym zostały spełnione określone warunki makroekonomiczne.</w:t>
      </w:r>
    </w:p>
    <w:p w14:paraId="41C51C60" w14:textId="341BFF41" w:rsidR="005351E9" w:rsidRPr="00A720EE" w:rsidRDefault="005351E9" w:rsidP="005351E9">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Intencją ustawodawcy wprowadzającego art. 146aa do ustawy o </w:t>
      </w:r>
      <w:r w:rsidR="003B3334" w:rsidRPr="00A720EE">
        <w:rPr>
          <w:rFonts w:ascii="Times New Roman" w:hAnsi="Times New Roman" w:cs="Times New Roman"/>
          <w:sz w:val="24"/>
          <w:szCs w:val="24"/>
        </w:rPr>
        <w:t>VAT</w:t>
      </w:r>
      <w:r w:rsidRPr="00A720EE">
        <w:rPr>
          <w:rFonts w:ascii="Times New Roman" w:hAnsi="Times New Roman" w:cs="Times New Roman"/>
          <w:sz w:val="24"/>
          <w:szCs w:val="24"/>
        </w:rPr>
        <w:t xml:space="preserve"> było powiązanie poziomu stawek tego podatku ze stanem finansów publicznych i z ogólną kondycją gospodarki. </w:t>
      </w:r>
    </w:p>
    <w:p w14:paraId="41DE70F5" w14:textId="77777777" w:rsidR="005351E9" w:rsidRPr="00A720EE" w:rsidRDefault="005351E9" w:rsidP="005351E9">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Przepis </w:t>
      </w:r>
      <w:r w:rsidR="003B3334" w:rsidRPr="00A720EE">
        <w:rPr>
          <w:rFonts w:ascii="Times New Roman" w:hAnsi="Times New Roman" w:cs="Times New Roman"/>
          <w:sz w:val="24"/>
          <w:szCs w:val="24"/>
        </w:rPr>
        <w:t xml:space="preserve">ten </w:t>
      </w:r>
      <w:r w:rsidRPr="00A720EE">
        <w:rPr>
          <w:rFonts w:ascii="Times New Roman" w:hAnsi="Times New Roman" w:cs="Times New Roman"/>
          <w:sz w:val="24"/>
          <w:szCs w:val="24"/>
        </w:rPr>
        <w:t xml:space="preserve">zakłada, że powrót do niższych stawek VAT może mieć miejsce jedynie podczas stabilnej sytuacji gospodarczej, a więc podczas stosowania pierwotnej formuły stabilizującej reguły wydatkowej z art. 112aa ustawy o finansach publicznych i jednoczesnego wyłączenia jej mechanizmu korygującego. </w:t>
      </w:r>
    </w:p>
    <w:p w14:paraId="0DA037EE" w14:textId="77777777" w:rsidR="005351E9" w:rsidRPr="00A720EE" w:rsidRDefault="005351E9" w:rsidP="005351E9">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Inwazja Rosji na Ukrainę, bezprecedensowe wzrosty cen energii oraz dalsze zakłócenia w łańcuchach dostaw sprawiają, że nie tylko Polska, ale również pozostałe gospodarki UE i strefy euro nie wróciły do stanu normalności po pandemii COVID-19. Wybuch wojny w Ukrainie i związane z tym zagrożenia postawiły nowe wyzwania przed polityką fiskalną państwa. W efekcie niezwykle istotne jest podejmowanie przez państwo szybkich i adekwatnych oraz ukierunkowanych działań, mających na celu zminimalizowanie zagrożeń związanych z obecną sytuacją geopolityczną. W szczególności muszą zostać zapewnione środki na zwiększanie nakładów na obronność kraju, aby ograniczyć wpływ tych działań na stabilność finansów publicznych. </w:t>
      </w:r>
    </w:p>
    <w:p w14:paraId="568E5F88" w14:textId="311C3535" w:rsidR="005351E9" w:rsidRPr="00A720EE" w:rsidRDefault="005351E9" w:rsidP="005351E9">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Celowi temu ma służyć wprowadzenie proponowanych zmian w ustawie o </w:t>
      </w:r>
      <w:r w:rsidR="003B3334" w:rsidRPr="00A720EE">
        <w:rPr>
          <w:rFonts w:ascii="Times New Roman" w:hAnsi="Times New Roman" w:cs="Times New Roman"/>
          <w:sz w:val="24"/>
          <w:szCs w:val="24"/>
        </w:rPr>
        <w:t>VAT</w:t>
      </w:r>
      <w:r w:rsidRPr="00A720EE">
        <w:rPr>
          <w:rFonts w:ascii="Times New Roman" w:hAnsi="Times New Roman" w:cs="Times New Roman"/>
          <w:sz w:val="24"/>
          <w:szCs w:val="24"/>
        </w:rPr>
        <w:t>, mających na celu umożliwienie finansowania istotnych zadań publicznych, związanych z realizacją polityki rządu, służących przeciwdziałaniu społeczno-gospodarczym skutkom konfliktu zbrojnego na terytorium Ukrainy.</w:t>
      </w:r>
    </w:p>
    <w:p w14:paraId="2EF3B57B" w14:textId="77777777" w:rsidR="005351E9" w:rsidRPr="00A720EE" w:rsidRDefault="005351E9" w:rsidP="005351E9">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Przedmiotowy projekt zakłada kontynuację stosowania podwyższonych o 1pp stawek podatku od towarów i usług w 2023 r. z uwagi na planowany skokowy wzrost wydatków na obronność. </w:t>
      </w:r>
    </w:p>
    <w:p w14:paraId="5685F7B0" w14:textId="102311AD" w:rsidR="005351E9" w:rsidRPr="00A720EE" w:rsidRDefault="005351E9" w:rsidP="005351E9">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Zmiany projektowane w ustawie o </w:t>
      </w:r>
      <w:r w:rsidR="003B3334" w:rsidRPr="00A720EE">
        <w:rPr>
          <w:rFonts w:ascii="Times New Roman" w:hAnsi="Times New Roman" w:cs="Times New Roman"/>
          <w:sz w:val="24"/>
          <w:szCs w:val="24"/>
        </w:rPr>
        <w:t>VAT</w:t>
      </w:r>
      <w:r w:rsidRPr="00A720EE">
        <w:rPr>
          <w:rFonts w:ascii="Times New Roman" w:hAnsi="Times New Roman" w:cs="Times New Roman"/>
          <w:sz w:val="24"/>
          <w:szCs w:val="24"/>
        </w:rPr>
        <w:t xml:space="preserve"> przewidują wprowadzenie od 2024 r. nowego mechanizmu, w oparciu o który przedłużony zostanie okres obowiązywania podwyższonych o 1pp stawek VAT</w:t>
      </w:r>
      <w:r w:rsidR="00DC738D" w:rsidRPr="00A720EE">
        <w:rPr>
          <w:rFonts w:ascii="Times New Roman" w:hAnsi="Times New Roman" w:cs="Times New Roman"/>
          <w:sz w:val="24"/>
          <w:szCs w:val="24"/>
        </w:rPr>
        <w:t xml:space="preserve"> </w:t>
      </w:r>
      <w:r w:rsidR="003B3334" w:rsidRPr="00A720EE">
        <w:rPr>
          <w:rFonts w:ascii="Times New Roman" w:hAnsi="Times New Roman" w:cs="Times New Roman"/>
          <w:sz w:val="24"/>
          <w:szCs w:val="24"/>
        </w:rPr>
        <w:t>(art. 146ea)</w:t>
      </w:r>
      <w:r w:rsidRPr="00A720EE">
        <w:rPr>
          <w:rFonts w:ascii="Times New Roman" w:hAnsi="Times New Roman" w:cs="Times New Roman"/>
          <w:sz w:val="24"/>
          <w:szCs w:val="24"/>
        </w:rPr>
        <w:t>. Mechanizm ten został skorelowany z poziomem wydatków przeznaczanych na finansowanie potrzeb obronnych Rzeczypospolitej Polskiej.</w:t>
      </w:r>
    </w:p>
    <w:p w14:paraId="6C7C0A21" w14:textId="77777777" w:rsidR="005351E9" w:rsidRPr="00A720EE" w:rsidRDefault="005351E9" w:rsidP="005351E9">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Podwyższone o 1pp stawki podatku VAT będą stosowane w oparciu o nowy mechanizm począwszy od 1 stycznia 2024 r. do końca roku, w którym suma precyzyjnie zdefiniowanych w projekcie wydatków na obronność, tj. wymienionych:</w:t>
      </w:r>
    </w:p>
    <w:p w14:paraId="6D9D831B" w14:textId="2C69CFB9" w:rsidR="005351E9" w:rsidRPr="00A720EE" w:rsidRDefault="005351E9" w:rsidP="005351E9">
      <w:pPr>
        <w:pStyle w:val="Akapitzlist"/>
        <w:numPr>
          <w:ilvl w:val="0"/>
          <w:numId w:val="59"/>
        </w:numPr>
        <w:spacing w:after="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 xml:space="preserve">w art. 40 ust. 1 pkt 2 ustawy z dnia 11 marca 2022 r. o obronie Ojczyzny (Dz. U. poz. 655 i 974) określonych na ten rok w ustawie budżetowej, w brzmieniu obowiązującym na dzień 31 lipca tego roku, oraz </w:t>
      </w:r>
    </w:p>
    <w:p w14:paraId="4EBB8B09" w14:textId="7252B6AF" w:rsidR="005351E9" w:rsidRPr="00A720EE" w:rsidRDefault="005351E9" w:rsidP="005351E9">
      <w:pPr>
        <w:pStyle w:val="Akapitzlist"/>
        <w:numPr>
          <w:ilvl w:val="0"/>
          <w:numId w:val="59"/>
        </w:numPr>
        <w:spacing w:after="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w planie finansowym Funduszu Wsparcia Sił Zbrojnych przedłożonym zgodnie z art. 42 ust. 4 ustawy z dnia 11 marca 2022 r. o obronie Ojczyzny albo projekcie tego planu przedstawionym do zatwierdzenia Ministrowi Obrony Narodowej zgodnie z art 42 ust. 2 i 3 tej ustawy, jeżeli plan ten nie został przedłożony zgodnie z art. 42 ust. 4 tej ustawy</w:t>
      </w:r>
    </w:p>
    <w:p w14:paraId="0BD1A539" w14:textId="659A1CC8" w:rsidR="005351E9" w:rsidRPr="00A720EE" w:rsidRDefault="005351E9" w:rsidP="005351E9">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lastRenderedPageBreak/>
        <w:t>po wyłączeniu planowanych przepływów finansowych w ramach tej sumy wydatków, będzie wyższa niż 3% wartości produktu krajowego brutto określonego w art. 40 ust. 2 ustawy z dnia 11 marca 2022 r. o obronie Ojczyzny.</w:t>
      </w:r>
    </w:p>
    <w:p w14:paraId="04BC4417" w14:textId="77777777" w:rsidR="005351E9" w:rsidRPr="00A720EE" w:rsidRDefault="005351E9" w:rsidP="005351E9">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Wskazana w przepisach data 31 lipca jest uwarunkowana harmonogramem prac nad projektem ustawy budżetowej na rok kolejny. Poziom stawek determinuje bowiem poziom dochodów budżetowych i deficytu budżetu państwa, stąd uzasadnione jest wskazanie tej daty jako punktu odniesienia do ich ustalenia.</w:t>
      </w:r>
    </w:p>
    <w:p w14:paraId="458CEBAA" w14:textId="644F2023" w:rsidR="005351E9" w:rsidRPr="00A720EE" w:rsidRDefault="005351E9" w:rsidP="005351E9">
      <w:pPr>
        <w:spacing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W </w:t>
      </w:r>
      <w:r w:rsidR="00DC738D" w:rsidRPr="00A720EE">
        <w:rPr>
          <w:rFonts w:ascii="Times New Roman" w:hAnsi="Times New Roman" w:cs="Times New Roman"/>
          <w:sz w:val="24"/>
          <w:szCs w:val="24"/>
        </w:rPr>
        <w:t>kolejnych</w:t>
      </w:r>
      <w:r w:rsidRPr="00A720EE">
        <w:rPr>
          <w:rFonts w:ascii="Times New Roman" w:hAnsi="Times New Roman" w:cs="Times New Roman"/>
          <w:sz w:val="24"/>
          <w:szCs w:val="24"/>
        </w:rPr>
        <w:t xml:space="preserve"> przepisach</w:t>
      </w:r>
      <w:r w:rsidR="00DC738D" w:rsidRPr="00A720EE">
        <w:rPr>
          <w:rFonts w:ascii="Times New Roman" w:hAnsi="Times New Roman" w:cs="Times New Roman"/>
          <w:sz w:val="24"/>
          <w:szCs w:val="24"/>
        </w:rPr>
        <w:t>, tj.</w:t>
      </w:r>
      <w:r w:rsidRPr="00A720EE">
        <w:rPr>
          <w:rFonts w:ascii="Times New Roman" w:hAnsi="Times New Roman" w:cs="Times New Roman"/>
          <w:sz w:val="24"/>
          <w:szCs w:val="24"/>
        </w:rPr>
        <w:t xml:space="preserve"> art. 146eb-146ed</w:t>
      </w:r>
      <w:r w:rsidR="00DC738D" w:rsidRPr="00A720EE">
        <w:rPr>
          <w:rFonts w:ascii="Times New Roman" w:hAnsi="Times New Roman" w:cs="Times New Roman"/>
          <w:sz w:val="24"/>
          <w:szCs w:val="24"/>
        </w:rPr>
        <w:t xml:space="preserve"> ustawy o VAT,</w:t>
      </w:r>
      <w:r w:rsidRPr="00A720EE">
        <w:rPr>
          <w:rFonts w:ascii="Times New Roman" w:hAnsi="Times New Roman" w:cs="Times New Roman"/>
          <w:sz w:val="24"/>
          <w:szCs w:val="24"/>
        </w:rPr>
        <w:t xml:space="preserve"> wprowadzone zostały – wzorem </w:t>
      </w:r>
      <w:r w:rsidR="00DC738D" w:rsidRPr="00A720EE">
        <w:rPr>
          <w:rFonts w:ascii="Times New Roman" w:hAnsi="Times New Roman" w:cs="Times New Roman"/>
          <w:sz w:val="24"/>
          <w:szCs w:val="24"/>
        </w:rPr>
        <w:t xml:space="preserve">obecnych przepisów </w:t>
      </w:r>
      <w:r w:rsidRPr="00A720EE">
        <w:rPr>
          <w:rFonts w:ascii="Times New Roman" w:hAnsi="Times New Roman" w:cs="Times New Roman"/>
          <w:sz w:val="24"/>
          <w:szCs w:val="24"/>
        </w:rPr>
        <w:t>art. 146b, 146c i 146e ustawy o VAT – regulacje uzupełniające</w:t>
      </w:r>
      <w:r w:rsidR="00DC738D" w:rsidRPr="00A720EE">
        <w:rPr>
          <w:rFonts w:ascii="Times New Roman" w:hAnsi="Times New Roman" w:cs="Times New Roman"/>
          <w:sz w:val="24"/>
          <w:szCs w:val="24"/>
        </w:rPr>
        <w:t>,</w:t>
      </w:r>
      <w:r w:rsidRPr="00A720EE">
        <w:rPr>
          <w:rFonts w:ascii="Times New Roman" w:hAnsi="Times New Roman" w:cs="Times New Roman"/>
          <w:sz w:val="24"/>
          <w:szCs w:val="24"/>
        </w:rPr>
        <w:t xml:space="preserve"> stanowiące </w:t>
      </w:r>
      <w:r w:rsidR="00DC738D" w:rsidRPr="00A720EE">
        <w:rPr>
          <w:rFonts w:ascii="Times New Roman" w:hAnsi="Times New Roman" w:cs="Times New Roman"/>
          <w:sz w:val="24"/>
          <w:szCs w:val="24"/>
        </w:rPr>
        <w:t xml:space="preserve">– </w:t>
      </w:r>
      <w:r w:rsidRPr="00A720EE">
        <w:rPr>
          <w:rFonts w:ascii="Times New Roman" w:hAnsi="Times New Roman" w:cs="Times New Roman"/>
          <w:sz w:val="24"/>
          <w:szCs w:val="24"/>
        </w:rPr>
        <w:t xml:space="preserve">analogicznie jak w art. 146ea </w:t>
      </w:r>
      <w:r w:rsidR="00DC738D" w:rsidRPr="00A720EE">
        <w:rPr>
          <w:rFonts w:ascii="Times New Roman" w:hAnsi="Times New Roman" w:cs="Times New Roman"/>
          <w:sz w:val="24"/>
          <w:szCs w:val="24"/>
        </w:rPr>
        <w:t xml:space="preserve">ustawy – </w:t>
      </w:r>
      <w:r w:rsidRPr="00A720EE">
        <w:rPr>
          <w:rFonts w:ascii="Times New Roman" w:hAnsi="Times New Roman" w:cs="Times New Roman"/>
          <w:sz w:val="24"/>
          <w:szCs w:val="24"/>
        </w:rPr>
        <w:t>podstawę do stosowania podwyższonych o 1pp stawek podatku od towarów i usług na potrzeby wskazanych w tych artykułach czynności.</w:t>
      </w:r>
    </w:p>
    <w:p w14:paraId="4A39B345" w14:textId="4A90C5BE" w:rsidR="005351E9" w:rsidRPr="00A720EE" w:rsidRDefault="005351E9"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Przepis art. 146ee </w:t>
      </w:r>
      <w:r w:rsidR="00DC738D" w:rsidRPr="00A720EE">
        <w:rPr>
          <w:rFonts w:ascii="Times New Roman" w:hAnsi="Times New Roman" w:cs="Times New Roman"/>
          <w:sz w:val="24"/>
          <w:szCs w:val="24"/>
        </w:rPr>
        <w:t xml:space="preserve">ustawy o VAT </w:t>
      </w:r>
      <w:r w:rsidRPr="00A720EE">
        <w:rPr>
          <w:rFonts w:ascii="Times New Roman" w:hAnsi="Times New Roman" w:cs="Times New Roman"/>
          <w:sz w:val="24"/>
          <w:szCs w:val="24"/>
        </w:rPr>
        <w:t>stanowi delegację dla ministra właściwego do spraw finansów publicznych do wydania rozporządzenia, na podstawie którego może on obniżyć dla określonych towarów i usług stawki podatku oraz określić warunki stosowania tych stawek</w:t>
      </w:r>
      <w:r w:rsidR="00DC738D" w:rsidRPr="00A720EE">
        <w:rPr>
          <w:rFonts w:ascii="Times New Roman" w:hAnsi="Times New Roman" w:cs="Times New Roman"/>
          <w:sz w:val="24"/>
          <w:szCs w:val="24"/>
        </w:rPr>
        <w:t>,</w:t>
      </w:r>
      <w:r w:rsidRPr="00A720EE">
        <w:rPr>
          <w:rFonts w:ascii="Times New Roman" w:hAnsi="Times New Roman" w:cs="Times New Roman"/>
          <w:sz w:val="24"/>
          <w:szCs w:val="24"/>
        </w:rPr>
        <w:t xml:space="preserve"> wzorem dotychczasowej regulacji art. 146d</w:t>
      </w:r>
      <w:r w:rsidR="00DC738D" w:rsidRPr="00A720EE">
        <w:rPr>
          <w:rFonts w:ascii="Times New Roman" w:hAnsi="Times New Roman" w:cs="Times New Roman"/>
          <w:sz w:val="24"/>
          <w:szCs w:val="24"/>
        </w:rPr>
        <w:t xml:space="preserve"> ustawy o VAT</w:t>
      </w:r>
      <w:r w:rsidRPr="00A720EE">
        <w:rPr>
          <w:rFonts w:ascii="Times New Roman" w:hAnsi="Times New Roman" w:cs="Times New Roman"/>
          <w:sz w:val="24"/>
          <w:szCs w:val="24"/>
        </w:rPr>
        <w:t>.</w:t>
      </w:r>
    </w:p>
    <w:p w14:paraId="229F4818" w14:textId="77777777" w:rsidR="005351E9" w:rsidRPr="00A720EE" w:rsidRDefault="005351E9"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Termin wejścia w życie projektowanych zmian określono na dzień 30 października 2022 r.</w:t>
      </w:r>
    </w:p>
    <w:p w14:paraId="5A9F1269" w14:textId="77777777" w:rsidR="00AF45F4" w:rsidRPr="00A720EE" w:rsidRDefault="00AF45F4" w:rsidP="000151A2">
      <w:pPr>
        <w:widowControl w:val="0"/>
        <w:autoSpaceDE w:val="0"/>
        <w:autoSpaceDN w:val="0"/>
        <w:adjustRightInd w:val="0"/>
        <w:spacing w:after="120" w:line="276" w:lineRule="auto"/>
        <w:jc w:val="both"/>
        <w:rPr>
          <w:rFonts w:ascii="Times New Roman" w:eastAsia="Times New Roman" w:hAnsi="Times New Roman" w:cs="Times New Roman"/>
          <w:bCs/>
          <w:sz w:val="24"/>
          <w:szCs w:val="24"/>
          <w:u w:val="single"/>
          <w:lang w:eastAsia="pl-PL"/>
        </w:rPr>
      </w:pPr>
    </w:p>
    <w:p w14:paraId="23923EEE" w14:textId="2EFEDA7F" w:rsidR="0067276D" w:rsidRPr="00A720EE" w:rsidRDefault="0067276D" w:rsidP="000151A2">
      <w:pPr>
        <w:widowControl w:val="0"/>
        <w:autoSpaceDE w:val="0"/>
        <w:autoSpaceDN w:val="0"/>
        <w:adjustRightInd w:val="0"/>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
          <w:bCs/>
          <w:sz w:val="24"/>
          <w:szCs w:val="24"/>
          <w:u w:val="single"/>
          <w:lang w:eastAsia="pl-PL"/>
        </w:rPr>
        <w:t xml:space="preserve">Art. </w:t>
      </w:r>
      <w:r w:rsidR="006742A7" w:rsidRPr="00A720EE">
        <w:rPr>
          <w:rFonts w:ascii="Times New Roman" w:eastAsia="Times New Roman" w:hAnsi="Times New Roman" w:cs="Times New Roman"/>
          <w:b/>
          <w:bCs/>
          <w:sz w:val="24"/>
          <w:szCs w:val="24"/>
          <w:u w:val="single"/>
          <w:lang w:eastAsia="pl-PL"/>
        </w:rPr>
        <w:t>8</w:t>
      </w:r>
      <w:r w:rsidRPr="00A720EE">
        <w:rPr>
          <w:rFonts w:ascii="Times New Roman" w:eastAsia="Times New Roman" w:hAnsi="Times New Roman" w:cs="Times New Roman"/>
          <w:b/>
          <w:bCs/>
          <w:sz w:val="24"/>
          <w:szCs w:val="24"/>
          <w:u w:val="single"/>
          <w:lang w:eastAsia="pl-PL"/>
        </w:rPr>
        <w:t xml:space="preserve"> projektu ustawy </w:t>
      </w:r>
      <w:r w:rsidRPr="00A720EE">
        <w:rPr>
          <w:rFonts w:ascii="Times New Roman" w:eastAsia="Times New Roman" w:hAnsi="Times New Roman" w:cs="Times New Roman"/>
          <w:bCs/>
          <w:sz w:val="24"/>
          <w:szCs w:val="24"/>
          <w:lang w:eastAsia="pl-PL"/>
        </w:rPr>
        <w:t>– dotyczy art. 81 ust. 2zc ustawy o świadczeniach opieki zdrowotnej</w:t>
      </w:r>
      <w:r w:rsidR="005C2A9E" w:rsidRPr="00A720EE">
        <w:rPr>
          <w:rFonts w:ascii="Times New Roman" w:eastAsia="Times New Roman" w:hAnsi="Times New Roman" w:cs="Times New Roman"/>
          <w:bCs/>
          <w:sz w:val="24"/>
          <w:szCs w:val="24"/>
          <w:lang w:eastAsia="pl-PL"/>
        </w:rPr>
        <w:t xml:space="preserve"> </w:t>
      </w:r>
    </w:p>
    <w:p w14:paraId="3C8502CF" w14:textId="02111720" w:rsidR="005C2A9E" w:rsidRPr="00A720EE" w:rsidRDefault="00A84F0E" w:rsidP="000151A2">
      <w:pPr>
        <w:widowControl w:val="0"/>
        <w:autoSpaceDE w:val="0"/>
        <w:autoSpaceDN w:val="0"/>
        <w:adjustRightInd w:val="0"/>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w:t>
      </w:r>
      <w:r w:rsidR="005C2A9E" w:rsidRPr="00A720EE">
        <w:rPr>
          <w:rFonts w:ascii="Times New Roman" w:eastAsia="Times New Roman" w:hAnsi="Times New Roman" w:cs="Times New Roman"/>
          <w:bCs/>
          <w:sz w:val="24"/>
          <w:szCs w:val="24"/>
          <w:lang w:eastAsia="pl-PL"/>
        </w:rPr>
        <w:t>szczegółow</w:t>
      </w:r>
      <w:r w:rsidR="007E79DB" w:rsidRPr="00A720EE">
        <w:rPr>
          <w:rFonts w:ascii="Times New Roman" w:eastAsia="Times New Roman" w:hAnsi="Times New Roman" w:cs="Times New Roman"/>
          <w:bCs/>
          <w:sz w:val="24"/>
          <w:szCs w:val="24"/>
          <w:lang w:eastAsia="pl-PL"/>
        </w:rPr>
        <w:t>e omówienie zmiany w pkt 1</w:t>
      </w:r>
      <w:r w:rsidR="00480C02" w:rsidRPr="00A720EE">
        <w:rPr>
          <w:rFonts w:ascii="Times New Roman" w:eastAsia="Times New Roman" w:hAnsi="Times New Roman" w:cs="Times New Roman"/>
          <w:bCs/>
          <w:sz w:val="24"/>
          <w:szCs w:val="24"/>
          <w:lang w:eastAsia="pl-PL"/>
        </w:rPr>
        <w:t>9</w:t>
      </w:r>
      <w:r w:rsidR="007E79DB" w:rsidRPr="00A720EE">
        <w:rPr>
          <w:rFonts w:ascii="Times New Roman" w:eastAsia="Times New Roman" w:hAnsi="Times New Roman" w:cs="Times New Roman"/>
          <w:bCs/>
          <w:sz w:val="24"/>
          <w:szCs w:val="24"/>
          <w:lang w:eastAsia="pl-PL"/>
        </w:rPr>
        <w:t xml:space="preserve"> częś</w:t>
      </w:r>
      <w:r w:rsidR="005C2A9E" w:rsidRPr="00A720EE">
        <w:rPr>
          <w:rFonts w:ascii="Times New Roman" w:eastAsia="Times New Roman" w:hAnsi="Times New Roman" w:cs="Times New Roman"/>
          <w:bCs/>
          <w:sz w:val="24"/>
          <w:szCs w:val="24"/>
          <w:lang w:eastAsia="pl-PL"/>
        </w:rPr>
        <w:t>ci ogólnej uzasadnienia</w:t>
      </w:r>
      <w:r w:rsidRPr="00A720EE">
        <w:rPr>
          <w:rFonts w:ascii="Times New Roman" w:eastAsia="Times New Roman" w:hAnsi="Times New Roman" w:cs="Times New Roman"/>
          <w:bCs/>
          <w:sz w:val="24"/>
          <w:szCs w:val="24"/>
          <w:lang w:eastAsia="pl-PL"/>
        </w:rPr>
        <w:t>)</w:t>
      </w:r>
      <w:r w:rsidR="005C2A9E" w:rsidRPr="00A720EE">
        <w:rPr>
          <w:rFonts w:ascii="Times New Roman" w:eastAsia="Times New Roman" w:hAnsi="Times New Roman" w:cs="Times New Roman"/>
          <w:bCs/>
          <w:sz w:val="24"/>
          <w:szCs w:val="24"/>
          <w:lang w:eastAsia="pl-PL"/>
        </w:rPr>
        <w:t xml:space="preserve">. </w:t>
      </w:r>
    </w:p>
    <w:p w14:paraId="55C98A93" w14:textId="77777777" w:rsidR="00AF45F4" w:rsidRPr="00A720EE" w:rsidRDefault="00AF45F4" w:rsidP="000151A2">
      <w:pPr>
        <w:widowControl w:val="0"/>
        <w:autoSpaceDE w:val="0"/>
        <w:autoSpaceDN w:val="0"/>
        <w:adjustRightInd w:val="0"/>
        <w:spacing w:after="120" w:line="276" w:lineRule="auto"/>
        <w:jc w:val="both"/>
        <w:rPr>
          <w:rFonts w:ascii="Times New Roman" w:eastAsia="Times New Roman" w:hAnsi="Times New Roman" w:cs="Times New Roman"/>
          <w:b/>
          <w:bCs/>
          <w:sz w:val="24"/>
          <w:szCs w:val="24"/>
          <w:u w:val="single"/>
          <w:lang w:eastAsia="pl-PL"/>
        </w:rPr>
      </w:pPr>
    </w:p>
    <w:p w14:paraId="2FD61F44" w14:textId="77777777" w:rsidR="00A84F0E" w:rsidRPr="00A720EE" w:rsidRDefault="005351E9" w:rsidP="000151A2">
      <w:pPr>
        <w:widowControl w:val="0"/>
        <w:autoSpaceDE w:val="0"/>
        <w:autoSpaceDN w:val="0"/>
        <w:adjustRightInd w:val="0"/>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
          <w:bCs/>
          <w:sz w:val="24"/>
          <w:szCs w:val="24"/>
          <w:u w:val="single"/>
          <w:lang w:eastAsia="pl-PL"/>
        </w:rPr>
        <w:t>Art. 9</w:t>
      </w:r>
      <w:r w:rsidR="00DF1CF8" w:rsidRPr="00A720EE">
        <w:rPr>
          <w:rFonts w:ascii="Times New Roman" w:eastAsia="Times New Roman" w:hAnsi="Times New Roman" w:cs="Times New Roman"/>
          <w:b/>
          <w:bCs/>
          <w:sz w:val="24"/>
          <w:szCs w:val="24"/>
          <w:u w:val="single"/>
          <w:lang w:eastAsia="pl-PL"/>
        </w:rPr>
        <w:t xml:space="preserve"> projektu ustawy </w:t>
      </w:r>
      <w:r w:rsidR="00DF1CF8" w:rsidRPr="00A720EE">
        <w:rPr>
          <w:rFonts w:ascii="Times New Roman" w:eastAsia="Times New Roman" w:hAnsi="Times New Roman" w:cs="Times New Roman"/>
          <w:bCs/>
          <w:sz w:val="24"/>
          <w:szCs w:val="24"/>
          <w:lang w:eastAsia="pl-PL"/>
        </w:rPr>
        <w:t>– dotyczy zmian w ustawie o podatku akcyzowym</w:t>
      </w:r>
    </w:p>
    <w:p w14:paraId="447A42D4" w14:textId="77777777" w:rsidR="00DF1CF8" w:rsidRPr="00A720EE" w:rsidRDefault="00DF1CF8"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Projekt przewiduje przedłużenie:</w:t>
      </w:r>
    </w:p>
    <w:p w14:paraId="216291AA" w14:textId="77777777" w:rsidR="00DF1CF8" w:rsidRPr="00A720EE" w:rsidRDefault="00DF1CF8" w:rsidP="000151A2">
      <w:pPr>
        <w:pStyle w:val="Akapitzlist"/>
        <w:numPr>
          <w:ilvl w:val="0"/>
          <w:numId w:val="57"/>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czasowej obniżki stawek podatku akcyzowego na energię elektryczną i niektóre paliwa silnikowe tj. olej napędowy, biokomponenty stanowiące samoistne paliwa, benzynę silnikową, gaz skroplony LPG, oraz na lekki olej opałowy,</w:t>
      </w:r>
    </w:p>
    <w:p w14:paraId="5D7AE7A5" w14:textId="77777777" w:rsidR="00DF1CF8" w:rsidRPr="00A720EE" w:rsidRDefault="00DF1CF8" w:rsidP="000151A2">
      <w:pPr>
        <w:pStyle w:val="Akapitzlist"/>
        <w:numPr>
          <w:ilvl w:val="0"/>
          <w:numId w:val="57"/>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czasowego zwolnienia od podatku akcyzowego energii elektrycznej wykorzystywanej przez gospodarstwa domowe,</w:t>
      </w:r>
    </w:p>
    <w:p w14:paraId="4F158A52" w14:textId="77777777" w:rsidR="00DF1CF8" w:rsidRPr="00A720EE" w:rsidRDefault="00DF1CF8" w:rsidP="000151A2">
      <w:pPr>
        <w:pStyle w:val="Akapitzlist"/>
        <w:numPr>
          <w:ilvl w:val="0"/>
          <w:numId w:val="57"/>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czasowego wyłączenia sprzedaży paliw silnikowych z opodatkowania podatkiem od sprzedaży detalicznej.</w:t>
      </w:r>
    </w:p>
    <w:p w14:paraId="08683C6A" w14:textId="77777777" w:rsidR="00DF1CF8" w:rsidRPr="00A720EE" w:rsidRDefault="00DF1CF8"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Proponowane zmiany w ustawie o podatku akcyzowym spowodują przedłużenie obowiązywania obniżonych stawek akcyzy na ww. wyroby energetyczne do wysokości </w:t>
      </w:r>
      <w:r w:rsidR="00A03A4E" w:rsidRPr="00A720EE">
        <w:rPr>
          <w:rFonts w:ascii="Times New Roman" w:hAnsi="Times New Roman" w:cs="Times New Roman"/>
          <w:sz w:val="24"/>
          <w:szCs w:val="24"/>
        </w:rPr>
        <w:t xml:space="preserve">unijnego </w:t>
      </w:r>
      <w:r w:rsidRPr="00A720EE">
        <w:rPr>
          <w:rFonts w:ascii="Times New Roman" w:hAnsi="Times New Roman" w:cs="Times New Roman"/>
          <w:sz w:val="24"/>
          <w:szCs w:val="24"/>
        </w:rPr>
        <w:t xml:space="preserve">minimum akcyzowego (wliczając opłatę paliwową i opłatę emisyjną) w taki sposób, że pozostaną one do </w:t>
      </w:r>
      <w:r w:rsidR="00A03A4E" w:rsidRPr="00A720EE">
        <w:rPr>
          <w:rFonts w:ascii="Times New Roman" w:hAnsi="Times New Roman" w:cs="Times New Roman"/>
          <w:sz w:val="24"/>
          <w:szCs w:val="24"/>
        </w:rPr>
        <w:t xml:space="preserve">końca </w:t>
      </w:r>
      <w:r w:rsidRPr="00A720EE">
        <w:rPr>
          <w:rFonts w:ascii="Times New Roman" w:hAnsi="Times New Roman" w:cs="Times New Roman"/>
          <w:sz w:val="24"/>
          <w:szCs w:val="24"/>
        </w:rPr>
        <w:t>grudnia 2022 r. na dotychczasowym poziomie.</w:t>
      </w:r>
    </w:p>
    <w:p w14:paraId="21E27312" w14:textId="77777777" w:rsidR="00DF1CF8" w:rsidRPr="00A720EE" w:rsidRDefault="00DF1CF8"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W związku z czasowym charakterem proponowanych regulacji dokonano zmian w przepisach epizodycznych ustawy tj. w artykułach – art. 163d, art. 164a i 164b.</w:t>
      </w:r>
    </w:p>
    <w:p w14:paraId="076534BC" w14:textId="77777777" w:rsidR="00DF1CF8" w:rsidRPr="00A720EE" w:rsidRDefault="00DF1CF8"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lastRenderedPageBreak/>
        <w:t>W art. 163d uregulowano kwestie związane ze zwolnieniem od akcyzy w okresie do dnia 31 grudnia 2022 r. sprzedaży energii elektrycznej odbiorcom tej energii w gospodarstwach domowych.</w:t>
      </w:r>
    </w:p>
    <w:p w14:paraId="50A4D6CE" w14:textId="77777777" w:rsidR="00DF1CF8" w:rsidRPr="00A720EE" w:rsidRDefault="00DF1CF8"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W art. 164a uregulowano kwestię obniżonych stawek akcyzy na niektóre wyroby energetyczne. </w:t>
      </w:r>
    </w:p>
    <w:p w14:paraId="5ED173C0" w14:textId="356501AC" w:rsidR="00DF1CF8" w:rsidRPr="00A720EE" w:rsidRDefault="00DF1CF8"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W art. 164b uregulowano kwestię obniżonych stawek akcyzy na tzw. lekki olej opałowy do poziomu minimum unijnego (w zaokrągleniu do pełnych złotych) dla tego rodzaju paliw opałowych. Obniżona </w:t>
      </w:r>
      <w:r w:rsidR="00A03A4E" w:rsidRPr="00A720EE">
        <w:rPr>
          <w:rFonts w:ascii="Times New Roman" w:hAnsi="Times New Roman" w:cs="Times New Roman"/>
          <w:sz w:val="24"/>
          <w:szCs w:val="24"/>
        </w:rPr>
        <w:t xml:space="preserve">do poziomu 97 zł/1000 l </w:t>
      </w:r>
      <w:r w:rsidRPr="00A720EE">
        <w:rPr>
          <w:rFonts w:ascii="Times New Roman" w:hAnsi="Times New Roman" w:cs="Times New Roman"/>
          <w:sz w:val="24"/>
          <w:szCs w:val="24"/>
        </w:rPr>
        <w:t xml:space="preserve">stawka </w:t>
      </w:r>
      <w:r w:rsidR="00A03A4E" w:rsidRPr="00A720EE">
        <w:rPr>
          <w:rFonts w:ascii="Times New Roman" w:hAnsi="Times New Roman" w:cs="Times New Roman"/>
          <w:sz w:val="24"/>
          <w:szCs w:val="24"/>
        </w:rPr>
        <w:t xml:space="preserve">akcyzy </w:t>
      </w:r>
      <w:r w:rsidRPr="00A720EE">
        <w:rPr>
          <w:rFonts w:ascii="Times New Roman" w:hAnsi="Times New Roman" w:cs="Times New Roman"/>
          <w:sz w:val="24"/>
          <w:szCs w:val="24"/>
        </w:rPr>
        <w:t>będzie obowiązywała do 31 grudnia 2022 r.</w:t>
      </w:r>
    </w:p>
    <w:p w14:paraId="24528191" w14:textId="77777777" w:rsidR="00DF1CF8" w:rsidRPr="00A720EE" w:rsidRDefault="00DF1CF8" w:rsidP="000151A2">
      <w:pPr>
        <w:spacing w:after="120" w:line="276" w:lineRule="auto"/>
        <w:rPr>
          <w:rFonts w:ascii="Times New Roman" w:hAnsi="Times New Roman" w:cs="Times New Roman"/>
          <w:sz w:val="24"/>
          <w:szCs w:val="24"/>
        </w:rPr>
      </w:pPr>
      <w:r w:rsidRPr="00A720EE">
        <w:rPr>
          <w:rFonts w:ascii="Times New Roman" w:hAnsi="Times New Roman" w:cs="Times New Roman"/>
          <w:sz w:val="24"/>
          <w:szCs w:val="24"/>
        </w:rPr>
        <w:t>Szczegółowy zakres proponowanych zmian obejmuje:</w:t>
      </w:r>
    </w:p>
    <w:p w14:paraId="40F27D12" w14:textId="77777777" w:rsidR="00DF1CF8" w:rsidRPr="00A720EE" w:rsidRDefault="00DF1CF8" w:rsidP="000151A2">
      <w:pPr>
        <w:spacing w:after="120" w:line="276" w:lineRule="auto"/>
        <w:jc w:val="both"/>
        <w:rPr>
          <w:rFonts w:ascii="Times New Roman" w:hAnsi="Times New Roman" w:cs="Times New Roman"/>
          <w:b/>
          <w:sz w:val="24"/>
          <w:szCs w:val="24"/>
        </w:rPr>
      </w:pPr>
      <w:r w:rsidRPr="00A720EE">
        <w:rPr>
          <w:rFonts w:ascii="Times New Roman" w:hAnsi="Times New Roman" w:cs="Times New Roman"/>
          <w:b/>
          <w:sz w:val="24"/>
          <w:szCs w:val="24"/>
        </w:rPr>
        <w:t>Stawki akcyzy w okresie od dnia 1 listopada 2022 r. do dnia 31 grudnia 2022 r. wyniosą na:</w:t>
      </w:r>
    </w:p>
    <w:p w14:paraId="31B4FD8C" w14:textId="77777777" w:rsidR="00DF1CF8" w:rsidRPr="00A720EE" w:rsidRDefault="00DF1CF8" w:rsidP="000151A2">
      <w:pPr>
        <w:pStyle w:val="Akapitzlist"/>
        <w:numPr>
          <w:ilvl w:val="0"/>
          <w:numId w:val="56"/>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benzyny silnikowe o kodach CN 2710 12 45 lub 2710 12 49 oraz wyroby powstałe ze zmieszania tych benzyn z biokomponentami, spełniające wymagania jakościowe określone w odrębnych przepisach – 1413,00 zł/1000 litrów;</w:t>
      </w:r>
    </w:p>
    <w:p w14:paraId="076FADD1" w14:textId="77777777" w:rsidR="00DF1CF8" w:rsidRPr="00A720EE" w:rsidRDefault="00DF1CF8" w:rsidP="000151A2">
      <w:pPr>
        <w:pStyle w:val="Akapitzlist"/>
        <w:numPr>
          <w:ilvl w:val="0"/>
          <w:numId w:val="56"/>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oleje napędowe o kodzie CN 2710 19 43 i 2710 20 11 oraz wyroby powstałe ze zmieszania tych olejów z biokomponentami, spełniające wymagania jakościowe określone w odrębnych przepisach – 1104 zł/1000 litrów;</w:t>
      </w:r>
    </w:p>
    <w:p w14:paraId="626BE91D" w14:textId="77777777" w:rsidR="00DF1CF8" w:rsidRPr="00A720EE" w:rsidRDefault="00DF1CF8" w:rsidP="000151A2">
      <w:pPr>
        <w:pStyle w:val="Akapitzlist"/>
        <w:numPr>
          <w:ilvl w:val="0"/>
          <w:numId w:val="56"/>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biokomponenty stanowiące samoistne paliwa, spełniające wymagania jakościowe określone w odrębnych przepisach, przeznaczone do napędu silników spalinowych, bez względu na kod CN – 1104 zł/1000 litrów;</w:t>
      </w:r>
    </w:p>
    <w:p w14:paraId="60DAF498" w14:textId="77777777" w:rsidR="00DF1CF8" w:rsidRPr="00A720EE" w:rsidRDefault="00DF1CF8" w:rsidP="000151A2">
      <w:pPr>
        <w:pStyle w:val="Akapitzlist"/>
        <w:numPr>
          <w:ilvl w:val="0"/>
          <w:numId w:val="56"/>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gazy przeznaczone do napędu silników spalinowych skroplone – 387,00 zł/1000 kilogramów;</w:t>
      </w:r>
    </w:p>
    <w:p w14:paraId="4AE65D1C" w14:textId="208B7B48" w:rsidR="00DF1CF8" w:rsidRPr="00A720EE" w:rsidRDefault="00DF1CF8" w:rsidP="000151A2">
      <w:pPr>
        <w:pStyle w:val="Akapitzlist"/>
        <w:numPr>
          <w:ilvl w:val="0"/>
          <w:numId w:val="56"/>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olej</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napędow</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przeznaczon</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do celów opałowych o kodach CN od 2710 19 43 do 2710 19 48 i od 2710 20 11 do 2710 20 19, zabarwion</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na czerwono i oznaczon</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znacznikiem – 97,00 zł/1000 litrów;</w:t>
      </w:r>
    </w:p>
    <w:p w14:paraId="028ED89D" w14:textId="2BF5D687" w:rsidR="00DF1CF8" w:rsidRPr="00A720EE" w:rsidRDefault="00DF1CF8" w:rsidP="000151A2">
      <w:pPr>
        <w:pStyle w:val="Akapitzlist"/>
        <w:numPr>
          <w:ilvl w:val="0"/>
          <w:numId w:val="56"/>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olej</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opałow</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o kodach CN od 2710 19 51 do 2710 19 68 i od 2710 20 31 do 2710 20 39, z których 30% lub więcej objętościowo destyluje przy 350</w:t>
      </w:r>
      <w:r w:rsidRPr="00A720EE">
        <w:rPr>
          <w:rFonts w:ascii="Times New Roman" w:hAnsi="Times New Roman" w:cs="Times New Roman"/>
          <w:sz w:val="24"/>
          <w:szCs w:val="24"/>
          <w:vertAlign w:val="superscript"/>
        </w:rPr>
        <w:t>o</w:t>
      </w:r>
      <w:r w:rsidRPr="00A720EE">
        <w:rPr>
          <w:rFonts w:ascii="Times New Roman" w:hAnsi="Times New Roman" w:cs="Times New Roman"/>
          <w:sz w:val="24"/>
          <w:szCs w:val="24"/>
        </w:rPr>
        <w:t>C lub których gęstość w temperaturze 15</w:t>
      </w:r>
      <w:r w:rsidRPr="00A720EE">
        <w:rPr>
          <w:rFonts w:ascii="Times New Roman" w:hAnsi="Times New Roman" w:cs="Times New Roman"/>
          <w:sz w:val="24"/>
          <w:szCs w:val="24"/>
          <w:vertAlign w:val="superscript"/>
        </w:rPr>
        <w:t>o</w:t>
      </w:r>
      <w:r w:rsidRPr="00A720EE">
        <w:rPr>
          <w:rFonts w:ascii="Times New Roman" w:hAnsi="Times New Roman" w:cs="Times New Roman"/>
          <w:sz w:val="24"/>
          <w:szCs w:val="24"/>
        </w:rPr>
        <w:t>C jest niższa niż 890 kilogramów/metr sześcienny, zabarwion</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na czerwono i oznaczon</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znacznikiem - 97,00 zł/1000 litrów;</w:t>
      </w:r>
    </w:p>
    <w:p w14:paraId="3D189F8E" w14:textId="0834678F" w:rsidR="00DF1CF8" w:rsidRPr="00A720EE" w:rsidRDefault="00DF1CF8" w:rsidP="000151A2">
      <w:pPr>
        <w:pStyle w:val="Akapitzlist"/>
        <w:numPr>
          <w:ilvl w:val="0"/>
          <w:numId w:val="56"/>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pozostał</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paliw</w:t>
      </w:r>
      <w:r w:rsidR="00A03A4E" w:rsidRPr="00A720EE">
        <w:rPr>
          <w:rFonts w:ascii="Times New Roman" w:hAnsi="Times New Roman" w:cs="Times New Roman"/>
          <w:sz w:val="24"/>
          <w:szCs w:val="24"/>
        </w:rPr>
        <w:t>a</w:t>
      </w:r>
      <w:r w:rsidRPr="00A720EE">
        <w:rPr>
          <w:rFonts w:ascii="Times New Roman" w:hAnsi="Times New Roman" w:cs="Times New Roman"/>
          <w:sz w:val="24"/>
          <w:szCs w:val="24"/>
        </w:rPr>
        <w:t xml:space="preserve"> opałow</w:t>
      </w:r>
      <w:r w:rsidR="00A03A4E" w:rsidRPr="00A720EE">
        <w:rPr>
          <w:rFonts w:ascii="Times New Roman" w:hAnsi="Times New Roman" w:cs="Times New Roman"/>
          <w:sz w:val="24"/>
          <w:szCs w:val="24"/>
        </w:rPr>
        <w:t>e,</w:t>
      </w:r>
      <w:r w:rsidRPr="00A720EE">
        <w:rPr>
          <w:rFonts w:ascii="Times New Roman" w:hAnsi="Times New Roman" w:cs="Times New Roman"/>
          <w:sz w:val="24"/>
          <w:szCs w:val="24"/>
        </w:rPr>
        <w:t xml:space="preserve"> w przypadku gdy ich gęstość w temperaturze 15</w:t>
      </w:r>
      <w:r w:rsidRPr="00A720EE">
        <w:rPr>
          <w:rFonts w:ascii="Times New Roman" w:hAnsi="Times New Roman" w:cs="Times New Roman"/>
          <w:sz w:val="24"/>
          <w:szCs w:val="24"/>
          <w:vertAlign w:val="superscript"/>
        </w:rPr>
        <w:t>o</w:t>
      </w:r>
      <w:r w:rsidRPr="00A720EE">
        <w:rPr>
          <w:rFonts w:ascii="Times New Roman" w:hAnsi="Times New Roman" w:cs="Times New Roman"/>
          <w:sz w:val="24"/>
          <w:szCs w:val="24"/>
        </w:rPr>
        <w:t>C jest niższa niż 890 kilogramów/metr sześcienny – 97,00 zł/1000 litrów.</w:t>
      </w:r>
    </w:p>
    <w:p w14:paraId="74ADDDFB" w14:textId="77777777" w:rsidR="00DF1CF8" w:rsidRPr="00A720EE" w:rsidRDefault="00DF1CF8"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Stawka akcyzy na energię elektryczną w okresie od dnia 1 listopada 2022 r. do dnia 31 grudnia 2022 r. wyniesie – 4,60 zł/MWh.</w:t>
      </w:r>
    </w:p>
    <w:p w14:paraId="04D66AE6" w14:textId="21703E80" w:rsidR="00DF1CF8" w:rsidRPr="00A720EE" w:rsidRDefault="00DF1CF8" w:rsidP="000151A2">
      <w:pPr>
        <w:pStyle w:val="Akapitzlist"/>
        <w:spacing w:after="120" w:line="276" w:lineRule="auto"/>
        <w:ind w:left="0"/>
        <w:contextualSpacing w:val="0"/>
        <w:jc w:val="both"/>
        <w:rPr>
          <w:rFonts w:ascii="Times New Roman" w:hAnsi="Times New Roman" w:cs="Times New Roman"/>
          <w:bCs/>
          <w:color w:val="000000"/>
          <w:sz w:val="24"/>
          <w:szCs w:val="24"/>
        </w:rPr>
      </w:pPr>
      <w:r w:rsidRPr="00A720EE">
        <w:rPr>
          <w:rFonts w:ascii="Times New Roman" w:hAnsi="Times New Roman" w:cs="Times New Roman"/>
          <w:bCs/>
          <w:color w:val="000000"/>
          <w:sz w:val="24"/>
          <w:szCs w:val="24"/>
        </w:rPr>
        <w:t xml:space="preserve">Przedłużenie obniżki akcyzy na przedmiotowe paliwa silnikowe mają doprowadzić do ograniczenia wzrostu cen paliw na stacjach paliw, a zatem również pomóc w walce z inflacją. Należy podkreślić, że wzrost cen surowców energetycznych na rynkach światowych jest główną przyczyną wzrostu inflacji w Polsce i innych krajach unijnych. W związku z tym </w:t>
      </w:r>
      <w:r w:rsidRPr="00A720EE">
        <w:rPr>
          <w:rFonts w:ascii="Times New Roman" w:hAnsi="Times New Roman" w:cs="Times New Roman"/>
          <w:bCs/>
          <w:color w:val="000000"/>
          <w:sz w:val="24"/>
          <w:szCs w:val="24"/>
        </w:rPr>
        <w:lastRenderedPageBreak/>
        <w:t>ograniczenie wzrostu cen paliw powinno się przyczynić do stabilizacji cen także w innych obszarach gospodarki, tym cen żywności.</w:t>
      </w:r>
    </w:p>
    <w:p w14:paraId="2BCBCAF5" w14:textId="6A1A66C6" w:rsidR="00DF1CF8" w:rsidRPr="00A720EE" w:rsidRDefault="00DF1CF8" w:rsidP="000151A2">
      <w:pPr>
        <w:pStyle w:val="Akapitzlist"/>
        <w:spacing w:after="120" w:line="276" w:lineRule="auto"/>
        <w:ind w:left="0"/>
        <w:contextualSpacing w:val="0"/>
        <w:jc w:val="both"/>
        <w:rPr>
          <w:rFonts w:ascii="Times New Roman" w:hAnsi="Times New Roman" w:cs="Times New Roman"/>
          <w:bCs/>
          <w:color w:val="000000"/>
          <w:sz w:val="24"/>
          <w:szCs w:val="24"/>
        </w:rPr>
      </w:pPr>
      <w:r w:rsidRPr="00A720EE">
        <w:rPr>
          <w:rFonts w:ascii="Times New Roman" w:hAnsi="Times New Roman" w:cs="Times New Roman"/>
          <w:bCs/>
          <w:color w:val="000000"/>
          <w:sz w:val="24"/>
          <w:szCs w:val="24"/>
        </w:rPr>
        <w:t>Przedłużenie zwolnienia od akcyzy energii elektrycznej wykorzystywanej przez gospodarstwa domowe pozwoli na zmniejszenie kosztów po stronie tej grupy odbiorców.</w:t>
      </w:r>
    </w:p>
    <w:p w14:paraId="61EEF9F4" w14:textId="347323EA" w:rsidR="00DF1CF8" w:rsidRPr="00A720EE" w:rsidRDefault="00DF1CF8" w:rsidP="000151A2">
      <w:pPr>
        <w:pStyle w:val="Akapitzlist"/>
        <w:spacing w:after="120" w:line="276" w:lineRule="auto"/>
        <w:ind w:left="0"/>
        <w:contextualSpacing w:val="0"/>
        <w:jc w:val="both"/>
        <w:rPr>
          <w:rFonts w:ascii="Times New Roman" w:hAnsi="Times New Roman" w:cs="Times New Roman"/>
          <w:bCs/>
          <w:color w:val="000000"/>
          <w:sz w:val="24"/>
          <w:szCs w:val="24"/>
        </w:rPr>
      </w:pPr>
      <w:r w:rsidRPr="00A720EE">
        <w:rPr>
          <w:rFonts w:ascii="Times New Roman" w:hAnsi="Times New Roman" w:cs="Times New Roman"/>
          <w:bCs/>
          <w:color w:val="000000"/>
          <w:sz w:val="24"/>
          <w:szCs w:val="24"/>
        </w:rPr>
        <w:t>Wprowadzenie ww. zwolnienia od akcyzy dopuszcza prawo unijne. Art. 15 ust. 1 lit. h dyrektywy Rady 2003/96/WE wskazuje, iż bez uszczerbku dla innych przepisów wspólnotowych, państwa członkowskie mogą przyznawać, pod kontrolą fiskalną, całkowite lub częściowe zwolnienia w zakresie poziomu opodatkowania wobec energii elektrycznej wykorzystywanej przez gospodarstwa domowe.</w:t>
      </w:r>
    </w:p>
    <w:p w14:paraId="27F7EF5E" w14:textId="77777777" w:rsidR="00DF1CF8" w:rsidRPr="00A720EE" w:rsidRDefault="00DF1CF8" w:rsidP="000151A2">
      <w:pPr>
        <w:pStyle w:val="Akapitzlist"/>
        <w:spacing w:after="120" w:line="276" w:lineRule="auto"/>
        <w:ind w:left="0"/>
        <w:contextualSpacing w:val="0"/>
        <w:jc w:val="both"/>
        <w:rPr>
          <w:rFonts w:ascii="Times New Roman" w:hAnsi="Times New Roman" w:cs="Times New Roman"/>
          <w:bCs/>
          <w:color w:val="000000"/>
          <w:sz w:val="24"/>
          <w:szCs w:val="24"/>
        </w:rPr>
      </w:pPr>
      <w:r w:rsidRPr="00A720EE">
        <w:rPr>
          <w:rFonts w:ascii="Times New Roman" w:hAnsi="Times New Roman" w:cs="Times New Roman"/>
          <w:bCs/>
          <w:color w:val="000000"/>
          <w:sz w:val="24"/>
          <w:szCs w:val="24"/>
        </w:rPr>
        <w:t xml:space="preserve">Zwolnieniem objęta będzie sprzedaż energii elektrycznej nabywcy końcowemu będącemu odbiorcą energii elektrycznej w gospodarstwie domowym w rozumieniu przepisów ustawy z dnia 10 kwietnia 1997 r. – Prawo energetyczne (Dz. U. z 2021 r. poz. 716, z </w:t>
      </w:r>
      <w:proofErr w:type="spellStart"/>
      <w:r w:rsidRPr="00A720EE">
        <w:rPr>
          <w:rFonts w:ascii="Times New Roman" w:hAnsi="Times New Roman" w:cs="Times New Roman"/>
          <w:bCs/>
          <w:color w:val="000000"/>
          <w:sz w:val="24"/>
          <w:szCs w:val="24"/>
        </w:rPr>
        <w:t>późn</w:t>
      </w:r>
      <w:proofErr w:type="spellEnd"/>
      <w:r w:rsidRPr="00A720EE">
        <w:rPr>
          <w:rFonts w:ascii="Times New Roman" w:hAnsi="Times New Roman" w:cs="Times New Roman"/>
          <w:bCs/>
          <w:color w:val="000000"/>
          <w:sz w:val="24"/>
          <w:szCs w:val="24"/>
        </w:rPr>
        <w:t xml:space="preserve">. zm.). Odbiorcą energii elektrycznych w gospodarstwie domowym, w myśl art. 3 pkt 13b ww. ustawy, jest odbiorca końcowy dokonujący zakupu energii elektrycznej wyłącznie w celu ich zużycia w gospodarstwie domowym. </w:t>
      </w:r>
    </w:p>
    <w:p w14:paraId="6DA6A7F0" w14:textId="77777777" w:rsidR="00DF1CF8" w:rsidRPr="00A720EE" w:rsidRDefault="00DF1CF8" w:rsidP="000151A2">
      <w:pPr>
        <w:pStyle w:val="Akapitzlist"/>
        <w:spacing w:after="120" w:line="276" w:lineRule="auto"/>
        <w:ind w:left="0"/>
        <w:contextualSpacing w:val="0"/>
        <w:jc w:val="both"/>
        <w:rPr>
          <w:rFonts w:ascii="Times New Roman" w:hAnsi="Times New Roman" w:cs="Times New Roman"/>
          <w:bCs/>
          <w:color w:val="000000"/>
          <w:sz w:val="24"/>
          <w:szCs w:val="24"/>
        </w:rPr>
      </w:pPr>
      <w:r w:rsidRPr="00A720EE">
        <w:rPr>
          <w:rFonts w:ascii="Times New Roman" w:hAnsi="Times New Roman" w:cs="Times New Roman"/>
          <w:bCs/>
          <w:color w:val="000000"/>
          <w:sz w:val="24"/>
          <w:szCs w:val="24"/>
        </w:rPr>
        <w:t>Ponieważ ani ustawa o z dnia 6 grudnia 2008 r. podatku akcyzowym, ani ustawa z dnia 10 kwietnia 1997 r. – Prawo energetyczne nie posługuje się legalną definicją gospodarstwa domowego, dla określenia tego pojęcia należy odwołać się do jego znaczenia językowego. Z Małego słownika j. polskiego (Wydawnictwo Naukowe PWN Warszawa 1999, str. 231) wynika, iż gospodarstwo to m.in. posiadłość wiejska obejmująca grunty i zabudowania, natomiast domowy – to w szczególności odnoszący się do domu. Dom to pomieszczenia mieszkalne, miejsce stałego zamieszkania jak i ogół spraw, obowiązków rodzinnych domowych, gospodarstwo domowe.</w:t>
      </w:r>
    </w:p>
    <w:p w14:paraId="2D858445" w14:textId="77777777" w:rsidR="00DF1CF8" w:rsidRPr="00A720EE" w:rsidRDefault="00DF1CF8" w:rsidP="000151A2">
      <w:pPr>
        <w:pStyle w:val="Akapitzlist"/>
        <w:spacing w:after="120" w:line="276" w:lineRule="auto"/>
        <w:ind w:left="0"/>
        <w:contextualSpacing w:val="0"/>
        <w:jc w:val="both"/>
        <w:rPr>
          <w:rFonts w:ascii="Times New Roman" w:hAnsi="Times New Roman" w:cs="Times New Roman"/>
          <w:bCs/>
          <w:color w:val="000000"/>
          <w:sz w:val="24"/>
          <w:szCs w:val="24"/>
        </w:rPr>
      </w:pPr>
      <w:r w:rsidRPr="00A720EE">
        <w:rPr>
          <w:rFonts w:ascii="Times New Roman" w:hAnsi="Times New Roman" w:cs="Times New Roman"/>
          <w:bCs/>
          <w:color w:val="000000"/>
          <w:sz w:val="24"/>
          <w:szCs w:val="24"/>
        </w:rPr>
        <w:t>Gospodarstwo domowe to przede wszystkim zabudowania związane z pomieszczeniami mieszkalnymi (służy jako miejsce stałego zamieszkania, w którym koncentruje się ogół spraw, obowiązków rodzinnych domowych).</w:t>
      </w:r>
    </w:p>
    <w:p w14:paraId="76301C10" w14:textId="77777777" w:rsidR="00DF1CF8" w:rsidRPr="00A720EE" w:rsidRDefault="00DF1CF8" w:rsidP="000151A2">
      <w:pPr>
        <w:pStyle w:val="Akapitzlist"/>
        <w:spacing w:after="120" w:line="276" w:lineRule="auto"/>
        <w:ind w:left="0"/>
        <w:contextualSpacing w:val="0"/>
        <w:jc w:val="both"/>
        <w:rPr>
          <w:rFonts w:ascii="Times New Roman" w:hAnsi="Times New Roman" w:cs="Times New Roman"/>
          <w:bCs/>
          <w:color w:val="000000"/>
          <w:sz w:val="24"/>
          <w:szCs w:val="24"/>
        </w:rPr>
      </w:pPr>
      <w:r w:rsidRPr="00A720EE">
        <w:rPr>
          <w:rFonts w:ascii="Times New Roman" w:hAnsi="Times New Roman" w:cs="Times New Roman"/>
          <w:bCs/>
          <w:color w:val="000000"/>
          <w:sz w:val="24"/>
          <w:szCs w:val="24"/>
        </w:rPr>
        <w:t xml:space="preserve">Definicje te wskazują zatem na główny cel wykorzystywania pomieszczeń, w których jest prowadzone gospodarstwo domowe. Jest nim cel mieszkalny. Ponieważ jednak częstym przypadkiem jest, że osoby tworzące gospodarstwo domowe wykorzystują pomieszczenia, w których mieszkają, także do celów zarobkowych, wprowadzane zwolnienie precyzuje, kiedy wykluczone jest korzystanie ze zwolnienia. Dotyczy to sytuacji, gdy cała nieruchomość jest wykorzystywana na potrzeby prowadzonej działalności gospodarczej. W takiej jednak sytuacji nabywca końcowy energii elektrycznej dla tego lokalu powinien z dostawcą tej energii podpisać umowę na dostawę tej energii jako odbiorca inny niż gospodarstwo domowe. </w:t>
      </w:r>
    </w:p>
    <w:p w14:paraId="2EB17937" w14:textId="77777777" w:rsidR="00DF1CF8" w:rsidRPr="00A720EE" w:rsidRDefault="00DF1CF8" w:rsidP="000151A2">
      <w:pPr>
        <w:spacing w:after="120" w:line="276" w:lineRule="auto"/>
        <w:rPr>
          <w:rFonts w:ascii="Times New Roman" w:hAnsi="Times New Roman" w:cs="Times New Roman"/>
          <w:sz w:val="24"/>
          <w:szCs w:val="24"/>
        </w:rPr>
      </w:pPr>
    </w:p>
    <w:p w14:paraId="07FE3C35" w14:textId="61EB51E5" w:rsidR="00DC738D" w:rsidRPr="00A720EE" w:rsidRDefault="005351E9" w:rsidP="000151A2">
      <w:pPr>
        <w:widowControl w:val="0"/>
        <w:autoSpaceDE w:val="0"/>
        <w:autoSpaceDN w:val="0"/>
        <w:adjustRightInd w:val="0"/>
        <w:spacing w:after="120" w:line="276" w:lineRule="auto"/>
        <w:jc w:val="both"/>
        <w:rPr>
          <w:rFonts w:ascii="Times New Roman" w:eastAsia="Times New Roman" w:hAnsi="Times New Roman" w:cs="Times New Roman"/>
          <w:bCs/>
          <w:sz w:val="24"/>
          <w:szCs w:val="24"/>
          <w:u w:val="single"/>
          <w:lang w:eastAsia="pl-PL"/>
        </w:rPr>
      </w:pPr>
      <w:r w:rsidRPr="00A720EE">
        <w:rPr>
          <w:rFonts w:ascii="Times New Roman" w:eastAsia="Times New Roman" w:hAnsi="Times New Roman" w:cs="Times New Roman"/>
          <w:b/>
          <w:bCs/>
          <w:sz w:val="24"/>
          <w:szCs w:val="24"/>
          <w:u w:val="single"/>
          <w:lang w:eastAsia="pl-PL"/>
        </w:rPr>
        <w:t>Art. 10</w:t>
      </w:r>
      <w:r w:rsidR="00DF1CF8" w:rsidRPr="00A720EE">
        <w:rPr>
          <w:rFonts w:ascii="Times New Roman" w:eastAsia="Times New Roman" w:hAnsi="Times New Roman" w:cs="Times New Roman"/>
          <w:b/>
          <w:bCs/>
          <w:sz w:val="24"/>
          <w:szCs w:val="24"/>
          <w:u w:val="single"/>
          <w:lang w:eastAsia="pl-PL"/>
        </w:rPr>
        <w:t xml:space="preserve"> </w:t>
      </w:r>
      <w:r w:rsidR="006742A7" w:rsidRPr="00A720EE">
        <w:rPr>
          <w:rFonts w:ascii="Times New Roman" w:eastAsia="Times New Roman" w:hAnsi="Times New Roman" w:cs="Times New Roman"/>
          <w:b/>
          <w:bCs/>
          <w:sz w:val="24"/>
          <w:szCs w:val="24"/>
          <w:u w:val="single"/>
          <w:lang w:eastAsia="pl-PL"/>
        </w:rPr>
        <w:t xml:space="preserve">projektu </w:t>
      </w:r>
      <w:r w:rsidR="00DF1CF8" w:rsidRPr="00A720EE">
        <w:rPr>
          <w:rFonts w:ascii="Times New Roman" w:eastAsia="Times New Roman" w:hAnsi="Times New Roman" w:cs="Times New Roman"/>
          <w:b/>
          <w:bCs/>
          <w:sz w:val="24"/>
          <w:szCs w:val="24"/>
          <w:u w:val="single"/>
          <w:lang w:eastAsia="pl-PL"/>
        </w:rPr>
        <w:t xml:space="preserve">ustawy </w:t>
      </w:r>
      <w:r w:rsidR="00DF1CF8" w:rsidRPr="00A720EE">
        <w:rPr>
          <w:rFonts w:ascii="Times New Roman" w:eastAsia="Times New Roman" w:hAnsi="Times New Roman" w:cs="Times New Roman"/>
          <w:bCs/>
          <w:sz w:val="24"/>
          <w:szCs w:val="24"/>
          <w:lang w:eastAsia="pl-PL"/>
        </w:rPr>
        <w:t xml:space="preserve">– </w:t>
      </w:r>
      <w:r w:rsidR="00EF3C83" w:rsidRPr="00A720EE">
        <w:rPr>
          <w:rFonts w:ascii="Times New Roman" w:eastAsia="Times New Roman" w:hAnsi="Times New Roman" w:cs="Times New Roman"/>
          <w:bCs/>
          <w:sz w:val="24"/>
          <w:szCs w:val="24"/>
          <w:lang w:eastAsia="pl-PL"/>
        </w:rPr>
        <w:t xml:space="preserve">dotyczy </w:t>
      </w:r>
      <w:r w:rsidR="00DF1CF8" w:rsidRPr="00A720EE">
        <w:rPr>
          <w:rFonts w:ascii="Times New Roman" w:eastAsia="Times New Roman" w:hAnsi="Times New Roman" w:cs="Times New Roman"/>
          <w:bCs/>
          <w:sz w:val="24"/>
          <w:szCs w:val="24"/>
          <w:lang w:eastAsia="pl-PL"/>
        </w:rPr>
        <w:t>zmian w ustawie o podatku od sprzedaży detalicznej</w:t>
      </w:r>
    </w:p>
    <w:p w14:paraId="3F588290" w14:textId="77777777" w:rsidR="00DF1CF8" w:rsidRPr="00A720EE" w:rsidRDefault="00DF1CF8"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 xml:space="preserve">W celu powstrzymania wzrostu cen paliw, w ramach zmian w ustawie o podatku od sprzedaży detalicznej proponuje się przedłużenie do dnia 31 grudnia 2022 r. wyłączenia z podatku od sprzedaży detalicznej następujących paliw: </w:t>
      </w:r>
    </w:p>
    <w:p w14:paraId="4195A8D3" w14:textId="77777777" w:rsidR="00DF1CF8" w:rsidRPr="00A720EE" w:rsidRDefault="00DF1CF8" w:rsidP="000151A2">
      <w:pPr>
        <w:pStyle w:val="Akapitzlist"/>
        <w:numPr>
          <w:ilvl w:val="0"/>
          <w:numId w:val="58"/>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lastRenderedPageBreak/>
        <w:t>benzyn silnikowych, o których mowa w art. 89 ust. 1 pkt 2 ustawy akcyzowej;</w:t>
      </w:r>
    </w:p>
    <w:p w14:paraId="257A90AE" w14:textId="77777777" w:rsidR="00DF1CF8" w:rsidRPr="00A720EE" w:rsidRDefault="00DF1CF8" w:rsidP="000151A2">
      <w:pPr>
        <w:pStyle w:val="Akapitzlist"/>
        <w:numPr>
          <w:ilvl w:val="0"/>
          <w:numId w:val="58"/>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olejów napędowych, o których mowa w art. 89 ust. 1 pkt 6 ustawy akcyzowej;</w:t>
      </w:r>
    </w:p>
    <w:p w14:paraId="6A0D1782" w14:textId="77777777" w:rsidR="00DF1CF8" w:rsidRPr="00A720EE" w:rsidRDefault="00DF1CF8" w:rsidP="000151A2">
      <w:pPr>
        <w:pStyle w:val="Akapitzlist"/>
        <w:numPr>
          <w:ilvl w:val="0"/>
          <w:numId w:val="58"/>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biokomponentów stanowiących samoistne paliwa, o których mowa w art. 89 ust. 1 pkt 8 ustawy akcyzowej;</w:t>
      </w:r>
    </w:p>
    <w:p w14:paraId="5E31D9DB" w14:textId="1BB1A0F3" w:rsidR="00DF1CF8" w:rsidRPr="00A720EE" w:rsidRDefault="00DF1CF8" w:rsidP="000151A2">
      <w:pPr>
        <w:pStyle w:val="Akapitzlist"/>
        <w:numPr>
          <w:ilvl w:val="0"/>
          <w:numId w:val="58"/>
        </w:numPr>
        <w:spacing w:after="120" w:line="276" w:lineRule="auto"/>
        <w:contextualSpacing w:val="0"/>
        <w:jc w:val="both"/>
        <w:rPr>
          <w:rFonts w:ascii="Times New Roman" w:hAnsi="Times New Roman" w:cs="Times New Roman"/>
          <w:sz w:val="24"/>
          <w:szCs w:val="24"/>
        </w:rPr>
      </w:pPr>
      <w:r w:rsidRPr="00A720EE">
        <w:rPr>
          <w:rFonts w:ascii="Times New Roman" w:hAnsi="Times New Roman" w:cs="Times New Roman"/>
          <w:sz w:val="24"/>
          <w:szCs w:val="24"/>
        </w:rPr>
        <w:t>gazów przeznaczonych do napędu silników spalinowych, o których mowa w art. 89 ust. 1 pkt 12 lit. a–b ustawy akcyzowej.</w:t>
      </w:r>
    </w:p>
    <w:p w14:paraId="700DE571" w14:textId="77777777" w:rsidR="006742A7" w:rsidRPr="00A720EE" w:rsidRDefault="006742A7" w:rsidP="000151A2">
      <w:pPr>
        <w:spacing w:after="120" w:line="276" w:lineRule="auto"/>
        <w:jc w:val="both"/>
        <w:rPr>
          <w:rFonts w:ascii="Times New Roman" w:hAnsi="Times New Roman" w:cs="Times New Roman"/>
          <w:b/>
          <w:bCs/>
          <w:sz w:val="24"/>
          <w:szCs w:val="24"/>
          <w:u w:val="single"/>
        </w:rPr>
      </w:pPr>
    </w:p>
    <w:p w14:paraId="602815E9" w14:textId="2CFD9A92" w:rsidR="006742A7" w:rsidRPr="00A720EE" w:rsidRDefault="006742A7"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
          <w:bCs/>
          <w:sz w:val="24"/>
          <w:szCs w:val="24"/>
          <w:u w:val="single"/>
        </w:rPr>
        <w:t xml:space="preserve">Art. 11 projektu ustawy </w:t>
      </w:r>
      <w:r w:rsidRPr="00A720EE">
        <w:rPr>
          <w:rFonts w:ascii="Times New Roman" w:hAnsi="Times New Roman" w:cs="Times New Roman"/>
          <w:bCs/>
          <w:sz w:val="24"/>
          <w:szCs w:val="24"/>
        </w:rPr>
        <w:t xml:space="preserve">– </w:t>
      </w:r>
      <w:r w:rsidR="00EF3C83" w:rsidRPr="00A720EE">
        <w:rPr>
          <w:rFonts w:ascii="Times New Roman" w:hAnsi="Times New Roman" w:cs="Times New Roman"/>
          <w:bCs/>
          <w:sz w:val="24"/>
          <w:szCs w:val="24"/>
        </w:rPr>
        <w:t>dotyczy zmian</w:t>
      </w:r>
      <w:r w:rsidRPr="00A720EE">
        <w:rPr>
          <w:rFonts w:ascii="Times New Roman" w:hAnsi="Times New Roman" w:cs="Times New Roman"/>
          <w:bCs/>
          <w:sz w:val="24"/>
          <w:szCs w:val="24"/>
        </w:rPr>
        <w:t xml:space="preserve"> w ustawie o przeciwdziałaniu praniu pieniędzy oraz finansowaniu terroryzmu</w:t>
      </w:r>
    </w:p>
    <w:p w14:paraId="7CDD8134" w14:textId="29EC02BC" w:rsidR="00C8603C" w:rsidRPr="00A720EE" w:rsidRDefault="00C8603C" w:rsidP="000151A2">
      <w:pPr>
        <w:widowControl w:val="0"/>
        <w:autoSpaceDE w:val="0"/>
        <w:autoSpaceDN w:val="0"/>
        <w:adjustRightInd w:val="0"/>
        <w:spacing w:after="120" w:line="276" w:lineRule="auto"/>
        <w:jc w:val="both"/>
        <w:rPr>
          <w:rFonts w:ascii="Times New Roman" w:eastAsia="Times New Roman" w:hAnsi="Times New Roman" w:cs="Times New Roman"/>
          <w:b/>
          <w:bCs/>
          <w:sz w:val="24"/>
          <w:szCs w:val="24"/>
          <w:u w:val="single"/>
          <w:lang w:eastAsia="pl-PL"/>
        </w:rPr>
      </w:pPr>
      <w:r w:rsidRPr="00A720EE">
        <w:rPr>
          <w:rFonts w:ascii="Times New Roman" w:hAnsi="Times New Roman" w:cs="Times New Roman"/>
          <w:bCs/>
          <w:sz w:val="24"/>
          <w:szCs w:val="24"/>
        </w:rPr>
        <w:t>Zmiana projektowana w art. 11 zmieniającym art. 72 ust. 6 ustawy o przeciwdziałaniu praniu pieniędzy oraz finansowaniu terroryzmu polega na dodaniu punktu 7a, który rozszerza enumeratywnie wymieniony katalog informacji przekazywanych przez instytucje obowiązane Generalnemu Inspektorowi Informacji Finansowej, z tym że dotyczy ona wyłącznie notariuszy. Nową informacją przekazywaną przez notariuszy będzie przedmiot transakcji. Dodatkowo, w przypadku gdy przedmiotem transakcji będzie nieruchomość, notariusz będzie obowiązany przekazać adres jej położenia.</w:t>
      </w:r>
      <w:r w:rsidR="0098797B" w:rsidRPr="00A720EE">
        <w:rPr>
          <w:rFonts w:ascii="Times New Roman" w:hAnsi="Times New Roman" w:cs="Times New Roman"/>
          <w:bCs/>
          <w:sz w:val="24"/>
          <w:szCs w:val="24"/>
        </w:rPr>
        <w:t xml:space="preserve"> Zmiana ta jest konsekwencją dodania nowo projektowanego art. 84a w Ordynacji podatkowej.</w:t>
      </w:r>
    </w:p>
    <w:p w14:paraId="58B2A7DE" w14:textId="77777777" w:rsidR="00AF45F4" w:rsidRPr="00A720EE" w:rsidRDefault="00AF45F4" w:rsidP="000151A2">
      <w:pPr>
        <w:widowControl w:val="0"/>
        <w:autoSpaceDE w:val="0"/>
        <w:autoSpaceDN w:val="0"/>
        <w:adjustRightInd w:val="0"/>
        <w:spacing w:after="120" w:line="276" w:lineRule="auto"/>
        <w:jc w:val="both"/>
        <w:rPr>
          <w:rFonts w:ascii="Times New Roman" w:hAnsi="Times New Roman" w:cs="Times New Roman"/>
          <w:bCs/>
          <w:sz w:val="24"/>
          <w:szCs w:val="24"/>
        </w:rPr>
      </w:pPr>
    </w:p>
    <w:p w14:paraId="46E05376" w14:textId="0A40C225" w:rsidR="00595886" w:rsidRPr="00A720EE" w:rsidRDefault="00595886" w:rsidP="000151A2">
      <w:pPr>
        <w:widowControl w:val="0"/>
        <w:autoSpaceDE w:val="0"/>
        <w:autoSpaceDN w:val="0"/>
        <w:adjustRightInd w:val="0"/>
        <w:spacing w:after="120" w:line="276" w:lineRule="auto"/>
        <w:jc w:val="both"/>
        <w:rPr>
          <w:rFonts w:ascii="Times New Roman" w:eastAsia="Times New Roman" w:hAnsi="Times New Roman" w:cs="Times New Roman"/>
          <w:b/>
          <w:bCs/>
          <w:sz w:val="24"/>
          <w:szCs w:val="24"/>
          <w:u w:val="single"/>
          <w:lang w:eastAsia="pl-PL"/>
        </w:rPr>
      </w:pPr>
      <w:r w:rsidRPr="00A720EE">
        <w:rPr>
          <w:rFonts w:ascii="Times New Roman" w:eastAsia="Times New Roman" w:hAnsi="Times New Roman" w:cs="Times New Roman"/>
          <w:b/>
          <w:bCs/>
          <w:sz w:val="24"/>
          <w:szCs w:val="24"/>
          <w:u w:val="single"/>
          <w:lang w:eastAsia="pl-PL"/>
        </w:rPr>
        <w:t xml:space="preserve">Art. </w:t>
      </w:r>
      <w:r w:rsidR="006742A7" w:rsidRPr="00A720EE">
        <w:rPr>
          <w:rFonts w:ascii="Times New Roman" w:eastAsia="Times New Roman" w:hAnsi="Times New Roman" w:cs="Times New Roman"/>
          <w:b/>
          <w:bCs/>
          <w:sz w:val="24"/>
          <w:szCs w:val="24"/>
          <w:u w:val="single"/>
          <w:lang w:eastAsia="pl-PL"/>
        </w:rPr>
        <w:t>12</w:t>
      </w:r>
      <w:r w:rsidR="00910DC5" w:rsidRPr="00A720EE">
        <w:rPr>
          <w:rFonts w:ascii="Times New Roman" w:eastAsia="Times New Roman" w:hAnsi="Times New Roman" w:cs="Times New Roman"/>
          <w:b/>
          <w:bCs/>
          <w:sz w:val="24"/>
          <w:szCs w:val="24"/>
          <w:u w:val="single"/>
          <w:lang w:eastAsia="pl-PL"/>
        </w:rPr>
        <w:t xml:space="preserve"> </w:t>
      </w:r>
      <w:r w:rsidRPr="00A720EE">
        <w:rPr>
          <w:rFonts w:ascii="Times New Roman" w:eastAsia="Times New Roman" w:hAnsi="Times New Roman" w:cs="Times New Roman"/>
          <w:b/>
          <w:bCs/>
          <w:sz w:val="24"/>
          <w:szCs w:val="24"/>
          <w:u w:val="single"/>
          <w:lang w:eastAsia="pl-PL"/>
        </w:rPr>
        <w:t xml:space="preserve">projektu ustawy </w:t>
      </w:r>
      <w:r w:rsidR="000B1556" w:rsidRPr="00A720EE">
        <w:rPr>
          <w:rFonts w:ascii="Times New Roman" w:eastAsia="Times New Roman" w:hAnsi="Times New Roman" w:cs="Times New Roman"/>
          <w:bCs/>
          <w:sz w:val="24"/>
          <w:szCs w:val="24"/>
          <w:lang w:eastAsia="pl-PL"/>
        </w:rPr>
        <w:t>– dotyczy zmian w ustawie z 29 października 2021 r.</w:t>
      </w:r>
    </w:p>
    <w:p w14:paraId="26EEAC43" w14:textId="7164AE46" w:rsidR="00D910DD" w:rsidRPr="00A720EE" w:rsidRDefault="00D910DD"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
          <w:bCs/>
          <w:sz w:val="24"/>
          <w:szCs w:val="24"/>
          <w:lang w:eastAsia="pl-PL"/>
        </w:rPr>
        <w:t xml:space="preserve">Art. </w:t>
      </w:r>
      <w:r w:rsidR="006742A7" w:rsidRPr="00A720EE">
        <w:rPr>
          <w:rFonts w:ascii="Times New Roman" w:eastAsia="Times New Roman" w:hAnsi="Times New Roman" w:cs="Times New Roman"/>
          <w:b/>
          <w:bCs/>
          <w:sz w:val="24"/>
          <w:szCs w:val="24"/>
          <w:lang w:eastAsia="pl-PL"/>
        </w:rPr>
        <w:t>12</w:t>
      </w:r>
      <w:r w:rsidR="00910DC5" w:rsidRPr="00A720EE">
        <w:rPr>
          <w:rFonts w:ascii="Times New Roman" w:eastAsia="Times New Roman" w:hAnsi="Times New Roman" w:cs="Times New Roman"/>
          <w:b/>
          <w:bCs/>
          <w:sz w:val="24"/>
          <w:szCs w:val="24"/>
          <w:lang w:eastAsia="pl-PL"/>
        </w:rPr>
        <w:t xml:space="preserve"> </w:t>
      </w:r>
      <w:r w:rsidRPr="00A720EE">
        <w:rPr>
          <w:rFonts w:ascii="Times New Roman" w:eastAsia="Times New Roman" w:hAnsi="Times New Roman" w:cs="Times New Roman"/>
          <w:b/>
          <w:bCs/>
          <w:sz w:val="24"/>
          <w:szCs w:val="24"/>
          <w:lang w:eastAsia="pl-PL"/>
        </w:rPr>
        <w:t>pkt 1</w:t>
      </w:r>
      <w:r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
          <w:bCs/>
          <w:sz w:val="24"/>
          <w:szCs w:val="24"/>
          <w:lang w:eastAsia="pl-PL"/>
        </w:rPr>
        <w:t xml:space="preserve">– dotyczy </w:t>
      </w:r>
      <w:r w:rsidR="00F201C4" w:rsidRPr="00A720EE">
        <w:rPr>
          <w:rFonts w:ascii="Times New Roman" w:eastAsia="Times New Roman" w:hAnsi="Times New Roman" w:cs="Times New Roman"/>
          <w:b/>
          <w:bCs/>
          <w:sz w:val="24"/>
          <w:szCs w:val="24"/>
          <w:lang w:eastAsia="pl-PL"/>
        </w:rPr>
        <w:t xml:space="preserve">uchylenia </w:t>
      </w:r>
      <w:r w:rsidRPr="00A720EE">
        <w:rPr>
          <w:rFonts w:ascii="Times New Roman" w:eastAsia="Times New Roman" w:hAnsi="Times New Roman" w:cs="Times New Roman"/>
          <w:b/>
          <w:bCs/>
          <w:sz w:val="24"/>
          <w:szCs w:val="24"/>
          <w:lang w:eastAsia="pl-PL"/>
        </w:rPr>
        <w:t>art. 2 pkt 31</w:t>
      </w:r>
      <w:r w:rsidR="008B3B56" w:rsidRPr="00A720EE">
        <w:rPr>
          <w:rFonts w:ascii="Times New Roman" w:eastAsia="Times New Roman" w:hAnsi="Times New Roman" w:cs="Times New Roman"/>
          <w:b/>
          <w:bCs/>
          <w:sz w:val="24"/>
          <w:szCs w:val="24"/>
          <w:lang w:eastAsia="pl-PL"/>
        </w:rPr>
        <w:t xml:space="preserve"> lit. a </w:t>
      </w:r>
      <w:proofErr w:type="spellStart"/>
      <w:r w:rsidR="008B3B56" w:rsidRPr="00A720EE">
        <w:rPr>
          <w:rFonts w:ascii="Times New Roman" w:eastAsia="Times New Roman" w:hAnsi="Times New Roman" w:cs="Times New Roman"/>
          <w:b/>
          <w:bCs/>
          <w:sz w:val="24"/>
          <w:szCs w:val="24"/>
          <w:lang w:eastAsia="pl-PL"/>
        </w:rPr>
        <w:t>tiret</w:t>
      </w:r>
      <w:proofErr w:type="spellEnd"/>
      <w:r w:rsidR="008B3B56" w:rsidRPr="00A720EE">
        <w:rPr>
          <w:rFonts w:ascii="Times New Roman" w:eastAsia="Times New Roman" w:hAnsi="Times New Roman" w:cs="Times New Roman"/>
          <w:b/>
          <w:bCs/>
          <w:sz w:val="24"/>
          <w:szCs w:val="24"/>
          <w:lang w:eastAsia="pl-PL"/>
        </w:rPr>
        <w:t xml:space="preserve"> trzecie i</w:t>
      </w:r>
      <w:r w:rsidRPr="00A720EE">
        <w:rPr>
          <w:rFonts w:ascii="Times New Roman" w:eastAsia="Times New Roman" w:hAnsi="Times New Roman" w:cs="Times New Roman"/>
          <w:b/>
          <w:bCs/>
          <w:sz w:val="24"/>
          <w:szCs w:val="24"/>
          <w:lang w:eastAsia="pl-PL"/>
        </w:rPr>
        <w:t xml:space="preserve"> lit. b</w:t>
      </w:r>
      <w:r w:rsidR="008B3B56" w:rsidRPr="00A720EE">
        <w:rPr>
          <w:rFonts w:ascii="Times New Roman" w:eastAsia="Times New Roman" w:hAnsi="Times New Roman" w:cs="Times New Roman"/>
          <w:b/>
          <w:bCs/>
          <w:sz w:val="24"/>
          <w:szCs w:val="24"/>
          <w:lang w:eastAsia="pl-PL"/>
        </w:rPr>
        <w:t xml:space="preserve"> (przepisy o ukrytej dywidendzie)</w:t>
      </w:r>
      <w:r w:rsidR="000B1556" w:rsidRPr="00A720EE">
        <w:rPr>
          <w:rFonts w:ascii="Times New Roman" w:eastAsia="Times New Roman" w:hAnsi="Times New Roman" w:cs="Times New Roman"/>
          <w:b/>
          <w:bCs/>
          <w:sz w:val="24"/>
          <w:szCs w:val="24"/>
          <w:lang w:eastAsia="pl-PL"/>
        </w:rPr>
        <w:t xml:space="preserve"> </w:t>
      </w:r>
    </w:p>
    <w:p w14:paraId="2D534A60" w14:textId="77777777" w:rsidR="00862690" w:rsidRPr="00A720EE" w:rsidRDefault="00F201C4" w:rsidP="000151A2">
      <w:pPr>
        <w:widowControl w:val="0"/>
        <w:autoSpaceDE w:val="0"/>
        <w:autoSpaceDN w:val="0"/>
        <w:adjustRightInd w:val="0"/>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 xml:space="preserve">Z uwagi na liczne wątpliwości interpretacyjne, w tym dotyczące hierarchii różnych norm anty-abuzywnych, oraz niepewną sytuację gospodarczą wynikającą z wojny na Ukrainie, uchyla się </w:t>
      </w:r>
      <w:r w:rsidRPr="00A720EE">
        <w:rPr>
          <w:rFonts w:ascii="Times New Roman" w:eastAsiaTheme="minorEastAsia" w:hAnsi="Times New Roman" w:cs="Times New Roman"/>
          <w:sz w:val="24"/>
          <w:szCs w:val="24"/>
          <w:lang w:eastAsia="pl-PL"/>
        </w:rPr>
        <w:t xml:space="preserve">art. 2 pkt 31 lit. a </w:t>
      </w:r>
      <w:proofErr w:type="spellStart"/>
      <w:r w:rsidRPr="00A720EE">
        <w:rPr>
          <w:rFonts w:ascii="Times New Roman" w:eastAsiaTheme="minorEastAsia" w:hAnsi="Times New Roman" w:cs="Times New Roman"/>
          <w:sz w:val="24"/>
          <w:szCs w:val="24"/>
          <w:lang w:eastAsia="pl-PL"/>
        </w:rPr>
        <w:t>tiret</w:t>
      </w:r>
      <w:proofErr w:type="spellEnd"/>
      <w:r w:rsidRPr="00A720EE">
        <w:rPr>
          <w:rFonts w:ascii="Times New Roman" w:eastAsiaTheme="minorEastAsia" w:hAnsi="Times New Roman" w:cs="Times New Roman"/>
          <w:sz w:val="24"/>
          <w:szCs w:val="24"/>
          <w:lang w:eastAsia="pl-PL"/>
        </w:rPr>
        <w:t xml:space="preserve"> trzecie i lit. b ustawy </w:t>
      </w:r>
      <w:r w:rsidR="00A34465" w:rsidRPr="00A720EE">
        <w:rPr>
          <w:rFonts w:ascii="Times New Roman" w:eastAsiaTheme="minorEastAsia" w:hAnsi="Times New Roman" w:cs="Times New Roman"/>
          <w:sz w:val="24"/>
          <w:szCs w:val="24"/>
          <w:lang w:eastAsia="pl-PL"/>
        </w:rPr>
        <w:t>z 29 października 2021 r.</w:t>
      </w:r>
    </w:p>
    <w:p w14:paraId="6F591C04" w14:textId="3E7EB368" w:rsidR="00B60E26" w:rsidRPr="00A720EE" w:rsidRDefault="00D910DD" w:rsidP="000151A2">
      <w:pPr>
        <w:spacing w:after="120" w:line="276" w:lineRule="auto"/>
        <w:jc w:val="both"/>
        <w:rPr>
          <w:rFonts w:ascii="Times New Roman" w:eastAsia="Times New Roman" w:hAnsi="Times New Roman" w:cs="Times New Roman"/>
          <w:b/>
          <w:bCs/>
          <w:sz w:val="24"/>
          <w:szCs w:val="24"/>
          <w:lang w:eastAsia="pl-PL"/>
        </w:rPr>
      </w:pPr>
      <w:r w:rsidRPr="00A720EE">
        <w:rPr>
          <w:rFonts w:ascii="Times New Roman" w:eastAsia="Times New Roman" w:hAnsi="Times New Roman" w:cs="Times New Roman"/>
          <w:b/>
          <w:bCs/>
          <w:sz w:val="24"/>
          <w:szCs w:val="24"/>
          <w:lang w:eastAsia="pl-PL"/>
        </w:rPr>
        <w:t>A</w:t>
      </w:r>
      <w:r w:rsidR="007967E1" w:rsidRPr="00A720EE">
        <w:rPr>
          <w:rFonts w:ascii="Times New Roman" w:eastAsia="Times New Roman" w:hAnsi="Times New Roman" w:cs="Times New Roman"/>
          <w:b/>
          <w:bCs/>
          <w:sz w:val="24"/>
          <w:szCs w:val="24"/>
          <w:lang w:eastAsia="pl-PL"/>
        </w:rPr>
        <w:t xml:space="preserve">rt. </w:t>
      </w:r>
      <w:r w:rsidR="006742A7" w:rsidRPr="00A720EE">
        <w:rPr>
          <w:rFonts w:ascii="Times New Roman" w:eastAsia="Times New Roman" w:hAnsi="Times New Roman" w:cs="Times New Roman"/>
          <w:b/>
          <w:bCs/>
          <w:sz w:val="24"/>
          <w:szCs w:val="24"/>
          <w:lang w:eastAsia="pl-PL"/>
        </w:rPr>
        <w:t>12</w:t>
      </w:r>
      <w:r w:rsidR="00910DC5" w:rsidRPr="00A720EE">
        <w:rPr>
          <w:rFonts w:ascii="Times New Roman" w:eastAsia="Times New Roman" w:hAnsi="Times New Roman" w:cs="Times New Roman"/>
          <w:b/>
          <w:bCs/>
          <w:sz w:val="24"/>
          <w:szCs w:val="24"/>
          <w:lang w:eastAsia="pl-PL"/>
        </w:rPr>
        <w:t xml:space="preserve"> </w:t>
      </w:r>
      <w:r w:rsidR="007967E1" w:rsidRPr="00A720EE">
        <w:rPr>
          <w:rFonts w:ascii="Times New Roman" w:eastAsia="Times New Roman" w:hAnsi="Times New Roman" w:cs="Times New Roman"/>
          <w:b/>
          <w:bCs/>
          <w:sz w:val="24"/>
          <w:szCs w:val="24"/>
          <w:lang w:eastAsia="pl-PL"/>
        </w:rPr>
        <w:t>pkt 2</w:t>
      </w:r>
      <w:r w:rsidR="00B60E26" w:rsidRPr="00A720EE">
        <w:rPr>
          <w:rFonts w:ascii="Times New Roman" w:eastAsia="Times New Roman" w:hAnsi="Times New Roman" w:cs="Times New Roman"/>
          <w:b/>
          <w:bCs/>
          <w:sz w:val="24"/>
          <w:szCs w:val="24"/>
          <w:lang w:eastAsia="pl-PL"/>
        </w:rPr>
        <w:t xml:space="preserve"> – dotyczy art. 66</w:t>
      </w:r>
      <w:r w:rsidR="007967E1" w:rsidRPr="00A720EE">
        <w:rPr>
          <w:rFonts w:ascii="Times New Roman" w:eastAsia="Times New Roman" w:hAnsi="Times New Roman" w:cs="Times New Roman"/>
          <w:b/>
          <w:bCs/>
          <w:sz w:val="24"/>
          <w:szCs w:val="24"/>
          <w:lang w:eastAsia="pl-PL"/>
        </w:rPr>
        <w:t xml:space="preserve"> </w:t>
      </w:r>
      <w:r w:rsidR="00A81303" w:rsidRPr="00A720EE">
        <w:rPr>
          <w:rFonts w:ascii="Times New Roman" w:eastAsia="Times New Roman" w:hAnsi="Times New Roman" w:cs="Times New Roman"/>
          <w:b/>
          <w:bCs/>
          <w:sz w:val="24"/>
          <w:szCs w:val="24"/>
          <w:lang w:eastAsia="pl-PL"/>
        </w:rPr>
        <w:t>ust. 3</w:t>
      </w:r>
    </w:p>
    <w:p w14:paraId="4894A8CF" w14:textId="77777777" w:rsidR="00B60E26" w:rsidRPr="00A720EE" w:rsidRDefault="00B60E26"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 xml:space="preserve">Zmiana polega </w:t>
      </w:r>
      <w:r w:rsidR="00B51AE6" w:rsidRPr="00A720EE">
        <w:rPr>
          <w:rFonts w:ascii="Times New Roman" w:eastAsia="Times New Roman" w:hAnsi="Times New Roman" w:cs="Times New Roman"/>
          <w:bCs/>
          <w:sz w:val="24"/>
          <w:szCs w:val="24"/>
          <w:lang w:eastAsia="pl-PL"/>
        </w:rPr>
        <w:t xml:space="preserve">na </w:t>
      </w:r>
      <w:r w:rsidRPr="00A720EE">
        <w:rPr>
          <w:rFonts w:ascii="Times New Roman" w:eastAsia="Times New Roman" w:hAnsi="Times New Roman" w:cs="Times New Roman"/>
          <w:bCs/>
          <w:sz w:val="24"/>
          <w:szCs w:val="24"/>
          <w:lang w:eastAsia="pl-PL"/>
        </w:rPr>
        <w:t xml:space="preserve">dodaniu ust. 3, na podstawie którego podatnicy CIT, którzy po raz pierwszy będą zobowiązani za 2024 r. przesyłać JPK/CIT, których rok podatkowy zakończy się w 2024 r., będą mieli dłuższy termin do wykonania tego obowiązku – do końca marca 2025 r. </w:t>
      </w:r>
    </w:p>
    <w:p w14:paraId="0A1CE1A6" w14:textId="56F8F365" w:rsidR="00B60E26" w:rsidRPr="00A720EE" w:rsidRDefault="00B60E26"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Obecnie tacy podatnicy mieliby obowiązek przeslania JPK/CIT w terminie złożenia zeznania</w:t>
      </w:r>
      <w:r w:rsidR="00B96953" w:rsidRPr="00A720EE">
        <w:rPr>
          <w:rFonts w:ascii="Times New Roman" w:eastAsia="Times New Roman" w:hAnsi="Times New Roman" w:cs="Times New Roman"/>
          <w:bCs/>
          <w:sz w:val="24"/>
          <w:szCs w:val="24"/>
          <w:lang w:eastAsia="pl-PL"/>
        </w:rPr>
        <w:t xml:space="preserve"> podatkowego</w:t>
      </w:r>
      <w:r w:rsidRPr="00A720EE">
        <w:rPr>
          <w:rFonts w:ascii="Times New Roman" w:eastAsia="Times New Roman" w:hAnsi="Times New Roman" w:cs="Times New Roman"/>
          <w:bCs/>
          <w:sz w:val="24"/>
          <w:szCs w:val="24"/>
          <w:lang w:eastAsia="pl-PL"/>
        </w:rPr>
        <w:t xml:space="preserve">, a więc </w:t>
      </w:r>
      <w:r w:rsidR="001120FE" w:rsidRPr="00A720EE">
        <w:rPr>
          <w:rFonts w:ascii="Times New Roman" w:eastAsia="Times New Roman" w:hAnsi="Times New Roman" w:cs="Times New Roman"/>
          <w:bCs/>
          <w:sz w:val="24"/>
          <w:szCs w:val="24"/>
          <w:lang w:eastAsia="pl-PL"/>
        </w:rPr>
        <w:t>w terminie 3 miesięcy od zakończenia roku podatkowego. W celu lepszego przygotowania się do realizacji nowych obowiązków proponuje się wydłużenie tego terminu – dla podatników którzy w 2024 r. wcześniej zakończą rok podatkowy, do końca marca 2025 r.</w:t>
      </w:r>
    </w:p>
    <w:p w14:paraId="1109459F" w14:textId="279E5D28" w:rsidR="00D910DD" w:rsidRPr="00A720EE" w:rsidRDefault="00B60E26" w:rsidP="000151A2">
      <w:pPr>
        <w:spacing w:after="120" w:line="276" w:lineRule="auto"/>
        <w:jc w:val="both"/>
        <w:rPr>
          <w:rFonts w:ascii="Times New Roman" w:eastAsia="Times New Roman" w:hAnsi="Times New Roman" w:cs="Times New Roman"/>
          <w:b/>
          <w:bCs/>
          <w:sz w:val="24"/>
          <w:szCs w:val="24"/>
          <w:lang w:eastAsia="pl-PL"/>
        </w:rPr>
      </w:pPr>
      <w:r w:rsidRPr="00A720EE">
        <w:rPr>
          <w:rFonts w:ascii="Times New Roman" w:eastAsia="Times New Roman" w:hAnsi="Times New Roman" w:cs="Times New Roman"/>
          <w:b/>
          <w:bCs/>
          <w:sz w:val="24"/>
          <w:szCs w:val="24"/>
          <w:lang w:eastAsia="pl-PL"/>
        </w:rPr>
        <w:t xml:space="preserve">Art. </w:t>
      </w:r>
      <w:r w:rsidR="006742A7" w:rsidRPr="00A720EE">
        <w:rPr>
          <w:rFonts w:ascii="Times New Roman" w:eastAsia="Times New Roman" w:hAnsi="Times New Roman" w:cs="Times New Roman"/>
          <w:b/>
          <w:bCs/>
          <w:sz w:val="24"/>
          <w:szCs w:val="24"/>
          <w:lang w:eastAsia="pl-PL"/>
        </w:rPr>
        <w:t>12</w:t>
      </w:r>
      <w:r w:rsidRPr="00A720EE">
        <w:rPr>
          <w:rFonts w:ascii="Times New Roman" w:eastAsia="Times New Roman" w:hAnsi="Times New Roman" w:cs="Times New Roman"/>
          <w:b/>
          <w:bCs/>
          <w:sz w:val="24"/>
          <w:szCs w:val="24"/>
          <w:lang w:eastAsia="pl-PL"/>
        </w:rPr>
        <w:t xml:space="preserve"> pkt 3</w:t>
      </w:r>
      <w:r w:rsidR="001C3844" w:rsidRPr="00A720EE">
        <w:rPr>
          <w:rFonts w:ascii="Times New Roman" w:eastAsia="Times New Roman" w:hAnsi="Times New Roman" w:cs="Times New Roman"/>
          <w:b/>
          <w:bCs/>
          <w:sz w:val="24"/>
          <w:szCs w:val="24"/>
          <w:lang w:eastAsia="pl-PL"/>
        </w:rPr>
        <w:t xml:space="preserve"> </w:t>
      </w:r>
      <w:r w:rsidR="007967E1" w:rsidRPr="00A720EE">
        <w:rPr>
          <w:rFonts w:ascii="Times New Roman" w:eastAsia="Times New Roman" w:hAnsi="Times New Roman" w:cs="Times New Roman"/>
          <w:b/>
          <w:bCs/>
          <w:sz w:val="24"/>
          <w:szCs w:val="24"/>
          <w:lang w:eastAsia="pl-PL"/>
        </w:rPr>
        <w:t xml:space="preserve">– dotyczy art. </w:t>
      </w:r>
      <w:r w:rsidR="00D910DD" w:rsidRPr="00A720EE">
        <w:rPr>
          <w:rFonts w:ascii="Times New Roman" w:eastAsia="Times New Roman" w:hAnsi="Times New Roman" w:cs="Times New Roman"/>
          <w:b/>
          <w:bCs/>
          <w:sz w:val="24"/>
          <w:szCs w:val="24"/>
          <w:lang w:eastAsia="pl-PL"/>
        </w:rPr>
        <w:t>69b</w:t>
      </w:r>
    </w:p>
    <w:p w14:paraId="2BC08D99" w14:textId="0227C600" w:rsidR="00CF6AD9" w:rsidRPr="00A720EE" w:rsidRDefault="007967E1" w:rsidP="000151A2">
      <w:pPr>
        <w:spacing w:after="120" w:line="276" w:lineRule="auto"/>
        <w:jc w:val="both"/>
        <w:rPr>
          <w:rFonts w:ascii="Times New Roman" w:hAnsi="Times New Roman" w:cs="Times New Roman"/>
          <w:bCs/>
          <w:sz w:val="24"/>
          <w:szCs w:val="24"/>
        </w:rPr>
      </w:pPr>
      <w:r w:rsidRPr="00A720EE">
        <w:rPr>
          <w:rFonts w:ascii="Times New Roman" w:eastAsia="Times New Roman" w:hAnsi="Times New Roman" w:cs="Times New Roman"/>
          <w:bCs/>
          <w:sz w:val="24"/>
          <w:szCs w:val="24"/>
          <w:lang w:eastAsia="pl-PL"/>
        </w:rPr>
        <w:t>Dodany przepis dotyczy zasad</w:t>
      </w:r>
      <w:r w:rsidR="00643899"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 xml:space="preserve">rozliczania strat w </w:t>
      </w:r>
      <w:r w:rsidR="00862690" w:rsidRPr="00A720EE">
        <w:rPr>
          <w:rFonts w:ascii="Times New Roman" w:eastAsia="Times New Roman" w:hAnsi="Times New Roman" w:cs="Times New Roman"/>
          <w:bCs/>
          <w:sz w:val="24"/>
          <w:szCs w:val="24"/>
          <w:lang w:eastAsia="pl-PL"/>
        </w:rPr>
        <w:t xml:space="preserve">spółkach tworzących </w:t>
      </w:r>
      <w:r w:rsidR="00643899" w:rsidRPr="00A720EE">
        <w:rPr>
          <w:rFonts w:ascii="Times New Roman" w:eastAsia="Times New Roman" w:hAnsi="Times New Roman" w:cs="Times New Roman"/>
          <w:bCs/>
          <w:sz w:val="24"/>
          <w:szCs w:val="24"/>
          <w:lang w:eastAsia="pl-PL"/>
        </w:rPr>
        <w:t xml:space="preserve">podatkowe grupy kapitałowe, wprowadzonych mocą ustawy </w:t>
      </w:r>
      <w:r w:rsidR="00A34465" w:rsidRPr="00A720EE">
        <w:rPr>
          <w:rFonts w:ascii="Times New Roman" w:eastAsia="Times New Roman" w:hAnsi="Times New Roman" w:cs="Times New Roman"/>
          <w:bCs/>
          <w:sz w:val="24"/>
          <w:szCs w:val="24"/>
          <w:lang w:eastAsia="pl-PL"/>
        </w:rPr>
        <w:t xml:space="preserve">z 29 października 2021 r. </w:t>
      </w:r>
      <w:r w:rsidR="00643899" w:rsidRPr="00A720EE">
        <w:rPr>
          <w:rFonts w:ascii="Times New Roman" w:eastAsia="Times New Roman" w:hAnsi="Times New Roman" w:cs="Times New Roman"/>
          <w:bCs/>
          <w:sz w:val="24"/>
          <w:szCs w:val="24"/>
          <w:lang w:eastAsia="pl-PL"/>
        </w:rPr>
        <w:t>(z dniem 1 stycznia 2022</w:t>
      </w:r>
      <w:r w:rsidR="0098797B" w:rsidRPr="00A720EE">
        <w:rPr>
          <w:rFonts w:ascii="Times New Roman" w:eastAsia="Times New Roman" w:hAnsi="Times New Roman" w:cs="Times New Roman"/>
          <w:bCs/>
          <w:sz w:val="24"/>
          <w:szCs w:val="24"/>
          <w:lang w:eastAsia="pl-PL"/>
        </w:rPr>
        <w:t> </w:t>
      </w:r>
      <w:r w:rsidR="00643899" w:rsidRPr="00A720EE">
        <w:rPr>
          <w:rFonts w:ascii="Times New Roman" w:eastAsia="Times New Roman" w:hAnsi="Times New Roman" w:cs="Times New Roman"/>
          <w:bCs/>
          <w:sz w:val="24"/>
          <w:szCs w:val="24"/>
          <w:lang w:eastAsia="pl-PL"/>
        </w:rPr>
        <w:t xml:space="preserve">r.). Zmiana </w:t>
      </w:r>
      <w:r w:rsidR="00C54FC1" w:rsidRPr="00A720EE">
        <w:rPr>
          <w:rFonts w:ascii="Times New Roman" w:eastAsia="Times New Roman" w:hAnsi="Times New Roman" w:cs="Times New Roman"/>
          <w:bCs/>
          <w:sz w:val="24"/>
          <w:szCs w:val="24"/>
          <w:lang w:eastAsia="pl-PL"/>
        </w:rPr>
        <w:t xml:space="preserve">ma charakter precyzujący i </w:t>
      </w:r>
      <w:r w:rsidR="00643899" w:rsidRPr="00A720EE">
        <w:rPr>
          <w:rFonts w:ascii="Times New Roman" w:eastAsia="Times New Roman" w:hAnsi="Times New Roman" w:cs="Times New Roman"/>
          <w:bCs/>
          <w:sz w:val="24"/>
          <w:szCs w:val="24"/>
          <w:lang w:eastAsia="pl-PL"/>
        </w:rPr>
        <w:t xml:space="preserve">polega na wskazaniu, że zasady te (nowe </w:t>
      </w:r>
      <w:r w:rsidR="00643899" w:rsidRPr="00A720EE">
        <w:rPr>
          <w:rFonts w:ascii="Times New Roman" w:eastAsia="Times New Roman" w:hAnsi="Times New Roman" w:cs="Times New Roman"/>
          <w:bCs/>
          <w:sz w:val="24"/>
          <w:szCs w:val="24"/>
          <w:lang w:eastAsia="pl-PL"/>
        </w:rPr>
        <w:lastRenderedPageBreak/>
        <w:t xml:space="preserve">regulacje) </w:t>
      </w:r>
      <w:r w:rsidRPr="00A720EE">
        <w:rPr>
          <w:rFonts w:ascii="Times New Roman" w:eastAsia="Times New Roman" w:hAnsi="Times New Roman" w:cs="Times New Roman"/>
          <w:bCs/>
          <w:sz w:val="24"/>
          <w:szCs w:val="24"/>
          <w:lang w:eastAsia="pl-PL"/>
        </w:rPr>
        <w:t>znajdą</w:t>
      </w:r>
      <w:r w:rsidRPr="00A720EE">
        <w:rPr>
          <w:rFonts w:ascii="Times New Roman" w:hAnsi="Times New Roman" w:cs="Times New Roman"/>
          <w:bCs/>
          <w:sz w:val="24"/>
          <w:szCs w:val="24"/>
        </w:rPr>
        <w:t xml:space="preserve"> zastosowanie do tzw. nowych strat</w:t>
      </w:r>
      <w:r w:rsidR="00643899" w:rsidRPr="00A720EE">
        <w:rPr>
          <w:rFonts w:ascii="Times New Roman" w:eastAsia="Lato" w:hAnsi="Times New Roman" w:cs="Times New Roman"/>
          <w:sz w:val="24"/>
          <w:szCs w:val="24"/>
        </w:rPr>
        <w:t xml:space="preserve"> </w:t>
      </w:r>
      <w:r w:rsidR="00643899" w:rsidRPr="00A720EE">
        <w:rPr>
          <w:rFonts w:ascii="Times New Roman" w:hAnsi="Times New Roman" w:cs="Times New Roman"/>
          <w:bCs/>
          <w:sz w:val="24"/>
          <w:szCs w:val="24"/>
        </w:rPr>
        <w:t>spółek tworzących PGK</w:t>
      </w:r>
      <w:r w:rsidRPr="00A720EE">
        <w:rPr>
          <w:rFonts w:ascii="Times New Roman" w:hAnsi="Times New Roman" w:cs="Times New Roman"/>
          <w:bCs/>
          <w:sz w:val="24"/>
          <w:szCs w:val="24"/>
        </w:rPr>
        <w:t>, a zatem powstałych począwszy od roku podatkowego rozpoczynającego się po dniu 31 grudnia 2021 r.</w:t>
      </w:r>
      <w:r w:rsidR="00412044" w:rsidRPr="00A720EE">
        <w:rPr>
          <w:rFonts w:ascii="Times New Roman" w:hAnsi="Times New Roman" w:cs="Times New Roman"/>
          <w:sz w:val="24"/>
          <w:szCs w:val="24"/>
        </w:rPr>
        <w:t xml:space="preserve"> </w:t>
      </w:r>
      <w:r w:rsidR="00412044" w:rsidRPr="00A720EE">
        <w:rPr>
          <w:rFonts w:ascii="Times New Roman" w:hAnsi="Times New Roman" w:cs="Times New Roman"/>
          <w:bCs/>
          <w:sz w:val="24"/>
          <w:szCs w:val="24"/>
        </w:rPr>
        <w:t xml:space="preserve">Tym samym, do strat powstałych przed 1 </w:t>
      </w:r>
      <w:r w:rsidR="00C90673" w:rsidRPr="00A720EE">
        <w:rPr>
          <w:rFonts w:ascii="Times New Roman" w:hAnsi="Times New Roman" w:cs="Times New Roman"/>
          <w:bCs/>
          <w:sz w:val="24"/>
          <w:szCs w:val="24"/>
        </w:rPr>
        <w:t xml:space="preserve">stycznia 2022 r. stosować </w:t>
      </w:r>
      <w:r w:rsidR="00412044" w:rsidRPr="00A720EE">
        <w:rPr>
          <w:rFonts w:ascii="Times New Roman" w:hAnsi="Times New Roman" w:cs="Times New Roman"/>
          <w:bCs/>
          <w:sz w:val="24"/>
          <w:szCs w:val="24"/>
        </w:rPr>
        <w:t xml:space="preserve">się </w:t>
      </w:r>
      <w:r w:rsidR="00C90673" w:rsidRPr="00A720EE">
        <w:rPr>
          <w:rFonts w:ascii="Times New Roman" w:hAnsi="Times New Roman" w:cs="Times New Roman"/>
          <w:bCs/>
          <w:sz w:val="24"/>
          <w:szCs w:val="24"/>
        </w:rPr>
        <w:t xml:space="preserve">będzie </w:t>
      </w:r>
      <w:r w:rsidR="00412044" w:rsidRPr="00A720EE">
        <w:rPr>
          <w:rFonts w:ascii="Times New Roman" w:hAnsi="Times New Roman" w:cs="Times New Roman"/>
          <w:bCs/>
          <w:sz w:val="24"/>
          <w:szCs w:val="24"/>
        </w:rPr>
        <w:t>przepisy dotychczasowe.</w:t>
      </w:r>
    </w:p>
    <w:p w14:paraId="29D26000" w14:textId="7DF73A65" w:rsidR="00CF6AD9" w:rsidRPr="00A720EE" w:rsidRDefault="00595886"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
          <w:bCs/>
          <w:sz w:val="24"/>
          <w:szCs w:val="24"/>
        </w:rPr>
        <w:t xml:space="preserve">Art. </w:t>
      </w:r>
      <w:r w:rsidR="006742A7" w:rsidRPr="00A720EE">
        <w:rPr>
          <w:rFonts w:ascii="Times New Roman" w:hAnsi="Times New Roman" w:cs="Times New Roman"/>
          <w:b/>
          <w:bCs/>
          <w:sz w:val="24"/>
          <w:szCs w:val="24"/>
        </w:rPr>
        <w:t>12</w:t>
      </w:r>
      <w:r w:rsidR="00910DC5" w:rsidRPr="00A720EE">
        <w:rPr>
          <w:rFonts w:ascii="Times New Roman" w:hAnsi="Times New Roman" w:cs="Times New Roman"/>
          <w:b/>
          <w:bCs/>
          <w:sz w:val="24"/>
          <w:szCs w:val="24"/>
        </w:rPr>
        <w:t xml:space="preserve"> </w:t>
      </w:r>
      <w:r w:rsidR="006671A6" w:rsidRPr="00A720EE">
        <w:rPr>
          <w:rFonts w:ascii="Times New Roman" w:hAnsi="Times New Roman" w:cs="Times New Roman"/>
          <w:b/>
          <w:bCs/>
          <w:sz w:val="24"/>
          <w:szCs w:val="24"/>
        </w:rPr>
        <w:t xml:space="preserve">pkt </w:t>
      </w:r>
      <w:r w:rsidR="00A81303" w:rsidRPr="00A720EE">
        <w:rPr>
          <w:rFonts w:ascii="Times New Roman" w:hAnsi="Times New Roman" w:cs="Times New Roman"/>
          <w:b/>
          <w:bCs/>
          <w:sz w:val="24"/>
          <w:szCs w:val="24"/>
        </w:rPr>
        <w:t>4</w:t>
      </w:r>
      <w:r w:rsidR="006671A6" w:rsidRPr="00A720EE">
        <w:rPr>
          <w:rFonts w:ascii="Times New Roman" w:hAnsi="Times New Roman" w:cs="Times New Roman"/>
          <w:b/>
          <w:bCs/>
          <w:sz w:val="24"/>
          <w:szCs w:val="24"/>
        </w:rPr>
        <w:t xml:space="preserve"> – dotyczy art. 84 ust. 2-4 </w:t>
      </w:r>
    </w:p>
    <w:p w14:paraId="06B9AD41" w14:textId="74BE255C" w:rsidR="009A20C8" w:rsidRPr="00A720EE" w:rsidRDefault="006671A6"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Cs/>
          <w:sz w:val="24"/>
          <w:szCs w:val="24"/>
        </w:rPr>
        <w:t>Zmiany doprecyzowujące przepisy dotyczące udostępniania wzorów deklaracji w zakresu podatków dochodowych są konsekwencją zmian wprowadzonych w art. 28a ustawy CIT, ar</w:t>
      </w:r>
      <w:r w:rsidR="001C02A4" w:rsidRPr="00A720EE">
        <w:rPr>
          <w:rFonts w:ascii="Times New Roman" w:hAnsi="Times New Roman" w:cs="Times New Roman"/>
          <w:bCs/>
          <w:sz w:val="24"/>
          <w:szCs w:val="24"/>
        </w:rPr>
        <w:t>t. 45b ustawy PIT</w:t>
      </w:r>
      <w:r w:rsidRPr="00A720EE">
        <w:rPr>
          <w:rFonts w:ascii="Times New Roman" w:hAnsi="Times New Roman" w:cs="Times New Roman"/>
          <w:bCs/>
          <w:sz w:val="24"/>
          <w:szCs w:val="24"/>
        </w:rPr>
        <w:t>, art. 52 ustawy o ryczałcie</w:t>
      </w:r>
      <w:r w:rsidR="000D6C51" w:rsidRPr="00A720EE">
        <w:rPr>
          <w:rFonts w:ascii="Times New Roman" w:hAnsi="Times New Roman" w:cs="Times New Roman"/>
          <w:bCs/>
          <w:sz w:val="24"/>
          <w:szCs w:val="24"/>
        </w:rPr>
        <w:t>.</w:t>
      </w:r>
    </w:p>
    <w:p w14:paraId="1C385482" w14:textId="100A83A3" w:rsidR="00B60E26" w:rsidRPr="00A720EE" w:rsidRDefault="00B60E26" w:rsidP="000151A2">
      <w:pPr>
        <w:spacing w:after="120" w:line="276" w:lineRule="auto"/>
        <w:jc w:val="both"/>
        <w:rPr>
          <w:rFonts w:ascii="Times New Roman" w:hAnsi="Times New Roman" w:cs="Times New Roman"/>
          <w:b/>
          <w:bCs/>
          <w:sz w:val="24"/>
          <w:szCs w:val="24"/>
        </w:rPr>
      </w:pPr>
      <w:r w:rsidRPr="00A720EE">
        <w:rPr>
          <w:rFonts w:ascii="Times New Roman" w:hAnsi="Times New Roman" w:cs="Times New Roman"/>
          <w:b/>
          <w:bCs/>
          <w:sz w:val="24"/>
          <w:szCs w:val="24"/>
        </w:rPr>
        <w:t xml:space="preserve">Art. </w:t>
      </w:r>
      <w:r w:rsidR="006742A7" w:rsidRPr="00A720EE">
        <w:rPr>
          <w:rFonts w:ascii="Times New Roman" w:hAnsi="Times New Roman" w:cs="Times New Roman"/>
          <w:b/>
          <w:bCs/>
          <w:sz w:val="24"/>
          <w:szCs w:val="24"/>
        </w:rPr>
        <w:t>12</w:t>
      </w:r>
      <w:r w:rsidRPr="00A720EE">
        <w:rPr>
          <w:rFonts w:ascii="Times New Roman" w:hAnsi="Times New Roman" w:cs="Times New Roman"/>
          <w:b/>
          <w:bCs/>
          <w:sz w:val="24"/>
          <w:szCs w:val="24"/>
        </w:rPr>
        <w:t xml:space="preserve"> pkt </w:t>
      </w:r>
      <w:r w:rsidR="00A81303" w:rsidRPr="00A720EE">
        <w:rPr>
          <w:rFonts w:ascii="Times New Roman" w:hAnsi="Times New Roman" w:cs="Times New Roman"/>
          <w:b/>
          <w:bCs/>
          <w:sz w:val="24"/>
          <w:szCs w:val="24"/>
        </w:rPr>
        <w:t>5</w:t>
      </w:r>
      <w:r w:rsidRPr="00A720EE">
        <w:rPr>
          <w:rFonts w:ascii="Times New Roman" w:hAnsi="Times New Roman" w:cs="Times New Roman"/>
          <w:b/>
          <w:bCs/>
          <w:sz w:val="24"/>
          <w:szCs w:val="24"/>
        </w:rPr>
        <w:t xml:space="preserve"> – dotyczy art. 89 pkt </w:t>
      </w:r>
      <w:r w:rsidR="003C2D85" w:rsidRPr="00A720EE">
        <w:rPr>
          <w:rFonts w:ascii="Times New Roman" w:hAnsi="Times New Roman" w:cs="Times New Roman"/>
          <w:b/>
          <w:bCs/>
          <w:sz w:val="24"/>
          <w:szCs w:val="24"/>
        </w:rPr>
        <w:t xml:space="preserve">4 i </w:t>
      </w:r>
      <w:r w:rsidRPr="00A720EE">
        <w:rPr>
          <w:rFonts w:ascii="Times New Roman" w:hAnsi="Times New Roman" w:cs="Times New Roman"/>
          <w:b/>
          <w:bCs/>
          <w:sz w:val="24"/>
          <w:szCs w:val="24"/>
        </w:rPr>
        <w:t>5</w:t>
      </w:r>
    </w:p>
    <w:p w14:paraId="380EB40D" w14:textId="77777777" w:rsidR="001120FE" w:rsidRPr="00A720EE" w:rsidRDefault="001120FE"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Cs/>
          <w:sz w:val="24"/>
          <w:szCs w:val="24"/>
        </w:rPr>
        <w:t>Zmiana o charakterze dostosowawczym związana z dodaniem w art. 66 nowego ustępu 3. Określa, że przepis art. 66 ust. 3 wejdzie w życie z dniem 1 stycznia 2024 r.</w:t>
      </w:r>
    </w:p>
    <w:p w14:paraId="271E32BD" w14:textId="77777777" w:rsidR="00890D2E" w:rsidRPr="00A720EE" w:rsidRDefault="00890D2E" w:rsidP="000151A2">
      <w:pPr>
        <w:spacing w:after="120" w:line="276" w:lineRule="auto"/>
        <w:jc w:val="both"/>
        <w:rPr>
          <w:rFonts w:ascii="Times New Roman" w:hAnsi="Times New Roman" w:cs="Times New Roman"/>
          <w:b/>
          <w:bCs/>
          <w:sz w:val="24"/>
          <w:szCs w:val="24"/>
        </w:rPr>
      </w:pPr>
    </w:p>
    <w:p w14:paraId="4C8D323C" w14:textId="7E68CC4B" w:rsidR="00FA2FDC" w:rsidRPr="00A720EE" w:rsidRDefault="00FA2FDC"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
          <w:bCs/>
          <w:sz w:val="24"/>
          <w:szCs w:val="24"/>
          <w:u w:val="single"/>
        </w:rPr>
        <w:t xml:space="preserve">Art. 13 projektu ustawy </w:t>
      </w:r>
      <w:r w:rsidRPr="00A720EE">
        <w:rPr>
          <w:rFonts w:ascii="Times New Roman" w:hAnsi="Times New Roman" w:cs="Times New Roman"/>
          <w:bCs/>
          <w:sz w:val="24"/>
          <w:szCs w:val="24"/>
        </w:rPr>
        <w:t>– dotyczy art. 1 pkt 20 i 37 oraz art. 18a ustawy z 9 czerwca 2022 r.</w:t>
      </w:r>
    </w:p>
    <w:p w14:paraId="5FCCFCC4" w14:textId="15724F69" w:rsidR="00FA2FDC" w:rsidRPr="00A720EE" w:rsidRDefault="00FA2FDC"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Cs/>
          <w:sz w:val="24"/>
          <w:szCs w:val="24"/>
        </w:rPr>
        <w:t xml:space="preserve">Zmiana porządkująca przepisy ustawy PIT dotyczące oświadczeń i wniosków, jakie podatnicy składają płatnikom w celach poboru zaliczek na podatek, w ten sposób, że wszędzie tam gdzie jest to możliwe, kwestie te będzie regulować noma ogólna zawarta w 31a ustawy PIT. </w:t>
      </w:r>
    </w:p>
    <w:p w14:paraId="5609C44B" w14:textId="77777777" w:rsidR="00FA2FDC" w:rsidRPr="00A720EE" w:rsidRDefault="00FA2FDC"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Cs/>
          <w:sz w:val="24"/>
          <w:szCs w:val="24"/>
        </w:rPr>
        <w:t xml:space="preserve">Proponuje się, aby zakresem wyjątków wymienionych w art. 31a ust. 7 ustawy PIT (przepis ten wchodzi w życie z 1 stycznia 2023 r.) objęty został również art. 41 ust. 11 ustawy PIT, który dotyczy niestosowania 50% kosztów uzyskania przychodów przez płatników wymienionych w art. 41 ust. 1 ustawy PIT, a także aby wniosek ten mógł być złożony według wzoru ustalonego przez ministra finansów (zmiana w art. 45b ust. 1 pkt 3 ustawy PIT).  </w:t>
      </w:r>
    </w:p>
    <w:p w14:paraId="4FBC49F6" w14:textId="77777777" w:rsidR="00FA2FDC" w:rsidRPr="00A720EE" w:rsidRDefault="00FA2FDC"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Cs/>
          <w:sz w:val="24"/>
          <w:szCs w:val="24"/>
        </w:rPr>
        <w:t xml:space="preserve">Zmiana polegająca na dodaniu art. 18a doprecyzowuje, że zmiany jakie w ustawie PIT, Ordynacji podatkowej oraz w ustawie o działalności pożytku publicznego i o wolontariacie wprowadziła ustawa z 9 czerwca 2022 r. w zakresie wzrostu części podatku z 1% do 1,5% ma zastosowanie od podatku dochodowego od osób fizycznych obliczonego za rok podatkowy rozpoczynający się po 31 grudnia 2021 r. Do podatku dochodowego obliczonego za wcześniejsze okresy nadal będą mieć zastosowanie przepisy </w:t>
      </w:r>
      <w:r w:rsidR="0043297F" w:rsidRPr="00A720EE">
        <w:rPr>
          <w:rFonts w:ascii="Times New Roman" w:hAnsi="Times New Roman" w:cs="Times New Roman"/>
          <w:bCs/>
          <w:sz w:val="24"/>
          <w:szCs w:val="24"/>
        </w:rPr>
        <w:t>tych</w:t>
      </w:r>
      <w:r w:rsidRPr="00A720EE">
        <w:rPr>
          <w:rFonts w:ascii="Times New Roman" w:hAnsi="Times New Roman" w:cs="Times New Roman"/>
          <w:bCs/>
          <w:sz w:val="24"/>
          <w:szCs w:val="24"/>
        </w:rPr>
        <w:t xml:space="preserve"> ustaw odwołujące się do 1%.</w:t>
      </w:r>
    </w:p>
    <w:p w14:paraId="056E3E9C" w14:textId="77777777" w:rsidR="00FA2FDC" w:rsidRPr="00A720EE" w:rsidRDefault="00FA2FDC"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Cs/>
          <w:sz w:val="24"/>
          <w:szCs w:val="24"/>
        </w:rPr>
        <w:t xml:space="preserve">Przy czym z uwagi na fakt, że wykaz organizacji pożytku publicznego mający zastosowanie do podatku dochodowego za rok 2022 tworzony jest przed 1 stycznia 2023 r. proponuje się, aby  projektowana zmiana weszła w życie z dniem następującym po dniu ogłoszenia ustawy. </w:t>
      </w:r>
    </w:p>
    <w:p w14:paraId="71648AC9" w14:textId="77777777" w:rsidR="00AF45F4" w:rsidRPr="00A720EE" w:rsidRDefault="00AF45F4" w:rsidP="000151A2">
      <w:pPr>
        <w:pStyle w:val="Akapitzlist"/>
        <w:spacing w:after="120" w:line="276" w:lineRule="auto"/>
        <w:ind w:left="0"/>
        <w:contextualSpacing w:val="0"/>
        <w:jc w:val="both"/>
        <w:rPr>
          <w:rFonts w:ascii="Times New Roman" w:hAnsi="Times New Roman" w:cs="Times New Roman"/>
          <w:b/>
          <w:bCs/>
          <w:sz w:val="24"/>
          <w:szCs w:val="24"/>
          <w:u w:val="single"/>
        </w:rPr>
      </w:pPr>
    </w:p>
    <w:p w14:paraId="1596D734" w14:textId="5B9B21B0" w:rsidR="00AA643B" w:rsidRPr="00A720EE" w:rsidRDefault="005351E9" w:rsidP="000151A2">
      <w:pPr>
        <w:pStyle w:val="Akapitzlist"/>
        <w:spacing w:after="120" w:line="276" w:lineRule="auto"/>
        <w:ind w:left="0"/>
        <w:contextualSpacing w:val="0"/>
        <w:jc w:val="both"/>
        <w:rPr>
          <w:rFonts w:ascii="Times New Roman" w:hAnsi="Times New Roman" w:cs="Times New Roman"/>
          <w:bCs/>
          <w:sz w:val="24"/>
          <w:szCs w:val="24"/>
        </w:rPr>
      </w:pPr>
      <w:r w:rsidRPr="00A720EE">
        <w:rPr>
          <w:rFonts w:ascii="Times New Roman" w:hAnsi="Times New Roman" w:cs="Times New Roman"/>
          <w:b/>
          <w:bCs/>
          <w:sz w:val="24"/>
          <w:szCs w:val="24"/>
          <w:u w:val="single"/>
        </w:rPr>
        <w:t>Art. 14</w:t>
      </w:r>
      <w:r w:rsidR="00AA643B" w:rsidRPr="00A720EE">
        <w:rPr>
          <w:rFonts w:ascii="Times New Roman" w:hAnsi="Times New Roman" w:cs="Times New Roman"/>
          <w:b/>
          <w:bCs/>
          <w:sz w:val="24"/>
          <w:szCs w:val="24"/>
          <w:u w:val="single"/>
        </w:rPr>
        <w:t xml:space="preserve"> projektu ustawy</w:t>
      </w:r>
      <w:r w:rsidR="00AA643B" w:rsidRPr="00A720EE">
        <w:rPr>
          <w:rFonts w:ascii="Times New Roman" w:hAnsi="Times New Roman" w:cs="Times New Roman"/>
          <w:bCs/>
          <w:sz w:val="24"/>
          <w:szCs w:val="24"/>
        </w:rPr>
        <w:t xml:space="preserve"> – </w:t>
      </w:r>
      <w:r w:rsidR="006742A7" w:rsidRPr="00A720EE">
        <w:rPr>
          <w:rFonts w:ascii="Times New Roman" w:hAnsi="Times New Roman" w:cs="Times New Roman"/>
          <w:bCs/>
          <w:sz w:val="24"/>
          <w:szCs w:val="24"/>
        </w:rPr>
        <w:t>d</w:t>
      </w:r>
      <w:r w:rsidR="00AA643B" w:rsidRPr="00A720EE">
        <w:rPr>
          <w:rFonts w:ascii="Times New Roman" w:hAnsi="Times New Roman" w:cs="Times New Roman"/>
          <w:bCs/>
          <w:sz w:val="24"/>
          <w:szCs w:val="24"/>
        </w:rPr>
        <w:t xml:space="preserve">otyczy zmian w ustawie </w:t>
      </w:r>
      <w:r w:rsidR="007C04D7" w:rsidRPr="00A720EE">
        <w:rPr>
          <w:rFonts w:ascii="Times New Roman" w:hAnsi="Times New Roman" w:cs="Times New Roman"/>
          <w:bCs/>
          <w:sz w:val="24"/>
          <w:szCs w:val="24"/>
        </w:rPr>
        <w:t>o finansowaniu społecznościowym</w:t>
      </w:r>
      <w:r w:rsidR="00AA643B" w:rsidRPr="00A720EE">
        <w:rPr>
          <w:rFonts w:ascii="Times New Roman" w:hAnsi="Times New Roman" w:cs="Times New Roman"/>
          <w:bCs/>
          <w:sz w:val="24"/>
          <w:szCs w:val="24"/>
        </w:rPr>
        <w:t xml:space="preserve"> dla przedsięwzięć gospodarczych i pomocy kredytobiorcom</w:t>
      </w:r>
    </w:p>
    <w:p w14:paraId="34B564F8" w14:textId="24F3E2B0" w:rsidR="00AA643B" w:rsidRPr="00A720EE" w:rsidRDefault="00AA643B" w:rsidP="000151A2">
      <w:pPr>
        <w:pStyle w:val="Akapitzlist"/>
        <w:spacing w:after="120" w:line="276" w:lineRule="auto"/>
        <w:ind w:left="0"/>
        <w:contextualSpacing w:val="0"/>
        <w:jc w:val="both"/>
        <w:rPr>
          <w:rFonts w:ascii="Times New Roman" w:hAnsi="Times New Roman" w:cs="Times New Roman"/>
          <w:sz w:val="24"/>
          <w:szCs w:val="24"/>
        </w:rPr>
      </w:pPr>
      <w:r w:rsidRPr="00A720EE">
        <w:rPr>
          <w:rFonts w:ascii="Times New Roman" w:hAnsi="Times New Roman" w:cs="Times New Roman"/>
          <w:sz w:val="24"/>
          <w:szCs w:val="24"/>
        </w:rPr>
        <w:t xml:space="preserve">W ustawie o finansowaniu społecznościowym dla przedsięwzięć gospodarczych i pomocy kredytobiorcom </w:t>
      </w:r>
      <w:r w:rsidRPr="00A720EE">
        <w:rPr>
          <w:rFonts w:ascii="Times New Roman" w:hAnsi="Times New Roman" w:cs="Times New Roman"/>
          <w:bCs/>
          <w:color w:val="000000"/>
          <w:sz w:val="24"/>
          <w:szCs w:val="24"/>
        </w:rPr>
        <w:t xml:space="preserve">uchylono art. 79 odnoszący się do obowiązków informacyjnych sprzedawców energii elektrycznej. Obowiązki te w </w:t>
      </w:r>
      <w:r w:rsidR="00F81BD3" w:rsidRPr="00A720EE">
        <w:rPr>
          <w:rFonts w:ascii="Times New Roman" w:hAnsi="Times New Roman" w:cs="Times New Roman"/>
          <w:bCs/>
          <w:color w:val="000000"/>
          <w:sz w:val="24"/>
          <w:szCs w:val="24"/>
        </w:rPr>
        <w:t>przedmiotowym projekcie</w:t>
      </w:r>
      <w:r w:rsidRPr="00A720EE">
        <w:rPr>
          <w:rFonts w:ascii="Times New Roman" w:hAnsi="Times New Roman" w:cs="Times New Roman"/>
          <w:bCs/>
          <w:color w:val="000000"/>
          <w:sz w:val="24"/>
          <w:szCs w:val="24"/>
        </w:rPr>
        <w:t xml:space="preserve"> zostały przedłużone do dnia odpowiednio</w:t>
      </w:r>
      <w:r w:rsidR="00F81BD3" w:rsidRPr="00A720EE">
        <w:rPr>
          <w:rFonts w:ascii="Times New Roman" w:hAnsi="Times New Roman" w:cs="Times New Roman"/>
          <w:bCs/>
          <w:color w:val="000000"/>
          <w:sz w:val="24"/>
          <w:szCs w:val="24"/>
        </w:rPr>
        <w:t>:</w:t>
      </w:r>
      <w:r w:rsidRPr="00A720EE">
        <w:rPr>
          <w:rFonts w:ascii="Times New Roman" w:hAnsi="Times New Roman" w:cs="Times New Roman"/>
          <w:bCs/>
          <w:color w:val="000000"/>
          <w:sz w:val="24"/>
          <w:szCs w:val="24"/>
        </w:rPr>
        <w:t xml:space="preserve"> 31 grudnia 2022 r. i 31 maja 2023 r.</w:t>
      </w:r>
    </w:p>
    <w:p w14:paraId="50A5EDA9" w14:textId="77777777" w:rsidR="00AA643B" w:rsidRPr="00A720EE" w:rsidRDefault="00AA643B" w:rsidP="000151A2">
      <w:pPr>
        <w:spacing w:after="120" w:line="276" w:lineRule="auto"/>
        <w:rPr>
          <w:rFonts w:ascii="Times New Roman" w:hAnsi="Times New Roman" w:cs="Times New Roman"/>
          <w:sz w:val="24"/>
          <w:szCs w:val="24"/>
        </w:rPr>
      </w:pPr>
    </w:p>
    <w:p w14:paraId="089B5632" w14:textId="77777777" w:rsidR="00F87E8F" w:rsidRPr="00A720EE" w:rsidRDefault="00F87E8F"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
          <w:bCs/>
          <w:sz w:val="24"/>
          <w:szCs w:val="24"/>
          <w:u w:val="single"/>
        </w:rPr>
        <w:lastRenderedPageBreak/>
        <w:t>Art. 15-19 projektu ustawy</w:t>
      </w:r>
      <w:r w:rsidRPr="00A720EE">
        <w:rPr>
          <w:rFonts w:ascii="Times New Roman" w:hAnsi="Times New Roman" w:cs="Times New Roman"/>
          <w:bCs/>
          <w:sz w:val="24"/>
          <w:szCs w:val="24"/>
        </w:rPr>
        <w:t xml:space="preserve"> – dotyczą zmian w wysokości stawek podatku od towarów i usług w 2023 r.</w:t>
      </w:r>
    </w:p>
    <w:p w14:paraId="4A4681EC" w14:textId="77777777" w:rsidR="00F87E8F" w:rsidRPr="00A720EE" w:rsidRDefault="00F87E8F"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W roku 2023 r. podstawą do stosowania podwyższonych o 1pp stawek podatku od towarów i usług są projektowane przepisy epizodyczne zawarte w art. 15-19 ustawy nowelizującej.</w:t>
      </w:r>
    </w:p>
    <w:p w14:paraId="0DF318B3" w14:textId="77777777" w:rsidR="00F87E8F" w:rsidRPr="00A720EE" w:rsidRDefault="00F87E8F" w:rsidP="000151A2">
      <w:pPr>
        <w:spacing w:after="120" w:line="276" w:lineRule="auto"/>
        <w:jc w:val="both"/>
        <w:rPr>
          <w:rFonts w:ascii="Times New Roman" w:hAnsi="Times New Roman" w:cs="Times New Roman"/>
          <w:sz w:val="24"/>
          <w:szCs w:val="24"/>
        </w:rPr>
      </w:pPr>
      <w:r w:rsidRPr="00A720EE">
        <w:rPr>
          <w:rFonts w:ascii="Times New Roman" w:hAnsi="Times New Roman" w:cs="Times New Roman"/>
          <w:sz w:val="24"/>
          <w:szCs w:val="24"/>
        </w:rPr>
        <w:t>Przewiduje się, że projektowane regulacje w ww. zakresie wejdą w życie z dniem 30 października 2022 r.</w:t>
      </w:r>
    </w:p>
    <w:p w14:paraId="420735F6" w14:textId="77777777" w:rsidR="00AF45F4" w:rsidRPr="00A720EE" w:rsidRDefault="00AF45F4" w:rsidP="000151A2">
      <w:pPr>
        <w:spacing w:after="120" w:line="276" w:lineRule="auto"/>
        <w:jc w:val="both"/>
        <w:rPr>
          <w:rFonts w:ascii="Times New Roman" w:hAnsi="Times New Roman" w:cs="Times New Roman"/>
          <w:b/>
          <w:bCs/>
          <w:sz w:val="24"/>
          <w:szCs w:val="24"/>
          <w:u w:val="single"/>
        </w:rPr>
      </w:pPr>
    </w:p>
    <w:p w14:paraId="29ADFB48" w14:textId="77777777" w:rsidR="00F87E8F" w:rsidRPr="00A720EE" w:rsidRDefault="00F87E8F"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b/>
          <w:bCs/>
          <w:sz w:val="24"/>
          <w:szCs w:val="24"/>
          <w:u w:val="single"/>
        </w:rPr>
        <w:t>Art. 20-22 projektu ustawy</w:t>
      </w:r>
      <w:r w:rsidRPr="00A720EE">
        <w:rPr>
          <w:rFonts w:ascii="Times New Roman" w:hAnsi="Times New Roman" w:cs="Times New Roman"/>
          <w:bCs/>
          <w:sz w:val="24"/>
          <w:szCs w:val="24"/>
        </w:rPr>
        <w:t xml:space="preserve"> – obowiązki informacyjne dla sprzedawców</w:t>
      </w:r>
    </w:p>
    <w:p w14:paraId="128DB5A0" w14:textId="689127EB" w:rsidR="00F87E8F" w:rsidRPr="00A720EE" w:rsidRDefault="00F87E8F" w:rsidP="000151A2">
      <w:pPr>
        <w:spacing w:after="120" w:line="276" w:lineRule="auto"/>
        <w:jc w:val="both"/>
        <w:rPr>
          <w:rFonts w:ascii="Times New Roman" w:hAnsi="Times New Roman" w:cs="Times New Roman"/>
          <w:bCs/>
          <w:sz w:val="24"/>
          <w:szCs w:val="24"/>
        </w:rPr>
      </w:pPr>
      <w:r w:rsidRPr="00A720EE">
        <w:rPr>
          <w:rFonts w:ascii="Times New Roman" w:hAnsi="Times New Roman" w:cs="Times New Roman"/>
          <w:spacing w:val="-2"/>
          <w:sz w:val="24"/>
          <w:szCs w:val="24"/>
        </w:rPr>
        <w:t xml:space="preserve">Projekt zakłada kontynuację nałożonego na sprzedawców dokonujących sprzedaży wskazanych ustawą towarów </w:t>
      </w:r>
      <w:r w:rsidR="005C3C34" w:rsidRPr="00A720EE">
        <w:rPr>
          <w:rFonts w:ascii="Times New Roman" w:hAnsi="Times New Roman" w:cs="Times New Roman"/>
          <w:spacing w:val="-2"/>
          <w:sz w:val="24"/>
          <w:szCs w:val="24"/>
        </w:rPr>
        <w:t xml:space="preserve">(tj. żywności, paliw silnikowych, gazu ziemnego, energii elektrycznej i cieplnej oraz nawozów i środków wykorzystywanych w produkcji rolnej) </w:t>
      </w:r>
      <w:r w:rsidRPr="00A720EE">
        <w:rPr>
          <w:rFonts w:ascii="Times New Roman" w:hAnsi="Times New Roman" w:cs="Times New Roman"/>
          <w:spacing w:val="-2"/>
          <w:sz w:val="24"/>
          <w:szCs w:val="24"/>
        </w:rPr>
        <w:t xml:space="preserve">obowiązku informacyjnego o obniżeniu </w:t>
      </w:r>
      <w:r w:rsidR="005C3C34" w:rsidRPr="00A720EE">
        <w:rPr>
          <w:rFonts w:ascii="Times New Roman" w:hAnsi="Times New Roman" w:cs="Times New Roman"/>
          <w:spacing w:val="-2"/>
          <w:sz w:val="24"/>
          <w:szCs w:val="24"/>
        </w:rPr>
        <w:t xml:space="preserve">stawek </w:t>
      </w:r>
      <w:r w:rsidRPr="00A720EE">
        <w:rPr>
          <w:rFonts w:ascii="Times New Roman" w:hAnsi="Times New Roman" w:cs="Times New Roman"/>
          <w:spacing w:val="-2"/>
          <w:sz w:val="24"/>
          <w:szCs w:val="24"/>
        </w:rPr>
        <w:t xml:space="preserve">VAT i akcyzy </w:t>
      </w:r>
      <w:r w:rsidR="005C3C34" w:rsidRPr="00A720EE">
        <w:rPr>
          <w:rFonts w:ascii="Times New Roman" w:hAnsi="Times New Roman" w:cs="Times New Roman"/>
          <w:spacing w:val="-2"/>
          <w:sz w:val="24"/>
          <w:szCs w:val="24"/>
        </w:rPr>
        <w:t>oraz</w:t>
      </w:r>
      <w:r w:rsidRPr="00A720EE">
        <w:rPr>
          <w:rFonts w:ascii="Times New Roman" w:hAnsi="Times New Roman" w:cs="Times New Roman"/>
          <w:spacing w:val="-2"/>
          <w:sz w:val="24"/>
          <w:szCs w:val="24"/>
        </w:rPr>
        <w:t xml:space="preserve"> niepodleganiu sprzedaży </w:t>
      </w:r>
      <w:r w:rsidR="005C3C34" w:rsidRPr="00A720EE">
        <w:rPr>
          <w:rFonts w:ascii="Times New Roman" w:hAnsi="Times New Roman" w:cs="Times New Roman"/>
          <w:spacing w:val="-2"/>
          <w:sz w:val="24"/>
          <w:szCs w:val="24"/>
        </w:rPr>
        <w:t>odpowiednich</w:t>
      </w:r>
      <w:r w:rsidRPr="00A720EE">
        <w:rPr>
          <w:rFonts w:ascii="Times New Roman" w:hAnsi="Times New Roman" w:cs="Times New Roman"/>
          <w:spacing w:val="-2"/>
          <w:sz w:val="24"/>
          <w:szCs w:val="24"/>
        </w:rPr>
        <w:t xml:space="preserve"> towarów podatkowi od sprzedaży detalicznej.</w:t>
      </w:r>
    </w:p>
    <w:p w14:paraId="1A688F21" w14:textId="77777777" w:rsidR="00AF11BF" w:rsidRPr="00A720EE" w:rsidRDefault="00AF11BF" w:rsidP="000151A2">
      <w:pPr>
        <w:widowControl w:val="0"/>
        <w:autoSpaceDE w:val="0"/>
        <w:autoSpaceDN w:val="0"/>
        <w:adjustRightInd w:val="0"/>
        <w:spacing w:after="120" w:line="276" w:lineRule="auto"/>
        <w:jc w:val="both"/>
        <w:rPr>
          <w:rFonts w:ascii="Times New Roman" w:eastAsiaTheme="minorEastAsia" w:hAnsi="Times New Roman" w:cs="Times New Roman"/>
          <w:b/>
          <w:sz w:val="24"/>
          <w:szCs w:val="24"/>
          <w:u w:val="single"/>
          <w:lang w:eastAsia="pl-PL"/>
        </w:rPr>
      </w:pPr>
    </w:p>
    <w:p w14:paraId="617D8501" w14:textId="4AE3A55F" w:rsidR="00B01BB1" w:rsidRPr="00A720EE" w:rsidRDefault="00B01BB1" w:rsidP="000151A2">
      <w:pPr>
        <w:widowControl w:val="0"/>
        <w:autoSpaceDE w:val="0"/>
        <w:autoSpaceDN w:val="0"/>
        <w:adjustRightInd w:val="0"/>
        <w:spacing w:after="120" w:line="276" w:lineRule="auto"/>
        <w:jc w:val="both"/>
        <w:rPr>
          <w:rFonts w:ascii="Times New Roman" w:eastAsia="Times New Roman" w:hAnsi="Times New Roman" w:cs="Times New Roman"/>
          <w:b/>
          <w:bCs/>
          <w:sz w:val="24"/>
          <w:szCs w:val="24"/>
          <w:lang w:eastAsia="pl-PL"/>
        </w:rPr>
      </w:pPr>
      <w:r w:rsidRPr="00A720EE">
        <w:rPr>
          <w:rFonts w:ascii="Times New Roman" w:eastAsiaTheme="minorEastAsia" w:hAnsi="Times New Roman" w:cs="Times New Roman"/>
          <w:b/>
          <w:sz w:val="24"/>
          <w:szCs w:val="24"/>
          <w:u w:val="single"/>
          <w:lang w:eastAsia="pl-PL"/>
        </w:rPr>
        <w:t xml:space="preserve">Art. 23 projektu ustawy </w:t>
      </w:r>
      <w:r w:rsidRPr="00A720EE">
        <w:rPr>
          <w:rFonts w:ascii="Times New Roman" w:eastAsia="Times New Roman" w:hAnsi="Times New Roman" w:cs="Times New Roman"/>
          <w:bCs/>
          <w:sz w:val="24"/>
          <w:szCs w:val="24"/>
          <w:lang w:eastAsia="pl-PL"/>
        </w:rPr>
        <w:t>–</w:t>
      </w:r>
      <w:r w:rsidRPr="00A720EE">
        <w:rPr>
          <w:rFonts w:ascii="Times New Roman" w:eastAsia="Times New Roman" w:hAnsi="Times New Roman" w:cs="Times New Roman"/>
          <w:b/>
          <w:bCs/>
          <w:sz w:val="24"/>
          <w:szCs w:val="24"/>
          <w:lang w:eastAsia="pl-PL"/>
        </w:rPr>
        <w:t xml:space="preserve"> przepis</w:t>
      </w:r>
      <w:r w:rsidR="00361C72" w:rsidRPr="00A720EE">
        <w:rPr>
          <w:rFonts w:ascii="Times New Roman" w:eastAsia="Times New Roman" w:hAnsi="Times New Roman" w:cs="Times New Roman"/>
          <w:b/>
          <w:bCs/>
          <w:sz w:val="24"/>
          <w:szCs w:val="24"/>
          <w:lang w:eastAsia="pl-PL"/>
        </w:rPr>
        <w:t>y</w:t>
      </w:r>
      <w:r w:rsidRPr="00A720EE">
        <w:rPr>
          <w:rFonts w:ascii="Times New Roman" w:eastAsia="Times New Roman" w:hAnsi="Times New Roman" w:cs="Times New Roman"/>
          <w:b/>
          <w:bCs/>
          <w:sz w:val="24"/>
          <w:szCs w:val="24"/>
          <w:lang w:eastAsia="pl-PL"/>
        </w:rPr>
        <w:t xml:space="preserve"> o charakterze intertemporalnym</w:t>
      </w:r>
      <w:r w:rsidRPr="00A720EE">
        <w:rPr>
          <w:rFonts w:ascii="Times New Roman" w:eastAsia="Times New Roman" w:hAnsi="Times New Roman" w:cs="Times New Roman"/>
          <w:bCs/>
          <w:sz w:val="24"/>
          <w:szCs w:val="24"/>
          <w:lang w:eastAsia="pl-PL"/>
        </w:rPr>
        <w:t xml:space="preserve"> </w:t>
      </w:r>
    </w:p>
    <w:p w14:paraId="276454F3" w14:textId="5F3DAA31"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b/>
          <w:sz w:val="24"/>
          <w:szCs w:val="24"/>
          <w:u w:val="single"/>
          <w:lang w:eastAsia="pl-PL"/>
        </w:rPr>
      </w:pPr>
      <w:r w:rsidRPr="00A720EE">
        <w:rPr>
          <w:rFonts w:ascii="Times New Roman" w:eastAsia="Times New Roman" w:hAnsi="Times New Roman" w:cs="Times New Roman"/>
          <w:bCs/>
          <w:sz w:val="24"/>
          <w:szCs w:val="24"/>
          <w:lang w:eastAsia="pl-PL"/>
        </w:rPr>
        <w:t>Przepis określa zasady stosowania w czasie zmian w zakresie m.in.: kosztów finansowania dłużnego</w:t>
      </w:r>
      <w:r w:rsidR="00B149FC" w:rsidRPr="00A720EE">
        <w:rPr>
          <w:rFonts w:ascii="Times New Roman" w:eastAsia="Times New Roman" w:hAnsi="Times New Roman" w:cs="Times New Roman"/>
          <w:bCs/>
          <w:sz w:val="24"/>
          <w:szCs w:val="24"/>
          <w:lang w:eastAsia="pl-PL"/>
        </w:rPr>
        <w:t xml:space="preserve">, </w:t>
      </w:r>
      <w:r w:rsidR="001A0295" w:rsidRPr="00A720EE">
        <w:rPr>
          <w:rFonts w:ascii="Times New Roman" w:eastAsia="Times New Roman" w:hAnsi="Times New Roman" w:cs="Times New Roman"/>
          <w:bCs/>
          <w:sz w:val="24"/>
          <w:szCs w:val="24"/>
          <w:lang w:eastAsia="pl-PL"/>
        </w:rPr>
        <w:t xml:space="preserve">CFC, </w:t>
      </w:r>
      <w:r w:rsidRPr="00A720EE">
        <w:rPr>
          <w:rFonts w:ascii="Times New Roman" w:eastAsia="Times New Roman" w:hAnsi="Times New Roman" w:cs="Times New Roman"/>
          <w:bCs/>
          <w:sz w:val="24"/>
          <w:szCs w:val="24"/>
          <w:lang w:eastAsia="pl-PL"/>
        </w:rPr>
        <w:t>reżimu holdingowego</w:t>
      </w:r>
      <w:r w:rsidR="0073545F" w:rsidRPr="00A720EE">
        <w:rPr>
          <w:rFonts w:ascii="Times New Roman" w:eastAsia="Times New Roman" w:hAnsi="Times New Roman" w:cs="Times New Roman"/>
          <w:bCs/>
          <w:sz w:val="24"/>
          <w:szCs w:val="24"/>
          <w:lang w:eastAsia="pl-PL"/>
        </w:rPr>
        <w:t xml:space="preserve"> (PSH)</w:t>
      </w:r>
      <w:r w:rsidRPr="00A720EE">
        <w:rPr>
          <w:rFonts w:ascii="Times New Roman" w:eastAsia="Times New Roman" w:hAnsi="Times New Roman" w:cs="Times New Roman"/>
          <w:bCs/>
          <w:sz w:val="24"/>
          <w:szCs w:val="24"/>
          <w:lang w:eastAsia="pl-PL"/>
        </w:rPr>
        <w:t>, ryczałtu od dochodów spółek</w:t>
      </w:r>
      <w:r w:rsidR="0073545F" w:rsidRPr="00A720EE">
        <w:rPr>
          <w:rFonts w:ascii="Times New Roman" w:eastAsia="Times New Roman" w:hAnsi="Times New Roman" w:cs="Times New Roman"/>
          <w:bCs/>
          <w:sz w:val="24"/>
          <w:szCs w:val="24"/>
          <w:lang w:eastAsia="pl-PL"/>
        </w:rPr>
        <w:t xml:space="preserve"> (estoński CIT)</w:t>
      </w:r>
      <w:r w:rsidRPr="00A720EE">
        <w:rPr>
          <w:rFonts w:ascii="Times New Roman" w:eastAsia="Times New Roman" w:hAnsi="Times New Roman" w:cs="Times New Roman"/>
          <w:bCs/>
          <w:sz w:val="24"/>
          <w:szCs w:val="24"/>
          <w:lang w:eastAsia="pl-PL"/>
        </w:rPr>
        <w:t>,</w:t>
      </w:r>
      <w:r w:rsidRPr="00A720EE">
        <w:rPr>
          <w:rFonts w:ascii="Times New Roman" w:hAnsi="Times New Roman" w:cs="Times New Roman"/>
          <w:sz w:val="24"/>
          <w:szCs w:val="24"/>
        </w:rPr>
        <w:t xml:space="preserve"> </w:t>
      </w:r>
      <w:r w:rsidRPr="00A720EE">
        <w:rPr>
          <w:rFonts w:ascii="Times New Roman" w:eastAsia="Times New Roman" w:hAnsi="Times New Roman" w:cs="Times New Roman"/>
          <w:bCs/>
          <w:sz w:val="24"/>
          <w:szCs w:val="24"/>
          <w:lang w:eastAsia="pl-PL"/>
        </w:rPr>
        <w:t>zmiany w zakresie art. 15 ust. 4h ustawy CIT, regulacji upraszczającej procedurę zwrotu podatku od przychodów z budynków</w:t>
      </w:r>
      <w:r w:rsidR="001A0295" w:rsidRPr="00A720EE">
        <w:rPr>
          <w:rFonts w:ascii="Times New Roman" w:eastAsia="Times New Roman" w:hAnsi="Times New Roman" w:cs="Times New Roman"/>
          <w:bCs/>
          <w:sz w:val="24"/>
          <w:szCs w:val="24"/>
          <w:lang w:eastAsia="pl-PL"/>
        </w:rPr>
        <w:t xml:space="preserve">, </w:t>
      </w:r>
      <w:r w:rsidRPr="00A720EE">
        <w:rPr>
          <w:rFonts w:ascii="Times New Roman" w:eastAsia="Times New Roman" w:hAnsi="Times New Roman" w:cs="Times New Roman"/>
          <w:bCs/>
          <w:sz w:val="24"/>
          <w:szCs w:val="24"/>
          <w:lang w:eastAsia="pl-PL"/>
        </w:rPr>
        <w:t>zwolnienia z zapłaty minimalnego podatku dochodowego</w:t>
      </w:r>
      <w:r w:rsidR="001A0295" w:rsidRPr="00A720EE">
        <w:rPr>
          <w:rFonts w:ascii="Times New Roman" w:eastAsia="Times New Roman" w:hAnsi="Times New Roman" w:cs="Times New Roman"/>
          <w:bCs/>
          <w:sz w:val="24"/>
          <w:szCs w:val="24"/>
          <w:lang w:eastAsia="pl-PL"/>
        </w:rPr>
        <w:t>, czy podatku u źródła (WHT).</w:t>
      </w:r>
    </w:p>
    <w:p w14:paraId="4F1BC318" w14:textId="2AFF6246"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u w:val="single"/>
          <w:lang w:eastAsia="pl-PL"/>
        </w:rPr>
      </w:pPr>
      <w:r w:rsidRPr="00A720EE">
        <w:rPr>
          <w:rFonts w:ascii="Times New Roman" w:eastAsiaTheme="minorEastAsia" w:hAnsi="Times New Roman" w:cs="Times New Roman"/>
          <w:sz w:val="24"/>
          <w:szCs w:val="24"/>
          <w:u w:val="single"/>
          <w:lang w:eastAsia="pl-PL"/>
        </w:rPr>
        <w:t xml:space="preserve">W zakresie </w:t>
      </w:r>
      <w:r w:rsidR="0073545F" w:rsidRPr="00A720EE">
        <w:rPr>
          <w:rFonts w:ascii="Times New Roman" w:eastAsiaTheme="minorEastAsia" w:hAnsi="Times New Roman" w:cs="Times New Roman"/>
          <w:sz w:val="24"/>
          <w:szCs w:val="24"/>
          <w:u w:val="single"/>
          <w:lang w:eastAsia="pl-PL"/>
        </w:rPr>
        <w:t xml:space="preserve">dotyczącym zmian w </w:t>
      </w:r>
      <w:r w:rsidRPr="00A720EE">
        <w:rPr>
          <w:rFonts w:ascii="Times New Roman" w:eastAsiaTheme="minorEastAsia" w:hAnsi="Times New Roman" w:cs="Times New Roman"/>
          <w:sz w:val="24"/>
          <w:szCs w:val="24"/>
          <w:u w:val="single"/>
          <w:lang w:eastAsia="pl-PL"/>
        </w:rPr>
        <w:t xml:space="preserve">art. 15c i </w:t>
      </w:r>
      <w:r w:rsidRPr="00A720EE">
        <w:rPr>
          <w:rFonts w:ascii="Times New Roman" w:eastAsia="Times New Roman" w:hAnsi="Times New Roman" w:cs="Times New Roman"/>
          <w:sz w:val="24"/>
          <w:szCs w:val="24"/>
          <w:u w:val="single"/>
          <w:lang w:eastAsia="pl-PL"/>
        </w:rPr>
        <w:t xml:space="preserve">art. 16 ust. 1 pkt 13f </w:t>
      </w:r>
      <w:r w:rsidRPr="00A720EE">
        <w:rPr>
          <w:rFonts w:ascii="Times New Roman" w:eastAsiaTheme="minorEastAsia" w:hAnsi="Times New Roman" w:cs="Times New Roman"/>
          <w:sz w:val="24"/>
          <w:szCs w:val="24"/>
          <w:u w:val="single"/>
          <w:lang w:eastAsia="pl-PL"/>
        </w:rPr>
        <w:t>ustawy CIT</w:t>
      </w:r>
    </w:p>
    <w:p w14:paraId="7718613B" w14:textId="77777777"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Z korzyścią dla podatników wątpliwości interpretacyjne wyeliminowane niniejszym projektem obowiązywać będzie z mocą wsteczną od dnia 1 stycznia 2022 r.</w:t>
      </w:r>
    </w:p>
    <w:p w14:paraId="15D27383" w14:textId="77777777" w:rsidR="001A0295" w:rsidRPr="00A720EE" w:rsidRDefault="00B01BB1" w:rsidP="000151A2">
      <w:pPr>
        <w:pStyle w:val="USTustnpkodeksu"/>
        <w:spacing w:after="120" w:line="276" w:lineRule="auto"/>
        <w:ind w:firstLine="0"/>
        <w:rPr>
          <w:rFonts w:ascii="Times New Roman" w:hAnsi="Times New Roman" w:cs="Times New Roman"/>
          <w:szCs w:val="24"/>
        </w:rPr>
      </w:pPr>
      <w:r w:rsidRPr="00A720EE">
        <w:rPr>
          <w:rFonts w:ascii="Times New Roman" w:hAnsi="Times New Roman" w:cs="Times New Roman"/>
          <w:szCs w:val="24"/>
        </w:rPr>
        <w:t>W celu uwzględniania zasady ochrony praw nabytych ograniczenie wynikające z art. 16 ust. 1 pkt 13f nie będzie miało zastosowania do kosztów finansowania dłużnego wypłaconego podatnikowi do dnia 31 grudnia 2021 r. w zakresie w jakim to finansowanie zostało przeznaczone na transakcje kapitałowe zrealizowane do dnia 31 grudnia 2021 r.</w:t>
      </w:r>
    </w:p>
    <w:p w14:paraId="12CB901D" w14:textId="4A348E89" w:rsidR="001A0295" w:rsidRPr="00A720EE" w:rsidRDefault="001A0295" w:rsidP="000151A2">
      <w:pPr>
        <w:pStyle w:val="USTustnpkodeksu"/>
        <w:spacing w:after="120" w:line="276" w:lineRule="auto"/>
        <w:ind w:firstLine="0"/>
        <w:rPr>
          <w:rFonts w:ascii="Times New Roman" w:hAnsi="Times New Roman" w:cs="Times New Roman"/>
          <w:szCs w:val="24"/>
          <w:u w:val="single"/>
        </w:rPr>
      </w:pPr>
      <w:r w:rsidRPr="00A720EE">
        <w:rPr>
          <w:rFonts w:ascii="Times New Roman" w:hAnsi="Times New Roman" w:cs="Times New Roman"/>
          <w:szCs w:val="24"/>
          <w:u w:val="single"/>
        </w:rPr>
        <w:t>W zakresie dotyczącym zmian w CFC</w:t>
      </w:r>
    </w:p>
    <w:p w14:paraId="202FAAD2" w14:textId="6BA47A46" w:rsidR="001A0295" w:rsidRPr="00A720EE" w:rsidRDefault="001A0295" w:rsidP="000151A2">
      <w:pPr>
        <w:pStyle w:val="USTustnpkodeksu"/>
        <w:spacing w:after="120" w:line="276" w:lineRule="auto"/>
        <w:ind w:firstLine="0"/>
        <w:rPr>
          <w:rFonts w:ascii="Times New Roman" w:hAnsi="Times New Roman" w:cs="Times New Roman"/>
          <w:szCs w:val="24"/>
        </w:rPr>
      </w:pPr>
      <w:r w:rsidRPr="00A720EE">
        <w:rPr>
          <w:rFonts w:ascii="Times New Roman" w:hAnsi="Times New Roman" w:cs="Times New Roman"/>
          <w:szCs w:val="24"/>
        </w:rPr>
        <w:t>Zgodnie z ust. 6 w przypadku, gdy rok podatkowy zagranicznej jednostki jest inny niż rok kalendarzowy i rozpoczął się przed dniem 1 stycznia 2023 r., a zakończy się po dniu 31 grudnia 2022 r., zmienione przepisy ustawy CIT (art. 24a) i PIT (art. 30f) stosować się będzie począwszy od następnego roku podatkowego.</w:t>
      </w:r>
    </w:p>
    <w:p w14:paraId="11D096C1" w14:textId="77777777"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u w:val="single"/>
          <w:lang w:eastAsia="pl-PL"/>
        </w:rPr>
      </w:pPr>
      <w:r w:rsidRPr="00A720EE">
        <w:rPr>
          <w:rFonts w:ascii="Times New Roman" w:eastAsiaTheme="minorEastAsia" w:hAnsi="Times New Roman" w:cs="Times New Roman"/>
          <w:sz w:val="24"/>
          <w:szCs w:val="24"/>
          <w:u w:val="single"/>
          <w:lang w:eastAsia="pl-PL"/>
        </w:rPr>
        <w:t>W zakresie dotyczących zmian w PSH</w:t>
      </w:r>
    </w:p>
    <w:p w14:paraId="0A34234A" w14:textId="77777777"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Zwolnienia dywidendy i zysków ze zbycia udziałów/akcji, wprowadzone zmienionym reżimem holdingowym, </w:t>
      </w:r>
      <w:r w:rsidR="00C4474E" w:rsidRPr="00A720EE">
        <w:rPr>
          <w:rFonts w:ascii="Times New Roman" w:eastAsiaTheme="minorEastAsia" w:hAnsi="Times New Roman" w:cs="Times New Roman"/>
          <w:sz w:val="24"/>
          <w:szCs w:val="24"/>
          <w:lang w:eastAsia="pl-PL"/>
        </w:rPr>
        <w:t>będą miały</w:t>
      </w:r>
      <w:r w:rsidRPr="00A720EE">
        <w:rPr>
          <w:rFonts w:ascii="Times New Roman" w:eastAsiaTheme="minorEastAsia" w:hAnsi="Times New Roman" w:cs="Times New Roman"/>
          <w:sz w:val="24"/>
          <w:szCs w:val="24"/>
          <w:lang w:eastAsia="pl-PL"/>
        </w:rPr>
        <w:t xml:space="preserve"> zastosowanie do dochodów osiągniętych w 2023 r. Jednocześnie, należy zauważyć, że intencją ustawodawcy (w odniesieniu do dochodów z 2023 r.) jest, aby roczny (badany wstecznie) okres spełnienia określonych warunków (w odniesieniu </w:t>
      </w:r>
      <w:r w:rsidRPr="00A720EE">
        <w:rPr>
          <w:rFonts w:ascii="Times New Roman" w:eastAsiaTheme="minorEastAsia" w:hAnsi="Times New Roman" w:cs="Times New Roman"/>
          <w:sz w:val="24"/>
          <w:szCs w:val="24"/>
          <w:lang w:eastAsia="pl-PL"/>
        </w:rPr>
        <w:lastRenderedPageBreak/>
        <w:t>do spółki dominującej i spółki zależnej) był również ustalany przy uwzględnieniu zmienionych od 1 stycznia 2023 r. przepisów. Dla przykładu, w przypadku wypłaty dywidendy w lutym 2023 r., dla ustalenia, czy w części rocznego okresu, przypadającego odpowiednio na 2022 r., zostały spełnione wymagane warunki, należy zastosować przepisy dot. reżimu holdingowego w nowym brzmieniu.</w:t>
      </w:r>
    </w:p>
    <w:p w14:paraId="0D3A71B4" w14:textId="77777777"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Jednocześnie, w celu wyjaśnienia ewentualnych wątpliwości co do możliwości skorzystania ze zwolnień wynikających z reżimu holdingowego w brzmieniu na moment wejścia w życie przepisów (tj. 1 stycznia 2022 r.) należy wskazać, że intencją ustawodawcy było, aby moment ten uznać jednocześnie za rozpoczynający bieg okresu, w którym powinny być spełnione przewidziane w przepisach warunki. A zatem, intencją ustawodawcy było, aby w praktyce pierwszym rokiem, w którym będzie możliwe skorzystanie ze zwolnień w reżimie holdingowym w brzmieniu na moment wejścia w życie przepisów, był 2023 r. Nie jest więc dopuszczalne uwzględnienie (dla celów ustalenia statusu spółki dominującej i zależnej) okresu spełnienia przewidzianych warunków w 2021 r.</w:t>
      </w:r>
    </w:p>
    <w:p w14:paraId="1628B320" w14:textId="17D2880B" w:rsidR="00270AE2" w:rsidRPr="00A720EE" w:rsidRDefault="00270AE2"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u w:val="single"/>
          <w:lang w:eastAsia="pl-PL"/>
        </w:rPr>
      </w:pPr>
      <w:r w:rsidRPr="00A720EE">
        <w:rPr>
          <w:rFonts w:ascii="Times New Roman" w:eastAsiaTheme="minorEastAsia" w:hAnsi="Times New Roman" w:cs="Times New Roman"/>
          <w:bCs/>
          <w:sz w:val="24"/>
          <w:szCs w:val="24"/>
          <w:u w:val="single"/>
          <w:lang w:eastAsia="pl-PL"/>
        </w:rPr>
        <w:t>W zakresie dotyczącym zmian w estoński</w:t>
      </w:r>
      <w:r w:rsidR="0073545F" w:rsidRPr="00A720EE">
        <w:rPr>
          <w:rFonts w:ascii="Times New Roman" w:eastAsiaTheme="minorEastAsia" w:hAnsi="Times New Roman" w:cs="Times New Roman"/>
          <w:bCs/>
          <w:sz w:val="24"/>
          <w:szCs w:val="24"/>
          <w:u w:val="single"/>
          <w:lang w:eastAsia="pl-PL"/>
        </w:rPr>
        <w:t>m</w:t>
      </w:r>
      <w:r w:rsidRPr="00A720EE">
        <w:rPr>
          <w:rFonts w:ascii="Times New Roman" w:eastAsiaTheme="minorEastAsia" w:hAnsi="Times New Roman" w:cs="Times New Roman"/>
          <w:bCs/>
          <w:sz w:val="24"/>
          <w:szCs w:val="24"/>
          <w:u w:val="single"/>
          <w:lang w:eastAsia="pl-PL"/>
        </w:rPr>
        <w:t xml:space="preserve"> CIT</w:t>
      </w:r>
    </w:p>
    <w:p w14:paraId="326C96F6" w14:textId="77777777"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Przepis precyzuje, do jakich dochodów mają zastosowanie przepisy art. 28n ust. 1 pkt 1 i ust. 2, art. 28r ust. 3 oraz art. 28t ust. 1 pkt 1 i 2 ustawy zmienianej w art. 1, w brzmieniu nadanym niniejszą ustawą. </w:t>
      </w:r>
    </w:p>
    <w:p w14:paraId="0AE82806" w14:textId="77777777"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Zgodnie z jego brzmieniem, powyższe przepisy </w:t>
      </w:r>
      <w:r w:rsidR="00270AE2" w:rsidRPr="00A720EE">
        <w:rPr>
          <w:rFonts w:ascii="Times New Roman" w:eastAsiaTheme="minorEastAsia" w:hAnsi="Times New Roman" w:cs="Times New Roman"/>
          <w:bCs/>
          <w:sz w:val="24"/>
          <w:szCs w:val="24"/>
          <w:lang w:eastAsia="pl-PL"/>
        </w:rPr>
        <w:t xml:space="preserve">te znajdą </w:t>
      </w:r>
      <w:r w:rsidRPr="00A720EE">
        <w:rPr>
          <w:rFonts w:ascii="Times New Roman" w:eastAsiaTheme="minorEastAsia" w:hAnsi="Times New Roman" w:cs="Times New Roman"/>
          <w:bCs/>
          <w:sz w:val="24"/>
          <w:szCs w:val="24"/>
          <w:lang w:eastAsia="pl-PL"/>
        </w:rPr>
        <w:t xml:space="preserve">zastosowanie do dochodów uzyskiwanych po dniu 30 czerwca 2022 r., przez podatników opodatkowanych ryczałtem od dochodów spółek, których rok podatkowy rozpoczął się po dniu 31 grudnia 2021 r. </w:t>
      </w:r>
    </w:p>
    <w:p w14:paraId="07541AB1" w14:textId="77777777" w:rsidR="00037A90" w:rsidRPr="00A720EE" w:rsidRDefault="00037A90"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u w:val="single"/>
          <w:lang w:eastAsia="pl-PL"/>
        </w:rPr>
      </w:pPr>
      <w:r w:rsidRPr="00A720EE">
        <w:rPr>
          <w:rFonts w:ascii="Times New Roman" w:eastAsiaTheme="minorEastAsia" w:hAnsi="Times New Roman" w:cs="Times New Roman"/>
          <w:bCs/>
          <w:sz w:val="24"/>
          <w:szCs w:val="24"/>
          <w:u w:val="single"/>
          <w:lang w:eastAsia="pl-PL"/>
        </w:rPr>
        <w:t xml:space="preserve">W zakresie regulacji dotyczącej ujmowania w czasie pochodnych od kosztów pracowniczych (dot. art. 15 ust. 4d ustawy CIT)  </w:t>
      </w:r>
    </w:p>
    <w:p w14:paraId="4090A7BB" w14:textId="77777777"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b/>
          <w:bCs/>
          <w:sz w:val="24"/>
          <w:szCs w:val="24"/>
          <w:u w:val="single"/>
          <w:lang w:eastAsia="pl-PL"/>
        </w:rPr>
      </w:pPr>
      <w:r w:rsidRPr="00A720EE">
        <w:rPr>
          <w:rFonts w:ascii="Times New Roman" w:eastAsiaTheme="minorEastAsia" w:hAnsi="Times New Roman" w:cs="Times New Roman"/>
          <w:bCs/>
          <w:sz w:val="24"/>
          <w:szCs w:val="24"/>
          <w:lang w:eastAsia="pl-PL"/>
        </w:rPr>
        <w:t xml:space="preserve">Przepis rozstrzyga, że zmiana w zakresie </w:t>
      </w:r>
      <w:hyperlink r:id="rId9" w:history="1">
        <w:r w:rsidRPr="00A720EE">
          <w:rPr>
            <w:rStyle w:val="Hipercze"/>
            <w:rFonts w:ascii="Times New Roman" w:eastAsiaTheme="minorEastAsia" w:hAnsi="Times New Roman" w:cs="Times New Roman"/>
            <w:bCs/>
            <w:color w:val="auto"/>
            <w:sz w:val="24"/>
            <w:szCs w:val="24"/>
            <w:u w:val="none"/>
            <w:lang w:eastAsia="pl-PL"/>
          </w:rPr>
          <w:t>art. 15 ust. 4h</w:t>
        </w:r>
      </w:hyperlink>
      <w:r w:rsidRPr="00A720EE">
        <w:rPr>
          <w:rFonts w:ascii="Times New Roman" w:eastAsiaTheme="minorEastAsia" w:hAnsi="Times New Roman" w:cs="Times New Roman"/>
          <w:bCs/>
          <w:sz w:val="24"/>
          <w:szCs w:val="24"/>
          <w:lang w:eastAsia="pl-PL"/>
        </w:rPr>
        <w:t xml:space="preserve"> ustawy CIT</w:t>
      </w:r>
      <w:r w:rsidRPr="00A720EE">
        <w:rPr>
          <w:rFonts w:ascii="Times New Roman" w:hAnsi="Times New Roman" w:cs="Times New Roman"/>
          <w:sz w:val="24"/>
          <w:szCs w:val="24"/>
        </w:rPr>
        <w:t xml:space="preserve"> znajdzie zastosowanie </w:t>
      </w:r>
      <w:r w:rsidRPr="00A720EE">
        <w:rPr>
          <w:rFonts w:ascii="Times New Roman" w:eastAsiaTheme="minorEastAsia" w:hAnsi="Times New Roman" w:cs="Times New Roman"/>
          <w:bCs/>
          <w:sz w:val="24"/>
          <w:szCs w:val="24"/>
          <w:lang w:eastAsia="pl-PL"/>
        </w:rPr>
        <w:t>do składek z tytułu należności, o których mowa w tym przepisie, należnych od dnia 1 stycznia 2023 r. (analogicznie jak rozwiązania obowiązujące w zakresie podatku dochodowego od osób fizycznych).</w:t>
      </w:r>
    </w:p>
    <w:p w14:paraId="087F89F4" w14:textId="77777777" w:rsidR="00037A90" w:rsidRPr="00A720EE" w:rsidRDefault="00037A90"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u w:val="single"/>
          <w:lang w:eastAsia="pl-PL"/>
        </w:rPr>
      </w:pPr>
      <w:r w:rsidRPr="00A720EE">
        <w:rPr>
          <w:rFonts w:ascii="Times New Roman" w:eastAsiaTheme="minorEastAsia" w:hAnsi="Times New Roman" w:cs="Times New Roman"/>
          <w:bCs/>
          <w:sz w:val="24"/>
          <w:szCs w:val="24"/>
          <w:u w:val="single"/>
          <w:lang w:eastAsia="pl-PL"/>
        </w:rPr>
        <w:t>W zakresie zmian dotyczących podatku od przychodów z budynków</w:t>
      </w:r>
    </w:p>
    <w:p w14:paraId="1FDC0107" w14:textId="77777777"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Przepis rozstrzyga, że doprecyzowanie polegające na tym, ze zwrot podatku nastąpi bez konieczności wydawania decyzji w każdym przypadku, gdy wniosek nie będzie budzić wątpliwości, znajdzie zastosowanie do wniosków złożonych od 1 stycznia 2023 r.</w:t>
      </w:r>
    </w:p>
    <w:p w14:paraId="56202389" w14:textId="77777777"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Wprowadzenie wstecznego działania nowego brzemienia przepisu mogłoby powodować dodatkowe obowiązki po stronie organów podatkowych w odniesieniu do już złożonych przez podatników wniosków i np. prowadzonych przez podatników postępowań. Należy jednocześnie pamiętać, iż podatnicy podatku od przychodów z budynków podlegali zwolnieniu z tego podatku w okresie obowiązywania stanu epidemii z powodu COVID-19, stąd też za ten okres nie będą składane stosowne wnioski.</w:t>
      </w:r>
    </w:p>
    <w:p w14:paraId="2A002F3D" w14:textId="77777777" w:rsidR="00037A90" w:rsidRPr="00A720EE" w:rsidRDefault="00037A90"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u w:val="single"/>
          <w:lang w:eastAsia="pl-PL"/>
        </w:rPr>
        <w:t>W zakresie zwolnienia na lata 2022 i 2023 z minimalnego podatku dochodowego</w:t>
      </w:r>
      <w:r w:rsidRPr="00A720EE">
        <w:rPr>
          <w:rFonts w:ascii="Times New Roman" w:eastAsiaTheme="minorEastAsia" w:hAnsi="Times New Roman" w:cs="Times New Roman"/>
          <w:bCs/>
          <w:sz w:val="24"/>
          <w:szCs w:val="24"/>
          <w:lang w:eastAsia="pl-PL"/>
        </w:rPr>
        <w:t xml:space="preserve">. </w:t>
      </w:r>
    </w:p>
    <w:p w14:paraId="64210349" w14:textId="77777777" w:rsidR="00B01BB1" w:rsidRPr="00A720EE" w:rsidRDefault="00B01BB1"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r w:rsidRPr="00A720EE">
        <w:rPr>
          <w:rFonts w:ascii="Times New Roman" w:eastAsiaTheme="minorEastAsia" w:hAnsi="Times New Roman" w:cs="Times New Roman"/>
          <w:bCs/>
          <w:sz w:val="24"/>
          <w:szCs w:val="24"/>
          <w:lang w:eastAsia="pl-PL"/>
        </w:rPr>
        <w:t xml:space="preserve">Przepis precyzuje, że zwolnienie z art. 38hb ustawy CIT, </w:t>
      </w:r>
      <w:r w:rsidR="00037A90" w:rsidRPr="00A720EE">
        <w:rPr>
          <w:rFonts w:ascii="Times New Roman" w:eastAsiaTheme="minorEastAsia" w:hAnsi="Times New Roman" w:cs="Times New Roman"/>
          <w:bCs/>
          <w:sz w:val="24"/>
          <w:szCs w:val="24"/>
          <w:lang w:eastAsia="pl-PL"/>
        </w:rPr>
        <w:t>zawarte w  ustawie</w:t>
      </w:r>
      <w:r w:rsidRPr="00A720EE">
        <w:rPr>
          <w:rFonts w:ascii="Times New Roman" w:eastAsiaTheme="minorEastAsia" w:hAnsi="Times New Roman" w:cs="Times New Roman"/>
          <w:bCs/>
          <w:sz w:val="24"/>
          <w:szCs w:val="24"/>
          <w:lang w:eastAsia="pl-PL"/>
        </w:rPr>
        <w:t xml:space="preserve">, o której mowa w </w:t>
      </w:r>
      <w:r w:rsidRPr="00A720EE">
        <w:rPr>
          <w:rFonts w:ascii="Times New Roman" w:eastAsiaTheme="minorEastAsia" w:hAnsi="Times New Roman" w:cs="Times New Roman"/>
          <w:bCs/>
          <w:sz w:val="24"/>
          <w:szCs w:val="24"/>
          <w:lang w:eastAsia="pl-PL"/>
        </w:rPr>
        <w:lastRenderedPageBreak/>
        <w:t>art. 1</w:t>
      </w:r>
      <w:r w:rsidR="00037A90" w:rsidRPr="00A720EE">
        <w:rPr>
          <w:rFonts w:ascii="Times New Roman" w:eastAsiaTheme="minorEastAsia" w:hAnsi="Times New Roman" w:cs="Times New Roman"/>
          <w:bCs/>
          <w:sz w:val="24"/>
          <w:szCs w:val="24"/>
          <w:lang w:eastAsia="pl-PL"/>
        </w:rPr>
        <w:t>,</w:t>
      </w:r>
      <w:r w:rsidRPr="00A720EE">
        <w:rPr>
          <w:rFonts w:ascii="Times New Roman" w:eastAsiaTheme="minorEastAsia" w:hAnsi="Times New Roman" w:cs="Times New Roman"/>
          <w:bCs/>
          <w:sz w:val="24"/>
          <w:szCs w:val="24"/>
          <w:lang w:eastAsia="pl-PL"/>
        </w:rPr>
        <w:t xml:space="preserve"> </w:t>
      </w:r>
      <w:r w:rsidR="00037A90" w:rsidRPr="00A720EE">
        <w:rPr>
          <w:rFonts w:ascii="Times New Roman" w:eastAsiaTheme="minorEastAsia" w:hAnsi="Times New Roman" w:cs="Times New Roman"/>
          <w:bCs/>
          <w:sz w:val="24"/>
          <w:szCs w:val="24"/>
          <w:lang w:eastAsia="pl-PL"/>
        </w:rPr>
        <w:t>znajdzie</w:t>
      </w:r>
      <w:r w:rsidRPr="00A720EE">
        <w:rPr>
          <w:rFonts w:ascii="Times New Roman" w:eastAsiaTheme="minorEastAsia" w:hAnsi="Times New Roman" w:cs="Times New Roman"/>
          <w:bCs/>
          <w:sz w:val="24"/>
          <w:szCs w:val="24"/>
          <w:lang w:eastAsia="pl-PL"/>
        </w:rPr>
        <w:t xml:space="preserve"> zastosowanie do dochodów (przychodów) uzy</w:t>
      </w:r>
      <w:r w:rsidR="00037A90" w:rsidRPr="00A720EE">
        <w:rPr>
          <w:rFonts w:ascii="Times New Roman" w:eastAsiaTheme="minorEastAsia" w:hAnsi="Times New Roman" w:cs="Times New Roman"/>
          <w:bCs/>
          <w:sz w:val="24"/>
          <w:szCs w:val="24"/>
          <w:lang w:eastAsia="pl-PL"/>
        </w:rPr>
        <w:t>skanych od dnia 1 stycznia 2022 </w:t>
      </w:r>
      <w:r w:rsidRPr="00A720EE">
        <w:rPr>
          <w:rFonts w:ascii="Times New Roman" w:eastAsiaTheme="minorEastAsia" w:hAnsi="Times New Roman" w:cs="Times New Roman"/>
          <w:bCs/>
          <w:sz w:val="24"/>
          <w:szCs w:val="24"/>
          <w:lang w:eastAsia="pl-PL"/>
        </w:rPr>
        <w:t>r.</w:t>
      </w:r>
    </w:p>
    <w:p w14:paraId="6187F656" w14:textId="2ABBD694" w:rsidR="00173163" w:rsidRPr="00A720EE" w:rsidRDefault="00173163" w:rsidP="000151A2">
      <w:pPr>
        <w:spacing w:after="120" w:line="276" w:lineRule="auto"/>
        <w:jc w:val="both"/>
        <w:rPr>
          <w:rFonts w:ascii="Times New Roman" w:eastAsia="Times New Roman" w:hAnsi="Times New Roman" w:cs="Times New Roman"/>
          <w:bCs/>
          <w:sz w:val="24"/>
          <w:szCs w:val="24"/>
          <w:u w:val="single"/>
          <w:lang w:eastAsia="pl-PL"/>
        </w:rPr>
      </w:pPr>
      <w:r w:rsidRPr="00A720EE">
        <w:rPr>
          <w:rFonts w:ascii="Times New Roman" w:eastAsia="Times New Roman" w:hAnsi="Times New Roman" w:cs="Times New Roman"/>
          <w:bCs/>
          <w:sz w:val="24"/>
          <w:szCs w:val="24"/>
          <w:u w:val="single"/>
          <w:lang w:eastAsia="pl-PL"/>
        </w:rPr>
        <w:t>W zakresie zmian dotyczących WHT</w:t>
      </w:r>
    </w:p>
    <w:p w14:paraId="2BF4CE06" w14:textId="77777777" w:rsidR="00361C72" w:rsidRPr="00A720EE" w:rsidRDefault="00361C72" w:rsidP="00361C7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 xml:space="preserve">Celem przejściowego przepisu art. 23 ust. 9 jest wprowadzenie jednolitej reguły międzyczasowej dla większości zmian w przepisach dotyczących WHT, determinującej sytuację płatników (a pośrednio także podatników) w tzw. otwartych stanach prawnych w momencie wejścia tych zmian w życie. Chodzi o sytuację, gdy wypłata należności miała miejsce w roku obowiązywania „starych” przepisów”, a jej skutki podatkowe po stronie płatnika zostają dopełnione dopiero w roku obowiązywania „nowych” przepisów. Stosowanie w tym zakresie ogólnej reguły momentu osiągnięcia dochodu (przychodu) przez podatnika może być niewystarczające lub rodzić wątpliwości interpretacyjne w stosunku do płatników ze względu na przejściowy przepis dotyczący podatników z </w:t>
      </w:r>
      <w:proofErr w:type="spellStart"/>
      <w:r w:rsidRPr="00A720EE">
        <w:rPr>
          <w:rFonts w:ascii="Times New Roman" w:eastAsia="Times New Roman" w:hAnsi="Times New Roman" w:cs="Times New Roman"/>
          <w:bCs/>
          <w:sz w:val="24"/>
          <w:szCs w:val="24"/>
          <w:lang w:eastAsia="pl-PL"/>
        </w:rPr>
        <w:t>niekalendarzowym</w:t>
      </w:r>
      <w:proofErr w:type="spellEnd"/>
      <w:r w:rsidRPr="00A720EE">
        <w:rPr>
          <w:rFonts w:ascii="Times New Roman" w:eastAsia="Times New Roman" w:hAnsi="Times New Roman" w:cs="Times New Roman"/>
          <w:bCs/>
          <w:sz w:val="24"/>
          <w:szCs w:val="24"/>
          <w:lang w:eastAsia="pl-PL"/>
        </w:rPr>
        <w:t xml:space="preserve"> rokiem podatkowym (art. 23 ust. 14). Konstrukcja przepisu jest wzorowana na analogicznym przejściowym przepisie art. 44 ust. 1 pkt 4 ustawy z 23 października 2018 r., która wprowadziła reformę przepisów o WHT ze skutkiem od 1 stycznia 2019 r.</w:t>
      </w:r>
    </w:p>
    <w:p w14:paraId="69907473" w14:textId="77777777" w:rsidR="00361C72" w:rsidRPr="00A720EE" w:rsidRDefault="00361C72" w:rsidP="00361C7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 xml:space="preserve">Przejściowy przepis art. 23 ust. 10 zawiera natomiast szczególne rozwiązanie, adresowane do płatników, które ma znamiona swoistej abolicji dla nich. Chodzi o umożliwienie im cofnięcia negatywnych skutków zmian - wynikających z ustawy z 29 października 2021 r. i obowiązujących w 2022 roku - w zakresie oświadczenia płatnika. Owa swoista abolicja składa się z dwóch elementów. Pierwszy element to retroaktywne wydłużenie terminu ważności oświadczenia pierwotnego i terminu do złożenia oświadczenia następczego, co ma rozwiązać lub złagodzić problem jednorazowości tego oświadczenia w 2022 roku. Ta zmiana pozwoli wstecznie wyłączyć obowiązek stosowania mechanizmu </w:t>
      </w:r>
      <w:proofErr w:type="spellStart"/>
      <w:r w:rsidRPr="00A720EE">
        <w:rPr>
          <w:rFonts w:ascii="Times New Roman" w:eastAsia="Times New Roman" w:hAnsi="Times New Roman" w:cs="Times New Roman"/>
          <w:bCs/>
          <w:sz w:val="24"/>
          <w:szCs w:val="24"/>
          <w:lang w:eastAsia="pl-PL"/>
        </w:rPr>
        <w:t>pay</w:t>
      </w:r>
      <w:proofErr w:type="spellEnd"/>
      <w:r w:rsidRPr="00A720EE">
        <w:rPr>
          <w:rFonts w:ascii="Times New Roman" w:eastAsia="Times New Roman" w:hAnsi="Times New Roman" w:cs="Times New Roman"/>
          <w:bCs/>
          <w:sz w:val="24"/>
          <w:szCs w:val="24"/>
          <w:lang w:eastAsia="pl-PL"/>
        </w:rPr>
        <w:t xml:space="preserve"> &amp; </w:t>
      </w:r>
      <w:proofErr w:type="spellStart"/>
      <w:r w:rsidRPr="00A720EE">
        <w:rPr>
          <w:rFonts w:ascii="Times New Roman" w:eastAsia="Times New Roman" w:hAnsi="Times New Roman" w:cs="Times New Roman"/>
          <w:bCs/>
          <w:sz w:val="24"/>
          <w:szCs w:val="24"/>
          <w:lang w:eastAsia="pl-PL"/>
        </w:rPr>
        <w:t>refund</w:t>
      </w:r>
      <w:proofErr w:type="spellEnd"/>
      <w:r w:rsidRPr="00A720EE">
        <w:rPr>
          <w:rFonts w:ascii="Times New Roman" w:eastAsia="Times New Roman" w:hAnsi="Times New Roman" w:cs="Times New Roman"/>
          <w:bCs/>
          <w:sz w:val="24"/>
          <w:szCs w:val="24"/>
          <w:lang w:eastAsia="pl-PL"/>
        </w:rPr>
        <w:t xml:space="preserve"> względem należności objętych oświadczeniem złożonym w 2022 roku, ale wypłaconych także po upływie dodatkowych dwóch miesięcy i to do końca roku podatkowego płatnika. Jeżeli płatnik nie pobrał od nich podatku według stawek ustawowych, to retroaktywne wydłużenie ochroni go przed sankcjami podatkowymi w tym zakresie. Jeżeli zaś pobrał według tych stawek, to retroaktywne wydłużenie pozwoli mu wszcząć postępowanie </w:t>
      </w:r>
      <w:proofErr w:type="spellStart"/>
      <w:r w:rsidRPr="00A720EE">
        <w:rPr>
          <w:rFonts w:ascii="Times New Roman" w:eastAsia="Times New Roman" w:hAnsi="Times New Roman" w:cs="Times New Roman"/>
          <w:bCs/>
          <w:sz w:val="24"/>
          <w:szCs w:val="24"/>
          <w:lang w:eastAsia="pl-PL"/>
        </w:rPr>
        <w:t>nadpłatowe</w:t>
      </w:r>
      <w:proofErr w:type="spellEnd"/>
      <w:r w:rsidRPr="00A720EE">
        <w:rPr>
          <w:rFonts w:ascii="Times New Roman" w:eastAsia="Times New Roman" w:hAnsi="Times New Roman" w:cs="Times New Roman"/>
          <w:bCs/>
          <w:sz w:val="24"/>
          <w:szCs w:val="24"/>
          <w:lang w:eastAsia="pl-PL"/>
        </w:rPr>
        <w:t xml:space="preserve"> w celu odzyskania różnicy w ciężarze podatkowym. Z kolei retroaktywne wydłużenie terminu do złożenia oświadczenia następczego oznacza, że płatnik może „zrezygnować” ze skutków złożenia oświadczenia następczego jeszcze w 2022 roku i złożyć je „ponownie”, aby wykorzystać retroaktywne wydłużenie ważności oświadczenia pierwotnego, potwierdzając w ten sposób niestosowanie mechanizmu </w:t>
      </w:r>
      <w:proofErr w:type="spellStart"/>
      <w:r w:rsidRPr="00A720EE">
        <w:rPr>
          <w:rFonts w:ascii="Times New Roman" w:eastAsia="Times New Roman" w:hAnsi="Times New Roman" w:cs="Times New Roman"/>
          <w:bCs/>
          <w:sz w:val="24"/>
          <w:szCs w:val="24"/>
          <w:lang w:eastAsia="pl-PL"/>
        </w:rPr>
        <w:t>pay</w:t>
      </w:r>
      <w:proofErr w:type="spellEnd"/>
      <w:r w:rsidRPr="00A720EE">
        <w:rPr>
          <w:rFonts w:ascii="Times New Roman" w:eastAsia="Times New Roman" w:hAnsi="Times New Roman" w:cs="Times New Roman"/>
          <w:bCs/>
          <w:sz w:val="24"/>
          <w:szCs w:val="24"/>
          <w:lang w:eastAsia="pl-PL"/>
        </w:rPr>
        <w:t xml:space="preserve"> &amp; </w:t>
      </w:r>
      <w:proofErr w:type="spellStart"/>
      <w:r w:rsidRPr="00A720EE">
        <w:rPr>
          <w:rFonts w:ascii="Times New Roman" w:eastAsia="Times New Roman" w:hAnsi="Times New Roman" w:cs="Times New Roman"/>
          <w:bCs/>
          <w:sz w:val="24"/>
          <w:szCs w:val="24"/>
          <w:lang w:eastAsia="pl-PL"/>
        </w:rPr>
        <w:t>refund</w:t>
      </w:r>
      <w:proofErr w:type="spellEnd"/>
      <w:r w:rsidRPr="00A720EE">
        <w:rPr>
          <w:rFonts w:ascii="Times New Roman" w:eastAsia="Times New Roman" w:hAnsi="Times New Roman" w:cs="Times New Roman"/>
          <w:bCs/>
          <w:sz w:val="24"/>
          <w:szCs w:val="24"/>
          <w:lang w:eastAsia="pl-PL"/>
        </w:rPr>
        <w:t xml:space="preserve"> do końca roku podatkowego.</w:t>
      </w:r>
    </w:p>
    <w:p w14:paraId="02F7A17B" w14:textId="6D02A55C" w:rsidR="00361C72" w:rsidRPr="00A720EE" w:rsidRDefault="00361C72"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 xml:space="preserve">Z kolei art. 23 ust. 11 zawiera przejściowy przepis, którego celem jest uchylenie w konstrukcji opodatkowania odsetek i dyskonta od obligacji emitowanych przez Skarb Państwa - ze skutkiem od 1 stycznia 2023 roku - warunku emisji obligacji w danej serii po 2018 roku, który obowiązuje od 1 stycznia 2019 roku i wynika z przejściowego przepisu art. 44 ust. pkt 2 ustawy z 23 października 2018 r. Pierwotnym zamiarem projektodawcy było uchylenie tego warunku w tym zakresie poprzez zmiany w konstrukcji zwolnień podatnika i płatnika z art. 17 ust. 1 pkt 50 i art. 26 ust. 1aa ustawy CIT (art. 21 ust. 1 pkt 130 i art. 41 ust. 24 ustawy PIT), ale po rozważeniu uwag wniesionych w ramach konsultacji publicznych i dodatkowej analizie </w:t>
      </w:r>
      <w:r w:rsidRPr="00A720EE">
        <w:rPr>
          <w:rFonts w:ascii="Times New Roman" w:eastAsia="Times New Roman" w:hAnsi="Times New Roman" w:cs="Times New Roman"/>
          <w:bCs/>
          <w:sz w:val="24"/>
          <w:szCs w:val="24"/>
          <w:lang w:eastAsia="pl-PL"/>
        </w:rPr>
        <w:lastRenderedPageBreak/>
        <w:t>wybrano wariant nowego przepisu przejściowego korygującego zakres czasowy stosowania przepisu przejściowego zawartego w ustawie z 23 października 2018 r. Warunek emisji po 2018 roku wynikał z wprowadzenia kryterium emisji danej serii obligacji przed 1 stycznia 2019 rokiem w konstrukcji alternatywnego sposobu opodatkowania obligacji, który jednak - z różnych przyczyn - nie był lub nie mógł być stosowany przez Skarb Państwa jako emitenta obligacji. To zaś oznacza, że taka cezura czasowa nie jest celowa ani zasadna względem obligacji emitowanych przez Skarb Państwa.</w:t>
      </w:r>
    </w:p>
    <w:p w14:paraId="4A5DD68C" w14:textId="77777777" w:rsidR="0008341C" w:rsidRPr="00A720EE" w:rsidRDefault="0008341C" w:rsidP="000151A2">
      <w:pPr>
        <w:widowControl w:val="0"/>
        <w:autoSpaceDE w:val="0"/>
        <w:autoSpaceDN w:val="0"/>
        <w:adjustRightInd w:val="0"/>
        <w:spacing w:after="120" w:line="276" w:lineRule="auto"/>
        <w:jc w:val="both"/>
        <w:rPr>
          <w:rFonts w:ascii="Times New Roman" w:eastAsia="Times New Roman" w:hAnsi="Times New Roman" w:cs="Times New Roman"/>
          <w:bCs/>
          <w:sz w:val="24"/>
          <w:szCs w:val="24"/>
          <w:lang w:eastAsia="pl-PL"/>
        </w:rPr>
      </w:pPr>
    </w:p>
    <w:p w14:paraId="2A0854FB" w14:textId="40A5EEAC" w:rsidR="0099599D" w:rsidRPr="00A720EE" w:rsidRDefault="0099599D" w:rsidP="000151A2">
      <w:pPr>
        <w:widowControl w:val="0"/>
        <w:autoSpaceDE w:val="0"/>
        <w:autoSpaceDN w:val="0"/>
        <w:adjustRightInd w:val="0"/>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
          <w:bCs/>
          <w:sz w:val="24"/>
          <w:szCs w:val="24"/>
          <w:u w:val="single"/>
          <w:lang w:eastAsia="pl-PL"/>
        </w:rPr>
        <w:t xml:space="preserve">Art. </w:t>
      </w:r>
      <w:r w:rsidR="006742A7" w:rsidRPr="00A720EE">
        <w:rPr>
          <w:rFonts w:ascii="Times New Roman" w:eastAsia="Times New Roman" w:hAnsi="Times New Roman" w:cs="Times New Roman"/>
          <w:b/>
          <w:bCs/>
          <w:sz w:val="24"/>
          <w:szCs w:val="24"/>
          <w:u w:val="single"/>
          <w:lang w:eastAsia="pl-PL"/>
        </w:rPr>
        <w:t>2</w:t>
      </w:r>
      <w:r w:rsidR="00B01BB1" w:rsidRPr="00A720EE">
        <w:rPr>
          <w:rFonts w:ascii="Times New Roman" w:eastAsia="Times New Roman" w:hAnsi="Times New Roman" w:cs="Times New Roman"/>
          <w:b/>
          <w:bCs/>
          <w:sz w:val="24"/>
          <w:szCs w:val="24"/>
          <w:u w:val="single"/>
          <w:lang w:eastAsia="pl-PL"/>
        </w:rPr>
        <w:t>4</w:t>
      </w:r>
      <w:r w:rsidRPr="00A720EE">
        <w:rPr>
          <w:rFonts w:ascii="Times New Roman" w:eastAsia="Times New Roman" w:hAnsi="Times New Roman" w:cs="Times New Roman"/>
          <w:b/>
          <w:bCs/>
          <w:sz w:val="24"/>
          <w:szCs w:val="24"/>
          <w:u w:val="single"/>
          <w:lang w:eastAsia="pl-PL"/>
        </w:rPr>
        <w:t xml:space="preserve"> projektu ustawy</w:t>
      </w:r>
      <w:r w:rsidRPr="00A720EE">
        <w:rPr>
          <w:rFonts w:ascii="Times New Roman" w:eastAsia="Times New Roman" w:hAnsi="Times New Roman" w:cs="Times New Roman"/>
          <w:b/>
          <w:bCs/>
          <w:sz w:val="24"/>
          <w:szCs w:val="24"/>
          <w:lang w:eastAsia="pl-PL"/>
        </w:rPr>
        <w:t xml:space="preserve"> </w:t>
      </w:r>
      <w:r w:rsidRPr="00A720EE">
        <w:rPr>
          <w:rFonts w:ascii="Times New Roman" w:eastAsia="Times New Roman" w:hAnsi="Times New Roman" w:cs="Times New Roman"/>
          <w:bCs/>
          <w:sz w:val="24"/>
          <w:szCs w:val="24"/>
          <w:lang w:eastAsia="pl-PL"/>
        </w:rPr>
        <w:t>– dotyczy stosowania zmian w zakresie cen transferowych z datą wsteczną</w:t>
      </w:r>
    </w:p>
    <w:p w14:paraId="1489FF02" w14:textId="6DC4656D" w:rsidR="00D97ADF" w:rsidRPr="00A720EE" w:rsidRDefault="00D97ADF" w:rsidP="00D97ADF">
      <w:pPr>
        <w:widowControl w:val="0"/>
        <w:autoSpaceDE w:val="0"/>
        <w:autoSpaceDN w:val="0"/>
        <w:adjustRightInd w:val="0"/>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Proponowane przepisy dotyczą retroaktywnego zastosowania regulacji w zakresie stosowania zasady centy rynkowej oraz obowiązku dokumentacyjnego do transakcji rajowych. W przypadku transakcji kontrolowanych i transakcji innych niż transakcje kontrolowane z podmiotem rajowym oraz z zakładem położonym w raju podatkowym nowelizowane przepisy stosowałoby się do tych transakcji rozpoczętych i niezakończonych przed dniem 1 stycznia 2021 r. lub rozpoczętych po dniu 31 grudnia 2020 r., w zakresie tej części tych transakcji, które są realizowane w roku podatkowym rozpoczynającym się po dniu 31 grudnia 2020 r. (co oznacza stosowanie tych przepisów do roku podatkowego 2021 oraz 2022).</w:t>
      </w:r>
    </w:p>
    <w:p w14:paraId="05F22B58" w14:textId="77777777" w:rsidR="006E7A7E" w:rsidRPr="00A720EE" w:rsidRDefault="006E7A7E" w:rsidP="000151A2">
      <w:pPr>
        <w:widowControl w:val="0"/>
        <w:autoSpaceDE w:val="0"/>
        <w:autoSpaceDN w:val="0"/>
        <w:adjustRightInd w:val="0"/>
        <w:spacing w:after="120" w:line="276" w:lineRule="auto"/>
        <w:jc w:val="both"/>
        <w:rPr>
          <w:rFonts w:ascii="Times New Roman" w:eastAsiaTheme="minorEastAsia" w:hAnsi="Times New Roman" w:cs="Times New Roman"/>
          <w:bCs/>
          <w:sz w:val="24"/>
          <w:szCs w:val="24"/>
          <w:lang w:eastAsia="pl-PL"/>
        </w:rPr>
      </w:pPr>
    </w:p>
    <w:p w14:paraId="65D183D0" w14:textId="198EBEE6" w:rsidR="001C1119" w:rsidRPr="00A720EE" w:rsidRDefault="001C1119"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
          <w:bCs/>
          <w:sz w:val="24"/>
          <w:szCs w:val="24"/>
          <w:u w:val="single"/>
          <w:lang w:eastAsia="pl-PL"/>
        </w:rPr>
        <w:t>Art. 25 projektu ustawy</w:t>
      </w:r>
      <w:r w:rsidRPr="00A720EE">
        <w:rPr>
          <w:rFonts w:ascii="Times New Roman" w:eastAsia="Times New Roman" w:hAnsi="Times New Roman" w:cs="Times New Roman"/>
          <w:b/>
          <w:bCs/>
          <w:sz w:val="24"/>
          <w:szCs w:val="24"/>
          <w:lang w:eastAsia="pl-PL"/>
        </w:rPr>
        <w:t xml:space="preserve"> </w:t>
      </w:r>
      <w:r w:rsidRPr="00A720EE">
        <w:rPr>
          <w:rFonts w:ascii="Times New Roman" w:eastAsia="Times New Roman" w:hAnsi="Times New Roman" w:cs="Times New Roman"/>
          <w:bCs/>
          <w:sz w:val="24"/>
          <w:szCs w:val="24"/>
          <w:lang w:eastAsia="pl-PL"/>
        </w:rPr>
        <w:t>– dotyczy</w:t>
      </w:r>
      <w:r w:rsidR="002A2C20" w:rsidRPr="00A720EE">
        <w:rPr>
          <w:rFonts w:ascii="Times New Roman" w:eastAsia="Times New Roman" w:hAnsi="Times New Roman" w:cs="Times New Roman"/>
          <w:bCs/>
          <w:sz w:val="24"/>
          <w:szCs w:val="24"/>
          <w:lang w:eastAsia="pl-PL"/>
        </w:rPr>
        <w:t xml:space="preserve"> czasowego zakresu stosowania nowelizowanych/dodawanych przepisów ustawy PIT.</w:t>
      </w:r>
    </w:p>
    <w:p w14:paraId="5979A042" w14:textId="1D5178C1" w:rsidR="002A2C20" w:rsidRPr="00A720EE" w:rsidRDefault="002A2C20" w:rsidP="000151A2">
      <w:pPr>
        <w:spacing w:after="120" w:line="276" w:lineRule="auto"/>
        <w:jc w:val="both"/>
        <w:rPr>
          <w:rFonts w:ascii="Times New Roman" w:eastAsia="Times New Roman" w:hAnsi="Times New Roman" w:cs="Times New Roman"/>
          <w:b/>
          <w:bCs/>
          <w:sz w:val="24"/>
          <w:szCs w:val="24"/>
          <w:u w:val="single"/>
          <w:lang w:eastAsia="pl-PL"/>
        </w:rPr>
      </w:pPr>
      <w:r w:rsidRPr="00A720EE">
        <w:rPr>
          <w:rFonts w:ascii="Times New Roman" w:eastAsia="Times New Roman" w:hAnsi="Times New Roman" w:cs="Times New Roman"/>
          <w:bCs/>
          <w:sz w:val="24"/>
          <w:szCs w:val="24"/>
          <w:lang w:eastAsia="pl-PL"/>
        </w:rPr>
        <w:t xml:space="preserve">W projektowanym </w:t>
      </w:r>
      <w:r w:rsidRPr="00A720EE">
        <w:rPr>
          <w:rFonts w:ascii="Times New Roman" w:hAnsi="Times New Roman" w:cs="Times New Roman"/>
          <w:sz w:val="24"/>
          <w:szCs w:val="24"/>
          <w:u w:val="single"/>
        </w:rPr>
        <w:t>ust. 1</w:t>
      </w:r>
      <w:r w:rsidRPr="00A720EE">
        <w:rPr>
          <w:rFonts w:ascii="Times New Roman" w:eastAsia="Times New Roman" w:hAnsi="Times New Roman" w:cs="Times New Roman"/>
          <w:bCs/>
          <w:sz w:val="24"/>
          <w:szCs w:val="24"/>
          <w:lang w:eastAsia="pl-PL"/>
        </w:rPr>
        <w:t xml:space="preserve"> określono, że nowe brzmienie przepisu normującego zasady składania informacji o dzieciach PIT-DZ (art. 21 ust. 48 ustawy PIT), zwroty nadpłaconego zryczałtowanego podatku za pośrednictwem płatnika (dodawany art. 31d do ustawy PIT) oraz znowelizowane regulacje dotyczące usługi Twój e-PIT (art. 45cd ust. 1, 2, 2a i 6 ustawy PIT) będą miały zastosowanie do dochodów </w:t>
      </w:r>
      <w:r w:rsidRPr="00A720EE">
        <w:rPr>
          <w:rFonts w:ascii="Times New Roman" w:hAnsi="Times New Roman" w:cs="Times New Roman"/>
          <w:sz w:val="24"/>
          <w:szCs w:val="24"/>
        </w:rPr>
        <w:t xml:space="preserve">(przychodów) uzyskanych od dnia 1 stycznia 2022 r. </w:t>
      </w:r>
    </w:p>
    <w:p w14:paraId="0824E35F" w14:textId="2CF69ADA" w:rsidR="006877A1" w:rsidRPr="00A720EE" w:rsidRDefault="002A2C20" w:rsidP="000151A2">
      <w:pPr>
        <w:spacing w:after="120" w:line="276" w:lineRule="auto"/>
        <w:jc w:val="both"/>
        <w:rPr>
          <w:rFonts w:ascii="Times New Roman" w:hAnsi="Times New Roman" w:cs="Times New Roman"/>
          <w:sz w:val="24"/>
          <w:szCs w:val="24"/>
        </w:rPr>
      </w:pPr>
      <w:r w:rsidRPr="00A720EE">
        <w:rPr>
          <w:rFonts w:ascii="Times New Roman" w:eastAsia="Times New Roman" w:hAnsi="Times New Roman" w:cs="Times New Roman"/>
          <w:bCs/>
          <w:sz w:val="24"/>
          <w:szCs w:val="24"/>
          <w:lang w:eastAsia="pl-PL"/>
        </w:rPr>
        <w:t xml:space="preserve">Z </w:t>
      </w:r>
      <w:r w:rsidRPr="00A720EE">
        <w:rPr>
          <w:rFonts w:ascii="Times New Roman" w:eastAsia="Times New Roman" w:hAnsi="Times New Roman" w:cs="Times New Roman"/>
          <w:bCs/>
          <w:sz w:val="24"/>
          <w:szCs w:val="24"/>
          <w:u w:val="single"/>
          <w:lang w:eastAsia="pl-PL"/>
        </w:rPr>
        <w:t>ust. 2</w:t>
      </w:r>
      <w:r w:rsidRPr="00A720EE">
        <w:rPr>
          <w:rFonts w:ascii="Times New Roman" w:eastAsia="Times New Roman" w:hAnsi="Times New Roman" w:cs="Times New Roman"/>
          <w:bCs/>
          <w:sz w:val="24"/>
          <w:szCs w:val="24"/>
          <w:lang w:eastAsia="pl-PL"/>
        </w:rPr>
        <w:t xml:space="preserve"> wynika</w:t>
      </w:r>
      <w:r w:rsidR="008C4C3B" w:rsidRPr="00A720EE">
        <w:rPr>
          <w:rFonts w:ascii="Times New Roman" w:eastAsia="Times New Roman" w:hAnsi="Times New Roman" w:cs="Times New Roman"/>
          <w:bCs/>
          <w:sz w:val="24"/>
          <w:szCs w:val="24"/>
          <w:lang w:eastAsia="pl-PL"/>
        </w:rPr>
        <w:t xml:space="preserve"> m.in.</w:t>
      </w:r>
      <w:r w:rsidRPr="00A720EE">
        <w:rPr>
          <w:rFonts w:ascii="Times New Roman" w:eastAsia="Times New Roman" w:hAnsi="Times New Roman" w:cs="Times New Roman"/>
          <w:bCs/>
          <w:sz w:val="24"/>
          <w:szCs w:val="24"/>
          <w:lang w:eastAsia="pl-PL"/>
        </w:rPr>
        <w:t xml:space="preserve">, że nowe zasady </w:t>
      </w:r>
      <w:r w:rsidR="008C4C3B" w:rsidRPr="00A720EE">
        <w:rPr>
          <w:rFonts w:ascii="Times New Roman" w:eastAsia="Times New Roman" w:hAnsi="Times New Roman" w:cs="Times New Roman"/>
          <w:bCs/>
          <w:sz w:val="24"/>
          <w:szCs w:val="24"/>
          <w:lang w:eastAsia="pl-PL"/>
        </w:rPr>
        <w:t xml:space="preserve">dotyczące objęcia zryczałtowanym podatkiem dochodowym świadczeń otrzymywanych pod byłych zakładów pracy przez osoby otrzymujące nauczycielskie świadczenia kompensacyjne (art. 30 ust. 1 pkt 4) ustawy PIT, jak i dotyczące oświadczenia składanego podatnikowi o niestosowaniu 50% kosztów uzyskania przychodów (brak obowiązku corocznego powtarzania oświadczenia) będą miały zastosowanie do dochodów </w:t>
      </w:r>
      <w:r w:rsidR="008C4C3B" w:rsidRPr="00A720EE">
        <w:rPr>
          <w:rFonts w:ascii="Times New Roman" w:hAnsi="Times New Roman" w:cs="Times New Roman"/>
          <w:sz w:val="24"/>
          <w:szCs w:val="24"/>
        </w:rPr>
        <w:t>(przychodów) uzyskanych od dnia 1 stycznia 2023 r.</w:t>
      </w:r>
    </w:p>
    <w:p w14:paraId="52495ED1" w14:textId="46028CAF" w:rsidR="008C4C3B" w:rsidRPr="00A720EE" w:rsidRDefault="00BC6335"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hAnsi="Times New Roman" w:cs="Times New Roman"/>
          <w:sz w:val="24"/>
          <w:szCs w:val="24"/>
        </w:rPr>
        <w:t xml:space="preserve">Na podstawie </w:t>
      </w:r>
      <w:r w:rsidRPr="00A720EE">
        <w:rPr>
          <w:rFonts w:ascii="Times New Roman" w:hAnsi="Times New Roman" w:cs="Times New Roman"/>
          <w:sz w:val="24"/>
          <w:szCs w:val="24"/>
          <w:u w:val="single"/>
        </w:rPr>
        <w:t>ust. 3</w:t>
      </w:r>
      <w:r w:rsidR="008C4C3B" w:rsidRPr="00A720EE">
        <w:rPr>
          <w:rFonts w:ascii="Times New Roman" w:hAnsi="Times New Roman" w:cs="Times New Roman"/>
          <w:sz w:val="24"/>
          <w:szCs w:val="24"/>
        </w:rPr>
        <w:t xml:space="preserve"> dane o liczbie dzieci i ich numerach PESEL (a w przypadku braku tych numerów – o imionach, nazwiskach oraz datach urodzenia dzieci) będą zawarte w informacji PIT-DZ</w:t>
      </w:r>
      <w:r w:rsidRPr="00A720EE">
        <w:rPr>
          <w:rFonts w:ascii="Times New Roman" w:hAnsi="Times New Roman" w:cs="Times New Roman"/>
          <w:sz w:val="24"/>
          <w:szCs w:val="24"/>
        </w:rPr>
        <w:t>,</w:t>
      </w:r>
      <w:r w:rsidR="008C4C3B" w:rsidRPr="00A720EE">
        <w:rPr>
          <w:rFonts w:ascii="Times New Roman" w:hAnsi="Times New Roman" w:cs="Times New Roman"/>
          <w:sz w:val="24"/>
          <w:szCs w:val="24"/>
        </w:rPr>
        <w:t xml:space="preserve"> przygotowanej przez Krajową Administrację Skarbową w usłudze Twój e-PIT</w:t>
      </w:r>
      <w:r w:rsidRPr="00A720EE">
        <w:rPr>
          <w:rFonts w:ascii="Times New Roman" w:hAnsi="Times New Roman" w:cs="Times New Roman"/>
          <w:sz w:val="24"/>
          <w:szCs w:val="24"/>
        </w:rPr>
        <w:t>,</w:t>
      </w:r>
      <w:r w:rsidR="008C4C3B" w:rsidRPr="00A720EE">
        <w:rPr>
          <w:rFonts w:ascii="Times New Roman" w:hAnsi="Times New Roman" w:cs="Times New Roman"/>
          <w:sz w:val="24"/>
          <w:szCs w:val="24"/>
        </w:rPr>
        <w:t xml:space="preserve"> </w:t>
      </w:r>
      <w:r w:rsidRPr="00A720EE">
        <w:rPr>
          <w:rFonts w:ascii="Times New Roman" w:hAnsi="Times New Roman" w:cs="Times New Roman"/>
          <w:sz w:val="24"/>
          <w:szCs w:val="24"/>
        </w:rPr>
        <w:t xml:space="preserve">udostępnionej w tej usłudze począwszy od </w:t>
      </w:r>
      <w:r w:rsidR="008C4C3B" w:rsidRPr="00A720EE">
        <w:rPr>
          <w:rFonts w:ascii="Times New Roman" w:hAnsi="Times New Roman" w:cs="Times New Roman"/>
          <w:sz w:val="24"/>
          <w:szCs w:val="24"/>
        </w:rPr>
        <w:t>dnia 15 lutego 2024 r.</w:t>
      </w:r>
      <w:r w:rsidRPr="00A720EE">
        <w:rPr>
          <w:rFonts w:ascii="Times New Roman" w:hAnsi="Times New Roman" w:cs="Times New Roman"/>
          <w:sz w:val="24"/>
          <w:szCs w:val="24"/>
        </w:rPr>
        <w:t xml:space="preserve"> </w:t>
      </w:r>
    </w:p>
    <w:p w14:paraId="12F2F77D" w14:textId="1C0E44AE" w:rsidR="00184DF1" w:rsidRPr="00A720EE" w:rsidRDefault="00184DF1"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
          <w:bCs/>
          <w:sz w:val="24"/>
          <w:szCs w:val="24"/>
          <w:u w:val="single"/>
          <w:lang w:eastAsia="pl-PL"/>
        </w:rPr>
        <w:t>Art. 2</w:t>
      </w:r>
      <w:r w:rsidR="0073545F" w:rsidRPr="00A720EE">
        <w:rPr>
          <w:rFonts w:ascii="Times New Roman" w:eastAsia="Times New Roman" w:hAnsi="Times New Roman" w:cs="Times New Roman"/>
          <w:b/>
          <w:bCs/>
          <w:sz w:val="24"/>
          <w:szCs w:val="24"/>
          <w:u w:val="single"/>
          <w:lang w:eastAsia="pl-PL"/>
        </w:rPr>
        <w:t>6</w:t>
      </w:r>
      <w:r w:rsidRPr="00A720EE">
        <w:rPr>
          <w:rFonts w:ascii="Times New Roman" w:eastAsia="Times New Roman" w:hAnsi="Times New Roman" w:cs="Times New Roman"/>
          <w:b/>
          <w:bCs/>
          <w:sz w:val="24"/>
          <w:szCs w:val="24"/>
          <w:u w:val="single"/>
          <w:lang w:eastAsia="pl-PL"/>
        </w:rPr>
        <w:t xml:space="preserve"> projektu ustawy</w:t>
      </w:r>
      <w:r w:rsidRPr="00A720EE">
        <w:rPr>
          <w:rFonts w:ascii="Times New Roman" w:eastAsia="Times New Roman" w:hAnsi="Times New Roman" w:cs="Times New Roman"/>
          <w:b/>
          <w:bCs/>
          <w:sz w:val="24"/>
          <w:szCs w:val="24"/>
          <w:lang w:eastAsia="pl-PL"/>
        </w:rPr>
        <w:t xml:space="preserve"> </w:t>
      </w:r>
      <w:r w:rsidRPr="00A720EE">
        <w:rPr>
          <w:rFonts w:ascii="Times New Roman" w:eastAsia="Times New Roman" w:hAnsi="Times New Roman" w:cs="Times New Roman"/>
          <w:bCs/>
          <w:sz w:val="24"/>
          <w:szCs w:val="24"/>
          <w:lang w:eastAsia="pl-PL"/>
        </w:rPr>
        <w:t>–</w:t>
      </w:r>
      <w:r w:rsidRPr="00A720EE">
        <w:rPr>
          <w:rFonts w:ascii="Times New Roman" w:eastAsia="Times New Roman" w:hAnsi="Times New Roman" w:cs="Times New Roman"/>
          <w:b/>
          <w:bCs/>
          <w:sz w:val="24"/>
          <w:szCs w:val="24"/>
          <w:lang w:eastAsia="pl-PL"/>
        </w:rPr>
        <w:t xml:space="preserve"> </w:t>
      </w:r>
      <w:r w:rsidRPr="00A720EE">
        <w:rPr>
          <w:rFonts w:ascii="Times New Roman" w:eastAsia="Times New Roman" w:hAnsi="Times New Roman" w:cs="Times New Roman"/>
          <w:bCs/>
          <w:sz w:val="24"/>
          <w:szCs w:val="24"/>
          <w:lang w:eastAsia="pl-PL"/>
        </w:rPr>
        <w:t xml:space="preserve">dotyczy </w:t>
      </w:r>
      <w:r w:rsidR="00E548F8" w:rsidRPr="00A720EE">
        <w:rPr>
          <w:rFonts w:ascii="Times New Roman" w:eastAsia="Times New Roman" w:hAnsi="Times New Roman" w:cs="Times New Roman"/>
          <w:bCs/>
          <w:sz w:val="24"/>
          <w:szCs w:val="24"/>
          <w:lang w:eastAsia="pl-PL"/>
        </w:rPr>
        <w:t>stosowania zmian w Ordynacji podatkowej</w:t>
      </w:r>
      <w:r w:rsidR="003C5D40" w:rsidRPr="00A720EE">
        <w:rPr>
          <w:rFonts w:ascii="Times New Roman" w:eastAsia="Times New Roman" w:hAnsi="Times New Roman" w:cs="Times New Roman"/>
          <w:bCs/>
          <w:sz w:val="24"/>
          <w:szCs w:val="24"/>
          <w:lang w:eastAsia="pl-PL"/>
        </w:rPr>
        <w:t xml:space="preserve"> w zakresie </w:t>
      </w:r>
      <w:r w:rsidR="00E21208" w:rsidRPr="00A720EE">
        <w:rPr>
          <w:rFonts w:ascii="Times New Roman" w:eastAsia="Times New Roman" w:hAnsi="Times New Roman" w:cs="Times New Roman"/>
          <w:bCs/>
          <w:sz w:val="24"/>
          <w:szCs w:val="24"/>
          <w:lang w:eastAsia="pl-PL"/>
        </w:rPr>
        <w:t>informacji o czynnościach notarialnych</w:t>
      </w:r>
    </w:p>
    <w:p w14:paraId="41E933AB" w14:textId="7CE7E5E8" w:rsidR="003D0F3F" w:rsidRPr="00A720EE" w:rsidRDefault="003323C8"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lastRenderedPageBreak/>
        <w:t>Obowiązki informacyjne notariuszy z zastosowaniem nowej regulacji zawartej w art. 84a Ordynacji podatkowej obowiązywać będą od 1 marca 2023 r. (ust. 1).</w:t>
      </w:r>
    </w:p>
    <w:p w14:paraId="05DA2B08" w14:textId="6F1120CB" w:rsidR="003323C8" w:rsidRPr="00A720EE" w:rsidRDefault="00E548F8"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W projektowany</w:t>
      </w:r>
      <w:r w:rsidR="003323C8" w:rsidRPr="00A720EE">
        <w:rPr>
          <w:rFonts w:ascii="Times New Roman" w:eastAsia="Times New Roman" w:hAnsi="Times New Roman" w:cs="Times New Roman"/>
          <w:bCs/>
          <w:sz w:val="24"/>
          <w:szCs w:val="24"/>
          <w:lang w:eastAsia="pl-PL"/>
        </w:rPr>
        <w:t>ch</w:t>
      </w:r>
      <w:r w:rsidRPr="00A720EE">
        <w:rPr>
          <w:rFonts w:ascii="Times New Roman" w:eastAsia="Times New Roman" w:hAnsi="Times New Roman" w:cs="Times New Roman"/>
          <w:bCs/>
          <w:sz w:val="24"/>
          <w:szCs w:val="24"/>
          <w:lang w:eastAsia="pl-PL"/>
        </w:rPr>
        <w:t xml:space="preserve"> </w:t>
      </w:r>
      <w:r w:rsidR="003323C8" w:rsidRPr="00A720EE">
        <w:rPr>
          <w:rFonts w:ascii="Times New Roman" w:eastAsia="Times New Roman" w:hAnsi="Times New Roman" w:cs="Times New Roman"/>
          <w:bCs/>
          <w:sz w:val="24"/>
          <w:szCs w:val="24"/>
          <w:lang w:eastAsia="pl-PL"/>
        </w:rPr>
        <w:t xml:space="preserve">ust. 2 i 3 </w:t>
      </w:r>
      <w:r w:rsidRPr="00A720EE">
        <w:rPr>
          <w:rFonts w:ascii="Times New Roman" w:eastAsia="Times New Roman" w:hAnsi="Times New Roman" w:cs="Times New Roman"/>
          <w:bCs/>
          <w:sz w:val="24"/>
          <w:szCs w:val="24"/>
          <w:lang w:eastAsia="pl-PL"/>
        </w:rPr>
        <w:t>przyjęto rozwiązanie</w:t>
      </w:r>
      <w:r w:rsidR="003323C8" w:rsidRPr="00A720EE">
        <w:rPr>
          <w:rFonts w:ascii="Times New Roman" w:eastAsia="Times New Roman" w:hAnsi="Times New Roman" w:cs="Times New Roman"/>
          <w:bCs/>
          <w:sz w:val="24"/>
          <w:szCs w:val="24"/>
          <w:lang w:eastAsia="pl-PL"/>
        </w:rPr>
        <w:t xml:space="preserve"> przejściowe</w:t>
      </w:r>
      <w:r w:rsidRPr="00A720EE">
        <w:rPr>
          <w:rFonts w:ascii="Times New Roman" w:eastAsia="Times New Roman" w:hAnsi="Times New Roman" w:cs="Times New Roman"/>
          <w:bCs/>
          <w:sz w:val="24"/>
          <w:szCs w:val="24"/>
          <w:lang w:eastAsia="pl-PL"/>
        </w:rPr>
        <w:t xml:space="preserve">, zgodnie z którym w okresie </w:t>
      </w:r>
      <w:r w:rsidR="003323C8" w:rsidRPr="00A720EE">
        <w:rPr>
          <w:rFonts w:ascii="Times New Roman" w:eastAsia="Times New Roman" w:hAnsi="Times New Roman" w:cs="Times New Roman"/>
          <w:bCs/>
          <w:sz w:val="24"/>
          <w:szCs w:val="24"/>
          <w:lang w:eastAsia="pl-PL"/>
        </w:rPr>
        <w:t xml:space="preserve">od 15 grudnia 2022 r. </w:t>
      </w:r>
      <w:r w:rsidRPr="00A720EE">
        <w:rPr>
          <w:rFonts w:ascii="Times New Roman" w:eastAsia="Times New Roman" w:hAnsi="Times New Roman" w:cs="Times New Roman"/>
          <w:bCs/>
          <w:sz w:val="24"/>
          <w:szCs w:val="24"/>
          <w:lang w:eastAsia="pl-PL"/>
        </w:rPr>
        <w:t xml:space="preserve">do </w:t>
      </w:r>
      <w:r w:rsidR="003D0F3F" w:rsidRPr="00A720EE">
        <w:rPr>
          <w:rFonts w:ascii="Times New Roman" w:eastAsia="Times New Roman" w:hAnsi="Times New Roman" w:cs="Times New Roman"/>
          <w:bCs/>
          <w:sz w:val="24"/>
          <w:szCs w:val="24"/>
          <w:lang w:eastAsia="pl-PL"/>
        </w:rPr>
        <w:t>28</w:t>
      </w:r>
      <w:r w:rsidRPr="00A720EE">
        <w:rPr>
          <w:rFonts w:ascii="Times New Roman" w:eastAsia="Times New Roman" w:hAnsi="Times New Roman" w:cs="Times New Roman"/>
          <w:bCs/>
          <w:sz w:val="24"/>
          <w:szCs w:val="24"/>
          <w:lang w:eastAsia="pl-PL"/>
        </w:rPr>
        <w:t xml:space="preserve"> </w:t>
      </w:r>
      <w:r w:rsidR="003D0F3F" w:rsidRPr="00A720EE">
        <w:rPr>
          <w:rFonts w:ascii="Times New Roman" w:eastAsia="Times New Roman" w:hAnsi="Times New Roman" w:cs="Times New Roman"/>
          <w:bCs/>
          <w:sz w:val="24"/>
          <w:szCs w:val="24"/>
          <w:lang w:eastAsia="pl-PL"/>
        </w:rPr>
        <w:t>lutego</w:t>
      </w:r>
      <w:r w:rsidRPr="00A720EE">
        <w:rPr>
          <w:rFonts w:ascii="Times New Roman" w:eastAsia="Times New Roman" w:hAnsi="Times New Roman" w:cs="Times New Roman"/>
          <w:bCs/>
          <w:sz w:val="24"/>
          <w:szCs w:val="24"/>
          <w:lang w:eastAsia="pl-PL"/>
        </w:rPr>
        <w:t xml:space="preserve"> 2023 r. treść aktów notarialnych, zarejestrowanych aktów poświadczenia dziedziczenia i europejskich poświadczeń spadkowych w wersji</w:t>
      </w:r>
      <w:r w:rsidR="003323C8" w:rsidRPr="00A720EE">
        <w:rPr>
          <w:rFonts w:ascii="Times New Roman" w:eastAsia="Times New Roman" w:hAnsi="Times New Roman" w:cs="Times New Roman"/>
          <w:bCs/>
          <w:sz w:val="24"/>
          <w:szCs w:val="24"/>
          <w:lang w:eastAsia="pl-PL"/>
        </w:rPr>
        <w:t>, co wymaga podkreślenia,</w:t>
      </w:r>
      <w:r w:rsidRPr="00A720EE">
        <w:rPr>
          <w:rFonts w:ascii="Times New Roman" w:eastAsia="Times New Roman" w:hAnsi="Times New Roman" w:cs="Times New Roman"/>
          <w:bCs/>
          <w:sz w:val="24"/>
          <w:szCs w:val="24"/>
          <w:lang w:eastAsia="pl-PL"/>
        </w:rPr>
        <w:t xml:space="preserve"> edytowalnej przekazywana będzie </w:t>
      </w:r>
      <w:r w:rsidR="003323C8" w:rsidRPr="00A720EE">
        <w:rPr>
          <w:rFonts w:ascii="Times New Roman" w:eastAsia="Times New Roman" w:hAnsi="Times New Roman" w:cs="Times New Roman"/>
          <w:bCs/>
          <w:sz w:val="24"/>
          <w:szCs w:val="24"/>
          <w:lang w:eastAsia="pl-PL"/>
        </w:rPr>
        <w:t xml:space="preserve">mogła być </w:t>
      </w:r>
      <w:r w:rsidRPr="00A720EE">
        <w:rPr>
          <w:rFonts w:ascii="Times New Roman" w:eastAsia="Times New Roman" w:hAnsi="Times New Roman" w:cs="Times New Roman"/>
          <w:bCs/>
          <w:sz w:val="24"/>
          <w:szCs w:val="24"/>
          <w:lang w:eastAsia="pl-PL"/>
        </w:rPr>
        <w:t xml:space="preserve">za pośrednictwem systemu SI GIIF. Nie będzie to dotyczyło załączników towarzyszących tym dokumentom. </w:t>
      </w:r>
    </w:p>
    <w:p w14:paraId="087EAC43" w14:textId="39A0D057" w:rsidR="00753838" w:rsidRPr="00A720EE" w:rsidRDefault="00753838"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 xml:space="preserve">Skoro Szef Krajowej Administracji Skarbowej, a w związku z tym także właściwe organy podatkowe otrzymają edytowalną i elektroniczną treść aktów notarialnych, zarejestrowanych aktów poświadczenia dziedziczenia i europejskich poświadczeń spadkowych brak będzie podstaw do przekazywania papierowych </w:t>
      </w:r>
      <w:r w:rsidR="00BE4A60" w:rsidRPr="00A720EE">
        <w:rPr>
          <w:rFonts w:ascii="Times New Roman" w:eastAsia="Times New Roman" w:hAnsi="Times New Roman" w:cs="Times New Roman"/>
          <w:bCs/>
          <w:sz w:val="24"/>
          <w:szCs w:val="24"/>
          <w:lang w:eastAsia="pl-PL"/>
        </w:rPr>
        <w:t xml:space="preserve">postaci </w:t>
      </w:r>
      <w:r w:rsidRPr="00A720EE">
        <w:rPr>
          <w:rFonts w:ascii="Times New Roman" w:eastAsia="Times New Roman" w:hAnsi="Times New Roman" w:cs="Times New Roman"/>
          <w:bCs/>
          <w:sz w:val="24"/>
          <w:szCs w:val="24"/>
          <w:lang w:eastAsia="pl-PL"/>
        </w:rPr>
        <w:t xml:space="preserve">ww. dokumentów. Stąd </w:t>
      </w:r>
      <w:r w:rsidR="00BE4A60" w:rsidRPr="00A720EE">
        <w:rPr>
          <w:rFonts w:ascii="Times New Roman" w:eastAsia="Times New Roman" w:hAnsi="Times New Roman" w:cs="Times New Roman"/>
          <w:bCs/>
          <w:sz w:val="24"/>
          <w:szCs w:val="24"/>
          <w:lang w:eastAsia="pl-PL"/>
        </w:rPr>
        <w:t>zasadnym jest przyjęcie przepisów ust. 4 w art. 26, w tym pkt 2 wyłączającego ten obowiązek.</w:t>
      </w:r>
    </w:p>
    <w:p w14:paraId="0E0D1FB3" w14:textId="3B24558A" w:rsidR="00E548F8" w:rsidRPr="00A720EE" w:rsidRDefault="003E7964" w:rsidP="00133A1C">
      <w:pPr>
        <w:spacing w:after="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Jak wskazano w uzasadnieniu d</w:t>
      </w:r>
      <w:r w:rsidR="00AE5A56" w:rsidRPr="00A720EE">
        <w:rPr>
          <w:rFonts w:ascii="Times New Roman" w:eastAsia="Times New Roman" w:hAnsi="Times New Roman" w:cs="Times New Roman"/>
          <w:bCs/>
          <w:sz w:val="24"/>
          <w:szCs w:val="24"/>
          <w:lang w:eastAsia="pl-PL"/>
        </w:rPr>
        <w:t>o</w:t>
      </w:r>
      <w:r w:rsidRPr="00A720EE">
        <w:rPr>
          <w:rFonts w:ascii="Times New Roman" w:eastAsia="Times New Roman" w:hAnsi="Times New Roman" w:cs="Times New Roman"/>
          <w:bCs/>
          <w:sz w:val="24"/>
          <w:szCs w:val="24"/>
          <w:lang w:eastAsia="pl-PL"/>
        </w:rPr>
        <w:t xml:space="preserve"> ust. 1 art. 26, o</w:t>
      </w:r>
      <w:r w:rsidR="00E548F8" w:rsidRPr="00A720EE">
        <w:rPr>
          <w:rFonts w:ascii="Times New Roman" w:eastAsia="Times New Roman" w:hAnsi="Times New Roman" w:cs="Times New Roman"/>
          <w:bCs/>
          <w:sz w:val="24"/>
          <w:szCs w:val="24"/>
          <w:lang w:eastAsia="pl-PL"/>
        </w:rPr>
        <w:t>d 1</w:t>
      </w:r>
      <w:r w:rsidRPr="00A720EE">
        <w:rPr>
          <w:rFonts w:ascii="Times New Roman" w:eastAsia="Times New Roman" w:hAnsi="Times New Roman" w:cs="Times New Roman"/>
          <w:bCs/>
          <w:sz w:val="24"/>
          <w:szCs w:val="24"/>
          <w:lang w:eastAsia="pl-PL"/>
        </w:rPr>
        <w:t xml:space="preserve"> marca</w:t>
      </w:r>
      <w:r w:rsidR="00E548F8" w:rsidRPr="00A720EE">
        <w:rPr>
          <w:rFonts w:ascii="Times New Roman" w:eastAsia="Times New Roman" w:hAnsi="Times New Roman" w:cs="Times New Roman"/>
          <w:bCs/>
          <w:sz w:val="24"/>
          <w:szCs w:val="24"/>
          <w:lang w:eastAsia="pl-PL"/>
        </w:rPr>
        <w:t xml:space="preserve"> 2023 r. </w:t>
      </w:r>
      <w:r w:rsidR="00AE5A56" w:rsidRPr="00A720EE">
        <w:rPr>
          <w:rFonts w:ascii="Times New Roman" w:eastAsia="Times New Roman" w:hAnsi="Times New Roman" w:cs="Times New Roman"/>
          <w:bCs/>
          <w:sz w:val="24"/>
          <w:szCs w:val="24"/>
          <w:lang w:eastAsia="pl-PL"/>
        </w:rPr>
        <w:t xml:space="preserve">treść aktów notarialnych, zarejestrowanych aktów poświadczenia dziedziczenia i europejskich poświadczeń spadkowych będzie obowiązkowo przekazywana do repozytorium. </w:t>
      </w:r>
      <w:r w:rsidRPr="00A720EE">
        <w:rPr>
          <w:rFonts w:ascii="Times New Roman" w:eastAsia="Times New Roman" w:hAnsi="Times New Roman" w:cs="Times New Roman"/>
          <w:bCs/>
          <w:sz w:val="24"/>
          <w:szCs w:val="24"/>
          <w:lang w:eastAsia="pl-PL"/>
        </w:rPr>
        <w:t>W proponowanym przepisie ust. 5</w:t>
      </w:r>
      <w:r w:rsidR="00AE5A56" w:rsidRPr="00A720EE">
        <w:rPr>
          <w:rFonts w:ascii="Times New Roman" w:eastAsia="Times New Roman" w:hAnsi="Times New Roman" w:cs="Times New Roman"/>
          <w:bCs/>
          <w:sz w:val="24"/>
          <w:szCs w:val="24"/>
          <w:lang w:eastAsia="pl-PL"/>
        </w:rPr>
        <w:t>,</w:t>
      </w:r>
      <w:r w:rsidRPr="00A720EE">
        <w:rPr>
          <w:rFonts w:ascii="Times New Roman" w:eastAsia="Times New Roman" w:hAnsi="Times New Roman" w:cs="Times New Roman"/>
          <w:bCs/>
          <w:sz w:val="24"/>
          <w:szCs w:val="24"/>
          <w:lang w:eastAsia="pl-PL"/>
        </w:rPr>
        <w:t xml:space="preserve"> do 30 września 2023 r. Szef Krajowej Administracji Skarbowej otrzyma treść </w:t>
      </w:r>
      <w:r w:rsidR="00AE5A56" w:rsidRPr="00A720EE">
        <w:rPr>
          <w:rFonts w:ascii="Times New Roman" w:eastAsia="Times New Roman" w:hAnsi="Times New Roman" w:cs="Times New Roman"/>
          <w:bCs/>
          <w:sz w:val="24"/>
          <w:szCs w:val="24"/>
          <w:lang w:eastAsia="pl-PL"/>
        </w:rPr>
        <w:t>ww. dokumentów</w:t>
      </w:r>
      <w:r w:rsidRPr="00A720EE">
        <w:rPr>
          <w:rFonts w:ascii="Times New Roman" w:eastAsia="Times New Roman" w:hAnsi="Times New Roman" w:cs="Times New Roman"/>
          <w:bCs/>
          <w:sz w:val="24"/>
          <w:szCs w:val="24"/>
          <w:lang w:eastAsia="pl-PL"/>
        </w:rPr>
        <w:t xml:space="preserve"> z repozytorium umieszczonych </w:t>
      </w:r>
      <w:r w:rsidR="00AE5A56" w:rsidRPr="00A720EE">
        <w:rPr>
          <w:rFonts w:ascii="Times New Roman" w:eastAsia="Times New Roman" w:hAnsi="Times New Roman" w:cs="Times New Roman"/>
          <w:bCs/>
          <w:sz w:val="24"/>
          <w:szCs w:val="24"/>
          <w:lang w:eastAsia="pl-PL"/>
        </w:rPr>
        <w:t xml:space="preserve">w nim przez notariuszy </w:t>
      </w:r>
      <w:r w:rsidRPr="00A720EE">
        <w:rPr>
          <w:rFonts w:ascii="Times New Roman" w:eastAsia="Times New Roman" w:hAnsi="Times New Roman" w:cs="Times New Roman"/>
          <w:bCs/>
          <w:sz w:val="24"/>
          <w:szCs w:val="24"/>
          <w:lang w:eastAsia="pl-PL"/>
        </w:rPr>
        <w:t>do 30 czerwca 2023</w:t>
      </w:r>
      <w:r w:rsidR="00AE5A56" w:rsidRPr="00A720EE">
        <w:rPr>
          <w:rFonts w:ascii="Times New Roman" w:eastAsia="Times New Roman" w:hAnsi="Times New Roman" w:cs="Times New Roman"/>
          <w:bCs/>
          <w:sz w:val="24"/>
          <w:szCs w:val="24"/>
          <w:lang w:eastAsia="pl-PL"/>
        </w:rPr>
        <w:t> </w:t>
      </w:r>
      <w:r w:rsidRPr="00A720EE">
        <w:rPr>
          <w:rFonts w:ascii="Times New Roman" w:eastAsia="Times New Roman" w:hAnsi="Times New Roman" w:cs="Times New Roman"/>
          <w:bCs/>
          <w:sz w:val="24"/>
          <w:szCs w:val="24"/>
          <w:lang w:eastAsia="pl-PL"/>
        </w:rPr>
        <w:t>r.</w:t>
      </w:r>
      <w:r w:rsidR="00AE5A56" w:rsidRPr="00A720EE">
        <w:rPr>
          <w:rFonts w:ascii="Times New Roman" w:eastAsia="Times New Roman" w:hAnsi="Times New Roman" w:cs="Times New Roman"/>
          <w:bCs/>
          <w:sz w:val="24"/>
          <w:szCs w:val="24"/>
          <w:lang w:eastAsia="pl-PL"/>
        </w:rPr>
        <w:t xml:space="preserve">, </w:t>
      </w:r>
      <w:r w:rsidR="00E548F8" w:rsidRPr="00A720EE">
        <w:rPr>
          <w:rFonts w:ascii="Times New Roman" w:eastAsia="Times New Roman" w:hAnsi="Times New Roman" w:cs="Times New Roman"/>
          <w:bCs/>
          <w:sz w:val="24"/>
          <w:szCs w:val="24"/>
          <w:lang w:eastAsia="pl-PL"/>
        </w:rPr>
        <w:t xml:space="preserve">co </w:t>
      </w:r>
      <w:r w:rsidR="00834B07" w:rsidRPr="00A720EE">
        <w:rPr>
          <w:rFonts w:ascii="Times New Roman" w:eastAsia="Times New Roman" w:hAnsi="Times New Roman" w:cs="Times New Roman"/>
          <w:bCs/>
          <w:sz w:val="24"/>
          <w:szCs w:val="24"/>
          <w:lang w:eastAsia="pl-PL"/>
        </w:rPr>
        <w:t>z</w:t>
      </w:r>
      <w:r w:rsidR="00E548F8" w:rsidRPr="00A720EE">
        <w:rPr>
          <w:rFonts w:ascii="Times New Roman" w:eastAsia="Times New Roman" w:hAnsi="Times New Roman" w:cs="Times New Roman"/>
          <w:bCs/>
          <w:sz w:val="24"/>
          <w:szCs w:val="24"/>
          <w:lang w:eastAsia="pl-PL"/>
        </w:rPr>
        <w:t>apewni ciągłość i kompletność zasobów tych dokumentów w systemie</w:t>
      </w:r>
      <w:r w:rsidR="00834B07" w:rsidRPr="00A720EE">
        <w:rPr>
          <w:rFonts w:ascii="Times New Roman" w:eastAsia="Times New Roman" w:hAnsi="Times New Roman" w:cs="Times New Roman"/>
          <w:bCs/>
          <w:sz w:val="24"/>
          <w:szCs w:val="24"/>
          <w:lang w:eastAsia="pl-PL"/>
        </w:rPr>
        <w:t xml:space="preserve"> CRCM</w:t>
      </w:r>
      <w:r w:rsidR="00E548F8" w:rsidRPr="00A720EE">
        <w:rPr>
          <w:rFonts w:ascii="Times New Roman" w:eastAsia="Times New Roman" w:hAnsi="Times New Roman" w:cs="Times New Roman"/>
          <w:bCs/>
          <w:sz w:val="24"/>
          <w:szCs w:val="24"/>
          <w:lang w:eastAsia="pl-PL"/>
        </w:rPr>
        <w:t>, któr</w:t>
      </w:r>
      <w:r w:rsidR="00834B07" w:rsidRPr="00A720EE">
        <w:rPr>
          <w:rFonts w:ascii="Times New Roman" w:eastAsia="Times New Roman" w:hAnsi="Times New Roman" w:cs="Times New Roman"/>
          <w:bCs/>
          <w:sz w:val="24"/>
          <w:szCs w:val="24"/>
          <w:lang w:eastAsia="pl-PL"/>
        </w:rPr>
        <w:t xml:space="preserve">e winny być </w:t>
      </w:r>
      <w:r w:rsidR="00E548F8" w:rsidRPr="00A720EE">
        <w:rPr>
          <w:rFonts w:ascii="Times New Roman" w:eastAsia="Times New Roman" w:hAnsi="Times New Roman" w:cs="Times New Roman"/>
          <w:bCs/>
          <w:sz w:val="24"/>
          <w:szCs w:val="24"/>
          <w:lang w:eastAsia="pl-PL"/>
        </w:rPr>
        <w:t>przekaz</w:t>
      </w:r>
      <w:r w:rsidR="00834B07" w:rsidRPr="00A720EE">
        <w:rPr>
          <w:rFonts w:ascii="Times New Roman" w:eastAsia="Times New Roman" w:hAnsi="Times New Roman" w:cs="Times New Roman"/>
          <w:bCs/>
          <w:sz w:val="24"/>
          <w:szCs w:val="24"/>
          <w:lang w:eastAsia="pl-PL"/>
        </w:rPr>
        <w:t>ywane</w:t>
      </w:r>
      <w:r w:rsidR="00E548F8" w:rsidRPr="00A720EE">
        <w:rPr>
          <w:rFonts w:ascii="Times New Roman" w:eastAsia="Times New Roman" w:hAnsi="Times New Roman" w:cs="Times New Roman"/>
          <w:bCs/>
          <w:sz w:val="24"/>
          <w:szCs w:val="24"/>
          <w:lang w:eastAsia="pl-PL"/>
        </w:rPr>
        <w:t xml:space="preserve"> Szefowi Krajowej Administracji Skarbowej przez Krajową Radę Notarialną</w:t>
      </w:r>
      <w:r w:rsidR="00834B07" w:rsidRPr="00A720EE">
        <w:rPr>
          <w:rFonts w:ascii="Times New Roman" w:eastAsia="Times New Roman" w:hAnsi="Times New Roman" w:cs="Times New Roman"/>
          <w:bCs/>
          <w:sz w:val="24"/>
          <w:szCs w:val="24"/>
          <w:lang w:eastAsia="pl-PL"/>
        </w:rPr>
        <w:t xml:space="preserve"> niezwłocznie</w:t>
      </w:r>
      <w:r w:rsidR="00E548F8" w:rsidRPr="00A720EE">
        <w:rPr>
          <w:rFonts w:ascii="Times New Roman" w:eastAsia="Times New Roman" w:hAnsi="Times New Roman" w:cs="Times New Roman"/>
          <w:bCs/>
          <w:sz w:val="24"/>
          <w:szCs w:val="24"/>
          <w:lang w:eastAsia="pl-PL"/>
        </w:rPr>
        <w:t>.</w:t>
      </w:r>
      <w:r w:rsidR="00834B07" w:rsidRPr="00A720EE">
        <w:rPr>
          <w:rFonts w:ascii="Times New Roman" w:eastAsia="Times New Roman" w:hAnsi="Times New Roman" w:cs="Times New Roman"/>
          <w:bCs/>
          <w:sz w:val="24"/>
          <w:szCs w:val="24"/>
          <w:lang w:eastAsia="pl-PL"/>
        </w:rPr>
        <w:t xml:space="preserve"> </w:t>
      </w:r>
      <w:r w:rsidR="00B03C4E" w:rsidRPr="00A720EE">
        <w:rPr>
          <w:rFonts w:ascii="Times New Roman" w:eastAsia="Times New Roman" w:hAnsi="Times New Roman" w:cs="Times New Roman"/>
          <w:bCs/>
          <w:sz w:val="24"/>
          <w:szCs w:val="24"/>
          <w:lang w:eastAsia="pl-PL"/>
        </w:rPr>
        <w:t>Zatem od 1 lipca Krajowa Rada Notarialna będzie obowiązana do niezwłocznego przekazywania złożonych w repozytorium aktów notarialnych, zarejestrowanych aktów poświadczenia dziedziczenia i europejskich poświadczeń spadkowych.</w:t>
      </w:r>
    </w:p>
    <w:p w14:paraId="555B6BD6" w14:textId="783D4E4F" w:rsidR="00E548F8" w:rsidRPr="00A720EE" w:rsidRDefault="00E548F8" w:rsidP="000151A2">
      <w:pPr>
        <w:spacing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Cs/>
          <w:sz w:val="24"/>
          <w:szCs w:val="24"/>
          <w:lang w:eastAsia="pl-PL"/>
        </w:rPr>
        <w:t xml:space="preserve">Zaproponowane rozwiązania stwarzają możliwość podjęcia przez Krajową Radę Notarialną, Generalnego Inspektora Informacji Finansowej oraz Szefa Krajowej Administracji Skarbowej działań organizacyjnych związanych z przygotowaniem poszczególnych systemów do rozwiązania docelowego przewidzianego w art. 84a § 3 </w:t>
      </w:r>
      <w:r w:rsidR="00B03C4E" w:rsidRPr="00A720EE">
        <w:rPr>
          <w:rFonts w:ascii="Times New Roman" w:eastAsia="Times New Roman" w:hAnsi="Times New Roman" w:cs="Times New Roman"/>
          <w:bCs/>
          <w:sz w:val="24"/>
          <w:szCs w:val="24"/>
          <w:lang w:eastAsia="pl-PL"/>
        </w:rPr>
        <w:t xml:space="preserve">i 4 </w:t>
      </w:r>
      <w:r w:rsidRPr="00A720EE">
        <w:rPr>
          <w:rFonts w:ascii="Times New Roman" w:eastAsia="Times New Roman" w:hAnsi="Times New Roman" w:cs="Times New Roman"/>
          <w:bCs/>
          <w:sz w:val="24"/>
          <w:szCs w:val="24"/>
          <w:lang w:eastAsia="pl-PL"/>
        </w:rPr>
        <w:t xml:space="preserve">Ordynacji podatkowej. </w:t>
      </w:r>
    </w:p>
    <w:p w14:paraId="010D7A69" w14:textId="30D73AC5" w:rsidR="00184DF1" w:rsidRPr="00A720EE" w:rsidRDefault="0073545F" w:rsidP="000151A2">
      <w:pPr>
        <w:spacing w:before="240" w:after="120" w:line="276" w:lineRule="auto"/>
        <w:jc w:val="both"/>
        <w:rPr>
          <w:rFonts w:ascii="Times New Roman" w:eastAsia="Times New Roman" w:hAnsi="Times New Roman" w:cs="Times New Roman"/>
          <w:bCs/>
          <w:sz w:val="24"/>
          <w:szCs w:val="24"/>
          <w:lang w:eastAsia="pl-PL"/>
        </w:rPr>
      </w:pPr>
      <w:r w:rsidRPr="00A720EE">
        <w:rPr>
          <w:rFonts w:ascii="Times New Roman" w:eastAsia="Times New Roman" w:hAnsi="Times New Roman" w:cs="Times New Roman"/>
          <w:b/>
          <w:bCs/>
          <w:sz w:val="24"/>
          <w:szCs w:val="24"/>
          <w:u w:val="single"/>
          <w:lang w:eastAsia="pl-PL"/>
        </w:rPr>
        <w:t>Art. 27</w:t>
      </w:r>
      <w:r w:rsidR="00184DF1" w:rsidRPr="00A720EE">
        <w:rPr>
          <w:rFonts w:ascii="Times New Roman" w:eastAsia="Times New Roman" w:hAnsi="Times New Roman" w:cs="Times New Roman"/>
          <w:b/>
          <w:bCs/>
          <w:sz w:val="24"/>
          <w:szCs w:val="24"/>
          <w:u w:val="single"/>
          <w:lang w:eastAsia="pl-PL"/>
        </w:rPr>
        <w:t xml:space="preserve"> projektu ustawy</w:t>
      </w:r>
      <w:r w:rsidR="00184DF1" w:rsidRPr="00A720EE">
        <w:rPr>
          <w:rFonts w:ascii="Times New Roman" w:eastAsia="Times New Roman" w:hAnsi="Times New Roman" w:cs="Times New Roman"/>
          <w:b/>
          <w:bCs/>
          <w:sz w:val="24"/>
          <w:szCs w:val="24"/>
          <w:lang w:eastAsia="pl-PL"/>
        </w:rPr>
        <w:t xml:space="preserve"> </w:t>
      </w:r>
      <w:r w:rsidRPr="00A720EE">
        <w:rPr>
          <w:rFonts w:ascii="Times New Roman" w:eastAsia="Times New Roman" w:hAnsi="Times New Roman" w:cs="Times New Roman"/>
          <w:bCs/>
          <w:sz w:val="24"/>
          <w:szCs w:val="24"/>
          <w:lang w:eastAsia="pl-PL"/>
        </w:rPr>
        <w:t>– dotyczy stosowania</w:t>
      </w:r>
      <w:r w:rsidRPr="00A720EE">
        <w:rPr>
          <w:rFonts w:ascii="Times New Roman" w:eastAsia="Times New Roman" w:hAnsi="Times New Roman" w:cs="Times New Roman"/>
          <w:b/>
          <w:bCs/>
          <w:sz w:val="24"/>
          <w:szCs w:val="24"/>
          <w:lang w:eastAsia="pl-PL"/>
        </w:rPr>
        <w:t xml:space="preserve"> </w:t>
      </w:r>
      <w:r w:rsidRPr="00A720EE">
        <w:rPr>
          <w:rFonts w:ascii="Times New Roman" w:eastAsia="Times New Roman" w:hAnsi="Times New Roman" w:cs="Times New Roman"/>
          <w:bCs/>
          <w:sz w:val="24"/>
          <w:szCs w:val="24"/>
          <w:lang w:eastAsia="pl-PL"/>
        </w:rPr>
        <w:t>mocy aktów wykonawczych</w:t>
      </w:r>
    </w:p>
    <w:p w14:paraId="7D1DCC7B" w14:textId="77777777" w:rsidR="00072480" w:rsidRPr="00A720EE" w:rsidRDefault="00072480" w:rsidP="000151A2">
      <w:pPr>
        <w:pStyle w:val="ARTartustawynprozporzdzenia"/>
        <w:spacing w:before="0" w:after="120" w:line="276" w:lineRule="auto"/>
        <w:ind w:firstLine="0"/>
        <w:rPr>
          <w:rFonts w:ascii="Times New Roman" w:hAnsi="Times New Roman" w:cs="Times New Roman"/>
          <w:bCs/>
          <w:szCs w:val="24"/>
        </w:rPr>
      </w:pPr>
      <w:r w:rsidRPr="00A720EE">
        <w:rPr>
          <w:rFonts w:ascii="Times New Roman" w:hAnsi="Times New Roman" w:cs="Times New Roman"/>
          <w:bCs/>
          <w:szCs w:val="24"/>
        </w:rPr>
        <w:t xml:space="preserve">Przepis zachowujący przejściowo moc aktów wykonawczych wydanych na postawie zmienianych przepisów.  </w:t>
      </w:r>
    </w:p>
    <w:p w14:paraId="7B3A8FAE" w14:textId="77777777" w:rsidR="00072480" w:rsidRPr="00A720EE" w:rsidRDefault="00072480" w:rsidP="000151A2">
      <w:pPr>
        <w:pStyle w:val="ARTartustawynprozporzdzenia"/>
        <w:spacing w:before="0" w:after="120" w:line="276" w:lineRule="auto"/>
        <w:ind w:firstLine="0"/>
        <w:rPr>
          <w:rFonts w:ascii="Times New Roman" w:hAnsi="Times New Roman" w:cs="Times New Roman"/>
          <w:szCs w:val="24"/>
        </w:rPr>
      </w:pPr>
      <w:r w:rsidRPr="00A720EE">
        <w:rPr>
          <w:rStyle w:val="Ppogrubienie"/>
          <w:rFonts w:ascii="Times New Roman" w:hAnsi="Times New Roman" w:cs="Times New Roman"/>
          <w:b w:val="0"/>
          <w:szCs w:val="24"/>
        </w:rPr>
        <w:t xml:space="preserve">Stanowi podstawę do utrzymania w mocy dotychczasowych przepisów wykonawczych wydanych na podstawie </w:t>
      </w:r>
      <w:r w:rsidRPr="00A720EE">
        <w:rPr>
          <w:rFonts w:ascii="Times New Roman" w:hAnsi="Times New Roman" w:cs="Times New Roman"/>
          <w:szCs w:val="24"/>
        </w:rPr>
        <w:t xml:space="preserve">art. 146d ustawy o VAT, tj. rozporządzenia Ministra Finansów z dnia 25 marca 2020 r. w sprawie towarów i usług, dla których obniża się stawkę podatku od towarów i usług, oraz warunków stosowania stawek obniżonych (Dz. U. z 2021 r. poz. 1696, z </w:t>
      </w:r>
      <w:proofErr w:type="spellStart"/>
      <w:r w:rsidRPr="00A720EE">
        <w:rPr>
          <w:rFonts w:ascii="Times New Roman" w:hAnsi="Times New Roman" w:cs="Times New Roman"/>
          <w:szCs w:val="24"/>
        </w:rPr>
        <w:t>późn</w:t>
      </w:r>
      <w:proofErr w:type="spellEnd"/>
      <w:r w:rsidRPr="00A720EE">
        <w:rPr>
          <w:rFonts w:ascii="Times New Roman" w:hAnsi="Times New Roman" w:cs="Times New Roman"/>
          <w:szCs w:val="24"/>
        </w:rPr>
        <w:t>. zm.).</w:t>
      </w:r>
    </w:p>
    <w:p w14:paraId="2A64D6B9" w14:textId="535660B3" w:rsidR="00F87E8F" w:rsidRPr="00A720EE" w:rsidRDefault="00F87E8F" w:rsidP="000151A2">
      <w:pPr>
        <w:pStyle w:val="ARTartustawynprozporzdzenia"/>
        <w:spacing w:before="0" w:after="120" w:line="276" w:lineRule="auto"/>
        <w:ind w:firstLine="0"/>
        <w:rPr>
          <w:rFonts w:ascii="Times New Roman" w:hAnsi="Times New Roman" w:cs="Times New Roman"/>
          <w:szCs w:val="24"/>
        </w:rPr>
      </w:pPr>
      <w:r w:rsidRPr="00A720EE">
        <w:rPr>
          <w:rStyle w:val="Ppogrubienie"/>
          <w:rFonts w:ascii="Times New Roman" w:hAnsi="Times New Roman" w:cs="Times New Roman"/>
          <w:b w:val="0"/>
          <w:szCs w:val="24"/>
        </w:rPr>
        <w:t>Utrzymanie w mocy aktu wykonawczego zostało przewidziane do czasu wydania nowego</w:t>
      </w:r>
      <w:r w:rsidR="00184DF1" w:rsidRPr="00A720EE">
        <w:rPr>
          <w:rStyle w:val="Ppogrubienie"/>
          <w:rFonts w:ascii="Times New Roman" w:hAnsi="Times New Roman" w:cs="Times New Roman"/>
          <w:b w:val="0"/>
          <w:szCs w:val="24"/>
        </w:rPr>
        <w:t xml:space="preserve"> </w:t>
      </w:r>
      <w:r w:rsidRPr="00A720EE">
        <w:rPr>
          <w:rStyle w:val="Ppogrubienie"/>
          <w:rFonts w:ascii="Times New Roman" w:hAnsi="Times New Roman" w:cs="Times New Roman"/>
          <w:b w:val="0"/>
          <w:szCs w:val="24"/>
        </w:rPr>
        <w:t>rozporządzenia</w:t>
      </w:r>
      <w:r w:rsidRPr="00A720EE">
        <w:rPr>
          <w:rFonts w:ascii="Times New Roman" w:hAnsi="Times New Roman" w:cs="Times New Roman"/>
          <w:szCs w:val="24"/>
        </w:rPr>
        <w:t>, jednak nie dłużej niż do dnia 30 czerwca 2024 r., z dodatkowym zastrzeżeniem, że dotychczasowe rozporządzenie może być w tym czasie zmieniane.</w:t>
      </w:r>
    </w:p>
    <w:p w14:paraId="5B23132F" w14:textId="06A3067C" w:rsidR="00B03C4E" w:rsidRPr="00A720EE" w:rsidRDefault="00B03C4E" w:rsidP="000151A2">
      <w:pPr>
        <w:pStyle w:val="ARTartustawynprozporzdzenia"/>
        <w:spacing w:before="0" w:after="120" w:line="276" w:lineRule="auto"/>
        <w:ind w:firstLine="0"/>
        <w:rPr>
          <w:rFonts w:ascii="Times New Roman" w:hAnsi="Times New Roman" w:cs="Times New Roman"/>
          <w:szCs w:val="24"/>
        </w:rPr>
      </w:pPr>
      <w:r w:rsidRPr="00A720EE">
        <w:rPr>
          <w:rFonts w:ascii="Times New Roman" w:hAnsi="Times New Roman" w:cs="Times New Roman"/>
          <w:szCs w:val="24"/>
        </w:rPr>
        <w:t xml:space="preserve">W przypadku przepisów wykonawczych dedykowanych obowiązkom </w:t>
      </w:r>
      <w:r w:rsidR="005902A4" w:rsidRPr="00A720EE">
        <w:rPr>
          <w:rFonts w:ascii="Times New Roman" w:hAnsi="Times New Roman" w:cs="Times New Roman"/>
          <w:szCs w:val="24"/>
        </w:rPr>
        <w:t xml:space="preserve">informacyjnym </w:t>
      </w:r>
      <w:r w:rsidRPr="00A720EE">
        <w:rPr>
          <w:rFonts w:ascii="Times New Roman" w:hAnsi="Times New Roman" w:cs="Times New Roman"/>
          <w:szCs w:val="24"/>
        </w:rPr>
        <w:t xml:space="preserve">notariuszy </w:t>
      </w:r>
      <w:r w:rsidR="005902A4" w:rsidRPr="00A720EE">
        <w:rPr>
          <w:rFonts w:ascii="Times New Roman" w:hAnsi="Times New Roman" w:cs="Times New Roman"/>
          <w:szCs w:val="24"/>
        </w:rPr>
        <w:t>mającym podstawę w</w:t>
      </w:r>
      <w:r w:rsidRPr="00A720EE">
        <w:rPr>
          <w:rFonts w:ascii="Times New Roman" w:hAnsi="Times New Roman" w:cs="Times New Roman"/>
          <w:szCs w:val="24"/>
        </w:rPr>
        <w:t xml:space="preserve"> Or</w:t>
      </w:r>
      <w:r w:rsidR="005902A4" w:rsidRPr="00A720EE">
        <w:rPr>
          <w:rFonts w:ascii="Times New Roman" w:hAnsi="Times New Roman" w:cs="Times New Roman"/>
          <w:szCs w:val="24"/>
        </w:rPr>
        <w:t xml:space="preserve">dynacji podatkowej, ustawie o podatku od spadków </w:t>
      </w:r>
      <w:r w:rsidR="005902A4" w:rsidRPr="00A720EE">
        <w:rPr>
          <w:rFonts w:ascii="Times New Roman" w:hAnsi="Times New Roman" w:cs="Times New Roman"/>
          <w:szCs w:val="24"/>
        </w:rPr>
        <w:lastRenderedPageBreak/>
        <w:t>i darowizn oraz ustawy o PCC, w ust. 2 art. 27 wskazano, że zachowują one swoją moc do 31 grudnia 2023 r. i mogą być w tym czasie zmieniane.</w:t>
      </w:r>
    </w:p>
    <w:p w14:paraId="62273DC8" w14:textId="612D1511" w:rsidR="00010C63" w:rsidRPr="00A720EE" w:rsidRDefault="006930DF" w:rsidP="000151A2">
      <w:pPr>
        <w:widowControl w:val="0"/>
        <w:autoSpaceDE w:val="0"/>
        <w:autoSpaceDN w:val="0"/>
        <w:adjustRightInd w:val="0"/>
        <w:spacing w:before="240" w:after="0" w:line="276" w:lineRule="auto"/>
        <w:jc w:val="both"/>
        <w:rPr>
          <w:rFonts w:ascii="Times New Roman" w:eastAsiaTheme="minorEastAsia" w:hAnsi="Times New Roman" w:cs="Times New Roman"/>
          <w:b/>
          <w:sz w:val="24"/>
          <w:szCs w:val="24"/>
          <w:u w:val="single"/>
          <w:lang w:eastAsia="pl-PL"/>
        </w:rPr>
      </w:pPr>
      <w:r w:rsidRPr="00A720EE">
        <w:rPr>
          <w:rFonts w:ascii="Times New Roman" w:eastAsiaTheme="minorEastAsia" w:hAnsi="Times New Roman" w:cs="Times New Roman"/>
          <w:b/>
          <w:sz w:val="24"/>
          <w:szCs w:val="24"/>
          <w:u w:val="single"/>
          <w:lang w:eastAsia="pl-PL"/>
        </w:rPr>
        <w:t xml:space="preserve">Art. </w:t>
      </w:r>
      <w:r w:rsidR="0073545F" w:rsidRPr="00A720EE">
        <w:rPr>
          <w:rFonts w:ascii="Times New Roman" w:eastAsiaTheme="minorEastAsia" w:hAnsi="Times New Roman" w:cs="Times New Roman"/>
          <w:b/>
          <w:sz w:val="24"/>
          <w:szCs w:val="24"/>
          <w:u w:val="single"/>
          <w:lang w:eastAsia="pl-PL"/>
        </w:rPr>
        <w:t>28</w:t>
      </w:r>
      <w:r w:rsidR="0099599D" w:rsidRPr="00A720EE">
        <w:rPr>
          <w:rFonts w:ascii="Times New Roman" w:eastAsiaTheme="minorEastAsia" w:hAnsi="Times New Roman" w:cs="Times New Roman"/>
          <w:b/>
          <w:sz w:val="24"/>
          <w:szCs w:val="24"/>
          <w:u w:val="single"/>
          <w:lang w:eastAsia="pl-PL"/>
        </w:rPr>
        <w:t xml:space="preserve"> </w:t>
      </w:r>
      <w:r w:rsidR="00010C63" w:rsidRPr="00A720EE">
        <w:rPr>
          <w:rFonts w:ascii="Times New Roman" w:eastAsiaTheme="minorEastAsia" w:hAnsi="Times New Roman" w:cs="Times New Roman"/>
          <w:b/>
          <w:sz w:val="24"/>
          <w:szCs w:val="24"/>
          <w:u w:val="single"/>
          <w:lang w:eastAsia="pl-PL"/>
        </w:rPr>
        <w:t xml:space="preserve">projektu ustawy </w:t>
      </w:r>
    </w:p>
    <w:p w14:paraId="2C001A4E" w14:textId="198E1FD2" w:rsidR="007A3394" w:rsidRPr="00A720EE" w:rsidRDefault="001F6A3C" w:rsidP="001F6A3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Przepis określa datę wejścia w życie projektowanych zmian, tj. 1 stycznia 2023 r.</w:t>
      </w:r>
      <w:r w:rsidR="00B77838" w:rsidRPr="00A720EE">
        <w:rPr>
          <w:rFonts w:ascii="Times New Roman" w:eastAsiaTheme="minorEastAsia" w:hAnsi="Times New Roman" w:cs="Times New Roman"/>
          <w:sz w:val="24"/>
          <w:szCs w:val="24"/>
          <w:lang w:eastAsia="pl-PL"/>
        </w:rPr>
        <w:t xml:space="preserve"> z wyjątkiem</w:t>
      </w:r>
      <w:r w:rsidR="00F5046D" w:rsidRPr="00A720EE">
        <w:rPr>
          <w:rFonts w:ascii="Times New Roman" w:eastAsiaTheme="minorEastAsia" w:hAnsi="Times New Roman" w:cs="Times New Roman"/>
          <w:sz w:val="24"/>
          <w:szCs w:val="24"/>
          <w:lang w:eastAsia="pl-PL"/>
        </w:rPr>
        <w:t xml:space="preserve"> m.in</w:t>
      </w:r>
      <w:r w:rsidR="005C3C34" w:rsidRPr="00A720EE">
        <w:rPr>
          <w:rFonts w:ascii="Times New Roman" w:eastAsiaTheme="minorEastAsia" w:hAnsi="Times New Roman" w:cs="Times New Roman"/>
          <w:sz w:val="24"/>
          <w:szCs w:val="24"/>
          <w:lang w:eastAsia="pl-PL"/>
        </w:rPr>
        <w:t>:</w:t>
      </w:r>
      <w:r w:rsidR="00A879E2" w:rsidRPr="00A720EE">
        <w:rPr>
          <w:rFonts w:ascii="Times New Roman" w:eastAsiaTheme="minorEastAsia" w:hAnsi="Times New Roman" w:cs="Times New Roman"/>
          <w:sz w:val="24"/>
          <w:szCs w:val="24"/>
          <w:lang w:eastAsia="pl-PL"/>
        </w:rPr>
        <w:t xml:space="preserve"> </w:t>
      </w:r>
    </w:p>
    <w:p w14:paraId="14CCBAE2" w14:textId="094D6AD7" w:rsidR="004121B3" w:rsidRPr="00A720EE" w:rsidRDefault="00B77838" w:rsidP="000151A2">
      <w:pPr>
        <w:pStyle w:val="Akapitzlist"/>
        <w:widowControl w:val="0"/>
        <w:numPr>
          <w:ilvl w:val="0"/>
          <w:numId w:val="66"/>
        </w:numPr>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przepisów wprowadzających zmiany w zakresie </w:t>
      </w:r>
      <w:r w:rsidR="00AD73A0" w:rsidRPr="00A720EE">
        <w:rPr>
          <w:rFonts w:ascii="Times New Roman" w:eastAsiaTheme="minorEastAsia" w:hAnsi="Times New Roman" w:cs="Times New Roman"/>
          <w:sz w:val="24"/>
          <w:szCs w:val="24"/>
          <w:lang w:eastAsia="pl-PL"/>
        </w:rPr>
        <w:t xml:space="preserve">części przepisów dotyczących </w:t>
      </w:r>
      <w:r w:rsidRPr="00A720EE">
        <w:rPr>
          <w:rFonts w:ascii="Times New Roman" w:eastAsiaTheme="minorEastAsia" w:hAnsi="Times New Roman" w:cs="Times New Roman"/>
          <w:sz w:val="24"/>
          <w:szCs w:val="24"/>
          <w:lang w:eastAsia="pl-PL"/>
        </w:rPr>
        <w:t>obowiązku sporządzenia lokalnej dokumentacji cen transferowych dla transakcji rajowych</w:t>
      </w:r>
      <w:r w:rsidR="004121B3" w:rsidRPr="00A720EE">
        <w:rPr>
          <w:rFonts w:ascii="Times New Roman" w:eastAsiaTheme="minorEastAsia" w:hAnsi="Times New Roman" w:cs="Times New Roman"/>
          <w:sz w:val="24"/>
          <w:szCs w:val="24"/>
          <w:lang w:eastAsia="pl-PL"/>
        </w:rPr>
        <w:t xml:space="preserve">, zwolnienia z zapłaty minimalnego </w:t>
      </w:r>
      <w:r w:rsidR="001E2D79" w:rsidRPr="00A720EE">
        <w:rPr>
          <w:rFonts w:ascii="Times New Roman" w:eastAsiaTheme="minorEastAsia" w:hAnsi="Times New Roman" w:cs="Times New Roman"/>
          <w:sz w:val="24"/>
          <w:szCs w:val="24"/>
          <w:lang w:eastAsia="pl-PL"/>
        </w:rPr>
        <w:t xml:space="preserve">podatku dochodowego, </w:t>
      </w:r>
      <w:r w:rsidR="000E7377" w:rsidRPr="00A720EE">
        <w:rPr>
          <w:rFonts w:ascii="Times New Roman" w:eastAsiaTheme="minorEastAsia" w:hAnsi="Times New Roman" w:cs="Times New Roman"/>
          <w:sz w:val="24"/>
          <w:szCs w:val="24"/>
          <w:lang w:eastAsia="pl-PL"/>
        </w:rPr>
        <w:t xml:space="preserve">czy </w:t>
      </w:r>
      <w:r w:rsidR="004121B3" w:rsidRPr="00A720EE">
        <w:rPr>
          <w:rFonts w:ascii="Times New Roman" w:eastAsiaTheme="minorEastAsia" w:hAnsi="Times New Roman" w:cs="Times New Roman"/>
          <w:sz w:val="24"/>
          <w:szCs w:val="24"/>
          <w:lang w:eastAsia="pl-PL"/>
        </w:rPr>
        <w:t>zmian wprowadzonych w ustawie o świadczeniach opieki zdrowotnej</w:t>
      </w:r>
      <w:r w:rsidR="00F5046D" w:rsidRPr="00A720EE">
        <w:rPr>
          <w:rFonts w:ascii="Times New Roman" w:eastAsiaTheme="minorEastAsia" w:hAnsi="Times New Roman" w:cs="Times New Roman"/>
          <w:sz w:val="24"/>
          <w:szCs w:val="24"/>
          <w:lang w:eastAsia="pl-PL"/>
        </w:rPr>
        <w:t xml:space="preserve"> – data wejścia w życie dzień następujący</w:t>
      </w:r>
      <w:r w:rsidR="004121B3" w:rsidRPr="00A720EE">
        <w:rPr>
          <w:rFonts w:ascii="Times New Roman" w:eastAsiaTheme="minorEastAsia" w:hAnsi="Times New Roman" w:cs="Times New Roman"/>
          <w:sz w:val="24"/>
          <w:szCs w:val="24"/>
          <w:lang w:eastAsia="pl-PL"/>
        </w:rPr>
        <w:t xml:space="preserve"> po dniu </w:t>
      </w:r>
      <w:r w:rsidRPr="00A720EE">
        <w:rPr>
          <w:rFonts w:ascii="Times New Roman" w:eastAsiaTheme="minorEastAsia" w:hAnsi="Times New Roman" w:cs="Times New Roman"/>
          <w:sz w:val="24"/>
          <w:szCs w:val="24"/>
          <w:lang w:eastAsia="pl-PL"/>
        </w:rPr>
        <w:t>ogłoszenia</w:t>
      </w:r>
      <w:r w:rsidR="007A3394" w:rsidRPr="00A720EE">
        <w:rPr>
          <w:rFonts w:ascii="Times New Roman" w:eastAsiaTheme="minorEastAsia" w:hAnsi="Times New Roman" w:cs="Times New Roman"/>
          <w:sz w:val="24"/>
          <w:szCs w:val="24"/>
          <w:lang w:eastAsia="pl-PL"/>
        </w:rPr>
        <w:t>;</w:t>
      </w:r>
    </w:p>
    <w:p w14:paraId="4BE13023" w14:textId="7A087226" w:rsidR="00AD73A0" w:rsidRPr="00A720EE" w:rsidRDefault="004121B3" w:rsidP="001F6A3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u w:val="single"/>
          <w:lang w:eastAsia="pl-PL"/>
        </w:rPr>
        <w:t>W przypadku lokalnej dokumentacji cen transferowych</w:t>
      </w:r>
      <w:r w:rsidRPr="00A720EE">
        <w:rPr>
          <w:rFonts w:ascii="Times New Roman" w:eastAsiaTheme="minorEastAsia" w:hAnsi="Times New Roman" w:cs="Times New Roman"/>
          <w:sz w:val="24"/>
          <w:szCs w:val="24"/>
          <w:lang w:eastAsia="pl-PL"/>
        </w:rPr>
        <w:t xml:space="preserve"> dla transakcji rajowych j</w:t>
      </w:r>
      <w:r w:rsidR="00B77838" w:rsidRPr="00A720EE">
        <w:rPr>
          <w:rFonts w:ascii="Times New Roman" w:eastAsiaTheme="minorEastAsia" w:hAnsi="Times New Roman" w:cs="Times New Roman"/>
          <w:sz w:val="24"/>
          <w:szCs w:val="24"/>
          <w:lang w:eastAsia="pl-PL"/>
        </w:rPr>
        <w:t>est to konieczne ze względu na możliwość retroaktywnego skorzystania z nowych, korzystniejszych rozwiązań przez podmioty, które mają obowiązek raportowania w terminie do końca 2022 roku. Wejście w życie tych przepisów w dniu 1 stycznia 2023 roku pozbawiłoby te podmioty możliwości zastosowania korzystniejszych dla nich rozwiązań.</w:t>
      </w:r>
    </w:p>
    <w:p w14:paraId="4C61DBC0" w14:textId="0A980166" w:rsidR="00AD73A0" w:rsidRPr="00A720EE" w:rsidRDefault="00AD73A0" w:rsidP="001F6A3C">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Część przepisów dotyczących stosowania zasady ceny rynkowej i obowiązków dokumentacyjnych w zakresie transakcji rajowych, </w:t>
      </w:r>
      <w:proofErr w:type="spellStart"/>
      <w:r w:rsidRPr="00A720EE">
        <w:rPr>
          <w:rFonts w:ascii="Times New Roman" w:eastAsiaTheme="minorEastAsia" w:hAnsi="Times New Roman" w:cs="Times New Roman"/>
          <w:sz w:val="24"/>
          <w:szCs w:val="24"/>
          <w:lang w:eastAsia="pl-PL"/>
        </w:rPr>
        <w:t>t.j</w:t>
      </w:r>
      <w:proofErr w:type="spellEnd"/>
      <w:r w:rsidRPr="00A720EE">
        <w:rPr>
          <w:rFonts w:ascii="Times New Roman" w:eastAsiaTheme="minorEastAsia" w:hAnsi="Times New Roman" w:cs="Times New Roman"/>
          <w:sz w:val="24"/>
          <w:szCs w:val="24"/>
          <w:lang w:eastAsia="pl-PL"/>
        </w:rPr>
        <w:t>. propozycji uchylenia tych regulacji w zakresie pośrednich transakcji rajowych, weszłaby w życie z dniem ogłoszenia z mocą od dnia 1 stycznia 2021 r.</w:t>
      </w:r>
    </w:p>
    <w:p w14:paraId="27AEB364" w14:textId="77777777" w:rsidR="00A879E2" w:rsidRPr="00A720EE" w:rsidRDefault="00A879E2" w:rsidP="001F6A3C">
      <w:pPr>
        <w:widowControl w:val="0"/>
        <w:autoSpaceDE w:val="0"/>
        <w:autoSpaceDN w:val="0"/>
        <w:adjustRightInd w:val="0"/>
        <w:spacing w:before="120" w:after="0" w:line="276" w:lineRule="auto"/>
        <w:jc w:val="both"/>
        <w:rPr>
          <w:rFonts w:ascii="Times New Roman" w:eastAsiaTheme="minorEastAsia" w:hAnsi="Times New Roman" w:cs="Times New Roman"/>
          <w:b/>
          <w:sz w:val="24"/>
          <w:szCs w:val="24"/>
          <w:lang w:eastAsia="pl-PL"/>
        </w:rPr>
      </w:pPr>
      <w:r w:rsidRPr="00A720EE">
        <w:rPr>
          <w:rFonts w:ascii="Times New Roman" w:eastAsiaTheme="minorEastAsia" w:hAnsi="Times New Roman" w:cs="Times New Roman"/>
          <w:sz w:val="24"/>
          <w:szCs w:val="24"/>
          <w:u w:val="single"/>
          <w:lang w:eastAsia="pl-PL"/>
        </w:rPr>
        <w:t>W odniesieniu do zwolnienia z minimalnego podatku dochodowego</w:t>
      </w:r>
      <w:r w:rsidRPr="00A720EE">
        <w:rPr>
          <w:rFonts w:ascii="Times New Roman" w:eastAsiaTheme="minorEastAsia" w:hAnsi="Times New Roman" w:cs="Times New Roman"/>
          <w:sz w:val="24"/>
          <w:szCs w:val="24"/>
          <w:lang w:eastAsia="pl-PL"/>
        </w:rPr>
        <w:t>, potrzeba wcześniejszego wprowadzenia w życie tego przepisu podyktowana jest jak najwcześniejszym wejściem w życie korzystnych rozwiązań dla podatników, a także ewentualnym zabezpieczeniem sytuacji podatnika przed koniecznością zapłaty tego podatku za 2022 r.</w:t>
      </w:r>
    </w:p>
    <w:p w14:paraId="74CFE399" w14:textId="62F21DFD" w:rsidR="009E482F" w:rsidRPr="00A720EE" w:rsidRDefault="004121B3" w:rsidP="001B119B">
      <w:pPr>
        <w:shd w:val="clear" w:color="auto" w:fill="FFFFFF" w:themeFill="background1"/>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bCs/>
          <w:sz w:val="24"/>
          <w:szCs w:val="24"/>
          <w:u w:val="single"/>
          <w:lang w:eastAsia="pl-PL"/>
        </w:rPr>
        <w:t>W odniesieniu do zmian w ustawie o świadczeniach opieki zdrowotnej</w:t>
      </w:r>
      <w:r w:rsidR="009E482F" w:rsidRPr="00A720EE">
        <w:rPr>
          <w:rFonts w:ascii="Times New Roman" w:eastAsiaTheme="minorEastAsia" w:hAnsi="Times New Roman" w:cs="Times New Roman"/>
          <w:bCs/>
          <w:sz w:val="24"/>
          <w:szCs w:val="24"/>
          <w:lang w:eastAsia="pl-PL"/>
        </w:rPr>
        <w:t xml:space="preserve"> dotyczących</w:t>
      </w:r>
      <w:r w:rsidR="009E482F" w:rsidRPr="00A720EE">
        <w:rPr>
          <w:rFonts w:ascii="Times New Roman" w:eastAsiaTheme="minorEastAsia" w:hAnsi="Times New Roman" w:cs="Times New Roman"/>
          <w:sz w:val="24"/>
          <w:szCs w:val="24"/>
          <w:lang w:eastAsia="pl-PL"/>
        </w:rPr>
        <w:t xml:space="preserve"> określenia sytuacji, gdy ubezpieczony przedsiębiorca (ryczałtowiec) nie przekaże do ZUS informacji o miesięcznym przychodzie z działalności gospodarczej</w:t>
      </w:r>
      <w:r w:rsidR="001B119B" w:rsidRPr="00A720EE">
        <w:rPr>
          <w:rFonts w:ascii="Times New Roman" w:eastAsiaTheme="minorEastAsia" w:hAnsi="Times New Roman" w:cs="Times New Roman"/>
          <w:sz w:val="24"/>
          <w:szCs w:val="24"/>
          <w:lang w:eastAsia="pl-PL"/>
        </w:rPr>
        <w:t xml:space="preserve">, wskazany termin wejścia w życie podyktowany jest koniecznością </w:t>
      </w:r>
      <w:proofErr w:type="spellStart"/>
      <w:r w:rsidR="001B119B" w:rsidRPr="00A720EE">
        <w:rPr>
          <w:rFonts w:ascii="Times New Roman" w:eastAsiaTheme="minorEastAsia" w:hAnsi="Times New Roman" w:cs="Times New Roman"/>
          <w:sz w:val="24"/>
          <w:szCs w:val="24"/>
          <w:lang w:eastAsia="pl-PL"/>
        </w:rPr>
        <w:t>uspójnienia</w:t>
      </w:r>
      <w:proofErr w:type="spellEnd"/>
      <w:r w:rsidR="001B119B" w:rsidRPr="00A720EE">
        <w:rPr>
          <w:rFonts w:ascii="Times New Roman" w:eastAsiaTheme="minorEastAsia" w:hAnsi="Times New Roman" w:cs="Times New Roman"/>
          <w:sz w:val="24"/>
          <w:szCs w:val="24"/>
          <w:lang w:eastAsia="pl-PL"/>
        </w:rPr>
        <w:t xml:space="preserve"> regulacji dotyczących miesięcznej składki zdrowotnej przedsiębiorców rozliczających się w podatku dochodowym od osób fizycznych w formie zryczałtowanej. </w:t>
      </w:r>
    </w:p>
    <w:p w14:paraId="6895850E" w14:textId="1BBD0901" w:rsidR="00F5046D" w:rsidRPr="00A720EE" w:rsidRDefault="00F5046D" w:rsidP="00F5046D">
      <w:pPr>
        <w:numPr>
          <w:ilvl w:val="0"/>
          <w:numId w:val="67"/>
        </w:numPr>
        <w:shd w:val="clear" w:color="auto" w:fill="FFFFFF" w:themeFill="background1"/>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heme="minorEastAsia" w:hAnsi="Times New Roman" w:cs="Times New Roman"/>
          <w:sz w:val="24"/>
          <w:szCs w:val="24"/>
          <w:lang w:eastAsia="pl-PL"/>
        </w:rPr>
        <w:t>przepisów wprowadzających zmiany dotyczące przedłużenia tarczy antyinflacyjnej (w</w:t>
      </w:r>
      <w:r w:rsidR="00324155"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zakresie podatku VAT, akcyzy i podatku od sprzedaży detalicznej) – data wejścia w</w:t>
      </w:r>
      <w:r w:rsidR="00324155"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życie 31 października 2022 r., a także przedłużenia obowiązywania podwyższonych o 1pp stawek podatku VAT – data wejścia w życie 30 października 2022 r.;</w:t>
      </w:r>
    </w:p>
    <w:p w14:paraId="3CD697B7" w14:textId="3420CDBF" w:rsidR="00F5046D" w:rsidRPr="00A720EE" w:rsidRDefault="00F5046D">
      <w:pPr>
        <w:numPr>
          <w:ilvl w:val="0"/>
          <w:numId w:val="67"/>
        </w:numPr>
        <w:shd w:val="clear" w:color="auto" w:fill="FFFFFF" w:themeFill="background1"/>
        <w:spacing w:before="120" w:after="0" w:line="276" w:lineRule="auto"/>
        <w:jc w:val="both"/>
        <w:rPr>
          <w:rFonts w:ascii="Times New Roman" w:hAnsi="Times New Roman" w:cs="Times New Roman"/>
          <w:sz w:val="24"/>
          <w:szCs w:val="24"/>
          <w:lang w:eastAsia="pl-PL"/>
        </w:rPr>
      </w:pPr>
      <w:r w:rsidRPr="00A720EE">
        <w:rPr>
          <w:rFonts w:ascii="Times New Roman" w:eastAsiaTheme="minorEastAsia" w:hAnsi="Times New Roman" w:cs="Times New Roman"/>
          <w:sz w:val="24"/>
          <w:szCs w:val="24"/>
          <w:lang w:eastAsia="pl-PL"/>
        </w:rPr>
        <w:t xml:space="preserve">zmian w Ordynacji podatkowej w zakresie art. 84a § 4 </w:t>
      </w:r>
      <w:r w:rsidR="005902A4" w:rsidRPr="00A720EE">
        <w:rPr>
          <w:rFonts w:ascii="Times New Roman" w:eastAsiaTheme="minorEastAsia" w:hAnsi="Times New Roman" w:cs="Times New Roman"/>
          <w:sz w:val="24"/>
          <w:szCs w:val="24"/>
          <w:lang w:eastAsia="pl-PL"/>
        </w:rPr>
        <w:t>traktujących o obowi</w:t>
      </w:r>
      <w:r w:rsidR="00324155" w:rsidRPr="00A720EE">
        <w:rPr>
          <w:rFonts w:ascii="Times New Roman" w:eastAsiaTheme="minorEastAsia" w:hAnsi="Times New Roman" w:cs="Times New Roman"/>
          <w:sz w:val="24"/>
          <w:szCs w:val="24"/>
          <w:lang w:eastAsia="pl-PL"/>
        </w:rPr>
        <w:t xml:space="preserve">ązkach informacyjnych notariuszy wchodzą w życie dwu etapowo, tzn. od 15 grudnia 2022 r. – fakultatywnie i od 1 marca 2023 r. – obligatoryjnie. Obowiązek Krajowej Rady Notarialnej dotyczący przekazywania umieszczonych przez notariuszy w repozytorium </w:t>
      </w:r>
      <w:r w:rsidRPr="00A720EE">
        <w:rPr>
          <w:rFonts w:ascii="Times New Roman" w:eastAsiaTheme="minorEastAsia" w:hAnsi="Times New Roman" w:cs="Times New Roman"/>
          <w:sz w:val="24"/>
          <w:szCs w:val="24"/>
          <w:lang w:eastAsia="pl-PL"/>
        </w:rPr>
        <w:t>treści aktów notarialnych, zarejestrowanych aktów poświadczenia dziedziczenia i</w:t>
      </w:r>
      <w:r w:rsidR="00324155" w:rsidRPr="00A720EE">
        <w:rPr>
          <w:rFonts w:ascii="Times New Roman" w:eastAsiaTheme="minorEastAsia" w:hAnsi="Times New Roman" w:cs="Times New Roman"/>
          <w:sz w:val="24"/>
          <w:szCs w:val="24"/>
          <w:lang w:eastAsia="pl-PL"/>
        </w:rPr>
        <w:t> </w:t>
      </w:r>
      <w:r w:rsidRPr="00A720EE">
        <w:rPr>
          <w:rFonts w:ascii="Times New Roman" w:eastAsiaTheme="minorEastAsia" w:hAnsi="Times New Roman" w:cs="Times New Roman"/>
          <w:sz w:val="24"/>
          <w:szCs w:val="24"/>
          <w:lang w:eastAsia="pl-PL"/>
        </w:rPr>
        <w:t xml:space="preserve">europejskich poświadczeń spadkowych </w:t>
      </w:r>
      <w:r w:rsidR="00324155" w:rsidRPr="00A720EE">
        <w:rPr>
          <w:rFonts w:ascii="Times New Roman" w:eastAsiaTheme="minorEastAsia" w:hAnsi="Times New Roman" w:cs="Times New Roman"/>
          <w:sz w:val="24"/>
          <w:szCs w:val="24"/>
          <w:lang w:eastAsia="pl-PL"/>
        </w:rPr>
        <w:t xml:space="preserve">wejdzie w życie </w:t>
      </w:r>
      <w:r w:rsidRPr="00A720EE">
        <w:rPr>
          <w:rFonts w:ascii="Times New Roman" w:eastAsiaTheme="minorEastAsia" w:hAnsi="Times New Roman" w:cs="Times New Roman"/>
          <w:sz w:val="24"/>
          <w:szCs w:val="24"/>
          <w:lang w:eastAsia="pl-PL"/>
        </w:rPr>
        <w:t xml:space="preserve">od 1 </w:t>
      </w:r>
      <w:r w:rsidR="00324155" w:rsidRPr="00A720EE">
        <w:rPr>
          <w:rFonts w:ascii="Times New Roman" w:eastAsiaTheme="minorEastAsia" w:hAnsi="Times New Roman" w:cs="Times New Roman"/>
          <w:sz w:val="24"/>
          <w:szCs w:val="24"/>
          <w:lang w:eastAsia="pl-PL"/>
        </w:rPr>
        <w:t>lipc</w:t>
      </w:r>
      <w:r w:rsidRPr="00A720EE">
        <w:rPr>
          <w:rFonts w:ascii="Times New Roman" w:eastAsiaTheme="minorEastAsia" w:hAnsi="Times New Roman" w:cs="Times New Roman"/>
          <w:sz w:val="24"/>
          <w:szCs w:val="24"/>
          <w:lang w:eastAsia="pl-PL"/>
        </w:rPr>
        <w:t>a 2023 r.</w:t>
      </w:r>
    </w:p>
    <w:p w14:paraId="0FD9EC18" w14:textId="77777777" w:rsidR="00072480" w:rsidRPr="00C10205" w:rsidRDefault="00072480" w:rsidP="000151A2">
      <w:pPr>
        <w:widowControl w:val="0"/>
        <w:autoSpaceDE w:val="0"/>
        <w:autoSpaceDN w:val="0"/>
        <w:adjustRightInd w:val="0"/>
        <w:spacing w:before="120" w:after="0" w:line="276" w:lineRule="auto"/>
        <w:jc w:val="both"/>
        <w:rPr>
          <w:rFonts w:ascii="Times New Roman" w:eastAsiaTheme="minorEastAsia" w:hAnsi="Times New Roman" w:cs="Times New Roman"/>
          <w:color w:val="000000" w:themeColor="text1"/>
          <w:sz w:val="24"/>
          <w:szCs w:val="24"/>
          <w:lang w:eastAsia="pl-PL"/>
        </w:rPr>
      </w:pPr>
    </w:p>
    <w:p w14:paraId="751D5131" w14:textId="77777777" w:rsidR="00B96862" w:rsidRPr="00C10205" w:rsidRDefault="00B96862" w:rsidP="00B96862">
      <w:pPr>
        <w:shd w:val="clear" w:color="auto" w:fill="FFFFFF" w:themeFill="background1"/>
        <w:spacing w:before="120" w:after="0" w:line="276" w:lineRule="auto"/>
        <w:jc w:val="both"/>
        <w:rPr>
          <w:rFonts w:ascii="Times New Roman" w:eastAsia="Times New Roman" w:hAnsi="Times New Roman" w:cs="Times New Roman"/>
          <w:b/>
          <w:color w:val="000000" w:themeColor="text1"/>
          <w:sz w:val="24"/>
          <w:szCs w:val="24"/>
          <w:lang w:eastAsia="pl-PL"/>
        </w:rPr>
      </w:pPr>
      <w:r w:rsidRPr="00C10205">
        <w:rPr>
          <w:rFonts w:ascii="Times New Roman" w:eastAsia="Times New Roman" w:hAnsi="Times New Roman" w:cs="Times New Roman"/>
          <w:b/>
          <w:color w:val="000000" w:themeColor="text1"/>
          <w:sz w:val="24"/>
          <w:szCs w:val="24"/>
          <w:lang w:eastAsia="pl-PL"/>
        </w:rPr>
        <w:t>DODATKOWE INFORMACJE</w:t>
      </w:r>
    </w:p>
    <w:p w14:paraId="00C0AEE7" w14:textId="77777777" w:rsidR="00B96862" w:rsidRPr="00C10205" w:rsidRDefault="00B96862" w:rsidP="00B96862">
      <w:pPr>
        <w:spacing w:before="120" w:after="0" w:line="276" w:lineRule="auto"/>
        <w:jc w:val="both"/>
        <w:rPr>
          <w:rFonts w:ascii="Times New Roman" w:eastAsia="Calibri" w:hAnsi="Times New Roman" w:cs="Times New Roman"/>
          <w:b/>
          <w:color w:val="000000" w:themeColor="text1"/>
          <w:sz w:val="24"/>
          <w:szCs w:val="24"/>
        </w:rPr>
      </w:pPr>
      <w:r w:rsidRPr="00C10205">
        <w:rPr>
          <w:rFonts w:ascii="Times New Roman" w:eastAsia="Calibri" w:hAnsi="Times New Roman" w:cs="Times New Roman"/>
          <w:b/>
          <w:color w:val="000000" w:themeColor="text1"/>
          <w:sz w:val="24"/>
          <w:szCs w:val="24"/>
        </w:rPr>
        <w:t>Wpływ ustawy na działalność gospodarczą przedsiębiorców</w:t>
      </w:r>
    </w:p>
    <w:p w14:paraId="7B028F2F" w14:textId="6981F72B" w:rsidR="00B96862" w:rsidRPr="00A720EE" w:rsidRDefault="00B96862" w:rsidP="00B96862">
      <w:pPr>
        <w:widowControl w:val="0"/>
        <w:autoSpaceDE w:val="0"/>
        <w:autoSpaceDN w:val="0"/>
        <w:adjustRightInd w:val="0"/>
        <w:spacing w:before="120" w:after="0" w:line="276" w:lineRule="auto"/>
        <w:jc w:val="both"/>
        <w:rPr>
          <w:rFonts w:ascii="Times New Roman" w:eastAsiaTheme="minorEastAsia" w:hAnsi="Times New Roman" w:cs="Times New Roman"/>
          <w:sz w:val="24"/>
          <w:szCs w:val="24"/>
          <w:lang w:eastAsia="pl-PL"/>
        </w:rPr>
      </w:pPr>
      <w:r w:rsidRPr="00A720EE">
        <w:rPr>
          <w:rFonts w:ascii="Times New Roman" w:hAnsi="Times New Roman" w:cs="Times New Roman"/>
          <w:sz w:val="24"/>
          <w:szCs w:val="24"/>
        </w:rPr>
        <w:t>Projekt ustawy odnosi się do kwestii działalności gospodarczej przedsiębiorców, zastosowanie do niego znajd</w:t>
      </w:r>
      <w:r w:rsidR="005F6E08" w:rsidRPr="00A720EE">
        <w:rPr>
          <w:rFonts w:ascii="Times New Roman" w:hAnsi="Times New Roman" w:cs="Times New Roman"/>
          <w:sz w:val="24"/>
          <w:szCs w:val="24"/>
        </w:rPr>
        <w:t xml:space="preserve">uje zatem art. 66 ustawy z </w:t>
      </w:r>
      <w:r w:rsidRPr="00A720EE">
        <w:rPr>
          <w:rFonts w:ascii="Times New Roman" w:hAnsi="Times New Roman" w:cs="Times New Roman"/>
          <w:sz w:val="24"/>
          <w:szCs w:val="24"/>
        </w:rPr>
        <w:t>6 marca 2018 r. – Prawo przedsiębiorców</w:t>
      </w:r>
      <w:r w:rsidR="005F6E08" w:rsidRPr="00A720EE">
        <w:rPr>
          <w:rStyle w:val="Odwoanieprzypisudolnego"/>
          <w:rFonts w:ascii="Times New Roman" w:hAnsi="Times New Roman"/>
          <w:sz w:val="24"/>
          <w:szCs w:val="24"/>
        </w:rPr>
        <w:footnoteReference w:id="27"/>
      </w:r>
      <w:r w:rsidRPr="00A720EE">
        <w:rPr>
          <w:rFonts w:ascii="Times New Roman" w:hAnsi="Times New Roman" w:cs="Times New Roman"/>
          <w:sz w:val="24"/>
          <w:szCs w:val="24"/>
        </w:rPr>
        <w:t>. W</w:t>
      </w:r>
      <w:r w:rsidR="00324155" w:rsidRPr="00A720EE">
        <w:rPr>
          <w:rFonts w:ascii="Times New Roman" w:hAnsi="Times New Roman" w:cs="Times New Roman"/>
          <w:sz w:val="24"/>
          <w:szCs w:val="24"/>
        </w:rPr>
        <w:t> </w:t>
      </w:r>
      <w:r w:rsidRPr="00A720EE">
        <w:rPr>
          <w:rFonts w:ascii="Times New Roman" w:hAnsi="Times New Roman" w:cs="Times New Roman"/>
          <w:sz w:val="24"/>
          <w:szCs w:val="24"/>
        </w:rPr>
        <w:t>projekcie przewidziane są rozwiązania korzystn</w:t>
      </w:r>
      <w:r w:rsidR="00B85838" w:rsidRPr="00A720EE">
        <w:rPr>
          <w:rFonts w:ascii="Times New Roman" w:hAnsi="Times New Roman" w:cs="Times New Roman"/>
          <w:sz w:val="24"/>
          <w:szCs w:val="24"/>
        </w:rPr>
        <w:t xml:space="preserve">e dla przedsiębiorców. Wśród nich </w:t>
      </w:r>
      <w:r w:rsidR="00F87D6A" w:rsidRPr="00A720EE">
        <w:rPr>
          <w:rFonts w:ascii="Times New Roman" w:hAnsi="Times New Roman" w:cs="Times New Roman"/>
          <w:sz w:val="24"/>
          <w:szCs w:val="24"/>
        </w:rPr>
        <w:t>wskazać można</w:t>
      </w:r>
      <w:r w:rsidR="00310049" w:rsidRPr="00A720EE">
        <w:rPr>
          <w:rFonts w:ascii="Times New Roman" w:hAnsi="Times New Roman" w:cs="Times New Roman"/>
          <w:sz w:val="24"/>
          <w:szCs w:val="24"/>
        </w:rPr>
        <w:t xml:space="preserve"> </w:t>
      </w:r>
      <w:r w:rsidR="00F87D6A" w:rsidRPr="00A720EE">
        <w:rPr>
          <w:rFonts w:ascii="Times New Roman" w:hAnsi="Times New Roman" w:cs="Times New Roman"/>
          <w:sz w:val="24"/>
          <w:szCs w:val="24"/>
        </w:rPr>
        <w:t>odroczenie stosowania przepisów o minimalnym podatku dochodowym,</w:t>
      </w:r>
      <w:r w:rsidR="00B85838" w:rsidRPr="00A720EE">
        <w:rPr>
          <w:rFonts w:ascii="Times New Roman" w:hAnsi="Times New Roman" w:cs="Times New Roman"/>
          <w:sz w:val="24"/>
          <w:szCs w:val="24"/>
        </w:rPr>
        <w:t xml:space="preserve"> odroczenie wejścia w życie przepisów o ukrytej dywidendzie, </w:t>
      </w:r>
      <w:r w:rsidR="00310049" w:rsidRPr="00A720EE">
        <w:rPr>
          <w:rFonts w:ascii="Times New Roman" w:hAnsi="Times New Roman" w:cs="Times New Roman"/>
          <w:sz w:val="24"/>
          <w:szCs w:val="24"/>
        </w:rPr>
        <w:t xml:space="preserve">czy wydłużenie terminu na złożenie rocznego rozliczenia podatkowego. </w:t>
      </w:r>
      <w:r w:rsidRPr="00A720EE">
        <w:rPr>
          <w:rFonts w:ascii="Times New Roman" w:hAnsi="Times New Roman" w:cs="Times New Roman"/>
          <w:sz w:val="24"/>
          <w:szCs w:val="24"/>
        </w:rPr>
        <w:t>Zmiany te ułatwią prowadzenie działalności gospodarczej</w:t>
      </w:r>
      <w:r w:rsidR="00310049" w:rsidRPr="00A720EE">
        <w:rPr>
          <w:rFonts w:ascii="Times New Roman" w:hAnsi="Times New Roman" w:cs="Times New Roman"/>
          <w:sz w:val="24"/>
          <w:szCs w:val="24"/>
        </w:rPr>
        <w:t xml:space="preserve"> przez podatników podatku CIT</w:t>
      </w:r>
      <w:r w:rsidRPr="00A720EE">
        <w:rPr>
          <w:rFonts w:ascii="Times New Roman" w:hAnsi="Times New Roman" w:cs="Times New Roman"/>
          <w:sz w:val="24"/>
          <w:szCs w:val="24"/>
        </w:rPr>
        <w:t>.</w:t>
      </w:r>
    </w:p>
    <w:p w14:paraId="2C3BF1EB" w14:textId="77777777" w:rsidR="00B96862" w:rsidRPr="00A720EE" w:rsidRDefault="00B96862" w:rsidP="00B96862">
      <w:pPr>
        <w:spacing w:before="120" w:after="0" w:line="276" w:lineRule="auto"/>
        <w:jc w:val="both"/>
        <w:outlineLvl w:val="1"/>
        <w:rPr>
          <w:rFonts w:ascii="Times New Roman" w:hAnsi="Times New Roman" w:cs="Times New Roman"/>
          <w:sz w:val="24"/>
          <w:szCs w:val="24"/>
        </w:rPr>
      </w:pPr>
      <w:r w:rsidRPr="00A720EE">
        <w:rPr>
          <w:rFonts w:ascii="Times New Roman" w:hAnsi="Times New Roman" w:cs="Times New Roman"/>
          <w:sz w:val="24"/>
          <w:szCs w:val="24"/>
        </w:rPr>
        <w:t>Wprowadzenie jakichkolwiek zmian w tym zakresie wymaga ich nowelizacji. Osiągnięcie zamierzonych celów niemożliwe jest zatem drogą inną niż ustawowa.</w:t>
      </w:r>
    </w:p>
    <w:p w14:paraId="12BC7C58" w14:textId="77777777" w:rsidR="00B96862" w:rsidRPr="00C10205" w:rsidRDefault="00B96862" w:rsidP="00B96862">
      <w:pPr>
        <w:spacing w:before="120" w:after="0" w:line="276" w:lineRule="auto"/>
        <w:jc w:val="both"/>
        <w:rPr>
          <w:rFonts w:ascii="Times New Roman" w:eastAsia="Calibri" w:hAnsi="Times New Roman" w:cs="Times New Roman"/>
          <w:b/>
          <w:color w:val="000000" w:themeColor="text1"/>
          <w:sz w:val="24"/>
          <w:szCs w:val="24"/>
        </w:rPr>
      </w:pPr>
      <w:r w:rsidRPr="00C10205">
        <w:rPr>
          <w:rFonts w:ascii="Times New Roman" w:eastAsia="Calibri" w:hAnsi="Times New Roman" w:cs="Times New Roman"/>
          <w:b/>
          <w:color w:val="000000" w:themeColor="text1"/>
          <w:sz w:val="24"/>
          <w:szCs w:val="24"/>
        </w:rPr>
        <w:t xml:space="preserve">Wpływ </w:t>
      </w:r>
      <w:r w:rsidR="004F2521" w:rsidRPr="00C10205">
        <w:rPr>
          <w:rFonts w:ascii="Times New Roman" w:eastAsia="Calibri" w:hAnsi="Times New Roman" w:cs="Times New Roman"/>
          <w:b/>
          <w:color w:val="000000" w:themeColor="text1"/>
          <w:sz w:val="24"/>
          <w:szCs w:val="24"/>
        </w:rPr>
        <w:t xml:space="preserve">ustawy </w:t>
      </w:r>
      <w:r w:rsidRPr="00C10205">
        <w:rPr>
          <w:rFonts w:ascii="Times New Roman" w:eastAsia="Calibri" w:hAnsi="Times New Roman" w:cs="Times New Roman"/>
          <w:b/>
          <w:color w:val="000000" w:themeColor="text1"/>
          <w:sz w:val="24"/>
          <w:szCs w:val="24"/>
        </w:rPr>
        <w:t xml:space="preserve">na </w:t>
      </w:r>
      <w:r w:rsidR="004F2521" w:rsidRPr="00C10205">
        <w:rPr>
          <w:rFonts w:ascii="Times New Roman" w:eastAsia="Calibri" w:hAnsi="Times New Roman" w:cs="Times New Roman"/>
          <w:b/>
          <w:color w:val="000000" w:themeColor="text1"/>
          <w:sz w:val="24"/>
          <w:szCs w:val="24"/>
        </w:rPr>
        <w:t>działalność mikro</w:t>
      </w:r>
      <w:r w:rsidR="001F6959" w:rsidRPr="00C10205">
        <w:rPr>
          <w:rFonts w:ascii="Times New Roman" w:eastAsia="Calibri" w:hAnsi="Times New Roman" w:cs="Times New Roman"/>
          <w:b/>
          <w:color w:val="000000" w:themeColor="text1"/>
          <w:sz w:val="24"/>
          <w:szCs w:val="24"/>
        </w:rPr>
        <w:t xml:space="preserve"> </w:t>
      </w:r>
      <w:r w:rsidR="004F2521" w:rsidRPr="00C10205">
        <w:rPr>
          <w:rFonts w:ascii="Times New Roman" w:eastAsia="Calibri" w:hAnsi="Times New Roman" w:cs="Times New Roman"/>
          <w:b/>
          <w:color w:val="000000" w:themeColor="text1"/>
          <w:sz w:val="24"/>
          <w:szCs w:val="24"/>
        </w:rPr>
        <w:t xml:space="preserve">przedsiębiorców i </w:t>
      </w:r>
      <w:r w:rsidRPr="00C10205">
        <w:rPr>
          <w:rFonts w:ascii="Times New Roman" w:eastAsia="Calibri" w:hAnsi="Times New Roman" w:cs="Times New Roman"/>
          <w:b/>
          <w:color w:val="000000" w:themeColor="text1"/>
          <w:sz w:val="24"/>
          <w:szCs w:val="24"/>
        </w:rPr>
        <w:t>MŚP</w:t>
      </w:r>
    </w:p>
    <w:p w14:paraId="63FB09BE" w14:textId="373C64D7" w:rsidR="00545763" w:rsidRPr="00A720EE" w:rsidRDefault="004F2521" w:rsidP="00545763">
      <w:pPr>
        <w:spacing w:before="120" w:after="0" w:line="276" w:lineRule="auto"/>
        <w:jc w:val="both"/>
        <w:outlineLvl w:val="1"/>
        <w:rPr>
          <w:rFonts w:ascii="Times New Roman" w:hAnsi="Times New Roman" w:cs="Times New Roman"/>
          <w:sz w:val="24"/>
          <w:szCs w:val="24"/>
        </w:rPr>
      </w:pPr>
      <w:r w:rsidRPr="00A720EE">
        <w:rPr>
          <w:rFonts w:ascii="Times New Roman" w:hAnsi="Times New Roman" w:cs="Times New Roman"/>
          <w:sz w:val="24"/>
          <w:szCs w:val="24"/>
        </w:rPr>
        <w:t>P</w:t>
      </w:r>
      <w:r w:rsidR="00B96862" w:rsidRPr="00A720EE">
        <w:rPr>
          <w:rFonts w:ascii="Times New Roman" w:hAnsi="Times New Roman" w:cs="Times New Roman"/>
          <w:sz w:val="24"/>
          <w:szCs w:val="24"/>
        </w:rPr>
        <w:t xml:space="preserve">rojekt ustawy oddziałuje </w:t>
      </w:r>
      <w:r w:rsidRPr="00A720EE">
        <w:rPr>
          <w:rFonts w:ascii="Times New Roman" w:hAnsi="Times New Roman" w:cs="Times New Roman"/>
          <w:sz w:val="24"/>
          <w:szCs w:val="24"/>
        </w:rPr>
        <w:t>pozytywnie na działalności mikro</w:t>
      </w:r>
      <w:r w:rsidR="001F6959" w:rsidRPr="00A720EE">
        <w:rPr>
          <w:rFonts w:ascii="Times New Roman" w:hAnsi="Times New Roman" w:cs="Times New Roman"/>
          <w:sz w:val="24"/>
          <w:szCs w:val="24"/>
        </w:rPr>
        <w:t xml:space="preserve"> </w:t>
      </w:r>
      <w:r w:rsidRPr="00A720EE">
        <w:rPr>
          <w:rFonts w:ascii="Times New Roman" w:hAnsi="Times New Roman" w:cs="Times New Roman"/>
          <w:sz w:val="24"/>
          <w:szCs w:val="24"/>
        </w:rPr>
        <w:t xml:space="preserve">przedsiębiorców oraz </w:t>
      </w:r>
      <w:r w:rsidR="00FD4AC8" w:rsidRPr="00A720EE">
        <w:rPr>
          <w:rFonts w:ascii="Times New Roman" w:hAnsi="Times New Roman" w:cs="Times New Roman"/>
          <w:sz w:val="24"/>
          <w:szCs w:val="24"/>
        </w:rPr>
        <w:t xml:space="preserve">pozytywnie </w:t>
      </w:r>
      <w:r w:rsidR="00B96862" w:rsidRPr="00A720EE">
        <w:rPr>
          <w:rFonts w:ascii="Times New Roman" w:hAnsi="Times New Roman" w:cs="Times New Roman"/>
          <w:sz w:val="24"/>
          <w:szCs w:val="24"/>
        </w:rPr>
        <w:t>na sektor MŚP.</w:t>
      </w:r>
      <w:r w:rsidRPr="00A720EE">
        <w:rPr>
          <w:rFonts w:ascii="Times New Roman" w:hAnsi="Times New Roman" w:cs="Times New Roman"/>
          <w:sz w:val="24"/>
          <w:szCs w:val="24"/>
        </w:rPr>
        <w:t xml:space="preserve"> </w:t>
      </w:r>
      <w:r w:rsidR="00545763" w:rsidRPr="00A720EE">
        <w:rPr>
          <w:rFonts w:ascii="Times New Roman" w:hAnsi="Times New Roman" w:cs="Times New Roman"/>
          <w:sz w:val="24"/>
          <w:szCs w:val="24"/>
        </w:rPr>
        <w:t xml:space="preserve">Regulacje przewidziane w projekcie </w:t>
      </w:r>
      <w:r w:rsidRPr="00A720EE">
        <w:rPr>
          <w:rFonts w:ascii="Times New Roman" w:hAnsi="Times New Roman" w:cs="Times New Roman"/>
          <w:sz w:val="24"/>
          <w:szCs w:val="24"/>
        </w:rPr>
        <w:t>wpłyną na uproszczenie</w:t>
      </w:r>
      <w:r w:rsidR="00F205F4" w:rsidRPr="00A720EE">
        <w:rPr>
          <w:rFonts w:ascii="Times New Roman" w:hAnsi="Times New Roman" w:cs="Times New Roman"/>
          <w:sz w:val="24"/>
          <w:szCs w:val="24"/>
        </w:rPr>
        <w:t xml:space="preserve"> w tym sektorze działalności.</w:t>
      </w:r>
    </w:p>
    <w:p w14:paraId="30B1ACB2" w14:textId="77777777" w:rsidR="00B96862" w:rsidRPr="00C10205" w:rsidRDefault="00B96862" w:rsidP="00B96862">
      <w:pPr>
        <w:shd w:val="clear" w:color="auto" w:fill="FFFFFF" w:themeFill="background1"/>
        <w:spacing w:before="120" w:after="0" w:line="276" w:lineRule="auto"/>
        <w:jc w:val="both"/>
        <w:rPr>
          <w:rFonts w:ascii="Times New Roman" w:eastAsia="Times New Roman" w:hAnsi="Times New Roman" w:cs="Times New Roman"/>
          <w:b/>
          <w:color w:val="000000" w:themeColor="text1"/>
          <w:sz w:val="24"/>
          <w:szCs w:val="24"/>
          <w:lang w:eastAsia="pl-PL"/>
        </w:rPr>
      </w:pPr>
      <w:bookmarkStart w:id="4" w:name="_GoBack"/>
      <w:r w:rsidRPr="00C10205">
        <w:rPr>
          <w:rFonts w:ascii="Times New Roman" w:eastAsia="Times New Roman" w:hAnsi="Times New Roman" w:cs="Times New Roman"/>
          <w:b/>
          <w:color w:val="000000" w:themeColor="text1"/>
          <w:sz w:val="24"/>
          <w:szCs w:val="24"/>
          <w:lang w:eastAsia="pl-PL"/>
        </w:rPr>
        <w:t>Pozostałe</w:t>
      </w:r>
    </w:p>
    <w:bookmarkEnd w:id="4"/>
    <w:p w14:paraId="2B3AE702" w14:textId="77777777" w:rsidR="00595886" w:rsidRPr="00A720EE" w:rsidRDefault="00B96862" w:rsidP="000F0E9B">
      <w:pPr>
        <w:shd w:val="clear" w:color="auto" w:fill="FFFFFF" w:themeFill="background1"/>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Projekt ustawy jest zg</w:t>
      </w:r>
      <w:r w:rsidR="000F0E9B" w:rsidRPr="00A720EE">
        <w:rPr>
          <w:rFonts w:ascii="Times New Roman" w:eastAsia="Times New Roman" w:hAnsi="Times New Roman" w:cs="Times New Roman"/>
          <w:sz w:val="24"/>
          <w:szCs w:val="24"/>
          <w:lang w:eastAsia="pl-PL"/>
        </w:rPr>
        <w:t xml:space="preserve">odny z prawem Unii Europejskiej i nie podlega obowiązkowi przedstawienia właściwym instytucjom Unii Europejskiej, w tym Europejskiemu Bankowi Centralnemu, w celu uzyskania opinii, dokonania powiadomienia, konsultacji albo uzgodnienia. </w:t>
      </w:r>
    </w:p>
    <w:p w14:paraId="0DBCF000" w14:textId="77777777" w:rsidR="002F7CB2" w:rsidRPr="00A720EE" w:rsidRDefault="002F7CB2" w:rsidP="002F7CB2">
      <w:pPr>
        <w:shd w:val="clear" w:color="auto" w:fill="FFFFFF" w:themeFill="background1"/>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 xml:space="preserve">Projektowane regulacje dotyczące podatku VAT są objęte prawem Unii Europejskiej. </w:t>
      </w:r>
    </w:p>
    <w:p w14:paraId="244FF34A" w14:textId="39F42435" w:rsidR="002F7CB2" w:rsidRPr="00A720EE" w:rsidRDefault="002F7CB2" w:rsidP="002F7CB2">
      <w:pPr>
        <w:shd w:val="clear" w:color="auto" w:fill="FFFFFF" w:themeFill="background1"/>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Przedmiotowy projekt w zakresie obniżenia stawek VAT dla niektórych towarów jest związany z zaistniałą bardzo trudną sytuacją, która jest wynikiem niespodziewanych zdarzeń, stąd zawarte w nim niestandardowe rozwiązania nie znajdują wprawdzie uzasadnienia w prawie Unii Europejskiej, mają one jednak charakter czasowy i wyjątkowy.</w:t>
      </w:r>
    </w:p>
    <w:p w14:paraId="2A3515B5" w14:textId="77777777" w:rsidR="000F0E9B" w:rsidRPr="00A720EE" w:rsidRDefault="000F0E9B" w:rsidP="000F0E9B">
      <w:pPr>
        <w:shd w:val="clear" w:color="auto" w:fill="FFFFFF" w:themeFill="background1"/>
        <w:spacing w:before="120" w:after="0" w:line="276" w:lineRule="auto"/>
        <w:jc w:val="both"/>
        <w:rPr>
          <w:rFonts w:ascii="Times New Roman" w:eastAsia="Times New Roman" w:hAnsi="Times New Roman" w:cs="Times New Roman"/>
          <w:sz w:val="24"/>
          <w:szCs w:val="24"/>
          <w:lang w:eastAsia="pl-PL"/>
        </w:rPr>
      </w:pPr>
      <w:r w:rsidRPr="00A720EE">
        <w:rPr>
          <w:rFonts w:ascii="Times New Roman" w:eastAsia="Times New Roman" w:hAnsi="Times New Roman" w:cs="Times New Roman"/>
          <w:sz w:val="24"/>
          <w:szCs w:val="24"/>
          <w:lang w:eastAsia="pl-PL"/>
        </w:rPr>
        <w:t>Projekt ustawy nie podlega procedurze notyfikacji aktów prawnych, określonej w przepisach rozpo</w:t>
      </w:r>
      <w:r w:rsidR="005F6E08" w:rsidRPr="00A720EE">
        <w:rPr>
          <w:rFonts w:ascii="Times New Roman" w:eastAsia="Times New Roman" w:hAnsi="Times New Roman" w:cs="Times New Roman"/>
          <w:sz w:val="24"/>
          <w:szCs w:val="24"/>
          <w:lang w:eastAsia="pl-PL"/>
        </w:rPr>
        <w:t xml:space="preserve">rządzenia Rady Ministrów z </w:t>
      </w:r>
      <w:r w:rsidRPr="00A720EE">
        <w:rPr>
          <w:rFonts w:ascii="Times New Roman" w:eastAsia="Times New Roman" w:hAnsi="Times New Roman" w:cs="Times New Roman"/>
          <w:sz w:val="24"/>
          <w:szCs w:val="24"/>
          <w:lang w:eastAsia="pl-PL"/>
        </w:rPr>
        <w:t>23 grudnia 2002 r. w sprawie funkcjonowania krajowego systemu notyfikacji norm i aktów prawnych</w:t>
      </w:r>
      <w:r w:rsidR="005F6E08" w:rsidRPr="00A720EE">
        <w:rPr>
          <w:rStyle w:val="Odwoanieprzypisudolnego"/>
          <w:rFonts w:ascii="Times New Roman" w:eastAsia="Times New Roman" w:hAnsi="Times New Roman"/>
          <w:sz w:val="24"/>
          <w:szCs w:val="24"/>
          <w:lang w:eastAsia="pl-PL"/>
        </w:rPr>
        <w:footnoteReference w:id="28"/>
      </w:r>
      <w:r w:rsidRPr="00A720EE">
        <w:rPr>
          <w:rFonts w:ascii="Times New Roman" w:eastAsia="Times New Roman" w:hAnsi="Times New Roman" w:cs="Times New Roman"/>
          <w:sz w:val="24"/>
          <w:szCs w:val="24"/>
          <w:lang w:eastAsia="pl-PL"/>
        </w:rPr>
        <w:t xml:space="preserve">. </w:t>
      </w:r>
    </w:p>
    <w:p w14:paraId="518E8098" w14:textId="77777777" w:rsidR="0058798C" w:rsidRPr="00A720EE" w:rsidRDefault="000F0E9B" w:rsidP="00C90673">
      <w:pPr>
        <w:shd w:val="clear" w:color="auto" w:fill="FFFFFF" w:themeFill="background1"/>
        <w:spacing w:before="120" w:after="0" w:line="276" w:lineRule="auto"/>
        <w:jc w:val="both"/>
        <w:rPr>
          <w:rFonts w:ascii="Times New Roman" w:eastAsiaTheme="minorEastAsia" w:hAnsi="Times New Roman" w:cs="Times New Roman"/>
          <w:sz w:val="24"/>
          <w:szCs w:val="24"/>
          <w:lang w:eastAsia="pl-PL"/>
        </w:rPr>
      </w:pPr>
      <w:r w:rsidRPr="00A720EE">
        <w:rPr>
          <w:rFonts w:ascii="Times New Roman" w:eastAsia="Times New Roman" w:hAnsi="Times New Roman" w:cs="Times New Roman"/>
          <w:sz w:val="24"/>
          <w:szCs w:val="24"/>
          <w:lang w:eastAsia="pl-PL"/>
        </w:rPr>
        <w:t>Projekt nie stwarza zagrożeń korupcyjnych.</w:t>
      </w:r>
    </w:p>
    <w:sectPr w:rsidR="0058798C" w:rsidRPr="00A720EE" w:rsidSect="007B737F">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B3DDB" w14:textId="77777777" w:rsidR="000B65F0" w:rsidRDefault="000B65F0" w:rsidP="00A85EF8">
      <w:pPr>
        <w:spacing w:after="0" w:line="240" w:lineRule="auto"/>
      </w:pPr>
      <w:r>
        <w:separator/>
      </w:r>
    </w:p>
  </w:endnote>
  <w:endnote w:type="continuationSeparator" w:id="0">
    <w:p w14:paraId="5DAA04CE" w14:textId="77777777" w:rsidR="000B65F0" w:rsidRDefault="000B65F0" w:rsidP="00A85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5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Lato">
    <w:charset w:val="EE"/>
    <w:family w:val="swiss"/>
    <w:pitch w:val="variable"/>
    <w:sig w:usb0="E10002FF" w:usb1="5000ECF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3629A" w14:textId="77777777" w:rsidR="000B65F0" w:rsidRDefault="000B65F0" w:rsidP="00A85EF8">
      <w:pPr>
        <w:spacing w:after="0" w:line="240" w:lineRule="auto"/>
      </w:pPr>
      <w:r>
        <w:separator/>
      </w:r>
    </w:p>
  </w:footnote>
  <w:footnote w:type="continuationSeparator" w:id="0">
    <w:p w14:paraId="0FBEB885" w14:textId="77777777" w:rsidR="000B65F0" w:rsidRDefault="000B65F0" w:rsidP="00A85EF8">
      <w:pPr>
        <w:spacing w:after="0" w:line="240" w:lineRule="auto"/>
      </w:pPr>
      <w:r>
        <w:continuationSeparator/>
      </w:r>
    </w:p>
  </w:footnote>
  <w:footnote w:id="1">
    <w:p w14:paraId="7B9D88B9" w14:textId="13026611" w:rsidR="00194671" w:rsidRPr="00A720EE" w:rsidRDefault="00194671" w:rsidP="002366DD">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Por. wyroki Trybunału Konstytucyjnego z dnia 29 maja 1996 r. sygn. akt K.22/95 i z dnia 12 stycznia 1995 r. sygn. akt K.12/94.</w:t>
      </w:r>
    </w:p>
  </w:footnote>
  <w:footnote w:id="2">
    <w:p w14:paraId="6593284D" w14:textId="77777777" w:rsidR="00194671" w:rsidRPr="00A720EE" w:rsidRDefault="00194671" w:rsidP="002366DD">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spółki z ograniczoną odpowiedzialnością, spółki akcyjne, proste spółki akcyjne, spółki komandytowo-akcyjne i spółki komandytowe.</w:t>
      </w:r>
    </w:p>
  </w:footnote>
  <w:footnote w:id="3">
    <w:p w14:paraId="597DFEFE" w14:textId="77777777" w:rsidR="00194671" w:rsidRPr="00A720EE" w:rsidRDefault="00194671" w:rsidP="002366DD">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Zgodnie z raportem Polskiego Instytutu Ekonomicznego „Luka CIT w Polsce w latach 2014-2018”, luka w podatku CIT wyniosła w 2018 r. 22 mld zł.</w:t>
      </w:r>
    </w:p>
  </w:footnote>
  <w:footnote w:id="4">
    <w:p w14:paraId="51AC3B20" w14:textId="77777777" w:rsidR="00194671" w:rsidRPr="00A720EE" w:rsidRDefault="00194671">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Badanie przeprowadzone na potrzeby comiesięcznego odczytu Miesięcznego Indeksu Koniunktury realizowanego przez PIE we współpracy z Bankiem Gospodarstwa Krajowego (BGK) </w:t>
      </w:r>
      <w:hyperlink r:id="rId1" w:history="1">
        <w:r w:rsidRPr="00A720EE">
          <w:rPr>
            <w:rStyle w:val="Hipercze"/>
            <w:rFonts w:ascii="Times New Roman" w:hAnsi="Times New Roman" w:cs="Times New Roman"/>
          </w:rPr>
          <w:t>https://mik.pie.net.pl/</w:t>
        </w:r>
      </w:hyperlink>
      <w:r w:rsidRPr="00A720EE">
        <w:rPr>
          <w:rFonts w:ascii="Times New Roman" w:hAnsi="Times New Roman" w:cs="Times New Roman"/>
        </w:rPr>
        <w:t xml:space="preserve"> </w:t>
      </w:r>
    </w:p>
  </w:footnote>
  <w:footnote w:id="5">
    <w:p w14:paraId="57652732" w14:textId="77777777" w:rsidR="00194671" w:rsidRPr="00A720EE" w:rsidRDefault="00194671" w:rsidP="00007288">
      <w:pPr>
        <w:pStyle w:val="Tekstprzypisudolnego"/>
        <w:jc w:val="both"/>
        <w:rPr>
          <w:rFonts w:ascii="Times New Roman" w:hAnsi="Times New Roman" w:cs="Times New Roman"/>
        </w:rPr>
      </w:pPr>
      <w:r w:rsidRPr="00A720EE">
        <w:rPr>
          <w:rStyle w:val="Odwoanieprzypisudolnego"/>
          <w:rFonts w:ascii="Times New Roman" w:hAnsi="Times New Roman"/>
        </w:rPr>
        <w:footnoteRef/>
      </w:r>
      <w:hyperlink r:id="rId2" w:history="1">
        <w:r w:rsidRPr="00A720EE">
          <w:rPr>
            <w:rStyle w:val="Hipercze"/>
            <w:rFonts w:ascii="Times New Roman" w:hAnsi="Times New Roman" w:cs="Times New Roman"/>
          </w:rPr>
          <w:t>https://obserwatorgospodarczy.pl/2022/03/02/pie-42-firm-w-polsce-obawia-sie-wplywu-wojny-na-prowadzona-dzialalnosc-gospodarcza/</w:t>
        </w:r>
      </w:hyperlink>
      <w:r w:rsidRPr="00A720EE">
        <w:rPr>
          <w:rFonts w:ascii="Times New Roman" w:hAnsi="Times New Roman" w:cs="Times New Roman"/>
        </w:rPr>
        <w:t xml:space="preserve"> ;</w:t>
      </w:r>
    </w:p>
    <w:p w14:paraId="5E9D8A92" w14:textId="77777777" w:rsidR="00194671" w:rsidRDefault="00C10205" w:rsidP="00007288">
      <w:pPr>
        <w:pStyle w:val="Tekstprzypisudolnego"/>
        <w:jc w:val="both"/>
      </w:pPr>
      <w:hyperlink r:id="rId3" w:history="1">
        <w:r w:rsidR="00194671" w:rsidRPr="00A720EE">
          <w:rPr>
            <w:rStyle w:val="Hipercze"/>
            <w:rFonts w:ascii="Times New Roman" w:hAnsi="Times New Roman" w:cs="Times New Roman"/>
          </w:rPr>
          <w:t>https://inwestycje.pl/biznes/42-firm-obawia-sie-negatywnego-wplywu-wojny-na-ukrainie-na-ich-dzialalnosc/</w:t>
        </w:r>
      </w:hyperlink>
      <w:r w:rsidR="00194671">
        <w:t xml:space="preserve"> </w:t>
      </w:r>
    </w:p>
  </w:footnote>
  <w:footnote w:id="6">
    <w:p w14:paraId="5CD9E1F9" w14:textId="661DDB32" w:rsidR="00194671" w:rsidRPr="00A720EE" w:rsidRDefault="00194671" w:rsidP="0033649D">
      <w:pPr>
        <w:pStyle w:val="Tekstprzypisudolnego"/>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w:t>
      </w:r>
      <w:r w:rsidRPr="00A720EE">
        <w:rPr>
          <w:rFonts w:ascii="Times New Roman" w:hAnsi="Times New Roman" w:cs="Times New Roman"/>
          <w:bCs/>
          <w:iCs/>
        </w:rPr>
        <w:t>„Wyniki finansowe przedsiębiorstw niefinansowych 01–12 2021 r.”</w:t>
      </w:r>
    </w:p>
  </w:footnote>
  <w:footnote w:id="7">
    <w:p w14:paraId="2DBEEC9E" w14:textId="77777777" w:rsidR="00194671" w:rsidRPr="00A720EE" w:rsidRDefault="00194671">
      <w:pPr>
        <w:pStyle w:val="Tekstprzypisudolnego"/>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Dz.U. z 2017 r. poz. 2175.</w:t>
      </w:r>
    </w:p>
  </w:footnote>
  <w:footnote w:id="8">
    <w:p w14:paraId="4E5A72F1" w14:textId="3ADEEBE4" w:rsidR="00194671" w:rsidRPr="00A720EE" w:rsidRDefault="00194671" w:rsidP="00001578">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Ustawa z 27 października 2017 r. o zmianie ustawy o podatku dochodowym od osób fizycznych, ustawy o podatku dochodowym od osób prawnych oraz ustawy o zryczałtowanym podatku dochodowym od niektórych przychodów osiąganych przez osoby fizyczne (Dz. U.  poz. 2175 </w:t>
      </w:r>
      <w:r w:rsidR="000150F7" w:rsidRPr="00A720EE">
        <w:rPr>
          <w:rFonts w:ascii="Times New Roman" w:hAnsi="Times New Roman" w:cs="Times New Roman"/>
        </w:rPr>
        <w:t>oraz</w:t>
      </w:r>
      <w:r w:rsidRPr="00A720EE">
        <w:rPr>
          <w:rFonts w:ascii="Times New Roman" w:hAnsi="Times New Roman" w:cs="Times New Roman"/>
        </w:rPr>
        <w:t xml:space="preserve"> z 2018 r. poz. 2159).</w:t>
      </w:r>
    </w:p>
  </w:footnote>
  <w:footnote w:id="9">
    <w:p w14:paraId="7EF874DE" w14:textId="77777777" w:rsidR="00194671" w:rsidRPr="00A720EE" w:rsidRDefault="00194671" w:rsidP="00001578">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Ustawa z 15 czerwca 2018 r. o zmianie ustawy o podatku dochodowym od osób fizycznych, ustawy o podatku dochodowym od osób prawnych oraz ustawy o zryczałtowanym podatku dochodowym od niektórych przychodów osiąganych przez osoby fizyczne (Dz. U. poz. 1291 i 2193).</w:t>
      </w:r>
    </w:p>
  </w:footnote>
  <w:footnote w:id="10">
    <w:p w14:paraId="1CA86961" w14:textId="77777777" w:rsidR="00194671" w:rsidRPr="00A720EE" w:rsidRDefault="00194671">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W rezultacie wszczętego przez KE postępowania dotyczącego uznania nowowprowadzonych rozwiązań w podatku od przychodów z budynków jako niedozwoloną pomoc publiczną (w związku z ich selektywnym charakterem).</w:t>
      </w:r>
    </w:p>
  </w:footnote>
  <w:footnote w:id="11">
    <w:p w14:paraId="03DF641E" w14:textId="77777777" w:rsidR="00194671" w:rsidRPr="00A720EE" w:rsidRDefault="00194671">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Obowiązek z tytułu podatku od przychodów z budynków został zawieszony wprowadzeniem epizodycznego zwolnienia (w art. 38ha ustawy CIT i art. 52pa ustawy PIT) - pierwotnie w okresie od 1 marca 2020 r. do końca 2020 r. (ustawa z 19 czerwca 2020 r. o dopłatach do oprocentowania kredytów bankowych udzielanych przedsiębiorcom dotkniętym skutkami COVID-19 oraz o uproszczonym postępowaniu o zatwierdzenie układu w związku z wystąpieniem COVID-19 (tj. Dz. U. z 2021 r. poz. 1072, z późn.zm), które następnie prolongowano do czasu zakończenia obowiązywania stanu epidemii (ustawa z 28 listopada 2020 r. o zmianie ustawy o podatku dochodowym od osób fizycznych, ustawy o podatku dochodowym od osób prawnych, ustawy o zryczałtowanym podatku dochodowym od niektórych przychodów osiąganych przez osoby fizyczne oraz niektórych innych ustaw (Dz. U. poz. 2123)).</w:t>
      </w:r>
    </w:p>
  </w:footnote>
  <w:footnote w:id="12">
    <w:p w14:paraId="2C107704" w14:textId="77777777" w:rsidR="00194671" w:rsidRPr="00A720EE" w:rsidRDefault="00194671" w:rsidP="00CF2D0B">
      <w:pPr>
        <w:pStyle w:val="Tekstprzypisudolnego"/>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Dz. U. z 2021 r. poz. 2070, z </w:t>
      </w:r>
      <w:proofErr w:type="spellStart"/>
      <w:r w:rsidRPr="00A720EE">
        <w:rPr>
          <w:rFonts w:ascii="Times New Roman" w:hAnsi="Times New Roman" w:cs="Times New Roman"/>
        </w:rPr>
        <w:t>późn</w:t>
      </w:r>
      <w:proofErr w:type="spellEnd"/>
      <w:r w:rsidRPr="00A720EE">
        <w:rPr>
          <w:rFonts w:ascii="Times New Roman" w:hAnsi="Times New Roman" w:cs="Times New Roman"/>
        </w:rPr>
        <w:t>. zm.</w:t>
      </w:r>
    </w:p>
    <w:p w14:paraId="0EB29D10" w14:textId="77777777" w:rsidR="00194671" w:rsidRDefault="00194671">
      <w:pPr>
        <w:pStyle w:val="Tekstprzypisudolnego"/>
      </w:pPr>
    </w:p>
  </w:footnote>
  <w:footnote w:id="13">
    <w:p w14:paraId="754022A9" w14:textId="77777777" w:rsidR="00194671" w:rsidRPr="00A720EE" w:rsidRDefault="00194671" w:rsidP="007B03FB">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Interpretacja ogólna </w:t>
      </w:r>
      <w:proofErr w:type="spellStart"/>
      <w:r w:rsidRPr="00A720EE">
        <w:rPr>
          <w:rFonts w:ascii="Times New Roman" w:hAnsi="Times New Roman" w:cs="Times New Roman"/>
        </w:rPr>
        <w:t>MFFiPR</w:t>
      </w:r>
      <w:proofErr w:type="spellEnd"/>
      <w:r w:rsidRPr="00A720EE">
        <w:rPr>
          <w:rFonts w:ascii="Times New Roman" w:hAnsi="Times New Roman" w:cs="Times New Roman"/>
        </w:rPr>
        <w:t xml:space="preserve"> z 19 października 2021 r. w sprawie sposobu obliczania bezpośrednio kolejno następujących po sobie pięciu lat podatkowych dla celów rozliczenia przez spółki strat powstałych i nierozliczonych w latach poprzedzających pierwszy rok podatkowy podatkowej grupy kapitałowej (Dz. Urz. </w:t>
      </w:r>
      <w:proofErr w:type="spellStart"/>
      <w:r w:rsidRPr="00A720EE">
        <w:rPr>
          <w:rFonts w:ascii="Times New Roman" w:hAnsi="Times New Roman" w:cs="Times New Roman"/>
        </w:rPr>
        <w:t>MFFiPR</w:t>
      </w:r>
      <w:proofErr w:type="spellEnd"/>
      <w:r w:rsidRPr="00A720EE">
        <w:rPr>
          <w:rFonts w:ascii="Times New Roman" w:hAnsi="Times New Roman" w:cs="Times New Roman"/>
        </w:rPr>
        <w:t xml:space="preserve"> z 19.10.2021 poz. 148).</w:t>
      </w:r>
    </w:p>
  </w:footnote>
  <w:footnote w:id="14">
    <w:p w14:paraId="0C116451" w14:textId="77777777" w:rsidR="00194671" w:rsidRPr="00A720EE" w:rsidRDefault="00194671" w:rsidP="000E1DD4">
      <w:pPr>
        <w:pStyle w:val="Tekstprzypisudolnego"/>
        <w:rPr>
          <w:rFonts w:ascii="Times New Roman" w:hAnsi="Times New Roman" w:cs="Times New Roman"/>
        </w:rPr>
      </w:pPr>
      <w:r w:rsidRPr="00A720EE">
        <w:rPr>
          <w:rStyle w:val="Odwoanieprzypisudolnego"/>
          <w:rFonts w:ascii="Times New Roman" w:hAnsi="Times New Roman"/>
        </w:rPr>
        <w:t>[1]</w:t>
      </w:r>
      <w:r w:rsidRPr="00A720EE">
        <w:rPr>
          <w:rFonts w:ascii="Times New Roman" w:hAnsi="Times New Roman" w:cs="Times New Roman"/>
        </w:rPr>
        <w:t xml:space="preserve"> Dz. U. z 2022 r. poz. 1327, z </w:t>
      </w:r>
      <w:proofErr w:type="spellStart"/>
      <w:r w:rsidRPr="00A720EE">
        <w:rPr>
          <w:rFonts w:ascii="Times New Roman" w:hAnsi="Times New Roman" w:cs="Times New Roman"/>
        </w:rPr>
        <w:t>późn</w:t>
      </w:r>
      <w:proofErr w:type="spellEnd"/>
      <w:r w:rsidRPr="00A720EE">
        <w:rPr>
          <w:rFonts w:ascii="Times New Roman" w:hAnsi="Times New Roman" w:cs="Times New Roman"/>
        </w:rPr>
        <w:t>. zm.</w:t>
      </w:r>
    </w:p>
  </w:footnote>
  <w:footnote w:id="15">
    <w:p w14:paraId="1526B200" w14:textId="77777777" w:rsidR="00194671" w:rsidRPr="00A720EE" w:rsidRDefault="00194671" w:rsidP="00A879E2">
      <w:pPr>
        <w:pStyle w:val="Tekstprzypisudolnego"/>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Dz. U z 2021 r. poz. 2439, z </w:t>
      </w:r>
      <w:proofErr w:type="spellStart"/>
      <w:r w:rsidRPr="00A720EE">
        <w:rPr>
          <w:rFonts w:ascii="Times New Roman" w:hAnsi="Times New Roman" w:cs="Times New Roman"/>
        </w:rPr>
        <w:t>późn</w:t>
      </w:r>
      <w:proofErr w:type="spellEnd"/>
      <w:r w:rsidRPr="00A720EE">
        <w:rPr>
          <w:rFonts w:ascii="Times New Roman" w:hAnsi="Times New Roman" w:cs="Times New Roman"/>
        </w:rPr>
        <w:t>. zm.</w:t>
      </w:r>
    </w:p>
  </w:footnote>
  <w:footnote w:id="16">
    <w:p w14:paraId="088769FE" w14:textId="77777777" w:rsidR="00194671" w:rsidRPr="00A720EE" w:rsidRDefault="00194671" w:rsidP="00A879E2">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suma 4 wartości tj.: 1) 4% przychodów z działalności operacyjnej (innych niż z zysków kapitałowych) 2) kwoty kosztów usług niematerialnych oraz opłat i należności od wartości niematerialnych i prawnych (</w:t>
      </w:r>
      <w:proofErr w:type="spellStart"/>
      <w:r w:rsidRPr="00A720EE">
        <w:rPr>
          <w:rFonts w:ascii="Times New Roman" w:hAnsi="Times New Roman" w:cs="Times New Roman"/>
        </w:rPr>
        <w:t>WNiP</w:t>
      </w:r>
      <w:proofErr w:type="spellEnd"/>
      <w:r w:rsidRPr="00A720EE">
        <w:rPr>
          <w:rFonts w:ascii="Times New Roman" w:hAnsi="Times New Roman" w:cs="Times New Roman"/>
        </w:rPr>
        <w:t xml:space="preserve">), poniesionych na rzecz podmiotów powiązanych, 3) kosztów finansowania dłużnego poniesionych na rzecz podmiotów powiązanych, 4) podatku odroczonego od ujawnionych </w:t>
      </w:r>
      <w:proofErr w:type="spellStart"/>
      <w:r w:rsidRPr="00A720EE">
        <w:rPr>
          <w:rFonts w:ascii="Times New Roman" w:hAnsi="Times New Roman" w:cs="Times New Roman"/>
        </w:rPr>
        <w:t>WNiP</w:t>
      </w:r>
      <w:proofErr w:type="spellEnd"/>
    </w:p>
  </w:footnote>
  <w:footnote w:id="17">
    <w:p w14:paraId="4DF9ED65" w14:textId="77777777" w:rsidR="00194671" w:rsidRPr="00A720EE" w:rsidRDefault="00194671" w:rsidP="00A879E2">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Na podstawie ustawy z 7 czerwca 2001 r. o zbiorowym zaopatrzeniu w wodę i zbiorowym odprowadzaniu ścieków (Dz.U. z 2020 r. poz. 2028, z późn.zm.).</w:t>
      </w:r>
    </w:p>
  </w:footnote>
  <w:footnote w:id="18">
    <w:p w14:paraId="08151768" w14:textId="5C5534A9" w:rsidR="00194671" w:rsidRPr="00A720EE" w:rsidRDefault="00194671" w:rsidP="00A879E2">
      <w:pPr>
        <w:pStyle w:val="Tekstprzypisudolnego"/>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Na podstawie ustawy z 13 września 1996 r. o utrzymaniu czystości i porządku w gminach (Dz. U. z 2021 r. poz. 888, z późn.zm.).</w:t>
      </w:r>
    </w:p>
  </w:footnote>
  <w:footnote w:id="19">
    <w:p w14:paraId="2C2FB0D9" w14:textId="73ACE7DF" w:rsidR="00194671" w:rsidRPr="00A720EE" w:rsidRDefault="00194671" w:rsidP="00A879E2">
      <w:pPr>
        <w:pStyle w:val="Tekstprzypisudolnego"/>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Na podstawie ustawy z 10 kwietnia 1997 r. prawo energetyczne (Dz. U. z 2021 r. poz. 716, z </w:t>
      </w:r>
      <w:proofErr w:type="spellStart"/>
      <w:r w:rsidRPr="00A720EE">
        <w:rPr>
          <w:rFonts w:ascii="Times New Roman" w:hAnsi="Times New Roman" w:cs="Times New Roman"/>
        </w:rPr>
        <w:t>późn</w:t>
      </w:r>
      <w:proofErr w:type="spellEnd"/>
      <w:r w:rsidRPr="00A720EE">
        <w:rPr>
          <w:rFonts w:ascii="Times New Roman" w:hAnsi="Times New Roman" w:cs="Times New Roman"/>
        </w:rPr>
        <w:t>. zm.).</w:t>
      </w:r>
    </w:p>
  </w:footnote>
  <w:footnote w:id="20">
    <w:p w14:paraId="3CA033EC" w14:textId="226EF41E" w:rsidR="00194671" w:rsidRPr="00A720EE" w:rsidRDefault="00194671" w:rsidP="00A879E2">
      <w:pPr>
        <w:pStyle w:val="Tekstprzypisudolnego"/>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Na podstawie ustawy z 16 grudnia 2010 r. o publicznym transporcie zbiorowym (Dz. U. z 2021 r. poz. 1371, z </w:t>
      </w:r>
      <w:proofErr w:type="spellStart"/>
      <w:r w:rsidRPr="00A720EE">
        <w:rPr>
          <w:rFonts w:ascii="Times New Roman" w:hAnsi="Times New Roman" w:cs="Times New Roman"/>
        </w:rPr>
        <w:t>późn</w:t>
      </w:r>
      <w:proofErr w:type="spellEnd"/>
      <w:r w:rsidRPr="00A720EE">
        <w:rPr>
          <w:rFonts w:ascii="Times New Roman" w:hAnsi="Times New Roman" w:cs="Times New Roman"/>
        </w:rPr>
        <w:t>. zm.).</w:t>
      </w:r>
    </w:p>
  </w:footnote>
  <w:footnote w:id="21">
    <w:p w14:paraId="68F4BC53" w14:textId="77777777" w:rsidR="00194671" w:rsidRPr="00A720EE" w:rsidRDefault="00194671" w:rsidP="00A879E2">
      <w:pPr>
        <w:pStyle w:val="Tekstprzypisudolnego"/>
        <w:jc w:val="both"/>
        <w:rPr>
          <w:rFonts w:ascii="Times New Roman" w:hAnsi="Times New Roman" w:cs="Times New Roman"/>
          <w:color w:val="000000" w:themeColor="text1"/>
        </w:rPr>
      </w:pPr>
      <w:r w:rsidRPr="00A720EE">
        <w:rPr>
          <w:rStyle w:val="Odwoanieprzypisudolnego"/>
          <w:rFonts w:ascii="Times New Roman" w:hAnsi="Times New Roman"/>
          <w:color w:val="000000" w:themeColor="text1"/>
        </w:rPr>
        <w:footnoteRef/>
      </w:r>
      <w:r w:rsidRPr="00A720EE">
        <w:rPr>
          <w:rFonts w:ascii="Times New Roman" w:hAnsi="Times New Roman" w:cs="Times New Roman"/>
          <w:color w:val="000000" w:themeColor="text1"/>
        </w:rPr>
        <w:t xml:space="preserve"> Rozporządzenie Parlamentu Europejskiego i Rady (UE) nr 575/2013 z dnia 26 czerwca 2013 r. w sprawie wymogów ostrożnościowych dla instytucji kredytowych oraz zmieniające rozporządzenie (UE) nr 648/2012</w:t>
      </w:r>
    </w:p>
    <w:p w14:paraId="0FE9A2F5" w14:textId="77777777" w:rsidR="00194671" w:rsidRPr="00A720EE" w:rsidRDefault="00194671" w:rsidP="00A879E2">
      <w:pPr>
        <w:pStyle w:val="Tekstprzypisudolnego"/>
        <w:jc w:val="both"/>
        <w:rPr>
          <w:rFonts w:ascii="Times New Roman" w:hAnsi="Times New Roman" w:cs="Times New Roman"/>
          <w:color w:val="000000" w:themeColor="text1"/>
        </w:rPr>
      </w:pPr>
      <w:r w:rsidRPr="00A720EE">
        <w:rPr>
          <w:rFonts w:ascii="Times New Roman" w:hAnsi="Times New Roman" w:cs="Times New Roman"/>
          <w:color w:val="000000" w:themeColor="text1"/>
          <w:u w:val="single"/>
        </w:rPr>
        <w:t xml:space="preserve">"instytucja finansowa" </w:t>
      </w:r>
      <w:r w:rsidRPr="00A720EE">
        <w:rPr>
          <w:rFonts w:ascii="Times New Roman" w:hAnsi="Times New Roman" w:cs="Times New Roman"/>
          <w:color w:val="000000" w:themeColor="text1"/>
        </w:rPr>
        <w:t>oznacza przedsiębiorstwo inne niż instytucja i inne niż spółka holdingowa działająca wyłącznie w sektorze przemysłowym, którego podstawową działalnością jest nabywanie pakietów akcji lub wykonywanie jednego lub większej liczby rodzajów działalności wymienionych w pkt 2–12 i pkt 15 załącznika I do dyrektywy 2013/36/UE; pojęcie to obejmuje firmy inwestycyjne, finansowe spółki holdingowe, finansowe spółki holdingowe o działalności mieszanej, inwestycyjne spółki holdingowe, instytucje płatnicze w rozumieniu dyrektywy (UE) 2015/2366 Parlamentu Europejskiego i Rady , a także spółki zarządzania aktywami, nie obejmuje jednak ubezpieczeniowych spółek holdingowych i ubezpieczeniowych spółek holdingowych prowadzących działalność mieszaną zdefiniowanych w art. 212 ust. 1 lit. f) i g) dyrektywy 2009/138/WE.</w:t>
      </w:r>
    </w:p>
  </w:footnote>
  <w:footnote w:id="22">
    <w:p w14:paraId="23FAB8F1" w14:textId="77777777" w:rsidR="00194671" w:rsidRPr="00A720EE" w:rsidRDefault="00194671" w:rsidP="00930CE7">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Zob. art. 26 ust. 7c ustawy CIT i art. 41 ust. 15 ustawy PIT - w wersji obowiązującej od 1 stycznia 2019 r. do 31 grudnia 2021 r.</w:t>
      </w:r>
    </w:p>
  </w:footnote>
  <w:footnote w:id="23">
    <w:p w14:paraId="6495BFB0" w14:textId="77777777" w:rsidR="00194671" w:rsidRPr="00A720EE" w:rsidRDefault="00194671" w:rsidP="00930CE7">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Zob. art. 26 ust. 7f ustawy CIT i art. 41 ust. 20 ustawy PIT - w wersji obowiązującej od 1 stycznia 2019 r. do 31 grudnia 2021 r.</w:t>
      </w:r>
    </w:p>
  </w:footnote>
  <w:footnote w:id="24">
    <w:p w14:paraId="5FE79E16" w14:textId="77777777" w:rsidR="00194671" w:rsidRPr="00A720EE" w:rsidRDefault="00194671" w:rsidP="00930CE7">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Zob. art. 26 ust. 7g ustawy CIT i art. 41 ust. 21 ustawy PIT - w wersji obowiązującej od 1 stycznia 2019 r. do 31 grudnia 2021 r.</w:t>
      </w:r>
    </w:p>
  </w:footnote>
  <w:footnote w:id="25">
    <w:p w14:paraId="53A89DBD" w14:textId="77777777" w:rsidR="00194671" w:rsidRPr="00A720EE" w:rsidRDefault="00194671" w:rsidP="00930CE7">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Zob. ustawę z dnia 9 grudnia 2021 r. o zmianie ustawy o podatku akcyzowym oraz niektórych innych ustaw (Dz. U. z 2021 r., poz. 2427).</w:t>
      </w:r>
    </w:p>
  </w:footnote>
  <w:footnote w:id="26">
    <w:p w14:paraId="4E544BFC" w14:textId="77777777" w:rsidR="00194671" w:rsidRPr="00A720EE" w:rsidRDefault="00194671" w:rsidP="00A879E2">
      <w:pPr>
        <w:pStyle w:val="Tekstprzypisudolnego"/>
        <w:jc w:val="both"/>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Rozporządzenie Ministra Finansów z dnia 28 czerwca 2022 r. w sprawie przedłużenia terminu wykonania niektórych obowiązków przez podatników minimalnego podatku dochodowego (Dz. U. poz. 1356).</w:t>
      </w:r>
    </w:p>
  </w:footnote>
  <w:footnote w:id="27">
    <w:p w14:paraId="3199A548" w14:textId="77777777" w:rsidR="00194671" w:rsidRPr="00A720EE" w:rsidRDefault="00194671">
      <w:pPr>
        <w:pStyle w:val="Tekstprzypisudolnego"/>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Dz. U. z 2020 r. poz. 162, z </w:t>
      </w:r>
      <w:proofErr w:type="spellStart"/>
      <w:r w:rsidRPr="00A720EE">
        <w:rPr>
          <w:rFonts w:ascii="Times New Roman" w:hAnsi="Times New Roman" w:cs="Times New Roman"/>
        </w:rPr>
        <w:t>późn</w:t>
      </w:r>
      <w:proofErr w:type="spellEnd"/>
      <w:r w:rsidRPr="00A720EE">
        <w:rPr>
          <w:rFonts w:ascii="Times New Roman" w:hAnsi="Times New Roman" w:cs="Times New Roman"/>
        </w:rPr>
        <w:t>. zm.</w:t>
      </w:r>
    </w:p>
  </w:footnote>
  <w:footnote w:id="28">
    <w:p w14:paraId="6E669777" w14:textId="77777777" w:rsidR="00194671" w:rsidRPr="00A720EE" w:rsidRDefault="00194671">
      <w:pPr>
        <w:pStyle w:val="Tekstprzypisudolnego"/>
        <w:rPr>
          <w:rFonts w:ascii="Times New Roman" w:hAnsi="Times New Roman" w:cs="Times New Roman"/>
        </w:rPr>
      </w:pPr>
      <w:r w:rsidRPr="00A720EE">
        <w:rPr>
          <w:rStyle w:val="Odwoanieprzypisudolnego"/>
          <w:rFonts w:ascii="Times New Roman" w:hAnsi="Times New Roman"/>
        </w:rPr>
        <w:footnoteRef/>
      </w:r>
      <w:r w:rsidRPr="00A720EE">
        <w:rPr>
          <w:rFonts w:ascii="Times New Roman" w:hAnsi="Times New Roman" w:cs="Times New Roman"/>
        </w:rPr>
        <w:t xml:space="preserve"> Dz. U. poz. 2039, z </w:t>
      </w:r>
      <w:proofErr w:type="spellStart"/>
      <w:r w:rsidRPr="00A720EE">
        <w:rPr>
          <w:rFonts w:ascii="Times New Roman" w:hAnsi="Times New Roman" w:cs="Times New Roman"/>
        </w:rPr>
        <w:t>późn</w:t>
      </w:r>
      <w:proofErr w:type="spellEnd"/>
      <w:r w:rsidRPr="00A720EE">
        <w:rPr>
          <w:rFonts w:ascii="Times New Roman" w:hAnsi="Times New Roman" w:cs="Times New Roman"/>
        </w:rPr>
        <w:t>. zm.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E3A40" w14:textId="0176A6D8" w:rsidR="00194671" w:rsidRPr="00B371CC" w:rsidRDefault="00194671" w:rsidP="007B737F">
    <w:pPr>
      <w:pStyle w:val="Nagwek"/>
      <w:jc w:val="center"/>
    </w:pPr>
    <w:r>
      <w:t xml:space="preserve">– </w:t>
    </w:r>
    <w:r>
      <w:fldChar w:fldCharType="begin"/>
    </w:r>
    <w:r>
      <w:instrText xml:space="preserve"> PAGE  \* MERGEFORMAT </w:instrText>
    </w:r>
    <w:r>
      <w:fldChar w:fldCharType="separate"/>
    </w:r>
    <w:r w:rsidR="00C10205">
      <w:rPr>
        <w:noProof/>
      </w:rPr>
      <w:t>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48A8"/>
    <w:multiLevelType w:val="hybridMultilevel"/>
    <w:tmpl w:val="25F44C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6A3404"/>
    <w:multiLevelType w:val="hybridMultilevel"/>
    <w:tmpl w:val="EA903C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C93BC8"/>
    <w:multiLevelType w:val="hybridMultilevel"/>
    <w:tmpl w:val="2A9CF808"/>
    <w:lvl w:ilvl="0" w:tplc="EEA265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ED263C"/>
    <w:multiLevelType w:val="hybridMultilevel"/>
    <w:tmpl w:val="90F8E6EC"/>
    <w:lvl w:ilvl="0" w:tplc="04150003">
      <w:start w:val="1"/>
      <w:numFmt w:val="bullet"/>
      <w:lvlText w:val="o"/>
      <w:lvlJc w:val="left"/>
      <w:pPr>
        <w:ind w:left="1500" w:hanging="360"/>
      </w:pPr>
      <w:rPr>
        <w:rFonts w:ascii="Courier New" w:hAnsi="Courier New" w:cs="Courier New"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4" w15:restartNumberingAfterBreak="0">
    <w:nsid w:val="0D5077C5"/>
    <w:multiLevelType w:val="hybridMultilevel"/>
    <w:tmpl w:val="CFDEEF3E"/>
    <w:lvl w:ilvl="0" w:tplc="AE80E18A">
      <w:start w:val="1"/>
      <w:numFmt w:val="decimal"/>
      <w:lvlText w:val="%1)"/>
      <w:lvlJc w:val="left"/>
      <w:pPr>
        <w:ind w:left="786"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616E41"/>
    <w:multiLevelType w:val="hybridMultilevel"/>
    <w:tmpl w:val="F4E23670"/>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20138D"/>
    <w:multiLevelType w:val="multilevel"/>
    <w:tmpl w:val="690213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9AC21B7"/>
    <w:multiLevelType w:val="hybridMultilevel"/>
    <w:tmpl w:val="3372EFD4"/>
    <w:lvl w:ilvl="0" w:tplc="04150001">
      <w:start w:val="1"/>
      <w:numFmt w:val="bullet"/>
      <w:lvlText w:val=""/>
      <w:lvlJc w:val="left"/>
      <w:pPr>
        <w:ind w:left="720" w:hanging="360"/>
      </w:pPr>
      <w:rPr>
        <w:rFonts w:ascii="Symbol" w:hAnsi="Symbol" w:hint="default"/>
      </w:rPr>
    </w:lvl>
    <w:lvl w:ilvl="1" w:tplc="2D32300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A5588E"/>
    <w:multiLevelType w:val="hybridMultilevel"/>
    <w:tmpl w:val="CFDEEF3E"/>
    <w:lvl w:ilvl="0" w:tplc="AE80E18A">
      <w:start w:val="1"/>
      <w:numFmt w:val="decimal"/>
      <w:lvlText w:val="%1)"/>
      <w:lvlJc w:val="left"/>
      <w:pPr>
        <w:ind w:left="786"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5106AB"/>
    <w:multiLevelType w:val="hybridMultilevel"/>
    <w:tmpl w:val="CFDEEF3E"/>
    <w:lvl w:ilvl="0" w:tplc="AE80E18A">
      <w:start w:val="1"/>
      <w:numFmt w:val="decimal"/>
      <w:lvlText w:val="%1)"/>
      <w:lvlJc w:val="left"/>
      <w:pPr>
        <w:ind w:left="786"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0321F3"/>
    <w:multiLevelType w:val="hybridMultilevel"/>
    <w:tmpl w:val="5A5006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22B1691"/>
    <w:multiLevelType w:val="hybridMultilevel"/>
    <w:tmpl w:val="DC927564"/>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22415FA5"/>
    <w:multiLevelType w:val="hybridMultilevel"/>
    <w:tmpl w:val="238AA8D6"/>
    <w:lvl w:ilvl="0" w:tplc="97729B24">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764588"/>
    <w:multiLevelType w:val="hybridMultilevel"/>
    <w:tmpl w:val="87EE22D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 w15:restartNumberingAfterBreak="0">
    <w:nsid w:val="23FB0206"/>
    <w:multiLevelType w:val="hybridMultilevel"/>
    <w:tmpl w:val="4E4C4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7785435"/>
    <w:multiLevelType w:val="hybridMultilevel"/>
    <w:tmpl w:val="0DBA0F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7FF0C9C"/>
    <w:multiLevelType w:val="hybridMultilevel"/>
    <w:tmpl w:val="F08EF9B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98F14A6"/>
    <w:multiLevelType w:val="hybridMultilevel"/>
    <w:tmpl w:val="84C84B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B7278A6"/>
    <w:multiLevelType w:val="hybridMultilevel"/>
    <w:tmpl w:val="7F8CA6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EEA73EE"/>
    <w:multiLevelType w:val="hybridMultilevel"/>
    <w:tmpl w:val="3EDC10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1F13188"/>
    <w:multiLevelType w:val="hybridMultilevel"/>
    <w:tmpl w:val="1B68A692"/>
    <w:lvl w:ilvl="0" w:tplc="A32EB7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3FF0669"/>
    <w:multiLevelType w:val="hybridMultilevel"/>
    <w:tmpl w:val="59A0CC96"/>
    <w:lvl w:ilvl="0" w:tplc="EEA265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50072FB"/>
    <w:multiLevelType w:val="hybridMultilevel"/>
    <w:tmpl w:val="CABE7E08"/>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352456FF"/>
    <w:multiLevelType w:val="hybridMultilevel"/>
    <w:tmpl w:val="5BB0D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8252E6D"/>
    <w:multiLevelType w:val="hybridMultilevel"/>
    <w:tmpl w:val="8910C6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B2D5AAA"/>
    <w:multiLevelType w:val="hybridMultilevel"/>
    <w:tmpl w:val="CFDEEF3E"/>
    <w:lvl w:ilvl="0" w:tplc="AE80E18A">
      <w:start w:val="1"/>
      <w:numFmt w:val="decimal"/>
      <w:lvlText w:val="%1)"/>
      <w:lvlJc w:val="left"/>
      <w:pPr>
        <w:ind w:left="786"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6904F70"/>
    <w:multiLevelType w:val="hybridMultilevel"/>
    <w:tmpl w:val="9ED4A676"/>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4A4627C7"/>
    <w:multiLevelType w:val="hybridMultilevel"/>
    <w:tmpl w:val="FB44031E"/>
    <w:lvl w:ilvl="0" w:tplc="DBF285E6">
      <w:start w:val="1"/>
      <w:numFmt w:val="decimal"/>
      <w:lvlText w:val="%1)"/>
      <w:lvlJc w:val="left"/>
      <w:pPr>
        <w:ind w:left="78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F94A1D"/>
    <w:multiLevelType w:val="hybridMultilevel"/>
    <w:tmpl w:val="85EC12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DD351B7"/>
    <w:multiLevelType w:val="hybridMultilevel"/>
    <w:tmpl w:val="4410941A"/>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15:restartNumberingAfterBreak="0">
    <w:nsid w:val="54A63EA8"/>
    <w:multiLevelType w:val="hybridMultilevel"/>
    <w:tmpl w:val="CEA4EA5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64722EF"/>
    <w:multiLevelType w:val="hybridMultilevel"/>
    <w:tmpl w:val="E6BA1794"/>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8451A57"/>
    <w:multiLevelType w:val="hybridMultilevel"/>
    <w:tmpl w:val="EEB67E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B17582C"/>
    <w:multiLevelType w:val="hybridMultilevel"/>
    <w:tmpl w:val="9602363C"/>
    <w:lvl w:ilvl="0" w:tplc="EEA265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F8534F2"/>
    <w:multiLevelType w:val="hybridMultilevel"/>
    <w:tmpl w:val="CFDEEF3E"/>
    <w:lvl w:ilvl="0" w:tplc="AE80E18A">
      <w:start w:val="1"/>
      <w:numFmt w:val="decimal"/>
      <w:lvlText w:val="%1)"/>
      <w:lvlJc w:val="left"/>
      <w:pPr>
        <w:ind w:left="786"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00A1B37"/>
    <w:multiLevelType w:val="hybridMultilevel"/>
    <w:tmpl w:val="89A296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22D3498"/>
    <w:multiLevelType w:val="hybridMultilevel"/>
    <w:tmpl w:val="7102BC16"/>
    <w:lvl w:ilvl="0" w:tplc="6A1628A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E366FC5"/>
    <w:multiLevelType w:val="hybridMultilevel"/>
    <w:tmpl w:val="34FAD7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61C54E5"/>
    <w:multiLevelType w:val="hybridMultilevel"/>
    <w:tmpl w:val="5AA6FDDE"/>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70F590E"/>
    <w:multiLevelType w:val="hybridMultilevel"/>
    <w:tmpl w:val="DE76EF4E"/>
    <w:lvl w:ilvl="0" w:tplc="EEA265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8F22EAB"/>
    <w:multiLevelType w:val="hybridMultilevel"/>
    <w:tmpl w:val="0B0C31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AC2405E"/>
    <w:multiLevelType w:val="hybridMultilevel"/>
    <w:tmpl w:val="11D691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B537537"/>
    <w:multiLevelType w:val="hybridMultilevel"/>
    <w:tmpl w:val="3FD07350"/>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43" w15:restartNumberingAfterBreak="0">
    <w:nsid w:val="7C1207A1"/>
    <w:multiLevelType w:val="hybridMultilevel"/>
    <w:tmpl w:val="BEA698EC"/>
    <w:lvl w:ilvl="0" w:tplc="035A1296">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DC551E4"/>
    <w:multiLevelType w:val="hybridMultilevel"/>
    <w:tmpl w:val="A8FC6A0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F082434"/>
    <w:multiLevelType w:val="hybridMultilevel"/>
    <w:tmpl w:val="0A5270B2"/>
    <w:lvl w:ilvl="0" w:tplc="04150003">
      <w:start w:val="1"/>
      <w:numFmt w:val="bullet"/>
      <w:lvlText w:val="o"/>
      <w:lvlJc w:val="left"/>
      <w:pPr>
        <w:ind w:left="1500" w:hanging="360"/>
      </w:pPr>
      <w:rPr>
        <w:rFonts w:ascii="Courier New" w:hAnsi="Courier New" w:cs="Courier New"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num w:numId="1">
    <w:abstractNumId w:val="36"/>
  </w:num>
  <w:num w:numId="2">
    <w:abstractNumId w:val="25"/>
  </w:num>
  <w:num w:numId="3">
    <w:abstractNumId w:val="28"/>
  </w:num>
  <w:num w:numId="4">
    <w:abstractNumId w:val="40"/>
  </w:num>
  <w:num w:numId="5">
    <w:abstractNumId w:val="35"/>
  </w:num>
  <w:num w:numId="6">
    <w:abstractNumId w:val="0"/>
  </w:num>
  <w:num w:numId="7">
    <w:abstractNumId w:val="18"/>
  </w:num>
  <w:num w:numId="8">
    <w:abstractNumId w:val="37"/>
  </w:num>
  <w:num w:numId="9">
    <w:abstractNumId w:val="29"/>
  </w:num>
  <w:num w:numId="10">
    <w:abstractNumId w:val="11"/>
  </w:num>
  <w:num w:numId="11">
    <w:abstractNumId w:val="26"/>
  </w:num>
  <w:num w:numId="12">
    <w:abstractNumId w:val="19"/>
  </w:num>
  <w:num w:numId="13">
    <w:abstractNumId w:val="32"/>
  </w:num>
  <w:num w:numId="14">
    <w:abstractNumId w:val="2"/>
  </w:num>
  <w:num w:numId="15">
    <w:abstractNumId w:val="15"/>
  </w:num>
  <w:num w:numId="16">
    <w:abstractNumId w:val="3"/>
  </w:num>
  <w:num w:numId="17">
    <w:abstractNumId w:val="16"/>
  </w:num>
  <w:num w:numId="18">
    <w:abstractNumId w:val="30"/>
  </w:num>
  <w:num w:numId="19">
    <w:abstractNumId w:val="44"/>
  </w:num>
  <w:num w:numId="20">
    <w:abstractNumId w:val="5"/>
  </w:num>
  <w:num w:numId="21">
    <w:abstractNumId w:val="31"/>
  </w:num>
  <w:num w:numId="22">
    <w:abstractNumId w:val="13"/>
  </w:num>
  <w:num w:numId="23">
    <w:abstractNumId w:val="38"/>
  </w:num>
  <w:num w:numId="24">
    <w:abstractNumId w:val="10"/>
  </w:num>
  <w:num w:numId="25">
    <w:abstractNumId w:val="6"/>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num>
  <w:num w:numId="48">
    <w:abstractNumId w:val="7"/>
  </w:num>
  <w:num w:numId="49">
    <w:abstractNumId w:val="12"/>
  </w:num>
  <w:num w:numId="50">
    <w:abstractNumId w:val="17"/>
  </w:num>
  <w:num w:numId="51">
    <w:abstractNumId w:val="22"/>
  </w:num>
  <w:num w:numId="52">
    <w:abstractNumId w:val="45"/>
  </w:num>
  <w:num w:numId="53">
    <w:abstractNumId w:val="21"/>
  </w:num>
  <w:num w:numId="54">
    <w:abstractNumId w:val="9"/>
  </w:num>
  <w:num w:numId="55">
    <w:abstractNumId w:val="14"/>
  </w:num>
  <w:num w:numId="56">
    <w:abstractNumId w:val="41"/>
  </w:num>
  <w:num w:numId="57">
    <w:abstractNumId w:val="42"/>
  </w:num>
  <w:num w:numId="58">
    <w:abstractNumId w:val="24"/>
  </w:num>
  <w:num w:numId="59">
    <w:abstractNumId w:val="20"/>
  </w:num>
  <w:num w:numId="60">
    <w:abstractNumId w:val="23"/>
  </w:num>
  <w:num w:numId="61">
    <w:abstractNumId w:val="43"/>
  </w:num>
  <w:num w:numId="62">
    <w:abstractNumId w:val="34"/>
  </w:num>
  <w:num w:numId="63">
    <w:abstractNumId w:val="33"/>
  </w:num>
  <w:num w:numId="64">
    <w:abstractNumId w:val="8"/>
  </w:num>
  <w:num w:numId="65">
    <w:abstractNumId w:val="4"/>
  </w:num>
  <w:num w:numId="66">
    <w:abstractNumId w:val="39"/>
  </w:num>
  <w:num w:numId="67">
    <w:abstractNumId w:val="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EF8"/>
    <w:rsid w:val="00001578"/>
    <w:rsid w:val="00002544"/>
    <w:rsid w:val="00002677"/>
    <w:rsid w:val="000056AC"/>
    <w:rsid w:val="00007288"/>
    <w:rsid w:val="00007B0B"/>
    <w:rsid w:val="00010C63"/>
    <w:rsid w:val="000122FE"/>
    <w:rsid w:val="000150F7"/>
    <w:rsid w:val="000151A2"/>
    <w:rsid w:val="00015DF3"/>
    <w:rsid w:val="00017132"/>
    <w:rsid w:val="00017488"/>
    <w:rsid w:val="000204FE"/>
    <w:rsid w:val="000211E0"/>
    <w:rsid w:val="00021757"/>
    <w:rsid w:val="00027032"/>
    <w:rsid w:val="000348A4"/>
    <w:rsid w:val="00035CC3"/>
    <w:rsid w:val="00037A90"/>
    <w:rsid w:val="00040213"/>
    <w:rsid w:val="00041CAA"/>
    <w:rsid w:val="00042AB5"/>
    <w:rsid w:val="00042C02"/>
    <w:rsid w:val="00042F2D"/>
    <w:rsid w:val="00045B15"/>
    <w:rsid w:val="00045BA7"/>
    <w:rsid w:val="00050766"/>
    <w:rsid w:val="000507D9"/>
    <w:rsid w:val="000514BE"/>
    <w:rsid w:val="00051FD3"/>
    <w:rsid w:val="00052E0F"/>
    <w:rsid w:val="00053DF8"/>
    <w:rsid w:val="00053EC1"/>
    <w:rsid w:val="0005593F"/>
    <w:rsid w:val="00055998"/>
    <w:rsid w:val="00055BFD"/>
    <w:rsid w:val="00056BBE"/>
    <w:rsid w:val="00060094"/>
    <w:rsid w:val="00060300"/>
    <w:rsid w:val="00060F68"/>
    <w:rsid w:val="0006134B"/>
    <w:rsid w:val="0006196A"/>
    <w:rsid w:val="000641DD"/>
    <w:rsid w:val="00065E2B"/>
    <w:rsid w:val="00066A1B"/>
    <w:rsid w:val="00067C0D"/>
    <w:rsid w:val="00070248"/>
    <w:rsid w:val="00072480"/>
    <w:rsid w:val="000741C1"/>
    <w:rsid w:val="00076BD7"/>
    <w:rsid w:val="00080206"/>
    <w:rsid w:val="00080FCC"/>
    <w:rsid w:val="00082C39"/>
    <w:rsid w:val="00082E66"/>
    <w:rsid w:val="0008341C"/>
    <w:rsid w:val="00083560"/>
    <w:rsid w:val="000837D1"/>
    <w:rsid w:val="00083C0C"/>
    <w:rsid w:val="0008599D"/>
    <w:rsid w:val="000931FC"/>
    <w:rsid w:val="00093D2B"/>
    <w:rsid w:val="000947B7"/>
    <w:rsid w:val="00096A5F"/>
    <w:rsid w:val="00097DBD"/>
    <w:rsid w:val="000A009C"/>
    <w:rsid w:val="000A2925"/>
    <w:rsid w:val="000A2DFF"/>
    <w:rsid w:val="000A5A22"/>
    <w:rsid w:val="000A72C8"/>
    <w:rsid w:val="000B136B"/>
    <w:rsid w:val="000B1556"/>
    <w:rsid w:val="000B18E6"/>
    <w:rsid w:val="000B409B"/>
    <w:rsid w:val="000B65F0"/>
    <w:rsid w:val="000C022E"/>
    <w:rsid w:val="000C0CF9"/>
    <w:rsid w:val="000C0FBD"/>
    <w:rsid w:val="000C19B6"/>
    <w:rsid w:val="000C4762"/>
    <w:rsid w:val="000C5023"/>
    <w:rsid w:val="000C6093"/>
    <w:rsid w:val="000D0C7F"/>
    <w:rsid w:val="000D15E7"/>
    <w:rsid w:val="000D31A4"/>
    <w:rsid w:val="000D3F1E"/>
    <w:rsid w:val="000D4703"/>
    <w:rsid w:val="000D582A"/>
    <w:rsid w:val="000D5C2F"/>
    <w:rsid w:val="000D68CE"/>
    <w:rsid w:val="000D6A8A"/>
    <w:rsid w:val="000D6C51"/>
    <w:rsid w:val="000D7C5F"/>
    <w:rsid w:val="000E1DD4"/>
    <w:rsid w:val="000E24A6"/>
    <w:rsid w:val="000E2800"/>
    <w:rsid w:val="000E34ED"/>
    <w:rsid w:val="000E53FD"/>
    <w:rsid w:val="000E7377"/>
    <w:rsid w:val="000F0E9B"/>
    <w:rsid w:val="000F2167"/>
    <w:rsid w:val="000F35C5"/>
    <w:rsid w:val="000F4DB2"/>
    <w:rsid w:val="000F5883"/>
    <w:rsid w:val="000F75D1"/>
    <w:rsid w:val="000F7E53"/>
    <w:rsid w:val="001015C0"/>
    <w:rsid w:val="00103E8C"/>
    <w:rsid w:val="00104C3E"/>
    <w:rsid w:val="00105E0E"/>
    <w:rsid w:val="00110BB5"/>
    <w:rsid w:val="001120FE"/>
    <w:rsid w:val="00114776"/>
    <w:rsid w:val="00121715"/>
    <w:rsid w:val="00121C13"/>
    <w:rsid w:val="001231F9"/>
    <w:rsid w:val="00124260"/>
    <w:rsid w:val="001268CD"/>
    <w:rsid w:val="001311F8"/>
    <w:rsid w:val="0013121C"/>
    <w:rsid w:val="001312F2"/>
    <w:rsid w:val="00133A1C"/>
    <w:rsid w:val="00136E69"/>
    <w:rsid w:val="00140896"/>
    <w:rsid w:val="00141039"/>
    <w:rsid w:val="00142549"/>
    <w:rsid w:val="00144025"/>
    <w:rsid w:val="00145597"/>
    <w:rsid w:val="0014623A"/>
    <w:rsid w:val="00147390"/>
    <w:rsid w:val="00147E18"/>
    <w:rsid w:val="00151D65"/>
    <w:rsid w:val="00151E35"/>
    <w:rsid w:val="00156DE5"/>
    <w:rsid w:val="00160A3C"/>
    <w:rsid w:val="0016177A"/>
    <w:rsid w:val="0016224E"/>
    <w:rsid w:val="00163CCE"/>
    <w:rsid w:val="00165003"/>
    <w:rsid w:val="00166EE9"/>
    <w:rsid w:val="00167D62"/>
    <w:rsid w:val="00170502"/>
    <w:rsid w:val="0017154C"/>
    <w:rsid w:val="00173163"/>
    <w:rsid w:val="00174D75"/>
    <w:rsid w:val="001769B4"/>
    <w:rsid w:val="00181493"/>
    <w:rsid w:val="00183AE1"/>
    <w:rsid w:val="00184DF1"/>
    <w:rsid w:val="00190CA6"/>
    <w:rsid w:val="00193EEE"/>
    <w:rsid w:val="00194671"/>
    <w:rsid w:val="00196367"/>
    <w:rsid w:val="001A0295"/>
    <w:rsid w:val="001A4457"/>
    <w:rsid w:val="001A474C"/>
    <w:rsid w:val="001A507E"/>
    <w:rsid w:val="001A7087"/>
    <w:rsid w:val="001A7173"/>
    <w:rsid w:val="001A78B0"/>
    <w:rsid w:val="001B119B"/>
    <w:rsid w:val="001B2B5A"/>
    <w:rsid w:val="001B40DC"/>
    <w:rsid w:val="001C02A4"/>
    <w:rsid w:val="001C06E0"/>
    <w:rsid w:val="001C1119"/>
    <w:rsid w:val="001C1B6E"/>
    <w:rsid w:val="001C3844"/>
    <w:rsid w:val="001C3C77"/>
    <w:rsid w:val="001C49C5"/>
    <w:rsid w:val="001C6FCA"/>
    <w:rsid w:val="001C75DA"/>
    <w:rsid w:val="001D0256"/>
    <w:rsid w:val="001D5738"/>
    <w:rsid w:val="001D6E88"/>
    <w:rsid w:val="001E064E"/>
    <w:rsid w:val="001E2AC4"/>
    <w:rsid w:val="001E2D79"/>
    <w:rsid w:val="001E3CF7"/>
    <w:rsid w:val="001E3D88"/>
    <w:rsid w:val="001E50D2"/>
    <w:rsid w:val="001E51E8"/>
    <w:rsid w:val="001E5F43"/>
    <w:rsid w:val="001F0DEA"/>
    <w:rsid w:val="001F36E4"/>
    <w:rsid w:val="001F6101"/>
    <w:rsid w:val="001F6959"/>
    <w:rsid w:val="001F6A3C"/>
    <w:rsid w:val="001F7731"/>
    <w:rsid w:val="00200444"/>
    <w:rsid w:val="002027F8"/>
    <w:rsid w:val="002032B0"/>
    <w:rsid w:val="00203EB7"/>
    <w:rsid w:val="00204F57"/>
    <w:rsid w:val="00206C79"/>
    <w:rsid w:val="00210406"/>
    <w:rsid w:val="00212C6C"/>
    <w:rsid w:val="00212D75"/>
    <w:rsid w:val="00213811"/>
    <w:rsid w:val="00213D7B"/>
    <w:rsid w:val="00215F76"/>
    <w:rsid w:val="00221011"/>
    <w:rsid w:val="0022102C"/>
    <w:rsid w:val="0022104C"/>
    <w:rsid w:val="0022321E"/>
    <w:rsid w:val="00223CAA"/>
    <w:rsid w:val="00224945"/>
    <w:rsid w:val="00230297"/>
    <w:rsid w:val="00231087"/>
    <w:rsid w:val="002311F8"/>
    <w:rsid w:val="00235FAA"/>
    <w:rsid w:val="002366DD"/>
    <w:rsid w:val="0024015E"/>
    <w:rsid w:val="00240B3A"/>
    <w:rsid w:val="00243565"/>
    <w:rsid w:val="002439F0"/>
    <w:rsid w:val="00243AD4"/>
    <w:rsid w:val="00245525"/>
    <w:rsid w:val="00245E6E"/>
    <w:rsid w:val="00246336"/>
    <w:rsid w:val="0024710A"/>
    <w:rsid w:val="00247A8E"/>
    <w:rsid w:val="00250780"/>
    <w:rsid w:val="00250AD2"/>
    <w:rsid w:val="00250D69"/>
    <w:rsid w:val="0025143E"/>
    <w:rsid w:val="00253396"/>
    <w:rsid w:val="00254F7A"/>
    <w:rsid w:val="00255BFD"/>
    <w:rsid w:val="00256D18"/>
    <w:rsid w:val="002576BC"/>
    <w:rsid w:val="002577FE"/>
    <w:rsid w:val="00257F88"/>
    <w:rsid w:val="002602A7"/>
    <w:rsid w:val="0026038D"/>
    <w:rsid w:val="00260F20"/>
    <w:rsid w:val="00262B8D"/>
    <w:rsid w:val="00262D3D"/>
    <w:rsid w:val="002648C4"/>
    <w:rsid w:val="00264925"/>
    <w:rsid w:val="0026547B"/>
    <w:rsid w:val="00266DB6"/>
    <w:rsid w:val="00266E38"/>
    <w:rsid w:val="00270705"/>
    <w:rsid w:val="00270AE2"/>
    <w:rsid w:val="002761A8"/>
    <w:rsid w:val="00280853"/>
    <w:rsid w:val="00282CDF"/>
    <w:rsid w:val="00284B1A"/>
    <w:rsid w:val="002853A6"/>
    <w:rsid w:val="00286EC5"/>
    <w:rsid w:val="00291FAE"/>
    <w:rsid w:val="002939A7"/>
    <w:rsid w:val="00293C64"/>
    <w:rsid w:val="00294845"/>
    <w:rsid w:val="00294F6F"/>
    <w:rsid w:val="00296576"/>
    <w:rsid w:val="00296EB1"/>
    <w:rsid w:val="002A02C6"/>
    <w:rsid w:val="002A2407"/>
    <w:rsid w:val="002A28BD"/>
    <w:rsid w:val="002A2C20"/>
    <w:rsid w:val="002A600F"/>
    <w:rsid w:val="002A7693"/>
    <w:rsid w:val="002B0116"/>
    <w:rsid w:val="002B12F3"/>
    <w:rsid w:val="002B239D"/>
    <w:rsid w:val="002B7447"/>
    <w:rsid w:val="002C064B"/>
    <w:rsid w:val="002C34BC"/>
    <w:rsid w:val="002C4456"/>
    <w:rsid w:val="002C475C"/>
    <w:rsid w:val="002C4F95"/>
    <w:rsid w:val="002C6E21"/>
    <w:rsid w:val="002C6EFA"/>
    <w:rsid w:val="002C7626"/>
    <w:rsid w:val="002D184C"/>
    <w:rsid w:val="002D2086"/>
    <w:rsid w:val="002D222C"/>
    <w:rsid w:val="002D3449"/>
    <w:rsid w:val="002D3B7C"/>
    <w:rsid w:val="002D4031"/>
    <w:rsid w:val="002D5A38"/>
    <w:rsid w:val="002D61BF"/>
    <w:rsid w:val="002D76A1"/>
    <w:rsid w:val="002D7749"/>
    <w:rsid w:val="002D77D4"/>
    <w:rsid w:val="002D7845"/>
    <w:rsid w:val="002E08B1"/>
    <w:rsid w:val="002E12B2"/>
    <w:rsid w:val="002E1A11"/>
    <w:rsid w:val="002E21B8"/>
    <w:rsid w:val="002E2408"/>
    <w:rsid w:val="002E317B"/>
    <w:rsid w:val="002E3AA3"/>
    <w:rsid w:val="002E4914"/>
    <w:rsid w:val="002E638D"/>
    <w:rsid w:val="002E77EE"/>
    <w:rsid w:val="002E78C5"/>
    <w:rsid w:val="002F1501"/>
    <w:rsid w:val="002F23AF"/>
    <w:rsid w:val="002F2610"/>
    <w:rsid w:val="002F2A22"/>
    <w:rsid w:val="002F3237"/>
    <w:rsid w:val="002F331C"/>
    <w:rsid w:val="002F42A6"/>
    <w:rsid w:val="002F64D4"/>
    <w:rsid w:val="002F6DD5"/>
    <w:rsid w:val="002F7378"/>
    <w:rsid w:val="002F7CB2"/>
    <w:rsid w:val="0030392B"/>
    <w:rsid w:val="00303F26"/>
    <w:rsid w:val="00304FCE"/>
    <w:rsid w:val="0030512D"/>
    <w:rsid w:val="00306B9C"/>
    <w:rsid w:val="00310049"/>
    <w:rsid w:val="003107E8"/>
    <w:rsid w:val="003120B7"/>
    <w:rsid w:val="003149EA"/>
    <w:rsid w:val="003157BD"/>
    <w:rsid w:val="00316138"/>
    <w:rsid w:val="0032328B"/>
    <w:rsid w:val="00324155"/>
    <w:rsid w:val="00324431"/>
    <w:rsid w:val="0032479C"/>
    <w:rsid w:val="0032515D"/>
    <w:rsid w:val="003255B4"/>
    <w:rsid w:val="00326FF0"/>
    <w:rsid w:val="00330CF0"/>
    <w:rsid w:val="0033105E"/>
    <w:rsid w:val="003323C8"/>
    <w:rsid w:val="00333939"/>
    <w:rsid w:val="00335EF0"/>
    <w:rsid w:val="00336176"/>
    <w:rsid w:val="0033649D"/>
    <w:rsid w:val="003367A8"/>
    <w:rsid w:val="003404B4"/>
    <w:rsid w:val="00340C1A"/>
    <w:rsid w:val="0034107C"/>
    <w:rsid w:val="0034185C"/>
    <w:rsid w:val="0034283F"/>
    <w:rsid w:val="00342F50"/>
    <w:rsid w:val="003435BB"/>
    <w:rsid w:val="00344159"/>
    <w:rsid w:val="003475A4"/>
    <w:rsid w:val="00347B11"/>
    <w:rsid w:val="003506CC"/>
    <w:rsid w:val="00351BC4"/>
    <w:rsid w:val="00351E7C"/>
    <w:rsid w:val="00353BA9"/>
    <w:rsid w:val="00354576"/>
    <w:rsid w:val="00354BC9"/>
    <w:rsid w:val="0035790F"/>
    <w:rsid w:val="00357BC3"/>
    <w:rsid w:val="0036066B"/>
    <w:rsid w:val="00360A1D"/>
    <w:rsid w:val="00360EA4"/>
    <w:rsid w:val="00361C6A"/>
    <w:rsid w:val="00361C72"/>
    <w:rsid w:val="0036246D"/>
    <w:rsid w:val="00363176"/>
    <w:rsid w:val="0036744E"/>
    <w:rsid w:val="00371561"/>
    <w:rsid w:val="00372DF7"/>
    <w:rsid w:val="0037435C"/>
    <w:rsid w:val="00374650"/>
    <w:rsid w:val="00374F1E"/>
    <w:rsid w:val="00376C3F"/>
    <w:rsid w:val="003774FD"/>
    <w:rsid w:val="003806EB"/>
    <w:rsid w:val="003816EA"/>
    <w:rsid w:val="0038380E"/>
    <w:rsid w:val="003849FD"/>
    <w:rsid w:val="00384A6A"/>
    <w:rsid w:val="00384CE2"/>
    <w:rsid w:val="003856A6"/>
    <w:rsid w:val="00385703"/>
    <w:rsid w:val="00385E92"/>
    <w:rsid w:val="0039234A"/>
    <w:rsid w:val="00392688"/>
    <w:rsid w:val="00392EC5"/>
    <w:rsid w:val="00393B8E"/>
    <w:rsid w:val="00394840"/>
    <w:rsid w:val="003955AA"/>
    <w:rsid w:val="0039696A"/>
    <w:rsid w:val="00396FB4"/>
    <w:rsid w:val="00397123"/>
    <w:rsid w:val="00397B6A"/>
    <w:rsid w:val="003A1751"/>
    <w:rsid w:val="003A3719"/>
    <w:rsid w:val="003A47EE"/>
    <w:rsid w:val="003A4881"/>
    <w:rsid w:val="003A4D3A"/>
    <w:rsid w:val="003A4EC1"/>
    <w:rsid w:val="003A544B"/>
    <w:rsid w:val="003A5950"/>
    <w:rsid w:val="003B029A"/>
    <w:rsid w:val="003B153A"/>
    <w:rsid w:val="003B1A2B"/>
    <w:rsid w:val="003B2B09"/>
    <w:rsid w:val="003B3334"/>
    <w:rsid w:val="003B3B75"/>
    <w:rsid w:val="003B4009"/>
    <w:rsid w:val="003B4367"/>
    <w:rsid w:val="003B6083"/>
    <w:rsid w:val="003B7C4A"/>
    <w:rsid w:val="003C0EFF"/>
    <w:rsid w:val="003C1961"/>
    <w:rsid w:val="003C2D85"/>
    <w:rsid w:val="003C381A"/>
    <w:rsid w:val="003C5D40"/>
    <w:rsid w:val="003C7E46"/>
    <w:rsid w:val="003D05DB"/>
    <w:rsid w:val="003D0E60"/>
    <w:rsid w:val="003D0F3F"/>
    <w:rsid w:val="003D5CFE"/>
    <w:rsid w:val="003D66DE"/>
    <w:rsid w:val="003E029B"/>
    <w:rsid w:val="003E4DFB"/>
    <w:rsid w:val="003E50AF"/>
    <w:rsid w:val="003E538C"/>
    <w:rsid w:val="003E57AA"/>
    <w:rsid w:val="003E765F"/>
    <w:rsid w:val="003E7964"/>
    <w:rsid w:val="003F1B80"/>
    <w:rsid w:val="003F4071"/>
    <w:rsid w:val="003F6AE8"/>
    <w:rsid w:val="00401758"/>
    <w:rsid w:val="00402A1B"/>
    <w:rsid w:val="00403DB7"/>
    <w:rsid w:val="0040488A"/>
    <w:rsid w:val="004055D7"/>
    <w:rsid w:val="00407F25"/>
    <w:rsid w:val="00410B7E"/>
    <w:rsid w:val="00411934"/>
    <w:rsid w:val="00412044"/>
    <w:rsid w:val="004121B3"/>
    <w:rsid w:val="00413102"/>
    <w:rsid w:val="00413972"/>
    <w:rsid w:val="00413D0E"/>
    <w:rsid w:val="0041530D"/>
    <w:rsid w:val="004172CE"/>
    <w:rsid w:val="00417E0E"/>
    <w:rsid w:val="004204A1"/>
    <w:rsid w:val="00421C25"/>
    <w:rsid w:val="00421DD4"/>
    <w:rsid w:val="0042361C"/>
    <w:rsid w:val="004245DA"/>
    <w:rsid w:val="004274E5"/>
    <w:rsid w:val="004303CE"/>
    <w:rsid w:val="00430866"/>
    <w:rsid w:val="0043297F"/>
    <w:rsid w:val="00432C19"/>
    <w:rsid w:val="00433BD5"/>
    <w:rsid w:val="00433CAA"/>
    <w:rsid w:val="00435E31"/>
    <w:rsid w:val="0043751B"/>
    <w:rsid w:val="00437EA6"/>
    <w:rsid w:val="00440976"/>
    <w:rsid w:val="00440E84"/>
    <w:rsid w:val="00445905"/>
    <w:rsid w:val="00445DFA"/>
    <w:rsid w:val="00446BD0"/>
    <w:rsid w:val="0044710A"/>
    <w:rsid w:val="004471E6"/>
    <w:rsid w:val="0045408C"/>
    <w:rsid w:val="00460737"/>
    <w:rsid w:val="0046288F"/>
    <w:rsid w:val="004629E9"/>
    <w:rsid w:val="00463E0E"/>
    <w:rsid w:val="00465AD9"/>
    <w:rsid w:val="00465C6D"/>
    <w:rsid w:val="0046787C"/>
    <w:rsid w:val="0047054D"/>
    <w:rsid w:val="00470E8C"/>
    <w:rsid w:val="004710F7"/>
    <w:rsid w:val="0047417F"/>
    <w:rsid w:val="00474601"/>
    <w:rsid w:val="00474F95"/>
    <w:rsid w:val="00480C02"/>
    <w:rsid w:val="0048140A"/>
    <w:rsid w:val="004815A7"/>
    <w:rsid w:val="0048298D"/>
    <w:rsid w:val="0048334D"/>
    <w:rsid w:val="00484EEE"/>
    <w:rsid w:val="0048762A"/>
    <w:rsid w:val="00487C85"/>
    <w:rsid w:val="0049129F"/>
    <w:rsid w:val="00491C93"/>
    <w:rsid w:val="00491F0F"/>
    <w:rsid w:val="00491F31"/>
    <w:rsid w:val="00496AEE"/>
    <w:rsid w:val="00496F78"/>
    <w:rsid w:val="004A30E8"/>
    <w:rsid w:val="004A35DC"/>
    <w:rsid w:val="004A3814"/>
    <w:rsid w:val="004A5E2C"/>
    <w:rsid w:val="004A611F"/>
    <w:rsid w:val="004A618D"/>
    <w:rsid w:val="004A646B"/>
    <w:rsid w:val="004A76D1"/>
    <w:rsid w:val="004A7D03"/>
    <w:rsid w:val="004B217B"/>
    <w:rsid w:val="004B5A3C"/>
    <w:rsid w:val="004B6F13"/>
    <w:rsid w:val="004C1021"/>
    <w:rsid w:val="004C1DB4"/>
    <w:rsid w:val="004C57CA"/>
    <w:rsid w:val="004C6A0E"/>
    <w:rsid w:val="004D0EBD"/>
    <w:rsid w:val="004D19C5"/>
    <w:rsid w:val="004D236C"/>
    <w:rsid w:val="004D3BD7"/>
    <w:rsid w:val="004D521E"/>
    <w:rsid w:val="004D68D3"/>
    <w:rsid w:val="004D6E51"/>
    <w:rsid w:val="004D7673"/>
    <w:rsid w:val="004E0F72"/>
    <w:rsid w:val="004E1D5D"/>
    <w:rsid w:val="004E2FA9"/>
    <w:rsid w:val="004E3BF8"/>
    <w:rsid w:val="004E411E"/>
    <w:rsid w:val="004E66D3"/>
    <w:rsid w:val="004F10AF"/>
    <w:rsid w:val="004F2521"/>
    <w:rsid w:val="004F2EE5"/>
    <w:rsid w:val="004F344B"/>
    <w:rsid w:val="004F42A1"/>
    <w:rsid w:val="004F729E"/>
    <w:rsid w:val="00502406"/>
    <w:rsid w:val="00505497"/>
    <w:rsid w:val="00505D82"/>
    <w:rsid w:val="00513D7B"/>
    <w:rsid w:val="00514AC6"/>
    <w:rsid w:val="005151B1"/>
    <w:rsid w:val="00516FAE"/>
    <w:rsid w:val="0051787E"/>
    <w:rsid w:val="00525052"/>
    <w:rsid w:val="00525C8A"/>
    <w:rsid w:val="00526F65"/>
    <w:rsid w:val="0052751D"/>
    <w:rsid w:val="00527803"/>
    <w:rsid w:val="00527B88"/>
    <w:rsid w:val="00530553"/>
    <w:rsid w:val="00530D20"/>
    <w:rsid w:val="00531A3F"/>
    <w:rsid w:val="00531CA0"/>
    <w:rsid w:val="005342E7"/>
    <w:rsid w:val="005349E8"/>
    <w:rsid w:val="005351E9"/>
    <w:rsid w:val="00535616"/>
    <w:rsid w:val="005356FD"/>
    <w:rsid w:val="00536076"/>
    <w:rsid w:val="005423E2"/>
    <w:rsid w:val="00545763"/>
    <w:rsid w:val="00546B24"/>
    <w:rsid w:val="00547A02"/>
    <w:rsid w:val="0055048B"/>
    <w:rsid w:val="00551CB8"/>
    <w:rsid w:val="00553C1D"/>
    <w:rsid w:val="00554921"/>
    <w:rsid w:val="00557065"/>
    <w:rsid w:val="005613EB"/>
    <w:rsid w:val="0056243D"/>
    <w:rsid w:val="00564A97"/>
    <w:rsid w:val="00565A12"/>
    <w:rsid w:val="00566213"/>
    <w:rsid w:val="0056698F"/>
    <w:rsid w:val="00567B47"/>
    <w:rsid w:val="00570990"/>
    <w:rsid w:val="0057117F"/>
    <w:rsid w:val="0057354D"/>
    <w:rsid w:val="00574460"/>
    <w:rsid w:val="00574523"/>
    <w:rsid w:val="005755B8"/>
    <w:rsid w:val="00575857"/>
    <w:rsid w:val="00576B26"/>
    <w:rsid w:val="00577B30"/>
    <w:rsid w:val="00582138"/>
    <w:rsid w:val="00583890"/>
    <w:rsid w:val="005841AC"/>
    <w:rsid w:val="005862DF"/>
    <w:rsid w:val="0058674E"/>
    <w:rsid w:val="0058798C"/>
    <w:rsid w:val="005902A4"/>
    <w:rsid w:val="00592191"/>
    <w:rsid w:val="005929F4"/>
    <w:rsid w:val="0059565B"/>
    <w:rsid w:val="00595699"/>
    <w:rsid w:val="00595886"/>
    <w:rsid w:val="005A0B89"/>
    <w:rsid w:val="005A1165"/>
    <w:rsid w:val="005A169E"/>
    <w:rsid w:val="005A1CB0"/>
    <w:rsid w:val="005A27A2"/>
    <w:rsid w:val="005A2FF8"/>
    <w:rsid w:val="005A5A65"/>
    <w:rsid w:val="005A786A"/>
    <w:rsid w:val="005A7883"/>
    <w:rsid w:val="005B107D"/>
    <w:rsid w:val="005B280F"/>
    <w:rsid w:val="005B2A72"/>
    <w:rsid w:val="005B3E39"/>
    <w:rsid w:val="005B549E"/>
    <w:rsid w:val="005C056D"/>
    <w:rsid w:val="005C092A"/>
    <w:rsid w:val="005C24BF"/>
    <w:rsid w:val="005C2A9E"/>
    <w:rsid w:val="005C3C34"/>
    <w:rsid w:val="005C5A49"/>
    <w:rsid w:val="005C6E91"/>
    <w:rsid w:val="005D0C7F"/>
    <w:rsid w:val="005D276D"/>
    <w:rsid w:val="005D29E4"/>
    <w:rsid w:val="005D40BB"/>
    <w:rsid w:val="005D5A62"/>
    <w:rsid w:val="005D6268"/>
    <w:rsid w:val="005D6495"/>
    <w:rsid w:val="005D65B3"/>
    <w:rsid w:val="005D78E3"/>
    <w:rsid w:val="005E0698"/>
    <w:rsid w:val="005E1EC6"/>
    <w:rsid w:val="005E292B"/>
    <w:rsid w:val="005E6C7B"/>
    <w:rsid w:val="005F2397"/>
    <w:rsid w:val="005F4248"/>
    <w:rsid w:val="005F6E08"/>
    <w:rsid w:val="006000A9"/>
    <w:rsid w:val="006020D7"/>
    <w:rsid w:val="00604C77"/>
    <w:rsid w:val="0060515A"/>
    <w:rsid w:val="006061D3"/>
    <w:rsid w:val="00606952"/>
    <w:rsid w:val="00607721"/>
    <w:rsid w:val="0061045F"/>
    <w:rsid w:val="006104E2"/>
    <w:rsid w:val="00610989"/>
    <w:rsid w:val="006115FC"/>
    <w:rsid w:val="006158C9"/>
    <w:rsid w:val="00616BAD"/>
    <w:rsid w:val="00617618"/>
    <w:rsid w:val="00617BBD"/>
    <w:rsid w:val="00622A4B"/>
    <w:rsid w:val="00624504"/>
    <w:rsid w:val="00624725"/>
    <w:rsid w:val="006271C2"/>
    <w:rsid w:val="006277A8"/>
    <w:rsid w:val="00630C14"/>
    <w:rsid w:val="0063372E"/>
    <w:rsid w:val="00636299"/>
    <w:rsid w:val="0063718F"/>
    <w:rsid w:val="00637243"/>
    <w:rsid w:val="00637E4F"/>
    <w:rsid w:val="00640129"/>
    <w:rsid w:val="006428FD"/>
    <w:rsid w:val="00643899"/>
    <w:rsid w:val="00643B95"/>
    <w:rsid w:val="00645C48"/>
    <w:rsid w:val="0064617A"/>
    <w:rsid w:val="00646649"/>
    <w:rsid w:val="00650D94"/>
    <w:rsid w:val="00651321"/>
    <w:rsid w:val="00653183"/>
    <w:rsid w:val="00654D96"/>
    <w:rsid w:val="00654DF3"/>
    <w:rsid w:val="00656361"/>
    <w:rsid w:val="00656832"/>
    <w:rsid w:val="006577DD"/>
    <w:rsid w:val="00657A1B"/>
    <w:rsid w:val="00661410"/>
    <w:rsid w:val="0066453D"/>
    <w:rsid w:val="00664D22"/>
    <w:rsid w:val="0066595C"/>
    <w:rsid w:val="00666067"/>
    <w:rsid w:val="006671A6"/>
    <w:rsid w:val="00670D0A"/>
    <w:rsid w:val="00672232"/>
    <w:rsid w:val="0067276D"/>
    <w:rsid w:val="00673426"/>
    <w:rsid w:val="00673AAE"/>
    <w:rsid w:val="006742A7"/>
    <w:rsid w:val="0067439A"/>
    <w:rsid w:val="00677DE8"/>
    <w:rsid w:val="00680FF9"/>
    <w:rsid w:val="00681DC9"/>
    <w:rsid w:val="00683BAD"/>
    <w:rsid w:val="00683E1C"/>
    <w:rsid w:val="00684E4E"/>
    <w:rsid w:val="00684FA7"/>
    <w:rsid w:val="0068522A"/>
    <w:rsid w:val="00685277"/>
    <w:rsid w:val="00685B30"/>
    <w:rsid w:val="00686F57"/>
    <w:rsid w:val="006877A1"/>
    <w:rsid w:val="006930DF"/>
    <w:rsid w:val="00694774"/>
    <w:rsid w:val="006954C1"/>
    <w:rsid w:val="006A0151"/>
    <w:rsid w:val="006A373B"/>
    <w:rsid w:val="006A4093"/>
    <w:rsid w:val="006A6906"/>
    <w:rsid w:val="006B0072"/>
    <w:rsid w:val="006B0A19"/>
    <w:rsid w:val="006B2507"/>
    <w:rsid w:val="006B48F9"/>
    <w:rsid w:val="006B5313"/>
    <w:rsid w:val="006B7361"/>
    <w:rsid w:val="006C2EA2"/>
    <w:rsid w:val="006C4F9F"/>
    <w:rsid w:val="006C5444"/>
    <w:rsid w:val="006C575E"/>
    <w:rsid w:val="006C6E4E"/>
    <w:rsid w:val="006D0595"/>
    <w:rsid w:val="006D0846"/>
    <w:rsid w:val="006D2320"/>
    <w:rsid w:val="006D24C5"/>
    <w:rsid w:val="006D275B"/>
    <w:rsid w:val="006D3DA6"/>
    <w:rsid w:val="006D5B9E"/>
    <w:rsid w:val="006E0B62"/>
    <w:rsid w:val="006E18F2"/>
    <w:rsid w:val="006E2365"/>
    <w:rsid w:val="006E237D"/>
    <w:rsid w:val="006E2721"/>
    <w:rsid w:val="006E6570"/>
    <w:rsid w:val="006E7A7E"/>
    <w:rsid w:val="006F0ABA"/>
    <w:rsid w:val="006F3412"/>
    <w:rsid w:val="006F38FC"/>
    <w:rsid w:val="006F47C8"/>
    <w:rsid w:val="006F5712"/>
    <w:rsid w:val="006F6A79"/>
    <w:rsid w:val="006F72E9"/>
    <w:rsid w:val="007025DE"/>
    <w:rsid w:val="0070354C"/>
    <w:rsid w:val="00704BC0"/>
    <w:rsid w:val="00705CD8"/>
    <w:rsid w:val="00706712"/>
    <w:rsid w:val="00707291"/>
    <w:rsid w:val="007105C1"/>
    <w:rsid w:val="00710885"/>
    <w:rsid w:val="00712860"/>
    <w:rsid w:val="00715852"/>
    <w:rsid w:val="00715C5D"/>
    <w:rsid w:val="00717DC6"/>
    <w:rsid w:val="0072175F"/>
    <w:rsid w:val="007223FD"/>
    <w:rsid w:val="0072478A"/>
    <w:rsid w:val="007251F3"/>
    <w:rsid w:val="00725F00"/>
    <w:rsid w:val="00726754"/>
    <w:rsid w:val="00733B07"/>
    <w:rsid w:val="0073545F"/>
    <w:rsid w:val="00737114"/>
    <w:rsid w:val="00737BEE"/>
    <w:rsid w:val="00737EBF"/>
    <w:rsid w:val="007408A9"/>
    <w:rsid w:val="007412D8"/>
    <w:rsid w:val="00741C86"/>
    <w:rsid w:val="00742542"/>
    <w:rsid w:val="0074325B"/>
    <w:rsid w:val="0074467A"/>
    <w:rsid w:val="00744FB6"/>
    <w:rsid w:val="007467E5"/>
    <w:rsid w:val="00747287"/>
    <w:rsid w:val="00753838"/>
    <w:rsid w:val="0075384F"/>
    <w:rsid w:val="00753ADC"/>
    <w:rsid w:val="00754D83"/>
    <w:rsid w:val="007550C1"/>
    <w:rsid w:val="007552AC"/>
    <w:rsid w:val="00762159"/>
    <w:rsid w:val="00765649"/>
    <w:rsid w:val="0076674E"/>
    <w:rsid w:val="00770480"/>
    <w:rsid w:val="007704A3"/>
    <w:rsid w:val="00773B9A"/>
    <w:rsid w:val="007749BD"/>
    <w:rsid w:val="0077565F"/>
    <w:rsid w:val="00775CB3"/>
    <w:rsid w:val="0077681F"/>
    <w:rsid w:val="00781BED"/>
    <w:rsid w:val="007826B0"/>
    <w:rsid w:val="00782E8A"/>
    <w:rsid w:val="00782ED2"/>
    <w:rsid w:val="007851BE"/>
    <w:rsid w:val="00787198"/>
    <w:rsid w:val="00791024"/>
    <w:rsid w:val="007919FF"/>
    <w:rsid w:val="0079216D"/>
    <w:rsid w:val="00793E1B"/>
    <w:rsid w:val="007967E1"/>
    <w:rsid w:val="007A0241"/>
    <w:rsid w:val="007A3394"/>
    <w:rsid w:val="007A3726"/>
    <w:rsid w:val="007A6C06"/>
    <w:rsid w:val="007B01E9"/>
    <w:rsid w:val="007B03FB"/>
    <w:rsid w:val="007B07E5"/>
    <w:rsid w:val="007B42CB"/>
    <w:rsid w:val="007B737F"/>
    <w:rsid w:val="007C04D7"/>
    <w:rsid w:val="007C1684"/>
    <w:rsid w:val="007C38B5"/>
    <w:rsid w:val="007C3C0D"/>
    <w:rsid w:val="007C3D8C"/>
    <w:rsid w:val="007C3FFF"/>
    <w:rsid w:val="007C654D"/>
    <w:rsid w:val="007C7AA0"/>
    <w:rsid w:val="007D1806"/>
    <w:rsid w:val="007D26AF"/>
    <w:rsid w:val="007D3892"/>
    <w:rsid w:val="007D3FF8"/>
    <w:rsid w:val="007D50DD"/>
    <w:rsid w:val="007D7367"/>
    <w:rsid w:val="007E5F5E"/>
    <w:rsid w:val="007E6D43"/>
    <w:rsid w:val="007E6F45"/>
    <w:rsid w:val="007E79DB"/>
    <w:rsid w:val="007F060E"/>
    <w:rsid w:val="007F1AAC"/>
    <w:rsid w:val="007F373E"/>
    <w:rsid w:val="007F40FF"/>
    <w:rsid w:val="007F5EB6"/>
    <w:rsid w:val="007F6719"/>
    <w:rsid w:val="007F6E61"/>
    <w:rsid w:val="007F78D7"/>
    <w:rsid w:val="007F7AEE"/>
    <w:rsid w:val="00800B12"/>
    <w:rsid w:val="0080238E"/>
    <w:rsid w:val="0080546F"/>
    <w:rsid w:val="00807A83"/>
    <w:rsid w:val="00807EB1"/>
    <w:rsid w:val="008101FD"/>
    <w:rsid w:val="00812B0A"/>
    <w:rsid w:val="008137E2"/>
    <w:rsid w:val="00813D8C"/>
    <w:rsid w:val="00816726"/>
    <w:rsid w:val="00817F16"/>
    <w:rsid w:val="00820761"/>
    <w:rsid w:val="008214D3"/>
    <w:rsid w:val="00823DF5"/>
    <w:rsid w:val="0082578F"/>
    <w:rsid w:val="00832127"/>
    <w:rsid w:val="0083348A"/>
    <w:rsid w:val="00833904"/>
    <w:rsid w:val="00834B07"/>
    <w:rsid w:val="00837B43"/>
    <w:rsid w:val="00840791"/>
    <w:rsid w:val="00840FA0"/>
    <w:rsid w:val="00841653"/>
    <w:rsid w:val="00841916"/>
    <w:rsid w:val="00842D38"/>
    <w:rsid w:val="00846B67"/>
    <w:rsid w:val="00853AFC"/>
    <w:rsid w:val="008556F4"/>
    <w:rsid w:val="008572E0"/>
    <w:rsid w:val="00857706"/>
    <w:rsid w:val="0086099C"/>
    <w:rsid w:val="00861B92"/>
    <w:rsid w:val="00862690"/>
    <w:rsid w:val="008636FE"/>
    <w:rsid w:val="008655C0"/>
    <w:rsid w:val="00865948"/>
    <w:rsid w:val="00866A22"/>
    <w:rsid w:val="008727E6"/>
    <w:rsid w:val="008735C3"/>
    <w:rsid w:val="00873BE7"/>
    <w:rsid w:val="00875F00"/>
    <w:rsid w:val="00876F73"/>
    <w:rsid w:val="0087723B"/>
    <w:rsid w:val="008810DB"/>
    <w:rsid w:val="00881C43"/>
    <w:rsid w:val="00884708"/>
    <w:rsid w:val="008863A8"/>
    <w:rsid w:val="00887DDA"/>
    <w:rsid w:val="00890D2E"/>
    <w:rsid w:val="00890EB7"/>
    <w:rsid w:val="008945B1"/>
    <w:rsid w:val="008948ED"/>
    <w:rsid w:val="008A0CC9"/>
    <w:rsid w:val="008A1163"/>
    <w:rsid w:val="008A1A0E"/>
    <w:rsid w:val="008B2DD0"/>
    <w:rsid w:val="008B3B56"/>
    <w:rsid w:val="008B6493"/>
    <w:rsid w:val="008B68F4"/>
    <w:rsid w:val="008C0657"/>
    <w:rsid w:val="008C0A48"/>
    <w:rsid w:val="008C2084"/>
    <w:rsid w:val="008C3B17"/>
    <w:rsid w:val="008C3C7D"/>
    <w:rsid w:val="008C4C3B"/>
    <w:rsid w:val="008C4C97"/>
    <w:rsid w:val="008C4F7A"/>
    <w:rsid w:val="008C5996"/>
    <w:rsid w:val="008C5E31"/>
    <w:rsid w:val="008C7357"/>
    <w:rsid w:val="008D382B"/>
    <w:rsid w:val="008D59DD"/>
    <w:rsid w:val="008E1ED7"/>
    <w:rsid w:val="008E39B3"/>
    <w:rsid w:val="008E3AAD"/>
    <w:rsid w:val="008E481C"/>
    <w:rsid w:val="008E6484"/>
    <w:rsid w:val="008E7316"/>
    <w:rsid w:val="008F0FDE"/>
    <w:rsid w:val="008F1A4F"/>
    <w:rsid w:val="008F48FA"/>
    <w:rsid w:val="008F6A07"/>
    <w:rsid w:val="0090169B"/>
    <w:rsid w:val="00903516"/>
    <w:rsid w:val="0090588F"/>
    <w:rsid w:val="00910DC5"/>
    <w:rsid w:val="009111EB"/>
    <w:rsid w:val="00912868"/>
    <w:rsid w:val="00912AEF"/>
    <w:rsid w:val="009146E6"/>
    <w:rsid w:val="00915927"/>
    <w:rsid w:val="00915ED4"/>
    <w:rsid w:val="0091677C"/>
    <w:rsid w:val="00920C94"/>
    <w:rsid w:val="00921352"/>
    <w:rsid w:val="009219EC"/>
    <w:rsid w:val="009242E4"/>
    <w:rsid w:val="009250CE"/>
    <w:rsid w:val="0092738B"/>
    <w:rsid w:val="00930CE7"/>
    <w:rsid w:val="00932974"/>
    <w:rsid w:val="00932F20"/>
    <w:rsid w:val="00933254"/>
    <w:rsid w:val="0093386C"/>
    <w:rsid w:val="009363D7"/>
    <w:rsid w:val="00936B58"/>
    <w:rsid w:val="009403C0"/>
    <w:rsid w:val="00940484"/>
    <w:rsid w:val="00940FC3"/>
    <w:rsid w:val="0094111B"/>
    <w:rsid w:val="0094181C"/>
    <w:rsid w:val="009420A8"/>
    <w:rsid w:val="00943BE1"/>
    <w:rsid w:val="00943FCA"/>
    <w:rsid w:val="00944917"/>
    <w:rsid w:val="00947639"/>
    <w:rsid w:val="009527B4"/>
    <w:rsid w:val="00953FC2"/>
    <w:rsid w:val="009571B5"/>
    <w:rsid w:val="0096045A"/>
    <w:rsid w:val="00961AE7"/>
    <w:rsid w:val="00962DFE"/>
    <w:rsid w:val="00965BD1"/>
    <w:rsid w:val="00965E8E"/>
    <w:rsid w:val="00966761"/>
    <w:rsid w:val="009669ED"/>
    <w:rsid w:val="00966C00"/>
    <w:rsid w:val="00970419"/>
    <w:rsid w:val="00971732"/>
    <w:rsid w:val="00972871"/>
    <w:rsid w:val="00972C61"/>
    <w:rsid w:val="00974770"/>
    <w:rsid w:val="00980921"/>
    <w:rsid w:val="0098327E"/>
    <w:rsid w:val="0098330B"/>
    <w:rsid w:val="00983F3F"/>
    <w:rsid w:val="009842E7"/>
    <w:rsid w:val="00984CB2"/>
    <w:rsid w:val="0098797B"/>
    <w:rsid w:val="00991ABD"/>
    <w:rsid w:val="00991B93"/>
    <w:rsid w:val="0099461D"/>
    <w:rsid w:val="00994EBF"/>
    <w:rsid w:val="00994FAA"/>
    <w:rsid w:val="0099599D"/>
    <w:rsid w:val="009A20C8"/>
    <w:rsid w:val="009A2E04"/>
    <w:rsid w:val="009A3ADC"/>
    <w:rsid w:val="009A5887"/>
    <w:rsid w:val="009A6BBC"/>
    <w:rsid w:val="009A6C58"/>
    <w:rsid w:val="009A788D"/>
    <w:rsid w:val="009B0662"/>
    <w:rsid w:val="009B1465"/>
    <w:rsid w:val="009B2105"/>
    <w:rsid w:val="009B28EB"/>
    <w:rsid w:val="009B45D3"/>
    <w:rsid w:val="009B5FBE"/>
    <w:rsid w:val="009B7444"/>
    <w:rsid w:val="009C2291"/>
    <w:rsid w:val="009C3FEC"/>
    <w:rsid w:val="009C42A0"/>
    <w:rsid w:val="009C4E8A"/>
    <w:rsid w:val="009C5A36"/>
    <w:rsid w:val="009C6077"/>
    <w:rsid w:val="009D1750"/>
    <w:rsid w:val="009D6958"/>
    <w:rsid w:val="009E0844"/>
    <w:rsid w:val="009E0F94"/>
    <w:rsid w:val="009E2237"/>
    <w:rsid w:val="009E2346"/>
    <w:rsid w:val="009E2764"/>
    <w:rsid w:val="009E2DF1"/>
    <w:rsid w:val="009E31DB"/>
    <w:rsid w:val="009E482F"/>
    <w:rsid w:val="009E4C72"/>
    <w:rsid w:val="009F2F68"/>
    <w:rsid w:val="009F429E"/>
    <w:rsid w:val="009F5178"/>
    <w:rsid w:val="009F6CBE"/>
    <w:rsid w:val="009F7136"/>
    <w:rsid w:val="00A03A4E"/>
    <w:rsid w:val="00A116E5"/>
    <w:rsid w:val="00A14783"/>
    <w:rsid w:val="00A15F33"/>
    <w:rsid w:val="00A16D6D"/>
    <w:rsid w:val="00A174E7"/>
    <w:rsid w:val="00A20AB7"/>
    <w:rsid w:val="00A22700"/>
    <w:rsid w:val="00A22C09"/>
    <w:rsid w:val="00A23026"/>
    <w:rsid w:val="00A24791"/>
    <w:rsid w:val="00A25D30"/>
    <w:rsid w:val="00A26D9F"/>
    <w:rsid w:val="00A301CA"/>
    <w:rsid w:val="00A302BC"/>
    <w:rsid w:val="00A322E8"/>
    <w:rsid w:val="00A34465"/>
    <w:rsid w:val="00A35C66"/>
    <w:rsid w:val="00A40643"/>
    <w:rsid w:val="00A41B63"/>
    <w:rsid w:val="00A425D2"/>
    <w:rsid w:val="00A43FCE"/>
    <w:rsid w:val="00A445AE"/>
    <w:rsid w:val="00A4508C"/>
    <w:rsid w:val="00A45200"/>
    <w:rsid w:val="00A52565"/>
    <w:rsid w:val="00A52989"/>
    <w:rsid w:val="00A54246"/>
    <w:rsid w:val="00A57D42"/>
    <w:rsid w:val="00A60179"/>
    <w:rsid w:val="00A60ACA"/>
    <w:rsid w:val="00A60C22"/>
    <w:rsid w:val="00A61F0E"/>
    <w:rsid w:val="00A62485"/>
    <w:rsid w:val="00A64145"/>
    <w:rsid w:val="00A645B2"/>
    <w:rsid w:val="00A64600"/>
    <w:rsid w:val="00A65AF9"/>
    <w:rsid w:val="00A65D91"/>
    <w:rsid w:val="00A713AE"/>
    <w:rsid w:val="00A720EE"/>
    <w:rsid w:val="00A80552"/>
    <w:rsid w:val="00A8089B"/>
    <w:rsid w:val="00A81303"/>
    <w:rsid w:val="00A84F0E"/>
    <w:rsid w:val="00A85EF8"/>
    <w:rsid w:val="00A8614C"/>
    <w:rsid w:val="00A876FA"/>
    <w:rsid w:val="00A879E2"/>
    <w:rsid w:val="00A90DE6"/>
    <w:rsid w:val="00A94727"/>
    <w:rsid w:val="00A94BA2"/>
    <w:rsid w:val="00A971D3"/>
    <w:rsid w:val="00AA1A54"/>
    <w:rsid w:val="00AA277B"/>
    <w:rsid w:val="00AA37F2"/>
    <w:rsid w:val="00AA3E50"/>
    <w:rsid w:val="00AA42C4"/>
    <w:rsid w:val="00AA48E6"/>
    <w:rsid w:val="00AA643B"/>
    <w:rsid w:val="00AA7533"/>
    <w:rsid w:val="00AA7CE3"/>
    <w:rsid w:val="00AB157F"/>
    <w:rsid w:val="00AB2E8B"/>
    <w:rsid w:val="00AB4951"/>
    <w:rsid w:val="00AB5590"/>
    <w:rsid w:val="00AB595B"/>
    <w:rsid w:val="00AB5D18"/>
    <w:rsid w:val="00AB6E43"/>
    <w:rsid w:val="00AC0694"/>
    <w:rsid w:val="00AC0950"/>
    <w:rsid w:val="00AC0E92"/>
    <w:rsid w:val="00AC65A6"/>
    <w:rsid w:val="00AC6A8C"/>
    <w:rsid w:val="00AC7FAF"/>
    <w:rsid w:val="00AD036A"/>
    <w:rsid w:val="00AD3F06"/>
    <w:rsid w:val="00AD64CF"/>
    <w:rsid w:val="00AD6CE5"/>
    <w:rsid w:val="00AD73A0"/>
    <w:rsid w:val="00AE178C"/>
    <w:rsid w:val="00AE25DD"/>
    <w:rsid w:val="00AE296D"/>
    <w:rsid w:val="00AE5A56"/>
    <w:rsid w:val="00AE7BC8"/>
    <w:rsid w:val="00AF11BF"/>
    <w:rsid w:val="00AF45F4"/>
    <w:rsid w:val="00AF73EC"/>
    <w:rsid w:val="00B008C0"/>
    <w:rsid w:val="00B01BB1"/>
    <w:rsid w:val="00B02951"/>
    <w:rsid w:val="00B03C4E"/>
    <w:rsid w:val="00B06F06"/>
    <w:rsid w:val="00B1485D"/>
    <w:rsid w:val="00B149FC"/>
    <w:rsid w:val="00B16C6E"/>
    <w:rsid w:val="00B20F77"/>
    <w:rsid w:val="00B214D1"/>
    <w:rsid w:val="00B217E4"/>
    <w:rsid w:val="00B23DD9"/>
    <w:rsid w:val="00B240E0"/>
    <w:rsid w:val="00B24743"/>
    <w:rsid w:val="00B251F5"/>
    <w:rsid w:val="00B32978"/>
    <w:rsid w:val="00B40135"/>
    <w:rsid w:val="00B44C5E"/>
    <w:rsid w:val="00B5041E"/>
    <w:rsid w:val="00B51A8A"/>
    <w:rsid w:val="00B51AE6"/>
    <w:rsid w:val="00B5402D"/>
    <w:rsid w:val="00B56500"/>
    <w:rsid w:val="00B57DC5"/>
    <w:rsid w:val="00B600E8"/>
    <w:rsid w:val="00B60E26"/>
    <w:rsid w:val="00B61236"/>
    <w:rsid w:val="00B61BF0"/>
    <w:rsid w:val="00B63FB3"/>
    <w:rsid w:val="00B65743"/>
    <w:rsid w:val="00B715FC"/>
    <w:rsid w:val="00B71EBC"/>
    <w:rsid w:val="00B73B1B"/>
    <w:rsid w:val="00B73D73"/>
    <w:rsid w:val="00B75066"/>
    <w:rsid w:val="00B761A1"/>
    <w:rsid w:val="00B77838"/>
    <w:rsid w:val="00B807D2"/>
    <w:rsid w:val="00B80B47"/>
    <w:rsid w:val="00B8391B"/>
    <w:rsid w:val="00B85838"/>
    <w:rsid w:val="00B945D4"/>
    <w:rsid w:val="00B94E1D"/>
    <w:rsid w:val="00B95EA6"/>
    <w:rsid w:val="00B96862"/>
    <w:rsid w:val="00B96953"/>
    <w:rsid w:val="00BA070B"/>
    <w:rsid w:val="00BA27C2"/>
    <w:rsid w:val="00BA339A"/>
    <w:rsid w:val="00BB1F7C"/>
    <w:rsid w:val="00BB2103"/>
    <w:rsid w:val="00BB7C27"/>
    <w:rsid w:val="00BC174B"/>
    <w:rsid w:val="00BC174E"/>
    <w:rsid w:val="00BC1E54"/>
    <w:rsid w:val="00BC2259"/>
    <w:rsid w:val="00BC30AC"/>
    <w:rsid w:val="00BC30B1"/>
    <w:rsid w:val="00BC3BDB"/>
    <w:rsid w:val="00BC407D"/>
    <w:rsid w:val="00BC43A0"/>
    <w:rsid w:val="00BC6335"/>
    <w:rsid w:val="00BD388B"/>
    <w:rsid w:val="00BD58DE"/>
    <w:rsid w:val="00BD5F1C"/>
    <w:rsid w:val="00BE2C63"/>
    <w:rsid w:val="00BE3CE5"/>
    <w:rsid w:val="00BE4A60"/>
    <w:rsid w:val="00BE5181"/>
    <w:rsid w:val="00BF17CC"/>
    <w:rsid w:val="00BF1C56"/>
    <w:rsid w:val="00BF5852"/>
    <w:rsid w:val="00BF66D3"/>
    <w:rsid w:val="00BF6872"/>
    <w:rsid w:val="00BF7095"/>
    <w:rsid w:val="00C01A66"/>
    <w:rsid w:val="00C03EA6"/>
    <w:rsid w:val="00C03FB1"/>
    <w:rsid w:val="00C04DB4"/>
    <w:rsid w:val="00C059C4"/>
    <w:rsid w:val="00C06650"/>
    <w:rsid w:val="00C077EB"/>
    <w:rsid w:val="00C10205"/>
    <w:rsid w:val="00C12009"/>
    <w:rsid w:val="00C127FF"/>
    <w:rsid w:val="00C1618B"/>
    <w:rsid w:val="00C20D28"/>
    <w:rsid w:val="00C213E0"/>
    <w:rsid w:val="00C21893"/>
    <w:rsid w:val="00C233AC"/>
    <w:rsid w:val="00C23708"/>
    <w:rsid w:val="00C24465"/>
    <w:rsid w:val="00C279D3"/>
    <w:rsid w:val="00C34827"/>
    <w:rsid w:val="00C35313"/>
    <w:rsid w:val="00C4403A"/>
    <w:rsid w:val="00C4474E"/>
    <w:rsid w:val="00C46AF6"/>
    <w:rsid w:val="00C52B5E"/>
    <w:rsid w:val="00C530C7"/>
    <w:rsid w:val="00C54D77"/>
    <w:rsid w:val="00C54FC1"/>
    <w:rsid w:val="00C55426"/>
    <w:rsid w:val="00C60562"/>
    <w:rsid w:val="00C60C44"/>
    <w:rsid w:val="00C628A9"/>
    <w:rsid w:val="00C62CDD"/>
    <w:rsid w:val="00C62F10"/>
    <w:rsid w:val="00C643C2"/>
    <w:rsid w:val="00C65C5A"/>
    <w:rsid w:val="00C660BE"/>
    <w:rsid w:val="00C6631C"/>
    <w:rsid w:val="00C74BE6"/>
    <w:rsid w:val="00C74DFD"/>
    <w:rsid w:val="00C75CC1"/>
    <w:rsid w:val="00C82960"/>
    <w:rsid w:val="00C83FFA"/>
    <w:rsid w:val="00C84262"/>
    <w:rsid w:val="00C85C5F"/>
    <w:rsid w:val="00C8603C"/>
    <w:rsid w:val="00C86E64"/>
    <w:rsid w:val="00C87C0C"/>
    <w:rsid w:val="00C903BC"/>
    <w:rsid w:val="00C90673"/>
    <w:rsid w:val="00C92946"/>
    <w:rsid w:val="00C939B5"/>
    <w:rsid w:val="00C94ECD"/>
    <w:rsid w:val="00C9698A"/>
    <w:rsid w:val="00CA1DA0"/>
    <w:rsid w:val="00CA2551"/>
    <w:rsid w:val="00CA3869"/>
    <w:rsid w:val="00CA5482"/>
    <w:rsid w:val="00CA6C66"/>
    <w:rsid w:val="00CB09E7"/>
    <w:rsid w:val="00CB4DA4"/>
    <w:rsid w:val="00CB5746"/>
    <w:rsid w:val="00CC1266"/>
    <w:rsid w:val="00CC759F"/>
    <w:rsid w:val="00CD022E"/>
    <w:rsid w:val="00CD15A3"/>
    <w:rsid w:val="00CD28E9"/>
    <w:rsid w:val="00CD2E10"/>
    <w:rsid w:val="00CD3466"/>
    <w:rsid w:val="00CD3718"/>
    <w:rsid w:val="00CD3ADE"/>
    <w:rsid w:val="00CD5409"/>
    <w:rsid w:val="00CD5738"/>
    <w:rsid w:val="00CD7E75"/>
    <w:rsid w:val="00CE266C"/>
    <w:rsid w:val="00CE29A8"/>
    <w:rsid w:val="00CE38D6"/>
    <w:rsid w:val="00CE3E7B"/>
    <w:rsid w:val="00CE455A"/>
    <w:rsid w:val="00CF06A6"/>
    <w:rsid w:val="00CF06B9"/>
    <w:rsid w:val="00CF2D0B"/>
    <w:rsid w:val="00CF6AD9"/>
    <w:rsid w:val="00CF7604"/>
    <w:rsid w:val="00CF7BE5"/>
    <w:rsid w:val="00D012FC"/>
    <w:rsid w:val="00D01D50"/>
    <w:rsid w:val="00D0464D"/>
    <w:rsid w:val="00D0512E"/>
    <w:rsid w:val="00D05CD5"/>
    <w:rsid w:val="00D06F13"/>
    <w:rsid w:val="00D106C6"/>
    <w:rsid w:val="00D138BD"/>
    <w:rsid w:val="00D13A79"/>
    <w:rsid w:val="00D13F21"/>
    <w:rsid w:val="00D158EF"/>
    <w:rsid w:val="00D1613E"/>
    <w:rsid w:val="00D16C84"/>
    <w:rsid w:val="00D17BEE"/>
    <w:rsid w:val="00D20F79"/>
    <w:rsid w:val="00D21378"/>
    <w:rsid w:val="00D22F73"/>
    <w:rsid w:val="00D257F5"/>
    <w:rsid w:val="00D25E27"/>
    <w:rsid w:val="00D26C8D"/>
    <w:rsid w:val="00D2700D"/>
    <w:rsid w:val="00D34F02"/>
    <w:rsid w:val="00D35F93"/>
    <w:rsid w:val="00D4061D"/>
    <w:rsid w:val="00D43E11"/>
    <w:rsid w:val="00D5039E"/>
    <w:rsid w:val="00D510C7"/>
    <w:rsid w:val="00D53879"/>
    <w:rsid w:val="00D53F40"/>
    <w:rsid w:val="00D555A5"/>
    <w:rsid w:val="00D57741"/>
    <w:rsid w:val="00D613B1"/>
    <w:rsid w:val="00D6140E"/>
    <w:rsid w:val="00D64DC0"/>
    <w:rsid w:val="00D661CE"/>
    <w:rsid w:val="00D66509"/>
    <w:rsid w:val="00D66FD7"/>
    <w:rsid w:val="00D709B1"/>
    <w:rsid w:val="00D71D56"/>
    <w:rsid w:val="00D73ED6"/>
    <w:rsid w:val="00D7556F"/>
    <w:rsid w:val="00D7607C"/>
    <w:rsid w:val="00D7656D"/>
    <w:rsid w:val="00D8222B"/>
    <w:rsid w:val="00D82F67"/>
    <w:rsid w:val="00D86968"/>
    <w:rsid w:val="00D8735C"/>
    <w:rsid w:val="00D87688"/>
    <w:rsid w:val="00D87824"/>
    <w:rsid w:val="00D906B0"/>
    <w:rsid w:val="00D910DD"/>
    <w:rsid w:val="00D9305D"/>
    <w:rsid w:val="00D94182"/>
    <w:rsid w:val="00D948C7"/>
    <w:rsid w:val="00D95C11"/>
    <w:rsid w:val="00D97ADF"/>
    <w:rsid w:val="00DA01F1"/>
    <w:rsid w:val="00DA2181"/>
    <w:rsid w:val="00DA2485"/>
    <w:rsid w:val="00DA3F0D"/>
    <w:rsid w:val="00DA4AA0"/>
    <w:rsid w:val="00DA4D0A"/>
    <w:rsid w:val="00DA5092"/>
    <w:rsid w:val="00DA52B8"/>
    <w:rsid w:val="00DA656A"/>
    <w:rsid w:val="00DA7244"/>
    <w:rsid w:val="00DB022C"/>
    <w:rsid w:val="00DB1B2D"/>
    <w:rsid w:val="00DB20ED"/>
    <w:rsid w:val="00DC06E2"/>
    <w:rsid w:val="00DC1C45"/>
    <w:rsid w:val="00DC423F"/>
    <w:rsid w:val="00DC491C"/>
    <w:rsid w:val="00DC4AFC"/>
    <w:rsid w:val="00DC61BF"/>
    <w:rsid w:val="00DC7078"/>
    <w:rsid w:val="00DC738D"/>
    <w:rsid w:val="00DD1D6D"/>
    <w:rsid w:val="00DD3D3F"/>
    <w:rsid w:val="00DD3FD8"/>
    <w:rsid w:val="00DD4824"/>
    <w:rsid w:val="00DD4D0C"/>
    <w:rsid w:val="00DD4F90"/>
    <w:rsid w:val="00DD679D"/>
    <w:rsid w:val="00DE04E4"/>
    <w:rsid w:val="00DE1159"/>
    <w:rsid w:val="00DE21B0"/>
    <w:rsid w:val="00DE2920"/>
    <w:rsid w:val="00DE708B"/>
    <w:rsid w:val="00DF0190"/>
    <w:rsid w:val="00DF1CF8"/>
    <w:rsid w:val="00DF41A8"/>
    <w:rsid w:val="00DF65A8"/>
    <w:rsid w:val="00DF6A32"/>
    <w:rsid w:val="00DF7995"/>
    <w:rsid w:val="00E03AFA"/>
    <w:rsid w:val="00E04297"/>
    <w:rsid w:val="00E07607"/>
    <w:rsid w:val="00E10CCF"/>
    <w:rsid w:val="00E116D3"/>
    <w:rsid w:val="00E116F1"/>
    <w:rsid w:val="00E13377"/>
    <w:rsid w:val="00E1784F"/>
    <w:rsid w:val="00E20A5D"/>
    <w:rsid w:val="00E21208"/>
    <w:rsid w:val="00E213DC"/>
    <w:rsid w:val="00E261FF"/>
    <w:rsid w:val="00E337EC"/>
    <w:rsid w:val="00E34357"/>
    <w:rsid w:val="00E35C9B"/>
    <w:rsid w:val="00E40B34"/>
    <w:rsid w:val="00E45E3E"/>
    <w:rsid w:val="00E50539"/>
    <w:rsid w:val="00E51062"/>
    <w:rsid w:val="00E548F8"/>
    <w:rsid w:val="00E5589D"/>
    <w:rsid w:val="00E57586"/>
    <w:rsid w:val="00E57ACF"/>
    <w:rsid w:val="00E60C50"/>
    <w:rsid w:val="00E6156F"/>
    <w:rsid w:val="00E71C00"/>
    <w:rsid w:val="00E71FFC"/>
    <w:rsid w:val="00E75DB5"/>
    <w:rsid w:val="00E76C87"/>
    <w:rsid w:val="00E816CB"/>
    <w:rsid w:val="00E83893"/>
    <w:rsid w:val="00E83E4E"/>
    <w:rsid w:val="00E842BE"/>
    <w:rsid w:val="00E85680"/>
    <w:rsid w:val="00E864BD"/>
    <w:rsid w:val="00E91EBD"/>
    <w:rsid w:val="00E92786"/>
    <w:rsid w:val="00E930A7"/>
    <w:rsid w:val="00E954C7"/>
    <w:rsid w:val="00EA0767"/>
    <w:rsid w:val="00EA193F"/>
    <w:rsid w:val="00EA46CC"/>
    <w:rsid w:val="00EA6008"/>
    <w:rsid w:val="00EA64BE"/>
    <w:rsid w:val="00EB0A4F"/>
    <w:rsid w:val="00EB16B2"/>
    <w:rsid w:val="00EB1A45"/>
    <w:rsid w:val="00EB1D1B"/>
    <w:rsid w:val="00EB2B4E"/>
    <w:rsid w:val="00EB30AB"/>
    <w:rsid w:val="00EB6AB8"/>
    <w:rsid w:val="00EB70AE"/>
    <w:rsid w:val="00EB7C70"/>
    <w:rsid w:val="00EC0E0F"/>
    <w:rsid w:val="00EC1089"/>
    <w:rsid w:val="00EC1813"/>
    <w:rsid w:val="00EC4EEB"/>
    <w:rsid w:val="00EC7DA8"/>
    <w:rsid w:val="00ED0529"/>
    <w:rsid w:val="00ED1C5A"/>
    <w:rsid w:val="00ED1F67"/>
    <w:rsid w:val="00ED242B"/>
    <w:rsid w:val="00ED2DC5"/>
    <w:rsid w:val="00ED6249"/>
    <w:rsid w:val="00ED7E74"/>
    <w:rsid w:val="00EE07CA"/>
    <w:rsid w:val="00EE2BDA"/>
    <w:rsid w:val="00EE36B9"/>
    <w:rsid w:val="00EE424C"/>
    <w:rsid w:val="00EE5386"/>
    <w:rsid w:val="00EE7073"/>
    <w:rsid w:val="00EE7F2C"/>
    <w:rsid w:val="00EF0B00"/>
    <w:rsid w:val="00EF3C83"/>
    <w:rsid w:val="00EF3D11"/>
    <w:rsid w:val="00EF3E15"/>
    <w:rsid w:val="00EF6883"/>
    <w:rsid w:val="00EF6C9E"/>
    <w:rsid w:val="00F03EB8"/>
    <w:rsid w:val="00F04486"/>
    <w:rsid w:val="00F04743"/>
    <w:rsid w:val="00F05CD8"/>
    <w:rsid w:val="00F06884"/>
    <w:rsid w:val="00F07620"/>
    <w:rsid w:val="00F10FFF"/>
    <w:rsid w:val="00F110B7"/>
    <w:rsid w:val="00F11EDE"/>
    <w:rsid w:val="00F13F67"/>
    <w:rsid w:val="00F15608"/>
    <w:rsid w:val="00F201C4"/>
    <w:rsid w:val="00F205F4"/>
    <w:rsid w:val="00F25EF3"/>
    <w:rsid w:val="00F26D64"/>
    <w:rsid w:val="00F30CFE"/>
    <w:rsid w:val="00F31D5C"/>
    <w:rsid w:val="00F32BA1"/>
    <w:rsid w:val="00F32BC9"/>
    <w:rsid w:val="00F370E9"/>
    <w:rsid w:val="00F37A37"/>
    <w:rsid w:val="00F37C17"/>
    <w:rsid w:val="00F37F44"/>
    <w:rsid w:val="00F4060F"/>
    <w:rsid w:val="00F41CEB"/>
    <w:rsid w:val="00F428B4"/>
    <w:rsid w:val="00F43592"/>
    <w:rsid w:val="00F47D5E"/>
    <w:rsid w:val="00F5046D"/>
    <w:rsid w:val="00F504AC"/>
    <w:rsid w:val="00F50D13"/>
    <w:rsid w:val="00F534A2"/>
    <w:rsid w:val="00F53D0E"/>
    <w:rsid w:val="00F544E8"/>
    <w:rsid w:val="00F60C01"/>
    <w:rsid w:val="00F60F2B"/>
    <w:rsid w:val="00F63CB1"/>
    <w:rsid w:val="00F64E69"/>
    <w:rsid w:val="00F661B1"/>
    <w:rsid w:val="00F67281"/>
    <w:rsid w:val="00F71E6A"/>
    <w:rsid w:val="00F73790"/>
    <w:rsid w:val="00F744EA"/>
    <w:rsid w:val="00F75F85"/>
    <w:rsid w:val="00F76D9E"/>
    <w:rsid w:val="00F77160"/>
    <w:rsid w:val="00F7753E"/>
    <w:rsid w:val="00F77FF3"/>
    <w:rsid w:val="00F81BD3"/>
    <w:rsid w:val="00F842F8"/>
    <w:rsid w:val="00F84DEC"/>
    <w:rsid w:val="00F86655"/>
    <w:rsid w:val="00F87D6A"/>
    <w:rsid w:val="00F87E8F"/>
    <w:rsid w:val="00F9024F"/>
    <w:rsid w:val="00F90CA4"/>
    <w:rsid w:val="00F91696"/>
    <w:rsid w:val="00F9298F"/>
    <w:rsid w:val="00F92C50"/>
    <w:rsid w:val="00F93E0B"/>
    <w:rsid w:val="00F940AF"/>
    <w:rsid w:val="00F948FF"/>
    <w:rsid w:val="00F94D2D"/>
    <w:rsid w:val="00F95744"/>
    <w:rsid w:val="00F95B8F"/>
    <w:rsid w:val="00F97DC4"/>
    <w:rsid w:val="00FA00A2"/>
    <w:rsid w:val="00FA01CC"/>
    <w:rsid w:val="00FA2FDC"/>
    <w:rsid w:val="00FB3FFD"/>
    <w:rsid w:val="00FB4C33"/>
    <w:rsid w:val="00FB5227"/>
    <w:rsid w:val="00FB6166"/>
    <w:rsid w:val="00FB6EC3"/>
    <w:rsid w:val="00FB741D"/>
    <w:rsid w:val="00FC0B2A"/>
    <w:rsid w:val="00FC3DE2"/>
    <w:rsid w:val="00FC5C02"/>
    <w:rsid w:val="00FD06B6"/>
    <w:rsid w:val="00FD0CA4"/>
    <w:rsid w:val="00FD0CBC"/>
    <w:rsid w:val="00FD2646"/>
    <w:rsid w:val="00FD2B75"/>
    <w:rsid w:val="00FD4AC8"/>
    <w:rsid w:val="00FD6525"/>
    <w:rsid w:val="00FD6828"/>
    <w:rsid w:val="00FE5CA2"/>
    <w:rsid w:val="00FE5D43"/>
    <w:rsid w:val="00FE6886"/>
    <w:rsid w:val="00FE71E9"/>
    <w:rsid w:val="00FF15F4"/>
    <w:rsid w:val="00FF1640"/>
    <w:rsid w:val="00FF1FC4"/>
    <w:rsid w:val="00FF4B77"/>
    <w:rsid w:val="00FF6ACA"/>
    <w:rsid w:val="00FF6C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9B9337"/>
  <w15:chartTrackingRefBased/>
  <w15:docId w15:val="{DEF27258-B460-4F45-BFDA-26823B0B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F344B"/>
  </w:style>
  <w:style w:type="paragraph" w:styleId="Nagwek2">
    <w:name w:val="heading 2"/>
    <w:basedOn w:val="Normalny"/>
    <w:link w:val="Nagwek2Znak"/>
    <w:uiPriority w:val="9"/>
    <w:qFormat/>
    <w:rsid w:val="00943FCA"/>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5EF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5EF8"/>
  </w:style>
  <w:style w:type="paragraph" w:styleId="Tekstprzypisudolnego">
    <w:name w:val="footnote text"/>
    <w:aliases w:val="Podrozdział,Fußnote,Footnote,Podrozdzia3,Przypis,-E Fuﬂnotentext,Fuﬂnotentext Ursprung,footnote text,Fußnotentext Ursprung,-E Fußnotentext,Footnote text,Tekst przypisu Znak Znak Znak Znak,Tekst przypisu Znak Znak Znak Znak Znak,Pl"/>
    <w:basedOn w:val="Normalny"/>
    <w:link w:val="TekstprzypisudolnegoZnak"/>
    <w:uiPriority w:val="99"/>
    <w:unhideWhenUsed/>
    <w:qFormat/>
    <w:rsid w:val="00A85EF8"/>
    <w:pPr>
      <w:spacing w:after="0" w:line="240" w:lineRule="auto"/>
    </w:pPr>
    <w:rPr>
      <w:sz w:val="20"/>
      <w:szCs w:val="20"/>
    </w:rPr>
  </w:style>
  <w:style w:type="character" w:customStyle="1" w:styleId="TekstprzypisudolnegoZnak">
    <w:name w:val="Tekst przypisu dolnego Znak"/>
    <w:aliases w:val="Podrozdział Znak,Fußnote Znak,Footnote Znak,Podrozdzia3 Znak,Przypis Znak,-E Fuﬂnotentext Znak,Fuﬂnotentext Ursprung Znak,footnote text Znak,Fußnotentext Ursprung Znak,-E Fußnotentext Znak,Footnote text Znak,Pl Znak"/>
    <w:basedOn w:val="Domylnaczcionkaakapitu"/>
    <w:link w:val="Tekstprzypisudolnego"/>
    <w:uiPriority w:val="99"/>
    <w:rsid w:val="00A85EF8"/>
    <w:rPr>
      <w:sz w:val="20"/>
      <w:szCs w:val="20"/>
    </w:rPr>
  </w:style>
  <w:style w:type="character" w:styleId="Odwoanieprzypisudolnego">
    <w:name w:val="footnote reference"/>
    <w:aliases w:val="OZNAKA OPOMBE,FZ,number,SUPERS,Footnote Reference Superscript,BVI fnr,Footnote symbol,(Footnote Reference),Footnote reference number,note TESI,EN Footnote Reference,Voetnootverwijzing,Times 10 Point,Exposant 3 Point"/>
    <w:uiPriority w:val="99"/>
    <w:rsid w:val="00A85EF8"/>
    <w:rPr>
      <w:rFonts w:cs="Times New Roman"/>
      <w:vertAlign w:val="superscript"/>
    </w:rPr>
  </w:style>
  <w:style w:type="character" w:styleId="Hipercze">
    <w:name w:val="Hyperlink"/>
    <w:basedOn w:val="Domylnaczcionkaakapitu"/>
    <w:uiPriority w:val="99"/>
    <w:unhideWhenUsed/>
    <w:rsid w:val="00A85EF8"/>
    <w:rPr>
      <w:color w:val="0563C1" w:themeColor="hyperlink"/>
      <w:u w:val="single"/>
    </w:rPr>
  </w:style>
  <w:style w:type="character" w:styleId="Odwoaniedokomentarza">
    <w:name w:val="annotation reference"/>
    <w:basedOn w:val="Domylnaczcionkaakapitu"/>
    <w:uiPriority w:val="99"/>
    <w:semiHidden/>
    <w:unhideWhenUsed/>
    <w:rsid w:val="00943FCA"/>
    <w:rPr>
      <w:sz w:val="16"/>
      <w:szCs w:val="16"/>
    </w:rPr>
  </w:style>
  <w:style w:type="paragraph" w:styleId="Tekstkomentarza">
    <w:name w:val="annotation text"/>
    <w:basedOn w:val="Normalny"/>
    <w:link w:val="TekstkomentarzaZnak"/>
    <w:uiPriority w:val="99"/>
    <w:semiHidden/>
    <w:unhideWhenUsed/>
    <w:rsid w:val="00943FC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43FCA"/>
    <w:rPr>
      <w:sz w:val="20"/>
      <w:szCs w:val="20"/>
    </w:rPr>
  </w:style>
  <w:style w:type="paragraph" w:styleId="Tematkomentarza">
    <w:name w:val="annotation subject"/>
    <w:basedOn w:val="Tekstkomentarza"/>
    <w:next w:val="Tekstkomentarza"/>
    <w:link w:val="TematkomentarzaZnak"/>
    <w:uiPriority w:val="99"/>
    <w:semiHidden/>
    <w:unhideWhenUsed/>
    <w:rsid w:val="00943FCA"/>
    <w:rPr>
      <w:b/>
      <w:bCs/>
    </w:rPr>
  </w:style>
  <w:style w:type="character" w:customStyle="1" w:styleId="TematkomentarzaZnak">
    <w:name w:val="Temat komentarza Znak"/>
    <w:basedOn w:val="TekstkomentarzaZnak"/>
    <w:link w:val="Tematkomentarza"/>
    <w:uiPriority w:val="99"/>
    <w:semiHidden/>
    <w:rsid w:val="00943FCA"/>
    <w:rPr>
      <w:b/>
      <w:bCs/>
      <w:sz w:val="20"/>
      <w:szCs w:val="20"/>
    </w:rPr>
  </w:style>
  <w:style w:type="paragraph" w:styleId="Tekstdymka">
    <w:name w:val="Balloon Text"/>
    <w:basedOn w:val="Normalny"/>
    <w:link w:val="TekstdymkaZnak"/>
    <w:uiPriority w:val="99"/>
    <w:semiHidden/>
    <w:unhideWhenUsed/>
    <w:rsid w:val="00943FC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43FCA"/>
    <w:rPr>
      <w:rFonts w:ascii="Segoe UI" w:hAnsi="Segoe UI" w:cs="Segoe UI"/>
      <w:sz w:val="18"/>
      <w:szCs w:val="18"/>
    </w:rPr>
  </w:style>
  <w:style w:type="character" w:customStyle="1" w:styleId="Nagwek2Znak">
    <w:name w:val="Nagłówek 2 Znak"/>
    <w:basedOn w:val="Domylnaczcionkaakapitu"/>
    <w:link w:val="Nagwek2"/>
    <w:uiPriority w:val="9"/>
    <w:rsid w:val="00943FCA"/>
    <w:rPr>
      <w:rFonts w:ascii="Times New Roman" w:eastAsia="Times New Roman" w:hAnsi="Times New Roman" w:cs="Times New Roman"/>
      <w:b/>
      <w:bCs/>
      <w:sz w:val="36"/>
      <w:szCs w:val="36"/>
      <w:lang w:eastAsia="pl-PL"/>
    </w:rPr>
  </w:style>
  <w:style w:type="paragraph" w:customStyle="1" w:styleId="divparagraph">
    <w:name w:val="div.paragraph"/>
    <w:uiPriority w:val="99"/>
    <w:rsid w:val="00DD4F90"/>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customStyle="1" w:styleId="ZARTzmartartykuempunktem">
    <w:name w:val="Z/ART(§) – zm. art. (§) artykułem (punktem)"/>
    <w:basedOn w:val="Normalny"/>
    <w:uiPriority w:val="30"/>
    <w:qFormat/>
    <w:rsid w:val="006A4093"/>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6A4093"/>
    <w:pPr>
      <w:spacing w:after="0" w:line="360" w:lineRule="auto"/>
      <w:ind w:left="1020" w:hanging="510"/>
      <w:jc w:val="both"/>
    </w:pPr>
    <w:rPr>
      <w:rFonts w:ascii="Times" w:eastAsiaTheme="minorEastAsia" w:hAnsi="Times" w:cs="Arial"/>
      <w:bCs/>
      <w:sz w:val="24"/>
      <w:szCs w:val="20"/>
      <w:lang w:eastAsia="pl-PL"/>
    </w:rPr>
  </w:style>
  <w:style w:type="paragraph" w:styleId="Akapitzlist">
    <w:name w:val="List Paragraph"/>
    <w:aliases w:val="Numerowanie,List Paragraph,Wyliczanie,BulletC"/>
    <w:basedOn w:val="Normalny"/>
    <w:link w:val="AkapitzlistZnak"/>
    <w:uiPriority w:val="34"/>
    <w:qFormat/>
    <w:rsid w:val="006A4093"/>
    <w:pPr>
      <w:ind w:left="720"/>
      <w:contextualSpacing/>
    </w:pPr>
  </w:style>
  <w:style w:type="paragraph" w:customStyle="1" w:styleId="ZUSTzmustartykuempunktem">
    <w:name w:val="Z/UST(§) – zm. ust. (§) artykułem (punktem)"/>
    <w:basedOn w:val="ZARTzmartartykuempunktem"/>
    <w:uiPriority w:val="30"/>
    <w:qFormat/>
    <w:rsid w:val="00762159"/>
  </w:style>
  <w:style w:type="paragraph" w:customStyle="1" w:styleId="ZLITUSTzmustliter">
    <w:name w:val="Z_LIT/UST(§) – zm. ust. (§) literą"/>
    <w:basedOn w:val="Normalny"/>
    <w:uiPriority w:val="46"/>
    <w:qFormat/>
    <w:rsid w:val="00F534A2"/>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USTustnpkodeksu">
    <w:name w:val="UST(§) – ust. (§ np. kodeksu)"/>
    <w:basedOn w:val="Normalny"/>
    <w:uiPriority w:val="12"/>
    <w:qFormat/>
    <w:rsid w:val="00FD6828"/>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styleId="NormalnyWeb">
    <w:name w:val="Normal (Web)"/>
    <w:basedOn w:val="Normalny"/>
    <w:uiPriority w:val="99"/>
    <w:unhideWhenUsed/>
    <w:rsid w:val="0083348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RTartustawynprozporzdzenia">
    <w:name w:val="ART(§) – art. ustawy (§ np. rozporządzenia)"/>
    <w:uiPriority w:val="11"/>
    <w:qFormat/>
    <w:rsid w:val="006930DF"/>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PKTpunkt">
    <w:name w:val="PKT – punkt"/>
    <w:uiPriority w:val="13"/>
    <w:qFormat/>
    <w:rsid w:val="00250780"/>
    <w:pPr>
      <w:spacing w:after="0" w:line="360" w:lineRule="auto"/>
      <w:ind w:left="510" w:hanging="510"/>
      <w:jc w:val="both"/>
    </w:pPr>
    <w:rPr>
      <w:rFonts w:ascii="Times" w:eastAsia="Times New Roman" w:hAnsi="Times" w:cs="Arial"/>
      <w:bCs/>
      <w:sz w:val="24"/>
      <w:szCs w:val="20"/>
      <w:lang w:eastAsia="pl-PL"/>
    </w:rPr>
  </w:style>
  <w:style w:type="character" w:customStyle="1" w:styleId="bumpedfont20">
    <w:name w:val="bumpedfont20"/>
    <w:basedOn w:val="Domylnaczcionkaakapitu"/>
    <w:rsid w:val="00A22700"/>
  </w:style>
  <w:style w:type="paragraph" w:customStyle="1" w:styleId="LITlitera">
    <w:name w:val="LIT – litera"/>
    <w:basedOn w:val="PKTpunkt"/>
    <w:uiPriority w:val="14"/>
    <w:qFormat/>
    <w:rsid w:val="0032515D"/>
    <w:pPr>
      <w:ind w:left="986" w:hanging="476"/>
    </w:pPr>
    <w:rPr>
      <w:rFonts w:eastAsiaTheme="minorEastAsia"/>
    </w:rPr>
  </w:style>
  <w:style w:type="paragraph" w:styleId="Tekstprzypisukocowego">
    <w:name w:val="endnote text"/>
    <w:basedOn w:val="Normalny"/>
    <w:link w:val="TekstprzypisukocowegoZnak"/>
    <w:uiPriority w:val="99"/>
    <w:semiHidden/>
    <w:unhideWhenUsed/>
    <w:rsid w:val="001120F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120FE"/>
    <w:rPr>
      <w:sz w:val="20"/>
      <w:szCs w:val="20"/>
    </w:rPr>
  </w:style>
  <w:style w:type="character" w:styleId="Odwoanieprzypisukocowego">
    <w:name w:val="endnote reference"/>
    <w:basedOn w:val="Domylnaczcionkaakapitu"/>
    <w:uiPriority w:val="99"/>
    <w:semiHidden/>
    <w:unhideWhenUsed/>
    <w:rsid w:val="001120FE"/>
    <w:rPr>
      <w:vertAlign w:val="superscript"/>
    </w:rPr>
  </w:style>
  <w:style w:type="paragraph" w:styleId="Poprawka">
    <w:name w:val="Revision"/>
    <w:hidden/>
    <w:uiPriority w:val="99"/>
    <w:semiHidden/>
    <w:rsid w:val="001C3844"/>
    <w:pPr>
      <w:spacing w:after="0" w:line="240" w:lineRule="auto"/>
    </w:pPr>
  </w:style>
  <w:style w:type="character" w:customStyle="1" w:styleId="AkapitzlistZnak">
    <w:name w:val="Akapit z listą Znak"/>
    <w:aliases w:val="Numerowanie Znak,List Paragraph Znak,Wyliczanie Znak,BulletC Znak"/>
    <w:link w:val="Akapitzlist"/>
    <w:uiPriority w:val="34"/>
    <w:locked/>
    <w:rsid w:val="005351E9"/>
  </w:style>
  <w:style w:type="character" w:customStyle="1" w:styleId="Ppogrubienie">
    <w:name w:val="_P_ – pogrubienie"/>
    <w:basedOn w:val="Domylnaczcionkaakapitu"/>
    <w:uiPriority w:val="1"/>
    <w:qFormat/>
    <w:rsid w:val="00F87E8F"/>
    <w:rPr>
      <w:b/>
    </w:rPr>
  </w:style>
  <w:style w:type="paragraph" w:styleId="Stopka">
    <w:name w:val="footer"/>
    <w:basedOn w:val="Normalny"/>
    <w:link w:val="StopkaZnak"/>
    <w:uiPriority w:val="99"/>
    <w:unhideWhenUsed/>
    <w:rsid w:val="002E77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7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33456">
      <w:bodyDiv w:val="1"/>
      <w:marLeft w:val="0"/>
      <w:marRight w:val="0"/>
      <w:marTop w:val="0"/>
      <w:marBottom w:val="0"/>
      <w:divBdr>
        <w:top w:val="none" w:sz="0" w:space="0" w:color="auto"/>
        <w:left w:val="none" w:sz="0" w:space="0" w:color="auto"/>
        <w:bottom w:val="none" w:sz="0" w:space="0" w:color="auto"/>
        <w:right w:val="none" w:sz="0" w:space="0" w:color="auto"/>
      </w:divBdr>
    </w:div>
    <w:div w:id="101993985">
      <w:bodyDiv w:val="1"/>
      <w:marLeft w:val="0"/>
      <w:marRight w:val="0"/>
      <w:marTop w:val="0"/>
      <w:marBottom w:val="0"/>
      <w:divBdr>
        <w:top w:val="none" w:sz="0" w:space="0" w:color="auto"/>
        <w:left w:val="none" w:sz="0" w:space="0" w:color="auto"/>
        <w:bottom w:val="none" w:sz="0" w:space="0" w:color="auto"/>
        <w:right w:val="none" w:sz="0" w:space="0" w:color="auto"/>
      </w:divBdr>
    </w:div>
    <w:div w:id="105195298">
      <w:bodyDiv w:val="1"/>
      <w:marLeft w:val="0"/>
      <w:marRight w:val="0"/>
      <w:marTop w:val="0"/>
      <w:marBottom w:val="0"/>
      <w:divBdr>
        <w:top w:val="none" w:sz="0" w:space="0" w:color="auto"/>
        <w:left w:val="none" w:sz="0" w:space="0" w:color="auto"/>
        <w:bottom w:val="none" w:sz="0" w:space="0" w:color="auto"/>
        <w:right w:val="none" w:sz="0" w:space="0" w:color="auto"/>
      </w:divBdr>
    </w:div>
    <w:div w:id="110370057">
      <w:bodyDiv w:val="1"/>
      <w:marLeft w:val="0"/>
      <w:marRight w:val="0"/>
      <w:marTop w:val="0"/>
      <w:marBottom w:val="0"/>
      <w:divBdr>
        <w:top w:val="none" w:sz="0" w:space="0" w:color="auto"/>
        <w:left w:val="none" w:sz="0" w:space="0" w:color="auto"/>
        <w:bottom w:val="none" w:sz="0" w:space="0" w:color="auto"/>
        <w:right w:val="none" w:sz="0" w:space="0" w:color="auto"/>
      </w:divBdr>
    </w:div>
    <w:div w:id="177931514">
      <w:bodyDiv w:val="1"/>
      <w:marLeft w:val="0"/>
      <w:marRight w:val="0"/>
      <w:marTop w:val="0"/>
      <w:marBottom w:val="0"/>
      <w:divBdr>
        <w:top w:val="none" w:sz="0" w:space="0" w:color="auto"/>
        <w:left w:val="none" w:sz="0" w:space="0" w:color="auto"/>
        <w:bottom w:val="none" w:sz="0" w:space="0" w:color="auto"/>
        <w:right w:val="none" w:sz="0" w:space="0" w:color="auto"/>
      </w:divBdr>
    </w:div>
    <w:div w:id="220555915">
      <w:bodyDiv w:val="1"/>
      <w:marLeft w:val="0"/>
      <w:marRight w:val="0"/>
      <w:marTop w:val="0"/>
      <w:marBottom w:val="0"/>
      <w:divBdr>
        <w:top w:val="none" w:sz="0" w:space="0" w:color="auto"/>
        <w:left w:val="none" w:sz="0" w:space="0" w:color="auto"/>
        <w:bottom w:val="none" w:sz="0" w:space="0" w:color="auto"/>
        <w:right w:val="none" w:sz="0" w:space="0" w:color="auto"/>
      </w:divBdr>
    </w:div>
    <w:div w:id="259413622">
      <w:bodyDiv w:val="1"/>
      <w:marLeft w:val="0"/>
      <w:marRight w:val="0"/>
      <w:marTop w:val="0"/>
      <w:marBottom w:val="0"/>
      <w:divBdr>
        <w:top w:val="none" w:sz="0" w:space="0" w:color="auto"/>
        <w:left w:val="none" w:sz="0" w:space="0" w:color="auto"/>
        <w:bottom w:val="none" w:sz="0" w:space="0" w:color="auto"/>
        <w:right w:val="none" w:sz="0" w:space="0" w:color="auto"/>
      </w:divBdr>
    </w:div>
    <w:div w:id="322440433">
      <w:bodyDiv w:val="1"/>
      <w:marLeft w:val="0"/>
      <w:marRight w:val="0"/>
      <w:marTop w:val="0"/>
      <w:marBottom w:val="0"/>
      <w:divBdr>
        <w:top w:val="none" w:sz="0" w:space="0" w:color="auto"/>
        <w:left w:val="none" w:sz="0" w:space="0" w:color="auto"/>
        <w:bottom w:val="none" w:sz="0" w:space="0" w:color="auto"/>
        <w:right w:val="none" w:sz="0" w:space="0" w:color="auto"/>
      </w:divBdr>
    </w:div>
    <w:div w:id="444891055">
      <w:bodyDiv w:val="1"/>
      <w:marLeft w:val="0"/>
      <w:marRight w:val="0"/>
      <w:marTop w:val="0"/>
      <w:marBottom w:val="0"/>
      <w:divBdr>
        <w:top w:val="none" w:sz="0" w:space="0" w:color="auto"/>
        <w:left w:val="none" w:sz="0" w:space="0" w:color="auto"/>
        <w:bottom w:val="none" w:sz="0" w:space="0" w:color="auto"/>
        <w:right w:val="none" w:sz="0" w:space="0" w:color="auto"/>
      </w:divBdr>
    </w:div>
    <w:div w:id="503514243">
      <w:bodyDiv w:val="1"/>
      <w:marLeft w:val="0"/>
      <w:marRight w:val="0"/>
      <w:marTop w:val="0"/>
      <w:marBottom w:val="0"/>
      <w:divBdr>
        <w:top w:val="none" w:sz="0" w:space="0" w:color="auto"/>
        <w:left w:val="none" w:sz="0" w:space="0" w:color="auto"/>
        <w:bottom w:val="none" w:sz="0" w:space="0" w:color="auto"/>
        <w:right w:val="none" w:sz="0" w:space="0" w:color="auto"/>
      </w:divBdr>
    </w:div>
    <w:div w:id="551817881">
      <w:bodyDiv w:val="1"/>
      <w:marLeft w:val="0"/>
      <w:marRight w:val="0"/>
      <w:marTop w:val="0"/>
      <w:marBottom w:val="0"/>
      <w:divBdr>
        <w:top w:val="none" w:sz="0" w:space="0" w:color="auto"/>
        <w:left w:val="none" w:sz="0" w:space="0" w:color="auto"/>
        <w:bottom w:val="none" w:sz="0" w:space="0" w:color="auto"/>
        <w:right w:val="none" w:sz="0" w:space="0" w:color="auto"/>
      </w:divBdr>
    </w:div>
    <w:div w:id="623078564">
      <w:bodyDiv w:val="1"/>
      <w:marLeft w:val="0"/>
      <w:marRight w:val="0"/>
      <w:marTop w:val="0"/>
      <w:marBottom w:val="0"/>
      <w:divBdr>
        <w:top w:val="none" w:sz="0" w:space="0" w:color="auto"/>
        <w:left w:val="none" w:sz="0" w:space="0" w:color="auto"/>
        <w:bottom w:val="none" w:sz="0" w:space="0" w:color="auto"/>
        <w:right w:val="none" w:sz="0" w:space="0" w:color="auto"/>
      </w:divBdr>
    </w:div>
    <w:div w:id="768430870">
      <w:bodyDiv w:val="1"/>
      <w:marLeft w:val="0"/>
      <w:marRight w:val="0"/>
      <w:marTop w:val="0"/>
      <w:marBottom w:val="0"/>
      <w:divBdr>
        <w:top w:val="none" w:sz="0" w:space="0" w:color="auto"/>
        <w:left w:val="none" w:sz="0" w:space="0" w:color="auto"/>
        <w:bottom w:val="none" w:sz="0" w:space="0" w:color="auto"/>
        <w:right w:val="none" w:sz="0" w:space="0" w:color="auto"/>
      </w:divBdr>
    </w:div>
    <w:div w:id="774327671">
      <w:bodyDiv w:val="1"/>
      <w:marLeft w:val="0"/>
      <w:marRight w:val="0"/>
      <w:marTop w:val="0"/>
      <w:marBottom w:val="0"/>
      <w:divBdr>
        <w:top w:val="none" w:sz="0" w:space="0" w:color="auto"/>
        <w:left w:val="none" w:sz="0" w:space="0" w:color="auto"/>
        <w:bottom w:val="none" w:sz="0" w:space="0" w:color="auto"/>
        <w:right w:val="none" w:sz="0" w:space="0" w:color="auto"/>
      </w:divBdr>
    </w:div>
    <w:div w:id="800265811">
      <w:bodyDiv w:val="1"/>
      <w:marLeft w:val="0"/>
      <w:marRight w:val="0"/>
      <w:marTop w:val="0"/>
      <w:marBottom w:val="0"/>
      <w:divBdr>
        <w:top w:val="none" w:sz="0" w:space="0" w:color="auto"/>
        <w:left w:val="none" w:sz="0" w:space="0" w:color="auto"/>
        <w:bottom w:val="none" w:sz="0" w:space="0" w:color="auto"/>
        <w:right w:val="none" w:sz="0" w:space="0" w:color="auto"/>
      </w:divBdr>
    </w:div>
    <w:div w:id="852844845">
      <w:bodyDiv w:val="1"/>
      <w:marLeft w:val="0"/>
      <w:marRight w:val="0"/>
      <w:marTop w:val="0"/>
      <w:marBottom w:val="0"/>
      <w:divBdr>
        <w:top w:val="none" w:sz="0" w:space="0" w:color="auto"/>
        <w:left w:val="none" w:sz="0" w:space="0" w:color="auto"/>
        <w:bottom w:val="none" w:sz="0" w:space="0" w:color="auto"/>
        <w:right w:val="none" w:sz="0" w:space="0" w:color="auto"/>
      </w:divBdr>
    </w:div>
    <w:div w:id="893614439">
      <w:bodyDiv w:val="1"/>
      <w:marLeft w:val="0"/>
      <w:marRight w:val="0"/>
      <w:marTop w:val="0"/>
      <w:marBottom w:val="0"/>
      <w:divBdr>
        <w:top w:val="none" w:sz="0" w:space="0" w:color="auto"/>
        <w:left w:val="none" w:sz="0" w:space="0" w:color="auto"/>
        <w:bottom w:val="none" w:sz="0" w:space="0" w:color="auto"/>
        <w:right w:val="none" w:sz="0" w:space="0" w:color="auto"/>
      </w:divBdr>
    </w:div>
    <w:div w:id="969750143">
      <w:bodyDiv w:val="1"/>
      <w:marLeft w:val="0"/>
      <w:marRight w:val="0"/>
      <w:marTop w:val="0"/>
      <w:marBottom w:val="0"/>
      <w:divBdr>
        <w:top w:val="none" w:sz="0" w:space="0" w:color="auto"/>
        <w:left w:val="none" w:sz="0" w:space="0" w:color="auto"/>
        <w:bottom w:val="none" w:sz="0" w:space="0" w:color="auto"/>
        <w:right w:val="none" w:sz="0" w:space="0" w:color="auto"/>
      </w:divBdr>
    </w:div>
    <w:div w:id="1035500366">
      <w:bodyDiv w:val="1"/>
      <w:marLeft w:val="0"/>
      <w:marRight w:val="0"/>
      <w:marTop w:val="0"/>
      <w:marBottom w:val="0"/>
      <w:divBdr>
        <w:top w:val="none" w:sz="0" w:space="0" w:color="auto"/>
        <w:left w:val="none" w:sz="0" w:space="0" w:color="auto"/>
        <w:bottom w:val="none" w:sz="0" w:space="0" w:color="auto"/>
        <w:right w:val="none" w:sz="0" w:space="0" w:color="auto"/>
      </w:divBdr>
    </w:div>
    <w:div w:id="1129784500">
      <w:bodyDiv w:val="1"/>
      <w:marLeft w:val="0"/>
      <w:marRight w:val="0"/>
      <w:marTop w:val="0"/>
      <w:marBottom w:val="0"/>
      <w:divBdr>
        <w:top w:val="none" w:sz="0" w:space="0" w:color="auto"/>
        <w:left w:val="none" w:sz="0" w:space="0" w:color="auto"/>
        <w:bottom w:val="none" w:sz="0" w:space="0" w:color="auto"/>
        <w:right w:val="none" w:sz="0" w:space="0" w:color="auto"/>
      </w:divBdr>
    </w:div>
    <w:div w:id="1235891345">
      <w:bodyDiv w:val="1"/>
      <w:marLeft w:val="0"/>
      <w:marRight w:val="0"/>
      <w:marTop w:val="0"/>
      <w:marBottom w:val="0"/>
      <w:divBdr>
        <w:top w:val="none" w:sz="0" w:space="0" w:color="auto"/>
        <w:left w:val="none" w:sz="0" w:space="0" w:color="auto"/>
        <w:bottom w:val="none" w:sz="0" w:space="0" w:color="auto"/>
        <w:right w:val="none" w:sz="0" w:space="0" w:color="auto"/>
      </w:divBdr>
    </w:div>
    <w:div w:id="1281230174">
      <w:bodyDiv w:val="1"/>
      <w:marLeft w:val="0"/>
      <w:marRight w:val="0"/>
      <w:marTop w:val="0"/>
      <w:marBottom w:val="0"/>
      <w:divBdr>
        <w:top w:val="none" w:sz="0" w:space="0" w:color="auto"/>
        <w:left w:val="none" w:sz="0" w:space="0" w:color="auto"/>
        <w:bottom w:val="none" w:sz="0" w:space="0" w:color="auto"/>
        <w:right w:val="none" w:sz="0" w:space="0" w:color="auto"/>
      </w:divBdr>
    </w:div>
    <w:div w:id="1286498896">
      <w:bodyDiv w:val="1"/>
      <w:marLeft w:val="0"/>
      <w:marRight w:val="0"/>
      <w:marTop w:val="0"/>
      <w:marBottom w:val="0"/>
      <w:divBdr>
        <w:top w:val="none" w:sz="0" w:space="0" w:color="auto"/>
        <w:left w:val="none" w:sz="0" w:space="0" w:color="auto"/>
        <w:bottom w:val="none" w:sz="0" w:space="0" w:color="auto"/>
        <w:right w:val="none" w:sz="0" w:space="0" w:color="auto"/>
      </w:divBdr>
    </w:div>
    <w:div w:id="1326784692">
      <w:bodyDiv w:val="1"/>
      <w:marLeft w:val="0"/>
      <w:marRight w:val="0"/>
      <w:marTop w:val="0"/>
      <w:marBottom w:val="0"/>
      <w:divBdr>
        <w:top w:val="none" w:sz="0" w:space="0" w:color="auto"/>
        <w:left w:val="none" w:sz="0" w:space="0" w:color="auto"/>
        <w:bottom w:val="none" w:sz="0" w:space="0" w:color="auto"/>
        <w:right w:val="none" w:sz="0" w:space="0" w:color="auto"/>
      </w:divBdr>
    </w:div>
    <w:div w:id="1409037600">
      <w:bodyDiv w:val="1"/>
      <w:marLeft w:val="0"/>
      <w:marRight w:val="0"/>
      <w:marTop w:val="0"/>
      <w:marBottom w:val="0"/>
      <w:divBdr>
        <w:top w:val="none" w:sz="0" w:space="0" w:color="auto"/>
        <w:left w:val="none" w:sz="0" w:space="0" w:color="auto"/>
        <w:bottom w:val="none" w:sz="0" w:space="0" w:color="auto"/>
        <w:right w:val="none" w:sz="0" w:space="0" w:color="auto"/>
      </w:divBdr>
    </w:div>
    <w:div w:id="1425150342">
      <w:bodyDiv w:val="1"/>
      <w:marLeft w:val="0"/>
      <w:marRight w:val="0"/>
      <w:marTop w:val="0"/>
      <w:marBottom w:val="0"/>
      <w:divBdr>
        <w:top w:val="none" w:sz="0" w:space="0" w:color="auto"/>
        <w:left w:val="none" w:sz="0" w:space="0" w:color="auto"/>
        <w:bottom w:val="none" w:sz="0" w:space="0" w:color="auto"/>
        <w:right w:val="none" w:sz="0" w:space="0" w:color="auto"/>
      </w:divBdr>
    </w:div>
    <w:div w:id="1533223937">
      <w:bodyDiv w:val="1"/>
      <w:marLeft w:val="0"/>
      <w:marRight w:val="0"/>
      <w:marTop w:val="0"/>
      <w:marBottom w:val="0"/>
      <w:divBdr>
        <w:top w:val="none" w:sz="0" w:space="0" w:color="auto"/>
        <w:left w:val="none" w:sz="0" w:space="0" w:color="auto"/>
        <w:bottom w:val="none" w:sz="0" w:space="0" w:color="auto"/>
        <w:right w:val="none" w:sz="0" w:space="0" w:color="auto"/>
      </w:divBdr>
    </w:div>
    <w:div w:id="1654023993">
      <w:bodyDiv w:val="1"/>
      <w:marLeft w:val="0"/>
      <w:marRight w:val="0"/>
      <w:marTop w:val="0"/>
      <w:marBottom w:val="0"/>
      <w:divBdr>
        <w:top w:val="none" w:sz="0" w:space="0" w:color="auto"/>
        <w:left w:val="none" w:sz="0" w:space="0" w:color="auto"/>
        <w:bottom w:val="none" w:sz="0" w:space="0" w:color="auto"/>
        <w:right w:val="none" w:sz="0" w:space="0" w:color="auto"/>
      </w:divBdr>
    </w:div>
    <w:div w:id="1846170200">
      <w:bodyDiv w:val="1"/>
      <w:marLeft w:val="0"/>
      <w:marRight w:val="0"/>
      <w:marTop w:val="0"/>
      <w:marBottom w:val="0"/>
      <w:divBdr>
        <w:top w:val="none" w:sz="0" w:space="0" w:color="auto"/>
        <w:left w:val="none" w:sz="0" w:space="0" w:color="auto"/>
        <w:bottom w:val="none" w:sz="0" w:space="0" w:color="auto"/>
        <w:right w:val="none" w:sz="0" w:space="0" w:color="auto"/>
      </w:divBdr>
    </w:div>
    <w:div w:id="1885605111">
      <w:bodyDiv w:val="1"/>
      <w:marLeft w:val="0"/>
      <w:marRight w:val="0"/>
      <w:marTop w:val="0"/>
      <w:marBottom w:val="0"/>
      <w:divBdr>
        <w:top w:val="none" w:sz="0" w:space="0" w:color="auto"/>
        <w:left w:val="none" w:sz="0" w:space="0" w:color="auto"/>
        <w:bottom w:val="none" w:sz="0" w:space="0" w:color="auto"/>
        <w:right w:val="none" w:sz="0" w:space="0" w:color="auto"/>
      </w:divBdr>
    </w:div>
    <w:div w:id="1931230816">
      <w:bodyDiv w:val="1"/>
      <w:marLeft w:val="0"/>
      <w:marRight w:val="0"/>
      <w:marTop w:val="0"/>
      <w:marBottom w:val="0"/>
      <w:divBdr>
        <w:top w:val="none" w:sz="0" w:space="0" w:color="auto"/>
        <w:left w:val="none" w:sz="0" w:space="0" w:color="auto"/>
        <w:bottom w:val="none" w:sz="0" w:space="0" w:color="auto"/>
        <w:right w:val="none" w:sz="0" w:space="0" w:color="auto"/>
      </w:divBdr>
    </w:div>
    <w:div w:id="1996375494">
      <w:bodyDiv w:val="1"/>
      <w:marLeft w:val="0"/>
      <w:marRight w:val="0"/>
      <w:marTop w:val="0"/>
      <w:marBottom w:val="0"/>
      <w:divBdr>
        <w:top w:val="none" w:sz="0" w:space="0" w:color="auto"/>
        <w:left w:val="none" w:sz="0" w:space="0" w:color="auto"/>
        <w:bottom w:val="none" w:sz="0" w:space="0" w:color="auto"/>
        <w:right w:val="none" w:sz="0" w:space="0" w:color="auto"/>
      </w:divBdr>
    </w:div>
    <w:div w:id="2054112843">
      <w:bodyDiv w:val="1"/>
      <w:marLeft w:val="0"/>
      <w:marRight w:val="0"/>
      <w:marTop w:val="0"/>
      <w:marBottom w:val="0"/>
      <w:divBdr>
        <w:top w:val="none" w:sz="0" w:space="0" w:color="auto"/>
        <w:left w:val="none" w:sz="0" w:space="0" w:color="auto"/>
        <w:bottom w:val="none" w:sz="0" w:space="0" w:color="auto"/>
        <w:right w:val="none" w:sz="0" w:space="0" w:color="auto"/>
      </w:divBdr>
    </w:div>
    <w:div w:id="213694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jafirma.infor.pl/tematy/ga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galis.pl/document-view.seam?documentId=mfrxilrtg4ytmnbrhazdeltqmfyc4njzgm2dgnjzg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nwestycje.pl/biznes/42-firm-obawia-sie-negatywnego-wplywu-wojny-na-ukrainie-na-ich-dzialalnosc/" TargetMode="External"/><Relationship Id="rId2" Type="http://schemas.openxmlformats.org/officeDocument/2006/relationships/hyperlink" Target="https://obserwatorgospodarczy.pl/2022/03/02/pie-42-firm-w-polsce-obawia-sie-wplywu-wojny-na-prowadzona-dzialalnosc-gospodarcza/" TargetMode="External"/><Relationship Id="rId1" Type="http://schemas.openxmlformats.org/officeDocument/2006/relationships/hyperlink" Target="https://mik.pie.ne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B7D3F-E843-4327-A8E6-0F05B9090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85</Pages>
  <Words>35027</Words>
  <Characters>210162</Characters>
  <Application>Microsoft Office Word</Application>
  <DocSecurity>0</DocSecurity>
  <Lines>1751</Lines>
  <Paragraphs>489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244700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Więcek Agnieszka</dc:creator>
  <cp:keywords/>
  <dc:description/>
  <cp:lastModifiedBy>Rybkowska Bożena</cp:lastModifiedBy>
  <cp:revision>3</cp:revision>
  <dcterms:created xsi:type="dcterms:W3CDTF">2022-08-24T15:26:00Z</dcterms:created>
  <dcterms:modified xsi:type="dcterms:W3CDTF">2022-08-24T16:28:00Z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MF\AIMD;Molenda-Detyna Iwona</vt:lpwstr>
  </property>
  <property fmtid="{D5CDD505-2E9C-101B-9397-08002B2CF9AE}" pid="4" name="MFClassificationDate">
    <vt:lpwstr>2022-03-15T12:45:52.7869496+01:00</vt:lpwstr>
  </property>
  <property fmtid="{D5CDD505-2E9C-101B-9397-08002B2CF9AE}" pid="5" name="MFClassifiedBySID">
    <vt:lpwstr>MF\S-1-5-21-1525952054-1005573771-2909822258-9144</vt:lpwstr>
  </property>
  <property fmtid="{D5CDD505-2E9C-101B-9397-08002B2CF9AE}" pid="6" name="MFGRNItemId">
    <vt:lpwstr>GRN-e4574c64-8c07-4313-a9fb-2ece43fe7916</vt:lpwstr>
  </property>
  <property fmtid="{D5CDD505-2E9C-101B-9397-08002B2CF9AE}" pid="7" name="MFHash">
    <vt:lpwstr>u3M3hJnAeQnZCF3w7GYVd6Lh76EZwTALoVA56HNyxpY=</vt:lpwstr>
  </property>
  <property fmtid="{D5CDD505-2E9C-101B-9397-08002B2CF9AE}" pid="8" name="DLPManualFileClassification">
    <vt:lpwstr>{5fdfc941-3fcf-4a5b-87be-4848800d39d0}</vt:lpwstr>
  </property>
  <property fmtid="{D5CDD505-2E9C-101B-9397-08002B2CF9AE}" pid="9" name="MFRefresh">
    <vt:lpwstr>False</vt:lpwstr>
  </property>
</Properties>
</file>