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BCA9E" w14:textId="77777777" w:rsidR="00575EA3" w:rsidRPr="00D440D4" w:rsidRDefault="00575EA3" w:rsidP="00D440D4">
      <w:pPr>
        <w:autoSpaceDE w:val="0"/>
        <w:autoSpaceDN w:val="0"/>
        <w:adjustRightInd w:val="0"/>
        <w:spacing w:after="240" w:line="360" w:lineRule="auto"/>
        <w:jc w:val="center"/>
        <w:rPr>
          <w:rFonts w:ascii="Times New Roman" w:eastAsia="Times New Roman" w:hAnsi="Times New Roman" w:cs="Times New Roman"/>
          <w:bCs/>
          <w:sz w:val="24"/>
          <w:szCs w:val="24"/>
          <w:lang w:eastAsia="pl-PL"/>
        </w:rPr>
      </w:pPr>
      <w:r w:rsidRPr="00D440D4">
        <w:rPr>
          <w:rFonts w:ascii="Times New Roman" w:eastAsia="Times New Roman" w:hAnsi="Times New Roman" w:cs="Times New Roman"/>
          <w:bCs/>
          <w:sz w:val="24"/>
          <w:szCs w:val="24"/>
          <w:lang w:eastAsia="pl-PL"/>
        </w:rPr>
        <w:t>UZASADNIENIE</w:t>
      </w:r>
    </w:p>
    <w:p w14:paraId="4A9BB7FE" w14:textId="3D36F252" w:rsidR="00575EA3" w:rsidRPr="00D440D4" w:rsidRDefault="00575EA3" w:rsidP="00D440D4">
      <w:pPr>
        <w:autoSpaceDE w:val="0"/>
        <w:autoSpaceDN w:val="0"/>
        <w:adjustRightInd w:val="0"/>
        <w:spacing w:after="0" w:line="360" w:lineRule="auto"/>
        <w:rPr>
          <w:rFonts w:ascii="Times New Roman" w:eastAsia="Times New Roman" w:hAnsi="Times New Roman" w:cs="Times New Roman"/>
          <w:sz w:val="24"/>
          <w:szCs w:val="24"/>
          <w:lang w:eastAsia="pl-PL"/>
        </w:rPr>
      </w:pPr>
      <w:r w:rsidRPr="00D440D4">
        <w:rPr>
          <w:rFonts w:ascii="Times New Roman" w:eastAsia="Times New Roman" w:hAnsi="Times New Roman" w:cs="Times New Roman"/>
          <w:b/>
          <w:bCs/>
          <w:sz w:val="24"/>
          <w:szCs w:val="24"/>
          <w:lang w:eastAsia="pl-PL"/>
        </w:rPr>
        <w:t>1. Wyjaśnienie potrzeby i celu wypowiedzenia Traktatu Karty Energetycznej</w:t>
      </w:r>
      <w:bookmarkStart w:id="0" w:name="_GoBack"/>
      <w:bookmarkEnd w:id="0"/>
    </w:p>
    <w:p w14:paraId="52EE6F4D" w14:textId="77777777" w:rsidR="00575EA3" w:rsidRPr="00D440D4" w:rsidRDefault="00575EA3" w:rsidP="00D440D4">
      <w:pPr>
        <w:autoSpaceDE w:val="0"/>
        <w:autoSpaceDN w:val="0"/>
        <w:adjustRightInd w:val="0"/>
        <w:spacing w:after="0" w:line="360" w:lineRule="auto"/>
        <w:rPr>
          <w:rFonts w:ascii="Times New Roman" w:eastAsia="Times New Roman" w:hAnsi="Times New Roman" w:cs="Times New Roman"/>
          <w:sz w:val="24"/>
          <w:szCs w:val="24"/>
          <w:lang w:eastAsia="pl-PL"/>
        </w:rPr>
      </w:pPr>
    </w:p>
    <w:p w14:paraId="2030C99F" w14:textId="4EBA01CB"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 xml:space="preserve">Rzeczpospolita Polska </w:t>
      </w:r>
      <w:r w:rsidR="006425DB" w:rsidRPr="00D440D4">
        <w:rPr>
          <w:rFonts w:ascii="Times New Roman" w:eastAsia="Times New Roman" w:hAnsi="Times New Roman" w:cs="Times New Roman"/>
          <w:sz w:val="24"/>
          <w:szCs w:val="24"/>
          <w:lang w:eastAsia="pl-PL"/>
        </w:rPr>
        <w:t xml:space="preserve">(RP) </w:t>
      </w:r>
      <w:r w:rsidRPr="00D440D4">
        <w:rPr>
          <w:rFonts w:ascii="Times New Roman" w:eastAsia="Times New Roman" w:hAnsi="Times New Roman" w:cs="Times New Roman"/>
          <w:sz w:val="24"/>
          <w:szCs w:val="24"/>
          <w:lang w:eastAsia="pl-PL"/>
        </w:rPr>
        <w:t>jest stroną Traktatu Karty Energetycznej oraz Protokołu Karty Energetycznej dotycząc</w:t>
      </w:r>
      <w:r w:rsidR="00F47057">
        <w:rPr>
          <w:rFonts w:ascii="Times New Roman" w:eastAsia="Times New Roman" w:hAnsi="Times New Roman" w:cs="Times New Roman"/>
          <w:sz w:val="24"/>
          <w:szCs w:val="24"/>
          <w:lang w:eastAsia="pl-PL"/>
        </w:rPr>
        <w:t>ego</w:t>
      </w:r>
      <w:r w:rsidRPr="00D440D4">
        <w:rPr>
          <w:rFonts w:ascii="Times New Roman" w:eastAsia="Times New Roman" w:hAnsi="Times New Roman" w:cs="Times New Roman"/>
          <w:sz w:val="24"/>
          <w:szCs w:val="24"/>
          <w:lang w:eastAsia="pl-PL"/>
        </w:rPr>
        <w:t xml:space="preserve"> efektywności energetycznej i odnośnych aspektów ochrony środowiska, sporządzonych w Lizbonie dnia 17 grudnia 1994 r.</w:t>
      </w:r>
      <w:r w:rsidRPr="00D440D4" w:rsidDel="00D92B47">
        <w:rPr>
          <w:rFonts w:ascii="Times New Roman" w:eastAsia="Times New Roman" w:hAnsi="Times New Roman" w:cs="Times New Roman"/>
          <w:sz w:val="24"/>
          <w:szCs w:val="24"/>
          <w:lang w:eastAsia="pl-PL"/>
        </w:rPr>
        <w:t xml:space="preserve"> </w:t>
      </w:r>
      <w:r w:rsidRPr="00D440D4">
        <w:rPr>
          <w:rFonts w:ascii="Times New Roman" w:eastAsia="Times New Roman" w:hAnsi="Times New Roman" w:cs="Times New Roman"/>
          <w:sz w:val="24"/>
          <w:szCs w:val="24"/>
          <w:lang w:eastAsia="pl-PL"/>
        </w:rPr>
        <w:t>(Dz. U. z 2003 r. poz. 985), zwan</w:t>
      </w:r>
      <w:r w:rsidR="007E140E">
        <w:rPr>
          <w:rFonts w:ascii="Times New Roman" w:eastAsia="Times New Roman" w:hAnsi="Times New Roman" w:cs="Times New Roman"/>
          <w:sz w:val="24"/>
          <w:szCs w:val="24"/>
          <w:lang w:eastAsia="pl-PL"/>
        </w:rPr>
        <w:t>ych</w:t>
      </w:r>
      <w:r w:rsidRPr="00D440D4">
        <w:rPr>
          <w:rFonts w:ascii="Times New Roman" w:eastAsia="Times New Roman" w:hAnsi="Times New Roman" w:cs="Times New Roman"/>
          <w:sz w:val="24"/>
          <w:szCs w:val="24"/>
          <w:lang w:eastAsia="pl-PL"/>
        </w:rPr>
        <w:t xml:space="preserve"> dalej „Traktatem” lub „TKE”. Stronami tej umowy międzynarodowej jest dziś 5</w:t>
      </w:r>
      <w:r w:rsidR="006425DB" w:rsidRPr="00D440D4">
        <w:rPr>
          <w:rFonts w:ascii="Times New Roman" w:eastAsia="Times New Roman" w:hAnsi="Times New Roman" w:cs="Times New Roman"/>
          <w:sz w:val="24"/>
          <w:szCs w:val="24"/>
          <w:lang w:eastAsia="pl-PL"/>
        </w:rPr>
        <w:t>3</w:t>
      </w:r>
      <w:r w:rsidR="00D440D4">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państw i organizacji międzynarodowych, w tym Unia Europejska (UE), Europejska Wspólnota Energii Atomowej (Euratom) oraz wszystkie państwa członkowskie UE, za</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wyjątkiem Republiki Włoskiej, która wy</w:t>
      </w:r>
      <w:r w:rsidR="006425DB" w:rsidRPr="00D440D4">
        <w:rPr>
          <w:rFonts w:ascii="Times New Roman" w:eastAsia="Times New Roman" w:hAnsi="Times New Roman" w:cs="Times New Roman"/>
          <w:sz w:val="24"/>
          <w:szCs w:val="24"/>
          <w:lang w:eastAsia="pl-PL"/>
        </w:rPr>
        <w:t xml:space="preserve">stąpiła </w:t>
      </w:r>
      <w:r w:rsidRPr="00D440D4">
        <w:rPr>
          <w:rFonts w:ascii="Times New Roman" w:eastAsia="Times New Roman" w:hAnsi="Times New Roman" w:cs="Times New Roman"/>
          <w:sz w:val="24"/>
          <w:szCs w:val="24"/>
          <w:lang w:eastAsia="pl-PL"/>
        </w:rPr>
        <w:t>z TKE z dniem 1 stycznia 2016 r</w:t>
      </w:r>
      <w:r w:rsidR="00B0692D"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(lista</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stron TKE została zawarta w załączniku nr 1 do wniosku). Z uwagi na swój charakter Traktat stanowi część obowiązującego w R</w:t>
      </w:r>
      <w:r w:rsidR="006425DB"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xml:space="preserve"> prawa zarówno jako wiążące prawo międzynarodowe (umowa</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międzynarodowa ratyfikowana za uprzednią zgodą wyrażoną w</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ustawie), jak również jako wiążące prawo Unii Europejskiej (UE jest stroną TKE, a więc stanowi ona część jej</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porządku prawnego). </w:t>
      </w:r>
    </w:p>
    <w:p w14:paraId="0AB39AC7" w14:textId="77777777"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274578BF" w14:textId="2BAD8978" w:rsidR="00575EA3" w:rsidRPr="00D440D4" w:rsidRDefault="00575EA3" w:rsidP="00D440D4">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TKE zawiera klauzulę rozstrzygania sporów (Artykuł 26) m.in. umożliwiającą inwestorom z</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państw będących stronami </w:t>
      </w:r>
      <w:r w:rsidR="006425DB" w:rsidRPr="00D440D4">
        <w:rPr>
          <w:rFonts w:ascii="Times New Roman" w:eastAsia="Times New Roman" w:hAnsi="Times New Roman" w:cs="Times New Roman"/>
          <w:sz w:val="24"/>
          <w:szCs w:val="24"/>
          <w:lang w:eastAsia="pl-PL"/>
        </w:rPr>
        <w:t>T</w:t>
      </w:r>
      <w:r w:rsidRPr="00D440D4">
        <w:rPr>
          <w:rFonts w:ascii="Times New Roman" w:eastAsia="Times New Roman" w:hAnsi="Times New Roman" w:cs="Times New Roman"/>
          <w:sz w:val="24"/>
          <w:szCs w:val="24"/>
          <w:lang w:eastAsia="pl-PL"/>
        </w:rPr>
        <w:t>raktatu pozywanie innych jego państw-stron, w których inwestorzy ci dokonali inwestycji chronionych na mocy Traktatu. Zastosowanie Artykułu 26</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TKE do sporów wewnątrzunijnych, tj. sporów zaistniałych między inwestorem z jednego państwa członkowskiego UE a innym państwem członkowskim</w:t>
      </w:r>
      <w:r w:rsidR="000F15B5">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od lat uznawane było przez</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Komisję Europejską (KE) i zdecydowaną większość państw członkowskich UE za</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sprzeczne z prawem UE. Podstawą dla takiego stanowiska był m.in. brak poszanowania autonomii prawa unijnego przez międzynarodowe trybunały arbitrażowe ustanowione na</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podstawie Artykułu 26 TKE w odniesieniu do sporów wewnątrzunijnych. </w:t>
      </w:r>
    </w:p>
    <w:p w14:paraId="2F35F08F" w14:textId="32BDA3C1" w:rsidR="00575EA3" w:rsidRPr="00D440D4" w:rsidRDefault="00575EA3" w:rsidP="00D440D4">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Takie stanowisko w pierwszej kolejności zostało potwierdzone w wyroku Trybunału Sprawiedliwości UE, zwanym dalej „TSUE” lub „Trybun</w:t>
      </w:r>
      <w:r w:rsidR="00D440D4">
        <w:rPr>
          <w:rFonts w:ascii="Times New Roman" w:eastAsia="Times New Roman" w:hAnsi="Times New Roman" w:cs="Times New Roman"/>
          <w:sz w:val="24"/>
          <w:szCs w:val="24"/>
          <w:lang w:eastAsia="pl-PL"/>
        </w:rPr>
        <w:t>ałem”, z dnia 6 marca 2018 r. w </w:t>
      </w:r>
      <w:r w:rsidRPr="00D440D4">
        <w:rPr>
          <w:rFonts w:ascii="Times New Roman" w:eastAsia="Times New Roman" w:hAnsi="Times New Roman" w:cs="Times New Roman"/>
          <w:sz w:val="24"/>
          <w:szCs w:val="24"/>
          <w:lang w:eastAsia="pl-PL"/>
        </w:rPr>
        <w:t xml:space="preserve">sprawie C-264/18, </w:t>
      </w:r>
      <w:r w:rsidRPr="00D440D4">
        <w:rPr>
          <w:rFonts w:ascii="Times New Roman" w:eastAsia="Times New Roman" w:hAnsi="Times New Roman" w:cs="Times New Roman"/>
          <w:i/>
          <w:iCs/>
          <w:sz w:val="24"/>
          <w:szCs w:val="24"/>
          <w:lang w:eastAsia="pl-PL"/>
        </w:rPr>
        <w:t xml:space="preserve">Słowacja p. Achmea BV </w:t>
      </w:r>
      <w:r w:rsidRPr="00D440D4">
        <w:rPr>
          <w:rFonts w:ascii="Times New Roman" w:eastAsia="Times New Roman" w:hAnsi="Times New Roman" w:cs="Times New Roman"/>
          <w:sz w:val="24"/>
          <w:szCs w:val="24"/>
          <w:lang w:eastAsia="pl-PL"/>
        </w:rPr>
        <w:t>z 2018 r., zwanej dalej „sprawą Achmea”</w:t>
      </w:r>
      <w:r w:rsidRPr="00D440D4">
        <w:rPr>
          <w:rFonts w:ascii="Times New Roman" w:eastAsia="Times New Roman" w:hAnsi="Times New Roman" w:cs="Times New Roman"/>
          <w:sz w:val="24"/>
          <w:szCs w:val="24"/>
          <w:vertAlign w:val="superscript"/>
          <w:lang w:eastAsia="pl-PL"/>
        </w:rPr>
        <w:footnoteReference w:id="1"/>
      </w:r>
      <w:r w:rsidR="00CD6780" w:rsidRPr="00D440D4">
        <w:rPr>
          <w:rFonts w:ascii="Times New Roman" w:eastAsia="Times New Roman" w:hAnsi="Times New Roman" w:cs="Times New Roman"/>
          <w:sz w:val="24"/>
          <w:szCs w:val="24"/>
          <w:vertAlign w:val="superscript"/>
          <w:lang w:eastAsia="pl-PL"/>
        </w:rPr>
        <w:t>)</w:t>
      </w:r>
      <w:r w:rsidR="00D440D4">
        <w:rPr>
          <w:rFonts w:ascii="Times New Roman" w:eastAsia="Times New Roman" w:hAnsi="Times New Roman" w:cs="Times New Roman"/>
          <w:sz w:val="24"/>
          <w:szCs w:val="24"/>
          <w:lang w:eastAsia="pl-PL"/>
        </w:rPr>
        <w:t>, w </w:t>
      </w:r>
      <w:r w:rsidRPr="00D440D4">
        <w:rPr>
          <w:rFonts w:ascii="Times New Roman" w:eastAsia="Times New Roman" w:hAnsi="Times New Roman" w:cs="Times New Roman"/>
          <w:sz w:val="24"/>
          <w:szCs w:val="24"/>
          <w:lang w:eastAsia="pl-PL"/>
        </w:rPr>
        <w:t>którym wskazał on, że zasada autonomii prawa UE uniemożliwia dwóm państwom członkowskim UE ustanowienie mechanizmu rozstrzyg</w:t>
      </w:r>
      <w:r w:rsidR="00D440D4">
        <w:rPr>
          <w:rFonts w:ascii="Times New Roman" w:eastAsia="Times New Roman" w:hAnsi="Times New Roman" w:cs="Times New Roman"/>
          <w:sz w:val="24"/>
          <w:szCs w:val="24"/>
          <w:lang w:eastAsia="pl-PL"/>
        </w:rPr>
        <w:t>ania sporów między inwestorem a </w:t>
      </w:r>
      <w:r w:rsidRPr="00D440D4">
        <w:rPr>
          <w:rFonts w:ascii="Times New Roman" w:eastAsia="Times New Roman" w:hAnsi="Times New Roman" w:cs="Times New Roman"/>
          <w:sz w:val="24"/>
          <w:szCs w:val="24"/>
          <w:lang w:eastAsia="pl-PL"/>
        </w:rPr>
        <w:t xml:space="preserve">państwem przez dwustronną umowę inwestycyjną (BIT) z pominięciem Trybunału. TSUE orzekł, że mechanizmy te są niezgodne z unijnymi Traktatami, ponieważ podważają one </w:t>
      </w:r>
      <w:r w:rsidRPr="00D440D4">
        <w:rPr>
          <w:rFonts w:ascii="Times New Roman" w:eastAsia="Times New Roman" w:hAnsi="Times New Roman" w:cs="Times New Roman"/>
          <w:sz w:val="24"/>
          <w:szCs w:val="24"/>
          <w:lang w:eastAsia="pl-PL"/>
        </w:rPr>
        <w:lastRenderedPageBreak/>
        <w:t xml:space="preserve">system środków prawnych przewidzianych w nich do rozwiązywania tego rodzaju sporów. Stanowią one zatem zagrożenie dla autonomii prawa UE i zasady wzajemnego zaufania między państwami członkowskimi. W związku z tym traktaty takie powinny zostać formalnie rozwiązane w celu zapewnienia pewności prawnej w porządku prawnym UE. </w:t>
      </w:r>
      <w:r w:rsidR="006425DB" w:rsidRPr="00D440D4">
        <w:rPr>
          <w:rFonts w:ascii="Times New Roman" w:eastAsia="Times New Roman" w:hAnsi="Times New Roman" w:cs="Times New Roman"/>
          <w:sz w:val="24"/>
          <w:szCs w:val="24"/>
          <w:lang w:eastAsia="pl-PL"/>
        </w:rPr>
        <w:t>W</w:t>
      </w:r>
      <w:r w:rsidRPr="00D440D4">
        <w:rPr>
          <w:rFonts w:ascii="Times New Roman" w:eastAsia="Times New Roman" w:hAnsi="Times New Roman" w:cs="Times New Roman"/>
          <w:sz w:val="24"/>
          <w:szCs w:val="24"/>
          <w:lang w:eastAsia="pl-PL"/>
        </w:rPr>
        <w:t>yrok w</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sprawie </w:t>
      </w:r>
      <w:r w:rsidRPr="00D440D4">
        <w:rPr>
          <w:rFonts w:ascii="Times New Roman" w:eastAsia="Times New Roman" w:hAnsi="Times New Roman" w:cs="Times New Roman"/>
          <w:i/>
          <w:sz w:val="24"/>
          <w:szCs w:val="24"/>
          <w:lang w:eastAsia="pl-PL"/>
        </w:rPr>
        <w:t>Achmea</w:t>
      </w:r>
      <w:r w:rsidRPr="00D440D4">
        <w:rPr>
          <w:rFonts w:ascii="Times New Roman" w:eastAsia="Times New Roman" w:hAnsi="Times New Roman" w:cs="Times New Roman"/>
          <w:sz w:val="24"/>
          <w:szCs w:val="24"/>
          <w:lang w:eastAsia="pl-PL"/>
        </w:rPr>
        <w:t xml:space="preserve"> dotyczył umów wewnątrzunijnych (intra EU-BIT), </w:t>
      </w:r>
      <w:r w:rsidR="006425DB" w:rsidRPr="00D440D4">
        <w:rPr>
          <w:rFonts w:ascii="Times New Roman" w:eastAsia="Times New Roman" w:hAnsi="Times New Roman" w:cs="Times New Roman"/>
          <w:sz w:val="24"/>
          <w:szCs w:val="24"/>
          <w:lang w:eastAsia="pl-PL"/>
        </w:rPr>
        <w:t xml:space="preserve">dlatego </w:t>
      </w:r>
      <w:r w:rsidR="00D440D4">
        <w:rPr>
          <w:rFonts w:ascii="Times New Roman" w:eastAsia="Times New Roman" w:hAnsi="Times New Roman" w:cs="Times New Roman"/>
          <w:sz w:val="24"/>
          <w:szCs w:val="24"/>
          <w:lang w:eastAsia="pl-PL"/>
        </w:rPr>
        <w:t>22 państwa członkowskie UE, w </w:t>
      </w:r>
      <w:r w:rsidRPr="00D440D4">
        <w:rPr>
          <w:rFonts w:ascii="Times New Roman" w:eastAsia="Times New Roman" w:hAnsi="Times New Roman" w:cs="Times New Roman"/>
          <w:sz w:val="24"/>
          <w:szCs w:val="24"/>
          <w:lang w:eastAsia="pl-PL"/>
        </w:rPr>
        <w:t xml:space="preserve">tym Rzeczpospolita Polska, podpisały </w:t>
      </w:r>
      <w:r w:rsidR="006425DB" w:rsidRPr="00D440D4">
        <w:rPr>
          <w:rFonts w:ascii="Times New Roman" w:eastAsia="Times New Roman" w:hAnsi="Times New Roman" w:cs="Times New Roman"/>
          <w:sz w:val="24"/>
          <w:szCs w:val="24"/>
          <w:lang w:eastAsia="pl-PL"/>
        </w:rPr>
        <w:t xml:space="preserve">dnia </w:t>
      </w:r>
      <w:r w:rsidRPr="00D440D4">
        <w:rPr>
          <w:rFonts w:ascii="Times New Roman" w:eastAsia="Times New Roman" w:hAnsi="Times New Roman" w:cs="Times New Roman"/>
          <w:sz w:val="24"/>
          <w:szCs w:val="24"/>
          <w:lang w:eastAsia="pl-PL"/>
        </w:rPr>
        <w:t>15 stycznia 2019 r. wspólną deklarację, w</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której m.in. wyraziły pogląd, że wewnątrzunijne stosowanie A</w:t>
      </w:r>
      <w:r w:rsidR="00FB2B55">
        <w:rPr>
          <w:rFonts w:ascii="Times New Roman" w:eastAsia="Times New Roman" w:hAnsi="Times New Roman" w:cs="Times New Roman"/>
          <w:sz w:val="24"/>
          <w:szCs w:val="24"/>
          <w:lang w:eastAsia="pl-PL"/>
        </w:rPr>
        <w:t>rtykułu 26 TKE jest niezgodne z </w:t>
      </w:r>
      <w:r w:rsidRPr="00D440D4">
        <w:rPr>
          <w:rFonts w:ascii="Times New Roman" w:eastAsia="Times New Roman" w:hAnsi="Times New Roman" w:cs="Times New Roman"/>
          <w:sz w:val="24"/>
          <w:szCs w:val="24"/>
          <w:lang w:eastAsia="pl-PL"/>
        </w:rPr>
        <w:t>prawem UE, z uwagi na tożsamość jego specyfiki z klauzulami rozstrzygania sporów na</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podstawie umów intra-EU BIT (jak w sprawie </w:t>
      </w:r>
      <w:r w:rsidRPr="00D440D4">
        <w:rPr>
          <w:rFonts w:ascii="Times New Roman" w:eastAsia="Times New Roman" w:hAnsi="Times New Roman" w:cs="Times New Roman"/>
          <w:i/>
          <w:iCs/>
          <w:sz w:val="24"/>
          <w:szCs w:val="24"/>
          <w:lang w:eastAsia="pl-PL"/>
        </w:rPr>
        <w:t>Achmea</w:t>
      </w:r>
      <w:r w:rsidRPr="00D440D4">
        <w:rPr>
          <w:rFonts w:ascii="Times New Roman" w:eastAsia="Times New Roman" w:hAnsi="Times New Roman" w:cs="Times New Roman"/>
          <w:sz w:val="24"/>
          <w:szCs w:val="24"/>
          <w:lang w:eastAsia="pl-PL"/>
        </w:rPr>
        <w:t xml:space="preserve">). </w:t>
      </w:r>
    </w:p>
    <w:p w14:paraId="435A6821" w14:textId="7EEADF08"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Analogiczne stanowisko sformułowała KE w 2018 r. Jednocześnie Republika Finlandii, Wielkie Księstwo Luksemburga, Republika Malty, Republika Słowenii i Królestwo Szwecji wydały osobną wspólną deklarację, która w ogóle nie odnosiła się do TKE, a Węgry sformułowały deklarację indywidualną</w:t>
      </w:r>
      <w:r w:rsidR="00B0692D"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w której wyraziły pogląd, że wyrok w sprawie </w:t>
      </w:r>
      <w:r w:rsidRPr="00D440D4">
        <w:rPr>
          <w:rFonts w:ascii="Times New Roman" w:eastAsia="Times New Roman" w:hAnsi="Times New Roman" w:cs="Times New Roman"/>
          <w:i/>
          <w:iCs/>
          <w:sz w:val="24"/>
          <w:szCs w:val="24"/>
          <w:lang w:eastAsia="pl-PL"/>
        </w:rPr>
        <w:t>Achme</w:t>
      </w:r>
      <w:r w:rsidRPr="00D440D4">
        <w:rPr>
          <w:rFonts w:ascii="Times New Roman" w:eastAsia="Times New Roman" w:hAnsi="Times New Roman" w:cs="Times New Roman"/>
          <w:sz w:val="24"/>
          <w:szCs w:val="24"/>
          <w:lang w:eastAsia="pl-PL"/>
        </w:rPr>
        <w:t>a nie dotyczy postępowań arbitrażowych na podstawie TKE.</w:t>
      </w:r>
    </w:p>
    <w:p w14:paraId="7E598D15" w14:textId="77777777"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4C864954" w14:textId="3215D565" w:rsidR="00575EA3" w:rsidRPr="00D440D4" w:rsidRDefault="00575EA3" w:rsidP="00D440D4">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 xml:space="preserve">W wyroku z dnia 2 września 2021 r. w sprawie C-741/19, </w:t>
      </w:r>
      <w:r w:rsidRPr="00D440D4">
        <w:rPr>
          <w:rFonts w:ascii="Times New Roman" w:eastAsia="Times New Roman" w:hAnsi="Times New Roman" w:cs="Times New Roman"/>
          <w:i/>
          <w:iCs/>
          <w:sz w:val="24"/>
          <w:szCs w:val="24"/>
          <w:lang w:eastAsia="pl-PL"/>
        </w:rPr>
        <w:t>Republika Mołdawii przeciwko Komstroy LLC</w:t>
      </w:r>
      <w:r w:rsidRPr="00FB2B55">
        <w:rPr>
          <w:rFonts w:ascii="Times New Roman" w:eastAsia="Times New Roman" w:hAnsi="Times New Roman" w:cs="Times New Roman"/>
          <w:iCs/>
          <w:sz w:val="24"/>
          <w:szCs w:val="24"/>
          <w:vertAlign w:val="superscript"/>
          <w:lang w:eastAsia="pl-PL"/>
        </w:rPr>
        <w:footnoteReference w:id="2"/>
      </w:r>
      <w:r w:rsidR="00FB2B55" w:rsidRPr="00FB2B55">
        <w:rPr>
          <w:rFonts w:ascii="Times New Roman" w:eastAsia="Times New Roman" w:hAnsi="Times New Roman" w:cs="Times New Roman"/>
          <w:sz w:val="24"/>
          <w:szCs w:val="24"/>
          <w:vertAlign w:val="superscript"/>
          <w:lang w:eastAsia="pl-PL"/>
        </w:rPr>
        <w:t>)</w:t>
      </w:r>
      <w:r w:rsidRPr="00D440D4">
        <w:rPr>
          <w:rFonts w:ascii="Times New Roman" w:eastAsia="Times New Roman" w:hAnsi="Times New Roman" w:cs="Times New Roman"/>
          <w:sz w:val="24"/>
          <w:szCs w:val="24"/>
          <w:lang w:eastAsia="pl-PL"/>
        </w:rPr>
        <w:t xml:space="preserve">, zwanym dalej „wyrok </w:t>
      </w:r>
      <w:r w:rsidRPr="00D440D4">
        <w:rPr>
          <w:rFonts w:ascii="Times New Roman" w:eastAsia="Times New Roman" w:hAnsi="Times New Roman" w:cs="Times New Roman"/>
          <w:i/>
          <w:iCs/>
          <w:sz w:val="24"/>
          <w:szCs w:val="24"/>
          <w:lang w:eastAsia="pl-PL"/>
        </w:rPr>
        <w:t>Komstroy</w:t>
      </w:r>
      <w:r w:rsidRPr="00D440D4">
        <w:rPr>
          <w:rFonts w:ascii="Times New Roman" w:eastAsia="Times New Roman" w:hAnsi="Times New Roman" w:cs="Times New Roman"/>
          <w:sz w:val="24"/>
          <w:szCs w:val="24"/>
          <w:lang w:eastAsia="pl-PL"/>
        </w:rPr>
        <w:t xml:space="preserve">” lub „sprawa </w:t>
      </w:r>
      <w:r w:rsidRPr="00D440D4">
        <w:rPr>
          <w:rFonts w:ascii="Times New Roman" w:eastAsia="Times New Roman" w:hAnsi="Times New Roman" w:cs="Times New Roman"/>
          <w:i/>
          <w:iCs/>
          <w:sz w:val="24"/>
          <w:szCs w:val="24"/>
          <w:lang w:eastAsia="pl-PL"/>
        </w:rPr>
        <w:t>Komstroy</w:t>
      </w:r>
      <w:r w:rsidRPr="00D440D4">
        <w:rPr>
          <w:rFonts w:ascii="Times New Roman" w:eastAsia="Times New Roman" w:hAnsi="Times New Roman" w:cs="Times New Roman"/>
          <w:sz w:val="24"/>
          <w:szCs w:val="24"/>
          <w:lang w:eastAsia="pl-PL"/>
        </w:rPr>
        <w:t>”, TSUE wskazał na</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brak zgodności Artykułu 26 TKE z prawem UE w zakresie jego stosowania do</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wewnątrzunijnych sporów inwestycyjnych</w:t>
      </w:r>
      <w:r w:rsidR="00883AC0">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tj. sporów inicjowanych przez inwestora pochodzącego z państwa UE przeciwko innemu państwu UE</w:t>
      </w:r>
      <w:r w:rsidRPr="00D440D4">
        <w:rPr>
          <w:rFonts w:ascii="Times New Roman" w:eastAsia="Times New Roman" w:hAnsi="Times New Roman" w:cs="Times New Roman"/>
          <w:sz w:val="24"/>
          <w:szCs w:val="24"/>
          <w:vertAlign w:val="superscript"/>
          <w:lang w:eastAsia="pl-PL"/>
        </w:rPr>
        <w:footnoteReference w:id="3"/>
      </w:r>
      <w:r w:rsidR="00FB2B55" w:rsidRPr="00FB2B55">
        <w:rPr>
          <w:rFonts w:ascii="Times New Roman" w:eastAsia="Times New Roman" w:hAnsi="Times New Roman" w:cs="Times New Roman"/>
          <w:sz w:val="24"/>
          <w:szCs w:val="24"/>
          <w:vertAlign w:val="superscript"/>
          <w:lang w:eastAsia="pl-PL"/>
        </w:rPr>
        <w:t>)</w:t>
      </w:r>
      <w:r w:rsidRPr="00D440D4">
        <w:rPr>
          <w:rFonts w:ascii="Times New Roman" w:eastAsia="Times New Roman" w:hAnsi="Times New Roman" w:cs="Times New Roman"/>
          <w:sz w:val="24"/>
          <w:szCs w:val="24"/>
          <w:lang w:eastAsia="pl-PL"/>
        </w:rPr>
        <w:t>. Skutki wyroku TSUE w</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sprawie </w:t>
      </w:r>
      <w:r w:rsidRPr="00D440D4">
        <w:rPr>
          <w:rFonts w:ascii="Times New Roman" w:eastAsia="Times New Roman" w:hAnsi="Times New Roman" w:cs="Times New Roman"/>
          <w:i/>
          <w:iCs/>
          <w:sz w:val="24"/>
          <w:szCs w:val="24"/>
          <w:lang w:eastAsia="pl-PL"/>
        </w:rPr>
        <w:t>Komstroy</w:t>
      </w:r>
      <w:r w:rsidRPr="00D440D4">
        <w:rPr>
          <w:rFonts w:ascii="Times New Roman" w:eastAsia="Times New Roman" w:hAnsi="Times New Roman" w:cs="Times New Roman"/>
          <w:sz w:val="24"/>
          <w:szCs w:val="24"/>
          <w:lang w:eastAsia="pl-PL"/>
        </w:rPr>
        <w:t xml:space="preserve"> należy interpretować w ten sposób, że </w:t>
      </w:r>
      <w:r w:rsidR="006425DB" w:rsidRPr="00D440D4">
        <w:rPr>
          <w:rFonts w:ascii="Times New Roman" w:eastAsia="Times New Roman" w:hAnsi="Times New Roman" w:cs="Times New Roman"/>
          <w:sz w:val="24"/>
          <w:szCs w:val="24"/>
          <w:lang w:eastAsia="pl-PL"/>
        </w:rPr>
        <w:t xml:space="preserve">Artykuł </w:t>
      </w:r>
      <w:r w:rsidRPr="00D440D4">
        <w:rPr>
          <w:rFonts w:ascii="Times New Roman" w:eastAsia="Times New Roman" w:hAnsi="Times New Roman" w:cs="Times New Roman"/>
          <w:sz w:val="24"/>
          <w:szCs w:val="24"/>
          <w:lang w:eastAsia="pl-PL"/>
        </w:rPr>
        <w:t>26 TKE nie ma zastosowania do tego rodzaju sporów. Trybunały arbitrażowe rozstrzygające spory na</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podstawie Artykułu 26 TKE konsekwentnie uznają swoją jurysdykcję w sporach wewnątrzunijnych. Wyjątkiem była sprawa arbitrażowa prowadzona przed Instytutem Arbitrażowym przy Sztokholmskiej Izbie Handlowej w sprawie nr V (2016/135) Green Power Partners K/S SCE Solar Don Benito APS przeciwko Królestwu Hiszpanii, gdzie sąd arbitrażowy uznał wówczas rozstrzygnięcie TSUE. W swoim orzecznictwie wskazują one ponadto, że nie są zobligowane stosować się</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do</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wyroków Trybunału w sprawach </w:t>
      </w:r>
      <w:r w:rsidRPr="00D440D4">
        <w:rPr>
          <w:rFonts w:ascii="Times New Roman" w:eastAsia="Times New Roman" w:hAnsi="Times New Roman" w:cs="Times New Roman"/>
          <w:i/>
          <w:sz w:val="24"/>
          <w:szCs w:val="24"/>
          <w:lang w:eastAsia="pl-PL"/>
        </w:rPr>
        <w:t>Achmea</w:t>
      </w:r>
      <w:r w:rsidRPr="00D440D4">
        <w:rPr>
          <w:rFonts w:ascii="Times New Roman" w:eastAsia="Times New Roman" w:hAnsi="Times New Roman" w:cs="Times New Roman"/>
          <w:sz w:val="24"/>
          <w:szCs w:val="24"/>
          <w:lang w:eastAsia="pl-PL"/>
        </w:rPr>
        <w:t xml:space="preserve"> i</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i/>
          <w:sz w:val="24"/>
          <w:szCs w:val="24"/>
          <w:lang w:eastAsia="pl-PL"/>
        </w:rPr>
        <w:t>Komstroy</w:t>
      </w:r>
      <w:r w:rsidRPr="00D440D4">
        <w:rPr>
          <w:rFonts w:ascii="Times New Roman" w:eastAsia="Times New Roman" w:hAnsi="Times New Roman" w:cs="Times New Roman"/>
          <w:sz w:val="24"/>
          <w:szCs w:val="24"/>
          <w:lang w:eastAsia="pl-PL"/>
        </w:rPr>
        <w:t>. Orzeczenia trybunałów arbitrażowych co do zasady nie podlegają kontroli sądów państw członkowskich UE. Tym samym dalsze związanie R</w:t>
      </w:r>
      <w:r w:rsidR="006425DB"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xml:space="preserve"> Traktatem, mając na względzie fakt, że Artykuł 26 tego Traktatu jest powszechnie wykorzystywany do sporów wewnątrzunijnych, w tym przeciwko RP, będzie skutkować naruszeniami prawa UE. </w:t>
      </w:r>
      <w:r w:rsidRPr="00D440D4">
        <w:rPr>
          <w:rFonts w:ascii="Times New Roman" w:eastAsia="Times New Roman" w:hAnsi="Times New Roman" w:cs="Times New Roman"/>
          <w:sz w:val="24"/>
          <w:szCs w:val="24"/>
          <w:lang w:eastAsia="pl-PL"/>
        </w:rPr>
        <w:lastRenderedPageBreak/>
        <w:t>W</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takich przypadkach będzie bowiem dochodziło do</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wydawania kolejnych wyroków trybunałów arbitrażowych naruszających zasadę autonomii prawa UE w sporach między inwestorami z państw członkowskich UE a innymi państwami członkowskimi UE. W</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rezultacie efektywną ścieżką zapewnienia zgodności Artykułu 26 TKE z prawem UE jest</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zmiana tego Traktatu wyłączająca </w:t>
      </w:r>
      <w:r w:rsidRPr="00D440D4">
        <w:rPr>
          <w:rFonts w:ascii="Times New Roman" w:eastAsia="Times New Roman" w:hAnsi="Times New Roman" w:cs="Times New Roman"/>
          <w:i/>
          <w:iCs/>
          <w:sz w:val="24"/>
          <w:szCs w:val="24"/>
          <w:lang w:eastAsia="pl-PL"/>
        </w:rPr>
        <w:t xml:space="preserve">expressis verbis </w:t>
      </w:r>
      <w:r w:rsidRPr="00D440D4">
        <w:rPr>
          <w:rFonts w:ascii="Times New Roman" w:eastAsia="Times New Roman" w:hAnsi="Times New Roman" w:cs="Times New Roman"/>
          <w:sz w:val="24"/>
          <w:szCs w:val="24"/>
          <w:lang w:eastAsia="pl-PL"/>
        </w:rPr>
        <w:t>wewnątrzunijną klauzulę arbitrażową TKE lub wystąpienie z Traktatu przez RP (na podstawie Artykułu 47 TKE).</w:t>
      </w:r>
    </w:p>
    <w:p w14:paraId="56B7E82B" w14:textId="2D4593E8" w:rsidR="00575EA3" w:rsidRPr="00D440D4" w:rsidRDefault="00575EA3" w:rsidP="00D440D4">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Trwające obecnie już kilka lat negocjacje w sprawie zmiany TKE (tzw. proces modernizacji), w których UE jest reprezentowana przez KE, nie pozwalają oczekiwać zmian w Traktacie, które</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umożliwiłyby naprawienie ww. braku zgodności wewnątrzunijnego stosowania klauzuli arbitrażowej TKE z prawem UE. Mandat negocjacyjny dla KE nie obejmuje bowiem kwestii zawarcia w zmodyfikowanym Traktacie klauzuli wyłączającej wewnątrzunijne stosowanie Artykułu 26 TKE. Jednocześnie dotychczasowe orzecznictwo trybunałów arbitrażowych wskazuje, że potencjalne, inne niż zmiana TKE</w:t>
      </w:r>
      <w:r w:rsidR="00B0692D"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rozwiązania prawne</w:t>
      </w:r>
      <w:r w:rsidR="00EA502E">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takie jak przyjęcie przez</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państwa członkowskie UE oraz UE deklaracji interpretacyjnej lub zawarcie przez</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państwa członkowskie UE tzw. umowy </w:t>
      </w:r>
      <w:r w:rsidRPr="00D440D4">
        <w:rPr>
          <w:rFonts w:ascii="Times New Roman" w:eastAsia="Times New Roman" w:hAnsi="Times New Roman" w:cs="Times New Roman"/>
          <w:i/>
          <w:iCs/>
          <w:sz w:val="24"/>
          <w:szCs w:val="24"/>
          <w:lang w:eastAsia="pl-PL"/>
        </w:rPr>
        <w:t>inter se</w:t>
      </w:r>
      <w:r w:rsidRPr="00D440D4">
        <w:rPr>
          <w:rFonts w:ascii="Times New Roman" w:eastAsia="Times New Roman" w:hAnsi="Times New Roman" w:cs="Times New Roman"/>
          <w:sz w:val="24"/>
          <w:szCs w:val="24"/>
          <w:lang w:eastAsia="pl-PL"/>
        </w:rPr>
        <w:t xml:space="preserve"> wyłączającej w relacjach wewnątrzunijnych możliwość sporów arbitrażowych pomiędzy inwestorem a państwem, najprawdopodobniej nie zostaną uznane przez trybunały arbitrażowe za wystarczające do</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wyłączenia stosowania Artykułu 26 TKE w relacjach wewnątrzunijnych. Należy również wskazać, że nawet w przypadku osiągnięcia porozumienia w sprawie modernizacji uwzględniającego częściowo oczekiwania R</w:t>
      </w:r>
      <w:r w:rsidR="006425DB"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proces ratyfikacji zmian w TKE zająłby długie lata, zważywszy na liczbę państw będących stronami tego Traktatu.</w:t>
      </w:r>
    </w:p>
    <w:p w14:paraId="68528C7D" w14:textId="433DD2D3" w:rsidR="00575EA3" w:rsidRPr="00D440D4" w:rsidRDefault="00575EA3" w:rsidP="00D440D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Jak wskazano powyżej, zgodnie z Artykułem 47 ust</w:t>
      </w:r>
      <w:r w:rsidR="006425DB"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3 TKE p</w:t>
      </w:r>
      <w:r w:rsidRPr="00D440D4">
        <w:rPr>
          <w:rFonts w:ascii="Times New Roman" w:eastAsia="Times New Roman" w:hAnsi="Times New Roman" w:cs="Times New Roman"/>
          <w:color w:val="212529"/>
          <w:sz w:val="24"/>
          <w:szCs w:val="24"/>
          <w:shd w:val="clear" w:color="auto" w:fill="FFFFFF"/>
          <w:lang w:eastAsia="pl-PL"/>
        </w:rPr>
        <w:t>ostanowienia Traktatu będą miały nadal zastosowanie do inwestycji dokonanych na obszarze RP przez inwestorów innych Umawiających się Stron lub na obszarze innych Umawiający</w:t>
      </w:r>
      <w:r w:rsidR="00FB2B55">
        <w:rPr>
          <w:rFonts w:ascii="Times New Roman" w:eastAsia="Times New Roman" w:hAnsi="Times New Roman" w:cs="Times New Roman"/>
          <w:color w:val="212529"/>
          <w:sz w:val="24"/>
          <w:szCs w:val="24"/>
          <w:shd w:val="clear" w:color="auto" w:fill="FFFFFF"/>
          <w:lang w:eastAsia="pl-PL"/>
        </w:rPr>
        <w:t>ch się Stron przez inwestorów z </w:t>
      </w:r>
      <w:r w:rsidRPr="00D440D4">
        <w:rPr>
          <w:rFonts w:ascii="Times New Roman" w:eastAsia="Times New Roman" w:hAnsi="Times New Roman" w:cs="Times New Roman"/>
          <w:color w:val="212529"/>
          <w:sz w:val="24"/>
          <w:szCs w:val="24"/>
          <w:shd w:val="clear" w:color="auto" w:fill="FFFFFF"/>
          <w:lang w:eastAsia="pl-PL"/>
        </w:rPr>
        <w:t xml:space="preserve">RP, przez okres dwudziestu lat od dnia, kiedy wystąpienie RP z TKE nabierze mocy. </w:t>
      </w:r>
      <w:r w:rsidRPr="00D440D4">
        <w:rPr>
          <w:rFonts w:ascii="Times New Roman" w:eastAsia="Times New Roman" w:hAnsi="Times New Roman" w:cs="Times New Roman"/>
          <w:sz w:val="24"/>
          <w:szCs w:val="24"/>
          <w:lang w:eastAsia="pl-PL"/>
        </w:rPr>
        <w:t>Tym</w:t>
      </w:r>
      <w:r w:rsidR="002D4B5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samym inwestorzy nie będą mieli podstawy prawnej do podn</w:t>
      </w:r>
      <w:r w:rsidR="00FB2B55">
        <w:rPr>
          <w:rFonts w:ascii="Times New Roman" w:eastAsia="Times New Roman" w:hAnsi="Times New Roman" w:cs="Times New Roman"/>
          <w:sz w:val="24"/>
          <w:szCs w:val="24"/>
          <w:lang w:eastAsia="pl-PL"/>
        </w:rPr>
        <w:t>oszenia roszczeń przeciwko RP w </w:t>
      </w:r>
      <w:r w:rsidRPr="00D440D4">
        <w:rPr>
          <w:rFonts w:ascii="Times New Roman" w:eastAsia="Times New Roman" w:hAnsi="Times New Roman" w:cs="Times New Roman"/>
          <w:sz w:val="24"/>
          <w:szCs w:val="24"/>
          <w:lang w:eastAsia="pl-PL"/>
        </w:rPr>
        <w:t xml:space="preserve">odniesieniu do nowych inwestycji. </w:t>
      </w:r>
    </w:p>
    <w:p w14:paraId="41E49391" w14:textId="77777777"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78FDFAB0" w14:textId="5E47E250"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Należy również dodać, że RP była dotychczas wielokrotnie pozywana w międzynarodowym arbitrażu inwestycyjnym na podstawie TKE. Niezależnie od oddalenia roszczeń inwestorów w</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rozstrzygniętych dotychczas sporach Rzeczpospolita Polska ponosi wysokie koszty postępowań arbitrażowych: zaliczki na koszty postępowania (w tym wynagrodzenie arbitrów), opinie biegłych, zorganizowanie rozpraw, tłumaczenia, udział świadków </w:t>
      </w:r>
      <w:r w:rsidRPr="00D440D4">
        <w:rPr>
          <w:rFonts w:ascii="Times New Roman" w:eastAsia="Times New Roman" w:hAnsi="Times New Roman" w:cs="Times New Roman"/>
          <w:sz w:val="24"/>
          <w:szCs w:val="24"/>
          <w:lang w:eastAsia="pl-PL"/>
        </w:rPr>
        <w:lastRenderedPageBreak/>
        <w:t>oraz</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koszty zastępstwa procesowego. Wystąpienie RP z TKE może więc potencjalnie istotnie zmniejszyć obciążenie państwa pod względem finansowym, ponieważ nie będzie zachodzić konieczność ponoszenia znaczących kosztów, związanych z rozstrzyganiem sporów w</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oparciu o ten Traktat. Żaden polski inwestor nie wszczął dotychczas postępowania na</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podstawie TKE. Analizy Ministerstwa Klimatu i Środowiska oraz Ministerstwa Aktywów Państwowych wskazują na</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brak zainteresowania polskich podmiotów gospodarczych ochroną traktatową oferowaną przez TKE. </w:t>
      </w:r>
    </w:p>
    <w:p w14:paraId="42872A0C" w14:textId="77777777"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5664EECB" w14:textId="44245B02"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Trzeba ponadto zwrócić uwagę, że w odniesieniu do przewidywanych w TKE kompetencji trybunałów arbitrażowych do stwierdzania naruszeń obowiązków sformułowanych w części III</w:t>
      </w:r>
      <w:r w:rsidR="004235DF">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TKE Traktat – inaczej niż nowoczesne umowy inwestycyjne</w:t>
      </w:r>
      <w:r w:rsidR="006425DB"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takie jak Kompleksowa Umowa Gospodarczo-Handlowa UE-Kanada (CETA) – nie stanowi, że jego postanowienia nie</w:t>
      </w:r>
      <w:r w:rsidR="004235DF">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mogą być interpretowane jako uniemożliwiające stronie wprowadzenie i stosowanie środków niezbędnych do ochrony bezpieczeństwa publicznego lub moralności publicznej, utrzymania porządku publicznego, ochrony zdrowia i życia ludzi, zwierząt lub roślin, pod</w:t>
      </w:r>
      <w:r w:rsidR="004235DF">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warunkiem, że</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środki takie nie są stosowane w sposób, który stanowiłby narzędzie służące arbitralnej lub</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nieuzasadnionej dyskryminacji między stronami, na których terytorium panują podobne warunki, lub ukrytego ograniczenia w wymianie handlowej między stronami. </w:t>
      </w:r>
    </w:p>
    <w:p w14:paraId="065D30BC" w14:textId="77777777" w:rsidR="001F4805" w:rsidRPr="00D440D4" w:rsidRDefault="001F4805"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7929B2D1" w14:textId="7366F56F" w:rsidR="00575EA3" w:rsidRPr="00D440D4" w:rsidRDefault="00575EA3" w:rsidP="00D440D4">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Wynika stąd, że trybunał arbitrażowy rozstrzygający spór na podstawie TKE nie jest związany zasadą poszanowania prawa państwa do regulacji. Kompetencja trybunału arbitrażowego do</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stwierdzania naruszeń obowiązku, o którym mowa w Artykule 10 ust</w:t>
      </w:r>
      <w:r w:rsidR="006425DB"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1 TKE, polegającego na przyznawaniu „uczciwego i równego traktowania” (</w:t>
      </w:r>
      <w:r w:rsidRPr="00D440D4">
        <w:rPr>
          <w:rFonts w:ascii="Times New Roman" w:eastAsia="Times New Roman" w:hAnsi="Times New Roman" w:cs="Times New Roman"/>
          <w:i/>
          <w:iCs/>
          <w:sz w:val="24"/>
          <w:szCs w:val="24"/>
          <w:lang w:eastAsia="pl-PL"/>
        </w:rPr>
        <w:t>fair and equitable treatment</w:t>
      </w:r>
      <w:r w:rsidRPr="00D440D4">
        <w:rPr>
          <w:rFonts w:ascii="Times New Roman" w:eastAsia="Times New Roman" w:hAnsi="Times New Roman" w:cs="Times New Roman"/>
          <w:sz w:val="24"/>
          <w:szCs w:val="24"/>
          <w:lang w:eastAsia="pl-PL"/>
        </w:rPr>
        <w:t>) inwestycjom, do których stosuje się umowa, nie została w żaden sposób ograniczona lub</w:t>
      </w:r>
      <w:r w:rsidR="004235DF">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dookreślona, ponieważ TKE – inaczej niż nowoczesne umowy inwestycyjne takie jak</w:t>
      </w:r>
      <w:r w:rsidR="004235DF">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CETA – nie zawiera legalnej definicji tego pojęcia. Brak doprecyzowania treści podstawowego standardu ochrony inwestycji skutkuje niskim stopniem przewidywalności rozstrzygnięć trybunałów arbitrażowych. W konsekwencji standard ten może wywierać tzw.</w:t>
      </w:r>
      <w:r w:rsidR="004235DF">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„efekt mrożący” w zakresie działań państwa mających na celu ochronę interesu publicznego.</w:t>
      </w:r>
    </w:p>
    <w:p w14:paraId="4FBDEA4B" w14:textId="311F11C1" w:rsidR="00575EA3" w:rsidRPr="00D440D4" w:rsidRDefault="00575EA3" w:rsidP="00D440D4">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 xml:space="preserve">Warto w tym miejscu dodać, że praktyka działania trybunałów arbitrażowych na podstawie TKE dała asumpt do wielu krytycznych ocen, które zasadniczo sprowadzają się do nazbyt szerokiego ujmowania przesłanek odpowiedzialności odszkodowawczej państwa (a zarazem </w:t>
      </w:r>
      <w:r w:rsidRPr="00D440D4">
        <w:rPr>
          <w:rFonts w:ascii="Times New Roman" w:eastAsia="Times New Roman" w:hAnsi="Times New Roman" w:cs="Times New Roman"/>
          <w:sz w:val="24"/>
          <w:szCs w:val="24"/>
          <w:lang w:eastAsia="pl-PL"/>
        </w:rPr>
        <w:lastRenderedPageBreak/>
        <w:t>ograniczenia jego swobody regulacyjnej, w tym w tak ważnych społecznie dziedzinach jak</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ochrona środowiska, ochrona konkurencji i konsumentów, czy prawo pracy), braku przejrzystości postępowania arbitrażowego dla opinii publicznej i jego znaczących kosztów dla</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stron.</w:t>
      </w:r>
    </w:p>
    <w:p w14:paraId="43D22E84" w14:textId="77777777"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 xml:space="preserve">W związku z powyższym najbardziej optymalnym wariantem procedowania, aby usunąć niezgodność praktyki stosowania TKE z prawem unijnym oraz wyżej zaznaczone ryzyka regulacyjne i społeczne, jest wyjście RP z Traktatu. </w:t>
      </w:r>
    </w:p>
    <w:p w14:paraId="714F4DAD" w14:textId="77777777"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0A63C9E1" w14:textId="77777777" w:rsidR="00575EA3" w:rsidRPr="00D440D4" w:rsidRDefault="00575EA3" w:rsidP="00D440D4">
      <w:pPr>
        <w:autoSpaceDE w:val="0"/>
        <w:autoSpaceDN w:val="0"/>
        <w:adjustRightInd w:val="0"/>
        <w:spacing w:after="0" w:line="360" w:lineRule="auto"/>
        <w:rPr>
          <w:rFonts w:ascii="Times New Roman" w:eastAsia="Times New Roman" w:hAnsi="Times New Roman" w:cs="Times New Roman"/>
          <w:b/>
          <w:bCs/>
          <w:sz w:val="24"/>
          <w:szCs w:val="24"/>
          <w:lang w:eastAsia="pl-PL"/>
        </w:rPr>
      </w:pPr>
      <w:r w:rsidRPr="00D440D4">
        <w:rPr>
          <w:rFonts w:ascii="Times New Roman" w:eastAsia="Times New Roman" w:hAnsi="Times New Roman" w:cs="Times New Roman"/>
          <w:b/>
          <w:bCs/>
          <w:sz w:val="24"/>
          <w:szCs w:val="24"/>
          <w:lang w:eastAsia="pl-PL"/>
        </w:rPr>
        <w:t>2. Różnice między dotychczasowym a projektowanym stanem prawnym</w:t>
      </w:r>
    </w:p>
    <w:p w14:paraId="31448319" w14:textId="77777777"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2C661F10" w14:textId="4FE29FB4" w:rsidR="00575EA3" w:rsidRPr="00D440D4" w:rsidRDefault="00575EA3" w:rsidP="00D440D4">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W wyniku wypowiedzenia TKE inwestorzy zagraniczni z państw będących jej stronami nie</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będą mogli składać przeciwko R</w:t>
      </w:r>
      <w:r w:rsidR="006425DB"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xml:space="preserve"> do trybunałów arbitrażowych skarg odnośnie do</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inwestycji dokonanych po wypowiedzeniu. Będą mogli natomiast składać skargi do sądów krajowych oraz w niektórych sytuacjach do sądów międzynarodowych (np. Europejski Trybunał Praw Człowieka – ETPC)</w:t>
      </w:r>
      <w:r w:rsidR="006425DB"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jak również do niektórych organów traktatowych Organizacji Narodów Zjednoczonych w zakresie międzynarodowego prawa praw człowieka. Te zasady ochrony inwestycji będą mieć odpowiednie zastosowanie do ewentualnych hipotetycznych inwestycji inwestorów polskich w państwach trzecich. Wypowiedzenie nie</w:t>
      </w:r>
      <w:r w:rsidR="004235DF">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zamyka jednak drogi do zawarcia w konkretnej umowie z konkretnym inwestorem precyzyjnego i zgodnego z prawem U</w:t>
      </w:r>
      <w:r w:rsidR="006425DB" w:rsidRPr="00D440D4">
        <w:rPr>
          <w:rFonts w:ascii="Times New Roman" w:eastAsia="Times New Roman" w:hAnsi="Times New Roman" w:cs="Times New Roman"/>
          <w:sz w:val="24"/>
          <w:szCs w:val="24"/>
          <w:lang w:eastAsia="pl-PL"/>
        </w:rPr>
        <w:t>E</w:t>
      </w:r>
      <w:r w:rsidRPr="00D440D4">
        <w:rPr>
          <w:rFonts w:ascii="Times New Roman" w:eastAsia="Times New Roman" w:hAnsi="Times New Roman" w:cs="Times New Roman"/>
          <w:sz w:val="24"/>
          <w:szCs w:val="24"/>
          <w:lang w:eastAsia="pl-PL"/>
        </w:rPr>
        <w:t xml:space="preserve"> i Konstytucją RP zapisu na arbitraż. Odnośnie do</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inwestycji dokonanych przed wypowiedzeniem TKE inwestorzy będą mogli składać skargi do trybunałów arbitrażowych przez okres dwudziestu lat od dnia, kiedy wypowiedzenie nabierze mocy</w:t>
      </w:r>
      <w:r w:rsidR="006425DB" w:rsidRPr="00D440D4">
        <w:rPr>
          <w:rFonts w:ascii="Times New Roman" w:eastAsia="Times New Roman" w:hAnsi="Times New Roman" w:cs="Times New Roman"/>
          <w:sz w:val="24"/>
          <w:szCs w:val="24"/>
          <w:lang w:eastAsia="pl-PL"/>
        </w:rPr>
        <w:t xml:space="preserve"> prawnej</w:t>
      </w:r>
      <w:r w:rsidRPr="00D440D4">
        <w:rPr>
          <w:rFonts w:ascii="Times New Roman" w:eastAsia="Times New Roman" w:hAnsi="Times New Roman" w:cs="Times New Roman"/>
          <w:sz w:val="24"/>
          <w:szCs w:val="24"/>
          <w:lang w:eastAsia="pl-PL"/>
        </w:rPr>
        <w:t>.</w:t>
      </w:r>
    </w:p>
    <w:p w14:paraId="64C27F81" w14:textId="22CF1865" w:rsidR="00575EA3" w:rsidRPr="00D440D4" w:rsidRDefault="00575EA3" w:rsidP="00D440D4">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Możliwość ta nie dotyczy jednak inwestorów unijnych, ponieważ zgodnie z regułami Konwencji wiedeńskiej o prawie traktatów, sporządzonej w Wiedniu dnia 23 maja 1969 r.</w:t>
      </w:r>
      <w:r w:rsidR="00E8654A">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oraz</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międzynarodowym prawem zwyczajowym klauzula arbitrażowa zawarta w Artykule 26</w:t>
      </w:r>
      <w:r w:rsidR="003173E3">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TKE, który jest traktatem wcześniejszym, nie może być stosowana od dnia 1 maja 2004 r., to jest od dnia przystąpienia R</w:t>
      </w:r>
      <w:r w:rsidR="006425DB"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xml:space="preserve"> do U</w:t>
      </w:r>
      <w:r w:rsidR="006425DB" w:rsidRPr="00D440D4">
        <w:rPr>
          <w:rFonts w:ascii="Times New Roman" w:eastAsia="Times New Roman" w:hAnsi="Times New Roman" w:cs="Times New Roman"/>
          <w:sz w:val="24"/>
          <w:szCs w:val="24"/>
          <w:lang w:eastAsia="pl-PL"/>
        </w:rPr>
        <w:t>E</w:t>
      </w:r>
      <w:r w:rsidRPr="00D440D4">
        <w:rPr>
          <w:rFonts w:ascii="Times New Roman" w:eastAsia="Times New Roman" w:hAnsi="Times New Roman" w:cs="Times New Roman"/>
          <w:sz w:val="24"/>
          <w:szCs w:val="24"/>
          <w:lang w:eastAsia="pl-PL"/>
        </w:rPr>
        <w:t>, ponieważ nie jest zgodna z Traktatem o</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funkcjonowaniu Unii Europejskiej, który jest traktatem późniejszym. Brak zgodności klauzuli arbitrażowej zawartej w TKE z Traktatem o funkcjonowaniu Unii Europejskiej został potwierdzony w</w:t>
      </w:r>
      <w:r w:rsidR="00235E5E">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wyroku </w:t>
      </w:r>
      <w:r w:rsidR="006425DB" w:rsidRPr="00D440D4">
        <w:rPr>
          <w:rFonts w:ascii="Times New Roman" w:eastAsia="Times New Roman" w:hAnsi="Times New Roman" w:cs="Times New Roman"/>
          <w:sz w:val="24"/>
          <w:szCs w:val="24"/>
          <w:lang w:eastAsia="pl-PL"/>
        </w:rPr>
        <w:t xml:space="preserve">TSUE </w:t>
      </w:r>
      <w:r w:rsidRPr="00D440D4">
        <w:rPr>
          <w:rFonts w:ascii="Times New Roman" w:eastAsia="Times New Roman" w:hAnsi="Times New Roman" w:cs="Times New Roman"/>
          <w:sz w:val="24"/>
          <w:szCs w:val="24"/>
          <w:lang w:eastAsia="pl-PL"/>
        </w:rPr>
        <w:t xml:space="preserve">z dnia 2 września 2021 r. w sprawie </w:t>
      </w:r>
      <w:r w:rsidRPr="00D440D4">
        <w:rPr>
          <w:rFonts w:ascii="Times New Roman" w:eastAsia="Times New Roman" w:hAnsi="Times New Roman" w:cs="Times New Roman"/>
          <w:i/>
          <w:iCs/>
          <w:sz w:val="24"/>
          <w:szCs w:val="24"/>
          <w:lang w:eastAsia="pl-PL"/>
        </w:rPr>
        <w:t>Komstroy</w:t>
      </w:r>
      <w:r w:rsidRPr="00D440D4">
        <w:rPr>
          <w:rFonts w:ascii="Times New Roman" w:eastAsia="Times New Roman" w:hAnsi="Times New Roman" w:cs="Times New Roman"/>
          <w:sz w:val="24"/>
          <w:szCs w:val="24"/>
          <w:lang w:eastAsia="pl-PL"/>
        </w:rPr>
        <w:t>. W świetle powyższego trybunały arbitrażowe</w:t>
      </w:r>
      <w:r w:rsidR="00B0692D"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ustanowione na podstawie TKE</w:t>
      </w:r>
      <w:r w:rsidR="00B0692D"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nie posiadają jurysdykcji do</w:t>
      </w:r>
      <w:r w:rsidR="00235E5E">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rozpoznawania sporów wewnątrzunijnych z uwagi na brak ważnej zgody na arbitraż.</w:t>
      </w:r>
    </w:p>
    <w:p w14:paraId="14A257C6" w14:textId="0AF6FDBD"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lastRenderedPageBreak/>
        <w:t>Jednocześnie RP dołączy do dokumentu wypowiedzenia deklarację o powyższej treści (projekt</w:t>
      </w:r>
      <w:r w:rsidR="00235E5E">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treści deklaracji stanowi</w:t>
      </w:r>
      <w:r w:rsidR="00937FD2" w:rsidRPr="00D440D4">
        <w:rPr>
          <w:rFonts w:ascii="Times New Roman" w:eastAsia="Times New Roman" w:hAnsi="Times New Roman" w:cs="Times New Roman"/>
          <w:sz w:val="24"/>
          <w:szCs w:val="24"/>
          <w:lang w:eastAsia="pl-PL"/>
        </w:rPr>
        <w:t xml:space="preserve"> </w:t>
      </w:r>
      <w:r w:rsidRPr="00D440D4">
        <w:rPr>
          <w:rFonts w:ascii="Times New Roman" w:eastAsia="Times New Roman" w:hAnsi="Times New Roman" w:cs="Times New Roman"/>
          <w:sz w:val="24"/>
          <w:szCs w:val="24"/>
          <w:lang w:eastAsia="pl-PL"/>
        </w:rPr>
        <w:t>załącznik nr 2).</w:t>
      </w:r>
    </w:p>
    <w:p w14:paraId="330E0D97" w14:textId="77777777"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3D2C1859" w14:textId="77777777" w:rsidR="00575EA3" w:rsidRPr="00D440D4" w:rsidRDefault="00575EA3" w:rsidP="00235E5E">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b/>
          <w:bCs/>
          <w:sz w:val="24"/>
          <w:szCs w:val="24"/>
          <w:lang w:eastAsia="pl-PL"/>
        </w:rPr>
        <w:t>3. Przewidywane skutki prawne, społeczne, gospodarcze, finansowe i polityczne wypowiedzenia Traktatu Karty Energetycznej</w:t>
      </w:r>
    </w:p>
    <w:p w14:paraId="5FAED48A" w14:textId="77777777" w:rsidR="00575EA3" w:rsidRPr="00D440D4" w:rsidRDefault="00575EA3" w:rsidP="00D440D4">
      <w:pPr>
        <w:autoSpaceDE w:val="0"/>
        <w:autoSpaceDN w:val="0"/>
        <w:adjustRightInd w:val="0"/>
        <w:spacing w:after="0" w:line="360" w:lineRule="auto"/>
        <w:rPr>
          <w:rFonts w:ascii="Times New Roman" w:eastAsia="Times New Roman" w:hAnsi="Times New Roman" w:cs="Times New Roman"/>
          <w:sz w:val="24"/>
          <w:szCs w:val="24"/>
          <w:lang w:eastAsia="pl-PL"/>
        </w:rPr>
      </w:pPr>
    </w:p>
    <w:p w14:paraId="511C938A" w14:textId="77777777"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We wszystkich wyżej wymienionych dziedzinach skutki wypowiedzenia TKE będą dla RP pozytywne.</w:t>
      </w:r>
    </w:p>
    <w:p w14:paraId="5054F411" w14:textId="77777777" w:rsidR="00575EA3" w:rsidRPr="00D440D4" w:rsidRDefault="00575EA3" w:rsidP="00D440D4">
      <w:pPr>
        <w:autoSpaceDE w:val="0"/>
        <w:autoSpaceDN w:val="0"/>
        <w:adjustRightInd w:val="0"/>
        <w:spacing w:before="120"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b/>
          <w:bCs/>
          <w:sz w:val="24"/>
          <w:szCs w:val="24"/>
          <w:lang w:eastAsia="pl-PL"/>
        </w:rPr>
        <w:t>Skutki prawne</w:t>
      </w:r>
    </w:p>
    <w:p w14:paraId="66240F55" w14:textId="65BE2CC0" w:rsidR="00575EA3" w:rsidRPr="00D440D4" w:rsidRDefault="00575EA3" w:rsidP="00D440D4">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Wypowiedzenie TKE nie spowoduje zmian w materialnoprawnej sytuacji inwestorów zagranicznych. Nadal będą oni chronieni przez mające zastosowanie przepisy Konstytucji RP (art. 32, art. 45, art. 64), prawa międzynarodowego (Artykuły 6 i 14 Konwencji o Ochronie Praw Człowieka i Podstawowych Wolności</w:t>
      </w:r>
      <w:r w:rsidR="00937FD2"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sporządzonej w Rzymie dnia 4 listopada 1950 r., zmienionej następnie Protokołami nr 3, 5 i 8 oraz uzupełnionej Protokołem nr 2</w:t>
      </w:r>
      <w:r w:rsidRPr="00D440D4">
        <w:rPr>
          <w:rFonts w:ascii="Times New Roman" w:eastAsia="Times New Roman" w:hAnsi="Times New Roman" w:cs="Times New Roman"/>
          <w:sz w:val="24"/>
          <w:szCs w:val="24"/>
          <w:vertAlign w:val="superscript"/>
          <w:lang w:eastAsia="pl-PL"/>
        </w:rPr>
        <w:footnoteReference w:id="4"/>
      </w:r>
      <w:r w:rsidR="00FB2B55" w:rsidRPr="00FB2B55">
        <w:rPr>
          <w:rFonts w:ascii="Times New Roman" w:eastAsia="Times New Roman" w:hAnsi="Times New Roman" w:cs="Times New Roman"/>
          <w:sz w:val="24"/>
          <w:szCs w:val="24"/>
          <w:vertAlign w:val="superscript"/>
          <w:lang w:eastAsia="pl-PL"/>
        </w:rPr>
        <w:t>)</w:t>
      </w:r>
      <w:r w:rsidRPr="00D440D4">
        <w:rPr>
          <w:rFonts w:ascii="Times New Roman" w:eastAsia="Times New Roman" w:hAnsi="Times New Roman" w:cs="Times New Roman"/>
          <w:sz w:val="24"/>
          <w:szCs w:val="24"/>
          <w:lang w:eastAsia="pl-PL"/>
        </w:rPr>
        <w:t>, zwanej dalej „EKPCz”, Artykuł 1 Protokołu Nr 1 i Nr 4 do Konwen</w:t>
      </w:r>
      <w:r w:rsidR="00FB2B55">
        <w:rPr>
          <w:rFonts w:ascii="Times New Roman" w:eastAsia="Times New Roman" w:hAnsi="Times New Roman" w:cs="Times New Roman"/>
          <w:sz w:val="24"/>
          <w:szCs w:val="24"/>
          <w:lang w:eastAsia="pl-PL"/>
        </w:rPr>
        <w:t>cji o Ochronie Praw Człowieka i </w:t>
      </w:r>
      <w:r w:rsidRPr="00D440D4">
        <w:rPr>
          <w:rFonts w:ascii="Times New Roman" w:eastAsia="Times New Roman" w:hAnsi="Times New Roman" w:cs="Times New Roman"/>
          <w:sz w:val="24"/>
          <w:szCs w:val="24"/>
          <w:lang w:eastAsia="pl-PL"/>
        </w:rPr>
        <w:t>Podstawowych Wolności, sporządzonego w Paryżu dnia 20 marca 1952 r. oraz</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sporządzonego w Strasburgu dnia 16 września 1963 r., Artykuły 2 i 14 Międzynarodowego Paktu Praw Obywatelskich i Politycznych, otwartego do podpisu w</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N</w:t>
      </w:r>
      <w:r w:rsidR="00FB2B55">
        <w:rPr>
          <w:rFonts w:ascii="Times New Roman" w:eastAsia="Times New Roman" w:hAnsi="Times New Roman" w:cs="Times New Roman"/>
          <w:sz w:val="24"/>
          <w:szCs w:val="24"/>
          <w:lang w:eastAsia="pl-PL"/>
        </w:rPr>
        <w:t>owym Jorku dnia 19 grudnia 1966 </w:t>
      </w:r>
      <w:r w:rsidRPr="00D440D4">
        <w:rPr>
          <w:rFonts w:ascii="Times New Roman" w:eastAsia="Times New Roman" w:hAnsi="Times New Roman" w:cs="Times New Roman"/>
          <w:sz w:val="24"/>
          <w:szCs w:val="24"/>
          <w:lang w:eastAsia="pl-PL"/>
        </w:rPr>
        <w:t>r.</w:t>
      </w:r>
      <w:r w:rsidRPr="00D440D4">
        <w:rPr>
          <w:rFonts w:ascii="Times New Roman" w:eastAsia="Times New Roman" w:hAnsi="Times New Roman" w:cs="Times New Roman"/>
          <w:sz w:val="24"/>
          <w:szCs w:val="24"/>
          <w:vertAlign w:val="superscript"/>
          <w:lang w:eastAsia="pl-PL"/>
        </w:rPr>
        <w:footnoteReference w:id="5"/>
      </w:r>
      <w:r w:rsidR="00FB2B55" w:rsidRPr="00FB2B55">
        <w:rPr>
          <w:rFonts w:ascii="Times New Roman" w:eastAsia="Times New Roman" w:hAnsi="Times New Roman" w:cs="Times New Roman"/>
          <w:sz w:val="24"/>
          <w:szCs w:val="24"/>
          <w:vertAlign w:val="superscript"/>
          <w:lang w:eastAsia="pl-PL"/>
        </w:rPr>
        <w:t>)</w:t>
      </w:r>
      <w:r w:rsidRPr="00D440D4">
        <w:rPr>
          <w:rFonts w:ascii="Times New Roman" w:eastAsia="Times New Roman" w:hAnsi="Times New Roman" w:cs="Times New Roman"/>
          <w:sz w:val="24"/>
          <w:szCs w:val="24"/>
          <w:lang w:eastAsia="pl-PL"/>
        </w:rPr>
        <w:t>) i prawa U</w:t>
      </w:r>
      <w:r w:rsidR="00937FD2" w:rsidRPr="00D440D4">
        <w:rPr>
          <w:rFonts w:ascii="Times New Roman" w:eastAsia="Times New Roman" w:hAnsi="Times New Roman" w:cs="Times New Roman"/>
          <w:sz w:val="24"/>
          <w:szCs w:val="24"/>
          <w:lang w:eastAsia="pl-PL"/>
        </w:rPr>
        <w:t>E</w:t>
      </w:r>
      <w:r w:rsidRPr="00D440D4">
        <w:rPr>
          <w:rFonts w:ascii="Times New Roman" w:eastAsia="Times New Roman" w:hAnsi="Times New Roman" w:cs="Times New Roman"/>
          <w:sz w:val="24"/>
          <w:szCs w:val="24"/>
          <w:lang w:eastAsia="pl-PL"/>
        </w:rPr>
        <w:t xml:space="preserve"> w stopniu nie mniejszym niż</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przepisami wypowiedzianej TKE. Wypowiedzenie zmieni sytuację prawną inwestorów jedynie w ten sposób, że swe prawa będą realizować przed sądami krajowymi, ETPC, organami traktatowymi ONZ w zakresie międzynarodowego prawa praw człowieka. Z uwagi na to, że orzeczenia ww. sądów i</w:t>
      </w:r>
      <w:r w:rsidR="00235E5E">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trybunałów w zakresie sporów inwestycyjnych są co do zasady znacznie bardziej przewidywalne niż orzeczenia trybunałów arbitrażowych – wypowiedzenie TKE pozytywnie wpłynie na pewność prawa w tym obszarze.</w:t>
      </w:r>
    </w:p>
    <w:p w14:paraId="106D23F2" w14:textId="32D1CA91" w:rsidR="00575EA3" w:rsidRPr="00D440D4" w:rsidRDefault="00575EA3" w:rsidP="00D440D4">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Nadrzędnym celem wystąpienia RP z TKE jest usunięcie</w:t>
      </w:r>
      <w:r w:rsidR="00FB2B55">
        <w:rPr>
          <w:rFonts w:ascii="Times New Roman" w:eastAsia="Times New Roman" w:hAnsi="Times New Roman" w:cs="Times New Roman"/>
          <w:sz w:val="24"/>
          <w:szCs w:val="24"/>
          <w:lang w:eastAsia="pl-PL"/>
        </w:rPr>
        <w:t xml:space="preserve"> niezgodności Artykułu 26 TKE z </w:t>
      </w:r>
      <w:r w:rsidRPr="00D440D4">
        <w:rPr>
          <w:rFonts w:ascii="Times New Roman" w:eastAsia="Times New Roman" w:hAnsi="Times New Roman" w:cs="Times New Roman"/>
          <w:sz w:val="24"/>
          <w:szCs w:val="24"/>
          <w:lang w:eastAsia="pl-PL"/>
        </w:rPr>
        <w:t>prawem UE. Zważywszy na brak realnych perspektyw wprowadzenia w przewidywalnej przyszłości zmian TKE wykluczających wprost możliwość prowadzenia sporów wewnątrzunijnych, przedmiotowa niezgodność z prawem UE może zostać skutecznie usunięta jedynie przez wypowiedzenie TKE przez RP. Należy w tym kontekście podkreślić, że</w:t>
      </w:r>
      <w:r w:rsidR="00235E5E">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jednostronne wyjście RP z TKE, podczas gdy UE pozostanie jej stroną, nie będzie </w:t>
      </w:r>
      <w:r w:rsidRPr="00D440D4">
        <w:rPr>
          <w:rFonts w:ascii="Times New Roman" w:eastAsia="Times New Roman" w:hAnsi="Times New Roman" w:cs="Times New Roman"/>
          <w:sz w:val="24"/>
          <w:szCs w:val="24"/>
          <w:lang w:eastAsia="pl-PL"/>
        </w:rPr>
        <w:lastRenderedPageBreak/>
        <w:t xml:space="preserve">stanowić precedensu. Precedens taki ustanowiła już Republika Włoska, która </w:t>
      </w:r>
      <w:r w:rsidR="00937FD2" w:rsidRPr="00D440D4">
        <w:rPr>
          <w:rFonts w:ascii="Times New Roman" w:eastAsia="Times New Roman" w:hAnsi="Times New Roman" w:cs="Times New Roman"/>
          <w:sz w:val="24"/>
          <w:szCs w:val="24"/>
          <w:lang w:eastAsia="pl-PL"/>
        </w:rPr>
        <w:t>wystąpiła</w:t>
      </w:r>
      <w:r w:rsidR="00FB2B55">
        <w:rPr>
          <w:rFonts w:ascii="Times New Roman" w:eastAsia="Times New Roman" w:hAnsi="Times New Roman" w:cs="Times New Roman"/>
          <w:sz w:val="24"/>
          <w:szCs w:val="24"/>
          <w:lang w:eastAsia="pl-PL"/>
        </w:rPr>
        <w:t xml:space="preserve"> z</w:t>
      </w:r>
      <w:r w:rsidR="00C014DA">
        <w:rPr>
          <w:rFonts w:ascii="Times New Roman" w:eastAsia="Times New Roman" w:hAnsi="Times New Roman" w:cs="Times New Roman"/>
          <w:sz w:val="24"/>
          <w:szCs w:val="24"/>
          <w:lang w:eastAsia="pl-PL"/>
        </w:rPr>
        <w:t> </w:t>
      </w:r>
      <w:r w:rsidR="00FB2B55">
        <w:rPr>
          <w:rFonts w:ascii="Times New Roman" w:eastAsia="Times New Roman" w:hAnsi="Times New Roman" w:cs="Times New Roman"/>
          <w:sz w:val="24"/>
          <w:szCs w:val="24"/>
          <w:lang w:eastAsia="pl-PL"/>
        </w:rPr>
        <w:t>TKE w 2016 </w:t>
      </w:r>
      <w:r w:rsidRPr="00D440D4">
        <w:rPr>
          <w:rFonts w:ascii="Times New Roman" w:eastAsia="Times New Roman" w:hAnsi="Times New Roman" w:cs="Times New Roman"/>
          <w:sz w:val="24"/>
          <w:szCs w:val="24"/>
          <w:lang w:eastAsia="pl-PL"/>
        </w:rPr>
        <w:t xml:space="preserve">r. Decyzja ta nie spotkała się z formalnym sprzeciwem ze strony instytucji UE i nie była przedmiotem żadnego postępowania przeciwko temu państwu przed instytucjami UE, w tym przed TSUE. Sam TSUE wskazał w Opinii 1/19, dotyczącej </w:t>
      </w:r>
      <w:r w:rsidR="00FB2B55">
        <w:rPr>
          <w:rFonts w:ascii="Times New Roman" w:eastAsia="Times New Roman" w:hAnsi="Times New Roman" w:cs="Times New Roman"/>
          <w:sz w:val="24"/>
          <w:szCs w:val="24"/>
          <w:lang w:eastAsia="pl-PL"/>
        </w:rPr>
        <w:t>Konwencji stambulskiej z dnia 6 </w:t>
      </w:r>
      <w:r w:rsidRPr="00D440D4">
        <w:rPr>
          <w:rFonts w:ascii="Times New Roman" w:eastAsia="Times New Roman" w:hAnsi="Times New Roman" w:cs="Times New Roman"/>
          <w:sz w:val="24"/>
          <w:szCs w:val="24"/>
          <w:lang w:eastAsia="pl-PL"/>
        </w:rPr>
        <w:t>października 2021 r., że Unia może zawrzeć umowę międzynarodową mieszaną w zakresie swoich kompetencji, nawet jeśli niektóre państwa członkowskie w ogóle nie zamierzają do niej przystępować (pkt 259</w:t>
      </w:r>
      <w:r w:rsidR="00FB2B55">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260 tej Opinii). Tym samym, jak ws</w:t>
      </w:r>
      <w:r w:rsidR="00FB2B55">
        <w:rPr>
          <w:rFonts w:ascii="Times New Roman" w:eastAsia="Times New Roman" w:hAnsi="Times New Roman" w:cs="Times New Roman"/>
          <w:sz w:val="24"/>
          <w:szCs w:val="24"/>
          <w:lang w:eastAsia="pl-PL"/>
        </w:rPr>
        <w:t>kazał rzecznik generalny TSUE w </w:t>
      </w:r>
      <w:r w:rsidRPr="00D440D4">
        <w:rPr>
          <w:rFonts w:ascii="Times New Roman" w:eastAsia="Times New Roman" w:hAnsi="Times New Roman" w:cs="Times New Roman"/>
          <w:sz w:val="24"/>
          <w:szCs w:val="24"/>
          <w:lang w:eastAsia="pl-PL"/>
        </w:rPr>
        <w:t xml:space="preserve">odniesieniu do przedmiotowej sprawy, „z zasady podziału </w:t>
      </w:r>
      <w:r w:rsidR="00FB2B55">
        <w:rPr>
          <w:rFonts w:ascii="Times New Roman" w:eastAsia="Times New Roman" w:hAnsi="Times New Roman" w:cs="Times New Roman"/>
          <w:sz w:val="24"/>
          <w:szCs w:val="24"/>
          <w:lang w:eastAsia="pl-PL"/>
        </w:rPr>
        <w:t>kompetencji w sposób logiczny i </w:t>
      </w:r>
      <w:r w:rsidRPr="00D440D4">
        <w:rPr>
          <w:rFonts w:ascii="Times New Roman" w:eastAsia="Times New Roman" w:hAnsi="Times New Roman" w:cs="Times New Roman"/>
          <w:sz w:val="24"/>
          <w:szCs w:val="24"/>
          <w:lang w:eastAsia="pl-PL"/>
        </w:rPr>
        <w:t>nieunikniony wynika, że państwo członkowskie może się</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wycofać z umowy mieszanej, o ile pewna część umowy wchodzi w zakres kompetencji państw” (Opinia Rzecznika Generalnego Hogana z dnia 11 marca 2021 r. w sprawie 1/19</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Konwencja Stambulska, pkt 204</w:t>
      </w:r>
      <w:r w:rsidRPr="00D440D4">
        <w:rPr>
          <w:rFonts w:ascii="Times New Roman" w:eastAsia="Times New Roman" w:hAnsi="Times New Roman" w:cs="Times New Roman"/>
          <w:sz w:val="24"/>
          <w:szCs w:val="24"/>
          <w:vertAlign w:val="superscript"/>
          <w:lang w:eastAsia="pl-PL"/>
        </w:rPr>
        <w:footnoteReference w:id="6"/>
      </w:r>
      <w:r w:rsidR="00FB2B55" w:rsidRPr="00FB2B55">
        <w:rPr>
          <w:rFonts w:ascii="Times New Roman" w:eastAsia="Times New Roman" w:hAnsi="Times New Roman" w:cs="Times New Roman"/>
          <w:sz w:val="24"/>
          <w:szCs w:val="24"/>
          <w:vertAlign w:val="superscript"/>
          <w:lang w:eastAsia="pl-PL"/>
        </w:rPr>
        <w:t>)</w:t>
      </w:r>
      <w:r w:rsidRPr="00D440D4">
        <w:rPr>
          <w:rFonts w:ascii="Times New Roman" w:eastAsia="Times New Roman" w:hAnsi="Times New Roman" w:cs="Times New Roman"/>
          <w:sz w:val="24"/>
          <w:szCs w:val="24"/>
          <w:lang w:eastAsia="pl-PL"/>
        </w:rPr>
        <w:t xml:space="preserve">). </w:t>
      </w:r>
    </w:p>
    <w:p w14:paraId="4608BC40" w14:textId="21BDB95C"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Ponadto, jak już zauważono</w:t>
      </w:r>
      <w:r w:rsidR="00E370D7"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elementem realizacji wyjścia RP z TKE winno być zawarcie deklaracji interpretacyjnej dotyczącej ww. klauzuli przedłużonego obowiązywania umowy (tzw. </w:t>
      </w:r>
      <w:r w:rsidRPr="00D440D4">
        <w:rPr>
          <w:rFonts w:ascii="Times New Roman" w:eastAsia="Times New Roman" w:hAnsi="Times New Roman" w:cs="Times New Roman"/>
          <w:i/>
          <w:iCs/>
          <w:sz w:val="24"/>
          <w:szCs w:val="24"/>
          <w:lang w:eastAsia="pl-PL"/>
        </w:rPr>
        <w:t>sunset clause)</w:t>
      </w:r>
      <w:r w:rsidRPr="00D440D4">
        <w:rPr>
          <w:rFonts w:ascii="Times New Roman" w:eastAsia="Times New Roman" w:hAnsi="Times New Roman" w:cs="Times New Roman"/>
          <w:sz w:val="24"/>
          <w:szCs w:val="24"/>
          <w:lang w:eastAsia="pl-PL"/>
        </w:rPr>
        <w:t>, mającej za cel wykluczyć stosowanie klauzuli arbitrażowej TKE do</w:t>
      </w:r>
      <w:r w:rsidR="00623B79">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sporów wewnątrzunijnych, tj. wytoczonych z powództwa inwestorów unijnych przeciwko RP. Deklaracja ta określona być powinna na wzór analogicznych deklaracji zawartych przy</w:t>
      </w:r>
      <w:r w:rsidR="00623B79">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rozwiązywaniu w ubiegłych latach bilateralnych umów o wzajemnej ochronie inwestycji (zob. załącznik nr 2).</w:t>
      </w:r>
    </w:p>
    <w:p w14:paraId="582ACC13" w14:textId="77777777" w:rsidR="00575EA3" w:rsidRPr="00D440D4" w:rsidRDefault="00575EA3" w:rsidP="00D440D4">
      <w:pPr>
        <w:autoSpaceDE w:val="0"/>
        <w:autoSpaceDN w:val="0"/>
        <w:adjustRightInd w:val="0"/>
        <w:spacing w:before="120"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b/>
          <w:bCs/>
          <w:sz w:val="24"/>
          <w:szCs w:val="24"/>
          <w:lang w:eastAsia="pl-PL"/>
        </w:rPr>
        <w:t>Skutki polityczne</w:t>
      </w:r>
    </w:p>
    <w:p w14:paraId="7CE3D329" w14:textId="632FACDA" w:rsidR="00575EA3"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W przeciwieństwie do wypowiadania dwustronnych umów inwestycyjnych wypowiedzenie TKE nie generuje ewentualnych kontrowersji politycznych w relacjach międzypaństwowych. Wypowiedzenie TKE będzie natomiast pozytywnym sygnałem politycznym, który umocni pozycję R</w:t>
      </w:r>
      <w:r w:rsidR="00E370D7"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xml:space="preserve"> jako państwa konsekwentnie realizującego własne interesy na arenie międzynarodowej. Będzie też dowodem na dążenie R</w:t>
      </w:r>
      <w:r w:rsidR="00E370D7"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xml:space="preserve"> do przestrzegania prawa U</w:t>
      </w:r>
      <w:r w:rsidR="00E370D7" w:rsidRPr="00D440D4">
        <w:rPr>
          <w:rFonts w:ascii="Times New Roman" w:eastAsia="Times New Roman" w:hAnsi="Times New Roman" w:cs="Times New Roman"/>
          <w:sz w:val="24"/>
          <w:szCs w:val="24"/>
          <w:lang w:eastAsia="pl-PL"/>
        </w:rPr>
        <w:t>E</w:t>
      </w:r>
      <w:r w:rsidR="00FB2B55">
        <w:rPr>
          <w:rFonts w:ascii="Times New Roman" w:eastAsia="Times New Roman" w:hAnsi="Times New Roman" w:cs="Times New Roman"/>
          <w:sz w:val="24"/>
          <w:szCs w:val="24"/>
          <w:lang w:eastAsia="pl-PL"/>
        </w:rPr>
        <w:t>. W </w:t>
      </w:r>
      <w:r w:rsidRPr="00D440D4">
        <w:rPr>
          <w:rFonts w:ascii="Times New Roman" w:eastAsia="Times New Roman" w:hAnsi="Times New Roman" w:cs="Times New Roman"/>
          <w:sz w:val="24"/>
          <w:szCs w:val="24"/>
          <w:lang w:eastAsia="pl-PL"/>
        </w:rPr>
        <w:t xml:space="preserve">praktyce bowiem klauzula arbitrażowa TKE jest używana przez unijnych inwestorów zamiast mechanizmów rozstrzygania sporów ustanowionych w prawie Unii Europejskiej. Wreszcie należy wskazać również na znikome postępy w procesie negocjacji modernizacji TKE. </w:t>
      </w:r>
    </w:p>
    <w:p w14:paraId="37070D2C" w14:textId="0069DD05" w:rsidR="00C014DA" w:rsidRDefault="00C014DA"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7850C2A8" w14:textId="77777777" w:rsidR="00C014DA" w:rsidRPr="00D440D4" w:rsidRDefault="00C014DA"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4B28B911" w14:textId="77777777" w:rsidR="00575EA3" w:rsidRPr="00D440D4" w:rsidRDefault="00575EA3" w:rsidP="00D440D4">
      <w:pPr>
        <w:autoSpaceDE w:val="0"/>
        <w:autoSpaceDN w:val="0"/>
        <w:adjustRightInd w:val="0"/>
        <w:spacing w:before="120"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b/>
          <w:bCs/>
          <w:sz w:val="24"/>
          <w:szCs w:val="24"/>
          <w:lang w:eastAsia="pl-PL"/>
        </w:rPr>
        <w:lastRenderedPageBreak/>
        <w:t>Skutki gospodarcze</w:t>
      </w:r>
    </w:p>
    <w:p w14:paraId="74508DAD" w14:textId="127C3919"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Z analiz Organizacji Współpracy Gospodarczej i Rozwoju (OECD) wynika, że brak jest</w:t>
      </w:r>
      <w:r w:rsidR="00623B79">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dowodów na związek między dostępnością arbitrażu inwestycyjnego a napływem do</w:t>
      </w:r>
      <w:r w:rsidR="00623B79">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danego państwa inwestycji zagranicznych (metaanaliza OECD, </w:t>
      </w:r>
      <w:r w:rsidRPr="00D440D4">
        <w:rPr>
          <w:rFonts w:ascii="Times New Roman" w:eastAsia="Times New Roman" w:hAnsi="Times New Roman" w:cs="Times New Roman"/>
          <w:i/>
          <w:iCs/>
          <w:sz w:val="24"/>
          <w:szCs w:val="24"/>
          <w:lang w:eastAsia="pl-PL"/>
        </w:rPr>
        <w:t xml:space="preserve">Freedom of Investment Process: Societal benefits and costs of investor protection in International Investment Agreements </w:t>
      </w:r>
      <w:r w:rsidR="00FB2B55">
        <w:rPr>
          <w:rFonts w:ascii="Times New Roman" w:eastAsia="Times New Roman" w:hAnsi="Times New Roman" w:cs="Times New Roman"/>
          <w:i/>
          <w:iCs/>
          <w:sz w:val="24"/>
          <w:szCs w:val="24"/>
          <w:lang w:eastAsia="pl-PL"/>
        </w:rPr>
        <w:t>–</w:t>
      </w:r>
      <w:r w:rsidRPr="00D440D4">
        <w:rPr>
          <w:rFonts w:ascii="Times New Roman" w:eastAsia="Times New Roman" w:hAnsi="Times New Roman" w:cs="Times New Roman"/>
          <w:i/>
          <w:iCs/>
          <w:sz w:val="24"/>
          <w:szCs w:val="24"/>
          <w:lang w:eastAsia="pl-PL"/>
        </w:rPr>
        <w:t xml:space="preserve"> A</w:t>
      </w:r>
      <w:r w:rsidR="00FB2B55">
        <w:rPr>
          <w:rFonts w:ascii="Times New Roman" w:eastAsia="Times New Roman" w:hAnsi="Times New Roman" w:cs="Times New Roman"/>
          <w:i/>
          <w:iCs/>
          <w:sz w:val="24"/>
          <w:szCs w:val="24"/>
          <w:lang w:eastAsia="pl-PL"/>
        </w:rPr>
        <w:t> </w:t>
      </w:r>
      <w:r w:rsidRPr="00D440D4">
        <w:rPr>
          <w:rFonts w:ascii="Times New Roman" w:eastAsia="Times New Roman" w:hAnsi="Times New Roman" w:cs="Times New Roman"/>
          <w:i/>
          <w:iCs/>
          <w:sz w:val="24"/>
          <w:szCs w:val="24"/>
          <w:lang w:eastAsia="pl-PL"/>
        </w:rPr>
        <w:t>critical review of available evidence</w:t>
      </w:r>
      <w:r w:rsidRPr="00D440D4">
        <w:rPr>
          <w:rFonts w:ascii="Times New Roman" w:eastAsia="Times New Roman" w:hAnsi="Times New Roman" w:cs="Times New Roman"/>
          <w:sz w:val="24"/>
          <w:szCs w:val="24"/>
          <w:lang w:eastAsia="pl-PL"/>
        </w:rPr>
        <w:t>, DAF/INV/WD(2015)1/REV3, § 70). Analizy te znajdują poparcie również w doświadczeniach R</w:t>
      </w:r>
      <w:r w:rsidR="00043C94"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Przykładowo w</w:t>
      </w:r>
      <w:r w:rsidR="00043C94" w:rsidRPr="00D440D4">
        <w:rPr>
          <w:rFonts w:ascii="Times New Roman" w:eastAsia="Times New Roman" w:hAnsi="Times New Roman" w:cs="Times New Roman"/>
          <w:sz w:val="24"/>
          <w:szCs w:val="24"/>
          <w:lang w:eastAsia="pl-PL"/>
        </w:rPr>
        <w:t>edług</w:t>
      </w:r>
      <w:r w:rsidRPr="00D440D4">
        <w:rPr>
          <w:rFonts w:ascii="Times New Roman" w:eastAsia="Times New Roman" w:hAnsi="Times New Roman" w:cs="Times New Roman"/>
          <w:sz w:val="24"/>
          <w:szCs w:val="24"/>
          <w:lang w:eastAsia="pl-PL"/>
        </w:rPr>
        <w:t xml:space="preserve"> danych Polskiej Agencji Inwestycji i Handlu (PAIH), pomimo rozwiązania w ostatnich latach szeregu wewnątrzunijnych umów o popieraniu i ochronie inwestycji (BIT), nie odnotowano spadku bezpośrednich inwestycji zagranicznych w RP, wręcz przeciwnie – poziom tych inwestycji nieustannie wzrasta. Z analiz Ministerstwa Rozwoju i Technologii wynika ponadto, że R</w:t>
      </w:r>
      <w:r w:rsidR="00043C94"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xml:space="preserve"> będzie w średnim i długim okresie czasu importerem, a nie eksporterem kapitału. </w:t>
      </w:r>
    </w:p>
    <w:p w14:paraId="51581125" w14:textId="77777777" w:rsidR="00575EA3" w:rsidRPr="00D440D4" w:rsidRDefault="00575EA3" w:rsidP="00D440D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 xml:space="preserve">Wypowiedzenie TKE nie wpłynie negatywnie na sytuację polskich przedsiębiorstw inwestujących za granicą, gdyż nie korzystają one z przewidzianego w TKE arbitrażowego mechanizmu rozstrzygania sporów. </w:t>
      </w:r>
    </w:p>
    <w:p w14:paraId="3A96967A" w14:textId="160A9CBE" w:rsidR="00575EA3" w:rsidRPr="00D440D4" w:rsidRDefault="00575EA3" w:rsidP="00D440D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Wypowiedzenie Traktatu nie wywoła również negatywnych skutków w obszarze energii lub</w:t>
      </w:r>
      <w:r w:rsidR="004235DF">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polityki energetycznej RP. Nie zidentyfikowano zagrożeń w tym obszarze, jakie wiązać mogłyby się z </w:t>
      </w:r>
      <w:r w:rsidR="00043C94" w:rsidRPr="00D440D4">
        <w:rPr>
          <w:rFonts w:ascii="Times New Roman" w:eastAsia="Times New Roman" w:hAnsi="Times New Roman" w:cs="Times New Roman"/>
          <w:sz w:val="24"/>
          <w:szCs w:val="24"/>
          <w:lang w:eastAsia="pl-PL"/>
        </w:rPr>
        <w:t xml:space="preserve">wystąpieniem przez RP z </w:t>
      </w:r>
      <w:r w:rsidRPr="00D440D4">
        <w:rPr>
          <w:rFonts w:ascii="Times New Roman" w:eastAsia="Times New Roman" w:hAnsi="Times New Roman" w:cs="Times New Roman"/>
          <w:sz w:val="24"/>
          <w:szCs w:val="24"/>
          <w:lang w:eastAsia="pl-PL"/>
        </w:rPr>
        <w:t>TKE, m.in. zważywszy na fakt iż, jak wspomniano wyżej, zagraniczne inwestycje w polską energetykę były i pozostaną chronione na podstawie przepisów krajowych</w:t>
      </w:r>
      <w:r w:rsidR="00043C94" w:rsidRPr="00D440D4">
        <w:rPr>
          <w:rFonts w:ascii="Times New Roman" w:eastAsia="Times New Roman" w:hAnsi="Times New Roman" w:cs="Times New Roman"/>
          <w:sz w:val="24"/>
          <w:szCs w:val="24"/>
          <w:lang w:eastAsia="pl-PL"/>
        </w:rPr>
        <w:t xml:space="preserve"> </w:t>
      </w:r>
      <w:r w:rsidRPr="00D440D4">
        <w:rPr>
          <w:rFonts w:ascii="Times New Roman" w:eastAsia="Times New Roman" w:hAnsi="Times New Roman" w:cs="Times New Roman"/>
          <w:sz w:val="24"/>
          <w:szCs w:val="24"/>
          <w:lang w:eastAsia="pl-PL"/>
        </w:rPr>
        <w:t xml:space="preserve">i europejskich. </w:t>
      </w:r>
      <w:r w:rsidR="00043C94" w:rsidRPr="00D440D4">
        <w:rPr>
          <w:rFonts w:ascii="Times New Roman" w:eastAsia="Times New Roman" w:hAnsi="Times New Roman" w:cs="Times New Roman"/>
          <w:sz w:val="24"/>
          <w:szCs w:val="24"/>
          <w:lang w:eastAsia="pl-PL"/>
        </w:rPr>
        <w:t>Wystąpienie</w:t>
      </w:r>
      <w:r w:rsidRPr="00D440D4">
        <w:rPr>
          <w:rFonts w:ascii="Times New Roman" w:eastAsia="Times New Roman" w:hAnsi="Times New Roman" w:cs="Times New Roman"/>
          <w:sz w:val="24"/>
          <w:szCs w:val="24"/>
          <w:lang w:eastAsia="pl-PL"/>
        </w:rPr>
        <w:t xml:space="preserve"> z TKE nie wpłynie negatywnie na</w:t>
      </w:r>
      <w:r w:rsidR="00631E26">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bezpieczeństwo energetyczne RP, percepcję RP na rynkach energii, czy poziom zainteresowania inwestycjami zagranicznymi w RP w przedmiotowym obszarze.</w:t>
      </w:r>
    </w:p>
    <w:p w14:paraId="3E179E96" w14:textId="53AC40F9" w:rsidR="00575EA3" w:rsidRPr="00D440D4" w:rsidRDefault="00575EA3" w:rsidP="00D440D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Wystąpienie z TKE nie przyniesie również negatywnych konsekwencji dla RP w obszarze energii. Jakkolwiek postanowienia Traktatu obejmuj</w:t>
      </w:r>
      <w:r w:rsidR="00FB2B55">
        <w:rPr>
          <w:rFonts w:ascii="Times New Roman" w:eastAsia="Times New Roman" w:hAnsi="Times New Roman" w:cs="Times New Roman"/>
          <w:sz w:val="24"/>
          <w:szCs w:val="24"/>
          <w:lang w:eastAsia="pl-PL"/>
        </w:rPr>
        <w:t>ą – oprócz ochrony inwestycji i </w:t>
      </w:r>
      <w:r w:rsidRPr="00D440D4">
        <w:rPr>
          <w:rFonts w:ascii="Times New Roman" w:eastAsia="Times New Roman" w:hAnsi="Times New Roman" w:cs="Times New Roman"/>
          <w:sz w:val="24"/>
          <w:szCs w:val="24"/>
          <w:lang w:eastAsia="pl-PL"/>
        </w:rPr>
        <w:t>rozwiązywania sporów – także wielostronną współpracę w zakresie tranzytu energii, h</w:t>
      </w:r>
      <w:r w:rsidR="00FB2B55">
        <w:rPr>
          <w:rFonts w:ascii="Times New Roman" w:eastAsia="Times New Roman" w:hAnsi="Times New Roman" w:cs="Times New Roman"/>
          <w:sz w:val="24"/>
          <w:szCs w:val="24"/>
          <w:lang w:eastAsia="pl-PL"/>
        </w:rPr>
        <w:t>andlu i </w:t>
      </w:r>
      <w:r w:rsidRPr="00D440D4">
        <w:rPr>
          <w:rFonts w:ascii="Times New Roman" w:eastAsia="Times New Roman" w:hAnsi="Times New Roman" w:cs="Times New Roman"/>
          <w:sz w:val="24"/>
          <w:szCs w:val="24"/>
          <w:lang w:eastAsia="pl-PL"/>
        </w:rPr>
        <w:t xml:space="preserve">wydajności energetycznej, to </w:t>
      </w:r>
      <w:r w:rsidR="006216B8" w:rsidRPr="00D440D4">
        <w:rPr>
          <w:rFonts w:ascii="Times New Roman" w:eastAsia="Times New Roman" w:hAnsi="Times New Roman" w:cs="Times New Roman"/>
          <w:sz w:val="24"/>
          <w:szCs w:val="24"/>
          <w:lang w:eastAsia="pl-PL"/>
        </w:rPr>
        <w:t>wystąpienie z</w:t>
      </w:r>
      <w:r w:rsidRPr="00D440D4">
        <w:rPr>
          <w:rFonts w:ascii="Times New Roman" w:eastAsia="Times New Roman" w:hAnsi="Times New Roman" w:cs="Times New Roman"/>
          <w:sz w:val="24"/>
          <w:szCs w:val="24"/>
          <w:lang w:eastAsia="pl-PL"/>
        </w:rPr>
        <w:t xml:space="preserve"> TKE nie wywoła negatywnych skutków wymagających uwzględnienia przy podejmowaniu decyzji o wystąpieniu. Należy m.in.</w:t>
      </w:r>
      <w:r w:rsidR="00631E26">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 xml:space="preserve">wskazać, że TKE nie wpływa na kształtowanie cen surowców, a zawarte w nim postanowienia dotyczące tranzytu nie obejmują rozwiązań, które nie byłyby już przewidziane w prawie UE. Tym samym </w:t>
      </w:r>
      <w:r w:rsidR="006216B8" w:rsidRPr="00D440D4">
        <w:rPr>
          <w:rFonts w:ascii="Times New Roman" w:eastAsia="Times New Roman" w:hAnsi="Times New Roman" w:cs="Times New Roman"/>
          <w:sz w:val="24"/>
          <w:szCs w:val="24"/>
          <w:lang w:eastAsia="pl-PL"/>
        </w:rPr>
        <w:t>wystąpienie z</w:t>
      </w:r>
      <w:r w:rsidRPr="00D440D4">
        <w:rPr>
          <w:rFonts w:ascii="Times New Roman" w:eastAsia="Times New Roman" w:hAnsi="Times New Roman" w:cs="Times New Roman"/>
          <w:sz w:val="24"/>
          <w:szCs w:val="24"/>
          <w:lang w:eastAsia="pl-PL"/>
        </w:rPr>
        <w:t xml:space="preserve"> TKE nie będzie stanowić czynnika ryzyka dla</w:t>
      </w:r>
      <w:r w:rsidR="00631E26">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podmiotów zagranicznych rozważających w przyszłości przesył surowców do</w:t>
      </w:r>
      <w:r w:rsidR="00631E26">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Rzeczypospolitej Polskiej lub ich tranzyt przez terytorium RP.</w:t>
      </w:r>
    </w:p>
    <w:p w14:paraId="2B2BB949" w14:textId="77777777" w:rsidR="00575EA3" w:rsidRPr="00D440D4" w:rsidRDefault="00575EA3" w:rsidP="00D440D4">
      <w:pPr>
        <w:autoSpaceDE w:val="0"/>
        <w:autoSpaceDN w:val="0"/>
        <w:adjustRightInd w:val="0"/>
        <w:spacing w:before="120"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b/>
          <w:bCs/>
          <w:sz w:val="24"/>
          <w:szCs w:val="24"/>
          <w:lang w:eastAsia="pl-PL"/>
        </w:rPr>
        <w:lastRenderedPageBreak/>
        <w:t>Skutki finansowe</w:t>
      </w:r>
    </w:p>
    <w:p w14:paraId="476FE25C" w14:textId="42A728C2"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 xml:space="preserve">Wypowiedzenie TKE nie będzie </w:t>
      </w:r>
      <w:r w:rsidR="00CA2388" w:rsidRPr="00D440D4">
        <w:rPr>
          <w:rFonts w:ascii="Times New Roman" w:eastAsia="Times New Roman" w:hAnsi="Times New Roman" w:cs="Times New Roman"/>
          <w:sz w:val="24"/>
          <w:szCs w:val="24"/>
          <w:lang w:eastAsia="pl-PL"/>
        </w:rPr>
        <w:t xml:space="preserve">wpływać na </w:t>
      </w:r>
      <w:r w:rsidRPr="00D440D4">
        <w:rPr>
          <w:rFonts w:ascii="Times New Roman" w:eastAsia="Times New Roman" w:hAnsi="Times New Roman" w:cs="Times New Roman"/>
          <w:sz w:val="24"/>
          <w:szCs w:val="24"/>
          <w:lang w:eastAsia="pl-PL"/>
        </w:rPr>
        <w:t>obciąż</w:t>
      </w:r>
      <w:r w:rsidR="00CA2388" w:rsidRPr="00D440D4">
        <w:rPr>
          <w:rFonts w:ascii="Times New Roman" w:eastAsia="Times New Roman" w:hAnsi="Times New Roman" w:cs="Times New Roman"/>
          <w:sz w:val="24"/>
          <w:szCs w:val="24"/>
          <w:lang w:eastAsia="pl-PL"/>
        </w:rPr>
        <w:t>enia</w:t>
      </w:r>
      <w:r w:rsidRPr="00D440D4">
        <w:rPr>
          <w:rFonts w:ascii="Times New Roman" w:eastAsia="Times New Roman" w:hAnsi="Times New Roman" w:cs="Times New Roman"/>
          <w:sz w:val="24"/>
          <w:szCs w:val="24"/>
          <w:lang w:eastAsia="pl-PL"/>
        </w:rPr>
        <w:t xml:space="preserve"> finansow</w:t>
      </w:r>
      <w:r w:rsidR="00CA2388" w:rsidRPr="00D440D4">
        <w:rPr>
          <w:rFonts w:ascii="Times New Roman" w:eastAsia="Times New Roman" w:hAnsi="Times New Roman" w:cs="Times New Roman"/>
          <w:sz w:val="24"/>
          <w:szCs w:val="24"/>
          <w:lang w:eastAsia="pl-PL"/>
        </w:rPr>
        <w:t>e</w:t>
      </w:r>
      <w:r w:rsidRPr="00D440D4">
        <w:rPr>
          <w:rFonts w:ascii="Times New Roman" w:eastAsia="Times New Roman" w:hAnsi="Times New Roman" w:cs="Times New Roman"/>
          <w:sz w:val="24"/>
          <w:szCs w:val="24"/>
          <w:lang w:eastAsia="pl-PL"/>
        </w:rPr>
        <w:t xml:space="preserve"> R</w:t>
      </w:r>
      <w:r w:rsidR="00CA2388"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Wyeliminuje ono</w:t>
      </w:r>
      <w:r w:rsidR="00631E26">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natomiast konieczność ponoszenia przez RP kosztów prowadzenia nowych postępowań arbitrażowych i ryzyko obciążenia odszkodowaniami za rzekome naruszenia praw inwestorów. Jest to szczególnie istotne w kontekście przyśpieszającej transformacji energetycznej, która</w:t>
      </w:r>
      <w:r w:rsidR="00631E26">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będzie utrudniona</w:t>
      </w:r>
      <w:r w:rsidR="00AC1A2C">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jeśli dokonywanym w jej ramach inwestycjom towarzyszyć miałaby konieczność ponoszenia wysokich odszkodowań na podstawie niedookreślonych standardów traktatowych na rzecz inwestorów z branży paliw kopalnych. Wreszcie zaprzestanie ponoszenia kosztów finansowania budżetu Sekretariatu Karty Energetycznej stanowić będzie oszczędność dla RP. Ze wszystkich tych względów wypowiedzenie TKE będzie mieć pozytywny wpływ na finanse publiczne</w:t>
      </w:r>
      <w:r w:rsidR="00CA2388" w:rsidRPr="00D440D4">
        <w:rPr>
          <w:rFonts w:ascii="Times New Roman" w:eastAsia="Times New Roman" w:hAnsi="Times New Roman" w:cs="Times New Roman"/>
          <w:sz w:val="24"/>
          <w:szCs w:val="24"/>
          <w:lang w:eastAsia="pl-PL"/>
        </w:rPr>
        <w:t xml:space="preserve"> RP</w:t>
      </w:r>
      <w:r w:rsidRPr="00D440D4">
        <w:rPr>
          <w:rFonts w:ascii="Times New Roman" w:eastAsia="Times New Roman" w:hAnsi="Times New Roman" w:cs="Times New Roman"/>
          <w:sz w:val="24"/>
          <w:szCs w:val="24"/>
          <w:lang w:eastAsia="pl-PL"/>
        </w:rPr>
        <w:t xml:space="preserve">. </w:t>
      </w:r>
    </w:p>
    <w:p w14:paraId="2A4BD025" w14:textId="77777777" w:rsidR="00575EA3" w:rsidRPr="00D440D4" w:rsidRDefault="00575EA3" w:rsidP="00D440D4">
      <w:pPr>
        <w:autoSpaceDE w:val="0"/>
        <w:autoSpaceDN w:val="0"/>
        <w:adjustRightInd w:val="0"/>
        <w:spacing w:before="120" w:after="12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b/>
          <w:bCs/>
          <w:sz w:val="24"/>
          <w:szCs w:val="24"/>
          <w:lang w:eastAsia="pl-PL"/>
        </w:rPr>
        <w:t>Skutki społeczne</w:t>
      </w:r>
    </w:p>
    <w:p w14:paraId="397CE46C" w14:textId="47D0B2CB"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Wypowiedzenie TKE istotnie ograniczy ryzyko prawne związane z wprowadzeniem nowych regulacji w sektorze energetyki. Klauzula arbitrażowa TKE tworzy dla państw będących jego stronami ryzyko bycia pozwanym w następstwie wpr</w:t>
      </w:r>
      <w:r w:rsidR="00FB2B55">
        <w:rPr>
          <w:rFonts w:ascii="Times New Roman" w:eastAsia="Times New Roman" w:hAnsi="Times New Roman" w:cs="Times New Roman"/>
          <w:sz w:val="24"/>
          <w:szCs w:val="24"/>
          <w:lang w:eastAsia="pl-PL"/>
        </w:rPr>
        <w:t>owadzanych regulacji prawnych w </w:t>
      </w:r>
      <w:r w:rsidRPr="00D440D4">
        <w:rPr>
          <w:rFonts w:ascii="Times New Roman" w:eastAsia="Times New Roman" w:hAnsi="Times New Roman" w:cs="Times New Roman"/>
          <w:sz w:val="24"/>
          <w:szCs w:val="24"/>
          <w:lang w:eastAsia="pl-PL"/>
        </w:rPr>
        <w:t>obszarze energetyki, czego skutkiem może być niechęć do wprowadzenia takich regulacji (tzw. „regulatory chill”). Po upływie 20-letniego okresu obowiązywania klauzul tymczasowego stosowania traktatu (tzw. klauzula sunset) ryzyko to zostanie zniwelowane.</w:t>
      </w:r>
    </w:p>
    <w:p w14:paraId="0753D9EE" w14:textId="77777777"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36DC3902" w14:textId="77777777" w:rsidR="00575EA3" w:rsidRPr="00D440D4" w:rsidRDefault="00575EA3" w:rsidP="00D440D4">
      <w:pPr>
        <w:autoSpaceDE w:val="0"/>
        <w:autoSpaceDN w:val="0"/>
        <w:adjustRightInd w:val="0"/>
        <w:spacing w:before="120" w:after="120" w:line="360" w:lineRule="auto"/>
        <w:rPr>
          <w:rFonts w:ascii="Times New Roman" w:eastAsia="Times New Roman" w:hAnsi="Times New Roman" w:cs="Times New Roman"/>
          <w:b/>
          <w:bCs/>
          <w:sz w:val="24"/>
          <w:szCs w:val="24"/>
          <w:lang w:eastAsia="pl-PL"/>
        </w:rPr>
      </w:pPr>
      <w:r w:rsidRPr="00D440D4">
        <w:rPr>
          <w:rFonts w:ascii="Times New Roman" w:eastAsia="Times New Roman" w:hAnsi="Times New Roman" w:cs="Times New Roman"/>
          <w:b/>
          <w:bCs/>
          <w:sz w:val="24"/>
          <w:szCs w:val="24"/>
          <w:lang w:eastAsia="pl-PL"/>
        </w:rPr>
        <w:t>4. Wyjaśnienie wyboru trybu wypowiedzenia Traktatu Karty Energetycznej</w:t>
      </w:r>
    </w:p>
    <w:p w14:paraId="3983C862" w14:textId="1189C809" w:rsidR="00575EA3" w:rsidRPr="00D440D4" w:rsidRDefault="00575EA3" w:rsidP="00D440D4">
      <w:p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Wypowiedzenie Traktatu Karty Energetycznej winno odbyć się w trybie przewidzianym w</w:t>
      </w:r>
      <w:r w:rsidR="00FB2B55">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art.</w:t>
      </w:r>
      <w:r w:rsidR="00FB2B55">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22 w związku z art. 14 ustawy z dnia 14 kwietnia 2000 r. o umowach międzynarodowych (Dz. U. z 2020 r. poz. 127) w związku z Artykułem 47 ust</w:t>
      </w:r>
      <w:r w:rsidR="00CA2388" w:rsidRPr="00D440D4">
        <w:rPr>
          <w:rFonts w:ascii="Times New Roman" w:eastAsia="Times New Roman" w:hAnsi="Times New Roman" w:cs="Times New Roman"/>
          <w:sz w:val="24"/>
          <w:szCs w:val="24"/>
          <w:lang w:eastAsia="pl-PL"/>
        </w:rPr>
        <w:t>.</w:t>
      </w:r>
      <w:r w:rsidRPr="00D440D4">
        <w:rPr>
          <w:rFonts w:ascii="Times New Roman" w:eastAsia="Times New Roman" w:hAnsi="Times New Roman" w:cs="Times New Roman"/>
          <w:sz w:val="24"/>
          <w:szCs w:val="24"/>
          <w:lang w:eastAsia="pl-PL"/>
        </w:rPr>
        <w:t xml:space="preserve"> 1 Traktatu oraz faktem, że Traktat ten został ratyfikowany za uprzednią zgodą wyrażoną w ustawie.</w:t>
      </w:r>
    </w:p>
    <w:p w14:paraId="0FAB3C75" w14:textId="56F19D0D" w:rsidR="00575EA3" w:rsidRPr="00D440D4" w:rsidRDefault="00575EA3" w:rsidP="00D440D4">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D440D4">
        <w:rPr>
          <w:rFonts w:ascii="Times New Roman" w:eastAsia="Times New Roman" w:hAnsi="Times New Roman" w:cs="Times New Roman"/>
          <w:sz w:val="24"/>
          <w:szCs w:val="24"/>
          <w:lang w:eastAsia="pl-PL"/>
        </w:rPr>
        <w:t>Mając na uwadze, że TKE stanowi umowę międzynarodową ratyfikowaną za zgodą, o której mowa w art. 89 ust. 1 i art. 90 Konstytucji R</w:t>
      </w:r>
      <w:r w:rsidR="00CA2388" w:rsidRPr="00D440D4">
        <w:rPr>
          <w:rFonts w:ascii="Times New Roman" w:eastAsia="Times New Roman" w:hAnsi="Times New Roman" w:cs="Times New Roman"/>
          <w:sz w:val="24"/>
          <w:szCs w:val="24"/>
          <w:lang w:eastAsia="pl-PL"/>
        </w:rPr>
        <w:t>P</w:t>
      </w:r>
      <w:r w:rsidRPr="00D440D4">
        <w:rPr>
          <w:rFonts w:ascii="Times New Roman" w:eastAsia="Times New Roman" w:hAnsi="Times New Roman" w:cs="Times New Roman"/>
          <w:sz w:val="24"/>
          <w:szCs w:val="24"/>
          <w:lang w:eastAsia="pl-PL"/>
        </w:rPr>
        <w:t>, wypowiedzenie zostanie dokonane po</w:t>
      </w:r>
      <w:r w:rsidR="00C014DA">
        <w:rPr>
          <w:rFonts w:ascii="Times New Roman" w:eastAsia="Times New Roman" w:hAnsi="Times New Roman" w:cs="Times New Roman"/>
          <w:sz w:val="24"/>
          <w:szCs w:val="24"/>
          <w:lang w:eastAsia="pl-PL"/>
        </w:rPr>
        <w:t> </w:t>
      </w:r>
      <w:r w:rsidRPr="00D440D4">
        <w:rPr>
          <w:rFonts w:ascii="Times New Roman" w:eastAsia="Times New Roman" w:hAnsi="Times New Roman" w:cs="Times New Roman"/>
          <w:sz w:val="24"/>
          <w:szCs w:val="24"/>
          <w:lang w:eastAsia="pl-PL"/>
        </w:rPr>
        <w:t>uzyskaniu zgody wyrażonej w ustawie.</w:t>
      </w:r>
    </w:p>
    <w:p w14:paraId="257CA20E" w14:textId="7F42C871" w:rsidR="00575EA3" w:rsidRPr="00D440D4" w:rsidRDefault="00575EA3" w:rsidP="00FB2B55">
      <w:pPr>
        <w:autoSpaceDE w:val="0"/>
        <w:autoSpaceDN w:val="0"/>
        <w:adjustRightInd w:val="0"/>
        <w:spacing w:before="120" w:after="0" w:line="360" w:lineRule="auto"/>
        <w:jc w:val="both"/>
        <w:rPr>
          <w:rFonts w:ascii="Times New Roman" w:hAnsi="Times New Roman" w:cs="Times New Roman"/>
          <w:sz w:val="24"/>
          <w:szCs w:val="24"/>
        </w:rPr>
      </w:pPr>
      <w:r w:rsidRPr="00D440D4">
        <w:rPr>
          <w:rFonts w:ascii="Times New Roman" w:eastAsia="Times New Roman" w:hAnsi="Times New Roman" w:cs="Times New Roman"/>
          <w:sz w:val="24"/>
          <w:szCs w:val="24"/>
          <w:lang w:eastAsia="pl-PL"/>
        </w:rPr>
        <w:t>Jednocześnie razem z dokumentem wypowiedzenia depozytariuszowi zostanie przekazana deklaracja określona w załączniku nr 2.</w:t>
      </w:r>
    </w:p>
    <w:sectPr w:rsidR="00575EA3" w:rsidRPr="00D440D4" w:rsidSect="00FB2B55">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70CE9" w14:textId="77777777" w:rsidR="00BE30E0" w:rsidRDefault="00BE30E0" w:rsidP="00575EA3">
      <w:pPr>
        <w:spacing w:after="0" w:line="240" w:lineRule="auto"/>
      </w:pPr>
      <w:r>
        <w:separator/>
      </w:r>
    </w:p>
  </w:endnote>
  <w:endnote w:type="continuationSeparator" w:id="0">
    <w:p w14:paraId="4CE594BE" w14:textId="77777777" w:rsidR="00BE30E0" w:rsidRDefault="00BE30E0" w:rsidP="00575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852858"/>
      <w:docPartObj>
        <w:docPartGallery w:val="Page Numbers (Bottom of Page)"/>
        <w:docPartUnique/>
      </w:docPartObj>
    </w:sdtPr>
    <w:sdtEndPr/>
    <w:sdtContent>
      <w:p w14:paraId="27E1DAB6" w14:textId="2FB3F3C1" w:rsidR="00FB2B55" w:rsidRDefault="00FB2B55" w:rsidP="00FB2B55">
        <w:pPr>
          <w:pStyle w:val="Stopka"/>
          <w:jc w:val="center"/>
        </w:pPr>
        <w:r>
          <w:fldChar w:fldCharType="begin"/>
        </w:r>
        <w:r>
          <w:instrText>PAGE   \* MERGEFORMAT</w:instrText>
        </w:r>
        <w:r>
          <w:fldChar w:fldCharType="separate"/>
        </w:r>
        <w:r w:rsidR="00B810A3">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565BE8" w14:textId="77777777" w:rsidR="00BE30E0" w:rsidRDefault="00BE30E0" w:rsidP="00575EA3">
      <w:pPr>
        <w:spacing w:after="0" w:line="240" w:lineRule="auto"/>
      </w:pPr>
      <w:r>
        <w:separator/>
      </w:r>
    </w:p>
  </w:footnote>
  <w:footnote w:type="continuationSeparator" w:id="0">
    <w:p w14:paraId="6C5B551B" w14:textId="77777777" w:rsidR="00BE30E0" w:rsidRDefault="00BE30E0" w:rsidP="00575EA3">
      <w:pPr>
        <w:spacing w:after="0" w:line="240" w:lineRule="auto"/>
      </w:pPr>
      <w:r>
        <w:continuationSeparator/>
      </w:r>
    </w:p>
  </w:footnote>
  <w:footnote w:id="1">
    <w:p w14:paraId="38E98C4E" w14:textId="1B037ABF" w:rsidR="00575EA3" w:rsidRPr="00D440D4" w:rsidRDefault="00575EA3" w:rsidP="00575EA3">
      <w:pPr>
        <w:pStyle w:val="Tekstprzypisudolnego"/>
        <w:rPr>
          <w:lang w:val="de-DE"/>
        </w:rPr>
      </w:pPr>
      <w:r>
        <w:rPr>
          <w:rStyle w:val="Odwoanieprzypisudolnego"/>
        </w:rPr>
        <w:footnoteRef/>
      </w:r>
      <w:r w:rsidR="00D440D4" w:rsidRPr="00D440D4">
        <w:rPr>
          <w:vertAlign w:val="superscript"/>
          <w:lang w:val="de-DE"/>
        </w:rPr>
        <w:t>)</w:t>
      </w:r>
      <w:r w:rsidRPr="00D440D4">
        <w:rPr>
          <w:lang w:val="de-DE"/>
        </w:rPr>
        <w:t xml:space="preserve"> EU:C:2018:158.</w:t>
      </w:r>
    </w:p>
  </w:footnote>
  <w:footnote w:id="2">
    <w:p w14:paraId="72B86DF7" w14:textId="18F21257" w:rsidR="00575EA3" w:rsidRPr="00D440D4" w:rsidRDefault="00575EA3" w:rsidP="00575EA3">
      <w:pPr>
        <w:pStyle w:val="Tekstprzypisudolnego"/>
        <w:rPr>
          <w:lang w:val="de-DE"/>
        </w:rPr>
      </w:pPr>
      <w:r>
        <w:rPr>
          <w:rStyle w:val="Odwoanieprzypisudolnego"/>
        </w:rPr>
        <w:footnoteRef/>
      </w:r>
      <w:r w:rsidR="00FB2B55" w:rsidRPr="00D440D4">
        <w:rPr>
          <w:vertAlign w:val="superscript"/>
          <w:lang w:val="de-DE"/>
        </w:rPr>
        <w:t>)</w:t>
      </w:r>
      <w:r w:rsidRPr="00D440D4">
        <w:rPr>
          <w:lang w:val="de-DE"/>
        </w:rPr>
        <w:t xml:space="preserve"> EU:C:2021:655.</w:t>
      </w:r>
    </w:p>
  </w:footnote>
  <w:footnote w:id="3">
    <w:p w14:paraId="285F9092" w14:textId="19B664C1" w:rsidR="00575EA3" w:rsidRPr="00D440D4" w:rsidRDefault="00575EA3" w:rsidP="00575EA3">
      <w:pPr>
        <w:pStyle w:val="Tekstprzypisudolnego"/>
        <w:rPr>
          <w:lang w:val="de-DE"/>
        </w:rPr>
      </w:pPr>
      <w:r>
        <w:rPr>
          <w:rStyle w:val="Odwoanieprzypisudolnego"/>
        </w:rPr>
        <w:footnoteRef/>
      </w:r>
      <w:r w:rsidR="00FB2B55" w:rsidRPr="00D440D4">
        <w:rPr>
          <w:vertAlign w:val="superscript"/>
          <w:lang w:val="de-DE"/>
        </w:rPr>
        <w:t>)</w:t>
      </w:r>
      <w:r w:rsidRPr="00D440D4">
        <w:rPr>
          <w:lang w:val="de-DE"/>
        </w:rPr>
        <w:t xml:space="preserve"> EU:C:2021:655, pkt 66.</w:t>
      </w:r>
    </w:p>
  </w:footnote>
  <w:footnote w:id="4">
    <w:p w14:paraId="753A03FB" w14:textId="66D187FB" w:rsidR="00575EA3" w:rsidRDefault="00575EA3" w:rsidP="00575EA3">
      <w:pPr>
        <w:pStyle w:val="Tekstprzypisudolnego"/>
      </w:pPr>
      <w:r>
        <w:rPr>
          <w:rStyle w:val="Odwoanieprzypisudolnego"/>
        </w:rPr>
        <w:footnoteRef/>
      </w:r>
      <w:r w:rsidR="00FB2B55" w:rsidRPr="00FB2B55">
        <w:rPr>
          <w:vertAlign w:val="superscript"/>
        </w:rPr>
        <w:t>)</w:t>
      </w:r>
      <w:r>
        <w:t xml:space="preserve"> Dz. U. z 1993 r. poz. 284.</w:t>
      </w:r>
    </w:p>
  </w:footnote>
  <w:footnote w:id="5">
    <w:p w14:paraId="4DB7B74F" w14:textId="01510F23" w:rsidR="00575EA3" w:rsidRDefault="00575EA3" w:rsidP="00575EA3">
      <w:pPr>
        <w:pStyle w:val="Tekstprzypisudolnego"/>
      </w:pPr>
      <w:r>
        <w:rPr>
          <w:rStyle w:val="Odwoanieprzypisudolnego"/>
        </w:rPr>
        <w:footnoteRef/>
      </w:r>
      <w:r w:rsidR="00FB2B55" w:rsidRPr="00FB2B55">
        <w:rPr>
          <w:vertAlign w:val="superscript"/>
        </w:rPr>
        <w:t>)</w:t>
      </w:r>
      <w:r>
        <w:t xml:space="preserve"> Dz. U. z 1977 r. poz. 167.</w:t>
      </w:r>
    </w:p>
  </w:footnote>
  <w:footnote w:id="6">
    <w:p w14:paraId="1C0026BF" w14:textId="68CAB150" w:rsidR="00575EA3" w:rsidRDefault="00575EA3" w:rsidP="00575EA3">
      <w:pPr>
        <w:pStyle w:val="Tekstprzypisudolnego"/>
      </w:pPr>
      <w:r>
        <w:rPr>
          <w:rStyle w:val="Odwoanieprzypisudolnego"/>
        </w:rPr>
        <w:footnoteRef/>
      </w:r>
      <w:r w:rsidR="00FB2B55" w:rsidRPr="00FB2B55">
        <w:rPr>
          <w:vertAlign w:val="superscript"/>
        </w:rPr>
        <w:t>)</w:t>
      </w:r>
      <w:r>
        <w:t xml:space="preserve"> </w:t>
      </w:r>
      <w:r w:rsidRPr="00FA12A7">
        <w:t>EU:C:2021:198</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B276F"/>
    <w:multiLevelType w:val="hybridMultilevel"/>
    <w:tmpl w:val="7CC07062"/>
    <w:lvl w:ilvl="0" w:tplc="ABA0AE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0E86B3D"/>
    <w:multiLevelType w:val="hybridMultilevel"/>
    <w:tmpl w:val="7BB4256A"/>
    <w:lvl w:ilvl="0" w:tplc="7952A7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4C91EDA"/>
    <w:multiLevelType w:val="hybridMultilevel"/>
    <w:tmpl w:val="73C2676A"/>
    <w:lvl w:ilvl="0" w:tplc="3D0EC9D2">
      <w:numFmt w:val="bullet"/>
      <w:lvlText w:val="-"/>
      <w:lvlJc w:val="left"/>
      <w:pPr>
        <w:ind w:left="1440" w:hanging="360"/>
      </w:pPr>
      <w:rPr>
        <w:rFonts w:ascii="Times New Roman" w:eastAsia="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4533709D"/>
    <w:multiLevelType w:val="hybridMultilevel"/>
    <w:tmpl w:val="15EA2C90"/>
    <w:lvl w:ilvl="0" w:tplc="D16E23B4">
      <w:start w:val="4"/>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0ED47EE"/>
    <w:multiLevelType w:val="hybridMultilevel"/>
    <w:tmpl w:val="7BB4256A"/>
    <w:lvl w:ilvl="0" w:tplc="7952A7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EBB7AAE"/>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42B1995"/>
    <w:multiLevelType w:val="hybridMultilevel"/>
    <w:tmpl w:val="E17E4C72"/>
    <w:lvl w:ilvl="0" w:tplc="3D0EC9D2">
      <w:numFmt w:val="bullet"/>
      <w:lvlText w:val="-"/>
      <w:lvlJc w:val="left"/>
      <w:pPr>
        <w:ind w:left="1440" w:hanging="360"/>
      </w:pPr>
      <w:rPr>
        <w:rFonts w:ascii="Times New Roman" w:eastAsia="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65262EBE"/>
    <w:multiLevelType w:val="hybridMultilevel"/>
    <w:tmpl w:val="FB1872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6"/>
  </w:num>
  <w:num w:numId="5">
    <w:abstractNumId w:val="4"/>
  </w:num>
  <w:num w:numId="6">
    <w:abstractNumId w:val="7"/>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EA3"/>
    <w:rsid w:val="00024B82"/>
    <w:rsid w:val="00043C94"/>
    <w:rsid w:val="0006746B"/>
    <w:rsid w:val="000F15B5"/>
    <w:rsid w:val="001F4805"/>
    <w:rsid w:val="00235E5E"/>
    <w:rsid w:val="00252170"/>
    <w:rsid w:val="0026300D"/>
    <w:rsid w:val="002B7047"/>
    <w:rsid w:val="002D4B5A"/>
    <w:rsid w:val="002E6048"/>
    <w:rsid w:val="003045F0"/>
    <w:rsid w:val="003173E3"/>
    <w:rsid w:val="00364586"/>
    <w:rsid w:val="004235DF"/>
    <w:rsid w:val="00531AA6"/>
    <w:rsid w:val="00546333"/>
    <w:rsid w:val="00553FE0"/>
    <w:rsid w:val="005720F5"/>
    <w:rsid w:val="00575EA3"/>
    <w:rsid w:val="005C02A2"/>
    <w:rsid w:val="005F5156"/>
    <w:rsid w:val="006216B8"/>
    <w:rsid w:val="00623B79"/>
    <w:rsid w:val="00631E26"/>
    <w:rsid w:val="0063231A"/>
    <w:rsid w:val="006359A4"/>
    <w:rsid w:val="00637826"/>
    <w:rsid w:val="006425DB"/>
    <w:rsid w:val="006B392F"/>
    <w:rsid w:val="006B7C14"/>
    <w:rsid w:val="007165B5"/>
    <w:rsid w:val="00726587"/>
    <w:rsid w:val="0073479F"/>
    <w:rsid w:val="007835D8"/>
    <w:rsid w:val="007E140E"/>
    <w:rsid w:val="0080134D"/>
    <w:rsid w:val="00863834"/>
    <w:rsid w:val="00883AC0"/>
    <w:rsid w:val="008C5DA5"/>
    <w:rsid w:val="00910893"/>
    <w:rsid w:val="00937FD2"/>
    <w:rsid w:val="00970B18"/>
    <w:rsid w:val="00980D84"/>
    <w:rsid w:val="00A82C08"/>
    <w:rsid w:val="00A92CE3"/>
    <w:rsid w:val="00A953AA"/>
    <w:rsid w:val="00AA2289"/>
    <w:rsid w:val="00AA477E"/>
    <w:rsid w:val="00AC1A2C"/>
    <w:rsid w:val="00AC2441"/>
    <w:rsid w:val="00AC4E4B"/>
    <w:rsid w:val="00B0692D"/>
    <w:rsid w:val="00B10B9D"/>
    <w:rsid w:val="00B51616"/>
    <w:rsid w:val="00B810A3"/>
    <w:rsid w:val="00B946E6"/>
    <w:rsid w:val="00BC7644"/>
    <w:rsid w:val="00BE30E0"/>
    <w:rsid w:val="00C014DA"/>
    <w:rsid w:val="00C64C34"/>
    <w:rsid w:val="00CA2388"/>
    <w:rsid w:val="00CB1E7D"/>
    <w:rsid w:val="00CB2EA2"/>
    <w:rsid w:val="00CC0BA7"/>
    <w:rsid w:val="00CD6780"/>
    <w:rsid w:val="00D16F71"/>
    <w:rsid w:val="00D440D4"/>
    <w:rsid w:val="00D640EB"/>
    <w:rsid w:val="00DB4709"/>
    <w:rsid w:val="00E370D7"/>
    <w:rsid w:val="00E50C7A"/>
    <w:rsid w:val="00E8654A"/>
    <w:rsid w:val="00EA502E"/>
    <w:rsid w:val="00EA6927"/>
    <w:rsid w:val="00ED7F51"/>
    <w:rsid w:val="00F47057"/>
    <w:rsid w:val="00F52A41"/>
    <w:rsid w:val="00FA3778"/>
    <w:rsid w:val="00FB2B55"/>
    <w:rsid w:val="00FB2D55"/>
    <w:rsid w:val="00FD71B2"/>
    <w:rsid w:val="00FE34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C1584"/>
  <w15:docId w15:val="{0EE8B8E3-AC81-4580-BBBC-C3F0F0FBE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semiHidden/>
    <w:rsid w:val="00575EA3"/>
  </w:style>
  <w:style w:type="paragraph" w:styleId="Tekstprzypisudolnego">
    <w:name w:val="footnote text"/>
    <w:basedOn w:val="Normalny"/>
    <w:link w:val="TekstprzypisudolnegoZnak"/>
    <w:rsid w:val="00575EA3"/>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575EA3"/>
    <w:rPr>
      <w:rFonts w:ascii="Times New Roman" w:eastAsia="Times New Roman" w:hAnsi="Times New Roman" w:cs="Times New Roman"/>
      <w:sz w:val="20"/>
      <w:szCs w:val="20"/>
      <w:lang w:eastAsia="pl-PL"/>
    </w:rPr>
  </w:style>
  <w:style w:type="character" w:styleId="Odwoanieprzypisudolnego">
    <w:name w:val="footnote reference"/>
    <w:rsid w:val="00575EA3"/>
    <w:rPr>
      <w:vertAlign w:val="superscript"/>
    </w:rPr>
  </w:style>
  <w:style w:type="character" w:styleId="Odwoaniedokomentarza">
    <w:name w:val="annotation reference"/>
    <w:rsid w:val="00575EA3"/>
    <w:rPr>
      <w:sz w:val="16"/>
      <w:szCs w:val="16"/>
    </w:rPr>
  </w:style>
  <w:style w:type="paragraph" w:styleId="Tekstkomentarza">
    <w:name w:val="annotation text"/>
    <w:basedOn w:val="Normalny"/>
    <w:link w:val="TekstkomentarzaZnak"/>
    <w:rsid w:val="00575EA3"/>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rsid w:val="00575EA3"/>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575EA3"/>
    <w:rPr>
      <w:b/>
      <w:bCs/>
    </w:rPr>
  </w:style>
  <w:style w:type="character" w:customStyle="1" w:styleId="TematkomentarzaZnak">
    <w:name w:val="Temat komentarza Znak"/>
    <w:basedOn w:val="TekstkomentarzaZnak"/>
    <w:link w:val="Tematkomentarza"/>
    <w:rsid w:val="00575EA3"/>
    <w:rPr>
      <w:rFonts w:ascii="Times New Roman" w:eastAsia="Times New Roman" w:hAnsi="Times New Roman" w:cs="Times New Roman"/>
      <w:b/>
      <w:bCs/>
      <w:sz w:val="20"/>
      <w:szCs w:val="20"/>
      <w:lang w:eastAsia="pl-PL"/>
    </w:rPr>
  </w:style>
  <w:style w:type="paragraph" w:styleId="Poprawka">
    <w:name w:val="Revision"/>
    <w:hidden/>
    <w:uiPriority w:val="99"/>
    <w:semiHidden/>
    <w:rsid w:val="00575EA3"/>
    <w:pPr>
      <w:spacing w:after="0" w:line="240" w:lineRule="auto"/>
    </w:pPr>
    <w:rPr>
      <w:rFonts w:ascii="Times New Roman" w:eastAsia="Times New Roman" w:hAnsi="Times New Roman" w:cs="Times New Roman"/>
      <w:sz w:val="24"/>
      <w:szCs w:val="24"/>
      <w:lang w:eastAsia="pl-PL"/>
    </w:rPr>
  </w:style>
  <w:style w:type="character" w:styleId="Hipercze">
    <w:name w:val="Hyperlink"/>
    <w:uiPriority w:val="99"/>
    <w:unhideWhenUsed/>
    <w:rsid w:val="00575EA3"/>
    <w:rPr>
      <w:color w:val="0000FF"/>
      <w:u w:val="single"/>
    </w:rPr>
  </w:style>
  <w:style w:type="character" w:styleId="UyteHipercze">
    <w:name w:val="FollowedHyperlink"/>
    <w:rsid w:val="00575EA3"/>
    <w:rPr>
      <w:color w:val="954F72"/>
      <w:u w:val="single"/>
    </w:rPr>
  </w:style>
  <w:style w:type="paragraph" w:styleId="Tekstprzypisukocowego">
    <w:name w:val="endnote text"/>
    <w:basedOn w:val="Normalny"/>
    <w:link w:val="TekstprzypisukocowegoZnak"/>
    <w:rsid w:val="00575EA3"/>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575EA3"/>
    <w:rPr>
      <w:rFonts w:ascii="Times New Roman" w:eastAsia="Times New Roman" w:hAnsi="Times New Roman" w:cs="Times New Roman"/>
      <w:sz w:val="20"/>
      <w:szCs w:val="20"/>
      <w:lang w:eastAsia="pl-PL"/>
    </w:rPr>
  </w:style>
  <w:style w:type="character" w:styleId="Odwoanieprzypisukocowego">
    <w:name w:val="endnote reference"/>
    <w:rsid w:val="00575EA3"/>
    <w:rPr>
      <w:vertAlign w:val="superscript"/>
    </w:rPr>
  </w:style>
  <w:style w:type="paragraph" w:styleId="Nagwek">
    <w:name w:val="header"/>
    <w:basedOn w:val="Normalny"/>
    <w:link w:val="NagwekZnak"/>
    <w:rsid w:val="00575EA3"/>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575EA3"/>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575EA3"/>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575EA3"/>
    <w:rPr>
      <w:rFonts w:ascii="Times New Roman" w:eastAsia="Times New Roman" w:hAnsi="Times New Roman" w:cs="Times New Roman"/>
      <w:sz w:val="24"/>
      <w:szCs w:val="24"/>
      <w:lang w:eastAsia="pl-PL"/>
    </w:rPr>
  </w:style>
  <w:style w:type="paragraph" w:styleId="Tekstdymka">
    <w:name w:val="Balloon Text"/>
    <w:basedOn w:val="Normalny"/>
    <w:link w:val="TekstdymkaZnak"/>
    <w:rsid w:val="00575EA3"/>
    <w:pPr>
      <w:spacing w:after="0" w:line="240" w:lineRule="auto"/>
    </w:pPr>
    <w:rPr>
      <w:rFonts w:ascii="Segoe UI" w:eastAsia="Times New Roman" w:hAnsi="Segoe UI" w:cs="Segoe UI"/>
      <w:sz w:val="18"/>
      <w:szCs w:val="18"/>
      <w:lang w:eastAsia="pl-PL"/>
    </w:rPr>
  </w:style>
  <w:style w:type="character" w:customStyle="1" w:styleId="TekstdymkaZnak">
    <w:name w:val="Tekst dymka Znak"/>
    <w:basedOn w:val="Domylnaczcionkaakapitu"/>
    <w:link w:val="Tekstdymka"/>
    <w:rsid w:val="00575EA3"/>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9</Pages>
  <Words>3044</Words>
  <Characters>18265</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Florkiewicz Ewa</dc:creator>
  <cp:lastModifiedBy>Sabiniewicz Marcin</cp:lastModifiedBy>
  <cp:revision>5</cp:revision>
  <dcterms:created xsi:type="dcterms:W3CDTF">2022-08-19T09:44:00Z</dcterms:created>
  <dcterms:modified xsi:type="dcterms:W3CDTF">2022-08-19T14:26:00Z</dcterms:modified>
</cp:coreProperties>
</file>