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E3" w:rsidRDefault="00D930E3" w:rsidP="00D930E3">
      <w:pPr>
        <w:pStyle w:val="OZNPROJEKTUwskazaniedatylubwersjiprojektu"/>
      </w:pPr>
      <w:bookmarkStart w:id="0" w:name="_GoBack"/>
      <w:bookmarkEnd w:id="0"/>
      <w:r>
        <w:t>Projekt</w:t>
      </w:r>
    </w:p>
    <w:p w:rsidR="00D930E3" w:rsidRPr="00600EC1" w:rsidRDefault="00D930E3" w:rsidP="00D930E3">
      <w:pPr>
        <w:pStyle w:val="OZNRODZAKTUtznustawalubrozporzdzenieiorganwydajcy"/>
      </w:pPr>
      <w:r w:rsidRPr="00600EC1">
        <w:t>USTAWA</w:t>
      </w:r>
    </w:p>
    <w:p w:rsidR="00D930E3" w:rsidRPr="00600EC1" w:rsidRDefault="00D930E3" w:rsidP="00D930E3">
      <w:pPr>
        <w:pStyle w:val="DATAAKTUdatauchwalenialubwydaniaaktu"/>
      </w:pPr>
      <w:r w:rsidRPr="00600EC1">
        <w:t xml:space="preserve">z dnia </w:t>
      </w:r>
    </w:p>
    <w:p w:rsidR="00D930E3" w:rsidRPr="0055028D" w:rsidRDefault="00D930E3" w:rsidP="00D930E3">
      <w:pPr>
        <w:pStyle w:val="TYTUAKTUprzedmiotregulacjiustawylubrozporzdzenia"/>
      </w:pPr>
      <w:r w:rsidRPr="00600EC1">
        <w:t xml:space="preserve">o zmianie ustawy </w:t>
      </w:r>
      <w:r w:rsidRPr="0055028D">
        <w:t>–</w:t>
      </w:r>
      <w:r w:rsidRPr="00600EC1">
        <w:t xml:space="preserve"> Prawo pocztowe</w:t>
      </w:r>
    </w:p>
    <w:p w:rsidR="00D930E3" w:rsidRPr="00600EC1" w:rsidRDefault="00D930E3" w:rsidP="00D930E3">
      <w:pPr>
        <w:pStyle w:val="ARTartustawynprozporzdzenia"/>
      </w:pPr>
      <w:r w:rsidRPr="00D956DC">
        <w:rPr>
          <w:rStyle w:val="Ppogrubienie"/>
        </w:rPr>
        <w:t>Art.</w:t>
      </w:r>
      <w:r w:rsidR="006B00A1">
        <w:rPr>
          <w:rStyle w:val="Ppogrubienie"/>
        </w:rPr>
        <w:t> </w:t>
      </w:r>
      <w:r w:rsidRPr="00D956DC">
        <w:rPr>
          <w:rStyle w:val="Ppogrubienie"/>
        </w:rPr>
        <w:t>1.</w:t>
      </w:r>
      <w:r w:rsidR="006B00A1">
        <w:t> </w:t>
      </w:r>
      <w:r w:rsidRPr="00600EC1">
        <w:t>W ustawie</w:t>
      </w:r>
      <w:hyperlink r:id="rId9" w:anchor="/document/17938059/2019-11-22?cm=DOCUMENT" w:history="1"/>
      <w:r>
        <w:t xml:space="preserve"> z dnia 23 listopada 2012 r. </w:t>
      </w:r>
      <w:r w:rsidRPr="0055028D">
        <w:t>–</w:t>
      </w:r>
      <w:r w:rsidRPr="00600EC1">
        <w:t xml:space="preserve"> Prawo pocztowe (Dz. U. z 202</w:t>
      </w:r>
      <w:r>
        <w:t>2</w:t>
      </w:r>
      <w:r w:rsidRPr="00600EC1">
        <w:t xml:space="preserve"> r. poz. </w:t>
      </w:r>
      <w:r>
        <w:t>896</w:t>
      </w:r>
      <w:r w:rsidRPr="00600EC1">
        <w:t>) wprowadza się następujące zmiany:</w:t>
      </w:r>
    </w:p>
    <w:p w:rsidR="00D930E3" w:rsidRPr="0016671F" w:rsidRDefault="00D930E3" w:rsidP="00D930E3">
      <w:pPr>
        <w:pStyle w:val="PKTpunkt"/>
      </w:pPr>
      <w:r w:rsidRPr="0016671F">
        <w:t>1)</w:t>
      </w:r>
      <w:r w:rsidRPr="0016671F">
        <w:tab/>
        <w:t>w art. 3:</w:t>
      </w:r>
    </w:p>
    <w:p w:rsidR="00D930E3" w:rsidRPr="0016671F" w:rsidRDefault="00D930E3" w:rsidP="00D930E3">
      <w:pPr>
        <w:pStyle w:val="LITlitera"/>
      </w:pPr>
      <w:r w:rsidRPr="0016671F">
        <w:t>a)</w:t>
      </w:r>
      <w:r w:rsidRPr="0016671F">
        <w:tab/>
        <w:t>pkt 14 otrzymuje brzmienie:</w:t>
      </w:r>
    </w:p>
    <w:p w:rsidR="00D930E3" w:rsidRPr="0055028D" w:rsidRDefault="00D930E3" w:rsidP="00D930E3">
      <w:pPr>
        <w:pStyle w:val="ZLITPKTzmpktliter"/>
      </w:pPr>
      <w:r>
        <w:t>„14)</w:t>
      </w:r>
      <w:r>
        <w:tab/>
      </w:r>
      <w:r w:rsidRPr="0055028D">
        <w:t xml:space="preserve">paczka pocztowa – przesyłkę rejestrowaną, niebędącą przesyłką listową, o masie do </w:t>
      </w:r>
      <w:r>
        <w:t>20 000</w:t>
      </w:r>
      <w:r w:rsidRPr="0055028D">
        <w:t xml:space="preserve"> g i sumie wymiarów (długość</w:t>
      </w:r>
      <w:r>
        <w:t>,</w:t>
      </w:r>
      <w:r w:rsidRPr="0055028D">
        <w:t xml:space="preserve"> szerokość</w:t>
      </w:r>
      <w:r>
        <w:t>,</w:t>
      </w:r>
      <w:r w:rsidRPr="0055028D">
        <w:t xml:space="preserve"> wysokość) nieprzekraczającej 3</w:t>
      </w:r>
      <w:r>
        <w:t>0</w:t>
      </w:r>
      <w:r w:rsidRPr="0055028D">
        <w:t xml:space="preserve">00 mm, przy czym najdłuższy wymiar nie może </w:t>
      </w:r>
      <w:r>
        <w:t>przekroczyć</w:t>
      </w:r>
      <w:r w:rsidRPr="0055028D">
        <w:t xml:space="preserve"> 1500 mm;”,</w:t>
      </w:r>
    </w:p>
    <w:p w:rsidR="00D930E3" w:rsidRPr="0055028D" w:rsidRDefault="00D930E3" w:rsidP="00D930E3">
      <w:pPr>
        <w:pStyle w:val="LITlitera"/>
      </w:pPr>
      <w:r>
        <w:t>b)</w:t>
      </w:r>
      <w:r>
        <w:tab/>
      </w:r>
      <w:r w:rsidRPr="0055028D">
        <w:t>pkt 19 otrzymuje brzmienie:</w:t>
      </w:r>
    </w:p>
    <w:p w:rsidR="00D930E3" w:rsidRPr="0055028D" w:rsidRDefault="00D930E3" w:rsidP="00D930E3">
      <w:pPr>
        <w:pStyle w:val="ZLITPKTzmpktliter"/>
      </w:pPr>
      <w:r w:rsidRPr="0055028D">
        <w:t>„19)</w:t>
      </w:r>
      <w:r>
        <w:tab/>
      </w:r>
      <w:r w:rsidRPr="0055028D">
        <w:t>przesyłka kurierska – przesyłkę listową będącą przesyłką rejestrowaną lub paczkę pocztową, przyjmowaną, sortowaną, przemieszczaną i doręczaną w sposób łącznie zapewniający:</w:t>
      </w:r>
    </w:p>
    <w:p w:rsidR="00D930E3" w:rsidRPr="0055028D" w:rsidRDefault="00D930E3" w:rsidP="00AB38DA">
      <w:pPr>
        <w:pStyle w:val="ZLITLITwPKTzmlitwpktliter"/>
      </w:pPr>
      <w:r>
        <w:t>a)</w:t>
      </w:r>
      <w:r>
        <w:tab/>
      </w:r>
      <w:r w:rsidRPr="0055028D">
        <w:t>rejestrację dnia i godziny nadania przesyłki pocztowej,</w:t>
      </w:r>
    </w:p>
    <w:p w:rsidR="00D930E3" w:rsidRPr="0055028D" w:rsidRDefault="00D930E3" w:rsidP="00AB38DA">
      <w:pPr>
        <w:pStyle w:val="ZLITLITwPKTzmlitwpktliter"/>
      </w:pPr>
      <w:r>
        <w:t>b)</w:t>
      </w:r>
      <w:r>
        <w:tab/>
      </w:r>
      <w:r w:rsidRPr="0055028D">
        <w:t xml:space="preserve">śledzenie przesyłki pocztowej od momentu nadania do </w:t>
      </w:r>
      <w:r>
        <w:t xml:space="preserve">momentu </w:t>
      </w:r>
      <w:r w:rsidRPr="0055028D">
        <w:t>doręczenia,</w:t>
      </w:r>
    </w:p>
    <w:p w:rsidR="00D930E3" w:rsidRPr="0055028D" w:rsidRDefault="00D930E3" w:rsidP="00AB38DA">
      <w:pPr>
        <w:pStyle w:val="ZLITLITwPKTzmlitwpktliter"/>
      </w:pPr>
      <w:r w:rsidRPr="0055028D">
        <w:t>c)</w:t>
      </w:r>
      <w:r>
        <w:tab/>
      </w:r>
      <w:r w:rsidRPr="0055028D">
        <w:t>doręczenie przesyłki pocztowej w gwarantowanym terminie określonym w regulaminie świadczenia usług pocztowych lub w umowach o świadczenie usług pocztowych,</w:t>
      </w:r>
    </w:p>
    <w:p w:rsidR="00D930E3" w:rsidRPr="0055028D" w:rsidRDefault="00D930E3" w:rsidP="00AB38DA">
      <w:pPr>
        <w:pStyle w:val="ZLITLITwPKTzmlitwpktliter"/>
      </w:pPr>
      <w:r>
        <w:t>d)</w:t>
      </w:r>
      <w:r>
        <w:tab/>
      </w:r>
      <w:r w:rsidRPr="0055028D">
        <w:t xml:space="preserve">doręczenie przesyłki pocztowej adresatowi lub osobie uprawnionej do odbioru </w:t>
      </w:r>
      <w:r>
        <w:t xml:space="preserve">w miejscu określonym przez nadawcę lub uzgodnionym z adresatem, </w:t>
      </w:r>
      <w:r w:rsidRPr="0055028D">
        <w:t xml:space="preserve">w sposób zapewniający </w:t>
      </w:r>
      <w:r w:rsidRPr="004A64AD">
        <w:t>rejestrację dnia</w:t>
      </w:r>
      <w:r>
        <w:t xml:space="preserve"> i </w:t>
      </w:r>
      <w:r w:rsidRPr="004A64AD">
        <w:t>godziny doręczenia przesyłki pocztowej</w:t>
      </w:r>
      <w:r>
        <w:t>;</w:t>
      </w:r>
      <w:r w:rsidRPr="0055028D">
        <w:t>”;</w:t>
      </w:r>
    </w:p>
    <w:p w:rsidR="00D930E3" w:rsidRPr="00DE1879" w:rsidRDefault="00D930E3" w:rsidP="00D930E3">
      <w:pPr>
        <w:pStyle w:val="PKTpunkt"/>
      </w:pPr>
      <w:r>
        <w:t>2)</w:t>
      </w:r>
      <w:r>
        <w:tab/>
        <w:t>art. 17 otrzymuje brzmienie:</w:t>
      </w:r>
    </w:p>
    <w:p w:rsidR="00D930E3" w:rsidRDefault="00D930E3" w:rsidP="00D930E3">
      <w:pPr>
        <w:pStyle w:val="ZARTzmartartykuempunktem"/>
      </w:pPr>
      <w:r w:rsidRPr="0055028D">
        <w:t xml:space="preserve">„Art. 17. Potwierdzenie nadania przesyłki rejestrowanej lub przekazu pocztowego wydane przez operatora </w:t>
      </w:r>
      <w:r>
        <w:t>wyznaczonego</w:t>
      </w:r>
      <w:r w:rsidRPr="0055028D">
        <w:t xml:space="preserve"> </w:t>
      </w:r>
      <w:r>
        <w:t>oraz</w:t>
      </w:r>
      <w:r w:rsidRPr="0055028D">
        <w:t xml:space="preserve"> wydruk potwierdzenia nadania przesyłki rejestrowanej lub przekazu pocztowego pobran</w:t>
      </w:r>
      <w:r>
        <w:t>e</w:t>
      </w:r>
      <w:r w:rsidRPr="0055028D">
        <w:t xml:space="preserve"> </w:t>
      </w:r>
      <w:r w:rsidRPr="0055028D">
        <w:lastRenderedPageBreak/>
        <w:t xml:space="preserve">samodzielnie z systemu teleinformatycznego operatora </w:t>
      </w:r>
      <w:r>
        <w:t>wyznaczonego</w:t>
      </w:r>
      <w:r w:rsidRPr="0055028D">
        <w:t xml:space="preserve"> służącego do nada</w:t>
      </w:r>
      <w:r>
        <w:t>wa</w:t>
      </w:r>
      <w:r w:rsidRPr="0055028D">
        <w:t xml:space="preserve">nia </w:t>
      </w:r>
      <w:r>
        <w:t xml:space="preserve">rejestrowanych </w:t>
      </w:r>
      <w:r w:rsidRPr="0055028D">
        <w:t xml:space="preserve">przesyłek </w:t>
      </w:r>
      <w:r>
        <w:t>pocztowych</w:t>
      </w:r>
      <w:r w:rsidRPr="0055028D">
        <w:t xml:space="preserve"> lub przekazów pocztowych ma</w:t>
      </w:r>
      <w:r>
        <w:t>ją</w:t>
      </w:r>
      <w:r w:rsidRPr="0055028D">
        <w:t xml:space="preserve"> moc dokument</w:t>
      </w:r>
      <w:r>
        <w:t>ów</w:t>
      </w:r>
      <w:r w:rsidRPr="0055028D">
        <w:t xml:space="preserve"> urzędow</w:t>
      </w:r>
      <w:r>
        <w:t>ych</w:t>
      </w:r>
      <w:r w:rsidRPr="0055028D">
        <w:t>.”;</w:t>
      </w:r>
    </w:p>
    <w:p w:rsidR="00D930E3" w:rsidRDefault="00D930E3" w:rsidP="00D930E3">
      <w:pPr>
        <w:pStyle w:val="PKTpunkt"/>
      </w:pPr>
      <w:r>
        <w:t>3)</w:t>
      </w:r>
      <w:r>
        <w:tab/>
        <w:t>w art. 18 w ust. 1 pkt 2 otrzymuje brzmienie:</w:t>
      </w:r>
    </w:p>
    <w:p w:rsidR="00D930E3" w:rsidRPr="0055028D" w:rsidRDefault="00D930E3" w:rsidP="00D930E3">
      <w:pPr>
        <w:pStyle w:val="ZPKTzmpktartykuempunktem"/>
      </w:pPr>
      <w:r w:rsidRPr="0055028D">
        <w:t>„</w:t>
      </w:r>
      <w:r>
        <w:t>2)</w:t>
      </w:r>
      <w:r>
        <w:tab/>
      </w:r>
      <w:r w:rsidRPr="00CB2B25">
        <w:t>żądać zmiany adresata, jego adresu lub miejsca doręczenia przesyłki</w:t>
      </w:r>
      <w:r>
        <w:t>.</w:t>
      </w:r>
      <w:r w:rsidRPr="00CB2B25">
        <w:t>”</w:t>
      </w:r>
      <w:r>
        <w:t>;</w:t>
      </w:r>
    </w:p>
    <w:p w:rsidR="00D930E3" w:rsidRPr="00DE1879" w:rsidRDefault="00D930E3" w:rsidP="00D930E3">
      <w:pPr>
        <w:pStyle w:val="PKTpunkt"/>
      </w:pPr>
      <w:r>
        <w:t>4</w:t>
      </w:r>
      <w:r w:rsidRPr="00DE1879">
        <w:t>)</w:t>
      </w:r>
      <w:r w:rsidRPr="00DE1879">
        <w:tab/>
        <w:t>w art. 21</w:t>
      </w:r>
      <w:r>
        <w:t xml:space="preserve"> </w:t>
      </w:r>
      <w:r w:rsidRPr="00DE1879">
        <w:t>ust. 4 otrzymuje brzmienie:</w:t>
      </w:r>
    </w:p>
    <w:p w:rsidR="00D930E3" w:rsidRPr="0055028D" w:rsidRDefault="00D930E3" w:rsidP="00D930E3">
      <w:pPr>
        <w:pStyle w:val="ZUSTzmustartykuempunktem"/>
      </w:pPr>
      <w:r w:rsidRPr="00DE1879">
        <w:t>„</w:t>
      </w:r>
      <w:r>
        <w:t xml:space="preserve">4. </w:t>
      </w:r>
      <w:r w:rsidRPr="00B853C5">
        <w:t xml:space="preserve">Operator pocztowy określa w regulaminie świadczenia usług pocztowych </w:t>
      </w:r>
      <w:r>
        <w:t>sposób</w:t>
      </w:r>
      <w:r w:rsidRPr="00B853C5">
        <w:t xml:space="preserve"> realizacji obowiązku wskazanego w </w:t>
      </w:r>
      <w:bookmarkStart w:id="1" w:name="_Hlk113274752"/>
      <w:r w:rsidRPr="00B853C5">
        <w:t>art. 10 ust. 3 rozporządzenia delegowanego</w:t>
      </w:r>
      <w:r>
        <w:t xml:space="preserve"> </w:t>
      </w:r>
      <w:r w:rsidRPr="00B853C5">
        <w:t xml:space="preserve">Komisji (UE) 2019/2122 z dnia 10 października 2019 r. uzupełniającego rozporządzenie Parlamentu Europejskiego i Rady (UE) 2017/625 w odniesieniu do niektórych kategorii zwierząt i towarów zwolnionych z kontroli urzędowych w punktach kontroli granicznej i w odniesieniu do określonych kontroli bagażu osobistego pasażerów i małych przesyłek </w:t>
      </w:r>
      <w:r>
        <w:t xml:space="preserve">towarów </w:t>
      </w:r>
      <w:r w:rsidRPr="00B853C5">
        <w:t xml:space="preserve">wysyłanych do osób fizycznych i nieprzeznaczonych do wprowadzenia do obrotu oraz zmieniającego rozporządzenie Komisji </w:t>
      </w:r>
      <w:bookmarkEnd w:id="1"/>
      <w:r w:rsidRPr="00B853C5">
        <w:t>(UE) nr 142/2011 (Dz. Urz. UE L 321 z 12.12.2019</w:t>
      </w:r>
      <w:r>
        <w:t>,</w:t>
      </w:r>
      <w:r w:rsidRPr="00B853C5">
        <w:t xml:space="preserve"> str. </w:t>
      </w:r>
      <w:r>
        <w:t>45</w:t>
      </w:r>
      <w:r w:rsidR="001D403E">
        <w:t>,</w:t>
      </w:r>
      <w:r>
        <w:t xml:space="preserve"> z </w:t>
      </w:r>
      <w:proofErr w:type="spellStart"/>
      <w:r>
        <w:t>późn</w:t>
      </w:r>
      <w:proofErr w:type="spellEnd"/>
      <w:r>
        <w:t>. zm.</w:t>
      </w:r>
      <w:r>
        <w:rPr>
          <w:rStyle w:val="Odwoanieprzypisudolnego"/>
        </w:rPr>
        <w:footnoteReference w:id="1"/>
      </w:r>
      <w:r>
        <w:rPr>
          <w:rStyle w:val="IGindeksgrny"/>
        </w:rPr>
        <w:t>)</w:t>
      </w:r>
      <w:r>
        <w:t>).”;</w:t>
      </w:r>
    </w:p>
    <w:p w:rsidR="00D930E3" w:rsidRPr="00DE1879" w:rsidRDefault="00D930E3" w:rsidP="00D930E3">
      <w:pPr>
        <w:pStyle w:val="PKTpunkt"/>
      </w:pPr>
      <w:r>
        <w:t>5</w:t>
      </w:r>
      <w:r w:rsidRPr="00DE1879">
        <w:t>)</w:t>
      </w:r>
      <w:r w:rsidRPr="00DE1879">
        <w:tab/>
        <w:t>w art. 33:</w:t>
      </w:r>
    </w:p>
    <w:p w:rsidR="00D930E3" w:rsidRPr="00F44F99" w:rsidRDefault="00D930E3" w:rsidP="00D930E3">
      <w:pPr>
        <w:pStyle w:val="LITlitera"/>
      </w:pPr>
      <w:r w:rsidRPr="00F44F99">
        <w:t>a)</w:t>
      </w:r>
      <w:r w:rsidRPr="00F44F99">
        <w:tab/>
        <w:t>ust. 2 otrzymuje brzmienie:</w:t>
      </w:r>
    </w:p>
    <w:p w:rsidR="00D930E3" w:rsidRPr="00127F2B" w:rsidRDefault="00D930E3" w:rsidP="00D930E3">
      <w:pPr>
        <w:pStyle w:val="ZLITUSTzmustliter"/>
      </w:pPr>
      <w:r w:rsidRPr="00127F2B">
        <w:t xml:space="preserve">„2. Jako przesyłkę niedoręczalną traktuje się także nieopłaconą </w:t>
      </w:r>
      <w:r>
        <w:t>albo</w:t>
      </w:r>
      <w:r w:rsidRPr="00127F2B">
        <w:t xml:space="preserve"> opłaconą w kwocie niższej niż należna przesyłkę listową niebędącą przesyłką rejestrowaną, jeżeli nadawca odmówi przyjęcia przesyłki lub uiszczenia opłaty za zwrot przesyłki albo uiszczenia dopłaty. Do zawartości tej przesyłki stosuje się odpowiednio przepisy ust. 9.”,</w:t>
      </w:r>
    </w:p>
    <w:p w:rsidR="00D930E3" w:rsidRPr="00127F2B" w:rsidRDefault="00D930E3" w:rsidP="00D930E3">
      <w:pPr>
        <w:pStyle w:val="LITlitera"/>
      </w:pPr>
      <w:r w:rsidRPr="00F44F99">
        <w:t>b)</w:t>
      </w:r>
      <w:r w:rsidRPr="00F44F99">
        <w:tab/>
        <w:t>w ust. 9</w:t>
      </w:r>
      <w:r>
        <w:t xml:space="preserve"> </w:t>
      </w:r>
      <w:r w:rsidRPr="00127F2B">
        <w:t xml:space="preserve">pkt 2 otrzymuje brzmienie: </w:t>
      </w:r>
    </w:p>
    <w:p w:rsidR="00D930E3" w:rsidRDefault="00D930E3" w:rsidP="00080747">
      <w:pPr>
        <w:pStyle w:val="ZLITPKTzmpktliter"/>
      </w:pPr>
      <w:r w:rsidRPr="00127F2B">
        <w:t>„2)</w:t>
      </w:r>
      <w:r w:rsidRPr="00127F2B">
        <w:tab/>
        <w:t>zawartość inna niż korespondencja stanowiąca przesyłkę i jej opakowanie podlega zniszczeniu przez operatora pocztowego, o którym mowa w ust. 1, w sposób uniemożliwiający odtworzenie informacji zawartej w przesyłce i na jej opakowaniu</w:t>
      </w:r>
      <w:r>
        <w:t>,</w:t>
      </w:r>
      <w:r w:rsidRPr="00127F2B">
        <w:t xml:space="preserve"> nie wcześniej niż po upływie </w:t>
      </w:r>
      <w:r>
        <w:t>12</w:t>
      </w:r>
      <w:r w:rsidRPr="00127F2B">
        <w:t xml:space="preserve"> miesięcy od dnia otwarcia przesyłki</w:t>
      </w:r>
      <w:r>
        <w:t>.</w:t>
      </w:r>
      <w:r w:rsidRPr="00127F2B">
        <w:t>”,</w:t>
      </w:r>
    </w:p>
    <w:p w:rsidR="00D930E3" w:rsidRDefault="00D930E3" w:rsidP="00D930E3">
      <w:pPr>
        <w:pStyle w:val="LITlitera"/>
      </w:pPr>
      <w:r>
        <w:lastRenderedPageBreak/>
        <w:t>c)</w:t>
      </w:r>
      <w:r>
        <w:tab/>
      </w:r>
      <w:r w:rsidRPr="001F7B46">
        <w:t>dodaje</w:t>
      </w:r>
      <w:r>
        <w:t xml:space="preserve"> się ust. 10 i 11 w </w:t>
      </w:r>
      <w:r w:rsidRPr="001F7B46">
        <w:t>brzmieniu</w:t>
      </w:r>
      <w:r>
        <w:t>:</w:t>
      </w:r>
    </w:p>
    <w:p w:rsidR="00D930E3" w:rsidRDefault="00D930E3" w:rsidP="00080747">
      <w:pPr>
        <w:pStyle w:val="ZLITUSTzmustliter"/>
      </w:pPr>
      <w:r w:rsidRPr="00127F2B">
        <w:t>„</w:t>
      </w:r>
      <w:r>
        <w:t>10.</w:t>
      </w:r>
      <w:r w:rsidR="00080747">
        <w:t> </w:t>
      </w:r>
      <w:r>
        <w:t>Jeżeli osoba uprawniona złoży reklamację przed upływem terminu, o którym mowa w ust. 9 pkt 2, zawartość przesyłki i jej opakowanie nie mogą zostać zniszczone zanim decyzja o rozstrzygnięciu reklamacji stanie się ostateczna.</w:t>
      </w:r>
    </w:p>
    <w:p w:rsidR="00D930E3" w:rsidRPr="00127F2B" w:rsidRDefault="00D930E3" w:rsidP="00080747">
      <w:pPr>
        <w:pStyle w:val="ZLITUSTzmustliter"/>
      </w:pPr>
      <w:r>
        <w:t>11.</w:t>
      </w:r>
      <w:r>
        <w:tab/>
        <w:t>Do</w:t>
      </w:r>
      <w:r w:rsidRPr="00127F2B">
        <w:t xml:space="preserve"> zawartości przesył</w:t>
      </w:r>
      <w:r>
        <w:t>ki</w:t>
      </w:r>
      <w:r w:rsidRPr="00127F2B">
        <w:t xml:space="preserve"> stanowiącej </w:t>
      </w:r>
      <w:r w:rsidRPr="001F7B46">
        <w:t>pieniądze</w:t>
      </w:r>
      <w:r w:rsidRPr="00127F2B">
        <w:t>, papiery wartościowe, kosztowności, rzeczy o wartości historycznej, naukowej, artystycznej, sprzęt lub ekwipunek wojskowy, rzeczy, których posiadanie wymaga pozwolenia, w szczególności broń, amunicj</w:t>
      </w:r>
      <w:r>
        <w:t>ę</w:t>
      </w:r>
      <w:r w:rsidRPr="00127F2B">
        <w:t>, materiały wybuchowe oraz każdego rodzaju dokumenty tożsamości, a także rzeczy będące zabytkiem lub materiałem archiwalnym stosuje się odpowiednio art.</w:t>
      </w:r>
      <w:r w:rsidR="00080747">
        <w:t xml:space="preserve"> </w:t>
      </w:r>
      <w:r w:rsidRPr="00127F2B">
        <w:t>4, art. 5 ust. 1 i 3</w:t>
      </w:r>
      <w:r w:rsidRPr="0055028D">
        <w:t>–</w:t>
      </w:r>
      <w:r w:rsidRPr="00127F2B">
        <w:t>5, art. 6 oraz art. 8</w:t>
      </w:r>
      <w:r w:rsidRPr="0055028D">
        <w:t>–</w:t>
      </w:r>
      <w:r w:rsidRPr="00127F2B">
        <w:t>12 ustawy z dnia 20 lutego 2015 r. o rzeczach znalezionych (Dz. U. z 2019 r. poz. 908) i art. 187 ustawy z dnia 23 kwietnia 1964 r. – Kodeks cywilny (Dz. U. z 202</w:t>
      </w:r>
      <w:r>
        <w:t>2</w:t>
      </w:r>
      <w:r w:rsidRPr="00127F2B">
        <w:t xml:space="preserve"> r. poz. </w:t>
      </w:r>
      <w:r>
        <w:t>1360</w:t>
      </w:r>
      <w:r w:rsidRPr="00127F2B">
        <w:t>)</w:t>
      </w:r>
      <w:r>
        <w:t>.</w:t>
      </w:r>
      <w:r w:rsidRPr="00127F2B">
        <w:t xml:space="preserve">”; </w:t>
      </w:r>
    </w:p>
    <w:p w:rsidR="00D930E3" w:rsidRDefault="00D930E3" w:rsidP="00D930E3">
      <w:pPr>
        <w:pStyle w:val="PKTpunkt"/>
      </w:pPr>
      <w:r>
        <w:t>6</w:t>
      </w:r>
      <w:r w:rsidRPr="00A01DC7">
        <w:t>)</w:t>
      </w:r>
      <w:r w:rsidRPr="00A01DC7">
        <w:tab/>
        <w:t>w art. 37</w:t>
      </w:r>
      <w:r>
        <w:t>:</w:t>
      </w:r>
    </w:p>
    <w:p w:rsidR="00D930E3" w:rsidRDefault="00D930E3" w:rsidP="00D930E3">
      <w:pPr>
        <w:pStyle w:val="LITlitera"/>
      </w:pPr>
      <w:r w:rsidRPr="008D10B1">
        <w:t>a)</w:t>
      </w:r>
      <w:r w:rsidRPr="008D10B1">
        <w:tab/>
      </w:r>
      <w:r>
        <w:t xml:space="preserve">w </w:t>
      </w:r>
      <w:r w:rsidRPr="008D10B1">
        <w:t xml:space="preserve">ust. 2 </w:t>
      </w:r>
      <w:r>
        <w:t xml:space="preserve">w </w:t>
      </w:r>
      <w:r w:rsidRPr="008D10B1">
        <w:t>pkt 1 lit. c</w:t>
      </w:r>
      <w:r>
        <w:t xml:space="preserve"> otrzymuje brzmienie:</w:t>
      </w:r>
    </w:p>
    <w:p w:rsidR="00D930E3" w:rsidRPr="008D10B1" w:rsidRDefault="00D930E3" w:rsidP="00D930E3">
      <w:pPr>
        <w:pStyle w:val="ZLITLITzmlitliter"/>
      </w:pPr>
      <w:r w:rsidRPr="0055028D">
        <w:t>„</w:t>
      </w:r>
      <w:r>
        <w:t>c)</w:t>
      </w:r>
      <w:r>
        <w:tab/>
      </w:r>
      <w:r w:rsidRPr="008D10B1">
        <w:t>w miejscu uzgodnionym przez adresata lub nadawcę z operatorem pocztowym</w:t>
      </w:r>
      <w:r>
        <w:t>;</w:t>
      </w:r>
      <w:r w:rsidRPr="008D10B1">
        <w:t>”</w:t>
      </w:r>
      <w:r>
        <w:t>,</w:t>
      </w:r>
      <w:r w:rsidRPr="008D10B1">
        <w:t xml:space="preserve"> </w:t>
      </w:r>
    </w:p>
    <w:p w:rsidR="00D930E3" w:rsidRPr="00A01DC7" w:rsidRDefault="00D930E3" w:rsidP="00D930E3">
      <w:pPr>
        <w:pStyle w:val="LITlitera"/>
      </w:pPr>
      <w:r>
        <w:t>b)</w:t>
      </w:r>
      <w:r>
        <w:tab/>
      </w:r>
      <w:r w:rsidRPr="00A01DC7">
        <w:t>ust. 4 otrzymuje brzmienie:</w:t>
      </w:r>
    </w:p>
    <w:p w:rsidR="00D930E3" w:rsidRPr="0055028D" w:rsidRDefault="00D930E3" w:rsidP="00080747">
      <w:pPr>
        <w:pStyle w:val="ZLITUSTzmustliter"/>
      </w:pPr>
      <w:r w:rsidRPr="0055028D">
        <w:t>„4.</w:t>
      </w:r>
      <w:r w:rsidR="00080747">
        <w:t xml:space="preserve"> </w:t>
      </w:r>
      <w:r w:rsidRPr="0055028D">
        <w:t>Na pisemny wniosek adresata, złożony w odpowiedniej placówce pocztowej, przesyłka listowa będąca przesyłką rejestrowaną, z wyłączeniem przesyłek nadawanych z usługą potwierdzenia odbioru, może być doręczona w sposób, o którym mowa w ust. 2 pkt 1 lit. a. Wniosek może być złożony w postaci elektronicznej, jeżeli taką postać dopuszcza regulamin świadczenia usług pocztowych lub regulamin świadczenia usług powszechnych.”;</w:t>
      </w:r>
    </w:p>
    <w:p w:rsidR="00D930E3" w:rsidRPr="0055028D" w:rsidRDefault="00D930E3" w:rsidP="00D930E3">
      <w:pPr>
        <w:pStyle w:val="PKTpunkt"/>
      </w:pPr>
      <w:r>
        <w:t>7</w:t>
      </w:r>
      <w:r w:rsidRPr="00A01DC7">
        <w:t>)</w:t>
      </w:r>
      <w:r w:rsidRPr="00A01DC7">
        <w:tab/>
        <w:t>w art. 38</w:t>
      </w:r>
      <w:r>
        <w:t xml:space="preserve"> </w:t>
      </w:r>
      <w:r w:rsidRPr="0055028D">
        <w:t>po ust. 3 dodaje się ust. 3a w brzmieniu:</w:t>
      </w:r>
    </w:p>
    <w:p w:rsidR="00D930E3" w:rsidRPr="00BD2C33" w:rsidRDefault="00D930E3" w:rsidP="00D930E3">
      <w:pPr>
        <w:pStyle w:val="ZUSTzmustartykuempunktem"/>
        <w:rPr>
          <w:highlight w:val="yellow"/>
        </w:rPr>
      </w:pPr>
      <w:r w:rsidRPr="0055028D">
        <w:t xml:space="preserve">„3a. </w:t>
      </w:r>
      <w:r w:rsidRPr="00926C87">
        <w:t>Pełnomocn</w:t>
      </w:r>
      <w:r>
        <w:t xml:space="preserve">ictwa pocztowego adresat może również </w:t>
      </w:r>
      <w:r w:rsidRPr="00926C87">
        <w:t>udzielić</w:t>
      </w:r>
      <w:r w:rsidRPr="006B0DBB">
        <w:t xml:space="preserve"> </w:t>
      </w:r>
      <w:r>
        <w:t>przez złożenie w postaci elektronicznej oświadczenia</w:t>
      </w:r>
      <w:r w:rsidRPr="006B0DBB">
        <w:t xml:space="preserve"> opatrzone</w:t>
      </w:r>
      <w:r>
        <w:t>go</w:t>
      </w:r>
      <w:r w:rsidRPr="006B0DBB">
        <w:t xml:space="preserve"> kwalifikowanym podpisem elektronicznym</w:t>
      </w:r>
      <w:r>
        <w:t>,</w:t>
      </w:r>
      <w:r w:rsidRPr="006B0DBB">
        <w:t xml:space="preserve"> </w:t>
      </w:r>
      <w:r>
        <w:t xml:space="preserve">podpisem </w:t>
      </w:r>
      <w:r w:rsidRPr="006B0DBB">
        <w:t>zaufanym</w:t>
      </w:r>
      <w:r>
        <w:t xml:space="preserve"> albo podpisem osobistym, jeżeli </w:t>
      </w:r>
      <w:r>
        <w:lastRenderedPageBreak/>
        <w:t>operator pocztowy przewidział taką możliwość w regulaminie świadczenia usług pocztowych lub regulaminie świadczenia usług powszechnych</w:t>
      </w:r>
      <w:r w:rsidRPr="006B0DBB">
        <w:t>.</w:t>
      </w:r>
      <w:r w:rsidRPr="0055028D">
        <w:t>”;</w:t>
      </w:r>
    </w:p>
    <w:p w:rsidR="00D930E3" w:rsidRPr="00A01DC7" w:rsidRDefault="00D930E3" w:rsidP="00D930E3">
      <w:pPr>
        <w:pStyle w:val="PKTpunkt"/>
      </w:pPr>
      <w:r>
        <w:t>8</w:t>
      </w:r>
      <w:r w:rsidRPr="00A01DC7">
        <w:t>)</w:t>
      </w:r>
      <w:r w:rsidRPr="00A01DC7">
        <w:tab/>
        <w:t xml:space="preserve">w art. 45 </w:t>
      </w:r>
      <w:r>
        <w:t xml:space="preserve">w </w:t>
      </w:r>
      <w:r w:rsidRPr="00A01DC7">
        <w:t xml:space="preserve">ust. 1 </w:t>
      </w:r>
      <w:r>
        <w:t xml:space="preserve">w pkt 1 </w:t>
      </w:r>
      <w:r w:rsidRPr="00A01DC7">
        <w:t xml:space="preserve">lit. c otrzymuje brzmienie: </w:t>
      </w:r>
    </w:p>
    <w:p w:rsidR="00D930E3" w:rsidRPr="0030489E" w:rsidRDefault="00D930E3" w:rsidP="00D930E3">
      <w:pPr>
        <w:pStyle w:val="ZLITzmlitartykuempunktem"/>
      </w:pPr>
      <w:r>
        <w:t>„c)</w:t>
      </w:r>
      <w:r>
        <w:tab/>
      </w:r>
      <w:r w:rsidRPr="0055028D">
        <w:t>paczek pocztowych</w:t>
      </w:r>
      <w:r>
        <w:t>,</w:t>
      </w:r>
      <w:r w:rsidRPr="0055028D">
        <w:t xml:space="preserve"> w tym z zade</w:t>
      </w:r>
      <w:r>
        <w:t xml:space="preserve">klarowaną wartością, o masie do </w:t>
      </w:r>
      <w:r w:rsidR="008800EC">
        <w:t>1</w:t>
      </w:r>
      <w:r w:rsidRPr="0055028D">
        <w:t>0 000 g</w:t>
      </w:r>
      <w:r>
        <w:t xml:space="preserve"> </w:t>
      </w:r>
      <w:r w:rsidRPr="0055028D">
        <w:t>i sumie wymiarów (długość</w:t>
      </w:r>
      <w:r>
        <w:t>,</w:t>
      </w:r>
      <w:r w:rsidRPr="0055028D">
        <w:t xml:space="preserve"> szerokość</w:t>
      </w:r>
      <w:r>
        <w:t>,</w:t>
      </w:r>
      <w:r w:rsidRPr="0055028D">
        <w:t xml:space="preserve"> wysokość) nieprzekraczającej 3000 mm, przy czym najdłuższy wymiar nie </w:t>
      </w:r>
      <w:r>
        <w:t>przekracza</w:t>
      </w:r>
      <w:r w:rsidRPr="0055028D">
        <w:t xml:space="preserve"> 1500 mm;”;</w:t>
      </w:r>
    </w:p>
    <w:p w:rsidR="00D930E3" w:rsidRDefault="00D930E3" w:rsidP="00D930E3">
      <w:pPr>
        <w:pStyle w:val="PKTpunkt"/>
      </w:pPr>
      <w:r>
        <w:t>9)</w:t>
      </w:r>
      <w:r>
        <w:tab/>
        <w:t>w art. 49 ust. 2 otrzymuje brzmienie:</w:t>
      </w:r>
    </w:p>
    <w:p w:rsidR="00D930E3" w:rsidRDefault="00D930E3" w:rsidP="00D930E3">
      <w:pPr>
        <w:pStyle w:val="ZUSTzmustartykuempunktem"/>
      </w:pPr>
      <w:r w:rsidRPr="00A01DC7">
        <w:t>„</w:t>
      </w:r>
      <w:r w:rsidRPr="00DF0306">
        <w:t>2.</w:t>
      </w:r>
      <w:r w:rsidRPr="00DF0306">
        <w:tab/>
      </w:r>
      <w:r w:rsidRPr="00B853C5">
        <w:t xml:space="preserve">Operator wyznaczony określa w regulaminie świadczenia usług powszechnych </w:t>
      </w:r>
      <w:r>
        <w:t>sposób</w:t>
      </w:r>
      <w:r w:rsidRPr="00B853C5">
        <w:t xml:space="preserve"> realizacji obowiązku wskazanego w </w:t>
      </w:r>
      <w:bookmarkStart w:id="2" w:name="_Hlk113274769"/>
      <w:r w:rsidRPr="00B853C5">
        <w:t xml:space="preserve">art. 10 ust. 3 rozporządzenia delegowanego Komisji (UE) 2019/2122 z dnia 10 października 2019 r. uzupełniającego rozporządzenie Parlamentu Europejskiego i Rady (UE) 2017/625 w odniesieniu do niektórych kategorii zwierząt i towarów zwolnionych z kontroli urzędowych w punktach kontroli granicznej i w odniesieniu do określonych kontroli bagażu osobistego pasażerów i małych przesyłek </w:t>
      </w:r>
      <w:r>
        <w:t xml:space="preserve">towarów </w:t>
      </w:r>
      <w:r w:rsidRPr="00B853C5">
        <w:t>wysyłanych do osób fizycznych i nieprzeznaczonych do wprowadzenia do obrotu oraz zmieniającego rozporządzenie Komisji (UE) nr 142/2011</w:t>
      </w:r>
      <w:bookmarkEnd w:id="2"/>
      <w:r w:rsidRPr="00B853C5">
        <w:t>.”;</w:t>
      </w:r>
    </w:p>
    <w:p w:rsidR="00D930E3" w:rsidRPr="0055028D" w:rsidRDefault="00D930E3" w:rsidP="00D930E3">
      <w:pPr>
        <w:pStyle w:val="PKTpunkt"/>
      </w:pPr>
      <w:r>
        <w:t>10)</w:t>
      </w:r>
      <w:r>
        <w:tab/>
        <w:t>uchyla się art. 55 i art. 56;</w:t>
      </w:r>
    </w:p>
    <w:p w:rsidR="00D930E3" w:rsidRDefault="00D930E3" w:rsidP="00D930E3">
      <w:pPr>
        <w:pStyle w:val="PKTpunkt"/>
      </w:pPr>
      <w:r>
        <w:t>11)</w:t>
      </w:r>
      <w:r>
        <w:tab/>
        <w:t xml:space="preserve">w art. 57: </w:t>
      </w:r>
      <w:bookmarkStart w:id="3" w:name="mip63369465"/>
      <w:bookmarkEnd w:id="3"/>
    </w:p>
    <w:p w:rsidR="00D930E3" w:rsidRDefault="00D930E3" w:rsidP="00D930E3">
      <w:pPr>
        <w:pStyle w:val="LITlitera"/>
      </w:pPr>
      <w:r>
        <w:t>a)</w:t>
      </w:r>
      <w:r>
        <w:tab/>
        <w:t>ust. 2 otrzymuje brzmienie:</w:t>
      </w:r>
    </w:p>
    <w:p w:rsidR="00D930E3" w:rsidRDefault="00D930E3" w:rsidP="002E72A4">
      <w:pPr>
        <w:pStyle w:val="ZLITUSTzmustliter"/>
      </w:pPr>
      <w:r w:rsidRPr="00605C60">
        <w:t>„</w:t>
      </w:r>
      <w:r>
        <w:t xml:space="preserve">2. Prezes UKE może, w </w:t>
      </w:r>
      <w:r w:rsidRPr="007C477C">
        <w:t>drodze</w:t>
      </w:r>
      <w:r>
        <w:t xml:space="preserve"> decyzji, w terminie 30 dni od dnia przedłożenia projektu cennika usług powszechnych albo zmian do obowiązującego cennika, wnieść sprzeciw w stosunku do całości albo części projektu cennika albo projektu zmian do obowiązującego cennika, jeżeli przedłożony projekt nie spełnia co najmniej jednego z poniższych kryteriów:</w:t>
      </w:r>
    </w:p>
    <w:p w:rsidR="00D930E3" w:rsidRDefault="00D930E3" w:rsidP="002E72A4">
      <w:pPr>
        <w:pStyle w:val="ZLITPKTzmpktliter"/>
      </w:pPr>
      <w:r>
        <w:t>1)</w:t>
      </w:r>
      <w:r>
        <w:tab/>
        <w:t>przystępności cenowej – w ramach którego ocenia się wysokość każdej opłaty w powiązaniu z możliwościami nabywczymi użytkowników usług powszechnych;</w:t>
      </w:r>
    </w:p>
    <w:p w:rsidR="00D930E3" w:rsidRDefault="00D930E3" w:rsidP="002E72A4">
      <w:pPr>
        <w:pStyle w:val="ZLITPKTzmpktliter"/>
      </w:pPr>
      <w:r>
        <w:t>2)</w:t>
      </w:r>
      <w:r>
        <w:tab/>
        <w:t>rentowności opłat – w ramach którego ocenia się, czy:</w:t>
      </w:r>
    </w:p>
    <w:p w:rsidR="00D930E3" w:rsidRDefault="00D930E3" w:rsidP="002E72A4">
      <w:pPr>
        <w:pStyle w:val="ZLITLITwPKTzmlitwpktliter"/>
      </w:pPr>
      <w:r>
        <w:lastRenderedPageBreak/>
        <w:t>a)</w:t>
      </w:r>
      <w:r>
        <w:tab/>
        <w:t xml:space="preserve">opłata za daną </w:t>
      </w:r>
      <w:r w:rsidRPr="007C477C">
        <w:t>usługę</w:t>
      </w:r>
      <w:r>
        <w:t xml:space="preserve"> została ustalona w sposób odzwierciedlający koszty jej świadczenia,</w:t>
      </w:r>
    </w:p>
    <w:p w:rsidR="00D930E3" w:rsidRDefault="00D930E3" w:rsidP="002E72A4">
      <w:pPr>
        <w:pStyle w:val="ZLITLITwPKTzmlitwpktliter"/>
      </w:pPr>
      <w:r>
        <w:t>b)</w:t>
      </w:r>
      <w:r>
        <w:tab/>
        <w:t>zmiana opłat nie wpłynie negatywnie na poziom równowagi finansowej operatora wyznaczonego,</w:t>
      </w:r>
    </w:p>
    <w:p w:rsidR="00D930E3" w:rsidRDefault="00D930E3" w:rsidP="002E72A4">
      <w:pPr>
        <w:pStyle w:val="ZLITLITwPKTzmlitwpktliter"/>
      </w:pPr>
      <w:r>
        <w:t>c)</w:t>
      </w:r>
      <w:r>
        <w:tab/>
        <w:t xml:space="preserve">w wyniku zmiany opłat poziom kosztu netto obowiązku świadczenia usług powszechnych nie ulegnie nadmiernemu zwiększeniu; </w:t>
      </w:r>
    </w:p>
    <w:p w:rsidR="00D930E3" w:rsidRDefault="00D930E3" w:rsidP="002E72A4">
      <w:pPr>
        <w:pStyle w:val="ZLITPKTzmpktliter"/>
      </w:pPr>
      <w:r>
        <w:t>3)</w:t>
      </w:r>
      <w:r>
        <w:tab/>
        <w:t>przejrzystości cennika usług powszechnych – w ramach którego ocenia się, czy projekt cennika:</w:t>
      </w:r>
    </w:p>
    <w:p w:rsidR="00D930E3" w:rsidRDefault="00D930E3" w:rsidP="002E72A4">
      <w:pPr>
        <w:pStyle w:val="ZLITLITwPKTzmlitwpktliter"/>
      </w:pPr>
      <w:r>
        <w:t>a)</w:t>
      </w:r>
      <w:r>
        <w:tab/>
        <w:t>zawiera wskazanie wszystkich elementów składających się na daną opłatę,</w:t>
      </w:r>
    </w:p>
    <w:p w:rsidR="00D930E3" w:rsidRDefault="00D930E3" w:rsidP="002E72A4">
      <w:pPr>
        <w:pStyle w:val="ZLITLITwPKTzmlitwpktliter"/>
      </w:pPr>
      <w:r>
        <w:t>b)</w:t>
      </w:r>
      <w:r>
        <w:tab/>
        <w:t>umożliwia użytkownikowi dokonanie świadomego wyboru danej usługi;</w:t>
      </w:r>
    </w:p>
    <w:p w:rsidR="00D930E3" w:rsidRDefault="00D930E3" w:rsidP="002E72A4">
      <w:pPr>
        <w:pStyle w:val="ZLITPKTzmpktliter"/>
      </w:pPr>
      <w:r>
        <w:t>4)</w:t>
      </w:r>
      <w:r>
        <w:tab/>
        <w:t>niedyskryminacyjnego charakteru cennika usług powszechnych – w ramach którego ocenia się, czy projekt cennika nie powoduje nierównego traktowania potencjalnych odbiorców tych usług.”,</w:t>
      </w:r>
    </w:p>
    <w:p w:rsidR="00D930E3" w:rsidRDefault="00D930E3" w:rsidP="002E72A4">
      <w:pPr>
        <w:pStyle w:val="LITlitera"/>
      </w:pPr>
      <w:r>
        <w:t>b)</w:t>
      </w:r>
      <w:r>
        <w:tab/>
        <w:t>dodaje się ust. 3 w brzmieniu:</w:t>
      </w:r>
    </w:p>
    <w:p w:rsidR="00D930E3" w:rsidRDefault="00D930E3" w:rsidP="002E72A4">
      <w:pPr>
        <w:pStyle w:val="ZLITUSTzmustliter"/>
      </w:pPr>
      <w:r>
        <w:t>„3. Cennik usług powszechnych albo jego zmiany w zakresie objętym sprzeciwem Prezesa UKE nie wchodzą w życie.”;</w:t>
      </w:r>
    </w:p>
    <w:p w:rsidR="00D930E3" w:rsidRDefault="00D930E3" w:rsidP="00D930E3">
      <w:pPr>
        <w:pStyle w:val="PKTpunkt"/>
      </w:pPr>
      <w:r>
        <w:t>12)</w:t>
      </w:r>
      <w:r>
        <w:tab/>
        <w:t>uchyla się art. 58;</w:t>
      </w:r>
    </w:p>
    <w:p w:rsidR="00D930E3" w:rsidRDefault="00D930E3" w:rsidP="00D930E3">
      <w:pPr>
        <w:pStyle w:val="PKTpunkt"/>
      </w:pPr>
      <w:r>
        <w:t>13)</w:t>
      </w:r>
      <w:r>
        <w:tab/>
        <w:t>w art. 92:</w:t>
      </w:r>
    </w:p>
    <w:p w:rsidR="00D930E3" w:rsidRDefault="00D930E3" w:rsidP="00D930E3">
      <w:pPr>
        <w:pStyle w:val="LITlitera"/>
      </w:pPr>
      <w:r>
        <w:t>a)</w:t>
      </w:r>
      <w:r>
        <w:tab/>
        <w:t>w ust. 1 pkt 1 otrzymuje brzmienie:</w:t>
      </w:r>
    </w:p>
    <w:p w:rsidR="00D930E3" w:rsidRDefault="00D930E3" w:rsidP="00D930E3">
      <w:pPr>
        <w:pStyle w:val="ZLITPKTzmpktliter"/>
      </w:pPr>
      <w:r w:rsidRPr="0055028D">
        <w:t>„</w:t>
      </w:r>
      <w:r>
        <w:t>1)</w:t>
      </w:r>
      <w:r>
        <w:tab/>
        <w:t>nadawcy albo</w:t>
      </w:r>
      <w:r w:rsidRPr="00702E46">
        <w:t>”</w:t>
      </w:r>
      <w:r>
        <w:t>,</w:t>
      </w:r>
    </w:p>
    <w:p w:rsidR="00D930E3" w:rsidRDefault="00D930E3" w:rsidP="00D930E3">
      <w:pPr>
        <w:pStyle w:val="LITlitera"/>
      </w:pPr>
      <w:r>
        <w:t>b)</w:t>
      </w:r>
      <w:r>
        <w:tab/>
        <w:t>ust. 2 otrzymuje brzmienie:</w:t>
      </w:r>
    </w:p>
    <w:p w:rsidR="00D930E3" w:rsidRDefault="00D930E3" w:rsidP="00D930E3">
      <w:pPr>
        <w:pStyle w:val="ZLITUSTzmustliter"/>
      </w:pPr>
      <w:r w:rsidRPr="00702E46">
        <w:t>„2. Operator pocztowy, który zawarł z nadawcą umowę o świadczenie usługi pocztowej, zapewnia możliwość zgłoszenia reklamacji w każdej swojej placówce pocztowej.”</w:t>
      </w:r>
      <w:r>
        <w:t>,</w:t>
      </w:r>
    </w:p>
    <w:p w:rsidR="00D930E3" w:rsidRDefault="00D930E3" w:rsidP="00D930E3">
      <w:pPr>
        <w:pStyle w:val="LITlitera"/>
      </w:pPr>
      <w:r>
        <w:t>c)</w:t>
      </w:r>
      <w:r>
        <w:tab/>
        <w:t>po ust. 2 dodaje się ust. 2a w brzmieniu:</w:t>
      </w:r>
    </w:p>
    <w:p w:rsidR="00D930E3" w:rsidRDefault="00D930E3" w:rsidP="00D930E3">
      <w:pPr>
        <w:pStyle w:val="ZLITUSTzmustliter"/>
      </w:pPr>
      <w:r w:rsidRPr="00702E46">
        <w:t>„</w:t>
      </w:r>
      <w:r>
        <w:t xml:space="preserve">2a. W przypadku udostępnienia </w:t>
      </w:r>
      <w:r w:rsidRPr="00702E46">
        <w:t>usług</w:t>
      </w:r>
      <w:r>
        <w:t>i</w:t>
      </w:r>
      <w:r w:rsidRPr="00702E46">
        <w:t xml:space="preserve"> elektroniczn</w:t>
      </w:r>
      <w:r>
        <w:t xml:space="preserve">ej umożliwiającej zgłoszenie reklamacji operator pocztowy określa w regulaminie świadczenia usługi pocztowej lub w regulaminie świadczenia </w:t>
      </w:r>
      <w:r>
        <w:lastRenderedPageBreak/>
        <w:t>usługi powszechnej sposób uwierzytelnienia lub identyfikacji osoby</w:t>
      </w:r>
      <w:r w:rsidRPr="00702E46">
        <w:t xml:space="preserve"> </w:t>
      </w:r>
      <w:r>
        <w:t>zgłaszającej reklamację</w:t>
      </w:r>
      <w:r w:rsidRPr="00702E46">
        <w:t>.”</w:t>
      </w:r>
      <w:r>
        <w:t>,</w:t>
      </w:r>
    </w:p>
    <w:p w:rsidR="00D930E3" w:rsidRDefault="00D930E3" w:rsidP="002E72A4">
      <w:pPr>
        <w:pStyle w:val="ZLITUSTzmustliter"/>
        <w:ind w:left="993" w:hanging="426"/>
      </w:pPr>
      <w:r>
        <w:t>d)</w:t>
      </w:r>
      <w:r w:rsidR="00080747">
        <w:tab/>
      </w:r>
      <w:r>
        <w:t xml:space="preserve">ust. 3 otrzymuje brzmienie: </w:t>
      </w:r>
    </w:p>
    <w:p w:rsidR="00D930E3" w:rsidRPr="0055028D" w:rsidRDefault="00D930E3" w:rsidP="00D930E3">
      <w:pPr>
        <w:pStyle w:val="ZLITUSTzmustliter"/>
      </w:pPr>
      <w:r>
        <w:t>„3. Reklamacja może zostać wniesiona nie później niż w terminie 12 miesięcy od dnia nadania przesyłki pocztowej albo przekazu pocztowego.”;</w:t>
      </w:r>
    </w:p>
    <w:p w:rsidR="00D930E3" w:rsidRDefault="00D930E3" w:rsidP="00D930E3">
      <w:pPr>
        <w:pStyle w:val="PKTpunkt"/>
      </w:pPr>
      <w:r>
        <w:t>14)</w:t>
      </w:r>
      <w:r>
        <w:tab/>
      </w:r>
      <w:r w:rsidRPr="0055028D">
        <w:t xml:space="preserve">w art. 93 ust. 2 </w:t>
      </w:r>
      <w:r>
        <w:t>otrzymuje brzmienie:</w:t>
      </w:r>
    </w:p>
    <w:p w:rsidR="00D930E3" w:rsidRDefault="00D930E3" w:rsidP="00D930E3">
      <w:pPr>
        <w:pStyle w:val="ZUSTzmustartykuempunktem"/>
      </w:pPr>
      <w:r w:rsidRPr="00605C60">
        <w:t>„</w:t>
      </w:r>
      <w:r>
        <w:t xml:space="preserve">2. </w:t>
      </w:r>
      <w:r w:rsidRPr="00605C60">
        <w:t>Roszczenia dochodzone na podstawie ustawy przedawniają się z upływem 12 miesięcy od dnia nadania przesyłki pocztowej</w:t>
      </w:r>
      <w:r>
        <w:t xml:space="preserve"> albo przekazu </w:t>
      </w:r>
      <w:r w:rsidRPr="0055028D">
        <w:t>pocztowego.”;</w:t>
      </w:r>
    </w:p>
    <w:p w:rsidR="00D930E3" w:rsidRDefault="00D930E3" w:rsidP="00D930E3">
      <w:pPr>
        <w:pStyle w:val="PKTpunkt"/>
      </w:pPr>
      <w:r>
        <w:t>15)</w:t>
      </w:r>
      <w:r>
        <w:tab/>
      </w:r>
      <w:r w:rsidRPr="000B497B">
        <w:t>w art. 106 w ust. 3 wyrazy</w:t>
      </w:r>
      <w:r>
        <w:t xml:space="preserve"> „</w:t>
      </w:r>
      <w:r w:rsidRPr="004213EE">
        <w:t>art. 46</w:t>
      </w:r>
      <w:r>
        <w:t xml:space="preserve">, </w:t>
      </w:r>
      <w:r w:rsidRPr="004213EE">
        <w:t>art. 51 ust. 1</w:t>
      </w:r>
      <w:r>
        <w:t xml:space="preserve"> i </w:t>
      </w:r>
      <w:r w:rsidRPr="004213EE">
        <w:t>art. 55 ust. 1</w:t>
      </w:r>
      <w:r>
        <w:t xml:space="preserve">” zastępuje się </w:t>
      </w:r>
      <w:r w:rsidRPr="00505D5C">
        <w:t>wyrazami</w:t>
      </w:r>
      <w:r>
        <w:t xml:space="preserve"> „</w:t>
      </w:r>
      <w:r w:rsidRPr="004213EE">
        <w:t>art. 46</w:t>
      </w:r>
      <w:r>
        <w:t xml:space="preserve"> i </w:t>
      </w:r>
      <w:r w:rsidRPr="004213EE">
        <w:t>art. 51 ust. 1</w:t>
      </w:r>
      <w:r>
        <w:t>”</w:t>
      </w:r>
      <w:r w:rsidRPr="000B497B">
        <w:t>;</w:t>
      </w:r>
    </w:p>
    <w:p w:rsidR="00D930E3" w:rsidRPr="0055028D" w:rsidRDefault="00D930E3" w:rsidP="00D930E3">
      <w:pPr>
        <w:pStyle w:val="PKTpunkt"/>
      </w:pPr>
      <w:r>
        <w:t>16)</w:t>
      </w:r>
      <w:r>
        <w:tab/>
      </w:r>
      <w:r w:rsidRPr="0055028D">
        <w:t xml:space="preserve">art. 108 otrzymuje brzmienie: </w:t>
      </w:r>
    </w:p>
    <w:p w:rsidR="00D930E3" w:rsidRDefault="00D930E3" w:rsidP="00D930E3">
      <w:pPr>
        <w:pStyle w:val="ZARTzmartartykuempunktem"/>
      </w:pPr>
      <w:r w:rsidRPr="0055028D">
        <w:t xml:space="preserve">„Art. 108. </w:t>
      </w:r>
      <w:r>
        <w:t>1. K</w:t>
      </w:r>
      <w:r w:rsidRPr="0055028D">
        <w:t xml:space="preserve">oszt netto </w:t>
      </w:r>
      <w:r>
        <w:t xml:space="preserve">jest finansowany </w:t>
      </w:r>
      <w:r w:rsidRPr="0055028D">
        <w:t>z budżetu państwa</w:t>
      </w:r>
      <w:r>
        <w:t xml:space="preserve"> w formie dotacji celowej, na zasadach określonych w ustawie z dnia 27 sierpnia 2009 r. o finansach publicznych</w:t>
      </w:r>
      <w:r w:rsidRPr="0055028D">
        <w:t>.</w:t>
      </w:r>
      <w:r>
        <w:t xml:space="preserve"> </w:t>
      </w:r>
    </w:p>
    <w:p w:rsidR="00D930E3" w:rsidRDefault="00D930E3" w:rsidP="00D930E3">
      <w:pPr>
        <w:pStyle w:val="ZARTzmartartykuempunktem"/>
      </w:pPr>
      <w:r>
        <w:t>2. Dotacja, o której mowa w ust. 1, jest wypłacana przez ministra właściwego do spraw łączności na wniosek operatora wyznaczonego.</w:t>
      </w:r>
      <w:r w:rsidRPr="0055028D">
        <w:t>”;</w:t>
      </w:r>
    </w:p>
    <w:p w:rsidR="00D930E3" w:rsidRDefault="00D930E3" w:rsidP="00D930E3">
      <w:pPr>
        <w:pStyle w:val="PKTpunkt"/>
      </w:pPr>
      <w:r>
        <w:t>17)</w:t>
      </w:r>
      <w:r>
        <w:tab/>
        <w:t>w art. 109:</w:t>
      </w:r>
    </w:p>
    <w:p w:rsidR="00D930E3" w:rsidRDefault="00D930E3" w:rsidP="00D930E3">
      <w:pPr>
        <w:pStyle w:val="LITlitera"/>
      </w:pPr>
      <w:r>
        <w:t>a)</w:t>
      </w:r>
      <w:r>
        <w:tab/>
        <w:t>uchyla się ust. 3,</w:t>
      </w:r>
    </w:p>
    <w:p w:rsidR="00D930E3" w:rsidRDefault="00D930E3" w:rsidP="00D930E3">
      <w:pPr>
        <w:pStyle w:val="LITlitera"/>
      </w:pPr>
      <w:r>
        <w:t>b)</w:t>
      </w:r>
      <w:r>
        <w:tab/>
        <w:t>dodaje się ust. 4 w brzmieniu:</w:t>
      </w:r>
    </w:p>
    <w:p w:rsidR="00D930E3" w:rsidRPr="008F1ED8" w:rsidRDefault="00D930E3" w:rsidP="00D930E3">
      <w:pPr>
        <w:pStyle w:val="ZLITUSTzmustliter"/>
      </w:pPr>
      <w:r w:rsidRPr="000862C6">
        <w:t>„</w:t>
      </w:r>
      <w:r>
        <w:t xml:space="preserve">4. Finansowanie, o którym mowa w ust. 1, stanowi pomoc publiczną, która może być udzielona zgodnie z postanowieniami </w:t>
      </w:r>
      <w:r w:rsidRPr="000B4538">
        <w:t>zawartymi</w:t>
      </w:r>
      <w:r>
        <w:t xml:space="preserve"> w decyzji Komisji Europejskiej, wydanej w wyniku notyfikacji, w okresie obowiązywania tej decyzji.”;</w:t>
      </w:r>
    </w:p>
    <w:p w:rsidR="00D930E3" w:rsidRDefault="00D930E3" w:rsidP="00D930E3">
      <w:pPr>
        <w:pStyle w:val="PKTpunkt"/>
      </w:pPr>
      <w:r>
        <w:t>18)</w:t>
      </w:r>
      <w:r>
        <w:tab/>
        <w:t>w art. 112:</w:t>
      </w:r>
    </w:p>
    <w:p w:rsidR="00D930E3" w:rsidRDefault="00D930E3" w:rsidP="00D930E3">
      <w:pPr>
        <w:pStyle w:val="LITlitera"/>
      </w:pPr>
      <w:r>
        <w:t>a)</w:t>
      </w:r>
      <w:r>
        <w:tab/>
        <w:t>w ust. 1 wprowadzenie do wyliczenia otrzymuje brzmienie:</w:t>
      </w:r>
    </w:p>
    <w:p w:rsidR="00D930E3" w:rsidRDefault="00D930E3" w:rsidP="00B036FE">
      <w:pPr>
        <w:pStyle w:val="ZLITFRAGzmlitfragmentunpzdanialiter"/>
      </w:pPr>
      <w:r w:rsidRPr="000862C6">
        <w:t>„</w:t>
      </w:r>
      <w:r w:rsidRPr="001E7A2B">
        <w:t xml:space="preserve">Jeżeli operator wyznaczony ubiega się o </w:t>
      </w:r>
      <w:r>
        <w:t>finansowanie, o którym mowa w art. 109 ust. 1</w:t>
      </w:r>
      <w:r w:rsidRPr="001E7A2B">
        <w:t>, składa do Prezesa</w:t>
      </w:r>
      <w:r>
        <w:t xml:space="preserve"> </w:t>
      </w:r>
      <w:r w:rsidRPr="001E7A2B">
        <w:t>UKE, w terminie 7 miesięcy od zakończenia roku obrotowego, w którym wystąpiła</w:t>
      </w:r>
      <w:r>
        <w:t xml:space="preserve"> </w:t>
      </w:r>
      <w:r w:rsidRPr="001E7A2B">
        <w:t xml:space="preserve">strata na usługach </w:t>
      </w:r>
      <w:r w:rsidRPr="001E7A2B">
        <w:lastRenderedPageBreak/>
        <w:t xml:space="preserve">powszechnych, wniosek o </w:t>
      </w:r>
      <w:r>
        <w:t xml:space="preserve">uruchomienie finansowania kosztu netto </w:t>
      </w:r>
      <w:r w:rsidRPr="001E7A2B">
        <w:t>i przedkłada następujące</w:t>
      </w:r>
      <w:r>
        <w:t xml:space="preserve"> </w:t>
      </w:r>
      <w:r w:rsidRPr="001E7A2B">
        <w:t>dokumenty</w:t>
      </w:r>
      <w:r>
        <w:t>:”,</w:t>
      </w:r>
    </w:p>
    <w:p w:rsidR="00D930E3" w:rsidRDefault="00D930E3" w:rsidP="00D930E3">
      <w:pPr>
        <w:pStyle w:val="LITlitera"/>
      </w:pPr>
      <w:r>
        <w:t>b)</w:t>
      </w:r>
      <w:r>
        <w:tab/>
        <w:t>ust. 5 otrzymuje brzmienie:</w:t>
      </w:r>
    </w:p>
    <w:p w:rsidR="00D930E3" w:rsidRDefault="00D930E3" w:rsidP="00D930E3">
      <w:pPr>
        <w:pStyle w:val="ZLITUSTzmustliter"/>
      </w:pPr>
      <w:r>
        <w:t>„</w:t>
      </w:r>
      <w:r w:rsidRPr="006F44A1">
        <w:t xml:space="preserve">5. Prezes UKE, w terminie 4 miesięcy od dnia otrzymania wniosku i dokumentów, o których mowa w ust. 1, po weryfikacji tych dokumentów wydaje decyzję, w której: </w:t>
      </w:r>
    </w:p>
    <w:p w:rsidR="00D930E3" w:rsidRDefault="00D930E3" w:rsidP="00D930E3">
      <w:pPr>
        <w:pStyle w:val="ZLITPKTzmpktliter"/>
      </w:pPr>
      <w:r>
        <w:t>1)</w:t>
      </w:r>
      <w:r>
        <w:tab/>
      </w:r>
      <w:r w:rsidRPr="006F44A1">
        <w:t>określa kwotę zweryfikowanego kosztu netto i straty, o</w:t>
      </w:r>
      <w:r>
        <w:t xml:space="preserve"> której mowa w art. 109 ust. 2;</w:t>
      </w:r>
    </w:p>
    <w:p w:rsidR="00D930E3" w:rsidRDefault="00D930E3" w:rsidP="00D930E3">
      <w:pPr>
        <w:pStyle w:val="ZLITPKTzmpktliter"/>
      </w:pPr>
      <w:r>
        <w:t>2)</w:t>
      </w:r>
      <w:r>
        <w:tab/>
        <w:t>ustala kwotę należnego finansowania kosztu netto</w:t>
      </w:r>
      <w:r w:rsidRPr="006F44A1">
        <w:t>.</w:t>
      </w:r>
      <w:r>
        <w:t>”</w:t>
      </w:r>
      <w:r w:rsidR="003E017E">
        <w:t>,</w:t>
      </w:r>
    </w:p>
    <w:p w:rsidR="00D930E3" w:rsidRDefault="00D930E3" w:rsidP="00D930E3">
      <w:pPr>
        <w:pStyle w:val="LITlitera"/>
      </w:pPr>
      <w:r>
        <w:t>c)</w:t>
      </w:r>
      <w:r>
        <w:tab/>
        <w:t>dodaje się ust. 6 w brzmieniu:</w:t>
      </w:r>
    </w:p>
    <w:p w:rsidR="00D930E3" w:rsidRPr="00526D44" w:rsidRDefault="00D930E3" w:rsidP="00D930E3">
      <w:pPr>
        <w:pStyle w:val="ZLITUSTzmustliter"/>
      </w:pPr>
      <w:r w:rsidRPr="00526D44">
        <w:t>„6. Prezes UKE niezwłocznie przekazuje decyzję, o której mowa w ust. 5, ministrowi właściwemu do spraw łączności.”;</w:t>
      </w:r>
    </w:p>
    <w:p w:rsidR="00D930E3" w:rsidRDefault="00D930E3" w:rsidP="00D930E3">
      <w:pPr>
        <w:pStyle w:val="PKTpunkt"/>
      </w:pPr>
      <w:r>
        <w:t>19)</w:t>
      </w:r>
      <w:r>
        <w:tab/>
        <w:t>uchyla się art. 113</w:t>
      </w:r>
      <w:r w:rsidRPr="0055028D">
        <w:t>–</w:t>
      </w:r>
      <w:r>
        <w:t>118;</w:t>
      </w:r>
    </w:p>
    <w:p w:rsidR="00D930E3" w:rsidRDefault="00D930E3" w:rsidP="00D930E3">
      <w:pPr>
        <w:pStyle w:val="PKTpunkt"/>
      </w:pPr>
      <w:r>
        <w:t>20)</w:t>
      </w:r>
      <w:r>
        <w:tab/>
      </w:r>
      <w:r w:rsidRPr="0055028D">
        <w:t>w art. 119</w:t>
      </w:r>
      <w:r>
        <w:t xml:space="preserve">: </w:t>
      </w:r>
    </w:p>
    <w:p w:rsidR="00D930E3" w:rsidRDefault="00D930E3" w:rsidP="00D930E3">
      <w:pPr>
        <w:pStyle w:val="LITlitera"/>
      </w:pPr>
      <w:r>
        <w:t>a)</w:t>
      </w:r>
      <w:r>
        <w:tab/>
      </w:r>
      <w:r w:rsidRPr="0055028D">
        <w:t>uchyla się pkt 3</w:t>
      </w:r>
      <w:r>
        <w:t>,</w:t>
      </w:r>
    </w:p>
    <w:p w:rsidR="00D930E3" w:rsidRDefault="00D930E3" w:rsidP="00D930E3">
      <w:pPr>
        <w:pStyle w:val="LITlitera"/>
      </w:pPr>
      <w:r>
        <w:t>b)</w:t>
      </w:r>
      <w:r>
        <w:tab/>
        <w:t xml:space="preserve">pkt </w:t>
      </w:r>
      <w:r w:rsidRPr="0055028D">
        <w:t>4</w:t>
      </w:r>
      <w:r>
        <w:t xml:space="preserve"> otrzymuje brzmienie:</w:t>
      </w:r>
    </w:p>
    <w:p w:rsidR="00D930E3" w:rsidRDefault="00D930E3" w:rsidP="00D930E3">
      <w:pPr>
        <w:pStyle w:val="ZLITPKTzmpktliter"/>
      </w:pPr>
      <w:r>
        <w:t>„4)</w:t>
      </w:r>
      <w:r>
        <w:tab/>
        <w:t xml:space="preserve">wysokości finansowania kosztu netto przekazanego operatorowi wyznaczonemu;”; </w:t>
      </w:r>
    </w:p>
    <w:p w:rsidR="00D930E3" w:rsidRDefault="00D930E3" w:rsidP="00D930E3">
      <w:pPr>
        <w:pStyle w:val="PKTpunkt"/>
      </w:pPr>
      <w:r>
        <w:t>21)</w:t>
      </w:r>
      <w:r>
        <w:tab/>
      </w:r>
      <w:r w:rsidRPr="0055028D">
        <w:t>uchyla się art. 119a;</w:t>
      </w:r>
    </w:p>
    <w:p w:rsidR="00D930E3" w:rsidRPr="00B81FEF" w:rsidRDefault="00D930E3" w:rsidP="00D930E3">
      <w:pPr>
        <w:pStyle w:val="PKTpunkt"/>
      </w:pPr>
      <w:r>
        <w:t>22)</w:t>
      </w:r>
      <w:r>
        <w:tab/>
        <w:t>w art. 120</w:t>
      </w:r>
      <w:r w:rsidRPr="00B81FEF">
        <w:t xml:space="preserve"> </w:t>
      </w:r>
      <w:r>
        <w:t xml:space="preserve">w </w:t>
      </w:r>
      <w:r w:rsidRPr="00B81FEF">
        <w:t xml:space="preserve">pkt 5 </w:t>
      </w:r>
      <w:r>
        <w:t xml:space="preserve">na końcu dodaje się przecinek i </w:t>
      </w:r>
      <w:r w:rsidRPr="00B81FEF">
        <w:t>doda</w:t>
      </w:r>
      <w:r>
        <w:t>je się</w:t>
      </w:r>
      <w:r w:rsidRPr="00B81FEF">
        <w:t xml:space="preserve"> pkt 6 w brzmieniu:</w:t>
      </w:r>
    </w:p>
    <w:p w:rsidR="00D930E3" w:rsidRDefault="00D930E3" w:rsidP="00D930E3">
      <w:pPr>
        <w:pStyle w:val="ZPKTzmpktartykuempunktem"/>
      </w:pPr>
      <w:r>
        <w:t>„6)</w:t>
      </w:r>
      <w:r>
        <w:tab/>
        <w:t xml:space="preserve">tryb wypłaty </w:t>
      </w:r>
      <w:r w:rsidRPr="00B81FEF">
        <w:t>finansowania kosztu netto</w:t>
      </w:r>
      <w:r>
        <w:t>”;</w:t>
      </w:r>
    </w:p>
    <w:p w:rsidR="00D930E3" w:rsidRDefault="00D930E3" w:rsidP="00D930E3">
      <w:pPr>
        <w:pStyle w:val="PKTpunkt"/>
      </w:pPr>
      <w:r>
        <w:t>23)</w:t>
      </w:r>
      <w:r>
        <w:tab/>
        <w:t>w art. 125 ust. 2 otrzymuje brzmienie:</w:t>
      </w:r>
    </w:p>
    <w:p w:rsidR="00D930E3" w:rsidRPr="0020056F" w:rsidRDefault="00D930E3" w:rsidP="00D930E3">
      <w:pPr>
        <w:pStyle w:val="ZUSTzmustartykuempunktem"/>
      </w:pPr>
      <w:r w:rsidRPr="000862C6">
        <w:t>„</w:t>
      </w:r>
      <w:r>
        <w:t>2. W przypadku stwierdzenia naruszenia przepisów lub decyzji dotyczących działalności pocztowej, których charakter i skala nie zagrażają bezpieczeństwu obrotu pocztowego oraz istotnym interesom podmiotów korzystających z usług pocztowych lub operatorów pocztowych, Prezes UKE zamiast decyzji, o której mowa w ust. 1, może wydać zalecenia pokontrolne, w których wzywa operatora pocztowego do usunięcia naruszeń lub udzielenia wyjaśnień. Usunięcie naruszeń lub udzielenie wyjaśnień powinno nastąpić w terminie 14 dni od dnia doręczenia zaleceń.”;</w:t>
      </w:r>
    </w:p>
    <w:p w:rsidR="00D930E3" w:rsidRPr="0055028D" w:rsidRDefault="00D930E3" w:rsidP="00D930E3">
      <w:pPr>
        <w:pStyle w:val="PKTpunkt"/>
      </w:pPr>
      <w:r>
        <w:t>24)</w:t>
      </w:r>
      <w:r>
        <w:tab/>
      </w:r>
      <w:r w:rsidRPr="0055028D">
        <w:t>w art. 126:</w:t>
      </w:r>
    </w:p>
    <w:p w:rsidR="00D930E3" w:rsidRDefault="00D930E3" w:rsidP="00D930E3">
      <w:pPr>
        <w:pStyle w:val="LITlitera"/>
      </w:pPr>
      <w:r>
        <w:lastRenderedPageBreak/>
        <w:t>a)</w:t>
      </w:r>
      <w:r>
        <w:tab/>
        <w:t>w ust. 1:</w:t>
      </w:r>
    </w:p>
    <w:p w:rsidR="00D930E3" w:rsidRPr="0055028D" w:rsidRDefault="00D930E3" w:rsidP="00D930E3">
      <w:pPr>
        <w:pStyle w:val="TIRtiret"/>
      </w:pPr>
      <w:r w:rsidRPr="0055028D">
        <w:t>–</w:t>
      </w:r>
      <w:r>
        <w:tab/>
        <w:t>pkt 2 otrzymuje</w:t>
      </w:r>
      <w:r w:rsidRPr="0055028D">
        <w:t xml:space="preserve"> brzmienie:</w:t>
      </w:r>
    </w:p>
    <w:p w:rsidR="00D930E3" w:rsidRDefault="00D930E3" w:rsidP="00D930E3">
      <w:pPr>
        <w:pStyle w:val="ZTIRPKTzmpkttiret"/>
      </w:pPr>
      <w:r>
        <w:t>„2)</w:t>
      </w:r>
      <w:r>
        <w:tab/>
      </w:r>
      <w:r w:rsidRPr="0055028D">
        <w:t xml:space="preserve">nie udziela informacji lub nie dostarcza dokumentów, o których mowa </w:t>
      </w:r>
      <w:r w:rsidRPr="0055028D">
        <w:br/>
        <w:t xml:space="preserve">w art. 10 ust. 1, art. 43 ust. 1, 5 </w:t>
      </w:r>
      <w:r>
        <w:t>i 5a, art. 50 lub art. 86 ust. 1;”,</w:t>
      </w:r>
    </w:p>
    <w:p w:rsidR="00D930E3" w:rsidRPr="0055028D" w:rsidRDefault="00D930E3" w:rsidP="00D930E3">
      <w:pPr>
        <w:pStyle w:val="TIRtiret"/>
      </w:pPr>
      <w:r w:rsidRPr="0055028D">
        <w:t>–</w:t>
      </w:r>
      <w:r>
        <w:tab/>
        <w:t xml:space="preserve">w pkt 14 </w:t>
      </w:r>
      <w:r w:rsidRPr="0033682A">
        <w:t>wyrazy</w:t>
      </w:r>
      <w:r>
        <w:t xml:space="preserve"> „</w:t>
      </w:r>
      <w:r w:rsidRPr="00526D44">
        <w:t>art. 98 ust. 1</w:t>
      </w:r>
      <w:r>
        <w:t xml:space="preserve">, </w:t>
      </w:r>
      <w:r w:rsidRPr="00526D44">
        <w:t>art. 101 ust. 1</w:t>
      </w:r>
      <w:r>
        <w:t xml:space="preserve">, </w:t>
      </w:r>
      <w:r w:rsidRPr="00526D44">
        <w:t>art. 107 ust. 1</w:t>
      </w:r>
      <w:r>
        <w:t xml:space="preserve"> i </w:t>
      </w:r>
      <w:r w:rsidRPr="00526D44">
        <w:t>art. 108 ust. 3</w:t>
      </w:r>
      <w:r>
        <w:t>” zastępuje się wyrazami „</w:t>
      </w:r>
      <w:r w:rsidRPr="00526D44">
        <w:t>art. 98 ust. 1</w:t>
      </w:r>
      <w:r>
        <w:t xml:space="preserve">, </w:t>
      </w:r>
      <w:r w:rsidRPr="00526D44">
        <w:t>art. 101 ust. 1</w:t>
      </w:r>
      <w:r>
        <w:t xml:space="preserve"> i </w:t>
      </w:r>
      <w:r w:rsidRPr="00526D44">
        <w:t>art. 107 ust. 1</w:t>
      </w:r>
      <w:r>
        <w:t>”,</w:t>
      </w:r>
    </w:p>
    <w:p w:rsidR="00D930E3" w:rsidRDefault="00D930E3" w:rsidP="00D930E3">
      <w:pPr>
        <w:pStyle w:val="LITlitera"/>
      </w:pPr>
      <w:r>
        <w:t>b)</w:t>
      </w:r>
      <w:r>
        <w:tab/>
      </w:r>
      <w:r w:rsidRPr="0055028D">
        <w:t xml:space="preserve">w ust. 2 </w:t>
      </w:r>
      <w:r>
        <w:t xml:space="preserve">w </w:t>
      </w:r>
      <w:r w:rsidRPr="0055028D">
        <w:t xml:space="preserve">pkt 1 </w:t>
      </w:r>
      <w:r>
        <w:t>s</w:t>
      </w:r>
      <w:r w:rsidRPr="0033682A">
        <w:t xml:space="preserve">kreśla się wyrazy </w:t>
      </w:r>
      <w:r w:rsidRPr="007F6520">
        <w:t>„</w:t>
      </w:r>
      <w:r w:rsidRPr="0033682A">
        <w:t>i</w:t>
      </w:r>
      <w:r>
        <w:t>nformacje, o których mowa w art. 119a ust. 4,”;</w:t>
      </w:r>
    </w:p>
    <w:p w:rsidR="00D930E3" w:rsidRDefault="00D930E3" w:rsidP="00D930E3">
      <w:pPr>
        <w:pStyle w:val="PKTpunkt"/>
      </w:pPr>
      <w:r>
        <w:t>25)</w:t>
      </w:r>
      <w:r>
        <w:tab/>
        <w:t>w art. 128 ust. 3 otrzymuje brzmienie:</w:t>
      </w:r>
    </w:p>
    <w:p w:rsidR="00D930E3" w:rsidRDefault="00D930E3" w:rsidP="00D930E3">
      <w:pPr>
        <w:pStyle w:val="ZUSTzmustartykuempunktem"/>
      </w:pPr>
      <w:r w:rsidRPr="007F6520">
        <w:t>„</w:t>
      </w:r>
      <w:r>
        <w:t>3. Karę pieniężną uiszcza się w terminie 14 dni od dnia, w którym decyzja o wymierzeniu kary stała się prawomocna.”;</w:t>
      </w:r>
    </w:p>
    <w:p w:rsidR="00D930E3" w:rsidRDefault="00D930E3" w:rsidP="00D930E3">
      <w:pPr>
        <w:pStyle w:val="PKTpunkt"/>
      </w:pPr>
      <w:r>
        <w:t>26)</w:t>
      </w:r>
      <w:r>
        <w:tab/>
        <w:t>w art. 129 ust. 1 otrzymuje brzmienie:</w:t>
      </w:r>
    </w:p>
    <w:p w:rsidR="00D930E3" w:rsidRPr="0055028D" w:rsidRDefault="00D930E3" w:rsidP="00D930E3">
      <w:pPr>
        <w:pStyle w:val="ZUSTzmustartykuempunktem"/>
      </w:pPr>
      <w:r w:rsidRPr="007F6520">
        <w:t>„</w:t>
      </w:r>
      <w:r>
        <w:t xml:space="preserve">1. Prezes UKE wydaje decyzję o wymierzeniu kary pieniężnej w terminie, o którym mowa w art. 189g </w:t>
      </w:r>
      <w:r>
        <w:rPr>
          <w:rFonts w:cs="Times"/>
        </w:rPr>
        <w:t>§</w:t>
      </w:r>
      <w:r>
        <w:t xml:space="preserve"> 1 ustawy z dnia 14 czerwca 1960 r. </w:t>
      </w:r>
      <w:r w:rsidRPr="0055028D">
        <w:t>–</w:t>
      </w:r>
      <w:r>
        <w:t xml:space="preserve"> Kodeks postępowania administracyjnego, liczonym od dnia stwierdzenia naruszeń, o których mowa w art. 126</w:t>
      </w:r>
      <w:r w:rsidRPr="0055028D">
        <w:t>–</w:t>
      </w:r>
      <w:r>
        <w:t>127.”.</w:t>
      </w:r>
    </w:p>
    <w:p w:rsidR="00D930E3" w:rsidRDefault="00D930E3" w:rsidP="00D930E3">
      <w:pPr>
        <w:pStyle w:val="ARTartustawynprozporzdzenia"/>
      </w:pPr>
      <w:r w:rsidRPr="00E75B9D">
        <w:rPr>
          <w:rStyle w:val="Ppogrubienie"/>
        </w:rPr>
        <w:t>Art</w:t>
      </w:r>
      <w:r w:rsidR="006B00A1">
        <w:rPr>
          <w:rStyle w:val="Ppogrubienie"/>
        </w:rPr>
        <w:t>. </w:t>
      </w:r>
      <w:r>
        <w:rPr>
          <w:rStyle w:val="Ppogrubienie"/>
        </w:rPr>
        <w:t>2</w:t>
      </w:r>
      <w:r w:rsidRPr="00F94373">
        <w:rPr>
          <w:b/>
        </w:rPr>
        <w:t>.</w:t>
      </w:r>
      <w:r w:rsidR="006B00A1">
        <w:rPr>
          <w:b/>
        </w:rPr>
        <w:t> </w:t>
      </w:r>
      <w:r w:rsidRPr="0055028D">
        <w:t xml:space="preserve">Do </w:t>
      </w:r>
      <w:r>
        <w:t xml:space="preserve">finansowania kosztu netto świadczenia usług powszechnych </w:t>
      </w:r>
      <w:r w:rsidRPr="0055028D">
        <w:t>za</w:t>
      </w:r>
      <w:r>
        <w:t xml:space="preserve"> 2021 r. </w:t>
      </w:r>
      <w:r w:rsidRPr="0055028D">
        <w:t xml:space="preserve">stosuje się przepisy </w:t>
      </w:r>
      <w:r>
        <w:t>rozdziału 10 ustawy zmienianej w art. 1 w brzmieniu nadanym niniejszą ustawą</w:t>
      </w:r>
      <w:r w:rsidRPr="0055028D">
        <w:t>.</w:t>
      </w:r>
    </w:p>
    <w:p w:rsidR="00D930E3" w:rsidRDefault="006B00A1" w:rsidP="00D930E3">
      <w:pPr>
        <w:pStyle w:val="ARTartustawynprozporzdzenia"/>
      </w:pPr>
      <w:r>
        <w:rPr>
          <w:rStyle w:val="Ppogrubienie"/>
        </w:rPr>
        <w:t>Art. </w:t>
      </w:r>
      <w:r w:rsidR="00D930E3" w:rsidRPr="001E7A2B">
        <w:rPr>
          <w:rStyle w:val="Ppogrubienie"/>
        </w:rPr>
        <w:t>3</w:t>
      </w:r>
      <w:r w:rsidR="00D930E3" w:rsidRPr="00F94373">
        <w:rPr>
          <w:b/>
        </w:rPr>
        <w:t>.</w:t>
      </w:r>
      <w:r>
        <w:rPr>
          <w:b/>
        </w:rPr>
        <w:t> </w:t>
      </w:r>
      <w:r w:rsidR="00D930E3">
        <w:t>Do realizacji obowiązku sprawozdawczego, o którym mowa w art. 43 ustawy zmienianej w art. 1, za rok 2022 stosuje się przepisy ustawy zmienianej w art. 1 w brzmieniu dotychczasowym.</w:t>
      </w:r>
    </w:p>
    <w:p w:rsidR="00D930E3" w:rsidRDefault="006B00A1" w:rsidP="00D930E3">
      <w:pPr>
        <w:pStyle w:val="ARTartustawynprozporzdzenia"/>
      </w:pPr>
      <w:r>
        <w:rPr>
          <w:b/>
        </w:rPr>
        <w:t>Art. </w:t>
      </w:r>
      <w:r w:rsidR="00D930E3" w:rsidRPr="0074517D">
        <w:rPr>
          <w:b/>
        </w:rPr>
        <w:t>4.</w:t>
      </w:r>
      <w:r>
        <w:rPr>
          <w:b/>
        </w:rPr>
        <w:t> </w:t>
      </w:r>
      <w:r w:rsidR="00D930E3">
        <w:t xml:space="preserve">Dotychczasowe przepisy wykonawcze wydane na podstawie art. 120 ustawy zmienianej w art. 1 zachowują moc do dnia wejścia w życie przepisów wykonawczych wydanych na podstawie art. 120 ustawy zmienianej w art. 1, w brzmieniu nadanym niniejszą ustawą, </w:t>
      </w:r>
      <w:r w:rsidR="00D930E3">
        <w:rPr>
          <w:rStyle w:val="highlight"/>
        </w:rPr>
        <w:t>nie</w:t>
      </w:r>
      <w:r w:rsidR="00D930E3">
        <w:t xml:space="preserve"> </w:t>
      </w:r>
      <w:r w:rsidR="00D930E3">
        <w:rPr>
          <w:rStyle w:val="highlight"/>
        </w:rPr>
        <w:t>dłużej</w:t>
      </w:r>
      <w:r w:rsidR="00D930E3">
        <w:t xml:space="preserve"> </w:t>
      </w:r>
      <w:r w:rsidR="00D930E3">
        <w:rPr>
          <w:rStyle w:val="highlight"/>
        </w:rPr>
        <w:t>jednak</w:t>
      </w:r>
      <w:r w:rsidR="00D930E3">
        <w:t xml:space="preserve"> </w:t>
      </w:r>
      <w:r w:rsidR="00D930E3">
        <w:rPr>
          <w:rStyle w:val="highlight"/>
        </w:rPr>
        <w:t>niż</w:t>
      </w:r>
      <w:r w:rsidR="00D930E3">
        <w:t xml:space="preserve"> przez okres 4 miesięcy od dnia </w:t>
      </w:r>
      <w:r w:rsidR="00D930E3">
        <w:rPr>
          <w:rStyle w:val="highlight"/>
        </w:rPr>
        <w:t>jej</w:t>
      </w:r>
      <w:r w:rsidR="00D930E3">
        <w:t xml:space="preserve"> wejścia w życie.</w:t>
      </w:r>
    </w:p>
    <w:p w:rsidR="00D930E3" w:rsidRPr="00F06860" w:rsidRDefault="006B00A1" w:rsidP="00D930E3">
      <w:pPr>
        <w:pStyle w:val="ARTartustawynprozporzdzenia"/>
      </w:pPr>
      <w:r>
        <w:rPr>
          <w:rStyle w:val="Ppogrubienie"/>
        </w:rPr>
        <w:lastRenderedPageBreak/>
        <w:t>Art. </w:t>
      </w:r>
      <w:r w:rsidR="00D930E3">
        <w:rPr>
          <w:rStyle w:val="Ppogrubienie"/>
        </w:rPr>
        <w:t>5.</w:t>
      </w:r>
      <w:r>
        <w:rPr>
          <w:rStyle w:val="Ppogrubienie"/>
        </w:rPr>
        <w:t> </w:t>
      </w:r>
      <w:r w:rsidR="00D930E3" w:rsidRPr="00AE3E40">
        <w:rPr>
          <w:rStyle w:val="Ppogrubienie"/>
          <w:b w:val="0"/>
        </w:rPr>
        <w:t>1</w:t>
      </w:r>
      <w:r w:rsidR="00D930E3" w:rsidRPr="00F94373">
        <w:rPr>
          <w:rStyle w:val="Ppogrubienie"/>
          <w:b w:val="0"/>
        </w:rPr>
        <w:t>.</w:t>
      </w:r>
      <w:r>
        <w:rPr>
          <w:rStyle w:val="Ppogrubienie"/>
          <w:b w:val="0"/>
        </w:rPr>
        <w:t> </w:t>
      </w:r>
      <w:r w:rsidR="00D930E3">
        <w:t xml:space="preserve">Maksymalny limit wydatków budżetu </w:t>
      </w:r>
      <w:r w:rsidR="00D930E3" w:rsidRPr="00F06860">
        <w:t>państwa przeznaczony na finansowanie kosztu netto obowiązku</w:t>
      </w:r>
      <w:r w:rsidR="00D930E3">
        <w:t xml:space="preserve"> </w:t>
      </w:r>
      <w:r w:rsidR="00D930E3" w:rsidRPr="00F06860">
        <w:t xml:space="preserve">świadczenia usług powszechnych </w:t>
      </w:r>
      <w:r w:rsidR="00D930E3">
        <w:t xml:space="preserve">w poszczególnych latach </w:t>
      </w:r>
      <w:r w:rsidR="00D930E3" w:rsidRPr="00F06860">
        <w:t>wynosi w:</w:t>
      </w:r>
    </w:p>
    <w:p w:rsidR="00D930E3" w:rsidRPr="008324FF" w:rsidRDefault="00D930E3" w:rsidP="00D930E3">
      <w:pPr>
        <w:pStyle w:val="PKTpunkt"/>
      </w:pPr>
      <w:r>
        <w:t>1)</w:t>
      </w:r>
      <w:r>
        <w:tab/>
        <w:t>2022 r. – 0 mln</w:t>
      </w:r>
      <w:r w:rsidRPr="008324FF">
        <w:t xml:space="preserve"> zł;</w:t>
      </w:r>
    </w:p>
    <w:p w:rsidR="00D930E3" w:rsidRPr="008324FF" w:rsidRDefault="00D930E3" w:rsidP="00D930E3">
      <w:pPr>
        <w:pStyle w:val="PKTpunkt"/>
      </w:pPr>
      <w:r>
        <w:t>2)</w:t>
      </w:r>
      <w:r>
        <w:tab/>
        <w:t xml:space="preserve">2023 r. – 697 </w:t>
      </w:r>
      <w:r w:rsidRPr="008324FF">
        <w:t>mln zł;</w:t>
      </w:r>
    </w:p>
    <w:p w:rsidR="00D930E3" w:rsidRPr="008324FF" w:rsidRDefault="00D930E3" w:rsidP="00D930E3">
      <w:pPr>
        <w:pStyle w:val="PKTpunkt"/>
      </w:pPr>
      <w:r w:rsidRPr="008324FF">
        <w:t>3)</w:t>
      </w:r>
      <w:r w:rsidRPr="008324FF">
        <w:tab/>
        <w:t xml:space="preserve">2024 r. – </w:t>
      </w:r>
      <w:r>
        <w:t>593</w:t>
      </w:r>
      <w:r w:rsidRPr="008324FF">
        <w:t xml:space="preserve"> mln zł;</w:t>
      </w:r>
    </w:p>
    <w:p w:rsidR="00D930E3" w:rsidRPr="008324FF" w:rsidRDefault="00D930E3" w:rsidP="00D930E3">
      <w:pPr>
        <w:pStyle w:val="PKTpunkt"/>
      </w:pPr>
      <w:r w:rsidRPr="008324FF">
        <w:t>4)</w:t>
      </w:r>
      <w:r w:rsidRPr="008324FF">
        <w:tab/>
        <w:t xml:space="preserve">2025 r. – </w:t>
      </w:r>
      <w:r>
        <w:t xml:space="preserve">651 </w:t>
      </w:r>
      <w:r w:rsidRPr="008324FF">
        <w:t>mln zł;</w:t>
      </w:r>
    </w:p>
    <w:p w:rsidR="00D930E3" w:rsidRPr="008324FF" w:rsidRDefault="00D930E3" w:rsidP="00D930E3">
      <w:pPr>
        <w:pStyle w:val="PKTpunkt"/>
      </w:pPr>
      <w:r w:rsidRPr="008324FF">
        <w:t>5)</w:t>
      </w:r>
      <w:r w:rsidRPr="008324FF">
        <w:tab/>
        <w:t xml:space="preserve">2026 r. – </w:t>
      </w:r>
      <w:r>
        <w:t>651</w:t>
      </w:r>
      <w:r w:rsidRPr="008324FF">
        <w:t xml:space="preserve"> mln zł;</w:t>
      </w:r>
    </w:p>
    <w:p w:rsidR="00D930E3" w:rsidRPr="008324FF" w:rsidRDefault="00D930E3" w:rsidP="00D930E3">
      <w:pPr>
        <w:pStyle w:val="PKTpunkt"/>
      </w:pPr>
      <w:r w:rsidRPr="008324FF">
        <w:t>6)</w:t>
      </w:r>
      <w:r w:rsidRPr="008324FF">
        <w:tab/>
        <w:t xml:space="preserve">2027 r. – </w:t>
      </w:r>
      <w:r>
        <w:t>651</w:t>
      </w:r>
      <w:r w:rsidRPr="008324FF">
        <w:t xml:space="preserve"> mln zł;</w:t>
      </w:r>
    </w:p>
    <w:p w:rsidR="00D930E3" w:rsidRPr="008324FF" w:rsidRDefault="00D930E3" w:rsidP="00D930E3">
      <w:pPr>
        <w:pStyle w:val="PKTpunkt"/>
      </w:pPr>
      <w:r w:rsidRPr="008324FF">
        <w:t>7)</w:t>
      </w:r>
      <w:r w:rsidRPr="008324FF">
        <w:tab/>
        <w:t xml:space="preserve">2028 r. – </w:t>
      </w:r>
      <w:r>
        <w:t>651</w:t>
      </w:r>
      <w:r w:rsidRPr="008324FF">
        <w:t xml:space="preserve"> mln zł;</w:t>
      </w:r>
    </w:p>
    <w:p w:rsidR="00D930E3" w:rsidRPr="008324FF" w:rsidRDefault="00D930E3" w:rsidP="00D930E3">
      <w:pPr>
        <w:pStyle w:val="PKTpunkt"/>
      </w:pPr>
      <w:r w:rsidRPr="008324FF">
        <w:t>8)</w:t>
      </w:r>
      <w:r w:rsidRPr="008324FF">
        <w:tab/>
        <w:t xml:space="preserve">2029 r. – </w:t>
      </w:r>
      <w:r>
        <w:t>651</w:t>
      </w:r>
      <w:r w:rsidRPr="008324FF">
        <w:t xml:space="preserve"> mln zł;</w:t>
      </w:r>
    </w:p>
    <w:p w:rsidR="00D930E3" w:rsidRPr="008324FF" w:rsidRDefault="00D930E3" w:rsidP="00D930E3">
      <w:pPr>
        <w:pStyle w:val="PKTpunkt"/>
      </w:pPr>
      <w:r w:rsidRPr="008324FF">
        <w:t>9)</w:t>
      </w:r>
      <w:r w:rsidRPr="008324FF">
        <w:tab/>
        <w:t xml:space="preserve">2030 r. – </w:t>
      </w:r>
      <w:r>
        <w:t>651</w:t>
      </w:r>
      <w:r w:rsidRPr="008324FF">
        <w:t xml:space="preserve"> mln zł;</w:t>
      </w:r>
    </w:p>
    <w:p w:rsidR="00D930E3" w:rsidRDefault="00D930E3" w:rsidP="00D930E3">
      <w:pPr>
        <w:pStyle w:val="PKTpunkt"/>
      </w:pPr>
      <w:r w:rsidRPr="008324FF">
        <w:t>10)</w:t>
      </w:r>
      <w:r w:rsidRPr="008324FF">
        <w:tab/>
        <w:t xml:space="preserve">2031 r. – </w:t>
      </w:r>
      <w:r>
        <w:t>651</w:t>
      </w:r>
      <w:r w:rsidRPr="008324FF">
        <w:t xml:space="preserve"> mln zł</w:t>
      </w:r>
      <w:r>
        <w:t>.</w:t>
      </w:r>
    </w:p>
    <w:p w:rsidR="00D930E3" w:rsidRDefault="00D930E3" w:rsidP="00D930E3">
      <w:pPr>
        <w:pStyle w:val="USTustnpkodeksu"/>
      </w:pPr>
      <w:r>
        <w:t xml:space="preserve">2. </w:t>
      </w:r>
      <w:r w:rsidRPr="00E0286D">
        <w:t xml:space="preserve">Minister właściwy do spraw łączności monitoruje wykorzystanie limitu, o którym mowa w ust. </w:t>
      </w:r>
      <w:r>
        <w:t>1.</w:t>
      </w:r>
    </w:p>
    <w:p w:rsidR="00D930E3" w:rsidRDefault="00D930E3" w:rsidP="00D930E3">
      <w:pPr>
        <w:pStyle w:val="USTustnpkodeksu"/>
      </w:pPr>
      <w:r>
        <w:t xml:space="preserve">3. </w:t>
      </w:r>
      <w:r w:rsidRPr="00E0286D">
        <w:t>W przypadku przekroczenia lub zagrożenia przekroczenia przyjętego na dany rok budżetowy limitu,</w:t>
      </w:r>
      <w:r>
        <w:t xml:space="preserve"> o którym mowa w ust. 1</w:t>
      </w:r>
      <w:r w:rsidRPr="00E0286D">
        <w:t xml:space="preserve">, minister właściwy do spraw łączności informuje </w:t>
      </w:r>
      <w:r>
        <w:t>o tym przekroczeniu lub zagrożeniu</w:t>
      </w:r>
      <w:r w:rsidRPr="00E0286D">
        <w:t xml:space="preserve"> Prezesa Urzędu Komunikacji Elektronicznej</w:t>
      </w:r>
      <w:r>
        <w:t>.</w:t>
      </w:r>
    </w:p>
    <w:p w:rsidR="00D930E3" w:rsidRDefault="00D930E3" w:rsidP="00D930E3">
      <w:pPr>
        <w:pStyle w:val="USTustnpkodeksu"/>
        <w:rPr>
          <w:rStyle w:val="Ppogrubienie"/>
          <w:bCs w:val="0"/>
        </w:rPr>
      </w:pPr>
      <w:r>
        <w:t>4. Prezes Urzędu Komunikacji Elektronicznej</w:t>
      </w:r>
      <w:r w:rsidRPr="00E0286D">
        <w:t xml:space="preserve"> odpowiada za wdrożenie mechanizm</w:t>
      </w:r>
      <w:r>
        <w:t>u korygującego</w:t>
      </w:r>
      <w:r w:rsidRPr="00E0286D">
        <w:t xml:space="preserve"> polegając</w:t>
      </w:r>
      <w:r>
        <w:t>ego</w:t>
      </w:r>
      <w:r w:rsidRPr="00E0286D">
        <w:t xml:space="preserve"> na podjęciu działań przewidzianych w </w:t>
      </w:r>
      <w:r>
        <w:t xml:space="preserve">przepisach </w:t>
      </w:r>
      <w:r w:rsidRPr="00E0286D">
        <w:t>ustaw</w:t>
      </w:r>
      <w:r>
        <w:t xml:space="preserve">y </w:t>
      </w:r>
      <w:r w:rsidRPr="00E0286D">
        <w:t>zmienianej w art. 1, mających na celu uniknięcie prognozowanej przez operatora</w:t>
      </w:r>
      <w:r>
        <w:t xml:space="preserve"> </w:t>
      </w:r>
      <w:r w:rsidRPr="00E0286D">
        <w:t>wyznaczonego na dany rok straty na usługach powszechnych lub ograniczenie jej poziomu.</w:t>
      </w:r>
      <w:r>
        <w:t xml:space="preserve"> </w:t>
      </w:r>
    </w:p>
    <w:p w:rsidR="00D66F0A" w:rsidRDefault="006B00A1" w:rsidP="008671F8">
      <w:pPr>
        <w:pStyle w:val="ARTartustawynprozporzdzenia"/>
      </w:pPr>
      <w:r>
        <w:rPr>
          <w:rStyle w:val="Ppogrubienie"/>
        </w:rPr>
        <w:t>Art. </w:t>
      </w:r>
      <w:r w:rsidR="00D930E3">
        <w:rPr>
          <w:rStyle w:val="Ppogrubienie"/>
        </w:rPr>
        <w:t>6</w:t>
      </w:r>
      <w:r w:rsidR="00D930E3" w:rsidRPr="006C4F93">
        <w:rPr>
          <w:rStyle w:val="Ppogrubienie"/>
        </w:rPr>
        <w:t>.</w:t>
      </w:r>
      <w:r>
        <w:t> </w:t>
      </w:r>
      <w:r w:rsidR="00D930E3" w:rsidRPr="0055028D">
        <w:t>Ustawa wchodzi w życie po upływie 30 dni od dnia ogłoszenia.</w:t>
      </w:r>
      <w:bookmarkStart w:id="4" w:name="highlightHit_17"/>
      <w:bookmarkStart w:id="5" w:name="highlightHit_18"/>
      <w:bookmarkStart w:id="6" w:name="highlightHit_19"/>
      <w:bookmarkStart w:id="7" w:name="highlightHit_20"/>
      <w:bookmarkStart w:id="8" w:name="highlightHit_21"/>
      <w:bookmarkEnd w:id="4"/>
      <w:bookmarkEnd w:id="5"/>
      <w:bookmarkEnd w:id="6"/>
      <w:bookmarkEnd w:id="7"/>
      <w:bookmarkEnd w:id="8"/>
    </w:p>
    <w:sectPr w:rsidR="00D66F0A" w:rsidSect="00D43E1C">
      <w:headerReference w:type="default" r:id="rId10"/>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16" w:rsidRDefault="00896416">
      <w:pPr>
        <w:spacing w:after="0" w:line="240" w:lineRule="auto"/>
      </w:pPr>
      <w:r>
        <w:separator/>
      </w:r>
    </w:p>
  </w:endnote>
  <w:endnote w:type="continuationSeparator" w:id="0">
    <w:p w:rsidR="00896416" w:rsidRDefault="0089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16" w:rsidRDefault="00896416">
      <w:pPr>
        <w:spacing w:after="0" w:line="240" w:lineRule="auto"/>
      </w:pPr>
      <w:r>
        <w:separator/>
      </w:r>
    </w:p>
  </w:footnote>
  <w:footnote w:type="continuationSeparator" w:id="0">
    <w:p w:rsidR="00896416" w:rsidRDefault="00896416">
      <w:pPr>
        <w:spacing w:after="0" w:line="240" w:lineRule="auto"/>
      </w:pPr>
      <w:r>
        <w:continuationSeparator/>
      </w:r>
    </w:p>
  </w:footnote>
  <w:footnote w:id="1">
    <w:p w:rsidR="001D403E" w:rsidRPr="00927219" w:rsidRDefault="001D403E" w:rsidP="00D930E3">
      <w:pPr>
        <w:pStyle w:val="ODNONIKtreodnonika"/>
      </w:pPr>
      <w:r>
        <w:rPr>
          <w:rStyle w:val="Odwoanieprzypisudolnego"/>
        </w:rPr>
        <w:footnoteRef/>
      </w:r>
      <w:r>
        <w:rPr>
          <w:rStyle w:val="IGindeksgrny"/>
        </w:rPr>
        <w:t>)</w:t>
      </w:r>
      <w:r>
        <w:tab/>
        <w:t>Zmiany wymienionego rozporządzenia zostały ogłoszone w Dz. Urz. UE L 427 z 30.11.2021, str. 149 oraz Dz. Urz. UE L 154 z 07.06.2022, str. 23</w:t>
      </w:r>
      <w:r w:rsidR="008671F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03E" w:rsidRPr="00B371CC" w:rsidRDefault="001D403E" w:rsidP="00D43E1C">
    <w:pPr>
      <w:pStyle w:val="Nagwek"/>
      <w:jc w:val="center"/>
    </w:pPr>
    <w:r>
      <w:t xml:space="preserve">– </w:t>
    </w:r>
    <w:r>
      <w:fldChar w:fldCharType="begin"/>
    </w:r>
    <w:r>
      <w:instrText xml:space="preserve"> PAGE  \* MERGEFORMAT </w:instrText>
    </w:r>
    <w:r>
      <w:fldChar w:fldCharType="separate"/>
    </w:r>
    <w:r w:rsidR="00201F54">
      <w:rPr>
        <w:noProof/>
      </w:rPr>
      <w:t>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369D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90E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D0B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DEE6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3625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8CA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82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CAA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664B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A8D4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29D3"/>
    <w:multiLevelType w:val="hybridMultilevel"/>
    <w:tmpl w:val="A2842E52"/>
    <w:lvl w:ilvl="0" w:tplc="80F4B754">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C67FB8"/>
    <w:multiLevelType w:val="hybridMultilevel"/>
    <w:tmpl w:val="2A52D2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38208C4"/>
    <w:multiLevelType w:val="hybridMultilevel"/>
    <w:tmpl w:val="5558A0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2901D1"/>
    <w:multiLevelType w:val="hybridMultilevel"/>
    <w:tmpl w:val="BEF69812"/>
    <w:lvl w:ilvl="0" w:tplc="9158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B415F5"/>
    <w:multiLevelType w:val="hybridMultilevel"/>
    <w:tmpl w:val="3C2A62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D73046A"/>
    <w:multiLevelType w:val="hybridMultilevel"/>
    <w:tmpl w:val="02FA81B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2DF077F"/>
    <w:multiLevelType w:val="hybridMultilevel"/>
    <w:tmpl w:val="946C83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36520C6"/>
    <w:multiLevelType w:val="hybridMultilevel"/>
    <w:tmpl w:val="DD84C4F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7476FB7"/>
    <w:multiLevelType w:val="hybridMultilevel"/>
    <w:tmpl w:val="1B38AB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FF6243"/>
    <w:multiLevelType w:val="hybridMultilevel"/>
    <w:tmpl w:val="3C2A62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9262BA6"/>
    <w:multiLevelType w:val="hybridMultilevel"/>
    <w:tmpl w:val="D6F28B1A"/>
    <w:lvl w:ilvl="0" w:tplc="9158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4C09B2"/>
    <w:multiLevelType w:val="hybridMultilevel"/>
    <w:tmpl w:val="3C2A62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2C751B1"/>
    <w:multiLevelType w:val="hybridMultilevel"/>
    <w:tmpl w:val="23283738"/>
    <w:lvl w:ilvl="0" w:tplc="04150011">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D14179F"/>
    <w:multiLevelType w:val="hybridMultilevel"/>
    <w:tmpl w:val="960831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9CD2981"/>
    <w:multiLevelType w:val="hybridMultilevel"/>
    <w:tmpl w:val="C52CA1A0"/>
    <w:lvl w:ilvl="0" w:tplc="9158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7D7BC9"/>
    <w:multiLevelType w:val="hybridMultilevel"/>
    <w:tmpl w:val="5558A0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CAB3431"/>
    <w:multiLevelType w:val="hybridMultilevel"/>
    <w:tmpl w:val="18303E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CC6C2F"/>
    <w:multiLevelType w:val="hybridMultilevel"/>
    <w:tmpl w:val="7D0227A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99D5FDA"/>
    <w:multiLevelType w:val="hybridMultilevel"/>
    <w:tmpl w:val="7FF2F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6567BD"/>
    <w:multiLevelType w:val="hybridMultilevel"/>
    <w:tmpl w:val="F8CA0A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EF26C0F"/>
    <w:multiLevelType w:val="hybridMultilevel"/>
    <w:tmpl w:val="1CF693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4"/>
  </w:num>
  <w:num w:numId="13">
    <w:abstractNumId w:val="17"/>
  </w:num>
  <w:num w:numId="14">
    <w:abstractNumId w:val="21"/>
  </w:num>
  <w:num w:numId="15">
    <w:abstractNumId w:val="12"/>
  </w:num>
  <w:num w:numId="16">
    <w:abstractNumId w:val="29"/>
  </w:num>
  <w:num w:numId="17">
    <w:abstractNumId w:val="10"/>
  </w:num>
  <w:num w:numId="18">
    <w:abstractNumId w:val="23"/>
  </w:num>
  <w:num w:numId="19">
    <w:abstractNumId w:val="20"/>
  </w:num>
  <w:num w:numId="20">
    <w:abstractNumId w:val="13"/>
  </w:num>
  <w:num w:numId="21">
    <w:abstractNumId w:val="16"/>
  </w:num>
  <w:num w:numId="22">
    <w:abstractNumId w:val="11"/>
  </w:num>
  <w:num w:numId="23">
    <w:abstractNumId w:val="25"/>
  </w:num>
  <w:num w:numId="24">
    <w:abstractNumId w:val="27"/>
  </w:num>
  <w:num w:numId="25">
    <w:abstractNumId w:val="28"/>
  </w:num>
  <w:num w:numId="26">
    <w:abstractNumId w:val="26"/>
  </w:num>
  <w:num w:numId="27">
    <w:abstractNumId w:val="31"/>
  </w:num>
  <w:num w:numId="28">
    <w:abstractNumId w:val="18"/>
  </w:num>
  <w:num w:numId="29">
    <w:abstractNumId w:val="14"/>
  </w:num>
  <w:num w:numId="30">
    <w:abstractNumId w:val="22"/>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16"/>
    <w:rsid w:val="00002DEA"/>
    <w:rsid w:val="000058C0"/>
    <w:rsid w:val="000166C5"/>
    <w:rsid w:val="00020853"/>
    <w:rsid w:val="00023F2E"/>
    <w:rsid w:val="0003614B"/>
    <w:rsid w:val="00036DBB"/>
    <w:rsid w:val="00052362"/>
    <w:rsid w:val="00054FA7"/>
    <w:rsid w:val="000646B2"/>
    <w:rsid w:val="00080747"/>
    <w:rsid w:val="0008262C"/>
    <w:rsid w:val="00085C3E"/>
    <w:rsid w:val="0008680E"/>
    <w:rsid w:val="00086CA3"/>
    <w:rsid w:val="00092E57"/>
    <w:rsid w:val="000A062E"/>
    <w:rsid w:val="000A2925"/>
    <w:rsid w:val="000A5C24"/>
    <w:rsid w:val="000A79FC"/>
    <w:rsid w:val="000B3EA7"/>
    <w:rsid w:val="000B497B"/>
    <w:rsid w:val="000B667C"/>
    <w:rsid w:val="000D064D"/>
    <w:rsid w:val="000D4369"/>
    <w:rsid w:val="000E0623"/>
    <w:rsid w:val="000F35A8"/>
    <w:rsid w:val="00105082"/>
    <w:rsid w:val="00105CF1"/>
    <w:rsid w:val="00113955"/>
    <w:rsid w:val="0011467F"/>
    <w:rsid w:val="001167BC"/>
    <w:rsid w:val="00131895"/>
    <w:rsid w:val="0013766B"/>
    <w:rsid w:val="0014130B"/>
    <w:rsid w:val="00144C08"/>
    <w:rsid w:val="00152BB9"/>
    <w:rsid w:val="00160767"/>
    <w:rsid w:val="00171629"/>
    <w:rsid w:val="001750E6"/>
    <w:rsid w:val="00177E5F"/>
    <w:rsid w:val="001850D5"/>
    <w:rsid w:val="00187720"/>
    <w:rsid w:val="001A0930"/>
    <w:rsid w:val="001A4694"/>
    <w:rsid w:val="001B7151"/>
    <w:rsid w:val="001B7884"/>
    <w:rsid w:val="001C1640"/>
    <w:rsid w:val="001C1835"/>
    <w:rsid w:val="001C1BB5"/>
    <w:rsid w:val="001C5BA0"/>
    <w:rsid w:val="001C6B99"/>
    <w:rsid w:val="001D0F0E"/>
    <w:rsid w:val="001D227C"/>
    <w:rsid w:val="001D403E"/>
    <w:rsid w:val="001E7A2B"/>
    <w:rsid w:val="00201F54"/>
    <w:rsid w:val="00206A14"/>
    <w:rsid w:val="002079BA"/>
    <w:rsid w:val="00210055"/>
    <w:rsid w:val="00215B49"/>
    <w:rsid w:val="00215E53"/>
    <w:rsid w:val="00216525"/>
    <w:rsid w:val="00220859"/>
    <w:rsid w:val="0022186A"/>
    <w:rsid w:val="00237D67"/>
    <w:rsid w:val="00240A5B"/>
    <w:rsid w:val="0024511C"/>
    <w:rsid w:val="0025559E"/>
    <w:rsid w:val="00264F08"/>
    <w:rsid w:val="00265BFA"/>
    <w:rsid w:val="002759A8"/>
    <w:rsid w:val="00283EE6"/>
    <w:rsid w:val="00286132"/>
    <w:rsid w:val="00286D4A"/>
    <w:rsid w:val="00291276"/>
    <w:rsid w:val="00294077"/>
    <w:rsid w:val="002A1273"/>
    <w:rsid w:val="002B1C3B"/>
    <w:rsid w:val="002D1CD4"/>
    <w:rsid w:val="002D3EB9"/>
    <w:rsid w:val="002D5EB6"/>
    <w:rsid w:val="002D6BA4"/>
    <w:rsid w:val="002E6624"/>
    <w:rsid w:val="002E72A4"/>
    <w:rsid w:val="002F0580"/>
    <w:rsid w:val="002F3915"/>
    <w:rsid w:val="002F69C3"/>
    <w:rsid w:val="00300A5D"/>
    <w:rsid w:val="00304DE7"/>
    <w:rsid w:val="00310649"/>
    <w:rsid w:val="00314E5A"/>
    <w:rsid w:val="003150C7"/>
    <w:rsid w:val="00332105"/>
    <w:rsid w:val="00340041"/>
    <w:rsid w:val="00341435"/>
    <w:rsid w:val="00345345"/>
    <w:rsid w:val="00345A47"/>
    <w:rsid w:val="00360C57"/>
    <w:rsid w:val="003658B6"/>
    <w:rsid w:val="00366DC2"/>
    <w:rsid w:val="00367019"/>
    <w:rsid w:val="003703DB"/>
    <w:rsid w:val="00371D5C"/>
    <w:rsid w:val="00372956"/>
    <w:rsid w:val="00374F81"/>
    <w:rsid w:val="00380FC3"/>
    <w:rsid w:val="00383687"/>
    <w:rsid w:val="003850F4"/>
    <w:rsid w:val="00390D3F"/>
    <w:rsid w:val="00392359"/>
    <w:rsid w:val="00393420"/>
    <w:rsid w:val="003A210F"/>
    <w:rsid w:val="003A3378"/>
    <w:rsid w:val="003A3F61"/>
    <w:rsid w:val="003C5F95"/>
    <w:rsid w:val="003D3EA0"/>
    <w:rsid w:val="003E017E"/>
    <w:rsid w:val="003E0403"/>
    <w:rsid w:val="00410693"/>
    <w:rsid w:val="00411DA7"/>
    <w:rsid w:val="004148BA"/>
    <w:rsid w:val="00415CD1"/>
    <w:rsid w:val="00430522"/>
    <w:rsid w:val="00431D8E"/>
    <w:rsid w:val="00433ABE"/>
    <w:rsid w:val="00440D8A"/>
    <w:rsid w:val="004440B0"/>
    <w:rsid w:val="00474711"/>
    <w:rsid w:val="004747E7"/>
    <w:rsid w:val="004749A4"/>
    <w:rsid w:val="00482324"/>
    <w:rsid w:val="00495A05"/>
    <w:rsid w:val="00497D29"/>
    <w:rsid w:val="004A184B"/>
    <w:rsid w:val="004A2E67"/>
    <w:rsid w:val="004B061C"/>
    <w:rsid w:val="004B701F"/>
    <w:rsid w:val="004B73D2"/>
    <w:rsid w:val="004C1276"/>
    <w:rsid w:val="004C2825"/>
    <w:rsid w:val="004C70E2"/>
    <w:rsid w:val="004E049B"/>
    <w:rsid w:val="004E27DF"/>
    <w:rsid w:val="004E4D69"/>
    <w:rsid w:val="004E5A52"/>
    <w:rsid w:val="004E7141"/>
    <w:rsid w:val="004F6A6B"/>
    <w:rsid w:val="00523A86"/>
    <w:rsid w:val="005263AF"/>
    <w:rsid w:val="005273DA"/>
    <w:rsid w:val="0053168F"/>
    <w:rsid w:val="00541E3A"/>
    <w:rsid w:val="00546A42"/>
    <w:rsid w:val="00547523"/>
    <w:rsid w:val="0054797D"/>
    <w:rsid w:val="00557ABB"/>
    <w:rsid w:val="005667D3"/>
    <w:rsid w:val="00567501"/>
    <w:rsid w:val="00580464"/>
    <w:rsid w:val="00586162"/>
    <w:rsid w:val="0059185C"/>
    <w:rsid w:val="00593D48"/>
    <w:rsid w:val="00595E3A"/>
    <w:rsid w:val="005A52F9"/>
    <w:rsid w:val="005B098F"/>
    <w:rsid w:val="005B36E7"/>
    <w:rsid w:val="005C41DF"/>
    <w:rsid w:val="005C517E"/>
    <w:rsid w:val="005C5392"/>
    <w:rsid w:val="005D61C8"/>
    <w:rsid w:val="005D68AD"/>
    <w:rsid w:val="005E1A4B"/>
    <w:rsid w:val="005E4D82"/>
    <w:rsid w:val="005F4D08"/>
    <w:rsid w:val="00610389"/>
    <w:rsid w:val="00611CD5"/>
    <w:rsid w:val="00614813"/>
    <w:rsid w:val="00622195"/>
    <w:rsid w:val="00627714"/>
    <w:rsid w:val="00631DDB"/>
    <w:rsid w:val="006322F0"/>
    <w:rsid w:val="00635876"/>
    <w:rsid w:val="006477F3"/>
    <w:rsid w:val="006538C9"/>
    <w:rsid w:val="00655D35"/>
    <w:rsid w:val="00657D98"/>
    <w:rsid w:val="006607F6"/>
    <w:rsid w:val="00687910"/>
    <w:rsid w:val="006948BB"/>
    <w:rsid w:val="00695E70"/>
    <w:rsid w:val="0069714A"/>
    <w:rsid w:val="006A1964"/>
    <w:rsid w:val="006A5C02"/>
    <w:rsid w:val="006B00A1"/>
    <w:rsid w:val="006B0775"/>
    <w:rsid w:val="006B0BEB"/>
    <w:rsid w:val="006B3998"/>
    <w:rsid w:val="006B75CB"/>
    <w:rsid w:val="006B7886"/>
    <w:rsid w:val="006C0E14"/>
    <w:rsid w:val="006C0EC8"/>
    <w:rsid w:val="006F19FF"/>
    <w:rsid w:val="006F44A1"/>
    <w:rsid w:val="006F4EFB"/>
    <w:rsid w:val="007018EA"/>
    <w:rsid w:val="00717750"/>
    <w:rsid w:val="0074517D"/>
    <w:rsid w:val="00751B0B"/>
    <w:rsid w:val="00754276"/>
    <w:rsid w:val="00754A01"/>
    <w:rsid w:val="00756D7F"/>
    <w:rsid w:val="007572FD"/>
    <w:rsid w:val="00762EFB"/>
    <w:rsid w:val="0079670E"/>
    <w:rsid w:val="007A3D0C"/>
    <w:rsid w:val="007B4B8C"/>
    <w:rsid w:val="007B73E8"/>
    <w:rsid w:val="007C2BF2"/>
    <w:rsid w:val="007C314B"/>
    <w:rsid w:val="007C477C"/>
    <w:rsid w:val="007C4843"/>
    <w:rsid w:val="007C56CC"/>
    <w:rsid w:val="007D2014"/>
    <w:rsid w:val="007E08FA"/>
    <w:rsid w:val="007E385B"/>
    <w:rsid w:val="007F1359"/>
    <w:rsid w:val="007F38C9"/>
    <w:rsid w:val="007F6A71"/>
    <w:rsid w:val="007F7DCF"/>
    <w:rsid w:val="00803804"/>
    <w:rsid w:val="0080438E"/>
    <w:rsid w:val="00804E97"/>
    <w:rsid w:val="0080653C"/>
    <w:rsid w:val="00823365"/>
    <w:rsid w:val="008239A5"/>
    <w:rsid w:val="00825B8A"/>
    <w:rsid w:val="0083121D"/>
    <w:rsid w:val="008324FF"/>
    <w:rsid w:val="008348E7"/>
    <w:rsid w:val="00844124"/>
    <w:rsid w:val="00852272"/>
    <w:rsid w:val="00854023"/>
    <w:rsid w:val="00855C11"/>
    <w:rsid w:val="008671F8"/>
    <w:rsid w:val="008731A6"/>
    <w:rsid w:val="00875F97"/>
    <w:rsid w:val="008800EC"/>
    <w:rsid w:val="00881100"/>
    <w:rsid w:val="00887D41"/>
    <w:rsid w:val="008901C9"/>
    <w:rsid w:val="008922CA"/>
    <w:rsid w:val="008925A8"/>
    <w:rsid w:val="00896416"/>
    <w:rsid w:val="008A01E8"/>
    <w:rsid w:val="008A3CB6"/>
    <w:rsid w:val="008B0545"/>
    <w:rsid w:val="008B1E39"/>
    <w:rsid w:val="008B7475"/>
    <w:rsid w:val="008B7B9F"/>
    <w:rsid w:val="008C569A"/>
    <w:rsid w:val="008D10B1"/>
    <w:rsid w:val="008D331E"/>
    <w:rsid w:val="008D4B11"/>
    <w:rsid w:val="008D6EEA"/>
    <w:rsid w:val="008E0351"/>
    <w:rsid w:val="008E545C"/>
    <w:rsid w:val="008F270A"/>
    <w:rsid w:val="008F76ED"/>
    <w:rsid w:val="00935BD3"/>
    <w:rsid w:val="00957FC8"/>
    <w:rsid w:val="00985DB8"/>
    <w:rsid w:val="009867E8"/>
    <w:rsid w:val="00987173"/>
    <w:rsid w:val="00987CA4"/>
    <w:rsid w:val="009909BD"/>
    <w:rsid w:val="009A0CE8"/>
    <w:rsid w:val="009A4ED9"/>
    <w:rsid w:val="009A7EAA"/>
    <w:rsid w:val="009B3F8E"/>
    <w:rsid w:val="009B48F9"/>
    <w:rsid w:val="009C2395"/>
    <w:rsid w:val="009C41EC"/>
    <w:rsid w:val="009C4FCB"/>
    <w:rsid w:val="009C7322"/>
    <w:rsid w:val="009C7B6C"/>
    <w:rsid w:val="009D2007"/>
    <w:rsid w:val="009D7716"/>
    <w:rsid w:val="00A12536"/>
    <w:rsid w:val="00A23CB2"/>
    <w:rsid w:val="00A24539"/>
    <w:rsid w:val="00A27971"/>
    <w:rsid w:val="00A31120"/>
    <w:rsid w:val="00A3332E"/>
    <w:rsid w:val="00A3651F"/>
    <w:rsid w:val="00A41A65"/>
    <w:rsid w:val="00A42768"/>
    <w:rsid w:val="00A44F6B"/>
    <w:rsid w:val="00A45C12"/>
    <w:rsid w:val="00A565A9"/>
    <w:rsid w:val="00A840D2"/>
    <w:rsid w:val="00A865BA"/>
    <w:rsid w:val="00A86965"/>
    <w:rsid w:val="00AA1775"/>
    <w:rsid w:val="00AB1BDB"/>
    <w:rsid w:val="00AB38DA"/>
    <w:rsid w:val="00AC0A71"/>
    <w:rsid w:val="00AC5196"/>
    <w:rsid w:val="00AC71E2"/>
    <w:rsid w:val="00AD3968"/>
    <w:rsid w:val="00AD4003"/>
    <w:rsid w:val="00AD46C2"/>
    <w:rsid w:val="00AD7F6A"/>
    <w:rsid w:val="00AE3CE0"/>
    <w:rsid w:val="00AE3E40"/>
    <w:rsid w:val="00AE581A"/>
    <w:rsid w:val="00AE618E"/>
    <w:rsid w:val="00AF0213"/>
    <w:rsid w:val="00AF263E"/>
    <w:rsid w:val="00AF56A8"/>
    <w:rsid w:val="00B036FE"/>
    <w:rsid w:val="00B03A16"/>
    <w:rsid w:val="00B0417B"/>
    <w:rsid w:val="00B06D37"/>
    <w:rsid w:val="00B14C1F"/>
    <w:rsid w:val="00B30C25"/>
    <w:rsid w:val="00B5285A"/>
    <w:rsid w:val="00B57567"/>
    <w:rsid w:val="00B6308D"/>
    <w:rsid w:val="00B63D3D"/>
    <w:rsid w:val="00B658ED"/>
    <w:rsid w:val="00B72148"/>
    <w:rsid w:val="00B72CAC"/>
    <w:rsid w:val="00B730FA"/>
    <w:rsid w:val="00B81FEF"/>
    <w:rsid w:val="00B835AD"/>
    <w:rsid w:val="00B853C5"/>
    <w:rsid w:val="00BA145E"/>
    <w:rsid w:val="00BA33F6"/>
    <w:rsid w:val="00BA5A29"/>
    <w:rsid w:val="00BA76AB"/>
    <w:rsid w:val="00BB3063"/>
    <w:rsid w:val="00BB7B52"/>
    <w:rsid w:val="00BC07BD"/>
    <w:rsid w:val="00BC250B"/>
    <w:rsid w:val="00BC4F38"/>
    <w:rsid w:val="00BC6D26"/>
    <w:rsid w:val="00BC7946"/>
    <w:rsid w:val="00BE5B38"/>
    <w:rsid w:val="00BF2166"/>
    <w:rsid w:val="00C016E8"/>
    <w:rsid w:val="00C060D0"/>
    <w:rsid w:val="00C1733B"/>
    <w:rsid w:val="00C173E6"/>
    <w:rsid w:val="00C176B8"/>
    <w:rsid w:val="00C226DB"/>
    <w:rsid w:val="00C24107"/>
    <w:rsid w:val="00C346BD"/>
    <w:rsid w:val="00C41B16"/>
    <w:rsid w:val="00C65E4D"/>
    <w:rsid w:val="00C71F8D"/>
    <w:rsid w:val="00C734D6"/>
    <w:rsid w:val="00C74873"/>
    <w:rsid w:val="00C75258"/>
    <w:rsid w:val="00C836D0"/>
    <w:rsid w:val="00C85BDD"/>
    <w:rsid w:val="00C93139"/>
    <w:rsid w:val="00C94C3E"/>
    <w:rsid w:val="00C97787"/>
    <w:rsid w:val="00CA0815"/>
    <w:rsid w:val="00CA25AE"/>
    <w:rsid w:val="00CA322A"/>
    <w:rsid w:val="00CB2B17"/>
    <w:rsid w:val="00CB2B25"/>
    <w:rsid w:val="00CB6E9D"/>
    <w:rsid w:val="00CC3226"/>
    <w:rsid w:val="00CD042E"/>
    <w:rsid w:val="00CD4727"/>
    <w:rsid w:val="00CE01BA"/>
    <w:rsid w:val="00CE5F47"/>
    <w:rsid w:val="00CE7D33"/>
    <w:rsid w:val="00CF6A8F"/>
    <w:rsid w:val="00CF7B53"/>
    <w:rsid w:val="00D01233"/>
    <w:rsid w:val="00D02EB6"/>
    <w:rsid w:val="00D0368B"/>
    <w:rsid w:val="00D03A16"/>
    <w:rsid w:val="00D10CFC"/>
    <w:rsid w:val="00D22C16"/>
    <w:rsid w:val="00D422E0"/>
    <w:rsid w:val="00D43E1C"/>
    <w:rsid w:val="00D44AEE"/>
    <w:rsid w:val="00D56500"/>
    <w:rsid w:val="00D66F0A"/>
    <w:rsid w:val="00D71D62"/>
    <w:rsid w:val="00D923FE"/>
    <w:rsid w:val="00D927BF"/>
    <w:rsid w:val="00D930E3"/>
    <w:rsid w:val="00D940D5"/>
    <w:rsid w:val="00D96F17"/>
    <w:rsid w:val="00DA5304"/>
    <w:rsid w:val="00DB5A95"/>
    <w:rsid w:val="00DB6713"/>
    <w:rsid w:val="00DC04CD"/>
    <w:rsid w:val="00DD3FE7"/>
    <w:rsid w:val="00DE14EB"/>
    <w:rsid w:val="00DE3D92"/>
    <w:rsid w:val="00DE4772"/>
    <w:rsid w:val="00DE7144"/>
    <w:rsid w:val="00DF743E"/>
    <w:rsid w:val="00E0286D"/>
    <w:rsid w:val="00E05976"/>
    <w:rsid w:val="00E14EA1"/>
    <w:rsid w:val="00E16370"/>
    <w:rsid w:val="00E24859"/>
    <w:rsid w:val="00E25D8F"/>
    <w:rsid w:val="00E30967"/>
    <w:rsid w:val="00E35940"/>
    <w:rsid w:val="00E439E0"/>
    <w:rsid w:val="00E45EE7"/>
    <w:rsid w:val="00E50949"/>
    <w:rsid w:val="00E52D27"/>
    <w:rsid w:val="00E52EAF"/>
    <w:rsid w:val="00E55DBD"/>
    <w:rsid w:val="00E56206"/>
    <w:rsid w:val="00E56410"/>
    <w:rsid w:val="00E60435"/>
    <w:rsid w:val="00E63ACD"/>
    <w:rsid w:val="00E729E8"/>
    <w:rsid w:val="00E75045"/>
    <w:rsid w:val="00E770A4"/>
    <w:rsid w:val="00E77F3D"/>
    <w:rsid w:val="00E96E9E"/>
    <w:rsid w:val="00EB0DB5"/>
    <w:rsid w:val="00EB6574"/>
    <w:rsid w:val="00EB7DBE"/>
    <w:rsid w:val="00EC40FF"/>
    <w:rsid w:val="00ED537F"/>
    <w:rsid w:val="00EF3A54"/>
    <w:rsid w:val="00EF5785"/>
    <w:rsid w:val="00EF6542"/>
    <w:rsid w:val="00F06860"/>
    <w:rsid w:val="00F16698"/>
    <w:rsid w:val="00F26F46"/>
    <w:rsid w:val="00F30530"/>
    <w:rsid w:val="00F40A82"/>
    <w:rsid w:val="00F40F59"/>
    <w:rsid w:val="00F4160C"/>
    <w:rsid w:val="00F5477D"/>
    <w:rsid w:val="00F55CDC"/>
    <w:rsid w:val="00F710DC"/>
    <w:rsid w:val="00F75C5E"/>
    <w:rsid w:val="00F834D6"/>
    <w:rsid w:val="00F94373"/>
    <w:rsid w:val="00FB32D3"/>
    <w:rsid w:val="00FB3F11"/>
    <w:rsid w:val="00FC1B29"/>
    <w:rsid w:val="00FC5E55"/>
    <w:rsid w:val="00FD4280"/>
    <w:rsid w:val="00FE5C99"/>
    <w:rsid w:val="00FE7639"/>
    <w:rsid w:val="00FF63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55945D-C12A-4C2C-B2A4-4938C8A0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542"/>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B721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825B8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9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Numerowanie,List Paragraph"/>
    <w:basedOn w:val="Normalny"/>
    <w:link w:val="AkapitzlistZnak"/>
    <w:uiPriority w:val="34"/>
    <w:qFormat/>
    <w:rsid w:val="0055028D"/>
    <w:pPr>
      <w:ind w:left="720"/>
      <w:contextualSpacing/>
    </w:pPr>
  </w:style>
  <w:style w:type="character" w:styleId="Hipercze">
    <w:name w:val="Hyperlink"/>
    <w:basedOn w:val="Domylnaczcionkaakapitu"/>
    <w:uiPriority w:val="99"/>
    <w:unhideWhenUsed/>
    <w:rsid w:val="0055028D"/>
    <w:rPr>
      <w:color w:val="0000FF"/>
      <w:u w:val="single"/>
    </w:rPr>
  </w:style>
  <w:style w:type="paragraph" w:styleId="Tekstprzypisukocowego">
    <w:name w:val="endnote text"/>
    <w:basedOn w:val="Normalny"/>
    <w:link w:val="TekstprzypisukocowegoZnak"/>
    <w:uiPriority w:val="99"/>
    <w:semiHidden/>
    <w:unhideWhenUsed/>
    <w:rsid w:val="00127F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7F2B"/>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127F2B"/>
    <w:rPr>
      <w:vertAlign w:val="superscript"/>
    </w:rPr>
  </w:style>
  <w:style w:type="paragraph" w:styleId="Poprawka">
    <w:name w:val="Revision"/>
    <w:hidden/>
    <w:uiPriority w:val="99"/>
    <w:semiHidden/>
    <w:rsid w:val="00382B2F"/>
    <w:pPr>
      <w:spacing w:line="240" w:lineRule="auto"/>
    </w:pPr>
    <w:rPr>
      <w:rFonts w:asciiTheme="minorHAnsi" w:eastAsiaTheme="minorHAnsi" w:hAnsiTheme="minorHAnsi" w:cstheme="minorBidi"/>
      <w:sz w:val="22"/>
      <w:szCs w:val="22"/>
      <w:lang w:eastAsia="en-US"/>
    </w:rPr>
  </w:style>
  <w:style w:type="paragraph" w:styleId="Zwykytekst">
    <w:name w:val="Plain Text"/>
    <w:basedOn w:val="Normalny"/>
    <w:link w:val="ZwykytekstZnak"/>
    <w:uiPriority w:val="99"/>
    <w:semiHidden/>
    <w:unhideWhenUsed/>
    <w:rsid w:val="00B814A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814A9"/>
    <w:rPr>
      <w:rFonts w:ascii="Consolas" w:eastAsiaTheme="minorHAnsi" w:hAnsi="Consolas" w:cstheme="minorBidi"/>
      <w:sz w:val="21"/>
      <w:szCs w:val="21"/>
      <w:lang w:eastAsia="en-US"/>
    </w:rPr>
  </w:style>
  <w:style w:type="table" w:customStyle="1" w:styleId="Siatkatabelijasna1">
    <w:name w:val="Siatka tabeli — jasna1"/>
    <w:basedOn w:val="Standardowy"/>
    <w:uiPriority w:val="40"/>
    <w:rsid w:val="005F1A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2Znak">
    <w:name w:val="Nagłówek 2 Znak"/>
    <w:basedOn w:val="Domylnaczcionkaakapitu"/>
    <w:link w:val="Nagwek2"/>
    <w:uiPriority w:val="99"/>
    <w:semiHidden/>
    <w:rsid w:val="00B72148"/>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rsid w:val="00825B8A"/>
    <w:rPr>
      <w:rFonts w:ascii="Arial" w:hAnsi="Arial" w:cs="Arial"/>
      <w:b/>
      <w:bCs/>
      <w:sz w:val="26"/>
      <w:szCs w:val="26"/>
    </w:rPr>
  </w:style>
  <w:style w:type="character" w:styleId="UyteHipercze">
    <w:name w:val="FollowedHyperlink"/>
    <w:uiPriority w:val="99"/>
    <w:semiHidden/>
    <w:unhideWhenUsed/>
    <w:rsid w:val="00825B8A"/>
    <w:rPr>
      <w:color w:val="800080"/>
      <w:u w:val="single"/>
    </w:rPr>
  </w:style>
  <w:style w:type="paragraph" w:styleId="Tekstpodstawowy">
    <w:name w:val="Body Text"/>
    <w:basedOn w:val="Normalny"/>
    <w:link w:val="TekstpodstawowyZnak"/>
    <w:rsid w:val="00825B8A"/>
    <w:pPr>
      <w:spacing w:after="0" w:line="240" w:lineRule="auto"/>
    </w:pPr>
    <w:rPr>
      <w:rFonts w:ascii="Arial" w:eastAsia="Times New Roman" w:hAnsi="Arial" w:cs="Arial"/>
      <w:lang w:eastAsia="pl-PL"/>
    </w:rPr>
  </w:style>
  <w:style w:type="character" w:customStyle="1" w:styleId="TekstpodstawowyZnak">
    <w:name w:val="Tekst podstawowy Znak"/>
    <w:basedOn w:val="Domylnaczcionkaakapitu"/>
    <w:link w:val="Tekstpodstawowy"/>
    <w:rsid w:val="00825B8A"/>
    <w:rPr>
      <w:rFonts w:ascii="Arial" w:hAnsi="Arial" w:cs="Arial"/>
      <w:sz w:val="22"/>
      <w:szCs w:val="22"/>
    </w:rPr>
  </w:style>
  <w:style w:type="character" w:customStyle="1" w:styleId="Nagwek4">
    <w:name w:val="Nagłówek #4"/>
    <w:basedOn w:val="Domylnaczcionkaakapitu"/>
    <w:rsid w:val="00825B8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1">
    <w:name w:val="Stopka1"/>
    <w:basedOn w:val="Domylnaczcionkaakapitu"/>
    <w:rsid w:val="00825B8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articletitle">
    <w:name w:val="articletitle"/>
    <w:basedOn w:val="Domylnaczcionkaakapitu"/>
    <w:rsid w:val="00825B8A"/>
  </w:style>
  <w:style w:type="character" w:customStyle="1" w:styleId="Teksttreci2">
    <w:name w:val="Tekst treści (2)"/>
    <w:basedOn w:val="Domylnaczcionkaakapitu"/>
    <w:rsid w:val="00825B8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0">
    <w:name w:val="Tekst treści (2)_"/>
    <w:basedOn w:val="Domylnaczcionkaakapitu"/>
    <w:rsid w:val="00825B8A"/>
    <w:rPr>
      <w:rFonts w:ascii="Times New Roman" w:eastAsia="Times New Roman" w:hAnsi="Times New Roman" w:cs="Times New Roman"/>
      <w:b w:val="0"/>
      <w:bCs w:val="0"/>
      <w:i w:val="0"/>
      <w:iCs w:val="0"/>
      <w:smallCaps w:val="0"/>
      <w:strike w:val="0"/>
      <w:sz w:val="20"/>
      <w:szCs w:val="20"/>
      <w:u w:val="none"/>
    </w:rPr>
  </w:style>
  <w:style w:type="character" w:customStyle="1" w:styleId="AkapitzlistZnak">
    <w:name w:val="Akapit z listą Znak"/>
    <w:aliases w:val="Numerowanie Znak,List Paragraph Znak"/>
    <w:link w:val="Akapitzlist"/>
    <w:uiPriority w:val="34"/>
    <w:locked/>
    <w:rsid w:val="00825B8A"/>
    <w:rPr>
      <w:rFonts w:asciiTheme="minorHAnsi" w:eastAsiaTheme="minorHAnsi" w:hAnsiTheme="minorHAnsi" w:cstheme="minorBidi"/>
      <w:sz w:val="22"/>
      <w:szCs w:val="22"/>
      <w:lang w:eastAsia="en-US"/>
    </w:rPr>
  </w:style>
  <w:style w:type="character" w:customStyle="1" w:styleId="acopre">
    <w:name w:val="acopre"/>
    <w:basedOn w:val="Domylnaczcionkaakapitu"/>
    <w:rsid w:val="00825B8A"/>
  </w:style>
  <w:style w:type="character" w:customStyle="1" w:styleId="highlight">
    <w:name w:val="highlight"/>
    <w:basedOn w:val="Domylnaczcionkaakapitu"/>
    <w:rsid w:val="00C9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5940">
      <w:bodyDiv w:val="1"/>
      <w:marLeft w:val="0"/>
      <w:marRight w:val="0"/>
      <w:marTop w:val="0"/>
      <w:marBottom w:val="0"/>
      <w:divBdr>
        <w:top w:val="none" w:sz="0" w:space="0" w:color="auto"/>
        <w:left w:val="none" w:sz="0" w:space="0" w:color="auto"/>
        <w:bottom w:val="none" w:sz="0" w:space="0" w:color="auto"/>
        <w:right w:val="none" w:sz="0" w:space="0" w:color="auto"/>
      </w:divBdr>
    </w:div>
    <w:div w:id="467161752">
      <w:bodyDiv w:val="1"/>
      <w:marLeft w:val="0"/>
      <w:marRight w:val="0"/>
      <w:marTop w:val="0"/>
      <w:marBottom w:val="0"/>
      <w:divBdr>
        <w:top w:val="none" w:sz="0" w:space="0" w:color="auto"/>
        <w:left w:val="none" w:sz="0" w:space="0" w:color="auto"/>
        <w:bottom w:val="none" w:sz="0" w:space="0" w:color="auto"/>
        <w:right w:val="none" w:sz="0" w:space="0" w:color="auto"/>
      </w:divBdr>
    </w:div>
    <w:div w:id="785276935">
      <w:bodyDiv w:val="1"/>
      <w:marLeft w:val="0"/>
      <w:marRight w:val="0"/>
      <w:marTop w:val="0"/>
      <w:marBottom w:val="0"/>
      <w:divBdr>
        <w:top w:val="none" w:sz="0" w:space="0" w:color="auto"/>
        <w:left w:val="none" w:sz="0" w:space="0" w:color="auto"/>
        <w:bottom w:val="none" w:sz="0" w:space="0" w:color="auto"/>
        <w:right w:val="none" w:sz="0" w:space="0" w:color="auto"/>
      </w:divBdr>
    </w:div>
    <w:div w:id="1023746890">
      <w:bodyDiv w:val="1"/>
      <w:marLeft w:val="0"/>
      <w:marRight w:val="0"/>
      <w:marTop w:val="0"/>
      <w:marBottom w:val="0"/>
      <w:divBdr>
        <w:top w:val="none" w:sz="0" w:space="0" w:color="auto"/>
        <w:left w:val="none" w:sz="0" w:space="0" w:color="auto"/>
        <w:bottom w:val="none" w:sz="0" w:space="0" w:color="auto"/>
        <w:right w:val="none" w:sz="0" w:space="0" w:color="auto"/>
      </w:divBdr>
      <w:divsChild>
        <w:div w:id="820384661">
          <w:marLeft w:val="0"/>
          <w:marRight w:val="0"/>
          <w:marTop w:val="0"/>
          <w:marBottom w:val="0"/>
          <w:divBdr>
            <w:top w:val="none" w:sz="0" w:space="0" w:color="auto"/>
            <w:left w:val="none" w:sz="0" w:space="0" w:color="auto"/>
            <w:bottom w:val="none" w:sz="0" w:space="0" w:color="auto"/>
            <w:right w:val="none" w:sz="0" w:space="0" w:color="auto"/>
          </w:divBdr>
        </w:div>
        <w:div w:id="1128426415">
          <w:marLeft w:val="0"/>
          <w:marRight w:val="0"/>
          <w:marTop w:val="0"/>
          <w:marBottom w:val="0"/>
          <w:divBdr>
            <w:top w:val="none" w:sz="0" w:space="0" w:color="auto"/>
            <w:left w:val="none" w:sz="0" w:space="0" w:color="auto"/>
            <w:bottom w:val="none" w:sz="0" w:space="0" w:color="auto"/>
            <w:right w:val="none" w:sz="0" w:space="0" w:color="auto"/>
          </w:divBdr>
        </w:div>
        <w:div w:id="1884827733">
          <w:marLeft w:val="0"/>
          <w:marRight w:val="0"/>
          <w:marTop w:val="0"/>
          <w:marBottom w:val="0"/>
          <w:divBdr>
            <w:top w:val="none" w:sz="0" w:space="0" w:color="auto"/>
            <w:left w:val="none" w:sz="0" w:space="0" w:color="auto"/>
            <w:bottom w:val="none" w:sz="0" w:space="0" w:color="auto"/>
            <w:right w:val="none" w:sz="0" w:space="0" w:color="auto"/>
          </w:divBdr>
        </w:div>
        <w:div w:id="2082213455">
          <w:marLeft w:val="0"/>
          <w:marRight w:val="0"/>
          <w:marTop w:val="0"/>
          <w:marBottom w:val="0"/>
          <w:divBdr>
            <w:top w:val="none" w:sz="0" w:space="0" w:color="auto"/>
            <w:left w:val="none" w:sz="0" w:space="0" w:color="auto"/>
            <w:bottom w:val="none" w:sz="0" w:space="0" w:color="auto"/>
            <w:right w:val="none" w:sz="0" w:space="0" w:color="auto"/>
          </w:divBdr>
        </w:div>
      </w:divsChild>
    </w:div>
    <w:div w:id="1260680355">
      <w:bodyDiv w:val="1"/>
      <w:marLeft w:val="0"/>
      <w:marRight w:val="0"/>
      <w:marTop w:val="0"/>
      <w:marBottom w:val="0"/>
      <w:divBdr>
        <w:top w:val="none" w:sz="0" w:space="0" w:color="auto"/>
        <w:left w:val="none" w:sz="0" w:space="0" w:color="auto"/>
        <w:bottom w:val="none" w:sz="0" w:space="0" w:color="auto"/>
        <w:right w:val="none" w:sz="0" w:space="0" w:color="auto"/>
      </w:divBdr>
    </w:div>
    <w:div w:id="1313485981">
      <w:bodyDiv w:val="1"/>
      <w:marLeft w:val="0"/>
      <w:marRight w:val="0"/>
      <w:marTop w:val="0"/>
      <w:marBottom w:val="0"/>
      <w:divBdr>
        <w:top w:val="none" w:sz="0" w:space="0" w:color="auto"/>
        <w:left w:val="none" w:sz="0" w:space="0" w:color="auto"/>
        <w:bottom w:val="none" w:sz="0" w:space="0" w:color="auto"/>
        <w:right w:val="none" w:sz="0" w:space="0" w:color="auto"/>
      </w:divBdr>
    </w:div>
    <w:div w:id="17515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6900D-2F4B-4F34-82D2-262B48F8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8</Pages>
  <Words>2084</Words>
  <Characters>11889</Characters>
  <Application>Microsoft Office Word</Application>
  <DocSecurity>4</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Suska Agnieszka</dc:creator>
  <cp:keywords/>
  <dc:description/>
  <cp:lastModifiedBy>Kołakowska Iwona</cp:lastModifiedBy>
  <cp:revision>2</cp:revision>
  <cp:lastPrinted>2022-08-08T09:08:00Z</cp:lastPrinted>
  <dcterms:created xsi:type="dcterms:W3CDTF">2022-09-07T07:27:00Z</dcterms:created>
  <dcterms:modified xsi:type="dcterms:W3CDTF">2022-09-07T07:27:00Z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