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16" w:rsidRPr="00931964" w:rsidRDefault="00B03A16" w:rsidP="00B03A16">
      <w:pPr>
        <w:pStyle w:val="ROZDZODDZOZNoznaczenierozdziauluboddziau"/>
        <w:rPr>
          <w:rFonts w:ascii="Times New Roman" w:hAnsi="Times New Roman" w:cs="Times New Roman"/>
        </w:rPr>
      </w:pPr>
      <w:bookmarkStart w:id="0" w:name="_GoBack"/>
      <w:bookmarkEnd w:id="0"/>
      <w:r w:rsidRPr="00931964">
        <w:rPr>
          <w:rFonts w:ascii="Times New Roman" w:hAnsi="Times New Roman" w:cs="Times New Roman"/>
        </w:rPr>
        <w:t>UZASADNIENIE</w:t>
      </w:r>
    </w:p>
    <w:p w:rsidR="00B03A16" w:rsidRPr="00931964" w:rsidRDefault="00B03A16" w:rsidP="00B857FF">
      <w:pPr>
        <w:pStyle w:val="NIEARTTEKSTtekstnieartykuowanynppodstprawnarozplubpreambua"/>
        <w:ind w:firstLine="0"/>
        <w:rPr>
          <w:rStyle w:val="Ppogrubienie"/>
          <w:rFonts w:ascii="Times New Roman" w:hAnsi="Times New Roman" w:cs="Times New Roman"/>
          <w:szCs w:val="24"/>
        </w:rPr>
      </w:pPr>
      <w:r w:rsidRPr="00931964">
        <w:rPr>
          <w:rStyle w:val="Ppogrubienie"/>
          <w:rFonts w:ascii="Times New Roman" w:hAnsi="Times New Roman" w:cs="Times New Roman"/>
          <w:szCs w:val="24"/>
        </w:rPr>
        <w:t>Potrzeba i cel uchwalenia ustawy</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Projektowana ustawa o zmianie ustawy z dnia 23 listopada 2012 r. – Prawo pocztowe (Dz.</w:t>
      </w:r>
      <w:r w:rsidR="00B857FF">
        <w:rPr>
          <w:rFonts w:ascii="Times New Roman" w:hAnsi="Times New Roman" w:cs="Times New Roman"/>
          <w:szCs w:val="24"/>
        </w:rPr>
        <w:t xml:space="preserve"> </w:t>
      </w:r>
      <w:r w:rsidRPr="00931964">
        <w:rPr>
          <w:rFonts w:ascii="Times New Roman" w:hAnsi="Times New Roman" w:cs="Times New Roman"/>
          <w:szCs w:val="24"/>
        </w:rPr>
        <w:t>U. z 202</w:t>
      </w:r>
      <w:r w:rsidR="009C41EC" w:rsidRPr="00931964">
        <w:rPr>
          <w:rFonts w:ascii="Times New Roman" w:hAnsi="Times New Roman" w:cs="Times New Roman"/>
          <w:szCs w:val="24"/>
        </w:rPr>
        <w:t>2</w:t>
      </w:r>
      <w:r w:rsidRPr="00931964">
        <w:rPr>
          <w:rFonts w:ascii="Times New Roman" w:hAnsi="Times New Roman" w:cs="Times New Roman"/>
          <w:szCs w:val="24"/>
        </w:rPr>
        <w:t xml:space="preserve"> r. poz.</w:t>
      </w:r>
      <w:r w:rsidR="009C41EC" w:rsidRPr="00931964">
        <w:rPr>
          <w:rFonts w:ascii="Times New Roman" w:hAnsi="Times New Roman" w:cs="Times New Roman"/>
          <w:szCs w:val="24"/>
        </w:rPr>
        <w:t xml:space="preserve"> 896</w:t>
      </w:r>
      <w:r w:rsidRPr="00931964">
        <w:rPr>
          <w:rFonts w:ascii="Times New Roman" w:hAnsi="Times New Roman" w:cs="Times New Roman"/>
          <w:szCs w:val="24"/>
        </w:rPr>
        <w:t xml:space="preserve">), dalej: „Prawo pocztowe”, dostosowuje przepisy do przemian zachodzących na rynku usług pocztowych. Jej głównym celem jest zapewnienie skutecznego mechanizmu finansowania kosztu netto obowiązku świadczenia usług powszechnych (dalej: „koszt netto”), spełniającego warunki określone w </w:t>
      </w:r>
      <w:r w:rsidR="002F69C3" w:rsidRPr="00931964">
        <w:rPr>
          <w:rFonts w:ascii="Times New Roman" w:hAnsi="Times New Roman" w:cs="Times New Roman"/>
          <w:szCs w:val="24"/>
        </w:rPr>
        <w:t xml:space="preserve">dyrektywie </w:t>
      </w:r>
      <w:r w:rsidRPr="00931964">
        <w:rPr>
          <w:rFonts w:ascii="Times New Roman" w:hAnsi="Times New Roman" w:cs="Times New Roman"/>
          <w:szCs w:val="24"/>
        </w:rPr>
        <w:t>97/67/WE Parlamentu Europejskiego i Rady z dnia 15 grudnia 1997 r. w sprawie wspólnych zasad rozwoju rynku wewnętrznego usług pocztowych Wspólnoty oraz poprawy jakości usług (Dz. U</w:t>
      </w:r>
      <w:r w:rsidR="009C2395" w:rsidRPr="00931964">
        <w:rPr>
          <w:rFonts w:ascii="Times New Roman" w:hAnsi="Times New Roman" w:cs="Times New Roman"/>
          <w:szCs w:val="24"/>
        </w:rPr>
        <w:t>rz</w:t>
      </w:r>
      <w:r w:rsidRPr="00931964">
        <w:rPr>
          <w:rFonts w:ascii="Times New Roman" w:hAnsi="Times New Roman" w:cs="Times New Roman"/>
          <w:szCs w:val="24"/>
        </w:rPr>
        <w:t>. UE L</w:t>
      </w:r>
      <w:r w:rsidR="002F69C3" w:rsidRPr="00931964">
        <w:rPr>
          <w:rFonts w:ascii="Times New Roman" w:hAnsi="Times New Roman" w:cs="Times New Roman"/>
          <w:szCs w:val="24"/>
        </w:rPr>
        <w:t xml:space="preserve"> </w:t>
      </w:r>
      <w:r w:rsidRPr="00931964">
        <w:rPr>
          <w:rFonts w:ascii="Times New Roman" w:hAnsi="Times New Roman" w:cs="Times New Roman"/>
          <w:szCs w:val="24"/>
        </w:rPr>
        <w:t>15 z 21.01.1998, str. 14</w:t>
      </w:r>
      <w:r w:rsidR="00A44F6B" w:rsidRPr="00931964">
        <w:rPr>
          <w:rFonts w:ascii="Times New Roman" w:hAnsi="Times New Roman" w:cs="Times New Roman"/>
          <w:szCs w:val="24"/>
        </w:rPr>
        <w:t xml:space="preserve">, z </w:t>
      </w:r>
      <w:proofErr w:type="spellStart"/>
      <w:r w:rsidR="00A44F6B" w:rsidRPr="00931964">
        <w:rPr>
          <w:rFonts w:ascii="Times New Roman" w:hAnsi="Times New Roman" w:cs="Times New Roman"/>
          <w:szCs w:val="24"/>
        </w:rPr>
        <w:t>późn</w:t>
      </w:r>
      <w:proofErr w:type="spellEnd"/>
      <w:r w:rsidR="00A44F6B" w:rsidRPr="00931964">
        <w:rPr>
          <w:rFonts w:ascii="Times New Roman" w:hAnsi="Times New Roman" w:cs="Times New Roman"/>
          <w:szCs w:val="24"/>
        </w:rPr>
        <w:t>. zm.</w:t>
      </w:r>
      <w:r w:rsidRPr="00931964">
        <w:rPr>
          <w:rFonts w:ascii="Times New Roman" w:hAnsi="Times New Roman" w:cs="Times New Roman"/>
          <w:szCs w:val="24"/>
        </w:rPr>
        <w:t>), zwanej dalej „</w:t>
      </w:r>
      <w:r w:rsidR="002F69C3" w:rsidRPr="00931964">
        <w:rPr>
          <w:rFonts w:ascii="Times New Roman" w:hAnsi="Times New Roman" w:cs="Times New Roman"/>
          <w:szCs w:val="24"/>
        </w:rPr>
        <w:t xml:space="preserve">dyrektywą </w:t>
      </w:r>
      <w:r w:rsidRPr="00931964">
        <w:rPr>
          <w:rFonts w:ascii="Times New Roman" w:hAnsi="Times New Roman" w:cs="Times New Roman"/>
          <w:szCs w:val="24"/>
        </w:rPr>
        <w:t xml:space="preserve">97/67/WE”, oraz </w:t>
      </w:r>
      <w:r w:rsidR="002F69C3" w:rsidRPr="00931964">
        <w:rPr>
          <w:rFonts w:ascii="Times New Roman" w:hAnsi="Times New Roman" w:cs="Times New Roman"/>
          <w:szCs w:val="24"/>
        </w:rPr>
        <w:t>dyrektyw</w:t>
      </w:r>
      <w:r w:rsidR="00371D5C" w:rsidRPr="00931964">
        <w:rPr>
          <w:rFonts w:ascii="Times New Roman" w:hAnsi="Times New Roman" w:cs="Times New Roman"/>
          <w:szCs w:val="24"/>
        </w:rPr>
        <w:t>ie</w:t>
      </w:r>
      <w:r w:rsidR="002F69C3" w:rsidRPr="00931964">
        <w:rPr>
          <w:rFonts w:ascii="Times New Roman" w:hAnsi="Times New Roman" w:cs="Times New Roman"/>
          <w:szCs w:val="24"/>
        </w:rPr>
        <w:t xml:space="preserve"> </w:t>
      </w:r>
      <w:r w:rsidRPr="00931964">
        <w:rPr>
          <w:rFonts w:ascii="Times New Roman" w:hAnsi="Times New Roman" w:cs="Times New Roman"/>
          <w:szCs w:val="24"/>
        </w:rPr>
        <w:t>Parlamentu Europejskiego i Rady 2008/6/WE z dnia 20 lutego 2008 r. zmieniającej dyrektywę 97/67/WE w odniesieniu do pełnego urzeczywistnienia rynku wewnętrznego usług pocztowych Wspólnoty (Dz. U</w:t>
      </w:r>
      <w:r w:rsidR="002F69C3" w:rsidRPr="00931964">
        <w:rPr>
          <w:rFonts w:ascii="Times New Roman" w:hAnsi="Times New Roman" w:cs="Times New Roman"/>
          <w:szCs w:val="24"/>
        </w:rPr>
        <w:t>rz</w:t>
      </w:r>
      <w:r w:rsidRPr="00931964">
        <w:rPr>
          <w:rFonts w:ascii="Times New Roman" w:hAnsi="Times New Roman" w:cs="Times New Roman"/>
          <w:szCs w:val="24"/>
        </w:rPr>
        <w:t>. UE L 52 z 27.</w:t>
      </w:r>
      <w:r w:rsidR="002F69C3" w:rsidRPr="00931964">
        <w:rPr>
          <w:rFonts w:ascii="Times New Roman" w:hAnsi="Times New Roman" w:cs="Times New Roman"/>
          <w:szCs w:val="24"/>
        </w:rPr>
        <w:t>0</w:t>
      </w:r>
      <w:r w:rsidRPr="00931964">
        <w:rPr>
          <w:rFonts w:ascii="Times New Roman" w:hAnsi="Times New Roman" w:cs="Times New Roman"/>
          <w:szCs w:val="24"/>
        </w:rPr>
        <w:t>2.2008, str. 3</w:t>
      </w:r>
      <w:r w:rsidR="00371D5C" w:rsidRPr="00931964">
        <w:rPr>
          <w:rFonts w:ascii="Times New Roman" w:hAnsi="Times New Roman" w:cs="Times New Roman"/>
          <w:szCs w:val="24"/>
        </w:rPr>
        <w:t xml:space="preserve">, z </w:t>
      </w:r>
      <w:proofErr w:type="spellStart"/>
      <w:r w:rsidR="00371D5C" w:rsidRPr="00931964">
        <w:rPr>
          <w:rFonts w:ascii="Times New Roman" w:hAnsi="Times New Roman" w:cs="Times New Roman"/>
          <w:szCs w:val="24"/>
        </w:rPr>
        <w:t>późn</w:t>
      </w:r>
      <w:proofErr w:type="spellEnd"/>
      <w:r w:rsidR="00371D5C" w:rsidRPr="00931964">
        <w:rPr>
          <w:rFonts w:ascii="Times New Roman" w:hAnsi="Times New Roman" w:cs="Times New Roman"/>
          <w:szCs w:val="24"/>
        </w:rPr>
        <w:t>. zm.</w:t>
      </w:r>
      <w:r w:rsidRPr="00931964">
        <w:rPr>
          <w:rFonts w:ascii="Times New Roman" w:hAnsi="Times New Roman" w:cs="Times New Roman"/>
          <w:szCs w:val="24"/>
        </w:rPr>
        <w:t>), zwanej dalej „</w:t>
      </w:r>
      <w:r w:rsidR="002F69C3" w:rsidRPr="00931964">
        <w:rPr>
          <w:rFonts w:ascii="Times New Roman" w:hAnsi="Times New Roman" w:cs="Times New Roman"/>
          <w:szCs w:val="24"/>
        </w:rPr>
        <w:t xml:space="preserve">dyrektywą </w:t>
      </w:r>
      <w:r w:rsidRPr="00931964">
        <w:rPr>
          <w:rFonts w:ascii="Times New Roman" w:hAnsi="Times New Roman" w:cs="Times New Roman"/>
          <w:szCs w:val="24"/>
        </w:rPr>
        <w:t>2008/6/WE”. Dotychczasowe doświadczenia wskazują, że zastosowany w Prawie pocztowym mechanizm finansowania straty powstałej w związku ze świadczeniem usług powszechnych z funduszu kompensacyjnego stanowi nadmierne obciążenie administracyjne operatorów pocztowych obowiązanych do wpłat do funduszu, związanych zarówno z ustalaniem ich udziału w dopłacie, jak i prowadzeniem wyodrębnionej ewidencji rachunkowej dla usług wchodzących w zakres usług powszechnych, pozostałych usług pocztowych i pozostałej działalności gospodarczej, w</w:t>
      </w:r>
      <w:r w:rsidR="00B857FF">
        <w:rPr>
          <w:rFonts w:ascii="Times New Roman" w:hAnsi="Times New Roman" w:cs="Times New Roman"/>
          <w:szCs w:val="24"/>
        </w:rPr>
        <w:t xml:space="preserve"> </w:t>
      </w:r>
      <w:r w:rsidRPr="00931964">
        <w:rPr>
          <w:rFonts w:ascii="Times New Roman" w:hAnsi="Times New Roman" w:cs="Times New Roman"/>
          <w:szCs w:val="24"/>
        </w:rPr>
        <w:t>celu ustalenia kwoty przychodów stanowiących podstawę do określenia udziału operatora w</w:t>
      </w:r>
      <w:r w:rsidR="00B857FF">
        <w:rPr>
          <w:rFonts w:ascii="Times New Roman" w:hAnsi="Times New Roman" w:cs="Times New Roman"/>
          <w:szCs w:val="24"/>
        </w:rPr>
        <w:t xml:space="preserve"> </w:t>
      </w:r>
      <w:r w:rsidRPr="00931964">
        <w:rPr>
          <w:rFonts w:ascii="Times New Roman" w:hAnsi="Times New Roman" w:cs="Times New Roman"/>
          <w:szCs w:val="24"/>
        </w:rPr>
        <w:t>dopłacie. Mechanizm ten jest ponadto nieefektywny i znacząco utrudnia wypłatę operatorowi wyznaczonemu dopłaty z tego tytułu.</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Pocztowe usługi powszechne są zaliczane do usług świadczonych w ogólnym interesie gospodarczym, czyli usług, których zapewnienie leży w interesie społecznym i które bez interwencji publicznej nie byłyby świadczone na rynku (lub byłyby świadczone na znacznie mniej korzystnych warunkach). Interwencja ta polega zazwyczaj na nałożeniu na określonego przedsiębiorcę lub przedsiębiorców </w:t>
      </w:r>
      <w:r w:rsidRPr="00931964">
        <w:rPr>
          <w:rFonts w:ascii="Times New Roman" w:hAnsi="Times New Roman" w:cs="Times New Roman"/>
          <w:szCs w:val="24"/>
        </w:rPr>
        <w:lastRenderedPageBreak/>
        <w:t>obowiązków związanych z zapewnieniem dostępu do usług świadczonych w ogólnym interesie gospodarczym dla wszystkich obywateli po przystępnych cenach.</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Dyrektywa 97/67/WE zmieniona </w:t>
      </w:r>
      <w:r w:rsidR="002F69C3" w:rsidRPr="00931964">
        <w:rPr>
          <w:rFonts w:ascii="Times New Roman" w:hAnsi="Times New Roman" w:cs="Times New Roman"/>
          <w:szCs w:val="24"/>
        </w:rPr>
        <w:t xml:space="preserve">dyrektywą </w:t>
      </w:r>
      <w:r w:rsidRPr="00931964">
        <w:rPr>
          <w:rFonts w:ascii="Times New Roman" w:hAnsi="Times New Roman" w:cs="Times New Roman"/>
          <w:szCs w:val="24"/>
        </w:rPr>
        <w:t>2008/6/WE wymaga zapewnienia przez państwa członkowskie Unii Europejskiej pocztowych usług powszechnych o określonej jakości, dostosowanych do potrzeb ich użytkowników, świadczonych w sposób ciągły po przystępnej cenie. Zakres obowiązku świadczenia usług powszechnych obejmuje takie aspekty, jak częstotliwość doręczeń (świadczenie usługi nie mniej niż 5 dni roboczych w tygodniu), dostępność placówek pocztowych, limity wagowe przesyłek oraz standardy jakości usług powszechnych.</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Dyrektywa 97/67/WE zmieniona </w:t>
      </w:r>
      <w:r w:rsidR="002F69C3" w:rsidRPr="00931964">
        <w:rPr>
          <w:rFonts w:ascii="Times New Roman" w:hAnsi="Times New Roman" w:cs="Times New Roman"/>
          <w:szCs w:val="24"/>
        </w:rPr>
        <w:t xml:space="preserve">dyrektywą </w:t>
      </w:r>
      <w:r w:rsidRPr="00931964">
        <w:rPr>
          <w:rFonts w:ascii="Times New Roman" w:hAnsi="Times New Roman" w:cs="Times New Roman"/>
          <w:szCs w:val="24"/>
        </w:rPr>
        <w:t>2008/6/WE przewiduje możliwość dofinansowania kosztu netto w ramach mechanizmu rekompensat ze środków pochodzących z funduszy publicznych lub podziału kosztu netto między operatorów świadczących usługi. Źródłem dofinansowania obowiązku świadczenia usług powszechnych w</w:t>
      </w:r>
      <w:r w:rsidR="00B857FF">
        <w:rPr>
          <w:rFonts w:ascii="Times New Roman" w:hAnsi="Times New Roman" w:cs="Times New Roman"/>
          <w:szCs w:val="24"/>
        </w:rPr>
        <w:t xml:space="preserve"> </w:t>
      </w:r>
      <w:r w:rsidRPr="00931964">
        <w:rPr>
          <w:rFonts w:ascii="Times New Roman" w:hAnsi="Times New Roman" w:cs="Times New Roman"/>
          <w:szCs w:val="24"/>
        </w:rPr>
        <w:t xml:space="preserve">pierwszej kolejności mogą być środki publiczne, a w drugiej – mechanizm podziału kosztu netto pomiędzy operatorów świadczących usługi wchodzące w zakres usług powszechnych. </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W art. 7 ust. 3 </w:t>
      </w:r>
      <w:r w:rsidR="002F69C3" w:rsidRPr="00931964">
        <w:rPr>
          <w:rFonts w:ascii="Times New Roman" w:hAnsi="Times New Roman" w:cs="Times New Roman"/>
          <w:szCs w:val="24"/>
        </w:rPr>
        <w:t xml:space="preserve">dyrektywy </w:t>
      </w:r>
      <w:r w:rsidRPr="00931964">
        <w:rPr>
          <w:rFonts w:ascii="Times New Roman" w:hAnsi="Times New Roman" w:cs="Times New Roman"/>
          <w:szCs w:val="24"/>
        </w:rPr>
        <w:t xml:space="preserve">97/67/WE zmienionej </w:t>
      </w:r>
      <w:r w:rsidR="002F69C3" w:rsidRPr="00931964">
        <w:rPr>
          <w:rFonts w:ascii="Times New Roman" w:hAnsi="Times New Roman" w:cs="Times New Roman"/>
          <w:szCs w:val="24"/>
        </w:rPr>
        <w:t xml:space="preserve">dyrektywą </w:t>
      </w:r>
      <w:r w:rsidRPr="00931964">
        <w:rPr>
          <w:rFonts w:ascii="Times New Roman" w:hAnsi="Times New Roman" w:cs="Times New Roman"/>
          <w:szCs w:val="24"/>
        </w:rPr>
        <w:t>2008/6/WE sformułowane zostało zastrzeżenie, że zastosowanie jakiegokolwiek mechanizmu dofinansowania kosztu netto jest uzależnione od spełnienia dwóch warunków łącznie:</w:t>
      </w:r>
    </w:p>
    <w:p w:rsidR="00B03A16" w:rsidRPr="00931964" w:rsidRDefault="00B03A16" w:rsidP="00B03A16">
      <w:pPr>
        <w:pStyle w:val="LITlitera"/>
        <w:rPr>
          <w:rFonts w:ascii="Times New Roman" w:hAnsi="Times New Roman" w:cs="Times New Roman"/>
          <w:szCs w:val="24"/>
        </w:rPr>
      </w:pPr>
      <w:r w:rsidRPr="00931964">
        <w:rPr>
          <w:rFonts w:ascii="Times New Roman" w:hAnsi="Times New Roman" w:cs="Times New Roman"/>
          <w:szCs w:val="24"/>
        </w:rPr>
        <w:t>1)</w:t>
      </w:r>
      <w:r w:rsidRPr="00931964">
        <w:rPr>
          <w:rFonts w:ascii="Times New Roman" w:hAnsi="Times New Roman" w:cs="Times New Roman"/>
          <w:szCs w:val="24"/>
        </w:rPr>
        <w:tab/>
        <w:t>obowiązki związane ze świadczeniem usług powszechnych pociągają za sobą koszt netto dla operatora wyznaczonego</w:t>
      </w:r>
      <w:r w:rsidR="00CE7D33" w:rsidRPr="00931964">
        <w:rPr>
          <w:rFonts w:ascii="Times New Roman" w:hAnsi="Times New Roman" w:cs="Times New Roman"/>
          <w:szCs w:val="24"/>
        </w:rPr>
        <w:t>;</w:t>
      </w:r>
      <w:r w:rsidRPr="00931964">
        <w:rPr>
          <w:rFonts w:ascii="Times New Roman" w:hAnsi="Times New Roman" w:cs="Times New Roman"/>
          <w:szCs w:val="24"/>
        </w:rPr>
        <w:t xml:space="preserve"> </w:t>
      </w:r>
    </w:p>
    <w:p w:rsidR="00B03A16" w:rsidRPr="00931964" w:rsidRDefault="00B03A16" w:rsidP="00B03A16">
      <w:pPr>
        <w:pStyle w:val="LITlitera"/>
        <w:rPr>
          <w:rFonts w:ascii="Times New Roman" w:hAnsi="Times New Roman" w:cs="Times New Roman"/>
          <w:szCs w:val="24"/>
        </w:rPr>
      </w:pPr>
      <w:r w:rsidRPr="00931964">
        <w:rPr>
          <w:rFonts w:ascii="Times New Roman" w:hAnsi="Times New Roman" w:cs="Times New Roman"/>
          <w:szCs w:val="24"/>
        </w:rPr>
        <w:t>2)</w:t>
      </w:r>
      <w:r w:rsidRPr="00931964">
        <w:rPr>
          <w:rFonts w:ascii="Times New Roman" w:hAnsi="Times New Roman" w:cs="Times New Roman"/>
          <w:szCs w:val="24"/>
        </w:rPr>
        <w:tab/>
        <w:t>koszt netto stanowi nieuzasadnione obciążenie finansowe.</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Obecnie obowiązujące przepisy przewidują możliwość udzielenia operatorowi świadczącemu usługi powszechne, czyli operatorowi wyznaczonemu (w wyniku rozstrzygniętego w 2015 r. konkursu przeprowadzonego przez Prezesa UKE rolę tę w latach 2016–2025 pełni Poczta Polska S.A.), rekompensaty w przypadku, gdy świadczenie tych usług w danym roku obrotowym przyniosło stratę (rozumianą jako ujemny wynik finansowy na sprzedaży usług powszechnych). Obowiązuje mieszany mechanizm fina</w:t>
      </w:r>
      <w:r w:rsidR="00371D5C" w:rsidRPr="00931964">
        <w:rPr>
          <w:rFonts w:ascii="Times New Roman" w:hAnsi="Times New Roman" w:cs="Times New Roman"/>
          <w:szCs w:val="24"/>
        </w:rPr>
        <w:t>n</w:t>
      </w:r>
      <w:r w:rsidRPr="00931964">
        <w:rPr>
          <w:rFonts w:ascii="Times New Roman" w:hAnsi="Times New Roman" w:cs="Times New Roman"/>
          <w:szCs w:val="24"/>
        </w:rPr>
        <w:t xml:space="preserve">sowania, w ramach którego rekompensata powinna być </w:t>
      </w:r>
      <w:r w:rsidRPr="00931964">
        <w:rPr>
          <w:rFonts w:ascii="Times New Roman" w:hAnsi="Times New Roman" w:cs="Times New Roman"/>
          <w:szCs w:val="24"/>
        </w:rPr>
        <w:lastRenderedPageBreak/>
        <w:t>finansowana przede wszystkim z udziałów operatorów pocztowych objętych obowiązkiem udziału w dopłacie, a z budżetu państwa dopiero, gdy kwota pochodząca od operatorów obowiązanych nie wystarczy na pełne sfinansowanie rekompensaty.</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ramach obecnego mechanizmu do udziału w dopłacie są uprawnieni operatorzy pocztowi, świadczący usługi powszechne lub usługi wchodzące w zakres usług powszechnych, których przychód z tych usług w roku obrotowym, za który jest ustalana dopłata, przekroczył milion złotych. Zgodnie z art. 108 ust. 3 Prawa pocztowego są oni obowiązani do prowadzenia przejrzystej rachunkowości w sposób zapewniający prowadzenie wyodrębnionej ewidencji dla usług wchodzących w zakres usług powszechnych, pozostałych usług pocztowych i pozostałej działalności gospodarczej, w celu ustalenia kwoty przychodów stanowiących podstawę do określenia udziału operatora w dopłacie. Ponieważ łączna kwota udziału w dopłacie operatorów pocztowych (poza operatorem wyznaczonym) w poszczególnych latach oscyluje wokół 1 mln zł, utrzymanie tego obowiązku stanowi obciążenie administracyjne nieuzasadnione rzeczywistym interesem budżetu państwa. Rezygnacja z tego komponentu dofinansowania kosztu netto zmniejszy też bezpośrednie obciążenie finansowe operatorów pocztowych, co jest niezwykle istotne w</w:t>
      </w:r>
      <w:r w:rsidR="00B857FF">
        <w:rPr>
          <w:rFonts w:ascii="Times New Roman" w:hAnsi="Times New Roman" w:cs="Times New Roman"/>
          <w:szCs w:val="24"/>
        </w:rPr>
        <w:t xml:space="preserve"> </w:t>
      </w:r>
      <w:r w:rsidRPr="00931964">
        <w:rPr>
          <w:rFonts w:ascii="Times New Roman" w:hAnsi="Times New Roman" w:cs="Times New Roman"/>
          <w:szCs w:val="24"/>
        </w:rPr>
        <w:t>obliczu przemian zachodzących na rynku usług pocztowych.</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Ponadto konstrukcja mechanizmu</w:t>
      </w:r>
      <w:r w:rsidR="006948BB" w:rsidRPr="00931964">
        <w:rPr>
          <w:rFonts w:ascii="Times New Roman" w:hAnsi="Times New Roman" w:cs="Times New Roman"/>
          <w:szCs w:val="24"/>
        </w:rPr>
        <w:t>,</w:t>
      </w:r>
      <w:r w:rsidRPr="00931964">
        <w:rPr>
          <w:rFonts w:ascii="Times New Roman" w:hAnsi="Times New Roman" w:cs="Times New Roman"/>
          <w:szCs w:val="24"/>
        </w:rPr>
        <w:t xml:space="preserve"> włączająca do udziału w dopłatach operatora wyznaczonego, w obecnych warunkach rynkowych (tj. zdecydowanej dominacji udziału Poczty Polskiej S.A. w</w:t>
      </w:r>
      <w:r w:rsidR="00B857FF">
        <w:rPr>
          <w:rFonts w:ascii="Times New Roman" w:hAnsi="Times New Roman" w:cs="Times New Roman"/>
          <w:szCs w:val="24"/>
        </w:rPr>
        <w:t xml:space="preserve"> </w:t>
      </w:r>
      <w:r w:rsidRPr="00931964">
        <w:rPr>
          <w:rFonts w:ascii="Times New Roman" w:hAnsi="Times New Roman" w:cs="Times New Roman"/>
          <w:szCs w:val="24"/>
        </w:rPr>
        <w:t xml:space="preserve">przychodach z segmentu usług powszechnych) powodowała, że operator wyznaczony, mający być beneficjentem mechanizmu, był zarazem niemal wyłącznym jego fundatorem. Przyjęcie dopłat operatorów pocztowych jako podstawowego rozwiązania w zakresie finansowania kosztu netto prowadzi do sytuacji, w której operator wyznaczony jest obciążony finansowaniem rekompensaty z tytułu kosztu netto świadczenia usług powszechnych, która jest udzielana jemu samemu. W 2013 r. wysokość dopłaty </w:t>
      </w:r>
      <w:r w:rsidRPr="00931964">
        <w:rPr>
          <w:rFonts w:ascii="Times New Roman" w:hAnsi="Times New Roman" w:cs="Times New Roman"/>
          <w:szCs w:val="24"/>
        </w:rPr>
        <w:br/>
        <w:t>została ustalona na poziomie 95 071 967,72 zł. Prognozowana kwota dopłat pochodzących od operatorów pocztowych (z wyłączeniem Poczty Polskiej S.A.) wraz z dopłatą z budżetu państwa określona została wówczas na poziomie 10</w:t>
      </w:r>
      <w:r w:rsidR="00B857FF">
        <w:rPr>
          <w:rFonts w:ascii="Times New Roman" w:hAnsi="Times New Roman" w:cs="Times New Roman"/>
          <w:szCs w:val="24"/>
        </w:rPr>
        <w:t xml:space="preserve"> </w:t>
      </w:r>
      <w:r w:rsidRPr="00931964">
        <w:rPr>
          <w:rFonts w:ascii="Times New Roman" w:hAnsi="Times New Roman" w:cs="Times New Roman"/>
          <w:szCs w:val="24"/>
        </w:rPr>
        <w:t>499</w:t>
      </w:r>
      <w:r w:rsidR="00B857FF">
        <w:rPr>
          <w:rFonts w:ascii="Times New Roman" w:hAnsi="Times New Roman" w:cs="Times New Roman"/>
          <w:szCs w:val="24"/>
        </w:rPr>
        <w:t xml:space="preserve"> </w:t>
      </w:r>
      <w:r w:rsidRPr="00931964">
        <w:rPr>
          <w:rFonts w:ascii="Times New Roman" w:hAnsi="Times New Roman" w:cs="Times New Roman"/>
          <w:szCs w:val="24"/>
        </w:rPr>
        <w:lastRenderedPageBreak/>
        <w:t>417,24 zł, a zatem do sfinansowania przez Pocztę Polska S.A. pozostawała kwota 84</w:t>
      </w:r>
      <w:r w:rsidR="00B857FF">
        <w:rPr>
          <w:rFonts w:ascii="Times New Roman" w:hAnsi="Times New Roman" w:cs="Times New Roman"/>
          <w:szCs w:val="24"/>
        </w:rPr>
        <w:t xml:space="preserve"> </w:t>
      </w:r>
      <w:r w:rsidRPr="00931964">
        <w:rPr>
          <w:rFonts w:ascii="Times New Roman" w:hAnsi="Times New Roman" w:cs="Times New Roman"/>
          <w:szCs w:val="24"/>
        </w:rPr>
        <w:t xml:space="preserve">572 550,48 zł. Oznacza to, że operator wyznaczony zobowiązany był do poniesienia de facto 88,95% należnej sobie rekompensaty </w:t>
      </w:r>
      <w:r w:rsidRPr="00931964">
        <w:rPr>
          <w:rFonts w:ascii="Times New Roman" w:hAnsi="Times New Roman" w:cs="Times New Roman"/>
          <w:szCs w:val="24"/>
        </w:rPr>
        <w:br/>
        <w:t>z tytułu kosztu netto. Mechanizm ten nie spełnia zatem swojego podstawowego celu, jakim jest wsparcie wykonywania przez operatora wyznaczonego obowiązku świadczenia usług powszechnych.</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Jednocześnie zmiany zachodzące na rynku usług pocztowych (stały trend zmniejszania się wolumenów przesyłek listowych przy wzroście wolumenu paczek i usług kurierskich) powodują coraz niższą konkurencyjność w segmencie usług wchodzących w zakres usługi powszechnej. Wysoce prawdopodobna jest zatem sytuacja, w której operator wyznaczony może nie mieć możliwości uzyskania przychodów wystarczających na finansowanie obowiązków realizowanych w zakresie pocztowych usług powszechnych. W związku z tym podstawową formą dofinansowania kosztu netto powinna stać się dopłata ze środków publicznych, zapewniająca operatorowi wyznaczonemu rzeczywistą rekompensatę obciążenia finansowego związanego z realizacją publicznej misji świadczenia usług powszechnych.</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Drugim istotnym celem wprowadzanej ustawy jest przemodelowanie przepisów regulujących funkcjonowanie usług pocztowych w Polsce, tak aby usługi te stanowiły pełnowartościowy element działalności e-commerce. Dla uczestników gospodarki cyfrowej istotna jest nie tylko sama usługa sprzedaży, ale również możliwość cyfrowego zamawiania i kontrolowania procesu dostawy. Na obecnym etapie rozwoju rynku cyfrowego konkurencyjne usługi doręczeń muszą być świadczone przy wykorzystaniu innowacyjnych technologii i rozwiązań (komunikacja cyfrowa, automaty paczkowe). Konieczne jest również zmniejszenie dysproporcji praw nadawcy i odbiorcy w procesie doręczenia. Z tego względu w przedmiotowej nowelizacji Prawa pocztowego jest wprowadzany szereg rozwiązań dostosowujących regulacje prawne do zmian zachodzących na rynku pocztowym, jak np. zmiany dotyczące mocy urzędowej potwierdzenia nadania przesyłki rejestrowanej lub przekazu pocztowego samodzielnie pobieranego przez użytkownika z systemu teleinformatycznego operatora wyznaczonego, definicji </w:t>
      </w:r>
      <w:r w:rsidRPr="00931964">
        <w:rPr>
          <w:rFonts w:ascii="Times New Roman" w:hAnsi="Times New Roman" w:cs="Times New Roman"/>
          <w:szCs w:val="24"/>
        </w:rPr>
        <w:lastRenderedPageBreak/>
        <w:t>przesyłki kurierskiej czy zmiany zasad postępowania z przesyłkami niedoręczalnymi. Wprowadzane zmiany regulacyjne mają na celu poprawienie funkcjonowania polskiego rynku usług pocztowych przez:</w:t>
      </w:r>
    </w:p>
    <w:p w:rsidR="00B03A16" w:rsidRPr="00931964" w:rsidRDefault="00B03A16" w:rsidP="00931964">
      <w:pPr>
        <w:pStyle w:val="LITlitera"/>
        <w:ind w:left="567"/>
        <w:rPr>
          <w:rFonts w:ascii="Times New Roman" w:hAnsi="Times New Roman" w:cs="Times New Roman"/>
          <w:szCs w:val="24"/>
        </w:rPr>
      </w:pPr>
      <w:r w:rsidRPr="00931964">
        <w:rPr>
          <w:rFonts w:ascii="Times New Roman" w:hAnsi="Times New Roman" w:cs="Times New Roman"/>
          <w:szCs w:val="24"/>
        </w:rPr>
        <w:t>1)</w:t>
      </w:r>
      <w:r w:rsidRPr="00931964">
        <w:rPr>
          <w:rFonts w:ascii="Times New Roman" w:hAnsi="Times New Roman" w:cs="Times New Roman"/>
          <w:szCs w:val="24"/>
        </w:rPr>
        <w:tab/>
        <w:t>upowszechnienie innowacyjnych rozwiązań technologicznych, w tym usług i komunikacji cyfrowej;</w:t>
      </w:r>
    </w:p>
    <w:p w:rsidR="00B03A16" w:rsidRPr="00931964" w:rsidRDefault="00B03A16" w:rsidP="00931964">
      <w:pPr>
        <w:pStyle w:val="LITlitera"/>
        <w:ind w:left="567"/>
        <w:rPr>
          <w:rFonts w:ascii="Times New Roman" w:hAnsi="Times New Roman" w:cs="Times New Roman"/>
          <w:szCs w:val="24"/>
        </w:rPr>
      </w:pPr>
      <w:r w:rsidRPr="00931964">
        <w:rPr>
          <w:rFonts w:ascii="Times New Roman" w:hAnsi="Times New Roman" w:cs="Times New Roman"/>
          <w:szCs w:val="24"/>
        </w:rPr>
        <w:t>2)</w:t>
      </w:r>
      <w:r w:rsidRPr="00931964">
        <w:rPr>
          <w:rFonts w:ascii="Times New Roman" w:hAnsi="Times New Roman" w:cs="Times New Roman"/>
          <w:szCs w:val="24"/>
        </w:rPr>
        <w:tab/>
        <w:t>uelastycznienie mechanizmów obsługi nadawców i odbiorców;</w:t>
      </w:r>
    </w:p>
    <w:p w:rsidR="00B03A16" w:rsidRPr="00931964" w:rsidRDefault="00B03A16" w:rsidP="00931964">
      <w:pPr>
        <w:pStyle w:val="LITlitera"/>
        <w:ind w:left="567"/>
        <w:rPr>
          <w:rFonts w:ascii="Times New Roman" w:hAnsi="Times New Roman" w:cs="Times New Roman"/>
          <w:szCs w:val="24"/>
        </w:rPr>
      </w:pPr>
      <w:r w:rsidRPr="00931964">
        <w:rPr>
          <w:rFonts w:ascii="Times New Roman" w:hAnsi="Times New Roman" w:cs="Times New Roman"/>
          <w:szCs w:val="24"/>
        </w:rPr>
        <w:t>3)</w:t>
      </w:r>
      <w:r w:rsidRPr="00931964">
        <w:rPr>
          <w:rFonts w:ascii="Times New Roman" w:hAnsi="Times New Roman" w:cs="Times New Roman"/>
          <w:szCs w:val="24"/>
        </w:rPr>
        <w:tab/>
        <w:t>obniżenie kosztów działalności operatorów pocztowych;</w:t>
      </w:r>
    </w:p>
    <w:p w:rsidR="00B03A16" w:rsidRPr="00931964" w:rsidRDefault="00B03A16" w:rsidP="00931964">
      <w:pPr>
        <w:pStyle w:val="LITlitera"/>
        <w:ind w:left="567"/>
        <w:rPr>
          <w:rFonts w:ascii="Times New Roman" w:hAnsi="Times New Roman" w:cs="Times New Roman"/>
          <w:szCs w:val="24"/>
        </w:rPr>
      </w:pPr>
      <w:r w:rsidRPr="00931964">
        <w:rPr>
          <w:rFonts w:ascii="Times New Roman" w:hAnsi="Times New Roman" w:cs="Times New Roman"/>
          <w:szCs w:val="24"/>
        </w:rPr>
        <w:t>4)</w:t>
      </w:r>
      <w:r w:rsidRPr="00931964">
        <w:rPr>
          <w:rFonts w:ascii="Times New Roman" w:hAnsi="Times New Roman" w:cs="Times New Roman"/>
          <w:szCs w:val="24"/>
        </w:rPr>
        <w:tab/>
        <w:t>zmniejszenie obciążenia administracyjnego operatorów pocztowych</w:t>
      </w:r>
      <w:r w:rsidR="00036DBB" w:rsidRPr="00931964">
        <w:rPr>
          <w:rFonts w:ascii="Times New Roman" w:hAnsi="Times New Roman" w:cs="Times New Roman"/>
          <w:szCs w:val="24"/>
        </w:rPr>
        <w:t xml:space="preserve"> i uproszczenie procedur krajowego organu regulacyjnego (Prezes UKE)</w:t>
      </w:r>
      <w:r w:rsidRPr="00931964">
        <w:rPr>
          <w:rFonts w:ascii="Times New Roman" w:hAnsi="Times New Roman" w:cs="Times New Roman"/>
          <w:szCs w:val="24"/>
        </w:rPr>
        <w:t>.</w:t>
      </w:r>
    </w:p>
    <w:p w:rsidR="00931964" w:rsidRDefault="00931964" w:rsidP="00B03A16">
      <w:pPr>
        <w:pStyle w:val="NIEARTTEKSTtekstnieartykuowanynppodstprawnarozplubpreambua"/>
        <w:rPr>
          <w:rStyle w:val="Ppogrubienie"/>
          <w:rFonts w:ascii="Times New Roman" w:hAnsi="Times New Roman" w:cs="Times New Roman"/>
          <w:szCs w:val="24"/>
        </w:rPr>
      </w:pPr>
    </w:p>
    <w:p w:rsidR="00B03A16" w:rsidRPr="00931964" w:rsidRDefault="00B03A16" w:rsidP="00931964">
      <w:pPr>
        <w:pStyle w:val="NIEARTTEKSTtekstnieartykuowanynppodstprawnarozplubpreambua"/>
        <w:ind w:firstLine="0"/>
        <w:rPr>
          <w:rStyle w:val="Ppogrubienie"/>
          <w:rFonts w:ascii="Times New Roman" w:hAnsi="Times New Roman" w:cs="Times New Roman"/>
          <w:szCs w:val="24"/>
        </w:rPr>
      </w:pPr>
      <w:r w:rsidRPr="00931964">
        <w:rPr>
          <w:rStyle w:val="Ppogrubienie"/>
          <w:rFonts w:ascii="Times New Roman" w:hAnsi="Times New Roman" w:cs="Times New Roman"/>
          <w:szCs w:val="24"/>
        </w:rPr>
        <w:t>Uzasadnienie wprowadzonych zmian</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art. 1 ustawy zaproponowano szereg zmian Prawa pocztowego.</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1 lit. a zmienione zostaje postanowienie dotyczące wymiarów paczki pocztowej, określonych w art. 3 pkt 14 Prawa pocztowego. Zmiana ma na celu ułatwienie nadawcom określenia maksymalnych wymiarów przesyłek. Zaproponowana zmiana pozwala na prostą weryfikację, czy przesyłka nie przekracza wymiarów maksymalnych, przez zsumowanie jej trzech wymiarów – długości, szerokości i wysokości. Konsekwencją zmiany przepisu art. 3 pkt</w:t>
      </w:r>
      <w:r w:rsidR="00B857FF">
        <w:rPr>
          <w:rFonts w:ascii="Times New Roman" w:hAnsi="Times New Roman" w:cs="Times New Roman"/>
          <w:szCs w:val="24"/>
        </w:rPr>
        <w:t xml:space="preserve"> </w:t>
      </w:r>
      <w:r w:rsidRPr="00931964">
        <w:rPr>
          <w:rFonts w:ascii="Times New Roman" w:hAnsi="Times New Roman" w:cs="Times New Roman"/>
          <w:szCs w:val="24"/>
        </w:rPr>
        <w:t xml:space="preserve">14 Prawa pocztowego jest zmiana w art. 45 ust. 1 pkt 1 lit c Prawa pocztowego, </w:t>
      </w:r>
      <w:r w:rsidR="008800EC" w:rsidRPr="00931964">
        <w:rPr>
          <w:rFonts w:ascii="Times New Roman" w:hAnsi="Times New Roman" w:cs="Times New Roman"/>
          <w:szCs w:val="24"/>
        </w:rPr>
        <w:t xml:space="preserve">w zakresie </w:t>
      </w:r>
      <w:r w:rsidRPr="00931964">
        <w:rPr>
          <w:rFonts w:ascii="Times New Roman" w:hAnsi="Times New Roman" w:cs="Times New Roman"/>
          <w:szCs w:val="24"/>
        </w:rPr>
        <w:t>maksymaln</w:t>
      </w:r>
      <w:r w:rsidR="008800EC" w:rsidRPr="00931964">
        <w:rPr>
          <w:rFonts w:ascii="Times New Roman" w:hAnsi="Times New Roman" w:cs="Times New Roman"/>
          <w:szCs w:val="24"/>
        </w:rPr>
        <w:t>ych</w:t>
      </w:r>
      <w:r w:rsidRPr="00931964">
        <w:rPr>
          <w:rFonts w:ascii="Times New Roman" w:hAnsi="Times New Roman" w:cs="Times New Roman"/>
          <w:szCs w:val="24"/>
        </w:rPr>
        <w:t xml:space="preserve"> wymiar</w:t>
      </w:r>
      <w:r w:rsidR="008800EC" w:rsidRPr="00931964">
        <w:rPr>
          <w:rFonts w:ascii="Times New Roman" w:hAnsi="Times New Roman" w:cs="Times New Roman"/>
          <w:szCs w:val="24"/>
        </w:rPr>
        <w:t>ów</w:t>
      </w:r>
      <w:r w:rsidRPr="00931964">
        <w:rPr>
          <w:rFonts w:ascii="Times New Roman" w:hAnsi="Times New Roman" w:cs="Times New Roman"/>
          <w:szCs w:val="24"/>
        </w:rPr>
        <w:t xml:space="preserve"> paczek pocztowych przyjmowanych, sortowanych, przemieszczanych i doręczanych w ramach usług powszechnych. Wprowadzenie powyższych zmian nie powoduje istotnych skutków finansowych dla operatorów pocztowych.</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1 lit. b zmienione zostaje brzmienie art. 3 pkt 19 Prawa pocztowego. Obecnie na</w:t>
      </w:r>
      <w:r w:rsidR="00B857FF">
        <w:rPr>
          <w:rFonts w:ascii="Times New Roman" w:hAnsi="Times New Roman" w:cs="Times New Roman"/>
          <w:szCs w:val="24"/>
        </w:rPr>
        <w:t xml:space="preserve"> </w:t>
      </w:r>
      <w:r w:rsidRPr="00931964">
        <w:rPr>
          <w:rFonts w:ascii="Times New Roman" w:hAnsi="Times New Roman" w:cs="Times New Roman"/>
          <w:szCs w:val="24"/>
        </w:rPr>
        <w:t xml:space="preserve">rynku usług pocztowych upowszechnia się usługa </w:t>
      </w:r>
      <w:r w:rsidR="008800EC" w:rsidRPr="00931964">
        <w:rPr>
          <w:rFonts w:ascii="Times New Roman" w:hAnsi="Times New Roman" w:cs="Times New Roman"/>
          <w:szCs w:val="24"/>
        </w:rPr>
        <w:t>nadania</w:t>
      </w:r>
      <w:r w:rsidRPr="00931964">
        <w:rPr>
          <w:rFonts w:ascii="Times New Roman" w:hAnsi="Times New Roman" w:cs="Times New Roman"/>
          <w:szCs w:val="24"/>
        </w:rPr>
        <w:t xml:space="preserve"> i odbioru przesyłek za</w:t>
      </w:r>
      <w:r w:rsidR="00B857FF">
        <w:rPr>
          <w:rFonts w:ascii="Times New Roman" w:hAnsi="Times New Roman" w:cs="Times New Roman"/>
          <w:szCs w:val="24"/>
        </w:rPr>
        <w:t xml:space="preserve"> </w:t>
      </w:r>
      <w:r w:rsidRPr="00931964">
        <w:rPr>
          <w:rFonts w:ascii="Times New Roman" w:hAnsi="Times New Roman" w:cs="Times New Roman"/>
          <w:szCs w:val="24"/>
        </w:rPr>
        <w:t>pośrednictwem automatów paczkowych. Zaproponowana zmiana definicji przesyłki kurierskiej uwzględnia możliwość odbioru przesyłek z wykorzystaniem tych urządzeń i jest odpowiedzią na</w:t>
      </w:r>
      <w:r w:rsidR="00B857FF">
        <w:rPr>
          <w:rFonts w:ascii="Times New Roman" w:hAnsi="Times New Roman" w:cs="Times New Roman"/>
          <w:szCs w:val="24"/>
        </w:rPr>
        <w:t xml:space="preserve"> </w:t>
      </w:r>
      <w:r w:rsidRPr="00931964">
        <w:rPr>
          <w:rFonts w:ascii="Times New Roman" w:hAnsi="Times New Roman" w:cs="Times New Roman"/>
          <w:szCs w:val="24"/>
        </w:rPr>
        <w:t>potrzeby klientów w okresie szybkiego rozwoju rynku e</w:t>
      </w:r>
      <w:r w:rsidRPr="00931964">
        <w:rPr>
          <w:rFonts w:ascii="Times New Roman" w:hAnsi="Times New Roman" w:cs="Times New Roman"/>
          <w:szCs w:val="24"/>
        </w:rPr>
        <w:noBreakHyphen/>
        <w:t xml:space="preserve">commerce. Na gruncie obecnie obowiązujących przepisów Prawa pocztowego zakwalifikowanie tej usługi jako usługi pocztowej </w:t>
      </w:r>
      <w:r w:rsidRPr="00931964">
        <w:rPr>
          <w:rFonts w:ascii="Times New Roman" w:hAnsi="Times New Roman" w:cs="Times New Roman"/>
          <w:szCs w:val="24"/>
        </w:rPr>
        <w:lastRenderedPageBreak/>
        <w:t>budzi wątpliwości interpretacyjne. Zgodnie z zaproponowaną zmianą element bezpośredniego doręczenia zostaje zastąpiony przez komunikację pomiędzy operatorem pocztowym a adresatem, np. przy użyciu wiadomości SMS przekazanej na wskazany numer telefonu, adres poczty elektronicznej adresata przesyłki, z informacją o</w:t>
      </w:r>
      <w:r w:rsidR="00B857FF">
        <w:rPr>
          <w:rFonts w:ascii="Times New Roman" w:hAnsi="Times New Roman" w:cs="Times New Roman"/>
          <w:szCs w:val="24"/>
        </w:rPr>
        <w:t xml:space="preserve"> </w:t>
      </w:r>
      <w:r w:rsidRPr="00931964">
        <w:rPr>
          <w:rFonts w:ascii="Times New Roman" w:hAnsi="Times New Roman" w:cs="Times New Roman"/>
          <w:szCs w:val="24"/>
        </w:rPr>
        <w:t xml:space="preserve">przesyłce (numer nadania, kod odbioru, miejsce odbioru). Ten powszechny sposób komunikacji zapewnia bezpieczeństwo doręczania przesyłek kurierskich oraz usprawnienie kontaktu z adresatem. Ponadto przewiduje się, że miejsce i sposób doręczenia przesyłki kurierskiej mogą być uzgodnione z odbiorcą przesyłki – zmiana ta sankcjonuje powszechną praktykę uzgadniania miejsca odbioru z adresatem (przekierowanie przesyłki). Zmiana ta powiązana jest ze zmianą w art. 1 pkt 3, w którym wprowadzono możliwość żądania przez adresata zmiany miejsca doręczenia przed doręczeniem przesyłki rejestrowanej lub kwoty pieniężnej określonej w przekazie pocztowym (dotychczasowy art. 18 ust. 1 pkt 2 Prawa pocztowego dopuszczał zmianę adresata i jego adresu). </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2 wprowadzona zostaje zmiana art. 17 Prawa pocztowego, polegająca na przyznaniu mocy dokumentu urzędowego potwierdzeniu nadania przesyłki rejestrowanej lub przekazu pocztowego, pobrane</w:t>
      </w:r>
      <w:r w:rsidR="006948BB" w:rsidRPr="00931964">
        <w:rPr>
          <w:rFonts w:ascii="Times New Roman" w:hAnsi="Times New Roman" w:cs="Times New Roman"/>
          <w:szCs w:val="24"/>
        </w:rPr>
        <w:t>mu</w:t>
      </w:r>
      <w:r w:rsidRPr="00931964">
        <w:rPr>
          <w:rFonts w:ascii="Times New Roman" w:hAnsi="Times New Roman" w:cs="Times New Roman"/>
          <w:szCs w:val="24"/>
        </w:rPr>
        <w:t xml:space="preserve"> przez nadawcę z właściwego systemu teleinformatycznego operatora </w:t>
      </w:r>
      <w:r w:rsidR="00036DBB" w:rsidRPr="00931964">
        <w:rPr>
          <w:rFonts w:ascii="Times New Roman" w:hAnsi="Times New Roman" w:cs="Times New Roman"/>
          <w:szCs w:val="24"/>
        </w:rPr>
        <w:t>wyznaczonego</w:t>
      </w:r>
      <w:r w:rsidRPr="00931964">
        <w:rPr>
          <w:rFonts w:ascii="Times New Roman" w:hAnsi="Times New Roman" w:cs="Times New Roman"/>
          <w:szCs w:val="24"/>
        </w:rPr>
        <w:t>. Obecnie jest normą posługiwanie się w obrocie prawnym wydrukami komputerowymi, które mają moc zrównaną z dokumentami wydanymi w formie papierowej, jeżeli zawierają identyfikator umożliwiający weryfikację istnienia i treści takich informacji. W ciągu ostatnich lat możliwość wydawania dokumentu w formie elektronicznej przewidziano m.in. w odniesieniu do:</w:t>
      </w:r>
    </w:p>
    <w:p w:rsidR="00B03A16" w:rsidRPr="00931964" w:rsidRDefault="001A0930" w:rsidP="000003D2">
      <w:pPr>
        <w:pStyle w:val="LITlitera"/>
        <w:ind w:left="567"/>
        <w:rPr>
          <w:rFonts w:ascii="Times New Roman" w:hAnsi="Times New Roman" w:cs="Times New Roman"/>
          <w:szCs w:val="24"/>
        </w:rPr>
      </w:pPr>
      <w:r w:rsidRPr="00931964">
        <w:rPr>
          <w:rFonts w:ascii="Times New Roman" w:hAnsi="Times New Roman" w:cs="Times New Roman"/>
          <w:szCs w:val="24"/>
        </w:rPr>
        <w:t>1)</w:t>
      </w:r>
      <w:r w:rsidRPr="00931964">
        <w:rPr>
          <w:rFonts w:ascii="Times New Roman" w:hAnsi="Times New Roman" w:cs="Times New Roman"/>
          <w:szCs w:val="24"/>
        </w:rPr>
        <w:tab/>
      </w:r>
      <w:r w:rsidR="00B03A16" w:rsidRPr="00931964">
        <w:rPr>
          <w:rFonts w:ascii="Times New Roman" w:hAnsi="Times New Roman" w:cs="Times New Roman"/>
          <w:szCs w:val="24"/>
        </w:rPr>
        <w:t>wydruku komputerowego, o którym mowa w art. 4 ust. 4aa ustawy z dnia 20 sierpnia 1997</w:t>
      </w:r>
      <w:r w:rsidR="00B857FF">
        <w:rPr>
          <w:rFonts w:ascii="Times New Roman" w:hAnsi="Times New Roman" w:cs="Times New Roman"/>
          <w:szCs w:val="24"/>
        </w:rPr>
        <w:t xml:space="preserve"> </w:t>
      </w:r>
      <w:r w:rsidR="00B03A16" w:rsidRPr="00931964">
        <w:rPr>
          <w:rFonts w:ascii="Times New Roman" w:hAnsi="Times New Roman" w:cs="Times New Roman"/>
          <w:szCs w:val="24"/>
        </w:rPr>
        <w:t>r. o Krajowym Rejestrze Sądowym (Dz. U. z 202</w:t>
      </w:r>
      <w:r w:rsidR="001850D5" w:rsidRPr="00931964">
        <w:rPr>
          <w:rFonts w:ascii="Times New Roman" w:hAnsi="Times New Roman" w:cs="Times New Roman"/>
          <w:szCs w:val="24"/>
        </w:rPr>
        <w:t>2</w:t>
      </w:r>
      <w:r w:rsidR="00B03A16" w:rsidRPr="00931964">
        <w:rPr>
          <w:rFonts w:ascii="Times New Roman" w:hAnsi="Times New Roman" w:cs="Times New Roman"/>
          <w:szCs w:val="24"/>
        </w:rPr>
        <w:t xml:space="preserve"> r. poz. </w:t>
      </w:r>
      <w:r w:rsidR="001850D5" w:rsidRPr="00931964">
        <w:rPr>
          <w:rFonts w:ascii="Times New Roman" w:hAnsi="Times New Roman" w:cs="Times New Roman"/>
          <w:szCs w:val="24"/>
        </w:rPr>
        <w:t>1683</w:t>
      </w:r>
      <w:r w:rsidR="00B03A16" w:rsidRPr="00931964">
        <w:rPr>
          <w:rFonts w:ascii="Times New Roman" w:hAnsi="Times New Roman" w:cs="Times New Roman"/>
          <w:szCs w:val="24"/>
        </w:rPr>
        <w:t>);</w:t>
      </w:r>
    </w:p>
    <w:p w:rsidR="00B03A16" w:rsidRPr="00931964" w:rsidRDefault="001A0930" w:rsidP="000003D2">
      <w:pPr>
        <w:pStyle w:val="LITlitera"/>
        <w:ind w:left="567"/>
        <w:rPr>
          <w:rFonts w:ascii="Times New Roman" w:hAnsi="Times New Roman" w:cs="Times New Roman"/>
          <w:szCs w:val="24"/>
        </w:rPr>
      </w:pPr>
      <w:r w:rsidRPr="00931964">
        <w:rPr>
          <w:rFonts w:ascii="Times New Roman" w:hAnsi="Times New Roman" w:cs="Times New Roman"/>
          <w:szCs w:val="24"/>
        </w:rPr>
        <w:t>2)</w:t>
      </w:r>
      <w:r w:rsidRPr="00931964">
        <w:rPr>
          <w:rFonts w:ascii="Times New Roman" w:hAnsi="Times New Roman" w:cs="Times New Roman"/>
          <w:szCs w:val="24"/>
        </w:rPr>
        <w:tab/>
      </w:r>
      <w:r w:rsidR="00B03A16" w:rsidRPr="00931964">
        <w:rPr>
          <w:rFonts w:ascii="Times New Roman" w:hAnsi="Times New Roman" w:cs="Times New Roman"/>
          <w:szCs w:val="24"/>
        </w:rPr>
        <w:t>dokumentów uzyskanych z systemu teleinformatycznego umożliwiających weryfikację istnienia oraz treści orzeczenia lub tytułu wykonawczego</w:t>
      </w:r>
      <w:r w:rsidR="000003D2">
        <w:rPr>
          <w:rFonts w:ascii="Times New Roman" w:hAnsi="Times New Roman" w:cs="Times New Roman"/>
          <w:szCs w:val="24"/>
        </w:rPr>
        <w:t xml:space="preserve"> </w:t>
      </w:r>
      <w:r w:rsidR="00B03A16" w:rsidRPr="00931964">
        <w:rPr>
          <w:rFonts w:ascii="Times New Roman" w:hAnsi="Times New Roman" w:cs="Times New Roman"/>
          <w:szCs w:val="24"/>
        </w:rPr>
        <w:t>w postępowaniu cywilnym (art. 140 § 2, art. 781 § 1</w:t>
      </w:r>
      <w:r w:rsidR="00B03A16" w:rsidRPr="00931964">
        <w:rPr>
          <w:rStyle w:val="IGindeksgrny"/>
          <w:rFonts w:ascii="Times New Roman" w:hAnsi="Times New Roman" w:cs="Times New Roman"/>
          <w:szCs w:val="24"/>
        </w:rPr>
        <w:t>3</w:t>
      </w:r>
      <w:r w:rsidR="00B03A16" w:rsidRPr="00931964">
        <w:rPr>
          <w:rFonts w:ascii="Times New Roman" w:hAnsi="Times New Roman" w:cs="Times New Roman"/>
          <w:szCs w:val="24"/>
        </w:rPr>
        <w:t>, art. 795</w:t>
      </w:r>
      <w:r w:rsidR="00B03A16" w:rsidRPr="00931964">
        <w:rPr>
          <w:rStyle w:val="IGindeksgrny"/>
          <w:rFonts w:ascii="Times New Roman" w:hAnsi="Times New Roman" w:cs="Times New Roman"/>
          <w:szCs w:val="24"/>
        </w:rPr>
        <w:t>2a</w:t>
      </w:r>
      <w:r w:rsidR="00B03A16" w:rsidRPr="00931964">
        <w:rPr>
          <w:rFonts w:ascii="Times New Roman" w:hAnsi="Times New Roman" w:cs="Times New Roman"/>
          <w:szCs w:val="24"/>
        </w:rPr>
        <w:t>, art. 797 § 3 ustawy z dnia 17 listopada 1964 r. – Kodeks postępowania cywilnego (Dz. U. z 202</w:t>
      </w:r>
      <w:r w:rsidR="004B701F" w:rsidRPr="00931964">
        <w:rPr>
          <w:rFonts w:ascii="Times New Roman" w:hAnsi="Times New Roman" w:cs="Times New Roman"/>
          <w:szCs w:val="24"/>
        </w:rPr>
        <w:t>1</w:t>
      </w:r>
      <w:r w:rsidR="00B03A16" w:rsidRPr="00931964">
        <w:rPr>
          <w:rFonts w:ascii="Times New Roman" w:hAnsi="Times New Roman" w:cs="Times New Roman"/>
          <w:szCs w:val="24"/>
        </w:rPr>
        <w:t xml:space="preserve"> r. poz. </w:t>
      </w:r>
      <w:r w:rsidR="004B701F" w:rsidRPr="00931964">
        <w:rPr>
          <w:rFonts w:ascii="Times New Roman" w:hAnsi="Times New Roman" w:cs="Times New Roman"/>
          <w:szCs w:val="24"/>
        </w:rPr>
        <w:t xml:space="preserve">1805, z </w:t>
      </w:r>
      <w:proofErr w:type="spellStart"/>
      <w:r w:rsidR="004B701F" w:rsidRPr="00931964">
        <w:rPr>
          <w:rFonts w:ascii="Times New Roman" w:hAnsi="Times New Roman" w:cs="Times New Roman"/>
          <w:szCs w:val="24"/>
        </w:rPr>
        <w:t>późn</w:t>
      </w:r>
      <w:proofErr w:type="spellEnd"/>
      <w:r w:rsidR="004B701F" w:rsidRPr="00931964">
        <w:rPr>
          <w:rFonts w:ascii="Times New Roman" w:hAnsi="Times New Roman" w:cs="Times New Roman"/>
          <w:szCs w:val="24"/>
        </w:rPr>
        <w:t>. zm.</w:t>
      </w:r>
      <w:r w:rsidR="00B03A16" w:rsidRPr="00931964">
        <w:rPr>
          <w:rFonts w:ascii="Times New Roman" w:hAnsi="Times New Roman" w:cs="Times New Roman"/>
          <w:szCs w:val="24"/>
        </w:rPr>
        <w:t>), dalej: „</w:t>
      </w:r>
      <w:proofErr w:type="spellStart"/>
      <w:r w:rsidR="00B03A16" w:rsidRPr="00931964">
        <w:rPr>
          <w:rFonts w:ascii="Times New Roman" w:hAnsi="Times New Roman" w:cs="Times New Roman"/>
          <w:szCs w:val="24"/>
        </w:rPr>
        <w:t>kpc</w:t>
      </w:r>
      <w:proofErr w:type="spellEnd"/>
      <w:r w:rsidR="00B03A16" w:rsidRPr="00931964">
        <w:rPr>
          <w:rFonts w:ascii="Times New Roman" w:hAnsi="Times New Roman" w:cs="Times New Roman"/>
          <w:szCs w:val="24"/>
        </w:rPr>
        <w:t>”;</w:t>
      </w:r>
    </w:p>
    <w:p w:rsidR="00B03A16" w:rsidRPr="00931964" w:rsidRDefault="001A0930" w:rsidP="000003D2">
      <w:pPr>
        <w:pStyle w:val="LITlitera"/>
        <w:ind w:left="567"/>
        <w:rPr>
          <w:rFonts w:ascii="Times New Roman" w:hAnsi="Times New Roman" w:cs="Times New Roman"/>
          <w:szCs w:val="24"/>
        </w:rPr>
      </w:pPr>
      <w:r w:rsidRPr="00931964">
        <w:rPr>
          <w:rFonts w:ascii="Times New Roman" w:hAnsi="Times New Roman" w:cs="Times New Roman"/>
          <w:szCs w:val="24"/>
        </w:rPr>
        <w:lastRenderedPageBreak/>
        <w:t>3)</w:t>
      </w:r>
      <w:r w:rsidRPr="00931964">
        <w:rPr>
          <w:rFonts w:ascii="Times New Roman" w:hAnsi="Times New Roman" w:cs="Times New Roman"/>
          <w:szCs w:val="24"/>
        </w:rPr>
        <w:tab/>
      </w:r>
      <w:r w:rsidR="00B03A16" w:rsidRPr="00931964">
        <w:rPr>
          <w:rFonts w:ascii="Times New Roman" w:hAnsi="Times New Roman" w:cs="Times New Roman"/>
          <w:szCs w:val="24"/>
        </w:rPr>
        <w:t xml:space="preserve">transkrypcji protokołu elektronicznego w postępowaniu cywilnym, zgodnie </w:t>
      </w:r>
      <w:r w:rsidR="00B03A16" w:rsidRPr="00931964">
        <w:rPr>
          <w:rFonts w:ascii="Times New Roman" w:hAnsi="Times New Roman" w:cs="Times New Roman"/>
          <w:szCs w:val="24"/>
        </w:rPr>
        <w:br/>
        <w:t xml:space="preserve">z art. 157 § 1 </w:t>
      </w:r>
      <w:proofErr w:type="spellStart"/>
      <w:r w:rsidR="00B03A16" w:rsidRPr="00931964">
        <w:rPr>
          <w:rFonts w:ascii="Times New Roman" w:hAnsi="Times New Roman" w:cs="Times New Roman"/>
          <w:szCs w:val="24"/>
        </w:rPr>
        <w:t>kpc</w:t>
      </w:r>
      <w:proofErr w:type="spellEnd"/>
      <w:r w:rsidR="00B03A16" w:rsidRPr="00931964">
        <w:rPr>
          <w:rFonts w:ascii="Times New Roman" w:hAnsi="Times New Roman" w:cs="Times New Roman"/>
          <w:szCs w:val="24"/>
        </w:rPr>
        <w:t>;</w:t>
      </w:r>
    </w:p>
    <w:p w:rsidR="00B03A16" w:rsidRPr="00931964" w:rsidRDefault="001A0930" w:rsidP="000003D2">
      <w:pPr>
        <w:pStyle w:val="LITlitera"/>
        <w:ind w:left="567"/>
        <w:rPr>
          <w:rFonts w:ascii="Times New Roman" w:hAnsi="Times New Roman" w:cs="Times New Roman"/>
          <w:szCs w:val="24"/>
        </w:rPr>
      </w:pPr>
      <w:r w:rsidRPr="00931964">
        <w:rPr>
          <w:rFonts w:ascii="Times New Roman" w:hAnsi="Times New Roman" w:cs="Times New Roman"/>
          <w:szCs w:val="24"/>
        </w:rPr>
        <w:t>4)</w:t>
      </w:r>
      <w:r w:rsidRPr="00931964">
        <w:rPr>
          <w:rFonts w:ascii="Times New Roman" w:hAnsi="Times New Roman" w:cs="Times New Roman"/>
          <w:szCs w:val="24"/>
        </w:rPr>
        <w:tab/>
      </w:r>
      <w:r w:rsidR="00B03A16" w:rsidRPr="00931964">
        <w:rPr>
          <w:rFonts w:ascii="Times New Roman" w:hAnsi="Times New Roman" w:cs="Times New Roman"/>
          <w:szCs w:val="24"/>
        </w:rPr>
        <w:t>transkrypcji wygłoszonego ustnie uzasadnienia wyroku w postępowaniu cywilnym, zgodnie z art. 331</w:t>
      </w:r>
      <w:r w:rsidR="00B03A16" w:rsidRPr="00931964">
        <w:rPr>
          <w:rStyle w:val="IGindeksgrny"/>
          <w:rFonts w:ascii="Times New Roman" w:hAnsi="Times New Roman" w:cs="Times New Roman"/>
          <w:szCs w:val="24"/>
        </w:rPr>
        <w:t>1</w:t>
      </w:r>
      <w:r w:rsidR="00B03A16" w:rsidRPr="00931964">
        <w:rPr>
          <w:rFonts w:ascii="Times New Roman" w:hAnsi="Times New Roman" w:cs="Times New Roman"/>
          <w:szCs w:val="24"/>
        </w:rPr>
        <w:t xml:space="preserve"> </w:t>
      </w:r>
      <w:proofErr w:type="spellStart"/>
      <w:r w:rsidR="00B03A16" w:rsidRPr="00931964">
        <w:rPr>
          <w:rFonts w:ascii="Times New Roman" w:hAnsi="Times New Roman" w:cs="Times New Roman"/>
          <w:szCs w:val="24"/>
        </w:rPr>
        <w:t>kpc</w:t>
      </w:r>
      <w:proofErr w:type="spellEnd"/>
      <w:r w:rsidR="00B03A16" w:rsidRPr="00931964">
        <w:rPr>
          <w:rFonts w:ascii="Times New Roman" w:hAnsi="Times New Roman" w:cs="Times New Roman"/>
          <w:szCs w:val="24"/>
        </w:rPr>
        <w:t>.</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Przepis ten nie zmienia zasad obalenia domniemania określonych w art. 252 </w:t>
      </w:r>
      <w:proofErr w:type="spellStart"/>
      <w:r w:rsidRPr="00931964">
        <w:rPr>
          <w:rFonts w:ascii="Times New Roman" w:hAnsi="Times New Roman" w:cs="Times New Roman"/>
          <w:szCs w:val="24"/>
        </w:rPr>
        <w:t>kpc</w:t>
      </w:r>
      <w:proofErr w:type="spellEnd"/>
      <w:r w:rsidRPr="00931964">
        <w:rPr>
          <w:rFonts w:ascii="Times New Roman" w:hAnsi="Times New Roman" w:cs="Times New Roman"/>
          <w:szCs w:val="24"/>
        </w:rPr>
        <w:t>. Oznacza to, że nadawca</w:t>
      </w:r>
      <w:r w:rsidR="00C02125">
        <w:rPr>
          <w:rFonts w:ascii="Times New Roman" w:hAnsi="Times New Roman" w:cs="Times New Roman"/>
          <w:szCs w:val="24"/>
        </w:rPr>
        <w:t>,</w:t>
      </w:r>
      <w:r w:rsidRPr="00931964">
        <w:rPr>
          <w:rFonts w:ascii="Times New Roman" w:hAnsi="Times New Roman" w:cs="Times New Roman"/>
          <w:szCs w:val="24"/>
        </w:rPr>
        <w:t xml:space="preserve"> podważając prawdziwość wydruku lub twierdząc, że zawarte w nim oświadczenia operatora </w:t>
      </w:r>
      <w:r w:rsidR="009C4FCB" w:rsidRPr="00931964">
        <w:rPr>
          <w:rFonts w:ascii="Times New Roman" w:hAnsi="Times New Roman" w:cs="Times New Roman"/>
          <w:szCs w:val="24"/>
        </w:rPr>
        <w:t>wyznaczonego</w:t>
      </w:r>
      <w:r w:rsidRPr="00931964">
        <w:rPr>
          <w:rFonts w:ascii="Times New Roman" w:hAnsi="Times New Roman" w:cs="Times New Roman"/>
          <w:szCs w:val="24"/>
        </w:rPr>
        <w:t xml:space="preserve"> są niezgodne z prawdą, powinien okoliczności te udowodnić. Kwestie powyższe będą podlegały ocenie sądu, np. w postępowaniu o</w:t>
      </w:r>
      <w:r w:rsidR="00B857FF">
        <w:rPr>
          <w:rFonts w:ascii="Times New Roman" w:hAnsi="Times New Roman" w:cs="Times New Roman"/>
          <w:szCs w:val="24"/>
        </w:rPr>
        <w:t xml:space="preserve"> </w:t>
      </w:r>
      <w:r w:rsidRPr="00931964">
        <w:rPr>
          <w:rFonts w:ascii="Times New Roman" w:hAnsi="Times New Roman" w:cs="Times New Roman"/>
          <w:szCs w:val="24"/>
        </w:rPr>
        <w:t>przywrócenie terminu lub postępowaniu zażaleniowym.</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Zmiany w pkt 4 oraz w pkt 9 są spowodowane wejściem w życie rozporządzenia delegowanego Komisji (UE) 2019/2122 z dnia 10 października 2019 r. uzupełniającego rozporządzenie Parlamentu Europejskiego i Rady (UE) 2017/625 w</w:t>
      </w:r>
      <w:r w:rsidR="00B857FF">
        <w:rPr>
          <w:rFonts w:ascii="Times New Roman" w:hAnsi="Times New Roman" w:cs="Times New Roman"/>
          <w:szCs w:val="24"/>
        </w:rPr>
        <w:t xml:space="preserve"> </w:t>
      </w:r>
      <w:r w:rsidRPr="00931964">
        <w:rPr>
          <w:rFonts w:ascii="Times New Roman" w:hAnsi="Times New Roman" w:cs="Times New Roman"/>
          <w:szCs w:val="24"/>
        </w:rPr>
        <w:t xml:space="preserve">odniesieniu do niektórych kategorii zwierząt i towarów zwolnionych z kontroli urzędowych w punktach kontroli granicznej i w odniesieniu do określonych kontroli bagażu osobistego pasażerów i małych przesyłek </w:t>
      </w:r>
      <w:r w:rsidR="006948BB" w:rsidRPr="00931964">
        <w:rPr>
          <w:rFonts w:ascii="Times New Roman" w:hAnsi="Times New Roman" w:cs="Times New Roman"/>
          <w:szCs w:val="24"/>
        </w:rPr>
        <w:t xml:space="preserve">towarów </w:t>
      </w:r>
      <w:r w:rsidRPr="00931964">
        <w:rPr>
          <w:rFonts w:ascii="Times New Roman" w:hAnsi="Times New Roman" w:cs="Times New Roman"/>
          <w:szCs w:val="24"/>
        </w:rPr>
        <w:t>wysyłanych do osób fizycznych i nieprzeznaczonych do</w:t>
      </w:r>
      <w:r w:rsidR="00B857FF">
        <w:rPr>
          <w:rFonts w:ascii="Times New Roman" w:hAnsi="Times New Roman" w:cs="Times New Roman"/>
          <w:szCs w:val="24"/>
        </w:rPr>
        <w:t xml:space="preserve"> </w:t>
      </w:r>
      <w:r w:rsidRPr="00931964">
        <w:rPr>
          <w:rFonts w:ascii="Times New Roman" w:hAnsi="Times New Roman" w:cs="Times New Roman"/>
          <w:szCs w:val="24"/>
        </w:rPr>
        <w:t>wprowadzenia do obrotu oraz zmieniającym rozporządzenie Komisji (UE) nr 142/2011 (Dz. Urz. UE L 321 z 12.12.2019 str. 45</w:t>
      </w:r>
      <w:r w:rsidR="004B701F" w:rsidRPr="00931964">
        <w:rPr>
          <w:rFonts w:ascii="Times New Roman" w:hAnsi="Times New Roman" w:cs="Times New Roman"/>
          <w:szCs w:val="24"/>
        </w:rPr>
        <w:t xml:space="preserve">, z </w:t>
      </w:r>
      <w:proofErr w:type="spellStart"/>
      <w:r w:rsidR="004B701F" w:rsidRPr="00931964">
        <w:rPr>
          <w:rFonts w:ascii="Times New Roman" w:hAnsi="Times New Roman" w:cs="Times New Roman"/>
          <w:szCs w:val="24"/>
        </w:rPr>
        <w:t>późn</w:t>
      </w:r>
      <w:proofErr w:type="spellEnd"/>
      <w:r w:rsidR="004B701F" w:rsidRPr="00931964">
        <w:rPr>
          <w:rFonts w:ascii="Times New Roman" w:hAnsi="Times New Roman" w:cs="Times New Roman"/>
          <w:szCs w:val="24"/>
        </w:rPr>
        <w:t>. zm.</w:t>
      </w:r>
      <w:r w:rsidRPr="00931964">
        <w:rPr>
          <w:rFonts w:ascii="Times New Roman" w:hAnsi="Times New Roman" w:cs="Times New Roman"/>
          <w:szCs w:val="24"/>
        </w:rPr>
        <w:t>), które zastąpiło wcześniejsze rozporządzenie Komisji (WE) nr 206/2009 z dnia 5</w:t>
      </w:r>
      <w:r w:rsidR="00B857FF">
        <w:rPr>
          <w:rFonts w:ascii="Times New Roman" w:hAnsi="Times New Roman" w:cs="Times New Roman"/>
          <w:szCs w:val="24"/>
        </w:rPr>
        <w:t xml:space="preserve"> </w:t>
      </w:r>
      <w:r w:rsidRPr="00931964">
        <w:rPr>
          <w:rFonts w:ascii="Times New Roman" w:hAnsi="Times New Roman" w:cs="Times New Roman"/>
          <w:szCs w:val="24"/>
        </w:rPr>
        <w:t>marca 2009 r. w sprawie wprowadzania do Wspólnoty osobistych przesyłek produktów pochodzenia zwierzęcego i zmieniające rozporządzenie (WE) nr 136/2004 (Dz. Urz. U</w:t>
      </w:r>
      <w:r w:rsidR="008731A6" w:rsidRPr="00931964">
        <w:rPr>
          <w:rFonts w:ascii="Times New Roman" w:hAnsi="Times New Roman" w:cs="Times New Roman"/>
          <w:szCs w:val="24"/>
        </w:rPr>
        <w:t>E L 77 z 24.</w:t>
      </w:r>
      <w:r w:rsidR="001850D5" w:rsidRPr="00931964">
        <w:rPr>
          <w:rFonts w:ascii="Times New Roman" w:hAnsi="Times New Roman" w:cs="Times New Roman"/>
          <w:szCs w:val="24"/>
        </w:rPr>
        <w:t>0</w:t>
      </w:r>
      <w:r w:rsidR="008731A6" w:rsidRPr="00931964">
        <w:rPr>
          <w:rFonts w:ascii="Times New Roman" w:hAnsi="Times New Roman" w:cs="Times New Roman"/>
          <w:szCs w:val="24"/>
        </w:rPr>
        <w:t xml:space="preserve">3.2009, str. 1, z </w:t>
      </w:r>
      <w:proofErr w:type="spellStart"/>
      <w:r w:rsidR="008731A6" w:rsidRPr="00931964">
        <w:rPr>
          <w:rFonts w:ascii="Times New Roman" w:hAnsi="Times New Roman" w:cs="Times New Roman"/>
          <w:szCs w:val="24"/>
        </w:rPr>
        <w:t>pó</w:t>
      </w:r>
      <w:r w:rsidRPr="00931964">
        <w:rPr>
          <w:rFonts w:ascii="Times New Roman" w:hAnsi="Times New Roman" w:cs="Times New Roman"/>
          <w:szCs w:val="24"/>
        </w:rPr>
        <w:t>źn</w:t>
      </w:r>
      <w:proofErr w:type="spellEnd"/>
      <w:r w:rsidRPr="00931964">
        <w:rPr>
          <w:rFonts w:ascii="Times New Roman" w:hAnsi="Times New Roman" w:cs="Times New Roman"/>
          <w:szCs w:val="24"/>
        </w:rPr>
        <w:t>. zm.).</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5 wprowadzona zostaje zmiana w art. 33 ust. 2 i 9 Prawa pocztowego, mająca na celu zmniejszenie kosztów ponoszonych przez operatorów pocztowych w związku z obsługą przesyłek niedoręczalnych. Wymóg przechowywania przesyłek, których nie można doręczyć adresatowi ani zwrócić nadawcy, powoduje konieczność ponoszenia przez operatorów pocztowych kosztów ich magazynowania. Wprowadzone zmiany pozwolą na ograniczenie tych kosztów, nie naruszając praw konsumentów zgłaszających reklamację utraconej przesyłki. Należy podkreślić, że w związku z pandemią COVID-19 oraz zmieniającą się sytuacją gospodarczą konieczne jest wprowadzanie zmian umożliwiających zmniejszanie kosztów działalności gospodarczej operatorów pocztowych.</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lastRenderedPageBreak/>
        <w:t>W pkt 6 lit. a zmienione zostaje brzmienie art. 37 ust. 2 pkt 1 lit. c przez wskazanie, że miejsce doręczenia przesyłki może być uzgodnione z operatorem pocztowym zarówno przez nadawcę, jak i adresata przesyłki. W pkt 6 lit. b zmieniono art. 37 ust. 4 Prawa pocztowego, jednoznacznie wyłączając możliwość wnioskowania przez adresatów o wydawanie przesyłek nadawanych z usługą potwierdzenia odbioru do oddawczych skrzynek pocztowych ze skutkiem doręczenia. Przepis dostosowuje normę prawną do obowiązującej praktyki, z uwagi na charakter tej usługi, który wymaga doręczenia przesyłki bezpośrednio adresatowi.</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Zgodnie z pkt 7, w art. 38 dodany zostaje ust. 3a, który wprowadza możliwość udzielania pełnomocnictwa pocztowego w formie elektronicznej, gwarantującej autentyczność podpisu cyfrowego oraz przypisanie go podmiotowi, który ten podpis złożył. Zmiana ta dostosowuje przepisy prawa do współczesnych form komunikacji i ułatwia dostęp do korzystania z usługi pełnomocnictwa pocztowego. Stawienie się osobiste mocodawcy (adresata) w placówce pocztowej często jest niemożliwe lub powoduje trudności w odbiorze oświadczenia. Zaproponowany przepis art. 38 ust 3a daje operatorom pocztowym możliwość przyjmowania podpisanego pełnomocnictwa pocztowego w postaci elektronicznej. Biorąc pod uwagę konkurencyjny charakter polskiego rynku pocztowego projektodawca nie wprowadza obowiązku stosowania rozwiązania elektronicznego. Operatorzy pocztowi działający na rynku ogólnokrajowym z własnej inicjatywy wprowadzają nowoczesne rozwiązania cyfrowe, widząc w nich szanse na zwiększenie swojej przewagi konkurencyjnej. Jednocześnie wskazane jest pozostawienie małym operatorom lokalnym swobody decyzji, czy koszt wprowadzenia rozwiązań informatycznych jest uzasadniony, biorąc pod uwagę niewielką skalę prowadzonej działalności i przyzwyczajenia uczestników obrotu pocztowego.</w:t>
      </w:r>
    </w:p>
    <w:p w:rsidR="000F35A8" w:rsidRPr="00931964" w:rsidRDefault="00E77F3D" w:rsidP="00D71D62">
      <w:pPr>
        <w:pStyle w:val="ZUSTzmustartykuempunktem"/>
        <w:ind w:left="0" w:firstLine="709"/>
        <w:rPr>
          <w:rFonts w:ascii="Times New Roman" w:hAnsi="Times New Roman" w:cs="Times New Roman"/>
          <w:szCs w:val="24"/>
        </w:rPr>
      </w:pPr>
      <w:r w:rsidRPr="00931964">
        <w:rPr>
          <w:rFonts w:ascii="Times New Roman" w:hAnsi="Times New Roman" w:cs="Times New Roman"/>
          <w:szCs w:val="24"/>
        </w:rPr>
        <w:t xml:space="preserve">W pkt 10–12 uchylone zostają art. 55, </w:t>
      </w:r>
      <w:r w:rsidR="00BC250B" w:rsidRPr="00931964">
        <w:rPr>
          <w:rFonts w:ascii="Times New Roman" w:hAnsi="Times New Roman" w:cs="Times New Roman"/>
          <w:szCs w:val="24"/>
        </w:rPr>
        <w:t xml:space="preserve">art. </w:t>
      </w:r>
      <w:r w:rsidRPr="00931964">
        <w:rPr>
          <w:rFonts w:ascii="Times New Roman" w:hAnsi="Times New Roman" w:cs="Times New Roman"/>
          <w:szCs w:val="24"/>
        </w:rPr>
        <w:t xml:space="preserve">56 i </w:t>
      </w:r>
      <w:r w:rsidR="00BC250B" w:rsidRPr="00931964">
        <w:rPr>
          <w:rFonts w:ascii="Times New Roman" w:hAnsi="Times New Roman" w:cs="Times New Roman"/>
          <w:szCs w:val="24"/>
        </w:rPr>
        <w:t xml:space="preserve">art. </w:t>
      </w:r>
      <w:r w:rsidRPr="00931964">
        <w:rPr>
          <w:rFonts w:ascii="Times New Roman" w:hAnsi="Times New Roman" w:cs="Times New Roman"/>
          <w:szCs w:val="24"/>
        </w:rPr>
        <w:t>58</w:t>
      </w:r>
      <w:r w:rsidR="00E50949" w:rsidRPr="00931964">
        <w:rPr>
          <w:rFonts w:ascii="Times New Roman" w:hAnsi="Times New Roman" w:cs="Times New Roman"/>
          <w:szCs w:val="24"/>
        </w:rPr>
        <w:t xml:space="preserve">, a w </w:t>
      </w:r>
      <w:r w:rsidRPr="00931964">
        <w:rPr>
          <w:rFonts w:ascii="Times New Roman" w:hAnsi="Times New Roman" w:cs="Times New Roman"/>
          <w:szCs w:val="24"/>
        </w:rPr>
        <w:t xml:space="preserve">art. 57 </w:t>
      </w:r>
      <w:r w:rsidR="00E50949" w:rsidRPr="00931964">
        <w:rPr>
          <w:rFonts w:ascii="Times New Roman" w:hAnsi="Times New Roman" w:cs="Times New Roman"/>
          <w:szCs w:val="24"/>
        </w:rPr>
        <w:t xml:space="preserve">Prawa pocztowego </w:t>
      </w:r>
      <w:r w:rsidRPr="00931964">
        <w:rPr>
          <w:rFonts w:ascii="Times New Roman" w:hAnsi="Times New Roman" w:cs="Times New Roman"/>
          <w:szCs w:val="24"/>
        </w:rPr>
        <w:t xml:space="preserve">ust. 2 </w:t>
      </w:r>
      <w:r w:rsidR="00E50949" w:rsidRPr="00931964">
        <w:rPr>
          <w:rFonts w:ascii="Times New Roman" w:hAnsi="Times New Roman" w:cs="Times New Roman"/>
          <w:szCs w:val="24"/>
        </w:rPr>
        <w:t>otrzymuje nowe brzmienie oraz zostaje dodany ust. 3</w:t>
      </w:r>
      <w:r w:rsidRPr="00931964">
        <w:rPr>
          <w:rFonts w:ascii="Times New Roman" w:hAnsi="Times New Roman" w:cs="Times New Roman"/>
          <w:szCs w:val="24"/>
        </w:rPr>
        <w:t>. Celem tych zmian jest uproszczenie procedur stosowanych przez Prezesa Urzędu Komunikacji Elektronicznej w zakresie kontroli cen usług powszechnych</w:t>
      </w:r>
      <w:r w:rsidR="00171629" w:rsidRPr="00931964">
        <w:rPr>
          <w:rFonts w:ascii="Times New Roman" w:hAnsi="Times New Roman" w:cs="Times New Roman"/>
          <w:szCs w:val="24"/>
        </w:rPr>
        <w:t xml:space="preserve"> poprzez rezygnację z mechanizmu </w:t>
      </w:r>
      <w:proofErr w:type="spellStart"/>
      <w:r w:rsidR="00171629" w:rsidRPr="00931964">
        <w:rPr>
          <w:rStyle w:val="Kkursywa"/>
          <w:rFonts w:ascii="Times New Roman" w:hAnsi="Times New Roman" w:cs="Times New Roman"/>
          <w:szCs w:val="24"/>
        </w:rPr>
        <w:t>price</w:t>
      </w:r>
      <w:proofErr w:type="spellEnd"/>
      <w:r w:rsidR="00171629" w:rsidRPr="00931964">
        <w:rPr>
          <w:rStyle w:val="Kkursywa"/>
          <w:rFonts w:ascii="Times New Roman" w:hAnsi="Times New Roman" w:cs="Times New Roman"/>
          <w:szCs w:val="24"/>
        </w:rPr>
        <w:t xml:space="preserve"> cap</w:t>
      </w:r>
      <w:r w:rsidR="00171629" w:rsidRPr="00931964">
        <w:rPr>
          <w:rStyle w:val="Kkursywa"/>
          <w:rFonts w:ascii="Times New Roman" w:hAnsi="Times New Roman" w:cs="Times New Roman"/>
          <w:i w:val="0"/>
          <w:szCs w:val="24"/>
        </w:rPr>
        <w:t xml:space="preserve">, </w:t>
      </w:r>
      <w:r w:rsidR="002F0580" w:rsidRPr="00931964">
        <w:rPr>
          <w:rFonts w:ascii="Times New Roman" w:hAnsi="Times New Roman" w:cs="Times New Roman"/>
          <w:szCs w:val="24"/>
        </w:rPr>
        <w:t xml:space="preserve">wyznaczającego górny poziom możliwej podwyżki ceny za usługę powszechną, zgodnie z obowiązującym algorytmem. </w:t>
      </w:r>
      <w:r w:rsidR="00FD4280" w:rsidRPr="00931964">
        <w:rPr>
          <w:rFonts w:ascii="Times New Roman" w:hAnsi="Times New Roman" w:cs="Times New Roman"/>
          <w:szCs w:val="24"/>
        </w:rPr>
        <w:t xml:space="preserve">W związku z rezygnacją </w:t>
      </w:r>
      <w:r w:rsidR="00FD4280" w:rsidRPr="00931964">
        <w:rPr>
          <w:rFonts w:ascii="Times New Roman" w:hAnsi="Times New Roman" w:cs="Times New Roman"/>
          <w:szCs w:val="24"/>
        </w:rPr>
        <w:lastRenderedPageBreak/>
        <w:t xml:space="preserve">z mechanizmu </w:t>
      </w:r>
      <w:proofErr w:type="spellStart"/>
      <w:r w:rsidR="00FD4280" w:rsidRPr="00931964">
        <w:rPr>
          <w:rFonts w:ascii="Times New Roman" w:hAnsi="Times New Roman" w:cs="Times New Roman"/>
          <w:i/>
          <w:szCs w:val="24"/>
        </w:rPr>
        <w:t>price</w:t>
      </w:r>
      <w:proofErr w:type="spellEnd"/>
      <w:r w:rsidR="00FD4280" w:rsidRPr="00931964">
        <w:rPr>
          <w:rFonts w:ascii="Times New Roman" w:hAnsi="Times New Roman" w:cs="Times New Roman"/>
          <w:i/>
          <w:szCs w:val="24"/>
        </w:rPr>
        <w:t xml:space="preserve"> cap</w:t>
      </w:r>
      <w:r w:rsidR="00622195" w:rsidRPr="00931964">
        <w:rPr>
          <w:rFonts w:ascii="Times New Roman" w:hAnsi="Times New Roman" w:cs="Times New Roman"/>
          <w:szCs w:val="24"/>
        </w:rPr>
        <w:t>,</w:t>
      </w:r>
      <w:r w:rsidR="00FF6349" w:rsidRPr="00931964">
        <w:rPr>
          <w:rFonts w:ascii="Times New Roman" w:hAnsi="Times New Roman" w:cs="Times New Roman"/>
          <w:szCs w:val="24"/>
        </w:rPr>
        <w:t xml:space="preserve"> </w:t>
      </w:r>
      <w:r w:rsidR="00FD4280" w:rsidRPr="00931964">
        <w:rPr>
          <w:rFonts w:ascii="Times New Roman" w:hAnsi="Times New Roman" w:cs="Times New Roman"/>
          <w:szCs w:val="24"/>
        </w:rPr>
        <w:t xml:space="preserve">w art. 57 Prawa pocztowego wskazane zostały szczegółowe kryteria, którymi ma kierować się Prezes UKE przy </w:t>
      </w:r>
      <w:r w:rsidR="00171629" w:rsidRPr="00931964">
        <w:rPr>
          <w:rFonts w:ascii="Times New Roman" w:hAnsi="Times New Roman" w:cs="Times New Roman"/>
          <w:szCs w:val="24"/>
        </w:rPr>
        <w:t>zatwierdzani</w:t>
      </w:r>
      <w:r w:rsidR="00E50949" w:rsidRPr="00931964">
        <w:rPr>
          <w:rFonts w:ascii="Times New Roman" w:hAnsi="Times New Roman" w:cs="Times New Roman"/>
          <w:szCs w:val="24"/>
        </w:rPr>
        <w:t>u</w:t>
      </w:r>
      <w:r w:rsidR="00171629" w:rsidRPr="00931964">
        <w:rPr>
          <w:rFonts w:ascii="Times New Roman" w:hAnsi="Times New Roman" w:cs="Times New Roman"/>
          <w:szCs w:val="24"/>
        </w:rPr>
        <w:t xml:space="preserve"> projektu cennika lub projektu zmian do obowiązującego cennika usług powszechnyc</w:t>
      </w:r>
      <w:r w:rsidR="000F35A8" w:rsidRPr="00931964">
        <w:rPr>
          <w:rFonts w:ascii="Times New Roman" w:hAnsi="Times New Roman" w:cs="Times New Roman"/>
          <w:szCs w:val="24"/>
        </w:rPr>
        <w:t>h. O</w:t>
      </w:r>
      <w:r w:rsidR="007E08FA" w:rsidRPr="00931964">
        <w:rPr>
          <w:rFonts w:ascii="Times New Roman" w:hAnsi="Times New Roman" w:cs="Times New Roman"/>
          <w:szCs w:val="24"/>
        </w:rPr>
        <w:t>perator wyznaczony przedkłada Prezesowi UKE projekt cennika usług powszechnych albo projekt zmian do obowiązującego cennika, w stosunku do którego Prezes UKE może złożyć sprzeciw</w:t>
      </w:r>
      <w:r w:rsidR="000F35A8" w:rsidRPr="00931964">
        <w:rPr>
          <w:rFonts w:ascii="Times New Roman" w:hAnsi="Times New Roman" w:cs="Times New Roman"/>
          <w:szCs w:val="24"/>
        </w:rPr>
        <w:t xml:space="preserve"> w stosunku do całości albo części projektu cennika albo projektu zmian do obowiązującego cennika,</w:t>
      </w:r>
      <w:r w:rsidR="007E08FA" w:rsidRPr="00931964">
        <w:rPr>
          <w:rFonts w:ascii="Times New Roman" w:hAnsi="Times New Roman" w:cs="Times New Roman"/>
          <w:szCs w:val="24"/>
        </w:rPr>
        <w:t xml:space="preserve"> powodując tym samym, że nowy cennik nie wchodzi w życie</w:t>
      </w:r>
      <w:r w:rsidR="000F35A8" w:rsidRPr="00931964">
        <w:rPr>
          <w:rFonts w:ascii="Times New Roman" w:hAnsi="Times New Roman" w:cs="Times New Roman"/>
          <w:szCs w:val="24"/>
        </w:rPr>
        <w:t xml:space="preserve"> (w całości lub w części objętej sprzeciwem), jeżeli przedłożony projekt nie spełnia co najmniej jednego z poniższych kryteriów:</w:t>
      </w:r>
    </w:p>
    <w:p w:rsidR="000F35A8" w:rsidRPr="00931964" w:rsidRDefault="000F35A8" w:rsidP="000F35A8">
      <w:pPr>
        <w:pStyle w:val="ZPKTzmpktartykuempunktem"/>
        <w:rPr>
          <w:rFonts w:ascii="Times New Roman" w:hAnsi="Times New Roman" w:cs="Times New Roman"/>
          <w:szCs w:val="24"/>
        </w:rPr>
      </w:pPr>
      <w:r w:rsidRPr="00931964">
        <w:rPr>
          <w:rFonts w:ascii="Times New Roman" w:hAnsi="Times New Roman" w:cs="Times New Roman"/>
          <w:szCs w:val="24"/>
        </w:rPr>
        <w:t>1)</w:t>
      </w:r>
      <w:r w:rsidRPr="00931964">
        <w:rPr>
          <w:rFonts w:ascii="Times New Roman" w:hAnsi="Times New Roman" w:cs="Times New Roman"/>
          <w:szCs w:val="24"/>
        </w:rPr>
        <w:tab/>
        <w:t>przystępności cenowej – w ramach którego ocenia się wysokość każdej opłaty w powiązaniu z możliwościami nabywczymi użytkowników usług powszechnych;</w:t>
      </w:r>
    </w:p>
    <w:p w:rsidR="000F35A8" w:rsidRPr="00931964" w:rsidRDefault="000F35A8" w:rsidP="000F35A8">
      <w:pPr>
        <w:pStyle w:val="ZPKTzmpktartykuempunktem"/>
        <w:rPr>
          <w:rFonts w:ascii="Times New Roman" w:hAnsi="Times New Roman" w:cs="Times New Roman"/>
          <w:szCs w:val="24"/>
        </w:rPr>
      </w:pPr>
      <w:r w:rsidRPr="00931964">
        <w:rPr>
          <w:rFonts w:ascii="Times New Roman" w:hAnsi="Times New Roman" w:cs="Times New Roman"/>
          <w:szCs w:val="24"/>
        </w:rPr>
        <w:t>2)</w:t>
      </w:r>
      <w:r w:rsidRPr="00931964">
        <w:rPr>
          <w:rFonts w:ascii="Times New Roman" w:hAnsi="Times New Roman" w:cs="Times New Roman"/>
          <w:szCs w:val="24"/>
        </w:rPr>
        <w:tab/>
        <w:t>rentowności opłat – w ramach którego ocenia się</w:t>
      </w:r>
      <w:r w:rsidR="006948BB" w:rsidRPr="00931964">
        <w:rPr>
          <w:rFonts w:ascii="Times New Roman" w:hAnsi="Times New Roman" w:cs="Times New Roman"/>
          <w:szCs w:val="24"/>
        </w:rPr>
        <w:t>, czy</w:t>
      </w:r>
      <w:r w:rsidRPr="00931964">
        <w:rPr>
          <w:rFonts w:ascii="Times New Roman" w:hAnsi="Times New Roman" w:cs="Times New Roman"/>
          <w:szCs w:val="24"/>
        </w:rPr>
        <w:t>:</w:t>
      </w:r>
    </w:p>
    <w:p w:rsidR="000F35A8" w:rsidRPr="00931964" w:rsidRDefault="000F35A8" w:rsidP="000F35A8">
      <w:pPr>
        <w:pStyle w:val="ZLITzmlitartykuempunktem"/>
        <w:ind w:left="1418"/>
        <w:rPr>
          <w:rFonts w:ascii="Times New Roman" w:hAnsi="Times New Roman" w:cs="Times New Roman"/>
          <w:szCs w:val="24"/>
        </w:rPr>
      </w:pPr>
      <w:r w:rsidRPr="00931964">
        <w:rPr>
          <w:rFonts w:ascii="Times New Roman" w:hAnsi="Times New Roman" w:cs="Times New Roman"/>
          <w:szCs w:val="24"/>
        </w:rPr>
        <w:t>a)</w:t>
      </w:r>
      <w:r w:rsidRPr="00931964">
        <w:rPr>
          <w:rFonts w:ascii="Times New Roman" w:hAnsi="Times New Roman" w:cs="Times New Roman"/>
          <w:szCs w:val="24"/>
        </w:rPr>
        <w:tab/>
        <w:t>opłata za daną usługę została ustalona w sposób odzwierciedlający koszty jej świadczenia</w:t>
      </w:r>
      <w:r w:rsidR="00B57567" w:rsidRPr="00931964">
        <w:rPr>
          <w:rFonts w:ascii="Times New Roman" w:hAnsi="Times New Roman" w:cs="Times New Roman"/>
          <w:szCs w:val="24"/>
        </w:rPr>
        <w:t>,</w:t>
      </w:r>
    </w:p>
    <w:p w:rsidR="000F35A8" w:rsidRPr="00931964" w:rsidRDefault="000F35A8" w:rsidP="000F35A8">
      <w:pPr>
        <w:pStyle w:val="ZLITzmlitartykuempunktem"/>
        <w:ind w:left="1418"/>
        <w:rPr>
          <w:rFonts w:ascii="Times New Roman" w:hAnsi="Times New Roman" w:cs="Times New Roman"/>
          <w:szCs w:val="24"/>
        </w:rPr>
      </w:pPr>
      <w:r w:rsidRPr="00931964">
        <w:rPr>
          <w:rFonts w:ascii="Times New Roman" w:hAnsi="Times New Roman" w:cs="Times New Roman"/>
          <w:szCs w:val="24"/>
        </w:rPr>
        <w:t>b)</w:t>
      </w:r>
      <w:r w:rsidRPr="00931964">
        <w:rPr>
          <w:rFonts w:ascii="Times New Roman" w:hAnsi="Times New Roman" w:cs="Times New Roman"/>
          <w:szCs w:val="24"/>
        </w:rPr>
        <w:tab/>
        <w:t>zmiana opłat nie wpły</w:t>
      </w:r>
      <w:r w:rsidR="00EF3A54" w:rsidRPr="00931964">
        <w:rPr>
          <w:rFonts w:ascii="Times New Roman" w:hAnsi="Times New Roman" w:cs="Times New Roman"/>
          <w:szCs w:val="24"/>
        </w:rPr>
        <w:t>nie</w:t>
      </w:r>
      <w:r w:rsidRPr="00931964">
        <w:rPr>
          <w:rFonts w:ascii="Times New Roman" w:hAnsi="Times New Roman" w:cs="Times New Roman"/>
          <w:szCs w:val="24"/>
        </w:rPr>
        <w:t xml:space="preserve"> negatywnie na poziom równowagi finansowej operatora wyznaczonego</w:t>
      </w:r>
      <w:r w:rsidR="00B57567" w:rsidRPr="00931964">
        <w:rPr>
          <w:rFonts w:ascii="Times New Roman" w:hAnsi="Times New Roman" w:cs="Times New Roman"/>
          <w:szCs w:val="24"/>
        </w:rPr>
        <w:t>,</w:t>
      </w:r>
    </w:p>
    <w:p w:rsidR="000F35A8" w:rsidRPr="00931964" w:rsidRDefault="000F35A8" w:rsidP="000F35A8">
      <w:pPr>
        <w:pStyle w:val="ZLITzmlitartykuempunktem"/>
        <w:ind w:left="1418"/>
        <w:rPr>
          <w:rFonts w:ascii="Times New Roman" w:hAnsi="Times New Roman" w:cs="Times New Roman"/>
          <w:szCs w:val="24"/>
        </w:rPr>
      </w:pPr>
      <w:r w:rsidRPr="00931964">
        <w:rPr>
          <w:rFonts w:ascii="Times New Roman" w:hAnsi="Times New Roman" w:cs="Times New Roman"/>
          <w:szCs w:val="24"/>
        </w:rPr>
        <w:t>c)</w:t>
      </w:r>
      <w:r w:rsidRPr="00931964">
        <w:rPr>
          <w:rFonts w:ascii="Times New Roman" w:hAnsi="Times New Roman" w:cs="Times New Roman"/>
          <w:szCs w:val="24"/>
        </w:rPr>
        <w:tab/>
        <w:t>w wyniku zmian</w:t>
      </w:r>
      <w:r w:rsidR="00EF3A54" w:rsidRPr="00931964">
        <w:rPr>
          <w:rFonts w:ascii="Times New Roman" w:hAnsi="Times New Roman" w:cs="Times New Roman"/>
          <w:szCs w:val="24"/>
        </w:rPr>
        <w:t>y</w:t>
      </w:r>
      <w:r w:rsidRPr="00931964">
        <w:rPr>
          <w:rFonts w:ascii="Times New Roman" w:hAnsi="Times New Roman" w:cs="Times New Roman"/>
          <w:szCs w:val="24"/>
        </w:rPr>
        <w:t xml:space="preserve"> opłat poziom kosztu netto obowiązku świadczenia usług powszechnych nie ulegnie nadmiernemu zwiększeniu; </w:t>
      </w:r>
    </w:p>
    <w:p w:rsidR="000F35A8" w:rsidRPr="00931964" w:rsidRDefault="000F35A8" w:rsidP="000F35A8">
      <w:pPr>
        <w:pStyle w:val="ZPKTzmpktartykuempunktem"/>
        <w:rPr>
          <w:rFonts w:ascii="Times New Roman" w:hAnsi="Times New Roman" w:cs="Times New Roman"/>
          <w:szCs w:val="24"/>
        </w:rPr>
      </w:pPr>
      <w:r w:rsidRPr="00931964">
        <w:rPr>
          <w:rFonts w:ascii="Times New Roman" w:hAnsi="Times New Roman" w:cs="Times New Roman"/>
          <w:szCs w:val="24"/>
        </w:rPr>
        <w:t>3)</w:t>
      </w:r>
      <w:r w:rsidRPr="00931964">
        <w:rPr>
          <w:rFonts w:ascii="Times New Roman" w:hAnsi="Times New Roman" w:cs="Times New Roman"/>
          <w:szCs w:val="24"/>
        </w:rPr>
        <w:tab/>
        <w:t>przejrzystości cennika usług powszechnych – w ramach którego ocenia się, czy projekt cennika:</w:t>
      </w:r>
    </w:p>
    <w:p w:rsidR="000F35A8" w:rsidRPr="00931964" w:rsidRDefault="000F35A8" w:rsidP="000F35A8">
      <w:pPr>
        <w:pStyle w:val="ZLITzmlitartykuempunktem"/>
        <w:ind w:left="1418" w:hanging="425"/>
        <w:rPr>
          <w:rFonts w:ascii="Times New Roman" w:hAnsi="Times New Roman" w:cs="Times New Roman"/>
          <w:szCs w:val="24"/>
        </w:rPr>
      </w:pPr>
      <w:r w:rsidRPr="00931964">
        <w:rPr>
          <w:rFonts w:ascii="Times New Roman" w:hAnsi="Times New Roman" w:cs="Times New Roman"/>
          <w:szCs w:val="24"/>
        </w:rPr>
        <w:t>a)</w:t>
      </w:r>
      <w:r w:rsidRPr="00931964">
        <w:rPr>
          <w:rFonts w:ascii="Times New Roman" w:hAnsi="Times New Roman" w:cs="Times New Roman"/>
          <w:szCs w:val="24"/>
        </w:rPr>
        <w:tab/>
      </w:r>
      <w:r w:rsidR="00EF3A54" w:rsidRPr="00931964">
        <w:rPr>
          <w:rFonts w:ascii="Times New Roman" w:hAnsi="Times New Roman" w:cs="Times New Roman"/>
          <w:szCs w:val="24"/>
        </w:rPr>
        <w:t>zawiera wskazanie wszystkich elementów składających się na daną opłatę</w:t>
      </w:r>
      <w:r w:rsidRPr="00931964">
        <w:rPr>
          <w:rFonts w:ascii="Times New Roman" w:hAnsi="Times New Roman" w:cs="Times New Roman"/>
          <w:szCs w:val="24"/>
        </w:rPr>
        <w:t>,</w:t>
      </w:r>
    </w:p>
    <w:p w:rsidR="000F35A8" w:rsidRPr="00931964" w:rsidRDefault="000F35A8" w:rsidP="000F35A8">
      <w:pPr>
        <w:pStyle w:val="ZLITzmlitartykuempunktem"/>
        <w:ind w:left="1418" w:hanging="425"/>
        <w:rPr>
          <w:rFonts w:ascii="Times New Roman" w:hAnsi="Times New Roman" w:cs="Times New Roman"/>
          <w:szCs w:val="24"/>
        </w:rPr>
      </w:pPr>
      <w:r w:rsidRPr="00931964">
        <w:rPr>
          <w:rFonts w:ascii="Times New Roman" w:hAnsi="Times New Roman" w:cs="Times New Roman"/>
          <w:szCs w:val="24"/>
        </w:rPr>
        <w:t>b)</w:t>
      </w:r>
      <w:r w:rsidRPr="00931964">
        <w:rPr>
          <w:rFonts w:ascii="Times New Roman" w:hAnsi="Times New Roman" w:cs="Times New Roman"/>
          <w:szCs w:val="24"/>
        </w:rPr>
        <w:tab/>
        <w:t>umożliwia użytkownikowi dokonanie świadomego wyboru danej usługi;</w:t>
      </w:r>
    </w:p>
    <w:p w:rsidR="000F35A8" w:rsidRPr="00931964" w:rsidRDefault="000F35A8" w:rsidP="000F35A8">
      <w:pPr>
        <w:pStyle w:val="ZPKTzmpktartykuempunktem"/>
        <w:rPr>
          <w:rFonts w:ascii="Times New Roman" w:hAnsi="Times New Roman" w:cs="Times New Roman"/>
          <w:szCs w:val="24"/>
        </w:rPr>
      </w:pPr>
      <w:r w:rsidRPr="00931964">
        <w:rPr>
          <w:rFonts w:ascii="Times New Roman" w:hAnsi="Times New Roman" w:cs="Times New Roman"/>
          <w:szCs w:val="24"/>
        </w:rPr>
        <w:t>4)</w:t>
      </w:r>
      <w:r w:rsidRPr="00931964">
        <w:rPr>
          <w:rFonts w:ascii="Times New Roman" w:hAnsi="Times New Roman" w:cs="Times New Roman"/>
          <w:szCs w:val="24"/>
        </w:rPr>
        <w:tab/>
        <w:t>niedyskryminacyjnego charakteru cennika usług powszechnych – w ramach którego ocenia się, czy projekt cennika nie powoduje nierównego traktowania potencjalnych odbiorców tych usług</w:t>
      </w:r>
      <w:r w:rsidR="00971644">
        <w:rPr>
          <w:rFonts w:ascii="Times New Roman" w:hAnsi="Times New Roman" w:cs="Times New Roman"/>
          <w:szCs w:val="24"/>
        </w:rPr>
        <w:t>.</w:t>
      </w:r>
    </w:p>
    <w:p w:rsidR="00D71D62" w:rsidRPr="00931964" w:rsidRDefault="000F35A8" w:rsidP="00D71D62">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Zaproponowany w art. 57 </w:t>
      </w:r>
      <w:r w:rsidR="00BC250B" w:rsidRPr="00931964">
        <w:rPr>
          <w:rFonts w:ascii="Times New Roman" w:hAnsi="Times New Roman" w:cs="Times New Roman"/>
          <w:szCs w:val="24"/>
        </w:rPr>
        <w:t xml:space="preserve">Prawa pocztowego </w:t>
      </w:r>
      <w:r w:rsidRPr="00931964">
        <w:rPr>
          <w:rFonts w:ascii="Times New Roman" w:hAnsi="Times New Roman" w:cs="Times New Roman"/>
          <w:szCs w:val="24"/>
        </w:rPr>
        <w:t>m</w:t>
      </w:r>
      <w:r w:rsidR="00171629" w:rsidRPr="00931964">
        <w:rPr>
          <w:rFonts w:ascii="Times New Roman" w:hAnsi="Times New Roman" w:cs="Times New Roman"/>
          <w:szCs w:val="24"/>
        </w:rPr>
        <w:t>echanizm</w:t>
      </w:r>
      <w:r w:rsidR="00622195" w:rsidRPr="00931964">
        <w:rPr>
          <w:rFonts w:ascii="Times New Roman" w:eastAsia="Times New Roman" w:hAnsi="Times New Roman" w:cs="Times New Roman"/>
          <w:szCs w:val="24"/>
        </w:rPr>
        <w:t xml:space="preserve"> </w:t>
      </w:r>
      <w:r w:rsidR="00FF6349" w:rsidRPr="00931964">
        <w:rPr>
          <w:rFonts w:ascii="Times New Roman" w:eastAsia="Times New Roman" w:hAnsi="Times New Roman" w:cs="Times New Roman"/>
          <w:szCs w:val="24"/>
        </w:rPr>
        <w:t>u</w:t>
      </w:r>
      <w:r w:rsidR="00622195" w:rsidRPr="00931964">
        <w:rPr>
          <w:rFonts w:ascii="Times New Roman" w:eastAsia="Times New Roman" w:hAnsi="Times New Roman" w:cs="Times New Roman"/>
          <w:szCs w:val="24"/>
        </w:rPr>
        <w:t>możliwia</w:t>
      </w:r>
      <w:r w:rsidR="00171629" w:rsidRPr="00931964">
        <w:rPr>
          <w:rFonts w:ascii="Times New Roman" w:eastAsia="Times New Roman" w:hAnsi="Times New Roman" w:cs="Times New Roman"/>
          <w:szCs w:val="24"/>
        </w:rPr>
        <w:t xml:space="preserve"> </w:t>
      </w:r>
      <w:r w:rsidR="007E08FA" w:rsidRPr="00931964">
        <w:rPr>
          <w:rFonts w:ascii="Times New Roman" w:eastAsia="Times New Roman" w:hAnsi="Times New Roman" w:cs="Times New Roman"/>
          <w:szCs w:val="24"/>
        </w:rPr>
        <w:t xml:space="preserve">Prezesowi UKE </w:t>
      </w:r>
      <w:r w:rsidR="00171629" w:rsidRPr="00931964">
        <w:rPr>
          <w:rFonts w:ascii="Times New Roman" w:eastAsia="Times New Roman" w:hAnsi="Times New Roman" w:cs="Times New Roman"/>
          <w:szCs w:val="24"/>
        </w:rPr>
        <w:t>prawidłową analizę i weryfikację zgłoszonych propozycji zmiany cennika</w:t>
      </w:r>
      <w:r w:rsidR="00622195" w:rsidRPr="00931964">
        <w:rPr>
          <w:rFonts w:ascii="Times New Roman" w:eastAsia="Times New Roman" w:hAnsi="Times New Roman" w:cs="Times New Roman"/>
          <w:szCs w:val="24"/>
        </w:rPr>
        <w:t>,</w:t>
      </w:r>
      <w:r w:rsidR="00171629" w:rsidRPr="00931964">
        <w:rPr>
          <w:rFonts w:ascii="Times New Roman" w:eastAsia="Times New Roman" w:hAnsi="Times New Roman" w:cs="Times New Roman"/>
          <w:szCs w:val="24"/>
        </w:rPr>
        <w:t xml:space="preserve"> </w:t>
      </w:r>
      <w:r w:rsidR="005F4D08" w:rsidRPr="00931964">
        <w:rPr>
          <w:rFonts w:ascii="Times New Roman" w:eastAsia="Times New Roman" w:hAnsi="Times New Roman" w:cs="Times New Roman"/>
          <w:szCs w:val="24"/>
        </w:rPr>
        <w:t>a także</w:t>
      </w:r>
      <w:r w:rsidR="00171629" w:rsidRPr="00931964">
        <w:rPr>
          <w:rFonts w:ascii="Times New Roman" w:eastAsia="Times New Roman" w:hAnsi="Times New Roman" w:cs="Times New Roman"/>
          <w:szCs w:val="24"/>
        </w:rPr>
        <w:t xml:space="preserve"> stałe monitorowanie cen usług powszechnych</w:t>
      </w:r>
      <w:r w:rsidR="00622195" w:rsidRPr="00931964">
        <w:rPr>
          <w:rFonts w:ascii="Times New Roman" w:eastAsia="Times New Roman" w:hAnsi="Times New Roman" w:cs="Times New Roman"/>
          <w:szCs w:val="24"/>
        </w:rPr>
        <w:t xml:space="preserve"> i zapobieganie ich </w:t>
      </w:r>
      <w:r w:rsidR="00622195" w:rsidRPr="00931964">
        <w:rPr>
          <w:rFonts w:ascii="Times New Roman" w:eastAsia="Times New Roman" w:hAnsi="Times New Roman" w:cs="Times New Roman"/>
          <w:szCs w:val="24"/>
        </w:rPr>
        <w:lastRenderedPageBreak/>
        <w:t>nieuzasadnionemu wzrostowi</w:t>
      </w:r>
      <w:r w:rsidR="005F4D08" w:rsidRPr="00931964">
        <w:rPr>
          <w:rFonts w:ascii="Times New Roman" w:eastAsia="Times New Roman" w:hAnsi="Times New Roman" w:cs="Times New Roman"/>
          <w:szCs w:val="24"/>
        </w:rPr>
        <w:t xml:space="preserve">. Zapewnia to efektywne wdrożenie postanowień </w:t>
      </w:r>
      <w:r w:rsidR="005F4D08" w:rsidRPr="00931964">
        <w:rPr>
          <w:rFonts w:ascii="Times New Roman" w:hAnsi="Times New Roman" w:cs="Times New Roman"/>
          <w:szCs w:val="24"/>
        </w:rPr>
        <w:t xml:space="preserve">art. 12 </w:t>
      </w:r>
      <w:r w:rsidR="001850D5" w:rsidRPr="00931964">
        <w:rPr>
          <w:rFonts w:ascii="Times New Roman" w:hAnsi="Times New Roman" w:cs="Times New Roman"/>
          <w:szCs w:val="24"/>
        </w:rPr>
        <w:t xml:space="preserve">dyrektywy </w:t>
      </w:r>
      <w:r w:rsidR="005F4D08" w:rsidRPr="00931964">
        <w:rPr>
          <w:rFonts w:ascii="Times New Roman" w:hAnsi="Times New Roman" w:cs="Times New Roman"/>
          <w:szCs w:val="24"/>
        </w:rPr>
        <w:t>97/67/WE, zgodnie z którym</w:t>
      </w:r>
      <w:r w:rsidR="005F4D08" w:rsidRPr="00931964">
        <w:rPr>
          <w:rFonts w:ascii="Times New Roman" w:eastAsia="Times New Roman" w:hAnsi="Times New Roman" w:cs="Times New Roman"/>
          <w:szCs w:val="24"/>
        </w:rPr>
        <w:t xml:space="preserve"> Państwa Członkowskie </w:t>
      </w:r>
      <w:r w:rsidR="00595E3A" w:rsidRPr="00931964">
        <w:rPr>
          <w:rFonts w:ascii="Times New Roman" w:eastAsia="Times New Roman" w:hAnsi="Times New Roman" w:cs="Times New Roman"/>
          <w:szCs w:val="24"/>
        </w:rPr>
        <w:t>mają podejmować</w:t>
      </w:r>
      <w:r w:rsidR="005F4D08" w:rsidRPr="00931964">
        <w:rPr>
          <w:rFonts w:ascii="Times New Roman" w:eastAsia="Times New Roman" w:hAnsi="Times New Roman" w:cs="Times New Roman"/>
          <w:szCs w:val="24"/>
        </w:rPr>
        <w:t xml:space="preserve"> działania w celu zapewnienia, by taryfy dla każdej z usług należących do usług powszechnych były </w:t>
      </w:r>
      <w:r w:rsidR="00595E3A" w:rsidRPr="00931964">
        <w:rPr>
          <w:rFonts w:ascii="Times New Roman" w:eastAsia="Times New Roman" w:hAnsi="Times New Roman" w:cs="Times New Roman"/>
          <w:szCs w:val="24"/>
        </w:rPr>
        <w:t>przejrzyste i niedyskryminujące, a także aby ceny usług powszechnych</w:t>
      </w:r>
      <w:r w:rsidR="005F4D08" w:rsidRPr="00931964">
        <w:rPr>
          <w:rFonts w:ascii="Times New Roman" w:eastAsia="Times New Roman" w:hAnsi="Times New Roman" w:cs="Times New Roman"/>
          <w:szCs w:val="24"/>
        </w:rPr>
        <w:t xml:space="preserve"> by</w:t>
      </w:r>
      <w:r w:rsidR="00595E3A" w:rsidRPr="00931964">
        <w:rPr>
          <w:rFonts w:ascii="Times New Roman" w:eastAsia="Times New Roman" w:hAnsi="Times New Roman" w:cs="Times New Roman"/>
          <w:szCs w:val="24"/>
        </w:rPr>
        <w:t>ły</w:t>
      </w:r>
      <w:r w:rsidR="005F4D08" w:rsidRPr="00931964">
        <w:rPr>
          <w:rFonts w:ascii="Times New Roman" w:eastAsia="Times New Roman" w:hAnsi="Times New Roman" w:cs="Times New Roman"/>
          <w:szCs w:val="24"/>
        </w:rPr>
        <w:t xml:space="preserve"> przystępne</w:t>
      </w:r>
      <w:r w:rsidR="00595E3A" w:rsidRPr="00931964">
        <w:rPr>
          <w:rFonts w:ascii="Times New Roman" w:eastAsia="Times New Roman" w:hAnsi="Times New Roman" w:cs="Times New Roman"/>
          <w:szCs w:val="24"/>
        </w:rPr>
        <w:t>,</w:t>
      </w:r>
      <w:r w:rsidR="005F4D08" w:rsidRPr="00931964">
        <w:rPr>
          <w:rFonts w:ascii="Times New Roman" w:eastAsia="Times New Roman" w:hAnsi="Times New Roman" w:cs="Times New Roman"/>
          <w:szCs w:val="24"/>
        </w:rPr>
        <w:t xml:space="preserve"> zapewnia</w:t>
      </w:r>
      <w:r w:rsidR="00595E3A" w:rsidRPr="00931964">
        <w:rPr>
          <w:rFonts w:ascii="Times New Roman" w:eastAsia="Times New Roman" w:hAnsi="Times New Roman" w:cs="Times New Roman"/>
          <w:szCs w:val="24"/>
        </w:rPr>
        <w:t>ły</w:t>
      </w:r>
      <w:r w:rsidR="005F4D08" w:rsidRPr="00931964">
        <w:rPr>
          <w:rFonts w:ascii="Times New Roman" w:eastAsia="Times New Roman" w:hAnsi="Times New Roman" w:cs="Times New Roman"/>
          <w:szCs w:val="24"/>
        </w:rPr>
        <w:t xml:space="preserve"> wszys</w:t>
      </w:r>
      <w:r w:rsidR="00595E3A" w:rsidRPr="00931964">
        <w:rPr>
          <w:rFonts w:ascii="Times New Roman" w:eastAsia="Times New Roman" w:hAnsi="Times New Roman" w:cs="Times New Roman"/>
          <w:szCs w:val="24"/>
        </w:rPr>
        <w:t>tkim</w:t>
      </w:r>
      <w:r w:rsidR="005F4D08" w:rsidRPr="00931964">
        <w:rPr>
          <w:rFonts w:ascii="Times New Roman" w:eastAsia="Times New Roman" w:hAnsi="Times New Roman" w:cs="Times New Roman"/>
          <w:szCs w:val="24"/>
        </w:rPr>
        <w:t xml:space="preserve"> użytkowni</w:t>
      </w:r>
      <w:r w:rsidR="00595E3A" w:rsidRPr="00931964">
        <w:rPr>
          <w:rFonts w:ascii="Times New Roman" w:eastAsia="Times New Roman" w:hAnsi="Times New Roman" w:cs="Times New Roman"/>
          <w:szCs w:val="24"/>
        </w:rPr>
        <w:t>kom</w:t>
      </w:r>
      <w:r w:rsidR="005F4D08" w:rsidRPr="00931964">
        <w:rPr>
          <w:rFonts w:ascii="Times New Roman" w:eastAsia="Times New Roman" w:hAnsi="Times New Roman" w:cs="Times New Roman"/>
          <w:szCs w:val="24"/>
        </w:rPr>
        <w:t xml:space="preserve"> dostęp do świadczonych usług</w:t>
      </w:r>
      <w:r w:rsidR="00595E3A" w:rsidRPr="00931964">
        <w:rPr>
          <w:rFonts w:ascii="Times New Roman" w:eastAsia="Times New Roman" w:hAnsi="Times New Roman" w:cs="Times New Roman"/>
          <w:szCs w:val="24"/>
        </w:rPr>
        <w:t xml:space="preserve"> oraz były ustalane z uwzględnieniem kosztów. </w:t>
      </w:r>
      <w:r w:rsidRPr="00931964">
        <w:rPr>
          <w:rFonts w:ascii="Times New Roman" w:eastAsia="Times New Roman" w:hAnsi="Times New Roman" w:cs="Times New Roman"/>
          <w:szCs w:val="24"/>
        </w:rPr>
        <w:t>M</w:t>
      </w:r>
      <w:r w:rsidR="00622195" w:rsidRPr="00931964">
        <w:rPr>
          <w:rFonts w:ascii="Times New Roman" w:eastAsia="Times New Roman" w:hAnsi="Times New Roman" w:cs="Times New Roman"/>
          <w:szCs w:val="24"/>
        </w:rPr>
        <w:t>inimaliz</w:t>
      </w:r>
      <w:r w:rsidR="007E08FA" w:rsidRPr="00931964">
        <w:rPr>
          <w:rFonts w:ascii="Times New Roman" w:eastAsia="Times New Roman" w:hAnsi="Times New Roman" w:cs="Times New Roman"/>
          <w:szCs w:val="24"/>
        </w:rPr>
        <w:t>uj</w:t>
      </w:r>
      <w:r w:rsidR="00595E3A" w:rsidRPr="00931964">
        <w:rPr>
          <w:rFonts w:ascii="Times New Roman" w:eastAsia="Times New Roman" w:hAnsi="Times New Roman" w:cs="Times New Roman"/>
          <w:szCs w:val="24"/>
        </w:rPr>
        <w:t>e również</w:t>
      </w:r>
      <w:r w:rsidR="00171629" w:rsidRPr="00931964">
        <w:rPr>
          <w:rFonts w:ascii="Times New Roman" w:eastAsia="Times New Roman" w:hAnsi="Times New Roman" w:cs="Times New Roman"/>
          <w:szCs w:val="24"/>
        </w:rPr>
        <w:t xml:space="preserve"> potencjaln</w:t>
      </w:r>
      <w:r w:rsidR="007E08FA" w:rsidRPr="00931964">
        <w:rPr>
          <w:rFonts w:ascii="Times New Roman" w:eastAsia="Times New Roman" w:hAnsi="Times New Roman" w:cs="Times New Roman"/>
          <w:szCs w:val="24"/>
        </w:rPr>
        <w:t>ą stratę</w:t>
      </w:r>
      <w:r w:rsidR="00171629" w:rsidRPr="00931964">
        <w:rPr>
          <w:rFonts w:ascii="Times New Roman" w:eastAsia="Times New Roman" w:hAnsi="Times New Roman" w:cs="Times New Roman"/>
          <w:szCs w:val="24"/>
        </w:rPr>
        <w:t xml:space="preserve"> na usługach powszechnych.</w:t>
      </w:r>
      <w:r w:rsidR="005F4D08" w:rsidRPr="00931964">
        <w:rPr>
          <w:rFonts w:ascii="Times New Roman" w:hAnsi="Times New Roman" w:cs="Times New Roman"/>
          <w:szCs w:val="24"/>
        </w:rPr>
        <w:t xml:space="preserve"> </w:t>
      </w:r>
      <w:r w:rsidR="00171629" w:rsidRPr="00931964">
        <w:rPr>
          <w:rFonts w:ascii="Times New Roman" w:hAnsi="Times New Roman" w:cs="Times New Roman"/>
          <w:szCs w:val="24"/>
        </w:rPr>
        <w:t xml:space="preserve">Jak wykazuje praktyka, zastosowanie przez Prezesa UKE mechanizmu kontroli ceny usług powszechnych na podstawie art. 57 Prawa pocztowego </w:t>
      </w:r>
      <w:r w:rsidR="00FF6349" w:rsidRPr="00931964">
        <w:rPr>
          <w:rFonts w:ascii="Times New Roman" w:hAnsi="Times New Roman" w:cs="Times New Roman"/>
          <w:szCs w:val="24"/>
        </w:rPr>
        <w:t xml:space="preserve">znacznie lepiej </w:t>
      </w:r>
      <w:r w:rsidR="00171629" w:rsidRPr="00931964">
        <w:rPr>
          <w:rFonts w:ascii="Times New Roman" w:hAnsi="Times New Roman" w:cs="Times New Roman"/>
          <w:szCs w:val="24"/>
        </w:rPr>
        <w:t xml:space="preserve">zabezpiecza interes konsumentów </w:t>
      </w:r>
      <w:r w:rsidR="00FF6349" w:rsidRPr="00931964">
        <w:rPr>
          <w:rFonts w:ascii="Times New Roman" w:hAnsi="Times New Roman" w:cs="Times New Roman"/>
          <w:szCs w:val="24"/>
        </w:rPr>
        <w:t>i budżetu państwa oraz równowagę na rynku pocztowym niż</w:t>
      </w:r>
      <w:r w:rsidR="00171629" w:rsidRPr="00931964">
        <w:rPr>
          <w:rFonts w:ascii="Times New Roman" w:hAnsi="Times New Roman" w:cs="Times New Roman"/>
          <w:szCs w:val="24"/>
        </w:rPr>
        <w:t xml:space="preserve"> </w:t>
      </w:r>
      <w:r w:rsidR="00FF6349" w:rsidRPr="00931964">
        <w:rPr>
          <w:rFonts w:ascii="Times New Roman" w:hAnsi="Times New Roman" w:cs="Times New Roman"/>
          <w:szCs w:val="24"/>
        </w:rPr>
        <w:t xml:space="preserve">sztywny mechanizm </w:t>
      </w:r>
      <w:proofErr w:type="spellStart"/>
      <w:r w:rsidR="00FF6349" w:rsidRPr="00931964">
        <w:rPr>
          <w:rFonts w:ascii="Times New Roman" w:hAnsi="Times New Roman" w:cs="Times New Roman"/>
          <w:i/>
          <w:szCs w:val="24"/>
        </w:rPr>
        <w:t>price</w:t>
      </w:r>
      <w:proofErr w:type="spellEnd"/>
      <w:r w:rsidR="00FF6349" w:rsidRPr="00931964">
        <w:rPr>
          <w:rFonts w:ascii="Times New Roman" w:hAnsi="Times New Roman" w:cs="Times New Roman"/>
          <w:i/>
          <w:szCs w:val="24"/>
        </w:rPr>
        <w:t xml:space="preserve"> cap.</w:t>
      </w:r>
      <w:r w:rsidR="00171629" w:rsidRPr="00931964">
        <w:rPr>
          <w:rFonts w:ascii="Times New Roman" w:hAnsi="Times New Roman" w:cs="Times New Roman"/>
          <w:szCs w:val="24"/>
        </w:rPr>
        <w:t xml:space="preserve"> </w:t>
      </w:r>
    </w:p>
    <w:p w:rsidR="00FF6349" w:rsidRPr="00931964" w:rsidRDefault="00D71D62" w:rsidP="00FF6349">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Decyzja wydawana przez Prezesa UKE na podstawie art. 57 Prawa pocztowego jest odrębna od decyzji, którą Prezes UKE może wydać na podstawie art. 53 k.p.a. w przypadku ustalenia przez operatora wyznaczonego niejednolitych opłat za usługi powszechne (w decyzji tej Prezes UKE nakłada na operatora wyznaczonego obowiązek stosowania jednolitych opłat za te usługi na terytorium całego kraju, jeżeli jest to konieczne dla zapewnienia świadczenia usług powszechnych, w szczególności ich przystępności cenowej). </w:t>
      </w:r>
      <w:r w:rsidR="00FF6349" w:rsidRPr="00931964">
        <w:rPr>
          <w:rFonts w:ascii="Times New Roman" w:eastAsia="Times New Roman" w:hAnsi="Times New Roman" w:cs="Times New Roman"/>
          <w:szCs w:val="24"/>
        </w:rPr>
        <w:t>W związku z uszczegółowieniem przesłane</w:t>
      </w:r>
      <w:r w:rsidR="00717750" w:rsidRPr="00931964">
        <w:rPr>
          <w:rFonts w:ascii="Times New Roman" w:eastAsia="Times New Roman" w:hAnsi="Times New Roman" w:cs="Times New Roman"/>
          <w:szCs w:val="24"/>
        </w:rPr>
        <w:t>k</w:t>
      </w:r>
      <w:r w:rsidR="00FF6349" w:rsidRPr="00931964">
        <w:rPr>
          <w:rFonts w:ascii="Times New Roman" w:eastAsia="Times New Roman" w:hAnsi="Times New Roman" w:cs="Times New Roman"/>
          <w:szCs w:val="24"/>
        </w:rPr>
        <w:t xml:space="preserve"> oceny cennika usług powszechnych lub jego projektu rezygnacja z mechanizmu </w:t>
      </w:r>
      <w:proofErr w:type="spellStart"/>
      <w:r w:rsidR="00FF6349" w:rsidRPr="00931964">
        <w:rPr>
          <w:rFonts w:ascii="Times New Roman" w:eastAsia="Times New Roman" w:hAnsi="Times New Roman" w:cs="Times New Roman"/>
          <w:i/>
          <w:szCs w:val="24"/>
        </w:rPr>
        <w:t>price</w:t>
      </w:r>
      <w:proofErr w:type="spellEnd"/>
      <w:r w:rsidR="00FF6349" w:rsidRPr="00931964">
        <w:rPr>
          <w:rFonts w:ascii="Times New Roman" w:eastAsia="Times New Roman" w:hAnsi="Times New Roman" w:cs="Times New Roman"/>
          <w:i/>
          <w:szCs w:val="24"/>
        </w:rPr>
        <w:t xml:space="preserve"> cap </w:t>
      </w:r>
      <w:r w:rsidR="00FF6349" w:rsidRPr="00931964">
        <w:rPr>
          <w:rFonts w:ascii="Times New Roman" w:eastAsia="Times New Roman" w:hAnsi="Times New Roman" w:cs="Times New Roman"/>
          <w:szCs w:val="24"/>
        </w:rPr>
        <w:t xml:space="preserve">nie spowoduje sprzeczności </w:t>
      </w:r>
      <w:r w:rsidR="00FF6349" w:rsidRPr="00931964">
        <w:rPr>
          <w:rFonts w:ascii="Times New Roman" w:hAnsi="Times New Roman" w:cs="Times New Roman"/>
          <w:szCs w:val="24"/>
        </w:rPr>
        <w:t xml:space="preserve">z art. 12 </w:t>
      </w:r>
      <w:r w:rsidR="001850D5" w:rsidRPr="00931964">
        <w:rPr>
          <w:rFonts w:ascii="Times New Roman" w:hAnsi="Times New Roman" w:cs="Times New Roman"/>
          <w:szCs w:val="24"/>
        </w:rPr>
        <w:t>d</w:t>
      </w:r>
      <w:r w:rsidR="00FF6349" w:rsidRPr="00931964">
        <w:rPr>
          <w:rFonts w:ascii="Times New Roman" w:hAnsi="Times New Roman" w:cs="Times New Roman"/>
          <w:szCs w:val="24"/>
        </w:rPr>
        <w:t xml:space="preserve">yrektywy 97/67/WE. </w:t>
      </w:r>
      <w:r w:rsidR="000F35A8" w:rsidRPr="00931964">
        <w:rPr>
          <w:rFonts w:ascii="Times New Roman" w:hAnsi="Times New Roman" w:cs="Times New Roman"/>
          <w:szCs w:val="24"/>
        </w:rPr>
        <w:t>W świetle przepisów dyrektywy m</w:t>
      </w:r>
      <w:r w:rsidR="00FF6349" w:rsidRPr="00931964">
        <w:rPr>
          <w:rFonts w:ascii="Times New Roman" w:hAnsi="Times New Roman" w:cs="Times New Roman"/>
          <w:szCs w:val="24"/>
        </w:rPr>
        <w:t xml:space="preserve">echanizm </w:t>
      </w:r>
      <w:proofErr w:type="spellStart"/>
      <w:r w:rsidR="000F35A8" w:rsidRPr="00931964">
        <w:rPr>
          <w:rFonts w:ascii="Times New Roman" w:eastAsia="Times New Roman" w:hAnsi="Times New Roman" w:cs="Times New Roman"/>
          <w:i/>
          <w:szCs w:val="24"/>
        </w:rPr>
        <w:t>price</w:t>
      </w:r>
      <w:proofErr w:type="spellEnd"/>
      <w:r w:rsidR="000F35A8" w:rsidRPr="00931964">
        <w:rPr>
          <w:rFonts w:ascii="Times New Roman" w:eastAsia="Times New Roman" w:hAnsi="Times New Roman" w:cs="Times New Roman"/>
          <w:i/>
          <w:szCs w:val="24"/>
        </w:rPr>
        <w:t xml:space="preserve"> cap </w:t>
      </w:r>
      <w:r w:rsidR="00FF6349" w:rsidRPr="00931964">
        <w:rPr>
          <w:rFonts w:ascii="Times New Roman" w:hAnsi="Times New Roman" w:cs="Times New Roman"/>
          <w:szCs w:val="24"/>
        </w:rPr>
        <w:t xml:space="preserve">nie jest obligatoryjny, lecz jest jednym z możliwych mechanizmów kontroli cen usług powszechnych, które poszczególne kraje członkowskie UE mogły wdrożyć do swojego porządku prawnego (na jego wdrożenie zdecydowało się tylko 15 krajów Unii Europejskiej). W praktyce mechanizm </w:t>
      </w:r>
      <w:proofErr w:type="spellStart"/>
      <w:r w:rsidR="00FF6349" w:rsidRPr="00931964">
        <w:rPr>
          <w:rFonts w:ascii="Times New Roman" w:hAnsi="Times New Roman" w:cs="Times New Roman"/>
          <w:i/>
          <w:szCs w:val="24"/>
        </w:rPr>
        <w:t>price</w:t>
      </w:r>
      <w:proofErr w:type="spellEnd"/>
      <w:r w:rsidR="00FF6349" w:rsidRPr="00931964">
        <w:rPr>
          <w:rFonts w:ascii="Times New Roman" w:hAnsi="Times New Roman" w:cs="Times New Roman"/>
          <w:i/>
          <w:szCs w:val="24"/>
        </w:rPr>
        <w:t xml:space="preserve"> cap </w:t>
      </w:r>
      <w:r w:rsidR="00FF6349" w:rsidRPr="00931964">
        <w:rPr>
          <w:rFonts w:ascii="Times New Roman" w:hAnsi="Times New Roman" w:cs="Times New Roman"/>
          <w:szCs w:val="24"/>
        </w:rPr>
        <w:t>okazał się nieadekwatny do zmian zachodzących na rynku usług pocztowych oraz gospodarek europejskich, co spowodowało odchodzenie od niego (m.in. w 2017 r. odeszły od niego Irlandia i Belgia, w 2020 r. rozpoczęto prace nad jego wycofaniem w Portugalii). Konsekwencją usunięcia art. 55 jest zmiana redakcyjna w art. 106, wprowadzona w pkt 15.</w:t>
      </w:r>
    </w:p>
    <w:p w:rsidR="00B03A16" w:rsidRPr="00931964" w:rsidRDefault="00B03A16" w:rsidP="001A0930">
      <w:pPr>
        <w:pStyle w:val="NIEARTTEKSTtekstnieartykuowanynppodstprawnarozplubpreambua"/>
        <w:rPr>
          <w:rFonts w:ascii="Times New Roman" w:hAnsi="Times New Roman" w:cs="Times New Roman"/>
          <w:szCs w:val="24"/>
        </w:rPr>
      </w:pPr>
      <w:bookmarkStart w:id="1" w:name="mip54630727"/>
      <w:bookmarkEnd w:id="1"/>
      <w:r w:rsidRPr="00931964">
        <w:rPr>
          <w:rFonts w:ascii="Times New Roman" w:hAnsi="Times New Roman" w:cs="Times New Roman"/>
          <w:szCs w:val="24"/>
        </w:rPr>
        <w:t>Zmiana art. 92, wprowadzona w pkt 1</w:t>
      </w:r>
      <w:r w:rsidR="003A210F" w:rsidRPr="00931964">
        <w:rPr>
          <w:rFonts w:ascii="Times New Roman" w:hAnsi="Times New Roman" w:cs="Times New Roman"/>
          <w:szCs w:val="24"/>
        </w:rPr>
        <w:t>3</w:t>
      </w:r>
      <w:r w:rsidRPr="00931964">
        <w:rPr>
          <w:rFonts w:ascii="Times New Roman" w:hAnsi="Times New Roman" w:cs="Times New Roman"/>
          <w:szCs w:val="24"/>
        </w:rPr>
        <w:t xml:space="preserve">, ma na celu usankcjonowanie w przepisach prawa możliwości składania reklamacji z tytułu niewykonania lub </w:t>
      </w:r>
      <w:r w:rsidRPr="00931964">
        <w:rPr>
          <w:rFonts w:ascii="Times New Roman" w:hAnsi="Times New Roman" w:cs="Times New Roman"/>
          <w:szCs w:val="24"/>
        </w:rPr>
        <w:lastRenderedPageBreak/>
        <w:t xml:space="preserve">nienależytego wykonania usługi pocztowej drogą elektroniczną. Zgodnie z zaproponowanym przepisem, operator pocztowy nadal obowiązany jest zapewnić osobie składającej reklamację możliwość złożenia jej w każdej swojej placówce. Przedmiotowa zmiana wprowadza natomiast możliwość udostępnienia przez operatora pocztowego dedykowanej usługi elektronicznej obsługującej składanie reklamacji. Sposób uwierzytelnienia lub identyfikacji osoby składającej reklamację zostanie określony przez operatora pocztowego udostępniającego usługę w regulaminie świadczenia usług pocztowych lub w regulaminie świadczenia usług powszechnych. Projektodawca nie przewiduje wprowadzenia obowiązku udostępnienia takiej usługi przez operatora pocztowego, biorąc pod uwagę – podobnie jak w przypadku zmiany wprowadzonej w pkt 7 – trend wprowadzania rozwiązań cyfrowych przez dużych operatorów pocztowych oraz warunki organizacyjne i ekonomiczne świadczenia przez małych operatorów usług na skalę lokalną. </w:t>
      </w:r>
      <w:r w:rsidR="00EF3A54" w:rsidRPr="00931964">
        <w:rPr>
          <w:rFonts w:ascii="Times New Roman" w:hAnsi="Times New Roman" w:cs="Times New Roman"/>
          <w:szCs w:val="24"/>
        </w:rPr>
        <w:t>W</w:t>
      </w:r>
      <w:r w:rsidRPr="00931964">
        <w:rPr>
          <w:rFonts w:ascii="Times New Roman" w:hAnsi="Times New Roman" w:cs="Times New Roman"/>
          <w:szCs w:val="24"/>
        </w:rPr>
        <w:t xml:space="preserve"> lit. a wprowadzono </w:t>
      </w:r>
      <w:r w:rsidR="00EF3A54" w:rsidRPr="00931964">
        <w:rPr>
          <w:rFonts w:ascii="Times New Roman" w:hAnsi="Times New Roman" w:cs="Times New Roman"/>
          <w:szCs w:val="24"/>
        </w:rPr>
        <w:t xml:space="preserve">również </w:t>
      </w:r>
      <w:r w:rsidRPr="00931964">
        <w:rPr>
          <w:rFonts w:ascii="Times New Roman" w:hAnsi="Times New Roman" w:cs="Times New Roman"/>
          <w:szCs w:val="24"/>
        </w:rPr>
        <w:t>zmianę redakcyjną,</w:t>
      </w:r>
      <w:r w:rsidR="00AD3968" w:rsidRPr="00931964">
        <w:rPr>
          <w:rFonts w:ascii="Times New Roman" w:hAnsi="Times New Roman" w:cs="Times New Roman"/>
          <w:szCs w:val="24"/>
        </w:rPr>
        <w:t xml:space="preserve"> aby</w:t>
      </w:r>
      <w:r w:rsidRPr="00931964">
        <w:rPr>
          <w:rFonts w:ascii="Times New Roman" w:hAnsi="Times New Roman" w:cs="Times New Roman"/>
          <w:szCs w:val="24"/>
        </w:rPr>
        <w:t xml:space="preserve"> jednoznacznie wskaz</w:t>
      </w:r>
      <w:r w:rsidR="00AD3968" w:rsidRPr="00931964">
        <w:rPr>
          <w:rFonts w:ascii="Times New Roman" w:hAnsi="Times New Roman" w:cs="Times New Roman"/>
          <w:szCs w:val="24"/>
        </w:rPr>
        <w:t>ać</w:t>
      </w:r>
      <w:r w:rsidRPr="00931964">
        <w:rPr>
          <w:rFonts w:ascii="Times New Roman" w:hAnsi="Times New Roman" w:cs="Times New Roman"/>
          <w:szCs w:val="24"/>
        </w:rPr>
        <w:t>, że prawo do złożenia reklamacji przysługuje nadawcy albo adresatowi.</w:t>
      </w:r>
      <w:r w:rsidR="00EF3A54" w:rsidRPr="00931964">
        <w:rPr>
          <w:rFonts w:ascii="Times New Roman" w:hAnsi="Times New Roman" w:cs="Times New Roman"/>
          <w:szCs w:val="24"/>
        </w:rPr>
        <w:t xml:space="preserve"> Z kolei w lit. d wprowadzona zostaje zmiana polegająca na doprecyzowaniu, że </w:t>
      </w:r>
      <w:r w:rsidR="004E27DF" w:rsidRPr="00931964">
        <w:rPr>
          <w:rFonts w:ascii="Times New Roman" w:hAnsi="Times New Roman" w:cs="Times New Roman"/>
          <w:szCs w:val="24"/>
        </w:rPr>
        <w:t>reklamacja może zostać wniesiona przed upływem</w:t>
      </w:r>
      <w:r w:rsidR="00EF3A54" w:rsidRPr="00931964">
        <w:rPr>
          <w:rFonts w:ascii="Times New Roman" w:hAnsi="Times New Roman" w:cs="Times New Roman"/>
          <w:szCs w:val="24"/>
        </w:rPr>
        <w:t xml:space="preserve"> 12 miesięcy od dnia nadania zarówno w przypadku przesyłki pocztowej, jak i przekazu pocztowego, który również jest usługą pocztową, uregulowaną w Prawie pocztowym. Dotychczasowy art. 9</w:t>
      </w:r>
      <w:r w:rsidR="004E27DF" w:rsidRPr="00931964">
        <w:rPr>
          <w:rFonts w:ascii="Times New Roman" w:hAnsi="Times New Roman" w:cs="Times New Roman"/>
          <w:szCs w:val="24"/>
        </w:rPr>
        <w:t>2</w:t>
      </w:r>
      <w:r w:rsidR="00EF3A54" w:rsidRPr="00931964">
        <w:rPr>
          <w:rFonts w:ascii="Times New Roman" w:hAnsi="Times New Roman" w:cs="Times New Roman"/>
          <w:szCs w:val="24"/>
        </w:rPr>
        <w:t xml:space="preserve"> ust. </w:t>
      </w:r>
      <w:r w:rsidR="004E27DF" w:rsidRPr="00931964">
        <w:rPr>
          <w:rFonts w:ascii="Times New Roman" w:hAnsi="Times New Roman" w:cs="Times New Roman"/>
          <w:szCs w:val="24"/>
        </w:rPr>
        <w:t>3</w:t>
      </w:r>
      <w:r w:rsidR="00EF3A54" w:rsidRPr="00931964">
        <w:rPr>
          <w:rFonts w:ascii="Times New Roman" w:hAnsi="Times New Roman" w:cs="Times New Roman"/>
          <w:szCs w:val="24"/>
        </w:rPr>
        <w:t xml:space="preserve"> odnosi się wprost do przesyłki pocztowej, co mogło powodować wątpliwości co do stosowania art. 93 do innych usług pocztowych, w tym zwłaszcza przekazu pocztowego. </w:t>
      </w:r>
      <w:r w:rsidR="004E27DF" w:rsidRPr="00931964">
        <w:rPr>
          <w:rFonts w:ascii="Times New Roman" w:hAnsi="Times New Roman" w:cs="Times New Roman"/>
          <w:szCs w:val="24"/>
        </w:rPr>
        <w:t>W pkt 14 wprowadzona została a</w:t>
      </w:r>
      <w:r w:rsidR="00EF3A54" w:rsidRPr="00931964">
        <w:rPr>
          <w:rFonts w:ascii="Times New Roman" w:hAnsi="Times New Roman" w:cs="Times New Roman"/>
          <w:szCs w:val="24"/>
        </w:rPr>
        <w:t>nalogiczna zmiana</w:t>
      </w:r>
      <w:r w:rsidR="004E27DF" w:rsidRPr="00931964">
        <w:rPr>
          <w:rFonts w:ascii="Times New Roman" w:hAnsi="Times New Roman" w:cs="Times New Roman"/>
          <w:szCs w:val="24"/>
        </w:rPr>
        <w:t xml:space="preserve"> </w:t>
      </w:r>
      <w:r w:rsidRPr="00931964">
        <w:rPr>
          <w:rFonts w:ascii="Times New Roman" w:hAnsi="Times New Roman" w:cs="Times New Roman"/>
          <w:szCs w:val="24"/>
        </w:rPr>
        <w:t>w art. 93 ust. 2, polegająca na doprecyzowaniu, że roszczenia dochodzone na podstawie art. 93 Prawa pocztowego przedawniają się z upływem 12 miesięcy od dnia nadania zarówno w przypadku przesyłki pocztowej, jak i przekazu pocztowego</w:t>
      </w:r>
      <w:r w:rsidR="004E27DF" w:rsidRPr="00931964">
        <w:rPr>
          <w:rFonts w:ascii="Times New Roman" w:hAnsi="Times New Roman" w:cs="Times New Roman"/>
          <w:szCs w:val="24"/>
        </w:rPr>
        <w:t xml:space="preserve">. </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1</w:t>
      </w:r>
      <w:r w:rsidR="003A210F" w:rsidRPr="00931964">
        <w:rPr>
          <w:rFonts w:ascii="Times New Roman" w:hAnsi="Times New Roman" w:cs="Times New Roman"/>
          <w:szCs w:val="24"/>
        </w:rPr>
        <w:t>6</w:t>
      </w:r>
      <w:r w:rsidRPr="00931964">
        <w:rPr>
          <w:rFonts w:ascii="Times New Roman" w:hAnsi="Times New Roman" w:cs="Times New Roman"/>
          <w:szCs w:val="24"/>
        </w:rPr>
        <w:t>–</w:t>
      </w:r>
      <w:r w:rsidR="003A210F" w:rsidRPr="00931964">
        <w:rPr>
          <w:rFonts w:ascii="Times New Roman" w:hAnsi="Times New Roman" w:cs="Times New Roman"/>
          <w:szCs w:val="24"/>
        </w:rPr>
        <w:t>21</w:t>
      </w:r>
      <w:r w:rsidRPr="00931964">
        <w:rPr>
          <w:rFonts w:ascii="Times New Roman" w:hAnsi="Times New Roman" w:cs="Times New Roman"/>
          <w:szCs w:val="24"/>
        </w:rPr>
        <w:t xml:space="preserve"> wprowadzono zmiany art. 108, art. 109, art. 112–119a Prawa pocztowego, polegające na uproszczeniu procedury finansowania kosztu netto oraz likwidacji funduszu kompensacyjnego i wskazaniu budżetu państwa jako wyłącznego źródła finansowania kosztu netto</w:t>
      </w:r>
      <w:r w:rsidR="00754A01" w:rsidRPr="00931964">
        <w:rPr>
          <w:rFonts w:ascii="Times New Roman" w:hAnsi="Times New Roman" w:cs="Times New Roman"/>
          <w:szCs w:val="24"/>
        </w:rPr>
        <w:t>. Finansowanie to udzielane jest w formie dotacji celowej, o której mowa w ustaw</w:t>
      </w:r>
      <w:r w:rsidR="00854023" w:rsidRPr="00931964">
        <w:rPr>
          <w:rFonts w:ascii="Times New Roman" w:hAnsi="Times New Roman" w:cs="Times New Roman"/>
          <w:szCs w:val="24"/>
        </w:rPr>
        <w:t>ie</w:t>
      </w:r>
      <w:r w:rsidR="00754A01" w:rsidRPr="00931964">
        <w:rPr>
          <w:rFonts w:ascii="Times New Roman" w:hAnsi="Times New Roman" w:cs="Times New Roman"/>
          <w:szCs w:val="24"/>
        </w:rPr>
        <w:t xml:space="preserve"> z dnia 27 sierpnia 2009 r. o finansach publicznych (Dz.</w:t>
      </w:r>
      <w:r w:rsidR="009C41EC" w:rsidRPr="00931964">
        <w:rPr>
          <w:rFonts w:ascii="Times New Roman" w:hAnsi="Times New Roman" w:cs="Times New Roman"/>
          <w:szCs w:val="24"/>
        </w:rPr>
        <w:t xml:space="preserve"> </w:t>
      </w:r>
      <w:r w:rsidR="00754A01" w:rsidRPr="00931964">
        <w:rPr>
          <w:rFonts w:ascii="Times New Roman" w:hAnsi="Times New Roman" w:cs="Times New Roman"/>
          <w:szCs w:val="24"/>
        </w:rPr>
        <w:t>U. z 202</w:t>
      </w:r>
      <w:r w:rsidR="00CE7D33" w:rsidRPr="00931964">
        <w:rPr>
          <w:rFonts w:ascii="Times New Roman" w:hAnsi="Times New Roman" w:cs="Times New Roman"/>
          <w:szCs w:val="24"/>
        </w:rPr>
        <w:t>2</w:t>
      </w:r>
      <w:r w:rsidR="00754A01" w:rsidRPr="00931964">
        <w:rPr>
          <w:rFonts w:ascii="Times New Roman" w:hAnsi="Times New Roman" w:cs="Times New Roman"/>
          <w:szCs w:val="24"/>
        </w:rPr>
        <w:t xml:space="preserve"> r. poz. </w:t>
      </w:r>
      <w:r w:rsidR="00CE7D33" w:rsidRPr="00931964">
        <w:rPr>
          <w:rFonts w:ascii="Times New Roman" w:hAnsi="Times New Roman" w:cs="Times New Roman"/>
          <w:szCs w:val="24"/>
        </w:rPr>
        <w:t>1634</w:t>
      </w:r>
      <w:r w:rsidR="004C1276" w:rsidRPr="00931964">
        <w:rPr>
          <w:rFonts w:ascii="Times New Roman" w:hAnsi="Times New Roman" w:cs="Times New Roman"/>
          <w:szCs w:val="24"/>
        </w:rPr>
        <w:t xml:space="preserve">, z </w:t>
      </w:r>
      <w:proofErr w:type="spellStart"/>
      <w:r w:rsidR="004C1276" w:rsidRPr="00931964">
        <w:rPr>
          <w:rFonts w:ascii="Times New Roman" w:hAnsi="Times New Roman" w:cs="Times New Roman"/>
          <w:szCs w:val="24"/>
        </w:rPr>
        <w:t>późn</w:t>
      </w:r>
      <w:proofErr w:type="spellEnd"/>
      <w:r w:rsidR="004C1276" w:rsidRPr="00931964">
        <w:rPr>
          <w:rFonts w:ascii="Times New Roman" w:hAnsi="Times New Roman" w:cs="Times New Roman"/>
          <w:szCs w:val="24"/>
        </w:rPr>
        <w:t>. zm.</w:t>
      </w:r>
      <w:r w:rsidR="00754A01" w:rsidRPr="00931964">
        <w:rPr>
          <w:rFonts w:ascii="Times New Roman" w:hAnsi="Times New Roman" w:cs="Times New Roman"/>
          <w:szCs w:val="24"/>
        </w:rPr>
        <w:t>)</w:t>
      </w:r>
      <w:r w:rsidRPr="00931964">
        <w:rPr>
          <w:rFonts w:ascii="Times New Roman" w:hAnsi="Times New Roman" w:cs="Times New Roman"/>
          <w:szCs w:val="24"/>
        </w:rPr>
        <w:t xml:space="preserve">. </w:t>
      </w:r>
      <w:r w:rsidR="004E27DF" w:rsidRPr="00931964">
        <w:rPr>
          <w:rFonts w:ascii="Times New Roman" w:hAnsi="Times New Roman" w:cs="Times New Roman"/>
          <w:szCs w:val="24"/>
        </w:rPr>
        <w:t xml:space="preserve">W </w:t>
      </w:r>
      <w:r w:rsidR="00BC250B" w:rsidRPr="00931964">
        <w:rPr>
          <w:rFonts w:ascii="Times New Roman" w:hAnsi="Times New Roman" w:cs="Times New Roman"/>
          <w:szCs w:val="24"/>
        </w:rPr>
        <w:t xml:space="preserve">art. 108 </w:t>
      </w:r>
      <w:r w:rsidR="004E27DF" w:rsidRPr="00931964">
        <w:rPr>
          <w:rFonts w:ascii="Times New Roman" w:hAnsi="Times New Roman" w:cs="Times New Roman"/>
          <w:szCs w:val="24"/>
        </w:rPr>
        <w:t xml:space="preserve">ust. 2 </w:t>
      </w:r>
      <w:r w:rsidR="004E27DF" w:rsidRPr="00931964">
        <w:rPr>
          <w:rFonts w:ascii="Times New Roman" w:hAnsi="Times New Roman" w:cs="Times New Roman"/>
          <w:szCs w:val="24"/>
        </w:rPr>
        <w:lastRenderedPageBreak/>
        <w:t xml:space="preserve">wskazano ponadto, że wypłaty tej dokonuje minister właściwy do spraw łączności. </w:t>
      </w:r>
      <w:r w:rsidR="00754A01" w:rsidRPr="00931964">
        <w:rPr>
          <w:rFonts w:ascii="Times New Roman" w:hAnsi="Times New Roman" w:cs="Times New Roman"/>
          <w:szCs w:val="24"/>
        </w:rPr>
        <w:t>Powyższa z</w:t>
      </w:r>
      <w:r w:rsidRPr="00931964">
        <w:rPr>
          <w:rFonts w:ascii="Times New Roman" w:hAnsi="Times New Roman" w:cs="Times New Roman"/>
          <w:szCs w:val="24"/>
        </w:rPr>
        <w:t>miana jest zgodna z mechanizmami dofinansowania kosztu netto określonymi w</w:t>
      </w:r>
      <w:r w:rsidR="00B857FF">
        <w:rPr>
          <w:rFonts w:ascii="Times New Roman" w:hAnsi="Times New Roman" w:cs="Times New Roman"/>
          <w:szCs w:val="24"/>
        </w:rPr>
        <w:t xml:space="preserve"> </w:t>
      </w:r>
      <w:r w:rsidR="004C1276" w:rsidRPr="00931964">
        <w:rPr>
          <w:rFonts w:ascii="Times New Roman" w:hAnsi="Times New Roman" w:cs="Times New Roman"/>
          <w:szCs w:val="24"/>
        </w:rPr>
        <w:t xml:space="preserve">dyrektywie </w:t>
      </w:r>
      <w:r w:rsidRPr="00931964">
        <w:rPr>
          <w:rFonts w:ascii="Times New Roman" w:hAnsi="Times New Roman" w:cs="Times New Roman"/>
          <w:szCs w:val="24"/>
        </w:rPr>
        <w:t>2008/6/WE oraz praktyką stosowaną w wielu krajach europejskich. Zaproponowane zmiany art. 112–119a wprowadzają konkretne modyfikacje procedur wypłaty kosztu netto, wynikające ze zmiany źródła finansowania. Uproszczenie procedur zmniejszy obciążenie administracyjne regulatora krajowego (Prezesa UKE), jak również wpłynie na zmniejszenie obciążeń finansowych operatorów pocztowych obowiązanych do wpłat do funduszu kompensacyjnego. W projektowanym art. 109 ust. 4 zawarto również zastrzeżenie, że finansowanie kosztu netto stanowi pomoc publiczną, która może być udzielona zgodnie z postanowieniami zawartymi w decyzji Komisji Europejskiej, wydanej w wyniku notyfikacji, w okresie obowiązywania tej decyzji. Zmiany w art. 126</w:t>
      </w:r>
      <w:r w:rsidR="00BC250B" w:rsidRPr="00931964">
        <w:rPr>
          <w:rFonts w:ascii="Times New Roman" w:hAnsi="Times New Roman" w:cs="Times New Roman"/>
          <w:szCs w:val="24"/>
        </w:rPr>
        <w:t xml:space="preserve"> Prawa pocztowego</w:t>
      </w:r>
      <w:r w:rsidRPr="00931964">
        <w:rPr>
          <w:rFonts w:ascii="Times New Roman" w:hAnsi="Times New Roman" w:cs="Times New Roman"/>
          <w:szCs w:val="24"/>
        </w:rPr>
        <w:t>, zaproponowane w pkt 2</w:t>
      </w:r>
      <w:r w:rsidR="008901C9" w:rsidRPr="00931964">
        <w:rPr>
          <w:rFonts w:ascii="Times New Roman" w:hAnsi="Times New Roman" w:cs="Times New Roman"/>
          <w:szCs w:val="24"/>
        </w:rPr>
        <w:t>4</w:t>
      </w:r>
      <w:r w:rsidRPr="00931964">
        <w:rPr>
          <w:rFonts w:ascii="Times New Roman" w:hAnsi="Times New Roman" w:cs="Times New Roman"/>
          <w:szCs w:val="24"/>
        </w:rPr>
        <w:t>, mają charakter techniczny i wynikają z konieczności uwzględnienia w treści tego artykułu przedmiotowej nowelizacji.</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W </w:t>
      </w:r>
      <w:r w:rsidR="00717750" w:rsidRPr="00931964">
        <w:rPr>
          <w:rFonts w:ascii="Times New Roman" w:hAnsi="Times New Roman" w:cs="Times New Roman"/>
          <w:szCs w:val="24"/>
        </w:rPr>
        <w:t>pkt 22</w:t>
      </w:r>
      <w:r w:rsidRPr="00931964">
        <w:rPr>
          <w:rFonts w:ascii="Times New Roman" w:hAnsi="Times New Roman" w:cs="Times New Roman"/>
          <w:szCs w:val="24"/>
        </w:rPr>
        <w:t xml:space="preserve"> rozszerzono upoważnienie ustawowe do wydania przez ministra właściwego do spraw łączności w porozumieniu z ministrem właściwym do spraw finansów</w:t>
      </w:r>
      <w:r w:rsidR="00580464" w:rsidRPr="00931964">
        <w:rPr>
          <w:rFonts w:ascii="Times New Roman" w:hAnsi="Times New Roman" w:cs="Times New Roman"/>
          <w:szCs w:val="24"/>
        </w:rPr>
        <w:t xml:space="preserve"> publicznych</w:t>
      </w:r>
      <w:r w:rsidRPr="00931964">
        <w:rPr>
          <w:rFonts w:ascii="Times New Roman" w:hAnsi="Times New Roman" w:cs="Times New Roman"/>
          <w:szCs w:val="24"/>
        </w:rPr>
        <w:t xml:space="preserve"> rozporządzenia w sprawie kalkulacji kosztu netto obowiązku świadczenia usług powszechnych, w którym uwzględniono konieczność określenia </w:t>
      </w:r>
      <w:r w:rsidR="004C1276" w:rsidRPr="00931964">
        <w:rPr>
          <w:rFonts w:ascii="Times New Roman" w:hAnsi="Times New Roman" w:cs="Times New Roman"/>
          <w:szCs w:val="24"/>
        </w:rPr>
        <w:t xml:space="preserve">trybu </w:t>
      </w:r>
      <w:r w:rsidR="004E27DF" w:rsidRPr="00931964">
        <w:rPr>
          <w:rFonts w:ascii="Times New Roman" w:hAnsi="Times New Roman" w:cs="Times New Roman"/>
          <w:szCs w:val="24"/>
        </w:rPr>
        <w:t>wypłaty</w:t>
      </w:r>
      <w:r w:rsidRPr="00931964">
        <w:rPr>
          <w:rFonts w:ascii="Times New Roman" w:hAnsi="Times New Roman" w:cs="Times New Roman"/>
          <w:szCs w:val="24"/>
        </w:rPr>
        <w:t xml:space="preserve"> finansowania kosztu netto. Obecna nowelizacja zachowuje większość rozwiązań dotychczasowego mechanizmu, rezygnując jedynie z udziału w dopłacie operatorów pocztowych. W związku z powyższym </w:t>
      </w:r>
      <w:r w:rsidR="008B1E39" w:rsidRPr="00931964">
        <w:rPr>
          <w:rFonts w:ascii="Times New Roman" w:hAnsi="Times New Roman" w:cs="Times New Roman"/>
          <w:szCs w:val="24"/>
        </w:rPr>
        <w:t xml:space="preserve">szczegółowe </w:t>
      </w:r>
      <w:r w:rsidRPr="00931964">
        <w:rPr>
          <w:rFonts w:ascii="Times New Roman" w:hAnsi="Times New Roman" w:cs="Times New Roman"/>
          <w:szCs w:val="24"/>
        </w:rPr>
        <w:t xml:space="preserve">rozwiązania dotyczące </w:t>
      </w:r>
      <w:r w:rsidR="00AD3968" w:rsidRPr="00931964">
        <w:rPr>
          <w:rFonts w:ascii="Times New Roman" w:hAnsi="Times New Roman" w:cs="Times New Roman"/>
          <w:szCs w:val="24"/>
        </w:rPr>
        <w:t xml:space="preserve">trybu </w:t>
      </w:r>
      <w:r w:rsidR="004E27DF" w:rsidRPr="00931964">
        <w:rPr>
          <w:rFonts w:ascii="Times New Roman" w:hAnsi="Times New Roman" w:cs="Times New Roman"/>
          <w:szCs w:val="24"/>
        </w:rPr>
        <w:t>wypłaty</w:t>
      </w:r>
      <w:r w:rsidR="00AD3968" w:rsidRPr="00931964">
        <w:rPr>
          <w:rFonts w:ascii="Times New Roman" w:hAnsi="Times New Roman" w:cs="Times New Roman"/>
          <w:szCs w:val="24"/>
        </w:rPr>
        <w:t xml:space="preserve"> finansowania</w:t>
      </w:r>
      <w:r w:rsidRPr="00931964">
        <w:rPr>
          <w:rFonts w:ascii="Times New Roman" w:hAnsi="Times New Roman" w:cs="Times New Roman"/>
          <w:szCs w:val="24"/>
        </w:rPr>
        <w:t xml:space="preserve"> kosztu netto zostaną dookreślone w rozporządzeniu w</w:t>
      </w:r>
      <w:r w:rsidR="00B857FF">
        <w:rPr>
          <w:rFonts w:ascii="Times New Roman" w:hAnsi="Times New Roman" w:cs="Times New Roman"/>
          <w:szCs w:val="24"/>
        </w:rPr>
        <w:t xml:space="preserve"> </w:t>
      </w:r>
      <w:r w:rsidRPr="00931964">
        <w:rPr>
          <w:rFonts w:ascii="Times New Roman" w:hAnsi="Times New Roman" w:cs="Times New Roman"/>
          <w:szCs w:val="24"/>
        </w:rPr>
        <w:t>sprawie kalkulacji kosztu netto obowiązku świadczenia usług powszechnych.</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W pkt </w:t>
      </w:r>
      <w:r w:rsidR="003A210F" w:rsidRPr="00931964">
        <w:rPr>
          <w:rFonts w:ascii="Times New Roman" w:hAnsi="Times New Roman" w:cs="Times New Roman"/>
          <w:szCs w:val="24"/>
        </w:rPr>
        <w:t>23</w:t>
      </w:r>
      <w:r w:rsidRPr="00931964">
        <w:rPr>
          <w:rFonts w:ascii="Times New Roman" w:hAnsi="Times New Roman" w:cs="Times New Roman"/>
          <w:szCs w:val="24"/>
        </w:rPr>
        <w:t xml:space="preserve"> wprowadzono zmianę art. 125 ust. 2 Prawa pocztowego, mającą na celu ujednolicenie postępowania w</w:t>
      </w:r>
      <w:r w:rsidR="00B857FF">
        <w:rPr>
          <w:rFonts w:ascii="Times New Roman" w:hAnsi="Times New Roman" w:cs="Times New Roman"/>
          <w:szCs w:val="24"/>
        </w:rPr>
        <w:t xml:space="preserve"> </w:t>
      </w:r>
      <w:r w:rsidRPr="00931964">
        <w:rPr>
          <w:rFonts w:ascii="Times New Roman" w:hAnsi="Times New Roman" w:cs="Times New Roman"/>
          <w:szCs w:val="24"/>
        </w:rPr>
        <w:t>sytuacji stwierdzenia naruszenia przez operatora pocztowego przepisów Prawa pocztowego. W obecnym stanie prawnym Prezes UKE w sytuacji stwierdzenia naruszenia przepisów lub decyzji dotyczących działalności pocztowej jest obowiązany, na</w:t>
      </w:r>
      <w:r w:rsidR="00B857FF">
        <w:rPr>
          <w:rFonts w:ascii="Times New Roman" w:hAnsi="Times New Roman" w:cs="Times New Roman"/>
          <w:szCs w:val="24"/>
        </w:rPr>
        <w:t xml:space="preserve"> </w:t>
      </w:r>
      <w:r w:rsidRPr="00931964">
        <w:rPr>
          <w:rFonts w:ascii="Times New Roman" w:hAnsi="Times New Roman" w:cs="Times New Roman"/>
          <w:szCs w:val="24"/>
        </w:rPr>
        <w:t>podstawie art.</w:t>
      </w:r>
      <w:r w:rsidR="00B857FF">
        <w:rPr>
          <w:rFonts w:ascii="Times New Roman" w:hAnsi="Times New Roman" w:cs="Times New Roman"/>
          <w:szCs w:val="24"/>
        </w:rPr>
        <w:t xml:space="preserve"> </w:t>
      </w:r>
      <w:r w:rsidRPr="00931964">
        <w:rPr>
          <w:rFonts w:ascii="Times New Roman" w:hAnsi="Times New Roman" w:cs="Times New Roman"/>
          <w:szCs w:val="24"/>
        </w:rPr>
        <w:t xml:space="preserve">125 ust. 1, do wydania decyzji, w której określa zakres naruszeń oraz termin usunięcia nieprawidłowości oraz dodatkowo zaleceń pokontrolnych. Nowe brzmienie przepisu przewiduje odstępstwo od tej </w:t>
      </w:r>
      <w:r w:rsidRPr="00931964">
        <w:rPr>
          <w:rFonts w:ascii="Times New Roman" w:hAnsi="Times New Roman" w:cs="Times New Roman"/>
          <w:szCs w:val="24"/>
        </w:rPr>
        <w:lastRenderedPageBreak/>
        <w:t>reguły, dopuszczając wydanie przez Prezesa UKE zaleceń pokontrolnych w miejsce takiej decyzji (a nie obok takiej decyzji), w przypadku stwierdzenia naruszenia warunków wykonywania działalności pocztowej, którego charakter i skala nie zagrażają bezpieczeństwu obrotu pocztowego oraz istotnym interesom podmiotów korzystających z usług pocztowych lub operatorów pocztowych. Rozwiązanie takie zmniejszy obciążenie administracyjne i ryzyko związane z działalnością pocztową, jak również umożliwi bardziej elastyczne podejście organu regulacyjnego do operatorów pocztowych w przypadku naruszenia przez nich przepisów lub decyzji.</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2</w:t>
      </w:r>
      <w:r w:rsidR="003A210F" w:rsidRPr="00931964">
        <w:rPr>
          <w:rFonts w:ascii="Times New Roman" w:hAnsi="Times New Roman" w:cs="Times New Roman"/>
          <w:szCs w:val="24"/>
        </w:rPr>
        <w:t>5</w:t>
      </w:r>
      <w:r w:rsidRPr="00931964">
        <w:rPr>
          <w:rFonts w:ascii="Times New Roman" w:hAnsi="Times New Roman" w:cs="Times New Roman"/>
          <w:szCs w:val="24"/>
        </w:rPr>
        <w:t xml:space="preserve"> wprowadzona została zmiana art. 128 ust. 3 Prawa pocztowego. Zgodnie z obecnym brzmieniem tego przepisu, karę pieniężną nałożoną decyzją Prezesa UKE należy uiścić w</w:t>
      </w:r>
      <w:r w:rsidR="00B857FF">
        <w:rPr>
          <w:rFonts w:ascii="Times New Roman" w:hAnsi="Times New Roman" w:cs="Times New Roman"/>
          <w:szCs w:val="24"/>
        </w:rPr>
        <w:t xml:space="preserve"> </w:t>
      </w:r>
      <w:r w:rsidRPr="00931964">
        <w:rPr>
          <w:rFonts w:ascii="Times New Roman" w:hAnsi="Times New Roman" w:cs="Times New Roman"/>
          <w:szCs w:val="24"/>
        </w:rPr>
        <w:t>terminie 14 dni od dnia, w którym decyzja o wymierzeniu kary pieniężnej stała się ostateczna. Dla obowiązku uiszczenia wymierzonej kary pieniężnej bez znaczenia pozostawał więc fakt toczącego się postępowania sądowego, w ramach którego rozpatrywane mogło być odwołanie od decyzji, czy też apelacja od wyroku sądu ochrony konkurencji i konsumentów. Oznaczało to, że kara pieniężna musiała zostać zapłacona również w przypadku trwającej sądowej kontroli decyzji, która mogła doprowadzić do jej uchylenia. W</w:t>
      </w:r>
      <w:r w:rsidR="00B857FF">
        <w:rPr>
          <w:rFonts w:ascii="Times New Roman" w:hAnsi="Times New Roman" w:cs="Times New Roman"/>
          <w:szCs w:val="24"/>
        </w:rPr>
        <w:t xml:space="preserve"> </w:t>
      </w:r>
      <w:r w:rsidRPr="00931964">
        <w:rPr>
          <w:rFonts w:ascii="Times New Roman" w:hAnsi="Times New Roman" w:cs="Times New Roman"/>
          <w:szCs w:val="24"/>
        </w:rPr>
        <w:t>takiej sytuacji organ mógł zostać zobowiązany do zwrotu wpłaconej kary pieniężnej powiększonej o</w:t>
      </w:r>
      <w:r w:rsidR="00B857FF">
        <w:rPr>
          <w:rFonts w:ascii="Times New Roman" w:hAnsi="Times New Roman" w:cs="Times New Roman"/>
          <w:szCs w:val="24"/>
        </w:rPr>
        <w:t xml:space="preserve"> </w:t>
      </w:r>
      <w:r w:rsidRPr="00931964">
        <w:rPr>
          <w:rFonts w:ascii="Times New Roman" w:hAnsi="Times New Roman" w:cs="Times New Roman"/>
          <w:szCs w:val="24"/>
        </w:rPr>
        <w:t>stosowne odsetki. Wprowadzona zmiana zwiększy pewność obrotu prawnego i zmniejszy obciążenia spowodowane wpłatą i zwrotem kary w sytuacji uchylenia decyzji w postępowaniu sądowym.</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W pkt 2</w:t>
      </w:r>
      <w:r w:rsidR="003A210F" w:rsidRPr="00931964">
        <w:rPr>
          <w:rFonts w:ascii="Times New Roman" w:hAnsi="Times New Roman" w:cs="Times New Roman"/>
          <w:szCs w:val="24"/>
        </w:rPr>
        <w:t>6</w:t>
      </w:r>
      <w:r w:rsidRPr="00931964">
        <w:rPr>
          <w:rFonts w:ascii="Times New Roman" w:hAnsi="Times New Roman" w:cs="Times New Roman"/>
          <w:szCs w:val="24"/>
        </w:rPr>
        <w:t xml:space="preserve"> wprowadzono zmianę w art. 129 ust. 1 Prawa pocztowego polegającą na wydłużeniu okresu przedawnienia wymierzenia kary pieniężnej z 24 miesięcy do</w:t>
      </w:r>
      <w:r w:rsidR="00B857FF">
        <w:rPr>
          <w:rFonts w:ascii="Times New Roman" w:hAnsi="Times New Roman" w:cs="Times New Roman"/>
          <w:szCs w:val="24"/>
        </w:rPr>
        <w:t xml:space="preserve"> </w:t>
      </w:r>
      <w:r w:rsidRPr="00931964">
        <w:rPr>
          <w:rFonts w:ascii="Times New Roman" w:hAnsi="Times New Roman" w:cs="Times New Roman"/>
          <w:szCs w:val="24"/>
        </w:rPr>
        <w:t>5 lat, tak jak ma to miejsce w</w:t>
      </w:r>
      <w:r w:rsidR="00B857FF">
        <w:rPr>
          <w:rFonts w:ascii="Times New Roman" w:hAnsi="Times New Roman" w:cs="Times New Roman"/>
          <w:szCs w:val="24"/>
        </w:rPr>
        <w:t xml:space="preserve"> </w:t>
      </w:r>
      <w:r w:rsidRPr="00931964">
        <w:rPr>
          <w:rFonts w:ascii="Times New Roman" w:hAnsi="Times New Roman" w:cs="Times New Roman"/>
          <w:szCs w:val="24"/>
        </w:rPr>
        <w:t>przypadku ogólnego okresu przedawnienia kar pieniężnych określonego w</w:t>
      </w:r>
      <w:r w:rsidR="00B857FF">
        <w:rPr>
          <w:rFonts w:ascii="Times New Roman" w:hAnsi="Times New Roman" w:cs="Times New Roman"/>
          <w:szCs w:val="24"/>
        </w:rPr>
        <w:t xml:space="preserve"> </w:t>
      </w:r>
      <w:r w:rsidRPr="00931964">
        <w:rPr>
          <w:rFonts w:ascii="Times New Roman" w:hAnsi="Times New Roman" w:cs="Times New Roman"/>
          <w:szCs w:val="24"/>
        </w:rPr>
        <w:t>ustawie z dnia 14</w:t>
      </w:r>
      <w:r w:rsidR="00B857FF">
        <w:rPr>
          <w:rFonts w:ascii="Times New Roman" w:hAnsi="Times New Roman" w:cs="Times New Roman"/>
          <w:szCs w:val="24"/>
        </w:rPr>
        <w:t xml:space="preserve"> </w:t>
      </w:r>
      <w:r w:rsidRPr="00931964">
        <w:rPr>
          <w:rFonts w:ascii="Times New Roman" w:hAnsi="Times New Roman" w:cs="Times New Roman"/>
          <w:szCs w:val="24"/>
        </w:rPr>
        <w:t>czerwca 1960 r. – Kodeks postępowania administracyjnego (Dz. U. z</w:t>
      </w:r>
      <w:r w:rsidR="00B857FF">
        <w:rPr>
          <w:rFonts w:ascii="Times New Roman" w:hAnsi="Times New Roman" w:cs="Times New Roman"/>
          <w:szCs w:val="24"/>
        </w:rPr>
        <w:t xml:space="preserve"> </w:t>
      </w:r>
      <w:r w:rsidRPr="00931964">
        <w:rPr>
          <w:rFonts w:ascii="Times New Roman" w:hAnsi="Times New Roman" w:cs="Times New Roman"/>
          <w:szCs w:val="24"/>
        </w:rPr>
        <w:t>2021</w:t>
      </w:r>
      <w:r w:rsidR="00B857FF">
        <w:rPr>
          <w:rFonts w:ascii="Times New Roman" w:hAnsi="Times New Roman" w:cs="Times New Roman"/>
          <w:szCs w:val="24"/>
        </w:rPr>
        <w:t xml:space="preserve"> </w:t>
      </w:r>
      <w:r w:rsidRPr="00931964">
        <w:rPr>
          <w:rFonts w:ascii="Times New Roman" w:hAnsi="Times New Roman" w:cs="Times New Roman"/>
          <w:szCs w:val="24"/>
        </w:rPr>
        <w:t xml:space="preserve">r. poz. 735, z </w:t>
      </w:r>
      <w:proofErr w:type="spellStart"/>
      <w:r w:rsidRPr="00931964">
        <w:rPr>
          <w:rFonts w:ascii="Times New Roman" w:hAnsi="Times New Roman" w:cs="Times New Roman"/>
          <w:szCs w:val="24"/>
        </w:rPr>
        <w:t>późn</w:t>
      </w:r>
      <w:proofErr w:type="spellEnd"/>
      <w:r w:rsidRPr="00931964">
        <w:rPr>
          <w:rFonts w:ascii="Times New Roman" w:hAnsi="Times New Roman" w:cs="Times New Roman"/>
          <w:szCs w:val="24"/>
        </w:rPr>
        <w:t>. zm.). Obecny termin 24</w:t>
      </w:r>
      <w:r w:rsidR="00B857FF">
        <w:rPr>
          <w:rFonts w:ascii="Times New Roman" w:hAnsi="Times New Roman" w:cs="Times New Roman"/>
          <w:szCs w:val="24"/>
        </w:rPr>
        <w:t xml:space="preserve"> </w:t>
      </w:r>
      <w:r w:rsidRPr="00931964">
        <w:rPr>
          <w:rFonts w:ascii="Times New Roman" w:hAnsi="Times New Roman" w:cs="Times New Roman"/>
          <w:szCs w:val="24"/>
        </w:rPr>
        <w:t>miesięcy nie daje gwarancji przeprowadzenia w tym terminie każdego postępowania w sprawie wymierzenia kary, zwłaszcza jeśli postępowanie to jest poprzedzone innym postępowaniem (np. w sprawie wstrzymania wykonywania działalności pocztowej bez wymaganego wpisu do Rejestru Operatorów Pocztowych).</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lastRenderedPageBreak/>
        <w:t xml:space="preserve">Zgodnie z art. 2, </w:t>
      </w:r>
      <w:bookmarkStart w:id="2" w:name="_Hlk51829663"/>
      <w:r w:rsidRPr="00931964">
        <w:rPr>
          <w:rFonts w:ascii="Times New Roman" w:hAnsi="Times New Roman" w:cs="Times New Roman"/>
          <w:szCs w:val="24"/>
        </w:rPr>
        <w:t xml:space="preserve">do finansowania kosztu netto świadczenia usług powszechnych za </w:t>
      </w:r>
      <w:r w:rsidR="009C41EC" w:rsidRPr="00931964">
        <w:rPr>
          <w:rFonts w:ascii="Times New Roman" w:hAnsi="Times New Roman" w:cs="Times New Roman"/>
          <w:szCs w:val="24"/>
        </w:rPr>
        <w:br/>
      </w:r>
      <w:r w:rsidRPr="00931964">
        <w:rPr>
          <w:rFonts w:ascii="Times New Roman" w:hAnsi="Times New Roman" w:cs="Times New Roman"/>
          <w:szCs w:val="24"/>
        </w:rPr>
        <w:t xml:space="preserve">2021 </w:t>
      </w:r>
      <w:r w:rsidR="00E52EAF" w:rsidRPr="00931964">
        <w:rPr>
          <w:rFonts w:ascii="Times New Roman" w:hAnsi="Times New Roman" w:cs="Times New Roman"/>
          <w:szCs w:val="24"/>
        </w:rPr>
        <w:t xml:space="preserve">r. </w:t>
      </w:r>
      <w:r w:rsidRPr="00931964">
        <w:rPr>
          <w:rFonts w:ascii="Times New Roman" w:hAnsi="Times New Roman" w:cs="Times New Roman"/>
          <w:szCs w:val="24"/>
        </w:rPr>
        <w:t xml:space="preserve">będą stosowane przepisy </w:t>
      </w:r>
      <w:r w:rsidR="001750E6" w:rsidRPr="00931964">
        <w:rPr>
          <w:rFonts w:ascii="Times New Roman" w:hAnsi="Times New Roman" w:cs="Times New Roman"/>
          <w:szCs w:val="24"/>
        </w:rPr>
        <w:t>r</w:t>
      </w:r>
      <w:r w:rsidRPr="00931964">
        <w:rPr>
          <w:rFonts w:ascii="Times New Roman" w:hAnsi="Times New Roman" w:cs="Times New Roman"/>
          <w:szCs w:val="24"/>
        </w:rPr>
        <w:t>ozdziału 10 Prawa pocztowego w brzmieniu nadanym projektowaną ustawą.</w:t>
      </w:r>
      <w:bookmarkEnd w:id="2"/>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Zgodnie z art. 3, do realizacji obowiązku sprawozdawczego, o którym mowa w art. 43 Prawa pocztowego, za rok 2022</w:t>
      </w:r>
      <w:r w:rsidR="001750E6" w:rsidRPr="00931964">
        <w:rPr>
          <w:rFonts w:ascii="Times New Roman" w:hAnsi="Times New Roman" w:cs="Times New Roman"/>
          <w:szCs w:val="24"/>
        </w:rPr>
        <w:t>, stosowane będą przepisy nowelizowanej ustawy w dotychczasowym brzmieniu</w:t>
      </w:r>
      <w:r w:rsidRPr="00931964">
        <w:rPr>
          <w:rFonts w:ascii="Times New Roman" w:hAnsi="Times New Roman" w:cs="Times New Roman"/>
          <w:szCs w:val="24"/>
        </w:rPr>
        <w:t xml:space="preserve">. Wejście w życie zmienionych przepisów </w:t>
      </w:r>
      <w:r w:rsidR="001750E6" w:rsidRPr="00931964">
        <w:rPr>
          <w:rFonts w:ascii="Times New Roman" w:hAnsi="Times New Roman" w:cs="Times New Roman"/>
          <w:szCs w:val="24"/>
        </w:rPr>
        <w:t xml:space="preserve">przed terminem złożenia przez operatorów pocztowych </w:t>
      </w:r>
      <w:r w:rsidR="00E52D27" w:rsidRPr="00931964">
        <w:rPr>
          <w:rFonts w:ascii="Times New Roman" w:hAnsi="Times New Roman" w:cs="Times New Roman"/>
          <w:szCs w:val="24"/>
        </w:rPr>
        <w:t>sprawozdania z działalności pocztowej w 2022 r., tj. 31 marca 2023 r.,</w:t>
      </w:r>
      <w:r w:rsidRPr="00931964">
        <w:rPr>
          <w:rFonts w:ascii="Times New Roman" w:hAnsi="Times New Roman" w:cs="Times New Roman"/>
          <w:szCs w:val="24"/>
        </w:rPr>
        <w:t xml:space="preserve"> może powodować istotne wątpliwości, jak </w:t>
      </w:r>
      <w:r w:rsidR="00E52D27" w:rsidRPr="00931964">
        <w:rPr>
          <w:rFonts w:ascii="Times New Roman" w:hAnsi="Times New Roman" w:cs="Times New Roman"/>
          <w:szCs w:val="24"/>
        </w:rPr>
        <w:t xml:space="preserve">operatorzy pocztowi powinni </w:t>
      </w:r>
      <w:r w:rsidRPr="00931964">
        <w:rPr>
          <w:rFonts w:ascii="Times New Roman" w:hAnsi="Times New Roman" w:cs="Times New Roman"/>
          <w:szCs w:val="24"/>
        </w:rPr>
        <w:t xml:space="preserve">kwalifikować </w:t>
      </w:r>
      <w:r w:rsidR="00E52D27" w:rsidRPr="00931964">
        <w:rPr>
          <w:rFonts w:ascii="Times New Roman" w:hAnsi="Times New Roman" w:cs="Times New Roman"/>
          <w:szCs w:val="24"/>
        </w:rPr>
        <w:t xml:space="preserve">np. paczki pocztowe, </w:t>
      </w:r>
      <w:r w:rsidRPr="00931964">
        <w:rPr>
          <w:rFonts w:ascii="Times New Roman" w:hAnsi="Times New Roman" w:cs="Times New Roman"/>
          <w:szCs w:val="24"/>
        </w:rPr>
        <w:t>usługi zrealizowane jako usługi dotyczące przesyłek kurierskich, usługi wchodzące w zakres usług powszechnych lub inne usługi pocztowe</w:t>
      </w:r>
      <w:r w:rsidR="00AD3968" w:rsidRPr="00931964">
        <w:rPr>
          <w:rFonts w:ascii="Times New Roman" w:hAnsi="Times New Roman" w:cs="Times New Roman"/>
          <w:szCs w:val="24"/>
        </w:rPr>
        <w:t>, a co za tym idzie –</w:t>
      </w:r>
      <w:r w:rsidRPr="00931964">
        <w:rPr>
          <w:rFonts w:ascii="Times New Roman" w:hAnsi="Times New Roman" w:cs="Times New Roman"/>
          <w:szCs w:val="24"/>
        </w:rPr>
        <w:t>utrudnia</w:t>
      </w:r>
      <w:r w:rsidR="00AD3968" w:rsidRPr="00931964">
        <w:rPr>
          <w:rFonts w:ascii="Times New Roman" w:hAnsi="Times New Roman" w:cs="Times New Roman"/>
          <w:szCs w:val="24"/>
        </w:rPr>
        <w:t>ć</w:t>
      </w:r>
      <w:r w:rsidRPr="00931964">
        <w:rPr>
          <w:rFonts w:ascii="Times New Roman" w:hAnsi="Times New Roman" w:cs="Times New Roman"/>
          <w:szCs w:val="24"/>
        </w:rPr>
        <w:t xml:space="preserve"> rzetelną realizację obowiązku sprawozdawczego przez operatorów pocztowych.</w:t>
      </w:r>
    </w:p>
    <w:p w:rsidR="00345A47" w:rsidRPr="00931964" w:rsidRDefault="00345A47" w:rsidP="00887D41">
      <w:pPr>
        <w:pStyle w:val="ARTartustawynprozporzdzenia"/>
        <w:rPr>
          <w:rFonts w:ascii="Times New Roman" w:hAnsi="Times New Roman" w:cs="Times New Roman"/>
          <w:szCs w:val="24"/>
        </w:rPr>
      </w:pPr>
      <w:r w:rsidRPr="00931964">
        <w:rPr>
          <w:rFonts w:ascii="Times New Roman" w:hAnsi="Times New Roman" w:cs="Times New Roman"/>
          <w:szCs w:val="24"/>
        </w:rPr>
        <w:t>W art. 4</w:t>
      </w:r>
      <w:r w:rsidR="00887D41" w:rsidRPr="00931964">
        <w:rPr>
          <w:rFonts w:ascii="Times New Roman" w:hAnsi="Times New Roman" w:cs="Times New Roman"/>
          <w:szCs w:val="24"/>
        </w:rPr>
        <w:t xml:space="preserve"> wskazano, że dotychczasowe przepisy wykonawcze wydane na podstawie art. 120 ustawy zmienianej w art. 1, zachowują moc do dnia wejścia w życie przepisów wykonawczych wydanych na podstawie art. 120 ustawy zmienianej w art. 1, w brzmieniu nadanym niniejszą ustawą, nie dłużej jednak niż przez okres 4 miesięcy od dnia jej wejścia w życie. Przepis ten umożliwi ministrowi właściwemu do spraw łączności wydanie rozporządzenia, </w:t>
      </w:r>
      <w:r w:rsidR="00E52D27" w:rsidRPr="00931964">
        <w:rPr>
          <w:rFonts w:ascii="Times New Roman" w:hAnsi="Times New Roman" w:cs="Times New Roman"/>
          <w:szCs w:val="24"/>
        </w:rPr>
        <w:t>które zastąpi</w:t>
      </w:r>
      <w:r w:rsidR="00887D41" w:rsidRPr="00931964">
        <w:rPr>
          <w:rFonts w:ascii="Times New Roman" w:hAnsi="Times New Roman" w:cs="Times New Roman"/>
          <w:szCs w:val="24"/>
        </w:rPr>
        <w:t xml:space="preserve"> obecnie obowiązujące </w:t>
      </w:r>
      <w:r w:rsidR="004C1276" w:rsidRPr="00931964">
        <w:rPr>
          <w:rFonts w:ascii="Times New Roman" w:hAnsi="Times New Roman" w:cs="Times New Roman"/>
          <w:szCs w:val="24"/>
        </w:rPr>
        <w:t>r</w:t>
      </w:r>
      <w:r w:rsidR="00887D41" w:rsidRPr="00931964">
        <w:rPr>
          <w:rFonts w:ascii="Times New Roman" w:hAnsi="Times New Roman" w:cs="Times New Roman"/>
          <w:szCs w:val="24"/>
        </w:rPr>
        <w:t>ozporządzenie Ministra Administracji i Cyfryzacji z dnia 30 kwietnia 2013 r. w sprawie kalkulacji kosztu netto obowiązku świadczenia usług powszechnych (Dz.</w:t>
      </w:r>
      <w:r w:rsidR="00971644">
        <w:rPr>
          <w:rFonts w:ascii="Times New Roman" w:hAnsi="Times New Roman" w:cs="Times New Roman"/>
          <w:szCs w:val="24"/>
        </w:rPr>
        <w:t xml:space="preserve"> </w:t>
      </w:r>
      <w:r w:rsidR="00887D41" w:rsidRPr="00931964">
        <w:rPr>
          <w:rFonts w:ascii="Times New Roman" w:hAnsi="Times New Roman" w:cs="Times New Roman"/>
          <w:szCs w:val="24"/>
        </w:rPr>
        <w:t>U. z 2018 r. poz. 978).</w:t>
      </w:r>
    </w:p>
    <w:p w:rsidR="00957FC8"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W art. </w:t>
      </w:r>
      <w:r w:rsidR="006B75CB" w:rsidRPr="00931964">
        <w:rPr>
          <w:rFonts w:ascii="Times New Roman" w:hAnsi="Times New Roman" w:cs="Times New Roman"/>
          <w:szCs w:val="24"/>
        </w:rPr>
        <w:t>5</w:t>
      </w:r>
      <w:r w:rsidRPr="00931964">
        <w:rPr>
          <w:rFonts w:ascii="Times New Roman" w:hAnsi="Times New Roman" w:cs="Times New Roman"/>
          <w:szCs w:val="24"/>
        </w:rPr>
        <w:t xml:space="preserve"> ust. 1, zgodnie </w:t>
      </w:r>
      <w:r w:rsidR="00B57567" w:rsidRPr="00931964">
        <w:rPr>
          <w:rFonts w:ascii="Times New Roman" w:hAnsi="Times New Roman" w:cs="Times New Roman"/>
          <w:szCs w:val="24"/>
        </w:rPr>
        <w:t xml:space="preserve">z </w:t>
      </w:r>
      <w:r w:rsidRPr="00931964">
        <w:rPr>
          <w:rFonts w:ascii="Times New Roman" w:hAnsi="Times New Roman" w:cs="Times New Roman"/>
          <w:szCs w:val="24"/>
        </w:rPr>
        <w:t xml:space="preserve">art. 50 ust. 1a ustawy </w:t>
      </w:r>
      <w:r w:rsidR="00580464" w:rsidRPr="00931964">
        <w:rPr>
          <w:rFonts w:ascii="Times New Roman" w:hAnsi="Times New Roman" w:cs="Times New Roman"/>
          <w:szCs w:val="24"/>
        </w:rPr>
        <w:t xml:space="preserve">z dnia 27 sierpnia 2009 r. </w:t>
      </w:r>
      <w:r w:rsidRPr="00931964">
        <w:rPr>
          <w:rFonts w:ascii="Times New Roman" w:hAnsi="Times New Roman" w:cs="Times New Roman"/>
          <w:szCs w:val="24"/>
        </w:rPr>
        <w:t>o finansach publicznych, wskazano skutki finansowe dla budżetu państwa wynikające z rezygnacji z</w:t>
      </w:r>
      <w:r w:rsidR="00B857FF">
        <w:rPr>
          <w:rFonts w:ascii="Times New Roman" w:hAnsi="Times New Roman" w:cs="Times New Roman"/>
          <w:szCs w:val="24"/>
        </w:rPr>
        <w:t xml:space="preserve"> </w:t>
      </w:r>
      <w:r w:rsidRPr="00931964">
        <w:rPr>
          <w:rFonts w:ascii="Times New Roman" w:hAnsi="Times New Roman" w:cs="Times New Roman"/>
          <w:szCs w:val="24"/>
        </w:rPr>
        <w:t>finansowania kosztu netto z udziałów operatorów pocztowych objętych obowiązkiem udziału w dopłacie w perspektywie 10 lat, poczynając od 2022 r.</w:t>
      </w:r>
      <w:r w:rsidR="00971644">
        <w:rPr>
          <w:rFonts w:ascii="Times New Roman" w:hAnsi="Times New Roman" w:cs="Times New Roman"/>
          <w:szCs w:val="24"/>
        </w:rPr>
        <w:t>,</w:t>
      </w:r>
      <w:r w:rsidRPr="00931964">
        <w:rPr>
          <w:rFonts w:ascii="Times New Roman" w:hAnsi="Times New Roman" w:cs="Times New Roman"/>
          <w:szCs w:val="24"/>
        </w:rPr>
        <w:t xml:space="preserve"> </w:t>
      </w:r>
      <w:r w:rsidR="00E52D27" w:rsidRPr="00931964">
        <w:rPr>
          <w:rFonts w:ascii="Times New Roman" w:hAnsi="Times New Roman" w:cs="Times New Roman"/>
          <w:szCs w:val="24"/>
        </w:rPr>
        <w:t xml:space="preserve">i </w:t>
      </w:r>
      <w:r w:rsidRPr="00931964">
        <w:rPr>
          <w:rFonts w:ascii="Times New Roman" w:hAnsi="Times New Roman" w:cs="Times New Roman"/>
          <w:szCs w:val="24"/>
        </w:rPr>
        <w:t xml:space="preserve">określono maksymalny limit </w:t>
      </w:r>
      <w:r w:rsidR="00390D3F" w:rsidRPr="00931964">
        <w:rPr>
          <w:rFonts w:ascii="Times New Roman" w:hAnsi="Times New Roman" w:cs="Times New Roman"/>
          <w:szCs w:val="24"/>
        </w:rPr>
        <w:t xml:space="preserve">wydatków </w:t>
      </w:r>
      <w:r w:rsidRPr="00931964">
        <w:rPr>
          <w:rFonts w:ascii="Times New Roman" w:hAnsi="Times New Roman" w:cs="Times New Roman"/>
          <w:szCs w:val="24"/>
        </w:rPr>
        <w:t>budżetu państwa na finansowanie kosztu netto obowiązku świadczenia usług powszechnych</w:t>
      </w:r>
      <w:r w:rsidR="00390D3F" w:rsidRPr="00931964">
        <w:rPr>
          <w:rFonts w:ascii="Times New Roman" w:hAnsi="Times New Roman" w:cs="Times New Roman"/>
          <w:szCs w:val="24"/>
        </w:rPr>
        <w:t xml:space="preserve"> w poszczególnych latach</w:t>
      </w:r>
      <w:r w:rsidRPr="00931964">
        <w:rPr>
          <w:rFonts w:ascii="Times New Roman" w:hAnsi="Times New Roman" w:cs="Times New Roman"/>
          <w:szCs w:val="24"/>
        </w:rPr>
        <w:t>.</w:t>
      </w:r>
      <w:r w:rsidR="004A184B" w:rsidRPr="00931964">
        <w:rPr>
          <w:rFonts w:ascii="Times New Roman" w:hAnsi="Times New Roman" w:cs="Times New Roman"/>
          <w:szCs w:val="24"/>
        </w:rPr>
        <w:t xml:space="preserve"> </w:t>
      </w:r>
      <w:r w:rsidR="00BC4F38" w:rsidRPr="00931964">
        <w:rPr>
          <w:rFonts w:ascii="Times New Roman" w:hAnsi="Times New Roman" w:cs="Times New Roman"/>
          <w:szCs w:val="24"/>
        </w:rPr>
        <w:t>Biorąc pod uwagę wynikające z art. 112 Prawa pocztowego terminy składania przez operatora wyznaczonego wniosku o uruchomienie finansowania kosztu netto, uprawomocnienia decyzji, w której Prezes</w:t>
      </w:r>
      <w:r w:rsidR="00BC4F38" w:rsidRPr="00931964">
        <w:rPr>
          <w:rFonts w:ascii="Times New Roman" w:hAnsi="Times New Roman" w:cs="Times New Roman"/>
          <w:szCs w:val="24"/>
        </w:rPr>
        <w:tab/>
        <w:t xml:space="preserve"> UKE ustala kwotę należnego </w:t>
      </w:r>
      <w:r w:rsidR="00BC4F38" w:rsidRPr="00931964">
        <w:rPr>
          <w:rFonts w:ascii="Times New Roman" w:hAnsi="Times New Roman" w:cs="Times New Roman"/>
          <w:szCs w:val="24"/>
        </w:rPr>
        <w:lastRenderedPageBreak/>
        <w:t>finansowania kosztu netto oraz konieczność notyfikacji Komisji Europejskiej finansowania udzielanego Poczcie Polskiej S.A., przewiduje się, że koszt netto występujący w danym roku (n) staje się wydatkiem budżetu państwa dwa lata później (n+2).</w:t>
      </w:r>
      <w:r w:rsidR="00957FC8" w:rsidRPr="00931964">
        <w:rPr>
          <w:rFonts w:ascii="Times New Roman" w:hAnsi="Times New Roman" w:cs="Times New Roman"/>
          <w:szCs w:val="24"/>
        </w:rPr>
        <w:t xml:space="preserve"> </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W ust. </w:t>
      </w:r>
      <w:r w:rsidR="004A184B" w:rsidRPr="00931964">
        <w:rPr>
          <w:rFonts w:ascii="Times New Roman" w:hAnsi="Times New Roman" w:cs="Times New Roman"/>
          <w:szCs w:val="24"/>
        </w:rPr>
        <w:t>2</w:t>
      </w:r>
      <w:r w:rsidRPr="00931964">
        <w:rPr>
          <w:rFonts w:ascii="Times New Roman" w:hAnsi="Times New Roman" w:cs="Times New Roman"/>
          <w:szCs w:val="24"/>
        </w:rPr>
        <w:t xml:space="preserve"> </w:t>
      </w:r>
      <w:r w:rsidR="00E52D27" w:rsidRPr="00931964">
        <w:rPr>
          <w:rFonts w:ascii="Times New Roman" w:hAnsi="Times New Roman" w:cs="Times New Roman"/>
          <w:szCs w:val="24"/>
        </w:rPr>
        <w:t xml:space="preserve">i 3 </w:t>
      </w:r>
      <w:r w:rsidRPr="00931964">
        <w:rPr>
          <w:rFonts w:ascii="Times New Roman" w:hAnsi="Times New Roman" w:cs="Times New Roman"/>
          <w:szCs w:val="24"/>
        </w:rPr>
        <w:t xml:space="preserve">wskazano, że minister właściwy do spraw łączności monitoruje wykorzystanie limitu budżetu państwa na finansowanie kosztu netto obowiązku świadczenia usług powszechnych, określonego w ust. </w:t>
      </w:r>
      <w:r w:rsidR="004A184B" w:rsidRPr="00931964">
        <w:rPr>
          <w:rFonts w:ascii="Times New Roman" w:hAnsi="Times New Roman" w:cs="Times New Roman"/>
          <w:szCs w:val="24"/>
        </w:rPr>
        <w:t>1</w:t>
      </w:r>
      <w:r w:rsidR="00E52D27" w:rsidRPr="00931964">
        <w:rPr>
          <w:rFonts w:ascii="Times New Roman" w:hAnsi="Times New Roman" w:cs="Times New Roman"/>
          <w:szCs w:val="24"/>
        </w:rPr>
        <w:t>, a w przypadku przekroczenia lub zagrożenia przekroczeniem limitu przyjętego na dany rok budżetowy, informuje o tym ryzyku Prezesa Urzędu Komunikacji Elektronicznej</w:t>
      </w:r>
      <w:r w:rsidRPr="00931964">
        <w:rPr>
          <w:rFonts w:ascii="Times New Roman" w:hAnsi="Times New Roman" w:cs="Times New Roman"/>
          <w:szCs w:val="24"/>
        </w:rPr>
        <w:t xml:space="preserve">. W ust. </w:t>
      </w:r>
      <w:r w:rsidR="00E52D27" w:rsidRPr="00931964">
        <w:rPr>
          <w:rFonts w:ascii="Times New Roman" w:hAnsi="Times New Roman" w:cs="Times New Roman"/>
          <w:szCs w:val="24"/>
        </w:rPr>
        <w:t>4</w:t>
      </w:r>
      <w:r w:rsidRPr="00931964">
        <w:rPr>
          <w:rFonts w:ascii="Times New Roman" w:hAnsi="Times New Roman" w:cs="Times New Roman"/>
          <w:szCs w:val="24"/>
        </w:rPr>
        <w:t xml:space="preserve"> </w:t>
      </w:r>
      <w:r w:rsidR="00E52D27" w:rsidRPr="00931964">
        <w:rPr>
          <w:rFonts w:ascii="Times New Roman" w:hAnsi="Times New Roman" w:cs="Times New Roman"/>
          <w:szCs w:val="24"/>
        </w:rPr>
        <w:t xml:space="preserve">Prezes UKE </w:t>
      </w:r>
      <w:r w:rsidRPr="00931964">
        <w:rPr>
          <w:rFonts w:ascii="Times New Roman" w:hAnsi="Times New Roman" w:cs="Times New Roman"/>
          <w:szCs w:val="24"/>
        </w:rPr>
        <w:t>został wskazany jako organ odpowiedzialny za wdrożenie mechanizmu korygującego</w:t>
      </w:r>
      <w:r w:rsidRPr="00931964" w:rsidDel="00F70CD9">
        <w:rPr>
          <w:rFonts w:ascii="Times New Roman" w:hAnsi="Times New Roman" w:cs="Times New Roman"/>
          <w:szCs w:val="24"/>
        </w:rPr>
        <w:t xml:space="preserve"> </w:t>
      </w:r>
      <w:r w:rsidRPr="00931964">
        <w:rPr>
          <w:rFonts w:ascii="Times New Roman" w:hAnsi="Times New Roman" w:cs="Times New Roman"/>
          <w:szCs w:val="24"/>
        </w:rPr>
        <w:t>w przypadku przekroczenia lub zagrożenia przekroczenia maksymalnego limitu budżetu państwa przeznaczonego na finansowanie kosztu netto obowiązku świadczenia usług powszechnych. Mechanizm korygujący będzie polegał na podjęciu</w:t>
      </w:r>
      <w:r w:rsidR="004A184B" w:rsidRPr="00931964">
        <w:rPr>
          <w:rFonts w:ascii="Times New Roman" w:hAnsi="Times New Roman" w:cs="Times New Roman"/>
          <w:szCs w:val="24"/>
        </w:rPr>
        <w:t xml:space="preserve"> odpowiednich działań regulacyjnych</w:t>
      </w:r>
      <w:r w:rsidRPr="00931964">
        <w:rPr>
          <w:rFonts w:ascii="Times New Roman" w:hAnsi="Times New Roman" w:cs="Times New Roman"/>
          <w:szCs w:val="24"/>
        </w:rPr>
        <w:t xml:space="preserve"> przez Prezesa UKE, któremu minister właściwy do spraw łączności, zgodnie z art. 110 ust. 2 Prawa pocztowego, przekazuje informację o prognozowanej przez operatora wyznaczonego wysokości kosztu netto i straty w następnym roku na usługach powszechnych. Działania mające na celu uniknięcie prognozowanej przez operatora wyznaczonego straty na usługach powszechnych lub ograniczenie jej poziomu, do których upoważniony jest Prezes UKE, obejmują w szczególności uprawnienia wynikające z art. 51 (ustanowienie w drodze decyzji określonego odstępstwa od obowiązku świadczenia usług powszechnych). Zaproponowany mechanizm korygujący odpowiada działaniom przewidzianym w art. 50 ust. 4 ustawy z dnia 27 sierpnia 2009 r. o finansach publicznych.</w:t>
      </w:r>
    </w:p>
    <w:p w:rsidR="00B03A16" w:rsidRPr="00931964" w:rsidRDefault="00B03A16" w:rsidP="001A0930">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W art. </w:t>
      </w:r>
      <w:r w:rsidR="006B75CB" w:rsidRPr="00931964">
        <w:rPr>
          <w:rFonts w:ascii="Times New Roman" w:hAnsi="Times New Roman" w:cs="Times New Roman"/>
          <w:szCs w:val="24"/>
        </w:rPr>
        <w:t>6</w:t>
      </w:r>
      <w:r w:rsidRPr="00931964">
        <w:rPr>
          <w:rFonts w:ascii="Times New Roman" w:hAnsi="Times New Roman" w:cs="Times New Roman"/>
          <w:szCs w:val="24"/>
        </w:rPr>
        <w:t xml:space="preserve"> wskazano, że projektowane przepisy wejdą w życie po upływie 30 dni od dnia ich ogłoszenia.</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 xml:space="preserve">Projekt ustawy wymaga zgłoszenia Komisji Europejskiej zamiaru przyznania lub zmiany pomocy w celu oceny, czy plan jest zgodny z przepisami art. 106 ust. 2 Traktatu </w:t>
      </w:r>
      <w:r w:rsidRPr="00931964">
        <w:rPr>
          <w:rFonts w:ascii="Times New Roman" w:hAnsi="Times New Roman" w:cs="Times New Roman"/>
          <w:szCs w:val="24"/>
        </w:rPr>
        <w:br/>
        <w:t>o funkcjonowaniu Unii Europejskiej dotyczącymi pomocy publicznej.</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lastRenderedPageBreak/>
        <w:t xml:space="preserve">Zgodnie z art. 5 i </w:t>
      </w:r>
      <w:r w:rsidR="00580464" w:rsidRPr="00931964">
        <w:rPr>
          <w:rFonts w:ascii="Times New Roman" w:hAnsi="Times New Roman" w:cs="Times New Roman"/>
          <w:szCs w:val="24"/>
        </w:rPr>
        <w:t xml:space="preserve">art. </w:t>
      </w:r>
      <w:r w:rsidRPr="00931964">
        <w:rPr>
          <w:rFonts w:ascii="Times New Roman" w:hAnsi="Times New Roman" w:cs="Times New Roman"/>
          <w:szCs w:val="24"/>
        </w:rPr>
        <w:t>6 ustawy z dnia 7 lipca 2005 r. o działalności lobbingowej w procesie stanowienia prawa (Dz. U. z 2017 r. poz. 248) projekt ustawy został udostępniony na stronach urzędowego informatora teleinformatycznego – Biuletynu Informacji Publicznej.</w:t>
      </w:r>
    </w:p>
    <w:p w:rsidR="00B03A16" w:rsidRPr="00931964" w:rsidRDefault="00B03A16" w:rsidP="00B03A16">
      <w:pPr>
        <w:pStyle w:val="ARTartustawynprozporzdzenia"/>
        <w:rPr>
          <w:rFonts w:ascii="Times New Roman" w:hAnsi="Times New Roman" w:cs="Times New Roman"/>
          <w:szCs w:val="24"/>
        </w:rPr>
      </w:pPr>
      <w:r w:rsidRPr="00931964">
        <w:rPr>
          <w:rFonts w:ascii="Times New Roman" w:hAnsi="Times New Roman" w:cs="Times New Roman"/>
          <w:szCs w:val="24"/>
        </w:rPr>
        <w:t>Projekt ustawy nie zawiera przepisów technicznych, a zatem nie podlega notyfikacji zgodnie z trybem przewidzianym w rozporządzeniu Rady Ministrów z dnia 23</w:t>
      </w:r>
      <w:r w:rsidR="00B857FF">
        <w:rPr>
          <w:rFonts w:ascii="Times New Roman" w:hAnsi="Times New Roman" w:cs="Times New Roman"/>
          <w:szCs w:val="24"/>
        </w:rPr>
        <w:t xml:space="preserve"> </w:t>
      </w:r>
      <w:r w:rsidRPr="00931964">
        <w:rPr>
          <w:rFonts w:ascii="Times New Roman" w:hAnsi="Times New Roman" w:cs="Times New Roman"/>
          <w:szCs w:val="24"/>
        </w:rPr>
        <w:t>grudnia 2002 r. w sprawie sposobu funkcjonowania krajowego systemu notyfikacji norm i</w:t>
      </w:r>
      <w:r w:rsidR="00B857FF">
        <w:rPr>
          <w:rFonts w:ascii="Times New Roman" w:hAnsi="Times New Roman" w:cs="Times New Roman"/>
          <w:szCs w:val="24"/>
        </w:rPr>
        <w:t xml:space="preserve"> </w:t>
      </w:r>
      <w:r w:rsidRPr="00931964">
        <w:rPr>
          <w:rFonts w:ascii="Times New Roman" w:hAnsi="Times New Roman" w:cs="Times New Roman"/>
          <w:szCs w:val="24"/>
        </w:rPr>
        <w:t xml:space="preserve">aktów prawnych (Dz. U. poz. 2039, z </w:t>
      </w:r>
      <w:proofErr w:type="spellStart"/>
      <w:r w:rsidRPr="00931964">
        <w:rPr>
          <w:rFonts w:ascii="Times New Roman" w:hAnsi="Times New Roman" w:cs="Times New Roman"/>
          <w:szCs w:val="24"/>
        </w:rPr>
        <w:t>późn</w:t>
      </w:r>
      <w:proofErr w:type="spellEnd"/>
      <w:r w:rsidRPr="00931964">
        <w:rPr>
          <w:rFonts w:ascii="Times New Roman" w:hAnsi="Times New Roman" w:cs="Times New Roman"/>
          <w:szCs w:val="24"/>
        </w:rPr>
        <w:t>. zm.).</w:t>
      </w:r>
    </w:p>
    <w:p w:rsidR="00B03A16" w:rsidRPr="00931964" w:rsidRDefault="00B03A16" w:rsidP="00B03A16">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Stosownie do § 52 ust. 1 uchwały nr 190 Rady Ministrów z dnia 29 października 2013 r. – Regulamin pracy Rady Ministrów (M.P. z 20</w:t>
      </w:r>
      <w:r w:rsidR="006C0E14" w:rsidRPr="00931964">
        <w:rPr>
          <w:rFonts w:ascii="Times New Roman" w:hAnsi="Times New Roman" w:cs="Times New Roman"/>
          <w:szCs w:val="24"/>
        </w:rPr>
        <w:t>22</w:t>
      </w:r>
      <w:r w:rsidRPr="00931964">
        <w:rPr>
          <w:rFonts w:ascii="Times New Roman" w:hAnsi="Times New Roman" w:cs="Times New Roman"/>
          <w:szCs w:val="24"/>
        </w:rPr>
        <w:t xml:space="preserve"> r. poz. </w:t>
      </w:r>
      <w:r w:rsidR="006C0E14" w:rsidRPr="00931964">
        <w:rPr>
          <w:rFonts w:ascii="Times New Roman" w:hAnsi="Times New Roman" w:cs="Times New Roman"/>
          <w:szCs w:val="24"/>
        </w:rPr>
        <w:t>348</w:t>
      </w:r>
      <w:r w:rsidRPr="00931964">
        <w:rPr>
          <w:rFonts w:ascii="Times New Roman" w:hAnsi="Times New Roman" w:cs="Times New Roman"/>
          <w:szCs w:val="24"/>
        </w:rPr>
        <w:t>) projekt ustawy został udostępniony w</w:t>
      </w:r>
      <w:r w:rsidR="00B857FF">
        <w:rPr>
          <w:rFonts w:ascii="Times New Roman" w:hAnsi="Times New Roman" w:cs="Times New Roman"/>
          <w:szCs w:val="24"/>
        </w:rPr>
        <w:t xml:space="preserve"> </w:t>
      </w:r>
      <w:r w:rsidRPr="00931964">
        <w:rPr>
          <w:rFonts w:ascii="Times New Roman" w:hAnsi="Times New Roman" w:cs="Times New Roman"/>
          <w:szCs w:val="24"/>
        </w:rPr>
        <w:t>Biuletynie Informacji Publicznej na stronie podmiotowej Rządowego Centrum Legislacji w</w:t>
      </w:r>
      <w:r w:rsidR="00B857FF">
        <w:rPr>
          <w:rFonts w:ascii="Times New Roman" w:hAnsi="Times New Roman" w:cs="Times New Roman"/>
          <w:szCs w:val="24"/>
        </w:rPr>
        <w:t xml:space="preserve"> </w:t>
      </w:r>
      <w:r w:rsidRPr="00931964">
        <w:rPr>
          <w:rFonts w:ascii="Times New Roman" w:hAnsi="Times New Roman" w:cs="Times New Roman"/>
          <w:szCs w:val="24"/>
        </w:rPr>
        <w:t>serwisie Rządowy Proces Legislacyjny z</w:t>
      </w:r>
      <w:r w:rsidR="00B857FF">
        <w:rPr>
          <w:rFonts w:ascii="Times New Roman" w:hAnsi="Times New Roman" w:cs="Times New Roman"/>
          <w:szCs w:val="24"/>
        </w:rPr>
        <w:t xml:space="preserve"> </w:t>
      </w:r>
      <w:r w:rsidRPr="00931964">
        <w:rPr>
          <w:rFonts w:ascii="Times New Roman" w:hAnsi="Times New Roman" w:cs="Times New Roman"/>
          <w:szCs w:val="24"/>
        </w:rPr>
        <w:t>dniem skierowania projektu do uzgodnień i</w:t>
      </w:r>
      <w:r w:rsidR="00B857FF">
        <w:rPr>
          <w:rFonts w:ascii="Times New Roman" w:hAnsi="Times New Roman" w:cs="Times New Roman"/>
          <w:szCs w:val="24"/>
        </w:rPr>
        <w:t xml:space="preserve"> </w:t>
      </w:r>
      <w:r w:rsidRPr="00931964">
        <w:rPr>
          <w:rFonts w:ascii="Times New Roman" w:hAnsi="Times New Roman" w:cs="Times New Roman"/>
          <w:szCs w:val="24"/>
        </w:rPr>
        <w:t xml:space="preserve">konsultacji publicznych. </w:t>
      </w:r>
    </w:p>
    <w:p w:rsidR="00B03A16" w:rsidRPr="00931964" w:rsidRDefault="00B03A16" w:rsidP="009A0E1E">
      <w:pPr>
        <w:pStyle w:val="NIEARTTEKSTtekstnieartykuowanynppodstprawnarozplubpreambua"/>
        <w:rPr>
          <w:rFonts w:ascii="Times New Roman" w:hAnsi="Times New Roman" w:cs="Times New Roman"/>
          <w:szCs w:val="24"/>
        </w:rPr>
      </w:pPr>
      <w:r w:rsidRPr="00931964">
        <w:rPr>
          <w:rFonts w:ascii="Times New Roman" w:hAnsi="Times New Roman" w:cs="Times New Roman"/>
          <w:szCs w:val="24"/>
        </w:rPr>
        <w:t>Projekt ustawy nie jest sprzeczny z prawem Unii Europejskiej.</w:t>
      </w:r>
    </w:p>
    <w:sectPr w:rsidR="00B03A16" w:rsidRPr="00931964" w:rsidSect="00D43E1C">
      <w:headerReference w:type="default" r:id="rId9"/>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89" w:rsidRDefault="00613989">
      <w:pPr>
        <w:spacing w:after="0" w:line="240" w:lineRule="auto"/>
      </w:pPr>
      <w:r>
        <w:separator/>
      </w:r>
    </w:p>
  </w:endnote>
  <w:endnote w:type="continuationSeparator" w:id="0">
    <w:p w:rsidR="00613989" w:rsidRDefault="0061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89" w:rsidRDefault="00613989">
      <w:pPr>
        <w:spacing w:after="0" w:line="240" w:lineRule="auto"/>
      </w:pPr>
      <w:r>
        <w:separator/>
      </w:r>
    </w:p>
  </w:footnote>
  <w:footnote w:type="continuationSeparator" w:id="0">
    <w:p w:rsidR="00613989" w:rsidRDefault="0061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03E" w:rsidRPr="00B371CC" w:rsidRDefault="001D403E" w:rsidP="00D43E1C">
    <w:pPr>
      <w:pStyle w:val="Nagwek"/>
      <w:jc w:val="center"/>
    </w:pPr>
    <w:r>
      <w:t xml:space="preserve">– </w:t>
    </w:r>
    <w:r>
      <w:fldChar w:fldCharType="begin"/>
    </w:r>
    <w:r>
      <w:instrText xml:space="preserve"> PAGE  \* MERGEFORMAT </w:instrText>
    </w:r>
    <w:r>
      <w:fldChar w:fldCharType="separate"/>
    </w:r>
    <w:r w:rsidR="004709A8">
      <w:rPr>
        <w:noProof/>
      </w:rPr>
      <w:t>14</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B8D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1E3B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C6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49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AE7D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6CFF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686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6A7D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5CA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C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29D3"/>
    <w:multiLevelType w:val="hybridMultilevel"/>
    <w:tmpl w:val="A2842E52"/>
    <w:lvl w:ilvl="0" w:tplc="80F4B754">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1C67FB8"/>
    <w:multiLevelType w:val="hybridMultilevel"/>
    <w:tmpl w:val="2A52D2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38208C4"/>
    <w:multiLevelType w:val="hybridMultilevel"/>
    <w:tmpl w:val="5558A0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2901D1"/>
    <w:multiLevelType w:val="hybridMultilevel"/>
    <w:tmpl w:val="BEF69812"/>
    <w:lvl w:ilvl="0" w:tplc="9158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B415F5"/>
    <w:multiLevelType w:val="hybridMultilevel"/>
    <w:tmpl w:val="3C2A62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D73046A"/>
    <w:multiLevelType w:val="hybridMultilevel"/>
    <w:tmpl w:val="02FA81B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2DF077F"/>
    <w:multiLevelType w:val="hybridMultilevel"/>
    <w:tmpl w:val="946C83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36520C6"/>
    <w:multiLevelType w:val="hybridMultilevel"/>
    <w:tmpl w:val="DD84C4F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7476FB7"/>
    <w:multiLevelType w:val="hybridMultilevel"/>
    <w:tmpl w:val="1B38AB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FF6243"/>
    <w:multiLevelType w:val="hybridMultilevel"/>
    <w:tmpl w:val="3C2A62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9262BA6"/>
    <w:multiLevelType w:val="hybridMultilevel"/>
    <w:tmpl w:val="D6F28B1A"/>
    <w:lvl w:ilvl="0" w:tplc="9158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4C09B2"/>
    <w:multiLevelType w:val="hybridMultilevel"/>
    <w:tmpl w:val="3C2A625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2C751B1"/>
    <w:multiLevelType w:val="hybridMultilevel"/>
    <w:tmpl w:val="23283738"/>
    <w:lvl w:ilvl="0" w:tplc="04150011">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D14179F"/>
    <w:multiLevelType w:val="hybridMultilevel"/>
    <w:tmpl w:val="960831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9CD2981"/>
    <w:multiLevelType w:val="hybridMultilevel"/>
    <w:tmpl w:val="C52CA1A0"/>
    <w:lvl w:ilvl="0" w:tplc="9158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7D7BC9"/>
    <w:multiLevelType w:val="hybridMultilevel"/>
    <w:tmpl w:val="5558A0D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CAB3431"/>
    <w:multiLevelType w:val="hybridMultilevel"/>
    <w:tmpl w:val="18303E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CC6C2F"/>
    <w:multiLevelType w:val="hybridMultilevel"/>
    <w:tmpl w:val="7D0227A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99D5FDA"/>
    <w:multiLevelType w:val="hybridMultilevel"/>
    <w:tmpl w:val="7FF2F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6567BD"/>
    <w:multiLevelType w:val="hybridMultilevel"/>
    <w:tmpl w:val="F8CA0A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EF26C0F"/>
    <w:multiLevelType w:val="hybridMultilevel"/>
    <w:tmpl w:val="1CF693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4"/>
  </w:num>
  <w:num w:numId="13">
    <w:abstractNumId w:val="17"/>
  </w:num>
  <w:num w:numId="14">
    <w:abstractNumId w:val="21"/>
  </w:num>
  <w:num w:numId="15">
    <w:abstractNumId w:val="12"/>
  </w:num>
  <w:num w:numId="16">
    <w:abstractNumId w:val="29"/>
  </w:num>
  <w:num w:numId="17">
    <w:abstractNumId w:val="10"/>
  </w:num>
  <w:num w:numId="18">
    <w:abstractNumId w:val="23"/>
  </w:num>
  <w:num w:numId="19">
    <w:abstractNumId w:val="20"/>
  </w:num>
  <w:num w:numId="20">
    <w:abstractNumId w:val="13"/>
  </w:num>
  <w:num w:numId="21">
    <w:abstractNumId w:val="16"/>
  </w:num>
  <w:num w:numId="22">
    <w:abstractNumId w:val="11"/>
  </w:num>
  <w:num w:numId="23">
    <w:abstractNumId w:val="25"/>
  </w:num>
  <w:num w:numId="24">
    <w:abstractNumId w:val="27"/>
  </w:num>
  <w:num w:numId="25">
    <w:abstractNumId w:val="28"/>
  </w:num>
  <w:num w:numId="26">
    <w:abstractNumId w:val="26"/>
  </w:num>
  <w:num w:numId="27">
    <w:abstractNumId w:val="31"/>
  </w:num>
  <w:num w:numId="28">
    <w:abstractNumId w:val="18"/>
  </w:num>
  <w:num w:numId="29">
    <w:abstractNumId w:val="14"/>
  </w:num>
  <w:num w:numId="30">
    <w:abstractNumId w:val="22"/>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16"/>
    <w:rsid w:val="000003D2"/>
    <w:rsid w:val="00002DEA"/>
    <w:rsid w:val="000058C0"/>
    <w:rsid w:val="000166C5"/>
    <w:rsid w:val="00020853"/>
    <w:rsid w:val="00023F2E"/>
    <w:rsid w:val="0003614B"/>
    <w:rsid w:val="00036DBB"/>
    <w:rsid w:val="00052362"/>
    <w:rsid w:val="00054FA7"/>
    <w:rsid w:val="000646B2"/>
    <w:rsid w:val="0008262C"/>
    <w:rsid w:val="00085C3E"/>
    <w:rsid w:val="0008680E"/>
    <w:rsid w:val="00086CA3"/>
    <w:rsid w:val="00092E57"/>
    <w:rsid w:val="000A062E"/>
    <w:rsid w:val="000A2925"/>
    <w:rsid w:val="000A5C24"/>
    <w:rsid w:val="000B3EA7"/>
    <w:rsid w:val="000B497B"/>
    <w:rsid w:val="000B667C"/>
    <w:rsid w:val="000D064D"/>
    <w:rsid w:val="000D4369"/>
    <w:rsid w:val="000E0623"/>
    <w:rsid w:val="000F35A8"/>
    <w:rsid w:val="00105082"/>
    <w:rsid w:val="00105CF1"/>
    <w:rsid w:val="00113955"/>
    <w:rsid w:val="0011467F"/>
    <w:rsid w:val="001167BC"/>
    <w:rsid w:val="0013766B"/>
    <w:rsid w:val="0014130B"/>
    <w:rsid w:val="00144C08"/>
    <w:rsid w:val="00152BB9"/>
    <w:rsid w:val="00160767"/>
    <w:rsid w:val="00171629"/>
    <w:rsid w:val="001750E6"/>
    <w:rsid w:val="00177E5F"/>
    <w:rsid w:val="001850D5"/>
    <w:rsid w:val="00187720"/>
    <w:rsid w:val="001A0930"/>
    <w:rsid w:val="001A4694"/>
    <w:rsid w:val="001B7151"/>
    <w:rsid w:val="001B7884"/>
    <w:rsid w:val="001C1640"/>
    <w:rsid w:val="001C1835"/>
    <w:rsid w:val="001C1BB5"/>
    <w:rsid w:val="001C5BA0"/>
    <w:rsid w:val="001C6B99"/>
    <w:rsid w:val="001D0F0E"/>
    <w:rsid w:val="001D227C"/>
    <w:rsid w:val="001D403E"/>
    <w:rsid w:val="001E7A2B"/>
    <w:rsid w:val="00206A14"/>
    <w:rsid w:val="002079BA"/>
    <w:rsid w:val="00210055"/>
    <w:rsid w:val="00215B49"/>
    <w:rsid w:val="00215E53"/>
    <w:rsid w:val="00216525"/>
    <w:rsid w:val="00220859"/>
    <w:rsid w:val="00237D67"/>
    <w:rsid w:val="00240A5B"/>
    <w:rsid w:val="0024511C"/>
    <w:rsid w:val="0025559E"/>
    <w:rsid w:val="00264F08"/>
    <w:rsid w:val="00265BFA"/>
    <w:rsid w:val="002759A8"/>
    <w:rsid w:val="00283EE6"/>
    <w:rsid w:val="00286132"/>
    <w:rsid w:val="00286D4A"/>
    <w:rsid w:val="00291276"/>
    <w:rsid w:val="00294077"/>
    <w:rsid w:val="002A1273"/>
    <w:rsid w:val="002B1C3B"/>
    <w:rsid w:val="002D1CD4"/>
    <w:rsid w:val="002D3EB9"/>
    <w:rsid w:val="002D5EB6"/>
    <w:rsid w:val="002D6BA4"/>
    <w:rsid w:val="002E6624"/>
    <w:rsid w:val="002F0580"/>
    <w:rsid w:val="002F3915"/>
    <w:rsid w:val="002F69C3"/>
    <w:rsid w:val="00300A5D"/>
    <w:rsid w:val="00304DE7"/>
    <w:rsid w:val="00310649"/>
    <w:rsid w:val="00314E5A"/>
    <w:rsid w:val="003150C7"/>
    <w:rsid w:val="00340041"/>
    <w:rsid w:val="00341435"/>
    <w:rsid w:val="00345345"/>
    <w:rsid w:val="00345A47"/>
    <w:rsid w:val="00360C57"/>
    <w:rsid w:val="003658B6"/>
    <w:rsid w:val="00366DC2"/>
    <w:rsid w:val="00367019"/>
    <w:rsid w:val="00371D5C"/>
    <w:rsid w:val="00372956"/>
    <w:rsid w:val="00374F81"/>
    <w:rsid w:val="00380FC3"/>
    <w:rsid w:val="00383687"/>
    <w:rsid w:val="003850F4"/>
    <w:rsid w:val="00390D3F"/>
    <w:rsid w:val="00392359"/>
    <w:rsid w:val="00393420"/>
    <w:rsid w:val="003A210F"/>
    <w:rsid w:val="003A3378"/>
    <w:rsid w:val="003A3F61"/>
    <w:rsid w:val="003C5F95"/>
    <w:rsid w:val="003D3EA0"/>
    <w:rsid w:val="003E0403"/>
    <w:rsid w:val="00410693"/>
    <w:rsid w:val="00411DA7"/>
    <w:rsid w:val="004148BA"/>
    <w:rsid w:val="00415CD1"/>
    <w:rsid w:val="00430522"/>
    <w:rsid w:val="00431D8E"/>
    <w:rsid w:val="00433ABE"/>
    <w:rsid w:val="00440D8A"/>
    <w:rsid w:val="004440B0"/>
    <w:rsid w:val="004709A8"/>
    <w:rsid w:val="00474711"/>
    <w:rsid w:val="004747E7"/>
    <w:rsid w:val="004749A4"/>
    <w:rsid w:val="00482324"/>
    <w:rsid w:val="00495A05"/>
    <w:rsid w:val="00497D29"/>
    <w:rsid w:val="004A184B"/>
    <w:rsid w:val="004A2E67"/>
    <w:rsid w:val="004B061C"/>
    <w:rsid w:val="004B701F"/>
    <w:rsid w:val="004B73D2"/>
    <w:rsid w:val="004C1276"/>
    <w:rsid w:val="004C2825"/>
    <w:rsid w:val="004C70E2"/>
    <w:rsid w:val="004E049B"/>
    <w:rsid w:val="004E27DF"/>
    <w:rsid w:val="004E4D69"/>
    <w:rsid w:val="004E5A52"/>
    <w:rsid w:val="004E7141"/>
    <w:rsid w:val="004F6A6B"/>
    <w:rsid w:val="00523A86"/>
    <w:rsid w:val="005263AF"/>
    <w:rsid w:val="005273DA"/>
    <w:rsid w:val="0053168F"/>
    <w:rsid w:val="00541E3A"/>
    <w:rsid w:val="00546A42"/>
    <w:rsid w:val="00547523"/>
    <w:rsid w:val="0054797D"/>
    <w:rsid w:val="00557ABB"/>
    <w:rsid w:val="005667D3"/>
    <w:rsid w:val="00567501"/>
    <w:rsid w:val="00580464"/>
    <w:rsid w:val="00586162"/>
    <w:rsid w:val="0059185C"/>
    <w:rsid w:val="00593D48"/>
    <w:rsid w:val="00595E3A"/>
    <w:rsid w:val="005A52F9"/>
    <w:rsid w:val="005B098F"/>
    <w:rsid w:val="005B36E7"/>
    <w:rsid w:val="005C41DF"/>
    <w:rsid w:val="005C517E"/>
    <w:rsid w:val="005C5392"/>
    <w:rsid w:val="005D61C8"/>
    <w:rsid w:val="005D68AD"/>
    <w:rsid w:val="005E1A4B"/>
    <w:rsid w:val="005E4D82"/>
    <w:rsid w:val="005F4D08"/>
    <w:rsid w:val="00610389"/>
    <w:rsid w:val="00611CD5"/>
    <w:rsid w:val="00613989"/>
    <w:rsid w:val="00622195"/>
    <w:rsid w:val="00627714"/>
    <w:rsid w:val="00631DDB"/>
    <w:rsid w:val="006322F0"/>
    <w:rsid w:val="00635876"/>
    <w:rsid w:val="006477F3"/>
    <w:rsid w:val="006538C9"/>
    <w:rsid w:val="00655D35"/>
    <w:rsid w:val="00657D98"/>
    <w:rsid w:val="006607F6"/>
    <w:rsid w:val="00687910"/>
    <w:rsid w:val="006948BB"/>
    <w:rsid w:val="00695E70"/>
    <w:rsid w:val="0069714A"/>
    <w:rsid w:val="006A1964"/>
    <w:rsid w:val="006A5C02"/>
    <w:rsid w:val="006B0775"/>
    <w:rsid w:val="006B0BEB"/>
    <w:rsid w:val="006B3998"/>
    <w:rsid w:val="006B75CB"/>
    <w:rsid w:val="006B7886"/>
    <w:rsid w:val="006C0E14"/>
    <w:rsid w:val="006C0EC8"/>
    <w:rsid w:val="006F19FF"/>
    <w:rsid w:val="006F44A1"/>
    <w:rsid w:val="006F4EFB"/>
    <w:rsid w:val="007018EA"/>
    <w:rsid w:val="00717750"/>
    <w:rsid w:val="0074517D"/>
    <w:rsid w:val="00751B0B"/>
    <w:rsid w:val="00754276"/>
    <w:rsid w:val="00754A01"/>
    <w:rsid w:val="00756D7F"/>
    <w:rsid w:val="007572FD"/>
    <w:rsid w:val="00762EFB"/>
    <w:rsid w:val="00774AB9"/>
    <w:rsid w:val="0079670E"/>
    <w:rsid w:val="007A3D0C"/>
    <w:rsid w:val="007B4B8C"/>
    <w:rsid w:val="007B73E8"/>
    <w:rsid w:val="007C2BF2"/>
    <w:rsid w:val="007C314B"/>
    <w:rsid w:val="007C477C"/>
    <w:rsid w:val="007C4843"/>
    <w:rsid w:val="007C56CC"/>
    <w:rsid w:val="007D2014"/>
    <w:rsid w:val="007E08FA"/>
    <w:rsid w:val="007E385B"/>
    <w:rsid w:val="007E4A9E"/>
    <w:rsid w:val="007F1359"/>
    <w:rsid w:val="007F38C9"/>
    <w:rsid w:val="007F6A71"/>
    <w:rsid w:val="007F7DCF"/>
    <w:rsid w:val="00803804"/>
    <w:rsid w:val="0080438E"/>
    <w:rsid w:val="00804E97"/>
    <w:rsid w:val="0080653C"/>
    <w:rsid w:val="00823365"/>
    <w:rsid w:val="008239A5"/>
    <w:rsid w:val="00825B8A"/>
    <w:rsid w:val="0083121D"/>
    <w:rsid w:val="008324FF"/>
    <w:rsid w:val="008348E7"/>
    <w:rsid w:val="00844124"/>
    <w:rsid w:val="00852272"/>
    <w:rsid w:val="00854023"/>
    <w:rsid w:val="00855C11"/>
    <w:rsid w:val="008731A6"/>
    <w:rsid w:val="00875F97"/>
    <w:rsid w:val="008800EC"/>
    <w:rsid w:val="00887D41"/>
    <w:rsid w:val="008901C9"/>
    <w:rsid w:val="008922CA"/>
    <w:rsid w:val="008925A8"/>
    <w:rsid w:val="008A01E8"/>
    <w:rsid w:val="008A3CB6"/>
    <w:rsid w:val="008B0545"/>
    <w:rsid w:val="008B1E39"/>
    <w:rsid w:val="008B7475"/>
    <w:rsid w:val="008B7B9F"/>
    <w:rsid w:val="008C569A"/>
    <w:rsid w:val="008D10B1"/>
    <w:rsid w:val="008D331E"/>
    <w:rsid w:val="008D4B11"/>
    <w:rsid w:val="008D6EEA"/>
    <w:rsid w:val="008E0351"/>
    <w:rsid w:val="008E545C"/>
    <w:rsid w:val="008F270A"/>
    <w:rsid w:val="008F76ED"/>
    <w:rsid w:val="00931964"/>
    <w:rsid w:val="00935BD3"/>
    <w:rsid w:val="00957FC8"/>
    <w:rsid w:val="00971644"/>
    <w:rsid w:val="00985DB8"/>
    <w:rsid w:val="009867E8"/>
    <w:rsid w:val="00987173"/>
    <w:rsid w:val="00987CA4"/>
    <w:rsid w:val="009909BD"/>
    <w:rsid w:val="009A0CE8"/>
    <w:rsid w:val="009A0E1E"/>
    <w:rsid w:val="009A4ED9"/>
    <w:rsid w:val="009A7EAA"/>
    <w:rsid w:val="009B3F8E"/>
    <w:rsid w:val="009B48F9"/>
    <w:rsid w:val="009C2395"/>
    <w:rsid w:val="009C41EC"/>
    <w:rsid w:val="009C4FCB"/>
    <w:rsid w:val="009C7322"/>
    <w:rsid w:val="009C7B6C"/>
    <w:rsid w:val="009D2007"/>
    <w:rsid w:val="009D7716"/>
    <w:rsid w:val="00A12536"/>
    <w:rsid w:val="00A23CB2"/>
    <w:rsid w:val="00A24539"/>
    <w:rsid w:val="00A27971"/>
    <w:rsid w:val="00A31120"/>
    <w:rsid w:val="00A3332E"/>
    <w:rsid w:val="00A3651F"/>
    <w:rsid w:val="00A41A65"/>
    <w:rsid w:val="00A42768"/>
    <w:rsid w:val="00A44F6B"/>
    <w:rsid w:val="00A45C12"/>
    <w:rsid w:val="00A565A9"/>
    <w:rsid w:val="00A840D2"/>
    <w:rsid w:val="00A865BA"/>
    <w:rsid w:val="00A86965"/>
    <w:rsid w:val="00AA1775"/>
    <w:rsid w:val="00AB1BDB"/>
    <w:rsid w:val="00AC0A71"/>
    <w:rsid w:val="00AC5196"/>
    <w:rsid w:val="00AC71E2"/>
    <w:rsid w:val="00AD3968"/>
    <w:rsid w:val="00AD4003"/>
    <w:rsid w:val="00AD46C2"/>
    <w:rsid w:val="00AD7F6A"/>
    <w:rsid w:val="00AE3CE0"/>
    <w:rsid w:val="00AE3E40"/>
    <w:rsid w:val="00AE581A"/>
    <w:rsid w:val="00AE618E"/>
    <w:rsid w:val="00AF0213"/>
    <w:rsid w:val="00AF263E"/>
    <w:rsid w:val="00AF56A8"/>
    <w:rsid w:val="00B03A16"/>
    <w:rsid w:val="00B0417B"/>
    <w:rsid w:val="00B06D37"/>
    <w:rsid w:val="00B14C1F"/>
    <w:rsid w:val="00B30C25"/>
    <w:rsid w:val="00B5285A"/>
    <w:rsid w:val="00B57567"/>
    <w:rsid w:val="00B6308D"/>
    <w:rsid w:val="00B63D3D"/>
    <w:rsid w:val="00B658ED"/>
    <w:rsid w:val="00B72148"/>
    <w:rsid w:val="00B72CAC"/>
    <w:rsid w:val="00B730FA"/>
    <w:rsid w:val="00B81FEF"/>
    <w:rsid w:val="00B835AD"/>
    <w:rsid w:val="00B853C5"/>
    <w:rsid w:val="00B857FF"/>
    <w:rsid w:val="00BA145E"/>
    <w:rsid w:val="00BA33F6"/>
    <w:rsid w:val="00BA5A29"/>
    <w:rsid w:val="00BA76AB"/>
    <w:rsid w:val="00BB3063"/>
    <w:rsid w:val="00BB7B52"/>
    <w:rsid w:val="00BC07BD"/>
    <w:rsid w:val="00BC250B"/>
    <w:rsid w:val="00BC4F38"/>
    <w:rsid w:val="00BC6D26"/>
    <w:rsid w:val="00BC7946"/>
    <w:rsid w:val="00BE5B38"/>
    <w:rsid w:val="00BF0C58"/>
    <w:rsid w:val="00BF2166"/>
    <w:rsid w:val="00C016E8"/>
    <w:rsid w:val="00C02125"/>
    <w:rsid w:val="00C060D0"/>
    <w:rsid w:val="00C1733B"/>
    <w:rsid w:val="00C173E6"/>
    <w:rsid w:val="00C176B8"/>
    <w:rsid w:val="00C226DB"/>
    <w:rsid w:val="00C24107"/>
    <w:rsid w:val="00C346BD"/>
    <w:rsid w:val="00C41B16"/>
    <w:rsid w:val="00C65E4D"/>
    <w:rsid w:val="00C71F8D"/>
    <w:rsid w:val="00C734D6"/>
    <w:rsid w:val="00C74873"/>
    <w:rsid w:val="00C75258"/>
    <w:rsid w:val="00C836D0"/>
    <w:rsid w:val="00C85BDD"/>
    <w:rsid w:val="00C93139"/>
    <w:rsid w:val="00C94C3E"/>
    <w:rsid w:val="00C97787"/>
    <w:rsid w:val="00CA0815"/>
    <w:rsid w:val="00CA25AE"/>
    <w:rsid w:val="00CA322A"/>
    <w:rsid w:val="00CB2B17"/>
    <w:rsid w:val="00CB2B25"/>
    <w:rsid w:val="00CB6E9D"/>
    <w:rsid w:val="00CC3226"/>
    <w:rsid w:val="00CD042E"/>
    <w:rsid w:val="00CD4727"/>
    <w:rsid w:val="00CE01BA"/>
    <w:rsid w:val="00CE5F47"/>
    <w:rsid w:val="00CE7D33"/>
    <w:rsid w:val="00CF6A8F"/>
    <w:rsid w:val="00CF7B53"/>
    <w:rsid w:val="00D01233"/>
    <w:rsid w:val="00D02EB6"/>
    <w:rsid w:val="00D0368B"/>
    <w:rsid w:val="00D03A16"/>
    <w:rsid w:val="00D10CFC"/>
    <w:rsid w:val="00D22C16"/>
    <w:rsid w:val="00D422E0"/>
    <w:rsid w:val="00D43E1C"/>
    <w:rsid w:val="00D44AEE"/>
    <w:rsid w:val="00D56500"/>
    <w:rsid w:val="00D66F0A"/>
    <w:rsid w:val="00D71D62"/>
    <w:rsid w:val="00D923FE"/>
    <w:rsid w:val="00D927BF"/>
    <w:rsid w:val="00D930E3"/>
    <w:rsid w:val="00D940D5"/>
    <w:rsid w:val="00D96F17"/>
    <w:rsid w:val="00DA5304"/>
    <w:rsid w:val="00DB5A95"/>
    <w:rsid w:val="00DB6713"/>
    <w:rsid w:val="00DC04CD"/>
    <w:rsid w:val="00DD3FE7"/>
    <w:rsid w:val="00DE14EB"/>
    <w:rsid w:val="00DE3D92"/>
    <w:rsid w:val="00DE4772"/>
    <w:rsid w:val="00DE7144"/>
    <w:rsid w:val="00DF743E"/>
    <w:rsid w:val="00E0286D"/>
    <w:rsid w:val="00E05976"/>
    <w:rsid w:val="00E14EA1"/>
    <w:rsid w:val="00E16370"/>
    <w:rsid w:val="00E24859"/>
    <w:rsid w:val="00E25D8F"/>
    <w:rsid w:val="00E30910"/>
    <w:rsid w:val="00E30967"/>
    <w:rsid w:val="00E35940"/>
    <w:rsid w:val="00E439E0"/>
    <w:rsid w:val="00E45EE7"/>
    <w:rsid w:val="00E50949"/>
    <w:rsid w:val="00E52D27"/>
    <w:rsid w:val="00E52EAF"/>
    <w:rsid w:val="00E55DBD"/>
    <w:rsid w:val="00E56206"/>
    <w:rsid w:val="00E56410"/>
    <w:rsid w:val="00E60435"/>
    <w:rsid w:val="00E729E8"/>
    <w:rsid w:val="00E75045"/>
    <w:rsid w:val="00E770A4"/>
    <w:rsid w:val="00E77F3D"/>
    <w:rsid w:val="00E96E9E"/>
    <w:rsid w:val="00EB0DB5"/>
    <w:rsid w:val="00EB6574"/>
    <w:rsid w:val="00EB7DBE"/>
    <w:rsid w:val="00EC40FF"/>
    <w:rsid w:val="00ED537F"/>
    <w:rsid w:val="00EF3A54"/>
    <w:rsid w:val="00EF5785"/>
    <w:rsid w:val="00EF6542"/>
    <w:rsid w:val="00F06860"/>
    <w:rsid w:val="00F16698"/>
    <w:rsid w:val="00F26F46"/>
    <w:rsid w:val="00F30530"/>
    <w:rsid w:val="00F40A82"/>
    <w:rsid w:val="00F40F59"/>
    <w:rsid w:val="00F4160C"/>
    <w:rsid w:val="00F5477D"/>
    <w:rsid w:val="00F55CDC"/>
    <w:rsid w:val="00F710DC"/>
    <w:rsid w:val="00F72691"/>
    <w:rsid w:val="00F75C5E"/>
    <w:rsid w:val="00F834D6"/>
    <w:rsid w:val="00F94373"/>
    <w:rsid w:val="00FB32D3"/>
    <w:rsid w:val="00FB3F11"/>
    <w:rsid w:val="00FC1B29"/>
    <w:rsid w:val="00FC5E55"/>
    <w:rsid w:val="00FD4280"/>
    <w:rsid w:val="00FD569B"/>
    <w:rsid w:val="00FE5C99"/>
    <w:rsid w:val="00FE7639"/>
    <w:rsid w:val="00FF63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55945D-C12A-4C2C-B2A4-4938C8A0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542"/>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B721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825B8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9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Numerowanie,List Paragraph"/>
    <w:basedOn w:val="Normalny"/>
    <w:link w:val="AkapitzlistZnak"/>
    <w:uiPriority w:val="34"/>
    <w:qFormat/>
    <w:rsid w:val="0055028D"/>
    <w:pPr>
      <w:ind w:left="720"/>
      <w:contextualSpacing/>
    </w:pPr>
  </w:style>
  <w:style w:type="character" w:styleId="Hipercze">
    <w:name w:val="Hyperlink"/>
    <w:basedOn w:val="Domylnaczcionkaakapitu"/>
    <w:uiPriority w:val="99"/>
    <w:unhideWhenUsed/>
    <w:rsid w:val="0055028D"/>
    <w:rPr>
      <w:color w:val="0000FF"/>
      <w:u w:val="single"/>
    </w:rPr>
  </w:style>
  <w:style w:type="paragraph" w:styleId="Tekstprzypisukocowego">
    <w:name w:val="endnote text"/>
    <w:basedOn w:val="Normalny"/>
    <w:link w:val="TekstprzypisukocowegoZnak"/>
    <w:uiPriority w:val="99"/>
    <w:semiHidden/>
    <w:unhideWhenUsed/>
    <w:rsid w:val="00127F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7F2B"/>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127F2B"/>
    <w:rPr>
      <w:vertAlign w:val="superscript"/>
    </w:rPr>
  </w:style>
  <w:style w:type="paragraph" w:styleId="Poprawka">
    <w:name w:val="Revision"/>
    <w:hidden/>
    <w:uiPriority w:val="99"/>
    <w:semiHidden/>
    <w:rsid w:val="00382B2F"/>
    <w:pPr>
      <w:spacing w:line="240" w:lineRule="auto"/>
    </w:pPr>
    <w:rPr>
      <w:rFonts w:asciiTheme="minorHAnsi" w:eastAsiaTheme="minorHAnsi" w:hAnsiTheme="minorHAnsi" w:cstheme="minorBidi"/>
      <w:sz w:val="22"/>
      <w:szCs w:val="22"/>
      <w:lang w:eastAsia="en-US"/>
    </w:rPr>
  </w:style>
  <w:style w:type="paragraph" w:styleId="Zwykytekst">
    <w:name w:val="Plain Text"/>
    <w:basedOn w:val="Normalny"/>
    <w:link w:val="ZwykytekstZnak"/>
    <w:uiPriority w:val="99"/>
    <w:semiHidden/>
    <w:unhideWhenUsed/>
    <w:rsid w:val="00B814A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814A9"/>
    <w:rPr>
      <w:rFonts w:ascii="Consolas" w:eastAsiaTheme="minorHAnsi" w:hAnsi="Consolas" w:cstheme="minorBidi"/>
      <w:sz w:val="21"/>
      <w:szCs w:val="21"/>
      <w:lang w:eastAsia="en-US"/>
    </w:rPr>
  </w:style>
  <w:style w:type="table" w:customStyle="1" w:styleId="Siatkatabelijasna1">
    <w:name w:val="Siatka tabeli — jasna1"/>
    <w:basedOn w:val="Standardowy"/>
    <w:uiPriority w:val="40"/>
    <w:rsid w:val="005F1A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2Znak">
    <w:name w:val="Nagłówek 2 Znak"/>
    <w:basedOn w:val="Domylnaczcionkaakapitu"/>
    <w:link w:val="Nagwek2"/>
    <w:uiPriority w:val="99"/>
    <w:semiHidden/>
    <w:rsid w:val="00B72148"/>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rsid w:val="00825B8A"/>
    <w:rPr>
      <w:rFonts w:ascii="Arial" w:hAnsi="Arial" w:cs="Arial"/>
      <w:b/>
      <w:bCs/>
      <w:sz w:val="26"/>
      <w:szCs w:val="26"/>
    </w:rPr>
  </w:style>
  <w:style w:type="character" w:styleId="UyteHipercze">
    <w:name w:val="FollowedHyperlink"/>
    <w:uiPriority w:val="99"/>
    <w:semiHidden/>
    <w:unhideWhenUsed/>
    <w:rsid w:val="00825B8A"/>
    <w:rPr>
      <w:color w:val="800080"/>
      <w:u w:val="single"/>
    </w:rPr>
  </w:style>
  <w:style w:type="paragraph" w:styleId="Tekstpodstawowy">
    <w:name w:val="Body Text"/>
    <w:basedOn w:val="Normalny"/>
    <w:link w:val="TekstpodstawowyZnak"/>
    <w:rsid w:val="00825B8A"/>
    <w:pPr>
      <w:spacing w:after="0" w:line="240" w:lineRule="auto"/>
    </w:pPr>
    <w:rPr>
      <w:rFonts w:ascii="Arial" w:eastAsia="Times New Roman" w:hAnsi="Arial" w:cs="Arial"/>
      <w:lang w:eastAsia="pl-PL"/>
    </w:rPr>
  </w:style>
  <w:style w:type="character" w:customStyle="1" w:styleId="TekstpodstawowyZnak">
    <w:name w:val="Tekst podstawowy Znak"/>
    <w:basedOn w:val="Domylnaczcionkaakapitu"/>
    <w:link w:val="Tekstpodstawowy"/>
    <w:rsid w:val="00825B8A"/>
    <w:rPr>
      <w:rFonts w:ascii="Arial" w:hAnsi="Arial" w:cs="Arial"/>
      <w:sz w:val="22"/>
      <w:szCs w:val="22"/>
    </w:rPr>
  </w:style>
  <w:style w:type="character" w:customStyle="1" w:styleId="Nagwek4">
    <w:name w:val="Nagłówek #4"/>
    <w:basedOn w:val="Domylnaczcionkaakapitu"/>
    <w:rsid w:val="00825B8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1">
    <w:name w:val="Stopka1"/>
    <w:basedOn w:val="Domylnaczcionkaakapitu"/>
    <w:rsid w:val="00825B8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articletitle">
    <w:name w:val="articletitle"/>
    <w:basedOn w:val="Domylnaczcionkaakapitu"/>
    <w:rsid w:val="00825B8A"/>
  </w:style>
  <w:style w:type="character" w:customStyle="1" w:styleId="Teksttreci2">
    <w:name w:val="Tekst treści (2)"/>
    <w:basedOn w:val="Domylnaczcionkaakapitu"/>
    <w:rsid w:val="00825B8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0">
    <w:name w:val="Tekst treści (2)_"/>
    <w:basedOn w:val="Domylnaczcionkaakapitu"/>
    <w:rsid w:val="00825B8A"/>
    <w:rPr>
      <w:rFonts w:ascii="Times New Roman" w:eastAsia="Times New Roman" w:hAnsi="Times New Roman" w:cs="Times New Roman"/>
      <w:b w:val="0"/>
      <w:bCs w:val="0"/>
      <w:i w:val="0"/>
      <w:iCs w:val="0"/>
      <w:smallCaps w:val="0"/>
      <w:strike w:val="0"/>
      <w:sz w:val="20"/>
      <w:szCs w:val="20"/>
      <w:u w:val="none"/>
    </w:rPr>
  </w:style>
  <w:style w:type="character" w:customStyle="1" w:styleId="AkapitzlistZnak">
    <w:name w:val="Akapit z listą Znak"/>
    <w:aliases w:val="Numerowanie Znak,List Paragraph Znak"/>
    <w:link w:val="Akapitzlist"/>
    <w:uiPriority w:val="34"/>
    <w:locked/>
    <w:rsid w:val="00825B8A"/>
    <w:rPr>
      <w:rFonts w:asciiTheme="minorHAnsi" w:eastAsiaTheme="minorHAnsi" w:hAnsiTheme="minorHAnsi" w:cstheme="minorBidi"/>
      <w:sz w:val="22"/>
      <w:szCs w:val="22"/>
      <w:lang w:eastAsia="en-US"/>
    </w:rPr>
  </w:style>
  <w:style w:type="character" w:customStyle="1" w:styleId="acopre">
    <w:name w:val="acopre"/>
    <w:basedOn w:val="Domylnaczcionkaakapitu"/>
    <w:rsid w:val="00825B8A"/>
  </w:style>
  <w:style w:type="character" w:customStyle="1" w:styleId="highlight">
    <w:name w:val="highlight"/>
    <w:basedOn w:val="Domylnaczcionkaakapitu"/>
    <w:rsid w:val="00C9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5940">
      <w:bodyDiv w:val="1"/>
      <w:marLeft w:val="0"/>
      <w:marRight w:val="0"/>
      <w:marTop w:val="0"/>
      <w:marBottom w:val="0"/>
      <w:divBdr>
        <w:top w:val="none" w:sz="0" w:space="0" w:color="auto"/>
        <w:left w:val="none" w:sz="0" w:space="0" w:color="auto"/>
        <w:bottom w:val="none" w:sz="0" w:space="0" w:color="auto"/>
        <w:right w:val="none" w:sz="0" w:space="0" w:color="auto"/>
      </w:divBdr>
    </w:div>
    <w:div w:id="467161752">
      <w:bodyDiv w:val="1"/>
      <w:marLeft w:val="0"/>
      <w:marRight w:val="0"/>
      <w:marTop w:val="0"/>
      <w:marBottom w:val="0"/>
      <w:divBdr>
        <w:top w:val="none" w:sz="0" w:space="0" w:color="auto"/>
        <w:left w:val="none" w:sz="0" w:space="0" w:color="auto"/>
        <w:bottom w:val="none" w:sz="0" w:space="0" w:color="auto"/>
        <w:right w:val="none" w:sz="0" w:space="0" w:color="auto"/>
      </w:divBdr>
    </w:div>
    <w:div w:id="785276935">
      <w:bodyDiv w:val="1"/>
      <w:marLeft w:val="0"/>
      <w:marRight w:val="0"/>
      <w:marTop w:val="0"/>
      <w:marBottom w:val="0"/>
      <w:divBdr>
        <w:top w:val="none" w:sz="0" w:space="0" w:color="auto"/>
        <w:left w:val="none" w:sz="0" w:space="0" w:color="auto"/>
        <w:bottom w:val="none" w:sz="0" w:space="0" w:color="auto"/>
        <w:right w:val="none" w:sz="0" w:space="0" w:color="auto"/>
      </w:divBdr>
    </w:div>
    <w:div w:id="1023746890">
      <w:bodyDiv w:val="1"/>
      <w:marLeft w:val="0"/>
      <w:marRight w:val="0"/>
      <w:marTop w:val="0"/>
      <w:marBottom w:val="0"/>
      <w:divBdr>
        <w:top w:val="none" w:sz="0" w:space="0" w:color="auto"/>
        <w:left w:val="none" w:sz="0" w:space="0" w:color="auto"/>
        <w:bottom w:val="none" w:sz="0" w:space="0" w:color="auto"/>
        <w:right w:val="none" w:sz="0" w:space="0" w:color="auto"/>
      </w:divBdr>
      <w:divsChild>
        <w:div w:id="820384661">
          <w:marLeft w:val="0"/>
          <w:marRight w:val="0"/>
          <w:marTop w:val="0"/>
          <w:marBottom w:val="0"/>
          <w:divBdr>
            <w:top w:val="none" w:sz="0" w:space="0" w:color="auto"/>
            <w:left w:val="none" w:sz="0" w:space="0" w:color="auto"/>
            <w:bottom w:val="none" w:sz="0" w:space="0" w:color="auto"/>
            <w:right w:val="none" w:sz="0" w:space="0" w:color="auto"/>
          </w:divBdr>
        </w:div>
        <w:div w:id="1128426415">
          <w:marLeft w:val="0"/>
          <w:marRight w:val="0"/>
          <w:marTop w:val="0"/>
          <w:marBottom w:val="0"/>
          <w:divBdr>
            <w:top w:val="none" w:sz="0" w:space="0" w:color="auto"/>
            <w:left w:val="none" w:sz="0" w:space="0" w:color="auto"/>
            <w:bottom w:val="none" w:sz="0" w:space="0" w:color="auto"/>
            <w:right w:val="none" w:sz="0" w:space="0" w:color="auto"/>
          </w:divBdr>
        </w:div>
        <w:div w:id="1884827733">
          <w:marLeft w:val="0"/>
          <w:marRight w:val="0"/>
          <w:marTop w:val="0"/>
          <w:marBottom w:val="0"/>
          <w:divBdr>
            <w:top w:val="none" w:sz="0" w:space="0" w:color="auto"/>
            <w:left w:val="none" w:sz="0" w:space="0" w:color="auto"/>
            <w:bottom w:val="none" w:sz="0" w:space="0" w:color="auto"/>
            <w:right w:val="none" w:sz="0" w:space="0" w:color="auto"/>
          </w:divBdr>
        </w:div>
        <w:div w:id="2082213455">
          <w:marLeft w:val="0"/>
          <w:marRight w:val="0"/>
          <w:marTop w:val="0"/>
          <w:marBottom w:val="0"/>
          <w:divBdr>
            <w:top w:val="none" w:sz="0" w:space="0" w:color="auto"/>
            <w:left w:val="none" w:sz="0" w:space="0" w:color="auto"/>
            <w:bottom w:val="none" w:sz="0" w:space="0" w:color="auto"/>
            <w:right w:val="none" w:sz="0" w:space="0" w:color="auto"/>
          </w:divBdr>
        </w:div>
      </w:divsChild>
    </w:div>
    <w:div w:id="1260680355">
      <w:bodyDiv w:val="1"/>
      <w:marLeft w:val="0"/>
      <w:marRight w:val="0"/>
      <w:marTop w:val="0"/>
      <w:marBottom w:val="0"/>
      <w:divBdr>
        <w:top w:val="none" w:sz="0" w:space="0" w:color="auto"/>
        <w:left w:val="none" w:sz="0" w:space="0" w:color="auto"/>
        <w:bottom w:val="none" w:sz="0" w:space="0" w:color="auto"/>
        <w:right w:val="none" w:sz="0" w:space="0" w:color="auto"/>
      </w:divBdr>
    </w:div>
    <w:div w:id="1313485981">
      <w:bodyDiv w:val="1"/>
      <w:marLeft w:val="0"/>
      <w:marRight w:val="0"/>
      <w:marTop w:val="0"/>
      <w:marBottom w:val="0"/>
      <w:divBdr>
        <w:top w:val="none" w:sz="0" w:space="0" w:color="auto"/>
        <w:left w:val="none" w:sz="0" w:space="0" w:color="auto"/>
        <w:bottom w:val="none" w:sz="0" w:space="0" w:color="auto"/>
        <w:right w:val="none" w:sz="0" w:space="0" w:color="auto"/>
      </w:divBdr>
    </w:div>
    <w:div w:id="17515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AFA0E6-E1E3-4BDA-8165-117F8AB3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14</Pages>
  <Words>4423</Words>
  <Characters>29121</Characters>
  <Application>Microsoft Office Word</Application>
  <DocSecurity>4</DocSecurity>
  <Lines>242</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Suska Agnieszka</dc:creator>
  <cp:keywords/>
  <dc:description/>
  <cp:lastModifiedBy>Kołakowska Iwona</cp:lastModifiedBy>
  <cp:revision>2</cp:revision>
  <cp:lastPrinted>2022-08-08T09:08:00Z</cp:lastPrinted>
  <dcterms:created xsi:type="dcterms:W3CDTF">2022-09-07T07:29:00Z</dcterms:created>
  <dcterms:modified xsi:type="dcterms:W3CDTF">2022-09-07T07:29:00Z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