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1D" w14:textId="77777777" w:rsidR="000A4451" w:rsidRDefault="00AA72CE">
      <w:pPr>
        <w:jc w:val="center"/>
      </w:pPr>
      <w:r>
        <w:t>UZASADNIENIE</w:t>
      </w:r>
    </w:p>
    <w:p w14:paraId="0000001E" w14:textId="77777777" w:rsidR="000A4451" w:rsidRDefault="00AA72CE">
      <w:r>
        <w:t>Celem projektowanej ustawy jest umożliwienie przyznania statusu osoby represjonowanej osobom, które jako małoletni były represjonowane i wobec których nie zapadły wyroki, a jedynie wydano postanowienia.</w:t>
      </w:r>
    </w:p>
    <w:p w14:paraId="0000001F" w14:textId="77777777" w:rsidR="000A4451" w:rsidRDefault="000A4451"/>
    <w:p w14:paraId="00000020" w14:textId="77777777" w:rsidR="000A4451" w:rsidRDefault="00AA72CE">
      <w:r>
        <w:t>W obecnym stanie ustawa o działaczach opozycji antykomunistycznej wymienia ścisłe ramy, w jakich ma się poruszać w swoim orzecznictwie UdSKiOR. Te zamknięte ramy ustawy o działaczach opozycji dotyczą wyłącznie zjawisk i represji, jakie mogły zaistnieć wobe</w:t>
      </w:r>
      <w:r>
        <w:t>c osób, które w latach 80. były już pełnoletnie. Ustawa aktualnie pomija całkowicie i przemilcza osoby, które w latach 80. podejmowały już w pełni świadomą walkę z systemem komunistycznym i które w związku z tą walką poddawane były konkretnym i dotkliwym r</w:t>
      </w:r>
      <w:r>
        <w:t xml:space="preserve">epresjom ze strony ówczesnego aparatu tzw. bezpieczeństwa publicznego, ale nie były wówczas jeszcze pełnoletnie. </w:t>
      </w:r>
    </w:p>
    <w:p w14:paraId="00000021" w14:textId="77777777" w:rsidR="000A4451" w:rsidRDefault="000A4451"/>
    <w:p w14:paraId="00000022" w14:textId="77777777" w:rsidR="000A4451" w:rsidRDefault="00AA72CE">
      <w:r>
        <w:t>W obowiązującej ustawie nie uwzględnia się wieku podsądnych - represjonowanych. Należy przy tym zauważyć, że w przypadku osób małoletnich nie</w:t>
      </w:r>
      <w:r>
        <w:t xml:space="preserve"> wydawano wyroków, a jedynie postanowienia. Obowiązująca ustawa uwzględnia wyłącznie wyroki, a nie uwzględnia postanowień. Zauważyć trzeba, że w odniesieniu do małoletnich podsądnych peerelowskie sądy dla nieletnich wydawały postanowienia, pomimo że często</w:t>
      </w:r>
      <w:r>
        <w:t xml:space="preserve"> ci małoletni, tak jak osoby wówczas dorosłe, sądzeni byli z tych samych artykułów ówczesnego Kodeksu Karnego (głównie z artykułu 273, w zw. z art. 270 kk). </w:t>
      </w:r>
    </w:p>
    <w:p w14:paraId="00000023" w14:textId="77777777" w:rsidR="000A4451" w:rsidRDefault="000A4451"/>
    <w:p w14:paraId="00000024" w14:textId="77777777" w:rsidR="000A4451" w:rsidRDefault="00AA72CE">
      <w:r>
        <w:t>Zgodnie z aktualnym brzmieniem ustawy małoletni podejmujący walkę z systemem komunistycznym i cie</w:t>
      </w:r>
      <w:r>
        <w:t>rpiący represje w związku z tą walką nie mogą mieć obecnie potwierdzanego statusu osoby represjonowanej, pomimo że faktycznie były poddawane niekiedy bardzo dotkliwym i wymyślnym represjom, a to z powodu tego, że nie były wydawane wobec nich przez ówczesne</w:t>
      </w:r>
      <w:r>
        <w:t xml:space="preserve"> sądy komunistyczne wyroki, ale postanowienia.</w:t>
      </w:r>
    </w:p>
    <w:p w14:paraId="00000025" w14:textId="77777777" w:rsidR="000A4451" w:rsidRDefault="000A4451"/>
    <w:p w14:paraId="00000026" w14:textId="77777777" w:rsidR="000A4451" w:rsidRDefault="00AA72CE">
      <w:r>
        <w:t>W celu umożliwienia takim represjonowanym uzyskania statusu osoby represjonowanej proponuje się rozszerzenie zakresu regulacji art. 3 ust. 4 także na osoby, wobec których orzeczono postanowieniem sądu dla nie</w:t>
      </w:r>
      <w:r>
        <w:t>letnich zastosowanie środków wychowawczych.</w:t>
      </w:r>
    </w:p>
    <w:p w14:paraId="00000027" w14:textId="77777777" w:rsidR="000A4451" w:rsidRDefault="000A4451"/>
    <w:p w14:paraId="00000028" w14:textId="77777777" w:rsidR="000A4451" w:rsidRDefault="00AA72CE">
      <w:r>
        <w:t xml:space="preserve">Proponuje się, by ustawa weszła w życie po upływie 14 dni od dnia ogłoszenia. </w:t>
      </w:r>
    </w:p>
    <w:p w14:paraId="00000029" w14:textId="77777777" w:rsidR="000A4451" w:rsidRDefault="000A4451">
      <w:bookmarkStart w:id="0" w:name="_GoBack"/>
      <w:bookmarkEnd w:id="0"/>
    </w:p>
    <w:p w14:paraId="0000002A" w14:textId="77777777" w:rsidR="000A4451" w:rsidRDefault="00AA72CE">
      <w:r>
        <w:t xml:space="preserve">Przedłożony projekt ustawy nie zawiera przepisów technicznych w rozumieniu rozporządzenia Rady Ministrów z dnia 23 grudnia 2002 r. </w:t>
      </w:r>
      <w:r>
        <w:t>w sprawie sposobu funkcjonowania krajowego systemu notyfikacji norm i aktów prawnych (Dz. U. poz. 2039 oraz z 2004 r. poz. 597) i nie podlega notyfikacji Komisji Europejskiej.</w:t>
      </w:r>
    </w:p>
    <w:p w14:paraId="0000002B" w14:textId="77777777" w:rsidR="000A4451" w:rsidRDefault="000A4451"/>
    <w:p w14:paraId="0000002C" w14:textId="77777777" w:rsidR="000A4451" w:rsidRDefault="00AA72CE">
      <w:r>
        <w:t>Projekt ustawy nie wymaga przedstawienia właściwym organom i instytucjom Unii E</w:t>
      </w:r>
      <w:r>
        <w:t>uropejskiej, w tym Europejskiemu Bankowi Centralnemu, w celu uzyskania opinii, dokonania powiadomienia, konsultacji albo uzgodnienia.</w:t>
      </w:r>
      <w:r>
        <w:tab/>
      </w:r>
    </w:p>
    <w:p w14:paraId="0000002D" w14:textId="77777777" w:rsidR="000A4451" w:rsidRDefault="000A4451"/>
    <w:p w14:paraId="0000002E" w14:textId="77777777" w:rsidR="000A4451" w:rsidRDefault="00AA72CE">
      <w:r>
        <w:t>Projekt ustawy nie ma wpływu na działalność mikroprzedsiębiorców, małych i średnich przedsiębiorców</w:t>
      </w:r>
    </w:p>
    <w:p w14:paraId="0000002F" w14:textId="77777777" w:rsidR="000A4451" w:rsidRDefault="000A4451"/>
    <w:p w14:paraId="00000030" w14:textId="77777777" w:rsidR="000A4451" w:rsidRDefault="00AA72CE">
      <w:r>
        <w:t xml:space="preserve">Projekt ustawy nie </w:t>
      </w:r>
      <w:r>
        <w:t>jest sprzeczny z prawem Unii Europejskiej.</w:t>
      </w:r>
    </w:p>
    <w:p w14:paraId="00000031" w14:textId="77777777" w:rsidR="000A4451" w:rsidRDefault="000A4451"/>
    <w:sectPr w:rsidR="000A4451">
      <w:pgSz w:w="11906" w:h="16838"/>
      <w:pgMar w:top="1560" w:right="1434" w:bottom="1560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358B9" w14:textId="77777777" w:rsidR="00AA72CE" w:rsidRDefault="00AA72CE">
      <w:pPr>
        <w:spacing w:line="240" w:lineRule="auto"/>
      </w:pPr>
      <w:r>
        <w:separator/>
      </w:r>
    </w:p>
  </w:endnote>
  <w:endnote w:type="continuationSeparator" w:id="0">
    <w:p w14:paraId="0E044066" w14:textId="77777777" w:rsidR="00AA72CE" w:rsidRDefault="00AA72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DCF431" w14:textId="77777777" w:rsidR="00AA72CE" w:rsidRDefault="00AA72CE">
      <w:pPr>
        <w:spacing w:line="240" w:lineRule="auto"/>
      </w:pPr>
      <w:r>
        <w:separator/>
      </w:r>
    </w:p>
  </w:footnote>
  <w:footnote w:type="continuationSeparator" w:id="0">
    <w:p w14:paraId="0AFFB8B1" w14:textId="77777777" w:rsidR="00AA72CE" w:rsidRDefault="00AA72C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451"/>
    <w:rsid w:val="000A4451"/>
    <w:rsid w:val="00152B9A"/>
    <w:rsid w:val="00AA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7A71BF-C172-4549-828D-A3337712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widowControl w:val="0"/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434E"/>
    <w:pPr>
      <w:autoSpaceDE w:val="0"/>
      <w:autoSpaceDN w:val="0"/>
      <w:adjustRightInd w:val="0"/>
    </w:pPr>
    <w:rPr>
      <w:rFonts w:eastAsiaTheme="minorEastAsia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</w:pPr>
    <w:rPr>
      <w:rFonts w:eastAsiaTheme="minorEastAsia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eastAsiaTheme="minorEastAsia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eastAsiaTheme="minorEastAsia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eastAsiaTheme="minorEastAsia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eastAsiaTheme="minorEastAsia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dwwgHBtnOioPWmBLvbg8euhWEQ==">AMUW2mVJlAwGWqQtXThrjvuOvUbov/YjknXvmFDwdd+89n0WrkzCW/QAVTua8K6A48wubPvuIejamVBgoTfnW9t24QFhhhHbL5v2YD0ZrFOq1J6rBsrevGOyvpsOLFra2qa/q6wrXCpZ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Malinowska-Wójcicka</dc:creator>
  <cp:lastModifiedBy>Grzegorz Molesztak</cp:lastModifiedBy>
  <cp:revision>2</cp:revision>
  <dcterms:created xsi:type="dcterms:W3CDTF">2022-04-21T11:47:00Z</dcterms:created>
  <dcterms:modified xsi:type="dcterms:W3CDTF">2022-09-28T09:34:00Z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