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7977" w:rsidRPr="000E7977" w:rsidRDefault="000E7977" w:rsidP="000E7977">
      <w:pPr>
        <w:spacing w:before="240" w:after="240" w:line="360" w:lineRule="auto"/>
        <w:jc w:val="center"/>
        <w:rPr>
          <w:rFonts w:ascii="Tahoma" w:eastAsia="Times New Roman" w:hAnsi="Tahoma" w:cs="Tahoma"/>
          <w:sz w:val="24"/>
          <w:szCs w:val="24"/>
          <w:lang w:eastAsia="pl-PL"/>
        </w:rPr>
      </w:pPr>
      <w:bookmarkStart w:id="0" w:name="_GoBack"/>
      <w:bookmarkEnd w:id="0"/>
      <w:r w:rsidRPr="000E7977">
        <w:rPr>
          <w:rFonts w:ascii="Tahoma" w:eastAsia="Times New Roman" w:hAnsi="Tahoma" w:cs="Tahoma"/>
          <w:b/>
          <w:bCs/>
          <w:color w:val="000000"/>
          <w:sz w:val="26"/>
          <w:szCs w:val="26"/>
          <w:lang w:eastAsia="pl-PL"/>
        </w:rPr>
        <w:t>UZASADNIENIE</w:t>
      </w:r>
    </w:p>
    <w:p w:rsidR="000E7977" w:rsidRPr="000E7977" w:rsidRDefault="000E7977" w:rsidP="000E7977">
      <w:pPr>
        <w:spacing w:after="0" w:line="360" w:lineRule="auto"/>
        <w:jc w:val="both"/>
        <w:rPr>
          <w:rFonts w:ascii="Tahoma" w:eastAsia="Times New Roman" w:hAnsi="Tahoma" w:cs="Tahoma"/>
          <w:sz w:val="24"/>
          <w:szCs w:val="24"/>
          <w:lang w:eastAsia="pl-PL"/>
        </w:rPr>
      </w:pPr>
    </w:p>
    <w:p w:rsidR="000E7977" w:rsidRPr="000E7977" w:rsidRDefault="000E7977" w:rsidP="000E7977">
      <w:pPr>
        <w:spacing w:before="240" w:after="240" w:line="360" w:lineRule="auto"/>
        <w:jc w:val="both"/>
        <w:rPr>
          <w:rFonts w:ascii="Tahoma" w:eastAsia="Times New Roman" w:hAnsi="Tahoma" w:cs="Tahoma"/>
          <w:sz w:val="24"/>
          <w:szCs w:val="24"/>
          <w:lang w:eastAsia="pl-PL"/>
        </w:rPr>
      </w:pPr>
      <w:r w:rsidRPr="000E7977">
        <w:rPr>
          <w:rFonts w:ascii="Tahoma" w:eastAsia="Times New Roman" w:hAnsi="Tahoma" w:cs="Tahoma"/>
          <w:b/>
          <w:bCs/>
          <w:color w:val="000000"/>
          <w:sz w:val="26"/>
          <w:szCs w:val="26"/>
          <w:lang w:eastAsia="pl-PL"/>
        </w:rPr>
        <w:t>I. Cel i potrzeba regulacji</w:t>
      </w:r>
      <w:r w:rsidRPr="000E7977">
        <w:rPr>
          <w:rFonts w:ascii="Tahoma" w:eastAsia="Times New Roman" w:hAnsi="Tahoma" w:cs="Tahoma"/>
          <w:color w:val="000000"/>
          <w:sz w:val="26"/>
          <w:szCs w:val="26"/>
          <w:lang w:eastAsia="pl-PL"/>
        </w:rPr>
        <w:t> </w:t>
      </w:r>
    </w:p>
    <w:p w:rsidR="000E7977" w:rsidRPr="000E7977" w:rsidRDefault="000E7977" w:rsidP="000E7977">
      <w:pPr>
        <w:spacing w:before="240" w:after="240" w:line="360" w:lineRule="auto"/>
        <w:jc w:val="both"/>
        <w:rPr>
          <w:rFonts w:ascii="Tahoma" w:eastAsia="Times New Roman" w:hAnsi="Tahoma" w:cs="Tahoma"/>
          <w:sz w:val="24"/>
          <w:szCs w:val="24"/>
          <w:lang w:eastAsia="pl-PL"/>
        </w:rPr>
      </w:pPr>
      <w:r w:rsidRPr="000E7977">
        <w:rPr>
          <w:rFonts w:ascii="Tahoma" w:eastAsia="Times New Roman" w:hAnsi="Tahoma" w:cs="Tahoma"/>
          <w:color w:val="000000"/>
          <w:sz w:val="26"/>
          <w:szCs w:val="26"/>
          <w:lang w:eastAsia="pl-PL"/>
        </w:rPr>
        <w:t>Projekt zmian w ustawie o zapobieganiu oraz zwalczaniu zakażeń i chorób zakaźnych u ludzi ma na celu wprowadzenie trybu i uregulowanie prawne pozycji osób z podejrzeniem zachorowania na wirus SARS-CoV-2, ponieważ kwestia ta nie została uregulowana. Potrzeba jej regulacji zrodziła się wraz z wybuchem epidemii SARS-CoV-2.</w:t>
      </w:r>
    </w:p>
    <w:p w:rsidR="000E7977" w:rsidRPr="000E7977" w:rsidRDefault="000E7977" w:rsidP="000E7977">
      <w:pPr>
        <w:spacing w:after="0" w:line="360" w:lineRule="auto"/>
        <w:jc w:val="both"/>
        <w:rPr>
          <w:rFonts w:ascii="Tahoma" w:eastAsia="Times New Roman" w:hAnsi="Tahoma" w:cs="Tahoma"/>
          <w:sz w:val="24"/>
          <w:szCs w:val="24"/>
          <w:lang w:eastAsia="pl-PL"/>
        </w:rPr>
      </w:pPr>
    </w:p>
    <w:p w:rsidR="000E7977" w:rsidRPr="000E7977" w:rsidRDefault="000E7977" w:rsidP="000E7977">
      <w:pPr>
        <w:spacing w:after="240" w:line="360" w:lineRule="auto"/>
        <w:jc w:val="both"/>
        <w:rPr>
          <w:rFonts w:ascii="Tahoma" w:eastAsia="Times New Roman" w:hAnsi="Tahoma" w:cs="Tahoma"/>
          <w:sz w:val="24"/>
          <w:szCs w:val="24"/>
          <w:lang w:eastAsia="pl-PL"/>
        </w:rPr>
      </w:pPr>
      <w:r w:rsidRPr="000E7977">
        <w:rPr>
          <w:rFonts w:ascii="Tahoma" w:eastAsia="Times New Roman" w:hAnsi="Tahoma" w:cs="Tahoma"/>
          <w:b/>
          <w:bCs/>
          <w:color w:val="000000"/>
          <w:sz w:val="26"/>
          <w:szCs w:val="26"/>
          <w:lang w:eastAsia="pl-PL"/>
        </w:rPr>
        <w:t>II. Rzeczywisty stan w dziedzinie, która ma być unormowana</w:t>
      </w:r>
    </w:p>
    <w:p w:rsidR="000E7977" w:rsidRPr="000E7977" w:rsidRDefault="000E7977" w:rsidP="000E7977">
      <w:pPr>
        <w:spacing w:before="240" w:after="240" w:line="360" w:lineRule="auto"/>
        <w:jc w:val="both"/>
        <w:rPr>
          <w:rFonts w:ascii="Tahoma" w:eastAsia="Times New Roman" w:hAnsi="Tahoma" w:cs="Tahoma"/>
          <w:sz w:val="24"/>
          <w:szCs w:val="24"/>
          <w:lang w:eastAsia="pl-PL"/>
        </w:rPr>
      </w:pPr>
      <w:r w:rsidRPr="000E7977">
        <w:rPr>
          <w:rFonts w:ascii="Tahoma" w:eastAsia="Times New Roman" w:hAnsi="Tahoma" w:cs="Tahoma"/>
          <w:color w:val="000000"/>
          <w:sz w:val="26"/>
          <w:szCs w:val="26"/>
          <w:lang w:eastAsia="pl-PL"/>
        </w:rPr>
        <w:t>Obecnie brak jest regulacji odnoszącej się do chorych bądź osób z podejrzeniem zachorowania na SARS-CoV-2.</w:t>
      </w:r>
    </w:p>
    <w:p w:rsidR="000E7977" w:rsidRDefault="000E7977" w:rsidP="000E7977">
      <w:pPr>
        <w:spacing w:before="240" w:after="0" w:line="360" w:lineRule="auto"/>
        <w:jc w:val="both"/>
        <w:rPr>
          <w:rFonts w:ascii="Tahoma" w:eastAsia="Times New Roman" w:hAnsi="Tahoma" w:cs="Tahoma"/>
          <w:b/>
          <w:bCs/>
          <w:color w:val="000000"/>
          <w:sz w:val="26"/>
          <w:szCs w:val="26"/>
          <w:lang w:eastAsia="pl-PL"/>
        </w:rPr>
      </w:pPr>
    </w:p>
    <w:p w:rsidR="000E7977" w:rsidRPr="000E7977" w:rsidRDefault="000E7977" w:rsidP="000E7977">
      <w:pPr>
        <w:spacing w:before="240" w:after="240" w:line="360" w:lineRule="auto"/>
        <w:jc w:val="both"/>
        <w:rPr>
          <w:rFonts w:ascii="Tahoma" w:eastAsia="Times New Roman" w:hAnsi="Tahoma" w:cs="Tahoma"/>
          <w:sz w:val="24"/>
          <w:szCs w:val="24"/>
          <w:lang w:eastAsia="pl-PL"/>
        </w:rPr>
      </w:pPr>
      <w:r w:rsidRPr="000E7977">
        <w:rPr>
          <w:rFonts w:ascii="Tahoma" w:eastAsia="Times New Roman" w:hAnsi="Tahoma" w:cs="Tahoma"/>
          <w:b/>
          <w:bCs/>
          <w:color w:val="000000"/>
          <w:sz w:val="26"/>
          <w:szCs w:val="26"/>
          <w:lang w:eastAsia="pl-PL"/>
        </w:rPr>
        <w:t>III. Różnice pomiędzy dotychczasowym a projektowanym stanem prawnym</w:t>
      </w:r>
    </w:p>
    <w:p w:rsidR="000E7977" w:rsidRPr="000E7977" w:rsidRDefault="000E7977" w:rsidP="000E7977">
      <w:pPr>
        <w:spacing w:before="240" w:after="240" w:line="360" w:lineRule="auto"/>
        <w:jc w:val="both"/>
        <w:rPr>
          <w:rFonts w:ascii="Tahoma" w:eastAsia="Times New Roman" w:hAnsi="Tahoma" w:cs="Tahoma"/>
          <w:sz w:val="24"/>
          <w:szCs w:val="24"/>
          <w:lang w:eastAsia="pl-PL"/>
        </w:rPr>
      </w:pPr>
      <w:r w:rsidRPr="000E7977">
        <w:rPr>
          <w:rFonts w:ascii="Tahoma" w:eastAsia="Times New Roman" w:hAnsi="Tahoma" w:cs="Tahoma"/>
          <w:color w:val="000000"/>
          <w:sz w:val="26"/>
          <w:szCs w:val="26"/>
          <w:lang w:eastAsia="pl-PL"/>
        </w:rPr>
        <w:t>Projekt przewiduje zmiany art. 34 ustawy z dnia 5 grudnia 2008 r. o zapobieganiu oraz zwalczaniu zakażeń i chorób zakaźnych u ludzi (Dz. U. 2019 poz. 1239 i 1495). Art. 34 reguluje zakres stosowania obowiązkowej hospitalizacji, obowiązkowego leczenia, a także tryb nakładania obowiązku izolacji lub kwarantanny oraz poddawania się badaniom.</w:t>
      </w:r>
    </w:p>
    <w:p w:rsidR="000E7977" w:rsidRPr="000E7977" w:rsidRDefault="000E7977" w:rsidP="000E7977">
      <w:pPr>
        <w:spacing w:before="240" w:after="240" w:line="360" w:lineRule="auto"/>
        <w:jc w:val="both"/>
        <w:rPr>
          <w:rFonts w:ascii="Tahoma" w:eastAsia="Times New Roman" w:hAnsi="Tahoma" w:cs="Tahoma"/>
          <w:sz w:val="24"/>
          <w:szCs w:val="24"/>
          <w:lang w:eastAsia="pl-PL"/>
        </w:rPr>
      </w:pPr>
      <w:r w:rsidRPr="000E7977">
        <w:rPr>
          <w:rFonts w:ascii="Tahoma" w:eastAsia="Times New Roman" w:hAnsi="Tahoma" w:cs="Tahoma"/>
          <w:color w:val="000000"/>
          <w:sz w:val="26"/>
          <w:szCs w:val="26"/>
          <w:lang w:eastAsia="pl-PL"/>
        </w:rPr>
        <w:t>Art. 34 pkt. 1 wymienia enumeratywnie choroby, w przypadku wystąpienia których obowiązkowa jest hospitalizacja. W wyniku rozprzestrzeniania się wirusa SARS-CoV-2 pojawiła się potrzeba dodania do tejże listy jednostki chorobowej COVID-19.</w:t>
      </w:r>
    </w:p>
    <w:p w:rsidR="000E7977" w:rsidRPr="000E7977" w:rsidRDefault="000E7977" w:rsidP="000E7977">
      <w:pPr>
        <w:spacing w:after="0" w:line="360" w:lineRule="auto"/>
        <w:jc w:val="both"/>
        <w:rPr>
          <w:rFonts w:ascii="Tahoma" w:eastAsia="Times New Roman" w:hAnsi="Tahoma" w:cs="Tahoma"/>
          <w:sz w:val="24"/>
          <w:szCs w:val="24"/>
          <w:lang w:eastAsia="pl-PL"/>
        </w:rPr>
      </w:pPr>
      <w:r w:rsidRPr="000E7977">
        <w:rPr>
          <w:rFonts w:ascii="Tahoma" w:eastAsia="Times New Roman" w:hAnsi="Tahoma" w:cs="Tahoma"/>
          <w:color w:val="000000"/>
          <w:sz w:val="26"/>
          <w:szCs w:val="26"/>
          <w:lang w:eastAsia="pl-PL"/>
        </w:rPr>
        <w:lastRenderedPageBreak/>
        <w:t> </w:t>
      </w:r>
    </w:p>
    <w:p w:rsidR="000E7977" w:rsidRPr="000E7977" w:rsidRDefault="000E7977" w:rsidP="000E7977">
      <w:pPr>
        <w:spacing w:before="240" w:after="240" w:line="360" w:lineRule="auto"/>
        <w:jc w:val="both"/>
        <w:rPr>
          <w:rFonts w:ascii="Tahoma" w:eastAsia="Times New Roman" w:hAnsi="Tahoma" w:cs="Tahoma"/>
          <w:sz w:val="24"/>
          <w:szCs w:val="24"/>
          <w:lang w:eastAsia="pl-PL"/>
        </w:rPr>
      </w:pPr>
      <w:r w:rsidRPr="000E7977">
        <w:rPr>
          <w:rFonts w:ascii="Tahoma" w:eastAsia="Times New Roman" w:hAnsi="Tahoma" w:cs="Tahoma"/>
          <w:b/>
          <w:bCs/>
          <w:color w:val="000000"/>
          <w:sz w:val="26"/>
          <w:szCs w:val="26"/>
          <w:lang w:eastAsia="pl-PL"/>
        </w:rPr>
        <w:t>IV. Przewidywane skutki społeczne, gospodarcze, finansowe i prawne</w:t>
      </w:r>
    </w:p>
    <w:p w:rsidR="000E7977" w:rsidRPr="000E7977" w:rsidRDefault="000E7977" w:rsidP="000E7977">
      <w:pPr>
        <w:spacing w:before="240" w:after="240" w:line="360" w:lineRule="auto"/>
        <w:jc w:val="both"/>
        <w:rPr>
          <w:rFonts w:ascii="Tahoma" w:eastAsia="Times New Roman" w:hAnsi="Tahoma" w:cs="Tahoma"/>
          <w:sz w:val="24"/>
          <w:szCs w:val="24"/>
          <w:lang w:eastAsia="pl-PL"/>
        </w:rPr>
      </w:pPr>
      <w:r w:rsidRPr="000E7977">
        <w:rPr>
          <w:rFonts w:ascii="Tahoma" w:eastAsia="Times New Roman" w:hAnsi="Tahoma" w:cs="Tahoma"/>
          <w:color w:val="000000"/>
          <w:sz w:val="26"/>
          <w:szCs w:val="26"/>
          <w:lang w:eastAsia="pl-PL"/>
        </w:rPr>
        <w:t>Realizacja art. 34 nie będzie rodzić żadnych kosztów dla budżetu państwa, gdyż dotychczas lekarze stosując wiedzę medyczną w przypadku rozpoznania chorób wymienionych w ust. 1 tego artykułu stosowali hospitalizację, ponieważ tylko podjęcie takiego działania gwarantuje wyeliminowanie zagrożenia dla zdrowia publicznego i zapewnienie odpowiedniej opieki osobie chorej lub zakażonej.</w:t>
      </w:r>
    </w:p>
    <w:p w:rsidR="000E7977" w:rsidRPr="000E7977" w:rsidRDefault="000E7977" w:rsidP="000E7977">
      <w:pPr>
        <w:spacing w:before="240" w:after="0" w:line="360" w:lineRule="auto"/>
        <w:jc w:val="both"/>
        <w:rPr>
          <w:rFonts w:ascii="Tahoma" w:eastAsia="Times New Roman" w:hAnsi="Tahoma" w:cs="Tahoma"/>
          <w:sz w:val="24"/>
          <w:szCs w:val="24"/>
          <w:lang w:eastAsia="pl-PL"/>
        </w:rPr>
      </w:pPr>
      <w:r w:rsidRPr="000E7977">
        <w:rPr>
          <w:rFonts w:ascii="Tahoma" w:eastAsia="Times New Roman" w:hAnsi="Tahoma" w:cs="Tahoma"/>
          <w:color w:val="000000"/>
          <w:sz w:val="26"/>
          <w:szCs w:val="26"/>
          <w:lang w:eastAsia="pl-PL"/>
        </w:rPr>
        <w:t> </w:t>
      </w:r>
    </w:p>
    <w:p w:rsidR="000E7977" w:rsidRPr="000E7977" w:rsidRDefault="000E7977" w:rsidP="000E7977">
      <w:pPr>
        <w:spacing w:before="240" w:after="240" w:line="360" w:lineRule="auto"/>
        <w:jc w:val="both"/>
        <w:rPr>
          <w:rFonts w:ascii="Tahoma" w:eastAsia="Times New Roman" w:hAnsi="Tahoma" w:cs="Tahoma"/>
          <w:sz w:val="24"/>
          <w:szCs w:val="24"/>
          <w:lang w:eastAsia="pl-PL"/>
        </w:rPr>
      </w:pPr>
      <w:r w:rsidRPr="000E7977">
        <w:rPr>
          <w:rFonts w:ascii="Tahoma" w:eastAsia="Times New Roman" w:hAnsi="Tahoma" w:cs="Tahoma"/>
          <w:b/>
          <w:bCs/>
          <w:color w:val="000000"/>
          <w:sz w:val="26"/>
          <w:szCs w:val="26"/>
          <w:lang w:eastAsia="pl-PL"/>
        </w:rPr>
        <w:t>V. Źródła finansowania, jeżeli projekt ustawy pociąga za sobą obciążenie budżetu państwa lub budżetów jednostek samorządu terytorialnego</w:t>
      </w:r>
    </w:p>
    <w:p w:rsidR="000E7977" w:rsidRPr="000E7977" w:rsidRDefault="000E7977" w:rsidP="000E7977">
      <w:pPr>
        <w:spacing w:before="240" w:after="240" w:line="360" w:lineRule="auto"/>
        <w:jc w:val="both"/>
        <w:rPr>
          <w:rFonts w:ascii="Tahoma" w:eastAsia="Times New Roman" w:hAnsi="Tahoma" w:cs="Tahoma"/>
          <w:sz w:val="24"/>
          <w:szCs w:val="24"/>
          <w:lang w:eastAsia="pl-PL"/>
        </w:rPr>
      </w:pPr>
      <w:r w:rsidRPr="000E7977">
        <w:rPr>
          <w:rFonts w:ascii="Tahoma" w:eastAsia="Times New Roman" w:hAnsi="Tahoma" w:cs="Tahoma"/>
          <w:color w:val="000000"/>
          <w:sz w:val="26"/>
          <w:szCs w:val="26"/>
          <w:lang w:eastAsia="pl-PL"/>
        </w:rPr>
        <w:t>Wejście w życie projektu ustawy nie będzie mieć wpływu na dochody budżetu państwa oraz budżetów jednostek samorządu terytorialnego. Zmiana przedmiotowej ustawy zabezpiecza jednak budżet państwa oraz jednostek samorządu terytorialnego przed ewentualnymi roszczeniami osób poddanych kwarantannie, u których nie zostanie potwierdzone zarażenie wirusem SARS-CoV-2.</w:t>
      </w:r>
    </w:p>
    <w:p w:rsidR="000E7977" w:rsidRPr="000E7977" w:rsidRDefault="000E7977" w:rsidP="000E7977">
      <w:pPr>
        <w:spacing w:before="240" w:after="0" w:line="360" w:lineRule="auto"/>
        <w:jc w:val="both"/>
        <w:rPr>
          <w:rFonts w:ascii="Tahoma" w:eastAsia="Times New Roman" w:hAnsi="Tahoma" w:cs="Tahoma"/>
          <w:sz w:val="24"/>
          <w:szCs w:val="24"/>
          <w:lang w:eastAsia="pl-PL"/>
        </w:rPr>
      </w:pPr>
      <w:r w:rsidRPr="000E7977">
        <w:rPr>
          <w:rFonts w:ascii="Tahoma" w:eastAsia="Times New Roman" w:hAnsi="Tahoma" w:cs="Tahoma"/>
          <w:color w:val="000000"/>
          <w:sz w:val="26"/>
          <w:szCs w:val="26"/>
          <w:lang w:eastAsia="pl-PL"/>
        </w:rPr>
        <w:t> </w:t>
      </w:r>
    </w:p>
    <w:p w:rsidR="000E7977" w:rsidRPr="000E7977" w:rsidRDefault="000E7977" w:rsidP="000E7977">
      <w:pPr>
        <w:spacing w:before="240" w:after="240" w:line="360" w:lineRule="auto"/>
        <w:jc w:val="both"/>
        <w:rPr>
          <w:rFonts w:ascii="Tahoma" w:eastAsia="Times New Roman" w:hAnsi="Tahoma" w:cs="Tahoma"/>
          <w:sz w:val="24"/>
          <w:szCs w:val="24"/>
          <w:lang w:eastAsia="pl-PL"/>
        </w:rPr>
      </w:pPr>
      <w:r w:rsidRPr="000E7977">
        <w:rPr>
          <w:rFonts w:ascii="Tahoma" w:eastAsia="Times New Roman" w:hAnsi="Tahoma" w:cs="Tahoma"/>
          <w:b/>
          <w:bCs/>
          <w:color w:val="000000"/>
          <w:sz w:val="26"/>
          <w:szCs w:val="26"/>
          <w:lang w:eastAsia="pl-PL"/>
        </w:rPr>
        <w:t>VI. Wpływ projektu ustawy na działalność mikroprzedsiębiorców oraz małych i średnich przedsiębiorców</w:t>
      </w:r>
    </w:p>
    <w:p w:rsidR="000E7977" w:rsidRPr="000E7977" w:rsidRDefault="000E7977" w:rsidP="000E7977">
      <w:pPr>
        <w:spacing w:before="240" w:after="240" w:line="360" w:lineRule="auto"/>
        <w:jc w:val="both"/>
        <w:rPr>
          <w:rFonts w:ascii="Tahoma" w:eastAsia="Times New Roman" w:hAnsi="Tahoma" w:cs="Tahoma"/>
          <w:sz w:val="24"/>
          <w:szCs w:val="24"/>
          <w:lang w:eastAsia="pl-PL"/>
        </w:rPr>
      </w:pPr>
      <w:r w:rsidRPr="000E7977">
        <w:rPr>
          <w:rFonts w:ascii="Tahoma" w:eastAsia="Times New Roman" w:hAnsi="Tahoma" w:cs="Tahoma"/>
          <w:color w:val="000000"/>
          <w:sz w:val="26"/>
          <w:szCs w:val="26"/>
          <w:lang w:eastAsia="pl-PL"/>
        </w:rPr>
        <w:t>Wejście w życie projektu ustawy nie wpłynie bezpośrednio na rynek pracy, konkurencyjność gospodarki, funkcjonowanie mikroprzedsiębiorców oraz małych i średnich przedsiębiorców ani rozwój regionalny.</w:t>
      </w:r>
    </w:p>
    <w:p w:rsidR="000E7977" w:rsidRPr="000E7977" w:rsidRDefault="000E7977" w:rsidP="000E7977">
      <w:pPr>
        <w:spacing w:before="240" w:after="240" w:line="360" w:lineRule="auto"/>
        <w:jc w:val="both"/>
        <w:rPr>
          <w:rFonts w:ascii="Tahoma" w:eastAsia="Times New Roman" w:hAnsi="Tahoma" w:cs="Tahoma"/>
          <w:sz w:val="24"/>
          <w:szCs w:val="24"/>
          <w:lang w:eastAsia="pl-PL"/>
        </w:rPr>
      </w:pPr>
      <w:r w:rsidRPr="000E7977">
        <w:rPr>
          <w:rFonts w:ascii="Tahoma" w:eastAsia="Times New Roman" w:hAnsi="Tahoma" w:cs="Tahoma"/>
          <w:b/>
          <w:bCs/>
          <w:color w:val="000000"/>
          <w:sz w:val="26"/>
          <w:szCs w:val="26"/>
          <w:lang w:eastAsia="pl-PL"/>
        </w:rPr>
        <w:lastRenderedPageBreak/>
        <w:t>VII. Założenia projektów podstawowych aktów wykonawczych</w:t>
      </w:r>
    </w:p>
    <w:p w:rsidR="000E7977" w:rsidRPr="000E7977" w:rsidRDefault="000E7977" w:rsidP="000E7977">
      <w:pPr>
        <w:spacing w:before="240" w:after="240" w:line="360" w:lineRule="auto"/>
        <w:jc w:val="both"/>
        <w:rPr>
          <w:rFonts w:ascii="Tahoma" w:eastAsia="Times New Roman" w:hAnsi="Tahoma" w:cs="Tahoma"/>
          <w:sz w:val="24"/>
          <w:szCs w:val="24"/>
          <w:lang w:eastAsia="pl-PL"/>
        </w:rPr>
      </w:pPr>
      <w:r w:rsidRPr="000E7977">
        <w:rPr>
          <w:rFonts w:ascii="Tahoma" w:eastAsia="Times New Roman" w:hAnsi="Tahoma" w:cs="Tahoma"/>
          <w:color w:val="000000"/>
          <w:sz w:val="26"/>
          <w:szCs w:val="26"/>
          <w:lang w:eastAsia="pl-PL"/>
        </w:rPr>
        <w:t>Projekt nie przewiduje zmiany obowiązujących ani wydania nowych aktów wykonawczych.</w:t>
      </w:r>
    </w:p>
    <w:p w:rsidR="000E7977" w:rsidRPr="000E7977" w:rsidRDefault="000E7977" w:rsidP="000E7977">
      <w:pPr>
        <w:spacing w:after="0" w:line="360" w:lineRule="auto"/>
        <w:jc w:val="both"/>
        <w:rPr>
          <w:rFonts w:ascii="Tahoma" w:eastAsia="Times New Roman" w:hAnsi="Tahoma" w:cs="Tahoma"/>
          <w:sz w:val="24"/>
          <w:szCs w:val="24"/>
          <w:lang w:eastAsia="pl-PL"/>
        </w:rPr>
      </w:pPr>
      <w:r w:rsidRPr="000E7977">
        <w:rPr>
          <w:rFonts w:ascii="Tahoma" w:eastAsia="Times New Roman" w:hAnsi="Tahoma" w:cs="Tahoma"/>
          <w:color w:val="000000"/>
          <w:sz w:val="26"/>
          <w:szCs w:val="26"/>
          <w:lang w:eastAsia="pl-PL"/>
        </w:rPr>
        <w:t> </w:t>
      </w:r>
    </w:p>
    <w:p w:rsidR="000E7977" w:rsidRPr="000E7977" w:rsidRDefault="000E7977" w:rsidP="000E7977">
      <w:pPr>
        <w:spacing w:before="240" w:after="240" w:line="360" w:lineRule="auto"/>
        <w:jc w:val="both"/>
        <w:rPr>
          <w:rFonts w:ascii="Tahoma" w:eastAsia="Times New Roman" w:hAnsi="Tahoma" w:cs="Tahoma"/>
          <w:sz w:val="24"/>
          <w:szCs w:val="24"/>
          <w:lang w:eastAsia="pl-PL"/>
        </w:rPr>
      </w:pPr>
      <w:r w:rsidRPr="000E7977">
        <w:rPr>
          <w:rFonts w:ascii="Tahoma" w:eastAsia="Times New Roman" w:hAnsi="Tahoma" w:cs="Tahoma"/>
          <w:b/>
          <w:bCs/>
          <w:color w:val="000000"/>
          <w:sz w:val="26"/>
          <w:szCs w:val="26"/>
          <w:lang w:eastAsia="pl-PL"/>
        </w:rPr>
        <w:t>VIII. Zgodność z prawem Unii Europejskiej</w:t>
      </w:r>
    </w:p>
    <w:p w:rsidR="000E7977" w:rsidRPr="000E7977" w:rsidRDefault="000E7977" w:rsidP="000E7977">
      <w:pPr>
        <w:spacing w:before="240" w:after="240" w:line="360" w:lineRule="auto"/>
        <w:jc w:val="both"/>
        <w:rPr>
          <w:rFonts w:ascii="Tahoma" w:eastAsia="Times New Roman" w:hAnsi="Tahoma" w:cs="Tahoma"/>
          <w:sz w:val="24"/>
          <w:szCs w:val="24"/>
          <w:lang w:eastAsia="pl-PL"/>
        </w:rPr>
      </w:pPr>
      <w:r w:rsidRPr="000E7977">
        <w:rPr>
          <w:rFonts w:ascii="Tahoma" w:eastAsia="Times New Roman" w:hAnsi="Tahoma" w:cs="Tahoma"/>
          <w:color w:val="000000"/>
          <w:sz w:val="26"/>
          <w:szCs w:val="26"/>
          <w:lang w:eastAsia="pl-PL"/>
        </w:rPr>
        <w:t>Przedmiot projektu niniejszej ustawy nie jest objęty prawem Unii Europejskiej.</w:t>
      </w:r>
    </w:p>
    <w:p w:rsidR="000E7977" w:rsidRPr="000E7977" w:rsidRDefault="000E7977" w:rsidP="000E7977">
      <w:pPr>
        <w:spacing w:after="0" w:line="360" w:lineRule="auto"/>
        <w:jc w:val="both"/>
        <w:rPr>
          <w:rFonts w:ascii="Tahoma" w:eastAsia="Times New Roman" w:hAnsi="Tahoma" w:cs="Tahoma"/>
          <w:sz w:val="24"/>
          <w:szCs w:val="24"/>
          <w:lang w:eastAsia="pl-PL"/>
        </w:rPr>
      </w:pPr>
    </w:p>
    <w:p w:rsidR="000E7977" w:rsidRPr="000E7977" w:rsidRDefault="000E7977" w:rsidP="000E7977">
      <w:pPr>
        <w:spacing w:before="240" w:after="240" w:line="360" w:lineRule="auto"/>
        <w:jc w:val="both"/>
        <w:rPr>
          <w:rFonts w:ascii="Tahoma" w:eastAsia="Times New Roman" w:hAnsi="Tahoma" w:cs="Tahoma"/>
          <w:sz w:val="24"/>
          <w:szCs w:val="24"/>
          <w:lang w:eastAsia="pl-PL"/>
        </w:rPr>
      </w:pPr>
      <w:r w:rsidRPr="000E7977">
        <w:rPr>
          <w:rFonts w:ascii="Tahoma" w:eastAsia="Times New Roman" w:hAnsi="Tahoma" w:cs="Tahoma"/>
          <w:b/>
          <w:bCs/>
          <w:color w:val="000000"/>
          <w:sz w:val="26"/>
          <w:szCs w:val="26"/>
          <w:lang w:eastAsia="pl-PL"/>
        </w:rPr>
        <w:t>IX. Konsultacje społeczne</w:t>
      </w:r>
    </w:p>
    <w:p w:rsidR="000E7977" w:rsidRPr="000E7977" w:rsidRDefault="000E7977" w:rsidP="000E7977">
      <w:pPr>
        <w:spacing w:before="240" w:after="240" w:line="360" w:lineRule="auto"/>
        <w:jc w:val="both"/>
        <w:rPr>
          <w:rFonts w:ascii="Tahoma" w:eastAsia="Times New Roman" w:hAnsi="Tahoma" w:cs="Tahoma"/>
          <w:sz w:val="24"/>
          <w:szCs w:val="24"/>
          <w:lang w:eastAsia="pl-PL"/>
        </w:rPr>
      </w:pPr>
      <w:r w:rsidRPr="000E7977">
        <w:rPr>
          <w:rFonts w:ascii="Tahoma" w:eastAsia="Times New Roman" w:hAnsi="Tahoma" w:cs="Tahoma"/>
          <w:color w:val="000000"/>
          <w:sz w:val="26"/>
          <w:szCs w:val="26"/>
          <w:lang w:eastAsia="pl-PL"/>
        </w:rPr>
        <w:t>Projekt ze względu na wyjątkową sytuację, nie był poddawany konsultacjom publicznym. </w:t>
      </w:r>
    </w:p>
    <w:p w:rsidR="000E7977" w:rsidRPr="000E7977" w:rsidRDefault="000E7977" w:rsidP="000E7977">
      <w:pPr>
        <w:spacing w:after="0" w:line="360" w:lineRule="auto"/>
        <w:jc w:val="both"/>
        <w:rPr>
          <w:rFonts w:ascii="Tahoma" w:eastAsia="Times New Roman" w:hAnsi="Tahoma" w:cs="Tahoma"/>
          <w:sz w:val="24"/>
          <w:szCs w:val="24"/>
          <w:lang w:eastAsia="pl-PL"/>
        </w:rPr>
      </w:pPr>
      <w:r w:rsidRPr="000E7977">
        <w:rPr>
          <w:rFonts w:ascii="Tahoma" w:eastAsia="Times New Roman" w:hAnsi="Tahoma" w:cs="Tahoma"/>
          <w:color w:val="000000"/>
          <w:lang w:eastAsia="pl-PL"/>
        </w:rPr>
        <w:t> </w:t>
      </w:r>
    </w:p>
    <w:p w:rsidR="00997048" w:rsidRPr="000E7977" w:rsidRDefault="00997048" w:rsidP="000E7977">
      <w:pPr>
        <w:spacing w:line="360" w:lineRule="auto"/>
        <w:jc w:val="both"/>
        <w:rPr>
          <w:rFonts w:ascii="Tahoma" w:hAnsi="Tahoma" w:cs="Tahoma"/>
        </w:rPr>
      </w:pPr>
    </w:p>
    <w:sectPr w:rsidR="00997048" w:rsidRPr="000E7977" w:rsidSect="000E7977">
      <w:pgSz w:w="11906" w:h="16838"/>
      <w:pgMar w:top="1560" w:right="1558"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051F3A"/>
    <w:multiLevelType w:val="multilevel"/>
    <w:tmpl w:val="70DE5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977"/>
    <w:rsid w:val="000E7977"/>
    <w:rsid w:val="003372EA"/>
    <w:rsid w:val="00997048"/>
    <w:rsid w:val="00E82D38"/>
    <w:rsid w:val="00EB63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770E01-7FCF-4345-AA41-68AF990D4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0E7977"/>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007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401</Words>
  <Characters>2412</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Kancelaria Sejmu</Company>
  <LinksUpToDate>false</LinksUpToDate>
  <CharactersWithSpaces>2808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Grażyna D. Grabowska</dc:creator>
  <cp:keywords/>
  <dc:description/>
  <cp:lastModifiedBy>Grzegorz Molesztak</cp:lastModifiedBy>
  <cp:revision>3</cp:revision>
  <dcterms:created xsi:type="dcterms:W3CDTF">2020-02-27T14:31:00Z</dcterms:created>
  <dcterms:modified xsi:type="dcterms:W3CDTF">2020-02-28T11:05:00Z</dcterms:modified>
</cp:coreProperties>
</file>