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DC2819" w14:textId="77777777" w:rsidR="007E50D9" w:rsidRPr="00E12CE5" w:rsidRDefault="007E50D9" w:rsidP="007E50D9">
      <w:pPr>
        <w:pStyle w:val="CZKSIGAoznaczenieiprzedmiotczcilubksigi"/>
        <w:rPr>
          <w:rFonts w:ascii="Times New Roman" w:hAnsi="Times New Roman"/>
          <w:b w:val="0"/>
        </w:rPr>
      </w:pPr>
      <w:bookmarkStart w:id="0" w:name="_GoBack"/>
      <w:bookmarkEnd w:id="0"/>
      <w:r w:rsidRPr="00E12CE5">
        <w:rPr>
          <w:rFonts w:ascii="Times New Roman" w:hAnsi="Times New Roman"/>
          <w:b w:val="0"/>
        </w:rPr>
        <w:t>Uzasadnienie</w:t>
      </w:r>
    </w:p>
    <w:p w14:paraId="1FFB1409" w14:textId="59DF50C3" w:rsidR="007E50D9" w:rsidRPr="00E12CE5" w:rsidRDefault="007E50D9" w:rsidP="00E12CE5">
      <w:pPr>
        <w:pStyle w:val="NIEARTTEKSTtekstnieartykuowanynppodstprawnarozplubpreambua"/>
        <w:ind w:firstLine="0"/>
        <w:rPr>
          <w:rFonts w:ascii="Times New Roman" w:hAnsi="Times New Roman" w:cs="Times New Roman"/>
          <w:szCs w:val="24"/>
        </w:rPr>
      </w:pPr>
      <w:r w:rsidRPr="00E12CE5">
        <w:rPr>
          <w:rFonts w:ascii="Times New Roman" w:hAnsi="Times New Roman" w:cs="Times New Roman"/>
          <w:szCs w:val="24"/>
        </w:rPr>
        <w:t>Proponowane w projekcie ustawy zmiany mają na celu transpozycję do polskiego porządku prawnego dyrektywy Parlamentu Europejskiego i Rady (UE) 2019/692 z dnia 17</w:t>
      </w:r>
      <w:r>
        <w:rPr>
          <w:rFonts w:ascii="Times New Roman" w:hAnsi="Times New Roman" w:cs="Times New Roman"/>
          <w:szCs w:val="24"/>
        </w:rPr>
        <w:t xml:space="preserve"> </w:t>
      </w:r>
      <w:r w:rsidRPr="00E12CE5">
        <w:rPr>
          <w:rFonts w:ascii="Times New Roman" w:hAnsi="Times New Roman" w:cs="Times New Roman"/>
          <w:szCs w:val="24"/>
        </w:rPr>
        <w:t xml:space="preserve">kwietnia 2019 r. zmieniającej dyrektywę 2009/73/WE dotyczącą wspólnych zasad rynku wewnętrznego gazu ziemnego (dalej: </w:t>
      </w:r>
      <w:r w:rsidR="00DF47B0">
        <w:rPr>
          <w:rFonts w:ascii="Times New Roman" w:hAnsi="Times New Roman" w:cs="Times New Roman"/>
          <w:szCs w:val="24"/>
        </w:rPr>
        <w:t>„</w:t>
      </w:r>
      <w:r w:rsidRPr="00E12CE5">
        <w:rPr>
          <w:rFonts w:ascii="Times New Roman" w:hAnsi="Times New Roman" w:cs="Times New Roman"/>
          <w:szCs w:val="24"/>
        </w:rPr>
        <w:t>dyrektywa 2019/692/UE</w:t>
      </w:r>
      <w:r w:rsidR="00DF47B0">
        <w:rPr>
          <w:rFonts w:ascii="Times New Roman" w:hAnsi="Times New Roman" w:cs="Times New Roman"/>
          <w:szCs w:val="24"/>
        </w:rPr>
        <w:t>”</w:t>
      </w:r>
      <w:r w:rsidRPr="00E12CE5">
        <w:rPr>
          <w:rFonts w:ascii="Times New Roman" w:hAnsi="Times New Roman" w:cs="Times New Roman"/>
          <w:szCs w:val="24"/>
        </w:rPr>
        <w:t xml:space="preserve">). Dyrektywa ta nakłada na państwa członkowskie obowiązek zapewnienia, aby zasady mające zastosowanie do linii przesyłowych gazu łączących dwa lub więcej państwa członkowskie miały również zastosowanie do linii przesyłowych gazu do i z państw trzecich, tj. niebędących państwami członkowskimi Unii Europejskiej lub państwami członkowskimi Europejskiego Porozumienia o Wolnym Handlu (EFTA) </w:t>
      </w:r>
      <w:r>
        <w:rPr>
          <w:rFonts w:ascii="Times New Roman" w:hAnsi="Times New Roman" w:cs="Times New Roman"/>
          <w:szCs w:val="24"/>
        </w:rPr>
        <w:t>–</w:t>
      </w:r>
      <w:r w:rsidRPr="00E12CE5">
        <w:rPr>
          <w:rFonts w:ascii="Times New Roman" w:hAnsi="Times New Roman" w:cs="Times New Roman"/>
          <w:szCs w:val="24"/>
        </w:rPr>
        <w:t xml:space="preserve"> stronami umowy o Europejskim Obszarze Gospodarczym. </w:t>
      </w:r>
    </w:p>
    <w:p w14:paraId="7E3C65A6" w14:textId="77777777" w:rsidR="007E50D9" w:rsidRPr="00E12CE5" w:rsidRDefault="007E50D9" w:rsidP="00E12CE5">
      <w:pPr>
        <w:pStyle w:val="NIEARTTEKSTtekstnieartykuowanynppodstprawnarozplubpreambua"/>
        <w:ind w:firstLine="0"/>
        <w:rPr>
          <w:rFonts w:ascii="Times New Roman" w:hAnsi="Times New Roman" w:cs="Times New Roman"/>
          <w:szCs w:val="24"/>
        </w:rPr>
      </w:pPr>
      <w:r w:rsidRPr="00E12CE5">
        <w:rPr>
          <w:rFonts w:ascii="Times New Roman" w:hAnsi="Times New Roman" w:cs="Times New Roman"/>
          <w:szCs w:val="24"/>
        </w:rPr>
        <w:t>Obowiązek nałożony dyrektywą 2019/692/UE wiąże państwa członkowskie co do celu, jakim oprócz objęcia prawem UE gazociągów z państw trzecich jest również zapewnienie spójności ram prawnych w Unii, co pozwoli uniknąć zakłóceń konkurencji na wewnętrznym rynku energii w Unii i negatywnego wpływu na bezpieczeństwo dostaw. Transpozycja tych przepisów do polskiego porządku prawnego zwiększy również przejrzystość i wzmocni pewność prawa dla uczestników rynku, w szczególności inwestorów w infrastrukturę gazową i użytkowników systemu, w odniesieniu do mającego zastosowanie systemu prawnego.</w:t>
      </w:r>
    </w:p>
    <w:p w14:paraId="6E147CF9" w14:textId="2A9BBAED" w:rsidR="007E50D9" w:rsidRPr="00E12CE5" w:rsidRDefault="007E50D9" w:rsidP="00E12CE5">
      <w:pPr>
        <w:pStyle w:val="NIEARTTEKSTtekstnieartykuowanynppodstprawnarozplubpreambua"/>
        <w:ind w:firstLine="0"/>
        <w:rPr>
          <w:rFonts w:ascii="Times New Roman" w:hAnsi="Times New Roman" w:cs="Times New Roman"/>
          <w:szCs w:val="24"/>
        </w:rPr>
      </w:pPr>
      <w:r w:rsidRPr="00E12CE5">
        <w:rPr>
          <w:rFonts w:ascii="Times New Roman" w:hAnsi="Times New Roman" w:cs="Times New Roman"/>
          <w:szCs w:val="24"/>
        </w:rPr>
        <w:t>Projektowana zmiana doprowadzi do ujednolicenia reżimu prawnego w stosunku do wszystkich gazociągów przesyłowych przebiegających przez granicę RP, niezależnie od tego, czy łączą one Polskę z systemem gazowym państwa członkowskiego Unii Europejskiej i EFTA czy też państwa niebędącego stroną żadnej z tych umów</w:t>
      </w:r>
      <w:r w:rsidR="00DF47B0">
        <w:rPr>
          <w:rFonts w:ascii="Times New Roman" w:hAnsi="Times New Roman" w:cs="Times New Roman"/>
          <w:szCs w:val="24"/>
        </w:rPr>
        <w:t>,</w:t>
      </w:r>
      <w:r w:rsidRPr="00E12CE5">
        <w:rPr>
          <w:rFonts w:ascii="Times New Roman" w:hAnsi="Times New Roman" w:cs="Times New Roman"/>
          <w:szCs w:val="24"/>
        </w:rPr>
        <w:t xml:space="preserve"> oraz zapewni jednolite stosowanie prawa UE wobec takiej infrastruktury przez: </w:t>
      </w:r>
    </w:p>
    <w:p w14:paraId="230B5D69" w14:textId="75437243" w:rsidR="007E50D9" w:rsidRPr="00E12CE5" w:rsidRDefault="007E50D9" w:rsidP="00E12CE5">
      <w:pPr>
        <w:pStyle w:val="ZARTzmartartykuempunktem"/>
        <w:ind w:left="284" w:hanging="284"/>
        <w:rPr>
          <w:rFonts w:ascii="Times New Roman" w:hAnsi="Times New Roman" w:cs="Times New Roman"/>
          <w:szCs w:val="24"/>
        </w:rPr>
      </w:pPr>
      <w:r>
        <w:rPr>
          <w:rFonts w:ascii="Times New Roman" w:hAnsi="Times New Roman" w:cs="Times New Roman"/>
          <w:szCs w:val="24"/>
        </w:rPr>
        <w:t>–</w:t>
      </w:r>
      <w:r w:rsidRPr="00E12CE5">
        <w:rPr>
          <w:rFonts w:ascii="Times New Roman" w:hAnsi="Times New Roman" w:cs="Times New Roman"/>
          <w:szCs w:val="24"/>
        </w:rPr>
        <w:tab/>
        <w:t>rozszerzenie definicji „gazociągu międzysystemowego”,</w:t>
      </w:r>
    </w:p>
    <w:p w14:paraId="060B4FDA" w14:textId="6EEBEB35" w:rsidR="007E50D9" w:rsidRPr="00E12CE5" w:rsidRDefault="007E50D9" w:rsidP="00E12CE5">
      <w:pPr>
        <w:pStyle w:val="ZARTzmartartykuempunktem"/>
        <w:ind w:left="284" w:hanging="284"/>
        <w:rPr>
          <w:rFonts w:ascii="Times New Roman" w:hAnsi="Times New Roman" w:cs="Times New Roman"/>
          <w:szCs w:val="24"/>
        </w:rPr>
      </w:pPr>
      <w:r>
        <w:rPr>
          <w:rFonts w:ascii="Times New Roman" w:hAnsi="Times New Roman" w:cs="Times New Roman"/>
          <w:szCs w:val="24"/>
        </w:rPr>
        <w:t>–</w:t>
      </w:r>
      <w:r w:rsidRPr="00E12CE5">
        <w:rPr>
          <w:rFonts w:ascii="Times New Roman" w:hAnsi="Times New Roman" w:cs="Times New Roman"/>
          <w:szCs w:val="24"/>
        </w:rPr>
        <w:tab/>
        <w:t xml:space="preserve">dookreślenie warunków udzielenia przedsiębiorstwu zwolnienia z obowiązków świadczenia usług, o których mowa w art. 4i ustawy z dnia 10 kwietnia 1997 r. </w:t>
      </w:r>
      <w:r>
        <w:rPr>
          <w:rFonts w:ascii="Times New Roman" w:hAnsi="Times New Roman" w:cs="Times New Roman"/>
          <w:szCs w:val="24"/>
        </w:rPr>
        <w:t>–</w:t>
      </w:r>
      <w:r w:rsidRPr="00E12CE5">
        <w:rPr>
          <w:rFonts w:ascii="Times New Roman" w:hAnsi="Times New Roman" w:cs="Times New Roman"/>
          <w:szCs w:val="24"/>
        </w:rPr>
        <w:t xml:space="preserve"> Prawo energetyczne (dalej: </w:t>
      </w:r>
      <w:r w:rsidR="00DF47B0">
        <w:rPr>
          <w:rFonts w:ascii="Times New Roman" w:hAnsi="Times New Roman" w:cs="Times New Roman"/>
          <w:szCs w:val="24"/>
        </w:rPr>
        <w:t>„</w:t>
      </w:r>
      <w:r w:rsidRPr="00E12CE5">
        <w:rPr>
          <w:rFonts w:ascii="Times New Roman" w:hAnsi="Times New Roman" w:cs="Times New Roman"/>
          <w:szCs w:val="24"/>
        </w:rPr>
        <w:t>ustawa</w:t>
      </w:r>
      <w:r w:rsidR="00DF47B0">
        <w:rPr>
          <w:rFonts w:ascii="Times New Roman" w:hAnsi="Times New Roman" w:cs="Times New Roman"/>
          <w:szCs w:val="24"/>
        </w:rPr>
        <w:t>”</w:t>
      </w:r>
      <w:r w:rsidRPr="00E12CE5">
        <w:rPr>
          <w:rFonts w:ascii="Times New Roman" w:hAnsi="Times New Roman" w:cs="Times New Roman"/>
          <w:szCs w:val="24"/>
        </w:rPr>
        <w:t>),</w:t>
      </w:r>
    </w:p>
    <w:p w14:paraId="7B031557" w14:textId="3AC242B3" w:rsidR="007E50D9" w:rsidRPr="00E12CE5" w:rsidRDefault="007E50D9" w:rsidP="00E12CE5">
      <w:pPr>
        <w:pStyle w:val="ZARTzmartartykuempunktem"/>
        <w:ind w:left="284" w:hanging="284"/>
        <w:rPr>
          <w:rFonts w:ascii="Times New Roman" w:hAnsi="Times New Roman" w:cs="Times New Roman"/>
          <w:szCs w:val="24"/>
        </w:rPr>
      </w:pPr>
      <w:r>
        <w:rPr>
          <w:rFonts w:ascii="Times New Roman" w:hAnsi="Times New Roman" w:cs="Times New Roman"/>
          <w:szCs w:val="24"/>
        </w:rPr>
        <w:t>–</w:t>
      </w:r>
      <w:r w:rsidRPr="00E12CE5">
        <w:rPr>
          <w:rFonts w:ascii="Times New Roman" w:hAnsi="Times New Roman" w:cs="Times New Roman"/>
          <w:szCs w:val="24"/>
        </w:rPr>
        <w:tab/>
        <w:t xml:space="preserve">rozszerzenie kompetencji krajowego organu regulacyjnego – Prezesa Urzędu Regulacji Energetyki (dalej: </w:t>
      </w:r>
      <w:r w:rsidR="00DF47B0">
        <w:rPr>
          <w:rFonts w:ascii="Times New Roman" w:hAnsi="Times New Roman" w:cs="Times New Roman"/>
          <w:szCs w:val="24"/>
        </w:rPr>
        <w:t>„</w:t>
      </w:r>
      <w:r w:rsidRPr="00E12CE5">
        <w:rPr>
          <w:rFonts w:ascii="Times New Roman" w:hAnsi="Times New Roman" w:cs="Times New Roman"/>
          <w:szCs w:val="24"/>
        </w:rPr>
        <w:t>Prezes URE</w:t>
      </w:r>
      <w:r w:rsidR="00DF47B0">
        <w:rPr>
          <w:rFonts w:ascii="Times New Roman" w:hAnsi="Times New Roman" w:cs="Times New Roman"/>
          <w:szCs w:val="24"/>
        </w:rPr>
        <w:t>”</w:t>
      </w:r>
      <w:r w:rsidRPr="00E12CE5">
        <w:rPr>
          <w:rFonts w:ascii="Times New Roman" w:hAnsi="Times New Roman" w:cs="Times New Roman"/>
          <w:szCs w:val="24"/>
        </w:rPr>
        <w:t>) w zakresie współpracy z odpowiednimi organami państw członkowskich UE i państw trzecich w odniesieniu do gazociągów międzysystemowych z państwami trzecimi,</w:t>
      </w:r>
    </w:p>
    <w:p w14:paraId="40569ED2" w14:textId="1602AFE1" w:rsidR="007E50D9" w:rsidRPr="00E12CE5" w:rsidRDefault="007E50D9" w:rsidP="00E12CE5">
      <w:pPr>
        <w:pStyle w:val="ZARTzmartartykuempunktem"/>
        <w:ind w:left="284" w:hanging="284"/>
        <w:rPr>
          <w:rFonts w:ascii="Times New Roman" w:hAnsi="Times New Roman" w:cs="Times New Roman"/>
          <w:szCs w:val="24"/>
        </w:rPr>
      </w:pPr>
      <w:r>
        <w:rPr>
          <w:rFonts w:ascii="Times New Roman" w:hAnsi="Times New Roman" w:cs="Times New Roman"/>
          <w:szCs w:val="24"/>
        </w:rPr>
        <w:lastRenderedPageBreak/>
        <w:t>–</w:t>
      </w:r>
      <w:r w:rsidRPr="00E12CE5">
        <w:rPr>
          <w:rFonts w:ascii="Times New Roman" w:hAnsi="Times New Roman" w:cs="Times New Roman"/>
          <w:szCs w:val="24"/>
        </w:rPr>
        <w:tab/>
        <w:t>wprowadzenie swobody zawierania umów w kwestiach dotyczących eksploatacji gazociągów międzysystemowych z państwami trzecimi,</w:t>
      </w:r>
    </w:p>
    <w:p w14:paraId="5617ADA3" w14:textId="5615BA69" w:rsidR="007E50D9" w:rsidRPr="00E12CE5" w:rsidRDefault="007E50D9" w:rsidP="00E12CE5">
      <w:pPr>
        <w:pStyle w:val="ZARTzmartartykuempunktem"/>
        <w:ind w:left="284" w:hanging="284"/>
        <w:rPr>
          <w:rFonts w:ascii="Times New Roman" w:hAnsi="Times New Roman" w:cs="Times New Roman"/>
          <w:szCs w:val="24"/>
        </w:rPr>
      </w:pPr>
      <w:r>
        <w:rPr>
          <w:rFonts w:ascii="Times New Roman" w:hAnsi="Times New Roman" w:cs="Times New Roman"/>
          <w:szCs w:val="24"/>
        </w:rPr>
        <w:t>–</w:t>
      </w:r>
      <w:r w:rsidRPr="00E12CE5">
        <w:rPr>
          <w:rFonts w:ascii="Times New Roman" w:hAnsi="Times New Roman" w:cs="Times New Roman"/>
          <w:szCs w:val="24"/>
        </w:rPr>
        <w:tab/>
        <w:t>włączenie Komisji Europejskiej w proces negocjacji umów międzyrządowych dotyczących funkcjonowania gazociągów przesyłowych z państwami trzecimi.</w:t>
      </w:r>
    </w:p>
    <w:p w14:paraId="656D2DC4" w14:textId="77777777" w:rsidR="007E50D9" w:rsidRPr="00E12CE5" w:rsidRDefault="007E50D9" w:rsidP="00E12CE5">
      <w:pPr>
        <w:pStyle w:val="NIEARTTEKSTtekstnieartykuowanynppodstprawnarozplubpreambua"/>
        <w:ind w:firstLine="0"/>
        <w:rPr>
          <w:rFonts w:ascii="Times New Roman" w:hAnsi="Times New Roman" w:cs="Times New Roman"/>
          <w:szCs w:val="24"/>
        </w:rPr>
      </w:pPr>
      <w:r w:rsidRPr="00E12CE5">
        <w:rPr>
          <w:rFonts w:ascii="Times New Roman" w:hAnsi="Times New Roman" w:cs="Times New Roman"/>
          <w:szCs w:val="24"/>
        </w:rPr>
        <w:t xml:space="preserve">Wprowadzenie przepisów w brzmieniu zaproponowanym w projekcie ustawy jest niezbędne w celu skutecznej i wyczerpującej implementacji dyrektywy 2019/692/UE. </w:t>
      </w:r>
    </w:p>
    <w:p w14:paraId="28819318" w14:textId="58400BDC" w:rsidR="007E50D9" w:rsidRPr="00E12CE5" w:rsidRDefault="007E50D9" w:rsidP="00E12CE5">
      <w:pPr>
        <w:pStyle w:val="NIEARTTEKSTtekstnieartykuowanynppodstprawnarozplubpreambua"/>
        <w:ind w:firstLine="0"/>
        <w:rPr>
          <w:rFonts w:ascii="Times New Roman" w:hAnsi="Times New Roman" w:cs="Times New Roman"/>
          <w:szCs w:val="24"/>
        </w:rPr>
      </w:pPr>
      <w:r w:rsidRPr="00E12CE5">
        <w:rPr>
          <w:rFonts w:ascii="Times New Roman" w:hAnsi="Times New Roman" w:cs="Times New Roman"/>
          <w:szCs w:val="24"/>
        </w:rPr>
        <w:t>Przepisy projektu ustawy dokonują przede wszystkim zmiany definicji „gazociągu międzysystemowego”, co stanowi implementację nowej definicji „połączenia wzajemnego” z art. 1</w:t>
      </w:r>
      <w:r w:rsidR="00887465">
        <w:rPr>
          <w:rFonts w:ascii="Times New Roman" w:hAnsi="Times New Roman" w:cs="Times New Roman"/>
          <w:szCs w:val="24"/>
        </w:rPr>
        <w:t xml:space="preserve"> </w:t>
      </w:r>
      <w:r w:rsidRPr="00E12CE5">
        <w:rPr>
          <w:rFonts w:ascii="Times New Roman" w:hAnsi="Times New Roman" w:cs="Times New Roman"/>
          <w:szCs w:val="24"/>
        </w:rPr>
        <w:t>pkt 1 dyrektywy 2019/692/UE. Rozwiązanie takie pozwala objąć definicją wszystkie gazociągi przesyłowe przebiegające przez granicę RP, niezależnie od tego, czy łączą one Polskę z systemem gazowym państwa członkowskiego Unii Europejskiej i EFTA czy też państwa niebędącego stroną żadnej z tych umów. Należy wskazać, że definicją objęta jest infrastruktura przebiegająca przez terytorium RP w</w:t>
      </w:r>
      <w:r w:rsidR="00BA401E">
        <w:rPr>
          <w:rFonts w:ascii="Times New Roman" w:hAnsi="Times New Roman" w:cs="Times New Roman"/>
          <w:szCs w:val="24"/>
        </w:rPr>
        <w:t> </w:t>
      </w:r>
      <w:r w:rsidRPr="00E12CE5">
        <w:rPr>
          <w:rFonts w:ascii="Times New Roman" w:hAnsi="Times New Roman" w:cs="Times New Roman"/>
          <w:szCs w:val="24"/>
        </w:rPr>
        <w:t>rozumieniu art. 2 ust. 2 ustawy z dnia 21 marca 1991 r. o obszarach morskich Rzeczypospolitej Polskiej i</w:t>
      </w:r>
      <w:r>
        <w:rPr>
          <w:rFonts w:ascii="Times New Roman" w:hAnsi="Times New Roman" w:cs="Times New Roman"/>
          <w:szCs w:val="24"/>
        </w:rPr>
        <w:t xml:space="preserve"> </w:t>
      </w:r>
      <w:r w:rsidRPr="00E12CE5">
        <w:rPr>
          <w:rFonts w:ascii="Times New Roman" w:hAnsi="Times New Roman" w:cs="Times New Roman"/>
          <w:szCs w:val="24"/>
        </w:rPr>
        <w:t>administracji morskiej</w:t>
      </w:r>
      <w:r w:rsidR="00BA401E">
        <w:rPr>
          <w:rFonts w:ascii="Times New Roman" w:hAnsi="Times New Roman" w:cs="Times New Roman"/>
          <w:szCs w:val="24"/>
        </w:rPr>
        <w:t xml:space="preserve"> (Dz. U. z 2019 r. poz. 2169, z </w:t>
      </w:r>
      <w:proofErr w:type="spellStart"/>
      <w:r w:rsidRPr="00E12CE5">
        <w:rPr>
          <w:rFonts w:ascii="Times New Roman" w:hAnsi="Times New Roman" w:cs="Times New Roman"/>
          <w:szCs w:val="24"/>
        </w:rPr>
        <w:t>późn</w:t>
      </w:r>
      <w:proofErr w:type="spellEnd"/>
      <w:r w:rsidRPr="00E12CE5">
        <w:rPr>
          <w:rFonts w:ascii="Times New Roman" w:hAnsi="Times New Roman" w:cs="Times New Roman"/>
          <w:szCs w:val="24"/>
        </w:rPr>
        <w:t>.</w:t>
      </w:r>
      <w:r w:rsidR="00296E86">
        <w:rPr>
          <w:rFonts w:ascii="Times New Roman" w:hAnsi="Times New Roman" w:cs="Times New Roman"/>
          <w:szCs w:val="24"/>
        </w:rPr>
        <w:t> </w:t>
      </w:r>
      <w:r w:rsidRPr="00E12CE5">
        <w:rPr>
          <w:rFonts w:ascii="Times New Roman" w:hAnsi="Times New Roman" w:cs="Times New Roman"/>
          <w:szCs w:val="24"/>
        </w:rPr>
        <w:t>zm.), zgodnie z którą terytorium obejmuje także morskie wody wewnętrzne i</w:t>
      </w:r>
      <w:r w:rsidR="00296E86">
        <w:rPr>
          <w:rFonts w:ascii="Times New Roman" w:hAnsi="Times New Roman" w:cs="Times New Roman"/>
          <w:szCs w:val="24"/>
        </w:rPr>
        <w:t> </w:t>
      </w:r>
      <w:r w:rsidRPr="00E12CE5">
        <w:rPr>
          <w:rFonts w:ascii="Times New Roman" w:hAnsi="Times New Roman" w:cs="Times New Roman"/>
          <w:szCs w:val="24"/>
        </w:rPr>
        <w:t xml:space="preserve">morze terytorialne, wobec czego, w razie potrzeby, definicja znajdzie zastosowanie także wobec gazociągów morskich. </w:t>
      </w:r>
    </w:p>
    <w:p w14:paraId="0DF4BFDC" w14:textId="2C13EE82" w:rsidR="007E50D9" w:rsidRPr="00E12CE5" w:rsidRDefault="007E50D9" w:rsidP="00E12CE5">
      <w:pPr>
        <w:pStyle w:val="NIEARTTEKSTtekstnieartykuowanynppodstprawnarozplubpreambua"/>
        <w:ind w:firstLine="0"/>
        <w:rPr>
          <w:rFonts w:ascii="Times New Roman" w:hAnsi="Times New Roman" w:cs="Times New Roman"/>
          <w:szCs w:val="24"/>
        </w:rPr>
      </w:pPr>
      <w:r w:rsidRPr="00E12CE5">
        <w:rPr>
          <w:rFonts w:ascii="Times New Roman" w:hAnsi="Times New Roman" w:cs="Times New Roman"/>
          <w:szCs w:val="24"/>
        </w:rPr>
        <w:t>Projekt dokonuje zmiany brzmienia jednej z przesłanek zwolnienia przedsiębiorstwa z</w:t>
      </w:r>
      <w:r w:rsidR="00BA401E">
        <w:rPr>
          <w:rFonts w:ascii="Times New Roman" w:hAnsi="Times New Roman" w:cs="Times New Roman"/>
          <w:szCs w:val="24"/>
        </w:rPr>
        <w:t> </w:t>
      </w:r>
      <w:r w:rsidRPr="00E12CE5">
        <w:rPr>
          <w:rFonts w:ascii="Times New Roman" w:hAnsi="Times New Roman" w:cs="Times New Roman"/>
          <w:szCs w:val="24"/>
        </w:rPr>
        <w:t>obowiązku świadczenia usług z art. 4i ustawy (zwolnienie dla tzw. „nowej infrastruktury”). Proponowane brzmienie art. 4i ust. 2 pkt 5 ustawy zostało uszczegółowione i</w:t>
      </w:r>
      <w:r>
        <w:rPr>
          <w:rFonts w:ascii="Times New Roman" w:hAnsi="Times New Roman" w:cs="Times New Roman"/>
          <w:szCs w:val="24"/>
        </w:rPr>
        <w:t xml:space="preserve"> </w:t>
      </w:r>
      <w:r w:rsidRPr="00E12CE5">
        <w:rPr>
          <w:rFonts w:ascii="Times New Roman" w:hAnsi="Times New Roman" w:cs="Times New Roman"/>
          <w:szCs w:val="24"/>
        </w:rPr>
        <w:t>uzupełnione o przesłankę braku szkodliwego wpływu na bezpieczeństwo dostaw gazu ziemnego w Unii Europejskiej. Ponadto projekt przewiduje przy wydawaniu decyzji o zwolnieniu z art. 4i ustawy konsultacje Prezesa URE z organami regulacyjnymi</w:t>
      </w:r>
      <w:r w:rsidRPr="00E12CE5" w:rsidDel="00AE4827">
        <w:rPr>
          <w:rFonts w:ascii="Times New Roman" w:hAnsi="Times New Roman" w:cs="Times New Roman"/>
          <w:szCs w:val="24"/>
        </w:rPr>
        <w:t xml:space="preserve"> </w:t>
      </w:r>
      <w:r w:rsidRPr="00E12CE5">
        <w:rPr>
          <w:rFonts w:ascii="Times New Roman" w:hAnsi="Times New Roman" w:cs="Times New Roman"/>
          <w:szCs w:val="24"/>
        </w:rPr>
        <w:t>państw członkowskich Unii Europejskiej i EFTA, na których rynki infrastruktura, której dotyczy wniosek, może wywierać wpływ oraz w przypadku</w:t>
      </w:r>
      <w:r w:rsidR="00414AF8">
        <w:rPr>
          <w:rFonts w:ascii="Times New Roman" w:hAnsi="Times New Roman" w:cs="Times New Roman"/>
          <w:szCs w:val="24"/>
        </w:rPr>
        <w:t>,</w:t>
      </w:r>
      <w:r w:rsidRPr="00E12CE5">
        <w:rPr>
          <w:rFonts w:ascii="Times New Roman" w:hAnsi="Times New Roman" w:cs="Times New Roman"/>
          <w:szCs w:val="24"/>
        </w:rPr>
        <w:t xml:space="preserve"> gdy zwolnienie dotyczy gazociągu międzysystemowego z państwem trzecim, odpowiednimi organami do spraw regulacji gospodarki paliwami i energią tego państwa. W ust. 5a tego samego artykułu wyraźnie zakreślono także długość okresu, w jakim organy regulacyjne, których to dotyczy, starają się por</w:t>
      </w:r>
      <w:r w:rsidR="00BA401E">
        <w:rPr>
          <w:rFonts w:ascii="Times New Roman" w:hAnsi="Times New Roman" w:cs="Times New Roman"/>
          <w:szCs w:val="24"/>
        </w:rPr>
        <w:t>ozumieć w sprawie decyzji o </w:t>
      </w:r>
      <w:r w:rsidRPr="00E12CE5">
        <w:rPr>
          <w:rFonts w:ascii="Times New Roman" w:hAnsi="Times New Roman" w:cs="Times New Roman"/>
          <w:szCs w:val="24"/>
        </w:rPr>
        <w:t>zastosowaniu zwolnienia dla nowej infrastruktury – zgodnie z dyrektywą 2019/692/UE jest to 6 miesięcy od dnia otrzymania wniosku przez ostatni z właściwych organów.</w:t>
      </w:r>
    </w:p>
    <w:p w14:paraId="017120FC" w14:textId="13B1C72C" w:rsidR="007E50D9" w:rsidRPr="00E12CE5" w:rsidRDefault="007E50D9" w:rsidP="00E12CE5">
      <w:pPr>
        <w:pStyle w:val="NIEARTTEKSTtekstnieartykuowanynppodstprawnarozplubpreambua"/>
        <w:ind w:firstLine="0"/>
        <w:rPr>
          <w:rFonts w:ascii="Times New Roman" w:hAnsi="Times New Roman" w:cs="Times New Roman"/>
          <w:szCs w:val="24"/>
        </w:rPr>
      </w:pPr>
      <w:r w:rsidRPr="00E12CE5">
        <w:rPr>
          <w:rFonts w:ascii="Times New Roman" w:hAnsi="Times New Roman" w:cs="Times New Roman"/>
          <w:szCs w:val="24"/>
        </w:rPr>
        <w:lastRenderedPageBreak/>
        <w:t>Konsultacje dodawane w przepisach art. 4i ust. 4a i 4b ustawy stanowią implementację nowego obowiązku nałożonego dyrektywą 2019/692/UE. Zgodnie z nim organy regulacyjne państw członkowskich mają obowiązek konsultować się wzajemnie, jeśli infrastruktura może wywierać wpływ na ich rynki – niezależnie od tego, przez ile państw członkowskich przechodzi ta infrastruktura. Jest to obowiązek odrębny od wskazanego w art. 4i ust. 5</w:t>
      </w:r>
      <w:r>
        <w:rPr>
          <w:rFonts w:ascii="Times New Roman" w:hAnsi="Times New Roman" w:cs="Times New Roman"/>
          <w:szCs w:val="24"/>
        </w:rPr>
        <w:t>–</w:t>
      </w:r>
      <w:r w:rsidRPr="00E12CE5">
        <w:rPr>
          <w:rFonts w:ascii="Times New Roman" w:hAnsi="Times New Roman" w:cs="Times New Roman"/>
          <w:szCs w:val="24"/>
        </w:rPr>
        <w:t xml:space="preserve">5b ustawy. Ten ostatni dotyczy </w:t>
      </w:r>
      <w:r w:rsidR="00BA401E">
        <w:rPr>
          <w:rFonts w:ascii="Times New Roman" w:hAnsi="Times New Roman" w:cs="Times New Roman"/>
          <w:szCs w:val="24"/>
        </w:rPr>
        <w:t>obowiązku dokonania uzgodnień o </w:t>
      </w:r>
      <w:r w:rsidRPr="00E12CE5">
        <w:rPr>
          <w:rFonts w:ascii="Times New Roman" w:hAnsi="Times New Roman" w:cs="Times New Roman"/>
          <w:szCs w:val="24"/>
        </w:rPr>
        <w:t>charakterze dwojako kwalifikowanym: po pierwsze,</w:t>
      </w:r>
      <w:r w:rsidR="00BA401E">
        <w:rPr>
          <w:rFonts w:ascii="Times New Roman" w:hAnsi="Times New Roman" w:cs="Times New Roman"/>
          <w:szCs w:val="24"/>
        </w:rPr>
        <w:t xml:space="preserve"> aktualizuje się on wyłącznie w </w:t>
      </w:r>
      <w:r w:rsidRPr="00E12CE5">
        <w:rPr>
          <w:rFonts w:ascii="Times New Roman" w:hAnsi="Times New Roman" w:cs="Times New Roman"/>
          <w:szCs w:val="24"/>
        </w:rPr>
        <w:t>sytuacji, w której dana infrastruktura znajduje się na terytorium więcej niż jednego państwa członkowskiego Unii Europejskiej, po drugie, uzgodnienie ma na celu nie tylko zasięgnięcie opinii organów regulacyjnych innych państw, lecz osiągnięcie z nimi porozumienia. W razie jego braku kwestię rozstrzyga Agencja</w:t>
      </w:r>
      <w:r>
        <w:rPr>
          <w:rFonts w:ascii="Times New Roman" w:hAnsi="Times New Roman" w:cs="Times New Roman"/>
          <w:szCs w:val="24"/>
        </w:rPr>
        <w:t xml:space="preserve"> </w:t>
      </w:r>
      <w:r w:rsidRPr="00E12CE5">
        <w:rPr>
          <w:rFonts w:ascii="Times New Roman" w:hAnsi="Times New Roman" w:cs="Times New Roman"/>
          <w:szCs w:val="24"/>
        </w:rPr>
        <w:t>do spraw Współpracy Organów Regulacji Energetyki.</w:t>
      </w:r>
    </w:p>
    <w:p w14:paraId="6C0B10A7" w14:textId="4EECFABD" w:rsidR="007E50D9" w:rsidRPr="00E12CE5" w:rsidRDefault="007E50D9" w:rsidP="00E12CE5">
      <w:pPr>
        <w:pStyle w:val="NIEARTTEKSTtekstnieartykuowanynppodstprawnarozplubpreambua"/>
        <w:ind w:firstLine="0"/>
        <w:rPr>
          <w:rFonts w:ascii="Times New Roman" w:hAnsi="Times New Roman" w:cs="Times New Roman"/>
          <w:szCs w:val="24"/>
        </w:rPr>
      </w:pPr>
      <w:r w:rsidRPr="00E12CE5">
        <w:rPr>
          <w:rFonts w:ascii="Times New Roman" w:hAnsi="Times New Roman" w:cs="Times New Roman"/>
          <w:szCs w:val="24"/>
        </w:rPr>
        <w:t>Istotą konsultacji z art. 4i ust. 4a ustawy jest zasięgnięcie informacji koniecznych do realizacji traktatowej zasady solidarności energetycznej, zgodnie z którą Unia i państwa członkowskie mają ogólny obowiązek uwzględniania interesów pozostałych podmiotów w ramach wykonywania przysługujących im odpowiednio kompetencji (por. wyrok Sądu w sprawie T-883/16 Polska przeciwko Komisji). W ich toku dochodzi więc do ustalenia, czy planowane środki mogą naruszać interesy Unii i pozostałych państw członkowskich w dziedzinie energetyki, zaś ostateczna decyzja o zwolnieniu dla nowej infrastruktury pozostaje w kompetencji organu krajowego, bez potrzeby osiągania porozum</w:t>
      </w:r>
      <w:r w:rsidR="00BA401E">
        <w:rPr>
          <w:rFonts w:ascii="Times New Roman" w:hAnsi="Times New Roman" w:cs="Times New Roman"/>
          <w:szCs w:val="24"/>
        </w:rPr>
        <w:t>ienia z </w:t>
      </w:r>
      <w:r w:rsidRPr="00E12CE5">
        <w:rPr>
          <w:rFonts w:ascii="Times New Roman" w:hAnsi="Times New Roman" w:cs="Times New Roman"/>
          <w:szCs w:val="24"/>
        </w:rPr>
        <w:t xml:space="preserve">organami innych państw. </w:t>
      </w:r>
    </w:p>
    <w:p w14:paraId="7F8ABDD8" w14:textId="77777777" w:rsidR="007E50D9" w:rsidRPr="00E12CE5" w:rsidRDefault="007E50D9" w:rsidP="00E12CE5">
      <w:pPr>
        <w:pStyle w:val="NIEARTTEKSTtekstnieartykuowanynppodstprawnarozplubpreambua"/>
        <w:ind w:firstLine="0"/>
        <w:rPr>
          <w:rFonts w:ascii="Times New Roman" w:hAnsi="Times New Roman" w:cs="Times New Roman"/>
          <w:szCs w:val="24"/>
        </w:rPr>
      </w:pPr>
      <w:r w:rsidRPr="00E12CE5">
        <w:rPr>
          <w:rFonts w:ascii="Times New Roman" w:hAnsi="Times New Roman" w:cs="Times New Roman"/>
          <w:szCs w:val="24"/>
        </w:rPr>
        <w:t>Dla wyjaśnienia zakresów obu procedur współpracy dookreślono, że konsultacje z art. 4i ust. 4a ustawy znajdują zastosowanie „w przypadku innym niż określony w ust. 5”.</w:t>
      </w:r>
    </w:p>
    <w:p w14:paraId="08A1F17F" w14:textId="379B6095" w:rsidR="007E50D9" w:rsidRPr="00E12CE5" w:rsidRDefault="007E50D9" w:rsidP="00E12CE5">
      <w:pPr>
        <w:pStyle w:val="NIEARTTEKSTtekstnieartykuowanynppodstprawnarozplubpreambua"/>
        <w:ind w:firstLine="0"/>
        <w:rPr>
          <w:rFonts w:ascii="Times New Roman" w:hAnsi="Times New Roman" w:cs="Times New Roman"/>
          <w:szCs w:val="24"/>
        </w:rPr>
      </w:pPr>
      <w:r w:rsidRPr="00E12CE5">
        <w:rPr>
          <w:rFonts w:ascii="Times New Roman" w:hAnsi="Times New Roman" w:cs="Times New Roman"/>
          <w:szCs w:val="24"/>
        </w:rPr>
        <w:t>Projektowana ustawa rozszerza kompetencje Prezesa URE w zakresie współpracy z</w:t>
      </w:r>
      <w:r w:rsidR="00BA401E">
        <w:rPr>
          <w:rFonts w:ascii="Times New Roman" w:hAnsi="Times New Roman" w:cs="Times New Roman"/>
          <w:szCs w:val="24"/>
        </w:rPr>
        <w:t> </w:t>
      </w:r>
      <w:r w:rsidRPr="00E12CE5">
        <w:rPr>
          <w:rFonts w:ascii="Times New Roman" w:hAnsi="Times New Roman" w:cs="Times New Roman"/>
          <w:szCs w:val="24"/>
        </w:rPr>
        <w:t>odpowiednimi organami państw członkowskich UE, EFTA i</w:t>
      </w:r>
      <w:r>
        <w:rPr>
          <w:rFonts w:ascii="Times New Roman" w:hAnsi="Times New Roman" w:cs="Times New Roman"/>
          <w:szCs w:val="24"/>
        </w:rPr>
        <w:t xml:space="preserve"> </w:t>
      </w:r>
      <w:r w:rsidR="00BA401E">
        <w:rPr>
          <w:rFonts w:ascii="Times New Roman" w:hAnsi="Times New Roman" w:cs="Times New Roman"/>
          <w:szCs w:val="24"/>
        </w:rPr>
        <w:t>państw trzecich w </w:t>
      </w:r>
      <w:r w:rsidRPr="00E12CE5">
        <w:rPr>
          <w:rFonts w:ascii="Times New Roman" w:hAnsi="Times New Roman" w:cs="Times New Roman"/>
          <w:szCs w:val="24"/>
        </w:rPr>
        <w:t>odniesieniu do gazociągów międzysystemowych z państwami trzecimi i gazociągów kopalnianych, co ma służyć zapewnieniu spójnego stosowania prawa UE wobec danej infrastruktury oraz zapobiec zakłóceniom konkurencji na wewnętrznym rynku gazu ziemnego (art. 4i ust. 4a, art. 15f ust.</w:t>
      </w:r>
      <w:r>
        <w:rPr>
          <w:rFonts w:ascii="Times New Roman" w:hAnsi="Times New Roman" w:cs="Times New Roman"/>
          <w:szCs w:val="24"/>
        </w:rPr>
        <w:t xml:space="preserve"> </w:t>
      </w:r>
      <w:r w:rsidRPr="00E12CE5">
        <w:rPr>
          <w:rFonts w:ascii="Times New Roman" w:hAnsi="Times New Roman" w:cs="Times New Roman"/>
          <w:szCs w:val="24"/>
        </w:rPr>
        <w:t>3 i 4 oraz art. 23 ust. 2 pkt 14b ustawy).</w:t>
      </w:r>
    </w:p>
    <w:p w14:paraId="47BA4983" w14:textId="4AF26F5F" w:rsidR="007E50D9" w:rsidRPr="00E12CE5" w:rsidRDefault="007E50D9" w:rsidP="00E12CE5">
      <w:pPr>
        <w:pStyle w:val="NIEARTTEKSTtekstnieartykuowanynppodstprawnarozplubpreambua"/>
        <w:ind w:firstLine="0"/>
        <w:rPr>
          <w:rFonts w:ascii="Times New Roman" w:hAnsi="Times New Roman" w:cs="Times New Roman"/>
          <w:szCs w:val="24"/>
        </w:rPr>
      </w:pPr>
      <w:r w:rsidRPr="00E12CE5">
        <w:rPr>
          <w:rFonts w:ascii="Times New Roman" w:hAnsi="Times New Roman" w:cs="Times New Roman"/>
          <w:szCs w:val="24"/>
        </w:rPr>
        <w:t xml:space="preserve">W projekcie ustawy przewidziano także obowiązek przekazania Prezesowi URE informacji o zawarciu i każdorazowej zmianie umów dotyczących eksploatacji gazociągów międzysystemowych z państwami trzecimi przez operatora systemu </w:t>
      </w:r>
      <w:r w:rsidRPr="00E12CE5">
        <w:rPr>
          <w:rFonts w:ascii="Times New Roman" w:hAnsi="Times New Roman" w:cs="Times New Roman"/>
          <w:szCs w:val="24"/>
        </w:rPr>
        <w:lastRenderedPageBreak/>
        <w:t>przesyłowego gazowego i operatora systemu połączonego gazowego (art</w:t>
      </w:r>
      <w:r w:rsidR="00414AF8">
        <w:rPr>
          <w:rFonts w:ascii="Times New Roman" w:hAnsi="Times New Roman" w:cs="Times New Roman"/>
          <w:szCs w:val="24"/>
        </w:rPr>
        <w:t>.</w:t>
      </w:r>
      <w:r w:rsidRPr="00E12CE5">
        <w:rPr>
          <w:rFonts w:ascii="Times New Roman" w:hAnsi="Times New Roman" w:cs="Times New Roman"/>
          <w:szCs w:val="24"/>
        </w:rPr>
        <w:t xml:space="preserve"> 9c ust. 13 i 14 ustawy). Przepis ten służy implementacji nowo</w:t>
      </w:r>
      <w:r w:rsidR="00414AF8">
        <w:rPr>
          <w:rFonts w:ascii="Times New Roman" w:hAnsi="Times New Roman" w:cs="Times New Roman"/>
          <w:szCs w:val="24"/>
        </w:rPr>
        <w:t xml:space="preserve"> </w:t>
      </w:r>
      <w:r w:rsidRPr="00E12CE5">
        <w:rPr>
          <w:rFonts w:ascii="Times New Roman" w:hAnsi="Times New Roman" w:cs="Times New Roman"/>
          <w:szCs w:val="24"/>
        </w:rPr>
        <w:t>wprowadzonego art. 48a dyrektywy 2009/73/WE, który gwarantuje swobodę zawierania oraz pozwala utrzymać w mocy obowiązujące porozumienia techniczne pomiędzy o</w:t>
      </w:r>
      <w:r w:rsidR="00BA401E">
        <w:rPr>
          <w:rFonts w:ascii="Times New Roman" w:hAnsi="Times New Roman" w:cs="Times New Roman"/>
          <w:szCs w:val="24"/>
        </w:rPr>
        <w:t>peratorami sieci przesyłowych i </w:t>
      </w:r>
      <w:r w:rsidRPr="00E12CE5">
        <w:rPr>
          <w:rFonts w:ascii="Times New Roman" w:hAnsi="Times New Roman" w:cs="Times New Roman"/>
          <w:szCs w:val="24"/>
        </w:rPr>
        <w:t xml:space="preserve">podmiotami z państw trzecich dotyczące eksploatacji linii przesyłowych gazu, o ile ich treść jest zgodna z prawem Unii, z przepisami ustawy </w:t>
      </w:r>
      <w:r>
        <w:rPr>
          <w:rFonts w:ascii="Times New Roman" w:hAnsi="Times New Roman" w:cs="Times New Roman"/>
          <w:szCs w:val="24"/>
        </w:rPr>
        <w:t>–</w:t>
      </w:r>
      <w:r w:rsidRPr="00E12CE5">
        <w:rPr>
          <w:rFonts w:ascii="Times New Roman" w:hAnsi="Times New Roman" w:cs="Times New Roman"/>
          <w:szCs w:val="24"/>
        </w:rPr>
        <w:t xml:space="preserve"> Prawo energetyczne i</w:t>
      </w:r>
      <w:r>
        <w:rPr>
          <w:rFonts w:ascii="Times New Roman" w:hAnsi="Times New Roman" w:cs="Times New Roman"/>
          <w:szCs w:val="24"/>
        </w:rPr>
        <w:t xml:space="preserve"> </w:t>
      </w:r>
      <w:r w:rsidRPr="00E12CE5">
        <w:rPr>
          <w:rFonts w:ascii="Times New Roman" w:hAnsi="Times New Roman" w:cs="Times New Roman"/>
          <w:szCs w:val="24"/>
        </w:rPr>
        <w:t xml:space="preserve">decyzjami Prezesa URE (prawomocnymi oraz wykonalnymi, którym nadano rygor natychmiastowej wykonalności) wydanymi w stosunku do tego operatora. </w:t>
      </w:r>
    </w:p>
    <w:p w14:paraId="50A2FF28" w14:textId="18418A83" w:rsidR="007E50D9" w:rsidRPr="00E12CE5" w:rsidRDefault="007E50D9" w:rsidP="00E12CE5">
      <w:pPr>
        <w:pStyle w:val="NIEARTTEKSTtekstnieartykuowanynppodstprawnarozplubpreambua"/>
        <w:ind w:firstLine="0"/>
        <w:rPr>
          <w:rFonts w:ascii="Times New Roman" w:hAnsi="Times New Roman" w:cs="Times New Roman"/>
          <w:szCs w:val="24"/>
        </w:rPr>
      </w:pPr>
      <w:r w:rsidRPr="00E12CE5">
        <w:rPr>
          <w:rFonts w:ascii="Times New Roman" w:hAnsi="Times New Roman" w:cs="Times New Roman"/>
          <w:szCs w:val="24"/>
        </w:rPr>
        <w:t>Odnośnie do przesłanek zgodności takich umów z prawem UE</w:t>
      </w:r>
      <w:r>
        <w:rPr>
          <w:rFonts w:ascii="Times New Roman" w:hAnsi="Times New Roman" w:cs="Times New Roman"/>
          <w:szCs w:val="24"/>
        </w:rPr>
        <w:t xml:space="preserve"> </w:t>
      </w:r>
      <w:r w:rsidRPr="00E12CE5">
        <w:rPr>
          <w:rFonts w:ascii="Times New Roman" w:hAnsi="Times New Roman" w:cs="Times New Roman"/>
          <w:szCs w:val="24"/>
        </w:rPr>
        <w:t xml:space="preserve">należy zauważyć, że są one obecnie transponowane do przepisów ustawy </w:t>
      </w:r>
      <w:r>
        <w:rPr>
          <w:rFonts w:ascii="Times New Roman" w:hAnsi="Times New Roman" w:cs="Times New Roman"/>
          <w:szCs w:val="24"/>
        </w:rPr>
        <w:t>–</w:t>
      </w:r>
      <w:r w:rsidRPr="00E12CE5">
        <w:rPr>
          <w:rFonts w:ascii="Times New Roman" w:hAnsi="Times New Roman" w:cs="Times New Roman"/>
          <w:szCs w:val="24"/>
        </w:rPr>
        <w:t xml:space="preserve"> Prawo energetyczne, które Prezes URE stosuje z</w:t>
      </w:r>
      <w:r>
        <w:rPr>
          <w:rFonts w:ascii="Times New Roman" w:hAnsi="Times New Roman" w:cs="Times New Roman"/>
          <w:szCs w:val="24"/>
        </w:rPr>
        <w:t xml:space="preserve"> </w:t>
      </w:r>
      <w:r w:rsidRPr="00E12CE5">
        <w:rPr>
          <w:rFonts w:ascii="Times New Roman" w:hAnsi="Times New Roman" w:cs="Times New Roman"/>
          <w:szCs w:val="24"/>
        </w:rPr>
        <w:t>mocy prawa, np. przepisy art. 9c, art. 9d ust. 1a czy art. 9h</w:t>
      </w:r>
      <w:r w:rsidRPr="00E12CE5">
        <w:rPr>
          <w:rFonts w:ascii="Times New Roman" w:hAnsi="Times New Roman" w:cs="Times New Roman"/>
          <w:szCs w:val="24"/>
          <w:vertAlign w:val="superscript"/>
        </w:rPr>
        <w:t>1</w:t>
      </w:r>
      <w:r w:rsidRPr="00E12CE5">
        <w:rPr>
          <w:rFonts w:ascii="Times New Roman" w:hAnsi="Times New Roman" w:cs="Times New Roman"/>
          <w:szCs w:val="24"/>
        </w:rPr>
        <w:t xml:space="preserve"> ust. 1. Działania Prezesa URE w</w:t>
      </w:r>
      <w:r>
        <w:rPr>
          <w:rFonts w:ascii="Times New Roman" w:hAnsi="Times New Roman" w:cs="Times New Roman"/>
          <w:szCs w:val="24"/>
        </w:rPr>
        <w:t xml:space="preserve"> </w:t>
      </w:r>
      <w:r w:rsidRPr="00E12CE5">
        <w:rPr>
          <w:rFonts w:ascii="Times New Roman" w:hAnsi="Times New Roman" w:cs="Times New Roman"/>
          <w:szCs w:val="24"/>
        </w:rPr>
        <w:t>przypadku stwierdzenia, że umowa zawarta przez operatora systemu przesyłowego</w:t>
      </w:r>
      <w:r>
        <w:rPr>
          <w:rFonts w:ascii="Times New Roman" w:hAnsi="Times New Roman" w:cs="Times New Roman"/>
          <w:szCs w:val="24"/>
        </w:rPr>
        <w:t xml:space="preserve"> </w:t>
      </w:r>
      <w:r w:rsidRPr="00E12CE5">
        <w:rPr>
          <w:rFonts w:ascii="Times New Roman" w:hAnsi="Times New Roman" w:cs="Times New Roman"/>
          <w:szCs w:val="24"/>
        </w:rPr>
        <w:t>nie spełnia warunków jej zawarcia, określone są w szczególności w art. 9h</w:t>
      </w:r>
      <w:r w:rsidRPr="00E12CE5">
        <w:rPr>
          <w:rFonts w:ascii="Times New Roman" w:hAnsi="Times New Roman" w:cs="Times New Roman"/>
          <w:szCs w:val="24"/>
          <w:vertAlign w:val="superscript"/>
        </w:rPr>
        <w:t>1</w:t>
      </w:r>
      <w:r w:rsidRPr="00E12CE5">
        <w:rPr>
          <w:rFonts w:ascii="Times New Roman" w:hAnsi="Times New Roman" w:cs="Times New Roman"/>
          <w:szCs w:val="24"/>
        </w:rPr>
        <w:t xml:space="preserve"> ust. 11 i 12 ustawy. Jest to postępowanie sprawdzające spełnianie kryteriów niezależności przez operatora systemu przesyłowego, na skutek którego Prezes URE może nawet uchylić decyzję o wyznaczeniu danego przedsiębiorstwa operatorem.</w:t>
      </w:r>
    </w:p>
    <w:p w14:paraId="18236FD6" w14:textId="542F1519" w:rsidR="007E50D9" w:rsidRPr="00E12CE5" w:rsidRDefault="007E50D9" w:rsidP="00E12CE5">
      <w:pPr>
        <w:pStyle w:val="NIEARTTEKSTtekstnieartykuowanynppodstprawnarozplubpreambua"/>
        <w:ind w:firstLine="0"/>
        <w:rPr>
          <w:rFonts w:ascii="Times New Roman" w:hAnsi="Times New Roman" w:cs="Times New Roman"/>
          <w:szCs w:val="24"/>
        </w:rPr>
      </w:pPr>
      <w:r w:rsidRPr="00E12CE5">
        <w:rPr>
          <w:rFonts w:ascii="Times New Roman" w:hAnsi="Times New Roman" w:cs="Times New Roman"/>
          <w:szCs w:val="24"/>
        </w:rPr>
        <w:t>Celem zapewnienia skutecznego funkcjonowania dodawanych przepisów wprowadzono także w art. 1 pkt 7 projektu ustawy (art. 56 ust. 1 pkt 1c ustawy) sankcję za niedochowanie obowiązku przekazania Prezesowi URE informacji o zawarciu, zmianie mocy obowiązującej i zmianie zakresu obowi</w:t>
      </w:r>
      <w:r w:rsidR="00BA401E">
        <w:rPr>
          <w:rFonts w:ascii="Times New Roman" w:hAnsi="Times New Roman" w:cs="Times New Roman"/>
          <w:szCs w:val="24"/>
        </w:rPr>
        <w:t>ązywania umowy, o której mowa w </w:t>
      </w:r>
      <w:r w:rsidRPr="00E12CE5">
        <w:rPr>
          <w:rFonts w:ascii="Times New Roman" w:hAnsi="Times New Roman" w:cs="Times New Roman"/>
          <w:szCs w:val="24"/>
        </w:rPr>
        <w:t>projektowanym art. 9c ust. 13, lub niedochowanie obowiązku przesłania Prezesowi URE kopii takiej umowy, w</w:t>
      </w:r>
      <w:r>
        <w:rPr>
          <w:rFonts w:ascii="Times New Roman" w:hAnsi="Times New Roman" w:cs="Times New Roman"/>
          <w:szCs w:val="24"/>
        </w:rPr>
        <w:t xml:space="preserve"> </w:t>
      </w:r>
      <w:r w:rsidRPr="00E12CE5">
        <w:rPr>
          <w:rFonts w:ascii="Times New Roman" w:hAnsi="Times New Roman" w:cs="Times New Roman"/>
          <w:szCs w:val="24"/>
        </w:rPr>
        <w:t>terminie 14 dni od dnia zawarcia tej umowy lub dokonania jej zmiany. Dodatkowo wprowadzono przepis przejściowy w</w:t>
      </w:r>
      <w:r>
        <w:rPr>
          <w:rFonts w:ascii="Times New Roman" w:hAnsi="Times New Roman" w:cs="Times New Roman"/>
          <w:szCs w:val="24"/>
        </w:rPr>
        <w:t xml:space="preserve"> </w:t>
      </w:r>
      <w:r w:rsidRPr="00E12CE5">
        <w:rPr>
          <w:rFonts w:ascii="Times New Roman" w:hAnsi="Times New Roman" w:cs="Times New Roman"/>
          <w:szCs w:val="24"/>
        </w:rPr>
        <w:t>zakresie przekazywania umów zawartych przed dniem wejścia w życie projektowanej ustawy (art. 3).</w:t>
      </w:r>
    </w:p>
    <w:p w14:paraId="2286111A" w14:textId="389BE022" w:rsidR="007E50D9" w:rsidRPr="00E12CE5" w:rsidRDefault="007E50D9" w:rsidP="00E12CE5">
      <w:pPr>
        <w:pStyle w:val="NIEARTTEKSTtekstnieartykuowanynppodstprawnarozplubpreambua"/>
        <w:ind w:firstLine="0"/>
        <w:rPr>
          <w:rFonts w:ascii="Times New Roman" w:hAnsi="Times New Roman" w:cs="Times New Roman"/>
          <w:szCs w:val="24"/>
        </w:rPr>
      </w:pPr>
      <w:r w:rsidRPr="00E12CE5">
        <w:rPr>
          <w:rFonts w:ascii="Times New Roman" w:hAnsi="Times New Roman" w:cs="Times New Roman"/>
          <w:szCs w:val="24"/>
        </w:rPr>
        <w:t xml:space="preserve">Ponadto w projektowanym art. 15h ustawy nałożono na ministra właściwego do spraw energii obowiązek powiadomienia Komisji Europejskiej o zamiarze prowadzenia negocjacji umowy międzynarodowej w sprawie eksploatacji gazociągów międzysystemowych z państwem trzecim oraz przekazywania innych właściwych informacji w toku negocjacji i po ich zakończeniu </w:t>
      </w:r>
      <w:r>
        <w:rPr>
          <w:rFonts w:ascii="Times New Roman" w:hAnsi="Times New Roman" w:cs="Times New Roman"/>
          <w:szCs w:val="24"/>
        </w:rPr>
        <w:t>–</w:t>
      </w:r>
      <w:r w:rsidRPr="00E12CE5">
        <w:rPr>
          <w:rFonts w:ascii="Times New Roman" w:hAnsi="Times New Roman" w:cs="Times New Roman"/>
          <w:szCs w:val="24"/>
        </w:rPr>
        <w:t xml:space="preserve"> w zakresie zawarcia, zmiany mocy obowiązującej oraz zmiany zakresu obowiązywania umowy, w tym o jej podpisaniu czy wejściu w życie. Obowiązek ten ma na celu impleme</w:t>
      </w:r>
      <w:r w:rsidR="00BA401E">
        <w:rPr>
          <w:rFonts w:ascii="Times New Roman" w:hAnsi="Times New Roman" w:cs="Times New Roman"/>
          <w:szCs w:val="24"/>
        </w:rPr>
        <w:t>ntację procedury upoważnienia z art. </w:t>
      </w:r>
      <w:r w:rsidRPr="00E12CE5">
        <w:rPr>
          <w:rFonts w:ascii="Times New Roman" w:hAnsi="Times New Roman" w:cs="Times New Roman"/>
          <w:szCs w:val="24"/>
        </w:rPr>
        <w:t xml:space="preserve">49b znowelizowanej dyrektywy 2009/73/WE poprzez umożliwienie Komisji oceny </w:t>
      </w:r>
      <w:r w:rsidRPr="00E12CE5">
        <w:rPr>
          <w:rFonts w:ascii="Times New Roman" w:hAnsi="Times New Roman" w:cs="Times New Roman"/>
          <w:szCs w:val="24"/>
        </w:rPr>
        <w:lastRenderedPageBreak/>
        <w:t>zgodności planowanych negocjacji i ich wyników z prawem Unii Europejskiej, ich wpływu na funkcjonowanie rynku wewnętrznego gazu ziemnego, bezpieczeństwo dostaw i konkurencję w Rzeczypospolitej Polskiej i</w:t>
      </w:r>
      <w:r>
        <w:rPr>
          <w:rFonts w:ascii="Times New Roman" w:hAnsi="Times New Roman" w:cs="Times New Roman"/>
          <w:szCs w:val="24"/>
        </w:rPr>
        <w:t xml:space="preserve"> </w:t>
      </w:r>
      <w:r w:rsidRPr="00E12CE5">
        <w:rPr>
          <w:rFonts w:ascii="Times New Roman" w:hAnsi="Times New Roman" w:cs="Times New Roman"/>
          <w:szCs w:val="24"/>
        </w:rPr>
        <w:t xml:space="preserve">Unii Europejskiej. </w:t>
      </w:r>
    </w:p>
    <w:p w14:paraId="0C4ADA4E" w14:textId="7D87E94C" w:rsidR="007E50D9" w:rsidRPr="00E12CE5" w:rsidRDefault="007E50D9" w:rsidP="00E12CE5">
      <w:pPr>
        <w:pStyle w:val="NIEARTTEKSTtekstnieartykuowanynppodstprawnarozplubpreambua"/>
        <w:ind w:firstLine="0"/>
        <w:rPr>
          <w:rFonts w:ascii="Times New Roman" w:hAnsi="Times New Roman" w:cs="Times New Roman"/>
          <w:szCs w:val="24"/>
        </w:rPr>
      </w:pPr>
      <w:r w:rsidRPr="00E12CE5">
        <w:rPr>
          <w:rFonts w:ascii="Times New Roman" w:hAnsi="Times New Roman" w:cs="Times New Roman"/>
          <w:szCs w:val="24"/>
        </w:rPr>
        <w:t>Dyrektywa 2019/692/UE przyznała państwom członkowskim możliwość udzielenia odstępstw od niektórych przepisów dyrektywy 2009/73/WE w odniesieniu do takich gazociągów międzysystemowych z państwami trzecimi, które zostały wybudowane przed dniem wejścia w życie dyrektywy (tj.</w:t>
      </w:r>
      <w:r>
        <w:rPr>
          <w:rFonts w:ascii="Times New Roman" w:hAnsi="Times New Roman" w:cs="Times New Roman"/>
          <w:szCs w:val="24"/>
        </w:rPr>
        <w:t xml:space="preserve"> </w:t>
      </w:r>
      <w:r w:rsidRPr="00E12CE5">
        <w:rPr>
          <w:rFonts w:ascii="Times New Roman" w:hAnsi="Times New Roman" w:cs="Times New Roman"/>
          <w:szCs w:val="24"/>
        </w:rPr>
        <w:t>23.05.2019</w:t>
      </w:r>
      <w:r>
        <w:rPr>
          <w:rFonts w:ascii="Times New Roman" w:hAnsi="Times New Roman" w:cs="Times New Roman"/>
          <w:szCs w:val="24"/>
        </w:rPr>
        <w:t xml:space="preserve"> </w:t>
      </w:r>
      <w:r w:rsidRPr="00E12CE5">
        <w:rPr>
          <w:rFonts w:ascii="Times New Roman" w:hAnsi="Times New Roman" w:cs="Times New Roman"/>
          <w:szCs w:val="24"/>
        </w:rPr>
        <w:t>r.).</w:t>
      </w:r>
    </w:p>
    <w:p w14:paraId="2EA59D3B" w14:textId="77777777" w:rsidR="007E50D9" w:rsidRPr="00E12CE5" w:rsidRDefault="007E50D9" w:rsidP="00E12CE5">
      <w:pPr>
        <w:pStyle w:val="NIEARTTEKSTtekstnieartykuowanynppodstprawnarozplubpreambua"/>
        <w:ind w:firstLine="0"/>
        <w:rPr>
          <w:rFonts w:ascii="Times New Roman" w:hAnsi="Times New Roman" w:cs="Times New Roman"/>
          <w:szCs w:val="24"/>
        </w:rPr>
      </w:pPr>
      <w:r w:rsidRPr="00E12CE5">
        <w:rPr>
          <w:rFonts w:ascii="Times New Roman" w:hAnsi="Times New Roman" w:cs="Times New Roman"/>
          <w:szCs w:val="24"/>
        </w:rPr>
        <w:t>Implementacja odstępstw wyrażonych w art. 1 pkt 2 i 3 dyrektywy 2019/692/UE, dotyczących rozdzielenia działalności przesyłowej oraz dystrybucyjnej od działalności wytwórczej oraz działalności obrotowej jest fakultatywna. Projektodawca zdecydował o braku potrzeby implementacji tych przepisów, które zezwalają państwom członkowskim na stosowanie modeli rozdziału innych niż rozdział własnościowy wobec gazociągów międzysystemowych z państwem trzecim powstałych przed 23 maja 2019 r., ze względu na dokonany już wybór modeli rozdziału systemów przesyłowych i operatorów systemów przesyłowych (</w:t>
      </w:r>
      <w:proofErr w:type="spellStart"/>
      <w:r w:rsidRPr="00E12CE5">
        <w:rPr>
          <w:rFonts w:ascii="Times New Roman" w:hAnsi="Times New Roman" w:cs="Times New Roman"/>
          <w:szCs w:val="24"/>
        </w:rPr>
        <w:t>unbundlingu</w:t>
      </w:r>
      <w:proofErr w:type="spellEnd"/>
      <w:r w:rsidRPr="00E12CE5">
        <w:rPr>
          <w:rFonts w:ascii="Times New Roman" w:hAnsi="Times New Roman" w:cs="Times New Roman"/>
          <w:szCs w:val="24"/>
        </w:rPr>
        <w:t>) i ich wdrożenia w momencie implementacji do polskiego prawa III pakietu energetycznego.</w:t>
      </w:r>
    </w:p>
    <w:p w14:paraId="228DB16F" w14:textId="2632A393" w:rsidR="007E50D9" w:rsidRPr="00E12CE5" w:rsidRDefault="007E50D9" w:rsidP="00E12CE5">
      <w:pPr>
        <w:pStyle w:val="NIEARTTEKSTtekstnieartykuowanynppodstprawnarozplubpreambua"/>
        <w:ind w:firstLine="0"/>
        <w:rPr>
          <w:rFonts w:ascii="Times New Roman" w:hAnsi="Times New Roman" w:cs="Times New Roman"/>
          <w:szCs w:val="24"/>
        </w:rPr>
      </w:pPr>
      <w:r w:rsidRPr="00E12CE5">
        <w:rPr>
          <w:rFonts w:ascii="Times New Roman" w:hAnsi="Times New Roman" w:cs="Times New Roman"/>
          <w:szCs w:val="24"/>
        </w:rPr>
        <w:t>Odstępstwo z art. 1 pkt 9 dyrektywy 2019/692/UE może być udzielone nie później niż dnia 24 maja 2020 r. wobec gazociągów międzysystemowych z państwami trzecimi wybudowanych przed 23 maja 2019 r., spełniających szereg dodatkowych warunków, wobec których nie stosowało się dotychczas obowiązków, których dotyczy zwolnienie. Wobec takiego zakresu przepisu projektodawca zdecydo</w:t>
      </w:r>
      <w:r w:rsidR="0046214A">
        <w:rPr>
          <w:rFonts w:ascii="Times New Roman" w:hAnsi="Times New Roman" w:cs="Times New Roman"/>
          <w:szCs w:val="24"/>
        </w:rPr>
        <w:t>wał o jego implementacji w art. </w:t>
      </w:r>
      <w:r w:rsidRPr="00E12CE5">
        <w:rPr>
          <w:rFonts w:ascii="Times New Roman" w:hAnsi="Times New Roman" w:cs="Times New Roman"/>
          <w:szCs w:val="24"/>
        </w:rPr>
        <w:t xml:space="preserve">2 projektu, gdyż ma on charakter epizodyczny, wobec czego wprowadzanie go do ustawy </w:t>
      </w:r>
      <w:r>
        <w:rPr>
          <w:rFonts w:ascii="Times New Roman" w:hAnsi="Times New Roman" w:cs="Times New Roman"/>
          <w:szCs w:val="24"/>
        </w:rPr>
        <w:t xml:space="preserve">– </w:t>
      </w:r>
      <w:r w:rsidRPr="00E12CE5">
        <w:rPr>
          <w:rFonts w:ascii="Times New Roman" w:hAnsi="Times New Roman" w:cs="Times New Roman"/>
          <w:szCs w:val="24"/>
        </w:rPr>
        <w:t>Prawo energetyczne wydaje się niecelowe. Ponadto na uwagę zasługuje fakt, iż ww. termin ma charakter materialny i prekluzyjny.</w:t>
      </w:r>
    </w:p>
    <w:p w14:paraId="30DCB05D" w14:textId="3F37A999" w:rsidR="007E50D9" w:rsidRPr="00E12CE5" w:rsidRDefault="007E50D9" w:rsidP="00E12CE5">
      <w:pPr>
        <w:pStyle w:val="NIEARTTEKSTtekstnieartykuowanynppodstprawnarozplubpreambua"/>
        <w:ind w:firstLine="0"/>
        <w:rPr>
          <w:rFonts w:ascii="Times New Roman" w:hAnsi="Times New Roman" w:cs="Times New Roman"/>
          <w:szCs w:val="24"/>
        </w:rPr>
      </w:pPr>
      <w:r w:rsidRPr="00E12CE5">
        <w:rPr>
          <w:rFonts w:ascii="Times New Roman" w:hAnsi="Times New Roman" w:cs="Times New Roman"/>
          <w:szCs w:val="24"/>
        </w:rPr>
        <w:t>Celem europejskiego prawodawcy wyrażonym w motywie 4 dyrektywy 2019/692/UE jest zapewnienie, aby infrastruktura, wobec której nie miały uprzednio zastosowania przepisy prawa Unii Europejskiej, tj. zasada dostępu stron trzecich, Prezes URE zatwierdził obowiązujące taryfy, która ma już wyznaczonego operatora, lub działające na niej przedsiębiorstwo posiada certyfikat niezależności – w dalszym ciągu miała możliwość niestosowania przepisów dyrektywy.</w:t>
      </w:r>
      <w:r>
        <w:rPr>
          <w:rFonts w:ascii="Times New Roman" w:hAnsi="Times New Roman" w:cs="Times New Roman"/>
          <w:szCs w:val="24"/>
        </w:rPr>
        <w:t xml:space="preserve"> </w:t>
      </w:r>
    </w:p>
    <w:p w14:paraId="1D66ACBD" w14:textId="437DCE5B" w:rsidR="007E50D9" w:rsidRPr="00E12CE5" w:rsidRDefault="007E50D9" w:rsidP="00E12CE5">
      <w:pPr>
        <w:pStyle w:val="NIEARTTEKSTtekstnieartykuowanynppodstprawnarozplubpreambua"/>
        <w:ind w:firstLine="0"/>
        <w:rPr>
          <w:rFonts w:ascii="Times New Roman" w:hAnsi="Times New Roman" w:cs="Times New Roman"/>
          <w:szCs w:val="24"/>
        </w:rPr>
      </w:pPr>
      <w:r w:rsidRPr="00E12CE5">
        <w:rPr>
          <w:rFonts w:ascii="Times New Roman" w:hAnsi="Times New Roman" w:cs="Times New Roman"/>
          <w:szCs w:val="24"/>
        </w:rPr>
        <w:t>W związku z tym w art. 2 projektu ustawy doprecyzowano, że</w:t>
      </w:r>
      <w:r>
        <w:rPr>
          <w:rFonts w:ascii="Times New Roman" w:hAnsi="Times New Roman" w:cs="Times New Roman"/>
          <w:szCs w:val="24"/>
        </w:rPr>
        <w:t xml:space="preserve"> </w:t>
      </w:r>
      <w:r w:rsidR="00BA401E">
        <w:rPr>
          <w:rFonts w:ascii="Times New Roman" w:hAnsi="Times New Roman" w:cs="Times New Roman"/>
          <w:szCs w:val="24"/>
        </w:rPr>
        <w:t>przyznanie zwolnienia z </w:t>
      </w:r>
      <w:r w:rsidRPr="00E12CE5">
        <w:rPr>
          <w:rFonts w:ascii="Times New Roman" w:hAnsi="Times New Roman" w:cs="Times New Roman"/>
          <w:szCs w:val="24"/>
        </w:rPr>
        <w:t xml:space="preserve">wykonywania określonych obowiązków ustawy zmienianej w art. 1 nie jest możliwe </w:t>
      </w:r>
      <w:r w:rsidRPr="00E12CE5">
        <w:rPr>
          <w:rFonts w:ascii="Times New Roman" w:hAnsi="Times New Roman" w:cs="Times New Roman"/>
          <w:szCs w:val="24"/>
        </w:rPr>
        <w:lastRenderedPageBreak/>
        <w:t xml:space="preserve">wobec gazociągów międzysystemowych z państwami trzecimi, w przypadku których nie został spełniony którykolwiek z poniższych warunków: </w:t>
      </w:r>
    </w:p>
    <w:p w14:paraId="06FD970B" w14:textId="4C624C01" w:rsidR="007E50D9" w:rsidRPr="00E12CE5" w:rsidRDefault="007E50D9" w:rsidP="00E12CE5">
      <w:pPr>
        <w:pStyle w:val="ZARTzmartartykuempunktem"/>
        <w:ind w:left="284" w:hanging="284"/>
        <w:rPr>
          <w:rFonts w:ascii="Times New Roman" w:hAnsi="Times New Roman" w:cs="Times New Roman"/>
          <w:szCs w:val="24"/>
        </w:rPr>
      </w:pPr>
      <w:r>
        <w:rPr>
          <w:rFonts w:ascii="Times New Roman" w:hAnsi="Times New Roman" w:cs="Times New Roman"/>
          <w:szCs w:val="24"/>
        </w:rPr>
        <w:t>–</w:t>
      </w:r>
      <w:r w:rsidRPr="00E12CE5">
        <w:rPr>
          <w:rFonts w:ascii="Times New Roman" w:hAnsi="Times New Roman" w:cs="Times New Roman"/>
          <w:szCs w:val="24"/>
        </w:rPr>
        <w:tab/>
        <w:t>zostały zbudowane przed dniem 23 maja 2019 r.</w:t>
      </w:r>
      <w:r w:rsidR="00A6663A">
        <w:rPr>
          <w:rFonts w:ascii="Times New Roman" w:hAnsi="Times New Roman" w:cs="Times New Roman"/>
          <w:szCs w:val="24"/>
        </w:rPr>
        <w:t>,</w:t>
      </w:r>
    </w:p>
    <w:p w14:paraId="4998464E" w14:textId="720A9F1F" w:rsidR="007E50D9" w:rsidRPr="00E12CE5" w:rsidRDefault="007E50D9" w:rsidP="00E12CE5">
      <w:pPr>
        <w:pStyle w:val="ZARTzmartartykuempunktem"/>
        <w:ind w:left="284" w:hanging="284"/>
        <w:rPr>
          <w:rFonts w:ascii="Times New Roman" w:hAnsi="Times New Roman" w:cs="Times New Roman"/>
          <w:szCs w:val="24"/>
        </w:rPr>
      </w:pPr>
      <w:r>
        <w:rPr>
          <w:rFonts w:ascii="Times New Roman" w:hAnsi="Times New Roman" w:cs="Times New Roman"/>
          <w:szCs w:val="24"/>
        </w:rPr>
        <w:t>–</w:t>
      </w:r>
      <w:r w:rsidRPr="00E12CE5">
        <w:rPr>
          <w:rFonts w:ascii="Times New Roman" w:hAnsi="Times New Roman" w:cs="Times New Roman"/>
          <w:szCs w:val="24"/>
        </w:rPr>
        <w:tab/>
        <w:t>przed dniem wejścia w życie niniejszej ustawy nie b</w:t>
      </w:r>
      <w:r w:rsidR="00BA401E">
        <w:rPr>
          <w:rFonts w:ascii="Times New Roman" w:hAnsi="Times New Roman" w:cs="Times New Roman"/>
          <w:szCs w:val="24"/>
        </w:rPr>
        <w:t>yły związane obowiązkami z art. </w:t>
      </w:r>
      <w:r w:rsidRPr="00E12CE5">
        <w:rPr>
          <w:rFonts w:ascii="Times New Roman" w:hAnsi="Times New Roman" w:cs="Times New Roman"/>
          <w:szCs w:val="24"/>
        </w:rPr>
        <w:t>4 ust. 2, art. 47 ust. 1 ani art. 9d ust. 1a ustawy, ani nie były przedmiotem decyzji wydanej na podstawie</w:t>
      </w:r>
      <w:r>
        <w:rPr>
          <w:rFonts w:ascii="Times New Roman" w:hAnsi="Times New Roman" w:cs="Times New Roman"/>
          <w:szCs w:val="24"/>
        </w:rPr>
        <w:t xml:space="preserve"> </w:t>
      </w:r>
      <w:r w:rsidRPr="00E12CE5">
        <w:rPr>
          <w:rFonts w:ascii="Times New Roman" w:hAnsi="Times New Roman" w:cs="Times New Roman"/>
          <w:szCs w:val="24"/>
        </w:rPr>
        <w:t>art. 9h</w:t>
      </w:r>
      <w:r>
        <w:rPr>
          <w:rFonts w:ascii="Times New Roman" w:hAnsi="Times New Roman" w:cs="Times New Roman"/>
          <w:szCs w:val="24"/>
        </w:rPr>
        <w:t>–</w:t>
      </w:r>
      <w:r w:rsidRPr="00E12CE5">
        <w:rPr>
          <w:rFonts w:ascii="Times New Roman" w:hAnsi="Times New Roman" w:cs="Times New Roman"/>
          <w:szCs w:val="24"/>
        </w:rPr>
        <w:t>9h</w:t>
      </w:r>
      <w:r w:rsidRPr="00E12CE5">
        <w:rPr>
          <w:rFonts w:ascii="Times New Roman" w:hAnsi="Times New Roman" w:cs="Times New Roman"/>
          <w:szCs w:val="24"/>
          <w:vertAlign w:val="superscript"/>
        </w:rPr>
        <w:t>2</w:t>
      </w:r>
      <w:r w:rsidRPr="00E12CE5">
        <w:rPr>
          <w:rFonts w:ascii="Times New Roman" w:hAnsi="Times New Roman" w:cs="Times New Roman"/>
          <w:szCs w:val="24"/>
        </w:rPr>
        <w:t xml:space="preserve"> ustawy</w:t>
      </w:r>
      <w:r w:rsidR="00A6663A">
        <w:rPr>
          <w:rFonts w:ascii="Times New Roman" w:hAnsi="Times New Roman" w:cs="Times New Roman"/>
          <w:szCs w:val="24"/>
        </w:rPr>
        <w:t>,</w:t>
      </w:r>
    </w:p>
    <w:p w14:paraId="71CDF8D9" w14:textId="1C876385" w:rsidR="007E50D9" w:rsidRPr="00E12CE5" w:rsidRDefault="007E50D9" w:rsidP="00E12CE5">
      <w:pPr>
        <w:pStyle w:val="ZARTzmartartykuempunktem"/>
        <w:ind w:left="284" w:hanging="284"/>
        <w:rPr>
          <w:rFonts w:ascii="Times New Roman" w:hAnsi="Times New Roman" w:cs="Times New Roman"/>
          <w:szCs w:val="24"/>
        </w:rPr>
      </w:pPr>
      <w:r>
        <w:rPr>
          <w:rFonts w:ascii="Times New Roman" w:hAnsi="Times New Roman" w:cs="Times New Roman"/>
          <w:szCs w:val="24"/>
        </w:rPr>
        <w:t>–</w:t>
      </w:r>
      <w:r w:rsidRPr="00E12CE5">
        <w:rPr>
          <w:rFonts w:ascii="Times New Roman" w:hAnsi="Times New Roman" w:cs="Times New Roman"/>
          <w:szCs w:val="24"/>
        </w:rPr>
        <w:tab/>
        <w:t>spełniają łącznie warunki określone w art. 2 ust. 2 projektu</w:t>
      </w:r>
      <w:r w:rsidR="00A6663A">
        <w:rPr>
          <w:rFonts w:ascii="Times New Roman" w:hAnsi="Times New Roman" w:cs="Times New Roman"/>
          <w:szCs w:val="24"/>
        </w:rPr>
        <w:t>,</w:t>
      </w:r>
    </w:p>
    <w:p w14:paraId="05D086DC" w14:textId="1101B784" w:rsidR="007E50D9" w:rsidRPr="00E12CE5" w:rsidRDefault="007E50D9" w:rsidP="00E12CE5">
      <w:pPr>
        <w:pStyle w:val="ZARTzmartartykuempunktem"/>
        <w:ind w:left="284" w:hanging="284"/>
        <w:rPr>
          <w:rFonts w:ascii="Times New Roman" w:hAnsi="Times New Roman" w:cs="Times New Roman"/>
          <w:szCs w:val="24"/>
        </w:rPr>
      </w:pPr>
      <w:r>
        <w:rPr>
          <w:rFonts w:ascii="Times New Roman" w:hAnsi="Times New Roman" w:cs="Times New Roman"/>
          <w:szCs w:val="24"/>
        </w:rPr>
        <w:t>–</w:t>
      </w:r>
      <w:r w:rsidRPr="00E12CE5">
        <w:rPr>
          <w:rFonts w:ascii="Times New Roman" w:hAnsi="Times New Roman" w:cs="Times New Roman"/>
          <w:szCs w:val="24"/>
        </w:rPr>
        <w:tab/>
        <w:t>nie są objęte wyłączeniem z art. 2 ust. 3 projektu ustawy, odnoszącym się np. do państw Wspólnoty Energetycznej</w:t>
      </w:r>
      <w:r w:rsidR="00A6663A">
        <w:rPr>
          <w:rFonts w:ascii="Times New Roman" w:hAnsi="Times New Roman" w:cs="Times New Roman"/>
          <w:szCs w:val="24"/>
        </w:rPr>
        <w:t>.</w:t>
      </w:r>
    </w:p>
    <w:p w14:paraId="2BD25A4C" w14:textId="77777777" w:rsidR="007E50D9" w:rsidRPr="00E12CE5" w:rsidRDefault="007E50D9" w:rsidP="00E12CE5">
      <w:pPr>
        <w:pStyle w:val="NIEARTTEKSTtekstnieartykuowanynppodstprawnarozplubpreambua"/>
        <w:ind w:firstLine="0"/>
        <w:rPr>
          <w:rFonts w:ascii="Times New Roman" w:hAnsi="Times New Roman" w:cs="Times New Roman"/>
          <w:szCs w:val="24"/>
        </w:rPr>
      </w:pPr>
      <w:r w:rsidRPr="00E12CE5">
        <w:rPr>
          <w:rFonts w:ascii="Times New Roman" w:hAnsi="Times New Roman" w:cs="Times New Roman"/>
          <w:szCs w:val="24"/>
        </w:rPr>
        <w:t xml:space="preserve">Art. 2 projektu ustawy określa także termin na złożenie wniosku z ust. 1 tego artykułu oraz obowiązki Prezesa URE związane z wydaniem decyzji o zwolnieniu. </w:t>
      </w:r>
    </w:p>
    <w:p w14:paraId="3FDEEE2D" w14:textId="20825D8F" w:rsidR="007E50D9" w:rsidRPr="00E12CE5" w:rsidRDefault="007E50D9" w:rsidP="00E12CE5">
      <w:pPr>
        <w:pStyle w:val="NIEARTTEKSTtekstnieartykuowanynppodstprawnarozplubpreambua"/>
        <w:ind w:firstLine="0"/>
        <w:rPr>
          <w:rFonts w:ascii="Times New Roman" w:hAnsi="Times New Roman" w:cs="Times New Roman"/>
          <w:szCs w:val="24"/>
        </w:rPr>
      </w:pPr>
      <w:r w:rsidRPr="00E12CE5">
        <w:rPr>
          <w:rFonts w:ascii="Times New Roman" w:hAnsi="Times New Roman" w:cs="Times New Roman"/>
          <w:szCs w:val="24"/>
        </w:rPr>
        <w:t xml:space="preserve">Projektowana ustawa zawiera także przepis przejściowy dotyczący obowiązku, o którym mowa w art. 9c ust. 14 ustawy, zgodnie z którym umowy dotyczące eksploatacji gazociągu międzysystemowego z państwem trzecim i ich zmiany, zawarte przed dniem wejścia w życie niniejszej ustawy, operator systemu przesyłowego gazowego albo operator systemu połączonego gazowego przekazuje Prezesowi URE w terminie 14 dni od </w:t>
      </w:r>
      <w:r w:rsidR="003526D3">
        <w:rPr>
          <w:rFonts w:ascii="Times New Roman" w:hAnsi="Times New Roman" w:cs="Times New Roman"/>
          <w:szCs w:val="24"/>
        </w:rPr>
        <w:t xml:space="preserve">dnia </w:t>
      </w:r>
      <w:r w:rsidRPr="00E12CE5">
        <w:rPr>
          <w:rFonts w:ascii="Times New Roman" w:hAnsi="Times New Roman" w:cs="Times New Roman"/>
          <w:szCs w:val="24"/>
        </w:rPr>
        <w:t>wejścia w życie projektowanej ustawy. W zakresie zmienianego art. 4i oraz dodawanego art. 15h ustawy brak jest potrzeby formułowania przepisów przejściowych.</w:t>
      </w:r>
    </w:p>
    <w:p w14:paraId="666402A5" w14:textId="09EA0066" w:rsidR="007E50D9" w:rsidRPr="00E12CE5" w:rsidRDefault="007E50D9" w:rsidP="00E12CE5">
      <w:pPr>
        <w:pStyle w:val="ARTartustawynprozporzdzenia"/>
        <w:ind w:firstLine="0"/>
        <w:rPr>
          <w:rFonts w:ascii="Times New Roman" w:hAnsi="Times New Roman" w:cs="Times New Roman"/>
          <w:szCs w:val="24"/>
        </w:rPr>
      </w:pPr>
      <w:r w:rsidRPr="00E12CE5">
        <w:rPr>
          <w:rFonts w:ascii="Times New Roman" w:hAnsi="Times New Roman" w:cs="Times New Roman"/>
          <w:szCs w:val="24"/>
        </w:rPr>
        <w:t>Projekt, nakładając nowe obowiązki na Prezesa URE, może skutkować zmianą poziomu wydatków jednostek sektora finansów publicznych w stosunku do wielkości wynikających z obowiązujących przepisów. W związku z tym, zgodnie z art. 50 ustawy z dnia 27 sierpnia 2009 r. o finansach publicznych (Dz. U. z 2019 r. poz. 869, z</w:t>
      </w:r>
      <w:r w:rsidR="003526D3">
        <w:rPr>
          <w:rFonts w:ascii="Times New Roman" w:hAnsi="Times New Roman" w:cs="Times New Roman"/>
          <w:szCs w:val="24"/>
        </w:rPr>
        <w:t> </w:t>
      </w:r>
      <w:proofErr w:type="spellStart"/>
      <w:r w:rsidRPr="00E12CE5">
        <w:rPr>
          <w:rFonts w:ascii="Times New Roman" w:hAnsi="Times New Roman" w:cs="Times New Roman"/>
          <w:szCs w:val="24"/>
        </w:rPr>
        <w:t>późn</w:t>
      </w:r>
      <w:proofErr w:type="spellEnd"/>
      <w:r w:rsidRPr="00E12CE5">
        <w:rPr>
          <w:rFonts w:ascii="Times New Roman" w:hAnsi="Times New Roman" w:cs="Times New Roman"/>
          <w:szCs w:val="24"/>
        </w:rPr>
        <w:t>.</w:t>
      </w:r>
      <w:r w:rsidR="003526D3">
        <w:rPr>
          <w:rFonts w:ascii="Times New Roman" w:hAnsi="Times New Roman" w:cs="Times New Roman"/>
          <w:szCs w:val="24"/>
        </w:rPr>
        <w:t> </w:t>
      </w:r>
      <w:r w:rsidRPr="00E12CE5">
        <w:rPr>
          <w:rFonts w:ascii="Times New Roman" w:hAnsi="Times New Roman" w:cs="Times New Roman"/>
          <w:szCs w:val="24"/>
        </w:rPr>
        <w:t xml:space="preserve">zm.), w art. 4 projektu ustawy określa się maksymalny limit tych wydatków wyrażony kwotowo, na okres 10 lat budżetowych wykonywania ustawy, oddzielnie dla każdego roku, poczynając od roku wejścia w życie ustawy. </w:t>
      </w:r>
    </w:p>
    <w:p w14:paraId="48516D66" w14:textId="77777777" w:rsidR="007E50D9" w:rsidRPr="00E12CE5" w:rsidRDefault="007E50D9" w:rsidP="00E12CE5">
      <w:pPr>
        <w:pStyle w:val="ZDANIENASTNOWYWIERSZnpzddrugienowywierszwust"/>
        <w:spacing w:before="120"/>
        <w:rPr>
          <w:rStyle w:val="Ppogrubienie"/>
          <w:rFonts w:ascii="Times New Roman" w:hAnsi="Times New Roman" w:cs="Times New Roman"/>
          <w:szCs w:val="24"/>
        </w:rPr>
      </w:pPr>
      <w:r w:rsidRPr="00E12CE5">
        <w:rPr>
          <w:rStyle w:val="Ppogrubienie"/>
          <w:rFonts w:ascii="Times New Roman" w:hAnsi="Times New Roman" w:cs="Times New Roman"/>
          <w:szCs w:val="24"/>
        </w:rPr>
        <w:t>Oświadczenia dotyczące projektu ustawy</w:t>
      </w:r>
    </w:p>
    <w:p w14:paraId="5AF7A50F" w14:textId="77777777" w:rsidR="007E50D9" w:rsidRPr="00E12CE5" w:rsidRDefault="007E50D9" w:rsidP="00E12CE5">
      <w:pPr>
        <w:pStyle w:val="ZDANIENASTNOWYWIERSZnpzddrugienowywierszwust"/>
        <w:spacing w:before="120"/>
        <w:rPr>
          <w:rFonts w:ascii="Times New Roman" w:hAnsi="Times New Roman" w:cs="Times New Roman"/>
          <w:szCs w:val="24"/>
        </w:rPr>
      </w:pPr>
      <w:r w:rsidRPr="00E12CE5">
        <w:rPr>
          <w:rFonts w:ascii="Times New Roman" w:hAnsi="Times New Roman" w:cs="Times New Roman"/>
          <w:szCs w:val="24"/>
        </w:rPr>
        <w:t>Projekt ustawy jest zgodny z prawem Unii Europejskiej i stanowi jego implementację.</w:t>
      </w:r>
    </w:p>
    <w:p w14:paraId="0B96B305" w14:textId="48E9CBE1" w:rsidR="007E50D9" w:rsidRPr="00E12CE5" w:rsidRDefault="007E50D9" w:rsidP="00E12CE5">
      <w:pPr>
        <w:pStyle w:val="ZDANIENASTNOWYWIERSZnpzddrugienowywierszwust"/>
        <w:spacing w:before="120"/>
        <w:rPr>
          <w:rFonts w:ascii="Times New Roman" w:hAnsi="Times New Roman" w:cs="Times New Roman"/>
          <w:szCs w:val="24"/>
        </w:rPr>
      </w:pPr>
      <w:r w:rsidRPr="00E12CE5">
        <w:rPr>
          <w:rFonts w:ascii="Times New Roman" w:hAnsi="Times New Roman" w:cs="Times New Roman"/>
          <w:szCs w:val="24"/>
        </w:rPr>
        <w:t>Projekt ustawy nie wymaga przedstawienia organom i i</w:t>
      </w:r>
      <w:r w:rsidR="00BA401E">
        <w:rPr>
          <w:rFonts w:ascii="Times New Roman" w:hAnsi="Times New Roman" w:cs="Times New Roman"/>
          <w:szCs w:val="24"/>
        </w:rPr>
        <w:t>nstytucjom Unii Europejskiej, w </w:t>
      </w:r>
      <w:r w:rsidRPr="00E12CE5">
        <w:rPr>
          <w:rFonts w:ascii="Times New Roman" w:hAnsi="Times New Roman" w:cs="Times New Roman"/>
          <w:szCs w:val="24"/>
        </w:rPr>
        <w:t xml:space="preserve">tym Europejskiemu Bankowi Centralnemu, w celu uzyskania opinii, dokonania konsultacji albo uzgodnienia. </w:t>
      </w:r>
    </w:p>
    <w:p w14:paraId="590A43F3" w14:textId="5F7C931D" w:rsidR="007E50D9" w:rsidRPr="00E12CE5" w:rsidRDefault="007E50D9" w:rsidP="00E12CE5">
      <w:pPr>
        <w:pStyle w:val="ZDANIENASTNOWYWIERSZnpzddrugienowywierszwust"/>
        <w:spacing w:before="120"/>
        <w:rPr>
          <w:rFonts w:ascii="Times New Roman" w:hAnsi="Times New Roman" w:cs="Times New Roman"/>
          <w:szCs w:val="24"/>
        </w:rPr>
      </w:pPr>
      <w:r w:rsidRPr="00E12CE5">
        <w:rPr>
          <w:rFonts w:ascii="Times New Roman" w:hAnsi="Times New Roman" w:cs="Times New Roman"/>
          <w:szCs w:val="24"/>
        </w:rPr>
        <w:lastRenderedPageBreak/>
        <w:t>Projekt ustawy nie zawiera przepisów technicznych, a zatem nie podlega notyfikacji zgodnie z</w:t>
      </w:r>
      <w:r>
        <w:rPr>
          <w:rFonts w:ascii="Times New Roman" w:hAnsi="Times New Roman" w:cs="Times New Roman"/>
          <w:szCs w:val="24"/>
        </w:rPr>
        <w:t xml:space="preserve"> </w:t>
      </w:r>
      <w:r w:rsidRPr="00E12CE5">
        <w:rPr>
          <w:rFonts w:ascii="Times New Roman" w:hAnsi="Times New Roman" w:cs="Times New Roman"/>
          <w:szCs w:val="24"/>
        </w:rPr>
        <w:t>trybem przewidzianym w rozporządzeniu Rady Ministrów z dnia 23</w:t>
      </w:r>
      <w:r>
        <w:rPr>
          <w:rFonts w:ascii="Times New Roman" w:hAnsi="Times New Roman" w:cs="Times New Roman"/>
          <w:szCs w:val="24"/>
        </w:rPr>
        <w:t xml:space="preserve"> </w:t>
      </w:r>
      <w:r w:rsidRPr="00E12CE5">
        <w:rPr>
          <w:rFonts w:ascii="Times New Roman" w:hAnsi="Times New Roman" w:cs="Times New Roman"/>
          <w:szCs w:val="24"/>
        </w:rPr>
        <w:t>grudnia 2002 r. w</w:t>
      </w:r>
      <w:r>
        <w:rPr>
          <w:rFonts w:ascii="Times New Roman" w:hAnsi="Times New Roman" w:cs="Times New Roman"/>
          <w:szCs w:val="24"/>
        </w:rPr>
        <w:t xml:space="preserve"> </w:t>
      </w:r>
      <w:r w:rsidRPr="00E12CE5">
        <w:rPr>
          <w:rFonts w:ascii="Times New Roman" w:hAnsi="Times New Roman" w:cs="Times New Roman"/>
          <w:szCs w:val="24"/>
        </w:rPr>
        <w:t xml:space="preserve">sprawie </w:t>
      </w:r>
      <w:r w:rsidR="003526D3">
        <w:rPr>
          <w:rFonts w:ascii="Times New Roman" w:hAnsi="Times New Roman" w:cs="Times New Roman"/>
          <w:szCs w:val="24"/>
        </w:rPr>
        <w:t xml:space="preserve">sposobu </w:t>
      </w:r>
      <w:r w:rsidRPr="00E12CE5">
        <w:rPr>
          <w:rFonts w:ascii="Times New Roman" w:hAnsi="Times New Roman" w:cs="Times New Roman"/>
          <w:szCs w:val="24"/>
        </w:rPr>
        <w:t>funkcjonowania krajowego systemu notyfikacji norm i aktów prawnych (Dz. U.</w:t>
      </w:r>
      <w:r>
        <w:rPr>
          <w:rFonts w:ascii="Times New Roman" w:hAnsi="Times New Roman" w:cs="Times New Roman"/>
          <w:szCs w:val="24"/>
        </w:rPr>
        <w:t xml:space="preserve"> </w:t>
      </w:r>
      <w:r w:rsidRPr="00E12CE5">
        <w:rPr>
          <w:rFonts w:ascii="Times New Roman" w:hAnsi="Times New Roman" w:cs="Times New Roman"/>
          <w:szCs w:val="24"/>
        </w:rPr>
        <w:t>poz.</w:t>
      </w:r>
      <w:r>
        <w:rPr>
          <w:rFonts w:ascii="Times New Roman" w:hAnsi="Times New Roman" w:cs="Times New Roman"/>
          <w:szCs w:val="24"/>
        </w:rPr>
        <w:t xml:space="preserve"> </w:t>
      </w:r>
      <w:r w:rsidRPr="00E12CE5">
        <w:rPr>
          <w:rFonts w:ascii="Times New Roman" w:hAnsi="Times New Roman" w:cs="Times New Roman"/>
          <w:szCs w:val="24"/>
        </w:rPr>
        <w:t xml:space="preserve">2039, z </w:t>
      </w:r>
      <w:proofErr w:type="spellStart"/>
      <w:r w:rsidRPr="00E12CE5">
        <w:rPr>
          <w:rFonts w:ascii="Times New Roman" w:hAnsi="Times New Roman" w:cs="Times New Roman"/>
          <w:szCs w:val="24"/>
        </w:rPr>
        <w:t>późn</w:t>
      </w:r>
      <w:proofErr w:type="spellEnd"/>
      <w:r w:rsidRPr="00E12CE5">
        <w:rPr>
          <w:rFonts w:ascii="Times New Roman" w:hAnsi="Times New Roman" w:cs="Times New Roman"/>
          <w:szCs w:val="24"/>
        </w:rPr>
        <w:t>. zm.).</w:t>
      </w:r>
    </w:p>
    <w:p w14:paraId="4527647C" w14:textId="41D64A7D" w:rsidR="007E50D9" w:rsidRPr="00E12CE5" w:rsidRDefault="007E50D9" w:rsidP="00E12CE5">
      <w:pPr>
        <w:pStyle w:val="ZDANIENASTNOWYWIERSZnpzddrugienowywierszwust"/>
        <w:spacing w:before="120"/>
        <w:rPr>
          <w:rFonts w:ascii="Times New Roman" w:hAnsi="Times New Roman" w:cs="Times New Roman"/>
          <w:szCs w:val="24"/>
        </w:rPr>
      </w:pPr>
      <w:r w:rsidRPr="00E12CE5">
        <w:rPr>
          <w:rFonts w:ascii="Times New Roman" w:hAnsi="Times New Roman" w:cs="Times New Roman"/>
          <w:szCs w:val="24"/>
        </w:rPr>
        <w:t xml:space="preserve">Projekt ustawy pociąga za sobą nowe obciążenie budżetu państwa </w:t>
      </w:r>
      <w:r>
        <w:rPr>
          <w:rFonts w:ascii="Times New Roman" w:hAnsi="Times New Roman" w:cs="Times New Roman"/>
          <w:szCs w:val="24"/>
        </w:rPr>
        <w:t>–</w:t>
      </w:r>
      <w:r w:rsidRPr="00E12CE5">
        <w:rPr>
          <w:rFonts w:ascii="Times New Roman" w:hAnsi="Times New Roman" w:cs="Times New Roman"/>
          <w:szCs w:val="24"/>
        </w:rPr>
        <w:t xml:space="preserve"> zgodnie z limitem określonym w art. 4. </w:t>
      </w:r>
    </w:p>
    <w:p w14:paraId="1D16CB7C" w14:textId="77777777" w:rsidR="007E50D9" w:rsidRPr="00E12CE5" w:rsidRDefault="007E50D9" w:rsidP="00E12CE5">
      <w:pPr>
        <w:pStyle w:val="ZDANIENASTNOWYWIERSZnpzddrugienowywierszwust"/>
        <w:spacing w:before="120"/>
        <w:rPr>
          <w:rFonts w:ascii="Times New Roman" w:hAnsi="Times New Roman" w:cs="Times New Roman"/>
          <w:szCs w:val="24"/>
        </w:rPr>
      </w:pPr>
      <w:r w:rsidRPr="00E12CE5">
        <w:rPr>
          <w:rFonts w:ascii="Times New Roman" w:hAnsi="Times New Roman" w:cs="Times New Roman"/>
          <w:szCs w:val="24"/>
        </w:rPr>
        <w:t>Projekt ustawy nie przewiduje konieczności wydania aktów wykonawczych.</w:t>
      </w:r>
    </w:p>
    <w:p w14:paraId="3AA4A955" w14:textId="290DFCAB" w:rsidR="007E50D9" w:rsidRPr="00E12CE5" w:rsidRDefault="007E50D9" w:rsidP="00E12CE5">
      <w:pPr>
        <w:pStyle w:val="ZDANIENASTNOWYWIERSZnpzddrugienowywierszwust"/>
        <w:spacing w:before="120"/>
        <w:rPr>
          <w:rFonts w:ascii="Times New Roman" w:hAnsi="Times New Roman" w:cs="Times New Roman"/>
          <w:szCs w:val="24"/>
        </w:rPr>
      </w:pPr>
      <w:r w:rsidRPr="00E12CE5">
        <w:rPr>
          <w:rFonts w:ascii="Times New Roman" w:hAnsi="Times New Roman" w:cs="Times New Roman"/>
          <w:szCs w:val="24"/>
        </w:rPr>
        <w:t xml:space="preserve">Projekt ustawy nie wywiera wpływu na działalność </w:t>
      </w:r>
      <w:proofErr w:type="spellStart"/>
      <w:r w:rsidRPr="00E12CE5">
        <w:rPr>
          <w:rFonts w:ascii="Times New Roman" w:hAnsi="Times New Roman" w:cs="Times New Roman"/>
          <w:szCs w:val="24"/>
        </w:rPr>
        <w:t>mikroprzedsiębiorców</w:t>
      </w:r>
      <w:proofErr w:type="spellEnd"/>
      <w:r w:rsidRPr="00E12CE5">
        <w:rPr>
          <w:rFonts w:ascii="Times New Roman" w:hAnsi="Times New Roman" w:cs="Times New Roman"/>
          <w:szCs w:val="24"/>
        </w:rPr>
        <w:t xml:space="preserve"> oraz małych i</w:t>
      </w:r>
      <w:r w:rsidR="00BA401E">
        <w:rPr>
          <w:rFonts w:ascii="Times New Roman" w:hAnsi="Times New Roman" w:cs="Times New Roman"/>
          <w:szCs w:val="24"/>
        </w:rPr>
        <w:t> </w:t>
      </w:r>
      <w:r w:rsidRPr="00E12CE5">
        <w:rPr>
          <w:rFonts w:ascii="Times New Roman" w:hAnsi="Times New Roman" w:cs="Times New Roman"/>
          <w:szCs w:val="24"/>
        </w:rPr>
        <w:t>średnich przedsiębiorców.</w:t>
      </w:r>
    </w:p>
    <w:p w14:paraId="74A87DC9" w14:textId="4CAE3EC6" w:rsidR="007E50D9" w:rsidRPr="00E12CE5" w:rsidRDefault="007E50D9" w:rsidP="00E12CE5">
      <w:pPr>
        <w:pStyle w:val="ZDANIENASTNOWYWIERSZnpzddrugienowywierszwust"/>
        <w:spacing w:before="120"/>
        <w:rPr>
          <w:rFonts w:ascii="Times New Roman" w:hAnsi="Times New Roman" w:cs="Times New Roman"/>
          <w:szCs w:val="24"/>
        </w:rPr>
      </w:pPr>
      <w:r w:rsidRPr="00E12CE5">
        <w:rPr>
          <w:rFonts w:ascii="Times New Roman" w:hAnsi="Times New Roman" w:cs="Times New Roman"/>
          <w:szCs w:val="24"/>
        </w:rPr>
        <w:t>Projekt ustawy został poddany</w:t>
      </w:r>
      <w:r>
        <w:rPr>
          <w:rFonts w:ascii="Times New Roman" w:hAnsi="Times New Roman" w:cs="Times New Roman"/>
          <w:szCs w:val="24"/>
        </w:rPr>
        <w:t xml:space="preserve"> </w:t>
      </w:r>
      <w:r w:rsidRPr="00E12CE5">
        <w:rPr>
          <w:rFonts w:ascii="Times New Roman" w:hAnsi="Times New Roman" w:cs="Times New Roman"/>
          <w:szCs w:val="24"/>
        </w:rPr>
        <w:t>konsultacjom publicznym oraz, zgodnie z</w:t>
      </w:r>
      <w:r>
        <w:rPr>
          <w:rFonts w:ascii="Times New Roman" w:hAnsi="Times New Roman" w:cs="Times New Roman"/>
          <w:szCs w:val="24"/>
        </w:rPr>
        <w:t xml:space="preserve"> </w:t>
      </w:r>
      <w:r w:rsidRPr="00E12CE5">
        <w:rPr>
          <w:rFonts w:ascii="Times New Roman" w:hAnsi="Times New Roman" w:cs="Times New Roman"/>
          <w:szCs w:val="24"/>
        </w:rPr>
        <w:t>§</w:t>
      </w:r>
      <w:r>
        <w:rPr>
          <w:rFonts w:ascii="Times New Roman" w:hAnsi="Times New Roman" w:cs="Times New Roman"/>
          <w:szCs w:val="24"/>
        </w:rPr>
        <w:t xml:space="preserve"> </w:t>
      </w:r>
      <w:r w:rsidRPr="00E12CE5">
        <w:rPr>
          <w:rFonts w:ascii="Times New Roman" w:hAnsi="Times New Roman" w:cs="Times New Roman"/>
          <w:szCs w:val="24"/>
        </w:rPr>
        <w:t>52 ust. 1 uchwały nr 190 Rady Ministrów z dnia 29 października 2013 r.</w:t>
      </w:r>
      <w:r>
        <w:rPr>
          <w:rFonts w:ascii="Times New Roman" w:hAnsi="Times New Roman" w:cs="Times New Roman"/>
          <w:szCs w:val="24"/>
        </w:rPr>
        <w:t xml:space="preserve"> –</w:t>
      </w:r>
      <w:r w:rsidRPr="00E12CE5">
        <w:rPr>
          <w:rFonts w:ascii="Times New Roman" w:hAnsi="Times New Roman" w:cs="Times New Roman"/>
          <w:szCs w:val="24"/>
        </w:rPr>
        <w:t xml:space="preserve"> Regulamin pracy Rady Ministrów (M.P. z 2016 r. poz. 1006, z </w:t>
      </w:r>
      <w:proofErr w:type="spellStart"/>
      <w:r w:rsidRPr="00E12CE5">
        <w:rPr>
          <w:rFonts w:ascii="Times New Roman" w:hAnsi="Times New Roman" w:cs="Times New Roman"/>
          <w:szCs w:val="24"/>
        </w:rPr>
        <w:t>późn</w:t>
      </w:r>
      <w:proofErr w:type="spellEnd"/>
      <w:r w:rsidRPr="00E12CE5">
        <w:rPr>
          <w:rFonts w:ascii="Times New Roman" w:hAnsi="Times New Roman" w:cs="Times New Roman"/>
          <w:szCs w:val="24"/>
        </w:rPr>
        <w:t>. zm.)</w:t>
      </w:r>
      <w:r w:rsidR="003526D3">
        <w:rPr>
          <w:rFonts w:ascii="Times New Roman" w:hAnsi="Times New Roman" w:cs="Times New Roman"/>
          <w:szCs w:val="24"/>
        </w:rPr>
        <w:t>,</w:t>
      </w:r>
      <w:r w:rsidRPr="00E12CE5">
        <w:rPr>
          <w:rFonts w:ascii="Times New Roman" w:hAnsi="Times New Roman" w:cs="Times New Roman"/>
          <w:szCs w:val="24"/>
        </w:rPr>
        <w:t xml:space="preserve"> został umieszczony w</w:t>
      </w:r>
      <w:r>
        <w:rPr>
          <w:rFonts w:ascii="Times New Roman" w:hAnsi="Times New Roman" w:cs="Times New Roman"/>
          <w:szCs w:val="24"/>
        </w:rPr>
        <w:t xml:space="preserve"> </w:t>
      </w:r>
      <w:r w:rsidRPr="00E12CE5">
        <w:rPr>
          <w:rFonts w:ascii="Times New Roman" w:hAnsi="Times New Roman" w:cs="Times New Roman"/>
          <w:szCs w:val="24"/>
        </w:rPr>
        <w:t>Biuletynie Informacji Publicznej na stronie podmiotowej Rządowego Centrum Legislacji, w</w:t>
      </w:r>
      <w:r w:rsidR="00BA401E">
        <w:rPr>
          <w:rFonts w:ascii="Times New Roman" w:hAnsi="Times New Roman" w:cs="Times New Roman"/>
          <w:szCs w:val="24"/>
        </w:rPr>
        <w:t> </w:t>
      </w:r>
      <w:r w:rsidRPr="00E12CE5">
        <w:rPr>
          <w:rFonts w:ascii="Times New Roman" w:hAnsi="Times New Roman" w:cs="Times New Roman"/>
          <w:szCs w:val="24"/>
        </w:rPr>
        <w:t>serwisie Rządowy Proces Legislacyjny.</w:t>
      </w:r>
    </w:p>
    <w:p w14:paraId="1F968856" w14:textId="0B9C4BCE" w:rsidR="007E50D9" w:rsidRPr="00E12CE5" w:rsidRDefault="007E50D9" w:rsidP="00E12CE5">
      <w:pPr>
        <w:pStyle w:val="ZDANIENASTNOWYWIERSZnpzddrugienowywierszwust"/>
        <w:spacing w:before="120"/>
        <w:rPr>
          <w:rFonts w:ascii="Times New Roman" w:hAnsi="Times New Roman" w:cs="Times New Roman"/>
          <w:szCs w:val="24"/>
        </w:rPr>
      </w:pPr>
      <w:r w:rsidRPr="00E12CE5">
        <w:rPr>
          <w:rFonts w:ascii="Times New Roman" w:hAnsi="Times New Roman" w:cs="Times New Roman"/>
          <w:szCs w:val="24"/>
        </w:rPr>
        <w:t>Zgodnie z art. 5 ustawy z dnia 7 lipca 2005 r. o działalności lobbingowej w procesie stanowienia prawa (Dz. U. z 2017 r. poz. 248) projekt ustawy zos</w:t>
      </w:r>
      <w:r w:rsidR="00BA401E">
        <w:rPr>
          <w:rFonts w:ascii="Times New Roman" w:hAnsi="Times New Roman" w:cs="Times New Roman"/>
          <w:szCs w:val="24"/>
        </w:rPr>
        <w:t>tał udostępniony w </w:t>
      </w:r>
      <w:r w:rsidRPr="00E12CE5">
        <w:rPr>
          <w:rFonts w:ascii="Times New Roman" w:hAnsi="Times New Roman" w:cs="Times New Roman"/>
          <w:szCs w:val="24"/>
        </w:rPr>
        <w:t>Biuletynie Informacji Publicznej na stronie podmiotowej Ministerstwa Aktywów Państwowych.</w:t>
      </w:r>
      <w:r w:rsidRPr="00E12CE5">
        <w:rPr>
          <w:rFonts w:ascii="Times New Roman" w:hAnsi="Times New Roman" w:cs="Times New Roman"/>
          <w:szCs w:val="24"/>
          <w:lang w:eastAsia="en-US"/>
        </w:rPr>
        <w:t xml:space="preserve"> </w:t>
      </w:r>
    </w:p>
    <w:p w14:paraId="29E93E28" w14:textId="68FF91A6" w:rsidR="004C1A4E" w:rsidRPr="00E12CE5" w:rsidRDefault="007E50D9" w:rsidP="00E12CE5">
      <w:pPr>
        <w:spacing w:before="120" w:after="0" w:line="360" w:lineRule="auto"/>
        <w:jc w:val="both"/>
        <w:rPr>
          <w:rFonts w:ascii="Times New Roman" w:hAnsi="Times New Roman" w:cs="Times New Roman"/>
          <w:sz w:val="24"/>
          <w:szCs w:val="24"/>
        </w:rPr>
      </w:pPr>
      <w:r w:rsidRPr="00E12CE5">
        <w:rPr>
          <w:rFonts w:ascii="Times New Roman" w:eastAsiaTheme="minorEastAsia" w:hAnsi="Times New Roman" w:cs="Times New Roman"/>
          <w:sz w:val="24"/>
          <w:szCs w:val="24"/>
          <w:lang w:eastAsia="pl-PL"/>
        </w:rPr>
        <w:t xml:space="preserve">Projektowana ustawa wejdzie w życie z dniem następującym po dniu ogłoszenia. Projektowany termin wejścia w życie nie narusza zasady demokratycznego państwa prawnego i jest zgodny z art. 4 ust. 2 ustawy z dnia 20 lipca 2000 r. o ogłaszaniu aktów normatywnych i niektórych innych aktów prawnych (Dz. U. z 2019 r. poz. 1461). Brak </w:t>
      </w:r>
      <w:r w:rsidRPr="00373B29">
        <w:rPr>
          <w:rFonts w:ascii="Times New Roman" w:eastAsiaTheme="minorEastAsia" w:hAnsi="Times New Roman" w:cs="Times New Roman"/>
          <w:i/>
          <w:sz w:val="24"/>
          <w:szCs w:val="24"/>
          <w:lang w:eastAsia="pl-PL"/>
        </w:rPr>
        <w:t>vacatio legis</w:t>
      </w:r>
      <w:r w:rsidRPr="00E12CE5">
        <w:rPr>
          <w:rFonts w:ascii="Times New Roman" w:eastAsiaTheme="minorEastAsia" w:hAnsi="Times New Roman" w:cs="Times New Roman"/>
          <w:sz w:val="24"/>
          <w:szCs w:val="24"/>
          <w:lang w:eastAsia="pl-PL"/>
        </w:rPr>
        <w:t xml:space="preserve"> uzasadnione jest potrzebą pilnej implementacji transponowanej dyrektywy (termin upływa 24 lutego 2020</w:t>
      </w:r>
      <w:r>
        <w:rPr>
          <w:rFonts w:ascii="Times New Roman" w:hAnsi="Times New Roman" w:cs="Times New Roman"/>
          <w:szCs w:val="24"/>
        </w:rPr>
        <w:t xml:space="preserve"> </w:t>
      </w:r>
      <w:r w:rsidRPr="00E12CE5">
        <w:rPr>
          <w:rFonts w:ascii="Times New Roman" w:eastAsiaTheme="minorEastAsia" w:hAnsi="Times New Roman" w:cs="Times New Roman"/>
          <w:sz w:val="24"/>
          <w:szCs w:val="24"/>
          <w:lang w:eastAsia="pl-PL"/>
        </w:rPr>
        <w:t>r.) oraz terminami, które bezpośrednio z niej wynikają:</w:t>
      </w:r>
      <w:r>
        <w:rPr>
          <w:rFonts w:ascii="Times New Roman" w:hAnsi="Times New Roman" w:cs="Times New Roman"/>
          <w:szCs w:val="24"/>
        </w:rPr>
        <w:t xml:space="preserve"> </w:t>
      </w:r>
      <w:r w:rsidRPr="00E12CE5">
        <w:rPr>
          <w:rFonts w:ascii="Times New Roman" w:eastAsiaTheme="minorEastAsia" w:hAnsi="Times New Roman" w:cs="Times New Roman"/>
          <w:sz w:val="24"/>
          <w:szCs w:val="24"/>
          <w:lang w:eastAsia="pl-PL"/>
        </w:rPr>
        <w:t>terminem wydania decyzji na podstawie art. 2 ust. 1 projektu ustawy (wydanie decyzji jest możliwe do dnia 24 maja 2020 r.) oraz terminem na złożenie wniosku przez podmioty zainteresowane odstępstwem (który został powiązany z wejściem w życie ustawy). Właściwe przeprowadzenie przez Prezesa URE procedury określonej w art. 2 wymaga wejścia w życie również art. 1 projektowanej ustawy, w szczególności w zakresie zmiany definicji gazociągu międzysystemowego oraz reżimu współpracy z organami innych państw, jak i stosownego czasu na przeprowadzenie postępowania, wobec czego projektodawca zdecydował o terminie wejścia w życie jak wyżej.</w:t>
      </w:r>
    </w:p>
    <w:sectPr w:rsidR="004C1A4E" w:rsidRPr="00E12CE5" w:rsidSect="00E12CE5">
      <w:footerReference w:type="default" r:id="rId6"/>
      <w:pgSz w:w="11906" w:h="16838"/>
      <w:pgMar w:top="1588" w:right="1418" w:bottom="1418" w:left="198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9A4439" w14:textId="77777777" w:rsidR="00DB427D" w:rsidRDefault="00DB427D" w:rsidP="007E50D9">
      <w:pPr>
        <w:spacing w:after="0" w:line="240" w:lineRule="auto"/>
      </w:pPr>
      <w:r>
        <w:separator/>
      </w:r>
    </w:p>
  </w:endnote>
  <w:endnote w:type="continuationSeparator" w:id="0">
    <w:p w14:paraId="635DEF35" w14:textId="77777777" w:rsidR="00DB427D" w:rsidRDefault="00DB427D" w:rsidP="007E5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765413"/>
      <w:docPartObj>
        <w:docPartGallery w:val="Page Numbers (Bottom of Page)"/>
        <w:docPartUnique/>
      </w:docPartObj>
    </w:sdtPr>
    <w:sdtEndPr>
      <w:rPr>
        <w:rFonts w:ascii="Times New Roman" w:hAnsi="Times New Roman" w:cs="Times New Roman"/>
        <w:sz w:val="24"/>
        <w:szCs w:val="24"/>
      </w:rPr>
    </w:sdtEndPr>
    <w:sdtContent>
      <w:p w14:paraId="2ED69362" w14:textId="47ABEA3E" w:rsidR="007E50D9" w:rsidRPr="00E12CE5" w:rsidRDefault="007E50D9" w:rsidP="00E12CE5">
        <w:pPr>
          <w:pStyle w:val="Stopka"/>
          <w:jc w:val="center"/>
          <w:rPr>
            <w:rFonts w:ascii="Times New Roman" w:hAnsi="Times New Roman" w:cs="Times New Roman"/>
            <w:sz w:val="24"/>
            <w:szCs w:val="24"/>
          </w:rPr>
        </w:pPr>
        <w:r w:rsidRPr="00E12CE5">
          <w:rPr>
            <w:rFonts w:ascii="Times New Roman" w:hAnsi="Times New Roman" w:cs="Times New Roman"/>
            <w:sz w:val="24"/>
            <w:szCs w:val="24"/>
          </w:rPr>
          <w:fldChar w:fldCharType="begin"/>
        </w:r>
        <w:r w:rsidRPr="00E12CE5">
          <w:rPr>
            <w:rFonts w:ascii="Times New Roman" w:hAnsi="Times New Roman" w:cs="Times New Roman"/>
            <w:sz w:val="24"/>
            <w:szCs w:val="24"/>
          </w:rPr>
          <w:instrText>PAGE   \* MERGEFORMAT</w:instrText>
        </w:r>
        <w:r w:rsidRPr="00E12CE5">
          <w:rPr>
            <w:rFonts w:ascii="Times New Roman" w:hAnsi="Times New Roman" w:cs="Times New Roman"/>
            <w:sz w:val="24"/>
            <w:szCs w:val="24"/>
          </w:rPr>
          <w:fldChar w:fldCharType="separate"/>
        </w:r>
        <w:r w:rsidR="00F36021">
          <w:rPr>
            <w:rFonts w:ascii="Times New Roman" w:hAnsi="Times New Roman" w:cs="Times New Roman"/>
            <w:noProof/>
            <w:sz w:val="24"/>
            <w:szCs w:val="24"/>
          </w:rPr>
          <w:t>7</w:t>
        </w:r>
        <w:r w:rsidRPr="00E12CE5">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DBF428" w14:textId="77777777" w:rsidR="00DB427D" w:rsidRDefault="00DB427D" w:rsidP="007E50D9">
      <w:pPr>
        <w:spacing w:after="0" w:line="240" w:lineRule="auto"/>
      </w:pPr>
      <w:r>
        <w:separator/>
      </w:r>
    </w:p>
  </w:footnote>
  <w:footnote w:type="continuationSeparator" w:id="0">
    <w:p w14:paraId="1D76013E" w14:textId="77777777" w:rsidR="00DB427D" w:rsidRDefault="00DB427D" w:rsidP="007E50D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0D9"/>
    <w:rsid w:val="001865C5"/>
    <w:rsid w:val="00296E86"/>
    <w:rsid w:val="003526D3"/>
    <w:rsid w:val="00373B29"/>
    <w:rsid w:val="00414AF8"/>
    <w:rsid w:val="0046214A"/>
    <w:rsid w:val="004C1A4E"/>
    <w:rsid w:val="005213D5"/>
    <w:rsid w:val="005802CB"/>
    <w:rsid w:val="007E50D9"/>
    <w:rsid w:val="0081020D"/>
    <w:rsid w:val="00887465"/>
    <w:rsid w:val="009753B8"/>
    <w:rsid w:val="00992884"/>
    <w:rsid w:val="00A0564B"/>
    <w:rsid w:val="00A14171"/>
    <w:rsid w:val="00A6663A"/>
    <w:rsid w:val="00A842AA"/>
    <w:rsid w:val="00AC560A"/>
    <w:rsid w:val="00AC60D1"/>
    <w:rsid w:val="00BA401E"/>
    <w:rsid w:val="00C108CF"/>
    <w:rsid w:val="00D669EA"/>
    <w:rsid w:val="00DB427D"/>
    <w:rsid w:val="00DE0FFC"/>
    <w:rsid w:val="00DF47B0"/>
    <w:rsid w:val="00E12CE5"/>
    <w:rsid w:val="00E704CB"/>
    <w:rsid w:val="00EF5982"/>
    <w:rsid w:val="00F36021"/>
    <w:rsid w:val="00F37A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DE8A1"/>
  <w15:docId w15:val="{EF153FEA-FAB1-4D58-B7DC-61074492C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7E50D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ARTzmartartykuempunktem">
    <w:name w:val="Z/ART(§) – zm. art. (§) artykułem (punktem)"/>
    <w:basedOn w:val="ARTartustawynprozporzdzenia"/>
    <w:uiPriority w:val="30"/>
    <w:qFormat/>
    <w:rsid w:val="007E50D9"/>
    <w:pPr>
      <w:spacing w:before="0"/>
      <w:ind w:left="510"/>
    </w:pPr>
  </w:style>
  <w:style w:type="paragraph" w:customStyle="1" w:styleId="CZKSIGAoznaczenieiprzedmiotczcilubksigi">
    <w:name w:val="CZĘŚĆ(KSIĘGA) – oznaczenie i przedmiot części lub księgi"/>
    <w:next w:val="ARTartustawynprozporzdzenia"/>
    <w:uiPriority w:val="8"/>
    <w:qFormat/>
    <w:rsid w:val="007E50D9"/>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7E50D9"/>
    <w:rPr>
      <w:bCs/>
    </w:rPr>
  </w:style>
  <w:style w:type="character" w:styleId="Odwoaniedokomentarza">
    <w:name w:val="annotation reference"/>
    <w:basedOn w:val="Domylnaczcionkaakapitu"/>
    <w:uiPriority w:val="99"/>
    <w:semiHidden/>
    <w:rsid w:val="007E50D9"/>
    <w:rPr>
      <w:sz w:val="16"/>
      <w:szCs w:val="16"/>
    </w:rPr>
  </w:style>
  <w:style w:type="paragraph" w:styleId="Tekstkomentarza">
    <w:name w:val="annotation text"/>
    <w:basedOn w:val="Normalny"/>
    <w:link w:val="TekstkomentarzaZnak"/>
    <w:uiPriority w:val="99"/>
    <w:semiHidden/>
    <w:rsid w:val="007E50D9"/>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7E50D9"/>
    <w:rPr>
      <w:rFonts w:ascii="Times" w:eastAsia="Times New Roman" w:hAnsi="Times" w:cs="Times New Roman"/>
      <w:sz w:val="24"/>
      <w:szCs w:val="24"/>
      <w:lang w:eastAsia="pl-PL"/>
    </w:rPr>
  </w:style>
  <w:style w:type="paragraph" w:customStyle="1" w:styleId="ZDANIENASTNOWYWIERSZnpzddrugienowywierszwust">
    <w:name w:val="ZDANIE_NAST_NOWY_WIERSZ – np. zd. drugie (nowy wiersz) w ust."/>
    <w:basedOn w:val="Normalny"/>
    <w:next w:val="Normalny"/>
    <w:uiPriority w:val="17"/>
    <w:qFormat/>
    <w:rsid w:val="007E50D9"/>
    <w:pPr>
      <w:spacing w:after="0" w:line="360" w:lineRule="auto"/>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7E50D9"/>
    <w:rPr>
      <w:b/>
    </w:rPr>
  </w:style>
  <w:style w:type="paragraph" w:styleId="Tekstdymka">
    <w:name w:val="Balloon Text"/>
    <w:basedOn w:val="Normalny"/>
    <w:link w:val="TekstdymkaZnak"/>
    <w:uiPriority w:val="99"/>
    <w:semiHidden/>
    <w:unhideWhenUsed/>
    <w:rsid w:val="007E50D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E50D9"/>
    <w:rPr>
      <w:rFonts w:ascii="Segoe UI" w:hAnsi="Segoe UI" w:cs="Segoe UI"/>
      <w:sz w:val="18"/>
      <w:szCs w:val="18"/>
    </w:rPr>
  </w:style>
  <w:style w:type="paragraph" w:styleId="Nagwek">
    <w:name w:val="header"/>
    <w:basedOn w:val="Normalny"/>
    <w:link w:val="NagwekZnak"/>
    <w:uiPriority w:val="99"/>
    <w:unhideWhenUsed/>
    <w:rsid w:val="007E50D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E50D9"/>
  </w:style>
  <w:style w:type="paragraph" w:styleId="Stopka">
    <w:name w:val="footer"/>
    <w:basedOn w:val="Normalny"/>
    <w:link w:val="StopkaZnak"/>
    <w:uiPriority w:val="99"/>
    <w:unhideWhenUsed/>
    <w:rsid w:val="007E50D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E50D9"/>
  </w:style>
  <w:style w:type="paragraph" w:styleId="Tematkomentarza">
    <w:name w:val="annotation subject"/>
    <w:basedOn w:val="Tekstkomentarza"/>
    <w:next w:val="Tekstkomentarza"/>
    <w:link w:val="TematkomentarzaZnak"/>
    <w:uiPriority w:val="99"/>
    <w:semiHidden/>
    <w:unhideWhenUsed/>
    <w:rsid w:val="00A14171"/>
    <w:pPr>
      <w:widowControl/>
      <w:autoSpaceDE/>
      <w:autoSpaceDN/>
      <w:adjustRightInd/>
      <w:spacing w:after="160" w:line="240" w:lineRule="auto"/>
    </w:pPr>
    <w:rPr>
      <w:rFonts w:asciiTheme="minorHAnsi" w:eastAsiaTheme="minorHAnsi" w:hAnsiTheme="minorHAnsi" w:cstheme="minorBidi"/>
      <w:b/>
      <w:bCs/>
      <w:sz w:val="20"/>
      <w:szCs w:val="20"/>
      <w:lang w:eastAsia="en-US"/>
    </w:rPr>
  </w:style>
  <w:style w:type="character" w:customStyle="1" w:styleId="TematkomentarzaZnak">
    <w:name w:val="Temat komentarza Znak"/>
    <w:basedOn w:val="TekstkomentarzaZnak"/>
    <w:link w:val="Tematkomentarza"/>
    <w:uiPriority w:val="99"/>
    <w:semiHidden/>
    <w:rsid w:val="00A14171"/>
    <w:rPr>
      <w:rFonts w:ascii="Times" w:eastAsia="Times New Roman" w:hAnsi="Times" w:cs="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2382</Words>
  <Characters>14297</Characters>
  <Application>Microsoft Office Word</Application>
  <DocSecurity>0</DocSecurity>
  <Lines>119</Lines>
  <Paragraphs>33</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16646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Bodych Dominika</dc:creator>
  <cp:lastModifiedBy>Wójcik Aleksandra</cp:lastModifiedBy>
  <cp:revision>3</cp:revision>
  <dcterms:created xsi:type="dcterms:W3CDTF">2020-03-03T08:36:00Z</dcterms:created>
  <dcterms:modified xsi:type="dcterms:W3CDTF">2020-03-03T08:38:00Z</dcterms:modified>
</cp:coreProperties>
</file>