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BD0936" w14:textId="77777777" w:rsidR="006466AC" w:rsidRDefault="007E26CA" w:rsidP="009B51A0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</w:t>
      </w:r>
    </w:p>
    <w:p w14:paraId="0617144B" w14:textId="77777777" w:rsidR="00C53EBA" w:rsidRDefault="00C53EBA" w:rsidP="00C53EBA">
      <w:pPr>
        <w:pStyle w:val="USTustnpkodeksu"/>
        <w:rPr>
          <w:rFonts w:eastAsiaTheme="minorHAnsi"/>
        </w:rPr>
      </w:pPr>
      <w:r>
        <w:rPr>
          <w:rFonts w:eastAsiaTheme="minorHAnsi"/>
        </w:rPr>
        <w:t xml:space="preserve">Proponowana zmian ustawy z dnia 20 lutego 2015 r. o wspieraniu rozwoju obszarów wiejskich z udziałem środków Europejskiego Funduszu Rolnego na rzecz Rozwoju Obszarów Wiejskich w ramach Programu Rozwoju Obszarów Wiejskich na lata 2014–2020 </w:t>
      </w:r>
      <w:r w:rsidR="00F509FF">
        <w:rPr>
          <w:rFonts w:eastAsiaTheme="minorHAnsi"/>
        </w:rPr>
        <w:t>(Dz. U. z </w:t>
      </w:r>
      <w:r>
        <w:rPr>
          <w:rFonts w:eastAsiaTheme="minorHAnsi"/>
        </w:rPr>
        <w:t>2022 r. poz. 1234 i 1270) ma na celu w zapewnienie podstaw prawnych wdrożenia w ramach Programu Rozwoju Obszarów Wiejskich na lata 2014–2020 (PROW 2014–2020) działania „Nadzwyczajne tymczasowe wsparcie dla rolników, mikroprzedsiębiorstw oraz mały</w:t>
      </w:r>
      <w:r w:rsidR="00F509FF">
        <w:rPr>
          <w:rFonts w:eastAsiaTheme="minorHAnsi"/>
        </w:rPr>
        <w:t>ch i </w:t>
      </w:r>
      <w:r>
        <w:rPr>
          <w:rFonts w:eastAsiaTheme="minorHAnsi"/>
        </w:rPr>
        <w:t>średnich przedsiębiorstw szczególnie dotkniętych wpływem ro</w:t>
      </w:r>
      <w:r w:rsidR="00F509FF">
        <w:rPr>
          <w:rFonts w:eastAsiaTheme="minorHAnsi"/>
        </w:rPr>
        <w:t>syjskiej inwazji na Ukrainę”, o </w:t>
      </w:r>
      <w:r>
        <w:rPr>
          <w:rFonts w:eastAsiaTheme="minorHAnsi"/>
        </w:rPr>
        <w:t>którym mowa w art. 39c rozporządzenia Parlamen</w:t>
      </w:r>
      <w:r w:rsidR="00F509FF">
        <w:rPr>
          <w:rFonts w:eastAsiaTheme="minorHAnsi"/>
        </w:rPr>
        <w:t>tu Europejskiego i Rady (UE) nr </w:t>
      </w:r>
      <w:r>
        <w:rPr>
          <w:rFonts w:eastAsiaTheme="minorHAnsi"/>
        </w:rPr>
        <w:t xml:space="preserve">1305/2013 z dnia 17 grudnia 2013 r. w sprawie wsparcia rozwoju obszarów wiejskich przez Europejski Fundusz Rolny na rzecz Rozwoju Obszarów Wiejskich (EFRROW) i uchylającego rozporządzenie Rady (WE) nr 1698/2005 (Dz. Urz. UE L 347 </w:t>
      </w:r>
      <w:r w:rsidR="00F509FF">
        <w:rPr>
          <w:rFonts w:eastAsiaTheme="minorHAnsi"/>
        </w:rPr>
        <w:t>z 20.12.2013, str. 487, z późn. </w:t>
      </w:r>
      <w:r>
        <w:rPr>
          <w:rFonts w:eastAsiaTheme="minorHAnsi"/>
        </w:rPr>
        <w:t>zm.). Dzięki uruchomieniu tego działania rolnicy prowadzący działalność rolniczą, których gospodarstwa zostały najbardziej poszkodowane w wyniku tego kryzysu, będą mogli otrzymać wsparcie finansowe.</w:t>
      </w:r>
    </w:p>
    <w:p w14:paraId="3E723326" w14:textId="77777777" w:rsidR="00C53EBA" w:rsidRDefault="00C53EBA" w:rsidP="00C53EBA">
      <w:pPr>
        <w:pStyle w:val="USTustnpkodeksu"/>
        <w:rPr>
          <w:rFonts w:eastAsiaTheme="minorHAnsi"/>
        </w:rPr>
      </w:pPr>
      <w:r>
        <w:rPr>
          <w:rFonts w:eastAsiaTheme="minorHAnsi"/>
        </w:rPr>
        <w:t xml:space="preserve">Wdrożenie tego działania stanowi odpowiedź na obecną sytuację ww. podmiotów na skutek wojny w Ukrainie związaną </w:t>
      </w:r>
      <w:r w:rsidR="00F509FF">
        <w:rPr>
          <w:rFonts w:eastAsiaTheme="minorHAnsi"/>
        </w:rPr>
        <w:t xml:space="preserve">z </w:t>
      </w:r>
      <w:r>
        <w:rPr>
          <w:rFonts w:eastAsiaTheme="minorHAnsi"/>
        </w:rPr>
        <w:t>funkcjonowaniem na niestabilnym rynku, zakłóceniami w handlu, wzrostem ponoszonych kosztów i ich wpływem na ceny żywności.</w:t>
      </w:r>
    </w:p>
    <w:p w14:paraId="3E211198" w14:textId="77777777" w:rsidR="00C53EBA" w:rsidRDefault="00C53EBA" w:rsidP="00C53EBA">
      <w:pPr>
        <w:pStyle w:val="USTustnpkodeksu"/>
        <w:rPr>
          <w:rFonts w:eastAsiaTheme="minorHAnsi"/>
        </w:rPr>
      </w:pPr>
      <w:r>
        <w:rPr>
          <w:rFonts w:eastAsiaTheme="minorHAnsi"/>
        </w:rPr>
        <w:t>W celu zapewnienia bezpieczeństwa żywnościowego ww. podmioty potrzebują nadzwyczajnego wsparcia, żeby utrzymać swoją działalność.</w:t>
      </w:r>
    </w:p>
    <w:p w14:paraId="15ACD76D" w14:textId="77777777" w:rsidR="00C53EBA" w:rsidRDefault="00C53EBA" w:rsidP="00C53EBA">
      <w:pPr>
        <w:pStyle w:val="USTustnpkodeksu"/>
        <w:rPr>
          <w:rFonts w:eastAsiaTheme="minorHAnsi"/>
        </w:rPr>
      </w:pPr>
      <w:r>
        <w:rPr>
          <w:rFonts w:eastAsiaTheme="minorHAnsi"/>
        </w:rPr>
        <w:t xml:space="preserve">Obecnie skutki rosyjskiej inwazji na Ukrainę są coraz bardziej odczuwalne. Obecna sytuacja wymaga zastosowania w tych okolicznościach wyjątkowych środków dostosowanych do niej. W sektorze rolnym występują trudności zagrażające ciągłości działalności rolniczej gospodarstw. </w:t>
      </w:r>
      <w:r>
        <w:t>M</w:t>
      </w:r>
      <w:r>
        <w:rPr>
          <w:rFonts w:eastAsiaTheme="minorHAnsi"/>
        </w:rPr>
        <w:t>aj</w:t>
      </w:r>
      <w:r>
        <w:t>ą</w:t>
      </w:r>
      <w:r>
        <w:rPr>
          <w:rFonts w:eastAsiaTheme="minorHAnsi"/>
        </w:rPr>
        <w:t xml:space="preserve"> one związek ze wzrostem kosztów prowadzenia działalności rolniczej. Biorąc pod uwagę wysokość strat w poszczególnych sektorach produkcji rolnej, jak również ograniczony budżet przewidziany na to działanie, proponuje się skierowanie pomocy do rolników prowadzących działalność w sektorze, w którym zidentyfikowano największe potrzeby w zakresie natychmiastowego wsparcia, którego celem jest rekompensata przynajmniej części strat i rozwiązanie problemów z płynnością finansową.</w:t>
      </w:r>
    </w:p>
    <w:p w14:paraId="22D136F5" w14:textId="54C12878" w:rsidR="00C53EBA" w:rsidRDefault="00C53EBA" w:rsidP="00C53EBA">
      <w:pPr>
        <w:pStyle w:val="USTustnpkodeksu"/>
        <w:rPr>
          <w:rFonts w:eastAsiaTheme="minorHAnsi"/>
        </w:rPr>
      </w:pPr>
      <w:r>
        <w:rPr>
          <w:rFonts w:eastAsiaTheme="minorHAnsi"/>
        </w:rPr>
        <w:t>Beneficjenci oraz sektor, który zgodnie z wyn</w:t>
      </w:r>
      <w:r w:rsidR="00F509FF">
        <w:rPr>
          <w:rFonts w:eastAsiaTheme="minorHAnsi"/>
        </w:rPr>
        <w:t>ikami przeprowadzonych analiz w </w:t>
      </w:r>
      <w:r>
        <w:rPr>
          <w:rFonts w:eastAsiaTheme="minorHAnsi"/>
        </w:rPr>
        <w:t xml:space="preserve">największym stopniu został dotknięte skutkami wojny w Ukrainie, zostały precyzyjnie zdefiniowane w procedowanym projekcie zmiany PROW 2014–2020 oraz projekcie rozporządzenia Ministra Rolnictwa i Rozwoju Wsi w sprawie szczegółowych warunków i trybu </w:t>
      </w:r>
      <w:r>
        <w:rPr>
          <w:rFonts w:eastAsiaTheme="minorHAnsi"/>
        </w:rPr>
        <w:lastRenderedPageBreak/>
        <w:t>przyznawania oraz wypłaty pomocy finansowej na operacje typu „Pomoc dla rolników szczególnie dotkniętych wpływem rosyjskiej inwazji na Ukrainie” w ramach działania „Nadzwyczajne tymczasowe wsparcie dla rolników, mikroprzed</w:t>
      </w:r>
      <w:r w:rsidR="00C00A9F">
        <w:rPr>
          <w:rFonts w:eastAsiaTheme="minorHAnsi"/>
        </w:rPr>
        <w:t>siębiorstw oraz małych i </w:t>
      </w:r>
      <w:r>
        <w:rPr>
          <w:rFonts w:eastAsiaTheme="minorHAnsi"/>
        </w:rPr>
        <w:t>średnich przedsiębiorstw szczególnie dotkniętych wpływem rosyjskiej inwazji na Ukrainę” objętego Programem Rozwoju Obszarów Wiejskich na lata 2014–2020.</w:t>
      </w:r>
    </w:p>
    <w:p w14:paraId="4F361DFC" w14:textId="6BA0C5AA" w:rsidR="00C53EBA" w:rsidRDefault="00C53EBA" w:rsidP="00C53EBA">
      <w:pPr>
        <w:pStyle w:val="USTustnpkodeksu"/>
        <w:rPr>
          <w:rFonts w:eastAsiaTheme="minorHAnsi"/>
        </w:rPr>
      </w:pPr>
      <w:r>
        <w:rPr>
          <w:rFonts w:eastAsiaTheme="minorHAnsi"/>
        </w:rPr>
        <w:t>Proponowane w ramach przedmiotowego działania wsparcie będzie miało formę jednorazowej płatności ryczałtowej dla rolników spełniający</w:t>
      </w:r>
      <w:r w:rsidR="00C00A9F">
        <w:rPr>
          <w:rFonts w:eastAsiaTheme="minorHAnsi"/>
        </w:rPr>
        <w:t>ch kryteria dostępu określone w </w:t>
      </w:r>
      <w:r>
        <w:rPr>
          <w:rFonts w:eastAsiaTheme="minorHAnsi"/>
        </w:rPr>
        <w:t>PROW 2014–2020. Mając na względzie proponowaną przez Komisję Europejską uproszczoną formę wsparcia w ramach przedmiotowego działania, a także ze względu na pilny i wyjątkowy charakter tego wsparcia oraz określony termin na zakończenie kontraktacji środków do dnia 31 marca 2023 r., proponuje się, aby w ramach tego działania pomoc była przyznawana oraz wypłacana na podstawie decyzji administracyjnej, na wniosek o przyznanie pomocy będący jednocześnie wnioskiem o płatność. Dodatkowo za takim trybem przemawia fakt, ż</w:t>
      </w:r>
      <w:r w:rsidR="00F509FF">
        <w:rPr>
          <w:rFonts w:eastAsiaTheme="minorHAnsi"/>
        </w:rPr>
        <w:t>e</w:t>
      </w:r>
      <w:r>
        <w:rPr>
          <w:rFonts w:eastAsiaTheme="minorHAnsi"/>
        </w:rPr>
        <w:t xml:space="preserve"> nie przewiduje się dodatkowych zobowiązań do zrealizowania przez potencjalnych beneficjentów pomocy w ramach przedmiotowego działania. Wdrażanie tego działania, w tym dokonywanie płatności na rzecz beneficjentów, będzie zada</w:t>
      </w:r>
      <w:r w:rsidR="00C00A9F">
        <w:rPr>
          <w:rFonts w:eastAsiaTheme="minorHAnsi"/>
        </w:rPr>
        <w:t>niem Agencji Restrukturyzacji i </w:t>
      </w:r>
      <w:r>
        <w:rPr>
          <w:rFonts w:eastAsiaTheme="minorHAnsi"/>
        </w:rPr>
        <w:t>Modernizacji Rolnictwa jako akredytowanej agencji płatniczej.</w:t>
      </w:r>
    </w:p>
    <w:p w14:paraId="6A29233D" w14:textId="77777777" w:rsidR="00C53EBA" w:rsidRDefault="00C53EBA" w:rsidP="00C53EBA">
      <w:pPr>
        <w:pStyle w:val="USTustnpkodeksu"/>
        <w:rPr>
          <w:rFonts w:eastAsiaTheme="minorHAnsi"/>
        </w:rPr>
      </w:pPr>
      <w:r>
        <w:rPr>
          <w:rFonts w:eastAsiaTheme="minorHAnsi"/>
        </w:rPr>
        <w:t>Uwzględnienie w projekcie ustawy nowego działania, w którym pomoc ma być przyznawana w drodze decyzji administracyjnej, wiąże się z koniecznością odpowiedniej zmiany tych przepisów ustawy, które dotyczą wsparcia przyznawanego w drodze decyzji administracyjnej. Z uwagi na ograniczenia czasowe związane z terminami na zakontraktowanie i wpłacanie środków w ramach nowego działania, zakłada się skrócenie czasu na złożenie żądania doręczenia decyzji, wniesienie odwołania oraz na rozpatrzenie odwołania.</w:t>
      </w:r>
    </w:p>
    <w:p w14:paraId="4739BB11" w14:textId="28D60252" w:rsidR="00C53EBA" w:rsidRDefault="00C53EBA" w:rsidP="00C53EBA">
      <w:pPr>
        <w:pStyle w:val="USTustnpkodeksu"/>
        <w:rPr>
          <w:rFonts w:eastAsiaTheme="minorHAnsi"/>
        </w:rPr>
      </w:pPr>
      <w:r>
        <w:rPr>
          <w:rFonts w:eastAsiaTheme="minorHAnsi"/>
        </w:rPr>
        <w:t xml:space="preserve">Ponadto w art. 1 pkt 3 projektowanej ustawy proponuje się wyłączenie stosowania </w:t>
      </w:r>
      <w:r w:rsidR="00C00A9F">
        <w:rPr>
          <w:rFonts w:eastAsiaTheme="minorHAnsi"/>
        </w:rPr>
        <w:t>art. </w:t>
      </w:r>
      <w:r>
        <w:rPr>
          <w:rFonts w:eastAsiaTheme="minorHAnsi"/>
        </w:rPr>
        <w:t>67a i art.</w:t>
      </w:r>
      <w:r>
        <w:t xml:space="preserve"> </w:t>
      </w:r>
      <w:r>
        <w:rPr>
          <w:rFonts w:eastAsiaTheme="minorHAnsi"/>
        </w:rPr>
        <w:t>67b ustawy do przedmiotowego działania. Przepisy art. 67a i art. 67b zostały wprowadzone z uwagi na fakt, że w chwili ogłoszenia w Polsce stanu zagrożenia epidemicznego i stanu epidemii obowiązujące dla PROW 2014–2020 przepisy dla poszczególnych instrumentów wsparcia nie przewidywały takiej sytuacji i nie uwzględniały szczególnych rozwiązań zapewniających wnioskodawcom oraz beneficjentom wystarczającą w tym okresie ochronę, tj. nie zapewniały możliwości wydłużenia terminów naborów w celu ułatwienia ubiegającym się o przyznanie pomocy składania wniosków o przyznanie pomocy przez wydłużenie czasu na ich sporządzenie i złożenie ani nie dawały możliwości spełnienia określonych warunków lub zobowiązań w</w:t>
      </w:r>
      <w:r w:rsidR="00445E83">
        <w:rPr>
          <w:rFonts w:eastAsiaTheme="minorHAnsi"/>
        </w:rPr>
        <w:t xml:space="preserve"> </w:t>
      </w:r>
      <w:r>
        <w:rPr>
          <w:rFonts w:eastAsiaTheme="minorHAnsi"/>
        </w:rPr>
        <w:t xml:space="preserve">terminie późniejszym, uzgodnionym z organem lub podmiotem, który przyznał pomoc. Przepisy te wprowadziły zatem specjalne rozwiązania dla </w:t>
      </w:r>
      <w:r>
        <w:rPr>
          <w:rFonts w:eastAsiaTheme="minorHAnsi"/>
        </w:rPr>
        <w:lastRenderedPageBreak/>
        <w:t>wnioskodawców i beneficjentów, które dały taką możliwość. W przypadku działania, o którym mowa w projektowanym art. 3 ust. 1 pkt 13aa, projektowane przepisy będą uwzględniały wszystkie powyższe okoliczności z uwzględnieniem bieżącej sytuacji.</w:t>
      </w:r>
    </w:p>
    <w:p w14:paraId="0CCA6833" w14:textId="4ACD50F0" w:rsidR="00C53EBA" w:rsidRDefault="00C53EBA" w:rsidP="00C53EBA">
      <w:pPr>
        <w:pStyle w:val="USTustnpkodeksu"/>
        <w:rPr>
          <w:rFonts w:eastAsiaTheme="minorHAnsi"/>
        </w:rPr>
      </w:pPr>
      <w:r>
        <w:rPr>
          <w:rFonts w:eastAsiaTheme="minorHAnsi"/>
        </w:rPr>
        <w:t>W projektowanej ustawie zaproponowano uwzględnienie nowego działania w takim samym zakresie w jakim ustawa uwzględniła działanie „Wyjątkowe tymczasowe wsparcie dla rolników, mikroprzedsiębiorstw oraz małych i średnich przedsiębiorstw szczególnie dotkniętych kryzysem związanym z COVID-19”. Działanie to miało podobny charakter i wymogi dotyczące bardzo ograniczonego czasu na zakontraktowanie i wypłatę środków. Z doświadczeń we wdrażaniu tego działania wynika, że przyjęte rozwiązania się sprawdziły. Z tego względu proponuje się je przyjąć również w nowym działaniu.</w:t>
      </w:r>
    </w:p>
    <w:p w14:paraId="4C0C2B04" w14:textId="77777777" w:rsidR="00C53EBA" w:rsidRDefault="00C53EBA" w:rsidP="00C53EBA">
      <w:pPr>
        <w:pStyle w:val="USTustnpkodeksu"/>
      </w:pPr>
      <w:r>
        <w:t>W art. 1 pkt 4 zaproponowano, że wniosek o przyznanie pomocy w ramach nowego działania składa się za pomocą formularza udostępnionego na stronie internetowej Agencji. Obecnie obowiązek ten dotyczy w ramach PROW 2014–2020 poddziałania „Wsparcie na zalesianie i tworzenie terenów zalesionych” i działań „Działanie rolno-środowiskowo-klimatyczne”, „Rolnictwo ekologiczne”, „Płatności dla obszarów z ograniczeniami naturalnymi lub innymi szczególnymi ograniczeniami” oraz „Dobrostan zwierząt”.</w:t>
      </w:r>
    </w:p>
    <w:p w14:paraId="09DB2507" w14:textId="6607FE6A" w:rsidR="00C53EBA" w:rsidRDefault="00C53EBA" w:rsidP="00C53EBA">
      <w:pPr>
        <w:pStyle w:val="USTustnpkodeksu"/>
      </w:pPr>
      <w:r>
        <w:t>Mając na uwadze pilny i wyjątkowy charakter wsparcia w ramach nowego działania oraz określony termin na zakończenie kontraktacji środków do dnia 31 marca 2023 r., złożenie wniosku jedynie w formie elektronicznej pozwala na efektywn</w:t>
      </w:r>
      <w:r w:rsidR="00C00A9F">
        <w:t>ą obsługę sprawy. Przyśpieszy i </w:t>
      </w:r>
      <w:r>
        <w:t>ułatwi składanie wniosku podmiotowi ubiegającemu się o przyznanie wsparcia oraz usprawni jego obsługę, w szczególności proces weryfikacji, a w rezultacie przyspieszy wypłatę środków finansowych na rzecz beneficjentów.</w:t>
      </w:r>
    </w:p>
    <w:p w14:paraId="37283896" w14:textId="77777777" w:rsidR="00C53EBA" w:rsidRDefault="00C53EBA" w:rsidP="00C53EBA">
      <w:pPr>
        <w:pStyle w:val="USTustnpkodeksu"/>
      </w:pPr>
      <w:r>
        <w:t>Proponowane rozwiązanie ograniczy jednocześnie konieczność bezpośredniego, osobistego kontaktu z Agencją lub operatorem pocztowym w celu załatwienia sprawy, co nie pozostaje bez znaczenia w kontekście obowiązującego w Polsce stanu zagrożenia epidemiologicznego.</w:t>
      </w:r>
    </w:p>
    <w:p w14:paraId="1D0FB16E" w14:textId="77777777" w:rsidR="00C53EBA" w:rsidRDefault="00C53EBA" w:rsidP="00C53EBA">
      <w:pPr>
        <w:pStyle w:val="USTustnpkodeksu"/>
      </w:pPr>
      <w:r>
        <w:t>Uproszczenie i przyspieszenie procesu załatwiania spraw dotyczących przyznania przedmiotowego wsparcia powinno wpłynąć również na zwiększenie zaufania rolników do administracji i e-administracji.</w:t>
      </w:r>
    </w:p>
    <w:p w14:paraId="7E1681C1" w14:textId="0583CC70" w:rsidR="00C53EBA" w:rsidRDefault="00C53EBA" w:rsidP="00C53EBA">
      <w:pPr>
        <w:pStyle w:val="USTustnpkodeksu"/>
      </w:pPr>
      <w:r>
        <w:t xml:space="preserve">Zakłada się, że złożenie wniosków w ramach tego działania </w:t>
      </w:r>
      <w:r w:rsidR="00445E83">
        <w:t xml:space="preserve">będzie się </w:t>
      </w:r>
      <w:r>
        <w:t xml:space="preserve">odbywać przez Portal Usług Elektronicznych, za pośrednictwem którego składane są wnioski o przyznanie płatności bezpośrednich, płatności obszarowych PROW 2014–2020 czy też wnioski o przelew wierzytelności z tytułu upraw rolnych na rzecz ubezpieczyciela. Portal Usług Elektronicznych </w:t>
      </w:r>
      <w:r w:rsidR="00E32235">
        <w:t xml:space="preserve">jest </w:t>
      </w:r>
      <w:r>
        <w:t xml:space="preserve">rozbudowywany i wdrażany w ramach zadań własnych Agencji, a w związku z tym dodanie </w:t>
      </w:r>
      <w:r>
        <w:lastRenderedPageBreak/>
        <w:t>formularza wniosku dla nowego działania nie wygeneruje dodatkowych kos</w:t>
      </w:r>
      <w:r w:rsidR="00C00A9F">
        <w:t>ztów dla budżetu i </w:t>
      </w:r>
      <w:r>
        <w:t>nie będzie stanowić dodatkowego obciążenia budżetu państwa, gdyż modyfikacje będą realizowane przez ARiMR w ramach jej środków finansowych.</w:t>
      </w:r>
    </w:p>
    <w:p w14:paraId="407CBD2D" w14:textId="0CEE83ED" w:rsidR="00C53EBA" w:rsidRDefault="00C53EBA" w:rsidP="00C53EBA">
      <w:pPr>
        <w:pStyle w:val="USTustnpkodeksu"/>
        <w:rPr>
          <w:rFonts w:eastAsiaTheme="minorHAnsi"/>
        </w:rPr>
      </w:pPr>
      <w:r>
        <w:rPr>
          <w:rFonts w:eastAsiaTheme="minorHAnsi"/>
        </w:rPr>
        <w:t>Zgodnie z projektowanym art. 2 projektowana ustawa wejdzie w życie z dniem następującym po dniu ogłoszenia. Wskazany termin wejścia w życie projektowanych przepisów jest związany z potrzebą jak najpilniejszeg</w:t>
      </w:r>
      <w:r w:rsidR="00C00A9F">
        <w:rPr>
          <w:rFonts w:eastAsiaTheme="minorHAnsi"/>
        </w:rPr>
        <w:t>o rozpoczęcia naboru wniosków o </w:t>
      </w:r>
      <w:bookmarkStart w:id="0" w:name="_GoBack"/>
      <w:bookmarkEnd w:id="0"/>
      <w:r>
        <w:rPr>
          <w:rFonts w:eastAsiaTheme="minorHAnsi"/>
        </w:rPr>
        <w:t>przyznanie pomocy dla rolników szczególnie dotkniętych wpływem rosyjskiej inwazji na Ukrainę</w:t>
      </w:r>
      <w:r w:rsidR="00986240">
        <w:rPr>
          <w:rFonts w:eastAsiaTheme="minorHAnsi"/>
        </w:rPr>
        <w:t>,</w:t>
      </w:r>
      <w:r>
        <w:rPr>
          <w:rFonts w:eastAsiaTheme="minorHAnsi"/>
        </w:rPr>
        <w:t xml:space="preserve"> tak aby środki w ramach nowego działania zostały zakontraktowane do dnia 31 marca 2023 r.</w:t>
      </w:r>
    </w:p>
    <w:p w14:paraId="0C724F20" w14:textId="77777777" w:rsidR="00C53EBA" w:rsidRDefault="00C53EBA" w:rsidP="00C53EBA">
      <w:pPr>
        <w:pStyle w:val="USTustnpkodeksu"/>
        <w:rPr>
          <w:rFonts w:eastAsiaTheme="minorHAnsi"/>
        </w:rPr>
      </w:pPr>
      <w:r>
        <w:rPr>
          <w:rFonts w:eastAsiaTheme="minorHAnsi"/>
        </w:rPr>
        <w:t>Projektowane przepisy wprowadzają rozwiązania bardzo korzystne dla rolników szczególnie dotkniętych wpływem rosyjskiej inwazji na Ukrainę. Nie nakładają na nich żadnych dodatkowych obowiązków. Proponowany termin wejścia w życie ustawy nie narusza więc zasad demokratycznego państwa prawnego i jest uzasadniony ważnym interesem państwa.</w:t>
      </w:r>
    </w:p>
    <w:p w14:paraId="1852480F" w14:textId="77777777" w:rsidR="00C53EBA" w:rsidRDefault="00C53EBA" w:rsidP="00C53EBA">
      <w:pPr>
        <w:pStyle w:val="USTustnpkodeksu"/>
        <w:rPr>
          <w:rFonts w:eastAsiaTheme="minorHAnsi"/>
        </w:rPr>
      </w:pPr>
      <w:r>
        <w:rPr>
          <w:rFonts w:eastAsiaTheme="minorHAnsi"/>
        </w:rPr>
        <w:t>Projekt będzie miał pozytywny wpływ na działalność mikro-, małych i średnich przedsiębiorców.</w:t>
      </w:r>
    </w:p>
    <w:p w14:paraId="27A31B3A" w14:textId="77777777" w:rsidR="00C53EBA" w:rsidRDefault="00C53EBA" w:rsidP="00C53EBA">
      <w:pPr>
        <w:pStyle w:val="USTustnpkodeksu"/>
        <w:rPr>
          <w:rFonts w:eastAsiaTheme="minorHAnsi"/>
        </w:rPr>
      </w:pPr>
      <w:r>
        <w:rPr>
          <w:rFonts w:eastAsiaTheme="minorHAnsi"/>
        </w:rPr>
        <w:t>Projektowane przepisy będą miały pośredni pozytywny wpływ na sytuację ekonomiczną i społeczną rodziny.</w:t>
      </w:r>
    </w:p>
    <w:p w14:paraId="37584741" w14:textId="77777777" w:rsidR="00C53EBA" w:rsidRDefault="00C53EBA" w:rsidP="00C53EBA">
      <w:pPr>
        <w:pStyle w:val="USTustnpkodeksu"/>
        <w:rPr>
          <w:rFonts w:eastAsiaTheme="minorHAnsi"/>
        </w:rPr>
      </w:pPr>
      <w:r>
        <w:rPr>
          <w:rFonts w:eastAsiaTheme="minorHAnsi"/>
        </w:rPr>
        <w:t>Projektowana ustawa jest zgodna z prawem Unii Europejskiej.</w:t>
      </w:r>
    </w:p>
    <w:p w14:paraId="50B25185" w14:textId="77777777" w:rsidR="00C53EBA" w:rsidRDefault="00C53EBA" w:rsidP="00C53EBA">
      <w:pPr>
        <w:pStyle w:val="USTustnpkodeksu"/>
        <w:rPr>
          <w:rFonts w:eastAsiaTheme="minorHAnsi"/>
        </w:rPr>
      </w:pPr>
      <w:r>
        <w:rPr>
          <w:rFonts w:eastAsiaTheme="minorHAnsi"/>
        </w:rPr>
        <w:t>Projekt ustawy nie wymaga uzyskania opinii, dokonania powiadomienia, konsultacji albo uzgodnienia z właściwymi organami i instytucjami Unii Europejskiej, w tym z Europejskim Bankiem Centralnym, zgodnie z § 39 uchwały nr 190 Rady Ministrów z dnia 29 października 2013 r. – Regulamin pracy Rady Ministrów (M.P. z 2022 r. poz. 348).</w:t>
      </w:r>
    </w:p>
    <w:p w14:paraId="63EE2B0A" w14:textId="77777777" w:rsidR="00C53EBA" w:rsidRDefault="00C53EBA" w:rsidP="00C53EBA">
      <w:pPr>
        <w:pStyle w:val="USTustnpkodeksu"/>
        <w:rPr>
          <w:rFonts w:eastAsiaTheme="minorHAnsi"/>
        </w:rPr>
      </w:pPr>
      <w:r>
        <w:rPr>
          <w:rFonts w:eastAsiaTheme="minorHAnsi"/>
        </w:rPr>
        <w:t>Projekt nie zawiera przepisów technicznych wymagających notyfikacji w rozumieniu rozporządzenia Rady Ministrów z dnia 23 grudnia 2002 r. w sprawie sposobu funkcjonowania krajowego systemu notyfikacji norm i aktów prawnych (Dz. U. poz. 2039, z późn. zm.) oraz nie podlega notyfikacji na zasadach przewidzianych w tym rozporządzeniu.</w:t>
      </w:r>
    </w:p>
    <w:p w14:paraId="42F602AA" w14:textId="01777C7B" w:rsidR="00C53EBA" w:rsidRDefault="00C53EBA" w:rsidP="00C53EBA">
      <w:pPr>
        <w:pStyle w:val="USTustnpkodeksu"/>
        <w:rPr>
          <w:rFonts w:eastAsiaTheme="minorHAnsi"/>
        </w:rPr>
      </w:pPr>
      <w:r>
        <w:rPr>
          <w:rFonts w:eastAsiaTheme="minorHAnsi"/>
        </w:rPr>
        <w:t xml:space="preserve">Projekt ustawy wraz z dokumentami dotyczącymi prac nad tym projektem </w:t>
      </w:r>
      <w:r>
        <w:t>został</w:t>
      </w:r>
      <w:r>
        <w:rPr>
          <w:rFonts w:eastAsiaTheme="minorHAnsi"/>
        </w:rPr>
        <w:t xml:space="preserve"> zamieszczony w Biuletynie Informacji Publicznej na stronie podmiotowej Ministerstwa Rolnictwa i Rozwoju Wsi, zgodnie z art. 5 ustawy z dnia 7 lipca 2005 r. o działalności lobbingowej w procesie stanowienia prawa (Dz. U. z 2017 r. poz. 248), oraz w Biuletynie Informacji Publicznej na stronie podmiotowej Rządowego Centrum Legislacji w serwisie Rządowy Proces Legislacyjny, zgodnie z § 52 ust. 1 uchwały nr 190 Rady Ministrów z dnia 29 października 2013 r. – Regulamin pracy Rady Ministrów.</w:t>
      </w:r>
    </w:p>
    <w:p w14:paraId="72D0FA0A" w14:textId="77777777" w:rsidR="00DE0567" w:rsidRPr="00C53EBA" w:rsidRDefault="00C53EBA" w:rsidP="00C53EBA">
      <w:pPr>
        <w:pStyle w:val="USTustnpkodeksu"/>
        <w:rPr>
          <w:rFonts w:eastAsiaTheme="minorHAnsi"/>
        </w:rPr>
      </w:pPr>
      <w:r>
        <w:rPr>
          <w:rFonts w:eastAsiaTheme="minorHAnsi"/>
        </w:rPr>
        <w:lastRenderedPageBreak/>
        <w:t>Projekt ustawy zosta</w:t>
      </w:r>
      <w:r>
        <w:t>ł</w:t>
      </w:r>
      <w:r>
        <w:rPr>
          <w:rFonts w:eastAsiaTheme="minorHAnsi"/>
        </w:rPr>
        <w:t xml:space="preserve"> umieszczony w Wykazie prac legislacyjnych Rady Ministrów</w:t>
      </w:r>
      <w:r>
        <w:t xml:space="preserve"> pod nr UD445</w:t>
      </w:r>
      <w:r>
        <w:rPr>
          <w:rFonts w:eastAsiaTheme="minorHAnsi"/>
        </w:rPr>
        <w:t>.</w:t>
      </w:r>
    </w:p>
    <w:sectPr w:rsidR="00DE0567" w:rsidRPr="00C53EBA" w:rsidSect="00727934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F9AB11" w14:textId="77777777" w:rsidR="00FE0BA2" w:rsidRDefault="00FE0BA2" w:rsidP="009D78F9">
      <w:pPr>
        <w:spacing w:after="0" w:line="240" w:lineRule="auto"/>
      </w:pPr>
      <w:r>
        <w:separator/>
      </w:r>
    </w:p>
  </w:endnote>
  <w:endnote w:type="continuationSeparator" w:id="0">
    <w:p w14:paraId="57CFA592" w14:textId="77777777" w:rsidR="00FE0BA2" w:rsidRDefault="00FE0BA2" w:rsidP="009D7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94411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5D4AF61" w14:textId="30BF65E2" w:rsidR="00392C21" w:rsidRPr="00392C21" w:rsidRDefault="00392C21" w:rsidP="00392C21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92C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2C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0A9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AED0BF" w14:textId="77777777" w:rsidR="00FE0BA2" w:rsidRDefault="00FE0BA2" w:rsidP="009D78F9">
      <w:pPr>
        <w:spacing w:after="0" w:line="240" w:lineRule="auto"/>
      </w:pPr>
      <w:r>
        <w:separator/>
      </w:r>
    </w:p>
  </w:footnote>
  <w:footnote w:type="continuationSeparator" w:id="0">
    <w:p w14:paraId="631FD61D" w14:textId="77777777" w:rsidR="00FE0BA2" w:rsidRDefault="00FE0BA2" w:rsidP="009D7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41EA2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EE4F79"/>
    <w:multiLevelType w:val="hybridMultilevel"/>
    <w:tmpl w:val="5E823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E2B58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6254F"/>
    <w:multiLevelType w:val="hybridMultilevel"/>
    <w:tmpl w:val="20CA30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869C6"/>
    <w:multiLevelType w:val="hybridMultilevel"/>
    <w:tmpl w:val="4E9AD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92349"/>
    <w:multiLevelType w:val="hybridMultilevel"/>
    <w:tmpl w:val="F1FC0650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2610BC42">
      <w:start w:val="1"/>
      <w:numFmt w:val="bullet"/>
      <w:lvlText w:val=""/>
      <w:lvlJc w:val="left"/>
      <w:pPr>
        <w:tabs>
          <w:tab w:val="num" w:pos="1767"/>
        </w:tabs>
        <w:ind w:left="176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6" w15:restartNumberingAfterBreak="0">
    <w:nsid w:val="1E3D318B"/>
    <w:multiLevelType w:val="hybridMultilevel"/>
    <w:tmpl w:val="0D7E1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FEE2A02"/>
    <w:multiLevelType w:val="multilevel"/>
    <w:tmpl w:val="3EE2E83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1CD007E"/>
    <w:multiLevelType w:val="hybridMultilevel"/>
    <w:tmpl w:val="FC0C1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DF723B"/>
    <w:multiLevelType w:val="multilevel"/>
    <w:tmpl w:val="42ECDCCE"/>
    <w:lvl w:ilvl="0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1" w15:restartNumberingAfterBreak="0">
    <w:nsid w:val="245A51BA"/>
    <w:multiLevelType w:val="hybridMultilevel"/>
    <w:tmpl w:val="4970AB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9D6C8D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23FD6"/>
    <w:multiLevelType w:val="hybridMultilevel"/>
    <w:tmpl w:val="8048DF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B1EDD"/>
    <w:multiLevelType w:val="hybridMultilevel"/>
    <w:tmpl w:val="95FA285E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16" w15:restartNumberingAfterBreak="0">
    <w:nsid w:val="3B65511A"/>
    <w:multiLevelType w:val="hybridMultilevel"/>
    <w:tmpl w:val="4CAA9CB6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3F4C0EBE"/>
    <w:multiLevelType w:val="multilevel"/>
    <w:tmpl w:val="7C6E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2B5719"/>
    <w:multiLevelType w:val="hybridMultilevel"/>
    <w:tmpl w:val="5CD61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5730E"/>
    <w:multiLevelType w:val="hybridMultilevel"/>
    <w:tmpl w:val="3C782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BE361A"/>
    <w:multiLevelType w:val="hybridMultilevel"/>
    <w:tmpl w:val="3AE85FAA"/>
    <w:lvl w:ilvl="0" w:tplc="04150011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21" w15:restartNumberingAfterBreak="0">
    <w:nsid w:val="51461DEA"/>
    <w:multiLevelType w:val="hybridMultilevel"/>
    <w:tmpl w:val="80049DC2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57D5579E"/>
    <w:multiLevelType w:val="hybridMultilevel"/>
    <w:tmpl w:val="0AD26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863083"/>
    <w:multiLevelType w:val="hybridMultilevel"/>
    <w:tmpl w:val="B28ADCD0"/>
    <w:lvl w:ilvl="0" w:tplc="6962492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0417BAC"/>
    <w:multiLevelType w:val="hybridMultilevel"/>
    <w:tmpl w:val="7ACED012"/>
    <w:lvl w:ilvl="0" w:tplc="6962492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605729A9"/>
    <w:multiLevelType w:val="hybridMultilevel"/>
    <w:tmpl w:val="E06E7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D2B62"/>
    <w:multiLevelType w:val="hybridMultilevel"/>
    <w:tmpl w:val="9CBC5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C56F97"/>
    <w:multiLevelType w:val="hybridMultilevel"/>
    <w:tmpl w:val="07FCC90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9" w15:restartNumberingAfterBreak="0">
    <w:nsid w:val="6FFD0546"/>
    <w:multiLevelType w:val="hybridMultilevel"/>
    <w:tmpl w:val="EFCC1B3A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0CF7D78"/>
    <w:multiLevelType w:val="hybridMultilevel"/>
    <w:tmpl w:val="EC5C07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7"/>
  </w:num>
  <w:num w:numId="4">
    <w:abstractNumId w:val="1"/>
  </w:num>
  <w:num w:numId="5">
    <w:abstractNumId w:val="27"/>
  </w:num>
  <w:num w:numId="6">
    <w:abstractNumId w:val="2"/>
  </w:num>
  <w:num w:numId="7">
    <w:abstractNumId w:val="12"/>
  </w:num>
  <w:num w:numId="8">
    <w:abstractNumId w:val="19"/>
  </w:num>
  <w:num w:numId="9">
    <w:abstractNumId w:val="8"/>
  </w:num>
  <w:num w:numId="10">
    <w:abstractNumId w:val="21"/>
  </w:num>
  <w:num w:numId="11">
    <w:abstractNumId w:val="16"/>
  </w:num>
  <w:num w:numId="12">
    <w:abstractNumId w:val="20"/>
  </w:num>
  <w:num w:numId="13">
    <w:abstractNumId w:val="5"/>
  </w:num>
  <w:num w:numId="14">
    <w:abstractNumId w:val="15"/>
  </w:num>
  <w:num w:numId="15">
    <w:abstractNumId w:val="28"/>
  </w:num>
  <w:num w:numId="16">
    <w:abstractNumId w:val="23"/>
  </w:num>
  <w:num w:numId="17">
    <w:abstractNumId w:val="25"/>
  </w:num>
  <w:num w:numId="18">
    <w:abstractNumId w:val="9"/>
  </w:num>
  <w:num w:numId="19">
    <w:abstractNumId w:val="29"/>
  </w:num>
  <w:num w:numId="20">
    <w:abstractNumId w:val="31"/>
  </w:num>
  <w:num w:numId="21">
    <w:abstractNumId w:val="24"/>
  </w:num>
  <w:num w:numId="22">
    <w:abstractNumId w:val="10"/>
  </w:num>
  <w:num w:numId="23">
    <w:abstractNumId w:val="17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3"/>
  </w:num>
  <w:num w:numId="27">
    <w:abstractNumId w:val="11"/>
  </w:num>
  <w:num w:numId="28">
    <w:abstractNumId w:val="26"/>
  </w:num>
  <w:num w:numId="29">
    <w:abstractNumId w:val="4"/>
  </w:num>
  <w:num w:numId="30">
    <w:abstractNumId w:val="6"/>
  </w:num>
  <w:num w:numId="31">
    <w:abstractNumId w:val="30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895"/>
    <w:rsid w:val="00056E79"/>
    <w:rsid w:val="001B3166"/>
    <w:rsid w:val="001E469B"/>
    <w:rsid w:val="00236955"/>
    <w:rsid w:val="00241699"/>
    <w:rsid w:val="0029636D"/>
    <w:rsid w:val="002D3299"/>
    <w:rsid w:val="00392C21"/>
    <w:rsid w:val="003938F7"/>
    <w:rsid w:val="003F6C95"/>
    <w:rsid w:val="00445210"/>
    <w:rsid w:val="00445E83"/>
    <w:rsid w:val="00453BA3"/>
    <w:rsid w:val="004A2B6D"/>
    <w:rsid w:val="004A37A6"/>
    <w:rsid w:val="004E0A95"/>
    <w:rsid w:val="004F3862"/>
    <w:rsid w:val="005F249D"/>
    <w:rsid w:val="005F4005"/>
    <w:rsid w:val="0061701C"/>
    <w:rsid w:val="006466AC"/>
    <w:rsid w:val="00725B90"/>
    <w:rsid w:val="00726F0A"/>
    <w:rsid w:val="00727934"/>
    <w:rsid w:val="007455B5"/>
    <w:rsid w:val="007A3A37"/>
    <w:rsid w:val="007E26CA"/>
    <w:rsid w:val="00867028"/>
    <w:rsid w:val="00874676"/>
    <w:rsid w:val="00877B10"/>
    <w:rsid w:val="00882207"/>
    <w:rsid w:val="00887DB4"/>
    <w:rsid w:val="008D1573"/>
    <w:rsid w:val="008F6235"/>
    <w:rsid w:val="00986240"/>
    <w:rsid w:val="009B51A0"/>
    <w:rsid w:val="009D78F9"/>
    <w:rsid w:val="009E788D"/>
    <w:rsid w:val="009F03C5"/>
    <w:rsid w:val="00A562D4"/>
    <w:rsid w:val="00AB053F"/>
    <w:rsid w:val="00AD453B"/>
    <w:rsid w:val="00B27E88"/>
    <w:rsid w:val="00C00A9F"/>
    <w:rsid w:val="00C04DCD"/>
    <w:rsid w:val="00C53EBA"/>
    <w:rsid w:val="00CF08F2"/>
    <w:rsid w:val="00D033A0"/>
    <w:rsid w:val="00D03895"/>
    <w:rsid w:val="00DE0567"/>
    <w:rsid w:val="00DF4048"/>
    <w:rsid w:val="00DF5F5A"/>
    <w:rsid w:val="00E32235"/>
    <w:rsid w:val="00EE2731"/>
    <w:rsid w:val="00EF5BC3"/>
    <w:rsid w:val="00F509FF"/>
    <w:rsid w:val="00F736BD"/>
    <w:rsid w:val="00FE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850E3"/>
  <w15:docId w15:val="{7E59353C-FF48-4A97-9338-2D0045D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F08F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F08F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F08F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C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F400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F4005"/>
    <w:rPr>
      <w:bCs/>
    </w:rPr>
  </w:style>
  <w:style w:type="paragraph" w:customStyle="1" w:styleId="PKTpunkt">
    <w:name w:val="PKT – punkt"/>
    <w:uiPriority w:val="13"/>
    <w:qFormat/>
    <w:rsid w:val="005F400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78F9"/>
  </w:style>
  <w:style w:type="paragraph" w:styleId="Stopka">
    <w:name w:val="footer"/>
    <w:basedOn w:val="Normalny"/>
    <w:link w:val="Stopka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78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08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08F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F08F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CF08F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F08F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CF08F2"/>
    <w:rPr>
      <w:rFonts w:ascii="Arial" w:eastAsia="Times New Roman" w:hAnsi="Arial" w:cs="Arial"/>
      <w:b/>
      <w:bCs/>
      <w:sz w:val="26"/>
      <w:szCs w:val="2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CF08F2"/>
  </w:style>
  <w:style w:type="table" w:styleId="Tabela-Siatka">
    <w:name w:val="Table Grid"/>
    <w:basedOn w:val="Standardowy"/>
    <w:uiPriority w:val="99"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CF08F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8F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F08F2"/>
    <w:rPr>
      <w:vertAlign w:val="superscript"/>
    </w:rPr>
  </w:style>
  <w:style w:type="paragraph" w:styleId="Akapitzlist">
    <w:name w:val="List Paragraph"/>
    <w:basedOn w:val="Normalny"/>
    <w:uiPriority w:val="34"/>
    <w:qFormat/>
    <w:rsid w:val="00CF08F2"/>
    <w:pPr>
      <w:spacing w:after="0"/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CF08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8F2"/>
    <w:pPr>
      <w:spacing w:after="0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8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08F2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uiPriority w:val="99"/>
    <w:unhideWhenUsed/>
    <w:rsid w:val="00CF08F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CF08F2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CF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CF08F2"/>
    <w:rPr>
      <w:b/>
      <w:bCs/>
    </w:rPr>
  </w:style>
  <w:style w:type="table" w:styleId="Jasnecieniowanieakcent1">
    <w:name w:val="Light Shading Accent 1"/>
    <w:basedOn w:val="Standardowy"/>
    <w:uiPriority w:val="60"/>
    <w:rsid w:val="00CF08F2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hps">
    <w:name w:val="hps"/>
    <w:rsid w:val="00CF08F2"/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C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C04DCD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Normalny"/>
    <w:uiPriority w:val="12"/>
    <w:qFormat/>
    <w:rsid w:val="00C53EBA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1526</Words>
  <Characters>9159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Binkowska Joanna</dc:creator>
  <cp:lastModifiedBy>Autor</cp:lastModifiedBy>
  <cp:revision>5</cp:revision>
  <cp:lastPrinted>2018-10-02T13:01:00Z</cp:lastPrinted>
  <dcterms:created xsi:type="dcterms:W3CDTF">2022-10-20T13:32:00Z</dcterms:created>
  <dcterms:modified xsi:type="dcterms:W3CDTF">2022-10-21T06:16:00Z</dcterms:modified>
</cp:coreProperties>
</file>