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84761" w14:textId="25F4DB9A" w:rsidR="00A94004" w:rsidRPr="00E76C55" w:rsidRDefault="00687604" w:rsidP="00687604">
      <w:pPr>
        <w:pStyle w:val="ARTartustawynprozporzdzenia"/>
        <w:ind w:firstLine="3686"/>
      </w:pPr>
      <w:bookmarkStart w:id="0" w:name="_GoBack"/>
      <w:bookmarkEnd w:id="0"/>
      <w:r>
        <w:t>UZASADNIENIE</w:t>
      </w:r>
    </w:p>
    <w:p w14:paraId="36F6F502" w14:textId="0B26C387" w:rsidR="005B1BF2" w:rsidRPr="00676A73" w:rsidRDefault="005B1BF2" w:rsidP="005B1BF2">
      <w:pPr>
        <w:pStyle w:val="OZNRODZAKTUtznustawalubrozporzdzenieiorganwydajcy"/>
      </w:pPr>
    </w:p>
    <w:p w14:paraId="3B221210" w14:textId="6FD854AB" w:rsidR="005B1BF2" w:rsidRPr="00676A73" w:rsidRDefault="005B1BF2" w:rsidP="005B1BF2">
      <w:pPr>
        <w:pStyle w:val="NIEARTTEKSTtekstnieartykuowanynppodstprawnarozplubpreambua"/>
      </w:pPr>
      <w:r w:rsidRPr="00676A73">
        <w:t>Celem projektowanej ustawy jest wprowadzenie do porządku prawnego kompleksowych rozwiązań dotyczących szybkiego izolowania osoby dotkniętej przemocą od osoby stosującej przemoc, w sytuacjach gdy stwarza ona zagrożenie dla życia lub zdrowia domowników. Należy podkreślić, iż przemoc w rodzinie przestała już być postrzegana jako sprawa prywatna, dotycząca jedynie osób stosujących przemoc i dotkniętych przemocą. Współcześnie jest ona traktowana jako złożony problem całego społeczeństwa, o</w:t>
      </w:r>
      <w:r w:rsidR="00E644F7">
        <w:t> </w:t>
      </w:r>
      <w:r w:rsidRPr="00676A73">
        <w:t>skomplikowanych uwarunkowaniach psychologicznych, wielorakich przyczynach i</w:t>
      </w:r>
      <w:r w:rsidR="00E644F7">
        <w:t> </w:t>
      </w:r>
      <w:r w:rsidRPr="00676A73">
        <w:t>wielopłaszczyznowych konsekwencjach dla wszystkich członków rodziny, wymagający wszechstronnego uregulowania w prawie publicznym oraz czynnej, transparentnej współpracy władzy, instytucji publicznych i innych wyspecjalizowanych organów dysponujących właściwymi i fachowymi kompetencjami.</w:t>
      </w:r>
      <w:r>
        <w:t xml:space="preserve"> </w:t>
      </w:r>
    </w:p>
    <w:p w14:paraId="251BBC77" w14:textId="0C17692D" w:rsidR="005B1BF2" w:rsidRPr="00676A73" w:rsidRDefault="005B1BF2" w:rsidP="005B1BF2">
      <w:pPr>
        <w:pStyle w:val="NIEARTTEKSTtekstnieartykuowanynppodstprawnarozplubpreambua"/>
      </w:pPr>
      <w:r w:rsidRPr="00676A73">
        <w:t>Realizacji tego celu mają służyć przewidziane projektowaną ustawą efektywne instrumenty ochrony prawnej osoby doznającej przemocy. Równie ważne jest zapewnienie skutecznych oddziaływań interwencyjnych wobec osoby stosującej przemoc w rodzinie oraz zwiększenie świadomości społecznej na temat przyczyn i skutków przemocy w rodzinie. Projekt ustawy wprowadza tego rodzaju rozwiązania tak, aby ostatecznie stworzyć warunki do ukształtowania prawidłowych relacji w rodzinie doświadczonej przemocą. Ocena istniejącego stanu prawnego prowadzi bowiem do wniosku, że przyjęte regulacje nie dość skutecznie zapewniają ochronę osobie doznającej przemocy</w:t>
      </w:r>
      <w:r w:rsidR="00A018CC">
        <w:t>,</w:t>
      </w:r>
      <w:r w:rsidRPr="00676A73">
        <w:t xml:space="preserve"> w sytuacji gdy nie toczy się postępowanie karne w związku z przemocą w rodzinie.</w:t>
      </w:r>
    </w:p>
    <w:p w14:paraId="3419F41A" w14:textId="593512B7" w:rsidR="005B1BF2" w:rsidRPr="00676A73" w:rsidRDefault="005B1BF2" w:rsidP="005B1BF2">
      <w:pPr>
        <w:pStyle w:val="NIEARTTEKSTtekstnieartykuowanynppodstprawnarozplubpreambua"/>
      </w:pPr>
      <w:r w:rsidRPr="00676A73">
        <w:t>W obowiązującym porządku prawnym postępowanie o zobowiązanie osoby stosującej przemoc w rodzinie do opuszczenia mieszkania odbywa się w trybie nieprocesowym na podstawie przepisów Kodeksu postępowania cywilnego o postępowaniu nieprocesowym. Nie sprzyja to natychmiastowemu zapewnieniu bezpieczeństwa osobie dotkniętej przemocą, dla której najbardziej istotne w sytuacji zagrożenia jest</w:t>
      </w:r>
      <w:r>
        <w:t xml:space="preserve"> </w:t>
      </w:r>
      <w:r w:rsidRPr="00676A73">
        <w:t xml:space="preserve">możliwie szybkie i sprawne odseparowanie jej od osoby stosującej przemoc. W rezultacie zdarza się, że to osoba doznająca przemocy dla ochrony swojego życia lub zdrowia, </w:t>
      </w:r>
      <w:r w:rsidR="003640E4" w:rsidRPr="00676A73">
        <w:t xml:space="preserve">jest </w:t>
      </w:r>
      <w:r w:rsidRPr="00676A73">
        <w:t>zmuszona do opuszczenia mieszkania. Zaliczenie tych spraw do kategorii spraw pilnych w rozporządzeni</w:t>
      </w:r>
      <w:r w:rsidR="003036AE">
        <w:t>u</w:t>
      </w:r>
      <w:r w:rsidRPr="00676A73">
        <w:t xml:space="preserve"> Ministra Sprawiedliwości z dnia 18 czerwca 2019 r. –</w:t>
      </w:r>
      <w:r>
        <w:t xml:space="preserve"> </w:t>
      </w:r>
      <w:r w:rsidRPr="00676A73">
        <w:t>Regulamin urzędowania sądów powszechnych (</w:t>
      </w:r>
      <w:r w:rsidR="00C4754A">
        <w:t>Dz.</w:t>
      </w:r>
      <w:r w:rsidR="003036AE">
        <w:t xml:space="preserve"> </w:t>
      </w:r>
      <w:r w:rsidR="00C4754A">
        <w:t>U.</w:t>
      </w:r>
      <w:r w:rsidRPr="00676A73">
        <w:t xml:space="preserve"> poz. 114</w:t>
      </w:r>
      <w:r>
        <w:t>1</w:t>
      </w:r>
      <w:r w:rsidRPr="00676A73">
        <w:t>) – § 2 pkt 5 lit. n</w:t>
      </w:r>
      <w:r w:rsidR="003D5B05">
        <w:t xml:space="preserve"> –</w:t>
      </w:r>
      <w:r>
        <w:t xml:space="preserve"> </w:t>
      </w:r>
      <w:r w:rsidRPr="00676A73">
        <w:t xml:space="preserve">okazało się niewystarczające dla osiągnięcia zamierzonego celu. Projekt przewiduje </w:t>
      </w:r>
      <w:r w:rsidRPr="00676A73">
        <w:lastRenderedPageBreak/>
        <w:t xml:space="preserve">zatem wprowadzenie rozwiązań szczególnych, dotyczących tej kategorii spraw, które pozwolą sądowi na sprawne przeprowadzenie postępowania. </w:t>
      </w:r>
    </w:p>
    <w:p w14:paraId="62B65F3D" w14:textId="1AA924BD" w:rsidR="005B1BF2" w:rsidRPr="00676A73" w:rsidRDefault="005B1BF2" w:rsidP="005B1BF2">
      <w:pPr>
        <w:pStyle w:val="NIEARTTEKSTtekstnieartykuowanynppodstprawnarozplubpreambua"/>
      </w:pPr>
      <w:r w:rsidRPr="00676A73">
        <w:t>W ustawie z dnia 17 listopada 1964 r. – Kodeks postępowania cywilnego (</w:t>
      </w:r>
      <w:r w:rsidR="00C4754A">
        <w:t>Dz.</w:t>
      </w:r>
      <w:r w:rsidR="003036AE">
        <w:t xml:space="preserve"> </w:t>
      </w:r>
      <w:r w:rsidR="00C4754A">
        <w:t>U.</w:t>
      </w:r>
      <w:r>
        <w:t xml:space="preserve"> </w:t>
      </w:r>
      <w:r w:rsidRPr="00676A73">
        <w:t>z</w:t>
      </w:r>
      <w:r w:rsidR="003D5B05">
        <w:t> </w:t>
      </w:r>
      <w:r w:rsidRPr="00676A73">
        <w:t>2019</w:t>
      </w:r>
      <w:r w:rsidR="003D5B05">
        <w:t> </w:t>
      </w:r>
      <w:r w:rsidRPr="00676A73">
        <w:t>r. poz. 1460</w:t>
      </w:r>
      <w:r w:rsidR="00062673">
        <w:t>,</w:t>
      </w:r>
      <w:r w:rsidRPr="00676A73">
        <w:t xml:space="preserve"> z późn. zm., dalej „k.p.c.”</w:t>
      </w:r>
      <w:r>
        <w:t>)</w:t>
      </w:r>
      <w:r w:rsidRPr="00676A73">
        <w:t xml:space="preserve"> projektuje się wprowadzenie odrębnego postępowania w sprawach o zobowiązanie osoby stosującej przemoc do opuszczenia wspólnie zajmowanego mieszkania i jego bezpośredniego otoczenia oraz zakazanie zbliżania się do mieszkania i jego bezpośredniego otoczenia. Projekt przewiduje w tych sprawach rozwiązania, które umożliwią sądowi wydanie szczególnego rodzaju </w:t>
      </w:r>
      <w:r>
        <w:t>postanowienia o</w:t>
      </w:r>
      <w:r w:rsidR="00E644F7">
        <w:t> </w:t>
      </w:r>
      <w:r>
        <w:t xml:space="preserve">zabezpieczeniu oraz </w:t>
      </w:r>
      <w:r w:rsidRPr="00676A73">
        <w:t xml:space="preserve">doręczanie orzeczeń sądu i pism sądowych przez Policję lub </w:t>
      </w:r>
      <w:bookmarkStart w:id="1" w:name="_Hlk17361311"/>
      <w:r w:rsidRPr="00676A73">
        <w:t>Żandarmerię Wojskową</w:t>
      </w:r>
      <w:bookmarkEnd w:id="1"/>
      <w:r w:rsidRPr="00676A73">
        <w:t xml:space="preserve">. </w:t>
      </w:r>
      <w:r w:rsidR="003D5B05">
        <w:t>Pon</w:t>
      </w:r>
      <w:r w:rsidRPr="00676A73">
        <w:t xml:space="preserve">adto </w:t>
      </w:r>
      <w:r>
        <w:t xml:space="preserve">projekt </w:t>
      </w:r>
      <w:r w:rsidRPr="00676A73">
        <w:t>określa terminy do wydania przez sąd postanowienia kończącego postępowanie w sprawie oraz postanowienia zabezpieczającego, utrzymując zasadę</w:t>
      </w:r>
      <w:r>
        <w:t xml:space="preserve"> </w:t>
      </w:r>
      <w:r w:rsidRPr="00676A73">
        <w:t>natychmiastowej wykonalności postanowienia wydanego w sprawie w</w:t>
      </w:r>
      <w:r w:rsidR="00E644F7">
        <w:t> </w:t>
      </w:r>
      <w:r w:rsidR="003D5B05">
        <w:t>prz</w:t>
      </w:r>
      <w:r w:rsidRPr="00676A73">
        <w:t>ypadku zmiany okoliczności</w:t>
      </w:r>
      <w:r>
        <w:t>,</w:t>
      </w:r>
      <w:r w:rsidRPr="00676A73">
        <w:t xml:space="preserve"> zarówno zanim się ono uprawomocni, jak i wówczas</w:t>
      </w:r>
      <w:r w:rsidR="003D5B05">
        <w:t>,</w:t>
      </w:r>
      <w:r w:rsidRPr="00676A73">
        <w:t xml:space="preserve"> gdy jest już prawomocne. Ułatwieniem dla wnioskodawcy, związanym z szybkim dostępem do sądu, ma być projektowane ustawowe zwolnienie go od kosztów sądowych, przewidziane w</w:t>
      </w:r>
      <w:r>
        <w:t xml:space="preserve"> </w:t>
      </w:r>
      <w:r w:rsidRPr="00676A73">
        <w:t>nowelizowanej ustawie z dnia 28 lipca 2005 r. o kosztach sądowych w sprawach cywilnych (</w:t>
      </w:r>
      <w:r w:rsidR="00C4754A">
        <w:t>Dz.</w:t>
      </w:r>
      <w:r w:rsidR="003036AE">
        <w:t xml:space="preserve"> </w:t>
      </w:r>
      <w:r w:rsidR="00C4754A">
        <w:t>U.</w:t>
      </w:r>
      <w:r w:rsidRPr="00676A73">
        <w:t xml:space="preserve"> z 2019 r . poz. 78</w:t>
      </w:r>
      <w:r>
        <w:t>5</w:t>
      </w:r>
      <w:r w:rsidR="00062673">
        <w:t>,</w:t>
      </w:r>
      <w:r>
        <w:t xml:space="preserve"> z późn. zm.</w:t>
      </w:r>
      <w:r w:rsidRPr="00676A73">
        <w:t>).</w:t>
      </w:r>
    </w:p>
    <w:p w14:paraId="0970802E" w14:textId="47C61ED5" w:rsidR="005B1BF2" w:rsidRPr="00676A73" w:rsidRDefault="005B1BF2" w:rsidP="005B1BF2">
      <w:pPr>
        <w:pStyle w:val="NIEARTTEKSTtekstnieartykuowanynppodstprawnarozplubpreambua"/>
      </w:pPr>
      <w:r w:rsidRPr="00676A73">
        <w:t>Zupełnie nowym instrumentem mającym służyć bardziej skutecznej ochronie osoby dotkniętej przemocą jest n</w:t>
      </w:r>
      <w:r>
        <w:t xml:space="preserve">adanie Policji, a także </w:t>
      </w:r>
      <w:r w:rsidRPr="00676A73">
        <w:t>Żandarmerii Wojskowej</w:t>
      </w:r>
      <w:r>
        <w:t>,</w:t>
      </w:r>
      <w:r w:rsidRPr="00676A73">
        <w:t xml:space="preserve"> w zakresie jej właściwości, uprawnienia do wydania nakazu natychmiastowego opuszczenia wspólnie zajmowanego mieszkania i jego bezpośredniego otoczenia lub zakazu zbliżania się do mieszkania i jego bezpośredniego otoczenia, które poddane jest kontroli sądu. W tym celu w projekcie nowelizuje się przepisy ustawy z dnia 6 kwietnia 1990 r. o Pol</w:t>
      </w:r>
      <w:r>
        <w:t>icji (</w:t>
      </w:r>
      <w:r w:rsidR="00C4754A">
        <w:t>Dz.</w:t>
      </w:r>
      <w:r w:rsidR="003036AE">
        <w:t xml:space="preserve"> </w:t>
      </w:r>
      <w:r w:rsidR="00C4754A">
        <w:t>U.</w:t>
      </w:r>
      <w:r>
        <w:t xml:space="preserve"> z 20</w:t>
      </w:r>
      <w:r w:rsidR="009626AB">
        <w:t>20 r. poz. 360</w:t>
      </w:r>
      <w:r w:rsidRPr="00676A73">
        <w:t xml:space="preserve">) i ustawy </w:t>
      </w:r>
      <w:r w:rsidR="003036AE">
        <w:t xml:space="preserve">z dnia 24 sierpnia 2001 r. </w:t>
      </w:r>
      <w:r w:rsidRPr="00676A73">
        <w:t>o Żandarmerii Wojskowej i</w:t>
      </w:r>
      <w:r w:rsidR="00E644F7">
        <w:t> </w:t>
      </w:r>
      <w:r w:rsidRPr="00676A73">
        <w:t>wojskowych organach porządkowych (</w:t>
      </w:r>
      <w:r w:rsidR="00C4754A">
        <w:t>Dz.</w:t>
      </w:r>
      <w:r w:rsidR="003036AE">
        <w:t xml:space="preserve"> </w:t>
      </w:r>
      <w:r w:rsidR="00C4754A">
        <w:t>U.</w:t>
      </w:r>
      <w:r w:rsidRPr="00676A73">
        <w:t xml:space="preserve"> z 2019 r. poz. 518</w:t>
      </w:r>
      <w:r w:rsidR="00062673">
        <w:t>,</w:t>
      </w:r>
      <w:r w:rsidRPr="00676A73">
        <w:t xml:space="preserve"> z późn. zm.).</w:t>
      </w:r>
    </w:p>
    <w:p w14:paraId="3BF21018" w14:textId="54A0DF2F" w:rsidR="005B1BF2" w:rsidRPr="00676A73" w:rsidRDefault="005B1BF2" w:rsidP="005B1BF2">
      <w:pPr>
        <w:pStyle w:val="NIEARTTEKSTtekstnieartykuowanynppodstprawnarozplubpreambua"/>
      </w:pPr>
      <w:r w:rsidRPr="00676A73">
        <w:t>Projekt zakłada również zmianę przesłanek materialnoprawnych wydawania orzeczeń w trybie art. 11a ustawy z dnia 29 lipca 2005 r. o przeciwdziałaniu przemocy w rodzinie (</w:t>
      </w:r>
      <w:r w:rsidR="00C4754A">
        <w:t>Dz.</w:t>
      </w:r>
      <w:r w:rsidR="003036AE">
        <w:t xml:space="preserve"> </w:t>
      </w:r>
      <w:r w:rsidR="00C4754A">
        <w:t>U.</w:t>
      </w:r>
      <w:r w:rsidRPr="00676A73">
        <w:t xml:space="preserve"> z</w:t>
      </w:r>
      <w:r w:rsidR="00B5110B">
        <w:t xml:space="preserve"> 2020 r. poz. 218</w:t>
      </w:r>
      <w:r w:rsidRPr="00676A73">
        <w:t xml:space="preserve">, dalej </w:t>
      </w:r>
      <w:r w:rsidR="003640E4">
        <w:t>„</w:t>
      </w:r>
      <w:r w:rsidRPr="00676A73">
        <w:t>u.p.p.r.</w:t>
      </w:r>
      <w:r w:rsidR="003640E4">
        <w:t>”</w:t>
      </w:r>
      <w:r>
        <w:t xml:space="preserve">). </w:t>
      </w:r>
    </w:p>
    <w:p w14:paraId="50604913" w14:textId="1699A00E" w:rsidR="005B1BF2" w:rsidRPr="00676A73" w:rsidRDefault="005B1BF2" w:rsidP="005B1BF2">
      <w:pPr>
        <w:pStyle w:val="NIEARTTEKSTtekstnieartykuowanynppodstprawnarozplubpreambua"/>
      </w:pPr>
      <w:r w:rsidRPr="00676A73">
        <w:t>Mając na względzie konieczność respektowania orzeczeń sądowych oraz decyzji Policji</w:t>
      </w:r>
      <w:r>
        <w:t xml:space="preserve"> </w:t>
      </w:r>
      <w:r w:rsidRPr="00676A73">
        <w:t>i Żandarmerii Wojskowej, w projekcie dokonano nowelizacji ustawy z dnia 20 maja 1971 r. – Kodeks wykroczeń (</w:t>
      </w:r>
      <w:r w:rsidR="00C4754A">
        <w:t>Dz.</w:t>
      </w:r>
      <w:r w:rsidR="003036AE">
        <w:t xml:space="preserve"> </w:t>
      </w:r>
      <w:r w:rsidR="00C4754A">
        <w:t>U.</w:t>
      </w:r>
      <w:r w:rsidRPr="00676A73">
        <w:t xml:space="preserve"> z 2019 r. poz. 8</w:t>
      </w:r>
      <w:r>
        <w:t>21</w:t>
      </w:r>
      <w:r w:rsidR="00B5110B">
        <w:t>,</w:t>
      </w:r>
      <w:r>
        <w:t xml:space="preserve"> z późn. zm.</w:t>
      </w:r>
      <w:r w:rsidRPr="00676A73">
        <w:t xml:space="preserve">) przez dodanie nowego </w:t>
      </w:r>
      <w:r>
        <w:t xml:space="preserve">typu </w:t>
      </w:r>
      <w:r w:rsidRPr="00676A73">
        <w:t>czynu zabronionego przewidującego karę aresztu, ograniczenia wolności albo grzywny za niezastosowanie się do wydanego przez Policję, Żandarmerię Wojskową lub</w:t>
      </w:r>
      <w:r>
        <w:t xml:space="preserve"> przedłużonego </w:t>
      </w:r>
      <w:r>
        <w:lastRenderedPageBreak/>
        <w:t>przez</w:t>
      </w:r>
      <w:r w:rsidRPr="00676A73">
        <w:t xml:space="preserve"> sąd nakazu natychmiastowego opuszczenia wspólnie zajmowanego mieszkania i jego bezpośredniego otoczenia lub zakazu zbliżania się do mieszkania i jego bezpośredniego otoczenia bądź orzeczenia sądu, o którym mowa w art. 11a ust. 1 u.p.p.r. </w:t>
      </w:r>
    </w:p>
    <w:p w14:paraId="18E04E5F" w14:textId="5FDBE72A" w:rsidR="005B1BF2" w:rsidRPr="00676A73" w:rsidRDefault="005B1BF2" w:rsidP="005B1BF2">
      <w:pPr>
        <w:pStyle w:val="NIEARTTEKSTtekstnieartykuowanynppodstprawnarozplubpreambua"/>
      </w:pPr>
      <w:r w:rsidRPr="00676A73">
        <w:t>Jednocześnie dla wzmocnienia skuteczności tego rozwiązania przewidziano zmianę w ustawie z dnia 24 sierpnia 2001 r. – Kodeks postępowania w sprawach o wykroczenia (</w:t>
      </w:r>
      <w:r w:rsidR="00C4754A">
        <w:t>Dz.</w:t>
      </w:r>
      <w:r w:rsidR="00823F9B">
        <w:t xml:space="preserve"> </w:t>
      </w:r>
      <w:r w:rsidR="00C4754A">
        <w:t>U.</w:t>
      </w:r>
      <w:r w:rsidRPr="00676A73">
        <w:t xml:space="preserve"> z 2019 r. poz. 1120</w:t>
      </w:r>
      <w:r w:rsidR="00823F9B">
        <w:t>,</w:t>
      </w:r>
      <w:r w:rsidRPr="00676A73">
        <w:t xml:space="preserve"> </w:t>
      </w:r>
      <w:r>
        <w:t>z późn. zm.</w:t>
      </w:r>
      <w:r w:rsidRPr="00676A73">
        <w:t>) polegając</w:t>
      </w:r>
      <w:r>
        <w:t>ą</w:t>
      </w:r>
      <w:r w:rsidRPr="00676A73">
        <w:t xml:space="preserve"> na zastosowaniu trybu przyspieszonego wobec sprawców tego wykroczenia. </w:t>
      </w:r>
    </w:p>
    <w:p w14:paraId="702B5EA3" w14:textId="4F0F4570" w:rsidR="005B1BF2" w:rsidRPr="00676A73" w:rsidRDefault="005B1BF2" w:rsidP="005B1BF2">
      <w:pPr>
        <w:pStyle w:val="NIEARTTEKSTtekstnieartykuowanynppodstprawnarozplubpreambua"/>
      </w:pPr>
      <w:r w:rsidRPr="00676A73">
        <w:t xml:space="preserve">Zgodnie z art. 2 pkt 2 u.p.p.r. przez przemoc w rodzinie należy rozumieć jednorazowe albo powtarzające się umyślne działanie lub zaniechanie naruszające prawa lub dobra osobiste członków rodziny, w szczególności narażające te osoby na niebezpieczeństwo utraty życia, zdrowia, naruszające ich godność, nietykalność cielesną, wolność, w tym seksualną, powodujące szkody </w:t>
      </w:r>
      <w:r w:rsidR="0069697E">
        <w:t>dla</w:t>
      </w:r>
      <w:r w:rsidRPr="00676A73">
        <w:t xml:space="preserve"> ich zdrowi</w:t>
      </w:r>
      <w:r w:rsidR="0069697E">
        <w:t>a</w:t>
      </w:r>
      <w:r w:rsidRPr="00676A73">
        <w:t xml:space="preserve"> fizyczn</w:t>
      </w:r>
      <w:r w:rsidR="0069697E">
        <w:t>ego</w:t>
      </w:r>
      <w:r w:rsidRPr="00676A73">
        <w:t xml:space="preserve"> lub psychiczn</w:t>
      </w:r>
      <w:r w:rsidR="0069697E">
        <w:t>ego</w:t>
      </w:r>
      <w:r w:rsidRPr="00676A73">
        <w:t>, a także wywołujące cierpienia i krzywdy moralne u osób dotkniętych przemocą. Jednocześnie, stosownie do treści art. 2 pkt 1 tej ustawy, przez „członka rodziny” należy rozumieć osobę najbliższą w</w:t>
      </w:r>
      <w:r w:rsidR="00A77237">
        <w:t> </w:t>
      </w:r>
      <w:r w:rsidRPr="00676A73">
        <w:t>rozumieniu art. 115 § 11 Kodeksu karnego, a także inną osobę wspólnie zamieszkującą lub gospodarującą. Osobą najbliższą jest małżonek, wstępny, zstępny, rodzeństwo, powinowaty w tej samej linii lub stopniu, osoba pozostająca w stosunku przysposobienia oraz jej małżonek, a także osoba pozostająca we wspólnym pożyciu.</w:t>
      </w:r>
    </w:p>
    <w:p w14:paraId="4ADA8209" w14:textId="7D65B1AC" w:rsidR="005B1BF2" w:rsidRPr="00676A73" w:rsidRDefault="005B1BF2" w:rsidP="005B1BF2">
      <w:pPr>
        <w:pStyle w:val="NIEARTTEKSTtekstnieartykuowanynppodstprawnarozplubpreambua"/>
      </w:pPr>
      <w:r w:rsidRPr="00676A73">
        <w:t xml:space="preserve">Przemoc w rodzinie stypizowana jest w art. 207 ustawy z dnia 6 czerwca 1997 </w:t>
      </w:r>
      <w:r>
        <w:t>r. – Kodeks karny (</w:t>
      </w:r>
      <w:r w:rsidR="00C4754A">
        <w:t>Dz.</w:t>
      </w:r>
      <w:r w:rsidR="00823F9B">
        <w:t xml:space="preserve"> </w:t>
      </w:r>
      <w:r w:rsidR="00C4754A">
        <w:t>U.</w:t>
      </w:r>
      <w:r>
        <w:t xml:space="preserve"> z 2019 r. poz. 1950 i 2128</w:t>
      </w:r>
      <w:r w:rsidRPr="00676A73">
        <w:t>, dalej „k.k.”</w:t>
      </w:r>
      <w:r>
        <w:t>)</w:t>
      </w:r>
      <w:r w:rsidRPr="00676A73">
        <w:t>, penalizującym przestępstwo znęcania, które obejmuje również inne stany faktyczne. W przypadku przemocy w rodzinie zastosowanie mogą mieć także inne przepisy penalizujące zachowania naruszające dobra</w:t>
      </w:r>
      <w:r w:rsidR="00E644F7">
        <w:t>,</w:t>
      </w:r>
      <w:r w:rsidRPr="00676A73">
        <w:t xml:space="preserve"> jakim</w:t>
      </w:r>
      <w:r w:rsidR="00364DB4">
        <w:t>i</w:t>
      </w:r>
      <w:r w:rsidRPr="00676A73">
        <w:t xml:space="preserve"> są życie i zdrowie, wolność, wolność seksualn</w:t>
      </w:r>
      <w:r w:rsidR="00364DB4">
        <w:t>a</w:t>
      </w:r>
      <w:r w:rsidRPr="00676A73">
        <w:t xml:space="preserve"> i obyczajność.</w:t>
      </w:r>
    </w:p>
    <w:p w14:paraId="3BBB5F9F" w14:textId="77777777" w:rsidR="005B1BF2" w:rsidRPr="00676A73" w:rsidRDefault="005B1BF2" w:rsidP="005B1BF2">
      <w:pPr>
        <w:pStyle w:val="NIEARTTEKSTtekstnieartykuowanynppodstprawnarozplubpreambua"/>
      </w:pPr>
      <w:r w:rsidRPr="00676A73">
        <w:t>Powszechnie przyjmuje się, iż najskuteczniejszym środkiem ochrony osób dotkniętych przemocą jest natychmiastowe odizolowanie osoby stosującej przemoc. Tego typu środki już funkcjonują.</w:t>
      </w:r>
      <w:r>
        <w:t xml:space="preserve"> </w:t>
      </w:r>
    </w:p>
    <w:p w14:paraId="1E503420" w14:textId="77777777" w:rsidR="005B1BF2" w:rsidRPr="00676A73" w:rsidRDefault="005B1BF2" w:rsidP="005B1BF2">
      <w:pPr>
        <w:pStyle w:val="NIEARTTEKSTtekstnieartykuowanynppodstprawnarozplubpreambua"/>
      </w:pPr>
      <w:r w:rsidRPr="00676A73">
        <w:t>Ustawa o przeciwdziałaniu przemocy w rodzinie zakłada między innymi:</w:t>
      </w:r>
    </w:p>
    <w:p w14:paraId="05EC6F8B" w14:textId="17E7A6CB" w:rsidR="005B1BF2" w:rsidRPr="00676A73" w:rsidRDefault="005B1BF2" w:rsidP="00D1215C">
      <w:pPr>
        <w:pStyle w:val="PKTpunkt"/>
      </w:pPr>
      <w:r>
        <w:t>1</w:t>
      </w:r>
      <w:r w:rsidR="00D1215C">
        <w:t>)</w:t>
      </w:r>
      <w:r w:rsidR="00D1215C">
        <w:tab/>
      </w:r>
      <w:r w:rsidRPr="00676A73">
        <w:t xml:space="preserve">ochronę przed dalszym krzywdzeniem, przez uniemożliwienie osobom stosującym przemoc korzystania ze wspólnie zajmowanego z innymi członkami rodziny mieszkania oraz zakazanie kontaktowania się i zbliżania się do osoby pokrzywdzonej, </w:t>
      </w:r>
    </w:p>
    <w:p w14:paraId="5A7FD8A6" w14:textId="2CF669B4" w:rsidR="005B1BF2" w:rsidRPr="00676A73" w:rsidRDefault="005B1BF2" w:rsidP="00D1215C">
      <w:pPr>
        <w:pStyle w:val="PKTpunkt"/>
      </w:pPr>
      <w:r>
        <w:lastRenderedPageBreak/>
        <w:t>2</w:t>
      </w:r>
      <w:r w:rsidR="00D1215C">
        <w:t>)</w:t>
      </w:r>
      <w:r w:rsidR="00D1215C">
        <w:tab/>
      </w:r>
      <w:r w:rsidRPr="00676A73">
        <w:t>zapewnienie osobie dotkniętej przemocą w rodzinie bezpiecznego schronienia</w:t>
      </w:r>
      <w:r>
        <w:t xml:space="preserve"> </w:t>
      </w:r>
      <w:r w:rsidRPr="00676A73">
        <w:t>w</w:t>
      </w:r>
      <w:r w:rsidR="00A376DF">
        <w:t> </w:t>
      </w:r>
      <w:r w:rsidRPr="00676A73">
        <w:t>specjalistycznym ośrodku wsparcia dla ofiar przemocy w rodzinie,</w:t>
      </w:r>
    </w:p>
    <w:p w14:paraId="75A73823" w14:textId="0441DB76" w:rsidR="005B1BF2" w:rsidRPr="00676A73" w:rsidRDefault="005B1BF2" w:rsidP="00D1215C">
      <w:pPr>
        <w:pStyle w:val="PKTpunkt"/>
      </w:pPr>
      <w:r>
        <w:t>3</w:t>
      </w:r>
      <w:r w:rsidR="00D1215C">
        <w:t>)</w:t>
      </w:r>
      <w:r w:rsidR="00D1215C">
        <w:tab/>
      </w:r>
      <w:r w:rsidRPr="00676A73">
        <w:t>zapewnienie osobie dotkniętej przemocą w rodzinie, która nie ma tytułu prawnego do lokalu zajmowanego wspólnie z osobą stosującą przemoc, pomocy w uzyskaniu mieszkania.</w:t>
      </w:r>
    </w:p>
    <w:p w14:paraId="2B217CC5" w14:textId="6D8CF2C4" w:rsidR="005B1BF2" w:rsidRPr="00676A73" w:rsidRDefault="005B1BF2" w:rsidP="005B1BF2">
      <w:pPr>
        <w:pStyle w:val="NIEARTTEKSTtekstnieartykuowanynppodstprawnarozplubpreambua"/>
      </w:pPr>
      <w:r w:rsidRPr="00676A73">
        <w:t>Ochrona wskazana w punkcie 1 może być zrealizowana na drodze sądowej. Jeżeli członek rodziny wspólnie zajmujący mieszkanie swoim zachowaniem polegającym na stosowaniu przemocy w rodzinie czyni szczególnie uciążliwym wspólne zamieszkiwanie, osoba dotknięta przemocą może żądać, aby sąd zobowiązał go do opuszczenia mieszkania, o</w:t>
      </w:r>
      <w:r w:rsidR="00A376DF">
        <w:t> </w:t>
      </w:r>
      <w:r w:rsidRPr="00676A73">
        <w:t xml:space="preserve">czym stanowi art. 11a ust. 1 </w:t>
      </w:r>
      <w:r>
        <w:t>u.p.p.r</w:t>
      </w:r>
      <w:r w:rsidRPr="00676A73">
        <w:t>. Jak już podniesiono, sprawa tego rodzaju jest rozpoznawana w trybie przepisów Kodeksu postępowania cywilnego o postępowaniu nieprocesowym. Rozprawa powinna odbyć się w terminie jednego miesiąca od dnia wpływu wniosku, a wydane postanowienie staje się wykonalne z chwilą ogłoszenia i może być zmienione lub uchylone w razie zmiany okoliczności (art. 11a ust. 2</w:t>
      </w:r>
      <w:r>
        <w:t xml:space="preserve"> u.p.p.r.</w:t>
      </w:r>
      <w:r w:rsidRPr="00676A73">
        <w:t>).</w:t>
      </w:r>
    </w:p>
    <w:p w14:paraId="3EBC5454" w14:textId="5F8DDEF7" w:rsidR="005B1BF2" w:rsidRPr="00676A73" w:rsidRDefault="005B1BF2" w:rsidP="005B1BF2">
      <w:pPr>
        <w:pStyle w:val="NIEARTTEKSTtekstnieartykuowanynppodstprawnarozplubpreambua"/>
      </w:pPr>
      <w:r w:rsidRPr="00676A73">
        <w:t>Postępowanie prowadzone na podstawie art. 11a ust. 1 u.p.p.r. w rzeczywistości nie pozwala jednak na szybkie odizolowanie osoby dotkniętej przemocą od osoby stosującej przemoc. Dochowanie przez sąd terminu jednego miesiąca od dnia wpływu wniosku, w</w:t>
      </w:r>
      <w:r w:rsidR="00A376DF">
        <w:t> </w:t>
      </w:r>
      <w:r w:rsidRPr="00676A73">
        <w:t xml:space="preserve">którym powinna się odbyć rozprawa, nierzadko bywa niemożliwe. Jedną z przyczyn stojących temu na przeszkodzie jest trudność doręczenia zawiadomienia o terminie rozprawy uczestnikom lub wezwań świadkom. Wysłana korespondencja, jeżeli nie zostanie odebrana przez adresata, podlega dwukrotnej awizacji (14 dni). Uwzględniając czas na przekazanie przesyłki do właściwej placówki pocztowej, a następnie zwrotu do adresata (przesyłki niepodjętej bądź zwrotnego poświadczenia odbioru), etap ten trwa do 30 dni, a niekiedy dłużej. Tymczasem nieobecność uczestnika, przy braku zwrotnego poświadczenia odbioru, bądź też niedoręczenie wezwania świadkowi pociągają za sobą konieczność odroczenia rozprawy, co wpływa na przedłużenie postępowania. Jeżeli dochodzi do wyznaczenia rozprawy w wymaganym przepisem czasie, nie jest to równoznaczne z wydaniem wówczas orzeczenia kończącego postępowanie w sprawie. </w:t>
      </w:r>
    </w:p>
    <w:p w14:paraId="59FBEE49" w14:textId="77777777" w:rsidR="005B1BF2" w:rsidRPr="00676A73" w:rsidRDefault="005B1BF2" w:rsidP="005B1BF2">
      <w:pPr>
        <w:pStyle w:val="NIEARTTEKSTtekstnieartykuowanynppodstprawnarozplubpreambua"/>
      </w:pPr>
      <w:r w:rsidRPr="00676A73">
        <w:t>Jeżeli, po wydaniu orzeczenia uwzględniającego wniosek o nakazanie opuszczenia lokalu, uczestnik nie zastosuje się do niego dobrowolnie, należy wystąpić do komornika sądowego z wnioskiem o wszczęcie postępowania egzekucyjnego, co dalej przedłuża czas pobytu osoby stosującej przemoc w lokalu wraz z osobą dotkniętą przemocą.</w:t>
      </w:r>
    </w:p>
    <w:p w14:paraId="30F14335" w14:textId="60AF860A" w:rsidR="005B1BF2" w:rsidRPr="00676A73" w:rsidRDefault="005B1BF2" w:rsidP="005B1BF2">
      <w:pPr>
        <w:pStyle w:val="NIEARTTEKSTtekstnieartykuowanynppodstprawnarozplubpreambua"/>
      </w:pPr>
      <w:r w:rsidRPr="00676A73">
        <w:lastRenderedPageBreak/>
        <w:t>Na gruncie prawa karnego, dla zapewnienia bezpieczeństwa ofierze przemocy w</w:t>
      </w:r>
      <w:r w:rsidR="00A376DF">
        <w:t> </w:t>
      </w:r>
      <w:r w:rsidRPr="00676A73">
        <w:t xml:space="preserve">rodzinie, najbardziej </w:t>
      </w:r>
      <w:r w:rsidR="003640E4" w:rsidRPr="00676A73">
        <w:t xml:space="preserve">jest </w:t>
      </w:r>
      <w:r w:rsidRPr="00676A73">
        <w:t>pożądane jej odizolowanie od sprawcy przemocy. W pierwszej kolejności umożliwiają to przepisy art. 244 § 1a i 1b ustawy z dnia 6 czerwca 1997 r. – Kodeks postępowania karnego (</w:t>
      </w:r>
      <w:r w:rsidR="00C4754A">
        <w:t>Dz.</w:t>
      </w:r>
      <w:r w:rsidR="00F16814">
        <w:t xml:space="preserve"> </w:t>
      </w:r>
      <w:r w:rsidR="00C4754A">
        <w:t>U.</w:t>
      </w:r>
      <w:r w:rsidRPr="00676A73">
        <w:t xml:space="preserve"> z</w:t>
      </w:r>
      <w:r w:rsidR="00F16814">
        <w:t xml:space="preserve"> 2020 r. poz. 30</w:t>
      </w:r>
      <w:r>
        <w:t>,</w:t>
      </w:r>
      <w:r w:rsidRPr="00676A73">
        <w:t xml:space="preserve"> dalej „k.p.k.”</w:t>
      </w:r>
      <w:r>
        <w:t xml:space="preserve">). </w:t>
      </w:r>
    </w:p>
    <w:p w14:paraId="32AC162E" w14:textId="0A73A0BB" w:rsidR="005B1BF2" w:rsidRPr="00676A73" w:rsidRDefault="005B1BF2" w:rsidP="005B1BF2">
      <w:pPr>
        <w:pStyle w:val="NIEARTTEKSTtekstnieartykuowanynppodstprawnarozplubpreambua"/>
      </w:pPr>
      <w:r w:rsidRPr="00676A73">
        <w:t>Na podstawie art. 244 § 1a k.p.k. Policja ma prawo zatrzymać osobę podejrzaną, jeżeli istnieje uzasadnione przypuszczenie, że popełniła ona przestępstwo z użyciem przemocy na szkodę osoby wspólnie zamieszkującej, a zachodzi obawa, że ponownie popełni przestępstwo, zwłaszcza</w:t>
      </w:r>
      <w:r w:rsidR="00FD21FE">
        <w:t>,</w:t>
      </w:r>
      <w:r w:rsidRPr="00676A73">
        <w:t xml:space="preserve"> gdy tym grozi. </w:t>
      </w:r>
    </w:p>
    <w:p w14:paraId="0EDBB8F5" w14:textId="77777777" w:rsidR="005B1BF2" w:rsidRPr="00676A73" w:rsidRDefault="005B1BF2" w:rsidP="005B1BF2">
      <w:pPr>
        <w:pStyle w:val="NIEARTTEKSTtekstnieartykuowanynppodstprawnarozplubpreambua"/>
      </w:pPr>
      <w:r w:rsidRPr="00676A73">
        <w:t xml:space="preserve">Natomiast art. 244 § 1b k.p.k. nakłada na Policję obowiązek zatrzymania, jeżeli przestępstwo zostało popełnione przy użyciu broni palnej, noża albo innego niebezpiecznego przedmiotu. </w:t>
      </w:r>
    </w:p>
    <w:p w14:paraId="1E53451B" w14:textId="48B62571" w:rsidR="005B1BF2" w:rsidRPr="00676A73" w:rsidRDefault="005B1BF2" w:rsidP="005B1BF2">
      <w:pPr>
        <w:pStyle w:val="NIEARTTEKSTtekstnieartykuowanynppodstprawnarozplubpreambua"/>
      </w:pPr>
      <w:r w:rsidRPr="00676A73">
        <w:t>Opuszczenie lokalu, będące konsekwencją zatrzymania przez Policję, trwa jednak nie dużej niż 48 godzin, chyba że w tym czasie sprawcy zostanie postawiony zarzut, a Policja wystąpi do prokuratora z wnioskiem o zastosowanie środków zapobiegawczych, który zostanie uwzględniony. Wymaga podkreślenia, iż głównym celem postępowania karnego jest pociągnięcie sprawcy przemocy w rodzinie do odpowiedzialności karnej i wymierzenie mu sprawiedliwej kary. Prokurator lub sąd mogą podczas postępowania przygotowawczego lub sądowego stosować środki zapobiegawcze, jednakże ma to na celu zabezpieczenie prawidłowego toku postępowania. Ochrona pokrzywdzonego, choć niezwykle istotna, jest kwestią uboczną, toteż z chwilą prawomocnego zakończenia postępowania ustaje stosowanie środków zapobiegawczych związanych z ochroną ofiary przemocy w rodzinie.</w:t>
      </w:r>
    </w:p>
    <w:p w14:paraId="7B8ED5D3" w14:textId="0E913425" w:rsidR="005B1BF2" w:rsidRPr="00676A73" w:rsidRDefault="005B1BF2" w:rsidP="005B1BF2">
      <w:pPr>
        <w:pStyle w:val="NIEARTTEKSTtekstnieartykuowanynppodstprawnarozplubpreambua"/>
      </w:pPr>
      <w:r w:rsidRPr="00676A73">
        <w:t>Izolację sprawcy od ofiary przemocy w rodzinie umożliwiają tymczasowe aresztowanie (art. 254 k.p.k.) bądź nakazanie podejrzanemu/oskarżonemu o przestępstwo popełnione z</w:t>
      </w:r>
      <w:r w:rsidR="00A376DF">
        <w:t> </w:t>
      </w:r>
      <w:r w:rsidRPr="00676A73">
        <w:t>użyciem przemocy na szkodę osoby wspólnie zamieszkującej okresowe</w:t>
      </w:r>
      <w:r w:rsidR="00FD21FE">
        <w:t>go</w:t>
      </w:r>
      <w:r w:rsidRPr="00676A73">
        <w:t xml:space="preserve"> opuszczeni</w:t>
      </w:r>
      <w:r w:rsidR="00FD21FE">
        <w:t>a</w:t>
      </w:r>
      <w:r w:rsidRPr="00676A73">
        <w:t xml:space="preserve"> lokalu zajmowanego wspólnie z pokrzywdzonym, jeżeli zachodzi uzasadniona obawa, że oskarżony ponownie popełni przestępstwo z użyciem przemocy wobec tej osoby, zwłaszcza gdy popełnieniem takiego przestępstwa groził (art. 275a k.p.k.).</w:t>
      </w:r>
    </w:p>
    <w:p w14:paraId="31AE089F" w14:textId="38A4B0D2" w:rsidR="005B1BF2" w:rsidRPr="00676A73" w:rsidRDefault="005B1BF2" w:rsidP="005B1BF2">
      <w:pPr>
        <w:pStyle w:val="NIEARTTEKSTtekstnieartykuowanynppodstprawnarozplubpreambua"/>
      </w:pPr>
      <w:r w:rsidRPr="00676A73">
        <w:t>Wydając wyrok</w:t>
      </w:r>
      <w:r w:rsidR="00F61E33">
        <w:t>,</w:t>
      </w:r>
      <w:r w:rsidRPr="00676A73">
        <w:t xml:space="preserve"> skazujący sąd może orzec środek karny w postaci zakazu przebywania w określonych środowiskach lub miejscach, kontaktowania się z określonymi osobami, zbliżania się do określonych osób lub opuszczania określonego miejsca pobytu bez zgody sądu</w:t>
      </w:r>
      <w:r w:rsidR="00F61E33">
        <w:t>,</w:t>
      </w:r>
      <w:r w:rsidRPr="00676A73">
        <w:t xml:space="preserve"> a dodatkowo, gdy wymierzona kara jest zawieszana, zobowiązać skazanego do</w:t>
      </w:r>
      <w:r>
        <w:t xml:space="preserve"> </w:t>
      </w:r>
      <w:r w:rsidRPr="00676A73">
        <w:t xml:space="preserve">powstrzymania się od przebywania w określonych środowiskach lub miejscach, </w:t>
      </w:r>
      <w:r w:rsidRPr="00676A73">
        <w:lastRenderedPageBreak/>
        <w:t>powstrzymania się od kontaktowania się z pokrzywdzonym lub innymi osobami w określony sposób lub zbliżania się do pokrzywdzonego lub innych osób, opuszczenia lokalu zajmowanego wspólnie z pokrzywdzonym. W obu przypadkach orzeczenie jest wydawane na oznaczony czas.</w:t>
      </w:r>
      <w:r>
        <w:t xml:space="preserve"> </w:t>
      </w:r>
    </w:p>
    <w:p w14:paraId="7C8D9719" w14:textId="77777777" w:rsidR="005B1BF2" w:rsidRPr="00676A73" w:rsidRDefault="005B1BF2" w:rsidP="005B1BF2">
      <w:pPr>
        <w:pStyle w:val="NIEARTTEKSTtekstnieartykuowanynppodstprawnarozplubpreambua"/>
      </w:pPr>
      <w:r w:rsidRPr="00676A73">
        <w:t>Środki stosowane przez sąd lub prokuratora w ramach procedury karnej charakteryzuje wysoka skuteczność w zakresie szybkości izolacji sprawcy od ofiary przemocy w rodzinie, jednak osoby pokrzywdzone często nie składają zawiadomienia o przestępstwie lub odmawiają składania zeznań w toku postępowania. Przyczyną tego jest między innymi obawa przed sprawcą oraz często swoiste uzależnienie od sprawcy – na ogół członka rodziny, który utrzymuje rodzinę.</w:t>
      </w:r>
    </w:p>
    <w:p w14:paraId="5EEA8407" w14:textId="77777777" w:rsidR="005B1BF2" w:rsidRPr="00BE2726" w:rsidRDefault="005B1BF2" w:rsidP="005B1BF2">
      <w:pPr>
        <w:pStyle w:val="NIEARTTEKSTtekstnieartykuowanynppodstprawnarozplubpreambua"/>
      </w:pPr>
      <w:r w:rsidRPr="00BE2726">
        <w:t xml:space="preserve">Jeżeli postępowanie karne nie zostanie wszczęte, </w:t>
      </w:r>
      <w:r>
        <w:t>nie ma</w:t>
      </w:r>
      <w:r w:rsidRPr="00BE2726">
        <w:t xml:space="preserve"> podstaw do natychmiastowego odizolowania osoby stosującej przemoc od osoby dotkniętej przemocą.</w:t>
      </w:r>
      <w:r>
        <w:t xml:space="preserve"> </w:t>
      </w:r>
    </w:p>
    <w:p w14:paraId="65D7FAC0" w14:textId="77777777" w:rsidR="005B1BF2" w:rsidRPr="00BE2726" w:rsidRDefault="005B1BF2" w:rsidP="005B1BF2">
      <w:pPr>
        <w:pStyle w:val="NIEARTTEKSTtekstnieartykuowanynppodstprawnarozplubpreambua"/>
      </w:pPr>
      <w:r w:rsidRPr="00BE2726">
        <w:t xml:space="preserve">Przepisy przewidujące możliwość zastosowania izolacyjnych środków chroniących ofiary przemocy w rodzinie istnieją m.in. w Austrii, której ustawodawstwo stało się wzorcem dla innych państw. </w:t>
      </w:r>
    </w:p>
    <w:p w14:paraId="29BB7B68" w14:textId="77777777" w:rsidR="005B1BF2" w:rsidRPr="00BE2726" w:rsidRDefault="005B1BF2" w:rsidP="005B1BF2">
      <w:pPr>
        <w:pStyle w:val="NIEARTTEKSTtekstnieartykuowanynppodstprawnarozplubpreambua"/>
      </w:pPr>
      <w:r w:rsidRPr="00BE2726">
        <w:t>Instrumentami austriackimi służącymi walce z przemocą w rodzinie są między innymi</w:t>
      </w:r>
      <w:r>
        <w:t xml:space="preserve"> </w:t>
      </w:r>
      <w:r w:rsidRPr="00BE2726">
        <w:t>właśnie środki zapewniające natychmiastową izolację osoby stanowiącej zagrożenie od ofiary</w:t>
      </w:r>
      <w:r>
        <w:t xml:space="preserve"> </w:t>
      </w:r>
      <w:r w:rsidRPr="00BE2726">
        <w:t>w przypadku stosowania przemocy:</w:t>
      </w:r>
    </w:p>
    <w:p w14:paraId="187A0E97" w14:textId="18E29B15" w:rsidR="005B1BF2" w:rsidRPr="00BE2726" w:rsidRDefault="00F61E33" w:rsidP="003E13CC">
      <w:pPr>
        <w:pStyle w:val="TIRtiret"/>
        <w:ind w:left="426"/>
      </w:pPr>
      <w:r>
        <w:t>–</w:t>
      </w:r>
      <w:r>
        <w:tab/>
      </w:r>
      <w:r w:rsidR="005B1BF2" w:rsidRPr="00BE2726">
        <w:t>nakaz opuszczenia mieszkania, w którym mieszka osoba zagrożona i jego bezpośredniego otoczenia</w:t>
      </w:r>
      <w:r w:rsidR="000C3DF6">
        <w:t>,</w:t>
      </w:r>
      <w:r w:rsidR="005B1BF2" w:rsidRPr="00BE2726">
        <w:t xml:space="preserve"> oraz zakaz powrotu wydawane przez Policję,</w:t>
      </w:r>
    </w:p>
    <w:p w14:paraId="1D8E671D" w14:textId="49F830B7" w:rsidR="005B1BF2" w:rsidRPr="00BE2726" w:rsidRDefault="00F61E33" w:rsidP="00F61E33">
      <w:pPr>
        <w:pStyle w:val="NIEARTTEKSTtekstnieartykuowanynppodstprawnarozplubpreambua"/>
        <w:ind w:left="284" w:hanging="284"/>
      </w:pPr>
      <w:r>
        <w:t>–</w:t>
      </w:r>
      <w:r>
        <w:tab/>
      </w:r>
      <w:r w:rsidR="005B1BF2" w:rsidRPr="00BE2726">
        <w:t>nakaz opuszczenia mieszkania i jego bezpośredniego otoczenia oraz zakaz powrotu</w:t>
      </w:r>
      <w:r w:rsidR="005B1BF2">
        <w:t xml:space="preserve"> </w:t>
      </w:r>
      <w:r w:rsidR="005B1BF2" w:rsidRPr="00BE2726">
        <w:t>do mieszkania i jego bezpośredniego otoczenia wydawane przez sąd.</w:t>
      </w:r>
    </w:p>
    <w:p w14:paraId="7B16761C" w14:textId="179C6D33" w:rsidR="005B1BF2" w:rsidRPr="00BE2726" w:rsidRDefault="005B1BF2" w:rsidP="005B1BF2">
      <w:pPr>
        <w:pStyle w:val="NIEARTTEKSTtekstnieartykuowanynppodstprawnarozplubpreambua"/>
      </w:pPr>
      <w:r>
        <w:t xml:space="preserve">Uznając zasadność </w:t>
      </w:r>
      <w:r w:rsidRPr="00BE2726">
        <w:t>tych rozwiązań</w:t>
      </w:r>
      <w:r w:rsidR="000C3DF6">
        <w:t>,</w:t>
      </w:r>
      <w:r w:rsidRPr="00BE2726">
        <w:t xml:space="preserve"> projekt, jak wskazano, wprowadza do Kodeksu postępowania cywilnego osobny </w:t>
      </w:r>
      <w:r>
        <w:t xml:space="preserve">dział </w:t>
      </w:r>
      <w:r w:rsidRPr="00BE2726">
        <w:t>dotyczący rozpoznawania spraw o zobowiązane osoby stosującej przemoc w rodzinie do opuszczenia wspólnie zajmowanego mieszkania</w:t>
      </w:r>
      <w:r>
        <w:t xml:space="preserve"> </w:t>
      </w:r>
      <w:r w:rsidRPr="00BE2726">
        <w:t>i jego bezpośredniego otoczenia</w:t>
      </w:r>
      <w:r w:rsidR="00A77663">
        <w:t xml:space="preserve"> </w:t>
      </w:r>
      <w:r w:rsidR="00EF18E1">
        <w:t xml:space="preserve">lub </w:t>
      </w:r>
      <w:r w:rsidRPr="00BE2726">
        <w:t xml:space="preserve">zakazanie zbliżania się do mieszkania i jego bezpośredniego otoczenia (w części pierwszej w księdze drugiej w tytule II </w:t>
      </w:r>
      <w:r>
        <w:t>po dziale I dodaje się dział Ia).</w:t>
      </w:r>
    </w:p>
    <w:p w14:paraId="27BE0151" w14:textId="5171BC76" w:rsidR="005B1BF2" w:rsidRPr="00BE2726" w:rsidRDefault="005B1BF2" w:rsidP="005B1BF2">
      <w:pPr>
        <w:pStyle w:val="NIEARTTEKSTtekstnieartykuowanynppodstprawnarozplubpreambua"/>
      </w:pPr>
      <w:r w:rsidRPr="00BE2726">
        <w:t>Z uwagi na szczególny charakter tych spraw w postępowaniu przed s</w:t>
      </w:r>
      <w:r>
        <w:t>ą</w:t>
      </w:r>
      <w:r w:rsidRPr="00BE2726">
        <w:t xml:space="preserve">dem </w:t>
      </w:r>
      <w:r w:rsidR="003640E4" w:rsidRPr="00BE2726">
        <w:t xml:space="preserve">jest </w:t>
      </w:r>
      <w:r w:rsidRPr="00BE2726">
        <w:t xml:space="preserve">pożądany udział prokuratora. Dlatego do projektu wprowadza się przepis, który nakłada na sąd obowiązek doręczenia prokuratorowi odpisu wniosku oraz zawiadomienia go </w:t>
      </w:r>
      <w:r w:rsidR="008E35A9">
        <w:t xml:space="preserve">o </w:t>
      </w:r>
      <w:r w:rsidRPr="00BE2726">
        <w:t>terminach rozprawy (projektowany art. 560</w:t>
      </w:r>
      <w:r>
        <w:rPr>
          <w:rStyle w:val="IGindeksgrny"/>
        </w:rPr>
        <w:t>4</w:t>
      </w:r>
      <w:r w:rsidRPr="00BE2726">
        <w:t xml:space="preserve"> § 2 k.p.c.). Dzięki temu prokurator, działając w interesie </w:t>
      </w:r>
      <w:r w:rsidRPr="00BE2726">
        <w:lastRenderedPageBreak/>
        <w:t xml:space="preserve">publicznym, będzie mógł w trakcie postępowania składać niezbędne wnioski, a </w:t>
      </w:r>
      <w:r>
        <w:t xml:space="preserve">jeżeli </w:t>
      </w:r>
      <w:r w:rsidRPr="00BE2726">
        <w:t xml:space="preserve">zajdzie taka konieczność </w:t>
      </w:r>
      <w:r w:rsidR="002B5E80">
        <w:t>–</w:t>
      </w:r>
      <w:r w:rsidRPr="00BE2726">
        <w:t xml:space="preserve"> podejmować inne działania, np. o charakterze karnoprawnym</w:t>
      </w:r>
      <w:r>
        <w:t>,</w:t>
      </w:r>
      <w:r w:rsidRPr="00372E52">
        <w:t xml:space="preserve"> </w:t>
      </w:r>
      <w:r w:rsidRPr="00BE2726">
        <w:t xml:space="preserve">na podstawie informacji uzyskanych w toku rozprawy. Nie należy bowiem zapominać, że czyn zabroniony z art. 207 k.k. czy </w:t>
      </w:r>
      <w:r>
        <w:t xml:space="preserve">z </w:t>
      </w:r>
      <w:r w:rsidRPr="00BE2726">
        <w:t xml:space="preserve">art. 157 § 1 k.k., dotyczący spowodowania obrażeń ciała </w:t>
      </w:r>
      <w:r>
        <w:t>jest ścigany</w:t>
      </w:r>
      <w:r w:rsidRPr="00BE2726">
        <w:t xml:space="preserve"> z oskarżenia publicznego.</w:t>
      </w:r>
    </w:p>
    <w:p w14:paraId="3F453EB1" w14:textId="6FDD8BD3" w:rsidR="005B1BF2" w:rsidRPr="00BE2726" w:rsidRDefault="005B1BF2" w:rsidP="005B1BF2">
      <w:pPr>
        <w:pStyle w:val="NIEARTTEKSTtekstnieartykuowanynppodstprawnarozplubpreambua"/>
      </w:pPr>
      <w:r w:rsidRPr="00BE2726">
        <w:t>Kiedy dochodzi do przemocy w rodzinie o charakterze zagrażającym życiu lub zdrowiu domowników, zasadniczo zachodzi potrzeba natychmiastowego odizolowania osoby stosującej przemoc</w:t>
      </w:r>
      <w:r>
        <w:t xml:space="preserve"> </w:t>
      </w:r>
      <w:r w:rsidRPr="00BE2726">
        <w:t>od osoby dotkniętej przemocą. Stąd też, aby projektowane rozwiązania mogły skutecznie spełniać swoją funkcję ochronną, wprowadza się szczególne przepisy umożliwiające wydanie postanowienia o zabezpieczeniu dla zapewnienia bezpieczeństwa osoby d</w:t>
      </w:r>
      <w:r>
        <w:t>otkniętej przemocą (projektowane</w:t>
      </w:r>
      <w:r w:rsidRPr="00BE2726">
        <w:t xml:space="preserve"> art. 755</w:t>
      </w:r>
      <w:r>
        <w:rPr>
          <w:rStyle w:val="IGindeksgrny"/>
        </w:rPr>
        <w:t>2</w:t>
      </w:r>
      <w:r w:rsidR="002B5E80">
        <w:t>–</w:t>
      </w:r>
      <w:r w:rsidRPr="00BE2726">
        <w:t>755</w:t>
      </w:r>
      <w:r>
        <w:rPr>
          <w:rStyle w:val="IGindeksgrny"/>
        </w:rPr>
        <w:t>4</w:t>
      </w:r>
      <w:r w:rsidRPr="00BE2726">
        <w:t xml:space="preserve"> k.p.c.). </w:t>
      </w:r>
      <w:r>
        <w:t xml:space="preserve">Ponieważ, jak już wyżej wskazano, </w:t>
      </w:r>
      <w:r w:rsidRPr="00BE2726">
        <w:t>projekt przewiduje, że wniosek do sądu może być poprzedzony wydaniem nakazu lub zakazu przez Po</w:t>
      </w:r>
      <w:r>
        <w:t>licję (projektowane art. 15aa</w:t>
      </w:r>
      <w:r w:rsidR="00F74A4A">
        <w:t>–</w:t>
      </w:r>
      <w:r w:rsidRPr="00BE2726">
        <w:t>15ak ustawy o Policji) lub Żandarmerię Wo</w:t>
      </w:r>
      <w:r>
        <w:t>jskową (projektowane art. 18a</w:t>
      </w:r>
      <w:r w:rsidR="00F74A4A">
        <w:t>–</w:t>
      </w:r>
      <w:r w:rsidRPr="00BE2726">
        <w:t>18k ustawy o Żandarmerii Wojskowej i wojskowych organach porządkowych), w postanowieniu zabezpieczającym sąd będzie mógł udzielić zabezpieczenia</w:t>
      </w:r>
      <w:r>
        <w:t xml:space="preserve"> nie tylko na zasadach ogólnych, lecz również </w:t>
      </w:r>
      <w:r w:rsidRPr="00BE2726">
        <w:t>przez przedłużenie wydanego przez Policję lub Żandarmerię Wojskową nakazu lub zakazu. Sąd</w:t>
      </w:r>
      <w:r>
        <w:t>,</w:t>
      </w:r>
      <w:r w:rsidRPr="00BE2726">
        <w:t xml:space="preserve"> </w:t>
      </w:r>
      <w:r>
        <w:t xml:space="preserve">udzielając zabezpieczenia, identycznie jak </w:t>
      </w:r>
      <w:r w:rsidRPr="00BE2726">
        <w:t>w postanowieniu kończącym postępowanie w sprawie, tak jak Policja lub Żandarmeria Wojskowa przy wydaniu nakazu lub zakazu, wskaże obszar lub odległości od mieszkania, które osoba stosując</w:t>
      </w:r>
      <w:r w:rsidR="00F16814">
        <w:t>a</w:t>
      </w:r>
      <w:r w:rsidRPr="00BE2726">
        <w:t xml:space="preserve"> przemoc jest zobowiązana zachować. </w:t>
      </w:r>
      <w:r w:rsidRPr="00B42430">
        <w:t>Dodatkowo, uznając, ż</w:t>
      </w:r>
      <w:r>
        <w:t>e</w:t>
      </w:r>
      <w:r w:rsidRPr="00B42430">
        <w:t xml:space="preserve"> zachodzi konieczność sprawdzania</w:t>
      </w:r>
      <w:r w:rsidR="007B0EFF">
        <w:t>,</w:t>
      </w:r>
      <w:r w:rsidRPr="00B42430">
        <w:t xml:space="preserve"> czy przedłużony nakaz lub zakaz nie są naruszane, projektodawca zobowiązał sąd do określenia w postanowieniu o udzieleniu zabezpieczenia</w:t>
      </w:r>
      <w:r w:rsidR="001009CF">
        <w:t>,</w:t>
      </w:r>
      <w:r w:rsidRPr="00B42430">
        <w:t xml:space="preserve"> jak często Policja lub Żandarmeria Wojskowa mają dokonywać tego sprawdzenia. Ustalenie częstotliwości czynności sprawdz</w:t>
      </w:r>
      <w:r>
        <w:t>enia</w:t>
      </w:r>
      <w:r w:rsidRPr="00B42430">
        <w:t xml:space="preserve"> pozostawiono decyzji sądu, zaznaczając jednakże, </w:t>
      </w:r>
      <w:r>
        <w:t xml:space="preserve">że </w:t>
      </w:r>
      <w:r w:rsidRPr="00B42430">
        <w:t xml:space="preserve">ma </w:t>
      </w:r>
      <w:r>
        <w:t xml:space="preserve">mieć wówczas </w:t>
      </w:r>
      <w:r w:rsidRPr="00B42430">
        <w:t xml:space="preserve">na względzie treść przepisów </w:t>
      </w:r>
      <w:r w:rsidR="001009CF">
        <w:t xml:space="preserve">art. </w:t>
      </w:r>
      <w:r w:rsidRPr="00B42430">
        <w:t>15ai ust. 1 ustawy o Policji lub art. 18i ust. 1 ustawy o Żandarmerii Wojskowej</w:t>
      </w:r>
      <w:r w:rsidR="002A748A">
        <w:t xml:space="preserve"> i wojskowych organach porządkowych</w:t>
      </w:r>
      <w:r>
        <w:t>, które regulują zagadnienie sprawdzania</w:t>
      </w:r>
      <w:r w:rsidR="001009CF">
        <w:t>,</w:t>
      </w:r>
      <w:r>
        <w:t xml:space="preserve"> czy nakaz lub zakaz nie są naruszane</w:t>
      </w:r>
      <w:r w:rsidR="001009CF">
        <w:t>,</w:t>
      </w:r>
      <w:r>
        <w:t xml:space="preserve"> w </w:t>
      </w:r>
      <w:r w:rsidR="003640E4">
        <w:t>prz</w:t>
      </w:r>
      <w:r>
        <w:t xml:space="preserve">ypadku gdy wydają je te organy. </w:t>
      </w:r>
      <w:r w:rsidRPr="00B42430">
        <w:t>Projektodawca wychodzi przy tym z</w:t>
      </w:r>
      <w:r>
        <w:t xml:space="preserve"> </w:t>
      </w:r>
      <w:r w:rsidRPr="00B42430">
        <w:t xml:space="preserve">założenia, </w:t>
      </w:r>
      <w:r>
        <w:t>że</w:t>
      </w:r>
      <w:r w:rsidRPr="00B42430">
        <w:t xml:space="preserve"> sądy działają racjonalnie, toteż instytucja ta nie będzie nadużywana w sposób nadmiernie obciążający prac</w:t>
      </w:r>
      <w:r>
        <w:t>ą</w:t>
      </w:r>
      <w:r w:rsidRPr="00B42430">
        <w:t xml:space="preserve"> Policj</w:t>
      </w:r>
      <w:r>
        <w:t>ę</w:t>
      </w:r>
      <w:r w:rsidRPr="00B42430">
        <w:t xml:space="preserve"> i Żandarmeri</w:t>
      </w:r>
      <w:r>
        <w:t>ę</w:t>
      </w:r>
      <w:r w:rsidRPr="00B42430">
        <w:t xml:space="preserve"> Wojskow</w:t>
      </w:r>
      <w:r>
        <w:t>ą</w:t>
      </w:r>
      <w:r w:rsidRPr="00B42430">
        <w:t>. Uregulowanie to jest jednak konieczne</w:t>
      </w:r>
      <w:r w:rsidR="001009CF">
        <w:t>,</w:t>
      </w:r>
      <w:r w:rsidRPr="00B42430">
        <w:t xml:space="preserve"> zważywszy </w:t>
      </w:r>
      <w:r w:rsidR="008E35A9">
        <w:t xml:space="preserve">na </w:t>
      </w:r>
      <w:r w:rsidRPr="00B42430">
        <w:t>okoliczności</w:t>
      </w:r>
      <w:r>
        <w:t>,</w:t>
      </w:r>
      <w:r w:rsidRPr="00B42430">
        <w:t xml:space="preserve"> w jakich </w:t>
      </w:r>
      <w:r>
        <w:t xml:space="preserve">będzie </w:t>
      </w:r>
      <w:r w:rsidRPr="00B42430">
        <w:t>do</w:t>
      </w:r>
      <w:r>
        <w:t xml:space="preserve">chodziło </w:t>
      </w:r>
      <w:r w:rsidRPr="00B42430">
        <w:t>do wydania nakazu lub zakazu.</w:t>
      </w:r>
    </w:p>
    <w:p w14:paraId="5E82E3F7" w14:textId="63D33DB7" w:rsidR="005B1BF2" w:rsidRPr="00BE2726" w:rsidRDefault="005B1BF2" w:rsidP="005B1BF2">
      <w:pPr>
        <w:pStyle w:val="NIEARTTEKSTtekstnieartykuowanynppodstprawnarozplubpreambua"/>
      </w:pPr>
      <w:r w:rsidRPr="00BE2726">
        <w:lastRenderedPageBreak/>
        <w:t xml:space="preserve">Wskazana wyżej szybka ścieżka procedowania wymaga, aby wniosek o zabezpieczenie został rozpoznany w możliwie najkrótszym terminie. Na rozpoznanie równie pilnego wniosku o zastosowanie tymczasowego aresztowania sąd ma 24 godziny. W ocenie projektodawcy taki termin w przypadku omawianych spraw byłby zbyt krótki i w praktyce nierealny do zachowania. </w:t>
      </w:r>
      <w:r>
        <w:t xml:space="preserve">Wobec tego za optymalny uznano okres nie dłuższy niż trzy dni, licząc od dnia wpływu wniosku do sądu </w:t>
      </w:r>
      <w:r w:rsidRPr="00BE2726">
        <w:t>(projektowany art. 755</w:t>
      </w:r>
      <w:r>
        <w:rPr>
          <w:rStyle w:val="IGindeksgrny"/>
        </w:rPr>
        <w:t>2</w:t>
      </w:r>
      <w:r w:rsidRPr="00BE2726">
        <w:t xml:space="preserve"> § </w:t>
      </w:r>
      <w:r>
        <w:t>4</w:t>
      </w:r>
      <w:r w:rsidRPr="00BE2726">
        <w:t xml:space="preserve"> k.p.c.). Należy pamiętać, że chodzi o</w:t>
      </w:r>
      <w:r w:rsidR="00A376DF">
        <w:t> </w:t>
      </w:r>
      <w:r w:rsidRPr="00BE2726">
        <w:t>zdarzenia, które mogą wymagać natychmiastowej reakcji na istniejący w mieszkaniu stan zagrożenia. Funkcjonująca w takich warunkach osoba dotknięta przemocą, która z różnych przyczyn nie decyduje się na postępowanie karne, nie może wiele tygodni lub nawet miesięcy oczekiwać na decyzję w tym przedmiocie, zwłaszcza je</w:t>
      </w:r>
      <w:r w:rsidR="00166571">
        <w:t>że</w:t>
      </w:r>
      <w:r w:rsidRPr="00BE2726">
        <w:t xml:space="preserve">li to ona </w:t>
      </w:r>
      <w:r w:rsidR="00166571">
        <w:t>–</w:t>
      </w:r>
      <w:r w:rsidRPr="00BE2726">
        <w:t xml:space="preserve"> uciekając przed osobą stosującą przemoc </w:t>
      </w:r>
      <w:r w:rsidR="00166571">
        <w:t>–</w:t>
      </w:r>
      <w:r w:rsidRPr="00BE2726">
        <w:t xml:space="preserve"> opuściła mieszkanie. Co ważne, w celu zapewnienia osobie dotkniętej przemocą ciągłości ochrony przed osobą stosującą przemoc, sąd wskazuje w postanowieniu czas trwania zabezpieczenia (projektowany art. 755</w:t>
      </w:r>
      <w:r>
        <w:rPr>
          <w:rStyle w:val="IGindeksgrny"/>
        </w:rPr>
        <w:t>3</w:t>
      </w:r>
      <w:r w:rsidRPr="00BE2726">
        <w:t xml:space="preserve"> k.p.c.). Sąd</w:t>
      </w:r>
      <w:r w:rsidR="00166571">
        <w:t>,</w:t>
      </w:r>
      <w:r w:rsidRPr="00BE2726">
        <w:t xml:space="preserve"> orzekając o zabezpieczeniu, którym przedłuża nakaz lub zakaz</w:t>
      </w:r>
      <w:r w:rsidR="00166571">
        <w:t>,</w:t>
      </w:r>
      <w:r w:rsidRPr="00BE2726">
        <w:t xml:space="preserve"> będzie mógł</w:t>
      </w:r>
      <w:r>
        <w:t xml:space="preserve"> </w:t>
      </w:r>
      <w:r w:rsidRPr="00BE2726">
        <w:t>zmienić wskazany w nakazie lub zakazie obszar lub odległość od mieszkania, które osoba stosując</w:t>
      </w:r>
      <w:r w:rsidR="00166571">
        <w:t>a</w:t>
      </w:r>
      <w:r w:rsidRPr="00BE2726">
        <w:t xml:space="preserve"> przemoc jest zobowiązana zachować. Dzięki temu sąd będzie mógł dostosować ochronę osoby dotkniętej przemocą do aktualnej sytuacji. </w:t>
      </w:r>
    </w:p>
    <w:p w14:paraId="5E706880" w14:textId="2C595469" w:rsidR="005B1BF2" w:rsidRDefault="005B1BF2" w:rsidP="005B1BF2">
      <w:pPr>
        <w:pStyle w:val="NIEARTTEKSTtekstnieartykuowanynppodstprawnarozplubpreambua"/>
      </w:pPr>
      <w:r w:rsidRPr="00BE2726">
        <w:t xml:space="preserve">W zakresie postępowania odwoławczego na etapie zabezpieczenia projekt również przewiduje uproszczenia. W sytuacji </w:t>
      </w:r>
      <w:r>
        <w:t>gdy do zażalenia nie został dołą</w:t>
      </w:r>
      <w:r w:rsidRPr="00BE2726">
        <w:t xml:space="preserve">czony jego odpis, sąd </w:t>
      </w:r>
      <w:r>
        <w:t>sporządzi</w:t>
      </w:r>
      <w:r w:rsidRPr="00BE2726">
        <w:t xml:space="preserve"> odpis zażalenia i doręczy uczestniko</w:t>
      </w:r>
      <w:r w:rsidR="00C15D82">
        <w:t>wi</w:t>
      </w:r>
      <w:r w:rsidR="00A77663">
        <w:t xml:space="preserve"> </w:t>
      </w:r>
      <w:r w:rsidR="00664B75">
        <w:t xml:space="preserve">i </w:t>
      </w:r>
      <w:r w:rsidRPr="00BE2726">
        <w:t>prokuratorowi (projektowany art. 755</w:t>
      </w:r>
      <w:r>
        <w:rPr>
          <w:rStyle w:val="IGindeksgrny"/>
        </w:rPr>
        <w:t>2</w:t>
      </w:r>
      <w:r>
        <w:t xml:space="preserve"> </w:t>
      </w:r>
      <w:r w:rsidR="000E3478">
        <w:rPr>
          <w:rFonts w:cs="Times"/>
        </w:rPr>
        <w:t>§</w:t>
      </w:r>
      <w:r w:rsidRPr="00BE2726">
        <w:t xml:space="preserve"> </w:t>
      </w:r>
      <w:r w:rsidR="00C15D82">
        <w:t>3</w:t>
      </w:r>
      <w:r w:rsidRPr="00BE2726">
        <w:t xml:space="preserve"> k.p.c.). Dzięki temu uniknie się wydłużenia procedury na czynność, która nie wymaga konieczności działania strony postępowania.</w:t>
      </w:r>
    </w:p>
    <w:p w14:paraId="0EA64D41" w14:textId="3C3D0135" w:rsidR="00A77663" w:rsidRPr="00A77663" w:rsidRDefault="005B1BF2" w:rsidP="00A77663">
      <w:pPr>
        <w:pStyle w:val="ARTartustawynprozporzdzenia"/>
      </w:pPr>
      <w:r w:rsidRPr="00BF293B">
        <w:t>Projekt</w:t>
      </w:r>
      <w:r>
        <w:t xml:space="preserve"> przewiduje zobowiązanie </w:t>
      </w:r>
      <w:r w:rsidRPr="00BF293B">
        <w:t>sądu opiekuńczego po otrzymaniu od Policji lub Żandarmerii Wojskowej zawiadomienia o wydaniu nakazu lub zakazu wobec osoby stosującej przemoc, która zamieszkuje z osobami małoletnimi, do wszczęcia postępowania z</w:t>
      </w:r>
      <w:r w:rsidR="00A376DF">
        <w:t> </w:t>
      </w:r>
      <w:r w:rsidRPr="00BF293B">
        <w:t xml:space="preserve">urzędu i </w:t>
      </w:r>
      <w:r>
        <w:t>orzeczenia bezzwłocznie w przedmiocie zabezpieczenia w zakresie uregulowania sposobu roztoczenia pieczy nad małoletnimi dziećmi, zgodnie z treścią art. 755</w:t>
      </w:r>
      <w:r w:rsidR="00C15D82">
        <w:t xml:space="preserve"> </w:t>
      </w:r>
      <w:r w:rsidR="00C15D82" w:rsidRPr="00BE2726">
        <w:t>§</w:t>
      </w:r>
      <w:r>
        <w:t xml:space="preserve"> 1 ust. 4 k.p.c. </w:t>
      </w:r>
      <w:r w:rsidR="006F23EF">
        <w:t>(projektowany art. 755</w:t>
      </w:r>
      <w:r w:rsidR="00375727" w:rsidRPr="00375727">
        <w:rPr>
          <w:rStyle w:val="IGindeksgrny"/>
        </w:rPr>
        <w:t>4</w:t>
      </w:r>
      <w:r w:rsidR="006F23EF">
        <w:t xml:space="preserve"> k.p.c.)</w:t>
      </w:r>
      <w:r w:rsidR="00375727">
        <w:t xml:space="preserve">. </w:t>
      </w:r>
      <w:r w:rsidRPr="00BF293B">
        <w:t xml:space="preserve">Sąd opiekuńczy w ramach tego postępowania będzie </w:t>
      </w:r>
      <w:r>
        <w:t xml:space="preserve">również, </w:t>
      </w:r>
      <w:r w:rsidRPr="00BF293B">
        <w:t>między innymi</w:t>
      </w:r>
      <w:r>
        <w:t>,</w:t>
      </w:r>
      <w:r w:rsidRPr="00BF293B">
        <w:t xml:space="preserve"> decydował o prawie do kontaktów osoby stosującej przemoc z</w:t>
      </w:r>
      <w:r w:rsidR="00A376DF">
        <w:t> </w:t>
      </w:r>
      <w:r w:rsidRPr="00BF293B">
        <w:t xml:space="preserve">małoletnim tą przemocą dotkniętym. </w:t>
      </w:r>
      <w:r>
        <w:t>Sąd opiekuńczy</w:t>
      </w:r>
      <w:r w:rsidR="00166571">
        <w:t>,</w:t>
      </w:r>
      <w:r>
        <w:t xml:space="preserve"> uznając, że utrzymywanie kontaktów przez dziecko z rodzicem stosującym przemoc poważnie zagraża jego dobru lub je narusza, zakazuje ich utrzymywania (art. 113</w:t>
      </w:r>
      <w:r w:rsidR="00375727" w:rsidRPr="00375727">
        <w:rPr>
          <w:rStyle w:val="IGindeksgrny"/>
        </w:rPr>
        <w:t>3</w:t>
      </w:r>
      <w:r>
        <w:t xml:space="preserve"> k.r.o.).</w:t>
      </w:r>
      <w:r w:rsidR="00A77663">
        <w:t xml:space="preserve"> </w:t>
      </w:r>
      <w:r w:rsidRPr="00BF293B">
        <w:t xml:space="preserve">Orzekanie w tym przedmiocie pozostaje </w:t>
      </w:r>
      <w:r w:rsidRPr="00BF293B">
        <w:lastRenderedPageBreak/>
        <w:t>bezspornie we właściwości sądu, nie może tego prawa regulować ani Policja, ani Żandarmeria Wojskowa, toteż wprowadzenie szczególnego trybu zabezpieczenia z jednej strony będzie zgodne z</w:t>
      </w:r>
      <w:r>
        <w:t xml:space="preserve"> </w:t>
      </w:r>
      <w:r w:rsidRPr="00BF293B">
        <w:t>ogólnymi przepisami prawa, z drugiej pozwoli na ochronę kompleksową małoletnich, o której ramach będzie decydował właściwy rzeczowo sąd opiekuńczy.</w:t>
      </w:r>
      <w:r w:rsidR="00A77663">
        <w:t xml:space="preserve"> </w:t>
      </w:r>
      <w:r>
        <w:t xml:space="preserve">Jeżeli zaś sąd opiekuńczy po dokonaniu własnych ustaleń uzna </w:t>
      </w:r>
      <w:r w:rsidRPr="00BF293B">
        <w:t>udzieleni</w:t>
      </w:r>
      <w:r>
        <w:t>e</w:t>
      </w:r>
      <w:r w:rsidRPr="00BF293B">
        <w:t xml:space="preserve"> zabezpieczenia</w:t>
      </w:r>
      <w:r>
        <w:t xml:space="preserve"> za zbędne, wówczas orzeknie o braku podstaw do jego udzielenia</w:t>
      </w:r>
      <w:r w:rsidRPr="00BF293B">
        <w:t>. Regulacja ta ma na celu ochronę dobra i bezpieczeństwa małoletnich, co bezsprzecznie wymaga szybkiego działania.</w:t>
      </w:r>
      <w:r>
        <w:t xml:space="preserve"> </w:t>
      </w:r>
    </w:p>
    <w:p w14:paraId="10F8BD07" w14:textId="39F3899F" w:rsidR="005B1BF2" w:rsidRDefault="005B1BF2" w:rsidP="00A77663">
      <w:pPr>
        <w:pStyle w:val="NIEARTTEKSTtekstnieartykuowanynppodstprawnarozplubpreambua"/>
      </w:pPr>
      <w:r w:rsidRPr="00BE2726">
        <w:t>Kolejnym środkiem służącym usprawnieniu postępowania w omawianych sprawach jest projektowany art. 560</w:t>
      </w:r>
      <w:r>
        <w:rPr>
          <w:rStyle w:val="IGindeksgrny"/>
        </w:rPr>
        <w:t>5</w:t>
      </w:r>
      <w:r>
        <w:t xml:space="preserve"> </w:t>
      </w:r>
      <w:r w:rsidRPr="00BE2726">
        <w:t>k.p.c., zgodnie z którym sąd I instancji orzeka w sprawie w terminie jednego miesiąca od dnia wniesienia wniosku. Aby możliwe było dochowanie tego terminu, projekt przewiduje udzielanie sądowi przez Policję lub Żandarmerię Wojskową wszelkiej niezbędnej pomocy, w szczególności w zakresie doręczenia kores</w:t>
      </w:r>
      <w:r>
        <w:t>pondencji.</w:t>
      </w:r>
      <w:r w:rsidRPr="00BE2726">
        <w:t xml:space="preserve"> W tym celu projekt w części ogólnej Kodeksu postępowania cywilnego rozszerza krąg podmiotów, które mogą doręczać korespondencję sądową</w:t>
      </w:r>
      <w:r w:rsidR="00782EC1">
        <w:t>,</w:t>
      </w:r>
      <w:r w:rsidRPr="00BE2726">
        <w:t xml:space="preserve"> o Policję i Żandarmerię Wojskową (projektowany art. 131 § 1</w:t>
      </w:r>
      <w:r w:rsidR="005B1AAB" w:rsidRPr="0077608D">
        <w:rPr>
          <w:rStyle w:val="IGindeksgrny"/>
        </w:rPr>
        <w:t>1</w:t>
      </w:r>
      <w:r w:rsidRPr="00BE2726">
        <w:t>)</w:t>
      </w:r>
      <w:r w:rsidR="00782EC1">
        <w:t>,</w:t>
      </w:r>
      <w:r w:rsidRPr="00BE2726">
        <w:t xml:space="preserve"> z jednoczesnym wskazaniem w projektowanym art. 560</w:t>
      </w:r>
      <w:r>
        <w:rPr>
          <w:rStyle w:val="IGindeksgrny"/>
        </w:rPr>
        <w:t>6</w:t>
      </w:r>
      <w:r>
        <w:t xml:space="preserve"> </w:t>
      </w:r>
      <w:r w:rsidRPr="00BE2726">
        <w:t>§ 1</w:t>
      </w:r>
      <w:r w:rsidR="00782EC1">
        <w:t>–</w:t>
      </w:r>
      <w:r>
        <w:t xml:space="preserve">5 </w:t>
      </w:r>
      <w:r w:rsidRPr="00BE2726">
        <w:t>k.p.c. zasad tego doręczania.</w:t>
      </w:r>
      <w:r w:rsidR="002E67B3">
        <w:t xml:space="preserve"> Mając na względzie, że możliwość doręczenia korespondencji przez Policję lub Żandarmerię Wojskową</w:t>
      </w:r>
      <w:r w:rsidR="00A77663">
        <w:t xml:space="preserve"> </w:t>
      </w:r>
      <w:r w:rsidR="002E67B3">
        <w:t>ma wyjątkowy charakter przez wprowadzenie jej wyłącznie w</w:t>
      </w:r>
      <w:r w:rsidR="00A376DF">
        <w:t> </w:t>
      </w:r>
      <w:r w:rsidR="002E67B3">
        <w:t>projektowanej regulacji</w:t>
      </w:r>
      <w:r w:rsidR="00782EC1">
        <w:t>,</w:t>
      </w:r>
      <w:r w:rsidR="002E67B3">
        <w:t xml:space="preserve"> uznano, że procedura z nią związana oparta zostanie na przepisach art. 131</w:t>
      </w:r>
      <w:r w:rsidR="002A748A">
        <w:t xml:space="preserve"> </w:t>
      </w:r>
      <w:r w:rsidR="002E67B3">
        <w:t xml:space="preserve">§ 2 k.p.c., bez konieczności określania jej w rozporządzeniu (projektowany </w:t>
      </w:r>
      <w:r w:rsidR="00C4754A">
        <w:t>art.</w:t>
      </w:r>
      <w:r w:rsidR="002E67B3">
        <w:t xml:space="preserve"> 560</w:t>
      </w:r>
      <w:r w:rsidR="002E67B3" w:rsidRPr="00DF0CEE">
        <w:rPr>
          <w:rStyle w:val="IGindeksgrny"/>
        </w:rPr>
        <w:t>6</w:t>
      </w:r>
      <w:r w:rsidR="002E67B3">
        <w:t xml:space="preserve"> § 2 k.p.c.).</w:t>
      </w:r>
      <w:r w:rsidR="00A77663">
        <w:t xml:space="preserve"> </w:t>
      </w:r>
    </w:p>
    <w:p w14:paraId="3178675F" w14:textId="4EF36C88" w:rsidR="005B1BF2" w:rsidRPr="00883C2E" w:rsidRDefault="005B1BF2" w:rsidP="005B1BF2">
      <w:pPr>
        <w:pStyle w:val="NIEARTTEKSTtekstnieartykuowanynppodstprawnarozplubpreambua"/>
      </w:pPr>
      <w:r>
        <w:t xml:space="preserve">Niezależnie od wskazania w projektowanym art. </w:t>
      </w:r>
      <w:r w:rsidRPr="00F67B98">
        <w:t>560</w:t>
      </w:r>
      <w:r>
        <w:rPr>
          <w:rStyle w:val="IGindeksgrny"/>
        </w:rPr>
        <w:t>7</w:t>
      </w:r>
      <w:r>
        <w:t xml:space="preserve"> §</w:t>
      </w:r>
      <w:r w:rsidR="00A77663">
        <w:t xml:space="preserve"> </w:t>
      </w:r>
      <w:r w:rsidR="005B1AAB">
        <w:t>1</w:t>
      </w:r>
      <w:r>
        <w:t xml:space="preserve"> k</w:t>
      </w:r>
      <w:r w:rsidRPr="00F67B98">
        <w:t>.</w:t>
      </w:r>
      <w:r>
        <w:t xml:space="preserve">p.c., że sąd w postanowieniu </w:t>
      </w:r>
      <w:r w:rsidRPr="003C02FA">
        <w:t>o zobowiązaniu osoby stosującej przemoc w rodzinie do opuszczenia wspólnie zajmowanego mieszkania i jego bezpośredniego otoczenia lub zakazaniu zbliżania się do mieszkania i jego bezpośredniego otoczenia wskazuje obszar lub odległość od wspólnie zajmowanego mieszkania, którą osoba stosująca przemoc w ro</w:t>
      </w:r>
      <w:r>
        <w:t xml:space="preserve">dzinie </w:t>
      </w:r>
      <w:r w:rsidR="005B1AAB">
        <w:t xml:space="preserve">jest </w:t>
      </w:r>
      <w:r>
        <w:t>obowiązana zachować, projekt przewiduje obowiązek sądu rozstrzygnięcia w przedmiocie zabezpieczenia, jeżeli było udzielone</w:t>
      </w:r>
      <w:r w:rsidR="005B1AAB">
        <w:t xml:space="preserve"> (projektowany art. 560</w:t>
      </w:r>
      <w:r w:rsidR="005B1AAB" w:rsidRPr="00504D5A">
        <w:rPr>
          <w:rStyle w:val="IGindeksgrny"/>
        </w:rPr>
        <w:t>8</w:t>
      </w:r>
      <w:r w:rsidR="005B1AAB">
        <w:t xml:space="preserve"> k.p.c.)</w:t>
      </w:r>
      <w:r w:rsidRPr="00F67B98">
        <w:t>.</w:t>
      </w:r>
      <w:r w:rsidR="00A77663">
        <w:t xml:space="preserve"> </w:t>
      </w:r>
      <w:r w:rsidR="00016BC1">
        <w:t>S</w:t>
      </w:r>
      <w:r>
        <w:t xml:space="preserve">ąd będzie mógł </w:t>
      </w:r>
      <w:r w:rsidRPr="00F67B98">
        <w:t>uchyli</w:t>
      </w:r>
      <w:r>
        <w:t>ć</w:t>
      </w:r>
      <w:r w:rsidRPr="00F67B98">
        <w:t xml:space="preserve"> uprzednio udzielone zabezpieczenie w</w:t>
      </w:r>
      <w:r>
        <w:t xml:space="preserve"> </w:t>
      </w:r>
      <w:r w:rsidRPr="00F67B98">
        <w:t>przypadku uwzględnienia wniosku, po to</w:t>
      </w:r>
      <w:r w:rsidR="00782EC1">
        <w:t>,</w:t>
      </w:r>
      <w:r w:rsidRPr="00F67B98">
        <w:t xml:space="preserve"> </w:t>
      </w:r>
      <w:r w:rsidR="00782EC1">
        <w:t>a</w:t>
      </w:r>
      <w:r w:rsidRPr="00F67B98">
        <w:t>by w obrocie nie</w:t>
      </w:r>
      <w:r>
        <w:t xml:space="preserve"> funkcjonowały dwa tytuły wykonawcze, co byłoby możliwe z uwagi na treść art. 757 k.p.c. Nie może bowiem uchodzić uwadze</w:t>
      </w:r>
      <w:r w:rsidRPr="00F67B98">
        <w:t>, że postanowienie uwzgl</w:t>
      </w:r>
      <w:r w:rsidR="00755D72">
        <w:t>ę</w:t>
      </w:r>
      <w:r w:rsidRPr="00F67B98">
        <w:t>dniające wniosek jest skuteczne i</w:t>
      </w:r>
      <w:r w:rsidR="00A376DF">
        <w:t> </w:t>
      </w:r>
      <w:r w:rsidRPr="00F67B98">
        <w:t>natychmiast wykonalne</w:t>
      </w:r>
      <w:r>
        <w:t xml:space="preserve">, zaś sąd może je zmienić lub uchylić w razie zmiany okoliczności, </w:t>
      </w:r>
      <w:r>
        <w:lastRenderedPageBreak/>
        <w:t>nawet gdy jest prawomocne. Rozwiązanie przyjęte w projektowanym art. 560</w:t>
      </w:r>
      <w:r>
        <w:rPr>
          <w:rStyle w:val="IGindeksgrny"/>
        </w:rPr>
        <w:t xml:space="preserve">7 </w:t>
      </w:r>
      <w:r>
        <w:t xml:space="preserve">§ </w:t>
      </w:r>
      <w:r w:rsidR="003F1414">
        <w:t>2</w:t>
      </w:r>
      <w:r>
        <w:t xml:space="preserve"> k.p.c. powiela zasadniczo regulację z art. 11 u.p.p.r.</w:t>
      </w:r>
      <w:r w:rsidR="00755D72">
        <w:t>,</w:t>
      </w:r>
      <w:r>
        <w:t xml:space="preserve"> mając również na względzie treść art. 523 i</w:t>
      </w:r>
      <w:r w:rsidR="00755D72">
        <w:t> </w:t>
      </w:r>
      <w:r>
        <w:t>art.</w:t>
      </w:r>
      <w:r w:rsidR="00755D72">
        <w:t> </w:t>
      </w:r>
      <w:r>
        <w:t>577 k.p.c. Z brzmienia tych przepisów nie wynika</w:t>
      </w:r>
      <w:r w:rsidR="00755D72">
        <w:t>,</w:t>
      </w:r>
      <w:r>
        <w:t xml:space="preserve"> w jaki sposób sąd weryfikuje zaistnienie zmienionych okoliczności, nie budzi jednak wątpliwości, że sąd podejmuje wówczas zwykłe czynności, jak w każdym innym postępowaniu, mające na celu ustalenie zaistnienia określonej zmiany. </w:t>
      </w:r>
      <w:r w:rsidRPr="00F67B98">
        <w:t>Sąd</w:t>
      </w:r>
      <w:r>
        <w:t xml:space="preserve"> </w:t>
      </w:r>
      <w:r w:rsidRPr="00F67B98">
        <w:t>będzie też</w:t>
      </w:r>
      <w:r>
        <w:t xml:space="preserve"> mógł uchylić zabezpieczenie w </w:t>
      </w:r>
      <w:r w:rsidR="003640E4">
        <w:t>prz</w:t>
      </w:r>
      <w:r>
        <w:t xml:space="preserve">ypadku oddalenia wniosku, co </w:t>
      </w:r>
      <w:r w:rsidRPr="00F67B98">
        <w:t>uwzględnia prawa uczestnika</w:t>
      </w:r>
      <w:r w:rsidR="00755D72">
        <w:t>,</w:t>
      </w:r>
      <w:r w:rsidRPr="00F67B98">
        <w:t xml:space="preserve"> </w:t>
      </w:r>
      <w:r>
        <w:t>umożliwiając mu korzystanie</w:t>
      </w:r>
      <w:r w:rsidRPr="00F67B98">
        <w:t xml:space="preserve"> z</w:t>
      </w:r>
      <w:r w:rsidR="00A376DF">
        <w:t> </w:t>
      </w:r>
      <w:r w:rsidRPr="00F67B98">
        <w:t>mieszkania w</w:t>
      </w:r>
      <w:r>
        <w:t xml:space="preserve"> </w:t>
      </w:r>
      <w:r w:rsidRPr="00F67B98">
        <w:t>najszybszym możliwym terminie.</w:t>
      </w:r>
    </w:p>
    <w:p w14:paraId="73227955" w14:textId="343F682F" w:rsidR="005B1BF2" w:rsidRDefault="005B1BF2" w:rsidP="005B1BF2">
      <w:pPr>
        <w:pStyle w:val="NIEARTTEKSTtekstnieartykuowanynppodstprawnarozplubpreambua"/>
      </w:pPr>
      <w:r w:rsidRPr="00BE2726">
        <w:t>Zgodnie z projektowanym art. 560</w:t>
      </w:r>
      <w:r w:rsidR="00F159C7">
        <w:rPr>
          <w:rStyle w:val="IGindeksgrny"/>
        </w:rPr>
        <w:t>9</w:t>
      </w:r>
      <w:r>
        <w:t xml:space="preserve"> </w:t>
      </w:r>
      <w:r w:rsidR="00F159C7">
        <w:t xml:space="preserve">§ </w:t>
      </w:r>
      <w:r>
        <w:t xml:space="preserve">1 </w:t>
      </w:r>
      <w:r w:rsidRPr="00BE2726">
        <w:t xml:space="preserve">k.p.c. </w:t>
      </w:r>
      <w:r>
        <w:t>sąd doręcza z urzędu</w:t>
      </w:r>
      <w:r w:rsidRPr="00BE2726">
        <w:t xml:space="preserve"> odpis postanowienia</w:t>
      </w:r>
      <w:r>
        <w:t xml:space="preserve"> </w:t>
      </w:r>
      <w:r w:rsidRPr="00BE2726">
        <w:t>uczestniko</w:t>
      </w:r>
      <w:r>
        <w:t>m postępowania</w:t>
      </w:r>
      <w:r w:rsidRPr="00BE2726">
        <w:t>, prokuratorowi</w:t>
      </w:r>
      <w:r>
        <w:t xml:space="preserve">, </w:t>
      </w:r>
      <w:r w:rsidRPr="00BE2726">
        <w:t>Policji lub Żandarmerii Wojskowej. Natomiast o</w:t>
      </w:r>
      <w:r w:rsidR="00A376DF">
        <w:t> </w:t>
      </w:r>
      <w:r w:rsidRPr="00BE2726">
        <w:t>rozstrzygnięciu sądu zostanie zawiadomiony właściwy miejscowo zespół interdyscyplinarny, o którym mowa w przepisach u.p.p.r., a gdy w mieszkaniu zamieszkują osoby małoletnie</w:t>
      </w:r>
      <w:r w:rsidR="00C81291">
        <w:t xml:space="preserve"> –</w:t>
      </w:r>
      <w:r w:rsidRPr="00BE2726">
        <w:t xml:space="preserve"> także właściwy miejscowo sąd opiekuńczy. </w:t>
      </w:r>
      <w:r>
        <w:t>W celu skrócenia okresu międzyinstancyjnego w</w:t>
      </w:r>
      <w:r w:rsidR="00A77663">
        <w:t xml:space="preserve"> </w:t>
      </w:r>
      <w:r w:rsidR="00CC19AE">
        <w:t xml:space="preserve">§ </w:t>
      </w:r>
      <w:r>
        <w:t>2 projekt zakłada, inaczej niż rozstrzygają to przepisy ogólne, że termin do złożenia wniosku o uzasadnienie będzie biegł od dnia ogłoszenia postanowienia, a</w:t>
      </w:r>
      <w:r w:rsidR="00A376DF">
        <w:t> </w:t>
      </w:r>
      <w:r>
        <w:t>nie od jego doręczenia.</w:t>
      </w:r>
    </w:p>
    <w:p w14:paraId="0C959935" w14:textId="4E365F22" w:rsidR="005B1BF2" w:rsidRPr="00BE2726" w:rsidRDefault="005B1BF2" w:rsidP="005B1BF2">
      <w:pPr>
        <w:pStyle w:val="NIEARTTEKSTtekstnieartykuowanynppodstprawnarozplubpreambua"/>
      </w:pPr>
      <w:r>
        <w:t>Dla zapobieżenia zwłoce</w:t>
      </w:r>
      <w:r w:rsidRPr="00BE2726">
        <w:t xml:space="preserve"> </w:t>
      </w:r>
      <w:r>
        <w:t>w postępowaniu</w:t>
      </w:r>
      <w:r w:rsidRPr="00BE2726">
        <w:t xml:space="preserve"> przed sądem </w:t>
      </w:r>
      <w:r>
        <w:t xml:space="preserve">wywołanej </w:t>
      </w:r>
      <w:r w:rsidRPr="00BE2726">
        <w:t>brakami formalnymi środka odwoławczego, w projektowanym art. 560</w:t>
      </w:r>
      <w:r w:rsidR="00B951CB">
        <w:rPr>
          <w:rStyle w:val="IGindeksgrny"/>
        </w:rPr>
        <w:t>10</w:t>
      </w:r>
      <w:r>
        <w:t xml:space="preserve"> k.p.c. przewidziano, że </w:t>
      </w:r>
      <w:r w:rsidRPr="00BE2726">
        <w:t xml:space="preserve">gdy do apelacji nie dołączono jej odpisów, sąd sporządza i doręcza </w:t>
      </w:r>
      <w:r>
        <w:t>odpis</w:t>
      </w:r>
      <w:r w:rsidRPr="00BE2726">
        <w:t xml:space="preserve"> apelacji. Natomiast usprawnieniu postępowania międzyinstancyjnego służyć ma projektowany art. 560</w:t>
      </w:r>
      <w:r w:rsidR="00B951CB">
        <w:rPr>
          <w:rStyle w:val="IGindeksgrny"/>
        </w:rPr>
        <w:t>11</w:t>
      </w:r>
      <w:r w:rsidRPr="00BE2726">
        <w:t xml:space="preserve"> k.p.c., wskazujący, że odpowiedź na apelację nale</w:t>
      </w:r>
      <w:r>
        <w:t>ży wnieść w terminie tygodnia</w:t>
      </w:r>
      <w:r w:rsidRPr="00BE2726">
        <w:t>. Mając na uwadze potrzebę szybkości w tych sprawach, projekt wskazuje termin</w:t>
      </w:r>
      <w:r w:rsidR="00C81291">
        <w:t>,</w:t>
      </w:r>
      <w:r w:rsidRPr="00BE2726">
        <w:t xml:space="preserve"> w jakim również sąd II instancji powinien rozstrzygnąć sprawę, </w:t>
      </w:r>
      <w:r>
        <w:t>jako</w:t>
      </w:r>
      <w:r w:rsidRPr="00BE2726">
        <w:t xml:space="preserve"> jeden miesiąc (art. 560</w:t>
      </w:r>
      <w:r>
        <w:rPr>
          <w:rStyle w:val="IGindeksgrny"/>
        </w:rPr>
        <w:t>1</w:t>
      </w:r>
      <w:r w:rsidR="00B951CB">
        <w:rPr>
          <w:rStyle w:val="IGindeksgrny"/>
        </w:rPr>
        <w:t>2</w:t>
      </w:r>
      <w:r w:rsidRPr="00BE2726">
        <w:t xml:space="preserve"> k.p.c.).</w:t>
      </w:r>
      <w:r>
        <w:t xml:space="preserve"> </w:t>
      </w:r>
    </w:p>
    <w:p w14:paraId="62234C4F" w14:textId="78C34546" w:rsidR="005B1BF2" w:rsidRPr="00BE2726" w:rsidRDefault="005B1BF2" w:rsidP="005B1BF2">
      <w:pPr>
        <w:pStyle w:val="NIEARTTEKSTtekstnieartykuowanynppodstprawnarozplubpreambua"/>
      </w:pPr>
      <w:r w:rsidRPr="00BE2726">
        <w:t xml:space="preserve">Wnioski w sprawach o zobowiązanie osoby stosującej przemoc w rodzinie do opuszczenia wspólnie zajmowanego mieszkania i jego bezpośredniego otoczenia lub zakazanie zbliżania się do mieszkania i jego bezpośredniego otoczenia niejednokrotnie będą składane w czasie obowiązywania wydanego przez Policję lub Żandarmerię Wojskową na okres </w:t>
      </w:r>
      <w:r w:rsidR="00C800BA">
        <w:t xml:space="preserve">czternastu dni </w:t>
      </w:r>
      <w:r w:rsidRPr="00BE2726">
        <w:t>nakazu lub zakazu. Wnioskodawca będzie wówczas zmuszony podejmować czynności szybko i sprawnie. Ułatwieniem dla niego ma być możliwość złożenia wniosku na urzędowym formularzu, zgodnie z projektowanym art. 560</w:t>
      </w:r>
      <w:r>
        <w:rPr>
          <w:rStyle w:val="IGindeksgrny"/>
        </w:rPr>
        <w:t>3</w:t>
      </w:r>
      <w:r w:rsidRPr="00BE2726">
        <w:t xml:space="preserve"> § 1 k.p.c. Należy podkreślić, że będzie to uprawnienie, a nie obowiązek, toteż samodzielne sporządzenie wniosku nie będzie wywoływać żadnych negatywnych skutków. </w:t>
      </w:r>
    </w:p>
    <w:p w14:paraId="7F336C87" w14:textId="7F8CAF88" w:rsidR="005B1BF2" w:rsidRPr="00BE2726" w:rsidRDefault="005B1BF2" w:rsidP="005B1BF2">
      <w:pPr>
        <w:pStyle w:val="NIEARTTEKSTtekstnieartykuowanynppodstprawnarozplubpreambua"/>
      </w:pPr>
      <w:r w:rsidRPr="00BE2726">
        <w:lastRenderedPageBreak/>
        <w:t>W ocenie projektodawcy dla wzmocnienia ochrony udzielanej przez Policję, Żandarmerię Wojskową lub sąd w przedmiocie nakazania opuszczenia wspólnie zajmowanego mieszkania przez osobę stosującą przemoc w rodzinie i jego bezpośredniego otoczenia lub zakazania zbliżania się do mieszkania i jego bezp</w:t>
      </w:r>
      <w:r>
        <w:t xml:space="preserve">ośredniego otoczenia </w:t>
      </w:r>
      <w:r w:rsidR="003640E4" w:rsidRPr="00BE2726">
        <w:t>jest</w:t>
      </w:r>
      <w:r w:rsidR="003640E4">
        <w:t xml:space="preserve"> </w:t>
      </w:r>
      <w:r>
        <w:t>konieczne</w:t>
      </w:r>
      <w:r w:rsidRPr="00BE2726">
        <w:t xml:space="preserve"> wprowadzenie przepisów o charakterze karno-administracyjnym, które będą penalizować niezastosowanie się do obowiązków ciążących z tego tytułu na osobie stosującej przemoc. Aktualnie nie istnieją przepisy, których dyspozycje obejmowałyby swoim zakresem zachowania polegające na działaniu wbrew tego rodzaju decyzjom. Dlatego proponuje się, aby czyn polegający na niezastosowaniu się do nakazu</w:t>
      </w:r>
      <w:r>
        <w:t>,</w:t>
      </w:r>
      <w:r w:rsidRPr="00BE2726">
        <w:t xml:space="preserve"> zakazu lub</w:t>
      </w:r>
      <w:r w:rsidR="00A77663">
        <w:t xml:space="preserve"> </w:t>
      </w:r>
      <w:r w:rsidR="00A60CB1">
        <w:t xml:space="preserve">postanowienia </w:t>
      </w:r>
      <w:r w:rsidRPr="00BE2726">
        <w:t>sądu w</w:t>
      </w:r>
      <w:r w:rsidR="00A376DF">
        <w:t> </w:t>
      </w:r>
      <w:r w:rsidRPr="00BE2726">
        <w:t>przedmiocie opuszczenia lokalu stanowił wykroczenie. Odzwierciedleniem tego jest projektowany art. 66b Kodeksu wykroczeń.</w:t>
      </w:r>
    </w:p>
    <w:p w14:paraId="72D78494" w14:textId="5336FA27" w:rsidR="005B1BF2" w:rsidRPr="00BE2726" w:rsidRDefault="005B1BF2" w:rsidP="005B1BF2">
      <w:pPr>
        <w:pStyle w:val="NIEARTTEKSTtekstnieartykuowanynppodstprawnarozplubpreambua"/>
      </w:pPr>
      <w:r w:rsidRPr="00BE2726">
        <w:t xml:space="preserve">Należy </w:t>
      </w:r>
      <w:r>
        <w:t>przewidywać</w:t>
      </w:r>
      <w:r w:rsidRPr="00BE2726">
        <w:t>, iż uregulowanie to, przewidując możliwość wymierzenia przez sąd kary aresztu do jednego miesiąca, kary ograniczenia wolności do jednego miesiąca bądź grzywny do 5000 złotych</w:t>
      </w:r>
      <w:r w:rsidR="00F25631">
        <w:t>,</w:t>
      </w:r>
      <w:r w:rsidRPr="00BE2726">
        <w:t xml:space="preserve"> spełni sw</w:t>
      </w:r>
      <w:r w:rsidR="00F25631">
        <w:t>oj</w:t>
      </w:r>
      <w:r w:rsidRPr="00BE2726">
        <w:t>e cele tak w zakresie prewencji ogólnej, jak i</w:t>
      </w:r>
      <w:r w:rsidR="00A376DF">
        <w:t> </w:t>
      </w:r>
      <w:r w:rsidRPr="00BE2726">
        <w:t>szczególnej.</w:t>
      </w:r>
      <w:r w:rsidRPr="00FE501E">
        <w:t xml:space="preserve"> Projektodawca wyszedł </w:t>
      </w:r>
      <w:r>
        <w:t xml:space="preserve">przy tym </w:t>
      </w:r>
      <w:r w:rsidRPr="00FE501E">
        <w:t xml:space="preserve">z założenia, iż reakcja </w:t>
      </w:r>
      <w:r>
        <w:t>na tego rodzaju wykroczenie powinna</w:t>
      </w:r>
      <w:r w:rsidRPr="00FE501E">
        <w:t xml:space="preserve"> by</w:t>
      </w:r>
      <w:r>
        <w:t>ć szybka, albowiem</w:t>
      </w:r>
      <w:r w:rsidRPr="00FE501E">
        <w:t xml:space="preserve"> perspektywa odległego w czasie wymierzenia kary może wywoływać u osób stosujących przemoc poczucie bezkarności, a co z a tym idzie prowadzić do niestosowania się do wydanego nakazu lub zakazu czy też orzeczenia sądu</w:t>
      </w:r>
      <w:r>
        <w:t>. Dlatego wykroczenie z art. 66</w:t>
      </w:r>
      <w:r w:rsidRPr="00FE501E">
        <w:t>b Kodeksu wykroczeń dodano do katalogu tych, które mogą być rozpoznawane przez sądy w trybie przyspieszonym.</w:t>
      </w:r>
    </w:p>
    <w:p w14:paraId="5106269D" w14:textId="34437B8B" w:rsidR="005B1BF2" w:rsidRPr="00BE2726" w:rsidRDefault="005B1BF2" w:rsidP="005B1BF2">
      <w:pPr>
        <w:pStyle w:val="NIEARTTEKSTtekstnieartykuowanynppodstprawnarozplubpreambua"/>
      </w:pPr>
      <w:r w:rsidRPr="00BE2726">
        <w:t>Jak już podkreślano, dla stworzenia skutecznego i sprawnie działającego systemu osób dotkniętych przemocą w rodzinie</w:t>
      </w:r>
      <w:r w:rsidR="00572AE2" w:rsidRPr="00572AE2">
        <w:t xml:space="preserve"> </w:t>
      </w:r>
      <w:r w:rsidR="00572AE2" w:rsidRPr="00BE2726">
        <w:t>jest</w:t>
      </w:r>
      <w:r w:rsidRPr="00BE2726">
        <w:t xml:space="preserve"> nieodzown</w:t>
      </w:r>
      <w:r w:rsidR="00572AE2">
        <w:t>e</w:t>
      </w:r>
      <w:r w:rsidRPr="00BE2726">
        <w:t xml:space="preserve"> przyznanie określonych uprawnień Policji. Zwykle bowiem to funkcjonariusze Policji lub Żandarmerii Wojskowej jako pierwsi są informowani o wystąpieniu sytuacji przemocy w rodzinie, a co za tym idzie konieczności przeprowadzenia interwencji. Aby mogli efektywnie chronić ofiarę przemocy</w:t>
      </w:r>
      <w:r>
        <w:t>,</w:t>
      </w:r>
      <w:r w:rsidRPr="00BE2726">
        <w:t xml:space="preserve"> należy im przyznać uprawnienia do podjęcia działań umożliwiających natychmiastowe usunięcie osoby stosującej przemoc z domu i odizolowanie </w:t>
      </w:r>
      <w:r w:rsidR="00BC1C88">
        <w:t xml:space="preserve">jej </w:t>
      </w:r>
      <w:r w:rsidRPr="00BE2726">
        <w:t>od dotkniętych tą przemocą.</w:t>
      </w:r>
    </w:p>
    <w:p w14:paraId="740430D2" w14:textId="6624547E" w:rsidR="005B1BF2" w:rsidRPr="00BE2726" w:rsidRDefault="00B817DD" w:rsidP="005B1BF2">
      <w:pPr>
        <w:pStyle w:val="NIEARTTEKSTtekstnieartykuowanynppodstprawnarozplubpreambua"/>
      </w:pPr>
      <w:r>
        <w:t xml:space="preserve">W celu kompleksowego uregulowania zagadnienia dotyczącego </w:t>
      </w:r>
      <w:r w:rsidR="008D4418">
        <w:t>przemocy w rodzinie dokonano m</w:t>
      </w:r>
      <w:r w:rsidR="00062673">
        <w:t xml:space="preserve">odyfikacji </w:t>
      </w:r>
      <w:r w:rsidR="00C4754A">
        <w:t>art.</w:t>
      </w:r>
      <w:r w:rsidR="00062673">
        <w:t xml:space="preserve"> 15</w:t>
      </w:r>
      <w:r w:rsidR="008D4418">
        <w:t>a</w:t>
      </w:r>
      <w:r w:rsidR="00A77663">
        <w:t xml:space="preserve"> </w:t>
      </w:r>
      <w:r w:rsidR="008D4418">
        <w:t>ustawy o Policji normującego tryb zatrzymania przez policjanta</w:t>
      </w:r>
      <w:r w:rsidR="00A77663">
        <w:t xml:space="preserve"> </w:t>
      </w:r>
      <w:r w:rsidR="008D4418">
        <w:t>osoby, która swoim zachowaniem</w:t>
      </w:r>
      <w:r w:rsidR="00A77663">
        <w:t xml:space="preserve"> </w:t>
      </w:r>
      <w:r w:rsidR="008D4418">
        <w:t>polegającym</w:t>
      </w:r>
      <w:r w:rsidR="00A77663">
        <w:t xml:space="preserve"> </w:t>
      </w:r>
      <w:r w:rsidR="008D4418">
        <w:t>na stosowaniu przemocy w</w:t>
      </w:r>
      <w:r w:rsidR="00A376DF">
        <w:t> </w:t>
      </w:r>
      <w:r w:rsidR="008D4418">
        <w:t>rodzinie stwarza bezpośrednie zagrożenie dla życia lub zdrowia ludzkiego. Nowelizacja w</w:t>
      </w:r>
      <w:r w:rsidR="00A376DF">
        <w:t> </w:t>
      </w:r>
      <w:r w:rsidR="008D4418">
        <w:t>ust. 2 wprowadza</w:t>
      </w:r>
      <w:r w:rsidR="009960F3">
        <w:t xml:space="preserve"> ocenę</w:t>
      </w:r>
      <w:r w:rsidR="008D4418">
        <w:t xml:space="preserve">, odrębnie dla osoby dorosłej i dziecka, ryzyka bezpośredniego </w:t>
      </w:r>
      <w:r w:rsidR="008D4418">
        <w:lastRenderedPageBreak/>
        <w:t>zagrożenia dla życia i zdrowia ludzkiego, której powinien dokonać policjant, aby stwierdzić zasadność zatrzymania. Dla zapewnienia spójności tego rozwiązania p</w:t>
      </w:r>
      <w:r w:rsidR="005B1BF2" w:rsidRPr="00BE2726">
        <w:t xml:space="preserve">rojektowane w ustawie przepisy ustawy o Policji oraz </w:t>
      </w:r>
      <w:r w:rsidR="00CE2029">
        <w:t xml:space="preserve">przepisy </w:t>
      </w:r>
      <w:r w:rsidR="005B1BF2" w:rsidRPr="00BE2726">
        <w:t>ustaw</w:t>
      </w:r>
      <w:r w:rsidR="00CE2029">
        <w:t>y</w:t>
      </w:r>
      <w:r w:rsidR="005B1BF2" w:rsidRPr="00BE2726">
        <w:t xml:space="preserve"> o Żandarmerii Wojskowej i wojskowych organach porządkowych wprowadzają nowy instrument reakcji państwa na zjawisko przemocy w rodzinie, jakim jest nakaz natychmiastowego opuszczenia wspólnie zajmowanego mieszkania i jego bezpośredniego otoczenia lub zakaz zbliżania się do mieszkania i jego bezpośredniego otoczenia, który może wydać</w:t>
      </w:r>
      <w:r w:rsidR="00A77663">
        <w:t xml:space="preserve"> </w:t>
      </w:r>
      <w:r w:rsidR="00BE3CC0">
        <w:t xml:space="preserve">policjant </w:t>
      </w:r>
      <w:r w:rsidR="005B1BF2" w:rsidRPr="00BE2726">
        <w:t>lub żołnierz Żandarmerii Wojskowej w zakresie je</w:t>
      </w:r>
      <w:r w:rsidR="00A06EFE">
        <w:t>go</w:t>
      </w:r>
      <w:r w:rsidR="005B1BF2" w:rsidRPr="00BE2726">
        <w:t xml:space="preserve"> właściwości, w stosunku do osoby stwarzającej swoim zachowaniem, polegającym na stosowaniu przemocy, zagrożenie dla życia lub zdrowia innych osób (projektowane odpowiednio art. 15aa ust. 1 ustawy o Policji oraz art.</w:t>
      </w:r>
      <w:r w:rsidR="00A06EFE">
        <w:t> </w:t>
      </w:r>
      <w:r w:rsidR="005B1BF2" w:rsidRPr="00BE2726">
        <w:t xml:space="preserve">18a ust. 1 ustawy o Żandarmerii Wojskowej i wojskowych organach porządkowych). </w:t>
      </w:r>
      <w:r w:rsidR="00BE3CC0">
        <w:t>Co ważne, aby stwierdzić zasadność</w:t>
      </w:r>
      <w:r w:rsidR="00A77663">
        <w:t xml:space="preserve"> </w:t>
      </w:r>
      <w:r w:rsidR="00BE3CC0">
        <w:t>wydania nakazu lub zakazu</w:t>
      </w:r>
      <w:r w:rsidR="00A06EFE">
        <w:t>,</w:t>
      </w:r>
      <w:r w:rsidR="00BE3CC0">
        <w:t xml:space="preserve"> policjant również </w:t>
      </w:r>
      <w:r w:rsidR="00BC1C88">
        <w:t xml:space="preserve">będzie </w:t>
      </w:r>
      <w:r w:rsidR="00BE3CC0">
        <w:t>dokonywać oceny szacowania ryzyka zagrożenia życia lub zdrowia ludzkiego</w:t>
      </w:r>
      <w:r w:rsidR="00A06EFE">
        <w:t>,</w:t>
      </w:r>
      <w:r w:rsidR="00BE3CC0">
        <w:t xml:space="preserve"> opierając się na wytycznych określonych w projektowanym przepisie art. 15a ustawy o Policji, co w obu przypadkach ma wpłynąć na usprawnienie podejmowanych decyzji. </w:t>
      </w:r>
      <w:r w:rsidR="005B1BF2" w:rsidRPr="00BE2726">
        <w:t xml:space="preserve">Rzeczony nakaz lub zakaz </w:t>
      </w:r>
      <w:r w:rsidR="00BC1C88" w:rsidRPr="00BE2726">
        <w:t xml:space="preserve">będzie </w:t>
      </w:r>
      <w:r w:rsidR="005B1BF2" w:rsidRPr="00BE2726">
        <w:t>wydawany podczas wykonywania czynności we wspólnie zajmowanym mieszkaniu</w:t>
      </w:r>
      <w:r w:rsidR="005B1BF2">
        <w:t xml:space="preserve"> </w:t>
      </w:r>
      <w:r w:rsidR="005B1BF2" w:rsidRPr="00BE2726">
        <w:t>lub jego bezpośrednim otoczeniu w związku z podjętą interwencją albo w</w:t>
      </w:r>
      <w:r w:rsidR="00A376DF">
        <w:t> </w:t>
      </w:r>
      <w:r w:rsidR="005B1BF2" w:rsidRPr="00BE2726">
        <w:t>związku z powzięciem informacji o stosowaniu przemocy w rodzinie, w szczególności zgłoszenia przez kuratora sądowego lub pracownika jednostki organizacyjnej pomocy społecznej</w:t>
      </w:r>
      <w:r w:rsidR="00A06EFE">
        <w:t>,</w:t>
      </w:r>
      <w:r w:rsidR="005B1BF2" w:rsidRPr="00BE2726">
        <w:t xml:space="preserve"> w związku z wykonywaniem ustawowych obowiązków</w:t>
      </w:r>
      <w:r w:rsidR="00A06EFE">
        <w:t>,</w:t>
      </w:r>
      <w:r w:rsidR="005B1BF2" w:rsidRPr="00BE2726">
        <w:t xml:space="preserve"> lub przez osobę dotkniętą przemocą w rodzinie. </w:t>
      </w:r>
      <w:r w:rsidR="00BE43F9">
        <w:t>W przypadku zatrzymania osoby stosującej przemoc w rodzinie, nakaz lub zakaz mogą być wydane bezpośrednio po jej zwolnieniu</w:t>
      </w:r>
      <w:r w:rsidR="00A06EFE">
        <w:t>,</w:t>
      </w:r>
      <w:r w:rsidR="00BE43F9">
        <w:t xml:space="preserve"> co oznacza, że obie instytucje są stosowane rozłącznie.</w:t>
      </w:r>
      <w:r w:rsidR="00A77663">
        <w:t xml:space="preserve"> </w:t>
      </w:r>
      <w:r w:rsidR="00BE43F9">
        <w:t xml:space="preserve">Warto podkreślić, </w:t>
      </w:r>
      <w:r w:rsidR="00DD3104">
        <w:t>ż</w:t>
      </w:r>
      <w:r w:rsidR="00BE43F9">
        <w:t>e b</w:t>
      </w:r>
      <w:r w:rsidR="005B1BF2" w:rsidRPr="00BE2726">
        <w:t>rak takiego przepisu mógłby skutkować wystąpieniem stanu zagrożenia dla osób wspólnie zamieszkujących.</w:t>
      </w:r>
    </w:p>
    <w:p w14:paraId="5FD1D5AF" w14:textId="3A41E914" w:rsidR="005B1BF2" w:rsidRDefault="005B1BF2" w:rsidP="005B1BF2">
      <w:pPr>
        <w:pStyle w:val="NIEARTTEKSTtekstnieartykuowanynppodstprawnarozplubpreambua"/>
      </w:pPr>
      <w:r w:rsidRPr="00BE2726">
        <w:t>Kolejne projektowane przepisy (odpowiednio art. 15aa ust. 2</w:t>
      </w:r>
      <w:r w:rsidR="00D2763B">
        <w:t xml:space="preserve"> </w:t>
      </w:r>
      <w:r w:rsidR="00A06EFE">
        <w:t>–</w:t>
      </w:r>
      <w:r w:rsidR="00D2763B">
        <w:t xml:space="preserve"> </w:t>
      </w:r>
      <w:r>
        <w:t xml:space="preserve">art. </w:t>
      </w:r>
      <w:r w:rsidRPr="00BE2726">
        <w:t>15ak ustawy o</w:t>
      </w:r>
      <w:r w:rsidR="00A376DF">
        <w:t> </w:t>
      </w:r>
      <w:r>
        <w:t>Policji oraz art. 18a ust. 2</w:t>
      </w:r>
      <w:r w:rsidR="00D2763B">
        <w:t xml:space="preserve"> </w:t>
      </w:r>
      <w:r w:rsidR="00A06EFE">
        <w:t>–</w:t>
      </w:r>
      <w:r w:rsidR="00D2763B">
        <w:t xml:space="preserve"> </w:t>
      </w:r>
      <w:r>
        <w:t xml:space="preserve">art. </w:t>
      </w:r>
      <w:r w:rsidRPr="00BE2726">
        <w:t>18k ustawy o Żandarmerii Wojskowej i wojskowych organach porządkowych</w:t>
      </w:r>
      <w:r>
        <w:t>)</w:t>
      </w:r>
      <w:r w:rsidRPr="00BE2726">
        <w:t xml:space="preserve"> regulują szczegółowo postępowanie </w:t>
      </w:r>
      <w:r w:rsidR="00D2763B">
        <w:t xml:space="preserve">policjantów </w:t>
      </w:r>
      <w:r w:rsidRPr="00BE2726">
        <w:t>i żołnierzy Żandarmerii Wojskowej podejmowane w takich przypadkach. Rozwiązania te zapewniają</w:t>
      </w:r>
      <w:r w:rsidRPr="00D432AE">
        <w:t xml:space="preserve"> </w:t>
      </w:r>
      <w:r w:rsidRPr="00BE2726">
        <w:t>z</w:t>
      </w:r>
      <w:r w:rsidR="00A376DF">
        <w:t> </w:t>
      </w:r>
      <w:r w:rsidRPr="00BE2726">
        <w:t xml:space="preserve">jednej strony, aby postępowanie to przebiegało sprawnie, zaś z drugiej, </w:t>
      </w:r>
      <w:r w:rsidR="00A06EFE">
        <w:t>a</w:t>
      </w:r>
      <w:r w:rsidRPr="00BE2726">
        <w:t xml:space="preserve">by zachowane zostały prawa nie tylko osoby dotkniętej przemocą, ale także </w:t>
      </w:r>
      <w:r>
        <w:t>osoby wskazywanej jako stosując</w:t>
      </w:r>
      <w:r w:rsidR="002F7544">
        <w:t>ej</w:t>
      </w:r>
      <w:r w:rsidRPr="00BE2726">
        <w:t xml:space="preserve"> przemoc. Zapewnieniu ochrony praw osoby stosującej przemoc służy uprawnienie do zabrania ze wspólnie zajmowanego</w:t>
      </w:r>
      <w:r>
        <w:t xml:space="preserve"> </w:t>
      </w:r>
      <w:r w:rsidRPr="00BE2726">
        <w:t>mieszkania</w:t>
      </w:r>
      <w:r>
        <w:t xml:space="preserve"> zwierząt domowych, </w:t>
      </w:r>
      <w:r w:rsidRPr="00BE2726">
        <w:t>przedmiotów osobistego użytku</w:t>
      </w:r>
      <w:r>
        <w:t xml:space="preserve"> </w:t>
      </w:r>
      <w:r w:rsidRPr="00BE2726">
        <w:t>i</w:t>
      </w:r>
      <w:r>
        <w:t xml:space="preserve"> </w:t>
      </w:r>
      <w:r w:rsidRPr="00BE2726">
        <w:t xml:space="preserve">służących do świadczenia pracy, domagania się wpisania w protokole </w:t>
      </w:r>
      <w:r w:rsidRPr="00BE2726">
        <w:lastRenderedPageBreak/>
        <w:t>czynności tego postępowania pozostawionego mienia czy też zobowiąz</w:t>
      </w:r>
      <w:r w:rsidR="00B55DEC">
        <w:t>anie</w:t>
      </w:r>
      <w:r w:rsidR="00A77663">
        <w:t xml:space="preserve"> </w:t>
      </w:r>
      <w:r w:rsidR="00851249">
        <w:t xml:space="preserve">policjanta </w:t>
      </w:r>
      <w:r w:rsidRPr="00BE2726">
        <w:t>lub żołnierza Żandarmerii Wojskowej do informowania tej osoby o możliwości uzyskania wsparcia, także w placówkach dysponujący</w:t>
      </w:r>
      <w:r w:rsidR="00851249">
        <w:t>ch</w:t>
      </w:r>
      <w:r w:rsidRPr="00BE2726">
        <w:t xml:space="preserve"> miejscami noclegowymi</w:t>
      </w:r>
      <w:r>
        <w:t>, które to informacje na bieżąco będą przekazywane z użyciem środków komunikacji elektronicznej przez podmioty wyspecjalizowane do udzielania takiego rodzaju pomocy</w:t>
      </w:r>
      <w:r w:rsidRPr="00BE2726">
        <w:t xml:space="preserve">. </w:t>
      </w:r>
      <w:r>
        <w:t>Wprowadzono również unormowanie</w:t>
      </w:r>
      <w:r w:rsidR="00B55DEC">
        <w:t>,</w:t>
      </w:r>
      <w:r>
        <w:t xml:space="preserve"> zgodnie z którym, jeżeli w związku z wydaniem nakazu lub zakazu zajdzie potrzeba zabezpieczenia zwierząt stanowiących mienie osoby, wobec której wydano nakaz lub zakaz, stosuje się odpowiednio art. 7 ustawy z dnia 21 sierpnia 1997 r. o ochronie zwierząt (</w:t>
      </w:r>
      <w:r w:rsidR="00C4754A">
        <w:t>Dz.</w:t>
      </w:r>
      <w:r w:rsidR="008542AB">
        <w:t xml:space="preserve"> </w:t>
      </w:r>
      <w:r w:rsidR="00C4754A">
        <w:t>U.</w:t>
      </w:r>
      <w:r>
        <w:t xml:space="preserve"> z 2019 r. poz. 122 i 1123), co oznacza, że</w:t>
      </w:r>
      <w:r w:rsidR="00A77663">
        <w:t xml:space="preserve"> </w:t>
      </w:r>
      <w:r w:rsidR="00851249">
        <w:t xml:space="preserve">policjant </w:t>
      </w:r>
      <w:r>
        <w:t xml:space="preserve">będzie zobligowany do poinformowania o zaistniałej sytuacji odpowiednio wójta, burmistrza lub prezydenta miasta. </w:t>
      </w:r>
    </w:p>
    <w:p w14:paraId="0FFF7BE9" w14:textId="77777777" w:rsidR="005B1BF2" w:rsidRPr="00BE2726" w:rsidRDefault="005B1BF2" w:rsidP="005B1BF2">
      <w:pPr>
        <w:pStyle w:val="NIEARTTEKSTtekstnieartykuowanynppodstprawnarozplubpreambua"/>
      </w:pPr>
      <w:r w:rsidRPr="00BE2726">
        <w:t xml:space="preserve">Oprócz tego wprowadza się przepisy dotyczące zebrania </w:t>
      </w:r>
      <w:r w:rsidRPr="00734DCF">
        <w:t xml:space="preserve">przez Policję lub Żandarmerię Wojskową </w:t>
      </w:r>
      <w:r w:rsidRPr="00BE2726">
        <w:t xml:space="preserve">dowodów potwierdzających zaistnienie przemocy, </w:t>
      </w:r>
      <w:r>
        <w:t xml:space="preserve">w tym przesłuchania świadków, zwłaszcza osób dotkniętych przemocą, </w:t>
      </w:r>
      <w:r w:rsidRPr="00BE2726">
        <w:t xml:space="preserve">sposobu złożenia zażalenia i zasad jego rozpoznawania, zasad doręczania korespondencji, danych, które powinien zawierać wydany nakaz lub zakaz, treść protokołu z czynności opuszczenia wspólnie zajmowanego mieszkania, pouczeń, jakich należy udzielić osobie dotkniętej przemocą oraz osobie stosującej przemoc. </w:t>
      </w:r>
    </w:p>
    <w:p w14:paraId="57414B3F" w14:textId="16900B35" w:rsidR="005B1BF2" w:rsidRPr="00BE2726" w:rsidRDefault="00DD3104" w:rsidP="005B1BF2">
      <w:pPr>
        <w:pStyle w:val="NIEARTTEKSTtekstnieartykuowanynppodstprawnarozplubpreambua"/>
      </w:pPr>
      <w:r>
        <w:t>W c</w:t>
      </w:r>
      <w:r w:rsidR="005B1BF2" w:rsidRPr="00BE2726">
        <w:t>el</w:t>
      </w:r>
      <w:r w:rsidR="00014FF6">
        <w:t>u</w:t>
      </w:r>
      <w:r w:rsidR="005B1BF2" w:rsidRPr="00BE2726">
        <w:t xml:space="preserve"> ustalenia okoliczności wskazanych w zgłoszeniu o stosowaniu przemocy wprowadzono możliwość przesłuchania przez sąd </w:t>
      </w:r>
      <w:r w:rsidR="005B1BF2">
        <w:t>(</w:t>
      </w:r>
      <w:r w:rsidR="005B1BF2" w:rsidRPr="00BE2726">
        <w:t>właściwy z uwagi na miejsce pobytu małoletniego</w:t>
      </w:r>
      <w:r w:rsidR="005B1BF2">
        <w:t>)</w:t>
      </w:r>
      <w:r w:rsidR="005B1BF2" w:rsidRPr="00BE2726">
        <w:t xml:space="preserve"> osób małoletnich, które w chwili przesłuchania nie ukończyły 15 lat, jednakże jedynie w przypadku, gdy ich zeznania mogą mieć istotne znaczenie dla sprawy, w</w:t>
      </w:r>
      <w:r w:rsidR="00A376DF">
        <w:t> </w:t>
      </w:r>
      <w:r w:rsidR="005B1BF2" w:rsidRPr="00BE2726">
        <w:t>szczególności gdy są jedynymi świadkami zdarzenia. Mając świadomość traumatycznych przeżyć małoletniego świadka przemocy, w celu maksymalnego zniwelowania dodatkowych przykrych doświadczeń, dokonanie jego przesłuchania obwarowano szeregiem warunków, takich jak</w:t>
      </w:r>
      <w:r w:rsidR="00014FF6">
        <w:t>:</w:t>
      </w:r>
      <w:r w:rsidR="005B1BF2" w:rsidRPr="00BE2726">
        <w:t xml:space="preserve"> zapewnienie odpowiednich pomieszczeń, obecność biegłego psychologa i</w:t>
      </w:r>
      <w:r w:rsidR="00A376DF">
        <w:t> </w:t>
      </w:r>
      <w:r w:rsidR="005B1BF2" w:rsidRPr="00BE2726">
        <w:t>prokuratora czy też osoby pełnoletniej wskazanej przez małoletniego. W przesłuchaniu nie bierze udziału osoba stosująca przemoc w rodzinie.</w:t>
      </w:r>
      <w:r w:rsidR="005B1BF2">
        <w:t xml:space="preserve"> Z uwagi</w:t>
      </w:r>
      <w:r w:rsidR="005B1BF2" w:rsidRPr="00BE2726">
        <w:t xml:space="preserve"> na jednorazowość</w:t>
      </w:r>
      <w:r w:rsidR="005B1BF2">
        <w:t xml:space="preserve"> tej</w:t>
      </w:r>
      <w:r w:rsidR="005B1BF2" w:rsidRPr="00BE2726">
        <w:t xml:space="preserve"> czynności</w:t>
      </w:r>
      <w:r w:rsidR="005B1BF2">
        <w:t xml:space="preserve">, </w:t>
      </w:r>
      <w:r w:rsidR="005B1BF2" w:rsidRPr="00BE2726">
        <w:t>z czynności przesłuchania osoby małoletniej sporządza się protokół i nagranie obrazu i</w:t>
      </w:r>
      <w:r w:rsidR="00A376DF">
        <w:t> </w:t>
      </w:r>
      <w:r w:rsidR="005B1BF2" w:rsidRPr="00BE2726">
        <w:t>dźwięku</w:t>
      </w:r>
      <w:r w:rsidR="005B1BF2">
        <w:t xml:space="preserve">. </w:t>
      </w:r>
      <w:r w:rsidR="005B1BF2" w:rsidRPr="005E73FD">
        <w:t>Tym niemniej, jeżeli małoletni został już przesłuchany na okoliczność stosowania przemocy w rodzinie w innej sprawie, sąd po zapoznaniu się z tymi zeznaniami ocenia</w:t>
      </w:r>
      <w:r w:rsidR="00014FF6">
        <w:t>,</w:t>
      </w:r>
      <w:r w:rsidR="005B1BF2" w:rsidRPr="005E73FD">
        <w:t xml:space="preserve"> czy zachodzi potrzeba przesłuchania małoletniego w związku z treścią wniosku Policji</w:t>
      </w:r>
      <w:r w:rsidR="005B1BF2">
        <w:t xml:space="preserve"> lub Żandarmerii Wojskowej</w:t>
      </w:r>
      <w:r w:rsidR="005B1BF2" w:rsidRPr="005E73FD">
        <w:t>. Je</w:t>
      </w:r>
      <w:r w:rsidR="005B1BF2">
        <w:t>że</w:t>
      </w:r>
      <w:r w:rsidR="005B1BF2" w:rsidRPr="005E73FD">
        <w:t>li po analizie tych zeznań dojdzie do przekonania, ż</w:t>
      </w:r>
      <w:r w:rsidR="005B1BF2">
        <w:t>e</w:t>
      </w:r>
      <w:r w:rsidR="005B1BF2" w:rsidRPr="005E73FD">
        <w:t xml:space="preserve"> okoliczności w nich wskazane są wystarczającym dla Policji </w:t>
      </w:r>
      <w:r w:rsidR="005B1BF2">
        <w:t xml:space="preserve">lub Żandarmerii Wojskowej </w:t>
      </w:r>
      <w:r w:rsidR="005B1BF2" w:rsidRPr="005E73FD">
        <w:lastRenderedPageBreak/>
        <w:t>materiałem dowodowym do podjęcia decyzji</w:t>
      </w:r>
      <w:r w:rsidR="005B1BF2">
        <w:t xml:space="preserve"> o wydaniu nakazu lub zakazu</w:t>
      </w:r>
      <w:r w:rsidR="005B1BF2" w:rsidRPr="005E73FD">
        <w:t xml:space="preserve">, może odstąpić od przesłuchania. W takim jednak </w:t>
      </w:r>
      <w:r>
        <w:t>prz</w:t>
      </w:r>
      <w:r w:rsidR="005B1BF2" w:rsidRPr="005E73FD">
        <w:t xml:space="preserve">ypadku sąd przekazuje Policji lub Żandarmerii Wojskowej protokoły </w:t>
      </w:r>
      <w:r w:rsidR="005B1BF2">
        <w:t xml:space="preserve">dotychczasowych </w:t>
      </w:r>
      <w:r w:rsidR="005B1BF2" w:rsidRPr="005E73FD">
        <w:t>przesłuchań małoletniego.</w:t>
      </w:r>
    </w:p>
    <w:p w14:paraId="7EF0932A" w14:textId="67DE3D0D" w:rsidR="005B1BF2" w:rsidRDefault="005B1BF2" w:rsidP="005B1BF2">
      <w:pPr>
        <w:pStyle w:val="NIEARTTEKSTtekstnieartykuowanynppodstprawnarozplubpreambua"/>
      </w:pPr>
      <w:r w:rsidRPr="00BE2726">
        <w:t>Ponadto, kiedy dostępny materiał dowodowy będzie niewystarczający do ustalenia, czy wystąpiły okoliczności stanowiące podstawę do wydania nakazu natychmiastowego opuszczenia wspólnie zajmowanego mieszkania i jego bezpośredniego otoczenia lub zakazu zbliżania się do mieszkania i jego bezpośredniego otoczenia</w:t>
      </w:r>
      <w:r w:rsidR="00014FF6">
        <w:t>,</w:t>
      </w:r>
      <w:r w:rsidRPr="00BE2726">
        <w:t xml:space="preserve"> stworzono</w:t>
      </w:r>
      <w:r w:rsidR="00A77663">
        <w:t xml:space="preserve"> </w:t>
      </w:r>
      <w:r w:rsidR="00AE1E78">
        <w:t xml:space="preserve">policjantom </w:t>
      </w:r>
      <w:r w:rsidRPr="00BE2726">
        <w:t>i</w:t>
      </w:r>
      <w:r w:rsidR="00A376DF">
        <w:t> </w:t>
      </w:r>
      <w:r w:rsidRPr="00BE2726">
        <w:t>żołnierzom Żandarmerii Wojskowej możliwość</w:t>
      </w:r>
      <w:r w:rsidRPr="00D24D91">
        <w:t xml:space="preserve"> zażądania dodatkowych informacji od innych instytucji lub organów</w:t>
      </w:r>
      <w:r>
        <w:t xml:space="preserve"> oraz</w:t>
      </w:r>
      <w:r w:rsidRPr="00BE2726">
        <w:t xml:space="preserve"> </w:t>
      </w:r>
      <w:r>
        <w:t>dokonywania innych czynności</w:t>
      </w:r>
      <w:r w:rsidRPr="00BE2726">
        <w:t>.</w:t>
      </w:r>
      <w:r>
        <w:t xml:space="preserve"> Inną</w:t>
      </w:r>
      <w:r w:rsidRPr="00D24D91">
        <w:t xml:space="preserve"> czynnością będzie</w:t>
      </w:r>
      <w:r>
        <w:t>,</w:t>
      </w:r>
      <w:r w:rsidRPr="00D24D91">
        <w:t xml:space="preserve"> między innymi</w:t>
      </w:r>
      <w:r>
        <w:t>,</w:t>
      </w:r>
      <w:r w:rsidRPr="00D24D91">
        <w:t xml:space="preserve"> wysłuchanie osoby wskazywanej jako ta, która stosuje przemoc.</w:t>
      </w:r>
      <w:r>
        <w:t xml:space="preserve"> Należało wyłączyć możliwość przesłuchania takiej osoby w charakterze świadka, gdyż mogłoby to obligować ją </w:t>
      </w:r>
      <w:r w:rsidRPr="00D24D91">
        <w:t xml:space="preserve">do przekazywania informacji na swoją niekorzyść pod </w:t>
      </w:r>
      <w:r>
        <w:t xml:space="preserve">groźbą </w:t>
      </w:r>
      <w:r w:rsidRPr="00D24D91">
        <w:t>odpowiedzialności karnej</w:t>
      </w:r>
      <w:r>
        <w:t>, co należy uznać za niedopuszczalne</w:t>
      </w:r>
      <w:r w:rsidRPr="00D24D91">
        <w:t>. Wysłuchanie, o ile oczywiście będzie możliwe (np. osoba ta będzie w mieszkaniu, będzie trzeźwa, nie będzie pod wpływem środków odurzających, nie odmówi udziału w wysłuchaniu)</w:t>
      </w:r>
      <w:r>
        <w:t xml:space="preserve">, </w:t>
      </w:r>
      <w:r w:rsidRPr="00D24D91">
        <w:t>pozwoli osobie mającej stosować przemoc na wypowiedzenie się,</w:t>
      </w:r>
      <w:r>
        <w:t xml:space="preserve"> w tym </w:t>
      </w:r>
      <w:r w:rsidRPr="00D24D91">
        <w:t>wskazanie dowod</w:t>
      </w:r>
      <w:r>
        <w:t>ów przemawiających na jej korzyść</w:t>
      </w:r>
      <w:r w:rsidRPr="00D24D91">
        <w:t xml:space="preserve">. Regulacja ta </w:t>
      </w:r>
      <w:r>
        <w:t xml:space="preserve">gwarantuje równość praw uczestników postępowania w zakresie </w:t>
      </w:r>
      <w:r w:rsidRPr="00D24D91">
        <w:t>czynności podejmowanych przez Policję lub Żandarmerię Wojskową.</w:t>
      </w:r>
      <w:r>
        <w:t xml:space="preserve"> </w:t>
      </w:r>
    </w:p>
    <w:p w14:paraId="6E4AA5F2" w14:textId="48C3DF48" w:rsidR="005B1BF2" w:rsidRPr="00BE2726" w:rsidRDefault="005B1BF2" w:rsidP="005B1BF2">
      <w:pPr>
        <w:pStyle w:val="NIEARTTEKSTtekstnieartykuowanynppodstprawnarozplubpreambua"/>
      </w:pPr>
      <w:r>
        <w:t>Projekt zakłada, że n</w:t>
      </w:r>
      <w:r w:rsidRPr="00BE2726">
        <w:t xml:space="preserve">akaz lub zakaz, o ile nie zostanie uchylony przez sąd po rozpoznaniu zażalenia, traci moc po upływie </w:t>
      </w:r>
      <w:r w:rsidR="00050E62">
        <w:t xml:space="preserve">czternastu dni </w:t>
      </w:r>
      <w:r w:rsidRPr="00BE2726">
        <w:t>od dnia jego wydania, chyba że w</w:t>
      </w:r>
      <w:r w:rsidR="00A376DF">
        <w:t> </w:t>
      </w:r>
      <w:r w:rsidRPr="00BE2726">
        <w:t>tym czasie sąd przedłuży czas jego stosowania na dalszy okres w drodze postanowienia o udzieleniu zabezpieczenia. W ocenie projektodawcy termin ten jest wystarczający, aby osoba dotknięta przemocą, nie znajdując się pod presją sprawcy przemocy, dopełniła czynności niezbędnych do złożenia wniosku w sądzie o zobowiązanie osoby stosującej przemoc do opuszczenia wspólnie zajmowanego mieszkania i jego bezpośredniego otoczenia lub zakazaniu zbliżania się do mieszkania i jego bezpośredniego</w:t>
      </w:r>
      <w:r w:rsidR="00787137">
        <w:t xml:space="preserve"> otoczenia</w:t>
      </w:r>
      <w:r w:rsidRPr="00BE2726">
        <w:t xml:space="preserve">. </w:t>
      </w:r>
    </w:p>
    <w:p w14:paraId="40CD2023" w14:textId="3B99DB5F" w:rsidR="005B1BF2" w:rsidRDefault="005B1BF2" w:rsidP="005B1BF2">
      <w:pPr>
        <w:pStyle w:val="NIEARTTEKSTtekstnieartykuowanynppodstprawnarozplubpreambua"/>
      </w:pPr>
      <w:r w:rsidRPr="00BE2726">
        <w:t>Nakaz lub zakaz traci również moc</w:t>
      </w:r>
      <w:r w:rsidR="000B7D61">
        <w:t>,</w:t>
      </w:r>
      <w:r w:rsidRPr="00BE2726">
        <w:t xml:space="preserve"> w</w:t>
      </w:r>
      <w:r>
        <w:t xml:space="preserve"> </w:t>
      </w:r>
      <w:r w:rsidR="00DD3104">
        <w:t>prz</w:t>
      </w:r>
      <w:r>
        <w:t>ypadku</w:t>
      </w:r>
      <w:r w:rsidRPr="00BE2726">
        <w:t xml:space="preserve"> gdy osoba, wobec której go wydano, została zatrzymana w związku z podejrzeniem popełnienia przestępstwa, a następnie zastosowano wobec niej środek zapobiegawczy w postaci tymczasowego aresztowania lub</w:t>
      </w:r>
      <w:r>
        <w:t xml:space="preserve"> </w:t>
      </w:r>
      <w:r w:rsidRPr="00BE2726">
        <w:t>nakazania okresowego opuszczenia lokalu zajmowanego wspólnie z pokrzywdzonym.</w:t>
      </w:r>
      <w:r>
        <w:t xml:space="preserve"> </w:t>
      </w:r>
    </w:p>
    <w:p w14:paraId="1856B5DC" w14:textId="1881AD25" w:rsidR="005B1BF2" w:rsidRDefault="005B1BF2" w:rsidP="005B1BF2">
      <w:pPr>
        <w:pStyle w:val="NIEARTTEKSTtekstnieartykuowanynppodstprawnarozplubpreambua"/>
      </w:pPr>
      <w:r>
        <w:lastRenderedPageBreak/>
        <w:t>W celu umożliwienia przetwarzania danych osób dotkniętych przemocą oraz stosujących przemoc przez Żandarmerię Wojskową</w:t>
      </w:r>
      <w:r w:rsidR="000B7D61">
        <w:t>,</w:t>
      </w:r>
      <w:r>
        <w:t xml:space="preserve"> z uwagi na nowe zadania tych organów w aspekcie zapobiegania i zwalczania przemocy w rodzinie, projekt przewiduje nowelizację przepisów ustawy o Żandarmerii Wojskowej i wojskowych organach porządkowych w tym zakresie.</w:t>
      </w:r>
    </w:p>
    <w:p w14:paraId="518B75EA" w14:textId="7CE56624" w:rsidR="005B1BF2" w:rsidRPr="00365A4D" w:rsidRDefault="005B1BF2" w:rsidP="005B1BF2">
      <w:pPr>
        <w:pStyle w:val="NIEARTTEKSTtekstnieartykuowanynppodstprawnarozplubpreambua"/>
      </w:pPr>
      <w:r>
        <w:t>Z uwagi na okoliczność, że ustawą z dnia 20 lipca 2018 r</w:t>
      </w:r>
      <w:r w:rsidR="00DD3104">
        <w:t>.</w:t>
      </w:r>
      <w:r>
        <w:t xml:space="preserve"> o zmianie ustawy o</w:t>
      </w:r>
      <w:r w:rsidR="00A376DF">
        <w:t> </w:t>
      </w:r>
      <w:r>
        <w:t>przeciwdziałaniu narkomanii oraz ustawy o Państwowej Inspekcji Sanitarnej (</w:t>
      </w:r>
      <w:r w:rsidR="00C4754A">
        <w:t>Dz.</w:t>
      </w:r>
      <w:r w:rsidR="00050E62">
        <w:t xml:space="preserve"> </w:t>
      </w:r>
      <w:r w:rsidR="00C4754A">
        <w:t>U.</w:t>
      </w:r>
      <w:r>
        <w:t xml:space="preserve"> poz.</w:t>
      </w:r>
      <w:r w:rsidR="000B7D61">
        <w:t> </w:t>
      </w:r>
      <w:r>
        <w:t>1490) znowelizowano ustawę z dnia 29 lipca 2005 r</w:t>
      </w:r>
      <w:r w:rsidR="000B7D61">
        <w:t>.</w:t>
      </w:r>
      <w:r>
        <w:t xml:space="preserve"> o przeciwdziałaniu narkomanii (</w:t>
      </w:r>
      <w:r w:rsidR="00C4754A">
        <w:t>Dz.</w:t>
      </w:r>
      <w:r w:rsidR="000B7D61">
        <w:t> </w:t>
      </w:r>
      <w:r w:rsidR="00C4754A">
        <w:t>U.</w:t>
      </w:r>
      <w:r>
        <w:t xml:space="preserve"> z 2019 r. poz. 852, 1655 i 1818) przez m.in. dodanie w art. 4 pkt 11a definiującego pojęcie </w:t>
      </w:r>
      <w:r w:rsidRPr="00731ABD">
        <w:t>„</w:t>
      </w:r>
      <w:r>
        <w:t>nowej substancji psychoaktywnej</w:t>
      </w:r>
      <w:r w:rsidRPr="00731ABD">
        <w:t>”</w:t>
      </w:r>
      <w:r>
        <w:t xml:space="preserve">, uznano za konieczne wprowadzenie do projektu zmiany </w:t>
      </w:r>
      <w:r w:rsidR="00C4754A">
        <w:t>art.</w:t>
      </w:r>
      <w:r>
        <w:t xml:space="preserve"> 19 ust. 1 pkt 5 ustawy o Policji przez nadanie mu brzmienia: </w:t>
      </w:r>
      <w:r w:rsidRPr="00731ABD">
        <w:t>„</w:t>
      </w:r>
      <w:r>
        <w:t>5) nielegalnego wytwarzania, posiadania lub obrotu bronią, amunicją, materiałami wybuchowymi, środkami odurzającymi</w:t>
      </w:r>
      <w:r w:rsidR="003521ED">
        <w:t>,</w:t>
      </w:r>
      <w:r>
        <w:t xml:space="preserve"> substancjami psychotropowymi</w:t>
      </w:r>
      <w:r w:rsidR="003521ED">
        <w:t>,</w:t>
      </w:r>
      <w:r>
        <w:t xml:space="preserve"> ich prekursorami </w:t>
      </w:r>
      <w:r w:rsidR="003521ED">
        <w:t xml:space="preserve">lub nowymi substancjami psychoaktywnymi </w:t>
      </w:r>
      <w:r>
        <w:t>oraz materiałami jądrowymi i promieniotwórczymi,</w:t>
      </w:r>
      <w:r w:rsidRPr="00731ABD">
        <w:t>”</w:t>
      </w:r>
      <w:r>
        <w:t>. Zgodnie bowiem z</w:t>
      </w:r>
      <w:r w:rsidR="00A376DF">
        <w:t> </w:t>
      </w:r>
      <w:r>
        <w:t xml:space="preserve">aktualnym brzmieniem </w:t>
      </w:r>
      <w:r w:rsidR="00C4754A">
        <w:t>art.</w:t>
      </w:r>
      <w:r>
        <w:t xml:space="preserve"> 19 ust. 1 pkt 5 sąd okręgowy może zarządzić kontrolę operacyjną przy wykonywaniu czynności operacyjno-rozpoznawczych podejmowanych przez Policję w celu zapobieżenia, wykrycia, ustalenia sprawców, a także uzyskania i utrwalenia dowodów, ściganych z oskarżenia publicznego, umyślnych przestępstw nielegalnego wytwarzania, posiadania lub obrotu bronią, amunicją, materiałami wybuchowymi, środkami odurzającymi lub substancjami psychotropowymi lub ich prekursorami oraz materiałami jądrowymi i promieniotwórczymi. W konsekwencji nieuwzględnienie w przytoczonym przepisie </w:t>
      </w:r>
      <w:r w:rsidRPr="009E000C">
        <w:t>„</w:t>
      </w:r>
      <w:r>
        <w:t>nowej substancji psychoaktywnej</w:t>
      </w:r>
      <w:r w:rsidRPr="00731ABD">
        <w:t>”</w:t>
      </w:r>
      <w:r>
        <w:t xml:space="preserve"> powoduje, że w przypadku ściganego z</w:t>
      </w:r>
      <w:r w:rsidR="00A376DF">
        <w:t> </w:t>
      </w:r>
      <w:r>
        <w:t>oskarżenia publicznego, umyślnego przestępstwa nielegalnego wytwarzania, posiadania lub obrotu nowymi substancjami psychoaktywnymi, nie można zarządzić niejawnego nabycia takich substancji (art. 19a ustawy o Policji) oraz niejawnego nadzorowania (art. 19b ustawy o</w:t>
      </w:r>
      <w:r w:rsidR="00A376DF">
        <w:t> </w:t>
      </w:r>
      <w:r>
        <w:t>Policji). Projektowana zmiana w analizowanym zakresie w sposób istotny wpłynie na możliwość realizacji ustawowych zadań przez Policję. Uznając za niezbędne nadanie analogicznych uprawnień Żandarmerii Wojskowej</w:t>
      </w:r>
      <w:r w:rsidR="007033CC">
        <w:t>,</w:t>
      </w:r>
      <w:r>
        <w:t xml:space="preserve"> dokonano zmiany w ustawie o</w:t>
      </w:r>
      <w:r w:rsidR="00A376DF">
        <w:t> </w:t>
      </w:r>
      <w:r>
        <w:t>Żandarmerii Wojskowej i wojskowych organach porządkowych przez uzupełnienie wyliczenia, określonych w art. 31 ust. 1 pkt 8 czynów, stypizowanych w ustawie o</w:t>
      </w:r>
      <w:r w:rsidR="00A376DF">
        <w:t> </w:t>
      </w:r>
      <w:r>
        <w:t>przeciwdziałaniu narkomanii, o czyn z art. 62b ust. 1 i 2 tej ustawy, wprowadzony wskazaną powyżej ustawą o zmianie ustawy o przeciwdziałaniu narkomanii oraz ustawy o</w:t>
      </w:r>
      <w:r w:rsidR="00A376DF">
        <w:t> </w:t>
      </w:r>
      <w:r>
        <w:t>Państwowej Inspekcji Sanitarnej.</w:t>
      </w:r>
    </w:p>
    <w:p w14:paraId="6E37664D" w14:textId="078C795A" w:rsidR="005B1BF2" w:rsidRDefault="005B1BF2" w:rsidP="005B1BF2">
      <w:pPr>
        <w:pStyle w:val="NIEARTTEKSTtekstnieartykuowanynppodstprawnarozplubpreambua"/>
      </w:pPr>
      <w:r w:rsidRPr="00BE2726">
        <w:lastRenderedPageBreak/>
        <w:t xml:space="preserve">Ponadto projekt </w:t>
      </w:r>
      <w:r>
        <w:t xml:space="preserve">obejmuje </w:t>
      </w:r>
      <w:r w:rsidRPr="00BE2726">
        <w:t xml:space="preserve">zmianę art. 53 ust. 3 pkt 2 i 3 oraz art. 55 ust. 1 pkt 1 i 2 ustawy o Policji </w:t>
      </w:r>
      <w:r>
        <w:t>polegającą na zastąpieniu</w:t>
      </w:r>
      <w:r w:rsidRPr="00BE2726">
        <w:t xml:space="preserve"> użytych w tych przepisach zdezaktualizowanych określeń „kara dodatkowa”</w:t>
      </w:r>
      <w:r>
        <w:t>,</w:t>
      </w:r>
      <w:r w:rsidRPr="00BE2726">
        <w:t xml:space="preserve"> „przestępstwo popełnione z niskich pobudek” określeniami „środek karny” i „przestępstwo popełnione w wyniku motywacji zasługującej na szczególne potępienie”. Nowelizacja w tym zakresie wiąże się z faktem, że przepisy </w:t>
      </w:r>
      <w:r>
        <w:t xml:space="preserve">obecnie obowiązującego </w:t>
      </w:r>
      <w:r w:rsidRPr="00BE2726">
        <w:t xml:space="preserve">Kodeksu karnego nie </w:t>
      </w:r>
      <w:r>
        <w:t xml:space="preserve">znają już pojęć </w:t>
      </w:r>
      <w:r w:rsidRPr="00BE2726">
        <w:t xml:space="preserve">kary dodatkowej </w:t>
      </w:r>
      <w:r>
        <w:t>ani</w:t>
      </w:r>
      <w:r w:rsidRPr="00BE2726">
        <w:t xml:space="preserve"> przestępstwa popełnionego z niskich pobudek</w:t>
      </w:r>
      <w:r>
        <w:t>.</w:t>
      </w:r>
      <w:r w:rsidRPr="00BE2726">
        <w:t xml:space="preserve"> Natomiast zgodnie z art. 40 § 2 k.k. sąd może orzec pozbawienie praw publicznych w razie skazania na karę pozbawienia wolności na czas nie krótszy od lat 3 za przestępstwo popełnione w wyniku motywacji zasługującej na szczególne potępienie.</w:t>
      </w:r>
    </w:p>
    <w:p w14:paraId="5E5C7F13" w14:textId="3244895E" w:rsidR="005B1BF2" w:rsidRPr="009E1E22" w:rsidRDefault="005B1BF2" w:rsidP="005B1BF2">
      <w:pPr>
        <w:pStyle w:val="NIEARTTEKSTtekstnieartykuowanynppodstprawnarozplubpreambua"/>
      </w:pPr>
      <w:r>
        <w:t>Mając na uwadze potrzebę stosowania takich samych instrumentów przez Żandarmerię Wojskową w stosunku do żołnierzy pełniących czynną służbę wojskową w związku z</w:t>
      </w:r>
      <w:r w:rsidR="00A376DF">
        <w:t> </w:t>
      </w:r>
      <w:r>
        <w:t xml:space="preserve">przemocą w rodzinie jak </w:t>
      </w:r>
      <w:r w:rsidR="006A1C4C">
        <w:t xml:space="preserve">i </w:t>
      </w:r>
      <w:r>
        <w:t>Policj</w:t>
      </w:r>
      <w:r w:rsidR="00703435">
        <w:t>ę</w:t>
      </w:r>
      <w:r>
        <w:t xml:space="preserve"> w stosunku do pozostałych osób, projekt wprowadza w</w:t>
      </w:r>
      <w:r w:rsidR="00A376DF">
        <w:t> </w:t>
      </w:r>
      <w:r>
        <w:t xml:space="preserve">ustawie o </w:t>
      </w:r>
      <w:r w:rsidRPr="005C0F35">
        <w:t>Żandarmerii Wojskowej i wojskowych organach porządkowych</w:t>
      </w:r>
      <w:r>
        <w:t xml:space="preserve"> przepis analogiczny jak </w:t>
      </w:r>
      <w:r w:rsidR="00703435">
        <w:t>przepis</w:t>
      </w:r>
      <w:r w:rsidR="00703435" w:rsidRPr="00543D76">
        <w:t xml:space="preserve"> </w:t>
      </w:r>
      <w:r w:rsidRPr="00543D76">
        <w:t xml:space="preserve">art. 15a </w:t>
      </w:r>
      <w:r>
        <w:t>w ustawie o Policji (projektowany art. 18 ust. 2</w:t>
      </w:r>
      <w:r w:rsidR="00366A09">
        <w:t xml:space="preserve"> i 3</w:t>
      </w:r>
      <w:r>
        <w:t xml:space="preserve"> w art. 4 projektu).</w:t>
      </w:r>
    </w:p>
    <w:p w14:paraId="1D83D359" w14:textId="0A56BA16" w:rsidR="005B1BF2" w:rsidRPr="00BE2726" w:rsidRDefault="005B1BF2" w:rsidP="005B1BF2">
      <w:pPr>
        <w:pStyle w:val="NIEARTTEKSTtekstnieartykuowanynppodstprawnarozplubpreambua"/>
      </w:pPr>
      <w:r w:rsidRPr="00BE2726">
        <w:t>Mając na uwadze, że sprawy tego rodzaju mają z założenia służyć udzieleniu ochrony ofierze przemocy, osoba taka nie powinna ponosić ciężarów finansowych związanych z</w:t>
      </w:r>
      <w:r w:rsidR="00A376DF">
        <w:t> </w:t>
      </w:r>
      <w:r w:rsidRPr="00BE2726">
        <w:t>kosztami postępowania. Z tych względów proponuje się zmianę w ustawie o kosztach sądowych w sprawach cywilnych przez dodanie przepisu o zwolnieniu</w:t>
      </w:r>
      <w:r w:rsidR="00A77663">
        <w:t xml:space="preserve"> </w:t>
      </w:r>
      <w:r w:rsidR="0055546B">
        <w:t xml:space="preserve">osoby dotkniętej przemocą w rodzinie </w:t>
      </w:r>
      <w:r w:rsidRPr="00BE2726">
        <w:t xml:space="preserve">od ponoszenia kosztów sądowych w sprawie o zobowiązanie osoby stosującej przemoc </w:t>
      </w:r>
      <w:r w:rsidR="00BA7B52">
        <w:t xml:space="preserve">w rodzinie </w:t>
      </w:r>
      <w:r w:rsidRPr="00BE2726">
        <w:t>do opuszczenia wspólnie zajmowanego mieszkania i jego bezpośredniego otoczenia lub zakazaniu zbliżania się do mieszkania i jego bezpośredniego otoczenia (projektowany art. 96 ust.</w:t>
      </w:r>
      <w:r>
        <w:t xml:space="preserve"> </w:t>
      </w:r>
      <w:r w:rsidRPr="00BE2726">
        <w:t>1 pkt 15).</w:t>
      </w:r>
    </w:p>
    <w:p w14:paraId="654FAFD5" w14:textId="3BFE9116" w:rsidR="005B1BF2" w:rsidRDefault="005B1BF2" w:rsidP="005B1BF2">
      <w:pPr>
        <w:pStyle w:val="NIEARTTEKSTtekstnieartykuowanynppodstprawnarozplubpreambua"/>
      </w:pPr>
      <w:r w:rsidRPr="00BE2726">
        <w:t>Dla sprawnego funkcjonowania struktura tworzonego systemu wymaga spójności w</w:t>
      </w:r>
      <w:r w:rsidR="00A376DF">
        <w:t> </w:t>
      </w:r>
      <w:r w:rsidRPr="00BE2726">
        <w:t>określeniu czynności, które mają prowadzić do realizacji przyjętego celu. Jest nim nakazanie (zobowiązanie do) opuszczenia przez osobę stosującą przemoc w rodzinie wspólnie zajmowanego mieszkania i jego bezpośredniego otoczenia lub zakazanie zbliżania się do mieszkania i jego bezpośredniego otoczenia. W konsekwencji jednostki aktywnie działające w systemie</w:t>
      </w:r>
      <w:r>
        <w:t>,</w:t>
      </w:r>
      <w:r w:rsidRPr="00BE2726">
        <w:t xml:space="preserve"> tj. Policja, Żandarmeria Wojskowa oraz sąd, muszą posiadać możliwość wydania identycznych środków ochronnych. Z tego też względu zachodzi konieczność zmiany art. 11a u.p.p.r., który stanowi materialnoprawną przesłankę </w:t>
      </w:r>
      <w:r w:rsidRPr="00BE2726">
        <w:lastRenderedPageBreak/>
        <w:t>postanowienia, które ma być wydane w post</w:t>
      </w:r>
      <w:r w:rsidR="00BA7B52">
        <w:t>ępowaniu</w:t>
      </w:r>
      <w:r w:rsidRPr="00BE2726">
        <w:t xml:space="preserve"> toczącym się w trybie projektowanych przepisów art. 560</w:t>
      </w:r>
      <w:r>
        <w:rPr>
          <w:rStyle w:val="IGindeksgrny"/>
        </w:rPr>
        <w:t>2</w:t>
      </w:r>
      <w:r w:rsidR="006879AB">
        <w:t>–</w:t>
      </w:r>
      <w:r w:rsidRPr="00BE2726">
        <w:t>560</w:t>
      </w:r>
      <w:r>
        <w:rPr>
          <w:rStyle w:val="IGindeksgrny"/>
        </w:rPr>
        <w:t>11</w:t>
      </w:r>
      <w:r w:rsidRPr="00BE2726">
        <w:t xml:space="preserve"> k.p.c. Nowe brzmienie rozszerza dotychczasowe uprawnienia sądu</w:t>
      </w:r>
      <w:r w:rsidR="000A1440">
        <w:t>,</w:t>
      </w:r>
      <w:r w:rsidRPr="00BE2726">
        <w:t xml:space="preserve"> tak aby były spójne z uprawnieniami przyznanymi w art. 15aa ust. 1 ustawy o Policji oraz art.</w:t>
      </w:r>
      <w:r w:rsidR="00A376DF">
        <w:t> </w:t>
      </w:r>
      <w:r w:rsidRPr="00BE2726">
        <w:t>18a ust. 1 ustawy o Żandarmerii Wojskowej i wojskowych organach porządkowych.</w:t>
      </w:r>
    </w:p>
    <w:p w14:paraId="3D19688E" w14:textId="3010BA55" w:rsidR="005B1BF2" w:rsidRPr="005C0F35" w:rsidRDefault="005B1BF2" w:rsidP="005B1BF2">
      <w:pPr>
        <w:pStyle w:val="NIEARTTEKSTtekstnieartykuowanynppodstprawnarozplubpreambua"/>
      </w:pPr>
      <w:r>
        <w:t>Również dla zachowania spójności przyjętych rozwiązań należało uwzględnić obecność przedstawicieli Żandarmerii Wojskowej w zespołach interdyscyplinarnych i grupach roboczych w odniesieniu do stosujących przemoc żołnierzy w czynnej służbie</w:t>
      </w:r>
      <w:r w:rsidR="00BA7B52">
        <w:t xml:space="preserve"> wojskowej</w:t>
      </w:r>
      <w:r>
        <w:t>, toteż art. 9a u.p.p.r. wymagał nowelizacji przez dodanie kolejnych jednostek redakcyjnych.</w:t>
      </w:r>
    </w:p>
    <w:p w14:paraId="12CCD1D3" w14:textId="38B599F9" w:rsidR="005B1BF2" w:rsidRPr="00BE2726" w:rsidRDefault="005B1BF2" w:rsidP="005B1BF2">
      <w:pPr>
        <w:pStyle w:val="NIEARTTEKSTtekstnieartykuowanynppodstprawnarozplubpreambua"/>
      </w:pPr>
      <w:r>
        <w:t>W następstwie zawarcia</w:t>
      </w:r>
      <w:r w:rsidRPr="00BE2726">
        <w:t xml:space="preserve"> w Kodeksie postępowania cywilnego </w:t>
      </w:r>
      <w:r>
        <w:t>szczegółowej</w:t>
      </w:r>
      <w:r w:rsidRPr="00BE2726">
        <w:t xml:space="preserve"> regul</w:t>
      </w:r>
      <w:r>
        <w:t>acji</w:t>
      </w:r>
      <w:r w:rsidRPr="00BE2726">
        <w:t xml:space="preserve"> postępowania w sprawach, o których mowa w art. 11a </w:t>
      </w:r>
      <w:r>
        <w:t>u.p.p.r.</w:t>
      </w:r>
      <w:r w:rsidRPr="00BE2726">
        <w:t>, obowiązujące art. 11a ust. 2 i</w:t>
      </w:r>
      <w:r w:rsidR="000A192E">
        <w:t> </w:t>
      </w:r>
      <w:r w:rsidRPr="00BE2726">
        <w:t>3 staną się bezprzedmiotowe, dlatego nie znalazły się w projektowanym art. 11a.</w:t>
      </w:r>
    </w:p>
    <w:p w14:paraId="569A5502" w14:textId="689107EE" w:rsidR="005B1BF2" w:rsidRPr="00BE2726" w:rsidRDefault="005B1BF2" w:rsidP="005B1BF2">
      <w:pPr>
        <w:pStyle w:val="NIEARTTEKSTtekstnieartykuowanynppodstprawnarozplubpreambua"/>
      </w:pPr>
      <w:r>
        <w:t>P</w:t>
      </w:r>
      <w:r w:rsidRPr="00BE2726">
        <w:t xml:space="preserve">rzewiduje się </w:t>
      </w:r>
      <w:r>
        <w:t xml:space="preserve">natomiast </w:t>
      </w:r>
      <w:r w:rsidRPr="00BE2726">
        <w:t>dodanie ust. 2, który jednoznacznie określa, iż ust. 1 stosuje się, gdy osoba dotknięta przemocą nie zajmuje mieszkania, gdyż czasowo je opuściła na skutek stosowania wobec niej przemocy, gdy członek rodziny stosujący przemoc czasowo opuścił mieszkanie oraz gdy małżonek, wstępny, zstępny, rodzeństwo, powinowaty w tej samej linii lub stopniu, osoba pozostająca w stosunku przysposobienia oraz jej małżonek, a</w:t>
      </w:r>
      <w:r w:rsidR="00A376DF">
        <w:t> </w:t>
      </w:r>
      <w:r w:rsidRPr="00BE2726">
        <w:t>także osoba pozostająca we wspólnym pożyciu oraz inna osoba stosująca przemoc</w:t>
      </w:r>
      <w:r w:rsidR="000A192E">
        <w:t>,</w:t>
      </w:r>
      <w:r w:rsidRPr="00BE2726">
        <w:t xml:space="preserve"> okresowo lub nieregularnie przebywa w mieszkaniu wspólnie z osobą dotkniętą przemocą w</w:t>
      </w:r>
      <w:r w:rsidR="00A376DF">
        <w:t> </w:t>
      </w:r>
      <w:r w:rsidRPr="00BE2726">
        <w:t>rodzinie. Proponowane brzmienie tego przepisu jest rozwiązaniem problemów, jakie pojawiały się przy dotychczasowym rozpoznawaniu spraw tego rodzaju, a dotyczących właśnie możliwości wydania orzeczenia nakazującego opuszczenie lokalu</w:t>
      </w:r>
      <w:r w:rsidR="000A192E">
        <w:t>,</w:t>
      </w:r>
      <w:r w:rsidRPr="00BE2726">
        <w:t xml:space="preserve"> w sytuacji gdy wnioskodawca</w:t>
      </w:r>
      <w:r>
        <w:t xml:space="preserve"> </w:t>
      </w:r>
      <w:r w:rsidRPr="00BE2726">
        <w:t>bądź też osoba stosująca przemoc nie zamieszkiwali w nim, choćby czasowo</w:t>
      </w:r>
      <w:r w:rsidR="00BA7B52">
        <w:t>,</w:t>
      </w:r>
      <w:r w:rsidRPr="00BE2726">
        <w:t xml:space="preserve"> lub przebywali jedynie okresowo bądź nieregularnie. </w:t>
      </w:r>
      <w:r>
        <w:t xml:space="preserve">W intencji </w:t>
      </w:r>
      <w:r w:rsidRPr="00BE2726">
        <w:t xml:space="preserve">projektodawcy art. 11a ust. 1 </w:t>
      </w:r>
      <w:r>
        <w:t xml:space="preserve">u.p.p.r. </w:t>
      </w:r>
      <w:r w:rsidRPr="00BE2726">
        <w:t xml:space="preserve">ma być stosowany także w </w:t>
      </w:r>
      <w:r>
        <w:t xml:space="preserve">takiej sytuacji, co </w:t>
      </w:r>
      <w:r w:rsidRPr="00BE2726">
        <w:t>należało jednoznacznie wskazać w</w:t>
      </w:r>
      <w:r w:rsidR="00A376DF">
        <w:t> </w:t>
      </w:r>
      <w:r w:rsidRPr="00BE2726">
        <w:t>ustawie. Nie można bowiem dopuścić do sytuacji, że osoba dotknięta przemocą</w:t>
      </w:r>
      <w:r w:rsidR="000A192E">
        <w:t>,</w:t>
      </w:r>
      <w:r w:rsidRPr="00BE2726">
        <w:t xml:space="preserve"> opuszczając mieszkanie w obawie o swoje życie i zdrowie, a więc w sytuacji nagłego zagrożenia, </w:t>
      </w:r>
      <w:r>
        <w:t>u</w:t>
      </w:r>
      <w:r w:rsidRPr="00BE2726">
        <w:t>traci uprawnienie do domagania się, aby opuściła je osoba stosująca przemoc. Takie ograniczenie zastosowania art.</w:t>
      </w:r>
      <w:r w:rsidR="000A192E">
        <w:t> </w:t>
      </w:r>
      <w:r w:rsidRPr="00BE2726">
        <w:t>11a ust.</w:t>
      </w:r>
      <w:r>
        <w:t xml:space="preserve"> </w:t>
      </w:r>
      <w:r w:rsidRPr="00BE2726">
        <w:t xml:space="preserve">1 </w:t>
      </w:r>
      <w:r>
        <w:t xml:space="preserve">u.p.p.r. </w:t>
      </w:r>
      <w:r w:rsidRPr="00BE2726">
        <w:t>oznaczałoby zmuszanie osoby dotkniętej przemocą do pozostawania z osobą stosującą przemoc w tym samym mieszkaniu mimo zagrożenia</w:t>
      </w:r>
      <w:r>
        <w:t>,</w:t>
      </w:r>
      <w:r w:rsidRPr="00BE2726">
        <w:t xml:space="preserve"> tylko po to, aby nie wygasło uprawnienie do skutecznego dochodzenia praw w trybie </w:t>
      </w:r>
      <w:r>
        <w:t>u.p.p.r</w:t>
      </w:r>
      <w:r w:rsidRPr="00BE2726">
        <w:t>. Również jeżeli to osoba stosująca przemoc z określonych przyczyn opuściła mieszkanie albo przebywa w nim jedynie okresow</w:t>
      </w:r>
      <w:r>
        <w:t>o bądź nieregularnie, sprzeczne</w:t>
      </w:r>
      <w:r w:rsidRPr="00BE2726">
        <w:t xml:space="preserve"> </w:t>
      </w:r>
      <w:r w:rsidRPr="00BE2726">
        <w:lastRenderedPageBreak/>
        <w:t>z</w:t>
      </w:r>
      <w:r w:rsidR="00A376DF">
        <w:t> </w:t>
      </w:r>
      <w:r w:rsidRPr="00BE2726">
        <w:t xml:space="preserve">założeniami ustawy byłoby nakazanie osobie dotkniętej przemocą oczekiwanie na jej powrót, aby mogła wystąpić ze stosownym wnioskiem. </w:t>
      </w:r>
    </w:p>
    <w:p w14:paraId="79BC00E5" w14:textId="77777777" w:rsidR="005B1BF2" w:rsidRPr="00BE2726" w:rsidRDefault="005B1BF2" w:rsidP="005B1BF2">
      <w:pPr>
        <w:pStyle w:val="NIEARTTEKSTtekstnieartykuowanynppodstprawnarozplubpreambua"/>
      </w:pPr>
      <w:r w:rsidRPr="00BE2726">
        <w:t>Przyznanie osobie dotkniętej przemocą prawa do pozostania w mieszkaniu i korzystania z niego nie może zwolnić jej z ponoszenia ciężarów związanych z jego uży</w:t>
      </w:r>
      <w:r>
        <w:t>wa</w:t>
      </w:r>
      <w:r w:rsidRPr="00BE2726">
        <w:t>niem, co przewiduje projektowany art. 11a ust. 3</w:t>
      </w:r>
      <w:r>
        <w:t xml:space="preserve"> u.p.p.r.</w:t>
      </w:r>
      <w:r w:rsidRPr="00BE2726">
        <w:t>, który nakłada to zobowiązanie wyłącznie na osoby pełnoletnie, chyba że na osobie stosującej przemoc ciąży obowiązek alimentacyjny wobec osoby pełnoletniej, która pozostała w mieszkaniu, a także określa zakres koniecznych do ponoszenia opłat związanych z zajmowaniem mieszkania.</w:t>
      </w:r>
    </w:p>
    <w:p w14:paraId="3C7B42DC" w14:textId="0DD95F0F" w:rsidR="005B1BF2" w:rsidRPr="00BE2726" w:rsidRDefault="005B1BF2" w:rsidP="005B1BF2">
      <w:pPr>
        <w:pStyle w:val="NIEARTTEKSTtekstnieartykuowanynppodstprawnarozplubpreambua"/>
      </w:pPr>
      <w:r w:rsidRPr="00BE2726">
        <w:t>Dodatkowo dla wykluczenia wszelkich wątpliwości interpretacyjnych co do rozumienia pojęcia „mieszkan</w:t>
      </w:r>
      <w:r>
        <w:t>ia”, którym posługują się ustawa</w:t>
      </w:r>
      <w:r w:rsidRPr="00BE2726">
        <w:t xml:space="preserve"> o przeciwdziałaniu przemocy w rodzinie </w:t>
      </w:r>
      <w:r>
        <w:t>i</w:t>
      </w:r>
      <w:r w:rsidR="00A376DF">
        <w:t> </w:t>
      </w:r>
      <w:r>
        <w:t xml:space="preserve">ustawa </w:t>
      </w:r>
      <w:r w:rsidRPr="00BE2726">
        <w:t>o Policji, w projektowanych art. 15aa ust.</w:t>
      </w:r>
      <w:r>
        <w:t xml:space="preserve"> </w:t>
      </w:r>
      <w:r w:rsidR="00F3482D">
        <w:t>6</w:t>
      </w:r>
      <w:r w:rsidR="00287CEA">
        <w:t xml:space="preserve"> </w:t>
      </w:r>
      <w:r w:rsidRPr="00BE2726">
        <w:t>us</w:t>
      </w:r>
      <w:r>
        <w:t xml:space="preserve">tawy o Policji, art. 18a ust. </w:t>
      </w:r>
      <w:r w:rsidR="00F3482D">
        <w:t xml:space="preserve">6 </w:t>
      </w:r>
      <w:r w:rsidRPr="00BE2726">
        <w:t>ustawy o</w:t>
      </w:r>
      <w:r w:rsidR="00A376DF">
        <w:t> </w:t>
      </w:r>
      <w:r w:rsidRPr="00BE2726">
        <w:t>Żandarmerii Wojskowej i wojskowych</w:t>
      </w:r>
      <w:r>
        <w:t xml:space="preserve"> </w:t>
      </w:r>
      <w:r w:rsidRPr="00BE2726">
        <w:t xml:space="preserve">organach porządkowych oraz art. 11a ust. 4 u.p.p.r. </w:t>
      </w:r>
      <w:r>
        <w:t xml:space="preserve">wyraźnie </w:t>
      </w:r>
      <w:r w:rsidRPr="00BE2726">
        <w:t xml:space="preserve">wskazano, iż pojęcie to obejmuje wszelkie lokale służące zaspokojeniu bieżących potrzeb mieszkaniowych. </w:t>
      </w:r>
    </w:p>
    <w:p w14:paraId="5FC0BA87" w14:textId="613C6F15" w:rsidR="005B1BF2" w:rsidRPr="00BE2726" w:rsidRDefault="005B1BF2" w:rsidP="005B1BF2">
      <w:pPr>
        <w:pStyle w:val="NIEARTTEKSTtekstnieartykuowanynppodstprawnarozplubpreambua"/>
      </w:pPr>
      <w:r w:rsidRPr="00BE2726">
        <w:t>W sytuacji niewykonania przez uczestnika orzeczenia sądu, wydanego na podstawie art.</w:t>
      </w:r>
      <w:r w:rsidR="00A376DF">
        <w:t> </w:t>
      </w:r>
      <w:r w:rsidRPr="00BE2726">
        <w:t xml:space="preserve">11a ust. 1 u.p.p.r., którym osoba stosująca przemoc </w:t>
      </w:r>
      <w:r w:rsidR="00C800BA" w:rsidRPr="00BE2726">
        <w:t xml:space="preserve">została </w:t>
      </w:r>
      <w:r w:rsidRPr="00BE2726">
        <w:t xml:space="preserve">zobowiązana do opuszczenia wspólnie zajmowanego mieszkania i jego bezpośredniego otoczenia, zastosowanie znajdą przepisy ogólne </w:t>
      </w:r>
      <w:r>
        <w:t xml:space="preserve">o wykonaniu orzeczeń sądowych w sprawach cywilnych </w:t>
      </w:r>
      <w:r w:rsidRPr="00BE2726">
        <w:t>(art. 1046 k.p.c.).</w:t>
      </w:r>
    </w:p>
    <w:p w14:paraId="7FC0A741" w14:textId="1EEA19CB" w:rsidR="005B1BF2" w:rsidRPr="00BE2726" w:rsidRDefault="005B1BF2" w:rsidP="005B1BF2">
      <w:pPr>
        <w:pStyle w:val="NIEARTTEKSTtekstnieartykuowanynppodstprawnarozplubpreambua"/>
      </w:pPr>
      <w:r w:rsidRPr="00BE2726">
        <w:t xml:space="preserve">Projektowane rozwiązania </w:t>
      </w:r>
      <w:r>
        <w:t>powinny realnie poprawić sytuację</w:t>
      </w:r>
      <w:r w:rsidRPr="00BE2726">
        <w:t xml:space="preserve"> osób dotkniętych przemocą. Przyczynią się do przeciwdziałania zjawisku przemocy w rodzinie, a także będą pomocne w ukształtowaniu prawidłowych relacji między jej członkami, przy zachowaniu bezpieczeństwa i godności osób dotkniętych przemocą w rodzinie.</w:t>
      </w:r>
    </w:p>
    <w:p w14:paraId="734A7FD8" w14:textId="56000B01" w:rsidR="005B1BF2" w:rsidRPr="00BE2726" w:rsidRDefault="005B1BF2" w:rsidP="005B1BF2">
      <w:pPr>
        <w:pStyle w:val="NIEARTTEKSTtekstnieartykuowanynppodstprawnarozplubpreambua"/>
      </w:pPr>
      <w:r w:rsidRPr="00BE2726">
        <w:t>Przed skierowaniem niniejszego projektu do uzgodnień, konsultacji publicznych i</w:t>
      </w:r>
      <w:r w:rsidR="00A376DF">
        <w:t> </w:t>
      </w:r>
      <w:r w:rsidRPr="00BE2726">
        <w:t xml:space="preserve">opiniowania nie dokonywano oceny OSR w trybie § 32 uchwały </w:t>
      </w:r>
      <w:r w:rsidR="00003E4D">
        <w:t xml:space="preserve">nr </w:t>
      </w:r>
      <w:r w:rsidR="00E644F7">
        <w:t xml:space="preserve">190 </w:t>
      </w:r>
      <w:r w:rsidRPr="00BE2726">
        <w:t>Rady Ministrów z</w:t>
      </w:r>
      <w:r w:rsidR="00A376DF">
        <w:t> </w:t>
      </w:r>
      <w:r w:rsidRPr="00BE2726">
        <w:t>dnia 29 października 2013 r. – Regulamin pracy Rady Ministrów (M.P. z 2016 r. poz. 1006</w:t>
      </w:r>
      <w:r w:rsidR="003521ED">
        <w:t>,</w:t>
      </w:r>
      <w:r w:rsidRPr="00BE2726">
        <w:t xml:space="preserve"> z późn. zm.).</w:t>
      </w:r>
    </w:p>
    <w:p w14:paraId="0C177EE7" w14:textId="77777777" w:rsidR="005B1BF2" w:rsidRPr="00BE2726" w:rsidRDefault="005B1BF2" w:rsidP="005B1BF2">
      <w:pPr>
        <w:pStyle w:val="NIEARTTEKSTtekstnieartykuowanynppodstprawnarozplubpreambua"/>
      </w:pPr>
      <w:r w:rsidRPr="005B1BF2">
        <w:t xml:space="preserve">Projekt ustawy </w:t>
      </w:r>
      <w:r w:rsidRPr="00BE2726">
        <w:t xml:space="preserve">nie </w:t>
      </w:r>
      <w:r w:rsidRPr="005B1BF2">
        <w:t xml:space="preserve">jest </w:t>
      </w:r>
      <w:r w:rsidRPr="00BE2726">
        <w:t>objęty</w:t>
      </w:r>
      <w:r w:rsidRPr="005B1BF2">
        <w:t xml:space="preserve"> prawem Unii Europejskiej</w:t>
      </w:r>
      <w:r w:rsidRPr="00BE2726">
        <w:t xml:space="preserve"> </w:t>
      </w:r>
      <w:r>
        <w:t>an</w:t>
      </w:r>
      <w:r w:rsidRPr="00BE2726">
        <w:t xml:space="preserve">i nie jest z nim sprzeczny. </w:t>
      </w:r>
      <w:r>
        <w:t>N</w:t>
      </w:r>
      <w:r w:rsidRPr="00BE2726">
        <w:t>ie wymaga przedstawienia właściwym organom i instytucjom Unii Europejskiej, w tym Europejskiemu Bankowi Centralnemu, w celu uzyskania opinii, dokonania powiadomienia, konsultacji albo uzgodnienia.</w:t>
      </w:r>
    </w:p>
    <w:p w14:paraId="7C6C1A16" w14:textId="77777777" w:rsidR="005B1BF2" w:rsidRPr="00BE2726" w:rsidRDefault="005B1BF2" w:rsidP="005B1BF2">
      <w:pPr>
        <w:pStyle w:val="NIEARTTEKSTtekstnieartykuowanynppodstprawnarozplubpreambua"/>
      </w:pPr>
      <w:r w:rsidRPr="00BE2726">
        <w:lastRenderedPageBreak/>
        <w:t>Projekt ustawy nie wpłynie na działalność mikroprzedsiębiorców oraz małych i średnich firm.</w:t>
      </w:r>
    </w:p>
    <w:p w14:paraId="5A31CAB5" w14:textId="4A05B156" w:rsidR="005B1BF2" w:rsidRPr="00BE2726" w:rsidRDefault="005B1BF2" w:rsidP="005B1BF2">
      <w:pPr>
        <w:pStyle w:val="NIEARTTEKSTtekstnieartykuowanynppodstprawnarozplubpreambua"/>
      </w:pPr>
      <w:r w:rsidRPr="00BE2726">
        <w:t>Projektowana ustawa nie zawiera przepisów technicznych, a zatem nie podlega notyfikacji zgodnie z trybem przewidzianym w rozporządzeniu Rady Ministrów z dnia 23</w:t>
      </w:r>
      <w:r w:rsidR="00E644F7">
        <w:t> </w:t>
      </w:r>
      <w:r w:rsidRPr="00BE2726">
        <w:t>grudnia 2002 r. w sprawie sposobu funkcjonowania krajowego systemu notyfikacji norm i</w:t>
      </w:r>
      <w:r w:rsidR="00E644F7">
        <w:t> </w:t>
      </w:r>
      <w:r w:rsidRPr="00BE2726">
        <w:t>aktów prawnych (</w:t>
      </w:r>
      <w:r w:rsidR="00C4754A">
        <w:t>Dz.</w:t>
      </w:r>
      <w:r w:rsidR="00BA7B52">
        <w:t xml:space="preserve"> </w:t>
      </w:r>
      <w:r w:rsidR="00C4754A">
        <w:t>U.</w:t>
      </w:r>
      <w:r w:rsidRPr="00BE2726">
        <w:t xml:space="preserve"> poz. 2039</w:t>
      </w:r>
      <w:r w:rsidR="003521ED">
        <w:t>,</w:t>
      </w:r>
      <w:r w:rsidRPr="00BE2726">
        <w:t xml:space="preserve"> z późn. zm.).</w:t>
      </w:r>
    </w:p>
    <w:p w14:paraId="433A6063" w14:textId="22DB5207" w:rsidR="005B1BF2" w:rsidRDefault="005B1BF2" w:rsidP="005B1BF2">
      <w:pPr>
        <w:pStyle w:val="NIEARTTEKSTtekstnieartykuowanynppodstprawnarozplubpreambua"/>
      </w:pPr>
      <w:r w:rsidRPr="00BE2726">
        <w:t>Zgodnie z art. 5 ustawy z dnia 7 lipca 2005 r. o działalności lobbingowej w procesie stanowienia prawa (</w:t>
      </w:r>
      <w:r w:rsidR="00C4754A">
        <w:t>Dz.</w:t>
      </w:r>
      <w:r w:rsidR="00BA7B52">
        <w:t xml:space="preserve"> </w:t>
      </w:r>
      <w:r w:rsidR="00C4754A">
        <w:t>U.</w:t>
      </w:r>
      <w:r w:rsidRPr="00BE2726">
        <w:t xml:space="preserve"> z 2017 r. poz. 248) projekt zosta</w:t>
      </w:r>
      <w:r w:rsidR="00C800BA">
        <w:t>ł</w:t>
      </w:r>
      <w:r w:rsidRPr="00BE2726">
        <w:t xml:space="preserve"> udostępniony w Biuletynie Informacji Publicznej na stronie podmiotowej Rządowego Centrum Legislacji, w serwisie </w:t>
      </w:r>
      <w:r w:rsidR="00E644F7">
        <w:t>„</w:t>
      </w:r>
      <w:r w:rsidRPr="00BE2726">
        <w:t>Rządowy Proces Legislacyjny</w:t>
      </w:r>
      <w:r w:rsidR="00E644F7">
        <w:t>”</w:t>
      </w:r>
      <w:r w:rsidRPr="00BE2726">
        <w:t xml:space="preserve">. </w:t>
      </w:r>
    </w:p>
    <w:p w14:paraId="7D471400" w14:textId="2E0A326C" w:rsidR="00BE2726" w:rsidRPr="00E76C55" w:rsidRDefault="005B1BF2" w:rsidP="00E644F7">
      <w:pPr>
        <w:pStyle w:val="NIEARTTEKSTtekstnieartykuowanynppodstprawnarozplubpreambua"/>
      </w:pPr>
      <w:r w:rsidRPr="00BE2726">
        <w:t>Żaden podmiot nie zgłosił zainteresowania pracami nad przedmiotowym projektem w</w:t>
      </w:r>
      <w:r w:rsidR="00E644F7">
        <w:t> </w:t>
      </w:r>
      <w:r w:rsidRPr="00BE2726">
        <w:t>trybie powołanej wyżej ustawy.</w:t>
      </w:r>
    </w:p>
    <w:sectPr w:rsidR="00BE2726" w:rsidRPr="00E76C55" w:rsidSect="00687604">
      <w:footerReference w:type="default" r:id="rId9"/>
      <w:footerReference w:type="first" r:id="rId10"/>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E6251" w14:textId="77777777" w:rsidR="00527AE8" w:rsidRDefault="00527AE8">
      <w:r>
        <w:separator/>
      </w:r>
    </w:p>
  </w:endnote>
  <w:endnote w:type="continuationSeparator" w:id="0">
    <w:p w14:paraId="490C0291" w14:textId="77777777" w:rsidR="00527AE8" w:rsidRDefault="00527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283090"/>
      <w:docPartObj>
        <w:docPartGallery w:val="Page Numbers (Bottom of Page)"/>
        <w:docPartUnique/>
      </w:docPartObj>
    </w:sdtPr>
    <w:sdtEndPr/>
    <w:sdtContent>
      <w:p w14:paraId="2958674C" w14:textId="59641E5D" w:rsidR="00687604" w:rsidRDefault="00687604">
        <w:pPr>
          <w:pStyle w:val="Stopka"/>
          <w:jc w:val="center"/>
        </w:pPr>
        <w:r>
          <w:fldChar w:fldCharType="begin"/>
        </w:r>
        <w:r>
          <w:instrText>PAGE   \* MERGEFORMAT</w:instrText>
        </w:r>
        <w:r>
          <w:fldChar w:fldCharType="separate"/>
        </w:r>
        <w:r w:rsidR="00674FF2">
          <w:rPr>
            <w:noProof/>
          </w:rPr>
          <w:t>2</w:t>
        </w:r>
        <w:r>
          <w:fldChar w:fldCharType="end"/>
        </w:r>
      </w:p>
    </w:sdtContent>
  </w:sdt>
  <w:p w14:paraId="53A5644A" w14:textId="77777777" w:rsidR="00687604" w:rsidRDefault="0068760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047855"/>
      <w:docPartObj>
        <w:docPartGallery w:val="Page Numbers (Bottom of Page)"/>
        <w:docPartUnique/>
      </w:docPartObj>
    </w:sdtPr>
    <w:sdtEndPr/>
    <w:sdtContent>
      <w:p w14:paraId="560467C6" w14:textId="69719F0E" w:rsidR="00687604" w:rsidRDefault="00687604">
        <w:pPr>
          <w:pStyle w:val="Stopka"/>
          <w:jc w:val="center"/>
        </w:pPr>
        <w:r>
          <w:fldChar w:fldCharType="begin"/>
        </w:r>
        <w:r>
          <w:instrText>PAGE   \* MERGEFORMAT</w:instrText>
        </w:r>
        <w:r>
          <w:fldChar w:fldCharType="separate"/>
        </w:r>
        <w:r w:rsidR="00674FF2">
          <w:rPr>
            <w:noProof/>
          </w:rPr>
          <w:t>1</w:t>
        </w:r>
        <w:r>
          <w:fldChar w:fldCharType="end"/>
        </w:r>
      </w:p>
    </w:sdtContent>
  </w:sdt>
  <w:p w14:paraId="0C87CF67" w14:textId="77777777" w:rsidR="00687604" w:rsidRDefault="006876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189CD" w14:textId="77777777" w:rsidR="00527AE8" w:rsidRDefault="00527AE8">
      <w:r>
        <w:separator/>
      </w:r>
    </w:p>
  </w:footnote>
  <w:footnote w:type="continuationSeparator" w:id="0">
    <w:p w14:paraId="667E12E6" w14:textId="77777777" w:rsidR="00527AE8" w:rsidRDefault="00527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75449"/>
    <w:multiLevelType w:val="hybridMultilevel"/>
    <w:tmpl w:val="A7EA7060"/>
    <w:lvl w:ilvl="0" w:tplc="3B384BB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3C7477"/>
    <w:multiLevelType w:val="hybridMultilevel"/>
    <w:tmpl w:val="9BCAFD2A"/>
    <w:lvl w:ilvl="0" w:tplc="0415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CC73FB9"/>
    <w:multiLevelType w:val="hybridMultilevel"/>
    <w:tmpl w:val="B832D286"/>
    <w:lvl w:ilvl="0" w:tplc="7F08DCAE">
      <w:start w:val="1"/>
      <w:numFmt w:val="decimal"/>
      <w:lvlText w:val="%1)"/>
      <w:lvlJc w:val="left"/>
      <w:pPr>
        <w:ind w:left="1785" w:hanging="765"/>
      </w:pPr>
    </w:lvl>
    <w:lvl w:ilvl="1" w:tplc="04150019">
      <w:start w:val="1"/>
      <w:numFmt w:val="lowerLetter"/>
      <w:lvlText w:val="%2."/>
      <w:lvlJc w:val="left"/>
      <w:pPr>
        <w:ind w:left="2100" w:hanging="360"/>
      </w:pPr>
    </w:lvl>
    <w:lvl w:ilvl="2" w:tplc="0415001B">
      <w:start w:val="1"/>
      <w:numFmt w:val="lowerRoman"/>
      <w:lvlText w:val="%3."/>
      <w:lvlJc w:val="right"/>
      <w:pPr>
        <w:ind w:left="2820" w:hanging="180"/>
      </w:pPr>
    </w:lvl>
    <w:lvl w:ilvl="3" w:tplc="0415000F">
      <w:start w:val="1"/>
      <w:numFmt w:val="decimal"/>
      <w:lvlText w:val="%4."/>
      <w:lvlJc w:val="left"/>
      <w:pPr>
        <w:ind w:left="3540" w:hanging="360"/>
      </w:pPr>
    </w:lvl>
    <w:lvl w:ilvl="4" w:tplc="04150019">
      <w:start w:val="1"/>
      <w:numFmt w:val="lowerLetter"/>
      <w:lvlText w:val="%5."/>
      <w:lvlJc w:val="left"/>
      <w:pPr>
        <w:ind w:left="4260" w:hanging="360"/>
      </w:pPr>
    </w:lvl>
    <w:lvl w:ilvl="5" w:tplc="0415001B">
      <w:start w:val="1"/>
      <w:numFmt w:val="lowerRoman"/>
      <w:lvlText w:val="%6."/>
      <w:lvlJc w:val="right"/>
      <w:pPr>
        <w:ind w:left="4980" w:hanging="180"/>
      </w:pPr>
    </w:lvl>
    <w:lvl w:ilvl="6" w:tplc="0415000F">
      <w:start w:val="1"/>
      <w:numFmt w:val="decimal"/>
      <w:lvlText w:val="%7."/>
      <w:lvlJc w:val="left"/>
      <w:pPr>
        <w:ind w:left="5700" w:hanging="360"/>
      </w:pPr>
    </w:lvl>
    <w:lvl w:ilvl="7" w:tplc="04150019">
      <w:start w:val="1"/>
      <w:numFmt w:val="lowerLetter"/>
      <w:lvlText w:val="%8."/>
      <w:lvlJc w:val="left"/>
      <w:pPr>
        <w:ind w:left="6420" w:hanging="360"/>
      </w:pPr>
    </w:lvl>
    <w:lvl w:ilvl="8" w:tplc="0415001B">
      <w:start w:val="1"/>
      <w:numFmt w:val="lowerRoman"/>
      <w:lvlText w:val="%9."/>
      <w:lvlJc w:val="right"/>
      <w:pPr>
        <w:ind w:left="7140" w:hanging="180"/>
      </w:pPr>
    </w:lvl>
  </w:abstractNum>
  <w:abstractNum w:abstractNumId="3" w15:restartNumberingAfterBreak="0">
    <w:nsid w:val="1FAF3CE1"/>
    <w:multiLevelType w:val="hybridMultilevel"/>
    <w:tmpl w:val="B8ECD2B4"/>
    <w:lvl w:ilvl="0" w:tplc="7D8270CC">
      <w:start w:val="1"/>
      <w:numFmt w:val="decimal"/>
      <w:lvlText w:val="%1)"/>
      <w:lvlJc w:val="left"/>
      <w:pPr>
        <w:ind w:left="1380" w:hanging="360"/>
      </w:pPr>
    </w:lvl>
    <w:lvl w:ilvl="1" w:tplc="04150019">
      <w:start w:val="1"/>
      <w:numFmt w:val="lowerLetter"/>
      <w:lvlText w:val="%2."/>
      <w:lvlJc w:val="left"/>
      <w:pPr>
        <w:ind w:left="2100" w:hanging="360"/>
      </w:pPr>
    </w:lvl>
    <w:lvl w:ilvl="2" w:tplc="0415001B">
      <w:start w:val="1"/>
      <w:numFmt w:val="lowerRoman"/>
      <w:lvlText w:val="%3."/>
      <w:lvlJc w:val="right"/>
      <w:pPr>
        <w:ind w:left="2820" w:hanging="180"/>
      </w:pPr>
    </w:lvl>
    <w:lvl w:ilvl="3" w:tplc="0415000F">
      <w:start w:val="1"/>
      <w:numFmt w:val="decimal"/>
      <w:lvlText w:val="%4."/>
      <w:lvlJc w:val="left"/>
      <w:pPr>
        <w:ind w:left="3540" w:hanging="360"/>
      </w:pPr>
    </w:lvl>
    <w:lvl w:ilvl="4" w:tplc="04150019">
      <w:start w:val="1"/>
      <w:numFmt w:val="lowerLetter"/>
      <w:lvlText w:val="%5."/>
      <w:lvlJc w:val="left"/>
      <w:pPr>
        <w:ind w:left="4260" w:hanging="360"/>
      </w:pPr>
    </w:lvl>
    <w:lvl w:ilvl="5" w:tplc="0415001B">
      <w:start w:val="1"/>
      <w:numFmt w:val="lowerRoman"/>
      <w:lvlText w:val="%6."/>
      <w:lvlJc w:val="right"/>
      <w:pPr>
        <w:ind w:left="4980" w:hanging="180"/>
      </w:pPr>
    </w:lvl>
    <w:lvl w:ilvl="6" w:tplc="0415000F">
      <w:start w:val="1"/>
      <w:numFmt w:val="decimal"/>
      <w:lvlText w:val="%7."/>
      <w:lvlJc w:val="left"/>
      <w:pPr>
        <w:ind w:left="5700" w:hanging="360"/>
      </w:pPr>
    </w:lvl>
    <w:lvl w:ilvl="7" w:tplc="04150019">
      <w:start w:val="1"/>
      <w:numFmt w:val="lowerLetter"/>
      <w:lvlText w:val="%8."/>
      <w:lvlJc w:val="left"/>
      <w:pPr>
        <w:ind w:left="6420" w:hanging="360"/>
      </w:pPr>
    </w:lvl>
    <w:lvl w:ilvl="8" w:tplc="0415001B">
      <w:start w:val="1"/>
      <w:numFmt w:val="lowerRoman"/>
      <w:lvlText w:val="%9."/>
      <w:lvlJc w:val="right"/>
      <w:pPr>
        <w:ind w:left="7140" w:hanging="180"/>
      </w:pPr>
    </w:lvl>
  </w:abstractNum>
  <w:abstractNum w:abstractNumId="4" w15:restartNumberingAfterBreak="0">
    <w:nsid w:val="218107C1"/>
    <w:multiLevelType w:val="hybridMultilevel"/>
    <w:tmpl w:val="C77687BA"/>
    <w:lvl w:ilvl="0" w:tplc="E3BC308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33707BC8"/>
    <w:multiLevelType w:val="hybridMultilevel"/>
    <w:tmpl w:val="E8328B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B462CB"/>
    <w:multiLevelType w:val="hybridMultilevel"/>
    <w:tmpl w:val="187CC0CE"/>
    <w:lvl w:ilvl="0" w:tplc="1A7439BA">
      <w:start w:val="1"/>
      <w:numFmt w:val="decimal"/>
      <w:lvlText w:val="%1)"/>
      <w:lvlJc w:val="left"/>
      <w:pPr>
        <w:ind w:left="870" w:hanging="360"/>
      </w:pPr>
      <w:rPr>
        <w:b/>
      </w:r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7" w15:restartNumberingAfterBreak="0">
    <w:nsid w:val="3C457585"/>
    <w:multiLevelType w:val="hybridMultilevel"/>
    <w:tmpl w:val="4CB8AA48"/>
    <w:lvl w:ilvl="0" w:tplc="4C0CD656">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8" w15:restartNumberingAfterBreak="0">
    <w:nsid w:val="495761C2"/>
    <w:multiLevelType w:val="hybridMultilevel"/>
    <w:tmpl w:val="B51CA296"/>
    <w:lvl w:ilvl="0" w:tplc="D996DDC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BE40345"/>
    <w:multiLevelType w:val="hybridMultilevel"/>
    <w:tmpl w:val="B8D0BB3A"/>
    <w:lvl w:ilvl="0" w:tplc="CE9859C8">
      <w:start w:val="1"/>
      <w:numFmt w:val="decimal"/>
      <w:lvlText w:val="%1)"/>
      <w:lvlJc w:val="left"/>
      <w:pPr>
        <w:ind w:left="1290" w:hanging="78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10" w15:restartNumberingAfterBreak="0">
    <w:nsid w:val="63D70C3E"/>
    <w:multiLevelType w:val="hybridMultilevel"/>
    <w:tmpl w:val="798C7CE8"/>
    <w:lvl w:ilvl="0" w:tplc="1B68B816">
      <w:start w:val="1"/>
      <w:numFmt w:val="decimal"/>
      <w:lvlText w:val="%1)"/>
      <w:lvlJc w:val="left"/>
      <w:pPr>
        <w:ind w:left="1068" w:hanging="360"/>
      </w:pPr>
      <w:rPr>
        <w:b/>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1" w15:restartNumberingAfterBreak="0">
    <w:nsid w:val="6A434A3E"/>
    <w:multiLevelType w:val="hybridMultilevel"/>
    <w:tmpl w:val="0EC05094"/>
    <w:lvl w:ilvl="0" w:tplc="9B7AFC2E">
      <w:start w:val="1"/>
      <w:numFmt w:val="decimal"/>
      <w:lvlText w:val="%1)"/>
      <w:lvlJc w:val="left"/>
      <w:pPr>
        <w:ind w:left="1230" w:hanging="360"/>
      </w:pPr>
    </w:lvl>
    <w:lvl w:ilvl="1" w:tplc="04150019">
      <w:start w:val="1"/>
      <w:numFmt w:val="lowerLetter"/>
      <w:lvlText w:val="%2."/>
      <w:lvlJc w:val="left"/>
      <w:pPr>
        <w:ind w:left="1950" w:hanging="360"/>
      </w:pPr>
    </w:lvl>
    <w:lvl w:ilvl="2" w:tplc="0415001B">
      <w:start w:val="1"/>
      <w:numFmt w:val="lowerRoman"/>
      <w:lvlText w:val="%3."/>
      <w:lvlJc w:val="right"/>
      <w:pPr>
        <w:ind w:left="2670" w:hanging="180"/>
      </w:pPr>
    </w:lvl>
    <w:lvl w:ilvl="3" w:tplc="0415000F">
      <w:start w:val="1"/>
      <w:numFmt w:val="decimal"/>
      <w:lvlText w:val="%4."/>
      <w:lvlJc w:val="left"/>
      <w:pPr>
        <w:ind w:left="3390" w:hanging="360"/>
      </w:pPr>
    </w:lvl>
    <w:lvl w:ilvl="4" w:tplc="04150019">
      <w:start w:val="1"/>
      <w:numFmt w:val="lowerLetter"/>
      <w:lvlText w:val="%5."/>
      <w:lvlJc w:val="left"/>
      <w:pPr>
        <w:ind w:left="4110" w:hanging="360"/>
      </w:pPr>
    </w:lvl>
    <w:lvl w:ilvl="5" w:tplc="0415001B">
      <w:start w:val="1"/>
      <w:numFmt w:val="lowerRoman"/>
      <w:lvlText w:val="%6."/>
      <w:lvlJc w:val="right"/>
      <w:pPr>
        <w:ind w:left="4830" w:hanging="180"/>
      </w:pPr>
    </w:lvl>
    <w:lvl w:ilvl="6" w:tplc="0415000F">
      <w:start w:val="1"/>
      <w:numFmt w:val="decimal"/>
      <w:lvlText w:val="%7."/>
      <w:lvlJc w:val="left"/>
      <w:pPr>
        <w:ind w:left="5550" w:hanging="360"/>
      </w:pPr>
    </w:lvl>
    <w:lvl w:ilvl="7" w:tplc="04150019">
      <w:start w:val="1"/>
      <w:numFmt w:val="lowerLetter"/>
      <w:lvlText w:val="%8."/>
      <w:lvlJc w:val="left"/>
      <w:pPr>
        <w:ind w:left="6270" w:hanging="360"/>
      </w:pPr>
    </w:lvl>
    <w:lvl w:ilvl="8" w:tplc="0415001B">
      <w:start w:val="1"/>
      <w:numFmt w:val="lowerRoman"/>
      <w:lvlText w:val="%9."/>
      <w:lvlJc w:val="right"/>
      <w:pPr>
        <w:ind w:left="699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BE7"/>
    <w:rsid w:val="000004B9"/>
    <w:rsid w:val="00000587"/>
    <w:rsid w:val="00000939"/>
    <w:rsid w:val="00000BFD"/>
    <w:rsid w:val="00000D60"/>
    <w:rsid w:val="00000E79"/>
    <w:rsid w:val="000012DA"/>
    <w:rsid w:val="00001A77"/>
    <w:rsid w:val="00002006"/>
    <w:rsid w:val="000020A0"/>
    <w:rsid w:val="0000246E"/>
    <w:rsid w:val="000028EE"/>
    <w:rsid w:val="00003862"/>
    <w:rsid w:val="000038ED"/>
    <w:rsid w:val="0000395B"/>
    <w:rsid w:val="00003BEB"/>
    <w:rsid w:val="00003E4D"/>
    <w:rsid w:val="000041A3"/>
    <w:rsid w:val="00004DCC"/>
    <w:rsid w:val="00005AD0"/>
    <w:rsid w:val="00005CD8"/>
    <w:rsid w:val="00006642"/>
    <w:rsid w:val="000070BB"/>
    <w:rsid w:val="00007A4D"/>
    <w:rsid w:val="00010355"/>
    <w:rsid w:val="0001076D"/>
    <w:rsid w:val="000115CE"/>
    <w:rsid w:val="0001160D"/>
    <w:rsid w:val="00011F50"/>
    <w:rsid w:val="00012702"/>
    <w:rsid w:val="00012A35"/>
    <w:rsid w:val="00012B59"/>
    <w:rsid w:val="00012C47"/>
    <w:rsid w:val="00012FF1"/>
    <w:rsid w:val="000132AE"/>
    <w:rsid w:val="000138AE"/>
    <w:rsid w:val="00014019"/>
    <w:rsid w:val="0001453B"/>
    <w:rsid w:val="0001494C"/>
    <w:rsid w:val="00014CC5"/>
    <w:rsid w:val="00014FF6"/>
    <w:rsid w:val="0001533D"/>
    <w:rsid w:val="00015549"/>
    <w:rsid w:val="00016099"/>
    <w:rsid w:val="00016BC1"/>
    <w:rsid w:val="00016EB4"/>
    <w:rsid w:val="00016EEE"/>
    <w:rsid w:val="00017871"/>
    <w:rsid w:val="00017907"/>
    <w:rsid w:val="000179AC"/>
    <w:rsid w:val="00017DC2"/>
    <w:rsid w:val="00017E18"/>
    <w:rsid w:val="0002027D"/>
    <w:rsid w:val="0002064B"/>
    <w:rsid w:val="000206F0"/>
    <w:rsid w:val="00020924"/>
    <w:rsid w:val="00020A2B"/>
    <w:rsid w:val="00021522"/>
    <w:rsid w:val="0002283A"/>
    <w:rsid w:val="0002289E"/>
    <w:rsid w:val="00022C79"/>
    <w:rsid w:val="000231D5"/>
    <w:rsid w:val="00023471"/>
    <w:rsid w:val="00023F13"/>
    <w:rsid w:val="00024538"/>
    <w:rsid w:val="00025EF5"/>
    <w:rsid w:val="0002626B"/>
    <w:rsid w:val="000265A4"/>
    <w:rsid w:val="000266B8"/>
    <w:rsid w:val="00026928"/>
    <w:rsid w:val="00027288"/>
    <w:rsid w:val="00027A66"/>
    <w:rsid w:val="00027FBA"/>
    <w:rsid w:val="00030634"/>
    <w:rsid w:val="00030C82"/>
    <w:rsid w:val="000319C1"/>
    <w:rsid w:val="00031A8B"/>
    <w:rsid w:val="00031BA0"/>
    <w:rsid w:val="00031BCA"/>
    <w:rsid w:val="00031DF5"/>
    <w:rsid w:val="00033082"/>
    <w:rsid w:val="000330FA"/>
    <w:rsid w:val="00033162"/>
    <w:rsid w:val="0003362F"/>
    <w:rsid w:val="000340DC"/>
    <w:rsid w:val="00034A8A"/>
    <w:rsid w:val="000356BE"/>
    <w:rsid w:val="00035BDD"/>
    <w:rsid w:val="00035DEC"/>
    <w:rsid w:val="000367D1"/>
    <w:rsid w:val="00036B63"/>
    <w:rsid w:val="0003740D"/>
    <w:rsid w:val="000377E4"/>
    <w:rsid w:val="00037E1A"/>
    <w:rsid w:val="000405CA"/>
    <w:rsid w:val="000406B2"/>
    <w:rsid w:val="000406E0"/>
    <w:rsid w:val="000408C2"/>
    <w:rsid w:val="0004240D"/>
    <w:rsid w:val="000427F9"/>
    <w:rsid w:val="0004293A"/>
    <w:rsid w:val="00042BBD"/>
    <w:rsid w:val="00042C8B"/>
    <w:rsid w:val="00043495"/>
    <w:rsid w:val="00043552"/>
    <w:rsid w:val="000440A0"/>
    <w:rsid w:val="000442F9"/>
    <w:rsid w:val="00044640"/>
    <w:rsid w:val="00044D26"/>
    <w:rsid w:val="00044DA5"/>
    <w:rsid w:val="000452CC"/>
    <w:rsid w:val="00046A75"/>
    <w:rsid w:val="00047312"/>
    <w:rsid w:val="00047A06"/>
    <w:rsid w:val="0005075C"/>
    <w:rsid w:val="000508BD"/>
    <w:rsid w:val="00050C17"/>
    <w:rsid w:val="00050D63"/>
    <w:rsid w:val="00050DBA"/>
    <w:rsid w:val="00050E62"/>
    <w:rsid w:val="000517AB"/>
    <w:rsid w:val="00051EEB"/>
    <w:rsid w:val="00052505"/>
    <w:rsid w:val="000528A3"/>
    <w:rsid w:val="00052A37"/>
    <w:rsid w:val="0005339C"/>
    <w:rsid w:val="0005343F"/>
    <w:rsid w:val="000538E0"/>
    <w:rsid w:val="00053B3B"/>
    <w:rsid w:val="00054540"/>
    <w:rsid w:val="0005479E"/>
    <w:rsid w:val="00054993"/>
    <w:rsid w:val="00054A97"/>
    <w:rsid w:val="00054CA0"/>
    <w:rsid w:val="0005571B"/>
    <w:rsid w:val="00055C87"/>
    <w:rsid w:val="00055F0A"/>
    <w:rsid w:val="00055FB7"/>
    <w:rsid w:val="000562D0"/>
    <w:rsid w:val="00056FB3"/>
    <w:rsid w:val="00057310"/>
    <w:rsid w:val="00057832"/>
    <w:rsid w:val="00057AB3"/>
    <w:rsid w:val="00057F62"/>
    <w:rsid w:val="00060076"/>
    <w:rsid w:val="00060159"/>
    <w:rsid w:val="0006015D"/>
    <w:rsid w:val="00060432"/>
    <w:rsid w:val="00060508"/>
    <w:rsid w:val="00060847"/>
    <w:rsid w:val="00060D87"/>
    <w:rsid w:val="000615A5"/>
    <w:rsid w:val="00061CAF"/>
    <w:rsid w:val="0006204D"/>
    <w:rsid w:val="000625CE"/>
    <w:rsid w:val="00062673"/>
    <w:rsid w:val="000630E9"/>
    <w:rsid w:val="00064025"/>
    <w:rsid w:val="00064346"/>
    <w:rsid w:val="000643AA"/>
    <w:rsid w:val="00064E4C"/>
    <w:rsid w:val="00064EE9"/>
    <w:rsid w:val="00064F1B"/>
    <w:rsid w:val="00064FF6"/>
    <w:rsid w:val="000655E3"/>
    <w:rsid w:val="000661F0"/>
    <w:rsid w:val="00066901"/>
    <w:rsid w:val="00066C9B"/>
    <w:rsid w:val="000672E1"/>
    <w:rsid w:val="00067441"/>
    <w:rsid w:val="000674F9"/>
    <w:rsid w:val="00070E3C"/>
    <w:rsid w:val="000712CD"/>
    <w:rsid w:val="000713A2"/>
    <w:rsid w:val="00071A75"/>
    <w:rsid w:val="00071BEE"/>
    <w:rsid w:val="0007243B"/>
    <w:rsid w:val="000725DE"/>
    <w:rsid w:val="000728A9"/>
    <w:rsid w:val="00072C1B"/>
    <w:rsid w:val="00072C4C"/>
    <w:rsid w:val="0007336A"/>
    <w:rsid w:val="00073593"/>
    <w:rsid w:val="000736CD"/>
    <w:rsid w:val="00073797"/>
    <w:rsid w:val="0007398F"/>
    <w:rsid w:val="00073A72"/>
    <w:rsid w:val="00074A46"/>
    <w:rsid w:val="00074C0A"/>
    <w:rsid w:val="00074CBA"/>
    <w:rsid w:val="00074F39"/>
    <w:rsid w:val="0007533B"/>
    <w:rsid w:val="0007545D"/>
    <w:rsid w:val="0007547A"/>
    <w:rsid w:val="000760BF"/>
    <w:rsid w:val="0007613E"/>
    <w:rsid w:val="00076330"/>
    <w:rsid w:val="00076B25"/>
    <w:rsid w:val="00076BFC"/>
    <w:rsid w:val="00077510"/>
    <w:rsid w:val="00077637"/>
    <w:rsid w:val="00077EF5"/>
    <w:rsid w:val="000801B2"/>
    <w:rsid w:val="00080827"/>
    <w:rsid w:val="00080B49"/>
    <w:rsid w:val="00080B6C"/>
    <w:rsid w:val="00080BF4"/>
    <w:rsid w:val="00080EC9"/>
    <w:rsid w:val="00080EF4"/>
    <w:rsid w:val="000810CD"/>
    <w:rsid w:val="0008118A"/>
    <w:rsid w:val="00081208"/>
    <w:rsid w:val="0008123F"/>
    <w:rsid w:val="000814A7"/>
    <w:rsid w:val="000818BF"/>
    <w:rsid w:val="00082973"/>
    <w:rsid w:val="0008329C"/>
    <w:rsid w:val="0008341B"/>
    <w:rsid w:val="0008346C"/>
    <w:rsid w:val="000837D2"/>
    <w:rsid w:val="00083ADC"/>
    <w:rsid w:val="000840F8"/>
    <w:rsid w:val="000850AB"/>
    <w:rsid w:val="0008557B"/>
    <w:rsid w:val="00085607"/>
    <w:rsid w:val="00085995"/>
    <w:rsid w:val="00085CE7"/>
    <w:rsid w:val="00085D7B"/>
    <w:rsid w:val="00085F86"/>
    <w:rsid w:val="00086618"/>
    <w:rsid w:val="000876AA"/>
    <w:rsid w:val="00087F6D"/>
    <w:rsid w:val="0009069E"/>
    <w:rsid w:val="000906EE"/>
    <w:rsid w:val="00090D9C"/>
    <w:rsid w:val="00091383"/>
    <w:rsid w:val="000918E6"/>
    <w:rsid w:val="00091BA2"/>
    <w:rsid w:val="00091BD2"/>
    <w:rsid w:val="00091EBA"/>
    <w:rsid w:val="000920C6"/>
    <w:rsid w:val="000926EE"/>
    <w:rsid w:val="00092B62"/>
    <w:rsid w:val="00092EA7"/>
    <w:rsid w:val="00092F39"/>
    <w:rsid w:val="00093326"/>
    <w:rsid w:val="0009341A"/>
    <w:rsid w:val="00093AD4"/>
    <w:rsid w:val="000944EF"/>
    <w:rsid w:val="000945CD"/>
    <w:rsid w:val="000951BF"/>
    <w:rsid w:val="000955E7"/>
    <w:rsid w:val="0009645B"/>
    <w:rsid w:val="0009732D"/>
    <w:rsid w:val="000973F0"/>
    <w:rsid w:val="000A044B"/>
    <w:rsid w:val="000A05C7"/>
    <w:rsid w:val="000A0D6F"/>
    <w:rsid w:val="000A0FD7"/>
    <w:rsid w:val="000A1161"/>
    <w:rsid w:val="000A1296"/>
    <w:rsid w:val="000A1440"/>
    <w:rsid w:val="000A146C"/>
    <w:rsid w:val="000A1914"/>
    <w:rsid w:val="000A192E"/>
    <w:rsid w:val="000A1C27"/>
    <w:rsid w:val="000A1DAD"/>
    <w:rsid w:val="000A2649"/>
    <w:rsid w:val="000A323B"/>
    <w:rsid w:val="000A3605"/>
    <w:rsid w:val="000A4587"/>
    <w:rsid w:val="000A459E"/>
    <w:rsid w:val="000A4E03"/>
    <w:rsid w:val="000A57A2"/>
    <w:rsid w:val="000A5B5E"/>
    <w:rsid w:val="000A6168"/>
    <w:rsid w:val="000A64A7"/>
    <w:rsid w:val="000A650C"/>
    <w:rsid w:val="000A694E"/>
    <w:rsid w:val="000A767C"/>
    <w:rsid w:val="000A771B"/>
    <w:rsid w:val="000A7F78"/>
    <w:rsid w:val="000B0B5A"/>
    <w:rsid w:val="000B12FD"/>
    <w:rsid w:val="000B1567"/>
    <w:rsid w:val="000B183D"/>
    <w:rsid w:val="000B1CF4"/>
    <w:rsid w:val="000B20C7"/>
    <w:rsid w:val="000B298D"/>
    <w:rsid w:val="000B2C2E"/>
    <w:rsid w:val="000B302E"/>
    <w:rsid w:val="000B3426"/>
    <w:rsid w:val="000B39F7"/>
    <w:rsid w:val="000B3DC6"/>
    <w:rsid w:val="000B41EC"/>
    <w:rsid w:val="000B43D6"/>
    <w:rsid w:val="000B442B"/>
    <w:rsid w:val="000B45BC"/>
    <w:rsid w:val="000B4F81"/>
    <w:rsid w:val="000B56F6"/>
    <w:rsid w:val="000B5751"/>
    <w:rsid w:val="000B5A89"/>
    <w:rsid w:val="000B5B2D"/>
    <w:rsid w:val="000B5DCE"/>
    <w:rsid w:val="000B687F"/>
    <w:rsid w:val="000B69C0"/>
    <w:rsid w:val="000B79C3"/>
    <w:rsid w:val="000B7B71"/>
    <w:rsid w:val="000B7D61"/>
    <w:rsid w:val="000C05BA"/>
    <w:rsid w:val="000C0748"/>
    <w:rsid w:val="000C0D9F"/>
    <w:rsid w:val="000C0E8F"/>
    <w:rsid w:val="000C1610"/>
    <w:rsid w:val="000C2E9A"/>
    <w:rsid w:val="000C2FCE"/>
    <w:rsid w:val="000C3DF6"/>
    <w:rsid w:val="000C3ED7"/>
    <w:rsid w:val="000C43BB"/>
    <w:rsid w:val="000C483A"/>
    <w:rsid w:val="000C4BC4"/>
    <w:rsid w:val="000C5789"/>
    <w:rsid w:val="000C59CB"/>
    <w:rsid w:val="000C5A4E"/>
    <w:rsid w:val="000C5CB8"/>
    <w:rsid w:val="000C6034"/>
    <w:rsid w:val="000C6DBF"/>
    <w:rsid w:val="000C7FDF"/>
    <w:rsid w:val="000D0110"/>
    <w:rsid w:val="000D01EA"/>
    <w:rsid w:val="000D0C81"/>
    <w:rsid w:val="000D0E9F"/>
    <w:rsid w:val="000D20D6"/>
    <w:rsid w:val="000D2468"/>
    <w:rsid w:val="000D27C2"/>
    <w:rsid w:val="000D2CFE"/>
    <w:rsid w:val="000D318A"/>
    <w:rsid w:val="000D34F2"/>
    <w:rsid w:val="000D567E"/>
    <w:rsid w:val="000D6173"/>
    <w:rsid w:val="000D623B"/>
    <w:rsid w:val="000D6DEE"/>
    <w:rsid w:val="000D6F83"/>
    <w:rsid w:val="000D79D8"/>
    <w:rsid w:val="000E08AB"/>
    <w:rsid w:val="000E0B36"/>
    <w:rsid w:val="000E18D0"/>
    <w:rsid w:val="000E19C7"/>
    <w:rsid w:val="000E25CC"/>
    <w:rsid w:val="000E3395"/>
    <w:rsid w:val="000E3478"/>
    <w:rsid w:val="000E3694"/>
    <w:rsid w:val="000E3E53"/>
    <w:rsid w:val="000E4036"/>
    <w:rsid w:val="000E490F"/>
    <w:rsid w:val="000E5B10"/>
    <w:rsid w:val="000E5B40"/>
    <w:rsid w:val="000E5C9A"/>
    <w:rsid w:val="000E5DB6"/>
    <w:rsid w:val="000E6241"/>
    <w:rsid w:val="000E6500"/>
    <w:rsid w:val="000E6CEE"/>
    <w:rsid w:val="000E6D65"/>
    <w:rsid w:val="000E6D7E"/>
    <w:rsid w:val="000E7C33"/>
    <w:rsid w:val="000E7F69"/>
    <w:rsid w:val="000F00A1"/>
    <w:rsid w:val="000F15C4"/>
    <w:rsid w:val="000F17BF"/>
    <w:rsid w:val="000F1ADC"/>
    <w:rsid w:val="000F240E"/>
    <w:rsid w:val="000F2BE3"/>
    <w:rsid w:val="000F2F5F"/>
    <w:rsid w:val="000F327D"/>
    <w:rsid w:val="000F3658"/>
    <w:rsid w:val="000F3C34"/>
    <w:rsid w:val="000F3D0D"/>
    <w:rsid w:val="000F4303"/>
    <w:rsid w:val="000F4C1A"/>
    <w:rsid w:val="000F4F92"/>
    <w:rsid w:val="000F594A"/>
    <w:rsid w:val="000F5CCB"/>
    <w:rsid w:val="000F611B"/>
    <w:rsid w:val="000F6A3B"/>
    <w:rsid w:val="000F6ED4"/>
    <w:rsid w:val="000F7382"/>
    <w:rsid w:val="000F7457"/>
    <w:rsid w:val="000F76E3"/>
    <w:rsid w:val="000F7A5A"/>
    <w:rsid w:val="000F7A6E"/>
    <w:rsid w:val="001004B8"/>
    <w:rsid w:val="001009CF"/>
    <w:rsid w:val="00100FA7"/>
    <w:rsid w:val="001012EA"/>
    <w:rsid w:val="00101454"/>
    <w:rsid w:val="001020F7"/>
    <w:rsid w:val="001026F7"/>
    <w:rsid w:val="00102A31"/>
    <w:rsid w:val="0010306C"/>
    <w:rsid w:val="00103922"/>
    <w:rsid w:val="001039CA"/>
    <w:rsid w:val="001042BA"/>
    <w:rsid w:val="00104751"/>
    <w:rsid w:val="00104B1F"/>
    <w:rsid w:val="001055CA"/>
    <w:rsid w:val="00105686"/>
    <w:rsid w:val="00105AEB"/>
    <w:rsid w:val="00105DBF"/>
    <w:rsid w:val="00106D03"/>
    <w:rsid w:val="001074BE"/>
    <w:rsid w:val="00107519"/>
    <w:rsid w:val="00107984"/>
    <w:rsid w:val="00110465"/>
    <w:rsid w:val="001105E0"/>
    <w:rsid w:val="00110628"/>
    <w:rsid w:val="00110CC2"/>
    <w:rsid w:val="00111084"/>
    <w:rsid w:val="001116FB"/>
    <w:rsid w:val="00111A20"/>
    <w:rsid w:val="00111AD8"/>
    <w:rsid w:val="001123C7"/>
    <w:rsid w:val="0011245A"/>
    <w:rsid w:val="001130BA"/>
    <w:rsid w:val="001130E0"/>
    <w:rsid w:val="001130EC"/>
    <w:rsid w:val="00113671"/>
    <w:rsid w:val="00114328"/>
    <w:rsid w:val="001144E7"/>
    <w:rsid w:val="0011462E"/>
    <w:rsid w:val="0011493E"/>
    <w:rsid w:val="00114E8D"/>
    <w:rsid w:val="0011529C"/>
    <w:rsid w:val="00115353"/>
    <w:rsid w:val="00115B72"/>
    <w:rsid w:val="00115DCA"/>
    <w:rsid w:val="00115E17"/>
    <w:rsid w:val="00115E1B"/>
    <w:rsid w:val="001162C5"/>
    <w:rsid w:val="001165B9"/>
    <w:rsid w:val="001167AC"/>
    <w:rsid w:val="00116B5C"/>
    <w:rsid w:val="00117329"/>
    <w:rsid w:val="001173BD"/>
    <w:rsid w:val="00117632"/>
    <w:rsid w:val="00120403"/>
    <w:rsid w:val="0012066D"/>
    <w:rsid w:val="00120742"/>
    <w:rsid w:val="001209EC"/>
    <w:rsid w:val="00120A9E"/>
    <w:rsid w:val="00120D3D"/>
    <w:rsid w:val="00120E53"/>
    <w:rsid w:val="0012102C"/>
    <w:rsid w:val="00121E62"/>
    <w:rsid w:val="00121F15"/>
    <w:rsid w:val="00123287"/>
    <w:rsid w:val="0012339F"/>
    <w:rsid w:val="00123F92"/>
    <w:rsid w:val="00124D43"/>
    <w:rsid w:val="00124F7A"/>
    <w:rsid w:val="00125A9C"/>
    <w:rsid w:val="00125CA7"/>
    <w:rsid w:val="00125EDE"/>
    <w:rsid w:val="001269E9"/>
    <w:rsid w:val="001270A2"/>
    <w:rsid w:val="001271D7"/>
    <w:rsid w:val="00127737"/>
    <w:rsid w:val="00127C02"/>
    <w:rsid w:val="00127C6D"/>
    <w:rsid w:val="00127DA4"/>
    <w:rsid w:val="00131237"/>
    <w:rsid w:val="001317C1"/>
    <w:rsid w:val="00131968"/>
    <w:rsid w:val="001319CD"/>
    <w:rsid w:val="001321DE"/>
    <w:rsid w:val="0013229F"/>
    <w:rsid w:val="001329AC"/>
    <w:rsid w:val="001329CA"/>
    <w:rsid w:val="00132CA7"/>
    <w:rsid w:val="00132D1D"/>
    <w:rsid w:val="00133F2A"/>
    <w:rsid w:val="0013402C"/>
    <w:rsid w:val="00134353"/>
    <w:rsid w:val="00134CA0"/>
    <w:rsid w:val="00135642"/>
    <w:rsid w:val="00135E47"/>
    <w:rsid w:val="00137D30"/>
    <w:rsid w:val="00137F97"/>
    <w:rsid w:val="0014026F"/>
    <w:rsid w:val="0014075F"/>
    <w:rsid w:val="00140847"/>
    <w:rsid w:val="0014264E"/>
    <w:rsid w:val="0014270C"/>
    <w:rsid w:val="001429E3"/>
    <w:rsid w:val="00142A81"/>
    <w:rsid w:val="00143170"/>
    <w:rsid w:val="00143C7C"/>
    <w:rsid w:val="00143FB2"/>
    <w:rsid w:val="00144183"/>
    <w:rsid w:val="00144A10"/>
    <w:rsid w:val="001456D7"/>
    <w:rsid w:val="00146118"/>
    <w:rsid w:val="0014672B"/>
    <w:rsid w:val="0014674F"/>
    <w:rsid w:val="00146ECF"/>
    <w:rsid w:val="0014759D"/>
    <w:rsid w:val="00147A47"/>
    <w:rsid w:val="00147AA1"/>
    <w:rsid w:val="001502C2"/>
    <w:rsid w:val="0015088D"/>
    <w:rsid w:val="00150B12"/>
    <w:rsid w:val="0015129D"/>
    <w:rsid w:val="00151572"/>
    <w:rsid w:val="00151AB8"/>
    <w:rsid w:val="00151E01"/>
    <w:rsid w:val="00151E82"/>
    <w:rsid w:val="001520CF"/>
    <w:rsid w:val="001521F8"/>
    <w:rsid w:val="00152436"/>
    <w:rsid w:val="00152776"/>
    <w:rsid w:val="00152FA8"/>
    <w:rsid w:val="001530F8"/>
    <w:rsid w:val="001531C1"/>
    <w:rsid w:val="00153815"/>
    <w:rsid w:val="001540AA"/>
    <w:rsid w:val="00154184"/>
    <w:rsid w:val="001544EE"/>
    <w:rsid w:val="0015451B"/>
    <w:rsid w:val="00154FFE"/>
    <w:rsid w:val="00155167"/>
    <w:rsid w:val="00155C6F"/>
    <w:rsid w:val="00156446"/>
    <w:rsid w:val="001565D9"/>
    <w:rsid w:val="0015667C"/>
    <w:rsid w:val="0015678B"/>
    <w:rsid w:val="00156A69"/>
    <w:rsid w:val="00156D81"/>
    <w:rsid w:val="00157110"/>
    <w:rsid w:val="00157315"/>
    <w:rsid w:val="0015742A"/>
    <w:rsid w:val="00157B50"/>
    <w:rsid w:val="00157BAE"/>
    <w:rsid w:val="00157D52"/>
    <w:rsid w:val="00157DA1"/>
    <w:rsid w:val="00160165"/>
    <w:rsid w:val="001611EC"/>
    <w:rsid w:val="001618D7"/>
    <w:rsid w:val="00162176"/>
    <w:rsid w:val="00162750"/>
    <w:rsid w:val="00162817"/>
    <w:rsid w:val="001629C9"/>
    <w:rsid w:val="00163049"/>
    <w:rsid w:val="00163147"/>
    <w:rsid w:val="0016373F"/>
    <w:rsid w:val="00163AA2"/>
    <w:rsid w:val="00164452"/>
    <w:rsid w:val="00164C57"/>
    <w:rsid w:val="00164C9D"/>
    <w:rsid w:val="00164CC2"/>
    <w:rsid w:val="00164F96"/>
    <w:rsid w:val="0016539E"/>
    <w:rsid w:val="00165601"/>
    <w:rsid w:val="00165A93"/>
    <w:rsid w:val="00166571"/>
    <w:rsid w:val="00167718"/>
    <w:rsid w:val="00167AC1"/>
    <w:rsid w:val="00170377"/>
    <w:rsid w:val="00170531"/>
    <w:rsid w:val="00170CB2"/>
    <w:rsid w:val="001713C7"/>
    <w:rsid w:val="00171981"/>
    <w:rsid w:val="001724B1"/>
    <w:rsid w:val="00172626"/>
    <w:rsid w:val="001727CE"/>
    <w:rsid w:val="00172BD0"/>
    <w:rsid w:val="00172F28"/>
    <w:rsid w:val="00172F7A"/>
    <w:rsid w:val="00173150"/>
    <w:rsid w:val="00173390"/>
    <w:rsid w:val="001733A0"/>
    <w:rsid w:val="00173601"/>
    <w:rsid w:val="001736F0"/>
    <w:rsid w:val="00173A4F"/>
    <w:rsid w:val="00173BB3"/>
    <w:rsid w:val="00173FCD"/>
    <w:rsid w:val="001740D0"/>
    <w:rsid w:val="00174380"/>
    <w:rsid w:val="001746B6"/>
    <w:rsid w:val="001749D5"/>
    <w:rsid w:val="00174C87"/>
    <w:rsid w:val="00174F2C"/>
    <w:rsid w:val="0017563A"/>
    <w:rsid w:val="001757D3"/>
    <w:rsid w:val="00175CBE"/>
    <w:rsid w:val="00176041"/>
    <w:rsid w:val="00176985"/>
    <w:rsid w:val="00176D14"/>
    <w:rsid w:val="00176FA2"/>
    <w:rsid w:val="00177856"/>
    <w:rsid w:val="00177F32"/>
    <w:rsid w:val="00180732"/>
    <w:rsid w:val="00180F2A"/>
    <w:rsid w:val="00181CF4"/>
    <w:rsid w:val="00183669"/>
    <w:rsid w:val="0018397A"/>
    <w:rsid w:val="00183B93"/>
    <w:rsid w:val="00183CC0"/>
    <w:rsid w:val="0018441D"/>
    <w:rsid w:val="00184709"/>
    <w:rsid w:val="00184B91"/>
    <w:rsid w:val="00184D4A"/>
    <w:rsid w:val="00184F6D"/>
    <w:rsid w:val="001852F6"/>
    <w:rsid w:val="00186926"/>
    <w:rsid w:val="00186EC1"/>
    <w:rsid w:val="00190E93"/>
    <w:rsid w:val="0019132F"/>
    <w:rsid w:val="0019146B"/>
    <w:rsid w:val="00191E1F"/>
    <w:rsid w:val="00191F01"/>
    <w:rsid w:val="00191F57"/>
    <w:rsid w:val="00192495"/>
    <w:rsid w:val="001929BE"/>
    <w:rsid w:val="001934C2"/>
    <w:rsid w:val="00193503"/>
    <w:rsid w:val="00193793"/>
    <w:rsid w:val="0019398A"/>
    <w:rsid w:val="001944C1"/>
    <w:rsid w:val="00194549"/>
    <w:rsid w:val="0019473B"/>
    <w:rsid w:val="001951F1"/>
    <w:rsid w:val="00195243"/>
    <w:rsid w:val="001952B1"/>
    <w:rsid w:val="001952CF"/>
    <w:rsid w:val="00195627"/>
    <w:rsid w:val="00195AEC"/>
    <w:rsid w:val="0019654C"/>
    <w:rsid w:val="00196941"/>
    <w:rsid w:val="00196E39"/>
    <w:rsid w:val="0019752B"/>
    <w:rsid w:val="0019762C"/>
    <w:rsid w:val="00197649"/>
    <w:rsid w:val="001A01FB"/>
    <w:rsid w:val="001A03E1"/>
    <w:rsid w:val="001A10E9"/>
    <w:rsid w:val="001A183A"/>
    <w:rsid w:val="001A183D"/>
    <w:rsid w:val="001A1FA1"/>
    <w:rsid w:val="001A2B65"/>
    <w:rsid w:val="001A2C48"/>
    <w:rsid w:val="001A2CE6"/>
    <w:rsid w:val="001A2E54"/>
    <w:rsid w:val="001A2F30"/>
    <w:rsid w:val="001A3144"/>
    <w:rsid w:val="001A3764"/>
    <w:rsid w:val="001A3BD5"/>
    <w:rsid w:val="001A3CD3"/>
    <w:rsid w:val="001A44B8"/>
    <w:rsid w:val="001A4F60"/>
    <w:rsid w:val="001A5821"/>
    <w:rsid w:val="001A5BEF"/>
    <w:rsid w:val="001A60A8"/>
    <w:rsid w:val="001A622B"/>
    <w:rsid w:val="001A6655"/>
    <w:rsid w:val="001A68F9"/>
    <w:rsid w:val="001A752E"/>
    <w:rsid w:val="001A76C7"/>
    <w:rsid w:val="001A7CE5"/>
    <w:rsid w:val="001A7E61"/>
    <w:rsid w:val="001A7F15"/>
    <w:rsid w:val="001B00A2"/>
    <w:rsid w:val="001B0D27"/>
    <w:rsid w:val="001B1730"/>
    <w:rsid w:val="001B1888"/>
    <w:rsid w:val="001B273E"/>
    <w:rsid w:val="001B29A0"/>
    <w:rsid w:val="001B322D"/>
    <w:rsid w:val="001B342E"/>
    <w:rsid w:val="001B3D71"/>
    <w:rsid w:val="001B5292"/>
    <w:rsid w:val="001B5AF4"/>
    <w:rsid w:val="001B5C5D"/>
    <w:rsid w:val="001B6777"/>
    <w:rsid w:val="001B6BB2"/>
    <w:rsid w:val="001B7448"/>
    <w:rsid w:val="001B7C84"/>
    <w:rsid w:val="001B7F2B"/>
    <w:rsid w:val="001C15A5"/>
    <w:rsid w:val="001C1832"/>
    <w:rsid w:val="001C188C"/>
    <w:rsid w:val="001C1919"/>
    <w:rsid w:val="001C1C10"/>
    <w:rsid w:val="001C1CDB"/>
    <w:rsid w:val="001C1D7A"/>
    <w:rsid w:val="001C1E10"/>
    <w:rsid w:val="001C21D8"/>
    <w:rsid w:val="001C24AF"/>
    <w:rsid w:val="001C282E"/>
    <w:rsid w:val="001C355E"/>
    <w:rsid w:val="001C39F3"/>
    <w:rsid w:val="001C3A5C"/>
    <w:rsid w:val="001C3B05"/>
    <w:rsid w:val="001C3C6F"/>
    <w:rsid w:val="001C4AC1"/>
    <w:rsid w:val="001C51A1"/>
    <w:rsid w:val="001C5338"/>
    <w:rsid w:val="001C54BB"/>
    <w:rsid w:val="001C5A89"/>
    <w:rsid w:val="001C5C75"/>
    <w:rsid w:val="001C62F2"/>
    <w:rsid w:val="001C659D"/>
    <w:rsid w:val="001C6CCE"/>
    <w:rsid w:val="001C7512"/>
    <w:rsid w:val="001C755F"/>
    <w:rsid w:val="001D0107"/>
    <w:rsid w:val="001D0425"/>
    <w:rsid w:val="001D05DC"/>
    <w:rsid w:val="001D0E06"/>
    <w:rsid w:val="001D154A"/>
    <w:rsid w:val="001D15E6"/>
    <w:rsid w:val="001D1783"/>
    <w:rsid w:val="001D17CA"/>
    <w:rsid w:val="001D1B54"/>
    <w:rsid w:val="001D1DEE"/>
    <w:rsid w:val="001D2A5D"/>
    <w:rsid w:val="001D2B13"/>
    <w:rsid w:val="001D2D6D"/>
    <w:rsid w:val="001D2FBC"/>
    <w:rsid w:val="001D3204"/>
    <w:rsid w:val="001D47CD"/>
    <w:rsid w:val="001D4DD2"/>
    <w:rsid w:val="001D53CD"/>
    <w:rsid w:val="001D551C"/>
    <w:rsid w:val="001D55A3"/>
    <w:rsid w:val="001D5976"/>
    <w:rsid w:val="001D5AF5"/>
    <w:rsid w:val="001D67C2"/>
    <w:rsid w:val="001D6B33"/>
    <w:rsid w:val="001D6D4B"/>
    <w:rsid w:val="001D7186"/>
    <w:rsid w:val="001D7410"/>
    <w:rsid w:val="001D7BAB"/>
    <w:rsid w:val="001E0183"/>
    <w:rsid w:val="001E0F57"/>
    <w:rsid w:val="001E1055"/>
    <w:rsid w:val="001E1077"/>
    <w:rsid w:val="001E1651"/>
    <w:rsid w:val="001E18AA"/>
    <w:rsid w:val="001E1E73"/>
    <w:rsid w:val="001E1FCC"/>
    <w:rsid w:val="001E4B76"/>
    <w:rsid w:val="001E4BA1"/>
    <w:rsid w:val="001E4DCF"/>
    <w:rsid w:val="001E4E0C"/>
    <w:rsid w:val="001E4F33"/>
    <w:rsid w:val="001E5220"/>
    <w:rsid w:val="001E526D"/>
    <w:rsid w:val="001E5499"/>
    <w:rsid w:val="001E5655"/>
    <w:rsid w:val="001E569F"/>
    <w:rsid w:val="001E56BF"/>
    <w:rsid w:val="001E5F82"/>
    <w:rsid w:val="001E6A53"/>
    <w:rsid w:val="001E6D8A"/>
    <w:rsid w:val="001E6E6A"/>
    <w:rsid w:val="001E70BE"/>
    <w:rsid w:val="001E738B"/>
    <w:rsid w:val="001E73C7"/>
    <w:rsid w:val="001F0360"/>
    <w:rsid w:val="001F09FE"/>
    <w:rsid w:val="001F127A"/>
    <w:rsid w:val="001F1832"/>
    <w:rsid w:val="001F1A1C"/>
    <w:rsid w:val="001F220F"/>
    <w:rsid w:val="001F2320"/>
    <w:rsid w:val="001F24C0"/>
    <w:rsid w:val="001F25B3"/>
    <w:rsid w:val="001F27F0"/>
    <w:rsid w:val="001F2834"/>
    <w:rsid w:val="001F308B"/>
    <w:rsid w:val="001F323F"/>
    <w:rsid w:val="001F3818"/>
    <w:rsid w:val="001F392C"/>
    <w:rsid w:val="001F3AAD"/>
    <w:rsid w:val="001F4277"/>
    <w:rsid w:val="001F4BE3"/>
    <w:rsid w:val="001F4CCF"/>
    <w:rsid w:val="001F4F64"/>
    <w:rsid w:val="001F5BD8"/>
    <w:rsid w:val="001F6166"/>
    <w:rsid w:val="001F6616"/>
    <w:rsid w:val="001F680E"/>
    <w:rsid w:val="001F721A"/>
    <w:rsid w:val="001F7AB0"/>
    <w:rsid w:val="002001B7"/>
    <w:rsid w:val="00201098"/>
    <w:rsid w:val="002010A1"/>
    <w:rsid w:val="0020173A"/>
    <w:rsid w:val="00201D42"/>
    <w:rsid w:val="002025F5"/>
    <w:rsid w:val="0020278F"/>
    <w:rsid w:val="00202853"/>
    <w:rsid w:val="00202BD4"/>
    <w:rsid w:val="00202C2E"/>
    <w:rsid w:val="00202CC2"/>
    <w:rsid w:val="00202F9D"/>
    <w:rsid w:val="00202FC6"/>
    <w:rsid w:val="002043E0"/>
    <w:rsid w:val="002046E1"/>
    <w:rsid w:val="00204962"/>
    <w:rsid w:val="00204A97"/>
    <w:rsid w:val="00204B7A"/>
    <w:rsid w:val="0020541B"/>
    <w:rsid w:val="00205961"/>
    <w:rsid w:val="002067A7"/>
    <w:rsid w:val="00206F5C"/>
    <w:rsid w:val="0020753F"/>
    <w:rsid w:val="00207620"/>
    <w:rsid w:val="002077A9"/>
    <w:rsid w:val="00207BB4"/>
    <w:rsid w:val="00210A01"/>
    <w:rsid w:val="00210A42"/>
    <w:rsid w:val="00210E83"/>
    <w:rsid w:val="00210EB1"/>
    <w:rsid w:val="002114EF"/>
    <w:rsid w:val="002119E8"/>
    <w:rsid w:val="002146EE"/>
    <w:rsid w:val="00214AB6"/>
    <w:rsid w:val="00215346"/>
    <w:rsid w:val="0021539B"/>
    <w:rsid w:val="00215476"/>
    <w:rsid w:val="00215E48"/>
    <w:rsid w:val="0021652B"/>
    <w:rsid w:val="002166AD"/>
    <w:rsid w:val="00217871"/>
    <w:rsid w:val="00217D48"/>
    <w:rsid w:val="00217E2A"/>
    <w:rsid w:val="00217E2C"/>
    <w:rsid w:val="00220273"/>
    <w:rsid w:val="00220342"/>
    <w:rsid w:val="002203A8"/>
    <w:rsid w:val="00220463"/>
    <w:rsid w:val="0022097A"/>
    <w:rsid w:val="00220CBD"/>
    <w:rsid w:val="00220DBB"/>
    <w:rsid w:val="0022122B"/>
    <w:rsid w:val="002212F4"/>
    <w:rsid w:val="0022134F"/>
    <w:rsid w:val="00221ED8"/>
    <w:rsid w:val="002226B8"/>
    <w:rsid w:val="0022308A"/>
    <w:rsid w:val="002230E8"/>
    <w:rsid w:val="002231EA"/>
    <w:rsid w:val="0022361F"/>
    <w:rsid w:val="00223976"/>
    <w:rsid w:val="00223FDF"/>
    <w:rsid w:val="002241CC"/>
    <w:rsid w:val="00224A56"/>
    <w:rsid w:val="00224E6E"/>
    <w:rsid w:val="00225D5D"/>
    <w:rsid w:val="00226729"/>
    <w:rsid w:val="00226CDB"/>
    <w:rsid w:val="00226CF2"/>
    <w:rsid w:val="00226D49"/>
    <w:rsid w:val="002279C0"/>
    <w:rsid w:val="00230236"/>
    <w:rsid w:val="00230250"/>
    <w:rsid w:val="00230531"/>
    <w:rsid w:val="002314B4"/>
    <w:rsid w:val="00232F99"/>
    <w:rsid w:val="0023318B"/>
    <w:rsid w:val="00233379"/>
    <w:rsid w:val="00233966"/>
    <w:rsid w:val="00233CDF"/>
    <w:rsid w:val="00234A4E"/>
    <w:rsid w:val="00234BFF"/>
    <w:rsid w:val="00234E8B"/>
    <w:rsid w:val="00234EA5"/>
    <w:rsid w:val="00234F26"/>
    <w:rsid w:val="00235438"/>
    <w:rsid w:val="00235BD7"/>
    <w:rsid w:val="00236699"/>
    <w:rsid w:val="0023727E"/>
    <w:rsid w:val="00237CEC"/>
    <w:rsid w:val="00237ED9"/>
    <w:rsid w:val="0024010B"/>
    <w:rsid w:val="002419F4"/>
    <w:rsid w:val="00241FD3"/>
    <w:rsid w:val="00242081"/>
    <w:rsid w:val="00242B54"/>
    <w:rsid w:val="00243777"/>
    <w:rsid w:val="00243DFA"/>
    <w:rsid w:val="0024408C"/>
    <w:rsid w:val="002440E2"/>
    <w:rsid w:val="002441CD"/>
    <w:rsid w:val="00244D91"/>
    <w:rsid w:val="00244E38"/>
    <w:rsid w:val="0024503B"/>
    <w:rsid w:val="002450A3"/>
    <w:rsid w:val="002456BC"/>
    <w:rsid w:val="00245B22"/>
    <w:rsid w:val="00245B95"/>
    <w:rsid w:val="002469CD"/>
    <w:rsid w:val="00246FED"/>
    <w:rsid w:val="002474EA"/>
    <w:rsid w:val="002477D9"/>
    <w:rsid w:val="002478ED"/>
    <w:rsid w:val="002501A3"/>
    <w:rsid w:val="0025042C"/>
    <w:rsid w:val="00250530"/>
    <w:rsid w:val="00250BC5"/>
    <w:rsid w:val="00250C95"/>
    <w:rsid w:val="00251076"/>
    <w:rsid w:val="0025166C"/>
    <w:rsid w:val="0025189B"/>
    <w:rsid w:val="00251E1D"/>
    <w:rsid w:val="002521AE"/>
    <w:rsid w:val="002532AF"/>
    <w:rsid w:val="002532FE"/>
    <w:rsid w:val="00253516"/>
    <w:rsid w:val="00254089"/>
    <w:rsid w:val="00254610"/>
    <w:rsid w:val="00254C15"/>
    <w:rsid w:val="00254C1C"/>
    <w:rsid w:val="0025508E"/>
    <w:rsid w:val="0025515A"/>
    <w:rsid w:val="002555D4"/>
    <w:rsid w:val="0025654E"/>
    <w:rsid w:val="00256808"/>
    <w:rsid w:val="00257427"/>
    <w:rsid w:val="00257ECD"/>
    <w:rsid w:val="00260A71"/>
    <w:rsid w:val="00261715"/>
    <w:rsid w:val="002618F8"/>
    <w:rsid w:val="00261A16"/>
    <w:rsid w:val="00261B0B"/>
    <w:rsid w:val="00262090"/>
    <w:rsid w:val="00263522"/>
    <w:rsid w:val="002637C0"/>
    <w:rsid w:val="00263E85"/>
    <w:rsid w:val="00264419"/>
    <w:rsid w:val="00264C35"/>
    <w:rsid w:val="00264EC6"/>
    <w:rsid w:val="00265A57"/>
    <w:rsid w:val="00266A46"/>
    <w:rsid w:val="002674C8"/>
    <w:rsid w:val="00267E70"/>
    <w:rsid w:val="00267F1A"/>
    <w:rsid w:val="00270332"/>
    <w:rsid w:val="00271013"/>
    <w:rsid w:val="002718A3"/>
    <w:rsid w:val="00271A1A"/>
    <w:rsid w:val="00271BD5"/>
    <w:rsid w:val="00271C3C"/>
    <w:rsid w:val="002724B4"/>
    <w:rsid w:val="002725B0"/>
    <w:rsid w:val="00272648"/>
    <w:rsid w:val="00272884"/>
    <w:rsid w:val="0027297F"/>
    <w:rsid w:val="00272D83"/>
    <w:rsid w:val="00272F22"/>
    <w:rsid w:val="002733CD"/>
    <w:rsid w:val="00273FE4"/>
    <w:rsid w:val="00274554"/>
    <w:rsid w:val="00274750"/>
    <w:rsid w:val="00274C00"/>
    <w:rsid w:val="002765B4"/>
    <w:rsid w:val="00276A94"/>
    <w:rsid w:val="00276BA3"/>
    <w:rsid w:val="00277810"/>
    <w:rsid w:val="00277B0B"/>
    <w:rsid w:val="00277C95"/>
    <w:rsid w:val="00280333"/>
    <w:rsid w:val="00280497"/>
    <w:rsid w:val="00280B06"/>
    <w:rsid w:val="00280B45"/>
    <w:rsid w:val="00280D2E"/>
    <w:rsid w:val="002811C0"/>
    <w:rsid w:val="002819B9"/>
    <w:rsid w:val="0028268A"/>
    <w:rsid w:val="00283156"/>
    <w:rsid w:val="002835C1"/>
    <w:rsid w:val="002836D9"/>
    <w:rsid w:val="00283B86"/>
    <w:rsid w:val="00283C91"/>
    <w:rsid w:val="0028424D"/>
    <w:rsid w:val="00284327"/>
    <w:rsid w:val="0028442A"/>
    <w:rsid w:val="002866D7"/>
    <w:rsid w:val="00287066"/>
    <w:rsid w:val="0028741C"/>
    <w:rsid w:val="002874CB"/>
    <w:rsid w:val="002876CC"/>
    <w:rsid w:val="00287CEA"/>
    <w:rsid w:val="00287F75"/>
    <w:rsid w:val="00290295"/>
    <w:rsid w:val="00290AB0"/>
    <w:rsid w:val="00290D22"/>
    <w:rsid w:val="00291080"/>
    <w:rsid w:val="00291A16"/>
    <w:rsid w:val="00291E3F"/>
    <w:rsid w:val="002927CC"/>
    <w:rsid w:val="00292B7D"/>
    <w:rsid w:val="0029311D"/>
    <w:rsid w:val="00293D46"/>
    <w:rsid w:val="0029405D"/>
    <w:rsid w:val="002942FF"/>
    <w:rsid w:val="0029461A"/>
    <w:rsid w:val="00294B10"/>
    <w:rsid w:val="00294FA6"/>
    <w:rsid w:val="00295098"/>
    <w:rsid w:val="00295A6F"/>
    <w:rsid w:val="00296132"/>
    <w:rsid w:val="00297886"/>
    <w:rsid w:val="002A029B"/>
    <w:rsid w:val="002A0740"/>
    <w:rsid w:val="002A12C5"/>
    <w:rsid w:val="002A20C4"/>
    <w:rsid w:val="002A24CB"/>
    <w:rsid w:val="002A28A4"/>
    <w:rsid w:val="002A2AA9"/>
    <w:rsid w:val="002A3218"/>
    <w:rsid w:val="002A3BEB"/>
    <w:rsid w:val="002A3D6A"/>
    <w:rsid w:val="002A3EFF"/>
    <w:rsid w:val="002A416C"/>
    <w:rsid w:val="002A4BE1"/>
    <w:rsid w:val="002A5563"/>
    <w:rsid w:val="002A570F"/>
    <w:rsid w:val="002A5EC3"/>
    <w:rsid w:val="002A5F78"/>
    <w:rsid w:val="002A6470"/>
    <w:rsid w:val="002A7271"/>
    <w:rsid w:val="002A7292"/>
    <w:rsid w:val="002A7358"/>
    <w:rsid w:val="002A748A"/>
    <w:rsid w:val="002A7902"/>
    <w:rsid w:val="002B023A"/>
    <w:rsid w:val="002B0B59"/>
    <w:rsid w:val="002B0F6B"/>
    <w:rsid w:val="002B23AE"/>
    <w:rsid w:val="002B23B8"/>
    <w:rsid w:val="002B248B"/>
    <w:rsid w:val="002B2A45"/>
    <w:rsid w:val="002B2ADB"/>
    <w:rsid w:val="002B3AA7"/>
    <w:rsid w:val="002B3C07"/>
    <w:rsid w:val="002B3D10"/>
    <w:rsid w:val="002B433D"/>
    <w:rsid w:val="002B4429"/>
    <w:rsid w:val="002B5327"/>
    <w:rsid w:val="002B5B51"/>
    <w:rsid w:val="002B5DE7"/>
    <w:rsid w:val="002B5E80"/>
    <w:rsid w:val="002B5E8D"/>
    <w:rsid w:val="002B64B7"/>
    <w:rsid w:val="002B64C2"/>
    <w:rsid w:val="002B68A6"/>
    <w:rsid w:val="002B6C69"/>
    <w:rsid w:val="002B6EED"/>
    <w:rsid w:val="002B7043"/>
    <w:rsid w:val="002B75CB"/>
    <w:rsid w:val="002B7779"/>
    <w:rsid w:val="002B7FAF"/>
    <w:rsid w:val="002B7FC1"/>
    <w:rsid w:val="002C04C3"/>
    <w:rsid w:val="002C1496"/>
    <w:rsid w:val="002C16B7"/>
    <w:rsid w:val="002C1EEE"/>
    <w:rsid w:val="002C203D"/>
    <w:rsid w:val="002C33EF"/>
    <w:rsid w:val="002C3602"/>
    <w:rsid w:val="002C3CD2"/>
    <w:rsid w:val="002C3FC8"/>
    <w:rsid w:val="002C411C"/>
    <w:rsid w:val="002C442B"/>
    <w:rsid w:val="002C4B8C"/>
    <w:rsid w:val="002C5DC3"/>
    <w:rsid w:val="002C64F1"/>
    <w:rsid w:val="002C7023"/>
    <w:rsid w:val="002C737B"/>
    <w:rsid w:val="002C77D3"/>
    <w:rsid w:val="002C7DF6"/>
    <w:rsid w:val="002D08A5"/>
    <w:rsid w:val="002D0C4F"/>
    <w:rsid w:val="002D1364"/>
    <w:rsid w:val="002D171C"/>
    <w:rsid w:val="002D1803"/>
    <w:rsid w:val="002D181C"/>
    <w:rsid w:val="002D1D57"/>
    <w:rsid w:val="002D2026"/>
    <w:rsid w:val="002D2929"/>
    <w:rsid w:val="002D2B5C"/>
    <w:rsid w:val="002D30CC"/>
    <w:rsid w:val="002D3B96"/>
    <w:rsid w:val="002D3BBA"/>
    <w:rsid w:val="002D428C"/>
    <w:rsid w:val="002D443E"/>
    <w:rsid w:val="002D4629"/>
    <w:rsid w:val="002D4B06"/>
    <w:rsid w:val="002D4C30"/>
    <w:rsid w:val="002D4D30"/>
    <w:rsid w:val="002D5000"/>
    <w:rsid w:val="002D5443"/>
    <w:rsid w:val="002D598D"/>
    <w:rsid w:val="002D5F92"/>
    <w:rsid w:val="002D61ED"/>
    <w:rsid w:val="002D66A1"/>
    <w:rsid w:val="002D7188"/>
    <w:rsid w:val="002D75F6"/>
    <w:rsid w:val="002D7AFF"/>
    <w:rsid w:val="002D7E79"/>
    <w:rsid w:val="002E01EF"/>
    <w:rsid w:val="002E04AD"/>
    <w:rsid w:val="002E0727"/>
    <w:rsid w:val="002E1DE3"/>
    <w:rsid w:val="002E2AB6"/>
    <w:rsid w:val="002E3A7B"/>
    <w:rsid w:val="002E3D18"/>
    <w:rsid w:val="002E3DBC"/>
    <w:rsid w:val="002E3F34"/>
    <w:rsid w:val="002E5293"/>
    <w:rsid w:val="002E5831"/>
    <w:rsid w:val="002E5F79"/>
    <w:rsid w:val="002E60F9"/>
    <w:rsid w:val="002E64FA"/>
    <w:rsid w:val="002E6731"/>
    <w:rsid w:val="002E67B3"/>
    <w:rsid w:val="002E7483"/>
    <w:rsid w:val="002E7602"/>
    <w:rsid w:val="002E77CA"/>
    <w:rsid w:val="002F06FE"/>
    <w:rsid w:val="002F0A00"/>
    <w:rsid w:val="002F0CFA"/>
    <w:rsid w:val="002F1342"/>
    <w:rsid w:val="002F1AE6"/>
    <w:rsid w:val="002F20F3"/>
    <w:rsid w:val="002F2617"/>
    <w:rsid w:val="002F267C"/>
    <w:rsid w:val="002F343F"/>
    <w:rsid w:val="002F4535"/>
    <w:rsid w:val="002F46FE"/>
    <w:rsid w:val="002F4BDB"/>
    <w:rsid w:val="002F5BFD"/>
    <w:rsid w:val="002F6511"/>
    <w:rsid w:val="002F65B4"/>
    <w:rsid w:val="002F669F"/>
    <w:rsid w:val="002F67A0"/>
    <w:rsid w:val="002F6C93"/>
    <w:rsid w:val="002F7099"/>
    <w:rsid w:val="002F7544"/>
    <w:rsid w:val="002F76C0"/>
    <w:rsid w:val="0030165D"/>
    <w:rsid w:val="003017F9"/>
    <w:rsid w:val="00301C64"/>
    <w:rsid w:val="00301C97"/>
    <w:rsid w:val="00302154"/>
    <w:rsid w:val="003023B5"/>
    <w:rsid w:val="003027FA"/>
    <w:rsid w:val="00302879"/>
    <w:rsid w:val="00303187"/>
    <w:rsid w:val="003036AE"/>
    <w:rsid w:val="00303A8F"/>
    <w:rsid w:val="00303CC9"/>
    <w:rsid w:val="0030446A"/>
    <w:rsid w:val="00304589"/>
    <w:rsid w:val="003055F4"/>
    <w:rsid w:val="00306269"/>
    <w:rsid w:val="00306B0A"/>
    <w:rsid w:val="00307A9C"/>
    <w:rsid w:val="0031004C"/>
    <w:rsid w:val="0031012C"/>
    <w:rsid w:val="003105F6"/>
    <w:rsid w:val="00310975"/>
    <w:rsid w:val="00311297"/>
    <w:rsid w:val="00311356"/>
    <w:rsid w:val="003113BE"/>
    <w:rsid w:val="003122CA"/>
    <w:rsid w:val="003124FA"/>
    <w:rsid w:val="00312574"/>
    <w:rsid w:val="00312A4B"/>
    <w:rsid w:val="00312C52"/>
    <w:rsid w:val="003131F9"/>
    <w:rsid w:val="00313EC3"/>
    <w:rsid w:val="003148FD"/>
    <w:rsid w:val="00314B34"/>
    <w:rsid w:val="00314D8F"/>
    <w:rsid w:val="00315523"/>
    <w:rsid w:val="00315C57"/>
    <w:rsid w:val="00315FD7"/>
    <w:rsid w:val="003160F7"/>
    <w:rsid w:val="003161FB"/>
    <w:rsid w:val="00316619"/>
    <w:rsid w:val="003166BF"/>
    <w:rsid w:val="003168E5"/>
    <w:rsid w:val="00316B4C"/>
    <w:rsid w:val="003178F3"/>
    <w:rsid w:val="00317A30"/>
    <w:rsid w:val="00321080"/>
    <w:rsid w:val="003212FA"/>
    <w:rsid w:val="0032274B"/>
    <w:rsid w:val="00322D45"/>
    <w:rsid w:val="00323414"/>
    <w:rsid w:val="003236A7"/>
    <w:rsid w:val="003237C2"/>
    <w:rsid w:val="003241A7"/>
    <w:rsid w:val="003246CF"/>
    <w:rsid w:val="00324B06"/>
    <w:rsid w:val="0032569A"/>
    <w:rsid w:val="00325A1F"/>
    <w:rsid w:val="00325AFE"/>
    <w:rsid w:val="00325D0B"/>
    <w:rsid w:val="00326013"/>
    <w:rsid w:val="00326284"/>
    <w:rsid w:val="003266EB"/>
    <w:rsid w:val="003268F9"/>
    <w:rsid w:val="00326C3B"/>
    <w:rsid w:val="0032711C"/>
    <w:rsid w:val="00327668"/>
    <w:rsid w:val="003300BA"/>
    <w:rsid w:val="00330393"/>
    <w:rsid w:val="00330BAF"/>
    <w:rsid w:val="003311CB"/>
    <w:rsid w:val="00331978"/>
    <w:rsid w:val="00332ED8"/>
    <w:rsid w:val="00333657"/>
    <w:rsid w:val="003337AC"/>
    <w:rsid w:val="00333F15"/>
    <w:rsid w:val="00334E3A"/>
    <w:rsid w:val="00335034"/>
    <w:rsid w:val="003350DB"/>
    <w:rsid w:val="00335792"/>
    <w:rsid w:val="00335AD9"/>
    <w:rsid w:val="00335D1E"/>
    <w:rsid w:val="00336153"/>
    <w:rsid w:val="003361DD"/>
    <w:rsid w:val="00336706"/>
    <w:rsid w:val="003367CC"/>
    <w:rsid w:val="00336A44"/>
    <w:rsid w:val="00336A9F"/>
    <w:rsid w:val="00340998"/>
    <w:rsid w:val="00340EFF"/>
    <w:rsid w:val="00340F97"/>
    <w:rsid w:val="003417DE"/>
    <w:rsid w:val="00341A6A"/>
    <w:rsid w:val="00341E21"/>
    <w:rsid w:val="00341F92"/>
    <w:rsid w:val="00342620"/>
    <w:rsid w:val="0034370F"/>
    <w:rsid w:val="00343D92"/>
    <w:rsid w:val="003443AD"/>
    <w:rsid w:val="00344573"/>
    <w:rsid w:val="0034554C"/>
    <w:rsid w:val="00345B9C"/>
    <w:rsid w:val="00345BE6"/>
    <w:rsid w:val="00345C9F"/>
    <w:rsid w:val="00345CBB"/>
    <w:rsid w:val="00345F8E"/>
    <w:rsid w:val="003463A3"/>
    <w:rsid w:val="00347096"/>
    <w:rsid w:val="00347739"/>
    <w:rsid w:val="003478B0"/>
    <w:rsid w:val="00347E99"/>
    <w:rsid w:val="003500D4"/>
    <w:rsid w:val="00350412"/>
    <w:rsid w:val="0035157B"/>
    <w:rsid w:val="003516AB"/>
    <w:rsid w:val="00351C86"/>
    <w:rsid w:val="00351E70"/>
    <w:rsid w:val="003520B1"/>
    <w:rsid w:val="003521ED"/>
    <w:rsid w:val="003525F1"/>
    <w:rsid w:val="00352632"/>
    <w:rsid w:val="0035296B"/>
    <w:rsid w:val="00352A90"/>
    <w:rsid w:val="00352DAE"/>
    <w:rsid w:val="0035336B"/>
    <w:rsid w:val="003533ED"/>
    <w:rsid w:val="00353415"/>
    <w:rsid w:val="00353C10"/>
    <w:rsid w:val="003541F7"/>
    <w:rsid w:val="00354EB9"/>
    <w:rsid w:val="00355112"/>
    <w:rsid w:val="0035640D"/>
    <w:rsid w:val="00356A44"/>
    <w:rsid w:val="00356AB1"/>
    <w:rsid w:val="00356D74"/>
    <w:rsid w:val="0035702C"/>
    <w:rsid w:val="003577F7"/>
    <w:rsid w:val="00357BB4"/>
    <w:rsid w:val="003602AE"/>
    <w:rsid w:val="00360929"/>
    <w:rsid w:val="003619C0"/>
    <w:rsid w:val="00361ED3"/>
    <w:rsid w:val="00362C60"/>
    <w:rsid w:val="00362E1D"/>
    <w:rsid w:val="00363107"/>
    <w:rsid w:val="0036322F"/>
    <w:rsid w:val="00363857"/>
    <w:rsid w:val="00363924"/>
    <w:rsid w:val="0036408A"/>
    <w:rsid w:val="003640E4"/>
    <w:rsid w:val="003645D2"/>
    <w:rsid w:val="003647D5"/>
    <w:rsid w:val="003649FE"/>
    <w:rsid w:val="00364DB4"/>
    <w:rsid w:val="00364E9E"/>
    <w:rsid w:val="00365661"/>
    <w:rsid w:val="00365A01"/>
    <w:rsid w:val="00365A4D"/>
    <w:rsid w:val="00365FA8"/>
    <w:rsid w:val="00366A09"/>
    <w:rsid w:val="00366C26"/>
    <w:rsid w:val="003671B7"/>
    <w:rsid w:val="003674B0"/>
    <w:rsid w:val="003677B7"/>
    <w:rsid w:val="003677F7"/>
    <w:rsid w:val="00367BF4"/>
    <w:rsid w:val="00367FFD"/>
    <w:rsid w:val="003700C8"/>
    <w:rsid w:val="0037015C"/>
    <w:rsid w:val="003701BD"/>
    <w:rsid w:val="003702B7"/>
    <w:rsid w:val="00371097"/>
    <w:rsid w:val="00371301"/>
    <w:rsid w:val="00371749"/>
    <w:rsid w:val="0037179E"/>
    <w:rsid w:val="0037207D"/>
    <w:rsid w:val="003720F9"/>
    <w:rsid w:val="0037215B"/>
    <w:rsid w:val="00372D9B"/>
    <w:rsid w:val="00372E52"/>
    <w:rsid w:val="0037395C"/>
    <w:rsid w:val="003749EB"/>
    <w:rsid w:val="00375147"/>
    <w:rsid w:val="0037568A"/>
    <w:rsid w:val="00375727"/>
    <w:rsid w:val="0037694F"/>
    <w:rsid w:val="00376B2B"/>
    <w:rsid w:val="00376F44"/>
    <w:rsid w:val="0037727C"/>
    <w:rsid w:val="00377BE8"/>
    <w:rsid w:val="00377E70"/>
    <w:rsid w:val="00380904"/>
    <w:rsid w:val="00380C45"/>
    <w:rsid w:val="003818FE"/>
    <w:rsid w:val="00381BDF"/>
    <w:rsid w:val="003823EE"/>
    <w:rsid w:val="00382960"/>
    <w:rsid w:val="00382FDA"/>
    <w:rsid w:val="003832D5"/>
    <w:rsid w:val="003833A2"/>
    <w:rsid w:val="00383840"/>
    <w:rsid w:val="00383BE5"/>
    <w:rsid w:val="003840D5"/>
    <w:rsid w:val="003842AB"/>
    <w:rsid w:val="003846F7"/>
    <w:rsid w:val="003851ED"/>
    <w:rsid w:val="00385205"/>
    <w:rsid w:val="00385593"/>
    <w:rsid w:val="00385B39"/>
    <w:rsid w:val="00385B62"/>
    <w:rsid w:val="00385E6A"/>
    <w:rsid w:val="003861F1"/>
    <w:rsid w:val="00386785"/>
    <w:rsid w:val="00386959"/>
    <w:rsid w:val="00386998"/>
    <w:rsid w:val="00386F4E"/>
    <w:rsid w:val="00387C81"/>
    <w:rsid w:val="00390E89"/>
    <w:rsid w:val="00391290"/>
    <w:rsid w:val="00391665"/>
    <w:rsid w:val="00391B1A"/>
    <w:rsid w:val="00392192"/>
    <w:rsid w:val="003921E9"/>
    <w:rsid w:val="00392E18"/>
    <w:rsid w:val="00394423"/>
    <w:rsid w:val="00394ABF"/>
    <w:rsid w:val="003951A4"/>
    <w:rsid w:val="00395536"/>
    <w:rsid w:val="00395B15"/>
    <w:rsid w:val="003964CF"/>
    <w:rsid w:val="00396942"/>
    <w:rsid w:val="00396B49"/>
    <w:rsid w:val="00396E3E"/>
    <w:rsid w:val="00397CF5"/>
    <w:rsid w:val="00397D12"/>
    <w:rsid w:val="003A00FD"/>
    <w:rsid w:val="003A0289"/>
    <w:rsid w:val="003A077C"/>
    <w:rsid w:val="003A089F"/>
    <w:rsid w:val="003A0EE3"/>
    <w:rsid w:val="003A1751"/>
    <w:rsid w:val="003A1F6D"/>
    <w:rsid w:val="003A264F"/>
    <w:rsid w:val="003A26BD"/>
    <w:rsid w:val="003A2AD1"/>
    <w:rsid w:val="003A306E"/>
    <w:rsid w:val="003A31F1"/>
    <w:rsid w:val="003A3ADA"/>
    <w:rsid w:val="003A40B2"/>
    <w:rsid w:val="003A4C48"/>
    <w:rsid w:val="003A5595"/>
    <w:rsid w:val="003A5B4F"/>
    <w:rsid w:val="003A5DFA"/>
    <w:rsid w:val="003A60DC"/>
    <w:rsid w:val="003A6A46"/>
    <w:rsid w:val="003A6AE1"/>
    <w:rsid w:val="003A6FBA"/>
    <w:rsid w:val="003A7463"/>
    <w:rsid w:val="003A75B9"/>
    <w:rsid w:val="003A79E2"/>
    <w:rsid w:val="003A7A63"/>
    <w:rsid w:val="003A7A8C"/>
    <w:rsid w:val="003B000C"/>
    <w:rsid w:val="003B0785"/>
    <w:rsid w:val="003B0F1D"/>
    <w:rsid w:val="003B144B"/>
    <w:rsid w:val="003B148F"/>
    <w:rsid w:val="003B158C"/>
    <w:rsid w:val="003B1D49"/>
    <w:rsid w:val="003B1E51"/>
    <w:rsid w:val="003B226F"/>
    <w:rsid w:val="003B27E8"/>
    <w:rsid w:val="003B28AC"/>
    <w:rsid w:val="003B28F8"/>
    <w:rsid w:val="003B2B44"/>
    <w:rsid w:val="003B2E0A"/>
    <w:rsid w:val="003B31A3"/>
    <w:rsid w:val="003B3BDB"/>
    <w:rsid w:val="003B3DC6"/>
    <w:rsid w:val="003B444C"/>
    <w:rsid w:val="003B4A57"/>
    <w:rsid w:val="003B5AD8"/>
    <w:rsid w:val="003B5C06"/>
    <w:rsid w:val="003B60D3"/>
    <w:rsid w:val="003B60EA"/>
    <w:rsid w:val="003B6FF1"/>
    <w:rsid w:val="003B7CB8"/>
    <w:rsid w:val="003C02FA"/>
    <w:rsid w:val="003C0AD9"/>
    <w:rsid w:val="003C0E15"/>
    <w:rsid w:val="003C0ED0"/>
    <w:rsid w:val="003C0FBF"/>
    <w:rsid w:val="003C1D49"/>
    <w:rsid w:val="003C1F60"/>
    <w:rsid w:val="003C1F6A"/>
    <w:rsid w:val="003C2374"/>
    <w:rsid w:val="003C26AB"/>
    <w:rsid w:val="003C35C4"/>
    <w:rsid w:val="003C3A5E"/>
    <w:rsid w:val="003C3D7D"/>
    <w:rsid w:val="003C427B"/>
    <w:rsid w:val="003C4749"/>
    <w:rsid w:val="003C5136"/>
    <w:rsid w:val="003C629E"/>
    <w:rsid w:val="003C682E"/>
    <w:rsid w:val="003C68AC"/>
    <w:rsid w:val="003C69C3"/>
    <w:rsid w:val="003C6BD1"/>
    <w:rsid w:val="003C7072"/>
    <w:rsid w:val="003C7888"/>
    <w:rsid w:val="003C7B3C"/>
    <w:rsid w:val="003C7FC9"/>
    <w:rsid w:val="003D0E19"/>
    <w:rsid w:val="003D12C2"/>
    <w:rsid w:val="003D131A"/>
    <w:rsid w:val="003D1678"/>
    <w:rsid w:val="003D2198"/>
    <w:rsid w:val="003D22DA"/>
    <w:rsid w:val="003D30C6"/>
    <w:rsid w:val="003D31B9"/>
    <w:rsid w:val="003D378F"/>
    <w:rsid w:val="003D3867"/>
    <w:rsid w:val="003D3A3E"/>
    <w:rsid w:val="003D4E18"/>
    <w:rsid w:val="003D4FF8"/>
    <w:rsid w:val="003D53E1"/>
    <w:rsid w:val="003D5B05"/>
    <w:rsid w:val="003D6B40"/>
    <w:rsid w:val="003D6F78"/>
    <w:rsid w:val="003D71D9"/>
    <w:rsid w:val="003D7429"/>
    <w:rsid w:val="003D7572"/>
    <w:rsid w:val="003D77FF"/>
    <w:rsid w:val="003D7F9B"/>
    <w:rsid w:val="003E028C"/>
    <w:rsid w:val="003E07FD"/>
    <w:rsid w:val="003E0C3C"/>
    <w:rsid w:val="003E0CC2"/>
    <w:rsid w:val="003E0CE2"/>
    <w:rsid w:val="003E0D1A"/>
    <w:rsid w:val="003E13CC"/>
    <w:rsid w:val="003E166F"/>
    <w:rsid w:val="003E17CA"/>
    <w:rsid w:val="003E26C4"/>
    <w:rsid w:val="003E2DA3"/>
    <w:rsid w:val="003E3062"/>
    <w:rsid w:val="003E326A"/>
    <w:rsid w:val="003E394A"/>
    <w:rsid w:val="003E3B00"/>
    <w:rsid w:val="003E44CB"/>
    <w:rsid w:val="003E4B24"/>
    <w:rsid w:val="003E5108"/>
    <w:rsid w:val="003E5304"/>
    <w:rsid w:val="003E5545"/>
    <w:rsid w:val="003E57DF"/>
    <w:rsid w:val="003E58DA"/>
    <w:rsid w:val="003E6030"/>
    <w:rsid w:val="003E6D42"/>
    <w:rsid w:val="003E6E47"/>
    <w:rsid w:val="003E6F4A"/>
    <w:rsid w:val="003E7654"/>
    <w:rsid w:val="003E78A5"/>
    <w:rsid w:val="003F00A7"/>
    <w:rsid w:val="003F020D"/>
    <w:rsid w:val="003F02D7"/>
    <w:rsid w:val="003F03D9"/>
    <w:rsid w:val="003F0657"/>
    <w:rsid w:val="003F0C00"/>
    <w:rsid w:val="003F0D64"/>
    <w:rsid w:val="003F0F1F"/>
    <w:rsid w:val="003F1039"/>
    <w:rsid w:val="003F127C"/>
    <w:rsid w:val="003F1414"/>
    <w:rsid w:val="003F1478"/>
    <w:rsid w:val="003F16D2"/>
    <w:rsid w:val="003F1AB8"/>
    <w:rsid w:val="003F1D7D"/>
    <w:rsid w:val="003F228B"/>
    <w:rsid w:val="003F269B"/>
    <w:rsid w:val="003F2B30"/>
    <w:rsid w:val="003F2C43"/>
    <w:rsid w:val="003F2FBE"/>
    <w:rsid w:val="003F318D"/>
    <w:rsid w:val="003F38D8"/>
    <w:rsid w:val="003F3A9E"/>
    <w:rsid w:val="003F4A2E"/>
    <w:rsid w:val="003F556E"/>
    <w:rsid w:val="003F5655"/>
    <w:rsid w:val="003F5BAE"/>
    <w:rsid w:val="003F5FA8"/>
    <w:rsid w:val="003F6ED7"/>
    <w:rsid w:val="0040017E"/>
    <w:rsid w:val="004006B8"/>
    <w:rsid w:val="00400871"/>
    <w:rsid w:val="00401158"/>
    <w:rsid w:val="004015F1"/>
    <w:rsid w:val="00401C2F"/>
    <w:rsid w:val="00401C84"/>
    <w:rsid w:val="00402245"/>
    <w:rsid w:val="00402BCE"/>
    <w:rsid w:val="00403210"/>
    <w:rsid w:val="004033CA"/>
    <w:rsid w:val="004035BB"/>
    <w:rsid w:val="004035EB"/>
    <w:rsid w:val="00403789"/>
    <w:rsid w:val="00404166"/>
    <w:rsid w:val="004045F5"/>
    <w:rsid w:val="00404790"/>
    <w:rsid w:val="0040480F"/>
    <w:rsid w:val="00405E17"/>
    <w:rsid w:val="00405E34"/>
    <w:rsid w:val="00406395"/>
    <w:rsid w:val="00406633"/>
    <w:rsid w:val="00406B32"/>
    <w:rsid w:val="00407332"/>
    <w:rsid w:val="00407828"/>
    <w:rsid w:val="0040784C"/>
    <w:rsid w:val="00407926"/>
    <w:rsid w:val="00407A8F"/>
    <w:rsid w:val="00410571"/>
    <w:rsid w:val="0041064C"/>
    <w:rsid w:val="004106C4"/>
    <w:rsid w:val="0041077A"/>
    <w:rsid w:val="0041147A"/>
    <w:rsid w:val="0041155B"/>
    <w:rsid w:val="00411F45"/>
    <w:rsid w:val="0041202F"/>
    <w:rsid w:val="004125BF"/>
    <w:rsid w:val="00412802"/>
    <w:rsid w:val="00412E89"/>
    <w:rsid w:val="004130E5"/>
    <w:rsid w:val="00413381"/>
    <w:rsid w:val="004133D3"/>
    <w:rsid w:val="0041373E"/>
    <w:rsid w:val="0041397C"/>
    <w:rsid w:val="00413BA7"/>
    <w:rsid w:val="00413D8E"/>
    <w:rsid w:val="004140F2"/>
    <w:rsid w:val="0041431B"/>
    <w:rsid w:val="00414AA1"/>
    <w:rsid w:val="00414FAB"/>
    <w:rsid w:val="0041553F"/>
    <w:rsid w:val="00415BA4"/>
    <w:rsid w:val="004162F7"/>
    <w:rsid w:val="004166EB"/>
    <w:rsid w:val="004169E8"/>
    <w:rsid w:val="00416A5B"/>
    <w:rsid w:val="00416DB4"/>
    <w:rsid w:val="00416DBF"/>
    <w:rsid w:val="00417551"/>
    <w:rsid w:val="00417B22"/>
    <w:rsid w:val="00417CF3"/>
    <w:rsid w:val="00417E6B"/>
    <w:rsid w:val="00420460"/>
    <w:rsid w:val="00420B0A"/>
    <w:rsid w:val="00420CB8"/>
    <w:rsid w:val="00421085"/>
    <w:rsid w:val="004210FE"/>
    <w:rsid w:val="004217DE"/>
    <w:rsid w:val="0042185E"/>
    <w:rsid w:val="00422930"/>
    <w:rsid w:val="00422BC2"/>
    <w:rsid w:val="00422F70"/>
    <w:rsid w:val="0042465E"/>
    <w:rsid w:val="00424DF7"/>
    <w:rsid w:val="00424DFF"/>
    <w:rsid w:val="00424E22"/>
    <w:rsid w:val="00425111"/>
    <w:rsid w:val="00425893"/>
    <w:rsid w:val="004258BE"/>
    <w:rsid w:val="0042654D"/>
    <w:rsid w:val="00426AD2"/>
    <w:rsid w:val="00427CE5"/>
    <w:rsid w:val="00427F15"/>
    <w:rsid w:val="004304C5"/>
    <w:rsid w:val="00430B95"/>
    <w:rsid w:val="00430F12"/>
    <w:rsid w:val="004311FC"/>
    <w:rsid w:val="00431995"/>
    <w:rsid w:val="00432B76"/>
    <w:rsid w:val="004343D7"/>
    <w:rsid w:val="00434999"/>
    <w:rsid w:val="00434D01"/>
    <w:rsid w:val="00434DB4"/>
    <w:rsid w:val="00434FB9"/>
    <w:rsid w:val="004359B2"/>
    <w:rsid w:val="00435ABE"/>
    <w:rsid w:val="00435D26"/>
    <w:rsid w:val="00436800"/>
    <w:rsid w:val="00436FFC"/>
    <w:rsid w:val="0043777E"/>
    <w:rsid w:val="0043784C"/>
    <w:rsid w:val="00437BB2"/>
    <w:rsid w:val="00437C89"/>
    <w:rsid w:val="00437FB5"/>
    <w:rsid w:val="0044061F"/>
    <w:rsid w:val="00440888"/>
    <w:rsid w:val="004408E3"/>
    <w:rsid w:val="00440A22"/>
    <w:rsid w:val="00440C99"/>
    <w:rsid w:val="0044175C"/>
    <w:rsid w:val="0044275B"/>
    <w:rsid w:val="004434B5"/>
    <w:rsid w:val="00443B7E"/>
    <w:rsid w:val="00443B92"/>
    <w:rsid w:val="004447A7"/>
    <w:rsid w:val="004448FF"/>
    <w:rsid w:val="00445058"/>
    <w:rsid w:val="004458FF"/>
    <w:rsid w:val="00445E3A"/>
    <w:rsid w:val="00445F4D"/>
    <w:rsid w:val="004470F2"/>
    <w:rsid w:val="004504C0"/>
    <w:rsid w:val="004504CD"/>
    <w:rsid w:val="00450CAD"/>
    <w:rsid w:val="0045146F"/>
    <w:rsid w:val="0045161F"/>
    <w:rsid w:val="004526EC"/>
    <w:rsid w:val="00453878"/>
    <w:rsid w:val="0045399C"/>
    <w:rsid w:val="00453CFF"/>
    <w:rsid w:val="00453DF4"/>
    <w:rsid w:val="00453E59"/>
    <w:rsid w:val="00453F55"/>
    <w:rsid w:val="004542D0"/>
    <w:rsid w:val="004550FB"/>
    <w:rsid w:val="00455428"/>
    <w:rsid w:val="0045601C"/>
    <w:rsid w:val="004560F7"/>
    <w:rsid w:val="00456E78"/>
    <w:rsid w:val="00457055"/>
    <w:rsid w:val="004600A4"/>
    <w:rsid w:val="00460376"/>
    <w:rsid w:val="0046048E"/>
    <w:rsid w:val="0046062E"/>
    <w:rsid w:val="0046084D"/>
    <w:rsid w:val="004608C0"/>
    <w:rsid w:val="004609C3"/>
    <w:rsid w:val="00461055"/>
    <w:rsid w:val="0046111A"/>
    <w:rsid w:val="00461380"/>
    <w:rsid w:val="004613D8"/>
    <w:rsid w:val="00461733"/>
    <w:rsid w:val="00461754"/>
    <w:rsid w:val="00461785"/>
    <w:rsid w:val="00462024"/>
    <w:rsid w:val="004623FE"/>
    <w:rsid w:val="00462946"/>
    <w:rsid w:val="0046295E"/>
    <w:rsid w:val="00462A8D"/>
    <w:rsid w:val="00462DB8"/>
    <w:rsid w:val="0046316B"/>
    <w:rsid w:val="00463F43"/>
    <w:rsid w:val="00463FA1"/>
    <w:rsid w:val="0046455A"/>
    <w:rsid w:val="00464B94"/>
    <w:rsid w:val="00464F64"/>
    <w:rsid w:val="004653A8"/>
    <w:rsid w:val="004653C2"/>
    <w:rsid w:val="004657C3"/>
    <w:rsid w:val="00465A0B"/>
    <w:rsid w:val="00465BE4"/>
    <w:rsid w:val="00465C72"/>
    <w:rsid w:val="00465DE1"/>
    <w:rsid w:val="00465F3C"/>
    <w:rsid w:val="00466B58"/>
    <w:rsid w:val="00466F55"/>
    <w:rsid w:val="00467125"/>
    <w:rsid w:val="0047056F"/>
    <w:rsid w:val="0047065B"/>
    <w:rsid w:val="0047077C"/>
    <w:rsid w:val="00470A9C"/>
    <w:rsid w:val="00470B05"/>
    <w:rsid w:val="00471903"/>
    <w:rsid w:val="0047207C"/>
    <w:rsid w:val="00472486"/>
    <w:rsid w:val="00472529"/>
    <w:rsid w:val="004726B1"/>
    <w:rsid w:val="00472CD6"/>
    <w:rsid w:val="00473B4C"/>
    <w:rsid w:val="004740AE"/>
    <w:rsid w:val="00474407"/>
    <w:rsid w:val="004744B2"/>
    <w:rsid w:val="00474763"/>
    <w:rsid w:val="00474E3C"/>
    <w:rsid w:val="004751BE"/>
    <w:rsid w:val="00475830"/>
    <w:rsid w:val="00477039"/>
    <w:rsid w:val="00477218"/>
    <w:rsid w:val="00477B0A"/>
    <w:rsid w:val="00480355"/>
    <w:rsid w:val="00480A58"/>
    <w:rsid w:val="00480C31"/>
    <w:rsid w:val="00480CE3"/>
    <w:rsid w:val="004819CA"/>
    <w:rsid w:val="00481AA8"/>
    <w:rsid w:val="00482151"/>
    <w:rsid w:val="00482EB1"/>
    <w:rsid w:val="00482FC3"/>
    <w:rsid w:val="004837D4"/>
    <w:rsid w:val="004840EB"/>
    <w:rsid w:val="004850DF"/>
    <w:rsid w:val="00485513"/>
    <w:rsid w:val="0048591E"/>
    <w:rsid w:val="00485FAD"/>
    <w:rsid w:val="004860AF"/>
    <w:rsid w:val="00486632"/>
    <w:rsid w:val="00487070"/>
    <w:rsid w:val="004871F7"/>
    <w:rsid w:val="00487596"/>
    <w:rsid w:val="00487AED"/>
    <w:rsid w:val="004903C8"/>
    <w:rsid w:val="0049042E"/>
    <w:rsid w:val="0049070B"/>
    <w:rsid w:val="00490900"/>
    <w:rsid w:val="00490D5A"/>
    <w:rsid w:val="00490DA2"/>
    <w:rsid w:val="00491650"/>
    <w:rsid w:val="00491EDF"/>
    <w:rsid w:val="004926EF"/>
    <w:rsid w:val="00492A3F"/>
    <w:rsid w:val="00492AA0"/>
    <w:rsid w:val="00492FD8"/>
    <w:rsid w:val="0049317A"/>
    <w:rsid w:val="00493981"/>
    <w:rsid w:val="00493A5E"/>
    <w:rsid w:val="00493E3A"/>
    <w:rsid w:val="0049422E"/>
    <w:rsid w:val="00494EFC"/>
    <w:rsid w:val="00494F62"/>
    <w:rsid w:val="00495949"/>
    <w:rsid w:val="00495F3C"/>
    <w:rsid w:val="004965DE"/>
    <w:rsid w:val="004966A1"/>
    <w:rsid w:val="00497E93"/>
    <w:rsid w:val="004A020C"/>
    <w:rsid w:val="004A039E"/>
    <w:rsid w:val="004A117A"/>
    <w:rsid w:val="004A2001"/>
    <w:rsid w:val="004A2493"/>
    <w:rsid w:val="004A2AD9"/>
    <w:rsid w:val="004A3590"/>
    <w:rsid w:val="004A3870"/>
    <w:rsid w:val="004A6F34"/>
    <w:rsid w:val="004A7782"/>
    <w:rsid w:val="004B00A7"/>
    <w:rsid w:val="004B074B"/>
    <w:rsid w:val="004B1C95"/>
    <w:rsid w:val="004B1DA3"/>
    <w:rsid w:val="004B1E4D"/>
    <w:rsid w:val="004B223D"/>
    <w:rsid w:val="004B25E2"/>
    <w:rsid w:val="004B27C3"/>
    <w:rsid w:val="004B34D7"/>
    <w:rsid w:val="004B3B4C"/>
    <w:rsid w:val="004B41C3"/>
    <w:rsid w:val="004B49F1"/>
    <w:rsid w:val="004B4FE9"/>
    <w:rsid w:val="004B5037"/>
    <w:rsid w:val="004B5248"/>
    <w:rsid w:val="004B54BA"/>
    <w:rsid w:val="004B583D"/>
    <w:rsid w:val="004B5A43"/>
    <w:rsid w:val="004B5B2F"/>
    <w:rsid w:val="004B626A"/>
    <w:rsid w:val="004B660E"/>
    <w:rsid w:val="004B706E"/>
    <w:rsid w:val="004B7727"/>
    <w:rsid w:val="004B7ED6"/>
    <w:rsid w:val="004C03B1"/>
    <w:rsid w:val="004C05BD"/>
    <w:rsid w:val="004C0C3F"/>
    <w:rsid w:val="004C0F1F"/>
    <w:rsid w:val="004C1B47"/>
    <w:rsid w:val="004C2BF8"/>
    <w:rsid w:val="004C2C72"/>
    <w:rsid w:val="004C32E6"/>
    <w:rsid w:val="004C3487"/>
    <w:rsid w:val="004C3831"/>
    <w:rsid w:val="004C39D1"/>
    <w:rsid w:val="004C3A14"/>
    <w:rsid w:val="004C3B06"/>
    <w:rsid w:val="004C3CEE"/>
    <w:rsid w:val="004C3D23"/>
    <w:rsid w:val="004C3F0A"/>
    <w:rsid w:val="004C3F97"/>
    <w:rsid w:val="004C4C5C"/>
    <w:rsid w:val="004C5853"/>
    <w:rsid w:val="004C585B"/>
    <w:rsid w:val="004C5BC0"/>
    <w:rsid w:val="004C6199"/>
    <w:rsid w:val="004C6ADD"/>
    <w:rsid w:val="004C766A"/>
    <w:rsid w:val="004C7CCB"/>
    <w:rsid w:val="004C7EE7"/>
    <w:rsid w:val="004D0281"/>
    <w:rsid w:val="004D09DB"/>
    <w:rsid w:val="004D0CB7"/>
    <w:rsid w:val="004D1E8F"/>
    <w:rsid w:val="004D2C20"/>
    <w:rsid w:val="004D2DEE"/>
    <w:rsid w:val="004D2E1F"/>
    <w:rsid w:val="004D414A"/>
    <w:rsid w:val="004D4E61"/>
    <w:rsid w:val="004D524C"/>
    <w:rsid w:val="004D55AA"/>
    <w:rsid w:val="004D5EAC"/>
    <w:rsid w:val="004D6151"/>
    <w:rsid w:val="004D70DD"/>
    <w:rsid w:val="004D70E4"/>
    <w:rsid w:val="004D7235"/>
    <w:rsid w:val="004D72EC"/>
    <w:rsid w:val="004D7678"/>
    <w:rsid w:val="004D782A"/>
    <w:rsid w:val="004D7FD9"/>
    <w:rsid w:val="004E003A"/>
    <w:rsid w:val="004E1324"/>
    <w:rsid w:val="004E19A5"/>
    <w:rsid w:val="004E2BE0"/>
    <w:rsid w:val="004E2E67"/>
    <w:rsid w:val="004E3431"/>
    <w:rsid w:val="004E3534"/>
    <w:rsid w:val="004E3651"/>
    <w:rsid w:val="004E37E5"/>
    <w:rsid w:val="004E3AE3"/>
    <w:rsid w:val="004E3FDB"/>
    <w:rsid w:val="004E462E"/>
    <w:rsid w:val="004E528C"/>
    <w:rsid w:val="004E542D"/>
    <w:rsid w:val="004E5710"/>
    <w:rsid w:val="004E59B5"/>
    <w:rsid w:val="004E5F91"/>
    <w:rsid w:val="004E727A"/>
    <w:rsid w:val="004E72A0"/>
    <w:rsid w:val="004E7334"/>
    <w:rsid w:val="004E7E41"/>
    <w:rsid w:val="004F09F6"/>
    <w:rsid w:val="004F0ACE"/>
    <w:rsid w:val="004F1130"/>
    <w:rsid w:val="004F1DC9"/>
    <w:rsid w:val="004F1EE7"/>
    <w:rsid w:val="004F1F4A"/>
    <w:rsid w:val="004F2173"/>
    <w:rsid w:val="004F2779"/>
    <w:rsid w:val="004F296D"/>
    <w:rsid w:val="004F2F57"/>
    <w:rsid w:val="004F308C"/>
    <w:rsid w:val="004F3190"/>
    <w:rsid w:val="004F3AF6"/>
    <w:rsid w:val="004F3E88"/>
    <w:rsid w:val="004F401F"/>
    <w:rsid w:val="004F4488"/>
    <w:rsid w:val="004F4901"/>
    <w:rsid w:val="004F508B"/>
    <w:rsid w:val="004F510C"/>
    <w:rsid w:val="004F51E2"/>
    <w:rsid w:val="004F6144"/>
    <w:rsid w:val="004F625F"/>
    <w:rsid w:val="004F62F4"/>
    <w:rsid w:val="004F63D0"/>
    <w:rsid w:val="004F65C0"/>
    <w:rsid w:val="004F695F"/>
    <w:rsid w:val="004F6CA4"/>
    <w:rsid w:val="004F6E3E"/>
    <w:rsid w:val="004F6EF8"/>
    <w:rsid w:val="004F730B"/>
    <w:rsid w:val="004F75BC"/>
    <w:rsid w:val="004F7BC6"/>
    <w:rsid w:val="00500752"/>
    <w:rsid w:val="00500828"/>
    <w:rsid w:val="00500EB1"/>
    <w:rsid w:val="00501724"/>
    <w:rsid w:val="00501A50"/>
    <w:rsid w:val="00501D71"/>
    <w:rsid w:val="0050222D"/>
    <w:rsid w:val="00502430"/>
    <w:rsid w:val="005028A1"/>
    <w:rsid w:val="005032EF"/>
    <w:rsid w:val="005038C2"/>
    <w:rsid w:val="00503AF3"/>
    <w:rsid w:val="00503DA0"/>
    <w:rsid w:val="00503DF2"/>
    <w:rsid w:val="00504872"/>
    <w:rsid w:val="00504A4A"/>
    <w:rsid w:val="00504D5A"/>
    <w:rsid w:val="005051FD"/>
    <w:rsid w:val="00505758"/>
    <w:rsid w:val="0050587F"/>
    <w:rsid w:val="00505B0C"/>
    <w:rsid w:val="005060B2"/>
    <w:rsid w:val="005062BF"/>
    <w:rsid w:val="0050656E"/>
    <w:rsid w:val="00506655"/>
    <w:rsid w:val="0050696D"/>
    <w:rsid w:val="00507294"/>
    <w:rsid w:val="00507317"/>
    <w:rsid w:val="00507EE7"/>
    <w:rsid w:val="0051013F"/>
    <w:rsid w:val="0051050B"/>
    <w:rsid w:val="0051094B"/>
    <w:rsid w:val="00510A24"/>
    <w:rsid w:val="00510B2D"/>
    <w:rsid w:val="005110D7"/>
    <w:rsid w:val="00511D99"/>
    <w:rsid w:val="0051224B"/>
    <w:rsid w:val="0051231C"/>
    <w:rsid w:val="00512634"/>
    <w:rsid w:val="00512886"/>
    <w:rsid w:val="005128D3"/>
    <w:rsid w:val="00512923"/>
    <w:rsid w:val="00512C56"/>
    <w:rsid w:val="00512DBA"/>
    <w:rsid w:val="00512DD8"/>
    <w:rsid w:val="005133B1"/>
    <w:rsid w:val="005147E8"/>
    <w:rsid w:val="00515083"/>
    <w:rsid w:val="005156A4"/>
    <w:rsid w:val="005158F2"/>
    <w:rsid w:val="00515C81"/>
    <w:rsid w:val="00515D3D"/>
    <w:rsid w:val="00515FBA"/>
    <w:rsid w:val="005169F0"/>
    <w:rsid w:val="0051704B"/>
    <w:rsid w:val="005172A4"/>
    <w:rsid w:val="005174AA"/>
    <w:rsid w:val="00517BAA"/>
    <w:rsid w:val="0052002A"/>
    <w:rsid w:val="005202A4"/>
    <w:rsid w:val="005208F7"/>
    <w:rsid w:val="00520BBD"/>
    <w:rsid w:val="005215C9"/>
    <w:rsid w:val="00522145"/>
    <w:rsid w:val="0052218F"/>
    <w:rsid w:val="00522328"/>
    <w:rsid w:val="005226C7"/>
    <w:rsid w:val="00522975"/>
    <w:rsid w:val="00523553"/>
    <w:rsid w:val="00523745"/>
    <w:rsid w:val="00523D27"/>
    <w:rsid w:val="005243F4"/>
    <w:rsid w:val="005249F4"/>
    <w:rsid w:val="00524E70"/>
    <w:rsid w:val="00524F2E"/>
    <w:rsid w:val="005250E7"/>
    <w:rsid w:val="00525879"/>
    <w:rsid w:val="00526DFC"/>
    <w:rsid w:val="00526F43"/>
    <w:rsid w:val="00527651"/>
    <w:rsid w:val="00527AE8"/>
    <w:rsid w:val="00530069"/>
    <w:rsid w:val="0053087E"/>
    <w:rsid w:val="00530B25"/>
    <w:rsid w:val="00530FE0"/>
    <w:rsid w:val="005311BF"/>
    <w:rsid w:val="005312AD"/>
    <w:rsid w:val="005312B8"/>
    <w:rsid w:val="00532149"/>
    <w:rsid w:val="00532762"/>
    <w:rsid w:val="00532C51"/>
    <w:rsid w:val="00533A03"/>
    <w:rsid w:val="005356CE"/>
    <w:rsid w:val="005363AB"/>
    <w:rsid w:val="005369A6"/>
    <w:rsid w:val="00536E0D"/>
    <w:rsid w:val="00536F99"/>
    <w:rsid w:val="00537452"/>
    <w:rsid w:val="005407BC"/>
    <w:rsid w:val="00541CE9"/>
    <w:rsid w:val="005422C2"/>
    <w:rsid w:val="005428EF"/>
    <w:rsid w:val="005437DE"/>
    <w:rsid w:val="0054394F"/>
    <w:rsid w:val="00543D76"/>
    <w:rsid w:val="00544300"/>
    <w:rsid w:val="00544944"/>
    <w:rsid w:val="00544DD4"/>
    <w:rsid w:val="00544EF4"/>
    <w:rsid w:val="0054529A"/>
    <w:rsid w:val="00545E53"/>
    <w:rsid w:val="0054635B"/>
    <w:rsid w:val="0054731F"/>
    <w:rsid w:val="005473A8"/>
    <w:rsid w:val="005479D9"/>
    <w:rsid w:val="00547AF0"/>
    <w:rsid w:val="00547F32"/>
    <w:rsid w:val="0055091F"/>
    <w:rsid w:val="00550C1B"/>
    <w:rsid w:val="00551A28"/>
    <w:rsid w:val="00551A42"/>
    <w:rsid w:val="00552AAF"/>
    <w:rsid w:val="00552AD8"/>
    <w:rsid w:val="00552CA7"/>
    <w:rsid w:val="0055341E"/>
    <w:rsid w:val="005537A9"/>
    <w:rsid w:val="005537C6"/>
    <w:rsid w:val="0055546B"/>
    <w:rsid w:val="005560C0"/>
    <w:rsid w:val="005565D1"/>
    <w:rsid w:val="005567A4"/>
    <w:rsid w:val="00556888"/>
    <w:rsid w:val="00556F2A"/>
    <w:rsid w:val="005572BD"/>
    <w:rsid w:val="00557A12"/>
    <w:rsid w:val="00557BBA"/>
    <w:rsid w:val="00557CE9"/>
    <w:rsid w:val="005602D9"/>
    <w:rsid w:val="005603D9"/>
    <w:rsid w:val="00560797"/>
    <w:rsid w:val="0056095C"/>
    <w:rsid w:val="00560AC7"/>
    <w:rsid w:val="00560EF1"/>
    <w:rsid w:val="00561041"/>
    <w:rsid w:val="005610B2"/>
    <w:rsid w:val="0056175A"/>
    <w:rsid w:val="00561AFB"/>
    <w:rsid w:val="00561BCB"/>
    <w:rsid w:val="00561CF0"/>
    <w:rsid w:val="00561FA8"/>
    <w:rsid w:val="00562239"/>
    <w:rsid w:val="00562378"/>
    <w:rsid w:val="0056256D"/>
    <w:rsid w:val="00562D69"/>
    <w:rsid w:val="005635ED"/>
    <w:rsid w:val="0056374A"/>
    <w:rsid w:val="005639C9"/>
    <w:rsid w:val="00563AF2"/>
    <w:rsid w:val="00565253"/>
    <w:rsid w:val="00565523"/>
    <w:rsid w:val="00566532"/>
    <w:rsid w:val="00566DA3"/>
    <w:rsid w:val="005670F8"/>
    <w:rsid w:val="005675BB"/>
    <w:rsid w:val="00567762"/>
    <w:rsid w:val="00570191"/>
    <w:rsid w:val="00570293"/>
    <w:rsid w:val="005703C7"/>
    <w:rsid w:val="00570570"/>
    <w:rsid w:val="00570CD0"/>
    <w:rsid w:val="00570F0F"/>
    <w:rsid w:val="00571027"/>
    <w:rsid w:val="0057113A"/>
    <w:rsid w:val="0057170C"/>
    <w:rsid w:val="00571B79"/>
    <w:rsid w:val="00571F28"/>
    <w:rsid w:val="00571FCF"/>
    <w:rsid w:val="00572512"/>
    <w:rsid w:val="00572AE2"/>
    <w:rsid w:val="005739F6"/>
    <w:rsid w:val="00573EE6"/>
    <w:rsid w:val="005747E0"/>
    <w:rsid w:val="005750DC"/>
    <w:rsid w:val="0057547F"/>
    <w:rsid w:val="005754EE"/>
    <w:rsid w:val="0057617E"/>
    <w:rsid w:val="00576497"/>
    <w:rsid w:val="00576B72"/>
    <w:rsid w:val="00577F55"/>
    <w:rsid w:val="00580B89"/>
    <w:rsid w:val="0058142F"/>
    <w:rsid w:val="005816A6"/>
    <w:rsid w:val="00581D17"/>
    <w:rsid w:val="005823A6"/>
    <w:rsid w:val="005826F8"/>
    <w:rsid w:val="0058281D"/>
    <w:rsid w:val="00582D5E"/>
    <w:rsid w:val="005830CC"/>
    <w:rsid w:val="00583237"/>
    <w:rsid w:val="005835E7"/>
    <w:rsid w:val="0058397F"/>
    <w:rsid w:val="00583BF8"/>
    <w:rsid w:val="00583CA0"/>
    <w:rsid w:val="005840C3"/>
    <w:rsid w:val="005846A2"/>
    <w:rsid w:val="0058471C"/>
    <w:rsid w:val="00584EA6"/>
    <w:rsid w:val="00585E8B"/>
    <w:rsid w:val="00585F33"/>
    <w:rsid w:val="0058661A"/>
    <w:rsid w:val="00586A02"/>
    <w:rsid w:val="005878F4"/>
    <w:rsid w:val="005902FD"/>
    <w:rsid w:val="00590384"/>
    <w:rsid w:val="00590DB7"/>
    <w:rsid w:val="00591124"/>
    <w:rsid w:val="005917D1"/>
    <w:rsid w:val="00591BC5"/>
    <w:rsid w:val="0059211B"/>
    <w:rsid w:val="005924EF"/>
    <w:rsid w:val="00592503"/>
    <w:rsid w:val="00592936"/>
    <w:rsid w:val="00592A15"/>
    <w:rsid w:val="00592E5E"/>
    <w:rsid w:val="005936BC"/>
    <w:rsid w:val="00593ACA"/>
    <w:rsid w:val="00594140"/>
    <w:rsid w:val="00594643"/>
    <w:rsid w:val="0059533D"/>
    <w:rsid w:val="00596BBF"/>
    <w:rsid w:val="00597024"/>
    <w:rsid w:val="005A0274"/>
    <w:rsid w:val="005A095C"/>
    <w:rsid w:val="005A0F74"/>
    <w:rsid w:val="005A166C"/>
    <w:rsid w:val="005A22E0"/>
    <w:rsid w:val="005A26D2"/>
    <w:rsid w:val="005A2A13"/>
    <w:rsid w:val="005A2DC0"/>
    <w:rsid w:val="005A310F"/>
    <w:rsid w:val="005A3ED5"/>
    <w:rsid w:val="005A5E43"/>
    <w:rsid w:val="005A5EB8"/>
    <w:rsid w:val="005A6474"/>
    <w:rsid w:val="005A64FD"/>
    <w:rsid w:val="005A669D"/>
    <w:rsid w:val="005A6C96"/>
    <w:rsid w:val="005A75D8"/>
    <w:rsid w:val="005A7BFC"/>
    <w:rsid w:val="005A7FC4"/>
    <w:rsid w:val="005B1415"/>
    <w:rsid w:val="005B1AAB"/>
    <w:rsid w:val="005B1BF2"/>
    <w:rsid w:val="005B1D22"/>
    <w:rsid w:val="005B2295"/>
    <w:rsid w:val="005B250E"/>
    <w:rsid w:val="005B4DAD"/>
    <w:rsid w:val="005B54B1"/>
    <w:rsid w:val="005B575C"/>
    <w:rsid w:val="005B610C"/>
    <w:rsid w:val="005B648A"/>
    <w:rsid w:val="005B654A"/>
    <w:rsid w:val="005B68DB"/>
    <w:rsid w:val="005B7053"/>
    <w:rsid w:val="005B713E"/>
    <w:rsid w:val="005B7763"/>
    <w:rsid w:val="005B78DC"/>
    <w:rsid w:val="005B7A1A"/>
    <w:rsid w:val="005B7F71"/>
    <w:rsid w:val="005B7FE8"/>
    <w:rsid w:val="005C02DF"/>
    <w:rsid w:val="005C03B6"/>
    <w:rsid w:val="005C0A4B"/>
    <w:rsid w:val="005C0F35"/>
    <w:rsid w:val="005C1380"/>
    <w:rsid w:val="005C1AD9"/>
    <w:rsid w:val="005C2547"/>
    <w:rsid w:val="005C2C96"/>
    <w:rsid w:val="005C2DDF"/>
    <w:rsid w:val="005C3119"/>
    <w:rsid w:val="005C348E"/>
    <w:rsid w:val="005C34B8"/>
    <w:rsid w:val="005C369E"/>
    <w:rsid w:val="005C37CF"/>
    <w:rsid w:val="005C3DF2"/>
    <w:rsid w:val="005C3F4B"/>
    <w:rsid w:val="005C422F"/>
    <w:rsid w:val="005C4AA7"/>
    <w:rsid w:val="005C4EC2"/>
    <w:rsid w:val="005C60C6"/>
    <w:rsid w:val="005C65C5"/>
    <w:rsid w:val="005C68E1"/>
    <w:rsid w:val="005C752B"/>
    <w:rsid w:val="005C7580"/>
    <w:rsid w:val="005D0D11"/>
    <w:rsid w:val="005D1E6F"/>
    <w:rsid w:val="005D28D1"/>
    <w:rsid w:val="005D290D"/>
    <w:rsid w:val="005D3763"/>
    <w:rsid w:val="005D4169"/>
    <w:rsid w:val="005D4387"/>
    <w:rsid w:val="005D490B"/>
    <w:rsid w:val="005D55E1"/>
    <w:rsid w:val="005D5697"/>
    <w:rsid w:val="005D612F"/>
    <w:rsid w:val="005D64BC"/>
    <w:rsid w:val="005D6AA3"/>
    <w:rsid w:val="005D6E40"/>
    <w:rsid w:val="005E0046"/>
    <w:rsid w:val="005E0D3B"/>
    <w:rsid w:val="005E19F7"/>
    <w:rsid w:val="005E1BC7"/>
    <w:rsid w:val="005E20C9"/>
    <w:rsid w:val="005E2289"/>
    <w:rsid w:val="005E3936"/>
    <w:rsid w:val="005E3D15"/>
    <w:rsid w:val="005E4959"/>
    <w:rsid w:val="005E49B6"/>
    <w:rsid w:val="005E4F04"/>
    <w:rsid w:val="005E50C9"/>
    <w:rsid w:val="005E54AE"/>
    <w:rsid w:val="005E54F9"/>
    <w:rsid w:val="005E61E3"/>
    <w:rsid w:val="005E62C2"/>
    <w:rsid w:val="005E6542"/>
    <w:rsid w:val="005E6C71"/>
    <w:rsid w:val="005E71B8"/>
    <w:rsid w:val="005E73FD"/>
    <w:rsid w:val="005E749A"/>
    <w:rsid w:val="005E7845"/>
    <w:rsid w:val="005F02B9"/>
    <w:rsid w:val="005F0963"/>
    <w:rsid w:val="005F0ACC"/>
    <w:rsid w:val="005F12AE"/>
    <w:rsid w:val="005F22F7"/>
    <w:rsid w:val="005F2824"/>
    <w:rsid w:val="005F2EBA"/>
    <w:rsid w:val="005F2F49"/>
    <w:rsid w:val="005F35C7"/>
    <w:rsid w:val="005F35ED"/>
    <w:rsid w:val="005F374C"/>
    <w:rsid w:val="005F3F27"/>
    <w:rsid w:val="005F41FB"/>
    <w:rsid w:val="005F4230"/>
    <w:rsid w:val="005F51B3"/>
    <w:rsid w:val="005F57A9"/>
    <w:rsid w:val="005F6C73"/>
    <w:rsid w:val="005F6F0A"/>
    <w:rsid w:val="005F7758"/>
    <w:rsid w:val="005F7812"/>
    <w:rsid w:val="005F7866"/>
    <w:rsid w:val="005F7939"/>
    <w:rsid w:val="005F7A88"/>
    <w:rsid w:val="005F7C28"/>
    <w:rsid w:val="00600250"/>
    <w:rsid w:val="00600B6C"/>
    <w:rsid w:val="00600BBF"/>
    <w:rsid w:val="00600CB3"/>
    <w:rsid w:val="00600FA6"/>
    <w:rsid w:val="00601492"/>
    <w:rsid w:val="00602119"/>
    <w:rsid w:val="00602B87"/>
    <w:rsid w:val="00603419"/>
    <w:rsid w:val="00603A1A"/>
    <w:rsid w:val="006046D5"/>
    <w:rsid w:val="0060576D"/>
    <w:rsid w:val="0060577B"/>
    <w:rsid w:val="00605A36"/>
    <w:rsid w:val="00605D6D"/>
    <w:rsid w:val="00605F5E"/>
    <w:rsid w:val="00606850"/>
    <w:rsid w:val="006068A4"/>
    <w:rsid w:val="0060754B"/>
    <w:rsid w:val="006076BD"/>
    <w:rsid w:val="00607A3F"/>
    <w:rsid w:val="00607A93"/>
    <w:rsid w:val="00607BC0"/>
    <w:rsid w:val="00610448"/>
    <w:rsid w:val="00610C08"/>
    <w:rsid w:val="00610CFF"/>
    <w:rsid w:val="006111B2"/>
    <w:rsid w:val="00611344"/>
    <w:rsid w:val="00611EEB"/>
    <w:rsid w:val="00611F74"/>
    <w:rsid w:val="00611FC4"/>
    <w:rsid w:val="006128F3"/>
    <w:rsid w:val="00612C18"/>
    <w:rsid w:val="00612F29"/>
    <w:rsid w:val="006136BF"/>
    <w:rsid w:val="00613BE2"/>
    <w:rsid w:val="00613FA0"/>
    <w:rsid w:val="006143DD"/>
    <w:rsid w:val="00615772"/>
    <w:rsid w:val="00615DA4"/>
    <w:rsid w:val="00616532"/>
    <w:rsid w:val="00616F41"/>
    <w:rsid w:val="00620352"/>
    <w:rsid w:val="00620845"/>
    <w:rsid w:val="00620B4D"/>
    <w:rsid w:val="00621093"/>
    <w:rsid w:val="00621256"/>
    <w:rsid w:val="0062141C"/>
    <w:rsid w:val="006215AF"/>
    <w:rsid w:val="006217A6"/>
    <w:rsid w:val="00621FCC"/>
    <w:rsid w:val="00622586"/>
    <w:rsid w:val="0062265E"/>
    <w:rsid w:val="00622E4B"/>
    <w:rsid w:val="00622F00"/>
    <w:rsid w:val="006230E7"/>
    <w:rsid w:val="006237AD"/>
    <w:rsid w:val="00623E86"/>
    <w:rsid w:val="00624178"/>
    <w:rsid w:val="00624ADC"/>
    <w:rsid w:val="00624D48"/>
    <w:rsid w:val="00624D72"/>
    <w:rsid w:val="006252E8"/>
    <w:rsid w:val="00625BB6"/>
    <w:rsid w:val="00625DA8"/>
    <w:rsid w:val="00625DEF"/>
    <w:rsid w:val="00625E7F"/>
    <w:rsid w:val="00630191"/>
    <w:rsid w:val="00630550"/>
    <w:rsid w:val="00631300"/>
    <w:rsid w:val="006313E8"/>
    <w:rsid w:val="006319C3"/>
    <w:rsid w:val="00631D56"/>
    <w:rsid w:val="00632305"/>
    <w:rsid w:val="006327E8"/>
    <w:rsid w:val="00632A50"/>
    <w:rsid w:val="00632E10"/>
    <w:rsid w:val="006333DA"/>
    <w:rsid w:val="00633412"/>
    <w:rsid w:val="00633DF6"/>
    <w:rsid w:val="00633E21"/>
    <w:rsid w:val="00633EBE"/>
    <w:rsid w:val="00634783"/>
    <w:rsid w:val="00634C09"/>
    <w:rsid w:val="00635134"/>
    <w:rsid w:val="00635170"/>
    <w:rsid w:val="006356E2"/>
    <w:rsid w:val="00635A13"/>
    <w:rsid w:val="00635BA5"/>
    <w:rsid w:val="00635DD2"/>
    <w:rsid w:val="006360E7"/>
    <w:rsid w:val="006360EF"/>
    <w:rsid w:val="00636E61"/>
    <w:rsid w:val="00636ED7"/>
    <w:rsid w:val="00637164"/>
    <w:rsid w:val="00637197"/>
    <w:rsid w:val="006372D6"/>
    <w:rsid w:val="0064006E"/>
    <w:rsid w:val="00640361"/>
    <w:rsid w:val="00640601"/>
    <w:rsid w:val="00640E50"/>
    <w:rsid w:val="0064142A"/>
    <w:rsid w:val="006414DB"/>
    <w:rsid w:val="0064218F"/>
    <w:rsid w:val="006421B2"/>
    <w:rsid w:val="00642429"/>
    <w:rsid w:val="006425AF"/>
    <w:rsid w:val="006426FB"/>
    <w:rsid w:val="00642A65"/>
    <w:rsid w:val="00642FD9"/>
    <w:rsid w:val="0064302E"/>
    <w:rsid w:val="00643986"/>
    <w:rsid w:val="00643A34"/>
    <w:rsid w:val="00643A83"/>
    <w:rsid w:val="0064418C"/>
    <w:rsid w:val="00644220"/>
    <w:rsid w:val="0064576A"/>
    <w:rsid w:val="006457F3"/>
    <w:rsid w:val="00645DCE"/>
    <w:rsid w:val="006465AC"/>
    <w:rsid w:val="006465BF"/>
    <w:rsid w:val="0064673F"/>
    <w:rsid w:val="00646E4F"/>
    <w:rsid w:val="00646ED8"/>
    <w:rsid w:val="00646F1A"/>
    <w:rsid w:val="00647699"/>
    <w:rsid w:val="00652449"/>
    <w:rsid w:val="00653A7F"/>
    <w:rsid w:val="00653B22"/>
    <w:rsid w:val="00653C3A"/>
    <w:rsid w:val="006543D9"/>
    <w:rsid w:val="00654B2C"/>
    <w:rsid w:val="006555CD"/>
    <w:rsid w:val="0065561C"/>
    <w:rsid w:val="00655C19"/>
    <w:rsid w:val="00655DBC"/>
    <w:rsid w:val="0065682B"/>
    <w:rsid w:val="00657B6A"/>
    <w:rsid w:val="00657BF4"/>
    <w:rsid w:val="00657C9A"/>
    <w:rsid w:val="006603FB"/>
    <w:rsid w:val="006608DF"/>
    <w:rsid w:val="006611CE"/>
    <w:rsid w:val="006611E5"/>
    <w:rsid w:val="00661580"/>
    <w:rsid w:val="00662237"/>
    <w:rsid w:val="006623AC"/>
    <w:rsid w:val="00662867"/>
    <w:rsid w:val="006628D7"/>
    <w:rsid w:val="00662C74"/>
    <w:rsid w:val="00663806"/>
    <w:rsid w:val="00663895"/>
    <w:rsid w:val="006638CB"/>
    <w:rsid w:val="00663FEC"/>
    <w:rsid w:val="00664339"/>
    <w:rsid w:val="00664B75"/>
    <w:rsid w:val="00664C4C"/>
    <w:rsid w:val="006650DB"/>
    <w:rsid w:val="00665920"/>
    <w:rsid w:val="00665B46"/>
    <w:rsid w:val="0066657B"/>
    <w:rsid w:val="006667A0"/>
    <w:rsid w:val="00666CA0"/>
    <w:rsid w:val="00666F3C"/>
    <w:rsid w:val="006673EB"/>
    <w:rsid w:val="00667499"/>
    <w:rsid w:val="0066780F"/>
    <w:rsid w:val="006678AF"/>
    <w:rsid w:val="006701EF"/>
    <w:rsid w:val="00670541"/>
    <w:rsid w:val="006714CA"/>
    <w:rsid w:val="0067164A"/>
    <w:rsid w:val="00671BDF"/>
    <w:rsid w:val="00673BA5"/>
    <w:rsid w:val="00674084"/>
    <w:rsid w:val="006745B9"/>
    <w:rsid w:val="00674780"/>
    <w:rsid w:val="00674BAA"/>
    <w:rsid w:val="00674F7F"/>
    <w:rsid w:val="00674FF2"/>
    <w:rsid w:val="00675364"/>
    <w:rsid w:val="006758AF"/>
    <w:rsid w:val="006761EB"/>
    <w:rsid w:val="00676287"/>
    <w:rsid w:val="00676369"/>
    <w:rsid w:val="0067638E"/>
    <w:rsid w:val="00676A73"/>
    <w:rsid w:val="00676CBA"/>
    <w:rsid w:val="00677FCA"/>
    <w:rsid w:val="00680058"/>
    <w:rsid w:val="0068018D"/>
    <w:rsid w:val="00681F9F"/>
    <w:rsid w:val="006820CC"/>
    <w:rsid w:val="00682BE9"/>
    <w:rsid w:val="006833F5"/>
    <w:rsid w:val="006840EA"/>
    <w:rsid w:val="006844E2"/>
    <w:rsid w:val="0068453E"/>
    <w:rsid w:val="00684E4D"/>
    <w:rsid w:val="00685267"/>
    <w:rsid w:val="006853A9"/>
    <w:rsid w:val="006853C8"/>
    <w:rsid w:val="006854E9"/>
    <w:rsid w:val="0068584B"/>
    <w:rsid w:val="00685AC8"/>
    <w:rsid w:val="00685D89"/>
    <w:rsid w:val="00685E2D"/>
    <w:rsid w:val="00685FF2"/>
    <w:rsid w:val="00686900"/>
    <w:rsid w:val="00687239"/>
    <w:rsid w:val="006872AE"/>
    <w:rsid w:val="00687376"/>
    <w:rsid w:val="00687604"/>
    <w:rsid w:val="006879AB"/>
    <w:rsid w:val="00687B86"/>
    <w:rsid w:val="00687DFB"/>
    <w:rsid w:val="00690082"/>
    <w:rsid w:val="00690252"/>
    <w:rsid w:val="006902E8"/>
    <w:rsid w:val="0069045D"/>
    <w:rsid w:val="00690493"/>
    <w:rsid w:val="006904B6"/>
    <w:rsid w:val="00690681"/>
    <w:rsid w:val="00690702"/>
    <w:rsid w:val="00690834"/>
    <w:rsid w:val="0069094F"/>
    <w:rsid w:val="00690D98"/>
    <w:rsid w:val="0069118A"/>
    <w:rsid w:val="0069127A"/>
    <w:rsid w:val="00691EAC"/>
    <w:rsid w:val="006921A0"/>
    <w:rsid w:val="00692290"/>
    <w:rsid w:val="00692697"/>
    <w:rsid w:val="006928AB"/>
    <w:rsid w:val="006931B3"/>
    <w:rsid w:val="00693672"/>
    <w:rsid w:val="00693E6F"/>
    <w:rsid w:val="006946BB"/>
    <w:rsid w:val="0069496D"/>
    <w:rsid w:val="006949C1"/>
    <w:rsid w:val="006951CA"/>
    <w:rsid w:val="00695A7D"/>
    <w:rsid w:val="00695BAB"/>
    <w:rsid w:val="00696195"/>
    <w:rsid w:val="0069697E"/>
    <w:rsid w:val="006969FA"/>
    <w:rsid w:val="006976DE"/>
    <w:rsid w:val="006A0035"/>
    <w:rsid w:val="006A088A"/>
    <w:rsid w:val="006A0C83"/>
    <w:rsid w:val="006A0DB2"/>
    <w:rsid w:val="006A1199"/>
    <w:rsid w:val="006A1C4C"/>
    <w:rsid w:val="006A1CFE"/>
    <w:rsid w:val="006A28C8"/>
    <w:rsid w:val="006A35D5"/>
    <w:rsid w:val="006A3607"/>
    <w:rsid w:val="006A3CAF"/>
    <w:rsid w:val="006A4207"/>
    <w:rsid w:val="006A4F68"/>
    <w:rsid w:val="006A5876"/>
    <w:rsid w:val="006A5B5D"/>
    <w:rsid w:val="006A5CD5"/>
    <w:rsid w:val="006A65E2"/>
    <w:rsid w:val="006A6988"/>
    <w:rsid w:val="006A6A21"/>
    <w:rsid w:val="006A7374"/>
    <w:rsid w:val="006A748A"/>
    <w:rsid w:val="006A7561"/>
    <w:rsid w:val="006A7A7E"/>
    <w:rsid w:val="006B00F6"/>
    <w:rsid w:val="006B0DF3"/>
    <w:rsid w:val="006B1295"/>
    <w:rsid w:val="006B1504"/>
    <w:rsid w:val="006B1C65"/>
    <w:rsid w:val="006B1F30"/>
    <w:rsid w:val="006B2BB6"/>
    <w:rsid w:val="006B2DD4"/>
    <w:rsid w:val="006B3F6B"/>
    <w:rsid w:val="006B4854"/>
    <w:rsid w:val="006B502B"/>
    <w:rsid w:val="006B53D0"/>
    <w:rsid w:val="006B5D3E"/>
    <w:rsid w:val="006B623A"/>
    <w:rsid w:val="006B6EDB"/>
    <w:rsid w:val="006C03EC"/>
    <w:rsid w:val="006C040A"/>
    <w:rsid w:val="006C05F4"/>
    <w:rsid w:val="006C0970"/>
    <w:rsid w:val="006C0AB9"/>
    <w:rsid w:val="006C169D"/>
    <w:rsid w:val="006C1A03"/>
    <w:rsid w:val="006C1A9F"/>
    <w:rsid w:val="006C1D3C"/>
    <w:rsid w:val="006C1D89"/>
    <w:rsid w:val="006C22E1"/>
    <w:rsid w:val="006C255E"/>
    <w:rsid w:val="006C2660"/>
    <w:rsid w:val="006C2A30"/>
    <w:rsid w:val="006C2CC3"/>
    <w:rsid w:val="006C2F5A"/>
    <w:rsid w:val="006C3638"/>
    <w:rsid w:val="006C3C63"/>
    <w:rsid w:val="006C3D7E"/>
    <w:rsid w:val="006C3DDE"/>
    <w:rsid w:val="006C419E"/>
    <w:rsid w:val="006C41CF"/>
    <w:rsid w:val="006C4A31"/>
    <w:rsid w:val="006C5AC2"/>
    <w:rsid w:val="006C5CD8"/>
    <w:rsid w:val="006C5D8E"/>
    <w:rsid w:val="006C5E3B"/>
    <w:rsid w:val="006C5E68"/>
    <w:rsid w:val="006C6118"/>
    <w:rsid w:val="006C6AFB"/>
    <w:rsid w:val="006C6F27"/>
    <w:rsid w:val="006C7342"/>
    <w:rsid w:val="006D05D4"/>
    <w:rsid w:val="006D0B68"/>
    <w:rsid w:val="006D0FBB"/>
    <w:rsid w:val="006D128A"/>
    <w:rsid w:val="006D162C"/>
    <w:rsid w:val="006D23DF"/>
    <w:rsid w:val="006D2735"/>
    <w:rsid w:val="006D2E01"/>
    <w:rsid w:val="006D30A0"/>
    <w:rsid w:val="006D3CE1"/>
    <w:rsid w:val="006D45B2"/>
    <w:rsid w:val="006D6789"/>
    <w:rsid w:val="006D7172"/>
    <w:rsid w:val="006D7EC6"/>
    <w:rsid w:val="006E09C7"/>
    <w:rsid w:val="006E0FCC"/>
    <w:rsid w:val="006E1E96"/>
    <w:rsid w:val="006E221C"/>
    <w:rsid w:val="006E29DE"/>
    <w:rsid w:val="006E2C5C"/>
    <w:rsid w:val="006E300A"/>
    <w:rsid w:val="006E3632"/>
    <w:rsid w:val="006E40CA"/>
    <w:rsid w:val="006E4129"/>
    <w:rsid w:val="006E499D"/>
    <w:rsid w:val="006E512D"/>
    <w:rsid w:val="006E5499"/>
    <w:rsid w:val="006E56E9"/>
    <w:rsid w:val="006E5C00"/>
    <w:rsid w:val="006E5E21"/>
    <w:rsid w:val="006E607F"/>
    <w:rsid w:val="006E60F4"/>
    <w:rsid w:val="006E61AA"/>
    <w:rsid w:val="006E68CC"/>
    <w:rsid w:val="006E6B88"/>
    <w:rsid w:val="006E7213"/>
    <w:rsid w:val="006F05AE"/>
    <w:rsid w:val="006F0741"/>
    <w:rsid w:val="006F0AB5"/>
    <w:rsid w:val="006F15F7"/>
    <w:rsid w:val="006F1859"/>
    <w:rsid w:val="006F1BE5"/>
    <w:rsid w:val="006F23EF"/>
    <w:rsid w:val="006F2648"/>
    <w:rsid w:val="006F2F10"/>
    <w:rsid w:val="006F42EC"/>
    <w:rsid w:val="006F44A6"/>
    <w:rsid w:val="006F4576"/>
    <w:rsid w:val="006F45BC"/>
    <w:rsid w:val="006F482B"/>
    <w:rsid w:val="006F4E26"/>
    <w:rsid w:val="006F4EEF"/>
    <w:rsid w:val="006F5252"/>
    <w:rsid w:val="006F59C2"/>
    <w:rsid w:val="006F6311"/>
    <w:rsid w:val="006F6907"/>
    <w:rsid w:val="006F6A79"/>
    <w:rsid w:val="006F748D"/>
    <w:rsid w:val="006F7C9F"/>
    <w:rsid w:val="00700F1D"/>
    <w:rsid w:val="00701952"/>
    <w:rsid w:val="007019AB"/>
    <w:rsid w:val="00702556"/>
    <w:rsid w:val="0070277E"/>
    <w:rsid w:val="00702DCE"/>
    <w:rsid w:val="007033CC"/>
    <w:rsid w:val="00703435"/>
    <w:rsid w:val="00703776"/>
    <w:rsid w:val="00703963"/>
    <w:rsid w:val="00704156"/>
    <w:rsid w:val="0070441C"/>
    <w:rsid w:val="00704496"/>
    <w:rsid w:val="0070454E"/>
    <w:rsid w:val="00704578"/>
    <w:rsid w:val="00705C55"/>
    <w:rsid w:val="007069FC"/>
    <w:rsid w:val="00707343"/>
    <w:rsid w:val="007109FE"/>
    <w:rsid w:val="00711221"/>
    <w:rsid w:val="00711339"/>
    <w:rsid w:val="007113B6"/>
    <w:rsid w:val="00711E7F"/>
    <w:rsid w:val="00712348"/>
    <w:rsid w:val="0071249C"/>
    <w:rsid w:val="00712675"/>
    <w:rsid w:val="00713101"/>
    <w:rsid w:val="00713808"/>
    <w:rsid w:val="00713F39"/>
    <w:rsid w:val="00714074"/>
    <w:rsid w:val="007141EA"/>
    <w:rsid w:val="0071473F"/>
    <w:rsid w:val="00714F75"/>
    <w:rsid w:val="007151B6"/>
    <w:rsid w:val="007151B7"/>
    <w:rsid w:val="0071520D"/>
    <w:rsid w:val="0071558B"/>
    <w:rsid w:val="007158BF"/>
    <w:rsid w:val="00715BF7"/>
    <w:rsid w:val="00715EDB"/>
    <w:rsid w:val="007160D5"/>
    <w:rsid w:val="007163FB"/>
    <w:rsid w:val="00716430"/>
    <w:rsid w:val="007168EA"/>
    <w:rsid w:val="00716C30"/>
    <w:rsid w:val="00717155"/>
    <w:rsid w:val="00717472"/>
    <w:rsid w:val="00717C2E"/>
    <w:rsid w:val="00717EF9"/>
    <w:rsid w:val="0072036A"/>
    <w:rsid w:val="007204FA"/>
    <w:rsid w:val="00720DEB"/>
    <w:rsid w:val="00721200"/>
    <w:rsid w:val="007213B3"/>
    <w:rsid w:val="00721A83"/>
    <w:rsid w:val="00722157"/>
    <w:rsid w:val="007221C8"/>
    <w:rsid w:val="00722478"/>
    <w:rsid w:val="007226A4"/>
    <w:rsid w:val="00722C3F"/>
    <w:rsid w:val="00722E41"/>
    <w:rsid w:val="00722FD0"/>
    <w:rsid w:val="0072375D"/>
    <w:rsid w:val="00723AAA"/>
    <w:rsid w:val="007243F2"/>
    <w:rsid w:val="0072457F"/>
    <w:rsid w:val="0072465C"/>
    <w:rsid w:val="0072493D"/>
    <w:rsid w:val="00725364"/>
    <w:rsid w:val="00725406"/>
    <w:rsid w:val="0072621B"/>
    <w:rsid w:val="00726B73"/>
    <w:rsid w:val="00727399"/>
    <w:rsid w:val="007274F2"/>
    <w:rsid w:val="00730555"/>
    <w:rsid w:val="007312CC"/>
    <w:rsid w:val="00731779"/>
    <w:rsid w:val="00731ABD"/>
    <w:rsid w:val="00731B79"/>
    <w:rsid w:val="00732222"/>
    <w:rsid w:val="007323CA"/>
    <w:rsid w:val="0073357F"/>
    <w:rsid w:val="00733878"/>
    <w:rsid w:val="00734201"/>
    <w:rsid w:val="0073480D"/>
    <w:rsid w:val="00734DCF"/>
    <w:rsid w:val="00734FAF"/>
    <w:rsid w:val="0073515F"/>
    <w:rsid w:val="007352B8"/>
    <w:rsid w:val="007357CF"/>
    <w:rsid w:val="007369F6"/>
    <w:rsid w:val="00736A64"/>
    <w:rsid w:val="00736DD4"/>
    <w:rsid w:val="00737569"/>
    <w:rsid w:val="00737631"/>
    <w:rsid w:val="00737968"/>
    <w:rsid w:val="00737F6A"/>
    <w:rsid w:val="00740059"/>
    <w:rsid w:val="00740428"/>
    <w:rsid w:val="00740870"/>
    <w:rsid w:val="00740A2A"/>
    <w:rsid w:val="00740D31"/>
    <w:rsid w:val="00740FEC"/>
    <w:rsid w:val="007410B6"/>
    <w:rsid w:val="00741AC2"/>
    <w:rsid w:val="007420A7"/>
    <w:rsid w:val="00742A07"/>
    <w:rsid w:val="007435AB"/>
    <w:rsid w:val="00743DDE"/>
    <w:rsid w:val="0074419A"/>
    <w:rsid w:val="0074427E"/>
    <w:rsid w:val="00744C6F"/>
    <w:rsid w:val="007457F6"/>
    <w:rsid w:val="00745ABB"/>
    <w:rsid w:val="00745CD0"/>
    <w:rsid w:val="00745DF3"/>
    <w:rsid w:val="00745E7B"/>
    <w:rsid w:val="00746E38"/>
    <w:rsid w:val="007470B8"/>
    <w:rsid w:val="007471B2"/>
    <w:rsid w:val="0074767C"/>
    <w:rsid w:val="00747CD5"/>
    <w:rsid w:val="00747FC4"/>
    <w:rsid w:val="00750CB7"/>
    <w:rsid w:val="007517F5"/>
    <w:rsid w:val="00751805"/>
    <w:rsid w:val="00751EDC"/>
    <w:rsid w:val="007527AC"/>
    <w:rsid w:val="00752DA0"/>
    <w:rsid w:val="0075388E"/>
    <w:rsid w:val="00753B51"/>
    <w:rsid w:val="0075400E"/>
    <w:rsid w:val="007553CE"/>
    <w:rsid w:val="00755778"/>
    <w:rsid w:val="007559A7"/>
    <w:rsid w:val="00755B75"/>
    <w:rsid w:val="00755D72"/>
    <w:rsid w:val="00755DF6"/>
    <w:rsid w:val="00756400"/>
    <w:rsid w:val="00756422"/>
    <w:rsid w:val="007564E8"/>
    <w:rsid w:val="00756629"/>
    <w:rsid w:val="0075681A"/>
    <w:rsid w:val="00756C33"/>
    <w:rsid w:val="00756C72"/>
    <w:rsid w:val="00756CDE"/>
    <w:rsid w:val="0075725A"/>
    <w:rsid w:val="00757263"/>
    <w:rsid w:val="007572D2"/>
    <w:rsid w:val="007575D2"/>
    <w:rsid w:val="0075771C"/>
    <w:rsid w:val="007578BC"/>
    <w:rsid w:val="00757B4F"/>
    <w:rsid w:val="00757B6A"/>
    <w:rsid w:val="007605A8"/>
    <w:rsid w:val="00760E97"/>
    <w:rsid w:val="007610E0"/>
    <w:rsid w:val="0076111D"/>
    <w:rsid w:val="007611D7"/>
    <w:rsid w:val="007617E6"/>
    <w:rsid w:val="007621AA"/>
    <w:rsid w:val="0076260A"/>
    <w:rsid w:val="00762DB5"/>
    <w:rsid w:val="007631F0"/>
    <w:rsid w:val="00763AD4"/>
    <w:rsid w:val="00763DA6"/>
    <w:rsid w:val="0076400B"/>
    <w:rsid w:val="0076405B"/>
    <w:rsid w:val="007640E6"/>
    <w:rsid w:val="0076461C"/>
    <w:rsid w:val="00764A67"/>
    <w:rsid w:val="00764E8F"/>
    <w:rsid w:val="007657BE"/>
    <w:rsid w:val="0076582C"/>
    <w:rsid w:val="00765E12"/>
    <w:rsid w:val="00765EF9"/>
    <w:rsid w:val="007662D8"/>
    <w:rsid w:val="00766AC2"/>
    <w:rsid w:val="00766F5C"/>
    <w:rsid w:val="0076714B"/>
    <w:rsid w:val="007671E2"/>
    <w:rsid w:val="007678A1"/>
    <w:rsid w:val="00767C84"/>
    <w:rsid w:val="0077049D"/>
    <w:rsid w:val="00770F6B"/>
    <w:rsid w:val="00771207"/>
    <w:rsid w:val="007715D2"/>
    <w:rsid w:val="00771651"/>
    <w:rsid w:val="0077171E"/>
    <w:rsid w:val="007717AB"/>
    <w:rsid w:val="00771883"/>
    <w:rsid w:val="00771C6F"/>
    <w:rsid w:val="00771EEF"/>
    <w:rsid w:val="00772059"/>
    <w:rsid w:val="007726CE"/>
    <w:rsid w:val="007728E5"/>
    <w:rsid w:val="00772A83"/>
    <w:rsid w:val="00772AD8"/>
    <w:rsid w:val="00772F0A"/>
    <w:rsid w:val="007731C6"/>
    <w:rsid w:val="00773474"/>
    <w:rsid w:val="007734D2"/>
    <w:rsid w:val="00773A8A"/>
    <w:rsid w:val="0077437A"/>
    <w:rsid w:val="00775178"/>
    <w:rsid w:val="00775451"/>
    <w:rsid w:val="00775D31"/>
    <w:rsid w:val="00775EB7"/>
    <w:rsid w:val="00775F0C"/>
    <w:rsid w:val="0077608D"/>
    <w:rsid w:val="00776400"/>
    <w:rsid w:val="0077686A"/>
    <w:rsid w:val="00776BF1"/>
    <w:rsid w:val="00776DC2"/>
    <w:rsid w:val="00776DC7"/>
    <w:rsid w:val="00777CBC"/>
    <w:rsid w:val="00780122"/>
    <w:rsid w:val="0078015C"/>
    <w:rsid w:val="0078051D"/>
    <w:rsid w:val="007809B7"/>
    <w:rsid w:val="007809EA"/>
    <w:rsid w:val="00780BDB"/>
    <w:rsid w:val="00780DE8"/>
    <w:rsid w:val="00781062"/>
    <w:rsid w:val="00781581"/>
    <w:rsid w:val="0078214B"/>
    <w:rsid w:val="007825D3"/>
    <w:rsid w:val="007829BC"/>
    <w:rsid w:val="00782EAE"/>
    <w:rsid w:val="00782EC1"/>
    <w:rsid w:val="0078300F"/>
    <w:rsid w:val="00784200"/>
    <w:rsid w:val="0078498A"/>
    <w:rsid w:val="00785471"/>
    <w:rsid w:val="00785F3E"/>
    <w:rsid w:val="007860ED"/>
    <w:rsid w:val="0078689D"/>
    <w:rsid w:val="00786C3E"/>
    <w:rsid w:val="00787137"/>
    <w:rsid w:val="00787261"/>
    <w:rsid w:val="007875DF"/>
    <w:rsid w:val="007878FE"/>
    <w:rsid w:val="00787CD3"/>
    <w:rsid w:val="0079064A"/>
    <w:rsid w:val="00791EA7"/>
    <w:rsid w:val="00792207"/>
    <w:rsid w:val="00792274"/>
    <w:rsid w:val="007927AE"/>
    <w:rsid w:val="00792B64"/>
    <w:rsid w:val="00792E29"/>
    <w:rsid w:val="00792F6C"/>
    <w:rsid w:val="00793081"/>
    <w:rsid w:val="007933CD"/>
    <w:rsid w:val="007935D7"/>
    <w:rsid w:val="0079379A"/>
    <w:rsid w:val="00794687"/>
    <w:rsid w:val="007946BF"/>
    <w:rsid w:val="00794953"/>
    <w:rsid w:val="00794DA7"/>
    <w:rsid w:val="00794F96"/>
    <w:rsid w:val="00795001"/>
    <w:rsid w:val="00795853"/>
    <w:rsid w:val="007963FB"/>
    <w:rsid w:val="007969BB"/>
    <w:rsid w:val="00796EFA"/>
    <w:rsid w:val="007977F5"/>
    <w:rsid w:val="00797A70"/>
    <w:rsid w:val="007A01D6"/>
    <w:rsid w:val="007A186E"/>
    <w:rsid w:val="007A1F2F"/>
    <w:rsid w:val="007A2146"/>
    <w:rsid w:val="007A2A5C"/>
    <w:rsid w:val="007A3764"/>
    <w:rsid w:val="007A3964"/>
    <w:rsid w:val="007A3B9D"/>
    <w:rsid w:val="007A41A7"/>
    <w:rsid w:val="007A44B8"/>
    <w:rsid w:val="007A4607"/>
    <w:rsid w:val="007A5150"/>
    <w:rsid w:val="007A5157"/>
    <w:rsid w:val="007A5373"/>
    <w:rsid w:val="007A6046"/>
    <w:rsid w:val="007A789F"/>
    <w:rsid w:val="007A794D"/>
    <w:rsid w:val="007B0935"/>
    <w:rsid w:val="007B0A2F"/>
    <w:rsid w:val="007B0EFF"/>
    <w:rsid w:val="007B1198"/>
    <w:rsid w:val="007B267C"/>
    <w:rsid w:val="007B2E5A"/>
    <w:rsid w:val="007B3795"/>
    <w:rsid w:val="007B3AB3"/>
    <w:rsid w:val="007B4B0C"/>
    <w:rsid w:val="007B5CEA"/>
    <w:rsid w:val="007B5D8F"/>
    <w:rsid w:val="007B63FB"/>
    <w:rsid w:val="007B6CAB"/>
    <w:rsid w:val="007B75BC"/>
    <w:rsid w:val="007B767F"/>
    <w:rsid w:val="007B7B87"/>
    <w:rsid w:val="007B7CB0"/>
    <w:rsid w:val="007C029C"/>
    <w:rsid w:val="007C0BD6"/>
    <w:rsid w:val="007C135E"/>
    <w:rsid w:val="007C14E0"/>
    <w:rsid w:val="007C1A0C"/>
    <w:rsid w:val="007C1E6D"/>
    <w:rsid w:val="007C228A"/>
    <w:rsid w:val="007C273F"/>
    <w:rsid w:val="007C2B97"/>
    <w:rsid w:val="007C31F3"/>
    <w:rsid w:val="007C34FB"/>
    <w:rsid w:val="007C3806"/>
    <w:rsid w:val="007C3E5E"/>
    <w:rsid w:val="007C41A4"/>
    <w:rsid w:val="007C598F"/>
    <w:rsid w:val="007C5BB7"/>
    <w:rsid w:val="007C5F1E"/>
    <w:rsid w:val="007C789A"/>
    <w:rsid w:val="007C7A62"/>
    <w:rsid w:val="007C7AC4"/>
    <w:rsid w:val="007C7CD9"/>
    <w:rsid w:val="007C7D14"/>
    <w:rsid w:val="007D0048"/>
    <w:rsid w:val="007D02CC"/>
    <w:rsid w:val="007D07D5"/>
    <w:rsid w:val="007D08F5"/>
    <w:rsid w:val="007D1488"/>
    <w:rsid w:val="007D1C64"/>
    <w:rsid w:val="007D32DD"/>
    <w:rsid w:val="007D3720"/>
    <w:rsid w:val="007D4253"/>
    <w:rsid w:val="007D5101"/>
    <w:rsid w:val="007D516D"/>
    <w:rsid w:val="007D5197"/>
    <w:rsid w:val="007D5430"/>
    <w:rsid w:val="007D545B"/>
    <w:rsid w:val="007D57C9"/>
    <w:rsid w:val="007D6DCE"/>
    <w:rsid w:val="007D6FDB"/>
    <w:rsid w:val="007D713E"/>
    <w:rsid w:val="007D72C4"/>
    <w:rsid w:val="007D7D28"/>
    <w:rsid w:val="007E00F9"/>
    <w:rsid w:val="007E12CE"/>
    <w:rsid w:val="007E1997"/>
    <w:rsid w:val="007E1CEA"/>
    <w:rsid w:val="007E1D97"/>
    <w:rsid w:val="007E1E8C"/>
    <w:rsid w:val="007E2141"/>
    <w:rsid w:val="007E2629"/>
    <w:rsid w:val="007E26E4"/>
    <w:rsid w:val="007E2AB8"/>
    <w:rsid w:val="007E2CFE"/>
    <w:rsid w:val="007E355C"/>
    <w:rsid w:val="007E3EF0"/>
    <w:rsid w:val="007E42DC"/>
    <w:rsid w:val="007E59C9"/>
    <w:rsid w:val="007E5B2C"/>
    <w:rsid w:val="007E6E39"/>
    <w:rsid w:val="007E7181"/>
    <w:rsid w:val="007E7A7D"/>
    <w:rsid w:val="007F0072"/>
    <w:rsid w:val="007F061A"/>
    <w:rsid w:val="007F06FF"/>
    <w:rsid w:val="007F0D66"/>
    <w:rsid w:val="007F27E7"/>
    <w:rsid w:val="007F2A5D"/>
    <w:rsid w:val="007F2EB6"/>
    <w:rsid w:val="007F3806"/>
    <w:rsid w:val="007F3831"/>
    <w:rsid w:val="007F3D36"/>
    <w:rsid w:val="007F3DBE"/>
    <w:rsid w:val="007F3F57"/>
    <w:rsid w:val="007F4492"/>
    <w:rsid w:val="007F4EC1"/>
    <w:rsid w:val="007F514C"/>
    <w:rsid w:val="007F54C3"/>
    <w:rsid w:val="007F5C35"/>
    <w:rsid w:val="007F5E8C"/>
    <w:rsid w:val="007F679C"/>
    <w:rsid w:val="007F6EFC"/>
    <w:rsid w:val="007F75B2"/>
    <w:rsid w:val="007F77FF"/>
    <w:rsid w:val="007F7835"/>
    <w:rsid w:val="008000EA"/>
    <w:rsid w:val="008006AE"/>
    <w:rsid w:val="0080101A"/>
    <w:rsid w:val="00801AB2"/>
    <w:rsid w:val="00801F2D"/>
    <w:rsid w:val="008021D2"/>
    <w:rsid w:val="00802949"/>
    <w:rsid w:val="00802F2C"/>
    <w:rsid w:val="0080301E"/>
    <w:rsid w:val="0080365F"/>
    <w:rsid w:val="008051CC"/>
    <w:rsid w:val="0080529D"/>
    <w:rsid w:val="008052A6"/>
    <w:rsid w:val="00805BBA"/>
    <w:rsid w:val="008067D5"/>
    <w:rsid w:val="00806AA0"/>
    <w:rsid w:val="0080705C"/>
    <w:rsid w:val="008074D8"/>
    <w:rsid w:val="008079CA"/>
    <w:rsid w:val="00810419"/>
    <w:rsid w:val="00811D54"/>
    <w:rsid w:val="00812BE5"/>
    <w:rsid w:val="00813076"/>
    <w:rsid w:val="00813122"/>
    <w:rsid w:val="00813A6D"/>
    <w:rsid w:val="00813F06"/>
    <w:rsid w:val="0081487D"/>
    <w:rsid w:val="008149C1"/>
    <w:rsid w:val="00814CC6"/>
    <w:rsid w:val="00815304"/>
    <w:rsid w:val="00815C17"/>
    <w:rsid w:val="00815CA0"/>
    <w:rsid w:val="00816006"/>
    <w:rsid w:val="0081688F"/>
    <w:rsid w:val="00816AE1"/>
    <w:rsid w:val="00817429"/>
    <w:rsid w:val="0081783F"/>
    <w:rsid w:val="00817D17"/>
    <w:rsid w:val="008202EF"/>
    <w:rsid w:val="0082043B"/>
    <w:rsid w:val="008204D3"/>
    <w:rsid w:val="00821320"/>
    <w:rsid w:val="00821514"/>
    <w:rsid w:val="00821E35"/>
    <w:rsid w:val="0082200E"/>
    <w:rsid w:val="00822BB2"/>
    <w:rsid w:val="00822C25"/>
    <w:rsid w:val="00822D5C"/>
    <w:rsid w:val="00822E81"/>
    <w:rsid w:val="0082330F"/>
    <w:rsid w:val="00823975"/>
    <w:rsid w:val="00823E43"/>
    <w:rsid w:val="00823F9B"/>
    <w:rsid w:val="00823FA9"/>
    <w:rsid w:val="00824591"/>
    <w:rsid w:val="0082461C"/>
    <w:rsid w:val="00824669"/>
    <w:rsid w:val="00824A81"/>
    <w:rsid w:val="00824AED"/>
    <w:rsid w:val="00824F1B"/>
    <w:rsid w:val="0082526C"/>
    <w:rsid w:val="00825844"/>
    <w:rsid w:val="00826167"/>
    <w:rsid w:val="00826E58"/>
    <w:rsid w:val="008272F1"/>
    <w:rsid w:val="00827820"/>
    <w:rsid w:val="008305D6"/>
    <w:rsid w:val="00830C01"/>
    <w:rsid w:val="008319E4"/>
    <w:rsid w:val="00831B2D"/>
    <w:rsid w:val="00831B8B"/>
    <w:rsid w:val="00831E44"/>
    <w:rsid w:val="008320F0"/>
    <w:rsid w:val="00833B1F"/>
    <w:rsid w:val="0083405D"/>
    <w:rsid w:val="00834635"/>
    <w:rsid w:val="00834982"/>
    <w:rsid w:val="00835076"/>
    <w:rsid w:val="00835276"/>
    <w:rsid w:val="008352D4"/>
    <w:rsid w:val="00835CF1"/>
    <w:rsid w:val="0083657F"/>
    <w:rsid w:val="00836DB9"/>
    <w:rsid w:val="0083729B"/>
    <w:rsid w:val="00837456"/>
    <w:rsid w:val="00837C67"/>
    <w:rsid w:val="00840185"/>
    <w:rsid w:val="0084071E"/>
    <w:rsid w:val="00840FB5"/>
    <w:rsid w:val="008415B0"/>
    <w:rsid w:val="008416DF"/>
    <w:rsid w:val="008419DD"/>
    <w:rsid w:val="00841D94"/>
    <w:rsid w:val="00841E86"/>
    <w:rsid w:val="00841F72"/>
    <w:rsid w:val="00842028"/>
    <w:rsid w:val="0084208C"/>
    <w:rsid w:val="008436B8"/>
    <w:rsid w:val="00844166"/>
    <w:rsid w:val="008442BF"/>
    <w:rsid w:val="00845B3D"/>
    <w:rsid w:val="00845D11"/>
    <w:rsid w:val="008460B6"/>
    <w:rsid w:val="008463EC"/>
    <w:rsid w:val="00846590"/>
    <w:rsid w:val="0084663B"/>
    <w:rsid w:val="00846641"/>
    <w:rsid w:val="00846A16"/>
    <w:rsid w:val="00846E03"/>
    <w:rsid w:val="0084737A"/>
    <w:rsid w:val="00847EA1"/>
    <w:rsid w:val="00850C9D"/>
    <w:rsid w:val="00850F60"/>
    <w:rsid w:val="00851249"/>
    <w:rsid w:val="0085140B"/>
    <w:rsid w:val="00851535"/>
    <w:rsid w:val="0085183D"/>
    <w:rsid w:val="00852161"/>
    <w:rsid w:val="00852AF8"/>
    <w:rsid w:val="00852B59"/>
    <w:rsid w:val="0085341B"/>
    <w:rsid w:val="00853570"/>
    <w:rsid w:val="008537BE"/>
    <w:rsid w:val="00853F59"/>
    <w:rsid w:val="008542AB"/>
    <w:rsid w:val="00854993"/>
    <w:rsid w:val="00855412"/>
    <w:rsid w:val="00855805"/>
    <w:rsid w:val="00855C75"/>
    <w:rsid w:val="00855D08"/>
    <w:rsid w:val="00855DDD"/>
    <w:rsid w:val="008561CD"/>
    <w:rsid w:val="008561FA"/>
    <w:rsid w:val="00856272"/>
    <w:rsid w:val="008563FF"/>
    <w:rsid w:val="0085640C"/>
    <w:rsid w:val="00856DBD"/>
    <w:rsid w:val="00857867"/>
    <w:rsid w:val="00857CFD"/>
    <w:rsid w:val="00860082"/>
    <w:rsid w:val="0086018B"/>
    <w:rsid w:val="0086039D"/>
    <w:rsid w:val="00860ABF"/>
    <w:rsid w:val="00860B10"/>
    <w:rsid w:val="00860C51"/>
    <w:rsid w:val="00860D19"/>
    <w:rsid w:val="00860E0E"/>
    <w:rsid w:val="008611DD"/>
    <w:rsid w:val="008616B1"/>
    <w:rsid w:val="008618EF"/>
    <w:rsid w:val="00861A68"/>
    <w:rsid w:val="008620DE"/>
    <w:rsid w:val="008628D0"/>
    <w:rsid w:val="00862C5A"/>
    <w:rsid w:val="00862DE1"/>
    <w:rsid w:val="00862E77"/>
    <w:rsid w:val="00863594"/>
    <w:rsid w:val="00863CC5"/>
    <w:rsid w:val="008648CA"/>
    <w:rsid w:val="00864C8D"/>
    <w:rsid w:val="008650CB"/>
    <w:rsid w:val="0086515B"/>
    <w:rsid w:val="00865255"/>
    <w:rsid w:val="008657A1"/>
    <w:rsid w:val="00865B78"/>
    <w:rsid w:val="00865C81"/>
    <w:rsid w:val="00865E76"/>
    <w:rsid w:val="00866867"/>
    <w:rsid w:val="008677D4"/>
    <w:rsid w:val="0086786B"/>
    <w:rsid w:val="00870342"/>
    <w:rsid w:val="008706E3"/>
    <w:rsid w:val="00871224"/>
    <w:rsid w:val="008712DD"/>
    <w:rsid w:val="00871A2E"/>
    <w:rsid w:val="00872257"/>
    <w:rsid w:val="00872521"/>
    <w:rsid w:val="008738E6"/>
    <w:rsid w:val="0087454A"/>
    <w:rsid w:val="008747F0"/>
    <w:rsid w:val="0087501E"/>
    <w:rsid w:val="008753E6"/>
    <w:rsid w:val="00875D44"/>
    <w:rsid w:val="00876169"/>
    <w:rsid w:val="0087636C"/>
    <w:rsid w:val="008766C8"/>
    <w:rsid w:val="0087738C"/>
    <w:rsid w:val="008802AF"/>
    <w:rsid w:val="0088128A"/>
    <w:rsid w:val="0088181A"/>
    <w:rsid w:val="00881926"/>
    <w:rsid w:val="00881983"/>
    <w:rsid w:val="00881AD3"/>
    <w:rsid w:val="008821D3"/>
    <w:rsid w:val="00882A73"/>
    <w:rsid w:val="00882F01"/>
    <w:rsid w:val="00883121"/>
    <w:rsid w:val="0088318F"/>
    <w:rsid w:val="0088331D"/>
    <w:rsid w:val="0088358C"/>
    <w:rsid w:val="0088395A"/>
    <w:rsid w:val="00883C2E"/>
    <w:rsid w:val="00884997"/>
    <w:rsid w:val="008852B0"/>
    <w:rsid w:val="0088589B"/>
    <w:rsid w:val="00885AE7"/>
    <w:rsid w:val="00885D99"/>
    <w:rsid w:val="00885F12"/>
    <w:rsid w:val="0088600D"/>
    <w:rsid w:val="008867A7"/>
    <w:rsid w:val="00886B60"/>
    <w:rsid w:val="0088723F"/>
    <w:rsid w:val="00887278"/>
    <w:rsid w:val="00887889"/>
    <w:rsid w:val="00887A4B"/>
    <w:rsid w:val="00890296"/>
    <w:rsid w:val="008908CD"/>
    <w:rsid w:val="00890F4D"/>
    <w:rsid w:val="008920FF"/>
    <w:rsid w:val="008926E8"/>
    <w:rsid w:val="0089330F"/>
    <w:rsid w:val="00894276"/>
    <w:rsid w:val="0089484E"/>
    <w:rsid w:val="00894F19"/>
    <w:rsid w:val="0089543E"/>
    <w:rsid w:val="008955CA"/>
    <w:rsid w:val="00895E84"/>
    <w:rsid w:val="008965F8"/>
    <w:rsid w:val="008969ED"/>
    <w:rsid w:val="00896A10"/>
    <w:rsid w:val="00896D02"/>
    <w:rsid w:val="00897193"/>
    <w:rsid w:val="008971B5"/>
    <w:rsid w:val="00897805"/>
    <w:rsid w:val="00897A54"/>
    <w:rsid w:val="00897CF8"/>
    <w:rsid w:val="008A09A5"/>
    <w:rsid w:val="008A0B28"/>
    <w:rsid w:val="008A0F1D"/>
    <w:rsid w:val="008A0FC5"/>
    <w:rsid w:val="008A120A"/>
    <w:rsid w:val="008A1E93"/>
    <w:rsid w:val="008A1FCB"/>
    <w:rsid w:val="008A22D5"/>
    <w:rsid w:val="008A2495"/>
    <w:rsid w:val="008A2E14"/>
    <w:rsid w:val="008A3077"/>
    <w:rsid w:val="008A31FE"/>
    <w:rsid w:val="008A3EA5"/>
    <w:rsid w:val="008A511D"/>
    <w:rsid w:val="008A59E6"/>
    <w:rsid w:val="008A5D26"/>
    <w:rsid w:val="008A5F0A"/>
    <w:rsid w:val="008A675A"/>
    <w:rsid w:val="008A6B13"/>
    <w:rsid w:val="008A6C0D"/>
    <w:rsid w:val="008A6DCD"/>
    <w:rsid w:val="008A6ECB"/>
    <w:rsid w:val="008B045F"/>
    <w:rsid w:val="008B0BF9"/>
    <w:rsid w:val="008B0C1C"/>
    <w:rsid w:val="008B16DD"/>
    <w:rsid w:val="008B262D"/>
    <w:rsid w:val="008B2866"/>
    <w:rsid w:val="008B29AD"/>
    <w:rsid w:val="008B2C1F"/>
    <w:rsid w:val="008B32DB"/>
    <w:rsid w:val="008B3859"/>
    <w:rsid w:val="008B40C2"/>
    <w:rsid w:val="008B436D"/>
    <w:rsid w:val="008B4433"/>
    <w:rsid w:val="008B4E49"/>
    <w:rsid w:val="008B624A"/>
    <w:rsid w:val="008B6396"/>
    <w:rsid w:val="008B6EFB"/>
    <w:rsid w:val="008B71FB"/>
    <w:rsid w:val="008B7712"/>
    <w:rsid w:val="008B7A28"/>
    <w:rsid w:val="008B7B26"/>
    <w:rsid w:val="008B7C29"/>
    <w:rsid w:val="008C04A6"/>
    <w:rsid w:val="008C0682"/>
    <w:rsid w:val="008C0787"/>
    <w:rsid w:val="008C21E2"/>
    <w:rsid w:val="008C2355"/>
    <w:rsid w:val="008C26B0"/>
    <w:rsid w:val="008C2737"/>
    <w:rsid w:val="008C297B"/>
    <w:rsid w:val="008C2A38"/>
    <w:rsid w:val="008C30A3"/>
    <w:rsid w:val="008C3524"/>
    <w:rsid w:val="008C37BA"/>
    <w:rsid w:val="008C3F1C"/>
    <w:rsid w:val="008C4061"/>
    <w:rsid w:val="008C41FD"/>
    <w:rsid w:val="008C4229"/>
    <w:rsid w:val="008C4F00"/>
    <w:rsid w:val="008C5467"/>
    <w:rsid w:val="008C5808"/>
    <w:rsid w:val="008C5AD4"/>
    <w:rsid w:val="008C5B88"/>
    <w:rsid w:val="008C5BE0"/>
    <w:rsid w:val="008C5C2C"/>
    <w:rsid w:val="008C6E26"/>
    <w:rsid w:val="008C7233"/>
    <w:rsid w:val="008C7313"/>
    <w:rsid w:val="008C7993"/>
    <w:rsid w:val="008D0744"/>
    <w:rsid w:val="008D12AE"/>
    <w:rsid w:val="008D2241"/>
    <w:rsid w:val="008D23A2"/>
    <w:rsid w:val="008D2434"/>
    <w:rsid w:val="008D36BE"/>
    <w:rsid w:val="008D39F2"/>
    <w:rsid w:val="008D4418"/>
    <w:rsid w:val="008D467F"/>
    <w:rsid w:val="008D49D3"/>
    <w:rsid w:val="008D4ADF"/>
    <w:rsid w:val="008D4E92"/>
    <w:rsid w:val="008D5AFA"/>
    <w:rsid w:val="008D5BFF"/>
    <w:rsid w:val="008D5C39"/>
    <w:rsid w:val="008D629C"/>
    <w:rsid w:val="008D62A4"/>
    <w:rsid w:val="008D6455"/>
    <w:rsid w:val="008D6853"/>
    <w:rsid w:val="008D68D3"/>
    <w:rsid w:val="008D6DBA"/>
    <w:rsid w:val="008D6F1E"/>
    <w:rsid w:val="008D6F22"/>
    <w:rsid w:val="008E0AD8"/>
    <w:rsid w:val="008E0F82"/>
    <w:rsid w:val="008E171D"/>
    <w:rsid w:val="008E1D85"/>
    <w:rsid w:val="008E2785"/>
    <w:rsid w:val="008E2DB5"/>
    <w:rsid w:val="008E35A9"/>
    <w:rsid w:val="008E396A"/>
    <w:rsid w:val="008E3D42"/>
    <w:rsid w:val="008E3F8D"/>
    <w:rsid w:val="008E46C6"/>
    <w:rsid w:val="008E5A6D"/>
    <w:rsid w:val="008E6034"/>
    <w:rsid w:val="008E6CB0"/>
    <w:rsid w:val="008E78A3"/>
    <w:rsid w:val="008E7D05"/>
    <w:rsid w:val="008F0654"/>
    <w:rsid w:val="008F06CB"/>
    <w:rsid w:val="008F09A2"/>
    <w:rsid w:val="008F09B3"/>
    <w:rsid w:val="008F0B02"/>
    <w:rsid w:val="008F0B4E"/>
    <w:rsid w:val="008F1118"/>
    <w:rsid w:val="008F120E"/>
    <w:rsid w:val="008F12BB"/>
    <w:rsid w:val="008F18A1"/>
    <w:rsid w:val="008F1C74"/>
    <w:rsid w:val="008F2870"/>
    <w:rsid w:val="008F2E83"/>
    <w:rsid w:val="008F36D5"/>
    <w:rsid w:val="008F39AB"/>
    <w:rsid w:val="008F3E5A"/>
    <w:rsid w:val="008F3EC4"/>
    <w:rsid w:val="008F417B"/>
    <w:rsid w:val="008F520F"/>
    <w:rsid w:val="008F5223"/>
    <w:rsid w:val="008F5338"/>
    <w:rsid w:val="008F53E8"/>
    <w:rsid w:val="008F612A"/>
    <w:rsid w:val="008F67B4"/>
    <w:rsid w:val="00900015"/>
    <w:rsid w:val="0090042B"/>
    <w:rsid w:val="00900662"/>
    <w:rsid w:val="00900892"/>
    <w:rsid w:val="009009E8"/>
    <w:rsid w:val="00900AA0"/>
    <w:rsid w:val="00900B7D"/>
    <w:rsid w:val="009014DC"/>
    <w:rsid w:val="00901629"/>
    <w:rsid w:val="00901864"/>
    <w:rsid w:val="009026F5"/>
    <w:rsid w:val="0090293D"/>
    <w:rsid w:val="00902D4F"/>
    <w:rsid w:val="0090315B"/>
    <w:rsid w:val="0090338F"/>
    <w:rsid w:val="009034DE"/>
    <w:rsid w:val="00903752"/>
    <w:rsid w:val="0090393B"/>
    <w:rsid w:val="00903DD6"/>
    <w:rsid w:val="00904095"/>
    <w:rsid w:val="009048B4"/>
    <w:rsid w:val="0090490F"/>
    <w:rsid w:val="00904EDE"/>
    <w:rsid w:val="00905396"/>
    <w:rsid w:val="00905A1B"/>
    <w:rsid w:val="0090605D"/>
    <w:rsid w:val="009060FA"/>
    <w:rsid w:val="00906419"/>
    <w:rsid w:val="00906910"/>
    <w:rsid w:val="00906B8E"/>
    <w:rsid w:val="00906FEA"/>
    <w:rsid w:val="00910426"/>
    <w:rsid w:val="009106E4"/>
    <w:rsid w:val="00911A0F"/>
    <w:rsid w:val="00911A89"/>
    <w:rsid w:val="00911E1E"/>
    <w:rsid w:val="009127BD"/>
    <w:rsid w:val="00912889"/>
    <w:rsid w:val="0091294B"/>
    <w:rsid w:val="00913A42"/>
    <w:rsid w:val="00913A73"/>
    <w:rsid w:val="00913AD6"/>
    <w:rsid w:val="00913B65"/>
    <w:rsid w:val="00914167"/>
    <w:rsid w:val="009142C6"/>
    <w:rsid w:val="0091430C"/>
    <w:rsid w:val="009143DB"/>
    <w:rsid w:val="00914DED"/>
    <w:rsid w:val="00915065"/>
    <w:rsid w:val="0091562E"/>
    <w:rsid w:val="00915825"/>
    <w:rsid w:val="00916F64"/>
    <w:rsid w:val="0091763C"/>
    <w:rsid w:val="00917CE5"/>
    <w:rsid w:val="00917D28"/>
    <w:rsid w:val="009210A1"/>
    <w:rsid w:val="0092111E"/>
    <w:rsid w:val="009217C0"/>
    <w:rsid w:val="00921AEB"/>
    <w:rsid w:val="00922A3A"/>
    <w:rsid w:val="009233C4"/>
    <w:rsid w:val="00923B2B"/>
    <w:rsid w:val="0092435B"/>
    <w:rsid w:val="00925241"/>
    <w:rsid w:val="009259B1"/>
    <w:rsid w:val="00925CEC"/>
    <w:rsid w:val="00925D32"/>
    <w:rsid w:val="00926187"/>
    <w:rsid w:val="00926A3F"/>
    <w:rsid w:val="00926EF8"/>
    <w:rsid w:val="0092716C"/>
    <w:rsid w:val="00927699"/>
    <w:rsid w:val="0092772F"/>
    <w:rsid w:val="00927904"/>
    <w:rsid w:val="0092794E"/>
    <w:rsid w:val="009301F0"/>
    <w:rsid w:val="0093060C"/>
    <w:rsid w:val="00930A18"/>
    <w:rsid w:val="00930D30"/>
    <w:rsid w:val="009310DD"/>
    <w:rsid w:val="00931C3C"/>
    <w:rsid w:val="00931C4C"/>
    <w:rsid w:val="00931F9A"/>
    <w:rsid w:val="009329BB"/>
    <w:rsid w:val="00932F7C"/>
    <w:rsid w:val="009332A2"/>
    <w:rsid w:val="009338A8"/>
    <w:rsid w:val="00933BB9"/>
    <w:rsid w:val="00933D88"/>
    <w:rsid w:val="009343B2"/>
    <w:rsid w:val="00934619"/>
    <w:rsid w:val="00935A85"/>
    <w:rsid w:val="00935B1B"/>
    <w:rsid w:val="00935BC8"/>
    <w:rsid w:val="00936894"/>
    <w:rsid w:val="00937598"/>
    <w:rsid w:val="0093790B"/>
    <w:rsid w:val="00937E78"/>
    <w:rsid w:val="00937F6B"/>
    <w:rsid w:val="00940150"/>
    <w:rsid w:val="00940595"/>
    <w:rsid w:val="009406A9"/>
    <w:rsid w:val="00940D40"/>
    <w:rsid w:val="00940DF5"/>
    <w:rsid w:val="0094107D"/>
    <w:rsid w:val="009414C4"/>
    <w:rsid w:val="00941B38"/>
    <w:rsid w:val="00941DAE"/>
    <w:rsid w:val="00941F1B"/>
    <w:rsid w:val="00942012"/>
    <w:rsid w:val="0094271A"/>
    <w:rsid w:val="00942B0A"/>
    <w:rsid w:val="00942CE6"/>
    <w:rsid w:val="00943751"/>
    <w:rsid w:val="00943FA5"/>
    <w:rsid w:val="009440C7"/>
    <w:rsid w:val="00944248"/>
    <w:rsid w:val="00944BB4"/>
    <w:rsid w:val="00944E64"/>
    <w:rsid w:val="009453E5"/>
    <w:rsid w:val="00945843"/>
    <w:rsid w:val="0094686F"/>
    <w:rsid w:val="00946C3C"/>
    <w:rsid w:val="00946D76"/>
    <w:rsid w:val="00946DD0"/>
    <w:rsid w:val="0094735C"/>
    <w:rsid w:val="00947364"/>
    <w:rsid w:val="009507D4"/>
    <w:rsid w:val="009509E6"/>
    <w:rsid w:val="00952018"/>
    <w:rsid w:val="0095271E"/>
    <w:rsid w:val="00952800"/>
    <w:rsid w:val="00952801"/>
    <w:rsid w:val="0095300D"/>
    <w:rsid w:val="00953475"/>
    <w:rsid w:val="00953B2D"/>
    <w:rsid w:val="009543B3"/>
    <w:rsid w:val="00954420"/>
    <w:rsid w:val="0095548D"/>
    <w:rsid w:val="00956325"/>
    <w:rsid w:val="00956812"/>
    <w:rsid w:val="0095719A"/>
    <w:rsid w:val="009572A2"/>
    <w:rsid w:val="00957433"/>
    <w:rsid w:val="00957B39"/>
    <w:rsid w:val="00957DE5"/>
    <w:rsid w:val="00960267"/>
    <w:rsid w:val="00960498"/>
    <w:rsid w:val="00961600"/>
    <w:rsid w:val="00961FE3"/>
    <w:rsid w:val="009621C3"/>
    <w:rsid w:val="009623E9"/>
    <w:rsid w:val="009626AB"/>
    <w:rsid w:val="00963EEB"/>
    <w:rsid w:val="009641EF"/>
    <w:rsid w:val="009643D0"/>
    <w:rsid w:val="009646AA"/>
    <w:rsid w:val="0096477C"/>
    <w:rsid w:val="009648BC"/>
    <w:rsid w:val="00964C1A"/>
    <w:rsid w:val="00964C2F"/>
    <w:rsid w:val="00965370"/>
    <w:rsid w:val="00965F88"/>
    <w:rsid w:val="0096655B"/>
    <w:rsid w:val="00966AC1"/>
    <w:rsid w:val="00966E1B"/>
    <w:rsid w:val="0096700D"/>
    <w:rsid w:val="00970BFF"/>
    <w:rsid w:val="009715E0"/>
    <w:rsid w:val="00971896"/>
    <w:rsid w:val="009718CA"/>
    <w:rsid w:val="00972681"/>
    <w:rsid w:val="00973113"/>
    <w:rsid w:val="00973200"/>
    <w:rsid w:val="0097390B"/>
    <w:rsid w:val="009750B2"/>
    <w:rsid w:val="00977684"/>
    <w:rsid w:val="009776EC"/>
    <w:rsid w:val="00977A03"/>
    <w:rsid w:val="00977A71"/>
    <w:rsid w:val="00977C18"/>
    <w:rsid w:val="0098001A"/>
    <w:rsid w:val="009804B5"/>
    <w:rsid w:val="00980B01"/>
    <w:rsid w:val="00980B91"/>
    <w:rsid w:val="00980C22"/>
    <w:rsid w:val="00980E50"/>
    <w:rsid w:val="00981BA5"/>
    <w:rsid w:val="00981C1A"/>
    <w:rsid w:val="009830AF"/>
    <w:rsid w:val="00983283"/>
    <w:rsid w:val="00983561"/>
    <w:rsid w:val="00983C55"/>
    <w:rsid w:val="00984577"/>
    <w:rsid w:val="00984D8C"/>
    <w:rsid w:val="00984E03"/>
    <w:rsid w:val="00984F43"/>
    <w:rsid w:val="00986254"/>
    <w:rsid w:val="0098687F"/>
    <w:rsid w:val="00986F17"/>
    <w:rsid w:val="00986FC8"/>
    <w:rsid w:val="009872CF"/>
    <w:rsid w:val="009873EC"/>
    <w:rsid w:val="00987514"/>
    <w:rsid w:val="00987E85"/>
    <w:rsid w:val="00987F87"/>
    <w:rsid w:val="0099067C"/>
    <w:rsid w:val="00990807"/>
    <w:rsid w:val="00990CFA"/>
    <w:rsid w:val="00991B43"/>
    <w:rsid w:val="00991CFD"/>
    <w:rsid w:val="00991D18"/>
    <w:rsid w:val="00991DDD"/>
    <w:rsid w:val="00992FA5"/>
    <w:rsid w:val="009931A3"/>
    <w:rsid w:val="00993624"/>
    <w:rsid w:val="00993C37"/>
    <w:rsid w:val="009952B5"/>
    <w:rsid w:val="009960F3"/>
    <w:rsid w:val="009962E0"/>
    <w:rsid w:val="00996307"/>
    <w:rsid w:val="00996D84"/>
    <w:rsid w:val="0099718B"/>
    <w:rsid w:val="00997D60"/>
    <w:rsid w:val="009A0D12"/>
    <w:rsid w:val="009A1883"/>
    <w:rsid w:val="009A1987"/>
    <w:rsid w:val="009A1C24"/>
    <w:rsid w:val="009A2989"/>
    <w:rsid w:val="009A2BEE"/>
    <w:rsid w:val="009A3269"/>
    <w:rsid w:val="009A3666"/>
    <w:rsid w:val="009A36FA"/>
    <w:rsid w:val="009A3DB7"/>
    <w:rsid w:val="009A5289"/>
    <w:rsid w:val="009A5CEB"/>
    <w:rsid w:val="009A625F"/>
    <w:rsid w:val="009A6EFA"/>
    <w:rsid w:val="009A7A53"/>
    <w:rsid w:val="009B0402"/>
    <w:rsid w:val="009B0B75"/>
    <w:rsid w:val="009B0D4D"/>
    <w:rsid w:val="009B10D2"/>
    <w:rsid w:val="009B16DF"/>
    <w:rsid w:val="009B1F12"/>
    <w:rsid w:val="009B3F22"/>
    <w:rsid w:val="009B424F"/>
    <w:rsid w:val="009B4CB2"/>
    <w:rsid w:val="009B4FC0"/>
    <w:rsid w:val="009B5365"/>
    <w:rsid w:val="009B53B8"/>
    <w:rsid w:val="009B54F3"/>
    <w:rsid w:val="009B581A"/>
    <w:rsid w:val="009B6466"/>
    <w:rsid w:val="009B6701"/>
    <w:rsid w:val="009B6C02"/>
    <w:rsid w:val="009B6EF7"/>
    <w:rsid w:val="009B7000"/>
    <w:rsid w:val="009B71C3"/>
    <w:rsid w:val="009B7279"/>
    <w:rsid w:val="009B7351"/>
    <w:rsid w:val="009B739C"/>
    <w:rsid w:val="009C03D4"/>
    <w:rsid w:val="009C0413"/>
    <w:rsid w:val="009C04EC"/>
    <w:rsid w:val="009C094F"/>
    <w:rsid w:val="009C137A"/>
    <w:rsid w:val="009C1637"/>
    <w:rsid w:val="009C1760"/>
    <w:rsid w:val="009C1EA3"/>
    <w:rsid w:val="009C2665"/>
    <w:rsid w:val="009C3221"/>
    <w:rsid w:val="009C328C"/>
    <w:rsid w:val="009C361F"/>
    <w:rsid w:val="009C3A46"/>
    <w:rsid w:val="009C3DED"/>
    <w:rsid w:val="009C41D4"/>
    <w:rsid w:val="009C41EA"/>
    <w:rsid w:val="009C42F1"/>
    <w:rsid w:val="009C4444"/>
    <w:rsid w:val="009C464B"/>
    <w:rsid w:val="009C4781"/>
    <w:rsid w:val="009C5439"/>
    <w:rsid w:val="009C5C61"/>
    <w:rsid w:val="009C682A"/>
    <w:rsid w:val="009C6D2B"/>
    <w:rsid w:val="009C6E3B"/>
    <w:rsid w:val="009C6F5C"/>
    <w:rsid w:val="009C7323"/>
    <w:rsid w:val="009C7715"/>
    <w:rsid w:val="009C79AD"/>
    <w:rsid w:val="009C7B4C"/>
    <w:rsid w:val="009C7BFC"/>
    <w:rsid w:val="009C7CA6"/>
    <w:rsid w:val="009C7E60"/>
    <w:rsid w:val="009D0651"/>
    <w:rsid w:val="009D0C76"/>
    <w:rsid w:val="009D2A83"/>
    <w:rsid w:val="009D3316"/>
    <w:rsid w:val="009D4E22"/>
    <w:rsid w:val="009D54B4"/>
    <w:rsid w:val="009D5520"/>
    <w:rsid w:val="009D55AA"/>
    <w:rsid w:val="009D575F"/>
    <w:rsid w:val="009D6782"/>
    <w:rsid w:val="009D6940"/>
    <w:rsid w:val="009D6F83"/>
    <w:rsid w:val="009D7296"/>
    <w:rsid w:val="009D77DA"/>
    <w:rsid w:val="009E000C"/>
    <w:rsid w:val="009E1801"/>
    <w:rsid w:val="009E1A90"/>
    <w:rsid w:val="009E1E22"/>
    <w:rsid w:val="009E25D4"/>
    <w:rsid w:val="009E26F6"/>
    <w:rsid w:val="009E2B57"/>
    <w:rsid w:val="009E3505"/>
    <w:rsid w:val="009E37BC"/>
    <w:rsid w:val="009E37F2"/>
    <w:rsid w:val="009E3B3F"/>
    <w:rsid w:val="009E3E77"/>
    <w:rsid w:val="009E3FAB"/>
    <w:rsid w:val="009E4138"/>
    <w:rsid w:val="009E4A57"/>
    <w:rsid w:val="009E55FE"/>
    <w:rsid w:val="009E5B3F"/>
    <w:rsid w:val="009E6237"/>
    <w:rsid w:val="009E75B3"/>
    <w:rsid w:val="009E79CC"/>
    <w:rsid w:val="009E79E7"/>
    <w:rsid w:val="009E7D90"/>
    <w:rsid w:val="009E7DA6"/>
    <w:rsid w:val="009E7FD7"/>
    <w:rsid w:val="009F02E5"/>
    <w:rsid w:val="009F0B8F"/>
    <w:rsid w:val="009F16E7"/>
    <w:rsid w:val="009F1AB0"/>
    <w:rsid w:val="009F2367"/>
    <w:rsid w:val="009F2787"/>
    <w:rsid w:val="009F285E"/>
    <w:rsid w:val="009F31B2"/>
    <w:rsid w:val="009F3550"/>
    <w:rsid w:val="009F3650"/>
    <w:rsid w:val="009F389F"/>
    <w:rsid w:val="009F48E3"/>
    <w:rsid w:val="009F501D"/>
    <w:rsid w:val="009F5999"/>
    <w:rsid w:val="009F5CAE"/>
    <w:rsid w:val="009F6754"/>
    <w:rsid w:val="009F6A74"/>
    <w:rsid w:val="009F6AD6"/>
    <w:rsid w:val="009F7805"/>
    <w:rsid w:val="009F799F"/>
    <w:rsid w:val="009F7E14"/>
    <w:rsid w:val="009F7F51"/>
    <w:rsid w:val="00A008CE"/>
    <w:rsid w:val="00A018CC"/>
    <w:rsid w:val="00A01BF9"/>
    <w:rsid w:val="00A021E7"/>
    <w:rsid w:val="00A02851"/>
    <w:rsid w:val="00A02C7A"/>
    <w:rsid w:val="00A03336"/>
    <w:rsid w:val="00A039D5"/>
    <w:rsid w:val="00A0408A"/>
    <w:rsid w:val="00A042B3"/>
    <w:rsid w:val="00A043F5"/>
    <w:rsid w:val="00A046AD"/>
    <w:rsid w:val="00A04F91"/>
    <w:rsid w:val="00A0583E"/>
    <w:rsid w:val="00A05C4F"/>
    <w:rsid w:val="00A066CE"/>
    <w:rsid w:val="00A06A25"/>
    <w:rsid w:val="00A06EFE"/>
    <w:rsid w:val="00A06FB3"/>
    <w:rsid w:val="00A0768F"/>
    <w:rsid w:val="00A079C1"/>
    <w:rsid w:val="00A102DF"/>
    <w:rsid w:val="00A10BCD"/>
    <w:rsid w:val="00A11213"/>
    <w:rsid w:val="00A119C5"/>
    <w:rsid w:val="00A119EC"/>
    <w:rsid w:val="00A11A06"/>
    <w:rsid w:val="00A11D61"/>
    <w:rsid w:val="00A120B3"/>
    <w:rsid w:val="00A12520"/>
    <w:rsid w:val="00A12922"/>
    <w:rsid w:val="00A12B70"/>
    <w:rsid w:val="00A12CC9"/>
    <w:rsid w:val="00A130FD"/>
    <w:rsid w:val="00A13726"/>
    <w:rsid w:val="00A13A77"/>
    <w:rsid w:val="00A13CCF"/>
    <w:rsid w:val="00A13D6D"/>
    <w:rsid w:val="00A1458B"/>
    <w:rsid w:val="00A14769"/>
    <w:rsid w:val="00A150AA"/>
    <w:rsid w:val="00A15E13"/>
    <w:rsid w:val="00A16151"/>
    <w:rsid w:val="00A162D2"/>
    <w:rsid w:val="00A167C0"/>
    <w:rsid w:val="00A16EC6"/>
    <w:rsid w:val="00A1756E"/>
    <w:rsid w:val="00A17733"/>
    <w:rsid w:val="00A17883"/>
    <w:rsid w:val="00A17C06"/>
    <w:rsid w:val="00A20290"/>
    <w:rsid w:val="00A20C33"/>
    <w:rsid w:val="00A2126E"/>
    <w:rsid w:val="00A21706"/>
    <w:rsid w:val="00A217B2"/>
    <w:rsid w:val="00A21FAB"/>
    <w:rsid w:val="00A22503"/>
    <w:rsid w:val="00A22A61"/>
    <w:rsid w:val="00A24FCC"/>
    <w:rsid w:val="00A253C1"/>
    <w:rsid w:val="00A258B0"/>
    <w:rsid w:val="00A2630F"/>
    <w:rsid w:val="00A26A90"/>
    <w:rsid w:val="00A26B27"/>
    <w:rsid w:val="00A273B0"/>
    <w:rsid w:val="00A27955"/>
    <w:rsid w:val="00A27B79"/>
    <w:rsid w:val="00A27FDA"/>
    <w:rsid w:val="00A3062E"/>
    <w:rsid w:val="00A30792"/>
    <w:rsid w:val="00A3098A"/>
    <w:rsid w:val="00A30E4F"/>
    <w:rsid w:val="00A31358"/>
    <w:rsid w:val="00A3183B"/>
    <w:rsid w:val="00A31E55"/>
    <w:rsid w:val="00A32253"/>
    <w:rsid w:val="00A323C6"/>
    <w:rsid w:val="00A3310E"/>
    <w:rsid w:val="00A3316B"/>
    <w:rsid w:val="00A332A1"/>
    <w:rsid w:val="00A333A0"/>
    <w:rsid w:val="00A336B0"/>
    <w:rsid w:val="00A33EBC"/>
    <w:rsid w:val="00A344FF"/>
    <w:rsid w:val="00A35768"/>
    <w:rsid w:val="00A35C90"/>
    <w:rsid w:val="00A37106"/>
    <w:rsid w:val="00A376DF"/>
    <w:rsid w:val="00A37A5C"/>
    <w:rsid w:val="00A37BD4"/>
    <w:rsid w:val="00A37D07"/>
    <w:rsid w:val="00A37E70"/>
    <w:rsid w:val="00A402A3"/>
    <w:rsid w:val="00A40485"/>
    <w:rsid w:val="00A405E3"/>
    <w:rsid w:val="00A41075"/>
    <w:rsid w:val="00A41351"/>
    <w:rsid w:val="00A41867"/>
    <w:rsid w:val="00A4251D"/>
    <w:rsid w:val="00A426EE"/>
    <w:rsid w:val="00A42B3B"/>
    <w:rsid w:val="00A43214"/>
    <w:rsid w:val="00A4340A"/>
    <w:rsid w:val="00A43477"/>
    <w:rsid w:val="00A437E1"/>
    <w:rsid w:val="00A43A64"/>
    <w:rsid w:val="00A441CE"/>
    <w:rsid w:val="00A44B0F"/>
    <w:rsid w:val="00A44DDA"/>
    <w:rsid w:val="00A4614C"/>
    <w:rsid w:val="00A4685E"/>
    <w:rsid w:val="00A46AED"/>
    <w:rsid w:val="00A47C5E"/>
    <w:rsid w:val="00A50012"/>
    <w:rsid w:val="00A50B35"/>
    <w:rsid w:val="00A50CD4"/>
    <w:rsid w:val="00A50DB6"/>
    <w:rsid w:val="00A51191"/>
    <w:rsid w:val="00A5129F"/>
    <w:rsid w:val="00A5192B"/>
    <w:rsid w:val="00A51ADF"/>
    <w:rsid w:val="00A51AE8"/>
    <w:rsid w:val="00A52E96"/>
    <w:rsid w:val="00A52F50"/>
    <w:rsid w:val="00A5341B"/>
    <w:rsid w:val="00A5389D"/>
    <w:rsid w:val="00A53F73"/>
    <w:rsid w:val="00A54C5E"/>
    <w:rsid w:val="00A55053"/>
    <w:rsid w:val="00A5574C"/>
    <w:rsid w:val="00A559BD"/>
    <w:rsid w:val="00A55C16"/>
    <w:rsid w:val="00A55FAA"/>
    <w:rsid w:val="00A56D62"/>
    <w:rsid w:val="00A56F07"/>
    <w:rsid w:val="00A56FB5"/>
    <w:rsid w:val="00A57219"/>
    <w:rsid w:val="00A5762C"/>
    <w:rsid w:val="00A5790E"/>
    <w:rsid w:val="00A57D71"/>
    <w:rsid w:val="00A57E58"/>
    <w:rsid w:val="00A600FC"/>
    <w:rsid w:val="00A60974"/>
    <w:rsid w:val="00A60A3F"/>
    <w:rsid w:val="00A60BCA"/>
    <w:rsid w:val="00A60CB1"/>
    <w:rsid w:val="00A61F91"/>
    <w:rsid w:val="00A62721"/>
    <w:rsid w:val="00A62AAD"/>
    <w:rsid w:val="00A62AB0"/>
    <w:rsid w:val="00A62AE9"/>
    <w:rsid w:val="00A6322E"/>
    <w:rsid w:val="00A638DA"/>
    <w:rsid w:val="00A64362"/>
    <w:rsid w:val="00A6478C"/>
    <w:rsid w:val="00A658DF"/>
    <w:rsid w:val="00A658FD"/>
    <w:rsid w:val="00A65AAF"/>
    <w:rsid w:val="00A65B41"/>
    <w:rsid w:val="00A65E00"/>
    <w:rsid w:val="00A65FE7"/>
    <w:rsid w:val="00A66392"/>
    <w:rsid w:val="00A664A7"/>
    <w:rsid w:val="00A669E7"/>
    <w:rsid w:val="00A66A78"/>
    <w:rsid w:val="00A66B42"/>
    <w:rsid w:val="00A66FE9"/>
    <w:rsid w:val="00A67572"/>
    <w:rsid w:val="00A67751"/>
    <w:rsid w:val="00A67939"/>
    <w:rsid w:val="00A679A9"/>
    <w:rsid w:val="00A67B75"/>
    <w:rsid w:val="00A700A7"/>
    <w:rsid w:val="00A705A5"/>
    <w:rsid w:val="00A70922"/>
    <w:rsid w:val="00A70D28"/>
    <w:rsid w:val="00A70EA0"/>
    <w:rsid w:val="00A715C0"/>
    <w:rsid w:val="00A71B54"/>
    <w:rsid w:val="00A73001"/>
    <w:rsid w:val="00A737EE"/>
    <w:rsid w:val="00A73AFE"/>
    <w:rsid w:val="00A7436E"/>
    <w:rsid w:val="00A74E96"/>
    <w:rsid w:val="00A74E9B"/>
    <w:rsid w:val="00A75423"/>
    <w:rsid w:val="00A75740"/>
    <w:rsid w:val="00A75870"/>
    <w:rsid w:val="00A75A8E"/>
    <w:rsid w:val="00A761B3"/>
    <w:rsid w:val="00A762D9"/>
    <w:rsid w:val="00A76542"/>
    <w:rsid w:val="00A76668"/>
    <w:rsid w:val="00A76850"/>
    <w:rsid w:val="00A76879"/>
    <w:rsid w:val="00A76AEC"/>
    <w:rsid w:val="00A77237"/>
    <w:rsid w:val="00A77663"/>
    <w:rsid w:val="00A80322"/>
    <w:rsid w:val="00A80DBB"/>
    <w:rsid w:val="00A818FD"/>
    <w:rsid w:val="00A81A22"/>
    <w:rsid w:val="00A824DD"/>
    <w:rsid w:val="00A826B4"/>
    <w:rsid w:val="00A826DF"/>
    <w:rsid w:val="00A82ADA"/>
    <w:rsid w:val="00A83676"/>
    <w:rsid w:val="00A8394B"/>
    <w:rsid w:val="00A83B5E"/>
    <w:rsid w:val="00A83B7B"/>
    <w:rsid w:val="00A84274"/>
    <w:rsid w:val="00A84EB8"/>
    <w:rsid w:val="00A850F3"/>
    <w:rsid w:val="00A85D20"/>
    <w:rsid w:val="00A864E3"/>
    <w:rsid w:val="00A86549"/>
    <w:rsid w:val="00A865C1"/>
    <w:rsid w:val="00A86695"/>
    <w:rsid w:val="00A868AB"/>
    <w:rsid w:val="00A868BF"/>
    <w:rsid w:val="00A86CE5"/>
    <w:rsid w:val="00A86DCC"/>
    <w:rsid w:val="00A86DD0"/>
    <w:rsid w:val="00A87314"/>
    <w:rsid w:val="00A8752A"/>
    <w:rsid w:val="00A875E7"/>
    <w:rsid w:val="00A90057"/>
    <w:rsid w:val="00A90473"/>
    <w:rsid w:val="00A9078A"/>
    <w:rsid w:val="00A90B5C"/>
    <w:rsid w:val="00A9191F"/>
    <w:rsid w:val="00A91A26"/>
    <w:rsid w:val="00A91C0F"/>
    <w:rsid w:val="00A92130"/>
    <w:rsid w:val="00A92793"/>
    <w:rsid w:val="00A93641"/>
    <w:rsid w:val="00A9381F"/>
    <w:rsid w:val="00A93D07"/>
    <w:rsid w:val="00A93E10"/>
    <w:rsid w:val="00A94004"/>
    <w:rsid w:val="00A94574"/>
    <w:rsid w:val="00A947C3"/>
    <w:rsid w:val="00A949F2"/>
    <w:rsid w:val="00A94A55"/>
    <w:rsid w:val="00A94CF6"/>
    <w:rsid w:val="00A955BD"/>
    <w:rsid w:val="00A95921"/>
    <w:rsid w:val="00A95936"/>
    <w:rsid w:val="00A9598E"/>
    <w:rsid w:val="00A960DE"/>
    <w:rsid w:val="00A96265"/>
    <w:rsid w:val="00A96F1F"/>
    <w:rsid w:val="00A9701A"/>
    <w:rsid w:val="00A97084"/>
    <w:rsid w:val="00A9780E"/>
    <w:rsid w:val="00A97A08"/>
    <w:rsid w:val="00AA0064"/>
    <w:rsid w:val="00AA0588"/>
    <w:rsid w:val="00AA0895"/>
    <w:rsid w:val="00AA15EB"/>
    <w:rsid w:val="00AA1C2C"/>
    <w:rsid w:val="00AA1F5F"/>
    <w:rsid w:val="00AA20B0"/>
    <w:rsid w:val="00AA25D9"/>
    <w:rsid w:val="00AA2953"/>
    <w:rsid w:val="00AA3055"/>
    <w:rsid w:val="00AA352A"/>
    <w:rsid w:val="00AA35F6"/>
    <w:rsid w:val="00AA390A"/>
    <w:rsid w:val="00AA4527"/>
    <w:rsid w:val="00AA4666"/>
    <w:rsid w:val="00AA485F"/>
    <w:rsid w:val="00AA4C0C"/>
    <w:rsid w:val="00AA5B1C"/>
    <w:rsid w:val="00AA667C"/>
    <w:rsid w:val="00AA6E91"/>
    <w:rsid w:val="00AA7439"/>
    <w:rsid w:val="00AA783E"/>
    <w:rsid w:val="00AB028D"/>
    <w:rsid w:val="00AB047E"/>
    <w:rsid w:val="00AB0759"/>
    <w:rsid w:val="00AB0B0A"/>
    <w:rsid w:val="00AB0BB7"/>
    <w:rsid w:val="00AB202A"/>
    <w:rsid w:val="00AB22C6"/>
    <w:rsid w:val="00AB2958"/>
    <w:rsid w:val="00AB2AAF"/>
    <w:rsid w:val="00AB2AD0"/>
    <w:rsid w:val="00AB35A6"/>
    <w:rsid w:val="00AB3833"/>
    <w:rsid w:val="00AB3C97"/>
    <w:rsid w:val="00AB3CDE"/>
    <w:rsid w:val="00AB4A62"/>
    <w:rsid w:val="00AB6799"/>
    <w:rsid w:val="00AB67FC"/>
    <w:rsid w:val="00AB6827"/>
    <w:rsid w:val="00AB6B29"/>
    <w:rsid w:val="00AB6D7D"/>
    <w:rsid w:val="00AC00F2"/>
    <w:rsid w:val="00AC03A0"/>
    <w:rsid w:val="00AC12E3"/>
    <w:rsid w:val="00AC1937"/>
    <w:rsid w:val="00AC2372"/>
    <w:rsid w:val="00AC3143"/>
    <w:rsid w:val="00AC31B5"/>
    <w:rsid w:val="00AC44F5"/>
    <w:rsid w:val="00AC498E"/>
    <w:rsid w:val="00AC4EA1"/>
    <w:rsid w:val="00AC5381"/>
    <w:rsid w:val="00AC57FC"/>
    <w:rsid w:val="00AC5920"/>
    <w:rsid w:val="00AC5BDA"/>
    <w:rsid w:val="00AC6234"/>
    <w:rsid w:val="00AC66BB"/>
    <w:rsid w:val="00AC6F79"/>
    <w:rsid w:val="00AC78ED"/>
    <w:rsid w:val="00AC7904"/>
    <w:rsid w:val="00AC7C1C"/>
    <w:rsid w:val="00AC7F4D"/>
    <w:rsid w:val="00AD0061"/>
    <w:rsid w:val="00AD0320"/>
    <w:rsid w:val="00AD0BA4"/>
    <w:rsid w:val="00AD0E65"/>
    <w:rsid w:val="00AD1096"/>
    <w:rsid w:val="00AD15B2"/>
    <w:rsid w:val="00AD2385"/>
    <w:rsid w:val="00AD2BF2"/>
    <w:rsid w:val="00AD2E90"/>
    <w:rsid w:val="00AD3658"/>
    <w:rsid w:val="00AD40BA"/>
    <w:rsid w:val="00AD4141"/>
    <w:rsid w:val="00AD41AB"/>
    <w:rsid w:val="00AD4334"/>
    <w:rsid w:val="00AD4E90"/>
    <w:rsid w:val="00AD5422"/>
    <w:rsid w:val="00AD5432"/>
    <w:rsid w:val="00AD56BF"/>
    <w:rsid w:val="00AD5CD7"/>
    <w:rsid w:val="00AD66CA"/>
    <w:rsid w:val="00AD6DF6"/>
    <w:rsid w:val="00AD6F31"/>
    <w:rsid w:val="00AD70A8"/>
    <w:rsid w:val="00AD759C"/>
    <w:rsid w:val="00AD766D"/>
    <w:rsid w:val="00AD796E"/>
    <w:rsid w:val="00AD7B1E"/>
    <w:rsid w:val="00AD7CEC"/>
    <w:rsid w:val="00AE08B9"/>
    <w:rsid w:val="00AE0AA4"/>
    <w:rsid w:val="00AE0BCD"/>
    <w:rsid w:val="00AE0C15"/>
    <w:rsid w:val="00AE0C20"/>
    <w:rsid w:val="00AE128A"/>
    <w:rsid w:val="00AE1779"/>
    <w:rsid w:val="00AE1E78"/>
    <w:rsid w:val="00AE1F25"/>
    <w:rsid w:val="00AE2080"/>
    <w:rsid w:val="00AE212A"/>
    <w:rsid w:val="00AE221D"/>
    <w:rsid w:val="00AE2A6C"/>
    <w:rsid w:val="00AE2D19"/>
    <w:rsid w:val="00AE2E7A"/>
    <w:rsid w:val="00AE36E8"/>
    <w:rsid w:val="00AE4179"/>
    <w:rsid w:val="00AE4425"/>
    <w:rsid w:val="00AE4480"/>
    <w:rsid w:val="00AE4841"/>
    <w:rsid w:val="00AE4C55"/>
    <w:rsid w:val="00AE4FBE"/>
    <w:rsid w:val="00AE528F"/>
    <w:rsid w:val="00AE60A0"/>
    <w:rsid w:val="00AE650F"/>
    <w:rsid w:val="00AE6555"/>
    <w:rsid w:val="00AE65B1"/>
    <w:rsid w:val="00AE66FC"/>
    <w:rsid w:val="00AE72B8"/>
    <w:rsid w:val="00AE76D1"/>
    <w:rsid w:val="00AE7CDC"/>
    <w:rsid w:val="00AE7D16"/>
    <w:rsid w:val="00AE7FA7"/>
    <w:rsid w:val="00AF0D4A"/>
    <w:rsid w:val="00AF136E"/>
    <w:rsid w:val="00AF1BFB"/>
    <w:rsid w:val="00AF27B0"/>
    <w:rsid w:val="00AF2CD7"/>
    <w:rsid w:val="00AF322B"/>
    <w:rsid w:val="00AF36E9"/>
    <w:rsid w:val="00AF3BE3"/>
    <w:rsid w:val="00AF3F4F"/>
    <w:rsid w:val="00AF4589"/>
    <w:rsid w:val="00AF4CAA"/>
    <w:rsid w:val="00AF4F03"/>
    <w:rsid w:val="00AF52B9"/>
    <w:rsid w:val="00AF571A"/>
    <w:rsid w:val="00AF57C0"/>
    <w:rsid w:val="00AF590F"/>
    <w:rsid w:val="00AF60A0"/>
    <w:rsid w:val="00AF61BB"/>
    <w:rsid w:val="00AF62A7"/>
    <w:rsid w:val="00AF67FC"/>
    <w:rsid w:val="00AF6C57"/>
    <w:rsid w:val="00AF6E62"/>
    <w:rsid w:val="00AF6E6E"/>
    <w:rsid w:val="00AF6EDA"/>
    <w:rsid w:val="00AF6F5B"/>
    <w:rsid w:val="00AF7890"/>
    <w:rsid w:val="00AF7DF5"/>
    <w:rsid w:val="00B00144"/>
    <w:rsid w:val="00B002A3"/>
    <w:rsid w:val="00B0059A"/>
    <w:rsid w:val="00B006E5"/>
    <w:rsid w:val="00B00736"/>
    <w:rsid w:val="00B00890"/>
    <w:rsid w:val="00B00D5D"/>
    <w:rsid w:val="00B00E60"/>
    <w:rsid w:val="00B01C6B"/>
    <w:rsid w:val="00B024C2"/>
    <w:rsid w:val="00B0295D"/>
    <w:rsid w:val="00B02AFB"/>
    <w:rsid w:val="00B03328"/>
    <w:rsid w:val="00B03658"/>
    <w:rsid w:val="00B0376F"/>
    <w:rsid w:val="00B03805"/>
    <w:rsid w:val="00B03A17"/>
    <w:rsid w:val="00B0543F"/>
    <w:rsid w:val="00B05883"/>
    <w:rsid w:val="00B06FEB"/>
    <w:rsid w:val="00B07610"/>
    <w:rsid w:val="00B07700"/>
    <w:rsid w:val="00B07886"/>
    <w:rsid w:val="00B078D4"/>
    <w:rsid w:val="00B07DF9"/>
    <w:rsid w:val="00B07E5B"/>
    <w:rsid w:val="00B1036C"/>
    <w:rsid w:val="00B10F78"/>
    <w:rsid w:val="00B113FB"/>
    <w:rsid w:val="00B122C3"/>
    <w:rsid w:val="00B129E4"/>
    <w:rsid w:val="00B12ED7"/>
    <w:rsid w:val="00B13921"/>
    <w:rsid w:val="00B13EB8"/>
    <w:rsid w:val="00B14161"/>
    <w:rsid w:val="00B15283"/>
    <w:rsid w:val="00B1528C"/>
    <w:rsid w:val="00B15BCA"/>
    <w:rsid w:val="00B15E32"/>
    <w:rsid w:val="00B169BB"/>
    <w:rsid w:val="00B16ACD"/>
    <w:rsid w:val="00B1759A"/>
    <w:rsid w:val="00B17BF7"/>
    <w:rsid w:val="00B17D16"/>
    <w:rsid w:val="00B205A0"/>
    <w:rsid w:val="00B20DF7"/>
    <w:rsid w:val="00B210A1"/>
    <w:rsid w:val="00B212CD"/>
    <w:rsid w:val="00B213D6"/>
    <w:rsid w:val="00B21487"/>
    <w:rsid w:val="00B22C52"/>
    <w:rsid w:val="00B232D1"/>
    <w:rsid w:val="00B23CA3"/>
    <w:rsid w:val="00B23E00"/>
    <w:rsid w:val="00B24DB5"/>
    <w:rsid w:val="00B251AB"/>
    <w:rsid w:val="00B2684D"/>
    <w:rsid w:val="00B26E23"/>
    <w:rsid w:val="00B26E70"/>
    <w:rsid w:val="00B27428"/>
    <w:rsid w:val="00B30720"/>
    <w:rsid w:val="00B30C4E"/>
    <w:rsid w:val="00B3107E"/>
    <w:rsid w:val="00B31DB6"/>
    <w:rsid w:val="00B31F9E"/>
    <w:rsid w:val="00B32000"/>
    <w:rsid w:val="00B32063"/>
    <w:rsid w:val="00B3268F"/>
    <w:rsid w:val="00B32C2C"/>
    <w:rsid w:val="00B32C68"/>
    <w:rsid w:val="00B33A1A"/>
    <w:rsid w:val="00B33CD6"/>
    <w:rsid w:val="00B33E6C"/>
    <w:rsid w:val="00B3405E"/>
    <w:rsid w:val="00B34430"/>
    <w:rsid w:val="00B34527"/>
    <w:rsid w:val="00B35003"/>
    <w:rsid w:val="00B35029"/>
    <w:rsid w:val="00B3533C"/>
    <w:rsid w:val="00B356FF"/>
    <w:rsid w:val="00B36DD0"/>
    <w:rsid w:val="00B36EC1"/>
    <w:rsid w:val="00B371CC"/>
    <w:rsid w:val="00B40A5F"/>
    <w:rsid w:val="00B416BE"/>
    <w:rsid w:val="00B41CD9"/>
    <w:rsid w:val="00B41E3C"/>
    <w:rsid w:val="00B42430"/>
    <w:rsid w:val="00B427E6"/>
    <w:rsid w:val="00B428A6"/>
    <w:rsid w:val="00B42ACB"/>
    <w:rsid w:val="00B42C28"/>
    <w:rsid w:val="00B43873"/>
    <w:rsid w:val="00B43E1F"/>
    <w:rsid w:val="00B44260"/>
    <w:rsid w:val="00B44C15"/>
    <w:rsid w:val="00B45057"/>
    <w:rsid w:val="00B456B3"/>
    <w:rsid w:val="00B45AAE"/>
    <w:rsid w:val="00B45FBC"/>
    <w:rsid w:val="00B467D9"/>
    <w:rsid w:val="00B46B8B"/>
    <w:rsid w:val="00B46E42"/>
    <w:rsid w:val="00B47050"/>
    <w:rsid w:val="00B474CA"/>
    <w:rsid w:val="00B475D2"/>
    <w:rsid w:val="00B47856"/>
    <w:rsid w:val="00B47A20"/>
    <w:rsid w:val="00B47A99"/>
    <w:rsid w:val="00B50690"/>
    <w:rsid w:val="00B5110B"/>
    <w:rsid w:val="00B51428"/>
    <w:rsid w:val="00B517E0"/>
    <w:rsid w:val="00B51836"/>
    <w:rsid w:val="00B518A5"/>
    <w:rsid w:val="00B51A74"/>
    <w:rsid w:val="00B51A7D"/>
    <w:rsid w:val="00B52B0B"/>
    <w:rsid w:val="00B52FEE"/>
    <w:rsid w:val="00B535B5"/>
    <w:rsid w:val="00B535C2"/>
    <w:rsid w:val="00B53953"/>
    <w:rsid w:val="00B54498"/>
    <w:rsid w:val="00B5516D"/>
    <w:rsid w:val="00B55544"/>
    <w:rsid w:val="00B55573"/>
    <w:rsid w:val="00B55DEC"/>
    <w:rsid w:val="00B55EEC"/>
    <w:rsid w:val="00B56258"/>
    <w:rsid w:val="00B569D7"/>
    <w:rsid w:val="00B56AB5"/>
    <w:rsid w:val="00B5728A"/>
    <w:rsid w:val="00B57C69"/>
    <w:rsid w:val="00B60171"/>
    <w:rsid w:val="00B6050D"/>
    <w:rsid w:val="00B60C83"/>
    <w:rsid w:val="00B61E4A"/>
    <w:rsid w:val="00B61F4E"/>
    <w:rsid w:val="00B6274C"/>
    <w:rsid w:val="00B629A4"/>
    <w:rsid w:val="00B62FD4"/>
    <w:rsid w:val="00B638F1"/>
    <w:rsid w:val="00B642FC"/>
    <w:rsid w:val="00B647E5"/>
    <w:rsid w:val="00B64D26"/>
    <w:rsid w:val="00B64D6A"/>
    <w:rsid w:val="00B64FBB"/>
    <w:rsid w:val="00B66109"/>
    <w:rsid w:val="00B67466"/>
    <w:rsid w:val="00B67AAF"/>
    <w:rsid w:val="00B7025E"/>
    <w:rsid w:val="00B7090F"/>
    <w:rsid w:val="00B70999"/>
    <w:rsid w:val="00B70E22"/>
    <w:rsid w:val="00B7107F"/>
    <w:rsid w:val="00B71138"/>
    <w:rsid w:val="00B71845"/>
    <w:rsid w:val="00B722F7"/>
    <w:rsid w:val="00B72809"/>
    <w:rsid w:val="00B7310F"/>
    <w:rsid w:val="00B7313D"/>
    <w:rsid w:val="00B73729"/>
    <w:rsid w:val="00B73ADE"/>
    <w:rsid w:val="00B73B88"/>
    <w:rsid w:val="00B741CD"/>
    <w:rsid w:val="00B74A25"/>
    <w:rsid w:val="00B74B74"/>
    <w:rsid w:val="00B74C75"/>
    <w:rsid w:val="00B75D5F"/>
    <w:rsid w:val="00B768D4"/>
    <w:rsid w:val="00B76C82"/>
    <w:rsid w:val="00B774CB"/>
    <w:rsid w:val="00B80104"/>
    <w:rsid w:val="00B803AF"/>
    <w:rsid w:val="00B80402"/>
    <w:rsid w:val="00B80818"/>
    <w:rsid w:val="00B80B9A"/>
    <w:rsid w:val="00B817DD"/>
    <w:rsid w:val="00B830B7"/>
    <w:rsid w:val="00B83562"/>
    <w:rsid w:val="00B83773"/>
    <w:rsid w:val="00B848EA"/>
    <w:rsid w:val="00B84B2B"/>
    <w:rsid w:val="00B852AD"/>
    <w:rsid w:val="00B8542E"/>
    <w:rsid w:val="00B86195"/>
    <w:rsid w:val="00B86FA4"/>
    <w:rsid w:val="00B87FFA"/>
    <w:rsid w:val="00B90500"/>
    <w:rsid w:val="00B910C8"/>
    <w:rsid w:val="00B9176C"/>
    <w:rsid w:val="00B92ABC"/>
    <w:rsid w:val="00B92BF0"/>
    <w:rsid w:val="00B93185"/>
    <w:rsid w:val="00B933BF"/>
    <w:rsid w:val="00B935A4"/>
    <w:rsid w:val="00B94B06"/>
    <w:rsid w:val="00B94BE5"/>
    <w:rsid w:val="00B951CB"/>
    <w:rsid w:val="00B952CB"/>
    <w:rsid w:val="00B95395"/>
    <w:rsid w:val="00B95657"/>
    <w:rsid w:val="00B958D1"/>
    <w:rsid w:val="00B95920"/>
    <w:rsid w:val="00B967B1"/>
    <w:rsid w:val="00B9731D"/>
    <w:rsid w:val="00B97B5E"/>
    <w:rsid w:val="00BA03C2"/>
    <w:rsid w:val="00BA18B1"/>
    <w:rsid w:val="00BA2D54"/>
    <w:rsid w:val="00BA2DA3"/>
    <w:rsid w:val="00BA31F9"/>
    <w:rsid w:val="00BA374F"/>
    <w:rsid w:val="00BA3FE8"/>
    <w:rsid w:val="00BA41BA"/>
    <w:rsid w:val="00BA4714"/>
    <w:rsid w:val="00BA4D83"/>
    <w:rsid w:val="00BA4DF2"/>
    <w:rsid w:val="00BA5268"/>
    <w:rsid w:val="00BA561A"/>
    <w:rsid w:val="00BA571C"/>
    <w:rsid w:val="00BA5DF5"/>
    <w:rsid w:val="00BA679D"/>
    <w:rsid w:val="00BA681B"/>
    <w:rsid w:val="00BA683C"/>
    <w:rsid w:val="00BA6B55"/>
    <w:rsid w:val="00BA776F"/>
    <w:rsid w:val="00BA7B52"/>
    <w:rsid w:val="00BB08DB"/>
    <w:rsid w:val="00BB0D10"/>
    <w:rsid w:val="00BB0DC6"/>
    <w:rsid w:val="00BB15E4"/>
    <w:rsid w:val="00BB1E19"/>
    <w:rsid w:val="00BB21D1"/>
    <w:rsid w:val="00BB2354"/>
    <w:rsid w:val="00BB32F2"/>
    <w:rsid w:val="00BB36DD"/>
    <w:rsid w:val="00BB418D"/>
    <w:rsid w:val="00BB4338"/>
    <w:rsid w:val="00BB4899"/>
    <w:rsid w:val="00BB5453"/>
    <w:rsid w:val="00BB5841"/>
    <w:rsid w:val="00BB6636"/>
    <w:rsid w:val="00BB68A8"/>
    <w:rsid w:val="00BB6C0E"/>
    <w:rsid w:val="00BB70F6"/>
    <w:rsid w:val="00BB73B1"/>
    <w:rsid w:val="00BB7463"/>
    <w:rsid w:val="00BB79FE"/>
    <w:rsid w:val="00BB7AA0"/>
    <w:rsid w:val="00BB7B38"/>
    <w:rsid w:val="00BB7E28"/>
    <w:rsid w:val="00BC0897"/>
    <w:rsid w:val="00BC11BC"/>
    <w:rsid w:val="00BC11E5"/>
    <w:rsid w:val="00BC1C88"/>
    <w:rsid w:val="00BC22A3"/>
    <w:rsid w:val="00BC22D3"/>
    <w:rsid w:val="00BC2A72"/>
    <w:rsid w:val="00BC2AC3"/>
    <w:rsid w:val="00BC340B"/>
    <w:rsid w:val="00BC3A45"/>
    <w:rsid w:val="00BC4367"/>
    <w:rsid w:val="00BC4BC6"/>
    <w:rsid w:val="00BC4D3B"/>
    <w:rsid w:val="00BC4EC2"/>
    <w:rsid w:val="00BC52FD"/>
    <w:rsid w:val="00BC684D"/>
    <w:rsid w:val="00BC69FD"/>
    <w:rsid w:val="00BC6E62"/>
    <w:rsid w:val="00BC7443"/>
    <w:rsid w:val="00BC767A"/>
    <w:rsid w:val="00BD0648"/>
    <w:rsid w:val="00BD1040"/>
    <w:rsid w:val="00BD1209"/>
    <w:rsid w:val="00BD1481"/>
    <w:rsid w:val="00BD1762"/>
    <w:rsid w:val="00BD26BC"/>
    <w:rsid w:val="00BD2705"/>
    <w:rsid w:val="00BD270E"/>
    <w:rsid w:val="00BD2B37"/>
    <w:rsid w:val="00BD32F5"/>
    <w:rsid w:val="00BD34AA"/>
    <w:rsid w:val="00BD3DE8"/>
    <w:rsid w:val="00BD4871"/>
    <w:rsid w:val="00BD4981"/>
    <w:rsid w:val="00BD4B46"/>
    <w:rsid w:val="00BD4E49"/>
    <w:rsid w:val="00BD51E3"/>
    <w:rsid w:val="00BD5828"/>
    <w:rsid w:val="00BD5CC0"/>
    <w:rsid w:val="00BD63F5"/>
    <w:rsid w:val="00BD6EFE"/>
    <w:rsid w:val="00BD706B"/>
    <w:rsid w:val="00BD7328"/>
    <w:rsid w:val="00BD7450"/>
    <w:rsid w:val="00BE0C44"/>
    <w:rsid w:val="00BE10CF"/>
    <w:rsid w:val="00BE131B"/>
    <w:rsid w:val="00BE1628"/>
    <w:rsid w:val="00BE1892"/>
    <w:rsid w:val="00BE18E3"/>
    <w:rsid w:val="00BE19BF"/>
    <w:rsid w:val="00BE1B8B"/>
    <w:rsid w:val="00BE2726"/>
    <w:rsid w:val="00BE29F0"/>
    <w:rsid w:val="00BE2A18"/>
    <w:rsid w:val="00BE2C01"/>
    <w:rsid w:val="00BE32D2"/>
    <w:rsid w:val="00BE361E"/>
    <w:rsid w:val="00BE3CC0"/>
    <w:rsid w:val="00BE4103"/>
    <w:rsid w:val="00BE41EC"/>
    <w:rsid w:val="00BE43F9"/>
    <w:rsid w:val="00BE4F12"/>
    <w:rsid w:val="00BE51FB"/>
    <w:rsid w:val="00BE5609"/>
    <w:rsid w:val="00BE56FB"/>
    <w:rsid w:val="00BE5ED8"/>
    <w:rsid w:val="00BE5F3B"/>
    <w:rsid w:val="00BE6154"/>
    <w:rsid w:val="00BE6614"/>
    <w:rsid w:val="00BE6C8F"/>
    <w:rsid w:val="00BE7634"/>
    <w:rsid w:val="00BE7961"/>
    <w:rsid w:val="00BE796E"/>
    <w:rsid w:val="00BE7AC1"/>
    <w:rsid w:val="00BE7CD9"/>
    <w:rsid w:val="00BF0046"/>
    <w:rsid w:val="00BF0ED2"/>
    <w:rsid w:val="00BF15FF"/>
    <w:rsid w:val="00BF1CB8"/>
    <w:rsid w:val="00BF2369"/>
    <w:rsid w:val="00BF27BD"/>
    <w:rsid w:val="00BF293B"/>
    <w:rsid w:val="00BF2FE6"/>
    <w:rsid w:val="00BF302A"/>
    <w:rsid w:val="00BF3159"/>
    <w:rsid w:val="00BF3354"/>
    <w:rsid w:val="00BF3DDE"/>
    <w:rsid w:val="00BF402B"/>
    <w:rsid w:val="00BF50C1"/>
    <w:rsid w:val="00BF50CA"/>
    <w:rsid w:val="00BF585B"/>
    <w:rsid w:val="00BF6589"/>
    <w:rsid w:val="00BF6887"/>
    <w:rsid w:val="00BF6DAE"/>
    <w:rsid w:val="00BF6F7F"/>
    <w:rsid w:val="00BF702F"/>
    <w:rsid w:val="00BF7054"/>
    <w:rsid w:val="00BF787C"/>
    <w:rsid w:val="00BF7922"/>
    <w:rsid w:val="00C00084"/>
    <w:rsid w:val="00C00181"/>
    <w:rsid w:val="00C005B8"/>
    <w:rsid w:val="00C00647"/>
    <w:rsid w:val="00C012F7"/>
    <w:rsid w:val="00C017C8"/>
    <w:rsid w:val="00C01FE2"/>
    <w:rsid w:val="00C02520"/>
    <w:rsid w:val="00C02764"/>
    <w:rsid w:val="00C02B2D"/>
    <w:rsid w:val="00C02FCD"/>
    <w:rsid w:val="00C03218"/>
    <w:rsid w:val="00C03290"/>
    <w:rsid w:val="00C03D74"/>
    <w:rsid w:val="00C04CEF"/>
    <w:rsid w:val="00C04D79"/>
    <w:rsid w:val="00C05064"/>
    <w:rsid w:val="00C055EB"/>
    <w:rsid w:val="00C05824"/>
    <w:rsid w:val="00C0582F"/>
    <w:rsid w:val="00C05DD9"/>
    <w:rsid w:val="00C0662F"/>
    <w:rsid w:val="00C067B5"/>
    <w:rsid w:val="00C068E0"/>
    <w:rsid w:val="00C074FB"/>
    <w:rsid w:val="00C07887"/>
    <w:rsid w:val="00C10A33"/>
    <w:rsid w:val="00C111A5"/>
    <w:rsid w:val="00C11943"/>
    <w:rsid w:val="00C11BF6"/>
    <w:rsid w:val="00C1244A"/>
    <w:rsid w:val="00C12D80"/>
    <w:rsid w:val="00C12E96"/>
    <w:rsid w:val="00C12F7A"/>
    <w:rsid w:val="00C13425"/>
    <w:rsid w:val="00C13C0F"/>
    <w:rsid w:val="00C13E51"/>
    <w:rsid w:val="00C13E67"/>
    <w:rsid w:val="00C14763"/>
    <w:rsid w:val="00C15229"/>
    <w:rsid w:val="00C15695"/>
    <w:rsid w:val="00C15828"/>
    <w:rsid w:val="00C15AC2"/>
    <w:rsid w:val="00C15D82"/>
    <w:rsid w:val="00C15DA5"/>
    <w:rsid w:val="00C160B2"/>
    <w:rsid w:val="00C16141"/>
    <w:rsid w:val="00C16674"/>
    <w:rsid w:val="00C16964"/>
    <w:rsid w:val="00C16CA4"/>
    <w:rsid w:val="00C17100"/>
    <w:rsid w:val="00C1738D"/>
    <w:rsid w:val="00C173C6"/>
    <w:rsid w:val="00C17C06"/>
    <w:rsid w:val="00C20B38"/>
    <w:rsid w:val="00C20D91"/>
    <w:rsid w:val="00C20E4D"/>
    <w:rsid w:val="00C21213"/>
    <w:rsid w:val="00C21BB8"/>
    <w:rsid w:val="00C227F3"/>
    <w:rsid w:val="00C23202"/>
    <w:rsid w:val="00C2363F"/>
    <w:rsid w:val="00C236C8"/>
    <w:rsid w:val="00C249DA"/>
    <w:rsid w:val="00C24A71"/>
    <w:rsid w:val="00C25F93"/>
    <w:rsid w:val="00C260B1"/>
    <w:rsid w:val="00C26AAF"/>
    <w:rsid w:val="00C26E56"/>
    <w:rsid w:val="00C275AD"/>
    <w:rsid w:val="00C3063C"/>
    <w:rsid w:val="00C313E9"/>
    <w:rsid w:val="00C31406"/>
    <w:rsid w:val="00C314BF"/>
    <w:rsid w:val="00C3187C"/>
    <w:rsid w:val="00C31F86"/>
    <w:rsid w:val="00C32E97"/>
    <w:rsid w:val="00C33CE8"/>
    <w:rsid w:val="00C34E05"/>
    <w:rsid w:val="00C34E3C"/>
    <w:rsid w:val="00C3539B"/>
    <w:rsid w:val="00C358F7"/>
    <w:rsid w:val="00C35B4E"/>
    <w:rsid w:val="00C36395"/>
    <w:rsid w:val="00C363D3"/>
    <w:rsid w:val="00C36595"/>
    <w:rsid w:val="00C36CE0"/>
    <w:rsid w:val="00C37194"/>
    <w:rsid w:val="00C37EC5"/>
    <w:rsid w:val="00C40637"/>
    <w:rsid w:val="00C409A4"/>
    <w:rsid w:val="00C40BDE"/>
    <w:rsid w:val="00C40F6C"/>
    <w:rsid w:val="00C4114B"/>
    <w:rsid w:val="00C4175B"/>
    <w:rsid w:val="00C41983"/>
    <w:rsid w:val="00C41C30"/>
    <w:rsid w:val="00C42238"/>
    <w:rsid w:val="00C425E3"/>
    <w:rsid w:val="00C42BA6"/>
    <w:rsid w:val="00C43713"/>
    <w:rsid w:val="00C43AC0"/>
    <w:rsid w:val="00C44426"/>
    <w:rsid w:val="00C44450"/>
    <w:rsid w:val="00C445F3"/>
    <w:rsid w:val="00C45094"/>
    <w:rsid w:val="00C451F4"/>
    <w:rsid w:val="00C453C6"/>
    <w:rsid w:val="00C4598E"/>
    <w:rsid w:val="00C45BA4"/>
    <w:rsid w:val="00C45C17"/>
    <w:rsid w:val="00C45C1A"/>
    <w:rsid w:val="00C45EB1"/>
    <w:rsid w:val="00C46CC4"/>
    <w:rsid w:val="00C46CCD"/>
    <w:rsid w:val="00C4754A"/>
    <w:rsid w:val="00C47D9B"/>
    <w:rsid w:val="00C47E29"/>
    <w:rsid w:val="00C51423"/>
    <w:rsid w:val="00C526FB"/>
    <w:rsid w:val="00C52DC8"/>
    <w:rsid w:val="00C52FFB"/>
    <w:rsid w:val="00C5362D"/>
    <w:rsid w:val="00C53729"/>
    <w:rsid w:val="00C5408E"/>
    <w:rsid w:val="00C54182"/>
    <w:rsid w:val="00C542C8"/>
    <w:rsid w:val="00C54A3A"/>
    <w:rsid w:val="00C54B34"/>
    <w:rsid w:val="00C54C4A"/>
    <w:rsid w:val="00C54D0E"/>
    <w:rsid w:val="00C54EA5"/>
    <w:rsid w:val="00C55566"/>
    <w:rsid w:val="00C55FD6"/>
    <w:rsid w:val="00C56448"/>
    <w:rsid w:val="00C56895"/>
    <w:rsid w:val="00C569CC"/>
    <w:rsid w:val="00C56C93"/>
    <w:rsid w:val="00C573F1"/>
    <w:rsid w:val="00C603C1"/>
    <w:rsid w:val="00C60A69"/>
    <w:rsid w:val="00C610C9"/>
    <w:rsid w:val="00C6208D"/>
    <w:rsid w:val="00C6258B"/>
    <w:rsid w:val="00C62648"/>
    <w:rsid w:val="00C62A36"/>
    <w:rsid w:val="00C62C7F"/>
    <w:rsid w:val="00C62D5A"/>
    <w:rsid w:val="00C63D5D"/>
    <w:rsid w:val="00C63DE2"/>
    <w:rsid w:val="00C65085"/>
    <w:rsid w:val="00C650AE"/>
    <w:rsid w:val="00C651EB"/>
    <w:rsid w:val="00C654F3"/>
    <w:rsid w:val="00C65B75"/>
    <w:rsid w:val="00C65B8C"/>
    <w:rsid w:val="00C65F16"/>
    <w:rsid w:val="00C66072"/>
    <w:rsid w:val="00C667BE"/>
    <w:rsid w:val="00C66EF6"/>
    <w:rsid w:val="00C6766B"/>
    <w:rsid w:val="00C678EC"/>
    <w:rsid w:val="00C70CC8"/>
    <w:rsid w:val="00C70FE1"/>
    <w:rsid w:val="00C71206"/>
    <w:rsid w:val="00C71952"/>
    <w:rsid w:val="00C719D0"/>
    <w:rsid w:val="00C71BDB"/>
    <w:rsid w:val="00C71C3A"/>
    <w:rsid w:val="00C71CED"/>
    <w:rsid w:val="00C72223"/>
    <w:rsid w:val="00C74490"/>
    <w:rsid w:val="00C74522"/>
    <w:rsid w:val="00C747D6"/>
    <w:rsid w:val="00C750C4"/>
    <w:rsid w:val="00C758A0"/>
    <w:rsid w:val="00C759B0"/>
    <w:rsid w:val="00C76417"/>
    <w:rsid w:val="00C76797"/>
    <w:rsid w:val="00C76D60"/>
    <w:rsid w:val="00C7726F"/>
    <w:rsid w:val="00C776F9"/>
    <w:rsid w:val="00C77970"/>
    <w:rsid w:val="00C77A58"/>
    <w:rsid w:val="00C800BA"/>
    <w:rsid w:val="00C8015C"/>
    <w:rsid w:val="00C803EA"/>
    <w:rsid w:val="00C80C93"/>
    <w:rsid w:val="00C8117A"/>
    <w:rsid w:val="00C81291"/>
    <w:rsid w:val="00C814E5"/>
    <w:rsid w:val="00C81ECE"/>
    <w:rsid w:val="00C81F3D"/>
    <w:rsid w:val="00C81FDA"/>
    <w:rsid w:val="00C8211C"/>
    <w:rsid w:val="00C82235"/>
    <w:rsid w:val="00C823DA"/>
    <w:rsid w:val="00C8256C"/>
    <w:rsid w:val="00C8259F"/>
    <w:rsid w:val="00C82746"/>
    <w:rsid w:val="00C8312F"/>
    <w:rsid w:val="00C84C47"/>
    <w:rsid w:val="00C84D0C"/>
    <w:rsid w:val="00C858A4"/>
    <w:rsid w:val="00C8596D"/>
    <w:rsid w:val="00C8694F"/>
    <w:rsid w:val="00C86AFA"/>
    <w:rsid w:val="00C8721D"/>
    <w:rsid w:val="00C87280"/>
    <w:rsid w:val="00C87C7A"/>
    <w:rsid w:val="00C90623"/>
    <w:rsid w:val="00C9105F"/>
    <w:rsid w:val="00C91CC4"/>
    <w:rsid w:val="00C92675"/>
    <w:rsid w:val="00C92F75"/>
    <w:rsid w:val="00C93380"/>
    <w:rsid w:val="00C93539"/>
    <w:rsid w:val="00C941DC"/>
    <w:rsid w:val="00C949C1"/>
    <w:rsid w:val="00C94A38"/>
    <w:rsid w:val="00C957AA"/>
    <w:rsid w:val="00C95E63"/>
    <w:rsid w:val="00C962BD"/>
    <w:rsid w:val="00C9645A"/>
    <w:rsid w:val="00C969AF"/>
    <w:rsid w:val="00C96C35"/>
    <w:rsid w:val="00C97095"/>
    <w:rsid w:val="00C970DB"/>
    <w:rsid w:val="00CA18FC"/>
    <w:rsid w:val="00CA1EF7"/>
    <w:rsid w:val="00CA2D33"/>
    <w:rsid w:val="00CA33C1"/>
    <w:rsid w:val="00CA4FE7"/>
    <w:rsid w:val="00CA5754"/>
    <w:rsid w:val="00CA609A"/>
    <w:rsid w:val="00CA6671"/>
    <w:rsid w:val="00CA6818"/>
    <w:rsid w:val="00CA68DB"/>
    <w:rsid w:val="00CA694C"/>
    <w:rsid w:val="00CA6A9A"/>
    <w:rsid w:val="00CA7E46"/>
    <w:rsid w:val="00CB03BA"/>
    <w:rsid w:val="00CB1279"/>
    <w:rsid w:val="00CB18D0"/>
    <w:rsid w:val="00CB1C8A"/>
    <w:rsid w:val="00CB24F5"/>
    <w:rsid w:val="00CB2663"/>
    <w:rsid w:val="00CB2E52"/>
    <w:rsid w:val="00CB3BBE"/>
    <w:rsid w:val="00CB3C4A"/>
    <w:rsid w:val="00CB41E1"/>
    <w:rsid w:val="00CB4A50"/>
    <w:rsid w:val="00CB5773"/>
    <w:rsid w:val="00CB59E9"/>
    <w:rsid w:val="00CB5F57"/>
    <w:rsid w:val="00CB6C3B"/>
    <w:rsid w:val="00CB6C44"/>
    <w:rsid w:val="00CB7333"/>
    <w:rsid w:val="00CB7380"/>
    <w:rsid w:val="00CB7BCE"/>
    <w:rsid w:val="00CC035C"/>
    <w:rsid w:val="00CC0809"/>
    <w:rsid w:val="00CC0C86"/>
    <w:rsid w:val="00CC0D6A"/>
    <w:rsid w:val="00CC19AE"/>
    <w:rsid w:val="00CC2CE7"/>
    <w:rsid w:val="00CC3340"/>
    <w:rsid w:val="00CC3831"/>
    <w:rsid w:val="00CC3E3D"/>
    <w:rsid w:val="00CC4CF4"/>
    <w:rsid w:val="00CC4D71"/>
    <w:rsid w:val="00CC519B"/>
    <w:rsid w:val="00CC58B4"/>
    <w:rsid w:val="00CC671B"/>
    <w:rsid w:val="00CC6BD8"/>
    <w:rsid w:val="00CC6BFF"/>
    <w:rsid w:val="00CC7A47"/>
    <w:rsid w:val="00CC7B04"/>
    <w:rsid w:val="00CC7F09"/>
    <w:rsid w:val="00CD0491"/>
    <w:rsid w:val="00CD07C6"/>
    <w:rsid w:val="00CD0820"/>
    <w:rsid w:val="00CD0C0F"/>
    <w:rsid w:val="00CD0EBD"/>
    <w:rsid w:val="00CD12C1"/>
    <w:rsid w:val="00CD1466"/>
    <w:rsid w:val="00CD214E"/>
    <w:rsid w:val="00CD215D"/>
    <w:rsid w:val="00CD2310"/>
    <w:rsid w:val="00CD2468"/>
    <w:rsid w:val="00CD2E43"/>
    <w:rsid w:val="00CD2E5D"/>
    <w:rsid w:val="00CD2E6D"/>
    <w:rsid w:val="00CD2F5C"/>
    <w:rsid w:val="00CD405F"/>
    <w:rsid w:val="00CD46FA"/>
    <w:rsid w:val="00CD48BE"/>
    <w:rsid w:val="00CD4C59"/>
    <w:rsid w:val="00CD4F64"/>
    <w:rsid w:val="00CD57FF"/>
    <w:rsid w:val="00CD5973"/>
    <w:rsid w:val="00CD6223"/>
    <w:rsid w:val="00CD6F63"/>
    <w:rsid w:val="00CD71A2"/>
    <w:rsid w:val="00CD71B7"/>
    <w:rsid w:val="00CD7C9C"/>
    <w:rsid w:val="00CE0151"/>
    <w:rsid w:val="00CE0495"/>
    <w:rsid w:val="00CE0C6A"/>
    <w:rsid w:val="00CE0E71"/>
    <w:rsid w:val="00CE2029"/>
    <w:rsid w:val="00CE31A6"/>
    <w:rsid w:val="00CE321A"/>
    <w:rsid w:val="00CE34DF"/>
    <w:rsid w:val="00CE355E"/>
    <w:rsid w:val="00CE3B68"/>
    <w:rsid w:val="00CE40F3"/>
    <w:rsid w:val="00CE41C4"/>
    <w:rsid w:val="00CE4EB2"/>
    <w:rsid w:val="00CE5796"/>
    <w:rsid w:val="00CE63BD"/>
    <w:rsid w:val="00CE6B11"/>
    <w:rsid w:val="00CE6DE3"/>
    <w:rsid w:val="00CE6F37"/>
    <w:rsid w:val="00CE7C6A"/>
    <w:rsid w:val="00CE7DBB"/>
    <w:rsid w:val="00CE7EA3"/>
    <w:rsid w:val="00CF09AA"/>
    <w:rsid w:val="00CF14CB"/>
    <w:rsid w:val="00CF21CB"/>
    <w:rsid w:val="00CF21FA"/>
    <w:rsid w:val="00CF285E"/>
    <w:rsid w:val="00CF2878"/>
    <w:rsid w:val="00CF3297"/>
    <w:rsid w:val="00CF3A0F"/>
    <w:rsid w:val="00CF3B9F"/>
    <w:rsid w:val="00CF3D28"/>
    <w:rsid w:val="00CF4813"/>
    <w:rsid w:val="00CF4C34"/>
    <w:rsid w:val="00CF5233"/>
    <w:rsid w:val="00CF65BF"/>
    <w:rsid w:val="00CF65FF"/>
    <w:rsid w:val="00CF67F9"/>
    <w:rsid w:val="00CF6F5A"/>
    <w:rsid w:val="00CF751E"/>
    <w:rsid w:val="00CF7674"/>
    <w:rsid w:val="00CF77FA"/>
    <w:rsid w:val="00D00AF9"/>
    <w:rsid w:val="00D00B9F"/>
    <w:rsid w:val="00D00EC1"/>
    <w:rsid w:val="00D018E0"/>
    <w:rsid w:val="00D01D58"/>
    <w:rsid w:val="00D02488"/>
    <w:rsid w:val="00D029B8"/>
    <w:rsid w:val="00D02B21"/>
    <w:rsid w:val="00D02F60"/>
    <w:rsid w:val="00D037D4"/>
    <w:rsid w:val="00D0464E"/>
    <w:rsid w:val="00D049A6"/>
    <w:rsid w:val="00D04A96"/>
    <w:rsid w:val="00D0520A"/>
    <w:rsid w:val="00D056C2"/>
    <w:rsid w:val="00D05B0E"/>
    <w:rsid w:val="00D060AC"/>
    <w:rsid w:val="00D06537"/>
    <w:rsid w:val="00D074D3"/>
    <w:rsid w:val="00D0769B"/>
    <w:rsid w:val="00D07A7B"/>
    <w:rsid w:val="00D07ED4"/>
    <w:rsid w:val="00D1080A"/>
    <w:rsid w:val="00D1080E"/>
    <w:rsid w:val="00D10AF1"/>
    <w:rsid w:val="00D10D21"/>
    <w:rsid w:val="00D10E06"/>
    <w:rsid w:val="00D11162"/>
    <w:rsid w:val="00D1180B"/>
    <w:rsid w:val="00D1215C"/>
    <w:rsid w:val="00D121B5"/>
    <w:rsid w:val="00D124EE"/>
    <w:rsid w:val="00D12C6C"/>
    <w:rsid w:val="00D12D9A"/>
    <w:rsid w:val="00D132F4"/>
    <w:rsid w:val="00D1338D"/>
    <w:rsid w:val="00D13B20"/>
    <w:rsid w:val="00D13EEA"/>
    <w:rsid w:val="00D145DD"/>
    <w:rsid w:val="00D14697"/>
    <w:rsid w:val="00D14C11"/>
    <w:rsid w:val="00D15197"/>
    <w:rsid w:val="00D157BD"/>
    <w:rsid w:val="00D16820"/>
    <w:rsid w:val="00D1694B"/>
    <w:rsid w:val="00D169C8"/>
    <w:rsid w:val="00D16BF8"/>
    <w:rsid w:val="00D170D6"/>
    <w:rsid w:val="00D17248"/>
    <w:rsid w:val="00D17713"/>
    <w:rsid w:val="00D1793F"/>
    <w:rsid w:val="00D201D6"/>
    <w:rsid w:val="00D20207"/>
    <w:rsid w:val="00D20636"/>
    <w:rsid w:val="00D20FAC"/>
    <w:rsid w:val="00D21320"/>
    <w:rsid w:val="00D21353"/>
    <w:rsid w:val="00D21BC9"/>
    <w:rsid w:val="00D2239E"/>
    <w:rsid w:val="00D2266C"/>
    <w:rsid w:val="00D22AF5"/>
    <w:rsid w:val="00D235EA"/>
    <w:rsid w:val="00D23EF9"/>
    <w:rsid w:val="00D247A9"/>
    <w:rsid w:val="00D248D9"/>
    <w:rsid w:val="00D24D91"/>
    <w:rsid w:val="00D24E71"/>
    <w:rsid w:val="00D2560A"/>
    <w:rsid w:val="00D25A4D"/>
    <w:rsid w:val="00D25F7C"/>
    <w:rsid w:val="00D261B0"/>
    <w:rsid w:val="00D2643C"/>
    <w:rsid w:val="00D2669D"/>
    <w:rsid w:val="00D26F90"/>
    <w:rsid w:val="00D2763B"/>
    <w:rsid w:val="00D27A02"/>
    <w:rsid w:val="00D27A31"/>
    <w:rsid w:val="00D27EAA"/>
    <w:rsid w:val="00D30CBD"/>
    <w:rsid w:val="00D31134"/>
    <w:rsid w:val="00D311F8"/>
    <w:rsid w:val="00D31412"/>
    <w:rsid w:val="00D31463"/>
    <w:rsid w:val="00D318E7"/>
    <w:rsid w:val="00D31992"/>
    <w:rsid w:val="00D32721"/>
    <w:rsid w:val="00D328DC"/>
    <w:rsid w:val="00D32C26"/>
    <w:rsid w:val="00D332A4"/>
    <w:rsid w:val="00D33387"/>
    <w:rsid w:val="00D363F7"/>
    <w:rsid w:val="00D3677C"/>
    <w:rsid w:val="00D3684A"/>
    <w:rsid w:val="00D37D16"/>
    <w:rsid w:val="00D402FB"/>
    <w:rsid w:val="00D418E1"/>
    <w:rsid w:val="00D42613"/>
    <w:rsid w:val="00D42A45"/>
    <w:rsid w:val="00D430A9"/>
    <w:rsid w:val="00D432AE"/>
    <w:rsid w:val="00D44685"/>
    <w:rsid w:val="00D45695"/>
    <w:rsid w:val="00D47D7A"/>
    <w:rsid w:val="00D50355"/>
    <w:rsid w:val="00D50ABD"/>
    <w:rsid w:val="00D50F5C"/>
    <w:rsid w:val="00D51198"/>
    <w:rsid w:val="00D5125A"/>
    <w:rsid w:val="00D5137D"/>
    <w:rsid w:val="00D51470"/>
    <w:rsid w:val="00D51536"/>
    <w:rsid w:val="00D51538"/>
    <w:rsid w:val="00D51B18"/>
    <w:rsid w:val="00D51DCA"/>
    <w:rsid w:val="00D52D09"/>
    <w:rsid w:val="00D542C3"/>
    <w:rsid w:val="00D54521"/>
    <w:rsid w:val="00D54F26"/>
    <w:rsid w:val="00D54F70"/>
    <w:rsid w:val="00D55290"/>
    <w:rsid w:val="00D555E1"/>
    <w:rsid w:val="00D5693E"/>
    <w:rsid w:val="00D57714"/>
    <w:rsid w:val="00D57791"/>
    <w:rsid w:val="00D57979"/>
    <w:rsid w:val="00D6046A"/>
    <w:rsid w:val="00D6103C"/>
    <w:rsid w:val="00D61157"/>
    <w:rsid w:val="00D61633"/>
    <w:rsid w:val="00D62870"/>
    <w:rsid w:val="00D63221"/>
    <w:rsid w:val="00D64020"/>
    <w:rsid w:val="00D6430C"/>
    <w:rsid w:val="00D644D8"/>
    <w:rsid w:val="00D6451A"/>
    <w:rsid w:val="00D65367"/>
    <w:rsid w:val="00D65492"/>
    <w:rsid w:val="00D655D9"/>
    <w:rsid w:val="00D65872"/>
    <w:rsid w:val="00D66B28"/>
    <w:rsid w:val="00D676F3"/>
    <w:rsid w:val="00D678A1"/>
    <w:rsid w:val="00D67B2C"/>
    <w:rsid w:val="00D70EF5"/>
    <w:rsid w:val="00D71024"/>
    <w:rsid w:val="00D71A25"/>
    <w:rsid w:val="00D71A55"/>
    <w:rsid w:val="00D71FCF"/>
    <w:rsid w:val="00D723E9"/>
    <w:rsid w:val="00D72A54"/>
    <w:rsid w:val="00D72CC1"/>
    <w:rsid w:val="00D739B4"/>
    <w:rsid w:val="00D7449D"/>
    <w:rsid w:val="00D74C2D"/>
    <w:rsid w:val="00D74CBE"/>
    <w:rsid w:val="00D74E73"/>
    <w:rsid w:val="00D74F51"/>
    <w:rsid w:val="00D750EF"/>
    <w:rsid w:val="00D75387"/>
    <w:rsid w:val="00D75875"/>
    <w:rsid w:val="00D7636A"/>
    <w:rsid w:val="00D76EC9"/>
    <w:rsid w:val="00D771C3"/>
    <w:rsid w:val="00D779B4"/>
    <w:rsid w:val="00D779D1"/>
    <w:rsid w:val="00D77CD1"/>
    <w:rsid w:val="00D77E08"/>
    <w:rsid w:val="00D77E35"/>
    <w:rsid w:val="00D80E7D"/>
    <w:rsid w:val="00D81098"/>
    <w:rsid w:val="00D81397"/>
    <w:rsid w:val="00D8140F"/>
    <w:rsid w:val="00D8183A"/>
    <w:rsid w:val="00D81A3A"/>
    <w:rsid w:val="00D82337"/>
    <w:rsid w:val="00D829FE"/>
    <w:rsid w:val="00D82CEB"/>
    <w:rsid w:val="00D83593"/>
    <w:rsid w:val="00D84569"/>
    <w:rsid w:val="00D848B9"/>
    <w:rsid w:val="00D8558B"/>
    <w:rsid w:val="00D856B1"/>
    <w:rsid w:val="00D8625A"/>
    <w:rsid w:val="00D862F7"/>
    <w:rsid w:val="00D8641A"/>
    <w:rsid w:val="00D878CC"/>
    <w:rsid w:val="00D901BA"/>
    <w:rsid w:val="00D90B69"/>
    <w:rsid w:val="00D90E69"/>
    <w:rsid w:val="00D90ECC"/>
    <w:rsid w:val="00D91053"/>
    <w:rsid w:val="00D9110D"/>
    <w:rsid w:val="00D911BB"/>
    <w:rsid w:val="00D911DE"/>
    <w:rsid w:val="00D91368"/>
    <w:rsid w:val="00D914C1"/>
    <w:rsid w:val="00D91BC9"/>
    <w:rsid w:val="00D91CDA"/>
    <w:rsid w:val="00D9254F"/>
    <w:rsid w:val="00D926EE"/>
    <w:rsid w:val="00D92D8E"/>
    <w:rsid w:val="00D93106"/>
    <w:rsid w:val="00D933E9"/>
    <w:rsid w:val="00D934C2"/>
    <w:rsid w:val="00D93758"/>
    <w:rsid w:val="00D94077"/>
    <w:rsid w:val="00D9505D"/>
    <w:rsid w:val="00D9523D"/>
    <w:rsid w:val="00D953D0"/>
    <w:rsid w:val="00D959D4"/>
    <w:rsid w:val="00D959F5"/>
    <w:rsid w:val="00D96328"/>
    <w:rsid w:val="00D96776"/>
    <w:rsid w:val="00D96884"/>
    <w:rsid w:val="00D968DA"/>
    <w:rsid w:val="00D97491"/>
    <w:rsid w:val="00D975B8"/>
    <w:rsid w:val="00D97BEC"/>
    <w:rsid w:val="00D97D7B"/>
    <w:rsid w:val="00D97E13"/>
    <w:rsid w:val="00D97F19"/>
    <w:rsid w:val="00DA063C"/>
    <w:rsid w:val="00DA07A5"/>
    <w:rsid w:val="00DA0C15"/>
    <w:rsid w:val="00DA1258"/>
    <w:rsid w:val="00DA1711"/>
    <w:rsid w:val="00DA172E"/>
    <w:rsid w:val="00DA1C24"/>
    <w:rsid w:val="00DA1E42"/>
    <w:rsid w:val="00DA1E58"/>
    <w:rsid w:val="00DA29E1"/>
    <w:rsid w:val="00DA2E98"/>
    <w:rsid w:val="00DA2F4A"/>
    <w:rsid w:val="00DA30A0"/>
    <w:rsid w:val="00DA378A"/>
    <w:rsid w:val="00DA38C4"/>
    <w:rsid w:val="00DA3FDD"/>
    <w:rsid w:val="00DA45AC"/>
    <w:rsid w:val="00DA45B5"/>
    <w:rsid w:val="00DA53B9"/>
    <w:rsid w:val="00DA53EF"/>
    <w:rsid w:val="00DA55AF"/>
    <w:rsid w:val="00DA5BDA"/>
    <w:rsid w:val="00DA6E3D"/>
    <w:rsid w:val="00DA6FF6"/>
    <w:rsid w:val="00DA7017"/>
    <w:rsid w:val="00DA7028"/>
    <w:rsid w:val="00DB0D74"/>
    <w:rsid w:val="00DB0E0F"/>
    <w:rsid w:val="00DB16C0"/>
    <w:rsid w:val="00DB1AD2"/>
    <w:rsid w:val="00DB1F85"/>
    <w:rsid w:val="00DB2B58"/>
    <w:rsid w:val="00DB302E"/>
    <w:rsid w:val="00DB32DD"/>
    <w:rsid w:val="00DB3AF4"/>
    <w:rsid w:val="00DB3D03"/>
    <w:rsid w:val="00DB5206"/>
    <w:rsid w:val="00DB55F9"/>
    <w:rsid w:val="00DB5820"/>
    <w:rsid w:val="00DB6276"/>
    <w:rsid w:val="00DB63F5"/>
    <w:rsid w:val="00DB6404"/>
    <w:rsid w:val="00DB6564"/>
    <w:rsid w:val="00DB689D"/>
    <w:rsid w:val="00DB68BE"/>
    <w:rsid w:val="00DB6E5D"/>
    <w:rsid w:val="00DC098A"/>
    <w:rsid w:val="00DC0B21"/>
    <w:rsid w:val="00DC13AE"/>
    <w:rsid w:val="00DC1544"/>
    <w:rsid w:val="00DC18D4"/>
    <w:rsid w:val="00DC1911"/>
    <w:rsid w:val="00DC1C6B"/>
    <w:rsid w:val="00DC1CE2"/>
    <w:rsid w:val="00DC200A"/>
    <w:rsid w:val="00DC2C2E"/>
    <w:rsid w:val="00DC47E6"/>
    <w:rsid w:val="00DC4AF0"/>
    <w:rsid w:val="00DC5111"/>
    <w:rsid w:val="00DC5171"/>
    <w:rsid w:val="00DC51AC"/>
    <w:rsid w:val="00DC51E2"/>
    <w:rsid w:val="00DC5A88"/>
    <w:rsid w:val="00DC5D58"/>
    <w:rsid w:val="00DC6BCF"/>
    <w:rsid w:val="00DC6C3A"/>
    <w:rsid w:val="00DC6FAE"/>
    <w:rsid w:val="00DC7592"/>
    <w:rsid w:val="00DC75F4"/>
    <w:rsid w:val="00DC7866"/>
    <w:rsid w:val="00DC7886"/>
    <w:rsid w:val="00DC7B0E"/>
    <w:rsid w:val="00DD018E"/>
    <w:rsid w:val="00DD0285"/>
    <w:rsid w:val="00DD084A"/>
    <w:rsid w:val="00DD086A"/>
    <w:rsid w:val="00DD09E5"/>
    <w:rsid w:val="00DD0C58"/>
    <w:rsid w:val="00DD0CF2"/>
    <w:rsid w:val="00DD0EF4"/>
    <w:rsid w:val="00DD1AF0"/>
    <w:rsid w:val="00DD1C56"/>
    <w:rsid w:val="00DD274B"/>
    <w:rsid w:val="00DD29FB"/>
    <w:rsid w:val="00DD2C27"/>
    <w:rsid w:val="00DD3104"/>
    <w:rsid w:val="00DD3957"/>
    <w:rsid w:val="00DD3F24"/>
    <w:rsid w:val="00DD49DA"/>
    <w:rsid w:val="00DD4BA1"/>
    <w:rsid w:val="00DD53D6"/>
    <w:rsid w:val="00DD60D9"/>
    <w:rsid w:val="00DD66A3"/>
    <w:rsid w:val="00DD7141"/>
    <w:rsid w:val="00DD7CDA"/>
    <w:rsid w:val="00DE0A03"/>
    <w:rsid w:val="00DE1554"/>
    <w:rsid w:val="00DE1B0C"/>
    <w:rsid w:val="00DE23E3"/>
    <w:rsid w:val="00DE27D1"/>
    <w:rsid w:val="00DE2901"/>
    <w:rsid w:val="00DE2ED1"/>
    <w:rsid w:val="00DE3E86"/>
    <w:rsid w:val="00DE4BDA"/>
    <w:rsid w:val="00DE4F31"/>
    <w:rsid w:val="00DE590F"/>
    <w:rsid w:val="00DE5C75"/>
    <w:rsid w:val="00DE5FA4"/>
    <w:rsid w:val="00DE6A80"/>
    <w:rsid w:val="00DE6D67"/>
    <w:rsid w:val="00DE7CD3"/>
    <w:rsid w:val="00DE7D17"/>
    <w:rsid w:val="00DE7D9D"/>
    <w:rsid w:val="00DE7DC1"/>
    <w:rsid w:val="00DE7DF2"/>
    <w:rsid w:val="00DF006C"/>
    <w:rsid w:val="00DF020A"/>
    <w:rsid w:val="00DF0309"/>
    <w:rsid w:val="00DF03F4"/>
    <w:rsid w:val="00DF0CEE"/>
    <w:rsid w:val="00DF133B"/>
    <w:rsid w:val="00DF2B22"/>
    <w:rsid w:val="00DF383B"/>
    <w:rsid w:val="00DF3AD5"/>
    <w:rsid w:val="00DF3F7E"/>
    <w:rsid w:val="00DF4133"/>
    <w:rsid w:val="00DF4279"/>
    <w:rsid w:val="00DF439F"/>
    <w:rsid w:val="00DF4922"/>
    <w:rsid w:val="00DF512D"/>
    <w:rsid w:val="00DF5EB9"/>
    <w:rsid w:val="00DF5FCA"/>
    <w:rsid w:val="00DF60FC"/>
    <w:rsid w:val="00DF628D"/>
    <w:rsid w:val="00DF6F5F"/>
    <w:rsid w:val="00DF7020"/>
    <w:rsid w:val="00DF74B6"/>
    <w:rsid w:val="00DF7648"/>
    <w:rsid w:val="00DF78AA"/>
    <w:rsid w:val="00DF7BAB"/>
    <w:rsid w:val="00DF7BFE"/>
    <w:rsid w:val="00E00399"/>
    <w:rsid w:val="00E00E29"/>
    <w:rsid w:val="00E0105D"/>
    <w:rsid w:val="00E014B4"/>
    <w:rsid w:val="00E01A7F"/>
    <w:rsid w:val="00E01AF6"/>
    <w:rsid w:val="00E01DE6"/>
    <w:rsid w:val="00E02478"/>
    <w:rsid w:val="00E02BAB"/>
    <w:rsid w:val="00E02E2B"/>
    <w:rsid w:val="00E03776"/>
    <w:rsid w:val="00E039DA"/>
    <w:rsid w:val="00E045FA"/>
    <w:rsid w:val="00E047DF"/>
    <w:rsid w:val="00E04CEB"/>
    <w:rsid w:val="00E05146"/>
    <w:rsid w:val="00E0541C"/>
    <w:rsid w:val="00E05753"/>
    <w:rsid w:val="00E057DB"/>
    <w:rsid w:val="00E060BC"/>
    <w:rsid w:val="00E06483"/>
    <w:rsid w:val="00E06D6E"/>
    <w:rsid w:val="00E07586"/>
    <w:rsid w:val="00E0788D"/>
    <w:rsid w:val="00E07B4F"/>
    <w:rsid w:val="00E07E4B"/>
    <w:rsid w:val="00E07F7C"/>
    <w:rsid w:val="00E1013A"/>
    <w:rsid w:val="00E1023F"/>
    <w:rsid w:val="00E10B25"/>
    <w:rsid w:val="00E11420"/>
    <w:rsid w:val="00E11428"/>
    <w:rsid w:val="00E11ED8"/>
    <w:rsid w:val="00E1238B"/>
    <w:rsid w:val="00E1316E"/>
    <w:rsid w:val="00E132FB"/>
    <w:rsid w:val="00E1377E"/>
    <w:rsid w:val="00E1411F"/>
    <w:rsid w:val="00E1421C"/>
    <w:rsid w:val="00E143B0"/>
    <w:rsid w:val="00E146A4"/>
    <w:rsid w:val="00E14D3E"/>
    <w:rsid w:val="00E15DFA"/>
    <w:rsid w:val="00E1659B"/>
    <w:rsid w:val="00E170B7"/>
    <w:rsid w:val="00E1752B"/>
    <w:rsid w:val="00E177DD"/>
    <w:rsid w:val="00E17D27"/>
    <w:rsid w:val="00E20001"/>
    <w:rsid w:val="00E2036D"/>
    <w:rsid w:val="00E20679"/>
    <w:rsid w:val="00E20900"/>
    <w:rsid w:val="00E20C7F"/>
    <w:rsid w:val="00E21054"/>
    <w:rsid w:val="00E21082"/>
    <w:rsid w:val="00E213C4"/>
    <w:rsid w:val="00E22A0E"/>
    <w:rsid w:val="00E2307E"/>
    <w:rsid w:val="00E23689"/>
    <w:rsid w:val="00E2396E"/>
    <w:rsid w:val="00E2412A"/>
    <w:rsid w:val="00E246BB"/>
    <w:rsid w:val="00E24728"/>
    <w:rsid w:val="00E24990"/>
    <w:rsid w:val="00E24FAD"/>
    <w:rsid w:val="00E251DC"/>
    <w:rsid w:val="00E25787"/>
    <w:rsid w:val="00E25872"/>
    <w:rsid w:val="00E25EBC"/>
    <w:rsid w:val="00E25F75"/>
    <w:rsid w:val="00E26F65"/>
    <w:rsid w:val="00E26F82"/>
    <w:rsid w:val="00E271F3"/>
    <w:rsid w:val="00E27616"/>
    <w:rsid w:val="00E276AC"/>
    <w:rsid w:val="00E279E6"/>
    <w:rsid w:val="00E27AD1"/>
    <w:rsid w:val="00E303A0"/>
    <w:rsid w:val="00E303B9"/>
    <w:rsid w:val="00E30408"/>
    <w:rsid w:val="00E3063D"/>
    <w:rsid w:val="00E30A8D"/>
    <w:rsid w:val="00E30DEC"/>
    <w:rsid w:val="00E31AB4"/>
    <w:rsid w:val="00E325CB"/>
    <w:rsid w:val="00E326CC"/>
    <w:rsid w:val="00E332A0"/>
    <w:rsid w:val="00E3437D"/>
    <w:rsid w:val="00E347E9"/>
    <w:rsid w:val="00E34899"/>
    <w:rsid w:val="00E34A35"/>
    <w:rsid w:val="00E34CF3"/>
    <w:rsid w:val="00E35140"/>
    <w:rsid w:val="00E3525A"/>
    <w:rsid w:val="00E36551"/>
    <w:rsid w:val="00E36592"/>
    <w:rsid w:val="00E36F01"/>
    <w:rsid w:val="00E37C2F"/>
    <w:rsid w:val="00E400D7"/>
    <w:rsid w:val="00E40473"/>
    <w:rsid w:val="00E40720"/>
    <w:rsid w:val="00E408D1"/>
    <w:rsid w:val="00E41329"/>
    <w:rsid w:val="00E418E1"/>
    <w:rsid w:val="00E41BE7"/>
    <w:rsid w:val="00E41C28"/>
    <w:rsid w:val="00E41CAF"/>
    <w:rsid w:val="00E41FF2"/>
    <w:rsid w:val="00E42AC3"/>
    <w:rsid w:val="00E43F03"/>
    <w:rsid w:val="00E44100"/>
    <w:rsid w:val="00E4493C"/>
    <w:rsid w:val="00E44F62"/>
    <w:rsid w:val="00E45864"/>
    <w:rsid w:val="00E46308"/>
    <w:rsid w:val="00E46E6B"/>
    <w:rsid w:val="00E46F2E"/>
    <w:rsid w:val="00E46F32"/>
    <w:rsid w:val="00E47676"/>
    <w:rsid w:val="00E4775F"/>
    <w:rsid w:val="00E512A8"/>
    <w:rsid w:val="00E512B4"/>
    <w:rsid w:val="00E5137F"/>
    <w:rsid w:val="00E519CA"/>
    <w:rsid w:val="00E51E17"/>
    <w:rsid w:val="00E52694"/>
    <w:rsid w:val="00E526E2"/>
    <w:rsid w:val="00E52DAB"/>
    <w:rsid w:val="00E52FA3"/>
    <w:rsid w:val="00E538E8"/>
    <w:rsid w:val="00E539B0"/>
    <w:rsid w:val="00E53A8D"/>
    <w:rsid w:val="00E53F8C"/>
    <w:rsid w:val="00E53FA8"/>
    <w:rsid w:val="00E5496C"/>
    <w:rsid w:val="00E54E20"/>
    <w:rsid w:val="00E5542B"/>
    <w:rsid w:val="00E55994"/>
    <w:rsid w:val="00E55A5E"/>
    <w:rsid w:val="00E561FE"/>
    <w:rsid w:val="00E567AB"/>
    <w:rsid w:val="00E573BE"/>
    <w:rsid w:val="00E57556"/>
    <w:rsid w:val="00E57667"/>
    <w:rsid w:val="00E576E5"/>
    <w:rsid w:val="00E57B06"/>
    <w:rsid w:val="00E605C8"/>
    <w:rsid w:val="00E60606"/>
    <w:rsid w:val="00E60C66"/>
    <w:rsid w:val="00E60D1E"/>
    <w:rsid w:val="00E60F00"/>
    <w:rsid w:val="00E6131A"/>
    <w:rsid w:val="00E6164D"/>
    <w:rsid w:val="00E618C9"/>
    <w:rsid w:val="00E62774"/>
    <w:rsid w:val="00E62CC3"/>
    <w:rsid w:val="00E6307C"/>
    <w:rsid w:val="00E636FA"/>
    <w:rsid w:val="00E644F7"/>
    <w:rsid w:val="00E649C7"/>
    <w:rsid w:val="00E65D52"/>
    <w:rsid w:val="00E661D6"/>
    <w:rsid w:val="00E662DA"/>
    <w:rsid w:val="00E66C50"/>
    <w:rsid w:val="00E66DF6"/>
    <w:rsid w:val="00E671E8"/>
    <w:rsid w:val="00E67693"/>
    <w:rsid w:val="00E679D3"/>
    <w:rsid w:val="00E67AE5"/>
    <w:rsid w:val="00E67BEE"/>
    <w:rsid w:val="00E70702"/>
    <w:rsid w:val="00E71208"/>
    <w:rsid w:val="00E71444"/>
    <w:rsid w:val="00E71C91"/>
    <w:rsid w:val="00E720A1"/>
    <w:rsid w:val="00E72DE4"/>
    <w:rsid w:val="00E72F88"/>
    <w:rsid w:val="00E7433E"/>
    <w:rsid w:val="00E74348"/>
    <w:rsid w:val="00E75076"/>
    <w:rsid w:val="00E752CD"/>
    <w:rsid w:val="00E7558D"/>
    <w:rsid w:val="00E75924"/>
    <w:rsid w:val="00E75DDA"/>
    <w:rsid w:val="00E7637C"/>
    <w:rsid w:val="00E768FD"/>
    <w:rsid w:val="00E76C55"/>
    <w:rsid w:val="00E76F6D"/>
    <w:rsid w:val="00E773E8"/>
    <w:rsid w:val="00E77669"/>
    <w:rsid w:val="00E7781B"/>
    <w:rsid w:val="00E77E2B"/>
    <w:rsid w:val="00E77E59"/>
    <w:rsid w:val="00E77F7C"/>
    <w:rsid w:val="00E8023C"/>
    <w:rsid w:val="00E80A49"/>
    <w:rsid w:val="00E813F0"/>
    <w:rsid w:val="00E82900"/>
    <w:rsid w:val="00E82969"/>
    <w:rsid w:val="00E8296D"/>
    <w:rsid w:val="00E82DE8"/>
    <w:rsid w:val="00E8361E"/>
    <w:rsid w:val="00E8381A"/>
    <w:rsid w:val="00E83902"/>
    <w:rsid w:val="00E83AC6"/>
    <w:rsid w:val="00E83ADD"/>
    <w:rsid w:val="00E84F38"/>
    <w:rsid w:val="00E84F9B"/>
    <w:rsid w:val="00E85623"/>
    <w:rsid w:val="00E856DC"/>
    <w:rsid w:val="00E8580B"/>
    <w:rsid w:val="00E85C83"/>
    <w:rsid w:val="00E85CC8"/>
    <w:rsid w:val="00E85F5B"/>
    <w:rsid w:val="00E86105"/>
    <w:rsid w:val="00E8683B"/>
    <w:rsid w:val="00E86A8B"/>
    <w:rsid w:val="00E87067"/>
    <w:rsid w:val="00E87441"/>
    <w:rsid w:val="00E87CFD"/>
    <w:rsid w:val="00E90757"/>
    <w:rsid w:val="00E9078D"/>
    <w:rsid w:val="00E90C80"/>
    <w:rsid w:val="00E91216"/>
    <w:rsid w:val="00E91803"/>
    <w:rsid w:val="00E91FAE"/>
    <w:rsid w:val="00E92753"/>
    <w:rsid w:val="00E930B0"/>
    <w:rsid w:val="00E93BEB"/>
    <w:rsid w:val="00E94A7D"/>
    <w:rsid w:val="00E9533A"/>
    <w:rsid w:val="00E954AA"/>
    <w:rsid w:val="00E959EF"/>
    <w:rsid w:val="00E95C82"/>
    <w:rsid w:val="00E95DF2"/>
    <w:rsid w:val="00E968EE"/>
    <w:rsid w:val="00E96E3F"/>
    <w:rsid w:val="00E978B7"/>
    <w:rsid w:val="00EA027D"/>
    <w:rsid w:val="00EA0755"/>
    <w:rsid w:val="00EA0920"/>
    <w:rsid w:val="00EA096A"/>
    <w:rsid w:val="00EA09C4"/>
    <w:rsid w:val="00EA0D80"/>
    <w:rsid w:val="00EA1A3E"/>
    <w:rsid w:val="00EA1C4B"/>
    <w:rsid w:val="00EA1C99"/>
    <w:rsid w:val="00EA25DC"/>
    <w:rsid w:val="00EA267A"/>
    <w:rsid w:val="00EA270C"/>
    <w:rsid w:val="00EA2EE7"/>
    <w:rsid w:val="00EA2F22"/>
    <w:rsid w:val="00EA36A5"/>
    <w:rsid w:val="00EA36C5"/>
    <w:rsid w:val="00EA3A2D"/>
    <w:rsid w:val="00EA3AB7"/>
    <w:rsid w:val="00EA3D00"/>
    <w:rsid w:val="00EA4974"/>
    <w:rsid w:val="00EA4D5A"/>
    <w:rsid w:val="00EA532E"/>
    <w:rsid w:val="00EA552F"/>
    <w:rsid w:val="00EA592F"/>
    <w:rsid w:val="00EA5C0D"/>
    <w:rsid w:val="00EA62D1"/>
    <w:rsid w:val="00EA6C9E"/>
    <w:rsid w:val="00EA6CC6"/>
    <w:rsid w:val="00EA6E52"/>
    <w:rsid w:val="00EA6FD7"/>
    <w:rsid w:val="00EA719B"/>
    <w:rsid w:val="00EA76AF"/>
    <w:rsid w:val="00EA7BAF"/>
    <w:rsid w:val="00EB0235"/>
    <w:rsid w:val="00EB06D9"/>
    <w:rsid w:val="00EB0D6B"/>
    <w:rsid w:val="00EB0DD4"/>
    <w:rsid w:val="00EB0DD6"/>
    <w:rsid w:val="00EB0F21"/>
    <w:rsid w:val="00EB1789"/>
    <w:rsid w:val="00EB192B"/>
    <w:rsid w:val="00EB19ED"/>
    <w:rsid w:val="00EB1CAB"/>
    <w:rsid w:val="00EB205B"/>
    <w:rsid w:val="00EB223B"/>
    <w:rsid w:val="00EB254A"/>
    <w:rsid w:val="00EB3011"/>
    <w:rsid w:val="00EB3CE2"/>
    <w:rsid w:val="00EB44B1"/>
    <w:rsid w:val="00EB481B"/>
    <w:rsid w:val="00EB4BD9"/>
    <w:rsid w:val="00EB4D1F"/>
    <w:rsid w:val="00EB582E"/>
    <w:rsid w:val="00EB6EF7"/>
    <w:rsid w:val="00EB7DBC"/>
    <w:rsid w:val="00EC0479"/>
    <w:rsid w:val="00EC0F5A"/>
    <w:rsid w:val="00EC1635"/>
    <w:rsid w:val="00EC1E12"/>
    <w:rsid w:val="00EC1FAD"/>
    <w:rsid w:val="00EC2901"/>
    <w:rsid w:val="00EC303B"/>
    <w:rsid w:val="00EC3E5B"/>
    <w:rsid w:val="00EC4265"/>
    <w:rsid w:val="00EC45ED"/>
    <w:rsid w:val="00EC4BFB"/>
    <w:rsid w:val="00EC4C2B"/>
    <w:rsid w:val="00EC4CEB"/>
    <w:rsid w:val="00EC4EFA"/>
    <w:rsid w:val="00EC5D65"/>
    <w:rsid w:val="00EC5F97"/>
    <w:rsid w:val="00EC6118"/>
    <w:rsid w:val="00EC63EC"/>
    <w:rsid w:val="00EC659E"/>
    <w:rsid w:val="00EC6E5E"/>
    <w:rsid w:val="00EC7F55"/>
    <w:rsid w:val="00EC7F9C"/>
    <w:rsid w:val="00ED04A3"/>
    <w:rsid w:val="00ED12FF"/>
    <w:rsid w:val="00ED15C7"/>
    <w:rsid w:val="00ED2072"/>
    <w:rsid w:val="00ED2A25"/>
    <w:rsid w:val="00ED2AE0"/>
    <w:rsid w:val="00ED37E7"/>
    <w:rsid w:val="00ED3FD6"/>
    <w:rsid w:val="00ED443A"/>
    <w:rsid w:val="00ED4997"/>
    <w:rsid w:val="00ED51A3"/>
    <w:rsid w:val="00ED5553"/>
    <w:rsid w:val="00ED5DC8"/>
    <w:rsid w:val="00ED5E36"/>
    <w:rsid w:val="00ED5E64"/>
    <w:rsid w:val="00ED5FB7"/>
    <w:rsid w:val="00ED6646"/>
    <w:rsid w:val="00ED6961"/>
    <w:rsid w:val="00ED6B56"/>
    <w:rsid w:val="00ED6E82"/>
    <w:rsid w:val="00ED6F54"/>
    <w:rsid w:val="00ED78EF"/>
    <w:rsid w:val="00ED7A34"/>
    <w:rsid w:val="00EE0103"/>
    <w:rsid w:val="00EE0327"/>
    <w:rsid w:val="00EE043C"/>
    <w:rsid w:val="00EE04AC"/>
    <w:rsid w:val="00EE06FC"/>
    <w:rsid w:val="00EE0FF3"/>
    <w:rsid w:val="00EE1631"/>
    <w:rsid w:val="00EE174F"/>
    <w:rsid w:val="00EE25D4"/>
    <w:rsid w:val="00EE3065"/>
    <w:rsid w:val="00EE442D"/>
    <w:rsid w:val="00EE48C6"/>
    <w:rsid w:val="00EE4E9C"/>
    <w:rsid w:val="00EE57C3"/>
    <w:rsid w:val="00EE581C"/>
    <w:rsid w:val="00EE59AA"/>
    <w:rsid w:val="00EE5ABD"/>
    <w:rsid w:val="00EE5BB8"/>
    <w:rsid w:val="00EE5EF2"/>
    <w:rsid w:val="00EE6556"/>
    <w:rsid w:val="00EE6898"/>
    <w:rsid w:val="00EE68AF"/>
    <w:rsid w:val="00EE6BE8"/>
    <w:rsid w:val="00EE79DB"/>
    <w:rsid w:val="00EE7B65"/>
    <w:rsid w:val="00EF0B96"/>
    <w:rsid w:val="00EF146B"/>
    <w:rsid w:val="00EF16AD"/>
    <w:rsid w:val="00EF18E1"/>
    <w:rsid w:val="00EF19BF"/>
    <w:rsid w:val="00EF2057"/>
    <w:rsid w:val="00EF3486"/>
    <w:rsid w:val="00EF36B1"/>
    <w:rsid w:val="00EF4514"/>
    <w:rsid w:val="00EF47AF"/>
    <w:rsid w:val="00EF4D9A"/>
    <w:rsid w:val="00EF4E17"/>
    <w:rsid w:val="00EF53B6"/>
    <w:rsid w:val="00EF6EF1"/>
    <w:rsid w:val="00EF704D"/>
    <w:rsid w:val="00EF78A1"/>
    <w:rsid w:val="00EF7E24"/>
    <w:rsid w:val="00F00050"/>
    <w:rsid w:val="00F004B2"/>
    <w:rsid w:val="00F008EF"/>
    <w:rsid w:val="00F00B73"/>
    <w:rsid w:val="00F00C7C"/>
    <w:rsid w:val="00F01614"/>
    <w:rsid w:val="00F01ACA"/>
    <w:rsid w:val="00F02056"/>
    <w:rsid w:val="00F023BD"/>
    <w:rsid w:val="00F03C2E"/>
    <w:rsid w:val="00F03DA4"/>
    <w:rsid w:val="00F044A5"/>
    <w:rsid w:val="00F04542"/>
    <w:rsid w:val="00F04946"/>
    <w:rsid w:val="00F05C74"/>
    <w:rsid w:val="00F064F3"/>
    <w:rsid w:val="00F0678E"/>
    <w:rsid w:val="00F06CFA"/>
    <w:rsid w:val="00F0706D"/>
    <w:rsid w:val="00F0733B"/>
    <w:rsid w:val="00F073AF"/>
    <w:rsid w:val="00F0793E"/>
    <w:rsid w:val="00F07BD3"/>
    <w:rsid w:val="00F07E7F"/>
    <w:rsid w:val="00F07F6D"/>
    <w:rsid w:val="00F10033"/>
    <w:rsid w:val="00F10347"/>
    <w:rsid w:val="00F10734"/>
    <w:rsid w:val="00F10F1F"/>
    <w:rsid w:val="00F1131D"/>
    <w:rsid w:val="00F1135F"/>
    <w:rsid w:val="00F115CA"/>
    <w:rsid w:val="00F11F05"/>
    <w:rsid w:val="00F12839"/>
    <w:rsid w:val="00F129FD"/>
    <w:rsid w:val="00F12BB6"/>
    <w:rsid w:val="00F12C3D"/>
    <w:rsid w:val="00F12D8E"/>
    <w:rsid w:val="00F14437"/>
    <w:rsid w:val="00F14817"/>
    <w:rsid w:val="00F14EBA"/>
    <w:rsid w:val="00F1510F"/>
    <w:rsid w:val="00F1533A"/>
    <w:rsid w:val="00F15638"/>
    <w:rsid w:val="00F159C7"/>
    <w:rsid w:val="00F15E5A"/>
    <w:rsid w:val="00F1604F"/>
    <w:rsid w:val="00F16814"/>
    <w:rsid w:val="00F16CAD"/>
    <w:rsid w:val="00F17176"/>
    <w:rsid w:val="00F1740D"/>
    <w:rsid w:val="00F1755D"/>
    <w:rsid w:val="00F17636"/>
    <w:rsid w:val="00F17CB2"/>
    <w:rsid w:val="00F17E00"/>
    <w:rsid w:val="00F17F0A"/>
    <w:rsid w:val="00F203B0"/>
    <w:rsid w:val="00F212CA"/>
    <w:rsid w:val="00F21DBC"/>
    <w:rsid w:val="00F242F9"/>
    <w:rsid w:val="00F25631"/>
    <w:rsid w:val="00F26043"/>
    <w:rsid w:val="00F2668F"/>
    <w:rsid w:val="00F26A53"/>
    <w:rsid w:val="00F26DA7"/>
    <w:rsid w:val="00F270F6"/>
    <w:rsid w:val="00F2742F"/>
    <w:rsid w:val="00F27501"/>
    <w:rsid w:val="00F2753B"/>
    <w:rsid w:val="00F277C6"/>
    <w:rsid w:val="00F2791A"/>
    <w:rsid w:val="00F307B0"/>
    <w:rsid w:val="00F32809"/>
    <w:rsid w:val="00F3327F"/>
    <w:rsid w:val="00F3353B"/>
    <w:rsid w:val="00F33C95"/>
    <w:rsid w:val="00F33F8A"/>
    <w:rsid w:val="00F33F8B"/>
    <w:rsid w:val="00F340B2"/>
    <w:rsid w:val="00F34666"/>
    <w:rsid w:val="00F346EC"/>
    <w:rsid w:val="00F3471D"/>
    <w:rsid w:val="00F34729"/>
    <w:rsid w:val="00F3482D"/>
    <w:rsid w:val="00F35026"/>
    <w:rsid w:val="00F35219"/>
    <w:rsid w:val="00F357C0"/>
    <w:rsid w:val="00F3625C"/>
    <w:rsid w:val="00F366C0"/>
    <w:rsid w:val="00F375C4"/>
    <w:rsid w:val="00F37BB1"/>
    <w:rsid w:val="00F40378"/>
    <w:rsid w:val="00F4102D"/>
    <w:rsid w:val="00F411E4"/>
    <w:rsid w:val="00F41432"/>
    <w:rsid w:val="00F41C65"/>
    <w:rsid w:val="00F41F58"/>
    <w:rsid w:val="00F42434"/>
    <w:rsid w:val="00F427F3"/>
    <w:rsid w:val="00F4285E"/>
    <w:rsid w:val="00F42A9F"/>
    <w:rsid w:val="00F42CF2"/>
    <w:rsid w:val="00F43390"/>
    <w:rsid w:val="00F43733"/>
    <w:rsid w:val="00F43CB9"/>
    <w:rsid w:val="00F443B2"/>
    <w:rsid w:val="00F458D8"/>
    <w:rsid w:val="00F46084"/>
    <w:rsid w:val="00F4666F"/>
    <w:rsid w:val="00F46FE3"/>
    <w:rsid w:val="00F475EC"/>
    <w:rsid w:val="00F47910"/>
    <w:rsid w:val="00F47C82"/>
    <w:rsid w:val="00F47D86"/>
    <w:rsid w:val="00F50237"/>
    <w:rsid w:val="00F5054F"/>
    <w:rsid w:val="00F509C2"/>
    <w:rsid w:val="00F50E0A"/>
    <w:rsid w:val="00F510B1"/>
    <w:rsid w:val="00F5164F"/>
    <w:rsid w:val="00F520F9"/>
    <w:rsid w:val="00F528EA"/>
    <w:rsid w:val="00F52DA6"/>
    <w:rsid w:val="00F53596"/>
    <w:rsid w:val="00F53B31"/>
    <w:rsid w:val="00F53DE8"/>
    <w:rsid w:val="00F53E7D"/>
    <w:rsid w:val="00F53F4E"/>
    <w:rsid w:val="00F54E52"/>
    <w:rsid w:val="00F558D8"/>
    <w:rsid w:val="00F55BA8"/>
    <w:rsid w:val="00F55C26"/>
    <w:rsid w:val="00F55DB1"/>
    <w:rsid w:val="00F55F34"/>
    <w:rsid w:val="00F55F3E"/>
    <w:rsid w:val="00F56141"/>
    <w:rsid w:val="00F561C9"/>
    <w:rsid w:val="00F5633B"/>
    <w:rsid w:val="00F56ACA"/>
    <w:rsid w:val="00F56B36"/>
    <w:rsid w:val="00F57B1F"/>
    <w:rsid w:val="00F600FE"/>
    <w:rsid w:val="00F60BC9"/>
    <w:rsid w:val="00F60ED1"/>
    <w:rsid w:val="00F615D4"/>
    <w:rsid w:val="00F61A70"/>
    <w:rsid w:val="00F61BD3"/>
    <w:rsid w:val="00F61E33"/>
    <w:rsid w:val="00F62E4D"/>
    <w:rsid w:val="00F62EB8"/>
    <w:rsid w:val="00F631FE"/>
    <w:rsid w:val="00F632E5"/>
    <w:rsid w:val="00F63327"/>
    <w:rsid w:val="00F636B9"/>
    <w:rsid w:val="00F636C2"/>
    <w:rsid w:val="00F6373D"/>
    <w:rsid w:val="00F64241"/>
    <w:rsid w:val="00F64678"/>
    <w:rsid w:val="00F650DD"/>
    <w:rsid w:val="00F6567E"/>
    <w:rsid w:val="00F659EA"/>
    <w:rsid w:val="00F6642E"/>
    <w:rsid w:val="00F66B34"/>
    <w:rsid w:val="00F6710B"/>
    <w:rsid w:val="00F672D3"/>
    <w:rsid w:val="00F675B9"/>
    <w:rsid w:val="00F67B98"/>
    <w:rsid w:val="00F67BE2"/>
    <w:rsid w:val="00F709C6"/>
    <w:rsid w:val="00F71056"/>
    <w:rsid w:val="00F71107"/>
    <w:rsid w:val="00F711C9"/>
    <w:rsid w:val="00F71230"/>
    <w:rsid w:val="00F7257C"/>
    <w:rsid w:val="00F73F63"/>
    <w:rsid w:val="00F7445C"/>
    <w:rsid w:val="00F74A4A"/>
    <w:rsid w:val="00F74C59"/>
    <w:rsid w:val="00F74FD5"/>
    <w:rsid w:val="00F7572E"/>
    <w:rsid w:val="00F7583C"/>
    <w:rsid w:val="00F75C3A"/>
    <w:rsid w:val="00F75F84"/>
    <w:rsid w:val="00F7633B"/>
    <w:rsid w:val="00F76F98"/>
    <w:rsid w:val="00F770B4"/>
    <w:rsid w:val="00F8040F"/>
    <w:rsid w:val="00F816F1"/>
    <w:rsid w:val="00F81755"/>
    <w:rsid w:val="00F81A54"/>
    <w:rsid w:val="00F829B4"/>
    <w:rsid w:val="00F82E30"/>
    <w:rsid w:val="00F83006"/>
    <w:rsid w:val="00F831CB"/>
    <w:rsid w:val="00F83923"/>
    <w:rsid w:val="00F83D0D"/>
    <w:rsid w:val="00F83DC9"/>
    <w:rsid w:val="00F84761"/>
    <w:rsid w:val="00F848A3"/>
    <w:rsid w:val="00F84A65"/>
    <w:rsid w:val="00F84ACF"/>
    <w:rsid w:val="00F850E6"/>
    <w:rsid w:val="00F854A6"/>
    <w:rsid w:val="00F856A0"/>
    <w:rsid w:val="00F8570D"/>
    <w:rsid w:val="00F85742"/>
    <w:rsid w:val="00F85B2E"/>
    <w:rsid w:val="00F85BF8"/>
    <w:rsid w:val="00F85FB4"/>
    <w:rsid w:val="00F86029"/>
    <w:rsid w:val="00F86550"/>
    <w:rsid w:val="00F871CE"/>
    <w:rsid w:val="00F87226"/>
    <w:rsid w:val="00F876FA"/>
    <w:rsid w:val="00F87802"/>
    <w:rsid w:val="00F87D24"/>
    <w:rsid w:val="00F87DBC"/>
    <w:rsid w:val="00F87ED1"/>
    <w:rsid w:val="00F87EF0"/>
    <w:rsid w:val="00F90ECE"/>
    <w:rsid w:val="00F91C1B"/>
    <w:rsid w:val="00F91D4F"/>
    <w:rsid w:val="00F91F3C"/>
    <w:rsid w:val="00F922B8"/>
    <w:rsid w:val="00F92C0A"/>
    <w:rsid w:val="00F9313E"/>
    <w:rsid w:val="00F93988"/>
    <w:rsid w:val="00F93B39"/>
    <w:rsid w:val="00F9415B"/>
    <w:rsid w:val="00F9440E"/>
    <w:rsid w:val="00F94975"/>
    <w:rsid w:val="00F9509C"/>
    <w:rsid w:val="00F95206"/>
    <w:rsid w:val="00F9585C"/>
    <w:rsid w:val="00F96A14"/>
    <w:rsid w:val="00F97173"/>
    <w:rsid w:val="00F97711"/>
    <w:rsid w:val="00FA01B7"/>
    <w:rsid w:val="00FA0908"/>
    <w:rsid w:val="00FA0994"/>
    <w:rsid w:val="00FA0FDB"/>
    <w:rsid w:val="00FA13B1"/>
    <w:rsid w:val="00FA13C2"/>
    <w:rsid w:val="00FA145B"/>
    <w:rsid w:val="00FA1FDF"/>
    <w:rsid w:val="00FA2B38"/>
    <w:rsid w:val="00FA343B"/>
    <w:rsid w:val="00FA3662"/>
    <w:rsid w:val="00FA399C"/>
    <w:rsid w:val="00FA548E"/>
    <w:rsid w:val="00FA57E1"/>
    <w:rsid w:val="00FA64EB"/>
    <w:rsid w:val="00FA72B8"/>
    <w:rsid w:val="00FA72E5"/>
    <w:rsid w:val="00FA7320"/>
    <w:rsid w:val="00FA7506"/>
    <w:rsid w:val="00FA7EED"/>
    <w:rsid w:val="00FA7F91"/>
    <w:rsid w:val="00FB053B"/>
    <w:rsid w:val="00FB073E"/>
    <w:rsid w:val="00FB0E12"/>
    <w:rsid w:val="00FB121C"/>
    <w:rsid w:val="00FB1261"/>
    <w:rsid w:val="00FB15A0"/>
    <w:rsid w:val="00FB1CDD"/>
    <w:rsid w:val="00FB2125"/>
    <w:rsid w:val="00FB2C2F"/>
    <w:rsid w:val="00FB2CC3"/>
    <w:rsid w:val="00FB2DA0"/>
    <w:rsid w:val="00FB305C"/>
    <w:rsid w:val="00FB30B4"/>
    <w:rsid w:val="00FB40FA"/>
    <w:rsid w:val="00FB4B6C"/>
    <w:rsid w:val="00FB4E80"/>
    <w:rsid w:val="00FB52EA"/>
    <w:rsid w:val="00FB754B"/>
    <w:rsid w:val="00FB7550"/>
    <w:rsid w:val="00FB7C61"/>
    <w:rsid w:val="00FC033D"/>
    <w:rsid w:val="00FC1209"/>
    <w:rsid w:val="00FC139D"/>
    <w:rsid w:val="00FC2138"/>
    <w:rsid w:val="00FC2189"/>
    <w:rsid w:val="00FC2390"/>
    <w:rsid w:val="00FC25A1"/>
    <w:rsid w:val="00FC2A99"/>
    <w:rsid w:val="00FC2E3D"/>
    <w:rsid w:val="00FC3282"/>
    <w:rsid w:val="00FC356F"/>
    <w:rsid w:val="00FC363B"/>
    <w:rsid w:val="00FC3935"/>
    <w:rsid w:val="00FC3BA3"/>
    <w:rsid w:val="00FC3BD6"/>
    <w:rsid w:val="00FC3BDE"/>
    <w:rsid w:val="00FC3DF3"/>
    <w:rsid w:val="00FC472E"/>
    <w:rsid w:val="00FC48E7"/>
    <w:rsid w:val="00FC490E"/>
    <w:rsid w:val="00FC492E"/>
    <w:rsid w:val="00FC52E0"/>
    <w:rsid w:val="00FC648B"/>
    <w:rsid w:val="00FC6500"/>
    <w:rsid w:val="00FC65AB"/>
    <w:rsid w:val="00FC6A3E"/>
    <w:rsid w:val="00FC6CF8"/>
    <w:rsid w:val="00FC7104"/>
    <w:rsid w:val="00FD1C14"/>
    <w:rsid w:val="00FD1DB9"/>
    <w:rsid w:val="00FD1DBE"/>
    <w:rsid w:val="00FD21FE"/>
    <w:rsid w:val="00FD255E"/>
    <w:rsid w:val="00FD25A7"/>
    <w:rsid w:val="00FD27B6"/>
    <w:rsid w:val="00FD2947"/>
    <w:rsid w:val="00FD3689"/>
    <w:rsid w:val="00FD3AB3"/>
    <w:rsid w:val="00FD40F0"/>
    <w:rsid w:val="00FD425D"/>
    <w:rsid w:val="00FD42A3"/>
    <w:rsid w:val="00FD637C"/>
    <w:rsid w:val="00FD6C63"/>
    <w:rsid w:val="00FD7468"/>
    <w:rsid w:val="00FD7CE0"/>
    <w:rsid w:val="00FD7F5F"/>
    <w:rsid w:val="00FE0B3B"/>
    <w:rsid w:val="00FE0B7F"/>
    <w:rsid w:val="00FE1290"/>
    <w:rsid w:val="00FE1BE2"/>
    <w:rsid w:val="00FE1CE9"/>
    <w:rsid w:val="00FE2200"/>
    <w:rsid w:val="00FE2299"/>
    <w:rsid w:val="00FE2C13"/>
    <w:rsid w:val="00FE2E39"/>
    <w:rsid w:val="00FE31C3"/>
    <w:rsid w:val="00FE33AE"/>
    <w:rsid w:val="00FE34D9"/>
    <w:rsid w:val="00FE36F4"/>
    <w:rsid w:val="00FE403B"/>
    <w:rsid w:val="00FE4527"/>
    <w:rsid w:val="00FE461E"/>
    <w:rsid w:val="00FE4B50"/>
    <w:rsid w:val="00FE501E"/>
    <w:rsid w:val="00FE557B"/>
    <w:rsid w:val="00FE65AD"/>
    <w:rsid w:val="00FE7161"/>
    <w:rsid w:val="00FE719C"/>
    <w:rsid w:val="00FE729D"/>
    <w:rsid w:val="00FE730A"/>
    <w:rsid w:val="00FF09F2"/>
    <w:rsid w:val="00FF1621"/>
    <w:rsid w:val="00FF16FE"/>
    <w:rsid w:val="00FF1DD7"/>
    <w:rsid w:val="00FF3833"/>
    <w:rsid w:val="00FF3BCA"/>
    <w:rsid w:val="00FF4453"/>
    <w:rsid w:val="00FF46A1"/>
    <w:rsid w:val="00FF4C67"/>
    <w:rsid w:val="00FF4D0F"/>
    <w:rsid w:val="00FF515D"/>
    <w:rsid w:val="00FF5432"/>
    <w:rsid w:val="00FF647C"/>
    <w:rsid w:val="00FF693D"/>
    <w:rsid w:val="00FF6A9F"/>
    <w:rsid w:val="00FF6D47"/>
    <w:rsid w:val="00FF76E8"/>
    <w:rsid w:val="00FF7F8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81D902"/>
  <w15:docId w15:val="{F07DD572-101E-4AC5-82C7-8DDA80F2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rsid w:val="00E40720"/>
    <w:rPr>
      <w:color w:val="0000FF" w:themeColor="hyperlink"/>
      <w:u w:val="single"/>
    </w:rPr>
  </w:style>
  <w:style w:type="paragraph" w:styleId="Tekstprzypisukocowego">
    <w:name w:val="endnote text"/>
    <w:basedOn w:val="Normalny"/>
    <w:link w:val="TekstprzypisukocowegoZnak"/>
    <w:uiPriority w:val="99"/>
    <w:semiHidden/>
    <w:rsid w:val="005422C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5422C2"/>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5422C2"/>
    <w:rPr>
      <w:vertAlign w:val="superscript"/>
    </w:rPr>
  </w:style>
  <w:style w:type="paragraph" w:styleId="Poprawka">
    <w:name w:val="Revision"/>
    <w:hidden/>
    <w:uiPriority w:val="99"/>
    <w:semiHidden/>
    <w:rsid w:val="00064EE9"/>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23391">
      <w:bodyDiv w:val="1"/>
      <w:marLeft w:val="0"/>
      <w:marRight w:val="0"/>
      <w:marTop w:val="0"/>
      <w:marBottom w:val="0"/>
      <w:divBdr>
        <w:top w:val="none" w:sz="0" w:space="0" w:color="auto"/>
        <w:left w:val="none" w:sz="0" w:space="0" w:color="auto"/>
        <w:bottom w:val="none" w:sz="0" w:space="0" w:color="auto"/>
        <w:right w:val="none" w:sz="0" w:space="0" w:color="auto"/>
      </w:divBdr>
    </w:div>
    <w:div w:id="230039635">
      <w:bodyDiv w:val="1"/>
      <w:marLeft w:val="0"/>
      <w:marRight w:val="0"/>
      <w:marTop w:val="0"/>
      <w:marBottom w:val="0"/>
      <w:divBdr>
        <w:top w:val="none" w:sz="0" w:space="0" w:color="auto"/>
        <w:left w:val="none" w:sz="0" w:space="0" w:color="auto"/>
        <w:bottom w:val="none" w:sz="0" w:space="0" w:color="auto"/>
        <w:right w:val="none" w:sz="0" w:space="0" w:color="auto"/>
      </w:divBdr>
    </w:div>
    <w:div w:id="240482255">
      <w:bodyDiv w:val="1"/>
      <w:marLeft w:val="0"/>
      <w:marRight w:val="0"/>
      <w:marTop w:val="0"/>
      <w:marBottom w:val="0"/>
      <w:divBdr>
        <w:top w:val="none" w:sz="0" w:space="0" w:color="auto"/>
        <w:left w:val="none" w:sz="0" w:space="0" w:color="auto"/>
        <w:bottom w:val="none" w:sz="0" w:space="0" w:color="auto"/>
        <w:right w:val="none" w:sz="0" w:space="0" w:color="auto"/>
      </w:divBdr>
      <w:divsChild>
        <w:div w:id="1092773562">
          <w:marLeft w:val="0"/>
          <w:marRight w:val="0"/>
          <w:marTop w:val="0"/>
          <w:marBottom w:val="0"/>
          <w:divBdr>
            <w:top w:val="none" w:sz="0" w:space="0" w:color="auto"/>
            <w:left w:val="none" w:sz="0" w:space="0" w:color="auto"/>
            <w:bottom w:val="none" w:sz="0" w:space="0" w:color="auto"/>
            <w:right w:val="none" w:sz="0" w:space="0" w:color="auto"/>
          </w:divBdr>
        </w:div>
      </w:divsChild>
    </w:div>
    <w:div w:id="282153641">
      <w:bodyDiv w:val="1"/>
      <w:marLeft w:val="0"/>
      <w:marRight w:val="0"/>
      <w:marTop w:val="0"/>
      <w:marBottom w:val="0"/>
      <w:divBdr>
        <w:top w:val="none" w:sz="0" w:space="0" w:color="auto"/>
        <w:left w:val="none" w:sz="0" w:space="0" w:color="auto"/>
        <w:bottom w:val="none" w:sz="0" w:space="0" w:color="auto"/>
        <w:right w:val="none" w:sz="0" w:space="0" w:color="auto"/>
      </w:divBdr>
      <w:divsChild>
        <w:div w:id="1602451775">
          <w:marLeft w:val="0"/>
          <w:marRight w:val="0"/>
          <w:marTop w:val="0"/>
          <w:marBottom w:val="0"/>
          <w:divBdr>
            <w:top w:val="none" w:sz="0" w:space="0" w:color="auto"/>
            <w:left w:val="none" w:sz="0" w:space="0" w:color="auto"/>
            <w:bottom w:val="none" w:sz="0" w:space="0" w:color="auto"/>
            <w:right w:val="none" w:sz="0" w:space="0" w:color="auto"/>
          </w:divBdr>
          <w:divsChild>
            <w:div w:id="990718018">
              <w:marLeft w:val="0"/>
              <w:marRight w:val="0"/>
              <w:marTop w:val="0"/>
              <w:marBottom w:val="0"/>
              <w:divBdr>
                <w:top w:val="none" w:sz="0" w:space="0" w:color="auto"/>
                <w:left w:val="none" w:sz="0" w:space="0" w:color="auto"/>
                <w:bottom w:val="none" w:sz="0" w:space="0" w:color="auto"/>
                <w:right w:val="none" w:sz="0" w:space="0" w:color="auto"/>
              </w:divBdr>
              <w:divsChild>
                <w:div w:id="1909260987">
                  <w:marLeft w:val="0"/>
                  <w:marRight w:val="0"/>
                  <w:marTop w:val="0"/>
                  <w:marBottom w:val="0"/>
                  <w:divBdr>
                    <w:top w:val="none" w:sz="0" w:space="0" w:color="auto"/>
                    <w:left w:val="none" w:sz="0" w:space="0" w:color="auto"/>
                    <w:bottom w:val="none" w:sz="0" w:space="0" w:color="auto"/>
                    <w:right w:val="none" w:sz="0" w:space="0" w:color="auto"/>
                  </w:divBdr>
                </w:div>
              </w:divsChild>
            </w:div>
            <w:div w:id="104082007">
              <w:marLeft w:val="0"/>
              <w:marRight w:val="0"/>
              <w:marTop w:val="0"/>
              <w:marBottom w:val="0"/>
              <w:divBdr>
                <w:top w:val="none" w:sz="0" w:space="0" w:color="auto"/>
                <w:left w:val="none" w:sz="0" w:space="0" w:color="auto"/>
                <w:bottom w:val="none" w:sz="0" w:space="0" w:color="auto"/>
                <w:right w:val="none" w:sz="0" w:space="0" w:color="auto"/>
              </w:divBdr>
              <w:divsChild>
                <w:div w:id="1890917568">
                  <w:marLeft w:val="0"/>
                  <w:marRight w:val="0"/>
                  <w:marTop w:val="0"/>
                  <w:marBottom w:val="0"/>
                  <w:divBdr>
                    <w:top w:val="none" w:sz="0" w:space="0" w:color="auto"/>
                    <w:left w:val="none" w:sz="0" w:space="0" w:color="auto"/>
                    <w:bottom w:val="none" w:sz="0" w:space="0" w:color="auto"/>
                    <w:right w:val="none" w:sz="0" w:space="0" w:color="auto"/>
                  </w:divBdr>
                </w:div>
              </w:divsChild>
            </w:div>
            <w:div w:id="1110514809">
              <w:marLeft w:val="0"/>
              <w:marRight w:val="0"/>
              <w:marTop w:val="0"/>
              <w:marBottom w:val="0"/>
              <w:divBdr>
                <w:top w:val="none" w:sz="0" w:space="0" w:color="auto"/>
                <w:left w:val="none" w:sz="0" w:space="0" w:color="auto"/>
                <w:bottom w:val="none" w:sz="0" w:space="0" w:color="auto"/>
                <w:right w:val="none" w:sz="0" w:space="0" w:color="auto"/>
              </w:divBdr>
              <w:divsChild>
                <w:div w:id="1439907012">
                  <w:marLeft w:val="0"/>
                  <w:marRight w:val="0"/>
                  <w:marTop w:val="0"/>
                  <w:marBottom w:val="0"/>
                  <w:divBdr>
                    <w:top w:val="none" w:sz="0" w:space="0" w:color="auto"/>
                    <w:left w:val="none" w:sz="0" w:space="0" w:color="auto"/>
                    <w:bottom w:val="none" w:sz="0" w:space="0" w:color="auto"/>
                    <w:right w:val="none" w:sz="0" w:space="0" w:color="auto"/>
                  </w:divBdr>
                </w:div>
              </w:divsChild>
            </w:div>
            <w:div w:id="332071205">
              <w:marLeft w:val="0"/>
              <w:marRight w:val="0"/>
              <w:marTop w:val="0"/>
              <w:marBottom w:val="0"/>
              <w:divBdr>
                <w:top w:val="none" w:sz="0" w:space="0" w:color="auto"/>
                <w:left w:val="none" w:sz="0" w:space="0" w:color="auto"/>
                <w:bottom w:val="none" w:sz="0" w:space="0" w:color="auto"/>
                <w:right w:val="none" w:sz="0" w:space="0" w:color="auto"/>
              </w:divBdr>
              <w:divsChild>
                <w:div w:id="1604340245">
                  <w:marLeft w:val="0"/>
                  <w:marRight w:val="0"/>
                  <w:marTop w:val="0"/>
                  <w:marBottom w:val="0"/>
                  <w:divBdr>
                    <w:top w:val="none" w:sz="0" w:space="0" w:color="auto"/>
                    <w:left w:val="none" w:sz="0" w:space="0" w:color="auto"/>
                    <w:bottom w:val="none" w:sz="0" w:space="0" w:color="auto"/>
                    <w:right w:val="none" w:sz="0" w:space="0" w:color="auto"/>
                  </w:divBdr>
                </w:div>
                <w:div w:id="7158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438067">
      <w:bodyDiv w:val="1"/>
      <w:marLeft w:val="0"/>
      <w:marRight w:val="0"/>
      <w:marTop w:val="0"/>
      <w:marBottom w:val="0"/>
      <w:divBdr>
        <w:top w:val="none" w:sz="0" w:space="0" w:color="auto"/>
        <w:left w:val="none" w:sz="0" w:space="0" w:color="auto"/>
        <w:bottom w:val="none" w:sz="0" w:space="0" w:color="auto"/>
        <w:right w:val="none" w:sz="0" w:space="0" w:color="auto"/>
      </w:divBdr>
      <w:divsChild>
        <w:div w:id="875966815">
          <w:marLeft w:val="0"/>
          <w:marRight w:val="0"/>
          <w:marTop w:val="0"/>
          <w:marBottom w:val="0"/>
          <w:divBdr>
            <w:top w:val="none" w:sz="0" w:space="0" w:color="auto"/>
            <w:left w:val="none" w:sz="0" w:space="0" w:color="auto"/>
            <w:bottom w:val="none" w:sz="0" w:space="0" w:color="auto"/>
            <w:right w:val="none" w:sz="0" w:space="0" w:color="auto"/>
          </w:divBdr>
        </w:div>
      </w:divsChild>
    </w:div>
    <w:div w:id="387143688">
      <w:bodyDiv w:val="1"/>
      <w:marLeft w:val="0"/>
      <w:marRight w:val="0"/>
      <w:marTop w:val="0"/>
      <w:marBottom w:val="0"/>
      <w:divBdr>
        <w:top w:val="none" w:sz="0" w:space="0" w:color="auto"/>
        <w:left w:val="none" w:sz="0" w:space="0" w:color="auto"/>
        <w:bottom w:val="none" w:sz="0" w:space="0" w:color="auto"/>
        <w:right w:val="none" w:sz="0" w:space="0" w:color="auto"/>
      </w:divBdr>
      <w:divsChild>
        <w:div w:id="58673334">
          <w:marLeft w:val="0"/>
          <w:marRight w:val="0"/>
          <w:marTop w:val="0"/>
          <w:marBottom w:val="0"/>
          <w:divBdr>
            <w:top w:val="none" w:sz="0" w:space="0" w:color="auto"/>
            <w:left w:val="none" w:sz="0" w:space="0" w:color="auto"/>
            <w:bottom w:val="none" w:sz="0" w:space="0" w:color="auto"/>
            <w:right w:val="none" w:sz="0" w:space="0" w:color="auto"/>
          </w:divBdr>
        </w:div>
      </w:divsChild>
    </w:div>
    <w:div w:id="454174403">
      <w:bodyDiv w:val="1"/>
      <w:marLeft w:val="0"/>
      <w:marRight w:val="0"/>
      <w:marTop w:val="0"/>
      <w:marBottom w:val="0"/>
      <w:divBdr>
        <w:top w:val="none" w:sz="0" w:space="0" w:color="auto"/>
        <w:left w:val="none" w:sz="0" w:space="0" w:color="auto"/>
        <w:bottom w:val="none" w:sz="0" w:space="0" w:color="auto"/>
        <w:right w:val="none" w:sz="0" w:space="0" w:color="auto"/>
      </w:divBdr>
      <w:divsChild>
        <w:div w:id="2048138703">
          <w:marLeft w:val="0"/>
          <w:marRight w:val="0"/>
          <w:marTop w:val="0"/>
          <w:marBottom w:val="0"/>
          <w:divBdr>
            <w:top w:val="none" w:sz="0" w:space="0" w:color="auto"/>
            <w:left w:val="none" w:sz="0" w:space="0" w:color="auto"/>
            <w:bottom w:val="none" w:sz="0" w:space="0" w:color="auto"/>
            <w:right w:val="none" w:sz="0" w:space="0" w:color="auto"/>
          </w:divBdr>
        </w:div>
      </w:divsChild>
    </w:div>
    <w:div w:id="466506558">
      <w:bodyDiv w:val="1"/>
      <w:marLeft w:val="0"/>
      <w:marRight w:val="0"/>
      <w:marTop w:val="0"/>
      <w:marBottom w:val="0"/>
      <w:divBdr>
        <w:top w:val="none" w:sz="0" w:space="0" w:color="auto"/>
        <w:left w:val="none" w:sz="0" w:space="0" w:color="auto"/>
        <w:bottom w:val="none" w:sz="0" w:space="0" w:color="auto"/>
        <w:right w:val="none" w:sz="0" w:space="0" w:color="auto"/>
      </w:divBdr>
      <w:divsChild>
        <w:div w:id="736778704">
          <w:marLeft w:val="0"/>
          <w:marRight w:val="0"/>
          <w:marTop w:val="0"/>
          <w:marBottom w:val="0"/>
          <w:divBdr>
            <w:top w:val="none" w:sz="0" w:space="0" w:color="auto"/>
            <w:left w:val="none" w:sz="0" w:space="0" w:color="auto"/>
            <w:bottom w:val="none" w:sz="0" w:space="0" w:color="auto"/>
            <w:right w:val="none" w:sz="0" w:space="0" w:color="auto"/>
          </w:divBdr>
        </w:div>
      </w:divsChild>
    </w:div>
    <w:div w:id="539322715">
      <w:bodyDiv w:val="1"/>
      <w:marLeft w:val="0"/>
      <w:marRight w:val="0"/>
      <w:marTop w:val="0"/>
      <w:marBottom w:val="0"/>
      <w:divBdr>
        <w:top w:val="none" w:sz="0" w:space="0" w:color="auto"/>
        <w:left w:val="none" w:sz="0" w:space="0" w:color="auto"/>
        <w:bottom w:val="none" w:sz="0" w:space="0" w:color="auto"/>
        <w:right w:val="none" w:sz="0" w:space="0" w:color="auto"/>
      </w:divBdr>
      <w:divsChild>
        <w:div w:id="74788464">
          <w:marLeft w:val="0"/>
          <w:marRight w:val="0"/>
          <w:marTop w:val="0"/>
          <w:marBottom w:val="0"/>
          <w:divBdr>
            <w:top w:val="none" w:sz="0" w:space="0" w:color="auto"/>
            <w:left w:val="none" w:sz="0" w:space="0" w:color="auto"/>
            <w:bottom w:val="none" w:sz="0" w:space="0" w:color="auto"/>
            <w:right w:val="none" w:sz="0" w:space="0" w:color="auto"/>
          </w:divBdr>
        </w:div>
      </w:divsChild>
    </w:div>
    <w:div w:id="676661180">
      <w:bodyDiv w:val="1"/>
      <w:marLeft w:val="0"/>
      <w:marRight w:val="0"/>
      <w:marTop w:val="0"/>
      <w:marBottom w:val="0"/>
      <w:divBdr>
        <w:top w:val="none" w:sz="0" w:space="0" w:color="auto"/>
        <w:left w:val="none" w:sz="0" w:space="0" w:color="auto"/>
        <w:bottom w:val="none" w:sz="0" w:space="0" w:color="auto"/>
        <w:right w:val="none" w:sz="0" w:space="0" w:color="auto"/>
      </w:divBdr>
    </w:div>
    <w:div w:id="677773422">
      <w:bodyDiv w:val="1"/>
      <w:marLeft w:val="0"/>
      <w:marRight w:val="0"/>
      <w:marTop w:val="0"/>
      <w:marBottom w:val="0"/>
      <w:divBdr>
        <w:top w:val="none" w:sz="0" w:space="0" w:color="auto"/>
        <w:left w:val="none" w:sz="0" w:space="0" w:color="auto"/>
        <w:bottom w:val="none" w:sz="0" w:space="0" w:color="auto"/>
        <w:right w:val="none" w:sz="0" w:space="0" w:color="auto"/>
      </w:divBdr>
      <w:divsChild>
        <w:div w:id="1202402956">
          <w:marLeft w:val="0"/>
          <w:marRight w:val="0"/>
          <w:marTop w:val="0"/>
          <w:marBottom w:val="0"/>
          <w:divBdr>
            <w:top w:val="none" w:sz="0" w:space="0" w:color="auto"/>
            <w:left w:val="none" w:sz="0" w:space="0" w:color="auto"/>
            <w:bottom w:val="none" w:sz="0" w:space="0" w:color="auto"/>
            <w:right w:val="none" w:sz="0" w:space="0" w:color="auto"/>
          </w:divBdr>
        </w:div>
      </w:divsChild>
    </w:div>
    <w:div w:id="729377513">
      <w:bodyDiv w:val="1"/>
      <w:marLeft w:val="0"/>
      <w:marRight w:val="0"/>
      <w:marTop w:val="0"/>
      <w:marBottom w:val="0"/>
      <w:divBdr>
        <w:top w:val="none" w:sz="0" w:space="0" w:color="auto"/>
        <w:left w:val="none" w:sz="0" w:space="0" w:color="auto"/>
        <w:bottom w:val="none" w:sz="0" w:space="0" w:color="auto"/>
        <w:right w:val="none" w:sz="0" w:space="0" w:color="auto"/>
      </w:divBdr>
      <w:divsChild>
        <w:div w:id="749544034">
          <w:marLeft w:val="0"/>
          <w:marRight w:val="0"/>
          <w:marTop w:val="0"/>
          <w:marBottom w:val="0"/>
          <w:divBdr>
            <w:top w:val="none" w:sz="0" w:space="0" w:color="auto"/>
            <w:left w:val="none" w:sz="0" w:space="0" w:color="auto"/>
            <w:bottom w:val="none" w:sz="0" w:space="0" w:color="auto"/>
            <w:right w:val="none" w:sz="0" w:space="0" w:color="auto"/>
          </w:divBdr>
          <w:divsChild>
            <w:div w:id="625817532">
              <w:marLeft w:val="0"/>
              <w:marRight w:val="0"/>
              <w:marTop w:val="0"/>
              <w:marBottom w:val="0"/>
              <w:divBdr>
                <w:top w:val="none" w:sz="0" w:space="0" w:color="auto"/>
                <w:left w:val="none" w:sz="0" w:space="0" w:color="auto"/>
                <w:bottom w:val="none" w:sz="0" w:space="0" w:color="auto"/>
                <w:right w:val="none" w:sz="0" w:space="0" w:color="auto"/>
              </w:divBdr>
            </w:div>
            <w:div w:id="11303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60231">
      <w:bodyDiv w:val="1"/>
      <w:marLeft w:val="0"/>
      <w:marRight w:val="0"/>
      <w:marTop w:val="0"/>
      <w:marBottom w:val="0"/>
      <w:divBdr>
        <w:top w:val="none" w:sz="0" w:space="0" w:color="auto"/>
        <w:left w:val="none" w:sz="0" w:space="0" w:color="auto"/>
        <w:bottom w:val="none" w:sz="0" w:space="0" w:color="auto"/>
        <w:right w:val="none" w:sz="0" w:space="0" w:color="auto"/>
      </w:divBdr>
    </w:div>
    <w:div w:id="906066043">
      <w:bodyDiv w:val="1"/>
      <w:marLeft w:val="0"/>
      <w:marRight w:val="0"/>
      <w:marTop w:val="0"/>
      <w:marBottom w:val="0"/>
      <w:divBdr>
        <w:top w:val="none" w:sz="0" w:space="0" w:color="auto"/>
        <w:left w:val="none" w:sz="0" w:space="0" w:color="auto"/>
        <w:bottom w:val="none" w:sz="0" w:space="0" w:color="auto"/>
        <w:right w:val="none" w:sz="0" w:space="0" w:color="auto"/>
      </w:divBdr>
      <w:divsChild>
        <w:div w:id="939143763">
          <w:marLeft w:val="0"/>
          <w:marRight w:val="0"/>
          <w:marTop w:val="0"/>
          <w:marBottom w:val="0"/>
          <w:divBdr>
            <w:top w:val="none" w:sz="0" w:space="0" w:color="auto"/>
            <w:left w:val="none" w:sz="0" w:space="0" w:color="auto"/>
            <w:bottom w:val="none" w:sz="0" w:space="0" w:color="auto"/>
            <w:right w:val="none" w:sz="0" w:space="0" w:color="auto"/>
          </w:divBdr>
        </w:div>
      </w:divsChild>
    </w:div>
    <w:div w:id="984089827">
      <w:bodyDiv w:val="1"/>
      <w:marLeft w:val="0"/>
      <w:marRight w:val="0"/>
      <w:marTop w:val="0"/>
      <w:marBottom w:val="0"/>
      <w:divBdr>
        <w:top w:val="none" w:sz="0" w:space="0" w:color="auto"/>
        <w:left w:val="none" w:sz="0" w:space="0" w:color="auto"/>
        <w:bottom w:val="none" w:sz="0" w:space="0" w:color="auto"/>
        <w:right w:val="none" w:sz="0" w:space="0" w:color="auto"/>
      </w:divBdr>
      <w:divsChild>
        <w:div w:id="1318143856">
          <w:marLeft w:val="0"/>
          <w:marRight w:val="0"/>
          <w:marTop w:val="0"/>
          <w:marBottom w:val="0"/>
          <w:divBdr>
            <w:top w:val="none" w:sz="0" w:space="0" w:color="auto"/>
            <w:left w:val="none" w:sz="0" w:space="0" w:color="auto"/>
            <w:bottom w:val="none" w:sz="0" w:space="0" w:color="auto"/>
            <w:right w:val="none" w:sz="0" w:space="0" w:color="auto"/>
          </w:divBdr>
        </w:div>
      </w:divsChild>
    </w:div>
    <w:div w:id="1023480807">
      <w:bodyDiv w:val="1"/>
      <w:marLeft w:val="0"/>
      <w:marRight w:val="0"/>
      <w:marTop w:val="0"/>
      <w:marBottom w:val="0"/>
      <w:divBdr>
        <w:top w:val="none" w:sz="0" w:space="0" w:color="auto"/>
        <w:left w:val="none" w:sz="0" w:space="0" w:color="auto"/>
        <w:bottom w:val="none" w:sz="0" w:space="0" w:color="auto"/>
        <w:right w:val="none" w:sz="0" w:space="0" w:color="auto"/>
      </w:divBdr>
    </w:div>
    <w:div w:id="1104421259">
      <w:bodyDiv w:val="1"/>
      <w:marLeft w:val="0"/>
      <w:marRight w:val="0"/>
      <w:marTop w:val="0"/>
      <w:marBottom w:val="0"/>
      <w:divBdr>
        <w:top w:val="none" w:sz="0" w:space="0" w:color="auto"/>
        <w:left w:val="none" w:sz="0" w:space="0" w:color="auto"/>
        <w:bottom w:val="none" w:sz="0" w:space="0" w:color="auto"/>
        <w:right w:val="none" w:sz="0" w:space="0" w:color="auto"/>
      </w:divBdr>
    </w:div>
    <w:div w:id="1152723070">
      <w:bodyDiv w:val="1"/>
      <w:marLeft w:val="0"/>
      <w:marRight w:val="0"/>
      <w:marTop w:val="0"/>
      <w:marBottom w:val="0"/>
      <w:divBdr>
        <w:top w:val="none" w:sz="0" w:space="0" w:color="auto"/>
        <w:left w:val="none" w:sz="0" w:space="0" w:color="auto"/>
        <w:bottom w:val="none" w:sz="0" w:space="0" w:color="auto"/>
        <w:right w:val="none" w:sz="0" w:space="0" w:color="auto"/>
      </w:divBdr>
      <w:divsChild>
        <w:div w:id="1546601355">
          <w:marLeft w:val="0"/>
          <w:marRight w:val="0"/>
          <w:marTop w:val="0"/>
          <w:marBottom w:val="0"/>
          <w:divBdr>
            <w:top w:val="none" w:sz="0" w:space="0" w:color="auto"/>
            <w:left w:val="none" w:sz="0" w:space="0" w:color="auto"/>
            <w:bottom w:val="none" w:sz="0" w:space="0" w:color="auto"/>
            <w:right w:val="none" w:sz="0" w:space="0" w:color="auto"/>
          </w:divBdr>
        </w:div>
      </w:divsChild>
    </w:div>
    <w:div w:id="1171142356">
      <w:bodyDiv w:val="1"/>
      <w:marLeft w:val="0"/>
      <w:marRight w:val="0"/>
      <w:marTop w:val="0"/>
      <w:marBottom w:val="0"/>
      <w:divBdr>
        <w:top w:val="none" w:sz="0" w:space="0" w:color="auto"/>
        <w:left w:val="none" w:sz="0" w:space="0" w:color="auto"/>
        <w:bottom w:val="none" w:sz="0" w:space="0" w:color="auto"/>
        <w:right w:val="none" w:sz="0" w:space="0" w:color="auto"/>
      </w:divBdr>
      <w:divsChild>
        <w:div w:id="2047634338">
          <w:marLeft w:val="0"/>
          <w:marRight w:val="0"/>
          <w:marTop w:val="0"/>
          <w:marBottom w:val="0"/>
          <w:divBdr>
            <w:top w:val="none" w:sz="0" w:space="0" w:color="auto"/>
            <w:left w:val="none" w:sz="0" w:space="0" w:color="auto"/>
            <w:bottom w:val="none" w:sz="0" w:space="0" w:color="auto"/>
            <w:right w:val="none" w:sz="0" w:space="0" w:color="auto"/>
          </w:divBdr>
        </w:div>
      </w:divsChild>
    </w:div>
    <w:div w:id="1207988188">
      <w:bodyDiv w:val="1"/>
      <w:marLeft w:val="0"/>
      <w:marRight w:val="0"/>
      <w:marTop w:val="0"/>
      <w:marBottom w:val="0"/>
      <w:divBdr>
        <w:top w:val="none" w:sz="0" w:space="0" w:color="auto"/>
        <w:left w:val="none" w:sz="0" w:space="0" w:color="auto"/>
        <w:bottom w:val="none" w:sz="0" w:space="0" w:color="auto"/>
        <w:right w:val="none" w:sz="0" w:space="0" w:color="auto"/>
      </w:divBdr>
    </w:div>
    <w:div w:id="1229458404">
      <w:bodyDiv w:val="1"/>
      <w:marLeft w:val="0"/>
      <w:marRight w:val="0"/>
      <w:marTop w:val="0"/>
      <w:marBottom w:val="0"/>
      <w:divBdr>
        <w:top w:val="none" w:sz="0" w:space="0" w:color="auto"/>
        <w:left w:val="none" w:sz="0" w:space="0" w:color="auto"/>
        <w:bottom w:val="none" w:sz="0" w:space="0" w:color="auto"/>
        <w:right w:val="none" w:sz="0" w:space="0" w:color="auto"/>
      </w:divBdr>
    </w:div>
    <w:div w:id="1271736888">
      <w:bodyDiv w:val="1"/>
      <w:marLeft w:val="0"/>
      <w:marRight w:val="0"/>
      <w:marTop w:val="0"/>
      <w:marBottom w:val="0"/>
      <w:divBdr>
        <w:top w:val="none" w:sz="0" w:space="0" w:color="auto"/>
        <w:left w:val="none" w:sz="0" w:space="0" w:color="auto"/>
        <w:bottom w:val="none" w:sz="0" w:space="0" w:color="auto"/>
        <w:right w:val="none" w:sz="0" w:space="0" w:color="auto"/>
      </w:divBdr>
      <w:divsChild>
        <w:div w:id="2113933799">
          <w:marLeft w:val="0"/>
          <w:marRight w:val="0"/>
          <w:marTop w:val="0"/>
          <w:marBottom w:val="0"/>
          <w:divBdr>
            <w:top w:val="none" w:sz="0" w:space="0" w:color="auto"/>
            <w:left w:val="none" w:sz="0" w:space="0" w:color="auto"/>
            <w:bottom w:val="none" w:sz="0" w:space="0" w:color="auto"/>
            <w:right w:val="none" w:sz="0" w:space="0" w:color="auto"/>
          </w:divBdr>
          <w:divsChild>
            <w:div w:id="1380860759">
              <w:marLeft w:val="0"/>
              <w:marRight w:val="0"/>
              <w:marTop w:val="0"/>
              <w:marBottom w:val="0"/>
              <w:divBdr>
                <w:top w:val="none" w:sz="0" w:space="0" w:color="auto"/>
                <w:left w:val="none" w:sz="0" w:space="0" w:color="auto"/>
                <w:bottom w:val="none" w:sz="0" w:space="0" w:color="auto"/>
                <w:right w:val="none" w:sz="0" w:space="0" w:color="auto"/>
              </w:divBdr>
              <w:divsChild>
                <w:div w:id="1159535396">
                  <w:marLeft w:val="0"/>
                  <w:marRight w:val="0"/>
                  <w:marTop w:val="0"/>
                  <w:marBottom w:val="0"/>
                  <w:divBdr>
                    <w:top w:val="none" w:sz="0" w:space="0" w:color="auto"/>
                    <w:left w:val="none" w:sz="0" w:space="0" w:color="auto"/>
                    <w:bottom w:val="none" w:sz="0" w:space="0" w:color="auto"/>
                    <w:right w:val="none" w:sz="0" w:space="0" w:color="auto"/>
                  </w:divBdr>
                  <w:divsChild>
                    <w:div w:id="981613237">
                      <w:marLeft w:val="0"/>
                      <w:marRight w:val="0"/>
                      <w:marTop w:val="0"/>
                      <w:marBottom w:val="0"/>
                      <w:divBdr>
                        <w:top w:val="none" w:sz="0" w:space="0" w:color="auto"/>
                        <w:left w:val="none" w:sz="0" w:space="0" w:color="auto"/>
                        <w:bottom w:val="none" w:sz="0" w:space="0" w:color="auto"/>
                        <w:right w:val="none" w:sz="0" w:space="0" w:color="auto"/>
                      </w:divBdr>
                      <w:divsChild>
                        <w:div w:id="147400758">
                          <w:marLeft w:val="0"/>
                          <w:marRight w:val="0"/>
                          <w:marTop w:val="0"/>
                          <w:marBottom w:val="0"/>
                          <w:divBdr>
                            <w:top w:val="none" w:sz="0" w:space="0" w:color="auto"/>
                            <w:left w:val="none" w:sz="0" w:space="0" w:color="auto"/>
                            <w:bottom w:val="none" w:sz="0" w:space="0" w:color="auto"/>
                            <w:right w:val="none" w:sz="0" w:space="0" w:color="auto"/>
                          </w:divBdr>
                          <w:divsChild>
                            <w:div w:id="1979459040">
                              <w:marLeft w:val="0"/>
                              <w:marRight w:val="0"/>
                              <w:marTop w:val="0"/>
                              <w:marBottom w:val="0"/>
                              <w:divBdr>
                                <w:top w:val="none" w:sz="0" w:space="0" w:color="auto"/>
                                <w:left w:val="none" w:sz="0" w:space="0" w:color="auto"/>
                                <w:bottom w:val="none" w:sz="0" w:space="0" w:color="auto"/>
                                <w:right w:val="none" w:sz="0" w:space="0" w:color="auto"/>
                              </w:divBdr>
                              <w:divsChild>
                                <w:div w:id="1286958794">
                                  <w:marLeft w:val="0"/>
                                  <w:marRight w:val="0"/>
                                  <w:marTop w:val="0"/>
                                  <w:marBottom w:val="0"/>
                                  <w:divBdr>
                                    <w:top w:val="none" w:sz="0" w:space="0" w:color="auto"/>
                                    <w:left w:val="none" w:sz="0" w:space="0" w:color="auto"/>
                                    <w:bottom w:val="none" w:sz="0" w:space="0" w:color="auto"/>
                                    <w:right w:val="none" w:sz="0" w:space="0" w:color="auto"/>
                                  </w:divBdr>
                                  <w:divsChild>
                                    <w:div w:id="1505827564">
                                      <w:marLeft w:val="0"/>
                                      <w:marRight w:val="0"/>
                                      <w:marTop w:val="0"/>
                                      <w:marBottom w:val="0"/>
                                      <w:divBdr>
                                        <w:top w:val="none" w:sz="0" w:space="0" w:color="auto"/>
                                        <w:left w:val="none" w:sz="0" w:space="0" w:color="auto"/>
                                        <w:bottom w:val="none" w:sz="0" w:space="0" w:color="auto"/>
                                        <w:right w:val="none" w:sz="0" w:space="0" w:color="auto"/>
                                      </w:divBdr>
                                      <w:divsChild>
                                        <w:div w:id="761026018">
                                          <w:marLeft w:val="0"/>
                                          <w:marRight w:val="0"/>
                                          <w:marTop w:val="0"/>
                                          <w:marBottom w:val="0"/>
                                          <w:divBdr>
                                            <w:top w:val="none" w:sz="0" w:space="0" w:color="auto"/>
                                            <w:left w:val="none" w:sz="0" w:space="0" w:color="auto"/>
                                            <w:bottom w:val="none" w:sz="0" w:space="0" w:color="auto"/>
                                            <w:right w:val="none" w:sz="0" w:space="0" w:color="auto"/>
                                          </w:divBdr>
                                          <w:divsChild>
                                            <w:div w:id="1733851446">
                                              <w:marLeft w:val="0"/>
                                              <w:marRight w:val="0"/>
                                              <w:marTop w:val="0"/>
                                              <w:marBottom w:val="0"/>
                                              <w:divBdr>
                                                <w:top w:val="none" w:sz="0" w:space="0" w:color="auto"/>
                                                <w:left w:val="none" w:sz="0" w:space="0" w:color="auto"/>
                                                <w:bottom w:val="none" w:sz="0" w:space="0" w:color="auto"/>
                                                <w:right w:val="none" w:sz="0" w:space="0" w:color="auto"/>
                                              </w:divBdr>
                                              <w:divsChild>
                                                <w:div w:id="1842354727">
                                                  <w:marLeft w:val="0"/>
                                                  <w:marRight w:val="0"/>
                                                  <w:marTop w:val="0"/>
                                                  <w:marBottom w:val="0"/>
                                                  <w:divBdr>
                                                    <w:top w:val="none" w:sz="0" w:space="0" w:color="auto"/>
                                                    <w:left w:val="none" w:sz="0" w:space="0" w:color="auto"/>
                                                    <w:bottom w:val="none" w:sz="0" w:space="0" w:color="auto"/>
                                                    <w:right w:val="none" w:sz="0" w:space="0" w:color="auto"/>
                                                  </w:divBdr>
                                                  <w:divsChild>
                                                    <w:div w:id="1183785626">
                                                      <w:marLeft w:val="0"/>
                                                      <w:marRight w:val="0"/>
                                                      <w:marTop w:val="0"/>
                                                      <w:marBottom w:val="0"/>
                                                      <w:divBdr>
                                                        <w:top w:val="none" w:sz="0" w:space="0" w:color="auto"/>
                                                        <w:left w:val="none" w:sz="0" w:space="0" w:color="auto"/>
                                                        <w:bottom w:val="none" w:sz="0" w:space="0" w:color="auto"/>
                                                        <w:right w:val="none" w:sz="0" w:space="0" w:color="auto"/>
                                                      </w:divBdr>
                                                      <w:divsChild>
                                                        <w:div w:id="1862010936">
                                                          <w:marLeft w:val="0"/>
                                                          <w:marRight w:val="0"/>
                                                          <w:marTop w:val="0"/>
                                                          <w:marBottom w:val="0"/>
                                                          <w:divBdr>
                                                            <w:top w:val="none" w:sz="0" w:space="0" w:color="auto"/>
                                                            <w:left w:val="none" w:sz="0" w:space="0" w:color="auto"/>
                                                            <w:bottom w:val="none" w:sz="0" w:space="0" w:color="auto"/>
                                                            <w:right w:val="none" w:sz="0" w:space="0" w:color="auto"/>
                                                          </w:divBdr>
                                                          <w:divsChild>
                                                            <w:div w:id="1877737611">
                                                              <w:marLeft w:val="0"/>
                                                              <w:marRight w:val="0"/>
                                                              <w:marTop w:val="0"/>
                                                              <w:marBottom w:val="0"/>
                                                              <w:divBdr>
                                                                <w:top w:val="none" w:sz="0" w:space="0" w:color="auto"/>
                                                                <w:left w:val="none" w:sz="0" w:space="0" w:color="auto"/>
                                                                <w:bottom w:val="none" w:sz="0" w:space="0" w:color="auto"/>
                                                                <w:right w:val="none" w:sz="0" w:space="0" w:color="auto"/>
                                                              </w:divBdr>
                                                              <w:divsChild>
                                                                <w:div w:id="12082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238554">
                                                          <w:marLeft w:val="0"/>
                                                          <w:marRight w:val="0"/>
                                                          <w:marTop w:val="0"/>
                                                          <w:marBottom w:val="0"/>
                                                          <w:divBdr>
                                                            <w:top w:val="none" w:sz="0" w:space="0" w:color="auto"/>
                                                            <w:left w:val="none" w:sz="0" w:space="0" w:color="auto"/>
                                                            <w:bottom w:val="none" w:sz="0" w:space="0" w:color="auto"/>
                                                            <w:right w:val="none" w:sz="0" w:space="0" w:color="auto"/>
                                                          </w:divBdr>
                                                          <w:divsChild>
                                                            <w:div w:id="1415126768">
                                                              <w:marLeft w:val="0"/>
                                                              <w:marRight w:val="0"/>
                                                              <w:marTop w:val="0"/>
                                                              <w:marBottom w:val="0"/>
                                                              <w:divBdr>
                                                                <w:top w:val="none" w:sz="0" w:space="0" w:color="auto"/>
                                                                <w:left w:val="none" w:sz="0" w:space="0" w:color="auto"/>
                                                                <w:bottom w:val="none" w:sz="0" w:space="0" w:color="auto"/>
                                                                <w:right w:val="none" w:sz="0" w:space="0" w:color="auto"/>
                                                              </w:divBdr>
                                                              <w:divsChild>
                                                                <w:div w:id="13058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0777">
                                                          <w:marLeft w:val="0"/>
                                                          <w:marRight w:val="0"/>
                                                          <w:marTop w:val="0"/>
                                                          <w:marBottom w:val="0"/>
                                                          <w:divBdr>
                                                            <w:top w:val="none" w:sz="0" w:space="0" w:color="auto"/>
                                                            <w:left w:val="none" w:sz="0" w:space="0" w:color="auto"/>
                                                            <w:bottom w:val="none" w:sz="0" w:space="0" w:color="auto"/>
                                                            <w:right w:val="none" w:sz="0" w:space="0" w:color="auto"/>
                                                          </w:divBdr>
                                                          <w:divsChild>
                                                            <w:div w:id="1470394504">
                                                              <w:marLeft w:val="0"/>
                                                              <w:marRight w:val="0"/>
                                                              <w:marTop w:val="0"/>
                                                              <w:marBottom w:val="0"/>
                                                              <w:divBdr>
                                                                <w:top w:val="none" w:sz="0" w:space="0" w:color="auto"/>
                                                                <w:left w:val="none" w:sz="0" w:space="0" w:color="auto"/>
                                                                <w:bottom w:val="none" w:sz="0" w:space="0" w:color="auto"/>
                                                                <w:right w:val="none" w:sz="0" w:space="0" w:color="auto"/>
                                                              </w:divBdr>
                                                              <w:divsChild>
                                                                <w:div w:id="152432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4215">
                                                          <w:marLeft w:val="0"/>
                                                          <w:marRight w:val="0"/>
                                                          <w:marTop w:val="0"/>
                                                          <w:marBottom w:val="0"/>
                                                          <w:divBdr>
                                                            <w:top w:val="none" w:sz="0" w:space="0" w:color="auto"/>
                                                            <w:left w:val="none" w:sz="0" w:space="0" w:color="auto"/>
                                                            <w:bottom w:val="none" w:sz="0" w:space="0" w:color="auto"/>
                                                            <w:right w:val="none" w:sz="0" w:space="0" w:color="auto"/>
                                                          </w:divBdr>
                                                          <w:divsChild>
                                                            <w:div w:id="1040477841">
                                                              <w:marLeft w:val="0"/>
                                                              <w:marRight w:val="0"/>
                                                              <w:marTop w:val="0"/>
                                                              <w:marBottom w:val="0"/>
                                                              <w:divBdr>
                                                                <w:top w:val="none" w:sz="0" w:space="0" w:color="auto"/>
                                                                <w:left w:val="none" w:sz="0" w:space="0" w:color="auto"/>
                                                                <w:bottom w:val="none" w:sz="0" w:space="0" w:color="auto"/>
                                                                <w:right w:val="none" w:sz="0" w:space="0" w:color="auto"/>
                                                              </w:divBdr>
                                                              <w:divsChild>
                                                                <w:div w:id="15036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22734544">
      <w:bodyDiv w:val="1"/>
      <w:marLeft w:val="0"/>
      <w:marRight w:val="0"/>
      <w:marTop w:val="0"/>
      <w:marBottom w:val="0"/>
      <w:divBdr>
        <w:top w:val="none" w:sz="0" w:space="0" w:color="auto"/>
        <w:left w:val="none" w:sz="0" w:space="0" w:color="auto"/>
        <w:bottom w:val="none" w:sz="0" w:space="0" w:color="auto"/>
        <w:right w:val="none" w:sz="0" w:space="0" w:color="auto"/>
      </w:divBdr>
      <w:divsChild>
        <w:div w:id="2108306738">
          <w:marLeft w:val="0"/>
          <w:marRight w:val="0"/>
          <w:marTop w:val="0"/>
          <w:marBottom w:val="0"/>
          <w:divBdr>
            <w:top w:val="none" w:sz="0" w:space="0" w:color="auto"/>
            <w:left w:val="none" w:sz="0" w:space="0" w:color="auto"/>
            <w:bottom w:val="none" w:sz="0" w:space="0" w:color="auto"/>
            <w:right w:val="none" w:sz="0" w:space="0" w:color="auto"/>
          </w:divBdr>
          <w:divsChild>
            <w:div w:id="683239633">
              <w:marLeft w:val="0"/>
              <w:marRight w:val="0"/>
              <w:marTop w:val="0"/>
              <w:marBottom w:val="0"/>
              <w:divBdr>
                <w:top w:val="none" w:sz="0" w:space="0" w:color="auto"/>
                <w:left w:val="none" w:sz="0" w:space="0" w:color="auto"/>
                <w:bottom w:val="none" w:sz="0" w:space="0" w:color="auto"/>
                <w:right w:val="none" w:sz="0" w:space="0" w:color="auto"/>
              </w:divBdr>
              <w:divsChild>
                <w:div w:id="21782018">
                  <w:marLeft w:val="0"/>
                  <w:marRight w:val="0"/>
                  <w:marTop w:val="0"/>
                  <w:marBottom w:val="0"/>
                  <w:divBdr>
                    <w:top w:val="none" w:sz="0" w:space="0" w:color="auto"/>
                    <w:left w:val="none" w:sz="0" w:space="0" w:color="auto"/>
                    <w:bottom w:val="none" w:sz="0" w:space="0" w:color="auto"/>
                    <w:right w:val="none" w:sz="0" w:space="0" w:color="auto"/>
                  </w:divBdr>
                </w:div>
              </w:divsChild>
            </w:div>
            <w:div w:id="1629554074">
              <w:marLeft w:val="0"/>
              <w:marRight w:val="0"/>
              <w:marTop w:val="0"/>
              <w:marBottom w:val="0"/>
              <w:divBdr>
                <w:top w:val="none" w:sz="0" w:space="0" w:color="auto"/>
                <w:left w:val="none" w:sz="0" w:space="0" w:color="auto"/>
                <w:bottom w:val="none" w:sz="0" w:space="0" w:color="auto"/>
                <w:right w:val="none" w:sz="0" w:space="0" w:color="auto"/>
              </w:divBdr>
              <w:divsChild>
                <w:div w:id="922185611">
                  <w:marLeft w:val="0"/>
                  <w:marRight w:val="0"/>
                  <w:marTop w:val="0"/>
                  <w:marBottom w:val="0"/>
                  <w:divBdr>
                    <w:top w:val="none" w:sz="0" w:space="0" w:color="auto"/>
                    <w:left w:val="none" w:sz="0" w:space="0" w:color="auto"/>
                    <w:bottom w:val="none" w:sz="0" w:space="0" w:color="auto"/>
                    <w:right w:val="none" w:sz="0" w:space="0" w:color="auto"/>
                  </w:divBdr>
                </w:div>
              </w:divsChild>
            </w:div>
            <w:div w:id="120539113">
              <w:marLeft w:val="0"/>
              <w:marRight w:val="0"/>
              <w:marTop w:val="0"/>
              <w:marBottom w:val="0"/>
              <w:divBdr>
                <w:top w:val="none" w:sz="0" w:space="0" w:color="auto"/>
                <w:left w:val="none" w:sz="0" w:space="0" w:color="auto"/>
                <w:bottom w:val="none" w:sz="0" w:space="0" w:color="auto"/>
                <w:right w:val="none" w:sz="0" w:space="0" w:color="auto"/>
              </w:divBdr>
              <w:divsChild>
                <w:div w:id="2061199738">
                  <w:marLeft w:val="0"/>
                  <w:marRight w:val="0"/>
                  <w:marTop w:val="0"/>
                  <w:marBottom w:val="0"/>
                  <w:divBdr>
                    <w:top w:val="none" w:sz="0" w:space="0" w:color="auto"/>
                    <w:left w:val="none" w:sz="0" w:space="0" w:color="auto"/>
                    <w:bottom w:val="none" w:sz="0" w:space="0" w:color="auto"/>
                    <w:right w:val="none" w:sz="0" w:space="0" w:color="auto"/>
                  </w:divBdr>
                </w:div>
              </w:divsChild>
            </w:div>
            <w:div w:id="1230656057">
              <w:marLeft w:val="0"/>
              <w:marRight w:val="0"/>
              <w:marTop w:val="0"/>
              <w:marBottom w:val="0"/>
              <w:divBdr>
                <w:top w:val="none" w:sz="0" w:space="0" w:color="auto"/>
                <w:left w:val="none" w:sz="0" w:space="0" w:color="auto"/>
                <w:bottom w:val="none" w:sz="0" w:space="0" w:color="auto"/>
                <w:right w:val="none" w:sz="0" w:space="0" w:color="auto"/>
              </w:divBdr>
              <w:divsChild>
                <w:div w:id="1218861024">
                  <w:marLeft w:val="0"/>
                  <w:marRight w:val="0"/>
                  <w:marTop w:val="0"/>
                  <w:marBottom w:val="0"/>
                  <w:divBdr>
                    <w:top w:val="none" w:sz="0" w:space="0" w:color="auto"/>
                    <w:left w:val="none" w:sz="0" w:space="0" w:color="auto"/>
                    <w:bottom w:val="none" w:sz="0" w:space="0" w:color="auto"/>
                    <w:right w:val="none" w:sz="0" w:space="0" w:color="auto"/>
                  </w:divBdr>
                </w:div>
              </w:divsChild>
            </w:div>
            <w:div w:id="769742730">
              <w:marLeft w:val="0"/>
              <w:marRight w:val="0"/>
              <w:marTop w:val="0"/>
              <w:marBottom w:val="0"/>
              <w:divBdr>
                <w:top w:val="none" w:sz="0" w:space="0" w:color="auto"/>
                <w:left w:val="none" w:sz="0" w:space="0" w:color="auto"/>
                <w:bottom w:val="none" w:sz="0" w:space="0" w:color="auto"/>
                <w:right w:val="none" w:sz="0" w:space="0" w:color="auto"/>
              </w:divBdr>
              <w:divsChild>
                <w:div w:id="20622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5881">
      <w:bodyDiv w:val="1"/>
      <w:marLeft w:val="0"/>
      <w:marRight w:val="0"/>
      <w:marTop w:val="0"/>
      <w:marBottom w:val="0"/>
      <w:divBdr>
        <w:top w:val="none" w:sz="0" w:space="0" w:color="auto"/>
        <w:left w:val="none" w:sz="0" w:space="0" w:color="auto"/>
        <w:bottom w:val="none" w:sz="0" w:space="0" w:color="auto"/>
        <w:right w:val="none" w:sz="0" w:space="0" w:color="auto"/>
      </w:divBdr>
    </w:div>
    <w:div w:id="1865826420">
      <w:bodyDiv w:val="1"/>
      <w:marLeft w:val="0"/>
      <w:marRight w:val="0"/>
      <w:marTop w:val="0"/>
      <w:marBottom w:val="0"/>
      <w:divBdr>
        <w:top w:val="none" w:sz="0" w:space="0" w:color="auto"/>
        <w:left w:val="none" w:sz="0" w:space="0" w:color="auto"/>
        <w:bottom w:val="none" w:sz="0" w:space="0" w:color="auto"/>
        <w:right w:val="none" w:sz="0" w:space="0" w:color="auto"/>
      </w:divBdr>
    </w:div>
    <w:div w:id="1883512583">
      <w:bodyDiv w:val="1"/>
      <w:marLeft w:val="0"/>
      <w:marRight w:val="0"/>
      <w:marTop w:val="0"/>
      <w:marBottom w:val="0"/>
      <w:divBdr>
        <w:top w:val="none" w:sz="0" w:space="0" w:color="auto"/>
        <w:left w:val="none" w:sz="0" w:space="0" w:color="auto"/>
        <w:bottom w:val="none" w:sz="0" w:space="0" w:color="auto"/>
        <w:right w:val="none" w:sz="0" w:space="0" w:color="auto"/>
      </w:divBdr>
      <w:divsChild>
        <w:div w:id="373113874">
          <w:marLeft w:val="0"/>
          <w:marRight w:val="0"/>
          <w:marTop w:val="0"/>
          <w:marBottom w:val="0"/>
          <w:divBdr>
            <w:top w:val="none" w:sz="0" w:space="0" w:color="auto"/>
            <w:left w:val="none" w:sz="0" w:space="0" w:color="auto"/>
            <w:bottom w:val="none" w:sz="0" w:space="0" w:color="auto"/>
            <w:right w:val="none" w:sz="0" w:space="0" w:color="auto"/>
          </w:divBdr>
          <w:divsChild>
            <w:div w:id="1303271570">
              <w:marLeft w:val="0"/>
              <w:marRight w:val="0"/>
              <w:marTop w:val="0"/>
              <w:marBottom w:val="0"/>
              <w:divBdr>
                <w:top w:val="none" w:sz="0" w:space="0" w:color="auto"/>
                <w:left w:val="none" w:sz="0" w:space="0" w:color="auto"/>
                <w:bottom w:val="none" w:sz="0" w:space="0" w:color="auto"/>
                <w:right w:val="none" w:sz="0" w:space="0" w:color="auto"/>
              </w:divBdr>
              <w:divsChild>
                <w:div w:id="1172377490">
                  <w:marLeft w:val="0"/>
                  <w:marRight w:val="0"/>
                  <w:marTop w:val="0"/>
                  <w:marBottom w:val="0"/>
                  <w:divBdr>
                    <w:top w:val="none" w:sz="0" w:space="0" w:color="auto"/>
                    <w:left w:val="none" w:sz="0" w:space="0" w:color="auto"/>
                    <w:bottom w:val="none" w:sz="0" w:space="0" w:color="auto"/>
                    <w:right w:val="none" w:sz="0" w:space="0" w:color="auto"/>
                  </w:divBdr>
                </w:div>
              </w:divsChild>
            </w:div>
            <w:div w:id="1960797075">
              <w:marLeft w:val="0"/>
              <w:marRight w:val="0"/>
              <w:marTop w:val="0"/>
              <w:marBottom w:val="0"/>
              <w:divBdr>
                <w:top w:val="none" w:sz="0" w:space="0" w:color="auto"/>
                <w:left w:val="none" w:sz="0" w:space="0" w:color="auto"/>
                <w:bottom w:val="none" w:sz="0" w:space="0" w:color="auto"/>
                <w:right w:val="none" w:sz="0" w:space="0" w:color="auto"/>
              </w:divBdr>
              <w:divsChild>
                <w:div w:id="200064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16420">
      <w:bodyDiv w:val="1"/>
      <w:marLeft w:val="0"/>
      <w:marRight w:val="0"/>
      <w:marTop w:val="0"/>
      <w:marBottom w:val="0"/>
      <w:divBdr>
        <w:top w:val="none" w:sz="0" w:space="0" w:color="auto"/>
        <w:left w:val="none" w:sz="0" w:space="0" w:color="auto"/>
        <w:bottom w:val="none" w:sz="0" w:space="0" w:color="auto"/>
        <w:right w:val="none" w:sz="0" w:space="0" w:color="auto"/>
      </w:divBdr>
    </w:div>
    <w:div w:id="1986736380">
      <w:bodyDiv w:val="1"/>
      <w:marLeft w:val="0"/>
      <w:marRight w:val="0"/>
      <w:marTop w:val="0"/>
      <w:marBottom w:val="0"/>
      <w:divBdr>
        <w:top w:val="none" w:sz="0" w:space="0" w:color="auto"/>
        <w:left w:val="none" w:sz="0" w:space="0" w:color="auto"/>
        <w:bottom w:val="none" w:sz="0" w:space="0" w:color="auto"/>
        <w:right w:val="none" w:sz="0" w:space="0" w:color="auto"/>
      </w:divBdr>
      <w:divsChild>
        <w:div w:id="610403234">
          <w:marLeft w:val="0"/>
          <w:marRight w:val="0"/>
          <w:marTop w:val="0"/>
          <w:marBottom w:val="0"/>
          <w:divBdr>
            <w:top w:val="none" w:sz="0" w:space="0" w:color="auto"/>
            <w:left w:val="none" w:sz="0" w:space="0" w:color="auto"/>
            <w:bottom w:val="none" w:sz="0" w:space="0" w:color="auto"/>
            <w:right w:val="none" w:sz="0" w:space="0" w:color="auto"/>
          </w:divBdr>
        </w:div>
      </w:divsChild>
    </w:div>
    <w:div w:id="1987389667">
      <w:bodyDiv w:val="1"/>
      <w:marLeft w:val="0"/>
      <w:marRight w:val="0"/>
      <w:marTop w:val="0"/>
      <w:marBottom w:val="0"/>
      <w:divBdr>
        <w:top w:val="none" w:sz="0" w:space="0" w:color="auto"/>
        <w:left w:val="none" w:sz="0" w:space="0" w:color="auto"/>
        <w:bottom w:val="none" w:sz="0" w:space="0" w:color="auto"/>
        <w:right w:val="none" w:sz="0" w:space="0" w:color="auto"/>
      </w:divBdr>
    </w:div>
    <w:div w:id="2027779776">
      <w:bodyDiv w:val="1"/>
      <w:marLeft w:val="0"/>
      <w:marRight w:val="0"/>
      <w:marTop w:val="0"/>
      <w:marBottom w:val="0"/>
      <w:divBdr>
        <w:top w:val="none" w:sz="0" w:space="0" w:color="auto"/>
        <w:left w:val="none" w:sz="0" w:space="0" w:color="auto"/>
        <w:bottom w:val="none" w:sz="0" w:space="0" w:color="auto"/>
        <w:right w:val="none" w:sz="0" w:space="0" w:color="auto"/>
      </w:divBdr>
    </w:div>
    <w:div w:id="2078749291">
      <w:bodyDiv w:val="1"/>
      <w:marLeft w:val="0"/>
      <w:marRight w:val="0"/>
      <w:marTop w:val="0"/>
      <w:marBottom w:val="0"/>
      <w:divBdr>
        <w:top w:val="none" w:sz="0" w:space="0" w:color="auto"/>
        <w:left w:val="none" w:sz="0" w:space="0" w:color="auto"/>
        <w:bottom w:val="none" w:sz="0" w:space="0" w:color="auto"/>
        <w:right w:val="none" w:sz="0" w:space="0" w:color="auto"/>
      </w:divBdr>
      <w:divsChild>
        <w:div w:id="805052288">
          <w:marLeft w:val="0"/>
          <w:marRight w:val="0"/>
          <w:marTop w:val="0"/>
          <w:marBottom w:val="0"/>
          <w:divBdr>
            <w:top w:val="none" w:sz="0" w:space="0" w:color="auto"/>
            <w:left w:val="none" w:sz="0" w:space="0" w:color="auto"/>
            <w:bottom w:val="none" w:sz="0" w:space="0" w:color="auto"/>
            <w:right w:val="none" w:sz="0" w:space="0" w:color="auto"/>
          </w:divBdr>
        </w:div>
      </w:divsChild>
    </w:div>
    <w:div w:id="210804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9D8721-D7DD-400D-ADEC-6B7A6442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19</Pages>
  <Words>6689</Words>
  <Characters>40140</Characters>
  <Application>Microsoft Office Word</Application>
  <DocSecurity>0</DocSecurity>
  <Lines>334</Lines>
  <Paragraphs>93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e-user1</dc:creator>
  <cp:lastModifiedBy>Grażyna D. Grabowska</cp:lastModifiedBy>
  <cp:revision>2</cp:revision>
  <cp:lastPrinted>2020-02-11T07:20:00Z</cp:lastPrinted>
  <dcterms:created xsi:type="dcterms:W3CDTF">2020-03-23T09:26:00Z</dcterms:created>
  <dcterms:modified xsi:type="dcterms:W3CDTF">2020-03-23T09:26:00Z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