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1454" w14:textId="77777777" w:rsidR="0014359C" w:rsidRPr="0014359C" w:rsidRDefault="0014359C" w:rsidP="0014359C">
      <w:pPr>
        <w:pStyle w:val="OZNPROJEKTUwskazaniedatylubwersjiprojektu"/>
      </w:pPr>
      <w:r w:rsidRPr="0014359C">
        <w:t>PROJEKT</w:t>
      </w:r>
    </w:p>
    <w:p w14:paraId="0B9681C8" w14:textId="77777777" w:rsidR="0014359C" w:rsidRPr="0014359C" w:rsidRDefault="0014359C" w:rsidP="0014359C">
      <w:pPr>
        <w:pStyle w:val="OZNRODZAKTUtznustawalubrozporzdzenieiorganwydajcy"/>
      </w:pPr>
      <w:r w:rsidRPr="0014359C">
        <w:t>USTAWA</w:t>
      </w:r>
    </w:p>
    <w:p w14:paraId="27FD9007" w14:textId="77777777" w:rsidR="0014359C" w:rsidRPr="0014359C" w:rsidRDefault="0014359C" w:rsidP="0014359C">
      <w:pPr>
        <w:pStyle w:val="DATAAKTUdatauchwalenialubwydaniaaktu"/>
      </w:pPr>
      <w:r w:rsidRPr="0014359C">
        <w:t>z dnia …</w:t>
      </w:r>
    </w:p>
    <w:p w14:paraId="458B2320" w14:textId="77777777" w:rsidR="0014359C" w:rsidRPr="0014359C" w:rsidRDefault="0014359C" w:rsidP="0014359C">
      <w:pPr>
        <w:pStyle w:val="TYTUAKTUprzedmiotregulacjiustawylubrozporzdzenia"/>
      </w:pPr>
      <w:r w:rsidRPr="0014359C">
        <w:t>o zmianie Konstytucji Rzeczypospolitej Polskiej</w:t>
      </w:r>
    </w:p>
    <w:p w14:paraId="05CF6084" w14:textId="77777777" w:rsidR="0014359C" w:rsidRPr="0014359C" w:rsidRDefault="0014359C" w:rsidP="0014359C">
      <w:pPr>
        <w:pStyle w:val="ARTartustawynprozporzdzenia"/>
        <w:keepNext/>
      </w:pPr>
      <w:r w:rsidRPr="0014359C">
        <w:rPr>
          <w:rStyle w:val="Ppogrubienie"/>
        </w:rPr>
        <w:t>Art. 1.</w:t>
      </w:r>
      <w:r>
        <w:t> </w:t>
      </w:r>
      <w:r w:rsidRPr="0014359C">
        <w:t>W Konstytucji Rzeczypospolitej Polskiej z dnia 2 kwietnia 1997 r. (Dz. U. poz. 483, z 2001 r. poz. 319, z 2006 r. poz. 1471 oraz z 2009 r. poz. 946) wprowadza się następujące zmiany:</w:t>
      </w:r>
    </w:p>
    <w:p w14:paraId="7FB64BEA" w14:textId="77777777" w:rsidR="0014359C" w:rsidRDefault="0014359C" w:rsidP="0014359C">
      <w:pPr>
        <w:pStyle w:val="PKTpunkt"/>
        <w:keepNext/>
      </w:pPr>
      <w:r>
        <w:t>1)</w:t>
      </w:r>
      <w:r>
        <w:tab/>
        <w:t>art. 105 otrzymuje brzmienie:</w:t>
      </w:r>
    </w:p>
    <w:p w14:paraId="0F8B5768" w14:textId="77777777" w:rsidR="0014359C" w:rsidRPr="0014359C" w:rsidRDefault="0014359C" w:rsidP="0014359C">
      <w:pPr>
        <w:pStyle w:val="ZARTzmartartykuempunktem"/>
      </w:pPr>
      <w:r w:rsidRPr="0006567F">
        <w:t>„Art.</w:t>
      </w:r>
      <w:r>
        <w:t> </w:t>
      </w:r>
      <w:r w:rsidRPr="0006567F">
        <w:t>105.</w:t>
      </w:r>
      <w:r>
        <w:t> </w:t>
      </w:r>
      <w:r w:rsidRPr="0006567F">
        <w:t>1. Poseł nie może być pociągnięty do odpowiedzialności za swoją działalność wchodzącą w zakres sprawowania mandatu poselskiego ani w czasie jego trwania, ani po jego wygaśnięciu. Za taką działalność poseł odpowiada wyłącznie prze</w:t>
      </w:r>
      <w:r w:rsidRPr="0014359C">
        <w:t>d Sejmem, a w przypadku naruszenia praw osób trzecich poseł może być pociągnięty do odpowiedzialności sądowej za zgodą Sejmu. Zgoda Sejmu nie jest wymagana, jeśli postępowanie wszczyna się z oskarżenia publicznego.</w:t>
      </w:r>
    </w:p>
    <w:p w14:paraId="6FA4ECF2" w14:textId="77777777" w:rsidR="0014359C" w:rsidRPr="0014359C" w:rsidRDefault="0014359C" w:rsidP="0014359C">
      <w:pPr>
        <w:pStyle w:val="ZUSTzmustartykuempunktem"/>
      </w:pPr>
      <w:r>
        <w:t>2</w:t>
      </w:r>
      <w:r w:rsidRPr="0014359C">
        <w:t>.</w:t>
      </w:r>
      <w:r>
        <w:t> </w:t>
      </w:r>
      <w:r w:rsidRPr="0014359C">
        <w:t>W przypadku zatrzymania lub aresztowania posła niezwłocznie powiadamia się o tym Marszałka Sejmu.</w:t>
      </w:r>
      <w:r>
        <w:t>”</w:t>
      </w:r>
      <w:r w:rsidRPr="0014359C">
        <w:t>;</w:t>
      </w:r>
    </w:p>
    <w:p w14:paraId="2522FAA6" w14:textId="77777777" w:rsidR="0014359C" w:rsidRDefault="0014359C" w:rsidP="0014359C">
      <w:pPr>
        <w:pStyle w:val="PKTpunkt"/>
        <w:keepNext/>
      </w:pPr>
      <w:r>
        <w:t>2)</w:t>
      </w:r>
      <w:r>
        <w:tab/>
        <w:t>art. 181 otrzymuje brzmienie:</w:t>
      </w:r>
    </w:p>
    <w:p w14:paraId="49F67A29" w14:textId="77777777" w:rsidR="0014359C" w:rsidRPr="0014359C" w:rsidRDefault="0014359C" w:rsidP="0014359C">
      <w:pPr>
        <w:pStyle w:val="ZARTzmartartykuempunktem"/>
      </w:pPr>
      <w:r>
        <w:t xml:space="preserve">„Art. 181. W przypadku </w:t>
      </w:r>
      <w:r w:rsidRPr="0014359C">
        <w:t>zatrzymania lub aresztowania sędziego niezwłocznie powiadamia się o tym prezesa właściwego miejscowo sądu.</w:t>
      </w:r>
      <w:r>
        <w:t>”</w:t>
      </w:r>
      <w:r w:rsidRPr="0014359C">
        <w:t>;</w:t>
      </w:r>
    </w:p>
    <w:p w14:paraId="0FB95828" w14:textId="77777777" w:rsidR="0014359C" w:rsidRDefault="0014359C" w:rsidP="0014359C">
      <w:pPr>
        <w:pStyle w:val="PKTpunkt"/>
        <w:keepNext/>
      </w:pPr>
      <w:r>
        <w:t>3)</w:t>
      </w:r>
      <w:r>
        <w:tab/>
        <w:t>art. 196 otrzymuje brzmienie:</w:t>
      </w:r>
    </w:p>
    <w:p w14:paraId="5477A12A" w14:textId="77777777" w:rsidR="0014359C" w:rsidRPr="0014359C" w:rsidRDefault="0014359C" w:rsidP="0014359C">
      <w:pPr>
        <w:pStyle w:val="ZARTzmartartykuempunktem"/>
      </w:pPr>
      <w:r>
        <w:t>„Art. 196. </w:t>
      </w:r>
      <w:r w:rsidRPr="0014359C">
        <w:t>W przypadku zatrzymania lub aresztowania sędziego Trybunału Konstytucyjnego niezwłocznie powiadamia się o tym Prezesa Trybunału Konstytucyjnego.</w:t>
      </w:r>
      <w:r>
        <w:t>”</w:t>
      </w:r>
      <w:r w:rsidRPr="0014359C">
        <w:t>;</w:t>
      </w:r>
    </w:p>
    <w:p w14:paraId="0C6EAFAA" w14:textId="77777777" w:rsidR="0014359C" w:rsidRDefault="0014359C" w:rsidP="0014359C">
      <w:pPr>
        <w:pStyle w:val="PKTpunkt"/>
        <w:keepNext/>
      </w:pPr>
      <w:r>
        <w:t>4)</w:t>
      </w:r>
      <w:r>
        <w:tab/>
        <w:t>art. 200 otrzymuje brzmienie:</w:t>
      </w:r>
    </w:p>
    <w:p w14:paraId="0D55B359" w14:textId="77777777" w:rsidR="0014359C" w:rsidRPr="0014359C" w:rsidRDefault="0014359C" w:rsidP="0014359C">
      <w:pPr>
        <w:pStyle w:val="ZARTzmartartykuempunktem"/>
      </w:pPr>
      <w:r>
        <w:t>„Art. 200. </w:t>
      </w:r>
      <w:r w:rsidRPr="0014359C">
        <w:t>W przypadku zatrzymania lub aresztowania członka Trybunału Stanu niezwłocznie powiadamia się o tym przewodniczącego Trybunału Stanu.</w:t>
      </w:r>
      <w:r>
        <w:t>”</w:t>
      </w:r>
      <w:r w:rsidRPr="0014359C">
        <w:t>.</w:t>
      </w:r>
    </w:p>
    <w:p w14:paraId="2BCE25B7" w14:textId="77777777" w:rsidR="0014359C" w:rsidRPr="0014359C" w:rsidRDefault="0014359C" w:rsidP="0014359C">
      <w:pPr>
        <w:pStyle w:val="ARTartustawynprozporzdzenia"/>
      </w:pPr>
      <w:r w:rsidRPr="0014359C">
        <w:rPr>
          <w:rStyle w:val="Ppogrubienie"/>
        </w:rPr>
        <w:t>Art. 2.</w:t>
      </w:r>
      <w:r>
        <w:t> </w:t>
      </w:r>
      <w:r w:rsidRPr="0014359C">
        <w:t>Ustawa wchodzi w życie w dniu rozpoczęcia kadencji Sejmu następującej po kadencji, w czasie której została ogłoszona.</w:t>
      </w:r>
    </w:p>
    <w:p w14:paraId="1E89A2CB" w14:textId="77777777" w:rsidR="00261A16" w:rsidRPr="0014359C" w:rsidRDefault="00261A16" w:rsidP="0014359C"/>
    <w:sectPr w:rsidR="00261A16" w:rsidRPr="0014359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CE2C" w14:textId="77777777" w:rsidR="00CB044C" w:rsidRDefault="00CB044C">
      <w:r>
        <w:separator/>
      </w:r>
    </w:p>
  </w:endnote>
  <w:endnote w:type="continuationSeparator" w:id="0">
    <w:p w14:paraId="03CD3554" w14:textId="77777777" w:rsidR="00CB044C" w:rsidRDefault="00CB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8DA57" w14:textId="77777777" w:rsidR="00CB044C" w:rsidRDefault="00CB044C">
      <w:r>
        <w:separator/>
      </w:r>
    </w:p>
  </w:footnote>
  <w:footnote w:type="continuationSeparator" w:id="0">
    <w:p w14:paraId="392696C2" w14:textId="77777777" w:rsidR="00CB044C" w:rsidRDefault="00CB0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B84D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C0963"/>
    <w:multiLevelType w:val="hybridMultilevel"/>
    <w:tmpl w:val="73A055D8"/>
    <w:lvl w:ilvl="0" w:tplc="FCC840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5238719">
    <w:abstractNumId w:val="24"/>
  </w:num>
  <w:num w:numId="2" w16cid:durableId="1159736154">
    <w:abstractNumId w:val="24"/>
  </w:num>
  <w:num w:numId="3" w16cid:durableId="1458792419">
    <w:abstractNumId w:val="19"/>
  </w:num>
  <w:num w:numId="4" w16cid:durableId="2021085111">
    <w:abstractNumId w:val="19"/>
  </w:num>
  <w:num w:numId="5" w16cid:durableId="989214683">
    <w:abstractNumId w:val="36"/>
  </w:num>
  <w:num w:numId="6" w16cid:durableId="857618430">
    <w:abstractNumId w:val="32"/>
  </w:num>
  <w:num w:numId="7" w16cid:durableId="847060164">
    <w:abstractNumId w:val="36"/>
  </w:num>
  <w:num w:numId="8" w16cid:durableId="1278099204">
    <w:abstractNumId w:val="32"/>
  </w:num>
  <w:num w:numId="9" w16cid:durableId="1468276203">
    <w:abstractNumId w:val="36"/>
  </w:num>
  <w:num w:numId="10" w16cid:durableId="507986858">
    <w:abstractNumId w:val="32"/>
  </w:num>
  <w:num w:numId="11" w16cid:durableId="960693016">
    <w:abstractNumId w:val="15"/>
  </w:num>
  <w:num w:numId="12" w16cid:durableId="874149587">
    <w:abstractNumId w:val="10"/>
  </w:num>
  <w:num w:numId="13" w16cid:durableId="1664890551">
    <w:abstractNumId w:val="16"/>
  </w:num>
  <w:num w:numId="14" w16cid:durableId="422065980">
    <w:abstractNumId w:val="27"/>
  </w:num>
  <w:num w:numId="15" w16cid:durableId="950622560">
    <w:abstractNumId w:val="15"/>
  </w:num>
  <w:num w:numId="16" w16cid:durableId="273293244">
    <w:abstractNumId w:val="17"/>
  </w:num>
  <w:num w:numId="17" w16cid:durableId="2086760163">
    <w:abstractNumId w:val="8"/>
  </w:num>
  <w:num w:numId="18" w16cid:durableId="1112942185">
    <w:abstractNumId w:val="3"/>
  </w:num>
  <w:num w:numId="19" w16cid:durableId="1957129120">
    <w:abstractNumId w:val="2"/>
  </w:num>
  <w:num w:numId="20" w16cid:durableId="130487893">
    <w:abstractNumId w:val="1"/>
  </w:num>
  <w:num w:numId="21" w16cid:durableId="1677030034">
    <w:abstractNumId w:val="0"/>
  </w:num>
  <w:num w:numId="22" w16cid:durableId="2056708">
    <w:abstractNumId w:val="9"/>
  </w:num>
  <w:num w:numId="23" w16cid:durableId="109055689">
    <w:abstractNumId w:val="7"/>
  </w:num>
  <w:num w:numId="24" w16cid:durableId="369427467">
    <w:abstractNumId w:val="6"/>
  </w:num>
  <w:num w:numId="25" w16cid:durableId="857431208">
    <w:abstractNumId w:val="5"/>
  </w:num>
  <w:num w:numId="26" w16cid:durableId="1847556557">
    <w:abstractNumId w:val="4"/>
  </w:num>
  <w:num w:numId="27" w16cid:durableId="1932009003">
    <w:abstractNumId w:val="34"/>
  </w:num>
  <w:num w:numId="28" w16cid:durableId="1117412845">
    <w:abstractNumId w:val="26"/>
  </w:num>
  <w:num w:numId="29" w16cid:durableId="506990220">
    <w:abstractNumId w:val="37"/>
  </w:num>
  <w:num w:numId="30" w16cid:durableId="1090005996">
    <w:abstractNumId w:val="33"/>
  </w:num>
  <w:num w:numId="31" w16cid:durableId="910845572">
    <w:abstractNumId w:val="20"/>
  </w:num>
  <w:num w:numId="32" w16cid:durableId="535503913">
    <w:abstractNumId w:val="11"/>
  </w:num>
  <w:num w:numId="33" w16cid:durableId="2003196542">
    <w:abstractNumId w:val="31"/>
  </w:num>
  <w:num w:numId="34" w16cid:durableId="287131104">
    <w:abstractNumId w:val="21"/>
  </w:num>
  <w:num w:numId="35" w16cid:durableId="1474786746">
    <w:abstractNumId w:val="18"/>
  </w:num>
  <w:num w:numId="36" w16cid:durableId="690037763">
    <w:abstractNumId w:val="23"/>
  </w:num>
  <w:num w:numId="37" w16cid:durableId="713233021">
    <w:abstractNumId w:val="28"/>
  </w:num>
  <w:num w:numId="38" w16cid:durableId="530385780">
    <w:abstractNumId w:val="25"/>
  </w:num>
  <w:num w:numId="39" w16cid:durableId="236286111">
    <w:abstractNumId w:val="14"/>
  </w:num>
  <w:num w:numId="40" w16cid:durableId="1280915405">
    <w:abstractNumId w:val="30"/>
  </w:num>
  <w:num w:numId="41" w16cid:durableId="1967856928">
    <w:abstractNumId w:val="29"/>
  </w:num>
  <w:num w:numId="42" w16cid:durableId="67650852">
    <w:abstractNumId w:val="22"/>
  </w:num>
  <w:num w:numId="43" w16cid:durableId="1432356466">
    <w:abstractNumId w:val="35"/>
  </w:num>
  <w:num w:numId="44" w16cid:durableId="2099672653">
    <w:abstractNumId w:val="12"/>
  </w:num>
  <w:num w:numId="45" w16cid:durableId="13613159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9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6A35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59C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9C3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D53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2F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44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BB1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ED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59C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F2773A-1715-4298-8253-F98C68002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2022-11-10T10:52:00Z</dcterms:created>
  <dcterms:modified xsi:type="dcterms:W3CDTF">2022-11-10T10:52:00Z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