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CCE15" w14:textId="51FD640A" w:rsidR="00A632E0" w:rsidRPr="00EE5AF1" w:rsidRDefault="00511FA8" w:rsidP="007639A6">
      <w:pPr>
        <w:spacing w:after="0" w:line="276" w:lineRule="auto"/>
        <w:ind w:right="-360"/>
        <w:jc w:val="center"/>
        <w:rPr>
          <w:rFonts w:ascii="Times New Roman" w:eastAsia="Times New Roman" w:hAnsi="Times New Roman" w:cs="Times New Roman"/>
          <w:caps/>
          <w:color w:val="000000"/>
          <w:spacing w:val="8"/>
          <w:sz w:val="24"/>
          <w:szCs w:val="24"/>
          <w:lang w:eastAsia="pl-PL"/>
        </w:rPr>
      </w:pPr>
      <w:r w:rsidRPr="00EE5AF1">
        <w:rPr>
          <w:rFonts w:ascii="Times New Roman" w:eastAsia="Times New Roman" w:hAnsi="Times New Roman" w:cs="Times New Roman"/>
          <w:caps/>
          <w:color w:val="000000"/>
          <w:spacing w:val="8"/>
          <w:sz w:val="24"/>
          <w:szCs w:val="24"/>
          <w:lang w:eastAsia="pl-PL"/>
        </w:rPr>
        <w:t>Uzasadnienie</w:t>
      </w:r>
    </w:p>
    <w:p w14:paraId="00F3C77A" w14:textId="77777777" w:rsidR="008D7005" w:rsidRPr="001D65D1" w:rsidRDefault="008D7005" w:rsidP="007639A6">
      <w:pPr>
        <w:spacing w:after="0" w:line="276" w:lineRule="auto"/>
        <w:ind w:right="-360"/>
        <w:jc w:val="center"/>
        <w:rPr>
          <w:rFonts w:ascii="Times New Roman" w:hAnsi="Times New Roman" w:cs="Times New Roman"/>
          <w:sz w:val="24"/>
          <w:szCs w:val="24"/>
        </w:rPr>
      </w:pPr>
    </w:p>
    <w:p w14:paraId="5A6F6D34" w14:textId="13CEEEA2" w:rsidR="001D65D1" w:rsidRPr="001D65D1" w:rsidRDefault="001D65D1" w:rsidP="007639A6">
      <w:pPr>
        <w:widowControl w:val="0"/>
        <w:autoSpaceDE w:val="0"/>
        <w:autoSpaceDN w:val="0"/>
        <w:adjustRightInd w:val="0"/>
        <w:spacing w:after="0" w:line="276" w:lineRule="auto"/>
        <w:jc w:val="both"/>
        <w:rPr>
          <w:rFonts w:ascii="Times New Roman" w:hAnsi="Times New Roman" w:cs="Times New Roman"/>
          <w:b/>
          <w:bCs/>
          <w:sz w:val="24"/>
          <w:szCs w:val="24"/>
        </w:rPr>
      </w:pPr>
      <w:r w:rsidRPr="001D65D1">
        <w:rPr>
          <w:rFonts w:ascii="Times New Roman" w:hAnsi="Times New Roman" w:cs="Times New Roman"/>
          <w:b/>
          <w:bCs/>
          <w:sz w:val="24"/>
          <w:szCs w:val="24"/>
        </w:rPr>
        <w:t>1. Potrzeba i cel wydania aktu prawnego</w:t>
      </w:r>
    </w:p>
    <w:p w14:paraId="1307337E" w14:textId="4254C394" w:rsidR="00A4667E" w:rsidRPr="00D55AA9" w:rsidRDefault="00A4667E" w:rsidP="007639A6">
      <w:pPr>
        <w:widowControl w:val="0"/>
        <w:spacing w:before="120" w:after="120" w:line="276" w:lineRule="auto"/>
        <w:jc w:val="both"/>
        <w:rPr>
          <w:rFonts w:ascii="Times New Roman" w:hAnsi="Times New Roman" w:cs="Times New Roman"/>
          <w:color w:val="000000"/>
          <w:sz w:val="24"/>
          <w:szCs w:val="24"/>
        </w:rPr>
      </w:pPr>
      <w:r>
        <w:rPr>
          <w:rFonts w:ascii="Times New Roman" w:hAnsi="Times New Roman"/>
          <w:color w:val="000000"/>
          <w:sz w:val="24"/>
          <w:szCs w:val="24"/>
        </w:rPr>
        <w:t>W</w:t>
      </w:r>
      <w:r w:rsidRPr="00F15C51">
        <w:rPr>
          <w:rFonts w:ascii="Times New Roman" w:hAnsi="Times New Roman"/>
          <w:color w:val="000000"/>
          <w:sz w:val="24"/>
          <w:szCs w:val="24"/>
        </w:rPr>
        <w:t xml:space="preserve">zrost cen </w:t>
      </w:r>
      <w:r>
        <w:rPr>
          <w:rFonts w:ascii="Times New Roman" w:hAnsi="Times New Roman"/>
          <w:color w:val="000000"/>
          <w:sz w:val="24"/>
          <w:szCs w:val="24"/>
        </w:rPr>
        <w:t>paliw gazowych</w:t>
      </w:r>
      <w:r w:rsidRPr="00F15C51">
        <w:rPr>
          <w:rFonts w:ascii="Times New Roman" w:hAnsi="Times New Roman"/>
          <w:color w:val="000000"/>
          <w:sz w:val="24"/>
          <w:szCs w:val="24"/>
        </w:rPr>
        <w:t xml:space="preserve"> na rynku krajowym i zagranicznym w 2022 r</w:t>
      </w:r>
      <w:r>
        <w:rPr>
          <w:rFonts w:ascii="Times New Roman" w:hAnsi="Times New Roman"/>
          <w:color w:val="000000"/>
          <w:sz w:val="24"/>
          <w:szCs w:val="24"/>
        </w:rPr>
        <w:t>.</w:t>
      </w:r>
      <w:r w:rsidRPr="00F15C51">
        <w:rPr>
          <w:rFonts w:ascii="Times New Roman" w:hAnsi="Times New Roman"/>
          <w:color w:val="000000"/>
          <w:sz w:val="24"/>
          <w:szCs w:val="24"/>
        </w:rPr>
        <w:t xml:space="preserve"> jest wynikiem oddziaływania </w:t>
      </w:r>
      <w:r w:rsidR="003F6B96">
        <w:rPr>
          <w:rFonts w:ascii="Times New Roman" w:hAnsi="Times New Roman"/>
          <w:color w:val="000000"/>
          <w:sz w:val="24"/>
          <w:szCs w:val="24"/>
        </w:rPr>
        <w:t>kilku</w:t>
      </w:r>
      <w:r w:rsidRPr="00F15C51">
        <w:rPr>
          <w:rFonts w:ascii="Times New Roman" w:hAnsi="Times New Roman"/>
          <w:color w:val="000000"/>
          <w:sz w:val="24"/>
          <w:szCs w:val="24"/>
        </w:rPr>
        <w:t xml:space="preserve"> nakładających się na siebie czynników</w:t>
      </w:r>
      <w:r w:rsidR="003F6B96">
        <w:rPr>
          <w:rFonts w:ascii="Times New Roman" w:hAnsi="Times New Roman"/>
          <w:color w:val="000000"/>
          <w:sz w:val="24"/>
          <w:szCs w:val="24"/>
        </w:rPr>
        <w:t>.</w:t>
      </w:r>
      <w:r w:rsidRPr="00F15C51">
        <w:rPr>
          <w:rFonts w:ascii="Times New Roman" w:hAnsi="Times New Roman"/>
          <w:color w:val="000000"/>
          <w:sz w:val="24"/>
          <w:szCs w:val="24"/>
        </w:rPr>
        <w:t xml:space="preserve"> </w:t>
      </w:r>
      <w:r w:rsidR="003F6B96">
        <w:rPr>
          <w:rFonts w:ascii="Times New Roman" w:hAnsi="Times New Roman"/>
          <w:color w:val="000000"/>
          <w:sz w:val="24"/>
          <w:szCs w:val="24"/>
        </w:rPr>
        <w:t>G</w:t>
      </w:r>
      <w:r w:rsidRPr="00F15C51">
        <w:rPr>
          <w:rFonts w:ascii="Times New Roman" w:hAnsi="Times New Roman"/>
          <w:color w:val="000000"/>
          <w:sz w:val="24"/>
          <w:szCs w:val="24"/>
        </w:rPr>
        <w:t>łówne</w:t>
      </w:r>
      <w:r w:rsidR="003F6B96">
        <w:rPr>
          <w:rFonts w:ascii="Times New Roman" w:hAnsi="Times New Roman"/>
          <w:color w:val="000000"/>
          <w:sz w:val="24"/>
          <w:szCs w:val="24"/>
        </w:rPr>
        <w:t xml:space="preserve"> znaczenie przypisać należy </w:t>
      </w:r>
      <w:r w:rsidRPr="00F15C51">
        <w:rPr>
          <w:rFonts w:ascii="Times New Roman" w:hAnsi="Times New Roman"/>
          <w:color w:val="000000"/>
          <w:sz w:val="24"/>
          <w:szCs w:val="24"/>
        </w:rPr>
        <w:t>inwazj</w:t>
      </w:r>
      <w:r w:rsidR="003F6B96">
        <w:rPr>
          <w:rFonts w:ascii="Times New Roman" w:hAnsi="Times New Roman"/>
          <w:color w:val="000000"/>
          <w:sz w:val="24"/>
          <w:szCs w:val="24"/>
        </w:rPr>
        <w:t>i</w:t>
      </w:r>
      <w:r w:rsidRPr="00F15C51">
        <w:rPr>
          <w:rFonts w:ascii="Times New Roman" w:hAnsi="Times New Roman"/>
          <w:color w:val="000000"/>
          <w:sz w:val="24"/>
          <w:szCs w:val="24"/>
        </w:rPr>
        <w:t xml:space="preserve"> zbrojn</w:t>
      </w:r>
      <w:r w:rsidR="003F6B96">
        <w:rPr>
          <w:rFonts w:ascii="Times New Roman" w:hAnsi="Times New Roman"/>
          <w:color w:val="000000"/>
          <w:sz w:val="24"/>
          <w:szCs w:val="24"/>
        </w:rPr>
        <w:t>ej</w:t>
      </w:r>
      <w:r w:rsidRPr="00F15C51">
        <w:rPr>
          <w:rFonts w:ascii="Times New Roman" w:hAnsi="Times New Roman"/>
          <w:color w:val="000000"/>
          <w:sz w:val="24"/>
          <w:szCs w:val="24"/>
        </w:rPr>
        <w:t xml:space="preserve"> Rosji </w:t>
      </w:r>
      <w:r w:rsidRPr="00D55AA9">
        <w:rPr>
          <w:rFonts w:ascii="Times New Roman" w:hAnsi="Times New Roman" w:cs="Times New Roman"/>
          <w:color w:val="000000"/>
          <w:sz w:val="24"/>
          <w:szCs w:val="24"/>
        </w:rPr>
        <w:t>na Ukrainę oraz ożywieni</w:t>
      </w:r>
      <w:r w:rsidR="003F6B96" w:rsidRPr="00D55AA9">
        <w:rPr>
          <w:rFonts w:ascii="Times New Roman" w:hAnsi="Times New Roman" w:cs="Times New Roman"/>
          <w:color w:val="000000"/>
          <w:sz w:val="24"/>
          <w:szCs w:val="24"/>
        </w:rPr>
        <w:t>u</w:t>
      </w:r>
      <w:r w:rsidRPr="00D55AA9">
        <w:rPr>
          <w:rFonts w:ascii="Times New Roman" w:hAnsi="Times New Roman" w:cs="Times New Roman"/>
          <w:color w:val="000000"/>
          <w:sz w:val="24"/>
          <w:szCs w:val="24"/>
        </w:rPr>
        <w:t xml:space="preserve"> gospodarcze</w:t>
      </w:r>
      <w:r w:rsidR="003F6B96" w:rsidRPr="00D55AA9">
        <w:rPr>
          <w:rFonts w:ascii="Times New Roman" w:hAnsi="Times New Roman" w:cs="Times New Roman"/>
          <w:color w:val="000000"/>
          <w:sz w:val="24"/>
          <w:szCs w:val="24"/>
        </w:rPr>
        <w:t>mu</w:t>
      </w:r>
      <w:r w:rsidRPr="00D55AA9">
        <w:rPr>
          <w:rFonts w:ascii="Times New Roman" w:hAnsi="Times New Roman" w:cs="Times New Roman"/>
          <w:color w:val="000000"/>
          <w:sz w:val="24"/>
          <w:szCs w:val="24"/>
        </w:rPr>
        <w:t xml:space="preserve"> po pandemii COVID-19. Działania rozpoczęte przez Federację Rosyjską </w:t>
      </w:r>
      <w:r w:rsidR="003F6B96" w:rsidRPr="00D55AA9">
        <w:rPr>
          <w:rFonts w:ascii="Times New Roman" w:hAnsi="Times New Roman" w:cs="Times New Roman"/>
          <w:color w:val="000000"/>
          <w:sz w:val="24"/>
          <w:szCs w:val="24"/>
        </w:rPr>
        <w:t>miały znaczący wpływ</w:t>
      </w:r>
      <w:r w:rsidRPr="00D55AA9">
        <w:rPr>
          <w:rFonts w:ascii="Times New Roman" w:hAnsi="Times New Roman" w:cs="Times New Roman"/>
          <w:color w:val="000000"/>
          <w:sz w:val="24"/>
          <w:szCs w:val="24"/>
        </w:rPr>
        <w:t xml:space="preserve"> na wysokość i</w:t>
      </w:r>
      <w:r w:rsidR="008758B1">
        <w:rPr>
          <w:rFonts w:ascii="Times New Roman" w:hAnsi="Times New Roman" w:cs="Times New Roman"/>
          <w:color w:val="000000"/>
          <w:sz w:val="24"/>
          <w:szCs w:val="24"/>
        </w:rPr>
        <w:t> </w:t>
      </w:r>
      <w:r w:rsidRPr="00D55AA9">
        <w:rPr>
          <w:rFonts w:ascii="Times New Roman" w:hAnsi="Times New Roman" w:cs="Times New Roman"/>
          <w:color w:val="000000"/>
          <w:sz w:val="24"/>
          <w:szCs w:val="24"/>
        </w:rPr>
        <w:t>nieprzewidywalność cen gazu i innych surowców. Trwająca przebudowa źródeł i kierunków dostaw paliw gazowych powoduje dodatkową presję wynikającą z kosztów dostosowani</w:t>
      </w:r>
      <w:bookmarkStart w:id="0" w:name="_GoBack"/>
      <w:bookmarkEnd w:id="0"/>
      <w:r w:rsidRPr="00D55AA9">
        <w:rPr>
          <w:rFonts w:ascii="Times New Roman" w:hAnsi="Times New Roman" w:cs="Times New Roman"/>
          <w:color w:val="000000"/>
          <w:sz w:val="24"/>
          <w:szCs w:val="24"/>
        </w:rPr>
        <w:t xml:space="preserve">a się przedsiębiorców do nowej sytuacji. </w:t>
      </w:r>
      <w:r w:rsidR="003F6B96" w:rsidRPr="00D55AA9">
        <w:rPr>
          <w:rFonts w:ascii="Times New Roman" w:hAnsi="Times New Roman" w:cs="Times New Roman"/>
          <w:color w:val="000000"/>
          <w:sz w:val="24"/>
          <w:szCs w:val="24"/>
        </w:rPr>
        <w:t>Wysokie c</w:t>
      </w:r>
      <w:r w:rsidRPr="00D55AA9">
        <w:rPr>
          <w:rFonts w:ascii="Times New Roman" w:hAnsi="Times New Roman" w:cs="Times New Roman"/>
          <w:color w:val="000000"/>
          <w:sz w:val="24"/>
          <w:szCs w:val="24"/>
        </w:rPr>
        <w:t>eny paliw gazowych ma</w:t>
      </w:r>
      <w:r w:rsidR="00873D94" w:rsidRPr="00D55AA9">
        <w:rPr>
          <w:rFonts w:ascii="Times New Roman" w:hAnsi="Times New Roman" w:cs="Times New Roman"/>
          <w:color w:val="000000"/>
          <w:sz w:val="24"/>
          <w:szCs w:val="24"/>
        </w:rPr>
        <w:t>ją</w:t>
      </w:r>
      <w:r w:rsidRPr="00D55AA9">
        <w:rPr>
          <w:rFonts w:ascii="Times New Roman" w:hAnsi="Times New Roman" w:cs="Times New Roman"/>
          <w:color w:val="000000"/>
          <w:sz w:val="24"/>
          <w:szCs w:val="24"/>
        </w:rPr>
        <w:t xml:space="preserve"> wpływ nie tylko na cały sektor gazowy, energetyczny i ciepłowniczy, ale także bezpośrednio na wszystkich obywateli oraz instytucje użyteczności publicznej, skutkując koniecznością pokrywania wyższych, często nieakceptowalnych wydatków na surowce, niezbędne do obsługi systemu grzewczego.</w:t>
      </w:r>
    </w:p>
    <w:p w14:paraId="68FA32E5" w14:textId="77777777" w:rsidR="003D722B" w:rsidRPr="00D55AA9" w:rsidRDefault="003D722B" w:rsidP="007639A6">
      <w:pPr>
        <w:widowControl w:val="0"/>
        <w:autoSpaceDE w:val="0"/>
        <w:autoSpaceDN w:val="0"/>
        <w:adjustRightInd w:val="0"/>
        <w:spacing w:line="276" w:lineRule="auto"/>
        <w:jc w:val="both"/>
        <w:rPr>
          <w:rFonts w:ascii="Times New Roman" w:hAnsi="Times New Roman" w:cs="Times New Roman"/>
          <w:sz w:val="24"/>
          <w:szCs w:val="24"/>
        </w:rPr>
      </w:pPr>
      <w:r w:rsidRPr="00D718CA">
        <w:rPr>
          <w:rFonts w:ascii="Times New Roman" w:hAnsi="Times New Roman" w:cs="Times New Roman"/>
          <w:i/>
          <w:iCs/>
          <w:sz w:val="24"/>
          <w:szCs w:val="24"/>
        </w:rPr>
        <w:t>Ustawą z dnia 26 stycznia 2022 r.</w:t>
      </w:r>
      <w:r w:rsidRPr="00D55AA9">
        <w:rPr>
          <w:rFonts w:ascii="Times New Roman" w:hAnsi="Times New Roman" w:cs="Times New Roman"/>
          <w:sz w:val="24"/>
          <w:szCs w:val="24"/>
        </w:rPr>
        <w:t xml:space="preserve"> </w:t>
      </w:r>
      <w:r w:rsidRPr="00D55AA9">
        <w:rPr>
          <w:rFonts w:ascii="Times New Roman" w:hAnsi="Times New Roman" w:cs="Times New Roman"/>
          <w:i/>
          <w:iCs/>
          <w:sz w:val="24"/>
          <w:szCs w:val="24"/>
        </w:rPr>
        <w:t>o szczególnych rozwiązaniach służących ochronie odbiorców paliw gazowych w związku z sytuacją na rynku gazu</w:t>
      </w:r>
      <w:r w:rsidRPr="00D55AA9">
        <w:rPr>
          <w:rFonts w:ascii="Times New Roman" w:hAnsi="Times New Roman" w:cs="Times New Roman"/>
          <w:sz w:val="24"/>
          <w:szCs w:val="24"/>
        </w:rPr>
        <w:t xml:space="preserve"> (Dz. U. z 2022 r. poz. 202, z późn. zm.) wprowadzono rozwiązania mające na celu ochronę </w:t>
      </w:r>
      <w:r>
        <w:rPr>
          <w:rFonts w:ascii="Times New Roman" w:hAnsi="Times New Roman" w:cs="Times New Roman"/>
          <w:sz w:val="24"/>
          <w:szCs w:val="24"/>
        </w:rPr>
        <w:t xml:space="preserve">w 2022 r. </w:t>
      </w:r>
      <w:r w:rsidRPr="00D55AA9">
        <w:rPr>
          <w:rFonts w:ascii="Times New Roman" w:hAnsi="Times New Roman" w:cs="Times New Roman"/>
          <w:sz w:val="24"/>
          <w:szCs w:val="24"/>
        </w:rPr>
        <w:t>odbiorców końcowych paliw gazowych, którzy są objęci taryfą</w:t>
      </w:r>
      <w:r w:rsidRPr="00D718CA">
        <w:rPr>
          <w:rFonts w:ascii="Times New Roman" w:hAnsi="Times New Roman" w:cs="Times New Roman"/>
          <w:sz w:val="24"/>
          <w:szCs w:val="24"/>
        </w:rPr>
        <w:t xml:space="preserve"> </w:t>
      </w:r>
      <w:r w:rsidRPr="00D55AA9">
        <w:rPr>
          <w:rFonts w:ascii="Times New Roman" w:hAnsi="Times New Roman" w:cs="Times New Roman"/>
          <w:sz w:val="24"/>
          <w:szCs w:val="24"/>
        </w:rPr>
        <w:t xml:space="preserve">dla paliw gazowych zatwierdzoną przez Prezesa Urzędu Regulacji Energetyki, zwanego dalej „Prezesem URE”. </w:t>
      </w:r>
    </w:p>
    <w:p w14:paraId="213F958E" w14:textId="245705D9" w:rsidR="00CD5A77" w:rsidRPr="00D55AA9" w:rsidRDefault="00CD5A77" w:rsidP="007639A6">
      <w:pPr>
        <w:pStyle w:val="ARTartustawynprozporzdzenia"/>
        <w:spacing w:line="276" w:lineRule="auto"/>
        <w:ind w:firstLine="0"/>
        <w:rPr>
          <w:rStyle w:val="Ppogrubienie"/>
          <w:rFonts w:ascii="Times New Roman" w:hAnsi="Times New Roman" w:cs="Times New Roman"/>
          <w:b w:val="0"/>
          <w:szCs w:val="24"/>
        </w:rPr>
      </w:pPr>
      <w:r w:rsidRPr="00D55AA9">
        <w:rPr>
          <w:rStyle w:val="Ppogrubienie"/>
          <w:rFonts w:ascii="Times New Roman" w:hAnsi="Times New Roman" w:cs="Times New Roman"/>
          <w:b w:val="0"/>
          <w:szCs w:val="24"/>
        </w:rPr>
        <w:t xml:space="preserve">W celu </w:t>
      </w:r>
      <w:r w:rsidR="00BE1913" w:rsidRPr="00D55AA9">
        <w:rPr>
          <w:rStyle w:val="Ppogrubienie"/>
          <w:rFonts w:ascii="Times New Roman" w:hAnsi="Times New Roman" w:cs="Times New Roman"/>
          <w:b w:val="0"/>
          <w:szCs w:val="24"/>
        </w:rPr>
        <w:t xml:space="preserve">dalszego </w:t>
      </w:r>
      <w:r w:rsidRPr="00D55AA9">
        <w:rPr>
          <w:rStyle w:val="Ppogrubienie"/>
          <w:rFonts w:ascii="Times New Roman" w:hAnsi="Times New Roman" w:cs="Times New Roman"/>
          <w:b w:val="0"/>
          <w:szCs w:val="24"/>
        </w:rPr>
        <w:t xml:space="preserve">zminimalizowania podwyżek cen paliwa gazowego dla najbardziej wrażliwych odbiorców, a także w celu zwiększenia bezpieczeństwa energetycznego państwa </w:t>
      </w:r>
      <w:r w:rsidR="008E3CAF">
        <w:rPr>
          <w:rStyle w:val="Ppogrubienie"/>
          <w:rFonts w:ascii="Times New Roman" w:hAnsi="Times New Roman" w:cs="Times New Roman"/>
          <w:b w:val="0"/>
          <w:szCs w:val="24"/>
        </w:rPr>
        <w:t>poprzez</w:t>
      </w:r>
      <w:r w:rsidRPr="00D55AA9">
        <w:rPr>
          <w:rStyle w:val="Ppogrubienie"/>
          <w:rFonts w:ascii="Times New Roman" w:hAnsi="Times New Roman" w:cs="Times New Roman"/>
          <w:b w:val="0"/>
          <w:szCs w:val="24"/>
        </w:rPr>
        <w:t xml:space="preserve"> zapewnieni</w:t>
      </w:r>
      <w:r w:rsidR="008E3CAF">
        <w:rPr>
          <w:rStyle w:val="Ppogrubienie"/>
          <w:rFonts w:ascii="Times New Roman" w:hAnsi="Times New Roman" w:cs="Times New Roman"/>
          <w:b w:val="0"/>
          <w:szCs w:val="24"/>
        </w:rPr>
        <w:t>e</w:t>
      </w:r>
      <w:r w:rsidRPr="00D55AA9">
        <w:rPr>
          <w:rStyle w:val="Ppogrubienie"/>
          <w:rFonts w:ascii="Times New Roman" w:hAnsi="Times New Roman" w:cs="Times New Roman"/>
          <w:b w:val="0"/>
          <w:szCs w:val="24"/>
        </w:rPr>
        <w:t xml:space="preserve"> odpowiedniego poziomu płynności spółkom gazowym </w:t>
      </w:r>
      <w:r w:rsidR="00BE1913" w:rsidRPr="00D55AA9">
        <w:rPr>
          <w:rStyle w:val="Ppogrubienie"/>
          <w:rFonts w:ascii="Times New Roman" w:hAnsi="Times New Roman" w:cs="Times New Roman"/>
          <w:b w:val="0"/>
          <w:szCs w:val="24"/>
        </w:rPr>
        <w:t>oraz</w:t>
      </w:r>
      <w:r w:rsidRPr="00D55AA9">
        <w:rPr>
          <w:rStyle w:val="Ppogrubienie"/>
          <w:rFonts w:ascii="Times New Roman" w:hAnsi="Times New Roman" w:cs="Times New Roman"/>
          <w:b w:val="0"/>
          <w:szCs w:val="24"/>
        </w:rPr>
        <w:t xml:space="preserve"> terminowego regulowania zobowiązań związanych z zapewnianiem płynności na rynku giełdowym, ciągłością dostaw energii lub pozostawaniem w gotowości do świadczenia usług sprzedawcy z</w:t>
      </w:r>
      <w:r w:rsidR="001F2F8A">
        <w:rPr>
          <w:rStyle w:val="Ppogrubienie"/>
          <w:rFonts w:ascii="Times New Roman" w:hAnsi="Times New Roman" w:cs="Times New Roman"/>
          <w:b w:val="0"/>
          <w:szCs w:val="24"/>
        </w:rPr>
        <w:t xml:space="preserve"> </w:t>
      </w:r>
      <w:r w:rsidRPr="00D55AA9">
        <w:rPr>
          <w:rStyle w:val="Ppogrubienie"/>
          <w:rFonts w:ascii="Times New Roman" w:hAnsi="Times New Roman" w:cs="Times New Roman"/>
          <w:b w:val="0"/>
          <w:szCs w:val="24"/>
        </w:rPr>
        <w:t xml:space="preserve">urzędu paliwa gazowego, istnieje konieczność </w:t>
      </w:r>
      <w:r w:rsidR="00BE1913" w:rsidRPr="00D55AA9">
        <w:rPr>
          <w:rStyle w:val="Ppogrubienie"/>
          <w:rFonts w:ascii="Times New Roman" w:hAnsi="Times New Roman" w:cs="Times New Roman"/>
          <w:b w:val="0"/>
          <w:szCs w:val="24"/>
        </w:rPr>
        <w:t>utrzymania</w:t>
      </w:r>
      <w:r w:rsidRPr="00D55AA9">
        <w:rPr>
          <w:rStyle w:val="Ppogrubienie"/>
          <w:rFonts w:ascii="Times New Roman" w:hAnsi="Times New Roman" w:cs="Times New Roman"/>
          <w:b w:val="0"/>
          <w:szCs w:val="24"/>
        </w:rPr>
        <w:t xml:space="preserve"> rozwiązań osłonowych</w:t>
      </w:r>
      <w:r w:rsidR="003D722B">
        <w:rPr>
          <w:rStyle w:val="Ppogrubienie"/>
          <w:rFonts w:ascii="Times New Roman" w:hAnsi="Times New Roman" w:cs="Times New Roman"/>
          <w:b w:val="0"/>
          <w:szCs w:val="24"/>
        </w:rPr>
        <w:t xml:space="preserve"> obowiązujących w 2022 r.</w:t>
      </w:r>
    </w:p>
    <w:p w14:paraId="1F59341E" w14:textId="3E590C95" w:rsidR="00CD5A77" w:rsidRPr="00D55AA9" w:rsidRDefault="00CD5A77" w:rsidP="007639A6">
      <w:pPr>
        <w:pStyle w:val="ARTartustawynprozporzdzenia"/>
        <w:spacing w:after="120" w:line="276" w:lineRule="auto"/>
        <w:ind w:firstLine="0"/>
        <w:rPr>
          <w:rStyle w:val="Ppogrubienie"/>
          <w:rFonts w:ascii="Times New Roman" w:hAnsi="Times New Roman" w:cs="Times New Roman"/>
          <w:b w:val="0"/>
          <w:szCs w:val="24"/>
        </w:rPr>
      </w:pPr>
      <w:r w:rsidRPr="00D55AA9">
        <w:rPr>
          <w:rStyle w:val="Ppogrubienie"/>
          <w:rFonts w:ascii="Times New Roman" w:hAnsi="Times New Roman" w:cs="Times New Roman"/>
          <w:b w:val="0"/>
          <w:szCs w:val="24"/>
        </w:rPr>
        <w:t xml:space="preserve">Przedkładany projekt ustawy pozwoli na </w:t>
      </w:r>
      <w:r w:rsidR="00BE1913" w:rsidRPr="00D55AA9">
        <w:rPr>
          <w:rStyle w:val="Ppogrubienie"/>
          <w:rFonts w:ascii="Times New Roman" w:hAnsi="Times New Roman" w:cs="Times New Roman"/>
          <w:b w:val="0"/>
          <w:szCs w:val="24"/>
        </w:rPr>
        <w:t>zapewnienie dostaw paliw gazowych na stabilnym poziomie cenowym oraz</w:t>
      </w:r>
      <w:r w:rsidRPr="00D55AA9">
        <w:rPr>
          <w:rStyle w:val="Ppogrubienie"/>
          <w:rFonts w:ascii="Times New Roman" w:hAnsi="Times New Roman" w:cs="Times New Roman"/>
          <w:b w:val="0"/>
          <w:szCs w:val="24"/>
        </w:rPr>
        <w:t xml:space="preserve"> </w:t>
      </w:r>
      <w:r w:rsidR="00EB49EA" w:rsidRPr="00D55AA9">
        <w:rPr>
          <w:rStyle w:val="Ppogrubienie"/>
          <w:rFonts w:ascii="Times New Roman" w:hAnsi="Times New Roman" w:cs="Times New Roman"/>
          <w:b w:val="0"/>
          <w:szCs w:val="24"/>
        </w:rPr>
        <w:t xml:space="preserve">stanowi instrument służący </w:t>
      </w:r>
      <w:r w:rsidR="00C012E6" w:rsidRPr="00D55AA9">
        <w:rPr>
          <w:rStyle w:val="Ppogrubienie"/>
          <w:rFonts w:ascii="Times New Roman" w:hAnsi="Times New Roman" w:cs="Times New Roman"/>
          <w:b w:val="0"/>
          <w:szCs w:val="24"/>
        </w:rPr>
        <w:t>zabezpiecz</w:t>
      </w:r>
      <w:r w:rsidR="00EB49EA" w:rsidRPr="00D55AA9">
        <w:rPr>
          <w:rStyle w:val="Ppogrubienie"/>
          <w:rFonts w:ascii="Times New Roman" w:hAnsi="Times New Roman" w:cs="Times New Roman"/>
          <w:b w:val="0"/>
          <w:szCs w:val="24"/>
        </w:rPr>
        <w:t>eniu i utrzymaniu</w:t>
      </w:r>
      <w:r w:rsidR="00BE1913" w:rsidRPr="00D55AA9">
        <w:rPr>
          <w:rStyle w:val="Ppogrubienie"/>
          <w:rFonts w:ascii="Times New Roman" w:hAnsi="Times New Roman" w:cs="Times New Roman"/>
          <w:b w:val="0"/>
          <w:szCs w:val="24"/>
        </w:rPr>
        <w:t xml:space="preserve"> płynnoś</w:t>
      </w:r>
      <w:r w:rsidR="00EB49EA" w:rsidRPr="00D55AA9">
        <w:rPr>
          <w:rStyle w:val="Ppogrubienie"/>
          <w:rFonts w:ascii="Times New Roman" w:hAnsi="Times New Roman" w:cs="Times New Roman"/>
          <w:b w:val="0"/>
          <w:szCs w:val="24"/>
        </w:rPr>
        <w:t>ci</w:t>
      </w:r>
      <w:r w:rsidR="00BE1913" w:rsidRPr="00D55AA9">
        <w:rPr>
          <w:rStyle w:val="Ppogrubienie"/>
          <w:rFonts w:ascii="Times New Roman" w:hAnsi="Times New Roman" w:cs="Times New Roman"/>
          <w:b w:val="0"/>
          <w:szCs w:val="24"/>
        </w:rPr>
        <w:t xml:space="preserve"> finansow</w:t>
      </w:r>
      <w:r w:rsidR="00EB49EA" w:rsidRPr="00D55AA9">
        <w:rPr>
          <w:rStyle w:val="Ppogrubienie"/>
          <w:rFonts w:ascii="Times New Roman" w:hAnsi="Times New Roman" w:cs="Times New Roman"/>
          <w:b w:val="0"/>
          <w:szCs w:val="24"/>
        </w:rPr>
        <w:t>ej</w:t>
      </w:r>
      <w:r w:rsidR="00BE1913" w:rsidRPr="00D55AA9">
        <w:rPr>
          <w:rStyle w:val="Ppogrubienie"/>
          <w:rFonts w:ascii="Times New Roman" w:hAnsi="Times New Roman" w:cs="Times New Roman"/>
          <w:b w:val="0"/>
          <w:szCs w:val="24"/>
        </w:rPr>
        <w:t xml:space="preserve"> </w:t>
      </w:r>
      <w:r w:rsidR="00DF6C60" w:rsidRPr="00D55AA9">
        <w:rPr>
          <w:rStyle w:val="Ppogrubienie"/>
          <w:rFonts w:ascii="Times New Roman" w:hAnsi="Times New Roman" w:cs="Times New Roman"/>
          <w:b w:val="0"/>
          <w:szCs w:val="24"/>
        </w:rPr>
        <w:t>przedsiębiorstw</w:t>
      </w:r>
      <w:r w:rsidR="00BE1913" w:rsidRPr="00D55AA9">
        <w:rPr>
          <w:rStyle w:val="Ppogrubienie"/>
          <w:rFonts w:ascii="Times New Roman" w:hAnsi="Times New Roman" w:cs="Times New Roman"/>
          <w:b w:val="0"/>
          <w:szCs w:val="24"/>
        </w:rPr>
        <w:t xml:space="preserve"> energetycznych</w:t>
      </w:r>
      <w:r w:rsidR="008E3CAF">
        <w:rPr>
          <w:rStyle w:val="Ppogrubienie"/>
          <w:rFonts w:ascii="Times New Roman" w:hAnsi="Times New Roman" w:cs="Times New Roman"/>
          <w:b w:val="0"/>
          <w:szCs w:val="24"/>
        </w:rPr>
        <w:t>. W</w:t>
      </w:r>
      <w:r w:rsidR="007C6262">
        <w:rPr>
          <w:rStyle w:val="Ppogrubienie"/>
          <w:rFonts w:ascii="Times New Roman" w:hAnsi="Times New Roman" w:cs="Times New Roman"/>
          <w:b w:val="0"/>
          <w:szCs w:val="24"/>
        </w:rPr>
        <w:t xml:space="preserve"> </w:t>
      </w:r>
      <w:r w:rsidR="00C012E6" w:rsidRPr="00D55AA9">
        <w:rPr>
          <w:rStyle w:val="Ppogrubienie"/>
          <w:rFonts w:ascii="Times New Roman" w:hAnsi="Times New Roman" w:cs="Times New Roman"/>
          <w:b w:val="0"/>
          <w:szCs w:val="24"/>
        </w:rPr>
        <w:t>konsekwencji pozytywnie wpłynie</w:t>
      </w:r>
      <w:r w:rsidRPr="00D55AA9">
        <w:rPr>
          <w:rStyle w:val="Ppogrubienie"/>
          <w:rFonts w:ascii="Times New Roman" w:hAnsi="Times New Roman" w:cs="Times New Roman"/>
          <w:b w:val="0"/>
          <w:szCs w:val="24"/>
        </w:rPr>
        <w:t xml:space="preserve"> </w:t>
      </w:r>
      <w:r w:rsidR="00C012E6" w:rsidRPr="00D55AA9">
        <w:rPr>
          <w:rStyle w:val="Ppogrubienie"/>
          <w:rFonts w:ascii="Times New Roman" w:hAnsi="Times New Roman" w:cs="Times New Roman"/>
          <w:b w:val="0"/>
          <w:szCs w:val="24"/>
        </w:rPr>
        <w:t xml:space="preserve">na stabilność </w:t>
      </w:r>
      <w:r w:rsidRPr="00D55AA9">
        <w:rPr>
          <w:rStyle w:val="Ppogrubienie"/>
          <w:rFonts w:ascii="Times New Roman" w:hAnsi="Times New Roman" w:cs="Times New Roman"/>
          <w:b w:val="0"/>
          <w:szCs w:val="24"/>
        </w:rPr>
        <w:t>energetyczn</w:t>
      </w:r>
      <w:r w:rsidR="00C012E6" w:rsidRPr="00D55AA9">
        <w:rPr>
          <w:rStyle w:val="Ppogrubienie"/>
          <w:rFonts w:ascii="Times New Roman" w:hAnsi="Times New Roman" w:cs="Times New Roman"/>
          <w:b w:val="0"/>
          <w:szCs w:val="24"/>
        </w:rPr>
        <w:t>ą</w:t>
      </w:r>
      <w:r w:rsidRPr="00D55AA9">
        <w:rPr>
          <w:rStyle w:val="Ppogrubienie"/>
          <w:rFonts w:ascii="Times New Roman" w:hAnsi="Times New Roman" w:cs="Times New Roman"/>
          <w:b w:val="0"/>
          <w:szCs w:val="24"/>
        </w:rPr>
        <w:t xml:space="preserve"> Polski</w:t>
      </w:r>
      <w:r w:rsidR="00DF6C60" w:rsidRPr="00D55AA9">
        <w:rPr>
          <w:rStyle w:val="Ppogrubienie"/>
          <w:rFonts w:ascii="Times New Roman" w:hAnsi="Times New Roman" w:cs="Times New Roman"/>
          <w:b w:val="0"/>
          <w:szCs w:val="24"/>
        </w:rPr>
        <w:t>.</w:t>
      </w:r>
    </w:p>
    <w:p w14:paraId="7D1203A8" w14:textId="197A065E" w:rsidR="00E41647" w:rsidRPr="00D55AA9" w:rsidRDefault="00E41647" w:rsidP="007639A6">
      <w:pPr>
        <w:widowControl w:val="0"/>
        <w:autoSpaceDE w:val="0"/>
        <w:autoSpaceDN w:val="0"/>
        <w:adjustRightInd w:val="0"/>
        <w:spacing w:line="276" w:lineRule="auto"/>
        <w:jc w:val="both"/>
        <w:rPr>
          <w:rFonts w:ascii="Times New Roman" w:hAnsi="Times New Roman" w:cs="Times New Roman"/>
          <w:sz w:val="24"/>
          <w:szCs w:val="24"/>
        </w:rPr>
      </w:pPr>
      <w:r w:rsidRPr="00D55AA9">
        <w:rPr>
          <w:rFonts w:ascii="Times New Roman" w:hAnsi="Times New Roman" w:cs="Times New Roman"/>
          <w:sz w:val="24"/>
          <w:szCs w:val="24"/>
        </w:rPr>
        <w:t>Przedmiotowy projekt</w:t>
      </w:r>
      <w:r w:rsidR="00D55AA9">
        <w:rPr>
          <w:rFonts w:ascii="Times New Roman" w:hAnsi="Times New Roman" w:cs="Times New Roman"/>
          <w:sz w:val="24"/>
          <w:szCs w:val="24"/>
        </w:rPr>
        <w:t xml:space="preserve"> ustawy</w:t>
      </w:r>
      <w:r w:rsidRPr="00D55AA9">
        <w:rPr>
          <w:rFonts w:ascii="Times New Roman" w:hAnsi="Times New Roman" w:cs="Times New Roman"/>
          <w:sz w:val="24"/>
          <w:szCs w:val="24"/>
        </w:rPr>
        <w:t xml:space="preserve"> stanowi kontynuację działań mających na celu ochronę</w:t>
      </w:r>
      <w:r w:rsidR="00D55AA9">
        <w:rPr>
          <w:rFonts w:ascii="Times New Roman" w:hAnsi="Times New Roman" w:cs="Times New Roman"/>
          <w:sz w:val="24"/>
          <w:szCs w:val="24"/>
        </w:rPr>
        <w:t xml:space="preserve"> tych odbiorców </w:t>
      </w:r>
      <w:r w:rsidR="00CB5879" w:rsidRPr="00D55AA9">
        <w:rPr>
          <w:rFonts w:ascii="Times New Roman" w:hAnsi="Times New Roman" w:cs="Times New Roman"/>
          <w:sz w:val="24"/>
          <w:szCs w:val="24"/>
        </w:rPr>
        <w:t>w 2023 r.</w:t>
      </w:r>
      <w:r w:rsidRPr="00D55AA9">
        <w:rPr>
          <w:rFonts w:ascii="Times New Roman" w:hAnsi="Times New Roman" w:cs="Times New Roman"/>
          <w:sz w:val="24"/>
          <w:szCs w:val="24"/>
        </w:rPr>
        <w:t xml:space="preserve"> Dzięki wprowadzanym rozwiązaniom ww. odbiorcy zostaną zabezpieczeni przed skutkami kryzysu gazowego.</w:t>
      </w:r>
      <w:r w:rsidR="00CB5879" w:rsidRPr="00D55AA9">
        <w:rPr>
          <w:rFonts w:ascii="Times New Roman" w:hAnsi="Times New Roman" w:cs="Times New Roman"/>
          <w:sz w:val="24"/>
          <w:szCs w:val="24"/>
        </w:rPr>
        <w:t xml:space="preserve"> </w:t>
      </w:r>
      <w:r w:rsidR="00D718CA">
        <w:rPr>
          <w:rFonts w:ascii="Times New Roman" w:hAnsi="Times New Roman" w:cs="Times New Roman"/>
          <w:sz w:val="24"/>
          <w:szCs w:val="24"/>
        </w:rPr>
        <w:t>Projekt z</w:t>
      </w:r>
      <w:r w:rsidR="00CB5879" w:rsidRPr="00D55AA9">
        <w:rPr>
          <w:rFonts w:ascii="Times New Roman" w:hAnsi="Times New Roman" w:cs="Times New Roman"/>
          <w:sz w:val="24"/>
          <w:szCs w:val="24"/>
        </w:rPr>
        <w:t xml:space="preserve">achowuje równowagę pomiędzy potrzebami podmiotów chronionych </w:t>
      </w:r>
      <w:r w:rsidR="003D722B">
        <w:rPr>
          <w:rFonts w:ascii="Times New Roman" w:hAnsi="Times New Roman" w:cs="Times New Roman"/>
          <w:sz w:val="24"/>
          <w:szCs w:val="24"/>
        </w:rPr>
        <w:t>oraz łącznymi kosztami systemu wsparcia</w:t>
      </w:r>
      <w:r w:rsidR="00CB5879" w:rsidRPr="00D55AA9">
        <w:rPr>
          <w:rFonts w:ascii="Times New Roman" w:hAnsi="Times New Roman" w:cs="Times New Roman"/>
          <w:sz w:val="24"/>
          <w:szCs w:val="24"/>
        </w:rPr>
        <w:t xml:space="preserve">. </w:t>
      </w:r>
    </w:p>
    <w:p w14:paraId="6D6B14AA" w14:textId="57303CDB" w:rsidR="00E41647" w:rsidRPr="00D55AA9" w:rsidRDefault="00E41647" w:rsidP="007639A6">
      <w:pPr>
        <w:widowControl w:val="0"/>
        <w:autoSpaceDE w:val="0"/>
        <w:autoSpaceDN w:val="0"/>
        <w:adjustRightInd w:val="0"/>
        <w:spacing w:after="0" w:line="276" w:lineRule="auto"/>
        <w:jc w:val="both"/>
        <w:rPr>
          <w:rFonts w:ascii="Times New Roman" w:hAnsi="Times New Roman" w:cs="Times New Roman"/>
          <w:sz w:val="24"/>
          <w:szCs w:val="24"/>
        </w:rPr>
      </w:pPr>
      <w:r w:rsidRPr="00D55AA9">
        <w:rPr>
          <w:rFonts w:ascii="Times New Roman" w:hAnsi="Times New Roman" w:cs="Times New Roman"/>
          <w:sz w:val="24"/>
          <w:szCs w:val="24"/>
        </w:rPr>
        <w:t>Projekt ustawy zakłada wprowadzenie w 2023 r. mechanizmu polegającego na:</w:t>
      </w:r>
    </w:p>
    <w:p w14:paraId="13A00930" w14:textId="00EBF595" w:rsidR="00CB5879" w:rsidRDefault="00E41647" w:rsidP="007639A6">
      <w:pPr>
        <w:pStyle w:val="Akapitzlist"/>
        <w:widowControl w:val="0"/>
        <w:numPr>
          <w:ilvl w:val="0"/>
          <w:numId w:val="13"/>
        </w:numPr>
        <w:autoSpaceDE w:val="0"/>
        <w:autoSpaceDN w:val="0"/>
        <w:adjustRightInd w:val="0"/>
        <w:spacing w:after="0" w:line="276" w:lineRule="auto"/>
        <w:jc w:val="both"/>
        <w:rPr>
          <w:rFonts w:ascii="Times New Roman" w:hAnsi="Times New Roman" w:cs="Times New Roman"/>
          <w:sz w:val="24"/>
          <w:szCs w:val="24"/>
        </w:rPr>
      </w:pPr>
      <w:r w:rsidRPr="00D55AA9">
        <w:rPr>
          <w:rFonts w:ascii="Times New Roman" w:hAnsi="Times New Roman" w:cs="Times New Roman"/>
          <w:sz w:val="24"/>
          <w:szCs w:val="24"/>
        </w:rPr>
        <w:t xml:space="preserve">zagwarantowaniu odbiorcom </w:t>
      </w:r>
      <w:r w:rsidR="004A3350">
        <w:rPr>
          <w:rFonts w:ascii="Times New Roman" w:hAnsi="Times New Roman" w:cs="Times New Roman"/>
          <w:sz w:val="24"/>
          <w:szCs w:val="24"/>
        </w:rPr>
        <w:t xml:space="preserve">chronionym </w:t>
      </w:r>
      <w:r w:rsidRPr="00D55AA9">
        <w:rPr>
          <w:rFonts w:ascii="Times New Roman" w:hAnsi="Times New Roman" w:cs="Times New Roman"/>
          <w:sz w:val="24"/>
          <w:szCs w:val="24"/>
        </w:rPr>
        <w:t>paliw gazowych oraz odbiorcom realizującym zadania z zakresu użyteczności publicznej</w:t>
      </w:r>
      <w:r w:rsidR="00D55AA9">
        <w:rPr>
          <w:rFonts w:ascii="Times New Roman" w:hAnsi="Times New Roman" w:cs="Times New Roman"/>
          <w:sz w:val="24"/>
          <w:szCs w:val="24"/>
        </w:rPr>
        <w:t xml:space="preserve"> objętych taryfą,</w:t>
      </w:r>
      <w:r w:rsidRPr="00D55AA9">
        <w:rPr>
          <w:rFonts w:ascii="Times New Roman" w:hAnsi="Times New Roman" w:cs="Times New Roman"/>
          <w:sz w:val="24"/>
          <w:szCs w:val="24"/>
        </w:rPr>
        <w:t xml:space="preserve"> ceny maksymalnej paliw gazowych</w:t>
      </w:r>
      <w:r w:rsidR="004D5729">
        <w:rPr>
          <w:rFonts w:ascii="Times New Roman" w:hAnsi="Times New Roman" w:cs="Times New Roman"/>
          <w:sz w:val="24"/>
          <w:szCs w:val="24"/>
        </w:rPr>
        <w:t xml:space="preserve"> oraz </w:t>
      </w:r>
      <w:r w:rsidR="004D5729" w:rsidRPr="00936076">
        <w:rPr>
          <w:rFonts w:ascii="Times New Roman" w:hAnsi="Times New Roman" w:cs="Times New Roman"/>
          <w:sz w:val="24"/>
          <w:szCs w:val="24"/>
        </w:rPr>
        <w:t>staw</w:t>
      </w:r>
      <w:r w:rsidR="003D722B">
        <w:rPr>
          <w:rFonts w:ascii="Times New Roman" w:hAnsi="Times New Roman" w:cs="Times New Roman"/>
          <w:sz w:val="24"/>
          <w:szCs w:val="24"/>
        </w:rPr>
        <w:t>e</w:t>
      </w:r>
      <w:r w:rsidR="004D5729" w:rsidRPr="00936076">
        <w:rPr>
          <w:rFonts w:ascii="Times New Roman" w:hAnsi="Times New Roman" w:cs="Times New Roman"/>
          <w:sz w:val="24"/>
          <w:szCs w:val="24"/>
        </w:rPr>
        <w:t>k opłat usług dystrybucji paliw gazowych</w:t>
      </w:r>
      <w:r w:rsidR="003D722B">
        <w:rPr>
          <w:rFonts w:ascii="Times New Roman" w:hAnsi="Times New Roman" w:cs="Times New Roman"/>
          <w:sz w:val="24"/>
          <w:szCs w:val="24"/>
        </w:rPr>
        <w:t xml:space="preserve"> na poziomie nie wyższym niż te stosowane w 2022 r.</w:t>
      </w:r>
      <w:r w:rsidR="00CB5879" w:rsidRPr="00D718CA">
        <w:rPr>
          <w:rFonts w:ascii="Times New Roman" w:hAnsi="Times New Roman" w:cs="Times New Roman"/>
          <w:sz w:val="24"/>
          <w:szCs w:val="24"/>
        </w:rPr>
        <w:t>,</w:t>
      </w:r>
      <w:r w:rsidRPr="00D718CA">
        <w:rPr>
          <w:rFonts w:ascii="Times New Roman" w:hAnsi="Times New Roman" w:cs="Times New Roman"/>
          <w:sz w:val="24"/>
          <w:szCs w:val="24"/>
        </w:rPr>
        <w:t xml:space="preserve"> </w:t>
      </w:r>
    </w:p>
    <w:p w14:paraId="7738F80B" w14:textId="5ED36FD2" w:rsidR="00934194" w:rsidRPr="00D55AA9" w:rsidRDefault="00934194" w:rsidP="007639A6">
      <w:pPr>
        <w:pStyle w:val="Akapitzlist"/>
        <w:widowControl w:val="0"/>
        <w:numPr>
          <w:ilvl w:val="0"/>
          <w:numId w:val="13"/>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przyznaniu odbiorcom chronionym paliw gazowych, refundacji za poniesione koszty </w:t>
      </w:r>
      <w:r>
        <w:rPr>
          <w:rFonts w:ascii="Times New Roman" w:hAnsi="Times New Roman" w:cs="Times New Roman"/>
          <w:sz w:val="24"/>
          <w:szCs w:val="24"/>
        </w:rPr>
        <w:lastRenderedPageBreak/>
        <w:t xml:space="preserve">podatku od towarów i usług, </w:t>
      </w:r>
    </w:p>
    <w:p w14:paraId="4DE81FA1" w14:textId="77836FDD" w:rsidR="00CB5879" w:rsidRDefault="00CB5879" w:rsidP="007639A6">
      <w:pPr>
        <w:pStyle w:val="Akapitzlist"/>
        <w:widowControl w:val="0"/>
        <w:numPr>
          <w:ilvl w:val="0"/>
          <w:numId w:val="13"/>
        </w:numPr>
        <w:autoSpaceDE w:val="0"/>
        <w:autoSpaceDN w:val="0"/>
        <w:adjustRightInd w:val="0"/>
        <w:spacing w:after="0" w:line="276" w:lineRule="auto"/>
        <w:jc w:val="both"/>
        <w:rPr>
          <w:rFonts w:ascii="Times New Roman" w:hAnsi="Times New Roman" w:cs="Times New Roman"/>
          <w:sz w:val="24"/>
          <w:szCs w:val="24"/>
        </w:rPr>
      </w:pPr>
      <w:r w:rsidRPr="00D55AA9">
        <w:rPr>
          <w:rFonts w:ascii="Times New Roman" w:hAnsi="Times New Roman" w:cs="Times New Roman"/>
          <w:sz w:val="24"/>
          <w:szCs w:val="24"/>
        </w:rPr>
        <w:t>utrzymaniu mechanizmu rekompensat dla sprzedawców paliw gazowych, który służy zrekompensowaniu im skutków wprowadzenia ceny maksymalnej dla swoich odbiorców</w:t>
      </w:r>
      <w:r w:rsidR="00D55AA9" w:rsidRPr="00D55AA9">
        <w:rPr>
          <w:rFonts w:ascii="Times New Roman" w:hAnsi="Times New Roman" w:cs="Times New Roman"/>
          <w:sz w:val="24"/>
          <w:szCs w:val="24"/>
        </w:rPr>
        <w:t xml:space="preserve"> końcowych objętych taryfą</w:t>
      </w:r>
      <w:r w:rsidRPr="00D55AA9">
        <w:rPr>
          <w:rFonts w:ascii="Times New Roman" w:hAnsi="Times New Roman" w:cs="Times New Roman"/>
          <w:sz w:val="24"/>
          <w:szCs w:val="24"/>
        </w:rPr>
        <w:t>,</w:t>
      </w:r>
    </w:p>
    <w:p w14:paraId="08676EDE" w14:textId="40FCD7DE" w:rsidR="004D5729" w:rsidRPr="00D55AA9" w:rsidRDefault="004D5729" w:rsidP="007639A6">
      <w:pPr>
        <w:pStyle w:val="Akapitzlist"/>
        <w:widowControl w:val="0"/>
        <w:numPr>
          <w:ilvl w:val="0"/>
          <w:numId w:val="13"/>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wprowadzenie funkcjonującego równolegle mechanizmu rekompensat dla operatorów systemu dystrybucyjnego paliw gazowych,</w:t>
      </w:r>
    </w:p>
    <w:p w14:paraId="4500AADD" w14:textId="68C6D6AA" w:rsidR="00E41647" w:rsidRPr="00D55AA9" w:rsidRDefault="00E41647" w:rsidP="007639A6">
      <w:pPr>
        <w:pStyle w:val="Akapitzlist"/>
        <w:widowControl w:val="0"/>
        <w:numPr>
          <w:ilvl w:val="0"/>
          <w:numId w:val="13"/>
        </w:numPr>
        <w:autoSpaceDE w:val="0"/>
        <w:autoSpaceDN w:val="0"/>
        <w:adjustRightInd w:val="0"/>
        <w:spacing w:after="0" w:line="276" w:lineRule="auto"/>
        <w:jc w:val="both"/>
        <w:rPr>
          <w:rFonts w:ascii="Times New Roman" w:hAnsi="Times New Roman" w:cs="Times New Roman"/>
          <w:sz w:val="24"/>
          <w:szCs w:val="24"/>
        </w:rPr>
      </w:pPr>
      <w:r w:rsidRPr="00D718CA">
        <w:rPr>
          <w:rFonts w:ascii="Times New Roman" w:hAnsi="Times New Roman" w:cs="Times New Roman"/>
          <w:sz w:val="24"/>
          <w:szCs w:val="24"/>
        </w:rPr>
        <w:t>wzm</w:t>
      </w:r>
      <w:r w:rsidR="00D718CA">
        <w:rPr>
          <w:rFonts w:ascii="Times New Roman" w:hAnsi="Times New Roman" w:cs="Times New Roman"/>
          <w:sz w:val="24"/>
          <w:szCs w:val="24"/>
        </w:rPr>
        <w:t>ocnieniu</w:t>
      </w:r>
      <w:r w:rsidRPr="00D718CA">
        <w:rPr>
          <w:rFonts w:ascii="Times New Roman" w:hAnsi="Times New Roman" w:cs="Times New Roman"/>
          <w:sz w:val="24"/>
          <w:szCs w:val="24"/>
        </w:rPr>
        <w:t xml:space="preserve"> kontrol</w:t>
      </w:r>
      <w:r w:rsidR="00D718CA">
        <w:rPr>
          <w:rFonts w:ascii="Times New Roman" w:hAnsi="Times New Roman" w:cs="Times New Roman"/>
          <w:sz w:val="24"/>
          <w:szCs w:val="24"/>
        </w:rPr>
        <w:t>i</w:t>
      </w:r>
      <w:r w:rsidRPr="00D718CA">
        <w:rPr>
          <w:rFonts w:ascii="Times New Roman" w:hAnsi="Times New Roman" w:cs="Times New Roman"/>
          <w:sz w:val="24"/>
          <w:szCs w:val="24"/>
        </w:rPr>
        <w:t xml:space="preserve"> wydatkowania środków publicznych i usprawnia procedurę i nadzór sposobu gospodarowania. </w:t>
      </w:r>
    </w:p>
    <w:p w14:paraId="5E0A737D" w14:textId="77777777" w:rsidR="008D7005" w:rsidRDefault="008D7005" w:rsidP="007639A6">
      <w:pPr>
        <w:widowControl w:val="0"/>
        <w:autoSpaceDE w:val="0"/>
        <w:autoSpaceDN w:val="0"/>
        <w:adjustRightInd w:val="0"/>
        <w:spacing w:after="0" w:line="276" w:lineRule="auto"/>
        <w:jc w:val="both"/>
        <w:rPr>
          <w:rFonts w:ascii="Times New Roman" w:hAnsi="Times New Roman" w:cs="Times New Roman"/>
          <w:b/>
          <w:bCs/>
          <w:sz w:val="24"/>
          <w:szCs w:val="24"/>
        </w:rPr>
      </w:pPr>
    </w:p>
    <w:p w14:paraId="15C16B99" w14:textId="511F6B93" w:rsidR="007C6262" w:rsidRDefault="00D55AA9" w:rsidP="007639A6">
      <w:pPr>
        <w:widowControl w:val="0"/>
        <w:autoSpaceDE w:val="0"/>
        <w:autoSpaceDN w:val="0"/>
        <w:adjustRightInd w:val="0"/>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8C611B" w:rsidRPr="001D65D1">
        <w:rPr>
          <w:rFonts w:ascii="Times New Roman" w:hAnsi="Times New Roman" w:cs="Times New Roman"/>
          <w:b/>
          <w:bCs/>
          <w:sz w:val="24"/>
          <w:szCs w:val="24"/>
        </w:rPr>
        <w:t>.</w:t>
      </w:r>
      <w:r w:rsidR="008C611B" w:rsidRPr="001D65D1">
        <w:rPr>
          <w:rFonts w:ascii="Times New Roman" w:hAnsi="Times New Roman" w:cs="Times New Roman"/>
          <w:sz w:val="24"/>
          <w:szCs w:val="24"/>
        </w:rPr>
        <w:t xml:space="preserve"> </w:t>
      </w:r>
      <w:r w:rsidR="008C611B" w:rsidRPr="001D65D1">
        <w:rPr>
          <w:rFonts w:ascii="Times New Roman" w:hAnsi="Times New Roman" w:cs="Times New Roman"/>
          <w:b/>
          <w:bCs/>
          <w:sz w:val="24"/>
          <w:szCs w:val="24"/>
        </w:rPr>
        <w:t>Opis najważniejszych rozwiązań projektu ustawy</w:t>
      </w:r>
    </w:p>
    <w:p w14:paraId="45454D78" w14:textId="1B018C7D" w:rsidR="007E7ED4" w:rsidRDefault="007E7ED4" w:rsidP="007639A6">
      <w:pPr>
        <w:pStyle w:val="Default"/>
        <w:spacing w:line="276" w:lineRule="auto"/>
        <w:jc w:val="both"/>
        <w:rPr>
          <w:b/>
          <w:bCs/>
        </w:rPr>
      </w:pPr>
      <w:r w:rsidRPr="009E4BAA">
        <w:rPr>
          <w:b/>
          <w:bCs/>
        </w:rPr>
        <w:t>2.1. Ustalenie ceny maksymalnej paliw gazowych</w:t>
      </w:r>
      <w:r w:rsidR="003D722B">
        <w:rPr>
          <w:b/>
          <w:bCs/>
        </w:rPr>
        <w:t>,</w:t>
      </w:r>
      <w:r w:rsidR="004D5729" w:rsidRPr="00936076">
        <w:rPr>
          <w:b/>
          <w:bCs/>
        </w:rPr>
        <w:t xml:space="preserve"> </w:t>
      </w:r>
      <w:r w:rsidR="003D722B">
        <w:rPr>
          <w:b/>
          <w:bCs/>
        </w:rPr>
        <w:t xml:space="preserve">stosowanie </w:t>
      </w:r>
      <w:r w:rsidR="004D5729" w:rsidRPr="00936076">
        <w:rPr>
          <w:b/>
          <w:bCs/>
        </w:rPr>
        <w:t>staw</w:t>
      </w:r>
      <w:r w:rsidR="003D722B">
        <w:rPr>
          <w:b/>
          <w:bCs/>
        </w:rPr>
        <w:t>e</w:t>
      </w:r>
      <w:r w:rsidR="004D5729" w:rsidRPr="00936076">
        <w:rPr>
          <w:b/>
          <w:bCs/>
        </w:rPr>
        <w:t>k opłat usług dystrybucji paliw gazowych</w:t>
      </w:r>
      <w:r w:rsidR="003D722B">
        <w:rPr>
          <w:b/>
          <w:bCs/>
        </w:rPr>
        <w:t xml:space="preserve"> na poziomie z 2022 r. oraz</w:t>
      </w:r>
      <w:r w:rsidRPr="009E4BAA">
        <w:rPr>
          <w:b/>
          <w:bCs/>
        </w:rPr>
        <w:t xml:space="preserve"> system rekompensat dla przedsiębiorstw energetycznych</w:t>
      </w:r>
      <w:r w:rsidR="00642515">
        <w:rPr>
          <w:b/>
          <w:bCs/>
        </w:rPr>
        <w:t>, a także systemu refundacji podatku VAT</w:t>
      </w:r>
    </w:p>
    <w:p w14:paraId="7D4BD0C5" w14:textId="3EBBA473" w:rsidR="00A86DA7" w:rsidRDefault="00D55AA9" w:rsidP="007639A6">
      <w:pPr>
        <w:pStyle w:val="Default"/>
        <w:spacing w:line="276" w:lineRule="auto"/>
        <w:jc w:val="both"/>
      </w:pPr>
      <w:r>
        <w:t>Przedmiotowy projekt wprowadza</w:t>
      </w:r>
      <w:r w:rsidR="00955683">
        <w:t>, w</w:t>
      </w:r>
      <w:r w:rsidR="00955683" w:rsidRPr="00955683">
        <w:t xml:space="preserve"> okresie od dnia 1 stycznia 2023 r. do dnia 31 grudnia 2023 r.</w:t>
      </w:r>
      <w:r w:rsidR="00955683">
        <w:t>,</w:t>
      </w:r>
      <w:r>
        <w:t xml:space="preserve"> obowiązek stosowania</w:t>
      </w:r>
      <w:r w:rsidR="003E195C">
        <w:t xml:space="preserve"> przez sprzedawców paliw gazowych</w:t>
      </w:r>
      <w:r>
        <w:t xml:space="preserve"> w rozliczenia</w:t>
      </w:r>
      <w:r w:rsidR="003E195C">
        <w:t>ch</w:t>
      </w:r>
      <w:r>
        <w:t xml:space="preserve"> z</w:t>
      </w:r>
      <w:r w:rsidR="003E195C">
        <w:t xml:space="preserve"> odbiorcami końcowymi paliw gazowych, o których mowa w</w:t>
      </w:r>
      <w:r w:rsidR="003E195C" w:rsidRPr="003E195C">
        <w:t xml:space="preserve"> art. 62b ust. 1 pkt 2 ustawy z dnia 10 kwietnia 1997 r. – Prawo energetyczne (Dz. U. z 2022 r. poz. 1385</w:t>
      </w:r>
      <w:r w:rsidR="003E195C">
        <w:t>, z późn. zm.</w:t>
      </w:r>
      <w:r w:rsidR="003E195C" w:rsidRPr="003E195C">
        <w:t>), zwanej dalej „</w:t>
      </w:r>
      <w:proofErr w:type="spellStart"/>
      <w:r w:rsidR="003E195C" w:rsidRPr="003E195C">
        <w:t>u</w:t>
      </w:r>
      <w:r w:rsidR="00955683">
        <w:t>PE</w:t>
      </w:r>
      <w:proofErr w:type="spellEnd"/>
      <w:r w:rsidR="003E195C">
        <w:t xml:space="preserve">”, ceny maksymalnej wynoszącej </w:t>
      </w:r>
      <w:r w:rsidR="004D5729" w:rsidRPr="003E195C">
        <w:t>2</w:t>
      </w:r>
      <w:r w:rsidR="004D5729">
        <w:t>00,17</w:t>
      </w:r>
      <w:r w:rsidR="004D5729" w:rsidRPr="003E195C">
        <w:t xml:space="preserve"> </w:t>
      </w:r>
      <w:r w:rsidR="003E195C" w:rsidRPr="003E195C">
        <w:t>zł/MWh</w:t>
      </w:r>
      <w:r w:rsidR="003E195C">
        <w:t xml:space="preserve">. </w:t>
      </w:r>
      <w:r w:rsidR="00A86DA7">
        <w:t xml:space="preserve">Dodatkowo, w celu zapewnienia możliwie największej efektywności rozwiązań </w:t>
      </w:r>
      <w:r w:rsidR="00793070">
        <w:t>mitygujących ryzyko wzrostu cen paliw gazowych</w:t>
      </w:r>
      <w:r w:rsidR="00A86DA7">
        <w:t>, wprowadzono rozwiązanie</w:t>
      </w:r>
      <w:r w:rsidR="003D722B">
        <w:t>,</w:t>
      </w:r>
      <w:r w:rsidR="00A86DA7">
        <w:t xml:space="preserve"> z którym ww. grupy odbiorców będę uiszczać opłatę za usługi dystrybucyjne na poziomie wynikającym z taryfy zatwierdzonej przez Prezesa URE dla operatora systemu dystrybucyjnego na 2022 r.</w:t>
      </w:r>
    </w:p>
    <w:p w14:paraId="2D56359E" w14:textId="263EA2DF" w:rsidR="0004559D" w:rsidRDefault="00955683" w:rsidP="007639A6">
      <w:pPr>
        <w:pStyle w:val="Default"/>
        <w:spacing w:before="240" w:after="240" w:line="276" w:lineRule="auto"/>
        <w:jc w:val="both"/>
      </w:pPr>
      <w:r>
        <w:t>Z powyższego obowiązku wyłączeni się sprzedawcy, którzy ustalili w ramach zawartych ze swoimi odbiorcami umów</w:t>
      </w:r>
      <w:r w:rsidR="0004559D">
        <w:t xml:space="preserve"> albo zatwierdzonych tary</w:t>
      </w:r>
      <w:r w:rsidR="00403302">
        <w:t>f</w:t>
      </w:r>
      <w:r w:rsidR="0004559D">
        <w:t xml:space="preserve"> na 2023 r.</w:t>
      </w:r>
      <w:r>
        <w:t xml:space="preserve">, </w:t>
      </w:r>
      <w:r w:rsidRPr="00955683">
        <w:t>ceny korzystniejsze niż</w:t>
      </w:r>
      <w:r>
        <w:t xml:space="preserve"> cena</w:t>
      </w:r>
      <w:r w:rsidRPr="00955683">
        <w:t xml:space="preserve"> maksymalna</w:t>
      </w:r>
      <w:r w:rsidR="00304BEF">
        <w:t>.</w:t>
      </w:r>
    </w:p>
    <w:p w14:paraId="4BFB01C7" w14:textId="12A8BDD0" w:rsidR="00304BEF" w:rsidRDefault="00304BEF" w:rsidP="00304BEF">
      <w:pPr>
        <w:pStyle w:val="Default"/>
        <w:spacing w:line="276" w:lineRule="auto"/>
        <w:jc w:val="both"/>
      </w:pPr>
      <w:r>
        <w:t>Aby ograniczyć wzrost kosztów dla odbiorców paliw gazowych w gospodarstwach domowych o najniższych dochodach, zużywających paliwa gazowe do celów grzewczych, w projekcie ustawy zaproponowano mechanizm refundacji podatku od towarów i usług, poniesionego przez tych odbiorców za paliwa gazowe dostarczone w 2023 r., udokumentowane dokumentem potwierdzającym dostarczenie tych paliw do odbiorców. Refundacja podatku VAT, zgodnie z przedstawionym projektem, przysługiwać będzie gospodarstwu domowemu, które jako główne źródło ogrzewania wykorzystuje kocioł na paliwa gazowe, wpisany lub zgłoszony do centralnej ewidencji emisyjności budynków, a którego przeciętne miesięczne dochody, w przypadku gospodarstwa jednoosobowego, nie przekraczają 2100 zł, lub 1500 zł na osobę w przypadku gospodarstwa wieloosobowego.</w:t>
      </w:r>
    </w:p>
    <w:p w14:paraId="6E867DD8" w14:textId="13D7B318" w:rsidR="00304BEF" w:rsidRDefault="00304BEF" w:rsidP="00304BEF">
      <w:pPr>
        <w:pStyle w:val="Default"/>
        <w:spacing w:line="276" w:lineRule="auto"/>
        <w:jc w:val="both"/>
      </w:pPr>
      <w:r>
        <w:t>W projekcie ustawy, jako podmioty odpowiedzialne za weryfikacje wniosku, wydanie decyzji o przyznaniu refundacji oraz wypłatę refundacji określono wójta, burmistrza lub prezydenta miasta. Na realizację tych zadań podmiotom do nich zobowiązanym, przysługiwać będą środki w wysokości 2% przyznanych</w:t>
      </w:r>
      <w:r w:rsidRPr="00304BEF">
        <w:t xml:space="preserve"> </w:t>
      </w:r>
      <w:r>
        <w:t>środków odbiorcom, którym przysługuje wypłata refundacji.</w:t>
      </w:r>
    </w:p>
    <w:p w14:paraId="1BBFA6B6" w14:textId="77777777" w:rsidR="00304BEF" w:rsidRDefault="00304BEF" w:rsidP="001D22CD">
      <w:pPr>
        <w:pStyle w:val="Default"/>
        <w:spacing w:line="276" w:lineRule="auto"/>
        <w:jc w:val="both"/>
      </w:pPr>
    </w:p>
    <w:p w14:paraId="47610C1B" w14:textId="6AA42B62" w:rsidR="00F57C86" w:rsidRDefault="00F57C86" w:rsidP="007639A6">
      <w:pPr>
        <w:pStyle w:val="Default"/>
        <w:spacing w:after="240" w:line="276" w:lineRule="auto"/>
        <w:jc w:val="both"/>
      </w:pPr>
      <w:r w:rsidRPr="000F2A73">
        <w:t xml:space="preserve">W celu zapewnienia finansowania dla </w:t>
      </w:r>
      <w:r w:rsidR="003B6723">
        <w:t>przedsiębiorstw energetycznych</w:t>
      </w:r>
      <w:r w:rsidRPr="000F2A73">
        <w:t xml:space="preserve">, pozwalającego </w:t>
      </w:r>
      <w:r w:rsidR="003B6723">
        <w:t xml:space="preserve">m.in. </w:t>
      </w:r>
      <w:r w:rsidRPr="000F2A73">
        <w:t>na zapewnienie odpowiedniego poziomu</w:t>
      </w:r>
      <w:r w:rsidR="00660165" w:rsidRPr="00660165">
        <w:t xml:space="preserve"> </w:t>
      </w:r>
      <w:r w:rsidR="00660165" w:rsidRPr="000F2A73">
        <w:t>ciągłości dostaw</w:t>
      </w:r>
      <w:r w:rsidR="00660165">
        <w:t xml:space="preserve"> do odbiorców chronionych ustawą</w:t>
      </w:r>
      <w:r w:rsidRPr="000F2A73">
        <w:t xml:space="preserve"> </w:t>
      </w:r>
      <w:r w:rsidR="00660165">
        <w:t xml:space="preserve">oraz </w:t>
      </w:r>
      <w:r w:rsidR="00660165">
        <w:lastRenderedPageBreak/>
        <w:t xml:space="preserve">zachowania </w:t>
      </w:r>
      <w:r w:rsidRPr="000F2A73">
        <w:t>płynności</w:t>
      </w:r>
      <w:r w:rsidR="00660165">
        <w:t xml:space="preserve"> finansowej</w:t>
      </w:r>
      <w:r w:rsidRPr="000F2A73">
        <w:t xml:space="preserve"> w celu terminowego regulowania zobowiązań na rynku </w:t>
      </w:r>
      <w:r w:rsidR="00660165">
        <w:t>obrotu paliwami gazowymi</w:t>
      </w:r>
      <w:r w:rsidRPr="000F2A73">
        <w:t xml:space="preserve">, </w:t>
      </w:r>
      <w:r w:rsidR="00955683">
        <w:t>projektodawca przewidział</w:t>
      </w:r>
      <w:r w:rsidR="00955683" w:rsidRPr="00955683">
        <w:t xml:space="preserve"> w tym zakresie rekompensatę przysługującą </w:t>
      </w:r>
      <w:r w:rsidR="0004559D">
        <w:t>sprzedawcom paliw gazowych</w:t>
      </w:r>
      <w:r w:rsidR="00955683" w:rsidRPr="00955683">
        <w:t xml:space="preserve"> za każdy miesiąc kalendarzowy </w:t>
      </w:r>
      <w:r w:rsidR="00955683">
        <w:t>stosowania ceny maksymalnej</w:t>
      </w:r>
      <w:r w:rsidR="00983767">
        <w:t>.</w:t>
      </w:r>
    </w:p>
    <w:p w14:paraId="2324531B" w14:textId="2918A90E" w:rsidR="0004559D" w:rsidRDefault="0004559D" w:rsidP="007639A6">
      <w:pPr>
        <w:pStyle w:val="Default"/>
        <w:spacing w:line="276" w:lineRule="auto"/>
        <w:jc w:val="both"/>
      </w:pPr>
      <w:r>
        <w:t>Podmiotem odpowiedzialnym za wypłatę rekompensat będzie Zarządca Rozliczeń S.A., zwany dalej „Zarządcą Rozliczeń”</w:t>
      </w:r>
      <w:r w:rsidR="00983767">
        <w:t>.</w:t>
      </w:r>
      <w:r w:rsidR="0009555D">
        <w:t xml:space="preserve"> </w:t>
      </w:r>
      <w:r>
        <w:t xml:space="preserve">Rola tego podmiotu polegać będzie na weryfikacji wniosku o wypłatę rekompensaty pod względem prawidłowości dokonanych obliczeń i kompletności wymaganych dokumentów na podstawie podanych we wniosku danych. W przypadku pozytywnej weryfikacji wniosku, Zarządca Rozliczeń zatwierdzi wniosek i dokona wypłaty rekompensaty w terminie </w:t>
      </w:r>
      <w:r w:rsidR="000C7640">
        <w:t xml:space="preserve">30 </w:t>
      </w:r>
      <w:r>
        <w:t>dni od dnia otrzymania prawidłowo sporządzonego wniosku</w:t>
      </w:r>
      <w:r w:rsidR="00983767">
        <w:t>.</w:t>
      </w:r>
      <w:r>
        <w:t xml:space="preserve"> </w:t>
      </w:r>
    </w:p>
    <w:p w14:paraId="4394FE43" w14:textId="56074D8B" w:rsidR="0004559D" w:rsidRDefault="0004559D" w:rsidP="007639A6">
      <w:pPr>
        <w:pStyle w:val="Default"/>
        <w:spacing w:line="276" w:lineRule="auto"/>
        <w:jc w:val="both"/>
      </w:pPr>
      <w:r>
        <w:t xml:space="preserve">W projekcie przewidziano jednocześnie szereg mechanizmów mających na celu zapewnienie efektywnego wydawania środków publicznych. </w:t>
      </w:r>
      <w:r w:rsidR="003D722B">
        <w:t>W szczególności podmioty uprawnione, wnioskujące do Zarządcy Rozliczeń o wypłatę rekompensat</w:t>
      </w:r>
      <w:r w:rsidR="00E2101D">
        <w:t xml:space="preserve">, zobowiązane będą do przedłożenia </w:t>
      </w:r>
      <w:r>
        <w:t>wiarygodny</w:t>
      </w:r>
      <w:r w:rsidR="00E2101D">
        <w:t>ch, kompletnych</w:t>
      </w:r>
      <w:r>
        <w:t xml:space="preserve"> dokument</w:t>
      </w:r>
      <w:r w:rsidR="00E2101D">
        <w:t>ów, które mogą posłużyć do weryfikacji m.in. faktycznego dokonania rozliczeń z odbiorcami po cenie maksymalnej czy ustalenia kwoty rekompensaty</w:t>
      </w:r>
      <w:r>
        <w:t>.</w:t>
      </w:r>
    </w:p>
    <w:p w14:paraId="45EB26CF" w14:textId="4312C14B" w:rsidR="0004559D" w:rsidRDefault="00E2101D" w:rsidP="007639A6">
      <w:pPr>
        <w:pStyle w:val="Default"/>
        <w:spacing w:line="276" w:lineRule="auto"/>
        <w:jc w:val="both"/>
      </w:pPr>
      <w:r>
        <w:t>O</w:t>
      </w:r>
      <w:r w:rsidR="0004559D">
        <w:t xml:space="preserve">bowiązek dokonania weryfikacji rekompensat należnych przedsiębiorstwu energetycznemu </w:t>
      </w:r>
      <w:r>
        <w:t xml:space="preserve">spoczywać będzie na Zarządcy Rozliczeń, który </w:t>
      </w:r>
      <w:r w:rsidR="009E3350">
        <w:t xml:space="preserve">dokona tego </w:t>
      </w:r>
      <w:r w:rsidR="0004559D">
        <w:t xml:space="preserve">na podstawie otrzymanego od podmiotu </w:t>
      </w:r>
      <w:r>
        <w:t xml:space="preserve">uprawnionego </w:t>
      </w:r>
      <w:r w:rsidR="0004559D">
        <w:t xml:space="preserve">wniosku o rozliczenie rekompensaty i niezwłocznie poinformuje Prezesa URE o wynikach dokonanej weryfikacji. </w:t>
      </w:r>
    </w:p>
    <w:p w14:paraId="4438E560" w14:textId="231D1BD5" w:rsidR="0004559D" w:rsidRDefault="0004559D" w:rsidP="007639A6">
      <w:pPr>
        <w:pStyle w:val="Default"/>
        <w:spacing w:line="276" w:lineRule="auto"/>
        <w:jc w:val="both"/>
      </w:pPr>
      <w:r>
        <w:t>Jeżeli przedsiębiorstwo energetyczne zaprzestanie prowadzenia działalności gospodarczej w zakresie objętej rekompensatami w ciągu 12 miesięcy od wypłaty ostatniej z nich</w:t>
      </w:r>
      <w:r w:rsidR="006E37CE">
        <w:t xml:space="preserve"> lub</w:t>
      </w:r>
      <w:r w:rsidR="006E37CE" w:rsidRPr="006E37CE">
        <w:t xml:space="preserve"> </w:t>
      </w:r>
      <w:r w:rsidR="00E5565E">
        <w:t>wypowie</w:t>
      </w:r>
      <w:r w:rsidR="006E37CE" w:rsidRPr="006E37CE">
        <w:t xml:space="preserve"> umowy zawarte z więcej niż z połową odbiorców paliw gazowych, o których mowa w art. 62b ust. 1 pkt 2</w:t>
      </w:r>
      <w:r w:rsidR="006E37CE">
        <w:t xml:space="preserve"> </w:t>
      </w:r>
      <w:proofErr w:type="spellStart"/>
      <w:r w:rsidR="006E37CE">
        <w:t>uPE</w:t>
      </w:r>
      <w:proofErr w:type="spellEnd"/>
      <w:r>
        <w:t>, będzie zobowiązane w całości zwrócić w otrzymane środki rekompensaty z odsetkami, a pobrane środki zostaną uznane za pobrane nienależnie. Przedsiębiorstwo energetyczne, któr</w:t>
      </w:r>
      <w:r w:rsidR="008E3CAF">
        <w:t>e</w:t>
      </w:r>
      <w:r>
        <w:t xml:space="preserve"> otrzymało rekompensatę nienależnie, zobowiązane będzie do jej zwrotu. </w:t>
      </w:r>
    </w:p>
    <w:p w14:paraId="55C464A6" w14:textId="2A95BCC9" w:rsidR="0004559D" w:rsidRDefault="0004559D" w:rsidP="007639A6">
      <w:pPr>
        <w:pStyle w:val="Default"/>
        <w:spacing w:line="276" w:lineRule="auto"/>
        <w:jc w:val="both"/>
      </w:pPr>
      <w:r>
        <w:t xml:space="preserve">Wniosek o rozliczenie rekompensaty przedsiębiorstwo energetyczne złoży do Zarządcy Rozliczeń nie później niż do </w:t>
      </w:r>
      <w:r w:rsidR="00C66B28">
        <w:t>30</w:t>
      </w:r>
      <w:r w:rsidR="00C66B28" w:rsidRPr="0004559D">
        <w:t xml:space="preserve"> </w:t>
      </w:r>
      <w:r w:rsidR="00C66B28">
        <w:t>kwietnia</w:t>
      </w:r>
      <w:r w:rsidR="00C66B28" w:rsidRPr="0004559D">
        <w:t xml:space="preserve"> </w:t>
      </w:r>
      <w:r w:rsidRPr="0004559D">
        <w:t>2024 r</w:t>
      </w:r>
      <w:r>
        <w:t xml:space="preserve">. </w:t>
      </w:r>
    </w:p>
    <w:p w14:paraId="6A5606CC" w14:textId="511F8C1E" w:rsidR="0004559D" w:rsidRDefault="0004559D" w:rsidP="007639A6">
      <w:pPr>
        <w:pStyle w:val="Default"/>
        <w:spacing w:line="276" w:lineRule="auto"/>
        <w:jc w:val="both"/>
      </w:pPr>
      <w:r>
        <w:t xml:space="preserve">Rekompensata zostanie rozliczona w terminie do dnia </w:t>
      </w:r>
      <w:r w:rsidR="00C66B28">
        <w:t>31</w:t>
      </w:r>
      <w:r w:rsidR="00C66B28" w:rsidRPr="0004559D">
        <w:t xml:space="preserve"> </w:t>
      </w:r>
      <w:r w:rsidRPr="0004559D">
        <w:t xml:space="preserve">października 2024 </w:t>
      </w:r>
      <w:r>
        <w:t xml:space="preserve">r. Zarządca Rozliczeń po zebraniu stosownych dokumentów określi kwotę ostatecznej rekompensaty. </w:t>
      </w:r>
    </w:p>
    <w:p w14:paraId="4B8E3379" w14:textId="367C423F" w:rsidR="00C66B28" w:rsidRDefault="00862BB2" w:rsidP="007639A6">
      <w:pPr>
        <w:pStyle w:val="Default"/>
        <w:spacing w:line="276" w:lineRule="auto"/>
        <w:jc w:val="both"/>
      </w:pPr>
      <w:r>
        <w:t xml:space="preserve">W </w:t>
      </w:r>
      <w:r w:rsidR="005B4513">
        <w:t>projekcie</w:t>
      </w:r>
      <w:r>
        <w:t xml:space="preserve"> ustawy proponuje się, aby podmiot uprawniony w przypadku zmiany zewnętrznych warunków </w:t>
      </w:r>
      <w:r w:rsidR="00B441FD">
        <w:t>wykonywania</w:t>
      </w:r>
      <w:r>
        <w:t xml:space="preserve"> działalności gospodarczej, które wpływają na </w:t>
      </w:r>
      <w:r w:rsidR="00B441FD">
        <w:t>spadek</w:t>
      </w:r>
      <w:r>
        <w:t xml:space="preserve"> ceny paliw gazowych zatwierdzonych w taryfie, zobowiązany był do wystąpienia do Prezesa Urzędu Regulacji Energetyki, z wnioskiem o zmianę taryfy w zakresie obniżenia cen paliw gazowych. W przypadku wystąpienia takich </w:t>
      </w:r>
      <w:r w:rsidR="00B441FD">
        <w:t>okoliczności</w:t>
      </w:r>
      <w:r>
        <w:t xml:space="preserve">, proponuje się, aby należna </w:t>
      </w:r>
      <w:r w:rsidR="00B441FD">
        <w:t xml:space="preserve">podmiotowi uprawnionemu </w:t>
      </w:r>
      <w:r>
        <w:t>rekompensata</w:t>
      </w:r>
      <w:r w:rsidR="00B441FD">
        <w:t>,</w:t>
      </w:r>
      <w:r>
        <w:t xml:space="preserve"> ustalana była w odniesieniu do złożonej we wniosku skierowanym do Prezesa Urzędu Regulacji Energetyki, ceny paliw gazowych</w:t>
      </w:r>
      <w:r w:rsidR="00551221">
        <w:t>.</w:t>
      </w:r>
    </w:p>
    <w:p w14:paraId="2B17A4F5" w14:textId="066409E5" w:rsidR="00862BB2" w:rsidRDefault="00862BB2" w:rsidP="007639A6">
      <w:pPr>
        <w:pStyle w:val="Default"/>
        <w:spacing w:line="276" w:lineRule="auto"/>
        <w:jc w:val="both"/>
      </w:pPr>
      <w:r>
        <w:t>Projekt ustawy przewiduje sankcje</w:t>
      </w:r>
      <w:r w:rsidR="00B441FD">
        <w:t xml:space="preserve"> wobec przedsiębiorstw energetycznych</w:t>
      </w:r>
      <w:r>
        <w:t xml:space="preserve"> za niedostosowanie się do obowiązku </w:t>
      </w:r>
      <w:r w:rsidR="003B6723">
        <w:t>przewidzianego w ustawie</w:t>
      </w:r>
      <w:r w:rsidR="00B441FD">
        <w:t>.</w:t>
      </w:r>
    </w:p>
    <w:p w14:paraId="563A0EDE" w14:textId="0D06981C" w:rsidR="00397D96" w:rsidRDefault="005D5A77" w:rsidP="007639A6">
      <w:pPr>
        <w:pStyle w:val="Default"/>
        <w:spacing w:line="276" w:lineRule="auto"/>
        <w:jc w:val="both"/>
      </w:pPr>
      <w:r>
        <w:t xml:space="preserve">Aby przeciwdziałać sytuacji, w której niektórzy z odbiorców, o których mowa w art. 62 ust. 1 pkt 2 </w:t>
      </w:r>
      <w:proofErr w:type="spellStart"/>
      <w:r>
        <w:t>uPE</w:t>
      </w:r>
      <w:proofErr w:type="spellEnd"/>
      <w:r>
        <w:t>, którzy</w:t>
      </w:r>
      <w:r w:rsidR="001F462E">
        <w:t xml:space="preserve"> zaopatrywani są w paliwa gazowe za pośrednictwem gazociągu bezpośredniego lub sieci gazociągów kopalnianych,</w:t>
      </w:r>
      <w:r>
        <w:t xml:space="preserve"> </w:t>
      </w:r>
      <w:r w:rsidR="001F462E">
        <w:t>zostaliby dotknięci obserwowanymi na rynku wzrostami cen</w:t>
      </w:r>
      <w:r>
        <w:t>, gwarantuje</w:t>
      </w:r>
      <w:r w:rsidR="00A728EF">
        <w:t xml:space="preserve"> się</w:t>
      </w:r>
      <w:r>
        <w:t xml:space="preserve">, że cena paliwa gazowego dla tych odbiorców nie będzie </w:t>
      </w:r>
      <w:r>
        <w:lastRenderedPageBreak/>
        <w:t xml:space="preserve">wyższa niż cena maksymalna. Celem przekazania informacji o </w:t>
      </w:r>
      <w:r w:rsidR="00A832EC">
        <w:t>wpływie</w:t>
      </w:r>
      <w:r>
        <w:t xml:space="preserve"> ustawy na odbiorców, o których mowa w </w:t>
      </w:r>
      <w:r w:rsidRPr="006E6D22">
        <w:t>art. 62b ust. 1 pkt 2 lit. a</w:t>
      </w:r>
      <w:r>
        <w:t xml:space="preserve"> </w:t>
      </w:r>
      <w:proofErr w:type="spellStart"/>
      <w:r>
        <w:t>uPE</w:t>
      </w:r>
      <w:proofErr w:type="spellEnd"/>
      <w:r w:rsidR="00A832EC">
        <w:t xml:space="preserve">, </w:t>
      </w:r>
      <w:r w:rsidR="00541F18">
        <w:t>projektodawca proponuje</w:t>
      </w:r>
      <w:r w:rsidR="00A832EC">
        <w:t xml:space="preserve">, aby podmiot uprawniony dokonujący </w:t>
      </w:r>
      <w:r w:rsidR="00A832EC" w:rsidRPr="00A832EC">
        <w:t>sprzedaży paliw gazowych do odbiorców paliw gazowych</w:t>
      </w:r>
      <w:r w:rsidR="00A832EC">
        <w:t xml:space="preserve"> oraz o</w:t>
      </w:r>
      <w:r w:rsidR="00A832EC" w:rsidRPr="00A832EC">
        <w:t>dbiorcy paliw gazowych, o których mowa w art. 62b ust. 1 pkt 2 lit. b i c</w:t>
      </w:r>
      <w:r w:rsidR="00A832EC">
        <w:t xml:space="preserve">, przekazywali informację </w:t>
      </w:r>
      <w:r w:rsidR="00A832EC" w:rsidRPr="00A832EC">
        <w:t>o wpływie ustawy na cenę paliw gazowych dla tych odbiorców poprzez jej każdorazowe dołączenie do faktury, a w przypadku ich braku w 2023 r. – do innego dokumentu wysyłanego do tych odbiorców.</w:t>
      </w:r>
    </w:p>
    <w:p w14:paraId="2838A435" w14:textId="77777777" w:rsidR="0046403A" w:rsidRDefault="0046403A" w:rsidP="007639A6">
      <w:pPr>
        <w:pStyle w:val="Default"/>
        <w:spacing w:line="276" w:lineRule="auto"/>
        <w:jc w:val="both"/>
      </w:pPr>
    </w:p>
    <w:p w14:paraId="5D1B83B1" w14:textId="653DCDD7" w:rsidR="00CC782D" w:rsidRDefault="00CC782D" w:rsidP="007639A6">
      <w:pPr>
        <w:pStyle w:val="Default"/>
        <w:spacing w:line="276" w:lineRule="auto"/>
        <w:jc w:val="both"/>
        <w:rPr>
          <w:b/>
          <w:bCs/>
        </w:rPr>
      </w:pPr>
      <w:r>
        <w:rPr>
          <w:b/>
          <w:bCs/>
        </w:rPr>
        <w:t xml:space="preserve">2.2. </w:t>
      </w:r>
      <w:r w:rsidRPr="002E7E5A">
        <w:rPr>
          <w:b/>
          <w:bCs/>
        </w:rPr>
        <w:t>Rynek hurtowy i ograniczenie przychodów wytwórców paliw gazowych oraz przedsiębiorstw obrotu</w:t>
      </w:r>
    </w:p>
    <w:p w14:paraId="0398083A" w14:textId="4C0D94CB" w:rsidR="00CC782D" w:rsidRPr="00F3315F" w:rsidRDefault="00CC782D" w:rsidP="007639A6">
      <w:pPr>
        <w:pStyle w:val="Default"/>
        <w:numPr>
          <w:ilvl w:val="0"/>
          <w:numId w:val="17"/>
        </w:numPr>
        <w:spacing w:line="276" w:lineRule="auto"/>
        <w:ind w:left="426"/>
        <w:jc w:val="both"/>
      </w:pPr>
      <w:r w:rsidRPr="00F3315F">
        <w:t xml:space="preserve">W zakresie ingerencji na rynku paliw gazowych, w projektowanej ustawie proponuje się wprowadzenie mechanizmu polegającego na przekazaniu określonej części zysku </w:t>
      </w:r>
      <w:r>
        <w:t>przez przedsiębiorstwo wydobywające gaz ziemny</w:t>
      </w:r>
      <w:r w:rsidRPr="00F3315F">
        <w:t xml:space="preserve"> na rzecz finansowania rekompensat.</w:t>
      </w:r>
    </w:p>
    <w:p w14:paraId="7A805443" w14:textId="49C7461E" w:rsidR="00CC782D" w:rsidRDefault="00CC782D" w:rsidP="007639A6">
      <w:pPr>
        <w:pStyle w:val="Default"/>
        <w:numPr>
          <w:ilvl w:val="0"/>
          <w:numId w:val="17"/>
        </w:numPr>
        <w:spacing w:line="276" w:lineRule="auto"/>
        <w:ind w:left="426"/>
        <w:jc w:val="both"/>
      </w:pPr>
      <w:r>
        <w:t>Na przedsiębiorstwo wydobywające gaz ziemny</w:t>
      </w:r>
      <w:r w:rsidRPr="00F3315F">
        <w:t xml:space="preserve"> nakłada się obowiązek przekazania gazowego odpisu na Fundusz</w:t>
      </w:r>
      <w:r w:rsidR="007639A6" w:rsidRPr="007639A6">
        <w:t xml:space="preserve"> </w:t>
      </w:r>
      <w:r w:rsidR="007639A6">
        <w:t>Wypłaty Różnicy Ceny</w:t>
      </w:r>
      <w:r w:rsidRPr="00F3315F">
        <w:t xml:space="preserve">, </w:t>
      </w:r>
      <w:r w:rsidR="007639A6">
        <w:t xml:space="preserve">przy czym ustawa określi maksymalną wysokość tej kwoty na poziomie 538,79 zł/MWh, która odpowiada </w:t>
      </w:r>
      <w:r w:rsidR="007639A6" w:rsidRPr="007639A6">
        <w:t>średni</w:t>
      </w:r>
      <w:r w:rsidR="007639A6">
        <w:t>ej</w:t>
      </w:r>
      <w:r w:rsidR="007639A6" w:rsidRPr="007639A6">
        <w:t xml:space="preserve"> ważon</w:t>
      </w:r>
      <w:r w:rsidR="007639A6">
        <w:t>ej</w:t>
      </w:r>
      <w:r w:rsidR="007639A6" w:rsidRPr="007639A6">
        <w:t xml:space="preserve"> wolumenem transakcji cen</w:t>
      </w:r>
      <w:r w:rsidR="007639A6">
        <w:t>ie</w:t>
      </w:r>
      <w:r w:rsidR="007639A6" w:rsidRPr="007639A6">
        <w:t xml:space="preserve"> instrumentu GAS_BASE_Y-23, w okresie od 1</w:t>
      </w:r>
      <w:r w:rsidR="007639A6">
        <w:t xml:space="preserve"> stycznia </w:t>
      </w:r>
      <w:r w:rsidR="007639A6" w:rsidRPr="007639A6">
        <w:t>2022 r. do 21</w:t>
      </w:r>
      <w:r w:rsidR="007639A6">
        <w:t xml:space="preserve"> listopada </w:t>
      </w:r>
      <w:r w:rsidR="007639A6" w:rsidRPr="007639A6">
        <w:t>2022</w:t>
      </w:r>
      <w:r w:rsidR="007639A6">
        <w:t> </w:t>
      </w:r>
      <w:r w:rsidR="007639A6" w:rsidRPr="007639A6">
        <w:t>r.</w:t>
      </w:r>
    </w:p>
    <w:p w14:paraId="73DC9D9B" w14:textId="4FD8E54F" w:rsidR="00CC782D" w:rsidRPr="00F3315F" w:rsidRDefault="007639A6" w:rsidP="007639A6">
      <w:pPr>
        <w:pStyle w:val="Default"/>
        <w:numPr>
          <w:ilvl w:val="0"/>
          <w:numId w:val="17"/>
        </w:numPr>
        <w:spacing w:line="276" w:lineRule="auto"/>
        <w:ind w:left="426"/>
        <w:jc w:val="both"/>
      </w:pPr>
      <w:r>
        <w:t>Sp</w:t>
      </w:r>
      <w:r w:rsidR="002D1BBE">
        <w:t xml:space="preserve">osób ustalania </w:t>
      </w:r>
      <w:r w:rsidR="004D33CE">
        <w:t>kwoty</w:t>
      </w:r>
      <w:r w:rsidR="00F1060E">
        <w:t>,</w:t>
      </w:r>
      <w:r w:rsidR="004D33CE">
        <w:t xml:space="preserve"> jaką zobowiązane będzie uiszczać przedsiębiorstwo wydobywające gaz ziemny</w:t>
      </w:r>
      <w:r>
        <w:t>,</w:t>
      </w:r>
      <w:r w:rsidR="004D33CE">
        <w:t xml:space="preserve"> zostanie określony w rozporządzeniu Rady Ministrów</w:t>
      </w:r>
      <w:r w:rsidR="002D1BBE">
        <w:t>.</w:t>
      </w:r>
      <w:r w:rsidR="004D33CE">
        <w:t xml:space="preserve"> </w:t>
      </w:r>
    </w:p>
    <w:p w14:paraId="525C31E4" w14:textId="60F1E356" w:rsidR="00CC782D" w:rsidRPr="00F3315F" w:rsidRDefault="00CC782D" w:rsidP="007639A6">
      <w:pPr>
        <w:pStyle w:val="Default"/>
        <w:numPr>
          <w:ilvl w:val="0"/>
          <w:numId w:val="17"/>
        </w:numPr>
        <w:spacing w:line="276" w:lineRule="auto"/>
        <w:ind w:left="426"/>
        <w:jc w:val="both"/>
      </w:pPr>
      <w:r>
        <w:t>Przedsiębiorstwo zobowiązane</w:t>
      </w:r>
      <w:r w:rsidRPr="00F3315F">
        <w:t xml:space="preserve"> do przekazywania gazowego odpisu na Fundusz za dany miesiąc kalendarzowy przekazują je do Funduszu Wypłaty Różnicy Ceny w terminie do 15 dnia każdego miesiąca następującego po miesiącu rozliczenia, w wysokości wynikającej z ustalonego sposobu obliczania gazowego odpisu. Ponadto, w terminie do 25 dnia każdego miesiąca, przekazują do Zarządcy Rozliczeń, sprawozdanie potwierdzające powyższe kwoty, które ten następnie weryfikuje pod kątem braków formalnych lub błędów obliczeniowych. </w:t>
      </w:r>
      <w:r>
        <w:t xml:space="preserve">Przedsiębiorstwo wydobywające gaz ziemny koryguje </w:t>
      </w:r>
      <w:r w:rsidRPr="00F3315F">
        <w:t xml:space="preserve">ewentualne niezgodności, a w przypadku nieusunięcia tychże niezgodności lub negatywnej weryfikacji sprawozdania Zarządca Rozliczeń przekazuje informacje o ich wystąpieniu do Prezesa URE. </w:t>
      </w:r>
    </w:p>
    <w:p w14:paraId="35F2DE42" w14:textId="77777777" w:rsidR="00CC782D" w:rsidRPr="00F3315F" w:rsidRDefault="00CC782D" w:rsidP="007639A6">
      <w:pPr>
        <w:pStyle w:val="Default"/>
        <w:numPr>
          <w:ilvl w:val="0"/>
          <w:numId w:val="17"/>
        </w:numPr>
        <w:spacing w:line="276" w:lineRule="auto"/>
        <w:ind w:left="426"/>
        <w:jc w:val="both"/>
      </w:pPr>
      <w:r w:rsidRPr="00F3315F">
        <w:t xml:space="preserve">Prezes URE ma prawo do przeprowadzenia kontroli zgodności informacji i oświadczeń złożonych w sprawozdaniach, zarówno z własnej inicjatywy lub na wniosek zarządcy rozliczeń. W przypadku gdy Prezes URE stwierdzi niezgodność sprawozdania ze stanem faktycznym wydaje decyzje o obowiązku dopłaty przekazanej na rachunek Funduszu Wypłaty Różnicy Ceny, pomniejszenia odpis na Fundusz w miesiącu następującym lub przekazaniu kwoty z rachunku Funduszy na rzecz danego podmiotu składającego sprawozdanie. </w:t>
      </w:r>
    </w:p>
    <w:p w14:paraId="41454911" w14:textId="2A064016" w:rsidR="00CC782D" w:rsidRPr="00F3315F" w:rsidRDefault="00CC782D" w:rsidP="007639A6">
      <w:pPr>
        <w:pStyle w:val="Default"/>
        <w:numPr>
          <w:ilvl w:val="0"/>
          <w:numId w:val="17"/>
        </w:numPr>
        <w:spacing w:line="276" w:lineRule="auto"/>
        <w:ind w:left="426"/>
        <w:jc w:val="both"/>
      </w:pPr>
      <w:r w:rsidRPr="00F3315F">
        <w:t xml:space="preserve">Oczekiwanym efektem objęcia gazowym odpisem </w:t>
      </w:r>
      <w:r>
        <w:t>przedsiębiorstwa wydobywającego gaz ziemny,</w:t>
      </w:r>
      <w:r w:rsidRPr="00F3315F">
        <w:t xml:space="preserve"> jest wykorzystanie wysokich zysków, osiąganych przez te</w:t>
      </w:r>
      <w:r>
        <w:t>n rodzaj podmiotów</w:t>
      </w:r>
      <w:r w:rsidRPr="00F3315F">
        <w:t xml:space="preserve"> dzięki bezprecedensowo wysokim cenom gazu ziemnego na rynkach giełdowych, w celu sfinansowania systemu rekompensat w sposób neutralny budżetowo. </w:t>
      </w:r>
    </w:p>
    <w:p w14:paraId="1A10E8C5" w14:textId="77777777" w:rsidR="00CC782D" w:rsidRDefault="00CC782D" w:rsidP="007639A6">
      <w:pPr>
        <w:pStyle w:val="Default"/>
        <w:spacing w:line="276" w:lineRule="auto"/>
        <w:jc w:val="both"/>
      </w:pPr>
    </w:p>
    <w:p w14:paraId="324C8629" w14:textId="77777777" w:rsidR="002E7E5A" w:rsidRDefault="002E7E5A" w:rsidP="007639A6">
      <w:pPr>
        <w:pStyle w:val="Default"/>
        <w:spacing w:line="276" w:lineRule="auto"/>
        <w:jc w:val="both"/>
      </w:pPr>
    </w:p>
    <w:p w14:paraId="146E3926" w14:textId="781255C5" w:rsidR="007E7ED4" w:rsidRPr="00F36CFB" w:rsidRDefault="007E7ED4" w:rsidP="007639A6">
      <w:pPr>
        <w:pStyle w:val="Default"/>
        <w:spacing w:line="276" w:lineRule="auto"/>
        <w:jc w:val="both"/>
        <w:rPr>
          <w:b/>
          <w:bCs/>
        </w:rPr>
      </w:pPr>
      <w:r w:rsidRPr="009E4BAA">
        <w:rPr>
          <w:b/>
          <w:bCs/>
        </w:rPr>
        <w:lastRenderedPageBreak/>
        <w:t>2.</w:t>
      </w:r>
      <w:r w:rsidR="0046403A">
        <w:rPr>
          <w:b/>
          <w:bCs/>
        </w:rPr>
        <w:t>3</w:t>
      </w:r>
      <w:r w:rsidRPr="009E4BAA">
        <w:rPr>
          <w:b/>
          <w:bCs/>
        </w:rPr>
        <w:t>. Zmiany przepisów w zakresie przyłączenia do sieci</w:t>
      </w:r>
    </w:p>
    <w:p w14:paraId="3A0B0692" w14:textId="0AA884F4" w:rsidR="00B441FD" w:rsidRPr="007E74DA" w:rsidRDefault="007E74DA" w:rsidP="007639A6">
      <w:pPr>
        <w:spacing w:after="0" w:line="276" w:lineRule="auto"/>
        <w:jc w:val="both"/>
        <w:rPr>
          <w:rFonts w:ascii="Times New Roman" w:eastAsia="Calibri" w:hAnsi="Times New Roman" w:cs="Times New Roman"/>
          <w:color w:val="000000"/>
          <w:sz w:val="24"/>
          <w:szCs w:val="24"/>
          <w:lang w:eastAsia="pl-PL"/>
        </w:rPr>
      </w:pPr>
      <w:r w:rsidRPr="007E74DA">
        <w:rPr>
          <w:rFonts w:ascii="Times New Roman" w:eastAsia="Calibri" w:hAnsi="Times New Roman" w:cs="Times New Roman"/>
          <w:color w:val="000000"/>
          <w:sz w:val="24"/>
          <w:szCs w:val="24"/>
          <w:lang w:eastAsia="pl-PL"/>
        </w:rPr>
        <w:t xml:space="preserve">Zgodnie z </w:t>
      </w:r>
      <w:r w:rsidR="002E7E5A">
        <w:rPr>
          <w:rFonts w:ascii="Times New Roman" w:eastAsia="Calibri" w:hAnsi="Times New Roman" w:cs="Times New Roman"/>
          <w:color w:val="000000"/>
          <w:sz w:val="24"/>
          <w:szCs w:val="24"/>
          <w:lang w:eastAsia="pl-PL"/>
        </w:rPr>
        <w:t xml:space="preserve">projektem </w:t>
      </w:r>
      <w:r w:rsidRPr="007E74DA">
        <w:rPr>
          <w:rFonts w:ascii="Times New Roman" w:eastAsia="Calibri" w:hAnsi="Times New Roman" w:cs="Times New Roman"/>
          <w:color w:val="000000"/>
          <w:sz w:val="24"/>
          <w:szCs w:val="24"/>
          <w:lang w:eastAsia="pl-PL"/>
        </w:rPr>
        <w:t xml:space="preserve">ustawy projektodawca proponuje wprowadzenie zmian w ustawie z dnia 10 kwietnia 1997 r. – Prawo energetyczne. Projektowane zmiany doprecyzowują kwestie dotyczące przekazywania w informacji o odmowie przyłączenia w trybie publicznoprawnym, o którym mowa w art. 7 ust. 1 </w:t>
      </w:r>
      <w:proofErr w:type="spellStart"/>
      <w:r w:rsidRPr="007E74DA">
        <w:rPr>
          <w:rFonts w:ascii="Times New Roman" w:eastAsia="Calibri" w:hAnsi="Times New Roman" w:cs="Times New Roman"/>
          <w:color w:val="000000"/>
          <w:sz w:val="24"/>
          <w:szCs w:val="24"/>
          <w:lang w:eastAsia="pl-PL"/>
        </w:rPr>
        <w:t>uPE</w:t>
      </w:r>
      <w:proofErr w:type="spellEnd"/>
      <w:r w:rsidRPr="007E74DA">
        <w:rPr>
          <w:rFonts w:ascii="Times New Roman" w:eastAsia="Calibri" w:hAnsi="Times New Roman" w:cs="Times New Roman"/>
          <w:color w:val="000000"/>
          <w:sz w:val="24"/>
          <w:szCs w:val="24"/>
          <w:lang w:eastAsia="pl-PL"/>
        </w:rPr>
        <w:t xml:space="preserve"> i wskazywania przez przedsiębiorstwo energetyczne szacowanej wysokości opłaty, o której mowa w ust. 9 zmienianego przepisu oraz sposobu jej kalkulacji. Projektowana zmiana przyspieszy proces decyzyjny inwestorów, którzy znając szacowaną wartość opłaty za przyłączenie i szacunek kosztów niezbędnych robót związanych z rozbudową sieci będą mogli wyrazić wolę zawarcia umowy o przyłączenie w trybie art. 7 ust. 9 </w:t>
      </w:r>
      <w:proofErr w:type="spellStart"/>
      <w:r w:rsidRPr="007E74DA">
        <w:rPr>
          <w:rFonts w:ascii="Times New Roman" w:eastAsia="Calibri" w:hAnsi="Times New Roman" w:cs="Times New Roman"/>
          <w:color w:val="000000"/>
          <w:sz w:val="24"/>
          <w:szCs w:val="24"/>
          <w:lang w:eastAsia="pl-PL"/>
        </w:rPr>
        <w:t>uPE</w:t>
      </w:r>
      <w:proofErr w:type="spellEnd"/>
      <w:r w:rsidRPr="007E74DA">
        <w:rPr>
          <w:rFonts w:ascii="Times New Roman" w:eastAsia="Calibri" w:hAnsi="Times New Roman" w:cs="Times New Roman"/>
          <w:color w:val="000000"/>
          <w:sz w:val="24"/>
          <w:szCs w:val="24"/>
          <w:lang w:eastAsia="pl-PL"/>
        </w:rPr>
        <w:t xml:space="preserve">. Tym samym regulacja ta usprawni i zwiększy możliwości przyłączania zarówno odbiorców jak i wytwórców w trybie komercyjnym i jednocześnie znakomicie zwiększy transparentność tego procesu. Dodatkowo zaproponowano ułatwienie realizacji takiego przyłączenia poprzez przewidzenie możliwości budowy i rozbudowy odcinków sieci służących do przyłączenia przez podmiot ubiegający się o przyłączenie do sieci, co pozwoli na wyeliminowanie w wielu przypadkach opóźnień takiej rozbudowy. </w:t>
      </w:r>
      <w:r w:rsidR="00B441FD">
        <w:tab/>
      </w:r>
    </w:p>
    <w:p w14:paraId="7591709B" w14:textId="77777777" w:rsidR="007E7ED4" w:rsidRDefault="007E7ED4" w:rsidP="007639A6">
      <w:pPr>
        <w:pStyle w:val="Default"/>
        <w:spacing w:line="276" w:lineRule="auto"/>
        <w:jc w:val="both"/>
      </w:pPr>
    </w:p>
    <w:p w14:paraId="2137D086" w14:textId="72715F33" w:rsidR="007E7ED4" w:rsidRPr="00F36CFB" w:rsidRDefault="007E7ED4" w:rsidP="007639A6">
      <w:pPr>
        <w:pStyle w:val="Default"/>
        <w:spacing w:line="276" w:lineRule="auto"/>
        <w:jc w:val="both"/>
        <w:rPr>
          <w:b/>
          <w:bCs/>
        </w:rPr>
      </w:pPr>
      <w:r w:rsidRPr="009E4BAA">
        <w:rPr>
          <w:b/>
          <w:bCs/>
        </w:rPr>
        <w:t>2.</w:t>
      </w:r>
      <w:r w:rsidR="0046403A">
        <w:rPr>
          <w:b/>
          <w:bCs/>
        </w:rPr>
        <w:t>4.</w:t>
      </w:r>
      <w:r w:rsidR="0046403A" w:rsidRPr="009E4BAA">
        <w:rPr>
          <w:b/>
          <w:bCs/>
        </w:rPr>
        <w:t xml:space="preserve"> </w:t>
      </w:r>
      <w:r w:rsidRPr="009E4BAA">
        <w:rPr>
          <w:b/>
          <w:bCs/>
        </w:rPr>
        <w:t xml:space="preserve">Certyfikacja </w:t>
      </w:r>
      <w:r w:rsidR="007648C3">
        <w:rPr>
          <w:b/>
          <w:bCs/>
        </w:rPr>
        <w:t>o</w:t>
      </w:r>
      <w:r w:rsidRPr="009E4BAA">
        <w:rPr>
          <w:b/>
          <w:bCs/>
        </w:rPr>
        <w:t xml:space="preserve">peratora </w:t>
      </w:r>
      <w:r w:rsidR="007648C3">
        <w:rPr>
          <w:b/>
          <w:bCs/>
        </w:rPr>
        <w:t>s</w:t>
      </w:r>
      <w:r w:rsidRPr="009E4BAA">
        <w:rPr>
          <w:b/>
          <w:bCs/>
        </w:rPr>
        <w:t xml:space="preserve">ystemu </w:t>
      </w:r>
      <w:r w:rsidR="007648C3">
        <w:rPr>
          <w:b/>
          <w:bCs/>
        </w:rPr>
        <w:t>m</w:t>
      </w:r>
      <w:r w:rsidRPr="009E4BAA">
        <w:rPr>
          <w:b/>
          <w:bCs/>
        </w:rPr>
        <w:t>agazynowania</w:t>
      </w:r>
    </w:p>
    <w:p w14:paraId="5E9AC831" w14:textId="7A61B6F0" w:rsidR="00BB3D51" w:rsidRDefault="00983767" w:rsidP="007639A6">
      <w:pPr>
        <w:pStyle w:val="Default"/>
        <w:spacing w:line="276" w:lineRule="auto"/>
        <w:jc w:val="both"/>
      </w:pPr>
      <w:r>
        <w:t>Projektodawca</w:t>
      </w:r>
      <w:r w:rsidR="00BB3D51">
        <w:t>, w związku z wejściem w życie rozporządzenia Parlamentu Europejskiego i Rady (UE) 2022/1032 z dnia 29 czerwca 2022 r. w sprawie zmiany rozporządzeń (UE) 2017/1938 i (WE) nr 715/2009 w odniesieniu do magazynowania gazu, realizuje nałożony na państwo członkowskie obowiązek zapewnienia, aby każdy operator systemu magazynowania, w tym każdy operator systemu magazynowania kontrolowany przez operatora systemu przesyłowego, był certyfikowany, zgodnie z procedurą określoną w artykule 3a tego rozporządzenia.</w:t>
      </w:r>
    </w:p>
    <w:p w14:paraId="72FEEED7" w14:textId="7438EE83" w:rsidR="00BB3D51" w:rsidRDefault="00BB3D51" w:rsidP="007639A6">
      <w:pPr>
        <w:pStyle w:val="Default"/>
        <w:spacing w:line="276" w:lineRule="auto"/>
        <w:jc w:val="both"/>
      </w:pPr>
      <w:r>
        <w:t xml:space="preserve">Celem wprowadzenia obligatoryjnej certyfikacji operatorów systemu magazynowania jest </w:t>
      </w:r>
      <w:proofErr w:type="spellStart"/>
      <w:r>
        <w:t>mitygacja</w:t>
      </w:r>
      <w:proofErr w:type="spellEnd"/>
      <w:r>
        <w:t xml:space="preserve"> </w:t>
      </w:r>
      <w:proofErr w:type="spellStart"/>
      <w:r>
        <w:t>ryzyk</w:t>
      </w:r>
      <w:proofErr w:type="spellEnd"/>
      <w:r>
        <w:t xml:space="preserve"> wynikających ze szczególnej sytuacji geopolitycznej, która wpłynęła w sposób fundamentalny na zmianę otoczenia rynkowego oraz doprowadziła do zaburzenia funkcjonującego dotychczas łańcucha dostaw paliw gazowych do odbiorców zamieszkujących terytorium Unii Europejskiej w wyniku jednostronnych działań grupy kapitałowej G</w:t>
      </w:r>
      <w:r w:rsidR="008E3CAF">
        <w:t>azprom</w:t>
      </w:r>
      <w:r>
        <w:t>.</w:t>
      </w:r>
    </w:p>
    <w:p w14:paraId="6B85213A" w14:textId="2640D07F" w:rsidR="00B441FD" w:rsidRDefault="00BB3D51" w:rsidP="007639A6">
      <w:pPr>
        <w:pStyle w:val="Default"/>
        <w:spacing w:line="276" w:lineRule="auto"/>
        <w:jc w:val="both"/>
      </w:pPr>
      <w:r>
        <w:t>W związku z powyższym, wzrosła rola oraz znaczenie instalacji służących do magazynowania gazu, jako części europejskiej infrastruktury krytycznej. Jak słusznie zostało zauważone</w:t>
      </w:r>
      <w:r w:rsidR="007E7ED4">
        <w:t xml:space="preserve"> przez unijnego ustawodawcę</w:t>
      </w:r>
      <w:r>
        <w:t>, rozbudowa oraz zagwarantowanie bezpieczeństwa pracy instalacji magazynowych stanowi odpowiedź na nowe wyzwania w przedmiocie zapewnienia dostępu do stałych oraz nieprzerwanych dostaw paliw gazowych do odbiorców. Certyfikacja ma zapewnić wyeliminowanie ryzyka związanego z możliwością wpływania na działalność operatora systemu magazynowania, w sposób który mógłby zagrozić bezpieczeństwu dostaw paliw gazowych na poziomie krajowym, regionalnym lub unijnym.</w:t>
      </w:r>
      <w:r w:rsidR="00E22FBE">
        <w:t xml:space="preserve"> </w:t>
      </w:r>
      <w:r w:rsidR="00E22FBE" w:rsidRPr="00E22FBE">
        <w:t xml:space="preserve">Celem przyznawanego przez Prezesa </w:t>
      </w:r>
      <w:r w:rsidR="007E7ED4">
        <w:t>URE</w:t>
      </w:r>
      <w:r w:rsidR="00E22FBE" w:rsidRPr="00E22FBE">
        <w:t xml:space="preserve"> certyfikatu jest zweryfikowanie oraz potwierdzenie, czy przedsiębiorstwo energetyczne ubiegające się o status operatora systemu </w:t>
      </w:r>
      <w:r w:rsidR="007E7ED4">
        <w:t>magazynowania</w:t>
      </w:r>
      <w:r w:rsidR="00E22FBE" w:rsidRPr="00E22FBE">
        <w:t xml:space="preserve"> spełnia wszystkie wymogi świadczące o jego niezależności.</w:t>
      </w:r>
    </w:p>
    <w:p w14:paraId="7557B371" w14:textId="77777777" w:rsidR="007E7ED4" w:rsidRDefault="007E7ED4" w:rsidP="007639A6">
      <w:pPr>
        <w:pStyle w:val="Default"/>
        <w:spacing w:line="276" w:lineRule="auto"/>
        <w:jc w:val="both"/>
      </w:pPr>
    </w:p>
    <w:p w14:paraId="055645CE" w14:textId="11B41565" w:rsidR="007E7ED4" w:rsidRPr="00F36CFB" w:rsidRDefault="007E7ED4" w:rsidP="007639A6">
      <w:pPr>
        <w:pStyle w:val="Default"/>
        <w:spacing w:line="276" w:lineRule="auto"/>
        <w:jc w:val="both"/>
        <w:rPr>
          <w:b/>
          <w:bCs/>
        </w:rPr>
      </w:pPr>
      <w:r w:rsidRPr="00F36CFB">
        <w:rPr>
          <w:b/>
          <w:bCs/>
        </w:rPr>
        <w:t>2.</w:t>
      </w:r>
      <w:r w:rsidR="0046403A">
        <w:rPr>
          <w:b/>
          <w:bCs/>
        </w:rPr>
        <w:t>5.</w:t>
      </w:r>
      <w:r w:rsidR="0046403A" w:rsidRPr="00F36CFB">
        <w:rPr>
          <w:b/>
          <w:bCs/>
        </w:rPr>
        <w:t xml:space="preserve"> </w:t>
      </w:r>
      <w:r w:rsidRPr="00F36CFB">
        <w:rPr>
          <w:b/>
          <w:bCs/>
        </w:rPr>
        <w:t>Nowy obowiązek informacyjny dla wytwórców energii elektrycznej</w:t>
      </w:r>
    </w:p>
    <w:p w14:paraId="0623EFCF" w14:textId="1F1A3072" w:rsidR="007E7ED4" w:rsidRPr="00576458" w:rsidRDefault="00983767" w:rsidP="007639A6">
      <w:pPr>
        <w:spacing w:after="0" w:line="276" w:lineRule="auto"/>
        <w:jc w:val="both"/>
        <w:rPr>
          <w:rFonts w:ascii="Times" w:hAnsi="Times" w:cs="Times"/>
          <w:color w:val="FF0000"/>
          <w:sz w:val="24"/>
          <w:szCs w:val="24"/>
          <w:lang w:eastAsia="pl-PL"/>
        </w:rPr>
      </w:pPr>
      <w:r>
        <w:rPr>
          <w:rFonts w:ascii="Times New Roman" w:eastAsia="Calibri" w:hAnsi="Times New Roman" w:cs="Arial"/>
          <w:sz w:val="24"/>
          <w:szCs w:val="24"/>
          <w:lang w:eastAsia="pl-PL"/>
        </w:rPr>
        <w:t>Projekt</w:t>
      </w:r>
      <w:r w:rsidR="007E7ED4">
        <w:rPr>
          <w:rFonts w:ascii="Times New Roman" w:eastAsia="Calibri" w:hAnsi="Times New Roman" w:cs="Arial"/>
          <w:sz w:val="24"/>
          <w:szCs w:val="24"/>
          <w:lang w:eastAsia="pl-PL"/>
        </w:rPr>
        <w:t xml:space="preserve"> ustawy zakłada wprowadzenie nowego obowiązku informacyjnego po stronie wytwórców energii elektrycznej. Dodanie zaproponowanego przepisu jest niezbędne ze </w:t>
      </w:r>
      <w:r w:rsidR="007E7ED4">
        <w:rPr>
          <w:rFonts w:ascii="Times New Roman" w:eastAsia="Calibri" w:hAnsi="Times New Roman" w:cs="Arial"/>
          <w:sz w:val="24"/>
          <w:szCs w:val="24"/>
          <w:lang w:eastAsia="pl-PL"/>
        </w:rPr>
        <w:lastRenderedPageBreak/>
        <w:t xml:space="preserve">względu na uchylenie art. 49a </w:t>
      </w:r>
      <w:proofErr w:type="spellStart"/>
      <w:r w:rsidR="00551221">
        <w:rPr>
          <w:rFonts w:ascii="Times New Roman" w:eastAsia="Calibri" w:hAnsi="Times New Roman" w:cs="Arial"/>
          <w:sz w:val="24"/>
          <w:szCs w:val="24"/>
          <w:lang w:eastAsia="pl-PL"/>
        </w:rPr>
        <w:t>uPE</w:t>
      </w:r>
      <w:proofErr w:type="spellEnd"/>
      <w:r w:rsidR="007E7ED4">
        <w:rPr>
          <w:rFonts w:ascii="Times New Roman" w:eastAsia="Calibri" w:hAnsi="Times New Roman" w:cs="Arial"/>
          <w:sz w:val="24"/>
          <w:szCs w:val="24"/>
          <w:lang w:eastAsia="pl-PL"/>
        </w:rPr>
        <w:t xml:space="preserve">, w którym zawarty był m.in. </w:t>
      </w:r>
      <w:r w:rsidR="007E7ED4">
        <w:rPr>
          <w:rFonts w:ascii="Times New Roman" w:eastAsia="Times New Roman" w:hAnsi="Times New Roman" w:cs="Times New Roman"/>
          <w:sz w:val="24"/>
          <w:szCs w:val="24"/>
        </w:rPr>
        <w:t xml:space="preserve">obowiązek przedsiębiorstw energetycznych </w:t>
      </w:r>
      <w:r w:rsidR="007E7ED4">
        <w:rPr>
          <w:rFonts w:ascii="Times New Roman" w:hAnsi="Times New Roman" w:cs="Times New Roman"/>
          <w:sz w:val="24"/>
          <w:szCs w:val="24"/>
        </w:rPr>
        <w:t>zajmujących</w:t>
      </w:r>
      <w:r w:rsidR="007E7ED4" w:rsidRPr="00A0735A">
        <w:rPr>
          <w:rFonts w:ascii="Times New Roman" w:hAnsi="Times New Roman" w:cs="Times New Roman"/>
          <w:sz w:val="24"/>
          <w:szCs w:val="24"/>
        </w:rPr>
        <w:t xml:space="preserve"> się wytwarzaniem energii elektrycznej</w:t>
      </w:r>
      <w:r w:rsidR="007E7ED4">
        <w:rPr>
          <w:rFonts w:ascii="Times New Roman" w:hAnsi="Times New Roman" w:cs="Times New Roman"/>
          <w:sz w:val="24"/>
          <w:szCs w:val="24"/>
        </w:rPr>
        <w:t xml:space="preserve"> do informowania Prezesa URE o zawartych umowach, </w:t>
      </w:r>
      <w:r w:rsidR="007E7ED4" w:rsidRPr="00A0735A">
        <w:rPr>
          <w:rFonts w:ascii="Times New Roman" w:hAnsi="Times New Roman" w:cs="Times New Roman"/>
          <w:sz w:val="24"/>
          <w:szCs w:val="24"/>
        </w:rPr>
        <w:t xml:space="preserve">na podstawie których </w:t>
      </w:r>
      <w:r w:rsidR="007E7ED4">
        <w:rPr>
          <w:rFonts w:ascii="Times New Roman" w:hAnsi="Times New Roman" w:cs="Times New Roman"/>
          <w:sz w:val="24"/>
          <w:szCs w:val="24"/>
        </w:rPr>
        <w:t xml:space="preserve">przedsiębiorstwa te sprzedają </w:t>
      </w:r>
      <w:r w:rsidR="007E7ED4" w:rsidRPr="00A0735A">
        <w:rPr>
          <w:rFonts w:ascii="Times New Roman" w:hAnsi="Times New Roman" w:cs="Times New Roman"/>
          <w:sz w:val="24"/>
          <w:szCs w:val="24"/>
        </w:rPr>
        <w:t>wytworzoną energię elektryczną</w:t>
      </w:r>
      <w:r w:rsidR="007E7ED4">
        <w:rPr>
          <w:rFonts w:ascii="Times New Roman" w:hAnsi="Times New Roman" w:cs="Times New Roman"/>
          <w:sz w:val="24"/>
          <w:szCs w:val="24"/>
        </w:rPr>
        <w:t>, w tym o ilości i cenie energii elektrycznej. Dane te są konieczne do wyliczania cen odniesienia niezbędnych w działalności regulacyjnej Prezesa URE, w szczególności do wyliczania średnich cen sprzedaży energii elektrycznej. Dodatkowo zostały wprowadzone stosowne zmiany umożliwiające Prezesowi URE nałożenie kary pieniężnej w przypadku niewywiązania się z przedmiotowego obowiązku.</w:t>
      </w:r>
    </w:p>
    <w:p w14:paraId="75FB32D8" w14:textId="2A42BC92" w:rsidR="00B441FD" w:rsidRDefault="00B441FD" w:rsidP="007639A6">
      <w:pPr>
        <w:pStyle w:val="Default"/>
        <w:spacing w:line="276" w:lineRule="auto"/>
        <w:jc w:val="both"/>
      </w:pPr>
    </w:p>
    <w:p w14:paraId="3609B7AB" w14:textId="4AC1518A" w:rsidR="007C6262" w:rsidRPr="007C6262" w:rsidRDefault="007E7ED4" w:rsidP="007639A6">
      <w:pPr>
        <w:pStyle w:val="Default"/>
        <w:spacing w:line="276" w:lineRule="auto"/>
        <w:jc w:val="both"/>
        <w:rPr>
          <w:b/>
          <w:bCs/>
          <w:spacing w:val="-2"/>
        </w:rPr>
      </w:pPr>
      <w:r w:rsidRPr="00F36CFB">
        <w:rPr>
          <w:b/>
          <w:bCs/>
        </w:rPr>
        <w:t>2.</w:t>
      </w:r>
      <w:r w:rsidR="0046403A">
        <w:rPr>
          <w:b/>
          <w:bCs/>
        </w:rPr>
        <w:t>6.</w:t>
      </w:r>
      <w:r w:rsidR="0046403A" w:rsidRPr="00F36CFB">
        <w:rPr>
          <w:b/>
          <w:bCs/>
        </w:rPr>
        <w:t xml:space="preserve"> </w:t>
      </w:r>
      <w:r w:rsidR="007C6262">
        <w:rPr>
          <w:b/>
          <w:bCs/>
          <w:spacing w:val="-2"/>
        </w:rPr>
        <w:t>Doprecyzowanie przepisów dot</w:t>
      </w:r>
      <w:r w:rsidR="000C741B">
        <w:rPr>
          <w:b/>
          <w:bCs/>
          <w:spacing w:val="-2"/>
        </w:rPr>
        <w:t>yczących</w:t>
      </w:r>
      <w:r w:rsidR="007C6262">
        <w:rPr>
          <w:b/>
          <w:bCs/>
          <w:spacing w:val="-2"/>
        </w:rPr>
        <w:t xml:space="preserve"> współpracy </w:t>
      </w:r>
      <w:proofErr w:type="spellStart"/>
      <w:r w:rsidR="007C6262">
        <w:rPr>
          <w:b/>
          <w:bCs/>
          <w:spacing w:val="-2"/>
        </w:rPr>
        <w:t>mikroinstalacji</w:t>
      </w:r>
      <w:proofErr w:type="spellEnd"/>
      <w:r w:rsidR="007C6262">
        <w:rPr>
          <w:b/>
          <w:bCs/>
          <w:spacing w:val="-2"/>
        </w:rPr>
        <w:t xml:space="preserve"> z magazynem energii elektrycznej</w:t>
      </w:r>
    </w:p>
    <w:p w14:paraId="0247D100" w14:textId="77777777" w:rsidR="00F929EE" w:rsidRPr="00DC0423" w:rsidRDefault="00F929EE" w:rsidP="007639A6">
      <w:pPr>
        <w:pStyle w:val="Normal1"/>
        <w:rPr>
          <w:rFonts w:ascii="Times New Roman" w:hAnsi="Times New Roman" w:cs="Times New Roman"/>
          <w:sz w:val="24"/>
        </w:rPr>
      </w:pPr>
      <w:bookmarkStart w:id="1" w:name="_Hlk117836771"/>
      <w:r w:rsidRPr="00DC0423">
        <w:rPr>
          <w:rFonts w:ascii="Times New Roman" w:eastAsiaTheme="minorHAnsi" w:hAnsi="Times New Roman" w:cs="Times New Roman"/>
          <w:color w:val="000000"/>
          <w:spacing w:val="-2"/>
          <w:sz w:val="24"/>
        </w:rPr>
        <w:t xml:space="preserve">Zmiana w art. 7 ustawy Prawo energetyczne ma na celu doprecyzowanie, że </w:t>
      </w:r>
      <w:r w:rsidRPr="00DC0423">
        <w:rPr>
          <w:rFonts w:ascii="Times New Roman" w:hAnsi="Times New Roman" w:cs="Times New Roman"/>
          <w:sz w:val="24"/>
        </w:rPr>
        <w:t xml:space="preserve">do mocy zainstalowanej </w:t>
      </w:r>
      <w:proofErr w:type="spellStart"/>
      <w:r w:rsidRPr="00DC0423">
        <w:rPr>
          <w:rFonts w:ascii="Times New Roman" w:hAnsi="Times New Roman" w:cs="Times New Roman"/>
          <w:sz w:val="24"/>
        </w:rPr>
        <w:t>mikroinstalacji</w:t>
      </w:r>
      <w:proofErr w:type="spellEnd"/>
      <w:r w:rsidRPr="00DC0423">
        <w:rPr>
          <w:rFonts w:ascii="Times New Roman" w:hAnsi="Times New Roman" w:cs="Times New Roman"/>
          <w:sz w:val="24"/>
        </w:rPr>
        <w:t xml:space="preserve"> nie wlicza się mocy zainstalowanej magazynu energii elektrycznej, o ile:</w:t>
      </w:r>
    </w:p>
    <w:p w14:paraId="1829A74C" w14:textId="77777777" w:rsidR="00F929EE" w:rsidRPr="00DC0423" w:rsidRDefault="00F929EE" w:rsidP="007639A6">
      <w:pPr>
        <w:pStyle w:val="Normal1"/>
        <w:ind w:left="720"/>
        <w:rPr>
          <w:rFonts w:ascii="Times New Roman" w:hAnsi="Times New Roman" w:cs="Times New Roman"/>
          <w:sz w:val="24"/>
        </w:rPr>
      </w:pPr>
      <w:r w:rsidRPr="00DC0423">
        <w:rPr>
          <w:rFonts w:ascii="Times New Roman" w:hAnsi="Times New Roman" w:cs="Times New Roman"/>
          <w:sz w:val="24"/>
        </w:rPr>
        <w:t xml:space="preserve">a) </w:t>
      </w:r>
      <w:r w:rsidRPr="00DC0423">
        <w:rPr>
          <w:rFonts w:ascii="Times New Roman" w:eastAsiaTheme="minorHAnsi" w:hAnsi="Times New Roman" w:cs="Times New Roman"/>
          <w:color w:val="000000"/>
          <w:spacing w:val="-2"/>
          <w:sz w:val="24"/>
        </w:rPr>
        <w:t xml:space="preserve">moc zainstalowana magazynu energii elektrycznej jest nie większa, niż moc zainstalowana elektryczna </w:t>
      </w:r>
      <w:proofErr w:type="spellStart"/>
      <w:r w:rsidRPr="00DC0423">
        <w:rPr>
          <w:rFonts w:ascii="Times New Roman" w:eastAsiaTheme="minorHAnsi" w:hAnsi="Times New Roman" w:cs="Times New Roman"/>
          <w:color w:val="000000"/>
          <w:spacing w:val="-2"/>
          <w:sz w:val="24"/>
        </w:rPr>
        <w:t>mikroinstalacji</w:t>
      </w:r>
      <w:proofErr w:type="spellEnd"/>
      <w:r w:rsidRPr="00DC0423">
        <w:rPr>
          <w:rFonts w:ascii="Times New Roman" w:eastAsiaTheme="minorHAnsi" w:hAnsi="Times New Roman" w:cs="Times New Roman"/>
          <w:color w:val="000000"/>
          <w:spacing w:val="-2"/>
          <w:sz w:val="24"/>
        </w:rPr>
        <w:t>,</w:t>
      </w:r>
    </w:p>
    <w:p w14:paraId="1103CE3B" w14:textId="77777777" w:rsidR="00F929EE" w:rsidRPr="00DC0423" w:rsidRDefault="00F929EE" w:rsidP="007639A6">
      <w:pPr>
        <w:pStyle w:val="Normal1"/>
        <w:ind w:left="720"/>
        <w:rPr>
          <w:rFonts w:ascii="Times New Roman" w:eastAsiaTheme="minorHAnsi" w:hAnsi="Times New Roman" w:cs="Times New Roman"/>
          <w:color w:val="000000"/>
          <w:spacing w:val="-2"/>
          <w:sz w:val="24"/>
        </w:rPr>
      </w:pPr>
      <w:r w:rsidRPr="00DC0423">
        <w:rPr>
          <w:rFonts w:ascii="Times New Roman" w:eastAsiaTheme="minorHAnsi" w:hAnsi="Times New Roman" w:cs="Times New Roman"/>
          <w:color w:val="000000"/>
          <w:spacing w:val="-2"/>
          <w:sz w:val="24"/>
        </w:rPr>
        <w:t xml:space="preserve">b) łączna moc możliwa do wprowadzenia do sieci dystrybucyjnej przez </w:t>
      </w:r>
      <w:proofErr w:type="spellStart"/>
      <w:r w:rsidRPr="00DC0423">
        <w:rPr>
          <w:rFonts w:ascii="Times New Roman" w:eastAsiaTheme="minorHAnsi" w:hAnsi="Times New Roman" w:cs="Times New Roman"/>
          <w:color w:val="000000"/>
          <w:spacing w:val="-2"/>
          <w:sz w:val="24"/>
        </w:rPr>
        <w:t>mikroinstalację</w:t>
      </w:r>
      <w:proofErr w:type="spellEnd"/>
      <w:r w:rsidRPr="00DC0423">
        <w:rPr>
          <w:rFonts w:ascii="Times New Roman" w:eastAsiaTheme="minorHAnsi" w:hAnsi="Times New Roman" w:cs="Times New Roman"/>
          <w:color w:val="000000"/>
          <w:spacing w:val="-2"/>
          <w:sz w:val="24"/>
        </w:rPr>
        <w:t xml:space="preserve"> z magazynem energii elektrycznej jest nie większa, niż moc zainstalowana elektryczna tej </w:t>
      </w:r>
      <w:proofErr w:type="spellStart"/>
      <w:r w:rsidRPr="00DC0423">
        <w:rPr>
          <w:rFonts w:ascii="Times New Roman" w:eastAsiaTheme="minorHAnsi" w:hAnsi="Times New Roman" w:cs="Times New Roman"/>
          <w:color w:val="000000"/>
          <w:spacing w:val="-2"/>
          <w:sz w:val="24"/>
        </w:rPr>
        <w:t>mikroinstalacji</w:t>
      </w:r>
      <w:proofErr w:type="spellEnd"/>
      <w:r w:rsidRPr="00DC0423">
        <w:rPr>
          <w:rFonts w:ascii="Times New Roman" w:eastAsiaTheme="minorHAnsi" w:hAnsi="Times New Roman" w:cs="Times New Roman"/>
          <w:color w:val="000000"/>
          <w:spacing w:val="-2"/>
          <w:sz w:val="24"/>
        </w:rPr>
        <w:t>.</w:t>
      </w:r>
    </w:p>
    <w:p w14:paraId="5A0B59B7" w14:textId="77777777" w:rsidR="00F929EE" w:rsidRPr="00DC0423" w:rsidRDefault="00F929EE" w:rsidP="007639A6">
      <w:pPr>
        <w:pStyle w:val="Normal1"/>
        <w:rPr>
          <w:rFonts w:ascii="Times New Roman" w:hAnsi="Times New Roman" w:cs="Times New Roman"/>
          <w:sz w:val="24"/>
        </w:rPr>
      </w:pPr>
      <w:r w:rsidRPr="00DC0423">
        <w:rPr>
          <w:rFonts w:ascii="Times New Roman" w:hAnsi="Times New Roman" w:cs="Times New Roman"/>
          <w:sz w:val="24"/>
        </w:rPr>
        <w:t xml:space="preserve">W efekcie, przyłączenie w przypadku </w:t>
      </w:r>
      <w:proofErr w:type="spellStart"/>
      <w:r w:rsidRPr="00DC0423">
        <w:rPr>
          <w:rFonts w:ascii="Times New Roman" w:hAnsi="Times New Roman" w:cs="Times New Roman"/>
          <w:sz w:val="24"/>
        </w:rPr>
        <w:t>mikroinstalacji</w:t>
      </w:r>
      <w:proofErr w:type="spellEnd"/>
      <w:r w:rsidRPr="00DC0423">
        <w:rPr>
          <w:rFonts w:ascii="Times New Roman" w:hAnsi="Times New Roman" w:cs="Times New Roman"/>
          <w:sz w:val="24"/>
        </w:rPr>
        <w:t xml:space="preserve"> obejmującej magazyn energii o mocy zainstalowanej nie większej niż w wydanych warunkach przyłączenia, odbywać się będzie na podstawie zgłoszenia przyłączenia </w:t>
      </w:r>
      <w:proofErr w:type="spellStart"/>
      <w:r w:rsidRPr="00DC0423">
        <w:rPr>
          <w:rFonts w:ascii="Times New Roman" w:hAnsi="Times New Roman" w:cs="Times New Roman"/>
          <w:sz w:val="24"/>
        </w:rPr>
        <w:t>mikroinstalacji</w:t>
      </w:r>
      <w:proofErr w:type="spellEnd"/>
      <w:r w:rsidRPr="00DC0423">
        <w:rPr>
          <w:rFonts w:ascii="Times New Roman" w:hAnsi="Times New Roman" w:cs="Times New Roman"/>
          <w:sz w:val="24"/>
        </w:rPr>
        <w:t xml:space="preserve">. </w:t>
      </w:r>
    </w:p>
    <w:p w14:paraId="007DA8BC" w14:textId="77777777" w:rsidR="00F929EE" w:rsidRPr="00DC0423" w:rsidRDefault="00F929EE" w:rsidP="007639A6">
      <w:pPr>
        <w:pStyle w:val="Normal1"/>
        <w:rPr>
          <w:rFonts w:ascii="Times New Roman" w:hAnsi="Times New Roman" w:cs="Times New Roman"/>
          <w:sz w:val="24"/>
        </w:rPr>
      </w:pPr>
      <w:r w:rsidRPr="00DC0423">
        <w:rPr>
          <w:rFonts w:ascii="Times New Roman" w:hAnsi="Times New Roman" w:cs="Times New Roman"/>
          <w:sz w:val="24"/>
        </w:rPr>
        <w:t xml:space="preserve">Zaproponowane zmiany doprowadzą do ograniczenia zidentyfikowanych barier w zakresie przyłączania magazynów energii elektrycznej dla odbiorców końcowych przyłączonych do sieci dystrybucyjnej. W szczególności nowe podejście sprawi, iż prosumenci rozliczający się w tzw. systemie opustów, po rozbudowie </w:t>
      </w:r>
      <w:proofErr w:type="spellStart"/>
      <w:r w:rsidRPr="00DC0423">
        <w:rPr>
          <w:rFonts w:ascii="Times New Roman" w:hAnsi="Times New Roman" w:cs="Times New Roman"/>
          <w:sz w:val="24"/>
        </w:rPr>
        <w:t>mikroinstalacji</w:t>
      </w:r>
      <w:proofErr w:type="spellEnd"/>
      <w:r w:rsidRPr="00DC0423">
        <w:rPr>
          <w:rFonts w:ascii="Times New Roman" w:hAnsi="Times New Roman" w:cs="Times New Roman"/>
          <w:sz w:val="24"/>
        </w:rPr>
        <w:t xml:space="preserve"> o magazyn energii elektrycznej nie przejdą na niższy współczynnik rozliczenia, tj. z  0,8 na 0,7. Należy podkreślić, że  zgodnie z obowiązującymi przepisami  taka sytuacja miała miejsce w przypadku podłączenia magazynu energii do </w:t>
      </w:r>
      <w:proofErr w:type="spellStart"/>
      <w:r w:rsidRPr="00DC0423">
        <w:rPr>
          <w:rFonts w:ascii="Times New Roman" w:hAnsi="Times New Roman" w:cs="Times New Roman"/>
          <w:sz w:val="24"/>
        </w:rPr>
        <w:t>mikroinstalacji</w:t>
      </w:r>
      <w:proofErr w:type="spellEnd"/>
      <w:r w:rsidRPr="00DC0423">
        <w:rPr>
          <w:rFonts w:ascii="Times New Roman" w:hAnsi="Times New Roman" w:cs="Times New Roman"/>
          <w:sz w:val="24"/>
        </w:rPr>
        <w:t xml:space="preserve"> o mocy większej niż 10 </w:t>
      </w:r>
      <w:proofErr w:type="spellStart"/>
      <w:r w:rsidRPr="00DC0423">
        <w:rPr>
          <w:rFonts w:ascii="Times New Roman" w:hAnsi="Times New Roman" w:cs="Times New Roman"/>
          <w:sz w:val="24"/>
        </w:rPr>
        <w:t>kW.</w:t>
      </w:r>
      <w:proofErr w:type="spellEnd"/>
    </w:p>
    <w:p w14:paraId="365AA3B8" w14:textId="77777777" w:rsidR="00397D96" w:rsidRDefault="00397D96" w:rsidP="007639A6">
      <w:pPr>
        <w:spacing w:after="120" w:line="276" w:lineRule="auto"/>
        <w:jc w:val="both"/>
        <w:rPr>
          <w:rFonts w:ascii="Times New Roman" w:hAnsi="Times New Roman" w:cs="Times New Roman"/>
          <w:b/>
          <w:bCs/>
          <w:sz w:val="24"/>
          <w:szCs w:val="24"/>
        </w:rPr>
      </w:pPr>
    </w:p>
    <w:p w14:paraId="1C5F24A7" w14:textId="756209F3" w:rsidR="00A832EC" w:rsidRDefault="00A832EC" w:rsidP="007639A6">
      <w:pPr>
        <w:spacing w:after="120" w:line="276" w:lineRule="auto"/>
        <w:jc w:val="both"/>
        <w:rPr>
          <w:rFonts w:ascii="Times New Roman" w:eastAsia="Calibri" w:hAnsi="Times New Roman" w:cs="Times New Roman"/>
          <w:b/>
          <w:bCs/>
          <w:sz w:val="24"/>
          <w:szCs w:val="24"/>
        </w:rPr>
      </w:pPr>
      <w:r w:rsidRPr="00F36CFB">
        <w:rPr>
          <w:rFonts w:ascii="Times New Roman" w:hAnsi="Times New Roman" w:cs="Times New Roman"/>
          <w:b/>
          <w:bCs/>
          <w:sz w:val="24"/>
          <w:szCs w:val="24"/>
        </w:rPr>
        <w:t>2.</w:t>
      </w:r>
      <w:r w:rsidR="0046403A">
        <w:rPr>
          <w:rFonts w:ascii="Times New Roman" w:hAnsi="Times New Roman" w:cs="Times New Roman"/>
          <w:b/>
          <w:bCs/>
          <w:sz w:val="24"/>
          <w:szCs w:val="24"/>
        </w:rPr>
        <w:t>7.</w:t>
      </w:r>
      <w:r w:rsidR="0046403A" w:rsidRPr="00F36CFB">
        <w:rPr>
          <w:rFonts w:ascii="Times New Roman" w:hAnsi="Times New Roman" w:cs="Times New Roman"/>
          <w:b/>
          <w:bCs/>
          <w:sz w:val="24"/>
          <w:szCs w:val="24"/>
        </w:rPr>
        <w:t xml:space="preserve"> </w:t>
      </w:r>
      <w:r>
        <w:rPr>
          <w:rFonts w:ascii="Times New Roman" w:eastAsia="Calibri" w:hAnsi="Times New Roman" w:cs="Times New Roman"/>
          <w:b/>
          <w:bCs/>
          <w:sz w:val="24"/>
          <w:szCs w:val="24"/>
        </w:rPr>
        <w:t>Rozszerzenie katalogu odbiorców, w rozliczeniach z którym stosuje się taryfę zatwierdzoną przez Prezesa URE</w:t>
      </w:r>
      <w:r w:rsidR="00A355C2">
        <w:rPr>
          <w:rFonts w:ascii="Times New Roman" w:eastAsia="Calibri" w:hAnsi="Times New Roman" w:cs="Times New Roman"/>
          <w:b/>
          <w:bCs/>
          <w:sz w:val="24"/>
          <w:szCs w:val="24"/>
        </w:rPr>
        <w:t xml:space="preserve"> oraz doprecyzowanie przepisów</w:t>
      </w:r>
    </w:p>
    <w:p w14:paraId="6A9AD835" w14:textId="1EAEDE39" w:rsidR="00A832EC" w:rsidRDefault="00A832EC" w:rsidP="007639A6">
      <w:pPr>
        <w:spacing w:after="12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Celem zmiany art. 62b ust. 1 pkt 2 </w:t>
      </w:r>
      <w:proofErr w:type="spellStart"/>
      <w:r w:rsidRPr="00DC0423">
        <w:rPr>
          <w:rFonts w:ascii="Times New Roman" w:hAnsi="Times New Roman" w:cs="Times New Roman"/>
          <w:sz w:val="24"/>
          <w:szCs w:val="24"/>
        </w:rPr>
        <w:t>uPE</w:t>
      </w:r>
      <w:proofErr w:type="spellEnd"/>
      <w:r w:rsidRPr="00DC0423">
        <w:rPr>
          <w:rFonts w:ascii="Times New Roman" w:hAnsi="Times New Roman" w:cs="Times New Roman"/>
          <w:sz w:val="24"/>
          <w:szCs w:val="24"/>
        </w:rPr>
        <w:t xml:space="preserve">, jest </w:t>
      </w:r>
      <w:r w:rsidR="00EC4324" w:rsidRPr="00DC0423">
        <w:rPr>
          <w:rFonts w:ascii="Times New Roman" w:hAnsi="Times New Roman" w:cs="Times New Roman"/>
          <w:sz w:val="24"/>
          <w:szCs w:val="24"/>
        </w:rPr>
        <w:t xml:space="preserve">rozszerzenie istniejących możliwości stosowania taryfy, dla spółdzielni i wspólnot mieszkaniowych, które z mocy ustawy, umowy lub innego tytułu prawnego są uprawnione lub zobowiązane do </w:t>
      </w:r>
      <w:r w:rsidR="00EC4324" w:rsidRPr="00EC4324">
        <w:rPr>
          <w:rFonts w:ascii="Times New Roman" w:hAnsi="Times New Roman" w:cs="Times New Roman"/>
          <w:sz w:val="24"/>
          <w:szCs w:val="24"/>
        </w:rPr>
        <w:t>zapewnienia paliwa gazowego w lokalach mieszkalnych na potrzeby zużycia przez gospodarstwa domowe</w:t>
      </w:r>
      <w:r w:rsidR="00EC4324">
        <w:rPr>
          <w:rFonts w:ascii="Times New Roman" w:hAnsi="Times New Roman" w:cs="Times New Roman"/>
          <w:sz w:val="24"/>
          <w:szCs w:val="24"/>
        </w:rPr>
        <w:t xml:space="preserve"> lub</w:t>
      </w:r>
      <w:r w:rsidR="00EC4324" w:rsidRPr="00EC4324">
        <w:rPr>
          <w:rFonts w:ascii="Times New Roman" w:hAnsi="Times New Roman" w:cs="Times New Roman"/>
          <w:sz w:val="24"/>
          <w:szCs w:val="24"/>
        </w:rPr>
        <w:t xml:space="preserve"> w lokalach podmiotów, o których mowa w </w:t>
      </w:r>
      <w:r w:rsidR="00CA5B15">
        <w:rPr>
          <w:rFonts w:ascii="Times New Roman" w:hAnsi="Times New Roman" w:cs="Times New Roman"/>
          <w:sz w:val="24"/>
          <w:szCs w:val="24"/>
        </w:rPr>
        <w:t xml:space="preserve">art. 62b ust. 1 pkt 2 </w:t>
      </w:r>
      <w:r w:rsidR="00EC4324" w:rsidRPr="00EC4324">
        <w:rPr>
          <w:rFonts w:ascii="Times New Roman" w:hAnsi="Times New Roman" w:cs="Times New Roman"/>
          <w:sz w:val="24"/>
          <w:szCs w:val="24"/>
        </w:rPr>
        <w:t>lit. d</w:t>
      </w:r>
      <w:r w:rsidR="00CA5B15">
        <w:rPr>
          <w:rFonts w:ascii="Times New Roman" w:hAnsi="Times New Roman" w:cs="Times New Roman"/>
          <w:sz w:val="24"/>
          <w:szCs w:val="24"/>
        </w:rPr>
        <w:t xml:space="preserve"> </w:t>
      </w:r>
      <w:proofErr w:type="spellStart"/>
      <w:r w:rsidR="00CA5B15">
        <w:rPr>
          <w:rFonts w:ascii="Times New Roman" w:hAnsi="Times New Roman" w:cs="Times New Roman"/>
          <w:sz w:val="24"/>
          <w:szCs w:val="24"/>
        </w:rPr>
        <w:t>uPE</w:t>
      </w:r>
      <w:proofErr w:type="spellEnd"/>
      <w:r w:rsidR="00EC4324">
        <w:rPr>
          <w:rFonts w:ascii="Times New Roman" w:hAnsi="Times New Roman" w:cs="Times New Roman"/>
          <w:sz w:val="24"/>
          <w:szCs w:val="24"/>
        </w:rPr>
        <w:t>. Aby zagwarantować</w:t>
      </w:r>
      <w:r w:rsidR="00541F18">
        <w:rPr>
          <w:rFonts w:ascii="Times New Roman" w:hAnsi="Times New Roman" w:cs="Times New Roman"/>
          <w:sz w:val="24"/>
          <w:szCs w:val="24"/>
        </w:rPr>
        <w:t xml:space="preserve"> dostęp do ceny paliw gazowych w wysokości określonej w taryfie zatwierdzonej przez Prezesa URE, </w:t>
      </w:r>
      <w:r w:rsidR="00C475B8">
        <w:rPr>
          <w:rFonts w:ascii="Times New Roman" w:hAnsi="Times New Roman" w:cs="Times New Roman"/>
          <w:sz w:val="24"/>
          <w:szCs w:val="24"/>
        </w:rPr>
        <w:t xml:space="preserve">w szczególności w przypadku w którym </w:t>
      </w:r>
      <w:r w:rsidR="00EC4324">
        <w:rPr>
          <w:rFonts w:ascii="Times New Roman" w:hAnsi="Times New Roman" w:cs="Times New Roman"/>
          <w:sz w:val="24"/>
          <w:szCs w:val="24"/>
        </w:rPr>
        <w:t>spółdzielnie lub wspólnoty mieszkaniowe, zobowiązane są do</w:t>
      </w:r>
      <w:r w:rsidR="00EC4324" w:rsidRPr="00EC4324">
        <w:rPr>
          <w:rFonts w:ascii="Times New Roman" w:hAnsi="Times New Roman" w:cs="Times New Roman"/>
          <w:sz w:val="24"/>
          <w:szCs w:val="24"/>
        </w:rPr>
        <w:t xml:space="preserve"> </w:t>
      </w:r>
      <w:r w:rsidR="00EC4324" w:rsidRPr="00DC0423">
        <w:rPr>
          <w:rFonts w:ascii="Times New Roman" w:hAnsi="Times New Roman" w:cs="Times New Roman"/>
          <w:sz w:val="24"/>
          <w:szCs w:val="24"/>
        </w:rPr>
        <w:t xml:space="preserve">lokalnej produkcji ciepła zużywanego w gospodarstwach domowych znajdujących się w </w:t>
      </w:r>
      <w:r w:rsidR="00EC4324" w:rsidRPr="00DC0423">
        <w:rPr>
          <w:rFonts w:ascii="Times New Roman" w:hAnsi="Times New Roman" w:cs="Times New Roman"/>
          <w:sz w:val="24"/>
          <w:szCs w:val="24"/>
        </w:rPr>
        <w:lastRenderedPageBreak/>
        <w:t xml:space="preserve">budynkach wielolokalowych należących do </w:t>
      </w:r>
      <w:r w:rsidR="00EC4324">
        <w:rPr>
          <w:rFonts w:ascii="Times New Roman" w:hAnsi="Times New Roman" w:cs="Times New Roman"/>
          <w:sz w:val="24"/>
          <w:szCs w:val="24"/>
        </w:rPr>
        <w:t xml:space="preserve">to tych </w:t>
      </w:r>
      <w:r w:rsidR="00EC4324" w:rsidRPr="00DC0423">
        <w:rPr>
          <w:rFonts w:ascii="Times New Roman" w:hAnsi="Times New Roman" w:cs="Times New Roman"/>
          <w:sz w:val="24"/>
          <w:szCs w:val="24"/>
        </w:rPr>
        <w:t>podmiotów</w:t>
      </w:r>
      <w:r w:rsidR="00EC4324">
        <w:rPr>
          <w:rFonts w:ascii="Times New Roman" w:hAnsi="Times New Roman" w:cs="Times New Roman"/>
          <w:sz w:val="24"/>
          <w:szCs w:val="24"/>
        </w:rPr>
        <w:t xml:space="preserve"> lub do</w:t>
      </w:r>
      <w:r w:rsidR="00EC4324" w:rsidRPr="00EC4324">
        <w:rPr>
          <w:rFonts w:ascii="Times New Roman" w:hAnsi="Times New Roman" w:cs="Times New Roman"/>
          <w:sz w:val="24"/>
          <w:szCs w:val="24"/>
        </w:rPr>
        <w:t xml:space="preserve"> lokal</w:t>
      </w:r>
      <w:r w:rsidR="00EC4324">
        <w:rPr>
          <w:rFonts w:ascii="Times New Roman" w:hAnsi="Times New Roman" w:cs="Times New Roman"/>
          <w:sz w:val="24"/>
          <w:szCs w:val="24"/>
        </w:rPr>
        <w:t>i</w:t>
      </w:r>
      <w:r w:rsidR="00EC4324" w:rsidRPr="00EC4324">
        <w:rPr>
          <w:rFonts w:ascii="Times New Roman" w:hAnsi="Times New Roman" w:cs="Times New Roman"/>
          <w:sz w:val="24"/>
          <w:szCs w:val="24"/>
        </w:rPr>
        <w:t xml:space="preserve"> podmiotów </w:t>
      </w:r>
      <w:r w:rsidR="00CA5B15">
        <w:rPr>
          <w:rFonts w:ascii="Times New Roman" w:hAnsi="Times New Roman" w:cs="Times New Roman"/>
          <w:sz w:val="24"/>
          <w:szCs w:val="24"/>
        </w:rPr>
        <w:t>wskazanych</w:t>
      </w:r>
      <w:r w:rsidR="00EC4324" w:rsidRPr="00EC4324">
        <w:rPr>
          <w:rFonts w:ascii="Times New Roman" w:hAnsi="Times New Roman" w:cs="Times New Roman"/>
          <w:sz w:val="24"/>
          <w:szCs w:val="24"/>
        </w:rPr>
        <w:t xml:space="preserve"> w </w:t>
      </w:r>
      <w:r w:rsidR="00EC4324" w:rsidRPr="003A4D18">
        <w:rPr>
          <w:rFonts w:ascii="Times New Roman" w:hAnsi="Times New Roman" w:cs="Times New Roman"/>
          <w:sz w:val="24"/>
          <w:szCs w:val="24"/>
        </w:rPr>
        <w:t xml:space="preserve">art. 62b ust. 1 pkt 2 </w:t>
      </w:r>
      <w:r w:rsidR="00EC4324" w:rsidRPr="00EC4324">
        <w:rPr>
          <w:rFonts w:ascii="Times New Roman" w:hAnsi="Times New Roman" w:cs="Times New Roman"/>
          <w:sz w:val="24"/>
          <w:szCs w:val="24"/>
        </w:rPr>
        <w:t>lit. d</w:t>
      </w:r>
      <w:r w:rsidR="00EC4324">
        <w:rPr>
          <w:rFonts w:ascii="Times New Roman" w:hAnsi="Times New Roman" w:cs="Times New Roman"/>
          <w:sz w:val="24"/>
          <w:szCs w:val="24"/>
        </w:rPr>
        <w:t xml:space="preserve"> </w:t>
      </w:r>
      <w:proofErr w:type="spellStart"/>
      <w:r w:rsidR="00EC4324">
        <w:rPr>
          <w:rFonts w:ascii="Times New Roman" w:hAnsi="Times New Roman" w:cs="Times New Roman"/>
          <w:sz w:val="24"/>
          <w:szCs w:val="24"/>
        </w:rPr>
        <w:t>uPE</w:t>
      </w:r>
      <w:proofErr w:type="spellEnd"/>
      <w:r w:rsidR="00EC4324">
        <w:rPr>
          <w:rFonts w:ascii="Times New Roman" w:hAnsi="Times New Roman" w:cs="Times New Roman"/>
          <w:sz w:val="24"/>
          <w:szCs w:val="24"/>
        </w:rPr>
        <w:t>, wprowadza się przytoczoną zmian</w:t>
      </w:r>
      <w:r w:rsidR="00C475B8">
        <w:rPr>
          <w:rFonts w:ascii="Times New Roman" w:hAnsi="Times New Roman" w:cs="Times New Roman"/>
          <w:sz w:val="24"/>
          <w:szCs w:val="24"/>
        </w:rPr>
        <w:t>ę</w:t>
      </w:r>
      <w:r w:rsidR="00EC4324">
        <w:rPr>
          <w:rFonts w:ascii="Times New Roman" w:hAnsi="Times New Roman" w:cs="Times New Roman"/>
          <w:sz w:val="24"/>
          <w:szCs w:val="24"/>
        </w:rPr>
        <w:t>.</w:t>
      </w:r>
    </w:p>
    <w:p w14:paraId="5EB20457" w14:textId="2283CAE0" w:rsidR="00EC4324" w:rsidRPr="00DC0423" w:rsidRDefault="00EC4324" w:rsidP="007639A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Dodatkowo, aby zagwarantować</w:t>
      </w:r>
      <w:r w:rsidR="00A355C2">
        <w:rPr>
          <w:rFonts w:ascii="Times New Roman" w:hAnsi="Times New Roman" w:cs="Times New Roman"/>
          <w:sz w:val="24"/>
          <w:szCs w:val="24"/>
        </w:rPr>
        <w:t xml:space="preserve"> możliwość</w:t>
      </w:r>
      <w:r w:rsidR="00A355C2" w:rsidRPr="00A355C2">
        <w:rPr>
          <w:rFonts w:ascii="Times New Roman" w:hAnsi="Times New Roman" w:cs="Times New Roman"/>
          <w:sz w:val="24"/>
          <w:szCs w:val="24"/>
        </w:rPr>
        <w:t xml:space="preserve"> reprezentowania i obrony praw, interesów zawodowych i socjalnych</w:t>
      </w:r>
      <w:r w:rsidR="00A355C2">
        <w:rPr>
          <w:rFonts w:ascii="Times New Roman" w:hAnsi="Times New Roman" w:cs="Times New Roman"/>
          <w:sz w:val="24"/>
          <w:szCs w:val="24"/>
        </w:rPr>
        <w:t xml:space="preserve"> osób pracujących, przez organizacje </w:t>
      </w:r>
      <w:r w:rsidR="00A355C2" w:rsidRPr="00A355C2">
        <w:rPr>
          <w:rFonts w:ascii="Times New Roman" w:hAnsi="Times New Roman" w:cs="Times New Roman"/>
          <w:sz w:val="24"/>
          <w:szCs w:val="24"/>
        </w:rPr>
        <w:t>powołan</w:t>
      </w:r>
      <w:r w:rsidR="00A355C2">
        <w:rPr>
          <w:rFonts w:ascii="Times New Roman" w:hAnsi="Times New Roman" w:cs="Times New Roman"/>
          <w:sz w:val="24"/>
          <w:szCs w:val="24"/>
        </w:rPr>
        <w:t>e w tym celu, proponowaną zmianą gwarantuje im się możliwość korzystania z taryf zatwierdzanych przez Prezesa URE.</w:t>
      </w:r>
    </w:p>
    <w:p w14:paraId="2121A659" w14:textId="438E40F6" w:rsidR="007C6262" w:rsidRDefault="00A355C2" w:rsidP="007639A6">
      <w:pPr>
        <w:pStyle w:val="Normal1"/>
        <w:rPr>
          <w:rFonts w:ascii="Times New Roman" w:hAnsi="Times New Roman" w:cs="Times New Roman"/>
          <w:sz w:val="24"/>
        </w:rPr>
      </w:pPr>
      <w:r>
        <w:rPr>
          <w:rFonts w:ascii="Times New Roman" w:hAnsi="Times New Roman" w:cs="Times New Roman"/>
          <w:sz w:val="24"/>
        </w:rPr>
        <w:t xml:space="preserve">Celem dodania ust. 1a w art. 62b </w:t>
      </w:r>
      <w:proofErr w:type="spellStart"/>
      <w:r>
        <w:rPr>
          <w:rFonts w:ascii="Times New Roman" w:hAnsi="Times New Roman" w:cs="Times New Roman"/>
          <w:sz w:val="24"/>
        </w:rPr>
        <w:t>uPE</w:t>
      </w:r>
      <w:proofErr w:type="spellEnd"/>
      <w:r>
        <w:rPr>
          <w:rFonts w:ascii="Times New Roman" w:hAnsi="Times New Roman" w:cs="Times New Roman"/>
          <w:sz w:val="24"/>
        </w:rPr>
        <w:t xml:space="preserve">, jest ograniczenie możliwości interpretacyjnych w sposób niezgodny z </w:t>
      </w:r>
      <w:r w:rsidR="00CA5B15">
        <w:rPr>
          <w:rFonts w:ascii="Times New Roman" w:hAnsi="Times New Roman" w:cs="Times New Roman"/>
          <w:sz w:val="24"/>
        </w:rPr>
        <w:t>intencją projektodawcy</w:t>
      </w:r>
      <w:r>
        <w:rPr>
          <w:rFonts w:ascii="Times New Roman" w:hAnsi="Times New Roman" w:cs="Times New Roman"/>
          <w:sz w:val="24"/>
        </w:rPr>
        <w:t xml:space="preserve">, w zakresie definiowania lokalnej produkcji ciepła, do której odnoszą się </w:t>
      </w:r>
      <w:r w:rsidRPr="003A4D18">
        <w:rPr>
          <w:rFonts w:ascii="Times New Roman" w:hAnsi="Times New Roman" w:cs="Times New Roman"/>
          <w:sz w:val="24"/>
        </w:rPr>
        <w:t xml:space="preserve">art. 62b ust. 1 pkt 2 </w:t>
      </w:r>
      <w:r w:rsidRPr="00EC4324">
        <w:rPr>
          <w:rFonts w:ascii="Times New Roman" w:hAnsi="Times New Roman" w:cs="Times New Roman"/>
          <w:sz w:val="24"/>
        </w:rPr>
        <w:t xml:space="preserve">lit. </w:t>
      </w:r>
      <w:r>
        <w:rPr>
          <w:rFonts w:ascii="Times New Roman" w:hAnsi="Times New Roman" w:cs="Times New Roman"/>
          <w:sz w:val="24"/>
        </w:rPr>
        <w:t>b</w:t>
      </w:r>
      <w:r w:rsidR="00CA5B15">
        <w:rPr>
          <w:rFonts w:ascii="Times New Roman" w:hAnsi="Times New Roman" w:cs="Times New Roman"/>
          <w:sz w:val="24"/>
        </w:rPr>
        <w:t xml:space="preserve"> i </w:t>
      </w:r>
      <w:r>
        <w:rPr>
          <w:rFonts w:ascii="Times New Roman" w:hAnsi="Times New Roman" w:cs="Times New Roman"/>
          <w:sz w:val="24"/>
        </w:rPr>
        <w:t xml:space="preserve">c </w:t>
      </w:r>
      <w:proofErr w:type="spellStart"/>
      <w:r>
        <w:rPr>
          <w:rFonts w:ascii="Times New Roman" w:hAnsi="Times New Roman" w:cs="Times New Roman"/>
          <w:sz w:val="24"/>
        </w:rPr>
        <w:t>uPE</w:t>
      </w:r>
      <w:proofErr w:type="spellEnd"/>
      <w:r>
        <w:rPr>
          <w:rFonts w:ascii="Times New Roman" w:hAnsi="Times New Roman" w:cs="Times New Roman"/>
          <w:sz w:val="24"/>
        </w:rPr>
        <w:t xml:space="preserve">. </w:t>
      </w:r>
    </w:p>
    <w:p w14:paraId="2C6DCD1C" w14:textId="77777777" w:rsidR="00397D96" w:rsidRDefault="00397D96" w:rsidP="007639A6">
      <w:pPr>
        <w:spacing w:after="120" w:line="276" w:lineRule="auto"/>
        <w:jc w:val="both"/>
        <w:rPr>
          <w:rFonts w:ascii="Times New Roman" w:hAnsi="Times New Roman" w:cs="Times New Roman"/>
          <w:b/>
          <w:bCs/>
          <w:sz w:val="24"/>
          <w:szCs w:val="24"/>
        </w:rPr>
      </w:pPr>
    </w:p>
    <w:p w14:paraId="1DABB743" w14:textId="11648AEB" w:rsidR="00786280" w:rsidRDefault="00786280" w:rsidP="007639A6">
      <w:pPr>
        <w:spacing w:after="120" w:line="276" w:lineRule="auto"/>
        <w:jc w:val="both"/>
        <w:rPr>
          <w:rFonts w:ascii="Times New Roman" w:eastAsia="Calibri" w:hAnsi="Times New Roman" w:cs="Times New Roman"/>
          <w:b/>
          <w:bCs/>
          <w:sz w:val="24"/>
          <w:szCs w:val="24"/>
        </w:rPr>
      </w:pPr>
      <w:r w:rsidRPr="00F36CFB">
        <w:rPr>
          <w:rFonts w:ascii="Times New Roman" w:hAnsi="Times New Roman" w:cs="Times New Roman"/>
          <w:b/>
          <w:bCs/>
          <w:sz w:val="24"/>
          <w:szCs w:val="24"/>
        </w:rPr>
        <w:t>2.</w:t>
      </w:r>
      <w:r w:rsidR="0046403A">
        <w:rPr>
          <w:rFonts w:ascii="Times New Roman" w:hAnsi="Times New Roman" w:cs="Times New Roman"/>
          <w:b/>
          <w:bCs/>
          <w:sz w:val="24"/>
          <w:szCs w:val="24"/>
        </w:rPr>
        <w:t>8.</w:t>
      </w:r>
      <w:r w:rsidR="0046403A" w:rsidRPr="00F36CFB">
        <w:rPr>
          <w:rFonts w:ascii="Times New Roman" w:hAnsi="Times New Roman" w:cs="Times New Roman"/>
          <w:b/>
          <w:bCs/>
          <w:sz w:val="24"/>
          <w:szCs w:val="24"/>
        </w:rPr>
        <w:t xml:space="preserve"> </w:t>
      </w:r>
      <w:r w:rsidR="00F07438">
        <w:rPr>
          <w:rFonts w:ascii="Times New Roman" w:eastAsia="Calibri" w:hAnsi="Times New Roman" w:cs="Times New Roman"/>
          <w:b/>
          <w:bCs/>
          <w:sz w:val="24"/>
          <w:szCs w:val="24"/>
        </w:rPr>
        <w:t>Wydłużenie funkcjonowania dotychczasowego systemu utrzymywania zapasów obowiązkowych gazu ziemnego</w:t>
      </w:r>
    </w:p>
    <w:p w14:paraId="19065004" w14:textId="16BF1E8D" w:rsidR="00F07438" w:rsidRDefault="00786280" w:rsidP="007639A6">
      <w:pPr>
        <w:spacing w:after="120" w:line="276" w:lineRule="auto"/>
        <w:jc w:val="both"/>
        <w:rPr>
          <w:rFonts w:ascii="Times New Roman" w:eastAsia="Calibri" w:hAnsi="Times New Roman" w:cs="Times New Roman"/>
          <w:sz w:val="24"/>
          <w:szCs w:val="24"/>
        </w:rPr>
      </w:pPr>
      <w:r w:rsidRPr="00DC0423">
        <w:rPr>
          <w:rFonts w:ascii="Times New Roman" w:eastAsia="Calibri" w:hAnsi="Times New Roman" w:cs="Times New Roman"/>
          <w:sz w:val="24"/>
          <w:szCs w:val="24"/>
        </w:rPr>
        <w:t>Celem proponowanej zmiany ustawy o zapasach ropy naftowej, produktów naftowych i gazu ziemnego oraz zasadach postępowania w sytuacjach zagrożenia bezpieczeństwa paliwowego państwa i zakłóceń na rynku naftowym (Dz.U. 20</w:t>
      </w:r>
      <w:r w:rsidR="00F07438">
        <w:rPr>
          <w:rFonts w:ascii="Times New Roman" w:eastAsia="Calibri" w:hAnsi="Times New Roman" w:cs="Times New Roman"/>
          <w:sz w:val="24"/>
          <w:szCs w:val="24"/>
        </w:rPr>
        <w:t>22, poz. 1537</w:t>
      </w:r>
      <w:r w:rsidRPr="00DC0423">
        <w:rPr>
          <w:rFonts w:ascii="Times New Roman" w:eastAsia="Calibri" w:hAnsi="Times New Roman" w:cs="Times New Roman"/>
          <w:sz w:val="24"/>
          <w:szCs w:val="24"/>
        </w:rPr>
        <w:t xml:space="preserve">), jest </w:t>
      </w:r>
      <w:r w:rsidR="00F07438">
        <w:rPr>
          <w:rFonts w:ascii="Times New Roman" w:eastAsia="Calibri" w:hAnsi="Times New Roman" w:cs="Times New Roman"/>
          <w:sz w:val="24"/>
          <w:szCs w:val="24"/>
        </w:rPr>
        <w:t>zwiększenie pewności po stronie uczestników rynku zobowiązanych do tworzenia i utrzymywania zapasów obowiązkowych gazu ziemnego, by mogli, tak jak wynika z dotychczasowych przepisów, w roku gazowym zaczynającym się od dnia 1 października 202</w:t>
      </w:r>
      <w:r w:rsidR="00397D96">
        <w:rPr>
          <w:rFonts w:ascii="Times New Roman" w:eastAsia="Calibri" w:hAnsi="Times New Roman" w:cs="Times New Roman"/>
          <w:sz w:val="24"/>
          <w:szCs w:val="24"/>
        </w:rPr>
        <w:t>3 </w:t>
      </w:r>
      <w:r w:rsidR="00F07438">
        <w:rPr>
          <w:rFonts w:ascii="Times New Roman" w:eastAsia="Calibri" w:hAnsi="Times New Roman" w:cs="Times New Roman"/>
          <w:sz w:val="24"/>
          <w:szCs w:val="24"/>
        </w:rPr>
        <w:t>r. skorzystać z tzw. usługi biletowej, świadczonej przez Rządową Agencję Rezerw Strategicznych. Przedmiotowe rozwiązanie wpłynie pozytywnie na gwarancję utrzymywania zapasu obowiązkowego na odpowiednim poziomie, zapewniając równocześnie większą elastyczność działania po stronie przedsiębiorstw energetycznych wykonujących działalność gospodarczą w zakresie obrotu gazem ziemnym z zagranicą oraz podmiotom dokonującym przywozu gazu ziemnego</w:t>
      </w:r>
      <w:r w:rsidR="00CA5B15">
        <w:rPr>
          <w:rFonts w:ascii="Times New Roman" w:eastAsia="Calibri" w:hAnsi="Times New Roman" w:cs="Times New Roman"/>
          <w:sz w:val="24"/>
          <w:szCs w:val="24"/>
        </w:rPr>
        <w:t>, co do wyboru formy</w:t>
      </w:r>
      <w:r w:rsidR="000C741B">
        <w:rPr>
          <w:rFonts w:ascii="Times New Roman" w:eastAsia="Calibri" w:hAnsi="Times New Roman" w:cs="Times New Roman"/>
          <w:sz w:val="24"/>
          <w:szCs w:val="24"/>
        </w:rPr>
        <w:t>,</w:t>
      </w:r>
      <w:r w:rsidR="00CA5B15">
        <w:rPr>
          <w:rFonts w:ascii="Times New Roman" w:eastAsia="Calibri" w:hAnsi="Times New Roman" w:cs="Times New Roman"/>
          <w:sz w:val="24"/>
          <w:szCs w:val="24"/>
        </w:rPr>
        <w:t xml:space="preserve"> w jakiej zdecydują się na wypełnienie ww. obowiązku</w:t>
      </w:r>
      <w:r w:rsidR="00F07438">
        <w:rPr>
          <w:rFonts w:ascii="Times New Roman" w:eastAsia="Calibri" w:hAnsi="Times New Roman" w:cs="Times New Roman"/>
          <w:sz w:val="24"/>
          <w:szCs w:val="24"/>
        </w:rPr>
        <w:t>.</w:t>
      </w:r>
    </w:p>
    <w:bookmarkEnd w:id="1"/>
    <w:p w14:paraId="39FC27E3" w14:textId="77777777" w:rsidR="00397D96" w:rsidRDefault="00397D96" w:rsidP="007639A6">
      <w:pPr>
        <w:spacing w:after="120" w:line="276" w:lineRule="auto"/>
        <w:jc w:val="both"/>
        <w:rPr>
          <w:rFonts w:ascii="Times New Roman" w:hAnsi="Times New Roman" w:cs="Times New Roman"/>
          <w:b/>
          <w:bCs/>
          <w:sz w:val="24"/>
          <w:szCs w:val="24"/>
        </w:rPr>
      </w:pPr>
    </w:p>
    <w:p w14:paraId="4AA88079" w14:textId="01B2B021" w:rsidR="007C6262" w:rsidRPr="00F36CFB" w:rsidRDefault="007C6262" w:rsidP="007639A6">
      <w:pPr>
        <w:spacing w:after="120" w:line="276" w:lineRule="auto"/>
        <w:jc w:val="both"/>
        <w:rPr>
          <w:rFonts w:ascii="Times New Roman" w:hAnsi="Times New Roman" w:cs="Times New Roman"/>
          <w:b/>
          <w:bCs/>
          <w:sz w:val="24"/>
          <w:szCs w:val="24"/>
        </w:rPr>
      </w:pPr>
      <w:r w:rsidRPr="00F36CFB">
        <w:rPr>
          <w:rFonts w:ascii="Times New Roman" w:hAnsi="Times New Roman" w:cs="Times New Roman"/>
          <w:b/>
          <w:bCs/>
          <w:sz w:val="24"/>
          <w:szCs w:val="24"/>
        </w:rPr>
        <w:t>2.</w:t>
      </w:r>
      <w:r w:rsidR="0046403A">
        <w:rPr>
          <w:rFonts w:ascii="Times New Roman" w:hAnsi="Times New Roman" w:cs="Times New Roman"/>
          <w:b/>
          <w:bCs/>
          <w:sz w:val="24"/>
          <w:szCs w:val="24"/>
        </w:rPr>
        <w:t>9.</w:t>
      </w:r>
      <w:r w:rsidR="0046403A" w:rsidRPr="00F36CFB">
        <w:rPr>
          <w:rFonts w:ascii="Times New Roman" w:hAnsi="Times New Roman" w:cs="Times New Roman"/>
          <w:b/>
          <w:bCs/>
          <w:sz w:val="24"/>
          <w:szCs w:val="24"/>
        </w:rPr>
        <w:t xml:space="preserve"> </w:t>
      </w:r>
      <w:r w:rsidRPr="00F36CFB">
        <w:rPr>
          <w:rFonts w:ascii="Times New Roman" w:eastAsia="Calibri" w:hAnsi="Times New Roman" w:cs="Times New Roman"/>
          <w:b/>
          <w:bCs/>
          <w:sz w:val="24"/>
          <w:szCs w:val="24"/>
        </w:rPr>
        <w:t>Wydłużenie terminu pierwszej sprzedaży energii z instalacji PV w ramach systemu aukcyjnego</w:t>
      </w:r>
    </w:p>
    <w:p w14:paraId="55206A44" w14:textId="4997C495"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Zgodnie z </w:t>
      </w:r>
      <w:r w:rsidR="00983767">
        <w:rPr>
          <w:rFonts w:ascii="Times New Roman" w:hAnsi="Times New Roman" w:cs="Times New Roman"/>
          <w:color w:val="000000"/>
          <w:spacing w:val="-2"/>
          <w:sz w:val="24"/>
          <w:szCs w:val="24"/>
        </w:rPr>
        <w:t>projektowanymi rozwiązaniami przewidzianymi w</w:t>
      </w:r>
      <w:r w:rsidRPr="00DC0423">
        <w:rPr>
          <w:rFonts w:ascii="Times New Roman" w:hAnsi="Times New Roman" w:cs="Times New Roman"/>
          <w:color w:val="000000"/>
          <w:spacing w:val="-2"/>
          <w:sz w:val="24"/>
          <w:szCs w:val="24"/>
        </w:rPr>
        <w:t xml:space="preserve"> nowelizacji oraz powiązanymi z nim przepisami przejściowymi zawartymi w </w:t>
      </w:r>
      <w:r w:rsidRPr="00DC0423">
        <w:rPr>
          <w:rFonts w:ascii="Times New Roman" w:hAnsi="Times New Roman" w:cs="Times New Roman"/>
          <w:bCs/>
          <w:color w:val="000000"/>
          <w:spacing w:val="-2"/>
          <w:sz w:val="24"/>
          <w:szCs w:val="24"/>
        </w:rPr>
        <w:t>projekcie ustawy,</w:t>
      </w:r>
      <w:r w:rsidRPr="00DC0423">
        <w:rPr>
          <w:rFonts w:ascii="Times New Roman" w:hAnsi="Times New Roman" w:cs="Times New Roman"/>
          <w:color w:val="000000"/>
          <w:spacing w:val="-2"/>
          <w:sz w:val="24"/>
          <w:szCs w:val="24"/>
        </w:rPr>
        <w:t xml:space="preserve"> projektodawca zakłada wydłużenie terminu na rozpoczęcie sprzedaży energii w systemach FIT/FIP oraz aukcyjnym, zawartych w ustawie </w:t>
      </w:r>
      <w:r w:rsidRPr="00DC0423">
        <w:rPr>
          <w:rFonts w:ascii="Times New Roman" w:hAnsi="Times New Roman" w:cs="Times New Roman"/>
          <w:bCs/>
          <w:color w:val="000000"/>
          <w:spacing w:val="-2"/>
          <w:sz w:val="24"/>
          <w:szCs w:val="24"/>
        </w:rPr>
        <w:t>z dnia 20 lutego 2015 r. o odnawialnych źródłach energii (Dz. U. z 2022 r. poz. 1378, z późn. zm.)</w:t>
      </w:r>
      <w:r w:rsidRPr="00DC0423">
        <w:rPr>
          <w:rFonts w:ascii="Times New Roman" w:hAnsi="Times New Roman" w:cs="Times New Roman"/>
          <w:color w:val="000000"/>
          <w:spacing w:val="-2"/>
          <w:sz w:val="24"/>
          <w:szCs w:val="24"/>
        </w:rPr>
        <w:t xml:space="preserve"> (dalej: „</w:t>
      </w:r>
      <w:proofErr w:type="spellStart"/>
      <w:r w:rsidRPr="00DC0423">
        <w:rPr>
          <w:rFonts w:ascii="Times New Roman" w:hAnsi="Times New Roman" w:cs="Times New Roman"/>
          <w:color w:val="000000"/>
          <w:spacing w:val="-2"/>
          <w:sz w:val="24"/>
          <w:szCs w:val="24"/>
        </w:rPr>
        <w:t>uOZE</w:t>
      </w:r>
      <w:proofErr w:type="spellEnd"/>
      <w:r w:rsidRPr="00DC0423">
        <w:rPr>
          <w:rFonts w:ascii="Times New Roman" w:hAnsi="Times New Roman" w:cs="Times New Roman"/>
          <w:color w:val="000000"/>
          <w:spacing w:val="-2"/>
          <w:sz w:val="24"/>
          <w:szCs w:val="24"/>
        </w:rPr>
        <w:t>”).</w:t>
      </w:r>
    </w:p>
    <w:p w14:paraId="5799942F"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Ustawa z dnia 31 marca 2020 r. o zmianie ustawy o szczególnych rozwiązaniach związanych z zapobieganiem, przeciwdziałaniem i zwalczaniem COVID-19, innych chorób zakaźnych oraz wywołanych nimi sytuacji kryzysowych oraz niektórych innych ustaw (Dz. U. poz. 568) wprowadziła w art. 79a ust. 1 </w:t>
      </w:r>
      <w:proofErr w:type="spellStart"/>
      <w:r w:rsidRPr="00DC0423">
        <w:rPr>
          <w:rFonts w:ascii="Times New Roman" w:hAnsi="Times New Roman" w:cs="Times New Roman"/>
          <w:color w:val="000000"/>
          <w:spacing w:val="-2"/>
          <w:sz w:val="24"/>
          <w:szCs w:val="24"/>
        </w:rPr>
        <w:t>uOZE</w:t>
      </w:r>
      <w:proofErr w:type="spellEnd"/>
      <w:r w:rsidRPr="00DC0423">
        <w:rPr>
          <w:rFonts w:ascii="Times New Roman" w:hAnsi="Times New Roman" w:cs="Times New Roman"/>
          <w:color w:val="000000"/>
          <w:spacing w:val="-2"/>
          <w:sz w:val="24"/>
          <w:szCs w:val="24"/>
        </w:rPr>
        <w:t xml:space="preserve"> możliwość wydłużenia terminu realizacji zobowiązania wytwórcy do sprzedaży po raz pierwszy energii elektrycznej (o którym mowa w art. 79 ust. 3 pkt 8 lit. a </w:t>
      </w:r>
      <w:proofErr w:type="spellStart"/>
      <w:r w:rsidRPr="00DC0423">
        <w:rPr>
          <w:rFonts w:ascii="Times New Roman" w:hAnsi="Times New Roman" w:cs="Times New Roman"/>
          <w:color w:val="000000"/>
          <w:spacing w:val="-2"/>
          <w:sz w:val="24"/>
          <w:szCs w:val="24"/>
        </w:rPr>
        <w:t>uOZE</w:t>
      </w:r>
      <w:proofErr w:type="spellEnd"/>
      <w:r w:rsidRPr="00DC0423">
        <w:rPr>
          <w:rFonts w:ascii="Times New Roman" w:hAnsi="Times New Roman" w:cs="Times New Roman"/>
          <w:color w:val="000000"/>
          <w:spacing w:val="-2"/>
          <w:sz w:val="24"/>
          <w:szCs w:val="24"/>
        </w:rPr>
        <w:t xml:space="preserve">) w ramach systemu aukcyjnego oraz okresu produkcji urządzeń wchodzących w skład instalacji OZE, o którym mowa w art. 74 ust. 1 </w:t>
      </w:r>
      <w:proofErr w:type="spellStart"/>
      <w:r w:rsidRPr="00DC0423">
        <w:rPr>
          <w:rFonts w:ascii="Times New Roman" w:hAnsi="Times New Roman" w:cs="Times New Roman"/>
          <w:color w:val="000000"/>
          <w:spacing w:val="-2"/>
          <w:sz w:val="24"/>
          <w:szCs w:val="24"/>
        </w:rPr>
        <w:t>uOZE</w:t>
      </w:r>
      <w:proofErr w:type="spellEnd"/>
      <w:r w:rsidRPr="00DC0423">
        <w:rPr>
          <w:rFonts w:ascii="Times New Roman" w:hAnsi="Times New Roman" w:cs="Times New Roman"/>
          <w:color w:val="000000"/>
          <w:spacing w:val="-2"/>
          <w:sz w:val="24"/>
          <w:szCs w:val="24"/>
        </w:rPr>
        <w:t xml:space="preserve">, o maksymalnie 12 miesięcy. </w:t>
      </w:r>
    </w:p>
    <w:p w14:paraId="39D6B4FA"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lastRenderedPageBreak/>
        <w:t xml:space="preserve">Analogicznie podobną możliwość w zakresie pierwszego wprowadzenia energii do sieci elektroenergetycznej oraz okresu produkcji urządzeń wchodzących w skład instalacji OZE wprowadzono dla wytwórców w systemach </w:t>
      </w:r>
      <w:proofErr w:type="spellStart"/>
      <w:r w:rsidRPr="00DC0423">
        <w:rPr>
          <w:rFonts w:ascii="Times New Roman" w:hAnsi="Times New Roman" w:cs="Times New Roman"/>
          <w:color w:val="000000"/>
          <w:spacing w:val="-2"/>
          <w:sz w:val="24"/>
          <w:szCs w:val="24"/>
        </w:rPr>
        <w:t>feed</w:t>
      </w:r>
      <w:proofErr w:type="spellEnd"/>
      <w:r w:rsidRPr="00DC0423">
        <w:rPr>
          <w:rFonts w:ascii="Times New Roman" w:hAnsi="Times New Roman" w:cs="Times New Roman"/>
          <w:color w:val="000000"/>
          <w:spacing w:val="-2"/>
          <w:sz w:val="24"/>
          <w:szCs w:val="24"/>
        </w:rPr>
        <w:t xml:space="preserve">-in </w:t>
      </w:r>
      <w:proofErr w:type="spellStart"/>
      <w:r w:rsidRPr="00DC0423">
        <w:rPr>
          <w:rFonts w:ascii="Times New Roman" w:hAnsi="Times New Roman" w:cs="Times New Roman"/>
          <w:color w:val="000000"/>
          <w:spacing w:val="-2"/>
          <w:sz w:val="24"/>
          <w:szCs w:val="24"/>
        </w:rPr>
        <w:t>tariff</w:t>
      </w:r>
      <w:proofErr w:type="spellEnd"/>
      <w:r w:rsidRPr="00DC0423">
        <w:rPr>
          <w:rFonts w:ascii="Times New Roman" w:hAnsi="Times New Roman" w:cs="Times New Roman"/>
          <w:color w:val="000000"/>
          <w:spacing w:val="-2"/>
          <w:sz w:val="24"/>
          <w:szCs w:val="24"/>
        </w:rPr>
        <w:t xml:space="preserve"> (</w:t>
      </w:r>
      <w:proofErr w:type="spellStart"/>
      <w:r w:rsidRPr="00DC0423">
        <w:rPr>
          <w:rFonts w:ascii="Times New Roman" w:hAnsi="Times New Roman" w:cs="Times New Roman"/>
          <w:color w:val="000000"/>
          <w:spacing w:val="-2"/>
          <w:sz w:val="24"/>
          <w:szCs w:val="24"/>
        </w:rPr>
        <w:t>FiT</w:t>
      </w:r>
      <w:proofErr w:type="spellEnd"/>
      <w:r w:rsidRPr="00DC0423">
        <w:rPr>
          <w:rFonts w:ascii="Times New Roman" w:hAnsi="Times New Roman" w:cs="Times New Roman"/>
          <w:color w:val="000000"/>
          <w:spacing w:val="-2"/>
          <w:sz w:val="24"/>
          <w:szCs w:val="24"/>
        </w:rPr>
        <w:t xml:space="preserve">) oraz </w:t>
      </w:r>
      <w:proofErr w:type="spellStart"/>
      <w:r w:rsidRPr="00DC0423">
        <w:rPr>
          <w:rFonts w:ascii="Times New Roman" w:hAnsi="Times New Roman" w:cs="Times New Roman"/>
          <w:color w:val="000000"/>
          <w:spacing w:val="-2"/>
          <w:sz w:val="24"/>
          <w:szCs w:val="24"/>
        </w:rPr>
        <w:t>feed</w:t>
      </w:r>
      <w:proofErr w:type="spellEnd"/>
      <w:r w:rsidRPr="00DC0423">
        <w:rPr>
          <w:rFonts w:ascii="Times New Roman" w:hAnsi="Times New Roman" w:cs="Times New Roman"/>
          <w:color w:val="000000"/>
          <w:spacing w:val="-2"/>
          <w:sz w:val="24"/>
          <w:szCs w:val="24"/>
        </w:rPr>
        <w:t xml:space="preserve">-in </w:t>
      </w:r>
      <w:proofErr w:type="spellStart"/>
      <w:r w:rsidRPr="00DC0423">
        <w:rPr>
          <w:rFonts w:ascii="Times New Roman" w:hAnsi="Times New Roman" w:cs="Times New Roman"/>
          <w:color w:val="000000"/>
          <w:spacing w:val="-2"/>
          <w:sz w:val="24"/>
          <w:szCs w:val="24"/>
        </w:rPr>
        <w:t>premium</w:t>
      </w:r>
      <w:proofErr w:type="spellEnd"/>
      <w:r w:rsidRPr="00DC0423">
        <w:rPr>
          <w:rFonts w:ascii="Times New Roman" w:hAnsi="Times New Roman" w:cs="Times New Roman"/>
          <w:color w:val="000000"/>
          <w:spacing w:val="-2"/>
          <w:sz w:val="24"/>
          <w:szCs w:val="24"/>
        </w:rPr>
        <w:t xml:space="preserve"> (</w:t>
      </w:r>
      <w:proofErr w:type="spellStart"/>
      <w:r w:rsidRPr="00DC0423">
        <w:rPr>
          <w:rFonts w:ascii="Times New Roman" w:hAnsi="Times New Roman" w:cs="Times New Roman"/>
          <w:color w:val="000000"/>
          <w:spacing w:val="-2"/>
          <w:sz w:val="24"/>
          <w:szCs w:val="24"/>
        </w:rPr>
        <w:t>FiP</w:t>
      </w:r>
      <w:proofErr w:type="spellEnd"/>
      <w:r w:rsidRPr="00DC0423">
        <w:rPr>
          <w:rFonts w:ascii="Times New Roman" w:hAnsi="Times New Roman" w:cs="Times New Roman"/>
          <w:color w:val="000000"/>
          <w:spacing w:val="-2"/>
          <w:sz w:val="24"/>
          <w:szCs w:val="24"/>
        </w:rPr>
        <w:t xml:space="preserve">) – w art. 70ba ust. 1 </w:t>
      </w:r>
      <w:proofErr w:type="spellStart"/>
      <w:r w:rsidRPr="00DC0423">
        <w:rPr>
          <w:rFonts w:ascii="Times New Roman" w:hAnsi="Times New Roman" w:cs="Times New Roman"/>
          <w:color w:val="000000"/>
          <w:spacing w:val="-2"/>
          <w:sz w:val="24"/>
          <w:szCs w:val="24"/>
        </w:rPr>
        <w:t>uOZE</w:t>
      </w:r>
      <w:proofErr w:type="spellEnd"/>
      <w:r w:rsidRPr="00DC0423">
        <w:rPr>
          <w:rFonts w:ascii="Times New Roman" w:hAnsi="Times New Roman" w:cs="Times New Roman"/>
          <w:color w:val="000000"/>
          <w:spacing w:val="-2"/>
          <w:sz w:val="24"/>
          <w:szCs w:val="24"/>
        </w:rPr>
        <w:t>.</w:t>
      </w:r>
    </w:p>
    <w:p w14:paraId="7CE9B5DB" w14:textId="505EE378"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Zgodnie z brzmieniem wprowadzonych przepisów decyzję o wydłużeniu terminu podejmuje Prezes URE na wniosek wytwórcy, uwzględniając </w:t>
      </w:r>
      <w:r w:rsidR="00403302">
        <w:rPr>
          <w:rFonts w:ascii="Times New Roman" w:hAnsi="Times New Roman" w:cs="Times New Roman"/>
          <w:color w:val="000000"/>
          <w:spacing w:val="-2"/>
          <w:sz w:val="24"/>
          <w:szCs w:val="24"/>
        </w:rPr>
        <w:t xml:space="preserve">niezawinione przez wytwórcę </w:t>
      </w:r>
      <w:r w:rsidRPr="00DC0423">
        <w:rPr>
          <w:rFonts w:ascii="Times New Roman" w:hAnsi="Times New Roman" w:cs="Times New Roman"/>
          <w:color w:val="000000"/>
          <w:spacing w:val="-2"/>
          <w:sz w:val="24"/>
          <w:szCs w:val="24"/>
        </w:rPr>
        <w:t>opóźnienie w zakresie np. dostaw urządzeń lub elementów niezbędnych do budowy instalacji OZE, realizacji instalacji oraz przyłączy do sieci elektroenergetycznej instalacji OZE, realizacji odbiorów lub rozruchu instalacji OZE, przy uzyskiwaniu koncesji albo wpisu do rejestrów określonych w ustawie.</w:t>
      </w:r>
    </w:p>
    <w:p w14:paraId="2CF28700"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W ocenie projektodawcy przesłanki te nadal występują, a wybuch wojny w Ukrainie wywołał dodatkowe negatywne skutki. W świetle trwającego konfliktu pogłębiają się problemy z utrzymaniem łańcucha dostaw komponentów do instalacji OZE, przede wszystkim w wyniku wstrzymania dostaw koleją z Chin do Europy przez Rosję i Białoruś. Znacząco utrudnia to inwestycje i wpływa na opóźnienie uniezależnienia się Polski od zewnętrznych dostaw nośników energii. </w:t>
      </w:r>
    </w:p>
    <w:p w14:paraId="6F31C8F7"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Ponadto problemy logistyczne są spotęgowane odpływem siły roboczej na placach budów instalacji OZE, których znaczną część stanowili pracownicy z Ukrainy oraz kierunku wschodniego. Zgodnie z wynikami badania Miesięczny Indeks Koniunktury przeprowadzonego 1 marca 2022 r. na zlecenie Polskiego Instytutu Ekonomicznego aż 42% polskich firm obawiało się skutków wojny w Ukrainie, przede wszystkim ze względu na odpływ ukraińskich pracowników wyjeżdżających z Polski. Jako najbardziej narażone branże wskazywano budownictwo i transport, a więc obszary, które są bardzo mocno powiązane z inwestycjami w OZE. </w:t>
      </w:r>
    </w:p>
    <w:p w14:paraId="63F78DE2"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Zawirowania na światowych rynkach rozpoczęte epidemią COVID-19, a pogłębione przez wojnę w Ukrainie uzasadniają dodatkowe wydłużenie terminu spełnienia zobowiązania do wprowadzenia energii elektrycznej do sieci lub jej sprzedaży oraz wieku urządzeń wchodzących w skład instalacji OZE z maksymalnie 12 do maksymalnie łącznie 18 miesięcy. </w:t>
      </w:r>
    </w:p>
    <w:p w14:paraId="2B0B1582"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 xml:space="preserve">Dodatkowo wprowadza się przepisy przejściowe regulujące kwestie wydanych postanowień, dla których okres w nich wskazany nie upłynął przed wejściem w życie niniejszej ustawy, oraz złożonych, a jeszcze nierozpatrzonych wniosków. Dla postanowień przedłużających terminy wskazany okres jest przedłużany z mocy prawa (łącznie jednak do maksymalnie 18 miesięcy). </w:t>
      </w:r>
    </w:p>
    <w:p w14:paraId="6344E01C" w14:textId="77777777" w:rsidR="00F929EE" w:rsidRPr="00DC0423" w:rsidRDefault="00F929EE" w:rsidP="007639A6">
      <w:pPr>
        <w:spacing w:after="120" w:line="276" w:lineRule="auto"/>
        <w:jc w:val="both"/>
        <w:rPr>
          <w:rFonts w:ascii="Times New Roman" w:hAnsi="Times New Roman" w:cs="Times New Roman"/>
          <w:color w:val="000000"/>
          <w:spacing w:val="-2"/>
          <w:sz w:val="24"/>
          <w:szCs w:val="24"/>
        </w:rPr>
      </w:pPr>
      <w:r w:rsidRPr="00DC0423">
        <w:rPr>
          <w:rFonts w:ascii="Times New Roman" w:hAnsi="Times New Roman" w:cs="Times New Roman"/>
          <w:color w:val="000000"/>
          <w:spacing w:val="-2"/>
          <w:sz w:val="24"/>
          <w:szCs w:val="24"/>
        </w:rPr>
        <w:t>Dla złożonych i nierozpatrzonych wniosków o przedłużenie terminu spełnienia zobowiązania (na dotychczasowych zasadach – maksymalnie 12-miesięcznego terminu) okres spełnienia zobowiązania może być wydłużony – łącznie jednak do maksymalnie 18 miesięcy.</w:t>
      </w:r>
    </w:p>
    <w:p w14:paraId="65BC1B41" w14:textId="4C1F381A" w:rsidR="00F929EE" w:rsidRPr="00DC0423" w:rsidRDefault="00F929EE" w:rsidP="007639A6">
      <w:pPr>
        <w:spacing w:after="12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Proponowana zmiana polega z kolei na zrównaniu sytuacji inwestorów fotowoltaicznych z inwestorami wiatrowymi i wydłużeniu do 33 miesięcy przedmiotowych okresów, co jest odpowiedzią na istotne bariery w procesie realizacji inwestycji, które napotykają inwestorzy OZE, spowodowane przez niezależne od nich, zewnętrzne okoliczności. </w:t>
      </w:r>
    </w:p>
    <w:p w14:paraId="7C6E8685" w14:textId="77777777" w:rsidR="00F929EE" w:rsidRPr="00DC0423" w:rsidRDefault="00F929EE" w:rsidP="007639A6">
      <w:pPr>
        <w:spacing w:after="12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Mając na uwadze powyższe, należy przede wszystkim zwrócić uwagę, że operatorzy sieci proponują w zawieranych umowach przyłączeniowych bardzo odległe terminy realizacji </w:t>
      </w:r>
      <w:r w:rsidRPr="00DC0423">
        <w:rPr>
          <w:rFonts w:ascii="Times New Roman" w:hAnsi="Times New Roman" w:cs="Times New Roman"/>
          <w:sz w:val="24"/>
          <w:szCs w:val="24"/>
        </w:rPr>
        <w:lastRenderedPageBreak/>
        <w:t xml:space="preserve">przyłącza, przekraczające wynikający z wygranej aukcji termin pierwszej sprzedaży energii elektrycznej do sieci. </w:t>
      </w:r>
    </w:p>
    <w:p w14:paraId="372B8A76" w14:textId="77777777" w:rsidR="00F929EE" w:rsidRPr="00DC0423" w:rsidRDefault="00F929EE" w:rsidP="007639A6">
      <w:pPr>
        <w:spacing w:after="120" w:line="276" w:lineRule="auto"/>
        <w:jc w:val="both"/>
        <w:rPr>
          <w:rFonts w:ascii="Times New Roman" w:hAnsi="Times New Roman" w:cs="Times New Roman"/>
          <w:sz w:val="24"/>
          <w:szCs w:val="24"/>
        </w:rPr>
      </w:pPr>
      <w:r w:rsidRPr="00DC0423">
        <w:rPr>
          <w:rFonts w:ascii="Times New Roman" w:hAnsi="Times New Roman" w:cs="Times New Roman"/>
          <w:sz w:val="24"/>
          <w:szCs w:val="24"/>
        </w:rPr>
        <w:t>Ponadto, dynamizacja inwestycji w energetyce słonecznej obserwowana w Europie i na świecie, w połączeniu z kryzysem energetycznym w Chinach, który przekłada się na ograniczenia w produkcji komponentów na rzecz technologii PV, spowodowały opóźnienia w realizacji zamówień przez dostawców i w konsekwencji opóźnienia w realizacji procesów inwestycyjnych.</w:t>
      </w:r>
    </w:p>
    <w:p w14:paraId="1C6BAB4F" w14:textId="2D99DF73" w:rsidR="00F929EE" w:rsidRDefault="00F929EE" w:rsidP="007639A6">
      <w:pPr>
        <w:spacing w:after="120" w:line="276" w:lineRule="auto"/>
        <w:jc w:val="both"/>
        <w:rPr>
          <w:rFonts w:ascii="Times New Roman" w:hAnsi="Times New Roman" w:cs="Times New Roman"/>
          <w:sz w:val="24"/>
          <w:szCs w:val="24"/>
        </w:rPr>
      </w:pPr>
      <w:r w:rsidRPr="00DC0423">
        <w:rPr>
          <w:rFonts w:ascii="Times New Roman" w:hAnsi="Times New Roman" w:cs="Times New Roman"/>
          <w:sz w:val="24"/>
          <w:szCs w:val="24"/>
        </w:rPr>
        <w:t>Proponowana zmiana wydłuży z 24 do 33 miesięcy, od dnia zamknięcia sesji aukcji, termin realizacji zobowiązania uczestnika wygranej aukcji do sprzedaży po raz pierwszy w ramach systemu aukcyjnego energii elektrycznej wytworzonej w instalacji odnawialnego źródła energii wykorzystującej do wytworzenia energii elektrycznej wyłącznie energię promieniowania słonecznego. Pozwoli to uczestnikom aukcji, którzy otrzymali wsparcie, wywiązać się z zobowiązań ustawowych i uchroni przed konsekwencjami wynikającymi z niezawinionego przez wytwórców niedotrzymania terminów ustawowych.</w:t>
      </w:r>
    </w:p>
    <w:p w14:paraId="0ADF027A" w14:textId="77777777" w:rsidR="00397D96" w:rsidRPr="00785663" w:rsidRDefault="00397D96" w:rsidP="007639A6">
      <w:pPr>
        <w:spacing w:after="120" w:line="276" w:lineRule="auto"/>
        <w:jc w:val="both"/>
        <w:rPr>
          <w:rFonts w:ascii="Times New Roman" w:hAnsi="Times New Roman" w:cs="Times New Roman"/>
          <w:b/>
          <w:bCs/>
          <w:sz w:val="24"/>
          <w:szCs w:val="24"/>
        </w:rPr>
      </w:pPr>
    </w:p>
    <w:p w14:paraId="7CC5AE38" w14:textId="77777777" w:rsidR="00785663" w:rsidRPr="00785663" w:rsidRDefault="0058055F" w:rsidP="007639A6">
      <w:pPr>
        <w:spacing w:after="200" w:line="276" w:lineRule="auto"/>
        <w:jc w:val="both"/>
        <w:rPr>
          <w:rFonts w:ascii="Times New Roman" w:hAnsi="Times New Roman" w:cs="Times New Roman"/>
          <w:b/>
          <w:bCs/>
          <w:sz w:val="24"/>
          <w:szCs w:val="24"/>
        </w:rPr>
      </w:pPr>
      <w:r w:rsidRPr="00785663">
        <w:rPr>
          <w:rFonts w:ascii="Times New Roman" w:hAnsi="Times New Roman" w:cs="Times New Roman"/>
          <w:b/>
          <w:bCs/>
          <w:sz w:val="24"/>
          <w:szCs w:val="24"/>
        </w:rPr>
        <w:t>2.</w:t>
      </w:r>
      <w:r w:rsidR="0046403A" w:rsidRPr="00785663">
        <w:rPr>
          <w:rFonts w:ascii="Times New Roman" w:hAnsi="Times New Roman" w:cs="Times New Roman"/>
          <w:b/>
          <w:bCs/>
          <w:sz w:val="24"/>
          <w:szCs w:val="24"/>
        </w:rPr>
        <w:t xml:space="preserve">10. </w:t>
      </w:r>
      <w:r w:rsidR="00785663" w:rsidRPr="00785663">
        <w:rPr>
          <w:rFonts w:ascii="Times New Roman" w:hAnsi="Times New Roman" w:cs="Times New Roman"/>
          <w:b/>
          <w:bCs/>
          <w:sz w:val="24"/>
          <w:szCs w:val="24"/>
        </w:rPr>
        <w:t>Zmiana w</w:t>
      </w:r>
      <w:r w:rsidR="00785663" w:rsidRPr="00785663">
        <w:rPr>
          <w:rFonts w:ascii="Times New Roman" w:hAnsi="Times New Roman" w:cs="Times New Roman"/>
          <w:sz w:val="24"/>
          <w:szCs w:val="24"/>
        </w:rPr>
        <w:t xml:space="preserve"> </w:t>
      </w:r>
      <w:r w:rsidR="00785663" w:rsidRPr="00785663">
        <w:rPr>
          <w:rStyle w:val="Ppogrubienie"/>
          <w:rFonts w:ascii="Times New Roman" w:hAnsi="Times New Roman" w:cs="Times New Roman"/>
          <w:bCs/>
          <w:sz w:val="24"/>
          <w:szCs w:val="24"/>
        </w:rPr>
        <w:t xml:space="preserve">ustawie z dnia 9 czerwca 2011 r. – Prawo geologiczne i górnicze (Dz. U. z 2022 r. poz. </w:t>
      </w:r>
      <w:bookmarkStart w:id="2" w:name="_Hlk119922214"/>
      <w:r w:rsidR="00785663" w:rsidRPr="00785663">
        <w:rPr>
          <w:rStyle w:val="Ppogrubienie"/>
          <w:rFonts w:ascii="Times New Roman" w:hAnsi="Times New Roman" w:cs="Times New Roman"/>
          <w:bCs/>
          <w:sz w:val="24"/>
          <w:szCs w:val="24"/>
        </w:rPr>
        <w:t>1072, 1261, 1504 i 2185</w:t>
      </w:r>
      <w:bookmarkEnd w:id="2"/>
      <w:r w:rsidR="00785663" w:rsidRPr="00785663">
        <w:rPr>
          <w:rStyle w:val="Ppogrubienie"/>
          <w:rFonts w:ascii="Times New Roman" w:hAnsi="Times New Roman" w:cs="Times New Roman"/>
          <w:bCs/>
          <w:sz w:val="24"/>
          <w:szCs w:val="24"/>
        </w:rPr>
        <w:t>):</w:t>
      </w:r>
    </w:p>
    <w:p w14:paraId="14B4F992"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Propozycja powyższej zmiany podyktowana jest koniecznością zapewnienia przedsiębiorcom górniczym możliwości nieprzerwanego prowadzenia ruchu zakładu górniczego w sytuacji, w której w trakcie wykonywania koncesji rzeczywiste wpływy prowadzonych robót górniczych przekroczą granice terenu górniczego wyznaczone w koncesji. Sytuacje takie nie należą do wyjątkowych i mogą być skutkiem zdarzeń niezależnych od przedsiębiorcy i sposobu prowadzenia przez niego działalności, takich jak np. wygaśnięcie, cofnięcie, ograniczenie sąsiadującej koncesji.   </w:t>
      </w:r>
    </w:p>
    <w:p w14:paraId="7DD6FFB2"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W obecnym stanie prawnym przedsiębiorca w razie stwierdzenia, że rzeczywiste szkodliwe wpływy robót górniczych prowadzonego przez niego zakładu górniczego przekraczają granice terenu górniczego wyznaczone w koncesji, jest obowiązany do niezwłocznego złożenia wniosku o zmianę koncesji poprzez wyznaczenie nowych granic terenu górniczego, tak aby granice te uwzględniały przestrzeń objętą rzeczywistymi szkodliwymi wpływami robót górniczych tego zakładu górniczego. </w:t>
      </w:r>
    </w:p>
    <w:p w14:paraId="3C1C4F91"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Obowiązująca regulacja nie dostrzega jednak problemów w prowadzeniu przez przedsiębiorcę zakładu górniczego, które powstają w okresie pomiędzy złożeniem przez niego wniosku o  zmianę koncesji a wydaniem przez organ koncesyjny decyzji zmieniającej koncesję i  wyznaczającej granice terenu górniczego odpowiadające rzeczywistym szkodliwym wpływom robót górniczych. W szczególności w okresie tym niemożliwe jest uzyskanie decyzji organu nadzoru górniczego zatwierdzającej plan ruchu zakładu górniczego uwzględniający rzeczywiste szkodliwe oddziaływania robót górniczych. </w:t>
      </w:r>
    </w:p>
    <w:p w14:paraId="252549EA"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Sytuacja taka jest niepożądana zarówno z punktu widzenia przedsiębiorcy, któremu utrudnia to  płynne i nieprzerwane prowadzenie ruchu zakładu górniczego, jak i z uwagi na interes społeczny wyrażający się w bezpiecznym i kontrolowanym przez organy nadzoru górniczego </w:t>
      </w:r>
      <w:r w:rsidRPr="00785663">
        <w:rPr>
          <w:rFonts w:ascii="Times New Roman" w:hAnsi="Times New Roman" w:cs="Times New Roman"/>
          <w:sz w:val="24"/>
          <w:szCs w:val="24"/>
        </w:rPr>
        <w:lastRenderedPageBreak/>
        <w:t xml:space="preserve">prowadzeniu działalności górniczej, w granicach jej rzeczywistego, potencjalnie szkodliwego, wpływu, a nie wyłącznie w granicach terenu górniczego wyznaczonego w koncesji, co do której prowadzone jest już postępowanie administracyjne mające na celu dostosowanie granic terenu górniczego do rzeczywistego szkodliwego wpływu robót górniczych. </w:t>
      </w:r>
    </w:p>
    <w:p w14:paraId="2291607D"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Zważywszy na fakt, że postępowania administracyjne w sprawie zmiany koncesji należą do postępowań długotrwałych, wymagających uzgodnień z wieloma organami, powyżej opisany niepożądany stan może utrzymywać się kilka miesięcy, powodując stan niepewności prawnej w obszarze objętym rzeczywistymi, potencjalnie szkodliwymi, wpływami robót górniczych, wykraczającymi poza granice terenu górniczego wyznaczone w koncesji. </w:t>
      </w:r>
    </w:p>
    <w:p w14:paraId="3E2F6404"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Proponowana zmiana polega na dodaniu w art. 34 ust. 2a, który umożliwi przedsiębiorcy w  okresie pomiędzy złożeniem wniosku o zmianę koncesji, o którym mowa w ust. 2 tego artykułu, a wydaniem przez organ koncesyjny decyzji zmieniającej koncesję i wyznaczającej nowe granice terenu górniczego, sporządzenie plan ruchu zakładu górniczego już uwzględniającego rzeczywiste szkodliwe wpływy robót górniczych tego zakładu górniczego, pomimo że w koncesji nie zmieniono jeszcze granic terenu górniczego. W konsekwencji możliwe będzie również zatwierdzenie przez organ nadzoru górniczego planu ruchu zakładu górniczego uwzględniającego rzeczywiste szkodliwe wpływy robót górniczych tego zakładu górniczego zanim dojdzie do zmiany koncesji wyznaczającej nowe granice terenu górniczego. </w:t>
      </w:r>
    </w:p>
    <w:p w14:paraId="3B1CC7AB"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Wprowadzenie powyższej zmiany proponuje się jedynie w odniesieniu do podziemnych zakładów górniczych, ponieważ specyfika prowadzenia robót górniczych w przypadku otworowych zakładów górniczych sprawia, że problemy te w odniesieniu do tych zakładów górniczych nie występują.      </w:t>
      </w:r>
    </w:p>
    <w:p w14:paraId="5A24B945"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Projektowana zmiana w pełni zabezpieczy możliwość prowadzenia ruchu zakładu górniczego i zatwierdzania planów ruchu zakładu górniczego uwzględniających rzeczywisty szkodliwy wpływ robót górniczych do czasu zmiany koncesji i wyznaczenia nowych granic terenu górniczego. </w:t>
      </w:r>
    </w:p>
    <w:p w14:paraId="4DE47737"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 xml:space="preserve">W ocenie projektodawcy regulacja taka jest niezbędna z uwagi na konieczność prowadzenia działalności w sposób zgodny z interesem publicznym, w szczególności związanym z bezpieczeństwem energetycznym państwa, w tym z ustawową zasadą racjonalnej gospodarki złożami kopalin, a także w sposób zapewniający nieprzerwane wydobycie kopalin energetycznych, co ma szczególne znaczenie w obliczu kryzysu energetycznego wywołanego obecną sytuacją geopolityczną. </w:t>
      </w:r>
    </w:p>
    <w:p w14:paraId="50BE4914"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t>Projektowany przepis powinien wejść w życie z dniem następującym po dniu ogłoszenia ustawy w Dzienniku Ustaw. Potrzeba skrócenia okresu vacatio legis wynika w tym przypadku z konieczności wyeliminowania ryzyka wystąpienia przerw w wydobyciu kopalin energetycznych, które nie może być prowadzone bez zatwierdzonego planu ruchu zakładu górniczego. Istotne jest zatem, by zachowana została ciągłość funkcjonowania zakładu górniczego w oparciu o plan  ruchu tego zakładu, uwzględniający rzeczywiste szkodliwe wpływy robót górniczych, jeszcze przed uzyskaniem przez przedsiębiorcę decyzji zmieniającej koncesję, określającej nowe granice terenu górniczego.</w:t>
      </w:r>
    </w:p>
    <w:p w14:paraId="2F0664C6" w14:textId="77777777"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sz w:val="24"/>
          <w:szCs w:val="24"/>
        </w:rPr>
        <w:lastRenderedPageBreak/>
        <w:t xml:space="preserve">Powyższe okoliczności przemawiają również za zastosowaniem projektowanej regulacji w postępowaniach w sprawie zatwierdzenia planu ruchu zakładu górniczego, które przed wejściem w życie niniejszej ustawy zostały wszczęte i nie zakończyły się wydaniem decyzji organu nadzoru górniczego. Mając na uwadze powyższe, zaprojektowano przepis przejściowy umożliwiający przedsiębiorcom górniczym uzyskanie decyzji zatwierdzającej plan ruchu zakładu górniczego z zastosowaniem projektowanego art. 34 ust. 2a ustawy – Prawo geologiczne i górnicze również w odniesieniu do planów ruchów zakładu górniczego sporządzonych i przedłożonych organom nadzoru górniczego przed wejściem w życie tego przepisu, w przypadku których postępowanie w sprawie zatwierdzenia planu ruchu zakładu górniczego do dnia wejścia w życie projektowanej regulacji nie zostało zakończone wydaniem decyzji.  </w:t>
      </w:r>
    </w:p>
    <w:p w14:paraId="66D8011A" w14:textId="77777777" w:rsidR="002F0B27" w:rsidRDefault="002F0B27" w:rsidP="007639A6">
      <w:pPr>
        <w:spacing w:after="200" w:line="276" w:lineRule="auto"/>
        <w:jc w:val="both"/>
        <w:rPr>
          <w:rFonts w:ascii="Times New Roman" w:hAnsi="Times New Roman" w:cs="Times New Roman"/>
          <w:b/>
          <w:bCs/>
          <w:sz w:val="24"/>
          <w:szCs w:val="24"/>
        </w:rPr>
      </w:pPr>
    </w:p>
    <w:p w14:paraId="5770C386" w14:textId="67313C02" w:rsidR="00785663" w:rsidRPr="00785663" w:rsidRDefault="00785663" w:rsidP="007639A6">
      <w:pPr>
        <w:spacing w:after="200" w:line="276" w:lineRule="auto"/>
        <w:jc w:val="both"/>
        <w:rPr>
          <w:rFonts w:ascii="Times New Roman" w:hAnsi="Times New Roman" w:cs="Times New Roman"/>
          <w:sz w:val="24"/>
          <w:szCs w:val="24"/>
        </w:rPr>
      </w:pPr>
      <w:r w:rsidRPr="00785663">
        <w:rPr>
          <w:rFonts w:ascii="Times New Roman" w:hAnsi="Times New Roman" w:cs="Times New Roman"/>
          <w:b/>
          <w:bCs/>
          <w:sz w:val="24"/>
          <w:szCs w:val="24"/>
        </w:rPr>
        <w:t>2.11</w:t>
      </w:r>
      <w:r w:rsidRPr="00196225">
        <w:rPr>
          <w:rFonts w:ascii="Times New Roman" w:hAnsi="Times New Roman" w:cs="Times New Roman"/>
          <w:b/>
          <w:bCs/>
          <w:sz w:val="24"/>
          <w:szCs w:val="24"/>
        </w:rPr>
        <w:t>.Zmiana w ustawie z dnia 27 kwietnia 2001 r. – Prawo ochrony środowiska (Dz.U. z 2021 r. poz. 1973, z późn. zm.)</w:t>
      </w:r>
    </w:p>
    <w:p w14:paraId="1C09CE4A" w14:textId="24D4EEFA" w:rsidR="00785663" w:rsidRPr="00785663" w:rsidRDefault="00785663" w:rsidP="007639A6">
      <w:pPr>
        <w:pStyle w:val="Default"/>
        <w:spacing w:line="276" w:lineRule="auto"/>
        <w:jc w:val="both"/>
      </w:pPr>
      <w:r w:rsidRPr="00785663">
        <w:t xml:space="preserve">Proponowana zmiana służy doprecyzowaniu przepisów ustawy Prawo ochrony środowiska i ma na celu potwierdzenie zrealizowania przez Polskę kamienia milowego </w:t>
      </w:r>
      <w:bookmarkStart w:id="3" w:name="_Hlk119759175"/>
      <w:r w:rsidRPr="00785663">
        <w:t xml:space="preserve">E8G </w:t>
      </w:r>
      <w:bookmarkEnd w:id="3"/>
      <w:r w:rsidRPr="00785663">
        <w:t xml:space="preserve">określonego </w:t>
      </w:r>
      <w:bookmarkStart w:id="4" w:name="_Hlk119689628"/>
      <w:r w:rsidRPr="00785663">
        <w:t xml:space="preserve">dla Inwestycji E1.1.1 </w:t>
      </w:r>
      <w:r w:rsidRPr="00785663">
        <w:rPr>
          <w:i/>
          <w:iCs/>
        </w:rPr>
        <w:t>„Wsparcie dla gospodarki niskoemisyjnej”</w:t>
      </w:r>
      <w:r w:rsidRPr="00785663">
        <w:t xml:space="preserve"> </w:t>
      </w:r>
      <w:bookmarkEnd w:id="4"/>
      <w:r w:rsidRPr="00785663">
        <w:t xml:space="preserve">w ramach Krajowego Planu Odbudowy i Zwiększania Odporności. Zgodnie z załącznikiem z dnia 1 czerwca 2022 r. do wniosku (COM(2022) 268 </w:t>
      </w:r>
      <w:proofErr w:type="spellStart"/>
      <w:r w:rsidRPr="00785663">
        <w:t>final</w:t>
      </w:r>
      <w:proofErr w:type="spellEnd"/>
      <w:r w:rsidRPr="00785663">
        <w:t xml:space="preserve">) dotyczącego decyzji wykonawczej Rady w sprawie zatwierdzenia oceny planu odbudowy i zwiększania odporności Polski, dla Inwestycji E 1.1.1 </w:t>
      </w:r>
      <w:r w:rsidRPr="00785663">
        <w:rPr>
          <w:i/>
          <w:iCs/>
        </w:rPr>
        <w:t>„Wsparcie dla gospodarki niskoemisyjnej”</w:t>
      </w:r>
      <w:r w:rsidRPr="00785663">
        <w:t xml:space="preserve"> zdefiniowano kamień milowy E8G w brzmieniu </w:t>
      </w:r>
      <w:r w:rsidRPr="00785663">
        <w:rPr>
          <w:i/>
          <w:iCs/>
        </w:rPr>
        <w:t>„Ustanowienie instrumentu finansowego (Fundusz) na rzecz mobilności zeroemisyjnej/niskoemisyjnej i energii”</w:t>
      </w:r>
      <w:r w:rsidRPr="00785663">
        <w:t xml:space="preserve">. W opisie kamienia milowego wskazano m.in. </w:t>
      </w:r>
      <w:r w:rsidRPr="00785663">
        <w:rPr>
          <w:i/>
          <w:iCs/>
        </w:rPr>
        <w:t>„Podstawowe</w:t>
      </w:r>
      <w:r w:rsidRPr="00785663">
        <w:rPr>
          <w:b/>
          <w:bCs/>
          <w:i/>
          <w:iCs/>
        </w:rPr>
        <w:t xml:space="preserve"> </w:t>
      </w:r>
      <w:r w:rsidRPr="00785663">
        <w:rPr>
          <w:i/>
          <w:iCs/>
        </w:rPr>
        <w:t>akty prawne zagwarantują, aby wszelkie środki powracające (tj. odsetki od pożyczek, stopa zwrotu z kapitału własnego lub spłacona kwota główna, pomniejszone o kwotę towarzyszących im kosztów) powiązane z tymi instrumentami były wykorzystywane do realizacji tych samych celów polityki, w tym po roku 2026, lub do spłaty pożyczek z RRF.”</w:t>
      </w:r>
      <w:r w:rsidRPr="00785663">
        <w:t xml:space="preserve"> </w:t>
      </w:r>
      <w:r w:rsidR="00CB7647">
        <w:t>W</w:t>
      </w:r>
      <w:r w:rsidRPr="00785663">
        <w:t xml:space="preserve"> obecnych okolicznościach, optymalnym działaniem w celu potwierdzenia wykonania kamienia milowego w ww. zakresie jest zmiana ustawy – Prawo ochrony środowiska. </w:t>
      </w:r>
    </w:p>
    <w:p w14:paraId="41B63023" w14:textId="46B9911B" w:rsidR="00785663" w:rsidRDefault="00785663" w:rsidP="007639A6">
      <w:pPr>
        <w:spacing w:after="120" w:line="276" w:lineRule="auto"/>
        <w:jc w:val="both"/>
        <w:rPr>
          <w:rFonts w:ascii="Times New Roman" w:hAnsi="Times New Roman" w:cs="Times New Roman"/>
          <w:b/>
          <w:bCs/>
          <w:sz w:val="24"/>
          <w:szCs w:val="24"/>
        </w:rPr>
      </w:pPr>
    </w:p>
    <w:p w14:paraId="40886A95" w14:textId="28174510" w:rsidR="002D1BBE" w:rsidRDefault="00785663" w:rsidP="007639A6">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2.12.</w:t>
      </w:r>
      <w:r w:rsidR="002D1BBE" w:rsidRPr="002D1BBE">
        <w:t xml:space="preserve"> </w:t>
      </w:r>
      <w:r w:rsidR="002D1BBE" w:rsidRPr="00196225">
        <w:rPr>
          <w:rFonts w:ascii="Times New Roman" w:hAnsi="Times New Roman" w:cs="Times New Roman"/>
          <w:b/>
          <w:bCs/>
          <w:sz w:val="24"/>
          <w:szCs w:val="24"/>
        </w:rPr>
        <w:t>Zmiana W ustawie z dnia 12 czerwca 2015 r. o systemie handlu uprawnieniami do emisji gazów cieplarnianych</w:t>
      </w:r>
    </w:p>
    <w:p w14:paraId="1FC13647" w14:textId="61BB121E" w:rsidR="002D1BBE" w:rsidRDefault="002D1BBE" w:rsidP="007639A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Zmiana ma na celu zapewnienia możliwości finansowania rekompensat wypłacanych przedsiębiorstwom energetycznym z środków uzyskanych ze sprzedaży w drodze aukcji uprawnień emisji, które na wniosek ministra właściwego do spraw klimatu mogłyby zostać przekazane do Funduszu Przeciwdziałania COVID-19.</w:t>
      </w:r>
    </w:p>
    <w:p w14:paraId="7117142D" w14:textId="77777777" w:rsidR="002F0B27" w:rsidRDefault="002F0B27" w:rsidP="007639A6">
      <w:pPr>
        <w:spacing w:after="120" w:line="276" w:lineRule="auto"/>
        <w:jc w:val="both"/>
        <w:rPr>
          <w:rFonts w:ascii="Times New Roman" w:hAnsi="Times New Roman" w:cs="Times New Roman"/>
          <w:b/>
          <w:bCs/>
          <w:sz w:val="24"/>
          <w:szCs w:val="24"/>
        </w:rPr>
      </w:pPr>
    </w:p>
    <w:p w14:paraId="2FEF5C6E" w14:textId="1828D243" w:rsidR="0058055F" w:rsidRDefault="002D1BBE" w:rsidP="007639A6">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2.13. </w:t>
      </w:r>
      <w:r w:rsidR="0058055F">
        <w:rPr>
          <w:rFonts w:ascii="Times New Roman" w:hAnsi="Times New Roman" w:cs="Times New Roman"/>
          <w:b/>
          <w:bCs/>
          <w:sz w:val="24"/>
          <w:szCs w:val="24"/>
        </w:rPr>
        <w:t xml:space="preserve">Zmiana w </w:t>
      </w:r>
      <w:r w:rsidR="0058055F" w:rsidRPr="00786280">
        <w:rPr>
          <w:rFonts w:ascii="Times New Roman" w:hAnsi="Times New Roman" w:cs="Times New Roman"/>
          <w:b/>
          <w:bCs/>
          <w:sz w:val="24"/>
          <w:szCs w:val="24"/>
        </w:rPr>
        <w:t xml:space="preserve">ustawie </w:t>
      </w:r>
      <w:r w:rsidR="0058055F" w:rsidRPr="00275AC8">
        <w:rPr>
          <w:rFonts w:ascii="Times New Roman" w:hAnsi="Times New Roman" w:cs="Times New Roman"/>
          <w:b/>
          <w:bCs/>
          <w:sz w:val="24"/>
          <w:szCs w:val="24"/>
        </w:rPr>
        <w:t xml:space="preserve">z dnia 28 grudnia 2018 r. o zmianie ustawy o podatku akcyzowym oraz niektórych innych ustaw </w:t>
      </w:r>
    </w:p>
    <w:p w14:paraId="0CB9A269" w14:textId="4BA0CFA8" w:rsidR="0058055F" w:rsidRPr="00DC1480" w:rsidRDefault="00983767" w:rsidP="007639A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Projekt wprowadza</w:t>
      </w:r>
      <w:r w:rsidR="0058055F">
        <w:rPr>
          <w:rFonts w:ascii="Times New Roman" w:hAnsi="Times New Roman" w:cs="Times New Roman"/>
          <w:sz w:val="24"/>
          <w:szCs w:val="24"/>
        </w:rPr>
        <w:t xml:space="preserve"> zmiany w </w:t>
      </w:r>
      <w:r w:rsidR="0058055F" w:rsidRPr="00DC1480">
        <w:rPr>
          <w:rFonts w:ascii="Times New Roman" w:hAnsi="Times New Roman" w:cs="Times New Roman"/>
          <w:sz w:val="24"/>
          <w:szCs w:val="24"/>
        </w:rPr>
        <w:t>ustawie z dnia 28 grudnia 2018 r. o zmianie ustawy o podatku akcyzowym oraz niektórych innych ustaw</w:t>
      </w:r>
      <w:r w:rsidR="0058055F">
        <w:rPr>
          <w:rFonts w:ascii="Times New Roman" w:hAnsi="Times New Roman" w:cs="Times New Roman"/>
          <w:sz w:val="24"/>
          <w:szCs w:val="24"/>
        </w:rPr>
        <w:t xml:space="preserve">, zgodnie z którymi do zadań Zarządcy Rozliczeń  w zakresie zarządzania Funduszem Wypłat Różnicy Ceny należy również weryfikacja i akceptacja korekt sprawozdań z realizacji odpisów na Fundusz oraz </w:t>
      </w:r>
      <w:r w:rsidR="00E9378F">
        <w:rPr>
          <w:rFonts w:ascii="Times New Roman" w:hAnsi="Times New Roman" w:cs="Times New Roman"/>
          <w:sz w:val="24"/>
          <w:szCs w:val="24"/>
        </w:rPr>
        <w:t xml:space="preserve">wnioskowanie o </w:t>
      </w:r>
      <w:r w:rsidR="0058055F">
        <w:rPr>
          <w:rFonts w:ascii="Times New Roman" w:hAnsi="Times New Roman" w:cs="Times New Roman"/>
          <w:sz w:val="24"/>
          <w:szCs w:val="24"/>
        </w:rPr>
        <w:t xml:space="preserve">przekazywanie z rachunku funduszu kwot nadwyżki zgodnie z wnioskiem, o którym mowa w art. 25a ust. 1 ustawy </w:t>
      </w:r>
      <w:r w:rsidR="0058055F" w:rsidRPr="00275AC8">
        <w:rPr>
          <w:rFonts w:ascii="Times New Roman" w:hAnsi="Times New Roman" w:cs="Times New Roman"/>
          <w:sz w:val="24"/>
          <w:szCs w:val="24"/>
        </w:rPr>
        <w:t>z dnia 27 października 2022 r. o środkach nadzwyczajnych mających na celu ograniczenie wysokości cen energii elektrycznej oraz wsparciu niektórych odbiorców w 2023 roku</w:t>
      </w:r>
      <w:r w:rsidR="0058055F">
        <w:rPr>
          <w:rFonts w:ascii="Times New Roman" w:hAnsi="Times New Roman" w:cs="Times New Roman"/>
          <w:sz w:val="24"/>
          <w:szCs w:val="24"/>
        </w:rPr>
        <w:t>.</w:t>
      </w:r>
    </w:p>
    <w:p w14:paraId="1F003D02" w14:textId="77777777" w:rsidR="002F0B27" w:rsidRDefault="002F0B27" w:rsidP="007639A6">
      <w:pPr>
        <w:spacing w:after="120" w:line="276" w:lineRule="auto"/>
        <w:jc w:val="both"/>
        <w:rPr>
          <w:rFonts w:ascii="Times New Roman" w:hAnsi="Times New Roman" w:cs="Times New Roman"/>
          <w:b/>
          <w:bCs/>
          <w:sz w:val="24"/>
          <w:szCs w:val="24"/>
        </w:rPr>
      </w:pPr>
    </w:p>
    <w:p w14:paraId="451950A9" w14:textId="1D6DF943" w:rsidR="0046403A" w:rsidRPr="00936076" w:rsidRDefault="0046403A" w:rsidP="007639A6">
      <w:pPr>
        <w:spacing w:after="120" w:line="276" w:lineRule="auto"/>
        <w:jc w:val="both"/>
        <w:rPr>
          <w:rFonts w:ascii="Times New Roman" w:hAnsi="Times New Roman" w:cs="Times New Roman"/>
          <w:b/>
          <w:bCs/>
          <w:sz w:val="24"/>
          <w:szCs w:val="24"/>
        </w:rPr>
      </w:pPr>
      <w:r w:rsidRPr="00936076">
        <w:rPr>
          <w:rFonts w:ascii="Times New Roman" w:hAnsi="Times New Roman" w:cs="Times New Roman"/>
          <w:b/>
          <w:bCs/>
          <w:sz w:val="24"/>
          <w:szCs w:val="24"/>
        </w:rPr>
        <w:t>2.</w:t>
      </w:r>
      <w:r w:rsidR="002D1BBE" w:rsidRPr="00936076">
        <w:rPr>
          <w:rFonts w:ascii="Times New Roman" w:hAnsi="Times New Roman" w:cs="Times New Roman"/>
          <w:b/>
          <w:bCs/>
          <w:sz w:val="24"/>
          <w:szCs w:val="24"/>
        </w:rPr>
        <w:t>1</w:t>
      </w:r>
      <w:r w:rsidR="002D1BBE">
        <w:rPr>
          <w:rFonts w:ascii="Times New Roman" w:hAnsi="Times New Roman" w:cs="Times New Roman"/>
          <w:b/>
          <w:bCs/>
          <w:sz w:val="24"/>
          <w:szCs w:val="24"/>
        </w:rPr>
        <w:t>4</w:t>
      </w:r>
      <w:r w:rsidRPr="00936076">
        <w:rPr>
          <w:rFonts w:ascii="Times New Roman" w:hAnsi="Times New Roman" w:cs="Times New Roman"/>
          <w:b/>
          <w:bCs/>
          <w:sz w:val="24"/>
          <w:szCs w:val="24"/>
        </w:rPr>
        <w:t>. Zmiana w ustawie z dnia 2 marca 2020 r. o szczególnych rozwiązaniach związanych z zapobieganiem, przeciwdziałaniem i zwalczaniem COVID-19, innych chorób zakaźnych oraz wywołanych nimi sytuacji kryzysowych</w:t>
      </w:r>
    </w:p>
    <w:p w14:paraId="4613162E" w14:textId="68E2623C" w:rsidR="00D1012B" w:rsidRPr="00D1012B" w:rsidRDefault="00D1012B" w:rsidP="007639A6">
      <w:pPr>
        <w:spacing w:line="276" w:lineRule="auto"/>
        <w:jc w:val="both"/>
        <w:rPr>
          <w:rFonts w:ascii="Times New Roman" w:hAnsi="Times New Roman" w:cs="Times New Roman"/>
          <w:sz w:val="24"/>
          <w:szCs w:val="24"/>
        </w:rPr>
      </w:pPr>
      <w:r w:rsidRPr="00D1012B">
        <w:rPr>
          <w:rFonts w:ascii="Times New Roman" w:hAnsi="Times New Roman" w:cs="Times New Roman"/>
          <w:sz w:val="24"/>
          <w:szCs w:val="24"/>
        </w:rPr>
        <w:t>Dodanie proponowanego przepisu dotyczącego przedstawiania zabezpieczeń niepieniężnych przez operatora systemu przesyłowego elektroenergetycznego na pokrycie depozytów zabezpieczających rozliczane przez spółkę prowadzącą giełdową izbę rozrachunkową lub spółkę wykonującą funkcję giełdowej izby rozrachunkowej, transakcje zakupu lub sprzedaży energii elektrycznej, ma na celu zapewnienie prawidłowego funkcjonowania sektora energetycznego przy dążeniu do minimalizacji kosztów jego funkcjonowania. Przedsiębiorstwo będące operatorem systemu przesyłowego elektroenergetycznego w rozumieniu art. 3 pkt 24 ustawy z dnia 10 kwietnia 1997 r. - Prawo energetyczne, zobowiązane jest dokonywać w sposób rynkowy zakupu energii elektrycznej na potrzeby prowadzenia działalności przesyłowej, w tym zakupu energii elektrycznej na pokrywanie strat energii w sieci. Jedną z możliwych form takiego zakupu jest zakup energii elektrycznej na towarowej giełdzie energii, poprzez transakcje zawierane bezpośrednio przez operatora systemu przesyłowego na giełdzie energii lub za pośrednictwem domu maklerskiego, licencjonowanego podmiotu pośredniczącego w transakcjach na giełdzie. Transakcje zakupu energii elektrycznej na towarowej giełdzie energii są zabezpieczane zabezpieczeniami pieniężnymi i niepieniężnymi wnoszonymi do Izby Rozliczeniowej Giełd Towarowych S.A. Wnoszenie zabezpiecze</w:t>
      </w:r>
      <w:r w:rsidRPr="00D1012B">
        <w:rPr>
          <w:rFonts w:ascii="Times New Roman" w:hAnsi="Times New Roman" w:cs="Times New Roman" w:hint="eastAsia"/>
          <w:sz w:val="24"/>
          <w:szCs w:val="24"/>
        </w:rPr>
        <w:t>ń</w:t>
      </w:r>
      <w:r w:rsidRPr="00D1012B">
        <w:rPr>
          <w:rFonts w:ascii="Times New Roman" w:hAnsi="Times New Roman" w:cs="Times New Roman"/>
          <w:sz w:val="24"/>
          <w:szCs w:val="24"/>
        </w:rPr>
        <w:t xml:space="preserve"> pieniężnych znacząco podwyższa ich koszt w stosunku do zabezpieczeń niepieniężnych. Koszty zabezpieczeń finansowych stanowią uzasadnione koszty prowadzenia działalności operatora systemu przesyłowego i są przenoszone przez taryfę na odbiorców. Powyższe oraz rola jaką pełni operator systemu przesyłowego w Krajowym Systemie Elektroenergetycznym, skala i wartość posiadanego przez niego majątku oraz fakt, że operator systemu przesyłowego elektroenergetycznego zakupuje energię elektryczną wyłącznie na potrzeby wykonywania działalności gospodarczej w zakresie przesyłania energii elektrycznej i ustawowo nie może prowadzić działalności w zakresie obrotu energią elektryczn</w:t>
      </w:r>
      <w:r w:rsidRPr="00D1012B">
        <w:rPr>
          <w:rFonts w:ascii="Times New Roman" w:hAnsi="Times New Roman" w:cs="Times New Roman" w:hint="eastAsia"/>
          <w:sz w:val="24"/>
          <w:szCs w:val="24"/>
        </w:rPr>
        <w:t>ą</w:t>
      </w:r>
      <w:r w:rsidRPr="00D1012B">
        <w:rPr>
          <w:rFonts w:ascii="Times New Roman" w:hAnsi="Times New Roman" w:cs="Times New Roman"/>
          <w:sz w:val="24"/>
          <w:szCs w:val="24"/>
        </w:rPr>
        <w:t xml:space="preserve">, uzasadnia zwolnienie operatora systemu przesyłowego elektroenergetycznego z obowiązku ustanawiania zabezpieczeń pieniężnych na pokrycie depozytów zabezpieczających transakcje zakupu energii dokonywane przez tego operatora lub na jego zlecenie, w przypadku złożenia przez ten podmiot zabezpieczenia niepieniężnego w postaci oświadczenia składanego w formie aktu notarialnego o poddaniu się egzekucji w trybie z art. 777 § 1 pkt 5 Kodeksu postępowania cywilnego – w zakresie transakcji zawieranych bezpośrednio albo poręczenia za zobowiązania domu maklerskiego wyłącznie w zakresie transakcji zawartych na zlecenie operatora systemu </w:t>
      </w:r>
      <w:r w:rsidRPr="00D1012B">
        <w:rPr>
          <w:rFonts w:ascii="Times New Roman" w:hAnsi="Times New Roman" w:cs="Times New Roman"/>
          <w:sz w:val="24"/>
          <w:szCs w:val="24"/>
        </w:rPr>
        <w:lastRenderedPageBreak/>
        <w:t>przesyłowego elektroenergetycznego, zabezpieczone oświadczeniem w formie aktu notarialnego o poddaniu się egzekucji w trybie z art. 777 § 1 pkt 5 Kodeksu postępowania cywilnego – w zakresie transakcji zawieranych za pośrednictwem domów maklerskich.</w:t>
      </w:r>
    </w:p>
    <w:p w14:paraId="5C6435BB" w14:textId="77777777" w:rsidR="0046403A" w:rsidRPr="0046403A" w:rsidRDefault="0046403A" w:rsidP="007639A6">
      <w:pPr>
        <w:spacing w:after="120" w:line="276" w:lineRule="auto"/>
        <w:jc w:val="both"/>
        <w:rPr>
          <w:rFonts w:ascii="Times New Roman" w:hAnsi="Times New Roman" w:cs="Times New Roman"/>
          <w:b/>
          <w:bCs/>
          <w:sz w:val="24"/>
          <w:szCs w:val="24"/>
        </w:rPr>
      </w:pPr>
    </w:p>
    <w:p w14:paraId="48983D55" w14:textId="3C6D798A" w:rsidR="0058055F" w:rsidRDefault="0058055F" w:rsidP="007639A6">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2D1BBE">
        <w:rPr>
          <w:rFonts w:ascii="Times New Roman" w:hAnsi="Times New Roman" w:cs="Times New Roman"/>
          <w:b/>
          <w:bCs/>
          <w:sz w:val="24"/>
          <w:szCs w:val="24"/>
        </w:rPr>
        <w:t>15</w:t>
      </w:r>
      <w:r w:rsidR="0046403A">
        <w:rPr>
          <w:rFonts w:ascii="Times New Roman" w:hAnsi="Times New Roman" w:cs="Times New Roman"/>
          <w:b/>
          <w:bCs/>
          <w:sz w:val="24"/>
          <w:szCs w:val="24"/>
        </w:rPr>
        <w:t>.</w:t>
      </w:r>
      <w:r w:rsidR="0046403A" w:rsidRPr="00275AC8">
        <w:rPr>
          <w:rFonts w:ascii="Times New Roman" w:hAnsi="Times New Roman" w:cs="Times New Roman"/>
          <w:b/>
          <w:bCs/>
          <w:sz w:val="24"/>
          <w:szCs w:val="24"/>
        </w:rPr>
        <w:t xml:space="preserve"> </w:t>
      </w:r>
      <w:r>
        <w:rPr>
          <w:rFonts w:ascii="Times New Roman" w:hAnsi="Times New Roman" w:cs="Times New Roman"/>
          <w:b/>
          <w:bCs/>
          <w:sz w:val="24"/>
          <w:szCs w:val="24"/>
        </w:rPr>
        <w:t xml:space="preserve">Zmiana w </w:t>
      </w:r>
      <w:r w:rsidRPr="00786280">
        <w:rPr>
          <w:rFonts w:ascii="Times New Roman" w:hAnsi="Times New Roman" w:cs="Times New Roman"/>
          <w:b/>
          <w:bCs/>
          <w:sz w:val="24"/>
          <w:szCs w:val="24"/>
        </w:rPr>
        <w:t xml:space="preserve">ustawie </w:t>
      </w:r>
      <w:r w:rsidRPr="00275AC8">
        <w:rPr>
          <w:rFonts w:ascii="Times New Roman" w:hAnsi="Times New Roman" w:cs="Times New Roman"/>
          <w:b/>
          <w:bCs/>
          <w:sz w:val="24"/>
          <w:szCs w:val="24"/>
        </w:rPr>
        <w:t>z dnia 31 marca 2020 r. o zmianie ustawy o szczególnych rozwiązaniach związanych z zapobieganiem, przeciwdziałaniem i zwalczaniem COVID-19, innych chorób zakaźnych oraz wywołanych nimi sytuacji kryzysowych oraz niektórych innych ustaw</w:t>
      </w:r>
    </w:p>
    <w:p w14:paraId="1375BFA5" w14:textId="14E4D6F6" w:rsidR="0058055F" w:rsidRDefault="00983767" w:rsidP="007639A6">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Projekt wprowadza</w:t>
      </w:r>
      <w:r w:rsidR="0058055F">
        <w:rPr>
          <w:rFonts w:ascii="Times New Roman" w:hAnsi="Times New Roman" w:cs="Times New Roman"/>
          <w:sz w:val="24"/>
          <w:szCs w:val="24"/>
        </w:rPr>
        <w:t xml:space="preserve"> zmiany w</w:t>
      </w:r>
      <w:r w:rsidR="0058055F" w:rsidRPr="00DC1480">
        <w:rPr>
          <w:rFonts w:ascii="Times New Roman" w:hAnsi="Times New Roman" w:cs="Times New Roman"/>
          <w:sz w:val="24"/>
          <w:szCs w:val="24"/>
        </w:rPr>
        <w:t xml:space="preserve"> ustawie z dnia 31 marca 2020 r. o zmianie ustawy o szczególnych rozwiązaniach związanych z zapobieganiem, przeciwdziałaniem i zwalczaniem COVID-19, innych chorób zakaźnych oraz wywołanych nimi sytuacji kryzysowych oraz niektórych innych ustaw (Dz.U. poz. 568, z późn. zm. )</w:t>
      </w:r>
      <w:r w:rsidR="0058055F">
        <w:rPr>
          <w:rFonts w:ascii="Times New Roman" w:hAnsi="Times New Roman" w:cs="Times New Roman"/>
          <w:sz w:val="24"/>
          <w:szCs w:val="24"/>
        </w:rPr>
        <w:t xml:space="preserve">, gdzie </w:t>
      </w:r>
      <w:r w:rsidR="0058055F" w:rsidRPr="00DC1480">
        <w:rPr>
          <w:rFonts w:ascii="Times New Roman" w:hAnsi="Times New Roman" w:cs="Times New Roman"/>
          <w:sz w:val="24"/>
          <w:szCs w:val="24"/>
        </w:rPr>
        <w:t>w art. 65 wprowadzono nowy pkt 11, w którym przewidziano, możliwość wypłaty z Funduszu COVID nadwyżek odpisów na Fundusz przekazanych przez wytwórców i spółki obrotu na konto Funduszu Wypłaty Różnicy Cen przez Zarządcę Rozliczeń. Nadwyżki te mogą pojawić się w związku ze złożeniem korekt sprawozdań na wniosek wpłacających odpis na Fundusz lub w konsekwencji weryfikacji sprawozdań przez Zarządcę Rozliczeń i decyzji administracyjnych wydawanych przez URE.</w:t>
      </w:r>
    </w:p>
    <w:p w14:paraId="031E0E5B" w14:textId="77777777" w:rsidR="0058055F" w:rsidRPr="00DC0423" w:rsidRDefault="0058055F" w:rsidP="007639A6">
      <w:pPr>
        <w:spacing w:after="120" w:line="276" w:lineRule="auto"/>
        <w:jc w:val="both"/>
        <w:rPr>
          <w:rFonts w:ascii="Times New Roman" w:hAnsi="Times New Roman" w:cs="Times New Roman"/>
          <w:sz w:val="24"/>
          <w:szCs w:val="24"/>
        </w:rPr>
      </w:pPr>
    </w:p>
    <w:p w14:paraId="60277194" w14:textId="78211740" w:rsidR="007D7EF3" w:rsidRDefault="00786280" w:rsidP="007639A6">
      <w:pPr>
        <w:spacing w:after="120" w:line="276" w:lineRule="auto"/>
        <w:jc w:val="both"/>
        <w:rPr>
          <w:rFonts w:ascii="Times New Roman" w:eastAsia="Times New Roman" w:hAnsi="Times New Roman" w:cs="Times New Roman"/>
          <w:b/>
          <w:bCs/>
          <w:sz w:val="24"/>
          <w:szCs w:val="24"/>
          <w:lang w:eastAsia="pl-PL"/>
        </w:rPr>
      </w:pPr>
      <w:r w:rsidRPr="00F36CFB">
        <w:rPr>
          <w:rFonts w:ascii="Times New Roman" w:hAnsi="Times New Roman" w:cs="Times New Roman"/>
          <w:b/>
          <w:bCs/>
          <w:sz w:val="24"/>
          <w:szCs w:val="24"/>
        </w:rPr>
        <w:t>2.</w:t>
      </w:r>
      <w:r w:rsidR="002D1BBE">
        <w:rPr>
          <w:rFonts w:ascii="Times New Roman" w:hAnsi="Times New Roman" w:cs="Times New Roman"/>
          <w:b/>
          <w:bCs/>
          <w:sz w:val="24"/>
          <w:szCs w:val="24"/>
        </w:rPr>
        <w:t>16</w:t>
      </w:r>
      <w:r w:rsidR="0046403A">
        <w:rPr>
          <w:rFonts w:ascii="Times New Roman" w:hAnsi="Times New Roman" w:cs="Times New Roman"/>
          <w:b/>
          <w:bCs/>
          <w:sz w:val="24"/>
          <w:szCs w:val="24"/>
        </w:rPr>
        <w:t>.</w:t>
      </w:r>
      <w:r w:rsidR="0046403A" w:rsidRPr="007D7EF3">
        <w:rPr>
          <w:rFonts w:ascii="Times New Roman" w:hAnsi="Times New Roman" w:cs="Times New Roman"/>
          <w:b/>
          <w:bCs/>
          <w:sz w:val="24"/>
          <w:szCs w:val="24"/>
        </w:rPr>
        <w:t xml:space="preserve"> </w:t>
      </w:r>
      <w:r w:rsidR="007D7EF3" w:rsidRPr="00DC0423">
        <w:rPr>
          <w:rFonts w:ascii="Times New Roman" w:eastAsia="Times New Roman" w:hAnsi="Times New Roman" w:cs="Times New Roman"/>
          <w:b/>
          <w:bCs/>
          <w:sz w:val="24"/>
          <w:szCs w:val="24"/>
          <w:lang w:eastAsia="pl-PL"/>
        </w:rPr>
        <w:t>Zmiana w ustawie z dnia 20 września 2021 r. o zmianie ustawy o Policji i niektórych innych ustaw</w:t>
      </w:r>
      <w:r w:rsidR="001F2F8A">
        <w:rPr>
          <w:rFonts w:ascii="Times New Roman" w:eastAsia="Times New Roman" w:hAnsi="Times New Roman" w:cs="Times New Roman"/>
          <w:b/>
          <w:bCs/>
          <w:sz w:val="24"/>
          <w:szCs w:val="24"/>
          <w:lang w:eastAsia="pl-PL"/>
        </w:rPr>
        <w:t xml:space="preserve"> </w:t>
      </w:r>
    </w:p>
    <w:p w14:paraId="64827A1A" w14:textId="6581FB5E" w:rsidR="007D7EF3" w:rsidRPr="007D7EF3" w:rsidRDefault="007D7EF3" w:rsidP="007639A6">
      <w:pPr>
        <w:spacing w:after="120" w:line="276" w:lineRule="auto"/>
        <w:jc w:val="both"/>
        <w:rPr>
          <w:rFonts w:ascii="Times New Roman" w:hAnsi="Times New Roman" w:cs="Times New Roman"/>
          <w:b/>
          <w:bCs/>
          <w:sz w:val="24"/>
          <w:szCs w:val="24"/>
        </w:rPr>
      </w:pPr>
      <w:r>
        <w:rPr>
          <w:rFonts w:ascii="Times New Roman" w:eastAsia="Times New Roman" w:hAnsi="Times New Roman" w:cs="Times New Roman"/>
          <w:sz w:val="24"/>
          <w:szCs w:val="24"/>
          <w:lang w:eastAsia="pl-PL"/>
        </w:rPr>
        <w:t xml:space="preserve">Na mocy art. 9 </w:t>
      </w:r>
      <w:r w:rsidRPr="0074606F">
        <w:rPr>
          <w:rFonts w:ascii="Times New Roman" w:eastAsia="Times New Roman" w:hAnsi="Times New Roman" w:cs="Times New Roman"/>
          <w:sz w:val="24"/>
          <w:szCs w:val="24"/>
          <w:lang w:eastAsia="pl-PL"/>
        </w:rPr>
        <w:t>ustaw</w:t>
      </w:r>
      <w:r>
        <w:rPr>
          <w:rFonts w:ascii="Times New Roman" w:eastAsia="Times New Roman" w:hAnsi="Times New Roman" w:cs="Times New Roman"/>
          <w:sz w:val="24"/>
          <w:szCs w:val="24"/>
          <w:lang w:eastAsia="pl-PL"/>
        </w:rPr>
        <w:t>y</w:t>
      </w:r>
      <w:r w:rsidRPr="0074606F">
        <w:rPr>
          <w:rFonts w:ascii="Times New Roman" w:eastAsia="Times New Roman" w:hAnsi="Times New Roman" w:cs="Times New Roman"/>
          <w:sz w:val="24"/>
          <w:szCs w:val="24"/>
          <w:lang w:eastAsia="pl-PL"/>
        </w:rPr>
        <w:t xml:space="preserve"> z dnia 20 września 2021 r. o zmianie ustawy o Policji i niektórych innych ustaw (Dz. U. poz. 1728)</w:t>
      </w:r>
      <w:r>
        <w:rPr>
          <w:rFonts w:ascii="Times New Roman" w:eastAsia="Times New Roman" w:hAnsi="Times New Roman" w:cs="Times New Roman"/>
          <w:sz w:val="24"/>
          <w:szCs w:val="24"/>
          <w:lang w:eastAsia="pl-PL"/>
        </w:rPr>
        <w:t xml:space="preserve"> </w:t>
      </w:r>
      <w:r w:rsidRPr="00C55D09">
        <w:rPr>
          <w:rFonts w:ascii="Times New Roman" w:eastAsia="Times New Roman" w:hAnsi="Times New Roman" w:cs="Times New Roman"/>
          <w:sz w:val="24"/>
          <w:szCs w:val="24"/>
          <w:lang w:eastAsia="pl-PL"/>
        </w:rPr>
        <w:t xml:space="preserve">rozporządzenie Ministra Środowiska z dnia 20 stycznia 2004 r. w sprawie minimalnych warunków utrzymywania poszczególnych gatunków zwierząt wykorzystywanych do celów rozrywkowych, widowiskowych, filmowych, sportowych i specjalnych (Dz. U. poz. 166) utraci moc </w:t>
      </w:r>
      <w:r>
        <w:rPr>
          <w:rFonts w:ascii="Times New Roman" w:eastAsia="Times New Roman" w:hAnsi="Times New Roman" w:cs="Times New Roman"/>
          <w:sz w:val="24"/>
          <w:szCs w:val="24"/>
          <w:lang w:eastAsia="pl-PL"/>
        </w:rPr>
        <w:t>w terminie 12</w:t>
      </w:r>
      <w:r w:rsidRPr="0074606F">
        <w:rPr>
          <w:rFonts w:ascii="Times New Roman" w:eastAsia="Times New Roman" w:hAnsi="Times New Roman" w:cs="Times New Roman"/>
          <w:sz w:val="24"/>
          <w:szCs w:val="24"/>
          <w:lang w:eastAsia="pl-PL"/>
        </w:rPr>
        <w:t xml:space="preserve"> miesięc</w:t>
      </w:r>
      <w:r>
        <w:rPr>
          <w:rFonts w:ascii="Times New Roman" w:eastAsia="Times New Roman" w:hAnsi="Times New Roman" w:cs="Times New Roman"/>
          <w:sz w:val="24"/>
          <w:szCs w:val="24"/>
          <w:lang w:eastAsia="pl-PL"/>
        </w:rPr>
        <w:t>y</w:t>
      </w:r>
      <w:r w:rsidRPr="0074606F">
        <w:rPr>
          <w:rFonts w:ascii="Times New Roman" w:eastAsia="Times New Roman" w:hAnsi="Times New Roman" w:cs="Times New Roman"/>
          <w:sz w:val="24"/>
          <w:szCs w:val="24"/>
          <w:lang w:eastAsia="pl-PL"/>
        </w:rPr>
        <w:t xml:space="preserve"> od dnia wejścia w życie </w:t>
      </w:r>
      <w:r>
        <w:rPr>
          <w:rFonts w:ascii="Times New Roman" w:eastAsia="Times New Roman" w:hAnsi="Times New Roman" w:cs="Times New Roman"/>
          <w:sz w:val="24"/>
          <w:szCs w:val="24"/>
          <w:lang w:eastAsia="pl-PL"/>
        </w:rPr>
        <w:t xml:space="preserve">ww. </w:t>
      </w:r>
      <w:r w:rsidRPr="0074606F">
        <w:rPr>
          <w:rFonts w:ascii="Times New Roman" w:eastAsia="Times New Roman" w:hAnsi="Times New Roman" w:cs="Times New Roman"/>
          <w:sz w:val="24"/>
          <w:szCs w:val="24"/>
          <w:lang w:eastAsia="pl-PL"/>
        </w:rPr>
        <w:t>ustaw</w:t>
      </w:r>
      <w:r>
        <w:rPr>
          <w:rFonts w:ascii="Times New Roman" w:eastAsia="Times New Roman" w:hAnsi="Times New Roman" w:cs="Times New Roman"/>
          <w:sz w:val="24"/>
          <w:szCs w:val="24"/>
          <w:lang w:eastAsia="pl-PL"/>
        </w:rPr>
        <w:t xml:space="preserve">y, tj. </w:t>
      </w:r>
      <w:r w:rsidRPr="00C55D09">
        <w:rPr>
          <w:rFonts w:ascii="Times New Roman" w:eastAsia="Times New Roman" w:hAnsi="Times New Roman" w:cs="Times New Roman"/>
          <w:sz w:val="24"/>
          <w:szCs w:val="24"/>
          <w:lang w:eastAsia="pl-PL"/>
        </w:rPr>
        <w:t xml:space="preserve">z dniem 21 grudnia 2022 r. Obecnie </w:t>
      </w:r>
      <w:r>
        <w:rPr>
          <w:rFonts w:ascii="Times New Roman" w:eastAsia="Times New Roman" w:hAnsi="Times New Roman" w:cs="Times New Roman"/>
          <w:sz w:val="24"/>
          <w:szCs w:val="24"/>
          <w:lang w:eastAsia="pl-PL"/>
        </w:rPr>
        <w:t xml:space="preserve">procedowany jest </w:t>
      </w:r>
      <w:r w:rsidRPr="00C55D09">
        <w:rPr>
          <w:rFonts w:ascii="Times New Roman" w:eastAsia="Times New Roman" w:hAnsi="Times New Roman" w:cs="Times New Roman"/>
          <w:sz w:val="24"/>
          <w:szCs w:val="24"/>
          <w:lang w:eastAsia="pl-PL"/>
        </w:rPr>
        <w:t xml:space="preserve">projekt rozporządzenia Ministra Klimatu i Środowiska w sprawie minimalnych warunków utrzymywania poszczególnych gatunków zwierząt wykorzystywanych do celów rozrywkowych, widowiskowych, filmowych, sportowych i specjalnych, </w:t>
      </w:r>
      <w:r>
        <w:rPr>
          <w:rFonts w:ascii="Times New Roman" w:eastAsia="Times New Roman" w:hAnsi="Times New Roman" w:cs="Times New Roman"/>
          <w:sz w:val="24"/>
          <w:szCs w:val="24"/>
          <w:lang w:eastAsia="pl-PL"/>
        </w:rPr>
        <w:t>wykonujący upoważnienie ustawowe zawarte</w:t>
      </w:r>
      <w:r w:rsidRPr="0074606F">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w </w:t>
      </w:r>
      <w:r w:rsidRPr="0074606F">
        <w:rPr>
          <w:rFonts w:ascii="Times New Roman" w:eastAsia="Times New Roman" w:hAnsi="Times New Roman" w:cs="Times New Roman"/>
          <w:sz w:val="24"/>
          <w:szCs w:val="24"/>
          <w:lang w:eastAsia="pl-PL"/>
        </w:rPr>
        <w:t xml:space="preserve">art. 17 ust. 8 </w:t>
      </w:r>
      <w:r w:rsidRPr="00C55D09">
        <w:rPr>
          <w:rFonts w:ascii="Times New Roman" w:eastAsia="Times New Roman" w:hAnsi="Times New Roman" w:cs="Times New Roman"/>
          <w:sz w:val="24"/>
          <w:szCs w:val="24"/>
          <w:lang w:eastAsia="pl-PL"/>
        </w:rPr>
        <w:t>ustawy z dnia 21 sierpnia 1997 r. o ochronie zwierząt (Dz. U. z 2022 r. poz. 572)</w:t>
      </w:r>
      <w:r>
        <w:rPr>
          <w:rFonts w:ascii="Times New Roman" w:eastAsia="Times New Roman" w:hAnsi="Times New Roman" w:cs="Times New Roman"/>
          <w:sz w:val="24"/>
          <w:szCs w:val="24"/>
          <w:lang w:eastAsia="pl-PL"/>
        </w:rPr>
        <w:t xml:space="preserve">. Projekt ten </w:t>
      </w:r>
      <w:r w:rsidRPr="00C55D09">
        <w:rPr>
          <w:rFonts w:ascii="Times New Roman" w:eastAsia="Times New Roman" w:hAnsi="Times New Roman" w:cs="Times New Roman"/>
          <w:sz w:val="24"/>
          <w:szCs w:val="24"/>
          <w:lang w:eastAsia="pl-PL"/>
        </w:rPr>
        <w:t xml:space="preserve">zawiera przepisy techniczne w rozumieniu przepisów rozporządzenia Rady Ministrów z dnia 23 grudnia 2002 r. w sprawie sposobu funkcjonowania krajowego systemu notyfikacji norm i aktów prawnych (Dz. U. poz. 2039, z późn. zm.). </w:t>
      </w:r>
      <w:r>
        <w:rPr>
          <w:rFonts w:ascii="Times New Roman" w:eastAsia="Times New Roman" w:hAnsi="Times New Roman" w:cs="Times New Roman"/>
          <w:sz w:val="24"/>
          <w:szCs w:val="24"/>
          <w:lang w:eastAsia="pl-PL"/>
        </w:rPr>
        <w:t xml:space="preserve">Ze względu na </w:t>
      </w:r>
      <w:r w:rsidRPr="00721F5A">
        <w:rPr>
          <w:rFonts w:ascii="Times New Roman" w:eastAsia="Times New Roman" w:hAnsi="Times New Roman" w:cs="Times New Roman"/>
          <w:sz w:val="24"/>
          <w:szCs w:val="24"/>
          <w:lang w:eastAsia="pl-PL"/>
        </w:rPr>
        <w:t xml:space="preserve">konieczność </w:t>
      </w:r>
      <w:r>
        <w:rPr>
          <w:rFonts w:ascii="Times New Roman" w:eastAsia="Times New Roman" w:hAnsi="Times New Roman" w:cs="Times New Roman"/>
          <w:sz w:val="24"/>
          <w:szCs w:val="24"/>
          <w:lang w:eastAsia="pl-PL"/>
        </w:rPr>
        <w:t>przeprowadzenia</w:t>
      </w:r>
      <w:r w:rsidRPr="00721F5A">
        <w:rPr>
          <w:rFonts w:ascii="Times New Roman" w:eastAsia="Times New Roman" w:hAnsi="Times New Roman" w:cs="Times New Roman"/>
          <w:sz w:val="24"/>
          <w:szCs w:val="24"/>
          <w:lang w:eastAsia="pl-PL"/>
        </w:rPr>
        <w:t xml:space="preserve"> procedury notyfikacyjnej</w:t>
      </w:r>
      <w:r>
        <w:rPr>
          <w:rFonts w:ascii="Times New Roman" w:eastAsia="Times New Roman" w:hAnsi="Times New Roman" w:cs="Times New Roman"/>
          <w:sz w:val="24"/>
          <w:szCs w:val="24"/>
          <w:lang w:eastAsia="pl-PL"/>
        </w:rPr>
        <w:t xml:space="preserve"> (3-miesięczny okres stand </w:t>
      </w:r>
      <w:proofErr w:type="spellStart"/>
      <w:r>
        <w:rPr>
          <w:rFonts w:ascii="Times New Roman" w:eastAsia="Times New Roman" w:hAnsi="Times New Roman" w:cs="Times New Roman"/>
          <w:sz w:val="24"/>
          <w:szCs w:val="24"/>
          <w:lang w:eastAsia="pl-PL"/>
        </w:rPr>
        <w:t>still</w:t>
      </w:r>
      <w:proofErr w:type="spellEnd"/>
      <w:r>
        <w:rPr>
          <w:rFonts w:ascii="Times New Roman" w:eastAsia="Times New Roman" w:hAnsi="Times New Roman" w:cs="Times New Roman"/>
          <w:sz w:val="24"/>
          <w:szCs w:val="24"/>
          <w:lang w:eastAsia="pl-PL"/>
        </w:rPr>
        <w:t xml:space="preserve">), nowe </w:t>
      </w:r>
      <w:r w:rsidRPr="00C55D09">
        <w:rPr>
          <w:rFonts w:ascii="Times New Roman" w:eastAsia="Times New Roman" w:hAnsi="Times New Roman" w:cs="Times New Roman"/>
          <w:sz w:val="24"/>
          <w:szCs w:val="24"/>
          <w:lang w:eastAsia="pl-PL"/>
        </w:rPr>
        <w:t>rozporządzeni</w:t>
      </w:r>
      <w:r>
        <w:rPr>
          <w:rFonts w:ascii="Times New Roman" w:eastAsia="Times New Roman" w:hAnsi="Times New Roman" w:cs="Times New Roman"/>
          <w:sz w:val="24"/>
          <w:szCs w:val="24"/>
          <w:lang w:eastAsia="pl-PL"/>
        </w:rPr>
        <w:t>e</w:t>
      </w:r>
      <w:r w:rsidRPr="00C55D09">
        <w:rPr>
          <w:rFonts w:ascii="Times New Roman" w:eastAsia="Times New Roman" w:hAnsi="Times New Roman" w:cs="Times New Roman"/>
          <w:sz w:val="24"/>
          <w:szCs w:val="24"/>
          <w:lang w:eastAsia="pl-PL"/>
        </w:rPr>
        <w:t xml:space="preserve"> Ministra Klimatu i Środowiska w sprawie minimalnych warunków utrzymywania poszczególnych gatunków zwierząt wykorzystywanych do celów rozrywkowych, widowiskowych, filmowych, sportowych i specjalnych</w:t>
      </w:r>
      <w:r>
        <w:rPr>
          <w:rFonts w:ascii="Times New Roman" w:eastAsia="Times New Roman" w:hAnsi="Times New Roman" w:cs="Times New Roman"/>
          <w:sz w:val="24"/>
          <w:szCs w:val="24"/>
          <w:lang w:eastAsia="pl-PL"/>
        </w:rPr>
        <w:t>, nie wejdzie w życie przed dniem 21 grudnia 2022 r. Z uwagi na grożącą lukę prawną, uzasadnione jest przedłużenie terminu zachowania w mocy d</w:t>
      </w:r>
      <w:r w:rsidRPr="0074606F">
        <w:rPr>
          <w:rFonts w:ascii="Times New Roman" w:eastAsia="Times New Roman" w:hAnsi="Times New Roman" w:cs="Times New Roman"/>
          <w:sz w:val="24"/>
          <w:szCs w:val="24"/>
          <w:lang w:eastAsia="pl-PL"/>
        </w:rPr>
        <w:t>otychczasow</w:t>
      </w:r>
      <w:r>
        <w:rPr>
          <w:rFonts w:ascii="Times New Roman" w:eastAsia="Times New Roman" w:hAnsi="Times New Roman" w:cs="Times New Roman"/>
          <w:sz w:val="24"/>
          <w:szCs w:val="24"/>
          <w:lang w:eastAsia="pl-PL"/>
        </w:rPr>
        <w:t>ych</w:t>
      </w:r>
      <w:r w:rsidRPr="0074606F">
        <w:rPr>
          <w:rFonts w:ascii="Times New Roman" w:eastAsia="Times New Roman" w:hAnsi="Times New Roman" w:cs="Times New Roman"/>
          <w:sz w:val="24"/>
          <w:szCs w:val="24"/>
          <w:lang w:eastAsia="pl-PL"/>
        </w:rPr>
        <w:t xml:space="preserve"> przepis</w:t>
      </w:r>
      <w:r>
        <w:rPr>
          <w:rFonts w:ascii="Times New Roman" w:eastAsia="Times New Roman" w:hAnsi="Times New Roman" w:cs="Times New Roman"/>
          <w:sz w:val="24"/>
          <w:szCs w:val="24"/>
          <w:lang w:eastAsia="pl-PL"/>
        </w:rPr>
        <w:t>ów</w:t>
      </w:r>
      <w:r w:rsidRPr="0074606F">
        <w:rPr>
          <w:rFonts w:ascii="Times New Roman" w:eastAsia="Times New Roman" w:hAnsi="Times New Roman" w:cs="Times New Roman"/>
          <w:sz w:val="24"/>
          <w:szCs w:val="24"/>
          <w:lang w:eastAsia="pl-PL"/>
        </w:rPr>
        <w:t xml:space="preserve"> wykonawcz</w:t>
      </w:r>
      <w:r>
        <w:rPr>
          <w:rFonts w:ascii="Times New Roman" w:eastAsia="Times New Roman" w:hAnsi="Times New Roman" w:cs="Times New Roman"/>
          <w:sz w:val="24"/>
          <w:szCs w:val="24"/>
          <w:lang w:eastAsia="pl-PL"/>
        </w:rPr>
        <w:t>ych</w:t>
      </w:r>
      <w:r w:rsidRPr="0074606F">
        <w:rPr>
          <w:rFonts w:ascii="Times New Roman" w:eastAsia="Times New Roman" w:hAnsi="Times New Roman" w:cs="Times New Roman"/>
          <w:sz w:val="24"/>
          <w:szCs w:val="24"/>
          <w:lang w:eastAsia="pl-PL"/>
        </w:rPr>
        <w:t xml:space="preserve"> wydan</w:t>
      </w:r>
      <w:r>
        <w:rPr>
          <w:rFonts w:ascii="Times New Roman" w:eastAsia="Times New Roman" w:hAnsi="Times New Roman" w:cs="Times New Roman"/>
          <w:sz w:val="24"/>
          <w:szCs w:val="24"/>
          <w:lang w:eastAsia="pl-PL"/>
        </w:rPr>
        <w:t>ych</w:t>
      </w:r>
      <w:r w:rsidRPr="0074606F">
        <w:rPr>
          <w:rFonts w:ascii="Times New Roman" w:eastAsia="Times New Roman" w:hAnsi="Times New Roman" w:cs="Times New Roman"/>
          <w:sz w:val="24"/>
          <w:szCs w:val="24"/>
          <w:lang w:eastAsia="pl-PL"/>
        </w:rPr>
        <w:t xml:space="preserve"> na podstawie art. 17 ust. 8 </w:t>
      </w:r>
      <w:r w:rsidRPr="00C55D09">
        <w:rPr>
          <w:rFonts w:ascii="Times New Roman" w:eastAsia="Times New Roman" w:hAnsi="Times New Roman" w:cs="Times New Roman"/>
          <w:sz w:val="24"/>
          <w:szCs w:val="24"/>
          <w:lang w:eastAsia="pl-PL"/>
        </w:rPr>
        <w:t>ustawy z dnia 21 sierpnia 1997 r. o ochronie zwierząt</w:t>
      </w:r>
      <w:r>
        <w:rPr>
          <w:rFonts w:ascii="Times New Roman" w:eastAsia="Times New Roman" w:hAnsi="Times New Roman" w:cs="Times New Roman"/>
          <w:sz w:val="24"/>
          <w:szCs w:val="24"/>
          <w:lang w:eastAsia="pl-PL"/>
        </w:rPr>
        <w:t xml:space="preserve"> do dnia </w:t>
      </w:r>
      <w:r w:rsidRPr="00C55D09">
        <w:rPr>
          <w:rFonts w:ascii="Times New Roman" w:eastAsia="Times New Roman" w:hAnsi="Times New Roman" w:cs="Times New Roman"/>
          <w:sz w:val="24"/>
          <w:szCs w:val="24"/>
          <w:lang w:eastAsia="pl-PL"/>
        </w:rPr>
        <w:t xml:space="preserve">21 grudnia </w:t>
      </w:r>
      <w:r w:rsidRPr="00C55D09">
        <w:rPr>
          <w:rFonts w:ascii="Times New Roman" w:eastAsia="Times New Roman" w:hAnsi="Times New Roman" w:cs="Times New Roman"/>
          <w:sz w:val="24"/>
          <w:szCs w:val="24"/>
          <w:lang w:eastAsia="pl-PL"/>
        </w:rPr>
        <w:lastRenderedPageBreak/>
        <w:t>202</w:t>
      </w:r>
      <w:r>
        <w:rPr>
          <w:rFonts w:ascii="Times New Roman" w:eastAsia="Times New Roman" w:hAnsi="Times New Roman" w:cs="Times New Roman"/>
          <w:sz w:val="24"/>
          <w:szCs w:val="24"/>
          <w:lang w:eastAsia="pl-PL"/>
        </w:rPr>
        <w:t>3</w:t>
      </w:r>
      <w:r w:rsidRPr="00C55D09">
        <w:rPr>
          <w:rFonts w:ascii="Times New Roman" w:eastAsia="Times New Roman" w:hAnsi="Times New Roman" w:cs="Times New Roman"/>
          <w:sz w:val="24"/>
          <w:szCs w:val="24"/>
          <w:lang w:eastAsia="pl-PL"/>
        </w:rPr>
        <w:t xml:space="preserve"> r</w:t>
      </w:r>
      <w:r>
        <w:rPr>
          <w:rFonts w:ascii="Times New Roman" w:eastAsia="Times New Roman" w:hAnsi="Times New Roman" w:cs="Times New Roman"/>
          <w:sz w:val="24"/>
          <w:szCs w:val="24"/>
          <w:lang w:eastAsia="pl-PL"/>
        </w:rPr>
        <w:t xml:space="preserve">. o dodatkowe 12 miesięcy (tj. do 24 miesięcy od dnia wejścia w życie ustawy </w:t>
      </w:r>
      <w:r w:rsidRPr="00BC65FA">
        <w:rPr>
          <w:rFonts w:ascii="Times New Roman" w:eastAsia="Times New Roman" w:hAnsi="Times New Roman" w:cs="Times New Roman"/>
          <w:sz w:val="24"/>
          <w:szCs w:val="24"/>
          <w:lang w:eastAsia="pl-PL"/>
        </w:rPr>
        <w:t>z dnia 20 września 2021 r. o zmianie ustawy o Policji i niektórych innych ustaw</w:t>
      </w:r>
      <w:r>
        <w:rPr>
          <w:rFonts w:ascii="Times New Roman" w:eastAsia="Times New Roman" w:hAnsi="Times New Roman" w:cs="Times New Roman"/>
          <w:sz w:val="24"/>
          <w:szCs w:val="24"/>
          <w:lang w:eastAsia="pl-PL"/>
        </w:rPr>
        <w:t xml:space="preserve">). </w:t>
      </w:r>
    </w:p>
    <w:p w14:paraId="19ACE1DD" w14:textId="77777777" w:rsidR="007639A6" w:rsidRDefault="007639A6" w:rsidP="007639A6">
      <w:pPr>
        <w:spacing w:after="120" w:line="276" w:lineRule="auto"/>
        <w:jc w:val="both"/>
        <w:rPr>
          <w:rFonts w:ascii="Times New Roman" w:hAnsi="Times New Roman" w:cs="Times New Roman"/>
          <w:b/>
          <w:bCs/>
          <w:sz w:val="24"/>
          <w:szCs w:val="24"/>
        </w:rPr>
      </w:pPr>
    </w:p>
    <w:p w14:paraId="23CB8912" w14:textId="06FC5747" w:rsidR="0046403A" w:rsidRPr="0037067C" w:rsidRDefault="0046403A" w:rsidP="007639A6">
      <w:pPr>
        <w:spacing w:after="120" w:line="276" w:lineRule="auto"/>
        <w:jc w:val="both"/>
        <w:rPr>
          <w:rStyle w:val="Ppogrubienie"/>
          <w:rFonts w:ascii="Times New Roman" w:hAnsi="Times New Roman" w:cs="Times New Roman"/>
          <w:sz w:val="24"/>
          <w:szCs w:val="24"/>
        </w:rPr>
      </w:pPr>
      <w:r w:rsidRPr="0037067C">
        <w:rPr>
          <w:rFonts w:ascii="Times New Roman" w:hAnsi="Times New Roman" w:cs="Times New Roman"/>
          <w:b/>
          <w:bCs/>
          <w:sz w:val="24"/>
          <w:szCs w:val="24"/>
        </w:rPr>
        <w:t>2.</w:t>
      </w:r>
      <w:r w:rsidR="002D1BBE" w:rsidRPr="0037067C">
        <w:rPr>
          <w:rFonts w:ascii="Times New Roman" w:hAnsi="Times New Roman" w:cs="Times New Roman"/>
          <w:b/>
          <w:bCs/>
          <w:sz w:val="24"/>
          <w:szCs w:val="24"/>
        </w:rPr>
        <w:t>1</w:t>
      </w:r>
      <w:r w:rsidR="002D1BBE">
        <w:rPr>
          <w:rFonts w:ascii="Times New Roman" w:hAnsi="Times New Roman" w:cs="Times New Roman"/>
          <w:b/>
          <w:bCs/>
          <w:sz w:val="24"/>
          <w:szCs w:val="24"/>
        </w:rPr>
        <w:t>7</w:t>
      </w:r>
      <w:r w:rsidRPr="0037067C">
        <w:rPr>
          <w:rFonts w:ascii="Times New Roman" w:hAnsi="Times New Roman" w:cs="Times New Roman"/>
          <w:b/>
          <w:bCs/>
          <w:sz w:val="24"/>
          <w:szCs w:val="24"/>
        </w:rPr>
        <w:t xml:space="preserve">. Zmiana w ustawie z dnia </w:t>
      </w:r>
      <w:r w:rsidRPr="00936076">
        <w:rPr>
          <w:rStyle w:val="Ppogrubienie"/>
          <w:rFonts w:ascii="Times New Roman" w:hAnsi="Times New Roman" w:cs="Times New Roman"/>
          <w:sz w:val="24"/>
          <w:szCs w:val="24"/>
        </w:rPr>
        <w:t xml:space="preserve">z dnia 5 sierpnia 2022 r. o dodatku węglowym </w:t>
      </w:r>
    </w:p>
    <w:p w14:paraId="489DDD56" w14:textId="4695249B" w:rsidR="00DD1E46" w:rsidRPr="0037067C" w:rsidRDefault="00DD1E46" w:rsidP="007639A6">
      <w:pPr>
        <w:spacing w:after="120" w:line="276" w:lineRule="auto"/>
        <w:jc w:val="both"/>
        <w:rPr>
          <w:rStyle w:val="Ppogrubienie"/>
          <w:rFonts w:ascii="Times New Roman" w:hAnsi="Times New Roman" w:cs="Times New Roman"/>
          <w:b w:val="0"/>
          <w:bCs/>
          <w:sz w:val="24"/>
          <w:szCs w:val="24"/>
        </w:rPr>
      </w:pPr>
      <w:bookmarkStart w:id="5" w:name="_Hlk119672327"/>
      <w:r w:rsidRPr="0037067C">
        <w:rPr>
          <w:rStyle w:val="Ppogrubienie"/>
          <w:rFonts w:ascii="Times New Roman" w:hAnsi="Times New Roman" w:cs="Times New Roman"/>
          <w:b w:val="0"/>
          <w:bCs/>
          <w:sz w:val="24"/>
          <w:szCs w:val="24"/>
        </w:rPr>
        <w:t>Mając na względzie duże zainteresowanie uzyskaniem dodatku węglowego</w:t>
      </w:r>
      <w:r w:rsidR="005C053E" w:rsidRPr="0037067C">
        <w:rPr>
          <w:rStyle w:val="Ppogrubienie"/>
          <w:rFonts w:ascii="Times New Roman" w:hAnsi="Times New Roman" w:cs="Times New Roman"/>
          <w:b w:val="0"/>
          <w:bCs/>
          <w:sz w:val="24"/>
          <w:szCs w:val="24"/>
        </w:rPr>
        <w:t xml:space="preserve">, sygnalizowane w informacjach napływających od jednostek samorządu terytorialnego, zdecydowano się wydłużyć termin, w jakim </w:t>
      </w:r>
      <w:r w:rsidR="00FE447F">
        <w:rPr>
          <w:rStyle w:val="Ppogrubienie"/>
          <w:rFonts w:ascii="Times New Roman" w:hAnsi="Times New Roman" w:cs="Times New Roman"/>
          <w:b w:val="0"/>
          <w:bCs/>
          <w:sz w:val="24"/>
          <w:szCs w:val="24"/>
        </w:rPr>
        <w:t>będą rozpatrywane wnioski o wypłatę dodatku węglowego</w:t>
      </w:r>
      <w:r w:rsidR="005C053E" w:rsidRPr="0037067C">
        <w:rPr>
          <w:rStyle w:val="Ppogrubienie"/>
          <w:rFonts w:ascii="Times New Roman" w:hAnsi="Times New Roman" w:cs="Times New Roman"/>
          <w:b w:val="0"/>
          <w:bCs/>
          <w:sz w:val="24"/>
          <w:szCs w:val="24"/>
        </w:rPr>
        <w:t xml:space="preserve">. </w:t>
      </w:r>
      <w:r w:rsidR="004F32F5" w:rsidRPr="0037067C">
        <w:rPr>
          <w:rStyle w:val="Ppogrubienie"/>
          <w:rFonts w:ascii="Times New Roman" w:hAnsi="Times New Roman" w:cs="Times New Roman"/>
          <w:b w:val="0"/>
          <w:bCs/>
          <w:sz w:val="24"/>
          <w:szCs w:val="24"/>
        </w:rPr>
        <w:t xml:space="preserve">Skutkować to będzie zarówno usprawnieniem obsługi wniosków, jak i wpłynie pozytywnie na zwiększenie efektywności organów rozpatrujących wnioski. </w:t>
      </w:r>
    </w:p>
    <w:p w14:paraId="0C9D86C8" w14:textId="4B01D3F3" w:rsidR="004F32F5" w:rsidRPr="0037067C" w:rsidRDefault="004F32F5" w:rsidP="007639A6">
      <w:pPr>
        <w:spacing w:after="120" w:line="276" w:lineRule="auto"/>
        <w:jc w:val="both"/>
        <w:rPr>
          <w:rStyle w:val="Ppogrubienie"/>
          <w:rFonts w:ascii="Times New Roman" w:hAnsi="Times New Roman" w:cs="Times New Roman"/>
          <w:b w:val="0"/>
          <w:bCs/>
          <w:sz w:val="24"/>
          <w:szCs w:val="24"/>
        </w:rPr>
      </w:pPr>
      <w:r w:rsidRPr="0037067C">
        <w:rPr>
          <w:rStyle w:val="Ppogrubienie"/>
          <w:rFonts w:ascii="Times New Roman" w:hAnsi="Times New Roman" w:cs="Times New Roman"/>
          <w:b w:val="0"/>
          <w:bCs/>
          <w:sz w:val="24"/>
          <w:szCs w:val="24"/>
        </w:rPr>
        <w:t xml:space="preserve">Konsekwencją tej zmiany jest zmiana wskazanych w ustawie terminów, w szczególności w zakresie wnioskowania i rozliczania się ze środków otrzymanych na wypłatę dodatku węglowego. </w:t>
      </w:r>
      <w:r w:rsidR="004627BE" w:rsidRPr="0037067C">
        <w:rPr>
          <w:rStyle w:val="Ppogrubienie"/>
          <w:rFonts w:ascii="Times New Roman" w:hAnsi="Times New Roman" w:cs="Times New Roman"/>
          <w:b w:val="0"/>
          <w:bCs/>
          <w:sz w:val="24"/>
          <w:szCs w:val="24"/>
        </w:rPr>
        <w:t xml:space="preserve">W szczególności wójt, burmistrz albo prezydent miasta przedstawia wojewodzie, w terminie </w:t>
      </w:r>
      <w:r w:rsidR="007639A6">
        <w:rPr>
          <w:rStyle w:val="Ppogrubienie"/>
          <w:rFonts w:ascii="Times New Roman" w:hAnsi="Times New Roman" w:cs="Times New Roman"/>
          <w:b w:val="0"/>
          <w:bCs/>
          <w:sz w:val="24"/>
          <w:szCs w:val="24"/>
        </w:rPr>
        <w:t xml:space="preserve">odpowiednio do dnia 15 lutego oraz </w:t>
      </w:r>
      <w:r w:rsidR="004627BE" w:rsidRPr="0037067C">
        <w:rPr>
          <w:rStyle w:val="Ppogrubienie"/>
          <w:rFonts w:ascii="Times New Roman" w:hAnsi="Times New Roman" w:cs="Times New Roman"/>
          <w:b w:val="0"/>
          <w:bCs/>
          <w:sz w:val="24"/>
          <w:szCs w:val="24"/>
        </w:rPr>
        <w:t>do dnia 28 lutego 2023 r., rozliczenie środków na realizację wypłat dodatku węglowego z wyodrębnieniem liczby i kwoty wypłaconych dodatków węglowych.</w:t>
      </w:r>
    </w:p>
    <w:p w14:paraId="3488CA75" w14:textId="202CED97" w:rsidR="00723E92" w:rsidRPr="0037067C" w:rsidRDefault="00723E92" w:rsidP="007639A6">
      <w:pPr>
        <w:spacing w:after="120" w:line="276" w:lineRule="auto"/>
        <w:jc w:val="both"/>
        <w:rPr>
          <w:rStyle w:val="Ppogrubienie"/>
          <w:rFonts w:ascii="Times New Roman" w:hAnsi="Times New Roman" w:cs="Times New Roman"/>
          <w:b w:val="0"/>
          <w:bCs/>
          <w:sz w:val="24"/>
          <w:szCs w:val="24"/>
        </w:rPr>
      </w:pPr>
      <w:r w:rsidRPr="0037067C">
        <w:rPr>
          <w:rStyle w:val="Ppogrubienie"/>
          <w:rFonts w:ascii="Times New Roman" w:hAnsi="Times New Roman" w:cs="Times New Roman"/>
          <w:b w:val="0"/>
          <w:bCs/>
          <w:sz w:val="24"/>
          <w:szCs w:val="24"/>
        </w:rPr>
        <w:t xml:space="preserve">W związku z wydłużeniem </w:t>
      </w:r>
      <w:r w:rsidR="00FE447F">
        <w:rPr>
          <w:rStyle w:val="Ppogrubienie"/>
          <w:rFonts w:ascii="Times New Roman" w:hAnsi="Times New Roman" w:cs="Times New Roman"/>
          <w:b w:val="0"/>
          <w:bCs/>
          <w:sz w:val="24"/>
          <w:szCs w:val="24"/>
        </w:rPr>
        <w:t>terminów przewidzianych w ustawie</w:t>
      </w:r>
      <w:r w:rsidRPr="0037067C">
        <w:rPr>
          <w:rStyle w:val="Ppogrubienie"/>
          <w:rFonts w:ascii="Times New Roman" w:hAnsi="Times New Roman" w:cs="Times New Roman"/>
          <w:b w:val="0"/>
          <w:bCs/>
          <w:sz w:val="24"/>
          <w:szCs w:val="24"/>
        </w:rPr>
        <w:t>, dodatek węglowy może być wypłacany także w 2023 r. Dlatego też dokonano zmiany w art. 27 ustawy o dodatku węglowym</w:t>
      </w:r>
      <w:r w:rsidR="007639A6">
        <w:rPr>
          <w:rStyle w:val="Ppogrubienie"/>
          <w:rFonts w:ascii="Times New Roman" w:hAnsi="Times New Roman" w:cs="Times New Roman"/>
          <w:b w:val="0"/>
          <w:bCs/>
          <w:sz w:val="24"/>
          <w:szCs w:val="24"/>
        </w:rPr>
        <w:t>,</w:t>
      </w:r>
      <w:r w:rsidRPr="0037067C">
        <w:rPr>
          <w:rStyle w:val="Ppogrubienie"/>
          <w:rFonts w:ascii="Times New Roman" w:hAnsi="Times New Roman" w:cs="Times New Roman"/>
          <w:b w:val="0"/>
          <w:bCs/>
          <w:sz w:val="24"/>
          <w:szCs w:val="24"/>
        </w:rPr>
        <w:t xml:space="preserve"> przewidując środki na wypłaty dodatku także w 2023 r.</w:t>
      </w:r>
    </w:p>
    <w:bookmarkEnd w:id="5"/>
    <w:p w14:paraId="3C0C6F0F" w14:textId="77777777" w:rsidR="0046403A" w:rsidRPr="0046403A" w:rsidRDefault="0046403A" w:rsidP="007639A6">
      <w:pPr>
        <w:spacing w:after="120" w:line="276" w:lineRule="auto"/>
        <w:jc w:val="both"/>
        <w:rPr>
          <w:rFonts w:ascii="Times New Roman" w:hAnsi="Times New Roman" w:cs="Times New Roman"/>
          <w:b/>
          <w:bCs/>
          <w:sz w:val="24"/>
          <w:szCs w:val="24"/>
        </w:rPr>
      </w:pPr>
    </w:p>
    <w:p w14:paraId="2DB6A22F" w14:textId="74BFD12A" w:rsidR="00785114" w:rsidRPr="00936076" w:rsidRDefault="002E51EB" w:rsidP="007639A6">
      <w:pPr>
        <w:pStyle w:val="Akapitzlist"/>
        <w:tabs>
          <w:tab w:val="left" w:pos="630"/>
          <w:tab w:val="left" w:pos="2250"/>
        </w:tabs>
        <w:suppressAutoHyphens/>
        <w:spacing w:before="120" w:after="120" w:line="276" w:lineRule="auto"/>
        <w:ind w:left="0"/>
        <w:jc w:val="both"/>
        <w:rPr>
          <w:rStyle w:val="Ppogrubienie"/>
          <w:rFonts w:ascii="Times New Roman" w:hAnsi="Times New Roman" w:cs="Times New Roman"/>
          <w:bCs/>
          <w:color w:val="000000"/>
          <w:sz w:val="24"/>
          <w:szCs w:val="24"/>
        </w:rPr>
      </w:pPr>
      <w:r>
        <w:rPr>
          <w:rStyle w:val="Ppogrubienie"/>
          <w:rFonts w:ascii="Times New Roman" w:hAnsi="Times New Roman" w:cs="Times New Roman"/>
          <w:bCs/>
          <w:sz w:val="24"/>
          <w:szCs w:val="24"/>
        </w:rPr>
        <w:t>2.</w:t>
      </w:r>
      <w:r w:rsidR="002D1BBE">
        <w:rPr>
          <w:rStyle w:val="Ppogrubienie"/>
          <w:rFonts w:ascii="Times New Roman" w:hAnsi="Times New Roman" w:cs="Times New Roman"/>
          <w:bCs/>
          <w:sz w:val="24"/>
          <w:szCs w:val="24"/>
        </w:rPr>
        <w:t>18</w:t>
      </w:r>
      <w:r w:rsidR="00277DDE">
        <w:rPr>
          <w:rStyle w:val="Ppogrubienie"/>
          <w:rFonts w:ascii="Times New Roman" w:hAnsi="Times New Roman" w:cs="Times New Roman"/>
          <w:bCs/>
          <w:sz w:val="24"/>
          <w:szCs w:val="24"/>
        </w:rPr>
        <w:t xml:space="preserve">. </w:t>
      </w:r>
      <w:r w:rsidR="00785114" w:rsidRPr="00936076">
        <w:rPr>
          <w:rStyle w:val="Ppogrubienie"/>
          <w:rFonts w:ascii="Times New Roman" w:hAnsi="Times New Roman" w:cs="Times New Roman"/>
          <w:bCs/>
          <w:sz w:val="24"/>
          <w:szCs w:val="24"/>
        </w:rPr>
        <w:t xml:space="preserve">Zmiana w ustawie z dnia 26 stycznia 2022 r. </w:t>
      </w:r>
      <w:r w:rsidR="00785114" w:rsidRPr="00936076">
        <w:rPr>
          <w:rFonts w:ascii="Times New Roman" w:hAnsi="Times New Roman" w:cs="Times New Roman"/>
          <w:b/>
          <w:bCs/>
          <w:sz w:val="24"/>
          <w:szCs w:val="24"/>
        </w:rPr>
        <w:t xml:space="preserve">o szczególnych rozwiązaniach służących ochronie odbiorców paliw gazowych </w:t>
      </w:r>
      <w:r w:rsidR="00785114" w:rsidRPr="00936076">
        <w:rPr>
          <w:rStyle w:val="Ppogrubienie"/>
          <w:rFonts w:ascii="Times New Roman" w:hAnsi="Times New Roman" w:cs="Times New Roman"/>
          <w:bCs/>
          <w:sz w:val="24"/>
          <w:szCs w:val="24"/>
        </w:rPr>
        <w:t>w związku z sytuacją na rynku gazu (Dz. U. z 2022 r. poz. 202, 1477, 1692, 1723 i 2127):</w:t>
      </w:r>
    </w:p>
    <w:p w14:paraId="52789DB8" w14:textId="77777777" w:rsidR="00785114" w:rsidRPr="003374DD" w:rsidRDefault="00785114" w:rsidP="007639A6">
      <w:pPr>
        <w:pStyle w:val="NormalnyWeb"/>
        <w:shd w:val="clear" w:color="auto" w:fill="FFFFFF"/>
        <w:spacing w:before="0" w:beforeAutospacing="0" w:after="0" w:afterAutospacing="0" w:line="276" w:lineRule="auto"/>
        <w:jc w:val="both"/>
        <w:rPr>
          <w:color w:val="242424"/>
          <w:sz w:val="21"/>
          <w:szCs w:val="21"/>
        </w:rPr>
      </w:pPr>
      <w:r w:rsidRPr="003374DD">
        <w:rPr>
          <w:color w:val="242424"/>
        </w:rPr>
        <w:t>Celem proponowanej zmian dotyczącej doprecyzowania terminu, w którym przedsiębiorstwo energetyczne składa wniosek do Zarządcy Rozliczeń, jest usunięcie wątpliwości niektórych przedsiębiorstw energetycznych w zakresie terminu, w którą zobowiązani są oni do złożenia wniosku o rozliczenie rekompensaty.</w:t>
      </w:r>
    </w:p>
    <w:p w14:paraId="784781F8" w14:textId="77777777" w:rsidR="00785114" w:rsidRPr="003374DD" w:rsidRDefault="00785114" w:rsidP="007639A6">
      <w:pPr>
        <w:pStyle w:val="NormalnyWeb"/>
        <w:shd w:val="clear" w:color="auto" w:fill="FFFFFF"/>
        <w:spacing w:before="0" w:beforeAutospacing="0" w:after="0" w:afterAutospacing="0" w:line="276" w:lineRule="auto"/>
        <w:jc w:val="both"/>
        <w:rPr>
          <w:color w:val="242424"/>
          <w:sz w:val="21"/>
          <w:szCs w:val="21"/>
        </w:rPr>
      </w:pPr>
      <w:r w:rsidRPr="003374DD">
        <w:rPr>
          <w:color w:val="242424"/>
        </w:rPr>
        <w:t>Kolejną proponowaną zmianą jest doprecyzowanie obowiązujących przepisów w zakresie limitu wydatków Funduszy Wypłaty Różnicy Ceny. Środki znajdujące się na rachunku Funduszu Wypłaty Różnicy Ceny, w okresie pomiędzy przekazaniem środków na rachunek Funduszu, a wypłatą rekompensaty mogą generować odsetki, które zgodnie z zapewnieniem prawidłowego bilansu rachunku, powinny powiększyć limit wydatków Funduszu, podobnie jak ma to miejsce obecnie w przypadku zwrotu kwoty rekompensaty.</w:t>
      </w:r>
    </w:p>
    <w:p w14:paraId="1650F20E" w14:textId="77777777" w:rsidR="00785114" w:rsidRDefault="00785114" w:rsidP="007639A6">
      <w:pPr>
        <w:spacing w:after="120" w:line="276" w:lineRule="auto"/>
        <w:jc w:val="both"/>
        <w:rPr>
          <w:rFonts w:ascii="Times New Roman" w:hAnsi="Times New Roman" w:cs="Times New Roman"/>
          <w:b/>
          <w:bCs/>
          <w:sz w:val="24"/>
          <w:szCs w:val="24"/>
        </w:rPr>
      </w:pPr>
    </w:p>
    <w:p w14:paraId="20CA4444" w14:textId="03422E9A" w:rsidR="00816EB3" w:rsidRDefault="00816EB3" w:rsidP="007639A6">
      <w:pPr>
        <w:spacing w:after="120" w:line="276" w:lineRule="auto"/>
        <w:jc w:val="both"/>
        <w:rPr>
          <w:rStyle w:val="Ppogrubienie"/>
          <w:rFonts w:ascii="Times New Roman" w:hAnsi="Times New Roman" w:cs="Times New Roman"/>
          <w:sz w:val="24"/>
          <w:szCs w:val="24"/>
        </w:rPr>
      </w:pPr>
      <w:r>
        <w:rPr>
          <w:rFonts w:ascii="Times New Roman" w:hAnsi="Times New Roman" w:cs="Times New Roman"/>
          <w:b/>
          <w:bCs/>
          <w:sz w:val="24"/>
          <w:szCs w:val="24"/>
        </w:rPr>
        <w:t>2.</w:t>
      </w:r>
      <w:r w:rsidR="002D1BBE">
        <w:rPr>
          <w:rFonts w:ascii="Times New Roman" w:hAnsi="Times New Roman" w:cs="Times New Roman"/>
          <w:b/>
          <w:bCs/>
          <w:sz w:val="24"/>
          <w:szCs w:val="24"/>
        </w:rPr>
        <w:t>19</w:t>
      </w:r>
      <w:r>
        <w:rPr>
          <w:rFonts w:ascii="Times New Roman" w:hAnsi="Times New Roman" w:cs="Times New Roman"/>
          <w:b/>
          <w:bCs/>
          <w:sz w:val="24"/>
          <w:szCs w:val="24"/>
        </w:rPr>
        <w:t xml:space="preserve">. Zmiana w </w:t>
      </w:r>
      <w:r w:rsidRPr="00816EB3">
        <w:rPr>
          <w:rFonts w:ascii="Times New Roman" w:hAnsi="Times New Roman" w:cs="Times New Roman"/>
          <w:b/>
          <w:bCs/>
          <w:sz w:val="24"/>
          <w:szCs w:val="24"/>
        </w:rPr>
        <w:t>ustawie</w:t>
      </w:r>
      <w:r w:rsidRPr="00936076">
        <w:rPr>
          <w:rStyle w:val="Ppogrubienie"/>
          <w:rFonts w:ascii="Times New Roman" w:hAnsi="Times New Roman" w:cs="Times New Roman"/>
          <w:sz w:val="24"/>
          <w:szCs w:val="24"/>
        </w:rPr>
        <w:t xml:space="preserve"> z dnia 15 września 2022 r. o szczególnych rozwiązaniach w zakresie niektórych źródeł ciepła w związku z sytuacją na rynku paliw</w:t>
      </w:r>
    </w:p>
    <w:p w14:paraId="24CF3BFB" w14:textId="2B05578C" w:rsidR="005C2304" w:rsidRPr="007639A6" w:rsidRDefault="005C2304" w:rsidP="007639A6">
      <w:pPr>
        <w:spacing w:after="120" w:line="276" w:lineRule="auto"/>
        <w:jc w:val="both"/>
        <w:rPr>
          <w:rStyle w:val="Ppogrubienie"/>
          <w:rFonts w:ascii="Times New Roman" w:hAnsi="Times New Roman" w:cs="Times New Roman"/>
          <w:b w:val="0"/>
          <w:bCs/>
          <w:sz w:val="24"/>
          <w:szCs w:val="24"/>
        </w:rPr>
      </w:pPr>
      <w:r>
        <w:rPr>
          <w:rStyle w:val="Ppogrubienie"/>
          <w:rFonts w:ascii="Times New Roman" w:hAnsi="Times New Roman" w:cs="Times New Roman"/>
          <w:b w:val="0"/>
          <w:bCs/>
          <w:sz w:val="24"/>
          <w:szCs w:val="24"/>
        </w:rPr>
        <w:t>W projekcie ustawy przewidziano rozszerzenie kręgu beneficjentów korzystających z przewidzianych w ustawie mechanizmów o związki zawodowe, o których mowa w ustaw</w:t>
      </w:r>
      <w:r w:rsidR="007639A6">
        <w:rPr>
          <w:rStyle w:val="Ppogrubienie"/>
          <w:rFonts w:ascii="Times New Roman" w:hAnsi="Times New Roman" w:cs="Times New Roman"/>
          <w:b w:val="0"/>
          <w:bCs/>
          <w:sz w:val="24"/>
          <w:szCs w:val="24"/>
        </w:rPr>
        <w:t>ie</w:t>
      </w:r>
      <w:r>
        <w:rPr>
          <w:rStyle w:val="Ppogrubienie"/>
          <w:rFonts w:ascii="Times New Roman" w:hAnsi="Times New Roman" w:cs="Times New Roman"/>
          <w:b w:val="0"/>
          <w:bCs/>
          <w:sz w:val="24"/>
          <w:szCs w:val="24"/>
        </w:rPr>
        <w:t xml:space="preserve"> z dnia 23 maja 1991 r. </w:t>
      </w:r>
      <w:r>
        <w:rPr>
          <w:rStyle w:val="Ppogrubienie"/>
          <w:rFonts w:ascii="Times New Roman" w:hAnsi="Times New Roman" w:cs="Times New Roman"/>
          <w:b w:val="0"/>
          <w:bCs/>
          <w:i/>
          <w:iCs/>
          <w:sz w:val="24"/>
          <w:szCs w:val="24"/>
        </w:rPr>
        <w:t>o związkach zawodowych</w:t>
      </w:r>
      <w:r w:rsidR="007639A6" w:rsidRPr="007639A6">
        <w:rPr>
          <w:rStyle w:val="Ppogrubienie"/>
          <w:rFonts w:ascii="Times New Roman" w:hAnsi="Times New Roman" w:cs="Times New Roman"/>
          <w:b w:val="0"/>
          <w:bCs/>
          <w:sz w:val="24"/>
          <w:szCs w:val="24"/>
        </w:rPr>
        <w:t>, w celu</w:t>
      </w:r>
      <w:r w:rsidR="007639A6">
        <w:rPr>
          <w:rStyle w:val="Ppogrubienie"/>
          <w:rFonts w:ascii="Times New Roman" w:hAnsi="Times New Roman" w:cs="Times New Roman"/>
          <w:b w:val="0"/>
          <w:bCs/>
          <w:sz w:val="24"/>
          <w:szCs w:val="24"/>
        </w:rPr>
        <w:t xml:space="preserve"> </w:t>
      </w:r>
      <w:r w:rsidR="007639A6" w:rsidRPr="007639A6">
        <w:rPr>
          <w:rFonts w:ascii="Times New Roman" w:hAnsi="Times New Roman" w:cs="Times New Roman"/>
          <w:bCs/>
          <w:sz w:val="24"/>
          <w:szCs w:val="24"/>
        </w:rPr>
        <w:t>uspójnienia katalogu podmiotów objętych wsparciem z zakresem podmiotów, które korzystają z ochrony taryfowej w zakresie paliw gazowych</w:t>
      </w:r>
      <w:r w:rsidR="007639A6">
        <w:rPr>
          <w:rFonts w:ascii="Times New Roman" w:hAnsi="Times New Roman" w:cs="Times New Roman"/>
          <w:bCs/>
          <w:sz w:val="24"/>
          <w:szCs w:val="24"/>
        </w:rPr>
        <w:t>.</w:t>
      </w:r>
    </w:p>
    <w:p w14:paraId="585B1479" w14:textId="59F3EC1B" w:rsidR="00816EB3" w:rsidRDefault="005C2304" w:rsidP="007639A6">
      <w:pPr>
        <w:spacing w:after="120" w:line="276" w:lineRule="auto"/>
        <w:jc w:val="both"/>
        <w:rPr>
          <w:rStyle w:val="Ppogrubienie"/>
          <w:rFonts w:ascii="Times New Roman" w:hAnsi="Times New Roman" w:cs="Times New Roman"/>
          <w:b w:val="0"/>
          <w:bCs/>
          <w:sz w:val="24"/>
          <w:szCs w:val="24"/>
        </w:rPr>
      </w:pPr>
      <w:r>
        <w:rPr>
          <w:rStyle w:val="Ppogrubienie"/>
          <w:rFonts w:ascii="Times New Roman" w:hAnsi="Times New Roman" w:cs="Times New Roman"/>
          <w:b w:val="0"/>
          <w:bCs/>
          <w:sz w:val="24"/>
          <w:szCs w:val="24"/>
        </w:rPr>
        <w:lastRenderedPageBreak/>
        <w:t>Pozostałe zmiany mają</w:t>
      </w:r>
      <w:r w:rsidR="00816EB3">
        <w:rPr>
          <w:rStyle w:val="Ppogrubienie"/>
          <w:rFonts w:ascii="Times New Roman" w:hAnsi="Times New Roman" w:cs="Times New Roman"/>
          <w:b w:val="0"/>
          <w:bCs/>
          <w:sz w:val="24"/>
          <w:szCs w:val="24"/>
        </w:rPr>
        <w:t xml:space="preserve"> charakter doprecyzowujący, a jej celem jest ujednolicenie rozwiązań w zakresie wypłat środków na poczet rekompensat przez Zarządcą Rozliczeń z pozostałymi ustawami przewidującymi wsparcie dla danych grup odbiorców.</w:t>
      </w:r>
    </w:p>
    <w:p w14:paraId="0D9A3DB3" w14:textId="77777777" w:rsidR="00816EB3" w:rsidRPr="00936076" w:rsidRDefault="00816EB3" w:rsidP="007639A6">
      <w:pPr>
        <w:spacing w:after="120" w:line="276" w:lineRule="auto"/>
        <w:jc w:val="both"/>
        <w:rPr>
          <w:rFonts w:ascii="Times New Roman" w:hAnsi="Times New Roman" w:cs="Times New Roman"/>
          <w:bCs/>
          <w:sz w:val="24"/>
          <w:szCs w:val="24"/>
        </w:rPr>
      </w:pPr>
    </w:p>
    <w:p w14:paraId="4071A8E5" w14:textId="06108D34" w:rsidR="00786280" w:rsidRDefault="007D7EF3" w:rsidP="007639A6">
      <w:pPr>
        <w:spacing w:after="120" w:line="276"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2D1BBE">
        <w:rPr>
          <w:rFonts w:ascii="Times New Roman" w:hAnsi="Times New Roman" w:cs="Times New Roman"/>
          <w:b/>
          <w:bCs/>
          <w:sz w:val="24"/>
          <w:szCs w:val="24"/>
        </w:rPr>
        <w:t>20</w:t>
      </w:r>
      <w:r w:rsidR="0046403A">
        <w:rPr>
          <w:rFonts w:ascii="Times New Roman" w:hAnsi="Times New Roman" w:cs="Times New Roman"/>
          <w:b/>
          <w:bCs/>
          <w:sz w:val="24"/>
          <w:szCs w:val="24"/>
        </w:rPr>
        <w:t xml:space="preserve">. </w:t>
      </w:r>
      <w:r w:rsidR="00786280">
        <w:rPr>
          <w:rFonts w:ascii="Times New Roman" w:hAnsi="Times New Roman" w:cs="Times New Roman"/>
          <w:b/>
          <w:bCs/>
          <w:sz w:val="24"/>
          <w:szCs w:val="24"/>
        </w:rPr>
        <w:t xml:space="preserve">Zmiana w </w:t>
      </w:r>
      <w:r w:rsidR="00786280" w:rsidRPr="00786280">
        <w:rPr>
          <w:rFonts w:ascii="Times New Roman" w:hAnsi="Times New Roman" w:cs="Times New Roman"/>
          <w:b/>
          <w:bCs/>
          <w:sz w:val="24"/>
          <w:szCs w:val="24"/>
        </w:rPr>
        <w:t xml:space="preserve">ustawie z dnia 29 września 2022 r. o zmianie ustawy – Prawo energetyczne oraz ustawy o odnawialnych źródłach energii </w:t>
      </w:r>
    </w:p>
    <w:p w14:paraId="55406753" w14:textId="0D00E7FD" w:rsidR="007C6262" w:rsidRDefault="00786280" w:rsidP="007639A6">
      <w:pPr>
        <w:pStyle w:val="pf0"/>
        <w:spacing w:line="276" w:lineRule="auto"/>
        <w:jc w:val="both"/>
        <w:rPr>
          <w:rStyle w:val="cf01"/>
          <w:rFonts w:ascii="Times New Roman" w:hAnsi="Times New Roman" w:cs="Times New Roman"/>
          <w:sz w:val="24"/>
          <w:szCs w:val="24"/>
        </w:rPr>
      </w:pPr>
      <w:r w:rsidRPr="00DC0423">
        <w:t xml:space="preserve">Celem proponowanej zmiany, </w:t>
      </w:r>
      <w:r w:rsidR="00056E57" w:rsidRPr="00CA5B15">
        <w:rPr>
          <w:rStyle w:val="cf01"/>
          <w:rFonts w:ascii="Times New Roman" w:hAnsi="Times New Roman" w:cs="Times New Roman"/>
          <w:sz w:val="24"/>
          <w:szCs w:val="24"/>
        </w:rPr>
        <w:t xml:space="preserve">jest wprowadzenie przepisu przejściowego niezbędnego do rozliczenia obowiązku ustanowionego w uchylanym art. 49a </w:t>
      </w:r>
      <w:proofErr w:type="spellStart"/>
      <w:r w:rsidR="00CA5B15">
        <w:rPr>
          <w:rStyle w:val="cf01"/>
          <w:rFonts w:ascii="Times New Roman" w:hAnsi="Times New Roman" w:cs="Times New Roman"/>
          <w:sz w:val="24"/>
          <w:szCs w:val="24"/>
        </w:rPr>
        <w:t>uPE</w:t>
      </w:r>
      <w:proofErr w:type="spellEnd"/>
      <w:r w:rsidR="00056E57" w:rsidRPr="00CA5B15">
        <w:rPr>
          <w:rStyle w:val="cf01"/>
          <w:rFonts w:ascii="Times New Roman" w:hAnsi="Times New Roman" w:cs="Times New Roman"/>
          <w:sz w:val="24"/>
          <w:szCs w:val="24"/>
        </w:rPr>
        <w:t xml:space="preserve">. Zgodnie ze zmienianym art. 56 ust. 1 pkt 32 </w:t>
      </w:r>
      <w:proofErr w:type="spellStart"/>
      <w:r w:rsidR="00CA5B15">
        <w:rPr>
          <w:rStyle w:val="cf01"/>
          <w:rFonts w:ascii="Times New Roman" w:hAnsi="Times New Roman" w:cs="Times New Roman"/>
          <w:sz w:val="24"/>
          <w:szCs w:val="24"/>
        </w:rPr>
        <w:t>uPE</w:t>
      </w:r>
      <w:proofErr w:type="spellEnd"/>
      <w:r w:rsidR="00056E57" w:rsidRPr="00CA5B15">
        <w:rPr>
          <w:rStyle w:val="cf01"/>
          <w:rFonts w:ascii="Times New Roman" w:hAnsi="Times New Roman" w:cs="Times New Roman"/>
          <w:sz w:val="24"/>
          <w:szCs w:val="24"/>
        </w:rPr>
        <w:t xml:space="preserve">, brak realizacji obowiązku wskazanego w art. 49a </w:t>
      </w:r>
      <w:proofErr w:type="spellStart"/>
      <w:r w:rsidR="00CA5B15">
        <w:rPr>
          <w:rStyle w:val="cf01"/>
          <w:rFonts w:ascii="Times New Roman" w:hAnsi="Times New Roman" w:cs="Times New Roman"/>
          <w:sz w:val="24"/>
          <w:szCs w:val="24"/>
        </w:rPr>
        <w:t>uPE</w:t>
      </w:r>
      <w:proofErr w:type="spellEnd"/>
      <w:r w:rsidR="00056E57" w:rsidRPr="00CA5B15">
        <w:rPr>
          <w:rStyle w:val="cf01"/>
          <w:rFonts w:ascii="Times New Roman" w:hAnsi="Times New Roman" w:cs="Times New Roman"/>
          <w:sz w:val="24"/>
          <w:szCs w:val="24"/>
        </w:rPr>
        <w:t xml:space="preserve"> podlega karze pieniężnej. Do chwili wejścia w życie przedmiotowej ustawy obowiązek ten powinien być realizowany przez przedsiębiorstwa energetyczne zajmujące się wytwarzaniem energii elektrycznej. Brak zaproponowanego przepisu przejściowego spowoduje swoistą abolicję dla przedsiębiorców, którzy podlegaliby karze nie realizując ustawowego obowiązku w 2022 r. i lata poprzednie.</w:t>
      </w:r>
    </w:p>
    <w:p w14:paraId="34A1D5DA" w14:textId="4405AD67" w:rsidR="0046403A" w:rsidRDefault="0046403A" w:rsidP="007639A6">
      <w:pPr>
        <w:pStyle w:val="pf0"/>
        <w:spacing w:line="276" w:lineRule="auto"/>
        <w:jc w:val="both"/>
        <w:rPr>
          <w:b/>
          <w:bCs/>
        </w:rPr>
      </w:pPr>
      <w:r w:rsidRPr="00936076">
        <w:rPr>
          <w:b/>
          <w:bCs/>
        </w:rPr>
        <w:t>2.</w:t>
      </w:r>
      <w:r w:rsidR="002D1BBE">
        <w:rPr>
          <w:b/>
          <w:bCs/>
        </w:rPr>
        <w:t>21</w:t>
      </w:r>
      <w:r w:rsidRPr="00936076">
        <w:rPr>
          <w:b/>
          <w:bCs/>
        </w:rPr>
        <w:t xml:space="preserve">. Zmiana w ustawie z dnia 7 października 2022 r. o szczególnych rozwiązaniach służących ochronie odbiorców energii elektrycznej w 2023 roku w związku z sytuacją na rynku energii elektrycznej </w:t>
      </w:r>
    </w:p>
    <w:p w14:paraId="1510C81E" w14:textId="5DCB3D25" w:rsidR="0046403A" w:rsidRPr="00CC1252" w:rsidRDefault="00CC1252" w:rsidP="007639A6">
      <w:pPr>
        <w:pStyle w:val="pf0"/>
        <w:spacing w:line="276" w:lineRule="auto"/>
        <w:jc w:val="both"/>
      </w:pPr>
      <w:r w:rsidRPr="00CC1252">
        <w:t xml:space="preserve">Zmiana ma celu usunięcie wątpliwości interpretacyjnych poprzez jednoznaczne wskazanie, że odbiorca energii elektrycznej </w:t>
      </w:r>
      <w:r>
        <w:t xml:space="preserve">wnioskując o dodatek elektryczny w podwyższonej wysokości, do którego uprawniony jest w sytuacji, gdy w 2021 r. zużył przynajmniej 5 MWh energii, powinien do składanego wniosku załączyć także </w:t>
      </w:r>
      <w:r w:rsidRPr="00CC1252">
        <w:t>rozliczeni</w:t>
      </w:r>
      <w:r>
        <w:t>e</w:t>
      </w:r>
      <w:r w:rsidRPr="00CC1252">
        <w:t xml:space="preserve"> z przedsiębiorstwem energetycznym potwierdzającego </w:t>
      </w:r>
      <w:r>
        <w:t xml:space="preserve">takie </w:t>
      </w:r>
      <w:r w:rsidRPr="00CC1252">
        <w:t>zużycie</w:t>
      </w:r>
      <w:r>
        <w:t>.</w:t>
      </w:r>
    </w:p>
    <w:p w14:paraId="57BE3F60" w14:textId="28DA1406" w:rsidR="007C6262" w:rsidRPr="00F36CFB" w:rsidRDefault="007C6262" w:rsidP="007639A6">
      <w:pPr>
        <w:spacing w:after="120" w:line="276" w:lineRule="auto"/>
        <w:jc w:val="both"/>
        <w:rPr>
          <w:rFonts w:ascii="Times New Roman" w:hAnsi="Times New Roman" w:cs="Times New Roman"/>
          <w:b/>
          <w:bCs/>
          <w:sz w:val="24"/>
          <w:szCs w:val="24"/>
        </w:rPr>
      </w:pPr>
      <w:r w:rsidRPr="00F36CFB">
        <w:rPr>
          <w:rFonts w:ascii="Times New Roman" w:hAnsi="Times New Roman" w:cs="Times New Roman"/>
          <w:b/>
          <w:bCs/>
          <w:sz w:val="24"/>
          <w:szCs w:val="24"/>
        </w:rPr>
        <w:t>2.</w:t>
      </w:r>
      <w:r w:rsidR="002D1BBE">
        <w:rPr>
          <w:rFonts w:ascii="Times New Roman" w:hAnsi="Times New Roman" w:cs="Times New Roman"/>
          <w:b/>
          <w:bCs/>
          <w:sz w:val="24"/>
          <w:szCs w:val="24"/>
        </w:rPr>
        <w:t>22</w:t>
      </w:r>
      <w:r w:rsidR="0046403A">
        <w:rPr>
          <w:rFonts w:ascii="Times New Roman" w:hAnsi="Times New Roman" w:cs="Times New Roman"/>
          <w:b/>
          <w:bCs/>
          <w:sz w:val="24"/>
          <w:szCs w:val="24"/>
        </w:rPr>
        <w:t>.</w:t>
      </w:r>
      <w:r w:rsidR="0046403A" w:rsidRPr="00F36CFB">
        <w:rPr>
          <w:rFonts w:ascii="Times New Roman" w:hAnsi="Times New Roman" w:cs="Times New Roman"/>
          <w:b/>
          <w:bCs/>
          <w:sz w:val="24"/>
          <w:szCs w:val="24"/>
        </w:rPr>
        <w:t xml:space="preserve"> </w:t>
      </w:r>
      <w:r w:rsidRPr="00F36CFB">
        <w:rPr>
          <w:rFonts w:ascii="Times New Roman" w:hAnsi="Times New Roman" w:cs="Times New Roman"/>
          <w:b/>
          <w:bCs/>
          <w:sz w:val="24"/>
          <w:szCs w:val="24"/>
        </w:rPr>
        <w:t xml:space="preserve">Zmiany w ustawie </w:t>
      </w:r>
      <w:r w:rsidRPr="00F36CFB">
        <w:rPr>
          <w:rStyle w:val="Ppogrubienie"/>
          <w:rFonts w:ascii="Times New Roman" w:hAnsi="Times New Roman" w:cs="Times New Roman"/>
          <w:bCs/>
          <w:sz w:val="24"/>
          <w:szCs w:val="24"/>
        </w:rPr>
        <w:t xml:space="preserve">z dnia 27 października 2022 r. </w:t>
      </w:r>
      <w:r w:rsidRPr="00F36CFB">
        <w:rPr>
          <w:rFonts w:ascii="Times New Roman" w:hAnsi="Times New Roman" w:cs="Times New Roman"/>
          <w:b/>
          <w:bCs/>
          <w:sz w:val="24"/>
          <w:szCs w:val="24"/>
        </w:rPr>
        <w:t xml:space="preserve">o środkach nadzwyczajnych mających na celu ograniczenie wysokości cen energii elektrycznej oraz wsparciu niektórych odbiorców w 2023 roku </w:t>
      </w:r>
    </w:p>
    <w:p w14:paraId="14C1A0D6" w14:textId="7E7D51A2" w:rsidR="007E7ED4" w:rsidRDefault="00807A8C" w:rsidP="007639A6">
      <w:pPr>
        <w:pStyle w:val="Default"/>
        <w:spacing w:line="276" w:lineRule="auto"/>
        <w:jc w:val="both"/>
      </w:pPr>
      <w:r>
        <w:t>Projekt ustawy wprowadza szereg poprawek o charakterze doprecyzowującym, które mają ułatwić stosowanie przepisów ww. ustawy</w:t>
      </w:r>
      <w:r w:rsidR="00A41C15">
        <w:t>. Projektodawca wprowadził następujące zmiany:</w:t>
      </w:r>
    </w:p>
    <w:p w14:paraId="04728F39" w14:textId="0EAB4574" w:rsidR="00807A8C" w:rsidRDefault="00293100" w:rsidP="007639A6">
      <w:pPr>
        <w:pStyle w:val="Default"/>
        <w:numPr>
          <w:ilvl w:val="0"/>
          <w:numId w:val="16"/>
        </w:numPr>
        <w:spacing w:line="276" w:lineRule="auto"/>
        <w:jc w:val="both"/>
        <w:rPr>
          <w:rFonts w:ascii="Times" w:hAnsi="Times" w:cs="Times"/>
        </w:rPr>
      </w:pPr>
      <w:r>
        <w:rPr>
          <w:rFonts w:ascii="Times" w:hAnsi="Times" w:cs="Times"/>
        </w:rPr>
        <w:t xml:space="preserve">została </w:t>
      </w:r>
      <w:r w:rsidR="00551221">
        <w:rPr>
          <w:rFonts w:ascii="Times" w:hAnsi="Times" w:cs="Times"/>
        </w:rPr>
        <w:t>zaproponowana</w:t>
      </w:r>
      <w:r>
        <w:rPr>
          <w:rFonts w:ascii="Times" w:hAnsi="Times" w:cs="Times"/>
        </w:rPr>
        <w:t xml:space="preserve"> zmiana, której celem </w:t>
      </w:r>
      <w:r w:rsidRPr="00413CD8">
        <w:rPr>
          <w:rFonts w:ascii="Times" w:hAnsi="Times" w:cs="Times"/>
        </w:rPr>
        <w:t xml:space="preserve">jest </w:t>
      </w:r>
      <w:r>
        <w:rPr>
          <w:rFonts w:ascii="Times" w:hAnsi="Times" w:cs="Times"/>
        </w:rPr>
        <w:t xml:space="preserve">wyeliminowanie wątpliwości interpretacyjnych i </w:t>
      </w:r>
      <w:r w:rsidRPr="00413CD8">
        <w:rPr>
          <w:rFonts w:ascii="Times" w:hAnsi="Times" w:cs="Times"/>
        </w:rPr>
        <w:t>jednoznaczne wskazanie, że podmiotem uprawnionym</w:t>
      </w:r>
      <w:r>
        <w:rPr>
          <w:rFonts w:ascii="Times" w:hAnsi="Times" w:cs="Times"/>
        </w:rPr>
        <w:t xml:space="preserve"> do nabywania energii elektrycznej po cenie maksymalnej ustalonej w ustawie</w:t>
      </w:r>
      <w:r w:rsidRPr="00413CD8">
        <w:rPr>
          <w:rFonts w:ascii="Times" w:hAnsi="Times" w:cs="Times"/>
        </w:rPr>
        <w:t xml:space="preserve"> jest także </w:t>
      </w:r>
      <w:r>
        <w:rPr>
          <w:rFonts w:ascii="Times" w:hAnsi="Times" w:cs="Times"/>
        </w:rPr>
        <w:t xml:space="preserve">miasto stołeczne Warszawa oraz </w:t>
      </w:r>
      <w:r w:rsidRPr="00413CD8">
        <w:rPr>
          <w:rFonts w:ascii="Times" w:hAnsi="Times" w:cs="Times"/>
        </w:rPr>
        <w:t>związek metropolitalny</w:t>
      </w:r>
      <w:r>
        <w:rPr>
          <w:rFonts w:ascii="Times" w:hAnsi="Times" w:cs="Times"/>
        </w:rPr>
        <w:t xml:space="preserve"> </w:t>
      </w:r>
      <w:r w:rsidRPr="00413CD8">
        <w:rPr>
          <w:rFonts w:ascii="Times" w:hAnsi="Times" w:cs="Times"/>
        </w:rPr>
        <w:t>województw</w:t>
      </w:r>
      <w:r>
        <w:rPr>
          <w:rFonts w:ascii="Times" w:hAnsi="Times" w:cs="Times"/>
        </w:rPr>
        <w:t>a</w:t>
      </w:r>
      <w:r w:rsidRPr="00413CD8">
        <w:rPr>
          <w:rFonts w:ascii="Times" w:hAnsi="Times" w:cs="Times"/>
        </w:rPr>
        <w:t xml:space="preserve"> śląski</w:t>
      </w:r>
      <w:r>
        <w:rPr>
          <w:rFonts w:ascii="Times" w:hAnsi="Times" w:cs="Times"/>
        </w:rPr>
        <w:t>ego.</w:t>
      </w:r>
    </w:p>
    <w:p w14:paraId="3314AEBC" w14:textId="619DAD34" w:rsidR="00293100" w:rsidRDefault="00CE5905" w:rsidP="007639A6">
      <w:pPr>
        <w:pStyle w:val="ARTartustawynprozporzdzenia"/>
        <w:numPr>
          <w:ilvl w:val="0"/>
          <w:numId w:val="16"/>
        </w:numPr>
        <w:spacing w:before="0" w:line="276" w:lineRule="auto"/>
        <w:rPr>
          <w:rFonts w:ascii="Times New Roman" w:hAnsi="Times New Roman" w:cs="Times New Roman"/>
          <w:szCs w:val="24"/>
        </w:rPr>
      </w:pPr>
      <w:r>
        <w:rPr>
          <w:rFonts w:ascii="Times New Roman" w:hAnsi="Times New Roman" w:cs="Times New Roman"/>
          <w:szCs w:val="24"/>
        </w:rPr>
        <w:t>ustaw</w:t>
      </w:r>
      <w:r w:rsidR="00F87CA5">
        <w:rPr>
          <w:rFonts w:ascii="Times New Roman" w:hAnsi="Times New Roman" w:cs="Times New Roman"/>
          <w:szCs w:val="24"/>
        </w:rPr>
        <w:t>a</w:t>
      </w:r>
      <w:r w:rsidR="00293100">
        <w:t xml:space="preserve"> </w:t>
      </w:r>
      <w:r w:rsidR="00293100">
        <w:rPr>
          <w:rFonts w:ascii="Times New Roman" w:hAnsi="Times New Roman" w:cs="Times New Roman"/>
          <w:szCs w:val="24"/>
        </w:rPr>
        <w:t>eliminuje wątpliwości</w:t>
      </w:r>
      <w:r w:rsidR="00293100" w:rsidRPr="00797F52">
        <w:rPr>
          <w:szCs w:val="24"/>
        </w:rPr>
        <w:t xml:space="preserve"> </w:t>
      </w:r>
      <w:r w:rsidR="00403302">
        <w:rPr>
          <w:szCs w:val="24"/>
        </w:rPr>
        <w:t xml:space="preserve">interpretacyjne </w:t>
      </w:r>
      <w:r w:rsidR="00293100">
        <w:rPr>
          <w:szCs w:val="24"/>
        </w:rPr>
        <w:t xml:space="preserve">i </w:t>
      </w:r>
      <w:r w:rsidR="00293100" w:rsidRPr="00413CD8">
        <w:rPr>
          <w:szCs w:val="24"/>
        </w:rPr>
        <w:t xml:space="preserve">jednoznaczne </w:t>
      </w:r>
      <w:r w:rsidR="00551221">
        <w:rPr>
          <w:szCs w:val="24"/>
        </w:rPr>
        <w:t>wskazuje</w:t>
      </w:r>
      <w:r w:rsidR="00293100">
        <w:rPr>
          <w:szCs w:val="24"/>
        </w:rPr>
        <w:t>,</w:t>
      </w:r>
      <w:r w:rsidR="00293100" w:rsidRPr="00A758E3">
        <w:rPr>
          <w:rFonts w:ascii="Times New Roman" w:hAnsi="Times New Roman" w:cs="Times New Roman"/>
          <w:szCs w:val="24"/>
        </w:rPr>
        <w:t xml:space="preserve"> </w:t>
      </w:r>
      <w:r w:rsidR="00293100">
        <w:rPr>
          <w:rFonts w:ascii="Times New Roman" w:hAnsi="Times New Roman" w:cs="Times New Roman"/>
          <w:szCs w:val="24"/>
        </w:rPr>
        <w:t xml:space="preserve">że jednym z zadań operatora systemu przesyłowego elektroenergetycznego w ramach rynku bilansującego rynku energii elektrycznej jest prowadzenie centralnego mechanizmu bilansowania handlowego w rozumieniu art. 3 pkt 41 </w:t>
      </w:r>
      <w:proofErr w:type="spellStart"/>
      <w:r w:rsidR="00551221">
        <w:rPr>
          <w:rFonts w:ascii="Times New Roman" w:hAnsi="Times New Roman" w:cs="Times New Roman"/>
          <w:szCs w:val="24"/>
        </w:rPr>
        <w:t>uPE</w:t>
      </w:r>
      <w:proofErr w:type="spellEnd"/>
      <w:r w:rsidR="00293100">
        <w:rPr>
          <w:rFonts w:ascii="Times New Roman" w:hAnsi="Times New Roman" w:cs="Times New Roman"/>
          <w:szCs w:val="24"/>
        </w:rPr>
        <w:t xml:space="preserve">. </w:t>
      </w:r>
    </w:p>
    <w:p w14:paraId="613957F1" w14:textId="73948644" w:rsidR="00293100" w:rsidRPr="00936076" w:rsidRDefault="00293100" w:rsidP="007639A6">
      <w:pPr>
        <w:pStyle w:val="Akapitzlist"/>
        <w:numPr>
          <w:ilvl w:val="0"/>
          <w:numId w:val="16"/>
        </w:numPr>
        <w:spacing w:line="276" w:lineRule="auto"/>
        <w:jc w:val="both"/>
        <w:rPr>
          <w:rFonts w:ascii="Times New Roman" w:hAnsi="Times New Roman" w:cs="Times New Roman"/>
          <w:sz w:val="24"/>
          <w:szCs w:val="24"/>
          <w:lang w:eastAsia="pl-PL"/>
        </w:rPr>
      </w:pPr>
      <w:r w:rsidRPr="00936076">
        <w:rPr>
          <w:rFonts w:ascii="Times New Roman" w:hAnsi="Times New Roman" w:cs="Times New Roman"/>
          <w:sz w:val="24"/>
          <w:szCs w:val="24"/>
          <w:lang w:eastAsia="pl-PL"/>
        </w:rPr>
        <w:t xml:space="preserve">jednoznacznie </w:t>
      </w:r>
      <w:r w:rsidR="00F87CA5" w:rsidRPr="00936076">
        <w:rPr>
          <w:rFonts w:ascii="Times New Roman" w:hAnsi="Times New Roman" w:cs="Times New Roman"/>
          <w:sz w:val="24"/>
          <w:szCs w:val="24"/>
          <w:lang w:eastAsia="pl-PL"/>
        </w:rPr>
        <w:t>wskaz</w:t>
      </w:r>
      <w:r w:rsidR="00F87CA5">
        <w:rPr>
          <w:rFonts w:ascii="Times New Roman" w:hAnsi="Times New Roman" w:cs="Times New Roman"/>
          <w:sz w:val="24"/>
          <w:szCs w:val="24"/>
          <w:lang w:eastAsia="pl-PL"/>
        </w:rPr>
        <w:t>ano</w:t>
      </w:r>
      <w:r w:rsidRPr="00936076">
        <w:rPr>
          <w:rFonts w:ascii="Times New Roman" w:hAnsi="Times New Roman" w:cs="Times New Roman"/>
          <w:sz w:val="24"/>
          <w:szCs w:val="24"/>
          <w:lang w:eastAsia="pl-PL"/>
        </w:rPr>
        <w:t xml:space="preserve">, że umowy sprzedaży energii elektrycznej będące podstawą ustalania ceny rynkowej dotyczą zarówno wytwórców energii elektrycznej jak i przedsiębiorstw energetycznych wykonujących działalność gospodarczą w zakresie obrotu energia elektryczną.   </w:t>
      </w:r>
    </w:p>
    <w:p w14:paraId="438D4490" w14:textId="77777777" w:rsidR="00283B4B" w:rsidRDefault="00F87CA5" w:rsidP="007639A6">
      <w:pPr>
        <w:pStyle w:val="Akapitzlist"/>
        <w:numPr>
          <w:ilvl w:val="0"/>
          <w:numId w:val="16"/>
        </w:numPr>
        <w:spacing w:line="276"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lastRenderedPageBreak/>
        <w:t>wskazano</w:t>
      </w:r>
      <w:r w:rsidR="00293100" w:rsidRPr="00936076">
        <w:rPr>
          <w:rFonts w:ascii="Times New Roman" w:hAnsi="Times New Roman" w:cs="Times New Roman"/>
          <w:sz w:val="24"/>
          <w:szCs w:val="24"/>
          <w:lang w:eastAsia="pl-PL"/>
        </w:rPr>
        <w:t>, że zmieniana ustawa obejmuje zakresem swojej regulacji wszystkie umowy sprzedaży energii elektrycznej zmienione po dniu 23 lutego 2022 r., niezależnie od tego, z inicjatywy, której ze stron doszło do przedmiotowej zmiany.</w:t>
      </w:r>
    </w:p>
    <w:p w14:paraId="47A48BFE" w14:textId="1AC99CB3" w:rsidR="00293100" w:rsidRPr="00283B4B" w:rsidRDefault="00F87CA5" w:rsidP="007639A6">
      <w:pPr>
        <w:pStyle w:val="Akapitzlist"/>
        <w:numPr>
          <w:ilvl w:val="0"/>
          <w:numId w:val="16"/>
        </w:numPr>
        <w:spacing w:after="0" w:line="276" w:lineRule="auto"/>
        <w:ind w:left="714" w:hanging="357"/>
        <w:contextualSpacing w:val="0"/>
        <w:jc w:val="both"/>
        <w:rPr>
          <w:rFonts w:ascii="Times New Roman" w:hAnsi="Times New Roman" w:cs="Times New Roman"/>
          <w:sz w:val="28"/>
          <w:szCs w:val="28"/>
          <w:lang w:eastAsia="pl-PL"/>
        </w:rPr>
      </w:pPr>
      <w:r w:rsidRPr="00283B4B">
        <w:rPr>
          <w:rFonts w:ascii="Times New Roman" w:hAnsi="Times New Roman" w:cs="Times New Roman"/>
          <w:sz w:val="24"/>
          <w:szCs w:val="28"/>
        </w:rPr>
        <w:t>usunięto</w:t>
      </w:r>
      <w:r w:rsidR="00CE5905" w:rsidRPr="00283B4B">
        <w:rPr>
          <w:rFonts w:ascii="Times New Roman" w:hAnsi="Times New Roman" w:cs="Times New Roman"/>
          <w:sz w:val="24"/>
          <w:szCs w:val="28"/>
        </w:rPr>
        <w:t xml:space="preserve"> wątpliwości interpretacyjne </w:t>
      </w:r>
      <w:r w:rsidR="00293100" w:rsidRPr="00283B4B">
        <w:rPr>
          <w:rFonts w:ascii="Times New Roman" w:hAnsi="Times New Roman" w:cs="Times New Roman"/>
          <w:sz w:val="24"/>
          <w:szCs w:val="28"/>
        </w:rPr>
        <w:t>w zakresie sposobu, w jaki mają być wyliczane rekompensaty w odniesieniu do umów sprzedaży energii elektrycznej zmienianych po dniu 14 października 2022 r. lub w których cena jest ustalana na podstawie wyboru przez odbiorcę końcowego terminu zakupu energii elektrycznej na giełdzie towarowej i doszło do niej właśnie po tym dniu.</w:t>
      </w:r>
    </w:p>
    <w:p w14:paraId="2872A40C" w14:textId="15EA2072" w:rsidR="00CE5905" w:rsidRDefault="00F87CA5" w:rsidP="007639A6">
      <w:pPr>
        <w:pStyle w:val="USTustnpkodeksu"/>
        <w:numPr>
          <w:ilvl w:val="0"/>
          <w:numId w:val="16"/>
        </w:numPr>
        <w:spacing w:line="276" w:lineRule="auto"/>
      </w:pPr>
      <w:r>
        <w:t>wskazano</w:t>
      </w:r>
      <w:r w:rsidR="00CE5905">
        <w:t xml:space="preserve">, że do wniosku o rozliczenie rekompensaty powinno stosować się odpowiednio procedurę przewidzianą dla wniosku o wypłatę rekompensaty, uregulowaną w art. 12 ustawy zmienianej, w zakresie w jakim przepisy art. 13 tej ustawy nie zawierają własnych regulacji. </w:t>
      </w:r>
    </w:p>
    <w:p w14:paraId="17C57D6D" w14:textId="105A1EAA" w:rsidR="00A7746B" w:rsidRDefault="00F87CA5" w:rsidP="007639A6">
      <w:pPr>
        <w:pStyle w:val="USTustnpkodeksu"/>
        <w:numPr>
          <w:ilvl w:val="0"/>
          <w:numId w:val="16"/>
        </w:numPr>
        <w:spacing w:line="276" w:lineRule="auto"/>
      </w:pPr>
      <w:r>
        <w:t>wprowadzono</w:t>
      </w:r>
      <w:r w:rsidR="0040111C" w:rsidRPr="0040111C">
        <w:t xml:space="preserve"> </w:t>
      </w:r>
      <w:r w:rsidRPr="0040111C">
        <w:t>poprawk</w:t>
      </w:r>
      <w:r>
        <w:t>ę, które</w:t>
      </w:r>
      <w:r w:rsidR="0009555D">
        <w:t>j</w:t>
      </w:r>
      <w:r>
        <w:t xml:space="preserve"> celem</w:t>
      </w:r>
      <w:r w:rsidRPr="0040111C">
        <w:t xml:space="preserve"> </w:t>
      </w:r>
      <w:r w:rsidR="0040111C" w:rsidRPr="0040111C">
        <w:t xml:space="preserve">jest </w:t>
      </w:r>
      <w:r w:rsidR="00541F18">
        <w:t>umożliwienie odbiorcom</w:t>
      </w:r>
      <w:r w:rsidR="0040111C" w:rsidRPr="0040111C">
        <w:t xml:space="preserve"> uprawnionym</w:t>
      </w:r>
      <w:r w:rsidR="00541F18">
        <w:t xml:space="preserve">, o których mowa w art. 2 pkt 2 lit. c ustawy zmienianej, </w:t>
      </w:r>
      <w:r w:rsidR="0040111C" w:rsidRPr="0040111C">
        <w:t>nabywania energii elektrycznej po cenie maksymalnej</w:t>
      </w:r>
      <w:r w:rsidR="00541F18">
        <w:t>,</w:t>
      </w:r>
      <w:r w:rsidR="0040111C" w:rsidRPr="0040111C">
        <w:t xml:space="preserve"> ustalonej w ustawie</w:t>
      </w:r>
      <w:r w:rsidR="00541F18">
        <w:t xml:space="preserve"> zmienianej, z upustem, w przypadku spełnienia odpowiednich warunków.</w:t>
      </w:r>
    </w:p>
    <w:p w14:paraId="53ECA4EE" w14:textId="77F63AD3" w:rsidR="00BE046D" w:rsidRDefault="00BE046D" w:rsidP="007639A6">
      <w:pPr>
        <w:pStyle w:val="USTustnpkodeksu"/>
        <w:numPr>
          <w:ilvl w:val="0"/>
          <w:numId w:val="16"/>
        </w:numPr>
        <w:spacing w:line="276" w:lineRule="auto"/>
      </w:pPr>
      <w:r>
        <w:t>uzupełniono przepisy dot. zwolnień z obowiązku odpisu na Fundusz dla instalacji wytwórczej do 1MW (dla indywidualnej jednostki) o przepis wyłączający wytwórców do 1MW łącznej mocy zainstalowanej elektrycznej dla tych wytwórców, którzy posiadają więcej niż jedną jednostkę wytwórczą</w:t>
      </w:r>
    </w:p>
    <w:p w14:paraId="01C9397A" w14:textId="54CB3556" w:rsidR="00BE046D" w:rsidRDefault="00BE046D" w:rsidP="007639A6">
      <w:pPr>
        <w:pStyle w:val="USTustnpkodeksu"/>
        <w:numPr>
          <w:ilvl w:val="0"/>
          <w:numId w:val="16"/>
        </w:numPr>
        <w:spacing w:line="276" w:lineRule="auto"/>
      </w:pPr>
      <w:r>
        <w:t>uzupełniono zakres danych przekazywanych w sprawozdaniu do Zarządcy Rozliczeń o dane wykorzystane do obliczenia limitu ceny.</w:t>
      </w:r>
    </w:p>
    <w:p w14:paraId="658468E0" w14:textId="2C2CB588" w:rsidR="00BE046D" w:rsidRDefault="00A7746B" w:rsidP="007639A6">
      <w:pPr>
        <w:pStyle w:val="USTustnpkodeksu"/>
        <w:numPr>
          <w:ilvl w:val="0"/>
          <w:numId w:val="16"/>
        </w:numPr>
        <w:spacing w:line="276" w:lineRule="auto"/>
      </w:pPr>
      <w:r>
        <w:t>zaproponowano przepisy umożliwiające składanie korekty sprawozdań na wniosek podmiotu składającego sprawozdanie do Zarządcy Rozliczeń w przypadku błędów obliczeniowych lub w przypadku konieczności korekt faktur dla odbiorców, a także przewidziano przepisy dot. rozliczenia niedopłat lub nadwyżek wpłat wynikających z korekt sprawozdań zaakceptowanych przez Zarządcę Rozliczeń.</w:t>
      </w:r>
    </w:p>
    <w:p w14:paraId="7B78B373" w14:textId="2EBD748A" w:rsidR="00DD03FB" w:rsidRPr="00936076" w:rsidRDefault="00CE5905" w:rsidP="007639A6">
      <w:pPr>
        <w:pStyle w:val="USTustnpkodeksu"/>
        <w:numPr>
          <w:ilvl w:val="0"/>
          <w:numId w:val="16"/>
        </w:numPr>
        <w:spacing w:line="276" w:lineRule="auto"/>
        <w:rPr>
          <w:rFonts w:eastAsiaTheme="minorEastAsia" w:cs="Arial"/>
          <w:szCs w:val="20"/>
        </w:rPr>
      </w:pPr>
      <w:r>
        <w:t xml:space="preserve">Kary pieniężne przewidziane powinny obejmować zarówno nieprzestrzeganie obowiązku stosowania ceny maksymalnej, o której mowa w art. 3 ust. 1, jak i art. 3 ust. 2. </w:t>
      </w:r>
    </w:p>
    <w:p w14:paraId="2C98D7CD" w14:textId="42D6CFEE" w:rsidR="00785114" w:rsidRPr="00936076" w:rsidRDefault="00785114" w:rsidP="007639A6">
      <w:pPr>
        <w:pStyle w:val="Akapitzlist"/>
        <w:numPr>
          <w:ilvl w:val="0"/>
          <w:numId w:val="16"/>
        </w:numPr>
        <w:spacing w:line="276" w:lineRule="auto"/>
        <w:jc w:val="both"/>
        <w:rPr>
          <w:rFonts w:ascii="Times New Roman" w:hAnsi="Times New Roman" w:cs="Times New Roman"/>
          <w:sz w:val="24"/>
          <w:szCs w:val="24"/>
        </w:rPr>
      </w:pPr>
      <w:r w:rsidRPr="00936076">
        <w:rPr>
          <w:rFonts w:ascii="Times New Roman" w:hAnsi="Times New Roman" w:cs="Times New Roman"/>
          <w:sz w:val="24"/>
          <w:szCs w:val="24"/>
        </w:rPr>
        <w:t xml:space="preserve">Dodatkowo dokonano stosownej modyfikacji brzmienia przepisów mającą służyć objęciu mechanizmem osłonowym w formie zastosowania ceny maksymalnej także te podmioty, które nabywają energię elektryczną nie od przedsiębiorstwa obrotu, a bezpośrednio od wytwórcy, będąc przy tym przyłączonym do sieci dystrybucyjnej lub przesyłowej. </w:t>
      </w:r>
    </w:p>
    <w:p w14:paraId="3E5399F0" w14:textId="77777777" w:rsidR="00785114" w:rsidRDefault="00785114" w:rsidP="007639A6">
      <w:pPr>
        <w:pStyle w:val="USTustnpkodeksu"/>
        <w:spacing w:line="276" w:lineRule="auto"/>
        <w:rPr>
          <w:rFonts w:eastAsiaTheme="minorEastAsia" w:cs="Arial"/>
          <w:szCs w:val="20"/>
        </w:rPr>
      </w:pPr>
    </w:p>
    <w:p w14:paraId="132689DD" w14:textId="28EA0DE8" w:rsidR="003C5147" w:rsidRDefault="003C5147" w:rsidP="007639A6">
      <w:pPr>
        <w:pStyle w:val="USTustnpkodeksu"/>
        <w:spacing w:line="276" w:lineRule="auto"/>
        <w:ind w:firstLine="0"/>
        <w:rPr>
          <w:rFonts w:eastAsiaTheme="minorEastAsia" w:cs="Arial"/>
          <w:szCs w:val="20"/>
        </w:rPr>
      </w:pPr>
    </w:p>
    <w:p w14:paraId="36243AE0" w14:textId="755F9577" w:rsidR="003C5147" w:rsidRPr="00DC0423" w:rsidRDefault="003C5147" w:rsidP="007639A6">
      <w:pPr>
        <w:pStyle w:val="USTustnpkodeksu"/>
        <w:spacing w:line="276" w:lineRule="auto"/>
        <w:ind w:firstLine="0"/>
        <w:rPr>
          <w:b/>
          <w:bCs/>
        </w:rPr>
      </w:pPr>
      <w:bookmarkStart w:id="6" w:name="_Hlk120170197"/>
      <w:r w:rsidRPr="00DC0423">
        <w:rPr>
          <w:b/>
          <w:bCs/>
        </w:rPr>
        <w:t>2.</w:t>
      </w:r>
      <w:r w:rsidR="002D1BBE">
        <w:rPr>
          <w:b/>
          <w:bCs/>
        </w:rPr>
        <w:t>23</w:t>
      </w:r>
      <w:r w:rsidR="0046403A">
        <w:rPr>
          <w:b/>
          <w:bCs/>
        </w:rPr>
        <w:t>.</w:t>
      </w:r>
      <w:r w:rsidR="0046403A" w:rsidRPr="00DC0423">
        <w:rPr>
          <w:b/>
          <w:bCs/>
        </w:rPr>
        <w:t xml:space="preserve"> </w:t>
      </w:r>
      <w:r w:rsidRPr="00DC0423">
        <w:rPr>
          <w:b/>
          <w:bCs/>
        </w:rPr>
        <w:t>Zmiany dot</w:t>
      </w:r>
      <w:r w:rsidR="00F91B3E">
        <w:rPr>
          <w:b/>
          <w:bCs/>
        </w:rPr>
        <w:t>yczące</w:t>
      </w:r>
      <w:r w:rsidRPr="00DC0423">
        <w:rPr>
          <w:b/>
          <w:bCs/>
        </w:rPr>
        <w:t xml:space="preserve"> wodoru</w:t>
      </w:r>
    </w:p>
    <w:bookmarkEnd w:id="6"/>
    <w:p w14:paraId="194BB165" w14:textId="77777777" w:rsidR="003C5147" w:rsidRPr="00DC0423" w:rsidRDefault="003C5147" w:rsidP="007639A6">
      <w:pPr>
        <w:spacing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Ustawa z dnia 11 sierpnia 2021 r. o zmianie ustawy o systemie monitorowania i kontrolowania jakości paliw i niektórych innych ustaw (Dz. U. z 2021, poz. 1642), zwana dalej „ustawa zmieniającą”, wprowadziła, między innymi, przepisy włączające wodór do systemu monitorowania i kontrolowania jakości paliw. Zgodnie z tymi przepisami producenci wodoru przeznaczonego do stosowania w pojazdach z ogniwami paliwowymi (PEM) zostali objęci </w:t>
      </w:r>
      <w:r w:rsidRPr="00DC0423">
        <w:rPr>
          <w:rFonts w:ascii="Times New Roman" w:hAnsi="Times New Roman" w:cs="Times New Roman"/>
          <w:sz w:val="24"/>
          <w:szCs w:val="24"/>
        </w:rPr>
        <w:lastRenderedPageBreak/>
        <w:t xml:space="preserve">obowiązkiem wykonywania badań jakości produkowanego wodoru oraz wystawienia certyfikatu jakości dla wodoru wprowadzanego do obrotu. Termin wejścia w życie tych przepisów został określony na 1 stycznia 2023 r. Natomiast, zgodnie z ustawą z dnia 25 sierpnia 2006 r. o systemie monitorowania i kontrolowania jakości paliw (Dz. U. z 2022 r. poz. 1315, 1576), zwaną dalej „ustawą”, badanie jakości wodoru będzie wykonywane jedynie przez akredytowane laboratorium, przy czym, w przypadku wodoru, nie musi ono spełniać wymogu niezależności. Zgodnie z art. 2 ust. 1 pkt 20 ustawy, przez akredytowane laboratorium uznaje się takie, które posiada akredytacje do wykonywania badań jakości paliw. W przypadku wodoru oznacza to potrzebę uzyskania akredytacji na wszystkie metody, które wykorzystywane będą do badania wodoru. Obecnie w Polsce nie funkcjonuje laboratorium posiadające akredytację na metody wykorzystywane do badania jakości wodoru. Zgodnie z posiadaną wiedzą, tego typu akredytację posiadają jedynie 2 laboratoria na świecie – w USA i UK. Tak niska dostępność laboratoriów posiadających akredytację rzutuje na bardzo wysokie koszty wykonania badania oraz długi czas realizacji wynikający z odległości. Producenci wodoru w Polsce sygnalizowali, że nie będą w stanie spełnić wymogu zapewnienia akredytowanego laboratorium do badania wodoru w przewidzianym terminie, tj. od 1 stycznia 2023 r. W ocenie polskich producentów wodoru stosowanego w pojazdach z ogniwem paliwowym, dalej zwanego również „wodorem typu </w:t>
      </w:r>
      <w:proofErr w:type="spellStart"/>
      <w:r w:rsidRPr="00DC0423">
        <w:rPr>
          <w:rFonts w:ascii="Times New Roman" w:hAnsi="Times New Roman" w:cs="Times New Roman"/>
          <w:sz w:val="24"/>
          <w:szCs w:val="24"/>
        </w:rPr>
        <w:t>automotive</w:t>
      </w:r>
      <w:proofErr w:type="spellEnd"/>
      <w:r w:rsidRPr="00DC0423">
        <w:rPr>
          <w:rFonts w:ascii="Times New Roman" w:hAnsi="Times New Roman" w:cs="Times New Roman"/>
          <w:sz w:val="24"/>
          <w:szCs w:val="24"/>
        </w:rPr>
        <w:t xml:space="preserve">”, jest to zbyt krótki okres, by dostosowali funkcjonujące w ich strukturach laboratoria badawcze do wymogów ustawy. Wynika to z dwóch głównych czynników: </w:t>
      </w:r>
    </w:p>
    <w:p w14:paraId="07E13993" w14:textId="77777777" w:rsidR="003C5147" w:rsidRPr="00DC0423" w:rsidRDefault="003C5147" w:rsidP="007639A6">
      <w:pPr>
        <w:spacing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1) skomplikowanego i kosztownego procesu dostosowania laboratorium badawczego, w tym długiej procedury uzyskania stosownych akredytacji; </w:t>
      </w:r>
    </w:p>
    <w:p w14:paraId="666A739F" w14:textId="77777777" w:rsidR="003C5147" w:rsidRPr="00DC0423" w:rsidRDefault="003C5147" w:rsidP="007639A6">
      <w:pPr>
        <w:spacing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2) niskiego poziomu rozwoju rynku wodoru </w:t>
      </w:r>
      <w:proofErr w:type="spellStart"/>
      <w:r w:rsidRPr="00DC0423">
        <w:rPr>
          <w:rFonts w:ascii="Times New Roman" w:hAnsi="Times New Roman" w:cs="Times New Roman"/>
          <w:sz w:val="24"/>
          <w:szCs w:val="24"/>
        </w:rPr>
        <w:t>automotive</w:t>
      </w:r>
      <w:proofErr w:type="spellEnd"/>
      <w:r w:rsidRPr="00DC0423">
        <w:rPr>
          <w:rFonts w:ascii="Times New Roman" w:hAnsi="Times New Roman" w:cs="Times New Roman"/>
          <w:sz w:val="24"/>
          <w:szCs w:val="24"/>
        </w:rPr>
        <w:t xml:space="preserve"> w Polsce i na świecie, co skutkuje znikomą dostępnością laboratoriów spełniających wymagania określone w przepisach.</w:t>
      </w:r>
    </w:p>
    <w:p w14:paraId="1CE295F2" w14:textId="77777777" w:rsidR="003C5147" w:rsidRPr="00DC0423" w:rsidRDefault="003C5147" w:rsidP="007639A6">
      <w:pPr>
        <w:spacing w:before="24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Zgodnie z uzyskaną od producentów informacją, zdobycie odpowiednich akredytacji do badania jakości wodoru jest procesem trwającym co najmniej 2 lata, przy założeniu że cały proces przebiega bez zakłóceń. </w:t>
      </w:r>
    </w:p>
    <w:p w14:paraId="3B9F3011" w14:textId="77777777" w:rsidR="003C5147" w:rsidRPr="00DC0423" w:rsidRDefault="003C5147" w:rsidP="007639A6">
      <w:pPr>
        <w:spacing w:before="24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W przypadku braku dostępu do akredytowanego laboratorium, producent wodoru od 1 stycznia 2023 r. nie będzie miał w praktyce możliwości obrotu wodorem </w:t>
      </w:r>
      <w:proofErr w:type="spellStart"/>
      <w:r w:rsidRPr="00DC0423">
        <w:rPr>
          <w:rFonts w:ascii="Times New Roman" w:hAnsi="Times New Roman" w:cs="Times New Roman"/>
          <w:sz w:val="24"/>
          <w:szCs w:val="24"/>
        </w:rPr>
        <w:t>automotive</w:t>
      </w:r>
      <w:proofErr w:type="spellEnd"/>
      <w:r w:rsidRPr="00DC0423">
        <w:rPr>
          <w:rFonts w:ascii="Times New Roman" w:hAnsi="Times New Roman" w:cs="Times New Roman"/>
          <w:sz w:val="24"/>
          <w:szCs w:val="24"/>
        </w:rPr>
        <w:t xml:space="preserve">, gdyż nie będzie mógł przeprowadzić wymaganych ustawą badań jakości. Jednocześnie, dostępność do jedynie dwóch istniejących laboratoriów w innych państwach może być ograniczona. Oznaczać to może zamrożenie polskiego rynku wodoru stosowanego w pojazdach na co najmniej 2 lata oraz znaczne utrudnienie dla polskich producentów względem ich zagranicznych odpowiedników, co może przesądzić o przegraniu przez polskie podmioty konkurencji o ten rynek. Należy również wskazać, iż pomimo początkowej fazy rozwoju rynku wodoru w Polsce, działania mające na celu wprowadzenie tego paliwa na rynek paliw transportowych są podejmowane zarówno przez przedsiębiorców, jak też przez polski rząd. Wodór jest wskazywany jako paliwo, które może w znacznym stopniu zastąpić paliwa tradycyjne zarówno w transporcie drogowym, jak i morskim. W przypadku produkcji w procesie elektrolizy wody przy użyciu energii elektrycznej z OZE, przynosić także będzie znacząca redukcję emisji w sektorze transportowym. </w:t>
      </w:r>
    </w:p>
    <w:p w14:paraId="6503DD22" w14:textId="77777777" w:rsidR="003C5147" w:rsidRPr="00DC0423" w:rsidRDefault="003C5147" w:rsidP="007639A6">
      <w:pPr>
        <w:spacing w:before="240" w:line="276" w:lineRule="auto"/>
        <w:jc w:val="both"/>
        <w:rPr>
          <w:rFonts w:ascii="Times New Roman" w:hAnsi="Times New Roman" w:cs="Times New Roman"/>
          <w:sz w:val="24"/>
          <w:szCs w:val="24"/>
        </w:rPr>
      </w:pPr>
      <w:r w:rsidRPr="00DC0423">
        <w:rPr>
          <w:rFonts w:ascii="Times New Roman" w:hAnsi="Times New Roman" w:cs="Times New Roman"/>
          <w:sz w:val="24"/>
          <w:szCs w:val="24"/>
        </w:rPr>
        <w:lastRenderedPageBreak/>
        <w:t xml:space="preserve">Jednocześnie, zgodnie z informacją uzyskaną od polskich producentów wodoru stosowanego w pojazdach, ich laboratoria wykonują już obecnie stosowne badania jakości wodoru, jednakże nie posiadają jeszcze stosownych akredytacji. W takim otoczeniu rynkowym producenci potrzebują uproszczonych regulacji, by móc wprowadzać wodór na rynek. </w:t>
      </w:r>
    </w:p>
    <w:p w14:paraId="60473CD6" w14:textId="77777777" w:rsidR="003C5147" w:rsidRPr="00DC0423" w:rsidRDefault="003C5147" w:rsidP="007639A6">
      <w:pPr>
        <w:spacing w:before="240" w:after="24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Jak wskazano wcześniej, w chwili obecnej polski rynek wodoru stosowanego w pojazdach jest na bardzo wczesnym etapie rozwoju, z perspektywą dynamicznego wzrostu w najbliższych latach. Wynika to z transformacji energetycznej, nacisku na stosowanie paliw odnawialnych oraz nisko- lub zero-emisyjnych, a także szoku na rynku węglowodorów będącego następstwem rosyjskiej agresji na Ukrainę. Obecne szacunki mówią o około 140 autach osobowych oraz około 100 autobusach zasilanych wodorem w Polsce, co generuje popyt na około 68,5 t wodoru miesięcznie. W najbliższych latach należy spodziewać się szczególnie znaczącego wzrostu liczby autobusów wodorowych ze względu na możliwe wsparcie w ramach Programu Zielony Transport Miejski prowadzonego przez Narodowy Fundusz Ochrony Środowiska i Gospodarki Wodnej. Zgodnie z Polską Strategią Wodorową, do roku 2030 z perspektywą do roku 2040 szacuje się, że w roku 2025 w Polsce może być nawet 250 autobusów zasilanych wodorem, zaś w 2030 r. zakłada się ich liczbę nawet na poziomie1000 pojazdów. Taka liczba pojazdów będzie generowała kolejno ok. 170 t i 680 t popytu na wodór </w:t>
      </w:r>
      <w:proofErr w:type="spellStart"/>
      <w:r w:rsidRPr="00DC0423">
        <w:rPr>
          <w:rFonts w:ascii="Times New Roman" w:hAnsi="Times New Roman" w:cs="Times New Roman"/>
          <w:sz w:val="24"/>
          <w:szCs w:val="24"/>
        </w:rPr>
        <w:t>automotive</w:t>
      </w:r>
      <w:proofErr w:type="spellEnd"/>
      <w:r w:rsidRPr="00DC0423">
        <w:rPr>
          <w:rFonts w:ascii="Times New Roman" w:hAnsi="Times New Roman" w:cs="Times New Roman"/>
          <w:sz w:val="24"/>
          <w:szCs w:val="24"/>
        </w:rPr>
        <w:t xml:space="preserve"> miesięcznie. W przypadku ograniczenia możliwości produkcji wodoru, popyt może znacząco przekroczyć podaż, co będzie skutkowało praktycznym uniemożliwieniem tankowania tego typu pojazdów, co w efekcie spowolni transformację sektora transportowego.</w:t>
      </w:r>
    </w:p>
    <w:p w14:paraId="27F5D5A1" w14:textId="77777777" w:rsidR="003C5147" w:rsidRPr="00DC0423" w:rsidRDefault="003C5147" w:rsidP="007639A6">
      <w:pPr>
        <w:spacing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W związku z ww. sytuacją pojawia się potrzeba dokonania zmian w przepisach, w celu dostosowania przepisów ustawy, dotyczących funkcjonowania wodoru w systemie monitorowania i kontrolowania jakości paliw, do obecnej sytuacji na rynku produkcji wodoru w Polsce oraz do możliwości producentów tego paliwa w zakresie pozyskania potwierdzenia jakości produkowanego wodoru. </w:t>
      </w:r>
    </w:p>
    <w:p w14:paraId="1D114CF2" w14:textId="77777777" w:rsidR="003C5147" w:rsidRPr="00DC0423" w:rsidRDefault="003C5147" w:rsidP="007639A6">
      <w:pPr>
        <w:spacing w:before="24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Przed przystąpieniem do prac nad projektem Ministerstwo Klimatu i Środowiska prowadziło rozmowy i spotkania z podmiotami zajmującymi się lub planującymi produkcję wodoru </w:t>
      </w:r>
      <w:proofErr w:type="spellStart"/>
      <w:r w:rsidRPr="00DC0423">
        <w:rPr>
          <w:rFonts w:ascii="Times New Roman" w:hAnsi="Times New Roman" w:cs="Times New Roman"/>
          <w:sz w:val="24"/>
          <w:szCs w:val="24"/>
        </w:rPr>
        <w:t>automotive</w:t>
      </w:r>
      <w:proofErr w:type="spellEnd"/>
      <w:r w:rsidRPr="00DC0423">
        <w:rPr>
          <w:rFonts w:ascii="Times New Roman" w:hAnsi="Times New Roman" w:cs="Times New Roman"/>
          <w:sz w:val="24"/>
          <w:szCs w:val="24"/>
        </w:rPr>
        <w:t>. Przedstawione w projekcie rozwiązania są wynikiem tych dyskusji oraz zgłaszanych uwag. Celem projektowanych zmian jest umożliwienie polskim producentom wodoru stosowanego w pojazdach prowadzenie sprzedaży wodoru na cele transportowe po 1 stycznia 2023, przy jednoczesnym zachowaniu gwarancji, że produkowany wodór będzie spełniał wymagania jakościowe.</w:t>
      </w:r>
    </w:p>
    <w:p w14:paraId="3BC19005" w14:textId="77777777" w:rsidR="003C5147" w:rsidRPr="00DC0423" w:rsidRDefault="003C5147" w:rsidP="007639A6">
      <w:pPr>
        <w:spacing w:before="240" w:line="276" w:lineRule="auto"/>
        <w:jc w:val="both"/>
        <w:rPr>
          <w:rFonts w:ascii="Times New Roman" w:hAnsi="Times New Roman" w:cs="Times New Roman"/>
          <w:sz w:val="24"/>
          <w:szCs w:val="24"/>
        </w:rPr>
      </w:pPr>
      <w:r w:rsidRPr="00DC0423">
        <w:rPr>
          <w:rFonts w:ascii="Times New Roman" w:hAnsi="Times New Roman" w:cs="Times New Roman"/>
          <w:sz w:val="24"/>
          <w:szCs w:val="24"/>
        </w:rPr>
        <w:t>Najważniejsze zmiany zawarte w projektowanych przepisach zakładają:</w:t>
      </w:r>
    </w:p>
    <w:p w14:paraId="0BBEDAD3" w14:textId="77777777" w:rsidR="003C5147" w:rsidRPr="00DC0423" w:rsidRDefault="003C5147" w:rsidP="007639A6">
      <w:pPr>
        <w:pStyle w:val="Akapitzlist"/>
        <w:spacing w:line="276" w:lineRule="auto"/>
        <w:jc w:val="both"/>
        <w:rPr>
          <w:rFonts w:ascii="Times New Roman" w:hAnsi="Times New Roman" w:cs="Times New Roman"/>
          <w:sz w:val="24"/>
          <w:szCs w:val="24"/>
        </w:rPr>
      </w:pPr>
    </w:p>
    <w:p w14:paraId="33DD7D50" w14:textId="77777777" w:rsidR="003C5147" w:rsidRPr="00DC0423" w:rsidRDefault="003C5147" w:rsidP="007639A6">
      <w:pPr>
        <w:pStyle w:val="Akapitzlist"/>
        <w:widowControl w:val="0"/>
        <w:numPr>
          <w:ilvl w:val="0"/>
          <w:numId w:val="15"/>
        </w:numPr>
        <w:autoSpaceDE w:val="0"/>
        <w:autoSpaceDN w:val="0"/>
        <w:adjustRightInd w:val="0"/>
        <w:spacing w:after="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rezygnacje z określonego w art. 25a ust. 2 wymogu codziennego badania wodoru </w:t>
      </w:r>
      <w:r w:rsidRPr="00DC0423">
        <w:rPr>
          <w:rFonts w:ascii="Times New Roman" w:hAnsi="Times New Roman" w:cs="Times New Roman"/>
          <w:sz w:val="24"/>
          <w:szCs w:val="24"/>
        </w:rPr>
        <w:br/>
        <w:t>w sposób przepływowy, a w jego miejsce wprowadzenie obowiązku zapewnienia wykonywania dodatkowego badania, w przypadku gdy produkcja w ciągu 30 dni przekroczy 50 t;</w:t>
      </w:r>
    </w:p>
    <w:p w14:paraId="531D236E" w14:textId="77777777" w:rsidR="003C5147" w:rsidRPr="00DC0423" w:rsidRDefault="003C5147" w:rsidP="007639A6">
      <w:pPr>
        <w:pStyle w:val="Akapitzlist"/>
        <w:widowControl w:val="0"/>
        <w:numPr>
          <w:ilvl w:val="0"/>
          <w:numId w:val="15"/>
        </w:numPr>
        <w:autoSpaceDE w:val="0"/>
        <w:autoSpaceDN w:val="0"/>
        <w:adjustRightInd w:val="0"/>
        <w:spacing w:after="0" w:line="276" w:lineRule="auto"/>
        <w:jc w:val="both"/>
        <w:rPr>
          <w:rFonts w:ascii="Times New Roman" w:hAnsi="Times New Roman" w:cs="Times New Roman"/>
          <w:sz w:val="24"/>
          <w:szCs w:val="24"/>
        </w:rPr>
      </w:pPr>
      <w:r w:rsidRPr="00DC0423">
        <w:rPr>
          <w:rFonts w:ascii="Times New Roman" w:hAnsi="Times New Roman" w:cs="Times New Roman"/>
          <w:sz w:val="24"/>
          <w:szCs w:val="24"/>
        </w:rPr>
        <w:t>wprowadzenie sankcji dla przedsiębiorców dokonujących obrotu wodorem bez certyfikatu jakości wodoru;</w:t>
      </w:r>
    </w:p>
    <w:p w14:paraId="1FE503BC" w14:textId="77777777" w:rsidR="003C5147" w:rsidRPr="00DC0423" w:rsidRDefault="003C5147" w:rsidP="007639A6">
      <w:pPr>
        <w:pStyle w:val="Akapitzlist"/>
        <w:widowControl w:val="0"/>
        <w:numPr>
          <w:ilvl w:val="0"/>
          <w:numId w:val="15"/>
        </w:numPr>
        <w:autoSpaceDE w:val="0"/>
        <w:autoSpaceDN w:val="0"/>
        <w:adjustRightInd w:val="0"/>
        <w:spacing w:after="0" w:line="276" w:lineRule="auto"/>
        <w:jc w:val="both"/>
        <w:rPr>
          <w:rFonts w:ascii="Times New Roman" w:hAnsi="Times New Roman" w:cs="Times New Roman"/>
          <w:sz w:val="24"/>
          <w:szCs w:val="24"/>
        </w:rPr>
      </w:pPr>
      <w:r w:rsidRPr="00DC0423">
        <w:rPr>
          <w:rFonts w:ascii="Times New Roman" w:hAnsi="Times New Roman" w:cs="Times New Roman"/>
          <w:sz w:val="24"/>
          <w:szCs w:val="24"/>
        </w:rPr>
        <w:lastRenderedPageBreak/>
        <w:t>wprowadzenie uproszczeń w realizacji obowiązków dotyczących potwierdzenia jakości produkowanego wodoru w przypadku produkcji wodoru w procesie elektrolizy oraz instalacji analizatorów do przepływowego badania jakości wodoru umożliwiających stałą kontrolę jakości wodoru w zakresie większości wymaganych paramentów;</w:t>
      </w:r>
    </w:p>
    <w:p w14:paraId="2FCD15CB" w14:textId="77777777" w:rsidR="003C5147" w:rsidRPr="00DC0423" w:rsidRDefault="003C5147" w:rsidP="007639A6">
      <w:pPr>
        <w:pStyle w:val="Akapitzlist"/>
        <w:widowControl w:val="0"/>
        <w:numPr>
          <w:ilvl w:val="0"/>
          <w:numId w:val="15"/>
        </w:numPr>
        <w:autoSpaceDE w:val="0"/>
        <w:autoSpaceDN w:val="0"/>
        <w:adjustRightInd w:val="0"/>
        <w:spacing w:after="24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wprowadzenie przepisu przejściowego umożliwiającego producentom wodoru </w:t>
      </w:r>
      <w:r w:rsidRPr="00DC0423">
        <w:rPr>
          <w:rFonts w:ascii="Times New Roman" w:hAnsi="Times New Roman" w:cs="Times New Roman"/>
          <w:sz w:val="24"/>
          <w:szCs w:val="24"/>
        </w:rPr>
        <w:br/>
        <w:t>na korzystanie do końca roku 2024 z laboratoriów nieposiadających akredytacji do badania wodoru, pod warunkiem posiadania akredytacji na badanie jakości paliw oraz stosowaniem norm badania jakości wodoru określonych w przepisach wykonawczych do ustawy.</w:t>
      </w:r>
    </w:p>
    <w:p w14:paraId="69C9E60F" w14:textId="77777777" w:rsidR="003C5147" w:rsidRPr="00DC0423" w:rsidRDefault="003C5147" w:rsidP="007639A6">
      <w:pPr>
        <w:spacing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Szczegółowy opis zmian. </w:t>
      </w:r>
    </w:p>
    <w:p w14:paraId="018BBB13" w14:textId="7B4B14BF" w:rsidR="003C5147" w:rsidRPr="00DC0423" w:rsidRDefault="003C5147" w:rsidP="007639A6">
      <w:pPr>
        <w:spacing w:before="240" w:line="276" w:lineRule="auto"/>
        <w:jc w:val="both"/>
        <w:rPr>
          <w:rFonts w:ascii="Times New Roman" w:hAnsi="Times New Roman" w:cs="Times New Roman"/>
          <w:sz w:val="24"/>
          <w:szCs w:val="24"/>
        </w:rPr>
      </w:pPr>
      <w:r w:rsidRPr="00DC0423">
        <w:rPr>
          <w:rFonts w:ascii="Times New Roman" w:hAnsi="Times New Roman" w:cs="Times New Roman"/>
          <w:sz w:val="24"/>
          <w:szCs w:val="24"/>
        </w:rPr>
        <w:t xml:space="preserve">W punkcie 1 dodaje się art. 5a, który stanowi, że przedsiębiorca produkujący wodór zapewnia, by produkt spełniał wymagania jakościowe. Przepis ten wynika ze sposobu organizacji systemu monitorowania i kontrolowania jakości wodoru, gdzie spełnienie wymagań jakościowych wodoru stwierdza producent i na tej podstawie wystawia certyfikat jakości. </w:t>
      </w:r>
    </w:p>
    <w:p w14:paraId="68947169" w14:textId="54F262DA" w:rsidR="003C5147" w:rsidRPr="00DC0423" w:rsidRDefault="00F87CA5"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Dodaje się</w:t>
      </w:r>
      <w:r w:rsidR="003C5147" w:rsidRPr="00DC0423">
        <w:rPr>
          <w:rFonts w:ascii="Times New Roman" w:hAnsi="Times New Roman" w:cs="Times New Roman"/>
          <w:sz w:val="24"/>
          <w:szCs w:val="24"/>
        </w:rPr>
        <w:t xml:space="preserve"> przepis karny – art. 31b, który sankcjonuje obrót wodorem bez posiadania certyfikatu jakości wodoru. Przepis ten stanowi uszczelnienie przepisów karnych ustawy w stosunku do wodoru. Ponadto, dodany art. 31b modyfikuje istniejący przepis, wyłączając odpowiedzialność przedsiębiorcy, który obracał wodorem niespełniającym wymagań jakościowych nieświadomie, w oparciu o certyfikat jakości poświadczający nieprawdę.</w:t>
      </w:r>
    </w:p>
    <w:p w14:paraId="21CFBB1D" w14:textId="20C1AD40" w:rsidR="003C5147" w:rsidRPr="00DC0423" w:rsidRDefault="00F87CA5"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Zaproponowano również brzmienie przepisu</w:t>
      </w:r>
      <w:r w:rsidR="003C5147" w:rsidRPr="00DC0423">
        <w:rPr>
          <w:rFonts w:ascii="Times New Roman" w:hAnsi="Times New Roman" w:cs="Times New Roman"/>
          <w:sz w:val="24"/>
          <w:szCs w:val="24"/>
        </w:rPr>
        <w:t xml:space="preserve"> </w:t>
      </w:r>
      <w:r w:rsidRPr="00DC0423">
        <w:rPr>
          <w:rFonts w:ascii="Times New Roman" w:hAnsi="Times New Roman" w:cs="Times New Roman"/>
          <w:sz w:val="24"/>
          <w:szCs w:val="24"/>
        </w:rPr>
        <w:t>epizodyczn</w:t>
      </w:r>
      <w:r>
        <w:rPr>
          <w:rFonts w:ascii="Times New Roman" w:hAnsi="Times New Roman" w:cs="Times New Roman"/>
          <w:sz w:val="24"/>
          <w:szCs w:val="24"/>
        </w:rPr>
        <w:t>ego</w:t>
      </w:r>
      <w:r w:rsidRPr="00DC0423">
        <w:rPr>
          <w:rFonts w:ascii="Times New Roman" w:hAnsi="Times New Roman" w:cs="Times New Roman"/>
          <w:sz w:val="24"/>
          <w:szCs w:val="24"/>
        </w:rPr>
        <w:t xml:space="preserve"> umożliwiając</w:t>
      </w:r>
      <w:r>
        <w:rPr>
          <w:rFonts w:ascii="Times New Roman" w:hAnsi="Times New Roman" w:cs="Times New Roman"/>
          <w:sz w:val="24"/>
          <w:szCs w:val="24"/>
        </w:rPr>
        <w:t>ego</w:t>
      </w:r>
      <w:r w:rsidRPr="00DC0423">
        <w:rPr>
          <w:rFonts w:ascii="Times New Roman" w:hAnsi="Times New Roman" w:cs="Times New Roman"/>
          <w:sz w:val="24"/>
          <w:szCs w:val="24"/>
        </w:rPr>
        <w:t xml:space="preserve"> </w:t>
      </w:r>
      <w:r w:rsidR="003C5147" w:rsidRPr="00DC0423">
        <w:rPr>
          <w:rFonts w:ascii="Times New Roman" w:hAnsi="Times New Roman" w:cs="Times New Roman"/>
          <w:sz w:val="24"/>
          <w:szCs w:val="24"/>
        </w:rPr>
        <w:t xml:space="preserve">producentom wodoru do końca roku 2024 korzystanie z usług laboratoriów nie posiadających akredytacji do badania jakości wodoru. Jednakże, laboratoria te będą musiały spełnić inne wymagania – posiadać akredytację dla normy ISO:17025 „Ogólne wymagania dotyczące kompetencji laboratoriów badawczych i wzorcujących” (która mówi o kompetencjach laboratoriów badawczych), a także posiadać zaplecze techniczne i organizacyjne oraz zasoby kadrowe umożliwiające wykonywanie badań jakości wodoru zgodnie z metodami badania jakości tego paliwa ustalonymi w przepisie wykonawczym (art. 25d ustawy) oraz do pobierania próbek wodoru również zgodnie ze stosownym rozporządzeniem (art. 25c ustawy). Od 1 stycznia 2025 r. badania jakości wodoru będą natomiast mogły być wykonywane wyłącznie przez akredytowane laboratoria w rozumieniu art. </w:t>
      </w:r>
      <w:r w:rsidR="003C5147">
        <w:rPr>
          <w:rFonts w:ascii="Times New Roman" w:hAnsi="Times New Roman" w:cs="Times New Roman"/>
          <w:sz w:val="24"/>
          <w:szCs w:val="24"/>
        </w:rPr>
        <w:t>27</w:t>
      </w:r>
      <w:r w:rsidR="003C5147" w:rsidRPr="00DC0423">
        <w:rPr>
          <w:rFonts w:ascii="Times New Roman" w:hAnsi="Times New Roman" w:cs="Times New Roman"/>
          <w:sz w:val="24"/>
          <w:szCs w:val="24"/>
        </w:rPr>
        <w:t xml:space="preserve"> ust. 1 pkt 20 ustawy. Przepis ten ma na celu umożliwienie producentom wodoru uzyskanie stosownych akredytacji, przy jednoczesnym zachowaniu możliwości sprzedaży wytwarzanego wodoru. Przepis ten wychodzi zatem naprzeciw oczekiwaniom rynkowym i zapobiega wykluczeniu krajowych producentów wodoru z rynku, a zarazem zabezpiecza jakość wykonywanych badań wodoru. Norma ISO:17025, dla której zgodnie z tym przepisem wymagane jest uzyskanie akredytacji, określa kompetencje badawcze laboratorium, zatem uzyskanie tej akredytacji potwierdza, że laboratorium badawcze jest zdolne do wykonywania badań i funkcjonuje prawidłowo. Czasowe zwolnienie z posiadania akredytacji dla metod badania jakości wodoru nie oznacza zwolnienia z wykonywania badań zgodnie z tymi metodami – laboratoria będą dalej wykonywać badania tymi metodami i zgodnie z nimi, jedynie bez ostatecznego potwierdzenia tych zdolności, jakim jest akredytacja. Należy zauważyć, że już obecnie laboratoria producentów wykonują badania </w:t>
      </w:r>
      <w:r w:rsidR="003C5147" w:rsidRPr="00DC0423">
        <w:rPr>
          <w:rFonts w:ascii="Times New Roman" w:hAnsi="Times New Roman" w:cs="Times New Roman"/>
          <w:sz w:val="24"/>
          <w:szCs w:val="24"/>
        </w:rPr>
        <w:lastRenderedPageBreak/>
        <w:t xml:space="preserve">jakości wodoru odpowiednimi metodami badawczymi, zatem mają zdolności do przeprowadzania tych badań, ponadto będzie obowiązywał wymóg zapewnienia jakości przez producentów, więc w ich interesie będzie utrzymanie odpowiedniej jakości wydawanego wodoru </w:t>
      </w:r>
      <w:proofErr w:type="spellStart"/>
      <w:r w:rsidR="003C5147" w:rsidRPr="00DC0423">
        <w:rPr>
          <w:rFonts w:ascii="Times New Roman" w:hAnsi="Times New Roman" w:cs="Times New Roman"/>
          <w:sz w:val="24"/>
          <w:szCs w:val="24"/>
        </w:rPr>
        <w:t>automotive</w:t>
      </w:r>
      <w:proofErr w:type="spellEnd"/>
      <w:r w:rsidR="003C5147" w:rsidRPr="00DC0423">
        <w:rPr>
          <w:rFonts w:ascii="Times New Roman" w:hAnsi="Times New Roman" w:cs="Times New Roman"/>
          <w:sz w:val="24"/>
          <w:szCs w:val="24"/>
        </w:rPr>
        <w:t>.</w:t>
      </w:r>
    </w:p>
    <w:p w14:paraId="394A110A" w14:textId="78E58E47" w:rsidR="003C5147" w:rsidRPr="00DC0423" w:rsidRDefault="00F87CA5" w:rsidP="007639A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Wprowadzono również</w:t>
      </w:r>
      <w:r w:rsidR="003C5147" w:rsidRPr="00DC0423">
        <w:rPr>
          <w:rFonts w:ascii="Times New Roman" w:hAnsi="Times New Roman" w:cs="Times New Roman"/>
          <w:sz w:val="24"/>
          <w:szCs w:val="24"/>
        </w:rPr>
        <w:t xml:space="preserve"> zmianę do ustawy z dnia 24 lipca 2015 r. o zmianie ustawy o systemie monitorowania i kontrolowania jakości paliw (Dz. U. poz. 1361 i z 2019 r. poz. 1527) polegającą na opóźnieniu obowiązku wydania po raz pierwszy aktów wykonawczych wyliczonych w tym przepisie. Obecny termin to 31 grudnia 2022 r., zaś projektowany termin to 31 grudnia 2024 r. Przesunięcie terminu wynika w szczególności z braku możliwości określenia sposobu pobierania próbek LNG, co uniemożliwia wydanie rozporządzenia na podstawie art. 19a pkt 2 ustawy. Pozostałe dwa rozporządzenia również nie mogą być wydane, ponieważ wszystkie trzy są ze sobą ściśle powiązane ze względu na sposób funkcjonowania systemu monitorowania i kontrolowania jakości paliw. Dla zgodnego z tym systemem przebadania próbki skroplonego gazu ciekłego, należy postępować zgodnie z trzema rozporządzeniami – </w:t>
      </w:r>
      <w:proofErr w:type="spellStart"/>
      <w:r w:rsidR="003C5147" w:rsidRPr="00DC0423">
        <w:rPr>
          <w:rFonts w:ascii="Times New Roman" w:hAnsi="Times New Roman" w:cs="Times New Roman"/>
          <w:sz w:val="24"/>
          <w:szCs w:val="24"/>
        </w:rPr>
        <w:t>ws</w:t>
      </w:r>
      <w:proofErr w:type="spellEnd"/>
      <w:r w:rsidR="003C5147" w:rsidRPr="00DC0423">
        <w:rPr>
          <w:rFonts w:ascii="Times New Roman" w:hAnsi="Times New Roman" w:cs="Times New Roman"/>
          <w:sz w:val="24"/>
          <w:szCs w:val="24"/>
        </w:rPr>
        <w:t xml:space="preserve">. pobierania próbek, metod badawczych i wymagań jakościowych: brak któregokolwiek z nich skutecznie uniemożliwia funkcjonowanie tego paliwa w systemie, zatem nie jest zasadne wydanie jedynie wybranych z tych rozporządzeń. Dodatkowo, wydanie rozporządzenia dot. sposobu pobierania próbek LNG, uniemożliwia brak normy określającej sposób poboru takiej próbki ze zbiornika, toteż nie można określić bezpiecznego, sprawdzonego i rzetelnego sposobu poboru próbki LNG. Co więcej, brak również zamiennika normy, na której można by oprzeć przedmiotowe rozporządzenie. Wstępne analizy wykazały, że opracowanie alternatywnego systemu monitorowania jakości dla LNG w związku z brakiem norm oraz ich zamienników, mogłoby nie gwarantować, że skroplony gaz ziemny będzie podlegał odpowiedniej kontroli, co nie będzie dawało gwarancji odpowiedniej jakości. W związku z tym, najlepszym rozwiązaniem jest opóźnienie wydania wskazanych w przepisie rozporządzeń. </w:t>
      </w:r>
    </w:p>
    <w:p w14:paraId="697C8DBD" w14:textId="2C5397BB" w:rsidR="003C5147" w:rsidRPr="00DC0423" w:rsidRDefault="00E2743E" w:rsidP="007639A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W dalszej kolejności</w:t>
      </w:r>
      <w:r w:rsidR="003C5147">
        <w:rPr>
          <w:rFonts w:ascii="Times New Roman" w:hAnsi="Times New Roman" w:cs="Times New Roman"/>
          <w:sz w:val="24"/>
          <w:szCs w:val="24"/>
        </w:rPr>
        <w:t xml:space="preserve"> ustawy</w:t>
      </w:r>
      <w:r w:rsidR="003C5147" w:rsidRPr="00DC0423">
        <w:rPr>
          <w:rFonts w:ascii="Times New Roman" w:hAnsi="Times New Roman" w:cs="Times New Roman"/>
          <w:sz w:val="24"/>
          <w:szCs w:val="24"/>
        </w:rPr>
        <w:t xml:space="preserve"> wprowadza zmiany do ustawy zmieniającej – pkt 1 dostosowuje do projektowanych zmian art. 17a ustawy, co jest konieczne ze względu na uchylenie w art. 25a ust. 2 i dodanie ust. 3a i 3b.</w:t>
      </w:r>
    </w:p>
    <w:p w14:paraId="6A567515" w14:textId="42CF7142" w:rsidR="003C5147" w:rsidRPr="00DC0423" w:rsidRDefault="00E2743E"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Projekt wprowadza również</w:t>
      </w:r>
      <w:r w:rsidR="003C5147" w:rsidRPr="00DC0423">
        <w:rPr>
          <w:rFonts w:ascii="Times New Roman" w:hAnsi="Times New Roman" w:cs="Times New Roman"/>
          <w:sz w:val="24"/>
          <w:szCs w:val="24"/>
        </w:rPr>
        <w:t xml:space="preserve"> do ustawy </w:t>
      </w:r>
      <w:r>
        <w:rPr>
          <w:rFonts w:ascii="Times New Roman" w:hAnsi="Times New Roman" w:cs="Times New Roman"/>
          <w:sz w:val="24"/>
          <w:szCs w:val="24"/>
        </w:rPr>
        <w:t xml:space="preserve">zmienianej </w:t>
      </w:r>
      <w:r w:rsidR="003C5147" w:rsidRPr="00DC0423">
        <w:rPr>
          <w:rFonts w:ascii="Times New Roman" w:hAnsi="Times New Roman" w:cs="Times New Roman"/>
          <w:sz w:val="24"/>
          <w:szCs w:val="24"/>
        </w:rPr>
        <w:t xml:space="preserve">modyfikacje w art. 25a, w tym uchyla ust. 1, który wskazywał na badanie wodoru w trakcie procesu jego wytwarzania – normę tę wyraża teraz art. 25a ust. 3 ustawy. Ponadto, projekt przewiduje rezygnację z obowiązku wykonywania codziennego badania jakości wodoru w sposób przepływowy (tzw. badanie online), co jest wynikiem uwag zgłoszonych Ministerstwu przez producentów wodoru dotyczących kosztów analizatorów oraz obecnego braku powszechnej instalacji takich urządzeń u polskich producentów wodoru. </w:t>
      </w:r>
      <w:r w:rsidR="00A728EF">
        <w:rPr>
          <w:rFonts w:ascii="Times New Roman" w:hAnsi="Times New Roman" w:cs="Times New Roman"/>
          <w:sz w:val="24"/>
          <w:szCs w:val="24"/>
        </w:rPr>
        <w:t>Wprowadza się</w:t>
      </w:r>
      <w:r w:rsidR="003C5147" w:rsidRPr="00DC0423">
        <w:rPr>
          <w:rFonts w:ascii="Times New Roman" w:hAnsi="Times New Roman" w:cs="Times New Roman"/>
          <w:sz w:val="24"/>
          <w:szCs w:val="24"/>
        </w:rPr>
        <w:t xml:space="preserve"> modyfikacje do art. 25a ust. 3 ustawy, które polegają na określeniu w tym przepisie, że badanie wodoru przeprowadza się w trakcie procesu jego wytwarzania oraz na wprowadzeniu obowiązku wykonania badania raz na 30 dni w zamian za „raz w miesiącu”. Zmiana ta wynika z potencjalnego problemu zgłaszanego przez podmioty branżowe – określenie „raz w miesiącu” budziło obawy, że chodzi jedynie o miesiąc kalendarzowy, co oznaczałoby</w:t>
      </w:r>
      <w:r w:rsidR="007639A6">
        <w:rPr>
          <w:rFonts w:ascii="Times New Roman" w:hAnsi="Times New Roman" w:cs="Times New Roman"/>
          <w:sz w:val="24"/>
          <w:szCs w:val="24"/>
        </w:rPr>
        <w:t>,</w:t>
      </w:r>
      <w:r w:rsidR="003C5147" w:rsidRPr="00DC0423">
        <w:rPr>
          <w:rFonts w:ascii="Times New Roman" w:hAnsi="Times New Roman" w:cs="Times New Roman"/>
          <w:sz w:val="24"/>
          <w:szCs w:val="24"/>
        </w:rPr>
        <w:t xml:space="preserve"> że przed wykonaniem badania na początku kolejnego miesiąca nie byłoby możliwości wystawienia certyfikatu, co blokowałoby sprzedaż wodoru do czasu </w:t>
      </w:r>
      <w:r w:rsidR="003C5147" w:rsidRPr="00DC0423">
        <w:rPr>
          <w:rFonts w:ascii="Times New Roman" w:hAnsi="Times New Roman" w:cs="Times New Roman"/>
          <w:sz w:val="24"/>
          <w:szCs w:val="24"/>
        </w:rPr>
        <w:lastRenderedPageBreak/>
        <w:t xml:space="preserve">uzyskania wyników (co może trwać do kilku dni). Wskazanie okresu 30 dniowego daje gwarancję, że z upływem miesiąca kalendarzowego podmioty będą mogły wykonywać badania tak by sprzedaż produkowanego wodoru odbywała się płynnie. </w:t>
      </w:r>
      <w:r w:rsidR="00A728EF">
        <w:rPr>
          <w:rFonts w:ascii="Times New Roman" w:hAnsi="Times New Roman" w:cs="Times New Roman"/>
          <w:sz w:val="24"/>
          <w:szCs w:val="24"/>
        </w:rPr>
        <w:t>Dodaje się</w:t>
      </w:r>
      <w:r w:rsidR="003C5147" w:rsidRPr="00DC0423">
        <w:rPr>
          <w:rFonts w:ascii="Times New Roman" w:hAnsi="Times New Roman" w:cs="Times New Roman"/>
          <w:sz w:val="24"/>
          <w:szCs w:val="24"/>
        </w:rPr>
        <w:t xml:space="preserve"> w ustawie przepis wymagający od producenta wodoru przeprowadzenia dodatkowego badania jakości co każde 50 ton wodoru wyprodukowanego w danej instalacji w okresie 30 dni. Przepis ten niejako zastępuje uchylany art. 25a ust. 2, stanowiąc uszczelnienie częstotliwości wykonywania badań. Ponadto, ta część projektu wprowadza dodatkowe uproszczenie dla producentów produkujących wodór w procesie elektrolizy, polegające na możliwości wykonywania badania laboratoryjnego raz na kwartał pod warunkiem zapewnienia badania przepływowego. Uproszczenie to jest spowodowane znacznie mniejszą szansą zanieczyszczenia wodoru w tym procesie produkcyjnym. Przy korzystaniu z tego uproszczenia producent obowiązany jest do zapewnienia kontroli w sposób przepływowy wszystkich parametrów poza cząstkami stałymi, co jest spowodowane możliwością pojawienia się tego zanieczyszczenia jedynie w przypadku przeprowadzania serwisów i konserwacji instalacji produkcyjnej. </w:t>
      </w:r>
      <w:r w:rsidR="00A728EF">
        <w:rPr>
          <w:rFonts w:ascii="Times New Roman" w:hAnsi="Times New Roman" w:cs="Times New Roman"/>
          <w:sz w:val="24"/>
          <w:szCs w:val="24"/>
        </w:rPr>
        <w:t>Wprowadza się</w:t>
      </w:r>
      <w:r w:rsidR="003C5147" w:rsidRPr="00DC0423">
        <w:rPr>
          <w:rFonts w:ascii="Times New Roman" w:hAnsi="Times New Roman" w:cs="Times New Roman"/>
          <w:sz w:val="24"/>
          <w:szCs w:val="24"/>
        </w:rPr>
        <w:t xml:space="preserve"> zmiany dostosowujące zapisy ustawy do projektowanych zmian, zaś </w:t>
      </w:r>
      <w:proofErr w:type="spellStart"/>
      <w:r w:rsidR="003C5147" w:rsidRPr="00DC0423">
        <w:rPr>
          <w:rFonts w:ascii="Times New Roman" w:hAnsi="Times New Roman" w:cs="Times New Roman"/>
          <w:sz w:val="24"/>
          <w:szCs w:val="24"/>
        </w:rPr>
        <w:t>tiret</w:t>
      </w:r>
      <w:proofErr w:type="spellEnd"/>
      <w:r w:rsidR="003C5147" w:rsidRPr="00DC0423">
        <w:rPr>
          <w:rFonts w:ascii="Times New Roman" w:hAnsi="Times New Roman" w:cs="Times New Roman"/>
          <w:sz w:val="24"/>
          <w:szCs w:val="24"/>
        </w:rPr>
        <w:t xml:space="preserve"> piąte wprowadza do certyfikatu jakości wodoru informację o terminach przeprowadzenia badań jakości wodoru (w certyfikacie ma znaleźć się informacja o terminie badania, na podstawie którego wystawiono certyfikat) oraz oświadczenie o spełnieniu odpowiednich warunków, w przypadku skorzystania z rzadszego wykonywania badania zgodnie z projektowanym art. 25a ust. 3b. Warunki te są określone w projektowanym art. 25a ust. 3b, gdzie przedsiębiorca, aby wykonywać badanie jedynie raz na kwartał, musi wytwarzać wodór w procesie elektrolizy oraz badać w sposób przepływowy w trakcie wytwarzania wodoru wszystkie parametry poza cząstkami stałymi. Oświadczenie to ma na celu uzyskanie w dokumentacji potwierdzenia spełnienia warunków. Natomiast </w:t>
      </w:r>
      <w:r w:rsidR="00A728EF">
        <w:rPr>
          <w:rFonts w:ascii="Times New Roman" w:hAnsi="Times New Roman" w:cs="Times New Roman"/>
          <w:sz w:val="24"/>
          <w:szCs w:val="24"/>
        </w:rPr>
        <w:t>dodaje się</w:t>
      </w:r>
      <w:r w:rsidR="003C5147" w:rsidRPr="00DC0423">
        <w:rPr>
          <w:rFonts w:ascii="Times New Roman" w:hAnsi="Times New Roman" w:cs="Times New Roman"/>
          <w:sz w:val="24"/>
          <w:szCs w:val="24"/>
        </w:rPr>
        <w:t xml:space="preserve"> przepis wskazujący, że certyfikat jakości wodoru wystawiany przez producenta może mieć formę pisemną lub elektroniczną, co przedsiębiorcom daje wybór zastosowania najwygodniejszej dla nich formy. Zmiana ta również jest wynikiem uwag zgłaszanych przez przedstawicieli branży.</w:t>
      </w:r>
    </w:p>
    <w:p w14:paraId="11D69646" w14:textId="3E702977" w:rsidR="003C5147" w:rsidRPr="00DC0423" w:rsidRDefault="00E2743E"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W dalszej kolejności dokonano</w:t>
      </w:r>
      <w:r w:rsidR="003C5147" w:rsidRPr="00DC0423">
        <w:rPr>
          <w:rFonts w:ascii="Times New Roman" w:hAnsi="Times New Roman" w:cs="Times New Roman"/>
          <w:sz w:val="24"/>
          <w:szCs w:val="24"/>
        </w:rPr>
        <w:t xml:space="preserve"> </w:t>
      </w:r>
      <w:r w:rsidRPr="00DC0423">
        <w:rPr>
          <w:rFonts w:ascii="Times New Roman" w:hAnsi="Times New Roman" w:cs="Times New Roman"/>
          <w:sz w:val="24"/>
          <w:szCs w:val="24"/>
        </w:rPr>
        <w:t>zmian</w:t>
      </w:r>
      <w:r>
        <w:rPr>
          <w:rFonts w:ascii="Times New Roman" w:hAnsi="Times New Roman" w:cs="Times New Roman"/>
          <w:sz w:val="24"/>
          <w:szCs w:val="24"/>
        </w:rPr>
        <w:t>y</w:t>
      </w:r>
      <w:r w:rsidRPr="00DC0423">
        <w:rPr>
          <w:rFonts w:ascii="Times New Roman" w:hAnsi="Times New Roman" w:cs="Times New Roman"/>
          <w:sz w:val="24"/>
          <w:szCs w:val="24"/>
        </w:rPr>
        <w:t xml:space="preserve"> </w:t>
      </w:r>
      <w:r w:rsidR="003C5147" w:rsidRPr="00DC0423">
        <w:rPr>
          <w:rFonts w:ascii="Times New Roman" w:hAnsi="Times New Roman" w:cs="Times New Roman"/>
          <w:sz w:val="24"/>
          <w:szCs w:val="24"/>
        </w:rPr>
        <w:t xml:space="preserve">w art. 25b ust. 2 ustawy </w:t>
      </w:r>
      <w:r w:rsidRPr="00DC0423">
        <w:rPr>
          <w:rFonts w:ascii="Times New Roman" w:hAnsi="Times New Roman" w:cs="Times New Roman"/>
          <w:sz w:val="24"/>
          <w:szCs w:val="24"/>
        </w:rPr>
        <w:t>polegając</w:t>
      </w:r>
      <w:r>
        <w:rPr>
          <w:rFonts w:ascii="Times New Roman" w:hAnsi="Times New Roman" w:cs="Times New Roman"/>
          <w:sz w:val="24"/>
          <w:szCs w:val="24"/>
        </w:rPr>
        <w:t>ej</w:t>
      </w:r>
      <w:r w:rsidRPr="00DC0423">
        <w:rPr>
          <w:rFonts w:ascii="Times New Roman" w:hAnsi="Times New Roman" w:cs="Times New Roman"/>
          <w:sz w:val="24"/>
          <w:szCs w:val="24"/>
        </w:rPr>
        <w:t xml:space="preserve"> </w:t>
      </w:r>
      <w:r w:rsidR="003C5147" w:rsidRPr="00DC0423">
        <w:rPr>
          <w:rFonts w:ascii="Times New Roman" w:hAnsi="Times New Roman" w:cs="Times New Roman"/>
          <w:sz w:val="24"/>
          <w:szCs w:val="24"/>
        </w:rPr>
        <w:t xml:space="preserve">na doprecyzowaniu, że warunki uniemożlwiające zmianę jakości wodoru w próbce podczas transportu powinny być zapewnione zgodnie z najlepszą praktyką i dostępną wiedzą. Zmiana w tym przepisie wynika z faktu, że ustawa nie wskazuje, jakie konkretnie warunki muszą być dochowane, by uniemożliwić zmianę jakości i cech charakterystycznych transportowanej próbki. Projektowane brzmienie wskazuje, że warunki te należy dochować stosując najlepszą praktykę i dostępną wiedzę. </w:t>
      </w:r>
    </w:p>
    <w:p w14:paraId="704FC7A1" w14:textId="3DE64749" w:rsidR="003C5147" w:rsidRPr="00DC0423" w:rsidRDefault="00E2743E" w:rsidP="007639A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 xml:space="preserve">Kolejne zmiany </w:t>
      </w:r>
      <w:proofErr w:type="spellStart"/>
      <w:r>
        <w:rPr>
          <w:rFonts w:ascii="Times New Roman" w:hAnsi="Times New Roman" w:cs="Times New Roman"/>
          <w:sz w:val="24"/>
          <w:szCs w:val="24"/>
        </w:rPr>
        <w:t>uspójniają</w:t>
      </w:r>
      <w:proofErr w:type="spellEnd"/>
      <w:r w:rsidR="003C5147" w:rsidRPr="00DC0423">
        <w:rPr>
          <w:rFonts w:ascii="Times New Roman" w:hAnsi="Times New Roman" w:cs="Times New Roman"/>
          <w:sz w:val="24"/>
          <w:szCs w:val="24"/>
        </w:rPr>
        <w:t xml:space="preserve"> rozwiązania ustawy. Art. 27b ustawy nakłada obowiązek informowania o rozpoczęciu działalności związanej z wytwarzaniem, transportem, magazynowaniem, wprowadzaniem do obrotu, gromadzeniem w stacji zakładowej wodoru oraz prowadzeniem hurtowni wodoru w terminie 14 dni od jej rozpoczęcia. Zarówno w ustawie, jak i ustawie zmieniającej brakuje obecnie przepisu uwzględniającego przedsiębiorców wykonujących ww. rodzaje działalności przed wejściem w życie ustawy, co praktycznie uniemożliwia im dokonanie powiadomienia w terminie 14 dni od faktycznego rozpoczęcia działalności. W związku z powyższym, art. 4 projektu wprowadza przepis przejściowy  dający </w:t>
      </w:r>
      <w:r w:rsidR="003C5147" w:rsidRPr="00DC0423">
        <w:rPr>
          <w:rFonts w:ascii="Times New Roman" w:hAnsi="Times New Roman" w:cs="Times New Roman"/>
          <w:sz w:val="24"/>
          <w:szCs w:val="24"/>
        </w:rPr>
        <w:lastRenderedPageBreak/>
        <w:t>takim przedsiębiorcom możliwość złożenia stosownego powiadomienia ministrowi właściwemu do spraw energii w terminie 14 dni.</w:t>
      </w:r>
    </w:p>
    <w:p w14:paraId="3FAA6147" w14:textId="49916354" w:rsidR="003C5147" w:rsidRPr="00DC0423" w:rsidRDefault="00E2743E" w:rsidP="007639A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Przepis</w:t>
      </w:r>
      <w:r w:rsidR="003C5147" w:rsidRPr="00DC0423">
        <w:rPr>
          <w:rFonts w:ascii="Times New Roman" w:hAnsi="Times New Roman" w:cs="Times New Roman"/>
          <w:sz w:val="24"/>
          <w:szCs w:val="24"/>
        </w:rPr>
        <w:t xml:space="preserve"> przejściowy, którego celem jest jednoznacznie określenie, że po 1 stycznia 2025 r. certyfikaty wydane przez laboratoria, które uzyskały tymczasowo status równorzędny akredytowanym laboratoriom, na podstawie wprowadzanego art. 37b ustawy, pozostaną ważne również wtedy, kiedy przepis ten przestanie obowiązywać i laboratoria te stracą możliwość prowadzenia badań. Przepis ten pozwoli uniknąć wątpliwości w zakresie ważności wydanych na podstawie tych badań certyfikatów jakości, używanych również po 2025 r.</w:t>
      </w:r>
    </w:p>
    <w:p w14:paraId="11F8490C" w14:textId="0A2FE7CF" w:rsidR="003C5147" w:rsidRPr="00DC0423" w:rsidRDefault="00E2743E" w:rsidP="007639A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t>Kolejny przepis przejściowy</w:t>
      </w:r>
      <w:r w:rsidR="003C5147" w:rsidRPr="00DC0423">
        <w:rPr>
          <w:rFonts w:ascii="Times New Roman" w:hAnsi="Times New Roman" w:cs="Times New Roman"/>
          <w:sz w:val="24"/>
          <w:szCs w:val="24"/>
        </w:rPr>
        <w:t xml:space="preserve"> </w:t>
      </w:r>
      <w:r>
        <w:rPr>
          <w:rFonts w:ascii="Times New Roman" w:hAnsi="Times New Roman" w:cs="Times New Roman"/>
          <w:sz w:val="24"/>
          <w:szCs w:val="24"/>
        </w:rPr>
        <w:t>dotyczy</w:t>
      </w:r>
      <w:r w:rsidR="003C5147" w:rsidRPr="00DC0423">
        <w:rPr>
          <w:rFonts w:ascii="Times New Roman" w:hAnsi="Times New Roman" w:cs="Times New Roman"/>
          <w:sz w:val="24"/>
          <w:szCs w:val="24"/>
        </w:rPr>
        <w:t xml:space="preserve"> postępowania z wodorem wydanym przez producenta przed dniem 1 stycznia 2023 r., czyli takim, który w procesie produkcji nie musiał uzyskać certyfikatu jakości wodoru. Przepis zapewnia, że wobec wodoru, wytworzonego przed tą datą, na późniejszych etapach jego wykorzystania nie powstanie obowiązek posiadania certyfikatu (certyfikat jest wydawany na etapie wytwarzania, gdyż wtedy wodór podlega badaniu jakości, zatem jego uzyskanie później w praktyce mogłoby nie być możliwe). W związku z tym, przepis chroni przed ewentualnym retroaktywnym zadziałaniem przepisu karnego z art. 31b ust. 1.</w:t>
      </w:r>
    </w:p>
    <w:p w14:paraId="785E7F9A" w14:textId="53EE2275" w:rsidR="003C5147" w:rsidRDefault="007E74DA"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003C5147">
        <w:rPr>
          <w:rFonts w:ascii="Times New Roman" w:hAnsi="Times New Roman" w:cs="Times New Roman"/>
          <w:sz w:val="24"/>
          <w:szCs w:val="24"/>
        </w:rPr>
        <w:t xml:space="preserve">rojektu ustawy </w:t>
      </w:r>
      <w:r w:rsidR="003C5147" w:rsidRPr="00DC0423">
        <w:rPr>
          <w:rFonts w:ascii="Times New Roman" w:hAnsi="Times New Roman" w:cs="Times New Roman"/>
          <w:sz w:val="24"/>
          <w:szCs w:val="24"/>
        </w:rPr>
        <w:t xml:space="preserve">określa termin wejścia w życie projektowanych zmian na 1 stycznia 2023 r., co wynika z terminu wejścia w życie pozostających obecnie w vacatio legis regulacji włączających wodór do systemu monitorowania i kontrolowania jakości paliw. Późniejszy termin wejścia w życie projektowanych zmian oznaczałby ponadto okresowe utrudnienie dla sprzedaży wodoru </w:t>
      </w:r>
      <w:proofErr w:type="spellStart"/>
      <w:r w:rsidR="003C5147" w:rsidRPr="00DC0423">
        <w:rPr>
          <w:rFonts w:ascii="Times New Roman" w:hAnsi="Times New Roman" w:cs="Times New Roman"/>
          <w:sz w:val="24"/>
          <w:szCs w:val="24"/>
        </w:rPr>
        <w:t>automotive</w:t>
      </w:r>
      <w:proofErr w:type="spellEnd"/>
      <w:r w:rsidR="003C5147" w:rsidRPr="00DC0423">
        <w:rPr>
          <w:rFonts w:ascii="Times New Roman" w:hAnsi="Times New Roman" w:cs="Times New Roman"/>
          <w:sz w:val="24"/>
          <w:szCs w:val="24"/>
        </w:rPr>
        <w:t>.</w:t>
      </w:r>
    </w:p>
    <w:p w14:paraId="48C24D5B" w14:textId="77777777" w:rsidR="0011534B" w:rsidRPr="0011534B" w:rsidRDefault="0011534B" w:rsidP="0011534B">
      <w:pPr>
        <w:suppressAutoHyphens/>
        <w:autoSpaceDE w:val="0"/>
        <w:autoSpaceDN w:val="0"/>
        <w:adjustRightInd w:val="0"/>
        <w:spacing w:after="0" w:line="360" w:lineRule="auto"/>
        <w:jc w:val="both"/>
        <w:rPr>
          <w:rFonts w:ascii="Times" w:eastAsiaTheme="minorEastAsia" w:hAnsi="Times" w:cs="Arial"/>
          <w:b/>
          <w:sz w:val="24"/>
          <w:szCs w:val="20"/>
          <w:lang w:eastAsia="pl-PL"/>
        </w:rPr>
      </w:pPr>
      <w:r w:rsidRPr="0011534B">
        <w:rPr>
          <w:rFonts w:ascii="Times" w:eastAsiaTheme="minorEastAsia" w:hAnsi="Times" w:cs="Arial"/>
          <w:b/>
          <w:sz w:val="24"/>
          <w:szCs w:val="20"/>
          <w:lang w:eastAsia="pl-PL"/>
        </w:rPr>
        <w:t>2.24. Zmiany dotyczące morskiej energetyki wiatrowej</w:t>
      </w:r>
    </w:p>
    <w:p w14:paraId="611E6723" w14:textId="2529CE52" w:rsidR="0011534B" w:rsidRPr="0011534B" w:rsidRDefault="0011534B" w:rsidP="001D22CD">
      <w:pPr>
        <w:suppressAutoHyphens/>
        <w:autoSpaceDE w:val="0"/>
        <w:autoSpaceDN w:val="0"/>
        <w:adjustRightInd w:val="0"/>
        <w:spacing w:after="0" w:line="276" w:lineRule="auto"/>
        <w:jc w:val="both"/>
        <w:rPr>
          <w:rFonts w:ascii="Times" w:eastAsiaTheme="minorEastAsia" w:hAnsi="Times" w:cs="Arial"/>
          <w:bCs/>
          <w:sz w:val="24"/>
          <w:szCs w:val="20"/>
          <w:lang w:eastAsia="pl-PL"/>
        </w:rPr>
      </w:pPr>
      <w:r w:rsidRPr="0011534B">
        <w:rPr>
          <w:rFonts w:ascii="Times" w:eastAsiaTheme="minorEastAsia" w:hAnsi="Times" w:cs="Arial"/>
          <w:bCs/>
          <w:sz w:val="24"/>
          <w:szCs w:val="20"/>
          <w:lang w:eastAsia="pl-PL"/>
        </w:rPr>
        <w:t>Projekt o szczególnej ochronie niektórych odbiorców paliw gazowych w 2023 r. w związku z</w:t>
      </w:r>
      <w:r w:rsidR="003A0216">
        <w:rPr>
          <w:rFonts w:ascii="Times" w:eastAsiaTheme="minorEastAsia" w:hAnsi="Times" w:cs="Arial"/>
          <w:bCs/>
          <w:sz w:val="24"/>
          <w:szCs w:val="20"/>
          <w:lang w:eastAsia="pl-PL"/>
        </w:rPr>
        <w:t> </w:t>
      </w:r>
      <w:r w:rsidRPr="0011534B">
        <w:rPr>
          <w:rFonts w:ascii="Times" w:eastAsiaTheme="minorEastAsia" w:hAnsi="Times" w:cs="Arial"/>
          <w:bCs/>
          <w:sz w:val="24"/>
          <w:szCs w:val="20"/>
          <w:lang w:eastAsia="pl-PL"/>
        </w:rPr>
        <w:t>sytuacją na rynku gazu</w:t>
      </w:r>
      <w:r>
        <w:rPr>
          <w:rFonts w:ascii="Times" w:eastAsiaTheme="minorEastAsia" w:hAnsi="Times" w:cs="Arial"/>
          <w:bCs/>
          <w:sz w:val="24"/>
          <w:szCs w:val="20"/>
          <w:lang w:eastAsia="pl-PL"/>
        </w:rPr>
        <w:t>,</w:t>
      </w:r>
      <w:r w:rsidRPr="0011534B">
        <w:rPr>
          <w:rFonts w:ascii="Times" w:eastAsiaTheme="minorEastAsia" w:hAnsi="Times" w:cs="Arial"/>
          <w:bCs/>
          <w:sz w:val="24"/>
          <w:szCs w:val="20"/>
          <w:lang w:eastAsia="pl-PL"/>
        </w:rPr>
        <w:t xml:space="preserve"> zwany dalej „projektem ustawy”, zawiera przede wszystkim przepisy wprowadzające niezbędne modyfikacje redakcyjno-techniczne w celu wyeliminowania wątpliwości interpretacyjnych. Stanowi to odpowiedź na uwagi zgłoszone w okresie obowiązywania ustawy z dnia 17 grudnia 2020 r. o promowaniu wytwarzania energii elektrycznej w morskich farmach wiatrowych, dalej: ustawa </w:t>
      </w:r>
      <w:proofErr w:type="spellStart"/>
      <w:r w:rsidRPr="0011534B">
        <w:rPr>
          <w:rFonts w:ascii="Times" w:eastAsiaTheme="minorEastAsia" w:hAnsi="Times" w:cs="Arial"/>
          <w:bCs/>
          <w:sz w:val="24"/>
          <w:szCs w:val="20"/>
          <w:lang w:eastAsia="pl-PL"/>
        </w:rPr>
        <w:t>offshore</w:t>
      </w:r>
      <w:proofErr w:type="spellEnd"/>
      <w:r w:rsidRPr="0011534B">
        <w:rPr>
          <w:rFonts w:ascii="Times" w:eastAsiaTheme="minorEastAsia" w:hAnsi="Times" w:cs="Arial"/>
          <w:bCs/>
          <w:sz w:val="24"/>
          <w:szCs w:val="20"/>
          <w:lang w:eastAsia="pl-PL"/>
        </w:rPr>
        <w:t>. Projekt ustawy zawiera także przepisy umożliwiające poprawę warunków inwestycyjnych dla realizowanych projektów morskich farm wiatrowych. Konieczność ich wprowadzenia wynika z ogólnoświatowej sytuacji gospodarczej oraz problemów wywołanych sytuacją pandemiczną oraz inwazją Rosji na Ukrainę.</w:t>
      </w:r>
    </w:p>
    <w:p w14:paraId="7855284F" w14:textId="431C7B45" w:rsidR="00417D5C" w:rsidRPr="00993C40" w:rsidRDefault="001723A7" w:rsidP="001D22CD">
      <w:pPr>
        <w:pStyle w:val="PKTpunkt"/>
        <w:spacing w:before="240" w:line="276" w:lineRule="auto"/>
        <w:ind w:left="0" w:firstLine="0"/>
        <w:rPr>
          <w:rStyle w:val="Ppogrubienie"/>
          <w:rFonts w:asciiTheme="minorHAnsi" w:eastAsiaTheme="minorHAnsi" w:hAnsiTheme="minorHAnsi" w:cstheme="minorBidi"/>
          <w:bCs w:val="0"/>
          <w:sz w:val="22"/>
          <w:szCs w:val="22"/>
          <w:lang w:eastAsia="en-US"/>
        </w:rPr>
      </w:pPr>
      <w:r>
        <w:rPr>
          <w:rStyle w:val="Ppogrubienie"/>
        </w:rPr>
        <w:t>2.25</w:t>
      </w:r>
      <w:r w:rsidR="008604D1">
        <w:rPr>
          <w:rStyle w:val="Ppogrubienie"/>
        </w:rPr>
        <w:t>.</w:t>
      </w:r>
      <w:r>
        <w:rPr>
          <w:rStyle w:val="Ppogrubienie"/>
        </w:rPr>
        <w:t xml:space="preserve"> </w:t>
      </w:r>
      <w:r w:rsidR="00417D5C" w:rsidRPr="00993C40">
        <w:rPr>
          <w:rStyle w:val="Ppogrubienie"/>
        </w:rPr>
        <w:t>Zmiany w</w:t>
      </w:r>
      <w:r w:rsidR="00417D5C">
        <w:rPr>
          <w:rStyle w:val="Ppogrubienie"/>
        </w:rPr>
        <w:t xml:space="preserve"> ustawie</w:t>
      </w:r>
      <w:r w:rsidR="00417D5C" w:rsidRPr="00F25A6A">
        <w:rPr>
          <w:rStyle w:val="Ppogrubienie"/>
        </w:rPr>
        <w:t xml:space="preserve"> z dnia 21 marca 1991 r. o obszarach morskich Rzeczypospolitej Polskiej i administracji morskiej</w:t>
      </w:r>
    </w:p>
    <w:p w14:paraId="75F84F17" w14:textId="77777777" w:rsidR="00417D5C" w:rsidRDefault="00417D5C" w:rsidP="001D22CD">
      <w:pPr>
        <w:pStyle w:val="USTustnpkodeksu"/>
        <w:spacing w:before="120" w:line="276" w:lineRule="auto"/>
        <w:ind w:firstLine="0"/>
      </w:pPr>
      <w:r>
        <w:t xml:space="preserve">Zmiany wprowadzane w art. 23 ust. 6 i 6g ustawy o obszarach morskich </w:t>
      </w:r>
      <w:r w:rsidRPr="00B33DAF">
        <w:t>wynika</w:t>
      </w:r>
      <w:r>
        <w:t>ją</w:t>
      </w:r>
      <w:r w:rsidRPr="00B33DAF">
        <w:t xml:space="preserve"> </w:t>
      </w:r>
      <w:r w:rsidRPr="00B15AEE">
        <w:t xml:space="preserve">z faktu, że </w:t>
      </w:r>
      <w:r w:rsidRPr="00002316">
        <w:t xml:space="preserve">przy obecnym stanie technologii szacowana „żywotność” morskiej farmy wiatrowej może przekraczać nawet 30 lat. Biorąc pod uwagę koszty budowy morskiej farmy wiatrowej oraz potrzeby energetyczne polskiej gospodarki konieczność demontażu </w:t>
      </w:r>
      <w:r>
        <w:t>inwestycji</w:t>
      </w:r>
      <w:r w:rsidRPr="00002316">
        <w:t xml:space="preserve"> tuż po upływie okresu wsparcia byłoby rozwiązaniem wysoce niepożądanym. </w:t>
      </w:r>
    </w:p>
    <w:p w14:paraId="51FF10E0" w14:textId="32EE90CA" w:rsidR="00417D5C" w:rsidRPr="00B15AEE" w:rsidRDefault="00417D5C" w:rsidP="001D22CD">
      <w:pPr>
        <w:pStyle w:val="USTustnpkodeksu"/>
        <w:spacing w:before="120" w:line="276" w:lineRule="auto"/>
        <w:ind w:firstLine="0"/>
      </w:pPr>
      <w:r>
        <w:lastRenderedPageBreak/>
        <w:t>Z</w:t>
      </w:r>
      <w:r w:rsidRPr="00B15AEE">
        <w:t xml:space="preserve">godnie z art. 6 ust. 1 ustawy </w:t>
      </w:r>
      <w:proofErr w:type="spellStart"/>
      <w:r w:rsidRPr="00B15AEE">
        <w:t>offshore</w:t>
      </w:r>
      <w:proofErr w:type="spellEnd"/>
      <w:r w:rsidRPr="00B15AEE">
        <w:t xml:space="preserve"> czas, na który przyznawane będzie wsparcie wynosi 25</w:t>
      </w:r>
      <w:r w:rsidR="003A0216">
        <w:t> </w:t>
      </w:r>
      <w:r w:rsidRPr="00B15AEE">
        <w:t xml:space="preserve">lat od dnia pierwszego wprowadzenia do sieci energii elektrycznej z morskiej farmy wiatrowej, na podstawie uzyskanej koncesji. Prognozuje się, że pierwsze projekty MFW realizowane na podstawie ustawy </w:t>
      </w:r>
      <w:proofErr w:type="spellStart"/>
      <w:r w:rsidRPr="00B15AEE">
        <w:t>offshore</w:t>
      </w:r>
      <w:proofErr w:type="spellEnd"/>
      <w:r w:rsidRPr="00B15AEE">
        <w:t xml:space="preserve"> rozpoczną eksploatację nie wcześniej niż w 2025 r. W związku z tym wsparcie dla tych inwestycji obowiązywać będzie co najmniej do 2050 r. Dla kolejnych projektów termin ten będzie jeszcze bardziej odległy, część z nich będzie miała także zdolność do pracy po zakończeniu 25-letniego okresu wsparcia – czas życia MFW wynosi bowiem około 30 lat. </w:t>
      </w:r>
    </w:p>
    <w:p w14:paraId="41375464" w14:textId="77777777" w:rsidR="00417D5C" w:rsidRPr="00B15AEE" w:rsidRDefault="00417D5C" w:rsidP="001D22CD">
      <w:pPr>
        <w:pStyle w:val="USTustnpkodeksu"/>
        <w:spacing w:before="120" w:line="276" w:lineRule="auto"/>
        <w:ind w:firstLine="0"/>
      </w:pPr>
      <w:r w:rsidRPr="00B15AEE">
        <w:t>Obecne brzmienie art. 23 ust. 6 ustawy o obszarach morskich zakłada, że pozwolenie na wznoszeni</w:t>
      </w:r>
      <w:r>
        <w:t>e</w:t>
      </w:r>
      <w:r w:rsidRPr="00B15AEE">
        <w:t xml:space="preserve"> sztucznych wysp wydaje się na okres nie dłuższy niż 35 lat. W związku z tym w</w:t>
      </w:r>
      <w:r>
        <w:t> </w:t>
      </w:r>
      <w:r w:rsidRPr="00B15AEE">
        <w:t xml:space="preserve">stosunku do pierwszych wydanych PSZW dla </w:t>
      </w:r>
      <w:r>
        <w:t>morskich farm wiatrowych</w:t>
      </w:r>
      <w:r w:rsidRPr="00B15AEE">
        <w:t xml:space="preserve"> okres ten kończy się w roku 2047, co sprawia, że projekty, które uzyskają wsparcie nie będą posiadały PSZW w</w:t>
      </w:r>
      <w:r>
        <w:t> </w:t>
      </w:r>
      <w:r w:rsidRPr="00B15AEE">
        <w:t xml:space="preserve">stosunku do całego okresu wsparcia. </w:t>
      </w:r>
    </w:p>
    <w:p w14:paraId="02AD5334" w14:textId="77777777" w:rsidR="00417D5C" w:rsidRPr="00B15AEE" w:rsidRDefault="00417D5C" w:rsidP="001D22CD">
      <w:pPr>
        <w:pStyle w:val="USTustnpkodeksu"/>
        <w:spacing w:before="120" w:line="276" w:lineRule="auto"/>
        <w:ind w:firstLine="0"/>
      </w:pPr>
      <w:r w:rsidRPr="00B15AEE">
        <w:t>Możliwość przedłużenia PSZW o 20 lat przewidziana została w art. 23 ust. 6g ustawy o</w:t>
      </w:r>
      <w:r>
        <w:t> </w:t>
      </w:r>
      <w:r w:rsidRPr="00B15AEE">
        <w:t>obszarach morskich. Przepis ten zakłada jednak, że przedłużenie obowiązywania tego pozwolenia jest możliwe, jeśli sztuczne wyspy, konstrukcje i urządzenia zostały wzniesione oraz były wykorzystywane zgodnie z wymaganiami określonymi w pozwoleniu. Oznacza to, że w momencie podejmowania decyzji inwestycyjnej, wytwórca nie będzie miał gwarancji, że PSZW zostanie przedłużone (będzie to mogło nastąpić dopiero po zrealizowaniu inwestycji i</w:t>
      </w:r>
      <w:r>
        <w:t> </w:t>
      </w:r>
      <w:r w:rsidRPr="00B15AEE">
        <w:t xml:space="preserve">wykorzystaniu </w:t>
      </w:r>
      <w:r>
        <w:t>morskiej farmy wiatrowej</w:t>
      </w:r>
      <w:r w:rsidRPr="00B15AEE">
        <w:t xml:space="preserve"> przynajmniej przez jakiś czas). </w:t>
      </w:r>
    </w:p>
    <w:p w14:paraId="4E5DA152" w14:textId="77777777" w:rsidR="00417D5C" w:rsidRDefault="00417D5C" w:rsidP="001D22CD">
      <w:pPr>
        <w:pStyle w:val="USTustnpkodeksu"/>
        <w:spacing w:before="120" w:line="276" w:lineRule="auto"/>
        <w:ind w:firstLine="0"/>
      </w:pPr>
      <w:r w:rsidRPr="00B15AEE">
        <w:t xml:space="preserve">W związku z tym, aby zminimalizować ryzyko inwestycyjne w tym zakresie, proponuje się wprowadzenie rozwiązania, zgodnie z którym </w:t>
      </w:r>
      <w:r>
        <w:t xml:space="preserve">PSZW dla morskich farm wiatrowych będzie wydawane </w:t>
      </w:r>
      <w:r w:rsidRPr="00AF3EA2">
        <w:t>na okres od dnia, w którym decyzja stała się ostateczna, do upływu 30 lat od dnia, w którym rozpoczęto wykorzystanie tej morskiej farmy wiatrowej</w:t>
      </w:r>
      <w:r>
        <w:t>.</w:t>
      </w:r>
    </w:p>
    <w:p w14:paraId="79029FCE" w14:textId="77777777" w:rsidR="00417D5C" w:rsidRPr="00B15AEE" w:rsidRDefault="00417D5C" w:rsidP="001D22CD">
      <w:pPr>
        <w:pStyle w:val="USTustnpkodeksu"/>
        <w:spacing w:before="120" w:line="276" w:lineRule="auto"/>
        <w:ind w:firstLine="0"/>
      </w:pPr>
      <w:r>
        <w:t>Zmiany proponowane w art. 26 ust. 5 i 8 uwzględniają także odpowiednie wydłużenie</w:t>
      </w:r>
      <w:r w:rsidRPr="00B15AEE">
        <w:t xml:space="preserve"> pozwoleń i uzgodnień na lokalizację kabli podmorskich, jako niezbędnych dla możliwości faktycznego korzystania z PSZW.</w:t>
      </w:r>
    </w:p>
    <w:p w14:paraId="74B98A95" w14:textId="77777777" w:rsidR="00417D5C" w:rsidRDefault="00417D5C" w:rsidP="001D22CD">
      <w:pPr>
        <w:pStyle w:val="USTustnpkodeksu"/>
        <w:spacing w:before="120" w:line="276" w:lineRule="auto"/>
        <w:ind w:firstLine="0"/>
      </w:pPr>
      <w:r w:rsidRPr="00B15AEE">
        <w:t>Jednocześnie</w:t>
      </w:r>
      <w:r>
        <w:t xml:space="preserve"> </w:t>
      </w:r>
      <w:r w:rsidRPr="00B15AEE">
        <w:t>w</w:t>
      </w:r>
      <w:r>
        <w:t> art. 27b dodano ust. 1aa, który precyzuje termin uiszczenia drugiej transzy opłaty dodatkowej za PSZW dl</w:t>
      </w:r>
      <w:r w:rsidRPr="001B03EE">
        <w:t>a morskich farm wiatrowych</w:t>
      </w:r>
      <w:r w:rsidDel="00AF3EA2">
        <w:t xml:space="preserve"> </w:t>
      </w:r>
      <w:r>
        <w:t>.</w:t>
      </w:r>
    </w:p>
    <w:p w14:paraId="0D0673F0" w14:textId="77777777" w:rsidR="00417D5C" w:rsidRDefault="00417D5C" w:rsidP="001D22CD">
      <w:pPr>
        <w:pStyle w:val="USTustnpkodeksu"/>
        <w:spacing w:before="120" w:line="276" w:lineRule="auto"/>
        <w:ind w:firstLine="0"/>
      </w:pPr>
      <w:r>
        <w:t xml:space="preserve">Zmiana art. 37i ust. 3 ma na celu uwzględnienie także ministrów właściwych do spraw: klimatu, energii i środowiska, jako organów właściwych do otrzymania od dyrektora urzędu morskiego wyników </w:t>
      </w:r>
      <w:r w:rsidRPr="00C23258">
        <w:t xml:space="preserve">oceny </w:t>
      </w:r>
      <w:r>
        <w:t xml:space="preserve">aktualności </w:t>
      </w:r>
      <w:r w:rsidRPr="00C23258">
        <w:t>plan</w:t>
      </w:r>
      <w:r>
        <w:t>ów</w:t>
      </w:r>
      <w:r w:rsidRPr="00C23258">
        <w:t xml:space="preserve"> zagospodarowania przestrzennego morskich wód wewnętrznych, morza terytorialnego i wyłącznej strefy ekonomicznej</w:t>
      </w:r>
      <w:r>
        <w:t xml:space="preserve"> oraz</w:t>
      </w:r>
      <w:r w:rsidRPr="00C23258">
        <w:t xml:space="preserve"> raport</w:t>
      </w:r>
      <w:r>
        <w:t>u</w:t>
      </w:r>
      <w:r w:rsidRPr="00C23258">
        <w:t xml:space="preserve"> o stanie zagospodarowania obszarów morskich</w:t>
      </w:r>
      <w:r>
        <w:t>.</w:t>
      </w:r>
    </w:p>
    <w:p w14:paraId="4B9A70C4" w14:textId="77777777" w:rsidR="00417D5C" w:rsidRDefault="00417D5C" w:rsidP="001D22CD">
      <w:pPr>
        <w:pStyle w:val="USTustnpkodeksu"/>
        <w:spacing w:before="120" w:line="276" w:lineRule="auto"/>
        <w:ind w:firstLine="0"/>
      </w:pPr>
      <w:r>
        <w:t>Dodanie w art. 66a ust. 4 i 5 jest konsekwencją</w:t>
      </w:r>
      <w:r w:rsidRPr="0094399E">
        <w:t xml:space="preserve"> regulacji wyłączających stosowanie art. 23 ust. 6</w:t>
      </w:r>
      <w:r>
        <w:t>a-b</w:t>
      </w:r>
      <w:r w:rsidRPr="0094399E">
        <w:t xml:space="preserve"> ustawy o obszarach morskich w odniesieniu do PS</w:t>
      </w:r>
      <w:r>
        <w:t>Z</w:t>
      </w:r>
      <w:r w:rsidRPr="0094399E">
        <w:t>W wydanych przed 1 czerwca 2019 r. Pominięcie analogicznych rozwiązań dotyczących pozwoleń na lokalizację kabli podmorskich wydaje się być przeoczeniem i będzie prowadziło do rozbieżności w otoczeniu regulacyjnym oraz skutkowało trudnościami</w:t>
      </w:r>
      <w:r>
        <w:t xml:space="preserve"> </w:t>
      </w:r>
      <w:r w:rsidRPr="0094399E">
        <w:t>w prowadzeniu procesu inwestycyjnego.</w:t>
      </w:r>
    </w:p>
    <w:p w14:paraId="2C8B56AA" w14:textId="74A6B971" w:rsidR="00417D5C" w:rsidRPr="00993C40" w:rsidRDefault="001723A7" w:rsidP="001D22CD">
      <w:pPr>
        <w:pStyle w:val="PKTpunkt"/>
        <w:spacing w:before="120" w:line="276" w:lineRule="auto"/>
        <w:ind w:left="0" w:firstLine="0"/>
        <w:rPr>
          <w:rStyle w:val="Ppogrubienie"/>
          <w:rFonts w:eastAsiaTheme="minorHAnsi" w:cs="Times"/>
          <w:bCs w:val="0"/>
          <w:szCs w:val="24"/>
        </w:rPr>
      </w:pPr>
      <w:r>
        <w:rPr>
          <w:rStyle w:val="Ppogrubienie"/>
        </w:rPr>
        <w:t>2.27</w:t>
      </w:r>
      <w:r w:rsidR="008604D1">
        <w:rPr>
          <w:rStyle w:val="Ppogrubienie"/>
        </w:rPr>
        <w:t>.</w:t>
      </w:r>
      <w:r>
        <w:rPr>
          <w:rStyle w:val="Ppogrubienie"/>
        </w:rPr>
        <w:t xml:space="preserve"> </w:t>
      </w:r>
      <w:r w:rsidR="00417D5C" w:rsidRPr="00993C40">
        <w:rPr>
          <w:rStyle w:val="Ppogrubienie"/>
        </w:rPr>
        <w:t>Zmiany w</w:t>
      </w:r>
      <w:r w:rsidR="00417D5C">
        <w:rPr>
          <w:rStyle w:val="Ppogrubienie"/>
        </w:rPr>
        <w:t xml:space="preserve"> ustawie</w:t>
      </w:r>
      <w:r w:rsidR="00417D5C" w:rsidRPr="00F25A6A">
        <w:rPr>
          <w:rStyle w:val="Ppogrubienie"/>
        </w:rPr>
        <w:t xml:space="preserve"> z dnia 7 lipca 1994 r. Prawo budowlane</w:t>
      </w:r>
    </w:p>
    <w:p w14:paraId="7888818F" w14:textId="77777777" w:rsidR="00417D5C" w:rsidRDefault="00417D5C" w:rsidP="001D22CD">
      <w:pPr>
        <w:pStyle w:val="USTustnpkodeksu"/>
        <w:spacing w:before="120" w:line="276" w:lineRule="auto"/>
        <w:ind w:firstLine="0"/>
      </w:pPr>
      <w:r>
        <w:lastRenderedPageBreak/>
        <w:t xml:space="preserve">Dodanie </w:t>
      </w:r>
      <w:r w:rsidRPr="00D221C2">
        <w:t xml:space="preserve">art. 82c </w:t>
      </w:r>
      <w:r>
        <w:t xml:space="preserve">wynika z faktu, że </w:t>
      </w:r>
      <w:r w:rsidRPr="00D221C2">
        <w:t xml:space="preserve">brak </w:t>
      </w:r>
      <w:r>
        <w:t xml:space="preserve">jest </w:t>
      </w:r>
      <w:r w:rsidRPr="00D221C2">
        <w:t xml:space="preserve">przepisów, które określałyby właściwość miejscową wojewody na morskich wodach wewnętrznych, morzu terytorialnym i w wyłącznej strefie ekonomicznej. </w:t>
      </w:r>
      <w:r>
        <w:t xml:space="preserve">W tej kwestii były podnoszone zarówno przez wojewodów, a </w:t>
      </w:r>
      <w:r w:rsidRPr="004624A7">
        <w:t xml:space="preserve">także przez inwestorów realizujących projekty </w:t>
      </w:r>
      <w:r>
        <w:t>morskich farm wiatrowych</w:t>
      </w:r>
      <w:r w:rsidRPr="004624A7">
        <w:t xml:space="preserve">, którzy wskazują na potrzebę jednoznacznego uregulowaniu tej kwestii. Uregulowanie kwestii właściwości miejscowej organu wydającego pozwolenie na budowę dla </w:t>
      </w:r>
      <w:r>
        <w:t>morskiej farmy wiatrowej</w:t>
      </w:r>
      <w:r w:rsidRPr="004624A7">
        <w:t xml:space="preserve"> pozwoli na ograniczenie ryzyka w zakresie możliwości podważenia wydawanych decyzji o pozwoleniu na budowę z uwagi na wydanie decyzji z naruszeniem przepisów o właściwości</w:t>
      </w:r>
      <w:r w:rsidRPr="00D221C2">
        <w:t>.</w:t>
      </w:r>
    </w:p>
    <w:p w14:paraId="3BD74E67" w14:textId="40A86706" w:rsidR="00417D5C" w:rsidRPr="00993C40" w:rsidRDefault="001723A7" w:rsidP="001D22CD">
      <w:pPr>
        <w:pStyle w:val="PKTpunkt"/>
        <w:spacing w:before="120" w:line="276" w:lineRule="auto"/>
        <w:ind w:left="0" w:firstLine="0"/>
        <w:rPr>
          <w:rStyle w:val="Ppogrubienie"/>
          <w:rFonts w:eastAsiaTheme="minorHAnsi" w:cs="Times"/>
          <w:bCs w:val="0"/>
          <w:szCs w:val="24"/>
        </w:rPr>
      </w:pPr>
      <w:r>
        <w:rPr>
          <w:rStyle w:val="Ppogrubienie"/>
        </w:rPr>
        <w:t>2.28</w:t>
      </w:r>
      <w:r w:rsidR="008604D1">
        <w:rPr>
          <w:rStyle w:val="Ppogrubienie"/>
        </w:rPr>
        <w:t>.</w:t>
      </w:r>
      <w:r>
        <w:rPr>
          <w:rStyle w:val="Ppogrubienie"/>
        </w:rPr>
        <w:t xml:space="preserve"> </w:t>
      </w:r>
      <w:r w:rsidR="00417D5C" w:rsidRPr="00993C40">
        <w:rPr>
          <w:rStyle w:val="Ppogrubienie"/>
        </w:rPr>
        <w:t>Zmiany w</w:t>
      </w:r>
      <w:r w:rsidR="00417D5C">
        <w:rPr>
          <w:rStyle w:val="Ppogrubienie"/>
        </w:rPr>
        <w:t xml:space="preserve"> ustawie z</w:t>
      </w:r>
      <w:r w:rsidR="00417D5C" w:rsidRPr="00F25A6A">
        <w:rPr>
          <w:rStyle w:val="Ppogrubienie"/>
        </w:rPr>
        <w:t xml:space="preserve"> dnia 3 października 2008 r. o udostępnianiu informacji o środowisku i jego ochronie, udziale społeczeństwa w ochronie środowiska oraz o ocenach oddziaływania na środowisko</w:t>
      </w:r>
    </w:p>
    <w:p w14:paraId="4DE79032" w14:textId="20291B7C" w:rsidR="00417D5C" w:rsidRDefault="00061F50" w:rsidP="001D22CD">
      <w:pPr>
        <w:pStyle w:val="USTustnpkodeksu"/>
        <w:spacing w:before="120" w:line="276" w:lineRule="auto"/>
        <w:ind w:firstLine="0"/>
      </w:pPr>
      <w:r>
        <w:t>Wprowadza się</w:t>
      </w:r>
      <w:r w:rsidR="00417D5C">
        <w:t xml:space="preserve"> zmiany w art. 72 ust. 4b ustawy</w:t>
      </w:r>
      <w:r w:rsidR="00417D5C" w:rsidRPr="0094399E">
        <w:t xml:space="preserve"> z dnia 3 października 2008 r. o</w:t>
      </w:r>
      <w:r w:rsidR="00417D5C">
        <w:t> </w:t>
      </w:r>
      <w:r w:rsidR="00417D5C" w:rsidRPr="0094399E">
        <w:t>udostępnianiu informacji o środowisku i jego ochronie, udziale społeczeństwa w ochronie środowiska oraz o ocenach oddziaływania na środowisko</w:t>
      </w:r>
      <w:r w:rsidR="00417D5C">
        <w:t xml:space="preserve">. </w:t>
      </w:r>
      <w:r w:rsidR="00417D5C" w:rsidRPr="007D418E">
        <w:t xml:space="preserve">Zgodnie z generalnymi zasadami, wyrażonymi w art. 72 ust. 3 o udostępnianiu informacji o środowisku i jego ochronie, złożenie wniosku lub dokonanie zgłoszenia, o których mowa w art. 72 ust. 1 (takich jak pozwolenie na budowę, warunki zabudowy czy decyzji o ustaleniu lokalizacji strategicznej inwestycji sieci przesyłowej) musi nastąpić w ciągu 6 lat od dnia, w którym decyzja o środowiskowych uwarunkowaniach stała się ostateczna. Jednocześnie jednak, ust. 4b przewiduje, że termin ten w przypadku obiektów energetyki jądrowej lub inwestycji towarzyszącej oraz inwestycji terminalowej wynosi 10 lat. Mając na uwadze długotrwały okres przygotowania realizacji inwestycji w zakresie morskich farm wiatrowych, a także potencjalną konieczność sporządzania projektów zamiennych na etapie budowy morskiej farmy wiatrowej m.in. ze względu na możliwość wystąpienia niemożliwych do wcześniejszego zdiagnozowania trudności geologicznych </w:t>
      </w:r>
      <w:r w:rsidR="00417D5C">
        <w:t xml:space="preserve">proponuje się przyjęcie </w:t>
      </w:r>
      <w:r w:rsidR="00417D5C" w:rsidRPr="007D418E">
        <w:t>terminu 10-letniego również w odniesieniu do t</w:t>
      </w:r>
      <w:r w:rsidR="00417D5C">
        <w:t>ych</w:t>
      </w:r>
      <w:r w:rsidR="00417D5C" w:rsidRPr="007D418E">
        <w:t xml:space="preserve"> inwestycji.</w:t>
      </w:r>
    </w:p>
    <w:p w14:paraId="08392DAD" w14:textId="0CFE48E9" w:rsidR="00417D5C" w:rsidRPr="00993C40" w:rsidRDefault="001723A7" w:rsidP="001D22CD">
      <w:pPr>
        <w:pStyle w:val="PKTpunkt"/>
        <w:spacing w:before="120" w:line="276" w:lineRule="auto"/>
        <w:ind w:left="0" w:firstLine="0"/>
        <w:rPr>
          <w:rStyle w:val="Ppogrubienie"/>
          <w:rFonts w:eastAsiaTheme="minorHAnsi" w:cs="Times"/>
          <w:bCs w:val="0"/>
          <w:szCs w:val="24"/>
        </w:rPr>
      </w:pPr>
      <w:r>
        <w:rPr>
          <w:rStyle w:val="Ppogrubienie"/>
        </w:rPr>
        <w:t>2.29</w:t>
      </w:r>
      <w:r w:rsidR="008604D1">
        <w:rPr>
          <w:rStyle w:val="Ppogrubienie"/>
        </w:rPr>
        <w:t>.</w:t>
      </w:r>
      <w:r>
        <w:rPr>
          <w:rStyle w:val="Ppogrubienie"/>
        </w:rPr>
        <w:t xml:space="preserve"> </w:t>
      </w:r>
      <w:r w:rsidR="00417D5C" w:rsidRPr="00993C40">
        <w:rPr>
          <w:rStyle w:val="Ppogrubienie"/>
        </w:rPr>
        <w:t>Zmiany w</w:t>
      </w:r>
      <w:r w:rsidR="00417D5C">
        <w:rPr>
          <w:rStyle w:val="Ppogrubienie"/>
        </w:rPr>
        <w:t xml:space="preserve"> ustawie z</w:t>
      </w:r>
      <w:r w:rsidR="00417D5C" w:rsidRPr="00F25A6A">
        <w:rPr>
          <w:rStyle w:val="Ppogrubienie"/>
        </w:rPr>
        <w:t xml:space="preserve"> </w:t>
      </w:r>
      <w:r w:rsidR="00417D5C" w:rsidRPr="00390E65">
        <w:rPr>
          <w:rStyle w:val="Ppogrubienie"/>
        </w:rPr>
        <w:t>dnia 18 sierpnia 2011 r. o bezpieczeństwie morskim</w:t>
      </w:r>
    </w:p>
    <w:p w14:paraId="1499EF23" w14:textId="662E77A1" w:rsidR="00417D5C" w:rsidRDefault="00061F50" w:rsidP="001D22CD">
      <w:pPr>
        <w:pStyle w:val="USTustnpkodeksu"/>
        <w:spacing w:before="120" w:line="276" w:lineRule="auto"/>
        <w:ind w:firstLine="0"/>
      </w:pPr>
      <w:r>
        <w:t>Dokonuje</w:t>
      </w:r>
      <w:r w:rsidR="00417D5C">
        <w:t xml:space="preserve"> się zmian w </w:t>
      </w:r>
      <w:r w:rsidR="00417D5C" w:rsidRPr="007D418E">
        <w:t>ustawie z dnia 18 sierpnia 2011 r. o bezpieczeństwie morskim</w:t>
      </w:r>
      <w:r w:rsidR="00417D5C">
        <w:t xml:space="preserve">, poprzez dodanie </w:t>
      </w:r>
      <w:r w:rsidR="00417D5C" w:rsidRPr="007D418E">
        <w:t>w art. 113g ust. 1a</w:t>
      </w:r>
      <w:r w:rsidR="00417D5C">
        <w:t>.</w:t>
      </w:r>
      <w:r w:rsidR="00417D5C" w:rsidRPr="007D418E">
        <w:t xml:space="preserve"> Proponowana zmiana </w:t>
      </w:r>
      <w:r w:rsidR="00417D5C">
        <w:t xml:space="preserve">ma na celu ułatwienie procedur oraz </w:t>
      </w:r>
      <w:r w:rsidR="00417D5C" w:rsidRPr="007D418E">
        <w:t xml:space="preserve">zakłada </w:t>
      </w:r>
      <w:r w:rsidR="00417D5C" w:rsidRPr="00241103">
        <w:t>wykluczenie z obowiązku certyfikacji lądowej części zespołu urządzeń do wyprowadzania mocy z morskich farm wiatrowych, wprowadzając tym samym podejście stosowane na innych rynkach. Część lądowa infrastruktury służącej do wyprowadzenia mocy z</w:t>
      </w:r>
      <w:r w:rsidR="003A0216">
        <w:t> </w:t>
      </w:r>
      <w:r w:rsidR="00417D5C" w:rsidRPr="00241103">
        <w:t>morskich farm wiatrowych nie różni się od innej tego typu infrastruktury realizowanej z</w:t>
      </w:r>
      <w:r w:rsidR="00417D5C">
        <w:t> </w:t>
      </w:r>
      <w:r w:rsidR="00417D5C" w:rsidRPr="00241103">
        <w:t>powodzeniem dla lądowych projektów energetycznych, dla których to tego typu dodatkowe certyfikaty nie są wymagane</w:t>
      </w:r>
      <w:r w:rsidR="00417D5C" w:rsidRPr="007D418E">
        <w:t xml:space="preserve">. Na żadnych znanych </w:t>
      </w:r>
      <w:r w:rsidR="00417D5C">
        <w:t>r</w:t>
      </w:r>
      <w:r w:rsidR="00417D5C" w:rsidRPr="007D418E">
        <w:t>ynkach, na których funkcjonuje morska energetyka wiatrowa, zakres certyfikacji projektów nie obejmuje infrastruktury wyprowadzenia mocy zlokalizowanej w części lądowej. Wiąże się to przede wszystkim z</w:t>
      </w:r>
      <w:r w:rsidR="00417D5C">
        <w:t> </w:t>
      </w:r>
      <w:r w:rsidR="00417D5C" w:rsidRPr="007D418E">
        <w:t>faktem, że istotą certyfikacji morskich farm wiatrowych jest przede wszystkim potwierdzenie zgodności przygotowanych projektów z normami i standardami technicznymi stosowanymi w</w:t>
      </w:r>
      <w:r w:rsidR="00417D5C">
        <w:t> </w:t>
      </w:r>
      <w:r w:rsidR="00417D5C" w:rsidRPr="007D418E">
        <w:t>tej branży, w celu potwierdzenia bezpieczeństwa i integralności strukturalnej zaprojektowanych konstrukcji. Stąd w większości krajów w ramach morskich farm wiatrowych, certyfikacji podlegają jedynie obiekty takie jak: konstrukcje wsporcze wraz z</w:t>
      </w:r>
      <w:r w:rsidR="00417D5C">
        <w:t> </w:t>
      </w:r>
      <w:r w:rsidR="00417D5C" w:rsidRPr="007D418E">
        <w:t xml:space="preserve">turbinami oraz morskie stacje </w:t>
      </w:r>
      <w:r w:rsidR="00417D5C" w:rsidRPr="007D418E">
        <w:lastRenderedPageBreak/>
        <w:t>elektroenergetyczne. W niektórych przypadkach certyfikowane są również kable wewnętrzne, a najrzadziej kable eksportowe, lecz jedynie w części morskiej. W odniesieniu do projektów obecnie realizowanych, opóźnienie w realizacji inwestycji jest tym bardziej realne ze względu na konieczność wypracowania nowych norm i standardów dla certyfikacji infrastruktury lądowej, ze względu na fakt, iż do tej pory taka infrastruktura nie podlegała certyfikacji w</w:t>
      </w:r>
      <w:r w:rsidR="003A0216">
        <w:t> </w:t>
      </w:r>
      <w:r w:rsidR="00417D5C" w:rsidRPr="007D418E">
        <w:t>ramach projektów morskich farm wiatrowych.</w:t>
      </w:r>
    </w:p>
    <w:p w14:paraId="3E5054E9" w14:textId="78B2F869" w:rsidR="00417D5C" w:rsidRPr="00993C40" w:rsidRDefault="001723A7" w:rsidP="001D22CD">
      <w:pPr>
        <w:pStyle w:val="PKTpunkt"/>
        <w:spacing w:before="120" w:line="276" w:lineRule="auto"/>
        <w:ind w:left="0" w:firstLine="0"/>
        <w:rPr>
          <w:rStyle w:val="Ppogrubienie"/>
          <w:rFonts w:eastAsiaTheme="minorHAnsi" w:cs="Times"/>
          <w:bCs w:val="0"/>
          <w:szCs w:val="24"/>
        </w:rPr>
      </w:pPr>
      <w:r>
        <w:rPr>
          <w:rStyle w:val="Ppogrubienie"/>
        </w:rPr>
        <w:t>2.30</w:t>
      </w:r>
      <w:r w:rsidR="008604D1">
        <w:rPr>
          <w:rStyle w:val="Ppogrubienie"/>
        </w:rPr>
        <w:t>.</w:t>
      </w:r>
      <w:r>
        <w:rPr>
          <w:rStyle w:val="Ppogrubienie"/>
        </w:rPr>
        <w:t xml:space="preserve"> </w:t>
      </w:r>
      <w:r w:rsidR="00417D5C" w:rsidRPr="00993C40">
        <w:rPr>
          <w:rStyle w:val="Ppogrubienie"/>
        </w:rPr>
        <w:t>Zmiany w</w:t>
      </w:r>
      <w:r w:rsidR="00417D5C">
        <w:rPr>
          <w:rStyle w:val="Ppogrubienie"/>
        </w:rPr>
        <w:t xml:space="preserve"> ustawie</w:t>
      </w:r>
      <w:r w:rsidR="00417D5C" w:rsidRPr="00390E65">
        <w:t xml:space="preserve"> </w:t>
      </w:r>
      <w:r w:rsidR="00417D5C" w:rsidRPr="00390E65">
        <w:rPr>
          <w:rStyle w:val="Ppogrubienie"/>
        </w:rPr>
        <w:t>z dnia 20 lipca 2017 r. - Prawo wodne</w:t>
      </w:r>
    </w:p>
    <w:p w14:paraId="2AD656B9" w14:textId="77777777" w:rsidR="00417D5C" w:rsidRDefault="00417D5C" w:rsidP="001D22CD">
      <w:pPr>
        <w:pStyle w:val="USTustnpkodeksu"/>
        <w:spacing w:before="120" w:line="276" w:lineRule="auto"/>
        <w:ind w:firstLine="0"/>
      </w:pPr>
      <w:r>
        <w:t xml:space="preserve">W art. 395 dodano pkt 17 - w związku z często pojawiającymi się zapytaniami w kwestii konieczności uzyskania </w:t>
      </w:r>
      <w:r w:rsidRPr="00B12CB5">
        <w:t>pozwolenia wodnoprawnego oraz dokonywania zgłoszenia wodnoprawnego na ułożenie i utrzymywanie na obszarach morskich wód wewnętrznych i</w:t>
      </w:r>
      <w:r>
        <w:t> </w:t>
      </w:r>
      <w:r w:rsidRPr="00B12CB5">
        <w:t>morza terytorialnego kabli służących do wyprowadzenia mocy z morskich farm wiatrowych, dla których wydane zostało pozwolenie, o którym mowa w art. 26 ust. 1 ustawy o obszarach morskich</w:t>
      </w:r>
      <w:r>
        <w:t xml:space="preserve">. Zdecydowano się doprecyzować przepisy ustawy - Prawo wodne tak, aby jednoznacznie wynikało z nich, że </w:t>
      </w:r>
      <w:r w:rsidRPr="00B12CB5">
        <w:t xml:space="preserve">na układanie kabli na obszarach morskich </w:t>
      </w:r>
      <w:r w:rsidRPr="00B24336">
        <w:t>nie jest wymagane uzyskanie zgód</w:t>
      </w:r>
      <w:r>
        <w:t xml:space="preserve"> </w:t>
      </w:r>
      <w:r w:rsidRPr="00B24336">
        <w:t xml:space="preserve">wodnoprawnych, o których mowa w art. 389 pkt 6 oraz art. 394 ust. 1 pkt 6 ustawy </w:t>
      </w:r>
      <w:r>
        <w:t>- Prawo wodne.</w:t>
      </w:r>
      <w:r w:rsidRPr="00B24336">
        <w:t xml:space="preserve"> </w:t>
      </w:r>
    </w:p>
    <w:p w14:paraId="7BC9B625" w14:textId="77777777" w:rsidR="00417D5C" w:rsidRDefault="00417D5C" w:rsidP="001D22CD">
      <w:pPr>
        <w:pStyle w:val="USTustnpkodeksu"/>
        <w:spacing w:before="120" w:line="276" w:lineRule="auto"/>
      </w:pPr>
    </w:p>
    <w:p w14:paraId="2715A86E" w14:textId="5EF2FEF1" w:rsidR="00B06762" w:rsidRPr="0084767D" w:rsidRDefault="001723A7" w:rsidP="001D22CD">
      <w:pPr>
        <w:pStyle w:val="PKTpunkt"/>
        <w:spacing w:line="276" w:lineRule="auto"/>
        <w:ind w:left="0" w:firstLine="0"/>
        <w:rPr>
          <w:rStyle w:val="Ppogrubienie"/>
          <w:rFonts w:eastAsiaTheme="minorHAnsi" w:cs="Times"/>
          <w:bCs w:val="0"/>
          <w:szCs w:val="24"/>
        </w:rPr>
      </w:pPr>
      <w:r>
        <w:rPr>
          <w:rStyle w:val="Ppogrubienie"/>
        </w:rPr>
        <w:t>2.31</w:t>
      </w:r>
      <w:r w:rsidR="008604D1">
        <w:rPr>
          <w:rStyle w:val="Ppogrubienie"/>
        </w:rPr>
        <w:t>.</w:t>
      </w:r>
      <w:r>
        <w:rPr>
          <w:rStyle w:val="Ppogrubienie"/>
        </w:rPr>
        <w:t xml:space="preserve"> </w:t>
      </w:r>
      <w:r w:rsidR="00B06762" w:rsidRPr="0084767D">
        <w:rPr>
          <w:rStyle w:val="Ppogrubienie"/>
        </w:rPr>
        <w:t xml:space="preserve">Zmiany w </w:t>
      </w:r>
      <w:bookmarkStart w:id="7" w:name="_Hlk118902990"/>
      <w:r w:rsidR="00B06762" w:rsidRPr="0084767D">
        <w:rPr>
          <w:rStyle w:val="Ppogrubienie"/>
        </w:rPr>
        <w:t>ustawie z dnia 17 grudnia 2020 r. o promowaniu wytwarzania energii elektrycznej w morskich farmach wiatrowych</w:t>
      </w:r>
      <w:bookmarkEnd w:id="7"/>
    </w:p>
    <w:p w14:paraId="04EB53B0" w14:textId="77777777" w:rsidR="00B06762" w:rsidRPr="00B33DAF" w:rsidRDefault="00B06762" w:rsidP="001D22CD">
      <w:pPr>
        <w:pStyle w:val="USTustnpkodeksu"/>
        <w:spacing w:before="120" w:line="276" w:lineRule="auto"/>
        <w:ind w:firstLine="0"/>
      </w:pPr>
      <w:r w:rsidRPr="00B33DAF">
        <w:t xml:space="preserve">Modyfikacja art. 10 ust. 3 ustawy </w:t>
      </w:r>
      <w:proofErr w:type="spellStart"/>
      <w:r w:rsidRPr="00B33DAF">
        <w:t>offshore</w:t>
      </w:r>
      <w:proofErr w:type="spellEnd"/>
      <w:r w:rsidRPr="00B33DAF">
        <w:t xml:space="preserve"> ma na celu poprawienie błędnych odesłań.</w:t>
      </w:r>
    </w:p>
    <w:p w14:paraId="52F6449A" w14:textId="77777777" w:rsidR="00B06762" w:rsidRPr="00B33DAF" w:rsidRDefault="00B06762" w:rsidP="001D22CD">
      <w:pPr>
        <w:pStyle w:val="USTustnpkodeksu"/>
        <w:spacing w:before="120" w:line="276" w:lineRule="auto"/>
        <w:ind w:firstLine="0"/>
      </w:pPr>
      <w:r w:rsidRPr="00B33DAF">
        <w:t xml:space="preserve">Zmiana w art. 11 ma na celu uspójnienie terminologiczne pomiędzy art. 11, który w obowiązującym brzmieniu odnosi się do „umowy przenoszącej własność”, a art. 58-62, które mówią o „umowie sprzedaży” zespołu urządzeń służących do wyprowadzenia mocy. </w:t>
      </w:r>
      <w:r>
        <w:t>Zmiana</w:t>
      </w:r>
      <w:r w:rsidRPr="00B33DAF">
        <w:t xml:space="preserve"> doprecyzowuje również, że art. 11 stosuje się także do przypadku, w którym treść umowy sprzedaży zespołu urządzeń została określona zgodnie z art. 58 ust. 8.</w:t>
      </w:r>
    </w:p>
    <w:p w14:paraId="4CB2B497" w14:textId="77777777" w:rsidR="00B06762" w:rsidRPr="00B33DAF" w:rsidRDefault="00B06762" w:rsidP="001D22CD">
      <w:pPr>
        <w:pStyle w:val="USTustnpkodeksu"/>
        <w:spacing w:before="120" w:line="276" w:lineRule="auto"/>
        <w:ind w:firstLine="0"/>
      </w:pPr>
      <w:r w:rsidRPr="00B33DAF">
        <w:t>Modyfikacja art. 16 ust. 2 pkt 3 lit. b ma na celu doprecyzowanie przepisu w zakresie informacji o terminie wypłaty ujemnego salda, zawartej w decyzji Prezesa U</w:t>
      </w:r>
      <w:r>
        <w:t xml:space="preserve">rzędu </w:t>
      </w:r>
      <w:r w:rsidRPr="00B33DAF">
        <w:t>R</w:t>
      </w:r>
      <w:r>
        <w:t xml:space="preserve">egulacji </w:t>
      </w:r>
      <w:r w:rsidRPr="00B33DAF">
        <w:t>E</w:t>
      </w:r>
      <w:r>
        <w:t>nergetyki, zwanego dalej „Prezesem URE”</w:t>
      </w:r>
      <w:r w:rsidRPr="00B33DAF">
        <w:t>. Wskazano, że wypłata ujemnego salda nastąpi po wydaniu przez Komisję Europejską decyzji o zgodności tej pomocy publicznej z rynkiem wewnętrznym oraz po dniu wydania przez Prezesa URE decyzji, o której mowa w art. 18 ust. 1. Wcześniejsza redakcja przepisu</w:t>
      </w:r>
      <w:r>
        <w:t xml:space="preserve"> mogła s</w:t>
      </w:r>
      <w:r w:rsidRPr="00B33DAF">
        <w:t>ugerowa</w:t>
      </w:r>
      <w:r>
        <w:t>ć</w:t>
      </w:r>
      <w:r w:rsidRPr="00B33DAF">
        <w:t>, iż decyzja Prezesa URE staje się ostateczna po upływie terminu do wniesienia odwołania do Sądu Okręgowego w</w:t>
      </w:r>
      <w:r>
        <w:t> </w:t>
      </w:r>
      <w:r w:rsidRPr="00B33DAF">
        <w:t xml:space="preserve">Warszawie – sądu ochrony konkurencji i konsumentów, co w kontekście przepisów Kodeksu postepowania administracyjnego oraz art. 74 i art. 79 ustawy </w:t>
      </w:r>
      <w:proofErr w:type="spellStart"/>
      <w:r w:rsidRPr="00B33DAF">
        <w:t>offshore</w:t>
      </w:r>
      <w:proofErr w:type="spellEnd"/>
      <w:r w:rsidRPr="00B33DAF">
        <w:t xml:space="preserve"> budziło wątpliwości. Należy bowiem zauważyć, że w toku instancji administracyjnej nie przysługuje żaden środek odwoławczy od decyzji Prezesa URE wydanych na podstawie ustawy </w:t>
      </w:r>
      <w:proofErr w:type="spellStart"/>
      <w:r w:rsidRPr="00B33DAF">
        <w:t>offshore</w:t>
      </w:r>
      <w:proofErr w:type="spellEnd"/>
      <w:r w:rsidRPr="00B33DAF">
        <w:t>. Wobec tego od momentu wydania decyzje te mają charakter ostateczny. Analogiczn</w:t>
      </w:r>
      <w:r>
        <w:t>ej</w:t>
      </w:r>
      <w:r w:rsidRPr="00B33DAF">
        <w:t xml:space="preserve"> zmian</w:t>
      </w:r>
      <w:r>
        <w:t>y</w:t>
      </w:r>
      <w:r w:rsidRPr="00B33DAF">
        <w:t xml:space="preserve"> do</w:t>
      </w:r>
      <w:r>
        <w:t>konano w</w:t>
      </w:r>
      <w:r w:rsidRPr="00B33DAF">
        <w:t xml:space="preserve"> art. 71.</w:t>
      </w:r>
    </w:p>
    <w:p w14:paraId="7EC6ED3A" w14:textId="77777777" w:rsidR="00B06762" w:rsidRDefault="00B06762" w:rsidP="001D22CD">
      <w:pPr>
        <w:pStyle w:val="USTustnpkodeksu"/>
        <w:spacing w:before="120" w:line="276" w:lineRule="auto"/>
        <w:ind w:firstLine="0"/>
      </w:pPr>
      <w:r w:rsidRPr="00B33DAF">
        <w:t xml:space="preserve">Zmiana art. 16 ust. 3 pkt 2 ma na celu wprowadzenie poprawki o charakterze techniczno-legislacyjnym. Zmiany art. 16 ust. 4 pkt 4 i art. 27 ust. 2 pkt 3 dotyczą odesłania do definicji przedsiębiorstwa w trudnej sytuacji w rozumieniu wytycznych dotyczących pomocy na ratowanie i restrukturyzację. Zmiana ta </w:t>
      </w:r>
      <w:r w:rsidRPr="00D71E9E">
        <w:t xml:space="preserve">nie powoduje konieczności ponownej weryfikacji </w:t>
      </w:r>
      <w:r w:rsidRPr="00D71E9E">
        <w:lastRenderedPageBreak/>
        <w:t>trudnej sytuacji</w:t>
      </w:r>
      <w:r>
        <w:t>,</w:t>
      </w:r>
      <w:r w:rsidRPr="00B33DAF">
        <w:t xml:space="preserve"> ma charakter legislacyjn</w:t>
      </w:r>
      <w:r>
        <w:t>o-porządkowy</w:t>
      </w:r>
      <w:r w:rsidRPr="00D71E9E">
        <w:t xml:space="preserve"> i nie wymaga zmiany wydanych już decyzji</w:t>
      </w:r>
      <w:r w:rsidRPr="00B33DAF">
        <w:t>. W miejsce odesłania do komunikatu Komisji, proponuje się odesłanie do przedsiębiorstwa w trudnej sytuacji w rozumieniu art. 2 pkt 18 lit. a-c lub e rozporządzenia Komisji (UE) nr 651/2014 z dnia 17 czerwca 2014 r. uznającego niektóre rodzaje pomocy za zgodne z rynkiem wewnętrznym w zastosowaniu art. 107 i 108 Traktatu.</w:t>
      </w:r>
    </w:p>
    <w:p w14:paraId="3087CB3F" w14:textId="5C815A16" w:rsidR="00B06762" w:rsidRDefault="00B06762" w:rsidP="001D22CD">
      <w:pPr>
        <w:pStyle w:val="USTustnpkodeksu"/>
        <w:spacing w:before="120" w:line="276" w:lineRule="auto"/>
        <w:ind w:firstLine="0"/>
      </w:pPr>
      <w:r>
        <w:t xml:space="preserve">Zmiana w art. 18 ust. 6 stanowi doprecyzowanie pierwotnej intencji prawodawcy, w obecnym brzmieniu przepisu nie wybrzmiewa ona bowiem jednoznacznie. Mianowicie, intencją prawodawcy od początku było, aby Prezes URE mógł zasięgnąć opinii niezależnego eksperta, którym może być wybrany przez niego, kompetentny w tym zakresie podmiot (rzetelna ocena tych kompetencji należy do Prezesa URE), a w szczególności biegły rewident </w:t>
      </w:r>
      <w:r w:rsidRPr="0080761D">
        <w:t>w rozumieniu ustawy z dnia 11 maja 2017 r. o biegłych rewidentach, firmach audytorskich oraz nadzorze publicznym</w:t>
      </w:r>
      <w:r>
        <w:t>. Obecne brzmienie przepisu może sugerować, że ekspertem może być wyłącznie biegły rewident, w związku z czym zdecydowano się uzupełnić przepis o sformułowanie „w</w:t>
      </w:r>
      <w:r w:rsidR="003A0216">
        <w:t> </w:t>
      </w:r>
      <w:r>
        <w:t xml:space="preserve">szczególności”, które pozwoli uniknąć takich wątpliwości interpretacyjnych. </w:t>
      </w:r>
    </w:p>
    <w:p w14:paraId="648D0F6B" w14:textId="4C1F94FC" w:rsidR="00B06762" w:rsidRPr="00756B84" w:rsidRDefault="00B06762" w:rsidP="001D22CD">
      <w:pPr>
        <w:pStyle w:val="USTustnpkodeksu"/>
        <w:spacing w:before="120" w:line="276" w:lineRule="auto"/>
        <w:ind w:firstLine="0"/>
      </w:pPr>
      <w:r>
        <w:t>Dodanie art. 25a, stanowiącego upoważnienie do wydania przez ministra właściwego do spraw klimatu obwieszczenia, ma na celu zapewnienie inwestorom niezbędnej wiedzy w zakresie danych dot. relacji euro do złotego, przyjętych do ustalenia ceny maksymalnej określonej w</w:t>
      </w:r>
      <w:r w:rsidR="003A0216">
        <w:t> </w:t>
      </w:r>
      <w:r>
        <w:t>rozporządzeniu wydanym na podstawie art. 25. Udostępnienie przedmiotowej informacji ma na celu</w:t>
      </w:r>
      <w:r w:rsidRPr="00756B84">
        <w:t xml:space="preserve"> umożliwienie </w:t>
      </w:r>
      <w:r>
        <w:t xml:space="preserve">zastosowania mechanizmu rozliczania ujemnego salda </w:t>
      </w:r>
      <w:r w:rsidRPr="00262A91">
        <w:t>projektów realizowanych w ramach tzw. pierwszej fazy wsparcia</w:t>
      </w:r>
      <w:r>
        <w:t>,</w:t>
      </w:r>
      <w:r w:rsidRPr="00262A91">
        <w:t xml:space="preserve"> </w:t>
      </w:r>
      <w:r>
        <w:t xml:space="preserve">wprowadzanego w art. 40 w ust. 10a - 10g. </w:t>
      </w:r>
    </w:p>
    <w:p w14:paraId="12956C6B" w14:textId="77777777" w:rsidR="00B06762" w:rsidRPr="00034ACA" w:rsidRDefault="00B06762" w:rsidP="001D22CD">
      <w:pPr>
        <w:pStyle w:val="USTustnpkodeksu"/>
        <w:spacing w:before="120" w:line="276" w:lineRule="auto"/>
        <w:ind w:firstLine="0"/>
      </w:pPr>
      <w:r>
        <w:t xml:space="preserve">Należy podkreślić, że minister w wydawanym obwieszczeniu nie kreuje żadnych nowych wartości, w szczególności nie ustala kursu euro. Podaje jedynie do powszechnej wiadomości dane, które zostały wykorzystane do obliczenia ceny maksymalnej określonej w rozporządzeniu wydanym na podstawie art. 25. Kurs euro i wysokość wsparcia w przeliczeniu na euro po kursie, który zostanie ogłoszony w obwieszczeniu, są obecnie wskazane w uzasadnieniu przedmiotowego rozporządzenia, były również przedstawione Komisji Europejskiej </w:t>
      </w:r>
      <w:r w:rsidRPr="00C90DC2">
        <w:t>w procedurze prowadzącej do wydania decyzji zatwierdzającej mechanizm wsparcia dla morskiej energetyki wiatrowej (decyzja z dnia 20 maja 2021 r. w</w:t>
      </w:r>
      <w:r>
        <w:t> </w:t>
      </w:r>
      <w:r w:rsidRPr="00C90DC2">
        <w:t xml:space="preserve">sprawie SA.55940 (2021/N) – </w:t>
      </w:r>
      <w:proofErr w:type="spellStart"/>
      <w:r w:rsidRPr="00C90DC2">
        <w:t>Polish</w:t>
      </w:r>
      <w:proofErr w:type="spellEnd"/>
      <w:r w:rsidRPr="00C90DC2">
        <w:t xml:space="preserve"> </w:t>
      </w:r>
      <w:proofErr w:type="spellStart"/>
      <w:r w:rsidRPr="00C90DC2">
        <w:t>offshore</w:t>
      </w:r>
      <w:proofErr w:type="spellEnd"/>
      <w:r w:rsidRPr="00C90DC2">
        <w:t xml:space="preserve"> Wind </w:t>
      </w:r>
      <w:proofErr w:type="spellStart"/>
      <w:r w:rsidRPr="00C90DC2">
        <w:t>scheme</w:t>
      </w:r>
      <w:proofErr w:type="spellEnd"/>
      <w:r w:rsidRPr="00C90DC2">
        <w:t xml:space="preserve"> („Decyzja KE”))</w:t>
      </w:r>
      <w:r>
        <w:t xml:space="preserve">, w której notyfikowano wsparcie wysokości </w:t>
      </w:r>
      <w:r w:rsidRPr="00F24D27">
        <w:t>319,60 PLN/MWh i 71,82 €/MWh.</w:t>
      </w:r>
      <w:r>
        <w:t xml:space="preserve"> W związku z tym, obwieszczenie zostanie wydane tylko raz. Wydawane obwieszczenie będzie zatem mieć wyłącznie funkcję informacyjną. </w:t>
      </w:r>
      <w:r w:rsidRPr="00034ACA">
        <w:t>Proponowane rozwiązanie nie zmierza do podwyższenia wysokości wsparcia ani do zmiany poziomu tego wsparcia ustalonego w procesie notyfikacji ustawy</w:t>
      </w:r>
      <w:r>
        <w:t xml:space="preserve"> </w:t>
      </w:r>
      <w:proofErr w:type="spellStart"/>
      <w:r>
        <w:t>offshore</w:t>
      </w:r>
      <w:proofErr w:type="spellEnd"/>
      <w:r w:rsidRPr="00034ACA">
        <w:t>.</w:t>
      </w:r>
      <w:r>
        <w:t xml:space="preserve"> Wydanie obwieszczenia jest zabiegiem wyłącznie technicznym – ogłoszenie omawianych danych w pewnym i powszechnie dostępnym źródle jest konieczne, aby można było posłużyć się nimi przy dokonywaniu obliczeń w ramach mechanizmu wprowadzanego w art. 40 ust. 10a – 10g.</w:t>
      </w:r>
    </w:p>
    <w:p w14:paraId="096CF19B" w14:textId="77777777" w:rsidR="00B06762" w:rsidRDefault="00B06762" w:rsidP="001D22CD">
      <w:pPr>
        <w:pStyle w:val="USTustnpkodeksu"/>
        <w:spacing w:before="120" w:line="276" w:lineRule="auto"/>
        <w:ind w:firstLine="0"/>
      </w:pPr>
      <w:r>
        <w:t>Uchylenie w</w:t>
      </w:r>
      <w:r w:rsidRPr="000B05F8">
        <w:t xml:space="preserve"> art. 27 ust. 3 ma</w:t>
      </w:r>
      <w:r>
        <w:t xml:space="preserve"> na </w:t>
      </w:r>
      <w:r w:rsidRPr="000B05F8">
        <w:t>celu usunięcie powtórzenia normy zawartej</w:t>
      </w:r>
      <w:r>
        <w:t xml:space="preserve"> w </w:t>
      </w:r>
      <w:r w:rsidRPr="000B05F8">
        <w:t xml:space="preserve">art. 74 ust. 2 ustawy </w:t>
      </w:r>
      <w:proofErr w:type="spellStart"/>
      <w:r w:rsidRPr="000B05F8">
        <w:t>offshore</w:t>
      </w:r>
      <w:proofErr w:type="spellEnd"/>
      <w:r w:rsidRPr="000B05F8">
        <w:t>.</w:t>
      </w:r>
    </w:p>
    <w:p w14:paraId="337D8BA5" w14:textId="231EFCB8" w:rsidR="00B06762" w:rsidRDefault="00B06762" w:rsidP="001D22CD">
      <w:pPr>
        <w:pStyle w:val="USTustnpkodeksu"/>
        <w:spacing w:before="120" w:line="276" w:lineRule="auto"/>
        <w:ind w:firstLine="0"/>
      </w:pPr>
      <w:r w:rsidRPr="00B33DAF">
        <w:t xml:space="preserve">Zmiana art. 30 ust. 9 </w:t>
      </w:r>
      <w:r>
        <w:t xml:space="preserve">przede wszystkim </w:t>
      </w:r>
      <w:r w:rsidRPr="00B33DAF">
        <w:t xml:space="preserve">ma na celu </w:t>
      </w:r>
      <w:r>
        <w:t>usunięcie oczywistej omyłki redakcyjnej w</w:t>
      </w:r>
      <w:r w:rsidR="003A0216">
        <w:t> </w:t>
      </w:r>
      <w:r>
        <w:t>treści obowiązującego pkt 6</w:t>
      </w:r>
      <w:r w:rsidRPr="00B33DAF">
        <w:t xml:space="preserve">. Ponadto </w:t>
      </w:r>
      <w:r>
        <w:t>do</w:t>
      </w:r>
      <w:r w:rsidRPr="00B33DAF">
        <w:t xml:space="preserve">precyzowano, że </w:t>
      </w:r>
      <w:r>
        <w:t>przepis dotyczy</w:t>
      </w:r>
      <w:r w:rsidRPr="00B33DAF">
        <w:t xml:space="preserve"> wyrażenia zgody, </w:t>
      </w:r>
      <w:r w:rsidRPr="00B33DAF">
        <w:lastRenderedPageBreak/>
        <w:t xml:space="preserve">o której mowa w art. 64 ust. 1. Obecne brzmienie ustawy </w:t>
      </w:r>
      <w:r>
        <w:t>stanowi</w:t>
      </w:r>
      <w:r w:rsidRPr="00B33DAF">
        <w:t xml:space="preserve"> o przypadku „wydania postanowienia, o którym mowa w art. 64 ust. 1”, jednak przepis ten nie mówi o postanowieniu, a właśnie o</w:t>
      </w:r>
      <w:r>
        <w:t> </w:t>
      </w:r>
      <w:r w:rsidRPr="00B33DAF">
        <w:t xml:space="preserve">zgodzie Prezesa URE, która jest wyrażana w formie postanowienia, zgodnie z art. 64 ust. 4. </w:t>
      </w:r>
    </w:p>
    <w:p w14:paraId="72630597" w14:textId="77777777" w:rsidR="00B06762" w:rsidRDefault="00B06762" w:rsidP="001D22CD">
      <w:pPr>
        <w:pStyle w:val="USTustnpkodeksu"/>
        <w:spacing w:before="120" w:line="276" w:lineRule="auto"/>
        <w:ind w:firstLine="0"/>
      </w:pPr>
      <w:r w:rsidRPr="00B33DAF">
        <w:t xml:space="preserve">Zmiana art. 30 ust. 10 ustawy </w:t>
      </w:r>
      <w:proofErr w:type="spellStart"/>
      <w:r w:rsidRPr="00B33DAF">
        <w:t>offshore</w:t>
      </w:r>
      <w:proofErr w:type="spellEnd"/>
      <w:r w:rsidRPr="00B33DAF">
        <w:t xml:space="preserve"> ma na celu doprecyzowanie intencji ustawodawcy. Projekt regulaminu, opracowany przez Prezesa URE, zostaje przekazany do ministra właściwego do spraw klimatu w celu przedstawienia przez niego opinii do dokumentu. Niezatwierdzony dokument nie może zatem stanowić regulaminu, a jedynie jego projekt.</w:t>
      </w:r>
    </w:p>
    <w:p w14:paraId="5BDA6B17" w14:textId="77777777" w:rsidR="00B06762" w:rsidRPr="006C4492" w:rsidRDefault="00B06762" w:rsidP="001D22CD">
      <w:pPr>
        <w:pStyle w:val="USTustnpkodeksu"/>
        <w:spacing w:before="120" w:line="276" w:lineRule="auto"/>
        <w:ind w:firstLine="0"/>
      </w:pPr>
      <w:r w:rsidRPr="006C4492">
        <w:t xml:space="preserve">Modyfikacja art. 38 ust. 5 ma na celu doprecyzowanie przepisów ustawy </w:t>
      </w:r>
      <w:proofErr w:type="spellStart"/>
      <w:r w:rsidRPr="006C4492">
        <w:t>offshore</w:t>
      </w:r>
      <w:proofErr w:type="spellEnd"/>
      <w:r w:rsidRPr="006C4492">
        <w:t xml:space="preserve"> i</w:t>
      </w:r>
      <w:r>
        <w:t> </w:t>
      </w:r>
      <w:r w:rsidRPr="006C4492">
        <w:t xml:space="preserve">zapewnienie, aby przewidywana przez </w:t>
      </w:r>
      <w:r>
        <w:t>u</w:t>
      </w:r>
      <w:r w:rsidRPr="006C4492">
        <w:t xml:space="preserve">stawodawcę </w:t>
      </w:r>
      <w:bookmarkStart w:id="8" w:name="_Hlk109656451"/>
      <w:r w:rsidRPr="006C4492">
        <w:t xml:space="preserve">waloryzacja poziomu wsparcia </w:t>
      </w:r>
      <w:bookmarkEnd w:id="8"/>
      <w:r w:rsidRPr="006C4492">
        <w:t xml:space="preserve">obejmowała wszystkie kolejne lata kalendarzowe począwszy od dnia wydania przez Prezesa Urzędu Regulacji Energetyki decyzji o przyznaniu wytwórcy prawa do pokrycia ujemnego salda dla energii elektrycznej wytworzonej w morskiej farmie wiatrowej i wprowadzonej do sieci, o której mowa w art. 16 ust. 1 ustawy </w:t>
      </w:r>
      <w:proofErr w:type="spellStart"/>
      <w:r w:rsidRPr="006C4492">
        <w:t>offshore</w:t>
      </w:r>
      <w:proofErr w:type="spellEnd"/>
      <w:r w:rsidRPr="006C4492">
        <w:t xml:space="preserve">. </w:t>
      </w:r>
    </w:p>
    <w:p w14:paraId="654B274C" w14:textId="77777777" w:rsidR="00B06762" w:rsidRDefault="00B06762" w:rsidP="001D22CD">
      <w:pPr>
        <w:pStyle w:val="USTustnpkodeksu"/>
        <w:spacing w:before="120" w:line="276" w:lineRule="auto"/>
        <w:ind w:firstLine="0"/>
      </w:pPr>
      <w:r>
        <w:t>Zgodnie z obecnym brzmieniem tego przepisu,</w:t>
      </w:r>
      <w:r w:rsidRPr="006C4492">
        <w:t xml:space="preserve"> waloryzacja następuje dopiero począwszy od wydania tzw. drugiej decyzji Prezesa URE, tj. decyzji, o której mowa w art. 18 ust. 1 ustawy </w:t>
      </w:r>
      <w:proofErr w:type="spellStart"/>
      <w:r w:rsidRPr="006C4492">
        <w:t>offshore</w:t>
      </w:r>
      <w:proofErr w:type="spellEnd"/>
      <w:r w:rsidRPr="006C4492">
        <w:t xml:space="preserve">. W tym kontekście należy mieć na uwadze, iż </w:t>
      </w:r>
      <w:bookmarkStart w:id="9" w:name="_Hlk108598640"/>
      <w:r w:rsidRPr="006C4492">
        <w:t xml:space="preserve">wytwórcy </w:t>
      </w:r>
      <w:r>
        <w:t>uczestniczący w</w:t>
      </w:r>
      <w:r w:rsidRPr="006C4492">
        <w:t xml:space="preserve"> tzw. pierwsz</w:t>
      </w:r>
      <w:r>
        <w:t>ej</w:t>
      </w:r>
      <w:r w:rsidRPr="006C4492">
        <w:t xml:space="preserve"> faz</w:t>
      </w:r>
      <w:r>
        <w:t>ie</w:t>
      </w:r>
      <w:r w:rsidRPr="006C4492">
        <w:t xml:space="preserve"> wsparcia (</w:t>
      </w:r>
      <w:r>
        <w:t>r</w:t>
      </w:r>
      <w:r w:rsidRPr="006C4492">
        <w:t xml:space="preserve">ozdział 3 ustawy </w:t>
      </w:r>
      <w:proofErr w:type="spellStart"/>
      <w:r w:rsidRPr="006C4492">
        <w:t>offshore</w:t>
      </w:r>
      <w:proofErr w:type="spellEnd"/>
      <w:r w:rsidRPr="006C4492">
        <w:t>)</w:t>
      </w:r>
      <w:bookmarkEnd w:id="9"/>
      <w:r w:rsidRPr="006C4492">
        <w:t xml:space="preserve">, uzyskali wsparcie w pierwszej połowie 2021 r. Jednocześnie wsparcie to zostało oparte o </w:t>
      </w:r>
      <w:r>
        <w:t>cenę maksymalną</w:t>
      </w:r>
      <w:r w:rsidRPr="006C4492">
        <w:t xml:space="preserve"> ustalon</w:t>
      </w:r>
      <w:r>
        <w:t>ą</w:t>
      </w:r>
      <w:r w:rsidRPr="006C4492">
        <w:t xml:space="preserve"> na mocy rozporządzenia Ministra Klimatu i Środowiska z </w:t>
      </w:r>
      <w:r>
        <w:t xml:space="preserve">dnia </w:t>
      </w:r>
      <w:r w:rsidRPr="006C4492">
        <w:t xml:space="preserve">30 marca 2021 r. </w:t>
      </w:r>
      <w:r w:rsidRPr="006D7BBC">
        <w:rPr>
          <w:rStyle w:val="Kkursywa"/>
        </w:rPr>
        <w:t>w sprawie ceny maksymalnej za energię elektryczną wytworzoną w morskiej farmie wiatrowej i wprowadzoną do sieci w złotych za 1 MWh, będącej podstawą rozliczenia prawa do pokrycia ujemnego salda</w:t>
      </w:r>
      <w:r>
        <w:t xml:space="preserve">. </w:t>
      </w:r>
      <w:r w:rsidRPr="006C4492">
        <w:t xml:space="preserve">Tymczasem tzw. druga decyzja Prezesa URE będzie mogła zostać wydana dopiero po wydaniu przez Komisję Europejską decyzji o zgodności z rynkiem wewnętrznym pomocy publicznej. Biorąc pod uwagę przeciętny czas postępowania przed Komisją Europejską (co najmniej 8-12 miesięcy) należy zakładać, iż druga decyzja Prezesa URE zostanie wydana najwcześniej w roku 2022 r. Powoduje to jednak, iż biorąc pod uwagę obecne brzmienie art. 38 ust. 5 ustawy </w:t>
      </w:r>
      <w:proofErr w:type="spellStart"/>
      <w:r w:rsidRPr="006C4492">
        <w:t>offshore</w:t>
      </w:r>
      <w:proofErr w:type="spellEnd"/>
      <w:r w:rsidRPr="006C4492">
        <w:t xml:space="preserve">, waloryzacja poziomu wsparcia ustalonego </w:t>
      </w:r>
      <w:r>
        <w:t>ww. rozporządzeniem</w:t>
      </w:r>
      <w:r w:rsidRPr="006C4492">
        <w:t xml:space="preserve"> w roku 2021, rozpocznie się najwcześniej dopiero od roku 2023, z</w:t>
      </w:r>
      <w:r>
        <w:t> </w:t>
      </w:r>
      <w:r w:rsidRPr="006C4492">
        <w:t xml:space="preserve">pominięciem roku 2022. </w:t>
      </w:r>
      <w:r>
        <w:t>Należy podkreślić, że o</w:t>
      </w:r>
      <w:r w:rsidRPr="006C4492">
        <w:t xml:space="preserve">d początku prac nad </w:t>
      </w:r>
      <w:r>
        <w:t xml:space="preserve">ustawą </w:t>
      </w:r>
      <w:proofErr w:type="spellStart"/>
      <w:r>
        <w:t>offshore</w:t>
      </w:r>
      <w:proofErr w:type="spellEnd"/>
      <w:r w:rsidRPr="006C4492">
        <w:t xml:space="preserve"> założeniem projektodawców było objęcie waloryzacją ceny, będącej podstawą do rozliczenia ujemnego salda, począwszy od momentu, w którym została przyznana pomoc publiczna.</w:t>
      </w:r>
    </w:p>
    <w:p w14:paraId="0F2F7590" w14:textId="77777777" w:rsidR="00B06762" w:rsidRPr="00831936" w:rsidRDefault="00B06762" w:rsidP="001D22CD">
      <w:pPr>
        <w:pStyle w:val="USTustnpkodeksu"/>
        <w:spacing w:before="120" w:line="276" w:lineRule="auto"/>
        <w:ind w:firstLine="0"/>
      </w:pPr>
      <w:r>
        <w:t xml:space="preserve">W art. 40 proponuje się dodać ust. 10a – 10g i wprowadzić mechanizm umożliwiający wytwórcy zmianę sposobu </w:t>
      </w:r>
      <w:r w:rsidRPr="00831936">
        <w:t xml:space="preserve">rozliczania prawa do pokrycia ujemnego salda poprzez jednokrotne złożenie Prezesowi URE oświadczenia, w którym wytwórca wskaże, w wartościach procentowych, jaka część ceny, o której mowa w art. 18 ust. 1, </w:t>
      </w:r>
      <w:r w:rsidRPr="004C7D07">
        <w:t>albo ceny zmienionej na podstawie art. 20 ust. 5</w:t>
      </w:r>
      <w:r>
        <w:t xml:space="preserve">, </w:t>
      </w:r>
      <w:r w:rsidRPr="00831936">
        <w:t>albo wynikającej z oferty, o</w:t>
      </w:r>
      <w:r>
        <w:t> </w:t>
      </w:r>
      <w:r w:rsidRPr="00831936">
        <w:t>której mowa w art. 31 ust. 1, albo ceny skorygowanej, o której mowa w art. 11 ust. 3, a także ceny skorygowanej, o której mowa w art. 10 ust. 4 i 6, będącej podstawą do pokrycia ujemnego salda, ma być wyrażona w złotych za 1</w:t>
      </w:r>
      <w:r>
        <w:t> </w:t>
      </w:r>
      <w:r w:rsidRPr="00831936">
        <w:t>MWh a jaka w euro za 1 MWh.</w:t>
      </w:r>
      <w:r>
        <w:t xml:space="preserve"> Skorzystanie z projektowanego instrumentu jest dobrowolne i pozostaje indywidulaną decyzją biznesową każdego z wytwórców uczestniczących w systemie wsparcia. Z projektowanej możliwości wytwórca będzie mógł skorzystać tylko raz, </w:t>
      </w:r>
      <w:r>
        <w:lastRenderedPageBreak/>
        <w:t>składając oświadczenie w określonym terminie. Będzie miał również możliwość jednokrotnie zmienić proporcje ceny wyrażanej w każdej z walut.</w:t>
      </w:r>
    </w:p>
    <w:p w14:paraId="2ABDDED2" w14:textId="77777777" w:rsidR="00B06762" w:rsidRPr="00831936" w:rsidRDefault="00B06762" w:rsidP="001D22CD">
      <w:pPr>
        <w:pStyle w:val="USTustnpkodeksu"/>
        <w:spacing w:before="120" w:line="276" w:lineRule="auto"/>
        <w:ind w:firstLine="0"/>
      </w:pPr>
      <w:r w:rsidRPr="00831936">
        <w:t>W</w:t>
      </w:r>
      <w:r>
        <w:t xml:space="preserve"> praktyce, gdy wytwórca skorzysta z art. 40 ust. 10a i</w:t>
      </w:r>
      <w:r w:rsidRPr="00831936">
        <w:t xml:space="preserve"> część lub całość ceny, będącej podstawą rozliczenia ujemnego salda, miałaby być wyrażona w euro, każdorazowo przed wystąpieniem o pokrycie ujemnego salda (po zakończeniu danego miesiąca kalendarzowego), konieczne będzie dokonanie przeliczenia ostatecznej wartości na złote, przy zastosowaniu wzoru, zaproponowanego w art. 40 ust. 16 ustawy. </w:t>
      </w:r>
      <w:r>
        <w:t>Jednakże</w:t>
      </w:r>
      <w:r w:rsidRPr="00831936">
        <w:t>, w dalszym ciągu rozliczenie dodatniego lub ujemnego salda będzie dokonywane w walucie polskiej.</w:t>
      </w:r>
    </w:p>
    <w:p w14:paraId="5119D908" w14:textId="77777777" w:rsidR="00B06762" w:rsidRDefault="00B06762" w:rsidP="001D22CD">
      <w:pPr>
        <w:pStyle w:val="USTustnpkodeksu"/>
        <w:spacing w:before="120" w:line="276" w:lineRule="auto"/>
        <w:ind w:firstLine="0"/>
      </w:pPr>
      <w:r>
        <w:t>Jak wskazano wcześniej, w</w:t>
      </w:r>
      <w:r w:rsidRPr="00831936">
        <w:t xml:space="preserve"> projektowanym art. </w:t>
      </w:r>
      <w:r>
        <w:t>40</w:t>
      </w:r>
      <w:r w:rsidRPr="00831936">
        <w:t xml:space="preserve"> w ust. </w:t>
      </w:r>
      <w:r>
        <w:t>10f</w:t>
      </w:r>
      <w:r w:rsidRPr="00831936">
        <w:t xml:space="preserve"> dopuszcza się jednorazową możliwość dokonania przez wytwórcę, który złoży oświadczenie, o którym mowa w ust. </w:t>
      </w:r>
      <w:r>
        <w:t>10a</w:t>
      </w:r>
      <w:r w:rsidRPr="00831936">
        <w:t xml:space="preserve">, zmiany zasad rozliczania prawa do pokrycia ujemnego salda przed upływem 15 lat od wprowadzenia do sieci po raz pierwszy energii elektrycznej wytworzonej w morskiej farmie wiatrowej. </w:t>
      </w:r>
    </w:p>
    <w:p w14:paraId="67A7F154" w14:textId="77777777" w:rsidR="00B06762" w:rsidRPr="00C9373C" w:rsidRDefault="00B06762" w:rsidP="001D22CD">
      <w:pPr>
        <w:pStyle w:val="USTustnpkodeksu"/>
        <w:spacing w:before="120" w:line="276" w:lineRule="auto"/>
        <w:ind w:firstLine="0"/>
      </w:pPr>
      <w:r>
        <w:t>Konsekwencją dodania ww. przepisów jest d</w:t>
      </w:r>
      <w:r w:rsidRPr="00C9373C">
        <w:t>odanie ust. 16 w art. 40</w:t>
      </w:r>
      <w:r>
        <w:t>, który określa</w:t>
      </w:r>
      <w:r w:rsidRPr="00C9373C">
        <w:t xml:space="preserve"> jak dokonać przeliczenia ostatecznej wartości ceny </w:t>
      </w:r>
      <w:r>
        <w:t>w przypadku skorzystania z opcji przeliczenia otrzymywanego wsparcia na euro.</w:t>
      </w:r>
    </w:p>
    <w:p w14:paraId="30E21329" w14:textId="77777777" w:rsidR="00B06762" w:rsidRPr="00831936" w:rsidRDefault="00B06762" w:rsidP="001D22CD">
      <w:pPr>
        <w:pStyle w:val="USTustnpkodeksu"/>
        <w:spacing w:before="120" w:line="276" w:lineRule="auto"/>
        <w:ind w:firstLine="0"/>
      </w:pPr>
      <w:r>
        <w:t>W odniesieniu do omówionego wyżej, projektowanego rozwiązania n</w:t>
      </w:r>
      <w:r w:rsidRPr="00831936">
        <w:t xml:space="preserve">ależy zaznaczyć, że zmieniana ustawa </w:t>
      </w:r>
      <w:proofErr w:type="spellStart"/>
      <w:r w:rsidRPr="00831936">
        <w:t>offshore</w:t>
      </w:r>
      <w:proofErr w:type="spellEnd"/>
      <w:r w:rsidRPr="00831936">
        <w:t xml:space="preserve"> stanowi tzw. program pomocowy, który został uznany za zgodny z</w:t>
      </w:r>
      <w:r>
        <w:t> </w:t>
      </w:r>
      <w:r w:rsidRPr="00831936">
        <w:t>rynkiem wewnętrznym na podstawie decyzji KE. Komisja uznała, że zmieniana ustawa spełnia warunki określone w wytycznych w sprawie pomocy państwa na ochronę środowiska i</w:t>
      </w:r>
      <w:r>
        <w:t> </w:t>
      </w:r>
      <w:r w:rsidRPr="00831936">
        <w:t xml:space="preserve">cele związane z energią w latach 2014-2020 („EEAG”). W związku z wydaniem decyzji KE, ustawa </w:t>
      </w:r>
      <w:proofErr w:type="spellStart"/>
      <w:r w:rsidRPr="00831936">
        <w:t>offshore</w:t>
      </w:r>
      <w:proofErr w:type="spellEnd"/>
      <w:r w:rsidRPr="00831936">
        <w:t xml:space="preserve">, wraz z rozporządzeniem w sprawie ceny maksymalnej, stanowią obecnie tzw. pomoc istniejącą w rozumieniu art. 1 lit. b </w:t>
      </w:r>
      <w:proofErr w:type="spellStart"/>
      <w:r w:rsidRPr="00831936">
        <w:t>ppkt</w:t>
      </w:r>
      <w:proofErr w:type="spellEnd"/>
      <w:r w:rsidRPr="00831936">
        <w:t xml:space="preserve"> ii) rozporządzenia Rady (UE) 2015/1589 z dnia 13 lipca 2015 r. ustanawiającego szczegółowe zasady stosowania art. 108 Traktatu o</w:t>
      </w:r>
      <w:r>
        <w:t> </w:t>
      </w:r>
      <w:r w:rsidRPr="00831936">
        <w:t xml:space="preserve">funkcjonowaniu Unii Europejskiej („rozporządzenie proceduralne”). </w:t>
      </w:r>
    </w:p>
    <w:p w14:paraId="6C05D818" w14:textId="77777777" w:rsidR="00B06762" w:rsidRPr="00831936" w:rsidRDefault="00B06762" w:rsidP="001D22CD">
      <w:pPr>
        <w:pStyle w:val="USTustnpkodeksu"/>
        <w:spacing w:before="120" w:line="276" w:lineRule="auto"/>
        <w:ind w:firstLine="0"/>
      </w:pPr>
      <w:r w:rsidRPr="00831936">
        <w:t xml:space="preserve">Jednocześnie, w motywach 8, 15 i 74 Decyzji KE zasygnalizowano, że kwota wsparcia będzie wyrażona w polskiej walucie, wskazując zarazem poziom ceny maksymalnej. W toku postępowania notyfikacyjnego Komisja została powiadomiona, iż na potrzeby tego zgłoszenia kurs wymiany został ustalony na poziomie 4,45 EUR/PLN. Ten sam kurs został przyjęty jako podstawa dla ustalenia poziomu ceny maksymalnej w rozporządzeniu wydanym na podstawie art. 25 ustawy. </w:t>
      </w:r>
      <w:r>
        <w:t>Dokładnie ten kurs zostanie zatem ogłoszony w obwieszczeniu wydawanym na podstawie projektowanego art. 25a.</w:t>
      </w:r>
    </w:p>
    <w:p w14:paraId="37400682" w14:textId="77777777" w:rsidR="00B06762" w:rsidRPr="00831936" w:rsidRDefault="00B06762" w:rsidP="001D22CD">
      <w:pPr>
        <w:pStyle w:val="USTustnpkodeksu"/>
        <w:spacing w:before="120" w:line="276" w:lineRule="auto"/>
        <w:ind w:firstLine="0"/>
      </w:pPr>
      <w:r w:rsidRPr="00831936">
        <w:t>Nakłady i koszty stanowiące podstawę ustalenia ceny maksymalnej są w znacznej mierze ponoszone w walucie obcej. Natomiast koszty związane z zabezpieczeniem ryzyka zmiany kursu walutowego oraz inne ryzyka związane z faktem, że pomoc operacyjna będzie wypłacana w polskiej walucie, nie zostały uwzględnione w kalkulacji czy to ceny maksymalnej, czy to poziomu wsparcia dla indywidualnych projektów, dla których pomoc jest notyfikowana Komisji w osobnych procedurach.</w:t>
      </w:r>
    </w:p>
    <w:p w14:paraId="2E467162" w14:textId="77777777" w:rsidR="00B06762" w:rsidRPr="00831936" w:rsidRDefault="00B06762" w:rsidP="001D22CD">
      <w:pPr>
        <w:pStyle w:val="USTustnpkodeksu"/>
        <w:spacing w:before="120" w:line="276" w:lineRule="auto"/>
        <w:ind w:firstLine="0"/>
      </w:pPr>
      <w:r w:rsidRPr="00831936">
        <w:t xml:space="preserve">W efekcie należy uznać, iż związanie poziomu wsparcia z kursem walutowym będzie stanowiło „urealnienie” ceny maksymalnej o zmiany kursu walutowego, którego celem będzie jedynie utrzymanie zaakceptowanej przez Komisję stopy zwrotu z inwestycji. Z tego też względu, </w:t>
      </w:r>
      <w:r w:rsidRPr="00831936">
        <w:lastRenderedPageBreak/>
        <w:t>proponowane zmiany stanowią zmianę o charakterze formalnym lub administracyjnym, których wprowadzenie nie wymaga notyfikacji jako zmiana pomocy istniejącej w rozumieniu Traktatu oraz rozporządzenia proceduralnego.</w:t>
      </w:r>
    </w:p>
    <w:p w14:paraId="5F78935E" w14:textId="77777777" w:rsidR="00B06762" w:rsidRDefault="00B06762" w:rsidP="001D22CD">
      <w:pPr>
        <w:pStyle w:val="USTustnpkodeksu"/>
        <w:spacing w:before="120" w:line="276" w:lineRule="auto"/>
        <w:ind w:firstLine="0"/>
      </w:pPr>
      <w:r w:rsidRPr="00B33DAF">
        <w:t>Uzupełnienie art. 43 ust. 1 pkt 3 ma na celu ujednolicenie sprawozdań składanych do Prezesa URE. Należy zauważyć, że w ust. 1 pkt 1 i 2 sprawozdanie obejmuje również zespół urządzeń służących do wyprowadzenia mocy.</w:t>
      </w:r>
    </w:p>
    <w:p w14:paraId="2FBA6407" w14:textId="77777777" w:rsidR="00B06762" w:rsidRPr="00B33DAF" w:rsidRDefault="00B06762" w:rsidP="001D22CD">
      <w:pPr>
        <w:pStyle w:val="USTustnpkodeksu"/>
        <w:spacing w:before="120" w:line="276" w:lineRule="auto"/>
        <w:ind w:firstLine="0"/>
      </w:pPr>
      <w:r>
        <w:t xml:space="preserve">Dodanie ust. 7 w art. 49 ma charakter doprecyzowujący i wykluczający ewentualne błędy interpretacyjne przepisu. Przepis ma na celu umożliwienie aneksowania umowy </w:t>
      </w:r>
      <w:r w:rsidRPr="003104B8">
        <w:t xml:space="preserve">o przyłączenie (a nie </w:t>
      </w:r>
      <w:r>
        <w:t xml:space="preserve">wydanie </w:t>
      </w:r>
      <w:r w:rsidRPr="003104B8">
        <w:t>wstępnych warunków</w:t>
      </w:r>
      <w:r>
        <w:t xml:space="preserve"> przyłączenia</w:t>
      </w:r>
      <w:r w:rsidRPr="003104B8">
        <w:t>)</w:t>
      </w:r>
      <w:r>
        <w:t>,</w:t>
      </w:r>
      <w:r w:rsidRPr="003104B8">
        <w:t xml:space="preserve"> </w:t>
      </w:r>
      <w:r>
        <w:t xml:space="preserve">w przypadku gdy </w:t>
      </w:r>
      <w:r w:rsidRPr="003104B8">
        <w:t>wydawane są nowe warunki przyłączenia dla danej inwestycji</w:t>
      </w:r>
      <w:r>
        <w:t>,</w:t>
      </w:r>
      <w:r w:rsidRPr="003104B8">
        <w:t xml:space="preserve"> bez konieczności oczekiwania na przyznanie wsparcia.</w:t>
      </w:r>
    </w:p>
    <w:p w14:paraId="1C9C2315" w14:textId="77777777" w:rsidR="00B06762" w:rsidRDefault="00B06762" w:rsidP="001D22CD">
      <w:pPr>
        <w:pStyle w:val="USTustnpkodeksu"/>
        <w:spacing w:before="120" w:line="276" w:lineRule="auto"/>
        <w:ind w:firstLine="0"/>
      </w:pPr>
      <w:r w:rsidRPr="00B33DAF">
        <w:t>W art. 51 ust. 3 poprawiono błędne odesłanie do ust. 3.</w:t>
      </w:r>
    </w:p>
    <w:p w14:paraId="2CFA9B7F" w14:textId="77777777" w:rsidR="00B06762" w:rsidRPr="00B33DAF" w:rsidRDefault="00B06762" w:rsidP="001D22CD">
      <w:pPr>
        <w:pStyle w:val="USTustnpkodeksu"/>
        <w:spacing w:before="120" w:line="276" w:lineRule="auto"/>
        <w:ind w:firstLine="0"/>
      </w:pPr>
      <w:r w:rsidRPr="00833F1B">
        <w:t xml:space="preserve">Zmiany wprowadzone w art. 60 ust. 1 mają na celu </w:t>
      </w:r>
      <w:r>
        <w:t>wyraźne wyartykułowanie intencji ustawodawcy, którą od początku obowiązywania ustawy było</w:t>
      </w:r>
      <w:r w:rsidRPr="00833F1B">
        <w:t xml:space="preserve"> </w:t>
      </w:r>
      <w:r>
        <w:t xml:space="preserve">wyłączenie </w:t>
      </w:r>
      <w:r w:rsidRPr="008F5BA2">
        <w:t>praw</w:t>
      </w:r>
      <w:r>
        <w:t>a</w:t>
      </w:r>
      <w:r w:rsidRPr="008F5BA2">
        <w:t xml:space="preserve"> opcji zakupu zespołu urządzeń </w:t>
      </w:r>
      <w:r w:rsidRPr="00FC036D">
        <w:t>zespoł</w:t>
      </w:r>
      <w:r>
        <w:t>ów</w:t>
      </w:r>
      <w:r w:rsidRPr="00FC036D">
        <w:t xml:space="preserve"> urządzeń służących do wyprowadzenia mocy z morski</w:t>
      </w:r>
      <w:r>
        <w:t>ch</w:t>
      </w:r>
      <w:r w:rsidRPr="00FC036D">
        <w:t xml:space="preserve"> farm wiatrow</w:t>
      </w:r>
      <w:r>
        <w:t>ych</w:t>
      </w:r>
      <w:r w:rsidRPr="00FC036D">
        <w:t>, dla których wytwórcy przyznano prawo do pokrycia ujemnego salda na zasadach określonych w rozdziale 3</w:t>
      </w:r>
      <w:r>
        <w:t xml:space="preserve">, przez </w:t>
      </w:r>
      <w:r w:rsidRPr="008F5BA2">
        <w:t>operator</w:t>
      </w:r>
      <w:r>
        <w:t>a</w:t>
      </w:r>
      <w:r w:rsidRPr="008F5BA2">
        <w:t xml:space="preserve"> systemu przesyłowego</w:t>
      </w:r>
      <w:r>
        <w:t>.</w:t>
      </w:r>
    </w:p>
    <w:p w14:paraId="252C19D3" w14:textId="5EE4EA23" w:rsidR="00B06762" w:rsidRPr="00B33DAF" w:rsidRDefault="00B06762" w:rsidP="001D22CD">
      <w:pPr>
        <w:pStyle w:val="USTustnpkodeksu"/>
        <w:spacing w:before="120" w:line="276" w:lineRule="auto"/>
        <w:ind w:firstLine="0"/>
      </w:pPr>
      <w:r w:rsidRPr="00B33DAF">
        <w:t xml:space="preserve">Zmiana art. 64 ust. 2 pkt 1 i 2 ustawy </w:t>
      </w:r>
      <w:proofErr w:type="spellStart"/>
      <w:r w:rsidRPr="00B33DAF">
        <w:t>offshore</w:t>
      </w:r>
      <w:proofErr w:type="spellEnd"/>
      <w:r w:rsidRPr="00B33DAF">
        <w:t xml:space="preserve"> ma na celu doprecyzowanie danych, które musi zawrzeć zarówno nabywca jak i zbywca morskiej farmy wiatrowej we wniosku o</w:t>
      </w:r>
      <w:r>
        <w:t> </w:t>
      </w:r>
      <w:r w:rsidRPr="00B33DAF">
        <w:t xml:space="preserve">wyrażenie zgody przez Prezesa URE na przejście prawa określonego w art. 40 ust. 1 pkt 3 oraz obowiązków z tym prawem związanych na jej nabywcę, przedkładając dokumentację określoną odpowiednio w art. 15 ust. 3 pkt 4 lub art. 26 ust. 5 pkt 4. Zmiana uwzględnia fakt, że wytwórcą może być zarówno osoba fizyczna jak i przedsiębiorca. Modyfikacja art. 64 ust. 3 pkt 1 ustawy </w:t>
      </w:r>
      <w:proofErr w:type="spellStart"/>
      <w:r w:rsidRPr="00B33DAF">
        <w:t>offshore</w:t>
      </w:r>
      <w:proofErr w:type="spellEnd"/>
      <w:r w:rsidRPr="00B33DAF">
        <w:t xml:space="preserve"> ma na celu zmianę treści oświadczenie dołączanego przez nabywcę do wniosku, o</w:t>
      </w:r>
      <w:r w:rsidR="003A0216">
        <w:t> </w:t>
      </w:r>
      <w:r w:rsidRPr="00B33DAF">
        <w:t>którym mowa w ust. 1 poprzez usunięcie adresu publikacyjnego cytowanej w</w:t>
      </w:r>
      <w:r>
        <w:t> </w:t>
      </w:r>
      <w:r w:rsidRPr="00B33DAF">
        <w:t>oświadczeniu ustawy. Wskazywanie adresu publikacyjnego w treści oświadczenia mogłoby przełożyć się w przyszłości na zaistnienie sytuacji, w której powoływano</w:t>
      </w:r>
      <w:r>
        <w:t xml:space="preserve"> </w:t>
      </w:r>
      <w:r w:rsidRPr="00B33DAF">
        <w:t>by się na nieaktualną wersję aktu prawnego.</w:t>
      </w:r>
    </w:p>
    <w:p w14:paraId="27E78075" w14:textId="77777777" w:rsidR="00B06762" w:rsidRPr="00B33DAF" w:rsidRDefault="00B06762" w:rsidP="001D22CD">
      <w:pPr>
        <w:pStyle w:val="USTustnpkodeksu"/>
        <w:spacing w:before="120" w:line="276" w:lineRule="auto"/>
        <w:ind w:firstLine="0"/>
      </w:pPr>
      <w:r w:rsidRPr="00B33DAF">
        <w:t xml:space="preserve">Modyfikacja art. 71 ma na celu </w:t>
      </w:r>
      <w:r>
        <w:t>do</w:t>
      </w:r>
      <w:r w:rsidRPr="00B33DAF">
        <w:t>precyzowanie przepisu w zakresie terminu przekazania informacji o decyzji, o której mowa w art. 70.</w:t>
      </w:r>
    </w:p>
    <w:p w14:paraId="7737C2F2" w14:textId="77777777" w:rsidR="00B06762" w:rsidRDefault="00B06762" w:rsidP="001D22CD">
      <w:pPr>
        <w:pStyle w:val="USTustnpkodeksu"/>
        <w:spacing w:before="120" w:line="276" w:lineRule="auto"/>
        <w:ind w:firstLine="0"/>
      </w:pPr>
      <w:r w:rsidRPr="00B33DAF">
        <w:t xml:space="preserve">Uchylenie art. 80 ustawy </w:t>
      </w:r>
      <w:proofErr w:type="spellStart"/>
      <w:r w:rsidRPr="00B33DAF">
        <w:t>offshore</w:t>
      </w:r>
      <w:proofErr w:type="spellEnd"/>
      <w:r w:rsidRPr="00B33DAF">
        <w:t xml:space="preserve"> wynika z faktu, że treść przepisu powtarza treść art. 3a ustawy z dnia 24 lipca 2015 r. o przygotowaniu i realizacji strategicznych inwestycji w zakresie sieci przesyłowych, tym samym narusza normę zawartą w § 22 ust. 1 Zasad techniki prawodawczej, zgodnie z którą odesłanie do innej ustawy zamiesza się tylko wtedy</w:t>
      </w:r>
      <w:r>
        <w:t>,</w:t>
      </w:r>
      <w:r w:rsidRPr="00B33DAF">
        <w:t xml:space="preserve"> gdy uregulowania w niej zawarte uzupełniają lub odmiennie regulują sprawy normowane ustawą.</w:t>
      </w:r>
    </w:p>
    <w:p w14:paraId="313EB1D4" w14:textId="77777777" w:rsidR="00B06762" w:rsidRDefault="00B06762" w:rsidP="001D22CD">
      <w:pPr>
        <w:pStyle w:val="USTustnpkodeksu"/>
        <w:spacing w:before="120" w:line="276" w:lineRule="auto"/>
        <w:ind w:firstLine="0"/>
      </w:pPr>
      <w:r>
        <w:t xml:space="preserve">Zmiana art. 82 ust. 3 wynika z faktu, że obecnie krąg podmiotów </w:t>
      </w:r>
      <w:r w:rsidRPr="00891D94">
        <w:t xml:space="preserve">uprawnionych do sporządzania ekspertyz, o których mowa w art. 82 ust. 1 </w:t>
      </w:r>
      <w:r>
        <w:t>u</w:t>
      </w:r>
      <w:r w:rsidRPr="00891D94">
        <w:t>stawy</w:t>
      </w:r>
      <w:r>
        <w:t xml:space="preserve"> </w:t>
      </w:r>
      <w:proofErr w:type="spellStart"/>
      <w:r>
        <w:t>offshore</w:t>
      </w:r>
      <w:proofErr w:type="spellEnd"/>
      <w:r>
        <w:t xml:space="preserve"> </w:t>
      </w:r>
      <w:r w:rsidRPr="00891D94">
        <w:t xml:space="preserve">jest niezwykle wąski. </w:t>
      </w:r>
      <w:r>
        <w:t xml:space="preserve">Złagodzenie wymagań spowoduje </w:t>
      </w:r>
      <w:r w:rsidRPr="00583887">
        <w:t>rozszerzenie kręgu podmiotów, wskazanych w art. 82 ust. 3</w:t>
      </w:r>
      <w:r>
        <w:t>.</w:t>
      </w:r>
    </w:p>
    <w:p w14:paraId="4D38EBDB" w14:textId="77777777" w:rsidR="00B06762" w:rsidRDefault="00B06762" w:rsidP="001D22CD">
      <w:pPr>
        <w:pStyle w:val="USTustnpkodeksu"/>
        <w:spacing w:before="120" w:line="276" w:lineRule="auto"/>
        <w:ind w:firstLine="0"/>
      </w:pPr>
      <w:r>
        <w:t>Uchylenie art. 84 wynika z faktu, że</w:t>
      </w:r>
      <w:r w:rsidRPr="006764F9">
        <w:t xml:space="preserve"> dotyczy </w:t>
      </w:r>
      <w:r>
        <w:t xml:space="preserve">on </w:t>
      </w:r>
      <w:r w:rsidRPr="006764F9">
        <w:t xml:space="preserve">w całości kwestii opłaty za pozwolenie na wznoszenie lub wykorzystywanie sztucznych wysp, konstrukcji i urządzeń w polskich </w:t>
      </w:r>
      <w:r w:rsidRPr="006764F9">
        <w:lastRenderedPageBreak/>
        <w:t>obszarach morskich</w:t>
      </w:r>
      <w:r>
        <w:t xml:space="preserve"> (PSZW)</w:t>
      </w:r>
      <w:r w:rsidRPr="006764F9">
        <w:t>. Kwestia ta jest wyczerpująco uregulowana w art. 27b ustawy z</w:t>
      </w:r>
      <w:r>
        <w:t> </w:t>
      </w:r>
      <w:r w:rsidRPr="006764F9">
        <w:t>dnia 21 marca 1991 r. o obszarach morskich Rzeczypospolitej Polskiej i administracji morskiej</w:t>
      </w:r>
      <w:r>
        <w:t>, dalej: ustawa o obszarach morskich.</w:t>
      </w:r>
      <w:r w:rsidRPr="006764F9">
        <w:t xml:space="preserve"> </w:t>
      </w:r>
      <w:r>
        <w:t>Przeniesienie przepisów</w:t>
      </w:r>
      <w:r w:rsidRPr="006764F9">
        <w:t xml:space="preserve"> jest słuszn</w:t>
      </w:r>
      <w:r>
        <w:t>e</w:t>
      </w:r>
      <w:r w:rsidRPr="006764F9">
        <w:t xml:space="preserve"> zarówno z</w:t>
      </w:r>
      <w:r>
        <w:t> </w:t>
      </w:r>
      <w:r w:rsidRPr="006764F9">
        <w:t>punktu widzenia odbiorców prawa, którzy poszukują przepisów dotyczących opłat w jednym miejscu, jak i z punktu widzenia zasad techniki prawodawczej, zgodnie z którymi ustawa powinna wyczerpująco regulować daną dziedzinę spraw, nie pozostawiając poza zakresem swego unormowania istotnych fragmentów tej dziedziny.</w:t>
      </w:r>
      <w:r>
        <w:t xml:space="preserve"> </w:t>
      </w:r>
    </w:p>
    <w:p w14:paraId="1BBD023C" w14:textId="6C42C96B" w:rsidR="00B06762" w:rsidRPr="00B33DAF" w:rsidRDefault="00B06762" w:rsidP="001D22CD">
      <w:pPr>
        <w:pStyle w:val="USTustnpkodeksu"/>
        <w:spacing w:before="120" w:line="276" w:lineRule="auto"/>
        <w:ind w:firstLine="0"/>
      </w:pPr>
      <w:r w:rsidRPr="00B33DAF">
        <w:t>Wprowadzana w art. 88 zmiana wynika z faktu, że treść zdania drugiego stanowi powtórzenie art. 111 pkt 12 ustawy o finansach publicznych (Dz. U. z 202</w:t>
      </w:r>
      <w:r>
        <w:t>2</w:t>
      </w:r>
      <w:r w:rsidRPr="00B33DAF">
        <w:t xml:space="preserve"> r. poz. </w:t>
      </w:r>
      <w:r>
        <w:t>1634</w:t>
      </w:r>
      <w:r w:rsidRPr="00B33DAF">
        <w:t xml:space="preserve">, </w:t>
      </w:r>
      <w:r>
        <w:t>1692, 1747, 1079, 1768, 1725, i 1964</w:t>
      </w:r>
      <w:r w:rsidRPr="00B33DAF">
        <w:t xml:space="preserve">), co stanowi naruszenie normy zawartej </w:t>
      </w:r>
      <w:r>
        <w:t xml:space="preserve">w </w:t>
      </w:r>
      <w:r w:rsidRPr="00B33DAF">
        <w:t>§ 4 ust. 1 Zasad techniki prawodawczej, zgodnie z którą ustawa nie może powtarzać przepisów zamieszczonych w</w:t>
      </w:r>
      <w:r w:rsidR="003A0216">
        <w:t> </w:t>
      </w:r>
      <w:r w:rsidRPr="00B33DAF">
        <w:t>innych ustawach.</w:t>
      </w:r>
    </w:p>
    <w:p w14:paraId="045D9977" w14:textId="018572BC" w:rsidR="00417D5C" w:rsidRPr="00993C40" w:rsidRDefault="001723A7" w:rsidP="001D22CD">
      <w:pPr>
        <w:pStyle w:val="PKTpunkt"/>
        <w:spacing w:before="120" w:line="276" w:lineRule="auto"/>
        <w:ind w:left="0" w:firstLine="0"/>
        <w:rPr>
          <w:rStyle w:val="Ppogrubienie"/>
          <w:rFonts w:eastAsiaTheme="minorHAnsi" w:cs="Times"/>
          <w:bCs w:val="0"/>
          <w:szCs w:val="24"/>
        </w:rPr>
      </w:pPr>
      <w:r>
        <w:rPr>
          <w:rStyle w:val="Ppogrubienie"/>
        </w:rPr>
        <w:t>2.32</w:t>
      </w:r>
      <w:r w:rsidR="008604D1">
        <w:rPr>
          <w:rStyle w:val="Ppogrubienie"/>
        </w:rPr>
        <w:t>.</w:t>
      </w:r>
      <w:r>
        <w:rPr>
          <w:rStyle w:val="Ppogrubienie"/>
        </w:rPr>
        <w:t xml:space="preserve"> </w:t>
      </w:r>
      <w:r w:rsidR="00417D5C">
        <w:rPr>
          <w:rStyle w:val="Ppogrubienie"/>
        </w:rPr>
        <w:t>Pozostałe przepisy</w:t>
      </w:r>
    </w:p>
    <w:p w14:paraId="295217EA" w14:textId="5CB219AD" w:rsidR="00417D5C" w:rsidRDefault="00061F50" w:rsidP="001D22CD">
      <w:pPr>
        <w:pStyle w:val="USTustnpkodeksu"/>
        <w:spacing w:before="120" w:line="276" w:lineRule="auto"/>
        <w:ind w:firstLine="0"/>
      </w:pPr>
      <w:r>
        <w:t>Został dodany</w:t>
      </w:r>
      <w:r w:rsidR="00417D5C">
        <w:t xml:space="preserve"> przejściowy określający sposób postępowania z</w:t>
      </w:r>
      <w:r w:rsidR="003A0216">
        <w:t> </w:t>
      </w:r>
      <w:r w:rsidR="00417D5C">
        <w:t>wydanymi pozwoleniami na wznoszenie i wykorzystywanie morskich farm wiatrowych oraz pozwoleniami i uzgodnieniami dotyczącymi kabli wyprowadzających moc z morskich farm wiatrowych w związku z projektowanymi zmianami w art. 23 i 26 ustawy zmienianej.</w:t>
      </w:r>
    </w:p>
    <w:p w14:paraId="4D6C31EA" w14:textId="4252B6BD" w:rsidR="00417D5C" w:rsidRDefault="00061F50" w:rsidP="001D22CD">
      <w:pPr>
        <w:pStyle w:val="USTustnpkodeksu"/>
        <w:spacing w:before="120" w:line="276" w:lineRule="auto"/>
        <w:ind w:firstLine="0"/>
      </w:pPr>
      <w:r>
        <w:t>Dalej dodaje się</w:t>
      </w:r>
      <w:r w:rsidR="00417D5C">
        <w:t xml:space="preserve"> przepis przejściowy określający sposób postępowania z postępowaniami wszczętymi i niezakończonymi przed dniem wejścia w życie projektu </w:t>
      </w:r>
      <w:r w:rsidR="00417D5C" w:rsidRPr="008C3AE6">
        <w:t>w</w:t>
      </w:r>
      <w:r w:rsidR="00417D5C">
        <w:t> </w:t>
      </w:r>
      <w:r w:rsidR="00417D5C" w:rsidRPr="008C3AE6">
        <w:t xml:space="preserve">sprawach, o których mowa w art. 82 ust. 3 pkt 1 ustawy zmienianej w art. </w:t>
      </w:r>
      <w:r w:rsidR="00266F07">
        <w:t>26</w:t>
      </w:r>
      <w:r w:rsidR="00417D5C">
        <w:t>, w związku ze zmianami w przepisach określających właściwość organów w tych sprawach.</w:t>
      </w:r>
    </w:p>
    <w:p w14:paraId="002C0083" w14:textId="757A250B" w:rsidR="00266F07" w:rsidRDefault="00061F50" w:rsidP="001D22CD">
      <w:pPr>
        <w:pStyle w:val="USTustnpkodeksu"/>
        <w:spacing w:before="120" w:line="276" w:lineRule="auto"/>
        <w:ind w:firstLine="0"/>
      </w:pPr>
      <w:r>
        <w:t>Wprowadza się przepis przejściowy</w:t>
      </w:r>
      <w:r w:rsidR="00266F07" w:rsidRPr="00FE438D">
        <w:t xml:space="preserve"> dotyczący stosowania zmian określonych, dotyczących </w:t>
      </w:r>
      <w:r w:rsidR="00266F07">
        <w:t xml:space="preserve">wydłużenia terminu na złożenie </w:t>
      </w:r>
      <w:r w:rsidR="00266F07" w:rsidRPr="00925099">
        <w:t xml:space="preserve">wniosku lub dokonanie zgłoszenia, o których mowa w art. 72 ust. 1 </w:t>
      </w:r>
      <w:r w:rsidR="00266F07">
        <w:t xml:space="preserve">ustawy zmienianej do 10 lat </w:t>
      </w:r>
      <w:r w:rsidR="00266F07" w:rsidRPr="00925099">
        <w:t>od dnia, w</w:t>
      </w:r>
      <w:r w:rsidR="00266F07">
        <w:t> </w:t>
      </w:r>
      <w:r w:rsidR="00266F07" w:rsidRPr="00925099">
        <w:t>którym decyzja o środowiskowych uwarunkowaniach stała się ostateczna</w:t>
      </w:r>
      <w:r w:rsidR="00266F07">
        <w:t>,</w:t>
      </w:r>
      <w:r w:rsidR="00266F07" w:rsidRPr="00925099">
        <w:t xml:space="preserve"> </w:t>
      </w:r>
      <w:r w:rsidR="00266F07">
        <w:t xml:space="preserve">także </w:t>
      </w:r>
      <w:r w:rsidR="00266F07" w:rsidRPr="00925099">
        <w:t>do decyzji o środowiskowych uwarunkowaniach wydanych przed wejściem w życie niniejszej ustawy</w:t>
      </w:r>
      <w:r w:rsidR="00266F07">
        <w:t>.</w:t>
      </w:r>
      <w:r w:rsidR="00266F07" w:rsidRPr="00925099">
        <w:t xml:space="preserve"> </w:t>
      </w:r>
    </w:p>
    <w:p w14:paraId="04C88CC5" w14:textId="69EC0583" w:rsidR="00266F07" w:rsidRDefault="00061F50" w:rsidP="00266F07">
      <w:pPr>
        <w:pStyle w:val="USTustnpkodeksu"/>
        <w:spacing w:before="120" w:line="276" w:lineRule="auto"/>
        <w:ind w:firstLine="0"/>
      </w:pPr>
      <w:r>
        <w:t xml:space="preserve">Dodaje się </w:t>
      </w:r>
      <w:r w:rsidR="00266F07">
        <w:t xml:space="preserve">przepis przejściowy potwierdzający, ze zmiany wprowadzane w ustawie </w:t>
      </w:r>
      <w:proofErr w:type="spellStart"/>
      <w:r w:rsidR="00266F07">
        <w:t>offshore</w:t>
      </w:r>
      <w:proofErr w:type="spellEnd"/>
      <w:r w:rsidR="00266F07">
        <w:t xml:space="preserve">, polegające na dodaniu upoważnienia do wydania obwieszczenia, dodaniu przepisów pozwalających przeliczyć wsparcie określone w decyzji z art. 16 i art. 18 oraz dodaniu przepisów doprecyzowujących w kwestii </w:t>
      </w:r>
      <w:r w:rsidR="00266F07" w:rsidRPr="00541B7C">
        <w:t>waloryzacj</w:t>
      </w:r>
      <w:r w:rsidR="00266F07">
        <w:t>i</w:t>
      </w:r>
      <w:r w:rsidR="00266F07" w:rsidRPr="00541B7C">
        <w:t xml:space="preserve"> poziomu wsparcia</w:t>
      </w:r>
      <w:r w:rsidR="00266F07">
        <w:t>,</w:t>
      </w:r>
      <w:r w:rsidR="00266F07" w:rsidRPr="00541B7C">
        <w:t xml:space="preserve"> </w:t>
      </w:r>
      <w:r w:rsidR="00266F07">
        <w:t xml:space="preserve">nie mają wpływu na ważność tych decyzji. Żaden z wymienionych, dodawanych przepisów nie ma wpływu na treść przedmiotowych decyzji, przepisy te dotyczą etapu późniejszego, tj. technicznych i rachunkowych aspektów rozliczania wsparcia w wysokości określonej właśnie w tych decyzjach. Jednakże, z uwagi na wagę obu ww. decyzji w całym systemie wsparcia </w:t>
      </w:r>
      <w:proofErr w:type="spellStart"/>
      <w:r w:rsidR="00266F07">
        <w:t>offshore</w:t>
      </w:r>
      <w:proofErr w:type="spellEnd"/>
      <w:r w:rsidR="00266F07">
        <w:t xml:space="preserve"> udzielanym w trybie administracyjnym, w celu zapewnienia pewności obrotu i uniknięcia wszelkich wątpliwości w tym zakresie, projektodawca proponuje wprowadzić przepis przejściowy w projektowanym brzmieniu.</w:t>
      </w:r>
    </w:p>
    <w:p w14:paraId="4AC3C9E7" w14:textId="464E8987" w:rsidR="00417D5C" w:rsidRPr="008C3AE6" w:rsidRDefault="00061F50" w:rsidP="001D22CD">
      <w:pPr>
        <w:pStyle w:val="USTustnpkodeksu"/>
        <w:spacing w:before="120" w:line="276" w:lineRule="auto"/>
        <w:ind w:firstLine="0"/>
      </w:pPr>
      <w:r>
        <w:t>Ostatni z przepisów przejściowych utrzymuje w mocy przez okres</w:t>
      </w:r>
      <w:r w:rsidR="00417D5C" w:rsidRPr="008C3AE6">
        <w:t xml:space="preserve"> 36 miesięcy dotychczasowe przepisy wykonawcze wydane na podstawie art. 43 ust. 4 ustawy </w:t>
      </w:r>
      <w:proofErr w:type="spellStart"/>
      <w:r w:rsidR="00417D5C" w:rsidRPr="008C3AE6">
        <w:t>offshore</w:t>
      </w:r>
      <w:proofErr w:type="spellEnd"/>
      <w:r w:rsidR="00417D5C" w:rsidRPr="008C3AE6">
        <w:t>.</w:t>
      </w:r>
    </w:p>
    <w:p w14:paraId="71ACB898" w14:textId="75E47817" w:rsidR="004C71D0" w:rsidRPr="004C71D0" w:rsidRDefault="004C71D0" w:rsidP="001D22CD">
      <w:pPr>
        <w:spacing w:before="240" w:line="276" w:lineRule="auto"/>
        <w:jc w:val="both"/>
        <w:rPr>
          <w:rFonts w:ascii="Times" w:hAnsi="Times" w:cs="Times"/>
          <w:b/>
          <w:bCs/>
          <w:sz w:val="24"/>
          <w:szCs w:val="24"/>
          <w:lang w:eastAsia="pl-PL"/>
        </w:rPr>
      </w:pPr>
      <w:r w:rsidRPr="004C71D0">
        <w:rPr>
          <w:rFonts w:ascii="Times" w:hAnsi="Times" w:cs="Times"/>
          <w:b/>
          <w:bCs/>
          <w:sz w:val="24"/>
          <w:szCs w:val="24"/>
          <w:lang w:eastAsia="pl-PL"/>
        </w:rPr>
        <w:t>2.</w:t>
      </w:r>
      <w:r w:rsidR="001723A7">
        <w:rPr>
          <w:rFonts w:ascii="Times" w:hAnsi="Times" w:cs="Times"/>
          <w:b/>
          <w:bCs/>
          <w:sz w:val="24"/>
          <w:szCs w:val="24"/>
          <w:lang w:eastAsia="pl-PL"/>
        </w:rPr>
        <w:t>33</w:t>
      </w:r>
      <w:r w:rsidR="00816EB3">
        <w:rPr>
          <w:rFonts w:ascii="Times" w:hAnsi="Times" w:cs="Times"/>
          <w:b/>
          <w:bCs/>
          <w:sz w:val="24"/>
          <w:szCs w:val="24"/>
          <w:lang w:eastAsia="pl-PL"/>
        </w:rPr>
        <w:t>.</w:t>
      </w:r>
      <w:r w:rsidR="00816EB3" w:rsidRPr="004C71D0">
        <w:rPr>
          <w:rFonts w:ascii="Times" w:hAnsi="Times" w:cs="Times"/>
          <w:b/>
          <w:bCs/>
          <w:sz w:val="24"/>
          <w:szCs w:val="24"/>
          <w:lang w:eastAsia="pl-PL"/>
        </w:rPr>
        <w:t xml:space="preserve"> </w:t>
      </w:r>
      <w:r w:rsidRPr="004C71D0">
        <w:rPr>
          <w:rFonts w:ascii="Times" w:hAnsi="Times" w:cs="Times"/>
          <w:b/>
          <w:bCs/>
          <w:sz w:val="24"/>
          <w:szCs w:val="24"/>
          <w:lang w:eastAsia="pl-PL"/>
        </w:rPr>
        <w:t>Przedłużenie zawieszenia wypłaty dodatku energetycznego</w:t>
      </w:r>
    </w:p>
    <w:p w14:paraId="39D549E6" w14:textId="25454A32" w:rsidR="004C71D0" w:rsidRDefault="004C71D0" w:rsidP="007639A6">
      <w:pPr>
        <w:spacing w:line="276" w:lineRule="auto"/>
        <w:jc w:val="both"/>
        <w:rPr>
          <w:rFonts w:ascii="Times New Roman" w:hAnsi="Times New Roman" w:cs="Times New Roman"/>
          <w:sz w:val="24"/>
          <w:szCs w:val="24"/>
        </w:rPr>
      </w:pPr>
      <w:bookmarkStart w:id="10" w:name="_Hlk119671137"/>
      <w:r>
        <w:rPr>
          <w:rFonts w:ascii="Times New Roman" w:hAnsi="Times New Roman" w:cs="Times New Roman"/>
          <w:sz w:val="24"/>
          <w:szCs w:val="24"/>
        </w:rPr>
        <w:lastRenderedPageBreak/>
        <w:t>Na okres od</w:t>
      </w:r>
      <w:r w:rsidRPr="004C71D0">
        <w:rPr>
          <w:rFonts w:ascii="Times New Roman" w:hAnsi="Times New Roman" w:cs="Times New Roman"/>
          <w:sz w:val="24"/>
          <w:szCs w:val="24"/>
        </w:rPr>
        <w:t xml:space="preserve"> 1 stycznia 2023 </w:t>
      </w:r>
      <w:r>
        <w:rPr>
          <w:rFonts w:ascii="Times New Roman" w:hAnsi="Times New Roman" w:cs="Times New Roman"/>
          <w:sz w:val="24"/>
          <w:szCs w:val="24"/>
        </w:rPr>
        <w:t xml:space="preserve">r. </w:t>
      </w:r>
      <w:r w:rsidRPr="004C71D0">
        <w:rPr>
          <w:rFonts w:ascii="Times New Roman" w:hAnsi="Times New Roman" w:cs="Times New Roman"/>
          <w:sz w:val="24"/>
          <w:szCs w:val="24"/>
        </w:rPr>
        <w:t>do 31 stycznia 2023</w:t>
      </w:r>
      <w:r>
        <w:rPr>
          <w:rFonts w:ascii="Times New Roman" w:hAnsi="Times New Roman" w:cs="Times New Roman"/>
          <w:sz w:val="24"/>
          <w:szCs w:val="24"/>
        </w:rPr>
        <w:t xml:space="preserve"> r.</w:t>
      </w:r>
      <w:r w:rsidRPr="004C71D0">
        <w:rPr>
          <w:rFonts w:ascii="Times New Roman" w:hAnsi="Times New Roman" w:cs="Times New Roman"/>
          <w:sz w:val="24"/>
          <w:szCs w:val="24"/>
        </w:rPr>
        <w:t xml:space="preserve"> </w:t>
      </w:r>
      <w:r>
        <w:rPr>
          <w:rFonts w:ascii="Times New Roman" w:hAnsi="Times New Roman" w:cs="Times New Roman"/>
          <w:sz w:val="24"/>
          <w:szCs w:val="24"/>
        </w:rPr>
        <w:t xml:space="preserve">przedłużone zostaje zawieszenie wypłaty </w:t>
      </w:r>
      <w:r w:rsidRPr="004C71D0">
        <w:rPr>
          <w:rFonts w:ascii="Times New Roman" w:hAnsi="Times New Roman" w:cs="Times New Roman"/>
          <w:sz w:val="24"/>
          <w:szCs w:val="24"/>
        </w:rPr>
        <w:t xml:space="preserve">dodatków energetycznych. </w:t>
      </w:r>
      <w:r>
        <w:rPr>
          <w:rFonts w:ascii="Times New Roman" w:hAnsi="Times New Roman" w:cs="Times New Roman"/>
          <w:sz w:val="24"/>
          <w:szCs w:val="24"/>
        </w:rPr>
        <w:t xml:space="preserve">Rozwiązanie to nie było dostosowane do specyfiki obecnej sytuacji związanej ze wzrostem cen energii elektrycznej. </w:t>
      </w:r>
      <w:r w:rsidRPr="004C71D0">
        <w:rPr>
          <w:rFonts w:ascii="Times New Roman" w:hAnsi="Times New Roman" w:cs="Times New Roman"/>
          <w:sz w:val="24"/>
          <w:szCs w:val="24"/>
        </w:rPr>
        <w:t xml:space="preserve">Na ten czas świadczenie zostało zastąpione rozwiązaniami przygotowanymi w ramach ustawy z dnia 7 października 2022 o szczególnych rozwiązaniach służących ochronie odbiorców energii elektrycznej w 2023 r. w związku z sytuacją na rynku energii elektrycznej tj. szczególną ochroną gospodarstw domowych polegająca na zamrożeniu cen energii elektrycznej i stawek opłat dystrybucyjnych na poziomie stosowanych w taryfach zatwierdzonych przez Prezesa Urzędu Regulacji Energetyki w 2022 r. </w:t>
      </w:r>
      <w:bookmarkEnd w:id="10"/>
      <w:r w:rsidRPr="004C71D0">
        <w:rPr>
          <w:rFonts w:ascii="Times New Roman" w:hAnsi="Times New Roman" w:cs="Times New Roman"/>
          <w:sz w:val="24"/>
          <w:szCs w:val="24"/>
        </w:rPr>
        <w:t>do określonego limitu 2 MWh oraz zwiększonych limitów dla odbiorców szczególnie wrażliwych - 2,6 MWh dla niepełnosprawnych oraz 3 MWh dla odbiorców posiadających Kartę Dużej Rodziny i rolników. Dodatkowo po przekroczeniu ww. limitów sprzedawcy energii elektrycznej będą rozliczać wszystkich odbiorców w grupie GD po cenie 693 zł/MWh - rozwiązanie przygotowane w ustawie z dnia 27 października 2022 o środkach nadzwyczajnych mających na celu ograniczenie wysokości cen energii elektrycznej oraz wsparcia niektórych odbiorców w 2023 r.</w:t>
      </w:r>
      <w:r>
        <w:rPr>
          <w:rFonts w:ascii="Times New Roman" w:hAnsi="Times New Roman" w:cs="Times New Roman"/>
          <w:sz w:val="24"/>
          <w:szCs w:val="24"/>
        </w:rPr>
        <w:t xml:space="preserve"> </w:t>
      </w:r>
    </w:p>
    <w:p w14:paraId="6E3C197B" w14:textId="4B328137" w:rsidR="00225CE7" w:rsidRPr="00936076" w:rsidRDefault="00225CE7" w:rsidP="007639A6">
      <w:pPr>
        <w:spacing w:line="276" w:lineRule="auto"/>
        <w:jc w:val="both"/>
        <w:rPr>
          <w:rFonts w:ascii="Times New Roman" w:hAnsi="Times New Roman" w:cs="Times New Roman"/>
          <w:b/>
          <w:bCs/>
          <w:sz w:val="24"/>
          <w:szCs w:val="24"/>
        </w:rPr>
      </w:pPr>
      <w:r w:rsidRPr="00936076">
        <w:rPr>
          <w:rFonts w:ascii="Times New Roman" w:hAnsi="Times New Roman" w:cs="Times New Roman"/>
          <w:b/>
          <w:bCs/>
          <w:sz w:val="24"/>
          <w:szCs w:val="24"/>
        </w:rPr>
        <w:t>2.</w:t>
      </w:r>
      <w:r w:rsidR="001723A7">
        <w:rPr>
          <w:rFonts w:ascii="Times New Roman" w:hAnsi="Times New Roman" w:cs="Times New Roman"/>
          <w:b/>
          <w:bCs/>
          <w:sz w:val="24"/>
          <w:szCs w:val="24"/>
        </w:rPr>
        <w:t>34</w:t>
      </w:r>
      <w:r w:rsidRPr="00936076">
        <w:rPr>
          <w:rFonts w:ascii="Times New Roman" w:hAnsi="Times New Roman" w:cs="Times New Roman"/>
          <w:b/>
          <w:bCs/>
          <w:sz w:val="24"/>
          <w:szCs w:val="24"/>
        </w:rPr>
        <w:t>. Dodatkowa możliwość zasilenia Funduszu COVID-19</w:t>
      </w:r>
    </w:p>
    <w:p w14:paraId="604C3294" w14:textId="29CB0A21" w:rsidR="00225CE7" w:rsidRDefault="00225CE7"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Projekt wprowadza również możliwość przewidzianą dla ministra właściwego do spraw finansów publicznych przekazania części środków pozyskanych ze sprzedaży emisji do uprawnień CO2 na cele związane z finansowaniem rekompensat o których mowa w niniejszym projekcie ustawy. </w:t>
      </w:r>
    </w:p>
    <w:p w14:paraId="4008C902" w14:textId="507E79F9" w:rsidR="006E3803" w:rsidRPr="001D22CD" w:rsidRDefault="00BB2075" w:rsidP="001D22CD">
      <w:pPr>
        <w:spacing w:after="20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2.35. </w:t>
      </w:r>
      <w:r w:rsidR="006E3803" w:rsidRPr="001D22CD">
        <w:rPr>
          <w:rFonts w:ascii="Times New Roman" w:hAnsi="Times New Roman" w:cs="Times New Roman"/>
          <w:b/>
          <w:bCs/>
          <w:sz w:val="24"/>
          <w:szCs w:val="24"/>
        </w:rPr>
        <w:t xml:space="preserve">Zmiana </w:t>
      </w:r>
      <w:r w:rsidR="006E3803" w:rsidRPr="001D22CD">
        <w:rPr>
          <w:rFonts w:ascii="Times New Roman" w:eastAsia="Times New Roman" w:hAnsi="Times New Roman" w:cs="Times New Roman"/>
          <w:b/>
          <w:bCs/>
          <w:sz w:val="24"/>
          <w:szCs w:val="24"/>
          <w:lang w:eastAsia="pl-PL"/>
        </w:rPr>
        <w:t>w ustawie z dnia 4 lipca 2019 r. o zmianie ustawy o odpadach oraz niektórych innych ustaw</w:t>
      </w:r>
    </w:p>
    <w:p w14:paraId="66760D6F" w14:textId="77777777" w:rsidR="006E3803" w:rsidRPr="00BC145A" w:rsidRDefault="006E3803" w:rsidP="001D22CD">
      <w:pPr>
        <w:autoSpaceDN w:val="0"/>
        <w:spacing w:after="0" w:line="276" w:lineRule="auto"/>
        <w:ind w:firstLine="709"/>
        <w:contextualSpacing/>
        <w:jc w:val="both"/>
        <w:rPr>
          <w:rFonts w:ascii="Times New Roman" w:eastAsia="Times New Roman" w:hAnsi="Times New Roman" w:cs="Times New Roman"/>
          <w:sz w:val="24"/>
          <w:szCs w:val="24"/>
          <w:lang w:eastAsia="pl-PL"/>
        </w:rPr>
      </w:pPr>
      <w:r w:rsidRPr="00BC145A">
        <w:rPr>
          <w:rFonts w:ascii="Times New Roman" w:eastAsia="Times New Roman" w:hAnsi="Times New Roman" w:cs="Times New Roman"/>
          <w:sz w:val="24"/>
          <w:szCs w:val="24"/>
          <w:lang w:eastAsia="pl-PL"/>
        </w:rPr>
        <w:t xml:space="preserve">Z uwagi na równolegle prowadzone prace nad projektem ustawy dotyczącym systemu rozszerzonej odpowiedzialności producenta (ROP), który zakłada zasadnicze zmiany w zakresie wystawiania potwierdzeń uzyskania poziomów zagospodarowania odpadów powstałych z produktów objętych systemem ROP, jest konieczne przesunięcie terminu uruchomienia tzw. modułu potwierdzeń w ramach systemu BDO na dzień 1 stycznia 2025 r. W związku z powyższym w ustawie z dnia 4 lipca 2019 r. o zmianie ustawy o odpadach oraz niektórych innych ustaw (Dz.U. poz. 1403, z 2020 r. poz. 2361 oraz z 2021 r. poz. 2151), zmieniono art. 15, art. 16 oraz art. 18, dotyczące odpowiednio: </w:t>
      </w:r>
    </w:p>
    <w:p w14:paraId="59EE4725" w14:textId="77777777" w:rsidR="006E3803" w:rsidRPr="00BC145A" w:rsidRDefault="006E3803" w:rsidP="001D22CD">
      <w:pPr>
        <w:numPr>
          <w:ilvl w:val="0"/>
          <w:numId w:val="23"/>
        </w:numPr>
        <w:autoSpaceDN w:val="0"/>
        <w:spacing w:after="0" w:line="276" w:lineRule="auto"/>
        <w:contextualSpacing/>
        <w:jc w:val="both"/>
        <w:rPr>
          <w:rFonts w:ascii="Times New Roman" w:eastAsia="Times New Roman" w:hAnsi="Times New Roman" w:cs="Times New Roman"/>
          <w:sz w:val="24"/>
          <w:szCs w:val="24"/>
          <w:lang w:eastAsia="pl-PL"/>
        </w:rPr>
      </w:pPr>
      <w:r w:rsidRPr="00BC145A">
        <w:rPr>
          <w:rFonts w:ascii="Times New Roman" w:eastAsia="Times New Roman" w:hAnsi="Times New Roman" w:cs="Times New Roman"/>
          <w:sz w:val="24"/>
          <w:szCs w:val="24"/>
          <w:lang w:eastAsia="pl-PL"/>
        </w:rPr>
        <w:t xml:space="preserve">dokumentów potwierdzających odrębnie odzysk i odrębnie recykling, o których mowa w art. 11 ust. 2 ustawy z dnia </w:t>
      </w:r>
      <w:r w:rsidRPr="00BC145A">
        <w:rPr>
          <w:rFonts w:ascii="Times New Roman" w:eastAsia="Times New Roman" w:hAnsi="Times New Roman" w:cs="Times New Roman"/>
          <w:bCs/>
          <w:color w:val="000000"/>
          <w:sz w:val="24"/>
          <w:szCs w:val="24"/>
          <w:lang w:eastAsia="pl-PL"/>
        </w:rPr>
        <w:t>11 maja 2001 r. o obowiązkach przedsiębiorców w zakresie gospodarowania niektórymi odpadami oraz o opłacie produktowej,</w:t>
      </w:r>
    </w:p>
    <w:p w14:paraId="252C3EE5" w14:textId="77777777" w:rsidR="006E3803" w:rsidRPr="00BC145A" w:rsidRDefault="006E3803" w:rsidP="001D22CD">
      <w:pPr>
        <w:numPr>
          <w:ilvl w:val="0"/>
          <w:numId w:val="23"/>
        </w:numPr>
        <w:autoSpaceDN w:val="0"/>
        <w:spacing w:after="0" w:line="276" w:lineRule="auto"/>
        <w:contextualSpacing/>
        <w:jc w:val="both"/>
        <w:rPr>
          <w:rFonts w:ascii="Times New Roman" w:eastAsia="Times New Roman" w:hAnsi="Times New Roman" w:cs="Times New Roman"/>
          <w:sz w:val="24"/>
          <w:szCs w:val="24"/>
          <w:lang w:eastAsia="pl-PL"/>
        </w:rPr>
      </w:pPr>
      <w:r w:rsidRPr="00BC145A">
        <w:rPr>
          <w:rFonts w:ascii="Times New Roman" w:eastAsia="Times New Roman" w:hAnsi="Times New Roman" w:cs="Times New Roman"/>
          <w:sz w:val="24"/>
          <w:szCs w:val="24"/>
          <w:lang w:eastAsia="pl-PL"/>
        </w:rPr>
        <w:t xml:space="preserve">zaświadczeń, o których mowa w art. 59a i art. 64a ustawy z dnia </w:t>
      </w:r>
      <w:r w:rsidRPr="00BC145A">
        <w:rPr>
          <w:rFonts w:ascii="Times" w:eastAsia="Times New Roman" w:hAnsi="Times" w:cs="Times"/>
          <w:sz w:val="24"/>
          <w:szCs w:val="24"/>
          <w:lang w:eastAsia="pl-PL"/>
        </w:rPr>
        <w:t>24 kwietnia 2009 r. o bateriach i akumulatorach (Dz. U. z 2022 r. poz. 1113)</w:t>
      </w:r>
      <w:r w:rsidRPr="00BC145A">
        <w:rPr>
          <w:rFonts w:ascii="Times New Roman" w:eastAsia="Times New Roman" w:hAnsi="Times New Roman" w:cs="Times New Roman"/>
          <w:sz w:val="24"/>
          <w:szCs w:val="24"/>
          <w:lang w:eastAsia="pl-PL"/>
        </w:rPr>
        <w:t>,</w:t>
      </w:r>
    </w:p>
    <w:p w14:paraId="2D75929C" w14:textId="77777777" w:rsidR="006E3803" w:rsidRPr="00BC145A" w:rsidRDefault="006E3803" w:rsidP="001D22CD">
      <w:pPr>
        <w:numPr>
          <w:ilvl w:val="0"/>
          <w:numId w:val="23"/>
        </w:numPr>
        <w:autoSpaceDN w:val="0"/>
        <w:spacing w:after="0" w:line="276" w:lineRule="auto"/>
        <w:contextualSpacing/>
        <w:jc w:val="both"/>
        <w:rPr>
          <w:rFonts w:ascii="Times New Roman" w:eastAsia="Times New Roman" w:hAnsi="Times New Roman" w:cs="Times New Roman"/>
          <w:sz w:val="24"/>
          <w:szCs w:val="24"/>
          <w:lang w:eastAsia="pl-PL"/>
        </w:rPr>
      </w:pPr>
      <w:r w:rsidRPr="00BC145A">
        <w:rPr>
          <w:rFonts w:ascii="Times New Roman" w:eastAsia="Times New Roman" w:hAnsi="Times New Roman" w:cs="Times New Roman"/>
          <w:color w:val="000000"/>
          <w:sz w:val="24"/>
          <w:szCs w:val="24"/>
          <w:lang w:eastAsia="pl-PL"/>
        </w:rPr>
        <w:t xml:space="preserve">zaświadczeń, o których mowa w art. 53 ust. 1, art. 55 ust. 1 i art. 57 ust. 1 ustawy </w:t>
      </w:r>
      <w:r w:rsidRPr="00BC145A">
        <w:rPr>
          <w:rFonts w:ascii="Times New Roman" w:eastAsia="Times New Roman" w:hAnsi="Times New Roman" w:cs="Times New Roman"/>
          <w:sz w:val="24"/>
          <w:szCs w:val="24"/>
          <w:lang w:eastAsia="pl-PL"/>
        </w:rPr>
        <w:t>z dnia 11 września 2015 r. o zużytym sprzęcie elektrycznym i elektronicznym.</w:t>
      </w:r>
    </w:p>
    <w:p w14:paraId="12864616" w14:textId="77777777" w:rsidR="006E3803" w:rsidRPr="00BC145A" w:rsidRDefault="006E3803" w:rsidP="001D22CD">
      <w:pPr>
        <w:autoSpaceDN w:val="0"/>
        <w:spacing w:after="0" w:line="276" w:lineRule="auto"/>
        <w:contextualSpacing/>
        <w:jc w:val="both"/>
        <w:rPr>
          <w:rFonts w:ascii="Times New Roman" w:eastAsia="Times New Roman" w:hAnsi="Times New Roman" w:cs="Times New Roman"/>
          <w:sz w:val="24"/>
          <w:szCs w:val="24"/>
          <w:lang w:eastAsia="pl-PL"/>
        </w:rPr>
      </w:pPr>
      <w:r w:rsidRPr="00BC145A">
        <w:rPr>
          <w:rFonts w:ascii="Times New Roman" w:eastAsia="Times New Roman" w:hAnsi="Times New Roman" w:cs="Times New Roman"/>
          <w:sz w:val="24"/>
          <w:szCs w:val="24"/>
          <w:lang w:eastAsia="pl-PL"/>
        </w:rPr>
        <w:t xml:space="preserve">Wyżej wymienione dokumenty będą sporządzane zgodnie z przepisami dotychczasowymi, a zatem w formie papierowej, za kolejne dwa lata: 2023 i 2024. </w:t>
      </w:r>
    </w:p>
    <w:p w14:paraId="443B848C" w14:textId="77777777" w:rsidR="006E3803" w:rsidRPr="00BC145A" w:rsidRDefault="006E3803" w:rsidP="001D22CD">
      <w:pPr>
        <w:widowControl w:val="0"/>
        <w:autoSpaceDE w:val="0"/>
        <w:autoSpaceDN w:val="0"/>
        <w:adjustRightInd w:val="0"/>
        <w:spacing w:after="0" w:line="276" w:lineRule="auto"/>
        <w:ind w:firstLine="284"/>
        <w:contextualSpacing/>
        <w:jc w:val="both"/>
        <w:rPr>
          <w:rFonts w:ascii="Times New Roman" w:eastAsia="Times New Roman" w:hAnsi="Times New Roman" w:cs="Times New Roman"/>
          <w:sz w:val="24"/>
          <w:szCs w:val="24"/>
          <w:lang w:eastAsia="pl-PL"/>
        </w:rPr>
      </w:pPr>
      <w:r w:rsidRPr="00BC145A">
        <w:rPr>
          <w:rFonts w:ascii="Times New Roman" w:eastAsia="Times New Roman" w:hAnsi="Times New Roman" w:cs="Times New Roman"/>
          <w:sz w:val="24"/>
          <w:szCs w:val="24"/>
          <w:lang w:eastAsia="pl-PL"/>
        </w:rPr>
        <w:t xml:space="preserve">Z tych samych względów proponuje się zmianę art. 13 ust. 7 ustawy z dnia 17 listopada 2021 r. o zmianie ustawy o odpadach oraz niektórych innych ustaw (Dz. U. poz. 2151) polegającą na </w:t>
      </w:r>
      <w:r w:rsidRPr="00BC145A">
        <w:rPr>
          <w:rFonts w:ascii="Times New Roman" w:eastAsia="Times New Roman" w:hAnsi="Times New Roman" w:cs="Times New Roman"/>
          <w:sz w:val="24"/>
          <w:szCs w:val="24"/>
          <w:lang w:eastAsia="pl-PL"/>
        </w:rPr>
        <w:lastRenderedPageBreak/>
        <w:t>przedłużeniu stosowania dotychczasowych przepisów do sporządzania dokumentów DPR i EDPR także za lata 2023 i 2024.</w:t>
      </w:r>
    </w:p>
    <w:p w14:paraId="4993FF3F" w14:textId="77777777" w:rsidR="00BB2075" w:rsidRDefault="00BB2075" w:rsidP="001723A7">
      <w:pPr>
        <w:spacing w:line="276" w:lineRule="auto"/>
        <w:jc w:val="both"/>
        <w:rPr>
          <w:rFonts w:ascii="Times New Roman" w:eastAsia="Times New Roman" w:hAnsi="Times New Roman" w:cs="Times New Roman"/>
          <w:b/>
          <w:bCs/>
          <w:sz w:val="24"/>
          <w:szCs w:val="24"/>
          <w:lang w:eastAsia="pl-PL"/>
        </w:rPr>
      </w:pPr>
    </w:p>
    <w:p w14:paraId="6D506E0D" w14:textId="3E376486" w:rsidR="006E3803" w:rsidRDefault="00BB2075" w:rsidP="001723A7">
      <w:pPr>
        <w:spacing w:line="276" w:lineRule="auto"/>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2.36. </w:t>
      </w:r>
      <w:r w:rsidR="006E3803" w:rsidRPr="001D22CD">
        <w:rPr>
          <w:rFonts w:ascii="Times New Roman" w:eastAsia="Times New Roman" w:hAnsi="Times New Roman" w:cs="Times New Roman"/>
          <w:b/>
          <w:bCs/>
          <w:sz w:val="24"/>
          <w:szCs w:val="24"/>
          <w:lang w:eastAsia="pl-PL"/>
        </w:rPr>
        <w:t>Zmiana w ustawie z dnia 17 listopada 2021 r. o zmianie ustawy o odpadach oraz niektórych innych ustaw</w:t>
      </w:r>
    </w:p>
    <w:p w14:paraId="5C08E703" w14:textId="5C554E99" w:rsidR="006E3803" w:rsidRDefault="006E3803" w:rsidP="001D22CD">
      <w:pPr>
        <w:suppressAutoHyphens/>
        <w:autoSpaceDE w:val="0"/>
        <w:autoSpaceDN w:val="0"/>
        <w:adjustRightInd w:val="0"/>
        <w:spacing w:before="120"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projekcie </w:t>
      </w:r>
      <w:r w:rsidRPr="00ED64F7">
        <w:rPr>
          <w:rFonts w:ascii="Times New Roman" w:eastAsia="Times New Roman" w:hAnsi="Times New Roman" w:cs="Times New Roman"/>
          <w:sz w:val="24"/>
          <w:szCs w:val="24"/>
          <w:lang w:eastAsia="pl-PL"/>
        </w:rPr>
        <w:t xml:space="preserve">przesunięto z 1 stycznia 2023 r. na 1 stycznia 2025  r.  termin wejścia w życie przepisów dotyczących sposobu obowiązku selektywnego zbierania odpadów budowlanych i rozbiórkowych. Powyższa zmiana pozwoli na zapewnienie przedsiębiorcom dłuższego czasu na dostosowanie działalności do wykonywania nowych obowiązków, w tym również </w:t>
      </w:r>
      <w:r>
        <w:rPr>
          <w:rFonts w:ascii="Times New Roman" w:eastAsia="Times New Roman" w:hAnsi="Times New Roman" w:cs="Times New Roman"/>
          <w:sz w:val="24"/>
          <w:szCs w:val="24"/>
          <w:lang w:eastAsia="pl-PL"/>
        </w:rPr>
        <w:t xml:space="preserve">na </w:t>
      </w:r>
      <w:r w:rsidRPr="00ED64F7">
        <w:rPr>
          <w:rFonts w:ascii="Times New Roman" w:eastAsia="Times New Roman" w:hAnsi="Times New Roman" w:cs="Times New Roman"/>
          <w:sz w:val="24"/>
          <w:szCs w:val="24"/>
          <w:lang w:eastAsia="pl-PL"/>
        </w:rPr>
        <w:t>dostosowanie decyzji z zakresu gospodarki odpadami.</w:t>
      </w:r>
    </w:p>
    <w:p w14:paraId="66830ED6" w14:textId="77777777" w:rsidR="006E3803" w:rsidRPr="001D22CD" w:rsidRDefault="006E3803" w:rsidP="007639A6">
      <w:pPr>
        <w:spacing w:line="276" w:lineRule="auto"/>
        <w:jc w:val="both"/>
        <w:rPr>
          <w:rFonts w:ascii="Times New Roman" w:hAnsi="Times New Roman" w:cs="Times New Roman"/>
          <w:b/>
          <w:bCs/>
          <w:sz w:val="24"/>
          <w:szCs w:val="24"/>
        </w:rPr>
      </w:pPr>
    </w:p>
    <w:p w14:paraId="560EB5C6" w14:textId="6BB455DD" w:rsidR="00212629" w:rsidRDefault="00B564CE" w:rsidP="007639A6">
      <w:pPr>
        <w:pStyle w:val="ARTartustawynprozporzdzenia"/>
        <w:spacing w:line="276" w:lineRule="auto"/>
        <w:ind w:firstLine="0"/>
        <w:rPr>
          <w:rFonts w:ascii="Times New Roman" w:hAnsi="Times New Roman" w:cs="Times New Roman"/>
          <w:b/>
          <w:szCs w:val="24"/>
        </w:rPr>
      </w:pPr>
      <w:r>
        <w:rPr>
          <w:rFonts w:ascii="Times New Roman" w:hAnsi="Times New Roman" w:cs="Times New Roman"/>
          <w:b/>
          <w:szCs w:val="24"/>
        </w:rPr>
        <w:t>3</w:t>
      </w:r>
      <w:r w:rsidR="008C611B" w:rsidRPr="001D65D1">
        <w:rPr>
          <w:rFonts w:ascii="Times New Roman" w:hAnsi="Times New Roman" w:cs="Times New Roman"/>
          <w:b/>
          <w:szCs w:val="24"/>
        </w:rPr>
        <w:t xml:space="preserve">. </w:t>
      </w:r>
      <w:r w:rsidR="00DA094D">
        <w:rPr>
          <w:rFonts w:ascii="Times New Roman" w:hAnsi="Times New Roman" w:cs="Times New Roman"/>
          <w:b/>
          <w:szCs w:val="24"/>
        </w:rPr>
        <w:tab/>
        <w:t>W</w:t>
      </w:r>
      <w:r w:rsidR="00FD49B9" w:rsidRPr="001D65D1">
        <w:rPr>
          <w:rFonts w:ascii="Times New Roman" w:hAnsi="Times New Roman" w:cs="Times New Roman"/>
          <w:b/>
          <w:szCs w:val="24"/>
        </w:rPr>
        <w:t>ejści</w:t>
      </w:r>
      <w:r w:rsidR="00DA094D">
        <w:rPr>
          <w:rFonts w:ascii="Times New Roman" w:hAnsi="Times New Roman" w:cs="Times New Roman"/>
          <w:b/>
          <w:szCs w:val="24"/>
        </w:rPr>
        <w:t>e</w:t>
      </w:r>
      <w:r w:rsidR="00FD49B9" w:rsidRPr="001D65D1">
        <w:rPr>
          <w:rFonts w:ascii="Times New Roman" w:hAnsi="Times New Roman" w:cs="Times New Roman"/>
          <w:b/>
          <w:szCs w:val="24"/>
        </w:rPr>
        <w:t xml:space="preserve"> w życie </w:t>
      </w:r>
    </w:p>
    <w:p w14:paraId="0D60450C" w14:textId="188C5A85" w:rsidR="00212629" w:rsidRDefault="007E74DA" w:rsidP="007639A6">
      <w:p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00212629" w:rsidRPr="00454DF3">
        <w:rPr>
          <w:rFonts w:ascii="Times New Roman" w:hAnsi="Times New Roman" w:cs="Times New Roman"/>
          <w:sz w:val="24"/>
          <w:szCs w:val="24"/>
        </w:rPr>
        <w:t xml:space="preserve">roponuje się, aby ustawa weszła w życie </w:t>
      </w:r>
      <w:r w:rsidR="00B564CE">
        <w:rPr>
          <w:rFonts w:ascii="Times New Roman" w:hAnsi="Times New Roman" w:cs="Times New Roman"/>
          <w:sz w:val="24"/>
          <w:szCs w:val="24"/>
        </w:rPr>
        <w:t xml:space="preserve">z dniem </w:t>
      </w:r>
      <w:r w:rsidR="00212629" w:rsidRPr="00454DF3">
        <w:rPr>
          <w:rFonts w:ascii="Times New Roman" w:hAnsi="Times New Roman" w:cs="Times New Roman"/>
          <w:sz w:val="24"/>
          <w:szCs w:val="24"/>
        </w:rPr>
        <w:t>następującym po dniu ogłoszenia</w:t>
      </w:r>
      <w:r w:rsidR="0058055F">
        <w:rPr>
          <w:rFonts w:ascii="Times New Roman" w:hAnsi="Times New Roman" w:cs="Times New Roman"/>
          <w:sz w:val="24"/>
          <w:szCs w:val="24"/>
        </w:rPr>
        <w:t>, z wyjątkami wskazanymi w treści przepisu</w:t>
      </w:r>
      <w:r w:rsidR="00212629" w:rsidRPr="00454DF3">
        <w:rPr>
          <w:rFonts w:ascii="Times New Roman" w:hAnsi="Times New Roman" w:cs="Times New Roman"/>
          <w:sz w:val="24"/>
          <w:szCs w:val="24"/>
        </w:rPr>
        <w:t>. Wejście w życie ustawy z dniem następującym po dniu jego ogłoszenia, uzasadnione jest trudną sytuacją odbiorców paliw gazowych, których dotknęły</w:t>
      </w:r>
      <w:r w:rsidR="00904AD4">
        <w:rPr>
          <w:rFonts w:ascii="Times New Roman" w:hAnsi="Times New Roman" w:cs="Times New Roman"/>
          <w:sz w:val="24"/>
          <w:szCs w:val="24"/>
        </w:rPr>
        <w:t>by</w:t>
      </w:r>
      <w:r w:rsidR="00212629" w:rsidRPr="00454DF3">
        <w:rPr>
          <w:rFonts w:ascii="Times New Roman" w:hAnsi="Times New Roman" w:cs="Times New Roman"/>
          <w:sz w:val="24"/>
          <w:szCs w:val="24"/>
        </w:rPr>
        <w:t xml:space="preserve"> podwyżki cen gazu. Przepisy projektu stanowią wsparcie dla gospodarstw domowych, mieszkańców budynków wielolokalowych</w:t>
      </w:r>
      <w:r w:rsidR="008E3CAF">
        <w:rPr>
          <w:rFonts w:ascii="Times New Roman" w:hAnsi="Times New Roman" w:cs="Times New Roman"/>
          <w:sz w:val="24"/>
          <w:szCs w:val="24"/>
        </w:rPr>
        <w:t>,</w:t>
      </w:r>
      <w:r w:rsidR="00212629" w:rsidRPr="00454DF3">
        <w:rPr>
          <w:rFonts w:ascii="Times New Roman" w:hAnsi="Times New Roman" w:cs="Times New Roman"/>
          <w:sz w:val="24"/>
          <w:szCs w:val="24"/>
        </w:rPr>
        <w:t xml:space="preserve"> jak i niektórych odbiorców wrażliwych. Termin wejścia w życie ustawy nie narusza zasad demokratycznego państwa prawnego i nie stoi w sprzeczności z art. 4 ust. 2 ustawy z dnia 20 lipca 2000 r. o ogłaszaniu aktów normatywnych i niektórych innych aktów prawnych (Dz. U. z 2019 r. poz. 1461).</w:t>
      </w:r>
    </w:p>
    <w:p w14:paraId="685ECBEE" w14:textId="050135C2" w:rsidR="00DA094D" w:rsidRPr="0009225C" w:rsidRDefault="00B564CE" w:rsidP="007639A6">
      <w:pPr>
        <w:pStyle w:val="ARTartustawynprozporzdzenia"/>
        <w:spacing w:line="276" w:lineRule="auto"/>
        <w:ind w:firstLine="0"/>
        <w:rPr>
          <w:rFonts w:ascii="Times New Roman" w:hAnsi="Times New Roman" w:cs="Times New Roman"/>
          <w:b/>
          <w:bCs/>
          <w:szCs w:val="24"/>
        </w:rPr>
      </w:pPr>
      <w:r>
        <w:rPr>
          <w:rFonts w:ascii="Times New Roman" w:hAnsi="Times New Roman" w:cs="Times New Roman"/>
          <w:b/>
          <w:bCs/>
          <w:szCs w:val="24"/>
        </w:rPr>
        <w:t>4</w:t>
      </w:r>
      <w:r w:rsidR="00DA094D">
        <w:rPr>
          <w:rFonts w:ascii="Times New Roman" w:hAnsi="Times New Roman" w:cs="Times New Roman"/>
          <w:b/>
          <w:bCs/>
          <w:szCs w:val="24"/>
        </w:rPr>
        <w:t xml:space="preserve">. </w:t>
      </w:r>
      <w:r w:rsidR="00DA094D">
        <w:rPr>
          <w:rFonts w:ascii="Times New Roman" w:hAnsi="Times New Roman" w:cs="Times New Roman"/>
          <w:b/>
          <w:bCs/>
          <w:szCs w:val="24"/>
        </w:rPr>
        <w:tab/>
      </w:r>
      <w:r w:rsidR="00DA094D" w:rsidRPr="0009225C">
        <w:rPr>
          <w:rFonts w:ascii="Times New Roman" w:hAnsi="Times New Roman" w:cs="Times New Roman"/>
          <w:b/>
          <w:bCs/>
          <w:szCs w:val="24"/>
        </w:rPr>
        <w:t>Zgodność z prawem Unii Europejskiej</w:t>
      </w:r>
    </w:p>
    <w:p w14:paraId="75D06FAB" w14:textId="7D1B2123" w:rsidR="00DA094D" w:rsidRPr="001D65D1" w:rsidRDefault="003C6F4E" w:rsidP="007639A6">
      <w:pPr>
        <w:spacing w:after="0" w:line="276" w:lineRule="auto"/>
        <w:ind w:firstLine="708"/>
        <w:rPr>
          <w:rFonts w:ascii="Times New Roman" w:hAnsi="Times New Roman" w:cs="Times New Roman"/>
          <w:sz w:val="24"/>
          <w:szCs w:val="24"/>
        </w:rPr>
      </w:pPr>
      <w:r>
        <w:rPr>
          <w:rFonts w:ascii="Times New Roman" w:hAnsi="Times New Roman" w:cs="Times New Roman"/>
          <w:sz w:val="24"/>
          <w:szCs w:val="24"/>
        </w:rPr>
        <w:t>P</w:t>
      </w:r>
      <w:r w:rsidR="00DA094D" w:rsidRPr="00DA094D">
        <w:rPr>
          <w:rFonts w:ascii="Times New Roman" w:hAnsi="Times New Roman" w:cs="Times New Roman"/>
          <w:sz w:val="24"/>
          <w:szCs w:val="24"/>
        </w:rPr>
        <w:t xml:space="preserve">rojekt ustawy </w:t>
      </w:r>
      <w:r>
        <w:rPr>
          <w:rFonts w:ascii="Times New Roman" w:hAnsi="Times New Roman" w:cs="Times New Roman"/>
          <w:sz w:val="24"/>
          <w:szCs w:val="24"/>
        </w:rPr>
        <w:t>nie jest sprzeczny z</w:t>
      </w:r>
      <w:r w:rsidR="00DA094D" w:rsidRPr="00DA094D">
        <w:rPr>
          <w:rFonts w:ascii="Times New Roman" w:hAnsi="Times New Roman" w:cs="Times New Roman"/>
          <w:sz w:val="24"/>
          <w:szCs w:val="24"/>
        </w:rPr>
        <w:t xml:space="preserve"> prawem Unii Europejskiej.</w:t>
      </w:r>
    </w:p>
    <w:p w14:paraId="63255E3E" w14:textId="0D5A0B89" w:rsidR="00FD49B9" w:rsidRPr="001D65D1" w:rsidRDefault="00B564CE" w:rsidP="007639A6">
      <w:pPr>
        <w:spacing w:before="100" w:beforeAutospacing="1" w:after="0" w:line="276" w:lineRule="auto"/>
        <w:jc w:val="both"/>
        <w:rPr>
          <w:rFonts w:ascii="Times New Roman" w:hAnsi="Times New Roman" w:cs="Times New Roman"/>
          <w:b/>
          <w:sz w:val="24"/>
          <w:szCs w:val="24"/>
        </w:rPr>
      </w:pPr>
      <w:r>
        <w:rPr>
          <w:rFonts w:ascii="Times New Roman" w:hAnsi="Times New Roman" w:cs="Times New Roman"/>
          <w:b/>
          <w:sz w:val="24"/>
          <w:szCs w:val="24"/>
        </w:rPr>
        <w:t>5</w:t>
      </w:r>
      <w:r w:rsidR="00FD49B9" w:rsidRPr="001D65D1">
        <w:rPr>
          <w:rFonts w:ascii="Times New Roman" w:hAnsi="Times New Roman" w:cs="Times New Roman"/>
          <w:b/>
          <w:sz w:val="24"/>
          <w:szCs w:val="24"/>
        </w:rPr>
        <w:t xml:space="preserve">. </w:t>
      </w:r>
      <w:r w:rsidR="00DA094D">
        <w:rPr>
          <w:rFonts w:ascii="Times New Roman" w:hAnsi="Times New Roman" w:cs="Times New Roman"/>
          <w:b/>
          <w:sz w:val="24"/>
          <w:szCs w:val="24"/>
        </w:rPr>
        <w:tab/>
      </w:r>
      <w:r w:rsidR="00FD49B9" w:rsidRPr="001D65D1">
        <w:rPr>
          <w:rFonts w:ascii="Times New Roman" w:hAnsi="Times New Roman" w:cs="Times New Roman"/>
          <w:b/>
          <w:sz w:val="24"/>
          <w:szCs w:val="24"/>
        </w:rPr>
        <w:t>Notyfikacja</w:t>
      </w:r>
    </w:p>
    <w:p w14:paraId="2B9D5AA0" w14:textId="2D2D9D63" w:rsidR="00FD49B9" w:rsidRDefault="00FD49B9" w:rsidP="007639A6">
      <w:pPr>
        <w:spacing w:after="0" w:line="276" w:lineRule="auto"/>
        <w:jc w:val="both"/>
        <w:rPr>
          <w:rFonts w:ascii="Times New Roman" w:hAnsi="Times New Roman" w:cs="Times New Roman"/>
          <w:sz w:val="24"/>
          <w:szCs w:val="24"/>
        </w:rPr>
      </w:pPr>
      <w:r w:rsidRPr="001D65D1">
        <w:rPr>
          <w:rFonts w:ascii="Times New Roman" w:hAnsi="Times New Roman" w:cs="Times New Roman"/>
          <w:sz w:val="24"/>
          <w:szCs w:val="24"/>
        </w:rPr>
        <w:tab/>
        <w:t xml:space="preserve">Projekt ustawy nie </w:t>
      </w:r>
      <w:r w:rsidR="001B1C02">
        <w:rPr>
          <w:rFonts w:ascii="Times New Roman" w:hAnsi="Times New Roman" w:cs="Times New Roman"/>
          <w:sz w:val="24"/>
          <w:szCs w:val="24"/>
        </w:rPr>
        <w:t xml:space="preserve">podlega </w:t>
      </w:r>
      <w:r w:rsidR="001B1C02" w:rsidRPr="001B1C02">
        <w:rPr>
          <w:rFonts w:ascii="Times New Roman" w:hAnsi="Times New Roman" w:cs="Times New Roman"/>
          <w:sz w:val="24"/>
          <w:szCs w:val="24"/>
        </w:rPr>
        <w:t>procedurze notyfikacji aktów prawnych, określonej w</w:t>
      </w:r>
      <w:r w:rsidR="00AF397D">
        <w:rPr>
          <w:rFonts w:ascii="Times New Roman" w:hAnsi="Times New Roman" w:cs="Times New Roman"/>
          <w:sz w:val="24"/>
          <w:szCs w:val="24"/>
        </w:rPr>
        <w:t> </w:t>
      </w:r>
      <w:r w:rsidR="001B1C02" w:rsidRPr="001B1C02">
        <w:rPr>
          <w:rFonts w:ascii="Times New Roman" w:hAnsi="Times New Roman" w:cs="Times New Roman"/>
          <w:sz w:val="24"/>
          <w:szCs w:val="24"/>
        </w:rPr>
        <w:t>przepisach</w:t>
      </w:r>
      <w:r w:rsidRPr="001D65D1">
        <w:rPr>
          <w:rFonts w:ascii="Times New Roman" w:hAnsi="Times New Roman" w:cs="Times New Roman"/>
          <w:sz w:val="24"/>
          <w:szCs w:val="24"/>
        </w:rPr>
        <w:t xml:space="preserve"> rozporządzenia Rady Ministrów z dnia 23 grudnia 2002 r. w sprawie funkcjonowania krajowego systemu notyfikacji norm i aktów prawnych (Dz. U. Nr 239 poz. 2039</w:t>
      </w:r>
      <w:r w:rsidR="001F2F8A">
        <w:rPr>
          <w:rFonts w:ascii="Times New Roman" w:hAnsi="Times New Roman" w:cs="Times New Roman"/>
          <w:sz w:val="24"/>
          <w:szCs w:val="24"/>
        </w:rPr>
        <w:t>,</w:t>
      </w:r>
      <w:r w:rsidRPr="001D65D1">
        <w:rPr>
          <w:rFonts w:ascii="Times New Roman" w:hAnsi="Times New Roman" w:cs="Times New Roman"/>
          <w:sz w:val="24"/>
          <w:szCs w:val="24"/>
        </w:rPr>
        <w:t xml:space="preserve"> </w:t>
      </w:r>
      <w:r w:rsidR="001B1C02" w:rsidRPr="001B1C02">
        <w:rPr>
          <w:rFonts w:ascii="Times New Roman" w:hAnsi="Times New Roman" w:cs="Times New Roman"/>
          <w:sz w:val="24"/>
          <w:szCs w:val="24"/>
        </w:rPr>
        <w:t>z późn. zm.</w:t>
      </w:r>
      <w:r w:rsidRPr="001D65D1">
        <w:rPr>
          <w:rFonts w:ascii="Times New Roman" w:hAnsi="Times New Roman" w:cs="Times New Roman"/>
          <w:sz w:val="24"/>
          <w:szCs w:val="24"/>
        </w:rPr>
        <w:t>)</w:t>
      </w:r>
      <w:r w:rsidR="001B1C02">
        <w:rPr>
          <w:rFonts w:ascii="Times New Roman" w:hAnsi="Times New Roman" w:cs="Times New Roman"/>
          <w:sz w:val="24"/>
          <w:szCs w:val="24"/>
        </w:rPr>
        <w:t xml:space="preserve">. </w:t>
      </w:r>
    </w:p>
    <w:p w14:paraId="0501798D" w14:textId="02069CEB" w:rsidR="001B1C02" w:rsidRDefault="001B1C02" w:rsidP="007639A6">
      <w:pPr>
        <w:spacing w:after="0" w:line="276" w:lineRule="auto"/>
        <w:ind w:firstLine="708"/>
        <w:jc w:val="both"/>
        <w:rPr>
          <w:rFonts w:ascii="Times New Roman" w:hAnsi="Times New Roman" w:cs="Times New Roman"/>
          <w:sz w:val="24"/>
          <w:szCs w:val="24"/>
        </w:rPr>
      </w:pPr>
      <w:r w:rsidRPr="001B1C02">
        <w:rPr>
          <w:rFonts w:ascii="Times New Roman" w:hAnsi="Times New Roman" w:cs="Times New Roman"/>
          <w:sz w:val="24"/>
          <w:szCs w:val="24"/>
        </w:rPr>
        <w:t>Projekt ustawy nie wymaga przedstawienia właściwym instytucjom i organom Unii Europejskiej, w tym Europejskiemu Bankowi Centralnemu, celem uzyskania opinii, dokonania powiadomienia, konsultacji albo uzgodnienia projektu.</w:t>
      </w:r>
    </w:p>
    <w:p w14:paraId="1566A5F5" w14:textId="52793107" w:rsidR="00DA094D" w:rsidRPr="000867EB" w:rsidRDefault="00B564CE" w:rsidP="007639A6">
      <w:pPr>
        <w:spacing w:before="100" w:beforeAutospacing="1" w:line="276" w:lineRule="auto"/>
        <w:jc w:val="both"/>
        <w:rPr>
          <w:rFonts w:ascii="Times New Roman" w:hAnsi="Times New Roman" w:cs="Times New Roman"/>
          <w:b/>
          <w:sz w:val="24"/>
          <w:szCs w:val="24"/>
        </w:rPr>
      </w:pPr>
      <w:r>
        <w:rPr>
          <w:rFonts w:ascii="Times New Roman" w:hAnsi="Times New Roman" w:cs="Times New Roman"/>
          <w:b/>
          <w:sz w:val="24"/>
          <w:szCs w:val="24"/>
        </w:rPr>
        <w:t>6</w:t>
      </w:r>
      <w:r w:rsidR="00DA094D" w:rsidRPr="000867EB">
        <w:rPr>
          <w:rFonts w:ascii="Times New Roman" w:hAnsi="Times New Roman" w:cs="Times New Roman"/>
          <w:b/>
          <w:sz w:val="24"/>
          <w:szCs w:val="24"/>
        </w:rPr>
        <w:t>.</w:t>
      </w:r>
      <w:r w:rsidR="00DA094D">
        <w:rPr>
          <w:rFonts w:ascii="Times New Roman" w:hAnsi="Times New Roman" w:cs="Times New Roman"/>
          <w:b/>
          <w:sz w:val="24"/>
          <w:szCs w:val="24"/>
        </w:rPr>
        <w:t xml:space="preserve"> </w:t>
      </w:r>
      <w:r w:rsidR="00DA094D">
        <w:rPr>
          <w:rFonts w:ascii="Times New Roman" w:hAnsi="Times New Roman" w:cs="Times New Roman"/>
          <w:b/>
          <w:sz w:val="24"/>
          <w:szCs w:val="24"/>
        </w:rPr>
        <w:tab/>
      </w:r>
      <w:r w:rsidR="00DA094D" w:rsidRPr="000867EB">
        <w:rPr>
          <w:rFonts w:ascii="Times New Roman" w:hAnsi="Times New Roman" w:cs="Times New Roman"/>
          <w:b/>
          <w:sz w:val="24"/>
          <w:szCs w:val="24"/>
        </w:rPr>
        <w:t>Wpływ na mikroprzedsiębiorców oraz małych i średnich przedsiębiorców</w:t>
      </w:r>
    </w:p>
    <w:p w14:paraId="7FB7DDD9" w14:textId="77777777" w:rsidR="00212629" w:rsidRPr="006B629D" w:rsidRDefault="00212629" w:rsidP="007639A6">
      <w:pPr>
        <w:spacing w:line="276" w:lineRule="auto"/>
        <w:jc w:val="both"/>
        <w:rPr>
          <w:rFonts w:ascii="Times New Roman" w:hAnsi="Times New Roman" w:cs="Times New Roman"/>
          <w:sz w:val="24"/>
          <w:szCs w:val="24"/>
        </w:rPr>
      </w:pPr>
      <w:r w:rsidRPr="006B629D">
        <w:rPr>
          <w:rFonts w:ascii="Times New Roman" w:hAnsi="Times New Roman" w:cs="Times New Roman"/>
          <w:sz w:val="24"/>
          <w:szCs w:val="24"/>
        </w:rPr>
        <w:t xml:space="preserve">Wejście w życie ustawy nie wpłynie w istotny sposób na działalność mikroprzedsiębiorców oraz małych i średnich przedsiębiorców. </w:t>
      </w:r>
      <w:r w:rsidRPr="00D05657">
        <w:rPr>
          <w:rFonts w:ascii="Times New Roman" w:hAnsi="Times New Roman" w:cs="Times New Roman"/>
          <w:sz w:val="24"/>
          <w:szCs w:val="24"/>
        </w:rPr>
        <w:t xml:space="preserve">Podkreślić należy jednak, że przewidziane </w:t>
      </w:r>
      <w:r>
        <w:rPr>
          <w:rFonts w:ascii="Times New Roman" w:hAnsi="Times New Roman" w:cs="Times New Roman"/>
          <w:sz w:val="24"/>
          <w:szCs w:val="24"/>
        </w:rPr>
        <w:br/>
      </w:r>
      <w:r w:rsidRPr="00D05657">
        <w:rPr>
          <w:rFonts w:ascii="Times New Roman" w:hAnsi="Times New Roman" w:cs="Times New Roman"/>
          <w:sz w:val="24"/>
          <w:szCs w:val="24"/>
        </w:rPr>
        <w:t>w projekcie ustawy instrumenty zabezpieczające podmioty pełniące szczególną rolę dla zapewnienia ciągłości dostaw do odbiorców paliw gazowych, w pośredni sposób chronią również mikroprzedsiębiorców oraz małych i średnich przedsiębiorców.</w:t>
      </w:r>
    </w:p>
    <w:p w14:paraId="4EAA6765" w14:textId="0E5AC478" w:rsidR="00FD49B9" w:rsidRPr="001D65D1" w:rsidRDefault="00B564CE" w:rsidP="007639A6">
      <w:pPr>
        <w:spacing w:before="100" w:beforeAutospacing="1" w:after="0" w:line="276" w:lineRule="auto"/>
        <w:jc w:val="both"/>
        <w:rPr>
          <w:rFonts w:ascii="Times New Roman" w:hAnsi="Times New Roman" w:cs="Times New Roman"/>
          <w:b/>
          <w:sz w:val="24"/>
          <w:szCs w:val="24"/>
        </w:rPr>
      </w:pPr>
      <w:r>
        <w:rPr>
          <w:rFonts w:ascii="Times New Roman" w:hAnsi="Times New Roman" w:cs="Times New Roman"/>
          <w:b/>
          <w:sz w:val="24"/>
          <w:szCs w:val="24"/>
        </w:rPr>
        <w:t>7</w:t>
      </w:r>
      <w:r w:rsidR="00FD49B9" w:rsidRPr="001D65D1">
        <w:rPr>
          <w:rFonts w:ascii="Times New Roman" w:hAnsi="Times New Roman" w:cs="Times New Roman"/>
          <w:b/>
          <w:sz w:val="24"/>
          <w:szCs w:val="24"/>
        </w:rPr>
        <w:t xml:space="preserve">. </w:t>
      </w:r>
      <w:r w:rsidR="00DA094D">
        <w:rPr>
          <w:rFonts w:ascii="Times New Roman" w:hAnsi="Times New Roman" w:cs="Times New Roman"/>
          <w:b/>
          <w:sz w:val="24"/>
          <w:szCs w:val="24"/>
        </w:rPr>
        <w:tab/>
      </w:r>
      <w:r w:rsidR="00FD49B9" w:rsidRPr="001D65D1">
        <w:rPr>
          <w:rFonts w:ascii="Times New Roman" w:hAnsi="Times New Roman" w:cs="Times New Roman"/>
          <w:b/>
          <w:sz w:val="24"/>
          <w:szCs w:val="24"/>
        </w:rPr>
        <w:t>Konsultacje projektu</w:t>
      </w:r>
    </w:p>
    <w:p w14:paraId="4B5D9DF8" w14:textId="380D8497" w:rsidR="00181516" w:rsidRDefault="00DA094D" w:rsidP="007639A6">
      <w:pPr>
        <w:spacing w:after="0" w:line="276" w:lineRule="auto"/>
        <w:jc w:val="both"/>
        <w:rPr>
          <w:rFonts w:ascii="Times New Roman" w:hAnsi="Times New Roman" w:cs="Times New Roman"/>
          <w:sz w:val="24"/>
          <w:szCs w:val="24"/>
        </w:rPr>
      </w:pPr>
      <w:r w:rsidRPr="00DA094D">
        <w:rPr>
          <w:rFonts w:ascii="Times New Roman" w:hAnsi="Times New Roman" w:cs="Times New Roman"/>
          <w:sz w:val="24"/>
          <w:szCs w:val="24"/>
        </w:rPr>
        <w:t>Projekt przedmiotowej regulacji, zgodnie z wymogami określonymi w art. 5 ustawy z</w:t>
      </w:r>
      <w:r w:rsidR="00AF397D">
        <w:rPr>
          <w:rFonts w:ascii="Times New Roman" w:hAnsi="Times New Roman" w:cs="Times New Roman"/>
          <w:sz w:val="24"/>
          <w:szCs w:val="24"/>
        </w:rPr>
        <w:t> </w:t>
      </w:r>
      <w:r w:rsidRPr="00DA094D">
        <w:rPr>
          <w:rFonts w:ascii="Times New Roman" w:hAnsi="Times New Roman" w:cs="Times New Roman"/>
          <w:sz w:val="24"/>
          <w:szCs w:val="24"/>
        </w:rPr>
        <w:t xml:space="preserve">dnia 7 lipca 2005 o działalności lobbingowej w procesie stosowania prawa (Dz. U. z 2017 r. poz. 248), </w:t>
      </w:r>
      <w:r w:rsidRPr="00DA094D">
        <w:rPr>
          <w:rFonts w:ascii="Times New Roman" w:hAnsi="Times New Roman" w:cs="Times New Roman"/>
          <w:sz w:val="24"/>
          <w:szCs w:val="24"/>
        </w:rPr>
        <w:lastRenderedPageBreak/>
        <w:t>zosta</w:t>
      </w:r>
      <w:r w:rsidR="007E74DA">
        <w:rPr>
          <w:rFonts w:ascii="Times New Roman" w:hAnsi="Times New Roman" w:cs="Times New Roman"/>
          <w:sz w:val="24"/>
          <w:szCs w:val="24"/>
        </w:rPr>
        <w:t>ł</w:t>
      </w:r>
      <w:r w:rsidRPr="00DA094D">
        <w:rPr>
          <w:rFonts w:ascii="Times New Roman" w:hAnsi="Times New Roman" w:cs="Times New Roman"/>
          <w:sz w:val="24"/>
          <w:szCs w:val="24"/>
        </w:rPr>
        <w:t xml:space="preserve"> udostępniony w Biuletynie Informacji Publicznej na stronie podmiotowej Rządowego Centrum Legislacji, w serwisie </w:t>
      </w:r>
      <w:r w:rsidR="00E67A67">
        <w:rPr>
          <w:rFonts w:ascii="Times New Roman" w:hAnsi="Times New Roman" w:cs="Times New Roman"/>
          <w:sz w:val="24"/>
          <w:szCs w:val="24"/>
        </w:rPr>
        <w:t>„</w:t>
      </w:r>
      <w:r w:rsidRPr="00DA094D">
        <w:rPr>
          <w:rFonts w:ascii="Times New Roman" w:hAnsi="Times New Roman" w:cs="Times New Roman"/>
          <w:sz w:val="24"/>
          <w:szCs w:val="24"/>
        </w:rPr>
        <w:t>Rządowy Proces Legislacyjny</w:t>
      </w:r>
      <w:r w:rsidR="00E67A67">
        <w:rPr>
          <w:rFonts w:ascii="Times New Roman" w:hAnsi="Times New Roman" w:cs="Times New Roman"/>
          <w:sz w:val="24"/>
          <w:szCs w:val="24"/>
        </w:rPr>
        <w:t>”</w:t>
      </w:r>
      <w:r w:rsidRPr="00DA094D">
        <w:rPr>
          <w:rFonts w:ascii="Times New Roman" w:hAnsi="Times New Roman" w:cs="Times New Roman"/>
          <w:sz w:val="24"/>
          <w:szCs w:val="24"/>
        </w:rPr>
        <w:t xml:space="preserve">. </w:t>
      </w:r>
    </w:p>
    <w:p w14:paraId="34B371E6" w14:textId="67F3498C" w:rsidR="00FD49B9" w:rsidRPr="001D65D1" w:rsidRDefault="00E02C41" w:rsidP="00EE5AF1">
      <w:pPr>
        <w:spacing w:after="0" w:line="276" w:lineRule="auto"/>
        <w:jc w:val="both"/>
        <w:rPr>
          <w:rFonts w:ascii="Times New Roman" w:hAnsi="Times New Roman" w:cs="Times New Roman"/>
          <w:sz w:val="24"/>
          <w:szCs w:val="24"/>
        </w:rPr>
      </w:pPr>
      <w:r w:rsidRPr="00F15C51">
        <w:rPr>
          <w:rFonts w:ascii="Times New Roman" w:hAnsi="Times New Roman" w:cs="Times New Roman"/>
          <w:sz w:val="24"/>
          <w:szCs w:val="24"/>
        </w:rPr>
        <w:t>Na podstawie § </w:t>
      </w:r>
      <w:bookmarkStart w:id="11" w:name="_Hlk109034277"/>
      <w:r w:rsidR="00403302">
        <w:rPr>
          <w:rFonts w:ascii="Times New Roman" w:hAnsi="Times New Roman" w:cs="Times New Roman"/>
          <w:sz w:val="24"/>
          <w:szCs w:val="24"/>
        </w:rPr>
        <w:t xml:space="preserve">61 ust. 5 oraz </w:t>
      </w:r>
      <w:r w:rsidR="00403302" w:rsidRPr="00F15C51">
        <w:rPr>
          <w:rFonts w:ascii="Times New Roman" w:hAnsi="Times New Roman" w:cs="Times New Roman"/>
          <w:sz w:val="24"/>
          <w:szCs w:val="24"/>
        </w:rPr>
        <w:t>§</w:t>
      </w:r>
      <w:r w:rsidR="00403302">
        <w:rPr>
          <w:rFonts w:ascii="Times New Roman" w:hAnsi="Times New Roman" w:cs="Times New Roman"/>
          <w:sz w:val="24"/>
          <w:szCs w:val="24"/>
        </w:rPr>
        <w:t xml:space="preserve"> 98 </w:t>
      </w:r>
      <w:r w:rsidR="001F2F8A">
        <w:rPr>
          <w:rFonts w:ascii="Times New Roman" w:hAnsi="Times New Roman" w:cs="Times New Roman"/>
          <w:sz w:val="24"/>
          <w:szCs w:val="24"/>
        </w:rPr>
        <w:t>–</w:t>
      </w:r>
      <w:r w:rsidR="00403302">
        <w:rPr>
          <w:rFonts w:ascii="Times New Roman" w:hAnsi="Times New Roman" w:cs="Times New Roman"/>
          <w:sz w:val="24"/>
          <w:szCs w:val="24"/>
        </w:rPr>
        <w:t xml:space="preserve"> 100</w:t>
      </w:r>
      <w:r w:rsidR="001F2F8A">
        <w:rPr>
          <w:rFonts w:ascii="Times New Roman" w:hAnsi="Times New Roman" w:cs="Times New Roman"/>
          <w:sz w:val="24"/>
          <w:szCs w:val="24"/>
        </w:rPr>
        <w:t xml:space="preserve"> </w:t>
      </w:r>
      <w:r w:rsidRPr="00F15C51">
        <w:rPr>
          <w:rFonts w:ascii="Times New Roman" w:eastAsia="Calibri" w:hAnsi="Times New Roman" w:cs="Times New Roman"/>
          <w:color w:val="000000"/>
          <w:sz w:val="24"/>
          <w:szCs w:val="24"/>
          <w:lang w:eastAsia="ar-SA"/>
        </w:rPr>
        <w:t>uchwały nr 190 Rady Ministrów z dnia 29 października 2013 r. - Regulamin pracy Rady Ministrów</w:t>
      </w:r>
      <w:r w:rsidRPr="00F15C51">
        <w:rPr>
          <w:rFonts w:ascii="Times New Roman" w:hAnsi="Times New Roman" w:cs="Times New Roman"/>
          <w:sz w:val="24"/>
          <w:szCs w:val="24"/>
        </w:rPr>
        <w:t xml:space="preserve"> (M.P. z 2022 r. poz. 348) </w:t>
      </w:r>
      <w:bookmarkEnd w:id="11"/>
      <w:r w:rsidRPr="00F15C51">
        <w:rPr>
          <w:rFonts w:ascii="Times New Roman" w:hAnsi="Times New Roman" w:cs="Times New Roman"/>
          <w:sz w:val="24"/>
          <w:szCs w:val="24"/>
        </w:rPr>
        <w:t>projekt zosta</w:t>
      </w:r>
      <w:r w:rsidR="00B564CE">
        <w:rPr>
          <w:rFonts w:ascii="Times New Roman" w:hAnsi="Times New Roman" w:cs="Times New Roman"/>
          <w:sz w:val="24"/>
          <w:szCs w:val="24"/>
        </w:rPr>
        <w:t>nie</w:t>
      </w:r>
      <w:r w:rsidRPr="00F15C51">
        <w:rPr>
          <w:rFonts w:ascii="Times New Roman" w:hAnsi="Times New Roman" w:cs="Times New Roman"/>
          <w:sz w:val="24"/>
          <w:szCs w:val="24"/>
        </w:rPr>
        <w:t xml:space="preserve"> skierowany do rozpatrzenia przez</w:t>
      </w:r>
      <w:r>
        <w:rPr>
          <w:rFonts w:ascii="Times New Roman" w:hAnsi="Times New Roman" w:cs="Times New Roman"/>
          <w:sz w:val="24"/>
          <w:szCs w:val="24"/>
        </w:rPr>
        <w:t xml:space="preserve"> </w:t>
      </w:r>
      <w:r w:rsidRPr="00F15C51">
        <w:rPr>
          <w:rFonts w:ascii="Times New Roman" w:hAnsi="Times New Roman" w:cs="Times New Roman"/>
          <w:sz w:val="24"/>
          <w:szCs w:val="24"/>
        </w:rPr>
        <w:t>Stały Komitet Rady Ministrów</w:t>
      </w:r>
      <w:r>
        <w:rPr>
          <w:rFonts w:ascii="Times New Roman" w:hAnsi="Times New Roman" w:cs="Times New Roman"/>
          <w:sz w:val="24"/>
          <w:szCs w:val="24"/>
        </w:rPr>
        <w:t>, a następnie do rozpatrzenia przez</w:t>
      </w:r>
      <w:r w:rsidRPr="00F15C51">
        <w:rPr>
          <w:rFonts w:ascii="Times New Roman" w:hAnsi="Times New Roman" w:cs="Times New Roman"/>
          <w:sz w:val="24"/>
          <w:szCs w:val="24"/>
        </w:rPr>
        <w:t xml:space="preserve"> Radę Ministrów</w:t>
      </w:r>
      <w:r>
        <w:rPr>
          <w:rFonts w:ascii="Times New Roman" w:hAnsi="Times New Roman" w:cs="Times New Roman"/>
          <w:sz w:val="24"/>
          <w:szCs w:val="24"/>
        </w:rPr>
        <w:t>,</w:t>
      </w:r>
      <w:r w:rsidRPr="00F15C51">
        <w:rPr>
          <w:rFonts w:ascii="Times New Roman" w:hAnsi="Times New Roman" w:cs="Times New Roman"/>
          <w:sz w:val="24"/>
          <w:szCs w:val="24"/>
        </w:rPr>
        <w:t xml:space="preserve"> z </w:t>
      </w:r>
      <w:bookmarkStart w:id="12" w:name="_Hlk109034218"/>
      <w:r w:rsidRPr="00F15C51">
        <w:rPr>
          <w:rFonts w:ascii="Times New Roman" w:hAnsi="Times New Roman" w:cs="Times New Roman"/>
          <w:sz w:val="24"/>
          <w:szCs w:val="24"/>
        </w:rPr>
        <w:t>pominięciem etapu uzgodnień międzyresortowych, konsultacji publicznych i opiniowania i właściwe komitety</w:t>
      </w:r>
      <w:r w:rsidR="00CE5905">
        <w:rPr>
          <w:rFonts w:ascii="Times New Roman" w:hAnsi="Times New Roman" w:cs="Times New Roman"/>
          <w:sz w:val="24"/>
          <w:szCs w:val="24"/>
        </w:rPr>
        <w:t>,</w:t>
      </w:r>
      <w:r w:rsidRPr="00F15C51">
        <w:rPr>
          <w:rFonts w:ascii="Times New Roman" w:hAnsi="Times New Roman" w:cs="Times New Roman"/>
          <w:sz w:val="24"/>
          <w:szCs w:val="24"/>
        </w:rPr>
        <w:t xml:space="preserve"> rozpatrzenia przez komisję prawniczą</w:t>
      </w:r>
      <w:r w:rsidR="00CE5905">
        <w:rPr>
          <w:rFonts w:ascii="Times New Roman" w:hAnsi="Times New Roman" w:cs="Times New Roman"/>
          <w:sz w:val="24"/>
          <w:szCs w:val="24"/>
        </w:rPr>
        <w:t xml:space="preserve"> oraz potwierdzenia przez Stały Komitet Rady Ministrów</w:t>
      </w:r>
      <w:r>
        <w:rPr>
          <w:rFonts w:ascii="Times New Roman" w:hAnsi="Times New Roman" w:cs="Times New Roman"/>
          <w:sz w:val="24"/>
          <w:szCs w:val="24"/>
        </w:rPr>
        <w:t>.</w:t>
      </w:r>
      <w:bookmarkEnd w:id="12"/>
      <w:r w:rsidRPr="00F15C51">
        <w:rPr>
          <w:rFonts w:ascii="Times New Roman" w:hAnsi="Times New Roman" w:cs="Times New Roman"/>
          <w:sz w:val="24"/>
          <w:szCs w:val="24"/>
        </w:rPr>
        <w:t xml:space="preserve"> </w:t>
      </w:r>
      <w:r w:rsidRPr="00F15C51">
        <w:rPr>
          <w:rFonts w:ascii="Times New Roman" w:hAnsi="Times New Roman" w:cs="Times New Roman"/>
          <w:bCs/>
          <w:sz w:val="24"/>
          <w:szCs w:val="24"/>
        </w:rPr>
        <w:t xml:space="preserve">Pilne procedowanie oraz priorytetowe traktowanie projektowanej regulacji są zasadne z uwagi na konieczność niezwłocznego wdrożenia instrumentów zawartych w projekcie w związku z postępującym wzrostem cen i dynamiczną sytuacją na rynku </w:t>
      </w:r>
      <w:r>
        <w:rPr>
          <w:rFonts w:ascii="Times New Roman" w:hAnsi="Times New Roman" w:cs="Times New Roman"/>
          <w:bCs/>
          <w:sz w:val="24"/>
          <w:szCs w:val="24"/>
        </w:rPr>
        <w:t>paliw gazowych</w:t>
      </w:r>
      <w:r w:rsidRPr="00F15C51">
        <w:rPr>
          <w:rFonts w:ascii="Times New Roman" w:hAnsi="Times New Roman" w:cs="Times New Roman"/>
          <w:bCs/>
          <w:sz w:val="24"/>
          <w:szCs w:val="24"/>
        </w:rPr>
        <w:t>.</w:t>
      </w:r>
    </w:p>
    <w:sectPr w:rsidR="00FD49B9" w:rsidRPr="001D65D1" w:rsidSect="00EE5AF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AC03D" w14:textId="77777777" w:rsidR="008919C5" w:rsidRDefault="008919C5" w:rsidP="00312D95">
      <w:pPr>
        <w:spacing w:after="0" w:line="240" w:lineRule="auto"/>
      </w:pPr>
      <w:r>
        <w:separator/>
      </w:r>
    </w:p>
  </w:endnote>
  <w:endnote w:type="continuationSeparator" w:id="0">
    <w:p w14:paraId="75435A16" w14:textId="77777777" w:rsidR="008919C5" w:rsidRDefault="008919C5" w:rsidP="00312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34406362"/>
      <w:docPartObj>
        <w:docPartGallery w:val="Page Numbers (Bottom of Page)"/>
        <w:docPartUnique/>
      </w:docPartObj>
    </w:sdtPr>
    <w:sdtContent>
      <w:p w14:paraId="301ADA32" w14:textId="39B88A19" w:rsidR="00EE5AF1" w:rsidRPr="00EE5AF1" w:rsidRDefault="00EE5AF1" w:rsidP="00EE5AF1">
        <w:pPr>
          <w:pStyle w:val="Stopka"/>
          <w:jc w:val="center"/>
          <w:rPr>
            <w:rFonts w:ascii="Times New Roman" w:hAnsi="Times New Roman" w:cs="Times New Roman"/>
            <w:sz w:val="24"/>
            <w:szCs w:val="24"/>
          </w:rPr>
        </w:pPr>
        <w:r w:rsidRPr="00EE5AF1">
          <w:rPr>
            <w:rFonts w:ascii="Times New Roman" w:hAnsi="Times New Roman" w:cs="Times New Roman"/>
            <w:sz w:val="24"/>
            <w:szCs w:val="24"/>
          </w:rPr>
          <w:fldChar w:fldCharType="begin"/>
        </w:r>
        <w:r w:rsidRPr="00EE5AF1">
          <w:rPr>
            <w:rFonts w:ascii="Times New Roman" w:hAnsi="Times New Roman" w:cs="Times New Roman"/>
            <w:sz w:val="24"/>
            <w:szCs w:val="24"/>
          </w:rPr>
          <w:instrText>PAGE   \* MERGEFORMAT</w:instrText>
        </w:r>
        <w:r w:rsidRPr="00EE5AF1">
          <w:rPr>
            <w:rFonts w:ascii="Times New Roman" w:hAnsi="Times New Roman" w:cs="Times New Roman"/>
            <w:sz w:val="24"/>
            <w:szCs w:val="24"/>
          </w:rPr>
          <w:fldChar w:fldCharType="separate"/>
        </w:r>
        <w:r>
          <w:rPr>
            <w:rFonts w:ascii="Times New Roman" w:hAnsi="Times New Roman" w:cs="Times New Roman"/>
            <w:noProof/>
            <w:sz w:val="24"/>
            <w:szCs w:val="24"/>
          </w:rPr>
          <w:t>22</w:t>
        </w:r>
        <w:r w:rsidRPr="00EE5AF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0FBBA" w14:textId="77777777" w:rsidR="008919C5" w:rsidRDefault="008919C5" w:rsidP="00312D95">
      <w:pPr>
        <w:spacing w:after="0" w:line="240" w:lineRule="auto"/>
      </w:pPr>
      <w:r>
        <w:separator/>
      </w:r>
    </w:p>
  </w:footnote>
  <w:footnote w:type="continuationSeparator" w:id="0">
    <w:p w14:paraId="78773422" w14:textId="77777777" w:rsidR="008919C5" w:rsidRDefault="008919C5" w:rsidP="00312D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947BC"/>
    <w:multiLevelType w:val="hybridMultilevel"/>
    <w:tmpl w:val="6E26200A"/>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 w15:restartNumberingAfterBreak="0">
    <w:nsid w:val="05D20248"/>
    <w:multiLevelType w:val="hybridMultilevel"/>
    <w:tmpl w:val="51D6D53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16C53D00"/>
    <w:multiLevelType w:val="hybridMultilevel"/>
    <w:tmpl w:val="FE52329A"/>
    <w:lvl w:ilvl="0" w:tplc="0FC6A650">
      <w:start w:val="2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16D5125F"/>
    <w:multiLevelType w:val="hybridMultilevel"/>
    <w:tmpl w:val="0AEA0B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BC06F6"/>
    <w:multiLevelType w:val="hybridMultilevel"/>
    <w:tmpl w:val="7C600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4D1211C"/>
    <w:multiLevelType w:val="hybridMultilevel"/>
    <w:tmpl w:val="FE5255D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E32AEB"/>
    <w:multiLevelType w:val="hybridMultilevel"/>
    <w:tmpl w:val="01DA57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AA07B23"/>
    <w:multiLevelType w:val="multilevel"/>
    <w:tmpl w:val="621EA826"/>
    <w:lvl w:ilvl="0">
      <w:start w:val="2"/>
      <w:numFmt w:val="decimal"/>
      <w:lvlText w:val="%1."/>
      <w:lvlJc w:val="left"/>
      <w:pPr>
        <w:ind w:left="480" w:hanging="480"/>
      </w:pPr>
      <w:rPr>
        <w:rFonts w:hint="default"/>
        <w:b w:val="0"/>
        <w:color w:val="auto"/>
      </w:rPr>
    </w:lvl>
    <w:lvl w:ilvl="1">
      <w:start w:val="15"/>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8" w15:restartNumberingAfterBreak="0">
    <w:nsid w:val="2CA44E6B"/>
    <w:multiLevelType w:val="hybridMultilevel"/>
    <w:tmpl w:val="3DC63B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2D855C2"/>
    <w:multiLevelType w:val="hybridMultilevel"/>
    <w:tmpl w:val="7F6CD4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0E71D6D"/>
    <w:multiLevelType w:val="hybridMultilevel"/>
    <w:tmpl w:val="657A9734"/>
    <w:lvl w:ilvl="0" w:tplc="B60430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9811687"/>
    <w:multiLevelType w:val="hybridMultilevel"/>
    <w:tmpl w:val="BEEACB78"/>
    <w:lvl w:ilvl="0" w:tplc="04150011">
      <w:start w:val="1"/>
      <w:numFmt w:val="decimal"/>
      <w:lvlText w:val="%1)"/>
      <w:lvlJc w:val="left"/>
      <w:pPr>
        <w:ind w:left="8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705DDD"/>
    <w:multiLevelType w:val="hybridMultilevel"/>
    <w:tmpl w:val="62B0798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541C0361"/>
    <w:multiLevelType w:val="hybridMultilevel"/>
    <w:tmpl w:val="48901C36"/>
    <w:lvl w:ilvl="0" w:tplc="8F7E3E82">
      <w:start w:val="1"/>
      <w:numFmt w:val="decimal"/>
      <w:lvlText w:val="%1."/>
      <w:lvlJc w:val="left"/>
      <w:pPr>
        <w:ind w:left="990" w:hanging="360"/>
      </w:pPr>
      <w:rPr>
        <w:b/>
        <w:bCs/>
      </w:rPr>
    </w:lvl>
    <w:lvl w:ilvl="1" w:tplc="04150019" w:tentative="1">
      <w:start w:val="1"/>
      <w:numFmt w:val="lowerLetter"/>
      <w:lvlText w:val="%2."/>
      <w:lvlJc w:val="left"/>
      <w:pPr>
        <w:ind w:left="1710" w:hanging="360"/>
      </w:pPr>
    </w:lvl>
    <w:lvl w:ilvl="2" w:tplc="0415001B" w:tentative="1">
      <w:start w:val="1"/>
      <w:numFmt w:val="lowerRoman"/>
      <w:lvlText w:val="%3."/>
      <w:lvlJc w:val="right"/>
      <w:pPr>
        <w:ind w:left="2430" w:hanging="180"/>
      </w:pPr>
    </w:lvl>
    <w:lvl w:ilvl="3" w:tplc="0415000F" w:tentative="1">
      <w:start w:val="1"/>
      <w:numFmt w:val="decimal"/>
      <w:lvlText w:val="%4."/>
      <w:lvlJc w:val="left"/>
      <w:pPr>
        <w:ind w:left="3150" w:hanging="360"/>
      </w:pPr>
    </w:lvl>
    <w:lvl w:ilvl="4" w:tplc="04150019" w:tentative="1">
      <w:start w:val="1"/>
      <w:numFmt w:val="lowerLetter"/>
      <w:lvlText w:val="%5."/>
      <w:lvlJc w:val="left"/>
      <w:pPr>
        <w:ind w:left="3870" w:hanging="360"/>
      </w:pPr>
    </w:lvl>
    <w:lvl w:ilvl="5" w:tplc="0415001B" w:tentative="1">
      <w:start w:val="1"/>
      <w:numFmt w:val="lowerRoman"/>
      <w:lvlText w:val="%6."/>
      <w:lvlJc w:val="right"/>
      <w:pPr>
        <w:ind w:left="4590" w:hanging="180"/>
      </w:pPr>
    </w:lvl>
    <w:lvl w:ilvl="6" w:tplc="0415000F" w:tentative="1">
      <w:start w:val="1"/>
      <w:numFmt w:val="decimal"/>
      <w:lvlText w:val="%7."/>
      <w:lvlJc w:val="left"/>
      <w:pPr>
        <w:ind w:left="5310" w:hanging="360"/>
      </w:pPr>
    </w:lvl>
    <w:lvl w:ilvl="7" w:tplc="04150019" w:tentative="1">
      <w:start w:val="1"/>
      <w:numFmt w:val="lowerLetter"/>
      <w:lvlText w:val="%8."/>
      <w:lvlJc w:val="left"/>
      <w:pPr>
        <w:ind w:left="6030" w:hanging="360"/>
      </w:pPr>
    </w:lvl>
    <w:lvl w:ilvl="8" w:tplc="0415001B" w:tentative="1">
      <w:start w:val="1"/>
      <w:numFmt w:val="lowerRoman"/>
      <w:lvlText w:val="%9."/>
      <w:lvlJc w:val="right"/>
      <w:pPr>
        <w:ind w:left="6750" w:hanging="180"/>
      </w:pPr>
    </w:lvl>
  </w:abstractNum>
  <w:abstractNum w:abstractNumId="14" w15:restartNumberingAfterBreak="0">
    <w:nsid w:val="5CFC7923"/>
    <w:multiLevelType w:val="hybridMultilevel"/>
    <w:tmpl w:val="1FB83B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FE226A1"/>
    <w:multiLevelType w:val="hybridMultilevel"/>
    <w:tmpl w:val="E3E2F7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5552A55"/>
    <w:multiLevelType w:val="hybridMultilevel"/>
    <w:tmpl w:val="E3BAF3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A1037C3"/>
    <w:multiLevelType w:val="hybridMultilevel"/>
    <w:tmpl w:val="B61251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EEB786D"/>
    <w:multiLevelType w:val="hybridMultilevel"/>
    <w:tmpl w:val="37565A62"/>
    <w:lvl w:ilvl="0" w:tplc="52C4C27A">
      <w:start w:val="1"/>
      <w:numFmt w:val="decimal"/>
      <w:lvlText w:val="%1)"/>
      <w:lvlJc w:val="left"/>
      <w:pPr>
        <w:ind w:left="1280" w:hanging="57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9" w15:restartNumberingAfterBreak="0">
    <w:nsid w:val="6FE86235"/>
    <w:multiLevelType w:val="hybridMultilevel"/>
    <w:tmpl w:val="A3B00512"/>
    <w:lvl w:ilvl="0" w:tplc="693EFC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2754F77"/>
    <w:multiLevelType w:val="hybridMultilevel"/>
    <w:tmpl w:val="87EE1F3E"/>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74DC6F1A"/>
    <w:multiLevelType w:val="multilevel"/>
    <w:tmpl w:val="0D54C784"/>
    <w:lvl w:ilvl="0">
      <w:start w:val="2"/>
      <w:numFmt w:val="decimal"/>
      <w:lvlText w:val="%1"/>
      <w:lvlJc w:val="left"/>
      <w:pPr>
        <w:ind w:left="420" w:hanging="420"/>
      </w:pPr>
      <w:rPr>
        <w:rFonts w:hint="default"/>
        <w:color w:val="auto"/>
      </w:rPr>
    </w:lvl>
    <w:lvl w:ilvl="1">
      <w:start w:val="16"/>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2" w15:restartNumberingAfterBreak="0">
    <w:nsid w:val="7B111AF1"/>
    <w:multiLevelType w:val="hybridMultilevel"/>
    <w:tmpl w:val="3376AF34"/>
    <w:lvl w:ilvl="0" w:tplc="0D7C9B78">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9"/>
  </w:num>
  <w:num w:numId="3">
    <w:abstractNumId w:val="20"/>
  </w:num>
  <w:num w:numId="4">
    <w:abstractNumId w:val="2"/>
  </w:num>
  <w:num w:numId="5">
    <w:abstractNumId w:val="11"/>
  </w:num>
  <w:num w:numId="6">
    <w:abstractNumId w:val="3"/>
  </w:num>
  <w:num w:numId="7">
    <w:abstractNumId w:val="14"/>
  </w:num>
  <w:num w:numId="8">
    <w:abstractNumId w:val="0"/>
  </w:num>
  <w:num w:numId="9">
    <w:abstractNumId w:val="10"/>
  </w:num>
  <w:num w:numId="10">
    <w:abstractNumId w:val="12"/>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4"/>
  </w:num>
  <w:num w:numId="14">
    <w:abstractNumId w:val="1"/>
  </w:num>
  <w:num w:numId="15">
    <w:abstractNumId w:val="5"/>
  </w:num>
  <w:num w:numId="16">
    <w:abstractNumId w:val="6"/>
  </w:num>
  <w:num w:numId="17">
    <w:abstractNumId w:val="8"/>
  </w:num>
  <w:num w:numId="18">
    <w:abstractNumId w:val="13"/>
  </w:num>
  <w:num w:numId="19">
    <w:abstractNumId w:val="7"/>
  </w:num>
  <w:num w:numId="20">
    <w:abstractNumId w:val="21"/>
  </w:num>
  <w:num w:numId="21">
    <w:abstractNumId w:val="22"/>
  </w:num>
  <w:num w:numId="22">
    <w:abstractNumId w:val="17"/>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FA8"/>
    <w:rsid w:val="00000ABA"/>
    <w:rsid w:val="000028A1"/>
    <w:rsid w:val="00002C75"/>
    <w:rsid w:val="0000496B"/>
    <w:rsid w:val="00007F8B"/>
    <w:rsid w:val="00007FC2"/>
    <w:rsid w:val="00017B9F"/>
    <w:rsid w:val="00022471"/>
    <w:rsid w:val="00025FAE"/>
    <w:rsid w:val="00030475"/>
    <w:rsid w:val="00031673"/>
    <w:rsid w:val="00034765"/>
    <w:rsid w:val="000361F9"/>
    <w:rsid w:val="00037639"/>
    <w:rsid w:val="00044007"/>
    <w:rsid w:val="0004559D"/>
    <w:rsid w:val="00050723"/>
    <w:rsid w:val="0005608B"/>
    <w:rsid w:val="00056E57"/>
    <w:rsid w:val="00061F50"/>
    <w:rsid w:val="00066FA5"/>
    <w:rsid w:val="000740BC"/>
    <w:rsid w:val="0007550F"/>
    <w:rsid w:val="000802D0"/>
    <w:rsid w:val="0008402C"/>
    <w:rsid w:val="00084508"/>
    <w:rsid w:val="0008779C"/>
    <w:rsid w:val="0009225C"/>
    <w:rsid w:val="0009555D"/>
    <w:rsid w:val="000A03F5"/>
    <w:rsid w:val="000A1122"/>
    <w:rsid w:val="000A141D"/>
    <w:rsid w:val="000A1B93"/>
    <w:rsid w:val="000B1A35"/>
    <w:rsid w:val="000C44EF"/>
    <w:rsid w:val="000C5641"/>
    <w:rsid w:val="000C65ED"/>
    <w:rsid w:val="000C741B"/>
    <w:rsid w:val="000C7640"/>
    <w:rsid w:val="000D4E23"/>
    <w:rsid w:val="000D6427"/>
    <w:rsid w:val="000F026B"/>
    <w:rsid w:val="000F054F"/>
    <w:rsid w:val="000F2A73"/>
    <w:rsid w:val="000F399E"/>
    <w:rsid w:val="001017F3"/>
    <w:rsid w:val="00104025"/>
    <w:rsid w:val="00106BC7"/>
    <w:rsid w:val="00106F3F"/>
    <w:rsid w:val="0011479D"/>
    <w:rsid w:val="0011534B"/>
    <w:rsid w:val="00116F59"/>
    <w:rsid w:val="00120A1E"/>
    <w:rsid w:val="001260CF"/>
    <w:rsid w:val="001278FD"/>
    <w:rsid w:val="00131DDD"/>
    <w:rsid w:val="00133BF3"/>
    <w:rsid w:val="00134601"/>
    <w:rsid w:val="0014330F"/>
    <w:rsid w:val="00145399"/>
    <w:rsid w:val="00155FD5"/>
    <w:rsid w:val="00156238"/>
    <w:rsid w:val="00160371"/>
    <w:rsid w:val="00160BE7"/>
    <w:rsid w:val="00162EFF"/>
    <w:rsid w:val="001642ED"/>
    <w:rsid w:val="00165221"/>
    <w:rsid w:val="00170ABE"/>
    <w:rsid w:val="001723A7"/>
    <w:rsid w:val="001725BC"/>
    <w:rsid w:val="0017464E"/>
    <w:rsid w:val="00176250"/>
    <w:rsid w:val="001766CF"/>
    <w:rsid w:val="00181516"/>
    <w:rsid w:val="00190DF1"/>
    <w:rsid w:val="00196225"/>
    <w:rsid w:val="00197A48"/>
    <w:rsid w:val="00197B29"/>
    <w:rsid w:val="001A6190"/>
    <w:rsid w:val="001A7C44"/>
    <w:rsid w:val="001B1C02"/>
    <w:rsid w:val="001B40F8"/>
    <w:rsid w:val="001B78B3"/>
    <w:rsid w:val="001C03B6"/>
    <w:rsid w:val="001C327C"/>
    <w:rsid w:val="001D2283"/>
    <w:rsid w:val="001D22CD"/>
    <w:rsid w:val="001D3B10"/>
    <w:rsid w:val="001D65D1"/>
    <w:rsid w:val="001D7D90"/>
    <w:rsid w:val="001E191F"/>
    <w:rsid w:val="001E24A7"/>
    <w:rsid w:val="001E2F1A"/>
    <w:rsid w:val="001E6BC3"/>
    <w:rsid w:val="001F2F8A"/>
    <w:rsid w:val="001F370B"/>
    <w:rsid w:val="001F462E"/>
    <w:rsid w:val="001F5EAC"/>
    <w:rsid w:val="001F6561"/>
    <w:rsid w:val="001F7EB6"/>
    <w:rsid w:val="0020471A"/>
    <w:rsid w:val="00207F07"/>
    <w:rsid w:val="00210DE7"/>
    <w:rsid w:val="0021126F"/>
    <w:rsid w:val="00212629"/>
    <w:rsid w:val="00225CE7"/>
    <w:rsid w:val="00236ADF"/>
    <w:rsid w:val="0025195B"/>
    <w:rsid w:val="002568DF"/>
    <w:rsid w:val="00261F75"/>
    <w:rsid w:val="0026672E"/>
    <w:rsid w:val="00266F07"/>
    <w:rsid w:val="002769CF"/>
    <w:rsid w:val="00276FC2"/>
    <w:rsid w:val="00277DDE"/>
    <w:rsid w:val="00280E47"/>
    <w:rsid w:val="00283B4B"/>
    <w:rsid w:val="00293100"/>
    <w:rsid w:val="002A34F2"/>
    <w:rsid w:val="002A679D"/>
    <w:rsid w:val="002A76D4"/>
    <w:rsid w:val="002C0AF9"/>
    <w:rsid w:val="002C1B60"/>
    <w:rsid w:val="002D1BBE"/>
    <w:rsid w:val="002D7CB5"/>
    <w:rsid w:val="002E1416"/>
    <w:rsid w:val="002E2685"/>
    <w:rsid w:val="002E3C33"/>
    <w:rsid w:val="002E3E5D"/>
    <w:rsid w:val="002E51EB"/>
    <w:rsid w:val="002E7167"/>
    <w:rsid w:val="002E7E5A"/>
    <w:rsid w:val="002F0B27"/>
    <w:rsid w:val="00300FEC"/>
    <w:rsid w:val="00304BEF"/>
    <w:rsid w:val="00312D95"/>
    <w:rsid w:val="00317B73"/>
    <w:rsid w:val="003223FD"/>
    <w:rsid w:val="00326230"/>
    <w:rsid w:val="0034306A"/>
    <w:rsid w:val="00350CEF"/>
    <w:rsid w:val="0037067C"/>
    <w:rsid w:val="00373ABB"/>
    <w:rsid w:val="00374EAE"/>
    <w:rsid w:val="00377312"/>
    <w:rsid w:val="00383B74"/>
    <w:rsid w:val="00384096"/>
    <w:rsid w:val="00390E53"/>
    <w:rsid w:val="00392DBE"/>
    <w:rsid w:val="00397D96"/>
    <w:rsid w:val="003A0216"/>
    <w:rsid w:val="003A1284"/>
    <w:rsid w:val="003A6304"/>
    <w:rsid w:val="003B3B22"/>
    <w:rsid w:val="003B6723"/>
    <w:rsid w:val="003B7FEE"/>
    <w:rsid w:val="003C223D"/>
    <w:rsid w:val="003C5147"/>
    <w:rsid w:val="003C6F4E"/>
    <w:rsid w:val="003D0CA5"/>
    <w:rsid w:val="003D279F"/>
    <w:rsid w:val="003D6A69"/>
    <w:rsid w:val="003D722B"/>
    <w:rsid w:val="003E195C"/>
    <w:rsid w:val="003E7458"/>
    <w:rsid w:val="003F5E4D"/>
    <w:rsid w:val="003F693F"/>
    <w:rsid w:val="003F6B96"/>
    <w:rsid w:val="0040086D"/>
    <w:rsid w:val="0040111C"/>
    <w:rsid w:val="00402702"/>
    <w:rsid w:val="00403302"/>
    <w:rsid w:val="004036EF"/>
    <w:rsid w:val="00406647"/>
    <w:rsid w:val="00417D5C"/>
    <w:rsid w:val="00424049"/>
    <w:rsid w:val="00432C6B"/>
    <w:rsid w:val="0043570A"/>
    <w:rsid w:val="00436F17"/>
    <w:rsid w:val="00441B0F"/>
    <w:rsid w:val="0044567D"/>
    <w:rsid w:val="00446811"/>
    <w:rsid w:val="004508EF"/>
    <w:rsid w:val="0045258C"/>
    <w:rsid w:val="004627BE"/>
    <w:rsid w:val="004638C1"/>
    <w:rsid w:val="00463EB3"/>
    <w:rsid w:val="0046403A"/>
    <w:rsid w:val="00465A59"/>
    <w:rsid w:val="004667A7"/>
    <w:rsid w:val="00467B52"/>
    <w:rsid w:val="00472CED"/>
    <w:rsid w:val="00476253"/>
    <w:rsid w:val="00486D2A"/>
    <w:rsid w:val="0049217D"/>
    <w:rsid w:val="004937CB"/>
    <w:rsid w:val="004942CB"/>
    <w:rsid w:val="00496AC5"/>
    <w:rsid w:val="004A3350"/>
    <w:rsid w:val="004A4480"/>
    <w:rsid w:val="004A4A9C"/>
    <w:rsid w:val="004A62B4"/>
    <w:rsid w:val="004A6376"/>
    <w:rsid w:val="004A6F79"/>
    <w:rsid w:val="004B0A3E"/>
    <w:rsid w:val="004B11A7"/>
    <w:rsid w:val="004B366C"/>
    <w:rsid w:val="004C71D0"/>
    <w:rsid w:val="004D33CE"/>
    <w:rsid w:val="004D5729"/>
    <w:rsid w:val="004D606A"/>
    <w:rsid w:val="004E39BE"/>
    <w:rsid w:val="004E4FD9"/>
    <w:rsid w:val="004E5026"/>
    <w:rsid w:val="004E5293"/>
    <w:rsid w:val="004F32F5"/>
    <w:rsid w:val="0050063F"/>
    <w:rsid w:val="00501A65"/>
    <w:rsid w:val="00506EAB"/>
    <w:rsid w:val="00511FA8"/>
    <w:rsid w:val="00513537"/>
    <w:rsid w:val="00516F88"/>
    <w:rsid w:val="00517097"/>
    <w:rsid w:val="00522033"/>
    <w:rsid w:val="005245C7"/>
    <w:rsid w:val="0052752B"/>
    <w:rsid w:val="00540ADF"/>
    <w:rsid w:val="00541F18"/>
    <w:rsid w:val="00542C2C"/>
    <w:rsid w:val="00551221"/>
    <w:rsid w:val="00556ACB"/>
    <w:rsid w:val="00556DBB"/>
    <w:rsid w:val="00562D28"/>
    <w:rsid w:val="00565749"/>
    <w:rsid w:val="00565968"/>
    <w:rsid w:val="005764A1"/>
    <w:rsid w:val="0058055F"/>
    <w:rsid w:val="0058533B"/>
    <w:rsid w:val="0058675B"/>
    <w:rsid w:val="00586914"/>
    <w:rsid w:val="005A0A16"/>
    <w:rsid w:val="005A309F"/>
    <w:rsid w:val="005A3E55"/>
    <w:rsid w:val="005A7C36"/>
    <w:rsid w:val="005B4513"/>
    <w:rsid w:val="005C053E"/>
    <w:rsid w:val="005C07A5"/>
    <w:rsid w:val="005C2304"/>
    <w:rsid w:val="005C37C4"/>
    <w:rsid w:val="005C3F1A"/>
    <w:rsid w:val="005C4EB5"/>
    <w:rsid w:val="005D3132"/>
    <w:rsid w:val="005D5A77"/>
    <w:rsid w:val="005D664A"/>
    <w:rsid w:val="005D68EF"/>
    <w:rsid w:val="005E0E96"/>
    <w:rsid w:val="005E3659"/>
    <w:rsid w:val="005E57D6"/>
    <w:rsid w:val="005E6CA8"/>
    <w:rsid w:val="005F1F06"/>
    <w:rsid w:val="005F36DA"/>
    <w:rsid w:val="006006D5"/>
    <w:rsid w:val="006066E5"/>
    <w:rsid w:val="0061144F"/>
    <w:rsid w:val="00627908"/>
    <w:rsid w:val="0063113F"/>
    <w:rsid w:val="006340A7"/>
    <w:rsid w:val="00634798"/>
    <w:rsid w:val="00642515"/>
    <w:rsid w:val="00652EDE"/>
    <w:rsid w:val="00654E7A"/>
    <w:rsid w:val="00657989"/>
    <w:rsid w:val="00660165"/>
    <w:rsid w:val="00664FF6"/>
    <w:rsid w:val="006715A2"/>
    <w:rsid w:val="00673FDE"/>
    <w:rsid w:val="00674496"/>
    <w:rsid w:val="0067585F"/>
    <w:rsid w:val="00677116"/>
    <w:rsid w:val="006802E2"/>
    <w:rsid w:val="00684D36"/>
    <w:rsid w:val="00685564"/>
    <w:rsid w:val="00690739"/>
    <w:rsid w:val="00691108"/>
    <w:rsid w:val="00691A08"/>
    <w:rsid w:val="006922FE"/>
    <w:rsid w:val="006A4211"/>
    <w:rsid w:val="006A570F"/>
    <w:rsid w:val="006A7F78"/>
    <w:rsid w:val="006B5E87"/>
    <w:rsid w:val="006C1AEF"/>
    <w:rsid w:val="006C2C99"/>
    <w:rsid w:val="006C2F1E"/>
    <w:rsid w:val="006C50AF"/>
    <w:rsid w:val="006C799F"/>
    <w:rsid w:val="006D0776"/>
    <w:rsid w:val="006D3BCF"/>
    <w:rsid w:val="006E2A4A"/>
    <w:rsid w:val="006E37CE"/>
    <w:rsid w:val="006E3803"/>
    <w:rsid w:val="006E59FC"/>
    <w:rsid w:val="006E5C3A"/>
    <w:rsid w:val="006F41A2"/>
    <w:rsid w:val="006F486F"/>
    <w:rsid w:val="0071195F"/>
    <w:rsid w:val="00715234"/>
    <w:rsid w:val="00722014"/>
    <w:rsid w:val="00723E92"/>
    <w:rsid w:val="00726740"/>
    <w:rsid w:val="00726821"/>
    <w:rsid w:val="00734E2B"/>
    <w:rsid w:val="0073685F"/>
    <w:rsid w:val="007461D9"/>
    <w:rsid w:val="007470EB"/>
    <w:rsid w:val="00750754"/>
    <w:rsid w:val="00751353"/>
    <w:rsid w:val="00756D41"/>
    <w:rsid w:val="007639A6"/>
    <w:rsid w:val="007648C3"/>
    <w:rsid w:val="007660E2"/>
    <w:rsid w:val="00770656"/>
    <w:rsid w:val="007717AA"/>
    <w:rsid w:val="00771FC6"/>
    <w:rsid w:val="007725B4"/>
    <w:rsid w:val="00775909"/>
    <w:rsid w:val="00777FFB"/>
    <w:rsid w:val="00785114"/>
    <w:rsid w:val="00785663"/>
    <w:rsid w:val="00785A13"/>
    <w:rsid w:val="00785C82"/>
    <w:rsid w:val="00785E1B"/>
    <w:rsid w:val="00785EC5"/>
    <w:rsid w:val="00786280"/>
    <w:rsid w:val="0078738A"/>
    <w:rsid w:val="007915DB"/>
    <w:rsid w:val="00793070"/>
    <w:rsid w:val="00793851"/>
    <w:rsid w:val="007A3616"/>
    <w:rsid w:val="007A5148"/>
    <w:rsid w:val="007A70E9"/>
    <w:rsid w:val="007B5E3E"/>
    <w:rsid w:val="007B6E07"/>
    <w:rsid w:val="007C6262"/>
    <w:rsid w:val="007D74F0"/>
    <w:rsid w:val="007D7EF3"/>
    <w:rsid w:val="007E0C4A"/>
    <w:rsid w:val="007E467E"/>
    <w:rsid w:val="007E74DA"/>
    <w:rsid w:val="007E7ED4"/>
    <w:rsid w:val="007F04F9"/>
    <w:rsid w:val="007F30DD"/>
    <w:rsid w:val="007F3133"/>
    <w:rsid w:val="007F49A5"/>
    <w:rsid w:val="00801DCA"/>
    <w:rsid w:val="008037E1"/>
    <w:rsid w:val="00805D64"/>
    <w:rsid w:val="00807A8C"/>
    <w:rsid w:val="00811955"/>
    <w:rsid w:val="00814AAB"/>
    <w:rsid w:val="00816EB3"/>
    <w:rsid w:val="0081789D"/>
    <w:rsid w:val="00817B24"/>
    <w:rsid w:val="008209FA"/>
    <w:rsid w:val="0082266C"/>
    <w:rsid w:val="00827218"/>
    <w:rsid w:val="00834356"/>
    <w:rsid w:val="008456A7"/>
    <w:rsid w:val="00847D8E"/>
    <w:rsid w:val="00854283"/>
    <w:rsid w:val="00855EF3"/>
    <w:rsid w:val="00857F6F"/>
    <w:rsid w:val="008604D1"/>
    <w:rsid w:val="008612CE"/>
    <w:rsid w:val="00862BB2"/>
    <w:rsid w:val="0086718E"/>
    <w:rsid w:val="00873D94"/>
    <w:rsid w:val="008758B1"/>
    <w:rsid w:val="0087706C"/>
    <w:rsid w:val="00877AA9"/>
    <w:rsid w:val="008919C5"/>
    <w:rsid w:val="0089469A"/>
    <w:rsid w:val="008A079A"/>
    <w:rsid w:val="008B16C4"/>
    <w:rsid w:val="008B5C92"/>
    <w:rsid w:val="008B7731"/>
    <w:rsid w:val="008C1AF6"/>
    <w:rsid w:val="008C611B"/>
    <w:rsid w:val="008D7005"/>
    <w:rsid w:val="008D7D61"/>
    <w:rsid w:val="008E1E53"/>
    <w:rsid w:val="008E3CAF"/>
    <w:rsid w:val="008E7235"/>
    <w:rsid w:val="008F0A93"/>
    <w:rsid w:val="008F4375"/>
    <w:rsid w:val="008F6455"/>
    <w:rsid w:val="009029D7"/>
    <w:rsid w:val="00904AD4"/>
    <w:rsid w:val="00910CA0"/>
    <w:rsid w:val="00917A8A"/>
    <w:rsid w:val="00917FC5"/>
    <w:rsid w:val="009215EE"/>
    <w:rsid w:val="009229E7"/>
    <w:rsid w:val="00922CA7"/>
    <w:rsid w:val="00924E19"/>
    <w:rsid w:val="0092719A"/>
    <w:rsid w:val="00932460"/>
    <w:rsid w:val="00934194"/>
    <w:rsid w:val="00935391"/>
    <w:rsid w:val="00936076"/>
    <w:rsid w:val="00944DBB"/>
    <w:rsid w:val="0094688D"/>
    <w:rsid w:val="00947E24"/>
    <w:rsid w:val="00955683"/>
    <w:rsid w:val="00957604"/>
    <w:rsid w:val="00965390"/>
    <w:rsid w:val="00966AED"/>
    <w:rsid w:val="00972979"/>
    <w:rsid w:val="00977557"/>
    <w:rsid w:val="00977BCE"/>
    <w:rsid w:val="009811A9"/>
    <w:rsid w:val="0098362B"/>
    <w:rsid w:val="00983767"/>
    <w:rsid w:val="0098437C"/>
    <w:rsid w:val="009873BF"/>
    <w:rsid w:val="00987E42"/>
    <w:rsid w:val="009919DB"/>
    <w:rsid w:val="009A353C"/>
    <w:rsid w:val="009B0178"/>
    <w:rsid w:val="009B0E70"/>
    <w:rsid w:val="009C4A1E"/>
    <w:rsid w:val="009E0149"/>
    <w:rsid w:val="009E3350"/>
    <w:rsid w:val="009E73A9"/>
    <w:rsid w:val="009F0B2B"/>
    <w:rsid w:val="009F0DC4"/>
    <w:rsid w:val="009F57C1"/>
    <w:rsid w:val="009F59D7"/>
    <w:rsid w:val="00A00E4E"/>
    <w:rsid w:val="00A10007"/>
    <w:rsid w:val="00A21449"/>
    <w:rsid w:val="00A23B65"/>
    <w:rsid w:val="00A25455"/>
    <w:rsid w:val="00A355C2"/>
    <w:rsid w:val="00A41C15"/>
    <w:rsid w:val="00A429E4"/>
    <w:rsid w:val="00A4665C"/>
    <w:rsid w:val="00A4667E"/>
    <w:rsid w:val="00A4771F"/>
    <w:rsid w:val="00A47723"/>
    <w:rsid w:val="00A47880"/>
    <w:rsid w:val="00A478C3"/>
    <w:rsid w:val="00A524F8"/>
    <w:rsid w:val="00A53B57"/>
    <w:rsid w:val="00A5515F"/>
    <w:rsid w:val="00A61760"/>
    <w:rsid w:val="00A62394"/>
    <w:rsid w:val="00A62B19"/>
    <w:rsid w:val="00A632E0"/>
    <w:rsid w:val="00A65D08"/>
    <w:rsid w:val="00A6725E"/>
    <w:rsid w:val="00A67EF3"/>
    <w:rsid w:val="00A728EF"/>
    <w:rsid w:val="00A729F8"/>
    <w:rsid w:val="00A76AA8"/>
    <w:rsid w:val="00A7746B"/>
    <w:rsid w:val="00A832EC"/>
    <w:rsid w:val="00A86DA7"/>
    <w:rsid w:val="00A875AF"/>
    <w:rsid w:val="00A92CBE"/>
    <w:rsid w:val="00AA39B7"/>
    <w:rsid w:val="00AC3867"/>
    <w:rsid w:val="00AC5635"/>
    <w:rsid w:val="00AD3001"/>
    <w:rsid w:val="00AD43F7"/>
    <w:rsid w:val="00AE61BB"/>
    <w:rsid w:val="00AF397D"/>
    <w:rsid w:val="00AF66A0"/>
    <w:rsid w:val="00B055A0"/>
    <w:rsid w:val="00B06762"/>
    <w:rsid w:val="00B06CFB"/>
    <w:rsid w:val="00B07EDB"/>
    <w:rsid w:val="00B103F1"/>
    <w:rsid w:val="00B1368C"/>
    <w:rsid w:val="00B1392D"/>
    <w:rsid w:val="00B13F22"/>
    <w:rsid w:val="00B25B8F"/>
    <w:rsid w:val="00B27E89"/>
    <w:rsid w:val="00B30891"/>
    <w:rsid w:val="00B3100E"/>
    <w:rsid w:val="00B37088"/>
    <w:rsid w:val="00B37D16"/>
    <w:rsid w:val="00B43F0E"/>
    <w:rsid w:val="00B441FD"/>
    <w:rsid w:val="00B47519"/>
    <w:rsid w:val="00B50B22"/>
    <w:rsid w:val="00B50B93"/>
    <w:rsid w:val="00B52B14"/>
    <w:rsid w:val="00B53D1A"/>
    <w:rsid w:val="00B564B7"/>
    <w:rsid w:val="00B564CE"/>
    <w:rsid w:val="00B623B8"/>
    <w:rsid w:val="00B7407C"/>
    <w:rsid w:val="00B74365"/>
    <w:rsid w:val="00B74399"/>
    <w:rsid w:val="00B77611"/>
    <w:rsid w:val="00B9021E"/>
    <w:rsid w:val="00B945EB"/>
    <w:rsid w:val="00B9623D"/>
    <w:rsid w:val="00BA7948"/>
    <w:rsid w:val="00BB2075"/>
    <w:rsid w:val="00BB3D51"/>
    <w:rsid w:val="00BB54F4"/>
    <w:rsid w:val="00BC41F6"/>
    <w:rsid w:val="00BC753F"/>
    <w:rsid w:val="00BD7EAD"/>
    <w:rsid w:val="00BE046D"/>
    <w:rsid w:val="00BE1913"/>
    <w:rsid w:val="00BE2A51"/>
    <w:rsid w:val="00BE3B54"/>
    <w:rsid w:val="00BF26FA"/>
    <w:rsid w:val="00BF36D6"/>
    <w:rsid w:val="00BF4B8B"/>
    <w:rsid w:val="00BF625E"/>
    <w:rsid w:val="00BF6FB1"/>
    <w:rsid w:val="00C012E6"/>
    <w:rsid w:val="00C1250D"/>
    <w:rsid w:val="00C23D13"/>
    <w:rsid w:val="00C24678"/>
    <w:rsid w:val="00C25B53"/>
    <w:rsid w:val="00C25B55"/>
    <w:rsid w:val="00C323FF"/>
    <w:rsid w:val="00C32E9E"/>
    <w:rsid w:val="00C33E24"/>
    <w:rsid w:val="00C33F6C"/>
    <w:rsid w:val="00C35B24"/>
    <w:rsid w:val="00C378B3"/>
    <w:rsid w:val="00C42DAD"/>
    <w:rsid w:val="00C468DE"/>
    <w:rsid w:val="00C475B8"/>
    <w:rsid w:val="00C66B28"/>
    <w:rsid w:val="00C831AF"/>
    <w:rsid w:val="00C90716"/>
    <w:rsid w:val="00CA2BEB"/>
    <w:rsid w:val="00CA44F2"/>
    <w:rsid w:val="00CA5B15"/>
    <w:rsid w:val="00CB002B"/>
    <w:rsid w:val="00CB0591"/>
    <w:rsid w:val="00CB074D"/>
    <w:rsid w:val="00CB5879"/>
    <w:rsid w:val="00CB7647"/>
    <w:rsid w:val="00CC05FE"/>
    <w:rsid w:val="00CC1252"/>
    <w:rsid w:val="00CC14D6"/>
    <w:rsid w:val="00CC3412"/>
    <w:rsid w:val="00CC5095"/>
    <w:rsid w:val="00CC782D"/>
    <w:rsid w:val="00CD0370"/>
    <w:rsid w:val="00CD57D9"/>
    <w:rsid w:val="00CD5A77"/>
    <w:rsid w:val="00CE48B7"/>
    <w:rsid w:val="00CE5905"/>
    <w:rsid w:val="00CF4BC8"/>
    <w:rsid w:val="00D00EFE"/>
    <w:rsid w:val="00D1012B"/>
    <w:rsid w:val="00D1068A"/>
    <w:rsid w:val="00D10F4B"/>
    <w:rsid w:val="00D20E79"/>
    <w:rsid w:val="00D24AC2"/>
    <w:rsid w:val="00D30F23"/>
    <w:rsid w:val="00D319B3"/>
    <w:rsid w:val="00D33DDC"/>
    <w:rsid w:val="00D51C82"/>
    <w:rsid w:val="00D52742"/>
    <w:rsid w:val="00D55AA9"/>
    <w:rsid w:val="00D5773D"/>
    <w:rsid w:val="00D718CA"/>
    <w:rsid w:val="00D77205"/>
    <w:rsid w:val="00D77218"/>
    <w:rsid w:val="00D77FFE"/>
    <w:rsid w:val="00D86B11"/>
    <w:rsid w:val="00D87043"/>
    <w:rsid w:val="00D90FE2"/>
    <w:rsid w:val="00D922F7"/>
    <w:rsid w:val="00D93150"/>
    <w:rsid w:val="00DA02E3"/>
    <w:rsid w:val="00DA07E6"/>
    <w:rsid w:val="00DA094D"/>
    <w:rsid w:val="00DA1665"/>
    <w:rsid w:val="00DA1B07"/>
    <w:rsid w:val="00DA25BB"/>
    <w:rsid w:val="00DA5006"/>
    <w:rsid w:val="00DB6502"/>
    <w:rsid w:val="00DC0423"/>
    <w:rsid w:val="00DC2679"/>
    <w:rsid w:val="00DC4A19"/>
    <w:rsid w:val="00DC7B00"/>
    <w:rsid w:val="00DD03FB"/>
    <w:rsid w:val="00DD1E46"/>
    <w:rsid w:val="00DD2AFC"/>
    <w:rsid w:val="00DD5F7B"/>
    <w:rsid w:val="00DD67FC"/>
    <w:rsid w:val="00DD712E"/>
    <w:rsid w:val="00DE575A"/>
    <w:rsid w:val="00DF5827"/>
    <w:rsid w:val="00DF6C60"/>
    <w:rsid w:val="00E02C41"/>
    <w:rsid w:val="00E03CC8"/>
    <w:rsid w:val="00E06AB8"/>
    <w:rsid w:val="00E10DFB"/>
    <w:rsid w:val="00E11502"/>
    <w:rsid w:val="00E12946"/>
    <w:rsid w:val="00E13962"/>
    <w:rsid w:val="00E175A6"/>
    <w:rsid w:val="00E2101D"/>
    <w:rsid w:val="00E21F57"/>
    <w:rsid w:val="00E22FBE"/>
    <w:rsid w:val="00E23B5E"/>
    <w:rsid w:val="00E24817"/>
    <w:rsid w:val="00E2743E"/>
    <w:rsid w:val="00E33A24"/>
    <w:rsid w:val="00E33FFA"/>
    <w:rsid w:val="00E355B5"/>
    <w:rsid w:val="00E36CAB"/>
    <w:rsid w:val="00E40E6A"/>
    <w:rsid w:val="00E41647"/>
    <w:rsid w:val="00E47460"/>
    <w:rsid w:val="00E47B50"/>
    <w:rsid w:val="00E51563"/>
    <w:rsid w:val="00E52B80"/>
    <w:rsid w:val="00E545B0"/>
    <w:rsid w:val="00E5565E"/>
    <w:rsid w:val="00E56130"/>
    <w:rsid w:val="00E61291"/>
    <w:rsid w:val="00E67A67"/>
    <w:rsid w:val="00E771B9"/>
    <w:rsid w:val="00E83324"/>
    <w:rsid w:val="00E84D6A"/>
    <w:rsid w:val="00E917FE"/>
    <w:rsid w:val="00E9378F"/>
    <w:rsid w:val="00E95EC4"/>
    <w:rsid w:val="00EA6D9D"/>
    <w:rsid w:val="00EA75FC"/>
    <w:rsid w:val="00EB1FB5"/>
    <w:rsid w:val="00EB2482"/>
    <w:rsid w:val="00EB49EA"/>
    <w:rsid w:val="00EC4324"/>
    <w:rsid w:val="00ED0F1D"/>
    <w:rsid w:val="00ED4E2C"/>
    <w:rsid w:val="00ED7323"/>
    <w:rsid w:val="00ED75AB"/>
    <w:rsid w:val="00ED7EE5"/>
    <w:rsid w:val="00EE0DAB"/>
    <w:rsid w:val="00EE5AF1"/>
    <w:rsid w:val="00EF3B44"/>
    <w:rsid w:val="00F044EB"/>
    <w:rsid w:val="00F05E98"/>
    <w:rsid w:val="00F07438"/>
    <w:rsid w:val="00F07C69"/>
    <w:rsid w:val="00F1060E"/>
    <w:rsid w:val="00F10F34"/>
    <w:rsid w:val="00F1758C"/>
    <w:rsid w:val="00F216A3"/>
    <w:rsid w:val="00F2221F"/>
    <w:rsid w:val="00F2251B"/>
    <w:rsid w:val="00F230AF"/>
    <w:rsid w:val="00F322CB"/>
    <w:rsid w:val="00F3315F"/>
    <w:rsid w:val="00F36CFB"/>
    <w:rsid w:val="00F37786"/>
    <w:rsid w:val="00F43BD1"/>
    <w:rsid w:val="00F441AC"/>
    <w:rsid w:val="00F44A49"/>
    <w:rsid w:val="00F510C3"/>
    <w:rsid w:val="00F53D8A"/>
    <w:rsid w:val="00F57C86"/>
    <w:rsid w:val="00F64094"/>
    <w:rsid w:val="00F658CC"/>
    <w:rsid w:val="00F67925"/>
    <w:rsid w:val="00F7728F"/>
    <w:rsid w:val="00F8590B"/>
    <w:rsid w:val="00F864EA"/>
    <w:rsid w:val="00F87CA5"/>
    <w:rsid w:val="00F908A0"/>
    <w:rsid w:val="00F91525"/>
    <w:rsid w:val="00F91B3E"/>
    <w:rsid w:val="00F929EE"/>
    <w:rsid w:val="00F96F07"/>
    <w:rsid w:val="00FA2991"/>
    <w:rsid w:val="00FB4A12"/>
    <w:rsid w:val="00FC00EA"/>
    <w:rsid w:val="00FC021D"/>
    <w:rsid w:val="00FC328C"/>
    <w:rsid w:val="00FC3553"/>
    <w:rsid w:val="00FC3E1B"/>
    <w:rsid w:val="00FC4F24"/>
    <w:rsid w:val="00FC50A1"/>
    <w:rsid w:val="00FC63ED"/>
    <w:rsid w:val="00FC6FB6"/>
    <w:rsid w:val="00FD49B9"/>
    <w:rsid w:val="00FD6F7F"/>
    <w:rsid w:val="00FE447F"/>
    <w:rsid w:val="00FF3B93"/>
    <w:rsid w:val="00FF4D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DA2BD"/>
  <w15:chartTrackingRefBased/>
  <w15:docId w15:val="{0920CB9F-C4DF-451C-91BD-169A8C02D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11F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11FA8"/>
    <w:rPr>
      <w:rFonts w:ascii="Segoe UI" w:hAnsi="Segoe UI" w:cs="Segoe UI"/>
      <w:sz w:val="18"/>
      <w:szCs w:val="18"/>
    </w:rPr>
  </w:style>
  <w:style w:type="paragraph" w:styleId="Akapitzlist">
    <w:name w:val="List Paragraph"/>
    <w:basedOn w:val="Normalny"/>
    <w:link w:val="AkapitzlistZnak"/>
    <w:uiPriority w:val="34"/>
    <w:qFormat/>
    <w:rsid w:val="0058675B"/>
    <w:pPr>
      <w:ind w:left="720"/>
      <w:contextualSpacing/>
    </w:pPr>
  </w:style>
  <w:style w:type="character" w:customStyle="1" w:styleId="AkapitzlistZnak">
    <w:name w:val="Akapit z listą Znak"/>
    <w:link w:val="Akapitzlist"/>
    <w:uiPriority w:val="34"/>
    <w:rsid w:val="00BB54F4"/>
  </w:style>
  <w:style w:type="character" w:styleId="Odwoaniedokomentarza">
    <w:name w:val="annotation reference"/>
    <w:basedOn w:val="Domylnaczcionkaakapitu"/>
    <w:uiPriority w:val="99"/>
    <w:semiHidden/>
    <w:unhideWhenUsed/>
    <w:rsid w:val="00BB54F4"/>
    <w:rPr>
      <w:sz w:val="16"/>
      <w:szCs w:val="16"/>
    </w:rPr>
  </w:style>
  <w:style w:type="paragraph" w:styleId="Tekstkomentarza">
    <w:name w:val="annotation text"/>
    <w:basedOn w:val="Normalny"/>
    <w:link w:val="TekstkomentarzaZnak"/>
    <w:uiPriority w:val="99"/>
    <w:unhideWhenUsed/>
    <w:rsid w:val="00BB54F4"/>
    <w:pPr>
      <w:spacing w:line="240" w:lineRule="auto"/>
    </w:pPr>
    <w:rPr>
      <w:sz w:val="20"/>
      <w:szCs w:val="20"/>
    </w:rPr>
  </w:style>
  <w:style w:type="character" w:customStyle="1" w:styleId="TekstkomentarzaZnak">
    <w:name w:val="Tekst komentarza Znak"/>
    <w:basedOn w:val="Domylnaczcionkaakapitu"/>
    <w:link w:val="Tekstkomentarza"/>
    <w:uiPriority w:val="99"/>
    <w:rsid w:val="00BB54F4"/>
    <w:rPr>
      <w:sz w:val="20"/>
      <w:szCs w:val="20"/>
    </w:rPr>
  </w:style>
  <w:style w:type="paragraph" w:styleId="Tematkomentarza">
    <w:name w:val="annotation subject"/>
    <w:basedOn w:val="Tekstkomentarza"/>
    <w:next w:val="Tekstkomentarza"/>
    <w:link w:val="TematkomentarzaZnak"/>
    <w:uiPriority w:val="99"/>
    <w:semiHidden/>
    <w:unhideWhenUsed/>
    <w:rsid w:val="00BB54F4"/>
    <w:rPr>
      <w:b/>
      <w:bCs/>
    </w:rPr>
  </w:style>
  <w:style w:type="character" w:customStyle="1" w:styleId="TematkomentarzaZnak">
    <w:name w:val="Temat komentarza Znak"/>
    <w:basedOn w:val="TekstkomentarzaZnak"/>
    <w:link w:val="Tematkomentarza"/>
    <w:uiPriority w:val="99"/>
    <w:semiHidden/>
    <w:rsid w:val="00BB54F4"/>
    <w:rPr>
      <w:b/>
      <w:bCs/>
      <w:sz w:val="20"/>
      <w:szCs w:val="20"/>
    </w:rPr>
  </w:style>
  <w:style w:type="paragraph" w:customStyle="1" w:styleId="ARTartustawynprozporzdzenia">
    <w:name w:val="ART(§) – art. ustawy (§ np. rozporządzenia)"/>
    <w:link w:val="ARTartustawynprozporzdzeniaZnak"/>
    <w:uiPriority w:val="11"/>
    <w:qFormat/>
    <w:rsid w:val="00FD49B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A094D"/>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F44A49"/>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Bezodstpw">
    <w:name w:val="No Spacing"/>
    <w:uiPriority w:val="1"/>
    <w:qFormat/>
    <w:rsid w:val="00C378B3"/>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customStyle="1" w:styleId="ZPKTzmpktartykuempunktem">
    <w:name w:val="Z/PKT – zm. pkt artykułem (punktem)"/>
    <w:basedOn w:val="Normalny"/>
    <w:uiPriority w:val="31"/>
    <w:qFormat/>
    <w:rsid w:val="000C44EF"/>
    <w:pPr>
      <w:spacing w:after="0"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0C44EF"/>
    <w:pPr>
      <w:spacing w:before="0"/>
      <w:ind w:left="510"/>
    </w:pPr>
  </w:style>
  <w:style w:type="character" w:customStyle="1" w:styleId="Ppogrubienie">
    <w:name w:val="_P_ – pogrubienie"/>
    <w:basedOn w:val="Domylnaczcionkaakapitu"/>
    <w:uiPriority w:val="1"/>
    <w:qFormat/>
    <w:rsid w:val="00877AA9"/>
    <w:rPr>
      <w:b/>
    </w:rPr>
  </w:style>
  <w:style w:type="paragraph" w:customStyle="1" w:styleId="ZLITUSTzmustliter">
    <w:name w:val="Z_LIT/UST(§) – zm. ust. (§) literą"/>
    <w:basedOn w:val="Normalny"/>
    <w:uiPriority w:val="46"/>
    <w:qFormat/>
    <w:rsid w:val="00877AA9"/>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63113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3113F"/>
    <w:rPr>
      <w:sz w:val="20"/>
      <w:szCs w:val="20"/>
    </w:rPr>
  </w:style>
  <w:style w:type="character" w:styleId="Odwoanieprzypisukocowego">
    <w:name w:val="endnote reference"/>
    <w:basedOn w:val="Domylnaczcionkaakapitu"/>
    <w:uiPriority w:val="99"/>
    <w:semiHidden/>
    <w:unhideWhenUsed/>
    <w:rsid w:val="0063113F"/>
    <w:rPr>
      <w:vertAlign w:val="superscript"/>
    </w:rPr>
  </w:style>
  <w:style w:type="paragraph" w:customStyle="1" w:styleId="PKTpunkt">
    <w:name w:val="PKT – punkt"/>
    <w:qFormat/>
    <w:rsid w:val="00A524F8"/>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A524F8"/>
    <w:pPr>
      <w:ind w:left="986" w:hanging="476"/>
    </w:pPr>
  </w:style>
  <w:style w:type="paragraph" w:styleId="Poprawka">
    <w:name w:val="Revision"/>
    <w:hidden/>
    <w:uiPriority w:val="99"/>
    <w:semiHidden/>
    <w:rsid w:val="003C223D"/>
    <w:pPr>
      <w:spacing w:after="0" w:line="240" w:lineRule="auto"/>
    </w:pPr>
  </w:style>
  <w:style w:type="character" w:styleId="Hipercze">
    <w:name w:val="Hyperlink"/>
    <w:basedOn w:val="Domylnaczcionkaakapitu"/>
    <w:uiPriority w:val="99"/>
    <w:unhideWhenUsed/>
    <w:rsid w:val="00CC5095"/>
    <w:rPr>
      <w:color w:val="0563C1" w:themeColor="hyperlink"/>
      <w:u w:val="single"/>
    </w:rPr>
  </w:style>
  <w:style w:type="character" w:customStyle="1" w:styleId="UnresolvedMention">
    <w:name w:val="Unresolved Mention"/>
    <w:basedOn w:val="Domylnaczcionkaakapitu"/>
    <w:uiPriority w:val="99"/>
    <w:semiHidden/>
    <w:unhideWhenUsed/>
    <w:rsid w:val="00CC5095"/>
    <w:rPr>
      <w:color w:val="605E5C"/>
      <w:shd w:val="clear" w:color="auto" w:fill="E1DFDD"/>
    </w:rPr>
  </w:style>
  <w:style w:type="character" w:styleId="Pogrubienie">
    <w:name w:val="Strong"/>
    <w:basedOn w:val="Domylnaczcionkaakapitu"/>
    <w:uiPriority w:val="22"/>
    <w:qFormat/>
    <w:rsid w:val="00556ACB"/>
    <w:rPr>
      <w:b/>
      <w:bCs/>
    </w:rPr>
  </w:style>
  <w:style w:type="paragraph" w:styleId="NormalnyWeb">
    <w:name w:val="Normal (Web)"/>
    <w:basedOn w:val="Normalny"/>
    <w:uiPriority w:val="99"/>
    <w:semiHidden/>
    <w:unhideWhenUsed/>
    <w:rsid w:val="00944D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RTartustawynprozporzdzeniaZnak">
    <w:name w:val="ART(§) – art. ustawy (§ np. rozporządzenia) Znak"/>
    <w:basedOn w:val="Domylnaczcionkaakapitu"/>
    <w:link w:val="ARTartustawynprozporzdzenia"/>
    <w:uiPriority w:val="11"/>
    <w:locked/>
    <w:rsid w:val="00777FFB"/>
    <w:rPr>
      <w:rFonts w:ascii="Times" w:eastAsiaTheme="minorEastAsia" w:hAnsi="Times" w:cs="Arial"/>
      <w:sz w:val="24"/>
      <w:szCs w:val="20"/>
      <w:lang w:eastAsia="pl-PL"/>
    </w:rPr>
  </w:style>
  <w:style w:type="paragraph" w:customStyle="1" w:styleId="Default">
    <w:name w:val="Default"/>
    <w:rsid w:val="00F57C8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NormalChar">
    <w:name w:val="Normal Char"/>
    <w:basedOn w:val="Domylnaczcionkaakapitu"/>
    <w:link w:val="Normal1"/>
    <w:uiPriority w:val="99"/>
    <w:locked/>
    <w:rsid w:val="007E7ED4"/>
    <w:rPr>
      <w:rFonts w:ascii="Arial" w:eastAsia="Times New Roman" w:hAnsi="Arial" w:cs="Arial"/>
      <w:sz w:val="20"/>
      <w:szCs w:val="24"/>
    </w:rPr>
  </w:style>
  <w:style w:type="paragraph" w:customStyle="1" w:styleId="Normal1">
    <w:name w:val="Normal1"/>
    <w:basedOn w:val="Normalny"/>
    <w:link w:val="NormalChar"/>
    <w:uiPriority w:val="99"/>
    <w:qFormat/>
    <w:rsid w:val="007E7ED4"/>
    <w:pPr>
      <w:spacing w:after="120" w:line="276" w:lineRule="auto"/>
      <w:jc w:val="both"/>
    </w:pPr>
    <w:rPr>
      <w:rFonts w:ascii="Arial" w:eastAsia="Times New Roman" w:hAnsi="Arial" w:cs="Arial"/>
      <w:sz w:val="20"/>
      <w:szCs w:val="24"/>
    </w:rPr>
  </w:style>
  <w:style w:type="paragraph" w:customStyle="1" w:styleId="USTustnpkodeksu">
    <w:name w:val="UST(§) – ust. (§ np. kodeksu)"/>
    <w:basedOn w:val="Normalny"/>
    <w:uiPriority w:val="12"/>
    <w:qFormat/>
    <w:rsid w:val="00CE5905"/>
    <w:pPr>
      <w:autoSpaceDE w:val="0"/>
      <w:autoSpaceDN w:val="0"/>
      <w:spacing w:after="0" w:line="360" w:lineRule="auto"/>
      <w:ind w:firstLine="510"/>
      <w:jc w:val="both"/>
    </w:pPr>
    <w:rPr>
      <w:rFonts w:ascii="Times" w:hAnsi="Times" w:cs="Times"/>
      <w:sz w:val="24"/>
      <w:szCs w:val="24"/>
      <w:lang w:eastAsia="pl-PL"/>
    </w:rPr>
  </w:style>
  <w:style w:type="character" w:customStyle="1" w:styleId="object">
    <w:name w:val="object"/>
    <w:basedOn w:val="Domylnaczcionkaakapitu"/>
    <w:rsid w:val="00BE046D"/>
  </w:style>
  <w:style w:type="paragraph" w:customStyle="1" w:styleId="pf0">
    <w:name w:val="pf0"/>
    <w:basedOn w:val="Normalny"/>
    <w:rsid w:val="00056E5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056E57"/>
    <w:rPr>
      <w:rFonts w:ascii="Segoe UI" w:hAnsi="Segoe UI" w:cs="Segoe UI" w:hint="default"/>
      <w:sz w:val="18"/>
      <w:szCs w:val="18"/>
    </w:rPr>
  </w:style>
  <w:style w:type="character" w:customStyle="1" w:styleId="Kkursywa">
    <w:name w:val="_K_ – kursywa"/>
    <w:basedOn w:val="Domylnaczcionkaakapitu"/>
    <w:uiPriority w:val="1"/>
    <w:qFormat/>
    <w:rsid w:val="00B06762"/>
    <w:rPr>
      <w:i/>
    </w:rPr>
  </w:style>
  <w:style w:type="paragraph" w:styleId="Nagwek">
    <w:name w:val="header"/>
    <w:basedOn w:val="Normalny"/>
    <w:link w:val="NagwekZnak"/>
    <w:uiPriority w:val="99"/>
    <w:unhideWhenUsed/>
    <w:rsid w:val="00EE5A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5AF1"/>
  </w:style>
  <w:style w:type="paragraph" w:styleId="Stopka">
    <w:name w:val="footer"/>
    <w:basedOn w:val="Normalny"/>
    <w:link w:val="StopkaZnak"/>
    <w:uiPriority w:val="99"/>
    <w:unhideWhenUsed/>
    <w:rsid w:val="00EE5A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5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30989">
      <w:bodyDiv w:val="1"/>
      <w:marLeft w:val="0"/>
      <w:marRight w:val="0"/>
      <w:marTop w:val="0"/>
      <w:marBottom w:val="0"/>
      <w:divBdr>
        <w:top w:val="none" w:sz="0" w:space="0" w:color="auto"/>
        <w:left w:val="none" w:sz="0" w:space="0" w:color="auto"/>
        <w:bottom w:val="none" w:sz="0" w:space="0" w:color="auto"/>
        <w:right w:val="none" w:sz="0" w:space="0" w:color="auto"/>
      </w:divBdr>
    </w:div>
    <w:div w:id="523130889">
      <w:bodyDiv w:val="1"/>
      <w:marLeft w:val="0"/>
      <w:marRight w:val="0"/>
      <w:marTop w:val="0"/>
      <w:marBottom w:val="0"/>
      <w:divBdr>
        <w:top w:val="none" w:sz="0" w:space="0" w:color="auto"/>
        <w:left w:val="none" w:sz="0" w:space="0" w:color="auto"/>
        <w:bottom w:val="none" w:sz="0" w:space="0" w:color="auto"/>
        <w:right w:val="none" w:sz="0" w:space="0" w:color="auto"/>
      </w:divBdr>
    </w:div>
    <w:div w:id="677460707">
      <w:bodyDiv w:val="1"/>
      <w:marLeft w:val="0"/>
      <w:marRight w:val="0"/>
      <w:marTop w:val="0"/>
      <w:marBottom w:val="0"/>
      <w:divBdr>
        <w:top w:val="none" w:sz="0" w:space="0" w:color="auto"/>
        <w:left w:val="none" w:sz="0" w:space="0" w:color="auto"/>
        <w:bottom w:val="none" w:sz="0" w:space="0" w:color="auto"/>
        <w:right w:val="none" w:sz="0" w:space="0" w:color="auto"/>
      </w:divBdr>
    </w:div>
    <w:div w:id="706569753">
      <w:bodyDiv w:val="1"/>
      <w:marLeft w:val="0"/>
      <w:marRight w:val="0"/>
      <w:marTop w:val="0"/>
      <w:marBottom w:val="0"/>
      <w:divBdr>
        <w:top w:val="none" w:sz="0" w:space="0" w:color="auto"/>
        <w:left w:val="none" w:sz="0" w:space="0" w:color="auto"/>
        <w:bottom w:val="none" w:sz="0" w:space="0" w:color="auto"/>
        <w:right w:val="none" w:sz="0" w:space="0" w:color="auto"/>
      </w:divBdr>
    </w:div>
    <w:div w:id="846136669">
      <w:bodyDiv w:val="1"/>
      <w:marLeft w:val="0"/>
      <w:marRight w:val="0"/>
      <w:marTop w:val="0"/>
      <w:marBottom w:val="0"/>
      <w:divBdr>
        <w:top w:val="none" w:sz="0" w:space="0" w:color="auto"/>
        <w:left w:val="none" w:sz="0" w:space="0" w:color="auto"/>
        <w:bottom w:val="none" w:sz="0" w:space="0" w:color="auto"/>
        <w:right w:val="none" w:sz="0" w:space="0" w:color="auto"/>
      </w:divBdr>
    </w:div>
    <w:div w:id="869270031">
      <w:bodyDiv w:val="1"/>
      <w:marLeft w:val="0"/>
      <w:marRight w:val="0"/>
      <w:marTop w:val="0"/>
      <w:marBottom w:val="0"/>
      <w:divBdr>
        <w:top w:val="none" w:sz="0" w:space="0" w:color="auto"/>
        <w:left w:val="none" w:sz="0" w:space="0" w:color="auto"/>
        <w:bottom w:val="none" w:sz="0" w:space="0" w:color="auto"/>
        <w:right w:val="none" w:sz="0" w:space="0" w:color="auto"/>
      </w:divBdr>
    </w:div>
    <w:div w:id="1257400008">
      <w:bodyDiv w:val="1"/>
      <w:marLeft w:val="0"/>
      <w:marRight w:val="0"/>
      <w:marTop w:val="0"/>
      <w:marBottom w:val="0"/>
      <w:divBdr>
        <w:top w:val="none" w:sz="0" w:space="0" w:color="auto"/>
        <w:left w:val="none" w:sz="0" w:space="0" w:color="auto"/>
        <w:bottom w:val="none" w:sz="0" w:space="0" w:color="auto"/>
        <w:right w:val="none" w:sz="0" w:space="0" w:color="auto"/>
      </w:divBdr>
    </w:div>
    <w:div w:id="1558668769">
      <w:bodyDiv w:val="1"/>
      <w:marLeft w:val="0"/>
      <w:marRight w:val="0"/>
      <w:marTop w:val="0"/>
      <w:marBottom w:val="0"/>
      <w:divBdr>
        <w:top w:val="none" w:sz="0" w:space="0" w:color="auto"/>
        <w:left w:val="none" w:sz="0" w:space="0" w:color="auto"/>
        <w:bottom w:val="none" w:sz="0" w:space="0" w:color="auto"/>
        <w:right w:val="none" w:sz="0" w:space="0" w:color="auto"/>
      </w:divBdr>
    </w:div>
    <w:div w:id="1582175790">
      <w:bodyDiv w:val="1"/>
      <w:marLeft w:val="0"/>
      <w:marRight w:val="0"/>
      <w:marTop w:val="0"/>
      <w:marBottom w:val="0"/>
      <w:divBdr>
        <w:top w:val="none" w:sz="0" w:space="0" w:color="auto"/>
        <w:left w:val="none" w:sz="0" w:space="0" w:color="auto"/>
        <w:bottom w:val="none" w:sz="0" w:space="0" w:color="auto"/>
        <w:right w:val="none" w:sz="0" w:space="0" w:color="auto"/>
      </w:divBdr>
    </w:div>
    <w:div w:id="208629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A0C56-479F-4663-9D66-B06713C4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14483</Words>
  <Characters>86898</Characters>
  <Application>Microsoft Office Word</Application>
  <DocSecurity>0</DocSecurity>
  <Lines>724</Lines>
  <Paragraphs>202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Grądzik Paulina</dc:creator>
  <cp:keywords/>
  <dc:description/>
  <cp:lastModifiedBy>Binkowska Joanna</cp:lastModifiedBy>
  <cp:revision>3</cp:revision>
  <dcterms:created xsi:type="dcterms:W3CDTF">2022-11-25T19:32:00Z</dcterms:created>
  <dcterms:modified xsi:type="dcterms:W3CDTF">2022-11-25T19:33:00Z</dcterms:modified>
</cp:coreProperties>
</file>