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64B" w:rsidRPr="007C35AC" w:rsidRDefault="005912D0" w:rsidP="007C35AC">
      <w:pPr>
        <w:spacing w:after="240" w:line="360" w:lineRule="auto"/>
        <w:ind w:left="2829" w:firstLine="709"/>
        <w:rPr>
          <w:rFonts w:ascii="Times New Roman" w:hAnsi="Times New Roman" w:cs="Times New Roman"/>
          <w:sz w:val="24"/>
          <w:szCs w:val="24"/>
        </w:rPr>
      </w:pPr>
      <w:bookmarkStart w:id="0" w:name="_GoBack"/>
      <w:bookmarkEnd w:id="0"/>
      <w:r w:rsidRPr="007C35AC">
        <w:rPr>
          <w:rFonts w:ascii="Times New Roman" w:hAnsi="Times New Roman" w:cs="Times New Roman"/>
          <w:sz w:val="24"/>
          <w:szCs w:val="24"/>
        </w:rPr>
        <w:t>UZASADNIENIE</w:t>
      </w:r>
    </w:p>
    <w:p w:rsidR="00690244" w:rsidRPr="00543E99" w:rsidRDefault="00685AEA" w:rsidP="007C35AC">
      <w:pPr>
        <w:spacing w:line="360" w:lineRule="auto"/>
        <w:jc w:val="both"/>
        <w:rPr>
          <w:rFonts w:ascii="Times New Roman" w:eastAsia="Times New Roman" w:hAnsi="Times New Roman" w:cs="Times New Roman"/>
          <w:sz w:val="24"/>
          <w:szCs w:val="24"/>
          <w:lang w:eastAsia="pl-PL"/>
        </w:rPr>
      </w:pPr>
      <w:r w:rsidRPr="003A7E4C">
        <w:rPr>
          <w:rFonts w:ascii="Times New Roman" w:hAnsi="Times New Roman" w:cs="Times New Roman"/>
          <w:sz w:val="24"/>
          <w:szCs w:val="24"/>
        </w:rPr>
        <w:t>Potrzeba</w:t>
      </w:r>
      <w:r w:rsidR="005912D0" w:rsidRPr="003A7E4C">
        <w:rPr>
          <w:rFonts w:ascii="Times New Roman" w:hAnsi="Times New Roman" w:cs="Times New Roman"/>
          <w:sz w:val="24"/>
          <w:szCs w:val="24"/>
        </w:rPr>
        <w:t xml:space="preserve"> nowelizacji ustawy </w:t>
      </w:r>
      <w:r w:rsidR="004F775B" w:rsidRPr="003A7E4C">
        <w:rPr>
          <w:rFonts w:ascii="Times New Roman" w:hAnsi="Times New Roman" w:cs="Times New Roman"/>
          <w:sz w:val="24"/>
          <w:szCs w:val="24"/>
        </w:rPr>
        <w:t xml:space="preserve">z dnia 22 maja 2003 r. o ubezpieczeniach obowiązkowych, Ubezpieczeniowym Funduszu Gwarancyjnym i Polskim Biurze Ubezpieczycieli Komunikacyjnych </w:t>
      </w:r>
      <w:r w:rsidR="00F02139" w:rsidRPr="003A7E4C">
        <w:rPr>
          <w:rFonts w:ascii="Times New Roman" w:hAnsi="Times New Roman" w:cs="Times New Roman"/>
          <w:sz w:val="24"/>
          <w:szCs w:val="24"/>
        </w:rPr>
        <w:t>(Dz. U. z</w:t>
      </w:r>
      <w:r w:rsidR="00E63476">
        <w:rPr>
          <w:rFonts w:ascii="Times New Roman" w:hAnsi="Times New Roman" w:cs="Times New Roman"/>
          <w:sz w:val="24"/>
          <w:szCs w:val="24"/>
        </w:rPr>
        <w:t xml:space="preserve"> 2019 r. poz. 2214</w:t>
      </w:r>
      <w:r w:rsidR="00F02139" w:rsidRPr="003A7E4C">
        <w:rPr>
          <w:rFonts w:ascii="Times New Roman" w:hAnsi="Times New Roman" w:cs="Times New Roman"/>
          <w:sz w:val="24"/>
          <w:szCs w:val="24"/>
        </w:rPr>
        <w:t>)</w:t>
      </w:r>
      <w:r w:rsidR="0018096B">
        <w:rPr>
          <w:rFonts w:ascii="Times New Roman" w:hAnsi="Times New Roman" w:cs="Times New Roman"/>
          <w:sz w:val="24"/>
          <w:szCs w:val="24"/>
        </w:rPr>
        <w:t>, zwanej dalej „ustawą o ubezpieczeniach obowiązkowych”,</w:t>
      </w:r>
      <w:r w:rsidR="00F02139" w:rsidRPr="003A7E4C">
        <w:rPr>
          <w:rFonts w:ascii="Times New Roman" w:hAnsi="Times New Roman" w:cs="Times New Roman"/>
          <w:sz w:val="24"/>
          <w:szCs w:val="24"/>
        </w:rPr>
        <w:t xml:space="preserve"> </w:t>
      </w:r>
      <w:r w:rsidR="004F775B" w:rsidRPr="003A7E4C">
        <w:rPr>
          <w:rFonts w:ascii="Times New Roman" w:hAnsi="Times New Roman" w:cs="Times New Roman"/>
          <w:sz w:val="24"/>
          <w:szCs w:val="24"/>
        </w:rPr>
        <w:t xml:space="preserve">oraz ustawy </w:t>
      </w:r>
      <w:r w:rsidR="005912D0" w:rsidRPr="003A7E4C">
        <w:rPr>
          <w:rFonts w:ascii="Times New Roman" w:hAnsi="Times New Roman" w:cs="Times New Roman"/>
          <w:sz w:val="24"/>
          <w:szCs w:val="24"/>
        </w:rPr>
        <w:t xml:space="preserve">z dnia 11 września </w:t>
      </w:r>
      <w:r w:rsidR="00B35B82" w:rsidRPr="003A7E4C">
        <w:rPr>
          <w:rFonts w:ascii="Times New Roman" w:hAnsi="Times New Roman" w:cs="Times New Roman"/>
          <w:sz w:val="24"/>
          <w:szCs w:val="24"/>
        </w:rPr>
        <w:t>2015</w:t>
      </w:r>
      <w:r w:rsidR="00B35B82">
        <w:rPr>
          <w:rFonts w:ascii="Times New Roman" w:hAnsi="Times New Roman" w:cs="Times New Roman"/>
          <w:sz w:val="24"/>
          <w:szCs w:val="24"/>
        </w:rPr>
        <w:t> </w:t>
      </w:r>
      <w:r w:rsidR="005912D0" w:rsidRPr="003A7E4C">
        <w:rPr>
          <w:rFonts w:ascii="Times New Roman" w:hAnsi="Times New Roman" w:cs="Times New Roman"/>
          <w:sz w:val="24"/>
          <w:szCs w:val="24"/>
        </w:rPr>
        <w:t xml:space="preserve">r. o działalności ubezpieczeniowej i reasekuracyjnej </w:t>
      </w:r>
      <w:r w:rsidR="00D86C00" w:rsidRPr="003A7E4C">
        <w:rPr>
          <w:rFonts w:ascii="Times New Roman" w:hAnsi="Times New Roman" w:cs="Times New Roman"/>
          <w:sz w:val="24"/>
          <w:szCs w:val="24"/>
        </w:rPr>
        <w:t>(Dz. U. z 2019</w:t>
      </w:r>
      <w:r w:rsidR="00F02139" w:rsidRPr="003A7E4C">
        <w:rPr>
          <w:rFonts w:ascii="Times New Roman" w:hAnsi="Times New Roman" w:cs="Times New Roman"/>
          <w:sz w:val="24"/>
          <w:szCs w:val="24"/>
        </w:rPr>
        <w:t xml:space="preserve"> r. poz.</w:t>
      </w:r>
      <w:r w:rsidR="00D86C00" w:rsidRPr="003A7E4C">
        <w:rPr>
          <w:rFonts w:ascii="Times New Roman" w:hAnsi="Times New Roman" w:cs="Times New Roman"/>
          <w:sz w:val="24"/>
          <w:szCs w:val="24"/>
        </w:rPr>
        <w:t xml:space="preserve"> 381</w:t>
      </w:r>
      <w:r w:rsidR="00E63476">
        <w:rPr>
          <w:rFonts w:ascii="Times New Roman" w:hAnsi="Times New Roman" w:cs="Times New Roman"/>
          <w:sz w:val="24"/>
          <w:szCs w:val="24"/>
        </w:rPr>
        <w:t>, z późn. zm.</w:t>
      </w:r>
      <w:r w:rsidR="00F02139" w:rsidRPr="003A7E4C">
        <w:rPr>
          <w:rFonts w:ascii="Times New Roman" w:hAnsi="Times New Roman" w:cs="Times New Roman"/>
          <w:sz w:val="24"/>
          <w:szCs w:val="24"/>
        </w:rPr>
        <w:t>)</w:t>
      </w:r>
      <w:r w:rsidR="0018096B">
        <w:rPr>
          <w:rFonts w:ascii="Times New Roman" w:hAnsi="Times New Roman" w:cs="Times New Roman"/>
          <w:sz w:val="24"/>
          <w:szCs w:val="24"/>
        </w:rPr>
        <w:t>, zwanej dalej „ustawą o działalności ubezpieczeniowej”,</w:t>
      </w:r>
      <w:r w:rsidR="00F02139" w:rsidRPr="003A7E4C">
        <w:rPr>
          <w:rFonts w:ascii="Times New Roman" w:hAnsi="Times New Roman" w:cs="Times New Roman"/>
          <w:sz w:val="24"/>
          <w:szCs w:val="24"/>
        </w:rPr>
        <w:t xml:space="preserve"> </w:t>
      </w:r>
      <w:r w:rsidR="004F775B" w:rsidRPr="003A7E4C">
        <w:rPr>
          <w:rFonts w:ascii="Times New Roman" w:hAnsi="Times New Roman" w:cs="Times New Roman"/>
          <w:sz w:val="24"/>
          <w:szCs w:val="24"/>
        </w:rPr>
        <w:t xml:space="preserve">wynika z konieczności zapewnienia Komisji Nadzoru Finansowego, jako polskiemu organowi nadzoru, skutecznych </w:t>
      </w:r>
      <w:r w:rsidR="00BA4919" w:rsidRPr="003A7E4C">
        <w:rPr>
          <w:rFonts w:ascii="Times New Roman" w:hAnsi="Times New Roman" w:cs="Times New Roman"/>
          <w:sz w:val="24"/>
          <w:szCs w:val="24"/>
        </w:rPr>
        <w:t xml:space="preserve">i szybkich </w:t>
      </w:r>
      <w:r w:rsidR="004F775B" w:rsidRPr="003A7E4C">
        <w:rPr>
          <w:rFonts w:ascii="Times New Roman" w:hAnsi="Times New Roman" w:cs="Times New Roman"/>
          <w:sz w:val="24"/>
          <w:szCs w:val="24"/>
        </w:rPr>
        <w:t xml:space="preserve">mechanizmów nadzoru nad </w:t>
      </w:r>
      <w:r w:rsidR="004F775B" w:rsidRPr="003A7E4C">
        <w:rPr>
          <w:rFonts w:ascii="Times New Roman" w:eastAsia="Times New Roman" w:hAnsi="Times New Roman" w:cs="Times New Roman"/>
          <w:sz w:val="24"/>
          <w:szCs w:val="24"/>
          <w:lang w:eastAsia="pl-PL"/>
        </w:rPr>
        <w:t>zagranicznymi zakładami ubezpieczeń oraz zagranicznymi zakładami reasekuracji z innego niż Rzeczpospolita Polska państwa członkowskiego Unii Europejskiej wykonujących na terytorium Rzeczy</w:t>
      </w:r>
      <w:r w:rsidR="00E04EDD" w:rsidRPr="003A7E4C">
        <w:rPr>
          <w:rFonts w:ascii="Times New Roman" w:eastAsia="Times New Roman" w:hAnsi="Times New Roman" w:cs="Times New Roman"/>
          <w:sz w:val="24"/>
          <w:szCs w:val="24"/>
          <w:lang w:eastAsia="pl-PL"/>
        </w:rPr>
        <w:t>pospolitej Polskiej działalność</w:t>
      </w:r>
      <w:r w:rsidR="004F775B" w:rsidRPr="003A7E4C">
        <w:rPr>
          <w:rFonts w:ascii="Times New Roman" w:eastAsia="Times New Roman" w:hAnsi="Times New Roman" w:cs="Times New Roman"/>
          <w:sz w:val="24"/>
          <w:szCs w:val="24"/>
          <w:lang w:eastAsia="pl-PL"/>
        </w:rPr>
        <w:t xml:space="preserve"> przez oddział lub w inny sposób niż przez oddział, w ramach swobody świadczenia usług. </w:t>
      </w:r>
      <w:r w:rsidR="00156CDE" w:rsidRPr="00543E99">
        <w:rPr>
          <w:rFonts w:ascii="Times New Roman" w:eastAsia="Times New Roman" w:hAnsi="Times New Roman" w:cs="Times New Roman"/>
          <w:sz w:val="24"/>
          <w:szCs w:val="24"/>
          <w:lang w:eastAsia="pl-PL"/>
        </w:rPr>
        <w:t>W przypadku ustawy o działalności ubezpieczeniowej potrzeba nowelizacji wynika również z koniec</w:t>
      </w:r>
      <w:r w:rsidR="00784101">
        <w:rPr>
          <w:rFonts w:ascii="Times New Roman" w:eastAsia="Times New Roman" w:hAnsi="Times New Roman" w:cs="Times New Roman"/>
          <w:sz w:val="24"/>
          <w:szCs w:val="24"/>
          <w:lang w:eastAsia="pl-PL"/>
        </w:rPr>
        <w:t>zności implementacji art. 2 pkt </w:t>
      </w:r>
      <w:r w:rsidR="00156CDE" w:rsidRPr="00543E99">
        <w:rPr>
          <w:rFonts w:ascii="Times New Roman" w:eastAsia="Times New Roman" w:hAnsi="Times New Roman" w:cs="Times New Roman"/>
          <w:sz w:val="24"/>
          <w:szCs w:val="24"/>
          <w:lang w:eastAsia="pl-PL"/>
        </w:rPr>
        <w:t xml:space="preserve">1 dyrektywy </w:t>
      </w:r>
      <w:r w:rsidR="00156CDE" w:rsidRPr="00543E99">
        <w:rPr>
          <w:rFonts w:ascii="Times New Roman" w:hAnsi="Times New Roman" w:cs="Times New Roman"/>
          <w:sz w:val="24"/>
          <w:szCs w:val="24"/>
        </w:rPr>
        <w:t xml:space="preserve">Parlamentu Europejskiego i Rady </w:t>
      </w:r>
      <w:r w:rsidR="00294222">
        <w:rPr>
          <w:rFonts w:ascii="Times New Roman" w:hAnsi="Times New Roman" w:cs="Times New Roman"/>
          <w:sz w:val="24"/>
          <w:szCs w:val="24"/>
        </w:rPr>
        <w:t xml:space="preserve">(UE) 2019/2177 </w:t>
      </w:r>
      <w:r w:rsidR="00156CDE" w:rsidRPr="00543E99">
        <w:rPr>
          <w:rFonts w:ascii="Times New Roman" w:hAnsi="Times New Roman" w:cs="Times New Roman"/>
          <w:sz w:val="24"/>
          <w:szCs w:val="24"/>
        </w:rPr>
        <w:t>z dnia 18 grudnia 2019 r. zmieniającej dyrektywę 2009/138/WE w sprawie podejmowania i prowadzenia działalności ubezpieczeniowej i reasekuracyjnej (Wypłacalność II), dyrektywę 2014/65/UE w sprawie rynków instrumentów finansowych oraz dyrektywę (UE) 2015/849 w sprawie zapobiegania wykorzystywaniu systemu finansowego do prania pieniędzy lub finansowania terroryzmu</w:t>
      </w:r>
      <w:r w:rsidR="00784101">
        <w:rPr>
          <w:rFonts w:ascii="Times New Roman" w:hAnsi="Times New Roman" w:cs="Times New Roman"/>
          <w:sz w:val="24"/>
          <w:szCs w:val="24"/>
        </w:rPr>
        <w:t xml:space="preserve"> (Dz. </w:t>
      </w:r>
      <w:r w:rsidR="00294222">
        <w:rPr>
          <w:rFonts w:ascii="Times New Roman" w:hAnsi="Times New Roman" w:cs="Times New Roman"/>
          <w:sz w:val="24"/>
          <w:szCs w:val="24"/>
        </w:rPr>
        <w:t>Urz. UE L 334 z 27.12.2019, str. 155)</w:t>
      </w:r>
      <w:r w:rsidR="00156CDE" w:rsidRPr="00543E99">
        <w:rPr>
          <w:rFonts w:ascii="Times New Roman" w:hAnsi="Times New Roman" w:cs="Times New Roman"/>
          <w:sz w:val="24"/>
          <w:szCs w:val="24"/>
        </w:rPr>
        <w:t xml:space="preserve">. </w:t>
      </w:r>
    </w:p>
    <w:p w:rsidR="00FE47EE" w:rsidRPr="003A7E4C" w:rsidRDefault="00FE47EE" w:rsidP="007C35AC">
      <w:pPr>
        <w:spacing w:line="360" w:lineRule="auto"/>
        <w:jc w:val="both"/>
        <w:rPr>
          <w:rFonts w:ascii="Times New Roman" w:eastAsia="Times New Roman" w:hAnsi="Times New Roman" w:cs="Times New Roman"/>
          <w:sz w:val="24"/>
          <w:szCs w:val="24"/>
          <w:lang w:eastAsia="pl-PL"/>
        </w:rPr>
      </w:pPr>
      <w:r w:rsidRPr="003A7E4C">
        <w:rPr>
          <w:rFonts w:ascii="Times New Roman" w:eastAsia="Times New Roman" w:hAnsi="Times New Roman" w:cs="Times New Roman"/>
          <w:sz w:val="24"/>
          <w:szCs w:val="24"/>
          <w:lang w:eastAsia="pl-PL"/>
        </w:rPr>
        <w:t>Projekt ustawy zakłada zmianę w art. 14 ustawy o ubezpieczeniach obowiązkowych. Proponowane zmiany odnoszą się do środków nadzorczych stosowanych wobec krajowych zakładów ubezpieczeń oraz zagranicznych zakładów ubezpieczeń z tytułu naruszenia przepis</w:t>
      </w:r>
      <w:r w:rsidR="002776C5">
        <w:rPr>
          <w:rFonts w:ascii="Times New Roman" w:eastAsia="Times New Roman" w:hAnsi="Times New Roman" w:cs="Times New Roman"/>
          <w:sz w:val="24"/>
          <w:szCs w:val="24"/>
          <w:lang w:eastAsia="pl-PL"/>
        </w:rPr>
        <w:t>ów</w:t>
      </w:r>
      <w:r w:rsidRPr="003A7E4C">
        <w:rPr>
          <w:rFonts w:ascii="Times New Roman" w:eastAsia="Times New Roman" w:hAnsi="Times New Roman" w:cs="Times New Roman"/>
          <w:sz w:val="24"/>
          <w:szCs w:val="24"/>
          <w:lang w:eastAsia="pl-PL"/>
        </w:rPr>
        <w:t xml:space="preserve"> art. 14 ust. 1</w:t>
      </w:r>
      <w:r w:rsidR="007C35AC">
        <w:rPr>
          <w:rFonts w:ascii="Times New Roman" w:eastAsia="Times New Roman" w:hAnsi="Times New Roman" w:cs="Times New Roman"/>
          <w:sz w:val="24"/>
          <w:szCs w:val="24"/>
          <w:lang w:eastAsia="pl-PL"/>
        </w:rPr>
        <w:t>–</w:t>
      </w:r>
      <w:r w:rsidRPr="003A7E4C">
        <w:rPr>
          <w:rFonts w:ascii="Times New Roman" w:eastAsia="Times New Roman" w:hAnsi="Times New Roman" w:cs="Times New Roman"/>
          <w:sz w:val="24"/>
          <w:szCs w:val="24"/>
          <w:lang w:eastAsia="pl-PL"/>
        </w:rPr>
        <w:t xml:space="preserve">3 ustawy o ubezpieczeniach obowiązkowych określających termin na wypłatę odszkodowania. Proponuje się zmianę </w:t>
      </w:r>
      <w:r w:rsidR="001D53A8">
        <w:rPr>
          <w:rFonts w:ascii="Times New Roman" w:eastAsia="Times New Roman" w:hAnsi="Times New Roman" w:cs="Times New Roman"/>
          <w:sz w:val="24"/>
          <w:szCs w:val="24"/>
          <w:lang w:eastAsia="pl-PL"/>
        </w:rPr>
        <w:t xml:space="preserve">brzmienia </w:t>
      </w:r>
      <w:r w:rsidRPr="003A7E4C">
        <w:rPr>
          <w:rFonts w:ascii="Times New Roman" w:eastAsia="Times New Roman" w:hAnsi="Times New Roman" w:cs="Times New Roman"/>
          <w:sz w:val="24"/>
          <w:szCs w:val="24"/>
          <w:lang w:eastAsia="pl-PL"/>
        </w:rPr>
        <w:t xml:space="preserve">ust. 3a, </w:t>
      </w:r>
      <w:r w:rsidR="001D53A8">
        <w:rPr>
          <w:rFonts w:ascii="Times New Roman" w:eastAsia="Times New Roman" w:hAnsi="Times New Roman" w:cs="Times New Roman"/>
          <w:sz w:val="24"/>
          <w:szCs w:val="24"/>
          <w:lang w:eastAsia="pl-PL"/>
        </w:rPr>
        <w:t xml:space="preserve">zgodnie z </w:t>
      </w:r>
      <w:r w:rsidRPr="003A7E4C">
        <w:rPr>
          <w:rFonts w:ascii="Times New Roman" w:eastAsia="Times New Roman" w:hAnsi="Times New Roman" w:cs="Times New Roman"/>
          <w:sz w:val="24"/>
          <w:szCs w:val="24"/>
          <w:lang w:eastAsia="pl-PL"/>
        </w:rPr>
        <w:t>który</w:t>
      </w:r>
      <w:r w:rsidR="001D53A8">
        <w:rPr>
          <w:rFonts w:ascii="Times New Roman" w:eastAsia="Times New Roman" w:hAnsi="Times New Roman" w:cs="Times New Roman"/>
          <w:sz w:val="24"/>
          <w:szCs w:val="24"/>
          <w:lang w:eastAsia="pl-PL"/>
        </w:rPr>
        <w:t>m</w:t>
      </w:r>
      <w:r w:rsidR="00784101">
        <w:rPr>
          <w:rFonts w:ascii="Times New Roman" w:eastAsia="Times New Roman" w:hAnsi="Times New Roman" w:cs="Times New Roman"/>
          <w:sz w:val="24"/>
          <w:szCs w:val="24"/>
          <w:lang w:eastAsia="pl-PL"/>
        </w:rPr>
        <w:t xml:space="preserve"> w </w:t>
      </w:r>
      <w:r w:rsidRPr="003A7E4C">
        <w:rPr>
          <w:rFonts w:ascii="Times New Roman" w:eastAsia="Times New Roman" w:hAnsi="Times New Roman" w:cs="Times New Roman"/>
          <w:sz w:val="24"/>
          <w:szCs w:val="24"/>
          <w:lang w:eastAsia="pl-PL"/>
        </w:rPr>
        <w:t xml:space="preserve">przypadku niewypłacenia przez krajowy zakład ubezpieczeń odszkodowania w określonym ustawowo terminie lub niedopełnienia określonego obowiązku informacyjnego organ nadzoru </w:t>
      </w:r>
      <w:r w:rsidR="0038440A">
        <w:rPr>
          <w:rFonts w:ascii="Times New Roman" w:eastAsia="Times New Roman" w:hAnsi="Times New Roman" w:cs="Times New Roman"/>
          <w:sz w:val="24"/>
          <w:szCs w:val="24"/>
          <w:lang w:eastAsia="pl-PL"/>
        </w:rPr>
        <w:t xml:space="preserve">stosuje </w:t>
      </w:r>
      <w:r w:rsidRPr="003A7E4C">
        <w:rPr>
          <w:rFonts w:ascii="Times New Roman" w:eastAsia="Times New Roman" w:hAnsi="Times New Roman" w:cs="Times New Roman"/>
          <w:sz w:val="24"/>
          <w:szCs w:val="24"/>
          <w:lang w:eastAsia="pl-PL"/>
        </w:rPr>
        <w:t>wobec krajowego zakładu ubezpieczeń środki nadzorcze określone w art. 362</w:t>
      </w:r>
      <w:r w:rsidR="00784101">
        <w:rPr>
          <w:rFonts w:ascii="Times New Roman" w:eastAsia="Times New Roman" w:hAnsi="Times New Roman" w:cs="Times New Roman"/>
          <w:sz w:val="24"/>
          <w:szCs w:val="24"/>
          <w:lang w:eastAsia="pl-PL"/>
        </w:rPr>
        <w:t xml:space="preserve"> ust. 1 pkt </w:t>
      </w:r>
      <w:r w:rsidRPr="003A7E4C">
        <w:rPr>
          <w:rFonts w:ascii="Times New Roman" w:eastAsia="Times New Roman" w:hAnsi="Times New Roman" w:cs="Times New Roman"/>
          <w:sz w:val="24"/>
          <w:szCs w:val="24"/>
          <w:lang w:eastAsia="pl-PL"/>
        </w:rPr>
        <w:t xml:space="preserve">1 lub 2 ustawy </w:t>
      </w:r>
      <w:r w:rsidR="00193587">
        <w:rPr>
          <w:rFonts w:ascii="Times New Roman" w:eastAsia="Times New Roman" w:hAnsi="Times New Roman" w:cs="Times New Roman"/>
          <w:sz w:val="24"/>
          <w:szCs w:val="24"/>
          <w:lang w:eastAsia="pl-PL"/>
        </w:rPr>
        <w:t>o działalności ubezpieczeniowej</w:t>
      </w:r>
      <w:r w:rsidRPr="003A7E4C">
        <w:rPr>
          <w:rFonts w:ascii="Times New Roman" w:eastAsia="Times New Roman" w:hAnsi="Times New Roman" w:cs="Times New Roman"/>
          <w:sz w:val="24"/>
          <w:szCs w:val="24"/>
          <w:lang w:eastAsia="pl-PL"/>
        </w:rPr>
        <w:t xml:space="preserve">. </w:t>
      </w:r>
    </w:p>
    <w:p w:rsidR="00FE47EE" w:rsidRPr="003A7E4C" w:rsidRDefault="00FE47EE" w:rsidP="007C35AC">
      <w:pPr>
        <w:spacing w:line="360" w:lineRule="auto"/>
        <w:jc w:val="both"/>
        <w:rPr>
          <w:rFonts w:ascii="Times New Roman" w:eastAsia="Times New Roman" w:hAnsi="Times New Roman" w:cs="Times New Roman"/>
          <w:sz w:val="24"/>
          <w:szCs w:val="24"/>
          <w:lang w:eastAsia="pl-PL"/>
        </w:rPr>
      </w:pPr>
      <w:r w:rsidRPr="003A7E4C">
        <w:rPr>
          <w:rFonts w:ascii="Times New Roman" w:eastAsia="Times New Roman" w:hAnsi="Times New Roman" w:cs="Times New Roman"/>
          <w:sz w:val="24"/>
          <w:szCs w:val="24"/>
          <w:lang w:eastAsia="pl-PL"/>
        </w:rPr>
        <w:t xml:space="preserve">Należy nadmienić, iż wskazane w art. 362 </w:t>
      </w:r>
      <w:r w:rsidR="003C4BCE">
        <w:rPr>
          <w:rFonts w:ascii="Times New Roman" w:eastAsia="Times New Roman" w:hAnsi="Times New Roman" w:cs="Times New Roman"/>
          <w:sz w:val="24"/>
          <w:szCs w:val="24"/>
          <w:lang w:eastAsia="pl-PL"/>
        </w:rPr>
        <w:t xml:space="preserve">ustawy o działalności ubezpieczeniowej </w:t>
      </w:r>
      <w:r w:rsidRPr="003A7E4C">
        <w:rPr>
          <w:rFonts w:ascii="Times New Roman" w:eastAsia="Times New Roman" w:hAnsi="Times New Roman" w:cs="Times New Roman"/>
          <w:sz w:val="24"/>
          <w:szCs w:val="24"/>
          <w:lang w:eastAsia="pl-PL"/>
        </w:rPr>
        <w:t xml:space="preserve">środki nadzorcze (kara pieniężna nakładana na zakład ubezpieczeń lub członka zarządu zakładu ubezpieczeń) odnoszą się do składki przypisanej brutto wykazanej przez zakład ubezpieczeń </w:t>
      </w:r>
      <w:r w:rsidRPr="003A7E4C">
        <w:rPr>
          <w:rFonts w:ascii="Times New Roman" w:eastAsia="Times New Roman" w:hAnsi="Times New Roman" w:cs="Times New Roman"/>
          <w:sz w:val="24"/>
          <w:szCs w:val="24"/>
          <w:lang w:eastAsia="pl-PL"/>
        </w:rPr>
        <w:lastRenderedPageBreak/>
        <w:t>lub zakład reasekuracji w ostatnim przedstawionym organowi nadzoru sprawozdaniu finansowym, o którym mowa w art. 280 ustawy o działalności ubezpieczeniowej.</w:t>
      </w:r>
    </w:p>
    <w:p w:rsidR="00B6473C" w:rsidRDefault="00FE47EE" w:rsidP="007C35AC">
      <w:pPr>
        <w:spacing w:line="360" w:lineRule="auto"/>
        <w:jc w:val="both"/>
        <w:rPr>
          <w:rFonts w:ascii="Times New Roman" w:eastAsia="Times New Roman" w:hAnsi="Times New Roman" w:cs="Times New Roman"/>
          <w:sz w:val="24"/>
          <w:szCs w:val="24"/>
          <w:lang w:eastAsia="pl-PL"/>
        </w:rPr>
      </w:pPr>
      <w:r w:rsidRPr="003A7E4C">
        <w:rPr>
          <w:rFonts w:ascii="Times New Roman" w:eastAsia="Times New Roman" w:hAnsi="Times New Roman" w:cs="Times New Roman"/>
          <w:sz w:val="24"/>
          <w:szCs w:val="24"/>
          <w:lang w:eastAsia="pl-PL"/>
        </w:rPr>
        <w:t xml:space="preserve">Z uwagi na obecne brzmienie art. 362 ustawy o działalności ubezpieczeniowej, w </w:t>
      </w:r>
      <w:r w:rsidR="00EA6637">
        <w:rPr>
          <w:rFonts w:ascii="Times New Roman" w:eastAsia="Times New Roman" w:hAnsi="Times New Roman" w:cs="Times New Roman"/>
          <w:sz w:val="24"/>
          <w:szCs w:val="24"/>
          <w:lang w:eastAsia="pl-PL"/>
        </w:rPr>
        <w:t xml:space="preserve">art. 14 </w:t>
      </w:r>
      <w:r w:rsidRPr="003A7E4C">
        <w:rPr>
          <w:rFonts w:ascii="Times New Roman" w:eastAsia="Times New Roman" w:hAnsi="Times New Roman" w:cs="Times New Roman"/>
          <w:sz w:val="24"/>
          <w:szCs w:val="24"/>
          <w:lang w:eastAsia="pl-PL"/>
        </w:rPr>
        <w:t>ustaw</w:t>
      </w:r>
      <w:r w:rsidR="00EA6637">
        <w:rPr>
          <w:rFonts w:ascii="Times New Roman" w:eastAsia="Times New Roman" w:hAnsi="Times New Roman" w:cs="Times New Roman"/>
          <w:sz w:val="24"/>
          <w:szCs w:val="24"/>
          <w:lang w:eastAsia="pl-PL"/>
        </w:rPr>
        <w:t>y</w:t>
      </w:r>
      <w:r w:rsidRPr="003A7E4C">
        <w:rPr>
          <w:rFonts w:ascii="Times New Roman" w:eastAsia="Times New Roman" w:hAnsi="Times New Roman" w:cs="Times New Roman"/>
          <w:sz w:val="24"/>
          <w:szCs w:val="24"/>
          <w:lang w:eastAsia="pl-PL"/>
        </w:rPr>
        <w:t xml:space="preserve"> o ubezpieczeniach obowiązkowych proponuje się dodanie u</w:t>
      </w:r>
      <w:r w:rsidR="00784101">
        <w:rPr>
          <w:rFonts w:ascii="Times New Roman" w:eastAsia="Times New Roman" w:hAnsi="Times New Roman" w:cs="Times New Roman"/>
          <w:sz w:val="24"/>
          <w:szCs w:val="24"/>
          <w:lang w:eastAsia="pl-PL"/>
        </w:rPr>
        <w:t>st. 3b, który wskazywałby, iż w </w:t>
      </w:r>
      <w:r w:rsidRPr="003A7E4C">
        <w:rPr>
          <w:rFonts w:ascii="Times New Roman" w:eastAsia="Times New Roman" w:hAnsi="Times New Roman" w:cs="Times New Roman"/>
          <w:sz w:val="24"/>
          <w:szCs w:val="24"/>
          <w:lang w:eastAsia="pl-PL"/>
        </w:rPr>
        <w:t>przypadku niewypłacenia przez zagraniczny zak</w:t>
      </w:r>
      <w:r w:rsidR="00784101">
        <w:rPr>
          <w:rFonts w:ascii="Times New Roman" w:eastAsia="Times New Roman" w:hAnsi="Times New Roman" w:cs="Times New Roman"/>
          <w:sz w:val="24"/>
          <w:szCs w:val="24"/>
          <w:lang w:eastAsia="pl-PL"/>
        </w:rPr>
        <w:t>ład ubezpieczeń odszkodowania w </w:t>
      </w:r>
      <w:r w:rsidRPr="003A7E4C">
        <w:rPr>
          <w:rFonts w:ascii="Times New Roman" w:eastAsia="Times New Roman" w:hAnsi="Times New Roman" w:cs="Times New Roman"/>
          <w:sz w:val="24"/>
          <w:szCs w:val="24"/>
          <w:lang w:eastAsia="pl-PL"/>
        </w:rPr>
        <w:t xml:space="preserve">określonym ustawowo terminie lub niedopełnienia określonego obowiązku informacyjnego organ nadzoru </w:t>
      </w:r>
      <w:r w:rsidR="00642F3D">
        <w:rPr>
          <w:rFonts w:ascii="Times New Roman" w:eastAsia="Times New Roman" w:hAnsi="Times New Roman" w:cs="Times New Roman"/>
          <w:sz w:val="24"/>
          <w:szCs w:val="24"/>
          <w:lang w:eastAsia="pl-PL"/>
        </w:rPr>
        <w:t xml:space="preserve">nakłada </w:t>
      </w:r>
      <w:r w:rsidR="00642F3D" w:rsidRPr="00642F3D">
        <w:rPr>
          <w:rFonts w:ascii="Times New Roman" w:eastAsia="Times New Roman" w:hAnsi="Times New Roman" w:cs="Times New Roman"/>
          <w:sz w:val="24"/>
          <w:szCs w:val="24"/>
          <w:lang w:eastAsia="pl-PL"/>
        </w:rPr>
        <w:t xml:space="preserve">na członka </w:t>
      </w:r>
      <w:r w:rsidR="0011564E">
        <w:rPr>
          <w:rFonts w:ascii="Times New Roman" w:eastAsia="Times New Roman" w:hAnsi="Times New Roman" w:cs="Times New Roman"/>
          <w:sz w:val="24"/>
          <w:szCs w:val="24"/>
          <w:lang w:eastAsia="pl-PL"/>
        </w:rPr>
        <w:t xml:space="preserve">organu zarządzającego </w:t>
      </w:r>
      <w:r w:rsidR="00642F3D" w:rsidRPr="00642F3D">
        <w:rPr>
          <w:rFonts w:ascii="Times New Roman" w:eastAsia="Times New Roman" w:hAnsi="Times New Roman" w:cs="Times New Roman"/>
          <w:sz w:val="24"/>
          <w:szCs w:val="24"/>
          <w:lang w:eastAsia="pl-PL"/>
        </w:rPr>
        <w:t xml:space="preserve">zagranicznego zakładu ubezpieczeń karę pieniężną do wysokości odpowiadającej ich trzykrotnemu przeciętnemu miesięcznemu wynagrodzeniu z ostatnich 12 miesięcy, a jeżeli nie można ustalić przeciętnego miesięcznego wynagrodzenia z ostatnich 12 miesięcy </w:t>
      </w:r>
      <w:r w:rsidR="00177E14">
        <w:rPr>
          <w:rFonts w:ascii="Times New Roman" w:eastAsia="Times New Roman" w:hAnsi="Times New Roman" w:cs="Times New Roman"/>
          <w:sz w:val="24"/>
          <w:szCs w:val="24"/>
          <w:lang w:eastAsia="pl-PL"/>
        </w:rPr>
        <w:t>–</w:t>
      </w:r>
      <w:r w:rsidR="00642F3D" w:rsidRPr="00642F3D">
        <w:rPr>
          <w:rFonts w:ascii="Times New Roman" w:eastAsia="Times New Roman" w:hAnsi="Times New Roman" w:cs="Times New Roman"/>
          <w:sz w:val="24"/>
          <w:szCs w:val="24"/>
          <w:lang w:eastAsia="pl-PL"/>
        </w:rPr>
        <w:t xml:space="preserve"> do wysokości 100 000 złotych</w:t>
      </w:r>
      <w:r w:rsidR="00642F3D">
        <w:rPr>
          <w:rFonts w:ascii="Times New Roman" w:eastAsia="Times New Roman" w:hAnsi="Times New Roman" w:cs="Times New Roman"/>
          <w:sz w:val="24"/>
          <w:szCs w:val="24"/>
          <w:lang w:eastAsia="pl-PL"/>
        </w:rPr>
        <w:t xml:space="preserve">, lub </w:t>
      </w:r>
      <w:r w:rsidRPr="003A7E4C">
        <w:rPr>
          <w:rFonts w:ascii="Times New Roman" w:eastAsia="Times New Roman" w:hAnsi="Times New Roman" w:cs="Times New Roman"/>
          <w:sz w:val="24"/>
          <w:szCs w:val="24"/>
          <w:lang w:eastAsia="pl-PL"/>
        </w:rPr>
        <w:t>na zagraniczny zakład ubezpieczeń karę pieniężną do wysokości 0,5% składki przypisanej brutto z umów ubezpieczenia działu II grupy 10 załącznika do ustawy o działalności ubezpieczeniowej</w:t>
      </w:r>
      <w:r w:rsidR="00DE0883">
        <w:rPr>
          <w:rFonts w:ascii="Times New Roman" w:eastAsia="Times New Roman" w:hAnsi="Times New Roman" w:cs="Times New Roman"/>
          <w:sz w:val="24"/>
          <w:szCs w:val="24"/>
          <w:lang w:eastAsia="pl-PL"/>
        </w:rPr>
        <w:t>,</w:t>
      </w:r>
      <w:r w:rsidRPr="003A7E4C">
        <w:rPr>
          <w:rFonts w:ascii="Times New Roman" w:eastAsia="Times New Roman" w:hAnsi="Times New Roman" w:cs="Times New Roman"/>
          <w:sz w:val="24"/>
          <w:szCs w:val="24"/>
          <w:lang w:eastAsia="pl-PL"/>
        </w:rPr>
        <w:t xml:space="preserve"> </w:t>
      </w:r>
      <w:r w:rsidR="00784101">
        <w:rPr>
          <w:rFonts w:ascii="Times New Roman" w:eastAsia="Times New Roman" w:hAnsi="Times New Roman" w:cs="Times New Roman"/>
          <w:sz w:val="24"/>
          <w:szCs w:val="24"/>
          <w:lang w:eastAsia="pl-PL"/>
        </w:rPr>
        <w:t>z </w:t>
      </w:r>
      <w:r w:rsidR="002D1B7A" w:rsidRPr="002D1B7A">
        <w:rPr>
          <w:rFonts w:ascii="Times New Roman" w:eastAsia="Times New Roman" w:hAnsi="Times New Roman" w:cs="Times New Roman"/>
          <w:sz w:val="24"/>
          <w:szCs w:val="24"/>
          <w:lang w:eastAsia="pl-PL"/>
        </w:rPr>
        <w:t>wyłączeniem odpowiedzialności przewoźnika</w:t>
      </w:r>
      <w:r w:rsidR="002D1B7A">
        <w:rPr>
          <w:rFonts w:ascii="Times New Roman" w:eastAsia="Times New Roman" w:hAnsi="Times New Roman" w:cs="Times New Roman"/>
          <w:sz w:val="24"/>
          <w:szCs w:val="24"/>
          <w:lang w:eastAsia="pl-PL"/>
        </w:rPr>
        <w:t>,</w:t>
      </w:r>
      <w:r w:rsidR="002D1B7A" w:rsidRPr="002D1B7A">
        <w:rPr>
          <w:rFonts w:ascii="Times New Roman" w:eastAsia="Times New Roman" w:hAnsi="Times New Roman" w:cs="Times New Roman"/>
          <w:sz w:val="24"/>
          <w:szCs w:val="24"/>
          <w:lang w:eastAsia="pl-PL"/>
        </w:rPr>
        <w:t xml:space="preserve"> </w:t>
      </w:r>
      <w:r w:rsidRPr="003A7E4C">
        <w:rPr>
          <w:rFonts w:ascii="Times New Roman" w:eastAsia="Times New Roman" w:hAnsi="Times New Roman" w:cs="Times New Roman"/>
          <w:sz w:val="24"/>
          <w:szCs w:val="24"/>
          <w:lang w:eastAsia="pl-PL"/>
        </w:rPr>
        <w:t>zawartych w ramach wykonywania działalności na terytorium Rzeczypospolitej Polskiej</w:t>
      </w:r>
      <w:r w:rsidR="00DE0883">
        <w:rPr>
          <w:rFonts w:ascii="Times New Roman" w:eastAsia="Times New Roman" w:hAnsi="Times New Roman" w:cs="Times New Roman"/>
          <w:sz w:val="24"/>
          <w:szCs w:val="24"/>
          <w:lang w:eastAsia="pl-PL"/>
        </w:rPr>
        <w:t>,</w:t>
      </w:r>
      <w:r w:rsidR="00373323">
        <w:rPr>
          <w:rFonts w:ascii="Times New Roman" w:eastAsia="Times New Roman" w:hAnsi="Times New Roman" w:cs="Times New Roman"/>
          <w:sz w:val="24"/>
          <w:szCs w:val="24"/>
          <w:lang w:eastAsia="pl-PL"/>
        </w:rPr>
        <w:t xml:space="preserve"> </w:t>
      </w:r>
      <w:r w:rsidR="0011564E">
        <w:rPr>
          <w:rFonts w:ascii="Times New Roman" w:eastAsia="Times New Roman" w:hAnsi="Times New Roman" w:cs="Times New Roman"/>
          <w:sz w:val="24"/>
          <w:szCs w:val="24"/>
          <w:lang w:eastAsia="pl-PL"/>
        </w:rPr>
        <w:t>uzyskanej przez ten zagraniczny zakład ubezpieczeń w poprzednim roku kalendarzowym</w:t>
      </w:r>
      <w:r w:rsidRPr="003A7E4C">
        <w:rPr>
          <w:rFonts w:ascii="Times New Roman" w:eastAsia="Times New Roman" w:hAnsi="Times New Roman" w:cs="Times New Roman"/>
          <w:sz w:val="24"/>
          <w:szCs w:val="24"/>
          <w:lang w:eastAsia="pl-PL"/>
        </w:rPr>
        <w:t xml:space="preserve">, a w przypadku gdy </w:t>
      </w:r>
      <w:r w:rsidR="0011564E">
        <w:rPr>
          <w:rFonts w:ascii="Times New Roman" w:eastAsia="Times New Roman" w:hAnsi="Times New Roman" w:cs="Times New Roman"/>
          <w:sz w:val="24"/>
          <w:szCs w:val="24"/>
          <w:lang w:eastAsia="pl-PL"/>
        </w:rPr>
        <w:t xml:space="preserve">ten </w:t>
      </w:r>
      <w:r w:rsidRPr="003A7E4C">
        <w:rPr>
          <w:rFonts w:ascii="Times New Roman" w:eastAsia="Times New Roman" w:hAnsi="Times New Roman" w:cs="Times New Roman"/>
          <w:sz w:val="24"/>
          <w:szCs w:val="24"/>
          <w:lang w:eastAsia="pl-PL"/>
        </w:rPr>
        <w:t xml:space="preserve">zakład nie wykonywał takiej działalności lub uzyskał składkę przypisaną brutto poniżej 20 mln złotych </w:t>
      </w:r>
      <w:r w:rsidR="00177E14">
        <w:rPr>
          <w:rFonts w:ascii="Times New Roman" w:eastAsia="Times New Roman" w:hAnsi="Times New Roman" w:cs="Times New Roman"/>
          <w:sz w:val="24"/>
          <w:szCs w:val="24"/>
          <w:lang w:eastAsia="pl-PL"/>
        </w:rPr>
        <w:t>–</w:t>
      </w:r>
      <w:r w:rsidRPr="003A7E4C">
        <w:rPr>
          <w:rFonts w:ascii="Times New Roman" w:eastAsia="Times New Roman" w:hAnsi="Times New Roman" w:cs="Times New Roman"/>
          <w:sz w:val="24"/>
          <w:szCs w:val="24"/>
          <w:lang w:eastAsia="pl-PL"/>
        </w:rPr>
        <w:t xml:space="preserve"> do wysokości 100 000 złotych.</w:t>
      </w:r>
      <w:r w:rsidR="00FC5A22">
        <w:rPr>
          <w:rFonts w:ascii="Times New Roman" w:eastAsia="Times New Roman" w:hAnsi="Times New Roman" w:cs="Times New Roman"/>
          <w:sz w:val="24"/>
          <w:szCs w:val="24"/>
          <w:lang w:eastAsia="pl-PL"/>
        </w:rPr>
        <w:t xml:space="preserve"> </w:t>
      </w:r>
      <w:r w:rsidRPr="003A7E4C">
        <w:rPr>
          <w:rFonts w:ascii="Times New Roman" w:eastAsia="Times New Roman" w:hAnsi="Times New Roman" w:cs="Times New Roman"/>
          <w:sz w:val="24"/>
          <w:szCs w:val="24"/>
          <w:lang w:eastAsia="pl-PL"/>
        </w:rPr>
        <w:t xml:space="preserve">Zasadność modyfikacji regulacji dotyczących przynależnych Komisji Nadzoru Finansowego instrumentów nadzorczych wobec zagranicznych zakładów ubezpieczeń wykonujących na terytorium Rzeczypospolitej Polskiej działalność wynika z faktu, iż zagraniczne zakłady ubezpieczeń wykonujące działalność na terytorium Rzeczypospolitej Polskiej nie podlegają obowiązkowi sprawozdawczemu wobec polskiego organu nadzoru na podstawie art. 280 ustawy o działalności ubezpieczeniowej. W związku z powyższym uzasadnione pozostaje wskazanie wprost w ust. 3b określonych środków nadzorczych. </w:t>
      </w:r>
    </w:p>
    <w:p w:rsidR="00B6473C" w:rsidRDefault="007D553E" w:rsidP="007C35AC">
      <w:pPr>
        <w:spacing w:line="360" w:lineRule="auto"/>
        <w:jc w:val="both"/>
        <w:rPr>
          <w:rFonts w:ascii="Times New Roman" w:eastAsia="Times New Roman" w:hAnsi="Times New Roman" w:cs="Times New Roman"/>
          <w:sz w:val="24"/>
          <w:szCs w:val="24"/>
          <w:lang w:eastAsia="pl-PL"/>
        </w:rPr>
      </w:pPr>
      <w:r w:rsidRPr="00B6473C">
        <w:rPr>
          <w:rFonts w:ascii="Times New Roman" w:eastAsia="Times New Roman" w:hAnsi="Times New Roman" w:cs="Times New Roman"/>
          <w:sz w:val="24"/>
          <w:szCs w:val="24"/>
          <w:lang w:eastAsia="pl-PL"/>
        </w:rPr>
        <w:t>Należy jednocześnie mieć na uwadze, iż zarówno Ubez</w:t>
      </w:r>
      <w:r w:rsidR="00784101">
        <w:rPr>
          <w:rFonts w:ascii="Times New Roman" w:eastAsia="Times New Roman" w:hAnsi="Times New Roman" w:cs="Times New Roman"/>
          <w:sz w:val="24"/>
          <w:szCs w:val="24"/>
          <w:lang w:eastAsia="pl-PL"/>
        </w:rPr>
        <w:t>pieczeniowy Fundusz Gwarancyjny</w:t>
      </w:r>
      <w:r w:rsidRPr="00B6473C">
        <w:rPr>
          <w:rFonts w:ascii="Times New Roman" w:eastAsia="Times New Roman" w:hAnsi="Times New Roman" w:cs="Times New Roman"/>
          <w:sz w:val="24"/>
          <w:szCs w:val="24"/>
          <w:lang w:eastAsia="pl-PL"/>
        </w:rPr>
        <w:t xml:space="preserve">, jak i organ nadzoru nie posiadają uprawnień do bezpośredniego pozyskiwania od zagranicznych zakładów ubezpieczeń sprawozdań finansowych odnoszących się do całej działalności </w:t>
      </w:r>
      <w:r>
        <w:rPr>
          <w:rFonts w:ascii="Times New Roman" w:eastAsia="Times New Roman" w:hAnsi="Times New Roman" w:cs="Times New Roman"/>
          <w:sz w:val="24"/>
          <w:szCs w:val="24"/>
          <w:lang w:eastAsia="pl-PL"/>
        </w:rPr>
        <w:t>(</w:t>
      </w:r>
      <w:r w:rsidRPr="00B6473C">
        <w:rPr>
          <w:rFonts w:ascii="Times New Roman" w:eastAsia="Times New Roman" w:hAnsi="Times New Roman" w:cs="Times New Roman"/>
          <w:sz w:val="24"/>
          <w:szCs w:val="24"/>
          <w:lang w:eastAsia="pl-PL"/>
        </w:rPr>
        <w:t xml:space="preserve">w tym także do umów </w:t>
      </w:r>
      <w:r w:rsidR="00295F70">
        <w:rPr>
          <w:rFonts w:ascii="Times New Roman" w:eastAsia="Times New Roman" w:hAnsi="Times New Roman" w:cs="Times New Roman"/>
          <w:sz w:val="24"/>
          <w:szCs w:val="24"/>
          <w:lang w:eastAsia="pl-PL"/>
        </w:rPr>
        <w:t xml:space="preserve">ubezpieczenia </w:t>
      </w:r>
      <w:r w:rsidRPr="00B6473C">
        <w:rPr>
          <w:rFonts w:ascii="Times New Roman" w:eastAsia="Times New Roman" w:hAnsi="Times New Roman" w:cs="Times New Roman"/>
          <w:sz w:val="24"/>
          <w:szCs w:val="24"/>
          <w:lang w:eastAsia="pl-PL"/>
        </w:rPr>
        <w:t>odpowiedzialności przewoźnika</w:t>
      </w:r>
      <w:r>
        <w:rPr>
          <w:rFonts w:ascii="Times New Roman" w:eastAsia="Times New Roman" w:hAnsi="Times New Roman" w:cs="Times New Roman"/>
          <w:sz w:val="24"/>
          <w:szCs w:val="24"/>
          <w:lang w:eastAsia="pl-PL"/>
        </w:rPr>
        <w:t>)</w:t>
      </w:r>
      <w:r w:rsidRPr="00B6473C">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000E6F7B">
        <w:rPr>
          <w:rFonts w:ascii="Times New Roman" w:eastAsia="Times New Roman" w:hAnsi="Times New Roman" w:cs="Times New Roman"/>
          <w:sz w:val="24"/>
          <w:szCs w:val="24"/>
          <w:lang w:eastAsia="pl-PL"/>
        </w:rPr>
        <w:t xml:space="preserve">Brak </w:t>
      </w:r>
      <w:r>
        <w:rPr>
          <w:rFonts w:ascii="Times New Roman" w:eastAsia="Times New Roman" w:hAnsi="Times New Roman" w:cs="Times New Roman"/>
          <w:sz w:val="24"/>
          <w:szCs w:val="24"/>
          <w:lang w:eastAsia="pl-PL"/>
        </w:rPr>
        <w:t xml:space="preserve">takiej </w:t>
      </w:r>
      <w:r w:rsidR="000E6F7B">
        <w:rPr>
          <w:rFonts w:ascii="Times New Roman" w:eastAsia="Times New Roman" w:hAnsi="Times New Roman" w:cs="Times New Roman"/>
          <w:sz w:val="24"/>
          <w:szCs w:val="24"/>
          <w:lang w:eastAsia="pl-PL"/>
        </w:rPr>
        <w:t>możliwości jest konsekwencją ustanowionej w Unii Europejskiej zasady</w:t>
      </w:r>
      <w:r w:rsidR="001840B8">
        <w:rPr>
          <w:rFonts w:ascii="Times New Roman" w:eastAsia="Times New Roman" w:hAnsi="Times New Roman" w:cs="Times New Roman"/>
          <w:sz w:val="24"/>
          <w:szCs w:val="24"/>
          <w:lang w:eastAsia="pl-PL"/>
        </w:rPr>
        <w:t xml:space="preserve"> nadzoru państwa macierzystego</w:t>
      </w:r>
      <w:r w:rsidR="00660259">
        <w:rPr>
          <w:rFonts w:ascii="Times New Roman" w:eastAsia="Times New Roman" w:hAnsi="Times New Roman" w:cs="Times New Roman"/>
          <w:sz w:val="24"/>
          <w:szCs w:val="24"/>
          <w:lang w:eastAsia="pl-PL"/>
        </w:rPr>
        <w:t xml:space="preserve">. </w:t>
      </w:r>
      <w:r w:rsidR="00D8488B">
        <w:rPr>
          <w:rFonts w:ascii="Times New Roman" w:eastAsia="Times New Roman" w:hAnsi="Times New Roman" w:cs="Times New Roman"/>
          <w:sz w:val="24"/>
          <w:szCs w:val="24"/>
          <w:lang w:eastAsia="pl-PL"/>
        </w:rPr>
        <w:t xml:space="preserve">Zasada ta nabiera pełnego wymiaru w nadzorze nad </w:t>
      </w:r>
      <w:r w:rsidR="009C3D40">
        <w:rPr>
          <w:rFonts w:ascii="Times New Roman" w:eastAsia="Times New Roman" w:hAnsi="Times New Roman" w:cs="Times New Roman"/>
          <w:sz w:val="24"/>
          <w:szCs w:val="24"/>
          <w:lang w:eastAsia="pl-PL"/>
        </w:rPr>
        <w:t>gospodarką</w:t>
      </w:r>
      <w:r w:rsidR="00D8488B">
        <w:rPr>
          <w:rFonts w:ascii="Times New Roman" w:eastAsia="Times New Roman" w:hAnsi="Times New Roman" w:cs="Times New Roman"/>
          <w:sz w:val="24"/>
          <w:szCs w:val="24"/>
          <w:lang w:eastAsia="pl-PL"/>
        </w:rPr>
        <w:t xml:space="preserve"> finansową zakładu ubezpieczeń i zakładu reasekuracji. Zgodnie z </w:t>
      </w:r>
      <w:r w:rsidR="00660259">
        <w:rPr>
          <w:rFonts w:ascii="Times New Roman" w:eastAsia="Times New Roman" w:hAnsi="Times New Roman" w:cs="Times New Roman"/>
          <w:sz w:val="24"/>
          <w:szCs w:val="24"/>
          <w:lang w:eastAsia="pl-PL"/>
        </w:rPr>
        <w:t>art. 30 ust. 1 dyrektywy Wypłacalność II (implementowany</w:t>
      </w:r>
      <w:r w:rsidR="00D8488B">
        <w:rPr>
          <w:rFonts w:ascii="Times New Roman" w:eastAsia="Times New Roman" w:hAnsi="Times New Roman" w:cs="Times New Roman"/>
          <w:sz w:val="24"/>
          <w:szCs w:val="24"/>
          <w:lang w:eastAsia="pl-PL"/>
        </w:rPr>
        <w:t>m</w:t>
      </w:r>
      <w:r w:rsidR="00660259">
        <w:rPr>
          <w:rFonts w:ascii="Times New Roman" w:eastAsia="Times New Roman" w:hAnsi="Times New Roman" w:cs="Times New Roman"/>
          <w:sz w:val="24"/>
          <w:szCs w:val="24"/>
          <w:lang w:eastAsia="pl-PL"/>
        </w:rPr>
        <w:t xml:space="preserve"> w art. 204 ust. 3 ustawy o działalności ubezpieczeniowej) nadzór finansowy nad zakładami ubezpieczeń i zakładami reasekuracji, w</w:t>
      </w:r>
      <w:r w:rsidR="003D3B14">
        <w:rPr>
          <w:rFonts w:ascii="Times New Roman" w:eastAsia="Times New Roman" w:hAnsi="Times New Roman" w:cs="Times New Roman"/>
          <w:sz w:val="24"/>
          <w:szCs w:val="24"/>
          <w:lang w:eastAsia="pl-PL"/>
        </w:rPr>
        <w:t> </w:t>
      </w:r>
      <w:r w:rsidR="00660259">
        <w:rPr>
          <w:rFonts w:ascii="Times New Roman" w:eastAsia="Times New Roman" w:hAnsi="Times New Roman" w:cs="Times New Roman"/>
          <w:sz w:val="24"/>
          <w:szCs w:val="24"/>
          <w:lang w:eastAsia="pl-PL"/>
        </w:rPr>
        <w:t>tym nad działalnością, któr</w:t>
      </w:r>
      <w:r w:rsidR="00EE43FA">
        <w:rPr>
          <w:rFonts w:ascii="Times New Roman" w:eastAsia="Times New Roman" w:hAnsi="Times New Roman" w:cs="Times New Roman"/>
          <w:sz w:val="24"/>
          <w:szCs w:val="24"/>
          <w:lang w:eastAsia="pl-PL"/>
        </w:rPr>
        <w:t>ą</w:t>
      </w:r>
      <w:r w:rsidR="00660259">
        <w:rPr>
          <w:rFonts w:ascii="Times New Roman" w:eastAsia="Times New Roman" w:hAnsi="Times New Roman" w:cs="Times New Roman"/>
          <w:sz w:val="24"/>
          <w:szCs w:val="24"/>
          <w:lang w:eastAsia="pl-PL"/>
        </w:rPr>
        <w:t xml:space="preserve"> prowadzą one przez swoje oddziały albo w ramach swobody świadczenia usług, stanowi </w:t>
      </w:r>
      <w:r w:rsidR="00660259">
        <w:rPr>
          <w:rFonts w:ascii="Times New Roman" w:eastAsia="Times New Roman" w:hAnsi="Times New Roman" w:cs="Times New Roman"/>
          <w:sz w:val="24"/>
          <w:szCs w:val="24"/>
          <w:lang w:eastAsia="pl-PL"/>
        </w:rPr>
        <w:lastRenderedPageBreak/>
        <w:t xml:space="preserve">wyłączną odpowiedzialność państwa członkowskiego siedziby. </w:t>
      </w:r>
      <w:r w:rsidR="00D8488B">
        <w:rPr>
          <w:rFonts w:ascii="Times New Roman" w:eastAsia="Times New Roman" w:hAnsi="Times New Roman" w:cs="Times New Roman"/>
          <w:sz w:val="24"/>
          <w:szCs w:val="24"/>
          <w:lang w:eastAsia="pl-PL"/>
        </w:rPr>
        <w:t>Elementem nadzoru finansowego pozostającego w wyłącznej właściwości nadzoru państwa macierzystego jest m.in. prawo żądania sprawozdań finansowych</w:t>
      </w:r>
      <w:r w:rsidR="000E6F7B">
        <w:rPr>
          <w:rFonts w:ascii="Times New Roman" w:eastAsia="Times New Roman" w:hAnsi="Times New Roman" w:cs="Times New Roman"/>
          <w:sz w:val="24"/>
          <w:szCs w:val="24"/>
          <w:lang w:eastAsia="pl-PL"/>
        </w:rPr>
        <w:t xml:space="preserve">. </w:t>
      </w:r>
      <w:r w:rsidR="00B6473C" w:rsidRPr="00B6473C">
        <w:rPr>
          <w:rFonts w:ascii="Times New Roman" w:eastAsia="Times New Roman" w:hAnsi="Times New Roman" w:cs="Times New Roman"/>
          <w:sz w:val="24"/>
          <w:szCs w:val="24"/>
          <w:lang w:eastAsia="pl-PL"/>
        </w:rPr>
        <w:t xml:space="preserve">Z uwagi na brak </w:t>
      </w:r>
      <w:r w:rsidR="00D8488B">
        <w:rPr>
          <w:rFonts w:ascii="Times New Roman" w:eastAsia="Times New Roman" w:hAnsi="Times New Roman" w:cs="Times New Roman"/>
          <w:sz w:val="24"/>
          <w:szCs w:val="24"/>
          <w:lang w:eastAsia="pl-PL"/>
        </w:rPr>
        <w:t xml:space="preserve">możliwości żądania od </w:t>
      </w:r>
      <w:r w:rsidR="00D8488B" w:rsidRPr="003A7E4C">
        <w:rPr>
          <w:rFonts w:ascii="Times New Roman" w:eastAsia="Times New Roman" w:hAnsi="Times New Roman" w:cs="Times New Roman"/>
          <w:sz w:val="24"/>
          <w:szCs w:val="24"/>
          <w:lang w:eastAsia="pl-PL"/>
        </w:rPr>
        <w:t>zagraniczn</w:t>
      </w:r>
      <w:r w:rsidR="00D8488B">
        <w:rPr>
          <w:rFonts w:ascii="Times New Roman" w:eastAsia="Times New Roman" w:hAnsi="Times New Roman" w:cs="Times New Roman"/>
          <w:sz w:val="24"/>
          <w:szCs w:val="24"/>
          <w:lang w:eastAsia="pl-PL"/>
        </w:rPr>
        <w:t xml:space="preserve">ego </w:t>
      </w:r>
      <w:r w:rsidR="00D8488B" w:rsidRPr="003A7E4C">
        <w:rPr>
          <w:rFonts w:ascii="Times New Roman" w:eastAsia="Times New Roman" w:hAnsi="Times New Roman" w:cs="Times New Roman"/>
          <w:sz w:val="24"/>
          <w:szCs w:val="24"/>
          <w:lang w:eastAsia="pl-PL"/>
        </w:rPr>
        <w:t>zakład</w:t>
      </w:r>
      <w:r w:rsidR="00D8488B">
        <w:rPr>
          <w:rFonts w:ascii="Times New Roman" w:eastAsia="Times New Roman" w:hAnsi="Times New Roman" w:cs="Times New Roman"/>
          <w:sz w:val="24"/>
          <w:szCs w:val="24"/>
          <w:lang w:eastAsia="pl-PL"/>
        </w:rPr>
        <w:t xml:space="preserve">u </w:t>
      </w:r>
      <w:r w:rsidR="00D8488B" w:rsidRPr="003A7E4C">
        <w:rPr>
          <w:rFonts w:ascii="Times New Roman" w:eastAsia="Times New Roman" w:hAnsi="Times New Roman" w:cs="Times New Roman"/>
          <w:sz w:val="24"/>
          <w:szCs w:val="24"/>
          <w:lang w:eastAsia="pl-PL"/>
        </w:rPr>
        <w:t xml:space="preserve">ubezpieczeń </w:t>
      </w:r>
      <w:r w:rsidR="00B6473C" w:rsidRPr="00B6473C">
        <w:rPr>
          <w:rFonts w:ascii="Times New Roman" w:eastAsia="Times New Roman" w:hAnsi="Times New Roman" w:cs="Times New Roman"/>
          <w:sz w:val="24"/>
          <w:szCs w:val="24"/>
          <w:lang w:eastAsia="pl-PL"/>
        </w:rPr>
        <w:t>sprawozda</w:t>
      </w:r>
      <w:r w:rsidR="00D8488B">
        <w:rPr>
          <w:rFonts w:ascii="Times New Roman" w:eastAsia="Times New Roman" w:hAnsi="Times New Roman" w:cs="Times New Roman"/>
          <w:sz w:val="24"/>
          <w:szCs w:val="24"/>
          <w:lang w:eastAsia="pl-PL"/>
        </w:rPr>
        <w:t>ń</w:t>
      </w:r>
      <w:r w:rsidR="00B6473C" w:rsidRPr="00B6473C">
        <w:rPr>
          <w:rFonts w:ascii="Times New Roman" w:eastAsia="Times New Roman" w:hAnsi="Times New Roman" w:cs="Times New Roman"/>
          <w:sz w:val="24"/>
          <w:szCs w:val="24"/>
          <w:lang w:eastAsia="pl-PL"/>
        </w:rPr>
        <w:t xml:space="preserve"> </w:t>
      </w:r>
      <w:r w:rsidR="00D8488B">
        <w:rPr>
          <w:rFonts w:ascii="Times New Roman" w:eastAsia="Times New Roman" w:hAnsi="Times New Roman" w:cs="Times New Roman"/>
          <w:sz w:val="24"/>
          <w:szCs w:val="24"/>
          <w:lang w:eastAsia="pl-PL"/>
        </w:rPr>
        <w:t>finansowych</w:t>
      </w:r>
      <w:r w:rsidR="00A30BC4">
        <w:rPr>
          <w:rFonts w:ascii="Times New Roman" w:eastAsia="Times New Roman" w:hAnsi="Times New Roman" w:cs="Times New Roman"/>
          <w:sz w:val="24"/>
          <w:szCs w:val="24"/>
          <w:lang w:eastAsia="pl-PL"/>
        </w:rPr>
        <w:t>,</w:t>
      </w:r>
      <w:r w:rsidR="00D8488B">
        <w:rPr>
          <w:rFonts w:ascii="Times New Roman" w:eastAsia="Times New Roman" w:hAnsi="Times New Roman" w:cs="Times New Roman"/>
          <w:sz w:val="24"/>
          <w:szCs w:val="24"/>
          <w:lang w:eastAsia="pl-PL"/>
        </w:rPr>
        <w:t xml:space="preserve"> </w:t>
      </w:r>
      <w:r w:rsidR="003D3B14">
        <w:rPr>
          <w:rFonts w:ascii="Times New Roman" w:eastAsia="Times New Roman" w:hAnsi="Times New Roman" w:cs="Times New Roman"/>
          <w:sz w:val="24"/>
          <w:szCs w:val="24"/>
          <w:lang w:eastAsia="pl-PL"/>
        </w:rPr>
        <w:t>w </w:t>
      </w:r>
      <w:r w:rsidR="00B6473C" w:rsidRPr="00B6473C">
        <w:rPr>
          <w:rFonts w:ascii="Times New Roman" w:eastAsia="Times New Roman" w:hAnsi="Times New Roman" w:cs="Times New Roman"/>
          <w:sz w:val="24"/>
          <w:szCs w:val="24"/>
          <w:lang w:eastAsia="pl-PL"/>
        </w:rPr>
        <w:t>projekcie została zróżnicowana górna granica kary pieniężnej</w:t>
      </w:r>
      <w:r w:rsidR="00F84E3C">
        <w:rPr>
          <w:rFonts w:ascii="Times New Roman" w:eastAsia="Times New Roman" w:hAnsi="Times New Roman" w:cs="Times New Roman"/>
          <w:sz w:val="24"/>
          <w:szCs w:val="24"/>
          <w:lang w:eastAsia="pl-PL"/>
        </w:rPr>
        <w:t>,</w:t>
      </w:r>
      <w:r w:rsidR="00B6473C" w:rsidRPr="00B6473C">
        <w:rPr>
          <w:rFonts w:ascii="Times New Roman" w:eastAsia="Times New Roman" w:hAnsi="Times New Roman" w:cs="Times New Roman"/>
          <w:sz w:val="24"/>
          <w:szCs w:val="24"/>
          <w:lang w:eastAsia="pl-PL"/>
        </w:rPr>
        <w:t xml:space="preserve"> jaka będzie mogła być nakładana przez organ nadzoru na krajowy lub zagraniczny zakład ubezpieczeń. Przedmiotowe zróżnicowanie wynika ze zróżnicowania podstawy dla wyliczenia takich kar pieniężnych. W odniesieniu do zagranicznych zakładów ubezpieczeń będzie ona wyliczana w oparciu o składkę przypisaną brutto z umów ubezpieczenia działu II grupy 10 załącznika do ustawy o działalności ubezpieczeniowej, z wyłączeniem odpowiedzialności przewoźnika, zawartych w ramach wykonywania działalności na terytorium Rzeczypospolitej Polskiej. W odniesieniu do krajowych zakładów ubezpieczeń </w:t>
      </w:r>
      <w:r>
        <w:rPr>
          <w:rFonts w:ascii="Times New Roman" w:eastAsia="Times New Roman" w:hAnsi="Times New Roman" w:cs="Times New Roman"/>
          <w:sz w:val="24"/>
          <w:szCs w:val="24"/>
          <w:lang w:eastAsia="pl-PL"/>
        </w:rPr>
        <w:t xml:space="preserve">jest </w:t>
      </w:r>
      <w:r w:rsidR="00B6473C" w:rsidRPr="00B6473C">
        <w:rPr>
          <w:rFonts w:ascii="Times New Roman" w:eastAsia="Times New Roman" w:hAnsi="Times New Roman" w:cs="Times New Roman"/>
          <w:sz w:val="24"/>
          <w:szCs w:val="24"/>
          <w:lang w:eastAsia="pl-PL"/>
        </w:rPr>
        <w:t xml:space="preserve">ona wyliczana </w:t>
      </w:r>
      <w:r>
        <w:rPr>
          <w:rFonts w:ascii="Times New Roman" w:eastAsia="Times New Roman" w:hAnsi="Times New Roman" w:cs="Times New Roman"/>
          <w:sz w:val="24"/>
          <w:szCs w:val="24"/>
          <w:lang w:eastAsia="pl-PL"/>
        </w:rPr>
        <w:t xml:space="preserve">na zasadach ogólnych </w:t>
      </w:r>
      <w:r w:rsidR="00B6473C" w:rsidRPr="00B6473C">
        <w:rPr>
          <w:rFonts w:ascii="Times New Roman" w:eastAsia="Times New Roman" w:hAnsi="Times New Roman" w:cs="Times New Roman"/>
          <w:sz w:val="24"/>
          <w:szCs w:val="24"/>
          <w:lang w:eastAsia="pl-PL"/>
        </w:rPr>
        <w:t xml:space="preserve">w oparciu </w:t>
      </w:r>
      <w:r>
        <w:rPr>
          <w:rFonts w:ascii="Times New Roman" w:eastAsia="Times New Roman" w:hAnsi="Times New Roman" w:cs="Times New Roman"/>
          <w:sz w:val="24"/>
          <w:szCs w:val="24"/>
          <w:lang w:eastAsia="pl-PL"/>
        </w:rPr>
        <w:t xml:space="preserve">o </w:t>
      </w:r>
      <w:r w:rsidR="00B6473C" w:rsidRPr="00B6473C">
        <w:rPr>
          <w:rFonts w:ascii="Times New Roman" w:eastAsia="Times New Roman" w:hAnsi="Times New Roman" w:cs="Times New Roman"/>
          <w:sz w:val="24"/>
          <w:szCs w:val="24"/>
          <w:lang w:eastAsia="pl-PL"/>
        </w:rPr>
        <w:t>składkę przypisaną brutto wykazaną przez zakład ubezpieczeń w ostatnim przedstawionym organowi nadzoru sprawozdaniu finansowym. Sprawozdanie to obejmuje m.in. ubezpieczenia odpowiedzialności przewoźnika. Za zróżnicowaniem podstawy do wyliczania kar przemawia także fakt, iż Ubezpieczeniowy Fundusz Gwarancyjny</w:t>
      </w:r>
      <w:r w:rsidR="0026733A">
        <w:rPr>
          <w:rFonts w:ascii="Times New Roman" w:eastAsia="Times New Roman" w:hAnsi="Times New Roman" w:cs="Times New Roman"/>
          <w:sz w:val="24"/>
          <w:szCs w:val="24"/>
          <w:lang w:eastAsia="pl-PL"/>
        </w:rPr>
        <w:t>,</w:t>
      </w:r>
      <w:r w:rsidR="00B6473C" w:rsidRPr="00B6473C">
        <w:rPr>
          <w:rFonts w:ascii="Times New Roman" w:eastAsia="Times New Roman" w:hAnsi="Times New Roman" w:cs="Times New Roman"/>
          <w:sz w:val="24"/>
          <w:szCs w:val="24"/>
          <w:lang w:eastAsia="pl-PL"/>
        </w:rPr>
        <w:t xml:space="preserve"> pełniący funkcję ośrodka informacji, jest uprawniony do gromadzenia informacji dotyczących ww. umów ubezpieczenia działu II grupy 10 załącznika do ustawy o działalności ubezpieczeniowej, jednakże z wyłączeniem umów ubezpieczenia odpowiedzialności przewoźnika. </w:t>
      </w:r>
    </w:p>
    <w:p w:rsidR="006F1EE6" w:rsidRPr="0011564E" w:rsidRDefault="009137E2" w:rsidP="007C35AC">
      <w:pPr>
        <w:spacing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w:t>
      </w:r>
      <w:r w:rsidR="002817F4">
        <w:rPr>
          <w:rFonts w:ascii="Times New Roman" w:eastAsia="Times New Roman" w:hAnsi="Times New Roman" w:cs="Times New Roman"/>
          <w:sz w:val="24"/>
          <w:szCs w:val="24"/>
          <w:lang w:eastAsia="pl-PL"/>
        </w:rPr>
        <w:t>godnie z dodaną regulacją zawartą</w:t>
      </w:r>
      <w:r w:rsidR="000D42AF">
        <w:rPr>
          <w:rFonts w:ascii="Times New Roman" w:eastAsia="Times New Roman" w:hAnsi="Times New Roman" w:cs="Times New Roman"/>
          <w:sz w:val="24"/>
          <w:szCs w:val="24"/>
          <w:lang w:eastAsia="pl-PL"/>
        </w:rPr>
        <w:t xml:space="preserve"> w proponowanym art. 119 ust. 1b</w:t>
      </w:r>
      <w:r w:rsidR="002817F4">
        <w:rPr>
          <w:rFonts w:ascii="Times New Roman" w:eastAsia="Times New Roman" w:hAnsi="Times New Roman" w:cs="Times New Roman"/>
          <w:sz w:val="24"/>
          <w:szCs w:val="24"/>
          <w:lang w:eastAsia="pl-PL"/>
        </w:rPr>
        <w:t xml:space="preserve"> U</w:t>
      </w:r>
      <w:r w:rsidR="008A1A61">
        <w:rPr>
          <w:rFonts w:ascii="Times New Roman" w:eastAsia="Times New Roman" w:hAnsi="Times New Roman" w:cs="Times New Roman"/>
          <w:sz w:val="24"/>
          <w:szCs w:val="24"/>
          <w:lang w:eastAsia="pl-PL"/>
        </w:rPr>
        <w:t xml:space="preserve">bezpieczeniowy </w:t>
      </w:r>
      <w:r w:rsidR="002817F4">
        <w:rPr>
          <w:rFonts w:ascii="Times New Roman" w:eastAsia="Times New Roman" w:hAnsi="Times New Roman" w:cs="Times New Roman"/>
          <w:sz w:val="24"/>
          <w:szCs w:val="24"/>
          <w:lang w:eastAsia="pl-PL"/>
        </w:rPr>
        <w:t>F</w:t>
      </w:r>
      <w:r w:rsidR="008A1A61">
        <w:rPr>
          <w:rFonts w:ascii="Times New Roman" w:eastAsia="Times New Roman" w:hAnsi="Times New Roman" w:cs="Times New Roman"/>
          <w:sz w:val="24"/>
          <w:szCs w:val="24"/>
          <w:lang w:eastAsia="pl-PL"/>
        </w:rPr>
        <w:t xml:space="preserve">undusz </w:t>
      </w:r>
      <w:r w:rsidR="002817F4">
        <w:rPr>
          <w:rFonts w:ascii="Times New Roman" w:eastAsia="Times New Roman" w:hAnsi="Times New Roman" w:cs="Times New Roman"/>
          <w:sz w:val="24"/>
          <w:szCs w:val="24"/>
          <w:lang w:eastAsia="pl-PL"/>
        </w:rPr>
        <w:t>G</w:t>
      </w:r>
      <w:r w:rsidR="008A1A61">
        <w:rPr>
          <w:rFonts w:ascii="Times New Roman" w:eastAsia="Times New Roman" w:hAnsi="Times New Roman" w:cs="Times New Roman"/>
          <w:sz w:val="24"/>
          <w:szCs w:val="24"/>
          <w:lang w:eastAsia="pl-PL"/>
        </w:rPr>
        <w:t>warancyjny</w:t>
      </w:r>
      <w:r w:rsidR="002817F4">
        <w:rPr>
          <w:rFonts w:ascii="Times New Roman" w:eastAsia="Times New Roman" w:hAnsi="Times New Roman" w:cs="Times New Roman"/>
          <w:sz w:val="24"/>
          <w:szCs w:val="24"/>
          <w:lang w:eastAsia="pl-PL"/>
        </w:rPr>
        <w:t xml:space="preserve"> zostanie zobowiązany do rozszerzenia</w:t>
      </w:r>
      <w:r w:rsidR="00784101">
        <w:rPr>
          <w:rFonts w:ascii="Times New Roman" w:eastAsia="Times New Roman" w:hAnsi="Times New Roman" w:cs="Times New Roman"/>
          <w:sz w:val="24"/>
          <w:szCs w:val="24"/>
          <w:lang w:eastAsia="pl-PL"/>
        </w:rPr>
        <w:t xml:space="preserve"> zakresu informacji zawartych w </w:t>
      </w:r>
      <w:r w:rsidR="002817F4">
        <w:rPr>
          <w:rFonts w:ascii="Times New Roman" w:eastAsia="Times New Roman" w:hAnsi="Times New Roman" w:cs="Times New Roman"/>
          <w:sz w:val="24"/>
          <w:szCs w:val="24"/>
          <w:lang w:eastAsia="pl-PL"/>
        </w:rPr>
        <w:t xml:space="preserve">rocznym sprawozdaniu z działalności </w:t>
      </w:r>
      <w:r w:rsidR="002817F4" w:rsidRPr="002817F4">
        <w:rPr>
          <w:rFonts w:ascii="Times New Roman" w:eastAsia="Times New Roman" w:hAnsi="Times New Roman" w:cs="Times New Roman"/>
          <w:sz w:val="24"/>
          <w:szCs w:val="24"/>
          <w:lang w:eastAsia="pl-PL"/>
        </w:rPr>
        <w:t xml:space="preserve">o </w:t>
      </w:r>
      <w:r w:rsidR="002817F4" w:rsidRPr="002817F4">
        <w:rPr>
          <w:rFonts w:ascii="Times New Roman" w:hAnsi="Times New Roman" w:cs="Times New Roman"/>
          <w:sz w:val="24"/>
          <w:szCs w:val="24"/>
        </w:rPr>
        <w:t>wyodrębnion</w:t>
      </w:r>
      <w:r w:rsidR="00784101">
        <w:rPr>
          <w:rFonts w:ascii="Times New Roman" w:hAnsi="Times New Roman" w:cs="Times New Roman"/>
          <w:sz w:val="24"/>
          <w:szCs w:val="24"/>
        </w:rPr>
        <w:t>ą informację dotyczącą danych o </w:t>
      </w:r>
      <w:r w:rsidR="002817F4" w:rsidRPr="002817F4">
        <w:rPr>
          <w:rFonts w:ascii="Times New Roman" w:hAnsi="Times New Roman" w:cs="Times New Roman"/>
          <w:sz w:val="24"/>
          <w:szCs w:val="24"/>
        </w:rPr>
        <w:t xml:space="preserve">składce przypisanej brutto z umów ubezpieczenia działu II </w:t>
      </w:r>
      <w:r w:rsidR="00784101">
        <w:rPr>
          <w:rFonts w:ascii="Times New Roman" w:hAnsi="Times New Roman" w:cs="Times New Roman"/>
          <w:sz w:val="24"/>
          <w:szCs w:val="24"/>
        </w:rPr>
        <w:t>grupy 10 załącznika do ustawy o </w:t>
      </w:r>
      <w:r w:rsidR="002817F4" w:rsidRPr="002817F4">
        <w:rPr>
          <w:rFonts w:ascii="Times New Roman" w:hAnsi="Times New Roman" w:cs="Times New Roman"/>
          <w:sz w:val="24"/>
          <w:szCs w:val="24"/>
        </w:rPr>
        <w:t>działalności ubezpieczeniowej</w:t>
      </w:r>
      <w:r w:rsidR="00005A85">
        <w:rPr>
          <w:rFonts w:ascii="Times New Roman" w:hAnsi="Times New Roman" w:cs="Times New Roman"/>
          <w:sz w:val="24"/>
          <w:szCs w:val="24"/>
        </w:rPr>
        <w:t>,</w:t>
      </w:r>
      <w:r w:rsidR="002D1B7A">
        <w:rPr>
          <w:rFonts w:ascii="Times New Roman" w:hAnsi="Times New Roman" w:cs="Times New Roman"/>
          <w:sz w:val="24"/>
          <w:szCs w:val="24"/>
        </w:rPr>
        <w:t xml:space="preserve"> </w:t>
      </w:r>
      <w:r w:rsidR="002D1B7A" w:rsidRPr="002D1B7A">
        <w:rPr>
          <w:rFonts w:ascii="Times New Roman" w:hAnsi="Times New Roman" w:cs="Times New Roman"/>
          <w:sz w:val="24"/>
          <w:szCs w:val="24"/>
        </w:rPr>
        <w:t>z wyłączeniem odpowiedzialności przewoźnika</w:t>
      </w:r>
      <w:r w:rsidR="002817F4" w:rsidRPr="002817F4">
        <w:rPr>
          <w:rFonts w:ascii="Times New Roman" w:hAnsi="Times New Roman" w:cs="Times New Roman"/>
          <w:sz w:val="24"/>
          <w:szCs w:val="24"/>
        </w:rPr>
        <w:t xml:space="preserve">, zebranej na terytorium Rzeczypospolitej Polskiej </w:t>
      </w:r>
      <w:r w:rsidR="00436BFD">
        <w:rPr>
          <w:rFonts w:ascii="Times New Roman" w:hAnsi="Times New Roman" w:cs="Times New Roman"/>
          <w:sz w:val="24"/>
          <w:szCs w:val="24"/>
        </w:rPr>
        <w:t>w danym roku kalendarzowym</w:t>
      </w:r>
      <w:r w:rsidR="0011564E">
        <w:rPr>
          <w:rFonts w:ascii="Times New Roman" w:hAnsi="Times New Roman" w:cs="Times New Roman"/>
          <w:sz w:val="24"/>
          <w:szCs w:val="24"/>
        </w:rPr>
        <w:t xml:space="preserve"> przez </w:t>
      </w:r>
      <w:r w:rsidR="002817F4" w:rsidRPr="002817F4">
        <w:rPr>
          <w:rFonts w:ascii="Times New Roman" w:hAnsi="Times New Roman" w:cs="Times New Roman"/>
          <w:sz w:val="24"/>
          <w:szCs w:val="24"/>
        </w:rPr>
        <w:t>poszczególne zagraniczne zakłady ubezpieczeń.</w:t>
      </w:r>
      <w:r w:rsidR="008E2E47">
        <w:rPr>
          <w:rFonts w:ascii="Times New Roman" w:hAnsi="Times New Roman" w:cs="Times New Roman"/>
          <w:sz w:val="24"/>
          <w:szCs w:val="24"/>
        </w:rPr>
        <w:t xml:space="preserve"> Umożliwi to ustalanie przez organ nadzoru podstawy nakładanej na zagraniczny zakład ubezpieczeń kary.</w:t>
      </w:r>
      <w:r w:rsidR="006F1EE6">
        <w:rPr>
          <w:rFonts w:ascii="Times New Roman" w:hAnsi="Times New Roman" w:cs="Times New Roman"/>
          <w:sz w:val="24"/>
          <w:szCs w:val="24"/>
        </w:rPr>
        <w:t xml:space="preserve"> </w:t>
      </w:r>
      <w:r w:rsidR="00B32B8D" w:rsidRPr="00B32B8D">
        <w:rPr>
          <w:rFonts w:ascii="Times New Roman" w:hAnsi="Times New Roman" w:cs="Times New Roman"/>
          <w:sz w:val="24"/>
          <w:szCs w:val="24"/>
        </w:rPr>
        <w:t>Z powyższą propozycją zmiany łączy się konieczność wprowadzenia zmian</w:t>
      </w:r>
      <w:r w:rsidR="00B32B8D">
        <w:rPr>
          <w:rFonts w:ascii="Times New Roman" w:hAnsi="Times New Roman" w:cs="Times New Roman"/>
          <w:sz w:val="24"/>
          <w:szCs w:val="24"/>
        </w:rPr>
        <w:t xml:space="preserve"> </w:t>
      </w:r>
      <w:r w:rsidR="007A4776">
        <w:rPr>
          <w:rFonts w:ascii="Times New Roman" w:hAnsi="Times New Roman" w:cs="Times New Roman"/>
          <w:sz w:val="24"/>
          <w:szCs w:val="24"/>
        </w:rPr>
        <w:t>w</w:t>
      </w:r>
      <w:r w:rsidR="00B32B8D">
        <w:rPr>
          <w:rFonts w:ascii="Times New Roman" w:hAnsi="Times New Roman" w:cs="Times New Roman"/>
          <w:sz w:val="24"/>
          <w:szCs w:val="24"/>
        </w:rPr>
        <w:t xml:space="preserve"> art. 102 ust. 2 ustawy o ubezpieczeniach obowiązkowych w zakresie nowej grupy danych</w:t>
      </w:r>
      <w:r w:rsidR="007A4776">
        <w:rPr>
          <w:rFonts w:ascii="Times New Roman" w:hAnsi="Times New Roman" w:cs="Times New Roman"/>
          <w:sz w:val="24"/>
          <w:szCs w:val="24"/>
        </w:rPr>
        <w:t>,</w:t>
      </w:r>
      <w:r w:rsidR="00B32B8D">
        <w:rPr>
          <w:rFonts w:ascii="Times New Roman" w:hAnsi="Times New Roman" w:cs="Times New Roman"/>
          <w:sz w:val="24"/>
          <w:szCs w:val="24"/>
        </w:rPr>
        <w:t xml:space="preserve"> jakie będą przekazywane przez </w:t>
      </w:r>
      <w:r w:rsidR="0011564E">
        <w:rPr>
          <w:rFonts w:ascii="Times New Roman" w:hAnsi="Times New Roman" w:cs="Times New Roman"/>
          <w:sz w:val="24"/>
          <w:szCs w:val="24"/>
        </w:rPr>
        <w:t xml:space="preserve">zagraniczne </w:t>
      </w:r>
      <w:r w:rsidR="00B32B8D">
        <w:rPr>
          <w:rFonts w:ascii="Times New Roman" w:hAnsi="Times New Roman" w:cs="Times New Roman"/>
          <w:sz w:val="24"/>
          <w:szCs w:val="24"/>
        </w:rPr>
        <w:t xml:space="preserve">zakłady ubezpieczeń do Ubezpieczeniowego Funduszu Gwarancyjnego. W oparciu o takie dane Fundusz będzie mógł wyodrębnić </w:t>
      </w:r>
      <w:r w:rsidR="00634C10">
        <w:rPr>
          <w:rFonts w:ascii="Times New Roman" w:hAnsi="Times New Roman" w:cs="Times New Roman"/>
          <w:sz w:val="24"/>
          <w:szCs w:val="24"/>
        </w:rPr>
        <w:t xml:space="preserve">ww. </w:t>
      </w:r>
      <w:r w:rsidR="00B32B8D">
        <w:rPr>
          <w:rFonts w:ascii="Times New Roman" w:hAnsi="Times New Roman" w:cs="Times New Roman"/>
          <w:sz w:val="24"/>
          <w:szCs w:val="24"/>
        </w:rPr>
        <w:t xml:space="preserve">informację </w:t>
      </w:r>
      <w:r w:rsidR="00B32B8D" w:rsidRPr="00B32B8D">
        <w:rPr>
          <w:rFonts w:ascii="Times New Roman" w:hAnsi="Times New Roman" w:cs="Times New Roman"/>
          <w:sz w:val="24"/>
          <w:szCs w:val="24"/>
        </w:rPr>
        <w:t xml:space="preserve">dotyczącą danych o składce przypisanej brutto z umów ubezpieczenia </w:t>
      </w:r>
      <w:r w:rsidR="002D1B7A">
        <w:rPr>
          <w:rFonts w:ascii="Times New Roman" w:hAnsi="Times New Roman" w:cs="Times New Roman"/>
          <w:sz w:val="24"/>
          <w:szCs w:val="24"/>
        </w:rPr>
        <w:t>działu II grupy 10 załącznika do ustawy o działalności ubezpieczeniowej</w:t>
      </w:r>
      <w:r w:rsidR="00005A85">
        <w:rPr>
          <w:rFonts w:ascii="Times New Roman" w:hAnsi="Times New Roman" w:cs="Times New Roman"/>
          <w:sz w:val="24"/>
          <w:szCs w:val="24"/>
        </w:rPr>
        <w:t>,</w:t>
      </w:r>
      <w:r w:rsidR="002D1B7A">
        <w:rPr>
          <w:rFonts w:ascii="Times New Roman" w:hAnsi="Times New Roman" w:cs="Times New Roman"/>
          <w:sz w:val="24"/>
          <w:szCs w:val="24"/>
        </w:rPr>
        <w:t xml:space="preserve"> z wyłączeniem odpowiedzialności przewoźnika, </w:t>
      </w:r>
      <w:r w:rsidR="00B32B8D" w:rsidRPr="00B32B8D">
        <w:rPr>
          <w:rFonts w:ascii="Times New Roman" w:hAnsi="Times New Roman" w:cs="Times New Roman"/>
          <w:sz w:val="24"/>
          <w:szCs w:val="24"/>
        </w:rPr>
        <w:t xml:space="preserve">zebranej na terytorium </w:t>
      </w:r>
      <w:r w:rsidR="00B32B8D" w:rsidRPr="00B32B8D">
        <w:rPr>
          <w:rFonts w:ascii="Times New Roman" w:hAnsi="Times New Roman" w:cs="Times New Roman"/>
          <w:sz w:val="24"/>
          <w:szCs w:val="24"/>
        </w:rPr>
        <w:lastRenderedPageBreak/>
        <w:t xml:space="preserve">Rzeczypospolitej Polskiej w danym roku kalendarzowym </w:t>
      </w:r>
      <w:r w:rsidR="0011564E">
        <w:rPr>
          <w:rFonts w:ascii="Times New Roman" w:hAnsi="Times New Roman" w:cs="Times New Roman"/>
          <w:sz w:val="24"/>
          <w:szCs w:val="24"/>
        </w:rPr>
        <w:t>przez</w:t>
      </w:r>
      <w:r w:rsidR="00B32B8D" w:rsidRPr="00B32B8D">
        <w:rPr>
          <w:rFonts w:ascii="Times New Roman" w:hAnsi="Times New Roman" w:cs="Times New Roman"/>
          <w:sz w:val="24"/>
          <w:szCs w:val="24"/>
        </w:rPr>
        <w:t xml:space="preserve"> poszczególne zagraniczne zakłady ubezpieczeń.</w:t>
      </w:r>
      <w:r w:rsidR="00634C10">
        <w:rPr>
          <w:rFonts w:ascii="Times New Roman" w:hAnsi="Times New Roman" w:cs="Times New Roman"/>
          <w:sz w:val="24"/>
          <w:szCs w:val="24"/>
        </w:rPr>
        <w:t xml:space="preserve"> </w:t>
      </w:r>
    </w:p>
    <w:p w:rsidR="00D07181" w:rsidRPr="003A7E4C" w:rsidRDefault="00141EFF" w:rsidP="007C35AC">
      <w:pPr>
        <w:widowControl w:val="0"/>
        <w:autoSpaceDE w:val="0"/>
        <w:autoSpaceDN w:val="0"/>
        <w:adjustRightInd w:val="0"/>
        <w:spacing w:after="120" w:line="360" w:lineRule="auto"/>
        <w:jc w:val="both"/>
        <w:rPr>
          <w:rFonts w:ascii="Times New Roman" w:hAnsi="Times New Roman" w:cs="Times New Roman"/>
          <w:bCs/>
          <w:sz w:val="24"/>
          <w:szCs w:val="24"/>
        </w:rPr>
      </w:pPr>
      <w:r>
        <w:rPr>
          <w:rFonts w:ascii="Times New Roman" w:hAnsi="Times New Roman" w:cs="Times New Roman"/>
          <w:sz w:val="24"/>
          <w:szCs w:val="24"/>
        </w:rPr>
        <w:t>Z</w:t>
      </w:r>
      <w:r w:rsidR="000D42AF">
        <w:rPr>
          <w:rFonts w:ascii="Times New Roman" w:hAnsi="Times New Roman" w:cs="Times New Roman"/>
          <w:sz w:val="24"/>
          <w:szCs w:val="24"/>
        </w:rPr>
        <w:t xml:space="preserve"> kolei z</w:t>
      </w:r>
      <w:r w:rsidR="007C361A" w:rsidRPr="003A7E4C">
        <w:rPr>
          <w:rFonts w:ascii="Times New Roman" w:hAnsi="Times New Roman" w:cs="Times New Roman"/>
          <w:sz w:val="24"/>
          <w:szCs w:val="24"/>
        </w:rPr>
        <w:t>miany w ustawie o działalności ubezpieczeniowej zakładają możliwość natychmiastowej</w:t>
      </w:r>
      <w:r w:rsidR="00ED1C0B" w:rsidRPr="003A7E4C">
        <w:rPr>
          <w:rFonts w:ascii="Times New Roman" w:hAnsi="Times New Roman" w:cs="Times New Roman"/>
          <w:sz w:val="24"/>
          <w:szCs w:val="24"/>
        </w:rPr>
        <w:t xml:space="preserve"> i nadzwyczajnej</w:t>
      </w:r>
      <w:r w:rsidR="007C361A" w:rsidRPr="003A7E4C">
        <w:rPr>
          <w:rFonts w:ascii="Times New Roman" w:hAnsi="Times New Roman" w:cs="Times New Roman"/>
          <w:sz w:val="24"/>
          <w:szCs w:val="24"/>
        </w:rPr>
        <w:t xml:space="preserve"> interwencji organu nadzoru w przypadku konieczności niezwłocznego usunięcia lub zapobieżenia </w:t>
      </w:r>
      <w:r w:rsidR="0035070B" w:rsidRPr="003A7E4C">
        <w:rPr>
          <w:rFonts w:ascii="Times New Roman" w:hAnsi="Times New Roman" w:cs="Times New Roman"/>
          <w:sz w:val="24"/>
          <w:szCs w:val="24"/>
        </w:rPr>
        <w:t xml:space="preserve">wystąpieniu nieprawidłowości dotyczących </w:t>
      </w:r>
      <w:r w:rsidR="007C361A" w:rsidRPr="003A7E4C">
        <w:rPr>
          <w:rFonts w:ascii="Times New Roman" w:hAnsi="Times New Roman" w:cs="Times New Roman"/>
          <w:sz w:val="24"/>
          <w:szCs w:val="24"/>
        </w:rPr>
        <w:t xml:space="preserve">naruszania interesów ubezpieczających, ubezpieczonych i uprawnionych z umów ubezpieczenia. </w:t>
      </w:r>
      <w:r w:rsidR="00CD6751" w:rsidRPr="003A7E4C">
        <w:rPr>
          <w:rFonts w:ascii="Times New Roman" w:hAnsi="Times New Roman" w:cs="Times New Roman"/>
          <w:sz w:val="24"/>
          <w:szCs w:val="24"/>
        </w:rPr>
        <w:t>Takie uprawnienie powinno być o</w:t>
      </w:r>
      <w:r w:rsidR="00465B30">
        <w:rPr>
          <w:rFonts w:ascii="Times New Roman" w:hAnsi="Times New Roman" w:cs="Times New Roman"/>
          <w:sz w:val="24"/>
          <w:szCs w:val="24"/>
        </w:rPr>
        <w:t>graniczone jedynie do przypadku</w:t>
      </w:r>
      <w:r w:rsidR="00CD6751" w:rsidRPr="003A7E4C">
        <w:rPr>
          <w:rFonts w:ascii="Times New Roman" w:hAnsi="Times New Roman" w:cs="Times New Roman"/>
          <w:sz w:val="24"/>
          <w:szCs w:val="24"/>
        </w:rPr>
        <w:t xml:space="preserve"> piln</w:t>
      </w:r>
      <w:r w:rsidR="00465B30">
        <w:rPr>
          <w:rFonts w:ascii="Times New Roman" w:hAnsi="Times New Roman" w:cs="Times New Roman"/>
          <w:sz w:val="24"/>
          <w:szCs w:val="24"/>
        </w:rPr>
        <w:t>ego</w:t>
      </w:r>
      <w:r w:rsidR="00CD6751" w:rsidRPr="003A7E4C">
        <w:rPr>
          <w:rFonts w:ascii="Times New Roman" w:hAnsi="Times New Roman" w:cs="Times New Roman"/>
          <w:sz w:val="24"/>
          <w:szCs w:val="24"/>
        </w:rPr>
        <w:t xml:space="preserve">, gdy </w:t>
      </w:r>
      <w:r w:rsidR="00D07181" w:rsidRPr="003A7E4C">
        <w:rPr>
          <w:rFonts w:ascii="Times New Roman" w:hAnsi="Times New Roman" w:cs="Times New Roman"/>
          <w:sz w:val="24"/>
          <w:szCs w:val="24"/>
        </w:rPr>
        <w:t>podjęto ustalenia, iż pewne nieprawidłowości oznaczają rzeczywiste i nieuchronne ryzyko wystąpienia poważnych nieprawidłowości ze szkodą dla ubez</w:t>
      </w:r>
      <w:r w:rsidR="002637E0" w:rsidRPr="003A7E4C">
        <w:rPr>
          <w:rFonts w:ascii="Times New Roman" w:hAnsi="Times New Roman" w:cs="Times New Roman"/>
          <w:sz w:val="24"/>
          <w:szCs w:val="24"/>
        </w:rPr>
        <w:t>pieczonych lub innych podmiotów, wskutek czego należy niezwłocznie zabezpieczyć ich interes.</w:t>
      </w:r>
    </w:p>
    <w:p w:rsidR="0035070B" w:rsidRPr="003A7E4C" w:rsidRDefault="0035070B" w:rsidP="007C35AC">
      <w:pPr>
        <w:widowControl w:val="0"/>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W obecnym stanie prawnym uprawnienia nadzorcze polskiego organu nadzoru w stosunku do działalności zagranicznych zakładów ubezpieczeń lub zagranicznych zakładów reasekuracji wykonujących na terytorium R</w:t>
      </w:r>
      <w:r w:rsidR="0020705C">
        <w:rPr>
          <w:rFonts w:ascii="Times New Roman" w:hAnsi="Times New Roman" w:cs="Times New Roman"/>
          <w:sz w:val="24"/>
          <w:szCs w:val="24"/>
        </w:rPr>
        <w:t xml:space="preserve">zeczypospolitej </w:t>
      </w:r>
      <w:r w:rsidRPr="003A7E4C">
        <w:rPr>
          <w:rFonts w:ascii="Times New Roman" w:hAnsi="Times New Roman" w:cs="Times New Roman"/>
          <w:sz w:val="24"/>
          <w:szCs w:val="24"/>
        </w:rPr>
        <w:t>P</w:t>
      </w:r>
      <w:r w:rsidR="0020705C">
        <w:rPr>
          <w:rFonts w:ascii="Times New Roman" w:hAnsi="Times New Roman" w:cs="Times New Roman"/>
          <w:sz w:val="24"/>
          <w:szCs w:val="24"/>
        </w:rPr>
        <w:t>olskiej</w:t>
      </w:r>
      <w:r w:rsidRPr="003A7E4C">
        <w:rPr>
          <w:rFonts w:ascii="Times New Roman" w:hAnsi="Times New Roman" w:cs="Times New Roman"/>
          <w:sz w:val="24"/>
          <w:szCs w:val="24"/>
        </w:rPr>
        <w:t xml:space="preserve"> działalność przez oddział lub w inny sposób niż przez oddział, w ramach swobody świadczenia usług (dalej</w:t>
      </w:r>
      <w:r w:rsidR="00895AAA">
        <w:rPr>
          <w:rFonts w:ascii="Times New Roman" w:hAnsi="Times New Roman" w:cs="Times New Roman"/>
          <w:sz w:val="24"/>
          <w:szCs w:val="24"/>
        </w:rPr>
        <w:t>:</w:t>
      </w:r>
      <w:r w:rsidRPr="003A7E4C">
        <w:rPr>
          <w:rFonts w:ascii="Times New Roman" w:hAnsi="Times New Roman" w:cs="Times New Roman"/>
          <w:sz w:val="24"/>
          <w:szCs w:val="24"/>
        </w:rPr>
        <w:t xml:space="preserve"> „zagraniczny zakład ubezpieczeń lub zagraniczny zakład reasekuracji”), określa art. 214 ustawy o działalności ubezpieczeniowej. Ustawa ta stanowi implementację do polskiego porządku prawnego dyrektywy Parlamentu Europejskiego i Rady 2009/138/W</w:t>
      </w:r>
      <w:r w:rsidR="00784101">
        <w:rPr>
          <w:rFonts w:ascii="Times New Roman" w:hAnsi="Times New Roman" w:cs="Times New Roman"/>
          <w:sz w:val="24"/>
          <w:szCs w:val="24"/>
        </w:rPr>
        <w:t>E z dnia 25 listopada 2009 r. w </w:t>
      </w:r>
      <w:r w:rsidRPr="003A7E4C">
        <w:rPr>
          <w:rFonts w:ascii="Times New Roman" w:hAnsi="Times New Roman" w:cs="Times New Roman"/>
          <w:sz w:val="24"/>
          <w:szCs w:val="24"/>
        </w:rPr>
        <w:t>sprawie podejmowania i prowadzenia działalności ubezpieczeniowej i reasekuracyjnej (Wypłacalność II)</w:t>
      </w:r>
      <w:r w:rsidR="00A52295" w:rsidRPr="003A7E4C">
        <w:rPr>
          <w:rFonts w:ascii="Times New Roman" w:hAnsi="Times New Roman" w:cs="Times New Roman"/>
          <w:sz w:val="24"/>
          <w:szCs w:val="24"/>
        </w:rPr>
        <w:t xml:space="preserve"> (Dz. Urz. UE L 335 z 17.12.2009</w:t>
      </w:r>
      <w:r w:rsidR="003A247A">
        <w:rPr>
          <w:rFonts w:ascii="Times New Roman" w:hAnsi="Times New Roman" w:cs="Times New Roman"/>
          <w:sz w:val="24"/>
          <w:szCs w:val="24"/>
        </w:rPr>
        <w:t>,</w:t>
      </w:r>
      <w:r w:rsidR="00A52295" w:rsidRPr="003A7E4C">
        <w:rPr>
          <w:rFonts w:ascii="Times New Roman" w:hAnsi="Times New Roman" w:cs="Times New Roman"/>
          <w:sz w:val="24"/>
          <w:szCs w:val="24"/>
        </w:rPr>
        <w:t xml:space="preserve"> str. 1</w:t>
      </w:r>
      <w:r w:rsidR="00261D24">
        <w:rPr>
          <w:rFonts w:ascii="Times New Roman" w:hAnsi="Times New Roman" w:cs="Times New Roman"/>
          <w:sz w:val="24"/>
          <w:szCs w:val="24"/>
        </w:rPr>
        <w:t>, z późn.</w:t>
      </w:r>
      <w:r w:rsidR="00247222">
        <w:rPr>
          <w:rFonts w:ascii="Times New Roman" w:hAnsi="Times New Roman" w:cs="Times New Roman"/>
          <w:sz w:val="24"/>
          <w:szCs w:val="24"/>
        </w:rPr>
        <w:t xml:space="preserve"> </w:t>
      </w:r>
      <w:r w:rsidR="00261D24">
        <w:rPr>
          <w:rFonts w:ascii="Times New Roman" w:hAnsi="Times New Roman" w:cs="Times New Roman"/>
          <w:sz w:val="24"/>
          <w:szCs w:val="24"/>
        </w:rPr>
        <w:t>zm.</w:t>
      </w:r>
      <w:r w:rsidR="00A52295" w:rsidRPr="003A7E4C">
        <w:rPr>
          <w:rFonts w:ascii="Times New Roman" w:hAnsi="Times New Roman" w:cs="Times New Roman"/>
          <w:sz w:val="24"/>
          <w:szCs w:val="24"/>
        </w:rPr>
        <w:t>)</w:t>
      </w:r>
      <w:r w:rsidRPr="003A7E4C">
        <w:rPr>
          <w:rFonts w:ascii="Times New Roman" w:hAnsi="Times New Roman" w:cs="Times New Roman"/>
          <w:sz w:val="24"/>
          <w:szCs w:val="24"/>
        </w:rPr>
        <w:t>.</w:t>
      </w:r>
      <w:r w:rsidR="00A52295" w:rsidRPr="003A7E4C">
        <w:rPr>
          <w:rFonts w:ascii="Times New Roman" w:hAnsi="Times New Roman" w:cs="Times New Roman"/>
          <w:sz w:val="24"/>
          <w:szCs w:val="24"/>
        </w:rPr>
        <w:t xml:space="preserve"> </w:t>
      </w:r>
      <w:r w:rsidRPr="003A7E4C">
        <w:rPr>
          <w:rFonts w:ascii="Times New Roman" w:hAnsi="Times New Roman" w:cs="Times New Roman"/>
          <w:sz w:val="24"/>
          <w:szCs w:val="24"/>
        </w:rPr>
        <w:t xml:space="preserve">Konstrukcja art. 214 </w:t>
      </w:r>
      <w:r w:rsidR="000B7A20" w:rsidRPr="003A7E4C">
        <w:rPr>
          <w:rFonts w:ascii="Times New Roman" w:hAnsi="Times New Roman" w:cs="Times New Roman"/>
          <w:sz w:val="24"/>
          <w:szCs w:val="24"/>
        </w:rPr>
        <w:t xml:space="preserve">ustawy </w:t>
      </w:r>
      <w:r w:rsidR="001D0EA6">
        <w:rPr>
          <w:rFonts w:ascii="Times New Roman" w:hAnsi="Times New Roman" w:cs="Times New Roman"/>
          <w:sz w:val="24"/>
          <w:szCs w:val="24"/>
        </w:rPr>
        <w:t xml:space="preserve">o działalności ubezpieczeniowej </w:t>
      </w:r>
      <w:r w:rsidRPr="003A7E4C">
        <w:rPr>
          <w:rFonts w:ascii="Times New Roman" w:hAnsi="Times New Roman" w:cs="Times New Roman"/>
          <w:sz w:val="24"/>
          <w:szCs w:val="24"/>
        </w:rPr>
        <w:t xml:space="preserve">odpowiada, co do zasady, regulacjom art. 155 dyrektywy Wypłacalność II. </w:t>
      </w:r>
      <w:r w:rsidRPr="003A7E4C">
        <w:rPr>
          <w:rFonts w:ascii="Times New Roman" w:hAnsi="Times New Roman" w:cs="Times New Roman"/>
          <w:color w:val="000000"/>
          <w:sz w:val="24"/>
          <w:szCs w:val="24"/>
        </w:rPr>
        <w:t xml:space="preserve">Celem art. 155 dyrektywy Wypłacalność II jest określenie uprawnień organu nadzoru państwa przyjmującego wobec zagranicznego zakładu ubezpieczeń lub zagranicznego zakładu reasekuracji zgodnie z zasadą </w:t>
      </w:r>
      <w:r w:rsidRPr="003A7E4C">
        <w:rPr>
          <w:rFonts w:ascii="Times New Roman" w:hAnsi="Times New Roman" w:cs="Times New Roman"/>
          <w:i/>
          <w:iCs/>
          <w:color w:val="000000"/>
          <w:sz w:val="24"/>
          <w:szCs w:val="24"/>
        </w:rPr>
        <w:t xml:space="preserve">home country control, </w:t>
      </w:r>
      <w:r w:rsidRPr="003A7E4C">
        <w:rPr>
          <w:rFonts w:ascii="Times New Roman" w:hAnsi="Times New Roman" w:cs="Times New Roman"/>
          <w:color w:val="000000"/>
          <w:sz w:val="24"/>
          <w:szCs w:val="24"/>
        </w:rPr>
        <w:t xml:space="preserve">zakładającą </w:t>
      </w:r>
      <w:r w:rsidR="000B7A20" w:rsidRPr="003A7E4C">
        <w:rPr>
          <w:rFonts w:ascii="Times New Roman" w:hAnsi="Times New Roman" w:cs="Times New Roman"/>
          <w:color w:val="000000"/>
          <w:sz w:val="24"/>
          <w:szCs w:val="24"/>
        </w:rPr>
        <w:t xml:space="preserve">prymat </w:t>
      </w:r>
      <w:r w:rsidRPr="003A7E4C">
        <w:rPr>
          <w:rFonts w:ascii="Times New Roman" w:hAnsi="Times New Roman" w:cs="Times New Roman"/>
          <w:color w:val="000000"/>
          <w:sz w:val="24"/>
          <w:szCs w:val="24"/>
        </w:rPr>
        <w:t>nadz</w:t>
      </w:r>
      <w:r w:rsidR="000B7A20" w:rsidRPr="003A7E4C">
        <w:rPr>
          <w:rFonts w:ascii="Times New Roman" w:hAnsi="Times New Roman" w:cs="Times New Roman"/>
          <w:color w:val="000000"/>
          <w:sz w:val="24"/>
          <w:szCs w:val="24"/>
        </w:rPr>
        <w:t>oru</w:t>
      </w:r>
      <w:r w:rsidRPr="003A7E4C">
        <w:rPr>
          <w:rFonts w:ascii="Times New Roman" w:hAnsi="Times New Roman" w:cs="Times New Roman"/>
          <w:color w:val="000000"/>
          <w:sz w:val="24"/>
          <w:szCs w:val="24"/>
        </w:rPr>
        <w:t xml:space="preserve"> organu państwa macierzystego. Zatem w sytuacji, gdy zagraniczny zakład ubezpieczeń lub zagraniczny zakład reasekuracji działający na terytorium R</w:t>
      </w:r>
      <w:r w:rsidR="0020705C">
        <w:rPr>
          <w:rFonts w:ascii="Times New Roman" w:hAnsi="Times New Roman" w:cs="Times New Roman"/>
          <w:color w:val="000000"/>
          <w:sz w:val="24"/>
          <w:szCs w:val="24"/>
        </w:rPr>
        <w:t xml:space="preserve">zeczypospolitej </w:t>
      </w:r>
      <w:r w:rsidRPr="003A7E4C">
        <w:rPr>
          <w:rFonts w:ascii="Times New Roman" w:hAnsi="Times New Roman" w:cs="Times New Roman"/>
          <w:color w:val="000000"/>
          <w:sz w:val="24"/>
          <w:szCs w:val="24"/>
        </w:rPr>
        <w:t>P</w:t>
      </w:r>
      <w:r w:rsidR="0020705C">
        <w:rPr>
          <w:rFonts w:ascii="Times New Roman" w:hAnsi="Times New Roman" w:cs="Times New Roman"/>
          <w:color w:val="000000"/>
          <w:sz w:val="24"/>
          <w:szCs w:val="24"/>
        </w:rPr>
        <w:t>olskiej</w:t>
      </w:r>
      <w:r w:rsidRPr="003A7E4C">
        <w:rPr>
          <w:rFonts w:ascii="Times New Roman" w:hAnsi="Times New Roman" w:cs="Times New Roman"/>
          <w:color w:val="000000"/>
          <w:sz w:val="24"/>
          <w:szCs w:val="24"/>
        </w:rPr>
        <w:t xml:space="preserve"> dopuszcza się naruszenia prawa polskiego, procedura z art. 214 ust</w:t>
      </w:r>
      <w:r w:rsidR="00FF1D33">
        <w:rPr>
          <w:rFonts w:ascii="Times New Roman" w:hAnsi="Times New Roman" w:cs="Times New Roman"/>
          <w:color w:val="000000"/>
          <w:sz w:val="24"/>
          <w:szCs w:val="24"/>
        </w:rPr>
        <w:t>.</w:t>
      </w:r>
      <w:r w:rsidR="00784101">
        <w:rPr>
          <w:rFonts w:ascii="Times New Roman" w:hAnsi="Times New Roman" w:cs="Times New Roman"/>
          <w:color w:val="000000"/>
          <w:sz w:val="24"/>
          <w:szCs w:val="24"/>
        </w:rPr>
        <w:t xml:space="preserve"> 2–4 ustawy o </w:t>
      </w:r>
      <w:r w:rsidRPr="003A7E4C">
        <w:rPr>
          <w:rFonts w:ascii="Times New Roman" w:hAnsi="Times New Roman" w:cs="Times New Roman"/>
          <w:color w:val="000000"/>
          <w:sz w:val="24"/>
          <w:szCs w:val="24"/>
        </w:rPr>
        <w:t>działalności ubezpieczeniowej przewiduje, po niezastosowaniu się do zaleceń oraz niewykonaniu decyzji zobowiązującej go do ich wykonania, powiadamianie właściwego organu nadzorczego państwa członkowskiego U</w:t>
      </w:r>
      <w:r w:rsidR="00817158">
        <w:rPr>
          <w:rFonts w:ascii="Times New Roman" w:hAnsi="Times New Roman" w:cs="Times New Roman"/>
          <w:color w:val="000000"/>
          <w:sz w:val="24"/>
          <w:szCs w:val="24"/>
        </w:rPr>
        <w:t xml:space="preserve">nii </w:t>
      </w:r>
      <w:r w:rsidRPr="003A7E4C">
        <w:rPr>
          <w:rFonts w:ascii="Times New Roman" w:hAnsi="Times New Roman" w:cs="Times New Roman"/>
          <w:color w:val="000000"/>
          <w:sz w:val="24"/>
          <w:szCs w:val="24"/>
        </w:rPr>
        <w:t>E</w:t>
      </w:r>
      <w:r w:rsidR="00817158">
        <w:rPr>
          <w:rFonts w:ascii="Times New Roman" w:hAnsi="Times New Roman" w:cs="Times New Roman"/>
          <w:color w:val="000000"/>
          <w:sz w:val="24"/>
          <w:szCs w:val="24"/>
        </w:rPr>
        <w:t>uropejskiej</w:t>
      </w:r>
      <w:r w:rsidRPr="003A7E4C">
        <w:rPr>
          <w:rFonts w:ascii="Times New Roman" w:hAnsi="Times New Roman" w:cs="Times New Roman"/>
          <w:color w:val="000000"/>
          <w:sz w:val="24"/>
          <w:szCs w:val="24"/>
        </w:rPr>
        <w:t xml:space="preserve">, w którym zakład ma siedzibę. Dopiero jeżeli zastosowane przez ww. organ nadzorczy </w:t>
      </w:r>
      <w:r w:rsidR="00685AEA" w:rsidRPr="003A7E4C">
        <w:rPr>
          <w:rFonts w:ascii="Times New Roman" w:hAnsi="Times New Roman" w:cs="Times New Roman"/>
          <w:color w:val="000000"/>
          <w:sz w:val="24"/>
          <w:szCs w:val="24"/>
        </w:rPr>
        <w:t xml:space="preserve">środki </w:t>
      </w:r>
      <w:r w:rsidRPr="003A7E4C">
        <w:rPr>
          <w:rFonts w:ascii="Times New Roman" w:hAnsi="Times New Roman" w:cs="Times New Roman"/>
          <w:color w:val="000000"/>
          <w:sz w:val="24"/>
          <w:szCs w:val="24"/>
        </w:rPr>
        <w:t xml:space="preserve">okażą się niedostateczne lub nie zostaną one zastosowane, polski organ nadzoru może zastosować wszystkie uprawnienia przysługujące mu zgodnie z ustawą w stosunku do krajowych zakładów ubezpieczeń lub krajowych zakładów reasekuracji (w tym również wydać zakaz wykonywania na terytorium </w:t>
      </w:r>
      <w:r w:rsidRPr="003A7E4C">
        <w:rPr>
          <w:rFonts w:ascii="Times New Roman" w:hAnsi="Times New Roman" w:cs="Times New Roman"/>
          <w:color w:val="000000"/>
          <w:sz w:val="24"/>
          <w:szCs w:val="24"/>
        </w:rPr>
        <w:lastRenderedPageBreak/>
        <w:t>R</w:t>
      </w:r>
      <w:r w:rsidR="0020705C">
        <w:rPr>
          <w:rFonts w:ascii="Times New Roman" w:hAnsi="Times New Roman" w:cs="Times New Roman"/>
          <w:color w:val="000000"/>
          <w:sz w:val="24"/>
          <w:szCs w:val="24"/>
        </w:rPr>
        <w:t xml:space="preserve">zeczypospolitej </w:t>
      </w:r>
      <w:r w:rsidRPr="003A7E4C">
        <w:rPr>
          <w:rFonts w:ascii="Times New Roman" w:hAnsi="Times New Roman" w:cs="Times New Roman"/>
          <w:color w:val="000000"/>
          <w:sz w:val="24"/>
          <w:szCs w:val="24"/>
        </w:rPr>
        <w:t>P</w:t>
      </w:r>
      <w:r w:rsidR="0020705C">
        <w:rPr>
          <w:rFonts w:ascii="Times New Roman" w:hAnsi="Times New Roman" w:cs="Times New Roman"/>
          <w:color w:val="000000"/>
          <w:sz w:val="24"/>
          <w:szCs w:val="24"/>
        </w:rPr>
        <w:t>olskiej</w:t>
      </w:r>
      <w:r w:rsidRPr="003A7E4C">
        <w:rPr>
          <w:rFonts w:ascii="Times New Roman" w:hAnsi="Times New Roman" w:cs="Times New Roman"/>
          <w:color w:val="000000"/>
          <w:sz w:val="24"/>
          <w:szCs w:val="24"/>
        </w:rPr>
        <w:t xml:space="preserve"> działalności ubezpieczeniowej lub reasekuracyjnej).</w:t>
      </w:r>
    </w:p>
    <w:p w:rsidR="00B213A9" w:rsidRDefault="007A1752" w:rsidP="00B213A9">
      <w:pPr>
        <w:widowControl w:val="0"/>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Regulacja</w:t>
      </w:r>
      <w:r w:rsidR="0035070B" w:rsidRPr="003A7E4C">
        <w:rPr>
          <w:rFonts w:ascii="Times New Roman" w:hAnsi="Times New Roman" w:cs="Times New Roman"/>
          <w:sz w:val="24"/>
          <w:szCs w:val="24"/>
        </w:rPr>
        <w:t xml:space="preserve"> art. 155 ust. 4 dyrektywy Wypłacalność II przewiduje </w:t>
      </w:r>
      <w:r w:rsidRPr="003A7E4C">
        <w:rPr>
          <w:rFonts w:ascii="Times New Roman" w:hAnsi="Times New Roman" w:cs="Times New Roman"/>
          <w:sz w:val="24"/>
          <w:szCs w:val="24"/>
        </w:rPr>
        <w:t xml:space="preserve">natomiast </w:t>
      </w:r>
      <w:r w:rsidR="0035070B" w:rsidRPr="003A7E4C">
        <w:rPr>
          <w:rFonts w:ascii="Times New Roman" w:hAnsi="Times New Roman" w:cs="Times New Roman"/>
          <w:sz w:val="24"/>
          <w:szCs w:val="24"/>
        </w:rPr>
        <w:t>możliwość zastosowania trybu pilnego, uprawniającego organy nadzorcze państwa przyjmującego do podejmowania odpowiednich środków nadzwyczajnych w celu zapobiegania lub karania za nieprawidłowości na ich terytorium. W tym zakresie projektowana ustawa dopełnia implementację do polskiego porządku prawnego art. 155 ust. 4 dyrektywy Wypłacalność II.</w:t>
      </w:r>
    </w:p>
    <w:p w:rsidR="00B213A9" w:rsidRDefault="007A1752" w:rsidP="00B213A9">
      <w:pPr>
        <w:widowControl w:val="0"/>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Proponowane zmiany w ustawie o działalności ubezp</w:t>
      </w:r>
      <w:r w:rsidR="00DF5991">
        <w:rPr>
          <w:rFonts w:ascii="Times New Roman" w:hAnsi="Times New Roman" w:cs="Times New Roman"/>
          <w:sz w:val="24"/>
          <w:szCs w:val="24"/>
        </w:rPr>
        <w:t>ieczeniowej pozostają również w </w:t>
      </w:r>
      <w:r w:rsidRPr="003A7E4C">
        <w:rPr>
          <w:rFonts w:ascii="Times New Roman" w:hAnsi="Times New Roman" w:cs="Times New Roman"/>
          <w:sz w:val="24"/>
          <w:szCs w:val="24"/>
        </w:rPr>
        <w:t xml:space="preserve">zgodności z </w:t>
      </w:r>
      <w:r w:rsidR="000B7A20" w:rsidRPr="003A7E4C">
        <w:rPr>
          <w:rFonts w:ascii="Times New Roman" w:hAnsi="Times New Roman" w:cs="Times New Roman"/>
          <w:sz w:val="24"/>
          <w:szCs w:val="24"/>
        </w:rPr>
        <w:t>wyrokiem</w:t>
      </w:r>
      <w:r w:rsidRPr="003A7E4C">
        <w:rPr>
          <w:rFonts w:ascii="Times New Roman" w:hAnsi="Times New Roman" w:cs="Times New Roman"/>
          <w:sz w:val="24"/>
          <w:szCs w:val="24"/>
        </w:rPr>
        <w:t xml:space="preserve"> Trybunału Sprawiedliwości Unii Europejskiej z </w:t>
      </w:r>
      <w:r w:rsidR="00261D24">
        <w:rPr>
          <w:rFonts w:ascii="Times New Roman" w:hAnsi="Times New Roman" w:cs="Times New Roman"/>
          <w:sz w:val="24"/>
          <w:szCs w:val="24"/>
        </w:rPr>
        <w:t xml:space="preserve">dnia </w:t>
      </w:r>
      <w:r w:rsidRPr="003A7E4C">
        <w:rPr>
          <w:rFonts w:ascii="Times New Roman" w:hAnsi="Times New Roman" w:cs="Times New Roman"/>
          <w:sz w:val="24"/>
          <w:szCs w:val="24"/>
        </w:rPr>
        <w:t xml:space="preserve">27 kwietnia 2017 r. </w:t>
      </w:r>
      <w:r w:rsidR="00261D24">
        <w:rPr>
          <w:rFonts w:ascii="Times New Roman" w:hAnsi="Times New Roman" w:cs="Times New Roman"/>
          <w:sz w:val="24"/>
          <w:szCs w:val="24"/>
        </w:rPr>
        <w:t xml:space="preserve">wydanym w sprawie </w:t>
      </w:r>
      <w:r w:rsidRPr="003A7E4C">
        <w:rPr>
          <w:rFonts w:ascii="Times New Roman" w:hAnsi="Times New Roman" w:cs="Times New Roman"/>
          <w:sz w:val="24"/>
          <w:szCs w:val="24"/>
        </w:rPr>
        <w:t>C-559</w:t>
      </w:r>
      <w:r w:rsidR="00403D0A">
        <w:rPr>
          <w:rFonts w:ascii="Times New Roman" w:hAnsi="Times New Roman" w:cs="Times New Roman"/>
          <w:sz w:val="24"/>
          <w:szCs w:val="24"/>
        </w:rPr>
        <w:t>/</w:t>
      </w:r>
      <w:r w:rsidRPr="003A7E4C">
        <w:rPr>
          <w:rFonts w:ascii="Times New Roman" w:hAnsi="Times New Roman" w:cs="Times New Roman"/>
          <w:sz w:val="24"/>
          <w:szCs w:val="24"/>
        </w:rPr>
        <w:t xml:space="preserve">15 Onix Asigurari SA. Zapadły wyrok dotyczy interpretacji art. 40 ust. 6 dyrektywy 92/49/EWG, która została uchylona dyrektywą Wypłacalność II. Regulacje art. 40 ust. 6 dyrektywy 92/49/EWG są jednak zbliżone do art. 155 ust. 4 dyrektywy Wypłacalność II. </w:t>
      </w:r>
      <w:r w:rsidR="00261D24">
        <w:rPr>
          <w:rFonts w:ascii="Times New Roman" w:hAnsi="Times New Roman" w:cs="Times New Roman"/>
          <w:sz w:val="24"/>
          <w:szCs w:val="24"/>
        </w:rPr>
        <w:t>Z</w:t>
      </w:r>
      <w:r w:rsidRPr="003A7E4C">
        <w:rPr>
          <w:rFonts w:ascii="Times New Roman" w:hAnsi="Times New Roman" w:cs="Times New Roman"/>
          <w:sz w:val="24"/>
          <w:szCs w:val="24"/>
        </w:rPr>
        <w:t xml:space="preserve"> tego względu wyrok ten może mieć również znaczenie w nowym otoczeniu prawnym. Trybunał Sprawiedliwoś</w:t>
      </w:r>
      <w:r w:rsidR="00B213A9">
        <w:rPr>
          <w:rFonts w:ascii="Times New Roman" w:hAnsi="Times New Roman" w:cs="Times New Roman"/>
          <w:sz w:val="24"/>
          <w:szCs w:val="24"/>
        </w:rPr>
        <w:t>ci</w:t>
      </w:r>
      <w:r w:rsidRPr="003A7E4C">
        <w:rPr>
          <w:rFonts w:ascii="Times New Roman" w:hAnsi="Times New Roman" w:cs="Times New Roman"/>
          <w:sz w:val="24"/>
          <w:szCs w:val="24"/>
        </w:rPr>
        <w:t xml:space="preserve"> U</w:t>
      </w:r>
      <w:r w:rsidR="00817158">
        <w:rPr>
          <w:rFonts w:ascii="Times New Roman" w:hAnsi="Times New Roman" w:cs="Times New Roman"/>
          <w:sz w:val="24"/>
          <w:szCs w:val="24"/>
        </w:rPr>
        <w:t xml:space="preserve">nii </w:t>
      </w:r>
      <w:r w:rsidRPr="003A7E4C">
        <w:rPr>
          <w:rFonts w:ascii="Times New Roman" w:hAnsi="Times New Roman" w:cs="Times New Roman"/>
          <w:sz w:val="24"/>
          <w:szCs w:val="24"/>
        </w:rPr>
        <w:t>E</w:t>
      </w:r>
      <w:r w:rsidR="00817158">
        <w:rPr>
          <w:rFonts w:ascii="Times New Roman" w:hAnsi="Times New Roman" w:cs="Times New Roman"/>
          <w:sz w:val="24"/>
          <w:szCs w:val="24"/>
        </w:rPr>
        <w:t>uropejskiej</w:t>
      </w:r>
      <w:r w:rsidRPr="003A7E4C">
        <w:rPr>
          <w:rFonts w:ascii="Times New Roman" w:hAnsi="Times New Roman" w:cs="Times New Roman"/>
          <w:sz w:val="24"/>
          <w:szCs w:val="24"/>
        </w:rPr>
        <w:t xml:space="preserve"> orzekł, iż w przypadku art. 40 ust. 6 dyrektywy 92/49/EWG od państwa członkowskiego świadczenia usług nie można wymagać, by w pilnych wypadkach wszczynało proces informowania państwa członkowskiego pochodzenia, co mogłoby opóźnić </w:t>
      </w:r>
      <w:r w:rsidR="00177E14">
        <w:rPr>
          <w:rFonts w:ascii="Times New Roman" w:hAnsi="Times New Roman" w:cs="Times New Roman"/>
          <w:sz w:val="24"/>
          <w:szCs w:val="24"/>
        </w:rPr>
        <w:t>–</w:t>
      </w:r>
      <w:r w:rsidRPr="003A7E4C">
        <w:rPr>
          <w:rFonts w:ascii="Times New Roman" w:hAnsi="Times New Roman" w:cs="Times New Roman"/>
          <w:sz w:val="24"/>
          <w:szCs w:val="24"/>
        </w:rPr>
        <w:t xml:space="preserve"> ze szkodą dla interesów ubezpieczonego lub innych podmiotów – przyjęcie owych środków. Art. 40 ust. 6 </w:t>
      </w:r>
      <w:r w:rsidR="00261D24">
        <w:rPr>
          <w:rFonts w:ascii="Times New Roman" w:hAnsi="Times New Roman" w:cs="Times New Roman"/>
          <w:sz w:val="24"/>
          <w:szCs w:val="24"/>
        </w:rPr>
        <w:t xml:space="preserve">ww. dyrektywy </w:t>
      </w:r>
      <w:r w:rsidRPr="003A7E4C">
        <w:rPr>
          <w:rFonts w:ascii="Times New Roman" w:hAnsi="Times New Roman" w:cs="Times New Roman"/>
          <w:sz w:val="24"/>
          <w:szCs w:val="24"/>
        </w:rPr>
        <w:t>nie może natomiast być interpretowany jako zezwalający państwu członkowskiemu świadczenia usług na odstępstwo od wyłącznej kompetencji państwa członkowskiego pochodzenia do ustosunkowania się do kwestii przestrzegania przez odnośny zakład warunków udzielenia zezwolenia. Na państwie członkowskim świadczenia usług spoczywa jednak w ramach wykonywania uprawni</w:t>
      </w:r>
      <w:r w:rsidR="00685AEA" w:rsidRPr="003A7E4C">
        <w:rPr>
          <w:rFonts w:ascii="Times New Roman" w:hAnsi="Times New Roman" w:cs="Times New Roman"/>
          <w:sz w:val="24"/>
          <w:szCs w:val="24"/>
        </w:rPr>
        <w:t>eń przyznanych mu</w:t>
      </w:r>
      <w:r w:rsidRPr="003A7E4C">
        <w:rPr>
          <w:rFonts w:ascii="Times New Roman" w:hAnsi="Times New Roman" w:cs="Times New Roman"/>
          <w:sz w:val="24"/>
          <w:szCs w:val="24"/>
        </w:rPr>
        <w:t xml:space="preserve"> w pilnych wypadkach obowiązek ustalenia</w:t>
      </w:r>
      <w:r w:rsidR="004E7D28">
        <w:rPr>
          <w:rFonts w:ascii="Times New Roman" w:hAnsi="Times New Roman" w:cs="Times New Roman"/>
          <w:sz w:val="24"/>
          <w:szCs w:val="24"/>
        </w:rPr>
        <w:t>,</w:t>
      </w:r>
      <w:r w:rsidRPr="003A7E4C">
        <w:rPr>
          <w:rFonts w:ascii="Times New Roman" w:hAnsi="Times New Roman" w:cs="Times New Roman"/>
          <w:sz w:val="24"/>
          <w:szCs w:val="24"/>
        </w:rPr>
        <w:t xml:space="preserve"> czy pewne nieprawidłowości oznaczają rzeczywiste i nieuchronne ryzyko wystąpienia nieprawidłowości ze szkodą dla ubezpieczonych lub innych podmiotów. W ocenie Trybunału, dyrektywa</w:t>
      </w:r>
      <w:r w:rsidR="00261D24">
        <w:rPr>
          <w:rFonts w:ascii="Times New Roman" w:hAnsi="Times New Roman" w:cs="Times New Roman"/>
          <w:sz w:val="24"/>
          <w:szCs w:val="24"/>
        </w:rPr>
        <w:t>,</w:t>
      </w:r>
      <w:r w:rsidRPr="003A7E4C">
        <w:rPr>
          <w:rFonts w:ascii="Times New Roman" w:hAnsi="Times New Roman" w:cs="Times New Roman"/>
          <w:sz w:val="24"/>
          <w:szCs w:val="24"/>
        </w:rPr>
        <w:t xml:space="preserve"> opierając się na zasadzie </w:t>
      </w:r>
      <w:r w:rsidRPr="003A7E4C">
        <w:rPr>
          <w:rFonts w:ascii="Times New Roman" w:hAnsi="Times New Roman" w:cs="Times New Roman"/>
          <w:i/>
          <w:iCs/>
          <w:sz w:val="24"/>
          <w:szCs w:val="24"/>
        </w:rPr>
        <w:t>home country control</w:t>
      </w:r>
      <w:r w:rsidR="00BB4AAB">
        <w:rPr>
          <w:rFonts w:ascii="Times New Roman" w:hAnsi="Times New Roman" w:cs="Times New Roman"/>
          <w:iCs/>
          <w:sz w:val="24"/>
          <w:szCs w:val="24"/>
        </w:rPr>
        <w:t>,</w:t>
      </w:r>
      <w:r w:rsidRPr="003A7E4C">
        <w:rPr>
          <w:rFonts w:ascii="Times New Roman" w:hAnsi="Times New Roman" w:cs="Times New Roman"/>
          <w:sz w:val="24"/>
          <w:szCs w:val="24"/>
        </w:rPr>
        <w:t xml:space="preserve"> wskazuje, iż środki</w:t>
      </w:r>
      <w:r w:rsidR="003E3884">
        <w:rPr>
          <w:rFonts w:ascii="Times New Roman" w:hAnsi="Times New Roman" w:cs="Times New Roman"/>
          <w:sz w:val="24"/>
          <w:szCs w:val="24"/>
        </w:rPr>
        <w:t>,</w:t>
      </w:r>
      <w:r w:rsidRPr="003A7E4C">
        <w:rPr>
          <w:rFonts w:ascii="Times New Roman" w:hAnsi="Times New Roman" w:cs="Times New Roman"/>
          <w:sz w:val="24"/>
          <w:szCs w:val="24"/>
        </w:rPr>
        <w:t xml:space="preserve"> jakie państwo członkowskie świadczenia usług może przyjąć w pilnych wypadkach</w:t>
      </w:r>
      <w:r w:rsidR="003E3884">
        <w:rPr>
          <w:rFonts w:ascii="Times New Roman" w:hAnsi="Times New Roman" w:cs="Times New Roman"/>
          <w:sz w:val="24"/>
          <w:szCs w:val="24"/>
        </w:rPr>
        <w:t>,</w:t>
      </w:r>
      <w:r w:rsidRPr="003A7E4C">
        <w:rPr>
          <w:rFonts w:ascii="Times New Roman" w:hAnsi="Times New Roman" w:cs="Times New Roman"/>
          <w:sz w:val="24"/>
          <w:szCs w:val="24"/>
        </w:rPr>
        <w:t xml:space="preserve"> mogą mieć jedynie charakter zabezpieczający. Środki te można zatem stosować jedynie w oczekiwaniu na wydanie decyzji przez właściwe organy państwa członkowskiego pochodzenia wyciągającej konsekwencje z okoliczności faktycznych przedstawionych przez państwo członkowskie świadczenia usług.</w:t>
      </w:r>
    </w:p>
    <w:p w:rsidR="00B213A9" w:rsidRDefault="007D58D5" w:rsidP="00B213A9">
      <w:pPr>
        <w:widowControl w:val="0"/>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 xml:space="preserve">Proponowana zmiana w ustawie o działalności ubezpieczeniowej zapewni organowi nadzoru możliwość natychmiastowej interwencji w przypadku konieczności niezwłocznego usunięcia nieprawidłowości, bez obowiązku wcześniejszego powiadamiana właściwego organu </w:t>
      </w:r>
      <w:r w:rsidRPr="003A7E4C">
        <w:rPr>
          <w:rFonts w:ascii="Times New Roman" w:hAnsi="Times New Roman" w:cs="Times New Roman"/>
          <w:sz w:val="24"/>
          <w:szCs w:val="24"/>
        </w:rPr>
        <w:lastRenderedPageBreak/>
        <w:t xml:space="preserve">nadzorczego państwa siedziby zakładu i oczekiwania na właściwą reakcję tego organu. Zaproponowane rozwiązanie wydaje się również zgodne z art. 155 ust. 4 dyrektywy Wypłacalność II i </w:t>
      </w:r>
      <w:r w:rsidR="00D221CF" w:rsidRPr="003A7E4C">
        <w:rPr>
          <w:rFonts w:ascii="Times New Roman" w:hAnsi="Times New Roman" w:cs="Times New Roman"/>
          <w:sz w:val="24"/>
          <w:szCs w:val="24"/>
        </w:rPr>
        <w:t xml:space="preserve">jest </w:t>
      </w:r>
      <w:r w:rsidR="00685AEA" w:rsidRPr="003A7E4C">
        <w:rPr>
          <w:rFonts w:ascii="Times New Roman" w:hAnsi="Times New Roman" w:cs="Times New Roman"/>
          <w:sz w:val="24"/>
          <w:szCs w:val="24"/>
        </w:rPr>
        <w:t>analogiczne do</w:t>
      </w:r>
      <w:r w:rsidR="00D221CF" w:rsidRPr="003A7E4C">
        <w:rPr>
          <w:rFonts w:ascii="Times New Roman" w:hAnsi="Times New Roman" w:cs="Times New Roman"/>
          <w:sz w:val="24"/>
          <w:szCs w:val="24"/>
        </w:rPr>
        <w:t xml:space="preserve"> rozwiąza</w:t>
      </w:r>
      <w:r w:rsidR="00685AEA" w:rsidRPr="003A7E4C">
        <w:rPr>
          <w:rFonts w:ascii="Times New Roman" w:hAnsi="Times New Roman" w:cs="Times New Roman"/>
          <w:sz w:val="24"/>
          <w:szCs w:val="24"/>
        </w:rPr>
        <w:t>ń</w:t>
      </w:r>
      <w:r w:rsidR="00D221CF" w:rsidRPr="003A7E4C">
        <w:rPr>
          <w:rFonts w:ascii="Times New Roman" w:hAnsi="Times New Roman" w:cs="Times New Roman"/>
          <w:sz w:val="24"/>
          <w:szCs w:val="24"/>
        </w:rPr>
        <w:t xml:space="preserve"> prawny</w:t>
      </w:r>
      <w:r w:rsidR="00685AEA" w:rsidRPr="003A7E4C">
        <w:rPr>
          <w:rFonts w:ascii="Times New Roman" w:hAnsi="Times New Roman" w:cs="Times New Roman"/>
          <w:sz w:val="24"/>
          <w:szCs w:val="24"/>
        </w:rPr>
        <w:t>ch</w:t>
      </w:r>
      <w:r w:rsidR="00D221CF" w:rsidRPr="003A7E4C">
        <w:rPr>
          <w:rFonts w:ascii="Times New Roman" w:hAnsi="Times New Roman" w:cs="Times New Roman"/>
          <w:sz w:val="24"/>
          <w:szCs w:val="24"/>
        </w:rPr>
        <w:t xml:space="preserve"> zastosowany</w:t>
      </w:r>
      <w:r w:rsidR="00685AEA" w:rsidRPr="003A7E4C">
        <w:rPr>
          <w:rFonts w:ascii="Times New Roman" w:hAnsi="Times New Roman" w:cs="Times New Roman"/>
          <w:sz w:val="24"/>
          <w:szCs w:val="24"/>
        </w:rPr>
        <w:t>ch</w:t>
      </w:r>
      <w:r w:rsidR="00D221CF" w:rsidRPr="003A7E4C">
        <w:rPr>
          <w:rFonts w:ascii="Times New Roman" w:hAnsi="Times New Roman" w:cs="Times New Roman"/>
          <w:sz w:val="24"/>
          <w:szCs w:val="24"/>
        </w:rPr>
        <w:t xml:space="preserve"> w innych państwa</w:t>
      </w:r>
      <w:r w:rsidR="00D850F2">
        <w:rPr>
          <w:rFonts w:ascii="Times New Roman" w:hAnsi="Times New Roman" w:cs="Times New Roman"/>
          <w:sz w:val="24"/>
          <w:szCs w:val="24"/>
        </w:rPr>
        <w:t>ch</w:t>
      </w:r>
      <w:r w:rsidR="00D221CF" w:rsidRPr="003A7E4C">
        <w:rPr>
          <w:rFonts w:ascii="Times New Roman" w:hAnsi="Times New Roman" w:cs="Times New Roman"/>
          <w:sz w:val="24"/>
          <w:szCs w:val="24"/>
        </w:rPr>
        <w:t xml:space="preserve"> członkowskich Unii Europejskiej, m.in. </w:t>
      </w:r>
      <w:r w:rsidR="00261D24">
        <w:rPr>
          <w:rFonts w:ascii="Times New Roman" w:hAnsi="Times New Roman" w:cs="Times New Roman"/>
          <w:sz w:val="24"/>
          <w:szCs w:val="24"/>
        </w:rPr>
        <w:t xml:space="preserve">w </w:t>
      </w:r>
      <w:r w:rsidR="00D221CF" w:rsidRPr="003A7E4C">
        <w:rPr>
          <w:rFonts w:ascii="Times New Roman" w:hAnsi="Times New Roman" w:cs="Times New Roman"/>
          <w:sz w:val="24"/>
          <w:szCs w:val="24"/>
        </w:rPr>
        <w:t>Hiszpanii, Irlandii, Niemczech, Francji czy Portugalii.</w:t>
      </w:r>
      <w:r w:rsidR="00CD6751" w:rsidRPr="003A7E4C">
        <w:rPr>
          <w:rFonts w:ascii="Times New Roman" w:hAnsi="Times New Roman" w:cs="Times New Roman"/>
          <w:sz w:val="24"/>
          <w:szCs w:val="24"/>
        </w:rPr>
        <w:t xml:space="preserve"> W takim przypadku organowi nadzoru przysługiwać będą wszystkie uprawnienia mu przysługujące w stosunku do krajowych zakładów ubezpieczeń lub krajo</w:t>
      </w:r>
      <w:r w:rsidR="00D07181" w:rsidRPr="003A7E4C">
        <w:rPr>
          <w:rFonts w:ascii="Times New Roman" w:hAnsi="Times New Roman" w:cs="Times New Roman"/>
          <w:sz w:val="24"/>
          <w:szCs w:val="24"/>
        </w:rPr>
        <w:t>wych zakładów reasekuracji. Organ nadzoru będzie zatem uprawniony m.in. do nałożenia na członka zarządu zakładu ubezpieczeń</w:t>
      </w:r>
      <w:r w:rsidR="00972416">
        <w:rPr>
          <w:rFonts w:ascii="Times New Roman" w:hAnsi="Times New Roman" w:cs="Times New Roman"/>
          <w:sz w:val="24"/>
          <w:szCs w:val="24"/>
        </w:rPr>
        <w:t>,</w:t>
      </w:r>
      <w:r w:rsidR="00D07181" w:rsidRPr="003A7E4C">
        <w:rPr>
          <w:rFonts w:ascii="Times New Roman" w:hAnsi="Times New Roman" w:cs="Times New Roman"/>
          <w:sz w:val="24"/>
          <w:szCs w:val="24"/>
        </w:rPr>
        <w:t xml:space="preserve"> zakładu reasekuracji lub prokurenta kary pieniężnej do wysokości odpowiadającej ich trzykrotnemu przeciętnemu miesięcznemu wynagrodzeniu z ostatnich 12</w:t>
      </w:r>
      <w:r w:rsidR="00B213A9">
        <w:rPr>
          <w:rFonts w:ascii="Times New Roman" w:hAnsi="Times New Roman" w:cs="Times New Roman"/>
          <w:sz w:val="24"/>
          <w:szCs w:val="24"/>
        </w:rPr>
        <w:t> </w:t>
      </w:r>
      <w:r w:rsidR="00D07181" w:rsidRPr="003A7E4C">
        <w:rPr>
          <w:rFonts w:ascii="Times New Roman" w:hAnsi="Times New Roman" w:cs="Times New Roman"/>
          <w:sz w:val="24"/>
          <w:szCs w:val="24"/>
        </w:rPr>
        <w:t xml:space="preserve">miesięcy (art. 362 ust. 1 pkt 1 ustawy o działalności ubezpieczeniowej), nałożenia na zakład ubezpieczeń lub zakład reasekuracji kary pieniężnej do wysokości 0,5% składki przypisanej brutto wykazanej przez zakład ubezpieczeń lub zakład reasekuracji w ostatnim przedstawionym organowi nadzoru sprawozdaniu finansowym (art. 362 ust. 1 pkt 2 ustawy o działalności ubezpieczeniowej) lub zakazania </w:t>
      </w:r>
      <w:r w:rsidR="00D07181" w:rsidRPr="003A7E4C">
        <w:rPr>
          <w:rStyle w:val="Ppogrubienie"/>
          <w:rFonts w:ascii="Times New Roman" w:hAnsi="Times New Roman" w:cs="Times New Roman"/>
          <w:b w:val="0"/>
          <w:sz w:val="24"/>
          <w:szCs w:val="24"/>
        </w:rPr>
        <w:t>wykonywania na</w:t>
      </w:r>
      <w:r w:rsidR="00D07181" w:rsidRPr="003A7E4C">
        <w:rPr>
          <w:rFonts w:ascii="Times New Roman" w:hAnsi="Times New Roman" w:cs="Times New Roman"/>
          <w:sz w:val="24"/>
          <w:szCs w:val="24"/>
        </w:rPr>
        <w:t xml:space="preserve"> terytorium Rzeczypospolitej </w:t>
      </w:r>
      <w:r w:rsidR="00D07181" w:rsidRPr="003A7E4C">
        <w:rPr>
          <w:rStyle w:val="Ppogrubienie"/>
          <w:rFonts w:ascii="Times New Roman" w:hAnsi="Times New Roman" w:cs="Times New Roman"/>
          <w:b w:val="0"/>
          <w:sz w:val="24"/>
          <w:szCs w:val="24"/>
        </w:rPr>
        <w:t>Polskiej działalności</w:t>
      </w:r>
      <w:r w:rsidR="00D07181" w:rsidRPr="003A7E4C">
        <w:rPr>
          <w:rFonts w:ascii="Times New Roman" w:hAnsi="Times New Roman" w:cs="Times New Roman"/>
          <w:sz w:val="24"/>
          <w:szCs w:val="24"/>
        </w:rPr>
        <w:t xml:space="preserve"> przez zagraniczny zakład ubezpieczeń lub zagraniczny zakład reasekuracji. Jednocześnie</w:t>
      </w:r>
      <w:r w:rsidR="003E4FAC">
        <w:rPr>
          <w:rFonts w:ascii="Times New Roman" w:hAnsi="Times New Roman" w:cs="Times New Roman"/>
          <w:sz w:val="24"/>
          <w:szCs w:val="24"/>
        </w:rPr>
        <w:t>,</w:t>
      </w:r>
      <w:r w:rsidR="00D07181" w:rsidRPr="003A7E4C">
        <w:rPr>
          <w:rFonts w:ascii="Times New Roman" w:hAnsi="Times New Roman" w:cs="Times New Roman"/>
          <w:sz w:val="24"/>
          <w:szCs w:val="24"/>
        </w:rPr>
        <w:t xml:space="preserve"> </w:t>
      </w:r>
      <w:r w:rsidR="002637E0" w:rsidRPr="003A7E4C">
        <w:rPr>
          <w:rFonts w:ascii="Times New Roman" w:hAnsi="Times New Roman" w:cs="Times New Roman"/>
          <w:sz w:val="24"/>
          <w:szCs w:val="24"/>
        </w:rPr>
        <w:t>mając na uwadze, iż zgodnie z wyrokiem C-559</w:t>
      </w:r>
      <w:r w:rsidR="00403D0A">
        <w:rPr>
          <w:rFonts w:ascii="Times New Roman" w:hAnsi="Times New Roman" w:cs="Times New Roman"/>
          <w:sz w:val="24"/>
          <w:szCs w:val="24"/>
        </w:rPr>
        <w:t>/</w:t>
      </w:r>
      <w:r w:rsidR="002637E0" w:rsidRPr="003A7E4C">
        <w:rPr>
          <w:rFonts w:ascii="Times New Roman" w:hAnsi="Times New Roman" w:cs="Times New Roman"/>
          <w:sz w:val="24"/>
          <w:szCs w:val="24"/>
        </w:rPr>
        <w:t>15 zastosowane środki powinny mieć jedynie charakter zabezpieczający, proponuje się</w:t>
      </w:r>
      <w:r w:rsidR="00E662D4">
        <w:rPr>
          <w:rFonts w:ascii="Times New Roman" w:hAnsi="Times New Roman" w:cs="Times New Roman"/>
          <w:sz w:val="24"/>
          <w:szCs w:val="24"/>
        </w:rPr>
        <w:t>,</w:t>
      </w:r>
      <w:r w:rsidR="002637E0" w:rsidRPr="003A7E4C">
        <w:rPr>
          <w:rFonts w:ascii="Times New Roman" w:hAnsi="Times New Roman" w:cs="Times New Roman"/>
          <w:sz w:val="24"/>
          <w:szCs w:val="24"/>
        </w:rPr>
        <w:t xml:space="preserve"> aby </w:t>
      </w:r>
      <w:r w:rsidR="00D07181" w:rsidRPr="003A7E4C">
        <w:rPr>
          <w:rFonts w:ascii="Times New Roman" w:hAnsi="Times New Roman" w:cs="Times New Roman"/>
          <w:sz w:val="24"/>
          <w:szCs w:val="24"/>
        </w:rPr>
        <w:t xml:space="preserve">w przypadku zastosowania środka nadzorczego organ nadzoru </w:t>
      </w:r>
      <w:r w:rsidR="002637E0" w:rsidRPr="003A7E4C">
        <w:rPr>
          <w:rFonts w:ascii="Times New Roman" w:hAnsi="Times New Roman" w:cs="Times New Roman"/>
          <w:sz w:val="24"/>
          <w:szCs w:val="24"/>
        </w:rPr>
        <w:t>był</w:t>
      </w:r>
      <w:r w:rsidR="00D07181" w:rsidRPr="003A7E4C">
        <w:rPr>
          <w:rFonts w:ascii="Times New Roman" w:hAnsi="Times New Roman" w:cs="Times New Roman"/>
          <w:sz w:val="24"/>
          <w:szCs w:val="24"/>
        </w:rPr>
        <w:t xml:space="preserve"> obowiązany do poinformowania właściwego organu nadzorczego, w którym ukarany zakład ma siedzibę</w:t>
      </w:r>
      <w:r w:rsidR="002637E0" w:rsidRPr="003A7E4C">
        <w:rPr>
          <w:rFonts w:ascii="Times New Roman" w:hAnsi="Times New Roman" w:cs="Times New Roman"/>
          <w:sz w:val="24"/>
          <w:szCs w:val="24"/>
        </w:rPr>
        <w:t>, w celu umożliwienia mu wydania decyzji wyciągającej konsekwencje z okoliczności faktycznych przedstawionych przez organ nadzoru.</w:t>
      </w:r>
    </w:p>
    <w:p w:rsidR="00B213A9" w:rsidRDefault="003A7E4C" w:rsidP="00B213A9">
      <w:pPr>
        <w:widowControl w:val="0"/>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 xml:space="preserve">Dodanie ust. 4a </w:t>
      </w:r>
      <w:r w:rsidR="003511AB">
        <w:rPr>
          <w:rFonts w:ascii="Times New Roman" w:hAnsi="Times New Roman" w:cs="Times New Roman"/>
          <w:sz w:val="24"/>
          <w:szCs w:val="24"/>
        </w:rPr>
        <w:t>w</w:t>
      </w:r>
      <w:r w:rsidRPr="003A7E4C">
        <w:rPr>
          <w:rFonts w:ascii="Times New Roman" w:hAnsi="Times New Roman" w:cs="Times New Roman"/>
          <w:sz w:val="24"/>
          <w:szCs w:val="24"/>
        </w:rPr>
        <w:t xml:space="preserve"> art. 214 ustawy o działalności ubezpieczeniowej nie skutkuje potrzebą wprowadzenia dodatkowych przepisów przejściowych. Dodawany nowy tryb, na podstawie którego organ nadzoru będzie mógł podjąć pilne działania wobec zagranicznych zakładów ubezpieczeń i zagranicznych zakładów reasekuracji, będzie bowiem niezależny od funkcjonującego obecnie trybu wymagającego interwencji macierzystego organu nadzoru. Zasadne jest w wyjątkowych okolicznościach umożliwienie organowi nadzoru wykorzystanie trybu pilnego nawet w przypadku podjęcia już standar</w:t>
      </w:r>
      <w:r w:rsidR="00B213A9">
        <w:rPr>
          <w:rFonts w:ascii="Times New Roman" w:hAnsi="Times New Roman" w:cs="Times New Roman"/>
          <w:sz w:val="24"/>
          <w:szCs w:val="24"/>
        </w:rPr>
        <w:t>dowych czynności wynikających z </w:t>
      </w:r>
      <w:r w:rsidRPr="003A7E4C">
        <w:rPr>
          <w:rFonts w:ascii="Times New Roman" w:hAnsi="Times New Roman" w:cs="Times New Roman"/>
          <w:sz w:val="24"/>
          <w:szCs w:val="24"/>
        </w:rPr>
        <w:t>dotychczasowych przepisów (np. wydania zaleceń). Należy bowiem zauważyć</w:t>
      </w:r>
      <w:r w:rsidR="009D0FD3">
        <w:rPr>
          <w:rFonts w:ascii="Times New Roman" w:hAnsi="Times New Roman" w:cs="Times New Roman"/>
          <w:sz w:val="24"/>
          <w:szCs w:val="24"/>
        </w:rPr>
        <w:t>,</w:t>
      </w:r>
      <w:r w:rsidRPr="003A7E4C">
        <w:rPr>
          <w:rFonts w:ascii="Times New Roman" w:hAnsi="Times New Roman" w:cs="Times New Roman"/>
          <w:sz w:val="24"/>
          <w:szCs w:val="24"/>
        </w:rPr>
        <w:t xml:space="preserve"> że tryb pilny ma jedynie charakter zabezpieczający do czasu podjęcia odpowiednich czynności przez macierzysty organ nadzorczy. </w:t>
      </w:r>
    </w:p>
    <w:p w:rsidR="00B213A9" w:rsidRDefault="0011564E" w:rsidP="00B213A9">
      <w:pPr>
        <w:widowControl w:val="0"/>
        <w:autoSpaceDE w:val="0"/>
        <w:autoSpaceDN w:val="0"/>
        <w:adjustRightInd w:val="0"/>
        <w:spacing w:line="360" w:lineRule="auto"/>
        <w:jc w:val="both"/>
        <w:rPr>
          <w:rFonts w:ascii="Times New Roman" w:hAnsi="Times New Roman" w:cs="Times New Roman"/>
          <w:sz w:val="24"/>
          <w:szCs w:val="24"/>
        </w:rPr>
      </w:pPr>
      <w:r w:rsidRPr="0011564E">
        <w:rPr>
          <w:rFonts w:ascii="Times New Roman" w:hAnsi="Times New Roman" w:cs="Times New Roman"/>
          <w:sz w:val="24"/>
          <w:szCs w:val="24"/>
        </w:rPr>
        <w:t>Projekt zawiera także przepis przejściow</w:t>
      </w:r>
      <w:r w:rsidR="00A94E1D">
        <w:rPr>
          <w:rFonts w:ascii="Times New Roman" w:hAnsi="Times New Roman" w:cs="Times New Roman"/>
          <w:sz w:val="24"/>
          <w:szCs w:val="24"/>
        </w:rPr>
        <w:t>y</w:t>
      </w:r>
      <w:r w:rsidRPr="0011564E">
        <w:rPr>
          <w:rFonts w:ascii="Times New Roman" w:hAnsi="Times New Roman" w:cs="Times New Roman"/>
          <w:sz w:val="24"/>
          <w:szCs w:val="24"/>
        </w:rPr>
        <w:t>, któr</w:t>
      </w:r>
      <w:r w:rsidR="00A94E1D">
        <w:rPr>
          <w:rFonts w:ascii="Times New Roman" w:hAnsi="Times New Roman" w:cs="Times New Roman"/>
          <w:sz w:val="24"/>
          <w:szCs w:val="24"/>
        </w:rPr>
        <w:t>y</w:t>
      </w:r>
      <w:r w:rsidRPr="0011564E">
        <w:rPr>
          <w:rFonts w:ascii="Times New Roman" w:hAnsi="Times New Roman" w:cs="Times New Roman"/>
          <w:sz w:val="24"/>
          <w:szCs w:val="24"/>
        </w:rPr>
        <w:t xml:space="preserve"> reguluj</w:t>
      </w:r>
      <w:r w:rsidR="00A94E1D">
        <w:rPr>
          <w:rFonts w:ascii="Times New Roman" w:hAnsi="Times New Roman" w:cs="Times New Roman"/>
          <w:sz w:val="24"/>
          <w:szCs w:val="24"/>
        </w:rPr>
        <w:t>e</w:t>
      </w:r>
      <w:r w:rsidRPr="0011564E">
        <w:rPr>
          <w:rFonts w:ascii="Times New Roman" w:hAnsi="Times New Roman" w:cs="Times New Roman"/>
          <w:sz w:val="24"/>
          <w:szCs w:val="24"/>
        </w:rPr>
        <w:t xml:space="preserve"> kwestie </w:t>
      </w:r>
      <w:r w:rsidR="00A94E1D">
        <w:rPr>
          <w:rFonts w:ascii="Times New Roman" w:hAnsi="Times New Roman" w:cs="Times New Roman"/>
          <w:sz w:val="24"/>
          <w:szCs w:val="24"/>
        </w:rPr>
        <w:t>stosowania odpowiednich przepisów</w:t>
      </w:r>
      <w:r w:rsidR="00981A62">
        <w:rPr>
          <w:rFonts w:ascii="Times New Roman" w:hAnsi="Times New Roman" w:cs="Times New Roman"/>
          <w:sz w:val="24"/>
          <w:szCs w:val="24"/>
        </w:rPr>
        <w:t>,</w:t>
      </w:r>
      <w:r w:rsidR="00A94E1D">
        <w:rPr>
          <w:rFonts w:ascii="Times New Roman" w:hAnsi="Times New Roman" w:cs="Times New Roman"/>
          <w:sz w:val="24"/>
          <w:szCs w:val="24"/>
        </w:rPr>
        <w:t xml:space="preserve"> w przypadku gdy po dniu wejścia w życie ustawy zagraniczny zakład ubezpieczeń nie wypłaci odszkodowania w ustawowym terminie lub nie dopełni określonego w ustawie </w:t>
      </w:r>
      <w:r w:rsidR="00A94E1D">
        <w:rPr>
          <w:rFonts w:ascii="Times New Roman" w:hAnsi="Times New Roman" w:cs="Times New Roman"/>
          <w:sz w:val="24"/>
          <w:szCs w:val="24"/>
        </w:rPr>
        <w:lastRenderedPageBreak/>
        <w:t xml:space="preserve">obowiązku. </w:t>
      </w:r>
      <w:r w:rsidRPr="0011564E">
        <w:rPr>
          <w:rFonts w:ascii="Times New Roman" w:hAnsi="Times New Roman" w:cs="Times New Roman"/>
          <w:sz w:val="24"/>
          <w:szCs w:val="24"/>
        </w:rPr>
        <w:t xml:space="preserve">Dodatkowo proponuje się wprowadzenie przepisu przejściowego, który </w:t>
      </w:r>
      <w:r w:rsidR="001F17F3">
        <w:rPr>
          <w:rFonts w:ascii="Times New Roman" w:hAnsi="Times New Roman" w:cs="Times New Roman"/>
          <w:sz w:val="24"/>
          <w:szCs w:val="24"/>
        </w:rPr>
        <w:t xml:space="preserve">ma na celu </w:t>
      </w:r>
      <w:r w:rsidR="00A94E1D">
        <w:rPr>
          <w:rFonts w:ascii="Times New Roman" w:hAnsi="Times New Roman" w:cs="Times New Roman"/>
          <w:sz w:val="24"/>
          <w:szCs w:val="24"/>
        </w:rPr>
        <w:t xml:space="preserve">pozyskanie przez Ubezpieczeniowy Fundusz Gwarancyjny od zagranicznych zakładów ubezpieczeń </w:t>
      </w:r>
      <w:r w:rsidR="001F17F3">
        <w:rPr>
          <w:rFonts w:ascii="Times New Roman" w:hAnsi="Times New Roman" w:cs="Times New Roman"/>
          <w:sz w:val="24"/>
          <w:szCs w:val="24"/>
        </w:rPr>
        <w:t xml:space="preserve">określonych informacji za rok 2019 </w:t>
      </w:r>
      <w:r w:rsidR="00B6473C" w:rsidRPr="00B6473C">
        <w:rPr>
          <w:rFonts w:ascii="Times New Roman" w:hAnsi="Times New Roman" w:cs="Times New Roman"/>
          <w:sz w:val="24"/>
          <w:szCs w:val="24"/>
        </w:rPr>
        <w:t>oraz za okres od dnia 1 stycznia 2020 r. do dnia poprzedzającego dzień wejścia w życie projektowanych regulacji. Przedmiotowa norma ma na celu zapewnienie kompletności ww. informacji (danych o wartości składki przypisanej brutto), które będą służyły ustaleniu maksymalnej dopuszczalnej sankcji.</w:t>
      </w:r>
    </w:p>
    <w:p w:rsidR="00B213A9" w:rsidRDefault="00156CDE" w:rsidP="00B213A9">
      <w:pPr>
        <w:widowControl w:val="0"/>
        <w:autoSpaceDE w:val="0"/>
        <w:autoSpaceDN w:val="0"/>
        <w:adjustRightInd w:val="0"/>
        <w:spacing w:line="360" w:lineRule="auto"/>
        <w:jc w:val="both"/>
        <w:rPr>
          <w:rFonts w:ascii="Times New Roman" w:hAnsi="Times New Roman" w:cs="Times New Roman"/>
          <w:color w:val="000000"/>
          <w:sz w:val="24"/>
          <w:szCs w:val="24"/>
        </w:rPr>
      </w:pPr>
      <w:r w:rsidRPr="00543E99">
        <w:rPr>
          <w:rFonts w:ascii="Times New Roman" w:hAnsi="Times New Roman" w:cs="Times New Roman"/>
          <w:sz w:val="24"/>
          <w:szCs w:val="24"/>
        </w:rPr>
        <w:t xml:space="preserve">Proponowana zmiana w treści art. 229 ust. 8 pkt 2 lit. b ustawy o działalności ubezpieczeniowej wynika z implementacji art. 2 pkt 1 dyrektywy Parlamentu Europejskiego i Rady </w:t>
      </w:r>
      <w:r w:rsidR="00A10CEC">
        <w:rPr>
          <w:rFonts w:ascii="Times New Roman" w:hAnsi="Times New Roman" w:cs="Times New Roman"/>
          <w:sz w:val="24"/>
          <w:szCs w:val="24"/>
        </w:rPr>
        <w:t xml:space="preserve">(UE) 2019/2177 </w:t>
      </w:r>
      <w:r w:rsidRPr="00543E99">
        <w:rPr>
          <w:rFonts w:ascii="Times New Roman" w:hAnsi="Times New Roman" w:cs="Times New Roman"/>
          <w:sz w:val="24"/>
          <w:szCs w:val="24"/>
        </w:rPr>
        <w:t>z dnia 18</w:t>
      </w:r>
      <w:r w:rsidR="00B213A9">
        <w:rPr>
          <w:rFonts w:ascii="Times New Roman" w:hAnsi="Times New Roman" w:cs="Times New Roman"/>
          <w:sz w:val="24"/>
          <w:szCs w:val="24"/>
        </w:rPr>
        <w:t xml:space="preserve"> </w:t>
      </w:r>
      <w:r w:rsidRPr="00543E99">
        <w:rPr>
          <w:rFonts w:ascii="Times New Roman" w:hAnsi="Times New Roman" w:cs="Times New Roman"/>
          <w:sz w:val="24"/>
          <w:szCs w:val="24"/>
        </w:rPr>
        <w:t>grudnia</w:t>
      </w:r>
      <w:r w:rsidR="00B213A9">
        <w:rPr>
          <w:rFonts w:ascii="Times New Roman" w:hAnsi="Times New Roman" w:cs="Times New Roman"/>
          <w:sz w:val="24"/>
          <w:szCs w:val="24"/>
        </w:rPr>
        <w:t xml:space="preserve"> </w:t>
      </w:r>
      <w:r w:rsidRPr="00543E99">
        <w:rPr>
          <w:rFonts w:ascii="Times New Roman" w:hAnsi="Times New Roman" w:cs="Times New Roman"/>
          <w:sz w:val="24"/>
          <w:szCs w:val="24"/>
        </w:rPr>
        <w:t>2019</w:t>
      </w:r>
      <w:r w:rsidR="00B213A9">
        <w:rPr>
          <w:rFonts w:ascii="Times New Roman" w:hAnsi="Times New Roman" w:cs="Times New Roman"/>
          <w:sz w:val="24"/>
          <w:szCs w:val="24"/>
        </w:rPr>
        <w:t xml:space="preserve"> </w:t>
      </w:r>
      <w:r w:rsidRPr="00543E99">
        <w:rPr>
          <w:rFonts w:ascii="Times New Roman" w:hAnsi="Times New Roman" w:cs="Times New Roman"/>
          <w:sz w:val="24"/>
          <w:szCs w:val="24"/>
        </w:rPr>
        <w:t>r. zmieniającej dyrektywę 2009/138/WE w</w:t>
      </w:r>
      <w:r w:rsidR="00B213A9">
        <w:rPr>
          <w:rFonts w:ascii="Times New Roman" w:hAnsi="Times New Roman" w:cs="Times New Roman"/>
          <w:sz w:val="24"/>
          <w:szCs w:val="24"/>
        </w:rPr>
        <w:t xml:space="preserve"> </w:t>
      </w:r>
      <w:r w:rsidRPr="00543E99">
        <w:rPr>
          <w:rFonts w:ascii="Times New Roman" w:hAnsi="Times New Roman" w:cs="Times New Roman"/>
          <w:sz w:val="24"/>
          <w:szCs w:val="24"/>
        </w:rPr>
        <w:t>sprawie podejmowania i</w:t>
      </w:r>
      <w:r w:rsidR="00B213A9">
        <w:rPr>
          <w:rFonts w:ascii="Times New Roman" w:hAnsi="Times New Roman" w:cs="Times New Roman"/>
          <w:sz w:val="24"/>
          <w:szCs w:val="24"/>
        </w:rPr>
        <w:t xml:space="preserve"> </w:t>
      </w:r>
      <w:r w:rsidRPr="00543E99">
        <w:rPr>
          <w:rFonts w:ascii="Times New Roman" w:hAnsi="Times New Roman" w:cs="Times New Roman"/>
          <w:sz w:val="24"/>
          <w:szCs w:val="24"/>
        </w:rPr>
        <w:t>prowadzenia działalności ubezpieczeniowej i</w:t>
      </w:r>
      <w:r w:rsidR="00B213A9">
        <w:rPr>
          <w:rFonts w:ascii="Times New Roman" w:hAnsi="Times New Roman" w:cs="Times New Roman"/>
          <w:sz w:val="24"/>
          <w:szCs w:val="24"/>
        </w:rPr>
        <w:t xml:space="preserve"> </w:t>
      </w:r>
      <w:r w:rsidRPr="00543E99">
        <w:rPr>
          <w:rFonts w:ascii="Times New Roman" w:hAnsi="Times New Roman" w:cs="Times New Roman"/>
          <w:sz w:val="24"/>
          <w:szCs w:val="24"/>
        </w:rPr>
        <w:t>reasekuracyjnej (Wypłacalność II), dyrektywę 2014/65/UE w sprawie rynków instrumentów finansowych oraz dyrektywę (UE) 2015/849 w sprawie zapobiegania wykorzystywaniu systemu finansowego do prania pieniędzy lub finansowania terroryzmu</w:t>
      </w:r>
      <w:r w:rsidR="002D6181">
        <w:rPr>
          <w:rFonts w:ascii="Times New Roman" w:hAnsi="Times New Roman" w:cs="Times New Roman"/>
          <w:sz w:val="24"/>
          <w:szCs w:val="24"/>
        </w:rPr>
        <w:t>, który zmienia art. 77d ust. 4 dyrektywy Wypłacalność II</w:t>
      </w:r>
      <w:r>
        <w:rPr>
          <w:rFonts w:ascii="Times New Roman" w:hAnsi="Times New Roman" w:cs="Times New Roman"/>
          <w:color w:val="444444"/>
          <w:sz w:val="24"/>
          <w:szCs w:val="24"/>
        </w:rPr>
        <w:t>.</w:t>
      </w:r>
      <w:r w:rsidRPr="00543E99">
        <w:rPr>
          <w:color w:val="444444"/>
          <w:sz w:val="27"/>
          <w:szCs w:val="27"/>
        </w:rPr>
        <w:t xml:space="preserve"> </w:t>
      </w:r>
      <w:r>
        <w:rPr>
          <w:rFonts w:ascii="Times New Roman" w:hAnsi="Times New Roman" w:cs="Times New Roman"/>
          <w:sz w:val="24"/>
          <w:szCs w:val="24"/>
        </w:rPr>
        <w:t>Zgodnie z treścią motywu 6 dyrektywy 2019/2177 w</w:t>
      </w:r>
      <w:r>
        <w:rPr>
          <w:rFonts w:ascii="Times New Roman" w:hAnsi="Times New Roman" w:cs="Times New Roman"/>
          <w:color w:val="000000"/>
          <w:sz w:val="24"/>
          <w:szCs w:val="24"/>
        </w:rPr>
        <w:t xml:space="preserve"> dyrektywie 2009/138/WE przewidziano, że korekta z tytułu zmienności obejmuje komponent dotyczący danego państwa. W celu zapewnienia, by komponent ten skutecznie łagodził skutki nadmiernych spreadów obligacji w danym państwie, w celu jego uruchomienia należy ustanowić odpowiedni próg spreadu dla tego państwa skorygowanego o ryzyko.</w:t>
      </w:r>
      <w:r w:rsidR="0095183A">
        <w:rPr>
          <w:rFonts w:ascii="Times New Roman" w:hAnsi="Times New Roman" w:cs="Times New Roman"/>
          <w:color w:val="000000"/>
          <w:sz w:val="24"/>
          <w:szCs w:val="24"/>
        </w:rPr>
        <w:t xml:space="preserve"> </w:t>
      </w:r>
    </w:p>
    <w:p w:rsidR="001763FA" w:rsidRPr="001763FA" w:rsidRDefault="00543E99" w:rsidP="00B213A9">
      <w:pPr>
        <w:widowControl w:val="0"/>
        <w:autoSpaceDE w:val="0"/>
        <w:autoSpaceDN w:val="0"/>
        <w:adjustRightInd w:val="0"/>
        <w:spacing w:line="360" w:lineRule="auto"/>
        <w:jc w:val="both"/>
        <w:rPr>
          <w:rFonts w:ascii="Times New Roman" w:hAnsi="Times New Roman" w:cs="Times New Roman"/>
          <w:sz w:val="24"/>
          <w:szCs w:val="24"/>
        </w:rPr>
      </w:pPr>
      <w:r w:rsidRPr="00940D95">
        <w:rPr>
          <w:rFonts w:ascii="Times New Roman" w:hAnsi="Times New Roman" w:cs="Times New Roman"/>
          <w:color w:val="000000"/>
          <w:sz w:val="24"/>
          <w:szCs w:val="24"/>
        </w:rPr>
        <w:t xml:space="preserve">Przepis </w:t>
      </w:r>
      <w:r w:rsidR="00B31AB7" w:rsidRPr="00940D95">
        <w:rPr>
          <w:rFonts w:ascii="Times New Roman" w:hAnsi="Times New Roman" w:cs="Times New Roman"/>
          <w:sz w:val="24"/>
          <w:szCs w:val="24"/>
        </w:rPr>
        <w:t xml:space="preserve">art. 229 ustawy o działalności ubezpieczeniowej implementuje </w:t>
      </w:r>
      <w:r w:rsidRPr="00940D95">
        <w:rPr>
          <w:rFonts w:ascii="Times New Roman" w:hAnsi="Times New Roman" w:cs="Times New Roman"/>
          <w:sz w:val="24"/>
          <w:szCs w:val="24"/>
        </w:rPr>
        <w:t>a</w:t>
      </w:r>
      <w:r w:rsidR="00156CDE" w:rsidRPr="00940D95">
        <w:rPr>
          <w:rFonts w:ascii="Times New Roman" w:hAnsi="Times New Roman" w:cs="Times New Roman"/>
          <w:sz w:val="24"/>
          <w:szCs w:val="24"/>
        </w:rPr>
        <w:t>rt. 77d dyrektywy Wypłacalność II odnos</w:t>
      </w:r>
      <w:r w:rsidR="00B31AB7" w:rsidRPr="00940D95">
        <w:rPr>
          <w:rFonts w:ascii="Times New Roman" w:hAnsi="Times New Roman" w:cs="Times New Roman"/>
          <w:sz w:val="24"/>
          <w:szCs w:val="24"/>
        </w:rPr>
        <w:t xml:space="preserve">zący </w:t>
      </w:r>
      <w:r w:rsidR="00156CDE" w:rsidRPr="00940D95">
        <w:rPr>
          <w:rFonts w:ascii="Times New Roman" w:hAnsi="Times New Roman" w:cs="Times New Roman"/>
          <w:sz w:val="24"/>
          <w:szCs w:val="24"/>
        </w:rPr>
        <w:t xml:space="preserve">się do możliwości stosowania przez zakłady ubezpieczeń i zakłady reasekuracji oraz obliczania korekty z tytułu zmienności do odpowiedniej stopy procentowej wolnej od ryzyka. Zgodnie z art. 77f ust. 1 dyrektywy Wypłacalność II Europejski Urząd Nadzoru Ubezpieczeń i Pracowniczych Programów Emerytalnych (EIOPA) corocznie przeprowadza badanie dotyczące stosowania środków dotyczących gwarancji długoterminowych w ramach produktów ubezpieczeniowych i środków w zakresie ryzyka związanego z inwestowaniem w akcje. Wiąże się to z obowiązkiem EIOPA w zakresie przygotowywania dla Komisji Europejskiej sprawozdania dotyczącego skutków stosowania wskazanych w poprzednim zdaniu środków. Sprawozdanie EIOPA przedstawia wyniki powyższego badania, które obejmują m.in. wpływ korekty z </w:t>
      </w:r>
      <w:r w:rsidR="00B213A9">
        <w:rPr>
          <w:rFonts w:ascii="Times New Roman" w:hAnsi="Times New Roman" w:cs="Times New Roman"/>
          <w:sz w:val="24"/>
          <w:szCs w:val="24"/>
        </w:rPr>
        <w:t>tytułu zmienności na sytuację i </w:t>
      </w:r>
      <w:r w:rsidR="00156CDE" w:rsidRPr="00940D95">
        <w:rPr>
          <w:rFonts w:ascii="Times New Roman" w:hAnsi="Times New Roman" w:cs="Times New Roman"/>
          <w:sz w:val="24"/>
          <w:szCs w:val="24"/>
        </w:rPr>
        <w:t xml:space="preserve">stabilność finansową zakładów ubezpieczeń i zakładów reasekuracji na szczeblu krajowym oraz na zachowanie inwestycyjne tych podmiotów. Badanie odbywa się przy współpracy krajowych organów nadzoru. Zgodnie z art. 77d ust. 4 dyrektywy Wypłacalność II obowiązujący próg spreadu dla danego państwa, skorygowanego o ryzyko wynosi 100 punktów </w:t>
      </w:r>
      <w:r w:rsidR="00156CDE" w:rsidRPr="00940D95">
        <w:rPr>
          <w:rFonts w:ascii="Times New Roman" w:hAnsi="Times New Roman" w:cs="Times New Roman"/>
          <w:sz w:val="24"/>
          <w:szCs w:val="24"/>
        </w:rPr>
        <w:lastRenderedPageBreak/>
        <w:t>bazowych. Równocześnie z badania EIOPA za rok 2018 i informacji otrzymanej z Urzędu Komisji Nadzoru Finansowego wynika, że spread skorygow</w:t>
      </w:r>
      <w:r w:rsidR="00B213A9">
        <w:rPr>
          <w:rFonts w:ascii="Times New Roman" w:hAnsi="Times New Roman" w:cs="Times New Roman"/>
          <w:sz w:val="24"/>
          <w:szCs w:val="24"/>
        </w:rPr>
        <w:t>any o ryzyko był wyższy niż 100 </w:t>
      </w:r>
      <w:r w:rsidR="00156CDE" w:rsidRPr="00940D95">
        <w:rPr>
          <w:rFonts w:ascii="Times New Roman" w:hAnsi="Times New Roman" w:cs="Times New Roman"/>
          <w:sz w:val="24"/>
          <w:szCs w:val="24"/>
        </w:rPr>
        <w:t xml:space="preserve">punktów </w:t>
      </w:r>
      <w:r w:rsidR="00156CDE" w:rsidRPr="001763FA">
        <w:rPr>
          <w:rFonts w:ascii="Times New Roman" w:hAnsi="Times New Roman" w:cs="Times New Roman"/>
          <w:sz w:val="24"/>
          <w:szCs w:val="24"/>
        </w:rPr>
        <w:t>bazowych wyłącznie w przypadku Rumunii. Komisja Europejska uznała, że należy obniżyć próg spreadu do 85 punktów bazowych.</w:t>
      </w:r>
      <w:r w:rsidR="001763FA" w:rsidRPr="001763FA">
        <w:rPr>
          <w:rFonts w:ascii="Times New Roman" w:hAnsi="Times New Roman" w:cs="Times New Roman"/>
          <w:sz w:val="24"/>
          <w:szCs w:val="24"/>
        </w:rPr>
        <w:t xml:space="preserve"> </w:t>
      </w:r>
    </w:p>
    <w:p w:rsidR="001763FA" w:rsidRPr="001763FA" w:rsidRDefault="001763FA" w:rsidP="007C35AC">
      <w:pPr>
        <w:spacing w:line="360" w:lineRule="auto"/>
        <w:jc w:val="both"/>
        <w:rPr>
          <w:rFonts w:ascii="Times New Roman" w:hAnsi="Times New Roman" w:cs="Times New Roman"/>
          <w:sz w:val="24"/>
          <w:szCs w:val="24"/>
        </w:rPr>
      </w:pPr>
      <w:r w:rsidRPr="001763FA">
        <w:rPr>
          <w:rFonts w:ascii="Times New Roman" w:hAnsi="Times New Roman" w:cs="Times New Roman"/>
          <w:sz w:val="24"/>
          <w:szCs w:val="24"/>
        </w:rPr>
        <w:t xml:space="preserve">W związku ze zmianą brzmienia art. 229 ust. 8 pkt 2 lit. b ustawy o działalności ubezpieczeniowej dotyczącego korekty z tytułu zmienności do odpowiedniej struktury terminowej stopy procentowej wolnej od ryzyka nie istnieje konieczność wprowadzania przepisu przejściowego. Dotychczas krajowe zakłady ubezpieczeń i zakłady reasekuracji nie stosowały korekty z tytułu zmienności. W przypadku gdyby zdecydowały się na stosowanie korekty z tytułu zmienności, obliczenia byłyby dokonywane </w:t>
      </w:r>
      <w:r w:rsidR="00B213A9">
        <w:rPr>
          <w:rFonts w:ascii="Times New Roman" w:hAnsi="Times New Roman" w:cs="Times New Roman"/>
          <w:sz w:val="24"/>
          <w:szCs w:val="24"/>
        </w:rPr>
        <w:t>w oparciu o uaktualniane dane i </w:t>
      </w:r>
      <w:r w:rsidRPr="001763FA">
        <w:rPr>
          <w:rFonts w:ascii="Times New Roman" w:hAnsi="Times New Roman" w:cs="Times New Roman"/>
          <w:sz w:val="24"/>
          <w:szCs w:val="24"/>
        </w:rPr>
        <w:t xml:space="preserve">informacje techniczne, o których mowa w art. 230 ustawy o działalności ubezpieczeniowej. </w:t>
      </w:r>
    </w:p>
    <w:p w:rsidR="001763FA" w:rsidRPr="001763FA" w:rsidRDefault="001763FA" w:rsidP="007C35AC">
      <w:pPr>
        <w:spacing w:line="360" w:lineRule="auto"/>
        <w:jc w:val="both"/>
        <w:rPr>
          <w:rFonts w:ascii="Times New Roman" w:hAnsi="Times New Roman" w:cs="Times New Roman"/>
          <w:sz w:val="24"/>
          <w:szCs w:val="24"/>
        </w:rPr>
      </w:pPr>
      <w:r w:rsidRPr="001763FA">
        <w:rPr>
          <w:rFonts w:ascii="Times New Roman" w:hAnsi="Times New Roman" w:cs="Times New Roman"/>
          <w:sz w:val="24"/>
          <w:szCs w:val="24"/>
        </w:rPr>
        <w:t>Art. 230 ustawy o działalności ubezpieczeniowej reguluje stosowanie przez krajowe zakłady ubezpieczeń i zakłady reasekuracji danych i informacji technicznych wskazanych w aktach wykonawczych wydanych przez Komisj</w:t>
      </w:r>
      <w:r w:rsidR="00B213A9">
        <w:rPr>
          <w:rFonts w:ascii="Times New Roman" w:hAnsi="Times New Roman" w:cs="Times New Roman"/>
          <w:sz w:val="24"/>
          <w:szCs w:val="24"/>
        </w:rPr>
        <w:t>ę</w:t>
      </w:r>
      <w:r w:rsidRPr="001763FA">
        <w:rPr>
          <w:rFonts w:ascii="Times New Roman" w:hAnsi="Times New Roman" w:cs="Times New Roman"/>
          <w:sz w:val="24"/>
          <w:szCs w:val="24"/>
        </w:rPr>
        <w:t xml:space="preserve"> Europejską oraz opracowanych i opublikowanych przez EIOPA. Zgodnie z art. 77e ust. 1 dyrektywy Wypłacalność II dane i informacje techniczne opracowane i publikowane przez EIOPA dotyczą m.in. odpowiedniej struktury terminowej stopy procentowej wolnej od ryzyka oraz korekty z tytułu zmienności do odpowiedniej struktury terminowej stopy procentowej wolnej od ryzyka dla każdego rynku krajowego państw członkowskich UE. Zgodnie z art. 77e ust. 2 dyrektywy Wypłacalność II akty wykonawcze, które Komisja Europejska może przyjąć, mają</w:t>
      </w:r>
      <w:r w:rsidR="00A0579D">
        <w:rPr>
          <w:rFonts w:ascii="Times New Roman" w:hAnsi="Times New Roman" w:cs="Times New Roman"/>
          <w:sz w:val="24"/>
          <w:szCs w:val="24"/>
        </w:rPr>
        <w:t xml:space="preserve"> na</w:t>
      </w:r>
      <w:r w:rsidRPr="001763FA">
        <w:rPr>
          <w:rFonts w:ascii="Times New Roman" w:hAnsi="Times New Roman" w:cs="Times New Roman"/>
          <w:sz w:val="24"/>
          <w:szCs w:val="24"/>
        </w:rPr>
        <w:t xml:space="preserve"> celu ustanowienie jednolitych warunków ustalania wartości rezerw techniczno-ubezpieczeniowych dla celów wypłacalności oraz podstawowych środków własnych i wykorzystują dane opracowane przez EIOPA. </w:t>
      </w:r>
    </w:p>
    <w:p w:rsidR="001763FA" w:rsidRPr="001763FA" w:rsidRDefault="001763FA" w:rsidP="007C35AC">
      <w:pPr>
        <w:spacing w:line="360" w:lineRule="auto"/>
        <w:jc w:val="both"/>
        <w:rPr>
          <w:rFonts w:ascii="Times New Roman" w:hAnsi="Times New Roman" w:cs="Times New Roman"/>
          <w:sz w:val="24"/>
          <w:szCs w:val="24"/>
        </w:rPr>
      </w:pPr>
      <w:r w:rsidRPr="001763FA">
        <w:rPr>
          <w:rFonts w:ascii="Times New Roman" w:hAnsi="Times New Roman" w:cs="Times New Roman"/>
          <w:sz w:val="24"/>
          <w:szCs w:val="24"/>
        </w:rPr>
        <w:t xml:space="preserve">Podmioty krajowego rynku ubezpieczeniowego są obowiązane do stosowania przy ustalaniu wartości rezerw techniczno-ubezpieczeniowych dla celów wypłacalności oraz obliczaniu korekty z tytułu zmienności danych i informacji wskazanych w aktach wykonawczych wydanych przez Komisję Europejską, a w przypadku gdy takie akty nie zostały wydane, danych i informacji technicznych opracowanych i opublikowanych </w:t>
      </w:r>
      <w:r>
        <w:rPr>
          <w:rFonts w:ascii="Times New Roman" w:hAnsi="Times New Roman" w:cs="Times New Roman"/>
          <w:sz w:val="24"/>
          <w:szCs w:val="24"/>
        </w:rPr>
        <w:t xml:space="preserve">przez EIOPA. </w:t>
      </w:r>
      <w:r w:rsidRPr="001763FA">
        <w:rPr>
          <w:rFonts w:ascii="Times New Roman" w:hAnsi="Times New Roman" w:cs="Times New Roman"/>
          <w:sz w:val="24"/>
          <w:szCs w:val="24"/>
        </w:rPr>
        <w:t xml:space="preserve">Zgodnie z art. 77e ust. 1 dyrektywy Wypłacalność II (oraz w praktyce) EIOPA opracowuje i publikuje takie dane i informacje techniczne dla każdej odpowiedniej waluty co najmniej raz na kwartał. EIOPA powiadamia o dacie, od której zakłady ubezpieczeń i zakłady reasekuracji mają stosować uaktualnione dane i informacje techniczne. Ze względu na opisany powyżej sposób obliczania </w:t>
      </w:r>
      <w:r w:rsidRPr="001763FA">
        <w:rPr>
          <w:rFonts w:ascii="Times New Roman" w:hAnsi="Times New Roman" w:cs="Times New Roman"/>
          <w:sz w:val="24"/>
          <w:szCs w:val="24"/>
        </w:rPr>
        <w:lastRenderedPageBreak/>
        <w:t>korekty z tytułu zmienności w oparciu o dane i informacj</w:t>
      </w:r>
      <w:r w:rsidR="00B213A9">
        <w:rPr>
          <w:rFonts w:ascii="Times New Roman" w:hAnsi="Times New Roman" w:cs="Times New Roman"/>
          <w:sz w:val="24"/>
          <w:szCs w:val="24"/>
        </w:rPr>
        <w:t>e techniczne opracowane i </w:t>
      </w:r>
      <w:r w:rsidRPr="001763FA">
        <w:rPr>
          <w:rFonts w:ascii="Times New Roman" w:hAnsi="Times New Roman" w:cs="Times New Roman"/>
          <w:sz w:val="24"/>
          <w:szCs w:val="24"/>
        </w:rPr>
        <w:t>opublikowane przez EIOPA</w:t>
      </w:r>
      <w:r w:rsidR="000D1526">
        <w:rPr>
          <w:rFonts w:ascii="Times New Roman" w:hAnsi="Times New Roman" w:cs="Times New Roman"/>
          <w:sz w:val="24"/>
          <w:szCs w:val="24"/>
        </w:rPr>
        <w:t>,</w:t>
      </w:r>
      <w:r w:rsidRPr="001763FA">
        <w:rPr>
          <w:rFonts w:ascii="Times New Roman" w:hAnsi="Times New Roman" w:cs="Times New Roman"/>
          <w:sz w:val="24"/>
          <w:szCs w:val="24"/>
        </w:rPr>
        <w:t xml:space="preserve"> nie będzie konieczne wprowadzanie przepisu przejściowego. </w:t>
      </w:r>
    </w:p>
    <w:p w:rsidR="00A140E1" w:rsidRDefault="00D221CF" w:rsidP="007C35AC">
      <w:pPr>
        <w:autoSpaceDE w:val="0"/>
        <w:autoSpaceDN w:val="0"/>
        <w:spacing w:after="120" w:line="360" w:lineRule="auto"/>
        <w:jc w:val="both"/>
        <w:rPr>
          <w:rFonts w:ascii="Times New Roman" w:hAnsi="Times New Roman" w:cs="Times New Roman"/>
          <w:sz w:val="24"/>
          <w:szCs w:val="24"/>
        </w:rPr>
      </w:pPr>
      <w:r w:rsidRPr="001763FA">
        <w:rPr>
          <w:rFonts w:ascii="Times New Roman" w:hAnsi="Times New Roman" w:cs="Times New Roman"/>
          <w:sz w:val="24"/>
          <w:szCs w:val="24"/>
        </w:rPr>
        <w:t>P</w:t>
      </w:r>
      <w:r w:rsidR="00A140E1" w:rsidRPr="001763FA">
        <w:rPr>
          <w:rFonts w:ascii="Times New Roman" w:hAnsi="Times New Roman" w:cs="Times New Roman"/>
          <w:sz w:val="24"/>
          <w:szCs w:val="24"/>
        </w:rPr>
        <w:t xml:space="preserve">roponuje się, żeby </w:t>
      </w:r>
      <w:r w:rsidR="00384C70" w:rsidRPr="001763FA">
        <w:rPr>
          <w:rFonts w:ascii="Times New Roman" w:hAnsi="Times New Roman" w:cs="Times New Roman"/>
          <w:sz w:val="24"/>
          <w:szCs w:val="24"/>
        </w:rPr>
        <w:t xml:space="preserve">projektowana </w:t>
      </w:r>
      <w:r w:rsidR="00A140E1" w:rsidRPr="001763FA">
        <w:rPr>
          <w:rFonts w:ascii="Times New Roman" w:hAnsi="Times New Roman" w:cs="Times New Roman"/>
          <w:sz w:val="24"/>
          <w:szCs w:val="24"/>
        </w:rPr>
        <w:t>ustawa</w:t>
      </w:r>
      <w:r w:rsidR="008F3F03" w:rsidRPr="001763FA">
        <w:rPr>
          <w:rFonts w:ascii="Times New Roman" w:hAnsi="Times New Roman" w:cs="Times New Roman"/>
          <w:sz w:val="24"/>
          <w:szCs w:val="24"/>
        </w:rPr>
        <w:t>, z</w:t>
      </w:r>
      <w:r w:rsidR="008F3F03">
        <w:rPr>
          <w:rFonts w:ascii="Times New Roman" w:hAnsi="Times New Roman" w:cs="Times New Roman"/>
          <w:sz w:val="24"/>
          <w:szCs w:val="24"/>
        </w:rPr>
        <w:t xml:space="preserve"> wyjątkiem art. 2 pkt 2, </w:t>
      </w:r>
      <w:r w:rsidR="00A140E1" w:rsidRPr="003A7E4C">
        <w:rPr>
          <w:rFonts w:ascii="Times New Roman" w:hAnsi="Times New Roman" w:cs="Times New Roman"/>
          <w:sz w:val="24"/>
          <w:szCs w:val="24"/>
        </w:rPr>
        <w:t xml:space="preserve">weszła w życie </w:t>
      </w:r>
      <w:r w:rsidR="000E1EB6" w:rsidRPr="003A7E4C">
        <w:rPr>
          <w:rFonts w:ascii="Times New Roman" w:hAnsi="Times New Roman" w:cs="Times New Roman"/>
          <w:sz w:val="24"/>
          <w:szCs w:val="24"/>
        </w:rPr>
        <w:t xml:space="preserve">po upływie </w:t>
      </w:r>
      <w:r w:rsidR="004C1007" w:rsidRPr="003A7E4C">
        <w:rPr>
          <w:rFonts w:ascii="Times New Roman" w:hAnsi="Times New Roman" w:cs="Times New Roman"/>
          <w:sz w:val="24"/>
          <w:szCs w:val="24"/>
        </w:rPr>
        <w:t>14</w:t>
      </w:r>
      <w:r w:rsidR="00A140E1" w:rsidRPr="003A7E4C">
        <w:rPr>
          <w:rFonts w:ascii="Times New Roman" w:hAnsi="Times New Roman" w:cs="Times New Roman"/>
          <w:sz w:val="24"/>
          <w:szCs w:val="24"/>
        </w:rPr>
        <w:t xml:space="preserve"> dni od dnia ogłoszenia</w:t>
      </w:r>
      <w:r w:rsidR="00541018">
        <w:rPr>
          <w:rFonts w:ascii="Times New Roman" w:hAnsi="Times New Roman" w:cs="Times New Roman"/>
          <w:sz w:val="24"/>
          <w:szCs w:val="24"/>
        </w:rPr>
        <w:t>.</w:t>
      </w:r>
      <w:r w:rsidR="0011564E">
        <w:rPr>
          <w:rFonts w:ascii="Times New Roman" w:hAnsi="Times New Roman" w:cs="Times New Roman"/>
          <w:sz w:val="24"/>
          <w:szCs w:val="24"/>
        </w:rPr>
        <w:t xml:space="preserve"> </w:t>
      </w:r>
      <w:r w:rsidR="00A140E1" w:rsidRPr="003A7E4C">
        <w:rPr>
          <w:rFonts w:ascii="Times New Roman" w:hAnsi="Times New Roman" w:cs="Times New Roman"/>
          <w:sz w:val="24"/>
          <w:szCs w:val="24"/>
        </w:rPr>
        <w:t xml:space="preserve">Wejście w życie ustawy </w:t>
      </w:r>
      <w:r w:rsidR="000E1EB6" w:rsidRPr="003A7E4C">
        <w:rPr>
          <w:rFonts w:ascii="Times New Roman" w:hAnsi="Times New Roman" w:cs="Times New Roman"/>
          <w:sz w:val="24"/>
          <w:szCs w:val="24"/>
        </w:rPr>
        <w:t xml:space="preserve">po upływie </w:t>
      </w:r>
      <w:r w:rsidR="004C1007" w:rsidRPr="003A7E4C">
        <w:rPr>
          <w:rFonts w:ascii="Times New Roman" w:hAnsi="Times New Roman" w:cs="Times New Roman"/>
          <w:sz w:val="24"/>
          <w:szCs w:val="24"/>
        </w:rPr>
        <w:t>14</w:t>
      </w:r>
      <w:r w:rsidR="00A140E1" w:rsidRPr="003A7E4C">
        <w:rPr>
          <w:rFonts w:ascii="Times New Roman" w:hAnsi="Times New Roman" w:cs="Times New Roman"/>
          <w:sz w:val="24"/>
          <w:szCs w:val="24"/>
        </w:rPr>
        <w:t xml:space="preserve"> dni od dnia ogłoszenia nie spowoduje negatywnych skutków dla zakładów ubezpieczeń i zakładów reasekuracji. </w:t>
      </w:r>
      <w:r w:rsidR="004C1007" w:rsidRPr="003A7E4C">
        <w:rPr>
          <w:rFonts w:ascii="Times New Roman" w:hAnsi="Times New Roman" w:cs="Times New Roman"/>
          <w:sz w:val="24"/>
          <w:szCs w:val="24"/>
        </w:rPr>
        <w:t xml:space="preserve">Takie rozwiązanie będzie również korzystne z punktu widzenia skuteczności nadzoru nad rynkiem ubezpieczeń w Polsce. </w:t>
      </w:r>
      <w:r w:rsidR="00B31AB7">
        <w:rPr>
          <w:rFonts w:ascii="Times New Roman" w:hAnsi="Times New Roman" w:cs="Times New Roman"/>
          <w:sz w:val="24"/>
          <w:szCs w:val="24"/>
        </w:rPr>
        <w:t>Proponuje się również, aby przepis art. 2 pkt 2 wszedł w życie z dniem 1 lipca 2020 r., co wynika z treści art. 4 ust. 3 zdanie drugie</w:t>
      </w:r>
      <w:r w:rsidR="00B213A9">
        <w:rPr>
          <w:rFonts w:ascii="Times New Roman" w:hAnsi="Times New Roman" w:cs="Times New Roman"/>
          <w:sz w:val="24"/>
          <w:szCs w:val="24"/>
        </w:rPr>
        <w:t xml:space="preserve"> dyrektywy 2019/2177, zgodnie z </w:t>
      </w:r>
      <w:r w:rsidR="00B31AB7">
        <w:rPr>
          <w:rFonts w:ascii="Times New Roman" w:hAnsi="Times New Roman" w:cs="Times New Roman"/>
          <w:sz w:val="24"/>
          <w:szCs w:val="24"/>
        </w:rPr>
        <w:t>którym p</w:t>
      </w:r>
      <w:r w:rsidR="00B31AB7">
        <w:rPr>
          <w:rFonts w:ascii="Times New Roman" w:hAnsi="Times New Roman" w:cs="Times New Roman"/>
          <w:color w:val="000000"/>
          <w:sz w:val="24"/>
          <w:szCs w:val="24"/>
        </w:rPr>
        <w:t>aństwa członkowskie Unii Europejskiej są obowiązane rozpocząć stosowanie przepisów w odniesieniu do art. 2 pkt 1 dyrektywy 2019/2177 do dnia 1 lipca 2020 r.</w:t>
      </w:r>
      <w:r w:rsidR="00581BAE">
        <w:rPr>
          <w:rFonts w:ascii="Times New Roman" w:hAnsi="Times New Roman" w:cs="Times New Roman"/>
          <w:color w:val="000000"/>
          <w:sz w:val="24"/>
          <w:szCs w:val="24"/>
        </w:rPr>
        <w:t xml:space="preserve"> </w:t>
      </w:r>
      <w:r w:rsidR="00A140E1" w:rsidRPr="003A7E4C">
        <w:rPr>
          <w:rFonts w:ascii="Times New Roman" w:hAnsi="Times New Roman" w:cs="Times New Roman"/>
          <w:sz w:val="24"/>
          <w:szCs w:val="24"/>
        </w:rPr>
        <w:t>Powyższe uzasadnia, zgodnie z § 1 ust. 2 uchwały nr 20 Rady Minis</w:t>
      </w:r>
      <w:r w:rsidR="00B213A9">
        <w:rPr>
          <w:rFonts w:ascii="Times New Roman" w:hAnsi="Times New Roman" w:cs="Times New Roman"/>
          <w:sz w:val="24"/>
          <w:szCs w:val="24"/>
        </w:rPr>
        <w:t>trów z dnia 18 lutego 2014 r. w </w:t>
      </w:r>
      <w:r w:rsidR="00A140E1" w:rsidRPr="003A7E4C">
        <w:rPr>
          <w:rFonts w:ascii="Times New Roman" w:hAnsi="Times New Roman" w:cs="Times New Roman"/>
          <w:sz w:val="24"/>
          <w:szCs w:val="24"/>
        </w:rPr>
        <w:t xml:space="preserve">sprawie zaleceń ujednolicenia terminów wejścia w życie niektórych aktów normatywnych (M.P. poz. 205), odstąpienie od zasady określonej w § 1 ust. 1 tej uchwały, w świetle której jeżeli akt normatywny zawiera przepisy określające warunki wykonywania działalności gospodarczej, termin wejścia w życie tego aktu normatywnego powinien być wyznaczony na dzień 1 stycznia albo 1 czerwca. </w:t>
      </w:r>
    </w:p>
    <w:p w:rsidR="00A140E1" w:rsidRPr="003A7E4C" w:rsidRDefault="00A140E1" w:rsidP="007C35AC">
      <w:pPr>
        <w:spacing w:line="360" w:lineRule="auto"/>
        <w:jc w:val="both"/>
        <w:rPr>
          <w:rFonts w:ascii="Times New Roman" w:hAnsi="Times New Roman" w:cs="Times New Roman"/>
          <w:color w:val="000000"/>
          <w:spacing w:val="-2"/>
          <w:sz w:val="24"/>
          <w:szCs w:val="24"/>
        </w:rPr>
      </w:pPr>
      <w:r w:rsidRPr="003A7E4C">
        <w:rPr>
          <w:rFonts w:ascii="Times New Roman" w:hAnsi="Times New Roman" w:cs="Times New Roman"/>
          <w:color w:val="000000"/>
          <w:spacing w:val="-2"/>
          <w:sz w:val="24"/>
          <w:szCs w:val="24"/>
        </w:rPr>
        <w:t>Wprowadzenie proponowanych zmian nie będzie miało wpływu na sektor mikro</w:t>
      </w:r>
      <w:r w:rsidR="00B213A9">
        <w:rPr>
          <w:rFonts w:ascii="Times New Roman" w:hAnsi="Times New Roman" w:cs="Times New Roman"/>
          <w:color w:val="000000"/>
          <w:spacing w:val="-2"/>
          <w:sz w:val="24"/>
          <w:szCs w:val="24"/>
        </w:rPr>
        <w:t>-, małych i </w:t>
      </w:r>
      <w:r w:rsidRPr="003A7E4C">
        <w:rPr>
          <w:rFonts w:ascii="Times New Roman" w:hAnsi="Times New Roman" w:cs="Times New Roman"/>
          <w:color w:val="000000"/>
          <w:spacing w:val="-2"/>
          <w:sz w:val="24"/>
          <w:szCs w:val="24"/>
        </w:rPr>
        <w:t>średnich przedsiębiorstw.</w:t>
      </w:r>
      <w:r w:rsidR="0086008F">
        <w:rPr>
          <w:rFonts w:ascii="Times New Roman" w:hAnsi="Times New Roman" w:cs="Times New Roman"/>
          <w:color w:val="000000"/>
          <w:spacing w:val="-2"/>
          <w:sz w:val="24"/>
          <w:szCs w:val="24"/>
        </w:rPr>
        <w:t xml:space="preserve"> Zawarte w projekcie regulacje nie są sprzeczne z przepisami ustawy z dnia 6 marca 2018 r. – Prawo przedsiębiorców (Dz. U. z 2019 r. poz. 1292</w:t>
      </w:r>
      <w:r w:rsidR="00E63476">
        <w:rPr>
          <w:rFonts w:ascii="Times New Roman" w:hAnsi="Times New Roman" w:cs="Times New Roman"/>
          <w:color w:val="000000"/>
          <w:spacing w:val="-2"/>
          <w:sz w:val="24"/>
          <w:szCs w:val="24"/>
        </w:rPr>
        <w:t>, z późn. zm.</w:t>
      </w:r>
      <w:r w:rsidR="0086008F">
        <w:rPr>
          <w:rFonts w:ascii="Times New Roman" w:hAnsi="Times New Roman" w:cs="Times New Roman"/>
          <w:color w:val="000000"/>
          <w:spacing w:val="-2"/>
          <w:sz w:val="24"/>
          <w:szCs w:val="24"/>
        </w:rPr>
        <w:t>).</w:t>
      </w:r>
    </w:p>
    <w:p w:rsidR="00C20596" w:rsidRPr="003A7E4C" w:rsidRDefault="00C20596" w:rsidP="007C35AC">
      <w:pPr>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Projekt nie wymaga przedstawiania go organom i instytucjom Unii Europejskiej w celu uzyskania opinii, dokonania powiadomienia, konsultacji albo uzgodnienia. W szczególności, zgodnie z art. 2 ust. 1 decyzji Rady 98/415/WE z dnia 29 czerwca 1998 r. w sprawie konsultacji Europejskiego Banku Centralnego udzielanych władzom krajowym w sprawie projektów przepisów prawnych (Dz.</w:t>
      </w:r>
      <w:r w:rsidR="00AC4C0E">
        <w:rPr>
          <w:rFonts w:ascii="Times New Roman" w:hAnsi="Times New Roman" w:cs="Times New Roman"/>
          <w:sz w:val="24"/>
          <w:szCs w:val="24"/>
        </w:rPr>
        <w:t xml:space="preserve"> </w:t>
      </w:r>
      <w:r w:rsidRPr="003A7E4C">
        <w:rPr>
          <w:rFonts w:ascii="Times New Roman" w:hAnsi="Times New Roman" w:cs="Times New Roman"/>
          <w:sz w:val="24"/>
          <w:szCs w:val="24"/>
        </w:rPr>
        <w:t>Urz.</w:t>
      </w:r>
      <w:r w:rsidR="00D86C00" w:rsidRPr="003A7E4C">
        <w:rPr>
          <w:rFonts w:ascii="Times New Roman" w:hAnsi="Times New Roman" w:cs="Times New Roman"/>
          <w:sz w:val="24"/>
          <w:szCs w:val="24"/>
        </w:rPr>
        <w:t xml:space="preserve"> </w:t>
      </w:r>
      <w:r w:rsidR="004326F3" w:rsidRPr="003A7E4C">
        <w:rPr>
          <w:rFonts w:ascii="Times New Roman" w:hAnsi="Times New Roman" w:cs="Times New Roman"/>
          <w:sz w:val="24"/>
          <w:szCs w:val="24"/>
        </w:rPr>
        <w:t>U</w:t>
      </w:r>
      <w:r w:rsidR="00D86C00" w:rsidRPr="003A7E4C">
        <w:rPr>
          <w:rFonts w:ascii="Times New Roman" w:hAnsi="Times New Roman" w:cs="Times New Roman"/>
          <w:sz w:val="24"/>
          <w:szCs w:val="24"/>
        </w:rPr>
        <w:t>E L 189 z 03.07.1998, str. 42)</w:t>
      </w:r>
      <w:r w:rsidRPr="003A7E4C">
        <w:rPr>
          <w:rFonts w:ascii="Times New Roman" w:hAnsi="Times New Roman" w:cs="Times New Roman"/>
          <w:sz w:val="24"/>
          <w:szCs w:val="24"/>
        </w:rPr>
        <w:t xml:space="preserve"> projekt ustawy nie b</w:t>
      </w:r>
      <w:r w:rsidR="001A77D3">
        <w:rPr>
          <w:rFonts w:ascii="Times New Roman" w:hAnsi="Times New Roman" w:cs="Times New Roman"/>
          <w:sz w:val="24"/>
          <w:szCs w:val="24"/>
        </w:rPr>
        <w:t>ył</w:t>
      </w:r>
      <w:r w:rsidRPr="003A7E4C">
        <w:rPr>
          <w:rFonts w:ascii="Times New Roman" w:hAnsi="Times New Roman" w:cs="Times New Roman"/>
          <w:sz w:val="24"/>
          <w:szCs w:val="24"/>
        </w:rPr>
        <w:t xml:space="preserve"> przedmiotem konsultacji z Europejskim Bankiem Centralnym.</w:t>
      </w:r>
    </w:p>
    <w:p w:rsidR="00C20596" w:rsidRPr="003A7E4C" w:rsidRDefault="00C20596" w:rsidP="007C35AC">
      <w:pPr>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Projekt ustawy nie zawiera przepisów technicznych i nie podlega notyfikacji zgodnie z trybem przewidzianym w przepisach dotyczących sposobu funkcjonowania krajowego systemu notyfikacji norm i aktów prawnych, tj. rozporządzeniu Rady M</w:t>
      </w:r>
      <w:r w:rsidR="00B213A9">
        <w:rPr>
          <w:rFonts w:ascii="Times New Roman" w:hAnsi="Times New Roman" w:cs="Times New Roman"/>
          <w:sz w:val="24"/>
          <w:szCs w:val="24"/>
        </w:rPr>
        <w:t>inistrów z dnia 23 grudnia 2002 </w:t>
      </w:r>
      <w:r w:rsidRPr="003A7E4C">
        <w:rPr>
          <w:rFonts w:ascii="Times New Roman" w:hAnsi="Times New Roman" w:cs="Times New Roman"/>
          <w:sz w:val="24"/>
          <w:szCs w:val="24"/>
        </w:rPr>
        <w:t>r. w sprawie sposobu funkcjonowania krajowego systemu notyfikacji norm i aktów prawnych (Dz. U. poz. 2039</w:t>
      </w:r>
      <w:r w:rsidR="00E63476">
        <w:rPr>
          <w:rFonts w:ascii="Times New Roman" w:hAnsi="Times New Roman" w:cs="Times New Roman"/>
          <w:sz w:val="24"/>
          <w:szCs w:val="24"/>
        </w:rPr>
        <w:t>, z późn. zm.</w:t>
      </w:r>
      <w:r w:rsidRPr="003A7E4C">
        <w:rPr>
          <w:rFonts w:ascii="Times New Roman" w:hAnsi="Times New Roman" w:cs="Times New Roman"/>
          <w:sz w:val="24"/>
          <w:szCs w:val="24"/>
        </w:rPr>
        <w:t>).</w:t>
      </w:r>
    </w:p>
    <w:p w:rsidR="00C20596" w:rsidRPr="003A7E4C" w:rsidRDefault="00C20596" w:rsidP="007C35AC">
      <w:pPr>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lastRenderedPageBreak/>
        <w:t>Zgodnie z przepisami ustawy z dnia 7 lipca 2005 r. o działalności lobbingowej w procesie stanowienia prawa (Dz.</w:t>
      </w:r>
      <w:r w:rsidR="00AC4C0E">
        <w:rPr>
          <w:rFonts w:ascii="Times New Roman" w:hAnsi="Times New Roman" w:cs="Times New Roman"/>
          <w:sz w:val="24"/>
          <w:szCs w:val="24"/>
        </w:rPr>
        <w:t xml:space="preserve"> </w:t>
      </w:r>
      <w:r w:rsidRPr="003A7E4C">
        <w:rPr>
          <w:rFonts w:ascii="Times New Roman" w:hAnsi="Times New Roman" w:cs="Times New Roman"/>
          <w:sz w:val="24"/>
          <w:szCs w:val="24"/>
        </w:rPr>
        <w:t xml:space="preserve">U. z 2017 r. poz. 248) oraz na podstawie § 52 uchwały </w:t>
      </w:r>
      <w:r w:rsidR="00A66112">
        <w:rPr>
          <w:rFonts w:ascii="Times New Roman" w:hAnsi="Times New Roman" w:cs="Times New Roman"/>
          <w:sz w:val="24"/>
          <w:szCs w:val="24"/>
        </w:rPr>
        <w:t>n</w:t>
      </w:r>
      <w:r w:rsidRPr="003A7E4C">
        <w:rPr>
          <w:rFonts w:ascii="Times New Roman" w:hAnsi="Times New Roman" w:cs="Times New Roman"/>
          <w:sz w:val="24"/>
          <w:szCs w:val="24"/>
        </w:rPr>
        <w:t>r 190 Rady Ministrów z dnia 29 października 2013 r. – Regulamin pracy Rady Ministrów (M</w:t>
      </w:r>
      <w:r w:rsidR="000E1EB6" w:rsidRPr="003A7E4C">
        <w:rPr>
          <w:rFonts w:ascii="Times New Roman" w:hAnsi="Times New Roman" w:cs="Times New Roman"/>
          <w:sz w:val="24"/>
          <w:szCs w:val="24"/>
        </w:rPr>
        <w:t>.</w:t>
      </w:r>
      <w:r w:rsidRPr="003A7E4C">
        <w:rPr>
          <w:rFonts w:ascii="Times New Roman" w:hAnsi="Times New Roman" w:cs="Times New Roman"/>
          <w:sz w:val="24"/>
          <w:szCs w:val="24"/>
        </w:rPr>
        <w:t>P</w:t>
      </w:r>
      <w:r w:rsidR="000E1EB6" w:rsidRPr="003A7E4C">
        <w:rPr>
          <w:rFonts w:ascii="Times New Roman" w:hAnsi="Times New Roman" w:cs="Times New Roman"/>
          <w:sz w:val="24"/>
          <w:szCs w:val="24"/>
        </w:rPr>
        <w:t>.</w:t>
      </w:r>
      <w:r w:rsidRPr="003A7E4C">
        <w:rPr>
          <w:rFonts w:ascii="Times New Roman" w:hAnsi="Times New Roman" w:cs="Times New Roman"/>
          <w:sz w:val="24"/>
          <w:szCs w:val="24"/>
        </w:rPr>
        <w:t xml:space="preserve"> z 2016 r. poz. 1006</w:t>
      </w:r>
      <w:r w:rsidR="009E7A7F">
        <w:rPr>
          <w:rFonts w:ascii="Times New Roman" w:hAnsi="Times New Roman" w:cs="Times New Roman"/>
          <w:sz w:val="24"/>
          <w:szCs w:val="24"/>
        </w:rPr>
        <w:t>, z późn. zm.</w:t>
      </w:r>
      <w:r w:rsidRPr="003A7E4C">
        <w:rPr>
          <w:rFonts w:ascii="Times New Roman" w:hAnsi="Times New Roman" w:cs="Times New Roman"/>
          <w:sz w:val="24"/>
          <w:szCs w:val="24"/>
        </w:rPr>
        <w:t>) projekt ustawy zosta</w:t>
      </w:r>
      <w:r w:rsidR="00FE47EE" w:rsidRPr="003A7E4C">
        <w:rPr>
          <w:rFonts w:ascii="Times New Roman" w:hAnsi="Times New Roman" w:cs="Times New Roman"/>
          <w:sz w:val="24"/>
          <w:szCs w:val="24"/>
        </w:rPr>
        <w:t>ł</w:t>
      </w:r>
      <w:r w:rsidRPr="003A7E4C">
        <w:rPr>
          <w:rFonts w:ascii="Times New Roman" w:hAnsi="Times New Roman" w:cs="Times New Roman"/>
          <w:sz w:val="24"/>
          <w:szCs w:val="24"/>
        </w:rPr>
        <w:t xml:space="preserve"> zamieszczony w Biuletynie Informacji Publicznej na stronie podmiotowej Rządowego Centrum Legislacji, w serwisie Rządowy Proces Legislacyjny. </w:t>
      </w:r>
      <w:r w:rsidR="00DE1AB0" w:rsidRPr="003A7E4C">
        <w:rPr>
          <w:rFonts w:ascii="Times New Roman" w:hAnsi="Times New Roman" w:cs="Times New Roman"/>
          <w:sz w:val="24"/>
          <w:szCs w:val="24"/>
        </w:rPr>
        <w:t xml:space="preserve"> </w:t>
      </w:r>
    </w:p>
    <w:p w:rsidR="0059636E" w:rsidRPr="003A7E4C" w:rsidRDefault="00C20596" w:rsidP="00B213A9">
      <w:pPr>
        <w:autoSpaceDE w:val="0"/>
        <w:autoSpaceDN w:val="0"/>
        <w:adjustRightInd w:val="0"/>
        <w:spacing w:line="360" w:lineRule="auto"/>
        <w:jc w:val="both"/>
        <w:rPr>
          <w:rFonts w:ascii="Times New Roman" w:hAnsi="Times New Roman" w:cs="Times New Roman"/>
          <w:sz w:val="24"/>
          <w:szCs w:val="24"/>
        </w:rPr>
      </w:pPr>
      <w:r w:rsidRPr="003A7E4C">
        <w:rPr>
          <w:rFonts w:ascii="Times New Roman" w:hAnsi="Times New Roman" w:cs="Times New Roman"/>
          <w:sz w:val="24"/>
          <w:szCs w:val="24"/>
        </w:rPr>
        <w:t xml:space="preserve">Projekt ustawy jest zgodny z prawem Unii Europejskiej. </w:t>
      </w:r>
    </w:p>
    <w:sectPr w:rsidR="0059636E" w:rsidRPr="003A7E4C" w:rsidSect="0078410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44C" w:rsidRDefault="008B544C" w:rsidP="00784101">
      <w:pPr>
        <w:spacing w:after="0" w:line="240" w:lineRule="auto"/>
      </w:pPr>
      <w:r>
        <w:separator/>
      </w:r>
    </w:p>
  </w:endnote>
  <w:endnote w:type="continuationSeparator" w:id="0">
    <w:p w:rsidR="008B544C" w:rsidRDefault="008B544C" w:rsidP="00784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4335753"/>
      <w:docPartObj>
        <w:docPartGallery w:val="Page Numbers (Bottom of Page)"/>
        <w:docPartUnique/>
      </w:docPartObj>
    </w:sdtPr>
    <w:sdtEndPr/>
    <w:sdtContent>
      <w:p w:rsidR="00784101" w:rsidRPr="00784101" w:rsidRDefault="00784101" w:rsidP="00784101">
        <w:pPr>
          <w:pStyle w:val="Stopka"/>
          <w:jc w:val="center"/>
          <w:rPr>
            <w:rFonts w:ascii="Times New Roman" w:hAnsi="Times New Roman" w:cs="Times New Roman"/>
            <w:sz w:val="24"/>
            <w:szCs w:val="24"/>
          </w:rPr>
        </w:pPr>
        <w:r w:rsidRPr="00784101">
          <w:rPr>
            <w:rFonts w:ascii="Times New Roman" w:hAnsi="Times New Roman" w:cs="Times New Roman"/>
            <w:sz w:val="24"/>
            <w:szCs w:val="24"/>
          </w:rPr>
          <w:fldChar w:fldCharType="begin"/>
        </w:r>
        <w:r w:rsidRPr="00784101">
          <w:rPr>
            <w:rFonts w:ascii="Times New Roman" w:hAnsi="Times New Roman" w:cs="Times New Roman"/>
            <w:sz w:val="24"/>
            <w:szCs w:val="24"/>
          </w:rPr>
          <w:instrText>PAGE   \* MERGEFORMAT</w:instrText>
        </w:r>
        <w:r w:rsidRPr="00784101">
          <w:rPr>
            <w:rFonts w:ascii="Times New Roman" w:hAnsi="Times New Roman" w:cs="Times New Roman"/>
            <w:sz w:val="24"/>
            <w:szCs w:val="24"/>
          </w:rPr>
          <w:fldChar w:fldCharType="separate"/>
        </w:r>
        <w:r w:rsidR="00C045E4">
          <w:rPr>
            <w:rFonts w:ascii="Times New Roman" w:hAnsi="Times New Roman" w:cs="Times New Roman"/>
            <w:noProof/>
            <w:sz w:val="24"/>
            <w:szCs w:val="24"/>
          </w:rPr>
          <w:t>10</w:t>
        </w:r>
        <w:r w:rsidRPr="0078410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44C" w:rsidRDefault="008B544C" w:rsidP="00784101">
      <w:pPr>
        <w:spacing w:after="0" w:line="240" w:lineRule="auto"/>
      </w:pPr>
      <w:r>
        <w:separator/>
      </w:r>
    </w:p>
  </w:footnote>
  <w:footnote w:type="continuationSeparator" w:id="0">
    <w:p w:rsidR="008B544C" w:rsidRDefault="008B544C" w:rsidP="007841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51420"/>
    <w:multiLevelType w:val="hybridMultilevel"/>
    <w:tmpl w:val="6EE4BDD0"/>
    <w:lvl w:ilvl="0" w:tplc="41A6EA76">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B45067"/>
    <w:multiLevelType w:val="hybridMultilevel"/>
    <w:tmpl w:val="A566C8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306FD3"/>
    <w:multiLevelType w:val="hybridMultilevel"/>
    <w:tmpl w:val="655E3C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495770"/>
    <w:multiLevelType w:val="hybridMultilevel"/>
    <w:tmpl w:val="3E989DB2"/>
    <w:lvl w:ilvl="0" w:tplc="D8AE1E3C">
      <w:start w:val="2"/>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E36348"/>
    <w:multiLevelType w:val="hybridMultilevel"/>
    <w:tmpl w:val="255EFC18"/>
    <w:lvl w:ilvl="0" w:tplc="484CE3BC">
      <w:start w:val="1"/>
      <w:numFmt w:val="lowerLetter"/>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48739D"/>
    <w:multiLevelType w:val="hybridMultilevel"/>
    <w:tmpl w:val="30489FBE"/>
    <w:lvl w:ilvl="0" w:tplc="4FC0F352">
      <w:start w:val="1"/>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DC17CE2"/>
    <w:multiLevelType w:val="hybridMultilevel"/>
    <w:tmpl w:val="3C9EFC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D813CF5"/>
    <w:multiLevelType w:val="hybridMultilevel"/>
    <w:tmpl w:val="6B5299CC"/>
    <w:lvl w:ilvl="0" w:tplc="2AB0EB1E">
      <w:start w:val="1"/>
      <w:numFmt w:val="decimal"/>
      <w:lvlText w:val="%1)"/>
      <w:lvlJc w:val="left"/>
      <w:pPr>
        <w:ind w:left="720" w:hanging="360"/>
      </w:pPr>
      <w:rPr>
        <w:rFonts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0CB42F8"/>
    <w:multiLevelType w:val="hybridMultilevel"/>
    <w:tmpl w:val="F132C228"/>
    <w:lvl w:ilvl="0" w:tplc="8B4C833A">
      <w:start w:val="1"/>
      <w:numFmt w:val="lowerLetter"/>
      <w:lvlText w:val="%1)"/>
      <w:lvlJc w:val="left"/>
      <w:pPr>
        <w:ind w:left="720" w:hanging="360"/>
      </w:pPr>
      <w:rPr>
        <w:rFonts w:hint="default"/>
        <w:sz w:val="22"/>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D5C3F33"/>
    <w:multiLevelType w:val="hybridMultilevel"/>
    <w:tmpl w:val="C652C766"/>
    <w:lvl w:ilvl="0" w:tplc="3C4EF676">
      <w:start w:val="2"/>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25C1179"/>
    <w:multiLevelType w:val="hybridMultilevel"/>
    <w:tmpl w:val="F132C228"/>
    <w:lvl w:ilvl="0" w:tplc="8B4C833A">
      <w:start w:val="1"/>
      <w:numFmt w:val="lowerLetter"/>
      <w:lvlText w:val="%1)"/>
      <w:lvlJc w:val="left"/>
      <w:pPr>
        <w:ind w:left="720" w:hanging="360"/>
      </w:pPr>
      <w:rPr>
        <w:rFonts w:hint="default"/>
        <w:sz w:val="22"/>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0"/>
  </w:num>
  <w:num w:numId="3">
    <w:abstractNumId w:val="10"/>
  </w:num>
  <w:num w:numId="4">
    <w:abstractNumId w:val="8"/>
  </w:num>
  <w:num w:numId="5">
    <w:abstractNumId w:val="2"/>
  </w:num>
  <w:num w:numId="6">
    <w:abstractNumId w:val="4"/>
  </w:num>
  <w:num w:numId="7">
    <w:abstractNumId w:val="5"/>
  </w:num>
  <w:num w:numId="8">
    <w:abstractNumId w:val="9"/>
  </w:num>
  <w:num w:numId="9">
    <w:abstractNumId w:val="3"/>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oNotTrackFormatting/>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2D0"/>
    <w:rsid w:val="000009E5"/>
    <w:rsid w:val="00001EA6"/>
    <w:rsid w:val="000043CA"/>
    <w:rsid w:val="00005A85"/>
    <w:rsid w:val="00010F6B"/>
    <w:rsid w:val="00016067"/>
    <w:rsid w:val="00016C8F"/>
    <w:rsid w:val="00033CCE"/>
    <w:rsid w:val="000345B1"/>
    <w:rsid w:val="00041A18"/>
    <w:rsid w:val="00044F43"/>
    <w:rsid w:val="00050FF8"/>
    <w:rsid w:val="000525FB"/>
    <w:rsid w:val="00052DE6"/>
    <w:rsid w:val="00057CEE"/>
    <w:rsid w:val="00060920"/>
    <w:rsid w:val="00066901"/>
    <w:rsid w:val="00070A30"/>
    <w:rsid w:val="00077F6A"/>
    <w:rsid w:val="00083AD0"/>
    <w:rsid w:val="000861AF"/>
    <w:rsid w:val="00094827"/>
    <w:rsid w:val="000A0DDF"/>
    <w:rsid w:val="000A1435"/>
    <w:rsid w:val="000B28A7"/>
    <w:rsid w:val="000B694C"/>
    <w:rsid w:val="000B7A20"/>
    <w:rsid w:val="000C7E07"/>
    <w:rsid w:val="000D0614"/>
    <w:rsid w:val="000D1526"/>
    <w:rsid w:val="000D42AF"/>
    <w:rsid w:val="000E0A61"/>
    <w:rsid w:val="000E1EB6"/>
    <w:rsid w:val="000E560B"/>
    <w:rsid w:val="000E6EF4"/>
    <w:rsid w:val="000E6F7B"/>
    <w:rsid w:val="000F6DA5"/>
    <w:rsid w:val="000F7953"/>
    <w:rsid w:val="001048F1"/>
    <w:rsid w:val="00112A5C"/>
    <w:rsid w:val="001142E9"/>
    <w:rsid w:val="0011564E"/>
    <w:rsid w:val="0012090C"/>
    <w:rsid w:val="00124653"/>
    <w:rsid w:val="001263B1"/>
    <w:rsid w:val="00126551"/>
    <w:rsid w:val="001307FE"/>
    <w:rsid w:val="0014012B"/>
    <w:rsid w:val="00140164"/>
    <w:rsid w:val="00141EFF"/>
    <w:rsid w:val="0014725F"/>
    <w:rsid w:val="00154BC5"/>
    <w:rsid w:val="00156CDE"/>
    <w:rsid w:val="00161219"/>
    <w:rsid w:val="00162248"/>
    <w:rsid w:val="001631AC"/>
    <w:rsid w:val="00166064"/>
    <w:rsid w:val="00171A3D"/>
    <w:rsid w:val="00176317"/>
    <w:rsid w:val="001763FA"/>
    <w:rsid w:val="0017760E"/>
    <w:rsid w:val="00177E14"/>
    <w:rsid w:val="0018096B"/>
    <w:rsid w:val="001840B8"/>
    <w:rsid w:val="0019348E"/>
    <w:rsid w:val="00193587"/>
    <w:rsid w:val="001A2E15"/>
    <w:rsid w:val="001A538B"/>
    <w:rsid w:val="001A7546"/>
    <w:rsid w:val="001A77D3"/>
    <w:rsid w:val="001B6A01"/>
    <w:rsid w:val="001C142E"/>
    <w:rsid w:val="001C31C9"/>
    <w:rsid w:val="001C31D7"/>
    <w:rsid w:val="001C7CDE"/>
    <w:rsid w:val="001D0EA6"/>
    <w:rsid w:val="001D1B81"/>
    <w:rsid w:val="001D53A8"/>
    <w:rsid w:val="001D7CDE"/>
    <w:rsid w:val="001E08FC"/>
    <w:rsid w:val="001E2C62"/>
    <w:rsid w:val="001E3F76"/>
    <w:rsid w:val="001F17F3"/>
    <w:rsid w:val="0020598B"/>
    <w:rsid w:val="0020705C"/>
    <w:rsid w:val="00207831"/>
    <w:rsid w:val="00211214"/>
    <w:rsid w:val="00222028"/>
    <w:rsid w:val="002319CB"/>
    <w:rsid w:val="0024090C"/>
    <w:rsid w:val="00244102"/>
    <w:rsid w:val="0024421C"/>
    <w:rsid w:val="00247222"/>
    <w:rsid w:val="00253F7A"/>
    <w:rsid w:val="00256359"/>
    <w:rsid w:val="002568B3"/>
    <w:rsid w:val="00261D24"/>
    <w:rsid w:val="002625F7"/>
    <w:rsid w:val="002637E0"/>
    <w:rsid w:val="0026733A"/>
    <w:rsid w:val="00275FB6"/>
    <w:rsid w:val="002776C5"/>
    <w:rsid w:val="002817F4"/>
    <w:rsid w:val="002836B4"/>
    <w:rsid w:val="00284438"/>
    <w:rsid w:val="00286921"/>
    <w:rsid w:val="00294222"/>
    <w:rsid w:val="002945A1"/>
    <w:rsid w:val="00295F70"/>
    <w:rsid w:val="00297C3A"/>
    <w:rsid w:val="002A7F36"/>
    <w:rsid w:val="002C6577"/>
    <w:rsid w:val="002D03CE"/>
    <w:rsid w:val="002D1B7A"/>
    <w:rsid w:val="002D6181"/>
    <w:rsid w:val="002D73C3"/>
    <w:rsid w:val="002F6F70"/>
    <w:rsid w:val="003011B9"/>
    <w:rsid w:val="00326B4B"/>
    <w:rsid w:val="003324E6"/>
    <w:rsid w:val="0035070B"/>
    <w:rsid w:val="003511AB"/>
    <w:rsid w:val="003565F8"/>
    <w:rsid w:val="00362DB1"/>
    <w:rsid w:val="00363013"/>
    <w:rsid w:val="0036371E"/>
    <w:rsid w:val="00367E77"/>
    <w:rsid w:val="0037189F"/>
    <w:rsid w:val="003723A1"/>
    <w:rsid w:val="00373323"/>
    <w:rsid w:val="0038440A"/>
    <w:rsid w:val="00384C70"/>
    <w:rsid w:val="003873A6"/>
    <w:rsid w:val="0039033D"/>
    <w:rsid w:val="0039164B"/>
    <w:rsid w:val="00392F9C"/>
    <w:rsid w:val="0039438C"/>
    <w:rsid w:val="00396BA5"/>
    <w:rsid w:val="003A247A"/>
    <w:rsid w:val="003A3F17"/>
    <w:rsid w:val="003A4BFE"/>
    <w:rsid w:val="003A7E4C"/>
    <w:rsid w:val="003B0C24"/>
    <w:rsid w:val="003B0E9B"/>
    <w:rsid w:val="003B1026"/>
    <w:rsid w:val="003B2A0F"/>
    <w:rsid w:val="003B4C38"/>
    <w:rsid w:val="003B53B4"/>
    <w:rsid w:val="003B6883"/>
    <w:rsid w:val="003C4496"/>
    <w:rsid w:val="003C4BCE"/>
    <w:rsid w:val="003C7A4F"/>
    <w:rsid w:val="003D03B4"/>
    <w:rsid w:val="003D04B9"/>
    <w:rsid w:val="003D1511"/>
    <w:rsid w:val="003D3606"/>
    <w:rsid w:val="003D3B14"/>
    <w:rsid w:val="003E2EB3"/>
    <w:rsid w:val="003E3884"/>
    <w:rsid w:val="003E4FAC"/>
    <w:rsid w:val="003E55F3"/>
    <w:rsid w:val="003E5C68"/>
    <w:rsid w:val="003F2E32"/>
    <w:rsid w:val="003F6DB4"/>
    <w:rsid w:val="003F7AB0"/>
    <w:rsid w:val="0040008C"/>
    <w:rsid w:val="00403D0A"/>
    <w:rsid w:val="00404E5C"/>
    <w:rsid w:val="00410900"/>
    <w:rsid w:val="00414E3F"/>
    <w:rsid w:val="00417EE8"/>
    <w:rsid w:val="00430BF1"/>
    <w:rsid w:val="0043108D"/>
    <w:rsid w:val="004324D9"/>
    <w:rsid w:val="004326F3"/>
    <w:rsid w:val="00436BFD"/>
    <w:rsid w:val="004473B5"/>
    <w:rsid w:val="004539D9"/>
    <w:rsid w:val="00455187"/>
    <w:rsid w:val="004604FC"/>
    <w:rsid w:val="00465B30"/>
    <w:rsid w:val="00465CF6"/>
    <w:rsid w:val="004740AC"/>
    <w:rsid w:val="00474882"/>
    <w:rsid w:val="00475FD8"/>
    <w:rsid w:val="00477D1E"/>
    <w:rsid w:val="00480A3E"/>
    <w:rsid w:val="0048716C"/>
    <w:rsid w:val="00493762"/>
    <w:rsid w:val="00494D70"/>
    <w:rsid w:val="004A5DE0"/>
    <w:rsid w:val="004B2E76"/>
    <w:rsid w:val="004B48A9"/>
    <w:rsid w:val="004C07A7"/>
    <w:rsid w:val="004C1007"/>
    <w:rsid w:val="004C36A2"/>
    <w:rsid w:val="004C4133"/>
    <w:rsid w:val="004C50A3"/>
    <w:rsid w:val="004D3BAD"/>
    <w:rsid w:val="004D4251"/>
    <w:rsid w:val="004D5146"/>
    <w:rsid w:val="004D6E13"/>
    <w:rsid w:val="004E3FFB"/>
    <w:rsid w:val="004E58EF"/>
    <w:rsid w:val="004E5C1F"/>
    <w:rsid w:val="004E6821"/>
    <w:rsid w:val="004E7D28"/>
    <w:rsid w:val="004F7094"/>
    <w:rsid w:val="004F7423"/>
    <w:rsid w:val="004F775B"/>
    <w:rsid w:val="004F785F"/>
    <w:rsid w:val="004F7DED"/>
    <w:rsid w:val="00507A78"/>
    <w:rsid w:val="005159F6"/>
    <w:rsid w:val="0051667E"/>
    <w:rsid w:val="00516711"/>
    <w:rsid w:val="00530518"/>
    <w:rsid w:val="005330D0"/>
    <w:rsid w:val="00533124"/>
    <w:rsid w:val="00541018"/>
    <w:rsid w:val="00543E99"/>
    <w:rsid w:val="00547C20"/>
    <w:rsid w:val="0055556A"/>
    <w:rsid w:val="00557051"/>
    <w:rsid w:val="00571B60"/>
    <w:rsid w:val="00576808"/>
    <w:rsid w:val="00581BAE"/>
    <w:rsid w:val="00582EE5"/>
    <w:rsid w:val="0058662B"/>
    <w:rsid w:val="005912D0"/>
    <w:rsid w:val="0059636E"/>
    <w:rsid w:val="00597DB1"/>
    <w:rsid w:val="005A2BAD"/>
    <w:rsid w:val="005B0E2D"/>
    <w:rsid w:val="005B3596"/>
    <w:rsid w:val="005B5B4D"/>
    <w:rsid w:val="005C7ECD"/>
    <w:rsid w:val="005D0DE5"/>
    <w:rsid w:val="005E08CB"/>
    <w:rsid w:val="005E48BC"/>
    <w:rsid w:val="005E4BE3"/>
    <w:rsid w:val="005E50E7"/>
    <w:rsid w:val="005E7EF9"/>
    <w:rsid w:val="005F20D1"/>
    <w:rsid w:val="005F23B4"/>
    <w:rsid w:val="005F4215"/>
    <w:rsid w:val="005F44AA"/>
    <w:rsid w:val="00602159"/>
    <w:rsid w:val="00611489"/>
    <w:rsid w:val="00614A81"/>
    <w:rsid w:val="00617CF3"/>
    <w:rsid w:val="00630012"/>
    <w:rsid w:val="00634C10"/>
    <w:rsid w:val="00641BD5"/>
    <w:rsid w:val="00641E66"/>
    <w:rsid w:val="00642F3D"/>
    <w:rsid w:val="006437E1"/>
    <w:rsid w:val="00645F1C"/>
    <w:rsid w:val="006536F6"/>
    <w:rsid w:val="00660259"/>
    <w:rsid w:val="00660FFD"/>
    <w:rsid w:val="006610E8"/>
    <w:rsid w:val="00661F4F"/>
    <w:rsid w:val="00664351"/>
    <w:rsid w:val="00667647"/>
    <w:rsid w:val="00674A8F"/>
    <w:rsid w:val="00677C1B"/>
    <w:rsid w:val="00683AE4"/>
    <w:rsid w:val="00685AEA"/>
    <w:rsid w:val="00690244"/>
    <w:rsid w:val="00693E62"/>
    <w:rsid w:val="006A4D05"/>
    <w:rsid w:val="006A503E"/>
    <w:rsid w:val="006A6C94"/>
    <w:rsid w:val="006C5AFF"/>
    <w:rsid w:val="006F1EE6"/>
    <w:rsid w:val="00701A45"/>
    <w:rsid w:val="00704A34"/>
    <w:rsid w:val="00710064"/>
    <w:rsid w:val="00714FA0"/>
    <w:rsid w:val="00717AEB"/>
    <w:rsid w:val="0072067B"/>
    <w:rsid w:val="00727FD8"/>
    <w:rsid w:val="00752BA2"/>
    <w:rsid w:val="007547C4"/>
    <w:rsid w:val="00756DF5"/>
    <w:rsid w:val="00765A5A"/>
    <w:rsid w:val="00767C5F"/>
    <w:rsid w:val="00774042"/>
    <w:rsid w:val="00777297"/>
    <w:rsid w:val="0078307D"/>
    <w:rsid w:val="00784101"/>
    <w:rsid w:val="007865C7"/>
    <w:rsid w:val="007875D9"/>
    <w:rsid w:val="00790B9C"/>
    <w:rsid w:val="007931F8"/>
    <w:rsid w:val="00793829"/>
    <w:rsid w:val="00797BFA"/>
    <w:rsid w:val="007A1752"/>
    <w:rsid w:val="007A3483"/>
    <w:rsid w:val="007A438E"/>
    <w:rsid w:val="007A4776"/>
    <w:rsid w:val="007C35AC"/>
    <w:rsid w:val="007C361A"/>
    <w:rsid w:val="007C5444"/>
    <w:rsid w:val="007D0740"/>
    <w:rsid w:val="007D4890"/>
    <w:rsid w:val="007D553E"/>
    <w:rsid w:val="007D58D5"/>
    <w:rsid w:val="007E1B17"/>
    <w:rsid w:val="007E1BBE"/>
    <w:rsid w:val="007F3A7A"/>
    <w:rsid w:val="007F436A"/>
    <w:rsid w:val="00801346"/>
    <w:rsid w:val="0081256A"/>
    <w:rsid w:val="00817158"/>
    <w:rsid w:val="008226E3"/>
    <w:rsid w:val="00822DC0"/>
    <w:rsid w:val="008306D2"/>
    <w:rsid w:val="00833B34"/>
    <w:rsid w:val="00842BB1"/>
    <w:rsid w:val="0086008F"/>
    <w:rsid w:val="00862875"/>
    <w:rsid w:val="008719A0"/>
    <w:rsid w:val="0087593A"/>
    <w:rsid w:val="00875E4D"/>
    <w:rsid w:val="00875F76"/>
    <w:rsid w:val="00877A2F"/>
    <w:rsid w:val="00883247"/>
    <w:rsid w:val="00883BF5"/>
    <w:rsid w:val="00890237"/>
    <w:rsid w:val="00895AAA"/>
    <w:rsid w:val="0089641D"/>
    <w:rsid w:val="008A1A61"/>
    <w:rsid w:val="008A2D40"/>
    <w:rsid w:val="008B1BEE"/>
    <w:rsid w:val="008B544C"/>
    <w:rsid w:val="008C16CB"/>
    <w:rsid w:val="008D4EB0"/>
    <w:rsid w:val="008E0CA1"/>
    <w:rsid w:val="008E2E47"/>
    <w:rsid w:val="008F3F03"/>
    <w:rsid w:val="008F703A"/>
    <w:rsid w:val="00902863"/>
    <w:rsid w:val="00903CE9"/>
    <w:rsid w:val="009137E2"/>
    <w:rsid w:val="00925FBC"/>
    <w:rsid w:val="00931C0B"/>
    <w:rsid w:val="00937FF2"/>
    <w:rsid w:val="00940D95"/>
    <w:rsid w:val="00940EE1"/>
    <w:rsid w:val="0094495C"/>
    <w:rsid w:val="009457BC"/>
    <w:rsid w:val="0095183A"/>
    <w:rsid w:val="0095517D"/>
    <w:rsid w:val="009573AA"/>
    <w:rsid w:val="00957680"/>
    <w:rsid w:val="00957A60"/>
    <w:rsid w:val="00960FD1"/>
    <w:rsid w:val="00972416"/>
    <w:rsid w:val="00977397"/>
    <w:rsid w:val="00981A62"/>
    <w:rsid w:val="00981E1C"/>
    <w:rsid w:val="00982E2D"/>
    <w:rsid w:val="00991BA7"/>
    <w:rsid w:val="00997AE0"/>
    <w:rsid w:val="009A573A"/>
    <w:rsid w:val="009B0A83"/>
    <w:rsid w:val="009B132F"/>
    <w:rsid w:val="009B4219"/>
    <w:rsid w:val="009C3A4D"/>
    <w:rsid w:val="009C3D40"/>
    <w:rsid w:val="009D0FD3"/>
    <w:rsid w:val="009D4E8B"/>
    <w:rsid w:val="009D5430"/>
    <w:rsid w:val="009E2D7A"/>
    <w:rsid w:val="009E7A7F"/>
    <w:rsid w:val="00A038F7"/>
    <w:rsid w:val="00A0579D"/>
    <w:rsid w:val="00A10CEC"/>
    <w:rsid w:val="00A11007"/>
    <w:rsid w:val="00A140E1"/>
    <w:rsid w:val="00A1578B"/>
    <w:rsid w:val="00A16B0B"/>
    <w:rsid w:val="00A17DF4"/>
    <w:rsid w:val="00A22A19"/>
    <w:rsid w:val="00A27B1E"/>
    <w:rsid w:val="00A30BC4"/>
    <w:rsid w:val="00A41DE0"/>
    <w:rsid w:val="00A43C18"/>
    <w:rsid w:val="00A47AC4"/>
    <w:rsid w:val="00A52274"/>
    <w:rsid w:val="00A52295"/>
    <w:rsid w:val="00A57DA0"/>
    <w:rsid w:val="00A66112"/>
    <w:rsid w:val="00A664EA"/>
    <w:rsid w:val="00A70281"/>
    <w:rsid w:val="00A70E0E"/>
    <w:rsid w:val="00A743F9"/>
    <w:rsid w:val="00A755BF"/>
    <w:rsid w:val="00A75FEE"/>
    <w:rsid w:val="00A86D07"/>
    <w:rsid w:val="00A902B4"/>
    <w:rsid w:val="00A94E1D"/>
    <w:rsid w:val="00A96BCA"/>
    <w:rsid w:val="00AA0581"/>
    <w:rsid w:val="00AA192A"/>
    <w:rsid w:val="00AA20A1"/>
    <w:rsid w:val="00AB19DF"/>
    <w:rsid w:val="00AC4C0E"/>
    <w:rsid w:val="00AC5E02"/>
    <w:rsid w:val="00AD23E5"/>
    <w:rsid w:val="00AD7FC7"/>
    <w:rsid w:val="00AF53CA"/>
    <w:rsid w:val="00B1543E"/>
    <w:rsid w:val="00B213A9"/>
    <w:rsid w:val="00B22E72"/>
    <w:rsid w:val="00B31AB7"/>
    <w:rsid w:val="00B31C7D"/>
    <w:rsid w:val="00B32B8D"/>
    <w:rsid w:val="00B3527C"/>
    <w:rsid w:val="00B35B82"/>
    <w:rsid w:val="00B420AB"/>
    <w:rsid w:val="00B45B97"/>
    <w:rsid w:val="00B617DB"/>
    <w:rsid w:val="00B62957"/>
    <w:rsid w:val="00B62D39"/>
    <w:rsid w:val="00B6473C"/>
    <w:rsid w:val="00B67460"/>
    <w:rsid w:val="00B67B14"/>
    <w:rsid w:val="00B7582D"/>
    <w:rsid w:val="00B812D9"/>
    <w:rsid w:val="00B83AAB"/>
    <w:rsid w:val="00B854F6"/>
    <w:rsid w:val="00B92423"/>
    <w:rsid w:val="00B9424A"/>
    <w:rsid w:val="00BA476F"/>
    <w:rsid w:val="00BA4919"/>
    <w:rsid w:val="00BA69D5"/>
    <w:rsid w:val="00BB4AAB"/>
    <w:rsid w:val="00BC1386"/>
    <w:rsid w:val="00BC21D0"/>
    <w:rsid w:val="00BC5821"/>
    <w:rsid w:val="00BD2CA2"/>
    <w:rsid w:val="00BD4B41"/>
    <w:rsid w:val="00BD63D7"/>
    <w:rsid w:val="00BE4693"/>
    <w:rsid w:val="00BE7BC0"/>
    <w:rsid w:val="00BF0E98"/>
    <w:rsid w:val="00BF1AE9"/>
    <w:rsid w:val="00BF6E5D"/>
    <w:rsid w:val="00C045E4"/>
    <w:rsid w:val="00C16FC7"/>
    <w:rsid w:val="00C20596"/>
    <w:rsid w:val="00C30C91"/>
    <w:rsid w:val="00C423E0"/>
    <w:rsid w:val="00C52011"/>
    <w:rsid w:val="00C60877"/>
    <w:rsid w:val="00C67217"/>
    <w:rsid w:val="00C8182E"/>
    <w:rsid w:val="00C81BDA"/>
    <w:rsid w:val="00C93624"/>
    <w:rsid w:val="00C9715F"/>
    <w:rsid w:val="00CA71FF"/>
    <w:rsid w:val="00CB56A5"/>
    <w:rsid w:val="00CD54EA"/>
    <w:rsid w:val="00CD6751"/>
    <w:rsid w:val="00CE7CAE"/>
    <w:rsid w:val="00CF09CE"/>
    <w:rsid w:val="00CF20BF"/>
    <w:rsid w:val="00CF2AA0"/>
    <w:rsid w:val="00CF4931"/>
    <w:rsid w:val="00CF6BD2"/>
    <w:rsid w:val="00CF7FB9"/>
    <w:rsid w:val="00D02305"/>
    <w:rsid w:val="00D0469E"/>
    <w:rsid w:val="00D04845"/>
    <w:rsid w:val="00D07181"/>
    <w:rsid w:val="00D109D0"/>
    <w:rsid w:val="00D1748F"/>
    <w:rsid w:val="00D221CF"/>
    <w:rsid w:val="00D40B02"/>
    <w:rsid w:val="00D425F1"/>
    <w:rsid w:val="00D44122"/>
    <w:rsid w:val="00D47112"/>
    <w:rsid w:val="00D56F2A"/>
    <w:rsid w:val="00D7204C"/>
    <w:rsid w:val="00D80188"/>
    <w:rsid w:val="00D82A07"/>
    <w:rsid w:val="00D83A40"/>
    <w:rsid w:val="00D8488B"/>
    <w:rsid w:val="00D850F2"/>
    <w:rsid w:val="00D85A49"/>
    <w:rsid w:val="00D86C00"/>
    <w:rsid w:val="00D92AC1"/>
    <w:rsid w:val="00D96434"/>
    <w:rsid w:val="00DA0AB7"/>
    <w:rsid w:val="00DA64F8"/>
    <w:rsid w:val="00DD1216"/>
    <w:rsid w:val="00DD1422"/>
    <w:rsid w:val="00DD346C"/>
    <w:rsid w:val="00DD3802"/>
    <w:rsid w:val="00DD593E"/>
    <w:rsid w:val="00DE0883"/>
    <w:rsid w:val="00DE1AB0"/>
    <w:rsid w:val="00DE74DB"/>
    <w:rsid w:val="00DF008D"/>
    <w:rsid w:val="00DF21B7"/>
    <w:rsid w:val="00DF53A6"/>
    <w:rsid w:val="00DF5991"/>
    <w:rsid w:val="00DF668E"/>
    <w:rsid w:val="00E036D2"/>
    <w:rsid w:val="00E03A58"/>
    <w:rsid w:val="00E03E99"/>
    <w:rsid w:val="00E04EDD"/>
    <w:rsid w:val="00E20B28"/>
    <w:rsid w:val="00E251D1"/>
    <w:rsid w:val="00E25A80"/>
    <w:rsid w:val="00E261FE"/>
    <w:rsid w:val="00E31260"/>
    <w:rsid w:val="00E52397"/>
    <w:rsid w:val="00E61B0A"/>
    <w:rsid w:val="00E63476"/>
    <w:rsid w:val="00E662D4"/>
    <w:rsid w:val="00E66760"/>
    <w:rsid w:val="00E73F9B"/>
    <w:rsid w:val="00E874A5"/>
    <w:rsid w:val="00E95B2F"/>
    <w:rsid w:val="00EA6637"/>
    <w:rsid w:val="00EA74AD"/>
    <w:rsid w:val="00EB1E7B"/>
    <w:rsid w:val="00ED1C0B"/>
    <w:rsid w:val="00EE3BC5"/>
    <w:rsid w:val="00EE43FA"/>
    <w:rsid w:val="00EE78F2"/>
    <w:rsid w:val="00EF7708"/>
    <w:rsid w:val="00F0080C"/>
    <w:rsid w:val="00F02139"/>
    <w:rsid w:val="00F13812"/>
    <w:rsid w:val="00F20C33"/>
    <w:rsid w:val="00F254CC"/>
    <w:rsid w:val="00F263AB"/>
    <w:rsid w:val="00F347EA"/>
    <w:rsid w:val="00F42CBD"/>
    <w:rsid w:val="00F50D17"/>
    <w:rsid w:val="00F56788"/>
    <w:rsid w:val="00F63A3D"/>
    <w:rsid w:val="00F63B7D"/>
    <w:rsid w:val="00F6577D"/>
    <w:rsid w:val="00F73EFF"/>
    <w:rsid w:val="00F81AAE"/>
    <w:rsid w:val="00F8204D"/>
    <w:rsid w:val="00F84E3C"/>
    <w:rsid w:val="00F866D4"/>
    <w:rsid w:val="00F912DA"/>
    <w:rsid w:val="00F93AB8"/>
    <w:rsid w:val="00F9405E"/>
    <w:rsid w:val="00F94956"/>
    <w:rsid w:val="00FB4F48"/>
    <w:rsid w:val="00FB7163"/>
    <w:rsid w:val="00FC5A22"/>
    <w:rsid w:val="00FD3086"/>
    <w:rsid w:val="00FD67F9"/>
    <w:rsid w:val="00FD69D5"/>
    <w:rsid w:val="00FE3C5E"/>
    <w:rsid w:val="00FE47EE"/>
    <w:rsid w:val="00FE670A"/>
    <w:rsid w:val="00FE6893"/>
    <w:rsid w:val="00FF1D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E03F68-CE89-491F-B615-D9F46D9D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72"/>
    <w:qFormat/>
    <w:rsid w:val="00B1543E"/>
    <w:pPr>
      <w:spacing w:after="0" w:line="240" w:lineRule="auto"/>
      <w:ind w:left="720"/>
      <w:contextualSpacing/>
    </w:pPr>
    <w:rPr>
      <w:rFonts w:ascii="Cambria" w:eastAsia="Cambria" w:hAnsi="Cambria" w:cs="Times New Roman"/>
      <w:sz w:val="24"/>
      <w:szCs w:val="24"/>
    </w:rPr>
  </w:style>
  <w:style w:type="paragraph" w:customStyle="1" w:styleId="ZLITUSTzmustliter">
    <w:name w:val="Z_LIT/UST(§) – zm. ust. (§) literą"/>
    <w:basedOn w:val="Normalny"/>
    <w:uiPriority w:val="46"/>
    <w:qFormat/>
    <w:rsid w:val="00661F4F"/>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661F4F"/>
    <w:pPr>
      <w:spacing w:after="0" w:line="360" w:lineRule="auto"/>
      <w:ind w:left="1497" w:hanging="510"/>
      <w:jc w:val="both"/>
    </w:pPr>
    <w:rPr>
      <w:rFonts w:ascii="Times" w:eastAsiaTheme="minorEastAsia" w:hAnsi="Times" w:cs="Arial"/>
      <w:bCs/>
      <w:sz w:val="24"/>
      <w:szCs w:val="20"/>
      <w:lang w:eastAsia="pl-PL"/>
    </w:rPr>
  </w:style>
  <w:style w:type="paragraph" w:customStyle="1" w:styleId="ZLITLITzmlitliter">
    <w:name w:val="Z_LIT/LIT – zm. lit. literą"/>
    <w:basedOn w:val="Normalny"/>
    <w:uiPriority w:val="48"/>
    <w:qFormat/>
    <w:rsid w:val="00661F4F"/>
    <w:pPr>
      <w:spacing w:after="0" w:line="360" w:lineRule="auto"/>
      <w:ind w:left="1463"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D85A49"/>
    <w:pPr>
      <w:spacing w:after="0" w:line="360" w:lineRule="auto"/>
      <w:ind w:left="1020" w:hanging="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2869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86921"/>
    <w:rPr>
      <w:rFonts w:ascii="Tahoma" w:hAnsi="Tahoma" w:cs="Tahoma"/>
      <w:sz w:val="16"/>
      <w:szCs w:val="16"/>
    </w:rPr>
  </w:style>
  <w:style w:type="paragraph" w:customStyle="1" w:styleId="ZARTzmartartykuempunktem">
    <w:name w:val="Z/ART(§) – zm. art. (§) artykułem (punktem)"/>
    <w:basedOn w:val="Normalny"/>
    <w:uiPriority w:val="30"/>
    <w:qFormat/>
    <w:rsid w:val="002836B4"/>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NormalnyWeb">
    <w:name w:val="Normal (Web)"/>
    <w:basedOn w:val="Normalny"/>
    <w:uiPriority w:val="99"/>
    <w:unhideWhenUsed/>
    <w:rsid w:val="00C16FC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7582D"/>
    <w:rPr>
      <w:color w:val="0000FF"/>
      <w:u w:val="single"/>
    </w:rPr>
  </w:style>
  <w:style w:type="character" w:styleId="Odwoaniedokomentarza">
    <w:name w:val="annotation reference"/>
    <w:basedOn w:val="Domylnaczcionkaakapitu"/>
    <w:uiPriority w:val="99"/>
    <w:semiHidden/>
    <w:unhideWhenUsed/>
    <w:rsid w:val="00516711"/>
    <w:rPr>
      <w:sz w:val="16"/>
      <w:szCs w:val="16"/>
    </w:rPr>
  </w:style>
  <w:style w:type="paragraph" w:styleId="Tekstkomentarza">
    <w:name w:val="annotation text"/>
    <w:basedOn w:val="Normalny"/>
    <w:link w:val="TekstkomentarzaZnak"/>
    <w:uiPriority w:val="99"/>
    <w:semiHidden/>
    <w:unhideWhenUsed/>
    <w:rsid w:val="005167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16711"/>
    <w:rPr>
      <w:sz w:val="20"/>
      <w:szCs w:val="20"/>
    </w:rPr>
  </w:style>
  <w:style w:type="paragraph" w:styleId="Tematkomentarza">
    <w:name w:val="annotation subject"/>
    <w:basedOn w:val="Tekstkomentarza"/>
    <w:next w:val="Tekstkomentarza"/>
    <w:link w:val="TematkomentarzaZnak"/>
    <w:uiPriority w:val="99"/>
    <w:semiHidden/>
    <w:unhideWhenUsed/>
    <w:rsid w:val="00516711"/>
    <w:rPr>
      <w:b/>
      <w:bCs/>
    </w:rPr>
  </w:style>
  <w:style w:type="character" w:customStyle="1" w:styleId="TematkomentarzaZnak">
    <w:name w:val="Temat komentarza Znak"/>
    <w:basedOn w:val="TekstkomentarzaZnak"/>
    <w:link w:val="Tematkomentarza"/>
    <w:uiPriority w:val="99"/>
    <w:semiHidden/>
    <w:rsid w:val="00516711"/>
    <w:rPr>
      <w:b/>
      <w:bCs/>
      <w:sz w:val="20"/>
      <w:szCs w:val="20"/>
    </w:rPr>
  </w:style>
  <w:style w:type="paragraph" w:customStyle="1" w:styleId="ARTartustawynprozporzdzenia">
    <w:name w:val="ART(§) – art. ustawy (§ np. rozporządzenia)"/>
    <w:uiPriority w:val="11"/>
    <w:qFormat/>
    <w:rsid w:val="00FB4F4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FB4F48"/>
    <w:rPr>
      <w:b/>
    </w:rPr>
  </w:style>
  <w:style w:type="paragraph" w:styleId="Poprawka">
    <w:name w:val="Revision"/>
    <w:hidden/>
    <w:uiPriority w:val="99"/>
    <w:semiHidden/>
    <w:rsid w:val="00F56788"/>
    <w:pPr>
      <w:spacing w:after="0" w:line="240" w:lineRule="auto"/>
    </w:pPr>
  </w:style>
  <w:style w:type="paragraph" w:styleId="Nagwek">
    <w:name w:val="header"/>
    <w:basedOn w:val="Normalny"/>
    <w:link w:val="NagwekZnak"/>
    <w:uiPriority w:val="99"/>
    <w:unhideWhenUsed/>
    <w:rsid w:val="007841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84101"/>
  </w:style>
  <w:style w:type="paragraph" w:styleId="Stopka">
    <w:name w:val="footer"/>
    <w:basedOn w:val="Normalny"/>
    <w:link w:val="StopkaZnak"/>
    <w:uiPriority w:val="99"/>
    <w:unhideWhenUsed/>
    <w:rsid w:val="007841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84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41353">
      <w:bodyDiv w:val="1"/>
      <w:marLeft w:val="0"/>
      <w:marRight w:val="0"/>
      <w:marTop w:val="0"/>
      <w:marBottom w:val="0"/>
      <w:divBdr>
        <w:top w:val="none" w:sz="0" w:space="0" w:color="auto"/>
        <w:left w:val="none" w:sz="0" w:space="0" w:color="auto"/>
        <w:bottom w:val="none" w:sz="0" w:space="0" w:color="auto"/>
        <w:right w:val="none" w:sz="0" w:space="0" w:color="auto"/>
      </w:divBdr>
    </w:div>
    <w:div w:id="239019769">
      <w:bodyDiv w:val="1"/>
      <w:marLeft w:val="0"/>
      <w:marRight w:val="0"/>
      <w:marTop w:val="0"/>
      <w:marBottom w:val="0"/>
      <w:divBdr>
        <w:top w:val="none" w:sz="0" w:space="0" w:color="auto"/>
        <w:left w:val="none" w:sz="0" w:space="0" w:color="auto"/>
        <w:bottom w:val="none" w:sz="0" w:space="0" w:color="auto"/>
        <w:right w:val="none" w:sz="0" w:space="0" w:color="auto"/>
      </w:divBdr>
    </w:div>
    <w:div w:id="1006784539">
      <w:bodyDiv w:val="1"/>
      <w:marLeft w:val="0"/>
      <w:marRight w:val="0"/>
      <w:marTop w:val="0"/>
      <w:marBottom w:val="0"/>
      <w:divBdr>
        <w:top w:val="none" w:sz="0" w:space="0" w:color="auto"/>
        <w:left w:val="none" w:sz="0" w:space="0" w:color="auto"/>
        <w:bottom w:val="none" w:sz="0" w:space="0" w:color="auto"/>
        <w:right w:val="none" w:sz="0" w:space="0" w:color="auto"/>
      </w:divBdr>
    </w:div>
    <w:div w:id="1702513598">
      <w:bodyDiv w:val="1"/>
      <w:marLeft w:val="0"/>
      <w:marRight w:val="0"/>
      <w:marTop w:val="0"/>
      <w:marBottom w:val="0"/>
      <w:divBdr>
        <w:top w:val="none" w:sz="0" w:space="0" w:color="auto"/>
        <w:left w:val="none" w:sz="0" w:space="0" w:color="auto"/>
        <w:bottom w:val="none" w:sz="0" w:space="0" w:color="auto"/>
        <w:right w:val="none" w:sz="0" w:space="0" w:color="auto"/>
      </w:divBdr>
    </w:div>
    <w:div w:id="1906336460">
      <w:bodyDiv w:val="1"/>
      <w:marLeft w:val="0"/>
      <w:marRight w:val="0"/>
      <w:marTop w:val="0"/>
      <w:marBottom w:val="0"/>
      <w:divBdr>
        <w:top w:val="none" w:sz="0" w:space="0" w:color="auto"/>
        <w:left w:val="none" w:sz="0" w:space="0" w:color="auto"/>
        <w:bottom w:val="none" w:sz="0" w:space="0" w:color="auto"/>
        <w:right w:val="none" w:sz="0" w:space="0" w:color="auto"/>
      </w:divBdr>
    </w:div>
    <w:div w:id="1991251709">
      <w:bodyDiv w:val="1"/>
      <w:marLeft w:val="0"/>
      <w:marRight w:val="0"/>
      <w:marTop w:val="0"/>
      <w:marBottom w:val="0"/>
      <w:divBdr>
        <w:top w:val="none" w:sz="0" w:space="0" w:color="auto"/>
        <w:left w:val="none" w:sz="0" w:space="0" w:color="auto"/>
        <w:bottom w:val="none" w:sz="0" w:space="0" w:color="auto"/>
        <w:right w:val="none" w:sz="0" w:space="0" w:color="auto"/>
      </w:divBdr>
      <w:divsChild>
        <w:div w:id="2125031498">
          <w:marLeft w:val="0"/>
          <w:marRight w:val="0"/>
          <w:marTop w:val="0"/>
          <w:marBottom w:val="0"/>
          <w:divBdr>
            <w:top w:val="none" w:sz="0" w:space="0" w:color="auto"/>
            <w:left w:val="none" w:sz="0" w:space="0" w:color="auto"/>
            <w:bottom w:val="none" w:sz="0" w:space="0" w:color="auto"/>
            <w:right w:val="none" w:sz="0" w:space="0" w:color="auto"/>
          </w:divBdr>
        </w:div>
        <w:div w:id="2002463671">
          <w:marLeft w:val="0"/>
          <w:marRight w:val="0"/>
          <w:marTop w:val="0"/>
          <w:marBottom w:val="0"/>
          <w:divBdr>
            <w:top w:val="none" w:sz="0" w:space="0" w:color="auto"/>
            <w:left w:val="none" w:sz="0" w:space="0" w:color="auto"/>
            <w:bottom w:val="none" w:sz="0" w:space="0" w:color="auto"/>
            <w:right w:val="none" w:sz="0" w:space="0" w:color="auto"/>
          </w:divBdr>
        </w:div>
        <w:div w:id="641926618">
          <w:marLeft w:val="0"/>
          <w:marRight w:val="0"/>
          <w:marTop w:val="0"/>
          <w:marBottom w:val="0"/>
          <w:divBdr>
            <w:top w:val="none" w:sz="0" w:space="0" w:color="auto"/>
            <w:left w:val="none" w:sz="0" w:space="0" w:color="auto"/>
            <w:bottom w:val="none" w:sz="0" w:space="0" w:color="auto"/>
            <w:right w:val="none" w:sz="0" w:space="0" w:color="auto"/>
          </w:divBdr>
        </w:div>
        <w:div w:id="310210491">
          <w:marLeft w:val="0"/>
          <w:marRight w:val="0"/>
          <w:marTop w:val="0"/>
          <w:marBottom w:val="0"/>
          <w:divBdr>
            <w:top w:val="none" w:sz="0" w:space="0" w:color="auto"/>
            <w:left w:val="none" w:sz="0" w:space="0" w:color="auto"/>
            <w:bottom w:val="none" w:sz="0" w:space="0" w:color="auto"/>
            <w:right w:val="none" w:sz="0" w:space="0" w:color="auto"/>
          </w:divBdr>
        </w:div>
        <w:div w:id="1906062835">
          <w:marLeft w:val="0"/>
          <w:marRight w:val="0"/>
          <w:marTop w:val="0"/>
          <w:marBottom w:val="0"/>
          <w:divBdr>
            <w:top w:val="none" w:sz="0" w:space="0" w:color="auto"/>
            <w:left w:val="none" w:sz="0" w:space="0" w:color="auto"/>
            <w:bottom w:val="none" w:sz="0" w:space="0" w:color="auto"/>
            <w:right w:val="none" w:sz="0" w:space="0" w:color="auto"/>
          </w:divBdr>
        </w:div>
        <w:div w:id="847524021">
          <w:marLeft w:val="0"/>
          <w:marRight w:val="0"/>
          <w:marTop w:val="0"/>
          <w:marBottom w:val="0"/>
          <w:divBdr>
            <w:top w:val="none" w:sz="0" w:space="0" w:color="auto"/>
            <w:left w:val="none" w:sz="0" w:space="0" w:color="auto"/>
            <w:bottom w:val="none" w:sz="0" w:space="0" w:color="auto"/>
            <w:right w:val="none" w:sz="0" w:space="0" w:color="auto"/>
          </w:divBdr>
        </w:div>
        <w:div w:id="560363196">
          <w:marLeft w:val="0"/>
          <w:marRight w:val="0"/>
          <w:marTop w:val="0"/>
          <w:marBottom w:val="0"/>
          <w:divBdr>
            <w:top w:val="none" w:sz="0" w:space="0" w:color="auto"/>
            <w:left w:val="none" w:sz="0" w:space="0" w:color="auto"/>
            <w:bottom w:val="none" w:sz="0" w:space="0" w:color="auto"/>
            <w:right w:val="none" w:sz="0" w:space="0" w:color="auto"/>
          </w:divBdr>
        </w:div>
        <w:div w:id="682242071">
          <w:marLeft w:val="0"/>
          <w:marRight w:val="0"/>
          <w:marTop w:val="0"/>
          <w:marBottom w:val="0"/>
          <w:divBdr>
            <w:top w:val="none" w:sz="0" w:space="0" w:color="auto"/>
            <w:left w:val="none" w:sz="0" w:space="0" w:color="auto"/>
            <w:bottom w:val="none" w:sz="0" w:space="0" w:color="auto"/>
            <w:right w:val="none" w:sz="0" w:space="0" w:color="auto"/>
          </w:divBdr>
        </w:div>
        <w:div w:id="1702129290">
          <w:marLeft w:val="0"/>
          <w:marRight w:val="0"/>
          <w:marTop w:val="0"/>
          <w:marBottom w:val="0"/>
          <w:divBdr>
            <w:top w:val="none" w:sz="0" w:space="0" w:color="auto"/>
            <w:left w:val="none" w:sz="0" w:space="0" w:color="auto"/>
            <w:bottom w:val="none" w:sz="0" w:space="0" w:color="auto"/>
            <w:right w:val="none" w:sz="0" w:space="0" w:color="auto"/>
          </w:divBdr>
        </w:div>
        <w:div w:id="1475758634">
          <w:marLeft w:val="0"/>
          <w:marRight w:val="0"/>
          <w:marTop w:val="0"/>
          <w:marBottom w:val="0"/>
          <w:divBdr>
            <w:top w:val="none" w:sz="0" w:space="0" w:color="auto"/>
            <w:left w:val="none" w:sz="0" w:space="0" w:color="auto"/>
            <w:bottom w:val="none" w:sz="0" w:space="0" w:color="auto"/>
            <w:right w:val="none" w:sz="0" w:space="0" w:color="auto"/>
          </w:divBdr>
        </w:div>
        <w:div w:id="1236622243">
          <w:marLeft w:val="0"/>
          <w:marRight w:val="0"/>
          <w:marTop w:val="0"/>
          <w:marBottom w:val="0"/>
          <w:divBdr>
            <w:top w:val="none" w:sz="0" w:space="0" w:color="auto"/>
            <w:left w:val="none" w:sz="0" w:space="0" w:color="auto"/>
            <w:bottom w:val="none" w:sz="0" w:space="0" w:color="auto"/>
            <w:right w:val="none" w:sz="0" w:space="0" w:color="auto"/>
          </w:divBdr>
        </w:div>
        <w:div w:id="441415497">
          <w:marLeft w:val="0"/>
          <w:marRight w:val="0"/>
          <w:marTop w:val="0"/>
          <w:marBottom w:val="0"/>
          <w:divBdr>
            <w:top w:val="none" w:sz="0" w:space="0" w:color="auto"/>
            <w:left w:val="none" w:sz="0" w:space="0" w:color="auto"/>
            <w:bottom w:val="none" w:sz="0" w:space="0" w:color="auto"/>
            <w:right w:val="none" w:sz="0" w:space="0" w:color="auto"/>
          </w:divBdr>
        </w:div>
        <w:div w:id="1543401934">
          <w:marLeft w:val="0"/>
          <w:marRight w:val="0"/>
          <w:marTop w:val="0"/>
          <w:marBottom w:val="0"/>
          <w:divBdr>
            <w:top w:val="none" w:sz="0" w:space="0" w:color="auto"/>
            <w:left w:val="none" w:sz="0" w:space="0" w:color="auto"/>
            <w:bottom w:val="none" w:sz="0" w:space="0" w:color="auto"/>
            <w:right w:val="none" w:sz="0" w:space="0" w:color="auto"/>
          </w:divBdr>
        </w:div>
        <w:div w:id="684403855">
          <w:marLeft w:val="0"/>
          <w:marRight w:val="0"/>
          <w:marTop w:val="0"/>
          <w:marBottom w:val="0"/>
          <w:divBdr>
            <w:top w:val="none" w:sz="0" w:space="0" w:color="auto"/>
            <w:left w:val="none" w:sz="0" w:space="0" w:color="auto"/>
            <w:bottom w:val="none" w:sz="0" w:space="0" w:color="auto"/>
            <w:right w:val="none" w:sz="0" w:space="0" w:color="auto"/>
          </w:divBdr>
        </w:div>
        <w:div w:id="251278233">
          <w:marLeft w:val="0"/>
          <w:marRight w:val="0"/>
          <w:marTop w:val="0"/>
          <w:marBottom w:val="0"/>
          <w:divBdr>
            <w:top w:val="none" w:sz="0" w:space="0" w:color="auto"/>
            <w:left w:val="none" w:sz="0" w:space="0" w:color="auto"/>
            <w:bottom w:val="none" w:sz="0" w:space="0" w:color="auto"/>
            <w:right w:val="none" w:sz="0" w:space="0" w:color="auto"/>
          </w:divBdr>
        </w:div>
        <w:div w:id="274020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AFD2B-636C-4781-9C50-50B6A21D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3536</Words>
  <Characters>21218</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Rowiński Andrzej</dc:creator>
  <cp:lastModifiedBy>Grażyna D. Grabowska</cp:lastModifiedBy>
  <cp:revision>2</cp:revision>
  <cp:lastPrinted>2020-01-16T13:19:00Z</cp:lastPrinted>
  <dcterms:created xsi:type="dcterms:W3CDTF">2020-03-23T09:33:00Z</dcterms:created>
  <dcterms:modified xsi:type="dcterms:W3CDTF">2020-03-23T09:33:00Z</dcterms:modified>
</cp:coreProperties>
</file>