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DE227" w14:textId="6EF77DA6" w:rsidR="00F11197" w:rsidRPr="0065234B" w:rsidRDefault="00F11197" w:rsidP="0065234B">
      <w:pPr>
        <w:pStyle w:val="TYTUAKTUprzedmiotregulacjiustawylubrozporzdzenia"/>
        <w:spacing w:after="0"/>
        <w:rPr>
          <w:rFonts w:ascii="Times New Roman" w:hAnsi="Times New Roman" w:cs="Times New Roman"/>
          <w:b w:val="0"/>
          <w:caps/>
        </w:rPr>
      </w:pPr>
      <w:r w:rsidRPr="0065234B">
        <w:rPr>
          <w:rFonts w:ascii="Times New Roman" w:hAnsi="Times New Roman" w:cs="Times New Roman"/>
          <w:b w:val="0"/>
          <w:caps/>
        </w:rPr>
        <w:t>Uzasadnienie</w:t>
      </w:r>
    </w:p>
    <w:p w14:paraId="1689CD82" w14:textId="150AC168"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Opracowanie projektu ustawy o badaniach klinicznych produktów leczniczych stosowanych u ludzi wynika z konieczności zapewnienia stosowania </w:t>
      </w:r>
      <w:r w:rsidR="00D06EA8">
        <w:rPr>
          <w:rFonts w:ascii="Times New Roman" w:hAnsi="Times New Roman" w:cs="Times New Roman"/>
          <w:szCs w:val="24"/>
        </w:rPr>
        <w:t>r</w:t>
      </w:r>
      <w:r w:rsidRPr="0065234B">
        <w:rPr>
          <w:rFonts w:ascii="Times New Roman" w:hAnsi="Times New Roman" w:cs="Times New Roman"/>
          <w:szCs w:val="24"/>
        </w:rPr>
        <w:t>ozporządzenia Parlamentu Europejskiego i Rady (UE) nr 536/2014 z dnia 16 kwietnia 2014 r. w sprawie badań klinicznych produktów leczniczych stosowanych u ludzi oraz uchylenia dyrektywy 2001/20/WE</w:t>
      </w:r>
      <w:r w:rsidR="005520A9" w:rsidRPr="0065234B">
        <w:rPr>
          <w:rFonts w:ascii="Times New Roman" w:hAnsi="Times New Roman" w:cs="Times New Roman"/>
          <w:szCs w:val="24"/>
        </w:rPr>
        <w:t xml:space="preserve"> (Dz. Urz. UE L 158</w:t>
      </w:r>
      <w:r w:rsidR="00B15011" w:rsidRPr="0065234B">
        <w:rPr>
          <w:rFonts w:ascii="Times New Roman" w:hAnsi="Times New Roman" w:cs="Times New Roman"/>
          <w:szCs w:val="24"/>
        </w:rPr>
        <w:t xml:space="preserve"> z 27.05.2014, str. 1, z późn. zm</w:t>
      </w:r>
      <w:r w:rsidR="00E64310" w:rsidRPr="0065234B">
        <w:rPr>
          <w:rFonts w:ascii="Times New Roman" w:hAnsi="Times New Roman" w:cs="Times New Roman"/>
          <w:szCs w:val="24"/>
        </w:rPr>
        <w:t>.</w:t>
      </w:r>
      <w:r w:rsidR="00B15011" w:rsidRPr="0065234B">
        <w:rPr>
          <w:rFonts w:ascii="Times New Roman" w:hAnsi="Times New Roman" w:cs="Times New Roman"/>
          <w:szCs w:val="24"/>
        </w:rPr>
        <w:t>)</w:t>
      </w:r>
      <w:r w:rsidRPr="0065234B">
        <w:rPr>
          <w:rFonts w:ascii="Times New Roman" w:hAnsi="Times New Roman" w:cs="Times New Roman"/>
          <w:szCs w:val="24"/>
        </w:rPr>
        <w:t>, zwanego dalej „rozporządzeniem 536/2014”.</w:t>
      </w:r>
    </w:p>
    <w:p w14:paraId="3F9DB7D0" w14:textId="785D05E3"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Rozporządzenie 536/2014 będzie obowiązywało w polskim porządku prawnym bezpośrednio i będzie miało zastosowanie po upływie 6 miesięcy od stwierdzenia pełnej funkcjonalności portalu Unii Europejskiej </w:t>
      </w:r>
      <w:r w:rsidR="00B67A50" w:rsidRPr="0065234B">
        <w:rPr>
          <w:rFonts w:ascii="Times New Roman" w:hAnsi="Times New Roman" w:cs="Times New Roman"/>
          <w:szCs w:val="24"/>
        </w:rPr>
        <w:t>oraz</w:t>
      </w:r>
      <w:r w:rsidRPr="0065234B">
        <w:rPr>
          <w:rFonts w:ascii="Times New Roman" w:hAnsi="Times New Roman" w:cs="Times New Roman"/>
          <w:szCs w:val="24"/>
        </w:rPr>
        <w:t xml:space="preserve"> bazy danych Unii Europejskiej</w:t>
      </w:r>
      <w:r w:rsidR="001302EF" w:rsidRPr="0065234B">
        <w:rPr>
          <w:rFonts w:ascii="Times New Roman" w:hAnsi="Times New Roman" w:cs="Times New Roman"/>
          <w:szCs w:val="24"/>
        </w:rPr>
        <w:t>. O</w:t>
      </w:r>
      <w:r w:rsidRPr="0065234B">
        <w:rPr>
          <w:rFonts w:ascii="Times New Roman" w:hAnsi="Times New Roman" w:cs="Times New Roman"/>
          <w:szCs w:val="24"/>
        </w:rPr>
        <w:t>d tego dnia przepisy przyjęte na poziomie krajowym muszą zapewniać skuteczne stosowanie przepisów rozporządzenia</w:t>
      </w:r>
      <w:r w:rsidR="00FE1672" w:rsidRPr="0065234B">
        <w:rPr>
          <w:rFonts w:ascii="Times New Roman" w:hAnsi="Times New Roman" w:cs="Times New Roman"/>
          <w:szCs w:val="24"/>
        </w:rPr>
        <w:t>.</w:t>
      </w:r>
    </w:p>
    <w:p w14:paraId="20A17A42" w14:textId="4E5C7168"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Wprowadzenie nowych regulacji dotyczących badań klinicznych produktów leczniczych stosowanych u ludzi ma na celu również </w:t>
      </w:r>
      <w:bookmarkStart w:id="0" w:name="_Hlk30772946"/>
      <w:r w:rsidRPr="0065234B">
        <w:rPr>
          <w:rFonts w:ascii="Times New Roman" w:hAnsi="Times New Roman" w:cs="Times New Roman"/>
          <w:szCs w:val="24"/>
        </w:rPr>
        <w:t>zwiększenie atrakcyjności prowadzenia badań klinicznych na terytorium Rzeczypospolitej Polski</w:t>
      </w:r>
      <w:bookmarkEnd w:id="0"/>
      <w:r w:rsidRPr="0065234B">
        <w:rPr>
          <w:rFonts w:ascii="Times New Roman" w:hAnsi="Times New Roman" w:cs="Times New Roman"/>
          <w:szCs w:val="24"/>
        </w:rPr>
        <w:t xml:space="preserve">ej. </w:t>
      </w:r>
      <w:bookmarkStart w:id="1" w:name="_Hlk30767483"/>
      <w:r w:rsidRPr="0065234B">
        <w:rPr>
          <w:rFonts w:ascii="Times New Roman" w:hAnsi="Times New Roman" w:cs="Times New Roman"/>
          <w:szCs w:val="24"/>
        </w:rPr>
        <w:t xml:space="preserve">Interesariusze rynku badań klinicznych często uzależniają szansę powodzenia dynamicznego rozwoju </w:t>
      </w:r>
      <w:bookmarkStart w:id="2" w:name="_Hlk30773067"/>
      <w:r w:rsidRPr="0065234B">
        <w:rPr>
          <w:rFonts w:ascii="Times New Roman" w:hAnsi="Times New Roman" w:cs="Times New Roman"/>
          <w:szCs w:val="24"/>
        </w:rPr>
        <w:t xml:space="preserve">badań klinicznych od stopnia skomplikowania i przyjazności regulacji prawnych obowiązujących w kraju ich prowadzenia. </w:t>
      </w:r>
      <w:bookmarkEnd w:id="1"/>
      <w:bookmarkEnd w:id="2"/>
      <w:r w:rsidRPr="0065234B">
        <w:rPr>
          <w:rFonts w:ascii="Times New Roman" w:hAnsi="Times New Roman" w:cs="Times New Roman"/>
          <w:szCs w:val="24"/>
        </w:rPr>
        <w:t>Niewątpliwie jednym z</w:t>
      </w:r>
      <w:r w:rsidR="00B67A50" w:rsidRPr="0065234B">
        <w:rPr>
          <w:rFonts w:ascii="Times New Roman" w:hAnsi="Times New Roman" w:cs="Times New Roman"/>
          <w:szCs w:val="24"/>
        </w:rPr>
        <w:t>e</w:t>
      </w:r>
      <w:r w:rsidRPr="0065234B">
        <w:rPr>
          <w:rFonts w:ascii="Times New Roman" w:hAnsi="Times New Roman" w:cs="Times New Roman"/>
          <w:szCs w:val="24"/>
        </w:rPr>
        <w:t xml:space="preserve"> stymulantów dla rozwoju badań klinicznych jest zapewnienie przejrzystego systemu prawnego pozbawionego barier o charakterze administracyjno-prawnym. Obecnie wskaźniki dotyczące liczby prowadzonych badań w stosunku do liczby mieszkańców są niesatysfakcjonujące w porównaniu do innych krajów europejskich, takich jak Czechy czy Węgry. Dążąc do zmiany tego stanu, rozwój sektora badań klinicznych stał się ważnym elementem dokumentu rządowego pn. „Polityka Lekowa Państwa”, określającym priorytety działań rządu Rzeczypospolitej Polskiej w zakresie gospodarowania lekami w latach 2018–2022. W przedmiotowym dokumencie wskazano na szczególną rolę zwiększenia konkurencyjności i innowacyjności przemysłu farmaceutycznego przez stymulację badań i rozwoju leków oraz poprawę warunków realizacji badań klinicznych. Celem projektodawcy jest zwiększenie konkurencyjności Rzeczypospolitej Polskiej jako miejsca prowadzenia badań klinicznych przez wdrożenie przejrzystych regulacji prawnych umożliwiających stosowanie europejskich standardów określonych w rozporządzeniu 536/2014 oraz wprowadzenie dodatkowych ułatwień i mechanizmów zachęcających do prowadzenia badań klinicznych, które pozytywnie wyróżnią nasz kraj na tle </w:t>
      </w:r>
      <w:r w:rsidRPr="0065234B">
        <w:rPr>
          <w:rFonts w:ascii="Times New Roman" w:hAnsi="Times New Roman" w:cs="Times New Roman"/>
          <w:szCs w:val="24"/>
        </w:rPr>
        <w:lastRenderedPageBreak/>
        <w:t>państw wdrażających jedynie plan minimum wyłącznie umożliwiający stosowanie rozporządzenia.</w:t>
      </w:r>
    </w:p>
    <w:p w14:paraId="6DDC0BB1" w14:textId="4C916681"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zasadą pomocniczości rozporządzenie 536/2014 pozostawia szereg kwestii do regulacji państw członkowskich, które to regulacje zostały zawarte w projekcie ustawy o badaniach klinicznych produktów leczniczych stosowanych u ludzi, zwanym dalej „projektem ustawy”.</w:t>
      </w:r>
    </w:p>
    <w:p w14:paraId="2DB97DB6" w14:textId="32549873"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Rozporządzenie 536/2014 nie ma charakteru wyczerpującego i wymaga od państw członkowskich wprowadzenia regulacji prawnych, które nie mogą zostać przyjęte na poziomie wspólnotowym. Kluczowe kwestie pozostawione w kompetencji krajowej, które zostały uregulowane w projekcie ustawy o badaniach klinicznych produktów leczniczych stosowanych u ludzi</w:t>
      </w:r>
      <w:r w:rsidR="00D06EA8">
        <w:rPr>
          <w:rFonts w:ascii="Times New Roman" w:hAnsi="Times New Roman" w:cs="Times New Roman"/>
          <w:szCs w:val="24"/>
        </w:rPr>
        <w:t>,</w:t>
      </w:r>
      <w:r w:rsidRPr="0065234B">
        <w:rPr>
          <w:rFonts w:ascii="Times New Roman" w:hAnsi="Times New Roman" w:cs="Times New Roman"/>
          <w:szCs w:val="24"/>
        </w:rPr>
        <w:t xml:space="preserve"> dotyczą m.in.: </w:t>
      </w:r>
    </w:p>
    <w:p w14:paraId="4018850F"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określenia krajowego organu kompetentnego odpowiedzialnego za wydanie pozwolenia na prowadzenie badania klinicznego oraz trybu postępowania w przedmiocie wydania pozwolenia na badanie kliniczne produktu leczniczego stosowanego u ludzi;</w:t>
      </w:r>
    </w:p>
    <w:p w14:paraId="07B57768"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 xml:space="preserve">systemu oceny etycznej badań klinicznych produktów leczniczych oraz sposobu jej przeprowadzania przez komisje bioetyczne, przy uwzględnieniu terminów określonych w rozporządzeniu 536/2014; </w:t>
      </w:r>
    </w:p>
    <w:p w14:paraId="57B273EC"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 xml:space="preserve">wymogów językowych dokumentacji; </w:t>
      </w:r>
    </w:p>
    <w:p w14:paraId="741605D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 xml:space="preserve">wprowadzenia rozwiązań zapewniających ochronę uczestników badań w zakresie systemu odszkodowań (systemu ubezpieczeń); </w:t>
      </w:r>
    </w:p>
    <w:p w14:paraId="0BEAF288" w14:textId="7699B0E3"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t>zasad odpowiedzialności cywilnej</w:t>
      </w:r>
      <w:r w:rsidR="00B67A50" w:rsidRPr="0065234B">
        <w:rPr>
          <w:rFonts w:ascii="Times New Roman" w:hAnsi="Times New Roman" w:cs="Times New Roman"/>
          <w:szCs w:val="24"/>
        </w:rPr>
        <w:t xml:space="preserve"> i karnej</w:t>
      </w:r>
      <w:r w:rsidRPr="0065234B">
        <w:rPr>
          <w:rFonts w:ascii="Times New Roman" w:hAnsi="Times New Roman" w:cs="Times New Roman"/>
          <w:szCs w:val="24"/>
        </w:rPr>
        <w:t xml:space="preserve"> badacza i sponsora; </w:t>
      </w:r>
    </w:p>
    <w:p w14:paraId="4F6714C3"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6)</w:t>
      </w:r>
      <w:r w:rsidRPr="0065234B">
        <w:rPr>
          <w:rFonts w:ascii="Times New Roman" w:hAnsi="Times New Roman" w:cs="Times New Roman"/>
          <w:szCs w:val="24"/>
        </w:rPr>
        <w:tab/>
        <w:t xml:space="preserve">wysokości i sposobu uiszczania opłat związanych z badaniem klinicznym; </w:t>
      </w:r>
    </w:p>
    <w:p w14:paraId="40945003"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7)</w:t>
      </w:r>
      <w:r w:rsidRPr="0065234B">
        <w:rPr>
          <w:rFonts w:ascii="Times New Roman" w:hAnsi="Times New Roman" w:cs="Times New Roman"/>
          <w:szCs w:val="24"/>
        </w:rPr>
        <w:tab/>
        <w:t>zasad finansowania świadczeń opieki zdrowotnej związanych z badaniem klinicznym;</w:t>
      </w:r>
    </w:p>
    <w:p w14:paraId="14CE4E65"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8)</w:t>
      </w:r>
      <w:r w:rsidRPr="0065234B">
        <w:rPr>
          <w:rFonts w:ascii="Times New Roman" w:hAnsi="Times New Roman" w:cs="Times New Roman"/>
          <w:szCs w:val="24"/>
        </w:rPr>
        <w:tab/>
        <w:t xml:space="preserve">zasad i trybu przeprowadzania inspekcji badania klinicznego; </w:t>
      </w:r>
    </w:p>
    <w:p w14:paraId="49A24139"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9)</w:t>
      </w:r>
      <w:r w:rsidRPr="0065234B">
        <w:rPr>
          <w:rFonts w:ascii="Times New Roman" w:hAnsi="Times New Roman" w:cs="Times New Roman"/>
          <w:szCs w:val="24"/>
        </w:rPr>
        <w:tab/>
        <w:t>mechanizmu wsparcia niekomercyjnych badań klinicznych.</w:t>
      </w:r>
    </w:p>
    <w:p w14:paraId="70ACFAF3" w14:textId="1F21411F" w:rsidR="00F11197"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świetle powyższego </w:t>
      </w:r>
      <w:r w:rsidR="00D06EA8" w:rsidRPr="0065234B">
        <w:rPr>
          <w:rFonts w:ascii="Times New Roman" w:hAnsi="Times New Roman" w:cs="Times New Roman"/>
          <w:szCs w:val="24"/>
        </w:rPr>
        <w:t>stało s</w:t>
      </w:r>
      <w:r w:rsidR="00D06EA8">
        <w:rPr>
          <w:rFonts w:ascii="Times New Roman" w:hAnsi="Times New Roman" w:cs="Times New Roman"/>
          <w:szCs w:val="24"/>
        </w:rPr>
        <w:t xml:space="preserve">ię </w:t>
      </w:r>
      <w:r w:rsidRPr="0065234B">
        <w:rPr>
          <w:rFonts w:ascii="Times New Roman" w:hAnsi="Times New Roman" w:cs="Times New Roman"/>
          <w:szCs w:val="24"/>
        </w:rPr>
        <w:t xml:space="preserve">konieczne </w:t>
      </w:r>
      <w:r w:rsidR="005646C3">
        <w:rPr>
          <w:rFonts w:ascii="Times New Roman" w:hAnsi="Times New Roman" w:cs="Times New Roman"/>
          <w:szCs w:val="24"/>
        </w:rPr>
        <w:t xml:space="preserve">opracowanie nowej regulacji </w:t>
      </w:r>
      <w:r w:rsidRPr="0065234B">
        <w:rPr>
          <w:rFonts w:ascii="Times New Roman" w:hAnsi="Times New Roman" w:cs="Times New Roman"/>
          <w:szCs w:val="24"/>
        </w:rPr>
        <w:t>w zakresie badań klinicznych, która odpowiadałaby przepisom i standardom prowadzenia badań klinicznych przyjętym na poziomie Unii Europejskiej.</w:t>
      </w:r>
    </w:p>
    <w:p w14:paraId="506747A6" w14:textId="3CDFAFE2" w:rsidR="00D06EA8" w:rsidRDefault="00D06EA8" w:rsidP="005646C3">
      <w:pPr>
        <w:pStyle w:val="ARTartustawynprozporzdzenia"/>
        <w:ind w:firstLine="567"/>
        <w:rPr>
          <w:rFonts w:ascii="Times New Roman" w:hAnsi="Times New Roman" w:cs="Times New Roman"/>
          <w:szCs w:val="24"/>
        </w:rPr>
      </w:pPr>
    </w:p>
    <w:p w14:paraId="6C6B495D" w14:textId="77777777" w:rsidR="00D06EA8" w:rsidRPr="0065234B" w:rsidRDefault="00D06EA8" w:rsidP="005646C3">
      <w:pPr>
        <w:pStyle w:val="ARTartustawynprozporzdzenia"/>
        <w:ind w:firstLine="567"/>
        <w:rPr>
          <w:rFonts w:ascii="Times New Roman" w:hAnsi="Times New Roman" w:cs="Times New Roman"/>
          <w:szCs w:val="24"/>
        </w:rPr>
      </w:pPr>
    </w:p>
    <w:p w14:paraId="372434EA" w14:textId="77777777" w:rsidR="00F11197" w:rsidRPr="0065234B" w:rsidRDefault="00F11197" w:rsidP="0065234B">
      <w:pPr>
        <w:pStyle w:val="ARTartustawynprozporzdzenia"/>
        <w:rPr>
          <w:rStyle w:val="Ppogrubienie"/>
          <w:rFonts w:ascii="Times New Roman" w:hAnsi="Times New Roman" w:cs="Times New Roman"/>
          <w:szCs w:val="24"/>
        </w:rPr>
      </w:pPr>
      <w:r w:rsidRPr="0065234B">
        <w:rPr>
          <w:rStyle w:val="Ppogrubienie"/>
          <w:rFonts w:ascii="Times New Roman" w:hAnsi="Times New Roman" w:cs="Times New Roman"/>
          <w:szCs w:val="24"/>
        </w:rPr>
        <w:lastRenderedPageBreak/>
        <w:t>Zgodność z KPO</w:t>
      </w:r>
    </w:p>
    <w:p w14:paraId="030EB992" w14:textId="58DDC860"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Projekt ustawy o badaniach klinicznych produktów leczniczych stosowanych u ludzi jest elementem Krajowego Planu Odbudowy i Zwiększania Odporności, zwanym dalej „KPO” – kamieniem milowym w części grantowej D3. Rozwój badań naukowych i sektora farmaceutycznego w odpowiedzi na wzmocnienie odporności systemu ochrony zdrowia. Zakładany w KPO termin realizacji ww. kamienia milowego to IV kwartał 2022 r. Projekt ustawy w pełni realizuje</w:t>
      </w:r>
      <w:r w:rsidR="005646C3">
        <w:rPr>
          <w:rFonts w:ascii="Times New Roman" w:hAnsi="Times New Roman" w:cs="Times New Roman"/>
          <w:szCs w:val="24"/>
        </w:rPr>
        <w:t xml:space="preserve"> zobowiązania wynikające z KPO.</w:t>
      </w:r>
    </w:p>
    <w:p w14:paraId="66F1D13B" w14:textId="312556E4"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Przedmiotowy kamień milowy ma zostać zrealizowany przez wejście</w:t>
      </w:r>
      <w:r w:rsidR="00B67A50" w:rsidRPr="0065234B">
        <w:rPr>
          <w:rFonts w:ascii="Times New Roman" w:hAnsi="Times New Roman" w:cs="Times New Roman"/>
          <w:szCs w:val="24"/>
        </w:rPr>
        <w:t xml:space="preserve"> w życie projektowanej</w:t>
      </w:r>
      <w:r w:rsidRPr="0065234B">
        <w:rPr>
          <w:rFonts w:ascii="Times New Roman" w:hAnsi="Times New Roman" w:cs="Times New Roman"/>
          <w:szCs w:val="24"/>
        </w:rPr>
        <w:t xml:space="preserve"> ustawy, która będzie obejmowała swym zakresem:</w:t>
      </w:r>
    </w:p>
    <w:p w14:paraId="65F4B14E"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przejrzyste zasady oraz</w:t>
      </w:r>
    </w:p>
    <w:p w14:paraId="7742EB41"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dodatkowe udogodnienia i mechanizmy zachęcające do prowadzenia badań klinicznych w Polsce oraz poprawiające jakość i usprawniające badania kliniczne w Polsce.</w:t>
      </w:r>
    </w:p>
    <w:p w14:paraId="5D48085C" w14:textId="5BB8E020"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Rozporządzenie 536/2014, regulujące kwestie badań klinicznych produktów leczniczych stosowanych u ludzi na poziomie Unii Europejskiej, obowiązuje w polskim porządku prawnym bezpośrednio, niemniej jednak wymaga uregulowania na poziomie krajowym kwestii, m.in. systemu oceny etycznej badań klinicznych produktów leczniczych oraz sposobu jej przeprowadzania, wymogów językowych dokumentacji czy wprowadzenia rozwiązań zapewniających ochronę uczestników badań klinicznych w zakresie systemu odszkodowań. Wszystkie niezbędne kwestie określone w rozporządzeniu 536/2014 są regulowane w projekcie ustawy w sposób przejrzysty zarówno dla uczestników bada</w:t>
      </w:r>
      <w:r w:rsidR="00C46298" w:rsidRPr="0065234B">
        <w:rPr>
          <w:rFonts w:ascii="Times New Roman" w:hAnsi="Times New Roman" w:cs="Times New Roman"/>
          <w:szCs w:val="24"/>
        </w:rPr>
        <w:t>ń</w:t>
      </w:r>
      <w:r w:rsidRPr="0065234B">
        <w:rPr>
          <w:rFonts w:ascii="Times New Roman" w:hAnsi="Times New Roman" w:cs="Times New Roman"/>
          <w:szCs w:val="24"/>
        </w:rPr>
        <w:t xml:space="preserve"> klinicznych, sponsorów tych badań</w:t>
      </w:r>
      <w:r w:rsidR="00D06EA8">
        <w:rPr>
          <w:rFonts w:ascii="Times New Roman" w:hAnsi="Times New Roman" w:cs="Times New Roman"/>
          <w:szCs w:val="24"/>
        </w:rPr>
        <w:t>,</w:t>
      </w:r>
      <w:r w:rsidRPr="0065234B">
        <w:rPr>
          <w:rFonts w:ascii="Times New Roman" w:hAnsi="Times New Roman" w:cs="Times New Roman"/>
          <w:szCs w:val="24"/>
        </w:rPr>
        <w:t xml:space="preserve"> </w:t>
      </w:r>
      <w:r w:rsidR="00D06EA8">
        <w:rPr>
          <w:rFonts w:ascii="Times New Roman" w:hAnsi="Times New Roman" w:cs="Times New Roman"/>
          <w:szCs w:val="24"/>
        </w:rPr>
        <w:t>jak i</w:t>
      </w:r>
      <w:r w:rsidRPr="0065234B">
        <w:rPr>
          <w:rFonts w:ascii="Times New Roman" w:hAnsi="Times New Roman" w:cs="Times New Roman"/>
          <w:szCs w:val="24"/>
        </w:rPr>
        <w:t xml:space="preserve"> organów zaangażowanych w proces oceny wniosków badań klinicznych. Projekt ustawy ma również na celu zwiększenie atrakcyjności prowadzenia badań klinicznych, m.in. przez zapewnienie przejrzystego systemu prawnego pozbawionego barier o charakterze administracyjno-prawnym. </w:t>
      </w:r>
      <w:r w:rsidR="00824871" w:rsidRPr="0065234B">
        <w:rPr>
          <w:rFonts w:ascii="Times New Roman" w:hAnsi="Times New Roman" w:cs="Times New Roman"/>
          <w:szCs w:val="24"/>
        </w:rPr>
        <w:t xml:space="preserve">Szczegółowe przepisy określające wprowadzone przejrzyste zasady </w:t>
      </w:r>
      <w:r w:rsidR="000B4A86" w:rsidRPr="0065234B">
        <w:rPr>
          <w:rFonts w:ascii="Times New Roman" w:hAnsi="Times New Roman" w:cs="Times New Roman"/>
          <w:szCs w:val="24"/>
        </w:rPr>
        <w:t xml:space="preserve">prowadzenia badań klinicznych produktów leczniczych stosowanych u ludzi </w:t>
      </w:r>
      <w:r w:rsidR="00824871" w:rsidRPr="0065234B">
        <w:rPr>
          <w:rFonts w:ascii="Times New Roman" w:hAnsi="Times New Roman" w:cs="Times New Roman"/>
          <w:szCs w:val="24"/>
        </w:rPr>
        <w:t>zostały zawarte w art. 9</w:t>
      </w:r>
      <w:r w:rsidR="00C56B39" w:rsidRPr="0065234B">
        <w:rPr>
          <w:rFonts w:ascii="Times New Roman" w:hAnsi="Times New Roman" w:cs="Times New Roman"/>
          <w:szCs w:val="24"/>
        </w:rPr>
        <w:t>–</w:t>
      </w:r>
      <w:r w:rsidR="00824871" w:rsidRPr="0065234B">
        <w:rPr>
          <w:rFonts w:ascii="Times New Roman" w:hAnsi="Times New Roman" w:cs="Times New Roman"/>
          <w:szCs w:val="24"/>
        </w:rPr>
        <w:t>13 oraz art. 21</w:t>
      </w:r>
      <w:r w:rsidR="00C56B39" w:rsidRPr="0065234B">
        <w:rPr>
          <w:rFonts w:ascii="Times New Roman" w:hAnsi="Times New Roman" w:cs="Times New Roman"/>
          <w:szCs w:val="24"/>
        </w:rPr>
        <w:t>–</w:t>
      </w:r>
      <w:r w:rsidR="00824871" w:rsidRPr="0065234B">
        <w:rPr>
          <w:rFonts w:ascii="Times New Roman" w:hAnsi="Times New Roman" w:cs="Times New Roman"/>
          <w:szCs w:val="24"/>
        </w:rPr>
        <w:t xml:space="preserve">35 tej ustawy. </w:t>
      </w:r>
      <w:r w:rsidR="00250267" w:rsidRPr="0065234B">
        <w:rPr>
          <w:rFonts w:ascii="Times New Roman" w:hAnsi="Times New Roman" w:cs="Times New Roman"/>
          <w:szCs w:val="24"/>
        </w:rPr>
        <w:t>P</w:t>
      </w:r>
      <w:r w:rsidRPr="0065234B">
        <w:rPr>
          <w:rFonts w:ascii="Times New Roman" w:hAnsi="Times New Roman" w:cs="Times New Roman"/>
          <w:szCs w:val="24"/>
        </w:rPr>
        <w:t xml:space="preserve">rojekt </w:t>
      </w:r>
      <w:r w:rsidR="00250267" w:rsidRPr="0065234B">
        <w:rPr>
          <w:rFonts w:ascii="Times New Roman" w:hAnsi="Times New Roman" w:cs="Times New Roman"/>
          <w:szCs w:val="24"/>
        </w:rPr>
        <w:t xml:space="preserve">ustawy </w:t>
      </w:r>
      <w:r w:rsidRPr="0065234B">
        <w:rPr>
          <w:rFonts w:ascii="Times New Roman" w:hAnsi="Times New Roman" w:cs="Times New Roman"/>
          <w:szCs w:val="24"/>
        </w:rPr>
        <w:t>wprowadz</w:t>
      </w:r>
      <w:r w:rsidR="00250267" w:rsidRPr="0065234B">
        <w:rPr>
          <w:rFonts w:ascii="Times New Roman" w:hAnsi="Times New Roman" w:cs="Times New Roman"/>
          <w:szCs w:val="24"/>
        </w:rPr>
        <w:t>a</w:t>
      </w:r>
      <w:r w:rsidRPr="0065234B">
        <w:rPr>
          <w:rFonts w:ascii="Times New Roman" w:hAnsi="Times New Roman" w:cs="Times New Roman"/>
          <w:szCs w:val="24"/>
        </w:rPr>
        <w:t xml:space="preserve"> regulacje, których celem jest zwiększenie ilości niekomercyjnych badań klinicznych prowadzonych w Rzeczypospolitej Polskiej i ułatwienie uzyskania zgody na prowadzenie takich badań. Wychodząc naprzeciw </w:t>
      </w:r>
      <w:r w:rsidR="00B67A50" w:rsidRPr="0065234B">
        <w:rPr>
          <w:rFonts w:ascii="Times New Roman" w:hAnsi="Times New Roman" w:cs="Times New Roman"/>
          <w:szCs w:val="24"/>
        </w:rPr>
        <w:t xml:space="preserve">potrzeb </w:t>
      </w:r>
      <w:r w:rsidRPr="0065234B">
        <w:rPr>
          <w:rFonts w:ascii="Times New Roman" w:hAnsi="Times New Roman" w:cs="Times New Roman"/>
          <w:szCs w:val="24"/>
        </w:rPr>
        <w:t>sponsor</w:t>
      </w:r>
      <w:r w:rsidR="00B67A50" w:rsidRPr="0065234B">
        <w:rPr>
          <w:rFonts w:ascii="Times New Roman" w:hAnsi="Times New Roman" w:cs="Times New Roman"/>
          <w:szCs w:val="24"/>
        </w:rPr>
        <w:t>ów</w:t>
      </w:r>
      <w:r w:rsidRPr="0065234B">
        <w:rPr>
          <w:rFonts w:ascii="Times New Roman" w:hAnsi="Times New Roman" w:cs="Times New Roman"/>
          <w:szCs w:val="24"/>
        </w:rPr>
        <w:t xml:space="preserve"> bada</w:t>
      </w:r>
      <w:r w:rsidR="00B67A50" w:rsidRPr="0065234B">
        <w:rPr>
          <w:rFonts w:ascii="Times New Roman" w:hAnsi="Times New Roman" w:cs="Times New Roman"/>
          <w:szCs w:val="24"/>
        </w:rPr>
        <w:t>ń</w:t>
      </w:r>
      <w:r w:rsidRPr="0065234B">
        <w:rPr>
          <w:rFonts w:ascii="Times New Roman" w:hAnsi="Times New Roman" w:cs="Times New Roman"/>
          <w:szCs w:val="24"/>
        </w:rPr>
        <w:t xml:space="preserve"> klinicznych</w:t>
      </w:r>
      <w:r w:rsidR="00767246">
        <w:rPr>
          <w:rFonts w:ascii="Times New Roman" w:hAnsi="Times New Roman" w:cs="Times New Roman"/>
          <w:szCs w:val="24"/>
        </w:rPr>
        <w:t>,</w:t>
      </w:r>
      <w:r w:rsidRPr="0065234B">
        <w:rPr>
          <w:rFonts w:ascii="Times New Roman" w:hAnsi="Times New Roman" w:cs="Times New Roman"/>
          <w:szCs w:val="24"/>
        </w:rPr>
        <w:t xml:space="preserve"> projekt przewiduje, że dokumentację wniosku badania klinicznego lub jej część będzie można sporządzać w języku angielskim lub w języku polskim, a streszczenie badania wyłącznie w języku polskim.</w:t>
      </w:r>
    </w:p>
    <w:p w14:paraId="2F75930E" w14:textId="0DAC46AD" w:rsidR="00F11197" w:rsidRPr="0065234B" w:rsidRDefault="000B4A86"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lastRenderedPageBreak/>
        <w:t>Natomiast w zakresie dodatkowych udogodnień i mechanizmów zachęcających do prowadzenia badań klinicznych w Polsce oraz poprawiających jakość i usprawniając</w:t>
      </w:r>
      <w:r w:rsidR="00767246">
        <w:rPr>
          <w:rFonts w:ascii="Times New Roman" w:hAnsi="Times New Roman" w:cs="Times New Roman"/>
          <w:szCs w:val="24"/>
        </w:rPr>
        <w:t>ych</w:t>
      </w:r>
      <w:r w:rsidRPr="0065234B">
        <w:rPr>
          <w:rFonts w:ascii="Times New Roman" w:hAnsi="Times New Roman" w:cs="Times New Roman"/>
          <w:szCs w:val="24"/>
        </w:rPr>
        <w:t xml:space="preserve"> badania kliniczne w Polsce</w:t>
      </w:r>
      <w:r w:rsidR="00767246">
        <w:rPr>
          <w:rFonts w:ascii="Times New Roman" w:hAnsi="Times New Roman" w:cs="Times New Roman"/>
          <w:szCs w:val="24"/>
        </w:rPr>
        <w:t>,</w:t>
      </w:r>
      <w:r w:rsidRPr="0065234B">
        <w:rPr>
          <w:rFonts w:ascii="Times New Roman" w:hAnsi="Times New Roman" w:cs="Times New Roman"/>
          <w:szCs w:val="24"/>
        </w:rPr>
        <w:t xml:space="preserve"> szczegółowe przepisy zostały w</w:t>
      </w:r>
      <w:r w:rsidR="007A241F">
        <w:rPr>
          <w:rFonts w:ascii="Times New Roman" w:hAnsi="Times New Roman" w:cs="Times New Roman"/>
          <w:szCs w:val="24"/>
        </w:rPr>
        <w:t>prowadzone w art. 5, art. 6 ust </w:t>
      </w:r>
      <w:r w:rsidRPr="0065234B">
        <w:rPr>
          <w:rFonts w:ascii="Times New Roman" w:hAnsi="Times New Roman" w:cs="Times New Roman"/>
          <w:szCs w:val="24"/>
        </w:rPr>
        <w:t>4, art. 8, art. 10, art. 41</w:t>
      </w:r>
      <w:r w:rsidR="00C56B39" w:rsidRPr="0065234B">
        <w:rPr>
          <w:rFonts w:ascii="Times New Roman" w:hAnsi="Times New Roman" w:cs="Times New Roman"/>
          <w:szCs w:val="24"/>
        </w:rPr>
        <w:t>–</w:t>
      </w:r>
      <w:r w:rsidRPr="0065234B">
        <w:rPr>
          <w:rFonts w:ascii="Times New Roman" w:hAnsi="Times New Roman" w:cs="Times New Roman"/>
          <w:szCs w:val="24"/>
        </w:rPr>
        <w:t>58</w:t>
      </w:r>
      <w:r w:rsidR="00767246">
        <w:rPr>
          <w:rFonts w:ascii="Times New Roman" w:hAnsi="Times New Roman" w:cs="Times New Roman"/>
          <w:szCs w:val="24"/>
        </w:rPr>
        <w:t>,</w:t>
      </w:r>
      <w:r w:rsidRPr="0065234B">
        <w:rPr>
          <w:rFonts w:ascii="Times New Roman" w:hAnsi="Times New Roman" w:cs="Times New Roman"/>
          <w:szCs w:val="24"/>
        </w:rPr>
        <w:t xml:space="preserve"> art. 59 ust. 3 projektowanej ustawy. W szczególności należy wskazać</w:t>
      </w:r>
      <w:r w:rsidR="00321BA7" w:rsidRPr="0065234B">
        <w:rPr>
          <w:rFonts w:ascii="Times New Roman" w:hAnsi="Times New Roman" w:cs="Times New Roman"/>
          <w:szCs w:val="24"/>
        </w:rPr>
        <w:t>, ż</w:t>
      </w:r>
      <w:r w:rsidRPr="0065234B">
        <w:rPr>
          <w:rFonts w:ascii="Times New Roman" w:hAnsi="Times New Roman" w:cs="Times New Roman"/>
          <w:szCs w:val="24"/>
        </w:rPr>
        <w:t>e w</w:t>
      </w:r>
      <w:r w:rsidR="00F11197" w:rsidRPr="0065234B">
        <w:rPr>
          <w:rFonts w:ascii="Times New Roman" w:hAnsi="Times New Roman" w:cs="Times New Roman"/>
          <w:szCs w:val="24"/>
        </w:rPr>
        <w:t xml:space="preserve">ażnym rozwiązaniem zaproponowanym w projekcie ustawy, mającym na celu zagwarantowanie uczestnikom badań klinicznych szybszej i prostszej drogi dochodzenia rekompensaty za poniesione w związku z badaniem klinicznym szkody, jest utworzenie Funduszu Kompensacyjnego Badań Klinicznych. Dzięki utworzeniu ww. Funduszu uczestnicy badań klinicznych będą mogli w łatwiejszy sposób uzyskać odszkodowania za ewentualne szkody na zdrowiu, które odnieśli w wyniku udziału w badaniu klinicznym. </w:t>
      </w:r>
      <w:r w:rsidR="00250267" w:rsidRPr="0065234B">
        <w:rPr>
          <w:rFonts w:ascii="Times New Roman" w:hAnsi="Times New Roman" w:cs="Times New Roman"/>
          <w:szCs w:val="24"/>
        </w:rPr>
        <w:t>Proponowane</w:t>
      </w:r>
      <w:r w:rsidR="00F11197" w:rsidRPr="0065234B">
        <w:rPr>
          <w:rFonts w:ascii="Times New Roman" w:hAnsi="Times New Roman" w:cs="Times New Roman"/>
          <w:szCs w:val="24"/>
        </w:rPr>
        <w:t xml:space="preserve"> rozwiązanie jest dodatkowym środkiem umożliwiającym uzyskanie odszkodowania bez </w:t>
      </w:r>
      <w:r w:rsidR="00250267" w:rsidRPr="0065234B">
        <w:rPr>
          <w:rFonts w:ascii="Times New Roman" w:hAnsi="Times New Roman" w:cs="Times New Roman"/>
          <w:szCs w:val="24"/>
        </w:rPr>
        <w:t>konieczności inicjowania postępowania sądowego</w:t>
      </w:r>
      <w:r w:rsidR="00F11197" w:rsidRPr="0065234B">
        <w:rPr>
          <w:rFonts w:ascii="Times New Roman" w:hAnsi="Times New Roman" w:cs="Times New Roman"/>
          <w:szCs w:val="24"/>
        </w:rPr>
        <w:t xml:space="preserve"> i ponoszenia związanych z </w:t>
      </w:r>
      <w:r w:rsidR="00250267" w:rsidRPr="0065234B">
        <w:rPr>
          <w:rFonts w:ascii="Times New Roman" w:hAnsi="Times New Roman" w:cs="Times New Roman"/>
          <w:szCs w:val="24"/>
        </w:rPr>
        <w:t>nim</w:t>
      </w:r>
      <w:r w:rsidR="00F11197" w:rsidRPr="0065234B">
        <w:rPr>
          <w:rFonts w:ascii="Times New Roman" w:hAnsi="Times New Roman" w:cs="Times New Roman"/>
          <w:szCs w:val="24"/>
        </w:rPr>
        <w:t xml:space="preserve"> kosztów. Jednakże uczestnik badania klinicznego będzie miał również prawo do dochodzenia odszkodowania od ubezpieczyciela czy wystąpienia na drogę sądową – wybór sposobu dochodzenia roszczenia będzie należał do uczestnika badania klinicznego.</w:t>
      </w:r>
    </w:p>
    <w:p w14:paraId="4C974D90" w14:textId="7AA05993"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Dodatkową zachętą do prowadzenia badań klinicznych w Rzeczypospolitej Polskiej będą opłaty za złożenie wniosku o wydanie pozwolenia na badanie kliniczne czy jego istotną zmianę, których wysokość jest regulowana w projek</w:t>
      </w:r>
      <w:r w:rsidR="00B67A50" w:rsidRPr="0065234B">
        <w:rPr>
          <w:rFonts w:ascii="Times New Roman" w:hAnsi="Times New Roman" w:cs="Times New Roman"/>
          <w:szCs w:val="24"/>
        </w:rPr>
        <w:t>cie ustawy</w:t>
      </w:r>
      <w:r w:rsidRPr="0065234B">
        <w:rPr>
          <w:rFonts w:ascii="Times New Roman" w:hAnsi="Times New Roman" w:cs="Times New Roman"/>
          <w:szCs w:val="24"/>
        </w:rPr>
        <w:t>, a które w wielu przypadkach są niższe niż w innych krajach c</w:t>
      </w:r>
      <w:r w:rsidR="005646C3">
        <w:rPr>
          <w:rFonts w:ascii="Times New Roman" w:hAnsi="Times New Roman" w:cs="Times New Roman"/>
          <w:szCs w:val="24"/>
        </w:rPr>
        <w:t>złonkowskich Unii Europejskiej.</w:t>
      </w:r>
    </w:p>
    <w:p w14:paraId="12D1D167" w14:textId="6F33DEEF" w:rsidR="000B4A86" w:rsidRPr="0065234B" w:rsidRDefault="000B4A86" w:rsidP="0065234B">
      <w:pPr>
        <w:pStyle w:val="ARTartustawynprozporzdzenia"/>
        <w:ind w:firstLine="0"/>
        <w:rPr>
          <w:rFonts w:ascii="Times New Roman" w:hAnsi="Times New Roman" w:cs="Times New Roman"/>
          <w:szCs w:val="24"/>
        </w:rPr>
      </w:pPr>
      <w:r w:rsidRPr="0065234B">
        <w:rPr>
          <w:rStyle w:val="Ppogrubienie"/>
          <w:rFonts w:ascii="Times New Roman" w:hAnsi="Times New Roman" w:cs="Times New Roman"/>
          <w:b w:val="0"/>
          <w:bCs/>
          <w:szCs w:val="24"/>
        </w:rPr>
        <w:t xml:space="preserve">Proponowany termin wejścia w życie ustawy realizuje założenia wskazane w KPO. Wskazane w art. 92 ustawy </w:t>
      </w:r>
      <w:r w:rsidRPr="0037691D">
        <w:rPr>
          <w:rFonts w:ascii="Times New Roman" w:hAnsi="Times New Roman" w:cs="Times New Roman"/>
          <w:i/>
          <w:szCs w:val="24"/>
        </w:rPr>
        <w:t>vacatio legis</w:t>
      </w:r>
      <w:r w:rsidRPr="0065234B">
        <w:rPr>
          <w:rFonts w:ascii="Times New Roman" w:hAnsi="Times New Roman" w:cs="Times New Roman"/>
          <w:szCs w:val="24"/>
        </w:rPr>
        <w:t xml:space="preserve"> w odniesieniu do przepisów art</w:t>
      </w:r>
      <w:r w:rsidR="007A241F">
        <w:rPr>
          <w:rFonts w:ascii="Times New Roman" w:hAnsi="Times New Roman" w:cs="Times New Roman"/>
          <w:szCs w:val="24"/>
        </w:rPr>
        <w:t>. 81 pkt 1 i 2 oraz art. 86 pkt </w:t>
      </w:r>
      <w:r w:rsidRPr="0065234B">
        <w:rPr>
          <w:rFonts w:ascii="Times New Roman" w:hAnsi="Times New Roman" w:cs="Times New Roman"/>
          <w:szCs w:val="24"/>
        </w:rPr>
        <w:t xml:space="preserve">1 nie wpływa na realizację kamienia D32G, gdyż nie wpływają na wskazane w opisie kamienia przejrzyste zasady oraz dodatkowe udogodnienia i mechanizmy zachęcające do prowadzenia badań klinicznych w </w:t>
      </w:r>
      <w:r w:rsidR="00C56B39" w:rsidRPr="0065234B">
        <w:rPr>
          <w:rFonts w:ascii="Times New Roman" w:hAnsi="Times New Roman" w:cs="Times New Roman"/>
          <w:szCs w:val="24"/>
        </w:rPr>
        <w:t xml:space="preserve">Rzeczypospolitej </w:t>
      </w:r>
      <w:r w:rsidRPr="0065234B">
        <w:rPr>
          <w:rFonts w:ascii="Times New Roman" w:hAnsi="Times New Roman" w:cs="Times New Roman"/>
          <w:szCs w:val="24"/>
        </w:rPr>
        <w:t>Pols</w:t>
      </w:r>
      <w:r w:rsidR="00C56B39" w:rsidRPr="0065234B">
        <w:rPr>
          <w:rFonts w:ascii="Times New Roman" w:hAnsi="Times New Roman" w:cs="Times New Roman"/>
          <w:szCs w:val="24"/>
        </w:rPr>
        <w:t>kiej</w:t>
      </w:r>
      <w:r w:rsidRPr="0065234B">
        <w:rPr>
          <w:rFonts w:ascii="Times New Roman" w:hAnsi="Times New Roman" w:cs="Times New Roman"/>
          <w:szCs w:val="24"/>
        </w:rPr>
        <w:t xml:space="preserve"> oraz poprawiające jakość i usprawniające badania kliniczne w </w:t>
      </w:r>
      <w:r w:rsidR="00C56B39" w:rsidRPr="0065234B">
        <w:rPr>
          <w:rFonts w:ascii="Times New Roman" w:hAnsi="Times New Roman" w:cs="Times New Roman"/>
          <w:szCs w:val="24"/>
        </w:rPr>
        <w:t xml:space="preserve">Rzeczypospolitej </w:t>
      </w:r>
      <w:r w:rsidRPr="0065234B">
        <w:rPr>
          <w:rFonts w:ascii="Times New Roman" w:hAnsi="Times New Roman" w:cs="Times New Roman"/>
          <w:szCs w:val="24"/>
        </w:rPr>
        <w:t>Pols</w:t>
      </w:r>
      <w:r w:rsidR="00C56B39" w:rsidRPr="0065234B">
        <w:rPr>
          <w:rFonts w:ascii="Times New Roman" w:hAnsi="Times New Roman" w:cs="Times New Roman"/>
          <w:szCs w:val="24"/>
        </w:rPr>
        <w:t>kiej</w:t>
      </w:r>
      <w:r w:rsidRPr="0065234B">
        <w:rPr>
          <w:rFonts w:ascii="Times New Roman" w:hAnsi="Times New Roman" w:cs="Times New Roman"/>
          <w:szCs w:val="24"/>
        </w:rPr>
        <w:t>.</w:t>
      </w:r>
    </w:p>
    <w:p w14:paraId="6387601B" w14:textId="537D1EF0" w:rsidR="00F11197" w:rsidRPr="0065234B" w:rsidRDefault="00F11197" w:rsidP="0065234B">
      <w:pPr>
        <w:pStyle w:val="ARTartustawynprozporzdzenia"/>
        <w:ind w:firstLine="0"/>
        <w:rPr>
          <w:rStyle w:val="Ppogrubienie"/>
          <w:rFonts w:ascii="Times New Roman" w:hAnsi="Times New Roman" w:cs="Times New Roman"/>
          <w:szCs w:val="24"/>
        </w:rPr>
      </w:pPr>
      <w:r w:rsidRPr="0065234B">
        <w:rPr>
          <w:rFonts w:ascii="Times New Roman" w:hAnsi="Times New Roman" w:cs="Times New Roman"/>
          <w:szCs w:val="24"/>
        </w:rPr>
        <w:t xml:space="preserve">Poza powyższym, z opisu przedmiotowego kamienia milowego wynika, że projekt ustawy będzie aktualizował również ramy prawne regulujące sektor biomedyczny w </w:t>
      </w:r>
      <w:r w:rsidR="00C56B39" w:rsidRPr="0065234B">
        <w:rPr>
          <w:rFonts w:ascii="Times New Roman" w:hAnsi="Times New Roman" w:cs="Times New Roman"/>
          <w:szCs w:val="24"/>
        </w:rPr>
        <w:t xml:space="preserve">Rzeczypospolitej </w:t>
      </w:r>
      <w:r w:rsidRPr="0065234B">
        <w:rPr>
          <w:rFonts w:ascii="Times New Roman" w:hAnsi="Times New Roman" w:cs="Times New Roman"/>
          <w:szCs w:val="24"/>
        </w:rPr>
        <w:t>Pols</w:t>
      </w:r>
      <w:r w:rsidR="00C56B39" w:rsidRPr="0065234B">
        <w:rPr>
          <w:rFonts w:ascii="Times New Roman" w:hAnsi="Times New Roman" w:cs="Times New Roman"/>
          <w:szCs w:val="24"/>
        </w:rPr>
        <w:t>kiej</w:t>
      </w:r>
      <w:r w:rsidRPr="0065234B">
        <w:rPr>
          <w:rFonts w:ascii="Times New Roman" w:hAnsi="Times New Roman" w:cs="Times New Roman"/>
          <w:szCs w:val="24"/>
        </w:rPr>
        <w:t>, w tym badania i rozwój, o ile taka aktualizacja zostanie uznana za niezbędną w Rządowym Planie Strategicznym Rozwoju Sektora Biomedycznego w Polsce. Przedmiotowy dokument pn. „Rządowy Plan Rozwoju Sektora Biomedycznego na lata 2022</w:t>
      </w:r>
      <w:r w:rsidR="00C56B39" w:rsidRPr="0065234B">
        <w:rPr>
          <w:rFonts w:ascii="Times New Roman" w:hAnsi="Times New Roman" w:cs="Times New Roman"/>
          <w:szCs w:val="24"/>
        </w:rPr>
        <w:t>–</w:t>
      </w:r>
      <w:r w:rsidRPr="0065234B">
        <w:rPr>
          <w:rFonts w:ascii="Times New Roman" w:hAnsi="Times New Roman" w:cs="Times New Roman"/>
          <w:szCs w:val="24"/>
        </w:rPr>
        <w:t xml:space="preserve">2031” został przyjęty przez Radę Ministrów uchwałą nr 141/2022 z </w:t>
      </w:r>
      <w:r w:rsidR="00B67A50" w:rsidRPr="0065234B">
        <w:rPr>
          <w:rFonts w:ascii="Times New Roman" w:hAnsi="Times New Roman" w:cs="Times New Roman"/>
          <w:szCs w:val="24"/>
        </w:rPr>
        <w:t xml:space="preserve">dnia </w:t>
      </w:r>
      <w:r w:rsidRPr="0065234B">
        <w:rPr>
          <w:rFonts w:ascii="Times New Roman" w:hAnsi="Times New Roman" w:cs="Times New Roman"/>
          <w:szCs w:val="24"/>
        </w:rPr>
        <w:t xml:space="preserve">21 czerwca 2022 r i aktualnie nie zachodzi potrzeba uwzględniania w projekcie ustawy </w:t>
      </w:r>
      <w:r w:rsidR="00B67A50" w:rsidRPr="0065234B">
        <w:rPr>
          <w:rFonts w:ascii="Times New Roman" w:hAnsi="Times New Roman" w:cs="Times New Roman"/>
          <w:szCs w:val="24"/>
        </w:rPr>
        <w:t xml:space="preserve">w </w:t>
      </w:r>
      <w:r w:rsidRPr="0065234B">
        <w:rPr>
          <w:rFonts w:ascii="Times New Roman" w:hAnsi="Times New Roman" w:cs="Times New Roman"/>
          <w:szCs w:val="24"/>
        </w:rPr>
        <w:t>ram</w:t>
      </w:r>
      <w:r w:rsidR="00B67A50" w:rsidRPr="0065234B">
        <w:rPr>
          <w:rFonts w:ascii="Times New Roman" w:hAnsi="Times New Roman" w:cs="Times New Roman"/>
          <w:szCs w:val="24"/>
        </w:rPr>
        <w:t>ach</w:t>
      </w:r>
      <w:r w:rsidRPr="0065234B">
        <w:rPr>
          <w:rFonts w:ascii="Times New Roman" w:hAnsi="Times New Roman" w:cs="Times New Roman"/>
          <w:szCs w:val="24"/>
        </w:rPr>
        <w:t xml:space="preserve"> prawnych regulujących sektor biomedyczny w Polsce. Mając na uwadze powyższe</w:t>
      </w:r>
      <w:r w:rsidR="00E64310" w:rsidRPr="0065234B">
        <w:rPr>
          <w:rFonts w:ascii="Times New Roman" w:hAnsi="Times New Roman" w:cs="Times New Roman"/>
          <w:szCs w:val="24"/>
        </w:rPr>
        <w:t>,</w:t>
      </w:r>
      <w:r w:rsidRPr="0065234B">
        <w:rPr>
          <w:rFonts w:ascii="Times New Roman" w:hAnsi="Times New Roman" w:cs="Times New Roman"/>
          <w:szCs w:val="24"/>
        </w:rPr>
        <w:t xml:space="preserve"> projekt ustawy realizuje założenia </w:t>
      </w:r>
      <w:r w:rsidRPr="0065234B">
        <w:rPr>
          <w:rFonts w:ascii="Times New Roman" w:hAnsi="Times New Roman" w:cs="Times New Roman"/>
          <w:szCs w:val="24"/>
        </w:rPr>
        <w:lastRenderedPageBreak/>
        <w:t>reformy (kamienia milowego) zapisane w KPO i załączniku do decyzji wykonawczej Rady UE zatwierdzającej KPO.</w:t>
      </w:r>
    </w:p>
    <w:p w14:paraId="64B9740F" w14:textId="4AB5C811" w:rsidR="007253ED" w:rsidRPr="005646C3" w:rsidRDefault="007253ED" w:rsidP="005646C3">
      <w:pPr>
        <w:pStyle w:val="ARTartustawynprozporzdzenia"/>
        <w:ind w:firstLine="0"/>
        <w:rPr>
          <w:rStyle w:val="Ppogrubienie"/>
          <w:rFonts w:ascii="Times New Roman" w:hAnsi="Times New Roman" w:cs="Times New Roman"/>
          <w:b w:val="0"/>
          <w:szCs w:val="24"/>
        </w:rPr>
      </w:pPr>
    </w:p>
    <w:p w14:paraId="5B7EE0FF" w14:textId="6092399F" w:rsidR="00F11197" w:rsidRPr="0065234B" w:rsidRDefault="00F11197" w:rsidP="0065234B">
      <w:pPr>
        <w:pStyle w:val="ARTartustawynprozporzdzenia"/>
        <w:rPr>
          <w:rStyle w:val="Ppogrubienie"/>
          <w:rFonts w:ascii="Times New Roman" w:hAnsi="Times New Roman" w:cs="Times New Roman"/>
          <w:szCs w:val="24"/>
        </w:rPr>
      </w:pPr>
      <w:r w:rsidRPr="0065234B">
        <w:rPr>
          <w:rStyle w:val="Ppogrubienie"/>
          <w:rFonts w:ascii="Times New Roman" w:hAnsi="Times New Roman" w:cs="Times New Roman"/>
          <w:szCs w:val="24"/>
        </w:rPr>
        <w:t>Aktualny stan prawny</w:t>
      </w:r>
    </w:p>
    <w:p w14:paraId="2D8A73C6" w14:textId="7A820AA8"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Instytucja badań klinicznych produktów leczniczych została uregulowana w rozdziale 2a ustawy z dnia 6 września 2001 r. – Prawo farmaceutyczne (Dz. U. z 202</w:t>
      </w:r>
      <w:r w:rsidR="00C46298" w:rsidRPr="0065234B">
        <w:rPr>
          <w:rFonts w:ascii="Times New Roman" w:hAnsi="Times New Roman" w:cs="Times New Roman"/>
          <w:szCs w:val="24"/>
        </w:rPr>
        <w:t>2</w:t>
      </w:r>
      <w:r w:rsidR="007A241F">
        <w:rPr>
          <w:rFonts w:ascii="Times New Roman" w:hAnsi="Times New Roman" w:cs="Times New Roman"/>
          <w:szCs w:val="24"/>
        </w:rPr>
        <w:t xml:space="preserve"> r. poz. </w:t>
      </w:r>
      <w:r w:rsidR="00C46298" w:rsidRPr="0065234B">
        <w:rPr>
          <w:rFonts w:ascii="Times New Roman" w:hAnsi="Times New Roman" w:cs="Times New Roman"/>
          <w:szCs w:val="24"/>
        </w:rPr>
        <w:t>2301</w:t>
      </w:r>
      <w:r w:rsidRPr="0065234B">
        <w:rPr>
          <w:rFonts w:ascii="Times New Roman" w:hAnsi="Times New Roman" w:cs="Times New Roman"/>
          <w:szCs w:val="24"/>
        </w:rPr>
        <w:t xml:space="preserve">), zwanej dalej „obowiązującą ustawą”, oraz w szeregu aktów wykonawczych do tej ustawy. Przepisy te stanowią transpozycję dyrektywy 2001/20/WE Parlamentu Europejskiego i Rady z dnia 4 kwietnia 2001 r. w sprawie zbliżania przepisów ustawowych, wykonawczych i administracyjnych </w:t>
      </w:r>
      <w:r w:rsidR="005F4E51" w:rsidRPr="0065234B">
        <w:rPr>
          <w:rFonts w:ascii="Times New Roman" w:hAnsi="Times New Roman" w:cs="Times New Roman"/>
          <w:szCs w:val="24"/>
        </w:rPr>
        <w:t>P</w:t>
      </w:r>
      <w:r w:rsidRPr="0065234B">
        <w:rPr>
          <w:rFonts w:ascii="Times New Roman" w:hAnsi="Times New Roman" w:cs="Times New Roman"/>
          <w:szCs w:val="24"/>
        </w:rPr>
        <w:t xml:space="preserve">aństw </w:t>
      </w:r>
      <w:r w:rsidR="005F4E51" w:rsidRPr="0065234B">
        <w:rPr>
          <w:rFonts w:ascii="Times New Roman" w:hAnsi="Times New Roman" w:cs="Times New Roman"/>
          <w:szCs w:val="24"/>
        </w:rPr>
        <w:t>C</w:t>
      </w:r>
      <w:r w:rsidRPr="0065234B">
        <w:rPr>
          <w:rFonts w:ascii="Times New Roman" w:hAnsi="Times New Roman" w:cs="Times New Roman"/>
          <w:szCs w:val="24"/>
        </w:rPr>
        <w:t xml:space="preserve">złonkowskich, odnoszących się do wdrożenia zasady dobrej praktyki klinicznej w prowadzeniu badań klinicznych produktów leczniczych, przeznaczonych do stosowania przez człowieka </w:t>
      </w:r>
      <w:r w:rsidR="00C81602" w:rsidRPr="0065234B">
        <w:rPr>
          <w:rFonts w:ascii="Times New Roman" w:hAnsi="Times New Roman" w:cs="Times New Roman"/>
          <w:szCs w:val="24"/>
        </w:rPr>
        <w:t xml:space="preserve">(Dz. Urz. UE L 121 z </w:t>
      </w:r>
      <w:r w:rsidR="00F57A8F">
        <w:rPr>
          <w:rFonts w:ascii="Times New Roman" w:hAnsi="Times New Roman" w:cs="Times New Roman"/>
          <w:szCs w:val="24"/>
        </w:rPr>
        <w:t>0</w:t>
      </w:r>
      <w:r w:rsidR="00C81602" w:rsidRPr="0065234B">
        <w:rPr>
          <w:rFonts w:ascii="Times New Roman" w:hAnsi="Times New Roman" w:cs="Times New Roman"/>
          <w:szCs w:val="24"/>
        </w:rPr>
        <w:t>1.</w:t>
      </w:r>
      <w:r w:rsidR="00F57A8F">
        <w:rPr>
          <w:rFonts w:ascii="Times New Roman" w:hAnsi="Times New Roman" w:cs="Times New Roman"/>
          <w:szCs w:val="24"/>
        </w:rPr>
        <w:t>0</w:t>
      </w:r>
      <w:r w:rsidR="007A241F">
        <w:rPr>
          <w:rFonts w:ascii="Times New Roman" w:hAnsi="Times New Roman" w:cs="Times New Roman"/>
          <w:szCs w:val="24"/>
        </w:rPr>
        <w:t>5.2001, str. </w:t>
      </w:r>
      <w:r w:rsidR="00C81602" w:rsidRPr="0065234B">
        <w:rPr>
          <w:rFonts w:ascii="Times New Roman" w:hAnsi="Times New Roman" w:cs="Times New Roman"/>
          <w:szCs w:val="24"/>
        </w:rPr>
        <w:t xml:space="preserve">34, z późn.zm.) </w:t>
      </w:r>
      <w:r w:rsidRPr="0065234B">
        <w:rPr>
          <w:rFonts w:ascii="Times New Roman" w:hAnsi="Times New Roman" w:cs="Times New Roman"/>
          <w:szCs w:val="24"/>
        </w:rPr>
        <w:t>oraz dyrektywy Komisji 2005/28/WE z dnia 8 kwietnia 2005 r. ustalając</w:t>
      </w:r>
      <w:r w:rsidR="00F57A8F">
        <w:rPr>
          <w:rFonts w:ascii="Times New Roman" w:hAnsi="Times New Roman" w:cs="Times New Roman"/>
          <w:szCs w:val="24"/>
        </w:rPr>
        <w:t>ej</w:t>
      </w:r>
      <w:r w:rsidRPr="0065234B">
        <w:rPr>
          <w:rFonts w:ascii="Times New Roman" w:hAnsi="Times New Roman" w:cs="Times New Roman"/>
          <w:szCs w:val="24"/>
        </w:rPr>
        <w:t xml:space="preserve"> zasady oraz szczegółowe wytyczne dobrej praktyki klinicznej w odniesieniu do badanych produktów leczniczych przeznaczonych do stosowania u ludzi, a także wymogi zatwierdzania produkcji oraz przywozu takich produktów</w:t>
      </w:r>
      <w:r w:rsidR="00C81602" w:rsidRPr="0065234B">
        <w:rPr>
          <w:rFonts w:ascii="Times New Roman" w:hAnsi="Times New Roman" w:cs="Times New Roman"/>
          <w:szCs w:val="24"/>
        </w:rPr>
        <w:t xml:space="preserve"> </w:t>
      </w:r>
      <w:r w:rsidR="00C81602" w:rsidRPr="0065234B">
        <w:rPr>
          <w:rFonts w:ascii="Times New Roman" w:eastAsiaTheme="minorHAnsi" w:hAnsi="Times New Roman" w:cs="Times New Roman"/>
          <w:szCs w:val="24"/>
          <w:lang w:eastAsia="en-US"/>
        </w:rPr>
        <w:t>(Dz. Urz. UE L 91 z 09.04.2005, str. 13)</w:t>
      </w:r>
      <w:r w:rsidRPr="0065234B">
        <w:rPr>
          <w:rFonts w:ascii="Times New Roman" w:hAnsi="Times New Roman" w:cs="Times New Roman"/>
          <w:szCs w:val="24"/>
        </w:rPr>
        <w:t>.</w:t>
      </w:r>
    </w:p>
    <w:p w14:paraId="3388444E" w14:textId="14999D1E"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Przepisy obowiązującej ustawy określają warunki prowadzenia badań klinicznych produktów leczniczych. Zgodnie z tymi przepisami każde badanie kliniczne może być prowadzone wyłącznie na podstawie wydanego uprzednio pozwolenia przez Prezesa Urzędu Rejestracji Produktów Leczniczych, Wyrobów Medycznych i Produktów Biobójczych, zwanego dalej „Prezesem Urzędu”, a także pozytywną oceną zespołu opiniującego Naczelnej Komisji Bioetycznej lub zespołu opiniującego wyznaczonej komisji bioetycznej. Zgodnie z obowiązująca ustawą badanie kliniczne badanego produktu leczniczego jest prowadzone zgodnie z Dobrą Praktyką Kliniczną, która zapewnia standard określający sposób planowania, prowadzenia, monitorowania, dokumentowania i raportowania wyników badań klinicznych prowadzonych z udziałem ludzi. Badanie kliniczne może być prowadzone wyłącznie przez lekarzy. Zgodnie z ustawą z dnia 5 grudnia 1996 r. </w:t>
      </w:r>
      <w:r w:rsidRPr="009B0AC7">
        <w:rPr>
          <w:rFonts w:ascii="Times New Roman" w:hAnsi="Times New Roman" w:cs="Times New Roman"/>
          <w:szCs w:val="24"/>
        </w:rPr>
        <w:t xml:space="preserve">o zawodach </w:t>
      </w:r>
      <w:r w:rsidR="007A241F">
        <w:rPr>
          <w:rFonts w:ascii="Times New Roman" w:hAnsi="Times New Roman" w:cs="Times New Roman"/>
          <w:szCs w:val="24"/>
        </w:rPr>
        <w:t>lekarza i lekarza dentysty (Dz. </w:t>
      </w:r>
      <w:r w:rsidRPr="009B0AC7">
        <w:rPr>
          <w:rFonts w:ascii="Times New Roman" w:hAnsi="Times New Roman" w:cs="Times New Roman"/>
          <w:szCs w:val="24"/>
        </w:rPr>
        <w:t xml:space="preserve">U. z 2022 r. poz. 1731 i 1733) </w:t>
      </w:r>
      <w:r w:rsidRPr="0065234B">
        <w:rPr>
          <w:rFonts w:ascii="Times New Roman" w:hAnsi="Times New Roman" w:cs="Times New Roman"/>
          <w:szCs w:val="24"/>
        </w:rPr>
        <w:t>za wykonywanie zawodu lekarza uważa się także prowadzenie przez lekarza badań naukowych lub prac rozwojowych w dziedzinie nauk medycznych i nauk o zdrowiu, lub promocji zdrowia oraz nauczani</w:t>
      </w:r>
      <w:r w:rsidR="00B67A50" w:rsidRPr="0065234B">
        <w:rPr>
          <w:rFonts w:ascii="Times New Roman" w:hAnsi="Times New Roman" w:cs="Times New Roman"/>
          <w:szCs w:val="24"/>
        </w:rPr>
        <w:t>a</w:t>
      </w:r>
      <w:r w:rsidRPr="0065234B">
        <w:rPr>
          <w:rFonts w:ascii="Times New Roman" w:hAnsi="Times New Roman" w:cs="Times New Roman"/>
          <w:szCs w:val="24"/>
        </w:rPr>
        <w:t xml:space="preserve"> zawodu lekarza. </w:t>
      </w:r>
      <w:r w:rsidR="005C2512" w:rsidRPr="0065234B">
        <w:rPr>
          <w:rFonts w:ascii="Times New Roman" w:hAnsi="Times New Roman" w:cs="Times New Roman"/>
          <w:szCs w:val="24"/>
        </w:rPr>
        <w:t>K</w:t>
      </w:r>
      <w:r w:rsidRPr="0065234B">
        <w:rPr>
          <w:rFonts w:ascii="Times New Roman" w:hAnsi="Times New Roman" w:cs="Times New Roman"/>
          <w:szCs w:val="24"/>
        </w:rPr>
        <w:t xml:space="preserve">ontrolę nad prowadzeniem badań klinicznych sprawuje Prezes Urzędu. Dla usprawnienia pracy Prezesa Urzędu w 2011 r. powołany został Wydział Inspekcji Produktów Leczniczych. Inspekcje mogą być prowadzone w trybie krajowym oraz na zlecenie Europejskiej Agencji </w:t>
      </w:r>
      <w:r w:rsidRPr="0065234B">
        <w:rPr>
          <w:rFonts w:ascii="Times New Roman" w:hAnsi="Times New Roman" w:cs="Times New Roman"/>
          <w:szCs w:val="24"/>
        </w:rPr>
        <w:lastRenderedPageBreak/>
        <w:t xml:space="preserve">Leków. Inspekcja może dotyczyć ośrodka, siedziby sponsora, organizacji prowadzącej badanie kliniczne na zlecenie (CRO) lub innych miejsc uznanych. Tryb i szczegółowy zakres prowadzenia inspekcji badań klinicznych określa rozporządzenie Ministra Zdrowia z dnia 26 kwietnia 2012 r. w sprawie </w:t>
      </w:r>
      <w:r w:rsidR="00980894" w:rsidRPr="0065234B">
        <w:rPr>
          <w:rFonts w:ascii="Times New Roman" w:hAnsi="Times New Roman" w:cs="Times New Roman"/>
          <w:szCs w:val="24"/>
        </w:rPr>
        <w:t>i</w:t>
      </w:r>
      <w:r w:rsidRPr="0065234B">
        <w:rPr>
          <w:rFonts w:ascii="Times New Roman" w:hAnsi="Times New Roman" w:cs="Times New Roman"/>
          <w:szCs w:val="24"/>
        </w:rPr>
        <w:t xml:space="preserve">nspekcji badań </w:t>
      </w:r>
      <w:r w:rsidRPr="009B0AC7">
        <w:rPr>
          <w:rFonts w:ascii="Times New Roman" w:hAnsi="Times New Roman" w:cs="Times New Roman"/>
          <w:szCs w:val="24"/>
        </w:rPr>
        <w:t xml:space="preserve">klinicznych (Dz. U. poz. 477). </w:t>
      </w:r>
      <w:r w:rsidRPr="0065234B">
        <w:rPr>
          <w:rFonts w:ascii="Times New Roman" w:hAnsi="Times New Roman" w:cs="Times New Roman"/>
          <w:szCs w:val="24"/>
        </w:rPr>
        <w:t>Za prowadzenie badania klinicznego odpowiedzialność ponosi sponsor i badacz. Warunkiem prowadzenia badania klinicznego jest zawarci</w:t>
      </w:r>
      <w:r w:rsidR="005C5F1D" w:rsidRPr="0065234B">
        <w:rPr>
          <w:rFonts w:ascii="Times New Roman" w:hAnsi="Times New Roman" w:cs="Times New Roman"/>
          <w:szCs w:val="24"/>
        </w:rPr>
        <w:t>e</w:t>
      </w:r>
      <w:r w:rsidRPr="0065234B">
        <w:rPr>
          <w:rFonts w:ascii="Times New Roman" w:hAnsi="Times New Roman" w:cs="Times New Roman"/>
          <w:szCs w:val="24"/>
        </w:rPr>
        <w:t xml:space="preserve"> przez sponsora i badacza umowy ubezpieczenia odpowiedzialności cywilnej (OC). Minimalne sumy gwarancyjne ubezpieczenia OC określa rozporządzenie Ministra Finansów z dnia 30 kwietnia 2004 r. w sprawie obowiązkowego ubezpieczenia odpowiedzialności cywilnej badacza i sponsora </w:t>
      </w:r>
      <w:r w:rsidRPr="009B0AC7">
        <w:rPr>
          <w:rFonts w:ascii="Times New Roman" w:hAnsi="Times New Roman" w:cs="Times New Roman"/>
          <w:szCs w:val="24"/>
        </w:rPr>
        <w:t>(Dz. U. poz. 1034</w:t>
      </w:r>
      <w:r w:rsidR="007A241F">
        <w:rPr>
          <w:rFonts w:ascii="Times New Roman" w:hAnsi="Times New Roman" w:cs="Times New Roman"/>
          <w:szCs w:val="24"/>
        </w:rPr>
        <w:t xml:space="preserve"> oraz z 2005 </w:t>
      </w:r>
      <w:r w:rsidR="00B67A50" w:rsidRPr="009B0AC7">
        <w:rPr>
          <w:rFonts w:ascii="Times New Roman" w:hAnsi="Times New Roman" w:cs="Times New Roman"/>
          <w:szCs w:val="24"/>
        </w:rPr>
        <w:t>r. poz. 845</w:t>
      </w:r>
      <w:r w:rsidRPr="009B0AC7">
        <w:rPr>
          <w:rFonts w:ascii="Times New Roman" w:hAnsi="Times New Roman" w:cs="Times New Roman"/>
          <w:szCs w:val="24"/>
        </w:rPr>
        <w:t xml:space="preserve">). </w:t>
      </w:r>
      <w:r w:rsidRPr="0065234B">
        <w:rPr>
          <w:rFonts w:ascii="Times New Roman" w:hAnsi="Times New Roman" w:cs="Times New Roman"/>
          <w:szCs w:val="24"/>
        </w:rPr>
        <w:t>Minimalna suma gwarancyjna ubezpieczenia OC zależy od liczby uczestników badania klinicznego.</w:t>
      </w:r>
    </w:p>
    <w:p w14:paraId="0DB121DB" w14:textId="62EB2CE0" w:rsidR="00F11197" w:rsidRPr="0065234B" w:rsidRDefault="00F11197" w:rsidP="005646C3">
      <w:pPr>
        <w:pStyle w:val="ARTartustawynprozporzdzenia"/>
        <w:ind w:firstLine="567"/>
        <w:rPr>
          <w:rFonts w:ascii="Times New Roman" w:hAnsi="Times New Roman" w:cs="Times New Roman"/>
          <w:szCs w:val="24"/>
        </w:rPr>
      </w:pPr>
      <w:bookmarkStart w:id="3" w:name="_Hlk30773321"/>
      <w:r w:rsidRPr="0065234B">
        <w:rPr>
          <w:rFonts w:ascii="Times New Roman" w:hAnsi="Times New Roman" w:cs="Times New Roman"/>
          <w:szCs w:val="24"/>
        </w:rPr>
        <w:t>Wskazać należy, ż</w:t>
      </w:r>
      <w:r w:rsidR="00CD446D">
        <w:rPr>
          <w:rFonts w:ascii="Times New Roman" w:hAnsi="Times New Roman" w:cs="Times New Roman"/>
          <w:szCs w:val="24"/>
        </w:rPr>
        <w:t>e</w:t>
      </w:r>
      <w:r w:rsidRPr="0065234B">
        <w:rPr>
          <w:rFonts w:ascii="Times New Roman" w:hAnsi="Times New Roman" w:cs="Times New Roman"/>
          <w:szCs w:val="24"/>
        </w:rPr>
        <w:t xml:space="preserve"> polski ustawodawca identyﬁkował istniejące bariery w rozwoju badań klinicznych na poziomie krajowym i podjął próbę ich usunięcia. </w:t>
      </w:r>
      <w:r w:rsidR="005C2512" w:rsidRPr="0065234B">
        <w:rPr>
          <w:rFonts w:ascii="Times New Roman" w:hAnsi="Times New Roman" w:cs="Times New Roman"/>
          <w:szCs w:val="24"/>
        </w:rPr>
        <w:t xml:space="preserve">Do </w:t>
      </w:r>
      <w:r w:rsidRPr="0065234B">
        <w:rPr>
          <w:rFonts w:ascii="Times New Roman" w:hAnsi="Times New Roman" w:cs="Times New Roman"/>
          <w:szCs w:val="24"/>
        </w:rPr>
        <w:t>takich inicjatyw można z</w:t>
      </w:r>
      <w:r w:rsidR="005C2512" w:rsidRPr="0065234B">
        <w:rPr>
          <w:rFonts w:ascii="Times New Roman" w:hAnsi="Times New Roman" w:cs="Times New Roman"/>
          <w:szCs w:val="24"/>
        </w:rPr>
        <w:t>aliczyć</w:t>
      </w:r>
      <w:r w:rsidRPr="0065234B">
        <w:rPr>
          <w:rFonts w:ascii="Times New Roman" w:hAnsi="Times New Roman" w:cs="Times New Roman"/>
          <w:szCs w:val="24"/>
        </w:rPr>
        <w:t xml:space="preserve"> ustanowienie jednego organu właściwego zarówno w zakresie oceny wniosku o wydanie pozwolenia na badanie kliniczne, jak i ﬁnalnej decyzji (Prezes Urzędu). Przed zmianą obowiązującej ustawy, dokonanej w maju 2011 r., ocena wniosku należała do Urzędu Produktów Leczniczych, Wyrobów Medycznych i Produktów Biobójczych, zwanego dalej „Urzędem”, natomiast wydanie decyzji w zakresie pozwolenia na rozpoczęcie badania było jedną z prerogatyw ministra właściwego do spraw zdrowia. Dodatkowo</w:t>
      </w:r>
      <w:r w:rsidR="007E57A5">
        <w:rPr>
          <w:rFonts w:ascii="Times New Roman" w:hAnsi="Times New Roman" w:cs="Times New Roman"/>
          <w:szCs w:val="24"/>
        </w:rPr>
        <w:t>,</w:t>
      </w:r>
      <w:r w:rsidRPr="0065234B">
        <w:rPr>
          <w:rFonts w:ascii="Times New Roman" w:hAnsi="Times New Roman" w:cs="Times New Roman"/>
          <w:szCs w:val="24"/>
        </w:rPr>
        <w:t xml:space="preserve"> dostrzegając potrzebę wsparcia rozwoju badań klinicznych o charakterze niekomercyjnym, w drugiej połowie 2015</w:t>
      </w:r>
      <w:r w:rsidR="00C3770F" w:rsidRPr="0065234B">
        <w:rPr>
          <w:rFonts w:ascii="Times New Roman" w:hAnsi="Times New Roman" w:cs="Times New Roman"/>
          <w:szCs w:val="24"/>
        </w:rPr>
        <w:t> </w:t>
      </w:r>
      <w:r w:rsidRPr="0065234B">
        <w:rPr>
          <w:rFonts w:ascii="Times New Roman" w:hAnsi="Times New Roman" w:cs="Times New Roman"/>
          <w:szCs w:val="24"/>
        </w:rPr>
        <w:t xml:space="preserve">r. </w:t>
      </w:r>
      <w:r w:rsidR="00C3770F" w:rsidRPr="0065234B">
        <w:rPr>
          <w:rFonts w:ascii="Times New Roman" w:hAnsi="Times New Roman" w:cs="Times New Roman"/>
          <w:szCs w:val="24"/>
        </w:rPr>
        <w:t>w drodze</w:t>
      </w:r>
      <w:r w:rsidRPr="0065234B">
        <w:rPr>
          <w:rFonts w:ascii="Times New Roman" w:hAnsi="Times New Roman" w:cs="Times New Roman"/>
          <w:szCs w:val="24"/>
        </w:rPr>
        <w:t xml:space="preserve"> nowelizacj</w:t>
      </w:r>
      <w:r w:rsidR="00C3770F" w:rsidRPr="0065234B">
        <w:rPr>
          <w:rFonts w:ascii="Times New Roman" w:hAnsi="Times New Roman" w:cs="Times New Roman"/>
          <w:szCs w:val="24"/>
        </w:rPr>
        <w:t>i</w:t>
      </w:r>
      <w:r w:rsidRPr="0065234B">
        <w:rPr>
          <w:rFonts w:ascii="Times New Roman" w:hAnsi="Times New Roman" w:cs="Times New Roman"/>
          <w:szCs w:val="24"/>
        </w:rPr>
        <w:t xml:space="preserve"> </w:t>
      </w:r>
      <w:r w:rsidR="00D60535" w:rsidRPr="0065234B">
        <w:rPr>
          <w:rFonts w:ascii="Times New Roman" w:hAnsi="Times New Roman" w:cs="Times New Roman"/>
          <w:szCs w:val="24"/>
        </w:rPr>
        <w:t xml:space="preserve">obowiązującej </w:t>
      </w:r>
      <w:r w:rsidRPr="0065234B">
        <w:rPr>
          <w:rFonts w:ascii="Times New Roman" w:hAnsi="Times New Roman" w:cs="Times New Roman"/>
          <w:szCs w:val="24"/>
        </w:rPr>
        <w:t>ustawy wprowadz</w:t>
      </w:r>
      <w:r w:rsidR="00C3770F" w:rsidRPr="0065234B">
        <w:rPr>
          <w:rFonts w:ascii="Times New Roman" w:hAnsi="Times New Roman" w:cs="Times New Roman"/>
          <w:szCs w:val="24"/>
        </w:rPr>
        <w:t>ono</w:t>
      </w:r>
      <w:r w:rsidRPr="0065234B">
        <w:rPr>
          <w:rFonts w:ascii="Times New Roman" w:hAnsi="Times New Roman" w:cs="Times New Roman"/>
          <w:szCs w:val="24"/>
        </w:rPr>
        <w:t xml:space="preserve"> istotne zmiany</w:t>
      </w:r>
      <w:r w:rsidR="00D60535" w:rsidRPr="0065234B">
        <w:rPr>
          <w:rFonts w:ascii="Times New Roman" w:hAnsi="Times New Roman" w:cs="Times New Roman"/>
          <w:szCs w:val="24"/>
        </w:rPr>
        <w:t xml:space="preserve"> dotyczące</w:t>
      </w:r>
      <w:r w:rsidRPr="0065234B">
        <w:rPr>
          <w:rFonts w:ascii="Times New Roman" w:hAnsi="Times New Roman" w:cs="Times New Roman"/>
          <w:szCs w:val="24"/>
        </w:rPr>
        <w:t xml:space="preserve"> obniżenia kosztów prowadzenia tego rodzaju badań klinicznych dla ich sponsorów, w szczególności w zakresie pokrycia kosztów świadczeń opieki zdrowotnej udzielanych uczestnikom niekomercyjnych badań klinicznych. Przedmiotowa nowelizacja była oceniana pozytywnie dzięki szansie na zwiększenie liczby takich badań w Rzeczypospolitej Polskiej przez częściowe przeniesienie obowiązku ﬁnansowania świadczeń opieki zdrowotnej udzielanych uczestnikom takich badań na Narodowy Fundusz Zdrowia oraz wprowadzenie preferencyjnej opłaty dla sponsora niekomercyjnego badania klinicznego za złożenie wniosku o wydanie pozwolenia na p</w:t>
      </w:r>
      <w:r w:rsidR="005646C3">
        <w:rPr>
          <w:rFonts w:ascii="Times New Roman" w:hAnsi="Times New Roman" w:cs="Times New Roman"/>
          <w:szCs w:val="24"/>
        </w:rPr>
        <w:t>rowadzenie badania klinicznego.</w:t>
      </w:r>
    </w:p>
    <w:p w14:paraId="5F6C86E7" w14:textId="50CAA8A2"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Kolejną istotną zmianą ustawy obowiązującej była no</w:t>
      </w:r>
      <w:r w:rsidR="005646C3">
        <w:rPr>
          <w:rFonts w:ascii="Times New Roman" w:hAnsi="Times New Roman" w:cs="Times New Roman"/>
          <w:szCs w:val="24"/>
        </w:rPr>
        <w:t>welizacja z dnia 7 czerwca 2018 </w:t>
      </w:r>
      <w:r w:rsidRPr="0065234B">
        <w:rPr>
          <w:rFonts w:ascii="Times New Roman" w:hAnsi="Times New Roman" w:cs="Times New Roman"/>
          <w:szCs w:val="24"/>
        </w:rPr>
        <w:t xml:space="preserve">r. </w:t>
      </w:r>
      <w:r w:rsidR="005C5F1D" w:rsidRPr="009B0AC7">
        <w:rPr>
          <w:rFonts w:ascii="Times New Roman" w:hAnsi="Times New Roman" w:cs="Times New Roman"/>
          <w:szCs w:val="24"/>
        </w:rPr>
        <w:t>(Dz. U. poz. 1375</w:t>
      </w:r>
      <w:r w:rsidR="007E57A5" w:rsidRPr="009B0AC7">
        <w:rPr>
          <w:rFonts w:ascii="Times New Roman" w:hAnsi="Times New Roman" w:cs="Times New Roman"/>
          <w:szCs w:val="24"/>
        </w:rPr>
        <w:t xml:space="preserve"> i 1515</w:t>
      </w:r>
      <w:r w:rsidR="005C5F1D" w:rsidRPr="009B0AC7">
        <w:rPr>
          <w:rFonts w:ascii="Times New Roman" w:hAnsi="Times New Roman" w:cs="Times New Roman"/>
          <w:szCs w:val="24"/>
        </w:rPr>
        <w:t xml:space="preserve">) </w:t>
      </w:r>
      <w:r w:rsidRPr="009B0AC7">
        <w:rPr>
          <w:rFonts w:ascii="Times New Roman" w:hAnsi="Times New Roman" w:cs="Times New Roman"/>
          <w:szCs w:val="24"/>
        </w:rPr>
        <w:t>będąc</w:t>
      </w:r>
      <w:r w:rsidR="006A3DC9" w:rsidRPr="009B0AC7">
        <w:rPr>
          <w:rFonts w:ascii="Times New Roman" w:hAnsi="Times New Roman" w:cs="Times New Roman"/>
          <w:szCs w:val="24"/>
        </w:rPr>
        <w:t>ą</w:t>
      </w:r>
      <w:r w:rsidRPr="009B0AC7">
        <w:rPr>
          <w:rFonts w:ascii="Times New Roman" w:hAnsi="Times New Roman" w:cs="Times New Roman"/>
          <w:szCs w:val="24"/>
        </w:rPr>
        <w:t xml:space="preserve"> odpowiedzią na postulaty interesariuszy środowiska badań </w:t>
      </w:r>
      <w:r w:rsidRPr="0065234B">
        <w:rPr>
          <w:rFonts w:ascii="Times New Roman" w:hAnsi="Times New Roman" w:cs="Times New Roman"/>
          <w:szCs w:val="24"/>
        </w:rPr>
        <w:t>klinicznych w zakresie przyspieszenia procesu uzyskiwania pozwolenia na rozpoczęcie badania klinicznego. W</w:t>
      </w:r>
      <w:r w:rsidR="006A3DC9" w:rsidRPr="0065234B">
        <w:rPr>
          <w:rFonts w:ascii="Times New Roman" w:hAnsi="Times New Roman" w:cs="Times New Roman"/>
          <w:szCs w:val="24"/>
        </w:rPr>
        <w:t xml:space="preserve"> jej efekcie</w:t>
      </w:r>
      <w:r w:rsidRPr="0065234B">
        <w:rPr>
          <w:rFonts w:ascii="Times New Roman" w:hAnsi="Times New Roman" w:cs="Times New Roman"/>
          <w:szCs w:val="24"/>
        </w:rPr>
        <w:t xml:space="preserve"> zniesi</w:t>
      </w:r>
      <w:r w:rsidR="006A3DC9" w:rsidRPr="0065234B">
        <w:rPr>
          <w:rFonts w:ascii="Times New Roman" w:hAnsi="Times New Roman" w:cs="Times New Roman"/>
          <w:szCs w:val="24"/>
        </w:rPr>
        <w:t>o</w:t>
      </w:r>
      <w:r w:rsidRPr="0065234B">
        <w:rPr>
          <w:rFonts w:ascii="Times New Roman" w:hAnsi="Times New Roman" w:cs="Times New Roman"/>
          <w:szCs w:val="24"/>
        </w:rPr>
        <w:t>n</w:t>
      </w:r>
      <w:r w:rsidR="006A3DC9" w:rsidRPr="0065234B">
        <w:rPr>
          <w:rFonts w:ascii="Times New Roman" w:hAnsi="Times New Roman" w:cs="Times New Roman"/>
          <w:szCs w:val="24"/>
        </w:rPr>
        <w:t>o</w:t>
      </w:r>
      <w:r w:rsidRPr="0065234B">
        <w:rPr>
          <w:rFonts w:ascii="Times New Roman" w:hAnsi="Times New Roman" w:cs="Times New Roman"/>
          <w:szCs w:val="24"/>
        </w:rPr>
        <w:t xml:space="preserve"> koniecznoś</w:t>
      </w:r>
      <w:r w:rsidR="006A3DC9" w:rsidRPr="0065234B">
        <w:rPr>
          <w:rFonts w:ascii="Times New Roman" w:hAnsi="Times New Roman" w:cs="Times New Roman"/>
          <w:szCs w:val="24"/>
        </w:rPr>
        <w:t>ć</w:t>
      </w:r>
      <w:r w:rsidRPr="0065234B">
        <w:rPr>
          <w:rFonts w:ascii="Times New Roman" w:hAnsi="Times New Roman" w:cs="Times New Roman"/>
          <w:szCs w:val="24"/>
        </w:rPr>
        <w:t xml:space="preserve"> przedkładania zawartych umów o </w:t>
      </w:r>
      <w:r w:rsidRPr="0065234B">
        <w:rPr>
          <w:rFonts w:ascii="Times New Roman" w:hAnsi="Times New Roman" w:cs="Times New Roman"/>
          <w:szCs w:val="24"/>
        </w:rPr>
        <w:lastRenderedPageBreak/>
        <w:t xml:space="preserve">badanie kliniczne, jako warunku kompletności dokumentacji składanej wraz z wnioskiem o pozwolenie na badanie kliniczne, a w zamian wprowadzenie wymogu przedstawienia krótkiego opisu finansowania badania klinicznego, przedłożenia informacji na temat transakcji finansowych oraz rekompensat wypłacanych uczestnikom oraz badaczom lub ośrodkom badawczym, w których jest prowadzone badanie kliniczne, za udział w badaniu klinicznym, oraz przedłożenia opisu wszelkich innych umów </w:t>
      </w:r>
      <w:r w:rsidR="00D60535" w:rsidRPr="0065234B">
        <w:rPr>
          <w:rFonts w:ascii="Times New Roman" w:hAnsi="Times New Roman" w:cs="Times New Roman"/>
          <w:szCs w:val="24"/>
        </w:rPr>
        <w:t xml:space="preserve">zawartych </w:t>
      </w:r>
      <w:r w:rsidRPr="0065234B">
        <w:rPr>
          <w:rFonts w:ascii="Times New Roman" w:hAnsi="Times New Roman" w:cs="Times New Roman"/>
          <w:szCs w:val="24"/>
        </w:rPr>
        <w:t>między sponsorem a ośrodkiem badawczym, w którym jest prowadzone badanie kliniczne. Przed wprowadzeniem przedmiotowej zmiany Polska była praktycznie jedynym państwem członkowskim Unii Europejskiej, które wymagało składania wraz z wnioskiem o rozpoczęcie badania klinicznego umów dotyczących badania klinicznego zawieranych między stronami biorącymi udział w badaniu klinicznym. Konieczność składania wynegocjowanych umów o badanie kliniczne powodowała znaczne przedłużenie przygotowania dokumentacji składanej wraz z wnioskiem przez sponsora badania klinicznego, a w rezultacie skutkowała odpływem badań klinicznych z uwagi na możliwość dużo szybszej rejestracji badania klinicznego w innych państwach członkowskich Unii Europejskiej. Po wprowadzeniu tej niewielkiej zmiany obserwuje się zauważalny wzrost liczby składanych wniosków o wydanie pozwolenia rozpoczęcie badania klinicznego, co świadczy o ogromnej wadze likwidacji barier o charakterze administracyjno-prawnym w procesie stymulacji r</w:t>
      </w:r>
      <w:r w:rsidR="005646C3">
        <w:rPr>
          <w:rFonts w:ascii="Times New Roman" w:hAnsi="Times New Roman" w:cs="Times New Roman"/>
          <w:szCs w:val="24"/>
        </w:rPr>
        <w:t>ozwoju rynku badań klinicznych.</w:t>
      </w:r>
    </w:p>
    <w:bookmarkEnd w:id="3"/>
    <w:p w14:paraId="61803C89" w14:textId="77777777" w:rsidR="00F11197" w:rsidRPr="0065234B" w:rsidRDefault="00F11197" w:rsidP="0065234B">
      <w:pPr>
        <w:pStyle w:val="ARTartustawynprozporzdzenia"/>
        <w:rPr>
          <w:rStyle w:val="Ppogrubienie"/>
          <w:rFonts w:ascii="Times New Roman" w:hAnsi="Times New Roman" w:cs="Times New Roman"/>
          <w:szCs w:val="24"/>
        </w:rPr>
      </w:pPr>
      <w:r w:rsidRPr="0065234B">
        <w:rPr>
          <w:rStyle w:val="Ppogrubienie"/>
          <w:rFonts w:ascii="Times New Roman" w:hAnsi="Times New Roman" w:cs="Times New Roman"/>
          <w:szCs w:val="24"/>
        </w:rPr>
        <w:t>Przepisy ogólne</w:t>
      </w:r>
    </w:p>
    <w:p w14:paraId="0F9F2DD6" w14:textId="72881241"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rozdziale 1 projektu ustawy wskazano zakres regulacji.</w:t>
      </w:r>
    </w:p>
    <w:p w14:paraId="68AE2AF4" w14:textId="77777777"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art. 1 ustawa określa:</w:t>
      </w:r>
    </w:p>
    <w:p w14:paraId="7CB2C60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tryb postępowania w przedmiocie wydania pozwolenia na badanie kliniczne produktu leczniczego stosowanego u ludzi oraz</w:t>
      </w:r>
      <w:r w:rsidRPr="0065234B" w:rsidDel="00FC7D11">
        <w:rPr>
          <w:rFonts w:ascii="Times New Roman" w:hAnsi="Times New Roman" w:cs="Times New Roman"/>
          <w:szCs w:val="24"/>
        </w:rPr>
        <w:t xml:space="preserve"> </w:t>
      </w:r>
      <w:r w:rsidRPr="0065234B">
        <w:rPr>
          <w:rFonts w:ascii="Times New Roman" w:hAnsi="Times New Roman" w:cs="Times New Roman"/>
          <w:szCs w:val="24"/>
        </w:rPr>
        <w:t>wydania pozwolenia na istotną zmianę badania klinicznego, wydania pozwolenia ograniczonego do aspektów objętych częścią I lub częścią II sprawozdania z oceny wniosku o rozpoczęcie badania klinicznego;</w:t>
      </w:r>
    </w:p>
    <w:p w14:paraId="7163F041"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zadania Naczelnej Komisji Bioetycznej do spraw Badań Klinicznych i tryb jej powoływania;</w:t>
      </w:r>
    </w:p>
    <w:p w14:paraId="2204D53E"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zadania i tryb wpisu na listę komisji bioetycznych uprawnionych do przeprowadzania oceny etycznej badań klinicznych i skreślenia z tej listy;</w:t>
      </w:r>
    </w:p>
    <w:p w14:paraId="2E756718"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zasady i tryb przeprowadzania oceny etycznej badania klinicznego;</w:t>
      </w:r>
    </w:p>
    <w:p w14:paraId="6900C6B4"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t>obowiązki sponsora, głównego badacza i badacza;</w:t>
      </w:r>
    </w:p>
    <w:p w14:paraId="5DD3D010"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6)</w:t>
      </w:r>
      <w:r w:rsidRPr="0065234B">
        <w:rPr>
          <w:rFonts w:ascii="Times New Roman" w:hAnsi="Times New Roman" w:cs="Times New Roman"/>
          <w:szCs w:val="24"/>
        </w:rPr>
        <w:tab/>
        <w:t>zasady odpowiedzialności cywilnej i karnej badacza oraz sponsora;</w:t>
      </w:r>
    </w:p>
    <w:p w14:paraId="21E1EC80"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7)</w:t>
      </w:r>
      <w:r w:rsidRPr="0065234B">
        <w:rPr>
          <w:rFonts w:ascii="Times New Roman" w:hAnsi="Times New Roman" w:cs="Times New Roman"/>
          <w:szCs w:val="24"/>
        </w:rPr>
        <w:tab/>
        <w:t>zasady organizacji i funkcjonowania Funduszu Kompensacyjnego Badań Klinicznych;</w:t>
      </w:r>
    </w:p>
    <w:p w14:paraId="733AB98C"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8)</w:t>
      </w:r>
      <w:r w:rsidRPr="0065234B">
        <w:rPr>
          <w:rFonts w:ascii="Times New Roman" w:hAnsi="Times New Roman" w:cs="Times New Roman"/>
          <w:szCs w:val="24"/>
        </w:rPr>
        <w:tab/>
        <w:t>wysokość i sposób uiszczania opłat związanych z badaniem klinicznym;</w:t>
      </w:r>
    </w:p>
    <w:p w14:paraId="2EED21E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9)</w:t>
      </w:r>
      <w:r w:rsidRPr="0065234B">
        <w:rPr>
          <w:rFonts w:ascii="Times New Roman" w:hAnsi="Times New Roman" w:cs="Times New Roman"/>
          <w:szCs w:val="24"/>
        </w:rPr>
        <w:tab/>
        <w:t>zasady finansowania świadczeń opieki zdrowotnej związanych z badaniem klinicznym;</w:t>
      </w:r>
    </w:p>
    <w:p w14:paraId="5A3A6013"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10)</w:t>
      </w:r>
      <w:r w:rsidRPr="0065234B">
        <w:rPr>
          <w:rFonts w:ascii="Times New Roman" w:hAnsi="Times New Roman" w:cs="Times New Roman"/>
          <w:szCs w:val="24"/>
        </w:rPr>
        <w:tab/>
        <w:t>zasady i tryb przeprowadzania inspekcji badania klinicznego.</w:t>
      </w:r>
    </w:p>
    <w:p w14:paraId="0C84ABD9" w14:textId="732581BC"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art. 34 rozporządzenia 536/2014 państwa członkowskie mogą utrzymywać dodatkowe środki dotyczące osób odbywających obowiązkową służbę wojskową, osób pozbawionych wolności, osób, które na mocy decy</w:t>
      </w:r>
      <w:r w:rsidR="005646C3">
        <w:rPr>
          <w:rFonts w:ascii="Times New Roman" w:hAnsi="Times New Roman" w:cs="Times New Roman"/>
          <w:szCs w:val="24"/>
        </w:rPr>
        <w:t xml:space="preserve">zji sądu nie mogą uczestniczyć </w:t>
      </w:r>
      <w:r w:rsidRPr="0065234B">
        <w:rPr>
          <w:rFonts w:ascii="Times New Roman" w:hAnsi="Times New Roman" w:cs="Times New Roman"/>
          <w:szCs w:val="24"/>
        </w:rPr>
        <w:t>w badaniach klinicznych, lub osób, które przebywają w ośrodkach opieki. W projektowanym art. 4 zdecydowa</w:t>
      </w:r>
      <w:r w:rsidR="008B6B1B" w:rsidRPr="0065234B">
        <w:rPr>
          <w:rFonts w:ascii="Times New Roman" w:hAnsi="Times New Roman" w:cs="Times New Roman"/>
          <w:szCs w:val="24"/>
        </w:rPr>
        <w:t>no o</w:t>
      </w:r>
      <w:r w:rsidRPr="0065234B">
        <w:rPr>
          <w:rFonts w:ascii="Times New Roman" w:hAnsi="Times New Roman" w:cs="Times New Roman"/>
          <w:szCs w:val="24"/>
        </w:rPr>
        <w:t xml:space="preserve"> wprowadzeni</w:t>
      </w:r>
      <w:r w:rsidR="008B6B1B" w:rsidRPr="0065234B">
        <w:rPr>
          <w:rFonts w:ascii="Times New Roman" w:hAnsi="Times New Roman" w:cs="Times New Roman"/>
          <w:szCs w:val="24"/>
        </w:rPr>
        <w:t>u</w:t>
      </w:r>
      <w:r w:rsidRPr="0065234B">
        <w:rPr>
          <w:rFonts w:ascii="Times New Roman" w:hAnsi="Times New Roman" w:cs="Times New Roman"/>
          <w:szCs w:val="24"/>
        </w:rPr>
        <w:t xml:space="preserve"> zakazu udziału w badaniach klinicznych żołnierzy w czynnej służbie wojskowej lub innych osób pozostających w zależności hierarchicznej, ograniczającej swobodę dobrowolnego wyrażenia zgody oraz osób pozbawionych wolności albo poddanych detencji. Wprowadzenie zakazu udziału w badaniach klinicznych jedynie w odniesieniu do żołnierzy w czynnej służbie wojskowej umożliwi żołnierzom </w:t>
      </w:r>
      <w:r w:rsidR="00D60535" w:rsidRPr="0065234B">
        <w:rPr>
          <w:rFonts w:ascii="Times New Roman" w:hAnsi="Times New Roman" w:cs="Times New Roman"/>
          <w:szCs w:val="24"/>
        </w:rPr>
        <w:t xml:space="preserve">przebywającym </w:t>
      </w:r>
      <w:r w:rsidRPr="0065234B">
        <w:rPr>
          <w:rFonts w:ascii="Times New Roman" w:hAnsi="Times New Roman" w:cs="Times New Roman"/>
          <w:szCs w:val="24"/>
        </w:rPr>
        <w:t>na emeryturze lub rencie, kwalifikującym się do badania klinicznego ze względu na posiadane schorzenie, uczestnictwo w takim badaniu. Takie rozwiązanie pozwoli na prawidłowe zastosowanie prawa pacjenta do świadczeń zdrowotnych.</w:t>
      </w:r>
    </w:p>
    <w:p w14:paraId="58C1495F" w14:textId="318EC66C"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preambule do rozporządzenia 536/2014 tiret 81 wskazano, że państwa członkowskie powinny podejmować środki w celu wspierania niek</w:t>
      </w:r>
      <w:r w:rsidR="005646C3">
        <w:rPr>
          <w:rFonts w:ascii="Times New Roman" w:hAnsi="Times New Roman" w:cs="Times New Roman"/>
          <w:szCs w:val="24"/>
        </w:rPr>
        <w:t xml:space="preserve">omercyjnych badań klinicznych. </w:t>
      </w:r>
      <w:r w:rsidRPr="0065234B">
        <w:rPr>
          <w:rFonts w:ascii="Times New Roman" w:hAnsi="Times New Roman" w:cs="Times New Roman"/>
          <w:szCs w:val="24"/>
        </w:rPr>
        <w:t>W związku z powyższym do projektu</w:t>
      </w:r>
      <w:r w:rsidR="00BB78C9" w:rsidRPr="0065234B">
        <w:rPr>
          <w:rFonts w:ascii="Times New Roman" w:hAnsi="Times New Roman" w:cs="Times New Roman"/>
          <w:szCs w:val="24"/>
        </w:rPr>
        <w:t xml:space="preserve"> ustawy</w:t>
      </w:r>
      <w:r w:rsidRPr="0065234B">
        <w:rPr>
          <w:rFonts w:ascii="Times New Roman" w:hAnsi="Times New Roman" w:cs="Times New Roman"/>
          <w:szCs w:val="24"/>
        </w:rPr>
        <w:t xml:space="preserve"> </w:t>
      </w:r>
      <w:bookmarkStart w:id="4" w:name="_Hlk30773553"/>
      <w:r w:rsidRPr="0065234B">
        <w:rPr>
          <w:rFonts w:ascii="Times New Roman" w:hAnsi="Times New Roman" w:cs="Times New Roman"/>
          <w:szCs w:val="24"/>
        </w:rPr>
        <w:t>wprowadzone zostały regulacje, których celem jest zwiększenie ilości niekomercyjnych badań klinicznych prowadzonych w Rzeczypospolitej Polskiej i ułatwienie uzyskania zgody na prowadzenie takich badań. W celu realizacji tego wymogu w projekcie ustawy zdefiniowano niekomercyjne badanie kliniczne. Projektowaną definicję oparto o definicję zawartą w roboczych wytycznych Komisji Europejskiej z 2006</w:t>
      </w:r>
      <w:r w:rsidR="005646C3">
        <w:rPr>
          <w:rFonts w:ascii="Times New Roman" w:hAnsi="Times New Roman" w:cs="Times New Roman"/>
          <w:szCs w:val="24"/>
          <w:lang w:val="en-US"/>
        </w:rPr>
        <w:t> </w:t>
      </w:r>
      <w:r w:rsidRPr="0065234B">
        <w:rPr>
          <w:rFonts w:ascii="Times New Roman" w:hAnsi="Times New Roman" w:cs="Times New Roman"/>
          <w:szCs w:val="24"/>
          <w:lang w:val="en-US"/>
        </w:rPr>
        <w:t xml:space="preserve">r. (Draft guidance on ‘specific modalities’ for non-commercial clinical trials referred to in Commission Directive 2005/28/EC laying down the principles and detailed guidelines for good clinical practice). </w:t>
      </w:r>
      <w:r w:rsidRPr="0065234B">
        <w:rPr>
          <w:rFonts w:ascii="Times New Roman" w:hAnsi="Times New Roman" w:cs="Times New Roman"/>
          <w:szCs w:val="24"/>
        </w:rPr>
        <w:t xml:space="preserve">Wytyczne te nie zostały sformułowane w wersji finalnej, jednak prawodawstwa wielu krajów członkowskich Unii Europejskiej oparły się na </w:t>
      </w:r>
      <w:r w:rsidR="008B6B1B" w:rsidRPr="0065234B">
        <w:rPr>
          <w:rFonts w:ascii="Times New Roman" w:hAnsi="Times New Roman" w:cs="Times New Roman"/>
          <w:szCs w:val="24"/>
        </w:rPr>
        <w:t>nich</w:t>
      </w:r>
      <w:r w:rsidRPr="0065234B">
        <w:rPr>
          <w:rFonts w:ascii="Times New Roman" w:hAnsi="Times New Roman" w:cs="Times New Roman"/>
          <w:szCs w:val="24"/>
        </w:rPr>
        <w:t xml:space="preserve">, definiując zagadnienie niekomercyjnych badań klinicznych. W porównaniu do dotychczasowej definicji z </w:t>
      </w:r>
      <w:r w:rsidR="00BB78C9" w:rsidRPr="0065234B">
        <w:rPr>
          <w:rFonts w:ascii="Times New Roman" w:hAnsi="Times New Roman" w:cs="Times New Roman"/>
          <w:szCs w:val="24"/>
        </w:rPr>
        <w:t xml:space="preserve">obowiązującej </w:t>
      </w:r>
      <w:r w:rsidRPr="0065234B">
        <w:rPr>
          <w:rFonts w:ascii="Times New Roman" w:hAnsi="Times New Roman" w:cs="Times New Roman"/>
          <w:szCs w:val="24"/>
        </w:rPr>
        <w:t xml:space="preserve">ustawy doprecyzowano listę kategorii podmiotów, które mogą funkcjonować jako sponsorzy niekomercyjnego badania klinicznego, opierając się o przepisy ustawy z dnia 20 lipca 2018 r. – </w:t>
      </w:r>
      <w:r w:rsidRPr="009B0AC7">
        <w:rPr>
          <w:rFonts w:ascii="Times New Roman" w:hAnsi="Times New Roman" w:cs="Times New Roman"/>
          <w:szCs w:val="24"/>
        </w:rPr>
        <w:t xml:space="preserve">Prawo o szkolnictwie wyższym i nauce </w:t>
      </w:r>
      <w:r w:rsidRPr="0065234B">
        <w:rPr>
          <w:rFonts w:ascii="Times New Roman" w:hAnsi="Times New Roman" w:cs="Times New Roman"/>
          <w:szCs w:val="24"/>
        </w:rPr>
        <w:t xml:space="preserve">(Dz. U. z 2022 r. poz. 574, z </w:t>
      </w:r>
      <w:r w:rsidRPr="0065234B">
        <w:rPr>
          <w:rFonts w:ascii="Times New Roman" w:hAnsi="Times New Roman" w:cs="Times New Roman"/>
          <w:szCs w:val="24"/>
        </w:rPr>
        <w:lastRenderedPageBreak/>
        <w:t>późn.</w:t>
      </w:r>
      <w:r w:rsidR="007A241F">
        <w:rPr>
          <w:rFonts w:ascii="Times New Roman" w:hAnsi="Times New Roman" w:cs="Times New Roman"/>
          <w:szCs w:val="24"/>
        </w:rPr>
        <w:t> </w:t>
      </w:r>
      <w:r w:rsidRPr="0065234B">
        <w:rPr>
          <w:rFonts w:ascii="Times New Roman" w:hAnsi="Times New Roman" w:cs="Times New Roman"/>
          <w:szCs w:val="24"/>
        </w:rPr>
        <w:t>zm.) definiującej system szkolnictwa wyższego i nauki oraz podmioty działające na rzecz tego systemu. W porównaniu do dotychczasowej definicji z</w:t>
      </w:r>
      <w:r w:rsidR="00BB78C9" w:rsidRPr="0065234B">
        <w:rPr>
          <w:rFonts w:ascii="Times New Roman" w:hAnsi="Times New Roman" w:cs="Times New Roman"/>
          <w:szCs w:val="24"/>
        </w:rPr>
        <w:t xml:space="preserve"> obowiązującej </w:t>
      </w:r>
      <w:r w:rsidRPr="0065234B">
        <w:rPr>
          <w:rFonts w:ascii="Times New Roman" w:hAnsi="Times New Roman" w:cs="Times New Roman"/>
          <w:szCs w:val="24"/>
        </w:rPr>
        <w:t>ustawy usunięto możliwość sponsorowania niekomercyjnego badania klinicznego przez dowolną osobę fizyczną, dopuszczając jednak osobę fizyczną – badacza w tej roli (dla investigator-initiated trials), mając na uwadze także przepis art. 71 rozporządzenia 536/2014. Doprecyzowano podmioty nazwane dotychczas „organizacjami badaczy”, mogące działać jako sponsorzy niekomercyjnych badań klinicznych, jako lekarskie i pielęgniarskie towarzystwa naukowe. Wprowadzono do definicji niekomercyjnego badania klinicznego pojęcie współsponsora, w ślad za art. 72 rozporządzen</w:t>
      </w:r>
      <w:r w:rsidR="007A241F">
        <w:rPr>
          <w:rFonts w:ascii="Times New Roman" w:hAnsi="Times New Roman" w:cs="Times New Roman"/>
          <w:szCs w:val="24"/>
        </w:rPr>
        <w:t>ia 536/2014 – art. 5 ust. 1 pkt </w:t>
      </w:r>
      <w:r w:rsidRPr="0065234B">
        <w:rPr>
          <w:rFonts w:ascii="Times New Roman" w:hAnsi="Times New Roman" w:cs="Times New Roman"/>
          <w:szCs w:val="24"/>
        </w:rPr>
        <w:t>1 projektu ustawy. Ponadto doprecyzowano warunek kwalifikacji badania klinicznego jako niekomercyjnego przez pozostawienie wyłącznego prawa dysponowania danymi uzyskanymi w toku badania klinicznego podmiotom znajdującym się na ww. liście kategorii podmiotów, które mogą funkcjonować jako sponsorzy niekomercyjnego badania klinicznego – projektowany art. 5</w:t>
      </w:r>
      <w:r w:rsidR="00492A71" w:rsidRPr="0065234B">
        <w:rPr>
          <w:rFonts w:ascii="Times New Roman" w:hAnsi="Times New Roman" w:cs="Times New Roman"/>
          <w:szCs w:val="24"/>
        </w:rPr>
        <w:t xml:space="preserve"> </w:t>
      </w:r>
      <w:r w:rsidRPr="0065234B">
        <w:rPr>
          <w:rFonts w:ascii="Times New Roman" w:hAnsi="Times New Roman" w:cs="Times New Roman"/>
          <w:szCs w:val="24"/>
        </w:rPr>
        <w:t>ust. 1 pkt 2 projektu ustawy. Dodano też, w myśl ww. wytycznych Komisji Europejskiej z 2006 r., warunek pozostawania niekomercyjnego badania klinicznego poza rozwojem klinicznym produktu leczniczego prowadzonym w porozumieniu z regulatorem rynku, np. Europejską Agencją Leków czy regulatorem narodowym w jakimkolwiek państwie, przez odniesienie się do faktu uzyskania doradztwa naukowego od regulatora czy też uzgodnienia z regulatorem planu badań klinicznych z udziałem populacji pediatrycznej jako wskaźników ewidentnie komercyjnego charakteru danego badania – projektowany art. 5</w:t>
      </w:r>
      <w:r w:rsidR="004E331F" w:rsidRPr="0065234B">
        <w:rPr>
          <w:rFonts w:ascii="Times New Roman" w:hAnsi="Times New Roman" w:cs="Times New Roman"/>
          <w:szCs w:val="24"/>
        </w:rPr>
        <w:t xml:space="preserve"> </w:t>
      </w:r>
      <w:r w:rsidRPr="0065234B">
        <w:rPr>
          <w:rFonts w:ascii="Times New Roman" w:hAnsi="Times New Roman" w:cs="Times New Roman"/>
          <w:szCs w:val="24"/>
        </w:rPr>
        <w:t xml:space="preserve">ust. 1 pkt 3 projektu </w:t>
      </w:r>
      <w:r w:rsidR="005646C3">
        <w:rPr>
          <w:rFonts w:ascii="Times New Roman" w:hAnsi="Times New Roman" w:cs="Times New Roman"/>
          <w:szCs w:val="24"/>
        </w:rPr>
        <w:t>ustawy.</w:t>
      </w:r>
    </w:p>
    <w:p w14:paraId="0A289B6E" w14:textId="2A37A614"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5 ust. 1 projektu ustawy zawarto ogólną definicję niekomercyjnego badania klinicznego. Jednocześnie w ust. 2 tego artykułu przewidziano specjalną regulację, będącą wyjątkiem od ust. 1, wprowadzając przepisy szczególne dla badań finansowanych w całości ze środków publicznych, w szczególności przez Agencję Badań Medycznych, kształtując ułatwienia dla ewentualnej komercjalizacji produktu leczniczego w oparciu o wyniki badania klinicznego finansowanego w całości z takich środków. W przypadku takich podmiotów, gdzie badanie jest finansowane z powyższych źródeł</w:t>
      </w:r>
      <w:r w:rsidR="00136D3F">
        <w:rPr>
          <w:rFonts w:ascii="Times New Roman" w:hAnsi="Times New Roman" w:cs="Times New Roman"/>
          <w:szCs w:val="24"/>
        </w:rPr>
        <w:t>,</w:t>
      </w:r>
      <w:r w:rsidRPr="0065234B">
        <w:rPr>
          <w:rFonts w:ascii="Times New Roman" w:hAnsi="Times New Roman" w:cs="Times New Roman"/>
          <w:szCs w:val="24"/>
        </w:rPr>
        <w:t xml:space="preserve"> wystarczy spełnienie ww. warunków, co do podmiotu będącego sponsorem i – jeśli funkcjonuje w danym badaniu – współsponsorem oraz warun</w:t>
      </w:r>
      <w:r w:rsidR="00492A71" w:rsidRPr="0065234B">
        <w:rPr>
          <w:rFonts w:ascii="Times New Roman" w:hAnsi="Times New Roman" w:cs="Times New Roman"/>
          <w:szCs w:val="24"/>
        </w:rPr>
        <w:t>ku</w:t>
      </w:r>
      <w:r w:rsidRPr="0065234B">
        <w:rPr>
          <w:rFonts w:ascii="Times New Roman" w:hAnsi="Times New Roman" w:cs="Times New Roman"/>
          <w:szCs w:val="24"/>
        </w:rPr>
        <w:t xml:space="preserve"> wyłącznego dysponowania danymi w gronie takich podmiotów, bez zakazu zawierania porozumień mających na celu komercyjne wykorzystanie danych i bez warunku pozostawania niekomercyjnego badania klinicznego poza rozwojem klinicznym produktu leczniczego prowadzonym w porozumieniu z regulatorem rynku. W </w:t>
      </w:r>
      <w:r w:rsidRPr="0065234B">
        <w:rPr>
          <w:rFonts w:ascii="Times New Roman" w:hAnsi="Times New Roman" w:cs="Times New Roman"/>
          <w:szCs w:val="24"/>
        </w:rPr>
        <w:lastRenderedPageBreak/>
        <w:t>przypadku takich badań będą one, obok badań spełnia</w:t>
      </w:r>
      <w:r w:rsidR="007A241F">
        <w:rPr>
          <w:rFonts w:ascii="Times New Roman" w:hAnsi="Times New Roman" w:cs="Times New Roman"/>
          <w:szCs w:val="24"/>
        </w:rPr>
        <w:t>jących warunki określone w ust. </w:t>
      </w:r>
      <w:r w:rsidRPr="0065234B">
        <w:rPr>
          <w:rFonts w:ascii="Times New Roman" w:hAnsi="Times New Roman" w:cs="Times New Roman"/>
          <w:szCs w:val="24"/>
        </w:rPr>
        <w:t>1, badaniami niekomercyjnymi.</w:t>
      </w:r>
    </w:p>
    <w:p w14:paraId="52DF7D3D" w14:textId="032E8FC5"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Dotychczasową restrykcję zawartą w</w:t>
      </w:r>
      <w:r w:rsidR="00492A71" w:rsidRPr="0065234B">
        <w:rPr>
          <w:rFonts w:ascii="Times New Roman" w:hAnsi="Times New Roman" w:cs="Times New Roman"/>
          <w:szCs w:val="24"/>
        </w:rPr>
        <w:t xml:space="preserve"> obowiązującej</w:t>
      </w:r>
      <w:r w:rsidRPr="0065234B">
        <w:rPr>
          <w:rFonts w:ascii="Times New Roman" w:hAnsi="Times New Roman" w:cs="Times New Roman"/>
          <w:szCs w:val="24"/>
        </w:rPr>
        <w:t xml:space="preserve"> ustawie, że dane uzyskane w trakcie badania klinicznego niekomercyjnego nie mogą być wykorzystane w celu uzyskania pozwolenia na dopuszczenie do obrotu produktu leczniczego, dokonania zmian w istniejącym pozwoleniu lub w celach marketingowych (tj. promocji sprzedaży, reklamy lub marketingu produktu leczniczego), z jednej strony wzmocniono (poza definicją, w dalszych przepisach ustawy), wprowadzając zakaz również czynności prawnych umożliwiających komercyjne wykorzystanie danych uzyskanych w trakcie niekomercyjnego badania klinicznego, z drugiej strony ograniczono, pozostawiając możliwość dokonania zmian w istniejącym pozwoleniu w odniesieniu do aspektów bezpieczeństwa stosowania leku. Taka możliwość pozostaje w duchu międzynarodowych reguł nadzoru nad bezpieczeństwem stosowania produktów leczniczych (pharmacovigilance): podmiot odpowiedzialny, jak i regulator rynku, po powzięciu informacji o nowych niespodziewanych lub ciężkich działaniach niepożądanych produktu leczniczego</w:t>
      </w:r>
      <w:r w:rsidR="00E058AC">
        <w:rPr>
          <w:rFonts w:ascii="Times New Roman" w:hAnsi="Times New Roman" w:cs="Times New Roman"/>
          <w:szCs w:val="24"/>
        </w:rPr>
        <w:t>,</w:t>
      </w:r>
      <w:r w:rsidRPr="0065234B">
        <w:rPr>
          <w:rFonts w:ascii="Times New Roman" w:hAnsi="Times New Roman" w:cs="Times New Roman"/>
          <w:szCs w:val="24"/>
        </w:rPr>
        <w:t xml:space="preserve"> ma obowiązek uruchomić proces zmiany warunków dopuszczenia do obrotu i żadne przepisy nie powinny tego obowiązku ograniczać. W porównaniu do ww. wytycznych Komisji Europejskiej z 2006 r. nie wprowadzono do definicji dodatkowego warunku bezpośredniego nadzoru sponsora niekomercyjnego badania klinicznego nad procesami projektowania, przeprowadzenia, dokumentowania i raportowania wyników badania, jako że warunek taki wynika wprost z samej aktualnej definicji sponsora, tak dla badań niekomercyjnych, jak i komercyjnych (por. art. 2 ust. 2 pkt 14 rozporządzenia 536/2014) – art. 5 projektu ustawy. Jednocześnie przewidziano wyłączenie powyższych ograniczeń w stosunku do niekomercyjnych badań klinicznych, finansowanych w całości ze środków publicznych, kształtując w ten sposób dedykowane tylko tym badaniom ułatwienia dla ewentualnej komercjalizacji produktu leczniczego w oparciu o wyniki badania klinicznego finansowanego w całości z takich środków.</w:t>
      </w:r>
    </w:p>
    <w:p w14:paraId="62D4626D" w14:textId="2C4E17E3"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Ponadto, zgodnie z </w:t>
      </w:r>
      <w:r w:rsidR="00353275" w:rsidRPr="0065234B">
        <w:rPr>
          <w:rFonts w:ascii="Times New Roman" w:hAnsi="Times New Roman" w:cs="Times New Roman"/>
          <w:szCs w:val="24"/>
        </w:rPr>
        <w:t xml:space="preserve">obowiązującymi </w:t>
      </w:r>
      <w:r w:rsidRPr="0065234B">
        <w:rPr>
          <w:rFonts w:ascii="Times New Roman" w:hAnsi="Times New Roman" w:cs="Times New Roman"/>
          <w:szCs w:val="24"/>
        </w:rPr>
        <w:t>przepisami</w:t>
      </w:r>
      <w:r w:rsidR="00E058AC">
        <w:rPr>
          <w:rFonts w:ascii="Times New Roman" w:hAnsi="Times New Roman" w:cs="Times New Roman"/>
          <w:szCs w:val="24"/>
        </w:rPr>
        <w:t>,</w:t>
      </w:r>
      <w:r w:rsidRPr="0065234B">
        <w:rPr>
          <w:rFonts w:ascii="Times New Roman" w:hAnsi="Times New Roman" w:cs="Times New Roman"/>
          <w:szCs w:val="24"/>
        </w:rPr>
        <w:t xml:space="preserve"> utrzymano możliwość wsparcia niekomercyjnego badania klinicznego przez podmioty komercyjne – bez utraty statusu badania niekomercyjnego – w postaci ściśle określonych korzyści, tj. uzyskania badanych produktów leczniczych bezpłatnie lub po obniżonych kosztach oraz wsparcie merytoryczne lub techniczne – art. 7 projektu ustawy. Oznacza to, że w przypadku gdy podmiot prowadzący niekomercyjne badanie kliniczne otrzyma wsparcie w postaci badanych produktów leczniczych uzyskanych od wytwórcy lub podmiotu odpowiedzialnego, bezpłatnie lub po </w:t>
      </w:r>
      <w:r w:rsidRPr="0065234B">
        <w:rPr>
          <w:rFonts w:ascii="Times New Roman" w:hAnsi="Times New Roman" w:cs="Times New Roman"/>
          <w:szCs w:val="24"/>
        </w:rPr>
        <w:lastRenderedPageBreak/>
        <w:t>obniżonych kosztach, wsparcie merytoryczne, techniczne lub finansowe wytwórcy lub podmiotu odpowiedzialnego, badanie nie utraci statusu niekomercyjnego badania klinicznego. W przypadku gdy takie wsparcie zostałoby pozyskane i nie został</w:t>
      </w:r>
      <w:r w:rsidR="002D3A2F" w:rsidRPr="0065234B">
        <w:rPr>
          <w:rFonts w:ascii="Times New Roman" w:hAnsi="Times New Roman" w:cs="Times New Roman"/>
          <w:szCs w:val="24"/>
        </w:rPr>
        <w:t>o</w:t>
      </w:r>
      <w:r w:rsidRPr="0065234B">
        <w:rPr>
          <w:rFonts w:ascii="Times New Roman" w:hAnsi="Times New Roman" w:cs="Times New Roman"/>
          <w:szCs w:val="24"/>
        </w:rPr>
        <w:t xml:space="preserve">by ujawnione we wniosku o wydanie pozwolenia na badanie kliniczne albo </w:t>
      </w:r>
      <w:r w:rsidR="007D3F2D" w:rsidRPr="0065234B">
        <w:rPr>
          <w:rFonts w:ascii="Times New Roman" w:hAnsi="Times New Roman" w:cs="Times New Roman"/>
          <w:szCs w:val="24"/>
        </w:rPr>
        <w:t xml:space="preserve">we </w:t>
      </w:r>
      <w:r w:rsidRPr="0065234B">
        <w:rPr>
          <w:rFonts w:ascii="Times New Roman" w:hAnsi="Times New Roman" w:cs="Times New Roman"/>
          <w:szCs w:val="24"/>
        </w:rPr>
        <w:t>wniosku o wydanie pozwolenia na istotną zmianę badania klinicznego, a niekomercyjne badanie kliniczne uzyskało odpowiednie pozwolenie, badanie straciłoby status niekomercyjnego badania klinicznego.</w:t>
      </w:r>
    </w:p>
    <w:bookmarkEnd w:id="4"/>
    <w:p w14:paraId="08D0E490" w14:textId="76477460"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8 projektu ustawy przewidziano możliwość ograniczenia stosowania rozporządzenia Parlamentu Europejskiego i Rady (UE) 2</w:t>
      </w:r>
      <w:r w:rsidR="007A241F">
        <w:rPr>
          <w:rFonts w:ascii="Times New Roman" w:hAnsi="Times New Roman" w:cs="Times New Roman"/>
          <w:szCs w:val="24"/>
        </w:rPr>
        <w:t>016/679 z dnia 27 kwietnia 2016 </w:t>
      </w:r>
      <w:r w:rsidRPr="0065234B">
        <w:rPr>
          <w:rFonts w:ascii="Times New Roman" w:hAnsi="Times New Roman" w:cs="Times New Roman"/>
          <w:szCs w:val="24"/>
        </w:rPr>
        <w:t>r. w sprawie ochrony osób fizycznych w związku z przetwarzaniem danych osobowych i w sprawie swobodnego przepływu takich danych oraz uc</w:t>
      </w:r>
      <w:r w:rsidR="007A241F">
        <w:rPr>
          <w:rFonts w:ascii="Times New Roman" w:hAnsi="Times New Roman" w:cs="Times New Roman"/>
          <w:szCs w:val="24"/>
        </w:rPr>
        <w:t>hylenia dyrektywy 95/46/WE (Dz. </w:t>
      </w:r>
      <w:r w:rsidRPr="0065234B">
        <w:rPr>
          <w:rFonts w:ascii="Times New Roman" w:hAnsi="Times New Roman" w:cs="Times New Roman"/>
          <w:szCs w:val="24"/>
        </w:rPr>
        <w:t>Urz. UE L 119 z 04.05.2016, str. 1</w:t>
      </w:r>
      <w:r w:rsidR="00934EBD">
        <w:rPr>
          <w:rFonts w:ascii="Times New Roman" w:hAnsi="Times New Roman" w:cs="Times New Roman"/>
          <w:szCs w:val="24"/>
        </w:rPr>
        <w:t>,</w:t>
      </w:r>
      <w:r w:rsidRPr="0065234B">
        <w:rPr>
          <w:rFonts w:ascii="Times New Roman" w:hAnsi="Times New Roman" w:cs="Times New Roman"/>
          <w:szCs w:val="24"/>
        </w:rPr>
        <w:t xml:space="preserve"> z późn. zm.), zwanego dalej „ rozporządzeniem 2016/679”, w zakresie prawa żądania usunięcia danych osobowych oraz ograniczenie prawa żądania dostępu do danych w trakcie trwania lub w okresie udziału w badaniu klinicznym, i jeżeli ograniczenia te są konieczne do realizacji tych celów</w:t>
      </w:r>
      <w:r w:rsidR="005646C3">
        <w:rPr>
          <w:rFonts w:ascii="Times New Roman" w:hAnsi="Times New Roman" w:cs="Times New Roman"/>
          <w:szCs w:val="24"/>
        </w:rPr>
        <w:t>.</w:t>
      </w:r>
    </w:p>
    <w:p w14:paraId="50DD308B" w14:textId="53B998B1"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Dotychczas stosowaną podstawą prawną przetwarzania danych osobowych pacjentów na potrzeby prowadzenia badań klinicznych jest zgoda pacjenta na przetwarzanie jego danych osobowych. Zgodnie z rozporządzeniem Ministra Zdrowia </w:t>
      </w:r>
      <w:r w:rsidR="007A241F">
        <w:rPr>
          <w:rFonts w:ascii="Times New Roman" w:hAnsi="Times New Roman" w:cs="Times New Roman"/>
          <w:szCs w:val="24"/>
        </w:rPr>
        <w:t>z dnia 12 października 2018 </w:t>
      </w:r>
      <w:r w:rsidR="005646C3">
        <w:rPr>
          <w:rFonts w:ascii="Times New Roman" w:hAnsi="Times New Roman" w:cs="Times New Roman"/>
          <w:szCs w:val="24"/>
        </w:rPr>
        <w:t xml:space="preserve">r. </w:t>
      </w:r>
      <w:r w:rsidRPr="0065234B">
        <w:rPr>
          <w:rFonts w:ascii="Times New Roman" w:hAnsi="Times New Roman" w:cs="Times New Roman"/>
          <w:szCs w:val="24"/>
        </w:rPr>
        <w:t xml:space="preserve">w sprawie wzorów dokumentów przedkładanych w związku z badaniem klinicznym produktu leczniczego oraz opłat za złożenie wniosku o </w:t>
      </w:r>
      <w:r w:rsidRPr="009B0AC7">
        <w:rPr>
          <w:rFonts w:ascii="Times New Roman" w:hAnsi="Times New Roman" w:cs="Times New Roman"/>
          <w:szCs w:val="24"/>
        </w:rPr>
        <w:t xml:space="preserve">rozpoczęcie badania klinicznego </w:t>
      </w:r>
      <w:r w:rsidR="007A241F">
        <w:rPr>
          <w:rFonts w:ascii="Times New Roman" w:hAnsi="Times New Roman" w:cs="Times New Roman"/>
          <w:szCs w:val="24"/>
        </w:rPr>
        <w:t>(Dz. U. poz. </w:t>
      </w:r>
      <w:r w:rsidRPr="0065234B">
        <w:rPr>
          <w:rFonts w:ascii="Times New Roman" w:hAnsi="Times New Roman" w:cs="Times New Roman"/>
          <w:szCs w:val="24"/>
        </w:rPr>
        <w:t xml:space="preserve">1994) do wniosku kierowanego do komisji bioetycznej o wydanie opinii o badaniu klinicznym i Prezesa Urzędu o rozpoczęcie badania klinicznego </w:t>
      </w:r>
      <w:r w:rsidR="00934EBD" w:rsidRPr="0065234B">
        <w:rPr>
          <w:rFonts w:ascii="Times New Roman" w:hAnsi="Times New Roman" w:cs="Times New Roman"/>
          <w:szCs w:val="24"/>
        </w:rPr>
        <w:t xml:space="preserve">należy </w:t>
      </w:r>
      <w:r w:rsidRPr="0065234B">
        <w:rPr>
          <w:rFonts w:ascii="Times New Roman" w:hAnsi="Times New Roman" w:cs="Times New Roman"/>
          <w:szCs w:val="24"/>
        </w:rPr>
        <w:t xml:space="preserve">dołączyć wzór formularza zgody na przetwarzanie danych osobowych uczestnika badania klinicznego związanych z jego udziałem w badaniu klinicznym. O ile stosowanie zgody, jako podstawy prawnej przetwarzania danych osobowych, może zwiększać transparentność faktu przetwarzania wobec osób, których dane dotyczą, to jednak przy prawidłowym spełnieniu obowiązku informacyjnego (zwykle treści formularza świadomej zgody na udział w badaniu) stosowanie </w:t>
      </w:r>
      <w:r w:rsidR="00353275" w:rsidRPr="0065234B">
        <w:rPr>
          <w:rFonts w:ascii="Times New Roman" w:hAnsi="Times New Roman" w:cs="Times New Roman"/>
          <w:szCs w:val="24"/>
        </w:rPr>
        <w:t xml:space="preserve">do </w:t>
      </w:r>
      <w:r w:rsidRPr="0065234B">
        <w:rPr>
          <w:rFonts w:ascii="Times New Roman" w:hAnsi="Times New Roman" w:cs="Times New Roman"/>
          <w:szCs w:val="24"/>
        </w:rPr>
        <w:t>tej podstawy prawnej przetwarzania danych może negatywnie wpływać na rozumienie stosowanych zasad przetwarzania danych osobowych przez osoby, których dane dotyczą, jak również w dalszej kolejności na bezpieczeństwo prowadzenia badań i nienaruszalność uzyskanych wyników. Pomimo ż</w:t>
      </w:r>
      <w:r w:rsidR="004A2454">
        <w:rPr>
          <w:rFonts w:ascii="Times New Roman" w:hAnsi="Times New Roman" w:cs="Times New Roman"/>
          <w:szCs w:val="24"/>
        </w:rPr>
        <w:t>e</w:t>
      </w:r>
      <w:r w:rsidRPr="0065234B">
        <w:rPr>
          <w:rFonts w:ascii="Times New Roman" w:hAnsi="Times New Roman" w:cs="Times New Roman"/>
          <w:szCs w:val="24"/>
        </w:rPr>
        <w:t xml:space="preserve"> dotychczas przetwarzanie danych osobowych uczestników badania opierało się na ich wyraźnej zgodzie zarówno przepisy rozporządzenia 2016/679, jak </w:t>
      </w:r>
      <w:r w:rsidR="004A2454">
        <w:rPr>
          <w:rFonts w:ascii="Times New Roman" w:hAnsi="Times New Roman" w:cs="Times New Roman"/>
          <w:szCs w:val="24"/>
        </w:rPr>
        <w:t>i</w:t>
      </w:r>
      <w:r w:rsidR="004A2454" w:rsidRPr="0065234B">
        <w:rPr>
          <w:rFonts w:ascii="Times New Roman" w:hAnsi="Times New Roman" w:cs="Times New Roman"/>
          <w:szCs w:val="24"/>
        </w:rPr>
        <w:t xml:space="preserve"> </w:t>
      </w:r>
      <w:r w:rsidRPr="0065234B">
        <w:rPr>
          <w:rFonts w:ascii="Times New Roman" w:hAnsi="Times New Roman" w:cs="Times New Roman"/>
          <w:szCs w:val="24"/>
        </w:rPr>
        <w:t xml:space="preserve">wydana na ich podstawie opinia Europejskiej Rady ds. Ochrony Danych Osobowych, wskazują na możliwość zastosowania innych podstaw </w:t>
      </w:r>
      <w:r w:rsidRPr="0065234B">
        <w:rPr>
          <w:rFonts w:ascii="Times New Roman" w:hAnsi="Times New Roman" w:cs="Times New Roman"/>
          <w:szCs w:val="24"/>
        </w:rPr>
        <w:lastRenderedPageBreak/>
        <w:t>prawnych przetwarzania danych osobowych – w szczególności w postaci podstawy wskazanej w art. 9 ust. 2 lit. j rozporządzenia 2016/679 (przetwarzanie jest niezbędne do celów badań naukowych), które pozwalają na zachowanie większej spójności z zasadami prowadzenia badań klinicznych. Stosowanie podstawy prawnej dotyczącej niezbędności przetwarzania do celów badań naukowych, jako podstawy prawnej przetwarzania danych uczestników badania</w:t>
      </w:r>
      <w:r w:rsidR="004A2454">
        <w:rPr>
          <w:rFonts w:ascii="Times New Roman" w:hAnsi="Times New Roman" w:cs="Times New Roman"/>
          <w:szCs w:val="24"/>
        </w:rPr>
        <w:t>,</w:t>
      </w:r>
      <w:r w:rsidRPr="0065234B">
        <w:rPr>
          <w:rFonts w:ascii="Times New Roman" w:hAnsi="Times New Roman" w:cs="Times New Roman"/>
          <w:szCs w:val="24"/>
        </w:rPr>
        <w:t xml:space="preserve"> wydaje się być właściwym stanowiskiem z uwagi na: </w:t>
      </w:r>
    </w:p>
    <w:p w14:paraId="509C223B"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ograniczoną lub całkowicie wyłączoną dobrowolność w zakresie wyrażenia zgody na przetwarzanie danych osobowych na etapie przystępowania do udziału w badaniu klinicznym – brak wyrażenia zgody na przetwarzanie danych osobowych powoduje niemożność uczestniczenia w badaniu, które niejednokrotnie stanowi ostatnią możliwość leczenia ciężko chorego pacjenta;</w:t>
      </w:r>
    </w:p>
    <w:p w14:paraId="10DA1431" w14:textId="579AB745"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zapewnienie adekwatności praw przysługujących osobom, których dane dotyczą</w:t>
      </w:r>
      <w:r w:rsidR="004A2454">
        <w:rPr>
          <w:rFonts w:ascii="Times New Roman" w:hAnsi="Times New Roman" w:cs="Times New Roman"/>
          <w:szCs w:val="24"/>
        </w:rPr>
        <w:t>,</w:t>
      </w:r>
      <w:r w:rsidRPr="0065234B">
        <w:rPr>
          <w:rFonts w:ascii="Times New Roman" w:hAnsi="Times New Roman" w:cs="Times New Roman"/>
          <w:szCs w:val="24"/>
        </w:rPr>
        <w:t xml:space="preserve"> do okoliczności związanych z udziałem w badaniu klinicznym przez dopuszczenie możliwości wyłączenia prawa żądania usunięcia danych, z</w:t>
      </w:r>
      <w:r w:rsidR="005646C3">
        <w:rPr>
          <w:rFonts w:ascii="Times New Roman" w:hAnsi="Times New Roman" w:cs="Times New Roman"/>
          <w:szCs w:val="24"/>
        </w:rPr>
        <w:t xml:space="preserve">godnie bowiem z art. 17 ust. 3 </w:t>
      </w:r>
      <w:r w:rsidRPr="0065234B">
        <w:rPr>
          <w:rFonts w:ascii="Times New Roman" w:hAnsi="Times New Roman" w:cs="Times New Roman"/>
          <w:szCs w:val="24"/>
        </w:rPr>
        <w:t>lit. d rozporządzenia 2016/679, przy przetwarzaniu danych w oparciu o podstawę prawną</w:t>
      </w:r>
      <w:r w:rsidR="004A2454">
        <w:rPr>
          <w:rFonts w:ascii="Times New Roman" w:hAnsi="Times New Roman" w:cs="Times New Roman"/>
          <w:szCs w:val="24"/>
        </w:rPr>
        <w:t>,</w:t>
      </w:r>
      <w:r w:rsidRPr="0065234B">
        <w:rPr>
          <w:rFonts w:ascii="Times New Roman" w:hAnsi="Times New Roman" w:cs="Times New Roman"/>
          <w:szCs w:val="24"/>
        </w:rPr>
        <w:t xml:space="preserve"> jaką jest prowadzenie badań naukowych</w:t>
      </w:r>
      <w:r w:rsidR="004A2454">
        <w:rPr>
          <w:rFonts w:ascii="Times New Roman" w:hAnsi="Times New Roman" w:cs="Times New Roman"/>
          <w:szCs w:val="24"/>
        </w:rPr>
        <w:t>,</w:t>
      </w:r>
      <w:r w:rsidRPr="0065234B">
        <w:rPr>
          <w:rFonts w:ascii="Times New Roman" w:hAnsi="Times New Roman" w:cs="Times New Roman"/>
          <w:szCs w:val="24"/>
        </w:rPr>
        <w:t xml:space="preserve"> prawo żądania usunięcia danych może zostać wyłączone, jeśli prawdopodobnym jest, że realizacja tego prawa uniemożliwi lub poważnie utrudni realizację celów takiego przetwarzania – powyższe należy oceniać jako pozostające w interesie społecznym i zgodne z celem naukowym badania, ponieważ umożliwia ocenę wyników prowadzonych badań w oparciu o większą ilość informacji</w:t>
      </w:r>
      <w:r w:rsidR="004A2454">
        <w:rPr>
          <w:rFonts w:ascii="Times New Roman" w:hAnsi="Times New Roman" w:cs="Times New Roman"/>
          <w:szCs w:val="24"/>
        </w:rPr>
        <w:t>,</w:t>
      </w:r>
      <w:r w:rsidRPr="0065234B">
        <w:rPr>
          <w:rFonts w:ascii="Times New Roman" w:hAnsi="Times New Roman" w:cs="Times New Roman"/>
          <w:szCs w:val="24"/>
        </w:rPr>
        <w:t xml:space="preserve"> a tym samym zapewniając większą wiarygodność, rzetelność i spójność dokumentacji badania, nie naruszając przy tym praw osób, których dane dotyczą, m.in. przez stosowanie pseudo</w:t>
      </w:r>
      <w:r w:rsidR="00353275" w:rsidRPr="0065234B">
        <w:rPr>
          <w:rFonts w:ascii="Times New Roman" w:hAnsi="Times New Roman" w:cs="Times New Roman"/>
          <w:szCs w:val="24"/>
        </w:rPr>
        <w:t>a</w:t>
      </w:r>
      <w:r w:rsidRPr="0065234B">
        <w:rPr>
          <w:rFonts w:ascii="Times New Roman" w:hAnsi="Times New Roman" w:cs="Times New Roman"/>
          <w:szCs w:val="24"/>
        </w:rPr>
        <w:t xml:space="preserve">nimizacji danych; </w:t>
      </w:r>
    </w:p>
    <w:p w14:paraId="19455EB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 xml:space="preserve">sprzeczność stosowania zgody, jako podstawy prawnej przetwarzania danych osobowych uczestników badania z obowiązkami sponsora i badacza wynikającymi z innych przepisów prawa </w:t>
      </w:r>
      <w:bookmarkStart w:id="5" w:name="_Hlk70574422"/>
      <w:r w:rsidRPr="0065234B">
        <w:rPr>
          <w:rFonts w:ascii="Times New Roman" w:hAnsi="Times New Roman" w:cs="Times New Roman"/>
          <w:szCs w:val="24"/>
        </w:rPr>
        <w:t>–</w:t>
      </w:r>
      <w:bookmarkEnd w:id="5"/>
      <w:r w:rsidRPr="0065234B">
        <w:rPr>
          <w:rFonts w:ascii="Times New Roman" w:hAnsi="Times New Roman" w:cs="Times New Roman"/>
          <w:szCs w:val="24"/>
        </w:rPr>
        <w:t xml:space="preserve"> wycofanie zgody pociągające za sobą konieczność usunięcia danych uniemożliwia bowiem wypełnienie obowiązków sponsora i badacza dotyczących archiwizacji dokumentacji badania przez wymagany okres;</w:t>
      </w:r>
    </w:p>
    <w:p w14:paraId="154F4DD4"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brak możliwości realizacji prawa żądania usunięcia danych w zakresie danych przetwarzanych przez ośrodek, gdyż stanowią element dokumentacji medycznej, której okres przechowywania określają odpowiednie przepisy prawa;</w:t>
      </w:r>
    </w:p>
    <w:p w14:paraId="1E696C19" w14:textId="5F23A59F"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5)</w:t>
      </w:r>
      <w:r w:rsidRPr="0065234B">
        <w:rPr>
          <w:rFonts w:ascii="Times New Roman" w:hAnsi="Times New Roman" w:cs="Times New Roman"/>
          <w:szCs w:val="24"/>
        </w:rPr>
        <w:tab/>
        <w:t>ograniczenie prawa uczestnika badania do dostępu do swoich danych osobowych na pewnych etapach badania z uwagi na ochronę wartości naukowej i spójności całego badania klinicznego – w pewnych sytuacjach uczestnik badania nie może przeglądać ani otrzymać kopii części swojej dokumentacji związanej z badaniem klinicznym do czasu jego ukończenia; dotyczy to na przykład badań z wykorzystaniem placebo lub badań porównawczych, w których jest istotne</w:t>
      </w:r>
      <w:r w:rsidR="00C77F13">
        <w:rPr>
          <w:rFonts w:ascii="Times New Roman" w:hAnsi="Times New Roman" w:cs="Times New Roman"/>
          <w:szCs w:val="24"/>
        </w:rPr>
        <w:t>,</w:t>
      </w:r>
      <w:r w:rsidRPr="0065234B">
        <w:rPr>
          <w:rFonts w:ascii="Times New Roman" w:hAnsi="Times New Roman" w:cs="Times New Roman"/>
          <w:szCs w:val="24"/>
        </w:rPr>
        <w:t xml:space="preserve"> </w:t>
      </w:r>
      <w:r w:rsidR="00C77F13">
        <w:rPr>
          <w:rFonts w:ascii="Times New Roman" w:hAnsi="Times New Roman" w:cs="Times New Roman"/>
          <w:szCs w:val="24"/>
        </w:rPr>
        <w:t>a</w:t>
      </w:r>
      <w:r w:rsidRPr="0065234B">
        <w:rPr>
          <w:rFonts w:ascii="Times New Roman" w:hAnsi="Times New Roman" w:cs="Times New Roman"/>
          <w:szCs w:val="24"/>
        </w:rPr>
        <w:t>by uczestnicy badania nie wiedzieli, do której grupy pacjentów zostali przydzieleni. Stosowanie zgody jako podstawy prawnej nie pozwala na ograniczenie praw przysługujących osobom, których dane dotyczą, co w praktyce prowadzenia badań może być jednak niezbędne do prawidłowego przebiegu badania. Tym samym stosowanie zgody może wprowadzać w błąd osoby, których dane dotyczą, co do przysługujących im praw.</w:t>
      </w:r>
    </w:p>
    <w:p w14:paraId="4D64C9C2" w14:textId="6FFFE18D"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przypadku przyjęcia jednak interpretacji, że przetwarzanie danych uczestnika </w:t>
      </w:r>
      <w:r w:rsidR="00FD1ABB">
        <w:rPr>
          <w:rFonts w:ascii="Times New Roman" w:hAnsi="Times New Roman" w:cs="Times New Roman"/>
          <w:szCs w:val="24"/>
        </w:rPr>
        <w:t>badań</w:t>
      </w:r>
      <w:r w:rsidR="00FD1ABB" w:rsidRPr="0065234B">
        <w:rPr>
          <w:rFonts w:ascii="Times New Roman" w:hAnsi="Times New Roman" w:cs="Times New Roman"/>
          <w:szCs w:val="24"/>
        </w:rPr>
        <w:t xml:space="preserve"> </w:t>
      </w:r>
      <w:r w:rsidRPr="0065234B">
        <w:rPr>
          <w:rFonts w:ascii="Times New Roman" w:hAnsi="Times New Roman" w:cs="Times New Roman"/>
          <w:szCs w:val="24"/>
        </w:rPr>
        <w:t>klinicznych następuje w oparciu o zgodę na przetwarzanie danych, wycofanie zgody pozwala osobie, której dane dotyczą</w:t>
      </w:r>
      <w:r w:rsidR="0083070F">
        <w:rPr>
          <w:rFonts w:ascii="Times New Roman" w:hAnsi="Times New Roman" w:cs="Times New Roman"/>
          <w:szCs w:val="24"/>
        </w:rPr>
        <w:t>,</w:t>
      </w:r>
      <w:r w:rsidRPr="0065234B">
        <w:rPr>
          <w:rFonts w:ascii="Times New Roman" w:hAnsi="Times New Roman" w:cs="Times New Roman"/>
          <w:szCs w:val="24"/>
        </w:rPr>
        <w:t xml:space="preserve"> wystąpić z żądaniem usunięcia danych i skutkuje koniecznością realizacji tego żądania, o ile nie znajdują zastosowania inne podstawy prawne pozwalające na ich dalsze przetwarzanie. W praktyce prowadzenia badań klinicznych niektórzy sponsorzy zastrzegają więc w oświadczeniach zgody zbieranych od pacjentów możliwość wykorzystywania i udostępniania danych, które zostały zebrane do momentu wycofania zgody przez pacjenta, co ma ograniczać skutki wycofania zgody na przetwarzanie danych przez uczestnika badania.</w:t>
      </w:r>
    </w:p>
    <w:p w14:paraId="2E9CE6AD" w14:textId="141ED481"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celu wykluczenia pojawiających się w praktyce wątpliwości w art. 8 ust. 1 projektu ustawy przewidziano możliwość ograniczenia stosowania art. 15, art. 16, art. 18 i </w:t>
      </w:r>
      <w:r w:rsidR="005646C3">
        <w:rPr>
          <w:rFonts w:ascii="Times New Roman" w:hAnsi="Times New Roman" w:cs="Times New Roman"/>
          <w:szCs w:val="24"/>
        </w:rPr>
        <w:t>art. </w:t>
      </w:r>
      <w:r w:rsidRPr="0065234B">
        <w:rPr>
          <w:rFonts w:ascii="Times New Roman" w:hAnsi="Times New Roman" w:cs="Times New Roman"/>
          <w:szCs w:val="24"/>
        </w:rPr>
        <w:t xml:space="preserve">21 rozporządzenia 2016/679, jeżeli jest prawdopodobne, że prawa określone w tych przepisach uniemożliwią lub poważnie utrudnią realizację celów badania klinicznego, i jeżeli ograniczenia te są konieczne do realizacji tych celów. Wprowadzenie możliwości ograniczenia stosowania art. 15 rozporządzenia 2016/679 (prawo dostępu do danych) jest uzasadnione charakterem metod badawczych, jakie mogą być stosowane przy prowadzeniu badań klinicznych (w szczególności dotyczy to badań z użyciem placebo) i związaną z nimi koniecznością wykluczenia możliwości pozyskania przez uczestnika na etapie badania informacji o tym co podano uczestnikowi (lek czy </w:t>
      </w:r>
      <w:r w:rsidR="007A241F">
        <w:rPr>
          <w:rFonts w:ascii="Times New Roman" w:hAnsi="Times New Roman" w:cs="Times New Roman"/>
          <w:szCs w:val="24"/>
        </w:rPr>
        <w:t>placebo). W odniesieniu do art. </w:t>
      </w:r>
      <w:r w:rsidRPr="0065234B">
        <w:rPr>
          <w:rFonts w:ascii="Times New Roman" w:hAnsi="Times New Roman" w:cs="Times New Roman"/>
          <w:szCs w:val="24"/>
        </w:rPr>
        <w:t xml:space="preserve">16 rozporządzenia 2016/679 (prawo sprostowania danych), istnieje ryzyko nadużywania tego prawa, co może utrudniać lub uniemożliwiać realizację celu badania klinicznego. Niedopuszczalna z punktu widzenia metodyki badań jest możliwość ingerencji podmiotu </w:t>
      </w:r>
      <w:r w:rsidRPr="0065234B">
        <w:rPr>
          <w:rFonts w:ascii="Times New Roman" w:hAnsi="Times New Roman" w:cs="Times New Roman"/>
          <w:szCs w:val="24"/>
        </w:rPr>
        <w:lastRenderedPageBreak/>
        <w:t>danych w wyniki badania klinicznego. Podobna uwaga odnosi</w:t>
      </w:r>
      <w:r w:rsidR="003336D0">
        <w:rPr>
          <w:rFonts w:ascii="Times New Roman" w:hAnsi="Times New Roman" w:cs="Times New Roman"/>
          <w:szCs w:val="24"/>
        </w:rPr>
        <w:t xml:space="preserve"> się do skutków stosowania art. </w:t>
      </w:r>
      <w:r w:rsidRPr="0065234B">
        <w:rPr>
          <w:rFonts w:ascii="Times New Roman" w:hAnsi="Times New Roman" w:cs="Times New Roman"/>
          <w:szCs w:val="24"/>
        </w:rPr>
        <w:t xml:space="preserve">18 rozporządzenia 2016/679 (prawo do ograniczenia przetwarzania), bowiem jego zastosowanie w praktyce uniemożliwi prowadzenie badania klinicznego i może wpływać na integralność dokumentacji tego badania, pociągając za sobą wątpliwości dotyczące jego wyników. Ograniczenie przetwarzania polega bowiem na obowiązku pozostawienia danych bez możliwości ich wykorzystania dla innych celów (w tym również celów badawczych). Wprowadzenie możliwości ograniczenia stosowania prawa sprzeciwu (art. 21 rozporządzenia 2016/679) również może mieć znaczenie praktyczne, mimo że badania kliniczne są oparte głównie o przesłankę realizacji badań naukowych (art. 9 ust. 2 lit. j rozporządzenia </w:t>
      </w:r>
      <w:bookmarkStart w:id="6" w:name="_Hlk95661403"/>
      <w:r w:rsidRPr="0065234B">
        <w:rPr>
          <w:rFonts w:ascii="Times New Roman" w:hAnsi="Times New Roman" w:cs="Times New Roman"/>
          <w:szCs w:val="24"/>
        </w:rPr>
        <w:t>2016/679</w:t>
      </w:r>
      <w:bookmarkEnd w:id="6"/>
      <w:r w:rsidRPr="0065234B">
        <w:rPr>
          <w:rFonts w:ascii="Times New Roman" w:hAnsi="Times New Roman" w:cs="Times New Roman"/>
          <w:szCs w:val="24"/>
        </w:rPr>
        <w:t>) lub przesłankę realizacji celów związanych z interesem publicznym w dziedzinie zdrowia publicznego, takich jak zapewnienie wysokich standardów jakości i bezpieczeństwa produktów leczniczych (art. 9 ust. 2 lit. i rozporządzenia 2016/679). Jednakże, w praktyce w niektórych przypadkach, przetwarzanie danych może być również oparte o przesłanki opisane w art. 6 ust. 1 lit. c, e lub f rozporządzenia 2016/679, do których prawo sprzeciwu będzie się odnosiło. W zakresie podstawy prawnej zawartej w art. 6 ust. 1 lit. e i f rozporządzenia 2016/679 jest możliwe wniesienie prawa sprzeciwu (może to dotyczyć np. przetwarzania danych dla potrzeb rozliczenia kosztów przejazdu uczestników na badania), co w praktyce może uniemożliwić wykonanie niektórych czynności niezbędnych do wykonania badania klinicznego. W porównaniu z prawami wynikającymi z art. 15,</w:t>
      </w:r>
      <w:r w:rsidR="00D722C9" w:rsidRPr="0065234B">
        <w:rPr>
          <w:rFonts w:ascii="Times New Roman" w:hAnsi="Times New Roman" w:cs="Times New Roman"/>
          <w:szCs w:val="24"/>
        </w:rPr>
        <w:t xml:space="preserve"> art. </w:t>
      </w:r>
      <w:r w:rsidRPr="0065234B">
        <w:rPr>
          <w:rFonts w:ascii="Times New Roman" w:hAnsi="Times New Roman" w:cs="Times New Roman"/>
          <w:szCs w:val="24"/>
        </w:rPr>
        <w:t xml:space="preserve">16 i </w:t>
      </w:r>
      <w:r w:rsidR="00D722C9" w:rsidRPr="0065234B">
        <w:rPr>
          <w:rFonts w:ascii="Times New Roman" w:hAnsi="Times New Roman" w:cs="Times New Roman"/>
          <w:szCs w:val="24"/>
        </w:rPr>
        <w:t>art.</w:t>
      </w:r>
      <w:r w:rsidRPr="0065234B">
        <w:rPr>
          <w:rFonts w:ascii="Times New Roman" w:hAnsi="Times New Roman" w:cs="Times New Roman"/>
          <w:szCs w:val="24"/>
        </w:rPr>
        <w:t>18 rozporządzenia 2016/679, ograniczenie prawa sprzeciwu (art. 21 rozporządzenia 2016/679) ma w praktyce prowadzenia badań klinicznych mniejsze znaczenie praktyczne.</w:t>
      </w:r>
    </w:p>
    <w:p w14:paraId="544A5476" w14:textId="0A6BF8A1"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Należy także wskazać, że wprowadzana w art. 8 projektu ustawy możliwość ograniczenia stosowania art. 15, art. 16, art. 18 i art. 21 rozporządzenia 2016/679, zgodnie z art. 23 ust. 1 lit. i tego rozporządzenia nie narusza istoty podstawowych praw i wolności oraz jest środkiem niezbędnym i proporcjonalnym, służącym ochronie osoby, której dane dotyczą, lub praw i wolności innych osób. Jak wskazano powyżej ograniczenie praw do ochrony danych osobowych może być stosowane wyłącznie</w:t>
      </w:r>
      <w:r w:rsidR="0083070F">
        <w:rPr>
          <w:rFonts w:ascii="Times New Roman" w:hAnsi="Times New Roman" w:cs="Times New Roman"/>
          <w:szCs w:val="24"/>
        </w:rPr>
        <w:t>,</w:t>
      </w:r>
      <w:r w:rsidRPr="0065234B">
        <w:rPr>
          <w:rFonts w:ascii="Times New Roman" w:hAnsi="Times New Roman" w:cs="Times New Roman"/>
          <w:szCs w:val="24"/>
        </w:rPr>
        <w:t xml:space="preserve"> w przypadku gdy prawa określone w tych przepisach uniemożliwią lub poważnie utrudnią realizację celów badania klinicznego będącego badaniem naukowym oraz jeżeli wyłączenia te są konieczne do realizacji tych celów. Szczególnie należy podkreślić ewentualne zmiany w danych osobowych uczestnika badania klinicznego, które mogłyby negatywnie wpłynąć na wynik badania klinicznego, jego uwiarygodnienie czy też niemożliwość publikacji wyników badania klinicznego. W konsekwencji produkty lecznicze opracowane w ramach badania klinicznego, których </w:t>
      </w:r>
      <w:r w:rsidRPr="0065234B">
        <w:rPr>
          <w:rFonts w:ascii="Times New Roman" w:hAnsi="Times New Roman" w:cs="Times New Roman"/>
          <w:szCs w:val="24"/>
        </w:rPr>
        <w:lastRenderedPageBreak/>
        <w:t>skuteczność została dowiedziona w ramach tego badania</w:t>
      </w:r>
      <w:r w:rsidR="00492A3C">
        <w:rPr>
          <w:rFonts w:ascii="Times New Roman" w:hAnsi="Times New Roman" w:cs="Times New Roman"/>
          <w:szCs w:val="24"/>
        </w:rPr>
        <w:t>,</w:t>
      </w:r>
      <w:r w:rsidRPr="0065234B">
        <w:rPr>
          <w:rFonts w:ascii="Times New Roman" w:hAnsi="Times New Roman" w:cs="Times New Roman"/>
          <w:szCs w:val="24"/>
        </w:rPr>
        <w:t xml:space="preserve"> nie będą mogły być kierowane do dalszych czynności skutkujących udost</w:t>
      </w:r>
      <w:r w:rsidR="002D3A2F" w:rsidRPr="0065234B">
        <w:rPr>
          <w:rFonts w:ascii="Times New Roman" w:hAnsi="Times New Roman" w:cs="Times New Roman"/>
          <w:szCs w:val="24"/>
        </w:rPr>
        <w:t>ę</w:t>
      </w:r>
      <w:r w:rsidRPr="0065234B">
        <w:rPr>
          <w:rFonts w:ascii="Times New Roman" w:hAnsi="Times New Roman" w:cs="Times New Roman"/>
          <w:szCs w:val="24"/>
        </w:rPr>
        <w:t>pnieniem ich w szerokim stosowaniu ogółowi populacji. W konsekwencji może to wpłynąć negatywnie na prawo innych osób do skutecznego leczenia. Dodatkowo należy podkreślić, że zmiany w danych osobowych uczestnika badania klinicznego skutkujące ww. niemożnością realizacji badania klinicznego będącego badaniem naukowym wpłyną negatywnie na prawa pozostałych osób biorących udział w badaniu. Mając na uwadze powyższe, należy wskazać, że ograniczenie wprowadzone w art. 8 projektowanej ustawy spełnia przesłanki wyn</w:t>
      </w:r>
      <w:r w:rsidR="005646C3">
        <w:rPr>
          <w:rFonts w:ascii="Times New Roman" w:hAnsi="Times New Roman" w:cs="Times New Roman"/>
          <w:szCs w:val="24"/>
        </w:rPr>
        <w:t xml:space="preserve">ikające </w:t>
      </w:r>
      <w:r w:rsidR="003336D0">
        <w:rPr>
          <w:rFonts w:ascii="Times New Roman" w:hAnsi="Times New Roman" w:cs="Times New Roman"/>
          <w:szCs w:val="24"/>
        </w:rPr>
        <w:t>z art. 23 ust. </w:t>
      </w:r>
      <w:r w:rsidR="00492A3C">
        <w:rPr>
          <w:rFonts w:ascii="Times New Roman" w:hAnsi="Times New Roman" w:cs="Times New Roman"/>
          <w:szCs w:val="24"/>
        </w:rPr>
        <w:t xml:space="preserve">1 </w:t>
      </w:r>
      <w:r w:rsidR="005646C3">
        <w:rPr>
          <w:rFonts w:ascii="Times New Roman" w:hAnsi="Times New Roman" w:cs="Times New Roman"/>
          <w:szCs w:val="24"/>
        </w:rPr>
        <w:t>lit. </w:t>
      </w:r>
      <w:r w:rsidRPr="0065234B">
        <w:rPr>
          <w:rFonts w:ascii="Times New Roman" w:hAnsi="Times New Roman" w:cs="Times New Roman"/>
          <w:szCs w:val="24"/>
        </w:rPr>
        <w:t>i rozporządzenia 2016/679.</w:t>
      </w:r>
    </w:p>
    <w:p w14:paraId="429715FF" w14:textId="5AB31519" w:rsidR="00F11197"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Zgodnie z art. 89 ust. 2 rozporządzenia 2016/679 możliwość wyłączenia art. 15, </w:t>
      </w:r>
      <w:r w:rsidR="005646C3">
        <w:rPr>
          <w:rFonts w:ascii="Times New Roman" w:hAnsi="Times New Roman" w:cs="Times New Roman"/>
          <w:szCs w:val="24"/>
        </w:rPr>
        <w:t>art. </w:t>
      </w:r>
      <w:r w:rsidRPr="0065234B">
        <w:rPr>
          <w:rFonts w:ascii="Times New Roman" w:hAnsi="Times New Roman" w:cs="Times New Roman"/>
          <w:szCs w:val="24"/>
        </w:rPr>
        <w:t xml:space="preserve">16, art. 18 i art. 21 </w:t>
      </w:r>
      <w:r w:rsidR="00492A3C" w:rsidRPr="0065234B">
        <w:rPr>
          <w:rFonts w:ascii="Times New Roman" w:hAnsi="Times New Roman" w:cs="Times New Roman"/>
          <w:szCs w:val="24"/>
        </w:rPr>
        <w:t xml:space="preserve">jest </w:t>
      </w:r>
      <w:r w:rsidRPr="0065234B">
        <w:rPr>
          <w:rFonts w:ascii="Times New Roman" w:hAnsi="Times New Roman" w:cs="Times New Roman"/>
          <w:szCs w:val="24"/>
        </w:rPr>
        <w:t>uzależniona od wprowadzenia odpowiednich warunków i zabezpieczeń dla praw i wolności osoby, której dane dotyczą, w art. 8 ust. 4 projektu ustawy wskazano, ż</w:t>
      </w:r>
      <w:r w:rsidR="00492A3C">
        <w:rPr>
          <w:rFonts w:ascii="Times New Roman" w:hAnsi="Times New Roman" w:cs="Times New Roman"/>
          <w:szCs w:val="24"/>
        </w:rPr>
        <w:t>e</w:t>
      </w:r>
      <w:r w:rsidRPr="0065234B">
        <w:rPr>
          <w:rFonts w:ascii="Times New Roman" w:hAnsi="Times New Roman" w:cs="Times New Roman"/>
          <w:szCs w:val="24"/>
        </w:rPr>
        <w:t xml:space="preserve"> przy przetwarzaniu danych osobowych uzyskanych na potrzeby badania klinicznego oraz w trakcie tego badania, administrator danych wdraża odpowiednie zabezpieczenia techniczne i organizacyjne</w:t>
      </w:r>
      <w:r w:rsidR="00D722C9" w:rsidRPr="0065234B">
        <w:rPr>
          <w:rFonts w:ascii="Times New Roman" w:hAnsi="Times New Roman" w:cs="Times New Roman"/>
          <w:szCs w:val="24"/>
        </w:rPr>
        <w:t>,</w:t>
      </w:r>
      <w:r w:rsidRPr="0065234B">
        <w:rPr>
          <w:rFonts w:ascii="Times New Roman" w:hAnsi="Times New Roman" w:cs="Times New Roman"/>
          <w:szCs w:val="24"/>
        </w:rPr>
        <w:t xml:space="preserve"> o których mowa w art. 32 ust. 1 rozporządzenia 2016/679, mając w szczególności na względzie charakter danych osobowych przetwarzanych w badaniu klinicznym i ryzyko naruszenia praw lub wolności osób, których dane są przetwarzane w związku z prowadzonym b</w:t>
      </w:r>
      <w:r w:rsidR="005646C3">
        <w:rPr>
          <w:rFonts w:ascii="Times New Roman" w:hAnsi="Times New Roman" w:cs="Times New Roman"/>
          <w:szCs w:val="24"/>
        </w:rPr>
        <w:t>adaniem klinicznym.</w:t>
      </w:r>
    </w:p>
    <w:p w14:paraId="22334160" w14:textId="77777777" w:rsidR="00AB0BB8" w:rsidRPr="0065234B" w:rsidRDefault="00AB0BB8" w:rsidP="005646C3">
      <w:pPr>
        <w:pStyle w:val="ARTartustawynprozporzdzenia"/>
        <w:ind w:firstLine="567"/>
        <w:rPr>
          <w:rFonts w:ascii="Times New Roman" w:hAnsi="Times New Roman" w:cs="Times New Roman"/>
          <w:szCs w:val="24"/>
        </w:rPr>
      </w:pPr>
    </w:p>
    <w:p w14:paraId="3933BD64" w14:textId="77777777" w:rsidR="00F11197" w:rsidRPr="0065234B" w:rsidRDefault="00F11197" w:rsidP="005646C3">
      <w:pPr>
        <w:pStyle w:val="ARTartustawynprozporzdzenia"/>
        <w:ind w:firstLine="567"/>
        <w:rPr>
          <w:rStyle w:val="Ppogrubienie"/>
          <w:rFonts w:ascii="Times New Roman" w:hAnsi="Times New Roman" w:cs="Times New Roman"/>
          <w:szCs w:val="24"/>
        </w:rPr>
      </w:pPr>
      <w:r w:rsidRPr="0065234B">
        <w:rPr>
          <w:rStyle w:val="Ppogrubienie"/>
          <w:rFonts w:ascii="Times New Roman" w:hAnsi="Times New Roman" w:cs="Times New Roman"/>
          <w:szCs w:val="24"/>
        </w:rPr>
        <w:t>Przepisy szczególne</w:t>
      </w:r>
    </w:p>
    <w:p w14:paraId="10F5726F" w14:textId="5D44C401" w:rsidR="00F11197" w:rsidRPr="00C33D00" w:rsidRDefault="00F11197" w:rsidP="005646C3">
      <w:pPr>
        <w:pStyle w:val="ARTartustawynprozporzdzenia"/>
        <w:ind w:firstLine="567"/>
        <w:rPr>
          <w:rFonts w:ascii="Times New Roman" w:hAnsi="Times New Roman" w:cs="Times New Roman"/>
          <w:szCs w:val="24"/>
        </w:rPr>
      </w:pPr>
      <w:r w:rsidRPr="00C33D00">
        <w:rPr>
          <w:rFonts w:ascii="Times New Roman" w:hAnsi="Times New Roman" w:cs="Times New Roman"/>
          <w:szCs w:val="24"/>
        </w:rPr>
        <w:t>W rozdziale II rozporządzenia 536/2014 uregulowano procedurę wydawania pozwolenia na badanie kliniczne oraz pozwolenia na istotną zmianę badania klinicznego, pozostawiając do uregulowania na poziomie krajowym organu kompetentnego do rozpatrzenia wniosku i wprowadzenia mechanizmów zapewniających terminowe rozpatrywanie pozwoleń (zgodne z terminami przewidzianymi w rozporządzeniu).</w:t>
      </w:r>
    </w:p>
    <w:p w14:paraId="3333BC48" w14:textId="409F74A4" w:rsidR="00F11197" w:rsidRPr="0065234B" w:rsidRDefault="00F11197" w:rsidP="0065234B">
      <w:pPr>
        <w:pStyle w:val="ARTartustawynprozporzdzenia"/>
        <w:rPr>
          <w:rFonts w:ascii="Times New Roman" w:hAnsi="Times New Roman" w:cs="Times New Roman"/>
          <w:szCs w:val="24"/>
        </w:rPr>
      </w:pPr>
      <w:r w:rsidRPr="0065234B">
        <w:rPr>
          <w:rFonts w:ascii="Times New Roman" w:hAnsi="Times New Roman" w:cs="Times New Roman"/>
          <w:szCs w:val="24"/>
        </w:rPr>
        <w:t>W rozdziale 2 projektu ustawy określono zas</w:t>
      </w:r>
      <w:r w:rsidR="005646C3">
        <w:rPr>
          <w:rFonts w:ascii="Times New Roman" w:hAnsi="Times New Roman" w:cs="Times New Roman"/>
          <w:szCs w:val="24"/>
        </w:rPr>
        <w:t xml:space="preserve">ady przeprowadzania postępowań </w:t>
      </w:r>
      <w:r w:rsidRPr="0065234B">
        <w:rPr>
          <w:rFonts w:ascii="Times New Roman" w:hAnsi="Times New Roman" w:cs="Times New Roman"/>
          <w:szCs w:val="24"/>
        </w:rPr>
        <w:t>w przedmiocie badań klinicznych</w:t>
      </w:r>
      <w:r w:rsidR="00D722C9" w:rsidRPr="0065234B">
        <w:rPr>
          <w:rFonts w:ascii="Times New Roman" w:hAnsi="Times New Roman" w:cs="Times New Roman"/>
          <w:szCs w:val="24"/>
        </w:rPr>
        <w:t>.</w:t>
      </w:r>
      <w:r w:rsidRPr="0065234B">
        <w:rPr>
          <w:rFonts w:ascii="Times New Roman" w:hAnsi="Times New Roman" w:cs="Times New Roman"/>
          <w:szCs w:val="24"/>
        </w:rPr>
        <w:t xml:space="preserve"> W art. 9 ust</w:t>
      </w:r>
      <w:r w:rsidR="00C33D00">
        <w:rPr>
          <w:rFonts w:ascii="Times New Roman" w:hAnsi="Times New Roman" w:cs="Times New Roman"/>
          <w:szCs w:val="24"/>
        </w:rPr>
        <w:t>.</w:t>
      </w:r>
      <w:r w:rsidRPr="0065234B">
        <w:rPr>
          <w:rFonts w:ascii="Times New Roman" w:hAnsi="Times New Roman" w:cs="Times New Roman"/>
          <w:szCs w:val="24"/>
        </w:rPr>
        <w:t xml:space="preserve"> 1 projektu ustawy przedstawiono rodzaje postępowań wprowadzonych przez rozporządzenie 536/2014 prowadzonych w związku z badaniem klinicznym. Postępowanie w przedmiocie: wydania pozwolenia na badanie kliniczne, wydania pozwolenia na istotną zmianę badania klinicznego, wydania pozwolenia ograniczonego do aspektów objętych częścią I lub </w:t>
      </w:r>
      <w:r w:rsidR="007D3F2D" w:rsidRPr="0065234B">
        <w:rPr>
          <w:rFonts w:ascii="Times New Roman" w:hAnsi="Times New Roman" w:cs="Times New Roman"/>
          <w:szCs w:val="24"/>
        </w:rPr>
        <w:t xml:space="preserve">częścią </w:t>
      </w:r>
      <w:r w:rsidRPr="0065234B">
        <w:rPr>
          <w:rFonts w:ascii="Times New Roman" w:hAnsi="Times New Roman" w:cs="Times New Roman"/>
          <w:szCs w:val="24"/>
        </w:rPr>
        <w:t xml:space="preserve">II sprawozdania z oceny wniosku o rozpoczęcie badania klinicznego, cofnięcia pozwolenia na badanie kliniczne, zawieszenia </w:t>
      </w:r>
      <w:r w:rsidRPr="0065234B">
        <w:rPr>
          <w:rFonts w:ascii="Times New Roman" w:hAnsi="Times New Roman" w:cs="Times New Roman"/>
          <w:szCs w:val="24"/>
        </w:rPr>
        <w:lastRenderedPageBreak/>
        <w:t xml:space="preserve">badania klinicznego, podjęcia uprzednio zawieszonego badania klinicznego, zobowiązania sponsora do zmiany dowolnego aspektu badania klinicznego – przeprowadza się zgodnie z zasadami i w terminach określonych w rozporządzeniu 536/2014 oraz </w:t>
      </w:r>
      <w:r w:rsidR="006877B1" w:rsidRPr="0065234B">
        <w:rPr>
          <w:rFonts w:ascii="Times New Roman" w:hAnsi="Times New Roman" w:cs="Times New Roman"/>
          <w:szCs w:val="24"/>
        </w:rPr>
        <w:t xml:space="preserve">projektowanej </w:t>
      </w:r>
      <w:r w:rsidRPr="0065234B">
        <w:rPr>
          <w:rFonts w:ascii="Times New Roman" w:hAnsi="Times New Roman" w:cs="Times New Roman"/>
          <w:szCs w:val="24"/>
        </w:rPr>
        <w:t xml:space="preserve">ustawie. Zgodnie z zapisami w preambule rozporządzenia 536/2014 do zainteresowanego państwa członkowskiego powinno należeć określenie odpowiedniego organu lub organów zaangażowanych w ocenę wniosków o pozwolenie na przeprowadzenie badania klinicznego. W art. 9 ust. 2 projektu ustawy wskazano, że organem właściwym do prowadzenia postępowań, o których mowa w ust. 1, jest </w:t>
      </w:r>
      <w:r w:rsidRPr="0065234B" w:rsidDel="00CE3900">
        <w:rPr>
          <w:rFonts w:ascii="Times New Roman" w:hAnsi="Times New Roman" w:cs="Times New Roman"/>
          <w:szCs w:val="24"/>
        </w:rPr>
        <w:t>Prezes Urzędu</w:t>
      </w:r>
      <w:r w:rsidRPr="0065234B">
        <w:rPr>
          <w:rFonts w:ascii="Times New Roman" w:hAnsi="Times New Roman" w:cs="Times New Roman"/>
          <w:szCs w:val="24"/>
        </w:rPr>
        <w:t>. Zgodnie z art. 9 ust. 3 projektu ustawy wydanie albo odmowa wydania pozwolenia na badanie kliniczne, wydanie albo odmowa wydania pozwolenia na istotną zmianę badania klinicznego, wydanie albo odmowa wydania pozwolenia ograniczonego do aspektów objętych częścią I lub II sprawozdania z oceny wniosku o rozpoczęcie badania klinicznego, cofnięcie pozwolenia na badanie kliniczne, zawieszenie badania klinicznego</w:t>
      </w:r>
      <w:r w:rsidR="00C33D00">
        <w:rPr>
          <w:rFonts w:ascii="Times New Roman" w:hAnsi="Times New Roman" w:cs="Times New Roman"/>
          <w:szCs w:val="24"/>
        </w:rPr>
        <w:t>,</w:t>
      </w:r>
      <w:r w:rsidRPr="0065234B">
        <w:rPr>
          <w:rFonts w:ascii="Times New Roman" w:hAnsi="Times New Roman" w:cs="Times New Roman"/>
          <w:szCs w:val="24"/>
        </w:rPr>
        <w:t xml:space="preserve"> podjęcie uprzednio zawieszonego badania klinicznego następuje w drodze decyzji Prezesa Urzędu. Mając na uwadze, że ww. decyzje Prezesa Urzędu są decyzjami administracyjnymi, w celu uniknięcia wątpliwości, w art. 9 ust. 4 projektu ustawy wskazano, ż</w:t>
      </w:r>
      <w:r w:rsidR="00C33D00">
        <w:rPr>
          <w:rFonts w:ascii="Times New Roman" w:hAnsi="Times New Roman" w:cs="Times New Roman"/>
          <w:szCs w:val="24"/>
        </w:rPr>
        <w:t>e</w:t>
      </w:r>
      <w:r w:rsidRPr="0065234B">
        <w:rPr>
          <w:rFonts w:ascii="Times New Roman" w:hAnsi="Times New Roman" w:cs="Times New Roman"/>
          <w:szCs w:val="24"/>
        </w:rPr>
        <w:t xml:space="preserve"> do odwołań od tych decyzji w zakresie nieuregulowanym niniejszą ustawą, zastosowanie będą miały przepis</w:t>
      </w:r>
      <w:r w:rsidR="003336D0">
        <w:rPr>
          <w:rFonts w:ascii="Times New Roman" w:hAnsi="Times New Roman" w:cs="Times New Roman"/>
          <w:szCs w:val="24"/>
        </w:rPr>
        <w:t>y ustawy z dnia 14 czerwca 1960 </w:t>
      </w:r>
      <w:r w:rsidRPr="0065234B">
        <w:rPr>
          <w:rFonts w:ascii="Times New Roman" w:hAnsi="Times New Roman" w:cs="Times New Roman"/>
          <w:szCs w:val="24"/>
        </w:rPr>
        <w:t>r. – Kodeks postępowania administracyjnego (Dz.</w:t>
      </w:r>
      <w:r w:rsidR="00D722C9" w:rsidRPr="0065234B">
        <w:rPr>
          <w:rFonts w:ascii="Times New Roman" w:hAnsi="Times New Roman" w:cs="Times New Roman"/>
          <w:szCs w:val="24"/>
        </w:rPr>
        <w:t xml:space="preserve"> </w:t>
      </w:r>
      <w:r w:rsidRPr="0065234B">
        <w:rPr>
          <w:rFonts w:ascii="Times New Roman" w:hAnsi="Times New Roman" w:cs="Times New Roman"/>
          <w:szCs w:val="24"/>
        </w:rPr>
        <w:t>U. z 2022 r. poz. 2000</w:t>
      </w:r>
      <w:r w:rsidR="003B3EC2" w:rsidRPr="0065234B">
        <w:rPr>
          <w:rFonts w:ascii="Times New Roman" w:hAnsi="Times New Roman" w:cs="Times New Roman"/>
          <w:szCs w:val="24"/>
        </w:rPr>
        <w:t xml:space="preserve"> i 2185</w:t>
      </w:r>
      <w:r w:rsidRPr="0065234B">
        <w:rPr>
          <w:rFonts w:ascii="Times New Roman" w:hAnsi="Times New Roman" w:cs="Times New Roman"/>
          <w:szCs w:val="24"/>
        </w:rPr>
        <w:t>).</w:t>
      </w:r>
    </w:p>
    <w:p w14:paraId="62CAD339" w14:textId="1F4A07E7" w:rsidR="00F11197" w:rsidRPr="0065234B" w:rsidRDefault="00F11197" w:rsidP="00C33D0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Art. 26 rozporządzenia 536/2014 stanowi, że państwo członkowskie określa</w:t>
      </w:r>
      <w:r w:rsidR="00D81CD7" w:rsidRPr="0065234B">
        <w:rPr>
          <w:rFonts w:ascii="Times New Roman" w:hAnsi="Times New Roman" w:cs="Times New Roman"/>
          <w:szCs w:val="24"/>
        </w:rPr>
        <w:t xml:space="preserve"> </w:t>
      </w:r>
      <w:r w:rsidRPr="0065234B">
        <w:rPr>
          <w:rFonts w:ascii="Times New Roman" w:hAnsi="Times New Roman" w:cs="Times New Roman"/>
          <w:szCs w:val="24"/>
        </w:rPr>
        <w:t>język</w:t>
      </w:r>
      <w:r w:rsidR="00D722C9" w:rsidRPr="0065234B">
        <w:rPr>
          <w:rFonts w:ascii="Times New Roman" w:hAnsi="Times New Roman" w:cs="Times New Roman"/>
          <w:szCs w:val="24"/>
        </w:rPr>
        <w:t>, w którym</w:t>
      </w:r>
      <w:r w:rsidRPr="0065234B">
        <w:rPr>
          <w:rFonts w:ascii="Times New Roman" w:hAnsi="Times New Roman" w:cs="Times New Roman"/>
          <w:szCs w:val="24"/>
        </w:rPr>
        <w:t xml:space="preserve"> składa się dokumentację wniosku </w:t>
      </w:r>
      <w:r w:rsidR="005646C3">
        <w:rPr>
          <w:rFonts w:ascii="Times New Roman" w:hAnsi="Times New Roman" w:cs="Times New Roman"/>
          <w:szCs w:val="24"/>
        </w:rPr>
        <w:t xml:space="preserve">lub jej część. W związku z tym </w:t>
      </w:r>
      <w:r w:rsidRPr="0065234B">
        <w:rPr>
          <w:rFonts w:ascii="Times New Roman" w:hAnsi="Times New Roman" w:cs="Times New Roman"/>
          <w:szCs w:val="24"/>
        </w:rPr>
        <w:t>w art. 10 projektu ustawy określono wymagania językowe w zakresie dok</w:t>
      </w:r>
      <w:r w:rsidR="003336D0">
        <w:rPr>
          <w:rFonts w:ascii="Times New Roman" w:hAnsi="Times New Roman" w:cs="Times New Roman"/>
          <w:szCs w:val="24"/>
        </w:rPr>
        <w:t>umentów wskazanych w załączniku </w:t>
      </w:r>
      <w:r w:rsidRPr="0065234B">
        <w:rPr>
          <w:rFonts w:ascii="Times New Roman" w:hAnsi="Times New Roman" w:cs="Times New Roman"/>
          <w:szCs w:val="24"/>
        </w:rPr>
        <w:t>I i II rozporządzenia 536/2014. W art. 10 ust. 1 projektu ustawy określono, że dokumentacja pierwotnego wniosku wymieniona w załączniku I rozporządzenia 536/2014 w częściach B-I oraz Q</w:t>
      </w:r>
      <w:r w:rsidR="00D81CD7" w:rsidRPr="0065234B">
        <w:rPr>
          <w:rFonts w:ascii="Times New Roman" w:hAnsi="Times New Roman" w:cs="Times New Roman"/>
          <w:szCs w:val="24"/>
        </w:rPr>
        <w:t>-</w:t>
      </w:r>
      <w:r w:rsidRPr="0065234B">
        <w:rPr>
          <w:rFonts w:ascii="Times New Roman" w:hAnsi="Times New Roman" w:cs="Times New Roman"/>
          <w:szCs w:val="24"/>
        </w:rPr>
        <w:t>R jest sporządzana w języku angielskim lub w języku polskim, z wyjątkiem streszczenia protokołu badania klinicznego, który sporządza się w języku polskim, natomiast dokumentację wymienioną w częściach J–P sporządza się w języku polskim. Dokumentacja wniosku o istotną zmianę określona w załączniku II do rozporządzenia 536/2014 w częściach B, C, F oraz G jest sporządzana w języku angielskim lub w języku polskim, z wyjątkiem streszczenia protokołu badania klinicznego, który sporządza się w języku polskim, natomiast dokumentację wymienioną w częściach D oraz E składa się w języku</w:t>
      </w:r>
      <w:r w:rsidR="00D722C9" w:rsidRPr="0065234B">
        <w:rPr>
          <w:rFonts w:ascii="Times New Roman" w:hAnsi="Times New Roman" w:cs="Times New Roman"/>
          <w:szCs w:val="24"/>
        </w:rPr>
        <w:t>,</w:t>
      </w:r>
      <w:r w:rsidRPr="0065234B">
        <w:rPr>
          <w:rFonts w:ascii="Times New Roman" w:hAnsi="Times New Roman" w:cs="Times New Roman"/>
          <w:szCs w:val="24"/>
        </w:rPr>
        <w:t xml:space="preserve"> </w:t>
      </w:r>
      <w:r w:rsidR="00D722C9" w:rsidRPr="0065234B">
        <w:rPr>
          <w:rFonts w:ascii="Times New Roman" w:hAnsi="Times New Roman" w:cs="Times New Roman"/>
          <w:szCs w:val="24"/>
        </w:rPr>
        <w:t xml:space="preserve">w </w:t>
      </w:r>
      <w:r w:rsidRPr="0065234B">
        <w:rPr>
          <w:rFonts w:ascii="Times New Roman" w:hAnsi="Times New Roman" w:cs="Times New Roman"/>
          <w:szCs w:val="24"/>
        </w:rPr>
        <w:t xml:space="preserve">którym został złożony pierwotny wniosek o wydanie pozwolenia na badanie kliniczne. Natomiast dodatkowe informacje podawane na opakowaniu badanego produktu leczniczego i </w:t>
      </w:r>
      <w:r w:rsidRPr="0065234B">
        <w:rPr>
          <w:rFonts w:ascii="Times New Roman" w:hAnsi="Times New Roman" w:cs="Times New Roman"/>
          <w:szCs w:val="24"/>
        </w:rPr>
        <w:lastRenderedPageBreak/>
        <w:t>pomocniczego produktu leczniczego są oznakowane w</w:t>
      </w:r>
      <w:r w:rsidR="003336D0">
        <w:rPr>
          <w:rFonts w:ascii="Times New Roman" w:hAnsi="Times New Roman" w:cs="Times New Roman"/>
          <w:szCs w:val="24"/>
        </w:rPr>
        <w:t xml:space="preserve"> języku polskim, zgodnie z art. </w:t>
      </w:r>
      <w:r w:rsidRPr="0065234B">
        <w:rPr>
          <w:rFonts w:ascii="Times New Roman" w:hAnsi="Times New Roman" w:cs="Times New Roman"/>
          <w:szCs w:val="24"/>
        </w:rPr>
        <w:t>66</w:t>
      </w:r>
      <w:r w:rsidR="00C33D00">
        <w:rPr>
          <w:rFonts w:ascii="Times New Roman" w:hAnsi="Times New Roman" w:cs="Times New Roman"/>
          <w:szCs w:val="24"/>
        </w:rPr>
        <w:t>–</w:t>
      </w:r>
      <w:r w:rsidRPr="0065234B">
        <w:rPr>
          <w:rFonts w:ascii="Times New Roman" w:hAnsi="Times New Roman" w:cs="Times New Roman"/>
          <w:szCs w:val="24"/>
        </w:rPr>
        <w:t>68 tego rozporządzenia art. 10 ust. 2 projektu ustawy.</w:t>
      </w:r>
    </w:p>
    <w:p w14:paraId="1A160CF9" w14:textId="3E854333"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11 projektu ustawy określono, że badanie kliniczne można rozpocząć po uzyskaniu decyzji o wydaniu pozwolenia na badanie klinicz</w:t>
      </w:r>
      <w:r w:rsidR="005646C3">
        <w:rPr>
          <w:rFonts w:ascii="Times New Roman" w:hAnsi="Times New Roman" w:cs="Times New Roman"/>
          <w:szCs w:val="24"/>
        </w:rPr>
        <w:t>ne, z zastrzeżeniem art. 8 ust. </w:t>
      </w:r>
      <w:r w:rsidRPr="0065234B">
        <w:rPr>
          <w:rFonts w:ascii="Times New Roman" w:hAnsi="Times New Roman" w:cs="Times New Roman"/>
          <w:szCs w:val="24"/>
        </w:rPr>
        <w:t>6</w:t>
      </w:r>
      <w:r w:rsidR="00D722C9" w:rsidRPr="0065234B">
        <w:rPr>
          <w:rFonts w:ascii="Times New Roman" w:hAnsi="Times New Roman" w:cs="Times New Roman"/>
          <w:szCs w:val="24"/>
        </w:rPr>
        <w:t xml:space="preserve"> oraz art. 14 ust. 1 </w:t>
      </w:r>
      <w:r w:rsidRPr="0065234B">
        <w:rPr>
          <w:rFonts w:ascii="Times New Roman" w:hAnsi="Times New Roman" w:cs="Times New Roman"/>
          <w:szCs w:val="24"/>
        </w:rPr>
        <w:t>rozporządzenia 536/2014.</w:t>
      </w:r>
    </w:p>
    <w:p w14:paraId="5AFC6913" w14:textId="056A27B8"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Art. 12 projektu ustawy odnosi się do art. 11 rozporządzenia 536/2014. Jeżeli sponsor w terminie 2 lat od dnia doręczenia mu stanowiska w sp</w:t>
      </w:r>
      <w:r w:rsidR="005646C3">
        <w:rPr>
          <w:rFonts w:ascii="Times New Roman" w:hAnsi="Times New Roman" w:cs="Times New Roman"/>
          <w:szCs w:val="24"/>
        </w:rPr>
        <w:t>rawie aspektów objętych częścią </w:t>
      </w:r>
      <w:r w:rsidRPr="0065234B">
        <w:rPr>
          <w:rFonts w:ascii="Times New Roman" w:hAnsi="Times New Roman" w:cs="Times New Roman"/>
          <w:szCs w:val="24"/>
        </w:rPr>
        <w:t>I sprawozdania z oceny nie złoży wniosku o wydanie pozwolenie ograniczonego do aspektów objętych częścią II sprawozdania z oceny wniosku o rozpoczęcie badania klinicznego, Prezes Urzędu umarza postępowanie wszczęte wnioskiem o wydanie pozwolenia ograniczonego do aspektów objętych częścią I sprawozdania z oceny wniosku o rozpoczęcie badania klinicznego</w:t>
      </w:r>
      <w:r w:rsidR="005646C3">
        <w:rPr>
          <w:rFonts w:ascii="Times New Roman" w:hAnsi="Times New Roman" w:cs="Times New Roman"/>
          <w:szCs w:val="24"/>
        </w:rPr>
        <w:t>.</w:t>
      </w:r>
    </w:p>
    <w:p w14:paraId="2057D5B8" w14:textId="2CB7D7A6"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 art. 44 ust. 2 i 3 rozporządzenia 536/2014 wynika obowiązek współpracy państw członkowskich w zakresie oceny informacji zgłaszanych zgodnie z art. 42 (zgłoszenia dotyczące podejrzewanych niespodziewanych poważnyc</w:t>
      </w:r>
      <w:r w:rsidR="005646C3">
        <w:rPr>
          <w:rFonts w:ascii="Times New Roman" w:hAnsi="Times New Roman" w:cs="Times New Roman"/>
          <w:szCs w:val="24"/>
        </w:rPr>
        <w:t>h działań niepożądanych) i art. </w:t>
      </w:r>
      <w:r w:rsidRPr="0065234B">
        <w:rPr>
          <w:rFonts w:ascii="Times New Roman" w:hAnsi="Times New Roman" w:cs="Times New Roman"/>
          <w:szCs w:val="24"/>
        </w:rPr>
        <w:t>43 (coroczne sprawozdanie sponsora) tego rozporządzenia.</w:t>
      </w:r>
      <w:r w:rsidR="005646C3">
        <w:rPr>
          <w:rFonts w:ascii="Times New Roman" w:hAnsi="Times New Roman" w:cs="Times New Roman"/>
          <w:szCs w:val="24"/>
        </w:rPr>
        <w:t xml:space="preserve"> W związku z powyższym w art. </w:t>
      </w:r>
      <w:r w:rsidRPr="0065234B">
        <w:rPr>
          <w:rFonts w:ascii="Times New Roman" w:hAnsi="Times New Roman" w:cs="Times New Roman"/>
          <w:szCs w:val="24"/>
        </w:rPr>
        <w:t>13 projektu ustawy wskazano, ż</w:t>
      </w:r>
      <w:r w:rsidR="009872B4">
        <w:rPr>
          <w:rFonts w:ascii="Times New Roman" w:hAnsi="Times New Roman" w:cs="Times New Roman"/>
          <w:szCs w:val="24"/>
        </w:rPr>
        <w:t>e</w:t>
      </w:r>
      <w:r w:rsidRPr="0065234B">
        <w:rPr>
          <w:rFonts w:ascii="Times New Roman" w:hAnsi="Times New Roman" w:cs="Times New Roman"/>
          <w:szCs w:val="24"/>
        </w:rPr>
        <w:t xml:space="preserve"> Prezes Urzędu będzie podmiotem biorącym udział w ocenie informacji zgłaszanych na podstawie powyższych przepisów rozporządzenia 536/2014.</w:t>
      </w:r>
    </w:p>
    <w:p w14:paraId="64AEC92F" w14:textId="6608DC74"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Art. 80 rozporządzenia 536/2014 stanowi, że Europejska Agencja Leków we współpracy z państwami członkowskimi </w:t>
      </w:r>
      <w:r w:rsidR="00D722C9" w:rsidRPr="0065234B">
        <w:rPr>
          <w:rFonts w:ascii="Times New Roman" w:hAnsi="Times New Roman" w:cs="Times New Roman"/>
          <w:szCs w:val="24"/>
        </w:rPr>
        <w:t>oraz</w:t>
      </w:r>
      <w:r w:rsidRPr="0065234B">
        <w:rPr>
          <w:rFonts w:ascii="Times New Roman" w:hAnsi="Times New Roman" w:cs="Times New Roman"/>
          <w:szCs w:val="24"/>
        </w:rPr>
        <w:t xml:space="preserve"> Komisją Europejską tworzy i prowadzi portal na poziomie Unii Europejskiej, stanowiący jeden punkt, za pośrednictwem którego są przekazywane dane i informacje dotyczące badań klinicznych. W art. 14 projektu ustawy wskazano, że rolę punktu kontaktowego w Rzeczypospoli</w:t>
      </w:r>
      <w:r w:rsidR="005646C3">
        <w:rPr>
          <w:rFonts w:ascii="Times New Roman" w:hAnsi="Times New Roman" w:cs="Times New Roman"/>
          <w:szCs w:val="24"/>
        </w:rPr>
        <w:t>tej Polskiej, w rozumieniu art. </w:t>
      </w:r>
      <w:r w:rsidRPr="0065234B">
        <w:rPr>
          <w:rFonts w:ascii="Times New Roman" w:hAnsi="Times New Roman" w:cs="Times New Roman"/>
          <w:szCs w:val="24"/>
        </w:rPr>
        <w:t>83 rozporządzenia 536/2014, będzie pełnił Prezes Urzędu. W związku z powyższym, Prezes Urzędu będzie nadawał dostęp do portalu UE Przewodniczącemu Naczelnej Komisji Bioetycznej do spraw Badań Klinicznych, zwanej dalej „Naczelną Komisją Bioetyczną”. Następnie Przewodniczący Naczelnej Komisji Bioetycznej będzie nadawał dostęp do portalu UE uprawnionym komisjom bioetycznym. Nadan</w:t>
      </w:r>
      <w:r w:rsidR="00D722C9" w:rsidRPr="0065234B">
        <w:rPr>
          <w:rFonts w:ascii="Times New Roman" w:hAnsi="Times New Roman" w:cs="Times New Roman"/>
          <w:szCs w:val="24"/>
        </w:rPr>
        <w:t>i</w:t>
      </w:r>
      <w:r w:rsidRPr="0065234B">
        <w:rPr>
          <w:rFonts w:ascii="Times New Roman" w:hAnsi="Times New Roman" w:cs="Times New Roman"/>
          <w:szCs w:val="24"/>
        </w:rPr>
        <w:t>e tych uprawnień obydwu podmiotom wynika z konieczności zapewnienia terminowego rozpatrywania wpływających wniosków.</w:t>
      </w:r>
    </w:p>
    <w:p w14:paraId="20690C02" w14:textId="72919722"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rozdziale 4 projektu ustawy zawarto regulacje dotyczące Naczelnej Komisji Bioetycznej. Zgodnie z art. 2 ust. 1 pkt 11 rozporządzenia 536/2014 komisja etyczna </w:t>
      </w:r>
      <w:r w:rsidR="00371E5D" w:rsidRPr="0065234B">
        <w:rPr>
          <w:rFonts w:ascii="Times New Roman" w:hAnsi="Times New Roman" w:cs="Times New Roman"/>
          <w:szCs w:val="24"/>
        </w:rPr>
        <w:t>to</w:t>
      </w:r>
      <w:r w:rsidRPr="0065234B">
        <w:rPr>
          <w:rFonts w:ascii="Times New Roman" w:hAnsi="Times New Roman" w:cs="Times New Roman"/>
          <w:szCs w:val="24"/>
        </w:rPr>
        <w:t xml:space="preserve"> niezależny podmiot ustanowiony w państwie członkowskim zgodnie z prawem tego państwa </w:t>
      </w:r>
      <w:r w:rsidRPr="0065234B">
        <w:rPr>
          <w:rFonts w:ascii="Times New Roman" w:hAnsi="Times New Roman" w:cs="Times New Roman"/>
          <w:szCs w:val="24"/>
        </w:rPr>
        <w:lastRenderedPageBreak/>
        <w:t>członkowskiego i uprawniony do wydawania opinii do cel</w:t>
      </w:r>
      <w:r w:rsidR="005646C3">
        <w:rPr>
          <w:rFonts w:ascii="Times New Roman" w:hAnsi="Times New Roman" w:cs="Times New Roman"/>
          <w:szCs w:val="24"/>
        </w:rPr>
        <w:t xml:space="preserve">ów niniejszego rozporządzenia, </w:t>
      </w:r>
      <w:r w:rsidRPr="0065234B">
        <w:rPr>
          <w:rFonts w:ascii="Times New Roman" w:hAnsi="Times New Roman" w:cs="Times New Roman"/>
          <w:szCs w:val="24"/>
        </w:rPr>
        <w:t xml:space="preserve">z uwzględnieniem opinii osób nieposiadających wiedzy fachowej, w szczególności pacjentów lub organizacji pacjentów. Rozporządzenie 536/2014 pozostawiło do rozstrzygnięcia na poziomie przepisów krajowych, czy ma być to jeden podmiot czy kilka podmiotów oraz sposób funkcjonowania komisji etycznych. Z uwagi na ryzyko „zgody domniemanej” w przypadku wydania negatywnej opinii komisji etycznej po upływie czasu przewidzianego na wydanie decyzji administracyjnej, </w:t>
      </w:r>
      <w:r w:rsidR="00410C79" w:rsidRPr="0065234B">
        <w:rPr>
          <w:rFonts w:ascii="Times New Roman" w:hAnsi="Times New Roman" w:cs="Times New Roman"/>
          <w:szCs w:val="24"/>
        </w:rPr>
        <w:t xml:space="preserve">jest </w:t>
      </w:r>
      <w:r w:rsidRPr="0065234B">
        <w:rPr>
          <w:rFonts w:ascii="Times New Roman" w:hAnsi="Times New Roman" w:cs="Times New Roman"/>
          <w:szCs w:val="24"/>
        </w:rPr>
        <w:t xml:space="preserve">konieczne wprowadzenie regulacji zapewniających sprawne wydawanie opinii przez komisję etyczną w terminach przewidzianych w rozporządzeniu 536/2014 i wprowadzenie rozwiązań na wypadek zaistnienia ryzyka niewydania takiej opinii w terminie. Zatem w celu zapewnienia ochrony uczestników badań klinicznych, wysokiej jakości wydawanych opinii oraz terminowości wydawania opinii </w:t>
      </w:r>
      <w:r w:rsidR="00410C79" w:rsidRPr="0065234B">
        <w:rPr>
          <w:rFonts w:ascii="Times New Roman" w:hAnsi="Times New Roman" w:cs="Times New Roman"/>
          <w:szCs w:val="24"/>
        </w:rPr>
        <w:t xml:space="preserve">jest </w:t>
      </w:r>
      <w:r w:rsidRPr="0065234B">
        <w:rPr>
          <w:rFonts w:ascii="Times New Roman" w:hAnsi="Times New Roman" w:cs="Times New Roman"/>
          <w:szCs w:val="24"/>
        </w:rPr>
        <w:t>zasadne powołanie jednej Naczelnej Komisji Bioetycznej (rozdział 3 ustawy). Proponuje się, aby Naczelna Komisja Bioetyczna działała przy Agencji Badań Medycznych, jednakże niezależnie od Agencji Badań Medycznych, na wzór UK Ethics Committee Authority (UKECA). Takie organizacyjne umiejscowienie Naczelnej Komisji Bioetycznej jest uzasadnione ustawowym celem i obszarem działalności Agencji Badań Medycznych, którym jest wspieranie działalności innowacyjnej w ochronie zdrowia, ze szczególnym uwzględnieniem rozwoju niekomercyjnych badań klinicznych.</w:t>
      </w:r>
    </w:p>
    <w:p w14:paraId="78FE6CD5" w14:textId="77777777"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skład Naczelnej Komisji Bioetycznej, zgodnie z projektowanym art. 15 ust. 3, będzie wchodziło nie więcej:</w:t>
      </w:r>
    </w:p>
    <w:p w14:paraId="53A22BDA"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 xml:space="preserve">niż 15 przedstawicieli w dyscyplinach naukowych: nauki medyczne, nauki farmaceutyczne lub nauki o zdrowiu, posiadających co najmniej 10 lat doświadczenia zawodowego w zakresie: </w:t>
      </w:r>
    </w:p>
    <w:p w14:paraId="0F79296F" w14:textId="77777777" w:rsidR="00F11197" w:rsidRPr="0065234B" w:rsidRDefault="00F11197" w:rsidP="0065234B">
      <w:pPr>
        <w:pStyle w:val="LITlitera"/>
        <w:spacing w:before="120"/>
        <w:rPr>
          <w:rFonts w:ascii="Times New Roman" w:hAnsi="Times New Roman" w:cs="Times New Roman"/>
          <w:szCs w:val="24"/>
        </w:rPr>
      </w:pPr>
      <w:r w:rsidRPr="0065234B">
        <w:rPr>
          <w:rFonts w:ascii="Times New Roman" w:hAnsi="Times New Roman" w:cs="Times New Roman"/>
          <w:szCs w:val="24"/>
        </w:rPr>
        <w:t>a)</w:t>
      </w:r>
      <w:r w:rsidRPr="0065234B">
        <w:rPr>
          <w:rFonts w:ascii="Times New Roman" w:hAnsi="Times New Roman" w:cs="Times New Roman"/>
          <w:szCs w:val="24"/>
        </w:rPr>
        <w:tab/>
        <w:t>wykonywania zawodu lekarza, lekarza dentysty, pielęgniarki, położnej, diagnosty laboratoryjnego, farmaceuty lub</w:t>
      </w:r>
    </w:p>
    <w:p w14:paraId="363735A1" w14:textId="774A0E8F" w:rsidR="00F11197" w:rsidRPr="0065234B" w:rsidRDefault="00F11197" w:rsidP="0065234B">
      <w:pPr>
        <w:pStyle w:val="LITlitera"/>
        <w:spacing w:before="120"/>
        <w:rPr>
          <w:rFonts w:ascii="Times New Roman" w:hAnsi="Times New Roman" w:cs="Times New Roman"/>
          <w:szCs w:val="24"/>
        </w:rPr>
      </w:pPr>
      <w:r w:rsidRPr="0065234B">
        <w:rPr>
          <w:rFonts w:ascii="Times New Roman" w:hAnsi="Times New Roman" w:cs="Times New Roman"/>
          <w:szCs w:val="24"/>
        </w:rPr>
        <w:t>b)</w:t>
      </w:r>
      <w:r w:rsidRPr="0065234B">
        <w:rPr>
          <w:rFonts w:ascii="Times New Roman" w:hAnsi="Times New Roman" w:cs="Times New Roman"/>
          <w:szCs w:val="24"/>
        </w:rPr>
        <w:tab/>
        <w:t>prowadzenia badań naukowych w dziedzinie nau</w:t>
      </w:r>
      <w:r w:rsidR="005646C3">
        <w:rPr>
          <w:rFonts w:ascii="Times New Roman" w:hAnsi="Times New Roman" w:cs="Times New Roman"/>
          <w:szCs w:val="24"/>
        </w:rPr>
        <w:t xml:space="preserve">k medycznych i nauk o zdrowiu, </w:t>
      </w:r>
      <w:r w:rsidRPr="0065234B">
        <w:rPr>
          <w:rFonts w:ascii="Times New Roman" w:hAnsi="Times New Roman" w:cs="Times New Roman"/>
          <w:szCs w:val="24"/>
        </w:rPr>
        <w:t xml:space="preserve">w szczególności badań klinicznych; </w:t>
      </w:r>
    </w:p>
    <w:p w14:paraId="7F114511"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 xml:space="preserve">6 przedstawicieli w dyscyplinach naukowych: filozofia lub nauki teologiczne, posiadających co najmniej 5 lat doświadczenia zawodowego w zakresie bioetyki; </w:t>
      </w:r>
    </w:p>
    <w:p w14:paraId="54938660" w14:textId="48294B9C"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 xml:space="preserve">6 przedstawicieli w dyscyplinie </w:t>
      </w:r>
      <w:r w:rsidR="002437AB" w:rsidRPr="0065234B">
        <w:rPr>
          <w:rFonts w:ascii="Times New Roman" w:hAnsi="Times New Roman" w:cs="Times New Roman"/>
          <w:szCs w:val="24"/>
        </w:rPr>
        <w:t xml:space="preserve">naukowej </w:t>
      </w:r>
      <w:r w:rsidRPr="0065234B">
        <w:rPr>
          <w:rFonts w:ascii="Times New Roman" w:hAnsi="Times New Roman" w:cs="Times New Roman"/>
          <w:szCs w:val="24"/>
        </w:rPr>
        <w:t xml:space="preserve">nauki prawne, mających co najmniej 3 lata doświadczenia zawodowego w zakresie wykonywania wymagających wiedzy prawniczej czynności bezpośrednio związanych ze stosowaniem prawa medycznego lub </w:t>
      </w:r>
      <w:r w:rsidRPr="0065234B">
        <w:rPr>
          <w:rFonts w:ascii="Times New Roman" w:hAnsi="Times New Roman" w:cs="Times New Roman"/>
          <w:szCs w:val="24"/>
        </w:rPr>
        <w:lastRenderedPageBreak/>
        <w:t xml:space="preserve">tworzeniem projektów aktów normatywnych związanych z prawem medycznym oraz z prawem farmaceutycznym; </w:t>
      </w:r>
    </w:p>
    <w:p w14:paraId="3A96EB9D" w14:textId="6D056836"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3 przedstawicieli organizacji pacjentów, których celem statutowym jest ochrona praw pacjentów</w:t>
      </w:r>
      <w:r w:rsidR="00410C79">
        <w:rPr>
          <w:rFonts w:ascii="Times New Roman" w:hAnsi="Times New Roman" w:cs="Times New Roman"/>
          <w:szCs w:val="24"/>
        </w:rPr>
        <w:t>,</w:t>
      </w:r>
      <w:r w:rsidR="00AE6D9F" w:rsidRPr="0065234B">
        <w:rPr>
          <w:rFonts w:ascii="Times New Roman" w:hAnsi="Times New Roman" w:cs="Times New Roman"/>
          <w:szCs w:val="24"/>
        </w:rPr>
        <w:t xml:space="preserve"> </w:t>
      </w:r>
      <w:r w:rsidRPr="0065234B" w:rsidDel="005103B5">
        <w:rPr>
          <w:rFonts w:ascii="Times New Roman" w:hAnsi="Times New Roman" w:cs="Times New Roman"/>
          <w:szCs w:val="24"/>
        </w:rPr>
        <w:t>w szczególności</w:t>
      </w:r>
      <w:r w:rsidR="00410C79">
        <w:rPr>
          <w:rFonts w:ascii="Times New Roman" w:hAnsi="Times New Roman" w:cs="Times New Roman"/>
          <w:szCs w:val="24"/>
        </w:rPr>
        <w:t xml:space="preserve"> tych</w:t>
      </w:r>
      <w:r w:rsidRPr="0065234B" w:rsidDel="005103B5">
        <w:rPr>
          <w:rFonts w:ascii="Times New Roman" w:hAnsi="Times New Roman" w:cs="Times New Roman"/>
          <w:szCs w:val="24"/>
        </w:rPr>
        <w:t xml:space="preserve">, o których mowa w art. </w:t>
      </w:r>
      <w:r w:rsidRPr="0065234B">
        <w:rPr>
          <w:rFonts w:ascii="Times New Roman" w:hAnsi="Times New Roman" w:cs="Times New Roman"/>
          <w:szCs w:val="24"/>
        </w:rPr>
        <w:t xml:space="preserve">55a ust. 1 </w:t>
      </w:r>
      <w:r w:rsidRPr="0065234B" w:rsidDel="005103B5">
        <w:rPr>
          <w:rFonts w:ascii="Times New Roman" w:hAnsi="Times New Roman" w:cs="Times New Roman"/>
          <w:szCs w:val="24"/>
        </w:rPr>
        <w:t>ustawy o z dnia 6 listopada 2008</w:t>
      </w:r>
      <w:r w:rsidRPr="0065234B">
        <w:rPr>
          <w:rFonts w:ascii="Times New Roman" w:hAnsi="Times New Roman" w:cs="Times New Roman"/>
          <w:szCs w:val="24"/>
        </w:rPr>
        <w:t> </w:t>
      </w:r>
      <w:r w:rsidRPr="0065234B" w:rsidDel="005103B5">
        <w:rPr>
          <w:rFonts w:ascii="Times New Roman" w:hAnsi="Times New Roman" w:cs="Times New Roman"/>
          <w:szCs w:val="24"/>
        </w:rPr>
        <w:t xml:space="preserve">r. o prawach pacjenta i Rzeczniku Praw Pacjenta </w:t>
      </w:r>
      <w:r w:rsidRPr="0065234B">
        <w:rPr>
          <w:rFonts w:ascii="Times New Roman" w:hAnsi="Times New Roman" w:cs="Times New Roman"/>
          <w:szCs w:val="24"/>
        </w:rPr>
        <w:t>(Dz. U. z 202</w:t>
      </w:r>
      <w:r w:rsidR="002437AB" w:rsidRPr="0065234B">
        <w:rPr>
          <w:rFonts w:ascii="Times New Roman" w:hAnsi="Times New Roman" w:cs="Times New Roman"/>
          <w:szCs w:val="24"/>
        </w:rPr>
        <w:t>2</w:t>
      </w:r>
      <w:r w:rsidR="003336D0">
        <w:rPr>
          <w:rFonts w:ascii="Times New Roman" w:hAnsi="Times New Roman" w:cs="Times New Roman"/>
          <w:szCs w:val="24"/>
        </w:rPr>
        <w:t> r. poz. </w:t>
      </w:r>
      <w:r w:rsidRPr="0065234B">
        <w:rPr>
          <w:rFonts w:ascii="Times New Roman" w:hAnsi="Times New Roman" w:cs="Times New Roman"/>
          <w:szCs w:val="24"/>
        </w:rPr>
        <w:t>1876</w:t>
      </w:r>
      <w:r w:rsidR="002437AB" w:rsidRPr="0065234B">
        <w:rPr>
          <w:rFonts w:ascii="Times New Roman" w:hAnsi="Times New Roman" w:cs="Times New Roman"/>
          <w:szCs w:val="24"/>
        </w:rPr>
        <w:t xml:space="preserve"> i 2280</w:t>
      </w:r>
      <w:r w:rsidRPr="0065234B" w:rsidDel="005103B5">
        <w:rPr>
          <w:rFonts w:ascii="Times New Roman" w:hAnsi="Times New Roman" w:cs="Times New Roman"/>
          <w:szCs w:val="24"/>
        </w:rPr>
        <w:t>).</w:t>
      </w:r>
    </w:p>
    <w:p w14:paraId="4AD9BE9A" w14:textId="1FA5BAFF"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Proponowany skład Naczelnej Komisji B</w:t>
      </w:r>
      <w:r w:rsidR="003336D0">
        <w:rPr>
          <w:rFonts w:ascii="Times New Roman" w:hAnsi="Times New Roman" w:cs="Times New Roman"/>
          <w:szCs w:val="24"/>
        </w:rPr>
        <w:t>ioetycznej wynika z art. 9 ust. </w:t>
      </w:r>
      <w:r w:rsidRPr="0065234B">
        <w:rPr>
          <w:rFonts w:ascii="Times New Roman" w:hAnsi="Times New Roman" w:cs="Times New Roman"/>
          <w:szCs w:val="24"/>
        </w:rPr>
        <w:t xml:space="preserve">2 i 3 rozporządzenia </w:t>
      </w:r>
      <w:bookmarkStart w:id="7" w:name="_Hlk53478532"/>
      <w:r w:rsidRPr="0065234B">
        <w:rPr>
          <w:rFonts w:ascii="Times New Roman" w:hAnsi="Times New Roman" w:cs="Times New Roman"/>
          <w:szCs w:val="24"/>
        </w:rPr>
        <w:t>536/2014</w:t>
      </w:r>
      <w:bookmarkEnd w:id="7"/>
      <w:r w:rsidRPr="0065234B">
        <w:rPr>
          <w:rFonts w:ascii="Times New Roman" w:hAnsi="Times New Roman" w:cs="Times New Roman"/>
          <w:szCs w:val="24"/>
        </w:rPr>
        <w:t xml:space="preserve">, w myśl którego państwa członkowskie zapewniają, aby ocena była prowadzona wspólnie przez rozsądną liczbę osób, które łącznie posiadają niezbędne kwalifikacje i doświadczenie. W ocenie bierze udział co najmniej jedna osoba </w:t>
      </w:r>
      <w:r w:rsidR="005646C3">
        <w:rPr>
          <w:rFonts w:ascii="Times New Roman" w:hAnsi="Times New Roman" w:cs="Times New Roman"/>
          <w:szCs w:val="24"/>
        </w:rPr>
        <w:t>nieposiadająca wiedzy fachowej.</w:t>
      </w:r>
    </w:p>
    <w:p w14:paraId="1E71E83F" w14:textId="3A756BC8"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Liczba członków Naczelnej Komisji Bioetycznej ustalona została z uwzględnieniem konieczności powoływania w ramach Naczelnej Komisji Bioetycznej zespołów opiniujących, przy założeniu, że w praktyce będzie powoływanych kilka takich zespołów opiniujących pracujących jednocześnie oraz z uwzględnieniem konieczności zagwarantowania powołania zespołu opiniującego </w:t>
      </w:r>
      <w:r w:rsidRPr="0037691D">
        <w:rPr>
          <w:rFonts w:ascii="Times New Roman" w:hAnsi="Times New Roman" w:cs="Times New Roman"/>
          <w:i/>
          <w:szCs w:val="24"/>
        </w:rPr>
        <w:t>ad hoc</w:t>
      </w:r>
      <w:r w:rsidRPr="0065234B">
        <w:rPr>
          <w:rFonts w:ascii="Times New Roman" w:hAnsi="Times New Roman" w:cs="Times New Roman"/>
          <w:szCs w:val="24"/>
        </w:rPr>
        <w:t>, w przypadku gdyby wyznaczona komisja bioetyczna nie wykonała w terminie swojego zadania. Projektowana liczba członków Naczelnej Komisji Bioetycznej ma także gwarantować możliwość wykonywania obowiązków przez Naczelną Komisję Bioetyczną, również w sytuacji, gdy jej niektórzy członkowie będą musieli wyłączyć się od opiniowania danego wniosku ze względu na konflikt interesu. Ustalając dobór dyscyplin naukowych reprezentowanych przez członków Naczelnej Komisji Bioetycznej</w:t>
      </w:r>
      <w:r w:rsidR="0068528B">
        <w:rPr>
          <w:rFonts w:ascii="Times New Roman" w:hAnsi="Times New Roman" w:cs="Times New Roman"/>
          <w:szCs w:val="24"/>
        </w:rPr>
        <w:t>,</w:t>
      </w:r>
      <w:r w:rsidRPr="0065234B">
        <w:rPr>
          <w:rFonts w:ascii="Times New Roman" w:hAnsi="Times New Roman" w:cs="Times New Roman"/>
          <w:szCs w:val="24"/>
        </w:rPr>
        <w:t xml:space="preserve"> uwzględniono wymogi rozporządzenia 536/2014 posiadania niezbędn</w:t>
      </w:r>
      <w:r w:rsidR="0068528B">
        <w:rPr>
          <w:rFonts w:ascii="Times New Roman" w:hAnsi="Times New Roman" w:cs="Times New Roman"/>
          <w:szCs w:val="24"/>
        </w:rPr>
        <w:t>ych</w:t>
      </w:r>
      <w:r w:rsidRPr="0065234B">
        <w:rPr>
          <w:rFonts w:ascii="Times New Roman" w:hAnsi="Times New Roman" w:cs="Times New Roman"/>
          <w:szCs w:val="24"/>
        </w:rPr>
        <w:t xml:space="preserve"> kwalifikacji i doświadczenia w opiniowaniu wniosków. W szczególności ww. rozporządzenie priorytetowo traktuje umożliwienie partycypacji w ocenie etycznej przedstawicielom organizacji pacjenckich, nakładając obowiązek na państwa członkowskie zapewnienia im takiego udziału. Ponadto dobór dyscyplin naukowych członków Naczelnej Komisji Bioetycznej odzwierciedla aktualny skład osobowy komisji bioetycznych określony w rozporządzeniu Ministra Zdrowia i Opieki Społecznej z dnia 11 maja 1999 r. w sprawie szczegółowych zasad powoływania i finansowania oraz trybu działania komisji bioetycznych (Dz. U. poz. 480), zgodnie z którym członkami komisji bioetycznej są: lekarze specjaliści, po jednym przedstawicielu innego zawodu, w szczególności: duchowny, filozof, prawnik, farmaceuta, pielęgniarka.</w:t>
      </w:r>
    </w:p>
    <w:p w14:paraId="12E78B9C" w14:textId="45B49C4A"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art. 9 rozporządzenia 536/2014 pa</w:t>
      </w:r>
      <w:r w:rsidR="005646C3">
        <w:rPr>
          <w:rFonts w:ascii="Times New Roman" w:hAnsi="Times New Roman" w:cs="Times New Roman"/>
          <w:szCs w:val="24"/>
        </w:rPr>
        <w:t xml:space="preserve">ństwa członkowskie zapewniają, </w:t>
      </w:r>
      <w:r w:rsidRPr="0065234B">
        <w:rPr>
          <w:rFonts w:ascii="Times New Roman" w:hAnsi="Times New Roman" w:cs="Times New Roman"/>
          <w:szCs w:val="24"/>
        </w:rPr>
        <w:t xml:space="preserve">aby osoby walidujące i oceniające wniosek nie pozostawały w konflikcie interesów, były niezależne </w:t>
      </w:r>
      <w:r w:rsidR="0068528B">
        <w:rPr>
          <w:rFonts w:ascii="Times New Roman" w:hAnsi="Times New Roman" w:cs="Times New Roman"/>
          <w:szCs w:val="24"/>
        </w:rPr>
        <w:t>od</w:t>
      </w:r>
      <w:r w:rsidRPr="0065234B">
        <w:rPr>
          <w:rFonts w:ascii="Times New Roman" w:hAnsi="Times New Roman" w:cs="Times New Roman"/>
          <w:szCs w:val="24"/>
        </w:rPr>
        <w:t xml:space="preserve"> </w:t>
      </w:r>
      <w:r w:rsidRPr="0065234B">
        <w:rPr>
          <w:rFonts w:ascii="Times New Roman" w:hAnsi="Times New Roman" w:cs="Times New Roman"/>
          <w:szCs w:val="24"/>
        </w:rPr>
        <w:lastRenderedPageBreak/>
        <w:t>sponsora, ośrodka badań klinicznych or</w:t>
      </w:r>
      <w:r w:rsidR="005646C3">
        <w:rPr>
          <w:rFonts w:ascii="Times New Roman" w:hAnsi="Times New Roman" w:cs="Times New Roman"/>
          <w:szCs w:val="24"/>
        </w:rPr>
        <w:t xml:space="preserve">az od badaczy biorących udział </w:t>
      </w:r>
      <w:r w:rsidRPr="0065234B">
        <w:rPr>
          <w:rFonts w:ascii="Times New Roman" w:hAnsi="Times New Roman" w:cs="Times New Roman"/>
          <w:szCs w:val="24"/>
        </w:rPr>
        <w:t xml:space="preserve">w badaniu oraz osób finansujących dane badanie kliniczne, a także </w:t>
      </w:r>
      <w:r w:rsidR="0068528B">
        <w:rPr>
          <w:rFonts w:ascii="Times New Roman" w:hAnsi="Times New Roman" w:cs="Times New Roman"/>
          <w:szCs w:val="24"/>
        </w:rPr>
        <w:t>a</w:t>
      </w:r>
      <w:r w:rsidRPr="0065234B">
        <w:rPr>
          <w:rFonts w:ascii="Times New Roman" w:hAnsi="Times New Roman" w:cs="Times New Roman"/>
          <w:szCs w:val="24"/>
        </w:rPr>
        <w:t xml:space="preserve">by nie podlegały żadnym innym niepożądanym wpływom. W związku z powyższym w projekcie ustawy wprowadzono przepisy gwarantujące brak konfliktu interesów na poziomie członków Naczelnej Komisji Bioetycznej. Zgodnie z art. 15 ust. 4 projektu ustawy członkiem Naczelnej Komisji Bioetycznej może być osoba, która: </w:t>
      </w:r>
    </w:p>
    <w:p w14:paraId="57E3A78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korzysta z pełni praw publicznych;</w:t>
      </w:r>
    </w:p>
    <w:p w14:paraId="539EC74D"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nie była skazana prawomocnym wyrokiem sądu za umyślne przestępstwo lub umyślne przestępstwo skarbowe;</w:t>
      </w:r>
    </w:p>
    <w:p w14:paraId="0D50A5F9"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daje rękojmię dokonania prawidłowej oceny etycznej badania klinicznego;</w:t>
      </w:r>
    </w:p>
    <w:p w14:paraId="69FC027E"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nie była ukarana prawomocnym orzeczeniem sądu dyscyplinarnego w przedmiocie odpowiedzialności zawodowej lub sądu orzekającego w przedmiocie tej odpowiedzialności;</w:t>
      </w:r>
    </w:p>
    <w:p w14:paraId="03F88F18"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t>nie wykonuje działalności gospodarczej i nie jest członkiem organów spółek handlowych lub przedstawicielem przedsiębiorców wykonujących działalność gospodarczą w zakresie prowadzenia badań klinicznych z wyłączeniem pełnienia roli badacza oraz roli badacza będącego sponsorem badania niekomercyjnego;</w:t>
      </w:r>
    </w:p>
    <w:p w14:paraId="71962DBC"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6)</w:t>
      </w:r>
      <w:r w:rsidRPr="0065234B">
        <w:rPr>
          <w:rFonts w:ascii="Times New Roman" w:hAnsi="Times New Roman" w:cs="Times New Roman"/>
          <w:szCs w:val="24"/>
        </w:rPr>
        <w:tab/>
        <w:t xml:space="preserve">nie jest członkiem organów spółdzielni, stowarzyszeń lub fundacji wykonujących powyższą działalność; </w:t>
      </w:r>
    </w:p>
    <w:p w14:paraId="296570F8"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7)</w:t>
      </w:r>
      <w:r w:rsidRPr="0065234B">
        <w:rPr>
          <w:rFonts w:ascii="Times New Roman" w:hAnsi="Times New Roman" w:cs="Times New Roman"/>
          <w:szCs w:val="24"/>
        </w:rPr>
        <w:tab/>
        <w:t xml:space="preserve">nie posiada akcji lub udziałów w spółkach handlowych wykonujących powyższą działalność; </w:t>
      </w:r>
    </w:p>
    <w:p w14:paraId="33ABB4AF"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8)</w:t>
      </w:r>
      <w:r w:rsidRPr="0065234B">
        <w:rPr>
          <w:rFonts w:ascii="Times New Roman" w:hAnsi="Times New Roman" w:cs="Times New Roman"/>
          <w:szCs w:val="24"/>
        </w:rPr>
        <w:tab/>
        <w:t>nie jest kierownikiem apteki szpitalnej uczestniczącej w badaniach klinicznych, kierownikiem apteki z siecią aptek i kierownikiem hurtowni farmaceutycznej;</w:t>
      </w:r>
    </w:p>
    <w:p w14:paraId="5D3F6834" w14:textId="3CDCAB69"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9)</w:t>
      </w:r>
      <w:r w:rsidRPr="0065234B">
        <w:rPr>
          <w:rFonts w:ascii="Times New Roman" w:hAnsi="Times New Roman" w:cs="Times New Roman"/>
          <w:szCs w:val="24"/>
        </w:rPr>
        <w:tab/>
        <w:t>nie jest zatrudnion</w:t>
      </w:r>
      <w:r w:rsidR="0068528B">
        <w:rPr>
          <w:rFonts w:ascii="Times New Roman" w:hAnsi="Times New Roman" w:cs="Times New Roman"/>
          <w:szCs w:val="24"/>
        </w:rPr>
        <w:t>a</w:t>
      </w:r>
      <w:r w:rsidRPr="0065234B">
        <w:rPr>
          <w:rFonts w:ascii="Times New Roman" w:hAnsi="Times New Roman" w:cs="Times New Roman"/>
          <w:szCs w:val="24"/>
        </w:rPr>
        <w:t xml:space="preserve"> w podmiotach wykonujących powyższą działalność.</w:t>
      </w:r>
    </w:p>
    <w:p w14:paraId="648D696E" w14:textId="63E9C8FA" w:rsidR="00F11197" w:rsidRPr="0065234B" w:rsidRDefault="00F11197" w:rsidP="005646C3">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Członek Naczelnej Komisji Bioetycznej, z wyjątkiem przedstawicieli organizacji, których celem statutowym jest ochrona praw pacjentów, będzie musiał również posiadać tytuł zawodowy magistra lub równorzędny w odp</w:t>
      </w:r>
      <w:r w:rsidR="005646C3">
        <w:rPr>
          <w:rFonts w:ascii="Times New Roman" w:hAnsi="Times New Roman" w:cs="Times New Roman"/>
          <w:szCs w:val="24"/>
        </w:rPr>
        <w:t>owiedniej dyscyplinie naukowej.</w:t>
      </w:r>
    </w:p>
    <w:p w14:paraId="2012994C" w14:textId="77777777"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Członków Naczelnej Komisji Bioetycznej będzie powoływał i odwoływał minister właściwy do spraw zdrowia – art. 15 ust. 5 projektu ustawy. Kandydatów na członków Naczelnej Komisji Bioetycznej ministrowi właściwemu do spraw zdrowia przedstawia Prezes </w:t>
      </w:r>
      <w:r w:rsidRPr="0065234B">
        <w:rPr>
          <w:rFonts w:ascii="Times New Roman" w:hAnsi="Times New Roman" w:cs="Times New Roman"/>
          <w:szCs w:val="24"/>
        </w:rPr>
        <w:lastRenderedPageBreak/>
        <w:t xml:space="preserve">Agencji Badań Medycznych, o którym mowa w art. 15 ust. 5 projektu ustawy. W projekcie ustawy przyjęto zasadę, że kadencja członków Naczelnej Komisji Bioetycznej trwa 4 lata – art. 15 ust. 6 projektu ustawy. Minister właściwy do spraw zdrowia będzie odwoływał członka Naczelnej Komisji Bioetycznej w przypadku: </w:t>
      </w:r>
    </w:p>
    <w:p w14:paraId="048FC783"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złożenia rezygnacji;</w:t>
      </w:r>
    </w:p>
    <w:p w14:paraId="1AE5AA55"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na wniosek jej Przewodniczącego w przypadku:</w:t>
      </w:r>
    </w:p>
    <w:p w14:paraId="77C44C20" w14:textId="13B457E5" w:rsidR="00F11197" w:rsidRPr="0065234B" w:rsidRDefault="00F11197" w:rsidP="0065234B">
      <w:pPr>
        <w:pStyle w:val="LITlitera"/>
        <w:spacing w:before="120"/>
        <w:rPr>
          <w:rFonts w:ascii="Times New Roman" w:hAnsi="Times New Roman" w:cs="Times New Roman"/>
          <w:szCs w:val="24"/>
        </w:rPr>
      </w:pPr>
      <w:r w:rsidRPr="0065234B">
        <w:rPr>
          <w:rFonts w:ascii="Times New Roman" w:hAnsi="Times New Roman" w:cs="Times New Roman"/>
          <w:szCs w:val="24"/>
        </w:rPr>
        <w:t>a)</w:t>
      </w:r>
      <w:r w:rsidRPr="0065234B">
        <w:rPr>
          <w:rFonts w:ascii="Times New Roman" w:hAnsi="Times New Roman" w:cs="Times New Roman"/>
          <w:szCs w:val="24"/>
        </w:rPr>
        <w:tab/>
        <w:t>odmowy udziału w przeprowadzeniu ocen</w:t>
      </w:r>
      <w:r w:rsidR="005646C3">
        <w:rPr>
          <w:rFonts w:ascii="Times New Roman" w:hAnsi="Times New Roman" w:cs="Times New Roman"/>
          <w:szCs w:val="24"/>
        </w:rPr>
        <w:t xml:space="preserve">y etycznej badania klinicznego </w:t>
      </w:r>
      <w:r w:rsidRPr="0065234B">
        <w:rPr>
          <w:rFonts w:ascii="Times New Roman" w:hAnsi="Times New Roman" w:cs="Times New Roman"/>
          <w:szCs w:val="24"/>
        </w:rPr>
        <w:t>w 4 kolejnych badaniach klinicznych, do któr</w:t>
      </w:r>
      <w:r w:rsidR="005646C3">
        <w:rPr>
          <w:rFonts w:ascii="Times New Roman" w:hAnsi="Times New Roman" w:cs="Times New Roman"/>
          <w:szCs w:val="24"/>
        </w:rPr>
        <w:t xml:space="preserve">ych członek został wyznaczony, </w:t>
      </w:r>
      <w:r w:rsidRPr="0065234B">
        <w:rPr>
          <w:rFonts w:ascii="Times New Roman" w:hAnsi="Times New Roman" w:cs="Times New Roman"/>
          <w:szCs w:val="24"/>
        </w:rPr>
        <w:t>z przyczyn innych niż określone w art. 32 ust. 1 ustawy,</w:t>
      </w:r>
    </w:p>
    <w:p w14:paraId="40A9723E" w14:textId="77777777" w:rsidR="00F11197" w:rsidRPr="0065234B" w:rsidRDefault="00F11197" w:rsidP="0065234B">
      <w:pPr>
        <w:pStyle w:val="LITlitera"/>
        <w:spacing w:before="120"/>
        <w:rPr>
          <w:rFonts w:ascii="Times New Roman" w:hAnsi="Times New Roman" w:cs="Times New Roman"/>
          <w:szCs w:val="24"/>
        </w:rPr>
      </w:pPr>
      <w:r w:rsidRPr="0065234B">
        <w:rPr>
          <w:rFonts w:ascii="Times New Roman" w:hAnsi="Times New Roman" w:cs="Times New Roman"/>
          <w:szCs w:val="24"/>
        </w:rPr>
        <w:t>b)</w:t>
      </w:r>
      <w:r w:rsidRPr="0065234B">
        <w:rPr>
          <w:rFonts w:ascii="Times New Roman" w:hAnsi="Times New Roman" w:cs="Times New Roman"/>
          <w:szCs w:val="24"/>
        </w:rPr>
        <w:tab/>
        <w:t>działania niezgodnego z prawem lub zasadami etyki, w tym etyki badań naukowych, lub naruszenia rzetelności wykonywania obowiązków członka Naczelnej Komisji Bioetycznej;</w:t>
      </w:r>
    </w:p>
    <w:p w14:paraId="3F908FDD" w14:textId="187C67EA"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na wniosek organizacji pacjentów, której celem statutowym jest ochrona praw pacjentów, w odniesieniu do jej przedstawiciela</w:t>
      </w:r>
      <w:r w:rsidR="005646C3">
        <w:rPr>
          <w:rFonts w:ascii="Times New Roman" w:hAnsi="Times New Roman" w:cs="Times New Roman"/>
          <w:szCs w:val="24"/>
        </w:rPr>
        <w:t>.</w:t>
      </w:r>
    </w:p>
    <w:p w14:paraId="27EBD4DF" w14:textId="78A89D87"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Jednocześnie w przypadku odwołania członka ze składu Naczelnej Komisji Bioetycznej jej skład zostanie uzupełniony przez nowego członka powołanego przez ministra właściwego do spraw zdrowia – art. 15 ust. 8 projektu ustawy.</w:t>
      </w:r>
    </w:p>
    <w:p w14:paraId="1D5242B6" w14:textId="77777777"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 uwagi na konieczność zapewnienia sprawnej pracy Naczelnej Komisji Bioetycznej przyjęto, że jej pracami na bieżąco będzie kierował przewodniczący Naczelnej Komisji Bioetycznej, a w przypadku jego nieobecności jego zastępca, którzy będą powoływani i odwoływani przez ministra właściwego do spraw zdrowia spośród członków Naczelnej Komisji Bioetycznej – art. 15 ust. 9 i 10 projektu ustawy.</w:t>
      </w:r>
    </w:p>
    <w:p w14:paraId="77D5EF78" w14:textId="72467500"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15 ust. 11</w:t>
      </w:r>
      <w:r w:rsidR="00D722C9" w:rsidRPr="0065234B">
        <w:rPr>
          <w:rFonts w:ascii="Times New Roman" w:hAnsi="Times New Roman" w:cs="Times New Roman"/>
          <w:szCs w:val="24"/>
        </w:rPr>
        <w:t xml:space="preserve"> </w:t>
      </w:r>
      <w:r w:rsidRPr="0065234B">
        <w:rPr>
          <w:rFonts w:ascii="Times New Roman" w:hAnsi="Times New Roman" w:cs="Times New Roman"/>
          <w:szCs w:val="24"/>
        </w:rPr>
        <w:t>projektu ustawy wskazano, ż</w:t>
      </w:r>
      <w:r w:rsidR="00784B10">
        <w:rPr>
          <w:rFonts w:ascii="Times New Roman" w:hAnsi="Times New Roman" w:cs="Times New Roman"/>
          <w:szCs w:val="24"/>
        </w:rPr>
        <w:t>e</w:t>
      </w:r>
      <w:r w:rsidRPr="0065234B">
        <w:rPr>
          <w:rFonts w:ascii="Times New Roman" w:hAnsi="Times New Roman" w:cs="Times New Roman"/>
          <w:szCs w:val="24"/>
        </w:rPr>
        <w:t xml:space="preserve"> członek Naczelnej Komisji Bioetycznej nie m</w:t>
      </w:r>
      <w:r w:rsidR="00EC1D99" w:rsidRPr="0065234B">
        <w:rPr>
          <w:rFonts w:ascii="Times New Roman" w:hAnsi="Times New Roman" w:cs="Times New Roman"/>
          <w:szCs w:val="24"/>
        </w:rPr>
        <w:t>oże</w:t>
      </w:r>
      <w:r w:rsidRPr="0065234B">
        <w:rPr>
          <w:rFonts w:ascii="Times New Roman" w:hAnsi="Times New Roman" w:cs="Times New Roman"/>
          <w:szCs w:val="24"/>
        </w:rPr>
        <w:t xml:space="preserve"> być członkiem komisji bioetycznych, o których mowa w art. 29 ust. 1 ustawy z dnia 5 grudnia 1996 r. o zawodach lekarza i lekarza dentysty, działających jako komisje etyczne, zwanych dalej „komisjami bioetycznymi”. Zakaz łączeni</w:t>
      </w:r>
      <w:r w:rsidR="00BE4CD5" w:rsidRPr="0065234B">
        <w:rPr>
          <w:rFonts w:ascii="Times New Roman" w:hAnsi="Times New Roman" w:cs="Times New Roman"/>
          <w:szCs w:val="24"/>
        </w:rPr>
        <w:t>a</w:t>
      </w:r>
      <w:r w:rsidRPr="0065234B">
        <w:rPr>
          <w:rFonts w:ascii="Times New Roman" w:hAnsi="Times New Roman" w:cs="Times New Roman"/>
          <w:szCs w:val="24"/>
        </w:rPr>
        <w:t xml:space="preserve"> członkostwa w Naczelnej Komisji Bioetycznej i komisji bioetycznej jest uzasadniony tym, ż</w:t>
      </w:r>
      <w:r w:rsidR="00784B10">
        <w:rPr>
          <w:rFonts w:ascii="Times New Roman" w:hAnsi="Times New Roman" w:cs="Times New Roman"/>
          <w:szCs w:val="24"/>
        </w:rPr>
        <w:t>e</w:t>
      </w:r>
      <w:r w:rsidRPr="0065234B">
        <w:rPr>
          <w:rFonts w:ascii="Times New Roman" w:hAnsi="Times New Roman" w:cs="Times New Roman"/>
          <w:szCs w:val="24"/>
        </w:rPr>
        <w:t xml:space="preserve"> komisja bioetyczna, po spełnieniu określonych warunków, będzie mogła również sporządzać oceny etyczne badania klinicznego.</w:t>
      </w:r>
    </w:p>
    <w:p w14:paraId="6550C700" w14:textId="77777777"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art. 16 ust. 1 projektu ustawy określono zadania Naczelnej Komisji Bioetycznej. Zakres tych zadań wynika z przepisów rozporządzenia 536/2014, określających zasady </w:t>
      </w:r>
      <w:r w:rsidRPr="0065234B">
        <w:rPr>
          <w:rFonts w:ascii="Times New Roman" w:hAnsi="Times New Roman" w:cs="Times New Roman"/>
          <w:szCs w:val="24"/>
        </w:rPr>
        <w:lastRenderedPageBreak/>
        <w:t xml:space="preserve">sporządzania oceny etycznej wniosku. Do zadań Naczelnej Komisji Bioetycznej będzie należało: </w:t>
      </w:r>
    </w:p>
    <w:p w14:paraId="66EF474E" w14:textId="14036BB3"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sporządzanie oceny etycznej badania klinicznego zgodnie art. 21 ust. 1;</w:t>
      </w:r>
    </w:p>
    <w:p w14:paraId="048F624B" w14:textId="27A1CA5C"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prowadzenie szkoleń dla członków komisji b</w:t>
      </w:r>
      <w:r w:rsidR="005646C3">
        <w:rPr>
          <w:rFonts w:ascii="Times New Roman" w:hAnsi="Times New Roman" w:cs="Times New Roman"/>
          <w:szCs w:val="24"/>
        </w:rPr>
        <w:t xml:space="preserve">ioetycznych z zakresu bioetyki </w:t>
      </w:r>
      <w:r w:rsidRPr="0065234B">
        <w:rPr>
          <w:rFonts w:ascii="Times New Roman" w:hAnsi="Times New Roman" w:cs="Times New Roman"/>
          <w:szCs w:val="24"/>
        </w:rPr>
        <w:t>i metodologii badań naukowych z udziałem ludzi lub z użyciem ludzkiego materiału biologicznego oraz dla osób zapewniających obsługę komisji bioetycznych;</w:t>
      </w:r>
    </w:p>
    <w:p w14:paraId="0BBA7A64"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współpraca z Prezesem Urzędu w zakresie oceny etycznej badania klinicznego;</w:t>
      </w:r>
    </w:p>
    <w:p w14:paraId="0BF60913" w14:textId="11E8E9F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rozpatrywanie wniosków o wpis na listę komisji bioetycznych uprawnionych do sporządzania oceny etycznej badania klinicznego</w:t>
      </w:r>
      <w:r w:rsidR="005646C3">
        <w:rPr>
          <w:rFonts w:ascii="Times New Roman" w:hAnsi="Times New Roman" w:cs="Times New Roman"/>
          <w:szCs w:val="24"/>
        </w:rPr>
        <w:t>.</w:t>
      </w:r>
    </w:p>
    <w:p w14:paraId="78C6E0F6" w14:textId="301F79AD"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eastAsia="Arial" w:hAnsi="Times New Roman" w:cs="Times New Roman"/>
          <w:szCs w:val="24"/>
        </w:rPr>
        <w:t>Jak zostało powyżej wskazane, jednym z zadań Naczelnej Komisji Bioetycznej będzie prowadzenie szkoleń dla członków komisji bioetycznych oraz pracowników obsługujących te komisje. Szkolenia te będą dotyczyły zakresu bioetyki i metodologii badań naukowych z udziałem ludzi lub z użyciem ludzkiego materiału biologicznego. Należy zauważyć, że w ramach przygotowywania uruchomienia specjalnego portalu UE do obsługi wniosków o pozwolenia na prowadzenie badań klinicznych, takie szkolenia są już prowadzone przez Europejską Agencję Leków za pośrednictwem Agencji Badań Medycznych. Zakres merytoryczny szkoleń nie powinien być określany ustawowo, aby możliwe było elastyczne dostosowanie tematyki szkoleń do potrzeb komisji bioetycznych i ich pracowników.</w:t>
      </w:r>
    </w:p>
    <w:p w14:paraId="00B12D04" w14:textId="6BD3AC14"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Zgodnie z art. 93 rozporządzenia 536/2014 państwa członkowskie stosują dyrektywę 95/46/WE do przetwarzania danych osobowych, które odbywa się w państwach członkowskich na podstawie rozporządzenia (WE) nr 45/2001. W celu realizacji tego wymogu nałożono na Naczelną Komisję Bioetyczną obowiązek wdrożenia rozwiązań gwarantujących zapewnienie ochrony informacji niejawnych, danych osobowych oraz tajemnicy przedsiębiorstwa, przetwarzanych w związku z wykonywaniem zadań – </w:t>
      </w:r>
      <w:r w:rsidR="005646C3">
        <w:rPr>
          <w:rFonts w:ascii="Times New Roman" w:hAnsi="Times New Roman" w:cs="Times New Roman"/>
          <w:szCs w:val="24"/>
        </w:rPr>
        <w:t>art. </w:t>
      </w:r>
      <w:r w:rsidRPr="0065234B">
        <w:rPr>
          <w:rFonts w:ascii="Times New Roman" w:hAnsi="Times New Roman" w:cs="Times New Roman"/>
          <w:szCs w:val="24"/>
        </w:rPr>
        <w:t>16</w:t>
      </w:r>
      <w:r w:rsidR="005646C3">
        <w:rPr>
          <w:rFonts w:ascii="Times New Roman" w:hAnsi="Times New Roman" w:cs="Times New Roman"/>
          <w:szCs w:val="24"/>
        </w:rPr>
        <w:t xml:space="preserve"> ust. </w:t>
      </w:r>
      <w:r w:rsidRPr="0065234B">
        <w:rPr>
          <w:rFonts w:ascii="Times New Roman" w:hAnsi="Times New Roman" w:cs="Times New Roman"/>
          <w:szCs w:val="24"/>
        </w:rPr>
        <w:t>2 projektu ustawy. Administratorem danych, które są przetwarzane przez Naczelną Komisję Bioetyczną</w:t>
      </w:r>
      <w:r w:rsidR="00784B10">
        <w:rPr>
          <w:rFonts w:ascii="Times New Roman" w:hAnsi="Times New Roman" w:cs="Times New Roman"/>
          <w:szCs w:val="24"/>
        </w:rPr>
        <w:t>,</w:t>
      </w:r>
      <w:r w:rsidRPr="0065234B">
        <w:rPr>
          <w:rFonts w:ascii="Times New Roman" w:hAnsi="Times New Roman" w:cs="Times New Roman"/>
          <w:szCs w:val="24"/>
        </w:rPr>
        <w:t xml:space="preserve"> jest Przewodniczący Naczelnej Komisji Bioetycznej. </w:t>
      </w:r>
      <w:r w:rsidR="005646C3">
        <w:rPr>
          <w:rFonts w:ascii="Times New Roman" w:hAnsi="Times New Roman" w:cs="Times New Roman"/>
          <w:szCs w:val="24"/>
        </w:rPr>
        <w:t>W przepisach art. </w:t>
      </w:r>
      <w:r w:rsidRPr="0065234B">
        <w:rPr>
          <w:rFonts w:ascii="Times New Roman" w:hAnsi="Times New Roman" w:cs="Times New Roman"/>
          <w:szCs w:val="24"/>
        </w:rPr>
        <w:t>16 ust. 4</w:t>
      </w:r>
      <w:r w:rsidR="00D722C9" w:rsidRPr="0065234B">
        <w:rPr>
          <w:rFonts w:ascii="Times New Roman" w:hAnsi="Times New Roman" w:cs="Times New Roman"/>
          <w:szCs w:val="24"/>
        </w:rPr>
        <w:t xml:space="preserve"> i</w:t>
      </w:r>
      <w:r w:rsidR="00BE4CD5" w:rsidRPr="0065234B">
        <w:rPr>
          <w:rFonts w:ascii="Times New Roman" w:hAnsi="Times New Roman" w:cs="Times New Roman"/>
          <w:szCs w:val="24"/>
        </w:rPr>
        <w:t xml:space="preserve"> </w:t>
      </w:r>
      <w:r w:rsidRPr="0065234B">
        <w:rPr>
          <w:rFonts w:ascii="Times New Roman" w:hAnsi="Times New Roman" w:cs="Times New Roman"/>
          <w:szCs w:val="24"/>
        </w:rPr>
        <w:t xml:space="preserve">5 projektu ustawy reguluje </w:t>
      </w:r>
      <w:r w:rsidR="00784B10">
        <w:rPr>
          <w:rFonts w:ascii="Times New Roman" w:hAnsi="Times New Roman" w:cs="Times New Roman"/>
          <w:szCs w:val="24"/>
        </w:rPr>
        <w:t xml:space="preserve">się </w:t>
      </w:r>
      <w:r w:rsidRPr="0065234B">
        <w:rPr>
          <w:rFonts w:ascii="Times New Roman" w:hAnsi="Times New Roman" w:cs="Times New Roman"/>
          <w:szCs w:val="24"/>
        </w:rPr>
        <w:t xml:space="preserve">kwestie związane z ochroną danych osobowych w związku z pracą w portalu UE. Dane osobowe podlegają ochronie zapewniającej odpowiedni stopień bezpieczeństwa, uwzględniający aktualny stan wiedzy technicznej, charakter i cele przetwarzania danych oraz ryzyko naruszenia praw osób, których dane dotyczą. Określone zostało również, że Naczelna Komisja Bioetyczna przetwarza dane zwykłe m.in. członków komisji bioetycznych wpisanych na listę komisji bioetycznych lub </w:t>
      </w:r>
      <w:r w:rsidRPr="0065234B">
        <w:rPr>
          <w:rFonts w:ascii="Times New Roman" w:hAnsi="Times New Roman" w:cs="Times New Roman"/>
          <w:szCs w:val="24"/>
        </w:rPr>
        <w:lastRenderedPageBreak/>
        <w:t>członków komisji bioetycznych, które ubiegają się o wpis na listę komisji bioetycznych</w:t>
      </w:r>
      <w:r w:rsidR="00784B10">
        <w:rPr>
          <w:rFonts w:ascii="Times New Roman" w:hAnsi="Times New Roman" w:cs="Times New Roman"/>
          <w:szCs w:val="24"/>
        </w:rPr>
        <w:t>,</w:t>
      </w:r>
      <w:r w:rsidRPr="0065234B">
        <w:rPr>
          <w:rFonts w:ascii="Times New Roman" w:hAnsi="Times New Roman" w:cs="Times New Roman"/>
          <w:szCs w:val="24"/>
        </w:rPr>
        <w:t xml:space="preserve"> obejmujące imię i nazwisko, adres korespondencyjny, dane kontaktowe wskazane przez tą osobę, dane dotyczące wykształcenia oraz kwalifikacji zawodowych – art. 16 ust. 7 projektu ustawy. Natomiast w art. 16 ust. 8 projektu ustawy wskazano, ż</w:t>
      </w:r>
      <w:r w:rsidR="00784B10">
        <w:rPr>
          <w:rFonts w:ascii="Times New Roman" w:hAnsi="Times New Roman" w:cs="Times New Roman"/>
          <w:szCs w:val="24"/>
        </w:rPr>
        <w:t>e</w:t>
      </w:r>
      <w:r w:rsidRPr="0065234B">
        <w:rPr>
          <w:rFonts w:ascii="Times New Roman" w:hAnsi="Times New Roman" w:cs="Times New Roman"/>
          <w:szCs w:val="24"/>
        </w:rPr>
        <w:t xml:space="preserve"> dane zwykłe członków komisji bioetycznych przetwarzane w celu sporządzenia oceny etycznej badania klinicznego są przechowywane przez okres 5 lat od początku roku kalendarzowego następującego po roku, w którym zakończono badanie kliniczne, o ile przepisy prawa powszechnie obowiązującego nie stanowią inaczej, dane zwykłe członków komisji bioetycznych przetwarzane w celu organizacji szkoleń dla członków komisji bioetycznych są przechowywane przez okres roku od zakończenia szkolenia, dane członków komisji bioetycznych, które ubiegają się o wpis na listę komisji bioetycznych</w:t>
      </w:r>
      <w:r w:rsidR="00784B10">
        <w:rPr>
          <w:rFonts w:ascii="Times New Roman" w:hAnsi="Times New Roman" w:cs="Times New Roman"/>
          <w:szCs w:val="24"/>
        </w:rPr>
        <w:t>,</w:t>
      </w:r>
      <w:r w:rsidRPr="0065234B">
        <w:rPr>
          <w:rFonts w:ascii="Times New Roman" w:hAnsi="Times New Roman" w:cs="Times New Roman"/>
          <w:szCs w:val="24"/>
        </w:rPr>
        <w:t xml:space="preserve"> są przechowywane do momentu uzyskania wpisu na tę listę, dane przedstawiciela podmiotów, o których mowa w art. 30 ust. 3</w:t>
      </w:r>
      <w:r w:rsidR="00784B10">
        <w:rPr>
          <w:rFonts w:ascii="Times New Roman" w:hAnsi="Times New Roman" w:cs="Times New Roman"/>
          <w:szCs w:val="24"/>
        </w:rPr>
        <w:t>,</w:t>
      </w:r>
      <w:r w:rsidRPr="0065234B">
        <w:rPr>
          <w:rFonts w:ascii="Times New Roman" w:hAnsi="Times New Roman" w:cs="Times New Roman"/>
          <w:szCs w:val="24"/>
        </w:rPr>
        <w:t xml:space="preserve"> oraz ekspertów, o których mowa w art. 30 ust. 4 i 5 projektu ustawy, są przechowywane przez okres 5 lat od początku roku kalendarzowego następującego po roku, w którym zakończono badanie kliniczne, o ile przepisy prawa powszechnie obowiązującego nie stanowią inaczej, a dane członków komisji bioetycznej, która nie została wpisana na listę komisji bioetycznych, są przechowywane przez okres 6 miesięcy od dnia odmowy dokonania wpisu komisji bioetycznej na tę listę, a następnie są usuwane, w przypadku gdy nie zostanie złożony ponownie wniosek o wpis na listę komisji bioetycznych.</w:t>
      </w:r>
    </w:p>
    <w:p w14:paraId="28189872" w14:textId="327D776C"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17 projektu ustawy uregulowano kwestie związane z wynagradzaniem członków Naczelnej Komisji Bioetycznej za sporządzanie ocen etycznych oraz z kosztami działalności Naczelnej Komisji Bioetycznej, w tym wynagrodzeń osobowych obsługi Naczelnej Komisji Bioetycznej. Środki finansowe na wynagrodzenia dla członków zespołu opiniującego Naczelnej Komisji Bioetycznej, członków zespołu opiniującego komisji bioetycznej, o której mowa w art. 21 ust. 1 pkt 2</w:t>
      </w:r>
      <w:r w:rsidR="00D722C9" w:rsidRPr="0065234B">
        <w:rPr>
          <w:rFonts w:ascii="Times New Roman" w:hAnsi="Times New Roman" w:cs="Times New Roman"/>
          <w:szCs w:val="24"/>
        </w:rPr>
        <w:t xml:space="preserve"> projektu ustawy</w:t>
      </w:r>
      <w:r w:rsidRPr="0065234B">
        <w:rPr>
          <w:rFonts w:ascii="Times New Roman" w:hAnsi="Times New Roman" w:cs="Times New Roman"/>
          <w:szCs w:val="24"/>
        </w:rPr>
        <w:t>, przedstawicieli, o których</w:t>
      </w:r>
      <w:r w:rsidR="005646C3">
        <w:rPr>
          <w:rFonts w:ascii="Times New Roman" w:hAnsi="Times New Roman" w:cs="Times New Roman"/>
          <w:szCs w:val="24"/>
        </w:rPr>
        <w:t xml:space="preserve"> mowa w art. 30 ust. </w:t>
      </w:r>
      <w:r w:rsidRPr="0065234B">
        <w:rPr>
          <w:rFonts w:ascii="Times New Roman" w:hAnsi="Times New Roman" w:cs="Times New Roman"/>
          <w:szCs w:val="24"/>
        </w:rPr>
        <w:t>3</w:t>
      </w:r>
      <w:r w:rsidR="00D722C9" w:rsidRPr="0065234B">
        <w:rPr>
          <w:rFonts w:ascii="Times New Roman" w:hAnsi="Times New Roman" w:cs="Times New Roman"/>
          <w:szCs w:val="24"/>
        </w:rPr>
        <w:t xml:space="preserve"> projektu ustawy</w:t>
      </w:r>
      <w:r w:rsidRPr="0065234B">
        <w:rPr>
          <w:rFonts w:ascii="Times New Roman" w:hAnsi="Times New Roman" w:cs="Times New Roman"/>
          <w:szCs w:val="24"/>
        </w:rPr>
        <w:t>, i ekspertów, o który</w:t>
      </w:r>
      <w:r w:rsidR="00784B10">
        <w:rPr>
          <w:rFonts w:ascii="Times New Roman" w:hAnsi="Times New Roman" w:cs="Times New Roman"/>
          <w:szCs w:val="24"/>
        </w:rPr>
        <w:t>ch</w:t>
      </w:r>
      <w:r w:rsidRPr="0065234B">
        <w:rPr>
          <w:rFonts w:ascii="Times New Roman" w:hAnsi="Times New Roman" w:cs="Times New Roman"/>
          <w:szCs w:val="24"/>
        </w:rPr>
        <w:t xml:space="preserve"> mowa w art. 30 ust. 4 i 5</w:t>
      </w:r>
      <w:r w:rsidR="00D722C9" w:rsidRPr="0065234B">
        <w:rPr>
          <w:rFonts w:ascii="Times New Roman" w:hAnsi="Times New Roman" w:cs="Times New Roman"/>
          <w:szCs w:val="24"/>
        </w:rPr>
        <w:t xml:space="preserve"> projektu ustawy,</w:t>
      </w:r>
      <w:r w:rsidRPr="0065234B">
        <w:rPr>
          <w:rFonts w:ascii="Times New Roman" w:hAnsi="Times New Roman" w:cs="Times New Roman"/>
          <w:szCs w:val="24"/>
        </w:rPr>
        <w:t xml:space="preserve"> jeżeli zostali powołani oraz </w:t>
      </w:r>
      <w:r w:rsidR="009B7227" w:rsidRPr="0065234B">
        <w:rPr>
          <w:rFonts w:ascii="Times New Roman" w:hAnsi="Times New Roman" w:cs="Times New Roman"/>
          <w:szCs w:val="24"/>
        </w:rPr>
        <w:t>p</w:t>
      </w:r>
      <w:r w:rsidRPr="0065234B">
        <w:rPr>
          <w:rFonts w:ascii="Times New Roman" w:hAnsi="Times New Roman" w:cs="Times New Roman"/>
          <w:szCs w:val="24"/>
        </w:rPr>
        <w:t>rzewodniczącego Naczelnej Komisji Bioetycznej i jego zastępcy pochodzą z opłat, o których mowa w art. 58 ust. 2</w:t>
      </w:r>
      <w:r w:rsidR="009B7227" w:rsidRPr="0065234B">
        <w:rPr>
          <w:rFonts w:ascii="Times New Roman" w:hAnsi="Times New Roman" w:cs="Times New Roman"/>
          <w:szCs w:val="24"/>
        </w:rPr>
        <w:t xml:space="preserve"> projektu ustawy</w:t>
      </w:r>
      <w:r w:rsidR="00784B10">
        <w:rPr>
          <w:rFonts w:ascii="Times New Roman" w:hAnsi="Times New Roman" w:cs="Times New Roman"/>
          <w:szCs w:val="24"/>
        </w:rPr>
        <w:t>,</w:t>
      </w:r>
      <w:r w:rsidRPr="0065234B">
        <w:rPr>
          <w:rFonts w:ascii="Times New Roman" w:hAnsi="Times New Roman" w:cs="Times New Roman"/>
          <w:szCs w:val="24"/>
        </w:rPr>
        <w:t xml:space="preserve"> wnoszonych na rachunek bankowy Agencji.</w:t>
      </w:r>
    </w:p>
    <w:p w14:paraId="529D0469" w14:textId="52329FDE"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w:t>
      </w:r>
      <w:r w:rsidR="009B7227" w:rsidRPr="0065234B">
        <w:rPr>
          <w:rFonts w:ascii="Times New Roman" w:hAnsi="Times New Roman" w:cs="Times New Roman"/>
          <w:szCs w:val="24"/>
        </w:rPr>
        <w:t xml:space="preserve">art. 17 w </w:t>
      </w:r>
      <w:r w:rsidRPr="0065234B">
        <w:rPr>
          <w:rFonts w:ascii="Times New Roman" w:hAnsi="Times New Roman" w:cs="Times New Roman"/>
          <w:szCs w:val="24"/>
        </w:rPr>
        <w:t>ust. 1 określono maksymalne wysokości łącznych wynagrodzeń miesięcznych poszczególnych członków zespołów opiniujących oraz przewodniczącego N</w:t>
      </w:r>
      <w:r w:rsidR="009B7227" w:rsidRPr="0065234B">
        <w:rPr>
          <w:rFonts w:ascii="Times New Roman" w:hAnsi="Times New Roman" w:cs="Times New Roman"/>
          <w:szCs w:val="24"/>
        </w:rPr>
        <w:t xml:space="preserve">aczelnej Komisji Bioetycznej </w:t>
      </w:r>
      <w:r w:rsidRPr="0065234B">
        <w:rPr>
          <w:rFonts w:ascii="Times New Roman" w:hAnsi="Times New Roman" w:cs="Times New Roman"/>
          <w:szCs w:val="24"/>
        </w:rPr>
        <w:t xml:space="preserve">i jego zastępcy. W przypadku członków zespołów opiniujących łączne miesięczne wynagrodzenie każdej z tych osób za sporządzenie oceny </w:t>
      </w:r>
      <w:r w:rsidRPr="0065234B">
        <w:rPr>
          <w:rFonts w:ascii="Times New Roman" w:hAnsi="Times New Roman" w:cs="Times New Roman"/>
          <w:szCs w:val="24"/>
        </w:rPr>
        <w:lastRenderedPageBreak/>
        <w:t>etycznej badania klinicznego nie może przekroczyć 4</w:t>
      </w:r>
      <w:r w:rsidR="00AD349C">
        <w:rPr>
          <w:rFonts w:ascii="Times New Roman" w:hAnsi="Times New Roman" w:cs="Times New Roman"/>
          <w:szCs w:val="24"/>
        </w:rPr>
        <w:t>-</w:t>
      </w:r>
      <w:r w:rsidRPr="0065234B">
        <w:rPr>
          <w:rFonts w:ascii="Times New Roman" w:hAnsi="Times New Roman" w:cs="Times New Roman"/>
          <w:szCs w:val="24"/>
        </w:rPr>
        <w:t>krotności przeciętnego miesięcznego wynagrodzenia w sektorze przedsiębiorstw bez wypłat nagród z zysku w czwartym kwartale roku poprzedniego, ogłoszonego w drodze obwieszczenia, przez Prezesa Głównego Urzędu Statystycznego w Dzienniku Urzędowym Rzeczypospolitej Polskiej „Monitor Polski”. Natomiast łączne miesięczne wynagrodzenie przewodniczącego Naczelnej Komisji Bioetycznej i jego zastępcy, dla każdej z tych osób</w:t>
      </w:r>
      <w:r w:rsidR="00AD349C">
        <w:rPr>
          <w:rFonts w:ascii="Times New Roman" w:hAnsi="Times New Roman" w:cs="Times New Roman"/>
          <w:szCs w:val="24"/>
        </w:rPr>
        <w:t>,</w:t>
      </w:r>
      <w:r w:rsidRPr="0065234B">
        <w:rPr>
          <w:rFonts w:ascii="Times New Roman" w:hAnsi="Times New Roman" w:cs="Times New Roman"/>
          <w:szCs w:val="24"/>
        </w:rPr>
        <w:t xml:space="preserve"> nie może przekroczyć 6</w:t>
      </w:r>
      <w:r w:rsidR="00AD349C">
        <w:rPr>
          <w:rFonts w:ascii="Times New Roman" w:hAnsi="Times New Roman" w:cs="Times New Roman"/>
          <w:szCs w:val="24"/>
        </w:rPr>
        <w:t>-</w:t>
      </w:r>
      <w:r w:rsidR="005646C3">
        <w:rPr>
          <w:rFonts w:ascii="Times New Roman" w:hAnsi="Times New Roman" w:cs="Times New Roman"/>
          <w:szCs w:val="24"/>
        </w:rPr>
        <w:t>krotności ww. wskaźnika.</w:t>
      </w:r>
    </w:p>
    <w:p w14:paraId="42B07930" w14:textId="520FE1EB" w:rsidR="007253ED"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Ustalając wysokość wynagrodzenia członków Naczelnej Komisji Bioetycznej</w:t>
      </w:r>
      <w:r w:rsidR="002E3E32">
        <w:rPr>
          <w:rFonts w:ascii="Times New Roman" w:hAnsi="Times New Roman" w:cs="Times New Roman"/>
          <w:szCs w:val="24"/>
        </w:rPr>
        <w:t>,</w:t>
      </w:r>
      <w:r w:rsidRPr="0065234B">
        <w:rPr>
          <w:rFonts w:ascii="Times New Roman" w:hAnsi="Times New Roman" w:cs="Times New Roman"/>
          <w:szCs w:val="24"/>
        </w:rPr>
        <w:t xml:space="preserve"> uwzględniono wysokie wymagania, co do kompetencji zawodowych członków Naczelnej Komisji Bioetycznej i ograniczenia co do wykonywania innych zajęć zarobkowych. Należy mieć także na względzie zakres przeprowadzanej oceny etycznej, który obejmuje: </w:t>
      </w:r>
    </w:p>
    <w:p w14:paraId="5622353B" w14:textId="1C6FA9A5" w:rsidR="007253ED"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1)</w:t>
      </w:r>
      <w:r w:rsidR="005646C3">
        <w:rPr>
          <w:rFonts w:ascii="Times New Roman" w:hAnsi="Times New Roman" w:cs="Times New Roman"/>
          <w:szCs w:val="24"/>
        </w:rPr>
        <w:tab/>
      </w:r>
      <w:r w:rsidRPr="0065234B">
        <w:rPr>
          <w:rFonts w:ascii="Times New Roman" w:hAnsi="Times New Roman" w:cs="Times New Roman"/>
          <w:szCs w:val="24"/>
        </w:rPr>
        <w:t>sporządzanie oceny etycznej badania klinicznego objętego wnioskiem o pozwolenie na przeprowadzenie badania klinicznego, uwzględ</w:t>
      </w:r>
      <w:r w:rsidR="005646C3">
        <w:rPr>
          <w:rFonts w:ascii="Times New Roman" w:hAnsi="Times New Roman" w:cs="Times New Roman"/>
          <w:szCs w:val="24"/>
        </w:rPr>
        <w:t>niającej aspekty ujęte w części </w:t>
      </w:r>
      <w:r w:rsidRPr="0065234B">
        <w:rPr>
          <w:rFonts w:ascii="Times New Roman" w:hAnsi="Times New Roman" w:cs="Times New Roman"/>
          <w:szCs w:val="24"/>
        </w:rPr>
        <w:t>I sprawozdania z oceny na użytek pozwolenia na badanie k</w:t>
      </w:r>
      <w:r w:rsidR="005646C3">
        <w:rPr>
          <w:rFonts w:ascii="Times New Roman" w:hAnsi="Times New Roman" w:cs="Times New Roman"/>
          <w:szCs w:val="24"/>
        </w:rPr>
        <w:t>liniczne, o których mowa w art. </w:t>
      </w:r>
      <w:r w:rsidRPr="0065234B">
        <w:rPr>
          <w:rFonts w:ascii="Times New Roman" w:hAnsi="Times New Roman" w:cs="Times New Roman"/>
          <w:szCs w:val="24"/>
        </w:rPr>
        <w:t>6 ust. 1 lit. a, b i e rozporządzenia 536/2</w:t>
      </w:r>
      <w:r w:rsidR="005646C3">
        <w:rPr>
          <w:rFonts w:ascii="Times New Roman" w:hAnsi="Times New Roman" w:cs="Times New Roman"/>
          <w:szCs w:val="24"/>
        </w:rPr>
        <w:t>014</w:t>
      </w:r>
      <w:r w:rsidR="002E3E32">
        <w:rPr>
          <w:rFonts w:ascii="Times New Roman" w:hAnsi="Times New Roman" w:cs="Times New Roman"/>
          <w:szCs w:val="24"/>
        </w:rPr>
        <w:t>,</w:t>
      </w:r>
      <w:r w:rsidR="005646C3">
        <w:rPr>
          <w:rFonts w:ascii="Times New Roman" w:hAnsi="Times New Roman" w:cs="Times New Roman"/>
          <w:szCs w:val="24"/>
        </w:rPr>
        <w:t xml:space="preserve"> oraz aspekty ujęte w części </w:t>
      </w:r>
      <w:r w:rsidRPr="0065234B">
        <w:rPr>
          <w:rFonts w:ascii="Times New Roman" w:hAnsi="Times New Roman" w:cs="Times New Roman"/>
          <w:szCs w:val="24"/>
        </w:rPr>
        <w:t>II sprawozdania z oceny, o których mowa w art. 7 ust. 1 lit. a–c, e, f i h rozporządzenia 536/2014, wraz ze szczegółowym merytorycznym uzasadnieniem w przypadku negatywnej oceny;</w:t>
      </w:r>
    </w:p>
    <w:p w14:paraId="1AEFCE6D" w14:textId="31E95E01" w:rsidR="007253ED"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2)</w:t>
      </w:r>
      <w:r w:rsidR="005646C3">
        <w:rPr>
          <w:rFonts w:ascii="Times New Roman" w:hAnsi="Times New Roman" w:cs="Times New Roman"/>
          <w:szCs w:val="24"/>
        </w:rPr>
        <w:tab/>
      </w:r>
      <w:r w:rsidRPr="0065234B">
        <w:rPr>
          <w:rFonts w:ascii="Times New Roman" w:hAnsi="Times New Roman" w:cs="Times New Roman"/>
          <w:szCs w:val="24"/>
        </w:rPr>
        <w:t xml:space="preserve">sporządzenie oceny etycznej istotnej zmiany badania klinicznego objętej wnioskiem o pozwolenie na istotną zmianę badania klinicznego, uwzględniającej aspekty ujęte w części I i </w:t>
      </w:r>
      <w:r w:rsidR="009B7227" w:rsidRPr="0065234B">
        <w:rPr>
          <w:rFonts w:ascii="Times New Roman" w:hAnsi="Times New Roman" w:cs="Times New Roman"/>
          <w:szCs w:val="24"/>
        </w:rPr>
        <w:t xml:space="preserve">części </w:t>
      </w:r>
      <w:r w:rsidRPr="0065234B">
        <w:rPr>
          <w:rFonts w:ascii="Times New Roman" w:hAnsi="Times New Roman" w:cs="Times New Roman"/>
          <w:szCs w:val="24"/>
        </w:rPr>
        <w:t>II sprawozdania z oceny na użytek wniosku o pozwolenie na istotną zmianę badania klinicznego wraz ze szczegółowym merytorycznym uzasadnieniem w przypadku negatywnej oceny. Mając na względzie powyższe</w:t>
      </w:r>
      <w:r w:rsidR="002E3E32">
        <w:rPr>
          <w:rFonts w:ascii="Times New Roman" w:hAnsi="Times New Roman" w:cs="Times New Roman"/>
          <w:szCs w:val="24"/>
        </w:rPr>
        <w:t>,</w:t>
      </w:r>
      <w:r w:rsidRPr="0065234B">
        <w:rPr>
          <w:rFonts w:ascii="Times New Roman" w:hAnsi="Times New Roman" w:cs="Times New Roman"/>
          <w:szCs w:val="24"/>
        </w:rPr>
        <w:t xml:space="preserve"> w projekcie ustawy zaproponowano następujący sposób wynagradzania za sporządzenie ocen</w:t>
      </w:r>
      <w:r w:rsidR="005646C3">
        <w:rPr>
          <w:rFonts w:ascii="Times New Roman" w:hAnsi="Times New Roman" w:cs="Times New Roman"/>
          <w:szCs w:val="24"/>
        </w:rPr>
        <w:t>y etycznej badania klinicznego.</w:t>
      </w:r>
    </w:p>
    <w:p w14:paraId="6802490A" w14:textId="79610AFF" w:rsidR="009B722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przypadku gdy ocenę etyczną badania klinicznego sporządza Naczelna Komisja Bioetyczna, opłata, o której mowa w art. 58 ust. 2, wnoszona na rachunek bankowy Agencji: </w:t>
      </w:r>
    </w:p>
    <w:p w14:paraId="77F9D791" w14:textId="7B2BE3E2" w:rsidR="009B7227"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1)</w:t>
      </w:r>
      <w:r w:rsidR="005646C3">
        <w:rPr>
          <w:rFonts w:ascii="Times New Roman" w:hAnsi="Times New Roman" w:cs="Times New Roman"/>
          <w:szCs w:val="24"/>
        </w:rPr>
        <w:tab/>
      </w:r>
      <w:r w:rsidRPr="0065234B">
        <w:rPr>
          <w:rFonts w:ascii="Times New Roman" w:hAnsi="Times New Roman" w:cs="Times New Roman"/>
          <w:szCs w:val="24"/>
        </w:rPr>
        <w:t>w wysokości 60% tej opłaty jest przeznaczana na wynagrodzenia członków zespołu opiniującego, o którym mowa w art. 30 ust. 1</w:t>
      </w:r>
      <w:r w:rsidR="002E3E32">
        <w:rPr>
          <w:rFonts w:ascii="Times New Roman" w:hAnsi="Times New Roman" w:cs="Times New Roman"/>
          <w:szCs w:val="24"/>
        </w:rPr>
        <w:t>,</w:t>
      </w:r>
      <w:r w:rsidRPr="0065234B">
        <w:rPr>
          <w:rFonts w:ascii="Times New Roman" w:hAnsi="Times New Roman" w:cs="Times New Roman"/>
          <w:szCs w:val="24"/>
        </w:rPr>
        <w:t xml:space="preserve"> oraz przedstawiciela, o którym mowa w art. 30 ust. 3, i eksperta, o którym mowa w art. 30 ust. 4 i 5</w:t>
      </w:r>
      <w:r w:rsidR="002E3E32">
        <w:rPr>
          <w:rFonts w:ascii="Times New Roman" w:hAnsi="Times New Roman" w:cs="Times New Roman"/>
          <w:szCs w:val="24"/>
        </w:rPr>
        <w:t>,</w:t>
      </w:r>
      <w:r w:rsidRPr="0065234B">
        <w:rPr>
          <w:rFonts w:ascii="Times New Roman" w:hAnsi="Times New Roman" w:cs="Times New Roman"/>
          <w:szCs w:val="24"/>
        </w:rPr>
        <w:t xml:space="preserve"> w przypadku ich powołania; kwotę dzieli się równo między członków zespołu opiniującego</w:t>
      </w:r>
      <w:r w:rsidR="002E3E32">
        <w:rPr>
          <w:rFonts w:ascii="Times New Roman" w:hAnsi="Times New Roman" w:cs="Times New Roman"/>
          <w:szCs w:val="24"/>
        </w:rPr>
        <w:t>,</w:t>
      </w:r>
      <w:r w:rsidRPr="0065234B">
        <w:rPr>
          <w:rFonts w:ascii="Times New Roman" w:hAnsi="Times New Roman" w:cs="Times New Roman"/>
          <w:szCs w:val="24"/>
        </w:rPr>
        <w:t xml:space="preserve"> o </w:t>
      </w:r>
      <w:r w:rsidRPr="0065234B">
        <w:rPr>
          <w:rFonts w:ascii="Times New Roman" w:hAnsi="Times New Roman" w:cs="Times New Roman"/>
          <w:szCs w:val="24"/>
        </w:rPr>
        <w:lastRenderedPageBreak/>
        <w:t>których mowa w art. 30 ust. 1, oraz przedstawiciel</w:t>
      </w:r>
      <w:r w:rsidR="005646C3">
        <w:rPr>
          <w:rFonts w:ascii="Times New Roman" w:hAnsi="Times New Roman" w:cs="Times New Roman"/>
          <w:szCs w:val="24"/>
        </w:rPr>
        <w:t>a, o którym mowa w art. 30 ust. </w:t>
      </w:r>
      <w:r w:rsidRPr="0065234B">
        <w:rPr>
          <w:rFonts w:ascii="Times New Roman" w:hAnsi="Times New Roman" w:cs="Times New Roman"/>
          <w:szCs w:val="24"/>
        </w:rPr>
        <w:t xml:space="preserve">3, i eksperta, o którym mowa w art. 30 ust. 4 i 5, w przypadku ich powołania; </w:t>
      </w:r>
    </w:p>
    <w:p w14:paraId="01094001" w14:textId="7DA07267" w:rsidR="009B7227"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2)</w:t>
      </w:r>
      <w:r w:rsidR="005646C3">
        <w:rPr>
          <w:rFonts w:ascii="Times New Roman" w:hAnsi="Times New Roman" w:cs="Times New Roman"/>
          <w:szCs w:val="24"/>
        </w:rPr>
        <w:tab/>
      </w:r>
      <w:r w:rsidRPr="0065234B">
        <w:rPr>
          <w:rFonts w:ascii="Times New Roman" w:hAnsi="Times New Roman" w:cs="Times New Roman"/>
          <w:szCs w:val="24"/>
        </w:rPr>
        <w:t>w wysokości 35% tej opłaty jest przeznaczana na koszty działalności Naczelnej Komisji Bioetycznej</w:t>
      </w:r>
      <w:r w:rsidR="009B7227" w:rsidRPr="0065234B">
        <w:rPr>
          <w:rFonts w:ascii="Times New Roman" w:hAnsi="Times New Roman" w:cs="Times New Roman"/>
          <w:szCs w:val="24"/>
        </w:rPr>
        <w:t>;</w:t>
      </w:r>
    </w:p>
    <w:p w14:paraId="6CBF21EC" w14:textId="31F46168" w:rsidR="00F11197"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3)</w:t>
      </w:r>
      <w:r w:rsidR="005646C3">
        <w:rPr>
          <w:rFonts w:ascii="Times New Roman" w:hAnsi="Times New Roman" w:cs="Times New Roman"/>
          <w:szCs w:val="24"/>
        </w:rPr>
        <w:tab/>
      </w:r>
      <w:r w:rsidRPr="0065234B">
        <w:rPr>
          <w:rFonts w:ascii="Times New Roman" w:hAnsi="Times New Roman" w:cs="Times New Roman"/>
          <w:szCs w:val="24"/>
        </w:rPr>
        <w:t>w wysokości 3% tej opłaty jest przeznaczane na wynagrodzenie przewodniczącego Naczelnej Komisji Bioetycznej, a 2% na wynagrodzenie jego zastępcy.</w:t>
      </w:r>
    </w:p>
    <w:p w14:paraId="043314F1" w14:textId="77777777" w:rsidR="009B722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przypadku gdy ocenę etyczną badania klinicznego sporządza komisja bioetyczna, o której mowa w art. 21 ust. 1 pkt 2, opłata, o której mowa w art. 58 ust. 2, wnoszona na rachunek bankowy Agencji: </w:t>
      </w:r>
    </w:p>
    <w:p w14:paraId="4FE85DB7" w14:textId="1E67A46B" w:rsidR="009B7227"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1)</w:t>
      </w:r>
      <w:r w:rsidR="005646C3">
        <w:rPr>
          <w:rFonts w:ascii="Times New Roman" w:hAnsi="Times New Roman" w:cs="Times New Roman"/>
          <w:szCs w:val="24"/>
        </w:rPr>
        <w:tab/>
      </w:r>
      <w:r w:rsidRPr="0065234B">
        <w:rPr>
          <w:rFonts w:ascii="Times New Roman" w:hAnsi="Times New Roman" w:cs="Times New Roman"/>
          <w:szCs w:val="24"/>
        </w:rPr>
        <w:t>w wysokości 60% tej opłaty jest przeznaczana na wynagrodzenia członków zespołu opiniującego, o którym mowa w art. 30 ust. 1, oraz przedstawiciela, o którym mowa w art. 30 ust. 3, i eksperta, o którym mowa w art. 30 ust. 4 i 5, w przypadku ich powołania; kwotę dzieli się równo między członków zespołu opiniującego, o których mowa w art. 30 ust. 1, oraz przedstawiciela, o którym mowa w ar</w:t>
      </w:r>
      <w:r w:rsidR="005646C3">
        <w:rPr>
          <w:rFonts w:ascii="Times New Roman" w:hAnsi="Times New Roman" w:cs="Times New Roman"/>
          <w:szCs w:val="24"/>
        </w:rPr>
        <w:t>t. 30 ust. </w:t>
      </w:r>
      <w:r w:rsidRPr="0065234B">
        <w:rPr>
          <w:rFonts w:ascii="Times New Roman" w:hAnsi="Times New Roman" w:cs="Times New Roman"/>
          <w:szCs w:val="24"/>
        </w:rPr>
        <w:t xml:space="preserve">3, i eksperta, o którym mowa w art. 30 ust. 4 i 5, w przypadku ich powołania; </w:t>
      </w:r>
    </w:p>
    <w:p w14:paraId="6FA1754E" w14:textId="1FCC7E6C" w:rsidR="009B7227"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2)</w:t>
      </w:r>
      <w:r w:rsidR="005646C3">
        <w:rPr>
          <w:rFonts w:ascii="Times New Roman" w:hAnsi="Times New Roman" w:cs="Times New Roman"/>
          <w:szCs w:val="24"/>
        </w:rPr>
        <w:tab/>
      </w:r>
      <w:r w:rsidRPr="0065234B">
        <w:rPr>
          <w:rFonts w:ascii="Times New Roman" w:hAnsi="Times New Roman" w:cs="Times New Roman"/>
          <w:szCs w:val="24"/>
        </w:rPr>
        <w:t xml:space="preserve">w wysokości 35% tej opłaty jest przeznaczana na koszty działalności Naczelnej Komisji Bioetycznej; </w:t>
      </w:r>
    </w:p>
    <w:p w14:paraId="7B8540EF" w14:textId="0FDEEF7C" w:rsidR="00F11197" w:rsidRPr="0065234B" w:rsidRDefault="00F11197" w:rsidP="005646C3">
      <w:pPr>
        <w:pStyle w:val="ARTartustawynprozporzdzenia"/>
        <w:ind w:left="993" w:hanging="426"/>
        <w:rPr>
          <w:rFonts w:ascii="Times New Roman" w:hAnsi="Times New Roman" w:cs="Times New Roman"/>
          <w:szCs w:val="24"/>
        </w:rPr>
      </w:pPr>
      <w:r w:rsidRPr="0065234B">
        <w:rPr>
          <w:rFonts w:ascii="Times New Roman" w:hAnsi="Times New Roman" w:cs="Times New Roman"/>
          <w:szCs w:val="24"/>
        </w:rPr>
        <w:t>3)</w:t>
      </w:r>
      <w:r w:rsidR="005646C3">
        <w:rPr>
          <w:rFonts w:ascii="Times New Roman" w:hAnsi="Times New Roman" w:cs="Times New Roman"/>
          <w:szCs w:val="24"/>
        </w:rPr>
        <w:tab/>
      </w:r>
      <w:r w:rsidRPr="0065234B">
        <w:rPr>
          <w:rFonts w:ascii="Times New Roman" w:hAnsi="Times New Roman" w:cs="Times New Roman"/>
          <w:szCs w:val="24"/>
        </w:rPr>
        <w:t>w wysokości 3% tej opłaty jest przeznaczane na wynagrodzenie przewodniczącego Naczelnej Komisji Bioetycznej, a 2% na wynagrodzenie jego zastępcy.</w:t>
      </w:r>
    </w:p>
    <w:p w14:paraId="421907BC" w14:textId="50D1C3FB" w:rsidR="00F11197"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Zaproponowany mechanizm zapewni adekwatną do nakładu pracy wysokość wynagrodzenia za sporządzenie oceny etycznej badania klinicznego, zapewni środki na wynagrodzenie </w:t>
      </w:r>
      <w:r w:rsidR="009B7227" w:rsidRPr="0065234B">
        <w:rPr>
          <w:rFonts w:ascii="Times New Roman" w:hAnsi="Times New Roman" w:cs="Times New Roman"/>
          <w:szCs w:val="24"/>
        </w:rPr>
        <w:t>p</w:t>
      </w:r>
      <w:r w:rsidRPr="0065234B">
        <w:rPr>
          <w:rFonts w:ascii="Times New Roman" w:hAnsi="Times New Roman" w:cs="Times New Roman"/>
          <w:szCs w:val="24"/>
        </w:rPr>
        <w:t>rzewodniczącego Naczelnej Komisji Bioetycznej i jego zastępcy, których zadania obejmują także bieżące zarzadzanie pracami Naczelnej Komisji Bioetycznej i czuwanie nad terminowym sporządzaniem ocen etycznych badań klinicznych.</w:t>
      </w:r>
    </w:p>
    <w:p w14:paraId="1F5CFE76" w14:textId="4307F125" w:rsidR="007D3F2D" w:rsidRPr="0065234B" w:rsidRDefault="00F11197" w:rsidP="005646C3">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projekcie ustawy przewidziano także, że w przypadku gdy pozostaną niewykorzystane w danym roku budżetowym środki pochodzące z opłat za sporządzenie oceny etycznej badania klinicznego, w terminie do 31 </w:t>
      </w:r>
      <w:r w:rsidR="00981440" w:rsidRPr="0065234B">
        <w:rPr>
          <w:rFonts w:ascii="Times New Roman" w:hAnsi="Times New Roman" w:cs="Times New Roman"/>
          <w:szCs w:val="24"/>
        </w:rPr>
        <w:t>stycznia</w:t>
      </w:r>
      <w:r w:rsidRPr="0065234B">
        <w:rPr>
          <w:rFonts w:ascii="Times New Roman" w:hAnsi="Times New Roman" w:cs="Times New Roman"/>
          <w:szCs w:val="24"/>
        </w:rPr>
        <w:t xml:space="preserve"> roku następującego po danym roku budżetowym będą one przekazywane na Fundusz Kompensacyjny Badań Klinicznych, o którym mowa w art. 41 ust. 1 </w:t>
      </w:r>
      <w:r w:rsidR="00D81CD7" w:rsidRPr="0065234B">
        <w:rPr>
          <w:rFonts w:ascii="Times New Roman" w:hAnsi="Times New Roman" w:cs="Times New Roman"/>
          <w:szCs w:val="24"/>
        </w:rPr>
        <w:t xml:space="preserve">projektu </w:t>
      </w:r>
      <w:r w:rsidRPr="0065234B">
        <w:rPr>
          <w:rFonts w:ascii="Times New Roman" w:hAnsi="Times New Roman" w:cs="Times New Roman"/>
          <w:szCs w:val="24"/>
        </w:rPr>
        <w:t xml:space="preserve">ustawy. Agencja Badań Medycznych sporządza plan prognoz przychodów i wydatków zabezpieczających działalność Naczelnej Komisji Bioetycznej na następny rok budżetowy, który przekazuje </w:t>
      </w:r>
      <w:r w:rsidR="009B7227" w:rsidRPr="0065234B">
        <w:rPr>
          <w:rFonts w:ascii="Times New Roman" w:hAnsi="Times New Roman" w:cs="Times New Roman"/>
          <w:szCs w:val="24"/>
        </w:rPr>
        <w:t>m</w:t>
      </w:r>
      <w:r w:rsidRPr="0065234B">
        <w:rPr>
          <w:rFonts w:ascii="Times New Roman" w:hAnsi="Times New Roman" w:cs="Times New Roman"/>
          <w:szCs w:val="24"/>
        </w:rPr>
        <w:t xml:space="preserve">inistrowi właściwemu do spraw </w:t>
      </w:r>
      <w:r w:rsidRPr="0065234B">
        <w:rPr>
          <w:rFonts w:ascii="Times New Roman" w:hAnsi="Times New Roman" w:cs="Times New Roman"/>
          <w:szCs w:val="24"/>
        </w:rPr>
        <w:lastRenderedPageBreak/>
        <w:t xml:space="preserve">zdrowia nie później niż do 31 grudnia danego roku. Jednocześnie minister </w:t>
      </w:r>
      <w:r w:rsidR="00AF61B6" w:rsidRPr="0065234B">
        <w:rPr>
          <w:rFonts w:ascii="Times New Roman" w:hAnsi="Times New Roman" w:cs="Times New Roman"/>
          <w:szCs w:val="24"/>
        </w:rPr>
        <w:t>właściwy do spraw zdrowia</w:t>
      </w:r>
      <w:r w:rsidR="002E3E32">
        <w:rPr>
          <w:rFonts w:ascii="Times New Roman" w:hAnsi="Times New Roman" w:cs="Times New Roman"/>
          <w:szCs w:val="24"/>
        </w:rPr>
        <w:t>,</w:t>
      </w:r>
      <w:r w:rsidR="00AF61B6" w:rsidRPr="0065234B">
        <w:rPr>
          <w:rFonts w:ascii="Times New Roman" w:hAnsi="Times New Roman" w:cs="Times New Roman"/>
          <w:szCs w:val="24"/>
        </w:rPr>
        <w:t xml:space="preserve"> biorąc pod uwagę plan przychodów i wydatków zabezpieczających działalność Naczelnej Komisji Bioetycznej, o którym mowa w ust. 7, a w szczególności prognozowaną na I kwartał danego roku </w:t>
      </w:r>
      <w:r w:rsidR="00D81CD7" w:rsidRPr="0065234B">
        <w:rPr>
          <w:rFonts w:ascii="Times New Roman" w:hAnsi="Times New Roman" w:cs="Times New Roman"/>
          <w:szCs w:val="24"/>
        </w:rPr>
        <w:t xml:space="preserve">planowaną </w:t>
      </w:r>
      <w:r w:rsidR="00AF61B6" w:rsidRPr="0065234B">
        <w:rPr>
          <w:rFonts w:ascii="Times New Roman" w:hAnsi="Times New Roman" w:cs="Times New Roman"/>
          <w:szCs w:val="24"/>
        </w:rPr>
        <w:t>wysokość opłat</w:t>
      </w:r>
      <w:r w:rsidR="009B7227" w:rsidRPr="0065234B">
        <w:rPr>
          <w:rFonts w:ascii="Times New Roman" w:hAnsi="Times New Roman" w:cs="Times New Roman"/>
          <w:szCs w:val="24"/>
        </w:rPr>
        <w:t>,</w:t>
      </w:r>
      <w:r w:rsidR="00AF61B6" w:rsidRPr="0065234B">
        <w:rPr>
          <w:rFonts w:ascii="Times New Roman" w:hAnsi="Times New Roman" w:cs="Times New Roman"/>
          <w:szCs w:val="24"/>
        </w:rPr>
        <w:t xml:space="preserve"> </w:t>
      </w:r>
      <w:r w:rsidR="002E3E32">
        <w:rPr>
          <w:rFonts w:ascii="Times New Roman" w:hAnsi="Times New Roman" w:cs="Times New Roman"/>
          <w:szCs w:val="24"/>
        </w:rPr>
        <w:t xml:space="preserve">o </w:t>
      </w:r>
      <w:r w:rsidR="00AF61B6" w:rsidRPr="0065234B">
        <w:rPr>
          <w:rFonts w:ascii="Times New Roman" w:hAnsi="Times New Roman" w:cs="Times New Roman"/>
          <w:szCs w:val="24"/>
        </w:rPr>
        <w:t xml:space="preserve">których mowa w ust. 4 pkt 2 i </w:t>
      </w:r>
      <w:r w:rsidR="003336D0">
        <w:rPr>
          <w:rFonts w:ascii="Times New Roman" w:hAnsi="Times New Roman" w:cs="Times New Roman"/>
          <w:szCs w:val="24"/>
        </w:rPr>
        <w:t>ust. </w:t>
      </w:r>
      <w:r w:rsidR="005646C3">
        <w:rPr>
          <w:rFonts w:ascii="Times New Roman" w:hAnsi="Times New Roman" w:cs="Times New Roman"/>
          <w:szCs w:val="24"/>
        </w:rPr>
        <w:t>5 pkt </w:t>
      </w:r>
      <w:r w:rsidR="00AF61B6" w:rsidRPr="0065234B">
        <w:rPr>
          <w:rFonts w:ascii="Times New Roman" w:hAnsi="Times New Roman" w:cs="Times New Roman"/>
          <w:szCs w:val="24"/>
        </w:rPr>
        <w:t xml:space="preserve">2, </w:t>
      </w:r>
      <w:r w:rsidR="00267DA4" w:rsidRPr="0065234B">
        <w:rPr>
          <w:rFonts w:ascii="Times New Roman" w:hAnsi="Times New Roman" w:cs="Times New Roman"/>
          <w:szCs w:val="24"/>
        </w:rPr>
        <w:t xml:space="preserve">tj. przeznaczonych z wpłat sponsora na koszty działalności Naczelnej Komisji Bioetycznej, </w:t>
      </w:r>
      <w:r w:rsidR="00AF61B6" w:rsidRPr="0065234B">
        <w:rPr>
          <w:rFonts w:ascii="Times New Roman" w:hAnsi="Times New Roman" w:cs="Times New Roman"/>
          <w:szCs w:val="24"/>
        </w:rPr>
        <w:t>może przeznaczyć część środków, o których mowa w ust. 6, na koszty związane z działalnością Naczelnej Komisji Bioetycznej</w:t>
      </w:r>
      <w:r w:rsidR="009B7227" w:rsidRPr="0065234B">
        <w:rPr>
          <w:rFonts w:ascii="Times New Roman" w:hAnsi="Times New Roman" w:cs="Times New Roman"/>
          <w:szCs w:val="24"/>
        </w:rPr>
        <w:t>,</w:t>
      </w:r>
      <w:r w:rsidR="00AF61B6" w:rsidRPr="0065234B">
        <w:rPr>
          <w:rFonts w:ascii="Times New Roman" w:hAnsi="Times New Roman" w:cs="Times New Roman"/>
          <w:szCs w:val="24"/>
        </w:rPr>
        <w:t xml:space="preserve"> </w:t>
      </w:r>
      <w:r w:rsidR="007D3F2D" w:rsidRPr="0065234B">
        <w:rPr>
          <w:rFonts w:ascii="Times New Roman" w:hAnsi="Times New Roman" w:cs="Times New Roman"/>
          <w:szCs w:val="24"/>
        </w:rPr>
        <w:t>ale tylko w przypadku gdyby ciągłość działalności komisji w I kwartale roku następnego była zagrożona</w:t>
      </w:r>
      <w:r w:rsidR="002E3E32">
        <w:rPr>
          <w:rFonts w:ascii="Times New Roman" w:hAnsi="Times New Roman" w:cs="Times New Roman"/>
          <w:szCs w:val="24"/>
        </w:rPr>
        <w:t>,</w:t>
      </w:r>
      <w:r w:rsidR="007D3F2D" w:rsidRPr="0065234B">
        <w:rPr>
          <w:rFonts w:ascii="Times New Roman" w:hAnsi="Times New Roman" w:cs="Times New Roman"/>
          <w:szCs w:val="24"/>
        </w:rPr>
        <w:t xml:space="preserve"> biorąc pod uwagę prognozowaną liczbę nowo</w:t>
      </w:r>
      <w:r w:rsidR="00241436">
        <w:rPr>
          <w:rFonts w:ascii="Times New Roman" w:hAnsi="Times New Roman" w:cs="Times New Roman"/>
          <w:szCs w:val="24"/>
        </w:rPr>
        <w:t xml:space="preserve"> </w:t>
      </w:r>
      <w:r w:rsidR="007D3F2D" w:rsidRPr="0065234B">
        <w:rPr>
          <w:rFonts w:ascii="Times New Roman" w:hAnsi="Times New Roman" w:cs="Times New Roman"/>
          <w:szCs w:val="24"/>
        </w:rPr>
        <w:t>składanych wniosków, a z</w:t>
      </w:r>
      <w:r w:rsidR="00241436">
        <w:rPr>
          <w:rFonts w:ascii="Times New Roman" w:hAnsi="Times New Roman" w:cs="Times New Roman"/>
          <w:szCs w:val="24"/>
        </w:rPr>
        <w:t>atem wpływów z opłat.</w:t>
      </w:r>
    </w:p>
    <w:p w14:paraId="554A9B53" w14:textId="66D21DAB" w:rsidR="00F11197" w:rsidRPr="0065234B" w:rsidRDefault="007D3F2D"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Jednocześnie należy zwrócić uwagę, że środki przeznaczone na koszty działalności N</w:t>
      </w:r>
      <w:r w:rsidR="009B7227" w:rsidRPr="0065234B">
        <w:rPr>
          <w:rFonts w:ascii="Times New Roman" w:hAnsi="Times New Roman" w:cs="Times New Roman"/>
          <w:szCs w:val="24"/>
        </w:rPr>
        <w:t xml:space="preserve">aczelnej Komisji Bioetycznej </w:t>
      </w:r>
      <w:r w:rsidRPr="0065234B">
        <w:rPr>
          <w:rFonts w:ascii="Times New Roman" w:hAnsi="Times New Roman" w:cs="Times New Roman"/>
          <w:szCs w:val="24"/>
        </w:rPr>
        <w:t xml:space="preserve">podlegają dwojakiemu ograniczeniu. Z jednej strony jest to nie więcej niż 35% opłaty sponsora badania, z drugiej limity przewidziane w art. </w:t>
      </w:r>
      <w:r w:rsidR="00241436">
        <w:rPr>
          <w:rFonts w:ascii="Times New Roman" w:hAnsi="Times New Roman" w:cs="Times New Roman"/>
          <w:szCs w:val="24"/>
        </w:rPr>
        <w:t>91 ust. </w:t>
      </w:r>
      <w:r w:rsidRPr="0065234B">
        <w:rPr>
          <w:rFonts w:ascii="Times New Roman" w:hAnsi="Times New Roman" w:cs="Times New Roman"/>
          <w:szCs w:val="24"/>
        </w:rPr>
        <w:t xml:space="preserve">6 ustawy, a mianowicie koszty związane z obsługą Komisji przez Agencję Badań Medycznych w pierwszym roku nie mogą przekroczyć 4,1 mln zł. W 2024 roku koszty te nie mogą przekroczyć 2,3 mln zł. Natomiast w kolejnych latach maksymalny limit wydatków na koszty działalności Naczelnej Komisji Bioetycznej będzie podlegał waloryzacji o średnioroczny wskaźnik cen towarów i usług konsumpcyjnych ogółem w poprzednim roku kalendarzowym, ogłaszany przez Prezesa Głównego Urzędu Statystycznego na podstawie przepisów ustawy z dnia 17 grudnia 1998 r. </w:t>
      </w:r>
      <w:r w:rsidRPr="009B0AC7">
        <w:rPr>
          <w:rFonts w:ascii="Times New Roman" w:hAnsi="Times New Roman" w:cs="Times New Roman"/>
          <w:szCs w:val="24"/>
        </w:rPr>
        <w:t>o emeryturach i rentach z Funduszu Ubezpieczeń Społecznych</w:t>
      </w:r>
      <w:r w:rsidR="009B7227" w:rsidRPr="009B0AC7">
        <w:rPr>
          <w:rFonts w:ascii="Times New Roman" w:hAnsi="Times New Roman" w:cs="Times New Roman"/>
          <w:szCs w:val="24"/>
        </w:rPr>
        <w:t xml:space="preserve"> </w:t>
      </w:r>
      <w:r w:rsidR="009B7227" w:rsidRPr="0065234B">
        <w:rPr>
          <w:rFonts w:ascii="Times New Roman" w:hAnsi="Times New Roman" w:cs="Times New Roman"/>
          <w:szCs w:val="24"/>
        </w:rPr>
        <w:t>(</w:t>
      </w:r>
      <w:r w:rsidR="00241436">
        <w:rPr>
          <w:rFonts w:ascii="Times New Roman" w:hAnsi="Times New Roman" w:cs="Times New Roman"/>
          <w:szCs w:val="24"/>
        </w:rPr>
        <w:t>Dz. </w:t>
      </w:r>
      <w:r w:rsidR="00BE4CD5" w:rsidRPr="0065234B">
        <w:rPr>
          <w:rFonts w:ascii="Times New Roman" w:hAnsi="Times New Roman" w:cs="Times New Roman"/>
          <w:szCs w:val="24"/>
        </w:rPr>
        <w:t>U. z 2022 r. poz. 504 i 1504)</w:t>
      </w:r>
      <w:r w:rsidRPr="0065234B">
        <w:rPr>
          <w:rFonts w:ascii="Times New Roman" w:hAnsi="Times New Roman" w:cs="Times New Roman"/>
          <w:szCs w:val="24"/>
        </w:rPr>
        <w:t>. Obsługę administracyjno-biurową Naczelnej Komisji Bioetycznej zapewnia Agencja Badań Medycznych.</w:t>
      </w:r>
    </w:p>
    <w:p w14:paraId="2A35ABCD" w14:textId="51B8EC7A"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Obsługę administracyjno-biurową Naczelnej Komisji Bioetycznej zapewnia Agencja Badań Medycznych. Regulamin Naczelnej Komisji Bioetycznej, który zostanie określony przez ministra właściwego do spraw zdrowia, w drodze rozporządzenia, będzie regulował takie kwestie jak: tryb pracy Naczelnej Komisji Bioetycznej, sposób wynagradzania: Przewodniczącego Naczelnej Komisji Bioetycznej i jego zastępcy, członków zespołu opiniującego</w:t>
      </w:r>
      <w:r w:rsidR="00AF1E91">
        <w:rPr>
          <w:rFonts w:ascii="Times New Roman" w:hAnsi="Times New Roman" w:cs="Times New Roman"/>
          <w:szCs w:val="24"/>
        </w:rPr>
        <w:t>,</w:t>
      </w:r>
      <w:r w:rsidRPr="0065234B">
        <w:rPr>
          <w:rFonts w:ascii="Times New Roman" w:hAnsi="Times New Roman" w:cs="Times New Roman"/>
          <w:szCs w:val="24"/>
        </w:rPr>
        <w:t xml:space="preserve"> </w:t>
      </w:r>
      <w:r w:rsidR="00267DA4" w:rsidRPr="0065234B">
        <w:rPr>
          <w:rFonts w:ascii="Times New Roman" w:hAnsi="Times New Roman" w:cs="Times New Roman"/>
          <w:szCs w:val="24"/>
        </w:rPr>
        <w:t>o którym mowa w art. 30 ust. 1 ustawy</w:t>
      </w:r>
      <w:r w:rsidRPr="0065234B">
        <w:rPr>
          <w:rFonts w:ascii="Times New Roman" w:hAnsi="Times New Roman" w:cs="Times New Roman"/>
          <w:szCs w:val="24"/>
        </w:rPr>
        <w:t>, przedstawiciela, o którym mowa w art. 30 ust. 3</w:t>
      </w:r>
      <w:r w:rsidR="00AF1E91">
        <w:rPr>
          <w:rFonts w:ascii="Times New Roman" w:hAnsi="Times New Roman" w:cs="Times New Roman"/>
          <w:szCs w:val="24"/>
        </w:rPr>
        <w:t>,</w:t>
      </w:r>
      <w:r w:rsidRPr="0065234B">
        <w:rPr>
          <w:rFonts w:ascii="Times New Roman" w:hAnsi="Times New Roman" w:cs="Times New Roman"/>
          <w:szCs w:val="24"/>
        </w:rPr>
        <w:t xml:space="preserve"> i eksperta, o którym mowa w art. 30 ust. 4 i 5</w:t>
      </w:r>
      <w:r w:rsidR="00AF1E91">
        <w:rPr>
          <w:rFonts w:ascii="Times New Roman" w:hAnsi="Times New Roman" w:cs="Times New Roman"/>
          <w:szCs w:val="24"/>
        </w:rPr>
        <w:t>,</w:t>
      </w:r>
      <w:r w:rsidRPr="0065234B">
        <w:rPr>
          <w:rFonts w:ascii="Times New Roman" w:hAnsi="Times New Roman" w:cs="Times New Roman"/>
          <w:szCs w:val="24"/>
        </w:rPr>
        <w:t xml:space="preserve"> oraz sposób prowadzenia szkoleń dla członków komisji bioetycznych oraz osób zapewniających obsługę komisji bioetycznych</w:t>
      </w:r>
      <w:r w:rsidR="00267DA4" w:rsidRPr="0065234B">
        <w:rPr>
          <w:rFonts w:ascii="Times New Roman" w:hAnsi="Times New Roman" w:cs="Times New Roman"/>
          <w:szCs w:val="24"/>
        </w:rPr>
        <w:t>. Minister</w:t>
      </w:r>
      <w:r w:rsidR="00AF1E91">
        <w:rPr>
          <w:rFonts w:ascii="Times New Roman" w:hAnsi="Times New Roman" w:cs="Times New Roman"/>
          <w:szCs w:val="24"/>
        </w:rPr>
        <w:t>,</w:t>
      </w:r>
      <w:r w:rsidR="00267DA4" w:rsidRPr="0065234B">
        <w:rPr>
          <w:rFonts w:ascii="Times New Roman" w:hAnsi="Times New Roman" w:cs="Times New Roman"/>
          <w:szCs w:val="24"/>
        </w:rPr>
        <w:t xml:space="preserve"> określając regulamin Naczelnej Komisji Bioetycznej</w:t>
      </w:r>
      <w:r w:rsidR="00AF1E91">
        <w:rPr>
          <w:rFonts w:ascii="Times New Roman" w:hAnsi="Times New Roman" w:cs="Times New Roman"/>
          <w:szCs w:val="24"/>
        </w:rPr>
        <w:t>,</w:t>
      </w:r>
      <w:r w:rsidR="00267DA4" w:rsidRPr="0065234B">
        <w:rPr>
          <w:rFonts w:ascii="Times New Roman" w:hAnsi="Times New Roman" w:cs="Times New Roman"/>
          <w:szCs w:val="24"/>
        </w:rPr>
        <w:t xml:space="preserve"> będzie musiał mieć </w:t>
      </w:r>
      <w:r w:rsidRPr="0065234B">
        <w:rPr>
          <w:rFonts w:ascii="Times New Roman" w:hAnsi="Times New Roman" w:cs="Times New Roman"/>
          <w:szCs w:val="24"/>
        </w:rPr>
        <w:t>na uwadze sprawność</w:t>
      </w:r>
      <w:r w:rsidR="00267DA4" w:rsidRPr="0065234B">
        <w:rPr>
          <w:rFonts w:ascii="Times New Roman" w:hAnsi="Times New Roman" w:cs="Times New Roman"/>
          <w:szCs w:val="24"/>
        </w:rPr>
        <w:t>,</w:t>
      </w:r>
      <w:r w:rsidRPr="0065234B">
        <w:rPr>
          <w:rFonts w:ascii="Times New Roman" w:hAnsi="Times New Roman" w:cs="Times New Roman"/>
          <w:szCs w:val="24"/>
        </w:rPr>
        <w:t xml:space="preserve"> terminowość </w:t>
      </w:r>
      <w:r w:rsidR="00267DA4" w:rsidRPr="0065234B">
        <w:rPr>
          <w:rFonts w:ascii="Times New Roman" w:hAnsi="Times New Roman" w:cs="Times New Roman"/>
          <w:szCs w:val="24"/>
        </w:rPr>
        <w:t xml:space="preserve">i transparentność </w:t>
      </w:r>
      <w:r w:rsidRPr="0065234B">
        <w:rPr>
          <w:rFonts w:ascii="Times New Roman" w:hAnsi="Times New Roman" w:cs="Times New Roman"/>
          <w:szCs w:val="24"/>
        </w:rPr>
        <w:t>działania Naczelnej Komisji Bioetycznej</w:t>
      </w:r>
      <w:r w:rsidR="00241436">
        <w:rPr>
          <w:rFonts w:ascii="Times New Roman" w:hAnsi="Times New Roman" w:cs="Times New Roman"/>
          <w:szCs w:val="24"/>
        </w:rPr>
        <w:t>.</w:t>
      </w:r>
    </w:p>
    <w:p w14:paraId="680C997B" w14:textId="742045E0"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Decyzja o tym</w:t>
      </w:r>
      <w:r w:rsidR="00AF1E91">
        <w:rPr>
          <w:rFonts w:ascii="Times New Roman" w:hAnsi="Times New Roman" w:cs="Times New Roman"/>
          <w:szCs w:val="24"/>
        </w:rPr>
        <w:t>,</w:t>
      </w:r>
      <w:r w:rsidRPr="0065234B">
        <w:rPr>
          <w:rFonts w:ascii="Times New Roman" w:hAnsi="Times New Roman" w:cs="Times New Roman"/>
          <w:szCs w:val="24"/>
        </w:rPr>
        <w:t xml:space="preserve"> czy wniosek będzie opiniowany przez zespół opiniujący Naczelnej Komisji Bioetycznej czy też przez wyznaczoną komisję bioetyczną będzie należała do </w:t>
      </w:r>
      <w:r w:rsidRPr="0065234B">
        <w:rPr>
          <w:rFonts w:ascii="Times New Roman" w:hAnsi="Times New Roman" w:cs="Times New Roman"/>
          <w:szCs w:val="24"/>
        </w:rPr>
        <w:lastRenderedPageBreak/>
        <w:t xml:space="preserve">przewodniczącego Naczelnej Komisji Bioetycznej. Z uwagi na konieczność dochowania krótkich terminów do wydania takiej opinii </w:t>
      </w:r>
      <w:r w:rsidR="00AF1E91" w:rsidRPr="0065234B">
        <w:rPr>
          <w:rFonts w:ascii="Times New Roman" w:hAnsi="Times New Roman" w:cs="Times New Roman"/>
          <w:szCs w:val="24"/>
        </w:rPr>
        <w:t xml:space="preserve">jest </w:t>
      </w:r>
      <w:r w:rsidRPr="0065234B">
        <w:rPr>
          <w:rFonts w:ascii="Times New Roman" w:hAnsi="Times New Roman" w:cs="Times New Roman"/>
          <w:szCs w:val="24"/>
        </w:rPr>
        <w:t xml:space="preserve">konieczne zapewnienie elastyczności działania Naczelnej Komisji Bioetycznej. Do </w:t>
      </w:r>
      <w:r w:rsidR="007701F4">
        <w:rPr>
          <w:rFonts w:ascii="Times New Roman" w:hAnsi="Times New Roman" w:cs="Times New Roman"/>
          <w:szCs w:val="24"/>
        </w:rPr>
        <w:t>p</w:t>
      </w:r>
      <w:r w:rsidRPr="0065234B">
        <w:rPr>
          <w:rFonts w:ascii="Times New Roman" w:hAnsi="Times New Roman" w:cs="Times New Roman"/>
          <w:szCs w:val="24"/>
        </w:rPr>
        <w:t xml:space="preserve">rzewodniczącego Naczelnej Komisji Bioetycznej będzie należała decyzji, czy biorąc pod uwagę obciążenie komisji bioetycznych i stopień skomplikowania danego wniosku, wniosek powinien być skierowany do oceny do komisji bioetycznej czy też oceniony przez zespół opiniujący Naczelnej Komisji Bioetycznej. Zgodnie z art. 21 ust. 1 projektu ustawy </w:t>
      </w:r>
      <w:r w:rsidR="007701F4">
        <w:rPr>
          <w:rFonts w:ascii="Times New Roman" w:hAnsi="Times New Roman" w:cs="Times New Roman"/>
          <w:szCs w:val="24"/>
        </w:rPr>
        <w:t>p</w:t>
      </w:r>
      <w:r w:rsidRPr="0065234B">
        <w:rPr>
          <w:rFonts w:ascii="Times New Roman" w:hAnsi="Times New Roman" w:cs="Times New Roman"/>
          <w:szCs w:val="24"/>
        </w:rPr>
        <w:t>rzewodniczący Naczelnej Komisji Bioetycznej będzie wyznaczał komisję bioetyczną do sporządzenia oceny etycznej badania klinicznego z listy komisji bioetycznych, biorąc pod uwagę: doświadczenie komisji bioetycznej w sporządzaniu oceny etycznej badań klinicznych w danej dziedzinie medycyny i populacji badanej charakterystycznej dla danego badania klinicznego, dla którego ma być sporządzona ocena</w:t>
      </w:r>
      <w:r w:rsidR="007701F4">
        <w:rPr>
          <w:rFonts w:ascii="Times New Roman" w:hAnsi="Times New Roman" w:cs="Times New Roman"/>
          <w:szCs w:val="24"/>
        </w:rPr>
        <w:t>,</w:t>
      </w:r>
      <w:r w:rsidRPr="0065234B">
        <w:rPr>
          <w:rFonts w:ascii="Times New Roman" w:hAnsi="Times New Roman" w:cs="Times New Roman"/>
          <w:szCs w:val="24"/>
        </w:rPr>
        <w:t xml:space="preserve"> oraz możliwość terminowego sporządzenia oceny etycznej badania klinicznego. Ponadto jedną z informacji wymaganą we wniosku o wpis na listę uprawnionych komisji bioetycznych jest informacja o kwalifikacjach, wiedzy i doświadczeniu członków komisji bioetycznej w danych obszarze specjalności. Na podstawie tych danych przewodniczący Naczelnej Komisji Bioetycznej będzie mógł przesłać wniosek wymagający wiedzy specjalnej do odpowiedniej komisji bioetycznej, posiadającej członków mających odpowiednie do oceny takich specjalistycznych wniosków kwalifikacj</w:t>
      </w:r>
      <w:r w:rsidR="007B3302" w:rsidRPr="0065234B">
        <w:rPr>
          <w:rFonts w:ascii="Times New Roman" w:hAnsi="Times New Roman" w:cs="Times New Roman"/>
          <w:szCs w:val="24"/>
        </w:rPr>
        <w:t>e</w:t>
      </w:r>
      <w:r w:rsidRPr="0065234B">
        <w:rPr>
          <w:rFonts w:ascii="Times New Roman" w:hAnsi="Times New Roman" w:cs="Times New Roman"/>
          <w:szCs w:val="24"/>
        </w:rPr>
        <w:t>.</w:t>
      </w:r>
    </w:p>
    <w:p w14:paraId="466904DC" w14:textId="422F4C65"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Komisje bioetyczne, o których mowa, to komisje </w:t>
      </w:r>
      <w:r w:rsidR="00241436">
        <w:rPr>
          <w:rFonts w:ascii="Times New Roman" w:hAnsi="Times New Roman" w:cs="Times New Roman"/>
          <w:szCs w:val="24"/>
        </w:rPr>
        <w:t xml:space="preserve">powoływane na podstawie ustawy </w:t>
      </w:r>
      <w:r w:rsidRPr="0065234B">
        <w:rPr>
          <w:rFonts w:ascii="Times New Roman" w:hAnsi="Times New Roman" w:cs="Times New Roman"/>
          <w:szCs w:val="24"/>
        </w:rPr>
        <w:t>z dnia 5 grudnia 1996 r. o zawodach lekarza i lekarza dentysty. Wpis na listę uprawnionych komisji bioetycznych będzie następował na wniosek tej komisji – art. 18 ust. 2 projektu ustawy. Wniosek będzie podlegał ocenie Naczelnej Komisji Bioetycznej na podstawie kryteriów związanych z kwalifikacjami osób wchodzących w skład komisji bioetycznej; regulaminu danej komisji bioetycznej; posiadania infrastruktury informatycznej zapewniającej prawidłowy obieg dokumentów zgodnie z przepisami rozporządzenia 536/2014 – art. 18 ust. 4 projektu ustawy. W przypadku pozytywnej oceny wniosku przewodniczący Naczelnej Komisji Bioetycznej dokonuje wpisu komisji bioetycznych na listę uprawnionych do sporządzania oceny etycznej badania klinicznego. Odmowa wpisu na listę komisji bioetycznej nie stanowi decyzji administracyjnej. W przypadku odmowy wpisu na listę przewodniczący Naczelnej Komisji Bioetycznej na piśmie wskazuje warunki, jakie musi spełnić komisja bioetyczna</w:t>
      </w:r>
      <w:r w:rsidR="007701F4">
        <w:rPr>
          <w:rFonts w:ascii="Times New Roman" w:hAnsi="Times New Roman" w:cs="Times New Roman"/>
          <w:szCs w:val="24"/>
        </w:rPr>
        <w:t>,</w:t>
      </w:r>
      <w:r w:rsidRPr="0065234B">
        <w:rPr>
          <w:rFonts w:ascii="Times New Roman" w:hAnsi="Times New Roman" w:cs="Times New Roman"/>
          <w:szCs w:val="24"/>
        </w:rPr>
        <w:t xml:space="preserve"> umożliwiające uzyskanie ponownego wpisu na listę</w:t>
      </w:r>
      <w:r w:rsidR="004D468A" w:rsidRPr="0065234B">
        <w:rPr>
          <w:rFonts w:ascii="Times New Roman" w:hAnsi="Times New Roman" w:cs="Times New Roman"/>
          <w:szCs w:val="24"/>
        </w:rPr>
        <w:t xml:space="preserve"> </w:t>
      </w:r>
      <w:r w:rsidR="003336D0">
        <w:rPr>
          <w:rFonts w:ascii="Times New Roman" w:hAnsi="Times New Roman" w:cs="Times New Roman"/>
          <w:szCs w:val="24"/>
        </w:rPr>
        <w:t>– art. 18 ust. </w:t>
      </w:r>
      <w:r w:rsidRPr="0065234B">
        <w:rPr>
          <w:rFonts w:ascii="Times New Roman" w:hAnsi="Times New Roman" w:cs="Times New Roman"/>
          <w:szCs w:val="24"/>
        </w:rPr>
        <w:t>6 projektu ustawy</w:t>
      </w:r>
      <w:r w:rsidR="00241436">
        <w:rPr>
          <w:rFonts w:ascii="Times New Roman" w:hAnsi="Times New Roman" w:cs="Times New Roman"/>
          <w:szCs w:val="24"/>
        </w:rPr>
        <w:t>.</w:t>
      </w:r>
    </w:p>
    <w:p w14:paraId="45EC4B75" w14:textId="54AC3C78" w:rsidR="00F11197" w:rsidRPr="0065234B" w:rsidRDefault="00F11197" w:rsidP="00241436">
      <w:pPr>
        <w:pStyle w:val="ARTartustawynprozporzdzenia"/>
        <w:ind w:firstLine="567"/>
        <w:rPr>
          <w:rFonts w:ascii="Times New Roman" w:hAnsi="Times New Roman" w:cs="Times New Roman"/>
          <w:szCs w:val="24"/>
        </w:rPr>
      </w:pPr>
      <w:bookmarkStart w:id="8" w:name="_Hlk53485123"/>
      <w:r w:rsidRPr="0065234B">
        <w:rPr>
          <w:rFonts w:ascii="Times New Roman" w:hAnsi="Times New Roman" w:cs="Times New Roman"/>
          <w:szCs w:val="24"/>
        </w:rPr>
        <w:lastRenderedPageBreak/>
        <w:t>Przewodniczący Naczelnej Komisji Bioetycznej będzie wyznaczał komisję bioetyczną do sporządzenia oceny etycznej badania klinicznego z listy komisji bioetycznych, biorąc pod uwagę: doświadczenie komisji bioetycznej w sporządzaniu oceny etycznej opiniowaniu badań klinicznych w dziedzinie medycyny i populacji badanej charakterystycznej dla danego badania klinicznego, dla którego ma być sporządzona ocena</w:t>
      </w:r>
      <w:r w:rsidR="007701F4">
        <w:rPr>
          <w:rFonts w:ascii="Times New Roman" w:hAnsi="Times New Roman" w:cs="Times New Roman"/>
          <w:szCs w:val="24"/>
        </w:rPr>
        <w:t>,</w:t>
      </w:r>
      <w:r w:rsidRPr="0065234B">
        <w:rPr>
          <w:rFonts w:ascii="Times New Roman" w:hAnsi="Times New Roman" w:cs="Times New Roman"/>
          <w:szCs w:val="24"/>
        </w:rPr>
        <w:t xml:space="preserve"> oraz możliwość terminowego sporządzenia oceny etycznej badania klinicznego – art. 21 ust. 2 projektu ustawy.</w:t>
      </w:r>
      <w:bookmarkEnd w:id="8"/>
    </w:p>
    <w:p w14:paraId="151791B0" w14:textId="0A23C1EF"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Jednocześnie przewodniczący Naczelnej Komisji Bioetycznej okresowo, nie rzadziej niż raz na 4 lata, będzie weryfikował spełnianie przez komisje bioetyczne wpisane na listę komisji bioetycznych kryteriów </w:t>
      </w:r>
      <w:r w:rsidR="004D468A" w:rsidRPr="0065234B">
        <w:rPr>
          <w:rFonts w:ascii="Times New Roman" w:hAnsi="Times New Roman" w:cs="Times New Roman"/>
          <w:szCs w:val="24"/>
        </w:rPr>
        <w:t>–</w:t>
      </w:r>
      <w:r w:rsidRPr="0065234B">
        <w:rPr>
          <w:rFonts w:ascii="Times New Roman" w:hAnsi="Times New Roman" w:cs="Times New Roman"/>
          <w:szCs w:val="24"/>
        </w:rPr>
        <w:t xml:space="preserve"> art. 20 ust. 1 projektu ustawy. Weryfikacja ta będzie miała charakter wtórny, gdyż pierwotna weryfikacja będzie następowała w momencie ubiegania się o wpis na listę komisji bioetycznych uprawnionych do oceny etycznej wniosków. Projektowana weryfikacja komisji bioetycznych wpisanych na listę, nie rzadziej niż co cztery lata, ma na celu ewaluację ich funkcjonowania – co jest standardem minimum proponowany w projekcie ustawy. Jednakże częstotliwość dokonywanych weryfikacji będzie związana z oceną bieżącego funkcjonowania każdej z komisji. W każdym przypadku powzięcia wątpliwości co do działania komisji bioetycznej wpisanej na taką listę (wynikających z nieterminowego prze</w:t>
      </w:r>
      <w:r w:rsidR="007701F4">
        <w:rPr>
          <w:rFonts w:ascii="Times New Roman" w:hAnsi="Times New Roman" w:cs="Times New Roman"/>
          <w:szCs w:val="24"/>
        </w:rPr>
        <w:t>d</w:t>
      </w:r>
      <w:r w:rsidRPr="0065234B">
        <w:rPr>
          <w:rFonts w:ascii="Times New Roman" w:hAnsi="Times New Roman" w:cs="Times New Roman"/>
          <w:szCs w:val="24"/>
        </w:rPr>
        <w:t>kładania oceny, ich jakości czy zmiany składu komisji) przewodniczący Naczelnej Komisji Bioetycznej będzie miał możliwość przeprowadzenia weryfikacji w dowolnym czasie. W przypadku skreślenia komisji bioetycznej z listy przewodniczący Naczelnej Komisji Bioetycznej wskazuje warunki</w:t>
      </w:r>
      <w:r w:rsidR="007701F4">
        <w:rPr>
          <w:rFonts w:ascii="Times New Roman" w:hAnsi="Times New Roman" w:cs="Times New Roman"/>
          <w:szCs w:val="24"/>
        </w:rPr>
        <w:t>,</w:t>
      </w:r>
      <w:r w:rsidRPr="0065234B">
        <w:rPr>
          <w:rFonts w:ascii="Times New Roman" w:hAnsi="Times New Roman" w:cs="Times New Roman"/>
          <w:szCs w:val="24"/>
        </w:rPr>
        <w:t xml:space="preserve"> jakie musi spełnić komisja bioetyczna</w:t>
      </w:r>
      <w:r w:rsidR="007701F4">
        <w:rPr>
          <w:rFonts w:ascii="Times New Roman" w:hAnsi="Times New Roman" w:cs="Times New Roman"/>
          <w:szCs w:val="24"/>
        </w:rPr>
        <w:t>,</w:t>
      </w:r>
      <w:r w:rsidRPr="0065234B">
        <w:rPr>
          <w:rFonts w:ascii="Times New Roman" w:hAnsi="Times New Roman" w:cs="Times New Roman"/>
          <w:szCs w:val="24"/>
        </w:rPr>
        <w:t xml:space="preserve"> aby zostać ponownie wpisana na listę – art. 20 ust. 3 projektu ustawy. W celu zapewnienia aktualności danych dotyczących komisji bioetycznych wpisanych na listę w projekcie ustawy przewidziano obowiązek informowania przez te komisje bioetyczne o wszystkich zmianach, które mogą mieć wpływ na spełnienie kryteriów wpisania na listę uprawnionych komisji bioetycznych.</w:t>
      </w:r>
    </w:p>
    <w:p w14:paraId="443CB9AB" w14:textId="74401997"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rozdziale 5 projektu ustawy uregulowano zasady sporządzania oceny etycznej badania klinicznego oraz zasady współpracy Naczelnej Komisji Bioetycznej z Urzędem</w:t>
      </w:r>
      <w:r w:rsidR="00241436">
        <w:rPr>
          <w:rFonts w:ascii="Times New Roman" w:hAnsi="Times New Roman" w:cs="Times New Roman"/>
          <w:szCs w:val="24"/>
        </w:rPr>
        <w:t>.</w:t>
      </w:r>
    </w:p>
    <w:p w14:paraId="68ABBFD1" w14:textId="18D3A3DA"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Zakres zadań uprawnionych komisji bioetycznych wynika z rozporządzenia 536/2014</w:t>
      </w:r>
      <w:r w:rsidR="007701F4">
        <w:rPr>
          <w:rFonts w:ascii="Times New Roman" w:hAnsi="Times New Roman" w:cs="Times New Roman"/>
          <w:szCs w:val="24"/>
        </w:rPr>
        <w:t xml:space="preserve"> </w:t>
      </w:r>
      <w:r w:rsidRPr="0065234B">
        <w:rPr>
          <w:rFonts w:ascii="Times New Roman" w:hAnsi="Times New Roman" w:cs="Times New Roman"/>
          <w:szCs w:val="24"/>
        </w:rPr>
        <w:t>regulującego procedurę takiej oceny i prowadzenia postępowania w sprawie wydania pozwolenia na prowadzenie badania klinicznego. Przewodniczący Naczelnej Komisji Bioetycznej</w:t>
      </w:r>
      <w:r w:rsidR="007701F4">
        <w:rPr>
          <w:rFonts w:ascii="Times New Roman" w:hAnsi="Times New Roman" w:cs="Times New Roman"/>
          <w:szCs w:val="24"/>
        </w:rPr>
        <w:t>,</w:t>
      </w:r>
      <w:r w:rsidRPr="0065234B">
        <w:rPr>
          <w:rFonts w:ascii="Times New Roman" w:hAnsi="Times New Roman" w:cs="Times New Roman"/>
          <w:szCs w:val="24"/>
        </w:rPr>
        <w:t xml:space="preserve"> wyznaczając komisję bioetyczną z listy, udostępnia jej wniosek i dokumentację badania klinicznego w portalu UE – art. 21 ust. 3 projektu ustawy.</w:t>
      </w:r>
    </w:p>
    <w:p w14:paraId="1FEAA7F1" w14:textId="69144AF2"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lastRenderedPageBreak/>
        <w:t xml:space="preserve">Zgodnie z art. 22 ust. 1 projektu ustawy do zespołu opiniującego Naczelnej Komisji Bioetycznej oraz zespołu opiniującego zadań komisji bioetycznej należy: </w:t>
      </w:r>
    </w:p>
    <w:p w14:paraId="08399B6D" w14:textId="5A8A8078"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sporządzanie oceny etycznej badania klinicznego objętego wnioskiem o wydanie pozwolenia na badanie kliniczne, uwzględniającej aspekty ujęte w części I sprawozdania z oceny wniosku o rozpoczęcie badania klinicznego, o kt</w:t>
      </w:r>
      <w:r w:rsidR="003336D0">
        <w:rPr>
          <w:rFonts w:ascii="Times New Roman" w:hAnsi="Times New Roman" w:cs="Times New Roman"/>
          <w:szCs w:val="24"/>
        </w:rPr>
        <w:t>órych mowa w art. 6 ust. </w:t>
      </w:r>
      <w:r w:rsidR="00241436">
        <w:rPr>
          <w:rFonts w:ascii="Times New Roman" w:hAnsi="Times New Roman" w:cs="Times New Roman"/>
          <w:szCs w:val="24"/>
        </w:rPr>
        <w:t>1 lit. </w:t>
      </w:r>
      <w:r w:rsidRPr="0065234B">
        <w:rPr>
          <w:rFonts w:ascii="Times New Roman" w:hAnsi="Times New Roman" w:cs="Times New Roman"/>
          <w:szCs w:val="24"/>
        </w:rPr>
        <w:t>a</w:t>
      </w:r>
      <w:r w:rsidR="004D468A" w:rsidRPr="0065234B">
        <w:rPr>
          <w:rFonts w:ascii="Times New Roman" w:hAnsi="Times New Roman" w:cs="Times New Roman"/>
          <w:szCs w:val="24"/>
        </w:rPr>
        <w:t>,</w:t>
      </w:r>
      <w:r w:rsidR="00241436">
        <w:rPr>
          <w:rFonts w:ascii="Times New Roman" w:hAnsi="Times New Roman" w:cs="Times New Roman"/>
          <w:szCs w:val="24"/>
        </w:rPr>
        <w:t xml:space="preserve"> </w:t>
      </w:r>
      <w:r w:rsidRPr="0065234B">
        <w:rPr>
          <w:rFonts w:ascii="Times New Roman" w:hAnsi="Times New Roman" w:cs="Times New Roman"/>
          <w:szCs w:val="24"/>
        </w:rPr>
        <w:t>b oraz e rozporządzenia 536/2014</w:t>
      </w:r>
      <w:r w:rsidR="00C77F94">
        <w:rPr>
          <w:rFonts w:ascii="Times New Roman" w:hAnsi="Times New Roman" w:cs="Times New Roman"/>
          <w:szCs w:val="24"/>
        </w:rPr>
        <w:t>,</w:t>
      </w:r>
      <w:r w:rsidRPr="0065234B">
        <w:rPr>
          <w:rFonts w:ascii="Times New Roman" w:hAnsi="Times New Roman" w:cs="Times New Roman"/>
          <w:szCs w:val="24"/>
        </w:rPr>
        <w:t xml:space="preserve"> oraz aspekty ujęte w części II sprawozdania z oceny wniosku o rozpoczęcie badania klinicznego, o kt</w:t>
      </w:r>
      <w:r w:rsidR="003336D0">
        <w:rPr>
          <w:rFonts w:ascii="Times New Roman" w:hAnsi="Times New Roman" w:cs="Times New Roman"/>
          <w:szCs w:val="24"/>
        </w:rPr>
        <w:t>órych mowa w art. 7 ust. 1 lit. </w:t>
      </w:r>
      <w:r w:rsidRPr="0065234B">
        <w:rPr>
          <w:rFonts w:ascii="Times New Roman" w:hAnsi="Times New Roman" w:cs="Times New Roman"/>
          <w:szCs w:val="24"/>
        </w:rPr>
        <w:t>a–c, e, f oraz h rozporządzenia 536/2014, wraz ze szczegółowym merytorycznym uzasadnieniem w przypadku negatywnej oceny;</w:t>
      </w:r>
    </w:p>
    <w:p w14:paraId="250C5407" w14:textId="08A78CC6"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 xml:space="preserve">sporządzenie oceny etycznej istotnej zmiany badania klinicznego objętej wnioskiem o wydanie pozwolenia na istotną zmianę badania klinicznego, uwzględniającej aspekty ujęte w części I i </w:t>
      </w:r>
      <w:r w:rsidR="00702296" w:rsidRPr="0065234B">
        <w:rPr>
          <w:rFonts w:ascii="Times New Roman" w:hAnsi="Times New Roman" w:cs="Times New Roman"/>
          <w:szCs w:val="24"/>
        </w:rPr>
        <w:t xml:space="preserve">części </w:t>
      </w:r>
      <w:r w:rsidRPr="0065234B">
        <w:rPr>
          <w:rFonts w:ascii="Times New Roman" w:hAnsi="Times New Roman" w:cs="Times New Roman"/>
          <w:szCs w:val="24"/>
        </w:rPr>
        <w:t>II sprawozdania z oceny wniosku o rozpoczęcie badania klinicznego na użytek wniosku o wydanie pozwolenia na istotną zmianę badania klinicznego wraz ze szczegółowym merytorycznym uzasadnieniem w przypadku negatywnej oceny;</w:t>
      </w:r>
    </w:p>
    <w:p w14:paraId="6500698E" w14:textId="3ABE4C46"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współpraca z Naczelną Komisją Bioetyczną i wyznaczoną komisją bioetyczną w zakresie oceny etycznej badania klinicznego.</w:t>
      </w:r>
    </w:p>
    <w:p w14:paraId="5BDE64B2" w14:textId="10E11B9E"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W celu zapewnienia sporządzania rzetelnych ocen etycznych w art. 23–29 projektu ustawy przewidziano rozwiązania umożliwiające uzyskiwanie przez Naczelną Komisję Bioetyczną czy komisje bioetyczne dodatkowych informacji od sponsora (czyli możliwość zadawania pytań). Ocena etyczna badania może być pozytywna, pozytywna warunkowa lub negatywna. W swojej ocenie komisja może również zwrócić się o dodatkowe informacje od sponsora. W takim przypadku musi być zapewniona możliwość oceny uzupełnień. Wskazane jest również, aby pytania były przygotowywane w wersji dwujęzycznej (w języku polskim i angielskim). Przepisy te zapewnią ww. komisjom większy udział w procesie wydawania pozwolenia np. na rozpoczęcie badania klinicznego. W projektowanych przepisach określone zostały również terminy, w których ostateczne oceny etyczne muszą zosta</w:t>
      </w:r>
      <w:r w:rsidR="00241436">
        <w:rPr>
          <w:rFonts w:ascii="Times New Roman" w:hAnsi="Times New Roman" w:cs="Times New Roman"/>
          <w:szCs w:val="24"/>
        </w:rPr>
        <w:t>ć przekazane do Prezesa Urzędu.</w:t>
      </w:r>
    </w:p>
    <w:p w14:paraId="7DC9E105" w14:textId="16767595"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projekcie ustawy przyjęto, że regulacje dotyczące procedury oceny etycznej wniosku, które stosuje się do komisji bioetycznej oceniającej wniosek, będą też miały zastosowanie do zespołu opiniującego powołanego przez przewodniczącego Naczelnej Komisji Bioetycznej, spośród składu</w:t>
      </w:r>
      <w:r w:rsidR="00241436">
        <w:rPr>
          <w:rFonts w:ascii="Times New Roman" w:hAnsi="Times New Roman" w:cs="Times New Roman"/>
          <w:szCs w:val="24"/>
        </w:rPr>
        <w:t xml:space="preserve"> Naczelnej Komisji Bioetycznej.</w:t>
      </w:r>
    </w:p>
    <w:p w14:paraId="44CA6D49" w14:textId="7D9E9A6D"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lastRenderedPageBreak/>
        <w:t>W art. 30 ust. 1 i 2 projektu ustawy proponuje się</w:t>
      </w:r>
      <w:r w:rsidR="00702296" w:rsidRPr="0065234B">
        <w:rPr>
          <w:rFonts w:ascii="Times New Roman" w:hAnsi="Times New Roman" w:cs="Times New Roman"/>
          <w:szCs w:val="24"/>
        </w:rPr>
        <w:t>,</w:t>
      </w:r>
      <w:r w:rsidRPr="0065234B">
        <w:rPr>
          <w:rFonts w:ascii="Times New Roman" w:hAnsi="Times New Roman" w:cs="Times New Roman"/>
          <w:szCs w:val="24"/>
        </w:rPr>
        <w:t xml:space="preserve"> aby skład dokonujący oceny etycznej wniosku liczył od 5 do 7 osób oraz przewodniczący tego zespołu, przy zapewnieniu, że w skład zespołu opiniującego wchodzi co najmniej: </w:t>
      </w:r>
    </w:p>
    <w:p w14:paraId="24CF55B9"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jeden członek posiadający wykształcenie w dyscyplinie naukowej: nauki medyczne, nauki farmaceutyczne lub nauki o zdrowiu i co najmniej 10 lat doświadczenia zawodowego w zakresie: wykonywania zawodu lekarza, lekarza dentysty, pielęgniarki, położnej, diagnosty laboratoryjnego, farmaceuty lub prowadzenia badań naukowych w dziedzinie nauk medycznych i nauk o zdrowiu, w szczególności badań klinicznych;</w:t>
      </w:r>
    </w:p>
    <w:p w14:paraId="411869A2" w14:textId="747D941B"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jeden członek posiadający wykształcenie w dyscyplinie naukowej filozofia, nauki teologiczne i co najmniej 5 lat doświadczenia zawodowego w zakresie bioetyki;</w:t>
      </w:r>
    </w:p>
    <w:p w14:paraId="60993401" w14:textId="77C4F5ED"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 xml:space="preserve">jeden członek posiadający wykształcenie w dyscyplinie </w:t>
      </w:r>
      <w:r w:rsidR="004D468A" w:rsidRPr="0065234B">
        <w:rPr>
          <w:rFonts w:ascii="Times New Roman" w:hAnsi="Times New Roman" w:cs="Times New Roman"/>
          <w:szCs w:val="24"/>
        </w:rPr>
        <w:t xml:space="preserve">naukowej </w:t>
      </w:r>
      <w:r w:rsidRPr="0065234B">
        <w:rPr>
          <w:rFonts w:ascii="Times New Roman" w:hAnsi="Times New Roman" w:cs="Times New Roman"/>
          <w:szCs w:val="24"/>
        </w:rPr>
        <w:t>nauki prawne</w:t>
      </w:r>
      <w:r w:rsidRPr="0065234B" w:rsidDel="00EF3B2C">
        <w:rPr>
          <w:rFonts w:ascii="Times New Roman" w:hAnsi="Times New Roman" w:cs="Times New Roman"/>
          <w:szCs w:val="24"/>
        </w:rPr>
        <w:t xml:space="preserve"> </w:t>
      </w:r>
      <w:r w:rsidRPr="0065234B">
        <w:rPr>
          <w:rFonts w:ascii="Times New Roman" w:hAnsi="Times New Roman" w:cs="Times New Roman"/>
          <w:szCs w:val="24"/>
        </w:rPr>
        <w:t>i co najmniej 3 lata doświadczenia zawodowego w zakresie wykonywania wymagających wiedzy prawniczej czynności bezpośrednio związanych ze stosowaniem prawa medycznego lub tworzeniem projektów aktów normatywnych związanych z prawem medycznym oraz z prawem farmaceutycznym</w:t>
      </w:r>
      <w:r w:rsidR="00241436">
        <w:rPr>
          <w:rFonts w:ascii="Times New Roman" w:hAnsi="Times New Roman" w:cs="Times New Roman"/>
          <w:szCs w:val="24"/>
        </w:rPr>
        <w:t>.</w:t>
      </w:r>
    </w:p>
    <w:p w14:paraId="706D077E" w14:textId="697A6ABA"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Dodatkowo, jeżeli w składzie zespołu opiniującego nie będzie przedstawiciela potencjalnych uczestników badania klinicznego lub pacjentów będących dorosłymi osobami niezdolnymi do samodzielnego wyrażenia świadomej zgody na udział w badaniu klinicznym, w przypadku badania klinicznego z udziałem pacjentów z chorobą przewlekłą uniemożliwiającą samodzielne wyrażenie takiej zgody; pacjentów innych niż określeni powyżej; organizacji pacjentów wpisanych do wykazu organizacji pacjentów, o których mowa </w:t>
      </w:r>
      <w:r w:rsidR="00FA5F27" w:rsidRPr="0065234B">
        <w:rPr>
          <w:rFonts w:ascii="Times New Roman" w:hAnsi="Times New Roman" w:cs="Times New Roman"/>
          <w:szCs w:val="24"/>
        </w:rPr>
        <w:t>w art. 55a ust. 1 ustawy z dnia 6 listopada 2008 r. o prawach pacjenta i Rzeczniku Praw Pacjenta,</w:t>
      </w:r>
      <w:r w:rsidRPr="0065234B">
        <w:rPr>
          <w:rFonts w:ascii="Times New Roman" w:hAnsi="Times New Roman" w:cs="Times New Roman"/>
          <w:szCs w:val="24"/>
        </w:rPr>
        <w:t xml:space="preserve"> przewodniczący zespołu opiniującego będzie miał obowiązek zasięgnąć ich opinii wyznaczając jej zakres i termin wydania – art. 30 ust. 3 projektu ustawy.</w:t>
      </w:r>
    </w:p>
    <w:p w14:paraId="21C553A7" w14:textId="280D91BB"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Jednocześnie przewiduje się, że jeżeli w składzie zespołu wydającego ocenę etyczną badania klinicznego w stosunku do badania klinicznego prowadzonego: z udziałem małoletniego – nie wchodzi lekarz specjalista w dziedzinie, której dotyczy badanie kliniczne mającej wspólny moduł podstawowy w zakresie pediatrii, komisja bioetyczna zasięga opinii eksperta; z udziałem osób niezdolnych do samodzielnego wyrażenia świadomej zgody – nie wchodzi lekarz specjalista z dziedziny medycyny, której dotyczy badanie kliniczne, komisja bioetyczna zasięga opinii eksperta w dziedzinie, której dotyczy badanie kliniczne, wyznaczając jej zakres i termin wydania. Dodatkowo, w przypadku złożonej problematyki </w:t>
      </w:r>
      <w:r w:rsidRPr="0065234B">
        <w:rPr>
          <w:rFonts w:ascii="Times New Roman" w:hAnsi="Times New Roman" w:cs="Times New Roman"/>
          <w:szCs w:val="24"/>
        </w:rPr>
        <w:lastRenderedPageBreak/>
        <w:t>objętej wnioskiem, przewodniczący zespołu opiniującego może zasięgnąć opinii ekspertów – art. 30 ust. 5 projektu ustawy. Koszty takiej dodatkowej opinii pokrywa Naczelna Komisja Bioetyczna albo wyznaczona do oceny etycznej komisja bioetyczna – art. 30 ust. 6 projektu ustawy</w:t>
      </w:r>
      <w:r w:rsidR="00241436">
        <w:rPr>
          <w:rFonts w:ascii="Times New Roman" w:hAnsi="Times New Roman" w:cs="Times New Roman"/>
          <w:szCs w:val="24"/>
        </w:rPr>
        <w:t>.</w:t>
      </w:r>
    </w:p>
    <w:p w14:paraId="2A26F048" w14:textId="3E57B2FA"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31 ust. 1 projektu ustawy wskazano, że zespół opiniujący, który sporządził dla danego badania klinicznego ocenę etyczną, jest również wyznaczany do realizacji wszystkich innych zadań związanych z tym badaniem klinicznym. W przypadku gdy ocenę etyczną badania klinicznego sporządził zespół opiniujący wyznaczonej komisji bioetycznej, która została skreślona z listy komisji bioetycznych, zadania związane z dalszą oceną etyczną wniosku zespół opiniujący Naczelnej Komisji Bioetycznej albo zespół opiniujący innej wyznaczonej komisji bioetycznej</w:t>
      </w:r>
      <w:r w:rsidR="00702296" w:rsidRPr="0065234B">
        <w:rPr>
          <w:rFonts w:ascii="Times New Roman" w:hAnsi="Times New Roman" w:cs="Times New Roman"/>
          <w:szCs w:val="24"/>
        </w:rPr>
        <w:t xml:space="preserve"> oraz</w:t>
      </w:r>
      <w:r w:rsidRPr="0065234B">
        <w:rPr>
          <w:rFonts w:ascii="Times New Roman" w:hAnsi="Times New Roman" w:cs="Times New Roman"/>
          <w:szCs w:val="24"/>
        </w:rPr>
        <w:t xml:space="preserve"> </w:t>
      </w:r>
      <w:r w:rsidR="00702296" w:rsidRPr="0065234B">
        <w:rPr>
          <w:rFonts w:ascii="Times New Roman" w:hAnsi="Times New Roman" w:cs="Times New Roman"/>
          <w:szCs w:val="24"/>
        </w:rPr>
        <w:t>p</w:t>
      </w:r>
      <w:r w:rsidRPr="0065234B">
        <w:rPr>
          <w:rFonts w:ascii="Times New Roman" w:hAnsi="Times New Roman" w:cs="Times New Roman"/>
          <w:szCs w:val="24"/>
        </w:rPr>
        <w:t>rzewodniczący komisji bioetycznej wykreślonej z listy komisji bioetycznych jest obowiązany do przekazania całej dokumentacji zespołowi opiniującemu, któr</w:t>
      </w:r>
      <w:r w:rsidR="00C77F94">
        <w:rPr>
          <w:rFonts w:ascii="Times New Roman" w:hAnsi="Times New Roman" w:cs="Times New Roman"/>
          <w:szCs w:val="24"/>
        </w:rPr>
        <w:t>y</w:t>
      </w:r>
      <w:r w:rsidRPr="0065234B">
        <w:rPr>
          <w:rFonts w:ascii="Times New Roman" w:hAnsi="Times New Roman" w:cs="Times New Roman"/>
          <w:szCs w:val="24"/>
        </w:rPr>
        <w:t xml:space="preserve"> będzie dokonywał oceny etycznej wniosku, w terminie 3 dni roboczych od dnia otrzymania wniosku – art. 31 pkt 2 projektu ustawy</w:t>
      </w:r>
      <w:r w:rsidR="00241436">
        <w:rPr>
          <w:rFonts w:ascii="Times New Roman" w:hAnsi="Times New Roman" w:cs="Times New Roman"/>
          <w:szCs w:val="24"/>
        </w:rPr>
        <w:t>.</w:t>
      </w:r>
    </w:p>
    <w:p w14:paraId="32DCBFFE" w14:textId="4579F770"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Zgodnie z art. 9 rozporządzenia 536/2014 państwa członkowskie zapewniają, aby osoby walidujące i oceniające wniosek nie pozostawały w konflikcie interesów, były niezależne od sponsora, ośrodka badań klinicznych oraz od badaczy biorących udział w badaniu oraz osób finansujących dane badanie kliniczne, a także </w:t>
      </w:r>
      <w:r w:rsidR="00C77F94">
        <w:rPr>
          <w:rFonts w:ascii="Times New Roman" w:hAnsi="Times New Roman" w:cs="Times New Roman"/>
          <w:szCs w:val="24"/>
        </w:rPr>
        <w:t>a</w:t>
      </w:r>
      <w:r w:rsidRPr="0065234B">
        <w:rPr>
          <w:rFonts w:ascii="Times New Roman" w:hAnsi="Times New Roman" w:cs="Times New Roman"/>
          <w:szCs w:val="24"/>
        </w:rPr>
        <w:t>by nie podlegały żadnym innym niepożądanym wpływom. W związku z powyższym w art. 32 ust. 1 projektu ustawy</w:t>
      </w:r>
      <w:r w:rsidR="00241436">
        <w:rPr>
          <w:rFonts w:ascii="Times New Roman" w:hAnsi="Times New Roman" w:cs="Times New Roman"/>
          <w:szCs w:val="24"/>
        </w:rPr>
        <w:t xml:space="preserve">, podobnie jak </w:t>
      </w:r>
      <w:r w:rsidRPr="0065234B">
        <w:rPr>
          <w:rFonts w:ascii="Times New Roman" w:hAnsi="Times New Roman" w:cs="Times New Roman"/>
          <w:szCs w:val="24"/>
        </w:rPr>
        <w:t xml:space="preserve">w odniesieniu do członków Naczelnej Komisji Bioetycznej, wprowadzono przepisy gwarantujące brak konfliktu na poziomie członków komisji bioetycznej lub ekspertów. Członek zespołu opiniującego, jego małżonek, rodzeństwo oraz krewny i powinowaty do drugiego stopnia w linii prostej, przedstawiciel, o którym mowa w art. 30 ust. 3, ekspert, o którym mowa w art. 30 ust. 4 i 5, oraz osoba, z którą pozostaje we wspólnym pożyciu, nie mogą: </w:t>
      </w:r>
    </w:p>
    <w:p w14:paraId="59BE31D6"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 xml:space="preserve">wykonywać działalności gospodarczej i być członkiem organów spółek handlowych lub przedstawicielem przedsiębiorców wykonujących działalność gospodarczą w zakresie doradztwa związanego z badaniami klinicznymi i prowadzenia badań klinicznych z wyłączeniem pełnienia roli badacza oraz roli badacza będącego sponsorem badania niekomercyjnego; </w:t>
      </w:r>
    </w:p>
    <w:p w14:paraId="708AD24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 xml:space="preserve">być członkami organów spółdzielni, stowarzyszeń lub fundacji wykonujących powyższą działalność; </w:t>
      </w:r>
    </w:p>
    <w:p w14:paraId="18B1F172"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3)</w:t>
      </w:r>
      <w:r w:rsidRPr="0065234B">
        <w:rPr>
          <w:rFonts w:ascii="Times New Roman" w:hAnsi="Times New Roman" w:cs="Times New Roman"/>
          <w:szCs w:val="24"/>
        </w:rPr>
        <w:tab/>
        <w:t xml:space="preserve">posiadać akcji lub udziałów w spółkach handlowych i spółdzielniach wykonujących powyższą działalność; </w:t>
      </w:r>
    </w:p>
    <w:p w14:paraId="7D885B6E"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 xml:space="preserve">być osobą odpowiedzialną za planowanie lub przeprowadzenie badania klinicznego, będącego przedmiotem oceny etycznej; </w:t>
      </w:r>
    </w:p>
    <w:p w14:paraId="732893ED"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t xml:space="preserve">prowadzić badania klinicznego objętego postępowaniem w sprawie sporządzenia oceny etycznej badania klinicznego lub uczestniczyć w przeprowadzaniu tego badania klinicznego oraz pełnić funkcji zarządczej w ośrodku badawczym, w którym ma być prowadzone badanie kliniczne, którego dotyczy ocena; </w:t>
      </w:r>
    </w:p>
    <w:p w14:paraId="76BFECCC"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6)</w:t>
      </w:r>
      <w:r w:rsidRPr="0065234B">
        <w:rPr>
          <w:rFonts w:ascii="Times New Roman" w:hAnsi="Times New Roman" w:cs="Times New Roman"/>
          <w:szCs w:val="24"/>
        </w:rPr>
        <w:tab/>
        <w:t>być zatrudnieni w podmiotach prowadzących działalność w zakresie doradztwa związanego z badaniami klinicznymi i prowadzenia badań klinicznych.</w:t>
      </w:r>
    </w:p>
    <w:p w14:paraId="3BEC3822" w14:textId="2082A88C"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celu zapewnienia skutecznej realizacji projektowanych w</w:t>
      </w:r>
      <w:r w:rsidR="006820DC" w:rsidRPr="0065234B">
        <w:rPr>
          <w:rFonts w:ascii="Times New Roman" w:hAnsi="Times New Roman" w:cs="Times New Roman"/>
          <w:szCs w:val="24"/>
        </w:rPr>
        <w:t>y</w:t>
      </w:r>
      <w:r w:rsidRPr="0065234B">
        <w:rPr>
          <w:rFonts w:ascii="Times New Roman" w:hAnsi="Times New Roman" w:cs="Times New Roman"/>
          <w:szCs w:val="24"/>
        </w:rPr>
        <w:t xml:space="preserve">łączeń, proponuje się aby członek zespołu opiniującego oraz ekspert, składał przewodniczącemu komisji bioetycznej oświadczenie o niezachodzeniu powyższych okoliczności, pod rygorem odpowiedzialności karnej za składanie fałszywych oświadczeń. </w:t>
      </w:r>
      <w:bookmarkStart w:id="9" w:name="_Hlk89788855"/>
      <w:r w:rsidRPr="0065234B">
        <w:rPr>
          <w:rFonts w:ascii="Times New Roman" w:hAnsi="Times New Roman" w:cs="Times New Roman"/>
          <w:szCs w:val="24"/>
        </w:rPr>
        <w:t xml:space="preserve">W przypadku wątpliwości co do prawidłowości treści ww. oświadczenia przewodniczący Naczelnej Komisji Bioetycznej lub wyznaczonej komisji bioetycznej będzie przekazywał do Centralnego Biura Antykorupcyjnego oświadczenie do weryfikacji. </w:t>
      </w:r>
      <w:bookmarkEnd w:id="9"/>
      <w:r w:rsidRPr="0065234B">
        <w:rPr>
          <w:rFonts w:ascii="Times New Roman" w:hAnsi="Times New Roman" w:cs="Times New Roman"/>
          <w:szCs w:val="24"/>
        </w:rPr>
        <w:t xml:space="preserve">Jednocześnie wystąpienie takich okoliczności </w:t>
      </w:r>
      <w:r w:rsidR="008413ED" w:rsidRPr="0065234B">
        <w:rPr>
          <w:rFonts w:ascii="Times New Roman" w:hAnsi="Times New Roman" w:cs="Times New Roman"/>
          <w:szCs w:val="24"/>
        </w:rPr>
        <w:t xml:space="preserve">będzie </w:t>
      </w:r>
      <w:r w:rsidRPr="0065234B">
        <w:rPr>
          <w:rFonts w:ascii="Times New Roman" w:hAnsi="Times New Roman" w:cs="Times New Roman"/>
          <w:szCs w:val="24"/>
        </w:rPr>
        <w:t xml:space="preserve">stanowić </w:t>
      </w:r>
      <w:r w:rsidR="004A356A" w:rsidRPr="0065234B">
        <w:rPr>
          <w:rFonts w:ascii="Times New Roman" w:hAnsi="Times New Roman" w:cs="Times New Roman"/>
          <w:szCs w:val="24"/>
        </w:rPr>
        <w:t xml:space="preserve">przesłankę </w:t>
      </w:r>
      <w:r w:rsidRPr="0065234B">
        <w:rPr>
          <w:rFonts w:ascii="Times New Roman" w:hAnsi="Times New Roman" w:cs="Times New Roman"/>
          <w:szCs w:val="24"/>
        </w:rPr>
        <w:t>do odwołania przez przewodniczącego Naczelnej Komisji Bioetycznej lub wyznaczonej komisji bioetycznej członka ze składu zespołu opiniującego lub do zasięgnięcia przez przewodniczącego zespołu opiniującego opinii innej osoby w przypadku przedstawiciela, o którym mowa w art. 30 ust. 3, lub ekspert</w:t>
      </w:r>
      <w:r w:rsidR="003336D0">
        <w:rPr>
          <w:rFonts w:ascii="Times New Roman" w:hAnsi="Times New Roman" w:cs="Times New Roman"/>
          <w:szCs w:val="24"/>
        </w:rPr>
        <w:t>a, o którym mowa w art. 30 ust. </w:t>
      </w:r>
      <w:r w:rsidRPr="0065234B">
        <w:rPr>
          <w:rFonts w:ascii="Times New Roman" w:hAnsi="Times New Roman" w:cs="Times New Roman"/>
          <w:szCs w:val="24"/>
        </w:rPr>
        <w:t>4 i 5 projektu ustawy.</w:t>
      </w:r>
    </w:p>
    <w:p w14:paraId="70324B16" w14:textId="100CA6C6" w:rsidR="00F11197" w:rsidRPr="0065234B" w:rsidRDefault="00F11197" w:rsidP="00241436">
      <w:pPr>
        <w:pStyle w:val="ARTartustawynprozporzdzenia"/>
        <w:ind w:firstLine="567"/>
        <w:rPr>
          <w:rFonts w:ascii="Times New Roman" w:hAnsi="Times New Roman" w:cs="Times New Roman"/>
          <w:szCs w:val="24"/>
        </w:rPr>
      </w:pPr>
      <w:r w:rsidRPr="008413ED">
        <w:rPr>
          <w:rFonts w:ascii="Times New Roman" w:hAnsi="Times New Roman" w:cs="Times New Roman"/>
          <w:szCs w:val="24"/>
        </w:rPr>
        <w:t>W art. 33 i</w:t>
      </w:r>
      <w:r w:rsidR="00702296" w:rsidRPr="008413ED">
        <w:rPr>
          <w:rFonts w:ascii="Times New Roman" w:hAnsi="Times New Roman" w:cs="Times New Roman"/>
          <w:szCs w:val="24"/>
        </w:rPr>
        <w:t xml:space="preserve"> art. </w:t>
      </w:r>
      <w:r w:rsidRPr="008413ED">
        <w:rPr>
          <w:rFonts w:ascii="Times New Roman" w:hAnsi="Times New Roman" w:cs="Times New Roman"/>
          <w:szCs w:val="24"/>
        </w:rPr>
        <w:t xml:space="preserve">34 projektu ustawy określono procedurę podejmowania uchwał przez </w:t>
      </w:r>
      <w:r w:rsidRPr="0065234B">
        <w:rPr>
          <w:rFonts w:ascii="Times New Roman" w:hAnsi="Times New Roman" w:cs="Times New Roman"/>
          <w:szCs w:val="24"/>
        </w:rPr>
        <w:t>zespół opiniujący. Ocena etyczna badania klinicznego będzie przyjmowana w drodze uchwały, większością 3/4 głosów w głosowaniu jawnym. W celu zapewnienia przyjęcia takiej uchwały (czy to negatywnej czy pozytywnej) w projekcie ustawy wyłączono możliwość wstrzymania się od głosu, co ma zapobiegać paraliżowaniu prac komisji bioetycznej. Nieosiągnięcie wymaganej większości głosów będzie skutkowało negatywną oceną etyczną badania klinicznego. Jednocześnie członek zespołu opiniującego, który głosował za odmienną oceną etyczną badania klinicznego</w:t>
      </w:r>
      <w:r w:rsidRPr="0065234B" w:rsidDel="004838BF">
        <w:rPr>
          <w:rFonts w:ascii="Times New Roman" w:hAnsi="Times New Roman" w:cs="Times New Roman"/>
          <w:szCs w:val="24"/>
        </w:rPr>
        <w:t xml:space="preserve"> </w:t>
      </w:r>
      <w:r w:rsidRPr="0065234B">
        <w:rPr>
          <w:rFonts w:ascii="Times New Roman" w:hAnsi="Times New Roman" w:cs="Times New Roman"/>
          <w:szCs w:val="24"/>
        </w:rPr>
        <w:t>niż zawarta w przyjętej uchwale, ma prawo do sporządzenia zdania odrębnego, które stanowi załącznik do uchwały – art. 33 projektu ustawy</w:t>
      </w:r>
      <w:r w:rsidR="00241436">
        <w:rPr>
          <w:rFonts w:ascii="Times New Roman" w:hAnsi="Times New Roman" w:cs="Times New Roman"/>
          <w:szCs w:val="24"/>
        </w:rPr>
        <w:t>.</w:t>
      </w:r>
    </w:p>
    <w:p w14:paraId="547789EB" w14:textId="52C426EF" w:rsidR="00F11197" w:rsidRPr="0065234B" w:rsidRDefault="00F11197" w:rsidP="008413ED">
      <w:pPr>
        <w:pStyle w:val="ARTartustawynprozporzdzenia"/>
        <w:ind w:firstLine="567"/>
        <w:rPr>
          <w:rFonts w:ascii="Times New Roman" w:hAnsi="Times New Roman" w:cs="Times New Roman"/>
          <w:szCs w:val="24"/>
        </w:rPr>
      </w:pPr>
      <w:r w:rsidRPr="0065234B">
        <w:rPr>
          <w:rFonts w:ascii="Times New Roman" w:hAnsi="Times New Roman" w:cs="Times New Roman"/>
          <w:szCs w:val="24"/>
        </w:rPr>
        <w:lastRenderedPageBreak/>
        <w:t xml:space="preserve">Ocena etyczna badania sporządzana przez Naczelną Komisję Bioetyczną lub komisje bioetyczne jest częścią składową decyzji wydawanej przez Prezesa Urzędu, stąd też nie przysługuje od niej odwołanie – art. 34 ust. 1 projektu ustawy. Niemniej jednak określono, że w przypadku gdy podstawą odwołania od decyzji Prezesa Urzędu jest negatywna ocena etyczna badania klinicznego, Prezes Urzędu w terminie 3 dni roboczych od otrzymania odwołania zwraca się do Naczelnej Komisji Bioetycznej o wydanie ponownej oceny etycznej. Przewodniczący Naczelnej Komisji Bioetycznej wyznacza komisję bioetyczną, która wyda ponowną ocenę. Jeżeli pierwsza ocena etyczna badania klinicznego została wydana przez wyznaczoną komisję bioetyczną, ponowną ocenę wydaje inna komisja bioetyczna albo Naczelna Komisja Bioetyczna. Natomiast jeżeli pierwsza ocena została wydana przez Naczelną Komisję Bioetyczną, ponowną ocenę wydaje wyznaczona komisja bioetyczna albo zespół opiniujący Naczelnej Komisji Bioetycznej w innym składzie </w:t>
      </w:r>
      <w:r w:rsidR="008413ED">
        <w:rPr>
          <w:rFonts w:ascii="Times New Roman" w:hAnsi="Times New Roman" w:cs="Times New Roman"/>
          <w:szCs w:val="24"/>
        </w:rPr>
        <w:t>–</w:t>
      </w:r>
      <w:r w:rsidR="003336D0">
        <w:rPr>
          <w:rFonts w:ascii="Times New Roman" w:hAnsi="Times New Roman" w:cs="Times New Roman"/>
          <w:szCs w:val="24"/>
        </w:rPr>
        <w:t xml:space="preserve"> art. 34 ust. </w:t>
      </w:r>
      <w:r w:rsidRPr="0065234B">
        <w:rPr>
          <w:rFonts w:ascii="Times New Roman" w:hAnsi="Times New Roman" w:cs="Times New Roman"/>
          <w:szCs w:val="24"/>
        </w:rPr>
        <w:t>2 i 3 projektu ustawy.</w:t>
      </w:r>
    </w:p>
    <w:p w14:paraId="08F2F130" w14:textId="67468E3C"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Projektowany rozdział 6 </w:t>
      </w:r>
      <w:r w:rsidR="001578D9" w:rsidRPr="0065234B">
        <w:rPr>
          <w:rFonts w:ascii="Times New Roman" w:hAnsi="Times New Roman" w:cs="Times New Roman"/>
          <w:szCs w:val="24"/>
        </w:rPr>
        <w:t xml:space="preserve">projektu </w:t>
      </w:r>
      <w:r w:rsidRPr="0065234B">
        <w:rPr>
          <w:rFonts w:ascii="Times New Roman" w:hAnsi="Times New Roman" w:cs="Times New Roman"/>
          <w:szCs w:val="24"/>
        </w:rPr>
        <w:t xml:space="preserve">ustawy </w:t>
      </w:r>
      <w:r w:rsidR="00F265BD" w:rsidRPr="0065234B">
        <w:rPr>
          <w:rFonts w:ascii="Times New Roman" w:hAnsi="Times New Roman" w:cs="Times New Roman"/>
          <w:szCs w:val="24"/>
        </w:rPr>
        <w:t>dotyczy</w:t>
      </w:r>
      <w:r w:rsidRPr="0065234B">
        <w:rPr>
          <w:rFonts w:ascii="Times New Roman" w:hAnsi="Times New Roman" w:cs="Times New Roman"/>
          <w:szCs w:val="24"/>
        </w:rPr>
        <w:t xml:space="preserve"> sponsora, głównego badacza i badacza. W art. 36 ust. 1 projektu ustawy określono, że do obowiązków sponsora badania klinicznego należy realizacja obowiązków wynikających z rozporządzenia 536/2014 oraz uzyskanie w formie pisemnej zgody głównego badacza i badacza na dostęp do dokumentów źródłowych.</w:t>
      </w:r>
    </w:p>
    <w:p w14:paraId="6B1B78BB" w14:textId="43BE4BD0"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Konieczność uzyskania przez sponsora pisemnej zgody głównego badacza i badacza na dostęp do dokumentów źródłowych wynika z załącznika nr 1</w:t>
      </w:r>
      <w:r w:rsidR="003336D0">
        <w:rPr>
          <w:rFonts w:ascii="Times New Roman" w:hAnsi="Times New Roman" w:cs="Times New Roman"/>
          <w:szCs w:val="24"/>
        </w:rPr>
        <w:t xml:space="preserve"> do rozporządzenia 536/2014 pn. </w:t>
      </w:r>
      <w:r w:rsidRPr="0065234B">
        <w:rPr>
          <w:rFonts w:ascii="Times New Roman" w:hAnsi="Times New Roman" w:cs="Times New Roman"/>
          <w:szCs w:val="24"/>
        </w:rPr>
        <w:t xml:space="preserve">Dokumentacja pierwotnego wniosku, część D pn. Protokół, </w:t>
      </w:r>
      <w:r w:rsidR="00C67252">
        <w:rPr>
          <w:rFonts w:ascii="Times New Roman" w:hAnsi="Times New Roman" w:cs="Times New Roman"/>
          <w:szCs w:val="24"/>
        </w:rPr>
        <w:t xml:space="preserve">z </w:t>
      </w:r>
      <w:r w:rsidRPr="0065234B">
        <w:rPr>
          <w:rFonts w:ascii="Times New Roman" w:hAnsi="Times New Roman" w:cs="Times New Roman"/>
          <w:szCs w:val="24"/>
        </w:rPr>
        <w:t>pkt 17 lit. ah wynika, że protokół zawiera przynajmniej „oświadczenie sponsora (w protokole albo w oddzielnym dokumencie) potwierdzające, że badacze i instytucje zaangażowane w badanie kliniczne zezwolą na monitorowanie badania klinicznego, audyty oraz inspekcje organów regulacyjnych, w tym na bezpośredni dostęp do danych źródłowych i dokumentów”.</w:t>
      </w:r>
    </w:p>
    <w:p w14:paraId="17F383EA" w14:textId="79B9686F"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Art. 36 ust. 2 projektu ustawy stanowi natomiast, że jeżeli do przetwarzania, w celu naukowym w zakresie niezbędnym do realizacji badania klinicznego, danych uzyskanych w związku z badaniem klinicznym są wykorzystywane metody oparte na informatycznych systemach przechowywania danych, sponsor przed rozpoczęciem przetwarzania tych danych jest obowiązany do: </w:t>
      </w:r>
    </w:p>
    <w:p w14:paraId="741863B9"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 xml:space="preserve">zapewnienia w formie pisemnej instrukcji stosowania informatycznego systemu przechowywania danych; </w:t>
      </w:r>
    </w:p>
    <w:p w14:paraId="66B6A77E"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2)</w:t>
      </w:r>
      <w:r w:rsidRPr="0065234B">
        <w:rPr>
          <w:rFonts w:ascii="Times New Roman" w:hAnsi="Times New Roman" w:cs="Times New Roman"/>
          <w:szCs w:val="24"/>
        </w:rPr>
        <w:tab/>
        <w:t xml:space="preserve">udokumentowania, że informatyczny system przechowywania danych został wprowadzony po dokonaniu oceny bezpieczeństwa jego stosowania i funkcjonalności; </w:t>
      </w:r>
    </w:p>
    <w:p w14:paraId="08446D36" w14:textId="58E87205"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 xml:space="preserve">zapewnienia dostępu do informatycznego systemu przechowywania danych i zmiany danych w taki sposób, aby możliwa była wsteczna weryfikacja wprowadzonych zmian danych (tj. sposób prowadzenia dokumentacji badania klinicznego umożliwiający prześledzenie wstecz przebiegu tego badania i wszelkich związanych z nim zdarzeń i wydanych decyzji); </w:t>
      </w:r>
    </w:p>
    <w:p w14:paraId="441E5B54" w14:textId="08493229"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wskazania osób upoważnionych do przetwarzania danych osobowych w informatycznych systemach przechowywania danych uzyskanych w</w:t>
      </w:r>
      <w:r w:rsidR="00241436">
        <w:rPr>
          <w:rFonts w:ascii="Times New Roman" w:hAnsi="Times New Roman" w:cs="Times New Roman"/>
          <w:szCs w:val="24"/>
        </w:rPr>
        <w:t xml:space="preserve"> związku z badaniem klinicznym.</w:t>
      </w:r>
    </w:p>
    <w:p w14:paraId="5BA26D85" w14:textId="3A210FDA"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36 ust. 3 projektu ustawy wprowadzono zobowiązanie sponsora do zapewnienia możliwości porównania danych przetworzonych z danymi oryginalnymi</w:t>
      </w:r>
      <w:r w:rsidR="00056601">
        <w:rPr>
          <w:rFonts w:ascii="Times New Roman" w:hAnsi="Times New Roman" w:cs="Times New Roman"/>
          <w:szCs w:val="24"/>
        </w:rPr>
        <w:t>,</w:t>
      </w:r>
      <w:r w:rsidRPr="0065234B">
        <w:rPr>
          <w:rFonts w:ascii="Times New Roman" w:hAnsi="Times New Roman" w:cs="Times New Roman"/>
          <w:szCs w:val="24"/>
        </w:rPr>
        <w:t xml:space="preserve"> w przypadku gdy zgromad</w:t>
      </w:r>
      <w:r w:rsidR="00241436">
        <w:rPr>
          <w:rFonts w:ascii="Times New Roman" w:hAnsi="Times New Roman" w:cs="Times New Roman"/>
          <w:szCs w:val="24"/>
        </w:rPr>
        <w:t>zone dane ulegną przetworzeniu.</w:t>
      </w:r>
    </w:p>
    <w:p w14:paraId="01507684" w14:textId="2169FE55"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Art. 37 projektu ustawy określa kto może pełnić rolę głównego badacza. Głównym badaczem w badaniu klinicznym produktu leczniczego prowadzonym na terytorium Rzeczypospolitej Polskiej może być posiadający prawo wykonywania zawodu na terytorium Rzeczypospolitej Polskiej lekarz, lekarz dentysta, pielęgniarka albo położna posiadająca dyplom ukończenia studiów na kierunku pielęgniarstwo lub położnictwo. W przypadku gdy głównym badaczem będzie pielęgniarka lub położna</w:t>
      </w:r>
      <w:r w:rsidR="00056601">
        <w:rPr>
          <w:rFonts w:ascii="Times New Roman" w:hAnsi="Times New Roman" w:cs="Times New Roman"/>
          <w:szCs w:val="24"/>
        </w:rPr>
        <w:t>,</w:t>
      </w:r>
      <w:r w:rsidRPr="0065234B">
        <w:rPr>
          <w:rFonts w:ascii="Times New Roman" w:hAnsi="Times New Roman" w:cs="Times New Roman"/>
          <w:szCs w:val="24"/>
        </w:rPr>
        <w:t xml:space="preserve"> wprowadzono dodatkowy wymóg, aby jednym z badaczy w zespole badawczym był lekarz lub lekarz dentysta.</w:t>
      </w:r>
    </w:p>
    <w:p w14:paraId="06DF4859" w14:textId="4DA829F0"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art. 38 projektu ustawy główny badacz oraz badacz są obowiązani do realizacji obowiązków wynikających z rozporządzenia 536/2014.</w:t>
      </w:r>
    </w:p>
    <w:p w14:paraId="3EE7401F" w14:textId="77777777"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Rozdział 7 projektu ustawy reguluje odpowiedzialność badacza i sponsora za szkody powstałe w związku z prowadzeniem badania klinicznego</w:t>
      </w:r>
    </w:p>
    <w:p w14:paraId="4893B6AC" w14:textId="7A7E2B07"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art. 76 ust. 1 rozporządzenia 536/2014 państwa członkowskie zapewnią funkcjonowanie systemów odszkodowań za szkody poniesione przez uczestników wynikające z udziału w badaniu klinicznym prowadzonym na ich terytorium w formie ubezpieczenia, gwarancji lub podobnych rozwiązań równoważnych pod względem celu, która jest odpowiedni</w:t>
      </w:r>
      <w:r w:rsidR="00241436">
        <w:rPr>
          <w:rFonts w:ascii="Times New Roman" w:hAnsi="Times New Roman" w:cs="Times New Roman"/>
          <w:szCs w:val="24"/>
        </w:rPr>
        <w:t>a do charakteru i skali ryzyka.</w:t>
      </w:r>
    </w:p>
    <w:p w14:paraId="65D3B8B4" w14:textId="7A4EB813"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projektowanej ustawie wprowadzono zasadę odpowiedzialności badacza i sponsora opartą na zasadach ogólnych. Badacz i sponsor będą ponosić odpowiedzialność za </w:t>
      </w:r>
      <w:r w:rsidRPr="0065234B">
        <w:rPr>
          <w:rFonts w:ascii="Times New Roman" w:hAnsi="Times New Roman" w:cs="Times New Roman"/>
          <w:szCs w:val="24"/>
        </w:rPr>
        <w:lastRenderedPageBreak/>
        <w:t xml:space="preserve">wyrządzenie szkody uczestnikowi badania klinicznego wynikające z ich działania lub zaniechania – art. 39 projektu ustawy. Badacz i sponsor nie będą ponosić odpowiedzialności solidarnej w rozumieniu ustawy z dnia 23 kwietnia 1964 r. – </w:t>
      </w:r>
      <w:r w:rsidRPr="009B0AC7">
        <w:rPr>
          <w:rFonts w:ascii="Times New Roman" w:hAnsi="Times New Roman" w:cs="Times New Roman"/>
          <w:szCs w:val="24"/>
        </w:rPr>
        <w:t xml:space="preserve">Kodeks cywilny </w:t>
      </w:r>
      <w:r w:rsidR="001578D9" w:rsidRPr="0065234B">
        <w:rPr>
          <w:rFonts w:ascii="Times New Roman" w:hAnsi="Times New Roman" w:cs="Times New Roman"/>
          <w:szCs w:val="24"/>
        </w:rPr>
        <w:t xml:space="preserve">(Dz. U. z 2022 r. poz. 1360, z późn. zm) </w:t>
      </w:r>
      <w:r w:rsidRPr="0065234B">
        <w:rPr>
          <w:rFonts w:ascii="Times New Roman" w:hAnsi="Times New Roman" w:cs="Times New Roman"/>
          <w:szCs w:val="24"/>
        </w:rPr>
        <w:t>– zarówno badacz</w:t>
      </w:r>
      <w:r w:rsidR="00056601">
        <w:rPr>
          <w:rFonts w:ascii="Times New Roman" w:hAnsi="Times New Roman" w:cs="Times New Roman"/>
          <w:szCs w:val="24"/>
        </w:rPr>
        <w:t>,</w:t>
      </w:r>
      <w:r w:rsidRPr="0065234B">
        <w:rPr>
          <w:rFonts w:ascii="Times New Roman" w:hAnsi="Times New Roman" w:cs="Times New Roman"/>
          <w:szCs w:val="24"/>
        </w:rPr>
        <w:t xml:space="preserve"> jak i sponsor, każdy odrębnie, będzie ponosił odpowiedzialność za wyrządzenie szkody uczestnikowi badania klinicznego wynikające z jego działania lub zaniechania. Podkreślić należy, że wprowadzenie odpowiedzialności solidarnej badacza i sponsora, oznaczałoby drastyczne zwiększenie odpowiedzialności badacza za działania sponsora, na które nie ma on żadnego wpływu. Należy zauważyć, że celem rozporządzenia 536/2014 jest zwiększenie bezpieczeństwa badań klinicznych, dlatego też w projektowanej ustawie wprowadzano co do zasady obowiązkowe ubezpieczenie badacza oraz sponsora, jak również dodatkowo dochodzenie odszkodowania ze specjalnie powoływanego Funduszu Kompensacyjnego Badań Klinicznych. Mając na względzie powyższe, a w szczególności zwiększenie bezpieczeństwa badań klinicznych, nie </w:t>
      </w:r>
      <w:r w:rsidR="00056601" w:rsidRPr="0065234B">
        <w:rPr>
          <w:rFonts w:ascii="Times New Roman" w:hAnsi="Times New Roman" w:cs="Times New Roman"/>
          <w:szCs w:val="24"/>
        </w:rPr>
        <w:t xml:space="preserve">jest </w:t>
      </w:r>
      <w:r w:rsidRPr="0065234B">
        <w:rPr>
          <w:rFonts w:ascii="Times New Roman" w:hAnsi="Times New Roman" w:cs="Times New Roman"/>
          <w:szCs w:val="24"/>
        </w:rPr>
        <w:t>zasadne wprowadzenie tak daleko idącego rozszerzenia odpowiedzialności</w:t>
      </w:r>
      <w:r w:rsidR="00056601">
        <w:rPr>
          <w:rFonts w:ascii="Times New Roman" w:hAnsi="Times New Roman" w:cs="Times New Roman"/>
          <w:szCs w:val="24"/>
        </w:rPr>
        <w:t>,</w:t>
      </w:r>
      <w:r w:rsidRPr="0065234B">
        <w:rPr>
          <w:rFonts w:ascii="Times New Roman" w:hAnsi="Times New Roman" w:cs="Times New Roman"/>
          <w:szCs w:val="24"/>
        </w:rPr>
        <w:t xml:space="preserve"> jak odpowiedzialność solidarna badacza i sponsora.</w:t>
      </w:r>
    </w:p>
    <w:p w14:paraId="0661B187" w14:textId="2D8F8F5F" w:rsidR="00F11197" w:rsidRPr="0065234B" w:rsidRDefault="00F11197" w:rsidP="00241436">
      <w:pPr>
        <w:pStyle w:val="USTustnpkodeksu"/>
        <w:spacing w:before="120"/>
        <w:ind w:firstLine="567"/>
        <w:rPr>
          <w:rFonts w:ascii="Times New Roman" w:hAnsi="Times New Roman" w:cs="Times New Roman"/>
          <w:szCs w:val="24"/>
        </w:rPr>
      </w:pPr>
      <w:r w:rsidRPr="0065234B">
        <w:rPr>
          <w:rFonts w:ascii="Times New Roman" w:hAnsi="Times New Roman" w:cs="Times New Roman"/>
          <w:szCs w:val="24"/>
        </w:rPr>
        <w:t>Zgodnie z art. 40 ust. 1 projektu ustawy ubezpieczenie od odpowiedzialności cywilnej jest obowiązkowe zarówno dla badacza</w:t>
      </w:r>
      <w:r w:rsidR="009C02B6">
        <w:rPr>
          <w:rFonts w:ascii="Times New Roman" w:hAnsi="Times New Roman" w:cs="Times New Roman"/>
          <w:szCs w:val="24"/>
        </w:rPr>
        <w:t>,</w:t>
      </w:r>
      <w:r w:rsidRPr="0065234B">
        <w:rPr>
          <w:rFonts w:ascii="Times New Roman" w:hAnsi="Times New Roman" w:cs="Times New Roman"/>
          <w:szCs w:val="24"/>
        </w:rPr>
        <w:t xml:space="preserve"> jaki i sponsora. Jednocześnie przewidziano, że w przypadku badania klinicznego o niskim stopniu interwencji</w:t>
      </w:r>
      <w:r w:rsidR="009C02B6">
        <w:rPr>
          <w:rFonts w:ascii="Times New Roman" w:hAnsi="Times New Roman" w:cs="Times New Roman"/>
          <w:szCs w:val="24"/>
        </w:rPr>
        <w:t>,</w:t>
      </w:r>
      <w:r w:rsidRPr="0065234B">
        <w:rPr>
          <w:rFonts w:ascii="Times New Roman" w:hAnsi="Times New Roman" w:cs="Times New Roman"/>
          <w:szCs w:val="24"/>
        </w:rPr>
        <w:t xml:space="preserve"> sponsor nie będzie musiał zawierać umowy ubezpieczenia odpowiedzialności cywilnej za szkody wyrządzone przez niego w związku z prowadzeniem badania klinicznego. Przewidziane zwolnienie sponsora z obowiązku zawarcia umowy ubezpieczenia od odpowiedzialności cywilnej za szkody powstałe w związku z prowadzeniem badania klinicznego o niskim stopniu interwencji jest dopuszczalne zgodnie z rozporządzeniem 536/2014. Badania kliniczne o niskim stopniu interwencji wiążą się z bardzo niskim ryzykiem dla uczestników związany</w:t>
      </w:r>
      <w:r w:rsidR="009C02B6">
        <w:rPr>
          <w:rFonts w:ascii="Times New Roman" w:hAnsi="Times New Roman" w:cs="Times New Roman"/>
          <w:szCs w:val="24"/>
        </w:rPr>
        <w:t>m</w:t>
      </w:r>
      <w:r w:rsidRPr="0065234B">
        <w:rPr>
          <w:rFonts w:ascii="Times New Roman" w:hAnsi="Times New Roman" w:cs="Times New Roman"/>
          <w:szCs w:val="24"/>
        </w:rPr>
        <w:t xml:space="preserve"> z wystąpieniem uszczerbku na zdrowiu </w:t>
      </w:r>
      <w:r w:rsidR="009C02B6">
        <w:rPr>
          <w:rFonts w:ascii="Times New Roman" w:hAnsi="Times New Roman" w:cs="Times New Roman"/>
          <w:szCs w:val="24"/>
        </w:rPr>
        <w:t>w związku</w:t>
      </w:r>
      <w:r w:rsidR="009C02B6" w:rsidRPr="0065234B">
        <w:rPr>
          <w:rFonts w:ascii="Times New Roman" w:hAnsi="Times New Roman" w:cs="Times New Roman"/>
          <w:szCs w:val="24"/>
        </w:rPr>
        <w:t xml:space="preserve"> </w:t>
      </w:r>
      <w:r w:rsidRPr="0065234B">
        <w:rPr>
          <w:rFonts w:ascii="Times New Roman" w:hAnsi="Times New Roman" w:cs="Times New Roman"/>
          <w:szCs w:val="24"/>
        </w:rPr>
        <w:t xml:space="preserve">z udziałem w badaniu klinicznym. Jednocześnie w projekcie ustawy przewidziano obowiązek dołączenia przez sponsora do wniosku o wydanie pozwolenia na badanie kliniczne dowodu ubezpieczenia potwierdzającego zawarcie umowy ubezpieczenia odpowiedzialności cywilnej – art. 40 ust. 3 projektu ustawy. Ubezpieczeniem odpowiedzialności cywilnej </w:t>
      </w:r>
      <w:r w:rsidR="002925BD" w:rsidRPr="0065234B">
        <w:rPr>
          <w:rFonts w:ascii="Times New Roman" w:hAnsi="Times New Roman" w:cs="Times New Roman"/>
          <w:szCs w:val="24"/>
        </w:rPr>
        <w:t xml:space="preserve">jest </w:t>
      </w:r>
      <w:r w:rsidRPr="0065234B">
        <w:rPr>
          <w:rFonts w:ascii="Times New Roman" w:hAnsi="Times New Roman" w:cs="Times New Roman"/>
          <w:szCs w:val="24"/>
        </w:rPr>
        <w:t xml:space="preserve">objęta odpowiedzialność cywilna badacza i sponsora za szkodę polegającą na uszkodzeniu ciała, rozstroju zdrowia lub śmierci uczestnika badania klinicznego, w okresie trwania ochrony ubezpieczeniowej, wyrządzoną w związku z prowadzeniem badania klinicznego </w:t>
      </w:r>
      <w:bookmarkStart w:id="10" w:name="_Hlk48818607"/>
      <w:r w:rsidRPr="0065234B">
        <w:rPr>
          <w:rFonts w:ascii="Times New Roman" w:hAnsi="Times New Roman" w:cs="Times New Roman"/>
          <w:szCs w:val="24"/>
        </w:rPr>
        <w:t>–</w:t>
      </w:r>
      <w:bookmarkEnd w:id="10"/>
      <w:r w:rsidRPr="0065234B">
        <w:rPr>
          <w:rFonts w:ascii="Times New Roman" w:hAnsi="Times New Roman" w:cs="Times New Roman"/>
          <w:szCs w:val="24"/>
        </w:rPr>
        <w:t xml:space="preserve"> art. 40 ust. 4 projektu ustawy. Jednocześnie uzasadnione jest, aby z zakresu tego ubezpieczenia wyłączyć odpowiedzialność za enumeratywnie </w:t>
      </w:r>
      <w:r w:rsidRPr="0065234B">
        <w:rPr>
          <w:rFonts w:ascii="Times New Roman" w:hAnsi="Times New Roman" w:cs="Times New Roman"/>
          <w:szCs w:val="24"/>
        </w:rPr>
        <w:lastRenderedPageBreak/>
        <w:t xml:space="preserve">określone w art. 40 ust. 5 szkody </w:t>
      </w:r>
      <w:r w:rsidR="001578D9" w:rsidRPr="0065234B">
        <w:rPr>
          <w:rFonts w:ascii="Times New Roman" w:hAnsi="Times New Roman" w:cs="Times New Roman"/>
          <w:szCs w:val="24"/>
        </w:rPr>
        <w:t>–</w:t>
      </w:r>
      <w:r w:rsidRPr="0065234B">
        <w:rPr>
          <w:rFonts w:ascii="Times New Roman" w:hAnsi="Times New Roman" w:cs="Times New Roman"/>
          <w:szCs w:val="24"/>
        </w:rPr>
        <w:t xml:space="preserve"> wyłączenia zawierają przypadki społecznie uzasadnione oraz sytuacje nadzwyczajne, którym nie można zapobiec. Termin powstania obowiązku ubezpieczenia odpowiedzialności cywilnej został uzależniony od dnia złożenia wniosku o pozwolenie na prowadzenie badania klinicznego. Obowiązek ubezpieczenia odpowiedzialności cywilnej będzie powstawał najpóźniej w dniu złożenia tego wniosku.</w:t>
      </w:r>
    </w:p>
    <w:p w14:paraId="6CE43D3D" w14:textId="71D160EE" w:rsidR="00F11197" w:rsidRPr="0065234B" w:rsidRDefault="00F11197" w:rsidP="0065234B">
      <w:pPr>
        <w:pStyle w:val="USTustnpkodeksu"/>
        <w:spacing w:before="120"/>
        <w:ind w:firstLine="0"/>
        <w:rPr>
          <w:rFonts w:ascii="Times New Roman" w:hAnsi="Times New Roman" w:cs="Times New Roman"/>
          <w:szCs w:val="24"/>
        </w:rPr>
      </w:pPr>
      <w:r w:rsidRPr="0065234B">
        <w:rPr>
          <w:rFonts w:ascii="Times New Roman" w:hAnsi="Times New Roman" w:cs="Times New Roman"/>
          <w:szCs w:val="24"/>
        </w:rPr>
        <w:t xml:space="preserve">Natomiast w art. 40 ust. 8 </w:t>
      </w:r>
      <w:r w:rsidR="001578D9" w:rsidRPr="0065234B">
        <w:rPr>
          <w:rFonts w:ascii="Times New Roman" w:hAnsi="Times New Roman" w:cs="Times New Roman"/>
          <w:szCs w:val="24"/>
        </w:rPr>
        <w:t xml:space="preserve">projektu ustawy </w:t>
      </w:r>
      <w:r w:rsidRPr="0065234B">
        <w:rPr>
          <w:rFonts w:ascii="Times New Roman" w:hAnsi="Times New Roman" w:cs="Times New Roman"/>
          <w:szCs w:val="24"/>
        </w:rPr>
        <w:t xml:space="preserve">określono minimalną sumę gwarancyjną ubezpieczenia odpowiedzialności cywilnej, w odniesieniu do jednego zdarzenia oraz wszystkich zdarzeń, których skutki są objęte umową ubezpieczenia odpowiedzialności cywilnej za szkody wyrządzone w związku z prowadzeniem badania klinicznego, uzależniając ją </w:t>
      </w:r>
      <w:r w:rsidR="002925BD">
        <w:rPr>
          <w:rFonts w:ascii="Times New Roman" w:hAnsi="Times New Roman" w:cs="Times New Roman"/>
          <w:szCs w:val="24"/>
        </w:rPr>
        <w:t xml:space="preserve">od </w:t>
      </w:r>
      <w:r w:rsidRPr="0065234B">
        <w:rPr>
          <w:rFonts w:ascii="Times New Roman" w:hAnsi="Times New Roman" w:cs="Times New Roman"/>
          <w:szCs w:val="24"/>
        </w:rPr>
        <w:t>liczby uczestników badania klinicznego przyjmujących badany produkt leczniczy lub znajdujących się w grupie kontrolnej. W zależności od liczby uczestników minimalna suma gwarancyjna będzie wynosić równowartość w złotych:</w:t>
      </w:r>
    </w:p>
    <w:p w14:paraId="0B0E4C04" w14:textId="47FF6410" w:rsidR="00F11197" w:rsidRPr="0065234B" w:rsidRDefault="00241436" w:rsidP="00241436">
      <w:pPr>
        <w:pStyle w:val="USTustnpkodeksu"/>
        <w:spacing w:before="120"/>
        <w:ind w:left="993" w:hanging="426"/>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F11197" w:rsidRPr="0065234B">
        <w:rPr>
          <w:rFonts w:ascii="Times New Roman" w:hAnsi="Times New Roman" w:cs="Times New Roman"/>
          <w:szCs w:val="24"/>
        </w:rPr>
        <w:t xml:space="preserve">w przypadku liczby uczestników badania klinicznego do 50 osób – </w:t>
      </w:r>
      <w:r w:rsidR="005900CD" w:rsidRPr="0065234B">
        <w:rPr>
          <w:rFonts w:ascii="Times New Roman" w:hAnsi="Times New Roman" w:cs="Times New Roman"/>
          <w:szCs w:val="24"/>
        </w:rPr>
        <w:t>2</w:t>
      </w:r>
      <w:r w:rsidR="002925BD">
        <w:rPr>
          <w:rFonts w:ascii="Times New Roman" w:hAnsi="Times New Roman" w:cs="Times New Roman"/>
          <w:szCs w:val="24"/>
        </w:rPr>
        <w:t> </w:t>
      </w:r>
      <w:r w:rsidR="00321BA7" w:rsidRPr="0065234B">
        <w:rPr>
          <w:rFonts w:ascii="Times New Roman" w:hAnsi="Times New Roman" w:cs="Times New Roman"/>
          <w:szCs w:val="24"/>
        </w:rPr>
        <w:t>000</w:t>
      </w:r>
      <w:r w:rsidR="002925BD">
        <w:rPr>
          <w:rFonts w:ascii="Times New Roman" w:hAnsi="Times New Roman" w:cs="Times New Roman"/>
          <w:szCs w:val="24"/>
        </w:rPr>
        <w:t> </w:t>
      </w:r>
      <w:r w:rsidR="00321BA7" w:rsidRPr="0065234B">
        <w:rPr>
          <w:rFonts w:ascii="Times New Roman" w:hAnsi="Times New Roman" w:cs="Times New Roman"/>
          <w:szCs w:val="24"/>
        </w:rPr>
        <w:t xml:space="preserve">000 </w:t>
      </w:r>
      <w:r w:rsidR="00F11197" w:rsidRPr="0065234B">
        <w:rPr>
          <w:rFonts w:ascii="Times New Roman" w:hAnsi="Times New Roman" w:cs="Times New Roman"/>
          <w:szCs w:val="24"/>
        </w:rPr>
        <w:t>euro;</w:t>
      </w:r>
    </w:p>
    <w:p w14:paraId="3E86FCDC" w14:textId="7ACA4328" w:rsidR="00F11197" w:rsidRPr="0065234B" w:rsidRDefault="00241436" w:rsidP="00241436">
      <w:pPr>
        <w:pStyle w:val="USTustnpkodeksu"/>
        <w:spacing w:before="120"/>
        <w:ind w:left="993" w:hanging="426"/>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F11197" w:rsidRPr="0065234B">
        <w:rPr>
          <w:rFonts w:ascii="Times New Roman" w:hAnsi="Times New Roman" w:cs="Times New Roman"/>
          <w:szCs w:val="24"/>
        </w:rPr>
        <w:t xml:space="preserve">w przypadku liczby uczestników badania klinicznego powyżej 50 osób – </w:t>
      </w:r>
      <w:r w:rsidR="00321BA7" w:rsidRPr="0065234B">
        <w:rPr>
          <w:rFonts w:ascii="Times New Roman" w:hAnsi="Times New Roman" w:cs="Times New Roman"/>
          <w:szCs w:val="24"/>
        </w:rPr>
        <w:t>5</w:t>
      </w:r>
      <w:r w:rsidR="002925BD">
        <w:rPr>
          <w:rFonts w:ascii="Times New Roman" w:hAnsi="Times New Roman" w:cs="Times New Roman"/>
          <w:szCs w:val="24"/>
        </w:rPr>
        <w:t> </w:t>
      </w:r>
      <w:r w:rsidR="00F11197" w:rsidRPr="0065234B">
        <w:rPr>
          <w:rFonts w:ascii="Times New Roman" w:hAnsi="Times New Roman" w:cs="Times New Roman"/>
          <w:szCs w:val="24"/>
        </w:rPr>
        <w:t>000</w:t>
      </w:r>
      <w:r w:rsidR="002925BD">
        <w:rPr>
          <w:rFonts w:ascii="Times New Roman" w:hAnsi="Times New Roman" w:cs="Times New Roman"/>
          <w:szCs w:val="24"/>
        </w:rPr>
        <w:t> </w:t>
      </w:r>
      <w:r w:rsidR="00F11197" w:rsidRPr="0065234B">
        <w:rPr>
          <w:rFonts w:ascii="Times New Roman" w:hAnsi="Times New Roman" w:cs="Times New Roman"/>
          <w:szCs w:val="24"/>
        </w:rPr>
        <w:t>000 euro.</w:t>
      </w:r>
    </w:p>
    <w:p w14:paraId="5B9F61BB" w14:textId="777BEE4C"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Dodatkowo w celu zagwarantowania uczestni</w:t>
      </w:r>
      <w:r w:rsidR="00241436">
        <w:rPr>
          <w:rFonts w:ascii="Times New Roman" w:hAnsi="Times New Roman" w:cs="Times New Roman"/>
          <w:szCs w:val="24"/>
        </w:rPr>
        <w:t xml:space="preserve">kom badań klinicznych szybszej </w:t>
      </w:r>
      <w:r w:rsidRPr="0065234B">
        <w:rPr>
          <w:rFonts w:ascii="Times New Roman" w:hAnsi="Times New Roman" w:cs="Times New Roman"/>
          <w:szCs w:val="24"/>
        </w:rPr>
        <w:t>i prostszej drogi dochodzenia rekompensaty za poniesione w związku z badaniem klinicznym szkody proponuje się powołanie specjalnego Funduszu Kompensacyjnego Badań Klinicznych, ze środków którego będą wypłacane świadczenia uczestnikom badań. Należy zauważyć, że na gruncie obecnie obowiązujących przepisów jedyną drogą do uzyskania odszkodowania z tytułu szkód poniesionych w związku z uczestniczeniem w badaniu klinicznym jest dochodzenie roszczeń (w oparciu o zasadę winy) od ubezpieczyciela lub wytoczenie sprawy sądowej, co skutkuje znikomą liczbą wypłacanych odszkodowań.</w:t>
      </w:r>
    </w:p>
    <w:p w14:paraId="0C752CA9" w14:textId="17518010"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Podobnie jak w przypadku rozwiązań przyjętych w </w:t>
      </w:r>
      <w:r w:rsidR="00241436">
        <w:rPr>
          <w:rFonts w:ascii="Times New Roman" w:hAnsi="Times New Roman" w:cs="Times New Roman"/>
          <w:szCs w:val="24"/>
        </w:rPr>
        <w:t>ustawie z dnia 6 listopada 2008 </w:t>
      </w:r>
      <w:r w:rsidRPr="0065234B">
        <w:rPr>
          <w:rFonts w:ascii="Times New Roman" w:hAnsi="Times New Roman" w:cs="Times New Roman"/>
          <w:szCs w:val="24"/>
        </w:rPr>
        <w:t xml:space="preserve">r. o prawach pacjenta i Rzeczniku Praw Pacjenta w odniesieniu do ustalania odszkodowania i zadośćuczynienia w odniesieniu do zdarzeń medycznych (będących następstwem udzielania świadczeń zdrowotnych w szpitalu), w projektowanej ustawie wprowadzono dodatkowe rozwiązanie w celu podwyższenia ochrony pacjenta – uczestnika badań klinicznych, ułatwiające mu uzyskanie odszkodowania za ewentualne szkody na zdrowiu, które odniósł w wyniku udziału w badaniu klinicznym. Podobnie jak w przypadku odszkodowania za zdarzenia medyczne, nie wyłącza to prawa uczestnika badania klinicznego do dochodzenia odszkodowania od ubezpieczyciela czy wystąpienia na drogę sądową. Jest to dodatkowy </w:t>
      </w:r>
      <w:r w:rsidRPr="0065234B">
        <w:rPr>
          <w:rFonts w:ascii="Times New Roman" w:hAnsi="Times New Roman" w:cs="Times New Roman"/>
          <w:szCs w:val="24"/>
        </w:rPr>
        <w:lastRenderedPageBreak/>
        <w:t>środek umożliwiający uzyskanie odszkodowania bez wchodzenia na drogę sadową i ponoszenia związanych z tym dużych kosztów sądowych. W modelu tym nie ma przy tym wymogu udowodnienia, by szkoda była wynikiem zawinionego zachowania.</w:t>
      </w:r>
    </w:p>
    <w:p w14:paraId="063F0E30" w14:textId="2D4D439B"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Zgodnie z projektem każdy sponsor przed rozpoczęciem badania klinicznego będzie wnosił wpłatę na Fundusz Kompensacyjny Badań Klinicznych, zwany dalej „Funduszem”, będący państwowym funduszem celowym, którego dysponentem będzie Rzecznik Praw Pacjenta. Rzecznik będzie sporządzał roczny plan finansowy Funduszu we współpracy z ministrem właściwym do spraw zdrowia i w porozumieniu z ministrem właściwym do spraw finansów publicznych. Rzecznik będzie również sporządzał sprawozdanie z </w:t>
      </w:r>
      <w:r w:rsidR="0081497E" w:rsidRPr="0065234B">
        <w:rPr>
          <w:rFonts w:ascii="Times New Roman" w:hAnsi="Times New Roman" w:cs="Times New Roman"/>
          <w:szCs w:val="24"/>
        </w:rPr>
        <w:t xml:space="preserve">realizacji </w:t>
      </w:r>
      <w:r w:rsidRPr="0065234B">
        <w:rPr>
          <w:rFonts w:ascii="Times New Roman" w:hAnsi="Times New Roman" w:cs="Times New Roman"/>
          <w:szCs w:val="24"/>
        </w:rPr>
        <w:t>rocznego planu finansowego Funduszu</w:t>
      </w:r>
      <w:r w:rsidR="00C537C2" w:rsidRPr="0065234B">
        <w:rPr>
          <w:rFonts w:ascii="Times New Roman" w:hAnsi="Times New Roman" w:cs="Times New Roman"/>
          <w:szCs w:val="24"/>
        </w:rPr>
        <w:t>, które będzie przekazywał ministrowi właściwemu do spraw zdrowia oraz ministrowi właściwemu do spraw finansów publicznych.</w:t>
      </w:r>
      <w:r w:rsidRPr="0065234B">
        <w:rPr>
          <w:rFonts w:ascii="Times New Roman" w:hAnsi="Times New Roman" w:cs="Times New Roman"/>
          <w:szCs w:val="24"/>
        </w:rPr>
        <w:t xml:space="preserve"> </w:t>
      </w:r>
      <w:r w:rsidR="00C537C2" w:rsidRPr="0065234B">
        <w:rPr>
          <w:rFonts w:ascii="Times New Roman" w:hAnsi="Times New Roman" w:cs="Times New Roman"/>
          <w:szCs w:val="24"/>
        </w:rPr>
        <w:t xml:space="preserve">W zakresie nieuregulowanym w ustawie, </w:t>
      </w:r>
      <w:r w:rsidRPr="0065234B">
        <w:rPr>
          <w:rFonts w:ascii="Times New Roman" w:hAnsi="Times New Roman" w:cs="Times New Roman"/>
          <w:szCs w:val="24"/>
        </w:rPr>
        <w:t xml:space="preserve">stosować się będzie przepisy ustawy z dnia 27 sierpnia 2009 r. o </w:t>
      </w:r>
      <w:r w:rsidRPr="009B0AC7">
        <w:rPr>
          <w:rFonts w:ascii="Times New Roman" w:hAnsi="Times New Roman" w:cs="Times New Roman"/>
          <w:szCs w:val="24"/>
        </w:rPr>
        <w:t>finansach publicznych</w:t>
      </w:r>
      <w:r w:rsidR="0081497E" w:rsidRPr="009B0AC7">
        <w:rPr>
          <w:rFonts w:ascii="Times New Roman" w:hAnsi="Times New Roman" w:cs="Times New Roman"/>
          <w:szCs w:val="24"/>
        </w:rPr>
        <w:t xml:space="preserve"> </w:t>
      </w:r>
      <w:r w:rsidR="0081497E" w:rsidRPr="0065234B">
        <w:rPr>
          <w:rFonts w:ascii="Times New Roman" w:hAnsi="Times New Roman" w:cs="Times New Roman"/>
          <w:szCs w:val="24"/>
        </w:rPr>
        <w:t>(Dz.</w:t>
      </w:r>
      <w:r w:rsidR="0081497E" w:rsidRPr="0065234B">
        <w:rPr>
          <w:rStyle w:val="Ppogrubienie"/>
          <w:rFonts w:ascii="Times New Roman" w:hAnsi="Times New Roman" w:cs="Times New Roman"/>
          <w:szCs w:val="24"/>
        </w:rPr>
        <w:t xml:space="preserve"> </w:t>
      </w:r>
      <w:r w:rsidR="0081497E" w:rsidRPr="0065234B">
        <w:rPr>
          <w:rFonts w:ascii="Times New Roman" w:hAnsi="Times New Roman" w:cs="Times New Roman"/>
          <w:szCs w:val="24"/>
        </w:rPr>
        <w:t>U. z 2022 r. poz. 1634, z późn. zm</w:t>
      </w:r>
      <w:r w:rsidR="00E64310" w:rsidRPr="0065234B">
        <w:rPr>
          <w:rFonts w:ascii="Times New Roman" w:hAnsi="Times New Roman" w:cs="Times New Roman"/>
          <w:szCs w:val="24"/>
        </w:rPr>
        <w:t>.</w:t>
      </w:r>
      <w:r w:rsidR="0081497E" w:rsidRPr="0065234B">
        <w:rPr>
          <w:rFonts w:ascii="Times New Roman" w:hAnsi="Times New Roman" w:cs="Times New Roman"/>
          <w:szCs w:val="24"/>
        </w:rPr>
        <w:t>)</w:t>
      </w:r>
      <w:r w:rsidRPr="0065234B">
        <w:rPr>
          <w:rFonts w:ascii="Times New Roman" w:hAnsi="Times New Roman" w:cs="Times New Roman"/>
          <w:szCs w:val="24"/>
        </w:rPr>
        <w:t>.</w:t>
      </w:r>
    </w:p>
    <w:p w14:paraId="3C100328" w14:textId="2881B4A0"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Przychodami Funduszu, zgodnie z art. 41 projektu ustawy</w:t>
      </w:r>
      <w:r w:rsidR="002925BD">
        <w:rPr>
          <w:rFonts w:ascii="Times New Roman" w:hAnsi="Times New Roman" w:cs="Times New Roman"/>
          <w:szCs w:val="24"/>
        </w:rPr>
        <w:t>,</w:t>
      </w:r>
      <w:r w:rsidR="00D3243C" w:rsidRPr="0065234B">
        <w:rPr>
          <w:rFonts w:ascii="Times New Roman" w:hAnsi="Times New Roman" w:cs="Times New Roman"/>
          <w:szCs w:val="24"/>
        </w:rPr>
        <w:t xml:space="preserve"> </w:t>
      </w:r>
      <w:r w:rsidRPr="0065234B">
        <w:rPr>
          <w:rFonts w:ascii="Times New Roman" w:hAnsi="Times New Roman" w:cs="Times New Roman"/>
          <w:szCs w:val="24"/>
        </w:rPr>
        <w:t xml:space="preserve">będą: wpłaty od sponsorów badań klinicznych, opłaty od wniesionych wniosków i odwołań, odsetki od zgromadzonych środków, darowizny, spadki i zapisy oraz inne wpływy. </w:t>
      </w:r>
      <w:r w:rsidR="002B6D39" w:rsidRPr="0065234B">
        <w:rPr>
          <w:rFonts w:ascii="Times New Roman" w:hAnsi="Times New Roman" w:cs="Times New Roman"/>
          <w:szCs w:val="24"/>
        </w:rPr>
        <w:t>Przychodem Funduszu będą także niewykorzystane w poprzednim roku kalendarzowym środki z opłat przeznaczonych na wynagrodzenia członków zespołu opiniującego, przedst</w:t>
      </w:r>
      <w:r w:rsidR="003336D0">
        <w:rPr>
          <w:rFonts w:ascii="Times New Roman" w:hAnsi="Times New Roman" w:cs="Times New Roman"/>
          <w:szCs w:val="24"/>
        </w:rPr>
        <w:t>awicieli, o których mowa w art. </w:t>
      </w:r>
      <w:r w:rsidR="002B6D39" w:rsidRPr="0065234B">
        <w:rPr>
          <w:rFonts w:ascii="Times New Roman" w:hAnsi="Times New Roman" w:cs="Times New Roman"/>
          <w:szCs w:val="24"/>
        </w:rPr>
        <w:t xml:space="preserve">30 ust. 3 ustawy, i ekspertów, o których mowa w art. 30 ust. 4 i 5 ustawy, przewodniczącego Naczelnej Komisji Bioetycznej i jego zastępcy oraz niewykorzystane środki z opłat przeznaczonych na koszty działalności Naczelnej Komisji Bioetycznej. </w:t>
      </w:r>
      <w:r w:rsidRPr="0065234B">
        <w:rPr>
          <w:rFonts w:ascii="Times New Roman" w:hAnsi="Times New Roman" w:cs="Times New Roman"/>
          <w:szCs w:val="24"/>
        </w:rPr>
        <w:t>Ze środków Funduszu będą pokrywane koszty związane z realizacją wypłat świadczeń kompensacyjnych, zwroty opłat w przypadku uwzględnienia odwołania,</w:t>
      </w:r>
      <w:r w:rsidR="00FA5F27" w:rsidRPr="0065234B">
        <w:rPr>
          <w:rFonts w:ascii="Times New Roman" w:hAnsi="Times New Roman" w:cs="Times New Roman"/>
          <w:szCs w:val="24"/>
        </w:rPr>
        <w:t xml:space="preserve"> niewykorzystane środki z opłat przeznaczonych na koszty działalności Naczelnej Komisji </w:t>
      </w:r>
      <w:r w:rsidR="0052386A" w:rsidRPr="0065234B">
        <w:rPr>
          <w:rFonts w:ascii="Times New Roman" w:hAnsi="Times New Roman" w:cs="Times New Roman"/>
          <w:szCs w:val="24"/>
        </w:rPr>
        <w:t>Bioetycznej</w:t>
      </w:r>
      <w:r w:rsidR="00FA5F27" w:rsidRPr="0065234B">
        <w:rPr>
          <w:rFonts w:ascii="Times New Roman" w:hAnsi="Times New Roman" w:cs="Times New Roman"/>
          <w:szCs w:val="24"/>
        </w:rPr>
        <w:t xml:space="preserve"> oraz wynagrodzenia członków zespołów opiniujących</w:t>
      </w:r>
      <w:r w:rsidR="0052386A" w:rsidRPr="0065234B">
        <w:rPr>
          <w:rFonts w:ascii="Times New Roman" w:hAnsi="Times New Roman" w:cs="Times New Roman"/>
          <w:szCs w:val="24"/>
        </w:rPr>
        <w:t>,</w:t>
      </w:r>
      <w:r w:rsidRPr="0065234B">
        <w:rPr>
          <w:rFonts w:ascii="Times New Roman" w:hAnsi="Times New Roman" w:cs="Times New Roman"/>
          <w:szCs w:val="24"/>
        </w:rPr>
        <w:t xml:space="preserve"> odsetki za nieterminowe wypłaty świadczeń kompensacyjnych, koszty bezpośrednio związane z bieżącym funkcjonowaniem Funduszu, a także koszty związane z prowadzeniem postępowań w sprawie świadczenia kompensacyjnego oraz obsługi i funkcjonowania Zespołu do spraw Świadczeń z Funduszu Kompensacyjnego Badań Klinicznych i Komisji Odwoławczej.</w:t>
      </w:r>
    </w:p>
    <w:p w14:paraId="4D55E674" w14:textId="597B8107"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Zgodnie z art. 42 projektu ustawy składka wnoszona przez sponsorów na rzecz Funduszu naliczana będzie od każdego wniosku o wydanie pozwolenia na badanie kliniczne i będzie należna z dniem złożenia takiego wniosku. Wysokość wpłaty na Fundusz będzie uzależniona od liczby uczestników badania klinicznego przyjmujących badany produkt </w:t>
      </w:r>
      <w:r w:rsidRPr="0065234B">
        <w:rPr>
          <w:rFonts w:ascii="Times New Roman" w:hAnsi="Times New Roman" w:cs="Times New Roman"/>
          <w:szCs w:val="24"/>
        </w:rPr>
        <w:lastRenderedPageBreak/>
        <w:t>leczniczy lub znajdujących się w grupie kontrolnej. Dlatego też przyjęto, ż</w:t>
      </w:r>
      <w:r w:rsidR="00F709BF">
        <w:rPr>
          <w:rFonts w:ascii="Times New Roman" w:hAnsi="Times New Roman" w:cs="Times New Roman"/>
          <w:szCs w:val="24"/>
        </w:rPr>
        <w:t xml:space="preserve">e </w:t>
      </w:r>
      <w:r w:rsidRPr="0065234B">
        <w:rPr>
          <w:rFonts w:ascii="Times New Roman" w:hAnsi="Times New Roman" w:cs="Times New Roman"/>
          <w:szCs w:val="24"/>
        </w:rPr>
        <w:t xml:space="preserve">wysokość wpłaty na Fundusz będzie wynosiła równowartość w złotych: </w:t>
      </w:r>
    </w:p>
    <w:p w14:paraId="7376D092" w14:textId="7211DCDB" w:rsidR="00F11197" w:rsidRPr="0065234B" w:rsidRDefault="00241436" w:rsidP="00241436">
      <w:pPr>
        <w:pStyle w:val="USTustnpkodeksu"/>
        <w:spacing w:before="120"/>
        <w:ind w:left="993" w:hanging="426"/>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F11197" w:rsidRPr="0065234B">
        <w:rPr>
          <w:rFonts w:ascii="Times New Roman" w:hAnsi="Times New Roman" w:cs="Times New Roman"/>
          <w:szCs w:val="24"/>
        </w:rPr>
        <w:t>w przypadku liczby uczestników badania klinicznego do 20 osób – 2000 euro;</w:t>
      </w:r>
    </w:p>
    <w:p w14:paraId="302C687A" w14:textId="3252AC4E" w:rsidR="00F11197" w:rsidRPr="0065234B" w:rsidRDefault="00241436" w:rsidP="00241436">
      <w:pPr>
        <w:pStyle w:val="USTustnpkodeksu"/>
        <w:spacing w:before="120"/>
        <w:ind w:left="993" w:hanging="426"/>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F11197" w:rsidRPr="0065234B">
        <w:rPr>
          <w:rFonts w:ascii="Times New Roman" w:hAnsi="Times New Roman" w:cs="Times New Roman"/>
          <w:szCs w:val="24"/>
        </w:rPr>
        <w:t>w przypadku liczby uczestników badania klinicznego od 21 do 50 osób – 4000 euro;</w:t>
      </w:r>
    </w:p>
    <w:p w14:paraId="32B0D87A" w14:textId="5DDC1CF2" w:rsidR="00F11197" w:rsidRPr="0065234B" w:rsidRDefault="00241436" w:rsidP="00241436">
      <w:pPr>
        <w:pStyle w:val="USTustnpkodeksu"/>
        <w:spacing w:before="120"/>
        <w:ind w:left="993" w:hanging="426"/>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r>
      <w:r w:rsidR="00F11197" w:rsidRPr="0065234B">
        <w:rPr>
          <w:rFonts w:ascii="Times New Roman" w:hAnsi="Times New Roman" w:cs="Times New Roman"/>
          <w:szCs w:val="24"/>
        </w:rPr>
        <w:t>w przypadku liczby uczestników badania klinicznego od 51–100 osób – 6000 euro;</w:t>
      </w:r>
    </w:p>
    <w:p w14:paraId="456D9716" w14:textId="57CE7A5D" w:rsidR="00F11197" w:rsidRPr="0065234B" w:rsidRDefault="00241436" w:rsidP="00241436">
      <w:pPr>
        <w:pStyle w:val="USTustnpkodeksu"/>
        <w:spacing w:before="120"/>
        <w:ind w:left="993" w:hanging="426"/>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rPr>
        <w:tab/>
      </w:r>
      <w:r w:rsidR="00F11197" w:rsidRPr="0065234B">
        <w:rPr>
          <w:rFonts w:ascii="Times New Roman" w:hAnsi="Times New Roman" w:cs="Times New Roman"/>
          <w:szCs w:val="24"/>
        </w:rPr>
        <w:t>w przypadku liczby uczestników badania klinicznego powyżej 100 osób – 10</w:t>
      </w:r>
      <w:r w:rsidR="00F709BF">
        <w:rPr>
          <w:rFonts w:ascii="Times New Roman" w:hAnsi="Times New Roman" w:cs="Times New Roman"/>
          <w:szCs w:val="24"/>
        </w:rPr>
        <w:t> </w:t>
      </w:r>
      <w:r w:rsidR="00F11197" w:rsidRPr="0065234B">
        <w:rPr>
          <w:rFonts w:ascii="Times New Roman" w:hAnsi="Times New Roman" w:cs="Times New Roman"/>
          <w:szCs w:val="24"/>
        </w:rPr>
        <w:t>000 euro.</w:t>
      </w:r>
    </w:p>
    <w:p w14:paraId="184A0DDF" w14:textId="5D0C7FF0" w:rsidR="00F11197" w:rsidRPr="0065234B" w:rsidRDefault="00F11197" w:rsidP="0065234B">
      <w:pPr>
        <w:pStyle w:val="USTustnpkodeksu"/>
        <w:spacing w:before="120"/>
        <w:ind w:firstLine="0"/>
        <w:rPr>
          <w:rFonts w:ascii="Times New Roman" w:hAnsi="Times New Roman" w:cs="Times New Roman"/>
          <w:szCs w:val="24"/>
        </w:rPr>
      </w:pPr>
      <w:r w:rsidRPr="0065234B">
        <w:rPr>
          <w:rFonts w:ascii="Times New Roman" w:hAnsi="Times New Roman" w:cs="Times New Roman"/>
          <w:szCs w:val="24"/>
        </w:rPr>
        <w:t>Projektowana wysokość wpłaty na Fundusz zagwarantuje płynność finansową Funduszu i posiadanie środków na realizację zadań ustawowych, w szczególności wypłatę świadczeń na rzecz uczestników badań klinicznych. Wysokość wpłat wnoszonych przez sponsorów badań klinicznych powinna zatem zapewniać odpowiednią ilość środków i zabezpieczać nieprzerwane i terminowe dokonywanie wypłat świadczeń kompensacyjnych, a także pokrywanie innych kosztów związanych z prowadzeniem postępowań w sprawie świadczenia kompensacyjnego oraz obsługi i funkcjonowania Zespołu do spraw Świadczeń z Funduszu Kompensacyjnego Badań Klinicznych i Komisji Odwoławczej celem załatwiania spraw z dochowaniem ustawowych terminów. Rzecznik Praw Pacjenta, jako dysponent Funduszu, powinien na bieżąco monitorować stan ww. środków i w razie zagrożenia płynności finansowej Funduszu – odpowiednio wcześniej zasygnalizować tę kwestię ministrowi właściwemu do spraw zdrowia celem zwiększenia wysokości wpłat przez zmianę akt</w:t>
      </w:r>
      <w:r w:rsidR="00D3243C" w:rsidRPr="0065234B">
        <w:rPr>
          <w:rFonts w:ascii="Times New Roman" w:hAnsi="Times New Roman" w:cs="Times New Roman"/>
          <w:szCs w:val="24"/>
        </w:rPr>
        <w:t>u</w:t>
      </w:r>
      <w:r w:rsidRPr="0065234B">
        <w:rPr>
          <w:rFonts w:ascii="Times New Roman" w:hAnsi="Times New Roman" w:cs="Times New Roman"/>
          <w:szCs w:val="24"/>
        </w:rPr>
        <w:t xml:space="preserve"> wykonawczego do ustawy. Zwrot składek przekazanych na Fundusz będzie dopuszczalny wyłącznie</w:t>
      </w:r>
      <w:r w:rsidR="00F709BF">
        <w:rPr>
          <w:rFonts w:ascii="Times New Roman" w:hAnsi="Times New Roman" w:cs="Times New Roman"/>
          <w:szCs w:val="24"/>
        </w:rPr>
        <w:t>,</w:t>
      </w:r>
      <w:r w:rsidRPr="0065234B">
        <w:rPr>
          <w:rFonts w:ascii="Times New Roman" w:hAnsi="Times New Roman" w:cs="Times New Roman"/>
          <w:szCs w:val="24"/>
        </w:rPr>
        <w:t xml:space="preserve"> w przypadku gdy: sponsor nie otrzyma pozwolenia na badanie kliniczne; pozwolenie na badanie kliniczne wygaśnie lub zostanie cofnięte przez rozpoczęciem badania klinicznego albo gdy z przyczyn innych badanie kliniczne nie zostanie rozpoczęte; wpłata zostanie dokonana w kwocie przewyższającej wysokość składki; wpłata zostanie dokonana przez podmiot niezobowiązany do jej uiszczania. W takim przypadku sponsor oraz podmiot niezobowiązany będzie mógł wystąpić o zwrot wpłaty. Roszczenia te przedawniają się z upływem 3 lat.</w:t>
      </w:r>
    </w:p>
    <w:p w14:paraId="6C02E68C" w14:textId="77777777" w:rsidR="00F11197" w:rsidRPr="0065234B" w:rsidRDefault="00F11197" w:rsidP="0065234B">
      <w:pPr>
        <w:pStyle w:val="ARTartustawynprozporzdzenia"/>
        <w:rPr>
          <w:rFonts w:ascii="Times New Roman" w:hAnsi="Times New Roman" w:cs="Times New Roman"/>
          <w:szCs w:val="24"/>
        </w:rPr>
      </w:pPr>
      <w:r w:rsidRPr="0065234B">
        <w:rPr>
          <w:rFonts w:ascii="Times New Roman" w:hAnsi="Times New Roman" w:cs="Times New Roman"/>
          <w:szCs w:val="24"/>
        </w:rPr>
        <w:t>Rzecznik Praw Pacjenta będzie uprawniony do weryfikowania prawidłowości wysokości wniesionej wpłaty na Fundusz na podstawie danych zawartych w bazie danych UE, o której mowa w art. 81 ust. 1 rozporządzenia 536/2014 – art. 43 projektu ustawy.</w:t>
      </w:r>
    </w:p>
    <w:p w14:paraId="46536E16" w14:textId="541E4F90" w:rsidR="00F11197" w:rsidRPr="0065234B" w:rsidRDefault="00F11197" w:rsidP="0065234B">
      <w:pPr>
        <w:pStyle w:val="ARTartustawynprozporzdzenia"/>
        <w:rPr>
          <w:rFonts w:ascii="Times New Roman" w:hAnsi="Times New Roman" w:cs="Times New Roman"/>
          <w:szCs w:val="24"/>
        </w:rPr>
      </w:pPr>
      <w:r w:rsidRPr="0065234B">
        <w:rPr>
          <w:rFonts w:ascii="Times New Roman" w:hAnsi="Times New Roman" w:cs="Times New Roman"/>
          <w:szCs w:val="24"/>
        </w:rPr>
        <w:lastRenderedPageBreak/>
        <w:t>W projekcie ustawy uregulowano szczegółową procedurę wys</w:t>
      </w:r>
      <w:r w:rsidR="00241436">
        <w:rPr>
          <w:rFonts w:ascii="Times New Roman" w:hAnsi="Times New Roman" w:cs="Times New Roman"/>
          <w:szCs w:val="24"/>
        </w:rPr>
        <w:t xml:space="preserve">tępowania z wnioskiem </w:t>
      </w:r>
      <w:r w:rsidRPr="0065234B">
        <w:rPr>
          <w:rFonts w:ascii="Times New Roman" w:hAnsi="Times New Roman" w:cs="Times New Roman"/>
          <w:szCs w:val="24"/>
        </w:rPr>
        <w:t>do Rzecznika Praw Pacjenta o otrzymanie świadczenia przez uczestnika badań klinicznych w związku ze szkodą powstałą na skutek udziału w badaniu klinicznym. Wniosek ten będzie inicjował postępowanie administracyjne, w związku z czym w zakresie nieuregulowanym w ustawie zastosowanie znajdą przepisy</w:t>
      </w:r>
      <w:r w:rsidR="00702296" w:rsidRPr="0065234B">
        <w:rPr>
          <w:rFonts w:ascii="Times New Roman" w:hAnsi="Times New Roman" w:cs="Times New Roman"/>
          <w:szCs w:val="24"/>
        </w:rPr>
        <w:t xml:space="preserve"> ustawy z dnia 14 czerwca 1960 r. </w:t>
      </w:r>
      <w:r w:rsidR="00D3243C" w:rsidRPr="0065234B">
        <w:rPr>
          <w:rFonts w:ascii="Times New Roman" w:hAnsi="Times New Roman" w:cs="Times New Roman"/>
          <w:szCs w:val="24"/>
        </w:rPr>
        <w:t>–</w:t>
      </w:r>
      <w:r w:rsidRPr="0065234B">
        <w:rPr>
          <w:rFonts w:ascii="Times New Roman" w:hAnsi="Times New Roman" w:cs="Times New Roman"/>
          <w:szCs w:val="24"/>
        </w:rPr>
        <w:t xml:space="preserve"> </w:t>
      </w:r>
      <w:r w:rsidR="00D3243C" w:rsidRPr="0065234B">
        <w:rPr>
          <w:rFonts w:ascii="Times New Roman" w:hAnsi="Times New Roman" w:cs="Times New Roman"/>
          <w:szCs w:val="24"/>
        </w:rPr>
        <w:t>K</w:t>
      </w:r>
      <w:r w:rsidRPr="0065234B">
        <w:rPr>
          <w:rFonts w:ascii="Times New Roman" w:hAnsi="Times New Roman" w:cs="Times New Roman"/>
          <w:szCs w:val="24"/>
        </w:rPr>
        <w:t>odeks postępowania administracyjneg</w:t>
      </w:r>
      <w:r w:rsidR="00702296" w:rsidRPr="0065234B">
        <w:rPr>
          <w:rFonts w:ascii="Times New Roman" w:hAnsi="Times New Roman" w:cs="Times New Roman"/>
          <w:szCs w:val="24"/>
        </w:rPr>
        <w:t>o</w:t>
      </w:r>
      <w:r w:rsidRPr="0065234B">
        <w:rPr>
          <w:rFonts w:ascii="Times New Roman" w:hAnsi="Times New Roman" w:cs="Times New Roman"/>
          <w:szCs w:val="24"/>
        </w:rPr>
        <w:t>. Stroną tego postępowania będzie wnioskodawca.</w:t>
      </w:r>
    </w:p>
    <w:p w14:paraId="09B32B1F" w14:textId="13F5E3E8" w:rsidR="00F11197" w:rsidRPr="0065234B" w:rsidRDefault="00F11197" w:rsidP="0065234B">
      <w:pPr>
        <w:pStyle w:val="ARTartustawynprozporzdzenia"/>
        <w:rPr>
          <w:rFonts w:ascii="Times New Roman" w:hAnsi="Times New Roman" w:cs="Times New Roman"/>
          <w:szCs w:val="24"/>
        </w:rPr>
      </w:pPr>
      <w:r w:rsidRPr="0065234B">
        <w:rPr>
          <w:rFonts w:ascii="Times New Roman" w:hAnsi="Times New Roman" w:cs="Times New Roman"/>
          <w:szCs w:val="24"/>
        </w:rPr>
        <w:t>Osobą uprawnioną do złożenia wniosku o przyznanie świadczenia kompensacyjnego jest uczestnik badania klinicznego, a w przypadku śmierci uczestnika badania klinicznego – osoba najbliższa. W przypadku osoby, która nie może działać samodzielnie, z wnioskiem występuje jej przedstawiciel ustawowy. Złożenie wniosku o przyznanie świadczenia kompensacyjnego będzie podlegać opłacie w wysokości 300 zł. Stosownie do ogólnych zasad postępowania administracyjnego, w przypadku niewątpliwej niemożności poniesienia przez stronę opłaty, organ może ją zwolnić w całości lub w części od jej ponos</w:t>
      </w:r>
      <w:r w:rsidR="00241436">
        <w:rPr>
          <w:rFonts w:ascii="Times New Roman" w:hAnsi="Times New Roman" w:cs="Times New Roman"/>
          <w:szCs w:val="24"/>
        </w:rPr>
        <w:t>zenia.</w:t>
      </w:r>
    </w:p>
    <w:p w14:paraId="3989F1AB" w14:textId="7209A7F0"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Wniosek o przyznanie świadczenia kompensacyjnego może być złożony w terminie roku od dnia, w którym wnioskodawca dowiedział się o uszkodzeniu ciała lub rozstroju zdrowia albo o śmierci uczestnika badania klinicznego, jednakże termin ten nie może być dłuższy niż 3 lata od dnia, w którym nastąpiło zdarzenie skutkujące uszkodzeniem ciała lub rozstrojem zdrowia albo śmiercią uczestnika badania klinicznego. Przyjęte terminy są analogiczne z</w:t>
      </w:r>
      <w:r w:rsidR="008D2C1A">
        <w:rPr>
          <w:rFonts w:ascii="Times New Roman" w:hAnsi="Times New Roman" w:cs="Times New Roman"/>
          <w:szCs w:val="24"/>
        </w:rPr>
        <w:t xml:space="preserve"> </w:t>
      </w:r>
      <w:r w:rsidRPr="0065234B">
        <w:rPr>
          <w:rFonts w:ascii="Times New Roman" w:hAnsi="Times New Roman" w:cs="Times New Roman"/>
          <w:szCs w:val="24"/>
        </w:rPr>
        <w:t>terminami przyjętymi w ustawie z dnia 6 listopada 2008 r. o prawach pacjenta i Rzeczniku Praw Pacjenta w odniesieniu do ustalania odszkodowania i zadośćuczynienia w przypadku zdarzeń medycznych.</w:t>
      </w:r>
    </w:p>
    <w:p w14:paraId="7C0909CE" w14:textId="77777777"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Rzecznik Praw Pacjenta udostępni na stronie internetowej urzędu obsługującego wzór wniosku o przyznanie świadczenia kompensacyjnego umożliwiający podanie wymaganych danych i informacji w postaci elektronicznej, a także umożliwi przesłanie wniosku o przyznanie świadczenia kompensacyjnego w postaci elektronicznej wraz z załącznikami z zapewnieniem bezpieczeństwa przekazywanych danych i informacji.</w:t>
      </w:r>
    </w:p>
    <w:p w14:paraId="01CA1821" w14:textId="43950C01"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Postępowania w sprawie świadczenia kompensacyjnego nie wszczyna się, a wszczęte umarza</w:t>
      </w:r>
      <w:r w:rsidR="008D2C1A">
        <w:rPr>
          <w:rFonts w:ascii="Times New Roman" w:hAnsi="Times New Roman" w:cs="Times New Roman"/>
          <w:szCs w:val="24"/>
        </w:rPr>
        <w:t>,</w:t>
      </w:r>
      <w:r w:rsidRPr="0065234B">
        <w:rPr>
          <w:rFonts w:ascii="Times New Roman" w:hAnsi="Times New Roman" w:cs="Times New Roman"/>
          <w:szCs w:val="24"/>
        </w:rPr>
        <w:t xml:space="preserve"> w przypadku gdy w związku z tym samym zdarzeniem prawomocnie osądzono sprawę o odszkodowanie lub zadośćuczynienie albo gdy toczy się postępowanie cywilne w sprawie o</w:t>
      </w:r>
      <w:r w:rsidR="00241436">
        <w:rPr>
          <w:rFonts w:ascii="Times New Roman" w:hAnsi="Times New Roman" w:cs="Times New Roman"/>
          <w:szCs w:val="24"/>
        </w:rPr>
        <w:t xml:space="preserve"> </w:t>
      </w:r>
      <w:r w:rsidRPr="0065234B">
        <w:rPr>
          <w:rFonts w:ascii="Times New Roman" w:hAnsi="Times New Roman" w:cs="Times New Roman"/>
          <w:szCs w:val="24"/>
        </w:rPr>
        <w:t>odszkodowanie lub zadośćuczynienie.</w:t>
      </w:r>
    </w:p>
    <w:p w14:paraId="410C59DE" w14:textId="4185D79D"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Przewiduje się powołanie przy Rzecznika Praw Pacj</w:t>
      </w:r>
      <w:r w:rsidR="00241436">
        <w:rPr>
          <w:rFonts w:ascii="Times New Roman" w:hAnsi="Times New Roman" w:cs="Times New Roman"/>
          <w:szCs w:val="24"/>
        </w:rPr>
        <w:t xml:space="preserve">enta Zespołu do spraw Świadczeń </w:t>
      </w:r>
      <w:r w:rsidRPr="0065234B">
        <w:rPr>
          <w:rFonts w:ascii="Times New Roman" w:hAnsi="Times New Roman" w:cs="Times New Roman"/>
          <w:szCs w:val="24"/>
        </w:rPr>
        <w:t xml:space="preserve">z Funduszu Kompensacyjnego Badań Klinicznych, do zadań którego należało będzie </w:t>
      </w:r>
      <w:r w:rsidRPr="0065234B">
        <w:rPr>
          <w:rFonts w:ascii="Times New Roman" w:hAnsi="Times New Roman" w:cs="Times New Roman"/>
          <w:szCs w:val="24"/>
        </w:rPr>
        <w:lastRenderedPageBreak/>
        <w:t>wydawanie w toku postępowania w sprawie świadczenia kompensacyjnego opinii w przedmiocie wystąpienia uszkodzenia ciała lub rozstroju zdrowia albo śmierci uczestnika badania klinicznego w wyniku udziału w badaniu klinicznym, a także charakteru następstw zdrowotnych oraz stopnia dolegliwości wynikających z uszkodzenia ciała lub rozstroju zdrowia, w tym w zakresie uciążliwości leczenia, uszczerbku na zdrowiu lub pogorszenia jakości życia. Członkowie Zespołu będą ekspertami (biegłymi), niezależnymi od sponsora i badacza badania oraz będą posiadać określo</w:t>
      </w:r>
      <w:r w:rsidR="00241436">
        <w:rPr>
          <w:rFonts w:ascii="Times New Roman" w:hAnsi="Times New Roman" w:cs="Times New Roman"/>
          <w:szCs w:val="24"/>
        </w:rPr>
        <w:t>ne doświadczenie i wiedzę.</w:t>
      </w:r>
    </w:p>
    <w:p w14:paraId="11E0761E" w14:textId="65577BB1"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Prowadząc postępowanie</w:t>
      </w:r>
      <w:r w:rsidR="003F45D6">
        <w:rPr>
          <w:rFonts w:ascii="Times New Roman" w:hAnsi="Times New Roman" w:cs="Times New Roman"/>
          <w:szCs w:val="24"/>
        </w:rPr>
        <w:t>,</w:t>
      </w:r>
      <w:r w:rsidRPr="0065234B">
        <w:rPr>
          <w:rFonts w:ascii="Times New Roman" w:hAnsi="Times New Roman" w:cs="Times New Roman"/>
          <w:szCs w:val="24"/>
        </w:rPr>
        <w:t xml:space="preserve"> Rzecznik Praw Pacjenta będzie miał prawo wezwać wnioskodawcę, sponsora i badacza oraz podmiot leczniczy udzielający świadczeń zdrowotnych uczestnikowi badań do udzielenia informacji, złożenia wyjaśnień oraz przedstawienia dokumentów niezbędnych do rozpatrzenia sprawy. W przypadku braku realizacji obowiązku udzielenia odpowiedzi przez sponsora lub badacza Rzecznik Praw Pacjenta będzie mógł nałożyć, w drodze decyzji, karę pieniężną do wysokości 50</w:t>
      </w:r>
      <w:r w:rsidR="00EF5200">
        <w:rPr>
          <w:rFonts w:ascii="Times New Roman" w:hAnsi="Times New Roman" w:cs="Times New Roman"/>
          <w:szCs w:val="24"/>
        </w:rPr>
        <w:t> </w:t>
      </w:r>
      <w:r w:rsidRPr="0065234B">
        <w:rPr>
          <w:rFonts w:ascii="Times New Roman" w:hAnsi="Times New Roman" w:cs="Times New Roman"/>
          <w:szCs w:val="24"/>
        </w:rPr>
        <w:t>000 złotych. Jest to rozwiązanie analogiczne do przyjętego w ustawie z dnia 6 listopada 2008 r. o prawach pacjenta i Rzeczniku Praw Pacjenta w odniesieniu do postępowania w sprawie stosowania praktyk naruszających zbiorowe prawa pacjentów.</w:t>
      </w:r>
    </w:p>
    <w:p w14:paraId="6B20068E" w14:textId="1043C5FC"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Decyzja administracyjna w sprawie przyznania świadczenia kompensacyjnego i ustalenia jego wysokości albo odmowy przyznania świadczenia kompensacyjnego będzie wydawana przez Rzecznika Praw Pacjenta po uzyskaniu opinii Zespołu, w terminie 3 miesięcy od dnia otrzymania kompletnego i prawidłowo opłaconego wniosku o przyznanie świadczenia. Świadczenie kompensacyjne będzie pomniejszane o kwotę odszkodowania i zadośćuczynienia uzyskaną od osoby odpowiedzialnej za szkodę, w tym z tytułu ubezpiecze</w:t>
      </w:r>
      <w:r w:rsidR="00241436">
        <w:rPr>
          <w:rFonts w:ascii="Times New Roman" w:hAnsi="Times New Roman" w:cs="Times New Roman"/>
          <w:szCs w:val="24"/>
        </w:rPr>
        <w:t>nia odpowiedzialności cywilnej.</w:t>
      </w:r>
    </w:p>
    <w:p w14:paraId="46A8757D" w14:textId="26EACF5D"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Wysokość świadczenia kompensacyjnego wyniesie od 2000 zł do 200</w:t>
      </w:r>
      <w:r w:rsidR="003336D0">
        <w:rPr>
          <w:rFonts w:ascii="Times New Roman" w:hAnsi="Times New Roman" w:cs="Times New Roman"/>
          <w:szCs w:val="24"/>
        </w:rPr>
        <w:t> 000 </w:t>
      </w:r>
      <w:r w:rsidRPr="0065234B">
        <w:rPr>
          <w:rFonts w:ascii="Times New Roman" w:hAnsi="Times New Roman" w:cs="Times New Roman"/>
          <w:szCs w:val="24"/>
        </w:rPr>
        <w:t>zł w przypadku uszkodzenia ciała lub rozstroju zdrowia uczestnika badania klinicznego, natomiast od 20 000 zł do 100</w:t>
      </w:r>
      <w:r w:rsidR="00EF5200">
        <w:rPr>
          <w:rFonts w:ascii="Times New Roman" w:hAnsi="Times New Roman" w:cs="Times New Roman"/>
          <w:szCs w:val="24"/>
        </w:rPr>
        <w:t> </w:t>
      </w:r>
      <w:r w:rsidRPr="0065234B">
        <w:rPr>
          <w:rFonts w:ascii="Times New Roman" w:hAnsi="Times New Roman" w:cs="Times New Roman"/>
          <w:szCs w:val="24"/>
        </w:rPr>
        <w:t>000 zł (w odniesieniu do jednego wnioskodawcy) w przypadku śmierci uczestnika badania klinicznego. Kwoty te będą podlegać co 5 lat waloryzacji w stopniu odpowiadającym wskaźnikowi cen towarów i usług konsumpcyjnych ogółem za okres 5 poprzednich lat. Szczegółowy zakres i warunki ustalania wysokości świadczenia kompensacyjnego z tytułu uszkodzenia ciała lub rozstroju zdrowia albo śmierci uczestnika badania klinicznego określi, w drodze rozporządzenia, minister właściwy do spraw zdrowia, po zasięgnięciu opinii Rzecznika Praw Pacjenta.</w:t>
      </w:r>
    </w:p>
    <w:p w14:paraId="47B018A6" w14:textId="7FB672DC"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lastRenderedPageBreak/>
        <w:t>Od decyzji wnioskodawcy służyć będzie odwołanie, od którego należało będzie wnieść opłatę w wysokości 200 zł. W przypadku uchylenia decyzji na skutek wniesionego odwołania opłata ta będzie zwracana. Właściwa do rozpatrzenia odwołania będzie specjalna Komisja Odwoławcza, działająca przy Rzeczniku Praw Pacjenta, lecz mająca zapewnioną autonomię działania. W skład Komisji wejdzie 9 członków posiadających wykształcenie prawnicze lub medyczne oraz wiedzę i doświadczenie dające rękojmię prawidłowego sprawowania tej funkcji. Członków Komisji powołuje i odwołuje minister właściwy do spraw zdrowia, przy czym po jednym członku wskażą Rzecznik Praw Pacjenta, Prezes Urzędu oraz Naczelna Rada Lekarska, natomiast po dwóch członków zostanie wskazanych przez ministra</w:t>
      </w:r>
      <w:r w:rsidR="00AB7D3F" w:rsidRPr="0065234B">
        <w:rPr>
          <w:rFonts w:ascii="Times New Roman" w:hAnsi="Times New Roman" w:cs="Times New Roman"/>
          <w:szCs w:val="24"/>
        </w:rPr>
        <w:t xml:space="preserve"> właściwego do spraw zdrowia</w:t>
      </w:r>
      <w:r w:rsidRPr="0065234B">
        <w:rPr>
          <w:rFonts w:ascii="Times New Roman" w:hAnsi="Times New Roman" w:cs="Times New Roman"/>
          <w:szCs w:val="24"/>
        </w:rPr>
        <w:t>, Prezesa Agencji oraz organizacje pacjentów. Ich kadencja będzie trwać 3 lata. Decyzję wydaną przez Komisję Odwoławczą strona będzie mogła zaska</w:t>
      </w:r>
      <w:r w:rsidR="00241436">
        <w:rPr>
          <w:rFonts w:ascii="Times New Roman" w:hAnsi="Times New Roman" w:cs="Times New Roman"/>
          <w:szCs w:val="24"/>
        </w:rPr>
        <w:t>rżyć do sądu administracyjnego.</w:t>
      </w:r>
    </w:p>
    <w:p w14:paraId="49AE62C8" w14:textId="6A2EAE61"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Art. 56 </w:t>
      </w:r>
      <w:r w:rsidR="0010099A" w:rsidRPr="0065234B">
        <w:rPr>
          <w:rFonts w:ascii="Times New Roman" w:hAnsi="Times New Roman" w:cs="Times New Roman"/>
          <w:szCs w:val="24"/>
        </w:rPr>
        <w:t xml:space="preserve">projektu </w:t>
      </w:r>
      <w:r w:rsidRPr="0065234B">
        <w:rPr>
          <w:rFonts w:ascii="Times New Roman" w:hAnsi="Times New Roman" w:cs="Times New Roman"/>
          <w:szCs w:val="24"/>
        </w:rPr>
        <w:t>ustawy określa zasady obowiązujące</w:t>
      </w:r>
      <w:r w:rsidR="00EF5200">
        <w:rPr>
          <w:rFonts w:ascii="Times New Roman" w:hAnsi="Times New Roman" w:cs="Times New Roman"/>
          <w:szCs w:val="24"/>
        </w:rPr>
        <w:t>,</w:t>
      </w:r>
      <w:r w:rsidRPr="0065234B">
        <w:rPr>
          <w:rFonts w:ascii="Times New Roman" w:hAnsi="Times New Roman" w:cs="Times New Roman"/>
          <w:szCs w:val="24"/>
        </w:rPr>
        <w:t xml:space="preserve"> w sytuacji gdy poszkodowany w związku udziałem w badaniu klinicznym otrzyma zarówno wypłatę z Funduszu Kompensacyjnego, jak również zadośćuczynienie lub odszkodowanie, w tym wypłatę odszkodowania z tytułu odpowiedzialności cywilnej. Przepisy przewidują w takiej sytuacji obowiązek zwrotu wypłaty otrzymanej z Funduszu, w wysokości</w:t>
      </w:r>
      <w:r w:rsidR="00EF5200">
        <w:rPr>
          <w:rFonts w:ascii="Times New Roman" w:hAnsi="Times New Roman" w:cs="Times New Roman"/>
          <w:szCs w:val="24"/>
        </w:rPr>
        <w:t>,</w:t>
      </w:r>
      <w:r w:rsidRPr="0065234B">
        <w:rPr>
          <w:rFonts w:ascii="Times New Roman" w:hAnsi="Times New Roman" w:cs="Times New Roman"/>
          <w:szCs w:val="24"/>
        </w:rPr>
        <w:t xml:space="preserve"> w jakiej pokrywa się z uzyskanym zadośćuczynieniem lub odszkodowaniem. Jednocześnie należy zwrócić uwagę, że w sytuacji gdy nastąpi wypłata z Funduszu Kompensacyjnego, Fundusz </w:t>
      </w:r>
      <w:r w:rsidR="00330D95" w:rsidRPr="0065234B">
        <w:rPr>
          <w:rFonts w:ascii="Times New Roman" w:hAnsi="Times New Roman" w:cs="Times New Roman"/>
          <w:szCs w:val="24"/>
        </w:rPr>
        <w:t>będzie realizował,</w:t>
      </w:r>
      <w:r w:rsidRPr="0065234B">
        <w:rPr>
          <w:rFonts w:ascii="Times New Roman" w:hAnsi="Times New Roman" w:cs="Times New Roman"/>
          <w:szCs w:val="24"/>
        </w:rPr>
        <w:t xml:space="preserve"> na zasadach ogólnych, roszczenie zwrotne w stosunku do podmiotu udzielającego ubezpieczenia badania klinicznego w którym uczestniczył pokrzywdzony, w sytuacji gdy zachodzą przesłanki do wypłaty takiego odszkodowania.</w:t>
      </w:r>
    </w:p>
    <w:p w14:paraId="421081A0" w14:textId="1BE4B8A0"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t xml:space="preserve">Świadczenie kompensacyjne będzie wypłacane w terminie 14 dni od dnia uprawomocnienia się decyzji. Dodatkowo Rzecznik Praw Pacjenta poinformuje sponsora i badacza, z którego działalnością wiąże się wniosek o przyznanie świadczenia kompensacyjnego, o wypłacie świadczenia kompensacyjnego. W przypadku uzyskania odszkodowania lub zadośćuczynienia od osoby odpowiedzialnej za szkodę, w tym z tytułu ubezpieczenia odpowiedzialności cywilnej przyznane w drodze decyzji świadczenie kompensacyjne, będzie zwracane do Funduszu, w terminie 14 dni od dnia uzyskania odszkodowania lub zadośćuczynienia, do wysokości uzyskanego odszkodowania i zadośćuczynienia. </w:t>
      </w:r>
      <w:r w:rsidR="00CE69CD" w:rsidRPr="0065234B">
        <w:rPr>
          <w:rFonts w:ascii="Times New Roman" w:hAnsi="Times New Roman" w:cs="Times New Roman"/>
          <w:szCs w:val="24"/>
        </w:rPr>
        <w:t xml:space="preserve">W przypadku niedokonania zwrotu jego wysokość określa Rzecznik Praw Pacjenta w drodze decyzji. </w:t>
      </w:r>
      <w:r w:rsidRPr="0065234B">
        <w:rPr>
          <w:rFonts w:ascii="Times New Roman" w:hAnsi="Times New Roman" w:cs="Times New Roman"/>
          <w:szCs w:val="24"/>
        </w:rPr>
        <w:t>Należności z tego tytułu podlegają ściągnięciu w trybie przepisów o postępowaniu egzekucyjnym w administracji.</w:t>
      </w:r>
    </w:p>
    <w:p w14:paraId="0E49B158" w14:textId="308B8F7E" w:rsidR="00F11197" w:rsidRPr="0065234B" w:rsidRDefault="00F11197" w:rsidP="00241436">
      <w:pPr>
        <w:pStyle w:val="NIEARTTEKSTtekstnieartykuowanynppodstprawnarozplubpreambua"/>
        <w:ind w:firstLine="567"/>
        <w:rPr>
          <w:rFonts w:ascii="Times New Roman" w:hAnsi="Times New Roman" w:cs="Times New Roman"/>
          <w:szCs w:val="24"/>
        </w:rPr>
      </w:pPr>
      <w:r w:rsidRPr="0065234B">
        <w:rPr>
          <w:rFonts w:ascii="Times New Roman" w:hAnsi="Times New Roman" w:cs="Times New Roman"/>
          <w:szCs w:val="24"/>
        </w:rPr>
        <w:lastRenderedPageBreak/>
        <w:t>W art. 57 projektu ustawy określono także obowiązki sprawozdawcze Rzecznika Praw Pacjenta. W terminie 2 miesięcy od dnia zakończenia każdego półrocza Rzecznik Praw Pacjenta będzie przekazywał ministrowi właściwemu do spraw zdrowia, Prezesowi Urzędu i Prezesowi Agencji informację o liczbie złożonych wniosków o przyznanie świadczenia kompensacyjnego, sposobie rozpatrzenia tych wniosków i wysokości przyznanych świadczeń kompensacyjnych w danym półroczu.</w:t>
      </w:r>
    </w:p>
    <w:p w14:paraId="3C2524C2" w14:textId="031DA020"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Rozporządzenie 536/2014 pozostaje bez uszczerbku dla możliwości nałożenia przez państwo członkowskie opłaty za prowadzenie działań w nim określonych. W związku z powyższym w projektowanym rozdziale 8 określono opłaty za złożenie wniosku o wydanie pozwolenia oraz za złożenie wniosku o wydanie pozwolen</w:t>
      </w:r>
      <w:r w:rsidR="00241436">
        <w:rPr>
          <w:rFonts w:ascii="Times New Roman" w:hAnsi="Times New Roman" w:cs="Times New Roman"/>
          <w:szCs w:val="24"/>
        </w:rPr>
        <w:t xml:space="preserve">ia na istotną zmianę w związku </w:t>
      </w:r>
      <w:r w:rsidRPr="0065234B">
        <w:rPr>
          <w:rFonts w:ascii="Times New Roman" w:hAnsi="Times New Roman" w:cs="Times New Roman"/>
          <w:szCs w:val="24"/>
        </w:rPr>
        <w:t>z oceną, o której mowa w rozdziałach II i III rozporządzenia 536/2014. W art. 58 ust. 1 projektu ustawy szczegółowo określono rodzaje wniosków, których złożenie podlega opłacie</w:t>
      </w:r>
      <w:r w:rsidR="00EF5200">
        <w:rPr>
          <w:rFonts w:ascii="Times New Roman" w:hAnsi="Times New Roman" w:cs="Times New Roman"/>
          <w:szCs w:val="24"/>
        </w:rPr>
        <w:t>,</w:t>
      </w:r>
      <w:r w:rsidRPr="0065234B">
        <w:rPr>
          <w:rFonts w:ascii="Times New Roman" w:hAnsi="Times New Roman" w:cs="Times New Roman"/>
          <w:szCs w:val="24"/>
        </w:rPr>
        <w:t xml:space="preserve"> biorąc pod uwagę fazę badania, rolę państwa członkowskiego w postępowaniu oraz status sponsora. Opłatom w zakresie dotyczącym wykonywania przepisów rozporządzenia 536/2014 podlegają:</w:t>
      </w:r>
    </w:p>
    <w:p w14:paraId="77FFEB42" w14:textId="0137BE5C"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złożenie wniosku o wydanie pozwolenia na komercyjne</w:t>
      </w:r>
      <w:r w:rsidR="00241436">
        <w:rPr>
          <w:rFonts w:ascii="Times New Roman" w:hAnsi="Times New Roman" w:cs="Times New Roman"/>
          <w:szCs w:val="24"/>
        </w:rPr>
        <w:t xml:space="preserve"> badanie kliniczne fazy I</w:t>
      </w:r>
      <w:r w:rsidR="00EF5200" w:rsidRPr="00B838EC">
        <w:t>–</w:t>
      </w:r>
      <w:r w:rsidR="00241436">
        <w:rPr>
          <w:rFonts w:ascii="Times New Roman" w:hAnsi="Times New Roman" w:cs="Times New Roman"/>
          <w:szCs w:val="24"/>
        </w:rPr>
        <w:t xml:space="preserve">III, </w:t>
      </w:r>
      <w:r w:rsidRPr="0065234B">
        <w:rPr>
          <w:rFonts w:ascii="Times New Roman" w:hAnsi="Times New Roman" w:cs="Times New Roman"/>
          <w:szCs w:val="24"/>
        </w:rPr>
        <w:t>w przypadku gdy Rzeczpospolita Polska pełni rolę państwa sprawozdawcy;</w:t>
      </w:r>
    </w:p>
    <w:p w14:paraId="2FF13971" w14:textId="402F4401"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złożenie wniosku o wydanie pozwolenia na komercyjne</w:t>
      </w:r>
      <w:r w:rsidR="00241436">
        <w:rPr>
          <w:rFonts w:ascii="Times New Roman" w:hAnsi="Times New Roman" w:cs="Times New Roman"/>
          <w:szCs w:val="24"/>
        </w:rPr>
        <w:t xml:space="preserve"> badanie kliniczne fazy I</w:t>
      </w:r>
      <w:r w:rsidR="00EF5200" w:rsidRPr="00B838EC">
        <w:t>–</w:t>
      </w:r>
      <w:r w:rsidR="00241436">
        <w:rPr>
          <w:rFonts w:ascii="Times New Roman" w:hAnsi="Times New Roman" w:cs="Times New Roman"/>
          <w:szCs w:val="24"/>
        </w:rPr>
        <w:t xml:space="preserve">III, </w:t>
      </w:r>
      <w:r w:rsidRPr="0065234B">
        <w:rPr>
          <w:rFonts w:ascii="Times New Roman" w:hAnsi="Times New Roman" w:cs="Times New Roman"/>
          <w:szCs w:val="24"/>
        </w:rPr>
        <w:t>w przypadku gdy Rzeczpospolita Polska nie pełni roli państwa sprawozdawcy;</w:t>
      </w:r>
    </w:p>
    <w:p w14:paraId="54355E45" w14:textId="7050B194"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złożenie wniosku o wydanie pozwolenia na komercyjne badanie kliniczne fazy I</w:t>
      </w:r>
      <w:r w:rsidR="00EF5200" w:rsidRPr="00B838EC">
        <w:t>–</w:t>
      </w:r>
      <w:r w:rsidRPr="0065234B">
        <w:rPr>
          <w:rFonts w:ascii="Times New Roman" w:hAnsi="Times New Roman" w:cs="Times New Roman"/>
          <w:szCs w:val="24"/>
        </w:rPr>
        <w:t>III na podstawie art. 14 rozporządzenia 536/2014;</w:t>
      </w:r>
    </w:p>
    <w:p w14:paraId="1E6E5C14"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złożenie wniosku o wydanie pozwolenia na badanie kliniczne fazy IV, w przypadku gdy Rzeczpospolita Polska pełni rolę państwa sprawozdawcy;</w:t>
      </w:r>
    </w:p>
    <w:p w14:paraId="0ACF2B08"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t>złożenie wniosku o wydanie pozwolenia na badanie kliniczne fazy IV, w przypadku gdy Rzeczpospolita Polska nie pełni roli państwa sprawozdawcy;</w:t>
      </w:r>
    </w:p>
    <w:p w14:paraId="48B29B7C"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6)</w:t>
      </w:r>
      <w:r w:rsidRPr="0065234B">
        <w:rPr>
          <w:rFonts w:ascii="Times New Roman" w:hAnsi="Times New Roman" w:cs="Times New Roman"/>
          <w:szCs w:val="24"/>
        </w:rPr>
        <w:tab/>
        <w:t>złożenie wniosku o wydanie pozwolenia na badanie kliniczne fazy IV na podstawie art. 14 rozporządzenia 536/2014;</w:t>
      </w:r>
    </w:p>
    <w:p w14:paraId="0703CC20"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7)</w:t>
      </w:r>
      <w:r w:rsidRPr="0065234B">
        <w:rPr>
          <w:rFonts w:ascii="Times New Roman" w:hAnsi="Times New Roman" w:cs="Times New Roman"/>
          <w:szCs w:val="24"/>
        </w:rPr>
        <w:tab/>
        <w:t>złożenie wniosku o wydanie pozwolenia na niekomercyjne badanie kliniczne, w przypadku gdy Rzeczpospolita Polska pełni rolę państwa sprawozdawcy;</w:t>
      </w:r>
    </w:p>
    <w:p w14:paraId="37BAA691"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8)</w:t>
      </w:r>
      <w:r w:rsidRPr="0065234B">
        <w:rPr>
          <w:rFonts w:ascii="Times New Roman" w:hAnsi="Times New Roman" w:cs="Times New Roman"/>
          <w:szCs w:val="24"/>
        </w:rPr>
        <w:tab/>
        <w:t>złożenie wniosku o wydanie pozwolenia na niekomercyjne badanie kliniczne, w przypadku gdy Rzeczpospolita Polska nie pełni roli państwa sprawozdawcy;</w:t>
      </w:r>
    </w:p>
    <w:p w14:paraId="0E94D255"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9)</w:t>
      </w:r>
      <w:r w:rsidRPr="0065234B">
        <w:rPr>
          <w:rFonts w:ascii="Times New Roman" w:hAnsi="Times New Roman" w:cs="Times New Roman"/>
          <w:szCs w:val="24"/>
        </w:rPr>
        <w:tab/>
        <w:t>złożenie wniosku o wydanie pozwolenia na niekomercyjne badanie kliniczne na podstawie art. 14 rozporządzenia 536/2014;</w:t>
      </w:r>
    </w:p>
    <w:p w14:paraId="7E55CF8E" w14:textId="6872ED46"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10)</w:t>
      </w:r>
      <w:r w:rsidRPr="0065234B">
        <w:rPr>
          <w:rFonts w:ascii="Times New Roman" w:hAnsi="Times New Roman" w:cs="Times New Roman"/>
          <w:szCs w:val="24"/>
        </w:rPr>
        <w:tab/>
        <w:t>złożenie wniosku o wydanie pozwolenia na istotną zmianę badania klinicznego w aspekcie objętym częścią I sprawozdania z oceny etycznej badania klinicznego, w przypadku gdy Rzeczpospolita Polska pełni rolę państwa sprawozdawcy;</w:t>
      </w:r>
    </w:p>
    <w:p w14:paraId="3D088222" w14:textId="1C0589F9"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11)</w:t>
      </w:r>
      <w:r w:rsidRPr="0065234B">
        <w:rPr>
          <w:rFonts w:ascii="Times New Roman" w:hAnsi="Times New Roman" w:cs="Times New Roman"/>
          <w:szCs w:val="24"/>
        </w:rPr>
        <w:tab/>
        <w:t>złożenie wniosku o wydanie pozwolenia na istotną zmianę badania klinicznego w aspekcie objętym częścią I sprawozdania z oceny etycznej badania klinicznego, w przypadku gdy Rzeczpospolita Polska nie pełni roli państwa sprawozdawcy;</w:t>
      </w:r>
    </w:p>
    <w:p w14:paraId="0A751C76"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12)</w:t>
      </w:r>
      <w:r w:rsidRPr="0065234B">
        <w:rPr>
          <w:rFonts w:ascii="Times New Roman" w:hAnsi="Times New Roman" w:cs="Times New Roman"/>
          <w:szCs w:val="24"/>
        </w:rPr>
        <w:tab/>
        <w:t>złożenie wniosku o wydanie pozwolenia na istotną zmianę badania klinicznego w aspekcie objętym częścią II sprawozdania z oceny etycznej badania klinicznego;</w:t>
      </w:r>
    </w:p>
    <w:p w14:paraId="49D180A1" w14:textId="521CCA7F"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13)</w:t>
      </w:r>
      <w:r w:rsidRPr="0065234B">
        <w:rPr>
          <w:rFonts w:ascii="Times New Roman" w:hAnsi="Times New Roman" w:cs="Times New Roman"/>
          <w:szCs w:val="24"/>
        </w:rPr>
        <w:tab/>
        <w:t>złożenie wniosku o wydanie pozwolenia na istotną zmianę badania klinicznego w aspekcie objętym częścią I sprawozdania z ocen etycznej badania klinicznego, w przypadku gdy Rzeczpospolita Polska pełni rolę sprawozdawcy</w:t>
      </w:r>
      <w:r w:rsidR="0010099A" w:rsidRPr="0065234B">
        <w:rPr>
          <w:rFonts w:ascii="Times New Roman" w:hAnsi="Times New Roman" w:cs="Times New Roman"/>
          <w:szCs w:val="24"/>
        </w:rPr>
        <w:t>,</w:t>
      </w:r>
      <w:r w:rsidRPr="0065234B">
        <w:rPr>
          <w:rFonts w:ascii="Times New Roman" w:hAnsi="Times New Roman" w:cs="Times New Roman"/>
          <w:szCs w:val="24"/>
        </w:rPr>
        <w:t xml:space="preserve"> oraz częścią II sprawozdania z oceny etycznej badania klinicznego;</w:t>
      </w:r>
    </w:p>
    <w:p w14:paraId="05408F50" w14:textId="67DD1A1D"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14)</w:t>
      </w:r>
      <w:r w:rsidRPr="0065234B">
        <w:rPr>
          <w:rFonts w:ascii="Times New Roman" w:hAnsi="Times New Roman" w:cs="Times New Roman"/>
          <w:szCs w:val="24"/>
        </w:rPr>
        <w:tab/>
        <w:t>złożenie wniosku o wydanie pozwolenia na istotną zmianę badania klinicznego w aspekcie objętym częścią I sprawozdania z oceny etycznej badania klinicznego, w przypadku gdy Rzeczpospolita Polska nie pełni roli sprawozdawcy</w:t>
      </w:r>
      <w:r w:rsidR="0010099A" w:rsidRPr="0065234B">
        <w:rPr>
          <w:rFonts w:ascii="Times New Roman" w:hAnsi="Times New Roman" w:cs="Times New Roman"/>
          <w:szCs w:val="24"/>
        </w:rPr>
        <w:t>,</w:t>
      </w:r>
      <w:r w:rsidRPr="0065234B">
        <w:rPr>
          <w:rFonts w:ascii="Times New Roman" w:hAnsi="Times New Roman" w:cs="Times New Roman"/>
          <w:szCs w:val="24"/>
        </w:rPr>
        <w:t xml:space="preserve"> oraz częścią II sprawozdania z oceny etycznej badania klinicznego.</w:t>
      </w:r>
    </w:p>
    <w:p w14:paraId="18C695FB" w14:textId="77777777"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Art. 87 rozporządzenia 536/2014 wprowadza wymóg jednej opłaty za działanie państwa członkowskiego. W związku z powyższym w art. 58 ust. 2 projektu ustawy określono wysokość opłat z tytułu złożenia wniosków określonych w ustępie 1 niniejszego artykułu. Opłata wynosi:</w:t>
      </w:r>
    </w:p>
    <w:p w14:paraId="15746E37" w14:textId="62B96516"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30</w:t>
      </w:r>
      <w:r w:rsidR="00EF5200">
        <w:t> </w:t>
      </w:r>
      <w:r w:rsidRPr="0065234B">
        <w:rPr>
          <w:rFonts w:ascii="Times New Roman" w:hAnsi="Times New Roman" w:cs="Times New Roman"/>
          <w:szCs w:val="24"/>
        </w:rPr>
        <w:t xml:space="preserve">000 zł za złożenie wniosku, o którym mowa w </w:t>
      </w:r>
      <w:bookmarkStart w:id="11" w:name="_Hlk70515273"/>
      <w:r w:rsidRPr="0065234B">
        <w:rPr>
          <w:rFonts w:ascii="Times New Roman" w:hAnsi="Times New Roman" w:cs="Times New Roman"/>
          <w:szCs w:val="24"/>
        </w:rPr>
        <w:t xml:space="preserve">art. </w:t>
      </w:r>
      <w:bookmarkEnd w:id="11"/>
      <w:r w:rsidRPr="0065234B">
        <w:rPr>
          <w:rFonts w:ascii="Times New Roman" w:hAnsi="Times New Roman" w:cs="Times New Roman"/>
          <w:szCs w:val="24"/>
        </w:rPr>
        <w:t>58 ust. 1 pkt 1 projektu ustawy, z której 15</w:t>
      </w:r>
      <w:r w:rsidR="00EF5200">
        <w:rPr>
          <w:rFonts w:ascii="Times New Roman" w:hAnsi="Times New Roman" w:cs="Times New Roman"/>
          <w:szCs w:val="24"/>
        </w:rPr>
        <w:t> </w:t>
      </w:r>
      <w:r w:rsidRPr="0065234B">
        <w:rPr>
          <w:rFonts w:ascii="Times New Roman" w:hAnsi="Times New Roman" w:cs="Times New Roman"/>
          <w:szCs w:val="24"/>
        </w:rPr>
        <w:t>000 zł wnosi się na rachunek bankowy Agencji Badań Medycznych oceniającej wniosek, a pozostałą kwotę na rachunek bankowy Urzędu;</w:t>
      </w:r>
    </w:p>
    <w:p w14:paraId="2EB4F804" w14:textId="7D67F39A"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25</w:t>
      </w:r>
      <w:r w:rsidR="000D023E">
        <w:rPr>
          <w:rFonts w:ascii="Times New Roman" w:hAnsi="Times New Roman" w:cs="Times New Roman"/>
          <w:szCs w:val="24"/>
        </w:rPr>
        <w:t> </w:t>
      </w:r>
      <w:r w:rsidRPr="0065234B">
        <w:rPr>
          <w:rFonts w:ascii="Times New Roman" w:hAnsi="Times New Roman" w:cs="Times New Roman"/>
          <w:szCs w:val="24"/>
        </w:rPr>
        <w:t>000 zł za złożenie wniosku, o którym mowa w art. 58 ust. 1 pkt 2, 3 i 4 projektu ustawy, z której 15</w:t>
      </w:r>
      <w:r w:rsidR="000D023E">
        <w:rPr>
          <w:rFonts w:ascii="Times New Roman" w:hAnsi="Times New Roman" w:cs="Times New Roman"/>
          <w:szCs w:val="24"/>
        </w:rPr>
        <w:t> </w:t>
      </w:r>
      <w:r w:rsidRPr="0065234B">
        <w:rPr>
          <w:rFonts w:ascii="Times New Roman" w:hAnsi="Times New Roman" w:cs="Times New Roman"/>
          <w:szCs w:val="24"/>
        </w:rPr>
        <w:t>000 zł wnosi się na rachunek bankowy Agencji Badań Medycznych oceniającej wniosek, a pozostałą kwotę na rachunek bankowy Urzędu</w:t>
      </w:r>
      <w:r w:rsidR="000D023E">
        <w:rPr>
          <w:rFonts w:ascii="Times New Roman" w:hAnsi="Times New Roman" w:cs="Times New Roman"/>
          <w:szCs w:val="24"/>
        </w:rPr>
        <w:t>;</w:t>
      </w:r>
    </w:p>
    <w:p w14:paraId="6F9B8898" w14:textId="17F94964"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21</w:t>
      </w:r>
      <w:r w:rsidR="000D023E">
        <w:rPr>
          <w:rFonts w:ascii="Times New Roman" w:hAnsi="Times New Roman" w:cs="Times New Roman"/>
          <w:szCs w:val="24"/>
        </w:rPr>
        <w:t> </w:t>
      </w:r>
      <w:r w:rsidRPr="0065234B">
        <w:rPr>
          <w:rFonts w:ascii="Times New Roman" w:hAnsi="Times New Roman" w:cs="Times New Roman"/>
          <w:szCs w:val="24"/>
        </w:rPr>
        <w:t>000 zł za złożenie wniosku, o którym mowa w art. 58 ust. 1 pkt 5 i 6 projektu ustawy, z której 15</w:t>
      </w:r>
      <w:r w:rsidR="000D023E">
        <w:rPr>
          <w:rFonts w:ascii="Times New Roman" w:hAnsi="Times New Roman" w:cs="Times New Roman"/>
          <w:szCs w:val="24"/>
        </w:rPr>
        <w:t> </w:t>
      </w:r>
      <w:r w:rsidRPr="0065234B">
        <w:rPr>
          <w:rFonts w:ascii="Times New Roman" w:hAnsi="Times New Roman" w:cs="Times New Roman"/>
          <w:szCs w:val="24"/>
        </w:rPr>
        <w:t>000 zł wnosi się na rachunek bankowy Agencji Badań Medycznych oceniającej wniosek, a pozostałą kwotę na rachunek bankowy Urzędu;</w:t>
      </w:r>
    </w:p>
    <w:p w14:paraId="3CD41293" w14:textId="68A54C72"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4)</w:t>
      </w:r>
      <w:r w:rsidRPr="0065234B">
        <w:rPr>
          <w:rFonts w:ascii="Times New Roman" w:hAnsi="Times New Roman" w:cs="Times New Roman"/>
          <w:szCs w:val="24"/>
        </w:rPr>
        <w:tab/>
        <w:t>8000 zł za złożenie wniosku, o którym mowa w art. 58 ust. 1 pkt 7 projektu ustawy, z której 4000 zł wnosi się na rachunek bankowy Agencji Badań Medycznych oceniającej wniosek, a pozostałą kwotę na rachunek bankowy Urzędu;</w:t>
      </w:r>
    </w:p>
    <w:p w14:paraId="2ED965D9"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t>6000 zł za złożenie wniosku, o którym mowa w art. 58 ust. 1 pkt 8 i 9 projektu ustawy, z której 4000 zł wnosi się na rachunek bankowy Agencji Badań Medycznych oceniającej wniosek, a pozostałą kwotę na rachunek bankowy Urzędu;</w:t>
      </w:r>
    </w:p>
    <w:p w14:paraId="65250481" w14:textId="5181514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6)</w:t>
      </w:r>
      <w:r w:rsidRPr="0065234B">
        <w:rPr>
          <w:rFonts w:ascii="Times New Roman" w:hAnsi="Times New Roman" w:cs="Times New Roman"/>
          <w:szCs w:val="24"/>
        </w:rPr>
        <w:tab/>
        <w:t>7000 zł za złożenie wniosku, o którym mowa w art. 58 ust. 1 pkt 10 projektu ustawy, z której 5000 zł wnosi się na rachunek bankowy Agencji Badań Medycznych oceniającej wniosek, a pozostałą kwotę na rachunek bankowy Urzędu;</w:t>
      </w:r>
    </w:p>
    <w:p w14:paraId="582ABE6D" w14:textId="6917E35D"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7)</w:t>
      </w:r>
      <w:r w:rsidRPr="0065234B">
        <w:rPr>
          <w:rFonts w:ascii="Times New Roman" w:hAnsi="Times New Roman" w:cs="Times New Roman"/>
          <w:szCs w:val="24"/>
        </w:rPr>
        <w:tab/>
        <w:t>6500 zł za złożenie wniosku, o którym mowa w art. 58 ust. 1 pkt 11 i 12 projektu ustawy, z której 5000 zł wnosi się na rachunek bankowy Agencji Badań Medycznych oceniającej wniosek, a pozostałą kwotę na rachunek bankowy Urzędu;</w:t>
      </w:r>
    </w:p>
    <w:p w14:paraId="7AD83535" w14:textId="547A4711"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8)</w:t>
      </w:r>
      <w:r w:rsidRPr="0065234B">
        <w:rPr>
          <w:rFonts w:ascii="Times New Roman" w:hAnsi="Times New Roman" w:cs="Times New Roman"/>
          <w:szCs w:val="24"/>
        </w:rPr>
        <w:tab/>
        <w:t>7500 zł za złożenie wniosku, o którym mowa w art. 58 ust. 1 pkt 13 projektu ustawy, z której 5000 zł wnosi się na rachunek bankowy Agencji Badań Medycznych oceniającej wniosek, a pozostałą kwotę na rachunek bankowy Urzędu;</w:t>
      </w:r>
    </w:p>
    <w:p w14:paraId="537E3BBF"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9)</w:t>
      </w:r>
      <w:r w:rsidRPr="0065234B">
        <w:rPr>
          <w:rFonts w:ascii="Times New Roman" w:hAnsi="Times New Roman" w:cs="Times New Roman"/>
          <w:szCs w:val="24"/>
        </w:rPr>
        <w:tab/>
        <w:t>6500 zł za złożenie wniosku, o którym mowa w art. 58 ust. 1 pkt 14 projektu ustawy, z której 5000 zł wnosi się na rachunek bankowy Agencji Badań Medycznych oceniającej wniosek, a pozostałą kwotę na rachunek bankowy Urzędu.</w:t>
      </w:r>
    </w:p>
    <w:p w14:paraId="2CC6F437" w14:textId="662EAAED"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Ustalając wysokość opłat z tytułu złożenia wniosku o wydanie pozwolenia na realizację badania klinicznego</w:t>
      </w:r>
      <w:r w:rsidR="00C91BE9">
        <w:rPr>
          <w:rFonts w:ascii="Times New Roman" w:hAnsi="Times New Roman" w:cs="Times New Roman"/>
          <w:szCs w:val="24"/>
        </w:rPr>
        <w:t>,</w:t>
      </w:r>
      <w:r w:rsidRPr="0065234B">
        <w:rPr>
          <w:rFonts w:ascii="Times New Roman" w:hAnsi="Times New Roman" w:cs="Times New Roman"/>
          <w:szCs w:val="24"/>
        </w:rPr>
        <w:t xml:space="preserve"> wzięto pod uwagę nakład pracy związanej z wykonywaniem danej czynności, poziom kosztów ponoszonych przez Urząd oraz wysokość opłaty w państwach członkowskich Unii Europejskiej o zbliżonym produkcie krajowym brutto na jednego mieszkańca, a także</w:t>
      </w:r>
      <w:r w:rsidR="00C91BE9">
        <w:rPr>
          <w:rFonts w:ascii="Times New Roman" w:hAnsi="Times New Roman" w:cs="Times New Roman"/>
          <w:szCs w:val="24"/>
        </w:rPr>
        <w:t>,</w:t>
      </w:r>
      <w:r w:rsidRPr="0065234B">
        <w:rPr>
          <w:rFonts w:ascii="Times New Roman" w:hAnsi="Times New Roman" w:cs="Times New Roman"/>
          <w:szCs w:val="24"/>
        </w:rPr>
        <w:t xml:space="preserve"> czy badanie kliniczne jest badaniem klinicznym niekomercyjnym. Szacowany nakład pracy </w:t>
      </w:r>
      <w:r w:rsidR="00BC1566" w:rsidRPr="0065234B">
        <w:rPr>
          <w:rFonts w:ascii="Times New Roman" w:hAnsi="Times New Roman" w:cs="Times New Roman"/>
          <w:szCs w:val="24"/>
        </w:rPr>
        <w:t xml:space="preserve">i </w:t>
      </w:r>
      <w:r w:rsidRPr="0065234B">
        <w:rPr>
          <w:rFonts w:ascii="Times New Roman" w:hAnsi="Times New Roman" w:cs="Times New Roman"/>
          <w:szCs w:val="24"/>
        </w:rPr>
        <w:t>wysokość opłat zależy od fazy badania klinicznego – badania kliniczne dotyczące produktów leczniczych nieposiadającyc</w:t>
      </w:r>
      <w:r w:rsidR="00241436">
        <w:rPr>
          <w:rFonts w:ascii="Times New Roman" w:hAnsi="Times New Roman" w:cs="Times New Roman"/>
          <w:szCs w:val="24"/>
        </w:rPr>
        <w:t xml:space="preserve">h dopuszczenia do obrotu (faza </w:t>
      </w:r>
      <w:r w:rsidRPr="0065234B">
        <w:rPr>
          <w:rFonts w:ascii="Times New Roman" w:hAnsi="Times New Roman" w:cs="Times New Roman"/>
          <w:szCs w:val="24"/>
        </w:rPr>
        <w:t>I</w:t>
      </w:r>
      <w:r w:rsidR="00C91BE9" w:rsidRPr="00B838EC">
        <w:t>–</w:t>
      </w:r>
      <w:r w:rsidRPr="0065234B">
        <w:rPr>
          <w:rFonts w:ascii="Times New Roman" w:hAnsi="Times New Roman" w:cs="Times New Roman"/>
          <w:szCs w:val="24"/>
        </w:rPr>
        <w:t>III) wymagają, oprócz oceny protokołu badania oraz danych klinicznych</w:t>
      </w:r>
      <w:r w:rsidR="00C91BE9">
        <w:rPr>
          <w:rFonts w:ascii="Times New Roman" w:hAnsi="Times New Roman" w:cs="Times New Roman"/>
          <w:szCs w:val="24"/>
        </w:rPr>
        <w:t>,</w:t>
      </w:r>
      <w:r w:rsidRPr="0065234B">
        <w:rPr>
          <w:rFonts w:ascii="Times New Roman" w:hAnsi="Times New Roman" w:cs="Times New Roman"/>
          <w:szCs w:val="24"/>
        </w:rPr>
        <w:t xml:space="preserve"> również oceny badań przedklinicznych oraz jakości badanego produktu leczniczego. Zaproponowano również wyższe opłaty za procedury, w których Rzeczpospolita Polska miałaby występować jako państwo referencyjne (sprawozdawca) ze względu n</w:t>
      </w:r>
      <w:r w:rsidR="00241436">
        <w:rPr>
          <w:rFonts w:ascii="Times New Roman" w:hAnsi="Times New Roman" w:cs="Times New Roman"/>
          <w:szCs w:val="24"/>
        </w:rPr>
        <w:t xml:space="preserve">a dodatkowe obowiązki związane </w:t>
      </w:r>
      <w:r w:rsidRPr="0065234B">
        <w:rPr>
          <w:rFonts w:ascii="Times New Roman" w:hAnsi="Times New Roman" w:cs="Times New Roman"/>
          <w:szCs w:val="24"/>
        </w:rPr>
        <w:t xml:space="preserve">z prowadzeniem procedur, opisane w rozporządzeniu 536/2014. Zdecydowano się również dostosować system opłat do powszechnie obowiązujących w Unii Europejskiej przez wprowadzenie opłaty za złożenie wniosku o istotną zmianę badania klinicznego. </w:t>
      </w:r>
      <w:r w:rsidR="00727C59" w:rsidRPr="0065234B">
        <w:rPr>
          <w:rFonts w:ascii="Times New Roman" w:hAnsi="Times New Roman" w:cs="Times New Roman"/>
          <w:szCs w:val="24"/>
        </w:rPr>
        <w:t>A</w:t>
      </w:r>
      <w:r w:rsidRPr="0065234B">
        <w:rPr>
          <w:rFonts w:ascii="Times New Roman" w:hAnsi="Times New Roman" w:cs="Times New Roman"/>
          <w:szCs w:val="24"/>
        </w:rPr>
        <w:t>ktualn</w:t>
      </w:r>
      <w:r w:rsidR="00727C59" w:rsidRPr="0065234B">
        <w:rPr>
          <w:rFonts w:ascii="Times New Roman" w:hAnsi="Times New Roman" w:cs="Times New Roman"/>
          <w:szCs w:val="24"/>
        </w:rPr>
        <w:t>a</w:t>
      </w:r>
      <w:r w:rsidRPr="0065234B">
        <w:rPr>
          <w:rFonts w:ascii="Times New Roman" w:hAnsi="Times New Roman" w:cs="Times New Roman"/>
          <w:szCs w:val="24"/>
        </w:rPr>
        <w:t xml:space="preserve"> </w:t>
      </w:r>
      <w:r w:rsidR="00727C59" w:rsidRPr="0065234B">
        <w:rPr>
          <w:rFonts w:ascii="Times New Roman" w:hAnsi="Times New Roman" w:cs="Times New Roman"/>
          <w:szCs w:val="24"/>
        </w:rPr>
        <w:lastRenderedPageBreak/>
        <w:t>wysokość opłat</w:t>
      </w:r>
      <w:r w:rsidRPr="0065234B">
        <w:rPr>
          <w:rFonts w:ascii="Times New Roman" w:hAnsi="Times New Roman" w:cs="Times New Roman"/>
          <w:szCs w:val="24"/>
        </w:rPr>
        <w:t xml:space="preserve"> </w:t>
      </w:r>
      <w:r w:rsidR="00727C59" w:rsidRPr="0065234B">
        <w:rPr>
          <w:rFonts w:ascii="Times New Roman" w:hAnsi="Times New Roman" w:cs="Times New Roman"/>
          <w:szCs w:val="24"/>
        </w:rPr>
        <w:t xml:space="preserve">jest </w:t>
      </w:r>
      <w:r w:rsidRPr="0065234B">
        <w:rPr>
          <w:rFonts w:ascii="Times New Roman" w:hAnsi="Times New Roman" w:cs="Times New Roman"/>
          <w:szCs w:val="24"/>
        </w:rPr>
        <w:t>określon</w:t>
      </w:r>
      <w:r w:rsidR="00727C59" w:rsidRPr="0065234B">
        <w:rPr>
          <w:rFonts w:ascii="Times New Roman" w:hAnsi="Times New Roman" w:cs="Times New Roman"/>
          <w:szCs w:val="24"/>
        </w:rPr>
        <w:t>a</w:t>
      </w:r>
      <w:r w:rsidRPr="0065234B">
        <w:rPr>
          <w:rFonts w:ascii="Times New Roman" w:hAnsi="Times New Roman" w:cs="Times New Roman"/>
          <w:szCs w:val="24"/>
        </w:rPr>
        <w:t xml:space="preserve"> w </w:t>
      </w:r>
      <w:r w:rsidR="00BC1566" w:rsidRPr="0065234B">
        <w:rPr>
          <w:rFonts w:ascii="Times New Roman" w:hAnsi="Times New Roman" w:cs="Times New Roman"/>
          <w:szCs w:val="24"/>
        </w:rPr>
        <w:t>r</w:t>
      </w:r>
      <w:r w:rsidRPr="0065234B">
        <w:rPr>
          <w:rFonts w:ascii="Times New Roman" w:hAnsi="Times New Roman" w:cs="Times New Roman"/>
          <w:szCs w:val="24"/>
        </w:rPr>
        <w:t>ozporządzeniu Ministra Zdrowia z dnia 12 października 2018 r. w sprawie wzorów dokumentów przedkładanych w związku z badaniem klinicznym produktu leczniczego oraz opłat za złożenie wniosku o rozpoczęcie badania klinicznego. Należy podkreślić, że aktualne opłaty w Rzeczypospolitej Polskiej za złożenie wniosku o rozpoczęcie badania klinicznego są na podobnym poziomie lub niższe w porównaniu do opłat wymaganych w innych krajach (Polska 8000 PLN, Węgry 580</w:t>
      </w:r>
      <w:r w:rsidR="00C91BE9">
        <w:rPr>
          <w:rFonts w:ascii="Times New Roman" w:hAnsi="Times New Roman" w:cs="Times New Roman"/>
          <w:szCs w:val="24"/>
        </w:rPr>
        <w:t> </w:t>
      </w:r>
      <w:r w:rsidRPr="0065234B">
        <w:rPr>
          <w:rFonts w:ascii="Times New Roman" w:hAnsi="Times New Roman" w:cs="Times New Roman"/>
          <w:szCs w:val="24"/>
        </w:rPr>
        <w:t>000 HUF (ok. 7200 PLN), Czechy 98</w:t>
      </w:r>
      <w:r w:rsidR="00C91BE9">
        <w:rPr>
          <w:rFonts w:ascii="Times New Roman" w:hAnsi="Times New Roman" w:cs="Times New Roman"/>
          <w:szCs w:val="24"/>
        </w:rPr>
        <w:t> </w:t>
      </w:r>
      <w:r w:rsidRPr="0065234B">
        <w:rPr>
          <w:rFonts w:ascii="Times New Roman" w:hAnsi="Times New Roman" w:cs="Times New Roman"/>
          <w:szCs w:val="24"/>
        </w:rPr>
        <w:t>100 CZK (ok 16 000 PLN), Hiszpania 4300 euro (ok. 19 000 PLN)). Projektowana wysokość opłat, które w wielu przypadkach są niższe niż w innych krajach</w:t>
      </w:r>
      <w:r w:rsidR="00C91BE9">
        <w:rPr>
          <w:rFonts w:ascii="Times New Roman" w:hAnsi="Times New Roman" w:cs="Times New Roman"/>
          <w:szCs w:val="24"/>
        </w:rPr>
        <w:t>,</w:t>
      </w:r>
      <w:r w:rsidRPr="0065234B">
        <w:rPr>
          <w:rFonts w:ascii="Times New Roman" w:hAnsi="Times New Roman" w:cs="Times New Roman"/>
          <w:szCs w:val="24"/>
        </w:rPr>
        <w:t xml:space="preserve"> będzie stanowiła dodatkową zachętę do prowadzenia badań klinicznych właśnie w Rzeczypospolitej Polskiej.</w:t>
      </w:r>
    </w:p>
    <w:p w14:paraId="6793B60C" w14:textId="44A62CFF" w:rsidR="00F11197" w:rsidRPr="009074DA" w:rsidRDefault="00F11197" w:rsidP="00241436">
      <w:pPr>
        <w:pStyle w:val="ARTartustawynprozporzdzenia"/>
        <w:ind w:firstLine="567"/>
        <w:rPr>
          <w:rFonts w:ascii="Times New Roman" w:hAnsi="Times New Roman" w:cs="Times New Roman"/>
          <w:szCs w:val="24"/>
        </w:rPr>
      </w:pPr>
      <w:r w:rsidRPr="009074DA">
        <w:rPr>
          <w:rFonts w:ascii="Times New Roman" w:hAnsi="Times New Roman" w:cs="Times New Roman"/>
          <w:szCs w:val="24"/>
        </w:rPr>
        <w:t>Organ kompetentny – Prezes Urzędu jest obowiąza</w:t>
      </w:r>
      <w:r w:rsidR="00241436" w:rsidRPr="009074DA">
        <w:rPr>
          <w:rFonts w:ascii="Times New Roman" w:hAnsi="Times New Roman" w:cs="Times New Roman"/>
          <w:szCs w:val="24"/>
        </w:rPr>
        <w:t xml:space="preserve">ny do odprowadzania przychodów </w:t>
      </w:r>
      <w:r w:rsidRPr="009074DA">
        <w:rPr>
          <w:rFonts w:ascii="Times New Roman" w:hAnsi="Times New Roman" w:cs="Times New Roman"/>
          <w:szCs w:val="24"/>
        </w:rPr>
        <w:t>z tytułu opłat za realizację czynności statutowych do budżetu państwa. Konieczne jest wykorzystanie części opłaty na poczet oceny etycznej badania klinicznego. W związku z tym wprowadzono jedną opłatę wpłacaną w części określonej w niniejszej ustawie na konto organu kompetentnego oraz Agencji – art. 58 ust. 3 projektu ustawy</w:t>
      </w:r>
      <w:r w:rsidR="00241436" w:rsidRPr="009074DA">
        <w:rPr>
          <w:rFonts w:ascii="Times New Roman" w:hAnsi="Times New Roman" w:cs="Times New Roman"/>
          <w:szCs w:val="24"/>
        </w:rPr>
        <w:t>.</w:t>
      </w:r>
    </w:p>
    <w:p w14:paraId="28BBE2EC" w14:textId="27602CFA"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Art. 58 ust. 4 projektu ustawy stanowi, że opłaty należne z tytułu złożenia różnych wniosków uiszcza się oddzielnie. Natomiast ust</w:t>
      </w:r>
      <w:r w:rsidR="009074DA">
        <w:rPr>
          <w:rFonts w:ascii="Times New Roman" w:hAnsi="Times New Roman" w:cs="Times New Roman"/>
          <w:szCs w:val="24"/>
        </w:rPr>
        <w:t>.</w:t>
      </w:r>
      <w:r w:rsidRPr="0065234B">
        <w:rPr>
          <w:rFonts w:ascii="Times New Roman" w:hAnsi="Times New Roman" w:cs="Times New Roman"/>
          <w:szCs w:val="24"/>
        </w:rPr>
        <w:t xml:space="preserve"> 5 tego przepisu określa zasady wnoszenia opłat, w przypadku gdy sponsor składa wniosek, o którym mowa w art. 16 rozporządzenia 536/2014</w:t>
      </w:r>
      <w:r w:rsidR="009074DA">
        <w:rPr>
          <w:rFonts w:ascii="Times New Roman" w:hAnsi="Times New Roman" w:cs="Times New Roman"/>
          <w:szCs w:val="24"/>
        </w:rPr>
        <w:t>,</w:t>
      </w:r>
      <w:r w:rsidRPr="0065234B">
        <w:rPr>
          <w:rFonts w:ascii="Times New Roman" w:hAnsi="Times New Roman" w:cs="Times New Roman"/>
          <w:szCs w:val="24"/>
        </w:rPr>
        <w:t xml:space="preserve"> o dokonanie takiej samej zmiany w aspekcie objętym częścią I sprawozdania z oceny badania klinicznego do więcej niż jednego protokołu badania klinicznego. W takim przypadku opłatę za zmianę w pierwszym badaniu klinicznym wnosi się w wysokości 100% opłaty za zmianę. Opłata za zmianę w każdym kolejnym badaniu klinicznym wynosi 50% wysokości opłaty za zmianę w pierwszym badaniu.</w:t>
      </w:r>
    </w:p>
    <w:p w14:paraId="4AFD352D" w14:textId="77777777" w:rsidR="00F11197" w:rsidRPr="0065234B" w:rsidRDefault="00F11197" w:rsidP="00241436">
      <w:pPr>
        <w:pStyle w:val="ARTartustawynprozporzdzenia"/>
        <w:ind w:firstLine="567"/>
        <w:rPr>
          <w:rFonts w:ascii="Times New Roman" w:hAnsi="Times New Roman" w:cs="Times New Roman"/>
          <w:szCs w:val="24"/>
        </w:rPr>
      </w:pPr>
      <w:bookmarkStart w:id="12" w:name="_Hlk89790459"/>
      <w:r w:rsidRPr="0065234B">
        <w:rPr>
          <w:rFonts w:ascii="Times New Roman" w:hAnsi="Times New Roman" w:cs="Times New Roman"/>
          <w:szCs w:val="24"/>
        </w:rPr>
        <w:t>Wysokość ww. opłat będzie podlegała co 5 lat waloryzacji w stopniu odpowiadającym wskaźnikowi cen towarów i usług konsumpcyjnych ogółem za okres 5 poprzednich lat obliczonemu na podstawie średniorocznych wskaźników cen towarów i usług konsumpcyjnych, ogłaszanych przez Prezesa Głównego Urzędu Statystycznego na podstawie przepisów o emeryturach i rentach z Funduszu Ubezpieczeń Społecznych, z zaokrągleniem do pełnych złotych w górę – art. 58 ust. 6 projektu ustawy.</w:t>
      </w:r>
    </w:p>
    <w:bookmarkEnd w:id="12"/>
    <w:p w14:paraId="6EEDD716" w14:textId="15885EB1"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rozdziale 9 projektu ustawy uregulowano kwestię finansowania świadczeń opieki zdrowotnej związanych z badaniem klinicznym. Kwestia ta została pozostawiona do uregulowania na poziomie przepisów krajów członkowskich.</w:t>
      </w:r>
    </w:p>
    <w:p w14:paraId="35615BBB" w14:textId="217AD5BC"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lastRenderedPageBreak/>
        <w:t>Na gruncie obecnie obowiązujących regulacji szereg wątpliwości interpretacyjnych budzą zasady finansowania przez Narodowy Fundusz Zdrowia, świadczeń opieki zdrowotnej w badaniach klinicznych. W związku z powyższym jest konieczne zwiększenie przejrzystości zasad podziału obowiązków sponsora i płatnika publicznego w zakresie finansowania świadczeń opieki zdrowotnej udzielanych w związku z p</w:t>
      </w:r>
      <w:r w:rsidR="00241436">
        <w:rPr>
          <w:rFonts w:ascii="Times New Roman" w:hAnsi="Times New Roman" w:cs="Times New Roman"/>
          <w:szCs w:val="24"/>
        </w:rPr>
        <w:t>rowadzonym badaniem klinicznym.</w:t>
      </w:r>
    </w:p>
    <w:p w14:paraId="7308EEC5" w14:textId="6A535012"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projekcie ustawy jest konieczne określenie klarownego podziału odpowiedzialności płatnika publicznego i sponsora w zakresie finansowan</w:t>
      </w:r>
      <w:r w:rsidR="00241436">
        <w:rPr>
          <w:rFonts w:ascii="Times New Roman" w:hAnsi="Times New Roman" w:cs="Times New Roman"/>
          <w:szCs w:val="24"/>
        </w:rPr>
        <w:t xml:space="preserve">ia świadczeń opieki zdrowotnej </w:t>
      </w:r>
      <w:r w:rsidRPr="0065234B">
        <w:rPr>
          <w:rFonts w:ascii="Times New Roman" w:hAnsi="Times New Roman" w:cs="Times New Roman"/>
          <w:szCs w:val="24"/>
        </w:rPr>
        <w:t>w ramach badania klinicznego, jako że w większości przypadków uczestnik badania klinicznego jest uprawniony do korzystania z zakresu świadczeń gwarantowanych, o których mowa w przepisach wydanych na postawie art. 31d ust</w:t>
      </w:r>
      <w:r w:rsidR="00241436">
        <w:rPr>
          <w:rFonts w:ascii="Times New Roman" w:hAnsi="Times New Roman" w:cs="Times New Roman"/>
          <w:szCs w:val="24"/>
        </w:rPr>
        <w:t xml:space="preserve">awy z dnia 27 sierpnia 2004 r. </w:t>
      </w:r>
      <w:r w:rsidRPr="0065234B">
        <w:rPr>
          <w:rFonts w:ascii="Times New Roman" w:hAnsi="Times New Roman" w:cs="Times New Roman"/>
          <w:szCs w:val="24"/>
        </w:rPr>
        <w:t xml:space="preserve">o świadczeniach opieki zdrowotnej </w:t>
      </w:r>
      <w:r w:rsidRPr="009B0AC7">
        <w:rPr>
          <w:rFonts w:ascii="Times New Roman" w:hAnsi="Times New Roman" w:cs="Times New Roman"/>
          <w:szCs w:val="24"/>
        </w:rPr>
        <w:t xml:space="preserve">finansowanych ze środków publicznych </w:t>
      </w:r>
      <w:r w:rsidR="003336D0">
        <w:rPr>
          <w:rFonts w:ascii="Times New Roman" w:hAnsi="Times New Roman" w:cs="Times New Roman"/>
          <w:szCs w:val="24"/>
        </w:rPr>
        <w:t>(Dz. U. z 2021 r. poz. </w:t>
      </w:r>
      <w:r w:rsidRPr="0065234B">
        <w:rPr>
          <w:rFonts w:ascii="Times New Roman" w:hAnsi="Times New Roman" w:cs="Times New Roman"/>
          <w:szCs w:val="24"/>
        </w:rPr>
        <w:t>1285, z późn. zm.), a jednocześnie są wykonywane u niego procedury opisane w protokole badania klinicznego, które nie mieszczą się w zakresie świadczeń gwarantowanych. Niedozwolona i niezgodna z Konstytucją Rzeczypospolitej Polskiej jest dyskryminacja pacjentów biorących udział w badaniu klinicznym w dostępie do świadczeń gwarantowanych (różnicowanie ich uprawnień w zależności od tego, czy uczestniczą w badaniu klinicznym czy nie). Zjawiskami niepożądanymi, których ryzyko występowania należy ograniczyć, są również: podwójne finansowanie świadczeń opieki zdrowotnej zarówno przez płatnika publicznego, jak i sponsora, obciążanie budżetu państwa finansowaniem świadczeniami opieki zdrowotnej, które powinien finansować sponsor</w:t>
      </w:r>
      <w:r w:rsidR="00503CCE">
        <w:rPr>
          <w:rFonts w:ascii="Times New Roman" w:hAnsi="Times New Roman" w:cs="Times New Roman"/>
          <w:szCs w:val="24"/>
        </w:rPr>
        <w:t>,</w:t>
      </w:r>
      <w:r w:rsidRPr="0065234B">
        <w:rPr>
          <w:rFonts w:ascii="Times New Roman" w:hAnsi="Times New Roman" w:cs="Times New Roman"/>
          <w:szCs w:val="24"/>
        </w:rPr>
        <w:t xml:space="preserve"> oraz obciążanie sponsorów badań klinicznych finansowaniem świadczeń gwarantowanych, które powinien finansować płatnik publiczny. Dlatego tak ważne jest jednoznaczne określenie odpowiedzialności płatnika publicznego i sponsora w tym obszarze, czego nie zapewniają obe</w:t>
      </w:r>
      <w:r w:rsidR="003336D0">
        <w:rPr>
          <w:rFonts w:ascii="Times New Roman" w:hAnsi="Times New Roman" w:cs="Times New Roman"/>
          <w:szCs w:val="24"/>
        </w:rPr>
        <w:t>cnie obowiązujące przepisy art. </w:t>
      </w:r>
      <w:r w:rsidRPr="0065234B">
        <w:rPr>
          <w:rFonts w:ascii="Times New Roman" w:hAnsi="Times New Roman" w:cs="Times New Roman"/>
          <w:szCs w:val="24"/>
        </w:rPr>
        <w:t>37k ustawy obowiązującej. W toku prac nad projektem ustawy o badaniach klinicznych produktów leczniczych stosowanych u ludzi, interesariusze tego rynku wskazywali na liczne trudności interpretacyjne dotyczące obecnych przepisów prawnych, uniemożliwiające rozpoczęcie wielu badań klinicznych lub powodujące znaczące ich opóźnienie. Niejednokrotnie spory interpretacyjne dotyczące obecnego brzmienia ustawy w tym zakresie pojawiały się również w trakcie prowadzonych badań klinicznych, powodując wstrzymanie leczenia pacjentów do czasu wyjaśnienia, w czyjej gestii leży finansowanie danego świadczenia zdrowotnego.</w:t>
      </w:r>
    </w:p>
    <w:p w14:paraId="38BCF39A" w14:textId="2FCDC94A"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Art. 59 ust. 1 projektu ustawy określa ogólne warunki podziału odpowiedzialności między płatnika publicznego a sponsora w zakresie finansowania świadczeń opieki </w:t>
      </w:r>
      <w:r w:rsidRPr="0065234B">
        <w:rPr>
          <w:rFonts w:ascii="Times New Roman" w:hAnsi="Times New Roman" w:cs="Times New Roman"/>
          <w:szCs w:val="24"/>
        </w:rPr>
        <w:lastRenderedPageBreak/>
        <w:t>zdrowotnej w przebiegu badania klinicznego: sponsor finansuje świadczenia opieki zdrowotnej związane z badaniem klinicznym i objęte protokołem badania klinicznego, które nie mieszczą się w zakresie świadczeń gwarantowanych, o których mowa w przepisach wydanych na postawie art. 31d ustawy z dnia 27 sierpnia 2004 r. o świadczeniach opieki zdrowotnej finansowanych ze środków publicznych, w szczególności dostarcza bezpłatnie uczestnikom badania klinicznego badane produkty lecznicze oraz urządzenia stosowane do ich podawania. W porównaniu z art. 37k ust. 1 ustawy obowiązującej wprowadzono jedną zmianę – usunięto zapis, że sponsor dostarcza bezpłatnie uczestnikom badania klinicznego „komparatory”, jako że w art. 2 ust. 2 pkt 5 rozporządzenia 536/2014 wskazano, ż</w:t>
      </w:r>
      <w:r w:rsidR="00503CCE">
        <w:rPr>
          <w:rFonts w:ascii="Times New Roman" w:hAnsi="Times New Roman" w:cs="Times New Roman"/>
          <w:szCs w:val="24"/>
        </w:rPr>
        <w:t>e</w:t>
      </w:r>
      <w:r w:rsidRPr="0065234B">
        <w:rPr>
          <w:rFonts w:ascii="Times New Roman" w:hAnsi="Times New Roman" w:cs="Times New Roman"/>
          <w:szCs w:val="24"/>
        </w:rPr>
        <w:t xml:space="preserve"> „badany produkt leczniczy” oznacza produkt leczniczy, który jest badany lub stosowany w badaniu klinicznym jako produkt referencyjny, w tym jako placebo; definicja ta obejmuje zatem również „komparatory”. Podkreślenia również wymaga fakt, że również obowiązkowi finansowania przez płatnika publicznego będzie podlegał produkt referencyjny, który mieści się w katalogu świadczeń gwarantowanych i będzie stosowany u pacjenta bez względu na uczestnictwo w badaniu klinicznych.</w:t>
      </w:r>
    </w:p>
    <w:p w14:paraId="43DA347C" w14:textId="04AFDE93" w:rsidR="00F11197" w:rsidRPr="0065234B" w:rsidRDefault="00F11197" w:rsidP="0024143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Obecnie </w:t>
      </w:r>
      <w:r w:rsidR="00702296" w:rsidRPr="0065234B">
        <w:rPr>
          <w:rFonts w:ascii="Times New Roman" w:hAnsi="Times New Roman" w:cs="Times New Roman"/>
          <w:szCs w:val="24"/>
        </w:rPr>
        <w:t xml:space="preserve">obowiązująca </w:t>
      </w:r>
      <w:r w:rsidRPr="0065234B">
        <w:rPr>
          <w:rFonts w:ascii="Times New Roman" w:hAnsi="Times New Roman" w:cs="Times New Roman"/>
          <w:szCs w:val="24"/>
        </w:rPr>
        <w:t>ustawa (art. 37k ust. 1a pkt 1) nakłada na sponsora obowiązek finansowania świadczeń opieki zdrowotnej niezbędnych do usunięcia skutków pojawiających się „powikłań zdrowotnych” wynikających z zastosowania badanego produktu leczniczego. Termin „powikłanie zdrowotne” nie jest zdefiniowany w obowiązującym prawie – zarówno krajowym</w:t>
      </w:r>
      <w:r w:rsidR="00503CCE">
        <w:rPr>
          <w:rFonts w:ascii="Times New Roman" w:hAnsi="Times New Roman" w:cs="Times New Roman"/>
          <w:szCs w:val="24"/>
        </w:rPr>
        <w:t>,</w:t>
      </w:r>
      <w:r w:rsidRPr="0065234B">
        <w:rPr>
          <w:rFonts w:ascii="Times New Roman" w:hAnsi="Times New Roman" w:cs="Times New Roman"/>
          <w:szCs w:val="24"/>
        </w:rPr>
        <w:t xml:space="preserve"> jak i europejskim. W związku z tym w art. 59 ust. </w:t>
      </w:r>
      <w:r w:rsidR="003F7EC4" w:rsidRPr="0065234B">
        <w:rPr>
          <w:rFonts w:ascii="Times New Roman" w:hAnsi="Times New Roman" w:cs="Times New Roman"/>
          <w:szCs w:val="24"/>
        </w:rPr>
        <w:t>2</w:t>
      </w:r>
      <w:r w:rsidRPr="0065234B">
        <w:rPr>
          <w:rFonts w:ascii="Times New Roman" w:hAnsi="Times New Roman" w:cs="Times New Roman"/>
          <w:szCs w:val="24"/>
        </w:rPr>
        <w:t xml:space="preserve"> pkt 1 projektu ustawy wprowadzono regulację, zobowiązującą sponsora do finansowania świadczeń opieki zdrowotnej, niezbędnych do usunięcia skutków pojawiających się działań niepożądanych badanego produktu leczniczego lub zdarzeń niepożądanych będących następstwem przeprowadzenia procedur wykonanych wyłącznie na potrzeby badania klinicznego. Zarówno pojęcie działania niepożądanego produktu leczniczego, jak i zdarzenia niepożądanego, są klarowne i dobrze zdefiniowane w polskich i międzynarodowych przepisach.</w:t>
      </w:r>
    </w:p>
    <w:p w14:paraId="251C5536" w14:textId="06A51570" w:rsidR="00F11197" w:rsidRPr="0065234B" w:rsidRDefault="00B7519A" w:rsidP="007E6A56">
      <w:pPr>
        <w:pStyle w:val="ARTartustawynprozporzdzenia"/>
        <w:ind w:firstLine="567"/>
        <w:rPr>
          <w:rFonts w:ascii="Times New Roman" w:hAnsi="Times New Roman" w:cs="Times New Roman"/>
          <w:szCs w:val="24"/>
        </w:rPr>
      </w:pPr>
      <w:bookmarkStart w:id="13" w:name="_Hlk31196019"/>
      <w:r w:rsidRPr="0065234B">
        <w:rPr>
          <w:rFonts w:ascii="Times New Roman" w:hAnsi="Times New Roman" w:cs="Times New Roman"/>
          <w:szCs w:val="24"/>
        </w:rPr>
        <w:t>U</w:t>
      </w:r>
      <w:r w:rsidR="00F11197" w:rsidRPr="0065234B">
        <w:rPr>
          <w:rFonts w:ascii="Times New Roman" w:hAnsi="Times New Roman" w:cs="Times New Roman"/>
          <w:szCs w:val="24"/>
        </w:rPr>
        <w:t>stawa obowiązująca (art. 37k ust. 1a pkt 3) nakłada na sponsora obowiązek finansowania świadczeń opieki zdrowotnej niezbędnych do zakwalifikowania pacjenta do udziału w badaniu klinicznym, co potencjalnie może stać w sprzeczności z naczelną zasadą określoną w art. 68 Konstytucji Rzeczypospolitej Polskiej, że niedozwolona jest dyskryminacja obywateli w dostępie do gwarantowanych świadczeń opieki zdrowotnej finansowanej ze środków publicznych, a co za tym idzie – również pacjentów biorących udział w badaniu klinicznym</w:t>
      </w:r>
      <w:bookmarkEnd w:id="13"/>
      <w:r w:rsidR="00F11197" w:rsidRPr="0065234B">
        <w:rPr>
          <w:rFonts w:ascii="Times New Roman" w:hAnsi="Times New Roman" w:cs="Times New Roman"/>
          <w:szCs w:val="24"/>
        </w:rPr>
        <w:t xml:space="preserve">. Procedury opisane w protokołach badań klinicznych odnoszą </w:t>
      </w:r>
      <w:r w:rsidR="00F11197" w:rsidRPr="0065234B">
        <w:rPr>
          <w:rFonts w:ascii="Times New Roman" w:hAnsi="Times New Roman" w:cs="Times New Roman"/>
          <w:szCs w:val="24"/>
        </w:rPr>
        <w:lastRenderedPageBreak/>
        <w:t xml:space="preserve">się bowiem zwykle do pewnego kontekstu terapeutycznego, ograniczając populację badaną do grupy pacjentów z określoną jednostką chorobową, o określonych parametrach, i u których to pacjentów wykonano już procedury medyczne, zgodnie z obowiązującym standardem postępowania terapeutycznego w tej jednostce chorobowej. </w:t>
      </w:r>
      <w:bookmarkStart w:id="14" w:name="_Hlk31196042"/>
      <w:r w:rsidR="00F11197" w:rsidRPr="0065234B">
        <w:rPr>
          <w:rFonts w:ascii="Times New Roman" w:hAnsi="Times New Roman" w:cs="Times New Roman"/>
          <w:szCs w:val="24"/>
        </w:rPr>
        <w:t>Art. 59 ust. 2 pkt 3 projektu ustawy eliminuje więc tę sprzeczność interpretacyjną, zobowiązując sponsora do finansowania świadczeń opieki zdrowotnej wykonanych wyłącznie w celu zakwalifikowania pacjenta do udziału w badaniu klinicznym.</w:t>
      </w:r>
    </w:p>
    <w:bookmarkEnd w:id="14"/>
    <w:p w14:paraId="4AFDBC21" w14:textId="69FA53D7"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Art. 60 projektu ustawy doprecyzowuje i rozszerza zakres informacji, które badacz lub właściwy podmiot leczniczy są obowiązani przekazywać</w:t>
      </w:r>
      <w:r w:rsidRPr="0065234B" w:rsidDel="00CA553D">
        <w:rPr>
          <w:rFonts w:ascii="Times New Roman" w:hAnsi="Times New Roman" w:cs="Times New Roman"/>
          <w:szCs w:val="24"/>
        </w:rPr>
        <w:t xml:space="preserve"> </w:t>
      </w:r>
      <w:r w:rsidRPr="0065234B">
        <w:rPr>
          <w:rFonts w:ascii="Times New Roman" w:hAnsi="Times New Roman" w:cs="Times New Roman"/>
          <w:szCs w:val="24"/>
        </w:rPr>
        <w:t>do właściwego oddziału wojewódzkiego Narodowego Funduszu Zdrowia, w związku z zakwalifikowaniem do badania klinicznego poszczególnych jego uczestników. Przekazywanie danych</w:t>
      </w:r>
      <w:r w:rsidR="00504720">
        <w:rPr>
          <w:rFonts w:ascii="Times New Roman" w:hAnsi="Times New Roman" w:cs="Times New Roman"/>
          <w:szCs w:val="24"/>
        </w:rPr>
        <w:t>,</w:t>
      </w:r>
      <w:r w:rsidRPr="0065234B">
        <w:rPr>
          <w:rFonts w:ascii="Times New Roman" w:hAnsi="Times New Roman" w:cs="Times New Roman"/>
          <w:szCs w:val="24"/>
        </w:rPr>
        <w:t xml:space="preserve"> takich jak</w:t>
      </w:r>
      <w:r w:rsidR="00503CCE">
        <w:rPr>
          <w:rFonts w:ascii="Times New Roman" w:hAnsi="Times New Roman" w:cs="Times New Roman"/>
          <w:szCs w:val="24"/>
        </w:rPr>
        <w:t>:</w:t>
      </w:r>
      <w:r w:rsidRPr="0065234B">
        <w:rPr>
          <w:rFonts w:ascii="Times New Roman" w:hAnsi="Times New Roman" w:cs="Times New Roman"/>
          <w:szCs w:val="24"/>
        </w:rPr>
        <w:t xml:space="preserve"> m.in. imię i nazwisko badacza, numer PESEL uczestnika badania klinicznego czy status badania klinicznego jest konieczne dla kontroli prawidłowości wydatkowanych środków publicznych. </w:t>
      </w:r>
      <w:r w:rsidR="00504720">
        <w:rPr>
          <w:rFonts w:ascii="Times New Roman" w:hAnsi="Times New Roman" w:cs="Times New Roman"/>
          <w:szCs w:val="24"/>
        </w:rPr>
        <w:t>A</w:t>
      </w:r>
      <w:r w:rsidRPr="0065234B">
        <w:rPr>
          <w:rFonts w:ascii="Times New Roman" w:hAnsi="Times New Roman" w:cs="Times New Roman"/>
          <w:szCs w:val="24"/>
        </w:rPr>
        <w:t>rt. 61 projektu ustawy zastępuje obecnie obowiązujący art. 37k ust. 1d ustawy obowiązującej.</w:t>
      </w:r>
    </w:p>
    <w:p w14:paraId="03270AB8" w14:textId="325C4BDD"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rozdziale 10 projektu ustawy znajdują się regulacje dotyczące inspekcji badań klinicznych, jednakże uregulowano tam wyłącznie zagadnienia, które ustawodawca europejski pozostawił do doprecyzowania na poziomie narodowym. Należy bowiem podkreślić, że zagadnienia dotyczące przeprowadzania inspekcji badań klinicznych produktów leczniczych stosowanych u ludzi są uregulowane zasadniczo w rozporządzeniu nr 536/2014 oraz w</w:t>
      </w:r>
      <w:r w:rsidR="00504720">
        <w:rPr>
          <w:rFonts w:ascii="Times New Roman" w:hAnsi="Times New Roman" w:cs="Times New Roman"/>
          <w:szCs w:val="24"/>
        </w:rPr>
        <w:t xml:space="preserve"> </w:t>
      </w:r>
      <w:r w:rsidRPr="0065234B">
        <w:rPr>
          <w:rFonts w:ascii="Times New Roman" w:hAnsi="Times New Roman" w:cs="Times New Roman"/>
          <w:szCs w:val="24"/>
        </w:rPr>
        <w:t>rozporządzeniu wykonawczym Komisji (UE) 2017/556 z dnia 24 marca 2017 r. w sprawie szczegółowych ustaleń dotyczących procedur inspekcji w zakresie dobrej praktyki klinicznej na podstawie rozporządzenia Parlamen</w:t>
      </w:r>
      <w:r w:rsidR="003336D0">
        <w:rPr>
          <w:rFonts w:ascii="Times New Roman" w:hAnsi="Times New Roman" w:cs="Times New Roman"/>
          <w:szCs w:val="24"/>
        </w:rPr>
        <w:t>tu Europejskiego i Rady (UE) nr </w:t>
      </w:r>
      <w:r w:rsidRPr="0065234B">
        <w:rPr>
          <w:rFonts w:ascii="Times New Roman" w:hAnsi="Times New Roman" w:cs="Times New Roman"/>
          <w:szCs w:val="24"/>
        </w:rPr>
        <w:t>536/2014 (Dz. Urz. UE L 80 z 25.03.2017, str. 7), zwanym dalej „rozporządzeniem wykonawczym 2017/556”. W</w:t>
      </w:r>
      <w:r w:rsidR="00504720">
        <w:rPr>
          <w:rFonts w:ascii="Times New Roman" w:hAnsi="Times New Roman" w:cs="Times New Roman"/>
          <w:szCs w:val="24"/>
        </w:rPr>
        <w:t xml:space="preserve"> </w:t>
      </w:r>
      <w:r w:rsidRPr="0065234B">
        <w:rPr>
          <w:rFonts w:ascii="Times New Roman" w:hAnsi="Times New Roman" w:cs="Times New Roman"/>
          <w:szCs w:val="24"/>
        </w:rPr>
        <w:t>odniesieniu do obecnie obowiązującego stanu prawnego zagadnienia dotyczące prowadzenia inspekcji badań klinicznych zostały przeniesione z aktu wykonawczego, tj.</w:t>
      </w:r>
      <w:r w:rsidR="00504720">
        <w:rPr>
          <w:rFonts w:ascii="Times New Roman" w:hAnsi="Times New Roman" w:cs="Times New Roman"/>
          <w:szCs w:val="24"/>
        </w:rPr>
        <w:t xml:space="preserve"> </w:t>
      </w:r>
      <w:r w:rsidRPr="0065234B">
        <w:rPr>
          <w:rFonts w:ascii="Times New Roman" w:hAnsi="Times New Roman" w:cs="Times New Roman"/>
          <w:szCs w:val="24"/>
        </w:rPr>
        <w:t xml:space="preserve">rozporządzenia Ministra Zdrowia z dnia 26 kwietnia 2012 r. w sprawie inspekcji badań klinicznych, </w:t>
      </w:r>
      <w:r w:rsidR="007E6A56">
        <w:rPr>
          <w:rFonts w:ascii="Times New Roman" w:hAnsi="Times New Roman" w:cs="Times New Roman"/>
          <w:szCs w:val="24"/>
        </w:rPr>
        <w:t>wprost do projektowanej ustawy.</w:t>
      </w:r>
    </w:p>
    <w:p w14:paraId="0BD2E853" w14:textId="77777777"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Zgodnie z przepisami zawartymi w rozdziale 10 projektu ustawy inspekcję badań klinicznych, w zakresie zgodności tych badań z wymaganiami rozporządzenia 536/2014, będzie przeprowadzać Prezes Urzędu oraz właściwe organy państw członkowskich Unii Europejskiej lub państw członkowskich Europejskiego Porozumienia o Wolnym Handlu </w:t>
      </w:r>
      <w:r w:rsidRPr="0065234B">
        <w:rPr>
          <w:rFonts w:ascii="Times New Roman" w:hAnsi="Times New Roman" w:cs="Times New Roman"/>
          <w:szCs w:val="24"/>
        </w:rPr>
        <w:lastRenderedPageBreak/>
        <w:t>(EFTA) – stron umowy o Europejskim Obszarze Gospodarczym. Inspekcja ma być prowadzona zgodnie z art. 78 rozporządzenia 536/2014.</w:t>
      </w:r>
    </w:p>
    <w:p w14:paraId="35276377" w14:textId="77777777"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art. 7 rozporządzenia wykonawczego 2017/556 w rozdziale 9 wprowadzono stosowne procedury dotyczące:</w:t>
      </w:r>
    </w:p>
    <w:p w14:paraId="431F9640"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 xml:space="preserve">wyznaczenia ekspertów towarzyszących inspektorom, jeśli podczas inspekcji wymagana jest dodatkowa ekspertyza (art. 74 projektu ustawy); </w:t>
      </w:r>
    </w:p>
    <w:p w14:paraId="2DD3F18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 xml:space="preserve">organizowania inspekcji poza Unią Europejską (art. 72 projektu ustawy); </w:t>
      </w:r>
    </w:p>
    <w:p w14:paraId="36E582CA" w14:textId="4C4D4FD2"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weryfikacji przestrzegania zasad dobrej praktyki klinicznej, w tym metody sprawdzania procedur zarządzania badaniem oraz warunków, w jakich badanie kliniczne jest planowane, przeprowadzane, monitorowane i zapisywane, a także działań następczych, takich jak przegląd analizy przyczyny poważnych niezgodności oraz weryfikacja wdrożenia przez sponsora działań naprawczych i zapobiegawczych (art. 62 i</w:t>
      </w:r>
      <w:r w:rsidR="0071470E" w:rsidRPr="0065234B">
        <w:rPr>
          <w:rFonts w:ascii="Times New Roman" w:hAnsi="Times New Roman" w:cs="Times New Roman"/>
          <w:szCs w:val="24"/>
        </w:rPr>
        <w:t xml:space="preserve"> art.</w:t>
      </w:r>
      <w:r w:rsidR="003336D0">
        <w:rPr>
          <w:rFonts w:ascii="Times New Roman" w:hAnsi="Times New Roman" w:cs="Times New Roman"/>
          <w:szCs w:val="24"/>
        </w:rPr>
        <w:t> </w:t>
      </w:r>
      <w:r w:rsidRPr="0065234B">
        <w:rPr>
          <w:rFonts w:ascii="Times New Roman" w:hAnsi="Times New Roman" w:cs="Times New Roman"/>
          <w:szCs w:val="24"/>
        </w:rPr>
        <w:t>63 projektu ustawy).</w:t>
      </w:r>
    </w:p>
    <w:p w14:paraId="1DD74272" w14:textId="77777777"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Zaproponowane brzmienie przepisów zawartych w rozdziale 9 projektu ustawy wynika ze zmiany europejskiego systemu prawnego dotyczącego badań klinicznych (zastąpienie modelu opartego na dyrektywie podlegającej transpozycji do krajowego porządku prawnego modelem rozporządzenia stosowanego wprost i bezpośrednio) i nie wprowadza zasadniczych zmian o charakterze merytorycznym w zakresie praktyki prowadzenia inspekcji badań klinicznych produktów leczniczych stosowanych u ludzi.</w:t>
      </w:r>
    </w:p>
    <w:p w14:paraId="661CD8B1" w14:textId="7F1B5ABC"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rozdziale 11 projektu ustawy przewidziano sankcje karne za naruszenie przepisów projektowanej ustawy. Proponowane przepisy były dotychcz</w:t>
      </w:r>
      <w:r w:rsidR="00504720">
        <w:rPr>
          <w:rFonts w:ascii="Times New Roman" w:hAnsi="Times New Roman" w:cs="Times New Roman"/>
          <w:szCs w:val="24"/>
        </w:rPr>
        <w:t xml:space="preserve">as częściowo zawarte w ustawie </w:t>
      </w:r>
      <w:r w:rsidRPr="0065234B">
        <w:rPr>
          <w:rFonts w:ascii="Times New Roman" w:hAnsi="Times New Roman" w:cs="Times New Roman"/>
          <w:szCs w:val="24"/>
        </w:rPr>
        <w:t xml:space="preserve">obowiązującej, jednak z uwagi na wprowadzenie odrębnej ustawy regulującej tylko badania kliniczne produktów leczniczych stosowanych u ludzi </w:t>
      </w:r>
      <w:r w:rsidR="00504720" w:rsidRPr="0065234B">
        <w:rPr>
          <w:rFonts w:ascii="Times New Roman" w:hAnsi="Times New Roman" w:cs="Times New Roman"/>
          <w:szCs w:val="24"/>
        </w:rPr>
        <w:t xml:space="preserve">jest </w:t>
      </w:r>
      <w:r w:rsidRPr="0065234B">
        <w:rPr>
          <w:rFonts w:ascii="Times New Roman" w:hAnsi="Times New Roman" w:cs="Times New Roman"/>
          <w:szCs w:val="24"/>
        </w:rPr>
        <w:t>konieczn</w:t>
      </w:r>
      <w:r w:rsidR="00504720">
        <w:rPr>
          <w:rFonts w:ascii="Times New Roman" w:hAnsi="Times New Roman" w:cs="Times New Roman"/>
          <w:szCs w:val="24"/>
        </w:rPr>
        <w:t>a</w:t>
      </w:r>
      <w:r w:rsidRPr="0065234B">
        <w:rPr>
          <w:rFonts w:ascii="Times New Roman" w:hAnsi="Times New Roman" w:cs="Times New Roman"/>
          <w:szCs w:val="24"/>
        </w:rPr>
        <w:t xml:space="preserve"> stosowna modyfikacja tych przepisów karnych i przeniesienie ich do proje</w:t>
      </w:r>
      <w:r w:rsidR="003336D0">
        <w:rPr>
          <w:rFonts w:ascii="Times New Roman" w:hAnsi="Times New Roman" w:cs="Times New Roman"/>
          <w:szCs w:val="24"/>
        </w:rPr>
        <w:t>ktowanej ustawy. Zgodnie z art. </w:t>
      </w:r>
      <w:r w:rsidRPr="0065234B">
        <w:rPr>
          <w:rFonts w:ascii="Times New Roman" w:hAnsi="Times New Roman" w:cs="Times New Roman"/>
          <w:szCs w:val="24"/>
        </w:rPr>
        <w:t>94</w:t>
      </w:r>
      <w:r w:rsidR="002A7AAD" w:rsidRPr="0065234B">
        <w:rPr>
          <w:rFonts w:ascii="Times New Roman" w:hAnsi="Times New Roman" w:cs="Times New Roman"/>
          <w:szCs w:val="24"/>
        </w:rPr>
        <w:t xml:space="preserve"> </w:t>
      </w:r>
      <w:r w:rsidRPr="0065234B">
        <w:rPr>
          <w:rFonts w:ascii="Times New Roman" w:hAnsi="Times New Roman" w:cs="Times New Roman"/>
          <w:szCs w:val="24"/>
        </w:rPr>
        <w:t>rozporządzenia</w:t>
      </w:r>
      <w:r w:rsidR="002A7AAD" w:rsidRPr="0065234B">
        <w:rPr>
          <w:rFonts w:ascii="Times New Roman" w:hAnsi="Times New Roman" w:cs="Times New Roman"/>
          <w:szCs w:val="24"/>
        </w:rPr>
        <w:t xml:space="preserve"> 536/2014</w:t>
      </w:r>
      <w:r w:rsidRPr="0065234B">
        <w:rPr>
          <w:rFonts w:ascii="Times New Roman" w:hAnsi="Times New Roman" w:cs="Times New Roman"/>
          <w:szCs w:val="24"/>
        </w:rPr>
        <w:t xml:space="preserve"> państwa ustanawiają przepisy dotycząc sankcji mających zastosowanie do naruszeń niniejszego rozporządzenia oraz podejmują wszelkie środki</w:t>
      </w:r>
      <w:r w:rsidR="00504720">
        <w:rPr>
          <w:rFonts w:ascii="Times New Roman" w:hAnsi="Times New Roman" w:cs="Times New Roman"/>
          <w:szCs w:val="24"/>
        </w:rPr>
        <w:t>,</w:t>
      </w:r>
      <w:r w:rsidRPr="0065234B">
        <w:rPr>
          <w:rFonts w:ascii="Times New Roman" w:hAnsi="Times New Roman" w:cs="Times New Roman"/>
          <w:szCs w:val="24"/>
        </w:rPr>
        <w:t xml:space="preserve"> </w:t>
      </w:r>
      <w:r w:rsidR="00504720">
        <w:rPr>
          <w:rFonts w:ascii="Times New Roman" w:hAnsi="Times New Roman" w:cs="Times New Roman"/>
          <w:szCs w:val="24"/>
        </w:rPr>
        <w:t>a</w:t>
      </w:r>
      <w:r w:rsidRPr="0065234B">
        <w:rPr>
          <w:rFonts w:ascii="Times New Roman" w:hAnsi="Times New Roman" w:cs="Times New Roman"/>
          <w:szCs w:val="24"/>
        </w:rPr>
        <w:t>by zapewnić ich wykonanie. Przewidziane sankcje muszą być skuteczne, proporcjonalne i odstraszające.</w:t>
      </w:r>
    </w:p>
    <w:p w14:paraId="7BB1F0DD" w14:textId="77777777"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art. 77 projektu ustawy wskazano, że kto: </w:t>
      </w:r>
    </w:p>
    <w:p w14:paraId="74724412" w14:textId="4040614C"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1)</w:t>
      </w:r>
      <w:r w:rsidRPr="0065234B">
        <w:rPr>
          <w:rFonts w:ascii="Times New Roman" w:hAnsi="Times New Roman" w:cs="Times New Roman"/>
          <w:szCs w:val="24"/>
        </w:rPr>
        <w:tab/>
        <w:t xml:space="preserve">wbrew przepisom art. </w:t>
      </w:r>
      <w:r w:rsidR="00CF38AB" w:rsidRPr="0065234B">
        <w:rPr>
          <w:rFonts w:ascii="Times New Roman" w:hAnsi="Times New Roman" w:cs="Times New Roman"/>
          <w:szCs w:val="24"/>
        </w:rPr>
        <w:t xml:space="preserve">28 ust. 1 lit. b oraz c, ust. 2 i 3, art. </w:t>
      </w:r>
      <w:r w:rsidR="003F7EC4" w:rsidRPr="0065234B">
        <w:rPr>
          <w:rFonts w:ascii="Times New Roman" w:hAnsi="Times New Roman" w:cs="Times New Roman"/>
          <w:szCs w:val="24"/>
        </w:rPr>
        <w:t>29</w:t>
      </w:r>
      <w:r w:rsidR="007253ED" w:rsidRPr="0065234B">
        <w:rPr>
          <w:rFonts w:ascii="Times New Roman" w:hAnsi="Times New Roman" w:cs="Times New Roman"/>
          <w:szCs w:val="24"/>
        </w:rPr>
        <w:t>–</w:t>
      </w:r>
      <w:r w:rsidR="003F7EC4" w:rsidRPr="0065234B">
        <w:rPr>
          <w:rFonts w:ascii="Times New Roman" w:hAnsi="Times New Roman" w:cs="Times New Roman"/>
          <w:szCs w:val="24"/>
        </w:rPr>
        <w:t>32</w:t>
      </w:r>
      <w:r w:rsidR="003336D0">
        <w:rPr>
          <w:rFonts w:ascii="Times New Roman" w:hAnsi="Times New Roman" w:cs="Times New Roman"/>
          <w:szCs w:val="24"/>
        </w:rPr>
        <w:t xml:space="preserve"> oraz art. </w:t>
      </w:r>
      <w:r w:rsidRPr="0065234B">
        <w:rPr>
          <w:rFonts w:ascii="Times New Roman" w:hAnsi="Times New Roman" w:cs="Times New Roman"/>
          <w:szCs w:val="24"/>
        </w:rPr>
        <w:t>35 rozporządzenia 536/2014 prowadzi badanie kliniczne bez uzyskania świadomej zgody uczestnika badania klinicznego lub jego przedstawiciela ustawowego</w:t>
      </w:r>
      <w:r w:rsidR="00CF38AB" w:rsidRPr="0065234B">
        <w:rPr>
          <w:rFonts w:ascii="Times New Roman" w:hAnsi="Times New Roman" w:cs="Times New Roman"/>
          <w:szCs w:val="24"/>
        </w:rPr>
        <w:t xml:space="preserve"> lub</w:t>
      </w:r>
    </w:p>
    <w:p w14:paraId="5EAA550F" w14:textId="52F08408"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 xml:space="preserve">wbrew przepisom art. 31–33 rozporządzenia 536/2014 w badaniu klinicznym stosuje zachęty lub gratyfikacje finansowe, </w:t>
      </w:r>
      <w:r w:rsidR="00CF38AB" w:rsidRPr="0065234B">
        <w:rPr>
          <w:rFonts w:ascii="Times New Roman" w:hAnsi="Times New Roman" w:cs="Times New Roman"/>
          <w:szCs w:val="24"/>
        </w:rPr>
        <w:t>lub</w:t>
      </w:r>
    </w:p>
    <w:p w14:paraId="478DF74A" w14:textId="7006174C"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wbrew przepisowi art. 4 projektu ustawy przeprowadza badanie kliniczne z udziałem żołnierza w czynnej służbie wojskowej, innej osoby pozostającej w zależności hierarchicznej ograniczającej swobodę dobrowolnego wyrażania zgody lub osoby pozbawionej wolności albo poddanej detencji,</w:t>
      </w:r>
      <w:r w:rsidR="00CF38AB" w:rsidRPr="0065234B">
        <w:rPr>
          <w:rFonts w:ascii="Times New Roman" w:hAnsi="Times New Roman" w:cs="Times New Roman"/>
          <w:szCs w:val="24"/>
        </w:rPr>
        <w:t xml:space="preserve"> lub </w:t>
      </w:r>
    </w:p>
    <w:p w14:paraId="2C54BFBB" w14:textId="2C01AA98"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r>
      <w:r w:rsidRPr="0065234B">
        <w:rPr>
          <w:rFonts w:ascii="Times New Roman" w:eastAsia="Calibri" w:hAnsi="Times New Roman" w:cs="Times New Roman"/>
          <w:szCs w:val="24"/>
        </w:rPr>
        <w:t>dokonuje istotnych i mających wpływ na bezpieczeństwo uczestników badania klinicznego zmian w protokole badania klinicznego lub dokumentacji składanej w postępowaniu o wydanie pozwolenia na prowadzenie tego badania, bez pozwolenia określonego w art. 19 lub art. 23 rozporządzenia 536/2014 lub wbrew jego warunkom</w:t>
      </w:r>
      <w:r w:rsidR="0071470E" w:rsidRPr="0065234B">
        <w:rPr>
          <w:rFonts w:ascii="Times New Roman" w:eastAsia="Calibri" w:hAnsi="Times New Roman" w:cs="Times New Roman"/>
          <w:szCs w:val="24"/>
        </w:rPr>
        <w:t>,</w:t>
      </w:r>
      <w:r w:rsidR="003D32C0" w:rsidRPr="0065234B">
        <w:rPr>
          <w:rFonts w:ascii="Times New Roman" w:eastAsia="Calibri" w:hAnsi="Times New Roman" w:cs="Times New Roman"/>
          <w:szCs w:val="24"/>
        </w:rPr>
        <w:t xml:space="preserve"> lub</w:t>
      </w:r>
    </w:p>
    <w:p w14:paraId="4A4C2759" w14:textId="56FA60A9"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r>
      <w:r w:rsidRPr="0065234B">
        <w:rPr>
          <w:rFonts w:ascii="Times New Roman" w:eastAsia="Calibri" w:hAnsi="Times New Roman" w:cs="Times New Roman"/>
          <w:szCs w:val="24"/>
        </w:rPr>
        <w:t>narusza określony w art. 6 ust. 2 projektu ustawy zakaz dokonywania czynności prawnych</w:t>
      </w:r>
      <w:r w:rsidR="0071470E" w:rsidRPr="0065234B">
        <w:rPr>
          <w:rFonts w:ascii="Times New Roman" w:hAnsi="Times New Roman" w:cs="Times New Roman"/>
          <w:szCs w:val="24"/>
        </w:rPr>
        <w:t>,</w:t>
      </w:r>
      <w:r w:rsidR="003D32C0" w:rsidRPr="0065234B">
        <w:rPr>
          <w:rFonts w:ascii="Times New Roman" w:hAnsi="Times New Roman" w:cs="Times New Roman"/>
          <w:szCs w:val="24"/>
        </w:rPr>
        <w:t xml:space="preserve"> lub</w:t>
      </w:r>
    </w:p>
    <w:p w14:paraId="668E66EF" w14:textId="5E5B0C42"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6)</w:t>
      </w:r>
      <w:r w:rsidRPr="0065234B">
        <w:rPr>
          <w:rFonts w:ascii="Times New Roman" w:hAnsi="Times New Roman" w:cs="Times New Roman"/>
          <w:szCs w:val="24"/>
        </w:rPr>
        <w:tab/>
      </w:r>
      <w:r w:rsidRPr="0065234B">
        <w:rPr>
          <w:rFonts w:ascii="Times New Roman" w:eastAsia="Calibri" w:hAnsi="Times New Roman" w:cs="Times New Roman"/>
          <w:szCs w:val="24"/>
        </w:rPr>
        <w:t>rozpoczyna lub prowadzi badania kliniczne bez wymaganej decyzji, o której mowa w art. 8 rozporządzenia 536/2014, lub wbrew jej warunkom</w:t>
      </w:r>
      <w:r w:rsidR="0071470E" w:rsidRPr="0065234B">
        <w:rPr>
          <w:rFonts w:ascii="Times New Roman" w:hAnsi="Times New Roman" w:cs="Times New Roman"/>
          <w:szCs w:val="24"/>
        </w:rPr>
        <w:t>,</w:t>
      </w:r>
      <w:r w:rsidR="003D32C0" w:rsidRPr="0065234B">
        <w:rPr>
          <w:rFonts w:ascii="Times New Roman" w:hAnsi="Times New Roman" w:cs="Times New Roman"/>
          <w:szCs w:val="24"/>
        </w:rPr>
        <w:t xml:space="preserve"> lub</w:t>
      </w:r>
    </w:p>
    <w:p w14:paraId="000FC45B" w14:textId="390D9926"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7)</w:t>
      </w:r>
      <w:r w:rsidRPr="0065234B">
        <w:rPr>
          <w:rFonts w:ascii="Times New Roman" w:hAnsi="Times New Roman" w:cs="Times New Roman"/>
          <w:szCs w:val="24"/>
        </w:rPr>
        <w:tab/>
      </w:r>
      <w:r w:rsidRPr="0065234B">
        <w:rPr>
          <w:rFonts w:ascii="Times New Roman" w:eastAsia="Calibri" w:hAnsi="Times New Roman" w:cs="Times New Roman"/>
          <w:szCs w:val="24"/>
        </w:rPr>
        <w:t>nie dokonuje zgłoszenia, o którym mowa w art. 42 lub w art. 52 rozporządzenia 536/2014, albo nie obejmuje zgłoszeniem wszystkic</w:t>
      </w:r>
      <w:r w:rsidR="003336D0">
        <w:rPr>
          <w:rFonts w:ascii="Times New Roman" w:eastAsia="Calibri" w:hAnsi="Times New Roman" w:cs="Times New Roman"/>
          <w:szCs w:val="24"/>
        </w:rPr>
        <w:t>h danych, o których mowa w art. </w:t>
      </w:r>
      <w:r w:rsidRPr="0065234B">
        <w:rPr>
          <w:rFonts w:ascii="Times New Roman" w:eastAsia="Calibri" w:hAnsi="Times New Roman" w:cs="Times New Roman"/>
          <w:szCs w:val="24"/>
        </w:rPr>
        <w:t>42 ust. 1 tego rozporządzenia</w:t>
      </w:r>
      <w:r w:rsidRPr="0065234B">
        <w:rPr>
          <w:rFonts w:ascii="Times New Roman" w:hAnsi="Times New Roman" w:cs="Times New Roman"/>
          <w:szCs w:val="24"/>
        </w:rPr>
        <w:t xml:space="preserve"> </w:t>
      </w:r>
    </w:p>
    <w:p w14:paraId="77EC8F40" w14:textId="21596D18" w:rsidR="00F11197" w:rsidRPr="0065234B" w:rsidRDefault="00F11197" w:rsidP="0065234B">
      <w:pPr>
        <w:pStyle w:val="CZWSPPKTczwsplnapunktw"/>
        <w:spacing w:before="120"/>
        <w:rPr>
          <w:rFonts w:ascii="Times New Roman" w:hAnsi="Times New Roman" w:cs="Times New Roman"/>
          <w:szCs w:val="24"/>
        </w:rPr>
      </w:pPr>
      <w:r w:rsidRPr="0065234B">
        <w:rPr>
          <w:rFonts w:ascii="Times New Roman" w:hAnsi="Times New Roman" w:cs="Times New Roman"/>
          <w:szCs w:val="24"/>
        </w:rPr>
        <w:t>– będzie podlegał grzywnie, karze ograniczenia wolności albo pozbawienia wolności do lat 2.</w:t>
      </w:r>
    </w:p>
    <w:p w14:paraId="4940934C" w14:textId="1DB96796"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Natomiast kto będzie prowadził badanie kliniczne po wydaniu decyzji o zawieszeniu badania klinicznego lub cofnięciu pozwolenia na badanie kliniczne oraz przekazywał</w:t>
      </w:r>
      <w:r w:rsidR="0072458A" w:rsidRPr="0065234B">
        <w:rPr>
          <w:rFonts w:ascii="Times New Roman" w:hAnsi="Times New Roman" w:cs="Times New Roman"/>
          <w:szCs w:val="24"/>
        </w:rPr>
        <w:t xml:space="preserve"> </w:t>
      </w:r>
      <w:r w:rsidRPr="0065234B">
        <w:rPr>
          <w:rFonts w:ascii="Times New Roman" w:hAnsi="Times New Roman" w:cs="Times New Roman"/>
          <w:szCs w:val="24"/>
        </w:rPr>
        <w:t>zgłoszenie, o który</w:t>
      </w:r>
      <w:r w:rsidR="00361613">
        <w:rPr>
          <w:rFonts w:ascii="Times New Roman" w:hAnsi="Times New Roman" w:cs="Times New Roman"/>
          <w:szCs w:val="24"/>
        </w:rPr>
        <w:t>m</w:t>
      </w:r>
      <w:r w:rsidRPr="0065234B">
        <w:rPr>
          <w:rFonts w:ascii="Times New Roman" w:hAnsi="Times New Roman" w:cs="Times New Roman"/>
          <w:szCs w:val="24"/>
        </w:rPr>
        <w:t xml:space="preserve"> mowa w art. 42 lub art. 52 rozporządzenia 536/2014</w:t>
      </w:r>
      <w:r w:rsidR="00280567">
        <w:rPr>
          <w:rFonts w:ascii="Times New Roman" w:hAnsi="Times New Roman" w:cs="Times New Roman"/>
          <w:szCs w:val="24"/>
        </w:rPr>
        <w:t>,</w:t>
      </w:r>
      <w:r w:rsidRPr="0065234B">
        <w:rPr>
          <w:rFonts w:ascii="Times New Roman" w:hAnsi="Times New Roman" w:cs="Times New Roman"/>
          <w:szCs w:val="24"/>
        </w:rPr>
        <w:t xml:space="preserve"> po upływie terminów wskazanych w tych przepisach, będzie podlegał karze grzywny – art. 7</w:t>
      </w:r>
      <w:r w:rsidR="0071470E" w:rsidRPr="0065234B">
        <w:rPr>
          <w:rFonts w:ascii="Times New Roman" w:hAnsi="Times New Roman" w:cs="Times New Roman"/>
          <w:szCs w:val="24"/>
        </w:rPr>
        <w:t>8</w:t>
      </w:r>
      <w:r w:rsidRPr="0065234B">
        <w:rPr>
          <w:rFonts w:ascii="Times New Roman" w:hAnsi="Times New Roman" w:cs="Times New Roman"/>
          <w:szCs w:val="24"/>
        </w:rPr>
        <w:t xml:space="preserve"> projektu ustawy.</w:t>
      </w:r>
    </w:p>
    <w:p w14:paraId="4D5F9443" w14:textId="77777777"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rozdziale 12 projektu ustawy zawarto propozycję zmian w innych ustawach, wynikające z niniejszego projektu ustawy.</w:t>
      </w:r>
    </w:p>
    <w:p w14:paraId="66C7BD62" w14:textId="5337F251"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8</w:t>
      </w:r>
      <w:r w:rsidR="003F7EC4" w:rsidRPr="0065234B">
        <w:rPr>
          <w:rFonts w:ascii="Times New Roman" w:hAnsi="Times New Roman" w:cs="Times New Roman"/>
          <w:szCs w:val="24"/>
        </w:rPr>
        <w:t>0</w:t>
      </w:r>
      <w:r w:rsidRPr="0065234B">
        <w:rPr>
          <w:rFonts w:ascii="Times New Roman" w:hAnsi="Times New Roman" w:cs="Times New Roman"/>
          <w:szCs w:val="24"/>
        </w:rPr>
        <w:t xml:space="preserve"> projektu</w:t>
      </w:r>
      <w:r w:rsidR="0071470E" w:rsidRPr="0065234B">
        <w:rPr>
          <w:rFonts w:ascii="Times New Roman" w:hAnsi="Times New Roman" w:cs="Times New Roman"/>
          <w:szCs w:val="24"/>
        </w:rPr>
        <w:t xml:space="preserve"> ustawy</w:t>
      </w:r>
      <w:r w:rsidRPr="0065234B">
        <w:rPr>
          <w:rFonts w:ascii="Times New Roman" w:hAnsi="Times New Roman" w:cs="Times New Roman"/>
          <w:szCs w:val="24"/>
        </w:rPr>
        <w:t xml:space="preserve"> wprowadza się zmianę</w:t>
      </w:r>
      <w:r w:rsidR="003336D0">
        <w:rPr>
          <w:rFonts w:ascii="Times New Roman" w:hAnsi="Times New Roman" w:cs="Times New Roman"/>
          <w:szCs w:val="24"/>
        </w:rPr>
        <w:t xml:space="preserve"> do ustawy z dnia 26 lipca 1991 </w:t>
      </w:r>
      <w:r w:rsidRPr="0065234B">
        <w:rPr>
          <w:rFonts w:ascii="Times New Roman" w:hAnsi="Times New Roman" w:cs="Times New Roman"/>
          <w:szCs w:val="24"/>
        </w:rPr>
        <w:t xml:space="preserve">r. o </w:t>
      </w:r>
      <w:r w:rsidRPr="009B0AC7">
        <w:rPr>
          <w:rFonts w:ascii="Times New Roman" w:hAnsi="Times New Roman" w:cs="Times New Roman"/>
          <w:szCs w:val="24"/>
        </w:rPr>
        <w:t>podatku dochodowym od osób fizycznych</w:t>
      </w:r>
      <w:r w:rsidR="00C2197B" w:rsidRPr="009B0AC7">
        <w:rPr>
          <w:rFonts w:ascii="Times New Roman" w:hAnsi="Times New Roman" w:cs="Times New Roman"/>
          <w:szCs w:val="24"/>
        </w:rPr>
        <w:t xml:space="preserve"> </w:t>
      </w:r>
      <w:r w:rsidR="00C2197B" w:rsidRPr="0065234B">
        <w:rPr>
          <w:rFonts w:ascii="Times New Roman" w:hAnsi="Times New Roman" w:cs="Times New Roman"/>
          <w:szCs w:val="24"/>
        </w:rPr>
        <w:t>(Dz. U. z 2021 r. poz. 1128, z późn. zm.)</w:t>
      </w:r>
      <w:r w:rsidRPr="0065234B">
        <w:rPr>
          <w:rFonts w:ascii="Times New Roman" w:hAnsi="Times New Roman" w:cs="Times New Roman"/>
          <w:szCs w:val="24"/>
        </w:rPr>
        <w:t xml:space="preserve">, w której </w:t>
      </w:r>
      <w:r w:rsidRPr="0065234B">
        <w:rPr>
          <w:rFonts w:ascii="Times New Roman" w:hAnsi="Times New Roman" w:cs="Times New Roman"/>
          <w:szCs w:val="24"/>
        </w:rPr>
        <w:lastRenderedPageBreak/>
        <w:t>przewiduje się zwolnienie z tego podatku kwot wypłaconych świadczeń kompensacyjnych przyznanych na podstawie przepisów projektowanej ustawy, podobnie jak obecnie kwot odszkodowań czy zadośćuczynień.</w:t>
      </w:r>
    </w:p>
    <w:p w14:paraId="1218E8A5" w14:textId="4438063E" w:rsidR="00FC4318" w:rsidRPr="0065234B" w:rsidRDefault="00FC4318" w:rsidP="007E6A56">
      <w:pPr>
        <w:pStyle w:val="ARTartustawynprozporzdzenia"/>
        <w:ind w:firstLine="567"/>
        <w:rPr>
          <w:rStyle w:val="pismamzZnak"/>
          <w:rFonts w:ascii="Times New Roman" w:hAnsi="Times New Roman"/>
          <w:szCs w:val="24"/>
        </w:rPr>
      </w:pPr>
      <w:r w:rsidRPr="00361613">
        <w:rPr>
          <w:rFonts w:ascii="Times New Roman" w:hAnsi="Times New Roman" w:cs="Times New Roman"/>
          <w:szCs w:val="24"/>
        </w:rPr>
        <w:t xml:space="preserve">W ustawie z dnia 5 grudnia 1996 r. o zawodach lekarza i lekarza dentysty dodano przepis dotyczący </w:t>
      </w:r>
      <w:r w:rsidRPr="0065234B">
        <w:rPr>
          <w:rFonts w:ascii="Times New Roman" w:hAnsi="Times New Roman" w:cs="Times New Roman"/>
          <w:szCs w:val="24"/>
        </w:rPr>
        <w:t xml:space="preserve">eksperymentu medycznego. </w:t>
      </w:r>
      <w:r w:rsidRPr="0065234B">
        <w:rPr>
          <w:rStyle w:val="pismamzZnak"/>
          <w:rFonts w:ascii="Times New Roman" w:hAnsi="Times New Roman"/>
          <w:szCs w:val="24"/>
        </w:rPr>
        <w:t>Przepis ma na celu wyeliminowanie nadużyć w procedurach leczniczych wykonywanych w formie eksperymentu medycznego, a w szczególności leczniczego, który nie rokuje powodzeniem np. z uwagi na długotrwałe próby nie przynoszące dotychczas efektu czy doniesienia światowe o braku skuteczności danej terapii. Dla osób chor</w:t>
      </w:r>
      <w:r w:rsidR="008B7DC9">
        <w:rPr>
          <w:rStyle w:val="pismamzZnak"/>
          <w:rFonts w:ascii="Times New Roman" w:hAnsi="Times New Roman"/>
          <w:szCs w:val="24"/>
        </w:rPr>
        <w:t>ych</w:t>
      </w:r>
      <w:r w:rsidRPr="0065234B">
        <w:rPr>
          <w:rStyle w:val="pismamzZnak"/>
          <w:rFonts w:ascii="Times New Roman" w:hAnsi="Times New Roman"/>
          <w:szCs w:val="24"/>
        </w:rPr>
        <w:t xml:space="preserve"> i ich osób bliskich procedury eksperymentu nie są możliwe do weryfikacji, a przedstawiane są im jako ostatnia możliwość udzielenia pomocy medycznej. W takiej sytuacji dochodzi do wykorzystania krytycznego położenia chorych.</w:t>
      </w:r>
    </w:p>
    <w:p w14:paraId="76138DBF" w14:textId="4206B525" w:rsidR="00FC4318" w:rsidRPr="0065234B" w:rsidRDefault="00FC4318" w:rsidP="007E6A56">
      <w:pPr>
        <w:pStyle w:val="ARTartustawynprozporzdzenia"/>
        <w:ind w:firstLine="567"/>
        <w:rPr>
          <w:rFonts w:ascii="Times New Roman" w:hAnsi="Times New Roman" w:cs="Times New Roman"/>
          <w:szCs w:val="24"/>
        </w:rPr>
      </w:pPr>
      <w:r w:rsidRPr="0065234B">
        <w:rPr>
          <w:rStyle w:val="pismamzZnak"/>
          <w:rFonts w:ascii="Times New Roman" w:hAnsi="Times New Roman"/>
          <w:szCs w:val="24"/>
        </w:rPr>
        <w:t>Eksperyment leczniczy nie jest finansowany ze środków publicznych, dlatego może być finansowany przez badacza (w sytuacji badawczego charakteru eksperymentu), co eliminuje nieuczciwe praktyki w celu osiągnięcia zysku lub przez profesjonalne instytucje (eksperyment leczniczy), których działalność polega na zewnętrznym finansowaniu świadczeń zdrowotnych nieobjętych koszykiem świadczeń gwarantowanych lub innymi formami finansowania ze środków publicznych. Projektowany przepis wyeliminuje możliwość wywierania nieuczciwego, nieznajdującego uzasadnienia w aktualnej wiedzy medycznej, nacisku na osoby chore poszukujące pomocy oraz szeroko rozumianemu gronu ich bliskich.</w:t>
      </w:r>
    </w:p>
    <w:p w14:paraId="17B939C9" w14:textId="252A41A9" w:rsidR="00F11197" w:rsidRPr="0065234B" w:rsidRDefault="00C2197B"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Zmiana polegająca na d</w:t>
      </w:r>
      <w:r w:rsidR="00F11197" w:rsidRPr="0065234B">
        <w:rPr>
          <w:rFonts w:ascii="Times New Roman" w:hAnsi="Times New Roman" w:cs="Times New Roman"/>
          <w:szCs w:val="24"/>
        </w:rPr>
        <w:t>odani</w:t>
      </w:r>
      <w:r w:rsidRPr="0065234B">
        <w:rPr>
          <w:rFonts w:ascii="Times New Roman" w:hAnsi="Times New Roman" w:cs="Times New Roman"/>
          <w:szCs w:val="24"/>
        </w:rPr>
        <w:t>u</w:t>
      </w:r>
      <w:r w:rsidR="00F11197" w:rsidRPr="0065234B">
        <w:rPr>
          <w:rFonts w:ascii="Times New Roman" w:hAnsi="Times New Roman" w:cs="Times New Roman"/>
          <w:szCs w:val="24"/>
        </w:rPr>
        <w:t xml:space="preserve"> art. 29b w ustawie z dnia 5 grudnia 1996 r. o zawodach lekarza i lekarza</w:t>
      </w:r>
      <w:r w:rsidRPr="0065234B">
        <w:rPr>
          <w:rFonts w:ascii="Times New Roman" w:hAnsi="Times New Roman" w:cs="Times New Roman"/>
          <w:szCs w:val="24"/>
        </w:rPr>
        <w:t xml:space="preserve"> dentysty</w:t>
      </w:r>
      <w:r w:rsidR="00473011" w:rsidRPr="0065234B">
        <w:rPr>
          <w:rFonts w:ascii="Times New Roman" w:hAnsi="Times New Roman" w:cs="Times New Roman"/>
          <w:szCs w:val="24"/>
        </w:rPr>
        <w:t xml:space="preserve"> </w:t>
      </w:r>
      <w:r w:rsidR="00F11197" w:rsidRPr="0065234B">
        <w:rPr>
          <w:rFonts w:ascii="Times New Roman" w:hAnsi="Times New Roman" w:cs="Times New Roman"/>
          <w:szCs w:val="24"/>
        </w:rPr>
        <w:t>ma charakter wynikowy i ma na celu dostosowanie brzmienia przepisów ustawy do rozporządzenia 536/2014.</w:t>
      </w:r>
    </w:p>
    <w:p w14:paraId="37EA9E0D" w14:textId="34545942"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Zmiany w</w:t>
      </w:r>
      <w:r w:rsidR="0071470E" w:rsidRPr="0065234B">
        <w:rPr>
          <w:rFonts w:ascii="Times New Roman" w:hAnsi="Times New Roman" w:cs="Times New Roman"/>
          <w:szCs w:val="24"/>
        </w:rPr>
        <w:t xml:space="preserve"> obowiązującej</w:t>
      </w:r>
      <w:r w:rsidRPr="0065234B">
        <w:rPr>
          <w:rFonts w:ascii="Times New Roman" w:hAnsi="Times New Roman" w:cs="Times New Roman"/>
          <w:szCs w:val="24"/>
        </w:rPr>
        <w:t xml:space="preserve"> ustawie mają głównie charakter dostosowujący, polegający na wyłączeniu z zakresu jej regulacji badań klinicznych produktów leczniczych stosowanych u ludzi, które były dotychczas regulowane w tej ustawie. </w:t>
      </w:r>
      <w:r w:rsidR="002E592D" w:rsidRPr="0065234B">
        <w:rPr>
          <w:rFonts w:ascii="Times New Roman" w:hAnsi="Times New Roman" w:cs="Times New Roman"/>
          <w:szCs w:val="24"/>
        </w:rPr>
        <w:t xml:space="preserve">W szczególności usunięte zostają przepisy ustanawiające komisję bioetyczną do oceny badania klinicznego objętego wnioskiem o pozwolenie na przeprowadzenie badania klinicznego oraz wniosków </w:t>
      </w:r>
      <w:r w:rsidR="00E14107">
        <w:rPr>
          <w:rFonts w:ascii="Times New Roman" w:hAnsi="Times New Roman" w:cs="Times New Roman"/>
          <w:szCs w:val="24"/>
        </w:rPr>
        <w:t xml:space="preserve">o </w:t>
      </w:r>
      <w:r w:rsidR="002E592D" w:rsidRPr="0065234B">
        <w:rPr>
          <w:rFonts w:ascii="Times New Roman" w:hAnsi="Times New Roman" w:cs="Times New Roman"/>
          <w:szCs w:val="24"/>
        </w:rPr>
        <w:t>dokonanie istotnej zmiany badania klinicznego objętej wnioskiem o pozwolenie na istotną zmianę badania klinicznego.</w:t>
      </w:r>
    </w:p>
    <w:p w14:paraId="3EBE1DE2" w14:textId="28F38F48" w:rsidR="00F11197" w:rsidRPr="0065234B" w:rsidRDefault="00F11197" w:rsidP="007E6A56">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Dodano również przepisy w zakresie wytwarzania i importu produktów leczniczych. Proponowane zmiany wyłączą ze stosowania w odniesieniu do badanych produktów leczniczych rozporządzenie </w:t>
      </w:r>
      <w:r w:rsidR="0046314F" w:rsidRPr="0065234B">
        <w:rPr>
          <w:rFonts w:ascii="Times New Roman" w:hAnsi="Times New Roman" w:cs="Times New Roman"/>
          <w:szCs w:val="24"/>
        </w:rPr>
        <w:t xml:space="preserve">Ministra Zdrowia z dnia 9 listopada 2015 r. </w:t>
      </w:r>
      <w:r w:rsidRPr="0065234B">
        <w:rPr>
          <w:rFonts w:ascii="Times New Roman" w:hAnsi="Times New Roman" w:cs="Times New Roman"/>
          <w:szCs w:val="24"/>
        </w:rPr>
        <w:t xml:space="preserve">w sprawie wymagań </w:t>
      </w:r>
      <w:r w:rsidR="00E01C75" w:rsidRPr="00722915">
        <w:rPr>
          <w:rFonts w:ascii="Times New Roman" w:hAnsi="Times New Roman" w:cs="Times New Roman"/>
          <w:szCs w:val="24"/>
        </w:rPr>
        <w:lastRenderedPageBreak/>
        <w:t>d</w:t>
      </w:r>
      <w:r w:rsidRPr="00722915">
        <w:rPr>
          <w:rFonts w:ascii="Times New Roman" w:hAnsi="Times New Roman" w:cs="Times New Roman"/>
          <w:szCs w:val="24"/>
        </w:rPr>
        <w:t xml:space="preserve">obrej </w:t>
      </w:r>
      <w:r w:rsidR="00E01C75" w:rsidRPr="00722915">
        <w:rPr>
          <w:rFonts w:ascii="Times New Roman" w:hAnsi="Times New Roman" w:cs="Times New Roman"/>
          <w:szCs w:val="24"/>
        </w:rPr>
        <w:t>p</w:t>
      </w:r>
      <w:r w:rsidRPr="00722915">
        <w:rPr>
          <w:rFonts w:ascii="Times New Roman" w:hAnsi="Times New Roman" w:cs="Times New Roman"/>
          <w:szCs w:val="24"/>
        </w:rPr>
        <w:t xml:space="preserve">raktyki </w:t>
      </w:r>
      <w:r w:rsidR="00E01C75" w:rsidRPr="00722915">
        <w:rPr>
          <w:rFonts w:ascii="Times New Roman" w:hAnsi="Times New Roman" w:cs="Times New Roman"/>
          <w:szCs w:val="24"/>
        </w:rPr>
        <w:t>w</w:t>
      </w:r>
      <w:r w:rsidRPr="00722915">
        <w:rPr>
          <w:rFonts w:ascii="Times New Roman" w:hAnsi="Times New Roman" w:cs="Times New Roman"/>
          <w:szCs w:val="24"/>
        </w:rPr>
        <w:t>ytwarzania</w:t>
      </w:r>
      <w:r w:rsidR="0046314F" w:rsidRPr="00722915">
        <w:rPr>
          <w:rFonts w:ascii="Times New Roman" w:hAnsi="Times New Roman" w:cs="Times New Roman"/>
          <w:szCs w:val="24"/>
        </w:rPr>
        <w:t xml:space="preserve"> </w:t>
      </w:r>
      <w:r w:rsidR="0046314F" w:rsidRPr="0065234B">
        <w:rPr>
          <w:rFonts w:ascii="Times New Roman" w:hAnsi="Times New Roman" w:cs="Times New Roman"/>
          <w:szCs w:val="24"/>
        </w:rPr>
        <w:t>(Dz. U. z 2022 r. poz. 1273)</w:t>
      </w:r>
      <w:r w:rsidR="003336D0">
        <w:rPr>
          <w:rFonts w:ascii="Times New Roman" w:hAnsi="Times New Roman" w:cs="Times New Roman"/>
          <w:szCs w:val="24"/>
        </w:rPr>
        <w:t>, tym samym również jego aneks </w:t>
      </w:r>
      <w:r w:rsidRPr="0065234B">
        <w:rPr>
          <w:rFonts w:ascii="Times New Roman" w:hAnsi="Times New Roman" w:cs="Times New Roman"/>
          <w:szCs w:val="24"/>
        </w:rPr>
        <w:t>13 zawarty w załączniku nr 5 do przedmiotowego rozporządzenia, który zostanie zastąpiony nowymi wytycznymi opracowanymi na podstawie „Detailed Commission guidelines on good manufacturing practice for investigational medicinal products for human use, pursuant to the second subparagraph of Article 63(1) of Regulation (EU) No 536/2014”</w:t>
      </w:r>
      <w:r w:rsidR="00E14107">
        <w:rPr>
          <w:rFonts w:ascii="Times New Roman" w:hAnsi="Times New Roman" w:cs="Times New Roman"/>
          <w:szCs w:val="24"/>
        </w:rPr>
        <w:t>,</w:t>
      </w:r>
      <w:r w:rsidRPr="0065234B">
        <w:rPr>
          <w:rFonts w:ascii="Times New Roman" w:hAnsi="Times New Roman" w:cs="Times New Roman"/>
          <w:szCs w:val="24"/>
        </w:rPr>
        <w:t xml:space="preserve"> tj. wytycznych uzupełniających rozporządzenie delegowane Komisji (UE</w:t>
      </w:r>
      <w:r w:rsidR="007E6A56">
        <w:rPr>
          <w:rFonts w:ascii="Times New Roman" w:hAnsi="Times New Roman" w:cs="Times New Roman"/>
          <w:szCs w:val="24"/>
        </w:rPr>
        <w:t>) 2017/1569 z dnia 23 maja 2017 </w:t>
      </w:r>
      <w:r w:rsidRPr="0065234B">
        <w:rPr>
          <w:rFonts w:ascii="Times New Roman" w:hAnsi="Times New Roman" w:cs="Times New Roman"/>
          <w:szCs w:val="24"/>
        </w:rPr>
        <w:t xml:space="preserve">r. uzupełniające rozporządzenie Parlamentu Europejskiego i Rady (UE) nr 536/2014 przez określenie zasad i wytycznych </w:t>
      </w:r>
      <w:r w:rsidR="00E720CC" w:rsidRPr="0065234B">
        <w:rPr>
          <w:rFonts w:ascii="Times New Roman" w:hAnsi="Times New Roman" w:cs="Times New Roman"/>
          <w:szCs w:val="24"/>
        </w:rPr>
        <w:t>d</w:t>
      </w:r>
      <w:r w:rsidRPr="0065234B">
        <w:rPr>
          <w:rFonts w:ascii="Times New Roman" w:hAnsi="Times New Roman" w:cs="Times New Roman"/>
          <w:szCs w:val="24"/>
        </w:rPr>
        <w:t xml:space="preserve">obrej </w:t>
      </w:r>
      <w:r w:rsidR="00E720CC" w:rsidRPr="0065234B">
        <w:rPr>
          <w:rFonts w:ascii="Times New Roman" w:hAnsi="Times New Roman" w:cs="Times New Roman"/>
          <w:szCs w:val="24"/>
        </w:rPr>
        <w:t>p</w:t>
      </w:r>
      <w:r w:rsidRPr="0065234B">
        <w:rPr>
          <w:rFonts w:ascii="Times New Roman" w:hAnsi="Times New Roman" w:cs="Times New Roman"/>
          <w:szCs w:val="24"/>
        </w:rPr>
        <w:t xml:space="preserve">raktyki </w:t>
      </w:r>
      <w:r w:rsidR="00E720CC" w:rsidRPr="0065234B">
        <w:rPr>
          <w:rFonts w:ascii="Times New Roman" w:hAnsi="Times New Roman" w:cs="Times New Roman"/>
          <w:szCs w:val="24"/>
        </w:rPr>
        <w:t>w</w:t>
      </w:r>
      <w:r w:rsidRPr="0065234B">
        <w:rPr>
          <w:rFonts w:ascii="Times New Roman" w:hAnsi="Times New Roman" w:cs="Times New Roman"/>
          <w:szCs w:val="24"/>
        </w:rPr>
        <w:t>ytwarzania w odniesieniu do badanych produktów leczniczych stosowanych u ludzi oraz ustaleń dotyczących prowadzenia inspekcji</w:t>
      </w:r>
      <w:r w:rsidR="00E720CC" w:rsidRPr="0065234B">
        <w:rPr>
          <w:rFonts w:ascii="Times New Roman" w:hAnsi="Times New Roman" w:cs="Times New Roman"/>
          <w:szCs w:val="24"/>
        </w:rPr>
        <w:t xml:space="preserve"> (Dz. Urz. UE L 238 z 16.</w:t>
      </w:r>
      <w:r w:rsidR="00244358">
        <w:rPr>
          <w:rFonts w:ascii="Times New Roman" w:hAnsi="Times New Roman" w:cs="Times New Roman"/>
          <w:szCs w:val="24"/>
        </w:rPr>
        <w:t>0</w:t>
      </w:r>
      <w:r w:rsidR="00E720CC" w:rsidRPr="0065234B">
        <w:rPr>
          <w:rFonts w:ascii="Times New Roman" w:hAnsi="Times New Roman" w:cs="Times New Roman"/>
          <w:szCs w:val="24"/>
        </w:rPr>
        <w:t>9.2017 r., str. 12)</w:t>
      </w:r>
      <w:r w:rsidRPr="0065234B">
        <w:rPr>
          <w:rFonts w:ascii="Times New Roman" w:hAnsi="Times New Roman" w:cs="Times New Roman"/>
          <w:szCs w:val="24"/>
        </w:rPr>
        <w:t>, którego podstawą p</w:t>
      </w:r>
      <w:r w:rsidR="007E6A56">
        <w:rPr>
          <w:rFonts w:ascii="Times New Roman" w:hAnsi="Times New Roman" w:cs="Times New Roman"/>
          <w:szCs w:val="24"/>
        </w:rPr>
        <w:t>rawną jest akapit pierwszy art. </w:t>
      </w:r>
      <w:r w:rsidRPr="0065234B">
        <w:rPr>
          <w:rFonts w:ascii="Times New Roman" w:hAnsi="Times New Roman" w:cs="Times New Roman"/>
          <w:szCs w:val="24"/>
        </w:rPr>
        <w:t>63 ust. 1 rozporządzenia 536/2014.</w:t>
      </w:r>
      <w:r w:rsidRPr="0065234B">
        <w:rPr>
          <w:rFonts w:ascii="Times New Roman" w:hAnsi="Times New Roman" w:cs="Times New Roman"/>
          <w:szCs w:val="24"/>
        </w:rPr>
        <w:cr/>
        <w:t xml:space="preserve">Dodatkowo wprowadzono przepis odnoszący się do nazewnictwa w zakresie „zezwolenia na wytwarzanie lub import produktów leczniczych” w celu zastąpienia nazwy z rozporządzenia 536/2014, w którym jest mowa o pozwoleniu na wytwarzanie lub import badanych produktów leczniczych. W </w:t>
      </w:r>
      <w:r w:rsidR="0071470E" w:rsidRPr="0065234B">
        <w:rPr>
          <w:rFonts w:ascii="Times New Roman" w:hAnsi="Times New Roman" w:cs="Times New Roman"/>
          <w:szCs w:val="24"/>
        </w:rPr>
        <w:t xml:space="preserve">obowiązującej </w:t>
      </w:r>
      <w:r w:rsidRPr="0065234B">
        <w:rPr>
          <w:rFonts w:ascii="Times New Roman" w:hAnsi="Times New Roman" w:cs="Times New Roman"/>
          <w:szCs w:val="24"/>
        </w:rPr>
        <w:t>ustawie przyjęto, że pozwolenie dotyczy dopuszczenia do obrotu produktów leczniczych wydawanego przez Prezesa Urzędu, natomiast zezwolenie dotyczy decyzji wydawanych przez Głównego Inspektora Farmaceutycznego w zakresie wytwarzania lub importu produktów leczniczych, w tym badanych produktów leczniczych. Należy podkreślić, że zastosowanie nazwy „zezwolenie na wytwarzanie lub import produktów leczniczych” w odniesieniu do badanych produktów leczniczych pozwoli na stosowanie dotychczasowych przepisów zawartych w ustawie obowiązującej regulujących wydawanie zezwoleń na wytwarzanie lub import produktów leczniczych. Przepisy te są zgodne z</w:t>
      </w:r>
      <w:r w:rsidR="007E6A56">
        <w:rPr>
          <w:rFonts w:ascii="Times New Roman" w:hAnsi="Times New Roman" w:cs="Times New Roman"/>
          <w:szCs w:val="24"/>
        </w:rPr>
        <w:t xml:space="preserve"> </w:t>
      </w:r>
      <w:r w:rsidRPr="0065234B">
        <w:rPr>
          <w:rFonts w:ascii="Times New Roman" w:hAnsi="Times New Roman" w:cs="Times New Roman"/>
          <w:szCs w:val="24"/>
        </w:rPr>
        <w:t>dyrektywą 2001/83, natomiast formularz wniosku o wydanie zezwolenia na wytwarzanie lub import produktów leczniczych określony w rozporządzeniu Ministra Zdrowia z dnia 29</w:t>
      </w:r>
      <w:r w:rsidR="00244358">
        <w:rPr>
          <w:rFonts w:ascii="Times New Roman" w:hAnsi="Times New Roman" w:cs="Times New Roman"/>
          <w:szCs w:val="24"/>
        </w:rPr>
        <w:t xml:space="preserve"> </w:t>
      </w:r>
      <w:r w:rsidRPr="0065234B">
        <w:rPr>
          <w:rFonts w:ascii="Times New Roman" w:hAnsi="Times New Roman" w:cs="Times New Roman"/>
          <w:szCs w:val="24"/>
        </w:rPr>
        <w:t>kwietnia 2019 r. w sprawie wzoru wniosku o wydanie zezwolenia na wytwarzanie lub import produktów leczniczych (Dz. U. poz. 830) odzwierciedla format opublikowany w</w:t>
      </w:r>
      <w:r w:rsidR="00244358">
        <w:rPr>
          <w:rFonts w:ascii="Times New Roman" w:hAnsi="Times New Roman" w:cs="Times New Roman"/>
          <w:szCs w:val="24"/>
        </w:rPr>
        <w:t xml:space="preserve"> </w:t>
      </w:r>
      <w:r w:rsidRPr="0065234B">
        <w:rPr>
          <w:rFonts w:ascii="Times New Roman" w:hAnsi="Times New Roman" w:cs="Times New Roman"/>
          <w:szCs w:val="24"/>
        </w:rPr>
        <w:t>dokumencie Komisji Europejskiej Compilation of Community Procedures on Inspections and Exchange of Information, dodatkowo ten sam format jest stosowany w unijnej bazie danych EudraGMDP, do której Główny Inspektor Farmaceutyczny ma obowiązek wprowadzania wszystkich wydanych zezwoleń na wytwarzanie lub import produktów leczniczych</w:t>
      </w:r>
      <w:r w:rsidR="00244358">
        <w:rPr>
          <w:rFonts w:ascii="Times New Roman" w:hAnsi="Times New Roman" w:cs="Times New Roman"/>
          <w:szCs w:val="24"/>
        </w:rPr>
        <w:t>,</w:t>
      </w:r>
      <w:r w:rsidRPr="0065234B">
        <w:rPr>
          <w:rFonts w:ascii="Times New Roman" w:hAnsi="Times New Roman" w:cs="Times New Roman"/>
          <w:szCs w:val="24"/>
        </w:rPr>
        <w:t xml:space="preserve"> w tym badanych produktów leczniczych.</w:t>
      </w:r>
    </w:p>
    <w:p w14:paraId="1E8D33AE" w14:textId="5AD3F29E" w:rsidR="00F11197" w:rsidRPr="0065234B" w:rsidRDefault="00F11197" w:rsidP="00053939">
      <w:pPr>
        <w:pStyle w:val="ARTartustawynprozporzdzenia"/>
        <w:ind w:firstLine="567"/>
        <w:rPr>
          <w:rFonts w:ascii="Times New Roman" w:hAnsi="Times New Roman" w:cs="Times New Roman"/>
          <w:szCs w:val="24"/>
        </w:rPr>
      </w:pPr>
      <w:r w:rsidRPr="0065234B">
        <w:rPr>
          <w:rFonts w:ascii="Times New Roman" w:hAnsi="Times New Roman" w:cs="Times New Roman"/>
          <w:szCs w:val="24"/>
        </w:rPr>
        <w:lastRenderedPageBreak/>
        <w:t>W celu uszczegółowienia regulacji w zakresie pomocniczych produktów leczniczych wprowadzono dodatkow</w:t>
      </w:r>
      <w:r w:rsidR="003F7EC4" w:rsidRPr="0065234B">
        <w:rPr>
          <w:rFonts w:ascii="Times New Roman" w:hAnsi="Times New Roman" w:cs="Times New Roman"/>
          <w:szCs w:val="24"/>
        </w:rPr>
        <w:t>y</w:t>
      </w:r>
      <w:r w:rsidRPr="0065234B">
        <w:rPr>
          <w:rFonts w:ascii="Times New Roman" w:hAnsi="Times New Roman" w:cs="Times New Roman"/>
          <w:szCs w:val="24"/>
        </w:rPr>
        <w:t xml:space="preserve"> przepis do art. 51a</w:t>
      </w:r>
      <w:r w:rsidR="002638F9" w:rsidRPr="0065234B">
        <w:rPr>
          <w:rFonts w:ascii="Times New Roman" w:hAnsi="Times New Roman" w:cs="Times New Roman"/>
          <w:szCs w:val="24"/>
        </w:rPr>
        <w:t xml:space="preserve"> obowiązującej ustawy</w:t>
      </w:r>
      <w:r w:rsidRPr="0065234B">
        <w:rPr>
          <w:rFonts w:ascii="Times New Roman" w:hAnsi="Times New Roman" w:cs="Times New Roman"/>
          <w:szCs w:val="24"/>
        </w:rPr>
        <w:t>. Występują dwa typy pomocniczych produktów leczniczych wykorzystywanych w badaniach klinicznych:</w:t>
      </w:r>
    </w:p>
    <w:p w14:paraId="2A04661D" w14:textId="7B4B7755"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dopuszczone do obrotu na terytorium kraju, w którym jest prowadzone badanie kliniczne</w:t>
      </w:r>
      <w:r w:rsidR="00636567">
        <w:rPr>
          <w:rFonts w:ascii="Times New Roman" w:hAnsi="Times New Roman" w:cs="Times New Roman"/>
          <w:szCs w:val="24"/>
        </w:rPr>
        <w:t>,</w:t>
      </w:r>
      <w:r w:rsidRPr="0065234B">
        <w:rPr>
          <w:rFonts w:ascii="Times New Roman" w:hAnsi="Times New Roman" w:cs="Times New Roman"/>
          <w:szCs w:val="24"/>
        </w:rPr>
        <w:t xml:space="preserve"> i wówczas powinny one spełniać wymagania określone dla wszystkich produktów leczniczych dopuszczonych do obrotu (pkt 5a w ust. 1 art. 51a);</w:t>
      </w:r>
    </w:p>
    <w:p w14:paraId="05CE4074" w14:textId="1288EED6"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niedopuszczone do obrotu na terytorium kraju, w którym prowadzone badanie kliniczne</w:t>
      </w:r>
      <w:r w:rsidR="00636567">
        <w:rPr>
          <w:rFonts w:ascii="Times New Roman" w:hAnsi="Times New Roman" w:cs="Times New Roman"/>
          <w:szCs w:val="24"/>
        </w:rPr>
        <w:t xml:space="preserve">, </w:t>
      </w:r>
      <w:r w:rsidRPr="0065234B">
        <w:rPr>
          <w:rFonts w:ascii="Times New Roman" w:hAnsi="Times New Roman" w:cs="Times New Roman"/>
          <w:szCs w:val="24"/>
        </w:rPr>
        <w:t>i wówczas powinny one spełniać wymagania określone dla badanych produktów leczniczych w myśl rozporządzenia 536/2014 (pkt 5 w ust. 1 art. 51a).</w:t>
      </w:r>
    </w:p>
    <w:p w14:paraId="548B546B" w14:textId="5A3C5D92" w:rsidR="00F11197" w:rsidRPr="0065234B" w:rsidRDefault="00F11197" w:rsidP="00053939">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Ponadto został uszczegółowiony przepis wdrażający art. 3 dyrektywy 2017/1572 z dnia 15 września 2017 r., będący odpowiednikiem art. 3 Dyrektywy Komisji 2003/94/WE</w:t>
      </w:r>
      <w:r w:rsidR="00053939">
        <w:rPr>
          <w:rFonts w:ascii="Times New Roman" w:hAnsi="Times New Roman" w:cs="Times New Roman"/>
          <w:szCs w:val="24"/>
        </w:rPr>
        <w:t xml:space="preserve"> z dnia 8 października 2003 r. ustanawiając</w:t>
      </w:r>
      <w:r w:rsidR="00857394">
        <w:rPr>
          <w:rFonts w:ascii="Times New Roman" w:hAnsi="Times New Roman" w:cs="Times New Roman"/>
          <w:szCs w:val="24"/>
        </w:rPr>
        <w:t>ej</w:t>
      </w:r>
      <w:r w:rsidR="00053939">
        <w:rPr>
          <w:rFonts w:ascii="Times New Roman" w:hAnsi="Times New Roman" w:cs="Times New Roman"/>
          <w:szCs w:val="24"/>
        </w:rPr>
        <w:t xml:space="preserve"> zasady i </w:t>
      </w:r>
      <w:r w:rsidR="00165972" w:rsidRPr="0065234B">
        <w:rPr>
          <w:rFonts w:ascii="Times New Roman" w:hAnsi="Times New Roman" w:cs="Times New Roman"/>
          <w:szCs w:val="24"/>
        </w:rPr>
        <w:t>wytyc</w:t>
      </w:r>
      <w:r w:rsidR="00053939">
        <w:rPr>
          <w:rFonts w:ascii="Times New Roman" w:hAnsi="Times New Roman" w:cs="Times New Roman"/>
          <w:szCs w:val="24"/>
        </w:rPr>
        <w:t xml:space="preserve">zne dobrej praktyki wytwarzania w </w:t>
      </w:r>
      <w:r w:rsidR="00165972" w:rsidRPr="0065234B">
        <w:rPr>
          <w:rFonts w:ascii="Times New Roman" w:hAnsi="Times New Roman" w:cs="Times New Roman"/>
          <w:szCs w:val="24"/>
        </w:rPr>
        <w:t>odniesieniu do produktów leczniczych stosowanych u ludzi oraz produktów leczniczych stosow</w:t>
      </w:r>
      <w:r w:rsidR="006E6499">
        <w:rPr>
          <w:rFonts w:ascii="Times New Roman" w:hAnsi="Times New Roman" w:cs="Times New Roman"/>
          <w:szCs w:val="24"/>
        </w:rPr>
        <w:t xml:space="preserve">anych u ludzi, znajdujących się w </w:t>
      </w:r>
      <w:r w:rsidR="00165972" w:rsidRPr="0065234B">
        <w:rPr>
          <w:rFonts w:ascii="Times New Roman" w:hAnsi="Times New Roman" w:cs="Times New Roman"/>
          <w:szCs w:val="24"/>
        </w:rPr>
        <w:t xml:space="preserve">fazie </w:t>
      </w:r>
      <w:r w:rsidR="00053939">
        <w:rPr>
          <w:rFonts w:ascii="Times New Roman" w:hAnsi="Times New Roman" w:cs="Times New Roman"/>
          <w:szCs w:val="24"/>
        </w:rPr>
        <w:t xml:space="preserve">badań (Dz. Urz. UE L </w:t>
      </w:r>
      <w:r w:rsidR="00165972" w:rsidRPr="0065234B">
        <w:rPr>
          <w:rFonts w:ascii="Times New Roman" w:hAnsi="Times New Roman" w:cs="Times New Roman"/>
          <w:szCs w:val="24"/>
        </w:rPr>
        <w:t>2</w:t>
      </w:r>
      <w:r w:rsidR="00BE4301" w:rsidRPr="0065234B">
        <w:rPr>
          <w:rFonts w:ascii="Times New Roman" w:hAnsi="Times New Roman" w:cs="Times New Roman"/>
          <w:szCs w:val="24"/>
        </w:rPr>
        <w:t>38</w:t>
      </w:r>
      <w:r w:rsidR="00165972" w:rsidRPr="0065234B">
        <w:rPr>
          <w:rFonts w:ascii="Times New Roman" w:hAnsi="Times New Roman" w:cs="Times New Roman"/>
          <w:szCs w:val="24"/>
        </w:rPr>
        <w:t xml:space="preserve"> </w:t>
      </w:r>
      <w:r w:rsidR="00053939">
        <w:rPr>
          <w:rFonts w:ascii="Times New Roman" w:hAnsi="Times New Roman" w:cs="Times New Roman"/>
          <w:szCs w:val="24"/>
        </w:rPr>
        <w:t>z 16.9.2017 r., str. </w:t>
      </w:r>
      <w:r w:rsidR="00BE4301" w:rsidRPr="0065234B">
        <w:rPr>
          <w:rFonts w:ascii="Times New Roman" w:hAnsi="Times New Roman" w:cs="Times New Roman"/>
          <w:szCs w:val="24"/>
        </w:rPr>
        <w:t>12, z późn. zm.</w:t>
      </w:r>
      <w:r w:rsidR="00053939">
        <w:rPr>
          <w:rFonts w:ascii="Times New Roman" w:hAnsi="Times New Roman" w:cs="Times New Roman"/>
          <w:szCs w:val="24"/>
        </w:rPr>
        <w:t>)</w:t>
      </w:r>
      <w:r w:rsidRPr="0065234B">
        <w:rPr>
          <w:rFonts w:ascii="Times New Roman" w:hAnsi="Times New Roman" w:cs="Times New Roman"/>
          <w:szCs w:val="24"/>
        </w:rPr>
        <w:t xml:space="preserve">, przez dodanie pkt 6a w art. 115 ust. 1 </w:t>
      </w:r>
      <w:r w:rsidR="0071470E" w:rsidRPr="0065234B">
        <w:rPr>
          <w:rFonts w:ascii="Times New Roman" w:hAnsi="Times New Roman" w:cs="Times New Roman"/>
          <w:szCs w:val="24"/>
        </w:rPr>
        <w:t xml:space="preserve">obowiązującej </w:t>
      </w:r>
      <w:r w:rsidRPr="0065234B">
        <w:rPr>
          <w:rFonts w:ascii="Times New Roman" w:hAnsi="Times New Roman" w:cs="Times New Roman"/>
          <w:szCs w:val="24"/>
        </w:rPr>
        <w:t>ustawy, ww. przepis dyrektywy stanowi, że „Państwa członkowskie ustanawiają i wdrażają w swoich inspektoratach odpowiednio zaprojektowany system jakości, który stosują pracownicy i kadra kierownicza inspektoratów. System jakości jest odpowiednio aktualizowany</w:t>
      </w:r>
      <w:r w:rsidR="00857394">
        <w:rPr>
          <w:rFonts w:ascii="Times New Roman" w:hAnsi="Times New Roman" w:cs="Times New Roman"/>
          <w:szCs w:val="24"/>
        </w:rPr>
        <w:t>.</w:t>
      </w:r>
      <w:r w:rsidRPr="0065234B">
        <w:rPr>
          <w:rFonts w:ascii="Times New Roman" w:hAnsi="Times New Roman" w:cs="Times New Roman"/>
          <w:szCs w:val="24"/>
        </w:rPr>
        <w:t>”.</w:t>
      </w:r>
    </w:p>
    <w:p w14:paraId="27EBCDAE" w14:textId="66C3955D" w:rsidR="00F11197" w:rsidRPr="0065234B" w:rsidRDefault="00F11197" w:rsidP="00545DA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Zaproponowana zmiana w ustawie z dnia 27 sierpnia 2004 r. o świadczeniach opieki zdrowotnej finansowanych ze środków publicznych ma na c</w:t>
      </w:r>
      <w:r w:rsidR="003336D0">
        <w:rPr>
          <w:rFonts w:ascii="Times New Roman" w:hAnsi="Times New Roman" w:cs="Times New Roman"/>
          <w:szCs w:val="24"/>
        </w:rPr>
        <w:t>elu dodanie do art. 131c w ust. </w:t>
      </w:r>
      <w:r w:rsidRPr="0065234B">
        <w:rPr>
          <w:rFonts w:ascii="Times New Roman" w:hAnsi="Times New Roman" w:cs="Times New Roman"/>
          <w:szCs w:val="24"/>
        </w:rPr>
        <w:t>3 przepisu wskazującego</w:t>
      </w:r>
      <w:r w:rsidR="0071470E" w:rsidRPr="0065234B">
        <w:rPr>
          <w:rFonts w:ascii="Times New Roman" w:hAnsi="Times New Roman" w:cs="Times New Roman"/>
          <w:szCs w:val="24"/>
        </w:rPr>
        <w:t>,</w:t>
      </w:r>
      <w:r w:rsidRPr="0065234B">
        <w:rPr>
          <w:rFonts w:ascii="Times New Roman" w:hAnsi="Times New Roman" w:cs="Times New Roman"/>
          <w:szCs w:val="24"/>
        </w:rPr>
        <w:t xml:space="preserve"> że koszty ujęte </w:t>
      </w:r>
      <w:r w:rsidR="00044BFF" w:rsidRPr="0065234B">
        <w:rPr>
          <w:rFonts w:ascii="Times New Roman" w:hAnsi="Times New Roman" w:cs="Times New Roman"/>
          <w:szCs w:val="24"/>
        </w:rPr>
        <w:t xml:space="preserve">w </w:t>
      </w:r>
      <w:r w:rsidRPr="0065234B">
        <w:rPr>
          <w:rFonts w:ascii="Times New Roman" w:hAnsi="Times New Roman" w:cs="Times New Roman"/>
          <w:szCs w:val="24"/>
        </w:rPr>
        <w:t>rocznym planie finansowym Funduszu Kompensacyjnego Badań Klinicznych będą zaliczane do wydatków na finansowanie ochrony zdrowia wskazanych w art. 131c ust. 1 tej ustawy.</w:t>
      </w:r>
    </w:p>
    <w:p w14:paraId="1C3E5472" w14:textId="5613568C" w:rsidR="00F11197" w:rsidRPr="0065234B" w:rsidRDefault="00F11197" w:rsidP="00545DA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Zmiana ustawy z dnia 6 listopada 2008 r. o prawach pacjenta i Rzeczniku Praw Pacjenta polega na wprowadzeniu wykazu organizacji pacjentów – bazy organizacji pacjentów – prowadzonego przez Rzecznika Praw Pacjenta. Celem utworzenia wykazu jest umożliwienie zebrania w jednym miejscu informacji o działających organizacjach pacjentów, które mogą być zainteresowane włączeniem swoich przedstawicieli do prac Naczelnej Komisji Bioetycznej i komisji bioetycznych. Badania kliniczne stanowią źródło dostępu pacjentów do nowoczesnej terapii. Rozporządzenie 536/2014 wprowadza szereg rozwiązań mających na celu doprecyzowanie i ujednolicenie regulacji prawnych dotyczących prowadzenia badań klinicznych na terenie Unii Europejskiej. Przedmiotowe rozporządzenie nie ma charakteru </w:t>
      </w:r>
      <w:r w:rsidRPr="0065234B">
        <w:rPr>
          <w:rFonts w:ascii="Times New Roman" w:hAnsi="Times New Roman" w:cs="Times New Roman"/>
          <w:szCs w:val="24"/>
        </w:rPr>
        <w:lastRenderedPageBreak/>
        <w:t>wyczerpującego. Do kompetencji krajowej pozostawiono m.in. określenie organizacji systemu oceny etycznej wniosków o pozwolenie na prowadzenie badania klinicznego. Jednocześnie rozporządzenie wprowadza wymóg zapewnienia organizacjom reprezentującym prawa pacjentów rzeczywistego udziału w sporządzaniu oceny etycznej wniosku. W celu zapewnienia realizacji obowiązku umożliwienia organizacj</w:t>
      </w:r>
      <w:r w:rsidR="004E6717" w:rsidRPr="0065234B">
        <w:rPr>
          <w:rFonts w:ascii="Times New Roman" w:hAnsi="Times New Roman" w:cs="Times New Roman"/>
          <w:szCs w:val="24"/>
        </w:rPr>
        <w:t>om</w:t>
      </w:r>
      <w:r w:rsidRPr="0065234B">
        <w:rPr>
          <w:rFonts w:ascii="Times New Roman" w:hAnsi="Times New Roman" w:cs="Times New Roman"/>
          <w:szCs w:val="24"/>
        </w:rPr>
        <w:t xml:space="preserve"> reprezentującym prawa pacjentów uczestniczenia w pracach komisji bioetycznych </w:t>
      </w:r>
      <w:r w:rsidR="00377630" w:rsidRPr="0065234B">
        <w:rPr>
          <w:rFonts w:ascii="Times New Roman" w:hAnsi="Times New Roman" w:cs="Times New Roman"/>
          <w:szCs w:val="24"/>
        </w:rPr>
        <w:t xml:space="preserve">jest </w:t>
      </w:r>
      <w:r w:rsidRPr="0065234B">
        <w:rPr>
          <w:rFonts w:ascii="Times New Roman" w:hAnsi="Times New Roman" w:cs="Times New Roman"/>
          <w:szCs w:val="24"/>
        </w:rPr>
        <w:t xml:space="preserve">konieczne utworzenie wykazu takich organizacji, co pozwoli na pozyskiwanie do składu komisji bioetycznych przedstawicieli odpowiednich podmiotów zrzeszających pacjentów. Wykaz organizacji pacjentów </w:t>
      </w:r>
      <w:r w:rsidR="00E64310" w:rsidRPr="0065234B">
        <w:rPr>
          <w:rFonts w:ascii="Times New Roman" w:hAnsi="Times New Roman" w:cs="Times New Roman"/>
          <w:szCs w:val="24"/>
        </w:rPr>
        <w:t xml:space="preserve">będzie </w:t>
      </w:r>
      <w:r w:rsidRPr="0065234B">
        <w:rPr>
          <w:rFonts w:ascii="Times New Roman" w:hAnsi="Times New Roman" w:cs="Times New Roman"/>
          <w:szCs w:val="24"/>
        </w:rPr>
        <w:t>prowadzony przez Rzecznika Praw Pacjenta i obejmie stowarzyszenia i fundacje, których statutowym zadaniem jest ochrona praw pacjentów, promocja zdrowia, profilaktyka i edukacja zdrowotna, zwanych dalej „organizacjami pacjentów”. Utworzony wykaz organizacji pacjentów</w:t>
      </w:r>
      <w:r w:rsidRPr="0065234B" w:rsidDel="001B773A">
        <w:rPr>
          <w:rFonts w:ascii="Times New Roman" w:hAnsi="Times New Roman" w:cs="Times New Roman"/>
          <w:szCs w:val="24"/>
        </w:rPr>
        <w:t xml:space="preserve"> </w:t>
      </w:r>
      <w:r w:rsidRPr="0065234B">
        <w:rPr>
          <w:rFonts w:ascii="Times New Roman" w:hAnsi="Times New Roman" w:cs="Times New Roman"/>
          <w:szCs w:val="24"/>
        </w:rPr>
        <w:t>będzie obejmował podstawowe dane umożliwiające identyfikację podmiotu, w tym obszar jego działania i siedzibę, zadania statutowe, cel działalności i główn</w:t>
      </w:r>
      <w:r w:rsidR="00377630">
        <w:rPr>
          <w:rFonts w:ascii="Times New Roman" w:hAnsi="Times New Roman" w:cs="Times New Roman"/>
          <w:szCs w:val="24"/>
        </w:rPr>
        <w:t>y</w:t>
      </w:r>
      <w:r w:rsidRPr="0065234B">
        <w:rPr>
          <w:rFonts w:ascii="Times New Roman" w:hAnsi="Times New Roman" w:cs="Times New Roman"/>
          <w:szCs w:val="24"/>
        </w:rPr>
        <w:t xml:space="preserve"> obszaru działalności (w tym jednostki chorobowej), władze danej organizacji, sposobu jej reprezentacji, informację, czy organizacja pacjentów należy do związku stowarzyszeń (federacji) oraz numer Krajowego Rejestru Sądowego, pod którym jest ujawniona organizacja pacjentów. Wpis następowałby na wniosek danej organizacji pacjentów. Dane będą podlegać aktualizacji, brak ich aktualizacji będzie mógł skutkować podjęciem decyzji o wykreśleniu organizacji pacjentów z wykazu organizacji pacjentów. Wykaz organizacji pacjentów będzie jawny, przez udostępnienie w Biuletynie Informacji Publicznej na stronie podmiotowej Rzecznika Praw Pacjenta –</w:t>
      </w:r>
      <w:r w:rsidR="004E6717" w:rsidRPr="0065234B">
        <w:rPr>
          <w:rFonts w:ascii="Times New Roman" w:hAnsi="Times New Roman" w:cs="Times New Roman"/>
          <w:szCs w:val="24"/>
        </w:rPr>
        <w:t xml:space="preserve"> </w:t>
      </w:r>
      <w:r w:rsidRPr="0065234B">
        <w:rPr>
          <w:rFonts w:ascii="Times New Roman" w:hAnsi="Times New Roman" w:cs="Times New Roman"/>
          <w:szCs w:val="24"/>
        </w:rPr>
        <w:t xml:space="preserve">art. </w:t>
      </w:r>
      <w:r w:rsidR="002E592D" w:rsidRPr="0065234B">
        <w:rPr>
          <w:rFonts w:ascii="Times New Roman" w:hAnsi="Times New Roman" w:cs="Times New Roman"/>
          <w:szCs w:val="24"/>
        </w:rPr>
        <w:t xml:space="preserve">85 pkt 3 </w:t>
      </w:r>
      <w:r w:rsidRPr="0065234B">
        <w:rPr>
          <w:rFonts w:ascii="Times New Roman" w:hAnsi="Times New Roman" w:cs="Times New Roman"/>
          <w:szCs w:val="24"/>
        </w:rPr>
        <w:t>projektu ustawy. Dzięki takiemu rozwiązaniu wszyscy zainteresowani będą mieli dostęp do informacji o działających organizacjach pacjentów. Informacje te będą szczególnie istotne dla Agencji Badań Medycznych, Naczelnej Komisji Bioetycznej czy komisji bioetycznych w kontekście zainteresowania udziałem organizacji pacjentów w ocenie etycznej wniosków o pozwolenia na prowadzenie badania klinicznego. Pozostałe zmiany w ustawie z dnia 6 listopada 2008 r. o prawach pacjenta i Rzeczniku Praw Pacjenta są wprowadzane w związku z realizowaniem przez Rzecznika Praw Pacjenta zadań związanych z tworzonym Funduszem Kompensacyjnym Badań Klinicznych.</w:t>
      </w:r>
    </w:p>
    <w:p w14:paraId="1E3A5F2D" w14:textId="4A889B60" w:rsidR="00F11197" w:rsidRPr="0065234B" w:rsidRDefault="00F11197" w:rsidP="00545DA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Zmiana w ustawie </w:t>
      </w:r>
      <w:bookmarkStart w:id="15" w:name="_Hlk110000960"/>
      <w:r w:rsidRPr="0065234B">
        <w:rPr>
          <w:rFonts w:ascii="Times New Roman" w:hAnsi="Times New Roman" w:cs="Times New Roman"/>
          <w:szCs w:val="24"/>
        </w:rPr>
        <w:t>z dnia 18 marca 2011 r. o Urzędzie Rejestracji Produktów Leczniczych, Wyrobów Medycznych i Produktów Biobójczych</w:t>
      </w:r>
      <w:bookmarkEnd w:id="15"/>
      <w:r w:rsidR="00545DA0">
        <w:rPr>
          <w:rFonts w:ascii="Times New Roman" w:hAnsi="Times New Roman" w:cs="Times New Roman"/>
          <w:szCs w:val="24"/>
        </w:rPr>
        <w:t xml:space="preserve"> (</w:t>
      </w:r>
      <w:r w:rsidR="00545DA0" w:rsidRPr="00377630">
        <w:rPr>
          <w:rFonts w:ascii="Times New Roman" w:hAnsi="Times New Roman" w:cs="Times New Roman"/>
          <w:szCs w:val="24"/>
        </w:rPr>
        <w:t>Dz. U. z 2022 r. poz. </w:t>
      </w:r>
      <w:r w:rsidR="007163FE" w:rsidRPr="00377630">
        <w:rPr>
          <w:rFonts w:ascii="Times New Roman" w:hAnsi="Times New Roman" w:cs="Times New Roman"/>
          <w:szCs w:val="24"/>
        </w:rPr>
        <w:t>2258</w:t>
      </w:r>
      <w:r w:rsidR="007163FE" w:rsidRPr="0065234B">
        <w:rPr>
          <w:rFonts w:ascii="Times New Roman" w:hAnsi="Times New Roman" w:cs="Times New Roman"/>
          <w:szCs w:val="24"/>
        </w:rPr>
        <w:t xml:space="preserve">) </w:t>
      </w:r>
      <w:r w:rsidRPr="0065234B">
        <w:rPr>
          <w:rFonts w:ascii="Times New Roman" w:hAnsi="Times New Roman" w:cs="Times New Roman"/>
          <w:szCs w:val="24"/>
        </w:rPr>
        <w:t xml:space="preserve">polega na wprowadzeniu przepisów dotyczących doradztwa naukowego, tzw. scientific advice, wprowadzonego rozporządzeniem (WE) nr 726/2004 Parlamentu Europejskiego i </w:t>
      </w:r>
      <w:r w:rsidRPr="0065234B">
        <w:rPr>
          <w:rFonts w:ascii="Times New Roman" w:hAnsi="Times New Roman" w:cs="Times New Roman"/>
          <w:szCs w:val="24"/>
        </w:rPr>
        <w:lastRenderedPageBreak/>
        <w:t>Rady z dnia 31 marca 2004 r. ustanawiając</w:t>
      </w:r>
      <w:r w:rsidR="00377630">
        <w:rPr>
          <w:rFonts w:ascii="Times New Roman" w:hAnsi="Times New Roman" w:cs="Times New Roman"/>
          <w:szCs w:val="24"/>
        </w:rPr>
        <w:t>ym</w:t>
      </w:r>
      <w:r w:rsidRPr="0065234B">
        <w:rPr>
          <w:rFonts w:ascii="Times New Roman" w:hAnsi="Times New Roman" w:cs="Times New Roman"/>
          <w:szCs w:val="24"/>
        </w:rPr>
        <w:t xml:space="preserve"> wspólnotowe procedury wydawania pozwoleń dla produktów leczniczych stosowanych u ludzi i do celów weterynaryjnych i nadzoru nad nimi oraz ustanawiając</w:t>
      </w:r>
      <w:r w:rsidR="00377630">
        <w:rPr>
          <w:rFonts w:ascii="Times New Roman" w:hAnsi="Times New Roman" w:cs="Times New Roman"/>
          <w:szCs w:val="24"/>
        </w:rPr>
        <w:t>ym</w:t>
      </w:r>
      <w:r w:rsidRPr="0065234B">
        <w:rPr>
          <w:rFonts w:ascii="Times New Roman" w:hAnsi="Times New Roman" w:cs="Times New Roman"/>
          <w:szCs w:val="24"/>
        </w:rPr>
        <w:t xml:space="preserve"> Europejską Agencję Leków (Dz</w:t>
      </w:r>
      <w:r w:rsidR="003336D0">
        <w:rPr>
          <w:rFonts w:ascii="Times New Roman" w:hAnsi="Times New Roman" w:cs="Times New Roman"/>
          <w:szCs w:val="24"/>
        </w:rPr>
        <w:t>. Urz. UE z 2004 r. L 136, str. </w:t>
      </w:r>
      <w:r w:rsidRPr="0065234B">
        <w:rPr>
          <w:rFonts w:ascii="Times New Roman" w:hAnsi="Times New Roman" w:cs="Times New Roman"/>
          <w:szCs w:val="24"/>
        </w:rPr>
        <w:t>1</w:t>
      </w:r>
      <w:r w:rsidR="007163FE" w:rsidRPr="0065234B">
        <w:rPr>
          <w:rFonts w:ascii="Times New Roman" w:hAnsi="Times New Roman" w:cs="Times New Roman"/>
          <w:szCs w:val="24"/>
        </w:rPr>
        <w:t>, z późn. zm.</w:t>
      </w:r>
      <w:r w:rsidRPr="0065234B">
        <w:rPr>
          <w:rFonts w:ascii="Times New Roman" w:hAnsi="Times New Roman" w:cs="Times New Roman"/>
          <w:szCs w:val="24"/>
        </w:rPr>
        <w:t>). Celem zmiany ustawy jest zapewnienie dostępu do porad naukowych, przede wszystkim podmiotom odpowiedzialnym rejestrującym produkty lecznicze w Rzeczypospolitej Polskiej, które są bardzo istotne dla prawidłowego przeprowadzenia rozwoju produktu leczniczego. Aktualnie przedstawiciele podmiotów odpowiedzialnych działających na rynku polskim mają wyłącznie możliwość wystąpienia z wnioskiem o udzielenie porady naukowej do Europejskiej Agencji Leków albo do agencji rejestracyjnych innych państw członkowskich. Na gruncie krajowym są tej możliwości pozbawieni. Doradztwo naukowe to ważne narzędzie służące rozwojowi oraz zapewnieniu dostępności wysokiej jakości, skutecznych i bezpiecznych produktów leczniczych z korzyścią dla pacjentów. Proponowane rozwiązania wzorowane są na doradztwie naukowym prowadzonym przez Europejską Agencję Leków, o którym mowa w rozporządzeniu (WE) nr 726/2004 Parlamentu Europejskiego i Rady z dnia 31 marca 2004 r. ustanawiającym wspólnotowe procedury wydawania pozwoleń dla produktów leczniczych stosowanych u ludzi i do celów weterynaryjnych i nadzoru nad nimi oraz ustanawiając</w:t>
      </w:r>
      <w:r w:rsidR="00996023">
        <w:rPr>
          <w:rFonts w:ascii="Times New Roman" w:hAnsi="Times New Roman" w:cs="Times New Roman"/>
          <w:szCs w:val="24"/>
        </w:rPr>
        <w:t>ym</w:t>
      </w:r>
      <w:r w:rsidR="00545DA0">
        <w:rPr>
          <w:rFonts w:ascii="Times New Roman" w:hAnsi="Times New Roman" w:cs="Times New Roman"/>
          <w:szCs w:val="24"/>
        </w:rPr>
        <w:t xml:space="preserve"> Europejską Agencję Leków (art. </w:t>
      </w:r>
      <w:r w:rsidRPr="0065234B">
        <w:rPr>
          <w:rFonts w:ascii="Times New Roman" w:hAnsi="Times New Roman" w:cs="Times New Roman"/>
          <w:szCs w:val="24"/>
        </w:rPr>
        <w:t>56 ust. 3, art. 57 ust. 1 lit. n). Projektowane przepisy ustanawiające doradztwo naukowe w obszarze produktów leczniczych zapewniają, analogicznie jak ma to miejsce w Europejskiej Agencji Leków bądź agencjach narodowych państw członkowskich Unii Europejskiej, pełną niezależność od postępowań, których przebieg, w tym wymagania dotyczące przedkładanych przez podmioty odpowiedzialne wniosków i dokumentacji, są ściśle określone zharmonizowanymi w całej Unii Europejskiej przepisami prawa.</w:t>
      </w:r>
      <w:r w:rsidR="00545DA0">
        <w:rPr>
          <w:rFonts w:ascii="Times New Roman" w:hAnsi="Times New Roman" w:cs="Times New Roman"/>
          <w:szCs w:val="24"/>
        </w:rPr>
        <w:t xml:space="preserve"> W projektowanym art. </w:t>
      </w:r>
      <w:r w:rsidRPr="0065234B">
        <w:rPr>
          <w:rFonts w:ascii="Times New Roman" w:hAnsi="Times New Roman" w:cs="Times New Roman"/>
          <w:szCs w:val="24"/>
        </w:rPr>
        <w:t>2a ust. 2 ustawy z dnia 18 marca 2011 r. o Urzędzie Rejestracji Produktów Leczniczych, Wyrobów Medycznych i Produktów Biobójczych zostały wymienione wszystkie okoliczności, w przypadku których zaistnienia porada nie będzie udzielana. Należy zauważyć, że wskazany w ww. przepisie katalog przypadków wyłączających możliwość udzielenia porady naukowej przez Prezesa Urzędu obejmuje wszystkie przypadki wykluczające zaistnienie ewentualnego konfliktu interesów</w:t>
      </w:r>
      <w:r w:rsidR="00545DA0">
        <w:rPr>
          <w:rFonts w:ascii="Times New Roman" w:hAnsi="Times New Roman" w:cs="Times New Roman"/>
          <w:szCs w:val="24"/>
        </w:rPr>
        <w:t>.</w:t>
      </w:r>
    </w:p>
    <w:p w14:paraId="4061F8F2" w14:textId="3BDDADBE" w:rsidR="00F11197" w:rsidRPr="0065234B" w:rsidRDefault="00F11197" w:rsidP="00545DA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Doradztwo naukowe ma charakter prospektywny. Prezes Urzędu</w:t>
      </w:r>
      <w:r w:rsidR="00996023">
        <w:rPr>
          <w:rFonts w:ascii="Times New Roman" w:hAnsi="Times New Roman" w:cs="Times New Roman"/>
          <w:szCs w:val="24"/>
        </w:rPr>
        <w:t>,</w:t>
      </w:r>
      <w:r w:rsidRPr="0065234B">
        <w:rPr>
          <w:rFonts w:ascii="Times New Roman" w:hAnsi="Times New Roman" w:cs="Times New Roman"/>
          <w:szCs w:val="24"/>
        </w:rPr>
        <w:t xml:space="preserve"> udzielając porady naukowej</w:t>
      </w:r>
      <w:r w:rsidR="00996023">
        <w:rPr>
          <w:rFonts w:ascii="Times New Roman" w:hAnsi="Times New Roman" w:cs="Times New Roman"/>
          <w:szCs w:val="24"/>
        </w:rPr>
        <w:t>,</w:t>
      </w:r>
      <w:r w:rsidRPr="0065234B">
        <w:rPr>
          <w:rFonts w:ascii="Times New Roman" w:hAnsi="Times New Roman" w:cs="Times New Roman"/>
          <w:szCs w:val="24"/>
        </w:rPr>
        <w:t xml:space="preserve"> nie dokonuje wstępnej oceny wyników badań i w żaden sposób nie stwierdza, czy korzyści płynące ze stosowania leku przewyższają ryzyko. Doradztwo naukowe jest szczególnie przydatne dla twórców leków, gdy:</w:t>
      </w:r>
    </w:p>
    <w:p w14:paraId="09982D3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lastRenderedPageBreak/>
        <w:t>1)</w:t>
      </w:r>
      <w:r w:rsidRPr="0065234B">
        <w:rPr>
          <w:rFonts w:ascii="Times New Roman" w:hAnsi="Times New Roman" w:cs="Times New Roman"/>
          <w:szCs w:val="24"/>
        </w:rPr>
        <w:tab/>
        <w:t>opracowują innowacyjny lek i wytyczne lub monografie farmakopealne nie są wystarczające;</w:t>
      </w:r>
    </w:p>
    <w:p w14:paraId="2E0B4D88"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twórca leku decyduje się odejść od wytycznych naukowych w swoim planie rozwoju;</w:t>
      </w:r>
    </w:p>
    <w:p w14:paraId="02AA16E1" w14:textId="793A2C36" w:rsidR="00F11197" w:rsidRPr="0065234B" w:rsidRDefault="00F11197" w:rsidP="00545DA0">
      <w:pPr>
        <w:pStyle w:val="NIEARTTEKSTtekstnieartykuowanynppodstprawnarozplubpreambua"/>
        <w:ind w:left="567" w:hanging="567"/>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twórca leku posiada ograniczoną wiedzę w zakresie objętym poradą naukową, może to dotyczyć np. grup akademickich czy podmiotów z niewielkim zapleczem naukowym. Pytania podczas doradztwa naukowego mogą być udzielane wyłącznie w zakresie prowadzenia testów i badań niezbędnych do wykazania jakości, bezpieczeństwa lub skuteczności produktów leczniczych stosowanych u ludzi. Mogą one dotyczyć:</w:t>
      </w:r>
    </w:p>
    <w:p w14:paraId="523C5941"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1)</w:t>
      </w:r>
      <w:r w:rsidRPr="0065234B">
        <w:rPr>
          <w:rFonts w:ascii="Times New Roman" w:hAnsi="Times New Roman" w:cs="Times New Roman"/>
          <w:szCs w:val="24"/>
        </w:rPr>
        <w:tab/>
        <w:t>aspektów jakościowych (produkcja leku, badania chemiczne, farmaceutyczne i biologiczne leku);</w:t>
      </w:r>
    </w:p>
    <w:p w14:paraId="7038F033"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2)</w:t>
      </w:r>
      <w:r w:rsidRPr="0065234B">
        <w:rPr>
          <w:rFonts w:ascii="Times New Roman" w:hAnsi="Times New Roman" w:cs="Times New Roman"/>
          <w:szCs w:val="24"/>
        </w:rPr>
        <w:tab/>
        <w:t>aspektów nieklinicznych (badania toksykologiczne i farmakologiczne mające na celu wykazanie aktywności leku w laboratorium);</w:t>
      </w:r>
    </w:p>
    <w:p w14:paraId="5363C059"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3)</w:t>
      </w:r>
      <w:r w:rsidRPr="0065234B">
        <w:rPr>
          <w:rFonts w:ascii="Times New Roman" w:hAnsi="Times New Roman" w:cs="Times New Roman"/>
          <w:szCs w:val="24"/>
        </w:rPr>
        <w:tab/>
        <w:t>aspektów klinicznych (adekwatność badań na pacjentach lub zdrowych ochotnikach, wybór punktów końcowych, tj. jak najlepiej mierzyć skutki w badaniu, działania po wydaniu pozwolenia, w tym plany zarządzania ryzykiem);</w:t>
      </w:r>
    </w:p>
    <w:p w14:paraId="34D6FEDC"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4)</w:t>
      </w:r>
      <w:r w:rsidRPr="0065234B">
        <w:rPr>
          <w:rFonts w:ascii="Times New Roman" w:hAnsi="Times New Roman" w:cs="Times New Roman"/>
          <w:szCs w:val="24"/>
        </w:rPr>
        <w:tab/>
        <w:t>nadzoru nad bezpieczeństwem stosowania produktów leczniczych;</w:t>
      </w:r>
    </w:p>
    <w:p w14:paraId="36FC004F"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5)</w:t>
      </w:r>
      <w:r w:rsidRPr="0065234B">
        <w:rPr>
          <w:rFonts w:ascii="Times New Roman" w:hAnsi="Times New Roman" w:cs="Times New Roman"/>
          <w:szCs w:val="24"/>
        </w:rPr>
        <w:tab/>
        <w:t>zagadnień metodologicznych (wykorzystanie testów statystycznych, analiza danych, modelowanie i symulacja).</w:t>
      </w:r>
    </w:p>
    <w:p w14:paraId="7CA4ADFD" w14:textId="78BCAB7C" w:rsidR="00F11197" w:rsidRPr="0065234B" w:rsidRDefault="00F11197" w:rsidP="00545DA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Porady naukowe nie są wiążące w postępowaniach prowadzonych przed Prezesem Urzędu, stanowią jedynie swoisty kierunek i naukową pomoc dla podejmowanych przez przyszłych wnioskodawców działań. Takimi wnioskodawcami mogą być zarówno osoby fizyczne, jak i osoby prawne</w:t>
      </w:r>
      <w:r w:rsidR="00996023">
        <w:rPr>
          <w:rFonts w:ascii="Times New Roman" w:hAnsi="Times New Roman" w:cs="Times New Roman"/>
          <w:szCs w:val="24"/>
        </w:rPr>
        <w:t>,</w:t>
      </w:r>
      <w:r w:rsidRPr="0065234B">
        <w:rPr>
          <w:rFonts w:ascii="Times New Roman" w:hAnsi="Times New Roman" w:cs="Times New Roman"/>
          <w:szCs w:val="24"/>
        </w:rPr>
        <w:t xml:space="preserve"> oraz jednostki organizacyjne nieposiadające osobowości prawnej zainteresowane uzyskaniem porady. Istotą procesu udzielania takich porad jest również zapewnienie właściwej struktury organizacyjnej</w:t>
      </w:r>
      <w:r w:rsidR="00996023">
        <w:rPr>
          <w:rFonts w:ascii="Times New Roman" w:hAnsi="Times New Roman" w:cs="Times New Roman"/>
          <w:szCs w:val="24"/>
        </w:rPr>
        <w:t>,</w:t>
      </w:r>
      <w:r w:rsidRPr="0065234B">
        <w:rPr>
          <w:rFonts w:ascii="Times New Roman" w:hAnsi="Times New Roman" w:cs="Times New Roman"/>
          <w:szCs w:val="24"/>
        </w:rPr>
        <w:t xml:space="preserve"> tak aby omawiana działalność była wykonywana przez osoby inne niż biorące udział w późniejszych ewentualnych postępowaniach przed organem. Służyć temu ma odesłanie do regulacji dotyczącej konfliktu interesów i zakazu łączenia funkcji, o której mowa w art</w:t>
      </w:r>
      <w:r w:rsidR="003336D0">
        <w:rPr>
          <w:rFonts w:ascii="Times New Roman" w:hAnsi="Times New Roman" w:cs="Times New Roman"/>
          <w:szCs w:val="24"/>
        </w:rPr>
        <w:t>. 9 ustawy z dnia 18 marca 2011 </w:t>
      </w:r>
      <w:r w:rsidRPr="0065234B">
        <w:rPr>
          <w:rFonts w:ascii="Times New Roman" w:hAnsi="Times New Roman" w:cs="Times New Roman"/>
          <w:szCs w:val="24"/>
        </w:rPr>
        <w:t xml:space="preserve">r. o Urzędzie Rejestracji Produktów Leczniczych, Wyrobów Medycznych i Produktów Biobójczych. Należy podkreślić, że doradztwo naukowe nie jest postępowaniem administracyjnym, zatem nie będzie kończyć się wydaniem postanowienia czy decyzji, a jedynie dokumentu nazwanego „Poradą naukową”. Porada naukowa nie rozstrzyga o </w:t>
      </w:r>
      <w:r w:rsidRPr="0065234B">
        <w:rPr>
          <w:rFonts w:ascii="Times New Roman" w:hAnsi="Times New Roman" w:cs="Times New Roman"/>
          <w:szCs w:val="24"/>
        </w:rPr>
        <w:lastRenderedPageBreak/>
        <w:t>prawach i obowiązkach strony, nie jest rozstrzygnięciem o charakterze władczym i nie będzie miała formy decyzji czy postanowienia. Nie będzie miała również wpływu na toczące się w przyszłości postępowania. Zaznaczyć należy również, że udzielanie przez Prezesa Urzędu porad naukowych w zakresie prowadzenia testów i badań niezbędnych do wykazania jakości, bezpieczeństwa lub skuteczności produktów leczniczych stosowanych u ludzi nie będzie działalnością gospodarczą.</w:t>
      </w:r>
    </w:p>
    <w:p w14:paraId="54B3B433" w14:textId="14F1E9F9"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 xml:space="preserve">Zgodnie z art. 3 ustawy </w:t>
      </w:r>
      <w:r w:rsidR="000A79CD" w:rsidRPr="0065234B">
        <w:rPr>
          <w:rFonts w:ascii="Times New Roman" w:hAnsi="Times New Roman" w:cs="Times New Roman"/>
          <w:szCs w:val="24"/>
        </w:rPr>
        <w:t xml:space="preserve">z dnia 6 marca 2018 r. </w:t>
      </w:r>
      <w:r w:rsidR="007915E6">
        <w:rPr>
          <w:rFonts w:ascii="Times New Roman" w:hAnsi="Times New Roman" w:cs="Times New Roman"/>
          <w:szCs w:val="24"/>
        </w:rPr>
        <w:t>–</w:t>
      </w:r>
      <w:r w:rsidRPr="0065234B">
        <w:rPr>
          <w:rFonts w:ascii="Times New Roman" w:hAnsi="Times New Roman" w:cs="Times New Roman"/>
          <w:szCs w:val="24"/>
        </w:rPr>
        <w:t xml:space="preserve"> </w:t>
      </w:r>
      <w:r w:rsidRPr="00722915">
        <w:rPr>
          <w:rFonts w:ascii="Times New Roman" w:hAnsi="Times New Roman" w:cs="Times New Roman"/>
          <w:szCs w:val="24"/>
        </w:rPr>
        <w:t xml:space="preserve">Prawo przedsiębiorców </w:t>
      </w:r>
      <w:r w:rsidR="000E53F0">
        <w:rPr>
          <w:rFonts w:ascii="Times New Roman" w:hAnsi="Times New Roman" w:cs="Times New Roman"/>
          <w:szCs w:val="24"/>
        </w:rPr>
        <w:t>(</w:t>
      </w:r>
      <w:r w:rsidR="000E53F0" w:rsidRPr="007915E6">
        <w:rPr>
          <w:rFonts w:ascii="Times New Roman" w:hAnsi="Times New Roman" w:cs="Times New Roman"/>
          <w:szCs w:val="24"/>
        </w:rPr>
        <w:t>Dz. U. z 2021 r. poz. </w:t>
      </w:r>
      <w:r w:rsidR="007163FE" w:rsidRPr="007915E6">
        <w:rPr>
          <w:rFonts w:ascii="Times New Roman" w:hAnsi="Times New Roman" w:cs="Times New Roman"/>
          <w:szCs w:val="24"/>
        </w:rPr>
        <w:t>162</w:t>
      </w:r>
      <w:r w:rsidR="007163FE" w:rsidRPr="0065234B">
        <w:rPr>
          <w:rFonts w:ascii="Times New Roman" w:hAnsi="Times New Roman" w:cs="Times New Roman"/>
          <w:szCs w:val="24"/>
        </w:rPr>
        <w:t xml:space="preserve">, z późn. zm.) </w:t>
      </w:r>
      <w:r w:rsidRPr="0065234B">
        <w:rPr>
          <w:rFonts w:ascii="Times New Roman" w:hAnsi="Times New Roman" w:cs="Times New Roman"/>
          <w:szCs w:val="24"/>
        </w:rPr>
        <w:t>„działalnością gospodarczą jest zorganizowana działalność zarobkowa, wykonywana we własnym imieniu i w sposób ciągły.”. Udzielanie porad naukowych będzie podlegało opłacie, analogicznie jak inne działania opisane</w:t>
      </w:r>
      <w:r w:rsidR="000E53F0">
        <w:rPr>
          <w:rFonts w:ascii="Times New Roman" w:hAnsi="Times New Roman" w:cs="Times New Roman"/>
          <w:szCs w:val="24"/>
        </w:rPr>
        <w:t xml:space="preserve"> w ustawie z dnia 18 marca 2011 </w:t>
      </w:r>
      <w:r w:rsidRPr="0065234B">
        <w:rPr>
          <w:rFonts w:ascii="Times New Roman" w:hAnsi="Times New Roman" w:cs="Times New Roman"/>
          <w:szCs w:val="24"/>
        </w:rPr>
        <w:t>r. o Urzędzie Rejestracji Produktów Leczniczych, Wyrobów Medycznych i Produktów Biobójczych, niemniej nie będzie to opłata stanowiąca dochód Urzędu z tytułu wykonywanych zadań. Zgodnie z projektowanym art. 2 ust. 4 udzielanie porad naukowych, proponowane jako jedno z kolejnych uprawnień Prezesa Urzędu, analogiczne do uprawnień innych agencji rejestracyjnych w UE na czele z Europejską Agencją Leków, w projektowanych przepisach będzie stanowiło dochód budżetu państwa.</w:t>
      </w:r>
    </w:p>
    <w:p w14:paraId="0D14FAF2" w14:textId="1F66C627"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 xml:space="preserve">Na gruncie projektowanych przepisów do wniosku o udzielenie porady naukowej wnioskodawca będzie obowiązany dostarczyć dowód potwierdzający uiszczenie opłaty za złożenie takiego wniosku. Przyjęte w projekcie rozwiązanie jest analogiczne do rozwiązania przyjętego w art. 36 ustawy </w:t>
      </w:r>
      <w:r w:rsidR="00CD554E" w:rsidRPr="0065234B">
        <w:rPr>
          <w:rFonts w:ascii="Times New Roman" w:hAnsi="Times New Roman" w:cs="Times New Roman"/>
          <w:szCs w:val="24"/>
        </w:rPr>
        <w:t>obowiązującej</w:t>
      </w:r>
      <w:r w:rsidR="000E53F0">
        <w:rPr>
          <w:rFonts w:ascii="Times New Roman" w:hAnsi="Times New Roman" w:cs="Times New Roman"/>
          <w:szCs w:val="24"/>
        </w:rPr>
        <w:t>.</w:t>
      </w:r>
    </w:p>
    <w:p w14:paraId="78EBD766" w14:textId="1FA9AC15"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W przypadku doradztwa naukowego przewiduje się, że za złożenie wniosku o udzielenie porady naukowej będzie pobierana opłata stanowiąca dochód budżetu państwa w wysokości nieprzekraczającej 52</w:t>
      </w:r>
      <w:r w:rsidR="007915E6">
        <w:rPr>
          <w:rFonts w:ascii="Times New Roman" w:hAnsi="Times New Roman" w:cs="Times New Roman"/>
          <w:szCs w:val="24"/>
        </w:rPr>
        <w:t> </w:t>
      </w:r>
      <w:r w:rsidRPr="0065234B">
        <w:rPr>
          <w:rFonts w:ascii="Times New Roman" w:hAnsi="Times New Roman" w:cs="Times New Roman"/>
          <w:szCs w:val="24"/>
        </w:rPr>
        <w:t>800 zł. Wysokość opłaty będzie uzależniona od zakresu porady naukowej. Wniosek o udzielenie porady może dotyczyć jakości produktu leczniczego, badań klinicznych, badań nieklinicznych lub nadzoru nad bezpieczeństwem stosowania produktu leczniczego, ale może także dotyczyć zagadnienia obejmującego swoim zakresem wszystkie ww. kwestie. Wówczas zakres podejmowanych czynności przez organ będzie odpowiednio szerszy i nakład pracy związany z udzieleniem porady będzie musiał zostać odpowiednio zwiększony. Tym samym przewidziana w projekcie ustawy wysokość maksymalnej opłaty wynika z zsumowania wysokości opłat spośród każdego z ww. zakresów, których może potencjalnie dotyczyć wniosek o udzielenie porady</w:t>
      </w:r>
      <w:r w:rsidR="007915E6">
        <w:rPr>
          <w:rFonts w:ascii="Times New Roman" w:hAnsi="Times New Roman" w:cs="Times New Roman"/>
          <w:szCs w:val="24"/>
        </w:rPr>
        <w:t>,</w:t>
      </w:r>
      <w:r w:rsidRPr="0065234B">
        <w:rPr>
          <w:rFonts w:ascii="Times New Roman" w:hAnsi="Times New Roman" w:cs="Times New Roman"/>
          <w:szCs w:val="24"/>
        </w:rPr>
        <w:t xml:space="preserve"> i będzie to wysokość opłaty należnej za złożenie porady w hipotetycznym przypadku, gdy jej zakres dotyczy wszystkich powyżej wymienionych zagadnień.</w:t>
      </w:r>
    </w:p>
    <w:p w14:paraId="0AB35AD2" w14:textId="3C423719"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lastRenderedPageBreak/>
        <w:t>W projekcie przewidziano, że udostępnieniu w trybi</w:t>
      </w:r>
      <w:r w:rsidR="000E53F0">
        <w:rPr>
          <w:rFonts w:ascii="Times New Roman" w:hAnsi="Times New Roman" w:cs="Times New Roman"/>
          <w:szCs w:val="24"/>
        </w:rPr>
        <w:t>e ustawy z dnia 6 września 2001 </w:t>
      </w:r>
      <w:r w:rsidRPr="0065234B">
        <w:rPr>
          <w:rFonts w:ascii="Times New Roman" w:hAnsi="Times New Roman" w:cs="Times New Roman"/>
          <w:szCs w:val="24"/>
        </w:rPr>
        <w:t>r. o dostępie do informacji publicznej (Dz. U. z 2022 r. poz. 902) nie podlegają informacje dotyczące danych wnioskodawców, szczegółowy zakres porady naukowej i lista pytań wnioskodawcy będących przedmiotem wniosku wraz ze stanowiskiem wnioskodawcy w sprawie i uzasadnieniem. Dane objęte zakresem porady naukowej to informacje techniczne, technologiczne lub inne informacje posiadające wartość gospodarczą, na wczesnym etapie rozwoju produktu, które mogą, ale nie muszą znaleźć odzwierciedlenia w rejestracji tego produktu. Wskazać należy, że przedmiotem porady naukowej może być przykładowo dokumentacja skuteczności produktu leczniczego powiązana z rozważaniem przez wnioskodawcę dodania nowego wskazania, co będzie dla innych podmiotów informacją o charakterze komercyjnym. W przypadku badań klinicznych doradztwo naukowe dotyczy najczęściej innowacyjnych projektów (nowych substancji czynnych, innowacyjnych protokołów badania, nowego wykorzystania znanych substancji)</w:t>
      </w:r>
      <w:r w:rsidR="000A79CD" w:rsidRPr="0065234B">
        <w:rPr>
          <w:rFonts w:ascii="Times New Roman" w:hAnsi="Times New Roman" w:cs="Times New Roman"/>
          <w:szCs w:val="24"/>
        </w:rPr>
        <w:t>,</w:t>
      </w:r>
      <w:r w:rsidRPr="0065234B">
        <w:rPr>
          <w:rFonts w:ascii="Times New Roman" w:hAnsi="Times New Roman" w:cs="Times New Roman"/>
          <w:szCs w:val="24"/>
        </w:rPr>
        <w:t xml:space="preserve"> a </w:t>
      </w:r>
      <w:r w:rsidR="000A79CD" w:rsidRPr="0065234B">
        <w:rPr>
          <w:rFonts w:ascii="Times New Roman" w:hAnsi="Times New Roman" w:cs="Times New Roman"/>
          <w:szCs w:val="24"/>
        </w:rPr>
        <w:t>i</w:t>
      </w:r>
      <w:r w:rsidRPr="0065234B">
        <w:rPr>
          <w:rFonts w:ascii="Times New Roman" w:hAnsi="Times New Roman" w:cs="Times New Roman"/>
          <w:szCs w:val="24"/>
        </w:rPr>
        <w:t>ch ujawnienie może spowodować ujawnienie strategii gospodarczej, ponieważ badanie kliniczne stanowi część rozwoju produktu leczniczego do komercjalizacji tego produktu (tj. ubieganie się o pozwolenie na dopuszczenie do obrotu lub zmiany) lub sponsor wykorzysta wyniki planowanego badania do ubiegania się w przyszłości o fundusze badawcze. Z</w:t>
      </w:r>
      <w:r w:rsidR="0050644B">
        <w:rPr>
          <w:rFonts w:ascii="Times New Roman" w:hAnsi="Times New Roman" w:cs="Times New Roman"/>
          <w:szCs w:val="24"/>
        </w:rPr>
        <w:t xml:space="preserve"> </w:t>
      </w:r>
      <w:r w:rsidRPr="0065234B">
        <w:rPr>
          <w:rFonts w:ascii="Times New Roman" w:hAnsi="Times New Roman" w:cs="Times New Roman"/>
          <w:szCs w:val="24"/>
        </w:rPr>
        <w:t>powyższych względów dane wnioskodawców i przedmiotu udzielanej porady naukowej nie powinny być dostępne dla każdego zainteresowanego podmiotu.</w:t>
      </w:r>
    </w:p>
    <w:p w14:paraId="1DAFDA05" w14:textId="4B3B6510"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Zmiany w ustawie z dnia 21 lutego 2019 r. o Ag</w:t>
      </w:r>
      <w:r w:rsidR="000E53F0">
        <w:rPr>
          <w:rFonts w:ascii="Times New Roman" w:hAnsi="Times New Roman" w:cs="Times New Roman"/>
          <w:szCs w:val="24"/>
        </w:rPr>
        <w:t>encji Badań Medycznych (Dz. U. z </w:t>
      </w:r>
      <w:r w:rsidRPr="0065234B">
        <w:rPr>
          <w:rFonts w:ascii="Times New Roman" w:hAnsi="Times New Roman" w:cs="Times New Roman"/>
          <w:szCs w:val="24"/>
        </w:rPr>
        <w:t xml:space="preserve">2022 r. poz. 451) przewidziane w art. </w:t>
      </w:r>
      <w:r w:rsidR="00B00E54" w:rsidRPr="0065234B">
        <w:rPr>
          <w:rFonts w:ascii="Times New Roman" w:hAnsi="Times New Roman" w:cs="Times New Roman"/>
          <w:szCs w:val="24"/>
        </w:rPr>
        <w:t xml:space="preserve">87 </w:t>
      </w:r>
      <w:r w:rsidRPr="0065234B">
        <w:rPr>
          <w:rFonts w:ascii="Times New Roman" w:hAnsi="Times New Roman" w:cs="Times New Roman"/>
          <w:szCs w:val="24"/>
        </w:rPr>
        <w:t xml:space="preserve">projektu ustawy wynikają przede wszystkim z nałożenia na Prezesa Agencji </w:t>
      </w:r>
      <w:r w:rsidR="000A79CD" w:rsidRPr="0065234B">
        <w:rPr>
          <w:rFonts w:ascii="Times New Roman" w:hAnsi="Times New Roman" w:cs="Times New Roman"/>
          <w:szCs w:val="24"/>
        </w:rPr>
        <w:t xml:space="preserve">Badań Medycznych </w:t>
      </w:r>
      <w:r w:rsidRPr="0065234B">
        <w:rPr>
          <w:rFonts w:ascii="Times New Roman" w:hAnsi="Times New Roman" w:cs="Times New Roman"/>
          <w:szCs w:val="24"/>
        </w:rPr>
        <w:t>nowych zadań związanych m.in. z obsługą administracyjno-biurową Naczelnej Komisji Bioetycznej</w:t>
      </w:r>
      <w:r w:rsidR="000E53F0">
        <w:rPr>
          <w:rFonts w:ascii="Times New Roman" w:hAnsi="Times New Roman" w:cs="Times New Roman"/>
          <w:szCs w:val="24"/>
        </w:rPr>
        <w:t>.</w:t>
      </w:r>
    </w:p>
    <w:p w14:paraId="7E4BC056" w14:textId="7BFA68C8"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Mając na uwadze, że nieodłącznym komponentem procesu zmian w systemie ochrony zdrowia prowadzącym do zwiększenia ilości i jakości badań klinicznych jest szeroko określona działalność edukacyjna na wielu płaszczyznach, skierowana do osób zaangażowanych w proces prowadzenia badań na wszystkich etapach, proponuje się również uwzględnienie działalności edukacyjnej w zakresie działań Agencji</w:t>
      </w:r>
      <w:r w:rsidR="000A79CD" w:rsidRPr="0065234B">
        <w:rPr>
          <w:rFonts w:ascii="Times New Roman" w:hAnsi="Times New Roman" w:cs="Times New Roman"/>
          <w:szCs w:val="24"/>
        </w:rPr>
        <w:t xml:space="preserve"> Badań Medycznych</w:t>
      </w:r>
      <w:r w:rsidRPr="0065234B">
        <w:rPr>
          <w:rFonts w:ascii="Times New Roman" w:hAnsi="Times New Roman" w:cs="Times New Roman"/>
          <w:szCs w:val="24"/>
        </w:rPr>
        <w:t xml:space="preserve"> jako jej zadań ustawowych. Finansowanie zadań o charakterze edukacyjnym i szkoleniowym będzie odbywać się w ramach środków finansowych – dotacji celowej – zaplanowanych na dany rok budżetowy w planie finansowym Agencji</w:t>
      </w:r>
      <w:r w:rsidR="000A79CD" w:rsidRPr="0065234B">
        <w:rPr>
          <w:rFonts w:ascii="Times New Roman" w:hAnsi="Times New Roman" w:cs="Times New Roman"/>
          <w:szCs w:val="24"/>
        </w:rPr>
        <w:t xml:space="preserve"> Badań Medycznych,</w:t>
      </w:r>
      <w:r w:rsidRPr="0065234B">
        <w:rPr>
          <w:rFonts w:ascii="Times New Roman" w:hAnsi="Times New Roman" w:cs="Times New Roman"/>
          <w:szCs w:val="24"/>
        </w:rPr>
        <w:t xml:space="preserve"> zaakceptowanym przez Ministra Zdrowia i Ministra Finansów. Planowana jest również organizacja szkoleń przez Agencję</w:t>
      </w:r>
      <w:r w:rsidR="000A79CD" w:rsidRPr="0065234B">
        <w:rPr>
          <w:rFonts w:ascii="Times New Roman" w:hAnsi="Times New Roman" w:cs="Times New Roman"/>
          <w:szCs w:val="24"/>
        </w:rPr>
        <w:t xml:space="preserve"> Badań Medycznych</w:t>
      </w:r>
      <w:r w:rsidRPr="0065234B">
        <w:rPr>
          <w:rFonts w:ascii="Times New Roman" w:hAnsi="Times New Roman" w:cs="Times New Roman"/>
          <w:szCs w:val="24"/>
        </w:rPr>
        <w:t xml:space="preserve">, która zatrudni wysoko wykwalifikowaną kadrę z branży </w:t>
      </w:r>
      <w:r w:rsidRPr="0065234B">
        <w:rPr>
          <w:rFonts w:ascii="Times New Roman" w:hAnsi="Times New Roman" w:cs="Times New Roman"/>
          <w:szCs w:val="24"/>
        </w:rPr>
        <w:lastRenderedPageBreak/>
        <w:t>badań klinicznych lub w drodze przetargu wybierze instytucję, która zorganizuje takie szkolenia. Odbiorcami działań edukacyjnych będą wszyscy interesariusze rynku badań klinicznych z uwzględnieniem członków Polskiej Sieci Badań Klinicznych. Ponadto Agencja planuje pozyskiwać środki finansowe na działania edukacyjne m.in. ze środków unijnych. Zakres szkoleń będzie obejmował m.in:</w:t>
      </w:r>
    </w:p>
    <w:p w14:paraId="3B1EB13B" w14:textId="51D08C8C"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budżetowanie i kontraktowanie badań, wyceny świadczeń, negocjacj</w:t>
      </w:r>
      <w:r w:rsidR="000A79CD" w:rsidRPr="0065234B">
        <w:rPr>
          <w:rFonts w:ascii="Times New Roman" w:hAnsi="Times New Roman" w:cs="Times New Roman"/>
          <w:szCs w:val="24"/>
        </w:rPr>
        <w:t>e</w:t>
      </w:r>
      <w:r w:rsidRPr="0065234B">
        <w:rPr>
          <w:rFonts w:ascii="Times New Roman" w:hAnsi="Times New Roman" w:cs="Times New Roman"/>
          <w:szCs w:val="24"/>
        </w:rPr>
        <w:t xml:space="preserve"> umów,</w:t>
      </w:r>
    </w:p>
    <w:p w14:paraId="2382065E"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przygotowanie oraz prowadzenie dokumentacji, rejestracji badania, archiwizacji dokumentów,</w:t>
      </w:r>
    </w:p>
    <w:p w14:paraId="4E3B0722" w14:textId="5A163C7C"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prawo w badaniach klinicznych, ochrona danych osobowych, stosowanie ustawy</w:t>
      </w:r>
      <w:r w:rsidR="000A79CD" w:rsidRPr="0065234B">
        <w:rPr>
          <w:rFonts w:ascii="Times New Roman" w:hAnsi="Times New Roman" w:cs="Times New Roman"/>
          <w:szCs w:val="24"/>
        </w:rPr>
        <w:t xml:space="preserve"> z dnia 11 września 2019 r.</w:t>
      </w:r>
      <w:r w:rsidRPr="0065234B">
        <w:rPr>
          <w:rFonts w:ascii="Times New Roman" w:hAnsi="Times New Roman" w:cs="Times New Roman"/>
          <w:szCs w:val="24"/>
        </w:rPr>
        <w:t xml:space="preserve"> </w:t>
      </w:r>
      <w:r w:rsidR="007253ED" w:rsidRPr="0065234B">
        <w:rPr>
          <w:rFonts w:ascii="Times New Roman" w:hAnsi="Times New Roman" w:cs="Times New Roman"/>
          <w:szCs w:val="24"/>
        </w:rPr>
        <w:t>–</w:t>
      </w:r>
      <w:r w:rsidRPr="0065234B">
        <w:rPr>
          <w:rFonts w:ascii="Times New Roman" w:hAnsi="Times New Roman" w:cs="Times New Roman"/>
          <w:szCs w:val="24"/>
        </w:rPr>
        <w:t xml:space="preserve"> Prawo zamówień publicznych, </w:t>
      </w:r>
    </w:p>
    <w:p w14:paraId="498D8C07"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 xml:space="preserve">udział pacjenta w badaniach, konstrukcja zgody oraz informacji, działania promocyjne, rekrutacja; </w:t>
      </w:r>
    </w:p>
    <w:p w14:paraId="5641B8DD"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zarządzanie ryzykiem, monitorowanie, pharmacovigilance, działania niepożądane,</w:t>
      </w:r>
    </w:p>
    <w:p w14:paraId="325DEBB3" w14:textId="4B9ED4A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wytwarzanie</w:t>
      </w:r>
      <w:r w:rsidR="00DA54E9" w:rsidRPr="0065234B">
        <w:rPr>
          <w:rFonts w:ascii="Times New Roman" w:hAnsi="Times New Roman" w:cs="Times New Roman"/>
          <w:szCs w:val="24"/>
        </w:rPr>
        <w:t xml:space="preserve"> lub </w:t>
      </w:r>
      <w:r w:rsidRPr="0065234B">
        <w:rPr>
          <w:rFonts w:ascii="Times New Roman" w:hAnsi="Times New Roman" w:cs="Times New Roman"/>
          <w:szCs w:val="24"/>
        </w:rPr>
        <w:t>pozyskiwanie z rynku produktu leczniczego,</w:t>
      </w:r>
    </w:p>
    <w:p w14:paraId="5827FDB4" w14:textId="77777777" w:rsidR="00F11197" w:rsidRPr="0065234B" w:rsidRDefault="00F11197" w:rsidP="0065234B">
      <w:pPr>
        <w:pStyle w:val="PKTpunkt"/>
        <w:spacing w:before="120"/>
        <w:rPr>
          <w:rFonts w:ascii="Times New Roman" w:hAnsi="Times New Roman" w:cs="Times New Roman"/>
          <w:szCs w:val="24"/>
        </w:rPr>
      </w:pPr>
      <w:r w:rsidRPr="0065234B">
        <w:rPr>
          <w:rFonts w:ascii="Times New Roman" w:hAnsi="Times New Roman" w:cs="Times New Roman"/>
          <w:szCs w:val="24"/>
        </w:rPr>
        <w:t>–</w:t>
      </w:r>
      <w:r w:rsidRPr="0065234B">
        <w:rPr>
          <w:rFonts w:ascii="Times New Roman" w:hAnsi="Times New Roman" w:cs="Times New Roman"/>
          <w:szCs w:val="24"/>
        </w:rPr>
        <w:tab/>
        <w:t>komunikacja w zespole, delegowanie obowiązków, role poszczególnych członków zespołu.</w:t>
      </w:r>
    </w:p>
    <w:p w14:paraId="113CCDC4" w14:textId="2C5151D0"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Powyższe działania przyczynią się do podniesienia poziomu wiedzy i umiejętności zespołów badawczych w podmiotach leczniczych, które świadczą usługi szpitalne</w:t>
      </w:r>
      <w:r w:rsidR="00032170">
        <w:rPr>
          <w:rFonts w:ascii="Times New Roman" w:hAnsi="Times New Roman" w:cs="Times New Roman"/>
          <w:szCs w:val="24"/>
        </w:rPr>
        <w:t>,</w:t>
      </w:r>
      <w:r w:rsidRPr="0065234B">
        <w:rPr>
          <w:rFonts w:ascii="Times New Roman" w:hAnsi="Times New Roman" w:cs="Times New Roman"/>
          <w:szCs w:val="24"/>
        </w:rPr>
        <w:t xml:space="preserve"> oraz u lekarzy zatrudnionych w placówkach podstawowej opieki zdrowotnej w zakresie metodologii i prowadzenia komercyjnych i niekomercyjnych badań klinicznych. Poszerzenie wiedzy, a tym samym podniesienie kompetencji w zakresie organizacji, metodologii i prowadzenia badań klinicznych</w:t>
      </w:r>
      <w:r w:rsidR="00032170">
        <w:rPr>
          <w:rFonts w:ascii="Times New Roman" w:hAnsi="Times New Roman" w:cs="Times New Roman"/>
          <w:szCs w:val="24"/>
        </w:rPr>
        <w:t>,</w:t>
      </w:r>
      <w:r w:rsidRPr="0065234B">
        <w:rPr>
          <w:rFonts w:ascii="Times New Roman" w:hAnsi="Times New Roman" w:cs="Times New Roman"/>
          <w:szCs w:val="24"/>
        </w:rPr>
        <w:t xml:space="preserve"> pozytywnie wpłynie na jakość funkcjonowania systemu ochrony zdrowia.</w:t>
      </w:r>
    </w:p>
    <w:p w14:paraId="64AE96D7" w14:textId="063C1DF2"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Ponadto </w:t>
      </w:r>
      <w:r w:rsidR="00032170" w:rsidRPr="0065234B">
        <w:rPr>
          <w:rFonts w:ascii="Times New Roman" w:hAnsi="Times New Roman" w:cs="Times New Roman"/>
          <w:szCs w:val="24"/>
        </w:rPr>
        <w:t xml:space="preserve">jest </w:t>
      </w:r>
      <w:r w:rsidRPr="0065234B">
        <w:rPr>
          <w:rFonts w:ascii="Times New Roman" w:hAnsi="Times New Roman" w:cs="Times New Roman"/>
          <w:szCs w:val="24"/>
        </w:rPr>
        <w:t>zasadne uchylenie w art. 21 ust. 7, co podyktowane jest koniecznością zniwelowania występującego na tle ustawy z dnia 21 lutego 2019 r. o Agencji Badań Medycznych dualizmu w aspekcie określenia statusu administratora danych przetwarzanych w trakcie działalności Agencji</w:t>
      </w:r>
      <w:r w:rsidR="000A79CD" w:rsidRPr="0065234B">
        <w:rPr>
          <w:rFonts w:ascii="Times New Roman" w:hAnsi="Times New Roman" w:cs="Times New Roman"/>
          <w:szCs w:val="24"/>
        </w:rPr>
        <w:t xml:space="preserve"> Badań Medycznych</w:t>
      </w:r>
      <w:r w:rsidRPr="0065234B">
        <w:rPr>
          <w:rFonts w:ascii="Times New Roman" w:hAnsi="Times New Roman" w:cs="Times New Roman"/>
          <w:szCs w:val="24"/>
        </w:rPr>
        <w:t>, a tym samym zapewnienia jak najwyższych standardów ochrony danych osobowych przez Agencję</w:t>
      </w:r>
      <w:r w:rsidR="000A79CD" w:rsidRPr="0065234B">
        <w:rPr>
          <w:rFonts w:ascii="Times New Roman" w:hAnsi="Times New Roman" w:cs="Times New Roman"/>
          <w:szCs w:val="24"/>
        </w:rPr>
        <w:t xml:space="preserve"> Badań Medycznych</w:t>
      </w:r>
      <w:r w:rsidRPr="0065234B">
        <w:rPr>
          <w:rFonts w:ascii="Times New Roman" w:hAnsi="Times New Roman" w:cs="Times New Roman"/>
          <w:szCs w:val="24"/>
        </w:rPr>
        <w:t>. Zgodnie bowiem z treścią przepisu art. 15 ust. 5 ww. ustawy administratorem danych w zakresie wdrażania konkursów i rozliczania projektów jest Agencja</w:t>
      </w:r>
      <w:r w:rsidR="00C44337" w:rsidRPr="0065234B">
        <w:rPr>
          <w:rFonts w:ascii="Times New Roman" w:hAnsi="Times New Roman" w:cs="Times New Roman"/>
          <w:szCs w:val="24"/>
        </w:rPr>
        <w:t xml:space="preserve"> Badań Medycznych</w:t>
      </w:r>
      <w:r w:rsidRPr="0065234B">
        <w:rPr>
          <w:rFonts w:ascii="Times New Roman" w:hAnsi="Times New Roman" w:cs="Times New Roman"/>
          <w:szCs w:val="24"/>
        </w:rPr>
        <w:t>, natomiast w świetle art. 21 ust. 7 tej ustawy – administratorem danych przetwarzanych w systemie teleinformatycznym (a więc tych samych danych) jest Prezes Agencji</w:t>
      </w:r>
      <w:r w:rsidR="00C44337" w:rsidRPr="0065234B">
        <w:rPr>
          <w:rFonts w:ascii="Times New Roman" w:hAnsi="Times New Roman" w:cs="Times New Roman"/>
          <w:szCs w:val="24"/>
        </w:rPr>
        <w:t xml:space="preserve"> Badań </w:t>
      </w:r>
      <w:r w:rsidR="00C44337" w:rsidRPr="0065234B">
        <w:rPr>
          <w:rFonts w:ascii="Times New Roman" w:hAnsi="Times New Roman" w:cs="Times New Roman"/>
          <w:szCs w:val="24"/>
        </w:rPr>
        <w:lastRenderedPageBreak/>
        <w:t>Medycznych</w:t>
      </w:r>
      <w:r w:rsidRPr="0065234B">
        <w:rPr>
          <w:rFonts w:ascii="Times New Roman" w:hAnsi="Times New Roman" w:cs="Times New Roman"/>
          <w:szCs w:val="24"/>
        </w:rPr>
        <w:t xml:space="preserve"> – jeden z organów osoby prawnej, jaką jest Agencja</w:t>
      </w:r>
      <w:r w:rsidR="00C44337" w:rsidRPr="0065234B">
        <w:rPr>
          <w:rFonts w:ascii="Times New Roman" w:hAnsi="Times New Roman" w:cs="Times New Roman"/>
          <w:szCs w:val="24"/>
        </w:rPr>
        <w:t xml:space="preserve"> Badań Medycznych</w:t>
      </w:r>
      <w:r w:rsidRPr="0065234B">
        <w:rPr>
          <w:rFonts w:ascii="Times New Roman" w:hAnsi="Times New Roman" w:cs="Times New Roman"/>
          <w:szCs w:val="24"/>
        </w:rPr>
        <w:t>. Zgodnie z art. 4 pkt 7 rozporządzenia 2016/679 administrator oznacza osobę fizyczną lub prawną, organ publiczny, jednostkę lub inny podmiot, który samodzielnie lub wspólnie z innymi ustala cele i sposoby przetwarzania danych osobowych; jeżeli cele i sposoby takiego przetwarzania są określone w prawie Unii Europejskiej lub w prawie państwa członkowskiego, to również w prawie Unii Europejskiej lub w prawie państwa członkowskiego może zostać wyznaczony administrator lub mogą zostać określone konkretne kryteria jego wyznaczania. Zatem, w świetle powyższych przepisów</w:t>
      </w:r>
      <w:r w:rsidR="00032170">
        <w:rPr>
          <w:rFonts w:ascii="Times New Roman" w:hAnsi="Times New Roman" w:cs="Times New Roman"/>
          <w:szCs w:val="24"/>
        </w:rPr>
        <w:t>,</w:t>
      </w:r>
      <w:r w:rsidRPr="0065234B">
        <w:rPr>
          <w:rFonts w:ascii="Times New Roman" w:hAnsi="Times New Roman" w:cs="Times New Roman"/>
          <w:szCs w:val="24"/>
        </w:rPr>
        <w:t xml:space="preserve"> należ uznać, że Agencja Badań Medycznych jako państwowa osoba prawa, a nie jej Prezes, jest administratorem danych. Dlatego też pozostawienie w treści ustawy z dnia 21 lutego 2019 r. o Agencji Badań Medycznych przepisu art. 21 ust. 7 w obecnym brzmieniu może wprowadzać w błąd. W rzeczywistości właściwe określenie roli administratora jest niezwykle istotne w kontekście realizacji obowiązków wynikających z rozporządzenia 2016/679 oraz odpowiedzialności.</w:t>
      </w:r>
    </w:p>
    <w:p w14:paraId="18DDB09E" w14:textId="2CE8AE72" w:rsidR="00F11197" w:rsidRPr="0065234B" w:rsidRDefault="00F11197" w:rsidP="00F56CCA">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Ponadto z uwagi na dynamicznie rozwijającą się aktywność Agencji w zakresie realizacji jej zadań ustawowych, a przede wszystkim na nowe możliwości powierzania Agencji zadań o charakterze publicznym, związanych nie tylko z nowymi zagrożeniami o charakterze epidemicznym, ale także innymi pilnymi potrzebami systemu ochrony zdrowia proponuje się zmiany w art. 45 ust. 2 ustawy z dnia 21 lutego 2019 r. o Agencji Badań Medycznych, polegające na zwiększeniu maksymalnego limitu wydatków Agencji w poszczególnych latach. Zmiany ww. limitów wydatków w poszczególnych latach zostały zaplanowane z uwzględnieniem źródeł finansowania: odpis NFZ (rok bieżący i niewykorzystane środki z lat ubiegłych), dotacja celowa, dotacja podmiotowa, środki otrzymane z Unii Europejskiej i projekty międzynarodowe (np. współpraca dwustronna z dofinansowaniem projektów Beneficjentów), środki na Krajowy Program Odbudowy i Zwiększenia Odporności (środki w formie grantów), obligacje, opłaty od sponsorów uzyskane w ramach </w:t>
      </w:r>
      <w:r w:rsidR="00C44337" w:rsidRPr="0065234B">
        <w:rPr>
          <w:rFonts w:ascii="Times New Roman" w:hAnsi="Times New Roman" w:cs="Times New Roman"/>
          <w:szCs w:val="24"/>
        </w:rPr>
        <w:t xml:space="preserve">projektu </w:t>
      </w:r>
      <w:r w:rsidRPr="0065234B">
        <w:rPr>
          <w:rFonts w:ascii="Times New Roman" w:hAnsi="Times New Roman" w:cs="Times New Roman"/>
          <w:szCs w:val="24"/>
        </w:rPr>
        <w:t xml:space="preserve">ustawy oraz wydatki majątkowe (np. projekt GENPOL). Agencja nie będzie zaciągała nowych zobowiązań na finansowanie projektów finansowanych z Unii Europejskiej czy projektów międzynarodowych bez pozyskania środków finansowych ze źródeł zewnętrznych. Wskazanie na tym etapie konkretnych kwot jest niemożliwe </w:t>
      </w:r>
      <w:r w:rsidR="00F56CCA">
        <w:rPr>
          <w:rFonts w:ascii="Times New Roman" w:hAnsi="Times New Roman" w:cs="Times New Roman"/>
          <w:szCs w:val="24"/>
        </w:rPr>
        <w:t>–</w:t>
      </w:r>
      <w:r w:rsidRPr="0065234B">
        <w:rPr>
          <w:rFonts w:ascii="Times New Roman" w:hAnsi="Times New Roman" w:cs="Times New Roman"/>
          <w:szCs w:val="24"/>
        </w:rPr>
        <w:t xml:space="preserve"> pozyskanie środków finansowych z Unii Europejskiej może okazać się na poziomie kilku, kilkudziesięciu</w:t>
      </w:r>
      <w:r w:rsidR="000E53F0">
        <w:rPr>
          <w:rFonts w:ascii="Times New Roman" w:hAnsi="Times New Roman" w:cs="Times New Roman"/>
          <w:szCs w:val="24"/>
        </w:rPr>
        <w:t xml:space="preserve"> lub kilkuset milionów złotych.</w:t>
      </w:r>
    </w:p>
    <w:p w14:paraId="0BCD5034" w14:textId="3338F7DA"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 xml:space="preserve">Dzięki zwiększeniu limitów Agencja będzie miała możliwość pozyskiwania środków finansowych z zewnętrznych źródeł na rozwój badań naukowych i prac rozwojowych w </w:t>
      </w:r>
      <w:r w:rsidRPr="0065234B">
        <w:rPr>
          <w:rFonts w:ascii="Times New Roman" w:hAnsi="Times New Roman" w:cs="Times New Roman"/>
          <w:szCs w:val="24"/>
        </w:rPr>
        <w:lastRenderedPageBreak/>
        <w:t xml:space="preserve">obszarze ochrony zdrowia. W czerwcu </w:t>
      </w:r>
      <w:r w:rsidR="00F56CCA">
        <w:rPr>
          <w:rFonts w:ascii="Times New Roman" w:hAnsi="Times New Roman" w:cs="Times New Roman"/>
          <w:szCs w:val="24"/>
        </w:rPr>
        <w:t xml:space="preserve">2022 </w:t>
      </w:r>
      <w:r w:rsidRPr="0065234B">
        <w:rPr>
          <w:rFonts w:ascii="Times New Roman" w:hAnsi="Times New Roman" w:cs="Times New Roman"/>
          <w:szCs w:val="24"/>
        </w:rPr>
        <w:t xml:space="preserve">r. uchwałą Rady Ministrów nr 141/2022 z </w:t>
      </w:r>
      <w:r w:rsidR="00C44337" w:rsidRPr="0065234B">
        <w:rPr>
          <w:rFonts w:ascii="Times New Roman" w:hAnsi="Times New Roman" w:cs="Times New Roman"/>
          <w:szCs w:val="24"/>
        </w:rPr>
        <w:t xml:space="preserve">dnia </w:t>
      </w:r>
      <w:r w:rsidRPr="0065234B">
        <w:rPr>
          <w:rFonts w:ascii="Times New Roman" w:hAnsi="Times New Roman" w:cs="Times New Roman"/>
          <w:szCs w:val="24"/>
        </w:rPr>
        <w:t>21 czerwca 2022 r. przyjęty został przyjęty Rządowy Plan Rozwoju Sektora Biomedycznego na lata 2022–2031, który oszacowany został na ok</w:t>
      </w:r>
      <w:r w:rsidR="00CD554E" w:rsidRPr="0065234B">
        <w:rPr>
          <w:rFonts w:ascii="Times New Roman" w:hAnsi="Times New Roman" w:cs="Times New Roman"/>
          <w:szCs w:val="24"/>
        </w:rPr>
        <w:t>.</w:t>
      </w:r>
      <w:r w:rsidRPr="0065234B">
        <w:rPr>
          <w:rFonts w:ascii="Times New Roman" w:hAnsi="Times New Roman" w:cs="Times New Roman"/>
          <w:szCs w:val="24"/>
        </w:rPr>
        <w:t xml:space="preserve"> 2 mld zł</w:t>
      </w:r>
      <w:r w:rsidR="00F56CCA">
        <w:rPr>
          <w:rFonts w:ascii="Times New Roman" w:hAnsi="Times New Roman" w:cs="Times New Roman"/>
          <w:szCs w:val="24"/>
        </w:rPr>
        <w:t>,</w:t>
      </w:r>
      <w:r w:rsidRPr="0065234B">
        <w:rPr>
          <w:rFonts w:ascii="Times New Roman" w:hAnsi="Times New Roman" w:cs="Times New Roman"/>
          <w:szCs w:val="24"/>
        </w:rPr>
        <w:t xml:space="preserve"> i </w:t>
      </w:r>
      <w:r w:rsidR="00F56CCA" w:rsidRPr="0065234B">
        <w:rPr>
          <w:rFonts w:ascii="Times New Roman" w:hAnsi="Times New Roman" w:cs="Times New Roman"/>
          <w:szCs w:val="24"/>
        </w:rPr>
        <w:t xml:space="preserve">będzie </w:t>
      </w:r>
      <w:r w:rsidRPr="0065234B">
        <w:rPr>
          <w:rFonts w:ascii="Times New Roman" w:hAnsi="Times New Roman" w:cs="Times New Roman"/>
          <w:szCs w:val="24"/>
        </w:rPr>
        <w:t xml:space="preserve">finansowany z funduszy Krajowego Programu Odbudowy i Zwiększenia Odporności i dotacji celowej lub obligacji, które po otrzymaniu będą spieniężane. Ponadto </w:t>
      </w:r>
      <w:r w:rsidR="00F56CCA" w:rsidRPr="0065234B">
        <w:rPr>
          <w:rFonts w:ascii="Times New Roman" w:hAnsi="Times New Roman" w:cs="Times New Roman"/>
          <w:szCs w:val="24"/>
        </w:rPr>
        <w:t xml:space="preserve">są </w:t>
      </w:r>
      <w:r w:rsidRPr="0065234B">
        <w:rPr>
          <w:rFonts w:ascii="Times New Roman" w:hAnsi="Times New Roman" w:cs="Times New Roman"/>
          <w:szCs w:val="24"/>
        </w:rPr>
        <w:t>procedowane programy Funduszy Europejskich, np. takie jak Program Funduszy Europejskich dla Rozwoju Społecznego 2021</w:t>
      </w:r>
      <w:r w:rsidR="00F56CCA">
        <w:rPr>
          <w:rFonts w:ascii="Times New Roman" w:hAnsi="Times New Roman" w:cs="Times New Roman"/>
          <w:szCs w:val="24"/>
        </w:rPr>
        <w:t>–</w:t>
      </w:r>
      <w:r w:rsidRPr="0065234B">
        <w:rPr>
          <w:rFonts w:ascii="Times New Roman" w:hAnsi="Times New Roman" w:cs="Times New Roman"/>
          <w:szCs w:val="24"/>
        </w:rPr>
        <w:t>2027, z którego Agencja</w:t>
      </w:r>
      <w:r w:rsidR="00C44337" w:rsidRPr="0065234B">
        <w:rPr>
          <w:rFonts w:ascii="Times New Roman" w:hAnsi="Times New Roman" w:cs="Times New Roman"/>
          <w:szCs w:val="24"/>
        </w:rPr>
        <w:t xml:space="preserve"> Badań Klinicznych</w:t>
      </w:r>
      <w:r w:rsidRPr="0065234B">
        <w:rPr>
          <w:rFonts w:ascii="Times New Roman" w:hAnsi="Times New Roman" w:cs="Times New Roman"/>
          <w:szCs w:val="24"/>
        </w:rPr>
        <w:t xml:space="preserve"> ma plany pozyskiwać środki pieniężne. </w:t>
      </w:r>
    </w:p>
    <w:p w14:paraId="5E8A9436" w14:textId="2FF8D2FF"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Podkreślić należy, że Agencja</w:t>
      </w:r>
      <w:r w:rsidR="00C44337" w:rsidRPr="0065234B">
        <w:rPr>
          <w:rFonts w:ascii="Times New Roman" w:hAnsi="Times New Roman" w:cs="Times New Roman"/>
          <w:szCs w:val="24"/>
        </w:rPr>
        <w:t xml:space="preserve"> Badań Klinicznych</w:t>
      </w:r>
      <w:r w:rsidRPr="0065234B">
        <w:rPr>
          <w:rFonts w:ascii="Times New Roman" w:hAnsi="Times New Roman" w:cs="Times New Roman"/>
          <w:szCs w:val="24"/>
        </w:rPr>
        <w:t xml:space="preserve"> jest młodą instytucją, szybko rozwijającą poszczególne obszary działalności. Sukcesywnie rozwijana jest współpraca międzynarodowa, z której również będą pozyskiwane środki finansowe, np. z Programu Ramowego Unii Europejskiej Horyzont Europa, który jest największym w historii Unii Europejskiej programem w zakresie badań naukowych i innowacji.</w:t>
      </w:r>
    </w:p>
    <w:p w14:paraId="0564B3BD" w14:textId="2B892297"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Ponadto w związku z uchwaleniem ustawy o badaniach klinicznych produktów leczniczych stosowanych u ludzi Agencja</w:t>
      </w:r>
      <w:r w:rsidR="00C44337" w:rsidRPr="0065234B">
        <w:rPr>
          <w:rFonts w:ascii="Times New Roman" w:hAnsi="Times New Roman" w:cs="Times New Roman"/>
          <w:szCs w:val="24"/>
        </w:rPr>
        <w:t xml:space="preserve"> Badań Klinicznych</w:t>
      </w:r>
      <w:r w:rsidRPr="0065234B">
        <w:rPr>
          <w:rFonts w:ascii="Times New Roman" w:hAnsi="Times New Roman" w:cs="Times New Roman"/>
          <w:szCs w:val="24"/>
        </w:rPr>
        <w:t xml:space="preserve"> będzie miała dodatkowe przychody w formie środków finansowych (opłat) wnoszonych przez sponsorów</w:t>
      </w:r>
      <w:r w:rsidR="00B00E54" w:rsidRPr="0065234B">
        <w:rPr>
          <w:rFonts w:ascii="Times New Roman" w:hAnsi="Times New Roman" w:cs="Times New Roman"/>
          <w:szCs w:val="24"/>
        </w:rPr>
        <w:t>, które będą mogły być przeznaczone wyłącznie na kwestie związane funkcjonowaniem Naczelnej Komisji Bioetycznej oraz wynagrodzeniami za ocenę wniosków i wynagrodzeniami przewodniczącego Naczelnej Komisji Bioetycznej i zastępcy</w:t>
      </w:r>
      <w:r w:rsidRPr="0065234B">
        <w:rPr>
          <w:rFonts w:ascii="Times New Roman" w:hAnsi="Times New Roman" w:cs="Times New Roman"/>
          <w:szCs w:val="24"/>
        </w:rPr>
        <w:t>.</w:t>
      </w:r>
    </w:p>
    <w:p w14:paraId="034FFE27" w14:textId="0FFF813F" w:rsidR="00F11197" w:rsidRPr="0065234B" w:rsidRDefault="00F11197" w:rsidP="0065234B">
      <w:pPr>
        <w:pStyle w:val="ARTartustawynprozporzdzenia"/>
        <w:ind w:firstLine="0"/>
        <w:rPr>
          <w:rFonts w:ascii="Times New Roman" w:hAnsi="Times New Roman" w:cs="Times New Roman"/>
          <w:szCs w:val="24"/>
        </w:rPr>
      </w:pPr>
      <w:r w:rsidRPr="0065234B">
        <w:rPr>
          <w:rFonts w:ascii="Times New Roman" w:hAnsi="Times New Roman" w:cs="Times New Roman"/>
          <w:szCs w:val="24"/>
        </w:rPr>
        <w:t>W rozdziale 13 projektu ustawy zawarto przepisy dostosowujące</w:t>
      </w:r>
      <w:r w:rsidR="00C44337" w:rsidRPr="0065234B">
        <w:rPr>
          <w:rFonts w:ascii="Times New Roman" w:hAnsi="Times New Roman" w:cs="Times New Roman"/>
          <w:szCs w:val="24"/>
        </w:rPr>
        <w:t>, przejściowe</w:t>
      </w:r>
      <w:r w:rsidRPr="0065234B">
        <w:rPr>
          <w:rFonts w:ascii="Times New Roman" w:hAnsi="Times New Roman" w:cs="Times New Roman"/>
          <w:szCs w:val="24"/>
        </w:rPr>
        <w:t xml:space="preserve"> i </w:t>
      </w:r>
      <w:r w:rsidR="00C44337" w:rsidRPr="0065234B">
        <w:rPr>
          <w:rFonts w:ascii="Times New Roman" w:hAnsi="Times New Roman" w:cs="Times New Roman"/>
          <w:szCs w:val="24"/>
        </w:rPr>
        <w:t xml:space="preserve">przepis </w:t>
      </w:r>
      <w:r w:rsidRPr="0065234B">
        <w:rPr>
          <w:rFonts w:ascii="Times New Roman" w:hAnsi="Times New Roman" w:cs="Times New Roman"/>
          <w:szCs w:val="24"/>
        </w:rPr>
        <w:t>końcow</w:t>
      </w:r>
      <w:r w:rsidR="00C44337" w:rsidRPr="0065234B">
        <w:rPr>
          <w:rFonts w:ascii="Times New Roman" w:hAnsi="Times New Roman" w:cs="Times New Roman"/>
          <w:szCs w:val="24"/>
        </w:rPr>
        <w:t>y</w:t>
      </w:r>
      <w:r w:rsidRPr="0065234B">
        <w:rPr>
          <w:rFonts w:ascii="Times New Roman" w:hAnsi="Times New Roman" w:cs="Times New Roman"/>
          <w:szCs w:val="24"/>
        </w:rPr>
        <w:t>.</w:t>
      </w:r>
    </w:p>
    <w:p w14:paraId="2ED5E341" w14:textId="14FE77F9"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8</w:t>
      </w:r>
      <w:r w:rsidR="00C44337" w:rsidRPr="0065234B">
        <w:rPr>
          <w:rFonts w:ascii="Times New Roman" w:hAnsi="Times New Roman" w:cs="Times New Roman"/>
          <w:szCs w:val="24"/>
        </w:rPr>
        <w:t>8</w:t>
      </w:r>
      <w:r w:rsidRPr="0065234B">
        <w:rPr>
          <w:rFonts w:ascii="Times New Roman" w:hAnsi="Times New Roman" w:cs="Times New Roman"/>
          <w:szCs w:val="24"/>
        </w:rPr>
        <w:t xml:space="preserve"> projektu ustawy przewidziano utworzenie Funduszu Kompensacyjnego Badań Klinicznych, którego pierwszy plan finansowy zostanie ustalony w terminie miesiąca od dnia wejścia w życie niniejszej ustawy na okres od 1</w:t>
      </w:r>
      <w:r w:rsidR="00F56CCA">
        <w:rPr>
          <w:rFonts w:ascii="Times New Roman" w:hAnsi="Times New Roman" w:cs="Times New Roman"/>
          <w:szCs w:val="24"/>
        </w:rPr>
        <w:t>.</w:t>
      </w:r>
      <w:r w:rsidRPr="0065234B">
        <w:rPr>
          <w:rFonts w:ascii="Times New Roman" w:hAnsi="Times New Roman" w:cs="Times New Roman"/>
          <w:szCs w:val="24"/>
        </w:rPr>
        <w:t xml:space="preserve"> dnia miesiąca następującego po dniu wejścia w życie niniejszej ustawy do dnia 31 grudnia 2023 r. Przepis wskazuje również, że wypłata świadczeń kompensacyjnych przez Fundusz wynikających ze szkód powstałych w związku z udziałem w badaniach klinicznych będzie dotyczyła badań klinicznych rozpoczętych po dniu wejścia w życie ustawy.</w:t>
      </w:r>
    </w:p>
    <w:p w14:paraId="5E7BFA39" w14:textId="5444DC97"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 art. </w:t>
      </w:r>
      <w:r w:rsidR="00C44337" w:rsidRPr="0065234B">
        <w:rPr>
          <w:rFonts w:ascii="Times New Roman" w:hAnsi="Times New Roman" w:cs="Times New Roman"/>
          <w:szCs w:val="24"/>
        </w:rPr>
        <w:t>89</w:t>
      </w:r>
      <w:r w:rsidRPr="0065234B">
        <w:rPr>
          <w:rFonts w:ascii="Times New Roman" w:hAnsi="Times New Roman" w:cs="Times New Roman"/>
          <w:szCs w:val="24"/>
        </w:rPr>
        <w:t xml:space="preserve"> projektu ustawy przewidzia</w:t>
      </w:r>
      <w:r w:rsidR="000E53F0">
        <w:rPr>
          <w:rFonts w:ascii="Times New Roman" w:hAnsi="Times New Roman" w:cs="Times New Roman"/>
          <w:szCs w:val="24"/>
        </w:rPr>
        <w:t xml:space="preserve">no, że w przypadku gdy wniosek </w:t>
      </w:r>
      <w:r w:rsidRPr="0065234B">
        <w:rPr>
          <w:rFonts w:ascii="Times New Roman" w:hAnsi="Times New Roman" w:cs="Times New Roman"/>
          <w:szCs w:val="24"/>
        </w:rPr>
        <w:t>o pozwolenie na badanie kliniczne został złożony przed upływem 6 miesięcy po dniu publikacji zawiadomienia, o którym mowa w art. 82 ust. 3 rozporządzenia 536/2014</w:t>
      </w:r>
      <w:r w:rsidR="00F56CCA">
        <w:rPr>
          <w:rFonts w:ascii="Times New Roman" w:hAnsi="Times New Roman" w:cs="Times New Roman"/>
          <w:szCs w:val="24"/>
        </w:rPr>
        <w:t>,</w:t>
      </w:r>
      <w:r w:rsidRPr="0065234B">
        <w:rPr>
          <w:rFonts w:ascii="Times New Roman" w:hAnsi="Times New Roman" w:cs="Times New Roman"/>
          <w:szCs w:val="24"/>
        </w:rPr>
        <w:t xml:space="preserve"> do badania klinicznego stosuje się przepisy ustawy </w:t>
      </w:r>
      <w:r w:rsidR="00CD554E" w:rsidRPr="0065234B">
        <w:rPr>
          <w:rFonts w:ascii="Times New Roman" w:hAnsi="Times New Roman" w:cs="Times New Roman"/>
          <w:szCs w:val="24"/>
        </w:rPr>
        <w:t>obowiązującej</w:t>
      </w:r>
      <w:r w:rsidRPr="0065234B">
        <w:rPr>
          <w:rFonts w:ascii="Times New Roman" w:hAnsi="Times New Roman" w:cs="Times New Roman"/>
          <w:szCs w:val="24"/>
        </w:rPr>
        <w:t xml:space="preserve">, w brzmieniu dotychczasowym, nie </w:t>
      </w:r>
      <w:r w:rsidRPr="0065234B">
        <w:rPr>
          <w:rFonts w:ascii="Times New Roman" w:hAnsi="Times New Roman" w:cs="Times New Roman"/>
          <w:szCs w:val="24"/>
        </w:rPr>
        <w:lastRenderedPageBreak/>
        <w:t>dłużej jednak niż przez okres 3 lat od dnia publikacji tego zawiadomienia – rozwiązanie to wynika z art. 98 ust. 1 rozporządzenia 536/2014.</w:t>
      </w:r>
    </w:p>
    <w:p w14:paraId="553B43BC" w14:textId="663FC350"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Dodatkowo w art. </w:t>
      </w:r>
      <w:r w:rsidR="00C44337" w:rsidRPr="0065234B">
        <w:rPr>
          <w:rFonts w:ascii="Times New Roman" w:hAnsi="Times New Roman" w:cs="Times New Roman"/>
          <w:szCs w:val="24"/>
        </w:rPr>
        <w:t>89</w:t>
      </w:r>
      <w:r w:rsidRPr="0065234B">
        <w:rPr>
          <w:rFonts w:ascii="Times New Roman" w:hAnsi="Times New Roman" w:cs="Times New Roman"/>
          <w:szCs w:val="24"/>
        </w:rPr>
        <w:t xml:space="preserve"> ust. 2 projektu ustawy przewidziano, że w przypadku gdy wniosek o pozwolenie na badanie kliniczne został złożony w terminie </w:t>
      </w:r>
      <w:r w:rsidR="003336D0">
        <w:rPr>
          <w:rFonts w:ascii="Times New Roman" w:hAnsi="Times New Roman" w:cs="Times New Roman"/>
          <w:szCs w:val="24"/>
        </w:rPr>
        <w:t>od dnia 31 stycznia 2022 </w:t>
      </w:r>
      <w:r w:rsidR="004A5CF7" w:rsidRPr="0065234B">
        <w:rPr>
          <w:rFonts w:ascii="Times New Roman" w:hAnsi="Times New Roman" w:cs="Times New Roman"/>
          <w:szCs w:val="24"/>
        </w:rPr>
        <w:t>r. do dnia 31 stycznia 2023 r</w:t>
      </w:r>
      <w:r w:rsidR="00F56CCA">
        <w:rPr>
          <w:rFonts w:ascii="Times New Roman" w:hAnsi="Times New Roman" w:cs="Times New Roman"/>
          <w:szCs w:val="24"/>
        </w:rPr>
        <w:t>.</w:t>
      </w:r>
      <w:r w:rsidRPr="0065234B">
        <w:rPr>
          <w:rFonts w:ascii="Times New Roman" w:hAnsi="Times New Roman" w:cs="Times New Roman"/>
          <w:szCs w:val="24"/>
        </w:rPr>
        <w:t>, badanie kliniczne można rozpocząć zgodnie z przepisami ustawy obowiązującej w brzmieniu dotychczasowym. Badanie kliniczne jest prowadzone zgodnie z przepisami ustawy obowiązującej</w:t>
      </w:r>
      <w:r w:rsidR="00F56CCA">
        <w:rPr>
          <w:rFonts w:ascii="Times New Roman" w:hAnsi="Times New Roman" w:cs="Times New Roman"/>
          <w:szCs w:val="24"/>
        </w:rPr>
        <w:t>,</w:t>
      </w:r>
      <w:r w:rsidRPr="0065234B">
        <w:rPr>
          <w:rFonts w:ascii="Times New Roman" w:hAnsi="Times New Roman" w:cs="Times New Roman"/>
          <w:szCs w:val="24"/>
        </w:rPr>
        <w:t xml:space="preserve"> w brzmieniu dotychczasowym</w:t>
      </w:r>
      <w:r w:rsidR="00F56CCA">
        <w:rPr>
          <w:rFonts w:ascii="Times New Roman" w:hAnsi="Times New Roman" w:cs="Times New Roman"/>
          <w:szCs w:val="24"/>
        </w:rPr>
        <w:t>,</w:t>
      </w:r>
      <w:r w:rsidRPr="0065234B">
        <w:rPr>
          <w:rFonts w:ascii="Times New Roman" w:hAnsi="Times New Roman" w:cs="Times New Roman"/>
          <w:szCs w:val="24"/>
        </w:rPr>
        <w:t xml:space="preserve"> nie dłużej </w:t>
      </w:r>
      <w:r w:rsidR="004A5CF7" w:rsidRPr="0065234B">
        <w:rPr>
          <w:rFonts w:ascii="Times New Roman" w:hAnsi="Times New Roman" w:cs="Times New Roman"/>
          <w:szCs w:val="24"/>
        </w:rPr>
        <w:t>niż do 31 stycznia 2025 r</w:t>
      </w:r>
      <w:r w:rsidRPr="0065234B">
        <w:rPr>
          <w:rFonts w:ascii="Times New Roman" w:hAnsi="Times New Roman" w:cs="Times New Roman"/>
          <w:szCs w:val="24"/>
        </w:rPr>
        <w:t>.</w:t>
      </w:r>
    </w:p>
    <w:p w14:paraId="5DA253C5" w14:textId="07094D30"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Przepis art. 9</w:t>
      </w:r>
      <w:r w:rsidR="00C44337" w:rsidRPr="0065234B">
        <w:rPr>
          <w:rFonts w:ascii="Times New Roman" w:hAnsi="Times New Roman" w:cs="Times New Roman"/>
          <w:szCs w:val="24"/>
        </w:rPr>
        <w:t>0</w:t>
      </w:r>
      <w:r w:rsidRPr="0065234B">
        <w:rPr>
          <w:rFonts w:ascii="Times New Roman" w:hAnsi="Times New Roman" w:cs="Times New Roman"/>
          <w:szCs w:val="24"/>
        </w:rPr>
        <w:t xml:space="preserve"> ust. 1 przewiduje utworzenie Naczelnej Komisji Bioetycznej.</w:t>
      </w:r>
    </w:p>
    <w:p w14:paraId="4A09FDAC" w14:textId="027CE9EA" w:rsidR="00B00E54" w:rsidRPr="0065234B" w:rsidRDefault="00B00E54" w:rsidP="00F56CCA">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ust. 2 tego przepisu</w:t>
      </w:r>
      <w:r w:rsidR="002768F0" w:rsidRPr="0065234B">
        <w:rPr>
          <w:rFonts w:ascii="Times New Roman" w:hAnsi="Times New Roman" w:cs="Times New Roman"/>
          <w:szCs w:val="24"/>
        </w:rPr>
        <w:t xml:space="preserve"> </w:t>
      </w:r>
      <w:r w:rsidRPr="0065234B">
        <w:rPr>
          <w:rFonts w:ascii="Times New Roman" w:hAnsi="Times New Roman" w:cs="Times New Roman"/>
          <w:szCs w:val="24"/>
        </w:rPr>
        <w:t>w terminie 3 miesięcy od dnia wejścia w życie ustawy sporządzenie oceny etycznej badania klinicznego, o której mowa w art. 16 ust. 1 pkt 1</w:t>
      </w:r>
      <w:r w:rsidR="00F56CCA">
        <w:rPr>
          <w:rFonts w:ascii="Times New Roman" w:hAnsi="Times New Roman" w:cs="Times New Roman"/>
          <w:szCs w:val="24"/>
        </w:rPr>
        <w:t>,</w:t>
      </w:r>
      <w:r w:rsidRPr="0065234B">
        <w:rPr>
          <w:rFonts w:ascii="Times New Roman" w:hAnsi="Times New Roman" w:cs="Times New Roman"/>
          <w:szCs w:val="24"/>
        </w:rPr>
        <w:t xml:space="preserve"> jest dokonywane przez komisję bioetyczną, o której mowa art. 29 ust. 2a</w:t>
      </w:r>
      <w:r w:rsidR="00F56CCA">
        <w:rPr>
          <w:rFonts w:ascii="Times New Roman" w:hAnsi="Times New Roman" w:cs="Times New Roman"/>
          <w:szCs w:val="24"/>
        </w:rPr>
        <w:t>–</w:t>
      </w:r>
      <w:r w:rsidRPr="0065234B">
        <w:rPr>
          <w:rFonts w:ascii="Times New Roman" w:hAnsi="Times New Roman" w:cs="Times New Roman"/>
          <w:szCs w:val="24"/>
        </w:rPr>
        <w:t>2c ustawy z dnia 5 grudnia 1996 r. o zawodach lekarza i lekarza dentysty</w:t>
      </w:r>
      <w:r w:rsidR="00F56CCA">
        <w:rPr>
          <w:rFonts w:ascii="Times New Roman" w:hAnsi="Times New Roman" w:cs="Times New Roman"/>
          <w:szCs w:val="24"/>
        </w:rPr>
        <w:t>,</w:t>
      </w:r>
      <w:r w:rsidR="00DA54E9" w:rsidRPr="0065234B">
        <w:rPr>
          <w:rFonts w:ascii="Times New Roman" w:hAnsi="Times New Roman" w:cs="Times New Roman"/>
          <w:szCs w:val="24"/>
        </w:rPr>
        <w:t xml:space="preserve"> tj.</w:t>
      </w:r>
      <w:r w:rsidRPr="0065234B">
        <w:rPr>
          <w:rFonts w:ascii="Times New Roman" w:hAnsi="Times New Roman" w:cs="Times New Roman"/>
          <w:szCs w:val="24"/>
        </w:rPr>
        <w:t xml:space="preserve"> </w:t>
      </w:r>
      <w:r w:rsidR="00DA54E9" w:rsidRPr="0065234B">
        <w:rPr>
          <w:rFonts w:ascii="Times New Roman" w:hAnsi="Times New Roman" w:cs="Times New Roman"/>
          <w:szCs w:val="24"/>
        </w:rPr>
        <w:t>k</w:t>
      </w:r>
      <w:r w:rsidRPr="0065234B">
        <w:rPr>
          <w:rFonts w:ascii="Times New Roman" w:hAnsi="Times New Roman" w:cs="Times New Roman"/>
          <w:szCs w:val="24"/>
        </w:rPr>
        <w:t xml:space="preserve">omisję wyznaczoną przez </w:t>
      </w:r>
      <w:r w:rsidR="00DA54E9" w:rsidRPr="0065234B">
        <w:rPr>
          <w:rFonts w:ascii="Times New Roman" w:hAnsi="Times New Roman" w:cs="Times New Roman"/>
          <w:szCs w:val="24"/>
        </w:rPr>
        <w:t>m</w:t>
      </w:r>
      <w:r w:rsidRPr="0065234B">
        <w:rPr>
          <w:rFonts w:ascii="Times New Roman" w:hAnsi="Times New Roman" w:cs="Times New Roman"/>
          <w:szCs w:val="24"/>
        </w:rPr>
        <w:t xml:space="preserve">inistra właściwego do spraw zdrowia. Przepis ten umożliwi dokonywanie oceny etycznej badania klinicznego w okresie tworzenia struktury Naczelnej </w:t>
      </w:r>
      <w:r w:rsidR="00DA54E9" w:rsidRPr="0065234B">
        <w:rPr>
          <w:rFonts w:ascii="Times New Roman" w:hAnsi="Times New Roman" w:cs="Times New Roman"/>
          <w:szCs w:val="24"/>
        </w:rPr>
        <w:t>K</w:t>
      </w:r>
      <w:r w:rsidRPr="0065234B">
        <w:rPr>
          <w:rFonts w:ascii="Times New Roman" w:hAnsi="Times New Roman" w:cs="Times New Roman"/>
          <w:szCs w:val="24"/>
        </w:rPr>
        <w:t>omisji Bioetycznej oraz umożliwi dokonywanie wpisu pierwszych komisji na listę komisji bioetycznych prowadzonych zgodnie z art. 18 ust. 1 tej ustawy.</w:t>
      </w:r>
    </w:p>
    <w:p w14:paraId="4EB23BF0" w14:textId="14DA9509"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Stosownie do ust. </w:t>
      </w:r>
      <w:r w:rsidR="00C44337" w:rsidRPr="0065234B">
        <w:rPr>
          <w:rFonts w:ascii="Times New Roman" w:hAnsi="Times New Roman" w:cs="Times New Roman"/>
          <w:szCs w:val="24"/>
        </w:rPr>
        <w:t>3</w:t>
      </w:r>
      <w:r w:rsidRPr="0065234B">
        <w:rPr>
          <w:rFonts w:ascii="Times New Roman" w:hAnsi="Times New Roman" w:cs="Times New Roman"/>
          <w:szCs w:val="24"/>
        </w:rPr>
        <w:t xml:space="preserve"> do </w:t>
      </w:r>
      <w:r w:rsidR="00727D6F" w:rsidRPr="0065234B">
        <w:rPr>
          <w:rFonts w:ascii="Times New Roman" w:hAnsi="Times New Roman" w:cs="Times New Roman"/>
          <w:szCs w:val="24"/>
        </w:rPr>
        <w:t>oceny etycznej w przedmiocie badania k</w:t>
      </w:r>
      <w:r w:rsidR="000E53F0">
        <w:rPr>
          <w:rFonts w:ascii="Times New Roman" w:hAnsi="Times New Roman" w:cs="Times New Roman"/>
          <w:szCs w:val="24"/>
        </w:rPr>
        <w:t xml:space="preserve">linicznego objętego wnioskiem o </w:t>
      </w:r>
      <w:r w:rsidR="00727D6F" w:rsidRPr="0065234B">
        <w:rPr>
          <w:rFonts w:ascii="Times New Roman" w:hAnsi="Times New Roman" w:cs="Times New Roman"/>
          <w:szCs w:val="24"/>
        </w:rPr>
        <w:t>wydanie pozwolenia na badanie kliniczne i wniosku o wydanie pozwolenia na istotną zmianę badania klinicznego dokonywanej przez komisję bioetyczną, o której mowa w art. 29 ust. 2a</w:t>
      </w:r>
      <w:r w:rsidR="00727D6F" w:rsidRPr="0065234B">
        <w:rPr>
          <w:rFonts w:ascii="Times New Roman" w:hAnsi="Times New Roman" w:cs="Times New Roman"/>
          <w:szCs w:val="24"/>
        </w:rPr>
        <w:sym w:font="Symbol" w:char="F02D"/>
      </w:r>
      <w:r w:rsidR="00727D6F" w:rsidRPr="0065234B">
        <w:rPr>
          <w:rFonts w:ascii="Times New Roman" w:hAnsi="Times New Roman" w:cs="Times New Roman"/>
          <w:szCs w:val="24"/>
        </w:rPr>
        <w:t>2c ustawy z dnia 5 grudnia 1996 r. o zawodach lekarza i lekarza dentysty, oraz niezakończonej do dnia wejścia w życie ustawy, stosuje się przepisy dotychczasowe.</w:t>
      </w:r>
    </w:p>
    <w:p w14:paraId="26B24426" w14:textId="320D498C"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Zgodnie z ust. </w:t>
      </w:r>
      <w:r w:rsidR="00C44337" w:rsidRPr="0065234B">
        <w:rPr>
          <w:rFonts w:ascii="Times New Roman" w:hAnsi="Times New Roman" w:cs="Times New Roman"/>
          <w:szCs w:val="24"/>
        </w:rPr>
        <w:t>4</w:t>
      </w:r>
      <w:r w:rsidRPr="0065234B">
        <w:rPr>
          <w:rFonts w:ascii="Times New Roman" w:hAnsi="Times New Roman" w:cs="Times New Roman"/>
          <w:szCs w:val="24"/>
        </w:rPr>
        <w:t xml:space="preserve"> w terminie 3 miesięcy od dnia wejścia w życie ustawy, o którym mowa w art. 93</w:t>
      </w:r>
      <w:r w:rsidR="00905823" w:rsidRPr="0065234B">
        <w:rPr>
          <w:rFonts w:ascii="Times New Roman" w:hAnsi="Times New Roman" w:cs="Times New Roman"/>
          <w:szCs w:val="24"/>
        </w:rPr>
        <w:t xml:space="preserve"> pkt 1</w:t>
      </w:r>
      <w:r w:rsidRPr="0065234B">
        <w:rPr>
          <w:rFonts w:ascii="Times New Roman" w:hAnsi="Times New Roman" w:cs="Times New Roman"/>
          <w:szCs w:val="24"/>
        </w:rPr>
        <w:t>, tj. z dniem następującym po dniu ogłoszenia ustawy, koszty działalności Naczelnej Komisji Bioetycznej mogą być finansowane także z dotacji podmiotowej, o której mowa w art. 28 ust. 1 pkt 2 ustawy z dnia 21 lutego 2019 r. o Agencji Badań Medycznych.</w:t>
      </w:r>
      <w:r w:rsidR="006877B1" w:rsidRPr="0065234B">
        <w:rPr>
          <w:rFonts w:ascii="Times New Roman" w:hAnsi="Times New Roman" w:cs="Times New Roman"/>
          <w:szCs w:val="24"/>
        </w:rPr>
        <w:t xml:space="preserve"> Przepis ten umożliwia funkcjonowanie Naczelnej Komisji Bioetycznej w okresie, gdy wpływy pochodzące z opłat, o których mowa w art. 58 ust. 2, wnoszonych na rachunek bankowy Agencji są niewystarczające </w:t>
      </w:r>
      <w:r w:rsidR="00F56CCA">
        <w:rPr>
          <w:rFonts w:ascii="Times New Roman" w:hAnsi="Times New Roman" w:cs="Times New Roman"/>
          <w:szCs w:val="24"/>
        </w:rPr>
        <w:t xml:space="preserve">do </w:t>
      </w:r>
      <w:r w:rsidR="006877B1" w:rsidRPr="0065234B">
        <w:rPr>
          <w:rFonts w:ascii="Times New Roman" w:hAnsi="Times New Roman" w:cs="Times New Roman"/>
          <w:szCs w:val="24"/>
        </w:rPr>
        <w:t>pokryci</w:t>
      </w:r>
      <w:r w:rsidR="00F56CCA">
        <w:rPr>
          <w:rFonts w:ascii="Times New Roman" w:hAnsi="Times New Roman" w:cs="Times New Roman"/>
          <w:szCs w:val="24"/>
        </w:rPr>
        <w:t>a</w:t>
      </w:r>
      <w:r w:rsidR="006877B1" w:rsidRPr="0065234B">
        <w:rPr>
          <w:rFonts w:ascii="Times New Roman" w:hAnsi="Times New Roman" w:cs="Times New Roman"/>
          <w:szCs w:val="24"/>
        </w:rPr>
        <w:t xml:space="preserve"> kosztów funkcjonowania Naczelnej Komisji Bioetycznej.</w:t>
      </w:r>
    </w:p>
    <w:p w14:paraId="28D82EE4" w14:textId="3D2EDA2D"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W art. 9</w:t>
      </w:r>
      <w:r w:rsidR="00C44337" w:rsidRPr="0065234B">
        <w:rPr>
          <w:rFonts w:ascii="Times New Roman" w:hAnsi="Times New Roman" w:cs="Times New Roman"/>
          <w:szCs w:val="24"/>
        </w:rPr>
        <w:t>1</w:t>
      </w:r>
      <w:r w:rsidRPr="0065234B">
        <w:rPr>
          <w:rFonts w:ascii="Times New Roman" w:hAnsi="Times New Roman" w:cs="Times New Roman"/>
          <w:szCs w:val="24"/>
        </w:rPr>
        <w:t xml:space="preserve"> projektu ustawy określono regułę wydatkową dla Rzecznika Praw Pacjenta oraz Funduszu Kompensacyjnego Badań Klinicznych i wskazano, że w przypadku </w:t>
      </w:r>
      <w:r w:rsidRPr="0065234B">
        <w:rPr>
          <w:rFonts w:ascii="Times New Roman" w:hAnsi="Times New Roman" w:cs="Times New Roman"/>
          <w:szCs w:val="24"/>
        </w:rPr>
        <w:lastRenderedPageBreak/>
        <w:t>przekroczenia w pierwszym półroczu danego roku 65% limitu ww. wydatków lub w przypadku zagrożenia przekroczenia przyjętego na dany rok budżetowy limitu wydatków, wysokość tych wydatków w drugim półroczu obniża się do poziomu gwarantującego, że ten limit nie zostanie przekroczony. Organem właściwym do monitorowania wykorzystania ww. limitów wydatków oraz organem właściwym do wdrożenia mechanizmu korygującego jest Rzecznik Praw Pacjenta.</w:t>
      </w:r>
    </w:p>
    <w:p w14:paraId="088BAAB6" w14:textId="42CB4D1C"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Zgodnie z art. 9</w:t>
      </w:r>
      <w:r w:rsidR="00C44337" w:rsidRPr="0065234B">
        <w:rPr>
          <w:rFonts w:ascii="Times New Roman" w:hAnsi="Times New Roman" w:cs="Times New Roman"/>
          <w:szCs w:val="24"/>
        </w:rPr>
        <w:t>2</w:t>
      </w:r>
      <w:r w:rsidRPr="0065234B">
        <w:rPr>
          <w:rFonts w:ascii="Times New Roman" w:hAnsi="Times New Roman" w:cs="Times New Roman"/>
          <w:szCs w:val="24"/>
        </w:rPr>
        <w:t xml:space="preserve"> projektu ustawy ustawa wchodzi w życie po upływie </w:t>
      </w:r>
      <w:r w:rsidR="00247A78" w:rsidRPr="0065234B">
        <w:rPr>
          <w:rFonts w:ascii="Times New Roman" w:hAnsi="Times New Roman" w:cs="Times New Roman"/>
          <w:szCs w:val="24"/>
        </w:rPr>
        <w:t xml:space="preserve">14 </w:t>
      </w:r>
      <w:r w:rsidRPr="0065234B">
        <w:rPr>
          <w:rFonts w:ascii="Times New Roman" w:hAnsi="Times New Roman" w:cs="Times New Roman"/>
          <w:szCs w:val="24"/>
        </w:rPr>
        <w:t xml:space="preserve">dni od dnia ogłoszenia, z wyjątkiem: </w:t>
      </w:r>
    </w:p>
    <w:p w14:paraId="7120BF56" w14:textId="6B8721CB" w:rsidR="00F11197" w:rsidRPr="0065234B" w:rsidRDefault="000E53F0" w:rsidP="000E53F0">
      <w:pPr>
        <w:pStyle w:val="ARTartustawynprozporzdzenia"/>
        <w:ind w:left="851" w:hanging="284"/>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F11197" w:rsidRPr="0065234B">
        <w:rPr>
          <w:rFonts w:ascii="Times New Roman" w:hAnsi="Times New Roman" w:cs="Times New Roman"/>
          <w:szCs w:val="24"/>
        </w:rPr>
        <w:t>art. 15</w:t>
      </w:r>
      <w:r w:rsidR="00721FE2" w:rsidRPr="0065234B">
        <w:rPr>
          <w:rFonts w:ascii="Times New Roman" w:hAnsi="Times New Roman" w:cs="Times New Roman"/>
          <w:szCs w:val="24"/>
        </w:rPr>
        <w:t>,</w:t>
      </w:r>
      <w:r w:rsidR="00F11197" w:rsidRPr="0065234B">
        <w:rPr>
          <w:rFonts w:ascii="Times New Roman" w:hAnsi="Times New Roman" w:cs="Times New Roman"/>
          <w:szCs w:val="24"/>
        </w:rPr>
        <w:t xml:space="preserve"> art. </w:t>
      </w:r>
      <w:r w:rsidR="006877B1" w:rsidRPr="0065234B">
        <w:rPr>
          <w:rFonts w:ascii="Times New Roman" w:hAnsi="Times New Roman" w:cs="Times New Roman"/>
          <w:szCs w:val="24"/>
        </w:rPr>
        <w:t>87</w:t>
      </w:r>
      <w:r w:rsidR="00F11197" w:rsidRPr="0065234B">
        <w:rPr>
          <w:rFonts w:ascii="Times New Roman" w:hAnsi="Times New Roman" w:cs="Times New Roman"/>
          <w:szCs w:val="24"/>
        </w:rPr>
        <w:t xml:space="preserve"> pkt 1 w zakresie art. 2 pkt 5, pkt 2</w:t>
      </w:r>
      <w:r w:rsidR="003336D0">
        <w:rPr>
          <w:rFonts w:ascii="Times New Roman" w:hAnsi="Times New Roman" w:cs="Times New Roman"/>
          <w:szCs w:val="24"/>
        </w:rPr>
        <w:t xml:space="preserve"> w zakresie art. 15 ust. 1 pkt. </w:t>
      </w:r>
      <w:r w:rsidR="00F11197" w:rsidRPr="0065234B">
        <w:rPr>
          <w:rFonts w:ascii="Times New Roman" w:hAnsi="Times New Roman" w:cs="Times New Roman"/>
          <w:szCs w:val="24"/>
        </w:rPr>
        <w:t>7</w:t>
      </w:r>
      <w:r w:rsidR="00F415BE" w:rsidRPr="0065234B">
        <w:rPr>
          <w:rFonts w:ascii="Times New Roman" w:hAnsi="Times New Roman" w:cs="Times New Roman"/>
          <w:szCs w:val="24"/>
        </w:rPr>
        <w:t xml:space="preserve"> i</w:t>
      </w:r>
      <w:r w:rsidR="003336D0">
        <w:rPr>
          <w:rFonts w:ascii="Times New Roman" w:hAnsi="Times New Roman" w:cs="Times New Roman"/>
          <w:szCs w:val="24"/>
        </w:rPr>
        <w:t xml:space="preserve"> pkt </w:t>
      </w:r>
      <w:r w:rsidR="00F11197" w:rsidRPr="0065234B">
        <w:rPr>
          <w:rFonts w:ascii="Times New Roman" w:hAnsi="Times New Roman" w:cs="Times New Roman"/>
          <w:szCs w:val="24"/>
        </w:rPr>
        <w:t xml:space="preserve">4 lit. </w:t>
      </w:r>
      <w:r w:rsidR="00F415BE" w:rsidRPr="0065234B">
        <w:rPr>
          <w:rFonts w:ascii="Times New Roman" w:hAnsi="Times New Roman" w:cs="Times New Roman"/>
          <w:szCs w:val="24"/>
        </w:rPr>
        <w:t>b oraz</w:t>
      </w:r>
      <w:r w:rsidR="00F11197" w:rsidRPr="0065234B">
        <w:rPr>
          <w:rFonts w:ascii="Times New Roman" w:hAnsi="Times New Roman" w:cs="Times New Roman"/>
          <w:szCs w:val="24"/>
        </w:rPr>
        <w:t xml:space="preserve"> art. </w:t>
      </w:r>
      <w:r w:rsidR="006877B1" w:rsidRPr="0065234B">
        <w:rPr>
          <w:rFonts w:ascii="Times New Roman" w:hAnsi="Times New Roman" w:cs="Times New Roman"/>
          <w:szCs w:val="24"/>
        </w:rPr>
        <w:t>90</w:t>
      </w:r>
      <w:r w:rsidR="00F11197" w:rsidRPr="0065234B">
        <w:rPr>
          <w:rFonts w:ascii="Times New Roman" w:hAnsi="Times New Roman" w:cs="Times New Roman"/>
          <w:szCs w:val="24"/>
        </w:rPr>
        <w:t>, które wchodzą w życie z dniem następującym po dniu ogłoszenia. Projektowany termin wejścia w życie, o którym mowa w ww. przepisach</w:t>
      </w:r>
      <w:r w:rsidR="00F56CCA">
        <w:rPr>
          <w:rFonts w:ascii="Times New Roman" w:hAnsi="Times New Roman" w:cs="Times New Roman"/>
          <w:szCs w:val="24"/>
        </w:rPr>
        <w:t>,</w:t>
      </w:r>
      <w:r w:rsidR="00F11197" w:rsidRPr="0065234B">
        <w:rPr>
          <w:rFonts w:ascii="Times New Roman" w:hAnsi="Times New Roman" w:cs="Times New Roman"/>
          <w:szCs w:val="24"/>
        </w:rPr>
        <w:t xml:space="preserve"> wynika z konieczności zapewnienia niezwłocznego utworzenia Naczelnej Komisji Bioetycznej i jej struktur organizacyjnych i funkcjonalnych, które pozwolą na rozpoczęcie przeprowadzania oceny etycznej na nowych zasadach, po wejściu w życie przepisów ustawy. Proponowany termin wejścia w życie, w dniu następującym po dniu ogłoszenia ustawy, nie narusza zasady demokratycznego państwa praw</w:t>
      </w:r>
      <w:r w:rsidR="00F56CCA">
        <w:rPr>
          <w:rFonts w:ascii="Times New Roman" w:hAnsi="Times New Roman" w:cs="Times New Roman"/>
          <w:szCs w:val="24"/>
        </w:rPr>
        <w:t>nego</w:t>
      </w:r>
      <w:r w:rsidR="00F11197" w:rsidRPr="0065234B">
        <w:rPr>
          <w:rFonts w:ascii="Times New Roman" w:hAnsi="Times New Roman" w:cs="Times New Roman"/>
          <w:szCs w:val="24"/>
        </w:rPr>
        <w:t xml:space="preserve"> i wynika </w:t>
      </w:r>
      <w:r w:rsidR="00F56CCA">
        <w:rPr>
          <w:rFonts w:ascii="Times New Roman" w:hAnsi="Times New Roman" w:cs="Times New Roman"/>
          <w:szCs w:val="24"/>
        </w:rPr>
        <w:t xml:space="preserve">z </w:t>
      </w:r>
      <w:r w:rsidR="00F11197" w:rsidRPr="0065234B">
        <w:rPr>
          <w:rFonts w:ascii="Times New Roman" w:hAnsi="Times New Roman" w:cs="Times New Roman"/>
          <w:szCs w:val="24"/>
        </w:rPr>
        <w:t>konieczności zapewnienia należytej ochrony praw uczestników badań klinicznych</w:t>
      </w:r>
      <w:r w:rsidR="00F57B9B">
        <w:rPr>
          <w:rFonts w:ascii="Times New Roman" w:hAnsi="Times New Roman" w:cs="Times New Roman"/>
          <w:szCs w:val="24"/>
        </w:rPr>
        <w:t>;</w:t>
      </w:r>
    </w:p>
    <w:p w14:paraId="1059416D" w14:textId="4CD953D7" w:rsidR="00F11197" w:rsidRPr="0065234B" w:rsidRDefault="000E53F0" w:rsidP="000E53F0">
      <w:pPr>
        <w:pStyle w:val="ARTartustawynprozporzdzenia"/>
        <w:ind w:left="851" w:hanging="284"/>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F11197" w:rsidRPr="0065234B">
        <w:rPr>
          <w:rFonts w:ascii="Times New Roman" w:hAnsi="Times New Roman" w:cs="Times New Roman"/>
          <w:szCs w:val="24"/>
        </w:rPr>
        <w:t>art.</w:t>
      </w:r>
      <w:r w:rsidR="006877B1" w:rsidRPr="0065234B">
        <w:rPr>
          <w:rFonts w:ascii="Times New Roman" w:hAnsi="Times New Roman" w:cs="Times New Roman"/>
          <w:szCs w:val="24"/>
        </w:rPr>
        <w:t xml:space="preserve"> 81 pkt 1 i 2 i art. 86 pkt 1, które wchodzą w życie po upływie 3 miesięcy od dnia wejścia w życie ustawy</w:t>
      </w:r>
      <w:r w:rsidR="00F11197" w:rsidRPr="0065234B">
        <w:rPr>
          <w:rFonts w:ascii="Times New Roman" w:hAnsi="Times New Roman" w:cs="Times New Roman"/>
          <w:szCs w:val="24"/>
        </w:rPr>
        <w:t>.</w:t>
      </w:r>
    </w:p>
    <w:p w14:paraId="4B2FBDC0" w14:textId="544718D8"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 xml:space="preserve">Wejście w życie ustawy po upływie </w:t>
      </w:r>
      <w:r w:rsidR="00824871" w:rsidRPr="0065234B">
        <w:rPr>
          <w:rFonts w:ascii="Times New Roman" w:hAnsi="Times New Roman" w:cs="Times New Roman"/>
          <w:szCs w:val="24"/>
        </w:rPr>
        <w:t xml:space="preserve">14 </w:t>
      </w:r>
      <w:r w:rsidRPr="0065234B">
        <w:rPr>
          <w:rFonts w:ascii="Times New Roman" w:hAnsi="Times New Roman" w:cs="Times New Roman"/>
          <w:szCs w:val="24"/>
        </w:rPr>
        <w:t xml:space="preserve">dni od dnia ogłoszenia wynika z konieczności szybkiego zapewnienia stosowania przepisów tej ustawy w związku z rozpoczęciem stosowania rozporządzenia </w:t>
      </w:r>
      <w:r w:rsidR="000E53F0">
        <w:rPr>
          <w:rFonts w:ascii="Times New Roman" w:hAnsi="Times New Roman" w:cs="Times New Roman"/>
          <w:szCs w:val="24"/>
        </w:rPr>
        <w:t>536/2014 od 31 stycznia 2022 r.</w:t>
      </w:r>
    </w:p>
    <w:p w14:paraId="018F4FB6" w14:textId="77777777"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Projekt ustawy został wpisany do wykazu prac legislacyjnych i programowych Rady Ministrów pod numerem UC63.</w:t>
      </w:r>
    </w:p>
    <w:p w14:paraId="71F1AE3D" w14:textId="39835C36"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Przedłożony projekt ustawy nie zawiera przepisów technicznych w rozumieniu rozporządzenia Rady Ministrów z dnia 23 grudnia 2002 r. w sprawie sposobu funkcjonowania krajowego systemu notyfikacji norm i aktów prawnyc</w:t>
      </w:r>
      <w:r w:rsidR="003336D0">
        <w:rPr>
          <w:rFonts w:ascii="Times New Roman" w:hAnsi="Times New Roman" w:cs="Times New Roman"/>
          <w:szCs w:val="24"/>
        </w:rPr>
        <w:t>h (Dz. U. poz. 2039 oraz z 2004 </w:t>
      </w:r>
      <w:bookmarkStart w:id="16" w:name="_GoBack"/>
      <w:bookmarkEnd w:id="16"/>
      <w:r w:rsidRPr="0065234B">
        <w:rPr>
          <w:rFonts w:ascii="Times New Roman" w:hAnsi="Times New Roman" w:cs="Times New Roman"/>
          <w:szCs w:val="24"/>
        </w:rPr>
        <w:t>r. poz. 597) i nie podlega notyfikacji Komisji Europejskiej.</w:t>
      </w:r>
    </w:p>
    <w:p w14:paraId="5FB6520C" w14:textId="55474A3B"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Projekt ustawy nie wymaga przedstawienia właściwym organom i instytucjom Unii Europejskiej, w tym Europejskiemu Bankowi Centralnemu, w celu uzyskania opinii, dokonania powiadomienia</w:t>
      </w:r>
      <w:r w:rsidR="000E53F0">
        <w:rPr>
          <w:rFonts w:ascii="Times New Roman" w:hAnsi="Times New Roman" w:cs="Times New Roman"/>
          <w:szCs w:val="24"/>
        </w:rPr>
        <w:t>, konsultacji albo uzgodnienia.</w:t>
      </w:r>
    </w:p>
    <w:p w14:paraId="70766D59" w14:textId="6C474B4F"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lastRenderedPageBreak/>
        <w:t xml:space="preserve">Projektowane rozwiązania będą miały wpływ na </w:t>
      </w:r>
      <w:r w:rsidR="000E53F0">
        <w:rPr>
          <w:rFonts w:ascii="Times New Roman" w:hAnsi="Times New Roman" w:cs="Times New Roman"/>
          <w:szCs w:val="24"/>
        </w:rPr>
        <w:t xml:space="preserve">rozwój innowacyjnych rozwiązań </w:t>
      </w:r>
      <w:r w:rsidRPr="0065234B">
        <w:rPr>
          <w:rFonts w:ascii="Times New Roman" w:hAnsi="Times New Roman" w:cs="Times New Roman"/>
          <w:szCs w:val="24"/>
        </w:rPr>
        <w:t>w przedsiębiorstwach, jednakże z uwagi na koszty związane z prowadzeniem badań klinicznych, w zakresie działalność mikroprzedsiębiorców, małych i średnich przedsiębiorców w rozumieniu ustawy z dnia 6 marca 2018 r. – Prawo przedsiębiorców, wpływ ten będzie ograniczony, gdyż są oni głownie dostarczycielami usług i towarów dla dużych przedsiębiorców prowadzących badania kliniczne.</w:t>
      </w:r>
    </w:p>
    <w:p w14:paraId="0A4DEB1E" w14:textId="77777777" w:rsidR="00F11197"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Projekt ustawy nie jest sprzeczny z prawem Unii Europejskiej.</w:t>
      </w:r>
    </w:p>
    <w:p w14:paraId="1F1369BC" w14:textId="00C9B16B" w:rsidR="007F7F89" w:rsidRPr="0065234B" w:rsidRDefault="00F11197" w:rsidP="000E53F0">
      <w:pPr>
        <w:pStyle w:val="ARTartustawynprozporzdzenia"/>
        <w:ind w:firstLine="567"/>
        <w:rPr>
          <w:rFonts w:ascii="Times New Roman" w:hAnsi="Times New Roman" w:cs="Times New Roman"/>
          <w:szCs w:val="24"/>
        </w:rPr>
      </w:pPr>
      <w:r w:rsidRPr="0065234B">
        <w:rPr>
          <w:rFonts w:ascii="Times New Roman" w:hAnsi="Times New Roman" w:cs="Times New Roman"/>
          <w:szCs w:val="24"/>
        </w:rPr>
        <w:t>Nie istnieją alternatywne środki w stosunku do uchwalenia projektowanej ustawy umożliwiające osiągnięcie zamierzonego celu.</w:t>
      </w:r>
    </w:p>
    <w:sectPr w:rsidR="007F7F89" w:rsidRPr="0065234B" w:rsidSect="0065234B">
      <w:headerReference w:type="default" r:id="rId8"/>
      <w:footnotePr>
        <w:numRestart w:val="eachSect"/>
      </w:footnotePr>
      <w:pgSz w:w="11906" w:h="16838"/>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7EF3F" w14:textId="77777777" w:rsidR="00883F70" w:rsidRDefault="00883F70">
      <w:pPr>
        <w:spacing w:line="240" w:lineRule="auto"/>
      </w:pPr>
      <w:r>
        <w:separator/>
      </w:r>
    </w:p>
  </w:endnote>
  <w:endnote w:type="continuationSeparator" w:id="0">
    <w:p w14:paraId="484F5D97" w14:textId="77777777" w:rsidR="00883F70" w:rsidRDefault="00883F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D4381" w14:textId="77777777" w:rsidR="00883F70" w:rsidRDefault="00883F70">
      <w:pPr>
        <w:spacing w:line="240" w:lineRule="auto"/>
      </w:pPr>
      <w:r>
        <w:separator/>
      </w:r>
    </w:p>
  </w:footnote>
  <w:footnote w:type="continuationSeparator" w:id="0">
    <w:p w14:paraId="5F67E31A" w14:textId="77777777" w:rsidR="00883F70" w:rsidRDefault="00883F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796E0" w14:textId="64A9F0F4" w:rsidR="00EF5200" w:rsidRPr="00B371CC" w:rsidRDefault="00EF5200" w:rsidP="00CD554E">
    <w:pPr>
      <w:pStyle w:val="Nagwek"/>
      <w:jc w:val="center"/>
    </w:pPr>
    <w:r>
      <w:t xml:space="preserve">– </w:t>
    </w:r>
    <w:r>
      <w:fldChar w:fldCharType="begin"/>
    </w:r>
    <w:r>
      <w:instrText xml:space="preserve"> PAGE  \* MERGEFORMAT </w:instrText>
    </w:r>
    <w:r>
      <w:fldChar w:fldCharType="separate"/>
    </w:r>
    <w:r w:rsidR="003336D0">
      <w:rPr>
        <w:noProof/>
      </w:rPr>
      <w:t>64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7AC7"/>
    <w:multiLevelType w:val="hybridMultilevel"/>
    <w:tmpl w:val="CB4241A6"/>
    <w:lvl w:ilvl="0" w:tplc="A87AEE2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6830D83"/>
    <w:multiLevelType w:val="hybridMultilevel"/>
    <w:tmpl w:val="1D0CD1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697C74"/>
    <w:multiLevelType w:val="hybridMultilevel"/>
    <w:tmpl w:val="E504778C"/>
    <w:lvl w:ilvl="0" w:tplc="03FC18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7B740C"/>
    <w:multiLevelType w:val="hybridMultilevel"/>
    <w:tmpl w:val="A524C4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70689"/>
    <w:multiLevelType w:val="hybridMultilevel"/>
    <w:tmpl w:val="A636EB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C90A3B"/>
    <w:multiLevelType w:val="hybridMultilevel"/>
    <w:tmpl w:val="52FC07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8D4C2C"/>
    <w:multiLevelType w:val="hybridMultilevel"/>
    <w:tmpl w:val="FDE295A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EE43DC0"/>
    <w:multiLevelType w:val="hybridMultilevel"/>
    <w:tmpl w:val="5EEACC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7733D1"/>
    <w:multiLevelType w:val="hybridMultilevel"/>
    <w:tmpl w:val="6ECAC6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97E04"/>
    <w:multiLevelType w:val="hybridMultilevel"/>
    <w:tmpl w:val="73E24A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2B03D9"/>
    <w:multiLevelType w:val="hybridMultilevel"/>
    <w:tmpl w:val="174C3338"/>
    <w:lvl w:ilvl="0" w:tplc="403EEB36">
      <w:start w:val="1"/>
      <w:numFmt w:val="decimal"/>
      <w:lvlText w:val="%1)"/>
      <w:lvlJc w:val="left"/>
      <w:pPr>
        <w:ind w:left="900" w:hanging="39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1" w15:restartNumberingAfterBreak="0">
    <w:nsid w:val="32452C56"/>
    <w:multiLevelType w:val="hybridMultilevel"/>
    <w:tmpl w:val="57C0C870"/>
    <w:lvl w:ilvl="0" w:tplc="38322D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BE5035"/>
    <w:multiLevelType w:val="hybridMultilevel"/>
    <w:tmpl w:val="7484575E"/>
    <w:lvl w:ilvl="0" w:tplc="15C6B2EA">
      <w:start w:val="1"/>
      <w:numFmt w:val="bullet"/>
      <w:lvlText w:val="•"/>
      <w:lvlJc w:val="left"/>
      <w:pPr>
        <w:tabs>
          <w:tab w:val="num" w:pos="720"/>
        </w:tabs>
        <w:ind w:left="720" w:hanging="360"/>
      </w:pPr>
      <w:rPr>
        <w:rFonts w:ascii="Arial" w:hAnsi="Arial" w:hint="default"/>
      </w:rPr>
    </w:lvl>
    <w:lvl w:ilvl="1" w:tplc="4626A856" w:tentative="1">
      <w:start w:val="1"/>
      <w:numFmt w:val="bullet"/>
      <w:lvlText w:val="•"/>
      <w:lvlJc w:val="left"/>
      <w:pPr>
        <w:tabs>
          <w:tab w:val="num" w:pos="1440"/>
        </w:tabs>
        <w:ind w:left="1440" w:hanging="360"/>
      </w:pPr>
      <w:rPr>
        <w:rFonts w:ascii="Arial" w:hAnsi="Arial" w:hint="default"/>
      </w:rPr>
    </w:lvl>
    <w:lvl w:ilvl="2" w:tplc="68446B78" w:tentative="1">
      <w:start w:val="1"/>
      <w:numFmt w:val="bullet"/>
      <w:lvlText w:val="•"/>
      <w:lvlJc w:val="left"/>
      <w:pPr>
        <w:tabs>
          <w:tab w:val="num" w:pos="2160"/>
        </w:tabs>
        <w:ind w:left="2160" w:hanging="360"/>
      </w:pPr>
      <w:rPr>
        <w:rFonts w:ascii="Arial" w:hAnsi="Arial" w:hint="default"/>
      </w:rPr>
    </w:lvl>
    <w:lvl w:ilvl="3" w:tplc="604CC402" w:tentative="1">
      <w:start w:val="1"/>
      <w:numFmt w:val="bullet"/>
      <w:lvlText w:val="•"/>
      <w:lvlJc w:val="left"/>
      <w:pPr>
        <w:tabs>
          <w:tab w:val="num" w:pos="2880"/>
        </w:tabs>
        <w:ind w:left="2880" w:hanging="360"/>
      </w:pPr>
      <w:rPr>
        <w:rFonts w:ascii="Arial" w:hAnsi="Arial" w:hint="default"/>
      </w:rPr>
    </w:lvl>
    <w:lvl w:ilvl="4" w:tplc="FBE2971E" w:tentative="1">
      <w:start w:val="1"/>
      <w:numFmt w:val="bullet"/>
      <w:lvlText w:val="•"/>
      <w:lvlJc w:val="left"/>
      <w:pPr>
        <w:tabs>
          <w:tab w:val="num" w:pos="3600"/>
        </w:tabs>
        <w:ind w:left="3600" w:hanging="360"/>
      </w:pPr>
      <w:rPr>
        <w:rFonts w:ascii="Arial" w:hAnsi="Arial" w:hint="default"/>
      </w:rPr>
    </w:lvl>
    <w:lvl w:ilvl="5" w:tplc="05303D3C" w:tentative="1">
      <w:start w:val="1"/>
      <w:numFmt w:val="bullet"/>
      <w:lvlText w:val="•"/>
      <w:lvlJc w:val="left"/>
      <w:pPr>
        <w:tabs>
          <w:tab w:val="num" w:pos="4320"/>
        </w:tabs>
        <w:ind w:left="4320" w:hanging="360"/>
      </w:pPr>
      <w:rPr>
        <w:rFonts w:ascii="Arial" w:hAnsi="Arial" w:hint="default"/>
      </w:rPr>
    </w:lvl>
    <w:lvl w:ilvl="6" w:tplc="AF8C3B48" w:tentative="1">
      <w:start w:val="1"/>
      <w:numFmt w:val="bullet"/>
      <w:lvlText w:val="•"/>
      <w:lvlJc w:val="left"/>
      <w:pPr>
        <w:tabs>
          <w:tab w:val="num" w:pos="5040"/>
        </w:tabs>
        <w:ind w:left="5040" w:hanging="360"/>
      </w:pPr>
      <w:rPr>
        <w:rFonts w:ascii="Arial" w:hAnsi="Arial" w:hint="default"/>
      </w:rPr>
    </w:lvl>
    <w:lvl w:ilvl="7" w:tplc="B936E830" w:tentative="1">
      <w:start w:val="1"/>
      <w:numFmt w:val="bullet"/>
      <w:lvlText w:val="•"/>
      <w:lvlJc w:val="left"/>
      <w:pPr>
        <w:tabs>
          <w:tab w:val="num" w:pos="5760"/>
        </w:tabs>
        <w:ind w:left="5760" w:hanging="360"/>
      </w:pPr>
      <w:rPr>
        <w:rFonts w:ascii="Arial" w:hAnsi="Arial" w:hint="default"/>
      </w:rPr>
    </w:lvl>
    <w:lvl w:ilvl="8" w:tplc="0A56E8D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4D8078C"/>
    <w:multiLevelType w:val="hybridMultilevel"/>
    <w:tmpl w:val="2E222774"/>
    <w:lvl w:ilvl="0" w:tplc="E5F480BC">
      <w:start w:val="1"/>
      <w:numFmt w:val="decimal"/>
      <w:lvlText w:val="%1)"/>
      <w:lvlJc w:val="left"/>
      <w:pPr>
        <w:ind w:left="735" w:hanging="375"/>
      </w:pPr>
      <w:rPr>
        <w:rFonts w:hint="default"/>
        <w:color w:val="70AD47"/>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9356567"/>
    <w:multiLevelType w:val="hybridMultilevel"/>
    <w:tmpl w:val="F732F0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35101C"/>
    <w:multiLevelType w:val="hybridMultilevel"/>
    <w:tmpl w:val="61461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457283"/>
    <w:multiLevelType w:val="hybridMultilevel"/>
    <w:tmpl w:val="9E7A4C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60636C"/>
    <w:multiLevelType w:val="hybridMultilevel"/>
    <w:tmpl w:val="CA744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C691311"/>
    <w:multiLevelType w:val="hybridMultilevel"/>
    <w:tmpl w:val="9CCE127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9" w15:restartNumberingAfterBreak="0">
    <w:nsid w:val="5307746E"/>
    <w:multiLevelType w:val="hybridMultilevel"/>
    <w:tmpl w:val="8872DD56"/>
    <w:lvl w:ilvl="0" w:tplc="D3EC9558">
      <w:start w:val="1"/>
      <w:numFmt w:val="decimal"/>
      <w:lvlText w:val="%1)"/>
      <w:lvlJc w:val="left"/>
      <w:pPr>
        <w:ind w:left="720" w:hanging="360"/>
      </w:pPr>
      <w:rPr>
        <w:rFonts w:ascii="Times New Roman" w:hAnsi="Times New Roman" w:cs="Times New Roman"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5E56A6B"/>
    <w:multiLevelType w:val="hybridMultilevel"/>
    <w:tmpl w:val="2D58CEAA"/>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C480FBE"/>
    <w:multiLevelType w:val="hybridMultilevel"/>
    <w:tmpl w:val="3176E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E036B94"/>
    <w:multiLevelType w:val="hybridMultilevel"/>
    <w:tmpl w:val="DAF68AB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5F95301C"/>
    <w:multiLevelType w:val="hybridMultilevel"/>
    <w:tmpl w:val="B33A33A8"/>
    <w:lvl w:ilvl="0" w:tplc="1B4A55E0">
      <w:start w:val="1"/>
      <w:numFmt w:val="bullet"/>
      <w:lvlText w:val="•"/>
      <w:lvlJc w:val="left"/>
      <w:pPr>
        <w:tabs>
          <w:tab w:val="num" w:pos="720"/>
        </w:tabs>
        <w:ind w:left="720" w:hanging="360"/>
      </w:pPr>
      <w:rPr>
        <w:rFonts w:ascii="Arial" w:hAnsi="Arial" w:hint="default"/>
      </w:rPr>
    </w:lvl>
    <w:lvl w:ilvl="1" w:tplc="064C0AFE" w:tentative="1">
      <w:start w:val="1"/>
      <w:numFmt w:val="bullet"/>
      <w:lvlText w:val="•"/>
      <w:lvlJc w:val="left"/>
      <w:pPr>
        <w:tabs>
          <w:tab w:val="num" w:pos="1440"/>
        </w:tabs>
        <w:ind w:left="1440" w:hanging="360"/>
      </w:pPr>
      <w:rPr>
        <w:rFonts w:ascii="Arial" w:hAnsi="Arial" w:hint="default"/>
      </w:rPr>
    </w:lvl>
    <w:lvl w:ilvl="2" w:tplc="FB48AF0C" w:tentative="1">
      <w:start w:val="1"/>
      <w:numFmt w:val="bullet"/>
      <w:lvlText w:val="•"/>
      <w:lvlJc w:val="left"/>
      <w:pPr>
        <w:tabs>
          <w:tab w:val="num" w:pos="2160"/>
        </w:tabs>
        <w:ind w:left="2160" w:hanging="360"/>
      </w:pPr>
      <w:rPr>
        <w:rFonts w:ascii="Arial" w:hAnsi="Arial" w:hint="default"/>
      </w:rPr>
    </w:lvl>
    <w:lvl w:ilvl="3" w:tplc="F8C063A2" w:tentative="1">
      <w:start w:val="1"/>
      <w:numFmt w:val="bullet"/>
      <w:lvlText w:val="•"/>
      <w:lvlJc w:val="left"/>
      <w:pPr>
        <w:tabs>
          <w:tab w:val="num" w:pos="2880"/>
        </w:tabs>
        <w:ind w:left="2880" w:hanging="360"/>
      </w:pPr>
      <w:rPr>
        <w:rFonts w:ascii="Arial" w:hAnsi="Arial" w:hint="default"/>
      </w:rPr>
    </w:lvl>
    <w:lvl w:ilvl="4" w:tplc="A554F830" w:tentative="1">
      <w:start w:val="1"/>
      <w:numFmt w:val="bullet"/>
      <w:lvlText w:val="•"/>
      <w:lvlJc w:val="left"/>
      <w:pPr>
        <w:tabs>
          <w:tab w:val="num" w:pos="3600"/>
        </w:tabs>
        <w:ind w:left="3600" w:hanging="360"/>
      </w:pPr>
      <w:rPr>
        <w:rFonts w:ascii="Arial" w:hAnsi="Arial" w:hint="default"/>
      </w:rPr>
    </w:lvl>
    <w:lvl w:ilvl="5" w:tplc="CC9E8338" w:tentative="1">
      <w:start w:val="1"/>
      <w:numFmt w:val="bullet"/>
      <w:lvlText w:val="•"/>
      <w:lvlJc w:val="left"/>
      <w:pPr>
        <w:tabs>
          <w:tab w:val="num" w:pos="4320"/>
        </w:tabs>
        <w:ind w:left="4320" w:hanging="360"/>
      </w:pPr>
      <w:rPr>
        <w:rFonts w:ascii="Arial" w:hAnsi="Arial" w:hint="default"/>
      </w:rPr>
    </w:lvl>
    <w:lvl w:ilvl="6" w:tplc="69766F5C" w:tentative="1">
      <w:start w:val="1"/>
      <w:numFmt w:val="bullet"/>
      <w:lvlText w:val="•"/>
      <w:lvlJc w:val="left"/>
      <w:pPr>
        <w:tabs>
          <w:tab w:val="num" w:pos="5040"/>
        </w:tabs>
        <w:ind w:left="5040" w:hanging="360"/>
      </w:pPr>
      <w:rPr>
        <w:rFonts w:ascii="Arial" w:hAnsi="Arial" w:hint="default"/>
      </w:rPr>
    </w:lvl>
    <w:lvl w:ilvl="7" w:tplc="91783D06" w:tentative="1">
      <w:start w:val="1"/>
      <w:numFmt w:val="bullet"/>
      <w:lvlText w:val="•"/>
      <w:lvlJc w:val="left"/>
      <w:pPr>
        <w:tabs>
          <w:tab w:val="num" w:pos="5760"/>
        </w:tabs>
        <w:ind w:left="5760" w:hanging="360"/>
      </w:pPr>
      <w:rPr>
        <w:rFonts w:ascii="Arial" w:hAnsi="Arial" w:hint="default"/>
      </w:rPr>
    </w:lvl>
    <w:lvl w:ilvl="8" w:tplc="80781A5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1856C08"/>
    <w:multiLevelType w:val="hybridMultilevel"/>
    <w:tmpl w:val="933840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2FC1B4B"/>
    <w:multiLevelType w:val="hybridMultilevel"/>
    <w:tmpl w:val="490253B4"/>
    <w:lvl w:ilvl="0" w:tplc="7BE8CF7A">
      <w:start w:val="1"/>
      <w:numFmt w:val="lowerLetter"/>
      <w:lvlText w:val="%1)"/>
      <w:lvlJc w:val="left"/>
      <w:pPr>
        <w:ind w:left="1428" w:hanging="360"/>
      </w:pPr>
      <w:rPr>
        <w:i w:val="0"/>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6" w15:restartNumberingAfterBreak="0">
    <w:nsid w:val="697F02AF"/>
    <w:multiLevelType w:val="hybridMultilevel"/>
    <w:tmpl w:val="206659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E13767"/>
    <w:multiLevelType w:val="hybridMultilevel"/>
    <w:tmpl w:val="B3CAE55A"/>
    <w:lvl w:ilvl="0" w:tplc="6E3A3E70">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5E2C88"/>
    <w:multiLevelType w:val="hybridMultilevel"/>
    <w:tmpl w:val="16C60E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FEB4B3E"/>
    <w:multiLevelType w:val="hybridMultilevel"/>
    <w:tmpl w:val="9522E7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5A05780"/>
    <w:multiLevelType w:val="hybridMultilevel"/>
    <w:tmpl w:val="45F640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5A62FE4"/>
    <w:multiLevelType w:val="hybridMultilevel"/>
    <w:tmpl w:val="173254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C91BC6"/>
    <w:multiLevelType w:val="hybridMultilevel"/>
    <w:tmpl w:val="7C44A3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25"/>
  </w:num>
  <w:num w:numId="3">
    <w:abstractNumId w:val="10"/>
  </w:num>
  <w:num w:numId="4">
    <w:abstractNumId w:val="13"/>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23"/>
  </w:num>
  <w:num w:numId="9">
    <w:abstractNumId w:val="20"/>
  </w:num>
  <w:num w:numId="10">
    <w:abstractNumId w:val="8"/>
  </w:num>
  <w:num w:numId="11">
    <w:abstractNumId w:val="6"/>
  </w:num>
  <w:num w:numId="12">
    <w:abstractNumId w:val="2"/>
  </w:num>
  <w:num w:numId="13">
    <w:abstractNumId w:val="24"/>
  </w:num>
  <w:num w:numId="14">
    <w:abstractNumId w:val="7"/>
  </w:num>
  <w:num w:numId="15">
    <w:abstractNumId w:val="19"/>
  </w:num>
  <w:num w:numId="16">
    <w:abstractNumId w:val="15"/>
  </w:num>
  <w:num w:numId="17">
    <w:abstractNumId w:val="1"/>
  </w:num>
  <w:num w:numId="18">
    <w:abstractNumId w:val="22"/>
  </w:num>
  <w:num w:numId="19">
    <w:abstractNumId w:val="29"/>
  </w:num>
  <w:num w:numId="20">
    <w:abstractNumId w:val="31"/>
  </w:num>
  <w:num w:numId="21">
    <w:abstractNumId w:val="14"/>
  </w:num>
  <w:num w:numId="22">
    <w:abstractNumId w:val="21"/>
  </w:num>
  <w:num w:numId="23">
    <w:abstractNumId w:val="17"/>
  </w:num>
  <w:num w:numId="24">
    <w:abstractNumId w:val="3"/>
  </w:num>
  <w:num w:numId="25">
    <w:abstractNumId w:val="26"/>
  </w:num>
  <w:num w:numId="26">
    <w:abstractNumId w:val="5"/>
  </w:num>
  <w:num w:numId="27">
    <w:abstractNumId w:val="4"/>
  </w:num>
  <w:num w:numId="28">
    <w:abstractNumId w:val="28"/>
  </w:num>
  <w:num w:numId="29">
    <w:abstractNumId w:val="9"/>
  </w:num>
  <w:num w:numId="30">
    <w:abstractNumId w:val="11"/>
  </w:num>
  <w:num w:numId="31">
    <w:abstractNumId w:val="27"/>
  </w:num>
  <w:num w:numId="32">
    <w:abstractNumId w:val="32"/>
  </w:num>
  <w:num w:numId="33">
    <w:abstractNumId w:val="16"/>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197"/>
    <w:rsid w:val="00016C2F"/>
    <w:rsid w:val="00032170"/>
    <w:rsid w:val="00044BFF"/>
    <w:rsid w:val="00053939"/>
    <w:rsid w:val="00056601"/>
    <w:rsid w:val="0009345A"/>
    <w:rsid w:val="000A79CD"/>
    <w:rsid w:val="000B4A86"/>
    <w:rsid w:val="000D023E"/>
    <w:rsid w:val="000E231B"/>
    <w:rsid w:val="000E53F0"/>
    <w:rsid w:val="000F0DB0"/>
    <w:rsid w:val="000F6448"/>
    <w:rsid w:val="0010099A"/>
    <w:rsid w:val="00114761"/>
    <w:rsid w:val="001302EF"/>
    <w:rsid w:val="00136D3F"/>
    <w:rsid w:val="001578D9"/>
    <w:rsid w:val="00165972"/>
    <w:rsid w:val="00183F1B"/>
    <w:rsid w:val="00192973"/>
    <w:rsid w:val="001D0B6D"/>
    <w:rsid w:val="001F345C"/>
    <w:rsid w:val="00212B6D"/>
    <w:rsid w:val="00222C2D"/>
    <w:rsid w:val="00241436"/>
    <w:rsid w:val="002437AB"/>
    <w:rsid w:val="00244358"/>
    <w:rsid w:val="00247A78"/>
    <w:rsid w:val="00250267"/>
    <w:rsid w:val="002638F9"/>
    <w:rsid w:val="00267DA4"/>
    <w:rsid w:val="002768F0"/>
    <w:rsid w:val="00280567"/>
    <w:rsid w:val="002925BD"/>
    <w:rsid w:val="002A7AAD"/>
    <w:rsid w:val="002B6D39"/>
    <w:rsid w:val="002D3A2F"/>
    <w:rsid w:val="002D3AA5"/>
    <w:rsid w:val="002E3E32"/>
    <w:rsid w:val="002E4348"/>
    <w:rsid w:val="002E5599"/>
    <w:rsid w:val="002E592D"/>
    <w:rsid w:val="00316DF2"/>
    <w:rsid w:val="00321BA7"/>
    <w:rsid w:val="00330D95"/>
    <w:rsid w:val="003336D0"/>
    <w:rsid w:val="00353275"/>
    <w:rsid w:val="00361613"/>
    <w:rsid w:val="00365AC6"/>
    <w:rsid w:val="00371E5D"/>
    <w:rsid w:val="0037691D"/>
    <w:rsid w:val="00377630"/>
    <w:rsid w:val="00384C31"/>
    <w:rsid w:val="00394FCB"/>
    <w:rsid w:val="003B3EC2"/>
    <w:rsid w:val="003D32C0"/>
    <w:rsid w:val="003F45D6"/>
    <w:rsid w:val="003F7EC4"/>
    <w:rsid w:val="00410C79"/>
    <w:rsid w:val="00427BC8"/>
    <w:rsid w:val="0045093A"/>
    <w:rsid w:val="0046314F"/>
    <w:rsid w:val="0046632E"/>
    <w:rsid w:val="00473011"/>
    <w:rsid w:val="00474A01"/>
    <w:rsid w:val="00492A3C"/>
    <w:rsid w:val="00492A71"/>
    <w:rsid w:val="004A2454"/>
    <w:rsid w:val="004A356A"/>
    <w:rsid w:val="004A3D69"/>
    <w:rsid w:val="004A5CF7"/>
    <w:rsid w:val="004D468A"/>
    <w:rsid w:val="004E331F"/>
    <w:rsid w:val="004E6717"/>
    <w:rsid w:val="004F3A6B"/>
    <w:rsid w:val="00503CCE"/>
    <w:rsid w:val="00504720"/>
    <w:rsid w:val="00506051"/>
    <w:rsid w:val="0050644B"/>
    <w:rsid w:val="0052386A"/>
    <w:rsid w:val="005375A6"/>
    <w:rsid w:val="00545DA0"/>
    <w:rsid w:val="00551ACD"/>
    <w:rsid w:val="005520A9"/>
    <w:rsid w:val="005646C3"/>
    <w:rsid w:val="00587222"/>
    <w:rsid w:val="005900CD"/>
    <w:rsid w:val="005C2512"/>
    <w:rsid w:val="005C5F1D"/>
    <w:rsid w:val="005D500F"/>
    <w:rsid w:val="005F4E51"/>
    <w:rsid w:val="005F6831"/>
    <w:rsid w:val="00636567"/>
    <w:rsid w:val="00637E47"/>
    <w:rsid w:val="0065234B"/>
    <w:rsid w:val="00654444"/>
    <w:rsid w:val="006607AD"/>
    <w:rsid w:val="006820DC"/>
    <w:rsid w:val="0068528B"/>
    <w:rsid w:val="006877B1"/>
    <w:rsid w:val="0069353C"/>
    <w:rsid w:val="006A3DC9"/>
    <w:rsid w:val="006E6499"/>
    <w:rsid w:val="00702296"/>
    <w:rsid w:val="0071470E"/>
    <w:rsid w:val="007163FE"/>
    <w:rsid w:val="00720F52"/>
    <w:rsid w:val="00721FE2"/>
    <w:rsid w:val="00722915"/>
    <w:rsid w:val="0072458A"/>
    <w:rsid w:val="007253ED"/>
    <w:rsid w:val="00727C59"/>
    <w:rsid w:val="00727D6F"/>
    <w:rsid w:val="00737E74"/>
    <w:rsid w:val="00767246"/>
    <w:rsid w:val="007701F4"/>
    <w:rsid w:val="0077545E"/>
    <w:rsid w:val="00784B10"/>
    <w:rsid w:val="007915E6"/>
    <w:rsid w:val="007A241F"/>
    <w:rsid w:val="007A7A2C"/>
    <w:rsid w:val="007B3302"/>
    <w:rsid w:val="007D3F2D"/>
    <w:rsid w:val="007D5FCB"/>
    <w:rsid w:val="007E57A5"/>
    <w:rsid w:val="007E6A56"/>
    <w:rsid w:val="007F7F89"/>
    <w:rsid w:val="00811889"/>
    <w:rsid w:val="0081497E"/>
    <w:rsid w:val="00824871"/>
    <w:rsid w:val="0083070F"/>
    <w:rsid w:val="008413ED"/>
    <w:rsid w:val="00857394"/>
    <w:rsid w:val="00883F70"/>
    <w:rsid w:val="008B6B1B"/>
    <w:rsid w:val="008B7DC9"/>
    <w:rsid w:val="008C725A"/>
    <w:rsid w:val="008D2C1A"/>
    <w:rsid w:val="008E61C8"/>
    <w:rsid w:val="00905823"/>
    <w:rsid w:val="009074DA"/>
    <w:rsid w:val="00915AB3"/>
    <w:rsid w:val="00934EBD"/>
    <w:rsid w:val="009374D2"/>
    <w:rsid w:val="00980894"/>
    <w:rsid w:val="00981440"/>
    <w:rsid w:val="009872B4"/>
    <w:rsid w:val="00996023"/>
    <w:rsid w:val="009B0AC7"/>
    <w:rsid w:val="009B7227"/>
    <w:rsid w:val="009C02B6"/>
    <w:rsid w:val="009F0004"/>
    <w:rsid w:val="009F5F41"/>
    <w:rsid w:val="009F6AE4"/>
    <w:rsid w:val="00A53D82"/>
    <w:rsid w:val="00AB0BB8"/>
    <w:rsid w:val="00AB728E"/>
    <w:rsid w:val="00AB7D3F"/>
    <w:rsid w:val="00AD349C"/>
    <w:rsid w:val="00AE24D3"/>
    <w:rsid w:val="00AE6D9F"/>
    <w:rsid w:val="00AE7590"/>
    <w:rsid w:val="00AF1E91"/>
    <w:rsid w:val="00AF61B6"/>
    <w:rsid w:val="00AF7839"/>
    <w:rsid w:val="00B00E54"/>
    <w:rsid w:val="00B06519"/>
    <w:rsid w:val="00B15011"/>
    <w:rsid w:val="00B2350F"/>
    <w:rsid w:val="00B23E57"/>
    <w:rsid w:val="00B67A50"/>
    <w:rsid w:val="00B7519A"/>
    <w:rsid w:val="00BB78C9"/>
    <w:rsid w:val="00BC1566"/>
    <w:rsid w:val="00BD73C7"/>
    <w:rsid w:val="00BE4301"/>
    <w:rsid w:val="00BE4CD5"/>
    <w:rsid w:val="00C07303"/>
    <w:rsid w:val="00C14C94"/>
    <w:rsid w:val="00C2197B"/>
    <w:rsid w:val="00C33D00"/>
    <w:rsid w:val="00C3770F"/>
    <w:rsid w:val="00C44337"/>
    <w:rsid w:val="00C44B98"/>
    <w:rsid w:val="00C46298"/>
    <w:rsid w:val="00C537C2"/>
    <w:rsid w:val="00C56B39"/>
    <w:rsid w:val="00C63400"/>
    <w:rsid w:val="00C67252"/>
    <w:rsid w:val="00C75D33"/>
    <w:rsid w:val="00C77F13"/>
    <w:rsid w:val="00C77F94"/>
    <w:rsid w:val="00C80637"/>
    <w:rsid w:val="00C81602"/>
    <w:rsid w:val="00C91BE9"/>
    <w:rsid w:val="00CB72C8"/>
    <w:rsid w:val="00CD446D"/>
    <w:rsid w:val="00CD554E"/>
    <w:rsid w:val="00CE2820"/>
    <w:rsid w:val="00CE69CD"/>
    <w:rsid w:val="00CF38AB"/>
    <w:rsid w:val="00D06EA8"/>
    <w:rsid w:val="00D1629D"/>
    <w:rsid w:val="00D3243C"/>
    <w:rsid w:val="00D60535"/>
    <w:rsid w:val="00D722C9"/>
    <w:rsid w:val="00D81CD7"/>
    <w:rsid w:val="00DA2F2D"/>
    <w:rsid w:val="00DA54E9"/>
    <w:rsid w:val="00E01C75"/>
    <w:rsid w:val="00E058AC"/>
    <w:rsid w:val="00E14107"/>
    <w:rsid w:val="00E64310"/>
    <w:rsid w:val="00E720CC"/>
    <w:rsid w:val="00E86252"/>
    <w:rsid w:val="00EC1D99"/>
    <w:rsid w:val="00ED1727"/>
    <w:rsid w:val="00EF5200"/>
    <w:rsid w:val="00F11197"/>
    <w:rsid w:val="00F265BD"/>
    <w:rsid w:val="00F415BE"/>
    <w:rsid w:val="00F56CCA"/>
    <w:rsid w:val="00F57A8F"/>
    <w:rsid w:val="00F57B9B"/>
    <w:rsid w:val="00F57F74"/>
    <w:rsid w:val="00F709BF"/>
    <w:rsid w:val="00F9587D"/>
    <w:rsid w:val="00FA31FA"/>
    <w:rsid w:val="00FA5F27"/>
    <w:rsid w:val="00FC4318"/>
    <w:rsid w:val="00FD1ABB"/>
    <w:rsid w:val="00FE1672"/>
    <w:rsid w:val="00FF2D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6D9DD"/>
  <w15:docId w15:val="{88B5274D-3B72-4018-B4AD-DA514FCB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1197"/>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paragraph" w:styleId="Nagwek1">
    <w:name w:val="heading 1"/>
    <w:basedOn w:val="Normalny"/>
    <w:next w:val="Normalny"/>
    <w:link w:val="Nagwek1Znak"/>
    <w:uiPriority w:val="99"/>
    <w:qFormat/>
    <w:rsid w:val="00F11197"/>
    <w:pPr>
      <w:keepNext/>
      <w:keepLines/>
      <w:suppressAutoHyphens/>
      <w:autoSpaceDE/>
      <w:autoSpaceDN/>
      <w:adjustRightInd/>
      <w:spacing w:before="480"/>
      <w:outlineLvl w:val="0"/>
    </w:pPr>
    <w:rPr>
      <w:rFonts w:ascii="Cambria" w:hAnsi="Cambria" w:cs="Times New Roman"/>
      <w:b/>
      <w:bCs/>
      <w:color w:val="365F91"/>
      <w:kern w:val="1"/>
      <w:sz w:val="28"/>
      <w:szCs w:val="28"/>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11197"/>
    <w:rPr>
      <w:rFonts w:ascii="Cambria" w:eastAsia="Times New Roman" w:hAnsi="Cambria" w:cs="Times New Roman"/>
      <w:b/>
      <w:bCs/>
      <w:color w:val="365F91"/>
      <w:kern w:val="1"/>
      <w:sz w:val="28"/>
      <w:szCs w:val="28"/>
      <w:lang w:val="x-none" w:eastAsia="ar-SA"/>
    </w:rPr>
  </w:style>
  <w:style w:type="paragraph" w:customStyle="1" w:styleId="ZLITwPKTzmlitwpktartykuempunktem">
    <w:name w:val="Z/LIT_w_PKT – zm. lit. w pkt artykułem (punktem)"/>
    <w:basedOn w:val="LITlitera"/>
    <w:uiPriority w:val="32"/>
    <w:qFormat/>
    <w:rsid w:val="00F11197"/>
    <w:pPr>
      <w:ind w:left="1497"/>
    </w:pPr>
  </w:style>
  <w:style w:type="paragraph" w:customStyle="1" w:styleId="ZTIRwPKTzmtirwpktartykuempunktem">
    <w:name w:val="Z/TIR_w_PKT – zm. tir. w pkt artykułem (punktem)"/>
    <w:basedOn w:val="TIRtiret"/>
    <w:uiPriority w:val="33"/>
    <w:qFormat/>
    <w:rsid w:val="00F11197"/>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11197"/>
    <w:pPr>
      <w:ind w:left="1021"/>
    </w:pPr>
  </w:style>
  <w:style w:type="paragraph" w:customStyle="1" w:styleId="2TIRpodwjnytiret">
    <w:name w:val="2TIR – podwójny tiret"/>
    <w:basedOn w:val="TIRtiret"/>
    <w:uiPriority w:val="73"/>
    <w:qFormat/>
    <w:rsid w:val="00F11197"/>
    <w:pPr>
      <w:ind w:left="1780"/>
    </w:pPr>
  </w:style>
  <w:style w:type="character" w:styleId="Odwoanieprzypisudolnego">
    <w:name w:val="footnote reference"/>
    <w:rsid w:val="00F11197"/>
    <w:rPr>
      <w:rFonts w:cs="Times New Roman"/>
      <w:vertAlign w:val="superscript"/>
    </w:rPr>
  </w:style>
  <w:style w:type="paragraph" w:styleId="Nagwek">
    <w:name w:val="header"/>
    <w:basedOn w:val="Normalny"/>
    <w:link w:val="NagwekZnak"/>
    <w:uiPriority w:val="99"/>
    <w:rsid w:val="00F11197"/>
    <w:pPr>
      <w:tabs>
        <w:tab w:val="center" w:pos="4536"/>
        <w:tab w:val="right" w:pos="9072"/>
      </w:tabs>
      <w:suppressAutoHyphens/>
      <w:autoSpaceDE/>
      <w:autoSpaceDN/>
      <w:adjustRightInd/>
    </w:pPr>
    <w:rPr>
      <w:rFonts w:ascii="Times" w:hAnsi="Times" w:cs="Times New Roman"/>
      <w:kern w:val="1"/>
      <w:szCs w:val="24"/>
      <w:lang w:val="x-none" w:eastAsia="ar-SA"/>
    </w:rPr>
  </w:style>
  <w:style w:type="character" w:customStyle="1" w:styleId="NagwekZnak">
    <w:name w:val="Nagłówek Znak"/>
    <w:basedOn w:val="Domylnaczcionkaakapitu"/>
    <w:link w:val="Nagwek"/>
    <w:uiPriority w:val="99"/>
    <w:rsid w:val="00F11197"/>
    <w:rPr>
      <w:rFonts w:ascii="Times" w:eastAsia="Times New Roman" w:hAnsi="Times" w:cs="Times New Roman"/>
      <w:kern w:val="1"/>
      <w:sz w:val="24"/>
      <w:szCs w:val="24"/>
      <w:lang w:val="x-none" w:eastAsia="ar-SA"/>
    </w:rPr>
  </w:style>
  <w:style w:type="paragraph" w:styleId="Stopka">
    <w:name w:val="footer"/>
    <w:basedOn w:val="Normalny"/>
    <w:link w:val="StopkaZnak"/>
    <w:uiPriority w:val="99"/>
    <w:rsid w:val="00F11197"/>
    <w:pPr>
      <w:tabs>
        <w:tab w:val="center" w:pos="4536"/>
        <w:tab w:val="right" w:pos="9072"/>
      </w:tabs>
      <w:suppressAutoHyphens/>
      <w:autoSpaceDE/>
      <w:autoSpaceDN/>
      <w:adjustRightInd/>
    </w:pPr>
    <w:rPr>
      <w:rFonts w:ascii="Times" w:hAnsi="Times" w:cs="Times New Roman"/>
      <w:kern w:val="1"/>
      <w:szCs w:val="24"/>
      <w:lang w:val="x-none" w:eastAsia="ar-SA"/>
    </w:rPr>
  </w:style>
  <w:style w:type="character" w:customStyle="1" w:styleId="StopkaZnak">
    <w:name w:val="Stopka Znak"/>
    <w:basedOn w:val="Domylnaczcionkaakapitu"/>
    <w:link w:val="Stopka"/>
    <w:uiPriority w:val="99"/>
    <w:rsid w:val="00F11197"/>
    <w:rPr>
      <w:rFonts w:ascii="Times" w:eastAsia="Times New Roman" w:hAnsi="Times" w:cs="Times New Roman"/>
      <w:kern w:val="1"/>
      <w:sz w:val="24"/>
      <w:szCs w:val="24"/>
      <w:lang w:val="x-none" w:eastAsia="ar-SA"/>
    </w:rPr>
  </w:style>
  <w:style w:type="paragraph" w:styleId="Tekstdymka">
    <w:name w:val="Balloon Text"/>
    <w:basedOn w:val="Normalny"/>
    <w:link w:val="TekstdymkaZnak"/>
    <w:uiPriority w:val="99"/>
    <w:semiHidden/>
    <w:rsid w:val="00F11197"/>
    <w:pPr>
      <w:suppressAutoHyphens/>
      <w:autoSpaceDE/>
      <w:autoSpaceDN/>
      <w:adjustRightInd/>
    </w:pPr>
    <w:rPr>
      <w:rFonts w:ascii="Tahoma" w:hAnsi="Tahoma" w:cs="Times New Roman"/>
      <w:kern w:val="1"/>
      <w:szCs w:val="16"/>
      <w:lang w:val="x-none" w:eastAsia="ar-SA"/>
    </w:rPr>
  </w:style>
  <w:style w:type="character" w:customStyle="1" w:styleId="TekstdymkaZnak">
    <w:name w:val="Tekst dymka Znak"/>
    <w:basedOn w:val="Domylnaczcionkaakapitu"/>
    <w:link w:val="Tekstdymka"/>
    <w:uiPriority w:val="99"/>
    <w:semiHidden/>
    <w:rsid w:val="00F11197"/>
    <w:rPr>
      <w:rFonts w:ascii="Tahoma" w:eastAsia="Times New Roman" w:hAnsi="Tahoma" w:cs="Times New Roman"/>
      <w:kern w:val="1"/>
      <w:sz w:val="24"/>
      <w:szCs w:val="16"/>
      <w:lang w:val="x-none" w:eastAsia="ar-SA"/>
    </w:rPr>
  </w:style>
  <w:style w:type="paragraph" w:customStyle="1" w:styleId="ARTartustawynprozporzdzenia">
    <w:name w:val="ART(§) – art. ustawy (§ np. rozporządzenia)"/>
    <w:uiPriority w:val="11"/>
    <w:qFormat/>
    <w:rsid w:val="00F11197"/>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11197"/>
    <w:pPr>
      <w:ind w:left="1497"/>
    </w:pPr>
  </w:style>
  <w:style w:type="paragraph" w:customStyle="1" w:styleId="ZTIRwLITzmtirwlitartykuempunktem">
    <w:name w:val="Z/TIR_w_LIT – zm. tir. w lit. artykułem (punktem)"/>
    <w:basedOn w:val="TIRtiret"/>
    <w:uiPriority w:val="33"/>
    <w:qFormat/>
    <w:rsid w:val="00F11197"/>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11197"/>
  </w:style>
  <w:style w:type="paragraph" w:styleId="Bezodstpw">
    <w:name w:val="No Spacing"/>
    <w:uiPriority w:val="1"/>
    <w:qFormat/>
    <w:rsid w:val="00F11197"/>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F11197"/>
    <w:pPr>
      <w:ind w:left="1020"/>
    </w:pPr>
  </w:style>
  <w:style w:type="paragraph" w:customStyle="1" w:styleId="ZARTzmartartykuempunktem">
    <w:name w:val="Z/ART(§) – zm. art. (§) artykułem (punktem)"/>
    <w:basedOn w:val="ARTartustawynprozporzdzenia"/>
    <w:uiPriority w:val="30"/>
    <w:qFormat/>
    <w:rsid w:val="00F11197"/>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11197"/>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11197"/>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11197"/>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11197"/>
    <w:rPr>
      <w:bCs/>
    </w:rPr>
  </w:style>
  <w:style w:type="paragraph" w:customStyle="1" w:styleId="OZNRODZAKTUtznustawalubrozporzdzenieiorganwydajcy">
    <w:name w:val="OZN_RODZ_AKTU – tzn. ustawa lub rozporządzenie i organ wydający"/>
    <w:next w:val="DATAAKTUdatauchwalenialubwydaniaaktu"/>
    <w:uiPriority w:val="5"/>
    <w:qFormat/>
    <w:rsid w:val="00F11197"/>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qFormat/>
    <w:rsid w:val="00F11197"/>
    <w:pPr>
      <w:spacing w:before="0"/>
    </w:pPr>
    <w:rPr>
      <w:bCs/>
    </w:rPr>
  </w:style>
  <w:style w:type="paragraph" w:customStyle="1" w:styleId="PKTpunkt">
    <w:name w:val="PKT – punkt"/>
    <w:uiPriority w:val="13"/>
    <w:qFormat/>
    <w:rsid w:val="00F11197"/>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F11197"/>
    <w:pPr>
      <w:ind w:left="0" w:firstLine="0"/>
    </w:pPr>
  </w:style>
  <w:style w:type="paragraph" w:customStyle="1" w:styleId="LITlitera">
    <w:name w:val="LIT – litera"/>
    <w:basedOn w:val="PKTpunkt"/>
    <w:uiPriority w:val="14"/>
    <w:qFormat/>
    <w:rsid w:val="00F11197"/>
    <w:pPr>
      <w:ind w:left="986" w:hanging="476"/>
    </w:pPr>
  </w:style>
  <w:style w:type="paragraph" w:customStyle="1" w:styleId="CZWSPLITczwsplnaliter">
    <w:name w:val="CZ_WSP_LIT – część wspólna liter"/>
    <w:basedOn w:val="LITlitera"/>
    <w:next w:val="USTustnpkodeksu"/>
    <w:uiPriority w:val="17"/>
    <w:qFormat/>
    <w:rsid w:val="00F11197"/>
    <w:pPr>
      <w:ind w:left="510" w:firstLine="0"/>
    </w:pPr>
    <w:rPr>
      <w:szCs w:val="24"/>
    </w:rPr>
  </w:style>
  <w:style w:type="paragraph" w:customStyle="1" w:styleId="TIRtiret">
    <w:name w:val="TIR – tiret"/>
    <w:basedOn w:val="LITlitera"/>
    <w:uiPriority w:val="15"/>
    <w:qFormat/>
    <w:rsid w:val="00F11197"/>
    <w:pPr>
      <w:ind w:left="1384" w:hanging="397"/>
    </w:pPr>
  </w:style>
  <w:style w:type="paragraph" w:customStyle="1" w:styleId="CZWSPTIRczwsplnatiret">
    <w:name w:val="CZ_WSP_TIR – część wspólna tiret"/>
    <w:basedOn w:val="TIRtiret"/>
    <w:next w:val="USTustnpkodeksu"/>
    <w:uiPriority w:val="17"/>
    <w:qFormat/>
    <w:rsid w:val="00F11197"/>
    <w:pPr>
      <w:ind w:left="987" w:firstLine="0"/>
    </w:pPr>
  </w:style>
  <w:style w:type="paragraph" w:customStyle="1" w:styleId="CYTcytatnpprzysigi">
    <w:name w:val="CYT – cytat np. przysięgi"/>
    <w:basedOn w:val="USTustnpkodeksu"/>
    <w:next w:val="USTustnpkodeksu"/>
    <w:uiPriority w:val="18"/>
    <w:qFormat/>
    <w:rsid w:val="00F1119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11197"/>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F11197"/>
  </w:style>
  <w:style w:type="paragraph" w:customStyle="1" w:styleId="ZLITCZWSPTIRwLITzmczciwsptirwlitliter">
    <w:name w:val="Z_LIT/CZ_WSP_TIR_w_LIT – zm. części wsp. tir. w lit. literą"/>
    <w:basedOn w:val="CZWSPTIRczwsplnatiret"/>
    <w:next w:val="LITlitera"/>
    <w:uiPriority w:val="51"/>
    <w:qFormat/>
    <w:rsid w:val="00F11197"/>
    <w:pPr>
      <w:ind w:left="1463"/>
    </w:pPr>
  </w:style>
  <w:style w:type="paragraph" w:customStyle="1" w:styleId="ZLITTIRwLITzmtirwlitliter">
    <w:name w:val="Z_LIT/TIR_w_LIT – zm. tir. w lit. literą"/>
    <w:basedOn w:val="TIRtiret"/>
    <w:uiPriority w:val="49"/>
    <w:qFormat/>
    <w:rsid w:val="00F11197"/>
    <w:pPr>
      <w:ind w:left="1860"/>
    </w:pPr>
  </w:style>
  <w:style w:type="paragraph" w:customStyle="1" w:styleId="TYTDZOZNoznaczenietytuulubdziau">
    <w:name w:val="TYT(DZ)_OZN – oznaczenie tytułu lub działu"/>
    <w:next w:val="Normalny"/>
    <w:uiPriority w:val="9"/>
    <w:qFormat/>
    <w:rsid w:val="00F11197"/>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11197"/>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1119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11197"/>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1119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11197"/>
    <w:pPr>
      <w:ind w:left="510"/>
    </w:pPr>
  </w:style>
  <w:style w:type="paragraph" w:customStyle="1" w:styleId="ZZLITzmianazmlit">
    <w:name w:val="ZZ/LIT – zmiana zm. lit."/>
    <w:basedOn w:val="ZZPKTzmianazmpkt"/>
    <w:uiPriority w:val="67"/>
    <w:qFormat/>
    <w:rsid w:val="00F11197"/>
    <w:pPr>
      <w:ind w:left="2370" w:hanging="476"/>
    </w:pPr>
  </w:style>
  <w:style w:type="paragraph" w:customStyle="1" w:styleId="ZZTIRzmianazmtir">
    <w:name w:val="ZZ/TIR – zmiana zm. tir."/>
    <w:basedOn w:val="ZZLITzmianazmlit"/>
    <w:uiPriority w:val="67"/>
    <w:qFormat/>
    <w:rsid w:val="00F11197"/>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11197"/>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F11197"/>
    <w:pPr>
      <w:ind w:left="987"/>
    </w:pPr>
  </w:style>
  <w:style w:type="paragraph" w:customStyle="1" w:styleId="ZLITPKTzmpktliter">
    <w:name w:val="Z_LIT/PKT – zm. pkt literą"/>
    <w:basedOn w:val="PKTpunkt"/>
    <w:uiPriority w:val="47"/>
    <w:qFormat/>
    <w:rsid w:val="00F11197"/>
    <w:pPr>
      <w:ind w:left="1497"/>
    </w:pPr>
  </w:style>
  <w:style w:type="paragraph" w:customStyle="1" w:styleId="ZZCZWSPPKTzmianazmczciwsppkt">
    <w:name w:val="ZZ/CZ_WSP_PKT – zmiana. zm. części wsp. pkt"/>
    <w:basedOn w:val="ZZARTzmianazmart"/>
    <w:next w:val="ZPKTzmpktartykuempunktem"/>
    <w:uiPriority w:val="68"/>
    <w:qFormat/>
    <w:rsid w:val="00F11197"/>
    <w:pPr>
      <w:ind w:firstLine="0"/>
    </w:pPr>
  </w:style>
  <w:style w:type="paragraph" w:customStyle="1" w:styleId="ZLITLITzmlitliter">
    <w:name w:val="Z_LIT/LIT – zm. lit. literą"/>
    <w:basedOn w:val="LITlitera"/>
    <w:uiPriority w:val="48"/>
    <w:qFormat/>
    <w:rsid w:val="00F11197"/>
    <w:pPr>
      <w:ind w:left="1463"/>
    </w:pPr>
  </w:style>
  <w:style w:type="paragraph" w:customStyle="1" w:styleId="ZLITCZWSPPKTzmczciwsppktliter">
    <w:name w:val="Z_LIT/CZ_WSP_PKT – zm. części wsp. pkt literą"/>
    <w:basedOn w:val="CZWSPLITczwsplnaliter"/>
    <w:next w:val="LITlitera"/>
    <w:uiPriority w:val="50"/>
    <w:qFormat/>
    <w:rsid w:val="00F11197"/>
    <w:pPr>
      <w:ind w:left="987"/>
    </w:pPr>
  </w:style>
  <w:style w:type="paragraph" w:customStyle="1" w:styleId="ZLITTIRzmtirliter">
    <w:name w:val="Z_LIT/TIR – zm. tir. literą"/>
    <w:basedOn w:val="TIRtiret"/>
    <w:uiPriority w:val="49"/>
    <w:qFormat/>
    <w:rsid w:val="00F11197"/>
  </w:style>
  <w:style w:type="paragraph" w:customStyle="1" w:styleId="ZZCZWSPLITwPKTzmianazmczciwsplitwpkt">
    <w:name w:val="ZZ/CZ_WSP_LIT_w_PKT – zmiana zm. części wsp. lit. w pkt"/>
    <w:basedOn w:val="ZZLITwPKTzmianazmlitwpkt"/>
    <w:uiPriority w:val="69"/>
    <w:qFormat/>
    <w:rsid w:val="00F11197"/>
    <w:pPr>
      <w:ind w:left="2404" w:firstLine="0"/>
    </w:pPr>
  </w:style>
  <w:style w:type="paragraph" w:customStyle="1" w:styleId="ZLITLITwPKTzmlitwpktliter">
    <w:name w:val="Z_LIT/LIT_w_PKT – zm. lit. w pkt literą"/>
    <w:basedOn w:val="LITlitera"/>
    <w:uiPriority w:val="48"/>
    <w:qFormat/>
    <w:rsid w:val="00F11197"/>
    <w:pPr>
      <w:ind w:left="1973"/>
    </w:pPr>
  </w:style>
  <w:style w:type="paragraph" w:customStyle="1" w:styleId="ZLITCZWSPLITwPKTzmczciwsplitwpktliter">
    <w:name w:val="Z_LIT/CZ_WSP_LIT_w_PKT – zm. części wsp. lit. w pkt literą"/>
    <w:basedOn w:val="CZWSPLITczwsplnaliter"/>
    <w:next w:val="LITlitera"/>
    <w:uiPriority w:val="51"/>
    <w:qFormat/>
    <w:rsid w:val="00F11197"/>
    <w:pPr>
      <w:ind w:left="1497"/>
    </w:pPr>
  </w:style>
  <w:style w:type="paragraph" w:customStyle="1" w:styleId="ZLITTIRwPKTzmtirwpktliter">
    <w:name w:val="Z_LIT/TIR_w_PKT – zm. tir. w pkt literą"/>
    <w:basedOn w:val="TIRtiret"/>
    <w:uiPriority w:val="49"/>
    <w:qFormat/>
    <w:rsid w:val="00F11197"/>
    <w:pPr>
      <w:ind w:left="2370"/>
    </w:pPr>
  </w:style>
  <w:style w:type="paragraph" w:customStyle="1" w:styleId="ZLITCZWSPTIRwPKTzmczciwsptirwpktliter">
    <w:name w:val="Z_LIT/CZ_WSP_TIR_w_PKT – zm. części wsp. tir. w pkt literą"/>
    <w:basedOn w:val="CZWSPTIRczwsplnatiret"/>
    <w:next w:val="LITlitera"/>
    <w:uiPriority w:val="51"/>
    <w:qFormat/>
    <w:rsid w:val="00F11197"/>
    <w:pPr>
      <w:ind w:left="1973"/>
    </w:pPr>
  </w:style>
  <w:style w:type="paragraph" w:styleId="Tekstprzypisudolnego">
    <w:name w:val="footnote text"/>
    <w:basedOn w:val="Normalny"/>
    <w:link w:val="TekstprzypisudolnegoZnak"/>
    <w:uiPriority w:val="99"/>
    <w:semiHidden/>
    <w:qFormat/>
    <w:rsid w:val="00F11197"/>
    <w:rPr>
      <w:rFonts w:ascii="Times" w:hAnsi="Times" w:cs="Times New Roman"/>
      <w:sz w:val="20"/>
      <w:lang w:val="x-none" w:eastAsia="x-none"/>
    </w:rPr>
  </w:style>
  <w:style w:type="character" w:customStyle="1" w:styleId="TekstprzypisudolnegoZnak">
    <w:name w:val="Tekst przypisu dolnego Znak"/>
    <w:basedOn w:val="Domylnaczcionkaakapitu"/>
    <w:link w:val="Tekstprzypisudolnego"/>
    <w:uiPriority w:val="99"/>
    <w:semiHidden/>
    <w:rsid w:val="00F11197"/>
    <w:rPr>
      <w:rFonts w:ascii="Times" w:eastAsia="Times New Roman" w:hAnsi="Times" w:cs="Times New Roman"/>
      <w:sz w:val="20"/>
      <w:szCs w:val="20"/>
      <w:lang w:val="x-none" w:eastAsia="x-none"/>
    </w:rPr>
  </w:style>
  <w:style w:type="paragraph" w:customStyle="1" w:styleId="ZTIRLITzmlittiret">
    <w:name w:val="Z_TIR/LIT – zm. lit. tiret"/>
    <w:basedOn w:val="LITlitera"/>
    <w:uiPriority w:val="57"/>
    <w:qFormat/>
    <w:rsid w:val="00F11197"/>
    <w:pPr>
      <w:ind w:left="1859"/>
    </w:pPr>
  </w:style>
  <w:style w:type="paragraph" w:customStyle="1" w:styleId="ZTIRCZWSPPKTzmczciwsppkttiret">
    <w:name w:val="Z_TIR/CZ_WSP_PKT – zm. części wsp. pkt tiret"/>
    <w:basedOn w:val="CZWSPLITczwsplnaliter"/>
    <w:next w:val="TIRtiret"/>
    <w:uiPriority w:val="58"/>
    <w:qFormat/>
    <w:rsid w:val="00F11197"/>
    <w:pPr>
      <w:ind w:left="1383"/>
    </w:pPr>
  </w:style>
  <w:style w:type="paragraph" w:customStyle="1" w:styleId="ZTIRTIRzmtirtiret">
    <w:name w:val="Z_TIR/TIR – zm. tir. tiret"/>
    <w:basedOn w:val="TIRtiret"/>
    <w:uiPriority w:val="57"/>
    <w:qFormat/>
    <w:rsid w:val="00F11197"/>
    <w:pPr>
      <w:ind w:left="1780"/>
    </w:pPr>
  </w:style>
  <w:style w:type="paragraph" w:customStyle="1" w:styleId="ZZCZWSPTIRwPKTzmianazmczciwsptirwpkt">
    <w:name w:val="ZZ/CZ_WSP_TIR_w_PKT – zmiana zm. części wsp. tir. w pkt"/>
    <w:basedOn w:val="ZZTIRwPKTzmianazmtirwpkt"/>
    <w:uiPriority w:val="70"/>
    <w:qFormat/>
    <w:rsid w:val="00F11197"/>
    <w:pPr>
      <w:ind w:left="2880" w:firstLine="0"/>
    </w:pPr>
  </w:style>
  <w:style w:type="paragraph" w:customStyle="1" w:styleId="ZZTIRwLITzmianazmtirwlit">
    <w:name w:val="ZZ/TIR_w_LIT – zmiana zm. tir. w lit."/>
    <w:basedOn w:val="ZZTIRzmianazmtir"/>
    <w:uiPriority w:val="67"/>
    <w:qFormat/>
    <w:rsid w:val="00F11197"/>
    <w:pPr>
      <w:ind w:left="2767"/>
    </w:pPr>
  </w:style>
  <w:style w:type="paragraph" w:customStyle="1" w:styleId="ZTIRTIRwLITzmtirwlittiret">
    <w:name w:val="Z_TIR/TIR_w_LIT – zm. tir. w lit. tiret"/>
    <w:basedOn w:val="TIRtiret"/>
    <w:uiPriority w:val="57"/>
    <w:qFormat/>
    <w:rsid w:val="00F11197"/>
    <w:pPr>
      <w:ind w:left="2257"/>
    </w:pPr>
  </w:style>
  <w:style w:type="paragraph" w:customStyle="1" w:styleId="ZTIRCZWSPTIRwLITzmczciwsptirwlittiret">
    <w:name w:val="Z_TIR/CZ_WSP_TIR_w_LIT – zm. części wsp. tir. w lit. tiret"/>
    <w:basedOn w:val="CZWSPTIRczwsplnatiret"/>
    <w:next w:val="TIRtiret"/>
    <w:uiPriority w:val="60"/>
    <w:qFormat/>
    <w:rsid w:val="00F11197"/>
    <w:pPr>
      <w:ind w:left="1860"/>
    </w:pPr>
  </w:style>
  <w:style w:type="paragraph" w:customStyle="1" w:styleId="CZWSP2TIRczwsplnapodwjnychtiret">
    <w:name w:val="CZ_WSP_2TIR – część wspólna podwójnych tiret"/>
    <w:basedOn w:val="CZWSPTIRczwsplnatiret"/>
    <w:next w:val="TIRtiret"/>
    <w:uiPriority w:val="73"/>
    <w:qFormat/>
    <w:rsid w:val="00F11197"/>
    <w:pPr>
      <w:ind w:left="1780"/>
    </w:pPr>
  </w:style>
  <w:style w:type="paragraph" w:customStyle="1" w:styleId="Z2TIRzmpodwtirartykuempunktem">
    <w:name w:val="Z/2TIR – zm. podw. tir. artykułem (punktem)"/>
    <w:basedOn w:val="TIRtiret"/>
    <w:uiPriority w:val="73"/>
    <w:qFormat/>
    <w:rsid w:val="00F11197"/>
    <w:pPr>
      <w:ind w:left="907"/>
    </w:pPr>
  </w:style>
  <w:style w:type="paragraph" w:customStyle="1" w:styleId="ZZCZWSPTIRwLITzmianazmczciwsptirwlit">
    <w:name w:val="ZZ/CZ_WSP_TIR_w_LIT – zmiana zm. części wsp. tir. w lit."/>
    <w:basedOn w:val="ZZTIRwLITzmianazmtirwlit"/>
    <w:uiPriority w:val="70"/>
    <w:qFormat/>
    <w:rsid w:val="00F11197"/>
    <w:pPr>
      <w:ind w:left="2370" w:firstLine="0"/>
    </w:pPr>
  </w:style>
  <w:style w:type="paragraph" w:customStyle="1" w:styleId="ZLIT2TIRzmpodwtirliter">
    <w:name w:val="Z_LIT/2TIR – zm. podw. tir. literą"/>
    <w:basedOn w:val="TIRtiret"/>
    <w:uiPriority w:val="75"/>
    <w:qFormat/>
    <w:rsid w:val="00F11197"/>
  </w:style>
  <w:style w:type="paragraph" w:customStyle="1" w:styleId="ZTIR2TIRzmpodwtirtiret">
    <w:name w:val="Z_TIR/2TIR – zm. podw. tir. tiret"/>
    <w:basedOn w:val="TIRtiret"/>
    <w:uiPriority w:val="78"/>
    <w:qFormat/>
    <w:rsid w:val="00F1119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11197"/>
    <w:pPr>
      <w:ind w:left="1780"/>
    </w:pPr>
  </w:style>
  <w:style w:type="paragraph" w:customStyle="1" w:styleId="Z2TIRwPKTzmpodwtirwpktartykuempunktem">
    <w:name w:val="Z/2TIR_w_PKT – zm. podw. tir. w pkt artykułem (punktem)"/>
    <w:basedOn w:val="TIRtiret"/>
    <w:next w:val="ZPKTzmpktartykuempunktem"/>
    <w:uiPriority w:val="74"/>
    <w:qFormat/>
    <w:rsid w:val="00F11197"/>
    <w:pPr>
      <w:ind w:left="2291"/>
    </w:pPr>
  </w:style>
  <w:style w:type="paragraph" w:customStyle="1" w:styleId="ZTIRPKTzmpkttiret">
    <w:name w:val="Z_TIR/PKT – zm. pkt tiret"/>
    <w:basedOn w:val="PKTpunkt"/>
    <w:uiPriority w:val="56"/>
    <w:qFormat/>
    <w:rsid w:val="00F11197"/>
    <w:pPr>
      <w:ind w:left="1893"/>
    </w:pPr>
  </w:style>
  <w:style w:type="paragraph" w:customStyle="1" w:styleId="ZTIRLITwPKTzmlitwpkttiret">
    <w:name w:val="Z_TIR/LIT_w_PKT – zm. lit. w pkt tiret"/>
    <w:basedOn w:val="LITlitera"/>
    <w:uiPriority w:val="57"/>
    <w:qFormat/>
    <w:rsid w:val="00F11197"/>
    <w:pPr>
      <w:ind w:left="2336"/>
    </w:pPr>
  </w:style>
  <w:style w:type="paragraph" w:customStyle="1" w:styleId="ZTIRCZWSPLITwPKTzmczciwsplitwpkttiret">
    <w:name w:val="Z_TIR/CZ_WSP_LIT_w_PKT – zm. części wsp. lit. w pkt tiret"/>
    <w:basedOn w:val="CZWSPLITczwsplnaliter"/>
    <w:uiPriority w:val="59"/>
    <w:qFormat/>
    <w:rsid w:val="00F11197"/>
    <w:pPr>
      <w:ind w:left="1860"/>
    </w:pPr>
  </w:style>
  <w:style w:type="paragraph" w:customStyle="1" w:styleId="ZTIR2TIRwLITzmpodwtirwlittiret">
    <w:name w:val="Z_TIR/2TIR_w_LIT – zm. podw. tir. w lit. tiret"/>
    <w:basedOn w:val="TIRtiret"/>
    <w:uiPriority w:val="79"/>
    <w:qFormat/>
    <w:rsid w:val="00F1119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11197"/>
    <w:pPr>
      <w:ind w:left="2257"/>
    </w:pPr>
  </w:style>
  <w:style w:type="paragraph" w:customStyle="1" w:styleId="ZTIR2TIRwTIRzmpodwtirwtirtiret">
    <w:name w:val="Z_TIR/2TIR_w_TIR – zm. podw. tir. w tir. tiret"/>
    <w:basedOn w:val="TIRtiret"/>
    <w:uiPriority w:val="78"/>
    <w:qFormat/>
    <w:rsid w:val="00F11197"/>
    <w:pPr>
      <w:ind w:left="2177"/>
    </w:pPr>
  </w:style>
  <w:style w:type="paragraph" w:customStyle="1" w:styleId="ZTIRCZWSP2TIRwTIRzmczciwsppodwtirwtirtiret">
    <w:name w:val="Z_TIR/CZ_WSP_2TIR_w_TIR – zm. części wsp. podw. tir. w tir. tiret"/>
    <w:basedOn w:val="CZWSPTIRczwsplnatiret"/>
    <w:uiPriority w:val="79"/>
    <w:qFormat/>
    <w:rsid w:val="00F11197"/>
    <w:pPr>
      <w:ind w:left="1780"/>
    </w:pPr>
  </w:style>
  <w:style w:type="paragraph" w:customStyle="1" w:styleId="Z2TIRLITzmlitpodwjnymtiret">
    <w:name w:val="Z_2TIR/LIT – zm. lit. podwójnym tiret"/>
    <w:basedOn w:val="LITlitera"/>
    <w:uiPriority w:val="84"/>
    <w:qFormat/>
    <w:rsid w:val="00F11197"/>
    <w:pPr>
      <w:ind w:left="2256"/>
    </w:pPr>
  </w:style>
  <w:style w:type="paragraph" w:customStyle="1" w:styleId="ZZ2TIRwTIRzmianazmpodwtirwtir">
    <w:name w:val="ZZ/2TIR_w_TIR – zmiana zm. podw. tir. w tir."/>
    <w:basedOn w:val="ZZCZWSP2TIRzmianazmczciwsppodwtir"/>
    <w:uiPriority w:val="93"/>
    <w:qFormat/>
    <w:rsid w:val="00F11197"/>
    <w:pPr>
      <w:ind w:left="2688" w:hanging="397"/>
    </w:pPr>
  </w:style>
  <w:style w:type="paragraph" w:customStyle="1" w:styleId="ZZ2TIRwLITzmianazmpodwtirwlit">
    <w:name w:val="ZZ/2TIR_w_LIT – zmiana zm. podw. tir. w lit."/>
    <w:basedOn w:val="ZZ2TIRwTIRzmianazmpodwtirwtir"/>
    <w:uiPriority w:val="94"/>
    <w:qFormat/>
    <w:rsid w:val="00F11197"/>
    <w:pPr>
      <w:ind w:left="3164"/>
    </w:pPr>
  </w:style>
  <w:style w:type="paragraph" w:customStyle="1" w:styleId="Z2TIRTIRwLITzmtirwlitpodwjnymtiret">
    <w:name w:val="Z_2TIR/TIR_w_LIT – zm. tir. w lit. podwójnym tiret"/>
    <w:basedOn w:val="TIRtiret"/>
    <w:uiPriority w:val="84"/>
    <w:qFormat/>
    <w:rsid w:val="00F1119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11197"/>
    <w:pPr>
      <w:ind w:left="2257"/>
    </w:pPr>
  </w:style>
  <w:style w:type="paragraph" w:customStyle="1" w:styleId="ZZ2TIRwPKTzmianazmpodwtirwpkt">
    <w:name w:val="ZZ/2TIR_w_PKT – zmiana zm. podw. tir. w pkt"/>
    <w:basedOn w:val="ZZ2TIRwLITzmianazmpodwtirwlit"/>
    <w:uiPriority w:val="94"/>
    <w:qFormat/>
    <w:rsid w:val="00F11197"/>
    <w:pPr>
      <w:ind w:left="3674"/>
    </w:pPr>
  </w:style>
  <w:style w:type="paragraph" w:customStyle="1" w:styleId="ZZCZWSP2TIRwTIRzmianazmczciwsppodwtirwtir">
    <w:name w:val="ZZ/CZ_WSP_2TIR_w_TIR – zmiana zm. części wsp. podw. tir. w tir."/>
    <w:basedOn w:val="ZZ2TIRwLITzmianazmpodwtirwlit"/>
    <w:uiPriority w:val="94"/>
    <w:qFormat/>
    <w:rsid w:val="00F11197"/>
    <w:pPr>
      <w:ind w:left="2291" w:firstLine="0"/>
    </w:pPr>
  </w:style>
  <w:style w:type="paragraph" w:customStyle="1" w:styleId="Z2TIR2TIRwTIRzmpodwtirwtirpodwjnymtiret">
    <w:name w:val="Z_2TIR/2TIR_w_TIR – zm. podw. tir. w tir. podwójnym tiret"/>
    <w:basedOn w:val="TIRtiret"/>
    <w:uiPriority w:val="85"/>
    <w:qFormat/>
    <w:rsid w:val="00F1119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11197"/>
    <w:pPr>
      <w:ind w:left="2177"/>
    </w:pPr>
  </w:style>
  <w:style w:type="paragraph" w:customStyle="1" w:styleId="Z2TIR2TIRwLITzmpodwtirwlitpodwjnymtiret">
    <w:name w:val="Z_2TIR/2TIR_w_LIT – zm. podw. tir. w lit. podwójnym tiret"/>
    <w:basedOn w:val="TIRtiret"/>
    <w:uiPriority w:val="86"/>
    <w:qFormat/>
    <w:rsid w:val="00F1119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1119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1119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11197"/>
    <w:pPr>
      <w:spacing w:after="120"/>
      <w:ind w:left="510"/>
    </w:pPr>
    <w:rPr>
      <w:b w:val="0"/>
    </w:rPr>
  </w:style>
  <w:style w:type="character" w:styleId="Odwoaniedokomentarza">
    <w:name w:val="annotation reference"/>
    <w:rsid w:val="00F11197"/>
    <w:rPr>
      <w:sz w:val="16"/>
      <w:szCs w:val="16"/>
    </w:rPr>
  </w:style>
  <w:style w:type="paragraph" w:styleId="Tekstkomentarza">
    <w:name w:val="annotation text"/>
    <w:basedOn w:val="Normalny"/>
    <w:link w:val="TekstkomentarzaZnak"/>
    <w:rsid w:val="00F11197"/>
    <w:rPr>
      <w:rFonts w:ascii="Times" w:hAnsi="Times" w:cs="Times New Roman"/>
      <w:sz w:val="20"/>
      <w:lang w:val="x-none" w:eastAsia="x-none"/>
    </w:rPr>
  </w:style>
  <w:style w:type="character" w:customStyle="1" w:styleId="TekstkomentarzaZnak">
    <w:name w:val="Tekst komentarza Znak"/>
    <w:basedOn w:val="Domylnaczcionkaakapitu"/>
    <w:link w:val="Tekstkomentarza"/>
    <w:rsid w:val="00F11197"/>
    <w:rPr>
      <w:rFonts w:ascii="Times" w:eastAsia="Times New Roman" w:hAnsi="Times" w:cs="Times New Roman"/>
      <w:sz w:val="20"/>
      <w:szCs w:val="20"/>
      <w:lang w:val="x-none" w:eastAsia="x-none"/>
    </w:rPr>
  </w:style>
  <w:style w:type="paragraph" w:styleId="Tematkomentarza">
    <w:name w:val="annotation subject"/>
    <w:basedOn w:val="Tekstkomentarza"/>
    <w:next w:val="Tekstkomentarza"/>
    <w:link w:val="TematkomentarzaZnak"/>
    <w:uiPriority w:val="99"/>
    <w:semiHidden/>
    <w:rsid w:val="00F11197"/>
    <w:rPr>
      <w:b/>
      <w:bCs/>
    </w:rPr>
  </w:style>
  <w:style w:type="character" w:customStyle="1" w:styleId="TematkomentarzaZnak">
    <w:name w:val="Temat komentarza Znak"/>
    <w:basedOn w:val="TekstkomentarzaZnak"/>
    <w:link w:val="Tematkomentarza"/>
    <w:uiPriority w:val="99"/>
    <w:semiHidden/>
    <w:rsid w:val="00F11197"/>
    <w:rPr>
      <w:rFonts w:ascii="Times" w:eastAsia="Times New Roman" w:hAnsi="Times" w:cs="Times New Roman"/>
      <w:b/>
      <w:bCs/>
      <w:sz w:val="20"/>
      <w:szCs w:val="20"/>
      <w:lang w:val="x-none" w:eastAsia="x-none"/>
    </w:rPr>
  </w:style>
  <w:style w:type="paragraph" w:customStyle="1" w:styleId="ZZARTzmianazmart">
    <w:name w:val="ZZ/ART(§) – zmiana zm. art. (§)"/>
    <w:basedOn w:val="ZARTzmartartykuempunktem"/>
    <w:uiPriority w:val="65"/>
    <w:qFormat/>
    <w:rsid w:val="00F11197"/>
    <w:pPr>
      <w:ind w:left="1894"/>
    </w:pPr>
  </w:style>
  <w:style w:type="paragraph" w:customStyle="1" w:styleId="ZZPKTzmianazmpkt">
    <w:name w:val="ZZ/PKT – zmiana zm. pkt"/>
    <w:basedOn w:val="ZPKTzmpktartykuempunktem"/>
    <w:uiPriority w:val="66"/>
    <w:qFormat/>
    <w:rsid w:val="00F11197"/>
    <w:pPr>
      <w:ind w:left="2404"/>
    </w:pPr>
  </w:style>
  <w:style w:type="paragraph" w:customStyle="1" w:styleId="ZZLITwPKTzmianazmlitwpkt">
    <w:name w:val="ZZ/LIT_w_PKT – zmiana zm. lit. w pkt"/>
    <w:basedOn w:val="ZLITwPKTzmlitwpktartykuempunktem"/>
    <w:uiPriority w:val="67"/>
    <w:qFormat/>
    <w:rsid w:val="00F11197"/>
    <w:pPr>
      <w:ind w:left="2880"/>
    </w:pPr>
  </w:style>
  <w:style w:type="paragraph" w:customStyle="1" w:styleId="ZZTIRwPKTzmianazmtirwpkt">
    <w:name w:val="ZZ/TIR_w_PKT – zmiana zm. tir. w pkt"/>
    <w:basedOn w:val="ZTIRwPKTzmtirwpktartykuempunktem"/>
    <w:uiPriority w:val="67"/>
    <w:qFormat/>
    <w:rsid w:val="00F11197"/>
    <w:pPr>
      <w:ind w:left="3277"/>
    </w:pPr>
  </w:style>
  <w:style w:type="paragraph" w:customStyle="1" w:styleId="ZZWMATFIZCHEMzmwzorumatfizlubchem">
    <w:name w:val="ZZ/W_MAT(FIZ|CHEM) – zm. wzoru mat. (fiz. lub chem.)"/>
    <w:basedOn w:val="ZWMATFIZCHEMzmwzorumatfizlubchemartykuempunktem"/>
    <w:uiPriority w:val="71"/>
    <w:qFormat/>
    <w:rsid w:val="00F11197"/>
    <w:pPr>
      <w:ind w:left="2404"/>
    </w:pPr>
  </w:style>
  <w:style w:type="paragraph" w:customStyle="1" w:styleId="ODNONIKtreodnonika">
    <w:name w:val="ODNOŚNIK – treść odnośnika"/>
    <w:uiPriority w:val="19"/>
    <w:qFormat/>
    <w:rsid w:val="00F11197"/>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1119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1119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11197"/>
    <w:rPr>
      <w:rFonts w:ascii="Times New Roman" w:hAnsi="Times New Roman"/>
    </w:rPr>
  </w:style>
  <w:style w:type="paragraph" w:customStyle="1" w:styleId="ZTIRTIRwPKTzmtirwpkttiret">
    <w:name w:val="Z_TIR/TIR_w_PKT – zm. tir. w pkt tiret"/>
    <w:basedOn w:val="ZTIRTIRwLITzmtirwlittiret"/>
    <w:uiPriority w:val="57"/>
    <w:qFormat/>
    <w:rsid w:val="00F11197"/>
    <w:pPr>
      <w:ind w:left="2733"/>
    </w:pPr>
  </w:style>
  <w:style w:type="paragraph" w:customStyle="1" w:styleId="ZTIRCZWSPTIRwPKTzmczciwsptirtiret">
    <w:name w:val="Z_TIR/CZ_WSP_TIR_w_PKT – zm. części wsp. tir. tiret"/>
    <w:basedOn w:val="ZTIRTIRwPKTzmtirwpkttiret"/>
    <w:next w:val="TIRtiret"/>
    <w:uiPriority w:val="60"/>
    <w:qFormat/>
    <w:rsid w:val="00F1119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11197"/>
    <w:pPr>
      <w:ind w:left="510" w:firstLine="0"/>
    </w:pPr>
  </w:style>
  <w:style w:type="paragraph" w:customStyle="1" w:styleId="ROZDZODDZOZNoznaczenierozdziauluboddziau">
    <w:name w:val="ROZDZ(ODDZ)_OZN – oznaczenie rozdziału lub oddziału"/>
    <w:next w:val="ARTartustawynprozporzdzenia"/>
    <w:uiPriority w:val="10"/>
    <w:qFormat/>
    <w:rsid w:val="00F11197"/>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11197"/>
    <w:pPr>
      <w:ind w:left="2177"/>
    </w:pPr>
  </w:style>
  <w:style w:type="paragraph" w:customStyle="1" w:styleId="Z2TIRTIRzmtirpodwjnymtiret">
    <w:name w:val="Z_2TIR/TIR – zm. tir. podwójnym tiret"/>
    <w:basedOn w:val="TIRtiret"/>
    <w:uiPriority w:val="84"/>
    <w:qFormat/>
    <w:rsid w:val="00F1119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11197"/>
    <w:pPr>
      <w:ind w:left="1021"/>
    </w:pPr>
  </w:style>
  <w:style w:type="paragraph" w:customStyle="1" w:styleId="ZLITSKARNzmsankcjikarnejliter">
    <w:name w:val="Z_LIT/S_KARN – zm. sankcji karnej literą"/>
    <w:basedOn w:val="ZSKARNzmsankcjikarnejwszczeglnociwKodeksiekarnym"/>
    <w:uiPriority w:val="53"/>
    <w:qFormat/>
    <w:rsid w:val="00F11197"/>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11197"/>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11197"/>
    <w:pPr>
      <w:ind w:left="1894" w:firstLine="0"/>
    </w:pPr>
  </w:style>
  <w:style w:type="paragraph" w:customStyle="1" w:styleId="Z2TIRwLITzmpodwtirwlitartykuempunktem">
    <w:name w:val="Z/2TIR_w_LIT – zm. podw. tir. w lit. artykułem (punktem)"/>
    <w:basedOn w:val="Z2TIRwPKTzmpodwtirwpktartykuempunktem"/>
    <w:uiPriority w:val="74"/>
    <w:qFormat/>
    <w:rsid w:val="00F11197"/>
    <w:pPr>
      <w:ind w:left="1780"/>
    </w:pPr>
  </w:style>
  <w:style w:type="paragraph" w:customStyle="1" w:styleId="Z2TIRwTIRzmpodwtirwtirartykuempunktem">
    <w:name w:val="Z/2TIR_w_TIR – zm. podw. tir. w tir. artykułem (punktem)"/>
    <w:basedOn w:val="Z2TIRwLITzmpodwtirwlitartykuempunktem"/>
    <w:uiPriority w:val="73"/>
    <w:qFormat/>
    <w:rsid w:val="00F1119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1119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11197"/>
    <w:pPr>
      <w:ind w:left="1383" w:firstLine="0"/>
    </w:pPr>
  </w:style>
  <w:style w:type="paragraph" w:customStyle="1" w:styleId="ZZCZWSP2TIRzmianazmczciwsppodwtir">
    <w:name w:val="ZZ/CZ_WSP_2TIR – zmiana zm. części wsp. podw. tir."/>
    <w:basedOn w:val="ZZTIRzmianazmtir"/>
    <w:next w:val="ZZUSTzmianazmust"/>
    <w:uiPriority w:val="94"/>
    <w:qFormat/>
    <w:rsid w:val="00F11197"/>
    <w:pPr>
      <w:ind w:left="1894" w:firstLine="0"/>
    </w:pPr>
  </w:style>
  <w:style w:type="paragraph" w:customStyle="1" w:styleId="PKTODNONIKApunktodnonika">
    <w:name w:val="PKT_ODNOŚNIKA – punkt odnośnika"/>
    <w:basedOn w:val="ODNONIKtreodnonika"/>
    <w:uiPriority w:val="19"/>
    <w:qFormat/>
    <w:rsid w:val="00F11197"/>
    <w:pPr>
      <w:ind w:left="568"/>
    </w:pPr>
  </w:style>
  <w:style w:type="paragraph" w:customStyle="1" w:styleId="ZODNONIKAzmtekstuodnonikaartykuempunktem">
    <w:name w:val="Z/ODNOŚNIKA – zm. tekstu odnośnika artykułem (punktem)"/>
    <w:basedOn w:val="ODNONIKtreodnonika"/>
    <w:uiPriority w:val="39"/>
    <w:qFormat/>
    <w:rsid w:val="00F1119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11197"/>
    <w:pPr>
      <w:ind w:left="1304"/>
    </w:pPr>
  </w:style>
  <w:style w:type="paragraph" w:customStyle="1" w:styleId="ZPKTODNONIKAzmpktodnonikaartykuempunktem">
    <w:name w:val="Z/PKT_ODNOŚNIKA – zm. pkt odnośnika artykułem (punktem)"/>
    <w:basedOn w:val="ZODNONIKAzmtekstuodnonikaartykuempunktem"/>
    <w:uiPriority w:val="39"/>
    <w:qFormat/>
    <w:rsid w:val="00F11197"/>
  </w:style>
  <w:style w:type="paragraph" w:customStyle="1" w:styleId="ZLIT2TIRwTIRzmpodwtirwtirliter">
    <w:name w:val="Z_LIT/2TIR_w_TIR – zm. podw. tir. w tir. literą"/>
    <w:basedOn w:val="ZLIT2TIRzmpodwtirliter"/>
    <w:uiPriority w:val="75"/>
    <w:qFormat/>
    <w:rsid w:val="00F11197"/>
    <w:pPr>
      <w:ind w:left="1780"/>
    </w:pPr>
  </w:style>
  <w:style w:type="paragraph" w:customStyle="1" w:styleId="ZLIT2TIRwLITzmpodwtirwlitliter">
    <w:name w:val="Z_LIT/2TIR_w_LIT – zm. podw. tir. w lit. literą"/>
    <w:basedOn w:val="ZLIT2TIRwTIRzmpodwtirwtirliter"/>
    <w:uiPriority w:val="76"/>
    <w:qFormat/>
    <w:rsid w:val="00F11197"/>
    <w:pPr>
      <w:ind w:left="2257"/>
    </w:pPr>
  </w:style>
  <w:style w:type="paragraph" w:customStyle="1" w:styleId="ZLIT2TIRwPKTzmpodwtirwpktliter">
    <w:name w:val="Z_LIT/2TIR_w_PKT – zm. podw. tir. w pkt literą"/>
    <w:basedOn w:val="ZLIT2TIRwLITzmpodwtirwlitliter"/>
    <w:uiPriority w:val="76"/>
    <w:qFormat/>
    <w:rsid w:val="00F1119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1119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1119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11197"/>
    <w:pPr>
      <w:ind w:left="2370" w:firstLine="0"/>
    </w:pPr>
  </w:style>
  <w:style w:type="paragraph" w:customStyle="1" w:styleId="ZTIR2TIRwPKTzmpodwtirwpkttiret">
    <w:name w:val="Z_TIR/2TIR_w_PKT – zm. podw. tir. w pkt tiret"/>
    <w:basedOn w:val="ZTIR2TIRwLITzmpodwtirwlittiret"/>
    <w:uiPriority w:val="79"/>
    <w:qFormat/>
    <w:rsid w:val="00F1119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1119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11197"/>
    <w:pPr>
      <w:ind w:left="2767"/>
    </w:pPr>
  </w:style>
  <w:style w:type="paragraph" w:customStyle="1" w:styleId="ZZCZWSP2TIRwPKTzmianazmczciwsppodwtirwpkt">
    <w:name w:val="ZZ/CZ_WSP_2TIR_w_PKT – zmiana zm. części wsp. podw. tir. w pkt"/>
    <w:basedOn w:val="ZZ2TIRwLITzmianazmpodwtirwlit"/>
    <w:uiPriority w:val="95"/>
    <w:qFormat/>
    <w:rsid w:val="00F1119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11197"/>
  </w:style>
  <w:style w:type="paragraph" w:customStyle="1" w:styleId="ZLITCZWSP2TIRzmczciwsppodwtirliter">
    <w:name w:val="Z_LIT/CZ_WSP_2TIR – zm. części wsp. podw. tir. literą"/>
    <w:basedOn w:val="ZLITCZWSPPKTzmczciwsppktliter"/>
    <w:next w:val="LITlitera"/>
    <w:uiPriority w:val="76"/>
    <w:qFormat/>
    <w:rsid w:val="00F11197"/>
  </w:style>
  <w:style w:type="paragraph" w:customStyle="1" w:styleId="ZTIRCZWSP2TIRzmczciwsppodwtirtiret">
    <w:name w:val="Z_TIR/CZ_WSP_2TIR – zm. części wsp. podw. tir. tiret"/>
    <w:basedOn w:val="ZLITCZWSP2TIRzmczciwsppodwtirliter"/>
    <w:next w:val="TIRtiret"/>
    <w:uiPriority w:val="79"/>
    <w:qFormat/>
    <w:rsid w:val="00F11197"/>
  </w:style>
  <w:style w:type="paragraph" w:customStyle="1" w:styleId="ZZ2TIRzmianazmpodwtir">
    <w:name w:val="ZZ/2TIR – zmiana zm. podw. tir."/>
    <w:basedOn w:val="ZZCZWSP2TIRzmianazmczciwsppodwtir"/>
    <w:uiPriority w:val="93"/>
    <w:qFormat/>
    <w:rsid w:val="00F1119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11197"/>
  </w:style>
  <w:style w:type="paragraph" w:customStyle="1" w:styleId="ZCZWSPTIRzmczciwsptirartykuempunktem">
    <w:name w:val="Z/CZ_WSP_TIR – zm. części wsp. tir. artykułem (punktem)"/>
    <w:basedOn w:val="ZCZWSPPKTzmczciwsppktartykuempunktem"/>
    <w:next w:val="PKTpunkt"/>
    <w:uiPriority w:val="35"/>
    <w:qFormat/>
    <w:rsid w:val="00F11197"/>
  </w:style>
  <w:style w:type="paragraph" w:customStyle="1" w:styleId="ZLITCZWSPLITzmczciwsplitliter">
    <w:name w:val="Z_LIT/CZ_WSP_LIT – zm. części wsp. lit. literą"/>
    <w:basedOn w:val="ZLITCZWSPPKTzmczciwsppktliter"/>
    <w:next w:val="LITlitera"/>
    <w:uiPriority w:val="51"/>
    <w:qFormat/>
    <w:rsid w:val="00F11197"/>
  </w:style>
  <w:style w:type="paragraph" w:customStyle="1" w:styleId="ZLITCZWSPTIRzmczciwsptirliter">
    <w:name w:val="Z_LIT/CZ_WSP_TIR – zm. części wsp. tir. literą"/>
    <w:basedOn w:val="ZLITCZWSPPKTzmczciwsppktliter"/>
    <w:next w:val="LITlitera"/>
    <w:uiPriority w:val="51"/>
    <w:qFormat/>
    <w:rsid w:val="00F11197"/>
  </w:style>
  <w:style w:type="paragraph" w:customStyle="1" w:styleId="ZTIRCZWSPLITzmczciwsplittiret">
    <w:name w:val="Z_TIR/CZ_WSP_LIT – zm. części wsp. lit. tiret"/>
    <w:basedOn w:val="ZTIRCZWSPPKTzmczciwsppkttiret"/>
    <w:next w:val="TIRtiret"/>
    <w:uiPriority w:val="59"/>
    <w:qFormat/>
    <w:rsid w:val="00F11197"/>
  </w:style>
  <w:style w:type="paragraph" w:customStyle="1" w:styleId="ZTIRCZWSPTIRzmczciwsptirtiret">
    <w:name w:val="Z_TIR/CZ_WSP_TIR – zm. części wsp. tir. tiret"/>
    <w:basedOn w:val="ZTIRCZWSPPKTzmczciwsppkttiret"/>
    <w:next w:val="TIRtiret"/>
    <w:uiPriority w:val="60"/>
    <w:qFormat/>
    <w:rsid w:val="00F11197"/>
  </w:style>
  <w:style w:type="paragraph" w:customStyle="1" w:styleId="ZZCZWSPLITzmianazmczciwsplit">
    <w:name w:val="ZZ/CZ_WSP_LIT – zmiana. zm. części wsp. lit."/>
    <w:basedOn w:val="ZZCZWSPPKTzmianazmczciwsppkt"/>
    <w:uiPriority w:val="69"/>
    <w:qFormat/>
    <w:rsid w:val="00F11197"/>
  </w:style>
  <w:style w:type="paragraph" w:customStyle="1" w:styleId="ZZCZWSPTIRzmianazmczciwsptir">
    <w:name w:val="ZZ/CZ_WSP_TIR – zmiana. zm. części wsp. tir."/>
    <w:basedOn w:val="ZZCZWSPPKTzmianazmczciwsppkt"/>
    <w:uiPriority w:val="69"/>
    <w:qFormat/>
    <w:rsid w:val="00F11197"/>
  </w:style>
  <w:style w:type="paragraph" w:customStyle="1" w:styleId="Z2TIRCZWSPTIRzmczciwsptirpodwjnymtiret">
    <w:name w:val="Z_2TIR/CZ_WSP_TIR – zm. części wsp. tir. podwójnym tiret"/>
    <w:basedOn w:val="Z2TIRCZWSPLITzmczciwsplitpodwjnymtiret"/>
    <w:next w:val="2TIRpodwjnytiret"/>
    <w:uiPriority w:val="87"/>
    <w:qFormat/>
    <w:rsid w:val="00F1119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11197"/>
  </w:style>
  <w:style w:type="paragraph" w:customStyle="1" w:styleId="ZUSTzmustartykuempunktem">
    <w:name w:val="Z/UST(§) – zm. ust. (§) artykułem (punktem)"/>
    <w:basedOn w:val="ZARTzmartartykuempunktem"/>
    <w:uiPriority w:val="30"/>
    <w:qFormat/>
    <w:rsid w:val="00F11197"/>
  </w:style>
  <w:style w:type="paragraph" w:customStyle="1" w:styleId="ZZUSTzmianazmust">
    <w:name w:val="ZZ/UST(§) – zmiana zm. ust. (§)"/>
    <w:basedOn w:val="ZZARTzmianazmart"/>
    <w:uiPriority w:val="65"/>
    <w:qFormat/>
    <w:rsid w:val="00F11197"/>
  </w:style>
  <w:style w:type="paragraph" w:customStyle="1" w:styleId="TYTDZPRZEDMprzedmiotregulacjitytuulubdziau">
    <w:name w:val="TYT(DZ)_PRZEDM – przedmiot regulacji tytułu lub działu"/>
    <w:next w:val="ARTartustawynprozporzdzenia"/>
    <w:uiPriority w:val="9"/>
    <w:qFormat/>
    <w:rsid w:val="00F11197"/>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1119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1119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1119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11197"/>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1119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11197"/>
    <w:pPr>
      <w:ind w:left="1894"/>
    </w:pPr>
  </w:style>
  <w:style w:type="paragraph" w:customStyle="1" w:styleId="P1wTABELIpoziom1numeracjiwtabeli">
    <w:name w:val="P1_w_TABELI – poziom 1 numeracji w tabeli"/>
    <w:basedOn w:val="PKTpunkt"/>
    <w:uiPriority w:val="24"/>
    <w:qFormat/>
    <w:rsid w:val="00F1119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11197"/>
    <w:pPr>
      <w:ind w:left="0" w:firstLine="0"/>
    </w:pPr>
  </w:style>
  <w:style w:type="paragraph" w:customStyle="1" w:styleId="P2wTABELIpoziom2numeracjiwtabeli">
    <w:name w:val="P2_w_TABELI – poziom 2 numeracji w tabeli"/>
    <w:basedOn w:val="P1wTABELIpoziom1numeracjiwtabeli"/>
    <w:uiPriority w:val="24"/>
    <w:qFormat/>
    <w:rsid w:val="00F11197"/>
    <w:pPr>
      <w:ind w:left="794"/>
    </w:pPr>
  </w:style>
  <w:style w:type="paragraph" w:customStyle="1" w:styleId="P3wTABELIpoziom3numeracjiwtabeli">
    <w:name w:val="P3_w_TABELI – poziom 3 numeracji w tabeli"/>
    <w:basedOn w:val="P2wTABELIpoziom2numeracjiwtabeli"/>
    <w:uiPriority w:val="24"/>
    <w:qFormat/>
    <w:rsid w:val="00F1119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1119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1119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11197"/>
    <w:pPr>
      <w:ind w:left="1191"/>
    </w:pPr>
  </w:style>
  <w:style w:type="paragraph" w:customStyle="1" w:styleId="P4wTABELIpoziom4numeracjiwtabeli">
    <w:name w:val="P4_w_TABELI – poziom 4 numeracji w tabeli"/>
    <w:basedOn w:val="P3wTABELIpoziom3numeracjiwtabeli"/>
    <w:uiPriority w:val="24"/>
    <w:qFormat/>
    <w:rsid w:val="00F11197"/>
    <w:pPr>
      <w:ind w:left="1588"/>
    </w:pPr>
  </w:style>
  <w:style w:type="paragraph" w:customStyle="1" w:styleId="TYTTABELItytutabeli">
    <w:name w:val="TYT_TABELI – tytuł tabeli"/>
    <w:basedOn w:val="TYTDZOZNoznaczenietytuulubdziau"/>
    <w:uiPriority w:val="22"/>
    <w:qFormat/>
    <w:rsid w:val="00F11197"/>
    <w:rPr>
      <w:b/>
    </w:rPr>
  </w:style>
  <w:style w:type="paragraph" w:customStyle="1" w:styleId="OZNPROJEKTUwskazaniedatylubwersjiprojektu">
    <w:name w:val="OZN_PROJEKTU – wskazanie daty lub wersji projektu"/>
    <w:next w:val="OZNRODZAKTUtznustawalubrozporzdzenieiorganwydajcy"/>
    <w:uiPriority w:val="5"/>
    <w:qFormat/>
    <w:rsid w:val="00F11197"/>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1119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11197"/>
    <w:pPr>
      <w:ind w:left="0" w:right="4820"/>
      <w:jc w:val="left"/>
    </w:pPr>
  </w:style>
  <w:style w:type="paragraph" w:customStyle="1" w:styleId="TEKSTwporozumieniu">
    <w:name w:val="TEKST&quot;w porozumieniu:&quot;"/>
    <w:next w:val="NAZORGWPOROZUMIENIUnazwaorganuwporozumieniuzktrymaktjestwydawany"/>
    <w:uiPriority w:val="27"/>
    <w:qFormat/>
    <w:rsid w:val="00F11197"/>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1119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11197"/>
    <w:pPr>
      <w:ind w:left="510" w:firstLine="0"/>
    </w:pPr>
  </w:style>
  <w:style w:type="paragraph" w:customStyle="1" w:styleId="NOTATKILEGISLATORA">
    <w:name w:val="NOTATKI_LEGISLATORA"/>
    <w:basedOn w:val="Normalny"/>
    <w:uiPriority w:val="5"/>
    <w:qFormat/>
    <w:rsid w:val="00F11197"/>
    <w:rPr>
      <w:b/>
      <w:i/>
    </w:rPr>
  </w:style>
  <w:style w:type="paragraph" w:customStyle="1" w:styleId="OZNZACZNIKAwskazanienrzacznika">
    <w:name w:val="OZN_ZAŁĄCZNIKA – wskazanie nr załącznika"/>
    <w:basedOn w:val="OZNPROJEKTUwskazaniedatylubwersjiprojektu"/>
    <w:uiPriority w:val="28"/>
    <w:qFormat/>
    <w:rsid w:val="00F11197"/>
    <w:pPr>
      <w:keepNext/>
    </w:pPr>
    <w:rPr>
      <w:b/>
      <w:u w:val="none"/>
    </w:rPr>
  </w:style>
  <w:style w:type="paragraph" w:customStyle="1" w:styleId="OZNPARAFYADNOTACJE">
    <w:name w:val="OZN_PARAFY(ADNOTACJE)"/>
    <w:basedOn w:val="ODNONIKtreodnonika"/>
    <w:uiPriority w:val="26"/>
    <w:qFormat/>
    <w:rsid w:val="00F11197"/>
  </w:style>
  <w:style w:type="paragraph" w:customStyle="1" w:styleId="TEKSTZacznikido">
    <w:name w:val="TEKST&quot;Załącznik(i) do ...&quot;"/>
    <w:uiPriority w:val="28"/>
    <w:qFormat/>
    <w:rsid w:val="00F11197"/>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11197"/>
    <w:pPr>
      <w:ind w:left="851"/>
    </w:pPr>
  </w:style>
  <w:style w:type="paragraph" w:customStyle="1" w:styleId="CZWSPLITODNONIKAczwspliterodnonika">
    <w:name w:val="CZ_WSP_LIT_ODNOŚNIKA – część wsp. liter odnośnika"/>
    <w:basedOn w:val="LITODNONIKAliteraodnonika"/>
    <w:uiPriority w:val="22"/>
    <w:qFormat/>
    <w:rsid w:val="00F11197"/>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1119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1119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11197"/>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11197"/>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11197"/>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1119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11197"/>
  </w:style>
  <w:style w:type="paragraph" w:customStyle="1" w:styleId="ZLITwPKTODNONIKAzmlitwpktodnonikaartykuempunktem">
    <w:name w:val="Z/LIT_w_PKT_ODNOŚNIKA – zm. lit. w pkt odnośnika artykułem (punktem)"/>
    <w:basedOn w:val="ZLITODNONIKAzmlitodnonikaartykuempunktem"/>
    <w:uiPriority w:val="40"/>
    <w:qFormat/>
    <w:rsid w:val="00F1119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1119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1119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1119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1119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1119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11197"/>
  </w:style>
  <w:style w:type="paragraph" w:customStyle="1" w:styleId="ZZFRAGzmianazmfragmentunpzdania">
    <w:name w:val="ZZ/FRAG – zmiana zm. fragmentu (np. zdania)"/>
    <w:basedOn w:val="ZZCZWSPPKTzmianazmczciwsppkt"/>
    <w:uiPriority w:val="70"/>
    <w:qFormat/>
    <w:rsid w:val="00F11197"/>
  </w:style>
  <w:style w:type="paragraph" w:customStyle="1" w:styleId="Z2TIRPKTzmpktpodwjnymtiret">
    <w:name w:val="Z_2TIR/PKT – zm. pkt podwójnym tiret"/>
    <w:basedOn w:val="Z2TIRLITzmlitpodwjnymtiret"/>
    <w:uiPriority w:val="83"/>
    <w:qFormat/>
    <w:rsid w:val="00F1119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1119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1119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1119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11197"/>
    <w:pPr>
      <w:ind w:left="1780" w:firstLine="510"/>
    </w:pPr>
  </w:style>
  <w:style w:type="paragraph" w:customStyle="1" w:styleId="Z2TIRUSTzmustpodwjnymtiret">
    <w:name w:val="Z_2TIR/UST(§) – zm. ust. (§) podwójnym tiret"/>
    <w:basedOn w:val="Z2TIRPKTzmpktpodwjnymtiret"/>
    <w:uiPriority w:val="82"/>
    <w:qFormat/>
    <w:rsid w:val="00F1119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11197"/>
    <w:pPr>
      <w:ind w:left="3164" w:firstLine="0"/>
    </w:pPr>
  </w:style>
  <w:style w:type="paragraph" w:customStyle="1" w:styleId="Z2TIRCZWSPPKTzmczciwsppktpodwjnymtiret">
    <w:name w:val="Z_2TIR/CZ_WSP_PKT – zm. części wsp. pkt podwójnym tiret"/>
    <w:basedOn w:val="Z2TIRPKTzmpktpodwjnymtiret"/>
    <w:uiPriority w:val="86"/>
    <w:qFormat/>
    <w:rsid w:val="00F1119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1119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11197"/>
    <w:pPr>
      <w:ind w:left="2767" w:firstLine="0"/>
    </w:pPr>
  </w:style>
  <w:style w:type="paragraph" w:customStyle="1" w:styleId="ZLITARTzmartliter">
    <w:name w:val="Z_LIT/ART(§) – zm. art. (§) literą"/>
    <w:basedOn w:val="ZLITUSTzmustliter"/>
    <w:uiPriority w:val="46"/>
    <w:qFormat/>
    <w:rsid w:val="00F11197"/>
    <w:rPr>
      <w:rFonts w:ascii="Times New Roman" w:hAnsi="Times New Roman"/>
    </w:rPr>
  </w:style>
  <w:style w:type="paragraph" w:customStyle="1" w:styleId="ZTIRARTzmarttiret">
    <w:name w:val="Z_TIR/ART(§) – zm. art. (§) tiret"/>
    <w:basedOn w:val="ZTIRPKTzmpkttiret"/>
    <w:uiPriority w:val="55"/>
    <w:qFormat/>
    <w:rsid w:val="00F11197"/>
    <w:pPr>
      <w:ind w:left="1383" w:firstLine="510"/>
    </w:pPr>
    <w:rPr>
      <w:rFonts w:ascii="Times New Roman" w:hAnsi="Times New Roman"/>
    </w:rPr>
  </w:style>
  <w:style w:type="paragraph" w:customStyle="1" w:styleId="ZTIRUSTzmusttiret">
    <w:name w:val="Z_TIR/UST(§) – zm. ust. (§) tiret"/>
    <w:basedOn w:val="ZTIRARTzmarttiret"/>
    <w:uiPriority w:val="55"/>
    <w:qFormat/>
    <w:rsid w:val="00F11197"/>
  </w:style>
  <w:style w:type="paragraph" w:customStyle="1" w:styleId="ZLITKSIGIzmozniprzedmksigiliter">
    <w:name w:val="Z_LIT/KSIĘGI – zm. ozn. i przedm. księgi literą"/>
    <w:basedOn w:val="ZCZCIKSIGIzmozniprzedmczciksigiartykuempunktem"/>
    <w:uiPriority w:val="44"/>
    <w:qFormat/>
    <w:rsid w:val="00F11197"/>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1119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11197"/>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1119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11197"/>
    <w:pPr>
      <w:ind w:left="987"/>
    </w:pPr>
  </w:style>
  <w:style w:type="paragraph" w:customStyle="1" w:styleId="ZTIRDZOZNzmozndziautiret">
    <w:name w:val="Z_TIR/DZ_OZN – zm. ozn. działu tiret"/>
    <w:basedOn w:val="ZLITTYTDZOZNzmozntytuudziauliter"/>
    <w:next w:val="ZTIRDZPRZEDMzmprzedmdziautiret"/>
    <w:uiPriority w:val="54"/>
    <w:qFormat/>
    <w:rsid w:val="00F11197"/>
    <w:pPr>
      <w:ind w:left="1383"/>
    </w:pPr>
  </w:style>
  <w:style w:type="paragraph" w:customStyle="1" w:styleId="ZTIRDZPRZEDMzmprzedmdziautiret">
    <w:name w:val="Z_TIR/DZ_PRZEDM – zm. przedm. działu tiret"/>
    <w:basedOn w:val="ZLITTYTDZPRZEDMzmprzedmtytuudziauliter"/>
    <w:uiPriority w:val="54"/>
    <w:qFormat/>
    <w:rsid w:val="00F11197"/>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11197"/>
    <w:pPr>
      <w:ind w:left="1383"/>
    </w:pPr>
  </w:style>
  <w:style w:type="paragraph" w:customStyle="1" w:styleId="ZTIRROZDZODDZPRZEDMzmprzedmrozdzoddztiret">
    <w:name w:val="Z_TIR/ROZDZ(ODDZ)_PRZEDM – zm. przedm. rozdz. (oddz.) tiret"/>
    <w:basedOn w:val="ZLITROZDZODDZPRZEDMzmprzedmrozdzoddzliter"/>
    <w:uiPriority w:val="54"/>
    <w:qFormat/>
    <w:rsid w:val="00F11197"/>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1119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11197"/>
    <w:pPr>
      <w:ind w:left="1780"/>
    </w:pPr>
  </w:style>
  <w:style w:type="character" w:customStyle="1" w:styleId="IGindeksgrny">
    <w:name w:val="_IG_ – indeks górny"/>
    <w:uiPriority w:val="2"/>
    <w:qFormat/>
    <w:rsid w:val="00F11197"/>
    <w:rPr>
      <w:b w:val="0"/>
      <w:i w:val="0"/>
      <w:vanish w:val="0"/>
      <w:spacing w:val="0"/>
      <w:vertAlign w:val="superscript"/>
    </w:rPr>
  </w:style>
  <w:style w:type="character" w:customStyle="1" w:styleId="IDindeksdolny">
    <w:name w:val="_ID_ – indeks dolny"/>
    <w:uiPriority w:val="3"/>
    <w:qFormat/>
    <w:rsid w:val="00F11197"/>
    <w:rPr>
      <w:b w:val="0"/>
      <w:i w:val="0"/>
      <w:vanish w:val="0"/>
      <w:spacing w:val="0"/>
      <w:vertAlign w:val="subscript"/>
    </w:rPr>
  </w:style>
  <w:style w:type="character" w:customStyle="1" w:styleId="IDPindeksdolnyipogrubienie">
    <w:name w:val="_ID_P_ – indeks dolny i pogrubienie"/>
    <w:uiPriority w:val="3"/>
    <w:qFormat/>
    <w:rsid w:val="00F11197"/>
    <w:rPr>
      <w:b/>
      <w:vanish w:val="0"/>
      <w:spacing w:val="0"/>
      <w:vertAlign w:val="subscript"/>
    </w:rPr>
  </w:style>
  <w:style w:type="character" w:customStyle="1" w:styleId="IDKindeksdolnyikursywa">
    <w:name w:val="_ID_K_ – indeks dolny i kursywa"/>
    <w:uiPriority w:val="3"/>
    <w:qFormat/>
    <w:rsid w:val="00F11197"/>
    <w:rPr>
      <w:i/>
      <w:vanish w:val="0"/>
      <w:spacing w:val="0"/>
      <w:vertAlign w:val="subscript"/>
    </w:rPr>
  </w:style>
  <w:style w:type="character" w:customStyle="1" w:styleId="IGPindeksgrnyipogrubienie">
    <w:name w:val="_IG_P_ – indeks górny i pogrubienie"/>
    <w:uiPriority w:val="2"/>
    <w:qFormat/>
    <w:rsid w:val="00F11197"/>
    <w:rPr>
      <w:b/>
      <w:vanish w:val="0"/>
      <w:spacing w:val="0"/>
      <w:vertAlign w:val="superscript"/>
    </w:rPr>
  </w:style>
  <w:style w:type="character" w:customStyle="1" w:styleId="IGKindeksgrnyikursywa">
    <w:name w:val="_IG_K_ – indeks górny i kursywa"/>
    <w:uiPriority w:val="2"/>
    <w:qFormat/>
    <w:rsid w:val="00F11197"/>
    <w:rPr>
      <w:i/>
      <w:vanish w:val="0"/>
      <w:spacing w:val="0"/>
      <w:vertAlign w:val="superscript"/>
    </w:rPr>
  </w:style>
  <w:style w:type="character" w:customStyle="1" w:styleId="IGPKindeksgrnyipogrubieniekursywa">
    <w:name w:val="_IG_P_K_ – indeks górny i pogrubienie kursywa"/>
    <w:uiPriority w:val="2"/>
    <w:qFormat/>
    <w:rsid w:val="00F11197"/>
    <w:rPr>
      <w:b/>
      <w:i/>
      <w:vanish w:val="0"/>
      <w:spacing w:val="0"/>
      <w:vertAlign w:val="superscript"/>
    </w:rPr>
  </w:style>
  <w:style w:type="character" w:customStyle="1" w:styleId="IDPKindeksdolnyipogrugieniekursywa">
    <w:name w:val="_ID_P_K_ – indeks dolny i pogrugienie kursywa"/>
    <w:uiPriority w:val="3"/>
    <w:qFormat/>
    <w:rsid w:val="00F11197"/>
    <w:rPr>
      <w:b/>
      <w:i/>
      <w:vanish w:val="0"/>
      <w:spacing w:val="0"/>
      <w:vertAlign w:val="subscript"/>
    </w:rPr>
  </w:style>
  <w:style w:type="character" w:customStyle="1" w:styleId="Ppogrubienie">
    <w:name w:val="_P_ – pogrubienie"/>
    <w:uiPriority w:val="1"/>
    <w:qFormat/>
    <w:rsid w:val="00F11197"/>
    <w:rPr>
      <w:b/>
    </w:rPr>
  </w:style>
  <w:style w:type="character" w:customStyle="1" w:styleId="Kkursywa">
    <w:name w:val="_K_ – kursywa"/>
    <w:uiPriority w:val="1"/>
    <w:qFormat/>
    <w:rsid w:val="00F11197"/>
    <w:rPr>
      <w:i/>
    </w:rPr>
  </w:style>
  <w:style w:type="character" w:customStyle="1" w:styleId="PKpogrubieniekursywa">
    <w:name w:val="_P_K_ – pogrubienie kursywa"/>
    <w:uiPriority w:val="1"/>
    <w:qFormat/>
    <w:rsid w:val="00F11197"/>
    <w:rPr>
      <w:b/>
      <w:i/>
    </w:rPr>
  </w:style>
  <w:style w:type="character" w:customStyle="1" w:styleId="TEKSTOZNACZONYWDOKUMENCIERDOWYMJAKOUKRYTY">
    <w:name w:val="_TEKST_OZNACZONY_W_DOKUMENCIE_ŹRÓDŁOWYM_JAKO_UKRYTY_"/>
    <w:uiPriority w:val="4"/>
    <w:unhideWhenUsed/>
    <w:qFormat/>
    <w:rsid w:val="00F11197"/>
    <w:rPr>
      <w:vanish w:val="0"/>
      <w:color w:val="FF0000"/>
      <w:u w:val="single" w:color="FF0000"/>
    </w:rPr>
  </w:style>
  <w:style w:type="character" w:customStyle="1" w:styleId="BEZWERSALIKW">
    <w:name w:val="_BEZ_WERSALIKÓW_"/>
    <w:uiPriority w:val="4"/>
    <w:qFormat/>
    <w:rsid w:val="00F11197"/>
    <w:rPr>
      <w:caps/>
    </w:rPr>
  </w:style>
  <w:style w:type="character" w:customStyle="1" w:styleId="IIGPindeksgrnyindeksugrnegoipogrubienie">
    <w:name w:val="_IIG_P_ – indeks górny indeksu górnego i pogrubienie"/>
    <w:uiPriority w:val="3"/>
    <w:qFormat/>
    <w:rsid w:val="00F11197"/>
    <w:rPr>
      <w:b/>
      <w:vanish w:val="0"/>
      <w:spacing w:val="0"/>
      <w:position w:val="6"/>
      <w:vertAlign w:val="superscript"/>
    </w:rPr>
  </w:style>
  <w:style w:type="character" w:customStyle="1" w:styleId="IIGindeksgrnyindeksugrnego">
    <w:name w:val="_IIG_ – indeks górny indeksu górnego"/>
    <w:uiPriority w:val="3"/>
    <w:qFormat/>
    <w:rsid w:val="00F11197"/>
    <w:rPr>
      <w:b/>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11197"/>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F11197"/>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11197"/>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11197"/>
    <w:pPr>
      <w:ind w:left="1894"/>
    </w:pPr>
  </w:style>
  <w:style w:type="paragraph" w:customStyle="1" w:styleId="ZZSKARNzmianazmsankcjikarnej">
    <w:name w:val="ZZ/S_KARN – zmiana zm. sankcji karnej"/>
    <w:basedOn w:val="ZZFRAGzmianazmfragmentunpzdania"/>
    <w:uiPriority w:val="71"/>
    <w:qFormat/>
    <w:rsid w:val="00F1119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11197"/>
    <w:pPr>
      <w:ind w:left="2291" w:firstLine="0"/>
    </w:pPr>
  </w:style>
  <w:style w:type="paragraph" w:customStyle="1" w:styleId="WMATFIZCHEMwzrmatfizlubchem">
    <w:name w:val="W_MAT(FIZ|CHEM) – wzór mat. (fiz. lub chem.)"/>
    <w:uiPriority w:val="18"/>
    <w:qFormat/>
    <w:rsid w:val="00F11197"/>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F1119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1119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1119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1119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1119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1119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1119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1119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11197"/>
    <w:pPr>
      <w:ind w:left="3085"/>
    </w:pPr>
  </w:style>
  <w:style w:type="paragraph" w:customStyle="1" w:styleId="ZLITCYTzmcytatunpprzysigiliter">
    <w:name w:val="Z_LIT/CYT – zm. cytatu np. przysięgi literą"/>
    <w:basedOn w:val="ZCYTzmcytatunpprzysigiartykuempunktem"/>
    <w:uiPriority w:val="53"/>
    <w:qFormat/>
    <w:rsid w:val="00F11197"/>
    <w:pPr>
      <w:ind w:left="1497"/>
    </w:pPr>
  </w:style>
  <w:style w:type="paragraph" w:customStyle="1" w:styleId="ZTIRCYTzmcytatunpprzysigitiret">
    <w:name w:val="Z_TIR/CYT – zm. cytatu np. przysięgi tiret"/>
    <w:basedOn w:val="ZLITCYTzmcytatunpprzysigiliter"/>
    <w:next w:val="ZTIRUSTzmusttiret"/>
    <w:uiPriority w:val="61"/>
    <w:qFormat/>
    <w:rsid w:val="00F1119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11197"/>
    <w:pPr>
      <w:ind w:left="2291"/>
    </w:pPr>
  </w:style>
  <w:style w:type="paragraph" w:customStyle="1" w:styleId="ZZCYTzmianazmcytatunpprzysigi">
    <w:name w:val="ZZ/CYT – zmiana zm. cytatu np. przysięgi"/>
    <w:basedOn w:val="ZZFRAGzmianazmfragmentunpzdania"/>
    <w:next w:val="ZZUSTzmianazmust"/>
    <w:uiPriority w:val="71"/>
    <w:qFormat/>
    <w:rsid w:val="00F1119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11197"/>
    <w:pPr>
      <w:ind w:left="1780"/>
    </w:pPr>
  </w:style>
  <w:style w:type="table" w:styleId="Tabela-Siatka">
    <w:name w:val="Table Grid"/>
    <w:basedOn w:val="Standardowy"/>
    <w:rsid w:val="00F11197"/>
    <w:pPr>
      <w:spacing w:after="0" w:line="240" w:lineRule="auto"/>
    </w:pPr>
    <w:rPr>
      <w:rFonts w:ascii="Times" w:eastAsia="Times New Roman" w:hAnsi="Times"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F11197"/>
    <w:pPr>
      <w:widowControl w:val="0"/>
      <w:autoSpaceDE w:val="0"/>
      <w:autoSpaceDN w:val="0"/>
      <w:adjustRightInd w:val="0"/>
      <w:spacing w:after="0" w:line="240" w:lineRule="auto"/>
      <w:jc w:val="both"/>
    </w:pPr>
    <w:rPr>
      <w:rFonts w:ascii="Times" w:eastAsia="Times New Roman" w:hAnsi="Times" w:cs="Times New Roman"/>
      <w:sz w:val="20"/>
      <w:szCs w:val="20"/>
      <w:lang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11197"/>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11197"/>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11197"/>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F11197"/>
    <w:rPr>
      <w:color w:val="808080"/>
    </w:rPr>
  </w:style>
  <w:style w:type="paragraph" w:styleId="NormalnyWeb">
    <w:name w:val="Normal (Web)"/>
    <w:basedOn w:val="Normalny"/>
    <w:uiPriority w:val="99"/>
    <w:unhideWhenUsed/>
    <w:rsid w:val="00F11197"/>
    <w:pPr>
      <w:widowControl/>
      <w:autoSpaceDE/>
      <w:autoSpaceDN/>
      <w:adjustRightInd/>
      <w:spacing w:before="100" w:beforeAutospacing="1" w:after="100" w:afterAutospacing="1" w:line="240" w:lineRule="auto"/>
    </w:pPr>
    <w:rPr>
      <w:rFonts w:cs="Times New Roman"/>
      <w:szCs w:val="24"/>
    </w:rPr>
  </w:style>
  <w:style w:type="character" w:styleId="Hipercze">
    <w:name w:val="Hyperlink"/>
    <w:uiPriority w:val="99"/>
    <w:semiHidden/>
    <w:rsid w:val="00F11197"/>
    <w:rPr>
      <w:color w:val="0000FF"/>
      <w:u w:val="single"/>
    </w:rPr>
  </w:style>
  <w:style w:type="paragraph" w:styleId="Lista2">
    <w:name w:val="List 2"/>
    <w:basedOn w:val="Normalny"/>
    <w:uiPriority w:val="99"/>
    <w:unhideWhenUsed/>
    <w:rsid w:val="00F11197"/>
    <w:pPr>
      <w:widowControl/>
      <w:autoSpaceDE/>
      <w:autoSpaceDN/>
      <w:adjustRightInd/>
      <w:spacing w:after="200" w:line="276" w:lineRule="auto"/>
      <w:ind w:left="566" w:hanging="283"/>
      <w:contextualSpacing/>
    </w:pPr>
    <w:rPr>
      <w:rFonts w:ascii="Calibri" w:eastAsia="Calibri" w:hAnsi="Calibri" w:cs="Times New Roman"/>
      <w:sz w:val="22"/>
      <w:szCs w:val="22"/>
      <w:lang w:val="en-US" w:eastAsia="en-US"/>
    </w:rPr>
  </w:style>
  <w:style w:type="paragraph" w:styleId="Poprawka">
    <w:name w:val="Revision"/>
    <w:hidden/>
    <w:uiPriority w:val="99"/>
    <w:semiHidden/>
    <w:rsid w:val="00F11197"/>
    <w:pPr>
      <w:spacing w:after="0" w:line="240" w:lineRule="auto"/>
    </w:pPr>
    <w:rPr>
      <w:rFonts w:ascii="Times New Roman" w:eastAsia="Times New Roman" w:hAnsi="Times New Roman" w:cs="Arial"/>
      <w:sz w:val="24"/>
      <w:szCs w:val="20"/>
      <w:lang w:eastAsia="pl-PL"/>
    </w:rPr>
  </w:style>
  <w:style w:type="paragraph" w:styleId="Podtytu">
    <w:name w:val="Subtitle"/>
    <w:basedOn w:val="Normalny"/>
    <w:next w:val="Normalny"/>
    <w:link w:val="PodtytuZnak"/>
    <w:uiPriority w:val="99"/>
    <w:qFormat/>
    <w:rsid w:val="00F11197"/>
    <w:pPr>
      <w:spacing w:after="60"/>
      <w:jc w:val="center"/>
      <w:outlineLvl w:val="1"/>
    </w:pPr>
    <w:rPr>
      <w:rFonts w:ascii="Calibri Light" w:hAnsi="Calibri Light" w:cs="Times New Roman"/>
      <w:szCs w:val="24"/>
    </w:rPr>
  </w:style>
  <w:style w:type="character" w:customStyle="1" w:styleId="PodtytuZnak">
    <w:name w:val="Podtytuł Znak"/>
    <w:basedOn w:val="Domylnaczcionkaakapitu"/>
    <w:link w:val="Podtytu"/>
    <w:uiPriority w:val="99"/>
    <w:rsid w:val="00F11197"/>
    <w:rPr>
      <w:rFonts w:ascii="Calibri Light" w:eastAsia="Times New Roman" w:hAnsi="Calibri Light" w:cs="Times New Roman"/>
      <w:sz w:val="24"/>
      <w:szCs w:val="24"/>
      <w:lang w:eastAsia="pl-PL"/>
    </w:rPr>
  </w:style>
  <w:style w:type="character" w:styleId="Wyrnienieintensywne">
    <w:name w:val="Intense Emphasis"/>
    <w:uiPriority w:val="21"/>
    <w:qFormat/>
    <w:rsid w:val="00F11197"/>
    <w:rPr>
      <w:i/>
      <w:iCs/>
      <w:color w:val="5B9BD5"/>
    </w:rPr>
  </w:style>
  <w:style w:type="character" w:styleId="Pogrubienie">
    <w:name w:val="Strong"/>
    <w:uiPriority w:val="99"/>
    <w:qFormat/>
    <w:rsid w:val="00F11197"/>
    <w:rPr>
      <w:b/>
      <w:bCs/>
    </w:rPr>
  </w:style>
  <w:style w:type="character" w:customStyle="1" w:styleId="Nierozpoznanawzmianka1">
    <w:name w:val="Nierozpoznana wzmianka1"/>
    <w:uiPriority w:val="99"/>
    <w:semiHidden/>
    <w:unhideWhenUsed/>
    <w:rsid w:val="00F11197"/>
    <w:rPr>
      <w:color w:val="605E5C"/>
      <w:shd w:val="clear" w:color="auto" w:fill="E1DFDD"/>
    </w:rPr>
  </w:style>
  <w:style w:type="paragraph" w:styleId="Akapitzlist">
    <w:name w:val="List Paragraph"/>
    <w:basedOn w:val="Normalny"/>
    <w:uiPriority w:val="34"/>
    <w:qFormat/>
    <w:rsid w:val="00F11197"/>
    <w:pPr>
      <w:widowControl/>
      <w:autoSpaceDE/>
      <w:autoSpaceDN/>
      <w:adjustRightInd/>
      <w:spacing w:after="160" w:line="256" w:lineRule="auto"/>
      <w:ind w:left="720"/>
      <w:contextualSpacing/>
    </w:pPr>
    <w:rPr>
      <w:rFonts w:ascii="Calibri" w:eastAsia="Calibri" w:hAnsi="Calibri" w:cs="Times New Roman"/>
      <w:sz w:val="22"/>
      <w:szCs w:val="22"/>
      <w:lang w:eastAsia="en-US"/>
    </w:rPr>
  </w:style>
  <w:style w:type="paragraph" w:styleId="Tekstprzypisukocowego">
    <w:name w:val="endnote text"/>
    <w:basedOn w:val="Normalny"/>
    <w:link w:val="TekstprzypisukocowegoZnak"/>
    <w:uiPriority w:val="99"/>
    <w:semiHidden/>
    <w:unhideWhenUsed/>
    <w:rsid w:val="00F11197"/>
    <w:rPr>
      <w:sz w:val="20"/>
    </w:rPr>
  </w:style>
  <w:style w:type="character" w:customStyle="1" w:styleId="TekstprzypisukocowegoZnak">
    <w:name w:val="Tekst przypisu końcowego Znak"/>
    <w:basedOn w:val="Domylnaczcionkaakapitu"/>
    <w:link w:val="Tekstprzypisukocowego"/>
    <w:uiPriority w:val="99"/>
    <w:semiHidden/>
    <w:rsid w:val="00F11197"/>
    <w:rPr>
      <w:rFonts w:ascii="Times New Roman" w:eastAsia="Times New Roman" w:hAnsi="Times New Roman" w:cs="Arial"/>
      <w:sz w:val="20"/>
      <w:szCs w:val="20"/>
      <w:lang w:eastAsia="pl-PL"/>
    </w:rPr>
  </w:style>
  <w:style w:type="character" w:styleId="Odwoanieprzypisukocowego">
    <w:name w:val="endnote reference"/>
    <w:uiPriority w:val="99"/>
    <w:semiHidden/>
    <w:unhideWhenUsed/>
    <w:rsid w:val="00F11197"/>
    <w:rPr>
      <w:vertAlign w:val="superscript"/>
    </w:rPr>
  </w:style>
  <w:style w:type="character" w:styleId="UyteHipercze">
    <w:name w:val="FollowedHyperlink"/>
    <w:uiPriority w:val="99"/>
    <w:semiHidden/>
    <w:unhideWhenUsed/>
    <w:rsid w:val="00F11197"/>
    <w:rPr>
      <w:color w:val="954F72"/>
      <w:u w:val="single"/>
    </w:rPr>
  </w:style>
  <w:style w:type="character" w:styleId="Uwydatnienie">
    <w:name w:val="Emphasis"/>
    <w:basedOn w:val="Domylnaczcionkaakapitu"/>
    <w:uiPriority w:val="20"/>
    <w:qFormat/>
    <w:rsid w:val="00F11197"/>
    <w:rPr>
      <w:i/>
      <w:iCs/>
    </w:rPr>
  </w:style>
  <w:style w:type="paragraph" w:customStyle="1" w:styleId="pismamz">
    <w:name w:val="pisma_mz"/>
    <w:basedOn w:val="Normalny"/>
    <w:link w:val="pismamzZnak"/>
    <w:qFormat/>
    <w:rsid w:val="00FC4318"/>
    <w:pPr>
      <w:widowControl/>
      <w:autoSpaceDE/>
      <w:autoSpaceDN/>
      <w:adjustRightInd/>
      <w:contextualSpacing/>
      <w:jc w:val="both"/>
    </w:pPr>
    <w:rPr>
      <w:rFonts w:ascii="Arial" w:eastAsia="Calibri" w:hAnsi="Arial" w:cs="Times New Roman"/>
      <w:sz w:val="22"/>
      <w:szCs w:val="22"/>
      <w:lang w:eastAsia="en-US"/>
    </w:rPr>
  </w:style>
  <w:style w:type="character" w:customStyle="1" w:styleId="pismamzZnak">
    <w:name w:val="pisma_mz Znak"/>
    <w:link w:val="pismamz"/>
    <w:rsid w:val="00FC4318"/>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625A5-3404-48AD-89CA-84D4EDCC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TotalTime>
  <Pages>64</Pages>
  <Words>22651</Words>
  <Characters>135910</Characters>
  <Application>Microsoft Office Word</Application>
  <DocSecurity>0</DocSecurity>
  <Lines>1132</Lines>
  <Paragraphs>316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Jagielski Piotr</dc:creator>
  <cp:keywords/>
  <dc:description/>
  <cp:lastModifiedBy>Autor</cp:lastModifiedBy>
  <cp:revision>87</cp:revision>
  <dcterms:created xsi:type="dcterms:W3CDTF">2022-11-15T18:59:00Z</dcterms:created>
  <dcterms:modified xsi:type="dcterms:W3CDTF">2022-11-28T14:28:00Z</dcterms:modified>
</cp:coreProperties>
</file>