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AA035A" w14:textId="415D2A17" w:rsidR="63D187EE" w:rsidRPr="00F91F34" w:rsidRDefault="0D045098" w:rsidP="00F91F34">
      <w:pPr>
        <w:pStyle w:val="Nagwek3"/>
        <w:spacing w:before="0" w:after="240" w:line="360" w:lineRule="auto"/>
        <w:jc w:val="center"/>
        <w:rPr>
          <w:rFonts w:ascii="Times New Roman" w:eastAsia="Times New Roman" w:hAnsi="Times New Roman" w:cs="Times New Roman"/>
          <w:bCs/>
          <w:color w:val="000000" w:themeColor="text1"/>
        </w:rPr>
      </w:pPr>
      <w:r w:rsidRPr="00F91F34">
        <w:rPr>
          <w:rFonts w:ascii="Times New Roman" w:eastAsia="Times New Roman" w:hAnsi="Times New Roman" w:cs="Times New Roman"/>
          <w:bCs/>
          <w:color w:val="000000" w:themeColor="text1"/>
        </w:rPr>
        <w:t>U</w:t>
      </w:r>
      <w:r w:rsidR="004F6B6D" w:rsidRPr="00F91F34">
        <w:rPr>
          <w:rFonts w:ascii="Times New Roman" w:eastAsia="Times New Roman" w:hAnsi="Times New Roman" w:cs="Times New Roman"/>
          <w:bCs/>
          <w:color w:val="000000" w:themeColor="text1"/>
        </w:rPr>
        <w:t>ZASADNIENIE</w:t>
      </w:r>
    </w:p>
    <w:p w14:paraId="094F58C8" w14:textId="77777777" w:rsidR="7BC9FC7F" w:rsidRPr="00532F3A" w:rsidRDefault="7BC9FC7F" w:rsidP="00F91F34">
      <w:pPr>
        <w:pStyle w:val="Akapitzlist"/>
        <w:numPr>
          <w:ilvl w:val="0"/>
          <w:numId w:val="6"/>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532F3A">
        <w:rPr>
          <w:rFonts w:ascii="Times New Roman" w:eastAsia="Times New Roman" w:hAnsi="Times New Roman" w:cs="Times New Roman"/>
          <w:b/>
          <w:bCs/>
          <w:color w:val="000000" w:themeColor="text1"/>
          <w:sz w:val="24"/>
          <w:szCs w:val="24"/>
        </w:rPr>
        <w:t>Wprowadzenie</w:t>
      </w:r>
    </w:p>
    <w:p w14:paraId="440DB644" w14:textId="1A22924D" w:rsidR="09F095B8" w:rsidRPr="00CE1978" w:rsidRDefault="00303E09" w:rsidP="00F91F34">
      <w:pPr>
        <w:spacing w:before="120" w:after="0" w:line="360" w:lineRule="auto"/>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 xml:space="preserve">Ustawa wprowadzająca ustawę – </w:t>
      </w:r>
      <w:r w:rsidR="00115D34" w:rsidRPr="00532F3A">
        <w:rPr>
          <w:rFonts w:ascii="Times New Roman" w:eastAsia="Times New Roman" w:hAnsi="Times New Roman" w:cs="Times New Roman"/>
          <w:color w:val="000000" w:themeColor="text1"/>
          <w:sz w:val="24"/>
          <w:szCs w:val="24"/>
        </w:rPr>
        <w:t xml:space="preserve">Prawo </w:t>
      </w:r>
      <w:r w:rsidR="09F095B8" w:rsidRPr="00532F3A">
        <w:rPr>
          <w:rFonts w:ascii="Times New Roman" w:eastAsia="Times New Roman" w:hAnsi="Times New Roman" w:cs="Times New Roman"/>
          <w:color w:val="000000" w:themeColor="text1"/>
          <w:sz w:val="24"/>
          <w:szCs w:val="24"/>
        </w:rPr>
        <w:t>komunikacji</w:t>
      </w:r>
      <w:r w:rsidR="00201618">
        <w:rPr>
          <w:rFonts w:ascii="Times New Roman" w:eastAsia="Times New Roman" w:hAnsi="Times New Roman" w:cs="Times New Roman"/>
          <w:color w:val="000000" w:themeColor="text1"/>
          <w:sz w:val="24"/>
          <w:szCs w:val="24"/>
        </w:rPr>
        <w:t xml:space="preserve"> elektronicznej związana jest z </w:t>
      </w:r>
      <w:r w:rsidR="09F095B8" w:rsidRPr="00532F3A">
        <w:rPr>
          <w:rFonts w:ascii="Times New Roman" w:eastAsia="Times New Roman" w:hAnsi="Times New Roman" w:cs="Times New Roman"/>
          <w:color w:val="000000" w:themeColor="text1"/>
          <w:sz w:val="24"/>
          <w:szCs w:val="24"/>
        </w:rPr>
        <w:t>projektowan</w:t>
      </w:r>
      <w:r w:rsidR="1EC1261B" w:rsidRPr="00CE1978">
        <w:rPr>
          <w:rFonts w:ascii="Times New Roman" w:eastAsia="Times New Roman" w:hAnsi="Times New Roman" w:cs="Times New Roman"/>
          <w:color w:val="000000" w:themeColor="text1"/>
          <w:sz w:val="24"/>
          <w:szCs w:val="24"/>
        </w:rPr>
        <w:t>ą</w:t>
      </w:r>
      <w:r w:rsidR="09F095B8" w:rsidRPr="00CE1978">
        <w:rPr>
          <w:rFonts w:ascii="Times New Roman" w:eastAsia="Times New Roman" w:hAnsi="Times New Roman" w:cs="Times New Roman"/>
          <w:color w:val="000000" w:themeColor="text1"/>
          <w:sz w:val="24"/>
          <w:szCs w:val="24"/>
        </w:rPr>
        <w:t xml:space="preserve"> ustaw</w:t>
      </w:r>
      <w:r w:rsidR="6CE7259C" w:rsidRPr="00C10C7D">
        <w:rPr>
          <w:rFonts w:ascii="Times New Roman" w:eastAsia="Times New Roman" w:hAnsi="Times New Roman" w:cs="Times New Roman"/>
          <w:color w:val="000000" w:themeColor="text1"/>
          <w:sz w:val="24"/>
          <w:szCs w:val="24"/>
        </w:rPr>
        <w:t>ą</w:t>
      </w:r>
      <w:r w:rsidR="09F095B8" w:rsidRPr="00C10C7D">
        <w:rPr>
          <w:rFonts w:ascii="Times New Roman" w:eastAsia="Times New Roman" w:hAnsi="Times New Roman" w:cs="Times New Roman"/>
          <w:color w:val="000000" w:themeColor="text1"/>
          <w:sz w:val="24"/>
          <w:szCs w:val="24"/>
        </w:rPr>
        <w:t xml:space="preserve"> – Prawo komunikacji </w:t>
      </w:r>
      <w:r w:rsidR="54BF10B1" w:rsidRPr="00C10C7D">
        <w:rPr>
          <w:rFonts w:ascii="Times New Roman" w:eastAsia="Times New Roman" w:hAnsi="Times New Roman" w:cs="Times New Roman"/>
          <w:color w:val="000000" w:themeColor="text1"/>
          <w:sz w:val="24"/>
          <w:szCs w:val="24"/>
        </w:rPr>
        <w:t>elektronicznej</w:t>
      </w:r>
      <w:r w:rsidR="09F095B8" w:rsidRPr="00C10C7D">
        <w:rPr>
          <w:rFonts w:ascii="Times New Roman" w:eastAsia="Times New Roman" w:hAnsi="Times New Roman" w:cs="Times New Roman"/>
          <w:color w:val="000000" w:themeColor="text1"/>
          <w:sz w:val="24"/>
          <w:szCs w:val="24"/>
        </w:rPr>
        <w:t xml:space="preserve"> </w:t>
      </w:r>
      <w:r w:rsidR="2A814EB4" w:rsidRPr="00C10C7D">
        <w:rPr>
          <w:rFonts w:ascii="Times New Roman" w:eastAsia="Times New Roman" w:hAnsi="Times New Roman" w:cs="Times New Roman"/>
          <w:color w:val="000000" w:themeColor="text1"/>
          <w:sz w:val="24"/>
          <w:szCs w:val="24"/>
        </w:rPr>
        <w:t>(</w:t>
      </w:r>
      <w:r w:rsidR="299451B1" w:rsidRPr="00C10C7D">
        <w:rPr>
          <w:rFonts w:ascii="Times New Roman" w:eastAsia="Times New Roman" w:hAnsi="Times New Roman" w:cs="Times New Roman"/>
          <w:color w:val="000000" w:themeColor="text1"/>
          <w:sz w:val="24"/>
          <w:szCs w:val="24"/>
        </w:rPr>
        <w:t xml:space="preserve">zwaną </w:t>
      </w:r>
      <w:r w:rsidR="09F095B8" w:rsidRPr="00C10C7D">
        <w:rPr>
          <w:rFonts w:ascii="Times New Roman" w:eastAsia="Times New Roman" w:hAnsi="Times New Roman" w:cs="Times New Roman"/>
          <w:color w:val="000000" w:themeColor="text1"/>
          <w:sz w:val="24"/>
          <w:szCs w:val="24"/>
        </w:rPr>
        <w:t>dalej również „</w:t>
      </w:r>
      <w:r w:rsidR="57348731" w:rsidRPr="00C10C7D">
        <w:rPr>
          <w:rFonts w:ascii="Times New Roman" w:eastAsia="Times New Roman" w:hAnsi="Times New Roman" w:cs="Times New Roman"/>
          <w:color w:val="000000" w:themeColor="text1"/>
          <w:sz w:val="24"/>
          <w:szCs w:val="24"/>
        </w:rPr>
        <w:t>P</w:t>
      </w:r>
      <w:r w:rsidR="62F0CBF7" w:rsidRPr="00C10C7D">
        <w:rPr>
          <w:rFonts w:ascii="Times New Roman" w:eastAsia="Times New Roman" w:hAnsi="Times New Roman" w:cs="Times New Roman"/>
          <w:color w:val="000000" w:themeColor="text1"/>
          <w:sz w:val="24"/>
          <w:szCs w:val="24"/>
        </w:rPr>
        <w:t>ke</w:t>
      </w:r>
      <w:r w:rsidR="09F095B8" w:rsidRPr="00C10C7D">
        <w:rPr>
          <w:rFonts w:ascii="Times New Roman" w:eastAsia="Times New Roman" w:hAnsi="Times New Roman" w:cs="Times New Roman"/>
          <w:color w:val="000000" w:themeColor="text1"/>
          <w:sz w:val="24"/>
          <w:szCs w:val="24"/>
        </w:rPr>
        <w:t>”</w:t>
      </w:r>
      <w:r w:rsidR="67BFE582" w:rsidRPr="00C10C7D">
        <w:rPr>
          <w:rFonts w:ascii="Times New Roman" w:eastAsia="Times New Roman" w:hAnsi="Times New Roman" w:cs="Times New Roman"/>
          <w:color w:val="000000" w:themeColor="text1"/>
          <w:sz w:val="24"/>
          <w:szCs w:val="24"/>
        </w:rPr>
        <w:t xml:space="preserve"> </w:t>
      </w:r>
      <w:r w:rsidR="5B17D3C7" w:rsidRPr="00C10C7D">
        <w:rPr>
          <w:rFonts w:ascii="Times New Roman" w:eastAsia="Times New Roman" w:hAnsi="Times New Roman" w:cs="Times New Roman"/>
          <w:color w:val="000000" w:themeColor="text1"/>
          <w:sz w:val="24"/>
          <w:szCs w:val="24"/>
        </w:rPr>
        <w:t xml:space="preserve">lub </w:t>
      </w:r>
      <w:r w:rsidR="076EAFE6" w:rsidRPr="00C10C7D">
        <w:rPr>
          <w:rFonts w:ascii="Times New Roman" w:eastAsia="Times New Roman" w:hAnsi="Times New Roman" w:cs="Times New Roman"/>
          <w:color w:val="000000" w:themeColor="text1"/>
          <w:sz w:val="24"/>
          <w:szCs w:val="24"/>
        </w:rPr>
        <w:t>„</w:t>
      </w:r>
      <w:r w:rsidR="5B17D3C7" w:rsidRPr="00C10C7D">
        <w:rPr>
          <w:rFonts w:ascii="Times New Roman" w:eastAsia="Times New Roman" w:hAnsi="Times New Roman" w:cs="Times New Roman"/>
          <w:color w:val="000000" w:themeColor="text1"/>
          <w:sz w:val="24"/>
          <w:szCs w:val="24"/>
        </w:rPr>
        <w:t>ustawą Pke”</w:t>
      </w:r>
      <w:r w:rsidR="14927231" w:rsidRPr="00C10C7D">
        <w:rPr>
          <w:rFonts w:ascii="Times New Roman" w:eastAsia="Times New Roman" w:hAnsi="Times New Roman" w:cs="Times New Roman"/>
          <w:color w:val="000000" w:themeColor="text1"/>
          <w:sz w:val="24"/>
          <w:szCs w:val="24"/>
        </w:rPr>
        <w:t>)</w:t>
      </w:r>
      <w:r w:rsidR="09F095B8" w:rsidRPr="00C10C7D">
        <w:rPr>
          <w:rFonts w:ascii="Times New Roman" w:eastAsia="Times New Roman" w:hAnsi="Times New Roman" w:cs="Times New Roman"/>
          <w:color w:val="000000" w:themeColor="text1"/>
          <w:sz w:val="24"/>
          <w:szCs w:val="24"/>
        </w:rPr>
        <w:t xml:space="preserve">, która ma zastąpić ustawę z dnia </w:t>
      </w:r>
      <w:r w:rsidR="2FAE2882" w:rsidRPr="00C10C7D">
        <w:rPr>
          <w:rFonts w:ascii="Times New Roman" w:eastAsia="Times New Roman" w:hAnsi="Times New Roman" w:cs="Times New Roman"/>
          <w:color w:val="000000" w:themeColor="text1"/>
          <w:sz w:val="24"/>
          <w:szCs w:val="24"/>
        </w:rPr>
        <w:t>16</w:t>
      </w:r>
      <w:r w:rsidR="09F095B8" w:rsidRPr="00C10C7D">
        <w:rPr>
          <w:rFonts w:ascii="Times New Roman" w:eastAsia="Times New Roman" w:hAnsi="Times New Roman" w:cs="Times New Roman"/>
          <w:color w:val="000000" w:themeColor="text1"/>
          <w:sz w:val="24"/>
          <w:szCs w:val="24"/>
        </w:rPr>
        <w:t xml:space="preserve"> </w:t>
      </w:r>
      <w:r w:rsidR="281ACDF8" w:rsidRPr="00C10C7D">
        <w:rPr>
          <w:rFonts w:ascii="Times New Roman" w:eastAsia="Times New Roman" w:hAnsi="Times New Roman" w:cs="Times New Roman"/>
          <w:color w:val="000000" w:themeColor="text1"/>
          <w:sz w:val="24"/>
          <w:szCs w:val="24"/>
        </w:rPr>
        <w:t xml:space="preserve">lipca </w:t>
      </w:r>
      <w:r w:rsidR="09F095B8" w:rsidRPr="00C10C7D">
        <w:rPr>
          <w:rFonts w:ascii="Times New Roman" w:eastAsia="Times New Roman" w:hAnsi="Times New Roman" w:cs="Times New Roman"/>
          <w:color w:val="000000" w:themeColor="text1"/>
          <w:sz w:val="24"/>
          <w:szCs w:val="24"/>
        </w:rPr>
        <w:t xml:space="preserve">2004 r. – Prawo </w:t>
      </w:r>
      <w:r w:rsidR="00CE6E27" w:rsidRPr="00C10C7D">
        <w:rPr>
          <w:rFonts w:ascii="Times New Roman" w:eastAsia="Times New Roman" w:hAnsi="Times New Roman" w:cs="Times New Roman"/>
          <w:color w:val="000000" w:themeColor="text1"/>
          <w:sz w:val="24"/>
          <w:szCs w:val="24"/>
        </w:rPr>
        <w:t xml:space="preserve">telekomunikacyjne </w:t>
      </w:r>
      <w:r w:rsidR="09F095B8" w:rsidRPr="00C10C7D">
        <w:rPr>
          <w:rFonts w:ascii="Times New Roman" w:eastAsia="Times New Roman" w:hAnsi="Times New Roman" w:cs="Times New Roman"/>
          <w:color w:val="000000" w:themeColor="text1"/>
          <w:sz w:val="24"/>
          <w:szCs w:val="24"/>
        </w:rPr>
        <w:t xml:space="preserve">(Dz. U. z </w:t>
      </w:r>
      <w:r w:rsidR="00615499" w:rsidRPr="00C10C7D">
        <w:rPr>
          <w:rFonts w:ascii="Times New Roman" w:eastAsia="Times New Roman" w:hAnsi="Times New Roman" w:cs="Times New Roman"/>
          <w:color w:val="000000" w:themeColor="text1"/>
          <w:sz w:val="24"/>
          <w:szCs w:val="24"/>
        </w:rPr>
        <w:t xml:space="preserve">2022 </w:t>
      </w:r>
      <w:r w:rsidR="09F095B8" w:rsidRPr="00C10C7D">
        <w:rPr>
          <w:rFonts w:ascii="Times New Roman" w:eastAsia="Times New Roman" w:hAnsi="Times New Roman" w:cs="Times New Roman"/>
          <w:color w:val="000000" w:themeColor="text1"/>
          <w:sz w:val="24"/>
          <w:szCs w:val="24"/>
        </w:rPr>
        <w:t xml:space="preserve">r. poz. </w:t>
      </w:r>
      <w:r w:rsidR="00615499" w:rsidRPr="00C10C7D">
        <w:rPr>
          <w:rFonts w:ascii="Times New Roman" w:eastAsia="Times New Roman" w:hAnsi="Times New Roman" w:cs="Times New Roman"/>
          <w:color w:val="000000" w:themeColor="text1"/>
          <w:sz w:val="24"/>
          <w:szCs w:val="24"/>
        </w:rPr>
        <w:t>1648</w:t>
      </w:r>
      <w:r w:rsidR="09F095B8" w:rsidRPr="00C10C7D">
        <w:rPr>
          <w:rFonts w:ascii="Times New Roman" w:eastAsia="Times New Roman" w:hAnsi="Times New Roman" w:cs="Times New Roman"/>
          <w:color w:val="000000" w:themeColor="text1"/>
          <w:sz w:val="24"/>
          <w:szCs w:val="24"/>
        </w:rPr>
        <w:t>, z późn. zm.), zwaną dalej również „</w:t>
      </w:r>
      <w:r w:rsidR="2CAB52CF" w:rsidRPr="00C10C7D">
        <w:rPr>
          <w:rFonts w:ascii="Times New Roman" w:eastAsia="Times New Roman" w:hAnsi="Times New Roman" w:cs="Times New Roman"/>
          <w:color w:val="000000" w:themeColor="text1"/>
          <w:sz w:val="24"/>
          <w:szCs w:val="24"/>
        </w:rPr>
        <w:t>P</w:t>
      </w:r>
      <w:r w:rsidR="29D12B6D" w:rsidRPr="00C10C7D">
        <w:rPr>
          <w:rFonts w:ascii="Times New Roman" w:eastAsia="Times New Roman" w:hAnsi="Times New Roman" w:cs="Times New Roman"/>
          <w:color w:val="000000" w:themeColor="text1"/>
          <w:sz w:val="24"/>
          <w:szCs w:val="24"/>
        </w:rPr>
        <w:t>t</w:t>
      </w:r>
      <w:r w:rsidR="09F095B8" w:rsidRPr="00C10C7D">
        <w:rPr>
          <w:rFonts w:ascii="Times New Roman" w:eastAsia="Times New Roman" w:hAnsi="Times New Roman" w:cs="Times New Roman"/>
          <w:color w:val="000000" w:themeColor="text1"/>
          <w:sz w:val="24"/>
          <w:szCs w:val="24"/>
        </w:rPr>
        <w:t>”</w:t>
      </w:r>
      <w:r w:rsidR="0D698E9D" w:rsidRPr="00C10C7D">
        <w:rPr>
          <w:rFonts w:ascii="Times New Roman" w:eastAsia="Times New Roman" w:hAnsi="Times New Roman" w:cs="Times New Roman"/>
          <w:color w:val="000000" w:themeColor="text1"/>
          <w:sz w:val="24"/>
          <w:szCs w:val="24"/>
        </w:rPr>
        <w:t xml:space="preserve"> lub </w:t>
      </w:r>
      <w:r w:rsidR="3473DEB7" w:rsidRPr="00C10C7D">
        <w:rPr>
          <w:rFonts w:ascii="Times New Roman" w:eastAsia="Times New Roman" w:hAnsi="Times New Roman" w:cs="Times New Roman"/>
          <w:color w:val="000000" w:themeColor="text1"/>
          <w:sz w:val="24"/>
          <w:szCs w:val="24"/>
        </w:rPr>
        <w:t>„</w:t>
      </w:r>
      <w:r w:rsidR="0D698E9D" w:rsidRPr="00C10C7D">
        <w:rPr>
          <w:rFonts w:ascii="Times New Roman" w:eastAsia="Times New Roman" w:hAnsi="Times New Roman" w:cs="Times New Roman"/>
          <w:color w:val="000000" w:themeColor="text1"/>
          <w:sz w:val="24"/>
          <w:szCs w:val="24"/>
        </w:rPr>
        <w:t>ustawą Pt”</w:t>
      </w:r>
      <w:r w:rsidR="09F095B8" w:rsidRPr="00C10C7D">
        <w:rPr>
          <w:rFonts w:ascii="Times New Roman" w:eastAsia="Times New Roman" w:hAnsi="Times New Roman" w:cs="Times New Roman"/>
          <w:color w:val="000000" w:themeColor="text1"/>
          <w:sz w:val="24"/>
          <w:szCs w:val="24"/>
        </w:rPr>
        <w:t xml:space="preserve">. Biorąc pod uwagę wielość zmian koniecznych do wprowadzenia w odrębnych ustawach, związanych z zastąpieniem obecnie obowiązującej ustawy – </w:t>
      </w:r>
      <w:r w:rsidR="2D546954" w:rsidRPr="00CE1978">
        <w:rPr>
          <w:rFonts w:ascii="Times New Roman" w:eastAsia="Times New Roman" w:hAnsi="Times New Roman" w:cs="Times New Roman"/>
          <w:color w:val="000000" w:themeColor="text1"/>
          <w:sz w:val="24"/>
          <w:szCs w:val="24"/>
        </w:rPr>
        <w:t>P</w:t>
      </w:r>
      <w:r w:rsidR="10D7208A" w:rsidRPr="00CE1978">
        <w:rPr>
          <w:rFonts w:ascii="Times New Roman" w:eastAsia="Times New Roman" w:hAnsi="Times New Roman" w:cs="Times New Roman"/>
          <w:color w:val="000000" w:themeColor="text1"/>
          <w:sz w:val="24"/>
          <w:szCs w:val="24"/>
        </w:rPr>
        <w:t>t</w:t>
      </w:r>
      <w:r w:rsidR="09F095B8" w:rsidRPr="00CE1978">
        <w:rPr>
          <w:rFonts w:ascii="Times New Roman" w:eastAsia="Times New Roman" w:hAnsi="Times New Roman" w:cs="Times New Roman"/>
          <w:color w:val="000000" w:themeColor="text1"/>
          <w:sz w:val="24"/>
          <w:szCs w:val="24"/>
        </w:rPr>
        <w:t xml:space="preserve"> now</w:t>
      </w:r>
      <w:r w:rsidR="3ACD19DB" w:rsidRPr="00CE1978">
        <w:rPr>
          <w:rFonts w:ascii="Times New Roman" w:eastAsia="Times New Roman" w:hAnsi="Times New Roman" w:cs="Times New Roman"/>
          <w:color w:val="000000" w:themeColor="text1"/>
          <w:sz w:val="24"/>
          <w:szCs w:val="24"/>
        </w:rPr>
        <w:t>ą ustawą</w:t>
      </w:r>
      <w:r w:rsidR="09F095B8" w:rsidRPr="00CE1978">
        <w:rPr>
          <w:rFonts w:ascii="Times New Roman" w:eastAsia="Times New Roman" w:hAnsi="Times New Roman" w:cs="Times New Roman"/>
          <w:color w:val="000000" w:themeColor="text1"/>
          <w:sz w:val="24"/>
          <w:szCs w:val="24"/>
        </w:rPr>
        <w:t xml:space="preserve"> </w:t>
      </w:r>
      <w:r w:rsidR="538D5F76" w:rsidRPr="00CE1978">
        <w:rPr>
          <w:rFonts w:ascii="Times New Roman" w:eastAsia="Times New Roman" w:hAnsi="Times New Roman" w:cs="Times New Roman"/>
          <w:color w:val="000000" w:themeColor="text1"/>
          <w:sz w:val="24"/>
          <w:szCs w:val="24"/>
        </w:rPr>
        <w:t>P</w:t>
      </w:r>
      <w:r w:rsidR="78DBBC93" w:rsidRPr="00CE1978">
        <w:rPr>
          <w:rFonts w:ascii="Times New Roman" w:eastAsia="Times New Roman" w:hAnsi="Times New Roman" w:cs="Times New Roman"/>
          <w:color w:val="000000" w:themeColor="text1"/>
          <w:sz w:val="24"/>
          <w:szCs w:val="24"/>
        </w:rPr>
        <w:t>ke</w:t>
      </w:r>
      <w:r w:rsidR="09F095B8" w:rsidRPr="00CE1978">
        <w:rPr>
          <w:rFonts w:ascii="Times New Roman" w:eastAsia="Times New Roman" w:hAnsi="Times New Roman" w:cs="Times New Roman"/>
          <w:color w:val="000000" w:themeColor="text1"/>
          <w:sz w:val="24"/>
          <w:szCs w:val="24"/>
        </w:rPr>
        <w:t xml:space="preserve">, </w:t>
      </w:r>
      <w:r w:rsidR="752E444A" w:rsidRPr="00CE1978">
        <w:rPr>
          <w:rFonts w:ascii="Times New Roman" w:eastAsia="Times New Roman" w:hAnsi="Times New Roman" w:cs="Times New Roman"/>
          <w:color w:val="000000" w:themeColor="text1"/>
          <w:sz w:val="24"/>
          <w:szCs w:val="24"/>
        </w:rPr>
        <w:t xml:space="preserve">implementującą </w:t>
      </w:r>
      <w:r w:rsidR="2FF44FBA" w:rsidRPr="00CE1978">
        <w:rPr>
          <w:rFonts w:ascii="Times New Roman" w:eastAsia="Times New Roman" w:hAnsi="Times New Roman" w:cs="Times New Roman"/>
          <w:color w:val="000000" w:themeColor="text1"/>
          <w:sz w:val="24"/>
          <w:szCs w:val="24"/>
        </w:rPr>
        <w:t>postanowienia Dyrektywy Parlamentu Europejskiego i Rady (UE) 2018/1972 z dnia 11 grudnia 2018 r. ustanawiającej Europejski kodeks łączności elektronicznej</w:t>
      </w:r>
      <w:r w:rsidR="00201618">
        <w:rPr>
          <w:rFonts w:ascii="Times New Roman" w:eastAsia="Times New Roman" w:hAnsi="Times New Roman" w:cs="Times New Roman"/>
          <w:color w:val="000000" w:themeColor="text1"/>
          <w:sz w:val="24"/>
          <w:szCs w:val="24"/>
        </w:rPr>
        <w:t xml:space="preserve"> (Dz. Urz. UE L 321 z </w:t>
      </w:r>
      <w:r w:rsidR="004E0F7F" w:rsidRPr="00CE1978">
        <w:rPr>
          <w:rFonts w:ascii="Times New Roman" w:eastAsia="Times New Roman" w:hAnsi="Times New Roman" w:cs="Times New Roman"/>
          <w:color w:val="000000" w:themeColor="text1"/>
          <w:sz w:val="24"/>
          <w:szCs w:val="24"/>
        </w:rPr>
        <w:t>17.12.2018, str. 36, z późn. zm.)</w:t>
      </w:r>
      <w:r w:rsidR="2FF44FBA" w:rsidRPr="00CE1978">
        <w:rPr>
          <w:rFonts w:ascii="Times New Roman" w:eastAsia="Times New Roman" w:hAnsi="Times New Roman" w:cs="Times New Roman"/>
          <w:color w:val="000000" w:themeColor="text1"/>
          <w:sz w:val="24"/>
          <w:szCs w:val="24"/>
        </w:rPr>
        <w:t xml:space="preserve"> (</w:t>
      </w:r>
      <w:r w:rsidR="3B11D7C1" w:rsidRPr="00CE1978">
        <w:rPr>
          <w:rFonts w:ascii="Times New Roman" w:eastAsia="Times New Roman" w:hAnsi="Times New Roman" w:cs="Times New Roman"/>
          <w:color w:val="000000" w:themeColor="text1"/>
          <w:sz w:val="24"/>
          <w:szCs w:val="24"/>
        </w:rPr>
        <w:t xml:space="preserve">zwaną </w:t>
      </w:r>
      <w:r w:rsidR="2AFDB68D" w:rsidRPr="00CE1978">
        <w:rPr>
          <w:rFonts w:ascii="Times New Roman" w:eastAsia="Times New Roman" w:hAnsi="Times New Roman" w:cs="Times New Roman"/>
          <w:color w:val="000000" w:themeColor="text1"/>
          <w:sz w:val="24"/>
          <w:szCs w:val="24"/>
        </w:rPr>
        <w:t xml:space="preserve">dalej również: </w:t>
      </w:r>
      <w:r w:rsidR="00A7620C" w:rsidRPr="00CE1978">
        <w:rPr>
          <w:rFonts w:ascii="Times New Roman" w:eastAsia="Times New Roman" w:hAnsi="Times New Roman" w:cs="Times New Roman"/>
          <w:color w:val="000000" w:themeColor="text1"/>
          <w:sz w:val="24"/>
          <w:szCs w:val="24"/>
        </w:rPr>
        <w:t>„</w:t>
      </w:r>
      <w:r w:rsidR="2FF44FBA" w:rsidRPr="00CE1978">
        <w:rPr>
          <w:rFonts w:ascii="Times New Roman" w:eastAsia="Times New Roman" w:hAnsi="Times New Roman" w:cs="Times New Roman"/>
          <w:color w:val="000000" w:themeColor="text1"/>
          <w:sz w:val="24"/>
          <w:szCs w:val="24"/>
        </w:rPr>
        <w:t>EKŁE</w:t>
      </w:r>
      <w:r w:rsidR="4DCEF4A1" w:rsidRPr="00CE1978">
        <w:rPr>
          <w:rFonts w:ascii="Times New Roman" w:eastAsia="Times New Roman" w:hAnsi="Times New Roman" w:cs="Times New Roman"/>
          <w:color w:val="000000" w:themeColor="text1"/>
          <w:sz w:val="24"/>
          <w:szCs w:val="24"/>
        </w:rPr>
        <w:t>”</w:t>
      </w:r>
      <w:r w:rsidR="2FF44FBA" w:rsidRPr="00CE1978">
        <w:rPr>
          <w:rFonts w:ascii="Times New Roman" w:eastAsia="Times New Roman" w:hAnsi="Times New Roman" w:cs="Times New Roman"/>
          <w:color w:val="000000" w:themeColor="text1"/>
          <w:sz w:val="24"/>
          <w:szCs w:val="24"/>
        </w:rPr>
        <w:t>),</w:t>
      </w:r>
      <w:r w:rsidR="09F095B8" w:rsidRPr="00CE1978">
        <w:rPr>
          <w:rFonts w:ascii="Times New Roman" w:eastAsia="Times New Roman" w:hAnsi="Times New Roman" w:cs="Times New Roman"/>
          <w:color w:val="000000" w:themeColor="text1"/>
          <w:sz w:val="24"/>
          <w:szCs w:val="24"/>
        </w:rPr>
        <w:t xml:space="preserve"> zasadne jest uregulowanie zmian, przepisów przejściowych oraz dostosowujących w odrębnej </w:t>
      </w:r>
      <w:r w:rsidR="00115D34" w:rsidRPr="00CE1978">
        <w:rPr>
          <w:rFonts w:ascii="Times New Roman" w:eastAsia="Times New Roman" w:hAnsi="Times New Roman" w:cs="Times New Roman"/>
          <w:color w:val="000000" w:themeColor="text1"/>
          <w:sz w:val="24"/>
          <w:szCs w:val="24"/>
        </w:rPr>
        <w:t>ustawie wprowadzającej ustawę – Prawo</w:t>
      </w:r>
      <w:r w:rsidR="09F095B8" w:rsidRPr="00CE1978">
        <w:rPr>
          <w:rFonts w:ascii="Times New Roman" w:eastAsia="Times New Roman" w:hAnsi="Times New Roman" w:cs="Times New Roman"/>
          <w:color w:val="000000" w:themeColor="text1"/>
          <w:sz w:val="24"/>
          <w:szCs w:val="24"/>
        </w:rPr>
        <w:t xml:space="preserve"> </w:t>
      </w:r>
      <w:r w:rsidR="415AA269" w:rsidRPr="00CE1978">
        <w:rPr>
          <w:rFonts w:ascii="Times New Roman" w:eastAsia="Times New Roman" w:hAnsi="Times New Roman" w:cs="Times New Roman"/>
          <w:color w:val="000000" w:themeColor="text1"/>
          <w:sz w:val="24"/>
          <w:szCs w:val="24"/>
        </w:rPr>
        <w:t>komunikacji elektronicznej</w:t>
      </w:r>
      <w:r w:rsidR="09F095B8" w:rsidRPr="00CE1978">
        <w:rPr>
          <w:rFonts w:ascii="Times New Roman" w:eastAsia="Times New Roman" w:hAnsi="Times New Roman" w:cs="Times New Roman"/>
          <w:color w:val="000000" w:themeColor="text1"/>
          <w:sz w:val="24"/>
          <w:szCs w:val="24"/>
        </w:rPr>
        <w:t xml:space="preserve">. </w:t>
      </w:r>
    </w:p>
    <w:p w14:paraId="5D161EBA" w14:textId="431F19B1" w:rsidR="09F095B8" w:rsidRPr="00CE1978" w:rsidRDefault="09F095B8" w:rsidP="00F91F34">
      <w:pPr>
        <w:pStyle w:val="ARTartustawynprozporzdzenia"/>
        <w:ind w:firstLine="0"/>
        <w:rPr>
          <w:rFonts w:ascii="Times New Roman" w:eastAsia="Times New Roman" w:hAnsi="Times New Roman" w:cs="Times New Roman"/>
          <w:color w:val="000000" w:themeColor="text1"/>
          <w:szCs w:val="24"/>
        </w:rPr>
      </w:pPr>
      <w:r w:rsidRPr="00CE1978">
        <w:rPr>
          <w:rFonts w:ascii="Times New Roman" w:eastAsia="Times New Roman" w:hAnsi="Times New Roman" w:cs="Times New Roman"/>
          <w:color w:val="000000" w:themeColor="text1"/>
          <w:szCs w:val="24"/>
        </w:rPr>
        <w:t xml:space="preserve">Ustawa, w art. 1, reguluje termin wejścia w życie tzw. ustawy głównej, tj. </w:t>
      </w:r>
      <w:r w:rsidR="6E4DA618" w:rsidRPr="00CE1978">
        <w:rPr>
          <w:rFonts w:ascii="Times New Roman" w:eastAsia="Times New Roman" w:hAnsi="Times New Roman" w:cs="Times New Roman"/>
          <w:color w:val="000000" w:themeColor="text1"/>
          <w:szCs w:val="24"/>
        </w:rPr>
        <w:t>u</w:t>
      </w:r>
      <w:r w:rsidRPr="00CE1978">
        <w:rPr>
          <w:rFonts w:ascii="Times New Roman" w:eastAsia="Times New Roman" w:hAnsi="Times New Roman" w:cs="Times New Roman"/>
          <w:color w:val="000000" w:themeColor="text1"/>
          <w:szCs w:val="24"/>
        </w:rPr>
        <w:t>stawy</w:t>
      </w:r>
      <w:r w:rsidR="087ADB76" w:rsidRPr="00CE1978">
        <w:rPr>
          <w:rFonts w:ascii="Times New Roman" w:eastAsia="Times New Roman" w:hAnsi="Times New Roman" w:cs="Times New Roman"/>
          <w:color w:val="000000" w:themeColor="text1"/>
          <w:szCs w:val="24"/>
        </w:rPr>
        <w:t xml:space="preserve"> </w:t>
      </w:r>
      <w:r w:rsidRPr="00CE1978">
        <w:rPr>
          <w:rFonts w:ascii="Times New Roman" w:eastAsia="Times New Roman" w:hAnsi="Times New Roman" w:cs="Times New Roman"/>
          <w:color w:val="000000" w:themeColor="text1"/>
          <w:szCs w:val="24"/>
        </w:rPr>
        <w:t xml:space="preserve">– Prawo </w:t>
      </w:r>
      <w:r w:rsidR="0866CA01" w:rsidRPr="00CE1978">
        <w:rPr>
          <w:rFonts w:ascii="Times New Roman" w:eastAsia="Times New Roman" w:hAnsi="Times New Roman" w:cs="Times New Roman"/>
          <w:color w:val="000000" w:themeColor="text1"/>
          <w:szCs w:val="24"/>
        </w:rPr>
        <w:t>komunikacji elektronicznej</w:t>
      </w:r>
      <w:r w:rsidRPr="00CE1978">
        <w:rPr>
          <w:rFonts w:ascii="Times New Roman" w:eastAsia="Times New Roman" w:hAnsi="Times New Roman" w:cs="Times New Roman"/>
          <w:color w:val="000000" w:themeColor="text1"/>
          <w:szCs w:val="24"/>
        </w:rPr>
        <w:t xml:space="preserve">, która </w:t>
      </w:r>
      <w:r w:rsidR="6F7A4521" w:rsidRPr="00CE1978">
        <w:rPr>
          <w:rFonts w:ascii="Times New Roman" w:eastAsia="Times New Roman" w:hAnsi="Times New Roman" w:cs="Times New Roman"/>
          <w:color w:val="000000" w:themeColor="text1"/>
          <w:szCs w:val="24"/>
        </w:rPr>
        <w:t xml:space="preserve">powinna </w:t>
      </w:r>
      <w:r w:rsidRPr="00CE1978">
        <w:rPr>
          <w:rFonts w:ascii="Times New Roman" w:eastAsia="Times New Roman" w:hAnsi="Times New Roman" w:cs="Times New Roman"/>
          <w:color w:val="000000" w:themeColor="text1"/>
          <w:szCs w:val="24"/>
        </w:rPr>
        <w:t xml:space="preserve">wejść w życie </w:t>
      </w:r>
      <w:r w:rsidR="5EEBFFDC" w:rsidRPr="00CE1978">
        <w:rPr>
          <w:rFonts w:ascii="Times New Roman" w:eastAsia="Times New Roman" w:hAnsi="Times New Roman" w:cs="Times New Roman"/>
          <w:color w:val="000000" w:themeColor="text1"/>
          <w:szCs w:val="24"/>
        </w:rPr>
        <w:t>po upływie 6 miesięcy od dnia ogłoszenia</w:t>
      </w:r>
      <w:r w:rsidRPr="00CE1978">
        <w:rPr>
          <w:rFonts w:ascii="Times New Roman" w:eastAsia="Times New Roman" w:hAnsi="Times New Roman" w:cs="Times New Roman"/>
          <w:color w:val="000000" w:themeColor="text1"/>
          <w:szCs w:val="24"/>
        </w:rPr>
        <w:t>.</w:t>
      </w:r>
      <w:r w:rsidR="51317BF6" w:rsidRPr="00CE1978">
        <w:rPr>
          <w:rFonts w:ascii="Times New Roman" w:eastAsia="Times New Roman" w:hAnsi="Times New Roman" w:cs="Times New Roman"/>
          <w:color w:val="000000" w:themeColor="text1"/>
          <w:szCs w:val="24"/>
        </w:rPr>
        <w:t xml:space="preserve"> </w:t>
      </w:r>
      <w:r w:rsidR="6AE7177E" w:rsidRPr="00CE1978">
        <w:rPr>
          <w:rFonts w:ascii="Times New Roman" w:eastAsia="Times New Roman" w:hAnsi="Times New Roman" w:cs="Times New Roman"/>
          <w:color w:val="000000" w:themeColor="text1"/>
          <w:szCs w:val="24"/>
        </w:rPr>
        <w:t>Należy wskazać, że w art. 124 EKŁE został określony termin transpozycji tej dyrektywy, która powinna nastąpić do 21 grudnia 202</w:t>
      </w:r>
      <w:r w:rsidR="578A1178" w:rsidRPr="00CE1978">
        <w:rPr>
          <w:rFonts w:ascii="Times New Roman" w:eastAsia="Times New Roman" w:hAnsi="Times New Roman" w:cs="Times New Roman"/>
          <w:color w:val="000000" w:themeColor="text1"/>
          <w:szCs w:val="24"/>
        </w:rPr>
        <w:t>0</w:t>
      </w:r>
      <w:r w:rsidR="6AE7177E" w:rsidRPr="00CE1978">
        <w:rPr>
          <w:rFonts w:ascii="Times New Roman" w:eastAsia="Times New Roman" w:hAnsi="Times New Roman" w:cs="Times New Roman"/>
          <w:color w:val="000000" w:themeColor="text1"/>
          <w:szCs w:val="24"/>
        </w:rPr>
        <w:t xml:space="preserve"> r.</w:t>
      </w:r>
      <w:r w:rsidR="7E861F11" w:rsidRPr="00CE1978">
        <w:rPr>
          <w:rFonts w:ascii="Times New Roman" w:eastAsia="Times New Roman" w:hAnsi="Times New Roman" w:cs="Times New Roman"/>
          <w:color w:val="000000" w:themeColor="text1"/>
          <w:szCs w:val="24"/>
        </w:rPr>
        <w:t xml:space="preserve"> </w:t>
      </w:r>
      <w:r w:rsidR="4A283F9B" w:rsidRPr="00CE1978">
        <w:rPr>
          <w:rFonts w:ascii="Times New Roman" w:eastAsia="Times New Roman" w:hAnsi="Times New Roman" w:cs="Times New Roman"/>
          <w:color w:val="000000" w:themeColor="text1"/>
          <w:szCs w:val="24"/>
        </w:rPr>
        <w:t>Z</w:t>
      </w:r>
      <w:r w:rsidR="7E861F11" w:rsidRPr="00CE1978">
        <w:rPr>
          <w:rFonts w:ascii="Times New Roman" w:eastAsia="Times New Roman" w:hAnsi="Times New Roman" w:cs="Times New Roman"/>
          <w:color w:val="000000" w:themeColor="text1"/>
          <w:szCs w:val="24"/>
        </w:rPr>
        <w:t xml:space="preserve"> uwagi na li</w:t>
      </w:r>
      <w:r w:rsidR="3FD354EB" w:rsidRPr="00CE1978">
        <w:rPr>
          <w:rFonts w:ascii="Times New Roman" w:eastAsia="Times New Roman" w:hAnsi="Times New Roman" w:cs="Times New Roman"/>
          <w:color w:val="000000" w:themeColor="text1"/>
          <w:szCs w:val="24"/>
        </w:rPr>
        <w:t>czne uwagi przedsiębiorców zgłaszane w trakcie konsultacji</w:t>
      </w:r>
      <w:r w:rsidR="6AE7177E" w:rsidRPr="00CE1978">
        <w:rPr>
          <w:rFonts w:ascii="Times New Roman" w:eastAsia="Times New Roman" w:hAnsi="Times New Roman" w:cs="Times New Roman"/>
          <w:color w:val="000000" w:themeColor="text1"/>
          <w:szCs w:val="24"/>
        </w:rPr>
        <w:t xml:space="preserve"> </w:t>
      </w:r>
      <w:r w:rsidR="7FB83D25" w:rsidRPr="00CE1978">
        <w:rPr>
          <w:rFonts w:ascii="Times New Roman" w:eastAsia="Times New Roman" w:hAnsi="Times New Roman" w:cs="Times New Roman"/>
          <w:color w:val="000000" w:themeColor="text1"/>
          <w:szCs w:val="24"/>
        </w:rPr>
        <w:t xml:space="preserve">ustawy Pke oraz ustawy wprowadzającej Pke zdecydowano </w:t>
      </w:r>
      <w:r w:rsidR="4A1ADB74" w:rsidRPr="00CE1978">
        <w:rPr>
          <w:rFonts w:ascii="Times New Roman" w:eastAsia="Times New Roman" w:hAnsi="Times New Roman" w:cs="Times New Roman"/>
          <w:color w:val="000000" w:themeColor="text1"/>
          <w:szCs w:val="24"/>
        </w:rPr>
        <w:t>się</w:t>
      </w:r>
      <w:r w:rsidR="6AE7177E" w:rsidRPr="00CE1978">
        <w:rPr>
          <w:rFonts w:ascii="Times New Roman" w:eastAsia="Times New Roman" w:hAnsi="Times New Roman" w:cs="Times New Roman"/>
          <w:color w:val="000000" w:themeColor="text1"/>
          <w:szCs w:val="24"/>
        </w:rPr>
        <w:t xml:space="preserve"> </w:t>
      </w:r>
      <w:r w:rsidR="5407D30F" w:rsidRPr="00CE1978">
        <w:rPr>
          <w:rFonts w:ascii="Times New Roman" w:eastAsia="Times New Roman" w:hAnsi="Times New Roman" w:cs="Times New Roman"/>
          <w:color w:val="000000" w:themeColor="text1"/>
          <w:szCs w:val="24"/>
        </w:rPr>
        <w:t xml:space="preserve">na wydłużenie vacatio legis, tak aby wszystkie podmioty, na które Pke nakłada nowe obowiązki </w:t>
      </w:r>
      <w:r w:rsidR="33EB6646" w:rsidRPr="00CE1978">
        <w:rPr>
          <w:rFonts w:ascii="Times New Roman" w:eastAsia="Times New Roman" w:hAnsi="Times New Roman" w:cs="Times New Roman"/>
          <w:color w:val="000000" w:themeColor="text1"/>
          <w:szCs w:val="24"/>
        </w:rPr>
        <w:t>miały czas się do nich przygotować.</w:t>
      </w:r>
    </w:p>
    <w:p w14:paraId="34A59F1C" w14:textId="7A0DFFDF" w:rsidR="00B14ACB" w:rsidRPr="00CE1978" w:rsidRDefault="00B14ACB" w:rsidP="00F91F34">
      <w:pPr>
        <w:pStyle w:val="ARTartustawynprozporzdzenia"/>
        <w:ind w:firstLine="0"/>
        <w:rPr>
          <w:rFonts w:ascii="Times New Roman" w:eastAsia="Times New Roman" w:hAnsi="Times New Roman" w:cs="Times New Roman"/>
          <w:color w:val="000000" w:themeColor="text1"/>
          <w:szCs w:val="24"/>
        </w:rPr>
      </w:pPr>
      <w:r w:rsidRPr="00CE1978">
        <w:rPr>
          <w:rFonts w:ascii="Times New Roman" w:eastAsia="Times New Roman" w:hAnsi="Times New Roman" w:cs="Times New Roman"/>
          <w:color w:val="000000" w:themeColor="text1"/>
          <w:szCs w:val="24"/>
        </w:rPr>
        <w:t>Wyjątkiem od ogólnego terminu wejścia w życie Pke jest regulacja wynikająca z art.</w:t>
      </w:r>
      <w:r w:rsidR="00A13469" w:rsidRPr="00CE1978">
        <w:rPr>
          <w:rFonts w:ascii="Times New Roman" w:eastAsia="Times New Roman" w:hAnsi="Times New Roman" w:cs="Times New Roman"/>
          <w:color w:val="000000" w:themeColor="text1"/>
          <w:szCs w:val="24"/>
        </w:rPr>
        <w:t xml:space="preserve"> 29</w:t>
      </w:r>
      <w:r w:rsidRPr="00CE1978">
        <w:rPr>
          <w:rFonts w:ascii="Times New Roman" w:eastAsia="Times New Roman" w:hAnsi="Times New Roman" w:cs="Times New Roman"/>
          <w:color w:val="000000" w:themeColor="text1"/>
          <w:szCs w:val="24"/>
        </w:rPr>
        <w:t>5 ust. 1 dotycząca maksymalnego okresu na jaki mogą być zawierane umowy w zakresie usług telekomunikacyjnych, z wyłączeniem usług transmisji danych używanych do świadczenia usług komunikacji maszyna-maszyna. Uprawnienie konsumenckie limitujące długość trwania umowy z dostawcą usług jest bardzo ważne z punktu widzenia interesów konsumenta</w:t>
      </w:r>
      <w:r w:rsidR="00F03555" w:rsidRPr="00CE1978">
        <w:rPr>
          <w:rFonts w:ascii="Times New Roman" w:eastAsia="Times New Roman" w:hAnsi="Times New Roman" w:cs="Times New Roman"/>
          <w:color w:val="000000" w:themeColor="text1"/>
          <w:szCs w:val="24"/>
        </w:rPr>
        <w:t xml:space="preserve">, gdyż uniemożliwia związanie konsumenta z danym dostawcą na </w:t>
      </w:r>
      <w:r w:rsidR="00201618">
        <w:rPr>
          <w:rFonts w:ascii="Times New Roman" w:eastAsia="Times New Roman" w:hAnsi="Times New Roman" w:cs="Times New Roman"/>
          <w:color w:val="000000" w:themeColor="text1"/>
          <w:szCs w:val="24"/>
        </w:rPr>
        <w:t>okres dłuższy niż 24 miesiące i </w:t>
      </w:r>
      <w:r w:rsidR="00F03555" w:rsidRPr="00CE1978">
        <w:rPr>
          <w:rFonts w:ascii="Times New Roman" w:eastAsia="Times New Roman" w:hAnsi="Times New Roman" w:cs="Times New Roman"/>
          <w:color w:val="000000" w:themeColor="text1"/>
          <w:szCs w:val="24"/>
        </w:rPr>
        <w:t xml:space="preserve">pozwala na częstsze niż dotychczas korzystanie z różnorodności wyboru zarówno samej usługi jak i jej dostawcy. Należy wspomnieć, że obecnie na rynku oferowane są umowy trwające 36, a czasem nawet 48 miesięcy, co nie zawsze z punktu widzenia konsumenta może być pożądane, gdyż w tak długim okresie zobowiązaniowym na rynku pojawiać się mogą korzystniejsze oferty, z których konsument nie może swobodnie skorzystać, bez ryzyka konieczności zwrotu ulgi udzielonej przy zawarciu umowy. W związku z tym zasadnym jest </w:t>
      </w:r>
      <w:r w:rsidR="00F03555" w:rsidRPr="00CE1978">
        <w:rPr>
          <w:rFonts w:ascii="Times New Roman" w:eastAsia="Times New Roman" w:hAnsi="Times New Roman" w:cs="Times New Roman"/>
          <w:color w:val="000000" w:themeColor="text1"/>
          <w:szCs w:val="24"/>
        </w:rPr>
        <w:lastRenderedPageBreak/>
        <w:t xml:space="preserve">aby przepis regulujący długość trwania umów wszedł w życie </w:t>
      </w:r>
      <w:r w:rsidR="00B65679" w:rsidRPr="00CE1978">
        <w:rPr>
          <w:rFonts w:ascii="Times New Roman" w:eastAsia="Times New Roman" w:hAnsi="Times New Roman" w:cs="Times New Roman"/>
          <w:color w:val="000000" w:themeColor="text1"/>
          <w:szCs w:val="24"/>
        </w:rPr>
        <w:t>w terminie 7 dni od dnia ogłoszenia ustawy</w:t>
      </w:r>
      <w:r w:rsidR="00F03555" w:rsidRPr="00CE1978">
        <w:rPr>
          <w:rFonts w:ascii="Times New Roman" w:eastAsia="Times New Roman" w:hAnsi="Times New Roman" w:cs="Times New Roman"/>
          <w:color w:val="000000" w:themeColor="text1"/>
          <w:szCs w:val="24"/>
        </w:rPr>
        <w:t>, eliminując tym samym możliwość</w:t>
      </w:r>
      <w:r w:rsidR="00201618">
        <w:rPr>
          <w:rFonts w:ascii="Times New Roman" w:eastAsia="Times New Roman" w:hAnsi="Times New Roman" w:cs="Times New Roman"/>
          <w:color w:val="000000" w:themeColor="text1"/>
          <w:szCs w:val="24"/>
        </w:rPr>
        <w:t xml:space="preserve"> zawierania od tego dnia umów z </w:t>
      </w:r>
      <w:r w:rsidR="00F03555" w:rsidRPr="00CE1978">
        <w:rPr>
          <w:rFonts w:ascii="Times New Roman" w:eastAsia="Times New Roman" w:hAnsi="Times New Roman" w:cs="Times New Roman"/>
          <w:color w:val="000000" w:themeColor="text1"/>
          <w:szCs w:val="24"/>
        </w:rPr>
        <w:t>konsumentami na okres dłuższy niż 24 miesiące.</w:t>
      </w:r>
    </w:p>
    <w:p w14:paraId="21AA36F5" w14:textId="073907B6" w:rsidR="74237E39" w:rsidRPr="00C10C7D" w:rsidRDefault="00DB3E14" w:rsidP="00F91F34">
      <w:pPr>
        <w:pStyle w:val="ARTartustawynprozporzdzenia"/>
        <w:ind w:firstLine="0"/>
        <w:rPr>
          <w:rFonts w:ascii="Times New Roman" w:eastAsia="Times New Roman" w:hAnsi="Times New Roman" w:cs="Times New Roman"/>
          <w:szCs w:val="24"/>
        </w:rPr>
      </w:pPr>
      <w:r w:rsidRPr="00CE1978">
        <w:rPr>
          <w:rFonts w:ascii="Times New Roman" w:eastAsia="Times New Roman" w:hAnsi="Times New Roman" w:cs="Times New Roman"/>
          <w:color w:val="000000" w:themeColor="text1"/>
          <w:szCs w:val="24"/>
        </w:rPr>
        <w:t>Dodatkowym</w:t>
      </w:r>
      <w:r w:rsidR="00D1620C" w:rsidRPr="00CE1978">
        <w:rPr>
          <w:rFonts w:ascii="Times New Roman" w:eastAsia="Times New Roman" w:hAnsi="Times New Roman" w:cs="Times New Roman"/>
          <w:color w:val="000000" w:themeColor="text1"/>
          <w:szCs w:val="24"/>
        </w:rPr>
        <w:t xml:space="preserve"> wyjątkiem jest </w:t>
      </w:r>
      <w:r w:rsidRPr="00CE1978">
        <w:rPr>
          <w:rFonts w:ascii="Times New Roman" w:eastAsia="Times New Roman" w:hAnsi="Times New Roman" w:cs="Times New Roman"/>
          <w:szCs w:val="24"/>
        </w:rPr>
        <w:t>a</w:t>
      </w:r>
      <w:r w:rsidR="74237E39" w:rsidRPr="00CE1978">
        <w:rPr>
          <w:rFonts w:ascii="Times New Roman" w:eastAsia="Times New Roman" w:hAnsi="Times New Roman" w:cs="Times New Roman"/>
          <w:szCs w:val="24"/>
        </w:rPr>
        <w:t xml:space="preserve">rt. 26 ust. </w:t>
      </w:r>
      <w:r w:rsidR="00D1620C" w:rsidRPr="00CE1978">
        <w:rPr>
          <w:rFonts w:ascii="Times New Roman" w:eastAsia="Times New Roman" w:hAnsi="Times New Roman" w:cs="Times New Roman"/>
          <w:szCs w:val="24"/>
        </w:rPr>
        <w:t>6</w:t>
      </w:r>
      <w:r w:rsidR="00532F3A">
        <w:rPr>
          <w:rFonts w:ascii="Times New Roman" w:eastAsia="Times New Roman" w:hAnsi="Times New Roman" w:cs="Times New Roman"/>
          <w:szCs w:val="24"/>
        </w:rPr>
        <w:t>–</w:t>
      </w:r>
      <w:r w:rsidR="00D1620C" w:rsidRPr="00532F3A">
        <w:rPr>
          <w:rFonts w:ascii="Times New Roman" w:eastAsia="Times New Roman" w:hAnsi="Times New Roman" w:cs="Times New Roman"/>
          <w:szCs w:val="24"/>
        </w:rPr>
        <w:t>8</w:t>
      </w:r>
      <w:r w:rsidRPr="00532F3A">
        <w:rPr>
          <w:rFonts w:ascii="Times New Roman" w:eastAsia="Times New Roman" w:hAnsi="Times New Roman" w:cs="Times New Roman"/>
          <w:szCs w:val="24"/>
        </w:rPr>
        <w:t>, który</w:t>
      </w:r>
      <w:r w:rsidR="74237E39" w:rsidRPr="00532F3A">
        <w:rPr>
          <w:rFonts w:ascii="Times New Roman" w:eastAsia="Times New Roman" w:hAnsi="Times New Roman" w:cs="Times New Roman"/>
          <w:szCs w:val="24"/>
        </w:rPr>
        <w:t xml:space="preserve"> wejdzie w życie po upływie 7 dni od dnia ogłoszenia, co</w:t>
      </w:r>
      <w:r w:rsidR="00AD2894" w:rsidRPr="00532F3A">
        <w:rPr>
          <w:rFonts w:ascii="Times New Roman" w:eastAsia="Times New Roman" w:hAnsi="Times New Roman" w:cs="Times New Roman"/>
          <w:szCs w:val="24"/>
        </w:rPr>
        <w:t xml:space="preserve"> </w:t>
      </w:r>
      <w:r w:rsidR="74237E39" w:rsidRPr="00532F3A">
        <w:rPr>
          <w:rFonts w:ascii="Times New Roman" w:eastAsia="Times New Roman" w:hAnsi="Times New Roman" w:cs="Times New Roman"/>
          <w:szCs w:val="24"/>
        </w:rPr>
        <w:t xml:space="preserve">w połączeniu z art. </w:t>
      </w:r>
      <w:r w:rsidR="00C94F03" w:rsidRPr="00532F3A">
        <w:rPr>
          <w:rFonts w:ascii="Times New Roman" w:eastAsia="Times New Roman" w:hAnsi="Times New Roman" w:cs="Times New Roman"/>
          <w:szCs w:val="24"/>
        </w:rPr>
        <w:t>115</w:t>
      </w:r>
      <w:r w:rsidR="00532F3A">
        <w:rPr>
          <w:rFonts w:ascii="Times New Roman" w:eastAsia="Times New Roman" w:hAnsi="Times New Roman" w:cs="Times New Roman"/>
          <w:szCs w:val="24"/>
        </w:rPr>
        <w:t>–</w:t>
      </w:r>
      <w:r w:rsidR="00C94F03" w:rsidRPr="00532F3A">
        <w:rPr>
          <w:rFonts w:ascii="Times New Roman" w:eastAsia="Times New Roman" w:hAnsi="Times New Roman" w:cs="Times New Roman"/>
          <w:szCs w:val="24"/>
        </w:rPr>
        <w:t xml:space="preserve">117 </w:t>
      </w:r>
      <w:r w:rsidR="00E76880" w:rsidRPr="00532F3A">
        <w:rPr>
          <w:rFonts w:ascii="Times New Roman" w:eastAsia="Times New Roman" w:hAnsi="Times New Roman" w:cs="Times New Roman"/>
          <w:color w:val="000000" w:themeColor="text1"/>
          <w:szCs w:val="24"/>
        </w:rPr>
        <w:t>u</w:t>
      </w:r>
      <w:r w:rsidR="00303E09" w:rsidRPr="00532F3A">
        <w:rPr>
          <w:rFonts w:ascii="Times New Roman" w:eastAsia="Times New Roman" w:hAnsi="Times New Roman" w:cs="Times New Roman"/>
          <w:color w:val="000000" w:themeColor="text1"/>
          <w:szCs w:val="24"/>
        </w:rPr>
        <w:t xml:space="preserve">stawy wprowadzającej ustawę – </w:t>
      </w:r>
      <w:r w:rsidR="00115D34" w:rsidRPr="00532F3A">
        <w:rPr>
          <w:rFonts w:ascii="Times New Roman" w:eastAsia="Times New Roman" w:hAnsi="Times New Roman" w:cs="Times New Roman"/>
          <w:color w:val="000000" w:themeColor="text1"/>
          <w:szCs w:val="24"/>
        </w:rPr>
        <w:t xml:space="preserve">Prawo </w:t>
      </w:r>
      <w:r w:rsidR="09F095B8" w:rsidRPr="00532F3A">
        <w:rPr>
          <w:rFonts w:ascii="Times New Roman" w:eastAsia="Times New Roman" w:hAnsi="Times New Roman" w:cs="Times New Roman"/>
          <w:color w:val="000000" w:themeColor="text1"/>
          <w:szCs w:val="24"/>
        </w:rPr>
        <w:t>komunikacji elektronicznej</w:t>
      </w:r>
      <w:r w:rsidR="74237E39" w:rsidRPr="00532F3A">
        <w:rPr>
          <w:rFonts w:ascii="Times New Roman" w:eastAsia="Times New Roman" w:hAnsi="Times New Roman" w:cs="Times New Roman"/>
          <w:szCs w:val="24"/>
        </w:rPr>
        <w:t xml:space="preserve"> zapewni możliwość utworzenia r</w:t>
      </w:r>
      <w:r w:rsidR="00201618">
        <w:rPr>
          <w:rFonts w:ascii="Times New Roman" w:eastAsia="Times New Roman" w:hAnsi="Times New Roman" w:cs="Times New Roman"/>
          <w:szCs w:val="24"/>
        </w:rPr>
        <w:t>ezerwy celowej, o której mowa w </w:t>
      </w:r>
      <w:r w:rsidR="74237E39" w:rsidRPr="00532F3A">
        <w:rPr>
          <w:rFonts w:ascii="Times New Roman" w:eastAsia="Times New Roman" w:hAnsi="Times New Roman" w:cs="Times New Roman"/>
          <w:szCs w:val="24"/>
        </w:rPr>
        <w:t xml:space="preserve">art. </w:t>
      </w:r>
      <w:r w:rsidR="00D1620C" w:rsidRPr="00CE1978">
        <w:rPr>
          <w:rFonts w:ascii="Times New Roman" w:eastAsia="Times New Roman" w:hAnsi="Times New Roman" w:cs="Times New Roman"/>
          <w:szCs w:val="24"/>
        </w:rPr>
        <w:t xml:space="preserve">26 </w:t>
      </w:r>
      <w:r w:rsidR="74237E39" w:rsidRPr="00CE1978">
        <w:rPr>
          <w:rFonts w:ascii="Times New Roman" w:eastAsia="Times New Roman" w:hAnsi="Times New Roman" w:cs="Times New Roman"/>
          <w:szCs w:val="24"/>
        </w:rPr>
        <w:t xml:space="preserve">ust. </w:t>
      </w:r>
      <w:r w:rsidR="00D1620C" w:rsidRPr="00C10C7D">
        <w:rPr>
          <w:rFonts w:ascii="Times New Roman" w:eastAsia="Times New Roman" w:hAnsi="Times New Roman" w:cs="Times New Roman"/>
          <w:szCs w:val="24"/>
        </w:rPr>
        <w:t xml:space="preserve">6 </w:t>
      </w:r>
      <w:r w:rsidR="74237E39" w:rsidRPr="00C10C7D">
        <w:rPr>
          <w:rFonts w:ascii="Times New Roman" w:eastAsia="Times New Roman" w:hAnsi="Times New Roman" w:cs="Times New Roman"/>
          <w:szCs w:val="24"/>
        </w:rPr>
        <w:t>Pke,</w:t>
      </w:r>
      <w:r w:rsidRPr="00C10C7D">
        <w:rPr>
          <w:rFonts w:ascii="Times New Roman" w:eastAsia="Times New Roman" w:hAnsi="Times New Roman" w:cs="Times New Roman"/>
          <w:szCs w:val="24"/>
        </w:rPr>
        <w:t xml:space="preserve"> </w:t>
      </w:r>
      <w:r w:rsidR="74237E39" w:rsidRPr="00C10C7D">
        <w:rPr>
          <w:rFonts w:ascii="Times New Roman" w:eastAsia="Times New Roman" w:hAnsi="Times New Roman" w:cs="Times New Roman"/>
          <w:szCs w:val="24"/>
        </w:rPr>
        <w:t>po raz pierwszy w budżecie na rok 2023.</w:t>
      </w:r>
    </w:p>
    <w:p w14:paraId="74E6372A" w14:textId="7088D234" w:rsidR="00AD0A08" w:rsidRPr="00C10C7D" w:rsidRDefault="00E76880" w:rsidP="00F91F34">
      <w:pPr>
        <w:pStyle w:val="ARTartustawynprozporzdzenia"/>
        <w:ind w:firstLine="0"/>
        <w:rPr>
          <w:rFonts w:ascii="Times New Roman" w:eastAsia="Times New Roman" w:hAnsi="Times New Roman" w:cs="Times New Roman"/>
          <w:color w:val="000000" w:themeColor="text1"/>
          <w:szCs w:val="24"/>
        </w:rPr>
      </w:pPr>
      <w:r w:rsidRPr="00C10C7D">
        <w:rPr>
          <w:rFonts w:ascii="Times New Roman" w:eastAsia="Times New Roman" w:hAnsi="Times New Roman" w:cs="Times New Roman"/>
          <w:color w:val="000000" w:themeColor="text1"/>
          <w:szCs w:val="24"/>
        </w:rPr>
        <w:t>Art.</w:t>
      </w:r>
      <w:r w:rsidR="00AD0A08" w:rsidRPr="00C10C7D">
        <w:rPr>
          <w:rFonts w:ascii="Times New Roman" w:eastAsia="Times New Roman" w:hAnsi="Times New Roman" w:cs="Times New Roman"/>
          <w:color w:val="000000" w:themeColor="text1"/>
          <w:szCs w:val="24"/>
        </w:rPr>
        <w:t xml:space="preserve"> 325 Pke dotyczący uprawnienia do otrzymywania zwrotu środków prepaid pozostałych na koncie abonenckim wejdzie w życie w terminie 3 miesięcy od dnia opublikowania ustawy. Termin ten jest z jednej strony wystarczający na dostosowanie systemów teleinformatycznych dostawców usług, zaś z drugiej strony pozwala konsum</w:t>
      </w:r>
      <w:r w:rsidR="00201618">
        <w:rPr>
          <w:rFonts w:ascii="Times New Roman" w:eastAsia="Times New Roman" w:hAnsi="Times New Roman" w:cs="Times New Roman"/>
          <w:color w:val="000000" w:themeColor="text1"/>
          <w:szCs w:val="24"/>
        </w:rPr>
        <w:t>entom na szybsze skorzystanie z </w:t>
      </w:r>
      <w:r w:rsidR="00AD0A08" w:rsidRPr="00C10C7D">
        <w:rPr>
          <w:rFonts w:ascii="Times New Roman" w:eastAsia="Times New Roman" w:hAnsi="Times New Roman" w:cs="Times New Roman"/>
          <w:color w:val="000000" w:themeColor="text1"/>
          <w:szCs w:val="24"/>
        </w:rPr>
        <w:t>nowego uprawnienia.</w:t>
      </w:r>
    </w:p>
    <w:p w14:paraId="50D5D155" w14:textId="124CAEB3" w:rsidR="00160FF4" w:rsidRPr="00CE1978" w:rsidRDefault="3D9F86FF"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Z dniem ogłoszenia ustawy powinien wejść art. </w:t>
      </w:r>
      <w:r w:rsidR="677110C5" w:rsidRPr="00C10C7D">
        <w:rPr>
          <w:rFonts w:ascii="Times New Roman" w:eastAsia="Times New Roman" w:hAnsi="Times New Roman" w:cs="Times New Roman"/>
          <w:color w:val="000000" w:themeColor="text1"/>
          <w:sz w:val="24"/>
          <w:szCs w:val="24"/>
        </w:rPr>
        <w:t>417 ust. 1 pkt 3 Pke</w:t>
      </w:r>
      <w:r w:rsidR="6A370CA2"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 xml:space="preserve"> </w:t>
      </w:r>
      <w:r w:rsidR="3D408495" w:rsidRPr="00C10C7D">
        <w:rPr>
          <w:rFonts w:ascii="Times New Roman" w:eastAsia="Times New Roman" w:hAnsi="Times New Roman" w:cs="Times New Roman"/>
          <w:color w:val="000000" w:themeColor="text1"/>
          <w:sz w:val="24"/>
          <w:szCs w:val="24"/>
        </w:rPr>
        <w:t xml:space="preserve">Przepis ten odnosi się do uprawnień kontrolnych Prezesa Urzędu Komunikacji Elektronicznej (dalej również: </w:t>
      </w:r>
      <w:r w:rsidR="00C10C7D">
        <w:rPr>
          <w:rFonts w:ascii="Times New Roman" w:eastAsia="Times New Roman" w:hAnsi="Times New Roman" w:cs="Times New Roman"/>
          <w:color w:val="000000" w:themeColor="text1"/>
          <w:sz w:val="24"/>
          <w:szCs w:val="24"/>
        </w:rPr>
        <w:t>„</w:t>
      </w:r>
      <w:r w:rsidR="00201618">
        <w:rPr>
          <w:rFonts w:ascii="Times New Roman" w:eastAsia="Times New Roman" w:hAnsi="Times New Roman" w:cs="Times New Roman"/>
          <w:color w:val="000000" w:themeColor="text1"/>
          <w:sz w:val="24"/>
          <w:szCs w:val="24"/>
        </w:rPr>
        <w:t>UKE”) w </w:t>
      </w:r>
      <w:r w:rsidR="3D408495" w:rsidRPr="00C10C7D">
        <w:rPr>
          <w:rFonts w:ascii="Times New Roman" w:eastAsia="Times New Roman" w:hAnsi="Times New Roman" w:cs="Times New Roman"/>
          <w:color w:val="000000" w:themeColor="text1"/>
          <w:sz w:val="24"/>
          <w:szCs w:val="24"/>
        </w:rPr>
        <w:t xml:space="preserve">zakresie kontroli </w:t>
      </w:r>
      <w:r w:rsidR="64E6D7FF" w:rsidRPr="00C10C7D">
        <w:rPr>
          <w:rFonts w:ascii="Times New Roman" w:eastAsia="Times New Roman" w:hAnsi="Times New Roman" w:cs="Times New Roman"/>
          <w:color w:val="000000" w:themeColor="text1"/>
          <w:sz w:val="24"/>
          <w:szCs w:val="24"/>
        </w:rPr>
        <w:t xml:space="preserve">znajdujących </w:t>
      </w:r>
      <w:r w:rsidR="64E6D7FF" w:rsidRPr="00C10C7D">
        <w:rPr>
          <w:rFonts w:ascii="Times New Roman" w:eastAsia="Times" w:hAnsi="Times New Roman" w:cs="Times New Roman"/>
          <w:color w:val="000000" w:themeColor="text1"/>
          <w:sz w:val="24"/>
          <w:szCs w:val="24"/>
        </w:rPr>
        <w:t xml:space="preserve">się w obrocie lub oddanych do użytku wyrobów, o których mowa w </w:t>
      </w:r>
      <w:r w:rsidR="64E6D7FF" w:rsidRPr="00C10C7D">
        <w:rPr>
          <w:rFonts w:ascii="Times New Roman" w:eastAsia="Times New Roman" w:hAnsi="Times New Roman" w:cs="Times New Roman"/>
          <w:color w:val="000000" w:themeColor="text1"/>
          <w:sz w:val="24"/>
          <w:szCs w:val="24"/>
        </w:rPr>
        <w:t>rozporządzeniu Komisji (UE) 2019/1782 z dnia 1 października 2019 r. ustanawiającym wymogi dotyczące ekoprojektu dla zasilaczy zewnętrznych na podstawie dyrektywy Parlamentu Europejskiego i Rady 2009/125/WE oraz uchylającym rozporządzenie Komisji (WE) nr 278/2009 (Dz. Urz. UE L 272 z 25.10.2019, str. 95)</w:t>
      </w:r>
      <w:r w:rsidR="52BB7917" w:rsidRPr="00C10C7D">
        <w:rPr>
          <w:rFonts w:ascii="Times New Roman" w:eastAsia="Times New Roman" w:hAnsi="Times New Roman" w:cs="Times New Roman"/>
          <w:color w:val="000000" w:themeColor="text1"/>
          <w:sz w:val="24"/>
          <w:szCs w:val="24"/>
        </w:rPr>
        <w:t xml:space="preserve">. </w:t>
      </w:r>
      <w:r w:rsidR="52BB7917" w:rsidRPr="00C10C7D">
        <w:rPr>
          <w:rFonts w:ascii="Times New Roman" w:eastAsia="Calibri" w:hAnsi="Times New Roman" w:cs="Times New Roman"/>
          <w:color w:val="000000" w:themeColor="text1"/>
          <w:sz w:val="24"/>
          <w:szCs w:val="24"/>
        </w:rPr>
        <w:t>R</w:t>
      </w:r>
      <w:r w:rsidR="52BB7917" w:rsidRPr="00C10C7D">
        <w:rPr>
          <w:rFonts w:ascii="Times New Roman" w:eastAsia="Times New Roman" w:hAnsi="Times New Roman" w:cs="Times New Roman"/>
          <w:color w:val="000000" w:themeColor="text1"/>
          <w:sz w:val="24"/>
          <w:szCs w:val="24"/>
        </w:rPr>
        <w:t>ozporządzenie to już obowiązuje (od 1 kwietnia 2020 r</w:t>
      </w:r>
      <w:r w:rsidR="004C2A27" w:rsidRPr="00C10C7D">
        <w:rPr>
          <w:rFonts w:ascii="Times New Roman" w:eastAsia="Times New Roman" w:hAnsi="Times New Roman" w:cs="Times New Roman"/>
          <w:color w:val="000000" w:themeColor="text1"/>
          <w:sz w:val="24"/>
          <w:szCs w:val="24"/>
        </w:rPr>
        <w:t>.</w:t>
      </w:r>
      <w:r w:rsidR="52BB7917" w:rsidRPr="00C10C7D">
        <w:rPr>
          <w:rFonts w:ascii="Times New Roman" w:eastAsia="Times New Roman" w:hAnsi="Times New Roman" w:cs="Times New Roman"/>
          <w:color w:val="000000" w:themeColor="text1"/>
          <w:sz w:val="24"/>
          <w:szCs w:val="24"/>
        </w:rPr>
        <w:t>) i zasadne jest, żeby Prezes posiadał kompetencje do kontroli tych wyrobów już z dniem wejścia w życie Prawa komunikacji elektronicznej.</w:t>
      </w:r>
      <w:r w:rsidR="39A1883F" w:rsidRPr="00C10C7D">
        <w:rPr>
          <w:rFonts w:ascii="Times New Roman" w:eastAsia="Times New Roman" w:hAnsi="Times New Roman" w:cs="Times New Roman"/>
          <w:color w:val="000000" w:themeColor="text1"/>
          <w:sz w:val="24"/>
          <w:szCs w:val="24"/>
        </w:rPr>
        <w:t xml:space="preserve"> </w:t>
      </w:r>
      <w:r w:rsidR="00D57F1F" w:rsidRPr="00C10C7D">
        <w:rPr>
          <w:rFonts w:ascii="Times New Roman" w:eastAsia="Times New Roman" w:hAnsi="Times New Roman" w:cs="Times New Roman"/>
          <w:color w:val="000000" w:themeColor="text1"/>
          <w:sz w:val="24"/>
          <w:szCs w:val="24"/>
        </w:rPr>
        <w:t>Kolejnym</w:t>
      </w:r>
      <w:r w:rsidR="689738C6" w:rsidRPr="00C10C7D">
        <w:rPr>
          <w:rFonts w:ascii="Times New Roman" w:eastAsia="Times New Roman" w:hAnsi="Times New Roman" w:cs="Times New Roman"/>
          <w:color w:val="000000" w:themeColor="text1"/>
          <w:sz w:val="24"/>
          <w:szCs w:val="24"/>
        </w:rPr>
        <w:t>i</w:t>
      </w:r>
      <w:r w:rsidR="02908211" w:rsidRPr="00C10C7D">
        <w:rPr>
          <w:rFonts w:ascii="Times New Roman" w:eastAsia="Times New Roman" w:hAnsi="Times New Roman" w:cs="Times New Roman"/>
          <w:color w:val="000000" w:themeColor="text1"/>
          <w:sz w:val="24"/>
          <w:szCs w:val="24"/>
        </w:rPr>
        <w:t xml:space="preserve"> wyjątkami</w:t>
      </w:r>
      <w:r w:rsidR="51317BF6" w:rsidRPr="00C10C7D">
        <w:rPr>
          <w:rFonts w:ascii="Times New Roman" w:eastAsia="Times New Roman" w:hAnsi="Times New Roman" w:cs="Times New Roman"/>
          <w:color w:val="000000" w:themeColor="text1"/>
          <w:sz w:val="24"/>
          <w:szCs w:val="24"/>
        </w:rPr>
        <w:t xml:space="preserve"> </w:t>
      </w:r>
      <w:r w:rsidR="0039253A" w:rsidRPr="00C10C7D">
        <w:rPr>
          <w:rFonts w:ascii="Times New Roman" w:eastAsia="Times New Roman" w:hAnsi="Times New Roman" w:cs="Times New Roman"/>
          <w:color w:val="000000" w:themeColor="text1"/>
          <w:sz w:val="24"/>
          <w:szCs w:val="24"/>
        </w:rPr>
        <w:t xml:space="preserve">od w/w terminu </w:t>
      </w:r>
      <w:r w:rsidR="3BA0B0B9" w:rsidRPr="00C10C7D">
        <w:rPr>
          <w:rFonts w:ascii="Times New Roman" w:eastAsia="Times New Roman" w:hAnsi="Times New Roman" w:cs="Times New Roman"/>
          <w:color w:val="000000" w:themeColor="text1"/>
          <w:sz w:val="24"/>
          <w:szCs w:val="24"/>
        </w:rPr>
        <w:t>są</w:t>
      </w:r>
      <w:r w:rsidR="51317BF6" w:rsidRPr="00C10C7D">
        <w:rPr>
          <w:rFonts w:ascii="Times New Roman" w:eastAsia="Times New Roman" w:hAnsi="Times New Roman" w:cs="Times New Roman"/>
          <w:color w:val="000000" w:themeColor="text1"/>
          <w:sz w:val="24"/>
          <w:szCs w:val="24"/>
        </w:rPr>
        <w:t xml:space="preserve"> art.</w:t>
      </w:r>
      <w:r w:rsidR="4E00F080" w:rsidRPr="00C10C7D">
        <w:rPr>
          <w:rFonts w:ascii="Times New Roman" w:eastAsia="Times New Roman" w:hAnsi="Times New Roman" w:cs="Times New Roman"/>
          <w:color w:val="000000" w:themeColor="text1"/>
          <w:sz w:val="24"/>
          <w:szCs w:val="24"/>
        </w:rPr>
        <w:t xml:space="preserve"> </w:t>
      </w:r>
      <w:r w:rsidR="00766D1E" w:rsidRPr="00C10C7D">
        <w:rPr>
          <w:rFonts w:ascii="Times New Roman" w:eastAsia="Times New Roman" w:hAnsi="Times New Roman" w:cs="Times New Roman"/>
          <w:color w:val="000000" w:themeColor="text1"/>
          <w:sz w:val="24"/>
          <w:szCs w:val="24"/>
        </w:rPr>
        <w:t xml:space="preserve">417 </w:t>
      </w:r>
      <w:r w:rsidR="66E01D7D" w:rsidRPr="00CE1978">
        <w:rPr>
          <w:rFonts w:ascii="Times New Roman" w:eastAsia="Times New Roman" w:hAnsi="Times New Roman" w:cs="Times New Roman"/>
          <w:color w:val="000000" w:themeColor="text1"/>
          <w:sz w:val="24"/>
          <w:szCs w:val="24"/>
        </w:rPr>
        <w:t xml:space="preserve">ust. 1 pkt 5 oraz </w:t>
      </w:r>
      <w:r w:rsidR="4E00F080" w:rsidRPr="00CE1978">
        <w:rPr>
          <w:rFonts w:ascii="Times New Roman" w:eastAsia="Times New Roman" w:hAnsi="Times New Roman" w:cs="Times New Roman"/>
          <w:color w:val="000000" w:themeColor="text1"/>
          <w:sz w:val="24"/>
          <w:szCs w:val="24"/>
        </w:rPr>
        <w:t>ust. 2 pkt 1, któr</w:t>
      </w:r>
      <w:r w:rsidR="3C90ED3E" w:rsidRPr="00CE1978">
        <w:rPr>
          <w:rFonts w:ascii="Times New Roman" w:eastAsia="Times New Roman" w:hAnsi="Times New Roman" w:cs="Times New Roman"/>
          <w:color w:val="000000" w:themeColor="text1"/>
          <w:sz w:val="24"/>
          <w:szCs w:val="24"/>
        </w:rPr>
        <w:t>e</w:t>
      </w:r>
      <w:r w:rsidR="4E00F080" w:rsidRPr="00CE1978">
        <w:rPr>
          <w:rFonts w:ascii="Times New Roman" w:eastAsia="Times New Roman" w:hAnsi="Times New Roman" w:cs="Times New Roman"/>
          <w:color w:val="000000" w:themeColor="text1"/>
          <w:sz w:val="24"/>
          <w:szCs w:val="24"/>
        </w:rPr>
        <w:t xml:space="preserve"> wchodz</w:t>
      </w:r>
      <w:r w:rsidR="6F7DCB4B" w:rsidRPr="00CE1978">
        <w:rPr>
          <w:rFonts w:ascii="Times New Roman" w:eastAsia="Times New Roman" w:hAnsi="Times New Roman" w:cs="Times New Roman"/>
          <w:color w:val="000000" w:themeColor="text1"/>
          <w:sz w:val="24"/>
          <w:szCs w:val="24"/>
        </w:rPr>
        <w:t>ą</w:t>
      </w:r>
      <w:r w:rsidR="00201618">
        <w:rPr>
          <w:rFonts w:ascii="Times New Roman" w:eastAsia="Times New Roman" w:hAnsi="Times New Roman" w:cs="Times New Roman"/>
          <w:color w:val="000000" w:themeColor="text1"/>
          <w:sz w:val="24"/>
          <w:szCs w:val="24"/>
        </w:rPr>
        <w:t xml:space="preserve"> w życie z </w:t>
      </w:r>
      <w:r w:rsidR="4E00F080" w:rsidRPr="00CE1978">
        <w:rPr>
          <w:rFonts w:ascii="Times New Roman" w:eastAsia="Times New Roman" w:hAnsi="Times New Roman" w:cs="Times New Roman"/>
          <w:color w:val="000000" w:themeColor="text1"/>
          <w:sz w:val="24"/>
          <w:szCs w:val="24"/>
        </w:rPr>
        <w:t xml:space="preserve">dniem </w:t>
      </w:r>
      <w:r w:rsidR="00013C38" w:rsidRPr="00CE1978">
        <w:rPr>
          <w:rFonts w:ascii="Times New Roman" w:eastAsia="Times New Roman" w:hAnsi="Times New Roman" w:cs="Times New Roman"/>
          <w:color w:val="000000" w:themeColor="text1"/>
          <w:sz w:val="24"/>
          <w:szCs w:val="24"/>
        </w:rPr>
        <w:t>następującym po dniu ogłoszenia</w:t>
      </w:r>
      <w:r w:rsidR="4E00F080" w:rsidRPr="00CE1978">
        <w:rPr>
          <w:rFonts w:ascii="Times New Roman" w:eastAsia="Times New Roman" w:hAnsi="Times New Roman" w:cs="Times New Roman"/>
          <w:color w:val="000000" w:themeColor="text1"/>
          <w:sz w:val="24"/>
          <w:szCs w:val="24"/>
        </w:rPr>
        <w:t xml:space="preserve">. </w:t>
      </w:r>
      <w:r w:rsidR="655CD107" w:rsidRPr="00CE1978">
        <w:rPr>
          <w:rFonts w:ascii="Times New Roman" w:eastAsia="Times New Roman" w:hAnsi="Times New Roman" w:cs="Times New Roman"/>
          <w:color w:val="000000" w:themeColor="text1"/>
          <w:sz w:val="24"/>
          <w:szCs w:val="24"/>
        </w:rPr>
        <w:t xml:space="preserve">Art. 417 ust. 1 pkt 5 dotyczy uprawnień kontrolnych Prezesa UKE w zakresie </w:t>
      </w:r>
      <w:r w:rsidR="2159B9B6" w:rsidRPr="00CE1978">
        <w:rPr>
          <w:rFonts w:ascii="Times New Roman" w:eastAsia="Times" w:hAnsi="Times New Roman" w:cs="Times New Roman"/>
          <w:color w:val="000000" w:themeColor="text1"/>
          <w:sz w:val="24"/>
          <w:szCs w:val="24"/>
        </w:rPr>
        <w:t>znajdujących się w obrocie lu</w:t>
      </w:r>
      <w:r w:rsidR="00201618">
        <w:rPr>
          <w:rFonts w:ascii="Times New Roman" w:eastAsia="Times" w:hAnsi="Times New Roman" w:cs="Times New Roman"/>
          <w:color w:val="000000" w:themeColor="text1"/>
          <w:sz w:val="24"/>
          <w:szCs w:val="24"/>
        </w:rPr>
        <w:t>b oddanych do użytku wyrobów, o </w:t>
      </w:r>
      <w:r w:rsidR="2159B9B6" w:rsidRPr="00CE1978">
        <w:rPr>
          <w:rFonts w:ascii="Times New Roman" w:eastAsia="Times" w:hAnsi="Times New Roman" w:cs="Times New Roman"/>
          <w:color w:val="000000" w:themeColor="text1"/>
          <w:sz w:val="24"/>
          <w:szCs w:val="24"/>
        </w:rPr>
        <w:t xml:space="preserve">których mowa w </w:t>
      </w:r>
      <w:r w:rsidR="2159B9B6" w:rsidRPr="00CE1978">
        <w:rPr>
          <w:rFonts w:ascii="Times New Roman" w:eastAsia="Times New Roman" w:hAnsi="Times New Roman" w:cs="Times New Roman"/>
          <w:color w:val="000000" w:themeColor="text1"/>
          <w:sz w:val="24"/>
          <w:szCs w:val="24"/>
        </w:rPr>
        <w:t>rozporządzeniu Komisji (UE) 2019/2021 z dnia 1 października 2019 r. ustanawiającym wymogi dotyczące ekoprojektu dla wyświet</w:t>
      </w:r>
      <w:r w:rsidR="00201618">
        <w:rPr>
          <w:rFonts w:ascii="Times New Roman" w:eastAsia="Times New Roman" w:hAnsi="Times New Roman" w:cs="Times New Roman"/>
          <w:color w:val="000000" w:themeColor="text1"/>
          <w:sz w:val="24"/>
          <w:szCs w:val="24"/>
        </w:rPr>
        <w:t>laczy elektronicznych zgodnie z </w:t>
      </w:r>
      <w:r w:rsidR="2159B9B6" w:rsidRPr="00CE1978">
        <w:rPr>
          <w:rFonts w:ascii="Times New Roman" w:eastAsia="Times New Roman" w:hAnsi="Times New Roman" w:cs="Times New Roman"/>
          <w:color w:val="000000" w:themeColor="text1"/>
          <w:sz w:val="24"/>
          <w:szCs w:val="24"/>
        </w:rPr>
        <w:t xml:space="preserve">dyrektywą Parlamentu Europejskiego i Rady 2009/125/WE, zmieniającym rozporządzenie Komisji (WE) nr 1275/2008 i uchylającym rozporządzenie Komisji (WE) nr </w:t>
      </w:r>
      <w:r w:rsidR="00F85A5F" w:rsidRPr="00CE1978">
        <w:rPr>
          <w:rFonts w:ascii="Times New Roman" w:eastAsia="Times New Roman" w:hAnsi="Times New Roman" w:cs="Times New Roman"/>
          <w:color w:val="000000" w:themeColor="text1"/>
          <w:sz w:val="24"/>
          <w:szCs w:val="24"/>
        </w:rPr>
        <w:t>642/2009</w:t>
      </w:r>
      <w:r w:rsidR="00201618">
        <w:rPr>
          <w:rFonts w:ascii="Times New Roman" w:eastAsia="Times New Roman" w:hAnsi="Times New Roman" w:cs="Times New Roman"/>
          <w:color w:val="000000" w:themeColor="text1"/>
          <w:sz w:val="24"/>
          <w:szCs w:val="24"/>
        </w:rPr>
        <w:t xml:space="preserve"> (Dz. </w:t>
      </w:r>
      <w:r w:rsidR="2159B9B6" w:rsidRPr="00CE1978">
        <w:rPr>
          <w:rFonts w:ascii="Times New Roman" w:eastAsia="Times New Roman" w:hAnsi="Times New Roman" w:cs="Times New Roman"/>
          <w:color w:val="000000" w:themeColor="text1"/>
          <w:sz w:val="24"/>
          <w:szCs w:val="24"/>
        </w:rPr>
        <w:t xml:space="preserve">Urz. UE L 315 z </w:t>
      </w:r>
      <w:r w:rsidR="00F85A5F" w:rsidRPr="00CE1978">
        <w:rPr>
          <w:rFonts w:ascii="Times New Roman" w:eastAsia="Times New Roman" w:hAnsi="Times New Roman" w:cs="Times New Roman"/>
          <w:color w:val="000000" w:themeColor="text1"/>
          <w:sz w:val="24"/>
          <w:szCs w:val="24"/>
        </w:rPr>
        <w:t>0</w:t>
      </w:r>
      <w:r w:rsidR="2159B9B6" w:rsidRPr="00CE1978">
        <w:rPr>
          <w:rFonts w:ascii="Times New Roman" w:eastAsia="Times New Roman" w:hAnsi="Times New Roman" w:cs="Times New Roman"/>
          <w:color w:val="000000" w:themeColor="text1"/>
          <w:sz w:val="24"/>
          <w:szCs w:val="24"/>
        </w:rPr>
        <w:t xml:space="preserve">5.12.2019, str. 241). </w:t>
      </w:r>
      <w:r w:rsidR="076C21E5" w:rsidRPr="00CE1978">
        <w:rPr>
          <w:rFonts w:ascii="Times New Roman" w:eastAsia="Calibri" w:hAnsi="Times New Roman" w:cs="Times New Roman"/>
          <w:color w:val="000000" w:themeColor="text1"/>
          <w:sz w:val="24"/>
          <w:szCs w:val="24"/>
        </w:rPr>
        <w:t xml:space="preserve">Rozporządzenie to </w:t>
      </w:r>
      <w:r w:rsidR="04161FE5" w:rsidRPr="00CE1978">
        <w:rPr>
          <w:rFonts w:ascii="Times New Roman" w:eastAsia="Calibri" w:hAnsi="Times New Roman" w:cs="Times New Roman"/>
          <w:color w:val="000000" w:themeColor="text1"/>
          <w:sz w:val="24"/>
          <w:szCs w:val="24"/>
        </w:rPr>
        <w:t>obowiązuje</w:t>
      </w:r>
      <w:r w:rsidR="076C21E5" w:rsidRPr="00CE1978">
        <w:rPr>
          <w:rFonts w:ascii="Times New Roman" w:eastAsia="Calibri" w:hAnsi="Times New Roman" w:cs="Times New Roman"/>
          <w:color w:val="000000" w:themeColor="text1"/>
          <w:sz w:val="24"/>
          <w:szCs w:val="24"/>
        </w:rPr>
        <w:t xml:space="preserve"> od 1 marca 2021 r. i zasadne jest, żeby Prezes </w:t>
      </w:r>
      <w:r w:rsidR="00706396" w:rsidRPr="00CE1978">
        <w:rPr>
          <w:rFonts w:ascii="Times New Roman" w:eastAsia="Calibri" w:hAnsi="Times New Roman" w:cs="Times New Roman"/>
          <w:color w:val="000000" w:themeColor="text1"/>
          <w:sz w:val="24"/>
          <w:szCs w:val="24"/>
        </w:rPr>
        <w:t xml:space="preserve">UKE </w:t>
      </w:r>
      <w:r w:rsidR="076C21E5" w:rsidRPr="00CE1978">
        <w:rPr>
          <w:rFonts w:ascii="Times New Roman" w:eastAsia="Calibri" w:hAnsi="Times New Roman" w:cs="Times New Roman"/>
          <w:color w:val="000000" w:themeColor="text1"/>
          <w:sz w:val="24"/>
          <w:szCs w:val="24"/>
        </w:rPr>
        <w:t>posiadał kompetencje do kontroli tych wyrobów</w:t>
      </w:r>
      <w:r w:rsidR="2579291D" w:rsidRPr="00CE1978">
        <w:rPr>
          <w:rFonts w:ascii="Times New Roman" w:eastAsia="Times New Roman" w:hAnsi="Times New Roman" w:cs="Times New Roman"/>
          <w:color w:val="000000" w:themeColor="text1"/>
          <w:sz w:val="24"/>
          <w:szCs w:val="24"/>
        </w:rPr>
        <w:t xml:space="preserve"> już z dniem wejścia w życie Prawa komunikacji elektronicznej</w:t>
      </w:r>
      <w:r w:rsidR="076C21E5" w:rsidRPr="00CE1978">
        <w:rPr>
          <w:rFonts w:ascii="Times New Roman" w:eastAsia="Calibri" w:hAnsi="Times New Roman" w:cs="Times New Roman"/>
          <w:color w:val="000000" w:themeColor="text1"/>
          <w:sz w:val="24"/>
          <w:szCs w:val="24"/>
        </w:rPr>
        <w:t xml:space="preserve">. Analogicznie </w:t>
      </w:r>
      <w:r w:rsidR="00DBD3A6" w:rsidRPr="00CE1978">
        <w:rPr>
          <w:rFonts w:ascii="Times New Roman" w:eastAsia="Calibri" w:hAnsi="Times New Roman" w:cs="Times New Roman"/>
          <w:color w:val="000000" w:themeColor="text1"/>
          <w:sz w:val="24"/>
          <w:szCs w:val="24"/>
        </w:rPr>
        <w:t xml:space="preserve">jest </w:t>
      </w:r>
      <w:r w:rsidR="076C21E5" w:rsidRPr="00CE1978">
        <w:rPr>
          <w:rFonts w:ascii="Times New Roman" w:eastAsia="Calibri" w:hAnsi="Times New Roman" w:cs="Times New Roman"/>
          <w:color w:val="000000" w:themeColor="text1"/>
          <w:sz w:val="24"/>
          <w:szCs w:val="24"/>
        </w:rPr>
        <w:t xml:space="preserve">w przypadku </w:t>
      </w:r>
      <w:r w:rsidR="3D86A651" w:rsidRPr="00CE1978">
        <w:rPr>
          <w:rFonts w:ascii="Times New Roman" w:eastAsia="Calibri" w:hAnsi="Times New Roman" w:cs="Times New Roman"/>
          <w:color w:val="000000" w:themeColor="text1"/>
          <w:sz w:val="24"/>
          <w:szCs w:val="24"/>
        </w:rPr>
        <w:t xml:space="preserve">określonego w art. 417 ust. 2 </w:t>
      </w:r>
      <w:r w:rsidR="614AF8E5" w:rsidRPr="00CE1978">
        <w:rPr>
          <w:rFonts w:ascii="Times New Roman" w:eastAsia="Calibri" w:hAnsi="Times New Roman" w:cs="Times New Roman"/>
          <w:color w:val="000000" w:themeColor="text1"/>
          <w:sz w:val="24"/>
          <w:szCs w:val="24"/>
        </w:rPr>
        <w:t xml:space="preserve">pkt 1 </w:t>
      </w:r>
      <w:r w:rsidR="0629EAEF" w:rsidRPr="00CE1978">
        <w:rPr>
          <w:rFonts w:ascii="Times New Roman" w:eastAsia="Times New Roman" w:hAnsi="Times New Roman" w:cs="Times New Roman"/>
          <w:color w:val="000000" w:themeColor="text1"/>
          <w:sz w:val="24"/>
          <w:szCs w:val="24"/>
        </w:rPr>
        <w:t xml:space="preserve">uprawnienia Prezesa UKE do </w:t>
      </w:r>
      <w:r w:rsidR="702E166E" w:rsidRPr="00CE1978">
        <w:rPr>
          <w:rFonts w:ascii="Times New Roman" w:eastAsia="Times New Roman" w:hAnsi="Times New Roman" w:cs="Times New Roman"/>
          <w:color w:val="000000" w:themeColor="text1"/>
          <w:sz w:val="24"/>
          <w:szCs w:val="24"/>
        </w:rPr>
        <w:t>kontroli wprowadzanych do</w:t>
      </w:r>
      <w:r w:rsidR="4C117794" w:rsidRPr="00CE1978">
        <w:rPr>
          <w:rFonts w:ascii="Times New Roman" w:eastAsia="Times New Roman" w:hAnsi="Times New Roman" w:cs="Times New Roman"/>
          <w:color w:val="000000" w:themeColor="text1"/>
          <w:sz w:val="24"/>
          <w:szCs w:val="24"/>
        </w:rPr>
        <w:t xml:space="preserve"> </w:t>
      </w:r>
      <w:r w:rsidR="702E166E" w:rsidRPr="00CE1978">
        <w:rPr>
          <w:rFonts w:ascii="Times New Roman" w:eastAsia="Times New Roman" w:hAnsi="Times New Roman" w:cs="Times New Roman"/>
          <w:color w:val="000000" w:themeColor="text1"/>
          <w:sz w:val="24"/>
          <w:szCs w:val="24"/>
        </w:rPr>
        <w:t xml:space="preserve">obrotu lub oddawanych do użytku </w:t>
      </w:r>
      <w:r w:rsidR="2AB3DE3A" w:rsidRPr="00CE1978">
        <w:rPr>
          <w:rFonts w:ascii="Times New Roman" w:eastAsia="Times New Roman" w:hAnsi="Times New Roman" w:cs="Times New Roman"/>
          <w:color w:val="000000" w:themeColor="text1"/>
          <w:sz w:val="24"/>
          <w:szCs w:val="24"/>
        </w:rPr>
        <w:t>produktów związanych z energią, o których mowa</w:t>
      </w:r>
      <w:r w:rsidR="28FBC525" w:rsidRPr="00CE1978">
        <w:rPr>
          <w:rFonts w:ascii="Times New Roman" w:eastAsia="Times New Roman" w:hAnsi="Times New Roman" w:cs="Times New Roman"/>
          <w:color w:val="000000" w:themeColor="text1"/>
          <w:sz w:val="24"/>
          <w:szCs w:val="24"/>
        </w:rPr>
        <w:t xml:space="preserve"> w rozporządzeniu </w:t>
      </w:r>
      <w:r w:rsidR="28FBC525" w:rsidRPr="00CE1978">
        <w:rPr>
          <w:rFonts w:ascii="Times New Roman" w:eastAsia="Times New Roman" w:hAnsi="Times New Roman" w:cs="Times New Roman"/>
          <w:color w:val="000000" w:themeColor="text1"/>
          <w:sz w:val="24"/>
          <w:szCs w:val="24"/>
        </w:rPr>
        <w:lastRenderedPageBreak/>
        <w:t xml:space="preserve">delegowanym Komisji (UE) 2019/2013 z dnia 11 marca 2019 r. uzupełniające rozporządzenie Parlamentu Europejskiego i Rady (UE) </w:t>
      </w:r>
      <w:r w:rsidR="00F85A5F" w:rsidRPr="00CE1978">
        <w:rPr>
          <w:rFonts w:ascii="Times New Roman" w:eastAsia="Times New Roman" w:hAnsi="Times New Roman" w:cs="Times New Roman"/>
          <w:color w:val="000000" w:themeColor="text1"/>
          <w:sz w:val="24"/>
          <w:szCs w:val="24"/>
        </w:rPr>
        <w:t>2017</w:t>
      </w:r>
      <w:r w:rsidR="28FBC525" w:rsidRPr="00CE1978">
        <w:rPr>
          <w:rFonts w:ascii="Times New Roman" w:eastAsia="Times New Roman" w:hAnsi="Times New Roman" w:cs="Times New Roman"/>
          <w:color w:val="000000" w:themeColor="text1"/>
          <w:sz w:val="24"/>
          <w:szCs w:val="24"/>
        </w:rPr>
        <w:t xml:space="preserve">/1369 w odniesieniu do etykietowania energetycznego wyświetlaczy elektronicznych i uchylające rozporządzenie delegowane Komisji (UE) nr 1062/2010 (Dz. Urz. UE L 315 z </w:t>
      </w:r>
      <w:r w:rsidR="008358CD" w:rsidRPr="00CE1978">
        <w:rPr>
          <w:rFonts w:ascii="Times New Roman" w:eastAsia="Times New Roman" w:hAnsi="Times New Roman" w:cs="Times New Roman"/>
          <w:color w:val="000000" w:themeColor="text1"/>
          <w:sz w:val="24"/>
          <w:szCs w:val="24"/>
        </w:rPr>
        <w:t>0</w:t>
      </w:r>
      <w:r w:rsidR="28FBC525" w:rsidRPr="00CE1978">
        <w:rPr>
          <w:rFonts w:ascii="Times New Roman" w:eastAsia="Times New Roman" w:hAnsi="Times New Roman" w:cs="Times New Roman"/>
          <w:color w:val="000000" w:themeColor="text1"/>
          <w:sz w:val="24"/>
          <w:szCs w:val="24"/>
        </w:rPr>
        <w:t>5.12.2019, str. 1). Rozporządzenie to zgodnie</w:t>
      </w:r>
      <w:r w:rsidR="4E00F080" w:rsidRPr="00CE1978">
        <w:rPr>
          <w:rFonts w:ascii="Times New Roman" w:eastAsia="Times New Roman" w:hAnsi="Times New Roman" w:cs="Times New Roman"/>
          <w:color w:val="000000" w:themeColor="text1"/>
          <w:sz w:val="24"/>
          <w:szCs w:val="24"/>
        </w:rPr>
        <w:t xml:space="preserve"> z jego art. 11 powinno być stosowane od dnia 1 marca 2021 r. </w:t>
      </w:r>
    </w:p>
    <w:p w14:paraId="35CC93C1" w14:textId="77777777" w:rsidR="7BC9FC7F" w:rsidRPr="00CE1978" w:rsidRDefault="7BC9FC7F" w:rsidP="00F91F34">
      <w:pPr>
        <w:pStyle w:val="Akapitzlist"/>
        <w:numPr>
          <w:ilvl w:val="0"/>
          <w:numId w:val="6"/>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Zmiany w innych ustawach:</w:t>
      </w:r>
    </w:p>
    <w:p w14:paraId="044D1FD8" w14:textId="416CD95B" w:rsidR="4CE47B28" w:rsidRPr="00CE1978" w:rsidRDefault="4CE47B28"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Zmiany dokonywane </w:t>
      </w:r>
      <w:r w:rsidR="00115D34" w:rsidRPr="00CE1978">
        <w:rPr>
          <w:rFonts w:ascii="Times New Roman" w:eastAsia="Times New Roman" w:hAnsi="Times New Roman" w:cs="Times New Roman"/>
          <w:color w:val="000000" w:themeColor="text1"/>
          <w:sz w:val="24"/>
          <w:szCs w:val="24"/>
        </w:rPr>
        <w:t xml:space="preserve">ustawą wprowadzającą ustawę – Prawo </w:t>
      </w:r>
      <w:r w:rsidR="00201618">
        <w:rPr>
          <w:rFonts w:ascii="Times New Roman" w:eastAsia="Times New Roman" w:hAnsi="Times New Roman" w:cs="Times New Roman"/>
          <w:color w:val="000000" w:themeColor="text1"/>
          <w:sz w:val="24"/>
          <w:szCs w:val="24"/>
        </w:rPr>
        <w:t>komunikacji elektronicznej w </w:t>
      </w:r>
      <w:r w:rsidRPr="00CE1978">
        <w:rPr>
          <w:rFonts w:ascii="Times New Roman" w:eastAsia="Times New Roman" w:hAnsi="Times New Roman" w:cs="Times New Roman"/>
          <w:color w:val="000000" w:themeColor="text1"/>
          <w:sz w:val="24"/>
          <w:szCs w:val="24"/>
        </w:rPr>
        <w:t xml:space="preserve">ustawach odrębnych wynikają z konieczności aktualizacji znajdujących się w tych </w:t>
      </w:r>
      <w:r w:rsidR="60C39DE5" w:rsidRPr="00CE1978">
        <w:rPr>
          <w:rFonts w:ascii="Times New Roman" w:eastAsia="Times New Roman" w:hAnsi="Times New Roman" w:cs="Times New Roman"/>
          <w:color w:val="000000" w:themeColor="text1"/>
          <w:sz w:val="24"/>
          <w:szCs w:val="24"/>
        </w:rPr>
        <w:t xml:space="preserve">przepisach </w:t>
      </w:r>
      <w:r w:rsidRPr="00CE1978">
        <w:rPr>
          <w:rFonts w:ascii="Times New Roman" w:eastAsia="Times New Roman" w:hAnsi="Times New Roman" w:cs="Times New Roman"/>
          <w:color w:val="000000" w:themeColor="text1"/>
          <w:sz w:val="24"/>
          <w:szCs w:val="24"/>
        </w:rPr>
        <w:t>odesłań do</w:t>
      </w:r>
      <w:r w:rsidR="3D39A27D" w:rsidRPr="00CE1978">
        <w:rPr>
          <w:rFonts w:ascii="Times New Roman" w:eastAsia="Times New Roman" w:hAnsi="Times New Roman" w:cs="Times New Roman"/>
          <w:color w:val="000000" w:themeColor="text1"/>
          <w:sz w:val="24"/>
          <w:szCs w:val="24"/>
        </w:rPr>
        <w:t xml:space="preserve"> </w:t>
      </w:r>
      <w:r w:rsidR="6AA6D0F4" w:rsidRPr="00CE1978">
        <w:rPr>
          <w:rFonts w:ascii="Times New Roman" w:eastAsia="Times New Roman" w:hAnsi="Times New Roman" w:cs="Times New Roman"/>
          <w:color w:val="000000" w:themeColor="text1"/>
          <w:sz w:val="24"/>
          <w:szCs w:val="24"/>
        </w:rPr>
        <w:t>P</w:t>
      </w:r>
      <w:r w:rsidR="68EAFA29" w:rsidRPr="00CE1978">
        <w:rPr>
          <w:rFonts w:ascii="Times New Roman" w:eastAsia="Times New Roman" w:hAnsi="Times New Roman" w:cs="Times New Roman"/>
          <w:color w:val="000000" w:themeColor="text1"/>
          <w:sz w:val="24"/>
          <w:szCs w:val="24"/>
        </w:rPr>
        <w:t>t</w:t>
      </w:r>
      <w:r w:rsidR="00BE1744"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color w:val="000000" w:themeColor="text1"/>
          <w:sz w:val="24"/>
          <w:szCs w:val="24"/>
        </w:rPr>
        <w:t xml:space="preserve">lub </w:t>
      </w:r>
      <w:r w:rsidR="0D3949BA" w:rsidRPr="00CE1978">
        <w:rPr>
          <w:rFonts w:ascii="Times New Roman" w:eastAsia="Times New Roman" w:hAnsi="Times New Roman" w:cs="Times New Roman"/>
          <w:color w:val="000000" w:themeColor="text1"/>
          <w:sz w:val="24"/>
          <w:szCs w:val="24"/>
        </w:rPr>
        <w:t xml:space="preserve">są konsekwencją </w:t>
      </w:r>
      <w:r w:rsidR="00ABA004" w:rsidRPr="00CE1978">
        <w:rPr>
          <w:rFonts w:ascii="Times New Roman" w:eastAsia="Times New Roman" w:hAnsi="Times New Roman" w:cs="Times New Roman"/>
          <w:color w:val="000000" w:themeColor="text1"/>
          <w:sz w:val="24"/>
          <w:szCs w:val="24"/>
        </w:rPr>
        <w:t xml:space="preserve">rozwiązań wprowadzonych w </w:t>
      </w:r>
      <w:r w:rsidR="169C8021" w:rsidRPr="00CE1978">
        <w:rPr>
          <w:rFonts w:ascii="Times New Roman" w:eastAsia="Times New Roman" w:hAnsi="Times New Roman" w:cs="Times New Roman"/>
          <w:color w:val="000000" w:themeColor="text1"/>
          <w:sz w:val="24"/>
          <w:szCs w:val="24"/>
        </w:rPr>
        <w:t>P</w:t>
      </w:r>
      <w:r w:rsidR="3F2E40D6" w:rsidRPr="00CE1978">
        <w:rPr>
          <w:rFonts w:ascii="Times New Roman" w:eastAsia="Times New Roman" w:hAnsi="Times New Roman" w:cs="Times New Roman"/>
          <w:color w:val="000000" w:themeColor="text1"/>
          <w:sz w:val="24"/>
          <w:szCs w:val="24"/>
        </w:rPr>
        <w:t>ke</w:t>
      </w:r>
      <w:r w:rsidR="00873C39" w:rsidRPr="00CE1978">
        <w:rPr>
          <w:rFonts w:ascii="Times New Roman" w:eastAsia="Times New Roman" w:hAnsi="Times New Roman" w:cs="Times New Roman"/>
          <w:color w:val="000000" w:themeColor="text1"/>
          <w:sz w:val="24"/>
          <w:szCs w:val="24"/>
        </w:rPr>
        <w:t xml:space="preserve"> lub implementują</w:t>
      </w:r>
      <w:r w:rsidR="6994E716" w:rsidRPr="00CE1978">
        <w:rPr>
          <w:rFonts w:ascii="Times New Roman" w:eastAsia="Times New Roman" w:hAnsi="Times New Roman" w:cs="Times New Roman"/>
          <w:color w:val="000000" w:themeColor="text1"/>
          <w:sz w:val="24"/>
          <w:szCs w:val="24"/>
        </w:rPr>
        <w:t xml:space="preserve"> postanowienia EKŁE, które nie zostały uregulowane w Pke</w:t>
      </w:r>
      <w:r w:rsidR="0230CA6F" w:rsidRPr="00CE1978">
        <w:rPr>
          <w:rFonts w:ascii="Times New Roman" w:eastAsia="Times New Roman" w:hAnsi="Times New Roman" w:cs="Times New Roman"/>
          <w:color w:val="000000" w:themeColor="text1"/>
          <w:sz w:val="24"/>
          <w:szCs w:val="24"/>
        </w:rPr>
        <w:t>.</w:t>
      </w:r>
    </w:p>
    <w:p w14:paraId="1DCB54F2" w14:textId="0FE59A03" w:rsidR="2B94E369" w:rsidRPr="00C10C7D" w:rsidRDefault="2B94E369" w:rsidP="00F91F34">
      <w:pPr>
        <w:tabs>
          <w:tab w:val="left" w:pos="426"/>
        </w:tabs>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1.</w:t>
      </w:r>
      <w:r w:rsidR="00C10C7D">
        <w:rPr>
          <w:rFonts w:ascii="Times New Roman" w:eastAsia="Times New Roman" w:hAnsi="Times New Roman" w:cs="Times New Roman"/>
          <w:color w:val="000000" w:themeColor="text1"/>
          <w:sz w:val="24"/>
          <w:szCs w:val="24"/>
        </w:rPr>
        <w:tab/>
      </w:r>
      <w:r w:rsidRPr="00C10C7D">
        <w:rPr>
          <w:rFonts w:ascii="Times New Roman" w:eastAsia="Times New Roman" w:hAnsi="Times New Roman" w:cs="Times New Roman"/>
          <w:color w:val="000000" w:themeColor="text1"/>
          <w:sz w:val="24"/>
          <w:szCs w:val="24"/>
        </w:rPr>
        <w:t>Zmiany związane z aktualizacją odesłań zostały dokonane w:</w:t>
      </w:r>
    </w:p>
    <w:p w14:paraId="5184C022" w14:textId="13AFA5A7" w:rsidR="006F2B49" w:rsidRPr="00C10C7D" w:rsidRDefault="006F2B49" w:rsidP="00F91F34">
      <w:pPr>
        <w:pStyle w:val="Akapitzlist"/>
        <w:numPr>
          <w:ilvl w:val="0"/>
          <w:numId w:val="5"/>
        </w:numPr>
        <w:spacing w:before="120" w:after="0" w:line="360" w:lineRule="auto"/>
        <w:ind w:left="851" w:hanging="431"/>
        <w:contextualSpacing w:val="0"/>
        <w:jc w:val="both"/>
        <w:rPr>
          <w:rFonts w:ascii="Times New Roman" w:eastAsiaTheme="minorEastAsia" w:hAnsi="Times New Roman" w:cs="Times New Roman"/>
          <w:color w:val="000000" w:themeColor="text1"/>
          <w:sz w:val="24"/>
          <w:szCs w:val="24"/>
        </w:rPr>
      </w:pPr>
      <w:r w:rsidRPr="00C10C7D">
        <w:rPr>
          <w:rFonts w:ascii="Times New Roman" w:eastAsiaTheme="minorEastAsia" w:hAnsi="Times New Roman" w:cs="Times New Roman"/>
          <w:color w:val="000000" w:themeColor="text1"/>
          <w:sz w:val="24"/>
          <w:szCs w:val="24"/>
        </w:rPr>
        <w:t xml:space="preserve">ustawie z dnia 17 listopada 1964 r. </w:t>
      </w:r>
      <w:r w:rsidRPr="00C10C7D">
        <w:rPr>
          <w:rFonts w:ascii="Times New Roman" w:eastAsia="Times New Roman" w:hAnsi="Times New Roman" w:cs="Times New Roman"/>
          <w:sz w:val="24"/>
          <w:szCs w:val="24"/>
        </w:rPr>
        <w:t>– Kodeks postęp</w:t>
      </w:r>
      <w:r w:rsidR="00201618">
        <w:rPr>
          <w:rFonts w:ascii="Times New Roman" w:eastAsia="Times New Roman" w:hAnsi="Times New Roman" w:cs="Times New Roman"/>
          <w:sz w:val="24"/>
          <w:szCs w:val="24"/>
        </w:rPr>
        <w:t>owania cywilnego (Dz. U. z 2021 </w:t>
      </w:r>
      <w:r w:rsidRPr="00C10C7D">
        <w:rPr>
          <w:rFonts w:ascii="Times New Roman" w:eastAsia="Times New Roman" w:hAnsi="Times New Roman" w:cs="Times New Roman"/>
          <w:sz w:val="24"/>
          <w:szCs w:val="24"/>
        </w:rPr>
        <w:t>r. poz. 1805,</w:t>
      </w:r>
      <w:r w:rsidR="009F742C" w:rsidRPr="00C10C7D">
        <w:rPr>
          <w:rFonts w:ascii="Times New Roman" w:eastAsia="Times New Roman" w:hAnsi="Times New Roman" w:cs="Times New Roman"/>
          <w:sz w:val="24"/>
          <w:szCs w:val="24"/>
        </w:rPr>
        <w:t xml:space="preserve"> z późn. zm.);</w:t>
      </w:r>
    </w:p>
    <w:p w14:paraId="7521460A" w14:textId="2EE7BE51" w:rsidR="00795606" w:rsidRPr="00C10C7D" w:rsidRDefault="00795606" w:rsidP="00F91F34">
      <w:pPr>
        <w:pStyle w:val="Akapitzlist"/>
        <w:numPr>
          <w:ilvl w:val="0"/>
          <w:numId w:val="5"/>
        </w:numPr>
        <w:spacing w:before="120" w:after="0" w:line="360" w:lineRule="auto"/>
        <w:ind w:left="851" w:hanging="431"/>
        <w:contextualSpacing w:val="0"/>
        <w:jc w:val="both"/>
        <w:rPr>
          <w:rFonts w:ascii="Times New Roman" w:eastAsiaTheme="minorEastAsia" w:hAnsi="Times New Roman" w:cs="Times New Roman"/>
          <w:color w:val="000000" w:themeColor="text1"/>
          <w:sz w:val="24"/>
          <w:szCs w:val="24"/>
        </w:rPr>
      </w:pPr>
      <w:r w:rsidRPr="00C10C7D">
        <w:rPr>
          <w:rFonts w:ascii="Times New Roman" w:eastAsiaTheme="minorEastAsia" w:hAnsi="Times New Roman" w:cs="Times New Roman"/>
          <w:color w:val="000000" w:themeColor="text1"/>
          <w:sz w:val="24"/>
          <w:szCs w:val="24"/>
        </w:rPr>
        <w:t xml:space="preserve">ustawie z dnia 17 czerwca 1966 r. o postępowaniu egzekucyjnym w administracji </w:t>
      </w:r>
      <w:r w:rsidR="00201618">
        <w:rPr>
          <w:rFonts w:ascii="Times New Roman" w:eastAsiaTheme="minorEastAsia" w:hAnsi="Times New Roman" w:cs="Times New Roman"/>
          <w:color w:val="000000" w:themeColor="text1"/>
          <w:sz w:val="24"/>
          <w:szCs w:val="24"/>
        </w:rPr>
        <w:t>(Dz. </w:t>
      </w:r>
      <w:r w:rsidRPr="00C10C7D">
        <w:rPr>
          <w:rFonts w:ascii="Times New Roman" w:eastAsiaTheme="minorEastAsia" w:hAnsi="Times New Roman" w:cs="Times New Roman"/>
          <w:color w:val="000000" w:themeColor="text1"/>
          <w:sz w:val="24"/>
          <w:szCs w:val="24"/>
        </w:rPr>
        <w:t>U. z 2022 r. poz. 479</w:t>
      </w:r>
      <w:r w:rsidR="00717F70" w:rsidRPr="00C10C7D">
        <w:rPr>
          <w:rFonts w:ascii="Times New Roman" w:eastAsiaTheme="minorEastAsia" w:hAnsi="Times New Roman" w:cs="Times New Roman"/>
          <w:color w:val="000000" w:themeColor="text1"/>
          <w:sz w:val="24"/>
          <w:szCs w:val="24"/>
        </w:rPr>
        <w:t>, z późn. zm.</w:t>
      </w:r>
      <w:r w:rsidR="00977141" w:rsidRPr="00C10C7D">
        <w:rPr>
          <w:rFonts w:ascii="Times New Roman" w:eastAsiaTheme="minorEastAsia" w:hAnsi="Times New Roman" w:cs="Times New Roman"/>
          <w:color w:val="000000" w:themeColor="text1"/>
          <w:sz w:val="24"/>
          <w:szCs w:val="24"/>
        </w:rPr>
        <w:t>)</w:t>
      </w:r>
      <w:r w:rsidRPr="00C10C7D">
        <w:rPr>
          <w:rFonts w:ascii="Times New Roman" w:eastAsiaTheme="minorEastAsia" w:hAnsi="Times New Roman" w:cs="Times New Roman"/>
          <w:color w:val="000000" w:themeColor="text1"/>
          <w:sz w:val="24"/>
          <w:szCs w:val="24"/>
        </w:rPr>
        <w:t>;</w:t>
      </w:r>
    </w:p>
    <w:p w14:paraId="333424B6" w14:textId="4620201C" w:rsidR="00795606" w:rsidRPr="00532F3A" w:rsidRDefault="00795606" w:rsidP="00F91F34">
      <w:pPr>
        <w:pStyle w:val="Akapitzlist"/>
        <w:numPr>
          <w:ilvl w:val="0"/>
          <w:numId w:val="5"/>
        </w:numPr>
        <w:spacing w:before="120" w:after="0" w:line="360" w:lineRule="auto"/>
        <w:ind w:left="851" w:hanging="431"/>
        <w:contextualSpacing w:val="0"/>
        <w:jc w:val="both"/>
        <w:rPr>
          <w:rFonts w:ascii="Times New Roman" w:eastAsiaTheme="minorEastAsia" w:hAnsi="Times New Roman" w:cs="Times New Roman"/>
          <w:color w:val="000000" w:themeColor="text1"/>
          <w:sz w:val="24"/>
          <w:szCs w:val="24"/>
        </w:rPr>
      </w:pPr>
      <w:r w:rsidRPr="00C10C7D">
        <w:rPr>
          <w:rFonts w:ascii="Times New Roman" w:eastAsiaTheme="minorEastAsia" w:hAnsi="Times New Roman" w:cs="Times New Roman"/>
          <w:color w:val="000000" w:themeColor="text1"/>
          <w:sz w:val="24"/>
          <w:szCs w:val="24"/>
        </w:rPr>
        <w:t>ustawie z dnia 6 lipca 1982 r. o księgach wieczystych i hipotece (</w:t>
      </w:r>
      <w:r w:rsidR="009E29B0" w:rsidRPr="00F91F34">
        <w:rPr>
          <w:rFonts w:ascii="Times New Roman" w:hAnsi="Times New Roman" w:cs="Times New Roman"/>
          <w:sz w:val="24"/>
          <w:szCs w:val="24"/>
        </w:rPr>
        <w:t>Dz.</w:t>
      </w:r>
      <w:r w:rsidR="00532F3A">
        <w:rPr>
          <w:rFonts w:ascii="Times New Roman" w:hAnsi="Times New Roman" w:cs="Times New Roman"/>
          <w:sz w:val="24"/>
          <w:szCs w:val="24"/>
        </w:rPr>
        <w:t xml:space="preserve"> </w:t>
      </w:r>
      <w:r w:rsidR="009E29B0" w:rsidRPr="00F91F34">
        <w:rPr>
          <w:rFonts w:ascii="Times New Roman" w:hAnsi="Times New Roman" w:cs="Times New Roman"/>
          <w:sz w:val="24"/>
          <w:szCs w:val="24"/>
        </w:rPr>
        <w:t>U. z</w:t>
      </w:r>
      <w:r w:rsidR="00532F3A">
        <w:rPr>
          <w:rFonts w:ascii="Times New Roman" w:hAnsi="Times New Roman" w:cs="Times New Roman"/>
          <w:sz w:val="24"/>
          <w:szCs w:val="24"/>
        </w:rPr>
        <w:t xml:space="preserve"> </w:t>
      </w:r>
      <w:r w:rsidR="009E29B0" w:rsidRPr="00F91F34">
        <w:rPr>
          <w:rFonts w:ascii="Times New Roman" w:hAnsi="Times New Roman" w:cs="Times New Roman"/>
          <w:sz w:val="24"/>
          <w:szCs w:val="24"/>
        </w:rPr>
        <w:t>2022</w:t>
      </w:r>
      <w:r w:rsidR="00532F3A">
        <w:rPr>
          <w:rFonts w:ascii="Times New Roman" w:hAnsi="Times New Roman" w:cs="Times New Roman"/>
          <w:sz w:val="24"/>
          <w:szCs w:val="24"/>
        </w:rPr>
        <w:t xml:space="preserve"> </w:t>
      </w:r>
      <w:r w:rsidR="00201618">
        <w:rPr>
          <w:rFonts w:ascii="Times New Roman" w:hAnsi="Times New Roman" w:cs="Times New Roman"/>
          <w:sz w:val="24"/>
          <w:szCs w:val="24"/>
        </w:rPr>
        <w:t>r. poz. </w:t>
      </w:r>
      <w:r w:rsidR="009E29B0" w:rsidRPr="00F91F34">
        <w:rPr>
          <w:rFonts w:ascii="Times New Roman" w:hAnsi="Times New Roman" w:cs="Times New Roman"/>
          <w:sz w:val="24"/>
          <w:szCs w:val="24"/>
        </w:rPr>
        <w:t>1728</w:t>
      </w:r>
      <w:r w:rsidR="00717F70" w:rsidRPr="00F91F34">
        <w:rPr>
          <w:rFonts w:ascii="Times New Roman" w:hAnsi="Times New Roman" w:cs="Times New Roman"/>
          <w:sz w:val="24"/>
          <w:szCs w:val="24"/>
        </w:rPr>
        <w:t>, z późn. zm.</w:t>
      </w:r>
      <w:r w:rsidRPr="00532F3A">
        <w:rPr>
          <w:rFonts w:ascii="Times New Roman" w:eastAsiaTheme="minorEastAsia" w:hAnsi="Times New Roman" w:cs="Times New Roman"/>
          <w:color w:val="000000" w:themeColor="text1"/>
          <w:sz w:val="24"/>
          <w:szCs w:val="24"/>
        </w:rPr>
        <w:t>)</w:t>
      </w:r>
      <w:r w:rsidR="00735B69" w:rsidRPr="00532F3A">
        <w:rPr>
          <w:rFonts w:ascii="Times New Roman" w:eastAsiaTheme="minorEastAsia" w:hAnsi="Times New Roman" w:cs="Times New Roman"/>
          <w:color w:val="000000" w:themeColor="text1"/>
          <w:sz w:val="24"/>
          <w:szCs w:val="24"/>
        </w:rPr>
        <w:t>;</w:t>
      </w:r>
    </w:p>
    <w:p w14:paraId="72BEE8E1" w14:textId="4AF861AA" w:rsidR="3AD5D012" w:rsidRPr="00532F3A" w:rsidRDefault="3AD5D012" w:rsidP="00F91F34">
      <w:pPr>
        <w:pStyle w:val="Akapitzlist"/>
        <w:numPr>
          <w:ilvl w:val="0"/>
          <w:numId w:val="5"/>
        </w:numPr>
        <w:spacing w:before="120" w:after="0" w:line="360" w:lineRule="auto"/>
        <w:ind w:left="851" w:hanging="431"/>
        <w:contextualSpacing w:val="0"/>
        <w:jc w:val="both"/>
        <w:rPr>
          <w:rFonts w:ascii="Times New Roman" w:eastAsiaTheme="minorEastAsia"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 xml:space="preserve">ustawie z dnia 21 marca 1985 r. o drogach publicznych </w:t>
      </w:r>
      <w:r w:rsidR="00795606" w:rsidRPr="00532F3A">
        <w:rPr>
          <w:rFonts w:ascii="Times New Roman" w:eastAsia="Times New Roman" w:hAnsi="Times New Roman" w:cs="Times New Roman"/>
          <w:color w:val="000000" w:themeColor="text1"/>
          <w:sz w:val="24"/>
          <w:szCs w:val="24"/>
        </w:rPr>
        <w:t>(</w:t>
      </w:r>
      <w:r w:rsidR="009E29B0" w:rsidRPr="00532F3A">
        <w:rPr>
          <w:rFonts w:ascii="Times New Roman" w:hAnsi="Times New Roman" w:cs="Times New Roman"/>
          <w:sz w:val="24"/>
          <w:szCs w:val="24"/>
        </w:rPr>
        <w:t>Dz.</w:t>
      </w:r>
      <w:r w:rsidR="00532F3A">
        <w:rPr>
          <w:rFonts w:ascii="Times New Roman" w:hAnsi="Times New Roman" w:cs="Times New Roman"/>
          <w:sz w:val="24"/>
          <w:szCs w:val="24"/>
        </w:rPr>
        <w:t xml:space="preserve"> </w:t>
      </w:r>
      <w:r w:rsidR="009E29B0" w:rsidRPr="00532F3A">
        <w:rPr>
          <w:rFonts w:ascii="Times New Roman" w:hAnsi="Times New Roman" w:cs="Times New Roman"/>
          <w:sz w:val="24"/>
          <w:szCs w:val="24"/>
        </w:rPr>
        <w:t>U. z</w:t>
      </w:r>
      <w:r w:rsidR="00532F3A">
        <w:rPr>
          <w:rFonts w:ascii="Times New Roman" w:hAnsi="Times New Roman" w:cs="Times New Roman"/>
          <w:sz w:val="24"/>
          <w:szCs w:val="24"/>
        </w:rPr>
        <w:t xml:space="preserve"> </w:t>
      </w:r>
      <w:r w:rsidR="009E29B0" w:rsidRPr="00532F3A">
        <w:rPr>
          <w:rFonts w:ascii="Times New Roman" w:hAnsi="Times New Roman" w:cs="Times New Roman"/>
          <w:sz w:val="24"/>
          <w:szCs w:val="24"/>
        </w:rPr>
        <w:t>2022 r. poz. 1693</w:t>
      </w:r>
      <w:r w:rsidR="00201618">
        <w:rPr>
          <w:rFonts w:ascii="Times New Roman" w:hAnsi="Times New Roman" w:cs="Times New Roman"/>
          <w:sz w:val="24"/>
          <w:szCs w:val="24"/>
        </w:rPr>
        <w:t>, z </w:t>
      </w:r>
      <w:r w:rsidR="00812798" w:rsidRPr="00532F3A">
        <w:rPr>
          <w:rFonts w:ascii="Times New Roman" w:hAnsi="Times New Roman" w:cs="Times New Roman"/>
          <w:sz w:val="24"/>
          <w:szCs w:val="24"/>
        </w:rPr>
        <w:t>późn. zm.</w:t>
      </w:r>
      <w:r w:rsidR="009F742C" w:rsidRPr="00532F3A">
        <w:rPr>
          <w:rFonts w:ascii="Times New Roman" w:eastAsia="Times New Roman" w:hAnsi="Times New Roman" w:cs="Times New Roman"/>
          <w:color w:val="000000" w:themeColor="text1"/>
          <w:sz w:val="24"/>
          <w:szCs w:val="24"/>
        </w:rPr>
        <w:t>);</w:t>
      </w:r>
      <w:r w:rsidR="00795606" w:rsidRPr="00532F3A">
        <w:rPr>
          <w:rFonts w:ascii="Times New Roman" w:eastAsia="Times New Roman" w:hAnsi="Times New Roman" w:cs="Times New Roman"/>
          <w:color w:val="000000" w:themeColor="text1"/>
          <w:sz w:val="24"/>
          <w:szCs w:val="24"/>
        </w:rPr>
        <w:t xml:space="preserve"> </w:t>
      </w:r>
    </w:p>
    <w:p w14:paraId="20F8F454" w14:textId="370EA671" w:rsidR="7C2C5DE8" w:rsidRPr="00532F3A" w:rsidRDefault="7C2C5DE8" w:rsidP="00F91F34">
      <w:pPr>
        <w:pStyle w:val="Akapitzlist"/>
        <w:numPr>
          <w:ilvl w:val="0"/>
          <w:numId w:val="5"/>
        </w:numPr>
        <w:spacing w:before="120" w:after="0" w:line="360" w:lineRule="auto"/>
        <w:ind w:left="851" w:hanging="431"/>
        <w:contextualSpacing w:val="0"/>
        <w:jc w:val="both"/>
        <w:rPr>
          <w:rFonts w:ascii="Times New Roman" w:eastAsiaTheme="minorEastAsia"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ustawie z dnia 6 kwietnia 1990 r. o Policji (</w:t>
      </w:r>
      <w:r w:rsidR="009E29B0" w:rsidRPr="00532F3A">
        <w:rPr>
          <w:rFonts w:ascii="Times New Roman" w:hAnsi="Times New Roman" w:cs="Times New Roman"/>
          <w:sz w:val="24"/>
          <w:szCs w:val="24"/>
        </w:rPr>
        <w:t>Dz.</w:t>
      </w:r>
      <w:r w:rsidR="00532F3A">
        <w:rPr>
          <w:rFonts w:ascii="Times New Roman" w:hAnsi="Times New Roman" w:cs="Times New Roman"/>
          <w:sz w:val="24"/>
          <w:szCs w:val="24"/>
        </w:rPr>
        <w:t xml:space="preserve"> </w:t>
      </w:r>
      <w:r w:rsidR="009E29B0" w:rsidRPr="00532F3A">
        <w:rPr>
          <w:rFonts w:ascii="Times New Roman" w:hAnsi="Times New Roman" w:cs="Times New Roman"/>
          <w:sz w:val="24"/>
          <w:szCs w:val="24"/>
        </w:rPr>
        <w:t>U. z</w:t>
      </w:r>
      <w:r w:rsidR="00532F3A">
        <w:rPr>
          <w:rFonts w:ascii="Times New Roman" w:hAnsi="Times New Roman" w:cs="Times New Roman"/>
          <w:sz w:val="24"/>
          <w:szCs w:val="24"/>
        </w:rPr>
        <w:t xml:space="preserve"> </w:t>
      </w:r>
      <w:r w:rsidR="009E29B0" w:rsidRPr="00532F3A">
        <w:rPr>
          <w:rFonts w:ascii="Times New Roman" w:hAnsi="Times New Roman" w:cs="Times New Roman"/>
          <w:sz w:val="24"/>
          <w:szCs w:val="24"/>
        </w:rPr>
        <w:t>2021</w:t>
      </w:r>
      <w:r w:rsidR="00532F3A">
        <w:rPr>
          <w:rFonts w:ascii="Times New Roman" w:hAnsi="Times New Roman" w:cs="Times New Roman"/>
          <w:sz w:val="24"/>
          <w:szCs w:val="24"/>
        </w:rPr>
        <w:t xml:space="preserve"> </w:t>
      </w:r>
      <w:r w:rsidR="009E29B0" w:rsidRPr="00532F3A">
        <w:rPr>
          <w:rFonts w:ascii="Times New Roman" w:hAnsi="Times New Roman" w:cs="Times New Roman"/>
          <w:sz w:val="24"/>
          <w:szCs w:val="24"/>
        </w:rPr>
        <w:t>r. poz.</w:t>
      </w:r>
      <w:r w:rsidR="00532F3A">
        <w:rPr>
          <w:rFonts w:ascii="Times New Roman" w:hAnsi="Times New Roman" w:cs="Times New Roman"/>
          <w:sz w:val="24"/>
          <w:szCs w:val="24"/>
        </w:rPr>
        <w:t xml:space="preserve"> </w:t>
      </w:r>
      <w:r w:rsidR="009E29B0" w:rsidRPr="00532F3A">
        <w:rPr>
          <w:rFonts w:ascii="Times New Roman" w:hAnsi="Times New Roman" w:cs="Times New Roman"/>
          <w:sz w:val="24"/>
          <w:szCs w:val="24"/>
        </w:rPr>
        <w:t>1882</w:t>
      </w:r>
      <w:r w:rsidR="00812798" w:rsidRPr="00532F3A">
        <w:rPr>
          <w:rFonts w:ascii="Times New Roman" w:hAnsi="Times New Roman" w:cs="Times New Roman"/>
          <w:sz w:val="24"/>
          <w:szCs w:val="24"/>
        </w:rPr>
        <w:t>, z późn. zm.</w:t>
      </w:r>
      <w:r w:rsidR="009E29B0" w:rsidRPr="00532F3A">
        <w:rPr>
          <w:rFonts w:ascii="Times New Roman" w:hAnsi="Times New Roman" w:cs="Times New Roman"/>
          <w:sz w:val="24"/>
          <w:szCs w:val="24"/>
        </w:rPr>
        <w:t>)</w:t>
      </w:r>
      <w:r w:rsidR="520B6983" w:rsidRPr="00532F3A">
        <w:rPr>
          <w:rFonts w:ascii="Times New Roman" w:eastAsia="Times New Roman" w:hAnsi="Times New Roman" w:cs="Times New Roman"/>
          <w:color w:val="000000" w:themeColor="text1"/>
          <w:sz w:val="24"/>
          <w:szCs w:val="24"/>
        </w:rPr>
        <w:t>;</w:t>
      </w:r>
    </w:p>
    <w:p w14:paraId="09C20646" w14:textId="3CA81573" w:rsidR="7C2C5DE8" w:rsidRPr="00CE1978"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ustawie z dnia 12 października 1990 r. o Straży Granicznej (Dz. U. z 202</w:t>
      </w:r>
      <w:r w:rsidR="00977141" w:rsidRPr="00532F3A">
        <w:rPr>
          <w:rFonts w:ascii="Times New Roman" w:eastAsia="Times New Roman" w:hAnsi="Times New Roman" w:cs="Times New Roman"/>
          <w:color w:val="000000" w:themeColor="text1"/>
          <w:sz w:val="24"/>
          <w:szCs w:val="24"/>
        </w:rPr>
        <w:t>2 r. poz. 1061</w:t>
      </w:r>
      <w:r w:rsidR="00540CB5" w:rsidRPr="00532F3A">
        <w:rPr>
          <w:rFonts w:ascii="Times New Roman" w:eastAsia="Times New Roman" w:hAnsi="Times New Roman" w:cs="Times New Roman"/>
          <w:color w:val="000000" w:themeColor="text1"/>
          <w:sz w:val="24"/>
          <w:szCs w:val="24"/>
        </w:rPr>
        <w:t>, z późn. zm.</w:t>
      </w:r>
      <w:r w:rsidR="009F742C" w:rsidRPr="00CE1978">
        <w:rPr>
          <w:rFonts w:ascii="Times New Roman" w:eastAsia="Times New Roman" w:hAnsi="Times New Roman" w:cs="Times New Roman"/>
          <w:color w:val="000000" w:themeColor="text1"/>
          <w:sz w:val="24"/>
          <w:szCs w:val="24"/>
        </w:rPr>
        <w:t>);</w:t>
      </w:r>
    </w:p>
    <w:p w14:paraId="7377510A" w14:textId="3AD68E4F" w:rsidR="7C2C5DE8" w:rsidRPr="00532F3A" w:rsidRDefault="7C2C5DE8" w:rsidP="00F91F34">
      <w:pPr>
        <w:pStyle w:val="Akapitzlist"/>
        <w:numPr>
          <w:ilvl w:val="0"/>
          <w:numId w:val="5"/>
        </w:numPr>
        <w:spacing w:before="120" w:after="0" w:line="360" w:lineRule="auto"/>
        <w:ind w:left="851" w:hanging="431"/>
        <w:contextualSpacing w:val="0"/>
        <w:jc w:val="both"/>
        <w:rPr>
          <w:rFonts w:ascii="Times New Roman" w:eastAsiaTheme="minorEastAsia"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24 sierpnia 1991 r. o ochronie przeciwpożarowej (</w:t>
      </w:r>
      <w:r w:rsidR="009E29B0" w:rsidRPr="00C10C7D">
        <w:rPr>
          <w:rFonts w:ascii="Times New Roman" w:hAnsi="Times New Roman" w:cs="Times New Roman"/>
          <w:sz w:val="24"/>
          <w:szCs w:val="24"/>
        </w:rPr>
        <w:t>Dz.</w:t>
      </w:r>
      <w:r w:rsidR="00532F3A">
        <w:rPr>
          <w:rFonts w:ascii="Times New Roman" w:hAnsi="Times New Roman" w:cs="Times New Roman"/>
          <w:sz w:val="24"/>
          <w:szCs w:val="24"/>
        </w:rPr>
        <w:t xml:space="preserve"> </w:t>
      </w:r>
      <w:r w:rsidR="009E29B0" w:rsidRPr="00532F3A">
        <w:rPr>
          <w:rFonts w:ascii="Times New Roman" w:hAnsi="Times New Roman" w:cs="Times New Roman"/>
          <w:sz w:val="24"/>
          <w:szCs w:val="24"/>
        </w:rPr>
        <w:t>U. z</w:t>
      </w:r>
      <w:r w:rsidR="00532F3A">
        <w:rPr>
          <w:rFonts w:ascii="Times New Roman" w:hAnsi="Times New Roman" w:cs="Times New Roman"/>
          <w:sz w:val="24"/>
          <w:szCs w:val="24"/>
        </w:rPr>
        <w:t xml:space="preserve"> </w:t>
      </w:r>
      <w:r w:rsidR="00540CB5" w:rsidRPr="00532F3A">
        <w:rPr>
          <w:rFonts w:ascii="Times New Roman" w:hAnsi="Times New Roman" w:cs="Times New Roman"/>
          <w:sz w:val="24"/>
          <w:szCs w:val="24"/>
        </w:rPr>
        <w:t>2022</w:t>
      </w:r>
      <w:r w:rsidR="00532F3A">
        <w:rPr>
          <w:rFonts w:ascii="Times New Roman" w:hAnsi="Times New Roman" w:cs="Times New Roman"/>
          <w:sz w:val="24"/>
          <w:szCs w:val="24"/>
        </w:rPr>
        <w:t xml:space="preserve"> </w:t>
      </w:r>
      <w:r w:rsidR="009E29B0" w:rsidRPr="00532F3A">
        <w:rPr>
          <w:rFonts w:ascii="Times New Roman" w:hAnsi="Times New Roman" w:cs="Times New Roman"/>
          <w:sz w:val="24"/>
          <w:szCs w:val="24"/>
        </w:rPr>
        <w:t>r. poz.</w:t>
      </w:r>
      <w:r w:rsidR="00201618">
        <w:rPr>
          <w:rFonts w:ascii="Times New Roman" w:hAnsi="Times New Roman" w:cs="Times New Roman"/>
          <w:sz w:val="24"/>
          <w:szCs w:val="24"/>
        </w:rPr>
        <w:t> </w:t>
      </w:r>
      <w:r w:rsidR="00540CB5" w:rsidRPr="00532F3A">
        <w:rPr>
          <w:rFonts w:ascii="Times New Roman" w:eastAsia="Times New Roman" w:hAnsi="Times New Roman" w:cs="Times New Roman"/>
          <w:sz w:val="24"/>
          <w:szCs w:val="24"/>
        </w:rPr>
        <w:t>2057</w:t>
      </w:r>
      <w:r w:rsidRPr="00532F3A">
        <w:rPr>
          <w:rFonts w:ascii="Times New Roman" w:eastAsia="Times New Roman" w:hAnsi="Times New Roman" w:cs="Times New Roman"/>
          <w:color w:val="000000" w:themeColor="text1"/>
          <w:sz w:val="24"/>
          <w:szCs w:val="24"/>
        </w:rPr>
        <w:t>)</w:t>
      </w:r>
      <w:r w:rsidR="6F1F36AA" w:rsidRPr="00532F3A">
        <w:rPr>
          <w:rFonts w:ascii="Times New Roman" w:eastAsia="Times New Roman" w:hAnsi="Times New Roman" w:cs="Times New Roman"/>
          <w:color w:val="000000" w:themeColor="text1"/>
          <w:sz w:val="24"/>
          <w:szCs w:val="24"/>
        </w:rPr>
        <w:t>;</w:t>
      </w:r>
    </w:p>
    <w:p w14:paraId="436CF3E1" w14:textId="12E004B4" w:rsidR="7C2C5DE8" w:rsidRPr="00C10C7D"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ustawie z dnia 15 lutego 1992 r. o podatku dochodowym od osób prawnych (</w:t>
      </w:r>
      <w:r w:rsidR="00201618">
        <w:rPr>
          <w:rFonts w:ascii="Times New Roman" w:eastAsia="Times New Roman" w:hAnsi="Times New Roman" w:cs="Times New Roman"/>
          <w:color w:val="000000" w:themeColor="text1"/>
          <w:sz w:val="24"/>
          <w:szCs w:val="24"/>
        </w:rPr>
        <w:t>Dz. U. z </w:t>
      </w:r>
      <w:r w:rsidR="001B24C8" w:rsidRPr="00532F3A">
        <w:rPr>
          <w:rFonts w:ascii="Times New Roman" w:eastAsia="Times New Roman" w:hAnsi="Times New Roman" w:cs="Times New Roman"/>
          <w:color w:val="000000" w:themeColor="text1"/>
          <w:sz w:val="24"/>
          <w:szCs w:val="24"/>
        </w:rPr>
        <w:t xml:space="preserve">2021 r. </w:t>
      </w:r>
      <w:r w:rsidR="009F742C" w:rsidRPr="00CE1978">
        <w:rPr>
          <w:rFonts w:ascii="Times New Roman" w:eastAsia="Times New Roman" w:hAnsi="Times New Roman" w:cs="Times New Roman"/>
          <w:color w:val="000000" w:themeColor="text1"/>
          <w:sz w:val="24"/>
          <w:szCs w:val="24"/>
        </w:rPr>
        <w:t xml:space="preserve">poz. </w:t>
      </w:r>
      <w:r w:rsidR="00977141" w:rsidRPr="00CE1978">
        <w:rPr>
          <w:rFonts w:ascii="Times New Roman" w:eastAsia="Times New Roman" w:hAnsi="Times New Roman" w:cs="Times New Roman"/>
          <w:color w:val="000000" w:themeColor="text1"/>
          <w:sz w:val="24"/>
          <w:szCs w:val="24"/>
        </w:rPr>
        <w:t>1800</w:t>
      </w:r>
      <w:r w:rsidR="007D449E" w:rsidRPr="00C10C7D">
        <w:rPr>
          <w:rFonts w:ascii="Times New Roman" w:eastAsia="Times New Roman" w:hAnsi="Times New Roman" w:cs="Times New Roman"/>
          <w:color w:val="000000" w:themeColor="text1"/>
          <w:sz w:val="24"/>
          <w:szCs w:val="24"/>
        </w:rPr>
        <w:t>, z późn. zm.</w:t>
      </w:r>
      <w:r w:rsidR="009F742C" w:rsidRPr="00C10C7D">
        <w:rPr>
          <w:rFonts w:ascii="Times New Roman" w:eastAsia="Times New Roman" w:hAnsi="Times New Roman" w:cs="Times New Roman"/>
          <w:color w:val="000000" w:themeColor="text1"/>
          <w:sz w:val="24"/>
          <w:szCs w:val="24"/>
        </w:rPr>
        <w:t>);</w:t>
      </w:r>
    </w:p>
    <w:p w14:paraId="45D4D355" w14:textId="312E0890" w:rsidR="7114A98E" w:rsidRPr="00532F3A" w:rsidRDefault="7114A98E" w:rsidP="00F91F34">
      <w:pPr>
        <w:pStyle w:val="Akapitzlist"/>
        <w:numPr>
          <w:ilvl w:val="0"/>
          <w:numId w:val="5"/>
        </w:numPr>
        <w:spacing w:before="120" w:after="0" w:line="360" w:lineRule="auto"/>
        <w:ind w:left="851" w:hanging="431"/>
        <w:jc w:val="both"/>
        <w:rPr>
          <w:rFonts w:ascii="Times New Roman" w:eastAsiaTheme="minorEastAsia"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29 grudnia 1992 r. o radiofonii i telewizji (</w:t>
      </w:r>
      <w:r w:rsidR="003D36FF" w:rsidRPr="00C10C7D">
        <w:rPr>
          <w:rFonts w:ascii="Times New Roman" w:hAnsi="Times New Roman" w:cs="Times New Roman"/>
          <w:sz w:val="24"/>
          <w:szCs w:val="24"/>
        </w:rPr>
        <w:t>Dz.</w:t>
      </w:r>
      <w:r w:rsidR="00532F3A">
        <w:rPr>
          <w:rFonts w:ascii="Times New Roman" w:hAnsi="Times New Roman" w:cs="Times New Roman"/>
          <w:sz w:val="24"/>
          <w:szCs w:val="24"/>
        </w:rPr>
        <w:t xml:space="preserve"> </w:t>
      </w:r>
      <w:r w:rsidR="003D36FF" w:rsidRPr="00532F3A">
        <w:rPr>
          <w:rFonts w:ascii="Times New Roman" w:hAnsi="Times New Roman" w:cs="Times New Roman"/>
          <w:sz w:val="24"/>
          <w:szCs w:val="24"/>
        </w:rPr>
        <w:t>U. z</w:t>
      </w:r>
      <w:r w:rsidR="00532F3A">
        <w:rPr>
          <w:rFonts w:ascii="Times New Roman" w:hAnsi="Times New Roman" w:cs="Times New Roman"/>
          <w:sz w:val="24"/>
          <w:szCs w:val="24"/>
        </w:rPr>
        <w:t xml:space="preserve"> </w:t>
      </w:r>
      <w:r w:rsidR="003D36FF" w:rsidRPr="00532F3A">
        <w:rPr>
          <w:rFonts w:ascii="Times New Roman" w:hAnsi="Times New Roman" w:cs="Times New Roman"/>
          <w:sz w:val="24"/>
          <w:szCs w:val="24"/>
        </w:rPr>
        <w:t>2022</w:t>
      </w:r>
      <w:r w:rsidR="00532F3A">
        <w:rPr>
          <w:rFonts w:ascii="Times New Roman" w:hAnsi="Times New Roman" w:cs="Times New Roman"/>
          <w:sz w:val="24"/>
          <w:szCs w:val="24"/>
        </w:rPr>
        <w:t xml:space="preserve"> </w:t>
      </w:r>
      <w:r w:rsidR="003D36FF" w:rsidRPr="00532F3A">
        <w:rPr>
          <w:rFonts w:ascii="Times New Roman" w:hAnsi="Times New Roman" w:cs="Times New Roman"/>
          <w:sz w:val="24"/>
          <w:szCs w:val="24"/>
        </w:rPr>
        <w:t>r. poz. 1722</w:t>
      </w:r>
      <w:r w:rsidRPr="00532F3A">
        <w:rPr>
          <w:rFonts w:ascii="Times New Roman" w:eastAsia="Times New Roman" w:hAnsi="Times New Roman" w:cs="Times New Roman"/>
          <w:color w:val="000000" w:themeColor="text1"/>
          <w:sz w:val="24"/>
          <w:szCs w:val="24"/>
        </w:rPr>
        <w:t>)</w:t>
      </w:r>
      <w:r w:rsidR="00472D41" w:rsidRPr="00532F3A">
        <w:rPr>
          <w:rFonts w:ascii="Times New Roman" w:eastAsia="Times New Roman" w:hAnsi="Times New Roman" w:cs="Times New Roman"/>
          <w:color w:val="000000" w:themeColor="text1"/>
          <w:sz w:val="24"/>
          <w:szCs w:val="24"/>
        </w:rPr>
        <w:t>;</w:t>
      </w:r>
    </w:p>
    <w:p w14:paraId="10BC407E" w14:textId="3EFDFF2B" w:rsidR="7C2C5DE8" w:rsidRPr="00C10C7D"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ustawie z dnia 4 lutego 1994 r. o prawie autorskim</w:t>
      </w:r>
      <w:r w:rsidR="00201618">
        <w:rPr>
          <w:rFonts w:ascii="Times New Roman" w:eastAsia="Times New Roman" w:hAnsi="Times New Roman" w:cs="Times New Roman"/>
          <w:color w:val="000000" w:themeColor="text1"/>
          <w:sz w:val="24"/>
          <w:szCs w:val="24"/>
        </w:rPr>
        <w:t xml:space="preserve"> i prawach pokrewnych (Dz. U. z </w:t>
      </w:r>
      <w:r w:rsidR="001B24C8" w:rsidRPr="00532F3A">
        <w:rPr>
          <w:rFonts w:ascii="Times New Roman" w:eastAsia="Times New Roman" w:hAnsi="Times New Roman" w:cs="Times New Roman"/>
          <w:color w:val="000000" w:themeColor="text1"/>
          <w:sz w:val="24"/>
          <w:szCs w:val="24"/>
        </w:rPr>
        <w:t>2021 r. poz. 1062</w:t>
      </w:r>
      <w:r w:rsidR="00540CB5" w:rsidRPr="00CE1978">
        <w:rPr>
          <w:rFonts w:ascii="Times New Roman" w:eastAsia="Times New Roman" w:hAnsi="Times New Roman" w:cs="Times New Roman"/>
          <w:color w:val="000000" w:themeColor="text1"/>
          <w:sz w:val="24"/>
          <w:szCs w:val="24"/>
        </w:rPr>
        <w:t>, z późn. zm.</w:t>
      </w:r>
      <w:r w:rsidRPr="00CE1978">
        <w:rPr>
          <w:rFonts w:ascii="Times New Roman" w:eastAsia="Times New Roman" w:hAnsi="Times New Roman" w:cs="Times New Roman"/>
          <w:color w:val="000000" w:themeColor="text1"/>
          <w:sz w:val="24"/>
          <w:szCs w:val="24"/>
        </w:rPr>
        <w:t>)</w:t>
      </w:r>
      <w:r w:rsidR="05A07513" w:rsidRPr="00C10C7D">
        <w:rPr>
          <w:rFonts w:ascii="Times New Roman" w:eastAsia="Times New Roman" w:hAnsi="Times New Roman" w:cs="Times New Roman"/>
          <w:color w:val="000000" w:themeColor="text1"/>
          <w:sz w:val="24"/>
          <w:szCs w:val="24"/>
        </w:rPr>
        <w:t>;</w:t>
      </w:r>
    </w:p>
    <w:p w14:paraId="2102E8BC" w14:textId="557A1DA2" w:rsidR="6198B2D5" w:rsidRPr="00F91F34" w:rsidRDefault="6198B2D5"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F91F34">
        <w:rPr>
          <w:rFonts w:ascii="Times New Roman" w:eastAsia="Times New Roman" w:hAnsi="Times New Roman" w:cs="Times New Roman"/>
          <w:color w:val="000000" w:themeColor="text1"/>
          <w:sz w:val="24"/>
          <w:szCs w:val="24"/>
        </w:rPr>
        <w:lastRenderedPageBreak/>
        <w:t xml:space="preserve">ustawie z dnia 7 lipca 1994 r. </w:t>
      </w:r>
      <w:r w:rsidR="001B24C8" w:rsidRPr="00F91F34">
        <w:rPr>
          <w:rFonts w:ascii="Times New Roman" w:eastAsia="Times New Roman" w:hAnsi="Times New Roman" w:cs="Times New Roman"/>
          <w:color w:val="000000" w:themeColor="text1"/>
          <w:sz w:val="24"/>
          <w:szCs w:val="24"/>
        </w:rPr>
        <w:t xml:space="preserve">– </w:t>
      </w:r>
      <w:r w:rsidRPr="00F91F34">
        <w:rPr>
          <w:rFonts w:ascii="Times New Roman" w:eastAsia="Times New Roman" w:hAnsi="Times New Roman" w:cs="Times New Roman"/>
          <w:color w:val="000000" w:themeColor="text1"/>
          <w:sz w:val="24"/>
          <w:szCs w:val="24"/>
        </w:rPr>
        <w:t>Prawo budowlane (Dz. U. z 202</w:t>
      </w:r>
      <w:r w:rsidR="001B24C8" w:rsidRPr="00F91F34">
        <w:rPr>
          <w:rFonts w:ascii="Times New Roman" w:eastAsia="Times New Roman" w:hAnsi="Times New Roman" w:cs="Times New Roman"/>
          <w:color w:val="000000" w:themeColor="text1"/>
          <w:sz w:val="24"/>
          <w:szCs w:val="24"/>
        </w:rPr>
        <w:t>1</w:t>
      </w:r>
      <w:r w:rsidRPr="00F91F34">
        <w:rPr>
          <w:rFonts w:ascii="Times New Roman" w:eastAsia="Times New Roman" w:hAnsi="Times New Roman" w:cs="Times New Roman"/>
          <w:color w:val="000000" w:themeColor="text1"/>
          <w:sz w:val="24"/>
          <w:szCs w:val="24"/>
        </w:rPr>
        <w:t xml:space="preserve"> r. poz. </w:t>
      </w:r>
      <w:r w:rsidR="001B24C8" w:rsidRPr="00F91F34">
        <w:rPr>
          <w:rFonts w:ascii="Times New Roman" w:eastAsia="Times New Roman" w:hAnsi="Times New Roman" w:cs="Times New Roman"/>
          <w:color w:val="000000" w:themeColor="text1"/>
          <w:sz w:val="24"/>
          <w:szCs w:val="24"/>
        </w:rPr>
        <w:t>2351</w:t>
      </w:r>
      <w:r w:rsidR="00DD4606">
        <w:rPr>
          <w:rFonts w:ascii="Times New Roman" w:eastAsia="Times New Roman" w:hAnsi="Times New Roman" w:cs="Times New Roman"/>
          <w:color w:val="000000" w:themeColor="text1"/>
          <w:sz w:val="24"/>
          <w:szCs w:val="24"/>
        </w:rPr>
        <w:t>, z późn. </w:t>
      </w:r>
      <w:r w:rsidR="00540CB5" w:rsidRPr="00F91F34">
        <w:rPr>
          <w:rFonts w:ascii="Times New Roman" w:eastAsia="Times New Roman" w:hAnsi="Times New Roman" w:cs="Times New Roman"/>
          <w:color w:val="000000" w:themeColor="text1"/>
          <w:sz w:val="24"/>
          <w:szCs w:val="24"/>
        </w:rPr>
        <w:t>zm.</w:t>
      </w:r>
      <w:r w:rsidRPr="00F91F34">
        <w:rPr>
          <w:rFonts w:ascii="Times New Roman" w:eastAsia="Times New Roman" w:hAnsi="Times New Roman" w:cs="Times New Roman"/>
          <w:color w:val="000000" w:themeColor="text1"/>
          <w:sz w:val="24"/>
          <w:szCs w:val="24"/>
        </w:rPr>
        <w:t>)</w:t>
      </w:r>
      <w:r w:rsidR="00472D41" w:rsidRPr="00F91F34">
        <w:rPr>
          <w:rFonts w:ascii="Times New Roman" w:eastAsia="Times New Roman" w:hAnsi="Times New Roman" w:cs="Times New Roman"/>
          <w:color w:val="000000" w:themeColor="text1"/>
          <w:sz w:val="24"/>
          <w:szCs w:val="24"/>
        </w:rPr>
        <w:t>;</w:t>
      </w:r>
    </w:p>
    <w:p w14:paraId="07A7284D" w14:textId="6AAA67D2" w:rsidR="31C2A628" w:rsidRPr="00F91F34" w:rsidRDefault="31C2A62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29 czerwca 1995 r. o statystyce publicznej (Dz. U. z </w:t>
      </w:r>
      <w:r w:rsidR="001B24C8" w:rsidRPr="00C10C7D">
        <w:rPr>
          <w:rFonts w:ascii="Times New Roman" w:eastAsia="Times New Roman" w:hAnsi="Times New Roman" w:cs="Times New Roman"/>
          <w:color w:val="000000" w:themeColor="text1"/>
          <w:sz w:val="24"/>
          <w:szCs w:val="24"/>
        </w:rPr>
        <w:t xml:space="preserve">2022 r. poz. 459 </w:t>
      </w:r>
      <w:r w:rsidR="00831FBD" w:rsidRPr="00C10C7D">
        <w:rPr>
          <w:rFonts w:ascii="Times New Roman" w:eastAsia="Times New Roman" w:hAnsi="Times New Roman" w:cs="Times New Roman"/>
          <w:color w:val="000000" w:themeColor="text1"/>
          <w:sz w:val="24"/>
          <w:szCs w:val="24"/>
        </w:rPr>
        <w:t>, z późn. zm.</w:t>
      </w:r>
      <w:r w:rsidRPr="00C10C7D">
        <w:rPr>
          <w:rFonts w:ascii="Times New Roman" w:eastAsia="Times New Roman" w:hAnsi="Times New Roman" w:cs="Times New Roman"/>
          <w:color w:val="000000" w:themeColor="text1"/>
          <w:sz w:val="24"/>
          <w:szCs w:val="24"/>
        </w:rPr>
        <w:t>);</w:t>
      </w:r>
    </w:p>
    <w:p w14:paraId="22494C48" w14:textId="6CC76288" w:rsidR="001B24C8" w:rsidRPr="00F91F34" w:rsidRDefault="001B24C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14 grudnia 1995 r. o urzędzie Mini</w:t>
      </w:r>
      <w:r w:rsidR="00DD4606">
        <w:rPr>
          <w:rFonts w:ascii="Times New Roman" w:eastAsia="Times New Roman" w:hAnsi="Times New Roman" w:cs="Times New Roman"/>
          <w:color w:val="000000" w:themeColor="text1"/>
          <w:sz w:val="24"/>
          <w:szCs w:val="24"/>
        </w:rPr>
        <w:t>stra Obrony Narodowej (Dz. U. z </w:t>
      </w:r>
      <w:r w:rsidR="00831FBD" w:rsidRPr="00C10C7D">
        <w:rPr>
          <w:rFonts w:ascii="Times New Roman" w:eastAsia="Times New Roman" w:hAnsi="Times New Roman" w:cs="Times New Roman"/>
          <w:color w:val="000000" w:themeColor="text1"/>
          <w:sz w:val="24"/>
          <w:szCs w:val="24"/>
        </w:rPr>
        <w:t xml:space="preserve">2022 </w:t>
      </w:r>
      <w:r w:rsidRPr="00C10C7D">
        <w:rPr>
          <w:rFonts w:ascii="Times New Roman" w:eastAsia="Times New Roman" w:hAnsi="Times New Roman" w:cs="Times New Roman"/>
          <w:color w:val="000000" w:themeColor="text1"/>
          <w:sz w:val="24"/>
          <w:szCs w:val="24"/>
        </w:rPr>
        <w:t xml:space="preserve">r. poz. </w:t>
      </w:r>
      <w:r w:rsidR="00831FBD" w:rsidRPr="00C10C7D">
        <w:rPr>
          <w:rFonts w:ascii="Times New Roman" w:eastAsia="Times New Roman" w:hAnsi="Times New Roman" w:cs="Times New Roman"/>
          <w:color w:val="000000" w:themeColor="text1"/>
          <w:sz w:val="24"/>
          <w:szCs w:val="24"/>
        </w:rPr>
        <w:t>1438</w:t>
      </w:r>
      <w:r w:rsidRPr="00C10C7D">
        <w:rPr>
          <w:rFonts w:ascii="Times New Roman" w:eastAsia="Times New Roman" w:hAnsi="Times New Roman" w:cs="Times New Roman"/>
          <w:color w:val="000000" w:themeColor="text1"/>
          <w:sz w:val="24"/>
          <w:szCs w:val="24"/>
        </w:rPr>
        <w:t>);</w:t>
      </w:r>
    </w:p>
    <w:p w14:paraId="32C1C7B3" w14:textId="315DE6AE" w:rsidR="7C2C5DE8" w:rsidRPr="00C10C7D"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21 czerwca 1996 r. o szczególnych formach sprawowania nadzoru przez ministra właściwego do spraw wewnętrznych (Dz. U. z </w:t>
      </w:r>
      <w:r w:rsidR="001B24C8" w:rsidRPr="00C10C7D">
        <w:rPr>
          <w:rFonts w:ascii="Times New Roman" w:eastAsia="Times New Roman" w:hAnsi="Times New Roman" w:cs="Times New Roman"/>
          <w:color w:val="000000" w:themeColor="text1"/>
          <w:sz w:val="24"/>
          <w:szCs w:val="24"/>
        </w:rPr>
        <w:t>202</w:t>
      </w:r>
      <w:r w:rsidR="005D6488">
        <w:rPr>
          <w:rFonts w:ascii="Times New Roman" w:eastAsia="Times New Roman" w:hAnsi="Times New Roman" w:cs="Times New Roman"/>
          <w:color w:val="000000" w:themeColor="text1"/>
          <w:sz w:val="24"/>
          <w:szCs w:val="24"/>
        </w:rPr>
        <w:t>2</w:t>
      </w:r>
      <w:r w:rsidR="001B24C8" w:rsidRPr="00C10C7D">
        <w:rPr>
          <w:rFonts w:ascii="Times New Roman" w:eastAsia="Times New Roman" w:hAnsi="Times New Roman" w:cs="Times New Roman"/>
          <w:color w:val="000000" w:themeColor="text1"/>
          <w:sz w:val="24"/>
          <w:szCs w:val="24"/>
        </w:rPr>
        <w:t xml:space="preserve"> r. poz. </w:t>
      </w:r>
      <w:r w:rsidR="005D6488">
        <w:rPr>
          <w:rFonts w:ascii="Times New Roman" w:eastAsia="Times New Roman" w:hAnsi="Times New Roman" w:cs="Times New Roman"/>
          <w:color w:val="000000" w:themeColor="text1"/>
          <w:sz w:val="24"/>
          <w:szCs w:val="24"/>
        </w:rPr>
        <w:t>2487</w:t>
      </w:r>
      <w:r w:rsidRPr="00C10C7D">
        <w:rPr>
          <w:rFonts w:ascii="Times New Roman" w:eastAsia="Times New Roman" w:hAnsi="Times New Roman" w:cs="Times New Roman"/>
          <w:color w:val="000000" w:themeColor="text1"/>
          <w:sz w:val="24"/>
          <w:szCs w:val="24"/>
        </w:rPr>
        <w:t>)</w:t>
      </w:r>
      <w:r w:rsidR="6ECF32FB" w:rsidRPr="00C10C7D">
        <w:rPr>
          <w:rFonts w:ascii="Times New Roman" w:eastAsia="Times New Roman" w:hAnsi="Times New Roman" w:cs="Times New Roman"/>
          <w:color w:val="000000" w:themeColor="text1"/>
          <w:sz w:val="24"/>
          <w:szCs w:val="24"/>
        </w:rPr>
        <w:t>;</w:t>
      </w:r>
    </w:p>
    <w:p w14:paraId="4F16DA92" w14:textId="1B0783FD" w:rsidR="7C2C5DE8" w:rsidRPr="00F91F34"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6 czerwca 1997 r. </w:t>
      </w:r>
      <w:r w:rsidR="001B24C8" w:rsidRPr="00F91F34">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 xml:space="preserve"> Kodeks postępowania karnego (Dz. U. z </w:t>
      </w:r>
      <w:r w:rsidR="002D57C4" w:rsidRPr="00F91F34">
        <w:rPr>
          <w:rFonts w:ascii="Times New Roman" w:eastAsia="Times New Roman" w:hAnsi="Times New Roman" w:cs="Times New Roman"/>
          <w:color w:val="000000" w:themeColor="text1"/>
          <w:sz w:val="24"/>
          <w:szCs w:val="24"/>
        </w:rPr>
        <w:t>2022 r. poz. 1375</w:t>
      </w:r>
      <w:r w:rsidR="00831FBD" w:rsidRPr="00F91F34">
        <w:rPr>
          <w:rFonts w:ascii="Times New Roman" w:eastAsia="Times New Roman" w:hAnsi="Times New Roman" w:cs="Times New Roman"/>
          <w:color w:val="000000" w:themeColor="text1"/>
          <w:sz w:val="24"/>
          <w:szCs w:val="24"/>
        </w:rPr>
        <w:t>, z późn. zm.</w:t>
      </w:r>
      <w:r w:rsidRPr="00C10C7D">
        <w:rPr>
          <w:rFonts w:ascii="Times New Roman" w:eastAsia="Times New Roman" w:hAnsi="Times New Roman" w:cs="Times New Roman"/>
          <w:color w:val="000000" w:themeColor="text1"/>
          <w:sz w:val="24"/>
          <w:szCs w:val="24"/>
        </w:rPr>
        <w:t>)</w:t>
      </w:r>
      <w:r w:rsidR="5FA5237D" w:rsidRPr="00C10C7D">
        <w:rPr>
          <w:rFonts w:ascii="Times New Roman" w:eastAsia="Times New Roman" w:hAnsi="Times New Roman" w:cs="Times New Roman"/>
          <w:color w:val="000000" w:themeColor="text1"/>
          <w:sz w:val="24"/>
          <w:szCs w:val="24"/>
        </w:rPr>
        <w:t xml:space="preserve">; </w:t>
      </w:r>
    </w:p>
    <w:p w14:paraId="3ACBE3E3" w14:textId="22549655" w:rsidR="7C2C5DE8" w:rsidRPr="00F91F34"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21 sierpnia 1997 r. o gospodarce nieruchomościami (Dz. U. z </w:t>
      </w:r>
      <w:r w:rsidR="001B24C8" w:rsidRPr="00C10C7D">
        <w:rPr>
          <w:rFonts w:ascii="Times New Roman" w:eastAsia="Times New Roman" w:hAnsi="Times New Roman" w:cs="Times New Roman"/>
          <w:color w:val="000000" w:themeColor="text1"/>
          <w:sz w:val="24"/>
          <w:szCs w:val="24"/>
        </w:rPr>
        <w:t>2021 r. poz.</w:t>
      </w:r>
      <w:r w:rsidR="00246E02" w:rsidRPr="00C10C7D">
        <w:rPr>
          <w:rFonts w:ascii="Times New Roman" w:eastAsia="Times New Roman" w:hAnsi="Times New Roman" w:cs="Times New Roman"/>
          <w:color w:val="000000" w:themeColor="text1"/>
          <w:sz w:val="24"/>
          <w:szCs w:val="24"/>
        </w:rPr>
        <w:t xml:space="preserve"> </w:t>
      </w:r>
      <w:r w:rsidR="001B24C8" w:rsidRPr="00C10C7D">
        <w:rPr>
          <w:rFonts w:ascii="Times New Roman" w:eastAsia="Times New Roman" w:hAnsi="Times New Roman" w:cs="Times New Roman"/>
          <w:color w:val="000000" w:themeColor="text1"/>
          <w:sz w:val="24"/>
          <w:szCs w:val="24"/>
        </w:rPr>
        <w:t>1899</w:t>
      </w:r>
      <w:r w:rsidR="00246E02" w:rsidRPr="00C10C7D">
        <w:rPr>
          <w:rFonts w:ascii="Times New Roman" w:eastAsia="Times New Roman" w:hAnsi="Times New Roman" w:cs="Times New Roman"/>
          <w:color w:val="000000" w:themeColor="text1"/>
          <w:sz w:val="24"/>
          <w:szCs w:val="24"/>
        </w:rPr>
        <w:t>, z późn. zm.</w:t>
      </w:r>
      <w:r w:rsidRPr="00C10C7D">
        <w:rPr>
          <w:rFonts w:ascii="Times New Roman" w:eastAsia="Times New Roman" w:hAnsi="Times New Roman" w:cs="Times New Roman"/>
          <w:color w:val="000000" w:themeColor="text1"/>
          <w:sz w:val="24"/>
          <w:szCs w:val="24"/>
        </w:rPr>
        <w:t>)</w:t>
      </w:r>
      <w:r w:rsidR="5492458D" w:rsidRPr="00C10C7D">
        <w:rPr>
          <w:rFonts w:ascii="Times New Roman" w:eastAsia="Times New Roman" w:hAnsi="Times New Roman" w:cs="Times New Roman"/>
          <w:color w:val="000000" w:themeColor="text1"/>
          <w:sz w:val="24"/>
          <w:szCs w:val="24"/>
        </w:rPr>
        <w:t>;</w:t>
      </w:r>
    </w:p>
    <w:p w14:paraId="01557412" w14:textId="0BBBAB08" w:rsidR="001B24C8" w:rsidRPr="00F91F34" w:rsidRDefault="001B24C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4 września 1997 r. o działach administracji rządowej (Dz. U. z 2021 r. poz. 1893,</w:t>
      </w:r>
      <w:r w:rsidR="009F742C" w:rsidRPr="00C10C7D">
        <w:rPr>
          <w:rFonts w:ascii="Times New Roman" w:eastAsia="Times New Roman" w:hAnsi="Times New Roman" w:cs="Times New Roman"/>
          <w:color w:val="000000" w:themeColor="text1"/>
          <w:sz w:val="24"/>
          <w:szCs w:val="24"/>
        </w:rPr>
        <w:t xml:space="preserve"> z późn. zm.);</w:t>
      </w:r>
    </w:p>
    <w:p w14:paraId="3AF254EE" w14:textId="71CB1E94" w:rsidR="7C2C5DE8" w:rsidRPr="00C10C7D"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27 kwietnia 2001 r. </w:t>
      </w:r>
      <w:r w:rsidR="001B24C8" w:rsidRPr="00F91F34">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 xml:space="preserve"> Prawo ochrony środowiska (Dz. U. z </w:t>
      </w:r>
      <w:r w:rsidR="00DD4606">
        <w:rPr>
          <w:rFonts w:ascii="Times New Roman" w:eastAsia="Times New Roman" w:hAnsi="Times New Roman" w:cs="Times New Roman"/>
          <w:color w:val="000000" w:themeColor="text1"/>
          <w:sz w:val="24"/>
          <w:szCs w:val="24"/>
        </w:rPr>
        <w:t>2021 r. poz. </w:t>
      </w:r>
      <w:r w:rsidR="001B24C8" w:rsidRPr="00C10C7D">
        <w:rPr>
          <w:rFonts w:ascii="Times New Roman" w:eastAsia="Times New Roman" w:hAnsi="Times New Roman" w:cs="Times New Roman"/>
          <w:color w:val="000000" w:themeColor="text1"/>
          <w:sz w:val="24"/>
          <w:szCs w:val="24"/>
        </w:rPr>
        <w:t xml:space="preserve">1973, </w:t>
      </w:r>
      <w:r w:rsidR="002D57C4" w:rsidRPr="00C10C7D">
        <w:rPr>
          <w:rFonts w:ascii="Times New Roman" w:eastAsia="Times New Roman" w:hAnsi="Times New Roman" w:cs="Times New Roman"/>
          <w:color w:val="000000" w:themeColor="text1"/>
          <w:sz w:val="24"/>
          <w:szCs w:val="24"/>
        </w:rPr>
        <w:t>z późn. zm.)</w:t>
      </w:r>
      <w:r w:rsidR="001B24C8" w:rsidRPr="00C10C7D">
        <w:rPr>
          <w:rFonts w:ascii="Times New Roman" w:eastAsia="Times New Roman" w:hAnsi="Times New Roman" w:cs="Times New Roman"/>
          <w:color w:val="000000" w:themeColor="text1"/>
          <w:sz w:val="24"/>
          <w:szCs w:val="24"/>
        </w:rPr>
        <w:t>;</w:t>
      </w:r>
    </w:p>
    <w:p w14:paraId="7DB103A7" w14:textId="7D9CA4A3" w:rsidR="7C2C5DE8" w:rsidRPr="00F91F34"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24 sierpnia 2001 r. o Żandarmerii Wojskowej i wojskowych organach porządkowych (Dz. U. z </w:t>
      </w:r>
      <w:r w:rsidR="001B24C8" w:rsidRPr="00C10C7D">
        <w:rPr>
          <w:rFonts w:ascii="Times New Roman" w:eastAsia="Times New Roman" w:hAnsi="Times New Roman" w:cs="Times New Roman"/>
          <w:color w:val="000000" w:themeColor="text1"/>
          <w:sz w:val="24"/>
          <w:szCs w:val="24"/>
        </w:rPr>
        <w:t>2021 r. poz. 1214</w:t>
      </w:r>
      <w:r w:rsidR="00246E02" w:rsidRPr="00C10C7D">
        <w:rPr>
          <w:rFonts w:ascii="Times New Roman" w:eastAsia="Times New Roman" w:hAnsi="Times New Roman" w:cs="Times New Roman"/>
          <w:color w:val="000000" w:themeColor="text1"/>
          <w:sz w:val="24"/>
          <w:szCs w:val="24"/>
        </w:rPr>
        <w:t>, z późn. zm.</w:t>
      </w:r>
      <w:r w:rsidRPr="00C10C7D">
        <w:rPr>
          <w:rFonts w:ascii="Times New Roman" w:eastAsia="Times New Roman" w:hAnsi="Times New Roman" w:cs="Times New Roman"/>
          <w:color w:val="000000" w:themeColor="text1"/>
          <w:sz w:val="24"/>
          <w:szCs w:val="24"/>
        </w:rPr>
        <w:t>)</w:t>
      </w:r>
      <w:r w:rsidR="4EF882EF" w:rsidRPr="00C10C7D">
        <w:rPr>
          <w:rFonts w:ascii="Times New Roman" w:eastAsia="Times New Roman" w:hAnsi="Times New Roman" w:cs="Times New Roman"/>
          <w:color w:val="000000" w:themeColor="text1"/>
          <w:sz w:val="24"/>
          <w:szCs w:val="24"/>
        </w:rPr>
        <w:t>;</w:t>
      </w:r>
    </w:p>
    <w:p w14:paraId="0AE60BAB" w14:textId="43E0AD53" w:rsidR="72037C20" w:rsidRPr="00C10C7D" w:rsidRDefault="72037C20"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 ustawie z dnia 24 maja 2002 r. o Agencji Bezpieczeństwa Wewnętrznego oraz Agencji Wywiadu (Dz. U. z </w:t>
      </w:r>
      <w:r w:rsidR="001B24C8" w:rsidRPr="00C10C7D">
        <w:rPr>
          <w:rFonts w:ascii="Times New Roman" w:eastAsia="Times New Roman" w:hAnsi="Times New Roman" w:cs="Times New Roman"/>
          <w:color w:val="000000" w:themeColor="text1"/>
          <w:sz w:val="24"/>
          <w:szCs w:val="24"/>
        </w:rPr>
        <w:t>2022 r. poz. 557</w:t>
      </w:r>
      <w:r w:rsidR="00900564" w:rsidRPr="00C10C7D">
        <w:rPr>
          <w:rFonts w:ascii="Times New Roman" w:eastAsia="Times New Roman" w:hAnsi="Times New Roman" w:cs="Times New Roman"/>
          <w:color w:val="000000" w:themeColor="text1"/>
          <w:sz w:val="24"/>
          <w:szCs w:val="24"/>
        </w:rPr>
        <w:t>, z późn. zm.</w:t>
      </w:r>
      <w:r w:rsidRPr="00C10C7D">
        <w:rPr>
          <w:rFonts w:ascii="Times New Roman" w:eastAsia="Times New Roman" w:hAnsi="Times New Roman" w:cs="Times New Roman"/>
          <w:color w:val="000000" w:themeColor="text1"/>
          <w:sz w:val="24"/>
          <w:szCs w:val="24"/>
        </w:rPr>
        <w:t>);</w:t>
      </w:r>
    </w:p>
    <w:p w14:paraId="365A451C" w14:textId="19B7AFCA" w:rsidR="7C2C5DE8" w:rsidRPr="00532F3A"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3 lipca 2002 r. </w:t>
      </w:r>
      <w:r w:rsidR="001B24C8" w:rsidRPr="00F91F34">
        <w:rPr>
          <w:rFonts w:ascii="Times New Roman" w:eastAsia="Times New Roman" w:hAnsi="Times New Roman" w:cs="Times New Roman"/>
          <w:color w:val="000000" w:themeColor="text1"/>
          <w:sz w:val="24"/>
          <w:szCs w:val="24"/>
        </w:rPr>
        <w:t xml:space="preserve">– </w:t>
      </w:r>
      <w:r w:rsidRPr="00C10C7D">
        <w:rPr>
          <w:rFonts w:ascii="Times New Roman" w:eastAsia="Times New Roman" w:hAnsi="Times New Roman" w:cs="Times New Roman"/>
          <w:color w:val="000000" w:themeColor="text1"/>
          <w:sz w:val="24"/>
          <w:szCs w:val="24"/>
        </w:rPr>
        <w:t xml:space="preserve">Prawo </w:t>
      </w:r>
      <w:r w:rsidRPr="00F91F34">
        <w:rPr>
          <w:rFonts w:ascii="Times New Roman" w:eastAsia="Times New Roman" w:hAnsi="Times New Roman" w:cs="Times New Roman"/>
          <w:color w:val="000000" w:themeColor="text1"/>
          <w:sz w:val="24"/>
          <w:szCs w:val="24"/>
        </w:rPr>
        <w:t xml:space="preserve">lotnicze (Dz. U. z </w:t>
      </w:r>
      <w:r w:rsidR="001B24C8" w:rsidRPr="00F91F34">
        <w:rPr>
          <w:rFonts w:ascii="Times New Roman" w:eastAsia="Times New Roman" w:hAnsi="Times New Roman" w:cs="Times New Roman"/>
          <w:color w:val="000000" w:themeColor="text1"/>
          <w:sz w:val="24"/>
          <w:szCs w:val="24"/>
        </w:rPr>
        <w:t>202</w:t>
      </w:r>
      <w:r w:rsidR="001D1CEF" w:rsidRPr="00F91F34">
        <w:rPr>
          <w:rFonts w:ascii="Times New Roman" w:eastAsia="Times New Roman" w:hAnsi="Times New Roman" w:cs="Times New Roman"/>
          <w:color w:val="000000" w:themeColor="text1"/>
          <w:sz w:val="24"/>
          <w:szCs w:val="24"/>
        </w:rPr>
        <w:t>2 r. poz. 1235</w:t>
      </w:r>
      <w:r w:rsidR="00900564" w:rsidRPr="00F91F34">
        <w:rPr>
          <w:rFonts w:ascii="Times New Roman" w:eastAsia="Times New Roman" w:hAnsi="Times New Roman" w:cs="Times New Roman"/>
          <w:color w:val="000000" w:themeColor="text1"/>
          <w:sz w:val="24"/>
          <w:szCs w:val="24"/>
        </w:rPr>
        <w:t>, z późn. zm.</w:t>
      </w:r>
      <w:r w:rsidRPr="00F91F34">
        <w:rPr>
          <w:rFonts w:ascii="Times New Roman" w:eastAsia="Times New Roman" w:hAnsi="Times New Roman" w:cs="Times New Roman"/>
          <w:color w:val="000000" w:themeColor="text1"/>
          <w:sz w:val="24"/>
          <w:szCs w:val="24"/>
        </w:rPr>
        <w:t>)</w:t>
      </w:r>
      <w:r w:rsidR="4B11659E" w:rsidRPr="00F91F34">
        <w:rPr>
          <w:rFonts w:ascii="Times New Roman" w:eastAsia="Times New Roman" w:hAnsi="Times New Roman" w:cs="Times New Roman"/>
          <w:color w:val="000000" w:themeColor="text1"/>
          <w:sz w:val="24"/>
          <w:szCs w:val="24"/>
        </w:rPr>
        <w:t>;</w:t>
      </w:r>
    </w:p>
    <w:p w14:paraId="401A2088" w14:textId="77777777" w:rsidR="4B11659E" w:rsidRPr="00532F3A" w:rsidRDefault="4B11659E"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 xml:space="preserve"> </w:t>
      </w:r>
      <w:r w:rsidR="7C2C5DE8" w:rsidRPr="00532F3A">
        <w:rPr>
          <w:rFonts w:ascii="Times New Roman" w:eastAsia="Times New Roman" w:hAnsi="Times New Roman" w:cs="Times New Roman"/>
          <w:color w:val="000000" w:themeColor="text1"/>
          <w:sz w:val="24"/>
          <w:szCs w:val="24"/>
        </w:rPr>
        <w:t>ustawie z dnia 5 lipca 2002 r. o ochronie niektórych usług świadczonych drogą elektroniczną opartych lub polegających na dostępie warunkowym (Dz. U. z 2015 r. poz. 1341)</w:t>
      </w:r>
      <w:r w:rsidR="76F1AB77" w:rsidRPr="00532F3A">
        <w:rPr>
          <w:rFonts w:ascii="Times New Roman" w:eastAsia="Times New Roman" w:hAnsi="Times New Roman" w:cs="Times New Roman"/>
          <w:color w:val="000000" w:themeColor="text1"/>
          <w:sz w:val="24"/>
          <w:szCs w:val="24"/>
        </w:rPr>
        <w:t>;</w:t>
      </w:r>
      <w:r w:rsidR="7C2C5DE8" w:rsidRPr="00532F3A">
        <w:rPr>
          <w:rFonts w:ascii="Times New Roman" w:eastAsia="Times New Roman" w:hAnsi="Times New Roman" w:cs="Times New Roman"/>
          <w:color w:val="000000" w:themeColor="text1"/>
          <w:sz w:val="24"/>
          <w:szCs w:val="24"/>
        </w:rPr>
        <w:t xml:space="preserve"> </w:t>
      </w:r>
    </w:p>
    <w:p w14:paraId="455EE7AF" w14:textId="3771CF0F" w:rsidR="036A80D2" w:rsidRPr="00F91F34" w:rsidRDefault="036A80D2"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ustawie z dnia 18 lipca 2002 r. o świadczeniu usług dro</w:t>
      </w:r>
      <w:r w:rsidR="00DD4606">
        <w:rPr>
          <w:rFonts w:ascii="Times New Roman" w:eastAsia="Times New Roman" w:hAnsi="Times New Roman" w:cs="Times New Roman"/>
          <w:color w:val="000000" w:themeColor="text1"/>
          <w:sz w:val="24"/>
          <w:szCs w:val="24"/>
        </w:rPr>
        <w:t>gą elektroniczną (Dz. U. z 2020 </w:t>
      </w:r>
      <w:r w:rsidRPr="00CE1978">
        <w:rPr>
          <w:rFonts w:ascii="Times New Roman" w:eastAsia="Times New Roman" w:hAnsi="Times New Roman" w:cs="Times New Roman"/>
          <w:color w:val="000000" w:themeColor="text1"/>
          <w:sz w:val="24"/>
          <w:szCs w:val="24"/>
        </w:rPr>
        <w:t>r. poz. 344);</w:t>
      </w:r>
    </w:p>
    <w:p w14:paraId="24676297" w14:textId="11998451" w:rsidR="001B24C8" w:rsidRPr="00F91F34" w:rsidRDefault="001B24C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28 października 2002 r. o odpowiedzialności podmiotów zbiorowych za czyny zabronione pod groźbą kary (Dz. U. z 2020 r. poz. 358</w:t>
      </w:r>
      <w:r w:rsidR="00900564" w:rsidRPr="00C10C7D">
        <w:rPr>
          <w:rFonts w:ascii="Times New Roman" w:eastAsia="Times New Roman" w:hAnsi="Times New Roman" w:cs="Times New Roman"/>
          <w:color w:val="000000" w:themeColor="text1"/>
          <w:sz w:val="24"/>
          <w:szCs w:val="24"/>
        </w:rPr>
        <w:t>, z późn. zm.</w:t>
      </w:r>
      <w:r w:rsidRPr="00C10C7D">
        <w:rPr>
          <w:rFonts w:ascii="Times New Roman" w:eastAsia="Times New Roman" w:hAnsi="Times New Roman" w:cs="Times New Roman"/>
          <w:color w:val="000000" w:themeColor="text1"/>
          <w:sz w:val="24"/>
          <w:szCs w:val="24"/>
        </w:rPr>
        <w:t xml:space="preserve">); </w:t>
      </w:r>
    </w:p>
    <w:p w14:paraId="64EAFC17" w14:textId="07C982A8" w:rsidR="7C2C5DE8" w:rsidRPr="00C10C7D"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28 lutego 2003 r. </w:t>
      </w:r>
      <w:r w:rsidR="001B24C8" w:rsidRPr="00F91F34">
        <w:rPr>
          <w:rFonts w:ascii="Times New Roman" w:eastAsia="Times New Roman" w:hAnsi="Times New Roman" w:cs="Times New Roman"/>
          <w:color w:val="000000" w:themeColor="text1"/>
          <w:sz w:val="24"/>
          <w:szCs w:val="24"/>
        </w:rPr>
        <w:t xml:space="preserve">– </w:t>
      </w:r>
      <w:r w:rsidRPr="00C10C7D">
        <w:rPr>
          <w:rFonts w:ascii="Times New Roman" w:eastAsia="Times New Roman" w:hAnsi="Times New Roman" w:cs="Times New Roman"/>
          <w:color w:val="000000" w:themeColor="text1"/>
          <w:sz w:val="24"/>
          <w:szCs w:val="24"/>
        </w:rPr>
        <w:t xml:space="preserve">Prawo upadłościowe (Dz. U. z </w:t>
      </w:r>
      <w:r w:rsidR="00410D08" w:rsidRPr="00C10C7D">
        <w:rPr>
          <w:rFonts w:ascii="Times New Roman" w:eastAsia="Times New Roman" w:hAnsi="Times New Roman" w:cs="Times New Roman"/>
          <w:color w:val="000000" w:themeColor="text1"/>
          <w:sz w:val="24"/>
          <w:szCs w:val="24"/>
        </w:rPr>
        <w:t>202</w:t>
      </w:r>
      <w:r w:rsidR="00716C0D" w:rsidRPr="00C10C7D">
        <w:rPr>
          <w:rFonts w:ascii="Times New Roman" w:eastAsia="Times New Roman" w:hAnsi="Times New Roman" w:cs="Times New Roman"/>
          <w:color w:val="000000" w:themeColor="text1"/>
          <w:sz w:val="24"/>
          <w:szCs w:val="24"/>
        </w:rPr>
        <w:t>2</w:t>
      </w:r>
      <w:r w:rsidR="00410D08" w:rsidRPr="00C10C7D">
        <w:rPr>
          <w:rFonts w:ascii="Times New Roman" w:eastAsia="Times New Roman" w:hAnsi="Times New Roman" w:cs="Times New Roman"/>
          <w:color w:val="000000" w:themeColor="text1"/>
          <w:sz w:val="24"/>
          <w:szCs w:val="24"/>
        </w:rPr>
        <w:t xml:space="preserve"> r. poz. </w:t>
      </w:r>
      <w:r w:rsidR="00716C0D" w:rsidRPr="00C10C7D">
        <w:rPr>
          <w:rFonts w:ascii="Times New Roman" w:eastAsia="Times New Roman" w:hAnsi="Times New Roman" w:cs="Times New Roman"/>
          <w:color w:val="000000" w:themeColor="text1"/>
          <w:sz w:val="24"/>
          <w:szCs w:val="24"/>
        </w:rPr>
        <w:t>1520);</w:t>
      </w:r>
    </w:p>
    <w:p w14:paraId="2F5329C3" w14:textId="7E7D42AD" w:rsidR="00740C9B" w:rsidRPr="00C10C7D" w:rsidRDefault="00740C9B"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lastRenderedPageBreak/>
        <w:t>ustawie z dnia 27 sierpnia 2004 r. o świadczeniach opieki zdrowotnej finansowanych ze środków publicznych (Dz. U. z 2021 r. poz. 1285,</w:t>
      </w:r>
      <w:r w:rsidR="007F15CB" w:rsidRPr="00C10C7D">
        <w:rPr>
          <w:rFonts w:ascii="Times New Roman" w:eastAsia="Times New Roman" w:hAnsi="Times New Roman" w:cs="Times New Roman"/>
          <w:color w:val="000000" w:themeColor="text1"/>
          <w:sz w:val="24"/>
          <w:szCs w:val="24"/>
        </w:rPr>
        <w:t xml:space="preserve"> z późn. zm.);</w:t>
      </w:r>
    </w:p>
    <w:p w14:paraId="25D5DE31" w14:textId="6F2148BD" w:rsidR="7C2C5DE8" w:rsidRPr="00F91F34"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17 lutego 2005 r. o informatyzacji działalności podmiotów realizujących zadania publiczne (Dz. U. z </w:t>
      </w:r>
      <w:r w:rsidR="00DC62D6" w:rsidRPr="00C10C7D">
        <w:rPr>
          <w:rFonts w:ascii="Times New Roman" w:eastAsia="Times New Roman" w:hAnsi="Times New Roman" w:cs="Times New Roman"/>
          <w:color w:val="000000" w:themeColor="text1"/>
          <w:sz w:val="24"/>
          <w:szCs w:val="24"/>
        </w:rPr>
        <w:t>2021 r. poz. 2070</w:t>
      </w:r>
      <w:r w:rsidR="00515DAA" w:rsidRPr="00C10C7D">
        <w:rPr>
          <w:rFonts w:ascii="Times New Roman" w:eastAsia="Times New Roman" w:hAnsi="Times New Roman" w:cs="Times New Roman"/>
          <w:color w:val="000000" w:themeColor="text1"/>
          <w:sz w:val="24"/>
          <w:szCs w:val="24"/>
        </w:rPr>
        <w:t>, z późn. zm.</w:t>
      </w:r>
      <w:r w:rsidRPr="00CE1978">
        <w:rPr>
          <w:rFonts w:ascii="Times New Roman" w:eastAsia="Times New Roman" w:hAnsi="Times New Roman" w:cs="Times New Roman"/>
          <w:color w:val="000000" w:themeColor="text1"/>
          <w:sz w:val="24"/>
          <w:szCs w:val="24"/>
        </w:rPr>
        <w:t>)</w:t>
      </w:r>
      <w:r w:rsidR="7239046D"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color w:val="000000" w:themeColor="text1"/>
          <w:sz w:val="24"/>
          <w:szCs w:val="24"/>
        </w:rPr>
        <w:t xml:space="preserve"> </w:t>
      </w:r>
    </w:p>
    <w:p w14:paraId="18B9BD7E" w14:textId="20F31F62" w:rsidR="7C2C5DE8" w:rsidRPr="00C10C7D"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29 lipca 2005 r. o nadzorze nad rynkiem kapitałowym (Dz. U. z </w:t>
      </w:r>
      <w:r w:rsidR="00AE1B23">
        <w:rPr>
          <w:rFonts w:ascii="Times New Roman" w:eastAsia="Times New Roman" w:hAnsi="Times New Roman" w:cs="Times New Roman"/>
          <w:color w:val="000000" w:themeColor="text1"/>
          <w:sz w:val="24"/>
          <w:szCs w:val="24"/>
        </w:rPr>
        <w:t>2022 </w:t>
      </w:r>
      <w:r w:rsidR="00DC62D6" w:rsidRPr="00C10C7D">
        <w:rPr>
          <w:rFonts w:ascii="Times New Roman" w:eastAsia="Times New Roman" w:hAnsi="Times New Roman" w:cs="Times New Roman"/>
          <w:color w:val="000000" w:themeColor="text1"/>
          <w:sz w:val="24"/>
          <w:szCs w:val="24"/>
        </w:rPr>
        <w:t>r. poz. 837</w:t>
      </w:r>
      <w:r w:rsidR="00515DAA" w:rsidRPr="00C10C7D">
        <w:rPr>
          <w:rFonts w:ascii="Times New Roman" w:eastAsia="Times New Roman" w:hAnsi="Times New Roman" w:cs="Times New Roman"/>
          <w:color w:val="000000" w:themeColor="text1"/>
          <w:sz w:val="24"/>
          <w:szCs w:val="24"/>
        </w:rPr>
        <w:t>, z późn. zm.</w:t>
      </w:r>
      <w:r w:rsidRPr="00C10C7D">
        <w:rPr>
          <w:rFonts w:ascii="Times New Roman" w:eastAsia="Times New Roman" w:hAnsi="Times New Roman" w:cs="Times New Roman"/>
          <w:color w:val="000000" w:themeColor="text1"/>
          <w:sz w:val="24"/>
          <w:szCs w:val="24"/>
        </w:rPr>
        <w:t>)</w:t>
      </w:r>
      <w:r w:rsidR="6837C263"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 xml:space="preserve"> </w:t>
      </w:r>
    </w:p>
    <w:p w14:paraId="28A74D63" w14:textId="0E857299" w:rsidR="7C2C5DE8" w:rsidRPr="00532F3A"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9 czerwca 2006 r. o Centralnym B</w:t>
      </w:r>
      <w:r w:rsidR="00AE1B23">
        <w:rPr>
          <w:rFonts w:ascii="Times New Roman" w:eastAsia="Times New Roman" w:hAnsi="Times New Roman" w:cs="Times New Roman"/>
          <w:color w:val="000000" w:themeColor="text1"/>
          <w:sz w:val="24"/>
          <w:szCs w:val="24"/>
        </w:rPr>
        <w:t>iurze Antykorupcyjnym (Dz. U. z </w:t>
      </w:r>
      <w:r w:rsidR="00DC62D6" w:rsidRPr="00C10C7D">
        <w:rPr>
          <w:rFonts w:ascii="Times New Roman" w:eastAsia="Times New Roman" w:hAnsi="Times New Roman" w:cs="Times New Roman"/>
          <w:color w:val="000000" w:themeColor="text1"/>
          <w:sz w:val="24"/>
          <w:szCs w:val="24"/>
        </w:rPr>
        <w:t>202</w:t>
      </w:r>
      <w:r w:rsidR="00716C0D" w:rsidRPr="00C10C7D">
        <w:rPr>
          <w:rFonts w:ascii="Times New Roman" w:eastAsia="Times New Roman" w:hAnsi="Times New Roman" w:cs="Times New Roman"/>
          <w:color w:val="000000" w:themeColor="text1"/>
          <w:sz w:val="24"/>
          <w:szCs w:val="24"/>
        </w:rPr>
        <w:t>2</w:t>
      </w:r>
      <w:r w:rsidR="00532F3A">
        <w:rPr>
          <w:rFonts w:ascii="Times New Roman" w:eastAsia="Times New Roman" w:hAnsi="Times New Roman" w:cs="Times New Roman"/>
          <w:color w:val="000000" w:themeColor="text1"/>
          <w:sz w:val="24"/>
          <w:szCs w:val="24"/>
        </w:rPr>
        <w:t xml:space="preserve"> </w:t>
      </w:r>
      <w:r w:rsidR="00DC62D6" w:rsidRPr="00532F3A">
        <w:rPr>
          <w:rFonts w:ascii="Times New Roman" w:eastAsia="Times New Roman" w:hAnsi="Times New Roman" w:cs="Times New Roman"/>
          <w:color w:val="000000" w:themeColor="text1"/>
          <w:sz w:val="24"/>
          <w:szCs w:val="24"/>
        </w:rPr>
        <w:t xml:space="preserve">r. poz. </w:t>
      </w:r>
      <w:r w:rsidR="00716C0D" w:rsidRPr="00532F3A">
        <w:rPr>
          <w:rFonts w:ascii="Times New Roman" w:eastAsia="Times New Roman" w:hAnsi="Times New Roman" w:cs="Times New Roman"/>
          <w:color w:val="000000" w:themeColor="text1"/>
          <w:sz w:val="24"/>
          <w:szCs w:val="24"/>
        </w:rPr>
        <w:t>1900)</w:t>
      </w:r>
      <w:r w:rsidR="2B999ED6" w:rsidRPr="00532F3A">
        <w:rPr>
          <w:rFonts w:ascii="Times New Roman" w:eastAsia="Times New Roman" w:hAnsi="Times New Roman" w:cs="Times New Roman"/>
          <w:color w:val="000000" w:themeColor="text1"/>
          <w:sz w:val="24"/>
          <w:szCs w:val="24"/>
        </w:rPr>
        <w:t>;</w:t>
      </w:r>
    </w:p>
    <w:p w14:paraId="355094CD" w14:textId="27A54579" w:rsidR="7C2C5DE8" w:rsidRPr="00F91F34"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 xml:space="preserve">ustawie z dnia 9 czerwca 2006 r. o Służbie Kontrwywiadu Wojskowego oraz Służbie Wywiadu Wojskowego (Dz. U. z </w:t>
      </w:r>
      <w:r w:rsidR="00DC62D6" w:rsidRPr="00CE1978">
        <w:rPr>
          <w:rFonts w:ascii="Times New Roman" w:eastAsia="Times New Roman" w:hAnsi="Times New Roman" w:cs="Times New Roman"/>
          <w:color w:val="000000" w:themeColor="text1"/>
          <w:sz w:val="24"/>
          <w:szCs w:val="24"/>
        </w:rPr>
        <w:t>2022 r. poz. 502</w:t>
      </w:r>
      <w:r w:rsidR="00515DAA" w:rsidRPr="00CE1978">
        <w:rPr>
          <w:rFonts w:ascii="Times New Roman" w:eastAsia="Times New Roman" w:hAnsi="Times New Roman" w:cs="Times New Roman"/>
          <w:color w:val="000000" w:themeColor="text1"/>
          <w:sz w:val="24"/>
          <w:szCs w:val="24"/>
        </w:rPr>
        <w:t>, z późn. zm.</w:t>
      </w:r>
      <w:r w:rsidRPr="00C10C7D">
        <w:rPr>
          <w:rFonts w:ascii="Times New Roman" w:eastAsia="Times New Roman" w:hAnsi="Times New Roman" w:cs="Times New Roman"/>
          <w:color w:val="000000" w:themeColor="text1"/>
          <w:sz w:val="24"/>
          <w:szCs w:val="24"/>
        </w:rPr>
        <w:t>)</w:t>
      </w:r>
      <w:r w:rsidR="332538B1" w:rsidRPr="00C10C7D">
        <w:rPr>
          <w:rFonts w:ascii="Times New Roman" w:eastAsia="Times New Roman" w:hAnsi="Times New Roman" w:cs="Times New Roman"/>
          <w:color w:val="000000" w:themeColor="text1"/>
          <w:sz w:val="24"/>
          <w:szCs w:val="24"/>
        </w:rPr>
        <w:t>;</w:t>
      </w:r>
    </w:p>
    <w:p w14:paraId="6F693B09" w14:textId="4B0E2623" w:rsidR="7C2C5DE8" w:rsidRPr="00F91F34"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8 września 2006 r. o Państwowym Ratownictwie Medycznym (Dz. U. z </w:t>
      </w:r>
      <w:r w:rsidR="00DC62D6" w:rsidRPr="00C10C7D">
        <w:rPr>
          <w:rFonts w:ascii="Times New Roman" w:eastAsia="Times New Roman" w:hAnsi="Times New Roman" w:cs="Times New Roman"/>
          <w:color w:val="000000" w:themeColor="text1"/>
          <w:sz w:val="24"/>
          <w:szCs w:val="24"/>
        </w:rPr>
        <w:t>202</w:t>
      </w:r>
      <w:r w:rsidR="00716C0D" w:rsidRPr="00C10C7D">
        <w:rPr>
          <w:rFonts w:ascii="Times New Roman" w:eastAsia="Times New Roman" w:hAnsi="Times New Roman" w:cs="Times New Roman"/>
          <w:color w:val="000000" w:themeColor="text1"/>
          <w:sz w:val="24"/>
          <w:szCs w:val="24"/>
        </w:rPr>
        <w:t>2</w:t>
      </w:r>
      <w:r w:rsidR="00DC62D6" w:rsidRPr="00C10C7D">
        <w:rPr>
          <w:rFonts w:ascii="Times New Roman" w:eastAsia="Times New Roman" w:hAnsi="Times New Roman" w:cs="Times New Roman"/>
          <w:color w:val="000000" w:themeColor="text1"/>
          <w:sz w:val="24"/>
          <w:szCs w:val="24"/>
        </w:rPr>
        <w:t xml:space="preserve"> r. poz. </w:t>
      </w:r>
      <w:r w:rsidR="00716C0D" w:rsidRPr="00C10C7D">
        <w:rPr>
          <w:rFonts w:ascii="Times New Roman" w:eastAsia="Times New Roman" w:hAnsi="Times New Roman" w:cs="Times New Roman"/>
          <w:color w:val="000000" w:themeColor="text1"/>
          <w:sz w:val="24"/>
          <w:szCs w:val="24"/>
        </w:rPr>
        <w:t>1772</w:t>
      </w:r>
      <w:r w:rsidR="00515DAA" w:rsidRPr="00C10C7D">
        <w:rPr>
          <w:rFonts w:ascii="Times New Roman" w:eastAsia="Times New Roman" w:hAnsi="Times New Roman" w:cs="Times New Roman"/>
          <w:color w:val="000000" w:themeColor="text1"/>
          <w:sz w:val="24"/>
          <w:szCs w:val="24"/>
        </w:rPr>
        <w:t>, z późn. zm.</w:t>
      </w:r>
      <w:r w:rsidR="79F58185" w:rsidRPr="00C10C7D">
        <w:rPr>
          <w:rFonts w:ascii="Times New Roman" w:eastAsia="Times New Roman" w:hAnsi="Times New Roman" w:cs="Times New Roman"/>
          <w:color w:val="000000" w:themeColor="text1"/>
          <w:sz w:val="24"/>
          <w:szCs w:val="24"/>
        </w:rPr>
        <w:t>)</w:t>
      </w:r>
      <w:r w:rsidR="4EBC34F7" w:rsidRPr="00C10C7D">
        <w:rPr>
          <w:rFonts w:ascii="Times New Roman" w:eastAsia="Times New Roman" w:hAnsi="Times New Roman" w:cs="Times New Roman"/>
          <w:color w:val="000000" w:themeColor="text1"/>
          <w:sz w:val="24"/>
          <w:szCs w:val="24"/>
        </w:rPr>
        <w:t>;</w:t>
      </w:r>
    </w:p>
    <w:p w14:paraId="53661525" w14:textId="191D5DF5" w:rsidR="00735B69" w:rsidRPr="00F91F34" w:rsidRDefault="00735B69"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16 listopada 2006 r. o opłacie skarbowej (Dz. U. </w:t>
      </w:r>
      <w:r w:rsidR="00515DAA" w:rsidRPr="00C10C7D">
        <w:rPr>
          <w:rFonts w:ascii="Times New Roman" w:eastAsia="Times New Roman" w:hAnsi="Times New Roman" w:cs="Times New Roman"/>
          <w:color w:val="000000" w:themeColor="text1"/>
          <w:sz w:val="24"/>
          <w:szCs w:val="24"/>
        </w:rPr>
        <w:t xml:space="preserve">2022 </w:t>
      </w:r>
      <w:r w:rsidRPr="00C10C7D">
        <w:rPr>
          <w:rFonts w:ascii="Times New Roman" w:eastAsia="Times New Roman" w:hAnsi="Times New Roman" w:cs="Times New Roman"/>
          <w:color w:val="000000" w:themeColor="text1"/>
          <w:sz w:val="24"/>
          <w:szCs w:val="24"/>
        </w:rPr>
        <w:t xml:space="preserve">r. poz. </w:t>
      </w:r>
      <w:r w:rsidR="000809CF" w:rsidRPr="00C10C7D">
        <w:rPr>
          <w:rFonts w:ascii="Times New Roman" w:eastAsia="Times New Roman" w:hAnsi="Times New Roman" w:cs="Times New Roman"/>
          <w:color w:val="000000" w:themeColor="text1"/>
          <w:sz w:val="24"/>
          <w:szCs w:val="24"/>
        </w:rPr>
        <w:t>2142</w:t>
      </w:r>
      <w:r w:rsidR="00AE1B23">
        <w:rPr>
          <w:rFonts w:ascii="Times New Roman" w:eastAsia="Times New Roman" w:hAnsi="Times New Roman" w:cs="Times New Roman"/>
          <w:color w:val="000000" w:themeColor="text1"/>
          <w:sz w:val="24"/>
          <w:szCs w:val="24"/>
        </w:rPr>
        <w:t>, z </w:t>
      </w:r>
      <w:r w:rsidR="00716C0D" w:rsidRPr="00C10C7D">
        <w:rPr>
          <w:rFonts w:ascii="Times New Roman" w:eastAsia="Times New Roman" w:hAnsi="Times New Roman" w:cs="Times New Roman"/>
          <w:color w:val="000000" w:themeColor="text1"/>
          <w:sz w:val="24"/>
          <w:szCs w:val="24"/>
        </w:rPr>
        <w:t>późn. zm.);</w:t>
      </w:r>
    </w:p>
    <w:p w14:paraId="477D5793" w14:textId="03B08A56" w:rsidR="00DC62D6" w:rsidRPr="00F91F34" w:rsidRDefault="00DC62D6"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13 kwietnia 2007 r. o kompatybilności elektromagnetycznej (</w:t>
      </w:r>
      <w:r w:rsidR="00E81227" w:rsidRPr="00C10C7D">
        <w:rPr>
          <w:rFonts w:ascii="Times New Roman" w:eastAsia="Times New Roman" w:hAnsi="Times New Roman" w:cs="Times New Roman"/>
          <w:color w:val="000000" w:themeColor="text1"/>
          <w:sz w:val="24"/>
          <w:szCs w:val="24"/>
        </w:rPr>
        <w:t>D</w:t>
      </w:r>
      <w:r w:rsidR="00AE1B23">
        <w:rPr>
          <w:rFonts w:ascii="Times New Roman" w:eastAsia="Times New Roman" w:hAnsi="Times New Roman" w:cs="Times New Roman"/>
          <w:color w:val="000000" w:themeColor="text1"/>
          <w:sz w:val="24"/>
          <w:szCs w:val="24"/>
        </w:rPr>
        <w:t>z. U. z </w:t>
      </w:r>
      <w:r w:rsidR="003C7BFC" w:rsidRPr="00C10C7D">
        <w:rPr>
          <w:rFonts w:ascii="Times New Roman" w:eastAsia="Times New Roman" w:hAnsi="Times New Roman" w:cs="Times New Roman"/>
          <w:color w:val="000000" w:themeColor="text1"/>
          <w:sz w:val="24"/>
          <w:szCs w:val="24"/>
        </w:rPr>
        <w:t xml:space="preserve">2022 </w:t>
      </w:r>
      <w:r w:rsidRPr="00C10C7D">
        <w:rPr>
          <w:rFonts w:ascii="Times New Roman" w:eastAsia="Times New Roman" w:hAnsi="Times New Roman" w:cs="Times New Roman"/>
          <w:color w:val="000000" w:themeColor="text1"/>
          <w:sz w:val="24"/>
          <w:szCs w:val="24"/>
        </w:rPr>
        <w:t xml:space="preserve">r. poz. </w:t>
      </w:r>
      <w:r w:rsidR="003C7BFC" w:rsidRPr="00C10C7D">
        <w:rPr>
          <w:rFonts w:ascii="Times New Roman" w:eastAsia="Times New Roman" w:hAnsi="Times New Roman" w:cs="Times New Roman"/>
          <w:color w:val="000000" w:themeColor="text1"/>
          <w:sz w:val="24"/>
          <w:szCs w:val="24"/>
        </w:rPr>
        <w:t>2233</w:t>
      </w:r>
      <w:r w:rsidR="00E81227"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w:t>
      </w:r>
    </w:p>
    <w:p w14:paraId="330ABBCF" w14:textId="5B6F1D4F" w:rsidR="7C2C5DE8" w:rsidRPr="00C10C7D"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 ustawie z dnia 26 kwietnia 2007 r. o zarządzaniu kryzysowym (Dz. U. z </w:t>
      </w:r>
      <w:r w:rsidR="00AE1B23">
        <w:rPr>
          <w:rFonts w:ascii="Times New Roman" w:eastAsia="Times New Roman" w:hAnsi="Times New Roman" w:cs="Times New Roman"/>
          <w:color w:val="000000" w:themeColor="text1"/>
          <w:sz w:val="24"/>
          <w:szCs w:val="24"/>
        </w:rPr>
        <w:t>2022 r. poz. </w:t>
      </w:r>
      <w:r w:rsidR="00DC62D6" w:rsidRPr="00C10C7D">
        <w:rPr>
          <w:rFonts w:ascii="Times New Roman" w:eastAsia="Times New Roman" w:hAnsi="Times New Roman" w:cs="Times New Roman"/>
          <w:color w:val="000000" w:themeColor="text1"/>
          <w:sz w:val="24"/>
          <w:szCs w:val="24"/>
        </w:rPr>
        <w:t>261</w:t>
      </w:r>
      <w:r w:rsidR="000809CF" w:rsidRPr="00C10C7D">
        <w:rPr>
          <w:rFonts w:ascii="Times New Roman" w:eastAsia="Times New Roman" w:hAnsi="Times New Roman" w:cs="Times New Roman"/>
          <w:color w:val="000000" w:themeColor="text1"/>
          <w:sz w:val="24"/>
          <w:szCs w:val="24"/>
        </w:rPr>
        <w:t>, z późn. zm.</w:t>
      </w:r>
      <w:r w:rsidRPr="00C10C7D">
        <w:rPr>
          <w:rFonts w:ascii="Times New Roman" w:eastAsia="Times New Roman" w:hAnsi="Times New Roman" w:cs="Times New Roman"/>
          <w:color w:val="000000" w:themeColor="text1"/>
          <w:sz w:val="24"/>
          <w:szCs w:val="24"/>
        </w:rPr>
        <w:t>)</w:t>
      </w:r>
      <w:r w:rsidR="4B4FB02C"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 xml:space="preserve"> </w:t>
      </w:r>
    </w:p>
    <w:p w14:paraId="3DD3D1A3" w14:textId="76103122" w:rsidR="2214C1E8" w:rsidRPr="00F91F34" w:rsidRDefault="2214C1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7 maja 2010 r. o wspieraniu rozwoju usług i sieci telekomunikacyjnych (Dz. U. z </w:t>
      </w:r>
      <w:r w:rsidR="00DC62D6" w:rsidRPr="00C10C7D">
        <w:rPr>
          <w:rFonts w:ascii="Times New Roman" w:eastAsia="Times New Roman" w:hAnsi="Times New Roman" w:cs="Times New Roman"/>
          <w:color w:val="000000" w:themeColor="text1"/>
          <w:sz w:val="24"/>
          <w:szCs w:val="24"/>
        </w:rPr>
        <w:t>202</w:t>
      </w:r>
      <w:r w:rsidR="001D1CEF" w:rsidRPr="00C10C7D">
        <w:rPr>
          <w:rFonts w:ascii="Times New Roman" w:eastAsia="Times New Roman" w:hAnsi="Times New Roman" w:cs="Times New Roman"/>
          <w:color w:val="000000" w:themeColor="text1"/>
          <w:sz w:val="24"/>
          <w:szCs w:val="24"/>
        </w:rPr>
        <w:t>2 r. poz. 884</w:t>
      </w:r>
      <w:r w:rsidR="000809CF" w:rsidRPr="00C10C7D">
        <w:rPr>
          <w:rFonts w:ascii="Times New Roman" w:eastAsia="Times New Roman" w:hAnsi="Times New Roman" w:cs="Times New Roman"/>
          <w:color w:val="000000" w:themeColor="text1"/>
          <w:sz w:val="24"/>
          <w:szCs w:val="24"/>
        </w:rPr>
        <w:t>, z późn. zm.</w:t>
      </w:r>
      <w:r w:rsidRPr="00CE1978">
        <w:rPr>
          <w:rFonts w:ascii="Times New Roman" w:eastAsia="Times New Roman" w:hAnsi="Times New Roman" w:cs="Times New Roman"/>
          <w:color w:val="000000" w:themeColor="text1"/>
          <w:sz w:val="24"/>
          <w:szCs w:val="24"/>
        </w:rPr>
        <w:t>);</w:t>
      </w:r>
    </w:p>
    <w:p w14:paraId="021E211A" w14:textId="3EE6CCBE" w:rsidR="7C2C5DE8" w:rsidRPr="00C10C7D"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5 sierpnia 2010 r. o ochronie informacji niejawnych (Dz. U. z 2019 r. poz. 742</w:t>
      </w:r>
      <w:r w:rsidR="000809CF" w:rsidRPr="00C10C7D">
        <w:rPr>
          <w:rFonts w:ascii="Times New Roman" w:eastAsia="Times New Roman" w:hAnsi="Times New Roman" w:cs="Times New Roman"/>
          <w:color w:val="000000" w:themeColor="text1"/>
          <w:sz w:val="24"/>
          <w:szCs w:val="24"/>
        </w:rPr>
        <w:t>, z późn. zm.</w:t>
      </w:r>
      <w:r w:rsidRPr="00C10C7D">
        <w:rPr>
          <w:rFonts w:ascii="Times New Roman" w:eastAsia="Times New Roman" w:hAnsi="Times New Roman" w:cs="Times New Roman"/>
          <w:color w:val="000000" w:themeColor="text1"/>
          <w:sz w:val="24"/>
          <w:szCs w:val="24"/>
        </w:rPr>
        <w:t>)</w:t>
      </w:r>
      <w:r w:rsidR="2290CBB2"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 xml:space="preserve"> </w:t>
      </w:r>
    </w:p>
    <w:p w14:paraId="58E88F7A" w14:textId="11D9C52B" w:rsidR="7C2C5DE8" w:rsidRPr="00C10C7D"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30 czerwca 2011 r. o wdrożeniu naziemnej telewizji cyfrowej (Dz.</w:t>
      </w:r>
      <w:r w:rsidR="00FF3C40" w:rsidRPr="00C10C7D">
        <w:rPr>
          <w:rFonts w:ascii="Times New Roman" w:eastAsia="Times New Roman" w:hAnsi="Times New Roman" w:cs="Times New Roman"/>
          <w:color w:val="000000" w:themeColor="text1"/>
          <w:sz w:val="24"/>
          <w:szCs w:val="24"/>
        </w:rPr>
        <w:t xml:space="preserve"> U. z 2016 r. poz. 649)</w:t>
      </w:r>
      <w:r w:rsidR="4AA63649" w:rsidRPr="00C10C7D">
        <w:rPr>
          <w:rFonts w:ascii="Times New Roman" w:eastAsia="Times New Roman" w:hAnsi="Times New Roman" w:cs="Times New Roman"/>
          <w:color w:val="000000" w:themeColor="text1"/>
          <w:sz w:val="24"/>
          <w:szCs w:val="24"/>
        </w:rPr>
        <w:t>;</w:t>
      </w:r>
    </w:p>
    <w:p w14:paraId="5F8157F7" w14:textId="33FF281E" w:rsidR="00340FE5" w:rsidRPr="00CE1978" w:rsidRDefault="00340FE5"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ustawie z dnia 19 sierpnia 2011 r. o usługach płatniczych (Dz. U. z </w:t>
      </w:r>
      <w:r w:rsidR="003E3D02" w:rsidRPr="00CE1978">
        <w:rPr>
          <w:rFonts w:ascii="Times New Roman" w:eastAsia="Times New Roman" w:hAnsi="Times New Roman" w:cs="Times New Roman"/>
          <w:color w:val="000000" w:themeColor="text1"/>
          <w:sz w:val="24"/>
          <w:szCs w:val="24"/>
        </w:rPr>
        <w:t xml:space="preserve">2022 </w:t>
      </w:r>
      <w:r w:rsidRPr="00CE1978">
        <w:rPr>
          <w:rFonts w:ascii="Times New Roman" w:eastAsia="Times New Roman" w:hAnsi="Times New Roman" w:cs="Times New Roman"/>
          <w:color w:val="000000" w:themeColor="text1"/>
          <w:sz w:val="24"/>
          <w:szCs w:val="24"/>
        </w:rPr>
        <w:t xml:space="preserve">r. poz. </w:t>
      </w:r>
      <w:r w:rsidR="003E3D02" w:rsidRPr="00CE1978">
        <w:rPr>
          <w:rFonts w:ascii="Times New Roman" w:eastAsia="Times New Roman" w:hAnsi="Times New Roman" w:cs="Times New Roman"/>
          <w:color w:val="000000" w:themeColor="text1"/>
          <w:sz w:val="24"/>
          <w:szCs w:val="24"/>
        </w:rPr>
        <w:t>2360</w:t>
      </w:r>
      <w:r w:rsidRPr="00CE1978">
        <w:rPr>
          <w:rFonts w:ascii="Times New Roman" w:eastAsia="Times New Roman" w:hAnsi="Times New Roman" w:cs="Times New Roman"/>
          <w:color w:val="000000" w:themeColor="text1"/>
          <w:sz w:val="24"/>
          <w:szCs w:val="24"/>
        </w:rPr>
        <w:t>);</w:t>
      </w:r>
    </w:p>
    <w:p w14:paraId="7474F55F" w14:textId="22CF36D2" w:rsidR="0094326D" w:rsidRPr="00C10C7D" w:rsidRDefault="0094326D"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ustawie z dnia 23 listopada 2012 r. </w:t>
      </w:r>
      <w:r w:rsidRPr="00F91F34">
        <w:rPr>
          <w:rFonts w:ascii="Times New Roman" w:eastAsia="Times New Roman" w:hAnsi="Times New Roman" w:cs="Times New Roman"/>
          <w:color w:val="000000" w:themeColor="text1"/>
          <w:sz w:val="24"/>
          <w:szCs w:val="24"/>
        </w:rPr>
        <w:t>– Prawo pocztowe (Dz. U. z 202</w:t>
      </w:r>
      <w:r w:rsidR="001D1CEF" w:rsidRPr="00F91F34">
        <w:rPr>
          <w:rFonts w:ascii="Times New Roman" w:eastAsia="Times New Roman" w:hAnsi="Times New Roman" w:cs="Times New Roman"/>
          <w:color w:val="000000" w:themeColor="text1"/>
          <w:sz w:val="24"/>
          <w:szCs w:val="24"/>
        </w:rPr>
        <w:t>2 r. poz. 896</w:t>
      </w:r>
      <w:r w:rsidR="00AE1B23">
        <w:rPr>
          <w:rFonts w:ascii="Times New Roman" w:eastAsia="Times New Roman" w:hAnsi="Times New Roman" w:cs="Times New Roman"/>
          <w:color w:val="000000" w:themeColor="text1"/>
          <w:sz w:val="24"/>
          <w:szCs w:val="24"/>
        </w:rPr>
        <w:t>, z </w:t>
      </w:r>
      <w:r w:rsidR="003E3D02" w:rsidRPr="00F91F34">
        <w:rPr>
          <w:rFonts w:ascii="Times New Roman" w:eastAsia="Times New Roman" w:hAnsi="Times New Roman" w:cs="Times New Roman"/>
          <w:color w:val="000000" w:themeColor="text1"/>
          <w:sz w:val="24"/>
          <w:szCs w:val="24"/>
        </w:rPr>
        <w:t>późn. zm.</w:t>
      </w:r>
      <w:r w:rsidRPr="00F91F34">
        <w:rPr>
          <w:rFonts w:ascii="Times New Roman" w:eastAsia="Times New Roman" w:hAnsi="Times New Roman" w:cs="Times New Roman"/>
          <w:color w:val="000000" w:themeColor="text1"/>
          <w:sz w:val="24"/>
          <w:szCs w:val="24"/>
        </w:rPr>
        <w:t>);</w:t>
      </w:r>
    </w:p>
    <w:p w14:paraId="6CD51B87" w14:textId="4E4FF695" w:rsidR="700F6B8D" w:rsidRPr="00F91F34" w:rsidRDefault="700F6B8D"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22 listopada 2013 r. o systemie powi</w:t>
      </w:r>
      <w:r w:rsidR="00AE1B23">
        <w:rPr>
          <w:rFonts w:ascii="Times New Roman" w:eastAsia="Times New Roman" w:hAnsi="Times New Roman" w:cs="Times New Roman"/>
          <w:color w:val="000000" w:themeColor="text1"/>
          <w:sz w:val="24"/>
          <w:szCs w:val="24"/>
        </w:rPr>
        <w:t>adamiania ratunkowego (Dz. U. z </w:t>
      </w:r>
      <w:r w:rsidR="0094326D" w:rsidRPr="00C10C7D">
        <w:rPr>
          <w:rFonts w:ascii="Times New Roman" w:eastAsia="Times New Roman" w:hAnsi="Times New Roman" w:cs="Times New Roman"/>
          <w:color w:val="000000" w:themeColor="text1"/>
          <w:sz w:val="24"/>
          <w:szCs w:val="24"/>
        </w:rPr>
        <w:t>202</w:t>
      </w:r>
      <w:r w:rsidR="003E3D02" w:rsidRPr="00C10C7D">
        <w:rPr>
          <w:rFonts w:ascii="Times New Roman" w:eastAsia="Times New Roman" w:hAnsi="Times New Roman" w:cs="Times New Roman"/>
          <w:color w:val="000000" w:themeColor="text1"/>
          <w:sz w:val="24"/>
          <w:szCs w:val="24"/>
        </w:rPr>
        <w:t>2</w:t>
      </w:r>
      <w:r w:rsidR="0094326D" w:rsidRPr="00C10C7D">
        <w:rPr>
          <w:rFonts w:ascii="Times New Roman" w:eastAsia="Times New Roman" w:hAnsi="Times New Roman" w:cs="Times New Roman"/>
          <w:color w:val="000000" w:themeColor="text1"/>
          <w:sz w:val="24"/>
          <w:szCs w:val="24"/>
        </w:rPr>
        <w:t xml:space="preserve"> r. poz. </w:t>
      </w:r>
      <w:r w:rsidR="003E3D02" w:rsidRPr="00C10C7D">
        <w:rPr>
          <w:rFonts w:ascii="Times New Roman" w:eastAsia="Times New Roman" w:hAnsi="Times New Roman" w:cs="Times New Roman"/>
          <w:color w:val="000000" w:themeColor="text1"/>
          <w:sz w:val="24"/>
          <w:szCs w:val="24"/>
        </w:rPr>
        <w:t>2175</w:t>
      </w:r>
      <w:r w:rsidRPr="00C10C7D">
        <w:rPr>
          <w:rFonts w:ascii="Times New Roman" w:eastAsia="Times New Roman" w:hAnsi="Times New Roman" w:cs="Times New Roman"/>
          <w:color w:val="000000" w:themeColor="text1"/>
          <w:sz w:val="24"/>
          <w:szCs w:val="24"/>
        </w:rPr>
        <w:t>);</w:t>
      </w:r>
    </w:p>
    <w:p w14:paraId="468E0394" w14:textId="4AE46B41" w:rsidR="7C2C5DE8" w:rsidRPr="00C10C7D"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lastRenderedPageBreak/>
        <w:t xml:space="preserve">ustawie z dnia 12 grudnia 2013 r. o cudzoziemcach (Dz. U. z </w:t>
      </w:r>
      <w:r w:rsidR="0094326D" w:rsidRPr="00C10C7D">
        <w:rPr>
          <w:rFonts w:ascii="Times New Roman" w:eastAsia="Times New Roman" w:hAnsi="Times New Roman" w:cs="Times New Roman"/>
          <w:color w:val="000000" w:themeColor="text1"/>
          <w:sz w:val="24"/>
          <w:szCs w:val="24"/>
        </w:rPr>
        <w:t>2021 r. poz. 2354</w:t>
      </w:r>
      <w:r w:rsidR="00AE1B23">
        <w:rPr>
          <w:rFonts w:ascii="Times New Roman" w:eastAsia="Times New Roman" w:hAnsi="Times New Roman" w:cs="Times New Roman"/>
          <w:color w:val="000000" w:themeColor="text1"/>
          <w:sz w:val="24"/>
          <w:szCs w:val="24"/>
        </w:rPr>
        <w:t>, z późn. </w:t>
      </w:r>
      <w:r w:rsidR="00591255" w:rsidRPr="00C10C7D">
        <w:rPr>
          <w:rFonts w:ascii="Times New Roman" w:eastAsia="Times New Roman" w:hAnsi="Times New Roman" w:cs="Times New Roman"/>
          <w:color w:val="000000" w:themeColor="text1"/>
          <w:sz w:val="24"/>
          <w:szCs w:val="24"/>
        </w:rPr>
        <w:t>zm.);</w:t>
      </w:r>
    </w:p>
    <w:p w14:paraId="512C1038" w14:textId="6A7195C0" w:rsidR="7C2C5DE8" w:rsidRPr="00CE1978"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30 maja 2014 r. o prawach konsume</w:t>
      </w:r>
      <w:r w:rsidR="00FF3C40" w:rsidRPr="00C10C7D">
        <w:rPr>
          <w:rFonts w:ascii="Times New Roman" w:eastAsia="Times New Roman" w:hAnsi="Times New Roman" w:cs="Times New Roman"/>
          <w:color w:val="000000" w:themeColor="text1"/>
          <w:sz w:val="24"/>
          <w:szCs w:val="24"/>
        </w:rPr>
        <w:t>nta (Dz. U. z 2020 r. poz. 287</w:t>
      </w:r>
      <w:r w:rsidR="00AE1B23">
        <w:rPr>
          <w:rFonts w:ascii="Times New Roman" w:eastAsia="Times New Roman" w:hAnsi="Times New Roman" w:cs="Times New Roman"/>
          <w:color w:val="000000" w:themeColor="text1"/>
          <w:sz w:val="24"/>
          <w:szCs w:val="24"/>
        </w:rPr>
        <w:t>, z </w:t>
      </w:r>
      <w:r w:rsidR="00DE13AE" w:rsidRPr="00C10C7D">
        <w:rPr>
          <w:rFonts w:ascii="Times New Roman" w:eastAsia="Times New Roman" w:hAnsi="Times New Roman" w:cs="Times New Roman"/>
          <w:color w:val="000000" w:themeColor="text1"/>
          <w:sz w:val="24"/>
          <w:szCs w:val="24"/>
        </w:rPr>
        <w:t>późn. zm.</w:t>
      </w:r>
      <w:r w:rsidR="00FF3C40" w:rsidRPr="00CE1978">
        <w:rPr>
          <w:rFonts w:ascii="Times New Roman" w:eastAsia="Times New Roman" w:hAnsi="Times New Roman" w:cs="Times New Roman"/>
          <w:color w:val="000000" w:themeColor="text1"/>
          <w:sz w:val="24"/>
          <w:szCs w:val="24"/>
        </w:rPr>
        <w:t>)</w:t>
      </w:r>
      <w:r w:rsidR="43F93831" w:rsidRPr="00CE1978">
        <w:rPr>
          <w:rFonts w:ascii="Times New Roman" w:eastAsia="Times New Roman" w:hAnsi="Times New Roman" w:cs="Times New Roman"/>
          <w:color w:val="000000" w:themeColor="text1"/>
          <w:sz w:val="24"/>
          <w:szCs w:val="24"/>
        </w:rPr>
        <w:t>;</w:t>
      </w:r>
    </w:p>
    <w:p w14:paraId="22770AD0" w14:textId="0C1BB273" w:rsidR="7C2C5DE8" w:rsidRPr="00CE1978"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ustawie z dnia 19 grudnia 2014 r. o rybołówstwie morskim (Dz. U. z </w:t>
      </w:r>
      <w:r w:rsidR="0094326D" w:rsidRPr="00CE1978">
        <w:rPr>
          <w:rFonts w:ascii="Times New Roman" w:eastAsia="Times New Roman" w:hAnsi="Times New Roman" w:cs="Times New Roman"/>
          <w:color w:val="000000" w:themeColor="text1"/>
          <w:sz w:val="24"/>
          <w:szCs w:val="24"/>
        </w:rPr>
        <w:t>2022 r. poz. 540</w:t>
      </w:r>
      <w:r w:rsidR="00DE13AE" w:rsidRPr="00CE1978">
        <w:rPr>
          <w:rFonts w:ascii="Times New Roman" w:eastAsia="Times New Roman" w:hAnsi="Times New Roman" w:cs="Times New Roman"/>
          <w:color w:val="000000" w:themeColor="text1"/>
          <w:sz w:val="24"/>
          <w:szCs w:val="24"/>
        </w:rPr>
        <w:t>, z późn. zm.</w:t>
      </w:r>
      <w:r w:rsidRPr="00CE1978">
        <w:rPr>
          <w:rFonts w:ascii="Times New Roman" w:eastAsia="Times New Roman" w:hAnsi="Times New Roman" w:cs="Times New Roman"/>
          <w:color w:val="000000" w:themeColor="text1"/>
          <w:sz w:val="24"/>
          <w:szCs w:val="24"/>
        </w:rPr>
        <w:t>)</w:t>
      </w:r>
      <w:r w:rsidR="10CB976B"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color w:val="000000" w:themeColor="text1"/>
          <w:sz w:val="24"/>
          <w:szCs w:val="24"/>
        </w:rPr>
        <w:t xml:space="preserve"> </w:t>
      </w:r>
    </w:p>
    <w:p w14:paraId="4BE69891" w14:textId="26D1C960" w:rsidR="7C2C5DE8" w:rsidRPr="00F91F34"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ustawie z dnia 15 maja 2015 r. </w:t>
      </w:r>
      <w:r w:rsidR="0094326D" w:rsidRPr="00F91F34">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 xml:space="preserve"> Prawo restrukturyzacyjne (Dz. U. z </w:t>
      </w:r>
      <w:r w:rsidR="00DE13AE" w:rsidRPr="00C10C7D">
        <w:rPr>
          <w:rFonts w:ascii="Times New Roman" w:eastAsia="Times New Roman" w:hAnsi="Times New Roman" w:cs="Times New Roman"/>
          <w:color w:val="000000" w:themeColor="text1"/>
          <w:sz w:val="24"/>
          <w:szCs w:val="24"/>
        </w:rPr>
        <w:t xml:space="preserve">2022 </w:t>
      </w:r>
      <w:r w:rsidR="00AE1B23">
        <w:rPr>
          <w:rFonts w:ascii="Times New Roman" w:eastAsia="Times New Roman" w:hAnsi="Times New Roman" w:cs="Times New Roman"/>
          <w:color w:val="000000" w:themeColor="text1"/>
          <w:sz w:val="24"/>
          <w:szCs w:val="24"/>
        </w:rPr>
        <w:t>r. poz. </w:t>
      </w:r>
      <w:r w:rsidR="00DE13AE" w:rsidRPr="00C10C7D">
        <w:rPr>
          <w:rFonts w:ascii="Times New Roman" w:eastAsia="Times New Roman" w:hAnsi="Times New Roman" w:cs="Times New Roman"/>
          <w:color w:val="000000" w:themeColor="text1"/>
          <w:sz w:val="24"/>
          <w:szCs w:val="24"/>
        </w:rPr>
        <w:t>2309</w:t>
      </w:r>
      <w:r w:rsidR="12731DEE" w:rsidRPr="00C10C7D">
        <w:rPr>
          <w:rFonts w:ascii="Times New Roman" w:eastAsia="Times New Roman" w:hAnsi="Times New Roman" w:cs="Times New Roman"/>
          <w:color w:val="000000" w:themeColor="text1"/>
          <w:sz w:val="24"/>
          <w:szCs w:val="24"/>
        </w:rPr>
        <w:t>)</w:t>
      </w:r>
      <w:r w:rsidR="261FA0C2" w:rsidRPr="00C10C7D">
        <w:rPr>
          <w:rFonts w:ascii="Times New Roman" w:eastAsia="Times New Roman" w:hAnsi="Times New Roman" w:cs="Times New Roman"/>
          <w:color w:val="000000" w:themeColor="text1"/>
          <w:sz w:val="24"/>
          <w:szCs w:val="24"/>
        </w:rPr>
        <w:t>;</w:t>
      </w:r>
    </w:p>
    <w:p w14:paraId="45ACE83B" w14:textId="2DD07388" w:rsidR="000A4F85" w:rsidRPr="00F91F34" w:rsidRDefault="000A4F85"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16 listopada 2016 r. o Krajowej Ad</w:t>
      </w:r>
      <w:r w:rsidR="00AE1B23">
        <w:rPr>
          <w:rFonts w:ascii="Times New Roman" w:eastAsia="Times New Roman" w:hAnsi="Times New Roman" w:cs="Times New Roman"/>
          <w:color w:val="000000" w:themeColor="text1"/>
          <w:sz w:val="24"/>
          <w:szCs w:val="24"/>
        </w:rPr>
        <w:t>ministracji Skarbowej (Dz. U. z </w:t>
      </w:r>
      <w:r w:rsidRPr="00C10C7D">
        <w:rPr>
          <w:rFonts w:ascii="Times New Roman" w:eastAsia="Times New Roman" w:hAnsi="Times New Roman" w:cs="Times New Roman"/>
          <w:color w:val="000000" w:themeColor="text1"/>
          <w:sz w:val="24"/>
          <w:szCs w:val="24"/>
        </w:rPr>
        <w:t>2022 r. poz. 813</w:t>
      </w:r>
      <w:r w:rsidR="00C4027D" w:rsidRPr="00C10C7D">
        <w:rPr>
          <w:rFonts w:ascii="Times New Roman" w:eastAsia="Times New Roman" w:hAnsi="Times New Roman" w:cs="Times New Roman"/>
          <w:color w:val="000000" w:themeColor="text1"/>
          <w:sz w:val="24"/>
          <w:szCs w:val="24"/>
        </w:rPr>
        <w:t>, z późn. zm.</w:t>
      </w:r>
      <w:r w:rsidRPr="00C10C7D">
        <w:rPr>
          <w:rFonts w:ascii="Times New Roman" w:eastAsia="Times New Roman" w:hAnsi="Times New Roman" w:cs="Times New Roman"/>
          <w:color w:val="000000" w:themeColor="text1"/>
          <w:sz w:val="24"/>
          <w:szCs w:val="24"/>
        </w:rPr>
        <w:t>);</w:t>
      </w:r>
    </w:p>
    <w:p w14:paraId="55E82165" w14:textId="77777777" w:rsidR="7C2C5DE8" w:rsidRPr="00C10C7D"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2 grudnia 2016 r. o wyposażeniu mors</w:t>
      </w:r>
      <w:r w:rsidR="00FF3C40" w:rsidRPr="00C10C7D">
        <w:rPr>
          <w:rFonts w:ascii="Times New Roman" w:eastAsia="Times New Roman" w:hAnsi="Times New Roman" w:cs="Times New Roman"/>
          <w:color w:val="000000" w:themeColor="text1"/>
          <w:sz w:val="24"/>
          <w:szCs w:val="24"/>
        </w:rPr>
        <w:t>kim (Dz. U. z 2019 r. poz. 955)</w:t>
      </w:r>
      <w:r w:rsidR="47FC06A1" w:rsidRPr="00C10C7D">
        <w:rPr>
          <w:rFonts w:ascii="Times New Roman" w:eastAsia="Times New Roman" w:hAnsi="Times New Roman" w:cs="Times New Roman"/>
          <w:color w:val="000000" w:themeColor="text1"/>
          <w:sz w:val="24"/>
          <w:szCs w:val="24"/>
        </w:rPr>
        <w:t>;</w:t>
      </w:r>
    </w:p>
    <w:p w14:paraId="0CF6D7BB" w14:textId="16055A52" w:rsidR="7C2C5DE8" w:rsidRPr="00F91F34"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ustawie z dnia 27 października 2017 r. o Ogólnopolskiej Sieci Edukacyjnej (Dz. U. </w:t>
      </w:r>
      <w:r w:rsidR="00AE1B23">
        <w:rPr>
          <w:rFonts w:ascii="Times New Roman" w:eastAsia="Times New Roman" w:hAnsi="Times New Roman" w:cs="Times New Roman"/>
          <w:color w:val="000000" w:themeColor="text1"/>
          <w:sz w:val="24"/>
          <w:szCs w:val="24"/>
        </w:rPr>
        <w:t>z </w:t>
      </w:r>
      <w:r w:rsidR="00340FE5" w:rsidRPr="00CE1978">
        <w:rPr>
          <w:rFonts w:ascii="Times New Roman" w:eastAsia="Times New Roman" w:hAnsi="Times New Roman" w:cs="Times New Roman"/>
          <w:color w:val="000000" w:themeColor="text1"/>
          <w:sz w:val="24"/>
          <w:szCs w:val="24"/>
        </w:rPr>
        <w:t>2021 r. poz. 989</w:t>
      </w:r>
      <w:r w:rsidR="00C4027D" w:rsidRPr="00CE1978">
        <w:rPr>
          <w:rFonts w:ascii="Times New Roman" w:eastAsia="Times New Roman" w:hAnsi="Times New Roman" w:cs="Times New Roman"/>
          <w:color w:val="000000" w:themeColor="text1"/>
          <w:sz w:val="24"/>
          <w:szCs w:val="24"/>
        </w:rPr>
        <w:t>, z późn. zm.</w:t>
      </w:r>
      <w:r w:rsidRPr="00CE1978">
        <w:rPr>
          <w:rFonts w:ascii="Times New Roman" w:eastAsia="Times New Roman" w:hAnsi="Times New Roman" w:cs="Times New Roman"/>
          <w:color w:val="000000" w:themeColor="text1"/>
          <w:sz w:val="24"/>
          <w:szCs w:val="24"/>
        </w:rPr>
        <w:t>)</w:t>
      </w:r>
      <w:r w:rsidR="27EA75CD"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color w:val="000000" w:themeColor="text1"/>
          <w:sz w:val="24"/>
          <w:szCs w:val="24"/>
        </w:rPr>
        <w:t xml:space="preserve"> </w:t>
      </w:r>
    </w:p>
    <w:p w14:paraId="74BED3E2" w14:textId="5BB3206B" w:rsidR="7C2C5DE8" w:rsidRPr="00F91F34"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8 grudnia 2017 r. o Służbie Ochrony Państwa (Dz. U. z </w:t>
      </w:r>
      <w:r w:rsidR="00AE1B23">
        <w:rPr>
          <w:rFonts w:ascii="Times New Roman" w:eastAsia="Times New Roman" w:hAnsi="Times New Roman" w:cs="Times New Roman"/>
          <w:color w:val="000000" w:themeColor="text1"/>
          <w:sz w:val="24"/>
          <w:szCs w:val="24"/>
        </w:rPr>
        <w:t>2021 r. poz. </w:t>
      </w:r>
      <w:r w:rsidR="00340FE5" w:rsidRPr="00C10C7D">
        <w:rPr>
          <w:rFonts w:ascii="Times New Roman" w:eastAsia="Times New Roman" w:hAnsi="Times New Roman" w:cs="Times New Roman"/>
          <w:color w:val="000000" w:themeColor="text1"/>
          <w:sz w:val="24"/>
          <w:szCs w:val="24"/>
        </w:rPr>
        <w:t>575</w:t>
      </w:r>
      <w:r w:rsidR="00C4027D" w:rsidRPr="00C10C7D">
        <w:rPr>
          <w:rFonts w:ascii="Times New Roman" w:eastAsia="Times New Roman" w:hAnsi="Times New Roman" w:cs="Times New Roman"/>
          <w:color w:val="000000" w:themeColor="text1"/>
          <w:sz w:val="24"/>
          <w:szCs w:val="24"/>
        </w:rPr>
        <w:t>, z późn. zm.</w:t>
      </w:r>
      <w:r w:rsidRPr="00C10C7D">
        <w:rPr>
          <w:rFonts w:ascii="Times New Roman" w:eastAsia="Times New Roman" w:hAnsi="Times New Roman" w:cs="Times New Roman"/>
          <w:color w:val="000000" w:themeColor="text1"/>
          <w:sz w:val="24"/>
          <w:szCs w:val="24"/>
        </w:rPr>
        <w:t>)</w:t>
      </w:r>
      <w:r w:rsidR="2D94098A"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 xml:space="preserve"> </w:t>
      </w:r>
    </w:p>
    <w:p w14:paraId="57D372B8" w14:textId="2513D57D" w:rsidR="7C2C5DE8" w:rsidRPr="00F91F34"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1 marca 2018 r. o przeciwdziałaniu praniu pieniędzy oraz finansowaniu terroryzmu (Dz. U. z </w:t>
      </w:r>
      <w:r w:rsidR="00340FE5" w:rsidRPr="00C10C7D">
        <w:rPr>
          <w:rFonts w:ascii="Times New Roman" w:eastAsia="Times New Roman" w:hAnsi="Times New Roman" w:cs="Times New Roman"/>
          <w:color w:val="000000" w:themeColor="text1"/>
          <w:sz w:val="24"/>
          <w:szCs w:val="24"/>
        </w:rPr>
        <w:t>2022 r. poz. 593</w:t>
      </w:r>
      <w:r w:rsidR="00C4027D" w:rsidRPr="00C10C7D">
        <w:rPr>
          <w:rFonts w:ascii="Times New Roman" w:eastAsia="Times New Roman" w:hAnsi="Times New Roman" w:cs="Times New Roman"/>
          <w:color w:val="000000" w:themeColor="text1"/>
          <w:sz w:val="24"/>
          <w:szCs w:val="24"/>
        </w:rPr>
        <w:t>, z późn. zm.</w:t>
      </w:r>
      <w:r w:rsidR="0DE10834" w:rsidRPr="00C10C7D">
        <w:rPr>
          <w:rFonts w:ascii="Times New Roman" w:eastAsia="Times New Roman" w:hAnsi="Times New Roman" w:cs="Times New Roman"/>
          <w:color w:val="000000" w:themeColor="text1"/>
          <w:sz w:val="24"/>
          <w:szCs w:val="24"/>
        </w:rPr>
        <w:t>)</w:t>
      </w:r>
      <w:r w:rsidR="3683B14F"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 xml:space="preserve"> </w:t>
      </w:r>
    </w:p>
    <w:p w14:paraId="5C19C72C" w14:textId="7A777B03" w:rsidR="00340FE5" w:rsidRPr="00F91F34" w:rsidRDefault="00340FE5"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6 marca 2018 r. </w:t>
      </w:r>
      <w:r w:rsidRPr="00F91F34">
        <w:rPr>
          <w:rFonts w:ascii="Times New Roman" w:eastAsia="Times New Roman" w:hAnsi="Times New Roman" w:cs="Times New Roman"/>
          <w:color w:val="000000" w:themeColor="text1"/>
          <w:sz w:val="24"/>
          <w:szCs w:val="24"/>
        </w:rPr>
        <w:t>– Prawo przedsiębiorców (Dz. U. z 2021 r. poz. 162</w:t>
      </w:r>
      <w:r w:rsidR="002F532C" w:rsidRPr="00F91F34">
        <w:rPr>
          <w:rFonts w:ascii="Times New Roman" w:eastAsia="Times New Roman" w:hAnsi="Times New Roman" w:cs="Times New Roman"/>
          <w:color w:val="000000" w:themeColor="text1"/>
          <w:sz w:val="24"/>
          <w:szCs w:val="24"/>
        </w:rPr>
        <w:t>, z</w:t>
      </w:r>
      <w:r w:rsidR="00AE1B23">
        <w:rPr>
          <w:rFonts w:ascii="Times New Roman" w:eastAsia="Times New Roman" w:hAnsi="Times New Roman" w:cs="Times New Roman"/>
          <w:color w:val="000000" w:themeColor="text1"/>
          <w:sz w:val="24"/>
          <w:szCs w:val="24"/>
        </w:rPr>
        <w:t> </w:t>
      </w:r>
      <w:r w:rsidR="002F532C" w:rsidRPr="00F91F34">
        <w:rPr>
          <w:rFonts w:ascii="Times New Roman" w:eastAsia="Times New Roman" w:hAnsi="Times New Roman" w:cs="Times New Roman"/>
          <w:color w:val="000000" w:themeColor="text1"/>
          <w:sz w:val="24"/>
          <w:szCs w:val="24"/>
        </w:rPr>
        <w:t>późn. zm.</w:t>
      </w:r>
      <w:r w:rsidRPr="00F91F34">
        <w:rPr>
          <w:rFonts w:ascii="Times New Roman" w:eastAsia="Times New Roman" w:hAnsi="Times New Roman" w:cs="Times New Roman"/>
          <w:color w:val="000000" w:themeColor="text1"/>
          <w:sz w:val="24"/>
          <w:szCs w:val="24"/>
        </w:rPr>
        <w:t>);</w:t>
      </w:r>
    </w:p>
    <w:p w14:paraId="4C3CB130" w14:textId="7561ABCA" w:rsidR="00340FE5" w:rsidRPr="00F91F34" w:rsidRDefault="00340FE5"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6 marca 2018 r. o zasadach uczestnictwa przedsiębiorców zagranicznych i innych osób zagranicznych w obrocie gospodarczym na terytorium Rzeczypospolitej Polskiej (Dz. U. z 2022 r. poz. 470);</w:t>
      </w:r>
    </w:p>
    <w:p w14:paraId="11167DBB" w14:textId="160FDA98" w:rsidR="63961FF3" w:rsidRPr="00F91F34" w:rsidRDefault="63961FF3"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31 lipca 2019 r. o powszechnym spisie rolnym w 2020 r. (Dz. U. </w:t>
      </w:r>
      <w:r w:rsidR="00AE1B23">
        <w:rPr>
          <w:rFonts w:ascii="Times New Roman" w:eastAsia="Times New Roman" w:hAnsi="Times New Roman" w:cs="Times New Roman"/>
          <w:color w:val="000000" w:themeColor="text1"/>
          <w:sz w:val="24"/>
          <w:szCs w:val="24"/>
        </w:rPr>
        <w:t>z 2019 </w:t>
      </w:r>
      <w:r w:rsidR="00340FE5" w:rsidRPr="00C10C7D">
        <w:rPr>
          <w:rFonts w:ascii="Times New Roman" w:eastAsia="Times New Roman" w:hAnsi="Times New Roman" w:cs="Times New Roman"/>
          <w:color w:val="000000" w:themeColor="text1"/>
          <w:sz w:val="24"/>
          <w:szCs w:val="24"/>
        </w:rPr>
        <w:t xml:space="preserve">r. </w:t>
      </w:r>
      <w:r w:rsidRPr="00C10C7D">
        <w:rPr>
          <w:rFonts w:ascii="Times New Roman" w:eastAsia="Times New Roman" w:hAnsi="Times New Roman" w:cs="Times New Roman"/>
          <w:color w:val="000000" w:themeColor="text1"/>
          <w:sz w:val="24"/>
          <w:szCs w:val="24"/>
        </w:rPr>
        <w:t>poz. 1728</w:t>
      </w:r>
      <w:r w:rsidR="002F532C" w:rsidRPr="00C10C7D">
        <w:rPr>
          <w:rFonts w:ascii="Times New Roman" w:eastAsia="Times New Roman" w:hAnsi="Times New Roman" w:cs="Times New Roman"/>
          <w:color w:val="000000" w:themeColor="text1"/>
          <w:sz w:val="24"/>
          <w:szCs w:val="24"/>
        </w:rPr>
        <w:t>, z późn. zm.</w:t>
      </w:r>
      <w:r w:rsidRPr="00C10C7D">
        <w:rPr>
          <w:rFonts w:ascii="Times New Roman" w:eastAsia="Times New Roman" w:hAnsi="Times New Roman" w:cs="Times New Roman"/>
          <w:color w:val="000000" w:themeColor="text1"/>
          <w:sz w:val="24"/>
          <w:szCs w:val="24"/>
        </w:rPr>
        <w:t>);</w:t>
      </w:r>
    </w:p>
    <w:p w14:paraId="26E23212" w14:textId="2DF449EC" w:rsidR="63961FF3" w:rsidRPr="00F91F34" w:rsidRDefault="63961FF3"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9 sierpnia 2019 r. o narodowy</w:t>
      </w:r>
      <w:r w:rsidR="00AE1B23">
        <w:rPr>
          <w:rFonts w:ascii="Times New Roman" w:eastAsia="Times New Roman" w:hAnsi="Times New Roman" w:cs="Times New Roman"/>
          <w:color w:val="000000" w:themeColor="text1"/>
          <w:sz w:val="24"/>
          <w:szCs w:val="24"/>
        </w:rPr>
        <w:t>m spisie powszechnym ludności i </w:t>
      </w:r>
      <w:r w:rsidRPr="00C10C7D">
        <w:rPr>
          <w:rFonts w:ascii="Times New Roman" w:eastAsia="Times New Roman" w:hAnsi="Times New Roman" w:cs="Times New Roman"/>
          <w:color w:val="000000" w:themeColor="text1"/>
          <w:sz w:val="24"/>
          <w:szCs w:val="24"/>
        </w:rPr>
        <w:t xml:space="preserve">mieszkań w 2021 r. (Dz. U. </w:t>
      </w:r>
      <w:r w:rsidR="00340FE5" w:rsidRPr="00C10C7D">
        <w:rPr>
          <w:rFonts w:ascii="Times New Roman" w:eastAsia="Times New Roman" w:hAnsi="Times New Roman" w:cs="Times New Roman"/>
          <w:color w:val="000000" w:themeColor="text1"/>
          <w:sz w:val="24"/>
          <w:szCs w:val="24"/>
        </w:rPr>
        <w:t>z 2021 r. poz. 1143</w:t>
      </w:r>
      <w:r w:rsidRPr="00C10C7D">
        <w:rPr>
          <w:rFonts w:ascii="Times New Roman" w:eastAsia="Times New Roman" w:hAnsi="Times New Roman" w:cs="Times New Roman"/>
          <w:color w:val="000000" w:themeColor="text1"/>
          <w:sz w:val="24"/>
          <w:szCs w:val="24"/>
        </w:rPr>
        <w:t>);</w:t>
      </w:r>
    </w:p>
    <w:p w14:paraId="46D1AB0E" w14:textId="29EC6EE8" w:rsidR="00431A48" w:rsidRPr="00C10C7D" w:rsidRDefault="7C2C5DE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ustawie z dnia 30 sierpnia 2019 r. o zmianie ustawy o wspieraniu rozwoju usług i sieci telekomunikacyjnych oraz niektórych innych ustaw (Dz. U. poz. 1815</w:t>
      </w:r>
      <w:r w:rsidR="002F532C" w:rsidRPr="00C10C7D">
        <w:rPr>
          <w:rFonts w:ascii="Times New Roman" w:eastAsia="Times New Roman" w:hAnsi="Times New Roman" w:cs="Times New Roman"/>
          <w:color w:val="000000" w:themeColor="text1"/>
          <w:sz w:val="24"/>
          <w:szCs w:val="24"/>
        </w:rPr>
        <w:t>, z późn. zm.</w:t>
      </w:r>
      <w:r w:rsidRPr="00C10C7D">
        <w:rPr>
          <w:rFonts w:ascii="Times New Roman" w:eastAsia="Times New Roman" w:hAnsi="Times New Roman" w:cs="Times New Roman"/>
          <w:color w:val="000000" w:themeColor="text1"/>
          <w:sz w:val="24"/>
          <w:szCs w:val="24"/>
        </w:rPr>
        <w:t>)</w:t>
      </w:r>
      <w:r w:rsidR="00431A48" w:rsidRPr="00C10C7D">
        <w:rPr>
          <w:rFonts w:ascii="Times New Roman" w:eastAsia="Times New Roman" w:hAnsi="Times New Roman" w:cs="Times New Roman"/>
          <w:color w:val="000000" w:themeColor="text1"/>
          <w:sz w:val="24"/>
          <w:szCs w:val="24"/>
        </w:rPr>
        <w:t>;</w:t>
      </w:r>
    </w:p>
    <w:p w14:paraId="4AC393F6" w14:textId="6A5A47A1" w:rsidR="00431A48" w:rsidRPr="00C10C7D" w:rsidRDefault="00431A4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ustawie z dnia 11 marca 2022 r. o obronie Ojczyzny (Dz. U. </w:t>
      </w:r>
      <w:r w:rsidR="002F532C" w:rsidRPr="00C10C7D">
        <w:rPr>
          <w:rFonts w:ascii="Times New Roman" w:eastAsia="Times New Roman" w:hAnsi="Times New Roman" w:cs="Times New Roman"/>
          <w:color w:val="000000" w:themeColor="text1"/>
          <w:sz w:val="24"/>
          <w:szCs w:val="24"/>
        </w:rPr>
        <w:t xml:space="preserve">z 2022 r. </w:t>
      </w:r>
      <w:r w:rsidRPr="00C10C7D">
        <w:rPr>
          <w:rFonts w:ascii="Times New Roman" w:eastAsia="Times New Roman" w:hAnsi="Times New Roman" w:cs="Times New Roman"/>
          <w:color w:val="000000" w:themeColor="text1"/>
          <w:sz w:val="24"/>
          <w:szCs w:val="24"/>
        </w:rPr>
        <w:t xml:space="preserve">poz. </w:t>
      </w:r>
      <w:r w:rsidR="002F532C" w:rsidRPr="00C10C7D">
        <w:rPr>
          <w:rFonts w:ascii="Times New Roman" w:eastAsia="Times New Roman" w:hAnsi="Times New Roman" w:cs="Times New Roman"/>
          <w:color w:val="000000" w:themeColor="text1"/>
          <w:sz w:val="24"/>
          <w:szCs w:val="24"/>
        </w:rPr>
        <w:t>2305</w:t>
      </w:r>
      <w:r w:rsidRPr="00C10C7D">
        <w:rPr>
          <w:rFonts w:ascii="Times New Roman" w:eastAsia="Times New Roman" w:hAnsi="Times New Roman" w:cs="Times New Roman"/>
          <w:color w:val="000000" w:themeColor="text1"/>
          <w:sz w:val="24"/>
          <w:szCs w:val="24"/>
        </w:rPr>
        <w:t>);</w:t>
      </w:r>
    </w:p>
    <w:p w14:paraId="4EA7ACC9" w14:textId="6747C663" w:rsidR="005E10E0" w:rsidRPr="00CE1978" w:rsidRDefault="00431A48" w:rsidP="00F91F34">
      <w:pPr>
        <w:pStyle w:val="Akapitzlist"/>
        <w:numPr>
          <w:ilvl w:val="0"/>
          <w:numId w:val="5"/>
        </w:numPr>
        <w:spacing w:before="120" w:after="0" w:line="360" w:lineRule="auto"/>
        <w:ind w:left="851" w:hanging="431"/>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 xml:space="preserve">ustawie z dnia </w:t>
      </w:r>
      <w:r w:rsidR="00D920DD" w:rsidRPr="00CE1978">
        <w:rPr>
          <w:rFonts w:ascii="Times New Roman" w:eastAsia="Times New Roman" w:hAnsi="Times New Roman" w:cs="Times New Roman"/>
          <w:bCs/>
          <w:color w:val="000000" w:themeColor="text1"/>
          <w:sz w:val="24"/>
          <w:szCs w:val="24"/>
        </w:rPr>
        <w:t xml:space="preserve">12 marca 2022 r. o pomocy obywatelom Ukrainy </w:t>
      </w:r>
      <w:r w:rsidR="00AE1B23">
        <w:rPr>
          <w:rFonts w:ascii="Times New Roman" w:eastAsia="Times New Roman" w:hAnsi="Times New Roman" w:cs="Times New Roman"/>
          <w:bCs/>
          <w:color w:val="000000" w:themeColor="text1"/>
          <w:sz w:val="24"/>
          <w:szCs w:val="24"/>
        </w:rPr>
        <w:t>w związku z </w:t>
      </w:r>
      <w:r w:rsidR="00D920DD" w:rsidRPr="00CE1978">
        <w:rPr>
          <w:rFonts w:ascii="Times New Roman" w:eastAsia="Times New Roman" w:hAnsi="Times New Roman" w:cs="Times New Roman"/>
          <w:bCs/>
          <w:color w:val="000000" w:themeColor="text1"/>
          <w:sz w:val="24"/>
          <w:szCs w:val="24"/>
        </w:rPr>
        <w:t>konfliktem zbrojnym na terytorium tego państwa (Dz. U. poz. 583</w:t>
      </w:r>
      <w:r w:rsidR="00E4402F" w:rsidRPr="00CE1978">
        <w:rPr>
          <w:rFonts w:ascii="Times New Roman" w:eastAsia="Times New Roman" w:hAnsi="Times New Roman" w:cs="Times New Roman"/>
          <w:bCs/>
          <w:color w:val="000000" w:themeColor="text1"/>
          <w:sz w:val="24"/>
          <w:szCs w:val="24"/>
        </w:rPr>
        <w:t>, z późn. zm.</w:t>
      </w:r>
      <w:r w:rsidR="00D920DD" w:rsidRPr="00CE1978">
        <w:rPr>
          <w:rFonts w:ascii="Times New Roman" w:eastAsia="Times New Roman" w:hAnsi="Times New Roman" w:cs="Times New Roman"/>
          <w:bCs/>
          <w:color w:val="000000" w:themeColor="text1"/>
          <w:sz w:val="24"/>
          <w:szCs w:val="24"/>
        </w:rPr>
        <w:t>).</w:t>
      </w:r>
    </w:p>
    <w:p w14:paraId="119C8978" w14:textId="77777777" w:rsidR="7B8F6BE7" w:rsidRPr="00CE1978" w:rsidRDefault="7B8F6BE7"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Zmiany odesłań dokonywane w wyżej wymienionych ustawach </w:t>
      </w:r>
      <w:r w:rsidR="2D7F7588" w:rsidRPr="00CE1978">
        <w:rPr>
          <w:rFonts w:ascii="Times New Roman" w:eastAsia="Times New Roman" w:hAnsi="Times New Roman" w:cs="Times New Roman"/>
          <w:color w:val="000000" w:themeColor="text1"/>
          <w:sz w:val="24"/>
          <w:szCs w:val="24"/>
        </w:rPr>
        <w:t>s</w:t>
      </w:r>
      <w:r w:rsidR="00FF3C40" w:rsidRPr="00CE1978">
        <w:rPr>
          <w:rFonts w:ascii="Times New Roman" w:eastAsia="Times New Roman" w:hAnsi="Times New Roman" w:cs="Times New Roman"/>
          <w:color w:val="000000" w:themeColor="text1"/>
          <w:sz w:val="24"/>
          <w:szCs w:val="24"/>
        </w:rPr>
        <w:t>tanowią konsekwencję uchylenia Pt i wprowadzenia P</w:t>
      </w:r>
      <w:r w:rsidR="2D7F7588" w:rsidRPr="00CE1978">
        <w:rPr>
          <w:rFonts w:ascii="Times New Roman" w:eastAsia="Times New Roman" w:hAnsi="Times New Roman" w:cs="Times New Roman"/>
          <w:color w:val="000000" w:themeColor="text1"/>
          <w:sz w:val="24"/>
          <w:szCs w:val="24"/>
        </w:rPr>
        <w:t xml:space="preserve">ke. </w:t>
      </w:r>
      <w:r w:rsidRPr="00CE1978">
        <w:rPr>
          <w:rFonts w:ascii="Times New Roman" w:eastAsia="Times New Roman" w:hAnsi="Times New Roman" w:cs="Times New Roman"/>
          <w:color w:val="000000" w:themeColor="text1"/>
          <w:sz w:val="24"/>
          <w:szCs w:val="24"/>
        </w:rPr>
        <w:t xml:space="preserve">Zmiany te mają charakter wynikowy i nie niosą za sobą zmian merytorycznych. Związane są one m.in. ze zmienioną systematyką </w:t>
      </w:r>
      <w:r w:rsidR="00FF3C40" w:rsidRPr="00CE1978">
        <w:rPr>
          <w:rFonts w:ascii="Times New Roman" w:eastAsia="Times New Roman" w:hAnsi="Times New Roman" w:cs="Times New Roman"/>
          <w:color w:val="000000" w:themeColor="text1"/>
          <w:sz w:val="24"/>
          <w:szCs w:val="24"/>
        </w:rPr>
        <w:t>P</w:t>
      </w:r>
      <w:r w:rsidR="4D085885" w:rsidRPr="00CE1978">
        <w:rPr>
          <w:rFonts w:ascii="Times New Roman" w:eastAsia="Times New Roman" w:hAnsi="Times New Roman" w:cs="Times New Roman"/>
          <w:color w:val="000000" w:themeColor="text1"/>
          <w:sz w:val="24"/>
          <w:szCs w:val="24"/>
        </w:rPr>
        <w:t>ke</w:t>
      </w:r>
      <w:r w:rsidRPr="00CE1978">
        <w:rPr>
          <w:rFonts w:ascii="Times New Roman" w:eastAsia="Times New Roman" w:hAnsi="Times New Roman" w:cs="Times New Roman"/>
          <w:color w:val="000000" w:themeColor="text1"/>
          <w:sz w:val="24"/>
          <w:szCs w:val="24"/>
        </w:rPr>
        <w:t xml:space="preserve"> </w:t>
      </w:r>
      <w:r w:rsidR="00FF3C40" w:rsidRPr="00CE1978">
        <w:rPr>
          <w:rFonts w:ascii="Times New Roman" w:eastAsia="Times New Roman" w:hAnsi="Times New Roman" w:cs="Times New Roman"/>
          <w:color w:val="000000" w:themeColor="text1"/>
          <w:sz w:val="24"/>
          <w:szCs w:val="24"/>
        </w:rPr>
        <w:t>w odniesieniu do P</w:t>
      </w:r>
      <w:r w:rsidR="10B9ED31" w:rsidRPr="00CE1978">
        <w:rPr>
          <w:rFonts w:ascii="Times New Roman" w:eastAsia="Times New Roman" w:hAnsi="Times New Roman" w:cs="Times New Roman"/>
          <w:color w:val="000000" w:themeColor="text1"/>
          <w:sz w:val="24"/>
          <w:szCs w:val="24"/>
        </w:rPr>
        <w:t xml:space="preserve">t </w:t>
      </w:r>
      <w:r w:rsidRPr="00CE1978">
        <w:rPr>
          <w:rFonts w:ascii="Times New Roman" w:eastAsia="Times New Roman" w:hAnsi="Times New Roman" w:cs="Times New Roman"/>
          <w:color w:val="000000" w:themeColor="text1"/>
          <w:sz w:val="24"/>
          <w:szCs w:val="24"/>
        </w:rPr>
        <w:t>oraz zmian</w:t>
      </w:r>
      <w:r w:rsidR="04806C87" w:rsidRPr="00CE1978">
        <w:rPr>
          <w:rFonts w:ascii="Times New Roman" w:eastAsia="Times New Roman" w:hAnsi="Times New Roman" w:cs="Times New Roman"/>
          <w:color w:val="000000" w:themeColor="text1"/>
          <w:sz w:val="24"/>
          <w:szCs w:val="24"/>
        </w:rPr>
        <w:t>ami w</w:t>
      </w:r>
      <w:r w:rsidRPr="00CE1978">
        <w:rPr>
          <w:rFonts w:ascii="Times New Roman" w:eastAsia="Times New Roman" w:hAnsi="Times New Roman" w:cs="Times New Roman"/>
          <w:color w:val="000000" w:themeColor="text1"/>
          <w:sz w:val="24"/>
          <w:szCs w:val="24"/>
        </w:rPr>
        <w:t xml:space="preserve"> siat</w:t>
      </w:r>
      <w:r w:rsidR="07779B68" w:rsidRPr="00CE1978">
        <w:rPr>
          <w:rFonts w:ascii="Times New Roman" w:eastAsia="Times New Roman" w:hAnsi="Times New Roman" w:cs="Times New Roman"/>
          <w:color w:val="000000" w:themeColor="text1"/>
          <w:sz w:val="24"/>
          <w:szCs w:val="24"/>
        </w:rPr>
        <w:t>ce</w:t>
      </w:r>
      <w:r w:rsidRPr="00CE1978">
        <w:rPr>
          <w:rFonts w:ascii="Times New Roman" w:eastAsia="Times New Roman" w:hAnsi="Times New Roman" w:cs="Times New Roman"/>
          <w:color w:val="000000" w:themeColor="text1"/>
          <w:sz w:val="24"/>
          <w:szCs w:val="24"/>
        </w:rPr>
        <w:t xml:space="preserve"> pojęciowej</w:t>
      </w:r>
      <w:r w:rsidR="37A96109" w:rsidRPr="00CE1978">
        <w:rPr>
          <w:rFonts w:ascii="Times New Roman" w:eastAsia="Times New Roman" w:hAnsi="Times New Roman" w:cs="Times New Roman"/>
          <w:color w:val="000000" w:themeColor="text1"/>
          <w:sz w:val="24"/>
          <w:szCs w:val="24"/>
        </w:rPr>
        <w:t xml:space="preserve">. </w:t>
      </w:r>
    </w:p>
    <w:p w14:paraId="3D526A08" w14:textId="7E7F0222" w:rsidR="7496776F" w:rsidRPr="00C10C7D" w:rsidRDefault="7496776F" w:rsidP="00F91F34">
      <w:pPr>
        <w:tabs>
          <w:tab w:val="left" w:pos="426"/>
        </w:tabs>
        <w:spacing w:before="120" w:after="0" w:line="360" w:lineRule="auto"/>
        <w:jc w:val="both"/>
        <w:rPr>
          <w:rFonts w:ascii="Times New Roman" w:eastAsia="Times New Roman" w:hAnsi="Times New Roman" w:cs="Times New Roman"/>
          <w:color w:val="000000" w:themeColor="text1"/>
          <w:sz w:val="24"/>
          <w:szCs w:val="24"/>
        </w:rPr>
      </w:pPr>
      <w:r w:rsidRPr="00F91F34">
        <w:rPr>
          <w:rFonts w:ascii="Times New Roman" w:eastAsia="Times New Roman" w:hAnsi="Times New Roman" w:cs="Times New Roman"/>
          <w:color w:val="000000" w:themeColor="text1"/>
          <w:sz w:val="24"/>
          <w:szCs w:val="24"/>
        </w:rPr>
        <w:t>2.</w:t>
      </w:r>
      <w:r w:rsidR="00C10C7D">
        <w:rPr>
          <w:rFonts w:ascii="Times New Roman" w:eastAsia="Times New Roman" w:hAnsi="Times New Roman" w:cs="Times New Roman"/>
          <w:color w:val="000000" w:themeColor="text1"/>
          <w:sz w:val="24"/>
          <w:szCs w:val="24"/>
        </w:rPr>
        <w:tab/>
      </w:r>
      <w:r w:rsidRPr="00C10C7D">
        <w:rPr>
          <w:rFonts w:ascii="Times New Roman" w:eastAsia="Times New Roman" w:hAnsi="Times New Roman" w:cs="Times New Roman"/>
          <w:color w:val="000000" w:themeColor="text1"/>
          <w:sz w:val="24"/>
          <w:szCs w:val="24"/>
        </w:rPr>
        <w:t xml:space="preserve">Projektowana </w:t>
      </w:r>
      <w:r w:rsidR="00115D34" w:rsidRPr="00C10C7D">
        <w:rPr>
          <w:rFonts w:ascii="Times New Roman" w:eastAsia="Times New Roman" w:hAnsi="Times New Roman" w:cs="Times New Roman"/>
          <w:color w:val="000000" w:themeColor="text1"/>
          <w:sz w:val="24"/>
          <w:szCs w:val="24"/>
        </w:rPr>
        <w:t xml:space="preserve">ustawa wprowadzająca ustawę – Prawo </w:t>
      </w:r>
      <w:r w:rsidR="00E25425" w:rsidRPr="00C10C7D">
        <w:rPr>
          <w:rFonts w:ascii="Times New Roman" w:eastAsia="Times New Roman" w:hAnsi="Times New Roman" w:cs="Times New Roman"/>
          <w:color w:val="000000" w:themeColor="text1"/>
          <w:sz w:val="24"/>
          <w:szCs w:val="24"/>
        </w:rPr>
        <w:t xml:space="preserve">komunikacji elektronicznej </w:t>
      </w:r>
      <w:r w:rsidRPr="00C10C7D">
        <w:rPr>
          <w:rFonts w:ascii="Times New Roman" w:eastAsia="Times New Roman" w:hAnsi="Times New Roman" w:cs="Times New Roman"/>
          <w:color w:val="000000" w:themeColor="text1"/>
          <w:sz w:val="24"/>
          <w:szCs w:val="24"/>
        </w:rPr>
        <w:t>dokonuje również</w:t>
      </w:r>
      <w:r w:rsidR="4FE3E766" w:rsidRPr="00C10C7D">
        <w:rPr>
          <w:rFonts w:ascii="Times New Roman" w:eastAsia="Times New Roman" w:hAnsi="Times New Roman" w:cs="Times New Roman"/>
          <w:color w:val="000000" w:themeColor="text1"/>
          <w:sz w:val="24"/>
          <w:szCs w:val="24"/>
        </w:rPr>
        <w:t xml:space="preserve"> zmian </w:t>
      </w:r>
      <w:r w:rsidRPr="00C10C7D">
        <w:rPr>
          <w:rFonts w:ascii="Times New Roman" w:eastAsia="Times New Roman" w:hAnsi="Times New Roman" w:cs="Times New Roman"/>
          <w:color w:val="000000" w:themeColor="text1"/>
          <w:sz w:val="24"/>
          <w:szCs w:val="24"/>
        </w:rPr>
        <w:t>merytorycznych</w:t>
      </w:r>
      <w:r w:rsidR="5DD46A28" w:rsidRPr="00C10C7D">
        <w:rPr>
          <w:rFonts w:ascii="Times New Roman" w:eastAsia="Times New Roman" w:hAnsi="Times New Roman" w:cs="Times New Roman"/>
          <w:color w:val="000000" w:themeColor="text1"/>
          <w:sz w:val="24"/>
          <w:szCs w:val="24"/>
        </w:rPr>
        <w:t xml:space="preserve"> w</w:t>
      </w:r>
      <w:r w:rsidR="150E8A53" w:rsidRPr="00C10C7D">
        <w:rPr>
          <w:rFonts w:ascii="Times New Roman" w:eastAsia="Times New Roman" w:hAnsi="Times New Roman" w:cs="Times New Roman"/>
          <w:color w:val="000000" w:themeColor="text1"/>
          <w:sz w:val="24"/>
          <w:szCs w:val="24"/>
        </w:rPr>
        <w:t>:</w:t>
      </w:r>
    </w:p>
    <w:p w14:paraId="1DBA798B" w14:textId="77777777" w:rsidR="24F71013" w:rsidRPr="00C10C7D" w:rsidRDefault="4AFA5E98"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t xml:space="preserve">ustawie z dnia 17 listopada 1964 r. – Kodeks postępowania cywilnego </w:t>
      </w:r>
    </w:p>
    <w:p w14:paraId="0CFE73D3" w14:textId="1AA8280D" w:rsidR="383FD41B" w:rsidRPr="00532F3A" w:rsidRDefault="3621D6D4"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Projekt przewiduje zmianę tytułu </w:t>
      </w:r>
      <w:r w:rsidR="00D1620C" w:rsidRPr="00C10C7D">
        <w:rPr>
          <w:rFonts w:ascii="Times New Roman" w:eastAsia="Times New Roman" w:hAnsi="Times New Roman" w:cs="Times New Roman"/>
          <w:color w:val="000000" w:themeColor="text1"/>
          <w:sz w:val="24"/>
          <w:szCs w:val="24"/>
        </w:rPr>
        <w:t>d</w:t>
      </w:r>
      <w:r w:rsidRPr="00C10C7D">
        <w:rPr>
          <w:rFonts w:ascii="Times New Roman" w:eastAsia="Times New Roman" w:hAnsi="Times New Roman" w:cs="Times New Roman"/>
          <w:color w:val="000000" w:themeColor="text1"/>
          <w:sz w:val="24"/>
          <w:szCs w:val="24"/>
        </w:rPr>
        <w:t xml:space="preserve">ziału IVD </w:t>
      </w:r>
      <w:r w:rsidR="00D1620C" w:rsidRPr="00C10C7D">
        <w:rPr>
          <w:rFonts w:ascii="Times New Roman" w:eastAsia="Times New Roman" w:hAnsi="Times New Roman" w:cs="Times New Roman"/>
          <w:color w:val="000000" w:themeColor="text1"/>
          <w:sz w:val="24"/>
          <w:szCs w:val="24"/>
        </w:rPr>
        <w:t>t</w:t>
      </w:r>
      <w:r w:rsidRPr="00C10C7D">
        <w:rPr>
          <w:rFonts w:ascii="Times New Roman" w:eastAsia="Times New Roman" w:hAnsi="Times New Roman" w:cs="Times New Roman"/>
          <w:color w:val="000000" w:themeColor="text1"/>
          <w:sz w:val="24"/>
          <w:szCs w:val="24"/>
        </w:rPr>
        <w:t>ytuł</w:t>
      </w:r>
      <w:r w:rsidR="00D1620C" w:rsidRPr="00C10C7D">
        <w:rPr>
          <w:rFonts w:ascii="Times New Roman" w:eastAsia="Times New Roman" w:hAnsi="Times New Roman" w:cs="Times New Roman"/>
          <w:color w:val="000000" w:themeColor="text1"/>
          <w:sz w:val="24"/>
          <w:szCs w:val="24"/>
        </w:rPr>
        <w:t>u</w:t>
      </w:r>
      <w:r w:rsidRPr="00C10C7D">
        <w:rPr>
          <w:rFonts w:ascii="Times New Roman" w:eastAsia="Times New Roman" w:hAnsi="Times New Roman" w:cs="Times New Roman"/>
          <w:color w:val="000000" w:themeColor="text1"/>
          <w:sz w:val="24"/>
          <w:szCs w:val="24"/>
        </w:rPr>
        <w:t xml:space="preserve"> VII </w:t>
      </w:r>
      <w:r w:rsidR="00D1620C" w:rsidRPr="00C10C7D">
        <w:rPr>
          <w:rFonts w:ascii="Times New Roman" w:eastAsia="Times New Roman" w:hAnsi="Times New Roman" w:cs="Times New Roman"/>
          <w:color w:val="000000" w:themeColor="text1"/>
          <w:sz w:val="24"/>
          <w:szCs w:val="24"/>
        </w:rPr>
        <w:t>k</w:t>
      </w:r>
      <w:r w:rsidRPr="00C10C7D">
        <w:rPr>
          <w:rFonts w:ascii="Times New Roman" w:eastAsia="Times New Roman" w:hAnsi="Times New Roman" w:cs="Times New Roman"/>
          <w:color w:val="000000" w:themeColor="text1"/>
          <w:sz w:val="24"/>
          <w:szCs w:val="24"/>
        </w:rPr>
        <w:t>sięg</w:t>
      </w:r>
      <w:r w:rsidR="00D1620C" w:rsidRPr="00C10C7D">
        <w:rPr>
          <w:rFonts w:ascii="Times New Roman" w:eastAsia="Times New Roman" w:hAnsi="Times New Roman" w:cs="Times New Roman"/>
          <w:color w:val="000000" w:themeColor="text1"/>
          <w:sz w:val="24"/>
          <w:szCs w:val="24"/>
        </w:rPr>
        <w:t>i</w:t>
      </w:r>
      <w:r w:rsidRPr="00C10C7D">
        <w:rPr>
          <w:rFonts w:ascii="Times New Roman" w:eastAsia="Times New Roman" w:hAnsi="Times New Roman" w:cs="Times New Roman"/>
          <w:color w:val="000000" w:themeColor="text1"/>
          <w:sz w:val="24"/>
          <w:szCs w:val="24"/>
        </w:rPr>
        <w:t xml:space="preserve"> </w:t>
      </w:r>
      <w:r w:rsidR="00D1620C" w:rsidRPr="00C10C7D">
        <w:rPr>
          <w:rFonts w:ascii="Times New Roman" w:eastAsia="Times New Roman" w:hAnsi="Times New Roman" w:cs="Times New Roman"/>
          <w:color w:val="000000" w:themeColor="text1"/>
          <w:sz w:val="24"/>
          <w:szCs w:val="24"/>
        </w:rPr>
        <w:t xml:space="preserve">pierwszej </w:t>
      </w:r>
      <w:r w:rsidR="00BC0493" w:rsidRPr="00C10C7D">
        <w:rPr>
          <w:rFonts w:ascii="Times New Roman" w:eastAsia="Times New Roman" w:hAnsi="Times New Roman" w:cs="Times New Roman"/>
          <w:color w:val="000000" w:themeColor="text1"/>
          <w:sz w:val="24"/>
          <w:szCs w:val="24"/>
        </w:rPr>
        <w:t xml:space="preserve">kpc </w:t>
      </w:r>
      <w:r w:rsidR="00DE2821" w:rsidRPr="00C10C7D">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color w:val="000000" w:themeColor="text1"/>
          <w:sz w:val="24"/>
          <w:szCs w:val="24"/>
        </w:rPr>
        <w:t>Postępowanie w</w:t>
      </w:r>
      <w:r w:rsidR="007E2649">
        <w:rPr>
          <w:rFonts w:ascii="Times New Roman" w:eastAsia="Times New Roman" w:hAnsi="Times New Roman" w:cs="Times New Roman"/>
          <w:color w:val="000000" w:themeColor="text1"/>
          <w:sz w:val="24"/>
          <w:szCs w:val="24"/>
        </w:rPr>
        <w:t> </w:t>
      </w:r>
      <w:r w:rsidRPr="00532F3A">
        <w:rPr>
          <w:rFonts w:ascii="Times New Roman" w:eastAsia="Times New Roman" w:hAnsi="Times New Roman" w:cs="Times New Roman"/>
          <w:color w:val="000000" w:themeColor="text1"/>
          <w:sz w:val="24"/>
          <w:szCs w:val="24"/>
        </w:rPr>
        <w:t xml:space="preserve">sprawach z zakresu telekomunikacji i poczty” na </w:t>
      </w:r>
      <w:r w:rsidR="008E13B1" w:rsidRPr="00532F3A">
        <w:rPr>
          <w:rFonts w:ascii="Times New Roman" w:eastAsia="Times New Roman" w:hAnsi="Times New Roman" w:cs="Times New Roman"/>
          <w:color w:val="000000" w:themeColor="text1"/>
          <w:sz w:val="24"/>
          <w:szCs w:val="24"/>
        </w:rPr>
        <w:t>„</w:t>
      </w:r>
      <w:r w:rsidRPr="00532F3A">
        <w:rPr>
          <w:rFonts w:ascii="Times New Roman" w:eastAsia="Times" w:hAnsi="Times New Roman" w:cs="Times New Roman"/>
          <w:color w:val="000000" w:themeColor="text1"/>
          <w:sz w:val="24"/>
          <w:szCs w:val="24"/>
        </w:rPr>
        <w:t>Postępowanie w sprawach z zakresu regulacji komunikacji elektronicznej i poczty”</w:t>
      </w:r>
      <w:r w:rsidR="00BC0493" w:rsidRPr="00532F3A">
        <w:rPr>
          <w:rFonts w:ascii="Times New Roman" w:eastAsia="Times" w:hAnsi="Times New Roman" w:cs="Times New Roman"/>
          <w:color w:val="000000" w:themeColor="text1"/>
          <w:sz w:val="24"/>
          <w:szCs w:val="24"/>
        </w:rPr>
        <w:t xml:space="preserve">. Zmiana wynika </w:t>
      </w:r>
      <w:r w:rsidR="00BC0493" w:rsidRPr="00532F3A">
        <w:rPr>
          <w:rFonts w:ascii="Times New Roman" w:eastAsia="Times New Roman" w:hAnsi="Times New Roman" w:cs="Times New Roman"/>
          <w:color w:val="000000" w:themeColor="text1"/>
          <w:sz w:val="24"/>
          <w:szCs w:val="24"/>
        </w:rPr>
        <w:t xml:space="preserve">z </w:t>
      </w:r>
      <w:r w:rsidR="00BC0493" w:rsidRPr="00532F3A">
        <w:rPr>
          <w:rFonts w:ascii="Times New Roman" w:hAnsi="Times New Roman" w:cs="Times New Roman"/>
          <w:color w:val="000000" w:themeColor="text1"/>
          <w:sz w:val="24"/>
          <w:szCs w:val="24"/>
          <w:lang w:bidi="en-US"/>
        </w:rPr>
        <w:t xml:space="preserve">poszerzenia zakresu przedmiotowego projektu ustawy </w:t>
      </w:r>
      <w:r w:rsidR="005B6AE4" w:rsidRPr="00F91F34">
        <w:rPr>
          <w:rFonts w:ascii="Times New Roman" w:eastAsia="Times New Roman" w:hAnsi="Times New Roman" w:cs="Times New Roman"/>
          <w:sz w:val="24"/>
          <w:szCs w:val="24"/>
        </w:rPr>
        <w:t>–</w:t>
      </w:r>
      <w:r w:rsidR="005B6AE4" w:rsidRPr="00532F3A">
        <w:rPr>
          <w:rFonts w:ascii="Times New Roman" w:hAnsi="Times New Roman" w:cs="Times New Roman"/>
          <w:color w:val="000000" w:themeColor="text1"/>
          <w:sz w:val="24"/>
          <w:szCs w:val="24"/>
          <w:lang w:bidi="en-US"/>
        </w:rPr>
        <w:t xml:space="preserve"> </w:t>
      </w:r>
      <w:r w:rsidR="00BC0493" w:rsidRPr="00532F3A">
        <w:rPr>
          <w:rFonts w:ascii="Times New Roman" w:hAnsi="Times New Roman" w:cs="Times New Roman"/>
          <w:color w:val="000000" w:themeColor="text1"/>
          <w:sz w:val="24"/>
          <w:szCs w:val="24"/>
          <w:lang w:bidi="en-US"/>
        </w:rPr>
        <w:t xml:space="preserve">Prawo komunikacji elektronicznej na szerzej rozumianą niż telekomunikacja </w:t>
      </w:r>
      <w:r w:rsidR="00532F3A">
        <w:rPr>
          <w:rFonts w:ascii="Times New Roman" w:hAnsi="Times New Roman" w:cs="Times New Roman"/>
          <w:color w:val="000000" w:themeColor="text1"/>
          <w:sz w:val="24"/>
          <w:szCs w:val="24"/>
          <w:lang w:bidi="en-US"/>
        </w:rPr>
        <w:t>–</w:t>
      </w:r>
      <w:r w:rsidR="00BC0493" w:rsidRPr="00532F3A">
        <w:rPr>
          <w:rFonts w:ascii="Times New Roman" w:hAnsi="Times New Roman" w:cs="Times New Roman"/>
          <w:color w:val="000000" w:themeColor="text1"/>
          <w:sz w:val="24"/>
          <w:szCs w:val="24"/>
          <w:lang w:bidi="en-US"/>
        </w:rPr>
        <w:t xml:space="preserve"> komunikację elektroniczną.</w:t>
      </w:r>
    </w:p>
    <w:p w14:paraId="15D58BA9" w14:textId="4176EA7D" w:rsidR="00643127" w:rsidRPr="00C10C7D" w:rsidRDefault="335C0BD0" w:rsidP="00F91F34">
      <w:pPr>
        <w:spacing w:before="120" w:after="0" w:line="360" w:lineRule="auto"/>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 xml:space="preserve">Zmiana </w:t>
      </w:r>
      <w:r w:rsidR="7DB51546" w:rsidRPr="00532F3A">
        <w:rPr>
          <w:rFonts w:ascii="Times New Roman" w:eastAsia="Times New Roman" w:hAnsi="Times New Roman" w:cs="Times New Roman"/>
          <w:color w:val="000000" w:themeColor="text1"/>
          <w:sz w:val="24"/>
          <w:szCs w:val="24"/>
        </w:rPr>
        <w:t>w art. 479</w:t>
      </w:r>
      <w:r w:rsidR="7DB51546" w:rsidRPr="00532F3A">
        <w:rPr>
          <w:rFonts w:ascii="Times New Roman" w:eastAsia="Times New Roman" w:hAnsi="Times New Roman" w:cs="Times New Roman"/>
          <w:color w:val="000000" w:themeColor="text1"/>
          <w:sz w:val="24"/>
          <w:szCs w:val="24"/>
          <w:vertAlign w:val="superscript"/>
        </w:rPr>
        <w:t>57</w:t>
      </w:r>
      <w:r w:rsidR="2CAE75C7" w:rsidRPr="00532F3A">
        <w:rPr>
          <w:rFonts w:ascii="Times New Roman" w:eastAsia="Times New Roman" w:hAnsi="Times New Roman" w:cs="Times New Roman"/>
          <w:color w:val="000000" w:themeColor="text1"/>
          <w:sz w:val="24"/>
          <w:szCs w:val="24"/>
        </w:rPr>
        <w:t xml:space="preserve"> ma charakter dostosowawczy i polega na zastąpieniu odwołania do Pt odwołaniem do Pke</w:t>
      </w:r>
      <w:r w:rsidR="00B65679" w:rsidRPr="00CE1978">
        <w:rPr>
          <w:rFonts w:ascii="Times New Roman" w:eastAsia="Times New Roman" w:hAnsi="Times New Roman" w:cs="Times New Roman"/>
          <w:color w:val="000000" w:themeColor="text1"/>
          <w:sz w:val="24"/>
          <w:szCs w:val="24"/>
        </w:rPr>
        <w:t xml:space="preserve">. </w:t>
      </w:r>
      <w:r w:rsidR="39A5AA49" w:rsidRPr="00CE1978">
        <w:rPr>
          <w:rFonts w:ascii="Times New Roman" w:eastAsia="Times New Roman" w:hAnsi="Times New Roman" w:cs="Times New Roman"/>
          <w:color w:val="000000" w:themeColor="text1"/>
          <w:sz w:val="24"/>
          <w:szCs w:val="24"/>
        </w:rPr>
        <w:t>Kolejną proponowaną zmianą jest wydłużenie w art. 479</w:t>
      </w:r>
      <w:r w:rsidR="39A5AA49" w:rsidRPr="00C10C7D">
        <w:rPr>
          <w:rFonts w:ascii="Times New Roman" w:eastAsia="Times New Roman" w:hAnsi="Times New Roman" w:cs="Times New Roman"/>
          <w:color w:val="000000" w:themeColor="text1"/>
          <w:sz w:val="24"/>
          <w:szCs w:val="24"/>
          <w:vertAlign w:val="superscript"/>
        </w:rPr>
        <w:t xml:space="preserve">58 </w:t>
      </w:r>
      <w:r w:rsidR="39A5AA49" w:rsidRPr="00C10C7D">
        <w:rPr>
          <w:rFonts w:ascii="Times New Roman" w:eastAsia="Times New Roman" w:hAnsi="Times New Roman" w:cs="Times New Roman"/>
          <w:color w:val="000000" w:themeColor="text1"/>
          <w:sz w:val="24"/>
          <w:szCs w:val="24"/>
        </w:rPr>
        <w:t xml:space="preserve">§ 1 terminu na wniesienie odwołania </w:t>
      </w:r>
      <w:r w:rsidR="5DE44824" w:rsidRPr="00C10C7D">
        <w:rPr>
          <w:rFonts w:ascii="Times New Roman" w:eastAsia="Times New Roman" w:hAnsi="Times New Roman" w:cs="Times New Roman"/>
          <w:color w:val="000000" w:themeColor="text1"/>
          <w:sz w:val="24"/>
          <w:szCs w:val="24"/>
        </w:rPr>
        <w:t xml:space="preserve">od decyzji Prezesa UKE. Obecnie </w:t>
      </w:r>
      <w:r w:rsidR="6B704636" w:rsidRPr="00C10C7D">
        <w:rPr>
          <w:rFonts w:ascii="Times New Roman" w:eastAsia="Times New Roman" w:hAnsi="Times New Roman" w:cs="Times New Roman"/>
          <w:color w:val="000000" w:themeColor="text1"/>
          <w:sz w:val="24"/>
          <w:szCs w:val="24"/>
        </w:rPr>
        <w:t>odwołanie wnosi się w terminie dwutygodniowym od dnia doręczenia decyzji. Po zmia</w:t>
      </w:r>
      <w:r w:rsidR="007E2649">
        <w:rPr>
          <w:rFonts w:ascii="Times New Roman" w:eastAsia="Times New Roman" w:hAnsi="Times New Roman" w:cs="Times New Roman"/>
          <w:color w:val="000000" w:themeColor="text1"/>
          <w:sz w:val="24"/>
          <w:szCs w:val="24"/>
        </w:rPr>
        <w:t>nie odwołanie będzie wnoszone w </w:t>
      </w:r>
      <w:r w:rsidR="6B704636" w:rsidRPr="00C10C7D">
        <w:rPr>
          <w:rFonts w:ascii="Times New Roman" w:eastAsia="Times New Roman" w:hAnsi="Times New Roman" w:cs="Times New Roman"/>
          <w:color w:val="000000" w:themeColor="text1"/>
          <w:sz w:val="24"/>
          <w:szCs w:val="24"/>
        </w:rPr>
        <w:t xml:space="preserve">terminie miesiąca. Proponowany termin jest </w:t>
      </w:r>
      <w:r w:rsidR="6DA77858" w:rsidRPr="00C10C7D">
        <w:rPr>
          <w:rFonts w:ascii="Times New Roman" w:eastAsia="Times New Roman" w:hAnsi="Times New Roman" w:cs="Times New Roman"/>
          <w:color w:val="000000" w:themeColor="text1"/>
          <w:sz w:val="24"/>
          <w:szCs w:val="24"/>
        </w:rPr>
        <w:t>an</w:t>
      </w:r>
      <w:r w:rsidR="6B704636" w:rsidRPr="00C10C7D">
        <w:rPr>
          <w:rFonts w:ascii="Times New Roman" w:eastAsia="Times New Roman" w:hAnsi="Times New Roman" w:cs="Times New Roman"/>
          <w:color w:val="000000" w:themeColor="text1"/>
          <w:sz w:val="24"/>
          <w:szCs w:val="24"/>
        </w:rPr>
        <w:t>al</w:t>
      </w:r>
      <w:r w:rsidR="7EA86067" w:rsidRPr="00C10C7D">
        <w:rPr>
          <w:rFonts w:ascii="Times New Roman" w:eastAsia="Times New Roman" w:hAnsi="Times New Roman" w:cs="Times New Roman"/>
          <w:color w:val="000000" w:themeColor="text1"/>
          <w:sz w:val="24"/>
          <w:szCs w:val="24"/>
        </w:rPr>
        <w:t>ogiczny</w:t>
      </w:r>
      <w:r w:rsidR="007E2649">
        <w:rPr>
          <w:rFonts w:ascii="Times New Roman" w:eastAsia="Times New Roman" w:hAnsi="Times New Roman" w:cs="Times New Roman"/>
          <w:color w:val="000000" w:themeColor="text1"/>
          <w:sz w:val="24"/>
          <w:szCs w:val="24"/>
        </w:rPr>
        <w:t xml:space="preserve"> do terminu określonego w </w:t>
      </w:r>
      <w:r w:rsidR="3345AA2E" w:rsidRPr="00C10C7D">
        <w:rPr>
          <w:rFonts w:ascii="Times New Roman" w:eastAsia="Times New Roman" w:hAnsi="Times New Roman" w:cs="Times New Roman"/>
          <w:color w:val="000000" w:themeColor="text1"/>
          <w:sz w:val="24"/>
          <w:szCs w:val="24"/>
        </w:rPr>
        <w:t>przepisach dotyczących</w:t>
      </w:r>
      <w:r w:rsidR="19B4E191" w:rsidRPr="00C10C7D">
        <w:rPr>
          <w:rFonts w:ascii="Times New Roman" w:eastAsia="Times New Roman" w:hAnsi="Times New Roman" w:cs="Times New Roman"/>
          <w:color w:val="000000" w:themeColor="text1"/>
          <w:sz w:val="24"/>
          <w:szCs w:val="24"/>
        </w:rPr>
        <w:t xml:space="preserve"> postępowania w sprawach odwołań od decyzji Prezesa Urzędu Ochrony Konkurencji i Konsumentów. </w:t>
      </w:r>
      <w:r w:rsidR="021AD0F4" w:rsidRPr="00C10C7D">
        <w:rPr>
          <w:rFonts w:ascii="Times New Roman" w:eastAsia="Times New Roman" w:hAnsi="Times New Roman" w:cs="Times New Roman"/>
          <w:color w:val="000000" w:themeColor="text1"/>
          <w:sz w:val="24"/>
          <w:szCs w:val="24"/>
        </w:rPr>
        <w:t>Z</w:t>
      </w:r>
      <w:r w:rsidR="19B4E191" w:rsidRPr="00C10C7D">
        <w:rPr>
          <w:rFonts w:ascii="Times New Roman" w:eastAsia="Times New Roman" w:hAnsi="Times New Roman" w:cs="Times New Roman"/>
          <w:color w:val="000000" w:themeColor="text1"/>
          <w:sz w:val="24"/>
          <w:szCs w:val="24"/>
        </w:rPr>
        <w:t>miana uwzględnia zgłaszane w tym zakresie postulaty</w:t>
      </w:r>
      <w:r w:rsidR="618E7464" w:rsidRPr="00C10C7D">
        <w:rPr>
          <w:rFonts w:ascii="Times New Roman" w:eastAsia="Times New Roman" w:hAnsi="Times New Roman" w:cs="Times New Roman"/>
          <w:color w:val="000000" w:themeColor="text1"/>
          <w:sz w:val="24"/>
          <w:szCs w:val="24"/>
        </w:rPr>
        <w:t xml:space="preserve"> </w:t>
      </w:r>
      <w:r w:rsidR="007E2649">
        <w:rPr>
          <w:rFonts w:ascii="Times New Roman" w:eastAsia="Times New Roman" w:hAnsi="Times New Roman" w:cs="Times New Roman"/>
          <w:color w:val="000000" w:themeColor="text1"/>
          <w:sz w:val="24"/>
          <w:szCs w:val="24"/>
        </w:rPr>
        <w:t>rynku i </w:t>
      </w:r>
      <w:r w:rsidR="3A81A488" w:rsidRPr="00C10C7D">
        <w:rPr>
          <w:rFonts w:ascii="Times New Roman" w:eastAsia="Times New Roman" w:hAnsi="Times New Roman" w:cs="Times New Roman"/>
          <w:color w:val="000000" w:themeColor="text1"/>
          <w:sz w:val="24"/>
          <w:szCs w:val="24"/>
        </w:rPr>
        <w:t>zapewnia odpowiedni czas na sporządzenie</w:t>
      </w:r>
      <w:r w:rsidR="76487104" w:rsidRPr="00C10C7D">
        <w:rPr>
          <w:rFonts w:ascii="Times New Roman" w:eastAsia="Times New Roman" w:hAnsi="Times New Roman" w:cs="Times New Roman"/>
          <w:color w:val="000000" w:themeColor="text1"/>
          <w:sz w:val="24"/>
          <w:szCs w:val="24"/>
        </w:rPr>
        <w:t xml:space="preserve"> </w:t>
      </w:r>
      <w:r w:rsidR="3A81A488" w:rsidRPr="00C10C7D">
        <w:rPr>
          <w:rFonts w:ascii="Times New Roman" w:eastAsia="Times New Roman" w:hAnsi="Times New Roman" w:cs="Times New Roman"/>
          <w:color w:val="000000" w:themeColor="text1"/>
          <w:sz w:val="24"/>
          <w:szCs w:val="24"/>
        </w:rPr>
        <w:t>odwołań</w:t>
      </w:r>
      <w:r w:rsidR="4CDBEEAB" w:rsidRPr="00C10C7D">
        <w:rPr>
          <w:rFonts w:ascii="Times New Roman" w:eastAsia="Times New Roman" w:hAnsi="Times New Roman" w:cs="Times New Roman"/>
          <w:color w:val="000000" w:themeColor="text1"/>
          <w:sz w:val="24"/>
          <w:szCs w:val="24"/>
        </w:rPr>
        <w:t xml:space="preserve"> od decyzji, które niejednokrotnie dotyczą skomplikowanej i złożonej materii.</w:t>
      </w:r>
      <w:r w:rsidR="7ECC234B" w:rsidRPr="00C10C7D">
        <w:rPr>
          <w:rFonts w:ascii="Times New Roman" w:eastAsia="Times New Roman" w:hAnsi="Times New Roman" w:cs="Times New Roman"/>
          <w:color w:val="000000" w:themeColor="text1"/>
          <w:sz w:val="24"/>
          <w:szCs w:val="24"/>
        </w:rPr>
        <w:t xml:space="preserve"> Należy podkreślić, że przepis ten na mocy art. 479</w:t>
      </w:r>
      <w:r w:rsidR="7ECC234B" w:rsidRPr="00C10C7D">
        <w:rPr>
          <w:rFonts w:ascii="Times New Roman" w:eastAsia="Times New Roman" w:hAnsi="Times New Roman" w:cs="Times New Roman"/>
          <w:color w:val="000000" w:themeColor="text1"/>
          <w:sz w:val="24"/>
          <w:szCs w:val="24"/>
          <w:vertAlign w:val="superscript"/>
        </w:rPr>
        <w:t>66</w:t>
      </w:r>
      <w:r w:rsidR="4A6CA70D" w:rsidRPr="00C10C7D">
        <w:rPr>
          <w:rFonts w:ascii="Times New Roman" w:eastAsia="Times New Roman" w:hAnsi="Times New Roman" w:cs="Times New Roman"/>
          <w:color w:val="000000" w:themeColor="text1"/>
          <w:sz w:val="24"/>
          <w:szCs w:val="24"/>
        </w:rPr>
        <w:t xml:space="preserve"> stosuje się odpowiednio również do zażal</w:t>
      </w:r>
      <w:r w:rsidR="00D3663D" w:rsidRPr="00C10C7D">
        <w:rPr>
          <w:rFonts w:ascii="Times New Roman" w:eastAsia="Times New Roman" w:hAnsi="Times New Roman" w:cs="Times New Roman"/>
          <w:color w:val="000000" w:themeColor="text1"/>
          <w:sz w:val="24"/>
          <w:szCs w:val="24"/>
        </w:rPr>
        <w:t>eń na postanowienia Prezesa UKE;</w:t>
      </w:r>
    </w:p>
    <w:p w14:paraId="3C5B94C8" w14:textId="2AB1C00E" w:rsidR="341F6147" w:rsidRPr="00C10C7D" w:rsidRDefault="34D57D40"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t>u</w:t>
      </w:r>
      <w:r w:rsidR="341F6147" w:rsidRPr="00C10C7D">
        <w:rPr>
          <w:rFonts w:ascii="Times New Roman" w:eastAsia="Times New Roman" w:hAnsi="Times New Roman" w:cs="Times New Roman"/>
          <w:b/>
          <w:bCs/>
          <w:color w:val="000000" w:themeColor="text1"/>
          <w:sz w:val="24"/>
          <w:szCs w:val="24"/>
        </w:rPr>
        <w:t xml:space="preserve">stawie z dnia 17 czerwca 1966 r. o postępowaniu egzekucyjnym w administracji </w:t>
      </w:r>
    </w:p>
    <w:p w14:paraId="77025E36" w14:textId="5D7161AB" w:rsidR="006376A9" w:rsidRPr="00C10C7D" w:rsidRDefault="006376A9"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Zmiany w art. 3a wynikają z konieczności zapewnienia skutecznej egzekucji należności z tytułu środków z doładowań, </w:t>
      </w:r>
      <w:r w:rsidRPr="00CE1978">
        <w:rPr>
          <w:rFonts w:ascii="Times New Roman" w:hAnsi="Times New Roman" w:cs="Times New Roman"/>
          <w:sz w:val="24"/>
          <w:szCs w:val="24"/>
        </w:rPr>
        <w:t>do których w poprzednim roku kalendarzowym wygasło uprawnienie konsumenta,</w:t>
      </w:r>
      <w:r w:rsidRPr="00CE1978">
        <w:rPr>
          <w:rFonts w:ascii="Times New Roman" w:eastAsia="Times New Roman" w:hAnsi="Times New Roman" w:cs="Times New Roman"/>
          <w:color w:val="000000" w:themeColor="text1"/>
          <w:sz w:val="24"/>
          <w:szCs w:val="24"/>
        </w:rPr>
        <w:t xml:space="preserve"> które zgodnie z art. 325 </w:t>
      </w:r>
      <w:r w:rsidRPr="00CE1978">
        <w:rPr>
          <w:rFonts w:ascii="Times New Roman" w:hAnsi="Times New Roman" w:cs="Times New Roman"/>
          <w:sz w:val="24"/>
          <w:szCs w:val="24"/>
        </w:rPr>
        <w:t>dostawcy usługi komunikacji głosowej mają obowiązek przekazać na rachunek UKE. Zmiany są konieczne, ponieważ wysokość tych środków nie wynika wprost ani z przepisów prawa, ani z decyzji czy postanowienia</w:t>
      </w:r>
      <w:r w:rsidRPr="00F91F34">
        <w:rPr>
          <w:rFonts w:ascii="Times New Roman" w:hAnsi="Times New Roman" w:cs="Times New Roman"/>
          <w:sz w:val="24"/>
          <w:szCs w:val="24"/>
        </w:rPr>
        <w:t>.</w:t>
      </w:r>
      <w:r w:rsidRPr="00532F3A">
        <w:rPr>
          <w:rFonts w:ascii="Times New Roman" w:hAnsi="Times New Roman" w:cs="Times New Roman"/>
          <w:sz w:val="24"/>
          <w:szCs w:val="24"/>
        </w:rPr>
        <w:t xml:space="preserve"> </w:t>
      </w:r>
      <w:r w:rsidR="00E3141F" w:rsidRPr="00532F3A">
        <w:rPr>
          <w:rFonts w:ascii="Times New Roman" w:hAnsi="Times New Roman" w:cs="Times New Roman"/>
          <w:sz w:val="24"/>
          <w:szCs w:val="24"/>
        </w:rPr>
        <w:t xml:space="preserve">Wysokość tych środków i ewentualna należność do egzekucji będzie wynikała z informacji składanej przez </w:t>
      </w:r>
      <w:r w:rsidR="00E3141F" w:rsidRPr="00CE1978">
        <w:rPr>
          <w:rFonts w:ascii="Times New Roman" w:hAnsi="Times New Roman" w:cs="Times New Roman"/>
          <w:sz w:val="24"/>
          <w:szCs w:val="24"/>
        </w:rPr>
        <w:t xml:space="preserve">dostawcę usługi komunikacji głosowej na podstawie art. 20 ust. 1 Pke. </w:t>
      </w:r>
      <w:r w:rsidRPr="00C10C7D">
        <w:rPr>
          <w:rFonts w:ascii="Times New Roman" w:hAnsi="Times New Roman" w:cs="Times New Roman"/>
          <w:sz w:val="24"/>
          <w:szCs w:val="24"/>
        </w:rPr>
        <w:t xml:space="preserve">Zmiana polega na </w:t>
      </w:r>
      <w:r w:rsidRPr="00C10C7D">
        <w:rPr>
          <w:rFonts w:ascii="Times New Roman" w:hAnsi="Times New Roman" w:cs="Times New Roman"/>
          <w:sz w:val="24"/>
          <w:szCs w:val="24"/>
        </w:rPr>
        <w:lastRenderedPageBreak/>
        <w:t xml:space="preserve">uzupełnieniu katalogu dokumentów wskazanych w art. 3a (§ 1) o </w:t>
      </w:r>
      <w:r w:rsidR="00E3141F" w:rsidRPr="00C10C7D">
        <w:rPr>
          <w:rFonts w:ascii="Times New Roman" w:hAnsi="Times New Roman" w:cs="Times New Roman"/>
          <w:sz w:val="24"/>
          <w:szCs w:val="24"/>
        </w:rPr>
        <w:t>informację</w:t>
      </w:r>
      <w:r w:rsidRPr="00C10C7D">
        <w:rPr>
          <w:rFonts w:ascii="Times New Roman" w:hAnsi="Times New Roman" w:cs="Times New Roman"/>
          <w:sz w:val="24"/>
          <w:szCs w:val="24"/>
        </w:rPr>
        <w:t xml:space="preserve"> określon</w:t>
      </w:r>
      <w:r w:rsidR="00E3141F" w:rsidRPr="00C10C7D">
        <w:rPr>
          <w:rFonts w:ascii="Times New Roman" w:hAnsi="Times New Roman" w:cs="Times New Roman"/>
          <w:sz w:val="24"/>
          <w:szCs w:val="24"/>
        </w:rPr>
        <w:t>ą</w:t>
      </w:r>
      <w:r w:rsidR="007E2649">
        <w:rPr>
          <w:rFonts w:ascii="Times New Roman" w:hAnsi="Times New Roman" w:cs="Times New Roman"/>
          <w:sz w:val="24"/>
          <w:szCs w:val="24"/>
        </w:rPr>
        <w:t xml:space="preserve"> w art. </w:t>
      </w:r>
      <w:r w:rsidRPr="00C10C7D">
        <w:rPr>
          <w:rFonts w:ascii="Times New Roman" w:hAnsi="Times New Roman" w:cs="Times New Roman"/>
          <w:sz w:val="24"/>
          <w:szCs w:val="24"/>
        </w:rPr>
        <w:t xml:space="preserve">20 ust. 1 Pke. Ponadto uzupełniono też § 2 w art. 3a wskazując, że na </w:t>
      </w:r>
      <w:r w:rsidR="00E3141F" w:rsidRPr="00C10C7D">
        <w:rPr>
          <w:rFonts w:ascii="Times New Roman" w:hAnsi="Times New Roman" w:cs="Times New Roman"/>
          <w:sz w:val="24"/>
          <w:szCs w:val="24"/>
        </w:rPr>
        <w:t xml:space="preserve">tej informacji </w:t>
      </w:r>
      <w:r w:rsidR="007E2649">
        <w:rPr>
          <w:rFonts w:ascii="Times New Roman" w:hAnsi="Times New Roman" w:cs="Times New Roman"/>
          <w:sz w:val="24"/>
          <w:szCs w:val="24"/>
        </w:rPr>
        <w:t>z art. 20 ust. </w:t>
      </w:r>
      <w:r w:rsidRPr="00C10C7D">
        <w:rPr>
          <w:rFonts w:ascii="Times New Roman" w:hAnsi="Times New Roman" w:cs="Times New Roman"/>
          <w:sz w:val="24"/>
          <w:szCs w:val="24"/>
        </w:rPr>
        <w:t>1 Pke musi być zawarte pouczenie, że stanowi on podstawę do wystawienia tytułu wykonawczego.</w:t>
      </w:r>
    </w:p>
    <w:p w14:paraId="206793F3" w14:textId="77777777" w:rsidR="341F6147" w:rsidRPr="00CE1978" w:rsidRDefault="341F6147"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Dodany w art. 20 § 4 </w:t>
      </w:r>
      <w:r w:rsidR="75783B14" w:rsidRPr="00C10C7D">
        <w:rPr>
          <w:rFonts w:ascii="Times New Roman" w:eastAsia="Times New Roman" w:hAnsi="Times New Roman" w:cs="Times New Roman"/>
          <w:color w:val="000000" w:themeColor="text1"/>
          <w:sz w:val="24"/>
          <w:szCs w:val="24"/>
        </w:rPr>
        <w:t>umożliwi</w:t>
      </w:r>
      <w:r w:rsidR="14078524" w:rsidRPr="00C10C7D">
        <w:rPr>
          <w:rFonts w:ascii="Times New Roman" w:eastAsia="Times New Roman" w:hAnsi="Times New Roman" w:cs="Times New Roman"/>
          <w:color w:val="000000" w:themeColor="text1"/>
          <w:sz w:val="24"/>
          <w:szCs w:val="24"/>
        </w:rPr>
        <w:t>a</w:t>
      </w:r>
      <w:r w:rsidRPr="00C10C7D">
        <w:rPr>
          <w:rFonts w:ascii="Times New Roman" w:eastAsia="Times New Roman" w:hAnsi="Times New Roman" w:cs="Times New Roman"/>
          <w:color w:val="000000" w:themeColor="text1"/>
          <w:sz w:val="24"/>
          <w:szCs w:val="24"/>
        </w:rPr>
        <w:t xml:space="preserve"> </w:t>
      </w:r>
      <w:r w:rsidR="0B85FA38" w:rsidRPr="00C10C7D">
        <w:rPr>
          <w:rFonts w:ascii="Times New Roman" w:eastAsia="Times New Roman" w:hAnsi="Times New Roman" w:cs="Times New Roman"/>
          <w:color w:val="000000" w:themeColor="text1"/>
          <w:sz w:val="24"/>
          <w:szCs w:val="24"/>
        </w:rPr>
        <w:t>pełnienie</w:t>
      </w:r>
      <w:r w:rsidRPr="00C10C7D">
        <w:rPr>
          <w:rFonts w:ascii="Times New Roman" w:eastAsia="Times New Roman" w:hAnsi="Times New Roman" w:cs="Times New Roman"/>
          <w:color w:val="000000" w:themeColor="text1"/>
          <w:sz w:val="24"/>
          <w:szCs w:val="24"/>
        </w:rPr>
        <w:t xml:space="preserve"> funkcji </w:t>
      </w:r>
      <w:r w:rsidR="7C28582C" w:rsidRPr="00C10C7D">
        <w:rPr>
          <w:rFonts w:ascii="Times New Roman" w:eastAsia="Times New Roman" w:hAnsi="Times New Roman" w:cs="Times New Roman"/>
          <w:color w:val="000000" w:themeColor="text1"/>
          <w:sz w:val="24"/>
          <w:szCs w:val="24"/>
        </w:rPr>
        <w:t xml:space="preserve">organu egzekucyjnego w </w:t>
      </w:r>
      <w:r w:rsidR="3BE576AD" w:rsidRPr="00C10C7D">
        <w:rPr>
          <w:rFonts w:ascii="Times New Roman" w:eastAsia="Times New Roman" w:hAnsi="Times New Roman" w:cs="Times New Roman"/>
          <w:color w:val="000000" w:themeColor="text1"/>
          <w:sz w:val="24"/>
          <w:szCs w:val="24"/>
        </w:rPr>
        <w:t>zakresie</w:t>
      </w:r>
      <w:r w:rsidR="7C28582C" w:rsidRPr="00C10C7D">
        <w:rPr>
          <w:rFonts w:ascii="Times New Roman" w:eastAsia="Times New Roman" w:hAnsi="Times New Roman" w:cs="Times New Roman"/>
          <w:color w:val="000000" w:themeColor="text1"/>
          <w:sz w:val="24"/>
          <w:szCs w:val="24"/>
        </w:rPr>
        <w:t xml:space="preserve"> egzekucji administracyjnej </w:t>
      </w:r>
      <w:r w:rsidR="746B9FED" w:rsidRPr="00C10C7D">
        <w:rPr>
          <w:rFonts w:ascii="Times New Roman" w:eastAsia="Times New Roman" w:hAnsi="Times New Roman" w:cs="Times New Roman"/>
          <w:color w:val="000000" w:themeColor="text1"/>
          <w:sz w:val="24"/>
          <w:szCs w:val="24"/>
        </w:rPr>
        <w:t xml:space="preserve">i </w:t>
      </w:r>
      <w:r w:rsidRPr="00C10C7D">
        <w:rPr>
          <w:rFonts w:ascii="Times New Roman" w:eastAsia="Times New Roman" w:hAnsi="Times New Roman" w:cs="Times New Roman"/>
          <w:color w:val="000000" w:themeColor="text1"/>
          <w:sz w:val="24"/>
          <w:szCs w:val="24"/>
        </w:rPr>
        <w:t xml:space="preserve">ma na celu </w:t>
      </w:r>
      <w:r w:rsidR="595D8934" w:rsidRPr="00C10C7D">
        <w:rPr>
          <w:rFonts w:ascii="Times New Roman" w:eastAsia="Times New Roman" w:hAnsi="Times New Roman" w:cs="Times New Roman"/>
          <w:color w:val="000000" w:themeColor="text1"/>
          <w:sz w:val="24"/>
          <w:szCs w:val="24"/>
        </w:rPr>
        <w:t>wskazanie jasnej podstawy prawnej dla organów</w:t>
      </w:r>
      <w:r w:rsidR="2765C871" w:rsidRPr="00C10C7D">
        <w:rPr>
          <w:rFonts w:ascii="Times New Roman" w:eastAsia="Times New Roman" w:hAnsi="Times New Roman" w:cs="Times New Roman"/>
          <w:color w:val="000000" w:themeColor="text1"/>
          <w:sz w:val="24"/>
          <w:szCs w:val="24"/>
        </w:rPr>
        <w:t>,</w:t>
      </w:r>
      <w:r w:rsidR="595D8934" w:rsidRPr="00C10C7D">
        <w:rPr>
          <w:rFonts w:ascii="Times New Roman" w:eastAsia="Times New Roman" w:hAnsi="Times New Roman" w:cs="Times New Roman"/>
          <w:color w:val="000000" w:themeColor="text1"/>
          <w:sz w:val="24"/>
          <w:szCs w:val="24"/>
        </w:rPr>
        <w:t xml:space="preserve"> innych niż wskazane w nowelizowanej ustawie, </w:t>
      </w:r>
      <w:r w:rsidR="79931BDA" w:rsidRPr="00C10C7D">
        <w:rPr>
          <w:rFonts w:ascii="Times New Roman" w:eastAsia="Times New Roman" w:hAnsi="Times New Roman" w:cs="Times New Roman"/>
          <w:color w:val="000000" w:themeColor="text1"/>
          <w:sz w:val="24"/>
          <w:szCs w:val="24"/>
        </w:rPr>
        <w:t>do pełnienia funkcji o</w:t>
      </w:r>
      <w:r w:rsidRPr="00C10C7D">
        <w:rPr>
          <w:rFonts w:ascii="Times New Roman" w:eastAsia="Times New Roman" w:hAnsi="Times New Roman" w:cs="Times New Roman"/>
          <w:color w:val="000000" w:themeColor="text1"/>
          <w:sz w:val="24"/>
          <w:szCs w:val="24"/>
        </w:rPr>
        <w:t>rgan</w:t>
      </w:r>
      <w:r w:rsidR="6100C3B5" w:rsidRPr="00CE1978">
        <w:rPr>
          <w:rFonts w:ascii="Times New Roman" w:eastAsia="Times New Roman" w:hAnsi="Times New Roman" w:cs="Times New Roman"/>
          <w:color w:val="000000" w:themeColor="text1"/>
          <w:sz w:val="24"/>
          <w:szCs w:val="24"/>
        </w:rPr>
        <w:t>u</w:t>
      </w:r>
      <w:r w:rsidRPr="00CE1978">
        <w:rPr>
          <w:rFonts w:ascii="Times New Roman" w:eastAsia="Times New Roman" w:hAnsi="Times New Roman" w:cs="Times New Roman"/>
          <w:color w:val="000000" w:themeColor="text1"/>
          <w:sz w:val="24"/>
          <w:szCs w:val="24"/>
        </w:rPr>
        <w:t xml:space="preserve"> egzekucyjn</w:t>
      </w:r>
      <w:r w:rsidR="3C66496F" w:rsidRPr="00CE1978">
        <w:rPr>
          <w:rFonts w:ascii="Times New Roman" w:eastAsia="Times New Roman" w:hAnsi="Times New Roman" w:cs="Times New Roman"/>
          <w:color w:val="000000" w:themeColor="text1"/>
          <w:sz w:val="24"/>
          <w:szCs w:val="24"/>
        </w:rPr>
        <w:t>ego</w:t>
      </w:r>
      <w:r w:rsidRPr="00CE1978">
        <w:rPr>
          <w:rFonts w:ascii="Times New Roman" w:eastAsia="Times New Roman" w:hAnsi="Times New Roman" w:cs="Times New Roman"/>
          <w:color w:val="000000" w:themeColor="text1"/>
          <w:sz w:val="24"/>
          <w:szCs w:val="24"/>
        </w:rPr>
        <w:t xml:space="preserve"> w zakresie egzekucji administracyjnej obowiązków o charakterze niepieniężnym</w:t>
      </w:r>
      <w:r w:rsidR="2838814A" w:rsidRPr="00CE1978">
        <w:rPr>
          <w:rFonts w:ascii="Times New Roman" w:eastAsia="Times New Roman" w:hAnsi="Times New Roman" w:cs="Times New Roman"/>
          <w:color w:val="000000" w:themeColor="text1"/>
          <w:sz w:val="24"/>
          <w:szCs w:val="24"/>
        </w:rPr>
        <w:t>.</w:t>
      </w:r>
    </w:p>
    <w:p w14:paraId="40A39C35" w14:textId="700DC633" w:rsidR="16C14B12" w:rsidRPr="00C10C7D" w:rsidRDefault="1C0964A5"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Zmiana została wprowadzona na</w:t>
      </w:r>
      <w:r w:rsidR="364AC616" w:rsidRPr="00CE1978">
        <w:rPr>
          <w:rFonts w:ascii="Times New Roman" w:eastAsia="Times New Roman" w:hAnsi="Times New Roman" w:cs="Times New Roman"/>
          <w:color w:val="000000" w:themeColor="text1"/>
          <w:sz w:val="24"/>
          <w:szCs w:val="24"/>
        </w:rPr>
        <w:t>, zgłoszony w trakcie prekonsultacji,</w:t>
      </w:r>
      <w:r w:rsidRPr="00CE1978">
        <w:rPr>
          <w:rFonts w:ascii="Times New Roman" w:eastAsia="Times New Roman" w:hAnsi="Times New Roman" w:cs="Times New Roman"/>
          <w:color w:val="000000" w:themeColor="text1"/>
          <w:sz w:val="24"/>
          <w:szCs w:val="24"/>
        </w:rPr>
        <w:t xml:space="preserve"> wniosek Ministerstwa Finansów w związku</w:t>
      </w:r>
      <w:r w:rsidR="4463C17D" w:rsidRPr="00CE1978">
        <w:rPr>
          <w:rFonts w:ascii="Times New Roman" w:eastAsia="Times New Roman" w:hAnsi="Times New Roman" w:cs="Times New Roman"/>
          <w:color w:val="000000" w:themeColor="text1"/>
          <w:sz w:val="24"/>
          <w:szCs w:val="24"/>
        </w:rPr>
        <w:t xml:space="preserve"> </w:t>
      </w:r>
      <w:r w:rsidR="5036C31B" w:rsidRPr="00CE1978">
        <w:rPr>
          <w:rFonts w:ascii="Times New Roman" w:eastAsia="Times New Roman" w:hAnsi="Times New Roman" w:cs="Times New Roman"/>
          <w:color w:val="000000" w:themeColor="text1"/>
          <w:sz w:val="24"/>
          <w:szCs w:val="24"/>
        </w:rPr>
        <w:t xml:space="preserve">z </w:t>
      </w:r>
      <w:r w:rsidR="4463C17D" w:rsidRPr="00CE1978">
        <w:rPr>
          <w:rFonts w:ascii="Times New Roman" w:eastAsia="Times New Roman" w:hAnsi="Times New Roman" w:cs="Times New Roman"/>
          <w:color w:val="000000" w:themeColor="text1"/>
          <w:sz w:val="24"/>
          <w:szCs w:val="24"/>
        </w:rPr>
        <w:t xml:space="preserve">projektowanym art. </w:t>
      </w:r>
      <w:r w:rsidR="00766D1E" w:rsidRPr="00CE1978">
        <w:rPr>
          <w:rFonts w:ascii="Times New Roman" w:eastAsia="Times New Roman" w:hAnsi="Times New Roman" w:cs="Times New Roman"/>
          <w:color w:val="000000" w:themeColor="text1"/>
          <w:sz w:val="24"/>
          <w:szCs w:val="24"/>
        </w:rPr>
        <w:t xml:space="preserve">408 </w:t>
      </w:r>
      <w:r w:rsidR="5224AF53" w:rsidRPr="00CE1978">
        <w:rPr>
          <w:rFonts w:ascii="Times New Roman" w:eastAsia="Times New Roman" w:hAnsi="Times New Roman" w:cs="Times New Roman"/>
          <w:color w:val="000000" w:themeColor="text1"/>
          <w:sz w:val="24"/>
          <w:szCs w:val="24"/>
        </w:rPr>
        <w:t xml:space="preserve">ust. </w:t>
      </w:r>
      <w:r w:rsidR="7E877FF8" w:rsidRPr="00CE1978">
        <w:rPr>
          <w:rFonts w:ascii="Times New Roman" w:eastAsia="Times New Roman" w:hAnsi="Times New Roman" w:cs="Times New Roman"/>
          <w:color w:val="000000" w:themeColor="text1"/>
          <w:sz w:val="24"/>
          <w:szCs w:val="24"/>
        </w:rPr>
        <w:t>3</w:t>
      </w:r>
      <w:r w:rsidR="30AB56CE" w:rsidRPr="00CE1978">
        <w:rPr>
          <w:rFonts w:ascii="Times New Roman" w:eastAsia="Times New Roman" w:hAnsi="Times New Roman" w:cs="Times New Roman"/>
          <w:color w:val="000000" w:themeColor="text1"/>
          <w:sz w:val="24"/>
          <w:szCs w:val="24"/>
        </w:rPr>
        <w:t xml:space="preserve"> Pke</w:t>
      </w:r>
      <w:r w:rsidR="7E877FF8" w:rsidRPr="00CE1978">
        <w:rPr>
          <w:rFonts w:ascii="Times New Roman" w:eastAsia="Times New Roman" w:hAnsi="Times New Roman" w:cs="Times New Roman"/>
          <w:color w:val="000000" w:themeColor="text1"/>
          <w:sz w:val="24"/>
          <w:szCs w:val="24"/>
        </w:rPr>
        <w:t xml:space="preserve">. </w:t>
      </w:r>
      <w:r w:rsidR="3D873211" w:rsidRPr="00CE1978">
        <w:rPr>
          <w:rFonts w:ascii="Times New Roman" w:eastAsia="Times New Roman" w:hAnsi="Times New Roman" w:cs="Times New Roman"/>
          <w:color w:val="000000" w:themeColor="text1"/>
          <w:sz w:val="24"/>
          <w:szCs w:val="24"/>
        </w:rPr>
        <w:t xml:space="preserve">Zgodnie z tym przepisem </w:t>
      </w:r>
      <w:r w:rsidR="7E877FF8" w:rsidRPr="00CE1978">
        <w:rPr>
          <w:rFonts w:ascii="Times New Roman" w:eastAsia="Times New Roman" w:hAnsi="Times New Roman" w:cs="Times New Roman"/>
          <w:color w:val="000000" w:themeColor="text1"/>
          <w:sz w:val="24"/>
          <w:szCs w:val="24"/>
        </w:rPr>
        <w:t>Prezes UKE jest organem egzekucyjnym w zakresie administ</w:t>
      </w:r>
      <w:r w:rsidR="007E2649">
        <w:rPr>
          <w:rFonts w:ascii="Times New Roman" w:eastAsia="Times New Roman" w:hAnsi="Times New Roman" w:cs="Times New Roman"/>
          <w:color w:val="000000" w:themeColor="text1"/>
          <w:sz w:val="24"/>
          <w:szCs w:val="24"/>
        </w:rPr>
        <w:t>racyjnej egzekucji obowiązków o </w:t>
      </w:r>
      <w:r w:rsidR="7E877FF8" w:rsidRPr="00CE1978">
        <w:rPr>
          <w:rFonts w:ascii="Times New Roman" w:eastAsia="Times New Roman" w:hAnsi="Times New Roman" w:cs="Times New Roman"/>
          <w:color w:val="000000" w:themeColor="text1"/>
          <w:sz w:val="24"/>
          <w:szCs w:val="24"/>
        </w:rPr>
        <w:t xml:space="preserve">charakterze niepieniężnym wskazanych w przepisach </w:t>
      </w:r>
      <w:r w:rsidR="71F4BFC7" w:rsidRPr="00CE1978">
        <w:rPr>
          <w:rFonts w:ascii="Times New Roman" w:eastAsia="Times New Roman" w:hAnsi="Times New Roman" w:cs="Times New Roman"/>
          <w:color w:val="000000" w:themeColor="text1"/>
          <w:sz w:val="24"/>
          <w:szCs w:val="24"/>
        </w:rPr>
        <w:t>P</w:t>
      </w:r>
      <w:r w:rsidR="4E89CC65" w:rsidRPr="00CE1978">
        <w:rPr>
          <w:rFonts w:ascii="Times New Roman" w:eastAsia="Times New Roman" w:hAnsi="Times New Roman" w:cs="Times New Roman"/>
          <w:color w:val="000000" w:themeColor="text1"/>
          <w:sz w:val="24"/>
          <w:szCs w:val="24"/>
        </w:rPr>
        <w:t>ke</w:t>
      </w:r>
      <w:r w:rsidR="7E877FF8" w:rsidRPr="00CE1978">
        <w:rPr>
          <w:rFonts w:ascii="Times New Roman" w:eastAsia="Times New Roman" w:hAnsi="Times New Roman" w:cs="Times New Roman"/>
          <w:color w:val="000000" w:themeColor="text1"/>
          <w:sz w:val="24"/>
          <w:szCs w:val="24"/>
        </w:rPr>
        <w:t xml:space="preserve">, ustawy o wspieraniu rozwoju usług i sieci telekomunikacyjnych oraz ustawy </w:t>
      </w:r>
      <w:r w:rsidR="00532F3A">
        <w:rPr>
          <w:rFonts w:ascii="Times New Roman" w:eastAsia="Times New Roman" w:hAnsi="Times New Roman" w:cs="Times New Roman"/>
          <w:color w:val="000000" w:themeColor="text1"/>
          <w:sz w:val="24"/>
          <w:szCs w:val="24"/>
        </w:rPr>
        <w:t>–</w:t>
      </w:r>
      <w:r w:rsidR="7E877FF8" w:rsidRPr="00532F3A">
        <w:rPr>
          <w:rFonts w:ascii="Times New Roman" w:eastAsia="Times New Roman" w:hAnsi="Times New Roman" w:cs="Times New Roman"/>
          <w:color w:val="000000" w:themeColor="text1"/>
          <w:sz w:val="24"/>
          <w:szCs w:val="24"/>
        </w:rPr>
        <w:t xml:space="preserve"> Prawo pocztowe.</w:t>
      </w:r>
      <w:r w:rsidR="4FD89AA1" w:rsidRPr="00532F3A">
        <w:rPr>
          <w:rFonts w:ascii="Times New Roman" w:eastAsia="Times New Roman" w:hAnsi="Times New Roman" w:cs="Times New Roman"/>
          <w:color w:val="000000" w:themeColor="text1"/>
          <w:sz w:val="24"/>
          <w:szCs w:val="24"/>
        </w:rPr>
        <w:t xml:space="preserve"> Zbliżony treścią przepis znajdował się już w art. 190 ust. 9</w:t>
      </w:r>
      <w:r w:rsidR="584C9E02" w:rsidRPr="00532F3A">
        <w:rPr>
          <w:rFonts w:ascii="Times New Roman" w:eastAsia="Times New Roman" w:hAnsi="Times New Roman" w:cs="Times New Roman"/>
          <w:color w:val="000000" w:themeColor="text1"/>
          <w:sz w:val="24"/>
          <w:szCs w:val="24"/>
        </w:rPr>
        <w:t xml:space="preserve"> Pt</w:t>
      </w:r>
      <w:r w:rsidR="338B5CDA" w:rsidRPr="00532F3A">
        <w:rPr>
          <w:rFonts w:ascii="Times New Roman" w:eastAsia="Times New Roman" w:hAnsi="Times New Roman" w:cs="Times New Roman"/>
          <w:color w:val="000000" w:themeColor="text1"/>
          <w:sz w:val="24"/>
          <w:szCs w:val="24"/>
        </w:rPr>
        <w:t>.</w:t>
      </w:r>
      <w:r w:rsidR="4FD89AA1" w:rsidRPr="00532F3A">
        <w:rPr>
          <w:rFonts w:ascii="Times New Roman" w:eastAsia="Times New Roman" w:hAnsi="Times New Roman" w:cs="Times New Roman"/>
          <w:color w:val="000000" w:themeColor="text1"/>
          <w:sz w:val="24"/>
          <w:szCs w:val="24"/>
        </w:rPr>
        <w:t xml:space="preserve"> </w:t>
      </w:r>
      <w:r w:rsidR="1D05F78C" w:rsidRPr="00532F3A">
        <w:rPr>
          <w:rFonts w:ascii="Times New Roman" w:eastAsia="Times New Roman" w:hAnsi="Times New Roman" w:cs="Times New Roman"/>
          <w:color w:val="000000" w:themeColor="text1"/>
          <w:sz w:val="24"/>
          <w:szCs w:val="24"/>
        </w:rPr>
        <w:t xml:space="preserve">Uprawnienia Prezesa UKE zdaniem projektodawcy wynikały również z </w:t>
      </w:r>
      <w:r w:rsidR="66144538" w:rsidRPr="00CE1978">
        <w:rPr>
          <w:rFonts w:ascii="Times New Roman" w:eastAsia="Times New Roman" w:hAnsi="Times New Roman" w:cs="Times New Roman"/>
          <w:color w:val="000000" w:themeColor="text1"/>
          <w:sz w:val="24"/>
          <w:szCs w:val="24"/>
        </w:rPr>
        <w:t>a</w:t>
      </w:r>
      <w:r w:rsidR="1D05F78C" w:rsidRPr="00CE1978">
        <w:rPr>
          <w:rFonts w:ascii="Times New Roman" w:eastAsia="Times New Roman" w:hAnsi="Times New Roman" w:cs="Times New Roman"/>
          <w:color w:val="000000" w:themeColor="text1"/>
          <w:sz w:val="24"/>
          <w:szCs w:val="24"/>
        </w:rPr>
        <w:t xml:space="preserve">rt. 20 § 2 ustawy o </w:t>
      </w:r>
      <w:r w:rsidR="1A398B86" w:rsidRPr="00C10C7D">
        <w:rPr>
          <w:rFonts w:ascii="Times New Roman" w:eastAsia="Times New Roman" w:hAnsi="Times New Roman" w:cs="Times New Roman"/>
          <w:color w:val="000000" w:themeColor="text1"/>
          <w:sz w:val="24"/>
          <w:szCs w:val="24"/>
        </w:rPr>
        <w:t>postępowaniu egzekucyjnym w administracji</w:t>
      </w:r>
      <w:r w:rsidR="1D05F78C" w:rsidRPr="00C10C7D">
        <w:rPr>
          <w:rFonts w:ascii="Times New Roman" w:eastAsia="Times New Roman" w:hAnsi="Times New Roman" w:cs="Times New Roman"/>
          <w:color w:val="000000" w:themeColor="text1"/>
          <w:sz w:val="24"/>
          <w:szCs w:val="24"/>
        </w:rPr>
        <w:t xml:space="preserve">. </w:t>
      </w:r>
      <w:r w:rsidR="5B25DDAA" w:rsidRPr="00C10C7D">
        <w:rPr>
          <w:rFonts w:ascii="Times New Roman" w:eastAsia="Times New Roman" w:hAnsi="Times New Roman" w:cs="Times New Roman"/>
          <w:color w:val="000000" w:themeColor="text1"/>
          <w:sz w:val="24"/>
          <w:szCs w:val="24"/>
        </w:rPr>
        <w:t>Przepis ten wskazuje, że</w:t>
      </w:r>
      <w:r w:rsidR="1D05F78C" w:rsidRPr="00C10C7D">
        <w:rPr>
          <w:rFonts w:ascii="Times New Roman" w:eastAsia="Times New Roman" w:hAnsi="Times New Roman" w:cs="Times New Roman"/>
          <w:color w:val="000000" w:themeColor="text1"/>
          <w:sz w:val="24"/>
          <w:szCs w:val="24"/>
        </w:rPr>
        <w:t xml:space="preserve"> w przypadkach określonych szczególnymi przepisami jako </w:t>
      </w:r>
      <w:r w:rsidR="315453E4" w:rsidRPr="00C10C7D">
        <w:rPr>
          <w:rFonts w:ascii="Times New Roman" w:eastAsia="Times New Roman" w:hAnsi="Times New Roman" w:cs="Times New Roman"/>
          <w:color w:val="000000" w:themeColor="text1"/>
          <w:sz w:val="24"/>
          <w:szCs w:val="24"/>
        </w:rPr>
        <w:t xml:space="preserve">organ </w:t>
      </w:r>
      <w:r w:rsidR="1D05F78C" w:rsidRPr="00C10C7D">
        <w:rPr>
          <w:rFonts w:ascii="Times New Roman" w:eastAsia="Times New Roman" w:hAnsi="Times New Roman" w:cs="Times New Roman"/>
          <w:color w:val="000000" w:themeColor="text1"/>
          <w:sz w:val="24"/>
          <w:szCs w:val="24"/>
        </w:rPr>
        <w:t>egzekucyjny w zakresie egzekucji administracyjnej obowiązków o charakterze niepieniężnym dział</w:t>
      </w:r>
      <w:r w:rsidR="52101A65" w:rsidRPr="00C10C7D">
        <w:rPr>
          <w:rFonts w:ascii="Times New Roman" w:eastAsia="Times New Roman" w:hAnsi="Times New Roman" w:cs="Times New Roman"/>
          <w:color w:val="000000" w:themeColor="text1"/>
          <w:sz w:val="24"/>
          <w:szCs w:val="24"/>
        </w:rPr>
        <w:t>ają</w:t>
      </w:r>
      <w:r w:rsidR="1D05F78C" w:rsidRPr="00C10C7D">
        <w:rPr>
          <w:rFonts w:ascii="Times New Roman" w:eastAsia="Times New Roman" w:hAnsi="Times New Roman" w:cs="Times New Roman"/>
          <w:color w:val="000000" w:themeColor="text1"/>
          <w:sz w:val="24"/>
          <w:szCs w:val="24"/>
        </w:rPr>
        <w:t xml:space="preserve"> także organy powołane do ochrony spokoju, bezpieczeństwa, porządku, zdrowia publicznego lub mienia społecznego.</w:t>
      </w:r>
      <w:r w:rsidR="50B1FD93" w:rsidRPr="00C10C7D">
        <w:rPr>
          <w:rFonts w:ascii="Times New Roman" w:eastAsia="Times New Roman" w:hAnsi="Times New Roman" w:cs="Times New Roman"/>
          <w:color w:val="000000" w:themeColor="text1"/>
          <w:sz w:val="24"/>
          <w:szCs w:val="24"/>
        </w:rPr>
        <w:t xml:space="preserve"> </w:t>
      </w:r>
      <w:r w:rsidR="57F27EA7" w:rsidRPr="00C10C7D">
        <w:rPr>
          <w:rFonts w:ascii="Times New Roman" w:eastAsia="Times New Roman" w:hAnsi="Times New Roman" w:cs="Times New Roman"/>
          <w:color w:val="000000" w:themeColor="text1"/>
          <w:sz w:val="24"/>
          <w:szCs w:val="24"/>
        </w:rPr>
        <w:t>Ustawa Pke (jak i obecnie Pt) wskazuje, że do zakresu działania Prezesa UKE należy wykonywanie obowiązków na rzecz obron</w:t>
      </w:r>
      <w:r w:rsidR="007E2649">
        <w:rPr>
          <w:rFonts w:ascii="Times New Roman" w:eastAsia="Times New Roman" w:hAnsi="Times New Roman" w:cs="Times New Roman"/>
          <w:color w:val="000000" w:themeColor="text1"/>
          <w:sz w:val="24"/>
          <w:szCs w:val="24"/>
        </w:rPr>
        <w:t>ności, bezpieczeństwa państwa i </w:t>
      </w:r>
      <w:r w:rsidR="57F27EA7" w:rsidRPr="00C10C7D">
        <w:rPr>
          <w:rFonts w:ascii="Times New Roman" w:eastAsia="Times New Roman" w:hAnsi="Times New Roman" w:cs="Times New Roman"/>
          <w:color w:val="000000" w:themeColor="text1"/>
          <w:sz w:val="24"/>
          <w:szCs w:val="24"/>
        </w:rPr>
        <w:t>porządku publicznego.</w:t>
      </w:r>
    </w:p>
    <w:p w14:paraId="5FAC694E" w14:textId="374717C9" w:rsidR="16C14B12" w:rsidRPr="00532F3A" w:rsidRDefault="50B1FD93"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Prezes UKE posiadając </w:t>
      </w:r>
      <w:r w:rsidR="15A4690D" w:rsidRPr="00C10C7D">
        <w:rPr>
          <w:rFonts w:ascii="Times New Roman" w:eastAsia="Times New Roman" w:hAnsi="Times New Roman" w:cs="Times New Roman"/>
          <w:color w:val="000000" w:themeColor="text1"/>
          <w:sz w:val="24"/>
          <w:szCs w:val="24"/>
        </w:rPr>
        <w:t>ww</w:t>
      </w:r>
      <w:r w:rsidR="00852B5A" w:rsidRPr="00C10C7D">
        <w:rPr>
          <w:rFonts w:ascii="Times New Roman" w:eastAsia="Times New Roman" w:hAnsi="Times New Roman" w:cs="Times New Roman"/>
          <w:color w:val="000000" w:themeColor="text1"/>
          <w:sz w:val="24"/>
          <w:szCs w:val="24"/>
        </w:rPr>
        <w:t>.</w:t>
      </w:r>
      <w:r w:rsidR="15A4690D" w:rsidRPr="00C10C7D">
        <w:rPr>
          <w:rFonts w:ascii="Times New Roman" w:eastAsia="Times New Roman" w:hAnsi="Times New Roman" w:cs="Times New Roman"/>
          <w:color w:val="000000" w:themeColor="text1"/>
          <w:sz w:val="24"/>
          <w:szCs w:val="24"/>
        </w:rPr>
        <w:t xml:space="preserve"> obowiązki </w:t>
      </w:r>
      <w:r w:rsidRPr="00C10C7D">
        <w:rPr>
          <w:rFonts w:ascii="Times New Roman" w:eastAsia="Times New Roman" w:hAnsi="Times New Roman" w:cs="Times New Roman"/>
          <w:color w:val="000000" w:themeColor="text1"/>
          <w:sz w:val="24"/>
          <w:szCs w:val="24"/>
        </w:rPr>
        <w:t>w zakresie bezpieczeństwa</w:t>
      </w:r>
      <w:r w:rsidR="57F9AF05" w:rsidRPr="00C10C7D">
        <w:rPr>
          <w:rFonts w:ascii="Times New Roman" w:eastAsia="Times New Roman" w:hAnsi="Times New Roman" w:cs="Times New Roman"/>
          <w:color w:val="000000" w:themeColor="text1"/>
          <w:sz w:val="24"/>
          <w:szCs w:val="24"/>
        </w:rPr>
        <w:t xml:space="preserve"> był uznawany, na podstawie tego przepisu oraz regulacji zawartej w </w:t>
      </w:r>
      <w:r w:rsidR="69AF14E5" w:rsidRPr="00C10C7D">
        <w:rPr>
          <w:rFonts w:ascii="Times New Roman" w:eastAsia="Times New Roman" w:hAnsi="Times New Roman" w:cs="Times New Roman"/>
          <w:color w:val="000000" w:themeColor="text1"/>
          <w:sz w:val="24"/>
          <w:szCs w:val="24"/>
        </w:rPr>
        <w:t xml:space="preserve">Pt </w:t>
      </w:r>
      <w:r w:rsidR="57F9AF05" w:rsidRPr="00C10C7D">
        <w:rPr>
          <w:rFonts w:ascii="Times New Roman" w:eastAsia="Times New Roman" w:hAnsi="Times New Roman" w:cs="Times New Roman"/>
          <w:color w:val="000000" w:themeColor="text1"/>
          <w:sz w:val="24"/>
          <w:szCs w:val="24"/>
        </w:rPr>
        <w:t>za organ</w:t>
      </w:r>
      <w:r w:rsidR="48F34E64" w:rsidRPr="00C10C7D">
        <w:rPr>
          <w:rFonts w:ascii="Times New Roman" w:eastAsia="Times New Roman" w:hAnsi="Times New Roman" w:cs="Times New Roman"/>
          <w:color w:val="000000" w:themeColor="text1"/>
          <w:sz w:val="24"/>
          <w:szCs w:val="24"/>
        </w:rPr>
        <w:t xml:space="preserve"> egzekucyjny</w:t>
      </w:r>
      <w:r w:rsidR="470D0988" w:rsidRPr="00C10C7D">
        <w:rPr>
          <w:rFonts w:ascii="Times New Roman" w:eastAsia="Times New Roman" w:hAnsi="Times New Roman" w:cs="Times New Roman"/>
          <w:color w:val="000000" w:themeColor="text1"/>
          <w:sz w:val="24"/>
          <w:szCs w:val="24"/>
        </w:rPr>
        <w:t xml:space="preserve"> w zakresie egzekucji administracyjnej obowiązków o charakterze niepieniężnym</w:t>
      </w:r>
      <w:r w:rsidR="48F34E64" w:rsidRPr="00C10C7D">
        <w:rPr>
          <w:rFonts w:ascii="Times New Roman" w:eastAsia="Times New Roman" w:hAnsi="Times New Roman" w:cs="Times New Roman"/>
          <w:color w:val="000000" w:themeColor="text1"/>
          <w:sz w:val="24"/>
          <w:szCs w:val="24"/>
        </w:rPr>
        <w:t>.</w:t>
      </w:r>
      <w:r w:rsidR="5D8B4EF5" w:rsidRPr="00C10C7D">
        <w:rPr>
          <w:rFonts w:ascii="Times New Roman" w:eastAsia="Times New Roman" w:hAnsi="Times New Roman" w:cs="Times New Roman"/>
          <w:color w:val="000000" w:themeColor="text1"/>
          <w:sz w:val="24"/>
          <w:szCs w:val="24"/>
        </w:rPr>
        <w:t xml:space="preserve"> </w:t>
      </w:r>
      <w:r w:rsidR="48F34E64" w:rsidRPr="00C10C7D">
        <w:rPr>
          <w:rFonts w:ascii="Times New Roman" w:eastAsia="Times New Roman" w:hAnsi="Times New Roman" w:cs="Times New Roman"/>
          <w:color w:val="000000" w:themeColor="text1"/>
          <w:sz w:val="24"/>
          <w:szCs w:val="24"/>
        </w:rPr>
        <w:t>Ministerstwo Finansów</w:t>
      </w:r>
      <w:r w:rsidR="48051F23" w:rsidRPr="00C10C7D">
        <w:rPr>
          <w:rFonts w:ascii="Times New Roman" w:eastAsia="Times New Roman" w:hAnsi="Times New Roman" w:cs="Times New Roman"/>
          <w:color w:val="000000" w:themeColor="text1"/>
          <w:sz w:val="24"/>
          <w:szCs w:val="24"/>
        </w:rPr>
        <w:t xml:space="preserve"> mając zastrzeżenia do takiej interpretacji</w:t>
      </w:r>
      <w:r w:rsidR="0371D9C7" w:rsidRPr="00C10C7D">
        <w:rPr>
          <w:rFonts w:ascii="Times New Roman" w:eastAsia="Times New Roman" w:hAnsi="Times New Roman" w:cs="Times New Roman"/>
          <w:color w:val="000000" w:themeColor="text1"/>
          <w:sz w:val="24"/>
          <w:szCs w:val="24"/>
        </w:rPr>
        <w:t xml:space="preserve"> oraz widząc pewną lukę prawną w przepisach egzekucyjnych</w:t>
      </w:r>
      <w:r w:rsidR="48051F23" w:rsidRPr="00CE1978">
        <w:rPr>
          <w:rFonts w:ascii="Times New Roman" w:eastAsia="Times New Roman" w:hAnsi="Times New Roman" w:cs="Times New Roman"/>
          <w:color w:val="000000" w:themeColor="text1"/>
          <w:sz w:val="24"/>
          <w:szCs w:val="24"/>
        </w:rPr>
        <w:t xml:space="preserve"> uznało za konieczne dodanie projektowanego przepisu</w:t>
      </w:r>
      <w:r w:rsidR="6FAA6EBF" w:rsidRPr="00CE1978">
        <w:rPr>
          <w:rFonts w:ascii="Times New Roman" w:eastAsia="Times New Roman" w:hAnsi="Times New Roman" w:cs="Times New Roman"/>
          <w:color w:val="000000" w:themeColor="text1"/>
          <w:sz w:val="24"/>
          <w:szCs w:val="24"/>
        </w:rPr>
        <w:t xml:space="preserve">, który jasno wskazywałby </w:t>
      </w:r>
      <w:r w:rsidR="7D884526" w:rsidRPr="00CE1978">
        <w:rPr>
          <w:rFonts w:ascii="Times New Roman" w:eastAsia="Times New Roman" w:hAnsi="Times New Roman" w:cs="Times New Roman"/>
          <w:color w:val="000000" w:themeColor="text1"/>
          <w:sz w:val="24"/>
          <w:szCs w:val="24"/>
        </w:rPr>
        <w:t xml:space="preserve">na </w:t>
      </w:r>
      <w:r w:rsidR="6FAA6EBF" w:rsidRPr="00CE1978">
        <w:rPr>
          <w:rFonts w:ascii="Times New Roman" w:eastAsia="Times New Roman" w:hAnsi="Times New Roman" w:cs="Times New Roman"/>
          <w:color w:val="000000" w:themeColor="text1"/>
          <w:sz w:val="24"/>
          <w:szCs w:val="24"/>
        </w:rPr>
        <w:t xml:space="preserve">możliwość </w:t>
      </w:r>
      <w:r w:rsidR="1E35D28E" w:rsidRPr="00CE1978">
        <w:rPr>
          <w:rFonts w:ascii="Times New Roman" w:eastAsia="Times New Roman" w:hAnsi="Times New Roman" w:cs="Times New Roman"/>
          <w:color w:val="000000" w:themeColor="text1"/>
          <w:sz w:val="24"/>
          <w:szCs w:val="24"/>
        </w:rPr>
        <w:t>pełnienia</w:t>
      </w:r>
      <w:r w:rsidR="7A717FF9" w:rsidRPr="00CE1978">
        <w:rPr>
          <w:rFonts w:ascii="Times New Roman" w:eastAsia="Times New Roman" w:hAnsi="Times New Roman" w:cs="Times New Roman"/>
          <w:color w:val="000000" w:themeColor="text1"/>
          <w:sz w:val="24"/>
          <w:szCs w:val="24"/>
        </w:rPr>
        <w:t xml:space="preserve"> przez organy niewymienione w art. 20 nowelizowanej ustawy,</w:t>
      </w:r>
      <w:r w:rsidR="1E35D28E" w:rsidRPr="00CE1978">
        <w:rPr>
          <w:rFonts w:ascii="Times New Roman" w:eastAsia="Times New Roman" w:hAnsi="Times New Roman" w:cs="Times New Roman"/>
          <w:color w:val="000000" w:themeColor="text1"/>
          <w:sz w:val="24"/>
          <w:szCs w:val="24"/>
        </w:rPr>
        <w:t xml:space="preserve"> </w:t>
      </w:r>
      <w:r w:rsidR="43EF6341" w:rsidRPr="00CE1978">
        <w:rPr>
          <w:rFonts w:ascii="Times New Roman" w:eastAsia="Times New Roman" w:hAnsi="Times New Roman" w:cs="Times New Roman"/>
          <w:color w:val="000000" w:themeColor="text1"/>
          <w:sz w:val="24"/>
          <w:szCs w:val="24"/>
        </w:rPr>
        <w:t>funkcji organu egzekucyjnego w zakresie egzekucj</w:t>
      </w:r>
      <w:r w:rsidR="007E2649">
        <w:rPr>
          <w:rFonts w:ascii="Times New Roman" w:eastAsia="Times New Roman" w:hAnsi="Times New Roman" w:cs="Times New Roman"/>
          <w:color w:val="000000" w:themeColor="text1"/>
          <w:sz w:val="24"/>
          <w:szCs w:val="24"/>
        </w:rPr>
        <w:t>i administracyjnej obowiązków o </w:t>
      </w:r>
      <w:r w:rsidR="43EF6341" w:rsidRPr="00CE1978">
        <w:rPr>
          <w:rFonts w:ascii="Times New Roman" w:eastAsia="Times New Roman" w:hAnsi="Times New Roman" w:cs="Times New Roman"/>
          <w:color w:val="000000" w:themeColor="text1"/>
          <w:sz w:val="24"/>
          <w:szCs w:val="24"/>
        </w:rPr>
        <w:t>charakterze niepieniężnym</w:t>
      </w:r>
      <w:r w:rsidR="1067F80D" w:rsidRPr="00CE1978">
        <w:rPr>
          <w:rFonts w:ascii="Times New Roman" w:eastAsia="Times New Roman" w:hAnsi="Times New Roman" w:cs="Times New Roman"/>
          <w:color w:val="000000" w:themeColor="text1"/>
          <w:sz w:val="24"/>
          <w:szCs w:val="24"/>
        </w:rPr>
        <w:t xml:space="preserve"> w zakresie wskazanym w przepisach odrębnych.</w:t>
      </w:r>
      <w:r w:rsidR="5605310F" w:rsidRPr="00CE1978">
        <w:rPr>
          <w:rFonts w:ascii="Times New Roman" w:eastAsia="Times New Roman" w:hAnsi="Times New Roman" w:cs="Times New Roman"/>
          <w:color w:val="000000" w:themeColor="text1"/>
          <w:sz w:val="24"/>
          <w:szCs w:val="24"/>
        </w:rPr>
        <w:t xml:space="preserve"> Analogiczną możliwość przewiduje już art. 19 </w:t>
      </w:r>
      <w:r w:rsidR="00C9DD44" w:rsidRPr="00CE1978">
        <w:rPr>
          <w:rFonts w:ascii="Times New Roman" w:eastAsia="Times New Roman" w:hAnsi="Times New Roman" w:cs="Times New Roman"/>
          <w:color w:val="000000" w:themeColor="text1"/>
          <w:sz w:val="24"/>
          <w:szCs w:val="24"/>
        </w:rPr>
        <w:t xml:space="preserve">§ 8 </w:t>
      </w:r>
      <w:r w:rsidR="3E746FA9" w:rsidRPr="00CE1978">
        <w:rPr>
          <w:rFonts w:ascii="Times New Roman" w:eastAsia="Times New Roman" w:hAnsi="Times New Roman" w:cs="Times New Roman"/>
          <w:color w:val="000000" w:themeColor="text1"/>
          <w:sz w:val="24"/>
          <w:szCs w:val="24"/>
        </w:rPr>
        <w:t>ustawy o postępowaniu egzekucyjnym w administracji</w:t>
      </w:r>
      <w:r w:rsidR="363D4D25" w:rsidRPr="00CE1978">
        <w:rPr>
          <w:rFonts w:ascii="Times New Roman" w:eastAsia="Times New Roman" w:hAnsi="Times New Roman" w:cs="Times New Roman"/>
          <w:color w:val="000000" w:themeColor="text1"/>
          <w:sz w:val="24"/>
          <w:szCs w:val="24"/>
        </w:rPr>
        <w:t>, który wskazuje</w:t>
      </w:r>
      <w:r w:rsidR="00C9DD44" w:rsidRPr="00CE1978">
        <w:rPr>
          <w:rFonts w:ascii="Times New Roman" w:eastAsia="Times New Roman" w:hAnsi="Times New Roman" w:cs="Times New Roman"/>
          <w:color w:val="000000" w:themeColor="text1"/>
          <w:sz w:val="24"/>
          <w:szCs w:val="24"/>
        </w:rPr>
        <w:t xml:space="preserve">, że organem egzekucyjnym w egzekucji administracyjnej należności pieniężnych może być organ inny niż organy wymienione w tym artykule </w:t>
      </w:r>
      <w:r w:rsidR="00532F3A">
        <w:rPr>
          <w:rFonts w:ascii="Times New Roman" w:eastAsia="Times New Roman" w:hAnsi="Times New Roman" w:cs="Times New Roman"/>
          <w:color w:val="000000" w:themeColor="text1"/>
          <w:sz w:val="24"/>
          <w:szCs w:val="24"/>
        </w:rPr>
        <w:t>–</w:t>
      </w:r>
      <w:r w:rsidR="00C9DD44" w:rsidRPr="00532F3A">
        <w:rPr>
          <w:rFonts w:ascii="Times New Roman" w:eastAsia="Times New Roman" w:hAnsi="Times New Roman" w:cs="Times New Roman"/>
          <w:color w:val="000000" w:themeColor="text1"/>
          <w:sz w:val="24"/>
          <w:szCs w:val="24"/>
        </w:rPr>
        <w:t xml:space="preserve"> w zakresie określonym odrębnymi ustawami</w:t>
      </w:r>
      <w:r w:rsidR="5EBFD963" w:rsidRPr="00532F3A">
        <w:rPr>
          <w:rFonts w:ascii="Times New Roman" w:eastAsia="Times New Roman" w:hAnsi="Times New Roman" w:cs="Times New Roman"/>
          <w:color w:val="000000" w:themeColor="text1"/>
          <w:sz w:val="24"/>
          <w:szCs w:val="24"/>
        </w:rPr>
        <w:t>.</w:t>
      </w:r>
    </w:p>
    <w:p w14:paraId="7450BD2F" w14:textId="1755E370" w:rsidR="372CB0FD" w:rsidRPr="00C10C7D" w:rsidRDefault="33EEAFD4"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w:hAnsi="Times New Roman" w:cs="Times New Roman"/>
          <w:color w:val="000000" w:themeColor="text1"/>
          <w:sz w:val="24"/>
          <w:szCs w:val="24"/>
        </w:rPr>
        <w:lastRenderedPageBreak/>
        <w:t xml:space="preserve">Ze względu na powyższe wprowadzono do niniejszej ustawy przedmiotową nowelizację </w:t>
      </w:r>
      <w:r w:rsidR="7B41985C" w:rsidRPr="00CE1978">
        <w:rPr>
          <w:rFonts w:ascii="Times New Roman" w:eastAsia="Times" w:hAnsi="Times New Roman" w:cs="Times New Roman"/>
          <w:color w:val="000000" w:themeColor="text1"/>
          <w:sz w:val="24"/>
          <w:szCs w:val="24"/>
        </w:rPr>
        <w:t xml:space="preserve">art. 20 </w:t>
      </w:r>
      <w:r w:rsidRPr="00C10C7D">
        <w:rPr>
          <w:rFonts w:ascii="Times New Roman" w:eastAsia="Times" w:hAnsi="Times New Roman" w:cs="Times New Roman"/>
          <w:color w:val="000000" w:themeColor="text1"/>
          <w:sz w:val="24"/>
          <w:szCs w:val="24"/>
        </w:rPr>
        <w:t xml:space="preserve">ustawy </w:t>
      </w:r>
      <w:r w:rsidRPr="00C10C7D">
        <w:rPr>
          <w:rFonts w:ascii="Times New Roman" w:eastAsia="Times New Roman" w:hAnsi="Times New Roman" w:cs="Times New Roman"/>
          <w:color w:val="000000" w:themeColor="text1"/>
          <w:sz w:val="24"/>
          <w:szCs w:val="24"/>
        </w:rPr>
        <w:t>o postępowaniu egzekucyjnym w administracji</w:t>
      </w:r>
      <w:r w:rsidR="0B9CE7B5" w:rsidRPr="00C10C7D">
        <w:rPr>
          <w:rFonts w:ascii="Times New Roman" w:eastAsia="Times New Roman" w:hAnsi="Times New Roman" w:cs="Times New Roman"/>
          <w:color w:val="000000" w:themeColor="text1"/>
          <w:sz w:val="24"/>
          <w:szCs w:val="24"/>
        </w:rPr>
        <w:t xml:space="preserve">. </w:t>
      </w:r>
      <w:r w:rsidR="007E2649">
        <w:rPr>
          <w:rFonts w:ascii="Times New Roman" w:eastAsia="Times New Roman" w:hAnsi="Times New Roman" w:cs="Times New Roman"/>
          <w:color w:val="000000" w:themeColor="text1"/>
          <w:sz w:val="24"/>
          <w:szCs w:val="24"/>
        </w:rPr>
        <w:t>Zmiana wiąże się bezpośrednio z </w:t>
      </w:r>
      <w:r w:rsidR="0B9CE7B5" w:rsidRPr="00C10C7D">
        <w:rPr>
          <w:rFonts w:ascii="Times New Roman" w:eastAsia="Times New Roman" w:hAnsi="Times New Roman" w:cs="Times New Roman"/>
          <w:color w:val="000000" w:themeColor="text1"/>
          <w:sz w:val="24"/>
          <w:szCs w:val="24"/>
        </w:rPr>
        <w:t xml:space="preserve">zakresem obowiązków i uprawnień Prezesa UKE. </w:t>
      </w:r>
      <w:r w:rsidR="28F386DE" w:rsidRPr="00C10C7D">
        <w:rPr>
          <w:rFonts w:ascii="Times New Roman" w:eastAsia="Times New Roman" w:hAnsi="Times New Roman" w:cs="Times New Roman"/>
          <w:color w:val="000000" w:themeColor="text1"/>
          <w:sz w:val="24"/>
          <w:szCs w:val="24"/>
        </w:rPr>
        <w:t>Jednocześnie nie jest zasadne ograniczanie dodawanego przepisu jedynie do kompetencji Prezesa UKE</w:t>
      </w:r>
      <w:r w:rsidR="2D5AC50C" w:rsidRPr="00C10C7D">
        <w:rPr>
          <w:rFonts w:ascii="Times New Roman" w:eastAsia="Times New Roman" w:hAnsi="Times New Roman" w:cs="Times New Roman"/>
          <w:color w:val="000000" w:themeColor="text1"/>
          <w:sz w:val="24"/>
          <w:szCs w:val="24"/>
        </w:rPr>
        <w:t>.</w:t>
      </w:r>
      <w:r w:rsidR="28F386DE" w:rsidRPr="00C10C7D">
        <w:rPr>
          <w:rFonts w:ascii="Times New Roman" w:eastAsia="Times New Roman" w:hAnsi="Times New Roman" w:cs="Times New Roman"/>
          <w:color w:val="000000" w:themeColor="text1"/>
          <w:sz w:val="24"/>
          <w:szCs w:val="24"/>
        </w:rPr>
        <w:t xml:space="preserve"> </w:t>
      </w:r>
      <w:r w:rsidR="53E5134D" w:rsidRPr="00C10C7D">
        <w:rPr>
          <w:rFonts w:ascii="Times New Roman" w:eastAsia="Times New Roman" w:hAnsi="Times New Roman" w:cs="Times New Roman"/>
          <w:color w:val="000000" w:themeColor="text1"/>
          <w:sz w:val="24"/>
          <w:szCs w:val="24"/>
        </w:rPr>
        <w:t>W opinii Ministerstwa Finansów z</w:t>
      </w:r>
      <w:r w:rsidR="4140B08A" w:rsidRPr="00C10C7D">
        <w:rPr>
          <w:rFonts w:ascii="Times New Roman" w:eastAsia="Times New Roman" w:hAnsi="Times New Roman" w:cs="Times New Roman"/>
          <w:color w:val="000000" w:themeColor="text1"/>
          <w:sz w:val="24"/>
          <w:szCs w:val="24"/>
        </w:rPr>
        <w:t>a</w:t>
      </w:r>
      <w:r w:rsidR="28F386DE" w:rsidRPr="00C10C7D">
        <w:rPr>
          <w:rFonts w:ascii="Times New Roman" w:eastAsia="Times New Roman" w:hAnsi="Times New Roman" w:cs="Times New Roman"/>
          <w:color w:val="000000" w:themeColor="text1"/>
          <w:sz w:val="24"/>
          <w:szCs w:val="24"/>
        </w:rPr>
        <w:t>uważona luka</w:t>
      </w:r>
      <w:r w:rsidR="3615D1E5" w:rsidRPr="00C10C7D">
        <w:rPr>
          <w:rFonts w:ascii="Times New Roman" w:eastAsia="Times New Roman" w:hAnsi="Times New Roman" w:cs="Times New Roman"/>
          <w:color w:val="000000" w:themeColor="text1"/>
          <w:sz w:val="24"/>
          <w:szCs w:val="24"/>
        </w:rPr>
        <w:t xml:space="preserve"> prawna</w:t>
      </w:r>
      <w:r w:rsidR="1C50DE4F" w:rsidRPr="00C10C7D">
        <w:rPr>
          <w:rFonts w:ascii="Times New Roman" w:eastAsia="Times New Roman" w:hAnsi="Times New Roman" w:cs="Times New Roman"/>
          <w:color w:val="000000" w:themeColor="text1"/>
          <w:sz w:val="24"/>
          <w:szCs w:val="24"/>
        </w:rPr>
        <w:t xml:space="preserve"> powinna </w:t>
      </w:r>
      <w:r w:rsidR="22CC56FC" w:rsidRPr="00C10C7D">
        <w:rPr>
          <w:rFonts w:ascii="Times New Roman" w:eastAsia="Times New Roman" w:hAnsi="Times New Roman" w:cs="Times New Roman"/>
          <w:color w:val="000000" w:themeColor="text1"/>
          <w:sz w:val="24"/>
          <w:szCs w:val="24"/>
        </w:rPr>
        <w:t xml:space="preserve">zostać </w:t>
      </w:r>
      <w:r w:rsidR="08E856A8" w:rsidRPr="00C10C7D">
        <w:rPr>
          <w:rFonts w:ascii="Times New Roman" w:eastAsia="Times New Roman" w:hAnsi="Times New Roman" w:cs="Times New Roman"/>
          <w:color w:val="000000" w:themeColor="text1"/>
          <w:sz w:val="24"/>
          <w:szCs w:val="24"/>
        </w:rPr>
        <w:t>uzupełniona poprzez rozwiązania o charakterze systemowym</w:t>
      </w:r>
      <w:r w:rsidR="00D3663D" w:rsidRPr="00C10C7D">
        <w:rPr>
          <w:rFonts w:ascii="Times New Roman" w:eastAsia="Times New Roman" w:hAnsi="Times New Roman" w:cs="Times New Roman"/>
          <w:color w:val="000000" w:themeColor="text1"/>
          <w:sz w:val="24"/>
          <w:szCs w:val="24"/>
        </w:rPr>
        <w:t>;</w:t>
      </w:r>
    </w:p>
    <w:p w14:paraId="06922955" w14:textId="462C90D5" w:rsidR="003A5D3B" w:rsidRPr="00C10C7D" w:rsidRDefault="003A5D3B"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t>ustawie z dnia 6 lipca 1982 r. o księgach wieczystych i hipotece</w:t>
      </w:r>
    </w:p>
    <w:p w14:paraId="30485D60" w14:textId="133DE6A2" w:rsidR="00852B5A" w:rsidRPr="00CE1978" w:rsidRDefault="003A5D3B"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Do katalogu podmiotów uprawnionych do wystąpienia do Ministra Sprawiedliwości o zgodę na wielokrotne, nieograniczone w czasie wyszukiwanie ksiąg wieczystych w centralnej bazie danych ksiąg wieczystych dodaje się Prezesa UKE</w:t>
      </w:r>
      <w:r w:rsidR="001D2FB5" w:rsidRPr="00C10C7D">
        <w:rPr>
          <w:rFonts w:ascii="Times New Roman" w:eastAsia="Times New Roman" w:hAnsi="Times New Roman" w:cs="Times New Roman"/>
          <w:color w:val="000000" w:themeColor="text1"/>
          <w:sz w:val="24"/>
          <w:szCs w:val="24"/>
        </w:rPr>
        <w:t>, któremu owe uprawnienie jest to niezbędne do realizacji zadań ustawowych</w:t>
      </w:r>
      <w:r w:rsidR="00852B5A" w:rsidRPr="00C10C7D">
        <w:rPr>
          <w:rFonts w:ascii="Times New Roman" w:eastAsia="Times New Roman" w:hAnsi="Times New Roman" w:cs="Times New Roman"/>
          <w:color w:val="000000" w:themeColor="text1"/>
          <w:sz w:val="24"/>
          <w:szCs w:val="24"/>
        </w:rPr>
        <w:t>,</w:t>
      </w:r>
      <w:r w:rsidR="001D2FB5" w:rsidRPr="00CE1978">
        <w:rPr>
          <w:rFonts w:ascii="Times New Roman" w:eastAsia="Times New Roman" w:hAnsi="Times New Roman" w:cs="Times New Roman"/>
          <w:color w:val="000000" w:themeColor="text1"/>
          <w:sz w:val="24"/>
          <w:szCs w:val="24"/>
        </w:rPr>
        <w:t xml:space="preserve"> w szczególności w związku z koniecznością </w:t>
      </w:r>
      <w:r w:rsidR="00007FD2" w:rsidRPr="00CE1978">
        <w:rPr>
          <w:rFonts w:ascii="Times New Roman" w:eastAsia="Times New Roman" w:hAnsi="Times New Roman" w:cs="Times New Roman"/>
          <w:color w:val="000000" w:themeColor="text1"/>
          <w:sz w:val="24"/>
          <w:szCs w:val="24"/>
        </w:rPr>
        <w:t xml:space="preserve">właściwego </w:t>
      </w:r>
      <w:r w:rsidR="001D2FB5" w:rsidRPr="00CE1978">
        <w:rPr>
          <w:rFonts w:ascii="Times New Roman" w:eastAsia="Times New Roman" w:hAnsi="Times New Roman" w:cs="Times New Roman"/>
          <w:color w:val="000000" w:themeColor="text1"/>
          <w:sz w:val="24"/>
          <w:szCs w:val="24"/>
        </w:rPr>
        <w:t xml:space="preserve">określenia </w:t>
      </w:r>
      <w:r w:rsidR="00007FD2" w:rsidRPr="00CE1978">
        <w:rPr>
          <w:rFonts w:ascii="Times New Roman" w:eastAsia="Times New Roman" w:hAnsi="Times New Roman" w:cs="Times New Roman"/>
          <w:color w:val="000000" w:themeColor="text1"/>
          <w:sz w:val="24"/>
          <w:szCs w:val="24"/>
        </w:rPr>
        <w:t>adresatów czynności wykonywanych przez Prezesa UKE. Szczególnie istotne jest</w:t>
      </w:r>
      <w:r w:rsidR="0039433E" w:rsidRPr="00CE1978">
        <w:rPr>
          <w:rFonts w:ascii="Times New Roman" w:eastAsia="Times New Roman" w:hAnsi="Times New Roman" w:cs="Times New Roman"/>
          <w:color w:val="000000" w:themeColor="text1"/>
          <w:sz w:val="24"/>
          <w:szCs w:val="24"/>
        </w:rPr>
        <w:t xml:space="preserve"> – niezbędne dla wykonywania zadań ustawowych –</w:t>
      </w:r>
      <w:r w:rsidR="00007FD2" w:rsidRPr="00CE1978">
        <w:rPr>
          <w:rFonts w:ascii="Times New Roman" w:eastAsia="Times New Roman" w:hAnsi="Times New Roman" w:cs="Times New Roman"/>
          <w:color w:val="000000" w:themeColor="text1"/>
          <w:sz w:val="24"/>
          <w:szCs w:val="24"/>
        </w:rPr>
        <w:t xml:space="preserve"> właściwe określenie </w:t>
      </w:r>
      <w:r w:rsidR="001D2FB5" w:rsidRPr="00CE1978">
        <w:rPr>
          <w:rFonts w:ascii="Times New Roman" w:eastAsia="Times New Roman" w:hAnsi="Times New Roman" w:cs="Times New Roman"/>
          <w:color w:val="000000" w:themeColor="text1"/>
          <w:sz w:val="24"/>
          <w:szCs w:val="24"/>
        </w:rPr>
        <w:t>dysponentów nieruchomości jako stron postępowań administracyjnych prowadzonych przez Prezesa UKE</w:t>
      </w:r>
      <w:r w:rsidR="00007FD2" w:rsidRPr="00CE1978">
        <w:rPr>
          <w:rFonts w:ascii="Times New Roman" w:eastAsia="Times New Roman" w:hAnsi="Times New Roman" w:cs="Times New Roman"/>
          <w:color w:val="000000" w:themeColor="text1"/>
          <w:sz w:val="24"/>
          <w:szCs w:val="24"/>
        </w:rPr>
        <w:t>, w sposób jak najmniej uciążliwy dla organu</w:t>
      </w:r>
      <w:r w:rsidR="001D2FB5" w:rsidRPr="00CE1978">
        <w:rPr>
          <w:rFonts w:ascii="Times New Roman" w:eastAsia="Times New Roman" w:hAnsi="Times New Roman" w:cs="Times New Roman"/>
          <w:color w:val="000000" w:themeColor="text1"/>
          <w:sz w:val="24"/>
          <w:szCs w:val="24"/>
        </w:rPr>
        <w:t>.</w:t>
      </w:r>
      <w:r w:rsidR="42882DB8" w:rsidRPr="00CE1978">
        <w:rPr>
          <w:rFonts w:ascii="Times New Roman" w:eastAsia="Times New Roman" w:hAnsi="Times New Roman" w:cs="Times New Roman"/>
          <w:color w:val="000000" w:themeColor="text1"/>
          <w:sz w:val="24"/>
          <w:szCs w:val="24"/>
        </w:rPr>
        <w:t xml:space="preserve"> Ustawowym zadaniem Prezesa UKE jest m.in. wspieranie równoprawnej i skutecznej konkurencji w zakresie świadczenia usług telekomunikacyjnych oraz zapewnienie rozwoju i wykorzystania nowoczesnej infrastruktury telekomunikacyjnej. Zadania te są realizowane poprzez prowadzenie postępowań administracyjnych przewidzianych w ustawie o wspieraniu rozwoju, w tym postępowań z art. 30 i art. 35a tej ustawy, w wyniku których przedsiębiorcy telekomunikacyjni mają możliwość rozbudowy infrastruktury i świadczenia z jej wykorzystaniem konkurencyjnych usług telekomunikacyjnych.</w:t>
      </w:r>
      <w:r w:rsidR="00852B5A" w:rsidRPr="00CE1978">
        <w:rPr>
          <w:rFonts w:ascii="Times New Roman" w:eastAsia="Times New Roman" w:hAnsi="Times New Roman" w:cs="Times New Roman"/>
          <w:color w:val="000000" w:themeColor="text1"/>
          <w:sz w:val="24"/>
          <w:szCs w:val="24"/>
        </w:rPr>
        <w:t xml:space="preserve"> </w:t>
      </w:r>
      <w:r w:rsidR="00007FD2" w:rsidRPr="00CE1978">
        <w:rPr>
          <w:rFonts w:ascii="Times New Roman" w:eastAsia="Times New Roman" w:hAnsi="Times New Roman" w:cs="Times New Roman"/>
          <w:color w:val="000000" w:themeColor="text1"/>
          <w:sz w:val="24"/>
          <w:szCs w:val="24"/>
        </w:rPr>
        <w:t>Postępowania te są związane ze</w:t>
      </w:r>
      <w:r w:rsidR="00852B5A" w:rsidRPr="00CE1978">
        <w:rPr>
          <w:rFonts w:ascii="Times New Roman" w:eastAsia="Times New Roman" w:hAnsi="Times New Roman" w:cs="Times New Roman"/>
          <w:color w:val="000000" w:themeColor="text1"/>
          <w:sz w:val="24"/>
          <w:szCs w:val="24"/>
        </w:rPr>
        <w:t xml:space="preserve"> </w:t>
      </w:r>
      <w:r w:rsidR="00007FD2" w:rsidRPr="00CE1978">
        <w:rPr>
          <w:rFonts w:ascii="Times New Roman" w:eastAsia="Times New Roman" w:hAnsi="Times New Roman" w:cs="Times New Roman"/>
          <w:color w:val="000000" w:themeColor="text1"/>
          <w:sz w:val="24"/>
          <w:szCs w:val="24"/>
        </w:rPr>
        <w:t>sporami</w:t>
      </w:r>
      <w:r w:rsidR="00852B5A" w:rsidRPr="00CE1978">
        <w:rPr>
          <w:rFonts w:ascii="Times New Roman" w:eastAsia="Times New Roman" w:hAnsi="Times New Roman" w:cs="Times New Roman"/>
          <w:color w:val="000000" w:themeColor="text1"/>
          <w:sz w:val="24"/>
          <w:szCs w:val="24"/>
        </w:rPr>
        <w:t xml:space="preserve"> o dostęp telekomunikacyjny w zakresie dostępu do nieruchomości, w tym do budynków, które będą rozstrzygane na podstawie art. 183 ust. 1 Pke w zw. z art. 30 pkt 1 ustawy o wspieraniu rozwoju. </w:t>
      </w:r>
      <w:r w:rsidR="00007FD2" w:rsidRPr="00CE1978">
        <w:rPr>
          <w:rFonts w:ascii="Times New Roman" w:eastAsia="Times New Roman" w:hAnsi="Times New Roman" w:cs="Times New Roman"/>
          <w:color w:val="000000" w:themeColor="text1"/>
          <w:sz w:val="24"/>
          <w:szCs w:val="24"/>
        </w:rPr>
        <w:t>Zgodnie ze Sprawozdaniem Prezesa UKE za 2019 r. (z lipca 2020 r.): „</w:t>
      </w:r>
      <w:r w:rsidR="00007FD2" w:rsidRPr="00CE1978">
        <w:rPr>
          <w:rFonts w:ascii="Times New Roman" w:hAnsi="Times New Roman" w:cs="Times New Roman"/>
          <w:i/>
          <w:iCs/>
          <w:color w:val="000000" w:themeColor="text1"/>
          <w:sz w:val="24"/>
          <w:szCs w:val="24"/>
        </w:rPr>
        <w:t>W 2019 r. do UKE wpłynęło 147 wniosków przedsiębiorców telekomunikacyjnych w zakresie dostępu do budynków na podstawie art. 30 megaustawy (…) W 2019 r. UKE kontynuował również 298 postępowań administracyjnych wszczętych wnioskami złożonymi przed 2019 r. W 2019 r. UKE wydał 232 decyzje dotyczące ustalenia warunków dostępu do nieruchomości oraz budynków (art. 30 megaustawy).</w:t>
      </w:r>
      <w:r w:rsidR="00007FD2" w:rsidRPr="00CE1978">
        <w:rPr>
          <w:rFonts w:ascii="Times New Roman" w:hAnsi="Times New Roman" w:cs="Times New Roman"/>
          <w:color w:val="000000" w:themeColor="text1"/>
          <w:sz w:val="24"/>
          <w:szCs w:val="24"/>
        </w:rPr>
        <w:t>”.</w:t>
      </w:r>
      <w:r w:rsidR="00007FD2" w:rsidRPr="00CE1978">
        <w:rPr>
          <w:rFonts w:ascii="Times New Roman" w:eastAsia="Times New Roman" w:hAnsi="Times New Roman" w:cs="Times New Roman"/>
          <w:color w:val="000000" w:themeColor="text1"/>
          <w:sz w:val="24"/>
          <w:szCs w:val="24"/>
        </w:rPr>
        <w:t xml:space="preserve"> Natomiast na podstawie art. 35a ust. 1 pkt 3 ustawy o wspieraniu rozwoju Prezes UKE może wezwać właściciela, użytkownika wieczystego lub zarządcę co najmniej 10</w:t>
      </w:r>
      <w:r w:rsidR="007E2649">
        <w:rPr>
          <w:rFonts w:ascii="Times New Roman" w:eastAsia="Times New Roman" w:hAnsi="Times New Roman" w:cs="Times New Roman"/>
          <w:color w:val="000000" w:themeColor="text1"/>
          <w:sz w:val="24"/>
          <w:szCs w:val="24"/>
        </w:rPr>
        <w:t> </w:t>
      </w:r>
      <w:r w:rsidR="00007FD2" w:rsidRPr="00CE1978">
        <w:rPr>
          <w:rFonts w:ascii="Times New Roman" w:eastAsia="Times New Roman" w:hAnsi="Times New Roman" w:cs="Times New Roman"/>
          <w:color w:val="000000" w:themeColor="text1"/>
          <w:sz w:val="24"/>
          <w:szCs w:val="24"/>
        </w:rPr>
        <w:t xml:space="preserve">budynków mieszkalnych wielorodzinnych, zamieszkania zbiorowego lub użyteczności publicznej, do przedstawienia informacji w sprawie warunków zapewnienia dostępu, o którym </w:t>
      </w:r>
      <w:r w:rsidR="00007FD2" w:rsidRPr="00CE1978">
        <w:rPr>
          <w:rFonts w:ascii="Times New Roman" w:eastAsia="Times New Roman" w:hAnsi="Times New Roman" w:cs="Times New Roman"/>
          <w:color w:val="000000" w:themeColor="text1"/>
          <w:sz w:val="24"/>
          <w:szCs w:val="24"/>
        </w:rPr>
        <w:lastRenderedPageBreak/>
        <w:t xml:space="preserve">mowa w </w:t>
      </w:r>
      <w:hyperlink r:id="rId8">
        <w:r w:rsidR="00007FD2" w:rsidRPr="00CE1978">
          <w:rPr>
            <w:rFonts w:ascii="Times New Roman" w:eastAsia="Times New Roman" w:hAnsi="Times New Roman" w:cs="Times New Roman"/>
            <w:color w:val="000000" w:themeColor="text1"/>
            <w:sz w:val="24"/>
            <w:szCs w:val="24"/>
          </w:rPr>
          <w:t>art. 30 ust. 1 i 3</w:t>
        </w:r>
      </w:hyperlink>
      <w:r w:rsidR="00007FD2" w:rsidRPr="00532F3A">
        <w:rPr>
          <w:rFonts w:ascii="Times New Roman" w:eastAsia="Times New Roman" w:hAnsi="Times New Roman" w:cs="Times New Roman"/>
          <w:color w:val="000000" w:themeColor="text1"/>
          <w:sz w:val="24"/>
          <w:szCs w:val="24"/>
        </w:rPr>
        <w:t xml:space="preserve">, lub umieszczania na nieruchomości obiektów i urządzeń, o którym mowa w </w:t>
      </w:r>
      <w:hyperlink r:id="rId9">
        <w:r w:rsidR="00007FD2" w:rsidRPr="00CE1978">
          <w:rPr>
            <w:rFonts w:ascii="Times New Roman" w:eastAsia="Times New Roman" w:hAnsi="Times New Roman" w:cs="Times New Roman"/>
            <w:color w:val="000000" w:themeColor="text1"/>
            <w:sz w:val="24"/>
            <w:szCs w:val="24"/>
          </w:rPr>
          <w:t>art. 33 ust. 1</w:t>
        </w:r>
      </w:hyperlink>
      <w:r w:rsidR="00007FD2" w:rsidRPr="00532F3A">
        <w:rPr>
          <w:rFonts w:ascii="Times New Roman" w:eastAsia="Times New Roman" w:hAnsi="Times New Roman" w:cs="Times New Roman"/>
          <w:color w:val="000000" w:themeColor="text1"/>
          <w:sz w:val="24"/>
          <w:szCs w:val="24"/>
        </w:rPr>
        <w:t xml:space="preserve"> tejże ustawy. </w:t>
      </w:r>
      <w:r w:rsidR="50728960" w:rsidRPr="00532F3A">
        <w:rPr>
          <w:rFonts w:ascii="Times New Roman" w:eastAsia="Times New Roman" w:hAnsi="Times New Roman" w:cs="Times New Roman"/>
          <w:color w:val="000000" w:themeColor="text1"/>
          <w:sz w:val="24"/>
          <w:szCs w:val="24"/>
        </w:rPr>
        <w:t xml:space="preserve">Pozyskanie </w:t>
      </w:r>
      <w:r w:rsidR="58F28D4C" w:rsidRPr="00532F3A">
        <w:rPr>
          <w:rFonts w:ascii="Times New Roman" w:eastAsia="Times New Roman" w:hAnsi="Times New Roman" w:cs="Times New Roman"/>
          <w:color w:val="000000" w:themeColor="text1"/>
          <w:sz w:val="24"/>
          <w:szCs w:val="24"/>
        </w:rPr>
        <w:t xml:space="preserve">dostępu do informacji z </w:t>
      </w:r>
      <w:r w:rsidR="50728960" w:rsidRPr="00532F3A">
        <w:rPr>
          <w:rFonts w:ascii="Times New Roman" w:eastAsia="Times New Roman" w:hAnsi="Times New Roman" w:cs="Times New Roman"/>
          <w:color w:val="000000" w:themeColor="text1"/>
          <w:sz w:val="24"/>
          <w:szCs w:val="24"/>
        </w:rPr>
        <w:t>ksiąg wieczystych w związku z prowadzonymi postępowaniami administracyjnymi jest niezbędne w celu prawidłowego określenia stron prowadzonego postępowania administracyjnego.</w:t>
      </w:r>
      <w:r w:rsidR="2893255F" w:rsidRPr="00CE1978">
        <w:rPr>
          <w:rFonts w:ascii="Times New Roman" w:eastAsia="Times New Roman" w:hAnsi="Times New Roman" w:cs="Times New Roman"/>
          <w:color w:val="000000" w:themeColor="text1"/>
          <w:sz w:val="24"/>
          <w:szCs w:val="24"/>
        </w:rPr>
        <w:t xml:space="preserve"> </w:t>
      </w:r>
      <w:r w:rsidR="606B225C" w:rsidRPr="00CE1978">
        <w:rPr>
          <w:rFonts w:ascii="Times New Roman" w:eastAsia="Times New Roman" w:hAnsi="Times New Roman" w:cs="Times New Roman"/>
          <w:color w:val="000000" w:themeColor="text1"/>
          <w:sz w:val="24"/>
          <w:szCs w:val="24"/>
        </w:rPr>
        <w:t xml:space="preserve">Stronami tego postępowania są bowiem między innymi właściciele nieruchomości wskazani w księdze wieczystej. </w:t>
      </w:r>
      <w:r w:rsidR="1A584433" w:rsidRPr="00C10C7D">
        <w:rPr>
          <w:rFonts w:ascii="Times New Roman" w:eastAsia="Times New Roman" w:hAnsi="Times New Roman" w:cs="Times New Roman"/>
          <w:color w:val="000000" w:themeColor="text1"/>
          <w:sz w:val="24"/>
          <w:szCs w:val="24"/>
        </w:rPr>
        <w:t xml:space="preserve">Mając na uwadze cel postępowań toczących się przed Prezesem </w:t>
      </w:r>
      <w:r w:rsidR="5AEB4E09" w:rsidRPr="00C10C7D">
        <w:rPr>
          <w:rFonts w:ascii="Times New Roman" w:eastAsia="Times New Roman" w:hAnsi="Times New Roman" w:cs="Times New Roman"/>
          <w:color w:val="000000" w:themeColor="text1"/>
          <w:sz w:val="24"/>
          <w:szCs w:val="24"/>
        </w:rPr>
        <w:t>UKE konieczny</w:t>
      </w:r>
      <w:r w:rsidR="1A584433" w:rsidRPr="00C10C7D">
        <w:rPr>
          <w:rFonts w:ascii="Times New Roman" w:eastAsia="Times New Roman" w:hAnsi="Times New Roman" w:cs="Times New Roman"/>
          <w:color w:val="000000" w:themeColor="text1"/>
          <w:sz w:val="24"/>
          <w:szCs w:val="24"/>
        </w:rPr>
        <w:t xml:space="preserve"> jest dostęp do informacji na temat ustalonych już służebności </w:t>
      </w:r>
      <w:r w:rsidR="00532F3A">
        <w:rPr>
          <w:rFonts w:ascii="Times New Roman" w:eastAsia="Times New Roman" w:hAnsi="Times New Roman" w:cs="Times New Roman"/>
          <w:color w:val="000000" w:themeColor="text1"/>
          <w:sz w:val="24"/>
          <w:szCs w:val="24"/>
        </w:rPr>
        <w:t>–</w:t>
      </w:r>
      <w:r w:rsidR="1A584433" w:rsidRPr="00532F3A">
        <w:rPr>
          <w:rFonts w:ascii="Times New Roman" w:eastAsia="Times New Roman" w:hAnsi="Times New Roman" w:cs="Times New Roman"/>
          <w:color w:val="000000" w:themeColor="text1"/>
          <w:sz w:val="24"/>
          <w:szCs w:val="24"/>
        </w:rPr>
        <w:t xml:space="preserve"> np. służebności przesyłu</w:t>
      </w:r>
      <w:r w:rsidR="7F7F96C4" w:rsidRPr="00532F3A">
        <w:rPr>
          <w:rFonts w:ascii="Times New Roman" w:eastAsia="Times New Roman" w:hAnsi="Times New Roman" w:cs="Times New Roman"/>
          <w:color w:val="000000" w:themeColor="text1"/>
          <w:sz w:val="24"/>
          <w:szCs w:val="24"/>
        </w:rPr>
        <w:t>.</w:t>
      </w:r>
      <w:r w:rsidR="346067F0" w:rsidRPr="00532F3A">
        <w:rPr>
          <w:rFonts w:ascii="Times New Roman" w:eastAsia="Times New Roman" w:hAnsi="Times New Roman" w:cs="Times New Roman"/>
          <w:color w:val="000000" w:themeColor="text1"/>
          <w:sz w:val="24"/>
          <w:szCs w:val="24"/>
        </w:rPr>
        <w:t xml:space="preserve"> </w:t>
      </w:r>
      <w:r w:rsidR="159DFB6D" w:rsidRPr="00CE1978">
        <w:rPr>
          <w:rFonts w:ascii="Times New Roman" w:eastAsia="Times New Roman" w:hAnsi="Times New Roman" w:cs="Times New Roman"/>
          <w:color w:val="000000" w:themeColor="text1"/>
          <w:sz w:val="24"/>
          <w:szCs w:val="24"/>
        </w:rPr>
        <w:t xml:space="preserve">Wydane w postępowaniach rozstrzygnięcia dotyczą bowiem </w:t>
      </w:r>
      <w:r w:rsidR="6AE84976" w:rsidRPr="00CE1978">
        <w:rPr>
          <w:rFonts w:ascii="Times New Roman" w:eastAsia="Times New Roman" w:hAnsi="Times New Roman" w:cs="Times New Roman"/>
          <w:color w:val="000000" w:themeColor="text1"/>
          <w:sz w:val="24"/>
          <w:szCs w:val="24"/>
        </w:rPr>
        <w:t>zastąpienia decyzją administracyjną stosownej um</w:t>
      </w:r>
      <w:r w:rsidR="6AE84976" w:rsidRPr="00C10C7D">
        <w:rPr>
          <w:rFonts w:ascii="Times New Roman" w:eastAsia="Times New Roman" w:hAnsi="Times New Roman" w:cs="Times New Roman"/>
          <w:color w:val="000000" w:themeColor="text1"/>
          <w:sz w:val="24"/>
          <w:szCs w:val="24"/>
        </w:rPr>
        <w:t xml:space="preserve">owy mającej wpływ na korzystanie z nieruchomości. Stroną katalogu stron </w:t>
      </w:r>
      <w:r w:rsidR="325FB372" w:rsidRPr="00C10C7D">
        <w:rPr>
          <w:rFonts w:ascii="Times New Roman" w:eastAsia="Times New Roman" w:hAnsi="Times New Roman" w:cs="Times New Roman"/>
          <w:color w:val="000000" w:themeColor="text1"/>
          <w:sz w:val="24"/>
          <w:szCs w:val="24"/>
        </w:rPr>
        <w:t>postępowania należy m.in. w</w:t>
      </w:r>
      <w:r w:rsidR="325FB372" w:rsidRPr="00C10C7D">
        <w:rPr>
          <w:rFonts w:ascii="Times New Roman" w:eastAsia="Times New Roman" w:hAnsi="Times New Roman" w:cs="Times New Roman"/>
          <w:sz w:val="24"/>
          <w:szCs w:val="24"/>
        </w:rPr>
        <w:t>łaściciel, użytkownik wieczysty</w:t>
      </w:r>
      <w:r w:rsidR="7D4D9349" w:rsidRPr="00C10C7D">
        <w:rPr>
          <w:rFonts w:ascii="Times New Roman" w:eastAsia="Times New Roman" w:hAnsi="Times New Roman" w:cs="Times New Roman"/>
          <w:sz w:val="24"/>
          <w:szCs w:val="24"/>
        </w:rPr>
        <w:t xml:space="preserve">. W wyniku wydania </w:t>
      </w:r>
      <w:r w:rsidR="00355DCD" w:rsidRPr="00C10C7D">
        <w:rPr>
          <w:rFonts w:ascii="Times New Roman" w:eastAsia="Times New Roman" w:hAnsi="Times New Roman" w:cs="Times New Roman"/>
          <w:sz w:val="24"/>
          <w:szCs w:val="24"/>
        </w:rPr>
        <w:t>decyzji</w:t>
      </w:r>
      <w:r w:rsidR="7D4D9349" w:rsidRPr="00C10C7D">
        <w:rPr>
          <w:rFonts w:ascii="Times New Roman" w:eastAsia="Times New Roman" w:hAnsi="Times New Roman" w:cs="Times New Roman"/>
          <w:sz w:val="24"/>
          <w:szCs w:val="24"/>
        </w:rPr>
        <w:t xml:space="preserve"> na stronę postępowania nakładany jest</w:t>
      </w:r>
      <w:r w:rsidR="325FB372" w:rsidRPr="00C10C7D">
        <w:rPr>
          <w:rFonts w:ascii="Times New Roman" w:eastAsia="Times New Roman" w:hAnsi="Times New Roman" w:cs="Times New Roman"/>
          <w:sz w:val="24"/>
          <w:szCs w:val="24"/>
        </w:rPr>
        <w:t xml:space="preserve"> obowiąz</w:t>
      </w:r>
      <w:r w:rsidR="50570B3C" w:rsidRPr="00C10C7D">
        <w:rPr>
          <w:rFonts w:ascii="Times New Roman" w:eastAsia="Times New Roman" w:hAnsi="Times New Roman" w:cs="Times New Roman"/>
          <w:sz w:val="24"/>
          <w:szCs w:val="24"/>
        </w:rPr>
        <w:t>ek</w:t>
      </w:r>
      <w:r w:rsidR="325FB372" w:rsidRPr="00C10C7D">
        <w:rPr>
          <w:rFonts w:ascii="Times New Roman" w:eastAsia="Times New Roman" w:hAnsi="Times New Roman" w:cs="Times New Roman"/>
          <w:sz w:val="24"/>
          <w:szCs w:val="24"/>
        </w:rPr>
        <w:t xml:space="preserve"> zapewni</w:t>
      </w:r>
      <w:r w:rsidR="2BBB5751" w:rsidRPr="00C10C7D">
        <w:rPr>
          <w:rFonts w:ascii="Times New Roman" w:eastAsia="Times New Roman" w:hAnsi="Times New Roman" w:cs="Times New Roman"/>
          <w:sz w:val="24"/>
          <w:szCs w:val="24"/>
        </w:rPr>
        <w:t>enia</w:t>
      </w:r>
      <w:r w:rsidR="325FB372" w:rsidRPr="00C10C7D">
        <w:rPr>
          <w:rFonts w:ascii="Times New Roman" w:eastAsia="Times New Roman" w:hAnsi="Times New Roman" w:cs="Times New Roman"/>
          <w:sz w:val="24"/>
          <w:szCs w:val="24"/>
        </w:rPr>
        <w:t xml:space="preserve"> przedsiębiorcy telekomunikacyjnemu dostęp</w:t>
      </w:r>
      <w:r w:rsidR="046ACA62" w:rsidRPr="00C10C7D">
        <w:rPr>
          <w:rFonts w:ascii="Times New Roman" w:eastAsia="Times New Roman" w:hAnsi="Times New Roman" w:cs="Times New Roman"/>
          <w:sz w:val="24"/>
          <w:szCs w:val="24"/>
        </w:rPr>
        <w:t>u</w:t>
      </w:r>
      <w:r w:rsidR="325FB372" w:rsidRPr="00C10C7D">
        <w:rPr>
          <w:rFonts w:ascii="Times New Roman" w:eastAsia="Times New Roman" w:hAnsi="Times New Roman" w:cs="Times New Roman"/>
          <w:sz w:val="24"/>
          <w:szCs w:val="24"/>
        </w:rPr>
        <w:t xml:space="preserve"> do nieruchomości, w tym do budynku</w:t>
      </w:r>
      <w:r w:rsidR="3C1E7815" w:rsidRPr="00C10C7D">
        <w:rPr>
          <w:rFonts w:ascii="Times New Roman" w:eastAsia="Times New Roman" w:hAnsi="Times New Roman" w:cs="Times New Roman"/>
          <w:sz w:val="24"/>
          <w:szCs w:val="24"/>
        </w:rPr>
        <w:t xml:space="preserve"> </w:t>
      </w:r>
      <w:r w:rsidR="325FB372" w:rsidRPr="00C10C7D">
        <w:rPr>
          <w:rFonts w:ascii="Times New Roman" w:eastAsia="Times New Roman" w:hAnsi="Times New Roman" w:cs="Times New Roman"/>
          <w:sz w:val="24"/>
          <w:szCs w:val="24"/>
        </w:rPr>
        <w:t>oraz punktu styku</w:t>
      </w:r>
      <w:r w:rsidR="1D98F000" w:rsidRPr="00C10C7D">
        <w:rPr>
          <w:rFonts w:ascii="Times New Roman" w:eastAsia="Times New Roman" w:hAnsi="Times New Roman" w:cs="Times New Roman"/>
          <w:sz w:val="24"/>
          <w:szCs w:val="24"/>
        </w:rPr>
        <w:t>.</w:t>
      </w:r>
      <w:r w:rsidR="05C53C44" w:rsidRPr="00C10C7D">
        <w:rPr>
          <w:rFonts w:ascii="Times New Roman" w:eastAsia="Times New Roman" w:hAnsi="Times New Roman" w:cs="Times New Roman"/>
          <w:sz w:val="24"/>
          <w:szCs w:val="24"/>
        </w:rPr>
        <w:t xml:space="preserve"> </w:t>
      </w:r>
      <w:r w:rsidR="00007FD2" w:rsidRPr="00C10C7D">
        <w:rPr>
          <w:rFonts w:ascii="Times New Roman" w:eastAsia="Times New Roman" w:hAnsi="Times New Roman" w:cs="Times New Roman"/>
          <w:color w:val="000000" w:themeColor="text1"/>
          <w:sz w:val="24"/>
          <w:szCs w:val="24"/>
        </w:rPr>
        <w:t xml:space="preserve">Inna istotna w tym kontekście kompetencja Prezesa UKE jest określona w </w:t>
      </w:r>
      <w:r w:rsidR="00852B5A" w:rsidRPr="00CE1978">
        <w:rPr>
          <w:rFonts w:ascii="Times New Roman" w:eastAsia="Times New Roman" w:hAnsi="Times New Roman" w:cs="Times New Roman"/>
          <w:color w:val="000000" w:themeColor="text1"/>
          <w:sz w:val="24"/>
          <w:szCs w:val="24"/>
        </w:rPr>
        <w:t>art. 30 ust. 5a</w:t>
      </w:r>
      <w:r w:rsidR="00007FD2" w:rsidRPr="00CE1978">
        <w:rPr>
          <w:rFonts w:ascii="Times New Roman" w:eastAsia="Times New Roman" w:hAnsi="Times New Roman" w:cs="Times New Roman"/>
          <w:color w:val="000000" w:themeColor="text1"/>
          <w:sz w:val="24"/>
          <w:szCs w:val="24"/>
        </w:rPr>
        <w:t xml:space="preserve"> ustawy o wspieraniu rozwoju. Zgodnie z ww. przepisem</w:t>
      </w:r>
      <w:r w:rsidR="00852B5A" w:rsidRPr="00CE1978">
        <w:rPr>
          <w:rFonts w:ascii="Times New Roman" w:eastAsia="Times New Roman" w:hAnsi="Times New Roman" w:cs="Times New Roman"/>
          <w:color w:val="000000" w:themeColor="text1"/>
          <w:sz w:val="24"/>
          <w:szCs w:val="24"/>
        </w:rPr>
        <w:t xml:space="preserve"> umowa zawarta w formie pisemnej albo ostateczna decyzja o dostępie, o którym mowa w art. 30 ust. 1, stanowią podstawę do dokonania wpisu w księdze wieczystej. W przypadku gdy podstawą do dokonania wpisu jest ostateczna decyzja o dostępie, wpisu można dokon</w:t>
      </w:r>
      <w:r w:rsidR="00D3663D" w:rsidRPr="00CE1978">
        <w:rPr>
          <w:rFonts w:ascii="Times New Roman" w:eastAsia="Times New Roman" w:hAnsi="Times New Roman" w:cs="Times New Roman"/>
          <w:color w:val="000000" w:themeColor="text1"/>
          <w:sz w:val="24"/>
          <w:szCs w:val="24"/>
        </w:rPr>
        <w:t>ać także na wniosek Prezesa UKE;</w:t>
      </w:r>
    </w:p>
    <w:p w14:paraId="6332E7E4" w14:textId="6B61AAFD" w:rsidR="00FF3C40" w:rsidRPr="00CE1978" w:rsidRDefault="420172DF"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ustawie z dnia 21 marca 1985 r. o drogach publicznych </w:t>
      </w:r>
    </w:p>
    <w:p w14:paraId="32F702A0" w14:textId="22330AAC" w:rsidR="30C6C371"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30C6C371"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 xml:space="preserve">5 </w:t>
      </w:r>
      <w:r w:rsidR="30C6C371" w:rsidRPr="00CE1978">
        <w:rPr>
          <w:rFonts w:ascii="Times New Roman" w:eastAsia="Times New Roman" w:hAnsi="Times New Roman" w:cs="Times New Roman"/>
          <w:b/>
          <w:bCs/>
          <w:color w:val="000000" w:themeColor="text1"/>
          <w:sz w:val="24"/>
          <w:szCs w:val="24"/>
        </w:rPr>
        <w:t>pkt 1</w:t>
      </w:r>
    </w:p>
    <w:p w14:paraId="492C8413" w14:textId="77777777" w:rsidR="30C6C371" w:rsidRPr="00CE1978" w:rsidRDefault="30C6C37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Zmiany w art. </w:t>
      </w:r>
      <w:r w:rsidR="5E730B2B" w:rsidRPr="00CE1978">
        <w:rPr>
          <w:rFonts w:ascii="Times New Roman" w:eastAsia="Times New Roman" w:hAnsi="Times New Roman" w:cs="Times New Roman"/>
          <w:color w:val="000000" w:themeColor="text1"/>
          <w:sz w:val="24"/>
          <w:szCs w:val="24"/>
        </w:rPr>
        <w:t>20</w:t>
      </w:r>
      <w:r w:rsidRPr="00CE1978">
        <w:rPr>
          <w:rFonts w:ascii="Times New Roman" w:eastAsia="Times New Roman" w:hAnsi="Times New Roman" w:cs="Times New Roman"/>
          <w:color w:val="000000" w:themeColor="text1"/>
          <w:sz w:val="24"/>
          <w:szCs w:val="24"/>
        </w:rPr>
        <w:t xml:space="preserve"> </w:t>
      </w:r>
      <w:r w:rsidR="4C0E56F5" w:rsidRPr="00CE1978">
        <w:rPr>
          <w:rFonts w:ascii="Times New Roman" w:eastAsia="Times New Roman" w:hAnsi="Times New Roman" w:cs="Times New Roman"/>
          <w:color w:val="000000" w:themeColor="text1"/>
          <w:sz w:val="24"/>
          <w:szCs w:val="24"/>
        </w:rPr>
        <w:t>pkt 19</w:t>
      </w:r>
      <w:r w:rsidRPr="00CE1978">
        <w:rPr>
          <w:rFonts w:ascii="Times New Roman" w:eastAsia="Times New Roman" w:hAnsi="Times New Roman" w:cs="Times New Roman"/>
          <w:color w:val="000000" w:themeColor="text1"/>
          <w:sz w:val="24"/>
          <w:szCs w:val="24"/>
        </w:rPr>
        <w:t xml:space="preserve"> ustawy z dnia 21 marca 1985 r. polegają na zmianie </w:t>
      </w:r>
      <w:r w:rsidR="2B56F6E2" w:rsidRPr="00CE1978">
        <w:rPr>
          <w:rFonts w:ascii="Times New Roman" w:eastAsia="Times New Roman" w:hAnsi="Times New Roman" w:cs="Times New Roman"/>
          <w:color w:val="000000" w:themeColor="text1"/>
          <w:sz w:val="24"/>
          <w:szCs w:val="24"/>
        </w:rPr>
        <w:t xml:space="preserve">błędnego </w:t>
      </w:r>
      <w:r w:rsidRPr="00CE1978">
        <w:rPr>
          <w:rFonts w:ascii="Times New Roman" w:eastAsia="Times New Roman" w:hAnsi="Times New Roman" w:cs="Times New Roman"/>
          <w:color w:val="000000" w:themeColor="text1"/>
          <w:sz w:val="24"/>
          <w:szCs w:val="24"/>
        </w:rPr>
        <w:t xml:space="preserve">odwołania </w:t>
      </w:r>
      <w:r w:rsidR="070B192B" w:rsidRPr="00CE1978">
        <w:rPr>
          <w:rFonts w:ascii="Times New Roman" w:eastAsia="Times New Roman" w:hAnsi="Times New Roman" w:cs="Times New Roman"/>
          <w:color w:val="000000" w:themeColor="text1"/>
          <w:sz w:val="24"/>
          <w:szCs w:val="24"/>
        </w:rPr>
        <w:t>do art. 39 ust. 7</w:t>
      </w:r>
      <w:r w:rsidRPr="00CE1978">
        <w:rPr>
          <w:rFonts w:ascii="Times New Roman" w:eastAsia="Times New Roman" w:hAnsi="Times New Roman" w:cs="Times New Roman"/>
          <w:color w:val="000000" w:themeColor="text1"/>
          <w:sz w:val="24"/>
          <w:szCs w:val="24"/>
        </w:rPr>
        <w:t>. Zmiana nie ma charakteru zmiany merytorycznej.</w:t>
      </w:r>
    </w:p>
    <w:p w14:paraId="4BD39F79" w14:textId="7B331DE7" w:rsidR="75B895FB" w:rsidRPr="00532F3A"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75B895F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 xml:space="preserve">5 </w:t>
      </w:r>
      <w:r w:rsidR="75B895FB" w:rsidRPr="00CE1978">
        <w:rPr>
          <w:rFonts w:ascii="Times New Roman" w:eastAsia="Times New Roman" w:hAnsi="Times New Roman" w:cs="Times New Roman"/>
          <w:b/>
          <w:bCs/>
          <w:color w:val="000000" w:themeColor="text1"/>
          <w:sz w:val="24"/>
          <w:szCs w:val="24"/>
        </w:rPr>
        <w:t xml:space="preserve">pkt </w:t>
      </w:r>
      <w:r w:rsidR="76C2634F" w:rsidRPr="00CE1978">
        <w:rPr>
          <w:rFonts w:ascii="Times New Roman" w:eastAsia="Times New Roman" w:hAnsi="Times New Roman" w:cs="Times New Roman"/>
          <w:b/>
          <w:bCs/>
          <w:color w:val="000000" w:themeColor="text1"/>
          <w:sz w:val="24"/>
          <w:szCs w:val="24"/>
        </w:rPr>
        <w:t>2</w:t>
      </w:r>
      <w:r w:rsidR="005C1548" w:rsidRPr="00CE1978">
        <w:rPr>
          <w:rFonts w:ascii="Times New Roman" w:eastAsia="Times New Roman" w:hAnsi="Times New Roman" w:cs="Times New Roman"/>
          <w:b/>
          <w:bCs/>
          <w:color w:val="000000" w:themeColor="text1"/>
          <w:sz w:val="24"/>
          <w:szCs w:val="24"/>
        </w:rPr>
        <w:t xml:space="preserve"> lit. a</w:t>
      </w:r>
      <w:r w:rsidR="00532F3A">
        <w:rPr>
          <w:rFonts w:ascii="Times New Roman" w:eastAsia="Times New Roman" w:hAnsi="Times New Roman" w:cs="Times New Roman"/>
          <w:b/>
          <w:bCs/>
          <w:color w:val="000000" w:themeColor="text1"/>
          <w:sz w:val="24"/>
          <w:szCs w:val="24"/>
        </w:rPr>
        <w:t>–</w:t>
      </w:r>
      <w:r w:rsidR="005C1548" w:rsidRPr="00532F3A">
        <w:rPr>
          <w:rFonts w:ascii="Times New Roman" w:eastAsia="Times New Roman" w:hAnsi="Times New Roman" w:cs="Times New Roman"/>
          <w:b/>
          <w:bCs/>
          <w:color w:val="000000" w:themeColor="text1"/>
          <w:sz w:val="24"/>
          <w:szCs w:val="24"/>
        </w:rPr>
        <w:t>b</w:t>
      </w:r>
    </w:p>
    <w:p w14:paraId="1099C53E" w14:textId="391149DE" w:rsidR="75B895FB" w:rsidRPr="00CE1978" w:rsidRDefault="75B895FB" w:rsidP="00F91F34">
      <w:pPr>
        <w:spacing w:before="120" w:after="0" w:line="360" w:lineRule="auto"/>
        <w:jc w:val="both"/>
        <w:rPr>
          <w:rFonts w:ascii="Times New Roman" w:eastAsia="Calibri"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 xml:space="preserve">Zmiany w </w:t>
      </w:r>
      <w:r w:rsidR="2795B66E" w:rsidRPr="00532F3A">
        <w:rPr>
          <w:rFonts w:ascii="Times New Roman" w:eastAsia="Times New Roman" w:hAnsi="Times New Roman" w:cs="Times New Roman"/>
          <w:color w:val="000000" w:themeColor="text1"/>
          <w:sz w:val="24"/>
          <w:szCs w:val="24"/>
        </w:rPr>
        <w:t>art.</w:t>
      </w:r>
      <w:r w:rsidRPr="00532F3A">
        <w:rPr>
          <w:rFonts w:ascii="Times New Roman" w:eastAsia="Times New Roman" w:hAnsi="Times New Roman" w:cs="Times New Roman"/>
          <w:color w:val="000000" w:themeColor="text1"/>
          <w:sz w:val="24"/>
          <w:szCs w:val="24"/>
        </w:rPr>
        <w:t xml:space="preserve"> 39 ust</w:t>
      </w:r>
      <w:r w:rsidR="0910848B" w:rsidRPr="00532F3A">
        <w:rPr>
          <w:rFonts w:ascii="Times New Roman" w:eastAsia="Times New Roman" w:hAnsi="Times New Roman" w:cs="Times New Roman"/>
          <w:color w:val="000000" w:themeColor="text1"/>
          <w:sz w:val="24"/>
          <w:szCs w:val="24"/>
        </w:rPr>
        <w:t>.</w:t>
      </w:r>
      <w:r w:rsidRPr="00532F3A">
        <w:rPr>
          <w:rFonts w:ascii="Times New Roman" w:eastAsia="Times New Roman" w:hAnsi="Times New Roman" w:cs="Times New Roman"/>
          <w:color w:val="000000" w:themeColor="text1"/>
          <w:sz w:val="24"/>
          <w:szCs w:val="24"/>
        </w:rPr>
        <w:t xml:space="preserve"> 1a</w:t>
      </w:r>
      <w:r w:rsidR="6E5BDC02" w:rsidRPr="00532F3A">
        <w:rPr>
          <w:rFonts w:ascii="Times New Roman" w:eastAsia="Times New Roman" w:hAnsi="Times New Roman" w:cs="Times New Roman"/>
          <w:color w:val="000000" w:themeColor="text1"/>
          <w:sz w:val="24"/>
          <w:szCs w:val="24"/>
        </w:rPr>
        <w:t xml:space="preserve"> i 3b </w:t>
      </w:r>
      <w:r w:rsidRPr="00532F3A">
        <w:rPr>
          <w:rFonts w:ascii="Times New Roman" w:eastAsia="Times New Roman" w:hAnsi="Times New Roman" w:cs="Times New Roman"/>
          <w:color w:val="000000" w:themeColor="text1"/>
          <w:sz w:val="24"/>
          <w:szCs w:val="24"/>
        </w:rPr>
        <w:t xml:space="preserve">ustawy z dnia 21 marca 1985 r. polegają na </w:t>
      </w:r>
      <w:r w:rsidR="0CF62498" w:rsidRPr="00532F3A">
        <w:rPr>
          <w:rFonts w:ascii="Times New Roman" w:eastAsia="Times New Roman" w:hAnsi="Times New Roman" w:cs="Times New Roman"/>
          <w:color w:val="000000" w:themeColor="text1"/>
          <w:sz w:val="24"/>
          <w:szCs w:val="24"/>
        </w:rPr>
        <w:t xml:space="preserve">zmianie odwołania </w:t>
      </w:r>
      <w:r w:rsidR="00F13282" w:rsidRPr="00532F3A">
        <w:rPr>
          <w:rFonts w:ascii="Times New Roman" w:eastAsia="Times New Roman" w:hAnsi="Times New Roman" w:cs="Times New Roman"/>
          <w:color w:val="000000" w:themeColor="text1"/>
          <w:sz w:val="24"/>
          <w:szCs w:val="24"/>
        </w:rPr>
        <w:t>z</w:t>
      </w:r>
      <w:r w:rsidR="007E2649">
        <w:rPr>
          <w:rFonts w:ascii="Times New Roman" w:eastAsia="Times New Roman" w:hAnsi="Times New Roman" w:cs="Times New Roman"/>
          <w:color w:val="000000" w:themeColor="text1"/>
          <w:sz w:val="24"/>
          <w:szCs w:val="24"/>
        </w:rPr>
        <w:t> </w:t>
      </w:r>
      <w:r w:rsidRPr="00CE1978">
        <w:rPr>
          <w:rFonts w:ascii="Times New Roman" w:eastAsia="Times New Roman" w:hAnsi="Times New Roman" w:cs="Times New Roman"/>
          <w:color w:val="000000" w:themeColor="text1"/>
          <w:sz w:val="24"/>
          <w:szCs w:val="24"/>
        </w:rPr>
        <w:t xml:space="preserve">„ustawy z dnia 16 lipca 2004 r. </w:t>
      </w:r>
      <w:r w:rsidR="00532F3A">
        <w:rPr>
          <w:rFonts w:ascii="Times New Roman" w:eastAsia="Times New Roman" w:hAnsi="Times New Roman" w:cs="Times New Roman"/>
          <w:color w:val="000000" w:themeColor="text1"/>
          <w:sz w:val="24"/>
          <w:szCs w:val="24"/>
        </w:rPr>
        <w:t>–</w:t>
      </w:r>
      <w:r w:rsidR="00E76880" w:rsidRPr="00532F3A">
        <w:rPr>
          <w:rFonts w:ascii="Times New Roman" w:eastAsia="Times New Roman" w:hAnsi="Times New Roman" w:cs="Times New Roman"/>
          <w:color w:val="000000" w:themeColor="text1"/>
          <w:sz w:val="24"/>
          <w:szCs w:val="24"/>
        </w:rPr>
        <w:t xml:space="preserve"> </w:t>
      </w:r>
      <w:r w:rsidRPr="00532F3A">
        <w:rPr>
          <w:rFonts w:ascii="Times New Roman" w:eastAsia="Times New Roman" w:hAnsi="Times New Roman" w:cs="Times New Roman"/>
          <w:color w:val="000000" w:themeColor="text1"/>
          <w:sz w:val="24"/>
          <w:szCs w:val="24"/>
        </w:rPr>
        <w:t>Prawo telekomunikacyjne (Dz. U. z 2017 r. poz. 1907, z</w:t>
      </w:r>
      <w:r w:rsidR="007E2649">
        <w:rPr>
          <w:rFonts w:ascii="Times New Roman" w:eastAsia="Times New Roman" w:hAnsi="Times New Roman" w:cs="Times New Roman"/>
          <w:color w:val="000000" w:themeColor="text1"/>
          <w:sz w:val="24"/>
          <w:szCs w:val="24"/>
        </w:rPr>
        <w:t> </w:t>
      </w:r>
      <w:r w:rsidRPr="00532F3A">
        <w:rPr>
          <w:rFonts w:ascii="Times New Roman" w:eastAsia="Times New Roman" w:hAnsi="Times New Roman" w:cs="Times New Roman"/>
          <w:color w:val="000000" w:themeColor="text1"/>
          <w:sz w:val="24"/>
          <w:szCs w:val="24"/>
        </w:rPr>
        <w:t>późn. zm.)”</w:t>
      </w:r>
      <w:r w:rsidR="06A84BDF" w:rsidRPr="00532F3A">
        <w:rPr>
          <w:rFonts w:ascii="Times New Roman" w:eastAsia="Times New Roman" w:hAnsi="Times New Roman" w:cs="Times New Roman"/>
          <w:color w:val="000000" w:themeColor="text1"/>
          <w:sz w:val="24"/>
          <w:szCs w:val="24"/>
        </w:rPr>
        <w:t xml:space="preserve"> na </w:t>
      </w:r>
      <w:r w:rsidR="30C8C8CD" w:rsidRPr="00532F3A">
        <w:rPr>
          <w:rFonts w:ascii="Times New Roman" w:eastAsia="Times New Roman" w:hAnsi="Times New Roman" w:cs="Times New Roman"/>
          <w:color w:val="000000" w:themeColor="text1"/>
          <w:sz w:val="24"/>
          <w:szCs w:val="24"/>
        </w:rPr>
        <w:t>„</w:t>
      </w:r>
      <w:r w:rsidR="06A84BDF" w:rsidRPr="00532F3A">
        <w:rPr>
          <w:rFonts w:ascii="Times New Roman" w:eastAsia="Calibri" w:hAnsi="Times New Roman" w:cs="Times New Roman"/>
          <w:color w:val="000000" w:themeColor="text1"/>
          <w:sz w:val="24"/>
          <w:szCs w:val="24"/>
        </w:rPr>
        <w:t>ustawy z dnia … 2020 r. Prawo komunikacji elektronicznej (Dz.</w:t>
      </w:r>
      <w:r w:rsidR="00AF3338" w:rsidRPr="00532F3A">
        <w:rPr>
          <w:rFonts w:ascii="Times New Roman" w:eastAsia="Calibri" w:hAnsi="Times New Roman" w:cs="Times New Roman"/>
          <w:color w:val="000000" w:themeColor="text1"/>
          <w:sz w:val="24"/>
          <w:szCs w:val="24"/>
        </w:rPr>
        <w:t xml:space="preserve"> </w:t>
      </w:r>
      <w:r w:rsidR="06A84BDF" w:rsidRPr="00532F3A">
        <w:rPr>
          <w:rFonts w:ascii="Times New Roman" w:eastAsia="Calibri" w:hAnsi="Times New Roman" w:cs="Times New Roman"/>
          <w:color w:val="000000" w:themeColor="text1"/>
          <w:sz w:val="24"/>
          <w:szCs w:val="24"/>
        </w:rPr>
        <w:t>U. poz</w:t>
      </w:r>
      <w:r w:rsidR="002F2F8E" w:rsidRPr="00532F3A">
        <w:rPr>
          <w:rFonts w:ascii="Times New Roman" w:eastAsia="Calibri" w:hAnsi="Times New Roman" w:cs="Times New Roman"/>
          <w:color w:val="000000" w:themeColor="text1"/>
          <w:sz w:val="24"/>
          <w:szCs w:val="24"/>
        </w:rPr>
        <w:t>….</w:t>
      </w:r>
      <w:r w:rsidR="06A84BDF" w:rsidRPr="00532F3A">
        <w:rPr>
          <w:rFonts w:ascii="Times New Roman" w:eastAsia="Calibri" w:hAnsi="Times New Roman" w:cs="Times New Roman"/>
          <w:color w:val="000000" w:themeColor="text1"/>
          <w:sz w:val="24"/>
          <w:szCs w:val="24"/>
        </w:rPr>
        <w:t>)”</w:t>
      </w:r>
      <w:r w:rsidRPr="00532F3A">
        <w:rPr>
          <w:rFonts w:ascii="Times New Roman" w:eastAsia="Times New Roman" w:hAnsi="Times New Roman" w:cs="Times New Roman"/>
          <w:color w:val="000000" w:themeColor="text1"/>
          <w:sz w:val="24"/>
          <w:szCs w:val="24"/>
        </w:rPr>
        <w:t>. Zmiana nie ma charakteru zmiany merytorycznej</w:t>
      </w:r>
      <w:r w:rsidR="43A58CDB" w:rsidRPr="00532F3A">
        <w:rPr>
          <w:rFonts w:ascii="Times New Roman" w:eastAsia="Times New Roman" w:hAnsi="Times New Roman" w:cs="Times New Roman"/>
          <w:color w:val="000000" w:themeColor="text1"/>
          <w:sz w:val="24"/>
          <w:szCs w:val="24"/>
        </w:rPr>
        <w:t>.</w:t>
      </w:r>
      <w:r w:rsidR="23758E0D" w:rsidRPr="00532F3A">
        <w:rPr>
          <w:rFonts w:ascii="Times New Roman" w:eastAsia="Times New Roman" w:hAnsi="Times New Roman" w:cs="Times New Roman"/>
          <w:color w:val="000000" w:themeColor="text1"/>
          <w:sz w:val="24"/>
          <w:szCs w:val="24"/>
        </w:rPr>
        <w:t xml:space="preserve"> </w:t>
      </w:r>
      <w:r w:rsidR="7587EDB2" w:rsidRPr="00532F3A">
        <w:rPr>
          <w:rFonts w:ascii="Times New Roman" w:eastAsia="Times New Roman" w:hAnsi="Times New Roman" w:cs="Times New Roman"/>
          <w:color w:val="000000" w:themeColor="text1"/>
          <w:sz w:val="24"/>
          <w:szCs w:val="24"/>
        </w:rPr>
        <w:t xml:space="preserve">Z kolei zmiany w art. </w:t>
      </w:r>
      <w:r w:rsidR="18C6329B" w:rsidRPr="00532F3A">
        <w:rPr>
          <w:rFonts w:ascii="Times New Roman" w:eastAsia="Times New Roman" w:hAnsi="Times New Roman" w:cs="Times New Roman"/>
          <w:color w:val="000000" w:themeColor="text1"/>
          <w:sz w:val="24"/>
          <w:szCs w:val="24"/>
        </w:rPr>
        <w:t>20 pkt 19 mają na celu wyeliminowanie błędnego odwołania do o</w:t>
      </w:r>
      <w:r w:rsidR="2AC118C9" w:rsidRPr="00CE1978">
        <w:rPr>
          <w:rFonts w:ascii="Times New Roman" w:eastAsia="Times New Roman" w:hAnsi="Times New Roman" w:cs="Times New Roman"/>
          <w:color w:val="000000" w:themeColor="text1"/>
          <w:sz w:val="24"/>
          <w:szCs w:val="24"/>
        </w:rPr>
        <w:t>płat za udostępnianie kanałów technologicznych, które w chwili ob</w:t>
      </w:r>
      <w:r w:rsidR="71F1CCF5" w:rsidRPr="00CE1978">
        <w:rPr>
          <w:rFonts w:ascii="Times New Roman" w:eastAsia="Times New Roman" w:hAnsi="Times New Roman" w:cs="Times New Roman"/>
          <w:color w:val="000000" w:themeColor="text1"/>
          <w:sz w:val="24"/>
          <w:szCs w:val="24"/>
        </w:rPr>
        <w:t>ecnej uregulowane są w art. 39 ust. 7g. Natomiast zmiany w</w:t>
      </w:r>
      <w:r w:rsidR="18C6329B" w:rsidRPr="00C10C7D">
        <w:rPr>
          <w:rFonts w:ascii="Times New Roman" w:eastAsia="Times New Roman" w:hAnsi="Times New Roman" w:cs="Times New Roman"/>
          <w:color w:val="000000" w:themeColor="text1"/>
          <w:sz w:val="24"/>
          <w:szCs w:val="24"/>
        </w:rPr>
        <w:t xml:space="preserve"> art. </w:t>
      </w:r>
      <w:r w:rsidR="7587EDB2" w:rsidRPr="00C10C7D">
        <w:rPr>
          <w:rFonts w:ascii="Times New Roman" w:eastAsia="Times New Roman" w:hAnsi="Times New Roman" w:cs="Times New Roman"/>
          <w:color w:val="000000" w:themeColor="text1"/>
          <w:sz w:val="24"/>
          <w:szCs w:val="24"/>
        </w:rPr>
        <w:t>39 ust. 3 mają na celu wyeliminowanie błędnego odwołania do umów, o k</w:t>
      </w:r>
      <w:r w:rsidR="007E2649">
        <w:rPr>
          <w:rFonts w:ascii="Times New Roman" w:eastAsia="Times New Roman" w:hAnsi="Times New Roman" w:cs="Times New Roman"/>
          <w:color w:val="000000" w:themeColor="text1"/>
          <w:sz w:val="24"/>
          <w:szCs w:val="24"/>
        </w:rPr>
        <w:t>tórych mowa w art. 39 ust. 7. Obecnie</w:t>
      </w:r>
      <w:r w:rsidR="0A0A7C21" w:rsidRPr="00C10C7D">
        <w:rPr>
          <w:rFonts w:ascii="Times New Roman" w:eastAsia="Times New Roman" w:hAnsi="Times New Roman" w:cs="Times New Roman"/>
          <w:color w:val="000000" w:themeColor="text1"/>
          <w:sz w:val="24"/>
          <w:szCs w:val="24"/>
        </w:rPr>
        <w:t xml:space="preserve"> umowy te zawarte są </w:t>
      </w:r>
      <w:r w:rsidR="00345883" w:rsidRPr="00C10C7D">
        <w:rPr>
          <w:rFonts w:ascii="Times New Roman" w:eastAsia="Times New Roman" w:hAnsi="Times New Roman" w:cs="Times New Roman"/>
          <w:color w:val="000000" w:themeColor="text1"/>
          <w:sz w:val="24"/>
          <w:szCs w:val="24"/>
        </w:rPr>
        <w:t xml:space="preserve">art. 39 </w:t>
      </w:r>
      <w:r w:rsidR="0A0A7C21" w:rsidRPr="00C10C7D">
        <w:rPr>
          <w:rFonts w:ascii="Times New Roman" w:eastAsia="Times New Roman" w:hAnsi="Times New Roman" w:cs="Times New Roman"/>
          <w:color w:val="000000" w:themeColor="text1"/>
          <w:sz w:val="24"/>
          <w:szCs w:val="24"/>
        </w:rPr>
        <w:t>w ust. 7a</w:t>
      </w:r>
      <w:r w:rsidR="00345883" w:rsidRPr="00C10C7D">
        <w:rPr>
          <w:rFonts w:ascii="Times New Roman" w:eastAsia="Times New Roman" w:hAnsi="Times New Roman" w:cs="Times New Roman"/>
          <w:color w:val="000000" w:themeColor="text1"/>
          <w:sz w:val="24"/>
          <w:szCs w:val="24"/>
        </w:rPr>
        <w:t xml:space="preserve"> ustawy</w:t>
      </w:r>
      <w:r w:rsidR="0A0A7C21" w:rsidRPr="00C10C7D">
        <w:rPr>
          <w:rFonts w:ascii="Times New Roman" w:eastAsia="Times New Roman" w:hAnsi="Times New Roman" w:cs="Times New Roman"/>
          <w:color w:val="000000" w:themeColor="text1"/>
          <w:sz w:val="24"/>
          <w:szCs w:val="24"/>
        </w:rPr>
        <w:t>. Z tą zmianą związane jest dodanie decyzji, o k</w:t>
      </w:r>
      <w:r w:rsidR="01F628E5" w:rsidRPr="00C10C7D">
        <w:rPr>
          <w:rFonts w:ascii="Times New Roman" w:eastAsia="Times New Roman" w:hAnsi="Times New Roman" w:cs="Times New Roman"/>
          <w:color w:val="000000" w:themeColor="text1"/>
          <w:sz w:val="24"/>
          <w:szCs w:val="24"/>
        </w:rPr>
        <w:t>t</w:t>
      </w:r>
      <w:r w:rsidR="0A0A7C21" w:rsidRPr="00C10C7D">
        <w:rPr>
          <w:rFonts w:ascii="Times New Roman" w:eastAsia="Times New Roman" w:hAnsi="Times New Roman" w:cs="Times New Roman"/>
          <w:color w:val="000000" w:themeColor="text1"/>
          <w:sz w:val="24"/>
          <w:szCs w:val="24"/>
        </w:rPr>
        <w:t>órych mowa w art. 39 ust. 7.</w:t>
      </w:r>
      <w:r w:rsidR="7587EDB2" w:rsidRPr="00C10C7D">
        <w:rPr>
          <w:rFonts w:ascii="Times New Roman" w:eastAsia="Times New Roman" w:hAnsi="Times New Roman" w:cs="Times New Roman"/>
          <w:color w:val="000000" w:themeColor="text1"/>
          <w:sz w:val="24"/>
          <w:szCs w:val="24"/>
        </w:rPr>
        <w:t xml:space="preserve"> </w:t>
      </w:r>
      <w:r w:rsidR="7EAB4025" w:rsidRPr="00C10C7D">
        <w:rPr>
          <w:rFonts w:ascii="Times New Roman" w:eastAsia="Times New Roman" w:hAnsi="Times New Roman" w:cs="Times New Roman"/>
          <w:color w:val="000000" w:themeColor="text1"/>
          <w:sz w:val="24"/>
          <w:szCs w:val="24"/>
        </w:rPr>
        <w:t>Dodatkowo</w:t>
      </w:r>
      <w:r w:rsidR="20B7B687" w:rsidRPr="00C10C7D">
        <w:rPr>
          <w:rFonts w:ascii="Times New Roman" w:eastAsia="Times New Roman" w:hAnsi="Times New Roman" w:cs="Times New Roman"/>
          <w:color w:val="000000" w:themeColor="text1"/>
          <w:sz w:val="24"/>
          <w:szCs w:val="24"/>
        </w:rPr>
        <w:t>,</w:t>
      </w:r>
      <w:r w:rsidR="7EAB4025" w:rsidRPr="00C10C7D">
        <w:rPr>
          <w:rFonts w:ascii="Times New Roman" w:eastAsia="Times New Roman" w:hAnsi="Times New Roman" w:cs="Times New Roman"/>
          <w:color w:val="000000" w:themeColor="text1"/>
          <w:sz w:val="24"/>
          <w:szCs w:val="24"/>
        </w:rPr>
        <w:t xml:space="preserve"> w celu wyeliminowania wątpliwości interpretacyjnych</w:t>
      </w:r>
      <w:r w:rsidR="153A7543" w:rsidRPr="00C10C7D">
        <w:rPr>
          <w:rFonts w:ascii="Times New Roman" w:eastAsia="Times New Roman" w:hAnsi="Times New Roman" w:cs="Times New Roman"/>
          <w:color w:val="000000" w:themeColor="text1"/>
          <w:sz w:val="24"/>
          <w:szCs w:val="24"/>
        </w:rPr>
        <w:t xml:space="preserve"> pomiędzy regulacjami zawartymi w art. 39 i nowododawanym</w:t>
      </w:r>
      <w:r w:rsidR="7166A698" w:rsidRPr="00C10C7D">
        <w:rPr>
          <w:rFonts w:ascii="Times New Roman" w:eastAsia="Times New Roman" w:hAnsi="Times New Roman" w:cs="Times New Roman"/>
          <w:color w:val="000000" w:themeColor="text1"/>
          <w:sz w:val="24"/>
          <w:szCs w:val="24"/>
        </w:rPr>
        <w:t xml:space="preserve">i przepisami </w:t>
      </w:r>
      <w:r w:rsidR="7166A698" w:rsidRPr="00C10C7D">
        <w:rPr>
          <w:rFonts w:ascii="Times New Roman" w:eastAsia="Times New Roman" w:hAnsi="Times New Roman" w:cs="Times New Roman"/>
          <w:color w:val="000000" w:themeColor="text1"/>
          <w:sz w:val="24"/>
          <w:szCs w:val="24"/>
        </w:rPr>
        <w:lastRenderedPageBreak/>
        <w:t>dotyczącymi punktów dostępu bezprzewodowego o bliskim zasięgu</w:t>
      </w:r>
      <w:r w:rsidR="153A7543" w:rsidRPr="00C10C7D">
        <w:rPr>
          <w:rFonts w:ascii="Times New Roman" w:eastAsia="Times New Roman" w:hAnsi="Times New Roman" w:cs="Times New Roman"/>
          <w:color w:val="000000" w:themeColor="text1"/>
          <w:sz w:val="24"/>
          <w:szCs w:val="24"/>
        </w:rPr>
        <w:t xml:space="preserve">, w </w:t>
      </w:r>
      <w:r w:rsidR="00BF78F2">
        <w:rPr>
          <w:rFonts w:ascii="Times New Roman" w:eastAsia="Times New Roman" w:hAnsi="Times New Roman" w:cs="Times New Roman"/>
          <w:color w:val="000000" w:themeColor="text1"/>
          <w:sz w:val="24"/>
          <w:szCs w:val="24"/>
        </w:rPr>
        <w:t>zdaniu pierwszym art. </w:t>
      </w:r>
      <w:r w:rsidR="320FC5A7" w:rsidRPr="00C10C7D">
        <w:rPr>
          <w:rFonts w:ascii="Times New Roman" w:eastAsia="Times New Roman" w:hAnsi="Times New Roman" w:cs="Times New Roman"/>
          <w:color w:val="000000" w:themeColor="text1"/>
          <w:sz w:val="24"/>
          <w:szCs w:val="24"/>
        </w:rPr>
        <w:t xml:space="preserve">39 ust. 3 przesądzono, że lokalizowanie punktów dostępu bezprzewodowego o bliskim zasięgu, </w:t>
      </w:r>
      <w:r w:rsidR="490F156B" w:rsidRPr="00C10C7D">
        <w:rPr>
          <w:rFonts w:ascii="Times New Roman" w:eastAsia="Times New Roman" w:hAnsi="Times New Roman" w:cs="Times New Roman"/>
          <w:color w:val="000000" w:themeColor="text1"/>
          <w:sz w:val="24"/>
          <w:szCs w:val="24"/>
        </w:rPr>
        <w:t xml:space="preserve">realizowane jest na </w:t>
      </w:r>
      <w:r w:rsidR="320FC5A7" w:rsidRPr="00CE1978">
        <w:rPr>
          <w:rFonts w:ascii="Times New Roman" w:eastAsia="Times New Roman" w:hAnsi="Times New Roman" w:cs="Times New Roman"/>
          <w:color w:val="000000" w:themeColor="text1"/>
          <w:sz w:val="24"/>
          <w:szCs w:val="24"/>
        </w:rPr>
        <w:t xml:space="preserve">podstawie </w:t>
      </w:r>
      <w:r w:rsidR="76F8C5BF" w:rsidRPr="00CE1978">
        <w:rPr>
          <w:rFonts w:ascii="Times New Roman" w:eastAsia="Times New Roman" w:hAnsi="Times New Roman" w:cs="Times New Roman"/>
          <w:color w:val="000000" w:themeColor="text1"/>
          <w:sz w:val="24"/>
          <w:szCs w:val="24"/>
        </w:rPr>
        <w:t>decyzji</w:t>
      </w:r>
      <w:r w:rsidR="320FC5A7" w:rsidRPr="00CE1978">
        <w:rPr>
          <w:rFonts w:ascii="Times New Roman" w:eastAsia="Times New Roman" w:hAnsi="Times New Roman" w:cs="Times New Roman"/>
          <w:color w:val="000000" w:themeColor="text1"/>
          <w:sz w:val="24"/>
          <w:szCs w:val="24"/>
        </w:rPr>
        <w:t xml:space="preserve">, o której mowa w </w:t>
      </w:r>
      <w:r w:rsidR="6E6AA7B8" w:rsidRPr="00CE1978">
        <w:rPr>
          <w:rFonts w:ascii="Times New Roman" w:eastAsia="Times New Roman" w:hAnsi="Times New Roman" w:cs="Times New Roman"/>
          <w:color w:val="000000" w:themeColor="text1"/>
          <w:sz w:val="24"/>
          <w:szCs w:val="24"/>
        </w:rPr>
        <w:t xml:space="preserve">art. 39 ust. </w:t>
      </w:r>
      <w:r w:rsidR="54D649F1" w:rsidRPr="00CE1978">
        <w:rPr>
          <w:rFonts w:ascii="Times New Roman" w:eastAsia="Helvetica" w:hAnsi="Times New Roman" w:cs="Times New Roman"/>
          <w:color w:val="000000" w:themeColor="text1"/>
          <w:sz w:val="24"/>
          <w:szCs w:val="24"/>
        </w:rPr>
        <w:t>3</w:t>
      </w:r>
      <w:r w:rsidR="54D649F1" w:rsidRPr="00CE1978">
        <w:rPr>
          <w:rFonts w:ascii="Times New Roman" w:eastAsia="Helvetica" w:hAnsi="Times New Roman" w:cs="Times New Roman"/>
          <w:color w:val="000000" w:themeColor="text1"/>
          <w:sz w:val="24"/>
          <w:szCs w:val="24"/>
          <w:vertAlign w:val="superscript"/>
        </w:rPr>
        <w:t>1.</w:t>
      </w:r>
      <w:r w:rsidR="3EFD43AF" w:rsidRPr="00CE1978">
        <w:rPr>
          <w:rFonts w:ascii="Times New Roman" w:eastAsia="Times New Roman" w:hAnsi="Times New Roman" w:cs="Times New Roman"/>
          <w:color w:val="000000" w:themeColor="text1"/>
          <w:sz w:val="24"/>
          <w:szCs w:val="24"/>
        </w:rPr>
        <w:t>.</w:t>
      </w:r>
      <w:r w:rsidR="79AC6C02" w:rsidRPr="00CE1978">
        <w:rPr>
          <w:rFonts w:ascii="Times New Roman" w:eastAsia="Times New Roman" w:hAnsi="Times New Roman" w:cs="Times New Roman"/>
          <w:color w:val="000000" w:themeColor="text1"/>
          <w:sz w:val="24"/>
          <w:szCs w:val="24"/>
        </w:rPr>
        <w:t xml:space="preserve"> </w:t>
      </w:r>
      <w:r w:rsidR="00345883" w:rsidRPr="00CE1978">
        <w:rPr>
          <w:rFonts w:ascii="Times New Roman" w:eastAsia="Calibri" w:hAnsi="Times New Roman" w:cs="Times New Roman"/>
          <w:color w:val="000000" w:themeColor="text1"/>
          <w:sz w:val="24"/>
          <w:szCs w:val="24"/>
        </w:rPr>
        <w:t>W</w:t>
      </w:r>
      <w:r w:rsidR="4D64A4B1" w:rsidRPr="00CE1978">
        <w:rPr>
          <w:rFonts w:ascii="Times New Roman" w:eastAsia="Calibri" w:hAnsi="Times New Roman" w:cs="Times New Roman"/>
          <w:color w:val="000000" w:themeColor="text1"/>
          <w:sz w:val="24"/>
          <w:szCs w:val="24"/>
        </w:rPr>
        <w:t>ykorzystani</w:t>
      </w:r>
      <w:r w:rsidR="00345883" w:rsidRPr="00CE1978">
        <w:rPr>
          <w:rFonts w:ascii="Times New Roman" w:eastAsia="Calibri" w:hAnsi="Times New Roman" w:cs="Times New Roman"/>
          <w:color w:val="000000" w:themeColor="text1"/>
          <w:sz w:val="24"/>
          <w:szCs w:val="24"/>
        </w:rPr>
        <w:t>e</w:t>
      </w:r>
      <w:r w:rsidR="4D64A4B1" w:rsidRPr="00CE1978">
        <w:rPr>
          <w:rFonts w:ascii="Times New Roman" w:eastAsia="Calibri" w:hAnsi="Times New Roman" w:cs="Times New Roman"/>
          <w:color w:val="000000" w:themeColor="text1"/>
          <w:sz w:val="24"/>
          <w:szCs w:val="24"/>
        </w:rPr>
        <w:t xml:space="preserve"> infrastruktury technicznej na cele instalacji punktów dostępu będzie odbywać</w:t>
      </w:r>
      <w:r w:rsidR="00345883" w:rsidRPr="00CE1978">
        <w:rPr>
          <w:rFonts w:ascii="Times New Roman" w:eastAsia="Calibri" w:hAnsi="Times New Roman" w:cs="Times New Roman"/>
          <w:color w:val="000000" w:themeColor="text1"/>
          <w:sz w:val="24"/>
          <w:szCs w:val="24"/>
        </w:rPr>
        <w:t xml:space="preserve"> się</w:t>
      </w:r>
      <w:r w:rsidR="4D64A4B1" w:rsidRPr="00CE1978">
        <w:rPr>
          <w:rFonts w:ascii="Times New Roman" w:eastAsia="Calibri" w:hAnsi="Times New Roman" w:cs="Times New Roman"/>
          <w:color w:val="000000" w:themeColor="text1"/>
          <w:sz w:val="24"/>
          <w:szCs w:val="24"/>
        </w:rPr>
        <w:t xml:space="preserve"> na podstawie przepisów Megaustawy. Art. 1 ust. 3 Megaustawy jasno wskazuje, że przepisów art. 17</w:t>
      </w:r>
      <w:r w:rsidR="00934B74" w:rsidRPr="00CE1978">
        <w:rPr>
          <w:rFonts w:ascii="Times New Roman" w:eastAsia="Times New Roman" w:hAnsi="Times New Roman" w:cs="Times New Roman"/>
          <w:color w:val="000000" w:themeColor="text1"/>
          <w:sz w:val="24"/>
          <w:szCs w:val="24"/>
        </w:rPr>
        <w:t>–</w:t>
      </w:r>
      <w:r w:rsidR="4D64A4B1" w:rsidRPr="00CE1978">
        <w:rPr>
          <w:rFonts w:ascii="Times New Roman" w:eastAsia="Calibri" w:hAnsi="Times New Roman" w:cs="Times New Roman"/>
          <w:color w:val="000000" w:themeColor="text1"/>
          <w:sz w:val="24"/>
          <w:szCs w:val="24"/>
        </w:rPr>
        <w:t xml:space="preserve">26 </w:t>
      </w:r>
      <w:r w:rsidR="00345883" w:rsidRPr="00CE1978">
        <w:rPr>
          <w:rFonts w:ascii="Times New Roman" w:eastAsia="Calibri" w:hAnsi="Times New Roman" w:cs="Times New Roman"/>
          <w:color w:val="000000" w:themeColor="text1"/>
          <w:sz w:val="24"/>
          <w:szCs w:val="24"/>
        </w:rPr>
        <w:t xml:space="preserve">Megaustawy </w:t>
      </w:r>
      <w:r w:rsidR="4D64A4B1" w:rsidRPr="00CE1978">
        <w:rPr>
          <w:rFonts w:ascii="Times New Roman" w:eastAsia="Calibri" w:hAnsi="Times New Roman" w:cs="Times New Roman"/>
          <w:color w:val="000000" w:themeColor="text1"/>
          <w:sz w:val="24"/>
          <w:szCs w:val="24"/>
        </w:rPr>
        <w:t>nie stosuje się do lokalizowania infrastruktury telekomunikacyjnej w pasach drogowych dróg publicznych. Tak więc każda nowa infrastruktura techniczna</w:t>
      </w:r>
      <w:r w:rsidR="00C358CE" w:rsidRPr="00CE1978">
        <w:rPr>
          <w:rFonts w:ascii="Times New Roman" w:eastAsia="Calibri" w:hAnsi="Times New Roman" w:cs="Times New Roman"/>
          <w:color w:val="000000" w:themeColor="text1"/>
          <w:sz w:val="24"/>
          <w:szCs w:val="24"/>
        </w:rPr>
        <w:t xml:space="preserve"> </w:t>
      </w:r>
      <w:r w:rsidR="4D64A4B1" w:rsidRPr="00CE1978">
        <w:rPr>
          <w:rFonts w:ascii="Times New Roman" w:eastAsia="Calibri" w:hAnsi="Times New Roman" w:cs="Times New Roman"/>
          <w:color w:val="000000" w:themeColor="text1"/>
          <w:sz w:val="24"/>
          <w:szCs w:val="24"/>
        </w:rPr>
        <w:t>będzie objęta reżimem art. 39 i 40 ustawy o drogach publicznych w obecnym brzmieniu.</w:t>
      </w:r>
    </w:p>
    <w:p w14:paraId="76309EA8" w14:textId="7B3B1FA6" w:rsidR="75B895FB" w:rsidRPr="00CE1978" w:rsidRDefault="00D15947" w:rsidP="00F91F34">
      <w:pPr>
        <w:spacing w:before="120" w:after="0" w:line="360" w:lineRule="auto"/>
        <w:jc w:val="both"/>
        <w:rPr>
          <w:rFonts w:ascii="Times New Roman" w:eastAsia="Times New Roman" w:hAnsi="Times New Roman" w:cs="Times New Roman"/>
          <w:b/>
          <w:color w:val="000000" w:themeColor="text1"/>
          <w:sz w:val="24"/>
          <w:szCs w:val="24"/>
        </w:rPr>
      </w:pPr>
      <w:r w:rsidRPr="00CE1978">
        <w:rPr>
          <w:rFonts w:ascii="Times New Roman" w:eastAsia="Times New Roman" w:hAnsi="Times New Roman" w:cs="Times New Roman"/>
          <w:b/>
          <w:color w:val="000000" w:themeColor="text1"/>
          <w:sz w:val="24"/>
          <w:szCs w:val="24"/>
        </w:rPr>
        <w:t>L</w:t>
      </w:r>
      <w:r w:rsidR="0C2F9229" w:rsidRPr="00CE1978">
        <w:rPr>
          <w:rFonts w:ascii="Times New Roman" w:eastAsia="Times New Roman" w:hAnsi="Times New Roman" w:cs="Times New Roman"/>
          <w:b/>
          <w:color w:val="000000" w:themeColor="text1"/>
          <w:sz w:val="24"/>
          <w:szCs w:val="24"/>
        </w:rPr>
        <w:t>okalizowanie w pasie drogowym punktów dostępu be</w:t>
      </w:r>
      <w:r w:rsidR="005D6CBF" w:rsidRPr="00CE1978">
        <w:rPr>
          <w:rFonts w:ascii="Times New Roman" w:eastAsia="Times New Roman" w:hAnsi="Times New Roman" w:cs="Times New Roman"/>
          <w:b/>
          <w:color w:val="000000" w:themeColor="text1"/>
          <w:sz w:val="24"/>
          <w:szCs w:val="24"/>
        </w:rPr>
        <w:t>zprzewodowego o bliskim zasięgu</w:t>
      </w:r>
    </w:p>
    <w:p w14:paraId="424389A5" w14:textId="6B77D970" w:rsidR="00886DA4" w:rsidRPr="00CE1978" w:rsidRDefault="0C2F9229"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w:t>
      </w:r>
      <w:r w:rsidR="79AC6C02" w:rsidRPr="00CE1978">
        <w:rPr>
          <w:rFonts w:ascii="Times New Roman" w:eastAsia="Times New Roman" w:hAnsi="Times New Roman" w:cs="Times New Roman"/>
          <w:color w:val="000000" w:themeColor="text1"/>
          <w:sz w:val="24"/>
          <w:szCs w:val="24"/>
        </w:rPr>
        <w:t>rt. 57 EKŁE stanowi, że wdrażanie punktów dostępu bezprzewodowego o bliskim zasięgu powinno się odbywać bez jakichkolwiek zezwoleń indywidualnych za wyjątkiem</w:t>
      </w:r>
      <w:r w:rsidR="00345883" w:rsidRPr="00CE1978">
        <w:rPr>
          <w:rFonts w:ascii="Times New Roman" w:eastAsia="Times New Roman" w:hAnsi="Times New Roman" w:cs="Times New Roman"/>
          <w:color w:val="000000" w:themeColor="text1"/>
          <w:sz w:val="24"/>
          <w:szCs w:val="24"/>
        </w:rPr>
        <w:t xml:space="preserve"> sytuacji</w:t>
      </w:r>
      <w:r w:rsidR="79AC6C02" w:rsidRPr="00CE1978">
        <w:rPr>
          <w:rFonts w:ascii="Times New Roman" w:eastAsia="Times New Roman" w:hAnsi="Times New Roman" w:cs="Times New Roman"/>
          <w:color w:val="000000" w:themeColor="text1"/>
          <w:sz w:val="24"/>
          <w:szCs w:val="24"/>
        </w:rPr>
        <w:t xml:space="preserve"> </w:t>
      </w:r>
      <w:r w:rsidR="00345883" w:rsidRPr="00CE1978">
        <w:rPr>
          <w:rFonts w:ascii="Times New Roman" w:eastAsia="Times New Roman" w:hAnsi="Times New Roman" w:cs="Times New Roman"/>
          <w:color w:val="000000" w:themeColor="text1"/>
          <w:sz w:val="24"/>
          <w:szCs w:val="24"/>
        </w:rPr>
        <w:t>gdy</w:t>
      </w:r>
      <w:r w:rsidR="00886DA4" w:rsidRPr="00CE1978">
        <w:rPr>
          <w:rFonts w:ascii="Times New Roman" w:eastAsia="Times New Roman" w:hAnsi="Times New Roman" w:cs="Times New Roman"/>
          <w:color w:val="000000" w:themeColor="text1"/>
          <w:sz w:val="24"/>
          <w:szCs w:val="24"/>
        </w:rPr>
        <w:t xml:space="preserve"> punkty</w:t>
      </w:r>
      <w:r w:rsidR="00345883" w:rsidRPr="00CE1978">
        <w:rPr>
          <w:rFonts w:ascii="Times New Roman" w:eastAsia="Times New Roman" w:hAnsi="Times New Roman" w:cs="Times New Roman"/>
          <w:color w:val="000000" w:themeColor="text1"/>
          <w:sz w:val="24"/>
          <w:szCs w:val="24"/>
        </w:rPr>
        <w:t xml:space="preserve"> dostępu bezprzewodowego o bliskim zasięgu</w:t>
      </w:r>
      <w:r w:rsidR="00886DA4" w:rsidRPr="00CE1978">
        <w:rPr>
          <w:rFonts w:ascii="Times New Roman" w:eastAsia="Times New Roman" w:hAnsi="Times New Roman" w:cs="Times New Roman"/>
          <w:color w:val="000000" w:themeColor="text1"/>
          <w:sz w:val="24"/>
          <w:szCs w:val="24"/>
        </w:rPr>
        <w:t xml:space="preserve"> mają być uruchamiane</w:t>
      </w:r>
      <w:r w:rsidR="00345883" w:rsidRPr="00CE1978">
        <w:rPr>
          <w:rFonts w:ascii="Times New Roman" w:eastAsia="Times New Roman" w:hAnsi="Times New Roman" w:cs="Times New Roman"/>
          <w:color w:val="000000" w:themeColor="text1"/>
          <w:sz w:val="24"/>
          <w:szCs w:val="24"/>
        </w:rPr>
        <w:t xml:space="preserve"> na budyn</w:t>
      </w:r>
      <w:r w:rsidR="00886DA4" w:rsidRPr="00CE1978">
        <w:rPr>
          <w:rFonts w:ascii="Times New Roman" w:eastAsia="Times New Roman" w:hAnsi="Times New Roman" w:cs="Times New Roman"/>
          <w:color w:val="000000" w:themeColor="text1"/>
          <w:sz w:val="24"/>
          <w:szCs w:val="24"/>
        </w:rPr>
        <w:t xml:space="preserve">kach lub w miejscach o wartości </w:t>
      </w:r>
      <w:r w:rsidR="00345883" w:rsidRPr="00CE1978">
        <w:rPr>
          <w:rFonts w:ascii="Times New Roman" w:eastAsia="Times New Roman" w:hAnsi="Times New Roman" w:cs="Times New Roman"/>
          <w:color w:val="000000" w:themeColor="text1"/>
          <w:sz w:val="24"/>
          <w:szCs w:val="24"/>
        </w:rPr>
        <w:t>architektonicznej, historycznej lub przyrodniczej chronionych zgodnie z prawem krajowy</w:t>
      </w:r>
      <w:r w:rsidR="00886DA4" w:rsidRPr="00CE1978">
        <w:rPr>
          <w:rFonts w:ascii="Times New Roman" w:eastAsia="Times New Roman" w:hAnsi="Times New Roman" w:cs="Times New Roman"/>
          <w:color w:val="000000" w:themeColor="text1"/>
          <w:sz w:val="24"/>
          <w:szCs w:val="24"/>
        </w:rPr>
        <w:t xml:space="preserve">m lub, w razie konieczności, ze </w:t>
      </w:r>
      <w:r w:rsidR="00345883" w:rsidRPr="00CE1978">
        <w:rPr>
          <w:rFonts w:ascii="Times New Roman" w:eastAsia="Times New Roman" w:hAnsi="Times New Roman" w:cs="Times New Roman"/>
          <w:color w:val="000000" w:themeColor="text1"/>
          <w:sz w:val="24"/>
          <w:szCs w:val="24"/>
        </w:rPr>
        <w:t xml:space="preserve">względów bezpieczeństwa publicznego. </w:t>
      </w:r>
      <w:r w:rsidR="227C9D79" w:rsidRPr="00CE1978">
        <w:rPr>
          <w:rFonts w:ascii="Times New Roman" w:eastAsia="Times New Roman" w:hAnsi="Times New Roman" w:cs="Times New Roman"/>
          <w:color w:val="000000" w:themeColor="text1"/>
          <w:sz w:val="24"/>
          <w:szCs w:val="24"/>
        </w:rPr>
        <w:t xml:space="preserve">Projektodawca analizując </w:t>
      </w:r>
      <w:r w:rsidR="00345883" w:rsidRPr="00CE1978">
        <w:rPr>
          <w:rFonts w:ascii="Times New Roman" w:eastAsia="Times New Roman" w:hAnsi="Times New Roman" w:cs="Times New Roman"/>
          <w:color w:val="000000" w:themeColor="text1"/>
          <w:sz w:val="24"/>
          <w:szCs w:val="24"/>
        </w:rPr>
        <w:t xml:space="preserve">obowiązujący </w:t>
      </w:r>
      <w:r w:rsidR="227C9D79" w:rsidRPr="00CE1978">
        <w:rPr>
          <w:rFonts w:ascii="Times New Roman" w:eastAsia="Times New Roman" w:hAnsi="Times New Roman" w:cs="Times New Roman"/>
          <w:color w:val="000000" w:themeColor="text1"/>
          <w:sz w:val="24"/>
          <w:szCs w:val="24"/>
        </w:rPr>
        <w:t xml:space="preserve">stan prawny </w:t>
      </w:r>
      <w:r w:rsidR="00345883" w:rsidRPr="00CE1978">
        <w:rPr>
          <w:rFonts w:ascii="Times New Roman" w:eastAsia="Times New Roman" w:hAnsi="Times New Roman" w:cs="Times New Roman"/>
          <w:color w:val="000000" w:themeColor="text1"/>
          <w:sz w:val="24"/>
          <w:szCs w:val="24"/>
        </w:rPr>
        <w:t>w tym zakresie,</w:t>
      </w:r>
      <w:r w:rsidR="227C9D79" w:rsidRPr="00CE1978">
        <w:rPr>
          <w:rFonts w:ascii="Times New Roman" w:eastAsia="Times New Roman" w:hAnsi="Times New Roman" w:cs="Times New Roman"/>
          <w:color w:val="000000" w:themeColor="text1"/>
          <w:sz w:val="24"/>
          <w:szCs w:val="24"/>
        </w:rPr>
        <w:t xml:space="preserve"> </w:t>
      </w:r>
      <w:r w:rsidR="00886DA4" w:rsidRPr="00CE1978">
        <w:rPr>
          <w:rFonts w:ascii="Times New Roman" w:eastAsia="Times New Roman" w:hAnsi="Times New Roman" w:cs="Times New Roman"/>
          <w:color w:val="000000" w:themeColor="text1"/>
          <w:sz w:val="24"/>
          <w:szCs w:val="24"/>
        </w:rPr>
        <w:t xml:space="preserve">wynikający z przepisów </w:t>
      </w:r>
      <w:r w:rsidR="227C9D79" w:rsidRPr="00CE1978">
        <w:rPr>
          <w:rFonts w:ascii="Times New Roman" w:eastAsia="Times New Roman" w:hAnsi="Times New Roman" w:cs="Times New Roman"/>
          <w:color w:val="000000" w:themeColor="text1"/>
          <w:sz w:val="24"/>
          <w:szCs w:val="24"/>
        </w:rPr>
        <w:t>ustaw</w:t>
      </w:r>
      <w:r w:rsidR="00886DA4" w:rsidRPr="00CE1978">
        <w:rPr>
          <w:rFonts w:ascii="Times New Roman" w:eastAsia="Times New Roman" w:hAnsi="Times New Roman" w:cs="Times New Roman"/>
          <w:color w:val="000000" w:themeColor="text1"/>
          <w:sz w:val="24"/>
          <w:szCs w:val="24"/>
        </w:rPr>
        <w:t>y</w:t>
      </w:r>
      <w:r w:rsidR="227C9D79" w:rsidRPr="00CE1978">
        <w:rPr>
          <w:rFonts w:ascii="Times New Roman" w:eastAsia="Times New Roman" w:hAnsi="Times New Roman" w:cs="Times New Roman"/>
          <w:color w:val="000000" w:themeColor="text1"/>
          <w:sz w:val="24"/>
          <w:szCs w:val="24"/>
        </w:rPr>
        <w:t xml:space="preserve"> o drogach publicznych uznał, iż najlepszym i najbardziej efektywnym instrumentem prawnym b</w:t>
      </w:r>
      <w:r w:rsidR="57D005D9" w:rsidRPr="00CE1978">
        <w:rPr>
          <w:rFonts w:ascii="Times New Roman" w:eastAsia="Times New Roman" w:hAnsi="Times New Roman" w:cs="Times New Roman"/>
          <w:color w:val="000000" w:themeColor="text1"/>
          <w:sz w:val="24"/>
          <w:szCs w:val="24"/>
        </w:rPr>
        <w:t>ędzie decyzja administracyjna na wzór decyzji lokalizacyjnej, o której mowa w art. 39 ust. 3 ustawy o drogach publicznych.</w:t>
      </w:r>
      <w:r w:rsidR="00886DA4" w:rsidRPr="00CE1978">
        <w:rPr>
          <w:rFonts w:ascii="Times New Roman" w:eastAsia="Times New Roman" w:hAnsi="Times New Roman" w:cs="Times New Roman"/>
          <w:color w:val="000000" w:themeColor="text1"/>
          <w:sz w:val="24"/>
          <w:szCs w:val="24"/>
        </w:rPr>
        <w:t xml:space="preserve"> Rozwiązanie takie jest zgodne z EKŁE, ponieważ wartością chronioną jest „bezpieczeństwo publiczne”, przejawiające się koniecznością sprawdzenia przez zarządcę drogi, czy w indywidualnym przypadku, umieszczenie takich punktów nie spowodowałoby zagrożenia bezpieczeństwa ruchu drogowego. Jest to jedyna przesłanka do odmowy wydania zezwolenia na instalację punktów dostępu w pasie drogowym (art. 39 ust. 3</w:t>
      </w:r>
      <w:r w:rsidR="00886DA4" w:rsidRPr="00CE1978">
        <w:rPr>
          <w:rFonts w:ascii="Times New Roman" w:eastAsia="Times New Roman" w:hAnsi="Times New Roman" w:cs="Times New Roman"/>
          <w:color w:val="000000" w:themeColor="text1"/>
          <w:sz w:val="24"/>
          <w:szCs w:val="24"/>
          <w:vertAlign w:val="superscript"/>
        </w:rPr>
        <w:t>2</w:t>
      </w:r>
      <w:r w:rsidR="00886DA4" w:rsidRPr="00CE1978">
        <w:rPr>
          <w:rFonts w:ascii="Times New Roman" w:eastAsia="Times New Roman" w:hAnsi="Times New Roman" w:cs="Times New Roman"/>
          <w:color w:val="000000" w:themeColor="text1"/>
          <w:sz w:val="24"/>
          <w:szCs w:val="24"/>
        </w:rPr>
        <w:t xml:space="preserve"> ustawy o drogach publicznych).</w:t>
      </w:r>
    </w:p>
    <w:p w14:paraId="34044719" w14:textId="3A450D46" w:rsidR="57D005D9" w:rsidRPr="00CE1978" w:rsidRDefault="57D005D9"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Zaproponowane uregulowania bazują więc na sprawdzonych </w:t>
      </w:r>
      <w:r w:rsidR="00886DA4" w:rsidRPr="00CE1978">
        <w:rPr>
          <w:rFonts w:ascii="Times New Roman" w:eastAsia="Times New Roman" w:hAnsi="Times New Roman" w:cs="Times New Roman"/>
          <w:color w:val="000000" w:themeColor="text1"/>
          <w:sz w:val="24"/>
          <w:szCs w:val="24"/>
        </w:rPr>
        <w:t xml:space="preserve">rozwiązaniach zawartych w </w:t>
      </w:r>
      <w:r w:rsidRPr="00CE1978">
        <w:rPr>
          <w:rFonts w:ascii="Times New Roman" w:eastAsia="Times New Roman" w:hAnsi="Times New Roman" w:cs="Times New Roman"/>
          <w:color w:val="000000" w:themeColor="text1"/>
          <w:sz w:val="24"/>
          <w:szCs w:val="24"/>
        </w:rPr>
        <w:t>ustaw</w:t>
      </w:r>
      <w:r w:rsidR="00886DA4" w:rsidRPr="00CE1978">
        <w:rPr>
          <w:rFonts w:ascii="Times New Roman" w:eastAsia="Times New Roman" w:hAnsi="Times New Roman" w:cs="Times New Roman"/>
          <w:color w:val="000000" w:themeColor="text1"/>
          <w:sz w:val="24"/>
          <w:szCs w:val="24"/>
        </w:rPr>
        <w:t>ie</w:t>
      </w:r>
      <w:r w:rsidRPr="00CE1978">
        <w:rPr>
          <w:rFonts w:ascii="Times New Roman" w:eastAsia="Times New Roman" w:hAnsi="Times New Roman" w:cs="Times New Roman"/>
          <w:color w:val="000000" w:themeColor="text1"/>
          <w:sz w:val="24"/>
          <w:szCs w:val="24"/>
        </w:rPr>
        <w:t xml:space="preserve"> o drogach publicznych. Tak przyjęty model gwarantuje </w:t>
      </w:r>
      <w:r w:rsidR="244ACBD9" w:rsidRPr="00CE1978">
        <w:rPr>
          <w:rFonts w:ascii="Times New Roman" w:eastAsia="Times New Roman" w:hAnsi="Times New Roman" w:cs="Times New Roman"/>
          <w:color w:val="000000" w:themeColor="text1"/>
          <w:sz w:val="24"/>
          <w:szCs w:val="24"/>
        </w:rPr>
        <w:t>zarówno zarządcom dróg jak i podmiotom, które będą instalowały punkty dostępu bezprzewodowego o bliskim zasięgu, zachow</w:t>
      </w:r>
      <w:r w:rsidR="28F93248" w:rsidRPr="00CE1978">
        <w:rPr>
          <w:rFonts w:ascii="Times New Roman" w:eastAsia="Times New Roman" w:hAnsi="Times New Roman" w:cs="Times New Roman"/>
          <w:color w:val="000000" w:themeColor="text1"/>
          <w:sz w:val="24"/>
          <w:szCs w:val="24"/>
        </w:rPr>
        <w:t>anie w większości dotychczasowych mechanizmów funkcjonujących w ustawie o drogach publicznych i zabezpiecza w pełni ich interesy.</w:t>
      </w:r>
      <w:r w:rsidR="00DA41C8" w:rsidRPr="00CE1978">
        <w:rPr>
          <w:rFonts w:ascii="Times New Roman" w:eastAsia="Times New Roman" w:hAnsi="Times New Roman" w:cs="Times New Roman"/>
          <w:color w:val="000000" w:themeColor="text1"/>
          <w:sz w:val="24"/>
          <w:szCs w:val="24"/>
        </w:rPr>
        <w:t xml:space="preserve"> Ponadto, zmiany w art. 40 ust. 12 pozwolą zarządcom dróg na nałożenie stosownych kar administracyjnych, jeżeli instalacja punktów dostępu będzie odbywać się bez decyzji, o której mowa w art 39 ust. </w:t>
      </w:r>
      <w:r w:rsidR="00DA41C8" w:rsidRPr="00CE1978">
        <w:rPr>
          <w:rFonts w:ascii="Times New Roman" w:eastAsia="Helvetica" w:hAnsi="Times New Roman" w:cs="Times New Roman"/>
          <w:color w:val="000000" w:themeColor="text1"/>
          <w:sz w:val="24"/>
          <w:szCs w:val="24"/>
        </w:rPr>
        <w:t>3</w:t>
      </w:r>
      <w:r w:rsidR="00DA41C8" w:rsidRPr="00CE1978">
        <w:rPr>
          <w:rFonts w:ascii="Times New Roman" w:eastAsia="Helvetica" w:hAnsi="Times New Roman" w:cs="Times New Roman"/>
          <w:color w:val="000000" w:themeColor="text1"/>
          <w:sz w:val="24"/>
          <w:szCs w:val="24"/>
          <w:vertAlign w:val="superscript"/>
        </w:rPr>
        <w:t>1</w:t>
      </w:r>
      <w:r w:rsidR="00DA41C8" w:rsidRPr="00CE1978">
        <w:rPr>
          <w:rFonts w:ascii="Times New Roman" w:eastAsia="Times New Roman" w:hAnsi="Times New Roman" w:cs="Times New Roman"/>
          <w:color w:val="000000" w:themeColor="text1"/>
          <w:sz w:val="24"/>
          <w:szCs w:val="24"/>
        </w:rPr>
        <w:t>, lub niezgodnie z tą decyzją.</w:t>
      </w:r>
    </w:p>
    <w:p w14:paraId="232860DA" w14:textId="6C799337" w:rsidR="005C1548" w:rsidRPr="00CE1978" w:rsidRDefault="00D15947" w:rsidP="00F91F34">
      <w:pPr>
        <w:keepNext/>
        <w:spacing w:before="120" w:after="0" w:line="360" w:lineRule="auto"/>
        <w:jc w:val="both"/>
        <w:rPr>
          <w:rFonts w:ascii="Times New Roman" w:eastAsia="Times New Roman" w:hAnsi="Times New Roman" w:cs="Times New Roman"/>
          <w:b/>
          <w:color w:val="000000" w:themeColor="text1"/>
          <w:sz w:val="24"/>
          <w:szCs w:val="24"/>
        </w:rPr>
      </w:pPr>
      <w:r w:rsidRPr="00CE1978">
        <w:rPr>
          <w:rFonts w:ascii="Times New Roman" w:eastAsia="Times New Roman" w:hAnsi="Times New Roman" w:cs="Times New Roman"/>
          <w:b/>
          <w:color w:val="000000" w:themeColor="text1"/>
          <w:sz w:val="24"/>
          <w:szCs w:val="24"/>
        </w:rPr>
        <w:lastRenderedPageBreak/>
        <w:t>A</w:t>
      </w:r>
      <w:r w:rsidR="005C1548" w:rsidRPr="00CE1978">
        <w:rPr>
          <w:rFonts w:ascii="Times New Roman" w:eastAsia="Times New Roman" w:hAnsi="Times New Roman" w:cs="Times New Roman"/>
          <w:b/>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 xml:space="preserve">5 </w:t>
      </w:r>
      <w:r w:rsidR="005C1548" w:rsidRPr="00CE1978">
        <w:rPr>
          <w:rFonts w:ascii="Times New Roman" w:eastAsia="Times New Roman" w:hAnsi="Times New Roman" w:cs="Times New Roman"/>
          <w:b/>
          <w:bCs/>
          <w:color w:val="000000" w:themeColor="text1"/>
          <w:sz w:val="24"/>
          <w:szCs w:val="24"/>
        </w:rPr>
        <w:t>pkt 2 lit. c</w:t>
      </w:r>
    </w:p>
    <w:p w14:paraId="5F184BB5" w14:textId="57E0E660" w:rsidR="00B05438" w:rsidRPr="00CE1978" w:rsidRDefault="28F93248"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 projektowanym </w:t>
      </w:r>
      <w:r w:rsidR="00886DA4" w:rsidRPr="00CE1978">
        <w:rPr>
          <w:rFonts w:ascii="Times New Roman" w:eastAsia="Times New Roman" w:hAnsi="Times New Roman" w:cs="Times New Roman"/>
          <w:color w:val="000000" w:themeColor="text1"/>
          <w:sz w:val="24"/>
          <w:szCs w:val="24"/>
        </w:rPr>
        <w:t xml:space="preserve">art. 39 </w:t>
      </w:r>
      <w:r w:rsidRPr="00CE1978">
        <w:rPr>
          <w:rFonts w:ascii="Times New Roman" w:eastAsia="Times New Roman" w:hAnsi="Times New Roman" w:cs="Times New Roman"/>
          <w:color w:val="000000" w:themeColor="text1"/>
          <w:sz w:val="24"/>
          <w:szCs w:val="24"/>
        </w:rPr>
        <w:t xml:space="preserve">ust. </w:t>
      </w:r>
      <w:r w:rsidRPr="00CE1978">
        <w:rPr>
          <w:rFonts w:ascii="Times New Roman" w:eastAsia="Helvetica" w:hAnsi="Times New Roman" w:cs="Times New Roman"/>
          <w:color w:val="000000" w:themeColor="text1"/>
          <w:sz w:val="24"/>
          <w:szCs w:val="24"/>
        </w:rPr>
        <w:t>3</w:t>
      </w:r>
      <w:r w:rsidRPr="00CE1978">
        <w:rPr>
          <w:rFonts w:ascii="Times New Roman" w:eastAsia="Helvetica" w:hAnsi="Times New Roman" w:cs="Times New Roman"/>
          <w:color w:val="000000" w:themeColor="text1"/>
          <w:sz w:val="24"/>
          <w:szCs w:val="24"/>
          <w:vertAlign w:val="superscript"/>
        </w:rPr>
        <w:t>1</w:t>
      </w:r>
      <w:r w:rsidRPr="00CE1978">
        <w:rPr>
          <w:rFonts w:ascii="Times New Roman" w:eastAsia="Times New Roman" w:hAnsi="Times New Roman" w:cs="Times New Roman"/>
          <w:color w:val="000000" w:themeColor="text1"/>
          <w:sz w:val="24"/>
          <w:szCs w:val="24"/>
        </w:rPr>
        <w:t xml:space="preserve"> przesądzono, że instalowanie punktów dostępu bezprzewodowego o bliskim zasięgu może nastąpić wyłącznie za zezwoleniem właściw</w:t>
      </w:r>
      <w:r w:rsidR="3C9E5C30" w:rsidRPr="00CE1978">
        <w:rPr>
          <w:rFonts w:ascii="Times New Roman" w:eastAsia="Times New Roman" w:hAnsi="Times New Roman" w:cs="Times New Roman"/>
          <w:color w:val="000000" w:themeColor="text1"/>
          <w:sz w:val="24"/>
          <w:szCs w:val="24"/>
        </w:rPr>
        <w:t>ego zarządcy drogi, wydawanym w drodze decyzji administracyjnej. W</w:t>
      </w:r>
      <w:r w:rsidR="00886DA4" w:rsidRPr="00CE1978">
        <w:rPr>
          <w:rFonts w:ascii="Times New Roman" w:eastAsia="Times New Roman" w:hAnsi="Times New Roman" w:cs="Times New Roman"/>
          <w:color w:val="000000" w:themeColor="text1"/>
          <w:sz w:val="24"/>
          <w:szCs w:val="24"/>
        </w:rPr>
        <w:t xml:space="preserve"> art. 39</w:t>
      </w:r>
      <w:r w:rsidR="3C9E5C30" w:rsidRPr="00CE1978">
        <w:rPr>
          <w:rFonts w:ascii="Times New Roman" w:eastAsia="Times New Roman" w:hAnsi="Times New Roman" w:cs="Times New Roman"/>
          <w:color w:val="000000" w:themeColor="text1"/>
          <w:sz w:val="24"/>
          <w:szCs w:val="24"/>
        </w:rPr>
        <w:t xml:space="preserve"> ust. </w:t>
      </w:r>
      <w:r w:rsidR="3C9E5C30" w:rsidRPr="00CE1978">
        <w:rPr>
          <w:rFonts w:ascii="Times New Roman" w:eastAsia="Helvetica" w:hAnsi="Times New Roman" w:cs="Times New Roman"/>
          <w:color w:val="000000" w:themeColor="text1"/>
          <w:sz w:val="24"/>
          <w:szCs w:val="24"/>
        </w:rPr>
        <w:t>3</w:t>
      </w:r>
      <w:r w:rsidR="00886DA4" w:rsidRPr="00CE1978">
        <w:rPr>
          <w:rFonts w:ascii="Times New Roman" w:eastAsia="Helvetica" w:hAnsi="Times New Roman" w:cs="Times New Roman"/>
          <w:color w:val="000000" w:themeColor="text1"/>
          <w:sz w:val="24"/>
          <w:szCs w:val="24"/>
          <w:vertAlign w:val="superscript"/>
        </w:rPr>
        <w:t>2</w:t>
      </w:r>
      <w:r w:rsidR="3C9E5C30" w:rsidRPr="00CE1978">
        <w:rPr>
          <w:rFonts w:ascii="Times New Roman" w:eastAsia="Times New Roman" w:hAnsi="Times New Roman" w:cs="Times New Roman"/>
          <w:color w:val="000000" w:themeColor="text1"/>
          <w:sz w:val="24"/>
          <w:szCs w:val="24"/>
        </w:rPr>
        <w:t xml:space="preserve"> wskazano, że jedyną przesłanką odmowy wy</w:t>
      </w:r>
      <w:r w:rsidR="125E7B23" w:rsidRPr="00CE1978">
        <w:rPr>
          <w:rFonts w:ascii="Times New Roman" w:eastAsia="Times New Roman" w:hAnsi="Times New Roman" w:cs="Times New Roman"/>
          <w:color w:val="000000" w:themeColor="text1"/>
          <w:sz w:val="24"/>
          <w:szCs w:val="24"/>
        </w:rPr>
        <w:t>dania zezwolenia jest zagrożenie bezpieczeństwa ruchu d</w:t>
      </w:r>
      <w:r w:rsidR="504AA8F6" w:rsidRPr="00CE1978">
        <w:rPr>
          <w:rFonts w:ascii="Times New Roman" w:eastAsia="Times New Roman" w:hAnsi="Times New Roman" w:cs="Times New Roman"/>
          <w:color w:val="000000" w:themeColor="text1"/>
          <w:sz w:val="24"/>
          <w:szCs w:val="24"/>
        </w:rPr>
        <w:t xml:space="preserve">rogowego. </w:t>
      </w:r>
      <w:r w:rsidR="00886DA4" w:rsidRPr="00CE1978">
        <w:rPr>
          <w:rFonts w:ascii="Times New Roman" w:eastAsia="Times New Roman" w:hAnsi="Times New Roman" w:cs="Times New Roman"/>
          <w:color w:val="000000" w:themeColor="text1"/>
          <w:sz w:val="24"/>
          <w:szCs w:val="24"/>
        </w:rPr>
        <w:t>Art. 39 u</w:t>
      </w:r>
      <w:r w:rsidR="2B2FD1E0" w:rsidRPr="00CE1978">
        <w:rPr>
          <w:rFonts w:ascii="Times New Roman" w:eastAsia="Times New Roman" w:hAnsi="Times New Roman" w:cs="Times New Roman"/>
          <w:color w:val="000000" w:themeColor="text1"/>
          <w:sz w:val="24"/>
          <w:szCs w:val="24"/>
        </w:rPr>
        <w:t xml:space="preserve">st. </w:t>
      </w:r>
      <w:r w:rsidR="2B2FD1E0" w:rsidRPr="00CE1978">
        <w:rPr>
          <w:rFonts w:ascii="Times New Roman" w:eastAsia="Helvetica" w:hAnsi="Times New Roman" w:cs="Times New Roman"/>
          <w:color w:val="000000" w:themeColor="text1"/>
          <w:sz w:val="24"/>
          <w:szCs w:val="24"/>
        </w:rPr>
        <w:t>3</w:t>
      </w:r>
      <w:r w:rsidR="00C358CE" w:rsidRPr="00CE1978">
        <w:rPr>
          <w:rFonts w:ascii="Times New Roman" w:eastAsia="Helvetica" w:hAnsi="Times New Roman" w:cs="Times New Roman"/>
          <w:color w:val="000000" w:themeColor="text1"/>
          <w:sz w:val="24"/>
          <w:szCs w:val="24"/>
          <w:vertAlign w:val="superscript"/>
        </w:rPr>
        <w:t>3</w:t>
      </w:r>
      <w:r w:rsidR="2B2FD1E0" w:rsidRPr="00CE1978">
        <w:rPr>
          <w:rFonts w:ascii="Times New Roman" w:eastAsia="Times New Roman" w:hAnsi="Times New Roman" w:cs="Times New Roman"/>
          <w:color w:val="000000" w:themeColor="text1"/>
          <w:sz w:val="24"/>
          <w:szCs w:val="24"/>
        </w:rPr>
        <w:t xml:space="preserve"> rozstrzyga, że do instalacji punktów dostępu wymagana jest jedynie jedno zezwolenia zarządcy drogi, tj. </w:t>
      </w:r>
      <w:r w:rsidR="3B9D67D8" w:rsidRPr="00CE1978">
        <w:rPr>
          <w:rFonts w:ascii="Times New Roman" w:eastAsia="Times New Roman" w:hAnsi="Times New Roman" w:cs="Times New Roman"/>
          <w:color w:val="000000" w:themeColor="text1"/>
          <w:sz w:val="24"/>
          <w:szCs w:val="24"/>
        </w:rPr>
        <w:t>d</w:t>
      </w:r>
      <w:r w:rsidR="2B2FD1E0" w:rsidRPr="00CE1978">
        <w:rPr>
          <w:rFonts w:ascii="Times New Roman" w:eastAsia="Times New Roman" w:hAnsi="Times New Roman" w:cs="Times New Roman"/>
          <w:color w:val="000000" w:themeColor="text1"/>
          <w:sz w:val="24"/>
          <w:szCs w:val="24"/>
        </w:rPr>
        <w:t>ecyzja, o k</w:t>
      </w:r>
      <w:r w:rsidR="6D065797" w:rsidRPr="00CE1978">
        <w:rPr>
          <w:rFonts w:ascii="Times New Roman" w:eastAsia="Times New Roman" w:hAnsi="Times New Roman" w:cs="Times New Roman"/>
          <w:color w:val="000000" w:themeColor="text1"/>
          <w:sz w:val="24"/>
          <w:szCs w:val="24"/>
        </w:rPr>
        <w:t>tórej mowa w</w:t>
      </w:r>
      <w:r w:rsidR="0F83BC49" w:rsidRPr="00CE1978">
        <w:rPr>
          <w:rFonts w:ascii="Times New Roman" w:eastAsia="Times New Roman" w:hAnsi="Times New Roman" w:cs="Times New Roman"/>
          <w:color w:val="000000" w:themeColor="text1"/>
          <w:sz w:val="24"/>
          <w:szCs w:val="24"/>
        </w:rPr>
        <w:t xml:space="preserve"> ust. </w:t>
      </w:r>
      <w:r w:rsidR="0F83BC49" w:rsidRPr="00CE1978">
        <w:rPr>
          <w:rFonts w:ascii="Times New Roman" w:eastAsia="Helvetica" w:hAnsi="Times New Roman" w:cs="Times New Roman"/>
          <w:color w:val="000000" w:themeColor="text1"/>
          <w:sz w:val="24"/>
          <w:szCs w:val="24"/>
        </w:rPr>
        <w:t>3</w:t>
      </w:r>
      <w:r w:rsidR="0F83BC49" w:rsidRPr="00CE1978">
        <w:rPr>
          <w:rFonts w:ascii="Times New Roman" w:eastAsia="Helvetica" w:hAnsi="Times New Roman" w:cs="Times New Roman"/>
          <w:color w:val="000000" w:themeColor="text1"/>
          <w:sz w:val="24"/>
          <w:szCs w:val="24"/>
          <w:vertAlign w:val="superscript"/>
        </w:rPr>
        <w:t xml:space="preserve">1 </w:t>
      </w:r>
      <w:r w:rsidR="4F75ED75" w:rsidRPr="00CE1978">
        <w:rPr>
          <w:rFonts w:ascii="Times New Roman" w:eastAsia="Times New Roman" w:hAnsi="Times New Roman" w:cs="Times New Roman"/>
          <w:color w:val="000000" w:themeColor="text1"/>
          <w:sz w:val="24"/>
          <w:szCs w:val="24"/>
        </w:rPr>
        <w:t>. Tak więc podmiot, który planuje instalowanie punktów dostępu w pasie drogowym zostaje zwolniony z obowiązku uzyskania decyzji na zajęcie pasa drog</w:t>
      </w:r>
      <w:r w:rsidR="337AF700" w:rsidRPr="00CE1978">
        <w:rPr>
          <w:rFonts w:ascii="Times New Roman" w:eastAsia="Times New Roman" w:hAnsi="Times New Roman" w:cs="Times New Roman"/>
          <w:color w:val="000000" w:themeColor="text1"/>
          <w:sz w:val="24"/>
          <w:szCs w:val="24"/>
        </w:rPr>
        <w:t>owego, o których mowa w art. 40 ust. 1, a także opłat z tym związanych (art. 40 ust. 3</w:t>
      </w:r>
      <w:r w:rsidR="00C358CE" w:rsidRPr="00CE1978">
        <w:rPr>
          <w:rFonts w:ascii="Times New Roman" w:eastAsia="Times New Roman" w:hAnsi="Times New Roman" w:cs="Times New Roman"/>
          <w:color w:val="000000" w:themeColor="text1"/>
          <w:sz w:val="24"/>
          <w:szCs w:val="24"/>
        </w:rPr>
        <w:t xml:space="preserve"> ustawy o drogach publicznych</w:t>
      </w:r>
      <w:r w:rsidR="337AF700" w:rsidRPr="00CE1978">
        <w:rPr>
          <w:rFonts w:ascii="Times New Roman" w:eastAsia="Times New Roman" w:hAnsi="Times New Roman" w:cs="Times New Roman"/>
          <w:color w:val="000000" w:themeColor="text1"/>
          <w:sz w:val="24"/>
          <w:szCs w:val="24"/>
        </w:rPr>
        <w:t xml:space="preserve">). To rozwiązanie jest w pełni zgodne z art. 57 </w:t>
      </w:r>
      <w:r w:rsidR="00C358CE" w:rsidRPr="00CE1978">
        <w:rPr>
          <w:rFonts w:ascii="Times New Roman" w:eastAsia="Times New Roman" w:hAnsi="Times New Roman" w:cs="Times New Roman"/>
          <w:color w:val="000000" w:themeColor="text1"/>
          <w:sz w:val="24"/>
          <w:szCs w:val="24"/>
        </w:rPr>
        <w:t xml:space="preserve">ust. 5 </w:t>
      </w:r>
      <w:r w:rsidR="337AF700" w:rsidRPr="00CE1978">
        <w:rPr>
          <w:rFonts w:ascii="Times New Roman" w:eastAsia="Times New Roman" w:hAnsi="Times New Roman" w:cs="Times New Roman"/>
          <w:color w:val="000000" w:themeColor="text1"/>
          <w:sz w:val="24"/>
          <w:szCs w:val="24"/>
        </w:rPr>
        <w:t>EK</w:t>
      </w:r>
      <w:r w:rsidR="13045D18" w:rsidRPr="00CE1978">
        <w:rPr>
          <w:rFonts w:ascii="Times New Roman" w:eastAsia="Times New Roman" w:hAnsi="Times New Roman" w:cs="Times New Roman"/>
          <w:color w:val="000000" w:themeColor="text1"/>
          <w:sz w:val="24"/>
          <w:szCs w:val="24"/>
        </w:rPr>
        <w:t>ŁE</w:t>
      </w:r>
      <w:r w:rsidR="00C358CE" w:rsidRPr="00CE1978">
        <w:rPr>
          <w:rFonts w:ascii="Times New Roman" w:eastAsia="Times New Roman" w:hAnsi="Times New Roman" w:cs="Times New Roman"/>
          <w:color w:val="000000" w:themeColor="text1"/>
          <w:sz w:val="24"/>
          <w:szCs w:val="24"/>
        </w:rPr>
        <w:t>, zgodnie z którym uruchamianie punktów dostępu bezprzewodowego o bliskim zasięgu nie podlega żadnym opłatom niebędącym opłatami administracyjnymi zgodnie z art. 16 tejże dyrektywy. Opłata za zajęcie pasa drogowego nie mieści się w pojęciu „opłaty administracyjnej” w rozumieniu EKŁE, więc konieczne jest wyłączenie stosowania art. 40 ust. 3 ustawy o drogach publicznych.</w:t>
      </w:r>
      <w:r w:rsidR="005C1548" w:rsidRPr="00CE1978">
        <w:rPr>
          <w:rFonts w:ascii="Times New Roman" w:eastAsia="Times New Roman" w:hAnsi="Times New Roman" w:cs="Times New Roman"/>
          <w:color w:val="000000" w:themeColor="text1"/>
          <w:sz w:val="24"/>
          <w:szCs w:val="24"/>
        </w:rPr>
        <w:t xml:space="preserve"> </w:t>
      </w:r>
    </w:p>
    <w:p w14:paraId="421D47A7" w14:textId="1F6BEA14" w:rsidR="00B05438" w:rsidRPr="00CE1978" w:rsidRDefault="00C358CE"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W przypadku gdy umieszczenie w pasie drogowym dotyczy jednocześnie infrastruktury telekomunikacyjnej i punktów dostępu, zarządca drogi proceduje wnioski o wydanie decyzji, o których mowa w ust. 3 i 3</w:t>
      </w:r>
      <w:r w:rsidRPr="00CE1978">
        <w:rPr>
          <w:rFonts w:ascii="Times New Roman" w:eastAsia="Times New Roman" w:hAnsi="Times New Roman" w:cs="Times New Roman"/>
          <w:color w:val="000000" w:themeColor="text1"/>
          <w:sz w:val="24"/>
          <w:szCs w:val="24"/>
          <w:vertAlign w:val="superscript"/>
        </w:rPr>
        <w:t>1</w:t>
      </w:r>
      <w:r w:rsidRPr="00CE1978">
        <w:rPr>
          <w:rFonts w:ascii="Times New Roman" w:eastAsia="Times New Roman" w:hAnsi="Times New Roman" w:cs="Times New Roman"/>
          <w:color w:val="000000" w:themeColor="text1"/>
          <w:sz w:val="24"/>
          <w:szCs w:val="24"/>
        </w:rPr>
        <w:t>, łącznie</w:t>
      </w:r>
      <w:r w:rsidR="00C07BEF" w:rsidRPr="00CE1978">
        <w:rPr>
          <w:rFonts w:ascii="Times New Roman" w:eastAsia="Times New Roman" w:hAnsi="Times New Roman" w:cs="Times New Roman"/>
          <w:color w:val="000000" w:themeColor="text1"/>
          <w:sz w:val="24"/>
          <w:szCs w:val="24"/>
        </w:rPr>
        <w:t xml:space="preserve"> i wydaje jedną decyzję administracyjną,</w:t>
      </w:r>
      <w:r w:rsidRPr="00CE1978">
        <w:rPr>
          <w:rFonts w:ascii="Times New Roman" w:eastAsia="Times New Roman" w:hAnsi="Times New Roman" w:cs="Times New Roman"/>
          <w:color w:val="000000" w:themeColor="text1"/>
          <w:sz w:val="24"/>
          <w:szCs w:val="24"/>
        </w:rPr>
        <w:t xml:space="preserve"> o czym przesądza nowododany art. 39 ust. 3</w:t>
      </w:r>
      <w:r w:rsidRPr="00CE1978">
        <w:rPr>
          <w:rFonts w:ascii="Times New Roman" w:eastAsia="Times New Roman" w:hAnsi="Times New Roman" w:cs="Times New Roman"/>
          <w:color w:val="000000" w:themeColor="text1"/>
          <w:sz w:val="24"/>
          <w:szCs w:val="24"/>
          <w:vertAlign w:val="superscript"/>
        </w:rPr>
        <w:t>4</w:t>
      </w:r>
      <w:r w:rsidRPr="00CE1978">
        <w:rPr>
          <w:rFonts w:ascii="Times New Roman" w:eastAsia="Times New Roman" w:hAnsi="Times New Roman" w:cs="Times New Roman"/>
          <w:color w:val="000000" w:themeColor="text1"/>
          <w:sz w:val="24"/>
          <w:szCs w:val="24"/>
        </w:rPr>
        <w:t>.</w:t>
      </w:r>
      <w:r w:rsidR="00B05438" w:rsidRPr="00CE1978">
        <w:rPr>
          <w:rFonts w:ascii="Times New Roman" w:eastAsia="Times New Roman" w:hAnsi="Times New Roman" w:cs="Times New Roman"/>
          <w:color w:val="000000" w:themeColor="text1"/>
          <w:sz w:val="24"/>
          <w:szCs w:val="24"/>
        </w:rPr>
        <w:t xml:space="preserve"> W praktyce oznacza, że w jednym rozstrzygnięciu, tj. wydaniu zezwolenia w formie decyzji, odniesie się do obu żądań składających się na jedną sprawę administracyjną, w oparciu o relewantne dla tych żądań przepisy (np. różne są przesłanki odmowy udzielenia zezwolenia). Taki obowiązek połączenia różnych żądań (wniosków wywodzonych na podstawie różnych przepisów prawa materialnego) </w:t>
      </w:r>
      <w:r w:rsidR="00A54395" w:rsidRPr="00CE1978">
        <w:rPr>
          <w:rFonts w:ascii="Times New Roman" w:eastAsia="Times New Roman" w:hAnsi="Times New Roman" w:cs="Times New Roman"/>
          <w:color w:val="000000" w:themeColor="text1"/>
          <w:sz w:val="24"/>
          <w:szCs w:val="24"/>
        </w:rPr>
        <w:t>jest rozwiązaniem występującym w systemie prawa</w:t>
      </w:r>
      <w:r w:rsidR="00B05438" w:rsidRPr="00CE1978">
        <w:rPr>
          <w:rFonts w:ascii="Times New Roman" w:eastAsia="Times New Roman" w:hAnsi="Times New Roman" w:cs="Times New Roman"/>
          <w:color w:val="000000" w:themeColor="text1"/>
          <w:sz w:val="24"/>
          <w:szCs w:val="24"/>
        </w:rPr>
        <w:t>. Zarządca, prowadząc indywidualną sprawę, może uznać za zasadne wydanie rozstrzygnięcia uwzględniające jedynie część żądań (np. gdy spełnione są przesłanki do lokalizacji punktów dostępu, ale nie do infrastruktury telekomunikacyjnej –będącej infrastrukturą powiązaną na gruncie tej instytucji – lub odwrotnie). Nakaz połączenia wniosków oznacza, że są one objęte jednym postępowaniem i jednym rozstrzygnięciem jako jedna sprawa administracyjna. Nie oznacza to, że mamy do czynienia z kolizją przepisów i potrzebą stosowania zasad wykładn</w:t>
      </w:r>
      <w:r w:rsidR="00A54395" w:rsidRPr="00CE1978">
        <w:rPr>
          <w:rFonts w:ascii="Times New Roman" w:eastAsia="Times New Roman" w:hAnsi="Times New Roman" w:cs="Times New Roman"/>
          <w:color w:val="000000" w:themeColor="text1"/>
          <w:sz w:val="24"/>
          <w:szCs w:val="24"/>
        </w:rPr>
        <w:t xml:space="preserve">i prawa dla nich przewidzianą. </w:t>
      </w:r>
      <w:r w:rsidR="00B05438" w:rsidRPr="00CE1978">
        <w:rPr>
          <w:rFonts w:ascii="Times New Roman" w:eastAsia="Times New Roman" w:hAnsi="Times New Roman" w:cs="Times New Roman"/>
          <w:color w:val="000000" w:themeColor="text1"/>
          <w:sz w:val="24"/>
          <w:szCs w:val="24"/>
        </w:rPr>
        <w:t>Takie rozwiązanie pozwoli wyeliminować niczym nieuzasadnioną niepewność inwestycyjną po stronie przedsiębiorcy</w:t>
      </w:r>
      <w:r w:rsidR="00A54395" w:rsidRPr="00CE1978">
        <w:rPr>
          <w:rFonts w:ascii="Times New Roman" w:eastAsia="Times New Roman" w:hAnsi="Times New Roman" w:cs="Times New Roman"/>
          <w:color w:val="000000" w:themeColor="text1"/>
          <w:sz w:val="24"/>
          <w:szCs w:val="24"/>
        </w:rPr>
        <w:t xml:space="preserve">, a także pozwoli ograniczyć koszty związane z wydawaniem decyzji przez zarządcę drogi, ze </w:t>
      </w:r>
      <w:r w:rsidR="00A54395" w:rsidRPr="00CE1978">
        <w:rPr>
          <w:rFonts w:ascii="Times New Roman" w:eastAsia="Times New Roman" w:hAnsi="Times New Roman" w:cs="Times New Roman"/>
          <w:color w:val="000000" w:themeColor="text1"/>
          <w:sz w:val="24"/>
          <w:szCs w:val="24"/>
        </w:rPr>
        <w:lastRenderedPageBreak/>
        <w:t xml:space="preserve">względu na </w:t>
      </w:r>
      <w:r w:rsidR="008046AD" w:rsidRPr="00CE1978">
        <w:rPr>
          <w:rFonts w:ascii="Times New Roman" w:eastAsia="Times New Roman" w:hAnsi="Times New Roman" w:cs="Times New Roman"/>
          <w:color w:val="000000" w:themeColor="text1"/>
          <w:sz w:val="24"/>
          <w:szCs w:val="24"/>
        </w:rPr>
        <w:t>zmniejszeniu</w:t>
      </w:r>
      <w:r w:rsidR="00A54395" w:rsidRPr="00CE1978">
        <w:rPr>
          <w:rFonts w:ascii="Times New Roman" w:eastAsia="Times New Roman" w:hAnsi="Times New Roman" w:cs="Times New Roman"/>
          <w:color w:val="000000" w:themeColor="text1"/>
          <w:sz w:val="24"/>
          <w:szCs w:val="24"/>
        </w:rPr>
        <w:t xml:space="preserve"> liczby czynności w jednym postępowaniu </w:t>
      </w:r>
      <w:r w:rsidR="008046AD" w:rsidRPr="00CE1978">
        <w:rPr>
          <w:rFonts w:ascii="Times New Roman" w:eastAsia="Times New Roman" w:hAnsi="Times New Roman" w:cs="Times New Roman"/>
          <w:color w:val="000000" w:themeColor="text1"/>
          <w:sz w:val="24"/>
          <w:szCs w:val="24"/>
        </w:rPr>
        <w:t xml:space="preserve">(„łącznym”) </w:t>
      </w:r>
      <w:r w:rsidR="00A54395" w:rsidRPr="00CE1978">
        <w:rPr>
          <w:rFonts w:ascii="Times New Roman" w:eastAsia="Times New Roman" w:hAnsi="Times New Roman" w:cs="Times New Roman"/>
          <w:color w:val="000000" w:themeColor="text1"/>
          <w:sz w:val="24"/>
          <w:szCs w:val="24"/>
        </w:rPr>
        <w:t>w stosunku do sumy czynności, które byłyby wykonywane odrębnie dla każdego z postępowań</w:t>
      </w:r>
      <w:r w:rsidR="00B05438" w:rsidRPr="00CE1978">
        <w:rPr>
          <w:rFonts w:ascii="Times New Roman" w:eastAsia="Times New Roman" w:hAnsi="Times New Roman" w:cs="Times New Roman"/>
          <w:color w:val="000000" w:themeColor="text1"/>
          <w:sz w:val="24"/>
          <w:szCs w:val="24"/>
        </w:rPr>
        <w:t>.</w:t>
      </w:r>
    </w:p>
    <w:p w14:paraId="7852B6E5" w14:textId="30E705D3" w:rsidR="00C358CE" w:rsidRPr="00CE1978" w:rsidRDefault="00D15947"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color w:val="000000" w:themeColor="text1"/>
          <w:sz w:val="24"/>
          <w:szCs w:val="24"/>
        </w:rPr>
        <w:t>A</w:t>
      </w:r>
      <w:r w:rsidR="005C1548" w:rsidRPr="00CE1978">
        <w:rPr>
          <w:rFonts w:ascii="Times New Roman" w:eastAsia="Times New Roman" w:hAnsi="Times New Roman" w:cs="Times New Roman"/>
          <w:b/>
          <w:color w:val="000000" w:themeColor="text1"/>
          <w:sz w:val="24"/>
          <w:szCs w:val="24"/>
        </w:rPr>
        <w:t xml:space="preserve">rt. </w:t>
      </w:r>
      <w:r w:rsidR="00ED5C54" w:rsidRPr="00CE1978">
        <w:rPr>
          <w:rFonts w:ascii="Times New Roman" w:eastAsia="Times New Roman" w:hAnsi="Times New Roman" w:cs="Times New Roman"/>
          <w:b/>
          <w:color w:val="000000" w:themeColor="text1"/>
          <w:sz w:val="24"/>
          <w:szCs w:val="24"/>
        </w:rPr>
        <w:t>5</w:t>
      </w:r>
      <w:r w:rsidR="00ED5C54" w:rsidRPr="00CE1978">
        <w:rPr>
          <w:rFonts w:ascii="Times New Roman" w:eastAsia="Times New Roman" w:hAnsi="Times New Roman" w:cs="Times New Roman"/>
          <w:color w:val="000000" w:themeColor="text1"/>
          <w:sz w:val="24"/>
          <w:szCs w:val="24"/>
        </w:rPr>
        <w:t xml:space="preserve"> </w:t>
      </w:r>
      <w:r w:rsidR="005C1548" w:rsidRPr="00CE1978">
        <w:rPr>
          <w:rFonts w:ascii="Times New Roman" w:eastAsia="Times New Roman" w:hAnsi="Times New Roman" w:cs="Times New Roman"/>
          <w:b/>
          <w:bCs/>
          <w:color w:val="000000" w:themeColor="text1"/>
          <w:sz w:val="24"/>
          <w:szCs w:val="24"/>
        </w:rPr>
        <w:t xml:space="preserve">pkt 2 lit. </w:t>
      </w:r>
      <w:r w:rsidR="00DA41C8" w:rsidRPr="00CE1978">
        <w:rPr>
          <w:rFonts w:ascii="Times New Roman" w:eastAsia="Times New Roman" w:hAnsi="Times New Roman" w:cs="Times New Roman"/>
          <w:b/>
          <w:bCs/>
          <w:color w:val="000000" w:themeColor="text1"/>
          <w:sz w:val="24"/>
          <w:szCs w:val="24"/>
        </w:rPr>
        <w:t>d</w:t>
      </w:r>
    </w:p>
    <w:p w14:paraId="183F583E" w14:textId="06E5F6C4" w:rsidR="00DA41C8" w:rsidRPr="00CE1978" w:rsidRDefault="7F4CEB59"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Zm</w:t>
      </w:r>
      <w:r w:rsidR="775012F1" w:rsidRPr="00CE1978">
        <w:rPr>
          <w:rFonts w:ascii="Times New Roman" w:eastAsia="Times New Roman" w:hAnsi="Times New Roman" w:cs="Times New Roman"/>
          <w:color w:val="000000" w:themeColor="text1"/>
          <w:sz w:val="24"/>
          <w:szCs w:val="24"/>
        </w:rPr>
        <w:t>i</w:t>
      </w:r>
      <w:r w:rsidRPr="00CE1978">
        <w:rPr>
          <w:rFonts w:ascii="Times New Roman" w:eastAsia="Times New Roman" w:hAnsi="Times New Roman" w:cs="Times New Roman"/>
          <w:color w:val="000000" w:themeColor="text1"/>
          <w:sz w:val="24"/>
          <w:szCs w:val="24"/>
        </w:rPr>
        <w:t xml:space="preserve">ana w istniejącym </w:t>
      </w:r>
      <w:r w:rsidR="00C358CE" w:rsidRPr="00CE1978">
        <w:rPr>
          <w:rFonts w:ascii="Times New Roman" w:eastAsia="Times New Roman" w:hAnsi="Times New Roman" w:cs="Times New Roman"/>
          <w:color w:val="000000" w:themeColor="text1"/>
          <w:sz w:val="24"/>
          <w:szCs w:val="24"/>
        </w:rPr>
        <w:t xml:space="preserve">art. 39 </w:t>
      </w:r>
      <w:r w:rsidRPr="00CE1978">
        <w:rPr>
          <w:rFonts w:ascii="Times New Roman" w:eastAsia="Times New Roman" w:hAnsi="Times New Roman" w:cs="Times New Roman"/>
          <w:color w:val="000000" w:themeColor="text1"/>
          <w:sz w:val="24"/>
          <w:szCs w:val="24"/>
        </w:rPr>
        <w:t>ust. 3aa</w:t>
      </w:r>
      <w:r w:rsidR="37078E60"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color w:val="000000" w:themeColor="text1"/>
          <w:sz w:val="24"/>
          <w:szCs w:val="24"/>
        </w:rPr>
        <w:t xml:space="preserve">polega na dodaniu odwołania również do decyzji dotyczącej punktów dostępu. </w:t>
      </w:r>
    </w:p>
    <w:p w14:paraId="51290F79" w14:textId="3EB60BCA" w:rsidR="00DA41C8" w:rsidRPr="00CE1978" w:rsidRDefault="00D15947"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color w:val="000000" w:themeColor="text1"/>
          <w:sz w:val="24"/>
          <w:szCs w:val="24"/>
        </w:rPr>
        <w:t>A</w:t>
      </w:r>
      <w:r w:rsidR="00DA41C8" w:rsidRPr="00CE1978">
        <w:rPr>
          <w:rFonts w:ascii="Times New Roman" w:eastAsia="Times New Roman" w:hAnsi="Times New Roman" w:cs="Times New Roman"/>
          <w:b/>
          <w:color w:val="000000" w:themeColor="text1"/>
          <w:sz w:val="24"/>
          <w:szCs w:val="24"/>
        </w:rPr>
        <w:t xml:space="preserve">rt. </w:t>
      </w:r>
      <w:r w:rsidR="00ED5C54" w:rsidRPr="00CE1978">
        <w:rPr>
          <w:rFonts w:ascii="Times New Roman" w:eastAsia="Times New Roman" w:hAnsi="Times New Roman" w:cs="Times New Roman"/>
          <w:b/>
          <w:color w:val="000000" w:themeColor="text1"/>
          <w:sz w:val="24"/>
          <w:szCs w:val="24"/>
        </w:rPr>
        <w:t>5</w:t>
      </w:r>
      <w:r w:rsidR="00ED5C54" w:rsidRPr="00CE1978">
        <w:rPr>
          <w:rFonts w:ascii="Times New Roman" w:eastAsia="Times New Roman" w:hAnsi="Times New Roman" w:cs="Times New Roman"/>
          <w:color w:val="000000" w:themeColor="text1"/>
          <w:sz w:val="24"/>
          <w:szCs w:val="24"/>
        </w:rPr>
        <w:t xml:space="preserve"> </w:t>
      </w:r>
      <w:r w:rsidR="00DA41C8" w:rsidRPr="00CE1978">
        <w:rPr>
          <w:rFonts w:ascii="Times New Roman" w:eastAsia="Times New Roman" w:hAnsi="Times New Roman" w:cs="Times New Roman"/>
          <w:b/>
          <w:bCs/>
          <w:color w:val="000000" w:themeColor="text1"/>
          <w:sz w:val="24"/>
          <w:szCs w:val="24"/>
        </w:rPr>
        <w:t>pkt 2 lit. e</w:t>
      </w:r>
    </w:p>
    <w:p w14:paraId="2F4383B4" w14:textId="77777777" w:rsidR="00DA41C8" w:rsidRPr="00CE1978" w:rsidRDefault="7F4CEB59"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Po ust. 3aa zaproponowano dodanie ust. 3ab, który wskazuje co ma określać decyzja dotycząca punków dostępu</w:t>
      </w:r>
      <w:r w:rsidR="0A42916A" w:rsidRPr="00CE1978">
        <w:rPr>
          <w:rFonts w:ascii="Times New Roman" w:eastAsia="Times New Roman" w:hAnsi="Times New Roman" w:cs="Times New Roman"/>
          <w:color w:val="000000" w:themeColor="text1"/>
          <w:sz w:val="24"/>
          <w:szCs w:val="24"/>
        </w:rPr>
        <w:t>, czyli</w:t>
      </w:r>
      <w:r w:rsidR="00D316B8" w:rsidRPr="00CE1978">
        <w:rPr>
          <w:rFonts w:ascii="Times New Roman" w:eastAsia="Times New Roman" w:hAnsi="Times New Roman" w:cs="Times New Roman"/>
          <w:color w:val="000000" w:themeColor="text1"/>
          <w:sz w:val="24"/>
          <w:szCs w:val="24"/>
        </w:rPr>
        <w:t>:</w:t>
      </w:r>
      <w:r w:rsidR="0A42916A" w:rsidRPr="00CE1978">
        <w:rPr>
          <w:rFonts w:ascii="Times New Roman" w:eastAsia="Times New Roman" w:hAnsi="Times New Roman" w:cs="Times New Roman"/>
          <w:color w:val="000000" w:themeColor="text1"/>
          <w:sz w:val="24"/>
          <w:szCs w:val="24"/>
        </w:rPr>
        <w:t xml:space="preserve"> sposób, termin, miejsce i warunki umieszczenia w pasie drogowym tych punktów dostępu.</w:t>
      </w:r>
      <w:r w:rsidR="7476EA5E" w:rsidRPr="00CE1978">
        <w:rPr>
          <w:rFonts w:ascii="Times New Roman" w:eastAsia="Times New Roman" w:hAnsi="Times New Roman" w:cs="Times New Roman"/>
          <w:color w:val="000000" w:themeColor="text1"/>
          <w:sz w:val="24"/>
          <w:szCs w:val="24"/>
        </w:rPr>
        <w:t xml:space="preserve"> </w:t>
      </w:r>
    </w:p>
    <w:p w14:paraId="4C2055B3" w14:textId="364DBA90" w:rsidR="00DA41C8" w:rsidRPr="00CE1978" w:rsidRDefault="00D15947"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color w:val="000000" w:themeColor="text1"/>
          <w:sz w:val="24"/>
          <w:szCs w:val="24"/>
        </w:rPr>
        <w:t>A</w:t>
      </w:r>
      <w:r w:rsidR="00DA41C8" w:rsidRPr="00CE1978">
        <w:rPr>
          <w:rFonts w:ascii="Times New Roman" w:eastAsia="Times New Roman" w:hAnsi="Times New Roman" w:cs="Times New Roman"/>
          <w:b/>
          <w:color w:val="000000" w:themeColor="text1"/>
          <w:sz w:val="24"/>
          <w:szCs w:val="24"/>
        </w:rPr>
        <w:t xml:space="preserve">rt. </w:t>
      </w:r>
      <w:r w:rsidR="00ED5C54" w:rsidRPr="00CE1978">
        <w:rPr>
          <w:rFonts w:ascii="Times New Roman" w:eastAsia="Times New Roman" w:hAnsi="Times New Roman" w:cs="Times New Roman"/>
          <w:b/>
          <w:color w:val="000000" w:themeColor="text1"/>
          <w:sz w:val="24"/>
          <w:szCs w:val="24"/>
        </w:rPr>
        <w:t>5</w:t>
      </w:r>
      <w:r w:rsidR="00ED5C54" w:rsidRPr="00CE1978">
        <w:rPr>
          <w:rFonts w:ascii="Times New Roman" w:eastAsia="Times New Roman" w:hAnsi="Times New Roman" w:cs="Times New Roman"/>
          <w:color w:val="000000" w:themeColor="text1"/>
          <w:sz w:val="24"/>
          <w:szCs w:val="24"/>
        </w:rPr>
        <w:t xml:space="preserve"> </w:t>
      </w:r>
      <w:r w:rsidR="00DA41C8" w:rsidRPr="00CE1978">
        <w:rPr>
          <w:rFonts w:ascii="Times New Roman" w:eastAsia="Times New Roman" w:hAnsi="Times New Roman" w:cs="Times New Roman"/>
          <w:b/>
          <w:bCs/>
          <w:color w:val="000000" w:themeColor="text1"/>
          <w:sz w:val="24"/>
          <w:szCs w:val="24"/>
        </w:rPr>
        <w:t>pkt 2 lit. f</w:t>
      </w:r>
    </w:p>
    <w:p w14:paraId="0F848E8B" w14:textId="77777777" w:rsidR="00DA41C8" w:rsidRPr="00CE1978" w:rsidRDefault="00DA41C8"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Zmiana w art. 39 ust. 3b polega na aktualizacji odesłania do ustawy z dnia … 2021 r. – Prawo komunikacji elektronicznej oraz wprowadzeniu odesłania do decyzji, o której mowa w art. 39 ust. 3</w:t>
      </w:r>
      <w:r w:rsidRPr="00CE1978">
        <w:rPr>
          <w:rFonts w:ascii="Times New Roman" w:eastAsia="Times New Roman" w:hAnsi="Times New Roman" w:cs="Times New Roman"/>
          <w:color w:val="000000" w:themeColor="text1"/>
          <w:sz w:val="24"/>
          <w:szCs w:val="24"/>
          <w:vertAlign w:val="superscript"/>
        </w:rPr>
        <w:t>4</w:t>
      </w:r>
      <w:r w:rsidRPr="00CE1978">
        <w:rPr>
          <w:rFonts w:ascii="Times New Roman" w:eastAsia="Times New Roman" w:hAnsi="Times New Roman" w:cs="Times New Roman"/>
          <w:color w:val="000000" w:themeColor="text1"/>
          <w:sz w:val="24"/>
          <w:szCs w:val="24"/>
        </w:rPr>
        <w:t>.</w:t>
      </w:r>
    </w:p>
    <w:p w14:paraId="6B5D2E27" w14:textId="0527F5EC" w:rsidR="00DA41C8" w:rsidRPr="00532F3A" w:rsidRDefault="00D15947"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color w:val="000000" w:themeColor="text1"/>
          <w:sz w:val="24"/>
          <w:szCs w:val="24"/>
        </w:rPr>
        <w:t>A</w:t>
      </w:r>
      <w:r w:rsidR="00DA41C8" w:rsidRPr="00CE1978">
        <w:rPr>
          <w:rFonts w:ascii="Times New Roman" w:eastAsia="Times New Roman" w:hAnsi="Times New Roman" w:cs="Times New Roman"/>
          <w:b/>
          <w:color w:val="000000" w:themeColor="text1"/>
          <w:sz w:val="24"/>
          <w:szCs w:val="24"/>
        </w:rPr>
        <w:t>rt.</w:t>
      </w:r>
      <w:r w:rsidR="005D6CBF" w:rsidRPr="00CE1978">
        <w:rPr>
          <w:rFonts w:ascii="Times New Roman" w:eastAsia="Times New Roman" w:hAnsi="Times New Roman" w:cs="Times New Roman"/>
          <w:b/>
          <w:color w:val="000000" w:themeColor="text1"/>
          <w:sz w:val="24"/>
          <w:szCs w:val="24"/>
        </w:rPr>
        <w:t xml:space="preserve"> </w:t>
      </w:r>
      <w:r w:rsidR="00ED5C54" w:rsidRPr="00CE1978">
        <w:rPr>
          <w:rFonts w:ascii="Times New Roman" w:eastAsia="Times New Roman" w:hAnsi="Times New Roman" w:cs="Times New Roman"/>
          <w:b/>
          <w:color w:val="000000" w:themeColor="text1"/>
          <w:sz w:val="24"/>
          <w:szCs w:val="24"/>
        </w:rPr>
        <w:t>5</w:t>
      </w:r>
      <w:r w:rsidR="00DA41C8" w:rsidRPr="00CE1978">
        <w:rPr>
          <w:rFonts w:ascii="Times New Roman" w:eastAsia="Times New Roman" w:hAnsi="Times New Roman" w:cs="Times New Roman"/>
          <w:color w:val="000000" w:themeColor="text1"/>
          <w:sz w:val="24"/>
          <w:szCs w:val="24"/>
        </w:rPr>
        <w:t xml:space="preserve"> </w:t>
      </w:r>
      <w:r w:rsidR="00DA41C8" w:rsidRPr="00CE1978">
        <w:rPr>
          <w:rFonts w:ascii="Times New Roman" w:eastAsia="Times New Roman" w:hAnsi="Times New Roman" w:cs="Times New Roman"/>
          <w:b/>
          <w:bCs/>
          <w:color w:val="000000" w:themeColor="text1"/>
          <w:sz w:val="24"/>
          <w:szCs w:val="24"/>
        </w:rPr>
        <w:t>pkt 2 lit. g</w:t>
      </w:r>
      <w:r w:rsidR="00532F3A">
        <w:rPr>
          <w:rFonts w:ascii="Times New Roman" w:eastAsia="Times New Roman" w:hAnsi="Times New Roman" w:cs="Times New Roman"/>
          <w:b/>
          <w:bCs/>
          <w:color w:val="000000" w:themeColor="text1"/>
          <w:sz w:val="24"/>
          <w:szCs w:val="24"/>
        </w:rPr>
        <w:t>–</w:t>
      </w:r>
      <w:r w:rsidR="00DA41C8" w:rsidRPr="00532F3A">
        <w:rPr>
          <w:rFonts w:ascii="Times New Roman" w:eastAsia="Times New Roman" w:hAnsi="Times New Roman" w:cs="Times New Roman"/>
          <w:b/>
          <w:bCs/>
          <w:color w:val="000000" w:themeColor="text1"/>
          <w:sz w:val="24"/>
          <w:szCs w:val="24"/>
        </w:rPr>
        <w:t>i</w:t>
      </w:r>
    </w:p>
    <w:p w14:paraId="70C08F31" w14:textId="7D2B329D" w:rsidR="00D316B8" w:rsidRPr="00CE1978" w:rsidRDefault="7476EA5E"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Zmiana w ust. 4 reguluje kwestię utrzymania punktów dostępu, natomiast zmiany w ust. 5 regulują kto i kiedy jest obowiązany do prz</w:t>
      </w:r>
      <w:r w:rsidR="00D316B8" w:rsidRPr="00CE1978">
        <w:rPr>
          <w:rFonts w:ascii="Times New Roman" w:eastAsia="Times New Roman" w:hAnsi="Times New Roman" w:cs="Times New Roman"/>
          <w:color w:val="000000" w:themeColor="text1"/>
          <w:sz w:val="24"/>
          <w:szCs w:val="24"/>
        </w:rPr>
        <w:t>e</w:t>
      </w:r>
      <w:r w:rsidRPr="00C10C7D">
        <w:rPr>
          <w:rFonts w:ascii="Times New Roman" w:eastAsia="Times New Roman" w:hAnsi="Times New Roman" w:cs="Times New Roman"/>
          <w:color w:val="000000" w:themeColor="text1"/>
          <w:sz w:val="24"/>
          <w:szCs w:val="24"/>
        </w:rPr>
        <w:t xml:space="preserve">łożenia punktów dostępu </w:t>
      </w:r>
      <w:r w:rsidR="495346D2" w:rsidRPr="00C10C7D">
        <w:rPr>
          <w:rFonts w:ascii="Times New Roman" w:eastAsia="Times New Roman" w:hAnsi="Times New Roman" w:cs="Times New Roman"/>
          <w:color w:val="000000" w:themeColor="text1"/>
          <w:sz w:val="24"/>
          <w:szCs w:val="24"/>
        </w:rPr>
        <w:t>jeżeli jest to spowodowane budową, przebudową lub remontem drogi.</w:t>
      </w:r>
      <w:r w:rsidR="481875F8" w:rsidRPr="00C10C7D">
        <w:rPr>
          <w:rFonts w:ascii="Times New Roman" w:eastAsia="Times New Roman" w:hAnsi="Times New Roman" w:cs="Times New Roman"/>
          <w:color w:val="000000" w:themeColor="text1"/>
          <w:sz w:val="24"/>
          <w:szCs w:val="24"/>
        </w:rPr>
        <w:t xml:space="preserve"> </w:t>
      </w:r>
      <w:r w:rsidR="56811789" w:rsidRPr="00C10C7D">
        <w:rPr>
          <w:rFonts w:ascii="Times New Roman" w:eastAsia="Times New Roman" w:hAnsi="Times New Roman" w:cs="Times New Roman"/>
          <w:color w:val="000000" w:themeColor="text1"/>
          <w:sz w:val="24"/>
          <w:szCs w:val="24"/>
        </w:rPr>
        <w:t>Dodatkowo nowododawany</w:t>
      </w:r>
      <w:r w:rsidR="009B1087" w:rsidRPr="00C10C7D">
        <w:rPr>
          <w:rFonts w:ascii="Times New Roman" w:eastAsia="Times New Roman" w:hAnsi="Times New Roman" w:cs="Times New Roman"/>
          <w:color w:val="000000" w:themeColor="text1"/>
          <w:sz w:val="24"/>
          <w:szCs w:val="24"/>
        </w:rPr>
        <w:t xml:space="preserve"> art. 39</w:t>
      </w:r>
      <w:r w:rsidR="56811789" w:rsidRPr="00C10C7D">
        <w:rPr>
          <w:rFonts w:ascii="Times New Roman" w:eastAsia="Times New Roman" w:hAnsi="Times New Roman" w:cs="Times New Roman"/>
          <w:color w:val="000000" w:themeColor="text1"/>
          <w:sz w:val="24"/>
          <w:szCs w:val="24"/>
        </w:rPr>
        <w:t xml:space="preserve"> ust. 4a </w:t>
      </w:r>
      <w:r w:rsidR="009B1087" w:rsidRPr="00C10C7D">
        <w:rPr>
          <w:rFonts w:ascii="Times New Roman" w:eastAsia="Times New Roman" w:hAnsi="Times New Roman" w:cs="Times New Roman"/>
          <w:color w:val="000000" w:themeColor="text1"/>
          <w:sz w:val="24"/>
          <w:szCs w:val="24"/>
        </w:rPr>
        <w:t>przesądza</w:t>
      </w:r>
      <w:r w:rsidR="56811789" w:rsidRPr="00C10C7D">
        <w:rPr>
          <w:rFonts w:ascii="Times New Roman" w:eastAsia="Times New Roman" w:hAnsi="Times New Roman" w:cs="Times New Roman"/>
          <w:color w:val="000000" w:themeColor="text1"/>
          <w:sz w:val="24"/>
          <w:szCs w:val="24"/>
        </w:rPr>
        <w:t xml:space="preserve">, że kwestia </w:t>
      </w:r>
      <w:r w:rsidR="00D316B8" w:rsidRPr="00C10C7D">
        <w:rPr>
          <w:rFonts w:ascii="Times New Roman" w:eastAsia="Times New Roman" w:hAnsi="Times New Roman" w:cs="Times New Roman"/>
          <w:color w:val="000000" w:themeColor="text1"/>
          <w:sz w:val="24"/>
          <w:szCs w:val="24"/>
        </w:rPr>
        <w:t xml:space="preserve">ponownego </w:t>
      </w:r>
      <w:r w:rsidR="56811789" w:rsidRPr="00C10C7D">
        <w:rPr>
          <w:rFonts w:ascii="Times New Roman" w:eastAsia="Times New Roman" w:hAnsi="Times New Roman" w:cs="Times New Roman"/>
          <w:color w:val="000000" w:themeColor="text1"/>
          <w:sz w:val="24"/>
          <w:szCs w:val="24"/>
        </w:rPr>
        <w:t xml:space="preserve">uruchomienia i rekonfiguracji punktów dostępu w sytuacji, </w:t>
      </w:r>
      <w:r w:rsidR="00D316B8" w:rsidRPr="00C10C7D">
        <w:rPr>
          <w:rFonts w:ascii="Times New Roman" w:eastAsia="Times New Roman" w:hAnsi="Times New Roman" w:cs="Times New Roman"/>
          <w:color w:val="000000" w:themeColor="text1"/>
          <w:sz w:val="24"/>
          <w:szCs w:val="24"/>
        </w:rPr>
        <w:t>w sytuacjach o których mowa w ust. 5a lub w przypadkach uszkodzeń publicznej infrastruktury technicznej, o której mowa w ustawie o wspieraniu rozwoju usług i sieci telekomunikacyjnych, na której zainstalowane są te punkty dostępu</w:t>
      </w:r>
      <w:r w:rsidR="06E00FDC" w:rsidRPr="00C10C7D">
        <w:rPr>
          <w:rFonts w:ascii="Times New Roman" w:eastAsia="Times New Roman" w:hAnsi="Times New Roman" w:cs="Times New Roman"/>
          <w:color w:val="000000" w:themeColor="text1"/>
          <w:sz w:val="24"/>
          <w:szCs w:val="24"/>
        </w:rPr>
        <w:t xml:space="preserve">, należy do </w:t>
      </w:r>
      <w:r w:rsidR="00D316B8" w:rsidRPr="00C10C7D">
        <w:rPr>
          <w:rFonts w:ascii="Times New Roman" w:eastAsia="Times New Roman" w:hAnsi="Times New Roman" w:cs="Times New Roman"/>
          <w:color w:val="000000" w:themeColor="text1"/>
          <w:sz w:val="24"/>
          <w:szCs w:val="24"/>
        </w:rPr>
        <w:t>posiadaczy</w:t>
      </w:r>
      <w:r w:rsidR="06E00FDC" w:rsidRPr="00C10C7D">
        <w:rPr>
          <w:rFonts w:ascii="Times New Roman" w:eastAsia="Times New Roman" w:hAnsi="Times New Roman" w:cs="Times New Roman"/>
          <w:color w:val="000000" w:themeColor="text1"/>
          <w:sz w:val="24"/>
          <w:szCs w:val="24"/>
        </w:rPr>
        <w:t xml:space="preserve"> tych punktów</w:t>
      </w:r>
      <w:r w:rsidR="00833F23" w:rsidRPr="00C10C7D">
        <w:rPr>
          <w:rFonts w:ascii="Times New Roman" w:eastAsia="Times New Roman" w:hAnsi="Times New Roman" w:cs="Times New Roman"/>
          <w:color w:val="000000" w:themeColor="text1"/>
          <w:sz w:val="24"/>
          <w:szCs w:val="24"/>
        </w:rPr>
        <w:t xml:space="preserve"> i to oni ponoszą koszty ponownego uruchomienia oraz rekonfiguracji</w:t>
      </w:r>
      <w:r w:rsidR="06E00FDC" w:rsidRPr="00C10C7D">
        <w:rPr>
          <w:rFonts w:ascii="Times New Roman" w:eastAsia="Times New Roman" w:hAnsi="Times New Roman" w:cs="Times New Roman"/>
          <w:color w:val="000000" w:themeColor="text1"/>
          <w:sz w:val="24"/>
          <w:szCs w:val="24"/>
        </w:rPr>
        <w:t xml:space="preserve">. </w:t>
      </w:r>
      <w:r w:rsidR="005D06BF" w:rsidRPr="00C10C7D">
        <w:rPr>
          <w:rFonts w:ascii="Times New Roman" w:eastAsia="Times New Roman" w:hAnsi="Times New Roman" w:cs="Times New Roman"/>
          <w:color w:val="000000" w:themeColor="text1"/>
          <w:sz w:val="24"/>
          <w:szCs w:val="24"/>
        </w:rPr>
        <w:t>Zmiany w art. 39 ust. 5a polegają na uwzględnieniu w regulacji d</w:t>
      </w:r>
      <w:r w:rsidR="005D06BF" w:rsidRPr="00CE1978">
        <w:rPr>
          <w:rFonts w:ascii="Times New Roman" w:eastAsia="Times New Roman" w:hAnsi="Times New Roman" w:cs="Times New Roman"/>
          <w:color w:val="000000" w:themeColor="text1"/>
          <w:sz w:val="24"/>
          <w:szCs w:val="24"/>
        </w:rPr>
        <w:t>ecyzji dotyczących punktów dostępu.</w:t>
      </w:r>
    </w:p>
    <w:p w14:paraId="464E6157" w14:textId="5B79717A" w:rsidR="005C1548" w:rsidRPr="00CE1978" w:rsidRDefault="00D15947" w:rsidP="00F91F34">
      <w:pPr>
        <w:spacing w:before="120" w:after="0" w:line="360" w:lineRule="auto"/>
        <w:jc w:val="both"/>
        <w:rPr>
          <w:rFonts w:ascii="Times New Roman" w:eastAsia="Times New Roman" w:hAnsi="Times New Roman" w:cs="Times New Roman"/>
          <w:b/>
          <w:color w:val="000000" w:themeColor="text1"/>
          <w:sz w:val="24"/>
          <w:szCs w:val="24"/>
        </w:rPr>
      </w:pPr>
      <w:r w:rsidRPr="00CE1978">
        <w:rPr>
          <w:rFonts w:ascii="Times New Roman" w:eastAsia="Times New Roman" w:hAnsi="Times New Roman" w:cs="Times New Roman"/>
          <w:b/>
          <w:color w:val="000000" w:themeColor="text1"/>
          <w:sz w:val="24"/>
          <w:szCs w:val="24"/>
        </w:rPr>
        <w:t>A</w:t>
      </w:r>
      <w:r w:rsidR="005C1548" w:rsidRPr="00CE1978">
        <w:rPr>
          <w:rFonts w:ascii="Times New Roman" w:eastAsia="Times New Roman" w:hAnsi="Times New Roman" w:cs="Times New Roman"/>
          <w:b/>
          <w:color w:val="000000" w:themeColor="text1"/>
          <w:sz w:val="24"/>
          <w:szCs w:val="24"/>
        </w:rPr>
        <w:t xml:space="preserve">rt. </w:t>
      </w:r>
      <w:r w:rsidR="00ED5C54" w:rsidRPr="00CE1978">
        <w:rPr>
          <w:rFonts w:ascii="Times New Roman" w:eastAsia="Times New Roman" w:hAnsi="Times New Roman" w:cs="Times New Roman"/>
          <w:b/>
          <w:color w:val="000000" w:themeColor="text1"/>
          <w:sz w:val="24"/>
          <w:szCs w:val="24"/>
        </w:rPr>
        <w:t xml:space="preserve">5 </w:t>
      </w:r>
      <w:r w:rsidR="005C1548" w:rsidRPr="00CE1978">
        <w:rPr>
          <w:rFonts w:ascii="Times New Roman" w:eastAsia="Times New Roman" w:hAnsi="Times New Roman" w:cs="Times New Roman"/>
          <w:b/>
          <w:color w:val="000000" w:themeColor="text1"/>
          <w:sz w:val="24"/>
          <w:szCs w:val="24"/>
        </w:rPr>
        <w:t>pkt 2 lit. j</w:t>
      </w:r>
    </w:p>
    <w:p w14:paraId="57F2C6B4" w14:textId="3730D687" w:rsidR="004D283B" w:rsidRPr="00CE1978" w:rsidRDefault="005C1548"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Wnioski </w:t>
      </w:r>
      <w:r w:rsidR="00BC40E7" w:rsidRPr="00CE1978">
        <w:rPr>
          <w:rFonts w:ascii="Times New Roman" w:eastAsia="Times New Roman" w:hAnsi="Times New Roman" w:cs="Times New Roman"/>
          <w:color w:val="000000" w:themeColor="text1"/>
          <w:sz w:val="24"/>
          <w:szCs w:val="24"/>
        </w:rPr>
        <w:t xml:space="preserve">o zwolnienie z obowiązku budowy kanału technologicznego </w:t>
      </w:r>
      <w:r w:rsidRPr="00CE1978">
        <w:rPr>
          <w:rFonts w:ascii="Times New Roman" w:eastAsia="Times New Roman" w:hAnsi="Times New Roman" w:cs="Times New Roman"/>
          <w:color w:val="000000" w:themeColor="text1"/>
          <w:sz w:val="24"/>
          <w:szCs w:val="24"/>
        </w:rPr>
        <w:t xml:space="preserve">mają być składane w postaci elektronicznej według wzoru określonego przez ministra właściwego do spraw informatyzacji. Zgodnie z art. 16a ust. 1 pkt 3 ustawy o informatyzacji działalności podmiotów realizujących zadania publiczne, w przypadku gdy w przepisach prawa został wskazany organ właściwy do określenia wzoru dokumentu, jeżeli przepisy te nie wykluczają przesyłania dokumentów drogą elektroniczną, organ ten, udostępnia na ePUAP lub w innym systemie teleinformatycznym formularz elektroniczny umożliwiający wygenerowanie dokumentu </w:t>
      </w:r>
      <w:r w:rsidRPr="00CE1978">
        <w:rPr>
          <w:rFonts w:ascii="Times New Roman" w:eastAsia="Times New Roman" w:hAnsi="Times New Roman" w:cs="Times New Roman"/>
          <w:color w:val="000000" w:themeColor="text1"/>
          <w:sz w:val="24"/>
          <w:szCs w:val="24"/>
        </w:rPr>
        <w:lastRenderedPageBreak/>
        <w:t xml:space="preserve">elektronicznego w celu złożenia go za pomocą środków komunikacji elektronicznej. W związku z tym minister właściwy do spraw informatyzacji, określając wzór zgodnie z art. 16a, będzie zobowiązany jedocześnie do udostępnienia usługi online z dedykowanym formularzem elektronicznym pozwalającym na wniesienie takiego wniosku. Elektronicznie składanie wniosków przyspieszy obieg dokumentów w postępowaniu administracyjnym. Natomiast udostępnienie wzoru wniosku na serwisie gov.pl poprawi jakość składanych wniosków dzięki określeniu podstawowych informacji niezbędnych do rozstrzygnięcia sprawy. </w:t>
      </w:r>
    </w:p>
    <w:p w14:paraId="698D595B" w14:textId="77777777" w:rsidR="005C1548" w:rsidRPr="00CE1978" w:rsidRDefault="005C1548"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Dodatkowo proponowane regulacje mają za cel optymalizację wydatków jednostek samorządu terytorialnego w związku ze zmniejszeniem wpływów do budżetów samorządów związanych z panującą epidemią COVID-19, jak również koniecznością zwiększenia wydatków samorządów w celu zapobiegania oraz u</w:t>
      </w:r>
      <w:r w:rsidR="00DA41C8" w:rsidRPr="00CE1978">
        <w:rPr>
          <w:rFonts w:ascii="Times New Roman" w:eastAsia="Times New Roman" w:hAnsi="Times New Roman" w:cs="Times New Roman"/>
          <w:color w:val="000000" w:themeColor="text1"/>
          <w:sz w:val="24"/>
          <w:szCs w:val="24"/>
        </w:rPr>
        <w:t xml:space="preserve">sunięcia skutków tej epidemii. </w:t>
      </w:r>
    </w:p>
    <w:p w14:paraId="6EA9F15D" w14:textId="337B4A0D" w:rsidR="00E4576B" w:rsidRPr="00CE1978" w:rsidRDefault="00D15947" w:rsidP="00F91F34">
      <w:pPr>
        <w:spacing w:before="120" w:after="0" w:line="360" w:lineRule="auto"/>
        <w:jc w:val="both"/>
        <w:rPr>
          <w:rFonts w:ascii="Times New Roman" w:eastAsia="Times New Roman" w:hAnsi="Times New Roman" w:cs="Times New Roman"/>
          <w:b/>
          <w:color w:val="000000" w:themeColor="text1"/>
          <w:sz w:val="24"/>
          <w:szCs w:val="24"/>
        </w:rPr>
      </w:pPr>
      <w:r w:rsidRPr="00CE1978">
        <w:rPr>
          <w:rFonts w:ascii="Times New Roman" w:eastAsia="Times New Roman" w:hAnsi="Times New Roman" w:cs="Times New Roman"/>
          <w:b/>
          <w:color w:val="000000" w:themeColor="text1"/>
          <w:sz w:val="24"/>
          <w:szCs w:val="24"/>
        </w:rPr>
        <w:t>A</w:t>
      </w:r>
      <w:r w:rsidR="00E4576B" w:rsidRPr="00CE1978">
        <w:rPr>
          <w:rFonts w:ascii="Times New Roman" w:eastAsia="Times New Roman" w:hAnsi="Times New Roman" w:cs="Times New Roman"/>
          <w:b/>
          <w:color w:val="000000" w:themeColor="text1"/>
          <w:sz w:val="24"/>
          <w:szCs w:val="24"/>
        </w:rPr>
        <w:t xml:space="preserve">rt. </w:t>
      </w:r>
      <w:r w:rsidR="00ED5C54" w:rsidRPr="00CE1978">
        <w:rPr>
          <w:rFonts w:ascii="Times New Roman" w:eastAsia="Times New Roman" w:hAnsi="Times New Roman" w:cs="Times New Roman"/>
          <w:b/>
          <w:color w:val="000000" w:themeColor="text1"/>
          <w:sz w:val="24"/>
          <w:szCs w:val="24"/>
        </w:rPr>
        <w:t xml:space="preserve">5 </w:t>
      </w:r>
      <w:r w:rsidR="00E4576B" w:rsidRPr="00CE1978">
        <w:rPr>
          <w:rFonts w:ascii="Times New Roman" w:eastAsia="Times New Roman" w:hAnsi="Times New Roman" w:cs="Times New Roman"/>
          <w:b/>
          <w:color w:val="000000" w:themeColor="text1"/>
          <w:sz w:val="24"/>
          <w:szCs w:val="24"/>
        </w:rPr>
        <w:t xml:space="preserve">pkt 2 lit. </w:t>
      </w:r>
      <w:r w:rsidR="00CC0BE0" w:rsidRPr="00CE1978">
        <w:rPr>
          <w:rFonts w:ascii="Times New Roman" w:eastAsia="Times New Roman" w:hAnsi="Times New Roman" w:cs="Times New Roman"/>
          <w:b/>
          <w:color w:val="000000" w:themeColor="text1"/>
          <w:sz w:val="24"/>
          <w:szCs w:val="24"/>
        </w:rPr>
        <w:t>k</w:t>
      </w:r>
    </w:p>
    <w:p w14:paraId="089D7FEA" w14:textId="77777777" w:rsidR="5B6D5FEE" w:rsidRPr="00CE1978" w:rsidRDefault="005C1548" w:rsidP="00F91F34">
      <w:pPr>
        <w:spacing w:before="120" w:after="0" w:line="360" w:lineRule="auto"/>
        <w:jc w:val="both"/>
        <w:rPr>
          <w:rFonts w:ascii="Times New Roman" w:eastAsia="Calibri"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Zmiany w </w:t>
      </w:r>
      <w:r w:rsidR="00E4576B" w:rsidRPr="00CE1978">
        <w:rPr>
          <w:rFonts w:ascii="Times New Roman" w:eastAsia="Times New Roman" w:hAnsi="Times New Roman" w:cs="Times New Roman"/>
          <w:color w:val="000000" w:themeColor="text1"/>
          <w:sz w:val="24"/>
          <w:szCs w:val="24"/>
        </w:rPr>
        <w:t xml:space="preserve">art. 39 </w:t>
      </w:r>
      <w:r w:rsidRPr="00CE1978">
        <w:rPr>
          <w:rFonts w:ascii="Times New Roman" w:eastAsia="Times New Roman" w:hAnsi="Times New Roman" w:cs="Times New Roman"/>
          <w:color w:val="000000" w:themeColor="text1"/>
          <w:sz w:val="24"/>
          <w:szCs w:val="24"/>
        </w:rPr>
        <w:t>ust. 7aa mają charakter porządkowy w związku ze zmianami wprowadzonymi w art. 22 ust. 1 ustawy o wspieraniu rozwoju usług i sieci telekomunikacyjnych.</w:t>
      </w:r>
    </w:p>
    <w:p w14:paraId="1D40E2B1" w14:textId="25B8E8ED" w:rsidR="005C1548"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6EFE2BFF"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 xml:space="preserve">5 </w:t>
      </w:r>
      <w:r w:rsidR="6EFE2BFF" w:rsidRPr="00CE1978">
        <w:rPr>
          <w:rFonts w:ascii="Times New Roman" w:eastAsia="Times New Roman" w:hAnsi="Times New Roman" w:cs="Times New Roman"/>
          <w:b/>
          <w:bCs/>
          <w:color w:val="000000" w:themeColor="text1"/>
          <w:sz w:val="24"/>
          <w:szCs w:val="24"/>
        </w:rPr>
        <w:t xml:space="preserve">pkt </w:t>
      </w:r>
      <w:r w:rsidR="25C707AD" w:rsidRPr="00CE1978">
        <w:rPr>
          <w:rFonts w:ascii="Times New Roman" w:eastAsia="Times New Roman" w:hAnsi="Times New Roman" w:cs="Times New Roman"/>
          <w:b/>
          <w:bCs/>
          <w:color w:val="000000" w:themeColor="text1"/>
          <w:sz w:val="24"/>
          <w:szCs w:val="24"/>
        </w:rPr>
        <w:t>3</w:t>
      </w:r>
    </w:p>
    <w:p w14:paraId="5D4559FE" w14:textId="1625D8C8" w:rsidR="00396B15" w:rsidRPr="00CE1978" w:rsidRDefault="6EFE2BFF"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Zmiana w art. 40 ust</w:t>
      </w:r>
      <w:r w:rsidR="6FB972FA" w:rsidRPr="00CE1978">
        <w:rPr>
          <w:rFonts w:ascii="Times New Roman" w:eastAsia="Times New Roman" w:hAnsi="Times New Roman" w:cs="Times New Roman"/>
          <w:color w:val="000000" w:themeColor="text1"/>
          <w:sz w:val="24"/>
          <w:szCs w:val="24"/>
        </w:rPr>
        <w:t xml:space="preserve"> 12 mają a celu zdyscyplinowanie podmiotów, które będą wdrażały punkty dostępu, do przestrzegania </w:t>
      </w:r>
      <w:r w:rsidR="5A83689F" w:rsidRPr="00CE1978">
        <w:rPr>
          <w:rFonts w:ascii="Times New Roman" w:eastAsia="Times New Roman" w:hAnsi="Times New Roman" w:cs="Times New Roman"/>
          <w:color w:val="000000" w:themeColor="text1"/>
          <w:sz w:val="24"/>
          <w:szCs w:val="24"/>
        </w:rPr>
        <w:t>decyzji</w:t>
      </w:r>
      <w:r w:rsidR="6FB972FA" w:rsidRPr="00CE1978">
        <w:rPr>
          <w:rFonts w:ascii="Times New Roman" w:eastAsia="Times New Roman" w:hAnsi="Times New Roman" w:cs="Times New Roman"/>
          <w:color w:val="000000" w:themeColor="text1"/>
          <w:sz w:val="24"/>
          <w:szCs w:val="24"/>
        </w:rPr>
        <w:t>. W przypadku gdy pu</w:t>
      </w:r>
      <w:r w:rsidR="5D4D7206" w:rsidRPr="00CE1978">
        <w:rPr>
          <w:rFonts w:ascii="Times New Roman" w:eastAsia="Times New Roman" w:hAnsi="Times New Roman" w:cs="Times New Roman"/>
          <w:color w:val="000000" w:themeColor="text1"/>
          <w:sz w:val="24"/>
          <w:szCs w:val="24"/>
        </w:rPr>
        <w:t>n</w:t>
      </w:r>
      <w:r w:rsidR="6FB972FA" w:rsidRPr="00CE1978">
        <w:rPr>
          <w:rFonts w:ascii="Times New Roman" w:eastAsia="Times New Roman" w:hAnsi="Times New Roman" w:cs="Times New Roman"/>
          <w:color w:val="000000" w:themeColor="text1"/>
          <w:sz w:val="24"/>
          <w:szCs w:val="24"/>
        </w:rPr>
        <w:t xml:space="preserve">kty dostępu </w:t>
      </w:r>
      <w:r w:rsidR="319718B5" w:rsidRPr="00CE1978">
        <w:rPr>
          <w:rFonts w:ascii="Times New Roman" w:eastAsia="Times New Roman" w:hAnsi="Times New Roman" w:cs="Times New Roman"/>
          <w:color w:val="000000" w:themeColor="text1"/>
          <w:sz w:val="24"/>
          <w:szCs w:val="24"/>
        </w:rPr>
        <w:t xml:space="preserve">będą </w:t>
      </w:r>
      <w:r w:rsidR="6F64DE76" w:rsidRPr="00CE1978">
        <w:rPr>
          <w:rFonts w:ascii="Times New Roman" w:eastAsia="Times New Roman" w:hAnsi="Times New Roman" w:cs="Times New Roman"/>
          <w:color w:val="000000" w:themeColor="text1"/>
          <w:sz w:val="24"/>
          <w:szCs w:val="24"/>
        </w:rPr>
        <w:t>w</w:t>
      </w:r>
      <w:r w:rsidR="00E11800" w:rsidRPr="00CE1978">
        <w:rPr>
          <w:rFonts w:ascii="Times New Roman" w:eastAsia="Times New Roman" w:hAnsi="Times New Roman" w:cs="Times New Roman"/>
          <w:color w:val="000000" w:themeColor="text1"/>
          <w:sz w:val="24"/>
          <w:szCs w:val="24"/>
        </w:rPr>
        <w:t>d</w:t>
      </w:r>
      <w:r w:rsidR="6F64DE76" w:rsidRPr="00CE1978">
        <w:rPr>
          <w:rFonts w:ascii="Times New Roman" w:eastAsia="Times New Roman" w:hAnsi="Times New Roman" w:cs="Times New Roman"/>
          <w:color w:val="000000" w:themeColor="text1"/>
          <w:sz w:val="24"/>
          <w:szCs w:val="24"/>
        </w:rPr>
        <w:t xml:space="preserve">rażane bez takiej </w:t>
      </w:r>
      <w:r w:rsidR="34577B77" w:rsidRPr="00CE1978">
        <w:rPr>
          <w:rFonts w:ascii="Times New Roman" w:eastAsia="Times New Roman" w:hAnsi="Times New Roman" w:cs="Times New Roman"/>
          <w:color w:val="000000" w:themeColor="text1"/>
          <w:sz w:val="24"/>
          <w:szCs w:val="24"/>
        </w:rPr>
        <w:t>decyzji, lub niezgodnie z jej postanowieniami zarządca drogi będzie mógł w drodze decyzji administracyjnej nałożyć karę pieni</w:t>
      </w:r>
      <w:r w:rsidR="098572A8" w:rsidRPr="00CE1978">
        <w:rPr>
          <w:rFonts w:ascii="Times New Roman" w:eastAsia="Times New Roman" w:hAnsi="Times New Roman" w:cs="Times New Roman"/>
          <w:color w:val="000000" w:themeColor="text1"/>
          <w:sz w:val="24"/>
          <w:szCs w:val="24"/>
        </w:rPr>
        <w:t>ęż</w:t>
      </w:r>
      <w:r w:rsidR="00D3663D" w:rsidRPr="00CE1978">
        <w:rPr>
          <w:rFonts w:ascii="Times New Roman" w:eastAsia="Times New Roman" w:hAnsi="Times New Roman" w:cs="Times New Roman"/>
          <w:color w:val="000000" w:themeColor="text1"/>
          <w:sz w:val="24"/>
          <w:szCs w:val="24"/>
        </w:rPr>
        <w:t>ną na taki podmiot;</w:t>
      </w:r>
    </w:p>
    <w:p w14:paraId="489A603B" w14:textId="7F19FCAC" w:rsidR="00944BC4" w:rsidRPr="00CE1978" w:rsidRDefault="00944BC4" w:rsidP="00F91F34">
      <w:pPr>
        <w:pStyle w:val="Akapitzlist"/>
        <w:numPr>
          <w:ilvl w:val="0"/>
          <w:numId w:val="4"/>
        </w:numPr>
        <w:tabs>
          <w:tab w:val="left" w:pos="426"/>
        </w:tabs>
        <w:spacing w:before="120" w:after="0" w:line="360" w:lineRule="auto"/>
        <w:ind w:left="0" w:firstLine="0"/>
        <w:contextualSpacing w:val="0"/>
        <w:jc w:val="both"/>
        <w:rPr>
          <w:rFonts w:ascii="Times New Roman" w:hAnsi="Times New Roman" w:cs="Times New Roman"/>
          <w:color w:val="000000" w:themeColor="text1"/>
          <w:sz w:val="24"/>
          <w:szCs w:val="24"/>
        </w:rPr>
      </w:pPr>
      <w:r w:rsidRPr="00CE1978">
        <w:rPr>
          <w:rFonts w:ascii="Times New Roman" w:hAnsi="Times New Roman" w:cs="Times New Roman"/>
          <w:b/>
          <w:color w:val="000000" w:themeColor="text1"/>
          <w:sz w:val="24"/>
          <w:szCs w:val="24"/>
        </w:rPr>
        <w:t>ustawie z dnia 24 sierpnia 1991 r. o ochronie przeciwpożarowej</w:t>
      </w:r>
      <w:r w:rsidRPr="00CE1978">
        <w:rPr>
          <w:rFonts w:ascii="Times New Roman" w:hAnsi="Times New Roman" w:cs="Times New Roman"/>
          <w:color w:val="000000" w:themeColor="text1"/>
          <w:sz w:val="24"/>
          <w:szCs w:val="24"/>
        </w:rPr>
        <w:t xml:space="preserve"> </w:t>
      </w:r>
    </w:p>
    <w:p w14:paraId="656A940B" w14:textId="26563A8A" w:rsidR="00944BC4" w:rsidRPr="00CE1978" w:rsidRDefault="00944BC4"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hAnsi="Times New Roman" w:cs="Times New Roman"/>
          <w:color w:val="000000" w:themeColor="text1"/>
          <w:sz w:val="24"/>
          <w:szCs w:val="24"/>
        </w:rPr>
        <w:t>Zmiana polega na dostosowaniu zawartych w art. 14i ust. 1 ustawy o ochronie przeciwpożarowej odesłań do konkretnych przepisów ustawy Pt na odpowiadające im przepisy ustawy Pke. Obecne brzmienie przepis</w:t>
      </w:r>
      <w:r w:rsidR="006361F6" w:rsidRPr="00CE1978">
        <w:rPr>
          <w:rFonts w:ascii="Times New Roman" w:hAnsi="Times New Roman" w:cs="Times New Roman"/>
          <w:color w:val="000000" w:themeColor="text1"/>
          <w:sz w:val="24"/>
          <w:szCs w:val="24"/>
        </w:rPr>
        <w:t>u</w:t>
      </w:r>
      <w:r w:rsidRPr="00CE1978">
        <w:rPr>
          <w:rFonts w:ascii="Times New Roman" w:hAnsi="Times New Roman" w:cs="Times New Roman"/>
          <w:color w:val="000000" w:themeColor="text1"/>
          <w:sz w:val="24"/>
          <w:szCs w:val="24"/>
        </w:rPr>
        <w:t xml:space="preserve"> wskazuje, że </w:t>
      </w:r>
      <w:r w:rsidRPr="00CE1978">
        <w:rPr>
          <w:rFonts w:ascii="Times New Roman" w:hAnsi="Times New Roman" w:cs="Times New Roman"/>
          <w:color w:val="000000" w:themeColor="text1"/>
          <w:sz w:val="24"/>
          <w:szCs w:val="24"/>
          <w:shd w:val="clear" w:color="auto" w:fill="FFFFFF"/>
        </w:rPr>
        <w:t>System Wspomagania Decyzji Państwowej Straży Pożarnej uzyskuje nieodpłatnie, za pośrednictwem centralnego punktu systemu powiadamiania ratunkowego, o którym mowa w</w:t>
      </w:r>
      <w:r w:rsidR="00532F3A">
        <w:rPr>
          <w:rFonts w:ascii="Times New Roman" w:hAnsi="Times New Roman" w:cs="Times New Roman"/>
          <w:color w:val="000000" w:themeColor="text1"/>
          <w:sz w:val="24"/>
          <w:szCs w:val="24"/>
          <w:shd w:val="clear" w:color="auto" w:fill="FFFFFF"/>
        </w:rPr>
        <w:t xml:space="preserve"> </w:t>
      </w:r>
      <w:hyperlink r:id="rId10" w:history="1">
        <w:r w:rsidRPr="00CE1978">
          <w:rPr>
            <w:rStyle w:val="Hipercze"/>
            <w:rFonts w:ascii="Times New Roman" w:hAnsi="Times New Roman" w:cs="Times New Roman"/>
            <w:color w:val="000000" w:themeColor="text1"/>
            <w:sz w:val="24"/>
            <w:szCs w:val="24"/>
            <w:u w:val="none"/>
            <w:shd w:val="clear" w:color="auto" w:fill="FFFFFF"/>
          </w:rPr>
          <w:t>art. 78 ust. 4 pkt 1</w:t>
        </w:r>
      </w:hyperlink>
      <w:r w:rsidR="00532F3A">
        <w:rPr>
          <w:rFonts w:ascii="Times New Roman" w:hAnsi="Times New Roman" w:cs="Times New Roman"/>
          <w:color w:val="000000" w:themeColor="text1"/>
          <w:sz w:val="24"/>
          <w:szCs w:val="24"/>
          <w:shd w:val="clear" w:color="auto" w:fill="FFFFFF"/>
        </w:rPr>
        <w:t xml:space="preserve"> </w:t>
      </w:r>
      <w:r w:rsidRPr="00532F3A">
        <w:rPr>
          <w:rFonts w:ascii="Times New Roman" w:hAnsi="Times New Roman" w:cs="Times New Roman"/>
          <w:color w:val="000000" w:themeColor="text1"/>
          <w:sz w:val="24"/>
          <w:szCs w:val="24"/>
          <w:shd w:val="clear" w:color="auto" w:fill="FFFFFF"/>
        </w:rPr>
        <w:t xml:space="preserve">ustawy z dnia 16 lipca 2004 r. </w:t>
      </w:r>
      <w:r w:rsidR="00532F3A">
        <w:rPr>
          <w:rFonts w:ascii="Times New Roman" w:hAnsi="Times New Roman" w:cs="Times New Roman"/>
          <w:color w:val="000000" w:themeColor="text1"/>
          <w:sz w:val="24"/>
          <w:szCs w:val="24"/>
          <w:shd w:val="clear" w:color="auto" w:fill="FFFFFF"/>
        </w:rPr>
        <w:t>–</w:t>
      </w:r>
      <w:r w:rsidRPr="00532F3A">
        <w:rPr>
          <w:rFonts w:ascii="Times New Roman" w:hAnsi="Times New Roman" w:cs="Times New Roman"/>
          <w:color w:val="000000" w:themeColor="text1"/>
          <w:sz w:val="24"/>
          <w:szCs w:val="24"/>
          <w:shd w:val="clear" w:color="auto" w:fill="FFFFFF"/>
        </w:rPr>
        <w:t xml:space="preserve"> Prawo telekomunikacyjne, informacje dotyczące lokalizacji zakończenia sieci, z którego zostało wykonane połączenie do numeru alarmowego 112 albo innego numeru alarmowego, oraz dane dotyczące abonenta,</w:t>
      </w:r>
      <w:r w:rsidR="005F6400" w:rsidRPr="00532F3A">
        <w:rPr>
          <w:rFonts w:ascii="Times New Roman" w:hAnsi="Times New Roman" w:cs="Times New Roman"/>
          <w:color w:val="000000" w:themeColor="text1"/>
          <w:sz w:val="24"/>
          <w:szCs w:val="24"/>
          <w:shd w:val="clear" w:color="auto" w:fill="FFFFFF"/>
        </w:rPr>
        <w:t xml:space="preserve"> o</w:t>
      </w:r>
      <w:r w:rsidR="00532F3A">
        <w:rPr>
          <w:rFonts w:ascii="Times New Roman" w:hAnsi="Times New Roman" w:cs="Times New Roman"/>
          <w:color w:val="000000" w:themeColor="text1"/>
          <w:sz w:val="24"/>
          <w:szCs w:val="24"/>
          <w:shd w:val="clear" w:color="auto" w:fill="FFFFFF"/>
        </w:rPr>
        <w:t xml:space="preserve"> </w:t>
      </w:r>
      <w:r w:rsidRPr="00532F3A">
        <w:rPr>
          <w:rFonts w:ascii="Times New Roman" w:hAnsi="Times New Roman" w:cs="Times New Roman"/>
          <w:color w:val="000000" w:themeColor="text1"/>
          <w:sz w:val="24"/>
          <w:szCs w:val="24"/>
          <w:shd w:val="clear" w:color="auto" w:fill="FFFFFF"/>
        </w:rPr>
        <w:t>których mowa w</w:t>
      </w:r>
      <w:r w:rsidR="00532F3A">
        <w:rPr>
          <w:rFonts w:ascii="Times New Roman" w:hAnsi="Times New Roman" w:cs="Times New Roman"/>
          <w:color w:val="000000" w:themeColor="text1"/>
          <w:sz w:val="24"/>
          <w:szCs w:val="24"/>
          <w:shd w:val="clear" w:color="auto" w:fill="FFFFFF"/>
        </w:rPr>
        <w:t xml:space="preserve"> </w:t>
      </w:r>
      <w:hyperlink r:id="rId11" w:history="1">
        <w:r w:rsidRPr="00CE1978">
          <w:rPr>
            <w:rStyle w:val="Hipercze"/>
            <w:rFonts w:ascii="Times New Roman" w:hAnsi="Times New Roman" w:cs="Times New Roman"/>
            <w:color w:val="000000" w:themeColor="text1"/>
            <w:sz w:val="24"/>
            <w:szCs w:val="24"/>
            <w:u w:val="none"/>
            <w:shd w:val="clear" w:color="auto" w:fill="FFFFFF"/>
          </w:rPr>
          <w:t>art. 78 ust. 2</w:t>
        </w:r>
      </w:hyperlink>
      <w:r w:rsidR="00532F3A">
        <w:rPr>
          <w:rFonts w:ascii="Times New Roman" w:hAnsi="Times New Roman" w:cs="Times New Roman"/>
          <w:color w:val="000000" w:themeColor="text1"/>
          <w:sz w:val="24"/>
          <w:szCs w:val="24"/>
          <w:shd w:val="clear" w:color="auto" w:fill="FFFFFF"/>
        </w:rPr>
        <w:t xml:space="preserve"> </w:t>
      </w:r>
      <w:r w:rsidRPr="00532F3A">
        <w:rPr>
          <w:rFonts w:ascii="Times New Roman" w:hAnsi="Times New Roman" w:cs="Times New Roman"/>
          <w:color w:val="000000" w:themeColor="text1"/>
          <w:sz w:val="24"/>
          <w:szCs w:val="24"/>
          <w:shd w:val="clear" w:color="auto" w:fill="FFFFFF"/>
        </w:rPr>
        <w:t xml:space="preserve">ustawy z dnia 16 lipca 2004 r. </w:t>
      </w:r>
      <w:r w:rsidR="00532F3A">
        <w:rPr>
          <w:rFonts w:ascii="Times New Roman" w:hAnsi="Times New Roman" w:cs="Times New Roman"/>
          <w:color w:val="000000" w:themeColor="text1"/>
          <w:sz w:val="24"/>
          <w:szCs w:val="24"/>
          <w:shd w:val="clear" w:color="auto" w:fill="FFFFFF"/>
        </w:rPr>
        <w:t>–</w:t>
      </w:r>
      <w:r w:rsidRPr="00532F3A">
        <w:rPr>
          <w:rFonts w:ascii="Times New Roman" w:hAnsi="Times New Roman" w:cs="Times New Roman"/>
          <w:color w:val="000000" w:themeColor="text1"/>
          <w:sz w:val="24"/>
          <w:szCs w:val="24"/>
          <w:shd w:val="clear" w:color="auto" w:fill="FFFFFF"/>
        </w:rPr>
        <w:t xml:space="preserve"> Prawo telekomunikacyjne.</w:t>
      </w:r>
      <w:r w:rsidR="006361F6" w:rsidRPr="00532F3A">
        <w:rPr>
          <w:rFonts w:ascii="Times New Roman" w:hAnsi="Times New Roman" w:cs="Times New Roman"/>
          <w:color w:val="000000" w:themeColor="text1"/>
          <w:sz w:val="24"/>
          <w:szCs w:val="24"/>
          <w:shd w:val="clear" w:color="auto" w:fill="FFFFFF"/>
        </w:rPr>
        <w:t xml:space="preserve"> Wskazany w przepisie centralny punkt systemu powiadamiania ratunkowego określony będzie w art. </w:t>
      </w:r>
      <w:r w:rsidR="00C95FB9" w:rsidRPr="00532F3A">
        <w:rPr>
          <w:rFonts w:ascii="Times New Roman" w:hAnsi="Times New Roman" w:cs="Times New Roman"/>
          <w:color w:val="000000" w:themeColor="text1"/>
          <w:sz w:val="24"/>
          <w:szCs w:val="24"/>
          <w:shd w:val="clear" w:color="auto" w:fill="FFFFFF"/>
        </w:rPr>
        <w:t xml:space="preserve">331 </w:t>
      </w:r>
      <w:r w:rsidR="006361F6" w:rsidRPr="00532F3A">
        <w:rPr>
          <w:rFonts w:ascii="Times New Roman" w:hAnsi="Times New Roman" w:cs="Times New Roman"/>
          <w:color w:val="000000" w:themeColor="text1"/>
          <w:sz w:val="24"/>
          <w:szCs w:val="24"/>
          <w:shd w:val="clear" w:color="auto" w:fill="FFFFFF"/>
        </w:rPr>
        <w:t xml:space="preserve">ust. </w:t>
      </w:r>
      <w:r w:rsidR="00DF255C" w:rsidRPr="00532F3A">
        <w:rPr>
          <w:rFonts w:ascii="Times New Roman" w:hAnsi="Times New Roman" w:cs="Times New Roman"/>
          <w:color w:val="000000" w:themeColor="text1"/>
          <w:sz w:val="24"/>
          <w:szCs w:val="24"/>
          <w:shd w:val="clear" w:color="auto" w:fill="FFFFFF"/>
        </w:rPr>
        <w:t xml:space="preserve">4 </w:t>
      </w:r>
      <w:r w:rsidR="006361F6" w:rsidRPr="00532F3A">
        <w:rPr>
          <w:rFonts w:ascii="Times New Roman" w:hAnsi="Times New Roman" w:cs="Times New Roman"/>
          <w:color w:val="000000" w:themeColor="text1"/>
          <w:sz w:val="24"/>
          <w:szCs w:val="24"/>
          <w:shd w:val="clear" w:color="auto" w:fill="FFFFFF"/>
        </w:rPr>
        <w:t xml:space="preserve">pkt 1 Pke, natomiast dane dotyczące abonenta zostaną wskazane w art. </w:t>
      </w:r>
      <w:r w:rsidR="00C95FB9" w:rsidRPr="00532F3A">
        <w:rPr>
          <w:rFonts w:ascii="Times New Roman" w:hAnsi="Times New Roman" w:cs="Times New Roman"/>
          <w:color w:val="000000" w:themeColor="text1"/>
          <w:sz w:val="24"/>
          <w:szCs w:val="24"/>
          <w:shd w:val="clear" w:color="auto" w:fill="FFFFFF"/>
        </w:rPr>
        <w:t>331</w:t>
      </w:r>
      <w:r w:rsidR="006361F6" w:rsidRPr="00532F3A">
        <w:rPr>
          <w:rFonts w:ascii="Times New Roman" w:hAnsi="Times New Roman" w:cs="Times New Roman"/>
          <w:color w:val="000000" w:themeColor="text1"/>
          <w:sz w:val="24"/>
          <w:szCs w:val="24"/>
          <w:shd w:val="clear" w:color="auto" w:fill="FFFFFF"/>
        </w:rPr>
        <w:t xml:space="preserve"> ust. 2 </w:t>
      </w:r>
      <w:r w:rsidR="00DF255C" w:rsidRPr="00532F3A">
        <w:rPr>
          <w:rFonts w:ascii="Times New Roman" w:hAnsi="Times New Roman" w:cs="Times New Roman"/>
          <w:color w:val="000000" w:themeColor="text1"/>
          <w:sz w:val="24"/>
          <w:szCs w:val="24"/>
          <w:shd w:val="clear" w:color="auto" w:fill="FFFFFF"/>
        </w:rPr>
        <w:t>Pke</w:t>
      </w:r>
      <w:r w:rsidR="006361F6" w:rsidRPr="00532F3A">
        <w:rPr>
          <w:rFonts w:ascii="Times New Roman" w:hAnsi="Times New Roman" w:cs="Times New Roman"/>
          <w:color w:val="000000" w:themeColor="text1"/>
          <w:sz w:val="24"/>
          <w:szCs w:val="24"/>
          <w:shd w:val="clear" w:color="auto" w:fill="FFFFFF"/>
        </w:rPr>
        <w:t>. Zmiana ma na celu dostosowanie jedynie ode</w:t>
      </w:r>
      <w:r w:rsidR="00D3663D" w:rsidRPr="00CE1978">
        <w:rPr>
          <w:rFonts w:ascii="Times New Roman" w:hAnsi="Times New Roman" w:cs="Times New Roman"/>
          <w:color w:val="000000" w:themeColor="text1"/>
          <w:sz w:val="24"/>
          <w:szCs w:val="24"/>
          <w:shd w:val="clear" w:color="auto" w:fill="FFFFFF"/>
        </w:rPr>
        <w:t>słań do nowych przepisów Pke;</w:t>
      </w:r>
    </w:p>
    <w:p w14:paraId="44BE5751" w14:textId="4F26230C" w:rsidR="40B223D5" w:rsidRPr="00C10C7D" w:rsidRDefault="70497807"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lastRenderedPageBreak/>
        <w:t>ustawie z dnia 29 grudnia 19</w:t>
      </w:r>
      <w:r w:rsidR="00FF3C40" w:rsidRPr="00C10C7D">
        <w:rPr>
          <w:rFonts w:ascii="Times New Roman" w:eastAsia="Times New Roman" w:hAnsi="Times New Roman" w:cs="Times New Roman"/>
          <w:b/>
          <w:bCs/>
          <w:color w:val="000000" w:themeColor="text1"/>
          <w:sz w:val="24"/>
          <w:szCs w:val="24"/>
        </w:rPr>
        <w:t xml:space="preserve">92 r. o radiofonii i telewizji </w:t>
      </w:r>
    </w:p>
    <w:p w14:paraId="552898CA" w14:textId="27BBF97A" w:rsidR="00C227BF" w:rsidRPr="00CE1978" w:rsidRDefault="72017FE3"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Przepis</w:t>
      </w:r>
      <w:r w:rsidR="2EDD56EA" w:rsidRPr="00C10C7D">
        <w:rPr>
          <w:rFonts w:ascii="Times New Roman" w:eastAsia="Times New Roman" w:hAnsi="Times New Roman" w:cs="Times New Roman"/>
          <w:color w:val="000000" w:themeColor="text1"/>
          <w:sz w:val="24"/>
          <w:szCs w:val="24"/>
        </w:rPr>
        <w:t xml:space="preserve">, oprócz zmian legislacyjnych mających na celu </w:t>
      </w:r>
      <w:r w:rsidR="04F8BBB6" w:rsidRPr="00C10C7D">
        <w:rPr>
          <w:rFonts w:ascii="Times New Roman" w:eastAsia="Times New Roman" w:hAnsi="Times New Roman" w:cs="Times New Roman"/>
          <w:color w:val="000000" w:themeColor="text1"/>
          <w:sz w:val="24"/>
          <w:szCs w:val="24"/>
        </w:rPr>
        <w:t>dostosowanie odesłań do ustawy P</w:t>
      </w:r>
      <w:r w:rsidR="22D6D0EB" w:rsidRPr="00C10C7D">
        <w:rPr>
          <w:rFonts w:ascii="Times New Roman" w:eastAsia="Times New Roman" w:hAnsi="Times New Roman" w:cs="Times New Roman"/>
          <w:color w:val="000000" w:themeColor="text1"/>
          <w:sz w:val="24"/>
          <w:szCs w:val="24"/>
        </w:rPr>
        <w:t>ke</w:t>
      </w:r>
      <w:r w:rsidR="04F8BBB6" w:rsidRPr="00C10C7D">
        <w:rPr>
          <w:rFonts w:ascii="Times New Roman" w:eastAsia="Times New Roman" w:hAnsi="Times New Roman" w:cs="Times New Roman"/>
          <w:color w:val="000000" w:themeColor="text1"/>
          <w:sz w:val="24"/>
          <w:szCs w:val="24"/>
        </w:rPr>
        <w:t xml:space="preserve"> przewiduje zmianę merytoryczną w art. 36</w:t>
      </w:r>
      <w:r w:rsidR="5356D605" w:rsidRPr="00C10C7D">
        <w:rPr>
          <w:rFonts w:ascii="Times New Roman" w:eastAsia="Times New Roman" w:hAnsi="Times New Roman" w:cs="Times New Roman"/>
          <w:color w:val="000000" w:themeColor="text1"/>
          <w:sz w:val="24"/>
          <w:szCs w:val="24"/>
        </w:rPr>
        <w:t xml:space="preserve"> ustawy o radiofonii i telewizji</w:t>
      </w:r>
      <w:r w:rsidR="3735C0A0" w:rsidRPr="00C10C7D">
        <w:rPr>
          <w:rFonts w:ascii="Times New Roman" w:eastAsia="Times New Roman" w:hAnsi="Times New Roman" w:cs="Times New Roman"/>
          <w:b/>
          <w:bCs/>
          <w:color w:val="000000" w:themeColor="text1"/>
          <w:sz w:val="24"/>
          <w:szCs w:val="24"/>
        </w:rPr>
        <w:t xml:space="preserve">. </w:t>
      </w:r>
      <w:r w:rsidR="518EEBCD" w:rsidRPr="00C10C7D">
        <w:rPr>
          <w:rFonts w:ascii="Times New Roman" w:eastAsia="Times New Roman" w:hAnsi="Times New Roman" w:cs="Times New Roman"/>
          <w:color w:val="000000" w:themeColor="text1"/>
          <w:sz w:val="24"/>
          <w:szCs w:val="24"/>
        </w:rPr>
        <w:t xml:space="preserve">Obecny art. 36 ust. 3 wskazuje, iż koncesja jest udzielana na okres 10 lat. </w:t>
      </w:r>
      <w:r w:rsidR="20C4DBC3" w:rsidRPr="00C10C7D">
        <w:rPr>
          <w:rFonts w:ascii="Times New Roman" w:eastAsia="Times New Roman" w:hAnsi="Times New Roman" w:cs="Times New Roman"/>
          <w:color w:val="000000" w:themeColor="text1"/>
          <w:sz w:val="24"/>
          <w:szCs w:val="24"/>
        </w:rPr>
        <w:t xml:space="preserve">Okres ten </w:t>
      </w:r>
      <w:r w:rsidR="00140B98" w:rsidRPr="00C10C7D">
        <w:rPr>
          <w:rFonts w:ascii="Times New Roman" w:eastAsia="Times New Roman" w:hAnsi="Times New Roman" w:cs="Times New Roman"/>
          <w:color w:val="000000" w:themeColor="text1"/>
          <w:sz w:val="24"/>
          <w:szCs w:val="24"/>
        </w:rPr>
        <w:t xml:space="preserve">w szczególnych sytuacjach </w:t>
      </w:r>
      <w:r w:rsidR="20C4DBC3" w:rsidRPr="00C10C7D">
        <w:rPr>
          <w:rFonts w:ascii="Times New Roman" w:eastAsia="Times New Roman" w:hAnsi="Times New Roman" w:cs="Times New Roman"/>
          <w:color w:val="000000" w:themeColor="text1"/>
          <w:sz w:val="24"/>
          <w:szCs w:val="24"/>
        </w:rPr>
        <w:t xml:space="preserve">powinien być jednak </w:t>
      </w:r>
      <w:r w:rsidR="518EEBCD" w:rsidRPr="00C10C7D">
        <w:rPr>
          <w:rFonts w:ascii="Times New Roman" w:eastAsia="Times New Roman" w:hAnsi="Times New Roman" w:cs="Times New Roman"/>
          <w:color w:val="000000" w:themeColor="text1"/>
          <w:sz w:val="24"/>
          <w:szCs w:val="24"/>
        </w:rPr>
        <w:t xml:space="preserve">elastyczny, umożliwiający </w:t>
      </w:r>
      <w:r w:rsidR="00140B98" w:rsidRPr="00C10C7D">
        <w:rPr>
          <w:rFonts w:ascii="Times New Roman" w:eastAsia="Times New Roman" w:hAnsi="Times New Roman" w:cs="Times New Roman"/>
          <w:color w:val="000000" w:themeColor="text1"/>
          <w:sz w:val="24"/>
          <w:szCs w:val="24"/>
        </w:rPr>
        <w:t>wyrównania czasu trwania uprawnień w różnych rezerwacjach częstotli</w:t>
      </w:r>
      <w:r w:rsidR="00140B98" w:rsidRPr="00CE1978">
        <w:rPr>
          <w:rFonts w:ascii="Times New Roman" w:eastAsia="Times New Roman" w:hAnsi="Times New Roman" w:cs="Times New Roman"/>
          <w:color w:val="000000" w:themeColor="text1"/>
          <w:sz w:val="24"/>
          <w:szCs w:val="24"/>
        </w:rPr>
        <w:t>wości na tym samym multipleksie</w:t>
      </w:r>
      <w:r w:rsidR="518EEBCD" w:rsidRPr="00CE1978">
        <w:rPr>
          <w:rFonts w:ascii="Times New Roman" w:eastAsia="Times New Roman" w:hAnsi="Times New Roman" w:cs="Times New Roman"/>
          <w:color w:val="000000" w:themeColor="text1"/>
          <w:sz w:val="24"/>
          <w:szCs w:val="24"/>
        </w:rPr>
        <w:t xml:space="preserve">. </w:t>
      </w:r>
      <w:r w:rsidR="00140B98" w:rsidRPr="00CE1978">
        <w:rPr>
          <w:rFonts w:ascii="Times New Roman" w:eastAsia="Times New Roman" w:hAnsi="Times New Roman" w:cs="Times New Roman"/>
          <w:color w:val="000000" w:themeColor="text1"/>
          <w:sz w:val="24"/>
          <w:szCs w:val="24"/>
        </w:rPr>
        <w:t>Jest to szczególnie istotne w przypadku,</w:t>
      </w:r>
      <w:r w:rsidR="00C227BF" w:rsidRPr="00CE1978">
        <w:rPr>
          <w:rFonts w:ascii="Times New Roman" w:eastAsia="Times New Roman" w:hAnsi="Times New Roman" w:cs="Times New Roman"/>
          <w:color w:val="000000" w:themeColor="text1"/>
          <w:sz w:val="24"/>
          <w:szCs w:val="24"/>
        </w:rPr>
        <w:t xml:space="preserve"> gdy zajdzie konieczność uzupełnienia zwolnionego miejsca na multipleksie lub</w:t>
      </w:r>
      <w:r w:rsidR="00140B98" w:rsidRPr="00CE1978">
        <w:rPr>
          <w:rFonts w:ascii="Times New Roman" w:eastAsia="Times New Roman" w:hAnsi="Times New Roman" w:cs="Times New Roman"/>
          <w:color w:val="000000" w:themeColor="text1"/>
          <w:sz w:val="24"/>
          <w:szCs w:val="24"/>
        </w:rPr>
        <w:t xml:space="preserve"> gdy </w:t>
      </w:r>
      <w:r w:rsidR="00440B1C" w:rsidRPr="00CE1978">
        <w:rPr>
          <w:rFonts w:ascii="Times New Roman" w:eastAsia="Times New Roman" w:hAnsi="Times New Roman" w:cs="Times New Roman"/>
          <w:color w:val="000000" w:themeColor="text1"/>
          <w:sz w:val="24"/>
          <w:szCs w:val="24"/>
        </w:rPr>
        <w:t>istnieje potrzeba</w:t>
      </w:r>
      <w:r w:rsidR="00140B98" w:rsidRPr="00CE1978">
        <w:rPr>
          <w:rFonts w:ascii="Times New Roman" w:eastAsia="Times New Roman" w:hAnsi="Times New Roman" w:cs="Times New Roman"/>
          <w:color w:val="000000" w:themeColor="text1"/>
          <w:sz w:val="24"/>
          <w:szCs w:val="24"/>
        </w:rPr>
        <w:t xml:space="preserve"> aby terminy ważności koncesji były takie same dla każdej koncesji</w:t>
      </w:r>
      <w:r w:rsidR="00440B1C" w:rsidRPr="00CE1978">
        <w:rPr>
          <w:rFonts w:ascii="Times New Roman" w:eastAsia="Times New Roman" w:hAnsi="Times New Roman" w:cs="Times New Roman"/>
          <w:color w:val="000000" w:themeColor="text1"/>
          <w:sz w:val="24"/>
          <w:szCs w:val="24"/>
        </w:rPr>
        <w:t xml:space="preserve"> na danym multipleksie</w:t>
      </w:r>
      <w:r w:rsidR="00140B98" w:rsidRPr="00CE1978">
        <w:rPr>
          <w:rFonts w:ascii="Times New Roman" w:eastAsia="Times New Roman" w:hAnsi="Times New Roman" w:cs="Times New Roman"/>
          <w:color w:val="000000" w:themeColor="text1"/>
          <w:sz w:val="24"/>
          <w:szCs w:val="24"/>
        </w:rPr>
        <w:t xml:space="preserve">. </w:t>
      </w:r>
      <w:r w:rsidR="413A1704" w:rsidRPr="00CE1978">
        <w:rPr>
          <w:rFonts w:ascii="Times New Roman" w:eastAsia="Times New Roman" w:hAnsi="Times New Roman" w:cs="Times New Roman"/>
          <w:color w:val="000000" w:themeColor="text1"/>
          <w:sz w:val="24"/>
          <w:szCs w:val="24"/>
        </w:rPr>
        <w:t xml:space="preserve">W związku z tym proponuje się </w:t>
      </w:r>
      <w:r w:rsidR="00140B98" w:rsidRPr="00CE1978">
        <w:rPr>
          <w:rFonts w:ascii="Times New Roman" w:eastAsia="Times New Roman" w:hAnsi="Times New Roman" w:cs="Times New Roman"/>
          <w:color w:val="000000" w:themeColor="text1"/>
          <w:sz w:val="24"/>
          <w:szCs w:val="24"/>
        </w:rPr>
        <w:t>dodanie kolejnego ustępu</w:t>
      </w:r>
      <w:r w:rsidR="413A1704" w:rsidRPr="00CE1978">
        <w:rPr>
          <w:rFonts w:ascii="Times New Roman" w:eastAsia="Times New Roman" w:hAnsi="Times New Roman" w:cs="Times New Roman"/>
          <w:color w:val="000000" w:themeColor="text1"/>
          <w:sz w:val="24"/>
          <w:szCs w:val="24"/>
        </w:rPr>
        <w:t xml:space="preserve"> </w:t>
      </w:r>
      <w:r w:rsidR="00140B98" w:rsidRPr="00CE1978">
        <w:rPr>
          <w:rFonts w:ascii="Times New Roman" w:eastAsia="Times New Roman" w:hAnsi="Times New Roman" w:cs="Times New Roman"/>
          <w:color w:val="000000" w:themeColor="text1"/>
          <w:sz w:val="24"/>
          <w:szCs w:val="24"/>
        </w:rPr>
        <w:t>umożliwiającego w takiej sytuacji, oraz na wniosek podmiotu, wydanie koncesji na czas krótszy niż 10 lat</w:t>
      </w:r>
      <w:r w:rsidR="39226FD6" w:rsidRPr="00CE1978">
        <w:rPr>
          <w:rFonts w:ascii="Times New Roman" w:eastAsia="Times New Roman" w:hAnsi="Times New Roman" w:cs="Times New Roman"/>
          <w:color w:val="000000" w:themeColor="text1"/>
          <w:sz w:val="24"/>
          <w:szCs w:val="24"/>
        </w:rPr>
        <w:t>.</w:t>
      </w:r>
      <w:r w:rsidR="00C227BF" w:rsidRPr="00CE1978">
        <w:rPr>
          <w:rFonts w:ascii="Times New Roman" w:eastAsia="Times New Roman" w:hAnsi="Times New Roman" w:cs="Times New Roman"/>
          <w:color w:val="000000" w:themeColor="text1"/>
          <w:sz w:val="24"/>
          <w:szCs w:val="24"/>
        </w:rPr>
        <w:t xml:space="preserve"> Jednocześnie należy podkreślić, że organ nie ma tu dowolności w określaniu krótszego czasu na jaki udzielona będzie koncesja. Przepis wprost wskazuje, że w przypadku udzielenia koncesji na okres krótszy niż 10 lat z powodu konieczności wyrównania czasu trwania uprawnień na tym samym multipleksie, datę końcową obowiązywania tej koncesji ustala się zgodnie z datą koncesji najdalej sięgającą w czasie spośród dat końcowych obowiązywania koncesji w ramach tego multipleksu w chwili udzielania tej koncesji.</w:t>
      </w:r>
    </w:p>
    <w:p w14:paraId="117A5979" w14:textId="68C70EDC" w:rsidR="15867025" w:rsidRPr="00CE1978" w:rsidRDefault="00C227BF"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 przypadku udzielenia koncesji na okres krótszy niż 10 lat opłatę za nią określa się proporcjonalnie do okresu, na jaki udzielana jest koncesja. Jest to regulacja analogiczna do uregulowań dotyczących opłat za rezerwację częstotliwości w przypadku dokonania rezerwacji na kolejny okres inny niż okres, na który wydano rezerwację będącą podstawą do ustalenia jednorazowej opłaty za rezerwację. Takie rozwiązanie zabezpiecza interesy nadawców, którzy w przypadku wystąpienia konieczności udzielenia koncesji na czas krótszy niż 10 lat lub zawnioskowania o taki </w:t>
      </w:r>
      <w:r w:rsidR="009825C6" w:rsidRPr="00CE1978">
        <w:rPr>
          <w:rFonts w:ascii="Times New Roman" w:eastAsia="Times New Roman" w:hAnsi="Times New Roman" w:cs="Times New Roman"/>
          <w:color w:val="000000" w:themeColor="text1"/>
          <w:sz w:val="24"/>
          <w:szCs w:val="24"/>
        </w:rPr>
        <w:t>okres, nie będą obowiązani do uiszczania pełnej opłaty koncesyjnej, a jedynie kwoty proporcjonalnej do czasu trwania upra</w:t>
      </w:r>
      <w:r w:rsidR="00D3663D" w:rsidRPr="00CE1978">
        <w:rPr>
          <w:rFonts w:ascii="Times New Roman" w:eastAsia="Times New Roman" w:hAnsi="Times New Roman" w:cs="Times New Roman"/>
          <w:color w:val="000000" w:themeColor="text1"/>
          <w:sz w:val="24"/>
          <w:szCs w:val="24"/>
        </w:rPr>
        <w:t>wnienia;</w:t>
      </w:r>
    </w:p>
    <w:p w14:paraId="0A310761" w14:textId="0339F3CC"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Wprowadzono także dodatkowe zmiany do ustawy o radiofonii i telewizji wynikające z postulatów Ministerstwa Kultury w zakresie kształtowania obowiązków must-carry</w:t>
      </w:r>
      <w:r w:rsidR="002902B5" w:rsidRPr="00CE1978">
        <w:rPr>
          <w:rFonts w:ascii="Times New Roman" w:eastAsia="Times New Roman" w:hAnsi="Times New Roman" w:cs="Times New Roman"/>
          <w:color w:val="000000" w:themeColor="text1"/>
          <w:sz w:val="24"/>
          <w:szCs w:val="24"/>
        </w:rPr>
        <w:t xml:space="preserve"> i must-offer</w:t>
      </w:r>
      <w:r w:rsidRPr="00CE1978">
        <w:rPr>
          <w:rFonts w:ascii="Times New Roman" w:eastAsia="Times New Roman" w:hAnsi="Times New Roman" w:cs="Times New Roman"/>
          <w:color w:val="000000" w:themeColor="text1"/>
          <w:sz w:val="24"/>
          <w:szCs w:val="24"/>
        </w:rPr>
        <w:t>.</w:t>
      </w:r>
    </w:p>
    <w:p w14:paraId="1A9E3724"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Cel i potrzeba nowelizacji</w:t>
      </w:r>
    </w:p>
    <w:p w14:paraId="42B61A13" w14:textId="6ED92A0C"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Celem projektowanych zmian w rozdz. 6 ustawy o radiofonii i telewizji w zakresie must-carry</w:t>
      </w:r>
      <w:r w:rsidR="002902B5" w:rsidRPr="00CE1978">
        <w:rPr>
          <w:rFonts w:ascii="Times New Roman" w:eastAsia="Times New Roman" w:hAnsi="Times New Roman" w:cs="Times New Roman"/>
          <w:color w:val="000000" w:themeColor="text1"/>
          <w:sz w:val="24"/>
          <w:szCs w:val="24"/>
        </w:rPr>
        <w:t xml:space="preserve"> i must-offer</w:t>
      </w:r>
      <w:r w:rsidRPr="00CE1978">
        <w:rPr>
          <w:rFonts w:ascii="Times New Roman" w:eastAsia="Times New Roman" w:hAnsi="Times New Roman" w:cs="Times New Roman"/>
          <w:color w:val="000000" w:themeColor="text1"/>
          <w:sz w:val="24"/>
          <w:szCs w:val="24"/>
        </w:rPr>
        <w:t xml:space="preserve"> (gł. dotyczące art. 43 i </w:t>
      </w:r>
      <w:r w:rsidR="00630DA5" w:rsidRPr="00CE1978">
        <w:rPr>
          <w:rFonts w:ascii="Times New Roman" w:eastAsia="Times New Roman" w:hAnsi="Times New Roman" w:cs="Times New Roman"/>
          <w:color w:val="000000" w:themeColor="text1"/>
          <w:sz w:val="24"/>
          <w:szCs w:val="24"/>
        </w:rPr>
        <w:t>44</w:t>
      </w:r>
      <w:r w:rsidR="00532F3A">
        <w:rPr>
          <w:rFonts w:ascii="Times New Roman" w:eastAsia="Times New Roman" w:hAnsi="Times New Roman" w:cs="Times New Roman"/>
          <w:color w:val="000000" w:themeColor="text1"/>
          <w:sz w:val="24"/>
          <w:szCs w:val="24"/>
        </w:rPr>
        <w:t>–</w:t>
      </w:r>
      <w:r w:rsidR="00630DA5" w:rsidRPr="00532F3A">
        <w:rPr>
          <w:rFonts w:ascii="Times New Roman" w:eastAsia="Times New Roman" w:hAnsi="Times New Roman" w:cs="Times New Roman"/>
          <w:color w:val="000000" w:themeColor="text1"/>
          <w:sz w:val="24"/>
          <w:szCs w:val="24"/>
        </w:rPr>
        <w:t>44d</w:t>
      </w:r>
      <w:r w:rsidRPr="00532F3A">
        <w:rPr>
          <w:rFonts w:ascii="Times New Roman" w:eastAsia="Times New Roman" w:hAnsi="Times New Roman" w:cs="Times New Roman"/>
          <w:color w:val="000000" w:themeColor="text1"/>
          <w:sz w:val="24"/>
          <w:szCs w:val="24"/>
        </w:rPr>
        <w:t xml:space="preserve">) jest uaktualnienie i uzupełnienie przepisów o tzw. transmisji obowiązkowej w związku z art. 114 dyrektywy 2018/1972 (EKŁE), w tym połączenie tego obowiązku z odpowiednim wyeksponowaniem w elektronicznym przewodniku </w:t>
      </w:r>
      <w:r w:rsidRPr="00532F3A">
        <w:rPr>
          <w:rFonts w:ascii="Times New Roman" w:eastAsia="Times New Roman" w:hAnsi="Times New Roman" w:cs="Times New Roman"/>
          <w:color w:val="000000" w:themeColor="text1"/>
          <w:sz w:val="24"/>
          <w:szCs w:val="24"/>
        </w:rPr>
        <w:lastRenderedPageBreak/>
        <w:t xml:space="preserve">po programach (EPG), w nawiązaniu do potwierdzonej w art. 7a zmienionej (na mocy dyrektywy 2018/1808) dyrektywy o audiowizualnych usługach medialnych (DAUM) kompetencji Państw Członkowskich UE do zapewnienia odpowiedniego wyeksponowania </w:t>
      </w:r>
      <w:r w:rsidRPr="00CE1978">
        <w:rPr>
          <w:rFonts w:ascii="Times New Roman" w:eastAsia="Times New Roman" w:hAnsi="Times New Roman" w:cs="Times New Roman"/>
          <w:color w:val="000000" w:themeColor="text1"/>
          <w:sz w:val="24"/>
          <w:szCs w:val="24"/>
        </w:rPr>
        <w:t xml:space="preserve">usług medialnych świadczonych w interesie ogólnym. </w:t>
      </w:r>
    </w:p>
    <w:p w14:paraId="5F131501" w14:textId="7993B1CC" w:rsidR="007245EA" w:rsidRPr="00C10C7D"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Potrzeba zmian reżimu must-carry w Polsce jest podnoszona od długiego czasu. W poddanym p</w:t>
      </w:r>
      <w:r w:rsidRPr="00C10C7D">
        <w:rPr>
          <w:rFonts w:ascii="Times New Roman" w:eastAsia="Times New Roman" w:hAnsi="Times New Roman" w:cs="Times New Roman"/>
          <w:color w:val="000000" w:themeColor="text1"/>
          <w:sz w:val="24"/>
          <w:szCs w:val="24"/>
        </w:rPr>
        <w:t xml:space="preserve">rzez MKiDN w 2015 r. konsultacjom publicznym projekcie nowelizacji ustawy o RTV zaproponowano nowe ujęcie must-carry, łączące się z wyeksponowaniem w EPG, ale też wyraźnie potwierdzające nieobejmowanie obowiązkiem must-carry podmiotów rozprowadzających programy w systemach teleinformatycznym. Proponuje się przyjęcie w tym zakresie rozwiązania bardziej zniuansowanego i dopuszczenie objęcia must-carry rozprowadzania w Internecie (systemach teleinformatycznych) lub do urządzeń mobilnych, w drodze rozporządzenia KRRiT. </w:t>
      </w:r>
    </w:p>
    <w:p w14:paraId="7A19B9DA" w14:textId="6E33D9E8" w:rsidR="007245EA" w:rsidRPr="00C10C7D"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Oprócz uzupełnienia must-carry o uregulowanie obowiązku odpowiedniego wyeksponowania i zapewnienia łatwego dostępu do określonych programów, zmiany wymaga także rozciągnięcie must-carry na inne programy publicznej telewizji dostępne naziemnie (niż tylko TVP1 i TVP2 oraz odpowiedni program regionalny), otwartego kształtowania listy niepublicznych programów objętych must-carry, określenia kategorii podmiotów obciążonych obowiązkiem must-carry, skorelowania reżimu must-carry z prawem autorskim, lepszej ochrony integralności i wysokiej jakości technicznej rozprowadzanych programów, zapewnienia bezpośredniego i natychmiastowego dostępu odbiorcy po wywołaniu programu w ramach usługi rozprowadzania.</w:t>
      </w:r>
    </w:p>
    <w:p w14:paraId="47FBCF04" w14:textId="77777777" w:rsidR="007245EA" w:rsidRPr="00C10C7D"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Proponowane zmiany są związane także z pilną potrzeba działań na rzecz bezpieczeństwa informacyjnego i cybernetycznego Państwa, w obliczu znaczących zagrożeń dezinformacyjnych. Tym bardziej istotne staje zapewnienie odbiorcom programów korzystającym z usług podmiotów je rozprowadzających, co w Polsce dotyczy ponad 60% ludności, łatwego dostępu do podstawowego zestawu telewizyjnych programów publicznych i określonych rozporządzeniem KRRiT programów niepublicznych, w sposób gwarantujący ich integralność i odpowiednią jakość techniczną. </w:t>
      </w:r>
    </w:p>
    <w:p w14:paraId="224198CF" w14:textId="77777777" w:rsidR="007245EA" w:rsidRPr="00C10C7D"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Aktualny stan prawny</w:t>
      </w:r>
    </w:p>
    <w:p w14:paraId="498FF432" w14:textId="5BFB9218"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Regulacja must-carry zawarta jest w artykułach 43 i 43a ustawy o RTV. Podmiotowo obowiązek odnosi się do operatora rozprowadzającego program, z wyłączeniem operatorów multipleksów </w:t>
      </w:r>
      <w:r w:rsidR="002902B5" w:rsidRPr="00C10C7D">
        <w:rPr>
          <w:rFonts w:ascii="Times New Roman" w:eastAsia="Times New Roman" w:hAnsi="Times New Roman" w:cs="Times New Roman"/>
          <w:color w:val="000000" w:themeColor="text1"/>
          <w:sz w:val="24"/>
          <w:szCs w:val="24"/>
        </w:rPr>
        <w:t>naziemnych</w:t>
      </w:r>
      <w:r w:rsidRPr="00C10C7D">
        <w:rPr>
          <w:rFonts w:ascii="Times New Roman" w:eastAsia="Times New Roman" w:hAnsi="Times New Roman" w:cs="Times New Roman"/>
          <w:color w:val="000000" w:themeColor="text1"/>
          <w:sz w:val="24"/>
          <w:szCs w:val="24"/>
        </w:rPr>
        <w:t xml:space="preserve">. Przedmiotem must-carry jest, po pierwsze, rozprowadzanie </w:t>
      </w:r>
      <w:r w:rsidRPr="00C10C7D">
        <w:rPr>
          <w:rFonts w:ascii="Times New Roman" w:eastAsia="Times New Roman" w:hAnsi="Times New Roman" w:cs="Times New Roman"/>
          <w:color w:val="000000" w:themeColor="text1"/>
          <w:sz w:val="24"/>
          <w:szCs w:val="24"/>
        </w:rPr>
        <w:lastRenderedPageBreak/>
        <w:t xml:space="preserve">niektórych programów nadawcy publicznego TVP1, TVP2 i jednego regionalnego programu telewizyjnego rozpowszechnianego przez TVP, przy czym tylko wobec niektórych operatów (gł. sieci kablowych) istnieje obowiązek rozprowadzania regionalnego programu telewizyjnego właściwego dla danego obszaru. Ponadto obowiązkiem objęto rozpowszechniane naziemnie w 2011 r. programy wymienionych nadawców niepublicznych </w:t>
      </w:r>
      <w:r w:rsidR="00532F3A">
        <w:rPr>
          <w:rFonts w:ascii="Times New Roman" w:eastAsia="Times New Roman" w:hAnsi="Times New Roman" w:cs="Times New Roman"/>
          <w:color w:val="000000" w:themeColor="text1"/>
          <w:sz w:val="24"/>
          <w:szCs w:val="24"/>
        </w:rPr>
        <w:t>–</w:t>
      </w:r>
      <w:r w:rsidRPr="00532F3A">
        <w:rPr>
          <w:rFonts w:ascii="Times New Roman" w:eastAsia="Times New Roman" w:hAnsi="Times New Roman" w:cs="Times New Roman"/>
          <w:color w:val="000000" w:themeColor="text1"/>
          <w:sz w:val="24"/>
          <w:szCs w:val="24"/>
        </w:rPr>
        <w:t xml:space="preserve"> (Polsat, TVN, Polskie Media, Puls). Obowiązek must-carry połąc</w:t>
      </w:r>
      <w:r w:rsidRPr="00CE1978">
        <w:rPr>
          <w:rFonts w:ascii="Times New Roman" w:eastAsia="Times New Roman" w:hAnsi="Times New Roman" w:cs="Times New Roman"/>
          <w:color w:val="000000" w:themeColor="text1"/>
          <w:sz w:val="24"/>
          <w:szCs w:val="24"/>
        </w:rPr>
        <w:t xml:space="preserve">zono z tzw. obowiązkiem must-offer uregulowanym w art. 43a. </w:t>
      </w:r>
    </w:p>
    <w:p w14:paraId="32980871" w14:textId="77777777" w:rsidR="007245EA" w:rsidRPr="00C10C7D"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Aktualne przepisy o must-carry wprowadzone zostały w związku z wdrażaniem naziemnej telewizji cyfrowej w 2011 r. </w:t>
      </w:r>
    </w:p>
    <w:p w14:paraId="0D88AE92" w14:textId="77777777" w:rsidR="007245EA" w:rsidRPr="00C10C7D"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Prawo Unii Europejskiej</w:t>
      </w:r>
    </w:p>
    <w:p w14:paraId="4F9DD082" w14:textId="0A72C00E" w:rsidR="007245EA" w:rsidRPr="00C10C7D"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Krajowe reguły must-carry, pod określonymi warunkami, zwłaszcza zachowania proporcjonalności, uważane są za dopuszczalne ograniczenie swobody przepływu usług (programów radiowych i telewizyjnych) na gruncie prawa Unii Europejskiej (art. 56 TFUE). Mieszczą się one w kompetencji państw członkowskich w zakresie gwarantowania pluralizmu mediów i różnorodności kulturowej. </w:t>
      </w:r>
    </w:p>
    <w:p w14:paraId="7454F147" w14:textId="051CFFFF" w:rsidR="007245EA" w:rsidRPr="00C10C7D"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Potwierdzenie tego stanowiła regulacja zawarta w art. 31 dyrektywy 2002/</w:t>
      </w:r>
      <w:r w:rsidR="007A136B" w:rsidRPr="00C10C7D">
        <w:rPr>
          <w:rFonts w:ascii="Times New Roman" w:eastAsia="Times New Roman" w:hAnsi="Times New Roman" w:cs="Times New Roman"/>
          <w:color w:val="000000" w:themeColor="text1"/>
          <w:sz w:val="24"/>
          <w:szCs w:val="24"/>
        </w:rPr>
        <w:t>22/</w:t>
      </w:r>
      <w:r w:rsidRPr="00C10C7D">
        <w:rPr>
          <w:rFonts w:ascii="Times New Roman" w:eastAsia="Times New Roman" w:hAnsi="Times New Roman" w:cs="Times New Roman"/>
          <w:color w:val="000000" w:themeColor="text1"/>
          <w:sz w:val="24"/>
          <w:szCs w:val="24"/>
        </w:rPr>
        <w:t xml:space="preserve">WE </w:t>
      </w:r>
      <w:r w:rsidR="007A136B" w:rsidRPr="00C10C7D">
        <w:rPr>
          <w:rFonts w:ascii="Times New Roman" w:eastAsia="Times New Roman" w:hAnsi="Times New Roman" w:cs="Times New Roman"/>
          <w:color w:val="000000" w:themeColor="text1"/>
          <w:sz w:val="24"/>
          <w:szCs w:val="24"/>
        </w:rPr>
        <w:t>Parlamentu Europejskiego i Rady z dnia 7 marca 2002 r. w sprawie usługi powszechnej i związanych z sieciami i usługami łączności elektronicznej praw użytkowników (Dz. Urz. UE L 108 z 24.04.2002, str. 51, z późn. zm.</w:t>
      </w:r>
      <w:r w:rsidRPr="00C10C7D">
        <w:rPr>
          <w:rFonts w:ascii="Times New Roman" w:eastAsia="Times New Roman" w:hAnsi="Times New Roman" w:cs="Times New Roman"/>
          <w:color w:val="000000" w:themeColor="text1"/>
          <w:sz w:val="24"/>
          <w:szCs w:val="24"/>
        </w:rPr>
        <w:t xml:space="preserve">. Aktualnie, po wejściu w życie dyrektywy 2018/1972 (EKŁE), materia ta jest regulowana w art. 114 tej dyrektywy. </w:t>
      </w:r>
    </w:p>
    <w:p w14:paraId="79B919C4" w14:textId="77777777" w:rsidR="007245EA" w:rsidRPr="00C10C7D"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Przepisy art. 114 dyrektywy EKŁE są zbliżone do regulacji z art. 31 dyrektywy o usłudze powszechnej. Do istotnych zmian należy możliwość nakładania must-carry także na przedsiębiorstwa świadczące usługi łączności elektronicznej, obok przedsiębiorstw udostępniających sieci łączności elektronicznej. Ponadto uzupełniono wyjaśnienie dotyczące „powiązanych usług uzupełniających”, które mogą także być przedmiotem must-carry, w taki sposób, że obok „usług ułatwiających odpowiedni dostęp użytkownikom końcowym z niepełnosprawnościami”, wymieniono też usługi „zapewniające dane wspierające usługi telewizji hybrydowej i elektroniczne przewodniki po programach”. Doprecyzowano przepis o ewentualnym wynagrodzeniu (poprzednio art. 31 ust. 2 dyrektywy o usłudze powszechnej; aktualnie art. 114 ust. 3 dyrektywy EECC). Państwa członkowskie nadal nie mają obowiązku wprowadzania wynagrodzenia za transmisję obowiązkową. Jeżeli jednak wynagrodzenie takie wprowadzają, powinny to uczynić „wyraźnie” i określić „kryteria obliczania wynagrodzenia”. </w:t>
      </w:r>
      <w:r w:rsidRPr="00C10C7D">
        <w:rPr>
          <w:rFonts w:ascii="Times New Roman" w:eastAsia="Times New Roman" w:hAnsi="Times New Roman" w:cs="Times New Roman"/>
          <w:color w:val="000000" w:themeColor="text1"/>
          <w:sz w:val="24"/>
          <w:szCs w:val="24"/>
        </w:rPr>
        <w:lastRenderedPageBreak/>
        <w:t xml:space="preserve">Podmioty oferujące usługę dostępu do programów TV online nie są objęte art. 114 dyrektywy, jeżeli nie są operatorem sieci, ani dostawcą usługi komunikacji elektronicznej. </w:t>
      </w:r>
    </w:p>
    <w:p w14:paraId="4D1E6079" w14:textId="73E82A60"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Trybunał Sprawiedliwości w wyroku z dnia 13 grudnia 2018 r. w sprawie Playmedia orzekł, że art. 31 ust. 1 dyrektywy o usłudze powszechnej nie obejmuje przedsiębiorstwa oferującego oglądanie programów telewizyjnych w bezpośredniej transmisji strumieniowej, oraz że przepisy dyrektywy nie stoją na przeszkodzie temu, by państwo członkowskie nałożyło obowiązek must carry na takie przedsiębiorstwa, z poszanowaniem prawa Unii, w szczególności przepisów dotyczących swobody świadczenia usług ustanowionej w art. 56 TFUE.</w:t>
      </w:r>
    </w:p>
    <w:p w14:paraId="2167EDEE"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Na mocy nowelizacji dyrektywy o audiowizualnych usługach medialnych dokonanej dyrektywą 2018/1808 dodany został przepis art. 7a potwierdzający możliwość stosowania przez państwa członkowskie środków służących odpowiedniej ekspozycji audiowizualnych usług medialnych świadczonych w interesie ogólnym. </w:t>
      </w:r>
    </w:p>
    <w:p w14:paraId="2B1F937C" w14:textId="1A4313D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Zakres podmiotowy obowiązku must-carry </w:t>
      </w:r>
    </w:p>
    <w:p w14:paraId="7569D595"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Proponuje się, by obowiązek must-carry obejmował z mocy samej ustawy operatorów rozprowadzających programy w sieci telekomunikacyjnej, z wyłączeniem podmiotów rozprowadzających programy w sposób cyfrowy drogą rozsiewczą naziemną w multipleksie (art. 43 ust. 1). Obowiązek ten dotyczyć ma operatorów, którzy łącznie spełniają następujące wymagania:</w:t>
      </w:r>
    </w:p>
    <w:p w14:paraId="7833B7A7" w14:textId="651A545C" w:rsidR="007245EA" w:rsidRPr="00CE1978" w:rsidRDefault="007245EA" w:rsidP="00F91F34">
      <w:pPr>
        <w:spacing w:before="120" w:after="0" w:line="360" w:lineRule="auto"/>
        <w:ind w:left="426" w:hanging="426"/>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1)</w:t>
      </w:r>
      <w:r w:rsidR="007E24A1">
        <w:rPr>
          <w:rFonts w:ascii="Times New Roman" w:eastAsia="Times New Roman" w:hAnsi="Times New Roman" w:cs="Times New Roman"/>
          <w:color w:val="000000" w:themeColor="text1"/>
          <w:sz w:val="24"/>
          <w:szCs w:val="24"/>
        </w:rPr>
        <w:tab/>
      </w:r>
      <w:r w:rsidRPr="00CE1978">
        <w:rPr>
          <w:rFonts w:ascii="Times New Roman" w:eastAsia="Times New Roman" w:hAnsi="Times New Roman" w:cs="Times New Roman"/>
          <w:color w:val="000000" w:themeColor="text1"/>
          <w:sz w:val="24"/>
          <w:szCs w:val="24"/>
        </w:rPr>
        <w:t>rozprowadzają programy telewizyjne dla zidentyfikowanych, uprawnionych umownie odbiorców, w określonych lokalizacjach, wyłącznie na terytorium Rzeczypospolitej Polskiej;</w:t>
      </w:r>
    </w:p>
    <w:p w14:paraId="73196BB0" w14:textId="7DB62E61" w:rsidR="007245EA" w:rsidRPr="00CE1978" w:rsidRDefault="007245EA" w:rsidP="00F91F34">
      <w:pPr>
        <w:spacing w:before="120" w:after="0" w:line="360" w:lineRule="auto"/>
        <w:ind w:left="426" w:hanging="426"/>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2)</w:t>
      </w:r>
      <w:r w:rsidR="007E24A1">
        <w:rPr>
          <w:rFonts w:ascii="Times New Roman" w:eastAsia="Times New Roman" w:hAnsi="Times New Roman" w:cs="Times New Roman"/>
          <w:color w:val="000000" w:themeColor="text1"/>
          <w:sz w:val="24"/>
          <w:szCs w:val="24"/>
        </w:rPr>
        <w:tab/>
      </w:r>
      <w:r w:rsidRPr="00CE1978">
        <w:rPr>
          <w:rFonts w:ascii="Times New Roman" w:eastAsia="Times New Roman" w:hAnsi="Times New Roman" w:cs="Times New Roman"/>
          <w:color w:val="000000" w:themeColor="text1"/>
          <w:sz w:val="24"/>
          <w:szCs w:val="24"/>
        </w:rPr>
        <w:t>urządzenia używane przez odbiorców do odbioru programów są przyłączone do sieci tego operatora lub operator stosuje zabezpieczenia techniczne lub rozwiązania informatyczne zapewniające odbiór programów wyłącznie w określonych lokalizacjach.</w:t>
      </w:r>
    </w:p>
    <w:p w14:paraId="3145400A"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Chodzi zatem o takie podmioty jak operatorzy sieci kablowych czy operatorzy telewizyjnych platform satelitarnych, a także operatorzy sieci telekomunikacyjnych świadczący usługę typu IPTV, jak również inne podmioty świadczące usługi dostępu do rozprowadzanych programów w określonych lokalizacjach, niezależnie od tego, czy są oni operatorami sieci telekomunikacyjnych. </w:t>
      </w:r>
    </w:p>
    <w:p w14:paraId="48B69846"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Wyraźnie wskazane zostałoby także, że obowiązek dotyczy rozprowadzania w systemach zamkniętych, do odbioru stacjonarnego i wyłącznie w Polsce. W takich sytuacjach bowiem istnieje uzasadnienie dla transmisji obowiązkowej wynikające z faktycznego uzależnienia możliwości odbioru programów od oferty danego operatora. Odbiorca korzystający z sieci kablowej, platformy satelitarnej, czy też usługi IPTV swego operatora telekomunikacyjnego często nie utrzymuje bieżącej alternatywnej ścieżki odbioru programów telewizyjnych (np. przez korzystanie z naziemnej telewizji cyfrowej), gdyż wymaga to dodatkowej instalacji i obsługi urządzeń. W takich sytuacjach oferta operatora jest więc dla odbiorcy głównym sposobem odbioru programów telewizyjnych, co jest przesłanką dopuszczalności zastosowania must-carry na gruncie przepisów europejskiego prawa telekomunikacyjnego. Nie budzi także wątpliwości, że znaczna liczba odbiorców w Polsce korzysta, jako z głównego sposobu odbioru programów, z płatnej telewizji (63%), w tym z usług rozprowadzania programów w sieciach kablowych (26% gospodarstw domowych) oraz na platformach satelitarnych (37% gospodarstw domowych). Dane te uzasadniają uznanie tych sytuacji, wyraźnie wymienionych w końcowej części proponowanego art. 43 ust. 2, za spełniające przesłankę głównego sposobu odbierania kanałów radiowych i telewizyjnych przez znaczną liczbę użytkowników końcowych sieci i usług, wymaganą art. 114 ust. 1 dyrektywy EKŁE.</w:t>
      </w:r>
    </w:p>
    <w:p w14:paraId="1FFC8AB3"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Przesłanki te nie zachodzą natomiast w odniesieniu do reemisji internetowej i mobilnej. Jest to jeden z dodatkowych możliwych sposobów odbioru programów, stanowiący udogodnienie dla odbiorcy. Odbiorca nie jest jednak faktycznie ograniczony w wyborze serwisu internetowego, ani aplikacji mobilnej, z której chce korzystać, w takim stopniu jak pozostaje związany wybraną tradycyjną metodą stacjonarnego dostępu do telewizji płatnej (sieci kablowej, platformy satelitarnej, usługi IPTV operatora telekomunikacyjnego). </w:t>
      </w:r>
    </w:p>
    <w:p w14:paraId="3661C3A1" w14:textId="2BCE50EF"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W stosunku do innych podmiotów rozprowadzających programy celowe jest upoważnienie dla KRRiT do wydania rozporządzenia, na mocy którego zostałyby one objęte reżimem must-carry, o ile spełnione zostaną następujące warunki:</w:t>
      </w:r>
    </w:p>
    <w:p w14:paraId="5F9ABFB8" w14:textId="2E3E1686" w:rsidR="007245EA" w:rsidRPr="00CE1978" w:rsidRDefault="007245EA" w:rsidP="00F91F34">
      <w:pPr>
        <w:spacing w:before="120" w:after="0" w:line="360" w:lineRule="auto"/>
        <w:ind w:left="426" w:hanging="426"/>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1)</w:t>
      </w:r>
      <w:r w:rsidR="007E24A1">
        <w:rPr>
          <w:rFonts w:ascii="Times New Roman" w:eastAsia="Times New Roman" w:hAnsi="Times New Roman" w:cs="Times New Roman"/>
          <w:color w:val="000000" w:themeColor="text1"/>
          <w:sz w:val="24"/>
          <w:szCs w:val="24"/>
        </w:rPr>
        <w:tab/>
      </w:r>
      <w:r w:rsidRPr="00CE1978">
        <w:rPr>
          <w:rFonts w:ascii="Times New Roman" w:eastAsia="Times New Roman" w:hAnsi="Times New Roman" w:cs="Times New Roman"/>
          <w:color w:val="000000" w:themeColor="text1"/>
          <w:sz w:val="24"/>
          <w:szCs w:val="24"/>
        </w:rPr>
        <w:t>podmioty te rozprowadzają programy dla zidentyfikowanych, uprawnionych umownie odbiorców wyłącznie na terytorium Polski i</w:t>
      </w:r>
    </w:p>
    <w:p w14:paraId="4EB9D394" w14:textId="13D49FC1" w:rsidR="007245EA" w:rsidRPr="00CE1978" w:rsidRDefault="007245EA" w:rsidP="00F91F34">
      <w:pPr>
        <w:spacing w:before="120" w:after="0" w:line="360" w:lineRule="auto"/>
        <w:ind w:left="426" w:hanging="426"/>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2)</w:t>
      </w:r>
      <w:r w:rsidR="007E24A1">
        <w:rPr>
          <w:rFonts w:ascii="Times New Roman" w:eastAsia="Times New Roman" w:hAnsi="Times New Roman" w:cs="Times New Roman"/>
          <w:color w:val="000000" w:themeColor="text1"/>
          <w:sz w:val="24"/>
          <w:szCs w:val="24"/>
        </w:rPr>
        <w:tab/>
      </w:r>
      <w:r w:rsidRPr="00CE1978">
        <w:rPr>
          <w:rFonts w:ascii="Times New Roman" w:eastAsia="Times New Roman" w:hAnsi="Times New Roman" w:cs="Times New Roman"/>
          <w:color w:val="000000" w:themeColor="text1"/>
          <w:sz w:val="24"/>
          <w:szCs w:val="24"/>
        </w:rPr>
        <w:t xml:space="preserve">dany rodzaj rozprowadzania służy znacznej liczbie odbiorców do odbioru programów telewizyjnych. </w:t>
      </w:r>
    </w:p>
    <w:p w14:paraId="49F6B785" w14:textId="047CB34E"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 xml:space="preserve">KRRiT kierowałaby się przy wydaniu rozporządzenia wytycznymi z zakresu interesu publicznego, a przed jego wydaniem przeprowadzone zostałyby konsultacje społeczne (proponowany art. 43 ust. 3). </w:t>
      </w:r>
    </w:p>
    <w:p w14:paraId="18EB5298"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Wciąż wymagana byłaby zamknięta natura rozprowadzania (dla zidentyfikowanych uprawnionych umownie odbiorców) i jego ograniczenie do terytorium Polski. Nie byłaby zaś wymagana stacjonarność usługi. KRRiT musiałaby ustalić znaczną doniosłość społeczną danego rodzaju rozprowadzania, tak by przeciwdziałać wypadaniu programów o wartości publicznej z możliwości dostępu dla znacznej części społeczeństwa. </w:t>
      </w:r>
    </w:p>
    <w:p w14:paraId="16CC4C91" w14:textId="444D5BC8"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Wyraźne ograniczenie must-carry do rozprowadzania w środowisku kontrolowanym, tj. do „zidentyfikowanych, uprawnionych umownie odbiorców wyłącznie na terytorium Polski” jest także niezbędne z uwagi na spójność z prawem autorskim w zakresie zdeterminowanym przez prawo UE zgodnie z dyrektywą 2019/789. Reemisja internetowa jest nią objęta, o ile jest prowadzona w „środowisku kontrolowanym” (art. 2 pkt 2 lit. b tej dyrektywy), które z kolei oznacza „środowisko, w którym reemitent dokonuje zabezpieczonej reemisji do upoważnionych użytkowników” (art. 2 pkt 3 tej dyrektywy). Reemisja internetowa w innym środowisku niż kontrolowane (np. reemisja w otwartym Internecie) nie będzie podlegała tej dyrektywie i w praktyce może być niemożliwe jej w pełni skuteczne licencjonowanie. Stosowanie w tym zakresie must-carry prowadziłoby do naruszania prawa autorskiego. </w:t>
      </w:r>
    </w:p>
    <w:p w14:paraId="36A204C2"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Zakres przedmiotowy must-carry (objęte nim programy i elementy uzupełniające)</w:t>
      </w:r>
    </w:p>
    <w:p w14:paraId="009D5528" w14:textId="72259E8E"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Proponuje się ustalenie ustawowej podstawowej listy programów objętych must-carry oraz listy uzupełniającej określanej w drodze rozporządzenia KRRiT.</w:t>
      </w:r>
    </w:p>
    <w:p w14:paraId="2ED8885E"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Lista ustawowa objęłaby programy TVP wymienione w art. 26 ust. 2 pkt 1 ustawy o RTV (czyli TVP1, TVP2, TVP Info i TVP Kultura) oraz regionalny program TVP właściwy dla danego obszaru (art. 43 ust. 1 pkt. 1 i 2). Właściwy obszar dla poszczególnych regionalnych programów telewizji publicznej, uwzględniając lokalizację terenowych oddziałów TVP oraz techniczne uwarunkowania rozprowadzania programów, określałoby rozporządzenie KRRiT (art. 43 ust. 6). Proponuje się rezygnację z ograniczenia obowiązku rozprowadzania publicznego programu regionalnego właściwego dla danego obszaru tylko do operatorów kablowych i IPTV (tj. innych niż rozprowadzających programy naziemnie i satelitarnie). Nie jest właściwe, aby odbiorcy korzystający z platform satelitarnych (ponad 30% gospodarstw domowych), byli pozbawieni w ich ramach dostępu do właściwych dla ich regionów publicznych programów regionalnych. Jest to istotne także w kontekście bezpieczeństwa regionalnego i lokalnego, z uwagi na to, że </w:t>
      </w:r>
      <w:r w:rsidRPr="00CE1978">
        <w:rPr>
          <w:rFonts w:ascii="Times New Roman" w:eastAsia="Times New Roman" w:hAnsi="Times New Roman" w:cs="Times New Roman"/>
          <w:color w:val="000000" w:themeColor="text1"/>
          <w:sz w:val="24"/>
          <w:szCs w:val="24"/>
        </w:rPr>
        <w:lastRenderedPageBreak/>
        <w:t xml:space="preserve">programy regionalne mogą najlepiej odpowiadać na potrzeby społeczności lokalnych, na wypadek klęsk żywiołowych lub innych zagrożeń na danym obszarze. </w:t>
      </w:r>
    </w:p>
    <w:p w14:paraId="43F457C4" w14:textId="560F5A12"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Lista uzupełniająca określana byłaby w drodze rozporządzenia KRRiT (art. 43 ust. 4), przy czym KRRiT byłaby obowiązana objąć tą listą co najmniej te telewizyjne programy publiczne, które są rozpowszechniane w sposób cyfrowy drogą rozsiewczą naziemną w multipleksie. KRRiT mogłaby objąć listą także inne programy, uwzględniając względy interesu publicznego. Proponuje się jednocześnie, dla jasności zakresu obowiązku, ustawowe określenie maksymalnej liczby programów, które w drodze rozporządzenia mogłyby zostać objęte must-carry, na poziomie </w:t>
      </w:r>
      <w:r w:rsidR="002902B5" w:rsidRPr="00CE1978">
        <w:rPr>
          <w:rFonts w:ascii="Times New Roman" w:eastAsia="Times New Roman" w:hAnsi="Times New Roman" w:cs="Times New Roman"/>
          <w:color w:val="000000" w:themeColor="text1"/>
          <w:sz w:val="24"/>
          <w:szCs w:val="24"/>
        </w:rPr>
        <w:t>3</w:t>
      </w:r>
      <w:r w:rsidRPr="00CE1978">
        <w:rPr>
          <w:rFonts w:ascii="Times New Roman" w:eastAsia="Times New Roman" w:hAnsi="Times New Roman" w:cs="Times New Roman"/>
          <w:color w:val="000000" w:themeColor="text1"/>
          <w:sz w:val="24"/>
          <w:szCs w:val="24"/>
        </w:rPr>
        <w:t xml:space="preserve">0. </w:t>
      </w:r>
    </w:p>
    <w:p w14:paraId="0FD7C27A" w14:textId="3B1F4B6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Oprócz programów obowiązek rozprowadzania obejmowałby, zgodnie z art. 114 ust. 1 dyrektywy EKŁE, także elementy uzupełniające programy o statusie must-carry, a rozpowszechniane równocześnie z nimi, takie jak ułatwienia dostępu do treści, dane wspierające telewizję hybrydową i elektroniczne przewodniki po programach. Wskazanie na równoczesność rozpowszechniania takich elementów uzupełniających programy, objętych wraz z nimi must-carry, służy odróżnieniu od elementów udostępnianych publicznie w sposób nierównoczesny, takich jak usługi typu catch-up, start-over, czy wideo na żądanie, które pozostają poza must-carry, choćby towarzyszyły programom.</w:t>
      </w:r>
    </w:p>
    <w:p w14:paraId="634C6A08"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Odpowiednie wyeksponowanie i zapewnienie łatwego dostępu do programów objętych must-carry.</w:t>
      </w:r>
    </w:p>
    <w:p w14:paraId="058C9917" w14:textId="05703AA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Proponuje się, w wykonaniu kompetencji Państwa, potwierdzonych art. 7a DAUM, połączenie regulacji transmisji obowiązkowej z regulacją odpowiedniego wyeksponowania programów objętych must-carry (proponowane art. 43 ust. 1 i 4 ustawy o RTV). Operatorzy, na których nakłada się obowiązek must-carry, byliby obowiązani nie tylko do rozprowadzania określonych programów, ale także do ich odpowiedniego wyeksponowania i zapewnienia łatwego dostępu do nich dla wszystkich odbiorców usługi danego operatora w zakresie rozprowadzania programów. Ten ostatni element służy potwierdzeniu zgodnie z istotą must-carry, że programy objęte tym reżimem powinny znajdować się w pakietach podstawowych operatorów, tak aby były dostępne dla wszystkich klientów usługi dostępu do telewizji płatnej, a nie jedynie w pakietach dodatkowo płatnych. Obowiązek ten byłby doprecyzowany w rozporządzeniu KRRiT poprzez określenie sposobu umieszczenia programów objętych must-carry w układzie programów w elektronicznym przewodniku po programach (EPG), przy czym należy w samej ustawie określić pozycję w EPG ustawowych programów publicznej telewizji objętych must-</w:t>
      </w:r>
      <w:r w:rsidRPr="00CE1978">
        <w:rPr>
          <w:rFonts w:ascii="Times New Roman" w:eastAsia="Times New Roman" w:hAnsi="Times New Roman" w:cs="Times New Roman"/>
          <w:color w:val="000000" w:themeColor="text1"/>
          <w:sz w:val="24"/>
          <w:szCs w:val="24"/>
        </w:rPr>
        <w:lastRenderedPageBreak/>
        <w:t xml:space="preserve">carry z mocy ustawy (art. 43 ust. 1 pkt 1 i 2), wskazując ich kolejność na pozycjach od 1 do 5 – kolejno dla TVP1, TVP2, TVP3 (program regionalny), TVP Info i TVP Kultura. Rozporządzenie KRRiT będzie uzupełniać to uregulowanie. Konsekwentnie, w pierwszej kolejności rozporządzenie określi pozycję w EPG innych programów telewizji publicznej dostępnych naziemnie (pozycje od 6), następnie programów niepublicznych objętych must-carry. </w:t>
      </w:r>
    </w:p>
    <w:p w14:paraId="7DD9B535" w14:textId="06843931"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Wprowadzenie obowiązku odpowiedniego wyeksponowania programów do polskiego prawa było proponowane już w toku konsultacji projektu ustawy z 2015 r., jak też podnoszone przez KRRiT, która zaproponowała, aby operator rozprowadzający programy umieszczał w EPG kolejno: 1) programy telewizji publicznej tworzone przez TVP S.A. w kolejności określonej deskryptorem LCN; 2) pozostałe programy objęte zasadą must-carry w kolejności określonej deskryptorem LCN; 3) pozostałe programy. </w:t>
      </w:r>
    </w:p>
    <w:p w14:paraId="2409B8C1"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Połączenie must-carry z obowiązkiem odpowiedniego wyeksponowania w EPG jest uzasadnione znaczną liczbą programów dostępnych w ofercie operatorów rozprowadzających programy i ryzykiem spychania programów o wartości publicznej na trudniej dostępne dla odbiorcy pozycje. Sam obowiązek rozprowadzania nie zapewni dogodnego dla odbiorcy dostępu do programów o wartości publicznej. </w:t>
      </w:r>
    </w:p>
    <w:p w14:paraId="24017964"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Realizacja must-carry – stosunki między nadawcą o reemitentem</w:t>
      </w:r>
    </w:p>
    <w:p w14:paraId="679AAA6C"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Proponuje się utrzymanie zasady nieodpłatności realizacji przez operatorów obowiązku must-carry i wyraźne wskazanie jego wykonywania na własny koszt operatora. Nie ma uzasadnienia dla wprowadzenia odpłatności w tym zakresie. Większość programów objętych must-carry stanowi wartościową pozycję w ofercie operatora, bez której zainteresowanie odbiorców tą ofertą mogłoby być mniejsze. </w:t>
      </w:r>
    </w:p>
    <w:p w14:paraId="3388DACF" w14:textId="30B6C879"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Proponuje się także, zgodnie z ukształtowanym stanowiskiem, wyraźne potwierdzenie, że podmiot zobowiązany do rozprowadzania programów może rozpocząć to rozprowadzanie po uzyskaniu pisemnej zgody nadawcy (art. 43 ust. 7). </w:t>
      </w:r>
    </w:p>
    <w:p w14:paraId="243F0E6B" w14:textId="7674AEDB"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Jednocześnie proponuje się ukształtowanie swoistego obowiązku kontraktowania po stronie nadawcy programu o statusie must-carry wobec operatorów zobowiązanych z mocy ustawy do jego rozprowadzania. Nadawca nie będzie mógł odmówić bez ważnych powodów takiemu podmiotowi zgody na rozprowadzanie tego programu ani uzależnić jej udzielenia od uiszczenia jakiegokolwiek wynagrodzenia (art. 43 ust. 8). Ważny powód może stanowić w szczególności brak uprawnień po stronie nadawcy do udzielenia zgody w zakresie praw autorskich lub praw </w:t>
      </w:r>
      <w:r w:rsidRPr="00CE1978">
        <w:rPr>
          <w:rFonts w:ascii="Times New Roman" w:eastAsia="Times New Roman" w:hAnsi="Times New Roman" w:cs="Times New Roman"/>
          <w:color w:val="000000" w:themeColor="text1"/>
          <w:sz w:val="24"/>
          <w:szCs w:val="24"/>
        </w:rPr>
        <w:lastRenderedPageBreak/>
        <w:t xml:space="preserve">pokrewnych do audycji w programie lub ich elementów, o ile zezwolenie to nie zostało skutecznie uzyskane przez podmiot rozprowadzający od innego podmiotu uprawnionego, w szczególności od organizacji zbiorowego zarządzania prawami autorskimi lub prawami pokrewnymi (art. 43 ust. 9). Odpowiada to stanowisku, że regulacja must-carry nie może naruszać zasady </w:t>
      </w:r>
      <w:r w:rsidRPr="00CE1978">
        <w:rPr>
          <w:rFonts w:ascii="Times New Roman" w:eastAsia="Times New Roman" w:hAnsi="Times New Roman" w:cs="Times New Roman"/>
          <w:i/>
          <w:color w:val="000000" w:themeColor="text1"/>
          <w:sz w:val="24"/>
          <w:szCs w:val="24"/>
        </w:rPr>
        <w:t>nemo plus iuris</w:t>
      </w:r>
      <w:r w:rsidRPr="00CE1978">
        <w:rPr>
          <w:rFonts w:ascii="Times New Roman" w:eastAsia="Times New Roman" w:hAnsi="Times New Roman" w:cs="Times New Roman"/>
          <w:color w:val="000000" w:themeColor="text1"/>
          <w:sz w:val="24"/>
          <w:szCs w:val="24"/>
        </w:rPr>
        <w:t xml:space="preserve">, a także zapewnia korelację must-carry z prawem autorskim. </w:t>
      </w:r>
    </w:p>
    <w:p w14:paraId="2218E2D5"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Proponuje się także, aby zgodę na rozprowadzanie programów nadawca mógł uzależnić od wykazania przez podmiot zobowiązany do rozprowadzania przesłanek określonych w proponowanym art. 43 ust. 2 lub 3, a wskazujących, że ze względu na charakter jego usług lub ich zasięg, jest on objęty obowiązkiem must-carry (art. 43 ust. 10). Ponieważ przesłanki te dotyczą okoliczności po stronie operatora lub innego podmiotu zobowiązanego, on będzie w stanie je wykazać. </w:t>
      </w:r>
    </w:p>
    <w:p w14:paraId="608769B2" w14:textId="3BDF39C1"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 zakresie relacji nadawcy z reemitentem zachodzi istotna różnica w odniesieniu do z jednej strony operatorów rozprowadzających programy w sieci w stałych lokalizacjach, a z drugiej reemitentów internetowych i mobilnych. Jak wyjaśniono, korzystanie przez odbiorcę z sieci operatora rozprowadzającego programy (np. sieci kablowej, platformy TV satelitarnej, usługi IPTV) łączy się zazwyczaj z rezygnacją z innych sposobów odbierania programów, co nadaje reemitentowi status strażnika dostępu do programów i powoduje „wąskie gardło”, w którym mogą przepadać niektóre programy. Inna jest sytuacja przy usługach reemisji internetowej i mobilnej, które zwykle takiego „wąskiego gardła” nie tworzą, tylko zapewniają narzędzie dostępu do programów, niewykluczające dostępu do innych podobnych narzędzi, lecz z nimi konkurujące. Sam nadawca może zapewniać powszechnie dostępną i dogodną transmisję programu w systemie teleinformatycznym. Reemisja internetowa programów zasługujących na status must-carry nie zawsze więc będzie służyła interesowi publicznemu. Może natomiast być wykorzystywana do budowy własnych modeli biznesowych reemitenta, bez tworzenia wartości dodanej dla systemu medialnego i z przejęciem części wartości wytworzonej przez nadawcę, w wypadku nadawcy publicznego – z udziałem środków publicznych. </w:t>
      </w:r>
    </w:p>
    <w:p w14:paraId="45EECBF2" w14:textId="070F892A"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Jeżeli chodzi o relację must-carry do prawa autorskiego, proponuje się przyjęcie, że są to uregulowania niezależne, z zastrzeżeniem jednak obowiązku udzielenia zgody przez nadawcę i niemożliwości jej uzależnienia od wynagrodzenia (art. 43 ust. 1</w:t>
      </w:r>
      <w:r w:rsidR="002902B5" w:rsidRPr="00CE1978">
        <w:rPr>
          <w:rFonts w:ascii="Times New Roman" w:eastAsia="Times New Roman" w:hAnsi="Times New Roman" w:cs="Times New Roman"/>
          <w:color w:val="000000" w:themeColor="text1"/>
          <w:sz w:val="24"/>
          <w:szCs w:val="24"/>
        </w:rPr>
        <w:t>2</w:t>
      </w:r>
      <w:r w:rsidRPr="00CE1978">
        <w:rPr>
          <w:rFonts w:ascii="Times New Roman" w:eastAsia="Times New Roman" w:hAnsi="Times New Roman" w:cs="Times New Roman"/>
          <w:color w:val="000000" w:themeColor="text1"/>
          <w:sz w:val="24"/>
          <w:szCs w:val="24"/>
        </w:rPr>
        <w:t xml:space="preserve">). Nie oznacza to jednak niedopuszczalności dochodzenia wynagrodzenia po udzieleniu zgody, co będzie wymagało oceny całokształtu okoliczności konkretnej sprawy. Taki sposób określenia relacji must-carry do prawa autorskiego odpowiada stanowisku orzecznictwa. Jak wskazał Sąd Najwyższy w wyroku z dnia 20 lipca 2020 r., V CSK 108/18: „(…) art. 43 i 43a ustawy o radiofonii i telewizji </w:t>
      </w:r>
      <w:r w:rsidR="00532F3A">
        <w:rPr>
          <w:rFonts w:ascii="Times New Roman" w:eastAsia="Times New Roman" w:hAnsi="Times New Roman" w:cs="Times New Roman"/>
          <w:color w:val="000000" w:themeColor="text1"/>
          <w:sz w:val="24"/>
          <w:szCs w:val="24"/>
        </w:rPr>
        <w:lastRenderedPageBreak/>
        <w:t>–</w:t>
      </w:r>
      <w:r w:rsidRPr="00532F3A">
        <w:rPr>
          <w:rFonts w:ascii="Times New Roman" w:eastAsia="Times New Roman" w:hAnsi="Times New Roman" w:cs="Times New Roman"/>
          <w:color w:val="000000" w:themeColor="text1"/>
          <w:sz w:val="24"/>
          <w:szCs w:val="24"/>
        </w:rPr>
        <w:t xml:space="preserve"> przewidziany w powołanych przepisach obowiązek rozprowadzania określonych programów nie jest równoznaczny z upoważnieniem do naruszania praw autorskich i oznacza obo</w:t>
      </w:r>
      <w:r w:rsidRPr="00CE1978">
        <w:rPr>
          <w:rFonts w:ascii="Times New Roman" w:eastAsia="Times New Roman" w:hAnsi="Times New Roman" w:cs="Times New Roman"/>
          <w:color w:val="000000" w:themeColor="text1"/>
          <w:sz w:val="24"/>
          <w:szCs w:val="24"/>
        </w:rPr>
        <w:t xml:space="preserve">wiązek rozprowadzania tych programów z zachowaniem wszelkich wymagań wynikających z innych przepisów prawa”. Z kolei Trybunał Sprawiedliwości UE w wyroku z dnia 1 marca 2017 r., C-275/15, ITV i in. v. TVCatchup 2, stwierdził, że „… nie jest dozwolone uregulowanie krajowe przewidujące brak naruszenia prawa autorskiego w przypadku natychmiastowej retransmisji drogą kablową, w tym ewentualnie za pośrednictwem Internetu, na obszarze pierwotnego nadawania, utworów nadawanych w kanałach telewizyjnych podlegających obowiązkom z tytułu świadczenia usługi publicznej”. </w:t>
      </w:r>
    </w:p>
    <w:p w14:paraId="7512ED89" w14:textId="5EC1EC56" w:rsidR="007245EA" w:rsidRPr="00C10C7D"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Proponuje się także potwierdzenie, że przepisy o must-carry pozostają bez uszczerbku dla rozporządzenia UE 2017/1128 w sprawie transgranicznego przenoszenia na rynku wewnętrznym usług online w zakresie treści. Nie jest to, co prawda, konieczne z uwagi na bezpośrednie stosowanie tego rozporządzenia w Polsce i niemożliwość skutecznego wprowadzania na poziomie krajowym wyłomów od jego unormowania. Celowe jednak, w kontekście objęcia must-carry rozprowadzania skierowanego wyłącznie do odbiorców w Polsce, jest usunięcie wszelkich wątpliwości co do tego, co wynika z art. 4 powołanego rozporządzenia, a mianowicie, że świadczenie (subskrybowanej, przenoszalnej i zasadniczo odpłatnej) usługi reemisyjnej online dla zamieszkałych w Polsce abonentów czasowo przebywających w innym państwie członkowskim UE uważane jest za mające miejsce wyłącznie w Polsce, także w odniesieniu do obowiązku must-carry. Konsekwentnie zapewnianie przez reemitenta przenoszalności zgodnie z rozporządzeniem (UE) 2017/1128 nie zmienia tego, że rozprowadzanie takie traktowane jest tak, jak dokonywane dla odbiorców w Polsce, a w rezultacie podlega zasadzie must-carry (przy spełnieniu przesłanek określonych w ustawie i przepisach wydanych na podstawie art. 43 ust. 3). Potrzebne jest natomiast zastrzeżenie, iż w kontekście zgody nadawcy potrzebnej na rozprowadzanie nadawca może żądać wykazania przez reemitenta zapewniającego przenoszalność, że respektuje warunki rozporządzenia (UE) 2017/1128 poprzez odpowiednią weryfikację państwa członkowskiego zamieszkania abonenta (art. 5 rozporządzenia). </w:t>
      </w:r>
    </w:p>
    <w:p w14:paraId="253A0512" w14:textId="77777777" w:rsidR="007245EA" w:rsidRPr="00C10C7D"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Zasada bezpośredniego i natychmiastowego dostępu odbiorcy do programu po jego wywołaniu przy pomocy oznaczenia programu</w:t>
      </w:r>
    </w:p>
    <w:p w14:paraId="3DE1409B" w14:textId="5B160738"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W praktyce rozprowadzania programów, zwłaszcza przy pomocy internetowych usług reemitenckich, pojawiła się praktyka umieszczania przez podmiot rozprowadzający przekazów handlowych po wywołaniu programu przez odbiorcę, a przed pojawieniem się jego sygnału </w:t>
      </w:r>
      <w:r w:rsidRPr="00C10C7D">
        <w:rPr>
          <w:rFonts w:ascii="Times New Roman" w:eastAsia="Times New Roman" w:hAnsi="Times New Roman" w:cs="Times New Roman"/>
          <w:color w:val="000000" w:themeColor="text1"/>
          <w:sz w:val="24"/>
          <w:szCs w:val="24"/>
        </w:rPr>
        <w:lastRenderedPageBreak/>
        <w:t>(tzw. pre-rolls).</w:t>
      </w:r>
      <w:r w:rsidRPr="00CE1978">
        <w:rPr>
          <w:rFonts w:ascii="Times New Roman" w:eastAsia="Times New Roman" w:hAnsi="Times New Roman" w:cs="Times New Roman"/>
          <w:color w:val="000000" w:themeColor="text1"/>
          <w:sz w:val="24"/>
          <w:szCs w:val="24"/>
        </w:rPr>
        <w:t xml:space="preserve"> Narusza to zaufanie i komfort odbiorcy, który wybierając oznaczenie usługi medialnej spodziewa się wywołania jej treści, a narażony jest na przekaz nie pochodzący od nadawcy (o czym odbiorca może nie wiedzieć) o nieokreślonym czasie trwania i nieuregulowanej zawartości (np. z punktu widzenia ochrony małoletnich, produktowych zakazów lub ograniczeń reklamy, itd.). Jednocześnie do przeciwdziałania takim ingerencjom nie wystarcza ochrona integralności sygnału usługi medialnej, gdyż sygnał ten pojawia się dopiero po dodanych treściach. </w:t>
      </w:r>
    </w:p>
    <w:p w14:paraId="05785593" w14:textId="473F9139"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Należy więc uzupełnić tę ochronę, wprowadzając zasadę bezpośredniego i natychmiastowego dostępu odbiorcy do programu po jego wywołaniu przy pomocy oznaczenia danego programu lub audycji w jej ramach (art. 43 ust. 1</w:t>
      </w:r>
      <w:r w:rsidR="00F23B19" w:rsidRPr="00CE1978">
        <w:rPr>
          <w:rFonts w:ascii="Times New Roman" w:eastAsia="Times New Roman" w:hAnsi="Times New Roman" w:cs="Times New Roman"/>
          <w:color w:val="000000" w:themeColor="text1"/>
          <w:sz w:val="24"/>
          <w:szCs w:val="24"/>
        </w:rPr>
        <w:t>3</w:t>
      </w:r>
      <w:r w:rsidRPr="00CE1978">
        <w:rPr>
          <w:rFonts w:ascii="Times New Roman" w:eastAsia="Times New Roman" w:hAnsi="Times New Roman" w:cs="Times New Roman"/>
          <w:color w:val="000000" w:themeColor="text1"/>
          <w:sz w:val="24"/>
          <w:szCs w:val="24"/>
        </w:rPr>
        <w:t xml:space="preserve">). Przy czym należy wskazać, że oznacza to zakaz w szczególności jakichkolwiek przekazów handlowych, ogłoszeń lub innych treści niestanowiących elementu danej usługi medialnej pomiędzy wywołaniem programu przy pomocy jego oznaczenia w tym interfejsie a dostępem do sygnału tej usługi medialnej, chyba że treści te pochodzą od dostawcy usługi medialnej lub uzyskano zgodę dostawcy usługi medialnej. Ten ostatni element wynika z podobnego ukształtowania ochrony integralności usługi medialnej (art. 44b), która to ochrona ma charakter względny, gdyż dopuszcza się ingerencje autoryzowane przez dostawcę usługi medialnej. W odniesieniu do przesłanek i granic skuteczności zgody dostawcy należy zastosować tę samą regułę, co przy ochronie integralności usługi medialnej, co proponuje się uzyskać poprzez odesłanie do odpowiedniego stosowania art. 44b ust. 2. Jednocześnie – z uwagi na ochronę interesu publicznego i odbiorców – konieczne jest zastrzeżenie, że ewentualne treści dodane za zgodą nadawcy powinny być odpowiednio oznaczone (np. jako reklamy) i nie mogą naruszać przepisów ustawy (np. dotyczących przekazów handlowych i ochrony małoletnich). </w:t>
      </w:r>
    </w:p>
    <w:p w14:paraId="7477A504"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Zasada dostępu do sygnału programu z systemu strumieniowego przesyłania treści nadawcy (CDN)</w:t>
      </w:r>
    </w:p>
    <w:p w14:paraId="2D0288A2" w14:textId="6CB31836"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Proponuje się także uzupełnienie art. 43 (ust. 1</w:t>
      </w:r>
      <w:r w:rsidR="00F23B19" w:rsidRPr="00CE1978">
        <w:rPr>
          <w:rFonts w:ascii="Times New Roman" w:eastAsia="Times New Roman" w:hAnsi="Times New Roman" w:cs="Times New Roman"/>
          <w:color w:val="000000" w:themeColor="text1"/>
          <w:sz w:val="24"/>
          <w:szCs w:val="24"/>
        </w:rPr>
        <w:t>4</w:t>
      </w:r>
      <w:r w:rsidRPr="00CE1978">
        <w:rPr>
          <w:rFonts w:ascii="Times New Roman" w:eastAsia="Times New Roman" w:hAnsi="Times New Roman" w:cs="Times New Roman"/>
          <w:color w:val="000000" w:themeColor="text1"/>
          <w:sz w:val="24"/>
          <w:szCs w:val="24"/>
        </w:rPr>
        <w:t xml:space="preserve">) o zasadę uzyskiwania przez podmiot rozprowadzający programu dostępu do sygnału programu z udostępnionego temu podmiotowi przez danego przez nadawcę źródła sygnału programu, np. systemu CDN danego nadawcy, chyba że wskaże on inne źródło sygnału (np. off-air). Zapewni to integralność rozprowadzanego programu i jego możliwie najwyższą jakość dla odbiorców. Takie rozwiązanie zabezpieczy także dostęp do sygnału na potrzeby rozprowadzania programów od ingerencji osób trzecich, czy też od awarii lub zakłóceń infrastruktury nadawczej. Jest to </w:t>
      </w:r>
      <w:r w:rsidRPr="00CE1978">
        <w:rPr>
          <w:rFonts w:ascii="Times New Roman" w:eastAsia="Times New Roman" w:hAnsi="Times New Roman" w:cs="Times New Roman"/>
          <w:color w:val="000000" w:themeColor="text1"/>
          <w:sz w:val="24"/>
          <w:szCs w:val="24"/>
        </w:rPr>
        <w:lastRenderedPageBreak/>
        <w:t xml:space="preserve">uzasadnione także potrzebą przeciwdziałania ewentualnym akcjom dezinformacyjnym lub innym zagrożeniom bezpieczeństwa. </w:t>
      </w:r>
    </w:p>
    <w:p w14:paraId="55408432"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Okresowy przegląd</w:t>
      </w:r>
    </w:p>
    <w:p w14:paraId="271C47BC" w14:textId="2DB4CE06"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Przepis art. 43 ust. 1</w:t>
      </w:r>
      <w:r w:rsidR="00F23B19" w:rsidRPr="00CE1978">
        <w:rPr>
          <w:rFonts w:ascii="Times New Roman" w:eastAsia="Times New Roman" w:hAnsi="Times New Roman" w:cs="Times New Roman"/>
          <w:color w:val="000000" w:themeColor="text1"/>
          <w:sz w:val="24"/>
          <w:szCs w:val="24"/>
        </w:rPr>
        <w:t>5</w:t>
      </w:r>
      <w:r w:rsidRPr="00CE1978">
        <w:rPr>
          <w:rFonts w:ascii="Times New Roman" w:eastAsia="Times New Roman" w:hAnsi="Times New Roman" w:cs="Times New Roman"/>
          <w:color w:val="000000" w:themeColor="text1"/>
          <w:sz w:val="24"/>
          <w:szCs w:val="24"/>
        </w:rPr>
        <w:t xml:space="preserve"> odpowiada dotychczasowemu art. 43 ust. 3 i 4 i przewiduje, zgodnie z art. 114 dyrektywy EKŁE, okresowy przegląd w zakresie must-carry przeprowadzany przez Przewodniczącego KRRiT. </w:t>
      </w:r>
    </w:p>
    <w:p w14:paraId="76D78B94" w14:textId="6A542E25" w:rsidR="00D33361" w:rsidRPr="00CE1978" w:rsidRDefault="00D333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Zasada must offer</w:t>
      </w:r>
    </w:p>
    <w:p w14:paraId="0436974A" w14:textId="07B676F5" w:rsidR="00D33361" w:rsidRPr="00CE1978" w:rsidRDefault="00D333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Projektowane przepisy art. 4</w:t>
      </w:r>
      <w:r w:rsidR="00B3722A" w:rsidRPr="00CE1978">
        <w:rPr>
          <w:rFonts w:ascii="Times New Roman" w:eastAsia="Times New Roman" w:hAnsi="Times New Roman" w:cs="Times New Roman"/>
          <w:color w:val="000000" w:themeColor="text1"/>
          <w:sz w:val="24"/>
          <w:szCs w:val="24"/>
        </w:rPr>
        <w:t>4</w:t>
      </w:r>
      <w:r w:rsidRPr="00CE1978">
        <w:rPr>
          <w:rFonts w:ascii="Times New Roman" w:eastAsia="Times New Roman" w:hAnsi="Times New Roman" w:cs="Times New Roman"/>
          <w:color w:val="000000" w:themeColor="text1"/>
          <w:sz w:val="24"/>
          <w:szCs w:val="24"/>
        </w:rPr>
        <w:t xml:space="preserve">c i art. 44d rozbudowują i doprecyzowują obowiązującą zasadę must – offer. Na podstawie tych przepisów nadawca nie będzie mógł uzależniać zawarcia umowy na rozprowadzanie programu od zawarcia umowy na rozprowadzanie programu lub pakietu programów innego niż ten, o który wystąpił operator. Ponadto nadawca nie będzie miał możliwości różnicowania opłat za udostępniane tego samego programu lub pakietu tych samych programów operatorom rozprowadzającym program. </w:t>
      </w:r>
    </w:p>
    <w:p w14:paraId="3D5697F2" w14:textId="65C9B706" w:rsidR="00D33361" w:rsidRPr="00CE1978" w:rsidRDefault="00D333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Dodane zostało uprawnienie (w art. </w:t>
      </w:r>
      <w:r w:rsidR="007B0720" w:rsidRPr="00CE1978">
        <w:rPr>
          <w:rFonts w:ascii="Times New Roman" w:eastAsia="Times New Roman" w:hAnsi="Times New Roman" w:cs="Times New Roman"/>
          <w:color w:val="000000" w:themeColor="text1"/>
          <w:sz w:val="24"/>
          <w:szCs w:val="24"/>
        </w:rPr>
        <w:t xml:space="preserve">44c </w:t>
      </w:r>
      <w:r w:rsidRPr="00CE1978">
        <w:rPr>
          <w:rFonts w:ascii="Times New Roman" w:eastAsia="Times New Roman" w:hAnsi="Times New Roman" w:cs="Times New Roman"/>
          <w:color w:val="000000" w:themeColor="text1"/>
          <w:sz w:val="24"/>
          <w:szCs w:val="24"/>
        </w:rPr>
        <w:t xml:space="preserve">ust. 3) Przewodniczącego KRRiT do wystąpienia z żądaniem do dostawców usługi medialnej oraz operatorów rozprowadzających program do przedstawienia materiałów, dokumentów i udzielenia wyjaśnień pozwalających ustalić czy stosowana przez nadawcę opłata za ten sam program lub ten sam pakiet programów nie narusza zakazu określonego w ust. 2 art. </w:t>
      </w:r>
      <w:r w:rsidR="007B0720" w:rsidRPr="00CE1978">
        <w:rPr>
          <w:rFonts w:ascii="Times New Roman" w:eastAsia="Times New Roman" w:hAnsi="Times New Roman" w:cs="Times New Roman"/>
          <w:color w:val="000000" w:themeColor="text1"/>
          <w:sz w:val="24"/>
          <w:szCs w:val="24"/>
        </w:rPr>
        <w:t>44c</w:t>
      </w:r>
      <w:r w:rsidRPr="00CE1978">
        <w:rPr>
          <w:rFonts w:ascii="Times New Roman" w:eastAsia="Times New Roman" w:hAnsi="Times New Roman" w:cs="Times New Roman"/>
          <w:color w:val="000000" w:themeColor="text1"/>
          <w:sz w:val="24"/>
          <w:szCs w:val="24"/>
        </w:rPr>
        <w:t>.</w:t>
      </w:r>
    </w:p>
    <w:p w14:paraId="3E10033E" w14:textId="559F9540" w:rsidR="00D33361" w:rsidRPr="00CE1978" w:rsidRDefault="00D333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Zgodnie z art. 44d operator rozprowadzający program nie może uzależniać zawarcia z odbiorcą umowy o świadczenie usług rozprowadzania programów od zawarcia umowy o świadczenie innych niż rozprowadzanie programów usług lub nabycia urządzenia. </w:t>
      </w:r>
    </w:p>
    <w:p w14:paraId="4584DC21" w14:textId="5EC8E041" w:rsidR="00D33361" w:rsidRPr="00CE1978" w:rsidRDefault="00D333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Ponadto operator rozprowadzający program został zobowiązany do oferowania odbiorcy możliwość zakupu pojedynczych programów i nie może uzależniać zawarcia umowy o świadczenie usług rozprowadzania tych programów od zawarcia umowy na rozprowadzanie innych programów lub pakietów programów, za wyjątkiem programów określonych w art. 43 ust. 1.</w:t>
      </w:r>
    </w:p>
    <w:p w14:paraId="02F8BB69"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Konieczność dostosowania terminologii w niektórych przepisach</w:t>
      </w:r>
    </w:p>
    <w:p w14:paraId="1B3A62E5"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 uwagi na z jednej strony objęcie proponowanymi zasadami must-carry innych reemitentów niż operatorzy sieci oraz – z drugiej – aktualny stan prawny, w którym szereg obowiązków (np. rejestracja programów) lub sankcje adresowane są do „operatorów” lub „operatorów rozprowadzających programy”, proponuje się uporządkowanie terminologii, tak aby te ogólniej </w:t>
      </w:r>
      <w:r w:rsidRPr="00CE1978">
        <w:rPr>
          <w:rFonts w:ascii="Times New Roman" w:eastAsia="Times New Roman" w:hAnsi="Times New Roman" w:cs="Times New Roman"/>
          <w:color w:val="000000" w:themeColor="text1"/>
          <w:sz w:val="24"/>
          <w:szCs w:val="24"/>
        </w:rPr>
        <w:lastRenderedPageBreak/>
        <w:t xml:space="preserve">ujęte obowiązki i sankcje dotyczyły wszystkich podmiotów rozprowadzających programy, a nie tylko „operatorów”. </w:t>
      </w:r>
    </w:p>
    <w:p w14:paraId="29F0A411" w14:textId="77777777"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Rozwiązanie przejściowe </w:t>
      </w:r>
    </w:p>
    <w:p w14:paraId="0FD2E57D" w14:textId="70D9095D" w:rsidR="007245EA" w:rsidRPr="00CE1978" w:rsidRDefault="007245E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Zasadne wydaje się utrzymanie w przepisach przejściowych w mocy obowiązku must-carry w odniesieniu do programów dotąd objętych tym obowiązkiem, a nie zaliczonych do podstawowej ustawowej listy programów podlegających transmisji obowiązkowej wedle nowych proponowanych rozwiązań, przez czas do wydania przez KRRiT rozporządzenia na podstawie art. 43 ust. 4 w nowym brzmieniu. Będzie to dotyczyło programów niepublicznych objętych dotychczasowym art. 43 ust. 1 ustawy o RTV. Programy te będą mogły także dalej korzystać ze statusu must-carry, jeżeli zostaną objęte rozporządzeniem KRRiT wydanym na podstawie art. 43 ust. 4 w nowym brzmieniu.</w:t>
      </w:r>
      <w:r w:rsidR="00F23B19"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color w:val="000000" w:themeColor="text1"/>
          <w:sz w:val="24"/>
          <w:szCs w:val="24"/>
        </w:rPr>
        <w:t xml:space="preserve">Zmiana w zakresie art. 25 ustawy o RTV </w:t>
      </w:r>
    </w:p>
    <w:p w14:paraId="1DC73380" w14:textId="28CEC4A6" w:rsidR="11E09081" w:rsidRPr="00CE1978" w:rsidRDefault="11E09081" w:rsidP="00F91F34">
      <w:pPr>
        <w:pStyle w:val="Akapitzlist"/>
        <w:numPr>
          <w:ilvl w:val="0"/>
          <w:numId w:val="4"/>
        </w:numPr>
        <w:spacing w:before="120" w:after="0" w:line="360" w:lineRule="auto"/>
        <w:ind w:left="426" w:hanging="426"/>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ustawie z dnia 7 lipca 1994 r. </w:t>
      </w:r>
      <w:r w:rsidR="00A0613F"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b/>
          <w:bCs/>
          <w:color w:val="000000" w:themeColor="text1"/>
          <w:sz w:val="24"/>
          <w:szCs w:val="24"/>
        </w:rPr>
        <w:t>Prawo budowlane</w:t>
      </w:r>
    </w:p>
    <w:p w14:paraId="7E0F8658" w14:textId="7B503AF2" w:rsidR="11E09081" w:rsidRPr="00CE1978" w:rsidRDefault="11E0908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Art. 57 EKŁE stanowi, że wdrażanie punktów dostępu bezprzewodowego o bliskim zasięgu powinno się odbywać bez jakichkolwiek zezwoleń indywidualnych za wyjątkiem zezwolenia ogólnego, które dotyczy wykorzystywania częstotliwości radiowych. W związku z tym konieczne jest przesądzenie w ustawie </w:t>
      </w:r>
      <w:r w:rsidR="00A23CE6"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color w:val="000000" w:themeColor="text1"/>
          <w:sz w:val="24"/>
          <w:szCs w:val="24"/>
        </w:rPr>
        <w:t>Prawo budowlane, że instalowanie punktów dost</w:t>
      </w:r>
      <w:r w:rsidR="6F0B2CA8" w:rsidRPr="00CE1978">
        <w:rPr>
          <w:rFonts w:ascii="Times New Roman" w:eastAsia="Times New Roman" w:hAnsi="Times New Roman" w:cs="Times New Roman"/>
          <w:color w:val="000000" w:themeColor="text1"/>
          <w:sz w:val="24"/>
          <w:szCs w:val="24"/>
        </w:rPr>
        <w:t>ępu bezprzewodowego o bliskim zasięgu nie wymaga uzyskania pozwolenia na budowę oraz dokonania zgłoszenia robót budowlanych organowi administracji architektoniczno-bu</w:t>
      </w:r>
      <w:r w:rsidR="00D3663D" w:rsidRPr="00CE1978">
        <w:rPr>
          <w:rFonts w:ascii="Times New Roman" w:eastAsia="Times New Roman" w:hAnsi="Times New Roman" w:cs="Times New Roman"/>
          <w:color w:val="000000" w:themeColor="text1"/>
          <w:sz w:val="24"/>
          <w:szCs w:val="24"/>
        </w:rPr>
        <w:t>dowlanej;</w:t>
      </w:r>
    </w:p>
    <w:p w14:paraId="34A1DDCC" w14:textId="6DFF3B3C" w:rsidR="0040286A" w:rsidRPr="00CE1978" w:rsidRDefault="0040286A"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ustawie z dnia 14 grudnia 1995 r. o urzędzie Ministra Obrony Narodowej</w:t>
      </w:r>
    </w:p>
    <w:p w14:paraId="40C6B074" w14:textId="6DCB5CEF" w:rsidR="0040286A" w:rsidRPr="00C10C7D" w:rsidRDefault="0040286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Wprowadzenie do art. 42 projektu ustawy </w:t>
      </w:r>
      <w:r w:rsidR="00532F3A">
        <w:rPr>
          <w:rFonts w:ascii="Times New Roman" w:eastAsia="Times New Roman" w:hAnsi="Times New Roman" w:cs="Times New Roman"/>
          <w:color w:val="000000" w:themeColor="text1"/>
          <w:sz w:val="24"/>
          <w:szCs w:val="24"/>
        </w:rPr>
        <w:t>–</w:t>
      </w:r>
      <w:r w:rsidR="00AD2894" w:rsidRPr="00532F3A">
        <w:rPr>
          <w:rFonts w:ascii="Times New Roman" w:eastAsia="Times New Roman" w:hAnsi="Times New Roman" w:cs="Times New Roman"/>
          <w:color w:val="000000" w:themeColor="text1"/>
          <w:sz w:val="24"/>
          <w:szCs w:val="24"/>
        </w:rPr>
        <w:t xml:space="preserve"> </w:t>
      </w:r>
      <w:r w:rsidRPr="00532F3A">
        <w:rPr>
          <w:rFonts w:ascii="Times New Roman" w:eastAsia="Times New Roman" w:hAnsi="Times New Roman" w:cs="Times New Roman"/>
          <w:color w:val="000000" w:themeColor="text1"/>
          <w:sz w:val="24"/>
          <w:szCs w:val="24"/>
        </w:rPr>
        <w:t xml:space="preserve">Prawo komunikacji elektronicznej poprawki polegającej na rozszerzeniu listy podmiotów uprawnionych do „zarządzenia o zastosowaniu urządzeń uniemożliwiających telekomunikację na określonym </w:t>
      </w:r>
      <w:r w:rsidRPr="00CE1978">
        <w:rPr>
          <w:rFonts w:ascii="Times New Roman" w:eastAsia="Times New Roman" w:hAnsi="Times New Roman" w:cs="Times New Roman"/>
          <w:color w:val="000000" w:themeColor="text1"/>
          <w:sz w:val="24"/>
          <w:szCs w:val="24"/>
        </w:rPr>
        <w:t>obszarze” o Ministra Obrony Narodowej zachodzi konieczność wprowadzenia do ustawy z dnia 14 grudnia 1995 r. o urz</w:t>
      </w:r>
      <w:r w:rsidR="0060241B" w:rsidRPr="00C10C7D">
        <w:rPr>
          <w:rFonts w:ascii="Times New Roman" w:eastAsia="Times New Roman" w:hAnsi="Times New Roman" w:cs="Times New Roman"/>
          <w:color w:val="000000" w:themeColor="text1"/>
          <w:sz w:val="24"/>
          <w:szCs w:val="24"/>
        </w:rPr>
        <w:t xml:space="preserve">ędzie Ministra Obrony Narodowej, </w:t>
      </w:r>
      <w:r w:rsidRPr="00C10C7D">
        <w:rPr>
          <w:rFonts w:ascii="Times New Roman" w:eastAsia="Times New Roman" w:hAnsi="Times New Roman" w:cs="Times New Roman"/>
          <w:color w:val="000000" w:themeColor="text1"/>
          <w:sz w:val="24"/>
          <w:szCs w:val="24"/>
        </w:rPr>
        <w:t>zmiany, która określi przypadki i zasady wydania</w:t>
      </w:r>
      <w:r w:rsidR="00D3663D" w:rsidRPr="00C10C7D">
        <w:rPr>
          <w:rFonts w:ascii="Times New Roman" w:eastAsia="Times New Roman" w:hAnsi="Times New Roman" w:cs="Times New Roman"/>
          <w:color w:val="000000" w:themeColor="text1"/>
          <w:sz w:val="24"/>
          <w:szCs w:val="24"/>
        </w:rPr>
        <w:t xml:space="preserve"> wyżej wymienionego zarządzenia;</w:t>
      </w:r>
    </w:p>
    <w:p w14:paraId="216C27B6" w14:textId="2A9F48FD" w:rsidR="00492C99" w:rsidRPr="00C10C7D" w:rsidRDefault="00492C99"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F91F34">
        <w:rPr>
          <w:rFonts w:ascii="Times New Roman" w:eastAsia="Times New Roman" w:hAnsi="Times New Roman" w:cs="Times New Roman"/>
          <w:b/>
          <w:bCs/>
          <w:color w:val="000000" w:themeColor="text1"/>
          <w:sz w:val="24"/>
          <w:szCs w:val="24"/>
        </w:rPr>
        <w:t>ustawie</w:t>
      </w:r>
      <w:r w:rsidRPr="00C10C7D">
        <w:rPr>
          <w:rFonts w:ascii="Times New Roman" w:hAnsi="Times New Roman" w:cs="Times New Roman"/>
          <w:b/>
          <w:color w:val="000000" w:themeColor="text1"/>
          <w:sz w:val="24"/>
          <w:szCs w:val="24"/>
        </w:rPr>
        <w:t xml:space="preserve"> z dnia 4 września 1997 r. o działach administracji rządowej</w:t>
      </w:r>
    </w:p>
    <w:p w14:paraId="4D3C353A" w14:textId="28DE0008" w:rsidR="1596A423" w:rsidRPr="00CE1978" w:rsidRDefault="00492C99" w:rsidP="00F91F34">
      <w:pPr>
        <w:spacing w:before="120" w:after="0" w:line="360" w:lineRule="auto"/>
        <w:jc w:val="both"/>
        <w:rPr>
          <w:rFonts w:ascii="Times New Roman" w:eastAsia="Times New Roman" w:hAnsi="Times New Roman" w:cs="Times New Roman"/>
          <w:b/>
          <w:bCs/>
          <w:color w:val="000000" w:themeColor="text1"/>
          <w:sz w:val="24"/>
          <w:szCs w:val="24"/>
        </w:rPr>
      </w:pPr>
      <w:r w:rsidRPr="00C10C7D">
        <w:rPr>
          <w:rFonts w:ascii="Times New Roman" w:hAnsi="Times New Roman" w:cs="Times New Roman"/>
          <w:color w:val="000000" w:themeColor="text1"/>
          <w:sz w:val="24"/>
          <w:szCs w:val="24"/>
        </w:rPr>
        <w:t>W związku z kompleksowym uregulowaniem zarządzania PRS w przepisach ustawy – Prawo komunikacji elektronicznej, w tym umocowaniem funkcjonującej w Ministerstwie Spraw Wewnętrznych i Administracji, jednostki zarządzającej w Polsce PRS (Competent PRS Authority – CPA Polska) zasadne jest dodanie „</w:t>
      </w:r>
      <w:r w:rsidR="001D1520" w:rsidRPr="00C10C7D">
        <w:rPr>
          <w:rFonts w:ascii="Times New Roman" w:hAnsi="Times New Roman" w:cs="Times New Roman"/>
          <w:color w:val="000000" w:themeColor="text1"/>
          <w:sz w:val="24"/>
          <w:szCs w:val="24"/>
        </w:rPr>
        <w:t xml:space="preserve">satelitarnej </w:t>
      </w:r>
      <w:r w:rsidRPr="00C10C7D">
        <w:rPr>
          <w:rFonts w:ascii="Times New Roman" w:hAnsi="Times New Roman" w:cs="Times New Roman"/>
          <w:color w:val="000000" w:themeColor="text1"/>
          <w:sz w:val="24"/>
          <w:szCs w:val="24"/>
        </w:rPr>
        <w:t xml:space="preserve">usługi publicznej o regulowanym </w:t>
      </w:r>
      <w:r w:rsidRPr="00C10C7D">
        <w:rPr>
          <w:rFonts w:ascii="Times New Roman" w:hAnsi="Times New Roman" w:cs="Times New Roman"/>
          <w:color w:val="000000" w:themeColor="text1"/>
          <w:sz w:val="24"/>
          <w:szCs w:val="24"/>
        </w:rPr>
        <w:lastRenderedPageBreak/>
        <w:t>dostępie systemu radionawigacji satelitarnej Galileo” do katalogu spraw w zakresie działu „sprawy wewnętrzne” w ustawie z dnia 4 września 1997 r. o działach administracji rządowej</w:t>
      </w:r>
      <w:r w:rsidR="00D3663D" w:rsidRPr="00C10C7D">
        <w:rPr>
          <w:rFonts w:ascii="Times New Roman" w:hAnsi="Times New Roman" w:cs="Times New Roman"/>
          <w:color w:val="000000" w:themeColor="text1"/>
          <w:sz w:val="24"/>
          <w:szCs w:val="24"/>
        </w:rPr>
        <w:t>;</w:t>
      </w:r>
    </w:p>
    <w:p w14:paraId="19D2D02F" w14:textId="1B68EAAA" w:rsidR="1596A423" w:rsidRPr="00CE1978" w:rsidRDefault="2B5AFD9F"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ustawie z dnia 18 lipca 2002 r. o świadczeniu usług drogą elektroniczną </w:t>
      </w:r>
    </w:p>
    <w:p w14:paraId="478953F2" w14:textId="20C4F70C" w:rsidR="2EF36D49" w:rsidRPr="00CE1978" w:rsidRDefault="2B5AFD9F"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Obok zmian wynikających z konieczności uaktualnienia </w:t>
      </w:r>
      <w:r w:rsidR="5C0314E1" w:rsidRPr="00CE1978">
        <w:rPr>
          <w:rFonts w:ascii="Times New Roman" w:eastAsia="Times New Roman" w:hAnsi="Times New Roman" w:cs="Times New Roman"/>
          <w:color w:val="000000" w:themeColor="text1"/>
          <w:sz w:val="24"/>
          <w:szCs w:val="24"/>
        </w:rPr>
        <w:t>odesłań</w:t>
      </w:r>
      <w:r w:rsidRPr="00CE1978">
        <w:rPr>
          <w:rFonts w:ascii="Times New Roman" w:eastAsia="Times New Roman" w:hAnsi="Times New Roman" w:cs="Times New Roman"/>
          <w:color w:val="000000" w:themeColor="text1"/>
          <w:sz w:val="24"/>
          <w:szCs w:val="24"/>
        </w:rPr>
        <w:t xml:space="preserve"> do przepisów </w:t>
      </w:r>
      <w:r w:rsidR="6B465AB1" w:rsidRPr="00CE1978">
        <w:rPr>
          <w:rFonts w:ascii="Times New Roman" w:eastAsia="Times New Roman" w:hAnsi="Times New Roman" w:cs="Times New Roman"/>
          <w:color w:val="000000" w:themeColor="text1"/>
          <w:sz w:val="24"/>
          <w:szCs w:val="24"/>
        </w:rPr>
        <w:t>P</w:t>
      </w:r>
      <w:r w:rsidRPr="00CE1978">
        <w:rPr>
          <w:rFonts w:ascii="Times New Roman" w:eastAsia="Times New Roman" w:hAnsi="Times New Roman" w:cs="Times New Roman"/>
          <w:color w:val="000000" w:themeColor="text1"/>
          <w:sz w:val="24"/>
          <w:szCs w:val="24"/>
        </w:rPr>
        <w:t>t, w ustawie tej uchyla</w:t>
      </w:r>
      <w:r w:rsidR="3722D6F2" w:rsidRPr="00CE1978">
        <w:rPr>
          <w:rFonts w:ascii="Times New Roman" w:eastAsia="Times New Roman" w:hAnsi="Times New Roman" w:cs="Times New Roman"/>
          <w:color w:val="000000" w:themeColor="text1"/>
          <w:sz w:val="24"/>
          <w:szCs w:val="24"/>
        </w:rPr>
        <w:t xml:space="preserve"> się</w:t>
      </w:r>
      <w:r w:rsidRPr="00CE1978">
        <w:rPr>
          <w:rFonts w:ascii="Times New Roman" w:eastAsia="Times New Roman" w:hAnsi="Times New Roman" w:cs="Times New Roman"/>
          <w:color w:val="000000" w:themeColor="text1"/>
          <w:sz w:val="24"/>
          <w:szCs w:val="24"/>
        </w:rPr>
        <w:t xml:space="preserve"> </w:t>
      </w:r>
      <w:r w:rsidR="22543752" w:rsidRPr="00CE1978">
        <w:rPr>
          <w:rFonts w:ascii="Times New Roman" w:eastAsia="Times New Roman" w:hAnsi="Times New Roman" w:cs="Times New Roman"/>
          <w:color w:val="000000" w:themeColor="text1"/>
          <w:sz w:val="24"/>
          <w:szCs w:val="24"/>
        </w:rPr>
        <w:t>art.</w:t>
      </w:r>
      <w:r w:rsidRPr="00CE1978">
        <w:rPr>
          <w:rFonts w:ascii="Times New Roman" w:eastAsia="Times New Roman" w:hAnsi="Times New Roman" w:cs="Times New Roman"/>
          <w:color w:val="000000" w:themeColor="text1"/>
          <w:sz w:val="24"/>
          <w:szCs w:val="24"/>
        </w:rPr>
        <w:t xml:space="preserve"> 10</w:t>
      </w:r>
      <w:r w:rsidR="2E65D8BB" w:rsidRPr="00CE1978">
        <w:rPr>
          <w:rFonts w:ascii="Times New Roman" w:eastAsia="Times New Roman" w:hAnsi="Times New Roman" w:cs="Times New Roman"/>
          <w:color w:val="000000" w:themeColor="text1"/>
          <w:sz w:val="24"/>
          <w:szCs w:val="24"/>
        </w:rPr>
        <w:t xml:space="preserve"> dotycząc</w:t>
      </w:r>
      <w:r w:rsidR="32E2BDA9" w:rsidRPr="00CE1978">
        <w:rPr>
          <w:rFonts w:ascii="Times New Roman" w:eastAsia="Times New Roman" w:hAnsi="Times New Roman" w:cs="Times New Roman"/>
          <w:color w:val="000000" w:themeColor="text1"/>
          <w:sz w:val="24"/>
          <w:szCs w:val="24"/>
        </w:rPr>
        <w:t>y</w:t>
      </w:r>
      <w:r w:rsidR="2E65D8BB" w:rsidRPr="00CE1978">
        <w:rPr>
          <w:rFonts w:ascii="Times New Roman" w:eastAsia="Times New Roman" w:hAnsi="Times New Roman" w:cs="Times New Roman"/>
          <w:color w:val="000000" w:themeColor="text1"/>
          <w:sz w:val="24"/>
          <w:szCs w:val="24"/>
        </w:rPr>
        <w:t xml:space="preserve"> </w:t>
      </w:r>
      <w:r w:rsidR="67A003F0" w:rsidRPr="00CE1978">
        <w:rPr>
          <w:rFonts w:ascii="Times New Roman" w:eastAsia="Times New Roman" w:hAnsi="Times New Roman" w:cs="Times New Roman"/>
          <w:color w:val="000000" w:themeColor="text1"/>
          <w:sz w:val="24"/>
          <w:szCs w:val="24"/>
        </w:rPr>
        <w:t>niezamówionych informacji handlowych.</w:t>
      </w:r>
      <w:r w:rsidR="719823D1" w:rsidRPr="00CE1978">
        <w:rPr>
          <w:rFonts w:ascii="Times New Roman" w:eastAsia="Times New Roman" w:hAnsi="Times New Roman" w:cs="Times New Roman"/>
          <w:color w:val="000000" w:themeColor="text1"/>
          <w:sz w:val="24"/>
          <w:szCs w:val="24"/>
        </w:rPr>
        <w:t xml:space="preserve"> Wynika to z </w:t>
      </w:r>
      <w:r w:rsidR="0E468B9B" w:rsidRPr="00CE1978">
        <w:rPr>
          <w:rFonts w:ascii="Times New Roman" w:eastAsia="Times New Roman" w:hAnsi="Times New Roman" w:cs="Times New Roman"/>
          <w:color w:val="000000" w:themeColor="text1"/>
          <w:sz w:val="24"/>
          <w:szCs w:val="24"/>
        </w:rPr>
        <w:t xml:space="preserve">potrzeby </w:t>
      </w:r>
      <w:r w:rsidR="719823D1" w:rsidRPr="00CE1978">
        <w:rPr>
          <w:rFonts w:ascii="Times New Roman" w:eastAsia="Times New Roman" w:hAnsi="Times New Roman" w:cs="Times New Roman"/>
          <w:color w:val="000000" w:themeColor="text1"/>
          <w:sz w:val="24"/>
          <w:szCs w:val="24"/>
        </w:rPr>
        <w:t>uregulowania zagadnień marketingu bezpośredniego w jednym akcie prawnym</w:t>
      </w:r>
      <w:r w:rsidR="593C1F71" w:rsidRPr="00CE1978">
        <w:rPr>
          <w:rFonts w:ascii="Times New Roman" w:eastAsia="Times New Roman" w:hAnsi="Times New Roman" w:cs="Times New Roman"/>
          <w:color w:val="000000" w:themeColor="text1"/>
          <w:sz w:val="24"/>
          <w:szCs w:val="24"/>
        </w:rPr>
        <w:t xml:space="preserve">, tj. </w:t>
      </w:r>
      <w:r w:rsidR="3D5840D6" w:rsidRPr="00CE1978">
        <w:rPr>
          <w:rFonts w:ascii="Times New Roman" w:eastAsia="Times New Roman" w:hAnsi="Times New Roman" w:cs="Times New Roman"/>
          <w:color w:val="000000" w:themeColor="text1"/>
          <w:sz w:val="24"/>
          <w:szCs w:val="24"/>
        </w:rPr>
        <w:t>w</w:t>
      </w:r>
      <w:r w:rsidR="06DE8C93" w:rsidRPr="00CE1978">
        <w:rPr>
          <w:rFonts w:ascii="Times New Roman" w:eastAsia="Times New Roman" w:hAnsi="Times New Roman" w:cs="Times New Roman"/>
          <w:color w:val="000000" w:themeColor="text1"/>
          <w:sz w:val="24"/>
          <w:szCs w:val="24"/>
        </w:rPr>
        <w:t>yłącznie w</w:t>
      </w:r>
      <w:r w:rsidR="719823D1" w:rsidRPr="00CE1978">
        <w:rPr>
          <w:rFonts w:ascii="Times New Roman" w:eastAsia="Times New Roman" w:hAnsi="Times New Roman" w:cs="Times New Roman"/>
          <w:color w:val="000000" w:themeColor="text1"/>
          <w:sz w:val="24"/>
          <w:szCs w:val="24"/>
        </w:rPr>
        <w:t xml:space="preserve"> </w:t>
      </w:r>
      <w:r w:rsidR="75BEA763" w:rsidRPr="00CE1978">
        <w:rPr>
          <w:rFonts w:ascii="Times New Roman" w:eastAsia="Times New Roman" w:hAnsi="Times New Roman" w:cs="Times New Roman"/>
          <w:color w:val="000000" w:themeColor="text1"/>
          <w:sz w:val="24"/>
          <w:szCs w:val="24"/>
        </w:rPr>
        <w:t xml:space="preserve">Pke </w:t>
      </w:r>
      <w:r w:rsidR="227C69FA" w:rsidRPr="00CE1978">
        <w:rPr>
          <w:rFonts w:ascii="Times New Roman" w:eastAsia="Times New Roman" w:hAnsi="Times New Roman" w:cs="Times New Roman"/>
          <w:color w:val="000000" w:themeColor="text1"/>
          <w:sz w:val="24"/>
          <w:szCs w:val="24"/>
        </w:rPr>
        <w:t xml:space="preserve">(art. </w:t>
      </w:r>
      <w:r w:rsidR="00C95FB9" w:rsidRPr="00CE1978">
        <w:rPr>
          <w:rFonts w:ascii="Times New Roman" w:eastAsia="Times New Roman" w:hAnsi="Times New Roman" w:cs="Times New Roman"/>
          <w:color w:val="000000" w:themeColor="text1"/>
          <w:sz w:val="24"/>
          <w:szCs w:val="24"/>
        </w:rPr>
        <w:t xml:space="preserve">393 </w:t>
      </w:r>
      <w:r w:rsidR="227C69FA" w:rsidRPr="00CE1978">
        <w:rPr>
          <w:rFonts w:ascii="Times New Roman" w:eastAsia="Times New Roman" w:hAnsi="Times New Roman" w:cs="Times New Roman"/>
          <w:color w:val="000000" w:themeColor="text1"/>
          <w:sz w:val="24"/>
          <w:szCs w:val="24"/>
        </w:rPr>
        <w:t>Pke)</w:t>
      </w:r>
      <w:r w:rsidR="541AB5F2" w:rsidRPr="00CE1978">
        <w:rPr>
          <w:rFonts w:ascii="Times New Roman" w:eastAsia="Times New Roman" w:hAnsi="Times New Roman" w:cs="Times New Roman"/>
          <w:color w:val="000000" w:themeColor="text1"/>
          <w:sz w:val="24"/>
          <w:szCs w:val="24"/>
        </w:rPr>
        <w:t xml:space="preserve">. </w:t>
      </w:r>
      <w:r w:rsidR="533AA1E8" w:rsidRPr="00CE1978">
        <w:rPr>
          <w:rFonts w:ascii="Times New Roman" w:eastAsia="Times New Roman" w:hAnsi="Times New Roman" w:cs="Times New Roman"/>
          <w:color w:val="000000" w:themeColor="text1"/>
          <w:sz w:val="24"/>
          <w:szCs w:val="24"/>
        </w:rPr>
        <w:t xml:space="preserve">Obecnie </w:t>
      </w:r>
      <w:r w:rsidR="143A3BF2" w:rsidRPr="00CE1978">
        <w:rPr>
          <w:rFonts w:ascii="Times New Roman" w:eastAsia="Times New Roman" w:hAnsi="Times New Roman" w:cs="Times New Roman"/>
          <w:color w:val="000000" w:themeColor="text1"/>
          <w:sz w:val="24"/>
          <w:szCs w:val="24"/>
        </w:rPr>
        <w:t>m</w:t>
      </w:r>
      <w:r w:rsidR="227C69FA" w:rsidRPr="00CE1978">
        <w:rPr>
          <w:rFonts w:ascii="Times New Roman" w:eastAsia="Times New Roman" w:hAnsi="Times New Roman" w:cs="Times New Roman"/>
          <w:color w:val="000000" w:themeColor="text1"/>
          <w:sz w:val="24"/>
          <w:szCs w:val="24"/>
        </w:rPr>
        <w:t>a</w:t>
      </w:r>
      <w:r w:rsidR="3C3C0F84" w:rsidRPr="00CE1978">
        <w:rPr>
          <w:rFonts w:ascii="Times New Roman" w:eastAsia="Times New Roman" w:hAnsi="Times New Roman" w:cs="Times New Roman"/>
          <w:color w:val="000000" w:themeColor="text1"/>
          <w:sz w:val="24"/>
          <w:szCs w:val="24"/>
        </w:rPr>
        <w:t xml:space="preserve">teria ta </w:t>
      </w:r>
      <w:r w:rsidR="6C9DBDB8" w:rsidRPr="00CE1978">
        <w:rPr>
          <w:rFonts w:ascii="Times New Roman" w:eastAsia="Times New Roman" w:hAnsi="Times New Roman" w:cs="Times New Roman"/>
          <w:color w:val="000000" w:themeColor="text1"/>
          <w:sz w:val="24"/>
          <w:szCs w:val="24"/>
        </w:rPr>
        <w:t>jest</w:t>
      </w:r>
      <w:r w:rsidR="6AC32466" w:rsidRPr="00CE1978">
        <w:rPr>
          <w:rFonts w:ascii="Times New Roman" w:eastAsia="Times New Roman" w:hAnsi="Times New Roman" w:cs="Times New Roman"/>
          <w:color w:val="000000" w:themeColor="text1"/>
          <w:sz w:val="24"/>
          <w:szCs w:val="24"/>
        </w:rPr>
        <w:t xml:space="preserve"> </w:t>
      </w:r>
      <w:r w:rsidR="3C3C0F84" w:rsidRPr="00CE1978">
        <w:rPr>
          <w:rFonts w:ascii="Times New Roman" w:eastAsia="Times New Roman" w:hAnsi="Times New Roman" w:cs="Times New Roman"/>
          <w:color w:val="000000" w:themeColor="text1"/>
          <w:sz w:val="24"/>
          <w:szCs w:val="24"/>
        </w:rPr>
        <w:t>przedmiotem dwóch ustaw:</w:t>
      </w:r>
      <w:r w:rsidR="719823D1" w:rsidRPr="00CE1978">
        <w:rPr>
          <w:rFonts w:ascii="Times New Roman" w:eastAsia="Times New Roman" w:hAnsi="Times New Roman" w:cs="Times New Roman"/>
          <w:color w:val="000000" w:themeColor="text1"/>
          <w:sz w:val="24"/>
          <w:szCs w:val="24"/>
        </w:rPr>
        <w:t xml:space="preserve"> </w:t>
      </w:r>
      <w:r w:rsidR="26E58E5D" w:rsidRPr="00CE1978">
        <w:rPr>
          <w:rFonts w:ascii="Times New Roman" w:eastAsia="Times New Roman" w:hAnsi="Times New Roman" w:cs="Times New Roman"/>
          <w:color w:val="000000" w:themeColor="text1"/>
          <w:sz w:val="24"/>
          <w:szCs w:val="24"/>
        </w:rPr>
        <w:t xml:space="preserve">art. 172 </w:t>
      </w:r>
      <w:r w:rsidR="719823D1" w:rsidRPr="00CE1978">
        <w:rPr>
          <w:rFonts w:ascii="Times New Roman" w:eastAsia="Times New Roman" w:hAnsi="Times New Roman" w:cs="Times New Roman"/>
          <w:color w:val="000000" w:themeColor="text1"/>
          <w:sz w:val="24"/>
          <w:szCs w:val="24"/>
        </w:rPr>
        <w:t xml:space="preserve">Prawa telekomunikacyjnego oraz art. 10 </w:t>
      </w:r>
      <w:r w:rsidR="2F926B82" w:rsidRPr="00CE1978">
        <w:rPr>
          <w:rFonts w:ascii="Times New Roman" w:eastAsia="Times New Roman" w:hAnsi="Times New Roman" w:cs="Times New Roman"/>
          <w:color w:val="000000" w:themeColor="text1"/>
          <w:sz w:val="24"/>
          <w:szCs w:val="24"/>
        </w:rPr>
        <w:t>ustawy o świadczeniu usług drogą elektroniczną (</w:t>
      </w:r>
      <w:r w:rsidR="719823D1" w:rsidRPr="00CE1978">
        <w:rPr>
          <w:rFonts w:ascii="Times New Roman" w:eastAsia="Times New Roman" w:hAnsi="Times New Roman" w:cs="Times New Roman"/>
          <w:color w:val="000000" w:themeColor="text1"/>
          <w:sz w:val="24"/>
          <w:szCs w:val="24"/>
        </w:rPr>
        <w:t>uśude</w:t>
      </w:r>
      <w:r w:rsidR="7B4ADC84" w:rsidRPr="00CE1978">
        <w:rPr>
          <w:rFonts w:ascii="Times New Roman" w:eastAsia="Times New Roman" w:hAnsi="Times New Roman" w:cs="Times New Roman"/>
          <w:color w:val="000000" w:themeColor="text1"/>
          <w:sz w:val="24"/>
          <w:szCs w:val="24"/>
        </w:rPr>
        <w:t>)</w:t>
      </w:r>
      <w:r w:rsidR="7FFEFFE8" w:rsidRPr="00CE1978">
        <w:rPr>
          <w:rFonts w:ascii="Times New Roman" w:eastAsia="Times New Roman" w:hAnsi="Times New Roman" w:cs="Times New Roman"/>
          <w:color w:val="000000" w:themeColor="text1"/>
          <w:sz w:val="24"/>
          <w:szCs w:val="24"/>
        </w:rPr>
        <w:t xml:space="preserve">. </w:t>
      </w:r>
      <w:r w:rsidR="53AF7C07" w:rsidRPr="00CE1978">
        <w:rPr>
          <w:rFonts w:ascii="Times New Roman" w:eastAsia="Times New Roman" w:hAnsi="Times New Roman" w:cs="Times New Roman"/>
          <w:color w:val="000000" w:themeColor="text1"/>
          <w:sz w:val="24"/>
          <w:szCs w:val="24"/>
        </w:rPr>
        <w:t xml:space="preserve">Powoduje to wątpliwości interpretacyjne, </w:t>
      </w:r>
      <w:r w:rsidR="38458F6C" w:rsidRPr="00CE1978">
        <w:rPr>
          <w:rFonts w:ascii="Times New Roman" w:eastAsia="Times New Roman" w:hAnsi="Times New Roman" w:cs="Times New Roman"/>
          <w:color w:val="000000" w:themeColor="text1"/>
          <w:sz w:val="24"/>
          <w:szCs w:val="24"/>
        </w:rPr>
        <w:t>dotyczące tego czy</w:t>
      </w:r>
      <w:r w:rsidR="719823D1" w:rsidRPr="00CE1978">
        <w:rPr>
          <w:rFonts w:ascii="Times New Roman" w:eastAsia="Times New Roman" w:hAnsi="Times New Roman" w:cs="Times New Roman"/>
          <w:color w:val="000000" w:themeColor="text1"/>
          <w:sz w:val="24"/>
          <w:szCs w:val="24"/>
        </w:rPr>
        <w:t xml:space="preserve"> przedsiębiorca ma obowiązek uzyskać dwie odrębne zgody na komunikację marketingową, czy </w:t>
      </w:r>
      <w:r w:rsidR="27515E75" w:rsidRPr="00CE1978">
        <w:rPr>
          <w:rFonts w:ascii="Times New Roman" w:eastAsia="Times New Roman" w:hAnsi="Times New Roman" w:cs="Times New Roman"/>
          <w:color w:val="000000" w:themeColor="text1"/>
          <w:sz w:val="24"/>
          <w:szCs w:val="24"/>
        </w:rPr>
        <w:t xml:space="preserve">też </w:t>
      </w:r>
      <w:r w:rsidR="719823D1" w:rsidRPr="00CE1978">
        <w:rPr>
          <w:rFonts w:ascii="Times New Roman" w:eastAsia="Times New Roman" w:hAnsi="Times New Roman" w:cs="Times New Roman"/>
          <w:color w:val="000000" w:themeColor="text1"/>
          <w:sz w:val="24"/>
          <w:szCs w:val="24"/>
        </w:rPr>
        <w:t>obowiązek uzyskiwania różnych zgód na komunikację zależ</w:t>
      </w:r>
      <w:r w:rsidR="2A926A0F" w:rsidRPr="00CE1978">
        <w:rPr>
          <w:rFonts w:ascii="Times New Roman" w:eastAsia="Times New Roman" w:hAnsi="Times New Roman" w:cs="Times New Roman"/>
          <w:color w:val="000000" w:themeColor="text1"/>
          <w:sz w:val="24"/>
          <w:szCs w:val="24"/>
        </w:rPr>
        <w:t>y</w:t>
      </w:r>
      <w:r w:rsidR="719823D1" w:rsidRPr="00CE1978">
        <w:rPr>
          <w:rFonts w:ascii="Times New Roman" w:eastAsia="Times New Roman" w:hAnsi="Times New Roman" w:cs="Times New Roman"/>
          <w:color w:val="000000" w:themeColor="text1"/>
          <w:sz w:val="24"/>
          <w:szCs w:val="24"/>
        </w:rPr>
        <w:t xml:space="preserve"> od środka komunikacji.</w:t>
      </w:r>
    </w:p>
    <w:p w14:paraId="7A663F94" w14:textId="77777777" w:rsidR="2EF36D49" w:rsidRPr="00CE1978" w:rsidRDefault="26896087"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N</w:t>
      </w:r>
      <w:r w:rsidR="719823D1" w:rsidRPr="00CE1978">
        <w:rPr>
          <w:rFonts w:ascii="Times New Roman" w:eastAsia="Times New Roman" w:hAnsi="Times New Roman" w:cs="Times New Roman"/>
          <w:color w:val="000000" w:themeColor="text1"/>
          <w:sz w:val="24"/>
          <w:szCs w:val="24"/>
        </w:rPr>
        <w:t xml:space="preserve">ależy wskazać, że obecny art. 172 </w:t>
      </w:r>
      <w:r w:rsidR="51003D66" w:rsidRPr="00CE1978">
        <w:rPr>
          <w:rFonts w:ascii="Times New Roman" w:eastAsia="Times New Roman" w:hAnsi="Times New Roman" w:cs="Times New Roman"/>
          <w:color w:val="000000" w:themeColor="text1"/>
          <w:sz w:val="24"/>
          <w:szCs w:val="24"/>
        </w:rPr>
        <w:t xml:space="preserve">Pt </w:t>
      </w:r>
      <w:r w:rsidR="719823D1" w:rsidRPr="00CE1978">
        <w:rPr>
          <w:rFonts w:ascii="Times New Roman" w:eastAsia="Times New Roman" w:hAnsi="Times New Roman" w:cs="Times New Roman"/>
          <w:color w:val="000000" w:themeColor="text1"/>
          <w:sz w:val="24"/>
          <w:szCs w:val="24"/>
        </w:rPr>
        <w:t xml:space="preserve">oraz art. 10 uśude (jak również </w:t>
      </w:r>
      <w:r w:rsidR="5B96E7FB" w:rsidRPr="00CE1978">
        <w:rPr>
          <w:rFonts w:ascii="Times New Roman" w:eastAsia="Times New Roman" w:hAnsi="Times New Roman" w:cs="Times New Roman"/>
          <w:color w:val="000000" w:themeColor="text1"/>
          <w:sz w:val="24"/>
          <w:szCs w:val="24"/>
        </w:rPr>
        <w:t xml:space="preserve">projektowany </w:t>
      </w:r>
      <w:r w:rsidR="719823D1" w:rsidRPr="00CE1978">
        <w:rPr>
          <w:rFonts w:ascii="Times New Roman" w:eastAsia="Times New Roman" w:hAnsi="Times New Roman" w:cs="Times New Roman"/>
          <w:color w:val="000000" w:themeColor="text1"/>
          <w:sz w:val="24"/>
          <w:szCs w:val="24"/>
        </w:rPr>
        <w:t>art. 3</w:t>
      </w:r>
      <w:r w:rsidR="45AEFD05" w:rsidRPr="00CE1978">
        <w:rPr>
          <w:rFonts w:ascii="Times New Roman" w:eastAsia="Times New Roman" w:hAnsi="Times New Roman" w:cs="Times New Roman"/>
          <w:color w:val="000000" w:themeColor="text1"/>
          <w:sz w:val="24"/>
          <w:szCs w:val="24"/>
        </w:rPr>
        <w:t>60</w:t>
      </w:r>
      <w:r w:rsidR="719823D1" w:rsidRPr="00CE1978">
        <w:rPr>
          <w:rFonts w:ascii="Times New Roman" w:eastAsia="Times New Roman" w:hAnsi="Times New Roman" w:cs="Times New Roman"/>
          <w:color w:val="000000" w:themeColor="text1"/>
          <w:sz w:val="24"/>
          <w:szCs w:val="24"/>
        </w:rPr>
        <w:t xml:space="preserve"> P</w:t>
      </w:r>
      <w:r w:rsidR="43DB1032" w:rsidRPr="00CE1978">
        <w:rPr>
          <w:rFonts w:ascii="Times New Roman" w:eastAsia="Times New Roman" w:hAnsi="Times New Roman" w:cs="Times New Roman"/>
          <w:color w:val="000000" w:themeColor="text1"/>
          <w:sz w:val="24"/>
          <w:szCs w:val="24"/>
        </w:rPr>
        <w:t>ke</w:t>
      </w:r>
      <w:r w:rsidR="719823D1" w:rsidRPr="00CE1978">
        <w:rPr>
          <w:rFonts w:ascii="Times New Roman" w:eastAsia="Times New Roman" w:hAnsi="Times New Roman" w:cs="Times New Roman"/>
          <w:color w:val="000000" w:themeColor="text1"/>
          <w:sz w:val="24"/>
          <w:szCs w:val="24"/>
        </w:rPr>
        <w:t xml:space="preserve">) stanowią transpozycję do polskiego porządku prawnego regulacji art. 13 ust. 1 </w:t>
      </w:r>
      <w:r w:rsidR="0F1CF25B" w:rsidRPr="00CE1978">
        <w:rPr>
          <w:rFonts w:ascii="Times New Roman" w:eastAsia="Times New Roman" w:hAnsi="Times New Roman" w:cs="Times New Roman"/>
          <w:color w:val="000000" w:themeColor="text1"/>
          <w:sz w:val="24"/>
          <w:szCs w:val="24"/>
        </w:rPr>
        <w:t>d</w:t>
      </w:r>
      <w:r w:rsidR="719823D1" w:rsidRPr="00CE1978">
        <w:rPr>
          <w:rFonts w:ascii="Times New Roman" w:eastAsia="Times New Roman" w:hAnsi="Times New Roman" w:cs="Times New Roman"/>
          <w:color w:val="000000" w:themeColor="text1"/>
          <w:sz w:val="24"/>
          <w:szCs w:val="24"/>
        </w:rPr>
        <w:t xml:space="preserve">yrektywy 2002/58/WE Parlamentu Europejskiego i Rady z dnia 12 lipca 2002 r. dotyczącej przetwarzania danych osobowych i ochrony prywatności w sektorze łączności elektronicznej (Dyrektywa o e-prywatności). W tym sensie cel obu regulacji jest dokładnie ten sam i ma za swoją podstawę jeden przepis regulacji unijnych. </w:t>
      </w:r>
      <w:r w:rsidR="107A452E" w:rsidRPr="00CE1978">
        <w:rPr>
          <w:rFonts w:ascii="Times New Roman" w:eastAsia="Times New Roman" w:hAnsi="Times New Roman" w:cs="Times New Roman"/>
          <w:color w:val="000000" w:themeColor="text1"/>
          <w:sz w:val="24"/>
          <w:szCs w:val="24"/>
        </w:rPr>
        <w:t>Przy</w:t>
      </w:r>
      <w:r w:rsidR="719823D1" w:rsidRPr="00CE1978">
        <w:rPr>
          <w:rFonts w:ascii="Times New Roman" w:eastAsia="Times New Roman" w:hAnsi="Times New Roman" w:cs="Times New Roman"/>
          <w:color w:val="000000" w:themeColor="text1"/>
          <w:sz w:val="24"/>
          <w:szCs w:val="24"/>
        </w:rPr>
        <w:t xml:space="preserve"> </w:t>
      </w:r>
      <w:r w:rsidR="107A452E" w:rsidRPr="00CE1978">
        <w:rPr>
          <w:rFonts w:ascii="Times New Roman" w:eastAsia="Times New Roman" w:hAnsi="Times New Roman" w:cs="Times New Roman"/>
          <w:color w:val="000000" w:themeColor="text1"/>
          <w:sz w:val="24"/>
          <w:szCs w:val="24"/>
        </w:rPr>
        <w:t xml:space="preserve">czym </w:t>
      </w:r>
      <w:r w:rsidR="719823D1" w:rsidRPr="00CE1978">
        <w:rPr>
          <w:rFonts w:ascii="Times New Roman" w:eastAsia="Times New Roman" w:hAnsi="Times New Roman" w:cs="Times New Roman"/>
          <w:color w:val="000000" w:themeColor="text1"/>
          <w:sz w:val="24"/>
          <w:szCs w:val="24"/>
        </w:rPr>
        <w:t xml:space="preserve">art. 10 uśude reguluje węższą materię od art. 172 </w:t>
      </w:r>
      <w:r w:rsidR="387BB4B7" w:rsidRPr="00CE1978">
        <w:rPr>
          <w:rFonts w:ascii="Times New Roman" w:eastAsia="Times New Roman" w:hAnsi="Times New Roman" w:cs="Times New Roman"/>
          <w:color w:val="000000" w:themeColor="text1"/>
          <w:sz w:val="24"/>
          <w:szCs w:val="24"/>
        </w:rPr>
        <w:t>Pt</w:t>
      </w:r>
      <w:r w:rsidR="719823D1" w:rsidRPr="00CE1978">
        <w:rPr>
          <w:rFonts w:ascii="Times New Roman" w:eastAsia="Times New Roman" w:hAnsi="Times New Roman" w:cs="Times New Roman"/>
          <w:color w:val="000000" w:themeColor="text1"/>
          <w:sz w:val="24"/>
          <w:szCs w:val="24"/>
        </w:rPr>
        <w:t xml:space="preserve">. Art. 10 uśude odnosi się swoim zakresem wyłącznie do przesyłania informacji handlowej drogą elektroniczną. Z kolei art. 172 odnosi się również do innych rodzajów komunikacji – w szczególności do telemarketingu (podobnie </w:t>
      </w:r>
      <w:r w:rsidR="260873EF" w:rsidRPr="00CE1978">
        <w:rPr>
          <w:rFonts w:ascii="Times New Roman" w:eastAsia="Times New Roman" w:hAnsi="Times New Roman" w:cs="Times New Roman"/>
          <w:color w:val="000000" w:themeColor="text1"/>
          <w:sz w:val="24"/>
          <w:szCs w:val="24"/>
        </w:rPr>
        <w:t xml:space="preserve">jak </w:t>
      </w:r>
      <w:r w:rsidR="719823D1" w:rsidRPr="00CE1978">
        <w:rPr>
          <w:rFonts w:ascii="Times New Roman" w:eastAsia="Times New Roman" w:hAnsi="Times New Roman" w:cs="Times New Roman"/>
          <w:color w:val="000000" w:themeColor="text1"/>
          <w:sz w:val="24"/>
          <w:szCs w:val="24"/>
        </w:rPr>
        <w:t>art. 3</w:t>
      </w:r>
      <w:r w:rsidR="403BAF82" w:rsidRPr="00CE1978">
        <w:rPr>
          <w:rFonts w:ascii="Times New Roman" w:eastAsia="Times New Roman" w:hAnsi="Times New Roman" w:cs="Times New Roman"/>
          <w:color w:val="000000" w:themeColor="text1"/>
          <w:sz w:val="24"/>
          <w:szCs w:val="24"/>
        </w:rPr>
        <w:t>60</w:t>
      </w:r>
      <w:r w:rsidR="719823D1" w:rsidRPr="00CE1978">
        <w:rPr>
          <w:rFonts w:ascii="Times New Roman" w:eastAsia="Times New Roman" w:hAnsi="Times New Roman" w:cs="Times New Roman"/>
          <w:color w:val="000000" w:themeColor="text1"/>
          <w:sz w:val="24"/>
          <w:szCs w:val="24"/>
        </w:rPr>
        <w:t xml:space="preserve"> P</w:t>
      </w:r>
      <w:r w:rsidR="010EA653" w:rsidRPr="00CE1978">
        <w:rPr>
          <w:rFonts w:ascii="Times New Roman" w:eastAsia="Times New Roman" w:hAnsi="Times New Roman" w:cs="Times New Roman"/>
          <w:color w:val="000000" w:themeColor="text1"/>
          <w:sz w:val="24"/>
          <w:szCs w:val="24"/>
        </w:rPr>
        <w:t>ke</w:t>
      </w:r>
      <w:r w:rsidR="719823D1" w:rsidRPr="00CE1978">
        <w:rPr>
          <w:rFonts w:ascii="Times New Roman" w:eastAsia="Times New Roman" w:hAnsi="Times New Roman" w:cs="Times New Roman"/>
          <w:color w:val="000000" w:themeColor="text1"/>
          <w:sz w:val="24"/>
          <w:szCs w:val="24"/>
        </w:rPr>
        <w:t xml:space="preserve">). </w:t>
      </w:r>
      <w:r w:rsidR="376C19AD" w:rsidRPr="00CE1978">
        <w:rPr>
          <w:rFonts w:ascii="Times New Roman" w:eastAsia="Times New Roman" w:hAnsi="Times New Roman" w:cs="Times New Roman"/>
          <w:color w:val="000000" w:themeColor="text1"/>
          <w:sz w:val="24"/>
          <w:szCs w:val="24"/>
        </w:rPr>
        <w:t>O</w:t>
      </w:r>
      <w:r w:rsidR="223D9233" w:rsidRPr="00CE1978">
        <w:rPr>
          <w:rFonts w:ascii="Times New Roman" w:eastAsia="Times New Roman" w:hAnsi="Times New Roman" w:cs="Times New Roman"/>
          <w:color w:val="000000" w:themeColor="text1"/>
          <w:sz w:val="24"/>
          <w:szCs w:val="24"/>
        </w:rPr>
        <w:t xml:space="preserve">bowiązujący </w:t>
      </w:r>
      <w:r w:rsidR="719823D1" w:rsidRPr="00CE1978">
        <w:rPr>
          <w:rFonts w:ascii="Times New Roman" w:eastAsia="Times New Roman" w:hAnsi="Times New Roman" w:cs="Times New Roman"/>
          <w:color w:val="000000" w:themeColor="text1"/>
          <w:sz w:val="24"/>
          <w:szCs w:val="24"/>
        </w:rPr>
        <w:t xml:space="preserve">art. 172 </w:t>
      </w:r>
      <w:r w:rsidR="79D72604" w:rsidRPr="00CE1978">
        <w:rPr>
          <w:rFonts w:ascii="Times New Roman" w:eastAsia="Times New Roman" w:hAnsi="Times New Roman" w:cs="Times New Roman"/>
          <w:color w:val="000000" w:themeColor="text1"/>
          <w:sz w:val="24"/>
          <w:szCs w:val="24"/>
        </w:rPr>
        <w:t>Pt</w:t>
      </w:r>
      <w:r w:rsidR="719823D1" w:rsidRPr="00CE1978">
        <w:rPr>
          <w:rFonts w:ascii="Times New Roman" w:eastAsia="Times New Roman" w:hAnsi="Times New Roman" w:cs="Times New Roman"/>
          <w:color w:val="000000" w:themeColor="text1"/>
          <w:sz w:val="24"/>
          <w:szCs w:val="24"/>
        </w:rPr>
        <w:t xml:space="preserve"> i </w:t>
      </w:r>
      <w:r w:rsidR="0B775900" w:rsidRPr="00CE1978">
        <w:rPr>
          <w:rFonts w:ascii="Times New Roman" w:eastAsia="Times New Roman" w:hAnsi="Times New Roman" w:cs="Times New Roman"/>
          <w:color w:val="000000" w:themeColor="text1"/>
          <w:sz w:val="24"/>
          <w:szCs w:val="24"/>
        </w:rPr>
        <w:t xml:space="preserve">projektowany </w:t>
      </w:r>
      <w:r w:rsidR="719823D1" w:rsidRPr="00CE1978">
        <w:rPr>
          <w:rFonts w:ascii="Times New Roman" w:eastAsia="Times New Roman" w:hAnsi="Times New Roman" w:cs="Times New Roman"/>
          <w:color w:val="000000" w:themeColor="text1"/>
          <w:sz w:val="24"/>
          <w:szCs w:val="24"/>
        </w:rPr>
        <w:t xml:space="preserve">art. </w:t>
      </w:r>
      <w:r w:rsidR="00C95FB9" w:rsidRPr="00CE1978">
        <w:rPr>
          <w:rFonts w:ascii="Times New Roman" w:eastAsia="Times New Roman" w:hAnsi="Times New Roman" w:cs="Times New Roman"/>
          <w:color w:val="000000" w:themeColor="text1"/>
          <w:sz w:val="24"/>
          <w:szCs w:val="24"/>
        </w:rPr>
        <w:t xml:space="preserve">393 </w:t>
      </w:r>
      <w:r w:rsidR="719823D1" w:rsidRPr="00CE1978">
        <w:rPr>
          <w:rFonts w:ascii="Times New Roman" w:eastAsia="Times New Roman" w:hAnsi="Times New Roman" w:cs="Times New Roman"/>
          <w:color w:val="000000" w:themeColor="text1"/>
          <w:sz w:val="24"/>
          <w:szCs w:val="24"/>
        </w:rPr>
        <w:t>P</w:t>
      </w:r>
      <w:r w:rsidR="484B13D4" w:rsidRPr="00CE1978">
        <w:rPr>
          <w:rFonts w:ascii="Times New Roman" w:eastAsia="Times New Roman" w:hAnsi="Times New Roman" w:cs="Times New Roman"/>
          <w:color w:val="000000" w:themeColor="text1"/>
          <w:sz w:val="24"/>
          <w:szCs w:val="24"/>
        </w:rPr>
        <w:t>ke</w:t>
      </w:r>
      <w:r w:rsidR="719823D1" w:rsidRPr="00CE1978">
        <w:rPr>
          <w:rFonts w:ascii="Times New Roman" w:eastAsia="Times New Roman" w:hAnsi="Times New Roman" w:cs="Times New Roman"/>
          <w:color w:val="000000" w:themeColor="text1"/>
          <w:sz w:val="24"/>
          <w:szCs w:val="24"/>
        </w:rPr>
        <w:t xml:space="preserve"> dokonują transpozycji do polskiego porządku prawnego nie tylko art. 13 ust. 1 dyrektywy o e-prywatności, ale również art. 13 ust. 3 tejże </w:t>
      </w:r>
      <w:r w:rsidR="50F18C7B" w:rsidRPr="00CE1978">
        <w:rPr>
          <w:rFonts w:ascii="Times New Roman" w:eastAsia="Times New Roman" w:hAnsi="Times New Roman" w:cs="Times New Roman"/>
          <w:color w:val="000000" w:themeColor="text1"/>
          <w:sz w:val="24"/>
          <w:szCs w:val="24"/>
        </w:rPr>
        <w:t>d</w:t>
      </w:r>
      <w:r w:rsidR="719823D1" w:rsidRPr="00CE1978">
        <w:rPr>
          <w:rFonts w:ascii="Times New Roman" w:eastAsia="Times New Roman" w:hAnsi="Times New Roman" w:cs="Times New Roman"/>
          <w:color w:val="000000" w:themeColor="text1"/>
          <w:sz w:val="24"/>
          <w:szCs w:val="24"/>
        </w:rPr>
        <w:t xml:space="preserve">yrektywy. </w:t>
      </w:r>
      <w:r w:rsidR="0C619492" w:rsidRPr="00CE1978">
        <w:rPr>
          <w:rFonts w:ascii="Times New Roman" w:eastAsia="Times New Roman" w:hAnsi="Times New Roman" w:cs="Times New Roman"/>
          <w:color w:val="000000" w:themeColor="text1"/>
          <w:sz w:val="24"/>
          <w:szCs w:val="24"/>
        </w:rPr>
        <w:t>Pr</w:t>
      </w:r>
      <w:r w:rsidR="719823D1" w:rsidRPr="00CE1978">
        <w:rPr>
          <w:rFonts w:ascii="Times New Roman" w:eastAsia="Times New Roman" w:hAnsi="Times New Roman" w:cs="Times New Roman"/>
          <w:color w:val="000000" w:themeColor="text1"/>
          <w:sz w:val="24"/>
          <w:szCs w:val="24"/>
        </w:rPr>
        <w:t xml:space="preserve">zepis art. 13 ust. 3 </w:t>
      </w:r>
      <w:r w:rsidR="39CB416B" w:rsidRPr="00CE1978">
        <w:rPr>
          <w:rFonts w:ascii="Times New Roman" w:eastAsia="Times New Roman" w:hAnsi="Times New Roman" w:cs="Times New Roman"/>
          <w:color w:val="000000" w:themeColor="text1"/>
          <w:sz w:val="24"/>
          <w:szCs w:val="24"/>
        </w:rPr>
        <w:t>d</w:t>
      </w:r>
      <w:r w:rsidR="719823D1" w:rsidRPr="00CE1978">
        <w:rPr>
          <w:rFonts w:ascii="Times New Roman" w:eastAsia="Times New Roman" w:hAnsi="Times New Roman" w:cs="Times New Roman"/>
          <w:color w:val="000000" w:themeColor="text1"/>
          <w:sz w:val="24"/>
          <w:szCs w:val="24"/>
        </w:rPr>
        <w:t>yrektyw</w:t>
      </w:r>
      <w:r w:rsidR="2AB998F1" w:rsidRPr="00CE1978">
        <w:rPr>
          <w:rFonts w:ascii="Times New Roman" w:eastAsia="Times New Roman" w:hAnsi="Times New Roman" w:cs="Times New Roman"/>
          <w:color w:val="000000" w:themeColor="text1"/>
          <w:sz w:val="24"/>
          <w:szCs w:val="24"/>
        </w:rPr>
        <w:t>y</w:t>
      </w:r>
      <w:r w:rsidR="719823D1" w:rsidRPr="00CE1978">
        <w:rPr>
          <w:rFonts w:ascii="Times New Roman" w:eastAsia="Times New Roman" w:hAnsi="Times New Roman" w:cs="Times New Roman"/>
          <w:color w:val="000000" w:themeColor="text1"/>
          <w:sz w:val="24"/>
          <w:szCs w:val="24"/>
        </w:rPr>
        <w:t xml:space="preserve"> daje państwom członkowskim prawo wyboru (w szczególności w kontekście telemarketingu), czy w stosunku do innych form komunikacji niż komunikacja elektroniczna zastosują w swoim porządku prawnym system opt-in (wymagana zgoda, aby móc się komunikować) czy system opt-out (wymagany sprzeciw, aby przestano się komunikować). Poszczególne państwa w Unii Europejskiej przyjęły różne systemy w tym obszarze</w:t>
      </w:r>
      <w:r w:rsidR="3CA1964E" w:rsidRPr="00CE1978">
        <w:rPr>
          <w:rFonts w:ascii="Times New Roman" w:eastAsia="Times New Roman" w:hAnsi="Times New Roman" w:cs="Times New Roman"/>
          <w:color w:val="000000" w:themeColor="text1"/>
          <w:sz w:val="24"/>
          <w:szCs w:val="24"/>
        </w:rPr>
        <w:t xml:space="preserve">. </w:t>
      </w:r>
    </w:p>
    <w:p w14:paraId="3FA21AB5" w14:textId="77777777" w:rsidR="2EF36D49" w:rsidRPr="00CE1978" w:rsidRDefault="719823D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Mając na uwadze powyższe, w tym trudności w stosowaniu art. 172 </w:t>
      </w:r>
      <w:r w:rsidR="10D18A0D" w:rsidRPr="00CE1978">
        <w:rPr>
          <w:rFonts w:ascii="Times New Roman" w:eastAsia="Times New Roman" w:hAnsi="Times New Roman" w:cs="Times New Roman"/>
          <w:color w:val="000000" w:themeColor="text1"/>
          <w:sz w:val="24"/>
          <w:szCs w:val="24"/>
        </w:rPr>
        <w:t>Pt</w:t>
      </w:r>
      <w:r w:rsidRPr="00CE1978">
        <w:rPr>
          <w:rFonts w:ascii="Times New Roman" w:eastAsia="Times New Roman" w:hAnsi="Times New Roman" w:cs="Times New Roman"/>
          <w:color w:val="000000" w:themeColor="text1"/>
          <w:sz w:val="24"/>
          <w:szCs w:val="24"/>
        </w:rPr>
        <w:t xml:space="preserve"> i art. 10 uśude oraz jeden cel i jedną podstawę w prawie unijnym, </w:t>
      </w:r>
      <w:r w:rsidR="19A3A928" w:rsidRPr="00CE1978">
        <w:rPr>
          <w:rFonts w:ascii="Times New Roman" w:eastAsia="Times New Roman" w:hAnsi="Times New Roman" w:cs="Times New Roman"/>
          <w:color w:val="000000" w:themeColor="text1"/>
          <w:sz w:val="24"/>
          <w:szCs w:val="24"/>
        </w:rPr>
        <w:t>zasadne wydaje się uregulowanie</w:t>
      </w:r>
      <w:r w:rsidRPr="00CE1978">
        <w:rPr>
          <w:rFonts w:ascii="Times New Roman" w:eastAsia="Times New Roman" w:hAnsi="Times New Roman" w:cs="Times New Roman"/>
          <w:color w:val="000000" w:themeColor="text1"/>
          <w:sz w:val="24"/>
          <w:szCs w:val="24"/>
        </w:rPr>
        <w:t xml:space="preserve"> tego zagadnienia w jednym </w:t>
      </w:r>
      <w:r w:rsidR="72039D42" w:rsidRPr="00CE1978">
        <w:rPr>
          <w:rFonts w:ascii="Times New Roman" w:eastAsia="Times New Roman" w:hAnsi="Times New Roman" w:cs="Times New Roman"/>
          <w:color w:val="000000" w:themeColor="text1"/>
          <w:sz w:val="24"/>
          <w:szCs w:val="24"/>
        </w:rPr>
        <w:t xml:space="preserve">przepisie art. </w:t>
      </w:r>
      <w:r w:rsidR="00C95FB9" w:rsidRPr="00CE1978">
        <w:rPr>
          <w:rFonts w:ascii="Times New Roman" w:eastAsia="Times New Roman" w:hAnsi="Times New Roman" w:cs="Times New Roman"/>
          <w:color w:val="000000" w:themeColor="text1"/>
          <w:sz w:val="24"/>
          <w:szCs w:val="24"/>
        </w:rPr>
        <w:t xml:space="preserve">393 </w:t>
      </w:r>
      <w:r w:rsidRPr="00CE1978">
        <w:rPr>
          <w:rFonts w:ascii="Times New Roman" w:eastAsia="Times New Roman" w:hAnsi="Times New Roman" w:cs="Times New Roman"/>
          <w:color w:val="000000" w:themeColor="text1"/>
          <w:sz w:val="24"/>
          <w:szCs w:val="24"/>
        </w:rPr>
        <w:t>P</w:t>
      </w:r>
      <w:r w:rsidR="2AA332CD" w:rsidRPr="00CE1978">
        <w:rPr>
          <w:rFonts w:ascii="Times New Roman" w:eastAsia="Times New Roman" w:hAnsi="Times New Roman" w:cs="Times New Roman"/>
          <w:color w:val="000000" w:themeColor="text1"/>
          <w:sz w:val="24"/>
          <w:szCs w:val="24"/>
        </w:rPr>
        <w:t>ke</w:t>
      </w:r>
      <w:r w:rsidRPr="00CE1978">
        <w:rPr>
          <w:rFonts w:ascii="Times New Roman" w:eastAsia="Times New Roman" w:hAnsi="Times New Roman" w:cs="Times New Roman"/>
          <w:color w:val="000000" w:themeColor="text1"/>
          <w:sz w:val="24"/>
          <w:szCs w:val="24"/>
        </w:rPr>
        <w:t xml:space="preserve">, który zastąpi art. 172 </w:t>
      </w:r>
      <w:r w:rsidR="24DC26E5" w:rsidRPr="00CE1978">
        <w:rPr>
          <w:rFonts w:ascii="Times New Roman" w:eastAsia="Times New Roman" w:hAnsi="Times New Roman" w:cs="Times New Roman"/>
          <w:color w:val="000000" w:themeColor="text1"/>
          <w:sz w:val="24"/>
          <w:szCs w:val="24"/>
        </w:rPr>
        <w:t>Pt</w:t>
      </w:r>
      <w:r w:rsidRPr="00CE1978">
        <w:rPr>
          <w:rFonts w:ascii="Times New Roman" w:eastAsia="Times New Roman" w:hAnsi="Times New Roman" w:cs="Times New Roman"/>
          <w:color w:val="000000" w:themeColor="text1"/>
          <w:sz w:val="24"/>
          <w:szCs w:val="24"/>
        </w:rPr>
        <w:t xml:space="preserve"> oraz uch</w:t>
      </w:r>
      <w:r w:rsidR="3EFA9A16" w:rsidRPr="00CE1978">
        <w:rPr>
          <w:rFonts w:ascii="Times New Roman" w:eastAsia="Times New Roman" w:hAnsi="Times New Roman" w:cs="Times New Roman"/>
          <w:color w:val="000000" w:themeColor="text1"/>
          <w:sz w:val="24"/>
          <w:szCs w:val="24"/>
        </w:rPr>
        <w:t>ylenie</w:t>
      </w:r>
      <w:r w:rsidRPr="00CE1978">
        <w:rPr>
          <w:rFonts w:ascii="Times New Roman" w:eastAsia="Times New Roman" w:hAnsi="Times New Roman" w:cs="Times New Roman"/>
          <w:color w:val="000000" w:themeColor="text1"/>
          <w:sz w:val="24"/>
          <w:szCs w:val="24"/>
        </w:rPr>
        <w:t xml:space="preserve"> art. 10 uśude.</w:t>
      </w:r>
    </w:p>
    <w:p w14:paraId="48E77B07" w14:textId="77777777" w:rsidR="00FF3C40" w:rsidRPr="00CE1978" w:rsidRDefault="2E935CD3"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Zmianie ulega również art. 12 ust. 1 uśude. Przepisy wskazujące na wyłączenie dostawcy usług komunikacji elektronicznej zostały przeniesione do ustawy Pke. </w:t>
      </w:r>
    </w:p>
    <w:p w14:paraId="73679D3F" w14:textId="6375BB6D" w:rsidR="37C033CD" w:rsidRPr="00CE1978" w:rsidRDefault="37C033CD"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W związku z wprowadzeniem do projektu PKE przepisów dotyczących przesyłania niezamówionej informacji handlowej (dotychczas znajdujących się w ustawie o świadczeniu usług drogą elektroniczną), zasadnym jest przeniesienie przepisów karnych z ustawy o świadczeniu usług drogą elektroniczną do ustawy Prawo komunikacji elektronicznej</w:t>
      </w:r>
      <w:r w:rsidR="00D3663D" w:rsidRPr="00CE1978">
        <w:rPr>
          <w:rFonts w:ascii="Times New Roman" w:eastAsia="Times New Roman" w:hAnsi="Times New Roman" w:cs="Times New Roman"/>
          <w:color w:val="000000" w:themeColor="text1"/>
          <w:sz w:val="24"/>
          <w:szCs w:val="24"/>
        </w:rPr>
        <w:t>;</w:t>
      </w:r>
    </w:p>
    <w:p w14:paraId="437A5F89" w14:textId="1B2A7CA8" w:rsidR="00DE2821" w:rsidRPr="00CE1978" w:rsidRDefault="00FE1D74" w:rsidP="00F91F34">
      <w:pPr>
        <w:pStyle w:val="Akapitzlist"/>
        <w:numPr>
          <w:ilvl w:val="0"/>
          <w:numId w:val="4"/>
        </w:numPr>
        <w:tabs>
          <w:tab w:val="left" w:pos="426"/>
        </w:tabs>
        <w:spacing w:before="120" w:after="0" w:line="360" w:lineRule="auto"/>
        <w:ind w:left="0" w:firstLine="0"/>
        <w:contextualSpacing w:val="0"/>
        <w:jc w:val="both"/>
        <w:rPr>
          <w:rFonts w:ascii="Times New Roman" w:eastAsiaTheme="minorEastAsia" w:hAnsi="Times New Roman" w:cs="Times New Roman"/>
          <w:b/>
          <w:bCs/>
          <w:color w:val="000000" w:themeColor="text1"/>
          <w:sz w:val="24"/>
          <w:szCs w:val="24"/>
          <w:lang w:eastAsia="pl-PL"/>
        </w:rPr>
      </w:pPr>
      <w:r w:rsidRPr="00CE1978">
        <w:rPr>
          <w:rFonts w:ascii="Times New Roman" w:eastAsia="Times New Roman" w:hAnsi="Times New Roman" w:cs="Times New Roman"/>
          <w:b/>
          <w:color w:val="000000" w:themeColor="text1"/>
          <w:sz w:val="24"/>
          <w:szCs w:val="24"/>
          <w:lang w:eastAsia="pl-PL"/>
        </w:rPr>
        <w:t xml:space="preserve">ustawie </w:t>
      </w:r>
      <w:r w:rsidR="00DE2821" w:rsidRPr="00CE1978">
        <w:rPr>
          <w:rFonts w:ascii="Times New Roman" w:eastAsiaTheme="minorEastAsia" w:hAnsi="Times New Roman" w:cs="Times New Roman"/>
          <w:b/>
          <w:bCs/>
          <w:color w:val="000000" w:themeColor="text1"/>
          <w:sz w:val="24"/>
          <w:szCs w:val="24"/>
          <w:lang w:eastAsia="pl-PL"/>
        </w:rPr>
        <w:t>z dnia 28 października 2002 r. o odpowiedzialności podmiotów zbiorowych za czyny zabronione pod groźbą kary</w:t>
      </w:r>
    </w:p>
    <w:p w14:paraId="48AFEB47" w14:textId="52B1AF07" w:rsidR="00DE2821" w:rsidRPr="00CE1978" w:rsidRDefault="00DE2821" w:rsidP="00F91F34">
      <w:pPr>
        <w:spacing w:before="120" w:after="0" w:line="360" w:lineRule="auto"/>
        <w:jc w:val="both"/>
        <w:rPr>
          <w:rFonts w:ascii="Times New Roman" w:eastAsia="Times New Roman" w:hAnsi="Times New Roman" w:cs="Times New Roman"/>
          <w:color w:val="000000" w:themeColor="text1"/>
          <w:sz w:val="24"/>
          <w:szCs w:val="24"/>
          <w:lang w:eastAsia="pl-PL"/>
        </w:rPr>
      </w:pPr>
      <w:r w:rsidRPr="00CE1978">
        <w:rPr>
          <w:rFonts w:ascii="Times New Roman" w:eastAsia="Times New Roman" w:hAnsi="Times New Roman" w:cs="Times New Roman"/>
          <w:color w:val="000000" w:themeColor="text1"/>
          <w:sz w:val="24"/>
          <w:szCs w:val="24"/>
          <w:lang w:eastAsia="pl-PL"/>
        </w:rPr>
        <w:t>Celem zmiany ustawy jest uwzględnienie w katalogu przestępstw w stosunku do których przepisy ww. ustawy mają zastosowanie, przestępstw ok</w:t>
      </w:r>
      <w:r w:rsidR="00D3663D" w:rsidRPr="00CE1978">
        <w:rPr>
          <w:rFonts w:ascii="Times New Roman" w:eastAsia="Times New Roman" w:hAnsi="Times New Roman" w:cs="Times New Roman"/>
          <w:color w:val="000000" w:themeColor="text1"/>
          <w:sz w:val="24"/>
          <w:szCs w:val="24"/>
          <w:lang w:eastAsia="pl-PL"/>
        </w:rPr>
        <w:t>reślonych w art. 444 ustawy Pke;</w:t>
      </w:r>
    </w:p>
    <w:p w14:paraId="3999486C" w14:textId="7512C71F" w:rsidR="006070AC" w:rsidRPr="00CE1978" w:rsidRDefault="00FE1D74" w:rsidP="00F91F34">
      <w:pPr>
        <w:pStyle w:val="Akapitzlist"/>
        <w:numPr>
          <w:ilvl w:val="0"/>
          <w:numId w:val="4"/>
        </w:numPr>
        <w:tabs>
          <w:tab w:val="left" w:pos="426"/>
        </w:tabs>
        <w:spacing w:before="120" w:after="0" w:line="360" w:lineRule="auto"/>
        <w:ind w:left="0" w:firstLine="0"/>
        <w:contextualSpacing w:val="0"/>
        <w:jc w:val="both"/>
        <w:rPr>
          <w:rFonts w:ascii="Times New Roman" w:eastAsiaTheme="minorEastAsia" w:hAnsi="Times New Roman" w:cs="Times New Roman"/>
          <w:b/>
          <w:bCs/>
          <w:color w:val="000000" w:themeColor="text1"/>
          <w:sz w:val="24"/>
          <w:szCs w:val="24"/>
          <w:lang w:eastAsia="pl-PL"/>
        </w:rPr>
      </w:pPr>
      <w:r w:rsidRPr="00F91F34">
        <w:rPr>
          <w:rFonts w:ascii="Times New Roman" w:eastAsia="Times New Roman" w:hAnsi="Times New Roman" w:cs="Times New Roman"/>
          <w:b/>
          <w:bCs/>
          <w:color w:val="000000" w:themeColor="text1"/>
          <w:sz w:val="24"/>
          <w:szCs w:val="24"/>
        </w:rPr>
        <w:t>ustawie</w:t>
      </w:r>
      <w:r w:rsidRPr="00CE1978">
        <w:rPr>
          <w:rFonts w:ascii="Times New Roman" w:eastAsia="Times New Roman" w:hAnsi="Times New Roman" w:cs="Times New Roman"/>
          <w:b/>
          <w:color w:val="000000" w:themeColor="text1"/>
          <w:sz w:val="24"/>
          <w:szCs w:val="24"/>
          <w:lang w:eastAsia="pl-PL"/>
        </w:rPr>
        <w:t xml:space="preserve"> </w:t>
      </w:r>
      <w:r w:rsidR="009E7859" w:rsidRPr="00CE1978">
        <w:rPr>
          <w:rFonts w:ascii="Times New Roman" w:eastAsiaTheme="minorEastAsia" w:hAnsi="Times New Roman" w:cs="Times New Roman"/>
          <w:b/>
          <w:bCs/>
          <w:color w:val="000000" w:themeColor="text1"/>
          <w:sz w:val="24"/>
          <w:szCs w:val="24"/>
          <w:lang w:eastAsia="pl-PL"/>
        </w:rPr>
        <w:t>z dnia 27 sierpnia 2004 r. o świadczeniach opieki zdrowotnej finansowanych ze środków publicznych</w:t>
      </w:r>
    </w:p>
    <w:p w14:paraId="113D1417" w14:textId="2F6B4EF6" w:rsidR="009E7859" w:rsidRPr="00CE1978" w:rsidRDefault="006070AC" w:rsidP="00F91F34">
      <w:pPr>
        <w:spacing w:before="120" w:after="0" w:line="360" w:lineRule="auto"/>
        <w:jc w:val="both"/>
        <w:rPr>
          <w:rFonts w:ascii="Times New Roman" w:eastAsiaTheme="minorEastAsia" w:hAnsi="Times New Roman" w:cs="Times New Roman"/>
          <w:color w:val="000000" w:themeColor="text1"/>
          <w:sz w:val="24"/>
          <w:szCs w:val="24"/>
          <w:lang w:eastAsia="pl-PL"/>
        </w:rPr>
      </w:pPr>
      <w:r w:rsidRPr="00CE1978">
        <w:rPr>
          <w:rFonts w:ascii="Times New Roman" w:eastAsiaTheme="minorEastAsia" w:hAnsi="Times New Roman" w:cs="Times New Roman"/>
          <w:bCs/>
          <w:color w:val="000000" w:themeColor="text1"/>
          <w:sz w:val="24"/>
          <w:szCs w:val="24"/>
          <w:lang w:eastAsia="pl-PL"/>
        </w:rPr>
        <w:t>N</w:t>
      </w:r>
      <w:r w:rsidR="009E7859" w:rsidRPr="00CE1978">
        <w:rPr>
          <w:rFonts w:ascii="Times New Roman" w:eastAsiaTheme="minorEastAsia" w:hAnsi="Times New Roman" w:cs="Times New Roman"/>
          <w:color w:val="000000" w:themeColor="text1"/>
          <w:sz w:val="24"/>
          <w:szCs w:val="24"/>
          <w:lang w:eastAsia="pl-PL"/>
        </w:rPr>
        <w:t xml:space="preserve">iezbędne jest dokonanie zmian </w:t>
      </w:r>
      <w:r w:rsidR="004735DC" w:rsidRPr="00CE1978">
        <w:rPr>
          <w:rFonts w:ascii="Times New Roman" w:eastAsiaTheme="minorEastAsia" w:hAnsi="Times New Roman" w:cs="Times New Roman"/>
          <w:color w:val="000000" w:themeColor="text1"/>
          <w:sz w:val="24"/>
          <w:szCs w:val="24"/>
          <w:lang w:eastAsia="pl-PL"/>
        </w:rPr>
        <w:t>wynikający</w:t>
      </w:r>
      <w:r w:rsidR="00085059" w:rsidRPr="00CE1978">
        <w:rPr>
          <w:rFonts w:ascii="Times New Roman" w:eastAsiaTheme="minorEastAsia" w:hAnsi="Times New Roman" w:cs="Times New Roman"/>
          <w:color w:val="000000" w:themeColor="text1"/>
          <w:sz w:val="24"/>
          <w:szCs w:val="24"/>
          <w:lang w:eastAsia="pl-PL"/>
        </w:rPr>
        <w:t>ch</w:t>
      </w:r>
      <w:r w:rsidR="009E7859" w:rsidRPr="00CE1978">
        <w:rPr>
          <w:rFonts w:ascii="Times New Roman" w:eastAsiaTheme="minorEastAsia" w:hAnsi="Times New Roman" w:cs="Times New Roman"/>
          <w:color w:val="000000" w:themeColor="text1"/>
          <w:sz w:val="24"/>
          <w:szCs w:val="24"/>
          <w:lang w:eastAsia="pl-PL"/>
        </w:rPr>
        <w:t xml:space="preserve"> ze zmian</w:t>
      </w:r>
      <w:r w:rsidR="004735DC" w:rsidRPr="00CE1978">
        <w:rPr>
          <w:rFonts w:ascii="Times New Roman" w:eastAsiaTheme="minorEastAsia" w:hAnsi="Times New Roman" w:cs="Times New Roman"/>
          <w:color w:val="000000" w:themeColor="text1"/>
          <w:sz w:val="24"/>
          <w:szCs w:val="24"/>
          <w:lang w:eastAsia="pl-PL"/>
        </w:rPr>
        <w:t>y</w:t>
      </w:r>
      <w:r w:rsidR="009E7859" w:rsidRPr="00CE1978">
        <w:rPr>
          <w:rFonts w:ascii="Times New Roman" w:eastAsiaTheme="minorEastAsia" w:hAnsi="Times New Roman" w:cs="Times New Roman"/>
          <w:color w:val="000000" w:themeColor="text1"/>
          <w:sz w:val="24"/>
          <w:szCs w:val="24"/>
          <w:lang w:eastAsia="pl-PL"/>
        </w:rPr>
        <w:t xml:space="preserve"> brzmienia art. 325 ust. 8 Pke</w:t>
      </w:r>
      <w:r w:rsidR="00D3663D" w:rsidRPr="00CE1978">
        <w:rPr>
          <w:rFonts w:ascii="Times New Roman" w:eastAsiaTheme="minorEastAsia" w:hAnsi="Times New Roman" w:cs="Times New Roman"/>
          <w:color w:val="000000" w:themeColor="text1"/>
          <w:sz w:val="24"/>
          <w:szCs w:val="24"/>
          <w:lang w:eastAsia="pl-PL"/>
        </w:rPr>
        <w:t>;</w:t>
      </w:r>
    </w:p>
    <w:p w14:paraId="58142B71" w14:textId="31F640B7" w:rsidR="00384D37" w:rsidRPr="00CE1978" w:rsidRDefault="00384D37" w:rsidP="00F91F34">
      <w:pPr>
        <w:pStyle w:val="Akapitzlist"/>
        <w:numPr>
          <w:ilvl w:val="0"/>
          <w:numId w:val="4"/>
        </w:numPr>
        <w:tabs>
          <w:tab w:val="left" w:pos="426"/>
        </w:tabs>
        <w:spacing w:before="120" w:after="0" w:line="360" w:lineRule="auto"/>
        <w:ind w:left="0" w:firstLine="0"/>
        <w:contextualSpacing w:val="0"/>
        <w:jc w:val="both"/>
        <w:rPr>
          <w:rFonts w:ascii="Times New Roman" w:eastAsiaTheme="minorEastAsia" w:hAnsi="Times New Roman" w:cs="Times New Roman"/>
          <w:b/>
          <w:color w:val="000000" w:themeColor="text1"/>
          <w:sz w:val="24"/>
          <w:szCs w:val="24"/>
          <w:lang w:eastAsia="pl-PL"/>
        </w:rPr>
      </w:pPr>
      <w:r w:rsidRPr="00CE1978">
        <w:rPr>
          <w:rFonts w:ascii="Times New Roman" w:eastAsiaTheme="minorEastAsia" w:hAnsi="Times New Roman" w:cs="Times New Roman"/>
          <w:b/>
          <w:color w:val="000000" w:themeColor="text1"/>
          <w:sz w:val="24"/>
          <w:szCs w:val="24"/>
          <w:lang w:eastAsia="pl-PL"/>
        </w:rPr>
        <w:t>ustawa z dnia 17 lutego 2005 r. o informatyzacji działalności podmiotów realizujących zadania publiczne</w:t>
      </w:r>
    </w:p>
    <w:p w14:paraId="45A6CF0A" w14:textId="7F4D6827" w:rsidR="00384D37" w:rsidRPr="00CE1978" w:rsidRDefault="00384D37" w:rsidP="00F91F34">
      <w:pPr>
        <w:spacing w:before="120" w:after="0" w:line="360" w:lineRule="auto"/>
        <w:jc w:val="both"/>
        <w:rPr>
          <w:rFonts w:ascii="Times New Roman" w:eastAsiaTheme="minorEastAsia" w:hAnsi="Times New Roman" w:cs="Times New Roman"/>
          <w:color w:val="000000" w:themeColor="text1"/>
          <w:sz w:val="24"/>
          <w:szCs w:val="24"/>
          <w:lang w:eastAsia="pl-PL"/>
        </w:rPr>
      </w:pPr>
      <w:r w:rsidRPr="00CE1978">
        <w:rPr>
          <w:rFonts w:ascii="Times New Roman" w:eastAsiaTheme="minorEastAsia" w:hAnsi="Times New Roman" w:cs="Times New Roman"/>
          <w:color w:val="000000" w:themeColor="text1"/>
          <w:sz w:val="24"/>
          <w:szCs w:val="24"/>
          <w:lang w:eastAsia="pl-PL"/>
        </w:rPr>
        <w:t>Wprowadzane zmiany są konsekwencją zmian w procesie weryfikacji abonenta przeprowadzanym przed rozpoczęciem świadczenia usług telekomunikacyjnych. W ustawie Prawo komunikacji elektronicznej dopuszczono możliwość weryfikacji tożsamości abonenta za pomocą danych zawartych w złożonym przez abonenta podpisie zaufanym, z zastrzeżeniem, że podpis ten może być wykorzystany wyłącznie do potwierdzenia tożsamości abonenta. Weryfikacja ta może być dokonana tylko za pomocą narzędzia określonego w rozporządzeniu wydanym przez ministra właściwego do spraw informatyzacji na podstawie art. 20d ustawy z dnia 17 lutego 2005 r. o informatyzacji działalności podmiotów realizujących zadania publiczne. Skutkiem tego będzie możliwość korzystania przez wszystkich przedsiębiorców telekomunikacyjnych z tego samego narzędzia przygotowanego przez ministra właściwego do spraw informatyzacji jako kompletnej i zupełnej usługi świadczonej online. Możliwość weryfikacji złożonego podpisu zaufanego przez dostawców usług telekomunikacyjnych jest nieodpłatna. Z przepisów tych nie wynika możliwość udostępnienia wybranym przedsiębiorcom telekomunikacyjnym przez ministra właściwego do spraw informatyzacji części ww. narzędzia w postaci np. interfejsu programistyczneg</w:t>
      </w:r>
      <w:r w:rsidR="00D3663D" w:rsidRPr="00CE1978">
        <w:rPr>
          <w:rFonts w:ascii="Times New Roman" w:eastAsiaTheme="minorEastAsia" w:hAnsi="Times New Roman" w:cs="Times New Roman"/>
          <w:color w:val="000000" w:themeColor="text1"/>
          <w:sz w:val="24"/>
          <w:szCs w:val="24"/>
          <w:lang w:eastAsia="pl-PL"/>
        </w:rPr>
        <w:t>o aplikacji lub kodu źródłowego;</w:t>
      </w:r>
    </w:p>
    <w:p w14:paraId="690874B1" w14:textId="2D85360F" w:rsidR="15867025" w:rsidRPr="00CE1978" w:rsidRDefault="04904616" w:rsidP="00F91F34">
      <w:pPr>
        <w:pStyle w:val="Akapitzlist"/>
        <w:keepNex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lastRenderedPageBreak/>
        <w:t xml:space="preserve">ustawie z dnia 16 listopada 2006 r. o opłacie skarbowej </w:t>
      </w:r>
    </w:p>
    <w:p w14:paraId="04719F6B" w14:textId="77777777" w:rsidR="15867025" w:rsidRPr="00CE1978" w:rsidRDefault="04904616"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Projektowana zmiana przewiduje wprowadzenie do ustawy o opłacie skarbowej zwolnienia z obowiązku uiszczenia opłaty skarbowej w odniesieniu do dokonania wpisu do rejestru przedsiębiorców telekomunikacyjnych. Zmiana ma charakter porządkujący, gdyż dotychczas wpis do rejestru był już zwolniony z opłaty skarbowej na podstawie art. 10 ust. 12 Pt. Ze względu na to, że to ustawa o opłacie skarbowej wskazuje jakie czynności podlegają opłacie i które czynności są z niej zwolnione, zdecydowano na przeniesienie do tej ustawy wyłączenia w odniesieniu do dokonania wpisu do rejestru przedsiębiorców telekomunikacyjnych. </w:t>
      </w:r>
    </w:p>
    <w:p w14:paraId="387E7157" w14:textId="00F5A7EF" w:rsidR="15867025" w:rsidRPr="00CE1978" w:rsidRDefault="04904616"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Ponadto, </w:t>
      </w:r>
      <w:r w:rsidR="006F3A33" w:rsidRPr="00CE1978">
        <w:rPr>
          <w:rFonts w:ascii="Times New Roman" w:eastAsia="Times New Roman" w:hAnsi="Times New Roman" w:cs="Times New Roman"/>
          <w:color w:val="000000" w:themeColor="text1"/>
          <w:sz w:val="24"/>
          <w:szCs w:val="24"/>
        </w:rPr>
        <w:t xml:space="preserve">proponuje się uchylenie </w:t>
      </w:r>
      <w:r w:rsidRPr="00CE1978">
        <w:rPr>
          <w:rFonts w:ascii="Times New Roman" w:eastAsia="Times New Roman" w:hAnsi="Times New Roman" w:cs="Times New Roman"/>
          <w:color w:val="000000" w:themeColor="text1"/>
          <w:sz w:val="24"/>
          <w:szCs w:val="24"/>
        </w:rPr>
        <w:t xml:space="preserve">w załączniku do ustawy w części III </w:t>
      </w:r>
      <w:r w:rsidR="14726DEE" w:rsidRPr="00CE1978">
        <w:rPr>
          <w:rFonts w:ascii="Times New Roman" w:eastAsia="Times New Roman" w:hAnsi="Times New Roman" w:cs="Times New Roman"/>
          <w:color w:val="000000" w:themeColor="text1"/>
          <w:sz w:val="24"/>
          <w:szCs w:val="24"/>
        </w:rPr>
        <w:t>ust.</w:t>
      </w:r>
      <w:r w:rsidRPr="00CE1978">
        <w:rPr>
          <w:rFonts w:ascii="Times New Roman" w:eastAsia="Times New Roman" w:hAnsi="Times New Roman" w:cs="Times New Roman"/>
          <w:color w:val="000000" w:themeColor="text1"/>
          <w:sz w:val="24"/>
          <w:szCs w:val="24"/>
        </w:rPr>
        <w:t xml:space="preserve"> 32 </w:t>
      </w:r>
      <w:r w:rsidR="006F3A33" w:rsidRPr="00CE1978">
        <w:rPr>
          <w:rFonts w:ascii="Times New Roman" w:eastAsia="Times New Roman" w:hAnsi="Times New Roman" w:cs="Times New Roman"/>
          <w:color w:val="000000" w:themeColor="text1"/>
          <w:sz w:val="24"/>
          <w:szCs w:val="24"/>
        </w:rPr>
        <w:t xml:space="preserve">dotyczącego </w:t>
      </w:r>
      <w:r w:rsidRPr="00CE1978">
        <w:rPr>
          <w:rFonts w:ascii="Times New Roman" w:eastAsia="Times New Roman" w:hAnsi="Times New Roman" w:cs="Times New Roman"/>
          <w:color w:val="000000" w:themeColor="text1"/>
          <w:sz w:val="24"/>
          <w:szCs w:val="24"/>
        </w:rPr>
        <w:t>opłaty skarbowej w odniesieniu do pozwolenia radioweg</w:t>
      </w:r>
      <w:r w:rsidR="006F3A33" w:rsidRPr="00CE1978">
        <w:rPr>
          <w:rFonts w:ascii="Times New Roman" w:eastAsia="Times New Roman" w:hAnsi="Times New Roman" w:cs="Times New Roman"/>
          <w:color w:val="000000" w:themeColor="text1"/>
          <w:sz w:val="24"/>
          <w:szCs w:val="24"/>
        </w:rPr>
        <w:t xml:space="preserve">o wydawanego w związku z wykonywaniem działalności polegającej na świadczeniu usług telekomunikacyjnych, dostarczaniu sieci telekomunikacyjnych lub udogodnień towarzyszących. Wydanie pozwolenia nie będzie objęte opłatą skarbową, gdyż zgodnie z projektowanym art. 24 ust. 21 </w:t>
      </w:r>
      <w:r w:rsidR="006F3A33" w:rsidRPr="00CE1978">
        <w:rPr>
          <w:rFonts w:ascii="Times New Roman" w:hAnsi="Times New Roman" w:cs="Times New Roman"/>
          <w:color w:val="000000" w:themeColor="text1"/>
          <w:sz w:val="24"/>
          <w:szCs w:val="24"/>
        </w:rPr>
        <w:t>podmiot, który uzyskał pozwolenie radiowe będzie obowiązany uiścić jednorazową opłatę za prawo używania urządzenia radiowego objętego tym pozwoleniem</w:t>
      </w:r>
      <w:r w:rsidR="00F23DE5" w:rsidRPr="00CE1978">
        <w:rPr>
          <w:rFonts w:ascii="Times New Roman" w:hAnsi="Times New Roman" w:cs="Times New Roman"/>
          <w:color w:val="000000" w:themeColor="text1"/>
          <w:sz w:val="24"/>
          <w:szCs w:val="24"/>
        </w:rPr>
        <w:t>.</w:t>
      </w:r>
      <w:r w:rsidR="001B224A" w:rsidRPr="00CE1978">
        <w:rPr>
          <w:rFonts w:ascii="Times New Roman" w:eastAsia="Times New Roman" w:hAnsi="Times New Roman" w:cs="Times New Roman"/>
          <w:color w:val="000000" w:themeColor="text1"/>
          <w:sz w:val="24"/>
          <w:szCs w:val="24"/>
        </w:rPr>
        <w:t xml:space="preserve"> W związku z tym, że </w:t>
      </w:r>
      <w:r w:rsidR="73ABF1B6" w:rsidRPr="00CE1978">
        <w:rPr>
          <w:rFonts w:ascii="Times New Roman" w:eastAsia="Times New Roman" w:hAnsi="Times New Roman" w:cs="Times New Roman"/>
          <w:color w:val="000000" w:themeColor="text1"/>
          <w:sz w:val="24"/>
          <w:szCs w:val="24"/>
        </w:rPr>
        <w:t xml:space="preserve">opłatą skarbową nie będzie objęte </w:t>
      </w:r>
      <w:r w:rsidR="001B224A" w:rsidRPr="00CE1978">
        <w:rPr>
          <w:rFonts w:ascii="Times New Roman" w:eastAsia="Times New Roman" w:hAnsi="Times New Roman" w:cs="Times New Roman"/>
          <w:color w:val="000000" w:themeColor="text1"/>
          <w:sz w:val="24"/>
          <w:szCs w:val="24"/>
        </w:rPr>
        <w:t>wydanie pozwolenia</w:t>
      </w:r>
      <w:r w:rsidR="0458E818" w:rsidRPr="00CE1978">
        <w:rPr>
          <w:rFonts w:ascii="Times New Roman" w:eastAsia="Times New Roman" w:hAnsi="Times New Roman" w:cs="Times New Roman"/>
          <w:color w:val="000000" w:themeColor="text1"/>
          <w:sz w:val="24"/>
          <w:szCs w:val="24"/>
        </w:rPr>
        <w:t xml:space="preserve">, również </w:t>
      </w:r>
      <w:r w:rsidR="10EC4E0E" w:rsidRPr="00CE1978">
        <w:rPr>
          <w:rFonts w:ascii="Times New Roman" w:eastAsia="Times New Roman" w:hAnsi="Times New Roman" w:cs="Times New Roman"/>
          <w:color w:val="000000" w:themeColor="text1"/>
          <w:sz w:val="24"/>
          <w:szCs w:val="24"/>
        </w:rPr>
        <w:t xml:space="preserve">opłata ta nie będzie pobierana w przypadku </w:t>
      </w:r>
      <w:r w:rsidR="0458E818" w:rsidRPr="00CE1978">
        <w:rPr>
          <w:rFonts w:ascii="Times New Roman" w:eastAsia="Times New Roman" w:hAnsi="Times New Roman" w:cs="Times New Roman"/>
          <w:color w:val="000000" w:themeColor="text1"/>
          <w:sz w:val="24"/>
          <w:szCs w:val="24"/>
        </w:rPr>
        <w:t>przedłużeni</w:t>
      </w:r>
      <w:r w:rsidR="0048EBA7" w:rsidRPr="00CE1978">
        <w:rPr>
          <w:rFonts w:ascii="Times New Roman" w:eastAsia="Times New Roman" w:hAnsi="Times New Roman" w:cs="Times New Roman"/>
          <w:color w:val="000000" w:themeColor="text1"/>
          <w:sz w:val="24"/>
          <w:szCs w:val="24"/>
        </w:rPr>
        <w:t xml:space="preserve">a </w:t>
      </w:r>
      <w:r w:rsidR="5F839294" w:rsidRPr="00CE1978">
        <w:rPr>
          <w:rFonts w:ascii="Times New Roman" w:eastAsia="Times New Roman" w:hAnsi="Times New Roman" w:cs="Times New Roman"/>
          <w:color w:val="000000" w:themeColor="text1"/>
          <w:sz w:val="24"/>
          <w:szCs w:val="24"/>
        </w:rPr>
        <w:t xml:space="preserve">terminu ważności </w:t>
      </w:r>
      <w:r w:rsidR="0048EBA7" w:rsidRPr="00CE1978">
        <w:rPr>
          <w:rFonts w:ascii="Times New Roman" w:eastAsia="Times New Roman" w:hAnsi="Times New Roman" w:cs="Times New Roman"/>
          <w:color w:val="000000" w:themeColor="text1"/>
          <w:sz w:val="24"/>
          <w:szCs w:val="24"/>
        </w:rPr>
        <w:t>pozwolenia.</w:t>
      </w:r>
      <w:r w:rsidR="0458E818" w:rsidRPr="00CE1978">
        <w:rPr>
          <w:rFonts w:ascii="Times New Roman" w:eastAsia="Times New Roman" w:hAnsi="Times New Roman" w:cs="Times New Roman"/>
          <w:color w:val="000000" w:themeColor="text1"/>
          <w:sz w:val="24"/>
          <w:szCs w:val="24"/>
        </w:rPr>
        <w:t xml:space="preserve"> </w:t>
      </w:r>
      <w:r w:rsidR="76E39278" w:rsidRPr="00CE1978">
        <w:rPr>
          <w:rFonts w:ascii="Times New Roman" w:eastAsia="Times New Roman" w:hAnsi="Times New Roman" w:cs="Times New Roman"/>
          <w:color w:val="000000" w:themeColor="text1"/>
          <w:sz w:val="24"/>
          <w:szCs w:val="24"/>
        </w:rPr>
        <w:t xml:space="preserve">Kwestia </w:t>
      </w:r>
      <w:r w:rsidR="1DD17AC7" w:rsidRPr="00CE1978">
        <w:rPr>
          <w:rFonts w:ascii="Times New Roman" w:eastAsia="Times New Roman" w:hAnsi="Times New Roman" w:cs="Times New Roman"/>
          <w:color w:val="000000" w:themeColor="text1"/>
          <w:sz w:val="24"/>
          <w:szCs w:val="24"/>
        </w:rPr>
        <w:t xml:space="preserve">ta nie wymaga jednak zmian w ustawie o opłacie skarbowej, gdyż </w:t>
      </w:r>
      <w:r w:rsidR="1DD17AC7" w:rsidRPr="00CE1978">
        <w:rPr>
          <w:rFonts w:ascii="Times New Roman" w:eastAsia="Times New Roman" w:hAnsi="Times New Roman" w:cs="Times New Roman"/>
          <w:sz w:val="24"/>
          <w:szCs w:val="24"/>
        </w:rPr>
        <w:t xml:space="preserve">brak jest możliwości zwolnienia z opłaty skarbowej przedłużenia terminu ważności pozwolenia, </w:t>
      </w:r>
      <w:r w:rsidR="5B9BF6DE" w:rsidRPr="00CE1978">
        <w:rPr>
          <w:rFonts w:ascii="Times New Roman" w:eastAsia="Times New Roman" w:hAnsi="Times New Roman" w:cs="Times New Roman"/>
          <w:sz w:val="24"/>
          <w:szCs w:val="24"/>
        </w:rPr>
        <w:t xml:space="preserve">skoro wydanie samego pozwolenia </w:t>
      </w:r>
      <w:r w:rsidR="1DD17AC7" w:rsidRPr="00CE1978">
        <w:rPr>
          <w:rFonts w:ascii="Times New Roman" w:eastAsia="Times New Roman" w:hAnsi="Times New Roman" w:cs="Times New Roman"/>
          <w:sz w:val="24"/>
          <w:szCs w:val="24"/>
        </w:rPr>
        <w:t>nie będzie objęte tą opłatą.</w:t>
      </w:r>
      <w:r w:rsidR="001B224A" w:rsidRPr="00CE1978">
        <w:rPr>
          <w:rFonts w:ascii="Times New Roman" w:eastAsia="Times New Roman" w:hAnsi="Times New Roman" w:cs="Times New Roman"/>
          <w:color w:val="000000" w:themeColor="text1"/>
          <w:sz w:val="24"/>
          <w:szCs w:val="24"/>
        </w:rPr>
        <w:t xml:space="preserve"> </w:t>
      </w:r>
      <w:r w:rsidR="000C38E8" w:rsidRPr="00CE1978">
        <w:rPr>
          <w:rFonts w:ascii="Times New Roman" w:eastAsia="Times New Roman" w:hAnsi="Times New Roman" w:cs="Times New Roman"/>
          <w:color w:val="000000" w:themeColor="text1"/>
          <w:sz w:val="24"/>
          <w:szCs w:val="24"/>
        </w:rPr>
        <w:t>Ostatni</w:t>
      </w:r>
      <w:r w:rsidR="005E10E0" w:rsidRPr="00CE1978">
        <w:rPr>
          <w:rFonts w:ascii="Times New Roman" w:eastAsia="Times New Roman" w:hAnsi="Times New Roman" w:cs="Times New Roman"/>
          <w:color w:val="000000" w:themeColor="text1"/>
          <w:sz w:val="24"/>
          <w:szCs w:val="24"/>
        </w:rPr>
        <w:t xml:space="preserve">a zmiana </w:t>
      </w:r>
      <w:r w:rsidR="000C38E8" w:rsidRPr="00CE1978">
        <w:rPr>
          <w:rFonts w:ascii="Times New Roman" w:eastAsia="Times New Roman" w:hAnsi="Times New Roman" w:cs="Times New Roman"/>
          <w:color w:val="000000" w:themeColor="text1"/>
          <w:sz w:val="24"/>
          <w:szCs w:val="24"/>
        </w:rPr>
        <w:t>jest w</w:t>
      </w:r>
      <w:r w:rsidR="005E10E0" w:rsidRPr="00CE1978">
        <w:rPr>
          <w:rFonts w:ascii="Times New Roman" w:eastAsia="Times New Roman" w:hAnsi="Times New Roman" w:cs="Times New Roman"/>
          <w:color w:val="000000" w:themeColor="text1"/>
          <w:sz w:val="24"/>
          <w:szCs w:val="24"/>
        </w:rPr>
        <w:t xml:space="preserve"> załącznik</w:t>
      </w:r>
      <w:r w:rsidR="000C38E8" w:rsidRPr="00CE1978">
        <w:rPr>
          <w:rFonts w:ascii="Times New Roman" w:eastAsia="Times New Roman" w:hAnsi="Times New Roman" w:cs="Times New Roman"/>
          <w:color w:val="000000" w:themeColor="text1"/>
          <w:sz w:val="24"/>
          <w:szCs w:val="24"/>
        </w:rPr>
        <w:t>u</w:t>
      </w:r>
      <w:r w:rsidR="005E10E0" w:rsidRPr="00CE1978">
        <w:rPr>
          <w:rFonts w:ascii="Times New Roman" w:eastAsia="Times New Roman" w:hAnsi="Times New Roman" w:cs="Times New Roman"/>
          <w:color w:val="000000" w:themeColor="text1"/>
          <w:sz w:val="24"/>
          <w:szCs w:val="24"/>
        </w:rPr>
        <w:t xml:space="preserve"> do ustawy w części I </w:t>
      </w:r>
      <w:r w:rsidR="65FA0FD8" w:rsidRPr="00CE1978">
        <w:rPr>
          <w:rFonts w:ascii="Times New Roman" w:eastAsia="Times New Roman" w:hAnsi="Times New Roman" w:cs="Times New Roman"/>
          <w:color w:val="000000" w:themeColor="text1"/>
          <w:sz w:val="24"/>
          <w:szCs w:val="24"/>
        </w:rPr>
        <w:t>ust.</w:t>
      </w:r>
      <w:r w:rsidR="005E10E0" w:rsidRPr="00CE1978">
        <w:rPr>
          <w:rFonts w:ascii="Times New Roman" w:eastAsia="Times New Roman" w:hAnsi="Times New Roman" w:cs="Times New Roman"/>
          <w:color w:val="000000" w:themeColor="text1"/>
          <w:sz w:val="24"/>
          <w:szCs w:val="24"/>
        </w:rPr>
        <w:t xml:space="preserve"> 53 dotyczącym zwolnienia decyzji Prezesa UKE z opłaty skarbowej, gdzie </w:t>
      </w:r>
      <w:r w:rsidR="000C38E8" w:rsidRPr="00CE1978">
        <w:rPr>
          <w:rFonts w:ascii="Times New Roman" w:eastAsia="Times New Roman" w:hAnsi="Times New Roman" w:cs="Times New Roman"/>
          <w:color w:val="000000" w:themeColor="text1"/>
          <w:sz w:val="24"/>
          <w:szCs w:val="24"/>
        </w:rPr>
        <w:t>wprowadzono zmianę o charakterze dostosowującym, wynikającą z rozszerzenia zakresu ustawy Pke w stosunku do Pt</w:t>
      </w:r>
      <w:r w:rsidR="00651A9D" w:rsidRPr="00CE1978">
        <w:rPr>
          <w:rFonts w:ascii="Times New Roman" w:eastAsia="Times New Roman" w:hAnsi="Times New Roman" w:cs="Times New Roman"/>
          <w:color w:val="000000" w:themeColor="text1"/>
          <w:sz w:val="24"/>
          <w:szCs w:val="24"/>
        </w:rPr>
        <w:t xml:space="preserve"> oraz zmiany siatki pojęciowej</w:t>
      </w:r>
      <w:r w:rsidR="000C38E8" w:rsidRPr="00CE1978">
        <w:rPr>
          <w:rFonts w:ascii="Times New Roman" w:eastAsia="Times New Roman" w:hAnsi="Times New Roman" w:cs="Times New Roman"/>
          <w:color w:val="000000" w:themeColor="text1"/>
          <w:sz w:val="24"/>
          <w:szCs w:val="24"/>
        </w:rPr>
        <w:t xml:space="preserve"> i polegającą na zastąpieniu wyrazu „telekomunikacji” wyraza</w:t>
      </w:r>
      <w:r w:rsidR="00D3663D" w:rsidRPr="00CE1978">
        <w:rPr>
          <w:rFonts w:ascii="Times New Roman" w:eastAsia="Times New Roman" w:hAnsi="Times New Roman" w:cs="Times New Roman"/>
          <w:color w:val="000000" w:themeColor="text1"/>
          <w:sz w:val="24"/>
          <w:szCs w:val="24"/>
        </w:rPr>
        <w:t>mi „komunikacji elektronicznej”;</w:t>
      </w:r>
    </w:p>
    <w:p w14:paraId="65CEFA1C" w14:textId="7E2E6413" w:rsidR="15867025" w:rsidRPr="00CE1978" w:rsidRDefault="70497807"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ustawie z dnia 13 kwietnia 2007 r. o kompatybilności elektromagnetycznej </w:t>
      </w:r>
    </w:p>
    <w:p w14:paraId="505DE667" w14:textId="45EAD17D" w:rsidR="70497807" w:rsidRPr="00CE1978" w:rsidRDefault="70497807"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W porównaniu do dotychczas obowiązującego brzmienia art. 5 ustawy o kompatybilności elektromagnetycznej zaktualizowano katalog urządzeń, do których nie stosuje się przepisów tej ustawy. Katalog uregulowany w art. 5 stanowi wdrożenie art. 2 ust. 2 dyrektywy Parlamentu Europejskiego i Rady 2014/30/UE z dnia 26 lutego 2014 r. w sprawie harmonizacji ustawodawstw państw członkowskich odnoszących się do kompatybilności elektromagnetycznej</w:t>
      </w:r>
      <w:r w:rsidR="00D165E1" w:rsidRPr="00CE1978">
        <w:rPr>
          <w:rFonts w:ascii="Times New Roman" w:eastAsia="Times New Roman" w:hAnsi="Times New Roman" w:cs="Times New Roman"/>
          <w:color w:val="000000" w:themeColor="text1"/>
          <w:sz w:val="24"/>
          <w:szCs w:val="24"/>
        </w:rPr>
        <w:t xml:space="preserve"> (Dz. Urz. UE L 96 z 29.03.2014, str. 79)</w:t>
      </w:r>
      <w:r w:rsidRPr="00CE1978">
        <w:rPr>
          <w:rFonts w:ascii="Times New Roman" w:eastAsia="Times New Roman" w:hAnsi="Times New Roman" w:cs="Times New Roman"/>
          <w:color w:val="000000" w:themeColor="text1"/>
          <w:sz w:val="24"/>
          <w:szCs w:val="24"/>
        </w:rPr>
        <w:t xml:space="preserve">. Dyrektywa ta została znowelizowana </w:t>
      </w:r>
      <w:r w:rsidRPr="00CE1978">
        <w:rPr>
          <w:rFonts w:ascii="Times New Roman" w:eastAsia="Times New Roman" w:hAnsi="Times New Roman" w:cs="Times New Roman"/>
          <w:iCs/>
          <w:color w:val="000000" w:themeColor="text1"/>
          <w:sz w:val="24"/>
          <w:szCs w:val="24"/>
        </w:rPr>
        <w:t>rozporządzeniem Parlamentu Europejskiego i</w:t>
      </w:r>
      <w:r w:rsidR="00532F3A">
        <w:rPr>
          <w:rFonts w:ascii="Times New Roman" w:eastAsia="Times New Roman" w:hAnsi="Times New Roman" w:cs="Times New Roman"/>
          <w:iCs/>
          <w:color w:val="000000" w:themeColor="text1"/>
          <w:sz w:val="24"/>
          <w:szCs w:val="24"/>
        </w:rPr>
        <w:t xml:space="preserve"> </w:t>
      </w:r>
      <w:r w:rsidRPr="00532F3A">
        <w:rPr>
          <w:rFonts w:ascii="Times New Roman" w:eastAsia="Times New Roman" w:hAnsi="Times New Roman" w:cs="Times New Roman"/>
          <w:iCs/>
          <w:color w:val="000000" w:themeColor="text1"/>
          <w:sz w:val="24"/>
          <w:szCs w:val="24"/>
        </w:rPr>
        <w:t xml:space="preserve">Rady (UE) 2018/1139 z dnia 4 lipca 2018 r. w sprawie wspólnych zasad w dziedzinie lotnictwa cywilnego i utworzenia </w:t>
      </w:r>
      <w:r w:rsidRPr="00532F3A">
        <w:rPr>
          <w:rFonts w:ascii="Times New Roman" w:eastAsia="Times New Roman" w:hAnsi="Times New Roman" w:cs="Times New Roman"/>
          <w:iCs/>
          <w:color w:val="000000" w:themeColor="text1"/>
          <w:sz w:val="24"/>
          <w:szCs w:val="24"/>
        </w:rPr>
        <w:lastRenderedPageBreak/>
        <w:t>Agencji Unii Europejskiej ds. Bezpieczeństwa Lotniczego oraz zmieniającym rozporządzenia Parlamentu Europejskiego i Rady (WE) nr 2111/2005, (WE) nr 1008/2008, (UE) nr 996/2010, (UE) nr 376/2014 i dyrektywy Parlamentu Europejskiego i</w:t>
      </w:r>
      <w:r w:rsidR="00532F3A">
        <w:rPr>
          <w:rFonts w:ascii="Times New Roman" w:eastAsia="Times New Roman" w:hAnsi="Times New Roman" w:cs="Times New Roman"/>
          <w:iCs/>
          <w:color w:val="000000" w:themeColor="text1"/>
          <w:sz w:val="24"/>
          <w:szCs w:val="24"/>
        </w:rPr>
        <w:t xml:space="preserve"> </w:t>
      </w:r>
      <w:r w:rsidRPr="00532F3A">
        <w:rPr>
          <w:rFonts w:ascii="Times New Roman" w:eastAsia="Times New Roman" w:hAnsi="Times New Roman" w:cs="Times New Roman"/>
          <w:iCs/>
          <w:color w:val="000000" w:themeColor="text1"/>
          <w:sz w:val="24"/>
          <w:szCs w:val="24"/>
        </w:rPr>
        <w:t>Rady 2014/30/UE i 2014/53/UE, a także uchylające rozporządzenia Parlamentu Europejskiego i Rady (WE) nr 552/2004 i (WE) nr 216/2008 i rozporządzenie Rady (EWG) nr 3922/91</w:t>
      </w:r>
      <w:r w:rsidR="003F5FEB" w:rsidRPr="00532F3A">
        <w:rPr>
          <w:rFonts w:ascii="Times New Roman" w:eastAsia="Times New Roman" w:hAnsi="Times New Roman" w:cs="Times New Roman"/>
          <w:iCs/>
          <w:color w:val="000000" w:themeColor="text1"/>
          <w:sz w:val="24"/>
          <w:szCs w:val="24"/>
        </w:rPr>
        <w:t xml:space="preserve"> (Dz. Urz. UE L 212 z 22.08.2018, str. 1)</w:t>
      </w:r>
      <w:r w:rsidRPr="00CE1978">
        <w:rPr>
          <w:rFonts w:ascii="Times New Roman" w:eastAsia="Times New Roman" w:hAnsi="Times New Roman" w:cs="Times New Roman"/>
          <w:color w:val="000000" w:themeColor="text1"/>
          <w:sz w:val="24"/>
          <w:szCs w:val="24"/>
        </w:rPr>
        <w:t>.</w:t>
      </w:r>
    </w:p>
    <w:p w14:paraId="3D5CDC47" w14:textId="4585FF3F" w:rsidR="00160FF4" w:rsidRPr="00CE1978" w:rsidRDefault="48E5ED24"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w:t>
      </w:r>
      <w:r w:rsidR="70497807" w:rsidRPr="00C10C7D">
        <w:rPr>
          <w:rFonts w:ascii="Times New Roman" w:eastAsia="Times New Roman" w:hAnsi="Times New Roman" w:cs="Times New Roman"/>
          <w:color w:val="000000" w:themeColor="text1"/>
          <w:sz w:val="24"/>
          <w:szCs w:val="24"/>
        </w:rPr>
        <w:t xml:space="preserve"> 137 powyższego rozporządzenia zmienił katalog urządzeń, do których nie stosuje się dyrektywy 2014/30/UE, obejmując nim określone urządzenia będące wyposażeniem lotniczym </w:t>
      </w:r>
      <w:r w:rsidR="00532F3A">
        <w:rPr>
          <w:rFonts w:ascii="Times New Roman" w:eastAsia="Times New Roman" w:hAnsi="Times New Roman" w:cs="Times New Roman"/>
          <w:color w:val="000000" w:themeColor="text1"/>
          <w:sz w:val="24"/>
          <w:szCs w:val="24"/>
        </w:rPr>
        <w:t>–</w:t>
      </w:r>
      <w:r w:rsidR="70497807" w:rsidRPr="00532F3A">
        <w:rPr>
          <w:rFonts w:ascii="Times New Roman" w:eastAsia="Times New Roman" w:hAnsi="Times New Roman" w:cs="Times New Roman"/>
          <w:color w:val="000000" w:themeColor="text1"/>
          <w:sz w:val="24"/>
          <w:szCs w:val="24"/>
        </w:rPr>
        <w:t xml:space="preserve"> statki powietrzne inne niż bezzałogowe statki powietrzne, a także związane z nimi silniki, śmigła, części i wyposażenie nieinstalowane oraz bezzałogowe statki powietrzne, a także związane z nimi silniki, śmigła, części i wyposażenie nieinstalowane, których projekt jest certyfikowany zgodnie z art. 56 ust. 1 tego rozporządzenia i które są</w:t>
      </w:r>
      <w:r w:rsidR="70497807" w:rsidRPr="00CE1978">
        <w:rPr>
          <w:rFonts w:ascii="Times New Roman" w:eastAsia="Times New Roman" w:hAnsi="Times New Roman" w:cs="Times New Roman"/>
          <w:color w:val="000000" w:themeColor="text1"/>
          <w:sz w:val="24"/>
          <w:szCs w:val="24"/>
        </w:rPr>
        <w:t xml:space="preserve"> przeznaczone jedynie do działania na częstotliwościach wykorzystywanych w lotnictwie, zgodnie z przeznaczeniem określonym w Krajowej Tablicy Przeznaczeń Częstotliwości. Zmiana ta znalazła odzwierciedlenie w projektowanym art. 5 pkt 7 ustawy o kompatybilności elektromagnetycznej.</w:t>
      </w:r>
    </w:p>
    <w:p w14:paraId="2E7B67FC" w14:textId="77777777" w:rsidR="00DA7060" w:rsidRPr="00C10C7D" w:rsidRDefault="00A706E6" w:rsidP="00F91F34">
      <w:pPr>
        <w:spacing w:before="120" w:after="0" w:line="360" w:lineRule="auto"/>
        <w:jc w:val="both"/>
        <w:rPr>
          <w:rFonts w:ascii="Times New Roman" w:eastAsia="Times New Roman" w:hAnsi="Times New Roman" w:cs="Times New Roman"/>
          <w:b/>
          <w:bCs/>
          <w:color w:val="000000" w:themeColor="text1"/>
          <w:sz w:val="24"/>
          <w:szCs w:val="24"/>
        </w:rPr>
      </w:pPr>
      <w:r w:rsidRPr="00C10C7D">
        <w:rPr>
          <w:rFonts w:ascii="Times New Roman" w:hAnsi="Times New Roman" w:cs="Times New Roman"/>
          <w:color w:val="000000" w:themeColor="text1"/>
          <w:sz w:val="24"/>
          <w:szCs w:val="24"/>
        </w:rPr>
        <w:t>N</w:t>
      </w:r>
      <w:r w:rsidR="00DA7060" w:rsidRPr="00C10C7D">
        <w:rPr>
          <w:rFonts w:ascii="Times New Roman" w:hAnsi="Times New Roman" w:cs="Times New Roman"/>
          <w:color w:val="000000" w:themeColor="text1"/>
          <w:sz w:val="24"/>
          <w:szCs w:val="24"/>
        </w:rPr>
        <w:t>a wzór regulacji zawartych w Pke dotyczących w</w:t>
      </w:r>
      <w:r w:rsidR="001F5DF4" w:rsidRPr="00C10C7D">
        <w:rPr>
          <w:rFonts w:ascii="Times New Roman" w:hAnsi="Times New Roman" w:cs="Times New Roman"/>
          <w:color w:val="000000" w:themeColor="text1"/>
          <w:sz w:val="24"/>
          <w:szCs w:val="24"/>
        </w:rPr>
        <w:t>y</w:t>
      </w:r>
      <w:r w:rsidR="00DA7060" w:rsidRPr="00C10C7D">
        <w:rPr>
          <w:rFonts w:ascii="Times New Roman" w:hAnsi="Times New Roman" w:cs="Times New Roman"/>
          <w:color w:val="000000" w:themeColor="text1"/>
          <w:sz w:val="24"/>
          <w:szCs w:val="24"/>
        </w:rPr>
        <w:t xml:space="preserve">łączeń od obowiązków </w:t>
      </w:r>
      <w:r w:rsidRPr="00C10C7D">
        <w:rPr>
          <w:rFonts w:ascii="Times New Roman" w:hAnsi="Times New Roman" w:cs="Times New Roman"/>
          <w:color w:val="000000" w:themeColor="text1"/>
          <w:sz w:val="24"/>
          <w:szCs w:val="24"/>
        </w:rPr>
        <w:t xml:space="preserve">stosowania wymagań określonych w dyrektywie 2014/53/UE </w:t>
      </w:r>
      <w:r w:rsidR="001F5DF4" w:rsidRPr="00C10C7D">
        <w:rPr>
          <w:rFonts w:ascii="Times New Roman" w:hAnsi="Times New Roman" w:cs="Times New Roman"/>
          <w:color w:val="000000" w:themeColor="text1"/>
          <w:sz w:val="24"/>
          <w:szCs w:val="24"/>
        </w:rPr>
        <w:t>dotyczącej</w:t>
      </w:r>
      <w:r w:rsidRPr="00C10C7D">
        <w:rPr>
          <w:rFonts w:ascii="Times New Roman" w:hAnsi="Times New Roman" w:cs="Times New Roman"/>
          <w:color w:val="000000" w:themeColor="text1"/>
          <w:sz w:val="24"/>
          <w:szCs w:val="24"/>
        </w:rPr>
        <w:t xml:space="preserve"> urządzeń radiowych,</w:t>
      </w:r>
      <w:r w:rsidR="00DA7060" w:rsidRPr="00C10C7D">
        <w:rPr>
          <w:rFonts w:ascii="Times New Roman" w:hAnsi="Times New Roman" w:cs="Times New Roman"/>
          <w:color w:val="000000" w:themeColor="text1"/>
          <w:sz w:val="24"/>
          <w:szCs w:val="24"/>
        </w:rPr>
        <w:t xml:space="preserve"> </w:t>
      </w:r>
      <w:r w:rsidRPr="00C10C7D">
        <w:rPr>
          <w:rFonts w:ascii="Times New Roman" w:hAnsi="Times New Roman" w:cs="Times New Roman"/>
          <w:color w:val="000000" w:themeColor="text1"/>
          <w:sz w:val="24"/>
          <w:szCs w:val="24"/>
        </w:rPr>
        <w:t xml:space="preserve">wyłączenie </w:t>
      </w:r>
      <w:r w:rsidR="001F5DF4" w:rsidRPr="00C10C7D">
        <w:rPr>
          <w:rFonts w:ascii="Times New Roman" w:hAnsi="Times New Roman" w:cs="Times New Roman"/>
          <w:color w:val="000000" w:themeColor="text1"/>
          <w:sz w:val="24"/>
          <w:szCs w:val="24"/>
        </w:rPr>
        <w:t xml:space="preserve">od stosowania wymagań w zakresie kompatybilności elektromagnetycznej </w:t>
      </w:r>
      <w:r w:rsidRPr="00C10C7D">
        <w:rPr>
          <w:rFonts w:ascii="Times New Roman" w:hAnsi="Times New Roman" w:cs="Times New Roman"/>
          <w:color w:val="000000" w:themeColor="text1"/>
          <w:sz w:val="24"/>
          <w:szCs w:val="24"/>
        </w:rPr>
        <w:t xml:space="preserve">będzie dotyczyło również </w:t>
      </w:r>
      <w:r w:rsidR="00DA7060" w:rsidRPr="00C10C7D">
        <w:rPr>
          <w:rFonts w:ascii="Times New Roman" w:hAnsi="Times New Roman" w:cs="Times New Roman"/>
          <w:color w:val="000000" w:themeColor="text1"/>
          <w:sz w:val="24"/>
          <w:szCs w:val="24"/>
        </w:rPr>
        <w:t>wyposażeni</w:t>
      </w:r>
      <w:r w:rsidRPr="00C10C7D">
        <w:rPr>
          <w:rFonts w:ascii="Times New Roman" w:hAnsi="Times New Roman" w:cs="Times New Roman"/>
          <w:color w:val="000000" w:themeColor="text1"/>
          <w:sz w:val="24"/>
          <w:szCs w:val="24"/>
        </w:rPr>
        <w:t>a lotniczego</w:t>
      </w:r>
      <w:r w:rsidR="00DA7060" w:rsidRPr="00C10C7D">
        <w:rPr>
          <w:rFonts w:ascii="Times New Roman" w:hAnsi="Times New Roman" w:cs="Times New Roman"/>
          <w:color w:val="000000" w:themeColor="text1"/>
          <w:sz w:val="24"/>
          <w:szCs w:val="24"/>
        </w:rPr>
        <w:t xml:space="preserve"> objętego przepisami ustawy z dnia 3 lipca 2002 r. – Prawo lotnicze. Dotyczy to urządzeń, które nie są regulowane prawem unijnym. </w:t>
      </w:r>
    </w:p>
    <w:p w14:paraId="4F51005E" w14:textId="1477231D" w:rsidR="00896875" w:rsidRPr="00CE1978" w:rsidRDefault="2B53A3B2" w:rsidP="00F91F34">
      <w:pPr>
        <w:spacing w:before="120" w:after="0" w:line="360" w:lineRule="auto"/>
        <w:jc w:val="both"/>
        <w:rPr>
          <w:rFonts w:ascii="Times New Roman" w:eastAsia="Times" w:hAnsi="Times New Roman" w:cs="Times New Roman"/>
          <w:color w:val="000000" w:themeColor="text1"/>
          <w:sz w:val="24"/>
          <w:szCs w:val="24"/>
        </w:rPr>
      </w:pPr>
      <w:r w:rsidRPr="00C10C7D">
        <w:rPr>
          <w:rFonts w:ascii="Times New Roman" w:hAnsi="Times New Roman" w:cs="Times New Roman"/>
          <w:color w:val="000000" w:themeColor="text1"/>
          <w:sz w:val="24"/>
          <w:szCs w:val="24"/>
        </w:rPr>
        <w:t xml:space="preserve">Ponadto, w art. 5 dodano pkt 9 wskazujący, iż </w:t>
      </w:r>
      <w:r w:rsidR="3E0334BC" w:rsidRPr="00CE1978">
        <w:rPr>
          <w:rFonts w:ascii="Times New Roman" w:hAnsi="Times New Roman" w:cs="Times New Roman"/>
          <w:color w:val="000000" w:themeColor="text1"/>
          <w:sz w:val="24"/>
          <w:szCs w:val="24"/>
        </w:rPr>
        <w:t>pr</w:t>
      </w:r>
      <w:r w:rsidR="3E0334BC" w:rsidRPr="00CE1978">
        <w:rPr>
          <w:rFonts w:ascii="Times New Roman" w:eastAsia="Times New Roman" w:hAnsi="Times New Roman" w:cs="Times New Roman"/>
          <w:color w:val="000000" w:themeColor="text1"/>
          <w:sz w:val="24"/>
          <w:szCs w:val="24"/>
        </w:rPr>
        <w:t xml:space="preserve">zepisów ustawy o kompatybilności elektromagnetycznej nie stosuje się także do </w:t>
      </w:r>
      <w:r w:rsidR="4FFCF395" w:rsidRPr="00CE1978">
        <w:rPr>
          <w:rFonts w:ascii="Times New Roman" w:eastAsia="Times New Roman" w:hAnsi="Times New Roman" w:cs="Times New Roman"/>
          <w:color w:val="000000" w:themeColor="text1"/>
          <w:sz w:val="24"/>
          <w:szCs w:val="24"/>
        </w:rPr>
        <w:t>w</w:t>
      </w:r>
      <w:r w:rsidR="2A92BB7A" w:rsidRPr="00CE1978">
        <w:rPr>
          <w:rFonts w:ascii="Times New Roman" w:eastAsia="Times New Roman" w:hAnsi="Times New Roman" w:cs="Times New Roman"/>
          <w:color w:val="000000" w:themeColor="text1"/>
          <w:sz w:val="24"/>
          <w:szCs w:val="24"/>
        </w:rPr>
        <w:t>y</w:t>
      </w:r>
      <w:r w:rsidR="3E0334BC" w:rsidRPr="00CE1978">
        <w:rPr>
          <w:rFonts w:ascii="Times New Roman" w:eastAsia="Times New Roman" w:hAnsi="Times New Roman" w:cs="Times New Roman"/>
          <w:color w:val="000000" w:themeColor="text1"/>
          <w:sz w:val="24"/>
          <w:szCs w:val="24"/>
        </w:rPr>
        <w:t xml:space="preserve">robów przeznaczonych na potrzeby obronności i bezpieczeństwa państwa, do których stosuje się przepisy ustawy z dnia 17 listopada 2006 r. o systemie oceny zgodności wyrobów przeznaczonych na potrzeby obronności i bezpieczeństwa państwa. </w:t>
      </w:r>
      <w:r w:rsidR="1D1A93E3" w:rsidRPr="00CE1978">
        <w:rPr>
          <w:rFonts w:ascii="Times New Roman" w:eastAsia="Times New Roman" w:hAnsi="Times New Roman" w:cs="Times New Roman"/>
          <w:color w:val="000000" w:themeColor="text1"/>
          <w:sz w:val="24"/>
          <w:szCs w:val="24"/>
        </w:rPr>
        <w:t xml:space="preserve">Jest to regulacja wzorowana na dotychczas obowiązującym art. </w:t>
      </w:r>
      <w:r w:rsidR="35B5FC92" w:rsidRPr="00CE1978">
        <w:rPr>
          <w:rFonts w:ascii="Times New Roman" w:eastAsia="Times New Roman" w:hAnsi="Times New Roman" w:cs="Times New Roman"/>
          <w:color w:val="000000" w:themeColor="text1"/>
          <w:sz w:val="24"/>
          <w:szCs w:val="24"/>
        </w:rPr>
        <w:t>152a Pt, przeniesionym do Pke. Należy wskazać, że w/w ustawa oraz wydane na jej podstawie przepisy wykonawcze</w:t>
      </w:r>
      <w:r w:rsidR="74C9AA6D" w:rsidRPr="00CE1978">
        <w:rPr>
          <w:rFonts w:ascii="Times New Roman" w:eastAsia="Times New Roman" w:hAnsi="Times New Roman" w:cs="Times New Roman"/>
          <w:color w:val="000000" w:themeColor="text1"/>
          <w:sz w:val="24"/>
          <w:szCs w:val="24"/>
        </w:rPr>
        <w:t>, ze względu na specyfikę regulowanych nimi wyrobów,</w:t>
      </w:r>
      <w:r w:rsidR="35B5FC92" w:rsidRPr="00CE1978">
        <w:rPr>
          <w:rFonts w:ascii="Times New Roman" w:eastAsia="Times New Roman" w:hAnsi="Times New Roman" w:cs="Times New Roman"/>
          <w:color w:val="000000" w:themeColor="text1"/>
          <w:sz w:val="24"/>
          <w:szCs w:val="24"/>
        </w:rPr>
        <w:t xml:space="preserve"> określają </w:t>
      </w:r>
      <w:r w:rsidR="0CA8FBD0" w:rsidRPr="00CE1978">
        <w:rPr>
          <w:rFonts w:ascii="Times New Roman" w:eastAsia="Times New Roman" w:hAnsi="Times New Roman" w:cs="Times New Roman"/>
          <w:color w:val="000000" w:themeColor="text1"/>
          <w:sz w:val="24"/>
          <w:szCs w:val="24"/>
        </w:rPr>
        <w:t xml:space="preserve">m.in. wymagania dla tych wyrobów. </w:t>
      </w:r>
      <w:r w:rsidR="169E39AE" w:rsidRPr="00CE1978">
        <w:rPr>
          <w:rFonts w:ascii="Times New Roman" w:eastAsia="Times New Roman" w:hAnsi="Times New Roman" w:cs="Times New Roman"/>
          <w:color w:val="000000" w:themeColor="text1"/>
          <w:sz w:val="24"/>
          <w:szCs w:val="24"/>
        </w:rPr>
        <w:t>s</w:t>
      </w:r>
      <w:r w:rsidR="169E39AE" w:rsidRPr="00CE1978">
        <w:rPr>
          <w:rFonts w:ascii="Times New Roman" w:eastAsia="Times" w:hAnsi="Times New Roman" w:cs="Times New Roman"/>
          <w:color w:val="000000" w:themeColor="text1"/>
          <w:sz w:val="24"/>
          <w:szCs w:val="24"/>
        </w:rPr>
        <w:t xml:space="preserve">posób i tryb </w:t>
      </w:r>
      <w:r w:rsidR="00D3663D" w:rsidRPr="00CE1978">
        <w:rPr>
          <w:rFonts w:ascii="Times New Roman" w:eastAsia="Times" w:hAnsi="Times New Roman" w:cs="Times New Roman"/>
          <w:color w:val="000000" w:themeColor="text1"/>
          <w:sz w:val="24"/>
          <w:szCs w:val="24"/>
        </w:rPr>
        <w:t>przeprowadzania oceny zgodności;</w:t>
      </w:r>
    </w:p>
    <w:p w14:paraId="7187FD79" w14:textId="781D81EF" w:rsidR="31DC7F7E" w:rsidRPr="00CE1978" w:rsidRDefault="31DC7F7E"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b/>
          <w:color w:val="000000" w:themeColor="text1"/>
          <w:sz w:val="24"/>
          <w:szCs w:val="24"/>
        </w:rPr>
      </w:pPr>
      <w:r w:rsidRPr="00CE1978">
        <w:rPr>
          <w:rFonts w:ascii="Times New Roman" w:eastAsia="Times New Roman" w:hAnsi="Times New Roman" w:cs="Times New Roman"/>
          <w:b/>
          <w:color w:val="000000" w:themeColor="text1"/>
          <w:sz w:val="24"/>
          <w:szCs w:val="24"/>
        </w:rPr>
        <w:t>ustawie z dnia 26 kwietnia 2007 r. o zarządzaniu kryzysowym</w:t>
      </w:r>
    </w:p>
    <w:p w14:paraId="0913F74F" w14:textId="7E15EF6D" w:rsidR="31DC7F7E" w:rsidRPr="00CE1978" w:rsidRDefault="31DC7F7E"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Proponuje się dodanie przepisu, który umożliwia niewysyłanie operatorowi komunikatu </w:t>
      </w:r>
      <w:r w:rsidR="005E0F4A" w:rsidRPr="00CE1978">
        <w:rPr>
          <w:rFonts w:ascii="Times New Roman" w:eastAsia="Times New Roman" w:hAnsi="Times New Roman" w:cs="Times New Roman"/>
          <w:color w:val="000000" w:themeColor="text1"/>
          <w:sz w:val="24"/>
          <w:szCs w:val="24"/>
        </w:rPr>
        <w:t xml:space="preserve">o zagrożeniu </w:t>
      </w:r>
      <w:r w:rsidRPr="00CE1978">
        <w:rPr>
          <w:rFonts w:ascii="Times New Roman" w:eastAsia="Times New Roman" w:hAnsi="Times New Roman" w:cs="Times New Roman"/>
          <w:color w:val="000000" w:themeColor="text1"/>
          <w:sz w:val="24"/>
          <w:szCs w:val="24"/>
        </w:rPr>
        <w:t xml:space="preserve">do kart SIM zainstalowanych i </w:t>
      </w:r>
      <w:r w:rsidR="005E0F4A" w:rsidRPr="00CE1978">
        <w:rPr>
          <w:rFonts w:ascii="Times New Roman" w:eastAsia="Times New Roman" w:hAnsi="Times New Roman" w:cs="Times New Roman"/>
          <w:color w:val="000000" w:themeColor="text1"/>
          <w:sz w:val="24"/>
          <w:szCs w:val="24"/>
        </w:rPr>
        <w:t>używanych</w:t>
      </w:r>
      <w:r w:rsidR="00A410D7" w:rsidRPr="00CE1978">
        <w:rPr>
          <w:rFonts w:ascii="Times New Roman" w:eastAsia="Times New Roman" w:hAnsi="Times New Roman" w:cs="Times New Roman"/>
          <w:color w:val="000000" w:themeColor="text1"/>
          <w:sz w:val="24"/>
          <w:szCs w:val="24"/>
        </w:rPr>
        <w:t xml:space="preserve"> w urządzeniach, które są </w:t>
      </w:r>
      <w:r w:rsidR="00A410D7" w:rsidRPr="00CE1978">
        <w:rPr>
          <w:rFonts w:ascii="Times New Roman" w:eastAsia="Times New Roman" w:hAnsi="Times New Roman" w:cs="Times New Roman"/>
          <w:color w:val="000000" w:themeColor="text1"/>
          <w:sz w:val="24"/>
          <w:szCs w:val="24"/>
        </w:rPr>
        <w:lastRenderedPageBreak/>
        <w:t xml:space="preserve">wykorzystywane wyłącznie do świadczenia usług komunikacji maszyna-maszyna, w szczególności </w:t>
      </w:r>
      <w:r w:rsidR="00F52D0B" w:rsidRPr="00CE1978">
        <w:rPr>
          <w:rFonts w:ascii="Times New Roman" w:eastAsia="Times New Roman" w:hAnsi="Times New Roman" w:cs="Times New Roman"/>
          <w:color w:val="000000" w:themeColor="text1"/>
          <w:sz w:val="24"/>
          <w:szCs w:val="24"/>
        </w:rPr>
        <w:t xml:space="preserve">w </w:t>
      </w:r>
      <w:r w:rsidR="00A410D7" w:rsidRPr="00CE1978">
        <w:rPr>
          <w:rFonts w:ascii="Times New Roman" w:eastAsia="Times New Roman" w:hAnsi="Times New Roman" w:cs="Times New Roman"/>
          <w:color w:val="000000" w:themeColor="text1"/>
          <w:sz w:val="24"/>
          <w:szCs w:val="24"/>
        </w:rPr>
        <w:t xml:space="preserve">urządzeniach </w:t>
      </w:r>
      <w:r w:rsidRPr="00CE1978">
        <w:rPr>
          <w:rFonts w:ascii="Times New Roman" w:eastAsia="Times New Roman" w:hAnsi="Times New Roman" w:cs="Times New Roman"/>
          <w:color w:val="000000" w:themeColor="text1"/>
          <w:sz w:val="24"/>
          <w:szCs w:val="24"/>
        </w:rPr>
        <w:t>telemetrycznych, np. miernikach, lokalizatorach GPS i innych urządzeniach przesyłających na odległość dane pomiarowe.</w:t>
      </w:r>
    </w:p>
    <w:p w14:paraId="5E0337FC" w14:textId="77777777" w:rsidR="31DC7F7E" w:rsidRPr="00CE1978" w:rsidRDefault="31DC7F7E"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Powszechne jest bowiem gromadzenie danych, pozwalających na skuteczniejsze ich wykorzystywanie i w rezultacie optymalizacje procesów, w jakich są one wykorzystywane. Telemetria znajduje zastosowanie w procesach, które na bieżąco kontrolują dane dotyczące funkcjonowania elementów systemów wielu przedsiębiorstw. Zastosowanie systemów z kartami SIM (telemetrycznymi) umożliwia na bieżąco otrzymywanie informacji o działaniu poszczególnych systemów. Dostęp do bieżących danych, obrazujących działanie poszczególnych elementów, pozwala na dokonywanie stosownych zmian w zachodzących procesach w czasie rzeczywistym. Ponadto w przypadku awarii jakiegoś elementu systemu – osoby odpowiedzialne otrzymują o tym informację – mogą więc natychmiast podjąć stosowne działania naprawcze. </w:t>
      </w:r>
    </w:p>
    <w:p w14:paraId="3C87B7C8" w14:textId="77777777" w:rsidR="31DC7F7E" w:rsidRPr="00CE1978" w:rsidRDefault="31DC7F7E"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Innym przykładem jest system lokalizacji GPS za pomocą kart SIM (telemetrycznych). Znajduje on zastosowanie zarówno w monitorowaniu transportu drogowego jak i w zdalnym określaniu lokalizacji pojazdów. Stosowanie takiego rozwiązania przynosi korzyść w postaci stałego monitoringu pojazdów i zdolności optymalizowania ich tras. Możliwe jest również monitorowanie parametrów funkcjonowania tych pojazdów, np. poziomu paliwa, prędkości z jakimi się poruszają, czy też liczby przejechanych kilometrów.</w:t>
      </w:r>
    </w:p>
    <w:p w14:paraId="3DA24973" w14:textId="77777777" w:rsidR="31DC7F7E" w:rsidRPr="00CE1978" w:rsidRDefault="31DC7F7E"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Powyżej wskazano tylko dwa przykłady używania kart SIM operatorów, na które nie ma potrzeby wysyłania ALERT-ów RCB. Projekt przewiduje, iż operator, stosownie do swoich możliwości technicznych, może podjąć decyzję o niewysyłaniu komunikatu do użytkownika końcowego, jeżeli będzie to karta SIM znajdującą się w urządzeniu</w:t>
      </w:r>
      <w:r w:rsidR="00A410D7" w:rsidRPr="00CE1978">
        <w:rPr>
          <w:rFonts w:ascii="Times New Roman" w:eastAsia="Times New Roman" w:hAnsi="Times New Roman" w:cs="Times New Roman"/>
          <w:color w:val="000000" w:themeColor="text1"/>
          <w:sz w:val="24"/>
          <w:szCs w:val="24"/>
        </w:rPr>
        <w:t xml:space="preserve"> służącym wyłącznie do świadczenia usług komunikacji maszyna-maszyna</w:t>
      </w:r>
      <w:r w:rsidRPr="00CE1978">
        <w:rPr>
          <w:rFonts w:ascii="Times New Roman" w:eastAsia="Times New Roman" w:hAnsi="Times New Roman" w:cs="Times New Roman"/>
          <w:color w:val="000000" w:themeColor="text1"/>
          <w:sz w:val="24"/>
          <w:szCs w:val="24"/>
        </w:rPr>
        <w:t xml:space="preserve">. </w:t>
      </w:r>
    </w:p>
    <w:p w14:paraId="15E899CC" w14:textId="5A495798" w:rsidR="00BA08D4" w:rsidRPr="00CE1978" w:rsidRDefault="31DC7F7E"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Proponowane rozwiązanie pozwoli wysyłać komunikaty przede wszystkim do osób fi</w:t>
      </w:r>
      <w:r w:rsidR="006070AC" w:rsidRPr="00CE1978">
        <w:rPr>
          <w:rFonts w:ascii="Times New Roman" w:eastAsia="Times New Roman" w:hAnsi="Times New Roman" w:cs="Times New Roman"/>
          <w:color w:val="000000" w:themeColor="text1"/>
          <w:sz w:val="24"/>
          <w:szCs w:val="24"/>
        </w:rPr>
        <w:t>zycznych na zagrożonym obszarze;</w:t>
      </w:r>
    </w:p>
    <w:p w14:paraId="1760D27F" w14:textId="2C953519" w:rsidR="75B895FB" w:rsidRPr="00CE1978" w:rsidRDefault="6341D9F9"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ustawie z dnia 7 maja 2010 r. o wspieraniu rozwoju usług i sieci telekomunikacyjnych</w:t>
      </w:r>
    </w:p>
    <w:p w14:paraId="78780C21" w14:textId="1F6B2422" w:rsidR="004367D8" w:rsidRPr="00CE1978" w:rsidRDefault="75B895FB"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Art.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Pr="00CE1978">
        <w:rPr>
          <w:rFonts w:ascii="Times New Roman" w:eastAsia="Times New Roman" w:hAnsi="Times New Roman" w:cs="Times New Roman"/>
          <w:b/>
          <w:bCs/>
          <w:color w:val="000000" w:themeColor="text1"/>
          <w:sz w:val="24"/>
          <w:szCs w:val="24"/>
        </w:rPr>
        <w:t>pk</w:t>
      </w:r>
      <w:r w:rsidR="00264C01" w:rsidRPr="00CE1978">
        <w:rPr>
          <w:rFonts w:ascii="Times New Roman" w:eastAsia="Times New Roman" w:hAnsi="Times New Roman" w:cs="Times New Roman"/>
          <w:b/>
          <w:bCs/>
          <w:color w:val="000000" w:themeColor="text1"/>
          <w:sz w:val="24"/>
          <w:szCs w:val="24"/>
        </w:rPr>
        <w:t>t 1</w:t>
      </w:r>
      <w:r w:rsidRPr="00CE1978">
        <w:rPr>
          <w:rFonts w:ascii="Times New Roman" w:eastAsia="Times New Roman" w:hAnsi="Times New Roman" w:cs="Times New Roman"/>
          <w:b/>
          <w:bCs/>
          <w:color w:val="000000" w:themeColor="text1"/>
          <w:sz w:val="24"/>
          <w:szCs w:val="24"/>
        </w:rPr>
        <w:t xml:space="preserve">, </w:t>
      </w:r>
      <w:r w:rsidRPr="00CE1978">
        <w:rPr>
          <w:rFonts w:ascii="Times New Roman" w:eastAsia="Times New Roman" w:hAnsi="Times New Roman" w:cs="Times New Roman"/>
          <w:b/>
          <w:color w:val="000000" w:themeColor="text1"/>
          <w:sz w:val="24"/>
          <w:szCs w:val="24"/>
        </w:rPr>
        <w:t>pkt 3</w:t>
      </w:r>
      <w:r w:rsidR="00934B74" w:rsidRPr="00CE1978">
        <w:rPr>
          <w:rFonts w:ascii="Times New Roman" w:hAnsi="Times New Roman" w:cs="Times New Roman"/>
          <w:color w:val="000000" w:themeColor="text1"/>
          <w:sz w:val="24"/>
          <w:szCs w:val="24"/>
        </w:rPr>
        <w:t>–</w:t>
      </w:r>
      <w:r w:rsidRPr="00CE1978">
        <w:rPr>
          <w:rFonts w:ascii="Times New Roman" w:eastAsia="Times New Roman" w:hAnsi="Times New Roman" w:cs="Times New Roman"/>
          <w:b/>
          <w:color w:val="000000" w:themeColor="text1"/>
          <w:sz w:val="24"/>
          <w:szCs w:val="24"/>
        </w:rPr>
        <w:t>7</w:t>
      </w:r>
      <w:r w:rsidR="00A92FAA" w:rsidRPr="00CE1978">
        <w:rPr>
          <w:rFonts w:ascii="Times New Roman" w:eastAsia="Times New Roman" w:hAnsi="Times New Roman" w:cs="Times New Roman"/>
          <w:b/>
          <w:color w:val="000000" w:themeColor="text1"/>
          <w:sz w:val="24"/>
          <w:szCs w:val="24"/>
        </w:rPr>
        <w:t xml:space="preserve">, </w:t>
      </w:r>
      <w:r w:rsidR="001D1241" w:rsidRPr="00CE1978">
        <w:rPr>
          <w:rFonts w:ascii="Times New Roman" w:eastAsia="Times New Roman" w:hAnsi="Times New Roman" w:cs="Times New Roman"/>
          <w:b/>
          <w:bCs/>
          <w:color w:val="000000" w:themeColor="text1"/>
          <w:sz w:val="24"/>
          <w:szCs w:val="24"/>
        </w:rPr>
        <w:t xml:space="preserve">pkt </w:t>
      </w:r>
      <w:r w:rsidR="002B7AAF" w:rsidRPr="00CE1978">
        <w:rPr>
          <w:rFonts w:ascii="Times New Roman" w:eastAsia="Times New Roman" w:hAnsi="Times New Roman" w:cs="Times New Roman"/>
          <w:b/>
          <w:bCs/>
          <w:color w:val="000000" w:themeColor="text1"/>
          <w:sz w:val="24"/>
          <w:szCs w:val="24"/>
        </w:rPr>
        <w:t>9</w:t>
      </w:r>
      <w:r w:rsidR="00934B74" w:rsidRPr="00CE1978">
        <w:rPr>
          <w:rFonts w:ascii="Times New Roman" w:hAnsi="Times New Roman" w:cs="Times New Roman"/>
          <w:color w:val="000000" w:themeColor="text1"/>
          <w:sz w:val="24"/>
          <w:szCs w:val="24"/>
        </w:rPr>
        <w:t>–</w:t>
      </w:r>
      <w:r w:rsidR="002B7AAF" w:rsidRPr="00CE1978">
        <w:rPr>
          <w:rFonts w:ascii="Times New Roman" w:eastAsia="Times New Roman" w:hAnsi="Times New Roman" w:cs="Times New Roman"/>
          <w:b/>
          <w:color w:val="000000" w:themeColor="text1"/>
          <w:sz w:val="24"/>
          <w:szCs w:val="24"/>
        </w:rPr>
        <w:t>10</w:t>
      </w:r>
      <w:r w:rsidR="00F80DC7" w:rsidRPr="00CE1978">
        <w:rPr>
          <w:rFonts w:ascii="Times New Roman" w:eastAsia="Times New Roman" w:hAnsi="Times New Roman" w:cs="Times New Roman"/>
          <w:b/>
          <w:bCs/>
          <w:color w:val="000000" w:themeColor="text1"/>
          <w:sz w:val="24"/>
          <w:szCs w:val="24"/>
        </w:rPr>
        <w:t xml:space="preserve">, </w:t>
      </w:r>
      <w:r w:rsidR="003C5289" w:rsidRPr="00CE1978">
        <w:rPr>
          <w:rFonts w:ascii="Times New Roman" w:eastAsia="Times New Roman" w:hAnsi="Times New Roman" w:cs="Times New Roman"/>
          <w:b/>
          <w:color w:val="000000" w:themeColor="text1"/>
          <w:sz w:val="24"/>
          <w:szCs w:val="24"/>
        </w:rPr>
        <w:t>pkt</w:t>
      </w:r>
      <w:r w:rsidRPr="00CE1978">
        <w:rPr>
          <w:rFonts w:ascii="Times New Roman" w:eastAsia="Times New Roman" w:hAnsi="Times New Roman" w:cs="Times New Roman"/>
          <w:b/>
          <w:color w:val="000000" w:themeColor="text1"/>
          <w:sz w:val="24"/>
          <w:szCs w:val="24"/>
        </w:rPr>
        <w:t xml:space="preserve"> </w:t>
      </w:r>
      <w:r w:rsidR="002B7AAF" w:rsidRPr="00CE1978">
        <w:rPr>
          <w:rFonts w:ascii="Times New Roman" w:eastAsia="Times New Roman" w:hAnsi="Times New Roman" w:cs="Times New Roman"/>
          <w:b/>
          <w:color w:val="000000" w:themeColor="text1"/>
          <w:sz w:val="24"/>
          <w:szCs w:val="24"/>
        </w:rPr>
        <w:t xml:space="preserve">13 </w:t>
      </w:r>
      <w:r w:rsidR="003C5289" w:rsidRPr="00CE1978">
        <w:rPr>
          <w:rFonts w:ascii="Times New Roman" w:eastAsia="Times New Roman" w:hAnsi="Times New Roman" w:cs="Times New Roman"/>
          <w:b/>
          <w:color w:val="000000" w:themeColor="text1"/>
          <w:sz w:val="24"/>
          <w:szCs w:val="24"/>
        </w:rPr>
        <w:t>lit. b</w:t>
      </w:r>
      <w:r w:rsidRPr="00CE1978">
        <w:rPr>
          <w:rFonts w:ascii="Times New Roman" w:eastAsia="Times New Roman" w:hAnsi="Times New Roman" w:cs="Times New Roman"/>
          <w:b/>
          <w:color w:val="000000" w:themeColor="text1"/>
          <w:sz w:val="24"/>
          <w:szCs w:val="24"/>
        </w:rPr>
        <w:t xml:space="preserve">, </w:t>
      </w:r>
      <w:r w:rsidR="002B7AAF" w:rsidRPr="00CE1978">
        <w:rPr>
          <w:rFonts w:ascii="Times New Roman" w:eastAsia="Times New Roman" w:hAnsi="Times New Roman" w:cs="Times New Roman"/>
          <w:b/>
          <w:bCs/>
          <w:color w:val="000000" w:themeColor="text1"/>
          <w:sz w:val="24"/>
          <w:szCs w:val="24"/>
        </w:rPr>
        <w:t>pkt 16</w:t>
      </w:r>
      <w:r w:rsidR="00571575" w:rsidRPr="00CE1978">
        <w:rPr>
          <w:rFonts w:ascii="Times New Roman" w:eastAsia="Times New Roman" w:hAnsi="Times New Roman" w:cs="Times New Roman"/>
          <w:b/>
          <w:bCs/>
          <w:color w:val="000000" w:themeColor="text1"/>
          <w:sz w:val="24"/>
          <w:szCs w:val="24"/>
        </w:rPr>
        <w:t xml:space="preserve"> lit. b, </w:t>
      </w:r>
      <w:r w:rsidR="002B7AAF" w:rsidRPr="00CE1978">
        <w:rPr>
          <w:rFonts w:ascii="Times New Roman" w:eastAsia="Times New Roman" w:hAnsi="Times New Roman" w:cs="Times New Roman"/>
          <w:b/>
          <w:bCs/>
          <w:color w:val="000000" w:themeColor="text1"/>
          <w:sz w:val="24"/>
          <w:szCs w:val="24"/>
        </w:rPr>
        <w:t>pkt 16</w:t>
      </w:r>
      <w:r w:rsidR="00571575" w:rsidRPr="00CE1978">
        <w:rPr>
          <w:rFonts w:ascii="Times New Roman" w:eastAsia="Times New Roman" w:hAnsi="Times New Roman" w:cs="Times New Roman"/>
          <w:b/>
          <w:bCs/>
          <w:color w:val="000000" w:themeColor="text1"/>
          <w:sz w:val="24"/>
          <w:szCs w:val="24"/>
        </w:rPr>
        <w:t xml:space="preserve"> lit. d</w:t>
      </w:r>
      <w:r w:rsidRPr="00CE1978">
        <w:rPr>
          <w:rFonts w:ascii="Times New Roman" w:eastAsia="Times New Roman" w:hAnsi="Times New Roman" w:cs="Times New Roman"/>
          <w:b/>
          <w:bCs/>
          <w:color w:val="000000" w:themeColor="text1"/>
          <w:sz w:val="24"/>
          <w:szCs w:val="24"/>
        </w:rPr>
        <w:t xml:space="preserve">, </w:t>
      </w:r>
      <w:r w:rsidR="002B7AAF" w:rsidRPr="00CE1978">
        <w:rPr>
          <w:rFonts w:ascii="Times New Roman" w:eastAsia="Times New Roman" w:hAnsi="Times New Roman" w:cs="Times New Roman"/>
          <w:b/>
          <w:bCs/>
          <w:color w:val="000000" w:themeColor="text1"/>
          <w:sz w:val="24"/>
          <w:szCs w:val="24"/>
        </w:rPr>
        <w:t>pkt 19</w:t>
      </w:r>
      <w:r w:rsidR="00164F28" w:rsidRPr="00CE1978">
        <w:rPr>
          <w:rFonts w:ascii="Times New Roman" w:eastAsia="Times New Roman" w:hAnsi="Times New Roman" w:cs="Times New Roman"/>
          <w:b/>
          <w:bCs/>
          <w:color w:val="000000" w:themeColor="text1"/>
          <w:sz w:val="24"/>
          <w:szCs w:val="24"/>
        </w:rPr>
        <w:t xml:space="preserve">, </w:t>
      </w:r>
      <w:r w:rsidRPr="00CE1978">
        <w:rPr>
          <w:rFonts w:ascii="Times New Roman" w:eastAsia="Times New Roman" w:hAnsi="Times New Roman" w:cs="Times New Roman"/>
          <w:b/>
          <w:bCs/>
          <w:color w:val="000000" w:themeColor="text1"/>
          <w:sz w:val="24"/>
          <w:szCs w:val="24"/>
        </w:rPr>
        <w:t xml:space="preserve">pkt </w:t>
      </w:r>
      <w:r w:rsidR="002B7AAF" w:rsidRPr="00CE1978">
        <w:rPr>
          <w:rFonts w:ascii="Times New Roman" w:eastAsia="Times New Roman" w:hAnsi="Times New Roman" w:cs="Times New Roman"/>
          <w:b/>
          <w:bCs/>
          <w:color w:val="000000" w:themeColor="text1"/>
          <w:sz w:val="24"/>
          <w:szCs w:val="24"/>
        </w:rPr>
        <w:t>20</w:t>
      </w:r>
      <w:r w:rsidR="00934B74" w:rsidRPr="00CE1978">
        <w:rPr>
          <w:rFonts w:ascii="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2</w:t>
      </w:r>
      <w:r w:rsidR="002B7AAF" w:rsidRPr="00CE1978">
        <w:rPr>
          <w:rFonts w:ascii="Times New Roman" w:eastAsia="Times New Roman" w:hAnsi="Times New Roman" w:cs="Times New Roman"/>
          <w:b/>
          <w:bCs/>
          <w:color w:val="000000" w:themeColor="text1"/>
          <w:sz w:val="24"/>
          <w:szCs w:val="24"/>
        </w:rPr>
        <w:t>1</w:t>
      </w:r>
      <w:r w:rsidR="009A7C09" w:rsidRPr="00CE1978">
        <w:rPr>
          <w:rFonts w:ascii="Times New Roman" w:eastAsia="Times New Roman" w:hAnsi="Times New Roman" w:cs="Times New Roman"/>
          <w:b/>
          <w:bCs/>
          <w:color w:val="000000" w:themeColor="text1"/>
          <w:sz w:val="24"/>
          <w:szCs w:val="24"/>
        </w:rPr>
        <w:t xml:space="preserve">, pkt </w:t>
      </w:r>
      <w:r w:rsidR="006D6527" w:rsidRPr="00CE1978">
        <w:rPr>
          <w:rFonts w:ascii="Times New Roman" w:eastAsia="Times New Roman" w:hAnsi="Times New Roman" w:cs="Times New Roman"/>
          <w:b/>
          <w:bCs/>
          <w:color w:val="000000" w:themeColor="text1"/>
          <w:sz w:val="24"/>
          <w:szCs w:val="24"/>
        </w:rPr>
        <w:t xml:space="preserve">23 </w:t>
      </w:r>
      <w:r w:rsidR="009A7C09" w:rsidRPr="00CE1978">
        <w:rPr>
          <w:rFonts w:ascii="Times New Roman" w:eastAsia="Times New Roman" w:hAnsi="Times New Roman" w:cs="Times New Roman"/>
          <w:b/>
          <w:bCs/>
          <w:color w:val="000000" w:themeColor="text1"/>
          <w:sz w:val="24"/>
          <w:szCs w:val="24"/>
        </w:rPr>
        <w:t>lit.</w:t>
      </w:r>
      <w:r w:rsidR="002B7AAF" w:rsidRPr="00CE1978">
        <w:rPr>
          <w:rFonts w:ascii="Times New Roman" w:eastAsia="Times New Roman" w:hAnsi="Times New Roman" w:cs="Times New Roman"/>
          <w:b/>
          <w:bCs/>
          <w:color w:val="000000" w:themeColor="text1"/>
          <w:sz w:val="24"/>
          <w:szCs w:val="24"/>
        </w:rPr>
        <w:t xml:space="preserve"> e</w:t>
      </w:r>
      <w:r w:rsidR="000E0107" w:rsidRPr="00CE1978">
        <w:rPr>
          <w:rFonts w:ascii="Times New Roman" w:eastAsia="Times New Roman" w:hAnsi="Times New Roman" w:cs="Times New Roman"/>
          <w:b/>
          <w:bCs/>
          <w:color w:val="000000" w:themeColor="text1"/>
          <w:sz w:val="24"/>
          <w:szCs w:val="24"/>
        </w:rPr>
        <w:t xml:space="preserve">, </w:t>
      </w:r>
      <w:r w:rsidR="002B7AAF" w:rsidRPr="00CE1978">
        <w:rPr>
          <w:rFonts w:ascii="Times New Roman" w:eastAsia="Times New Roman" w:hAnsi="Times New Roman" w:cs="Times New Roman"/>
          <w:b/>
          <w:bCs/>
          <w:color w:val="000000" w:themeColor="text1"/>
          <w:sz w:val="24"/>
          <w:szCs w:val="24"/>
        </w:rPr>
        <w:t xml:space="preserve">pkt </w:t>
      </w:r>
      <w:r w:rsidR="006D6527" w:rsidRPr="00CE1978">
        <w:rPr>
          <w:rFonts w:ascii="Times New Roman" w:eastAsia="Times New Roman" w:hAnsi="Times New Roman" w:cs="Times New Roman"/>
          <w:b/>
          <w:bCs/>
          <w:color w:val="000000" w:themeColor="text1"/>
          <w:sz w:val="24"/>
          <w:szCs w:val="24"/>
        </w:rPr>
        <w:t>24</w:t>
      </w:r>
      <w:r w:rsidR="000E0107" w:rsidRPr="00CE1978">
        <w:rPr>
          <w:rFonts w:ascii="Times New Roman" w:eastAsia="Times New Roman" w:hAnsi="Times New Roman" w:cs="Times New Roman"/>
          <w:b/>
          <w:bCs/>
          <w:color w:val="000000" w:themeColor="text1"/>
          <w:sz w:val="24"/>
          <w:szCs w:val="24"/>
        </w:rPr>
        <w:t xml:space="preserve">, </w:t>
      </w:r>
      <w:r w:rsidR="00C431BF" w:rsidRPr="00CE1978">
        <w:rPr>
          <w:rFonts w:ascii="Times New Roman" w:eastAsia="Times New Roman" w:hAnsi="Times New Roman" w:cs="Times New Roman"/>
          <w:b/>
          <w:bCs/>
          <w:color w:val="000000" w:themeColor="text1"/>
          <w:sz w:val="24"/>
          <w:szCs w:val="24"/>
        </w:rPr>
        <w:t xml:space="preserve">pkt </w:t>
      </w:r>
      <w:r w:rsidR="000E0107" w:rsidRPr="00CE1978">
        <w:rPr>
          <w:rFonts w:ascii="Times New Roman" w:eastAsia="Times New Roman" w:hAnsi="Times New Roman" w:cs="Times New Roman"/>
          <w:b/>
          <w:bCs/>
          <w:color w:val="000000" w:themeColor="text1"/>
          <w:sz w:val="24"/>
          <w:szCs w:val="24"/>
        </w:rPr>
        <w:t>2</w:t>
      </w:r>
      <w:r w:rsidR="002B7AAF" w:rsidRPr="00CE1978">
        <w:rPr>
          <w:rFonts w:ascii="Times New Roman" w:eastAsia="Times New Roman" w:hAnsi="Times New Roman" w:cs="Times New Roman"/>
          <w:b/>
          <w:bCs/>
          <w:color w:val="000000" w:themeColor="text1"/>
          <w:sz w:val="24"/>
          <w:szCs w:val="24"/>
        </w:rPr>
        <w:t>8</w:t>
      </w:r>
      <w:r w:rsidR="00934B74" w:rsidRPr="00CE1978">
        <w:rPr>
          <w:rFonts w:ascii="Times New Roman" w:hAnsi="Times New Roman" w:cs="Times New Roman"/>
          <w:color w:val="000000" w:themeColor="text1"/>
          <w:sz w:val="24"/>
          <w:szCs w:val="24"/>
        </w:rPr>
        <w:t>–</w:t>
      </w:r>
      <w:r w:rsidR="001A77A9" w:rsidRPr="00CE1978">
        <w:rPr>
          <w:rFonts w:ascii="Times New Roman" w:eastAsia="Times New Roman" w:hAnsi="Times New Roman" w:cs="Times New Roman"/>
          <w:b/>
          <w:bCs/>
          <w:color w:val="000000" w:themeColor="text1"/>
          <w:sz w:val="24"/>
          <w:szCs w:val="24"/>
        </w:rPr>
        <w:t>29</w:t>
      </w:r>
      <w:r w:rsidR="00C431BF" w:rsidRPr="00CE1978">
        <w:rPr>
          <w:rFonts w:ascii="Times New Roman" w:eastAsia="Times New Roman" w:hAnsi="Times New Roman" w:cs="Times New Roman"/>
          <w:b/>
          <w:bCs/>
          <w:color w:val="000000" w:themeColor="text1"/>
          <w:sz w:val="24"/>
          <w:szCs w:val="24"/>
        </w:rPr>
        <w:t xml:space="preserve">, </w:t>
      </w:r>
      <w:r w:rsidR="004C0ABF" w:rsidRPr="00CE1978">
        <w:rPr>
          <w:rFonts w:ascii="Times New Roman" w:eastAsia="Times New Roman" w:hAnsi="Times New Roman" w:cs="Times New Roman"/>
          <w:b/>
          <w:bCs/>
          <w:color w:val="000000" w:themeColor="text1"/>
          <w:sz w:val="24"/>
          <w:szCs w:val="24"/>
        </w:rPr>
        <w:t>pkt 3</w:t>
      </w:r>
      <w:r w:rsidR="00F2684C" w:rsidRPr="00CE1978">
        <w:rPr>
          <w:rFonts w:ascii="Times New Roman" w:eastAsia="Times New Roman" w:hAnsi="Times New Roman" w:cs="Times New Roman"/>
          <w:b/>
          <w:bCs/>
          <w:color w:val="000000" w:themeColor="text1"/>
          <w:sz w:val="24"/>
          <w:szCs w:val="24"/>
        </w:rPr>
        <w:t>1</w:t>
      </w:r>
      <w:r w:rsidR="00984DE9" w:rsidRPr="00CE1978">
        <w:rPr>
          <w:rFonts w:ascii="Times New Roman" w:eastAsia="Times New Roman" w:hAnsi="Times New Roman" w:cs="Times New Roman"/>
          <w:b/>
          <w:bCs/>
          <w:color w:val="000000" w:themeColor="text1"/>
          <w:sz w:val="24"/>
          <w:szCs w:val="24"/>
        </w:rPr>
        <w:t xml:space="preserve"> lit. b</w:t>
      </w:r>
      <w:r w:rsidR="00934B74" w:rsidRPr="00CE1978">
        <w:rPr>
          <w:rFonts w:ascii="Times New Roman" w:hAnsi="Times New Roman" w:cs="Times New Roman"/>
          <w:color w:val="000000" w:themeColor="text1"/>
          <w:sz w:val="24"/>
          <w:szCs w:val="24"/>
        </w:rPr>
        <w:t>–</w:t>
      </w:r>
      <w:r w:rsidR="00984DE9" w:rsidRPr="00CE1978">
        <w:rPr>
          <w:rFonts w:ascii="Times New Roman" w:eastAsia="Times New Roman" w:hAnsi="Times New Roman" w:cs="Times New Roman"/>
          <w:b/>
          <w:bCs/>
          <w:color w:val="000000" w:themeColor="text1"/>
          <w:sz w:val="24"/>
          <w:szCs w:val="24"/>
        </w:rPr>
        <w:t>d,</w:t>
      </w:r>
      <w:r w:rsidR="00BE5DD1" w:rsidRPr="00CE1978">
        <w:rPr>
          <w:rFonts w:ascii="Times New Roman" w:eastAsia="Times New Roman" w:hAnsi="Times New Roman" w:cs="Times New Roman"/>
          <w:b/>
          <w:bCs/>
          <w:color w:val="000000" w:themeColor="text1"/>
          <w:sz w:val="24"/>
          <w:szCs w:val="24"/>
        </w:rPr>
        <w:t xml:space="preserve"> </w:t>
      </w:r>
      <w:r w:rsidR="002B7AAF" w:rsidRPr="00CE1978">
        <w:rPr>
          <w:rFonts w:ascii="Times New Roman" w:eastAsia="Times New Roman" w:hAnsi="Times New Roman" w:cs="Times New Roman"/>
          <w:b/>
          <w:color w:val="000000" w:themeColor="text1"/>
          <w:sz w:val="24"/>
          <w:szCs w:val="24"/>
        </w:rPr>
        <w:t xml:space="preserve">pkt </w:t>
      </w:r>
      <w:r w:rsidR="004C0ABF" w:rsidRPr="00CE1978">
        <w:rPr>
          <w:rFonts w:ascii="Times New Roman" w:eastAsia="Times New Roman" w:hAnsi="Times New Roman" w:cs="Times New Roman"/>
          <w:b/>
          <w:color w:val="000000" w:themeColor="text1"/>
          <w:sz w:val="24"/>
          <w:szCs w:val="24"/>
        </w:rPr>
        <w:t>3</w:t>
      </w:r>
      <w:r w:rsidR="00F2684C" w:rsidRPr="00CE1978">
        <w:rPr>
          <w:rFonts w:ascii="Times New Roman" w:eastAsia="Times New Roman" w:hAnsi="Times New Roman" w:cs="Times New Roman"/>
          <w:b/>
          <w:color w:val="000000" w:themeColor="text1"/>
          <w:sz w:val="24"/>
          <w:szCs w:val="24"/>
        </w:rPr>
        <w:t>1</w:t>
      </w:r>
      <w:r w:rsidR="00BE5DD1" w:rsidRPr="00CE1978">
        <w:rPr>
          <w:rFonts w:ascii="Times New Roman" w:eastAsia="Times New Roman" w:hAnsi="Times New Roman" w:cs="Times New Roman"/>
          <w:b/>
          <w:color w:val="000000" w:themeColor="text1"/>
          <w:sz w:val="24"/>
          <w:szCs w:val="24"/>
        </w:rPr>
        <w:t xml:space="preserve"> lit. </w:t>
      </w:r>
      <w:r w:rsidR="0088615D" w:rsidRPr="00CE1978">
        <w:rPr>
          <w:rFonts w:ascii="Times New Roman" w:eastAsia="Times New Roman" w:hAnsi="Times New Roman" w:cs="Times New Roman"/>
          <w:b/>
          <w:color w:val="000000" w:themeColor="text1"/>
          <w:sz w:val="24"/>
          <w:szCs w:val="24"/>
        </w:rPr>
        <w:t xml:space="preserve">i </w:t>
      </w:r>
      <w:r w:rsidR="00BE5DD1" w:rsidRPr="00CE1978">
        <w:rPr>
          <w:rFonts w:ascii="Times New Roman" w:eastAsia="Times New Roman" w:hAnsi="Times New Roman" w:cs="Times New Roman"/>
          <w:b/>
          <w:color w:val="000000" w:themeColor="text1"/>
          <w:sz w:val="24"/>
          <w:szCs w:val="24"/>
        </w:rPr>
        <w:t>tiret pierwsze,</w:t>
      </w:r>
      <w:r w:rsidR="002B7AAF" w:rsidRPr="00CE1978">
        <w:rPr>
          <w:rFonts w:ascii="Times New Roman" w:eastAsia="Times New Roman" w:hAnsi="Times New Roman" w:cs="Times New Roman"/>
          <w:b/>
          <w:color w:val="000000" w:themeColor="text1"/>
          <w:sz w:val="24"/>
          <w:szCs w:val="24"/>
        </w:rPr>
        <w:t xml:space="preserve"> pkt </w:t>
      </w:r>
      <w:r w:rsidR="004C0ABF" w:rsidRPr="00CE1978">
        <w:rPr>
          <w:rFonts w:ascii="Times New Roman" w:eastAsia="Times New Roman" w:hAnsi="Times New Roman" w:cs="Times New Roman"/>
          <w:b/>
          <w:color w:val="000000" w:themeColor="text1"/>
          <w:sz w:val="24"/>
          <w:szCs w:val="24"/>
        </w:rPr>
        <w:t>3</w:t>
      </w:r>
      <w:r w:rsidR="00F2684C" w:rsidRPr="00CE1978">
        <w:rPr>
          <w:rFonts w:ascii="Times New Roman" w:eastAsia="Times New Roman" w:hAnsi="Times New Roman" w:cs="Times New Roman"/>
          <w:b/>
          <w:color w:val="000000" w:themeColor="text1"/>
          <w:sz w:val="24"/>
          <w:szCs w:val="24"/>
        </w:rPr>
        <w:t>1</w:t>
      </w:r>
      <w:r w:rsidR="004367D8" w:rsidRPr="00CE1978">
        <w:rPr>
          <w:rFonts w:ascii="Times New Roman" w:eastAsia="Times New Roman" w:hAnsi="Times New Roman" w:cs="Times New Roman"/>
          <w:b/>
          <w:color w:val="000000" w:themeColor="text1"/>
          <w:sz w:val="24"/>
          <w:szCs w:val="24"/>
        </w:rPr>
        <w:t xml:space="preserve"> lit. j,</w:t>
      </w:r>
      <w:r w:rsidR="003804EA" w:rsidRPr="00CE1978">
        <w:rPr>
          <w:rFonts w:ascii="Times New Roman" w:eastAsia="Times New Roman" w:hAnsi="Times New Roman" w:cs="Times New Roman"/>
          <w:b/>
          <w:color w:val="000000" w:themeColor="text1"/>
          <w:sz w:val="24"/>
          <w:szCs w:val="24"/>
        </w:rPr>
        <w:t xml:space="preserve"> pkt 3</w:t>
      </w:r>
      <w:r w:rsidR="00F2684C" w:rsidRPr="00CE1978">
        <w:rPr>
          <w:rFonts w:ascii="Times New Roman" w:eastAsia="Times New Roman" w:hAnsi="Times New Roman" w:cs="Times New Roman"/>
          <w:b/>
          <w:color w:val="000000" w:themeColor="text1"/>
          <w:sz w:val="24"/>
          <w:szCs w:val="24"/>
        </w:rPr>
        <w:t>5</w:t>
      </w:r>
      <w:r w:rsidR="003804EA" w:rsidRPr="00CE1978">
        <w:rPr>
          <w:rFonts w:ascii="Times New Roman" w:eastAsia="Times New Roman" w:hAnsi="Times New Roman" w:cs="Times New Roman"/>
          <w:b/>
          <w:color w:val="000000" w:themeColor="text1"/>
          <w:sz w:val="24"/>
          <w:szCs w:val="24"/>
        </w:rPr>
        <w:t xml:space="preserve"> lit. a</w:t>
      </w:r>
      <w:r w:rsidR="00934B74" w:rsidRPr="00CE1978">
        <w:rPr>
          <w:rFonts w:ascii="Times New Roman" w:hAnsi="Times New Roman" w:cs="Times New Roman"/>
          <w:color w:val="000000" w:themeColor="text1"/>
          <w:sz w:val="24"/>
          <w:szCs w:val="24"/>
        </w:rPr>
        <w:t>–</w:t>
      </w:r>
      <w:r w:rsidR="003804EA" w:rsidRPr="00CE1978">
        <w:rPr>
          <w:rFonts w:ascii="Times New Roman" w:eastAsia="Times New Roman" w:hAnsi="Times New Roman" w:cs="Times New Roman"/>
          <w:b/>
          <w:color w:val="000000" w:themeColor="text1"/>
          <w:sz w:val="24"/>
          <w:szCs w:val="24"/>
        </w:rPr>
        <w:t>c</w:t>
      </w:r>
      <w:r w:rsidR="00AB3BE7" w:rsidRPr="00CE1978">
        <w:rPr>
          <w:rFonts w:ascii="Times New Roman" w:eastAsia="Times New Roman" w:hAnsi="Times New Roman" w:cs="Times New Roman"/>
          <w:b/>
          <w:bCs/>
          <w:color w:val="000000" w:themeColor="text1"/>
          <w:sz w:val="24"/>
          <w:szCs w:val="24"/>
        </w:rPr>
        <w:t xml:space="preserve">, </w:t>
      </w:r>
      <w:r w:rsidR="00DA53CE" w:rsidRPr="00CE1978">
        <w:rPr>
          <w:rFonts w:ascii="Times New Roman" w:eastAsia="Times New Roman" w:hAnsi="Times New Roman" w:cs="Times New Roman"/>
          <w:b/>
          <w:bCs/>
          <w:color w:val="000000" w:themeColor="text1"/>
          <w:sz w:val="24"/>
          <w:szCs w:val="24"/>
        </w:rPr>
        <w:t xml:space="preserve">pkt </w:t>
      </w:r>
      <w:r w:rsidR="000E0107" w:rsidRPr="00CE1978">
        <w:rPr>
          <w:rFonts w:ascii="Times New Roman" w:eastAsia="Times New Roman" w:hAnsi="Times New Roman" w:cs="Times New Roman"/>
          <w:b/>
          <w:bCs/>
          <w:color w:val="000000" w:themeColor="text1"/>
          <w:sz w:val="24"/>
          <w:szCs w:val="24"/>
        </w:rPr>
        <w:t>3</w:t>
      </w:r>
      <w:r w:rsidR="00F2684C" w:rsidRPr="00CE1978">
        <w:rPr>
          <w:rFonts w:ascii="Times New Roman" w:eastAsia="Times New Roman" w:hAnsi="Times New Roman" w:cs="Times New Roman"/>
          <w:b/>
          <w:bCs/>
          <w:color w:val="000000" w:themeColor="text1"/>
          <w:sz w:val="24"/>
          <w:szCs w:val="24"/>
        </w:rPr>
        <w:t>7</w:t>
      </w:r>
      <w:r w:rsidR="00C431BF" w:rsidRPr="00CE1978">
        <w:rPr>
          <w:rFonts w:ascii="Times New Roman" w:eastAsia="Times New Roman" w:hAnsi="Times New Roman" w:cs="Times New Roman"/>
          <w:b/>
          <w:bCs/>
          <w:color w:val="000000" w:themeColor="text1"/>
          <w:sz w:val="24"/>
          <w:szCs w:val="24"/>
        </w:rPr>
        <w:t xml:space="preserve"> lit. a tiret pierwsz</w:t>
      </w:r>
      <w:r w:rsidR="00264C01" w:rsidRPr="00CE1978">
        <w:rPr>
          <w:rFonts w:ascii="Times New Roman" w:eastAsia="Times New Roman" w:hAnsi="Times New Roman" w:cs="Times New Roman"/>
          <w:b/>
          <w:bCs/>
          <w:color w:val="000000" w:themeColor="text1"/>
          <w:sz w:val="24"/>
          <w:szCs w:val="24"/>
        </w:rPr>
        <w:t>e</w:t>
      </w:r>
      <w:r w:rsidR="00C431BF" w:rsidRPr="00CE1978">
        <w:rPr>
          <w:rFonts w:ascii="Times New Roman" w:eastAsia="Times New Roman" w:hAnsi="Times New Roman" w:cs="Times New Roman"/>
          <w:b/>
          <w:bCs/>
          <w:color w:val="000000" w:themeColor="text1"/>
          <w:sz w:val="24"/>
          <w:szCs w:val="24"/>
        </w:rPr>
        <w:t>, pkt 3</w:t>
      </w:r>
      <w:r w:rsidR="00F2684C" w:rsidRPr="00CE1978">
        <w:rPr>
          <w:rFonts w:ascii="Times New Roman" w:eastAsia="Times New Roman" w:hAnsi="Times New Roman" w:cs="Times New Roman"/>
          <w:b/>
          <w:bCs/>
          <w:color w:val="000000" w:themeColor="text1"/>
          <w:sz w:val="24"/>
          <w:szCs w:val="24"/>
        </w:rPr>
        <w:t>7</w:t>
      </w:r>
      <w:r w:rsidRPr="00CE1978">
        <w:rPr>
          <w:rFonts w:ascii="Times New Roman" w:eastAsia="Times New Roman" w:hAnsi="Times New Roman" w:cs="Times New Roman"/>
          <w:b/>
          <w:bCs/>
          <w:color w:val="000000" w:themeColor="text1"/>
          <w:sz w:val="24"/>
          <w:szCs w:val="24"/>
        </w:rPr>
        <w:t xml:space="preserve"> l</w:t>
      </w:r>
      <w:r w:rsidR="00C431BF" w:rsidRPr="00CE1978">
        <w:rPr>
          <w:rFonts w:ascii="Times New Roman" w:eastAsia="Times New Roman" w:hAnsi="Times New Roman" w:cs="Times New Roman"/>
          <w:b/>
          <w:bCs/>
          <w:color w:val="000000" w:themeColor="text1"/>
          <w:sz w:val="24"/>
          <w:szCs w:val="24"/>
        </w:rPr>
        <w:t>it. b i lit. c tiret drugi</w:t>
      </w:r>
      <w:r w:rsidR="00264C01" w:rsidRPr="00CE1978">
        <w:rPr>
          <w:rFonts w:ascii="Times New Roman" w:eastAsia="Times New Roman" w:hAnsi="Times New Roman" w:cs="Times New Roman"/>
          <w:b/>
          <w:bCs/>
          <w:color w:val="000000" w:themeColor="text1"/>
          <w:sz w:val="24"/>
          <w:szCs w:val="24"/>
        </w:rPr>
        <w:t>e</w:t>
      </w:r>
      <w:r w:rsidR="00C431BF" w:rsidRPr="00CE1978">
        <w:rPr>
          <w:rFonts w:ascii="Times New Roman" w:eastAsia="Times New Roman" w:hAnsi="Times New Roman" w:cs="Times New Roman"/>
          <w:b/>
          <w:bCs/>
          <w:color w:val="000000" w:themeColor="text1"/>
          <w:sz w:val="24"/>
          <w:szCs w:val="24"/>
        </w:rPr>
        <w:t>, pkt</w:t>
      </w:r>
      <w:r w:rsidRPr="00CE1978">
        <w:rPr>
          <w:rFonts w:ascii="Times New Roman" w:eastAsia="Times New Roman" w:hAnsi="Times New Roman" w:cs="Times New Roman"/>
          <w:b/>
          <w:bCs/>
          <w:color w:val="000000" w:themeColor="text1"/>
          <w:sz w:val="24"/>
          <w:szCs w:val="24"/>
        </w:rPr>
        <w:t xml:space="preserve"> 3</w:t>
      </w:r>
      <w:r w:rsidR="00F2684C" w:rsidRPr="00CE1978">
        <w:rPr>
          <w:rFonts w:ascii="Times New Roman" w:eastAsia="Times New Roman" w:hAnsi="Times New Roman" w:cs="Times New Roman"/>
          <w:b/>
          <w:bCs/>
          <w:color w:val="000000" w:themeColor="text1"/>
          <w:sz w:val="24"/>
          <w:szCs w:val="24"/>
        </w:rPr>
        <w:t>8</w:t>
      </w:r>
      <w:r w:rsidR="00DA53CE" w:rsidRPr="00CE1978">
        <w:rPr>
          <w:rFonts w:ascii="Times New Roman" w:eastAsia="Times New Roman" w:hAnsi="Times New Roman" w:cs="Times New Roman"/>
          <w:b/>
          <w:bCs/>
          <w:color w:val="000000" w:themeColor="text1"/>
          <w:sz w:val="24"/>
          <w:szCs w:val="24"/>
        </w:rPr>
        <w:t xml:space="preserve"> lit. a, </w:t>
      </w:r>
      <w:r w:rsidR="001A77A9" w:rsidRPr="00CE1978">
        <w:rPr>
          <w:rFonts w:ascii="Times New Roman" w:eastAsia="Times New Roman" w:hAnsi="Times New Roman" w:cs="Times New Roman"/>
          <w:b/>
          <w:bCs/>
          <w:color w:val="000000" w:themeColor="text1"/>
          <w:sz w:val="24"/>
          <w:szCs w:val="24"/>
        </w:rPr>
        <w:t>pkt 3</w:t>
      </w:r>
      <w:r w:rsidR="00F2684C" w:rsidRPr="00CE1978">
        <w:rPr>
          <w:rFonts w:ascii="Times New Roman" w:eastAsia="Times New Roman" w:hAnsi="Times New Roman" w:cs="Times New Roman"/>
          <w:b/>
          <w:bCs/>
          <w:color w:val="000000" w:themeColor="text1"/>
          <w:sz w:val="24"/>
          <w:szCs w:val="24"/>
        </w:rPr>
        <w:t>9</w:t>
      </w:r>
      <w:r w:rsidR="001A77A9" w:rsidRPr="00CE1978">
        <w:rPr>
          <w:rFonts w:ascii="Times New Roman" w:eastAsia="Times New Roman" w:hAnsi="Times New Roman" w:cs="Times New Roman"/>
          <w:b/>
          <w:bCs/>
          <w:color w:val="000000" w:themeColor="text1"/>
          <w:sz w:val="24"/>
          <w:szCs w:val="24"/>
        </w:rPr>
        <w:t xml:space="preserve"> lit. b</w:t>
      </w:r>
      <w:r w:rsidR="00B24E11" w:rsidRPr="00CE1978">
        <w:rPr>
          <w:rFonts w:ascii="Times New Roman" w:eastAsia="Times New Roman" w:hAnsi="Times New Roman" w:cs="Times New Roman"/>
          <w:b/>
          <w:bCs/>
          <w:color w:val="000000" w:themeColor="text1"/>
          <w:sz w:val="24"/>
          <w:szCs w:val="24"/>
        </w:rPr>
        <w:t>,</w:t>
      </w:r>
      <w:r w:rsidR="001A77A9" w:rsidRPr="00CE1978">
        <w:rPr>
          <w:rFonts w:ascii="Times New Roman" w:eastAsia="Times New Roman" w:hAnsi="Times New Roman" w:cs="Times New Roman"/>
          <w:b/>
          <w:bCs/>
          <w:color w:val="000000" w:themeColor="text1"/>
          <w:sz w:val="24"/>
          <w:szCs w:val="24"/>
        </w:rPr>
        <w:t xml:space="preserve"> </w:t>
      </w:r>
      <w:r w:rsidR="00DA53CE" w:rsidRPr="00CE1978">
        <w:rPr>
          <w:rFonts w:ascii="Times New Roman" w:eastAsia="Times New Roman" w:hAnsi="Times New Roman" w:cs="Times New Roman"/>
          <w:b/>
          <w:bCs/>
          <w:color w:val="000000" w:themeColor="text1"/>
          <w:sz w:val="24"/>
          <w:szCs w:val="24"/>
        </w:rPr>
        <w:t xml:space="preserve">pkt </w:t>
      </w:r>
      <w:r w:rsidR="00F2684C" w:rsidRPr="00CE1978">
        <w:rPr>
          <w:rFonts w:ascii="Times New Roman" w:eastAsia="Times New Roman" w:hAnsi="Times New Roman" w:cs="Times New Roman"/>
          <w:b/>
          <w:bCs/>
          <w:color w:val="000000" w:themeColor="text1"/>
          <w:sz w:val="24"/>
          <w:szCs w:val="24"/>
        </w:rPr>
        <w:t>40</w:t>
      </w:r>
      <w:r w:rsidR="00DA53CE" w:rsidRPr="00CE1978">
        <w:rPr>
          <w:rFonts w:ascii="Times New Roman" w:eastAsia="Times New Roman" w:hAnsi="Times New Roman" w:cs="Times New Roman"/>
          <w:b/>
          <w:bCs/>
          <w:color w:val="000000" w:themeColor="text1"/>
          <w:sz w:val="24"/>
          <w:szCs w:val="24"/>
        </w:rPr>
        <w:t>.</w:t>
      </w:r>
    </w:p>
    <w:p w14:paraId="30763E75" w14:textId="6B61DA1D"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Zaproponowan</w:t>
      </w:r>
      <w:r w:rsidR="66FC9CA6" w:rsidRPr="00CE1978">
        <w:rPr>
          <w:rFonts w:ascii="Times New Roman" w:eastAsia="Times New Roman" w:hAnsi="Times New Roman" w:cs="Times New Roman"/>
          <w:color w:val="000000" w:themeColor="text1"/>
          <w:sz w:val="24"/>
          <w:szCs w:val="24"/>
        </w:rPr>
        <w:t>e</w:t>
      </w:r>
      <w:r w:rsidRPr="00CE1978">
        <w:rPr>
          <w:rFonts w:ascii="Times New Roman" w:eastAsia="Times New Roman" w:hAnsi="Times New Roman" w:cs="Times New Roman"/>
          <w:color w:val="000000" w:themeColor="text1"/>
          <w:sz w:val="24"/>
          <w:szCs w:val="24"/>
        </w:rPr>
        <w:t xml:space="preserve"> zmian</w:t>
      </w:r>
      <w:r w:rsidR="0A79D4C9" w:rsidRPr="00CE1978">
        <w:rPr>
          <w:rFonts w:ascii="Times New Roman" w:eastAsia="Times New Roman" w:hAnsi="Times New Roman" w:cs="Times New Roman"/>
          <w:color w:val="000000" w:themeColor="text1"/>
          <w:sz w:val="24"/>
          <w:szCs w:val="24"/>
        </w:rPr>
        <w:t>y</w:t>
      </w:r>
      <w:r w:rsidRPr="00CE1978">
        <w:rPr>
          <w:rFonts w:ascii="Times New Roman" w:eastAsia="Times New Roman" w:hAnsi="Times New Roman" w:cs="Times New Roman"/>
          <w:color w:val="000000" w:themeColor="text1"/>
          <w:sz w:val="24"/>
          <w:szCs w:val="24"/>
        </w:rPr>
        <w:t xml:space="preserve"> w ustawie z dnia 7 maja 2010 r. o wspieraniu rozwoju usług i sieci telekomunikacyjnych</w:t>
      </w:r>
      <w:r w:rsidR="5923930C" w:rsidRPr="00CE1978">
        <w:rPr>
          <w:rFonts w:ascii="Times New Roman" w:eastAsia="Times New Roman" w:hAnsi="Times New Roman" w:cs="Times New Roman"/>
          <w:color w:val="000000" w:themeColor="text1"/>
          <w:sz w:val="24"/>
          <w:szCs w:val="24"/>
        </w:rPr>
        <w:t xml:space="preserve"> (dalej również</w:t>
      </w:r>
      <w:r w:rsidR="00FF3C40" w:rsidRPr="00CE1978">
        <w:rPr>
          <w:rFonts w:ascii="Times New Roman" w:eastAsia="Times New Roman" w:hAnsi="Times New Roman" w:cs="Times New Roman"/>
          <w:color w:val="000000" w:themeColor="text1"/>
          <w:sz w:val="24"/>
          <w:szCs w:val="24"/>
        </w:rPr>
        <w:t>: „</w:t>
      </w:r>
      <w:r w:rsidR="5923930C" w:rsidRPr="00CE1978">
        <w:rPr>
          <w:rFonts w:ascii="Times New Roman" w:eastAsia="Times New Roman" w:hAnsi="Times New Roman" w:cs="Times New Roman"/>
          <w:color w:val="000000" w:themeColor="text1"/>
          <w:sz w:val="24"/>
          <w:szCs w:val="24"/>
        </w:rPr>
        <w:t>Megaustawa”)</w:t>
      </w:r>
      <w:r w:rsidRPr="00CE1978">
        <w:rPr>
          <w:rFonts w:ascii="Times New Roman" w:eastAsia="Times New Roman" w:hAnsi="Times New Roman" w:cs="Times New Roman"/>
          <w:color w:val="000000" w:themeColor="text1"/>
          <w:sz w:val="24"/>
          <w:szCs w:val="24"/>
        </w:rPr>
        <w:t xml:space="preserve"> polegają na zastąpieniu </w:t>
      </w:r>
      <w:r w:rsidR="007F6A4A" w:rsidRPr="00CE1978">
        <w:rPr>
          <w:rFonts w:ascii="Times New Roman" w:eastAsia="Times New Roman" w:hAnsi="Times New Roman" w:cs="Times New Roman"/>
          <w:color w:val="000000" w:themeColor="text1"/>
          <w:sz w:val="24"/>
          <w:szCs w:val="24"/>
        </w:rPr>
        <w:t>dotychczasowych odwołań do Prawa telekomunikacyjnego</w:t>
      </w:r>
      <w:r w:rsidRPr="00CE1978">
        <w:rPr>
          <w:rFonts w:ascii="Times New Roman" w:eastAsia="Times New Roman" w:hAnsi="Times New Roman" w:cs="Times New Roman"/>
          <w:color w:val="000000" w:themeColor="text1"/>
          <w:sz w:val="24"/>
          <w:szCs w:val="24"/>
        </w:rPr>
        <w:t xml:space="preserve"> odwołani</w:t>
      </w:r>
      <w:r w:rsidR="5DFD2604" w:rsidRPr="00CE1978">
        <w:rPr>
          <w:rFonts w:ascii="Times New Roman" w:eastAsia="Times New Roman" w:hAnsi="Times New Roman" w:cs="Times New Roman"/>
          <w:color w:val="000000" w:themeColor="text1"/>
          <w:sz w:val="24"/>
          <w:szCs w:val="24"/>
        </w:rPr>
        <w:t>em</w:t>
      </w:r>
      <w:r w:rsidR="007F6A4A" w:rsidRPr="00CE1978">
        <w:rPr>
          <w:rFonts w:ascii="Times New Roman" w:eastAsia="Times New Roman" w:hAnsi="Times New Roman" w:cs="Times New Roman"/>
          <w:color w:val="000000" w:themeColor="text1"/>
          <w:sz w:val="24"/>
          <w:szCs w:val="24"/>
        </w:rPr>
        <w:t xml:space="preserve"> do Prawa</w:t>
      </w:r>
      <w:r w:rsidRPr="00CE1978">
        <w:rPr>
          <w:rFonts w:ascii="Times New Roman" w:eastAsia="Times New Roman" w:hAnsi="Times New Roman" w:cs="Times New Roman"/>
          <w:color w:val="000000" w:themeColor="text1"/>
          <w:sz w:val="24"/>
          <w:szCs w:val="24"/>
        </w:rPr>
        <w:t xml:space="preserve"> komunikacji elektronicznej</w:t>
      </w:r>
      <w:r w:rsidR="003C5289" w:rsidRPr="00CE1978">
        <w:rPr>
          <w:rFonts w:ascii="Times New Roman" w:eastAsia="Times New Roman" w:hAnsi="Times New Roman" w:cs="Times New Roman"/>
          <w:color w:val="000000" w:themeColor="text1"/>
          <w:sz w:val="24"/>
          <w:szCs w:val="24"/>
        </w:rPr>
        <w:t>, usunięciu odwołań do przepisów uchylonych</w:t>
      </w:r>
      <w:r w:rsidRPr="00CE1978">
        <w:rPr>
          <w:rFonts w:ascii="Times New Roman" w:eastAsia="Times New Roman" w:hAnsi="Times New Roman" w:cs="Times New Roman"/>
          <w:color w:val="000000" w:themeColor="text1"/>
          <w:sz w:val="24"/>
          <w:szCs w:val="24"/>
        </w:rPr>
        <w:t xml:space="preserve"> lub na d</w:t>
      </w:r>
      <w:r w:rsidR="007F6A4A" w:rsidRPr="00CE1978">
        <w:rPr>
          <w:rFonts w:ascii="Times New Roman" w:eastAsia="Times New Roman" w:hAnsi="Times New Roman" w:cs="Times New Roman"/>
          <w:color w:val="000000" w:themeColor="text1"/>
          <w:sz w:val="24"/>
          <w:szCs w:val="24"/>
        </w:rPr>
        <w:t>ostosowaniu siatki pojęciowej uwzględniając definicje zawarte w Pke</w:t>
      </w:r>
      <w:r w:rsidR="00BB7E6E" w:rsidRPr="00CE1978">
        <w:rPr>
          <w:rFonts w:ascii="Times New Roman" w:eastAsia="Times New Roman" w:hAnsi="Times New Roman" w:cs="Times New Roman"/>
          <w:color w:val="000000" w:themeColor="text1"/>
          <w:sz w:val="24"/>
          <w:szCs w:val="24"/>
        </w:rPr>
        <w:t xml:space="preserve">, jak również </w:t>
      </w:r>
      <w:r w:rsidR="00140567" w:rsidRPr="00CE1978">
        <w:rPr>
          <w:rFonts w:ascii="Times New Roman" w:eastAsia="Times New Roman" w:hAnsi="Times New Roman" w:cs="Times New Roman"/>
          <w:color w:val="000000" w:themeColor="text1"/>
          <w:sz w:val="24"/>
          <w:szCs w:val="24"/>
        </w:rPr>
        <w:t>uspójnieniu</w:t>
      </w:r>
      <w:r w:rsidR="00BB7E6E" w:rsidRPr="00CE1978">
        <w:rPr>
          <w:rFonts w:ascii="Times New Roman" w:eastAsia="Times New Roman" w:hAnsi="Times New Roman" w:cs="Times New Roman"/>
          <w:color w:val="000000" w:themeColor="text1"/>
          <w:sz w:val="24"/>
          <w:szCs w:val="24"/>
        </w:rPr>
        <w:t xml:space="preserve"> </w:t>
      </w:r>
      <w:r w:rsidR="00140567" w:rsidRPr="00CE1978">
        <w:rPr>
          <w:rFonts w:ascii="Times New Roman" w:eastAsia="Times New Roman" w:hAnsi="Times New Roman" w:cs="Times New Roman"/>
          <w:color w:val="000000" w:themeColor="text1"/>
          <w:sz w:val="24"/>
          <w:szCs w:val="24"/>
        </w:rPr>
        <w:t xml:space="preserve">brzmienia </w:t>
      </w:r>
      <w:r w:rsidR="00BB7E6E" w:rsidRPr="00CE1978">
        <w:rPr>
          <w:rFonts w:ascii="Times New Roman" w:eastAsia="Times New Roman" w:hAnsi="Times New Roman" w:cs="Times New Roman"/>
          <w:color w:val="000000" w:themeColor="text1"/>
          <w:sz w:val="24"/>
          <w:szCs w:val="24"/>
        </w:rPr>
        <w:t>przepisów z</w:t>
      </w:r>
      <w:r w:rsidR="00140567" w:rsidRPr="00CE1978">
        <w:rPr>
          <w:rFonts w:ascii="Times New Roman" w:eastAsia="Times New Roman" w:hAnsi="Times New Roman" w:cs="Times New Roman"/>
          <w:color w:val="000000" w:themeColor="text1"/>
          <w:sz w:val="24"/>
          <w:szCs w:val="24"/>
        </w:rPr>
        <w:t xml:space="preserve"> analogicznymi regulacjami na gruncie</w:t>
      </w:r>
      <w:r w:rsidR="00BB7E6E" w:rsidRPr="00CE1978">
        <w:rPr>
          <w:rFonts w:ascii="Times New Roman" w:eastAsia="Times New Roman" w:hAnsi="Times New Roman" w:cs="Times New Roman"/>
          <w:color w:val="000000" w:themeColor="text1"/>
          <w:sz w:val="24"/>
          <w:szCs w:val="24"/>
        </w:rPr>
        <w:t xml:space="preserve"> Pke</w:t>
      </w:r>
      <w:r w:rsidR="00140567" w:rsidRPr="00CE1978">
        <w:rPr>
          <w:rFonts w:ascii="Times New Roman" w:eastAsia="Times New Roman" w:hAnsi="Times New Roman" w:cs="Times New Roman"/>
          <w:color w:val="000000" w:themeColor="text1"/>
          <w:sz w:val="24"/>
          <w:szCs w:val="24"/>
        </w:rPr>
        <w:t xml:space="preserve"> (np. </w:t>
      </w:r>
      <w:r w:rsidR="00E34466" w:rsidRPr="00CE1978">
        <w:rPr>
          <w:rFonts w:ascii="Times New Roman" w:eastAsia="Times New Roman" w:hAnsi="Times New Roman" w:cs="Times New Roman"/>
          <w:color w:val="000000" w:themeColor="text1"/>
          <w:sz w:val="24"/>
          <w:szCs w:val="24"/>
        </w:rPr>
        <w:t>zawarty w art. 12 Megaust</w:t>
      </w:r>
      <w:r w:rsidR="007D0EFE" w:rsidRPr="00CE1978">
        <w:rPr>
          <w:rFonts w:ascii="Times New Roman" w:eastAsia="Times New Roman" w:hAnsi="Times New Roman" w:cs="Times New Roman"/>
          <w:color w:val="000000" w:themeColor="text1"/>
          <w:sz w:val="24"/>
          <w:szCs w:val="24"/>
        </w:rPr>
        <w:t>a</w:t>
      </w:r>
      <w:r w:rsidR="00E34466" w:rsidRPr="00CE1978">
        <w:rPr>
          <w:rFonts w:ascii="Times New Roman" w:eastAsia="Times New Roman" w:hAnsi="Times New Roman" w:cs="Times New Roman"/>
          <w:color w:val="000000" w:themeColor="text1"/>
          <w:sz w:val="24"/>
          <w:szCs w:val="24"/>
        </w:rPr>
        <w:t xml:space="preserve">wy </w:t>
      </w:r>
      <w:r w:rsidR="00140567" w:rsidRPr="00CE1978">
        <w:rPr>
          <w:rFonts w:ascii="Times New Roman" w:eastAsia="Times New Roman" w:hAnsi="Times New Roman" w:cs="Times New Roman"/>
          <w:color w:val="000000" w:themeColor="text1"/>
          <w:sz w:val="24"/>
          <w:szCs w:val="24"/>
        </w:rPr>
        <w:t>obowiązek prowadzenia przez operatora negocjacji w celu zawarcia umowy o dostępie w zakresie połączenia sieci na wniosek jednostki samorządu terytorialnego)</w:t>
      </w:r>
      <w:r w:rsidR="00DA53CE" w:rsidRPr="00CE1978">
        <w:rPr>
          <w:rFonts w:ascii="Times New Roman" w:eastAsia="Times New Roman" w:hAnsi="Times New Roman" w:cs="Times New Roman"/>
          <w:color w:val="000000" w:themeColor="text1"/>
          <w:sz w:val="24"/>
          <w:szCs w:val="24"/>
        </w:rPr>
        <w:t>.</w:t>
      </w:r>
    </w:p>
    <w:p w14:paraId="4346DAB5" w14:textId="5FCADF1B" w:rsidR="00530D8E"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color w:val="000000" w:themeColor="text1"/>
          <w:sz w:val="24"/>
          <w:szCs w:val="24"/>
        </w:rPr>
        <w:t>A</w:t>
      </w:r>
      <w:r w:rsidR="00530D8E" w:rsidRPr="00CE1978">
        <w:rPr>
          <w:rFonts w:ascii="Times New Roman" w:eastAsia="Times New Roman" w:hAnsi="Times New Roman" w:cs="Times New Roman"/>
          <w:b/>
          <w:color w:val="000000" w:themeColor="text1"/>
          <w:sz w:val="24"/>
          <w:szCs w:val="24"/>
        </w:rPr>
        <w:t xml:space="preserve">rt. </w:t>
      </w:r>
      <w:r w:rsidR="00ED5C54" w:rsidRPr="00CE1978">
        <w:rPr>
          <w:rFonts w:ascii="Times New Roman" w:eastAsia="Times New Roman" w:hAnsi="Times New Roman" w:cs="Times New Roman"/>
          <w:b/>
          <w:color w:val="000000" w:themeColor="text1"/>
          <w:sz w:val="24"/>
          <w:szCs w:val="24"/>
        </w:rPr>
        <w:t>3</w:t>
      </w:r>
      <w:r w:rsidR="008A2DD6" w:rsidRPr="00CE1978">
        <w:rPr>
          <w:rFonts w:ascii="Times New Roman" w:eastAsia="Times New Roman" w:hAnsi="Times New Roman" w:cs="Times New Roman"/>
          <w:b/>
          <w:color w:val="000000" w:themeColor="text1"/>
          <w:sz w:val="24"/>
          <w:szCs w:val="24"/>
        </w:rPr>
        <w:t>6</w:t>
      </w:r>
      <w:r w:rsidR="00ED5C54" w:rsidRPr="00CE1978">
        <w:rPr>
          <w:rFonts w:ascii="Times New Roman" w:eastAsia="Times New Roman" w:hAnsi="Times New Roman" w:cs="Times New Roman"/>
          <w:b/>
          <w:color w:val="000000" w:themeColor="text1"/>
          <w:sz w:val="24"/>
          <w:szCs w:val="24"/>
        </w:rPr>
        <w:t xml:space="preserve"> </w:t>
      </w:r>
      <w:r w:rsidR="00530D8E" w:rsidRPr="00CE1978">
        <w:rPr>
          <w:rFonts w:ascii="Times New Roman" w:eastAsia="Times New Roman" w:hAnsi="Times New Roman" w:cs="Times New Roman"/>
          <w:b/>
          <w:bCs/>
          <w:color w:val="000000" w:themeColor="text1"/>
          <w:sz w:val="24"/>
          <w:szCs w:val="24"/>
        </w:rPr>
        <w:t>pkt 2 lit. a tiret pierwsze</w:t>
      </w:r>
    </w:p>
    <w:p w14:paraId="1041212E" w14:textId="176FB36B" w:rsidR="00530D8E" w:rsidRPr="00CE1978" w:rsidRDefault="00530D8E"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Do definicji „infrastruktury telekomunikacyjnej o nieznacznym oddziaływaniu” w art. 2 </w:t>
      </w:r>
      <w:r w:rsidR="0088615D" w:rsidRPr="00CE1978">
        <w:rPr>
          <w:rFonts w:ascii="Times New Roman" w:eastAsia="Times New Roman" w:hAnsi="Times New Roman" w:cs="Times New Roman"/>
          <w:color w:val="000000" w:themeColor="text1"/>
          <w:sz w:val="24"/>
          <w:szCs w:val="24"/>
        </w:rPr>
        <w:t xml:space="preserve">ust. 1 </w:t>
      </w:r>
      <w:r w:rsidRPr="00CE1978">
        <w:rPr>
          <w:rFonts w:ascii="Times New Roman" w:eastAsia="Times New Roman" w:hAnsi="Times New Roman" w:cs="Times New Roman"/>
          <w:color w:val="000000" w:themeColor="text1"/>
          <w:sz w:val="24"/>
          <w:szCs w:val="24"/>
        </w:rPr>
        <w:t>pkt 4, dodaje się dwa desygnaty: „punkt dostępu bezprzewodowego o bliskim zasięgu” oraz „przenośne wolnostojące maszty antenowe”.</w:t>
      </w:r>
    </w:p>
    <w:p w14:paraId="2DA2A9DE" w14:textId="4FC5BEE4"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lang w:val="en-US"/>
        </w:rPr>
      </w:pPr>
      <w:r w:rsidRPr="00CE1978">
        <w:rPr>
          <w:rFonts w:ascii="Times New Roman" w:eastAsia="Times New Roman" w:hAnsi="Times New Roman" w:cs="Times New Roman"/>
          <w:b/>
          <w:bCs/>
          <w:color w:val="000000" w:themeColor="text1"/>
          <w:sz w:val="24"/>
          <w:szCs w:val="24"/>
          <w:lang w:val="en-US"/>
        </w:rPr>
        <w:t>A</w:t>
      </w:r>
      <w:r w:rsidR="75B895FB" w:rsidRPr="00CE1978">
        <w:rPr>
          <w:rFonts w:ascii="Times New Roman" w:eastAsia="Times New Roman" w:hAnsi="Times New Roman" w:cs="Times New Roman"/>
          <w:b/>
          <w:bCs/>
          <w:color w:val="000000" w:themeColor="text1"/>
          <w:sz w:val="24"/>
          <w:szCs w:val="24"/>
          <w:lang w:val="en-US"/>
        </w:rPr>
        <w:t xml:space="preserve">rt. </w:t>
      </w:r>
      <w:r w:rsidR="00ED5C54" w:rsidRPr="00CE1978">
        <w:rPr>
          <w:rFonts w:ascii="Times New Roman" w:eastAsia="Times New Roman" w:hAnsi="Times New Roman" w:cs="Times New Roman"/>
          <w:b/>
          <w:bCs/>
          <w:color w:val="000000" w:themeColor="text1"/>
          <w:sz w:val="24"/>
          <w:szCs w:val="24"/>
          <w:lang w:val="en-US"/>
        </w:rPr>
        <w:t>3</w:t>
      </w:r>
      <w:r w:rsidR="008A2DD6" w:rsidRPr="00CE1978">
        <w:rPr>
          <w:rFonts w:ascii="Times New Roman" w:eastAsia="Times New Roman" w:hAnsi="Times New Roman" w:cs="Times New Roman"/>
          <w:b/>
          <w:bCs/>
          <w:color w:val="000000" w:themeColor="text1"/>
          <w:sz w:val="24"/>
          <w:szCs w:val="24"/>
          <w:lang w:val="en-US"/>
        </w:rPr>
        <w:t>6</w:t>
      </w:r>
      <w:r w:rsidR="00ED5C54" w:rsidRPr="00CE1978">
        <w:rPr>
          <w:rFonts w:ascii="Times New Roman" w:eastAsia="Times New Roman" w:hAnsi="Times New Roman" w:cs="Times New Roman"/>
          <w:b/>
          <w:bCs/>
          <w:color w:val="000000" w:themeColor="text1"/>
          <w:sz w:val="24"/>
          <w:szCs w:val="24"/>
          <w:lang w:val="en-US"/>
        </w:rPr>
        <w:t xml:space="preserve"> </w:t>
      </w:r>
      <w:r w:rsidR="00264C01" w:rsidRPr="00CE1978">
        <w:rPr>
          <w:rFonts w:ascii="Times New Roman" w:eastAsia="Times New Roman" w:hAnsi="Times New Roman" w:cs="Times New Roman"/>
          <w:b/>
          <w:bCs/>
          <w:color w:val="000000" w:themeColor="text1"/>
          <w:sz w:val="24"/>
          <w:szCs w:val="24"/>
          <w:lang w:val="en-US"/>
        </w:rPr>
        <w:t>pkt 2 lit. a tiret drugie</w:t>
      </w:r>
    </w:p>
    <w:p w14:paraId="545B806A" w14:textId="77777777" w:rsidR="00530D8E" w:rsidRPr="00CE1978" w:rsidRDefault="00530D8E"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Definicja infrastruktury technicznej zawartej w art. 2 ust. 1 pkt 6 została rozszerzona o „antenowe konstrukcje wsporcze”. Zmiana ma na celu wyeliminowanie wątpliwości interpretacyjnych związanych z określaniem desygnatów pojęcia infrastruktury technicznej. </w:t>
      </w:r>
    </w:p>
    <w:p w14:paraId="555A4962" w14:textId="23757612"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lang w:val="en-US"/>
        </w:rPr>
      </w:pPr>
      <w:r w:rsidRPr="00CE1978">
        <w:rPr>
          <w:rFonts w:ascii="Times New Roman" w:eastAsia="Times New Roman" w:hAnsi="Times New Roman" w:cs="Times New Roman"/>
          <w:b/>
          <w:color w:val="000000" w:themeColor="text1"/>
          <w:sz w:val="24"/>
          <w:szCs w:val="24"/>
          <w:lang w:val="en-GB"/>
        </w:rPr>
        <w:t>A</w:t>
      </w:r>
      <w:r w:rsidR="75B895FB" w:rsidRPr="00CE1978">
        <w:rPr>
          <w:rFonts w:ascii="Times New Roman" w:eastAsia="Times New Roman" w:hAnsi="Times New Roman" w:cs="Times New Roman"/>
          <w:b/>
          <w:bCs/>
          <w:color w:val="000000" w:themeColor="text1"/>
          <w:sz w:val="24"/>
          <w:szCs w:val="24"/>
          <w:lang w:val="en-US"/>
        </w:rPr>
        <w:t xml:space="preserve">rt. </w:t>
      </w:r>
      <w:r w:rsidR="00ED5C54" w:rsidRPr="00CE1978">
        <w:rPr>
          <w:rFonts w:ascii="Times New Roman" w:eastAsia="Times New Roman" w:hAnsi="Times New Roman" w:cs="Times New Roman"/>
          <w:b/>
          <w:bCs/>
          <w:color w:val="000000" w:themeColor="text1"/>
          <w:sz w:val="24"/>
          <w:szCs w:val="24"/>
          <w:lang w:val="en-US"/>
        </w:rPr>
        <w:t>3</w:t>
      </w:r>
      <w:r w:rsidR="008A2DD6" w:rsidRPr="00CE1978">
        <w:rPr>
          <w:rFonts w:ascii="Times New Roman" w:eastAsia="Times New Roman" w:hAnsi="Times New Roman" w:cs="Times New Roman"/>
          <w:b/>
          <w:bCs/>
          <w:color w:val="000000" w:themeColor="text1"/>
          <w:sz w:val="24"/>
          <w:szCs w:val="24"/>
          <w:lang w:val="en-US"/>
        </w:rPr>
        <w:t>6</w:t>
      </w:r>
      <w:r w:rsidR="00ED5C54" w:rsidRPr="00CE1978">
        <w:rPr>
          <w:rFonts w:ascii="Times New Roman" w:eastAsia="Times New Roman" w:hAnsi="Times New Roman" w:cs="Times New Roman"/>
          <w:b/>
          <w:bCs/>
          <w:color w:val="000000" w:themeColor="text1"/>
          <w:sz w:val="24"/>
          <w:szCs w:val="24"/>
          <w:lang w:val="en-US"/>
        </w:rPr>
        <w:t xml:space="preserve"> </w:t>
      </w:r>
      <w:r w:rsidR="75B895FB" w:rsidRPr="00CE1978">
        <w:rPr>
          <w:rFonts w:ascii="Times New Roman" w:eastAsia="Times New Roman" w:hAnsi="Times New Roman" w:cs="Times New Roman"/>
          <w:b/>
          <w:bCs/>
          <w:color w:val="000000" w:themeColor="text1"/>
          <w:sz w:val="24"/>
          <w:szCs w:val="24"/>
          <w:lang w:val="en-US"/>
        </w:rPr>
        <w:t>pkt 2 lit. a tiret trzeci</w:t>
      </w:r>
      <w:r w:rsidR="00264C01" w:rsidRPr="00CE1978">
        <w:rPr>
          <w:rFonts w:ascii="Times New Roman" w:eastAsia="Times New Roman" w:hAnsi="Times New Roman" w:cs="Times New Roman"/>
          <w:b/>
          <w:bCs/>
          <w:color w:val="000000" w:themeColor="text1"/>
          <w:sz w:val="24"/>
          <w:szCs w:val="24"/>
          <w:lang w:val="en-US"/>
        </w:rPr>
        <w:t>e</w:t>
      </w:r>
    </w:p>
    <w:p w14:paraId="03BE1D81" w14:textId="77777777"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Zmiana definicji „punkt styku” na „miejsce dostępu” w art. 2 ust. 1 pkt 9 jest spowodowana obecną nieprzejrzystością siatki pojęciowej, spowodowaną występowaniem podobnie brzmiących definiendum na gruncie szeroko pojętego prawa telekomunikacyjnego.</w:t>
      </w:r>
    </w:p>
    <w:p w14:paraId="2F7E9CBB" w14:textId="77777777"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Zgodnie z art. </w:t>
      </w:r>
      <w:r w:rsidR="2FF1B3F2" w:rsidRPr="00CE1978">
        <w:rPr>
          <w:rFonts w:ascii="Times New Roman" w:eastAsia="Times New Roman" w:hAnsi="Times New Roman" w:cs="Times New Roman"/>
          <w:color w:val="000000" w:themeColor="text1"/>
          <w:sz w:val="24"/>
          <w:szCs w:val="24"/>
        </w:rPr>
        <w:t>2 ust. 1</w:t>
      </w:r>
      <w:r w:rsidRPr="00CE1978">
        <w:rPr>
          <w:rFonts w:ascii="Times New Roman" w:eastAsia="Times New Roman" w:hAnsi="Times New Roman" w:cs="Times New Roman"/>
          <w:color w:val="000000" w:themeColor="text1"/>
          <w:sz w:val="24"/>
          <w:szCs w:val="24"/>
        </w:rPr>
        <w:t xml:space="preserve"> pkt 9 Megaustawy w dotychczasowym brzmieniu, punkt styku to miejsce, w którym możliwe jest połączenie publicznej sieci telekomunikacyjnej z instalacją telekomunikacyjną budynku. Definicja ta </w:t>
      </w:r>
      <w:r w:rsidR="00160FF4" w:rsidRPr="00CE1978">
        <w:rPr>
          <w:rFonts w:ascii="Times New Roman" w:eastAsia="Times New Roman" w:hAnsi="Times New Roman" w:cs="Times New Roman"/>
          <w:color w:val="000000" w:themeColor="text1"/>
          <w:sz w:val="24"/>
          <w:szCs w:val="24"/>
        </w:rPr>
        <w:t>jest wykorzystywana</w:t>
      </w:r>
      <w:r w:rsidRPr="00CE1978">
        <w:rPr>
          <w:rFonts w:ascii="Times New Roman" w:eastAsia="Times New Roman" w:hAnsi="Times New Roman" w:cs="Times New Roman"/>
          <w:color w:val="000000" w:themeColor="text1"/>
          <w:sz w:val="24"/>
          <w:szCs w:val="24"/>
        </w:rPr>
        <w:t xml:space="preserve"> </w:t>
      </w:r>
      <w:r w:rsidR="00160FF4" w:rsidRPr="00CE1978">
        <w:rPr>
          <w:rFonts w:ascii="Times New Roman" w:eastAsia="Times New Roman" w:hAnsi="Times New Roman" w:cs="Times New Roman"/>
          <w:color w:val="000000" w:themeColor="text1"/>
          <w:sz w:val="24"/>
          <w:szCs w:val="24"/>
        </w:rPr>
        <w:t>na potrzeby określenia</w:t>
      </w:r>
      <w:r w:rsidRPr="00CE1978">
        <w:rPr>
          <w:rFonts w:ascii="Times New Roman" w:eastAsia="Times New Roman" w:hAnsi="Times New Roman" w:cs="Times New Roman"/>
          <w:color w:val="000000" w:themeColor="text1"/>
          <w:sz w:val="24"/>
          <w:szCs w:val="24"/>
        </w:rPr>
        <w:t xml:space="preserve"> obowiązk</w:t>
      </w:r>
      <w:r w:rsidR="00160FF4" w:rsidRPr="00CE1978">
        <w:rPr>
          <w:rFonts w:ascii="Times New Roman" w:eastAsia="Times New Roman" w:hAnsi="Times New Roman" w:cs="Times New Roman"/>
          <w:color w:val="000000" w:themeColor="text1"/>
          <w:sz w:val="24"/>
          <w:szCs w:val="24"/>
        </w:rPr>
        <w:t>ów</w:t>
      </w:r>
      <w:r w:rsidRPr="00CE1978">
        <w:rPr>
          <w:rFonts w:ascii="Times New Roman" w:eastAsia="Times New Roman" w:hAnsi="Times New Roman" w:cs="Times New Roman"/>
          <w:color w:val="000000" w:themeColor="text1"/>
          <w:sz w:val="24"/>
          <w:szCs w:val="24"/>
        </w:rPr>
        <w:t xml:space="preserve"> i uprawnie</w:t>
      </w:r>
      <w:r w:rsidR="00160FF4" w:rsidRPr="00CE1978">
        <w:rPr>
          <w:rFonts w:ascii="Times New Roman" w:eastAsia="Times New Roman" w:hAnsi="Times New Roman" w:cs="Times New Roman"/>
          <w:color w:val="000000" w:themeColor="text1"/>
          <w:sz w:val="24"/>
          <w:szCs w:val="24"/>
        </w:rPr>
        <w:t>ń</w:t>
      </w:r>
      <w:r w:rsidRPr="00CE1978">
        <w:rPr>
          <w:rFonts w:ascii="Times New Roman" w:eastAsia="Times New Roman" w:hAnsi="Times New Roman" w:cs="Times New Roman"/>
          <w:color w:val="000000" w:themeColor="text1"/>
          <w:sz w:val="24"/>
          <w:szCs w:val="24"/>
        </w:rPr>
        <w:t xml:space="preserve"> związany</w:t>
      </w:r>
      <w:r w:rsidR="00160FF4" w:rsidRPr="00CE1978">
        <w:rPr>
          <w:rFonts w:ascii="Times New Roman" w:eastAsia="Times New Roman" w:hAnsi="Times New Roman" w:cs="Times New Roman"/>
          <w:color w:val="000000" w:themeColor="text1"/>
          <w:sz w:val="24"/>
          <w:szCs w:val="24"/>
        </w:rPr>
        <w:t>ch</w:t>
      </w:r>
      <w:r w:rsidRPr="00CE1978">
        <w:rPr>
          <w:rFonts w:ascii="Times New Roman" w:eastAsia="Times New Roman" w:hAnsi="Times New Roman" w:cs="Times New Roman"/>
          <w:color w:val="000000" w:themeColor="text1"/>
          <w:sz w:val="24"/>
          <w:szCs w:val="24"/>
        </w:rPr>
        <w:t xml:space="preserve"> z zapewnieniem dostępu do nieruchomości, o którym mowa w art. 30 Megaustawy, a także koordynacją robót budowlanych, o której mowa w art. 36a Megaustawy. W obu przypadkach definicja ta powinna odnosić się do przestrzeni fizycznej, w budynku lub poza nim, która umożliwia umieszczenie punktu dystrybucji </w:t>
      </w:r>
      <w:r w:rsidR="207F5749" w:rsidRPr="00CE1978">
        <w:rPr>
          <w:rFonts w:ascii="Times New Roman" w:eastAsia="Times New Roman" w:hAnsi="Times New Roman" w:cs="Times New Roman"/>
          <w:color w:val="000000" w:themeColor="text1"/>
          <w:sz w:val="24"/>
          <w:szCs w:val="24"/>
        </w:rPr>
        <w:t xml:space="preserve">wspólnego </w:t>
      </w:r>
      <w:r w:rsidRPr="00CE1978">
        <w:rPr>
          <w:rFonts w:ascii="Times New Roman" w:eastAsia="Times New Roman" w:hAnsi="Times New Roman" w:cs="Times New Roman"/>
          <w:color w:val="000000" w:themeColor="text1"/>
          <w:sz w:val="24"/>
          <w:szCs w:val="24"/>
        </w:rPr>
        <w:t>dla wszystkich zakończeń sieci w budynku. Aby doprecyzować ustalenie tego miejsca w każdym przypadku, zaproponowano dookreślenie, że chodzi o miejsce jednocześnie najbliższe tych zakończeń. Z powyższych względów zdecydowanie bardziej intuicyjnym określeniem od „punktu styku” jest proponowane „miejsce dostępu”.</w:t>
      </w:r>
    </w:p>
    <w:p w14:paraId="274F749F" w14:textId="2E69D867"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 xml:space="preserve">Podobnie brzmiące, w stosunku do pojęcia „punktu styku”, pojęcie „punktu styku sieci” wykorzystywane jest w związku z dostępem polegającym na połączeniu sieci. Zgodnie z § 2 pkt 2 </w:t>
      </w:r>
      <w:r w:rsidR="4ADE591A" w:rsidRPr="00CE1978">
        <w:rPr>
          <w:rFonts w:ascii="Times New Roman" w:eastAsia="Times New Roman" w:hAnsi="Times New Roman" w:cs="Times New Roman"/>
          <w:color w:val="000000" w:themeColor="text1"/>
          <w:sz w:val="24"/>
          <w:szCs w:val="24"/>
        </w:rPr>
        <w:t>r</w:t>
      </w:r>
      <w:r w:rsidRPr="00CE1978">
        <w:rPr>
          <w:rFonts w:ascii="Times New Roman" w:eastAsia="Times New Roman" w:hAnsi="Times New Roman" w:cs="Times New Roman"/>
          <w:color w:val="000000" w:themeColor="text1"/>
          <w:sz w:val="24"/>
          <w:szCs w:val="24"/>
        </w:rPr>
        <w:t>ozporządzeni</w:t>
      </w:r>
      <w:r w:rsidR="0A6332C8" w:rsidRPr="00CE1978">
        <w:rPr>
          <w:rFonts w:ascii="Times New Roman" w:eastAsia="Times New Roman" w:hAnsi="Times New Roman" w:cs="Times New Roman"/>
          <w:color w:val="000000" w:themeColor="text1"/>
          <w:sz w:val="24"/>
          <w:szCs w:val="24"/>
        </w:rPr>
        <w:t>a</w:t>
      </w:r>
      <w:r w:rsidRPr="00CE1978">
        <w:rPr>
          <w:rFonts w:ascii="Times New Roman" w:eastAsia="Times New Roman" w:hAnsi="Times New Roman" w:cs="Times New Roman"/>
          <w:color w:val="000000" w:themeColor="text1"/>
          <w:sz w:val="24"/>
          <w:szCs w:val="24"/>
        </w:rPr>
        <w:t xml:space="preserve"> Ministra Infrastruktury </w:t>
      </w:r>
      <w:r w:rsidR="1B2544D2" w:rsidRPr="00CE1978">
        <w:rPr>
          <w:rFonts w:ascii="Times New Roman" w:eastAsia="Times New Roman" w:hAnsi="Times New Roman" w:cs="Times New Roman"/>
          <w:color w:val="000000" w:themeColor="text1"/>
          <w:sz w:val="24"/>
          <w:szCs w:val="24"/>
        </w:rPr>
        <w:t>z dnia 21 lipca 2008 r</w:t>
      </w:r>
      <w:r w:rsidR="00934B74" w:rsidRPr="00CE1978">
        <w:rPr>
          <w:rFonts w:ascii="Times New Roman" w:eastAsia="Times New Roman" w:hAnsi="Times New Roman" w:cs="Times New Roman"/>
          <w:color w:val="000000" w:themeColor="text1"/>
          <w:sz w:val="24"/>
          <w:szCs w:val="24"/>
        </w:rPr>
        <w:t>.</w:t>
      </w:r>
      <w:r w:rsidR="1B2544D2"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color w:val="000000" w:themeColor="text1"/>
          <w:sz w:val="24"/>
          <w:szCs w:val="24"/>
        </w:rPr>
        <w:t>w sprawie szczegółowych wymagań dla zapewnienia dostępu telekomunikacyjnego</w:t>
      </w:r>
      <w:r w:rsidR="00934B74" w:rsidRPr="00CE1978">
        <w:rPr>
          <w:rFonts w:ascii="Times New Roman" w:eastAsia="Times New Roman" w:hAnsi="Times New Roman" w:cs="Times New Roman"/>
          <w:color w:val="000000" w:themeColor="text1"/>
          <w:sz w:val="24"/>
          <w:szCs w:val="24"/>
        </w:rPr>
        <w:t xml:space="preserve"> (Dz. U. poz. 919)</w:t>
      </w:r>
      <w:r w:rsidRPr="00CE1978">
        <w:rPr>
          <w:rFonts w:ascii="Times New Roman" w:eastAsia="Times New Roman" w:hAnsi="Times New Roman" w:cs="Times New Roman"/>
          <w:color w:val="000000" w:themeColor="text1"/>
          <w:sz w:val="24"/>
          <w:szCs w:val="24"/>
        </w:rPr>
        <w:t>, punkt styku sieci to fizyczny lub logiczny punkt połączenia sieci telekomunikacyjnych przedsiębiorców telekomunikacyjnych lub użytkowników specjalnych, niebędący zakończeniem sieci.</w:t>
      </w:r>
    </w:p>
    <w:p w14:paraId="2E39C491" w14:textId="5D520FFB"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lang w:val="en-US"/>
        </w:rPr>
      </w:pPr>
      <w:r w:rsidRPr="00CE1978">
        <w:rPr>
          <w:rFonts w:ascii="Times New Roman" w:eastAsia="Times New Roman" w:hAnsi="Times New Roman" w:cs="Times New Roman"/>
          <w:b/>
          <w:bCs/>
          <w:color w:val="000000" w:themeColor="text1"/>
          <w:sz w:val="24"/>
          <w:szCs w:val="24"/>
          <w:lang w:val="en-US"/>
        </w:rPr>
        <w:t>A</w:t>
      </w:r>
      <w:r w:rsidR="75B895FB" w:rsidRPr="00CE1978">
        <w:rPr>
          <w:rFonts w:ascii="Times New Roman" w:eastAsia="Times New Roman" w:hAnsi="Times New Roman" w:cs="Times New Roman"/>
          <w:b/>
          <w:bCs/>
          <w:color w:val="000000" w:themeColor="text1"/>
          <w:sz w:val="24"/>
          <w:szCs w:val="24"/>
          <w:lang w:val="en-US"/>
        </w:rPr>
        <w:t xml:space="preserve">rt. </w:t>
      </w:r>
      <w:r w:rsidR="00ED5C54" w:rsidRPr="00CE1978">
        <w:rPr>
          <w:rFonts w:ascii="Times New Roman" w:eastAsia="Times New Roman" w:hAnsi="Times New Roman" w:cs="Times New Roman"/>
          <w:b/>
          <w:bCs/>
          <w:color w:val="000000" w:themeColor="text1"/>
          <w:sz w:val="24"/>
          <w:szCs w:val="24"/>
          <w:lang w:val="en-US"/>
        </w:rPr>
        <w:t>3</w:t>
      </w:r>
      <w:r w:rsidR="008A2DD6" w:rsidRPr="00CE1978">
        <w:rPr>
          <w:rFonts w:ascii="Times New Roman" w:eastAsia="Times New Roman" w:hAnsi="Times New Roman" w:cs="Times New Roman"/>
          <w:b/>
          <w:bCs/>
          <w:color w:val="000000" w:themeColor="text1"/>
          <w:sz w:val="24"/>
          <w:szCs w:val="24"/>
          <w:lang w:val="en-US"/>
        </w:rPr>
        <w:t>6</w:t>
      </w:r>
      <w:r w:rsidR="00ED5C54" w:rsidRPr="00CE1978">
        <w:rPr>
          <w:rFonts w:ascii="Times New Roman" w:eastAsia="Times New Roman" w:hAnsi="Times New Roman" w:cs="Times New Roman"/>
          <w:b/>
          <w:bCs/>
          <w:color w:val="000000" w:themeColor="text1"/>
          <w:sz w:val="24"/>
          <w:szCs w:val="24"/>
          <w:lang w:val="en-US"/>
        </w:rPr>
        <w:t xml:space="preserve"> </w:t>
      </w:r>
      <w:r w:rsidR="00264C01" w:rsidRPr="00CE1978">
        <w:rPr>
          <w:rFonts w:ascii="Times New Roman" w:eastAsia="Times New Roman" w:hAnsi="Times New Roman" w:cs="Times New Roman"/>
          <w:b/>
          <w:bCs/>
          <w:color w:val="000000" w:themeColor="text1"/>
          <w:sz w:val="24"/>
          <w:szCs w:val="24"/>
          <w:lang w:val="en-US"/>
        </w:rPr>
        <w:t xml:space="preserve">pkt 2 lit. a tiret </w:t>
      </w:r>
      <w:r w:rsidR="00530D8E" w:rsidRPr="00CE1978">
        <w:rPr>
          <w:rFonts w:ascii="Times New Roman" w:eastAsia="Times New Roman" w:hAnsi="Times New Roman" w:cs="Times New Roman"/>
          <w:b/>
          <w:bCs/>
          <w:color w:val="000000" w:themeColor="text1"/>
          <w:sz w:val="24"/>
          <w:szCs w:val="24"/>
          <w:lang w:val="en-US"/>
        </w:rPr>
        <w:t>czwarte</w:t>
      </w:r>
    </w:p>
    <w:p w14:paraId="7936A91E" w14:textId="6D1042C0"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 art. 2 ustawy </w:t>
      </w:r>
      <w:r w:rsidR="37C659B9" w:rsidRPr="00CE1978">
        <w:rPr>
          <w:rFonts w:ascii="Times New Roman" w:eastAsia="Times New Roman" w:hAnsi="Times New Roman" w:cs="Times New Roman"/>
          <w:color w:val="000000" w:themeColor="text1"/>
          <w:sz w:val="24"/>
          <w:szCs w:val="24"/>
        </w:rPr>
        <w:t>Megaustawy</w:t>
      </w:r>
      <w:r w:rsidRPr="00CE1978">
        <w:rPr>
          <w:rFonts w:ascii="Times New Roman" w:eastAsia="Times New Roman" w:hAnsi="Times New Roman" w:cs="Times New Roman"/>
          <w:color w:val="000000" w:themeColor="text1"/>
          <w:sz w:val="24"/>
          <w:szCs w:val="24"/>
        </w:rPr>
        <w:t xml:space="preserve"> dodano pkt 1</w:t>
      </w:r>
      <w:r w:rsidR="00F2684C" w:rsidRPr="00CE1978">
        <w:rPr>
          <w:rFonts w:ascii="Times New Roman" w:eastAsia="Times New Roman" w:hAnsi="Times New Roman" w:cs="Times New Roman"/>
          <w:color w:val="000000" w:themeColor="text1"/>
          <w:sz w:val="24"/>
          <w:szCs w:val="24"/>
        </w:rPr>
        <w:t>1</w:t>
      </w:r>
      <w:r w:rsidR="0EF0E3BA"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color w:val="000000" w:themeColor="text1"/>
          <w:sz w:val="24"/>
          <w:szCs w:val="24"/>
        </w:rPr>
        <w:t xml:space="preserve"> 1</w:t>
      </w:r>
      <w:r w:rsidR="00F2684C" w:rsidRPr="00CE1978">
        <w:rPr>
          <w:rFonts w:ascii="Times New Roman" w:eastAsia="Times New Roman" w:hAnsi="Times New Roman" w:cs="Times New Roman"/>
          <w:color w:val="000000" w:themeColor="text1"/>
          <w:sz w:val="24"/>
          <w:szCs w:val="24"/>
        </w:rPr>
        <w:t>2</w:t>
      </w:r>
      <w:r w:rsidR="1B6D41B2" w:rsidRPr="00CE1978">
        <w:rPr>
          <w:rFonts w:ascii="Times New Roman" w:eastAsia="Times New Roman" w:hAnsi="Times New Roman" w:cs="Times New Roman"/>
          <w:color w:val="000000" w:themeColor="text1"/>
          <w:sz w:val="24"/>
          <w:szCs w:val="24"/>
        </w:rPr>
        <w:t xml:space="preserve"> i 1</w:t>
      </w:r>
      <w:r w:rsidR="00F2684C" w:rsidRPr="00CE1978">
        <w:rPr>
          <w:rFonts w:ascii="Times New Roman" w:eastAsia="Times New Roman" w:hAnsi="Times New Roman" w:cs="Times New Roman"/>
          <w:color w:val="000000" w:themeColor="text1"/>
          <w:sz w:val="24"/>
          <w:szCs w:val="24"/>
        </w:rPr>
        <w:t>3</w:t>
      </w:r>
      <w:r w:rsidRPr="00CE1978">
        <w:rPr>
          <w:rFonts w:ascii="Times New Roman" w:eastAsia="Times New Roman" w:hAnsi="Times New Roman" w:cs="Times New Roman"/>
          <w:color w:val="000000" w:themeColor="text1"/>
          <w:sz w:val="24"/>
          <w:szCs w:val="24"/>
        </w:rPr>
        <w:t xml:space="preserve"> </w:t>
      </w:r>
      <w:r w:rsidR="017E7E16" w:rsidRPr="00CE1978">
        <w:rPr>
          <w:rFonts w:ascii="Times New Roman" w:eastAsia="Times New Roman" w:hAnsi="Times New Roman" w:cs="Times New Roman"/>
          <w:color w:val="000000" w:themeColor="text1"/>
          <w:sz w:val="24"/>
          <w:szCs w:val="24"/>
        </w:rPr>
        <w:t>określające</w:t>
      </w:r>
      <w:r w:rsidRPr="00CE1978">
        <w:rPr>
          <w:rFonts w:ascii="Times New Roman" w:eastAsia="Times New Roman" w:hAnsi="Times New Roman" w:cs="Times New Roman"/>
          <w:color w:val="000000" w:themeColor="text1"/>
          <w:sz w:val="24"/>
          <w:szCs w:val="24"/>
        </w:rPr>
        <w:t xml:space="preserve"> nowe definicje – punktu dostępu bezprzewodowego o bliskim zasięgu (pikokomórki), zgodną z </w:t>
      </w:r>
      <w:r w:rsidR="2C0A08A9" w:rsidRPr="00CE1978">
        <w:rPr>
          <w:rFonts w:ascii="Times New Roman" w:eastAsia="Times New Roman" w:hAnsi="Times New Roman" w:cs="Times New Roman"/>
          <w:color w:val="000000" w:themeColor="text1"/>
          <w:sz w:val="24"/>
          <w:szCs w:val="24"/>
        </w:rPr>
        <w:t>EKŁE</w:t>
      </w:r>
      <w:r w:rsidRPr="00CE1978">
        <w:rPr>
          <w:rFonts w:ascii="Times New Roman" w:eastAsia="Times New Roman" w:hAnsi="Times New Roman" w:cs="Times New Roman"/>
          <w:color w:val="000000" w:themeColor="text1"/>
          <w:sz w:val="24"/>
          <w:szCs w:val="24"/>
        </w:rPr>
        <w:t>, oraz</w:t>
      </w:r>
      <w:r w:rsidR="00160FF4"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color w:val="000000" w:themeColor="text1"/>
          <w:sz w:val="24"/>
          <w:szCs w:val="24"/>
        </w:rPr>
        <w:t>publicznej infrastruktury technicznej i wewnątrzbudynkowej infrastruktury technicznej</w:t>
      </w:r>
      <w:r w:rsidR="00160FF4" w:rsidRPr="00CE1978">
        <w:rPr>
          <w:rFonts w:ascii="Times New Roman" w:eastAsia="Times New Roman" w:hAnsi="Times New Roman" w:cs="Times New Roman"/>
          <w:color w:val="000000" w:themeColor="text1"/>
          <w:sz w:val="24"/>
          <w:szCs w:val="24"/>
        </w:rPr>
        <w:t>.</w:t>
      </w:r>
      <w:r w:rsidR="0CFBEA57" w:rsidRPr="00CE1978">
        <w:rPr>
          <w:rFonts w:ascii="Times New Roman" w:eastAsia="Times New Roman" w:hAnsi="Times New Roman" w:cs="Times New Roman"/>
          <w:color w:val="000000" w:themeColor="text1"/>
          <w:sz w:val="24"/>
          <w:szCs w:val="24"/>
        </w:rPr>
        <w:t xml:space="preserve"> Dla punktów dostępu bezprzewodowego wiążące są postanowienia </w:t>
      </w:r>
      <w:r w:rsidR="00530D8E" w:rsidRPr="00CE1978">
        <w:rPr>
          <w:rFonts w:ascii="Times New Roman" w:hAnsi="Times New Roman" w:cs="Times New Roman"/>
          <w:color w:val="000000" w:themeColor="text1"/>
          <w:sz w:val="24"/>
          <w:szCs w:val="24"/>
        </w:rPr>
        <w:t>aktów wykonawczych wydawanych przez Komisję Europejską,</w:t>
      </w:r>
      <w:r w:rsidR="00530D8E" w:rsidRPr="00CE1978">
        <w:rPr>
          <w:rStyle w:val="normaltextrun"/>
          <w:rFonts w:ascii="Times New Roman" w:hAnsi="Times New Roman" w:cs="Times New Roman"/>
          <w:color w:val="000000" w:themeColor="text1"/>
          <w:sz w:val="24"/>
          <w:szCs w:val="24"/>
        </w:rPr>
        <w:t xml:space="preserve"> o których mowa w art. 57 ust. 2 </w:t>
      </w:r>
      <w:r w:rsidR="00614493" w:rsidRPr="00CE1978">
        <w:rPr>
          <w:rFonts w:ascii="Times New Roman" w:hAnsi="Times New Roman" w:cs="Times New Roman"/>
          <w:color w:val="000000" w:themeColor="text1"/>
          <w:sz w:val="24"/>
          <w:szCs w:val="24"/>
        </w:rPr>
        <w:t>EKŁE</w:t>
      </w:r>
      <w:r w:rsidR="00934B74" w:rsidRPr="00CE1978">
        <w:rPr>
          <w:rFonts w:ascii="Times New Roman" w:hAnsi="Times New Roman" w:cs="Times New Roman"/>
          <w:color w:val="000000" w:themeColor="text1"/>
          <w:sz w:val="24"/>
          <w:szCs w:val="24"/>
        </w:rPr>
        <w:t>.</w:t>
      </w:r>
      <w:r w:rsidR="00530D8E" w:rsidRPr="00CE1978">
        <w:rPr>
          <w:rFonts w:ascii="Times New Roman" w:hAnsi="Times New Roman" w:cs="Times New Roman"/>
          <w:color w:val="000000" w:themeColor="text1"/>
          <w:sz w:val="24"/>
          <w:szCs w:val="24"/>
        </w:rPr>
        <w:t xml:space="preserve"> Do tej pory na ww. podstawie prawnej zostało wydane </w:t>
      </w:r>
      <w:r w:rsidR="0CFBEA57" w:rsidRPr="00CE1978">
        <w:rPr>
          <w:rFonts w:ascii="Times New Roman" w:eastAsia="Times New Roman" w:hAnsi="Times New Roman" w:cs="Times New Roman"/>
          <w:color w:val="000000" w:themeColor="text1"/>
          <w:sz w:val="24"/>
          <w:szCs w:val="24"/>
        </w:rPr>
        <w:t>rozporządzeni</w:t>
      </w:r>
      <w:r w:rsidR="00530D8E" w:rsidRPr="00CE1978">
        <w:rPr>
          <w:rFonts w:ascii="Times New Roman" w:eastAsia="Times New Roman" w:hAnsi="Times New Roman" w:cs="Times New Roman"/>
          <w:color w:val="000000" w:themeColor="text1"/>
          <w:sz w:val="24"/>
          <w:szCs w:val="24"/>
        </w:rPr>
        <w:t>e</w:t>
      </w:r>
      <w:r w:rsidR="0CFBEA57" w:rsidRPr="00CE1978">
        <w:rPr>
          <w:rFonts w:ascii="Times New Roman" w:eastAsia="Times New Roman" w:hAnsi="Times New Roman" w:cs="Times New Roman"/>
          <w:color w:val="000000" w:themeColor="text1"/>
          <w:sz w:val="24"/>
          <w:szCs w:val="24"/>
        </w:rPr>
        <w:t xml:space="preserve"> wykonawcze Komisji (UE) 2020/911 z dnia 30 czerwca 2020 r</w:t>
      </w:r>
      <w:r w:rsidR="00614493" w:rsidRPr="00CE1978">
        <w:rPr>
          <w:rFonts w:ascii="Times New Roman" w:eastAsia="Times New Roman" w:hAnsi="Times New Roman" w:cs="Times New Roman"/>
          <w:color w:val="000000" w:themeColor="text1"/>
          <w:sz w:val="24"/>
          <w:szCs w:val="24"/>
        </w:rPr>
        <w:t>.</w:t>
      </w:r>
      <w:r w:rsidR="0CFBEA57" w:rsidRPr="00CE1978">
        <w:rPr>
          <w:rFonts w:ascii="Times New Roman" w:eastAsia="Times New Roman" w:hAnsi="Times New Roman" w:cs="Times New Roman"/>
          <w:color w:val="000000" w:themeColor="text1"/>
          <w:sz w:val="24"/>
          <w:szCs w:val="24"/>
        </w:rPr>
        <w:t xml:space="preserve"> </w:t>
      </w:r>
      <w:r w:rsidR="0CFBEA57" w:rsidRPr="00CE1978">
        <w:rPr>
          <w:rFonts w:ascii="Times New Roman" w:eastAsia="Times New Roman" w:hAnsi="Times New Roman" w:cs="Times New Roman"/>
          <w:iCs/>
          <w:color w:val="000000" w:themeColor="text1"/>
          <w:sz w:val="24"/>
          <w:szCs w:val="24"/>
        </w:rPr>
        <w:t>określaj</w:t>
      </w:r>
      <w:r w:rsidR="37DBFA59" w:rsidRPr="00CE1978">
        <w:rPr>
          <w:rFonts w:ascii="Times New Roman" w:eastAsia="Times New Roman" w:hAnsi="Times New Roman" w:cs="Times New Roman"/>
          <w:iCs/>
          <w:color w:val="000000" w:themeColor="text1"/>
          <w:sz w:val="24"/>
          <w:szCs w:val="24"/>
        </w:rPr>
        <w:t>ą</w:t>
      </w:r>
      <w:r w:rsidR="0CFBEA57" w:rsidRPr="00CE1978">
        <w:rPr>
          <w:rFonts w:ascii="Times New Roman" w:eastAsia="Times New Roman" w:hAnsi="Times New Roman" w:cs="Times New Roman"/>
          <w:iCs/>
          <w:color w:val="000000" w:themeColor="text1"/>
          <w:sz w:val="24"/>
          <w:szCs w:val="24"/>
        </w:rPr>
        <w:t>ce</w:t>
      </w:r>
      <w:r w:rsidR="6BF9BE63" w:rsidRPr="00CE1978">
        <w:rPr>
          <w:rFonts w:ascii="Times New Roman" w:eastAsia="Times New Roman" w:hAnsi="Times New Roman" w:cs="Times New Roman"/>
          <w:iCs/>
          <w:color w:val="000000" w:themeColor="text1"/>
          <w:sz w:val="24"/>
          <w:szCs w:val="24"/>
        </w:rPr>
        <w:t xml:space="preserve"> cechy punktów dost</w:t>
      </w:r>
      <w:r w:rsidR="01780F5B" w:rsidRPr="00CE1978">
        <w:rPr>
          <w:rFonts w:ascii="Times New Roman" w:eastAsia="Times New Roman" w:hAnsi="Times New Roman" w:cs="Times New Roman"/>
          <w:iCs/>
          <w:color w:val="000000" w:themeColor="text1"/>
          <w:sz w:val="24"/>
          <w:szCs w:val="24"/>
        </w:rPr>
        <w:t>ę</w:t>
      </w:r>
      <w:r w:rsidR="6BF9BE63" w:rsidRPr="00CE1978">
        <w:rPr>
          <w:rFonts w:ascii="Times New Roman" w:eastAsia="Times New Roman" w:hAnsi="Times New Roman" w:cs="Times New Roman"/>
          <w:iCs/>
          <w:color w:val="000000" w:themeColor="text1"/>
          <w:sz w:val="24"/>
          <w:szCs w:val="24"/>
        </w:rPr>
        <w:t>pu be</w:t>
      </w:r>
      <w:r w:rsidR="0C60BC34" w:rsidRPr="00CE1978">
        <w:rPr>
          <w:rFonts w:ascii="Times New Roman" w:eastAsia="Times New Roman" w:hAnsi="Times New Roman" w:cs="Times New Roman"/>
          <w:iCs/>
          <w:color w:val="000000" w:themeColor="text1"/>
          <w:sz w:val="24"/>
          <w:szCs w:val="24"/>
        </w:rPr>
        <w:t>zprzewodowego o bliskim zasięgu zgodnie z art. 57 ust. 2 dyrektywy Parlamentu Europejskiego i Rady (UE) 2018/1972 z dnia 11 grudnia 2018 r. ustanawiającej Europe</w:t>
      </w:r>
      <w:r w:rsidR="70981CD1" w:rsidRPr="00CE1978">
        <w:rPr>
          <w:rFonts w:ascii="Times New Roman" w:eastAsia="Times New Roman" w:hAnsi="Times New Roman" w:cs="Times New Roman"/>
          <w:iCs/>
          <w:color w:val="000000" w:themeColor="text1"/>
          <w:sz w:val="24"/>
          <w:szCs w:val="24"/>
        </w:rPr>
        <w:t>jski kodeks łączności elektronicznej</w:t>
      </w:r>
      <w:r w:rsidR="70981CD1" w:rsidRPr="00CE1978">
        <w:rPr>
          <w:rFonts w:ascii="Times New Roman" w:eastAsia="Times New Roman" w:hAnsi="Times New Roman" w:cs="Times New Roman"/>
          <w:color w:val="000000" w:themeColor="text1"/>
          <w:sz w:val="24"/>
          <w:szCs w:val="24"/>
        </w:rPr>
        <w:t>.</w:t>
      </w:r>
      <w:r w:rsidR="53DF8C8D" w:rsidRPr="00CE1978">
        <w:rPr>
          <w:rFonts w:ascii="Times New Roman" w:eastAsia="Times New Roman" w:hAnsi="Times New Roman" w:cs="Times New Roman"/>
          <w:color w:val="000000" w:themeColor="text1"/>
          <w:sz w:val="24"/>
          <w:szCs w:val="24"/>
        </w:rPr>
        <w:t xml:space="preserve"> Zgodnie z </w:t>
      </w:r>
      <w:r w:rsidR="00614493" w:rsidRPr="00CE1978">
        <w:rPr>
          <w:rFonts w:ascii="Times New Roman" w:eastAsia="Times New Roman" w:hAnsi="Times New Roman" w:cs="Times New Roman"/>
          <w:color w:val="000000" w:themeColor="text1"/>
          <w:sz w:val="24"/>
          <w:szCs w:val="24"/>
        </w:rPr>
        <w:t xml:space="preserve">art. </w:t>
      </w:r>
      <w:r w:rsidR="53DF8C8D" w:rsidRPr="00CE1978">
        <w:rPr>
          <w:rFonts w:ascii="Times New Roman" w:eastAsia="Times New Roman" w:hAnsi="Times New Roman" w:cs="Times New Roman"/>
          <w:color w:val="000000" w:themeColor="text1"/>
          <w:sz w:val="24"/>
          <w:szCs w:val="24"/>
        </w:rPr>
        <w:t>1 tego rozporządzenia nie ma ono zastosowania do punktów dostępu bezprzewodowego o bliskim zasięgu z aktywnym systemem an</w:t>
      </w:r>
      <w:r w:rsidR="449AEE07" w:rsidRPr="00CE1978">
        <w:rPr>
          <w:rFonts w:ascii="Times New Roman" w:eastAsia="Times New Roman" w:hAnsi="Times New Roman" w:cs="Times New Roman"/>
          <w:color w:val="000000" w:themeColor="text1"/>
          <w:sz w:val="24"/>
          <w:szCs w:val="24"/>
        </w:rPr>
        <w:t>tenowym, a więc analogicznie propozycje przepisów w polskim prawie nie odnoszą się do tego typu</w:t>
      </w:r>
      <w:r w:rsidR="4D4CB579" w:rsidRPr="00CE1978">
        <w:rPr>
          <w:rFonts w:ascii="Times New Roman" w:eastAsia="Times New Roman" w:hAnsi="Times New Roman" w:cs="Times New Roman"/>
          <w:color w:val="000000" w:themeColor="text1"/>
          <w:sz w:val="24"/>
          <w:szCs w:val="24"/>
        </w:rPr>
        <w:t xml:space="preserve"> instalacji (z aktywnym systemem antenowym).</w:t>
      </w:r>
    </w:p>
    <w:p w14:paraId="4102D7D0" w14:textId="573EBF6D" w:rsidR="002117BC" w:rsidRPr="00532F3A"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Definicję publicznej infrastruktury technicznej dodano do słowniczka</w:t>
      </w:r>
      <w:r w:rsidR="002117BC" w:rsidRPr="00CE1978">
        <w:rPr>
          <w:rFonts w:ascii="Times New Roman" w:eastAsia="Times New Roman" w:hAnsi="Times New Roman" w:cs="Times New Roman"/>
          <w:color w:val="000000" w:themeColor="text1"/>
          <w:sz w:val="24"/>
          <w:szCs w:val="24"/>
        </w:rPr>
        <w:t xml:space="preserve"> ustawowego</w:t>
      </w:r>
      <w:r w:rsidRPr="00CE1978">
        <w:rPr>
          <w:rFonts w:ascii="Times New Roman" w:eastAsia="Times New Roman" w:hAnsi="Times New Roman" w:cs="Times New Roman"/>
          <w:color w:val="000000" w:themeColor="text1"/>
          <w:sz w:val="24"/>
          <w:szCs w:val="24"/>
        </w:rPr>
        <w:t xml:space="preserve"> na potrzeby wyjaśnienia stosowania dalszych regulacji w zakresie umieszczania w przestrzeni publicznej punktów dostępu bezprzewodowego o bliskim zasięgu. Definicja ta wywodzi się z treści art. 57 ust. 4 </w:t>
      </w:r>
      <w:r w:rsidR="14D5F2EB" w:rsidRPr="00CE1978">
        <w:rPr>
          <w:rFonts w:ascii="Times New Roman" w:eastAsia="Times New Roman" w:hAnsi="Times New Roman" w:cs="Times New Roman"/>
          <w:color w:val="000000" w:themeColor="text1"/>
          <w:sz w:val="24"/>
          <w:szCs w:val="24"/>
        </w:rPr>
        <w:t>EKŁE</w:t>
      </w:r>
      <w:r w:rsidR="002117BC" w:rsidRPr="00CE1978">
        <w:rPr>
          <w:rFonts w:ascii="Times New Roman" w:eastAsia="Times New Roman" w:hAnsi="Times New Roman" w:cs="Times New Roman"/>
          <w:color w:val="000000" w:themeColor="text1"/>
          <w:sz w:val="24"/>
          <w:szCs w:val="24"/>
        </w:rPr>
        <w:t xml:space="preserve">, zgodnie </w:t>
      </w:r>
      <w:r w:rsidR="00530D8E" w:rsidRPr="00CE1978">
        <w:rPr>
          <w:rFonts w:ascii="Times New Roman" w:eastAsia="Times New Roman" w:hAnsi="Times New Roman" w:cs="Times New Roman"/>
          <w:color w:val="000000" w:themeColor="text1"/>
          <w:sz w:val="24"/>
          <w:szCs w:val="24"/>
        </w:rPr>
        <w:t xml:space="preserve">z </w:t>
      </w:r>
      <w:r w:rsidR="002117BC" w:rsidRPr="00CE1978">
        <w:rPr>
          <w:rFonts w:ascii="Times New Roman" w:eastAsia="Times New Roman" w:hAnsi="Times New Roman" w:cs="Times New Roman"/>
          <w:color w:val="000000" w:themeColor="text1"/>
          <w:sz w:val="24"/>
          <w:szCs w:val="24"/>
        </w:rPr>
        <w:t>którym</w:t>
      </w:r>
      <w:r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i/>
          <w:color w:val="000000" w:themeColor="text1"/>
          <w:sz w:val="24"/>
          <w:szCs w:val="24"/>
        </w:rPr>
        <w:t>Państwa członkowskie, stosując w odpowiednich przypadkach procedury przyjęte zgodnie z dyrektywą 2014/61/UE, zapewniają, aby operatorzy mieli prawo dostępu do każdej zarządzanej przez krajowe, regionalne lub lokalne organy publiczne infrastruktury technicznej, która nadaje się pod względem technicznym do umieszczania punktów dostępu bezprzewodowego o bliskim zasięgu lub która jest niezbędna do połączenia takich punktów dostępu z siecią szkieletową, w tym wyposażenia ulic, np. latarni, znaków ulicznych, sygnalizacji świetlnej, billboardów, przystanków autobusowych i</w:t>
      </w:r>
      <w:r w:rsidR="00532F3A">
        <w:rPr>
          <w:rFonts w:ascii="Times New Roman" w:eastAsia="Times New Roman" w:hAnsi="Times New Roman" w:cs="Times New Roman"/>
          <w:i/>
          <w:color w:val="000000" w:themeColor="text1"/>
          <w:sz w:val="24"/>
          <w:szCs w:val="24"/>
        </w:rPr>
        <w:t xml:space="preserve"> </w:t>
      </w:r>
      <w:r w:rsidRPr="00532F3A">
        <w:rPr>
          <w:rFonts w:ascii="Times New Roman" w:eastAsia="Times New Roman" w:hAnsi="Times New Roman" w:cs="Times New Roman"/>
          <w:i/>
          <w:color w:val="000000" w:themeColor="text1"/>
          <w:sz w:val="24"/>
          <w:szCs w:val="24"/>
        </w:rPr>
        <w:t>tramwajowych oraz stacji metra. Organy publiczne spełniają wszystkie uzasadnione wnioski o dostęp na uczciwych, rozsądnych, przejrzystych i niedyskryminacyjnych warunkach, które są podawane do wiadomości w pojedynczym punkcie informacyjnym</w:t>
      </w:r>
      <w:r w:rsidR="002117BC" w:rsidRPr="00532F3A">
        <w:rPr>
          <w:rFonts w:ascii="Times New Roman" w:eastAsia="Times New Roman" w:hAnsi="Times New Roman" w:cs="Times New Roman"/>
          <w:color w:val="000000" w:themeColor="text1"/>
          <w:sz w:val="24"/>
          <w:szCs w:val="24"/>
        </w:rPr>
        <w:t>”.</w:t>
      </w:r>
    </w:p>
    <w:p w14:paraId="251E2067" w14:textId="77777777" w:rsidR="75B895FB" w:rsidRPr="00C10C7D"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Biorąc pod uwagę powyższe, po odpowiednich dostosowaniach, publiczna infrastruktura techniczna została zdefiniowana jako „</w:t>
      </w:r>
      <w:r w:rsidRPr="00CE1978">
        <w:rPr>
          <w:rFonts w:ascii="Times New Roman" w:eastAsia="Times New Roman" w:hAnsi="Times New Roman" w:cs="Times New Roman"/>
          <w:i/>
          <w:color w:val="000000" w:themeColor="text1"/>
          <w:sz w:val="24"/>
          <w:szCs w:val="24"/>
        </w:rPr>
        <w:t xml:space="preserve">infrastruktura techniczna w przestrzeni publicznej, będąca własnością albo w zarządzie </w:t>
      </w:r>
      <w:r w:rsidR="00FC36A8" w:rsidRPr="00C10C7D">
        <w:rPr>
          <w:rFonts w:ascii="Times New Roman" w:eastAsia="Times New Roman" w:hAnsi="Times New Roman" w:cs="Times New Roman"/>
          <w:i/>
          <w:color w:val="000000" w:themeColor="text1"/>
          <w:sz w:val="24"/>
          <w:szCs w:val="24"/>
        </w:rPr>
        <w:t>jednostek samorządu terytorialnego, jednostek organizacyjnych jednostek samorządu terytorialnego, państwowych osób prawnych, innych państwowych jednostek organizacyjnych, oraz podmiotów wykonujących zadania z zakresu użyteczności publicznej z choćby częściowym udziałem Skarbu Państwa w strukturze własnościowej nadającą się pod względem technicznym do umieszczania w niej lub na niej punktów dostępu bezprzewodowego o bliskim zasięgu lub niezbędną do połączenia takich punktów z siecią telekomunikacyjną, w szczególności: latarnie, konstrukcje wsporcze znaków drogowych, konstrukcje wsporcze sygnalizatorów świetlnych, konstrukcje wsporcze urządzeń bezpieczeństwa ruchu drogowego, tablice i urządzenia reklamowe, a także przystanki kolejowe, autobusowe i tramwajowe oraz stacje kolejowe i metra</w:t>
      </w:r>
      <w:r w:rsidRPr="00C10C7D">
        <w:rPr>
          <w:rFonts w:ascii="Times New Roman" w:eastAsia="Times New Roman" w:hAnsi="Times New Roman" w:cs="Times New Roman"/>
          <w:color w:val="000000" w:themeColor="text1"/>
          <w:sz w:val="24"/>
          <w:szCs w:val="24"/>
        </w:rPr>
        <w:t>”.</w:t>
      </w:r>
    </w:p>
    <w:p w14:paraId="0FCDE118" w14:textId="77777777"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Projektowana definicja wewnątrzbudynkowej infrastruktury technicznej jest nową definicją, związan</w:t>
      </w:r>
      <w:r w:rsidR="057A5AC4" w:rsidRPr="00C10C7D">
        <w:rPr>
          <w:rFonts w:ascii="Times New Roman" w:eastAsia="Times New Roman" w:hAnsi="Times New Roman" w:cs="Times New Roman"/>
          <w:color w:val="000000" w:themeColor="text1"/>
          <w:sz w:val="24"/>
          <w:szCs w:val="24"/>
        </w:rPr>
        <w:t>ą</w:t>
      </w:r>
      <w:r w:rsidRPr="00C10C7D">
        <w:rPr>
          <w:rFonts w:ascii="Times New Roman" w:eastAsia="Times New Roman" w:hAnsi="Times New Roman" w:cs="Times New Roman"/>
          <w:color w:val="000000" w:themeColor="text1"/>
          <w:sz w:val="24"/>
          <w:szCs w:val="24"/>
        </w:rPr>
        <w:t xml:space="preserve"> ze zmianami w art. 30 Megaustawy. Definicja ta jednoznaczne przesądza, że infrastruktura techniczna pomiędzy miejscem dostępu a zakończeniem sieci w budynku stanowi wewnątrzbudynkową infrastrukturę techniczną.</w:t>
      </w:r>
      <w:r w:rsidR="005A5189" w:rsidRPr="00C10C7D">
        <w:rPr>
          <w:rFonts w:ascii="Times New Roman" w:eastAsia="Times New Roman" w:hAnsi="Times New Roman" w:cs="Times New Roman"/>
          <w:color w:val="000000" w:themeColor="text1"/>
          <w:sz w:val="24"/>
          <w:szCs w:val="24"/>
        </w:rPr>
        <w:t xml:space="preserve"> Wewnątrzbudynkową infrastrukturę techniczną, </w:t>
      </w:r>
      <w:r w:rsidR="005A5189" w:rsidRPr="00C10C7D">
        <w:rPr>
          <w:rFonts w:ascii="Times New Roman" w:hAnsi="Times New Roman" w:cs="Times New Roman"/>
          <w:color w:val="000000" w:themeColor="text1"/>
          <w:sz w:val="24"/>
          <w:szCs w:val="24"/>
        </w:rPr>
        <w:t>w przypadku gdy miejsce dostępu znajduje się w budynku</w:t>
      </w:r>
      <w:r w:rsidR="005A5189" w:rsidRPr="00C10C7D">
        <w:rPr>
          <w:rFonts w:ascii="Times New Roman" w:eastAsia="Times New Roman" w:hAnsi="Times New Roman" w:cs="Times New Roman"/>
          <w:color w:val="000000" w:themeColor="text1"/>
          <w:sz w:val="24"/>
          <w:szCs w:val="24"/>
        </w:rPr>
        <w:t xml:space="preserve">, stanowi również odcinek kanalizacji kablowej </w:t>
      </w:r>
      <w:r w:rsidR="005A5189" w:rsidRPr="00C10C7D">
        <w:rPr>
          <w:rFonts w:ascii="Times New Roman" w:hAnsi="Times New Roman" w:cs="Times New Roman"/>
          <w:color w:val="000000" w:themeColor="text1"/>
          <w:sz w:val="24"/>
          <w:szCs w:val="24"/>
        </w:rPr>
        <w:t>pomiędzy złączem rozgałęźnym poza budynkiem a miejscem dostępu.</w:t>
      </w:r>
    </w:p>
    <w:p w14:paraId="684108BE" w14:textId="0634725B"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75B895F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75B895FB" w:rsidRPr="00CE1978">
        <w:rPr>
          <w:rFonts w:ascii="Times New Roman" w:eastAsia="Times New Roman" w:hAnsi="Times New Roman" w:cs="Times New Roman"/>
          <w:b/>
          <w:bCs/>
          <w:color w:val="000000" w:themeColor="text1"/>
          <w:sz w:val="24"/>
          <w:szCs w:val="24"/>
        </w:rPr>
        <w:t xml:space="preserve">pkt 2 lit. b </w:t>
      </w:r>
    </w:p>
    <w:p w14:paraId="21F9559D" w14:textId="0A15AC6C"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Dotychczasowy przepis art. 2 ust. 2 </w:t>
      </w:r>
      <w:r w:rsidR="00A31684" w:rsidRPr="00CE1978">
        <w:rPr>
          <w:rFonts w:ascii="Times New Roman" w:eastAsia="Times New Roman" w:hAnsi="Times New Roman" w:cs="Times New Roman"/>
          <w:color w:val="000000" w:themeColor="text1"/>
          <w:sz w:val="24"/>
          <w:szCs w:val="24"/>
        </w:rPr>
        <w:t>Megaustawy</w:t>
      </w:r>
      <w:r w:rsidRPr="00CE1978">
        <w:rPr>
          <w:rFonts w:ascii="Times New Roman" w:eastAsia="Times New Roman" w:hAnsi="Times New Roman" w:cs="Times New Roman"/>
          <w:color w:val="000000" w:themeColor="text1"/>
          <w:sz w:val="24"/>
          <w:szCs w:val="24"/>
        </w:rPr>
        <w:t xml:space="preserve"> wyraźnie precyzował, że pojęcia używane w ustawie należy w pierwszej kolejności interpretować zgodnie ze znaczeni</w:t>
      </w:r>
      <w:r w:rsidR="002117BC" w:rsidRPr="00CE1978">
        <w:rPr>
          <w:rFonts w:ascii="Times New Roman" w:eastAsia="Times New Roman" w:hAnsi="Times New Roman" w:cs="Times New Roman"/>
          <w:color w:val="000000" w:themeColor="text1"/>
          <w:sz w:val="24"/>
          <w:szCs w:val="24"/>
        </w:rPr>
        <w:t>ami, jakie tym pojęciom nadawało</w:t>
      </w:r>
      <w:r w:rsidRPr="00CE1978">
        <w:rPr>
          <w:rFonts w:ascii="Times New Roman" w:eastAsia="Times New Roman" w:hAnsi="Times New Roman" w:cs="Times New Roman"/>
          <w:color w:val="000000" w:themeColor="text1"/>
          <w:sz w:val="24"/>
          <w:szCs w:val="24"/>
        </w:rPr>
        <w:t xml:space="preserve"> </w:t>
      </w:r>
      <w:r w:rsidR="002117BC" w:rsidRPr="00CE1978">
        <w:rPr>
          <w:rFonts w:ascii="Times New Roman" w:eastAsia="Times New Roman" w:hAnsi="Times New Roman" w:cs="Times New Roman"/>
          <w:color w:val="000000" w:themeColor="text1"/>
          <w:sz w:val="24"/>
          <w:szCs w:val="24"/>
        </w:rPr>
        <w:t>Pt</w:t>
      </w:r>
      <w:r w:rsidRPr="00CE1978">
        <w:rPr>
          <w:rFonts w:ascii="Times New Roman" w:eastAsia="Times New Roman" w:hAnsi="Times New Roman" w:cs="Times New Roman"/>
          <w:color w:val="000000" w:themeColor="text1"/>
          <w:sz w:val="24"/>
          <w:szCs w:val="24"/>
        </w:rPr>
        <w:t xml:space="preserve">. </w:t>
      </w:r>
      <w:r w:rsidR="39645FBB" w:rsidRPr="00CE1978">
        <w:rPr>
          <w:rFonts w:ascii="Times New Roman" w:eastAsia="Times New Roman" w:hAnsi="Times New Roman" w:cs="Times New Roman"/>
          <w:color w:val="000000" w:themeColor="text1"/>
          <w:sz w:val="24"/>
          <w:szCs w:val="24"/>
        </w:rPr>
        <w:t xml:space="preserve">Jest to przepis zbędny i w związku z tym projektowane jest jego uchylenie. </w:t>
      </w:r>
      <w:r w:rsidRPr="00CE1978">
        <w:rPr>
          <w:rFonts w:ascii="Times New Roman" w:eastAsia="Times New Roman" w:hAnsi="Times New Roman" w:cs="Times New Roman"/>
          <w:color w:val="000000" w:themeColor="text1"/>
          <w:sz w:val="24"/>
          <w:szCs w:val="24"/>
        </w:rPr>
        <w:t xml:space="preserve">Nie wyklucza to dalszej, systemowej wykładni pojęć </w:t>
      </w:r>
      <w:r w:rsidR="51A0556D" w:rsidRPr="00CE1978">
        <w:rPr>
          <w:rFonts w:ascii="Times New Roman" w:eastAsia="Times New Roman" w:hAnsi="Times New Roman" w:cs="Times New Roman"/>
          <w:color w:val="000000" w:themeColor="text1"/>
          <w:sz w:val="24"/>
          <w:szCs w:val="24"/>
        </w:rPr>
        <w:t>M</w:t>
      </w:r>
      <w:r w:rsidRPr="00CE1978">
        <w:rPr>
          <w:rFonts w:ascii="Times New Roman" w:eastAsia="Times New Roman" w:hAnsi="Times New Roman" w:cs="Times New Roman"/>
          <w:color w:val="000000" w:themeColor="text1"/>
          <w:sz w:val="24"/>
          <w:szCs w:val="24"/>
        </w:rPr>
        <w:t xml:space="preserve">egaustawy przez pryzmat ich definicji w </w:t>
      </w:r>
      <w:r w:rsidR="00CB12BC" w:rsidRPr="00CE1978">
        <w:rPr>
          <w:rFonts w:ascii="Times New Roman" w:eastAsia="Times New Roman" w:hAnsi="Times New Roman" w:cs="Times New Roman"/>
          <w:color w:val="000000" w:themeColor="text1"/>
          <w:sz w:val="24"/>
          <w:szCs w:val="24"/>
        </w:rPr>
        <w:t>Pke</w:t>
      </w:r>
      <w:r w:rsidRPr="00CE1978">
        <w:rPr>
          <w:rFonts w:ascii="Times New Roman" w:eastAsia="Times New Roman" w:hAnsi="Times New Roman" w:cs="Times New Roman"/>
          <w:color w:val="000000" w:themeColor="text1"/>
          <w:sz w:val="24"/>
          <w:szCs w:val="24"/>
        </w:rPr>
        <w:t xml:space="preserve">, należy bowiem zauważyć, że art. 2 ust. 2 </w:t>
      </w:r>
      <w:r w:rsidR="72FF4BD8" w:rsidRPr="00CE1978">
        <w:rPr>
          <w:rFonts w:ascii="Times New Roman" w:eastAsia="Times New Roman" w:hAnsi="Times New Roman" w:cs="Times New Roman"/>
          <w:color w:val="000000" w:themeColor="text1"/>
          <w:sz w:val="24"/>
          <w:szCs w:val="24"/>
        </w:rPr>
        <w:t>M</w:t>
      </w:r>
      <w:r w:rsidRPr="00CE1978">
        <w:rPr>
          <w:rFonts w:ascii="Times New Roman" w:eastAsia="Times New Roman" w:hAnsi="Times New Roman" w:cs="Times New Roman"/>
          <w:color w:val="000000" w:themeColor="text1"/>
          <w:sz w:val="24"/>
          <w:szCs w:val="24"/>
        </w:rPr>
        <w:t xml:space="preserve">egaustawy stanowił </w:t>
      </w:r>
      <w:r w:rsidRPr="00CE1978">
        <w:rPr>
          <w:rFonts w:ascii="Times New Roman" w:eastAsia="Times New Roman" w:hAnsi="Times New Roman" w:cs="Times New Roman"/>
          <w:i/>
          <w:iCs/>
          <w:color w:val="000000" w:themeColor="text1"/>
          <w:sz w:val="24"/>
          <w:szCs w:val="24"/>
        </w:rPr>
        <w:t>de facto</w:t>
      </w:r>
      <w:r w:rsidRPr="00CE1978">
        <w:rPr>
          <w:rFonts w:ascii="Times New Roman" w:eastAsia="Times New Roman" w:hAnsi="Times New Roman" w:cs="Times New Roman"/>
          <w:color w:val="000000" w:themeColor="text1"/>
          <w:sz w:val="24"/>
          <w:szCs w:val="24"/>
        </w:rPr>
        <w:t xml:space="preserve"> odzwierciedlenie ówczesnej (na moment przyjęcia pierwotnego tekstu </w:t>
      </w:r>
      <w:r w:rsidR="275E8E9A" w:rsidRPr="00CE1978">
        <w:rPr>
          <w:rFonts w:ascii="Times New Roman" w:eastAsia="Times New Roman" w:hAnsi="Times New Roman" w:cs="Times New Roman"/>
          <w:color w:val="000000" w:themeColor="text1"/>
          <w:sz w:val="24"/>
          <w:szCs w:val="24"/>
        </w:rPr>
        <w:t>M</w:t>
      </w:r>
      <w:r w:rsidRPr="00CE1978">
        <w:rPr>
          <w:rFonts w:ascii="Times New Roman" w:eastAsia="Times New Roman" w:hAnsi="Times New Roman" w:cs="Times New Roman"/>
          <w:color w:val="000000" w:themeColor="text1"/>
          <w:sz w:val="24"/>
          <w:szCs w:val="24"/>
        </w:rPr>
        <w:t>egaustawy) praktyki legislacyjnej w zakresie wskazywania sposobu dokonywania wykładni pojęć normatywnych, od której ustawodawstwo polskie już odeszło.</w:t>
      </w:r>
      <w:r w:rsidR="00724430" w:rsidRPr="00CE1978">
        <w:rPr>
          <w:rFonts w:ascii="Times New Roman" w:eastAsia="Times New Roman" w:hAnsi="Times New Roman" w:cs="Times New Roman"/>
          <w:color w:val="000000" w:themeColor="text1"/>
          <w:sz w:val="24"/>
          <w:szCs w:val="24"/>
        </w:rPr>
        <w:t xml:space="preserve"> Zgodnie z § 148 Zasad techniki prawodawczej</w:t>
      </w:r>
      <w:r w:rsidR="00724430" w:rsidRPr="00F61D64">
        <w:rPr>
          <w:rStyle w:val="Odwoanieprzypisudolnego"/>
          <w:rFonts w:ascii="Times New Roman" w:eastAsia="Times New Roman" w:hAnsi="Times New Roman" w:cs="Times New Roman"/>
          <w:color w:val="000000" w:themeColor="text1"/>
          <w:sz w:val="24"/>
          <w:szCs w:val="24"/>
        </w:rPr>
        <w:footnoteReference w:id="2"/>
      </w:r>
      <w:r w:rsidR="007E24A1" w:rsidRPr="00F91F34">
        <w:rPr>
          <w:rFonts w:ascii="Times New Roman" w:eastAsia="Times New Roman" w:hAnsi="Times New Roman" w:cs="Times New Roman"/>
          <w:color w:val="000000" w:themeColor="text1"/>
          <w:sz w:val="24"/>
          <w:szCs w:val="24"/>
          <w:vertAlign w:val="superscript"/>
        </w:rPr>
        <w:t>)</w:t>
      </w:r>
      <w:r w:rsidR="00724430" w:rsidRPr="00532F3A">
        <w:rPr>
          <w:rFonts w:ascii="Times New Roman" w:eastAsia="Times New Roman" w:hAnsi="Times New Roman" w:cs="Times New Roman"/>
          <w:color w:val="000000" w:themeColor="text1"/>
          <w:sz w:val="24"/>
          <w:szCs w:val="24"/>
        </w:rPr>
        <w:t xml:space="preserve">, jeżeli w ustawie zachodzi wyjątkowo potrzeba odstąpienia od znaczenia danego określenia ustalonego w ustawie określanej m.in. jako „prawo” podstawowej dla danej dziedziny spraw, to wtedy należy podjąć odpowiednie rozwiązania legislacyjne </w:t>
      </w:r>
      <w:r w:rsidR="007F6A4A" w:rsidRPr="00532F3A">
        <w:rPr>
          <w:rFonts w:ascii="Times New Roman" w:eastAsia="Times New Roman" w:hAnsi="Times New Roman" w:cs="Times New Roman"/>
          <w:color w:val="000000" w:themeColor="text1"/>
          <w:sz w:val="24"/>
          <w:szCs w:val="24"/>
        </w:rPr>
        <w:t>z zasad techniki prawodawczej</w:t>
      </w:r>
      <w:r w:rsidR="00724430" w:rsidRPr="00532F3A">
        <w:rPr>
          <w:rFonts w:ascii="Times New Roman" w:eastAsia="Times New Roman" w:hAnsi="Times New Roman" w:cs="Times New Roman"/>
          <w:color w:val="000000" w:themeColor="text1"/>
          <w:sz w:val="24"/>
          <w:szCs w:val="24"/>
        </w:rPr>
        <w:t xml:space="preserve">. </w:t>
      </w:r>
      <w:r w:rsidR="00724430" w:rsidRPr="00532F3A">
        <w:rPr>
          <w:rFonts w:ascii="Times New Roman" w:eastAsia="Times New Roman" w:hAnsi="Times New Roman" w:cs="Times New Roman"/>
          <w:color w:val="000000" w:themeColor="text1"/>
          <w:sz w:val="24"/>
          <w:szCs w:val="24"/>
        </w:rPr>
        <w:lastRenderedPageBreak/>
        <w:t>Nie ma takiej potrzeby w rzeczonym przepisie, ponieważ siatka pojęciowa jest wspólna dla wszystkich aktów prawnych w tej gałęzi prawa</w:t>
      </w:r>
      <w:r w:rsidR="00AC29D4" w:rsidRPr="00532F3A">
        <w:rPr>
          <w:rFonts w:ascii="Times New Roman" w:eastAsia="Times New Roman" w:hAnsi="Times New Roman" w:cs="Times New Roman"/>
          <w:color w:val="000000" w:themeColor="text1"/>
          <w:sz w:val="24"/>
          <w:szCs w:val="24"/>
        </w:rPr>
        <w:t>, obejmującej m.in. projektowane Pke oraz</w:t>
      </w:r>
      <w:r w:rsidR="72FE6431" w:rsidRPr="00532F3A">
        <w:rPr>
          <w:rFonts w:ascii="Times New Roman" w:eastAsia="Times New Roman" w:hAnsi="Times New Roman" w:cs="Times New Roman"/>
          <w:color w:val="000000" w:themeColor="text1"/>
          <w:sz w:val="24"/>
          <w:szCs w:val="24"/>
        </w:rPr>
        <w:t xml:space="preserve"> nowelizowaną</w:t>
      </w:r>
      <w:r w:rsidR="00AC29D4" w:rsidRPr="00CE1978">
        <w:rPr>
          <w:rFonts w:ascii="Times New Roman" w:eastAsia="Times New Roman" w:hAnsi="Times New Roman" w:cs="Times New Roman"/>
          <w:color w:val="000000" w:themeColor="text1"/>
          <w:sz w:val="24"/>
          <w:szCs w:val="24"/>
        </w:rPr>
        <w:t xml:space="preserve"> Megaustawę</w:t>
      </w:r>
      <w:r w:rsidR="00724430" w:rsidRPr="00CE1978">
        <w:rPr>
          <w:rFonts w:ascii="Times New Roman" w:eastAsia="Times New Roman" w:hAnsi="Times New Roman" w:cs="Times New Roman"/>
          <w:color w:val="000000" w:themeColor="text1"/>
          <w:sz w:val="24"/>
          <w:szCs w:val="24"/>
        </w:rPr>
        <w:t>.</w:t>
      </w:r>
    </w:p>
    <w:p w14:paraId="755633C9" w14:textId="5A9EA6EF" w:rsidR="75B895FB" w:rsidRPr="00C10C7D" w:rsidRDefault="00D15947" w:rsidP="00F91F34">
      <w:pPr>
        <w:spacing w:before="120" w:after="0" w:line="360" w:lineRule="auto"/>
        <w:jc w:val="both"/>
        <w:rPr>
          <w:rFonts w:ascii="Times New Roman" w:eastAsia="Times New Roman" w:hAnsi="Times New Roman" w:cs="Times New Roman"/>
          <w:b/>
          <w:color w:val="000000" w:themeColor="text1"/>
          <w:sz w:val="24"/>
          <w:szCs w:val="24"/>
          <w:lang w:val="en-US"/>
        </w:rPr>
      </w:pPr>
      <w:r w:rsidRPr="00CE1978">
        <w:rPr>
          <w:rFonts w:ascii="Times New Roman" w:eastAsia="Times New Roman" w:hAnsi="Times New Roman" w:cs="Times New Roman"/>
          <w:b/>
          <w:color w:val="000000" w:themeColor="text1"/>
          <w:sz w:val="24"/>
          <w:szCs w:val="24"/>
          <w:lang w:val="en-US"/>
        </w:rPr>
        <w:t>A</w:t>
      </w:r>
      <w:r w:rsidR="75B895FB" w:rsidRPr="00C10C7D">
        <w:rPr>
          <w:rFonts w:ascii="Times New Roman" w:eastAsia="Times New Roman" w:hAnsi="Times New Roman" w:cs="Times New Roman"/>
          <w:b/>
          <w:color w:val="000000" w:themeColor="text1"/>
          <w:sz w:val="24"/>
          <w:szCs w:val="24"/>
          <w:lang w:val="en-US"/>
        </w:rPr>
        <w:t xml:space="preserve">rt. </w:t>
      </w:r>
      <w:r w:rsidR="00ED5C54" w:rsidRPr="00C10C7D">
        <w:rPr>
          <w:rFonts w:ascii="Times New Roman" w:eastAsia="Times New Roman" w:hAnsi="Times New Roman" w:cs="Times New Roman"/>
          <w:b/>
          <w:color w:val="000000" w:themeColor="text1"/>
          <w:sz w:val="24"/>
          <w:szCs w:val="24"/>
          <w:lang w:val="en-US"/>
        </w:rPr>
        <w:t>3</w:t>
      </w:r>
      <w:r w:rsidR="008A2DD6" w:rsidRPr="00C10C7D">
        <w:rPr>
          <w:rFonts w:ascii="Times New Roman" w:eastAsia="Times New Roman" w:hAnsi="Times New Roman" w:cs="Times New Roman"/>
          <w:b/>
          <w:color w:val="000000" w:themeColor="text1"/>
          <w:sz w:val="24"/>
          <w:szCs w:val="24"/>
          <w:lang w:val="en-US"/>
        </w:rPr>
        <w:t>6</w:t>
      </w:r>
      <w:r w:rsidR="00ED5C54" w:rsidRPr="00C10C7D">
        <w:rPr>
          <w:rFonts w:ascii="Times New Roman" w:eastAsia="Times New Roman" w:hAnsi="Times New Roman" w:cs="Times New Roman"/>
          <w:b/>
          <w:color w:val="000000" w:themeColor="text1"/>
          <w:sz w:val="24"/>
          <w:szCs w:val="24"/>
          <w:lang w:val="en-US"/>
        </w:rPr>
        <w:t xml:space="preserve"> </w:t>
      </w:r>
      <w:r w:rsidR="75B895FB" w:rsidRPr="00C10C7D">
        <w:rPr>
          <w:rFonts w:ascii="Times New Roman" w:eastAsia="Times New Roman" w:hAnsi="Times New Roman" w:cs="Times New Roman"/>
          <w:b/>
          <w:color w:val="000000" w:themeColor="text1"/>
          <w:sz w:val="24"/>
          <w:szCs w:val="24"/>
          <w:lang w:val="en-US"/>
        </w:rPr>
        <w:t xml:space="preserve">pkt 8 lit. </w:t>
      </w:r>
      <w:r w:rsidR="001D1241" w:rsidRPr="00C10C7D">
        <w:rPr>
          <w:rFonts w:ascii="Times New Roman" w:eastAsia="Times New Roman" w:hAnsi="Times New Roman" w:cs="Times New Roman"/>
          <w:b/>
          <w:color w:val="000000" w:themeColor="text1"/>
          <w:sz w:val="24"/>
          <w:szCs w:val="24"/>
          <w:lang w:val="en-US"/>
        </w:rPr>
        <w:t>a i b</w:t>
      </w:r>
    </w:p>
    <w:p w14:paraId="070D985D" w14:textId="77777777"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Proponowane zmiany art. 13 ust. 2 Megaustawy są związane z potrzebą dostosowania odesłań do rozdziałów </w:t>
      </w:r>
      <w:r w:rsidR="00AC29D4" w:rsidRPr="00C10C7D">
        <w:rPr>
          <w:rFonts w:ascii="Times New Roman" w:eastAsia="Times New Roman" w:hAnsi="Times New Roman" w:cs="Times New Roman"/>
          <w:color w:val="000000" w:themeColor="text1"/>
          <w:sz w:val="24"/>
          <w:szCs w:val="24"/>
        </w:rPr>
        <w:t>Pke</w:t>
      </w:r>
      <w:r w:rsidRPr="00C10C7D">
        <w:rPr>
          <w:rFonts w:ascii="Times New Roman" w:eastAsia="Times New Roman" w:hAnsi="Times New Roman" w:cs="Times New Roman"/>
          <w:color w:val="000000" w:themeColor="text1"/>
          <w:sz w:val="24"/>
          <w:szCs w:val="24"/>
        </w:rPr>
        <w:t xml:space="preserve"> dotyczących konsultacji, </w:t>
      </w:r>
      <w:r w:rsidR="00B1440D" w:rsidRPr="00C10C7D">
        <w:rPr>
          <w:rFonts w:ascii="Times New Roman" w:eastAsia="Times New Roman" w:hAnsi="Times New Roman" w:cs="Times New Roman"/>
          <w:color w:val="000000" w:themeColor="text1"/>
          <w:sz w:val="24"/>
          <w:szCs w:val="24"/>
        </w:rPr>
        <w:t>zasad ogólnych dostępu</w:t>
      </w:r>
      <w:r w:rsidR="00401DB5" w:rsidRPr="00C10C7D">
        <w:rPr>
          <w:rFonts w:ascii="Times New Roman" w:eastAsia="Times New Roman" w:hAnsi="Times New Roman" w:cs="Times New Roman"/>
          <w:color w:val="000000" w:themeColor="text1"/>
          <w:sz w:val="24"/>
          <w:szCs w:val="24"/>
        </w:rPr>
        <w:t xml:space="preserve"> telekomunikacyjnego</w:t>
      </w:r>
      <w:r w:rsidRPr="00C10C7D">
        <w:rPr>
          <w:rFonts w:ascii="Times New Roman" w:eastAsia="Times New Roman" w:hAnsi="Times New Roman" w:cs="Times New Roman"/>
          <w:color w:val="000000" w:themeColor="text1"/>
          <w:sz w:val="24"/>
          <w:szCs w:val="24"/>
        </w:rPr>
        <w:t xml:space="preserve"> oraz koordynacji dostępu, a także uwypukleniem skutku, jaki niesie ze sobą nie</w:t>
      </w:r>
      <w:r w:rsidR="00400B73" w:rsidRPr="00C10C7D">
        <w:rPr>
          <w:rFonts w:ascii="Times New Roman" w:eastAsia="Times New Roman" w:hAnsi="Times New Roman" w:cs="Times New Roman"/>
          <w:color w:val="000000" w:themeColor="text1"/>
          <w:sz w:val="24"/>
          <w:szCs w:val="24"/>
        </w:rPr>
        <w:t xml:space="preserve"> </w:t>
      </w:r>
      <w:r w:rsidRPr="00C10C7D">
        <w:rPr>
          <w:rFonts w:ascii="Times New Roman" w:eastAsia="Times New Roman" w:hAnsi="Times New Roman" w:cs="Times New Roman"/>
          <w:color w:val="000000" w:themeColor="text1"/>
          <w:sz w:val="24"/>
          <w:szCs w:val="24"/>
        </w:rPr>
        <w:t xml:space="preserve">zawarcie umowy o dostępie we wskazanym terminie. Z </w:t>
      </w:r>
      <w:r w:rsidR="007F6A4A" w:rsidRPr="00C10C7D">
        <w:rPr>
          <w:rFonts w:ascii="Times New Roman" w:eastAsia="Times New Roman" w:hAnsi="Times New Roman" w:cs="Times New Roman"/>
          <w:color w:val="000000" w:themeColor="text1"/>
          <w:sz w:val="24"/>
          <w:szCs w:val="24"/>
        </w:rPr>
        <w:t>obecnie obowiązujących przepisów</w:t>
      </w:r>
      <w:r w:rsidRPr="00C10C7D">
        <w:rPr>
          <w:rFonts w:ascii="Times New Roman" w:eastAsia="Times New Roman" w:hAnsi="Times New Roman" w:cs="Times New Roman"/>
          <w:color w:val="000000" w:themeColor="text1"/>
          <w:sz w:val="24"/>
          <w:szCs w:val="24"/>
        </w:rPr>
        <w:t xml:space="preserve"> wynika, że jednostka samorządu terytorialnego jest zobowiązana zawrzeć umowę o dostępie telekomunikacyjnym w terminie 30 dni od dnia wystąpienia o jej zawarcie. Niedotrzymanie wskazanego terminu skutkuje nabyciem uprawnienia przez obie strony negocjacji do wniesienia wniosku o rozstrzygnięcie sporu do Prezesa UKE i właśnie ta okoliczność powinna wynikać z redakcji art. 1</w:t>
      </w:r>
      <w:r w:rsidR="19626AC9" w:rsidRPr="00CE1978">
        <w:rPr>
          <w:rFonts w:ascii="Times New Roman" w:eastAsia="Times New Roman" w:hAnsi="Times New Roman" w:cs="Times New Roman"/>
          <w:color w:val="000000" w:themeColor="text1"/>
          <w:sz w:val="24"/>
          <w:szCs w:val="24"/>
        </w:rPr>
        <w:t>3</w:t>
      </w:r>
      <w:r w:rsidRPr="00CE1978">
        <w:rPr>
          <w:rFonts w:ascii="Times New Roman" w:eastAsia="Times New Roman" w:hAnsi="Times New Roman" w:cs="Times New Roman"/>
          <w:color w:val="000000" w:themeColor="text1"/>
          <w:sz w:val="24"/>
          <w:szCs w:val="24"/>
        </w:rPr>
        <w:t xml:space="preserve"> ust. 2. Proponowana treść art. 13 ust. 2 pkt 1 Megaustawy nie pozostawia wątpliwości, że jest to </w:t>
      </w:r>
      <w:r w:rsidR="00521769" w:rsidRPr="00CE1978">
        <w:rPr>
          <w:rFonts w:ascii="Times New Roman" w:eastAsia="Times New Roman" w:hAnsi="Times New Roman" w:cs="Times New Roman"/>
          <w:color w:val="000000" w:themeColor="text1"/>
          <w:sz w:val="24"/>
          <w:szCs w:val="24"/>
        </w:rPr>
        <w:t>przepis wskazujący inny termin na zasadzie określonej w art. 183 ust. 2 pkt 2 Pke</w:t>
      </w:r>
      <w:r w:rsidRPr="00CE1978">
        <w:rPr>
          <w:rFonts w:ascii="Times New Roman" w:eastAsia="Times New Roman" w:hAnsi="Times New Roman" w:cs="Times New Roman"/>
          <w:color w:val="000000" w:themeColor="text1"/>
          <w:sz w:val="24"/>
          <w:szCs w:val="24"/>
        </w:rPr>
        <w:t>.</w:t>
      </w:r>
    </w:p>
    <w:p w14:paraId="2F9AE275" w14:textId="12DF2C39" w:rsidR="75B895FB" w:rsidRPr="00CE1978" w:rsidRDefault="001D124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w:t>
      </w:r>
      <w:r w:rsidR="75B895FB" w:rsidRPr="00CE1978">
        <w:rPr>
          <w:rFonts w:ascii="Times New Roman" w:eastAsia="Times New Roman" w:hAnsi="Times New Roman" w:cs="Times New Roman"/>
          <w:color w:val="000000" w:themeColor="text1"/>
          <w:sz w:val="24"/>
          <w:szCs w:val="24"/>
        </w:rPr>
        <w:t>miany w art. 13 ust. 3 i 4 Megaustawy mają na celu uproszczenie przepisów przesądzających, że obowiązki regulacyjne nałożone na przedsiębiorcę telekomunikacyjnego mają zastosowanie w tym samym zakresie i na tych samych warunkach do elementów sieci telekomunikacyjnej, powiązanych zasobów oraz usług i innych elementów objętych dostępem</w:t>
      </w:r>
      <w:r w:rsidR="00401DB5" w:rsidRPr="00CE1978">
        <w:rPr>
          <w:rFonts w:ascii="Times New Roman" w:eastAsia="Times New Roman" w:hAnsi="Times New Roman" w:cs="Times New Roman"/>
          <w:color w:val="000000" w:themeColor="text1"/>
          <w:sz w:val="24"/>
          <w:szCs w:val="24"/>
        </w:rPr>
        <w:t xml:space="preserve"> telekomunikacyjnym</w:t>
      </w:r>
      <w:r w:rsidR="75B895FB" w:rsidRPr="00CE1978">
        <w:rPr>
          <w:rFonts w:ascii="Times New Roman" w:eastAsia="Times New Roman" w:hAnsi="Times New Roman" w:cs="Times New Roman"/>
          <w:color w:val="000000" w:themeColor="text1"/>
          <w:sz w:val="24"/>
          <w:szCs w:val="24"/>
        </w:rPr>
        <w:t>, nawet gdy zasoby te zostały udostępnione przedsiębiorcy telekomunikacyjne</w:t>
      </w:r>
      <w:r w:rsidR="2A774D87" w:rsidRPr="00CE1978">
        <w:rPr>
          <w:rFonts w:ascii="Times New Roman" w:eastAsia="Times New Roman" w:hAnsi="Times New Roman" w:cs="Times New Roman"/>
          <w:color w:val="000000" w:themeColor="text1"/>
          <w:sz w:val="24"/>
          <w:szCs w:val="24"/>
        </w:rPr>
        <w:t>mu</w:t>
      </w:r>
      <w:r w:rsidR="75B895FB" w:rsidRPr="00CE1978">
        <w:rPr>
          <w:rFonts w:ascii="Times New Roman" w:eastAsia="Times New Roman" w:hAnsi="Times New Roman" w:cs="Times New Roman"/>
          <w:color w:val="000000" w:themeColor="text1"/>
          <w:sz w:val="24"/>
          <w:szCs w:val="24"/>
        </w:rPr>
        <w:t xml:space="preserve"> przez:</w:t>
      </w:r>
    </w:p>
    <w:p w14:paraId="63EE5E98" w14:textId="77777777" w:rsidR="75B895FB" w:rsidRPr="00CE1978" w:rsidRDefault="75B895FB" w:rsidP="00F91F34">
      <w:pPr>
        <w:pStyle w:val="Akapitzlist"/>
        <w:numPr>
          <w:ilvl w:val="0"/>
          <w:numId w:val="1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jednostki samorządu terytorialnego, lub</w:t>
      </w:r>
    </w:p>
    <w:p w14:paraId="4AAFE0FC" w14:textId="77777777" w:rsidR="75B895FB" w:rsidRPr="00CE1978" w:rsidRDefault="75B895FB" w:rsidP="00F91F34">
      <w:pPr>
        <w:pStyle w:val="Akapitzlist"/>
        <w:numPr>
          <w:ilvl w:val="0"/>
          <w:numId w:val="1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podmiot, który zawarł z jednostką samorządu terytorialnego umowę koncesji w rozumieniu ustawy z dnia 21 października 2016 r. o umowie koncesji na roboty budowlane lub usługi lub umowę o partnerstwie publiczno-prywatnym w rozumieniu ustawy z dnia 19 grudnia 2008 r. o partnerstwie publiczno-prywatnym w zakresie elementów sieci telekomunikacyjnej, powiązanych zasobów oraz usług i innych elementów objętych dostępem.</w:t>
      </w:r>
    </w:p>
    <w:p w14:paraId="5856EF60" w14:textId="576A9534" w:rsidR="001A73E0"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001A73E0"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001A73E0" w:rsidRPr="00CE1978">
        <w:rPr>
          <w:rFonts w:ascii="Times New Roman" w:eastAsia="Times New Roman" w:hAnsi="Times New Roman" w:cs="Times New Roman"/>
          <w:b/>
          <w:bCs/>
          <w:color w:val="000000" w:themeColor="text1"/>
          <w:sz w:val="24"/>
          <w:szCs w:val="24"/>
        </w:rPr>
        <w:t>pkt 1</w:t>
      </w:r>
      <w:r w:rsidR="00DC4C0F" w:rsidRPr="00CE1978">
        <w:rPr>
          <w:rFonts w:ascii="Times New Roman" w:eastAsia="Times New Roman" w:hAnsi="Times New Roman" w:cs="Times New Roman"/>
          <w:b/>
          <w:bCs/>
          <w:color w:val="000000" w:themeColor="text1"/>
          <w:sz w:val="24"/>
          <w:szCs w:val="24"/>
        </w:rPr>
        <w:t>1</w:t>
      </w:r>
      <w:r w:rsidR="00F80DC7" w:rsidRPr="00CE1978">
        <w:rPr>
          <w:rFonts w:ascii="Times New Roman" w:eastAsia="Times New Roman" w:hAnsi="Times New Roman" w:cs="Times New Roman"/>
          <w:b/>
          <w:bCs/>
          <w:color w:val="000000" w:themeColor="text1"/>
          <w:sz w:val="24"/>
          <w:szCs w:val="24"/>
        </w:rPr>
        <w:t xml:space="preserve"> </w:t>
      </w:r>
    </w:p>
    <w:p w14:paraId="242A2A5E" w14:textId="7833AC89" w:rsidR="000A6F48" w:rsidRPr="00CE1978" w:rsidRDefault="001A73E0"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Zmiany w art. 16a ust. 3 Megaustawy</w:t>
      </w:r>
      <w:r w:rsidR="00DF5404" w:rsidRPr="00CE1978">
        <w:rPr>
          <w:rFonts w:ascii="Times New Roman" w:eastAsia="Times New Roman" w:hAnsi="Times New Roman" w:cs="Times New Roman"/>
          <w:color w:val="000000" w:themeColor="text1"/>
          <w:sz w:val="24"/>
          <w:szCs w:val="24"/>
        </w:rPr>
        <w:t xml:space="preserve"> </w:t>
      </w:r>
      <w:r w:rsidR="00F80DC7" w:rsidRPr="00CE1978">
        <w:rPr>
          <w:rFonts w:ascii="Times New Roman" w:eastAsia="Times New Roman" w:hAnsi="Times New Roman" w:cs="Times New Roman"/>
          <w:color w:val="000000" w:themeColor="text1"/>
          <w:sz w:val="24"/>
          <w:szCs w:val="24"/>
        </w:rPr>
        <w:t xml:space="preserve">polegają na rozszerzeniu katalogu przychodów Funduszu Szerokopasmowego, </w:t>
      </w:r>
      <w:r w:rsidR="000A6F48" w:rsidRPr="00CE1978">
        <w:rPr>
          <w:rFonts w:ascii="Times New Roman" w:eastAsia="Times New Roman" w:hAnsi="Times New Roman" w:cs="Times New Roman"/>
          <w:color w:val="000000" w:themeColor="text1"/>
          <w:sz w:val="24"/>
          <w:szCs w:val="24"/>
        </w:rPr>
        <w:t xml:space="preserve">m.in. </w:t>
      </w:r>
      <w:r w:rsidR="00F80DC7" w:rsidRPr="00CE1978">
        <w:rPr>
          <w:rFonts w:ascii="Times New Roman" w:eastAsia="Times New Roman" w:hAnsi="Times New Roman" w:cs="Times New Roman"/>
          <w:color w:val="000000" w:themeColor="text1"/>
          <w:sz w:val="24"/>
          <w:szCs w:val="24"/>
        </w:rPr>
        <w:t>o</w:t>
      </w:r>
      <w:r w:rsidR="000A6F48" w:rsidRPr="00CE1978">
        <w:rPr>
          <w:rFonts w:ascii="Times New Roman" w:eastAsia="Times New Roman" w:hAnsi="Times New Roman" w:cs="Times New Roman"/>
          <w:color w:val="000000" w:themeColor="text1"/>
          <w:sz w:val="24"/>
          <w:szCs w:val="24"/>
        </w:rPr>
        <w:t>:</w:t>
      </w:r>
    </w:p>
    <w:p w14:paraId="053CB632" w14:textId="24447ABF" w:rsidR="000A6F48" w:rsidRPr="00CE1978" w:rsidRDefault="00A55690" w:rsidP="00F91F34">
      <w:pPr>
        <w:pStyle w:val="Akapitzlist"/>
        <w:numPr>
          <w:ilvl w:val="0"/>
          <w:numId w:val="1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kary pieniężne, o których mowa w art. 76a ust. 1 ustawy z dnia 5 lipca 2018 r. o krajowym systemie </w:t>
      </w:r>
      <w:r w:rsidR="0060241B" w:rsidRPr="00CE1978">
        <w:rPr>
          <w:rFonts w:ascii="Times New Roman" w:eastAsia="Times New Roman" w:hAnsi="Times New Roman" w:cs="Times New Roman"/>
          <w:color w:val="000000" w:themeColor="text1"/>
          <w:sz w:val="24"/>
          <w:szCs w:val="24"/>
        </w:rPr>
        <w:t>cyberbezpieczeństw</w:t>
      </w:r>
      <w:r w:rsidR="002F2F8E" w:rsidRPr="00CE1978">
        <w:rPr>
          <w:rFonts w:ascii="Times New Roman" w:eastAsia="Times New Roman" w:hAnsi="Times New Roman" w:cs="Times New Roman"/>
          <w:color w:val="000000" w:themeColor="text1"/>
          <w:sz w:val="24"/>
          <w:szCs w:val="24"/>
        </w:rPr>
        <w:t>a</w:t>
      </w:r>
      <w:r w:rsidR="0060241B" w:rsidRPr="00CE1978">
        <w:rPr>
          <w:rFonts w:ascii="Times New Roman" w:eastAsia="Times New Roman" w:hAnsi="Times New Roman" w:cs="Times New Roman"/>
          <w:color w:val="000000" w:themeColor="text1"/>
          <w:sz w:val="24"/>
          <w:szCs w:val="24"/>
        </w:rPr>
        <w:t xml:space="preserve"> (Dz. U. z 202</w:t>
      </w:r>
      <w:r w:rsidR="00FA1EA7" w:rsidRPr="00CE1978">
        <w:rPr>
          <w:rFonts w:ascii="Times New Roman" w:eastAsia="Times New Roman" w:hAnsi="Times New Roman" w:cs="Times New Roman"/>
          <w:color w:val="000000" w:themeColor="text1"/>
          <w:sz w:val="24"/>
          <w:szCs w:val="24"/>
        </w:rPr>
        <w:t>2</w:t>
      </w:r>
      <w:r w:rsidR="0060241B" w:rsidRPr="00CE1978">
        <w:rPr>
          <w:rFonts w:ascii="Times New Roman" w:eastAsia="Times New Roman" w:hAnsi="Times New Roman" w:cs="Times New Roman"/>
          <w:color w:val="000000" w:themeColor="text1"/>
          <w:sz w:val="24"/>
          <w:szCs w:val="24"/>
        </w:rPr>
        <w:t xml:space="preserve"> r. poz. 1</w:t>
      </w:r>
      <w:r w:rsidR="00FA1EA7" w:rsidRPr="00CE1978">
        <w:rPr>
          <w:rFonts w:ascii="Times New Roman" w:eastAsia="Times New Roman" w:hAnsi="Times New Roman" w:cs="Times New Roman"/>
          <w:color w:val="000000" w:themeColor="text1"/>
          <w:sz w:val="24"/>
          <w:szCs w:val="24"/>
        </w:rPr>
        <w:t>863)</w:t>
      </w:r>
      <w:r w:rsidR="0060241B" w:rsidRPr="00CE1978">
        <w:rPr>
          <w:rFonts w:ascii="Times New Roman" w:eastAsia="Times New Roman" w:hAnsi="Times New Roman" w:cs="Times New Roman"/>
          <w:color w:val="000000" w:themeColor="text1"/>
          <w:sz w:val="24"/>
          <w:szCs w:val="24"/>
        </w:rPr>
        <w:t>,</w:t>
      </w:r>
    </w:p>
    <w:p w14:paraId="67049A5A" w14:textId="33E99E9D" w:rsidR="00C705A4" w:rsidRPr="00CE1978" w:rsidRDefault="00C705A4" w:rsidP="00F91F34">
      <w:pPr>
        <w:pStyle w:val="Akapitzlist"/>
        <w:numPr>
          <w:ilvl w:val="0"/>
          <w:numId w:val="1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 xml:space="preserve">środki </w:t>
      </w:r>
      <w:r w:rsidR="00985EB4" w:rsidRPr="00CE1978">
        <w:rPr>
          <w:rFonts w:ascii="Times New Roman" w:eastAsia="Times New Roman" w:hAnsi="Times New Roman" w:cs="Times New Roman"/>
          <w:color w:val="000000" w:themeColor="text1"/>
          <w:sz w:val="24"/>
          <w:szCs w:val="24"/>
        </w:rPr>
        <w:t>za prawo używania urządzenia radiowego objętego pozwoleniem radiowym</w:t>
      </w:r>
      <w:r w:rsidR="006070AC" w:rsidRPr="00CE1978">
        <w:rPr>
          <w:rFonts w:ascii="Times New Roman" w:eastAsia="Times New Roman" w:hAnsi="Times New Roman" w:cs="Times New Roman"/>
          <w:color w:val="000000" w:themeColor="text1"/>
          <w:sz w:val="24"/>
          <w:szCs w:val="24"/>
        </w:rPr>
        <w:t>,</w:t>
      </w:r>
    </w:p>
    <w:p w14:paraId="1A2A08D3" w14:textId="57E24E5F" w:rsidR="006D22AA" w:rsidRPr="00532F3A" w:rsidRDefault="000A6F48" w:rsidP="00F91F34">
      <w:pPr>
        <w:pStyle w:val="Akapitzlist"/>
        <w:numPr>
          <w:ilvl w:val="0"/>
          <w:numId w:val="11"/>
        </w:numPr>
        <w:spacing w:before="120" w:after="0" w:line="360" w:lineRule="auto"/>
        <w:ind w:left="284" w:hanging="284"/>
        <w:contextualSpacing w:val="0"/>
        <w:jc w:val="both"/>
        <w:rPr>
          <w:rFonts w:ascii="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pozostałe na ko</w:t>
      </w:r>
      <w:r w:rsidR="5081BC66" w:rsidRPr="00CE1978">
        <w:rPr>
          <w:rFonts w:ascii="Times New Roman" w:eastAsia="Times New Roman" w:hAnsi="Times New Roman" w:cs="Times New Roman"/>
          <w:color w:val="000000" w:themeColor="text1"/>
          <w:sz w:val="24"/>
          <w:szCs w:val="24"/>
        </w:rPr>
        <w:t>n</w:t>
      </w:r>
      <w:r w:rsidRPr="00CE1978">
        <w:rPr>
          <w:rFonts w:ascii="Times New Roman" w:eastAsia="Times New Roman" w:hAnsi="Times New Roman" w:cs="Times New Roman"/>
          <w:color w:val="000000" w:themeColor="text1"/>
          <w:sz w:val="24"/>
          <w:szCs w:val="24"/>
        </w:rPr>
        <w:t>cie środki z do</w:t>
      </w:r>
      <w:r w:rsidR="00FA523E" w:rsidRPr="00CE1978">
        <w:rPr>
          <w:rFonts w:ascii="Times New Roman" w:eastAsia="Times New Roman" w:hAnsi="Times New Roman" w:cs="Times New Roman"/>
          <w:color w:val="000000" w:themeColor="text1"/>
          <w:sz w:val="24"/>
          <w:szCs w:val="24"/>
        </w:rPr>
        <w:t>ładowań</w:t>
      </w:r>
      <w:r w:rsidRPr="00CE1978">
        <w:rPr>
          <w:rFonts w:ascii="Times New Roman" w:eastAsia="Times New Roman" w:hAnsi="Times New Roman" w:cs="Times New Roman"/>
          <w:color w:val="000000" w:themeColor="text1"/>
          <w:sz w:val="24"/>
          <w:szCs w:val="24"/>
        </w:rPr>
        <w:t xml:space="preserve"> kont prepaid, o których mowa w art. 325 ust. 6 ustawy </w:t>
      </w:r>
      <w:r w:rsidR="00532F3A">
        <w:rPr>
          <w:rFonts w:ascii="Times New Roman" w:eastAsia="Times New Roman" w:hAnsi="Times New Roman" w:cs="Times New Roman"/>
          <w:color w:val="000000" w:themeColor="text1"/>
          <w:sz w:val="24"/>
          <w:szCs w:val="24"/>
        </w:rPr>
        <w:t>–</w:t>
      </w:r>
      <w:r w:rsidR="001B224A" w:rsidRPr="00532F3A">
        <w:rPr>
          <w:rFonts w:ascii="Times New Roman" w:eastAsia="Times New Roman" w:hAnsi="Times New Roman" w:cs="Times New Roman"/>
          <w:color w:val="000000" w:themeColor="text1"/>
          <w:sz w:val="24"/>
          <w:szCs w:val="24"/>
        </w:rPr>
        <w:t xml:space="preserve"> P</w:t>
      </w:r>
      <w:r w:rsidRPr="00532F3A">
        <w:rPr>
          <w:rFonts w:ascii="Times New Roman" w:eastAsia="Times New Roman" w:hAnsi="Times New Roman" w:cs="Times New Roman"/>
          <w:color w:val="000000" w:themeColor="text1"/>
          <w:sz w:val="24"/>
          <w:szCs w:val="24"/>
        </w:rPr>
        <w:t>rawo komunikacji elektronicznej</w:t>
      </w:r>
      <w:r w:rsidR="68AF136B" w:rsidRPr="00532F3A">
        <w:rPr>
          <w:rFonts w:ascii="Times New Roman" w:hAnsi="Times New Roman" w:cs="Times New Roman"/>
          <w:color w:val="000000" w:themeColor="text1"/>
          <w:sz w:val="24"/>
          <w:szCs w:val="24"/>
        </w:rPr>
        <w:t>.</w:t>
      </w:r>
    </w:p>
    <w:p w14:paraId="59A13D0D" w14:textId="65018DEF" w:rsidR="006D22AA" w:rsidRPr="00CE1978" w:rsidRDefault="006D22AA" w:rsidP="00F91F34">
      <w:pPr>
        <w:pStyle w:val="ARTartustawynprozporzdzenia"/>
        <w:ind w:firstLine="0"/>
        <w:rPr>
          <w:rFonts w:ascii="Times New Roman" w:hAnsi="Times New Roman" w:cs="Times New Roman"/>
          <w:color w:val="000000" w:themeColor="text1"/>
          <w:szCs w:val="24"/>
        </w:rPr>
      </w:pPr>
      <w:r w:rsidRPr="00CE1978">
        <w:rPr>
          <w:rFonts w:ascii="Times New Roman" w:hAnsi="Times New Roman" w:cs="Times New Roman"/>
          <w:color w:val="000000" w:themeColor="text1"/>
          <w:szCs w:val="24"/>
        </w:rPr>
        <w:t>Ponadto, w związku z wdrażaniem Funduszu w trudnych realiach pandemicznych, konieczne jest wprowadzenie ustawowych usprawnień w sposobie zarządzania oraz wydatkowania środków Funduszu, aby zapewnić efektywność procesu dystrybucji środków i korzystania ze wsparcia przez beneficjentów Funduszu.</w:t>
      </w:r>
    </w:p>
    <w:p w14:paraId="19AFF09E" w14:textId="77777777" w:rsidR="006D22AA" w:rsidRPr="00CE1978" w:rsidRDefault="006D22AA" w:rsidP="00F91F34">
      <w:pPr>
        <w:pStyle w:val="ARTartustawynprozporzdzenia"/>
        <w:ind w:firstLine="0"/>
        <w:rPr>
          <w:rFonts w:ascii="Times New Roman" w:hAnsi="Times New Roman" w:cs="Times New Roman"/>
          <w:color w:val="000000" w:themeColor="text1"/>
          <w:szCs w:val="24"/>
        </w:rPr>
      </w:pPr>
      <w:r w:rsidRPr="00CE1978">
        <w:rPr>
          <w:rFonts w:ascii="Times New Roman" w:hAnsi="Times New Roman" w:cs="Times New Roman"/>
          <w:color w:val="000000" w:themeColor="text1"/>
          <w:szCs w:val="24"/>
        </w:rPr>
        <w:t>W związku z powyższym proponuje się:</w:t>
      </w:r>
    </w:p>
    <w:p w14:paraId="0DAEAF86" w14:textId="77777777" w:rsidR="006D22AA" w:rsidRPr="00C10C7D" w:rsidRDefault="006D22AA" w:rsidP="00F91F34">
      <w:pPr>
        <w:pStyle w:val="ARTartustawynprozporzdzenia"/>
        <w:numPr>
          <w:ilvl w:val="0"/>
          <w:numId w:val="16"/>
        </w:numPr>
        <w:ind w:left="426" w:hanging="426"/>
        <w:rPr>
          <w:rFonts w:ascii="Times New Roman" w:hAnsi="Times New Roman" w:cs="Times New Roman"/>
          <w:color w:val="000000" w:themeColor="text1"/>
          <w:szCs w:val="24"/>
        </w:rPr>
      </w:pPr>
      <w:r w:rsidRPr="00C10C7D">
        <w:rPr>
          <w:rFonts w:ascii="Times New Roman" w:hAnsi="Times New Roman" w:cs="Times New Roman"/>
          <w:color w:val="000000" w:themeColor="text1"/>
          <w:szCs w:val="24"/>
        </w:rPr>
        <w:t>nowelizację katalogu przeznaczeń środków Funduszu, poprzez uzupełnienie go o:</w:t>
      </w:r>
    </w:p>
    <w:p w14:paraId="01905E28" w14:textId="77777777" w:rsidR="006D22AA" w:rsidRPr="00C10C7D" w:rsidRDefault="006D22AA" w:rsidP="00F91F34">
      <w:pPr>
        <w:pStyle w:val="ARTartustawynprozporzdzenia"/>
        <w:numPr>
          <w:ilvl w:val="0"/>
          <w:numId w:val="17"/>
        </w:numPr>
        <w:ind w:left="851" w:hanging="431"/>
        <w:rPr>
          <w:rFonts w:ascii="Times New Roman" w:hAnsi="Times New Roman" w:cs="Times New Roman"/>
          <w:color w:val="000000" w:themeColor="text1"/>
          <w:szCs w:val="24"/>
        </w:rPr>
      </w:pPr>
      <w:r w:rsidRPr="00C10C7D">
        <w:rPr>
          <w:rFonts w:ascii="Times New Roman" w:hAnsi="Times New Roman" w:cs="Times New Roman"/>
          <w:color w:val="000000" w:themeColor="text1"/>
          <w:szCs w:val="24"/>
        </w:rPr>
        <w:t>wspieranie opracowywania dokumentów planistycznych w obszarze rozwoju podaży i popytu na usługi dostępu do szybkiego internetu – aby móc wspierać w szczególności jednostki samorządu terytorialnego w opracowywaniu dokumentów wyznaczających kierunki ich działań w obszarze umożliwienia swoim mieszkańcom powszechnego i równego dostępu do usług łączności elektronicznej,</w:t>
      </w:r>
    </w:p>
    <w:p w14:paraId="1A78DA08" w14:textId="35D186D8" w:rsidR="006D22AA" w:rsidRPr="00C10C7D" w:rsidRDefault="006D22AA" w:rsidP="00F91F34">
      <w:pPr>
        <w:pStyle w:val="ARTartustawynprozporzdzenia"/>
        <w:numPr>
          <w:ilvl w:val="0"/>
          <w:numId w:val="17"/>
        </w:numPr>
        <w:ind w:left="851" w:hanging="431"/>
        <w:rPr>
          <w:rFonts w:ascii="Times New Roman" w:hAnsi="Times New Roman" w:cs="Times New Roman"/>
          <w:color w:val="000000" w:themeColor="text1"/>
          <w:szCs w:val="24"/>
        </w:rPr>
      </w:pPr>
      <w:r w:rsidRPr="00C10C7D">
        <w:rPr>
          <w:rFonts w:ascii="Times New Roman" w:hAnsi="Times New Roman" w:cs="Times New Roman"/>
          <w:color w:val="000000" w:themeColor="text1"/>
          <w:szCs w:val="24"/>
        </w:rPr>
        <w:t>poradnictwo w zakresie rozwoju kompetencji cyfrowych i korzystania z usług telekomunikacyjnych, które mają być udzielane użytkownikom końcowym najbardziej potrzebującym (np. osobom wykluczonym, ubogim, starszym), tak aby mogli oni skorzystać z profesjonalnej pomocy w zakresie niejasności m.in. prawnych, merytorycznych w korzystaniu z nowoczesnych usług cyfrowych; jednocześnie udzielanie porad w zakresie rozwoju kompetencji cyfrowych i korzystania z usług telekomunikacyjnych, ma za zadanie rozwijanie świadomości i wiedzy użytkowników końcowych na temat korzyści płynących z posiadania do</w:t>
      </w:r>
      <w:r w:rsidR="008E13B1" w:rsidRPr="00C10C7D">
        <w:rPr>
          <w:rFonts w:ascii="Times New Roman" w:hAnsi="Times New Roman" w:cs="Times New Roman"/>
          <w:color w:val="000000" w:themeColor="text1"/>
          <w:szCs w:val="24"/>
        </w:rPr>
        <w:t>stępu do sieci szerokopasmowych,</w:t>
      </w:r>
    </w:p>
    <w:p w14:paraId="7F2AC038" w14:textId="1B7CFF6D" w:rsidR="007E3517" w:rsidRPr="00CE1978" w:rsidRDefault="0065533A" w:rsidP="00F91F34">
      <w:pPr>
        <w:pStyle w:val="ARTartustawynprozporzdzenia"/>
        <w:numPr>
          <w:ilvl w:val="0"/>
          <w:numId w:val="17"/>
        </w:numPr>
        <w:ind w:left="851" w:hanging="431"/>
        <w:rPr>
          <w:rFonts w:ascii="Times New Roman" w:hAnsi="Times New Roman" w:cs="Times New Roman"/>
          <w:color w:val="000000" w:themeColor="text1"/>
          <w:szCs w:val="24"/>
        </w:rPr>
      </w:pPr>
      <w:r w:rsidRPr="00C10C7D">
        <w:rPr>
          <w:rFonts w:ascii="Times New Roman" w:hAnsi="Times New Roman" w:cs="Times New Roman"/>
          <w:color w:val="000000" w:themeColor="text1"/>
          <w:szCs w:val="24"/>
        </w:rPr>
        <w:t>dofina</w:t>
      </w:r>
      <w:r w:rsidR="00AC791C" w:rsidRPr="00C10C7D">
        <w:rPr>
          <w:rFonts w:ascii="Times New Roman" w:hAnsi="Times New Roman" w:cs="Times New Roman"/>
          <w:color w:val="000000" w:themeColor="text1"/>
          <w:szCs w:val="24"/>
        </w:rPr>
        <w:t xml:space="preserve">nsowanie lub finansowanie </w:t>
      </w:r>
      <w:r w:rsidR="000A6F48" w:rsidRPr="00C10C7D">
        <w:rPr>
          <w:rFonts w:ascii="Times New Roman" w:hAnsi="Times New Roman" w:cs="Times New Roman"/>
          <w:color w:val="000000" w:themeColor="text1"/>
          <w:szCs w:val="24"/>
        </w:rPr>
        <w:t xml:space="preserve">świadczeń opieki zdrowotnej w zakresie profilaktyki </w:t>
      </w:r>
      <w:r w:rsidR="00FA523E" w:rsidRPr="00C10C7D">
        <w:rPr>
          <w:rFonts w:ascii="Times New Roman" w:hAnsi="Times New Roman" w:cs="Times New Roman"/>
          <w:szCs w:val="24"/>
        </w:rPr>
        <w:t>i leczenia problemowego korzystania z nowych technologii cyfrowych przez dzieci i młodzież</w:t>
      </w:r>
      <w:r w:rsidR="008E13B1" w:rsidRPr="00C10C7D">
        <w:rPr>
          <w:rFonts w:ascii="Times New Roman" w:hAnsi="Times New Roman" w:cs="Times New Roman"/>
          <w:color w:val="000000" w:themeColor="text1"/>
          <w:szCs w:val="24"/>
        </w:rPr>
        <w:t>,</w:t>
      </w:r>
    </w:p>
    <w:p w14:paraId="3AF007A6" w14:textId="654484F3" w:rsidR="00E3383A" w:rsidRPr="00CE1978" w:rsidRDefault="00E3383A" w:rsidP="00F91F34">
      <w:pPr>
        <w:pStyle w:val="ARTartustawynprozporzdzenia"/>
        <w:numPr>
          <w:ilvl w:val="0"/>
          <w:numId w:val="17"/>
        </w:numPr>
        <w:ind w:left="851" w:hanging="431"/>
        <w:rPr>
          <w:rFonts w:ascii="Times New Roman" w:hAnsi="Times New Roman" w:cs="Times New Roman"/>
          <w:color w:val="000000" w:themeColor="text1"/>
          <w:szCs w:val="24"/>
        </w:rPr>
      </w:pPr>
      <w:r w:rsidRPr="00CE1978">
        <w:rPr>
          <w:rFonts w:ascii="Times New Roman" w:hAnsi="Times New Roman" w:cs="Times New Roman"/>
          <w:color w:val="000000" w:themeColor="text1"/>
          <w:szCs w:val="24"/>
        </w:rPr>
        <w:t>działań w obszarze cyfryzacji obszaru eduka</w:t>
      </w:r>
      <w:r w:rsidR="008E13B1" w:rsidRPr="00CE1978">
        <w:rPr>
          <w:rFonts w:ascii="Times New Roman" w:hAnsi="Times New Roman" w:cs="Times New Roman"/>
          <w:color w:val="000000" w:themeColor="text1"/>
          <w:szCs w:val="24"/>
        </w:rPr>
        <w:t>cji i wychowania przedszkolnego,</w:t>
      </w:r>
    </w:p>
    <w:p w14:paraId="566EA739" w14:textId="679FA44C" w:rsidR="00E3383A" w:rsidRPr="00CE1978" w:rsidRDefault="00C705A4" w:rsidP="00F91F34">
      <w:pPr>
        <w:pStyle w:val="ARTartustawynprozporzdzenia"/>
        <w:numPr>
          <w:ilvl w:val="0"/>
          <w:numId w:val="17"/>
        </w:numPr>
        <w:ind w:left="851" w:hanging="431"/>
        <w:rPr>
          <w:rFonts w:ascii="Times New Roman" w:hAnsi="Times New Roman" w:cs="Times New Roman"/>
          <w:color w:val="000000" w:themeColor="text1"/>
          <w:szCs w:val="24"/>
        </w:rPr>
      </w:pPr>
      <w:r w:rsidRPr="00CE1978">
        <w:rPr>
          <w:rFonts w:ascii="Times New Roman" w:hAnsi="Times New Roman" w:cs="Times New Roman"/>
          <w:color w:val="000000" w:themeColor="text1"/>
          <w:szCs w:val="24"/>
        </w:rPr>
        <w:t>f</w:t>
      </w:r>
      <w:r w:rsidR="00E3383A" w:rsidRPr="00CE1978">
        <w:rPr>
          <w:rFonts w:ascii="Times New Roman" w:hAnsi="Times New Roman" w:cs="Times New Roman"/>
          <w:color w:val="000000" w:themeColor="text1"/>
          <w:szCs w:val="24"/>
        </w:rPr>
        <w:t xml:space="preserve">inansowania </w:t>
      </w:r>
      <w:r w:rsidR="2A4769D8" w:rsidRPr="00CE1978">
        <w:rPr>
          <w:rFonts w:ascii="Times New Roman" w:hAnsi="Times New Roman" w:cs="Times New Roman"/>
          <w:color w:val="000000" w:themeColor="text1"/>
          <w:szCs w:val="24"/>
        </w:rPr>
        <w:t>zadań</w:t>
      </w:r>
      <w:r w:rsidR="00E3383A" w:rsidRPr="00CE1978">
        <w:rPr>
          <w:rFonts w:ascii="Times New Roman" w:hAnsi="Times New Roman" w:cs="Times New Roman"/>
          <w:color w:val="000000" w:themeColor="text1"/>
          <w:szCs w:val="24"/>
        </w:rPr>
        <w:t xml:space="preserve"> </w:t>
      </w:r>
      <w:r w:rsidR="24C3FDC1" w:rsidRPr="00CE1978">
        <w:rPr>
          <w:rFonts w:ascii="Times New Roman" w:hAnsi="Times New Roman" w:cs="Times New Roman"/>
          <w:color w:val="000000" w:themeColor="text1"/>
          <w:szCs w:val="24"/>
        </w:rPr>
        <w:t>d</w:t>
      </w:r>
      <w:r w:rsidR="00E3383A" w:rsidRPr="00CE1978">
        <w:rPr>
          <w:rFonts w:ascii="Times New Roman" w:hAnsi="Times New Roman" w:cs="Times New Roman"/>
          <w:color w:val="000000" w:themeColor="text1"/>
          <w:szCs w:val="24"/>
        </w:rPr>
        <w:t>ysponenta Funduszu</w:t>
      </w:r>
      <w:r w:rsidR="0057481D" w:rsidRPr="00CE1978">
        <w:rPr>
          <w:rFonts w:ascii="Times New Roman" w:hAnsi="Times New Roman" w:cs="Times New Roman"/>
          <w:szCs w:val="24"/>
        </w:rPr>
        <w:t xml:space="preserve"> oraz jednostek podległych lub nadzorowanych przez dysponenta Funduszu w obszarze telekomunikacji oraz związanej z obsługą Funduszu</w:t>
      </w:r>
      <w:r w:rsidR="006070AC" w:rsidRPr="00CE1978">
        <w:rPr>
          <w:rFonts w:ascii="Times New Roman" w:hAnsi="Times New Roman" w:cs="Times New Roman"/>
          <w:color w:val="000000" w:themeColor="text1"/>
          <w:szCs w:val="24"/>
        </w:rPr>
        <w:t>;</w:t>
      </w:r>
    </w:p>
    <w:p w14:paraId="2B1AD6FF" w14:textId="58E213B0" w:rsidR="008925A5" w:rsidRPr="00CE1978" w:rsidRDefault="008925A5" w:rsidP="00F91F34">
      <w:pPr>
        <w:pStyle w:val="ARTartustawynprozporzdzenia"/>
        <w:numPr>
          <w:ilvl w:val="0"/>
          <w:numId w:val="16"/>
        </w:numPr>
        <w:ind w:left="426" w:hanging="426"/>
        <w:rPr>
          <w:rFonts w:ascii="Times New Roman" w:hAnsi="Times New Roman" w:cs="Times New Roman"/>
          <w:color w:val="000000" w:themeColor="text1"/>
          <w:szCs w:val="24"/>
        </w:rPr>
      </w:pPr>
      <w:r w:rsidRPr="00CE1978">
        <w:rPr>
          <w:rFonts w:ascii="Times New Roman" w:hAnsi="Times New Roman" w:cs="Times New Roman"/>
          <w:color w:val="000000" w:themeColor="text1"/>
          <w:szCs w:val="24"/>
        </w:rPr>
        <w:lastRenderedPageBreak/>
        <w:t>skreślenie formy udzielania wsparcia w postaci pożyczek oraz uzupełnienie form wsparcia o finansowanie (obok dofinansowania) – ze względu na ograniczony budżet Funduszu oraz funkcjonowanie Funduszu w otoczeniu interwencyjnym państwa, w którym w innych źródłach finansowych oferowane są różnego rodzaju produkty finansowe o charakterze pożyczkowym, wsparcie w postaci pożyczki nie będzie atrakcyjne dla potencjalnych beneficjentów Funduszu; z kolei wprowadzenie formy finansowania ma na celu uniknięcie wątpliwości co do możliwości udzielania ze środków Funduszu wsparcia w wysokości 100% wartości działań, na które udziela się wsparcia;</w:t>
      </w:r>
    </w:p>
    <w:p w14:paraId="3FB6B543" w14:textId="1CA594EC" w:rsidR="006D22AA" w:rsidRPr="00CE1978" w:rsidRDefault="006D22AA" w:rsidP="00F91F34">
      <w:pPr>
        <w:pStyle w:val="ARTartustawynprozporzdzenia"/>
        <w:numPr>
          <w:ilvl w:val="0"/>
          <w:numId w:val="16"/>
        </w:numPr>
        <w:ind w:left="426" w:hanging="426"/>
        <w:rPr>
          <w:rFonts w:ascii="Times New Roman" w:hAnsi="Times New Roman" w:cs="Times New Roman"/>
          <w:color w:val="000000" w:themeColor="text1"/>
          <w:szCs w:val="24"/>
        </w:rPr>
      </w:pPr>
      <w:r w:rsidRPr="00CE1978">
        <w:rPr>
          <w:rFonts w:ascii="Times New Roman" w:hAnsi="Times New Roman" w:cs="Times New Roman"/>
          <w:color w:val="000000" w:themeColor="text1"/>
          <w:szCs w:val="24"/>
        </w:rPr>
        <w:t>umożliwienie udzielania wsparcia – poza trybem naboru wniosków – także w drodze indywidualnego wezwania potencjalnego beneficjenta do złożenia wniosku – takie rozwiązanie jest stosowane w systemie wydatkowania środków europejskich i znacznie przyspiesza udzielanie wsparcia na potrzeby najpilniejsze</w:t>
      </w:r>
      <w:r w:rsidR="00A21B60" w:rsidRPr="00CE1978">
        <w:rPr>
          <w:rFonts w:ascii="Times New Roman" w:hAnsi="Times New Roman" w:cs="Times New Roman"/>
          <w:color w:val="000000" w:themeColor="text1"/>
          <w:szCs w:val="24"/>
        </w:rPr>
        <w:t>. Jednocześnie wprowadzenie tego szczególnego trybu będzie neutralne z punktu widzenia stosowania ogólnych reguł udzielania pomocy publicznej</w:t>
      </w:r>
      <w:r w:rsidRPr="00CE1978">
        <w:rPr>
          <w:rFonts w:ascii="Times New Roman" w:hAnsi="Times New Roman" w:cs="Times New Roman"/>
          <w:color w:val="000000" w:themeColor="text1"/>
          <w:szCs w:val="24"/>
        </w:rPr>
        <w:t>;</w:t>
      </w:r>
    </w:p>
    <w:p w14:paraId="4E448C6B" w14:textId="17E5577A" w:rsidR="006D22AA" w:rsidRPr="00CE1978" w:rsidRDefault="00E8419E" w:rsidP="00F91F34">
      <w:pPr>
        <w:pStyle w:val="ARTartustawynprozporzdzenia"/>
        <w:numPr>
          <w:ilvl w:val="0"/>
          <w:numId w:val="16"/>
        </w:numPr>
        <w:ind w:left="426" w:hanging="426"/>
        <w:rPr>
          <w:rFonts w:ascii="Times New Roman" w:hAnsi="Times New Roman" w:cs="Times New Roman"/>
          <w:color w:val="000000" w:themeColor="text1"/>
          <w:szCs w:val="24"/>
        </w:rPr>
      </w:pPr>
      <w:r w:rsidRPr="00CE1978">
        <w:rPr>
          <w:rFonts w:ascii="Times New Roman" w:hAnsi="Times New Roman" w:cs="Times New Roman"/>
          <w:color w:val="000000" w:themeColor="text1"/>
          <w:szCs w:val="24"/>
        </w:rPr>
        <w:t>w zakresie wydatkowania środków Funduszu</w:t>
      </w:r>
      <w:r w:rsidR="006D22AA" w:rsidRPr="00CE1978">
        <w:rPr>
          <w:rFonts w:ascii="Times New Roman" w:hAnsi="Times New Roman" w:cs="Times New Roman"/>
          <w:color w:val="000000" w:themeColor="text1"/>
          <w:szCs w:val="24"/>
        </w:rPr>
        <w:t xml:space="preserve"> odwołanie do rygoru wydatkowania środków europejskich określonego w tej ustawie – aby zapewnić dysponentowi Funduszu elastyczność w kreowaniu warunków udzielania, rozliczania i zwrotu wsparcia ze środków Funduszu, której nie gwarantuje stosowanie przepisów o dotacjach celowych, przedmiotowych i podmiotowych;</w:t>
      </w:r>
    </w:p>
    <w:p w14:paraId="4057A9B0" w14:textId="7007DCE2" w:rsidR="00A55690" w:rsidRPr="00CE1978" w:rsidRDefault="006D22AA" w:rsidP="00F91F34">
      <w:pPr>
        <w:pStyle w:val="ARTartustawynprozporzdzenia"/>
        <w:numPr>
          <w:ilvl w:val="0"/>
          <w:numId w:val="16"/>
        </w:numPr>
        <w:ind w:left="426" w:hanging="426"/>
        <w:rPr>
          <w:rFonts w:ascii="Times New Roman" w:hAnsi="Times New Roman" w:cs="Times New Roman"/>
          <w:color w:val="000000" w:themeColor="text1"/>
          <w:szCs w:val="24"/>
        </w:rPr>
      </w:pPr>
      <w:r w:rsidRPr="00CE1978">
        <w:rPr>
          <w:rFonts w:ascii="Times New Roman" w:hAnsi="Times New Roman" w:cs="Times New Roman"/>
          <w:color w:val="000000" w:themeColor="text1"/>
          <w:szCs w:val="24"/>
        </w:rPr>
        <w:t>uchylenie przepisu o obligatoryjnym rozporządzeniu ministra właściwego do spraw informatyzacji, określającym szczegółowe warunki i tryb udzielania wsparcia – w obliczu ww. propozycji nowelizacji, które wyczerpującą regulują warunki i tryby udzielania wsparcia ze środków Funduszu, takie rozporządz</w:t>
      </w:r>
      <w:r w:rsidR="00807061" w:rsidRPr="00CE1978">
        <w:rPr>
          <w:rFonts w:ascii="Times New Roman" w:hAnsi="Times New Roman" w:cs="Times New Roman"/>
          <w:color w:val="000000" w:themeColor="text1"/>
          <w:szCs w:val="24"/>
        </w:rPr>
        <w:t>enie staje się bezprzedmiotowe.</w:t>
      </w:r>
    </w:p>
    <w:p w14:paraId="7E1599D4" w14:textId="00AD5D3B" w:rsidR="75B895FB" w:rsidRPr="00CE1978" w:rsidRDefault="00D15947" w:rsidP="00F91F34">
      <w:pPr>
        <w:spacing w:before="120" w:after="0" w:line="360" w:lineRule="auto"/>
        <w:ind w:left="510" w:hanging="510"/>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75B895F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75B895FB" w:rsidRPr="00CE1978">
        <w:rPr>
          <w:rFonts w:ascii="Times New Roman" w:eastAsia="Times New Roman" w:hAnsi="Times New Roman" w:cs="Times New Roman"/>
          <w:b/>
          <w:bCs/>
          <w:color w:val="000000" w:themeColor="text1"/>
          <w:sz w:val="24"/>
          <w:szCs w:val="24"/>
        </w:rPr>
        <w:t xml:space="preserve">pkt </w:t>
      </w:r>
      <w:r w:rsidR="00DC4C0F" w:rsidRPr="00CE1978">
        <w:rPr>
          <w:rFonts w:ascii="Times New Roman" w:eastAsia="Times New Roman" w:hAnsi="Times New Roman" w:cs="Times New Roman"/>
          <w:b/>
          <w:bCs/>
          <w:color w:val="000000" w:themeColor="text1"/>
          <w:sz w:val="24"/>
          <w:szCs w:val="24"/>
        </w:rPr>
        <w:t>12</w:t>
      </w:r>
    </w:p>
    <w:p w14:paraId="1DBB5281" w14:textId="011CB80E" w:rsidR="00FC36A8"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 art. 17 ust. 1 zmiana polega na </w:t>
      </w:r>
      <w:r w:rsidR="00DC3DA9" w:rsidRPr="00CE1978">
        <w:rPr>
          <w:rFonts w:ascii="Times New Roman" w:eastAsia="Times New Roman" w:hAnsi="Times New Roman" w:cs="Times New Roman"/>
          <w:color w:val="000000" w:themeColor="text1"/>
          <w:sz w:val="24"/>
          <w:szCs w:val="24"/>
        </w:rPr>
        <w:t>uwzględnieniu powiązanych zasobów przy dostępie do infrastruktury technicznej</w:t>
      </w:r>
      <w:r w:rsidRPr="00CE1978">
        <w:rPr>
          <w:rFonts w:ascii="Times New Roman" w:eastAsia="Times New Roman" w:hAnsi="Times New Roman" w:cs="Times New Roman"/>
          <w:color w:val="000000" w:themeColor="text1"/>
          <w:sz w:val="24"/>
          <w:szCs w:val="24"/>
        </w:rPr>
        <w:t>.</w:t>
      </w:r>
      <w:r w:rsidR="00FC36A8" w:rsidRPr="00CE1978">
        <w:rPr>
          <w:rFonts w:ascii="Times New Roman" w:eastAsia="Times New Roman" w:hAnsi="Times New Roman" w:cs="Times New Roman"/>
          <w:color w:val="000000" w:themeColor="text1"/>
          <w:sz w:val="24"/>
          <w:szCs w:val="24"/>
        </w:rPr>
        <w:t xml:space="preserve"> Natomiast art. 17 ust. </w:t>
      </w:r>
      <w:r w:rsidR="00E46A50" w:rsidRPr="00CE1978">
        <w:rPr>
          <w:rFonts w:ascii="Times New Roman" w:eastAsia="Times New Roman" w:hAnsi="Times New Roman" w:cs="Times New Roman"/>
          <w:color w:val="000000" w:themeColor="text1"/>
          <w:sz w:val="24"/>
          <w:szCs w:val="24"/>
        </w:rPr>
        <w:t xml:space="preserve">2 </w:t>
      </w:r>
      <w:r w:rsidR="00FC36A8" w:rsidRPr="00CE1978">
        <w:rPr>
          <w:rFonts w:ascii="Times New Roman" w:eastAsia="Times New Roman" w:hAnsi="Times New Roman" w:cs="Times New Roman"/>
          <w:color w:val="000000" w:themeColor="text1"/>
          <w:sz w:val="24"/>
          <w:szCs w:val="24"/>
        </w:rPr>
        <w:t>przesądza, że publiczna infrastruktura techniczna jest podzbio</w:t>
      </w:r>
      <w:r w:rsidR="00EF1027" w:rsidRPr="00CE1978">
        <w:rPr>
          <w:rFonts w:ascii="Times New Roman" w:eastAsia="Times New Roman" w:hAnsi="Times New Roman" w:cs="Times New Roman"/>
          <w:color w:val="000000" w:themeColor="text1"/>
          <w:sz w:val="24"/>
          <w:szCs w:val="24"/>
        </w:rPr>
        <w:t>rem infrastruktury technicznej (</w:t>
      </w:r>
      <w:r w:rsidR="00FC36A8" w:rsidRPr="00CE1978">
        <w:rPr>
          <w:rFonts w:ascii="Times New Roman" w:eastAsia="Times New Roman" w:hAnsi="Times New Roman" w:cs="Times New Roman"/>
          <w:color w:val="000000" w:themeColor="text1"/>
          <w:sz w:val="24"/>
          <w:szCs w:val="24"/>
        </w:rPr>
        <w:t>co wynika również z definicji publicznej infrastruktury technicznej</w:t>
      </w:r>
      <w:r w:rsidR="00EF1027" w:rsidRPr="00CE1978">
        <w:rPr>
          <w:rFonts w:ascii="Times New Roman" w:eastAsia="Times New Roman" w:hAnsi="Times New Roman" w:cs="Times New Roman"/>
          <w:color w:val="000000" w:themeColor="text1"/>
          <w:sz w:val="24"/>
          <w:szCs w:val="24"/>
        </w:rPr>
        <w:t>)</w:t>
      </w:r>
      <w:r w:rsidR="00FC36A8" w:rsidRPr="00CE1978">
        <w:rPr>
          <w:rFonts w:ascii="Times New Roman" w:eastAsia="Times New Roman" w:hAnsi="Times New Roman" w:cs="Times New Roman"/>
          <w:color w:val="000000" w:themeColor="text1"/>
          <w:sz w:val="24"/>
          <w:szCs w:val="24"/>
        </w:rPr>
        <w:t xml:space="preserve">, ale do jej udostępnienia zobowiązane są </w:t>
      </w:r>
      <w:r w:rsidR="00EF1027" w:rsidRPr="00CE1978">
        <w:rPr>
          <w:rFonts w:ascii="Times New Roman" w:eastAsia="Times New Roman" w:hAnsi="Times New Roman" w:cs="Times New Roman"/>
          <w:color w:val="000000" w:themeColor="text1"/>
          <w:sz w:val="24"/>
          <w:szCs w:val="24"/>
        </w:rPr>
        <w:t>podmioty inaczej określone rodzajowo niż operatorzy sieci, tj.</w:t>
      </w:r>
      <w:r w:rsidR="00FC36A8" w:rsidRPr="00CE1978">
        <w:rPr>
          <w:rFonts w:ascii="Times New Roman" w:eastAsia="Times New Roman" w:hAnsi="Times New Roman" w:cs="Times New Roman"/>
          <w:color w:val="000000" w:themeColor="text1"/>
          <w:sz w:val="24"/>
          <w:szCs w:val="24"/>
        </w:rPr>
        <w:t xml:space="preserve"> jednostk</w:t>
      </w:r>
      <w:r w:rsidR="00EF1027" w:rsidRPr="00CE1978">
        <w:rPr>
          <w:rFonts w:ascii="Times New Roman" w:eastAsia="Times New Roman" w:hAnsi="Times New Roman" w:cs="Times New Roman"/>
          <w:color w:val="000000" w:themeColor="text1"/>
          <w:sz w:val="24"/>
          <w:szCs w:val="24"/>
        </w:rPr>
        <w:t>i</w:t>
      </w:r>
      <w:r w:rsidR="00FC36A8" w:rsidRPr="00CE1978">
        <w:rPr>
          <w:rFonts w:ascii="Times New Roman" w:eastAsia="Times New Roman" w:hAnsi="Times New Roman" w:cs="Times New Roman"/>
          <w:color w:val="000000" w:themeColor="text1"/>
          <w:sz w:val="24"/>
          <w:szCs w:val="24"/>
        </w:rPr>
        <w:t xml:space="preserve"> samorządu terytorialnego, jedno</w:t>
      </w:r>
      <w:r w:rsidR="00EF1027" w:rsidRPr="00CE1978">
        <w:rPr>
          <w:rFonts w:ascii="Times New Roman" w:eastAsia="Times New Roman" w:hAnsi="Times New Roman" w:cs="Times New Roman"/>
          <w:color w:val="000000" w:themeColor="text1"/>
          <w:sz w:val="24"/>
          <w:szCs w:val="24"/>
        </w:rPr>
        <w:t>stki</w:t>
      </w:r>
      <w:r w:rsidR="00FC36A8" w:rsidRPr="00CE1978">
        <w:rPr>
          <w:rFonts w:ascii="Times New Roman" w:eastAsia="Times New Roman" w:hAnsi="Times New Roman" w:cs="Times New Roman"/>
          <w:color w:val="000000" w:themeColor="text1"/>
          <w:sz w:val="24"/>
          <w:szCs w:val="24"/>
        </w:rPr>
        <w:t xml:space="preserve"> organizacyjn</w:t>
      </w:r>
      <w:r w:rsidR="00EF1027" w:rsidRPr="00CE1978">
        <w:rPr>
          <w:rFonts w:ascii="Times New Roman" w:eastAsia="Times New Roman" w:hAnsi="Times New Roman" w:cs="Times New Roman"/>
          <w:color w:val="000000" w:themeColor="text1"/>
          <w:sz w:val="24"/>
          <w:szCs w:val="24"/>
        </w:rPr>
        <w:t>e jednost</w:t>
      </w:r>
      <w:r w:rsidR="00FC36A8" w:rsidRPr="00CE1978">
        <w:rPr>
          <w:rFonts w:ascii="Times New Roman" w:eastAsia="Times New Roman" w:hAnsi="Times New Roman" w:cs="Times New Roman"/>
          <w:color w:val="000000" w:themeColor="text1"/>
          <w:sz w:val="24"/>
          <w:szCs w:val="24"/>
        </w:rPr>
        <w:t>k</w:t>
      </w:r>
      <w:r w:rsidR="00EF1027" w:rsidRPr="00CE1978">
        <w:rPr>
          <w:rFonts w:ascii="Times New Roman" w:eastAsia="Times New Roman" w:hAnsi="Times New Roman" w:cs="Times New Roman"/>
          <w:color w:val="000000" w:themeColor="text1"/>
          <w:sz w:val="24"/>
          <w:szCs w:val="24"/>
        </w:rPr>
        <w:t>i</w:t>
      </w:r>
      <w:r w:rsidR="00FC36A8" w:rsidRPr="00CE1978">
        <w:rPr>
          <w:rFonts w:ascii="Times New Roman" w:eastAsia="Times New Roman" w:hAnsi="Times New Roman" w:cs="Times New Roman"/>
          <w:color w:val="000000" w:themeColor="text1"/>
          <w:sz w:val="24"/>
          <w:szCs w:val="24"/>
        </w:rPr>
        <w:t xml:space="preserve"> samorządu terytorialnego, państwow</w:t>
      </w:r>
      <w:r w:rsidR="00EF1027" w:rsidRPr="00CE1978">
        <w:rPr>
          <w:rFonts w:ascii="Times New Roman" w:eastAsia="Times New Roman" w:hAnsi="Times New Roman" w:cs="Times New Roman"/>
          <w:color w:val="000000" w:themeColor="text1"/>
          <w:sz w:val="24"/>
          <w:szCs w:val="24"/>
        </w:rPr>
        <w:t>e</w:t>
      </w:r>
      <w:r w:rsidR="00FC36A8" w:rsidRPr="00CE1978">
        <w:rPr>
          <w:rFonts w:ascii="Times New Roman" w:eastAsia="Times New Roman" w:hAnsi="Times New Roman" w:cs="Times New Roman"/>
          <w:color w:val="000000" w:themeColor="text1"/>
          <w:sz w:val="24"/>
          <w:szCs w:val="24"/>
        </w:rPr>
        <w:t xml:space="preserve"> osob</w:t>
      </w:r>
      <w:r w:rsidR="00EF1027" w:rsidRPr="00CE1978">
        <w:rPr>
          <w:rFonts w:ascii="Times New Roman" w:eastAsia="Times New Roman" w:hAnsi="Times New Roman" w:cs="Times New Roman"/>
          <w:color w:val="000000" w:themeColor="text1"/>
          <w:sz w:val="24"/>
          <w:szCs w:val="24"/>
        </w:rPr>
        <w:t>y</w:t>
      </w:r>
      <w:r w:rsidR="00FC36A8" w:rsidRPr="00CE1978">
        <w:rPr>
          <w:rFonts w:ascii="Times New Roman" w:eastAsia="Times New Roman" w:hAnsi="Times New Roman" w:cs="Times New Roman"/>
          <w:color w:val="000000" w:themeColor="text1"/>
          <w:sz w:val="24"/>
          <w:szCs w:val="24"/>
        </w:rPr>
        <w:t xml:space="preserve"> prawn</w:t>
      </w:r>
      <w:r w:rsidR="00EF1027" w:rsidRPr="00CE1978">
        <w:rPr>
          <w:rFonts w:ascii="Times New Roman" w:eastAsia="Times New Roman" w:hAnsi="Times New Roman" w:cs="Times New Roman"/>
          <w:color w:val="000000" w:themeColor="text1"/>
          <w:sz w:val="24"/>
          <w:szCs w:val="24"/>
        </w:rPr>
        <w:t>e</w:t>
      </w:r>
      <w:r w:rsidR="00FC36A8" w:rsidRPr="00CE1978">
        <w:rPr>
          <w:rFonts w:ascii="Times New Roman" w:eastAsia="Times New Roman" w:hAnsi="Times New Roman" w:cs="Times New Roman"/>
          <w:color w:val="000000" w:themeColor="text1"/>
          <w:sz w:val="24"/>
          <w:szCs w:val="24"/>
        </w:rPr>
        <w:t xml:space="preserve"> oraz podmiot</w:t>
      </w:r>
      <w:r w:rsidR="00EF1027" w:rsidRPr="00CE1978">
        <w:rPr>
          <w:rFonts w:ascii="Times New Roman" w:eastAsia="Times New Roman" w:hAnsi="Times New Roman" w:cs="Times New Roman"/>
          <w:color w:val="000000" w:themeColor="text1"/>
          <w:sz w:val="24"/>
          <w:szCs w:val="24"/>
        </w:rPr>
        <w:t>y</w:t>
      </w:r>
      <w:r w:rsidR="00FC36A8" w:rsidRPr="00CE1978">
        <w:rPr>
          <w:rFonts w:ascii="Times New Roman" w:eastAsia="Times New Roman" w:hAnsi="Times New Roman" w:cs="Times New Roman"/>
          <w:color w:val="000000" w:themeColor="text1"/>
          <w:sz w:val="24"/>
          <w:szCs w:val="24"/>
        </w:rPr>
        <w:t xml:space="preserve"> wykonując</w:t>
      </w:r>
      <w:r w:rsidR="00EF1027" w:rsidRPr="00CE1978">
        <w:rPr>
          <w:rFonts w:ascii="Times New Roman" w:eastAsia="Times New Roman" w:hAnsi="Times New Roman" w:cs="Times New Roman"/>
          <w:color w:val="000000" w:themeColor="text1"/>
          <w:sz w:val="24"/>
          <w:szCs w:val="24"/>
        </w:rPr>
        <w:t>y zadania z</w:t>
      </w:r>
      <w:r w:rsidR="00532F3A">
        <w:rPr>
          <w:rFonts w:ascii="Times New Roman" w:eastAsia="Times New Roman" w:hAnsi="Times New Roman" w:cs="Times New Roman"/>
          <w:color w:val="000000" w:themeColor="text1"/>
          <w:sz w:val="24"/>
          <w:szCs w:val="24"/>
        </w:rPr>
        <w:t xml:space="preserve"> </w:t>
      </w:r>
      <w:r w:rsidR="00FC36A8" w:rsidRPr="00532F3A">
        <w:rPr>
          <w:rFonts w:ascii="Times New Roman" w:eastAsia="Times New Roman" w:hAnsi="Times New Roman" w:cs="Times New Roman"/>
          <w:color w:val="000000" w:themeColor="text1"/>
          <w:sz w:val="24"/>
          <w:szCs w:val="24"/>
        </w:rPr>
        <w:t>zakresu użyteczności publicznej</w:t>
      </w:r>
      <w:r w:rsidR="00EF1027" w:rsidRPr="00532F3A">
        <w:rPr>
          <w:rFonts w:ascii="Times New Roman" w:eastAsia="Times New Roman" w:hAnsi="Times New Roman" w:cs="Times New Roman"/>
          <w:color w:val="000000" w:themeColor="text1"/>
          <w:sz w:val="24"/>
          <w:szCs w:val="24"/>
        </w:rPr>
        <w:t>,</w:t>
      </w:r>
      <w:r w:rsidR="00FC36A8" w:rsidRPr="00532F3A">
        <w:rPr>
          <w:rFonts w:ascii="Times New Roman" w:eastAsia="Times New Roman" w:hAnsi="Times New Roman" w:cs="Times New Roman"/>
          <w:color w:val="000000" w:themeColor="text1"/>
          <w:sz w:val="24"/>
          <w:szCs w:val="24"/>
        </w:rPr>
        <w:t xml:space="preserve"> z</w:t>
      </w:r>
      <w:r w:rsidR="00532F3A">
        <w:rPr>
          <w:rFonts w:ascii="Times New Roman" w:eastAsia="Times New Roman" w:hAnsi="Times New Roman" w:cs="Times New Roman"/>
          <w:color w:val="000000" w:themeColor="text1"/>
          <w:sz w:val="24"/>
          <w:szCs w:val="24"/>
        </w:rPr>
        <w:t xml:space="preserve"> </w:t>
      </w:r>
      <w:r w:rsidR="00FC36A8" w:rsidRPr="00532F3A">
        <w:rPr>
          <w:rFonts w:ascii="Times New Roman" w:eastAsia="Times New Roman" w:hAnsi="Times New Roman" w:cs="Times New Roman"/>
          <w:color w:val="000000" w:themeColor="text1"/>
          <w:sz w:val="24"/>
          <w:szCs w:val="24"/>
        </w:rPr>
        <w:t>choćby częśc</w:t>
      </w:r>
      <w:r w:rsidR="00EF1027" w:rsidRPr="00532F3A">
        <w:rPr>
          <w:rFonts w:ascii="Times New Roman" w:eastAsia="Times New Roman" w:hAnsi="Times New Roman" w:cs="Times New Roman"/>
          <w:color w:val="000000" w:themeColor="text1"/>
          <w:sz w:val="24"/>
          <w:szCs w:val="24"/>
        </w:rPr>
        <w:t>iowym udziałem Skarbu Państwa w</w:t>
      </w:r>
      <w:r w:rsidR="00532F3A">
        <w:rPr>
          <w:rFonts w:ascii="Times New Roman" w:eastAsia="Times New Roman" w:hAnsi="Times New Roman" w:cs="Times New Roman"/>
          <w:color w:val="000000" w:themeColor="text1"/>
          <w:sz w:val="24"/>
          <w:szCs w:val="24"/>
        </w:rPr>
        <w:t xml:space="preserve"> </w:t>
      </w:r>
      <w:r w:rsidR="00FC36A8" w:rsidRPr="00532F3A">
        <w:rPr>
          <w:rFonts w:ascii="Times New Roman" w:eastAsia="Times New Roman" w:hAnsi="Times New Roman" w:cs="Times New Roman"/>
          <w:color w:val="000000" w:themeColor="text1"/>
          <w:sz w:val="24"/>
          <w:szCs w:val="24"/>
        </w:rPr>
        <w:t>strukturze własnościowej</w:t>
      </w:r>
      <w:r w:rsidR="00EF1027" w:rsidRPr="00532F3A">
        <w:rPr>
          <w:rFonts w:ascii="Times New Roman" w:eastAsia="Times New Roman" w:hAnsi="Times New Roman" w:cs="Times New Roman"/>
          <w:color w:val="000000" w:themeColor="text1"/>
          <w:sz w:val="24"/>
          <w:szCs w:val="24"/>
        </w:rPr>
        <w:t xml:space="preserve">. Poza ogólnym obowiązkiem zapewnienia dostępu, do </w:t>
      </w:r>
      <w:r w:rsidR="00EF1027" w:rsidRPr="00532F3A">
        <w:rPr>
          <w:rFonts w:ascii="Times New Roman" w:eastAsia="Times New Roman" w:hAnsi="Times New Roman" w:cs="Times New Roman"/>
          <w:color w:val="000000" w:themeColor="text1"/>
          <w:sz w:val="24"/>
          <w:szCs w:val="24"/>
        </w:rPr>
        <w:lastRenderedPageBreak/>
        <w:t>publicznej infrastruktury technicznej zastosowanie mają wszystkie przepisy dotyczące infrastruktury technicznej, z tymże ww. ilekroć mowa jest o operatorze sieci, należy rozumieć przez to właściciela lub zarządcę publicznej infrastruktury technicznej.</w:t>
      </w:r>
    </w:p>
    <w:p w14:paraId="3658D556" w14:textId="1498C898" w:rsidR="75B895FB" w:rsidRPr="00CE1978" w:rsidRDefault="75B895FB"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color w:val="000000" w:themeColor="text1"/>
          <w:sz w:val="24"/>
          <w:szCs w:val="24"/>
        </w:rPr>
        <w:t>Z kolei</w:t>
      </w:r>
      <w:r w:rsidR="00ED27AD" w:rsidRPr="00CE1978">
        <w:rPr>
          <w:rFonts w:ascii="Times New Roman" w:eastAsia="Times New Roman" w:hAnsi="Times New Roman" w:cs="Times New Roman"/>
          <w:color w:val="000000" w:themeColor="text1"/>
          <w:sz w:val="24"/>
          <w:szCs w:val="24"/>
        </w:rPr>
        <w:t xml:space="preserve"> brzmienie art. 17</w:t>
      </w:r>
      <w:r w:rsidRPr="00CE1978">
        <w:rPr>
          <w:rFonts w:ascii="Times New Roman" w:eastAsia="Times New Roman" w:hAnsi="Times New Roman" w:cs="Times New Roman"/>
          <w:color w:val="000000" w:themeColor="text1"/>
          <w:sz w:val="24"/>
          <w:szCs w:val="24"/>
        </w:rPr>
        <w:t xml:space="preserve"> ust. </w:t>
      </w:r>
      <w:r w:rsidR="00E46A50" w:rsidRPr="00C10C7D">
        <w:rPr>
          <w:rFonts w:ascii="Times New Roman" w:eastAsia="Times New Roman" w:hAnsi="Times New Roman" w:cs="Times New Roman"/>
          <w:color w:val="000000" w:themeColor="text1"/>
          <w:sz w:val="24"/>
          <w:szCs w:val="24"/>
        </w:rPr>
        <w:t xml:space="preserve">3 </w:t>
      </w:r>
      <w:r w:rsidR="006F2A14" w:rsidRPr="00C10C7D">
        <w:rPr>
          <w:rFonts w:ascii="Times New Roman" w:eastAsia="Times New Roman" w:hAnsi="Times New Roman" w:cs="Times New Roman"/>
          <w:color w:val="000000" w:themeColor="text1"/>
          <w:sz w:val="24"/>
          <w:szCs w:val="24"/>
        </w:rPr>
        <w:t>Megaustawy</w:t>
      </w:r>
      <w:r w:rsidR="00445ED5" w:rsidRPr="00C10C7D">
        <w:rPr>
          <w:rFonts w:ascii="Times New Roman" w:eastAsia="Times New Roman" w:hAnsi="Times New Roman" w:cs="Times New Roman"/>
          <w:color w:val="000000" w:themeColor="text1"/>
          <w:sz w:val="24"/>
          <w:szCs w:val="24"/>
        </w:rPr>
        <w:t xml:space="preserve">, po pierwsze, uwypukla, że dostęp do infrastruktury technicznej jest dostępem telekomunikacyjnym (a więc mają do niego zastosowanie odpowiednie postanowienia EKŁE). Po drugie, </w:t>
      </w:r>
      <w:r w:rsidRPr="00C10C7D">
        <w:rPr>
          <w:rFonts w:ascii="Times New Roman" w:eastAsia="Times New Roman" w:hAnsi="Times New Roman" w:cs="Times New Roman"/>
          <w:color w:val="000000" w:themeColor="text1"/>
          <w:sz w:val="24"/>
          <w:szCs w:val="24"/>
        </w:rPr>
        <w:t xml:space="preserve">przesądza o nieodpłatnym dostępie do publicznej infrastruktury telekomunikacyjnej na potrzeby </w:t>
      </w:r>
      <w:r w:rsidR="001A73E0" w:rsidRPr="00C10C7D">
        <w:rPr>
          <w:rFonts w:ascii="Times New Roman" w:eastAsia="Times New Roman" w:hAnsi="Times New Roman" w:cs="Times New Roman"/>
          <w:color w:val="000000" w:themeColor="text1"/>
          <w:sz w:val="24"/>
          <w:szCs w:val="24"/>
        </w:rPr>
        <w:t xml:space="preserve">instalacji </w:t>
      </w:r>
      <w:r w:rsidRPr="00C10C7D">
        <w:rPr>
          <w:rFonts w:ascii="Times New Roman" w:eastAsia="Times New Roman" w:hAnsi="Times New Roman" w:cs="Times New Roman"/>
          <w:color w:val="000000" w:themeColor="text1"/>
          <w:sz w:val="24"/>
          <w:szCs w:val="24"/>
        </w:rPr>
        <w:t xml:space="preserve">punktów dostępu bezprzewodowego o bliskim zasięgu. Projektowane rozwiązanie ma istotne znaczenie dla możliwości zapewnienia powszechnego zasięgu bezprzewodowej łączności elektronicznej, umożliwiającej wdrażanie i funkcjonowanie rozwiązań technologicznych z zakresu inteligentnych miast czy autonomicznej mobilności. W tym celu konieczne jest umiejscowienie w przestrzeni publicznej dużej liczby punktów dostępu bezprzewodowego o bliskim zasięgu. Naturalnym i mało inwazyjnym rozwiązaniem jest wykorzystanie dla tego typu instalacji istniejącej infrastruktury „komunalnej”, takiej jak słupy, lampy uliczne, wiaty przystanków, itp. Rozwiązanie takie </w:t>
      </w:r>
      <w:r w:rsidR="2D03E6C5" w:rsidRPr="00C10C7D">
        <w:rPr>
          <w:rFonts w:ascii="Times New Roman" w:eastAsia="Times New Roman" w:hAnsi="Times New Roman" w:cs="Times New Roman"/>
          <w:color w:val="000000" w:themeColor="text1"/>
          <w:sz w:val="24"/>
          <w:szCs w:val="24"/>
        </w:rPr>
        <w:t>implementuje</w:t>
      </w:r>
      <w:r w:rsidRPr="00C10C7D">
        <w:rPr>
          <w:rFonts w:ascii="Times New Roman" w:eastAsia="Times New Roman" w:hAnsi="Times New Roman" w:cs="Times New Roman"/>
          <w:color w:val="000000" w:themeColor="text1"/>
          <w:sz w:val="24"/>
          <w:szCs w:val="24"/>
        </w:rPr>
        <w:t xml:space="preserve"> uregulowania przewidziane w</w:t>
      </w:r>
      <w:r w:rsidR="00FF3C40" w:rsidRPr="00C10C7D">
        <w:rPr>
          <w:rFonts w:ascii="Times New Roman" w:eastAsia="Times New Roman" w:hAnsi="Times New Roman" w:cs="Times New Roman"/>
          <w:color w:val="000000" w:themeColor="text1"/>
          <w:sz w:val="24"/>
          <w:szCs w:val="24"/>
        </w:rPr>
        <w:t xml:space="preserve"> </w:t>
      </w:r>
      <w:r w:rsidR="6BAA913C" w:rsidRPr="00C10C7D">
        <w:rPr>
          <w:rFonts w:ascii="Times New Roman" w:eastAsia="Times New Roman" w:hAnsi="Times New Roman" w:cs="Times New Roman"/>
          <w:color w:val="000000" w:themeColor="text1"/>
          <w:sz w:val="24"/>
          <w:szCs w:val="24"/>
        </w:rPr>
        <w:t>EKŁE</w:t>
      </w:r>
      <w:r w:rsidRPr="00C10C7D">
        <w:rPr>
          <w:rFonts w:ascii="Times New Roman" w:eastAsia="Times New Roman" w:hAnsi="Times New Roman" w:cs="Times New Roman"/>
          <w:color w:val="000000" w:themeColor="text1"/>
          <w:sz w:val="24"/>
          <w:szCs w:val="24"/>
        </w:rPr>
        <w:t xml:space="preserve"> (art. 57 ust. 4 i 5), zgodnie z którymi „</w:t>
      </w:r>
      <w:r w:rsidRPr="00C10C7D">
        <w:rPr>
          <w:rFonts w:ascii="Times New Roman" w:eastAsia="Times New Roman" w:hAnsi="Times New Roman" w:cs="Times New Roman"/>
          <w:i/>
          <w:iCs/>
          <w:color w:val="000000" w:themeColor="text1"/>
          <w:sz w:val="24"/>
          <w:szCs w:val="24"/>
        </w:rPr>
        <w:t>Państwa członkowskie, stosując w odpowiednich przypadkach procedury przyjęte zgodnie z dyrektywą 2014/61/</w:t>
      </w:r>
      <w:r w:rsidRPr="00CE1978">
        <w:rPr>
          <w:rFonts w:ascii="Times New Roman" w:eastAsia="Times New Roman" w:hAnsi="Times New Roman" w:cs="Times New Roman"/>
          <w:i/>
          <w:iCs/>
          <w:color w:val="000000" w:themeColor="text1"/>
          <w:sz w:val="24"/>
          <w:szCs w:val="24"/>
        </w:rPr>
        <w:t>UE, zapewniają, aby operatorzy mieli prawo dostępu do każdej zarządzanej przez krajowe, regionalne lub lokalne organy publiczne infrastruktury technicznej, która nadaje się pod względem technicznym do umieszczania punktów dostępu bezprzewodowego o bliskim zasięgu lub która jest niezbędna do połączenia takich punktów dostępu z siecią szkieletową, w tym wyposażenia ulic, np. latarni, znaków ulicznych, sygnalizacji świetlnej, billboardów, przystanków autobusowych i tramwajowych oraz stacji metra. Organy publiczne spełniają wszystkie uzasadnione wnioski o dostęp na uczciwych, rozsądnych, przejrzystych i niedyskryminacyjnych warunkach, które są podawane do wiadomości w pojedynczym punkcie informacyjnym”</w:t>
      </w:r>
      <w:r w:rsidRPr="00CE1978">
        <w:rPr>
          <w:rFonts w:ascii="Times New Roman" w:eastAsia="Times New Roman" w:hAnsi="Times New Roman" w:cs="Times New Roman"/>
          <w:color w:val="000000" w:themeColor="text1"/>
          <w:sz w:val="24"/>
          <w:szCs w:val="24"/>
        </w:rPr>
        <w:t xml:space="preserve"> (ust. 4) oraz </w:t>
      </w:r>
      <w:r w:rsidRPr="00CE1978">
        <w:rPr>
          <w:rFonts w:ascii="Times New Roman" w:eastAsia="Times New Roman" w:hAnsi="Times New Roman" w:cs="Times New Roman"/>
          <w:i/>
          <w:iCs/>
          <w:color w:val="000000" w:themeColor="text1"/>
          <w:sz w:val="24"/>
          <w:szCs w:val="24"/>
        </w:rPr>
        <w:t>„Bez uszczerbku dla wszelkich umów handlowych uruchamianie punktów dostępu bezprzewodowego o bliskim zasięgu nie podlega żadnym opłatom niebędącym opłatami administracyjnymi zgodnie z art. 16”</w:t>
      </w:r>
      <w:r w:rsidRPr="00CE1978">
        <w:rPr>
          <w:rFonts w:ascii="Times New Roman" w:eastAsia="Times New Roman" w:hAnsi="Times New Roman" w:cs="Times New Roman"/>
          <w:color w:val="000000" w:themeColor="text1"/>
          <w:sz w:val="24"/>
          <w:szCs w:val="24"/>
        </w:rPr>
        <w:t xml:space="preserve"> (ust. 5). W tym miejscu warto odwołać się nie tylko do treści art. 57 ust. 4 i 5 </w:t>
      </w:r>
      <w:r w:rsidR="2A0F6F33" w:rsidRPr="00CE1978">
        <w:rPr>
          <w:rFonts w:ascii="Times New Roman" w:eastAsia="Times New Roman" w:hAnsi="Times New Roman" w:cs="Times New Roman"/>
          <w:color w:val="000000" w:themeColor="text1"/>
          <w:sz w:val="24"/>
          <w:szCs w:val="24"/>
        </w:rPr>
        <w:t>EKŁE</w:t>
      </w:r>
      <w:r w:rsidRPr="00CE1978">
        <w:rPr>
          <w:rFonts w:ascii="Times New Roman" w:eastAsia="Times New Roman" w:hAnsi="Times New Roman" w:cs="Times New Roman"/>
          <w:color w:val="000000" w:themeColor="text1"/>
          <w:sz w:val="24"/>
          <w:szCs w:val="24"/>
        </w:rPr>
        <w:t>, ale również do uzasadnienia rozwiązania w nim przewidzianego, wyrażonego w treści motywu 1</w:t>
      </w:r>
      <w:r w:rsidR="008E2BD4" w:rsidRPr="00CE1978">
        <w:rPr>
          <w:rFonts w:ascii="Times New Roman" w:eastAsia="Times New Roman" w:hAnsi="Times New Roman" w:cs="Times New Roman"/>
          <w:color w:val="000000" w:themeColor="text1"/>
          <w:sz w:val="24"/>
          <w:szCs w:val="24"/>
        </w:rPr>
        <w:t>40</w:t>
      </w:r>
      <w:r w:rsidRPr="00CE1978">
        <w:rPr>
          <w:rFonts w:ascii="Times New Roman" w:eastAsia="Times New Roman" w:hAnsi="Times New Roman" w:cs="Times New Roman"/>
          <w:color w:val="000000" w:themeColor="text1"/>
          <w:sz w:val="24"/>
          <w:szCs w:val="24"/>
        </w:rPr>
        <w:t xml:space="preserve">, w którym wskazano, iż </w:t>
      </w:r>
      <w:r w:rsidRPr="00CE1978">
        <w:rPr>
          <w:rFonts w:ascii="Times New Roman" w:eastAsia="Times New Roman" w:hAnsi="Times New Roman" w:cs="Times New Roman"/>
          <w:i/>
          <w:iCs/>
          <w:color w:val="000000" w:themeColor="text1"/>
          <w:sz w:val="24"/>
          <w:szCs w:val="24"/>
        </w:rPr>
        <w:t xml:space="preserve">„Każdego dnia duża liczba użytkowników końcowych, która odwiedza budynki publiczne i korzysta z innych elementów infrastruktury publicznej, potrzebuje łączności, aby móc skorzystać z usług w obszarze e-administracji, e-transportu oraz innych usług. Pozostałe elementy infrastruktury publicznej, takie jak latarnie uliczne, sygnalizatory </w:t>
      </w:r>
      <w:r w:rsidRPr="00CE1978">
        <w:rPr>
          <w:rFonts w:ascii="Times New Roman" w:eastAsia="Times New Roman" w:hAnsi="Times New Roman" w:cs="Times New Roman"/>
          <w:i/>
          <w:iCs/>
          <w:color w:val="000000" w:themeColor="text1"/>
          <w:sz w:val="24"/>
          <w:szCs w:val="24"/>
        </w:rPr>
        <w:lastRenderedPageBreak/>
        <w:t>świetlne, stanowią – na przykład ze względu na gęstość ich rozmieszczenie – dogodne miejsca dla umieszczenia nadajników o małej mocy. Bez uszczerbku dla możliwości objęcia przez właściwe organy realizacji punktów dostępu bezprzewodowego o bliskim zasięgu indywidualnymi uprzednimi zezwoleniami, operatorzy powinni mieć prawo dostępu do tych publicznych miejsc, aby móc odpowiednio zaspokajać popyt. Dlatego państwa członkowskie powinny zapewnić, aby takie budynki publiczne i inne elementy infrastruktury publicznej były udostępniane na rozsądnych warunkach na potrzeby rozmieszczenia nadajników o małej mocy w celu uzupełnienia dyrektywy 2014/ 61/UE i bez uszczerbku dla zasad ustanowionych w niniejszej dyrektywie”</w:t>
      </w:r>
      <w:r w:rsidRPr="00CE1978">
        <w:rPr>
          <w:rFonts w:ascii="Times New Roman" w:eastAsia="Times New Roman" w:hAnsi="Times New Roman" w:cs="Times New Roman"/>
          <w:color w:val="000000" w:themeColor="text1"/>
          <w:sz w:val="24"/>
          <w:szCs w:val="24"/>
        </w:rPr>
        <w:t xml:space="preserve">. </w:t>
      </w:r>
    </w:p>
    <w:p w14:paraId="08FD201C" w14:textId="0A99C21A"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75B895FB" w:rsidRPr="00CE1978">
        <w:rPr>
          <w:rFonts w:ascii="Times New Roman" w:eastAsia="Times New Roman" w:hAnsi="Times New Roman" w:cs="Times New Roman"/>
          <w:b/>
          <w:bCs/>
          <w:color w:val="000000" w:themeColor="text1"/>
          <w:sz w:val="24"/>
          <w:szCs w:val="24"/>
        </w:rPr>
        <w:t xml:space="preserve">rt. </w:t>
      </w:r>
      <w:r w:rsidR="0E4B6D0B" w:rsidRPr="00CE1978">
        <w:rPr>
          <w:rFonts w:ascii="Times New Roman" w:eastAsia="Times New Roman" w:hAnsi="Times New Roman" w:cs="Times New Roman"/>
          <w:b/>
          <w:bCs/>
          <w:color w:val="000000" w:themeColor="text1"/>
          <w:sz w:val="24"/>
          <w:szCs w:val="24"/>
        </w:rPr>
        <w:t>3</w:t>
      </w:r>
      <w:r w:rsidR="00F668D6" w:rsidRPr="00CE1978">
        <w:rPr>
          <w:rFonts w:ascii="Times New Roman" w:eastAsia="Times New Roman" w:hAnsi="Times New Roman" w:cs="Times New Roman"/>
          <w:b/>
          <w:bCs/>
          <w:color w:val="000000" w:themeColor="text1"/>
          <w:sz w:val="24"/>
          <w:szCs w:val="24"/>
        </w:rPr>
        <w:t>6</w:t>
      </w:r>
      <w:r w:rsidR="75B895FB" w:rsidRPr="00CE1978">
        <w:rPr>
          <w:rFonts w:ascii="Times New Roman" w:eastAsia="Times New Roman" w:hAnsi="Times New Roman" w:cs="Times New Roman"/>
          <w:b/>
          <w:bCs/>
          <w:color w:val="000000" w:themeColor="text1"/>
          <w:sz w:val="24"/>
          <w:szCs w:val="24"/>
        </w:rPr>
        <w:t xml:space="preserve"> pkt </w:t>
      </w:r>
      <w:r w:rsidR="00DC4C0F" w:rsidRPr="00CE1978">
        <w:rPr>
          <w:rFonts w:ascii="Times New Roman" w:eastAsia="Times New Roman" w:hAnsi="Times New Roman" w:cs="Times New Roman"/>
          <w:b/>
          <w:bCs/>
          <w:color w:val="000000" w:themeColor="text1"/>
          <w:sz w:val="24"/>
          <w:szCs w:val="24"/>
        </w:rPr>
        <w:t xml:space="preserve">13 </w:t>
      </w:r>
      <w:r w:rsidR="00A92FAA" w:rsidRPr="00CE1978">
        <w:rPr>
          <w:rFonts w:ascii="Times New Roman" w:eastAsia="Times New Roman" w:hAnsi="Times New Roman" w:cs="Times New Roman"/>
          <w:b/>
          <w:bCs/>
          <w:color w:val="000000" w:themeColor="text1"/>
          <w:sz w:val="24"/>
          <w:szCs w:val="24"/>
        </w:rPr>
        <w:t>lit. a</w:t>
      </w:r>
    </w:p>
    <w:p w14:paraId="71C579CE" w14:textId="7941B887" w:rsidR="00ED27AD" w:rsidRPr="00CE1978" w:rsidRDefault="00ED27AD"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Uchyla się art. 18 ust. 1 </w:t>
      </w:r>
      <w:r w:rsidR="001A73E0" w:rsidRPr="00CE1978">
        <w:rPr>
          <w:rFonts w:ascii="Times New Roman" w:eastAsia="Times New Roman" w:hAnsi="Times New Roman" w:cs="Times New Roman"/>
          <w:color w:val="000000" w:themeColor="text1"/>
          <w:sz w:val="24"/>
          <w:szCs w:val="24"/>
        </w:rPr>
        <w:t>ponieważ</w:t>
      </w:r>
      <w:r w:rsidRPr="00CE1978">
        <w:rPr>
          <w:rFonts w:ascii="Times New Roman" w:eastAsia="Times New Roman" w:hAnsi="Times New Roman" w:cs="Times New Roman"/>
          <w:color w:val="000000" w:themeColor="text1"/>
          <w:sz w:val="24"/>
          <w:szCs w:val="24"/>
        </w:rPr>
        <w:t xml:space="preserve"> regulacja, która ma zastosowanie w przypadku</w:t>
      </w:r>
      <w:r w:rsidR="2B90062C" w:rsidRPr="00CE1978">
        <w:rPr>
          <w:rFonts w:ascii="Times New Roman" w:eastAsia="Times New Roman" w:hAnsi="Times New Roman" w:cs="Times New Roman"/>
          <w:color w:val="000000" w:themeColor="text1"/>
          <w:sz w:val="24"/>
          <w:szCs w:val="24"/>
        </w:rPr>
        <w:t xml:space="preserve"> </w:t>
      </w:r>
      <w:r w:rsidR="001A73E0" w:rsidRPr="00CE1978">
        <w:rPr>
          <w:rFonts w:ascii="Times New Roman" w:eastAsia="Times New Roman" w:hAnsi="Times New Roman" w:cs="Times New Roman"/>
          <w:color w:val="000000" w:themeColor="text1"/>
          <w:sz w:val="24"/>
          <w:szCs w:val="24"/>
        </w:rPr>
        <w:t>do którego odnosi się ten przepis,</w:t>
      </w:r>
      <w:r w:rsidRPr="00CE1978">
        <w:rPr>
          <w:rFonts w:ascii="Times New Roman" w:eastAsia="Times New Roman" w:hAnsi="Times New Roman" w:cs="Times New Roman"/>
          <w:color w:val="000000" w:themeColor="text1"/>
          <w:sz w:val="24"/>
          <w:szCs w:val="24"/>
        </w:rPr>
        <w:t xml:space="preserve"> </w:t>
      </w:r>
      <w:r w:rsidR="001A73E0" w:rsidRPr="00CE1978">
        <w:rPr>
          <w:rFonts w:ascii="Times New Roman" w:eastAsia="Times New Roman" w:hAnsi="Times New Roman" w:cs="Times New Roman"/>
          <w:color w:val="000000" w:themeColor="text1"/>
          <w:sz w:val="24"/>
          <w:szCs w:val="24"/>
        </w:rPr>
        <w:t xml:space="preserve">została zawarta </w:t>
      </w:r>
      <w:r w:rsidRPr="00CE1978">
        <w:rPr>
          <w:rFonts w:ascii="Times New Roman" w:eastAsia="Times New Roman" w:hAnsi="Times New Roman" w:cs="Times New Roman"/>
          <w:color w:val="000000" w:themeColor="text1"/>
          <w:sz w:val="24"/>
          <w:szCs w:val="24"/>
        </w:rPr>
        <w:t xml:space="preserve">w art. </w:t>
      </w:r>
      <w:r w:rsidR="19AF7418" w:rsidRPr="00CE1978">
        <w:rPr>
          <w:rFonts w:ascii="Times New Roman" w:eastAsia="Times New Roman" w:hAnsi="Times New Roman" w:cs="Times New Roman"/>
          <w:color w:val="000000" w:themeColor="text1"/>
          <w:sz w:val="24"/>
          <w:szCs w:val="24"/>
        </w:rPr>
        <w:t>16</w:t>
      </w:r>
      <w:r w:rsidR="00F317F4" w:rsidRPr="00CE1978">
        <w:rPr>
          <w:rFonts w:ascii="Times New Roman" w:eastAsia="Times New Roman" w:hAnsi="Times New Roman" w:cs="Times New Roman"/>
          <w:color w:val="000000" w:themeColor="text1"/>
          <w:sz w:val="24"/>
          <w:szCs w:val="24"/>
        </w:rPr>
        <w:t xml:space="preserve">8 Pke. Zmiana w tym zakresie dotyczy formy – umowa o dostępie, w tym umowa o dostępie </w:t>
      </w:r>
      <w:r w:rsidR="00584411" w:rsidRPr="00CE1978">
        <w:rPr>
          <w:rFonts w:ascii="Times New Roman" w:eastAsia="Times New Roman" w:hAnsi="Times New Roman" w:cs="Times New Roman"/>
          <w:color w:val="000000" w:themeColor="text1"/>
          <w:sz w:val="24"/>
          <w:szCs w:val="24"/>
        </w:rPr>
        <w:t>do infrastruktury</w:t>
      </w:r>
      <w:r w:rsidR="00F317F4" w:rsidRPr="00CE1978">
        <w:rPr>
          <w:rFonts w:ascii="Times New Roman" w:eastAsia="Times New Roman" w:hAnsi="Times New Roman" w:cs="Times New Roman"/>
          <w:color w:val="000000" w:themeColor="text1"/>
          <w:sz w:val="24"/>
          <w:szCs w:val="24"/>
        </w:rPr>
        <w:t xml:space="preserve"> technicznej, zawierana jest pod rygorem nieważności w formie dokumentowej, a nie na piśmie, jak było to uregulowane dotychczas w uchylanym art. 18 ust. 1</w:t>
      </w:r>
      <w:r w:rsidR="001A73E0" w:rsidRPr="00CE1978">
        <w:rPr>
          <w:rFonts w:ascii="Times New Roman" w:eastAsia="Times New Roman" w:hAnsi="Times New Roman" w:cs="Times New Roman"/>
          <w:color w:val="000000" w:themeColor="text1"/>
          <w:sz w:val="24"/>
          <w:szCs w:val="24"/>
        </w:rPr>
        <w:t xml:space="preserve"> Megaustawy.</w:t>
      </w:r>
    </w:p>
    <w:p w14:paraId="3FDED769" w14:textId="7AE4930A" w:rsidR="003C5289" w:rsidRPr="00CE1978" w:rsidRDefault="00D15947" w:rsidP="00F91F34">
      <w:pPr>
        <w:spacing w:before="120" w:after="0" w:line="360" w:lineRule="auto"/>
        <w:jc w:val="both"/>
        <w:rPr>
          <w:rFonts w:ascii="Times New Roman" w:eastAsia="Times New Roman" w:hAnsi="Times New Roman" w:cs="Times New Roman"/>
          <w:b/>
          <w:color w:val="000000" w:themeColor="text1"/>
          <w:sz w:val="24"/>
          <w:szCs w:val="24"/>
        </w:rPr>
      </w:pPr>
      <w:r w:rsidRPr="00CE1978">
        <w:rPr>
          <w:rFonts w:ascii="Times New Roman" w:eastAsia="Times New Roman" w:hAnsi="Times New Roman" w:cs="Times New Roman"/>
          <w:b/>
          <w:color w:val="000000" w:themeColor="text1"/>
          <w:sz w:val="24"/>
          <w:szCs w:val="24"/>
        </w:rPr>
        <w:t>A</w:t>
      </w:r>
      <w:r w:rsidR="003C5289" w:rsidRPr="00CE1978">
        <w:rPr>
          <w:rFonts w:ascii="Times New Roman" w:eastAsia="Times New Roman" w:hAnsi="Times New Roman" w:cs="Times New Roman"/>
          <w:b/>
          <w:color w:val="000000" w:themeColor="text1"/>
          <w:sz w:val="24"/>
          <w:szCs w:val="24"/>
        </w:rPr>
        <w:t xml:space="preserve">rt. </w:t>
      </w:r>
      <w:r w:rsidR="00ED5C54" w:rsidRPr="00CE1978">
        <w:rPr>
          <w:rFonts w:ascii="Times New Roman" w:eastAsia="Times New Roman" w:hAnsi="Times New Roman" w:cs="Times New Roman"/>
          <w:b/>
          <w:color w:val="000000" w:themeColor="text1"/>
          <w:sz w:val="24"/>
          <w:szCs w:val="24"/>
        </w:rPr>
        <w:t>3</w:t>
      </w:r>
      <w:r w:rsidR="008A2DD6" w:rsidRPr="00CE1978">
        <w:rPr>
          <w:rFonts w:ascii="Times New Roman" w:eastAsia="Times New Roman" w:hAnsi="Times New Roman" w:cs="Times New Roman"/>
          <w:b/>
          <w:color w:val="000000" w:themeColor="text1"/>
          <w:sz w:val="24"/>
          <w:szCs w:val="24"/>
        </w:rPr>
        <w:t>6</w:t>
      </w:r>
      <w:r w:rsidR="00ED5C54" w:rsidRPr="00CE1978">
        <w:rPr>
          <w:rFonts w:ascii="Times New Roman" w:eastAsia="Times New Roman" w:hAnsi="Times New Roman" w:cs="Times New Roman"/>
          <w:b/>
          <w:color w:val="000000" w:themeColor="text1"/>
          <w:sz w:val="24"/>
          <w:szCs w:val="24"/>
        </w:rPr>
        <w:t xml:space="preserve"> </w:t>
      </w:r>
      <w:r w:rsidR="003C5289" w:rsidRPr="00CE1978">
        <w:rPr>
          <w:rFonts w:ascii="Times New Roman" w:eastAsia="Times New Roman" w:hAnsi="Times New Roman" w:cs="Times New Roman"/>
          <w:b/>
          <w:color w:val="000000" w:themeColor="text1"/>
          <w:sz w:val="24"/>
          <w:szCs w:val="24"/>
        </w:rPr>
        <w:t xml:space="preserve">pkt </w:t>
      </w:r>
      <w:r w:rsidR="00DC4C0F" w:rsidRPr="00CE1978">
        <w:rPr>
          <w:rFonts w:ascii="Times New Roman" w:eastAsia="Times New Roman" w:hAnsi="Times New Roman" w:cs="Times New Roman"/>
          <w:b/>
          <w:color w:val="000000" w:themeColor="text1"/>
          <w:sz w:val="24"/>
          <w:szCs w:val="24"/>
        </w:rPr>
        <w:t xml:space="preserve">13 </w:t>
      </w:r>
      <w:r w:rsidR="003C5289" w:rsidRPr="00CE1978">
        <w:rPr>
          <w:rFonts w:ascii="Times New Roman" w:eastAsia="Times New Roman" w:hAnsi="Times New Roman" w:cs="Times New Roman"/>
          <w:b/>
          <w:color w:val="000000" w:themeColor="text1"/>
          <w:sz w:val="24"/>
          <w:szCs w:val="24"/>
        </w:rPr>
        <w:t>lit. c</w:t>
      </w:r>
    </w:p>
    <w:p w14:paraId="62FAAF7C" w14:textId="5C2DAF49" w:rsidR="75B895FB" w:rsidRPr="00CE1978" w:rsidRDefault="007661A4"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Dodany do art. 18 ust. 11 przesądza, że Prezes UKE przed przyjęciem rozstrzygnięcia w sprawie o której mowa w art. 18 ust. 3 Megaustawy, przeprowadza się postępowanie konsultacyjne zgodnie z regulacją zawartą w Pke. Innymi słowy, jest to „inne rozstrzygnięcie wskazane w ustawie z dnia 7 maja 2010 r. o wspieraniu rozwoju usług i sieci telekomunikacyjnych” w rozumieniu art. 30 pkt 12 Pke.</w:t>
      </w:r>
    </w:p>
    <w:p w14:paraId="0D154C78" w14:textId="7E5B3351" w:rsidR="001A73E0" w:rsidRPr="00CE1978" w:rsidRDefault="00D15947" w:rsidP="00F91F34">
      <w:pPr>
        <w:spacing w:before="120" w:after="0" w:line="360" w:lineRule="auto"/>
        <w:jc w:val="both"/>
        <w:rPr>
          <w:rFonts w:ascii="Times New Roman" w:eastAsia="Times New Roman" w:hAnsi="Times New Roman" w:cs="Times New Roman"/>
          <w:b/>
          <w:color w:val="000000" w:themeColor="text1"/>
          <w:sz w:val="24"/>
          <w:szCs w:val="24"/>
          <w:lang w:val="en-US"/>
        </w:rPr>
      </w:pPr>
      <w:r w:rsidRPr="00CE1978">
        <w:rPr>
          <w:rFonts w:ascii="Times New Roman" w:eastAsia="Times New Roman" w:hAnsi="Times New Roman" w:cs="Times New Roman"/>
          <w:b/>
          <w:color w:val="000000" w:themeColor="text1"/>
          <w:sz w:val="24"/>
          <w:szCs w:val="24"/>
          <w:lang w:val="en-US"/>
        </w:rPr>
        <w:t>A</w:t>
      </w:r>
      <w:r w:rsidR="001A73E0" w:rsidRPr="00CE1978">
        <w:rPr>
          <w:rFonts w:ascii="Times New Roman" w:eastAsia="Times New Roman" w:hAnsi="Times New Roman" w:cs="Times New Roman"/>
          <w:b/>
          <w:color w:val="000000" w:themeColor="text1"/>
          <w:sz w:val="24"/>
          <w:szCs w:val="24"/>
          <w:lang w:val="en-US"/>
        </w:rPr>
        <w:t xml:space="preserve">rt. </w:t>
      </w:r>
      <w:r w:rsidR="00ED5C54" w:rsidRPr="00CE1978">
        <w:rPr>
          <w:rFonts w:ascii="Times New Roman" w:eastAsia="Times New Roman" w:hAnsi="Times New Roman" w:cs="Times New Roman"/>
          <w:b/>
          <w:color w:val="000000" w:themeColor="text1"/>
          <w:sz w:val="24"/>
          <w:szCs w:val="24"/>
          <w:lang w:val="en-US"/>
        </w:rPr>
        <w:t>3</w:t>
      </w:r>
      <w:r w:rsidR="008A2DD6" w:rsidRPr="00CE1978">
        <w:rPr>
          <w:rFonts w:ascii="Times New Roman" w:eastAsia="Times New Roman" w:hAnsi="Times New Roman" w:cs="Times New Roman"/>
          <w:b/>
          <w:color w:val="000000" w:themeColor="text1"/>
          <w:sz w:val="24"/>
          <w:szCs w:val="24"/>
          <w:lang w:val="en-US"/>
        </w:rPr>
        <w:t>6</w:t>
      </w:r>
      <w:r w:rsidR="00ED5C54" w:rsidRPr="00CE1978">
        <w:rPr>
          <w:rFonts w:ascii="Times New Roman" w:eastAsia="Times New Roman" w:hAnsi="Times New Roman" w:cs="Times New Roman"/>
          <w:b/>
          <w:color w:val="000000" w:themeColor="text1"/>
          <w:sz w:val="24"/>
          <w:szCs w:val="24"/>
          <w:lang w:val="en-US"/>
        </w:rPr>
        <w:t xml:space="preserve"> </w:t>
      </w:r>
      <w:r w:rsidR="001A73E0" w:rsidRPr="00CE1978">
        <w:rPr>
          <w:rFonts w:ascii="Times New Roman" w:eastAsia="Times New Roman" w:hAnsi="Times New Roman" w:cs="Times New Roman"/>
          <w:b/>
          <w:color w:val="000000" w:themeColor="text1"/>
          <w:sz w:val="24"/>
          <w:szCs w:val="24"/>
          <w:lang w:val="en-US"/>
        </w:rPr>
        <w:t>pkt 1</w:t>
      </w:r>
      <w:r w:rsidR="00DC4C0F" w:rsidRPr="00CE1978">
        <w:rPr>
          <w:rFonts w:ascii="Times New Roman" w:eastAsia="Times New Roman" w:hAnsi="Times New Roman" w:cs="Times New Roman"/>
          <w:b/>
          <w:color w:val="000000" w:themeColor="text1"/>
          <w:sz w:val="24"/>
          <w:szCs w:val="24"/>
          <w:lang w:val="en-US"/>
        </w:rPr>
        <w:t>4</w:t>
      </w:r>
      <w:r w:rsidR="00DF5404" w:rsidRPr="00CE1978">
        <w:rPr>
          <w:rFonts w:ascii="Times New Roman" w:eastAsia="Times New Roman" w:hAnsi="Times New Roman" w:cs="Times New Roman"/>
          <w:b/>
          <w:color w:val="000000" w:themeColor="text1"/>
          <w:sz w:val="24"/>
          <w:szCs w:val="24"/>
          <w:lang w:val="en-US"/>
        </w:rPr>
        <w:t xml:space="preserve"> lit. a</w:t>
      </w:r>
      <w:r w:rsidR="004551CF" w:rsidRPr="00CE1978">
        <w:rPr>
          <w:rFonts w:ascii="Times New Roman" w:eastAsia="Times New Roman" w:hAnsi="Times New Roman" w:cs="Times New Roman"/>
          <w:b/>
          <w:color w:val="000000" w:themeColor="text1"/>
          <w:sz w:val="24"/>
          <w:szCs w:val="24"/>
          <w:lang w:val="en-US"/>
        </w:rPr>
        <w:t xml:space="preserve"> i d</w:t>
      </w:r>
    </w:p>
    <w:p w14:paraId="05235D0E" w14:textId="23E22DD4" w:rsidR="00584411" w:rsidRPr="00532F3A" w:rsidRDefault="001A73E0"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K</w:t>
      </w:r>
      <w:r w:rsidR="001C33A6" w:rsidRPr="00CE1978">
        <w:rPr>
          <w:rFonts w:ascii="Times New Roman" w:eastAsia="Times New Roman" w:hAnsi="Times New Roman" w:cs="Times New Roman"/>
          <w:color w:val="000000" w:themeColor="text1"/>
          <w:sz w:val="24"/>
          <w:szCs w:val="24"/>
        </w:rPr>
        <w:t xml:space="preserve">onieczne jest uchylenie </w:t>
      </w:r>
      <w:r w:rsidR="00380320" w:rsidRPr="00CE1978">
        <w:rPr>
          <w:rFonts w:ascii="Times New Roman" w:eastAsia="Times New Roman" w:hAnsi="Times New Roman" w:cs="Times New Roman"/>
          <w:color w:val="000000" w:themeColor="text1"/>
          <w:sz w:val="24"/>
          <w:szCs w:val="24"/>
        </w:rPr>
        <w:t xml:space="preserve">w </w:t>
      </w:r>
      <w:r w:rsidR="00A101C9" w:rsidRPr="00CE1978">
        <w:rPr>
          <w:rFonts w:ascii="Times New Roman" w:eastAsia="Times New Roman" w:hAnsi="Times New Roman" w:cs="Times New Roman"/>
          <w:color w:val="000000" w:themeColor="text1"/>
          <w:sz w:val="24"/>
          <w:szCs w:val="24"/>
        </w:rPr>
        <w:t xml:space="preserve">art. 19 </w:t>
      </w:r>
      <w:r w:rsidR="001C33A6" w:rsidRPr="00CE1978">
        <w:rPr>
          <w:rFonts w:ascii="Times New Roman" w:eastAsia="Times New Roman" w:hAnsi="Times New Roman" w:cs="Times New Roman"/>
          <w:color w:val="000000" w:themeColor="text1"/>
          <w:sz w:val="24"/>
          <w:szCs w:val="24"/>
        </w:rPr>
        <w:t>ust. 2, ze względu</w:t>
      </w:r>
      <w:r w:rsidR="005362AF" w:rsidRPr="00CE1978">
        <w:rPr>
          <w:rFonts w:ascii="Times New Roman" w:eastAsia="Times New Roman" w:hAnsi="Times New Roman" w:cs="Times New Roman"/>
          <w:color w:val="000000" w:themeColor="text1"/>
          <w:sz w:val="24"/>
          <w:szCs w:val="24"/>
        </w:rPr>
        <w:t xml:space="preserve"> na to</w:t>
      </w:r>
      <w:r w:rsidR="001C33A6" w:rsidRPr="00CE1978">
        <w:rPr>
          <w:rFonts w:ascii="Times New Roman" w:eastAsia="Times New Roman" w:hAnsi="Times New Roman" w:cs="Times New Roman"/>
          <w:color w:val="000000" w:themeColor="text1"/>
          <w:sz w:val="24"/>
          <w:szCs w:val="24"/>
        </w:rPr>
        <w:t>,</w:t>
      </w:r>
      <w:r w:rsidR="0047375E" w:rsidRPr="00CE1978">
        <w:rPr>
          <w:rFonts w:ascii="Times New Roman" w:eastAsia="Times New Roman" w:hAnsi="Times New Roman" w:cs="Times New Roman"/>
          <w:color w:val="000000" w:themeColor="text1"/>
          <w:sz w:val="24"/>
          <w:szCs w:val="24"/>
        </w:rPr>
        <w:t xml:space="preserve"> że powiela </w:t>
      </w:r>
      <w:r w:rsidR="005362AF" w:rsidRPr="00CE1978">
        <w:rPr>
          <w:rFonts w:ascii="Times New Roman" w:eastAsia="Times New Roman" w:hAnsi="Times New Roman" w:cs="Times New Roman"/>
          <w:color w:val="000000" w:themeColor="text1"/>
          <w:sz w:val="24"/>
          <w:szCs w:val="24"/>
        </w:rPr>
        <w:t xml:space="preserve">on </w:t>
      </w:r>
      <w:r w:rsidR="0047375E" w:rsidRPr="00CE1978">
        <w:rPr>
          <w:rFonts w:ascii="Times New Roman" w:eastAsia="Times New Roman" w:hAnsi="Times New Roman" w:cs="Times New Roman"/>
          <w:color w:val="000000" w:themeColor="text1"/>
          <w:sz w:val="24"/>
          <w:szCs w:val="24"/>
        </w:rPr>
        <w:t>regulację art. 1</w:t>
      </w:r>
      <w:r w:rsidR="6E677501" w:rsidRPr="00CE1978">
        <w:rPr>
          <w:rFonts w:ascii="Times New Roman" w:eastAsia="Times New Roman" w:hAnsi="Times New Roman" w:cs="Times New Roman"/>
          <w:color w:val="000000" w:themeColor="text1"/>
          <w:sz w:val="24"/>
          <w:szCs w:val="24"/>
        </w:rPr>
        <w:t>6</w:t>
      </w:r>
      <w:r w:rsidR="0047375E" w:rsidRPr="00CE1978">
        <w:rPr>
          <w:rFonts w:ascii="Times New Roman" w:eastAsia="Times New Roman" w:hAnsi="Times New Roman" w:cs="Times New Roman"/>
          <w:color w:val="000000" w:themeColor="text1"/>
          <w:sz w:val="24"/>
          <w:szCs w:val="24"/>
        </w:rPr>
        <w:t>9 ust. 2</w:t>
      </w:r>
      <w:r w:rsidR="00325267" w:rsidRPr="00CE1978">
        <w:rPr>
          <w:rFonts w:ascii="Times New Roman" w:eastAsia="Times New Roman" w:hAnsi="Times New Roman" w:cs="Times New Roman"/>
          <w:color w:val="000000" w:themeColor="text1"/>
          <w:sz w:val="24"/>
          <w:szCs w:val="24"/>
        </w:rPr>
        <w:t xml:space="preserve"> Pke</w:t>
      </w:r>
      <w:r w:rsidR="00584411" w:rsidRPr="00CE1978">
        <w:rPr>
          <w:rFonts w:ascii="Times New Roman" w:eastAsia="Times New Roman" w:hAnsi="Times New Roman" w:cs="Times New Roman"/>
          <w:color w:val="000000" w:themeColor="text1"/>
          <w:sz w:val="24"/>
          <w:szCs w:val="24"/>
        </w:rPr>
        <w:t xml:space="preserve">. </w:t>
      </w:r>
      <w:r w:rsidR="00584411" w:rsidRPr="00CE1978">
        <w:rPr>
          <w:rFonts w:ascii="Times New Roman" w:hAnsi="Times New Roman" w:cs="Times New Roman"/>
          <w:color w:val="000000" w:themeColor="text1"/>
          <w:sz w:val="24"/>
          <w:szCs w:val="24"/>
        </w:rPr>
        <w:t>Informacje uzyskane w związku z negocjacjami umowy o dostępie (a więc m.in. umowy o dostępie do infrastruktury technicznej) mogą być wykorzystane wyłącznie zgodnie z ich przeznaczeniem i</w:t>
      </w:r>
      <w:r w:rsidR="00532F3A">
        <w:rPr>
          <w:rFonts w:ascii="Times New Roman" w:hAnsi="Times New Roman" w:cs="Times New Roman"/>
          <w:color w:val="000000" w:themeColor="text1"/>
          <w:sz w:val="24"/>
          <w:szCs w:val="24"/>
        </w:rPr>
        <w:t xml:space="preserve"> </w:t>
      </w:r>
      <w:r w:rsidR="00584411" w:rsidRPr="00532F3A">
        <w:rPr>
          <w:rFonts w:ascii="Times New Roman" w:hAnsi="Times New Roman" w:cs="Times New Roman"/>
          <w:color w:val="000000" w:themeColor="text1"/>
          <w:sz w:val="24"/>
          <w:szCs w:val="24"/>
        </w:rPr>
        <w:t>podlegają obowiązkowi zachowania poufności, także po ich zakończeniu</w:t>
      </w:r>
      <w:r w:rsidR="00584411" w:rsidRPr="00532F3A">
        <w:rPr>
          <w:rFonts w:ascii="Times New Roman" w:eastAsia="Times New Roman" w:hAnsi="Times New Roman" w:cs="Times New Roman"/>
          <w:color w:val="000000" w:themeColor="text1"/>
          <w:sz w:val="24"/>
          <w:szCs w:val="24"/>
        </w:rPr>
        <w:t>.</w:t>
      </w:r>
    </w:p>
    <w:p w14:paraId="38B5A42C" w14:textId="77777777" w:rsidR="004551CF" w:rsidRPr="00CE1978" w:rsidRDefault="004551CF" w:rsidP="00F91F34">
      <w:pPr>
        <w:spacing w:before="120" w:after="0" w:line="360" w:lineRule="auto"/>
        <w:jc w:val="both"/>
        <w:rPr>
          <w:rFonts w:ascii="Times New Roman" w:hAnsi="Times New Roman" w:cs="Times New Roman"/>
          <w:color w:val="000000" w:themeColor="text1"/>
          <w:sz w:val="24"/>
          <w:szCs w:val="24"/>
        </w:rPr>
      </w:pPr>
      <w:r w:rsidRPr="00532F3A">
        <w:rPr>
          <w:rFonts w:ascii="Times New Roman" w:hAnsi="Times New Roman" w:cs="Times New Roman"/>
          <w:color w:val="000000" w:themeColor="text1"/>
          <w:sz w:val="24"/>
          <w:szCs w:val="24"/>
        </w:rPr>
        <w:t>W art. 19 ust. 5 wykreśla się „na piśmie”. W związku ze zmniejszeniem rygoru formalnego dla umowy o dostępie, nie jest zasadne, aby uzasadnione przyczyny odmowy dostępu do infrastruktury technicznej były przekazywane na piśmie, jeżeli w przypadku wniosku o zawarcie takiej umowy zastrzeżona jest forma dokumentowa.</w:t>
      </w:r>
    </w:p>
    <w:p w14:paraId="2B680DC4" w14:textId="4236FCCA" w:rsidR="75B895FB" w:rsidRPr="00C10C7D" w:rsidRDefault="00D15947" w:rsidP="00F91F34">
      <w:pPr>
        <w:keepNext/>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lastRenderedPageBreak/>
        <w:t>A</w:t>
      </w:r>
      <w:r w:rsidR="75B895FB" w:rsidRPr="00C10C7D">
        <w:rPr>
          <w:rFonts w:ascii="Times New Roman" w:eastAsia="Times New Roman" w:hAnsi="Times New Roman" w:cs="Times New Roman"/>
          <w:b/>
          <w:bCs/>
          <w:color w:val="000000" w:themeColor="text1"/>
          <w:sz w:val="24"/>
          <w:szCs w:val="24"/>
        </w:rPr>
        <w:t xml:space="preserve">rt. </w:t>
      </w:r>
      <w:r w:rsidR="00ED5C54" w:rsidRPr="00C10C7D">
        <w:rPr>
          <w:rFonts w:ascii="Times New Roman" w:eastAsia="Times New Roman" w:hAnsi="Times New Roman" w:cs="Times New Roman"/>
          <w:b/>
          <w:bCs/>
          <w:color w:val="000000" w:themeColor="text1"/>
          <w:sz w:val="24"/>
          <w:szCs w:val="24"/>
        </w:rPr>
        <w:t>3</w:t>
      </w:r>
      <w:r w:rsidR="008A2DD6" w:rsidRPr="00C10C7D">
        <w:rPr>
          <w:rFonts w:ascii="Times New Roman" w:eastAsia="Times New Roman" w:hAnsi="Times New Roman" w:cs="Times New Roman"/>
          <w:b/>
          <w:bCs/>
          <w:color w:val="000000" w:themeColor="text1"/>
          <w:sz w:val="24"/>
          <w:szCs w:val="24"/>
        </w:rPr>
        <w:t>6</w:t>
      </w:r>
      <w:r w:rsidR="00ED5C54" w:rsidRPr="00C10C7D">
        <w:rPr>
          <w:rFonts w:ascii="Times New Roman" w:eastAsia="Times New Roman" w:hAnsi="Times New Roman" w:cs="Times New Roman"/>
          <w:b/>
          <w:bCs/>
          <w:color w:val="000000" w:themeColor="text1"/>
          <w:sz w:val="24"/>
          <w:szCs w:val="24"/>
        </w:rPr>
        <w:t xml:space="preserve"> </w:t>
      </w:r>
      <w:r w:rsidR="75B895FB" w:rsidRPr="00C10C7D">
        <w:rPr>
          <w:rFonts w:ascii="Times New Roman" w:eastAsia="Times New Roman" w:hAnsi="Times New Roman" w:cs="Times New Roman"/>
          <w:b/>
          <w:bCs/>
          <w:color w:val="000000" w:themeColor="text1"/>
          <w:sz w:val="24"/>
          <w:szCs w:val="24"/>
        </w:rPr>
        <w:t xml:space="preserve">pkt </w:t>
      </w:r>
      <w:r w:rsidR="00DC4C0F" w:rsidRPr="00C10C7D">
        <w:rPr>
          <w:rFonts w:ascii="Times New Roman" w:eastAsia="Times New Roman" w:hAnsi="Times New Roman" w:cs="Times New Roman"/>
          <w:b/>
          <w:bCs/>
          <w:color w:val="000000" w:themeColor="text1"/>
          <w:sz w:val="24"/>
          <w:szCs w:val="24"/>
        </w:rPr>
        <w:t>15</w:t>
      </w:r>
    </w:p>
    <w:p w14:paraId="51E4F39D" w14:textId="77777777" w:rsidR="00F571F8" w:rsidRPr="00C10C7D" w:rsidRDefault="00F571F8"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Uchyla się</w:t>
      </w:r>
      <w:r w:rsidR="00F81C16" w:rsidRPr="00C10C7D">
        <w:rPr>
          <w:rFonts w:ascii="Times New Roman" w:eastAsia="Times New Roman" w:hAnsi="Times New Roman" w:cs="Times New Roman"/>
          <w:color w:val="000000" w:themeColor="text1"/>
          <w:sz w:val="24"/>
          <w:szCs w:val="24"/>
        </w:rPr>
        <w:t xml:space="preserve"> art. 2</w:t>
      </w:r>
      <w:r w:rsidRPr="00C10C7D">
        <w:rPr>
          <w:rFonts w:ascii="Times New Roman" w:eastAsia="Times New Roman" w:hAnsi="Times New Roman" w:cs="Times New Roman"/>
          <w:color w:val="000000" w:themeColor="text1"/>
          <w:sz w:val="24"/>
          <w:szCs w:val="24"/>
        </w:rPr>
        <w:t xml:space="preserve">0 Megaustawy, ponieważ zmiana umowy o dostępie do infrastruktury technicznej </w:t>
      </w:r>
      <w:r w:rsidR="006419F0" w:rsidRPr="00C10C7D">
        <w:rPr>
          <w:rFonts w:ascii="Times New Roman" w:eastAsia="Times New Roman" w:hAnsi="Times New Roman" w:cs="Times New Roman"/>
          <w:color w:val="000000" w:themeColor="text1"/>
          <w:sz w:val="24"/>
          <w:szCs w:val="24"/>
        </w:rPr>
        <w:t xml:space="preserve">przez Prezesa UKE, działającego z urzędu, </w:t>
      </w:r>
      <w:r w:rsidRPr="00C10C7D">
        <w:rPr>
          <w:rFonts w:ascii="Times New Roman" w:eastAsia="Times New Roman" w:hAnsi="Times New Roman" w:cs="Times New Roman"/>
          <w:color w:val="000000" w:themeColor="text1"/>
          <w:sz w:val="24"/>
          <w:szCs w:val="24"/>
        </w:rPr>
        <w:t xml:space="preserve">następuje na podstawie </w:t>
      </w:r>
      <w:r w:rsidR="004551CF" w:rsidRPr="00C10C7D">
        <w:rPr>
          <w:rFonts w:ascii="Times New Roman" w:eastAsia="Times New Roman" w:hAnsi="Times New Roman" w:cs="Times New Roman"/>
          <w:color w:val="000000" w:themeColor="text1"/>
          <w:sz w:val="24"/>
          <w:szCs w:val="24"/>
        </w:rPr>
        <w:t>art. 182</w:t>
      </w:r>
      <w:r w:rsidR="006419F0" w:rsidRPr="00C10C7D">
        <w:rPr>
          <w:rFonts w:ascii="Times New Roman" w:eastAsia="Times New Roman" w:hAnsi="Times New Roman" w:cs="Times New Roman"/>
          <w:color w:val="000000" w:themeColor="text1"/>
          <w:sz w:val="24"/>
          <w:szCs w:val="24"/>
        </w:rPr>
        <w:t xml:space="preserve"> </w:t>
      </w:r>
      <w:r w:rsidRPr="00C10C7D">
        <w:rPr>
          <w:rFonts w:ascii="Times New Roman" w:eastAsia="Times New Roman" w:hAnsi="Times New Roman" w:cs="Times New Roman"/>
          <w:color w:val="000000" w:themeColor="text1"/>
          <w:sz w:val="24"/>
          <w:szCs w:val="24"/>
        </w:rPr>
        <w:t>Pke</w:t>
      </w:r>
      <w:r w:rsidR="00687464" w:rsidRPr="00C10C7D">
        <w:rPr>
          <w:rFonts w:ascii="Times New Roman" w:eastAsia="Times New Roman" w:hAnsi="Times New Roman" w:cs="Times New Roman"/>
          <w:color w:val="000000" w:themeColor="text1"/>
          <w:sz w:val="24"/>
          <w:szCs w:val="24"/>
        </w:rPr>
        <w:t xml:space="preserve"> i – zgodnie z nowym brzmieniem nadanym niniejszą nowelizacją – art. 22 ust. 9 Megaustawy, który rozszerza m.in. katalog przesłanek uprawniających do zmiany umowy o dostępie, jeżeli dotyczy infrastruktury technicznej, o potrzebę zapewnienia ochrony </w:t>
      </w:r>
      <w:r w:rsidR="00687464" w:rsidRPr="00C10C7D">
        <w:rPr>
          <w:rFonts w:ascii="Times New Roman" w:hAnsi="Times New Roman" w:cs="Times New Roman"/>
          <w:color w:val="000000" w:themeColor="text1"/>
          <w:sz w:val="24"/>
          <w:szCs w:val="24"/>
        </w:rPr>
        <w:t>interesów odbiorców usług świadczonych przez podmioty wykonujące zadania z zakresu użyteczności publicznej.</w:t>
      </w:r>
    </w:p>
    <w:p w14:paraId="5762BEF3" w14:textId="77777777" w:rsidR="00F571F8" w:rsidRPr="00CE1978" w:rsidRDefault="00F571F8"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Uchyla się również </w:t>
      </w:r>
      <w:r w:rsidR="00164F28" w:rsidRPr="00CE1978">
        <w:rPr>
          <w:rFonts w:ascii="Times New Roman" w:eastAsia="Times New Roman" w:hAnsi="Times New Roman" w:cs="Times New Roman"/>
          <w:color w:val="000000" w:themeColor="text1"/>
          <w:sz w:val="24"/>
          <w:szCs w:val="24"/>
        </w:rPr>
        <w:t xml:space="preserve">w </w:t>
      </w:r>
      <w:r w:rsidRPr="00CE1978">
        <w:rPr>
          <w:rFonts w:ascii="Times New Roman" w:eastAsia="Times New Roman" w:hAnsi="Times New Roman" w:cs="Times New Roman"/>
          <w:color w:val="000000" w:themeColor="text1"/>
          <w:sz w:val="24"/>
          <w:szCs w:val="24"/>
        </w:rPr>
        <w:t>art. 21</w:t>
      </w:r>
      <w:r w:rsidR="00164F28" w:rsidRPr="00CE1978">
        <w:rPr>
          <w:rFonts w:ascii="Times New Roman" w:eastAsia="Times New Roman" w:hAnsi="Times New Roman" w:cs="Times New Roman"/>
          <w:color w:val="000000" w:themeColor="text1"/>
          <w:sz w:val="24"/>
          <w:szCs w:val="24"/>
        </w:rPr>
        <w:t xml:space="preserve"> Megaustawy</w:t>
      </w:r>
      <w:r w:rsidRPr="00CE1978">
        <w:rPr>
          <w:rFonts w:ascii="Times New Roman" w:eastAsia="Times New Roman" w:hAnsi="Times New Roman" w:cs="Times New Roman"/>
          <w:color w:val="000000" w:themeColor="text1"/>
          <w:sz w:val="24"/>
          <w:szCs w:val="24"/>
        </w:rPr>
        <w:t>:</w:t>
      </w:r>
    </w:p>
    <w:p w14:paraId="02446638" w14:textId="42107EEF" w:rsidR="00F571F8" w:rsidRPr="00CE1978" w:rsidRDefault="00F571F8" w:rsidP="00F91F34">
      <w:pPr>
        <w:pStyle w:val="Akapitzlist"/>
        <w:numPr>
          <w:ilvl w:val="0"/>
          <w:numId w:val="15"/>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ust. 2, ponieważ uprawnienie</w:t>
      </w:r>
      <w:r w:rsidR="006419F0" w:rsidRPr="00CE1978">
        <w:rPr>
          <w:rFonts w:ascii="Times New Roman" w:eastAsia="Times New Roman" w:hAnsi="Times New Roman" w:cs="Times New Roman"/>
          <w:color w:val="000000" w:themeColor="text1"/>
          <w:sz w:val="24"/>
          <w:szCs w:val="24"/>
        </w:rPr>
        <w:t xml:space="preserve"> określone w tym przepisie</w:t>
      </w:r>
      <w:r w:rsidRPr="00CE1978">
        <w:rPr>
          <w:rFonts w:ascii="Times New Roman" w:eastAsia="Times New Roman" w:hAnsi="Times New Roman" w:cs="Times New Roman"/>
          <w:color w:val="000000" w:themeColor="text1"/>
          <w:sz w:val="24"/>
          <w:szCs w:val="24"/>
        </w:rPr>
        <w:t xml:space="preserve"> wynika z art. </w:t>
      </w:r>
      <w:r w:rsidR="004551CF" w:rsidRPr="00CE1978">
        <w:rPr>
          <w:rFonts w:ascii="Times New Roman" w:eastAsia="Times New Roman" w:hAnsi="Times New Roman" w:cs="Times New Roman"/>
          <w:color w:val="000000" w:themeColor="text1"/>
          <w:sz w:val="24"/>
          <w:szCs w:val="24"/>
        </w:rPr>
        <w:t>183</w:t>
      </w:r>
      <w:r w:rsidRPr="00CE1978">
        <w:rPr>
          <w:rFonts w:ascii="Times New Roman" w:eastAsia="Times New Roman" w:hAnsi="Times New Roman" w:cs="Times New Roman"/>
          <w:color w:val="000000" w:themeColor="text1"/>
          <w:sz w:val="24"/>
          <w:szCs w:val="24"/>
        </w:rPr>
        <w:t xml:space="preserve"> ust. 2 Pke. Okoliczność odmowy zapewnienia dostępu jest </w:t>
      </w:r>
      <w:r w:rsidR="006419F0" w:rsidRPr="00CE1978">
        <w:rPr>
          <w:rFonts w:ascii="Times New Roman" w:eastAsia="Times New Roman" w:hAnsi="Times New Roman" w:cs="Times New Roman"/>
          <w:color w:val="000000" w:themeColor="text1"/>
          <w:sz w:val="24"/>
          <w:szCs w:val="24"/>
        </w:rPr>
        <w:t>wskazana</w:t>
      </w:r>
      <w:r w:rsidRPr="00CE1978">
        <w:rPr>
          <w:rFonts w:ascii="Times New Roman" w:eastAsia="Times New Roman" w:hAnsi="Times New Roman" w:cs="Times New Roman"/>
          <w:color w:val="000000" w:themeColor="text1"/>
          <w:sz w:val="24"/>
          <w:szCs w:val="24"/>
        </w:rPr>
        <w:t xml:space="preserve"> </w:t>
      </w:r>
      <w:r w:rsidR="004551CF" w:rsidRPr="00CE1978">
        <w:rPr>
          <w:rFonts w:ascii="Times New Roman" w:eastAsia="Times New Roman" w:hAnsi="Times New Roman" w:cs="Times New Roman"/>
          <w:color w:val="000000" w:themeColor="text1"/>
          <w:sz w:val="24"/>
          <w:szCs w:val="24"/>
        </w:rPr>
        <w:t>w art. 183</w:t>
      </w:r>
      <w:r w:rsidRPr="00CE1978">
        <w:rPr>
          <w:rFonts w:ascii="Times New Roman" w:eastAsia="Times New Roman" w:hAnsi="Times New Roman" w:cs="Times New Roman"/>
          <w:color w:val="000000" w:themeColor="text1"/>
          <w:sz w:val="24"/>
          <w:szCs w:val="24"/>
        </w:rPr>
        <w:t xml:space="preserve"> ust. 2 pkt 1 Pke. Natomiast termin 60-dniowy, związany z uzyskaniem przez strony negocjujące umowę o dostępie do infrastruktury technicznej, uprawnienia do wystąpienia z wnioskiem o wydanie decyzji rozstrzygającej kwestie dostępu</w:t>
      </w:r>
      <w:r w:rsidR="006419F0" w:rsidRPr="00CE1978">
        <w:rPr>
          <w:rFonts w:ascii="Times New Roman" w:eastAsia="Times New Roman" w:hAnsi="Times New Roman" w:cs="Times New Roman"/>
          <w:color w:val="000000" w:themeColor="text1"/>
          <w:sz w:val="24"/>
          <w:szCs w:val="24"/>
        </w:rPr>
        <w:t xml:space="preserve"> przez Prezesa UKE, pozostaje bez zmian i wynika z zasady ogólnej określonej w art.</w:t>
      </w:r>
      <w:r w:rsidR="004551CF" w:rsidRPr="00CE1978">
        <w:rPr>
          <w:rFonts w:ascii="Times New Roman" w:eastAsia="Times New Roman" w:hAnsi="Times New Roman" w:cs="Times New Roman"/>
          <w:color w:val="000000" w:themeColor="text1"/>
          <w:sz w:val="24"/>
          <w:szCs w:val="24"/>
        </w:rPr>
        <w:t xml:space="preserve"> 183</w:t>
      </w:r>
      <w:r w:rsidR="006419F0" w:rsidRPr="00CE1978">
        <w:rPr>
          <w:rFonts w:ascii="Times New Roman" w:eastAsia="Times New Roman" w:hAnsi="Times New Roman" w:cs="Times New Roman"/>
          <w:color w:val="000000" w:themeColor="text1"/>
          <w:sz w:val="24"/>
          <w:szCs w:val="24"/>
        </w:rPr>
        <w:t xml:space="preserve"> ust. 2 pkt 2 Pke</w:t>
      </w:r>
      <w:r w:rsidR="00164F28" w:rsidRPr="00CE1978">
        <w:rPr>
          <w:rFonts w:ascii="Times New Roman" w:eastAsia="Times New Roman" w:hAnsi="Times New Roman" w:cs="Times New Roman"/>
          <w:color w:val="000000" w:themeColor="text1"/>
          <w:sz w:val="24"/>
          <w:szCs w:val="24"/>
        </w:rPr>
        <w:t>;</w:t>
      </w:r>
    </w:p>
    <w:p w14:paraId="15122213" w14:textId="10355D8F" w:rsidR="006419F0" w:rsidRPr="00CE1978" w:rsidRDefault="006419F0" w:rsidP="00F91F34">
      <w:pPr>
        <w:pStyle w:val="Akapitzlist"/>
        <w:numPr>
          <w:ilvl w:val="0"/>
          <w:numId w:val="15"/>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 xml:space="preserve">ust. 2a, </w:t>
      </w:r>
      <w:r w:rsidR="00F81C16" w:rsidRPr="00CE1978">
        <w:rPr>
          <w:rFonts w:ascii="Times New Roman" w:eastAsia="Times New Roman" w:hAnsi="Times New Roman" w:cs="Times New Roman"/>
          <w:color w:val="000000" w:themeColor="text1"/>
          <w:sz w:val="24"/>
          <w:szCs w:val="24"/>
        </w:rPr>
        <w:t xml:space="preserve">ponieważ </w:t>
      </w:r>
      <w:r w:rsidR="7D039C13" w:rsidRPr="00CE1978">
        <w:rPr>
          <w:rFonts w:ascii="Times New Roman" w:eastAsia="Times New Roman" w:hAnsi="Times New Roman" w:cs="Times New Roman"/>
          <w:color w:val="000000" w:themeColor="text1"/>
          <w:sz w:val="24"/>
          <w:szCs w:val="24"/>
        </w:rPr>
        <w:t>w przypadku określonym w tym przepisie</w:t>
      </w:r>
      <w:r w:rsidR="00F81C16" w:rsidRPr="00CE1978">
        <w:rPr>
          <w:rFonts w:ascii="Times New Roman" w:eastAsia="Times New Roman" w:hAnsi="Times New Roman" w:cs="Times New Roman"/>
          <w:color w:val="000000" w:themeColor="text1"/>
          <w:sz w:val="24"/>
          <w:szCs w:val="24"/>
        </w:rPr>
        <w:t xml:space="preserve"> zastosowanie m</w:t>
      </w:r>
      <w:r w:rsidR="10C65E4C" w:rsidRPr="00CE1978">
        <w:rPr>
          <w:rFonts w:ascii="Times New Roman" w:eastAsia="Times New Roman" w:hAnsi="Times New Roman" w:cs="Times New Roman"/>
          <w:color w:val="000000" w:themeColor="text1"/>
          <w:sz w:val="24"/>
          <w:szCs w:val="24"/>
        </w:rPr>
        <w:t>ieć będzie</w:t>
      </w:r>
      <w:r w:rsidR="00F81C16" w:rsidRPr="00CE1978">
        <w:rPr>
          <w:rFonts w:ascii="Times New Roman" w:eastAsia="Times New Roman" w:hAnsi="Times New Roman" w:cs="Times New Roman"/>
          <w:color w:val="000000" w:themeColor="text1"/>
          <w:sz w:val="24"/>
          <w:szCs w:val="24"/>
        </w:rPr>
        <w:t xml:space="preserve"> art. 1</w:t>
      </w:r>
      <w:r w:rsidR="004551CF" w:rsidRPr="00CE1978">
        <w:rPr>
          <w:rFonts w:ascii="Times New Roman" w:eastAsia="Times New Roman" w:hAnsi="Times New Roman" w:cs="Times New Roman"/>
          <w:color w:val="000000" w:themeColor="text1"/>
          <w:sz w:val="24"/>
          <w:szCs w:val="24"/>
        </w:rPr>
        <w:t>83</w:t>
      </w:r>
      <w:r w:rsidR="00F81C16" w:rsidRPr="00CE1978">
        <w:rPr>
          <w:rFonts w:ascii="Times New Roman" w:eastAsia="Times New Roman" w:hAnsi="Times New Roman" w:cs="Times New Roman"/>
          <w:color w:val="000000" w:themeColor="text1"/>
          <w:sz w:val="24"/>
          <w:szCs w:val="24"/>
        </w:rPr>
        <w:t xml:space="preserve"> ust. 4</w:t>
      </w:r>
      <w:r w:rsidR="00532F3A">
        <w:rPr>
          <w:rFonts w:ascii="Times New Roman" w:eastAsia="Times New Roman" w:hAnsi="Times New Roman" w:cs="Times New Roman"/>
          <w:color w:val="000000" w:themeColor="text1"/>
          <w:sz w:val="24"/>
          <w:szCs w:val="24"/>
        </w:rPr>
        <w:t>–</w:t>
      </w:r>
      <w:r w:rsidR="00F81C16" w:rsidRPr="00532F3A">
        <w:rPr>
          <w:rFonts w:ascii="Times New Roman" w:eastAsia="Times New Roman" w:hAnsi="Times New Roman" w:cs="Times New Roman"/>
          <w:color w:val="000000" w:themeColor="text1"/>
          <w:sz w:val="24"/>
          <w:szCs w:val="24"/>
        </w:rPr>
        <w:t>5 Pke</w:t>
      </w:r>
      <w:r w:rsidRPr="00532F3A">
        <w:rPr>
          <w:rFonts w:ascii="Times New Roman" w:eastAsia="Times New Roman" w:hAnsi="Times New Roman" w:cs="Times New Roman"/>
          <w:color w:val="000000" w:themeColor="text1"/>
          <w:sz w:val="24"/>
          <w:szCs w:val="24"/>
        </w:rPr>
        <w:t xml:space="preserve">, określające wymogi formalne wniosku </w:t>
      </w:r>
      <w:r w:rsidRPr="00532F3A">
        <w:rPr>
          <w:rFonts w:ascii="Times New Roman" w:hAnsi="Times New Roman" w:cs="Times New Roman"/>
          <w:color w:val="000000" w:themeColor="text1"/>
          <w:sz w:val="24"/>
          <w:szCs w:val="24"/>
        </w:rPr>
        <w:t>w sprawie rozstrzygnięcia sporu dotyczącego dostępu telekomunikacyjnego, a więc również dostępu do infrastruktury technicznej, co wynika z definicji dostępu tele</w:t>
      </w:r>
      <w:r w:rsidR="00164F28" w:rsidRPr="00CE1978">
        <w:rPr>
          <w:rFonts w:ascii="Times New Roman" w:hAnsi="Times New Roman" w:cs="Times New Roman"/>
          <w:color w:val="000000" w:themeColor="text1"/>
          <w:sz w:val="24"/>
          <w:szCs w:val="24"/>
        </w:rPr>
        <w:t>komunikacyjnego zawartego w Pke;</w:t>
      </w:r>
    </w:p>
    <w:p w14:paraId="73B2016D" w14:textId="2E03AC7A" w:rsidR="008E34F3" w:rsidRPr="00CE1978" w:rsidRDefault="009B04F7" w:rsidP="00F91F34">
      <w:pPr>
        <w:pStyle w:val="Akapitzlist"/>
        <w:numPr>
          <w:ilvl w:val="0"/>
          <w:numId w:val="15"/>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ust. 3</w:t>
      </w:r>
      <w:r w:rsidR="006419F0" w:rsidRPr="00C10C7D">
        <w:rPr>
          <w:rFonts w:ascii="Times New Roman" w:hAnsi="Times New Roman" w:cs="Times New Roman"/>
          <w:color w:val="000000" w:themeColor="text1"/>
          <w:sz w:val="24"/>
          <w:szCs w:val="24"/>
        </w:rPr>
        <w:t xml:space="preserve">, ponieważ tożsame </w:t>
      </w:r>
      <w:r w:rsidRPr="00C10C7D">
        <w:rPr>
          <w:rFonts w:ascii="Times New Roman" w:hAnsi="Times New Roman" w:cs="Times New Roman"/>
          <w:color w:val="000000" w:themeColor="text1"/>
          <w:sz w:val="24"/>
          <w:szCs w:val="24"/>
        </w:rPr>
        <w:t xml:space="preserve">uprawnienia Prezesa </w:t>
      </w:r>
      <w:r w:rsidR="006419F0" w:rsidRPr="00C10C7D">
        <w:rPr>
          <w:rFonts w:ascii="Times New Roman" w:hAnsi="Times New Roman" w:cs="Times New Roman"/>
          <w:color w:val="000000" w:themeColor="text1"/>
          <w:sz w:val="24"/>
          <w:szCs w:val="24"/>
        </w:rPr>
        <w:t>UKE</w:t>
      </w:r>
      <w:r w:rsidRPr="00C10C7D">
        <w:rPr>
          <w:rFonts w:ascii="Times New Roman" w:hAnsi="Times New Roman" w:cs="Times New Roman"/>
          <w:color w:val="000000" w:themeColor="text1"/>
          <w:sz w:val="24"/>
          <w:szCs w:val="24"/>
        </w:rPr>
        <w:t xml:space="preserve"> jako organu prowadzącego postępowanie administracyjne</w:t>
      </w:r>
      <w:r w:rsidR="006F1EDE" w:rsidRPr="00C10C7D">
        <w:rPr>
          <w:rFonts w:ascii="Times New Roman" w:hAnsi="Times New Roman" w:cs="Times New Roman"/>
          <w:color w:val="000000" w:themeColor="text1"/>
          <w:sz w:val="24"/>
          <w:szCs w:val="24"/>
        </w:rPr>
        <w:t>, wobec strony postępowania administracyjnego</w:t>
      </w:r>
      <w:r w:rsidR="006419F0" w:rsidRPr="00C10C7D">
        <w:rPr>
          <w:rFonts w:ascii="Times New Roman" w:hAnsi="Times New Roman" w:cs="Times New Roman"/>
          <w:color w:val="000000" w:themeColor="text1"/>
          <w:sz w:val="24"/>
          <w:szCs w:val="24"/>
        </w:rPr>
        <w:t xml:space="preserve"> </w:t>
      </w:r>
      <w:r w:rsidRPr="00C10C7D">
        <w:rPr>
          <w:rFonts w:ascii="Times New Roman" w:hAnsi="Times New Roman" w:cs="Times New Roman"/>
          <w:color w:val="000000" w:themeColor="text1"/>
          <w:sz w:val="24"/>
          <w:szCs w:val="24"/>
        </w:rPr>
        <w:t>wynika</w:t>
      </w:r>
      <w:r w:rsidR="006419F0" w:rsidRPr="00C10C7D">
        <w:rPr>
          <w:rFonts w:ascii="Times New Roman" w:hAnsi="Times New Roman" w:cs="Times New Roman"/>
          <w:color w:val="000000" w:themeColor="text1"/>
          <w:sz w:val="24"/>
          <w:szCs w:val="24"/>
        </w:rPr>
        <w:t xml:space="preserve"> z przepisów</w:t>
      </w:r>
      <w:r w:rsidRPr="00C10C7D">
        <w:rPr>
          <w:rFonts w:ascii="Times New Roman" w:hAnsi="Times New Roman" w:cs="Times New Roman"/>
          <w:color w:val="000000" w:themeColor="text1"/>
          <w:sz w:val="24"/>
          <w:szCs w:val="24"/>
        </w:rPr>
        <w:t xml:space="preserve"> z ustawy z dnia 14 czerwca 1960 r.</w:t>
      </w:r>
      <w:r w:rsidR="02B3DD13" w:rsidRPr="00C10C7D">
        <w:rPr>
          <w:rFonts w:ascii="Times New Roman" w:hAnsi="Times New Roman" w:cs="Times New Roman"/>
          <w:color w:val="000000" w:themeColor="text1"/>
          <w:sz w:val="24"/>
          <w:szCs w:val="24"/>
        </w:rPr>
        <w:t xml:space="preserve"> </w:t>
      </w:r>
      <w:r w:rsidR="00934B74" w:rsidRPr="00C10C7D">
        <w:rPr>
          <w:rFonts w:ascii="Times New Roman" w:eastAsia="Times New Roman" w:hAnsi="Times New Roman" w:cs="Times New Roman"/>
          <w:color w:val="000000" w:themeColor="text1"/>
          <w:sz w:val="24"/>
          <w:szCs w:val="24"/>
        </w:rPr>
        <w:t>–</w:t>
      </w:r>
      <w:r w:rsidRPr="00C10C7D">
        <w:rPr>
          <w:rFonts w:ascii="Times New Roman" w:hAnsi="Times New Roman" w:cs="Times New Roman"/>
          <w:color w:val="000000" w:themeColor="text1"/>
          <w:sz w:val="24"/>
          <w:szCs w:val="24"/>
        </w:rPr>
        <w:t xml:space="preserve"> Kodeks postępowania administracyjnego</w:t>
      </w:r>
      <w:r w:rsidR="001F0C2F" w:rsidRPr="00C10C7D">
        <w:rPr>
          <w:rFonts w:ascii="Times New Roman" w:hAnsi="Times New Roman" w:cs="Times New Roman"/>
          <w:color w:val="000000" w:themeColor="text1"/>
          <w:sz w:val="24"/>
          <w:szCs w:val="24"/>
        </w:rPr>
        <w:t xml:space="preserve"> (Dz. U. z 202</w:t>
      </w:r>
      <w:r w:rsidR="00FA1EA7" w:rsidRPr="00C10C7D">
        <w:rPr>
          <w:rFonts w:ascii="Times New Roman" w:hAnsi="Times New Roman" w:cs="Times New Roman"/>
          <w:color w:val="000000" w:themeColor="text1"/>
          <w:sz w:val="24"/>
          <w:szCs w:val="24"/>
        </w:rPr>
        <w:t>2</w:t>
      </w:r>
      <w:r w:rsidR="001F0C2F" w:rsidRPr="00C10C7D">
        <w:rPr>
          <w:rFonts w:ascii="Times New Roman" w:hAnsi="Times New Roman" w:cs="Times New Roman"/>
          <w:color w:val="000000" w:themeColor="text1"/>
          <w:sz w:val="24"/>
          <w:szCs w:val="24"/>
        </w:rPr>
        <w:t xml:space="preserve"> r. poz. </w:t>
      </w:r>
      <w:r w:rsidR="00FA1EA7" w:rsidRPr="00C10C7D">
        <w:rPr>
          <w:rFonts w:ascii="Times New Roman" w:hAnsi="Times New Roman" w:cs="Times New Roman"/>
          <w:color w:val="000000" w:themeColor="text1"/>
          <w:sz w:val="24"/>
          <w:szCs w:val="24"/>
        </w:rPr>
        <w:t>2000</w:t>
      </w:r>
      <w:r w:rsidR="001F0C2F" w:rsidRPr="00CE1978">
        <w:rPr>
          <w:rFonts w:ascii="Times New Roman" w:hAnsi="Times New Roman" w:cs="Times New Roman"/>
          <w:color w:val="000000" w:themeColor="text1"/>
          <w:sz w:val="24"/>
          <w:szCs w:val="24"/>
        </w:rPr>
        <w:t>), zwany dalej „Kpa”</w:t>
      </w:r>
      <w:r w:rsidRPr="00CE1978">
        <w:rPr>
          <w:rFonts w:ascii="Times New Roman" w:hAnsi="Times New Roman" w:cs="Times New Roman"/>
          <w:color w:val="000000" w:themeColor="text1"/>
          <w:sz w:val="24"/>
          <w:szCs w:val="24"/>
        </w:rPr>
        <w:t xml:space="preserve">. </w:t>
      </w:r>
      <w:r w:rsidR="006916B9" w:rsidRPr="00CE1978">
        <w:rPr>
          <w:rFonts w:ascii="Times New Roman" w:hAnsi="Times New Roman" w:cs="Times New Roman"/>
          <w:color w:val="000000" w:themeColor="text1"/>
          <w:sz w:val="24"/>
          <w:szCs w:val="24"/>
        </w:rPr>
        <w:t>Ponadto Prezes UKE może uzyskać te informacje na podstawie projektowanego art. 19 ust. 2</w:t>
      </w:r>
      <w:r w:rsidR="00AA6BCE" w:rsidRPr="00CE1978">
        <w:rPr>
          <w:rFonts w:ascii="Times New Roman" w:hAnsi="Times New Roman" w:cs="Times New Roman"/>
          <w:color w:val="000000" w:themeColor="text1"/>
          <w:sz w:val="24"/>
          <w:szCs w:val="24"/>
        </w:rPr>
        <w:t xml:space="preserve"> Pke. W</w:t>
      </w:r>
      <w:r w:rsidR="006916B9" w:rsidRPr="00CE1978">
        <w:rPr>
          <w:rFonts w:ascii="Times New Roman" w:hAnsi="Times New Roman" w:cs="Times New Roman"/>
          <w:color w:val="000000" w:themeColor="text1"/>
          <w:sz w:val="24"/>
          <w:szCs w:val="24"/>
        </w:rPr>
        <w:t xml:space="preserve"> przypadku operatorów sieci, będą oni „innymi podmiotami działającymi na rynku komunikacji elektronicznej lub innych rynkach ściśle powiązanych z tym rynkiem” w rozumieniu przywołanego przepisu, niezależnie, czy są stroną w rozumieniu Kpa</w:t>
      </w:r>
      <w:r w:rsidR="00AA6BCE" w:rsidRPr="00CE1978">
        <w:rPr>
          <w:rFonts w:ascii="Times New Roman" w:hAnsi="Times New Roman" w:cs="Times New Roman"/>
          <w:color w:val="000000" w:themeColor="text1"/>
          <w:sz w:val="24"/>
          <w:szCs w:val="24"/>
        </w:rPr>
        <w:t xml:space="preserve">, tj. </w:t>
      </w:r>
      <w:r w:rsidR="006916B9" w:rsidRPr="00CE1978">
        <w:rPr>
          <w:rFonts w:ascii="Times New Roman" w:hAnsi="Times New Roman" w:cs="Times New Roman"/>
          <w:color w:val="000000" w:themeColor="text1"/>
          <w:sz w:val="24"/>
          <w:szCs w:val="24"/>
        </w:rPr>
        <w:t>stroną postępowania administracyjnego, czy stroną negocjacji.</w:t>
      </w:r>
    </w:p>
    <w:p w14:paraId="0EEDB13B" w14:textId="796C1D0F" w:rsidR="008E34F3"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008E34F3"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008E34F3" w:rsidRPr="00CE1978">
        <w:rPr>
          <w:rFonts w:ascii="Times New Roman" w:eastAsia="Times New Roman" w:hAnsi="Times New Roman" w:cs="Times New Roman"/>
          <w:b/>
          <w:bCs/>
          <w:color w:val="000000" w:themeColor="text1"/>
          <w:sz w:val="24"/>
          <w:szCs w:val="24"/>
        </w:rPr>
        <w:t xml:space="preserve">pkt </w:t>
      </w:r>
      <w:r w:rsidR="00DC4C0F" w:rsidRPr="00CE1978">
        <w:rPr>
          <w:rFonts w:ascii="Times New Roman" w:eastAsia="Times New Roman" w:hAnsi="Times New Roman" w:cs="Times New Roman"/>
          <w:b/>
          <w:bCs/>
          <w:color w:val="000000" w:themeColor="text1"/>
          <w:sz w:val="24"/>
          <w:szCs w:val="24"/>
        </w:rPr>
        <w:t xml:space="preserve">16 </w:t>
      </w:r>
      <w:r w:rsidR="009B04F7" w:rsidRPr="00CE1978">
        <w:rPr>
          <w:rFonts w:ascii="Times New Roman" w:eastAsia="Times New Roman" w:hAnsi="Times New Roman" w:cs="Times New Roman"/>
          <w:b/>
          <w:bCs/>
          <w:color w:val="000000" w:themeColor="text1"/>
          <w:sz w:val="24"/>
          <w:szCs w:val="24"/>
        </w:rPr>
        <w:t>lit. a</w:t>
      </w:r>
    </w:p>
    <w:p w14:paraId="4FB4D702" w14:textId="77777777" w:rsidR="006F1EDE" w:rsidRPr="00CE1978" w:rsidRDefault="004721A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Proponowane nowe</w:t>
      </w:r>
      <w:r w:rsidR="75B895FB" w:rsidRPr="00CE1978">
        <w:rPr>
          <w:rFonts w:ascii="Times New Roman" w:eastAsia="Times New Roman" w:hAnsi="Times New Roman" w:cs="Times New Roman"/>
          <w:color w:val="000000" w:themeColor="text1"/>
          <w:sz w:val="24"/>
          <w:szCs w:val="24"/>
        </w:rPr>
        <w:t xml:space="preserve"> brzmienie art. 22 </w:t>
      </w:r>
      <w:r w:rsidR="000303A4" w:rsidRPr="00CE1978">
        <w:rPr>
          <w:rFonts w:ascii="Times New Roman" w:eastAsia="Times New Roman" w:hAnsi="Times New Roman" w:cs="Times New Roman"/>
          <w:color w:val="000000" w:themeColor="text1"/>
          <w:sz w:val="24"/>
          <w:szCs w:val="24"/>
        </w:rPr>
        <w:t>ust. 1 zdanie pierwsze</w:t>
      </w:r>
      <w:r w:rsidR="75B895FB" w:rsidRPr="00CE1978">
        <w:rPr>
          <w:rFonts w:ascii="Times New Roman" w:eastAsia="Times New Roman" w:hAnsi="Times New Roman" w:cs="Times New Roman"/>
          <w:color w:val="000000" w:themeColor="text1"/>
          <w:sz w:val="24"/>
          <w:szCs w:val="24"/>
        </w:rPr>
        <w:t xml:space="preserve"> zawiera odwołanie do </w:t>
      </w:r>
      <w:r w:rsidRPr="00CE1978">
        <w:rPr>
          <w:rFonts w:ascii="Times New Roman" w:eastAsia="Times New Roman" w:hAnsi="Times New Roman" w:cs="Times New Roman"/>
          <w:color w:val="000000" w:themeColor="text1"/>
          <w:sz w:val="24"/>
          <w:szCs w:val="24"/>
        </w:rPr>
        <w:t>przepisów związanych z koordynacją dostępu, zawartych w dziale</w:t>
      </w:r>
      <w:r w:rsidR="75B895FB" w:rsidRPr="00CE1978">
        <w:rPr>
          <w:rFonts w:ascii="Times New Roman" w:eastAsia="Times New Roman" w:hAnsi="Times New Roman" w:cs="Times New Roman"/>
          <w:color w:val="000000" w:themeColor="text1"/>
          <w:sz w:val="24"/>
          <w:szCs w:val="24"/>
        </w:rPr>
        <w:t xml:space="preserve"> II</w:t>
      </w:r>
      <w:r w:rsidR="3DB9CB48" w:rsidRPr="00CE1978">
        <w:rPr>
          <w:rFonts w:ascii="Times New Roman" w:eastAsia="Times New Roman" w:hAnsi="Times New Roman" w:cs="Times New Roman"/>
          <w:color w:val="000000" w:themeColor="text1"/>
          <w:sz w:val="24"/>
          <w:szCs w:val="24"/>
        </w:rPr>
        <w:t>I</w:t>
      </w:r>
      <w:r w:rsidR="75B895FB" w:rsidRPr="00CE1978">
        <w:rPr>
          <w:rFonts w:ascii="Times New Roman" w:eastAsia="Times New Roman" w:hAnsi="Times New Roman" w:cs="Times New Roman"/>
          <w:color w:val="000000" w:themeColor="text1"/>
          <w:sz w:val="24"/>
          <w:szCs w:val="24"/>
        </w:rPr>
        <w:t xml:space="preserve"> rozdziału </w:t>
      </w:r>
      <w:r w:rsidRPr="00CE1978">
        <w:rPr>
          <w:rFonts w:ascii="Times New Roman" w:eastAsia="Times New Roman" w:hAnsi="Times New Roman" w:cs="Times New Roman"/>
          <w:color w:val="000000" w:themeColor="text1"/>
          <w:sz w:val="24"/>
          <w:szCs w:val="24"/>
        </w:rPr>
        <w:t>3 Pke</w:t>
      </w:r>
      <w:r w:rsidR="75B895FB" w:rsidRPr="00CE1978">
        <w:rPr>
          <w:rFonts w:ascii="Times New Roman" w:eastAsia="Times New Roman" w:hAnsi="Times New Roman" w:cs="Times New Roman"/>
          <w:color w:val="000000" w:themeColor="text1"/>
          <w:sz w:val="24"/>
          <w:szCs w:val="24"/>
        </w:rPr>
        <w:t>, zastrzegając zmiany wynikające z kolejnych ustępów.</w:t>
      </w:r>
    </w:p>
    <w:p w14:paraId="67A958DE" w14:textId="77777777" w:rsidR="006F1EDE" w:rsidRPr="00CE1978" w:rsidRDefault="008E2E1C"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 xml:space="preserve">W związku z wprowadzeniem </w:t>
      </w:r>
      <w:r w:rsidR="009B04F7" w:rsidRPr="00CE1978">
        <w:rPr>
          <w:rFonts w:ascii="Times New Roman" w:eastAsia="Times New Roman" w:hAnsi="Times New Roman" w:cs="Times New Roman"/>
          <w:color w:val="000000" w:themeColor="text1"/>
          <w:sz w:val="24"/>
          <w:szCs w:val="24"/>
        </w:rPr>
        <w:t xml:space="preserve">na podstawie art. </w:t>
      </w:r>
      <w:r w:rsidR="004551CF" w:rsidRPr="00CE1978">
        <w:rPr>
          <w:rFonts w:ascii="Times New Roman" w:eastAsia="Times New Roman" w:hAnsi="Times New Roman" w:cs="Times New Roman"/>
          <w:color w:val="000000" w:themeColor="text1"/>
          <w:sz w:val="24"/>
          <w:szCs w:val="24"/>
        </w:rPr>
        <w:t xml:space="preserve">183 </w:t>
      </w:r>
      <w:r w:rsidR="009B04F7" w:rsidRPr="00CE1978">
        <w:rPr>
          <w:rFonts w:ascii="Times New Roman" w:eastAsia="Times New Roman" w:hAnsi="Times New Roman" w:cs="Times New Roman"/>
          <w:color w:val="000000" w:themeColor="text1"/>
          <w:sz w:val="24"/>
          <w:szCs w:val="24"/>
        </w:rPr>
        <w:t>ust. 1 Pke</w:t>
      </w:r>
      <w:r w:rsidRPr="00CE1978">
        <w:rPr>
          <w:rFonts w:ascii="Times New Roman" w:eastAsia="Times New Roman" w:hAnsi="Times New Roman" w:cs="Times New Roman"/>
          <w:color w:val="000000" w:themeColor="text1"/>
          <w:sz w:val="24"/>
          <w:szCs w:val="24"/>
        </w:rPr>
        <w:t xml:space="preserve"> terminu 60 dni na rozpatrzenie wniosku o rozstrzygnięcie sporu</w:t>
      </w:r>
      <w:r w:rsidR="006F1EDE" w:rsidRPr="00CE1978">
        <w:rPr>
          <w:rFonts w:ascii="Times New Roman" w:eastAsia="Times New Roman" w:hAnsi="Times New Roman" w:cs="Times New Roman"/>
          <w:color w:val="000000" w:themeColor="text1"/>
          <w:sz w:val="24"/>
          <w:szCs w:val="24"/>
        </w:rPr>
        <w:t xml:space="preserve"> przez Prezesa UKE</w:t>
      </w:r>
      <w:r w:rsidRPr="00CE1978">
        <w:rPr>
          <w:rFonts w:ascii="Times New Roman" w:eastAsia="Times New Roman" w:hAnsi="Times New Roman" w:cs="Times New Roman"/>
          <w:color w:val="000000" w:themeColor="text1"/>
          <w:sz w:val="24"/>
          <w:szCs w:val="24"/>
        </w:rPr>
        <w:t xml:space="preserve">, w tym sporu o dostępu do infrastruktury technicznej, należy </w:t>
      </w:r>
      <w:r w:rsidR="00CA4981" w:rsidRPr="00CE1978">
        <w:rPr>
          <w:rFonts w:ascii="Times New Roman" w:eastAsia="Times New Roman" w:hAnsi="Times New Roman" w:cs="Times New Roman"/>
          <w:color w:val="000000" w:themeColor="text1"/>
          <w:sz w:val="24"/>
          <w:szCs w:val="24"/>
        </w:rPr>
        <w:t>zmienić</w:t>
      </w:r>
      <w:r w:rsidRPr="00CE1978">
        <w:rPr>
          <w:rFonts w:ascii="Times New Roman" w:eastAsia="Times New Roman" w:hAnsi="Times New Roman" w:cs="Times New Roman"/>
          <w:color w:val="000000" w:themeColor="text1"/>
          <w:sz w:val="24"/>
          <w:szCs w:val="24"/>
        </w:rPr>
        <w:t xml:space="preserve"> art. 22 ust. 1</w:t>
      </w:r>
      <w:r w:rsidR="006F1EDE" w:rsidRPr="00CE1978">
        <w:rPr>
          <w:rFonts w:ascii="Times New Roman" w:eastAsia="Times New Roman" w:hAnsi="Times New Roman" w:cs="Times New Roman"/>
          <w:color w:val="000000" w:themeColor="text1"/>
          <w:sz w:val="24"/>
          <w:szCs w:val="24"/>
        </w:rPr>
        <w:t xml:space="preserve"> Megaustawy</w:t>
      </w:r>
      <w:r w:rsidRPr="00CE1978">
        <w:rPr>
          <w:rFonts w:ascii="Times New Roman" w:eastAsia="Times New Roman" w:hAnsi="Times New Roman" w:cs="Times New Roman"/>
          <w:color w:val="000000" w:themeColor="text1"/>
          <w:sz w:val="24"/>
          <w:szCs w:val="24"/>
        </w:rPr>
        <w:t>. Termin 60 dni na wydanie decyzji w sprawie dostępu do infrastruktury technicznej nie ulega więc zmianie w stosunku do obecnego stanu prawnego.</w:t>
      </w:r>
      <w:r w:rsidR="006F1EDE" w:rsidRPr="00CE1978">
        <w:rPr>
          <w:rFonts w:ascii="Times New Roman" w:eastAsia="Times New Roman" w:hAnsi="Times New Roman" w:cs="Times New Roman"/>
          <w:color w:val="000000" w:themeColor="text1"/>
          <w:sz w:val="24"/>
          <w:szCs w:val="24"/>
        </w:rPr>
        <w:t xml:space="preserve"> </w:t>
      </w:r>
      <w:r w:rsidR="00CA4981" w:rsidRPr="00CE1978">
        <w:rPr>
          <w:rFonts w:ascii="Times New Roman" w:eastAsia="Times New Roman" w:hAnsi="Times New Roman" w:cs="Times New Roman"/>
          <w:color w:val="000000" w:themeColor="text1"/>
          <w:sz w:val="24"/>
          <w:szCs w:val="24"/>
        </w:rPr>
        <w:t xml:space="preserve">Nie ulega również zmianie konieczność, uwzględnienia przez Prezesa UKE, zapewnienia </w:t>
      </w:r>
      <w:r w:rsidR="006F1EDE" w:rsidRPr="00CE1978">
        <w:rPr>
          <w:rFonts w:ascii="Times New Roman" w:eastAsia="Times New Roman" w:hAnsi="Times New Roman" w:cs="Times New Roman"/>
          <w:color w:val="000000" w:themeColor="text1"/>
          <w:sz w:val="24"/>
          <w:szCs w:val="24"/>
        </w:rPr>
        <w:t>zakresie konieczności „zapewnienia niedyskryminacyjnych i proporcjonalnych warunków dostępu”</w:t>
      </w:r>
      <w:r w:rsidR="00CA4981" w:rsidRPr="00CE1978">
        <w:rPr>
          <w:rFonts w:ascii="Times New Roman" w:eastAsia="Times New Roman" w:hAnsi="Times New Roman" w:cs="Times New Roman"/>
          <w:color w:val="000000" w:themeColor="text1"/>
          <w:sz w:val="24"/>
          <w:szCs w:val="24"/>
        </w:rPr>
        <w:t xml:space="preserve"> załatwiając sprawę sporną dotyczącą umowy o dostępie do infrastruktury technicznej</w:t>
      </w:r>
      <w:r w:rsidR="000303A4" w:rsidRPr="00CE1978">
        <w:rPr>
          <w:rFonts w:ascii="Times New Roman" w:eastAsia="Times New Roman" w:hAnsi="Times New Roman" w:cs="Times New Roman"/>
          <w:color w:val="000000" w:themeColor="text1"/>
          <w:sz w:val="24"/>
          <w:szCs w:val="24"/>
        </w:rPr>
        <w:t xml:space="preserve"> (art. 22 ust. 1 zdanie drugie Megaust</w:t>
      </w:r>
      <w:r w:rsidR="00571575" w:rsidRPr="00CE1978">
        <w:rPr>
          <w:rFonts w:ascii="Times New Roman" w:eastAsia="Times New Roman" w:hAnsi="Times New Roman" w:cs="Times New Roman"/>
          <w:color w:val="000000" w:themeColor="text1"/>
          <w:sz w:val="24"/>
          <w:szCs w:val="24"/>
        </w:rPr>
        <w:t>a</w:t>
      </w:r>
      <w:r w:rsidR="000303A4" w:rsidRPr="00CE1978">
        <w:rPr>
          <w:rFonts w:ascii="Times New Roman" w:eastAsia="Times New Roman" w:hAnsi="Times New Roman" w:cs="Times New Roman"/>
          <w:color w:val="000000" w:themeColor="text1"/>
          <w:sz w:val="24"/>
          <w:szCs w:val="24"/>
        </w:rPr>
        <w:t>wy)</w:t>
      </w:r>
      <w:r w:rsidR="006F1EDE" w:rsidRPr="00CE1978">
        <w:rPr>
          <w:rFonts w:ascii="Times New Roman" w:eastAsia="Times New Roman" w:hAnsi="Times New Roman" w:cs="Times New Roman"/>
          <w:color w:val="000000" w:themeColor="text1"/>
          <w:sz w:val="24"/>
          <w:szCs w:val="24"/>
        </w:rPr>
        <w:t>.</w:t>
      </w:r>
    </w:p>
    <w:p w14:paraId="66C32120" w14:textId="204A4919" w:rsidR="009B04F7"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Zgodnie z projektowanym</w:t>
      </w:r>
      <w:r w:rsidR="00571575" w:rsidRPr="00CE1978">
        <w:rPr>
          <w:rFonts w:ascii="Times New Roman" w:eastAsia="Times New Roman" w:hAnsi="Times New Roman" w:cs="Times New Roman"/>
          <w:color w:val="000000" w:themeColor="text1"/>
          <w:sz w:val="24"/>
          <w:szCs w:val="24"/>
        </w:rPr>
        <w:t xml:space="preserve"> nowym brzmieniem</w:t>
      </w:r>
      <w:r w:rsidRPr="00CE1978">
        <w:rPr>
          <w:rFonts w:ascii="Times New Roman" w:eastAsia="Times New Roman" w:hAnsi="Times New Roman" w:cs="Times New Roman"/>
          <w:color w:val="000000" w:themeColor="text1"/>
          <w:sz w:val="24"/>
          <w:szCs w:val="24"/>
        </w:rPr>
        <w:t xml:space="preserve"> art. 22 ust. </w:t>
      </w:r>
      <w:r w:rsidR="008E2E1C" w:rsidRPr="00CE1978">
        <w:rPr>
          <w:rFonts w:ascii="Times New Roman" w:eastAsia="Times New Roman" w:hAnsi="Times New Roman" w:cs="Times New Roman"/>
          <w:color w:val="000000" w:themeColor="text1"/>
          <w:sz w:val="24"/>
          <w:szCs w:val="24"/>
        </w:rPr>
        <w:t>2</w:t>
      </w:r>
      <w:r w:rsidR="74794934" w:rsidRPr="00CE1978">
        <w:rPr>
          <w:rFonts w:ascii="Times New Roman" w:eastAsia="Times New Roman" w:hAnsi="Times New Roman" w:cs="Times New Roman"/>
          <w:color w:val="000000" w:themeColor="text1"/>
          <w:sz w:val="24"/>
          <w:szCs w:val="24"/>
        </w:rPr>
        <w:t xml:space="preserve"> ustawy</w:t>
      </w:r>
      <w:r w:rsidRPr="00CE1978">
        <w:rPr>
          <w:rFonts w:ascii="Times New Roman" w:eastAsia="Times New Roman" w:hAnsi="Times New Roman" w:cs="Times New Roman"/>
          <w:color w:val="000000" w:themeColor="text1"/>
          <w:sz w:val="24"/>
          <w:szCs w:val="24"/>
        </w:rPr>
        <w:t xml:space="preserve">, Prezes UKE, wydając decyzję rozstrzygającą spór dotyczący dostępu do infrastruktury technicznej przedsiębiorcy telekomunikacyjnego, bierze pod uwagę, aby opłaty z tytułu dostępu umożliwiały zwrot poniesionych przez przedsiębiorcę telekomunikacyjnego kosztów, oraz uwzględniały wpływ zapewnienia dostępu na plan biznesowy tego przedsiębiorcy telekomunikacyjnego, w szczególności na realizowane przez niego inwestycje dotyczące szybkich sieci telekomunikacyjnych oraz </w:t>
      </w:r>
      <w:r w:rsidR="00A101C9" w:rsidRPr="00CE1978">
        <w:rPr>
          <w:rFonts w:ascii="Times New Roman" w:eastAsia="Times New Roman" w:hAnsi="Times New Roman" w:cs="Times New Roman"/>
          <w:color w:val="000000" w:themeColor="text1"/>
          <w:sz w:val="24"/>
          <w:szCs w:val="24"/>
        </w:rPr>
        <w:t>infrastruktury telekomunikacyjnej</w:t>
      </w:r>
      <w:r w:rsidRPr="00CE1978">
        <w:rPr>
          <w:rFonts w:ascii="Times New Roman" w:eastAsia="Times New Roman" w:hAnsi="Times New Roman" w:cs="Times New Roman"/>
          <w:color w:val="000000" w:themeColor="text1"/>
          <w:sz w:val="24"/>
          <w:szCs w:val="24"/>
        </w:rPr>
        <w:t xml:space="preserve">. Zmiana w stosunku do obecnego brzmienia art. 22 ust. 2 polega </w:t>
      </w:r>
      <w:r w:rsidR="009B04F7" w:rsidRPr="00CE1978">
        <w:rPr>
          <w:rFonts w:ascii="Times New Roman" w:eastAsia="Times New Roman" w:hAnsi="Times New Roman" w:cs="Times New Roman"/>
          <w:color w:val="000000" w:themeColor="text1"/>
          <w:sz w:val="24"/>
          <w:szCs w:val="24"/>
        </w:rPr>
        <w:t xml:space="preserve">przede wszystkim </w:t>
      </w:r>
      <w:r w:rsidRPr="00CE1978">
        <w:rPr>
          <w:rFonts w:ascii="Times New Roman" w:eastAsia="Times New Roman" w:hAnsi="Times New Roman" w:cs="Times New Roman"/>
          <w:color w:val="000000" w:themeColor="text1"/>
          <w:sz w:val="24"/>
          <w:szCs w:val="24"/>
        </w:rPr>
        <w:t xml:space="preserve">na usunięciu odwołania do celów określonych w </w:t>
      </w:r>
      <w:r w:rsidR="002A5CC7" w:rsidRPr="00CE1978">
        <w:rPr>
          <w:rFonts w:ascii="Times New Roman" w:hAnsi="Times New Roman" w:cs="Times New Roman"/>
          <w:color w:val="000000" w:themeColor="text1"/>
          <w:sz w:val="24"/>
          <w:szCs w:val="24"/>
        </w:rPr>
        <w:t>art. 8</w:t>
      </w:r>
      <w:r w:rsidRPr="00CE1978">
        <w:rPr>
          <w:rFonts w:ascii="Times New Roman" w:eastAsia="Times New Roman" w:hAnsi="Times New Roman" w:cs="Times New Roman"/>
          <w:color w:val="000000" w:themeColor="text1"/>
          <w:sz w:val="24"/>
          <w:szCs w:val="24"/>
        </w:rPr>
        <w:t xml:space="preserve"> dyrektywy </w:t>
      </w:r>
      <w:r w:rsidR="002A5CC7" w:rsidRPr="00CE1978">
        <w:rPr>
          <w:rFonts w:ascii="Times New Roman" w:hAnsi="Times New Roman" w:cs="Times New Roman"/>
          <w:color w:val="000000" w:themeColor="text1"/>
          <w:sz w:val="24"/>
          <w:szCs w:val="24"/>
        </w:rPr>
        <w:t>2002/21/WE</w:t>
      </w:r>
      <w:r w:rsidRPr="00CE1978">
        <w:rPr>
          <w:rFonts w:ascii="Times New Roman" w:eastAsia="Times New Roman" w:hAnsi="Times New Roman" w:cs="Times New Roman"/>
          <w:color w:val="000000" w:themeColor="text1"/>
          <w:sz w:val="24"/>
          <w:szCs w:val="24"/>
        </w:rPr>
        <w:t xml:space="preserve"> Parlamentu Europejskiego i Rady z dnia 7 marca 2002 r. w sprawie wspólnych ram regulacyjnych sieci i usług łączności elektronicznej</w:t>
      </w:r>
      <w:r w:rsidR="00B57E0B" w:rsidRPr="00CE1978">
        <w:rPr>
          <w:rFonts w:ascii="Times New Roman" w:eastAsia="Times New Roman" w:hAnsi="Times New Roman" w:cs="Times New Roman"/>
          <w:color w:val="000000" w:themeColor="text1"/>
          <w:sz w:val="24"/>
          <w:szCs w:val="24"/>
        </w:rPr>
        <w:t xml:space="preserve"> (Dz. Urz. L 108 z 24.04.2002, str. 33)</w:t>
      </w:r>
      <w:r w:rsidRPr="00CE1978">
        <w:rPr>
          <w:rFonts w:ascii="Times New Roman" w:eastAsia="Times New Roman" w:hAnsi="Times New Roman" w:cs="Times New Roman"/>
          <w:color w:val="000000" w:themeColor="text1"/>
          <w:sz w:val="24"/>
          <w:szCs w:val="24"/>
        </w:rPr>
        <w:t xml:space="preserve"> (dyrektywa</w:t>
      </w:r>
      <w:r w:rsidR="002079D3"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color w:val="000000" w:themeColor="text1"/>
          <w:sz w:val="24"/>
          <w:szCs w:val="24"/>
        </w:rPr>
        <w:t>ramow</w:t>
      </w:r>
      <w:r w:rsidR="002079D3" w:rsidRPr="00CE1978">
        <w:rPr>
          <w:rFonts w:ascii="Times New Roman" w:eastAsia="Times New Roman" w:hAnsi="Times New Roman" w:cs="Times New Roman"/>
          <w:color w:val="000000" w:themeColor="text1"/>
          <w:sz w:val="24"/>
          <w:szCs w:val="24"/>
        </w:rPr>
        <w:t>a</w:t>
      </w:r>
      <w:r w:rsidRPr="00CE1978">
        <w:rPr>
          <w:rFonts w:ascii="Times New Roman" w:eastAsia="Times New Roman" w:hAnsi="Times New Roman" w:cs="Times New Roman"/>
          <w:color w:val="000000" w:themeColor="text1"/>
          <w:sz w:val="24"/>
          <w:szCs w:val="24"/>
        </w:rPr>
        <w:t>)</w:t>
      </w:r>
      <w:r w:rsidR="00571575" w:rsidRPr="00CE1978">
        <w:rPr>
          <w:rFonts w:ascii="Times New Roman" w:eastAsia="Times New Roman" w:hAnsi="Times New Roman" w:cs="Times New Roman"/>
          <w:color w:val="000000" w:themeColor="text1"/>
          <w:sz w:val="24"/>
          <w:szCs w:val="24"/>
        </w:rPr>
        <w:t>, w związku z zastąpieniem tejże dyrektywy EKŁE</w:t>
      </w:r>
      <w:r w:rsidRPr="00CE1978">
        <w:rPr>
          <w:rFonts w:ascii="Times New Roman" w:eastAsia="Times New Roman" w:hAnsi="Times New Roman" w:cs="Times New Roman"/>
          <w:color w:val="000000" w:themeColor="text1"/>
          <w:sz w:val="24"/>
          <w:szCs w:val="24"/>
        </w:rPr>
        <w:t>.</w:t>
      </w:r>
    </w:p>
    <w:p w14:paraId="66DAB8B7" w14:textId="79CC0913" w:rsidR="009B04F7"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009B04F7"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009B04F7" w:rsidRPr="00CE1978">
        <w:rPr>
          <w:rFonts w:ascii="Times New Roman" w:eastAsia="Times New Roman" w:hAnsi="Times New Roman" w:cs="Times New Roman"/>
          <w:b/>
          <w:bCs/>
          <w:color w:val="000000" w:themeColor="text1"/>
          <w:sz w:val="24"/>
          <w:szCs w:val="24"/>
        </w:rPr>
        <w:t xml:space="preserve">pkt </w:t>
      </w:r>
      <w:r w:rsidR="00DC4C0F" w:rsidRPr="00CE1978">
        <w:rPr>
          <w:rFonts w:ascii="Times New Roman" w:eastAsia="Times New Roman" w:hAnsi="Times New Roman" w:cs="Times New Roman"/>
          <w:b/>
          <w:bCs/>
          <w:color w:val="000000" w:themeColor="text1"/>
          <w:sz w:val="24"/>
          <w:szCs w:val="24"/>
        </w:rPr>
        <w:t xml:space="preserve">16 </w:t>
      </w:r>
      <w:r w:rsidR="009B04F7" w:rsidRPr="00CE1978">
        <w:rPr>
          <w:rFonts w:ascii="Times New Roman" w:eastAsia="Times New Roman" w:hAnsi="Times New Roman" w:cs="Times New Roman"/>
          <w:b/>
          <w:bCs/>
          <w:color w:val="000000" w:themeColor="text1"/>
          <w:sz w:val="24"/>
          <w:szCs w:val="24"/>
        </w:rPr>
        <w:t xml:space="preserve">lit. </w:t>
      </w:r>
      <w:r w:rsidR="00571575" w:rsidRPr="00CE1978">
        <w:rPr>
          <w:rFonts w:ascii="Times New Roman" w:eastAsia="Times New Roman" w:hAnsi="Times New Roman" w:cs="Times New Roman"/>
          <w:b/>
          <w:bCs/>
          <w:color w:val="000000" w:themeColor="text1"/>
          <w:sz w:val="24"/>
          <w:szCs w:val="24"/>
        </w:rPr>
        <w:t>c</w:t>
      </w:r>
    </w:p>
    <w:p w14:paraId="6FED3A7D" w14:textId="77777777" w:rsidR="00830BFC" w:rsidRPr="00CE1978" w:rsidRDefault="00DB6C52"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Proponuje się uchylenie 22 ust. 5 Megaustawy w związku z projektowanym art. 1</w:t>
      </w:r>
      <w:r w:rsidR="004551CF" w:rsidRPr="00CE1978">
        <w:rPr>
          <w:rFonts w:ascii="Times New Roman" w:eastAsia="Times New Roman" w:hAnsi="Times New Roman" w:cs="Times New Roman"/>
          <w:color w:val="000000" w:themeColor="text1"/>
          <w:sz w:val="24"/>
          <w:szCs w:val="24"/>
        </w:rPr>
        <w:t>83</w:t>
      </w:r>
      <w:r w:rsidRPr="00CE1978">
        <w:rPr>
          <w:rFonts w:ascii="Times New Roman" w:eastAsia="Times New Roman" w:hAnsi="Times New Roman" w:cs="Times New Roman"/>
          <w:color w:val="000000" w:themeColor="text1"/>
          <w:sz w:val="24"/>
          <w:szCs w:val="24"/>
        </w:rPr>
        <w:t xml:space="preserve"> ust. 1 pkt 2 Pke, przewidującym możliwość wydania przez Prezesa UKE decyzji rozstrzygającej spór zmieniającej w całości lub w części umowę o dostępie. Natomiast zgodnie z ogólną regułą wyrażoną w art. 1</w:t>
      </w:r>
      <w:r w:rsidR="004551CF" w:rsidRPr="00CE1978">
        <w:rPr>
          <w:rFonts w:ascii="Times New Roman" w:eastAsia="Times New Roman" w:hAnsi="Times New Roman" w:cs="Times New Roman"/>
          <w:color w:val="000000" w:themeColor="text1"/>
          <w:sz w:val="24"/>
          <w:szCs w:val="24"/>
        </w:rPr>
        <w:t>88</w:t>
      </w:r>
      <w:r w:rsidRPr="00CE1978">
        <w:rPr>
          <w:rFonts w:ascii="Times New Roman" w:eastAsia="Times New Roman" w:hAnsi="Times New Roman" w:cs="Times New Roman"/>
          <w:color w:val="000000" w:themeColor="text1"/>
          <w:sz w:val="24"/>
          <w:szCs w:val="24"/>
        </w:rPr>
        <w:t xml:space="preserve"> Pke, zawarcie umowy o dostępie w przedmiocie określonym wcześniej decyzją, skutkuje wyga</w:t>
      </w:r>
      <w:r w:rsidR="24B8F012" w:rsidRPr="00CE1978">
        <w:rPr>
          <w:rFonts w:ascii="Times New Roman" w:eastAsia="Times New Roman" w:hAnsi="Times New Roman" w:cs="Times New Roman"/>
          <w:color w:val="000000" w:themeColor="text1"/>
          <w:sz w:val="24"/>
          <w:szCs w:val="24"/>
        </w:rPr>
        <w:t>śnięciem</w:t>
      </w:r>
      <w:r w:rsidRPr="00CE1978">
        <w:rPr>
          <w:rFonts w:ascii="Times New Roman" w:eastAsia="Times New Roman" w:hAnsi="Times New Roman" w:cs="Times New Roman"/>
          <w:color w:val="000000" w:themeColor="text1"/>
          <w:sz w:val="24"/>
          <w:szCs w:val="24"/>
        </w:rPr>
        <w:t xml:space="preserve"> z mocy prawa decyzji w zakresie objętym umową.</w:t>
      </w:r>
    </w:p>
    <w:p w14:paraId="56F56DFB" w14:textId="43E0EF24" w:rsidR="00571575"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00571575"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00571575" w:rsidRPr="00CE1978">
        <w:rPr>
          <w:rFonts w:ascii="Times New Roman" w:eastAsia="Times New Roman" w:hAnsi="Times New Roman" w:cs="Times New Roman"/>
          <w:b/>
          <w:bCs/>
          <w:color w:val="000000" w:themeColor="text1"/>
          <w:sz w:val="24"/>
          <w:szCs w:val="24"/>
        </w:rPr>
        <w:t>pkt 1</w:t>
      </w:r>
      <w:r w:rsidR="00DC4C0F" w:rsidRPr="00CE1978">
        <w:rPr>
          <w:rFonts w:ascii="Times New Roman" w:eastAsia="Times New Roman" w:hAnsi="Times New Roman" w:cs="Times New Roman"/>
          <w:b/>
          <w:bCs/>
          <w:color w:val="000000" w:themeColor="text1"/>
          <w:sz w:val="24"/>
          <w:szCs w:val="24"/>
        </w:rPr>
        <w:t>7</w:t>
      </w:r>
    </w:p>
    <w:p w14:paraId="20892109" w14:textId="30DEF70A" w:rsidR="00571575" w:rsidRPr="00C10C7D" w:rsidRDefault="00DE40AD"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Zgodnie z dotychczasowym brzmieniem art. 23 Megaustawy: „</w:t>
      </w:r>
      <w:r w:rsidRPr="00CE1978">
        <w:rPr>
          <w:rFonts w:ascii="Times New Roman" w:eastAsia="Times New Roman" w:hAnsi="Times New Roman" w:cs="Times New Roman"/>
          <w:i/>
          <w:color w:val="000000" w:themeColor="text1"/>
          <w:sz w:val="24"/>
          <w:szCs w:val="24"/>
        </w:rPr>
        <w:t xml:space="preserve">Do decyzji w sprawie dostępu do infrastruktury technicznej stosuje się odpowiednio przepisy działu I rozdziału 3 ustawy z dnia 16 lipca 2004 r. </w:t>
      </w:r>
      <w:r w:rsidR="00532F3A">
        <w:rPr>
          <w:rFonts w:ascii="Times New Roman" w:eastAsia="Times New Roman" w:hAnsi="Times New Roman" w:cs="Times New Roman"/>
          <w:i/>
          <w:color w:val="000000" w:themeColor="text1"/>
          <w:sz w:val="24"/>
          <w:szCs w:val="24"/>
        </w:rPr>
        <w:t>–</w:t>
      </w:r>
      <w:r w:rsidRPr="00532F3A">
        <w:rPr>
          <w:rFonts w:ascii="Times New Roman" w:eastAsia="Times New Roman" w:hAnsi="Times New Roman" w:cs="Times New Roman"/>
          <w:i/>
          <w:color w:val="000000" w:themeColor="text1"/>
          <w:sz w:val="24"/>
          <w:szCs w:val="24"/>
        </w:rPr>
        <w:t xml:space="preserve"> Prawo telekomunikacyjne</w:t>
      </w:r>
      <w:r w:rsidRPr="00532F3A">
        <w:rPr>
          <w:rFonts w:ascii="Times New Roman" w:eastAsia="Times New Roman" w:hAnsi="Times New Roman" w:cs="Times New Roman"/>
          <w:color w:val="000000" w:themeColor="text1"/>
          <w:sz w:val="24"/>
          <w:szCs w:val="24"/>
        </w:rPr>
        <w:t>”</w:t>
      </w:r>
      <w:r w:rsidR="001D646B" w:rsidRPr="00532F3A">
        <w:rPr>
          <w:rFonts w:ascii="Times New Roman" w:eastAsia="Times New Roman" w:hAnsi="Times New Roman" w:cs="Times New Roman"/>
          <w:color w:val="000000" w:themeColor="text1"/>
          <w:sz w:val="24"/>
          <w:szCs w:val="24"/>
        </w:rPr>
        <w:t xml:space="preserve">, a więc przepisy ustanawiające postępowanie konsultacyjne. Postępowanie konsultacyjne będzie miało zastosowanie, ale na podstawie art. 30 pkt </w:t>
      </w:r>
      <w:r w:rsidR="004551CF" w:rsidRPr="00CE1978">
        <w:rPr>
          <w:rFonts w:ascii="Times New Roman" w:eastAsia="Times New Roman" w:hAnsi="Times New Roman" w:cs="Times New Roman"/>
          <w:color w:val="000000" w:themeColor="text1"/>
          <w:sz w:val="24"/>
          <w:szCs w:val="24"/>
        </w:rPr>
        <w:t>4</w:t>
      </w:r>
      <w:r w:rsidR="001D646B" w:rsidRPr="00CE1978">
        <w:rPr>
          <w:rFonts w:ascii="Times New Roman" w:eastAsia="Times New Roman" w:hAnsi="Times New Roman" w:cs="Times New Roman"/>
          <w:color w:val="000000" w:themeColor="text1"/>
          <w:sz w:val="24"/>
          <w:szCs w:val="24"/>
        </w:rPr>
        <w:t xml:space="preserve"> Pke, który przesądza, że </w:t>
      </w:r>
      <w:r w:rsidR="001D646B" w:rsidRPr="00CE1978">
        <w:rPr>
          <w:rFonts w:ascii="Times New Roman" w:hAnsi="Times New Roman" w:cs="Times New Roman"/>
          <w:color w:val="000000" w:themeColor="text1"/>
          <w:sz w:val="24"/>
          <w:szCs w:val="24"/>
        </w:rPr>
        <w:t xml:space="preserve">Prezes UKE przeprowadza je przed podjęciem </w:t>
      </w:r>
      <w:r w:rsidR="001D646B" w:rsidRPr="00CE1978">
        <w:rPr>
          <w:rFonts w:ascii="Times New Roman" w:hAnsi="Times New Roman" w:cs="Times New Roman"/>
          <w:color w:val="000000" w:themeColor="text1"/>
          <w:sz w:val="24"/>
          <w:szCs w:val="24"/>
        </w:rPr>
        <w:lastRenderedPageBreak/>
        <w:t>rozstrzygnięcia w sprawie spornej o dostęp</w:t>
      </w:r>
      <w:r w:rsidR="004551CF" w:rsidRPr="00CE1978">
        <w:rPr>
          <w:rFonts w:ascii="Times New Roman" w:hAnsi="Times New Roman" w:cs="Times New Roman"/>
          <w:color w:val="000000" w:themeColor="text1"/>
          <w:sz w:val="24"/>
          <w:szCs w:val="24"/>
        </w:rPr>
        <w:t xml:space="preserve"> na podstawie art. 183</w:t>
      </w:r>
      <w:r w:rsidR="001D646B" w:rsidRPr="00C10C7D">
        <w:rPr>
          <w:rFonts w:ascii="Times New Roman" w:hAnsi="Times New Roman" w:cs="Times New Roman"/>
          <w:color w:val="000000" w:themeColor="text1"/>
          <w:sz w:val="24"/>
          <w:szCs w:val="24"/>
        </w:rPr>
        <w:t xml:space="preserve"> ust. 1 Pke. Z powyższych względów art. 23 należy uchylić jako potencjalnie „zdublowaną” regulację.</w:t>
      </w:r>
    </w:p>
    <w:p w14:paraId="47C50A7F" w14:textId="527400EC" w:rsidR="00EE5DF7" w:rsidRPr="00532F3A"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t>A</w:t>
      </w:r>
      <w:r w:rsidR="00EE5DF7" w:rsidRPr="00C10C7D">
        <w:rPr>
          <w:rFonts w:ascii="Times New Roman" w:eastAsia="Times New Roman" w:hAnsi="Times New Roman" w:cs="Times New Roman"/>
          <w:b/>
          <w:bCs/>
          <w:color w:val="000000" w:themeColor="text1"/>
          <w:sz w:val="24"/>
          <w:szCs w:val="24"/>
        </w:rPr>
        <w:t xml:space="preserve">rt. </w:t>
      </w:r>
      <w:r w:rsidR="00ED5C54" w:rsidRPr="00C10C7D">
        <w:rPr>
          <w:rFonts w:ascii="Times New Roman" w:eastAsia="Times New Roman" w:hAnsi="Times New Roman" w:cs="Times New Roman"/>
          <w:b/>
          <w:bCs/>
          <w:color w:val="000000" w:themeColor="text1"/>
          <w:sz w:val="24"/>
          <w:szCs w:val="24"/>
        </w:rPr>
        <w:t>3</w:t>
      </w:r>
      <w:r w:rsidR="008A2DD6" w:rsidRPr="00C10C7D">
        <w:rPr>
          <w:rFonts w:ascii="Times New Roman" w:eastAsia="Times New Roman" w:hAnsi="Times New Roman" w:cs="Times New Roman"/>
          <w:b/>
          <w:bCs/>
          <w:color w:val="000000" w:themeColor="text1"/>
          <w:sz w:val="24"/>
          <w:szCs w:val="24"/>
        </w:rPr>
        <w:t>6</w:t>
      </w:r>
      <w:r w:rsidR="00ED5C54" w:rsidRPr="00C10C7D">
        <w:rPr>
          <w:rFonts w:ascii="Times New Roman" w:eastAsia="Times New Roman" w:hAnsi="Times New Roman" w:cs="Times New Roman"/>
          <w:b/>
          <w:bCs/>
          <w:color w:val="000000" w:themeColor="text1"/>
          <w:sz w:val="24"/>
          <w:szCs w:val="24"/>
        </w:rPr>
        <w:t xml:space="preserve"> </w:t>
      </w:r>
      <w:r w:rsidR="00EE5DF7" w:rsidRPr="00C10C7D">
        <w:rPr>
          <w:rFonts w:ascii="Times New Roman" w:eastAsia="Times New Roman" w:hAnsi="Times New Roman" w:cs="Times New Roman"/>
          <w:b/>
          <w:bCs/>
          <w:color w:val="000000" w:themeColor="text1"/>
          <w:sz w:val="24"/>
          <w:szCs w:val="24"/>
        </w:rPr>
        <w:t>pkt 1</w:t>
      </w:r>
      <w:r w:rsidR="00DC4C0F" w:rsidRPr="00C10C7D">
        <w:rPr>
          <w:rFonts w:ascii="Times New Roman" w:eastAsia="Times New Roman" w:hAnsi="Times New Roman" w:cs="Times New Roman"/>
          <w:b/>
          <w:bCs/>
          <w:color w:val="000000" w:themeColor="text1"/>
          <w:sz w:val="24"/>
          <w:szCs w:val="24"/>
        </w:rPr>
        <w:t>8</w:t>
      </w:r>
      <w:r w:rsidR="00400B73" w:rsidRPr="00C10C7D">
        <w:rPr>
          <w:rFonts w:ascii="Times New Roman" w:eastAsia="Times New Roman" w:hAnsi="Times New Roman" w:cs="Times New Roman"/>
          <w:b/>
          <w:bCs/>
          <w:color w:val="000000" w:themeColor="text1"/>
          <w:sz w:val="24"/>
          <w:szCs w:val="24"/>
        </w:rPr>
        <w:t xml:space="preserve"> lit. a</w:t>
      </w:r>
      <w:r w:rsidR="00532F3A">
        <w:rPr>
          <w:rFonts w:ascii="Times New Roman" w:eastAsia="Times New Roman" w:hAnsi="Times New Roman" w:cs="Times New Roman"/>
          <w:b/>
          <w:bCs/>
          <w:color w:val="000000" w:themeColor="text1"/>
          <w:sz w:val="24"/>
          <w:szCs w:val="24"/>
        </w:rPr>
        <w:t>–</w:t>
      </w:r>
      <w:r w:rsidR="00400B73" w:rsidRPr="00532F3A">
        <w:rPr>
          <w:rFonts w:ascii="Times New Roman" w:eastAsia="Times New Roman" w:hAnsi="Times New Roman" w:cs="Times New Roman"/>
          <w:b/>
          <w:bCs/>
          <w:color w:val="000000" w:themeColor="text1"/>
          <w:sz w:val="24"/>
          <w:szCs w:val="24"/>
        </w:rPr>
        <w:t>b</w:t>
      </w:r>
    </w:p>
    <w:p w14:paraId="6D3074C3" w14:textId="58EED789" w:rsidR="75B895FB" w:rsidRPr="00C10C7D"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 związku z proponowanym wprowadzeniem </w:t>
      </w:r>
      <w:r w:rsidR="1CCEC7E1" w:rsidRPr="00CE1978">
        <w:rPr>
          <w:rFonts w:ascii="Times New Roman" w:eastAsia="Times New Roman" w:hAnsi="Times New Roman" w:cs="Times New Roman"/>
          <w:color w:val="000000" w:themeColor="text1"/>
          <w:sz w:val="24"/>
          <w:szCs w:val="24"/>
        </w:rPr>
        <w:t>w art. 1</w:t>
      </w:r>
      <w:r w:rsidR="004551CF" w:rsidRPr="00CE1978">
        <w:rPr>
          <w:rFonts w:ascii="Times New Roman" w:eastAsia="Times New Roman" w:hAnsi="Times New Roman" w:cs="Times New Roman"/>
          <w:color w:val="000000" w:themeColor="text1"/>
          <w:sz w:val="24"/>
          <w:szCs w:val="24"/>
        </w:rPr>
        <w:t>76</w:t>
      </w:r>
      <w:r w:rsidR="1CCEC7E1" w:rsidRPr="00CE1978">
        <w:rPr>
          <w:rFonts w:ascii="Times New Roman" w:eastAsia="Times New Roman" w:hAnsi="Times New Roman" w:cs="Times New Roman"/>
          <w:color w:val="000000" w:themeColor="text1"/>
          <w:sz w:val="24"/>
          <w:szCs w:val="24"/>
        </w:rPr>
        <w:t xml:space="preserve"> </w:t>
      </w:r>
      <w:r w:rsidR="761DE250" w:rsidRPr="00C10C7D">
        <w:rPr>
          <w:rFonts w:ascii="Times New Roman" w:eastAsia="Times New Roman" w:hAnsi="Times New Roman" w:cs="Times New Roman"/>
          <w:color w:val="000000" w:themeColor="text1"/>
          <w:sz w:val="24"/>
          <w:szCs w:val="24"/>
        </w:rPr>
        <w:t>Pke</w:t>
      </w:r>
      <w:r w:rsidR="1CCEC7E1" w:rsidRPr="00C10C7D">
        <w:rPr>
          <w:rFonts w:ascii="Times New Roman" w:eastAsia="Times New Roman" w:hAnsi="Times New Roman" w:cs="Times New Roman"/>
          <w:color w:val="000000" w:themeColor="text1"/>
          <w:sz w:val="24"/>
          <w:szCs w:val="24"/>
        </w:rPr>
        <w:t xml:space="preserve"> </w:t>
      </w:r>
      <w:r w:rsidRPr="00C10C7D">
        <w:rPr>
          <w:rFonts w:ascii="Times New Roman" w:eastAsia="Times New Roman" w:hAnsi="Times New Roman" w:cs="Times New Roman"/>
          <w:color w:val="000000" w:themeColor="text1"/>
          <w:sz w:val="24"/>
          <w:szCs w:val="24"/>
        </w:rPr>
        <w:t>ogóln</w:t>
      </w:r>
      <w:r w:rsidR="002079D3" w:rsidRPr="00C10C7D">
        <w:rPr>
          <w:rFonts w:ascii="Times New Roman" w:eastAsia="Times New Roman" w:hAnsi="Times New Roman" w:cs="Times New Roman"/>
          <w:color w:val="000000" w:themeColor="text1"/>
          <w:sz w:val="24"/>
          <w:szCs w:val="24"/>
        </w:rPr>
        <w:t>e</w:t>
      </w:r>
      <w:r w:rsidR="05DAF131" w:rsidRPr="00C10C7D">
        <w:rPr>
          <w:rFonts w:ascii="Times New Roman" w:eastAsia="Times New Roman" w:hAnsi="Times New Roman" w:cs="Times New Roman"/>
          <w:color w:val="000000" w:themeColor="text1"/>
          <w:sz w:val="24"/>
          <w:szCs w:val="24"/>
        </w:rPr>
        <w:t>j</w:t>
      </w:r>
      <w:r w:rsidR="00AF3338" w:rsidRPr="00C10C7D">
        <w:rPr>
          <w:rFonts w:ascii="Times New Roman" w:eastAsia="Times New Roman" w:hAnsi="Times New Roman" w:cs="Times New Roman"/>
          <w:color w:val="000000" w:themeColor="text1"/>
          <w:sz w:val="24"/>
          <w:szCs w:val="24"/>
        </w:rPr>
        <w:t xml:space="preserve"> </w:t>
      </w:r>
      <w:r w:rsidR="004551CF" w:rsidRPr="00C10C7D">
        <w:rPr>
          <w:rFonts w:ascii="Times New Roman" w:eastAsia="Times New Roman" w:hAnsi="Times New Roman" w:cs="Times New Roman"/>
          <w:color w:val="000000" w:themeColor="text1"/>
          <w:sz w:val="24"/>
          <w:szCs w:val="24"/>
        </w:rPr>
        <w:t xml:space="preserve">regulacji </w:t>
      </w:r>
      <w:r w:rsidRPr="00C10C7D">
        <w:rPr>
          <w:rFonts w:ascii="Times New Roman" w:eastAsia="Times New Roman" w:hAnsi="Times New Roman" w:cs="Times New Roman"/>
          <w:color w:val="000000" w:themeColor="text1"/>
          <w:sz w:val="24"/>
          <w:szCs w:val="24"/>
        </w:rPr>
        <w:t>w zakresie obowiązku przekazywania umowy o dostępie, w tym umowy o dostępie do infrastruktury technicznej, oraz kwestii związanej z jawnością umów o dostępie</w:t>
      </w:r>
      <w:r w:rsidR="004551CF" w:rsidRPr="00C10C7D">
        <w:rPr>
          <w:rFonts w:ascii="Times New Roman" w:eastAsia="Times New Roman" w:hAnsi="Times New Roman" w:cs="Times New Roman"/>
          <w:color w:val="000000" w:themeColor="text1"/>
          <w:sz w:val="24"/>
          <w:szCs w:val="24"/>
        </w:rPr>
        <w:t xml:space="preserve"> (art. 176</w:t>
      </w:r>
      <w:r w:rsidR="001511AA" w:rsidRPr="00C10C7D">
        <w:rPr>
          <w:rFonts w:ascii="Times New Roman" w:eastAsia="Times New Roman" w:hAnsi="Times New Roman" w:cs="Times New Roman"/>
          <w:color w:val="000000" w:themeColor="text1"/>
          <w:sz w:val="24"/>
          <w:szCs w:val="24"/>
        </w:rPr>
        <w:t xml:space="preserve"> ust. 3 Pke)</w:t>
      </w:r>
      <w:r w:rsidRPr="00C10C7D">
        <w:rPr>
          <w:rFonts w:ascii="Times New Roman" w:eastAsia="Times New Roman" w:hAnsi="Times New Roman" w:cs="Times New Roman"/>
          <w:color w:val="000000" w:themeColor="text1"/>
          <w:sz w:val="24"/>
          <w:szCs w:val="24"/>
        </w:rPr>
        <w:t xml:space="preserve">, zmiana w art. 24 </w:t>
      </w:r>
      <w:r w:rsidR="00400B73" w:rsidRPr="00C10C7D">
        <w:rPr>
          <w:rFonts w:ascii="Times New Roman" w:eastAsia="Times New Roman" w:hAnsi="Times New Roman" w:cs="Times New Roman"/>
          <w:color w:val="000000" w:themeColor="text1"/>
          <w:sz w:val="24"/>
          <w:szCs w:val="24"/>
        </w:rPr>
        <w:t xml:space="preserve">ust. 1 </w:t>
      </w:r>
      <w:r w:rsidRPr="00C10C7D">
        <w:rPr>
          <w:rFonts w:ascii="Times New Roman" w:eastAsia="Times New Roman" w:hAnsi="Times New Roman" w:cs="Times New Roman"/>
          <w:color w:val="000000" w:themeColor="text1"/>
          <w:sz w:val="24"/>
          <w:szCs w:val="24"/>
        </w:rPr>
        <w:t xml:space="preserve">Megaustawy polega na odesłaniu do stosowania ww. </w:t>
      </w:r>
      <w:r w:rsidR="001511AA" w:rsidRPr="00C10C7D">
        <w:rPr>
          <w:rFonts w:ascii="Times New Roman" w:eastAsia="Times New Roman" w:hAnsi="Times New Roman" w:cs="Times New Roman"/>
          <w:color w:val="000000" w:themeColor="text1"/>
          <w:sz w:val="24"/>
          <w:szCs w:val="24"/>
        </w:rPr>
        <w:t>artykułu, z zastrzeżeniem, że umowa jest przekazywana przez operatora sieci zobowiązanego do zapewnienia dostępu.</w:t>
      </w:r>
      <w:r w:rsidR="00400B73" w:rsidRPr="00C10C7D">
        <w:rPr>
          <w:rFonts w:ascii="Times New Roman" w:eastAsia="Times New Roman" w:hAnsi="Times New Roman" w:cs="Times New Roman"/>
          <w:color w:val="000000" w:themeColor="text1"/>
          <w:sz w:val="24"/>
          <w:szCs w:val="24"/>
        </w:rPr>
        <w:t xml:space="preserve"> Pozostałe ust. 2</w:t>
      </w:r>
      <w:r w:rsidR="0083763E" w:rsidRPr="00C10C7D">
        <w:rPr>
          <w:rFonts w:ascii="Times New Roman" w:eastAsia="Times New Roman" w:hAnsi="Times New Roman" w:cs="Times New Roman"/>
          <w:color w:val="000000" w:themeColor="text1"/>
          <w:sz w:val="24"/>
          <w:szCs w:val="24"/>
        </w:rPr>
        <w:t>–</w:t>
      </w:r>
      <w:r w:rsidR="00400B73" w:rsidRPr="00C10C7D">
        <w:rPr>
          <w:rFonts w:ascii="Times New Roman" w:eastAsia="Times New Roman" w:hAnsi="Times New Roman" w:cs="Times New Roman"/>
          <w:color w:val="000000" w:themeColor="text1"/>
          <w:sz w:val="24"/>
          <w:szCs w:val="24"/>
        </w:rPr>
        <w:t>4 uchyla się.</w:t>
      </w:r>
    </w:p>
    <w:p w14:paraId="76FC59BE" w14:textId="34C31411" w:rsidR="00536A44"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t>A</w:t>
      </w:r>
      <w:r w:rsidR="00536A44" w:rsidRPr="00C10C7D">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00536A44" w:rsidRPr="00CE1978">
        <w:rPr>
          <w:rFonts w:ascii="Times New Roman" w:eastAsia="Times New Roman" w:hAnsi="Times New Roman" w:cs="Times New Roman"/>
          <w:b/>
          <w:bCs/>
          <w:color w:val="000000" w:themeColor="text1"/>
          <w:sz w:val="24"/>
          <w:szCs w:val="24"/>
        </w:rPr>
        <w:t>pkt 2</w:t>
      </w:r>
      <w:r w:rsidR="00DC4C0F" w:rsidRPr="00CE1978">
        <w:rPr>
          <w:rFonts w:ascii="Times New Roman" w:eastAsia="Times New Roman" w:hAnsi="Times New Roman" w:cs="Times New Roman"/>
          <w:b/>
          <w:bCs/>
          <w:color w:val="000000" w:themeColor="text1"/>
          <w:sz w:val="24"/>
          <w:szCs w:val="24"/>
        </w:rPr>
        <w:t>2</w:t>
      </w:r>
    </w:p>
    <w:p w14:paraId="630825A7" w14:textId="4C1BF25E"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Nowelizacja art. 27 </w:t>
      </w:r>
      <w:r w:rsidR="5A160516" w:rsidRPr="00CE1978">
        <w:rPr>
          <w:rFonts w:ascii="Times New Roman" w:eastAsia="Times New Roman" w:hAnsi="Times New Roman" w:cs="Times New Roman"/>
          <w:color w:val="000000" w:themeColor="text1"/>
          <w:sz w:val="24"/>
          <w:szCs w:val="24"/>
        </w:rPr>
        <w:t>M</w:t>
      </w:r>
      <w:r w:rsidRPr="00CE1978">
        <w:rPr>
          <w:rFonts w:ascii="Times New Roman" w:eastAsia="Times New Roman" w:hAnsi="Times New Roman" w:cs="Times New Roman"/>
          <w:color w:val="000000" w:themeColor="text1"/>
          <w:sz w:val="24"/>
          <w:szCs w:val="24"/>
        </w:rPr>
        <w:t xml:space="preserve">egaustawy w zasadniczym zakresie nie zawiera zmian o charakterze merytorycznym i polega </w:t>
      </w:r>
      <w:r w:rsidR="00F553A9" w:rsidRPr="00CE1978">
        <w:rPr>
          <w:rFonts w:ascii="Times New Roman" w:eastAsia="Times New Roman" w:hAnsi="Times New Roman" w:cs="Times New Roman"/>
          <w:color w:val="000000" w:themeColor="text1"/>
          <w:sz w:val="24"/>
          <w:szCs w:val="24"/>
        </w:rPr>
        <w:t xml:space="preserve">przede wszystkim </w:t>
      </w:r>
      <w:r w:rsidRPr="00CE1978">
        <w:rPr>
          <w:rFonts w:ascii="Times New Roman" w:eastAsia="Times New Roman" w:hAnsi="Times New Roman" w:cs="Times New Roman"/>
          <w:color w:val="000000" w:themeColor="text1"/>
          <w:sz w:val="24"/>
          <w:szCs w:val="24"/>
        </w:rPr>
        <w:t>na dostosowaniu jego brzmienia do nowej struktury przepisów o dostępie do infrastruktury technicznej, w związku z czym – dla czytelności</w:t>
      </w:r>
      <w:r w:rsidR="00195105"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color w:val="000000" w:themeColor="text1"/>
          <w:sz w:val="24"/>
          <w:szCs w:val="24"/>
        </w:rPr>
        <w:t xml:space="preserve"> proponuje się nadać nowe brzmienie art. 27 w całości. </w:t>
      </w:r>
      <w:r w:rsidR="00E8419E" w:rsidRPr="00CE1978">
        <w:rPr>
          <w:rFonts w:ascii="Times New Roman" w:eastAsia="Times New Roman" w:hAnsi="Times New Roman" w:cs="Times New Roman"/>
          <w:color w:val="000000" w:themeColor="text1"/>
          <w:sz w:val="24"/>
          <w:szCs w:val="24"/>
        </w:rPr>
        <w:t>M</w:t>
      </w:r>
      <w:r w:rsidRPr="00CE1978">
        <w:rPr>
          <w:rFonts w:ascii="Times New Roman" w:eastAsia="Times New Roman" w:hAnsi="Times New Roman" w:cs="Times New Roman"/>
          <w:color w:val="000000" w:themeColor="text1"/>
          <w:sz w:val="24"/>
          <w:szCs w:val="24"/>
        </w:rPr>
        <w:t xml:space="preserve">erytoryczną zmianą w art. 27 </w:t>
      </w:r>
      <w:r w:rsidR="4CEE6832" w:rsidRPr="00CE1978">
        <w:rPr>
          <w:rFonts w:ascii="Times New Roman" w:eastAsia="Times New Roman" w:hAnsi="Times New Roman" w:cs="Times New Roman"/>
          <w:color w:val="000000" w:themeColor="text1"/>
          <w:sz w:val="24"/>
          <w:szCs w:val="24"/>
        </w:rPr>
        <w:t>M</w:t>
      </w:r>
      <w:r w:rsidRPr="00CE1978">
        <w:rPr>
          <w:rFonts w:ascii="Times New Roman" w:eastAsia="Times New Roman" w:hAnsi="Times New Roman" w:cs="Times New Roman"/>
          <w:color w:val="000000" w:themeColor="text1"/>
          <w:sz w:val="24"/>
          <w:szCs w:val="24"/>
        </w:rPr>
        <w:t xml:space="preserve">egaustawy jest odejście od „względności” obowiązku zapewniania dostępu do sieci telekomunikacyjnych, których budowa lub nabycie było finansowane ze środków publicznych. Zgodnie z dotychczasowym art. 27 ust. </w:t>
      </w:r>
      <w:r w:rsidR="00AD318A" w:rsidRPr="00CE1978">
        <w:rPr>
          <w:rFonts w:ascii="Times New Roman" w:eastAsia="Times New Roman" w:hAnsi="Times New Roman" w:cs="Times New Roman"/>
          <w:color w:val="000000" w:themeColor="text1"/>
          <w:sz w:val="24"/>
          <w:szCs w:val="24"/>
        </w:rPr>
        <w:t>1 Megaust</w:t>
      </w:r>
      <w:r w:rsidR="007D0EFE" w:rsidRPr="00CE1978">
        <w:rPr>
          <w:rFonts w:ascii="Times New Roman" w:eastAsia="Times New Roman" w:hAnsi="Times New Roman" w:cs="Times New Roman"/>
          <w:color w:val="000000" w:themeColor="text1"/>
          <w:sz w:val="24"/>
          <w:szCs w:val="24"/>
        </w:rPr>
        <w:t>a</w:t>
      </w:r>
      <w:r w:rsidR="00AD318A" w:rsidRPr="00CE1978">
        <w:rPr>
          <w:rFonts w:ascii="Times New Roman" w:eastAsia="Times New Roman" w:hAnsi="Times New Roman" w:cs="Times New Roman"/>
          <w:color w:val="000000" w:themeColor="text1"/>
          <w:sz w:val="24"/>
          <w:szCs w:val="24"/>
        </w:rPr>
        <w:t>wy</w:t>
      </w:r>
      <w:r w:rsidRPr="00CE1978">
        <w:rPr>
          <w:rFonts w:ascii="Times New Roman" w:eastAsia="Times New Roman" w:hAnsi="Times New Roman" w:cs="Times New Roman"/>
          <w:color w:val="000000" w:themeColor="text1"/>
          <w:sz w:val="24"/>
          <w:szCs w:val="24"/>
        </w:rPr>
        <w:t xml:space="preserve">, o istnieniu tego obowiązku </w:t>
      </w:r>
      <w:r w:rsidRPr="00CE1978">
        <w:rPr>
          <w:rFonts w:ascii="Times New Roman" w:eastAsia="Times New Roman" w:hAnsi="Times New Roman" w:cs="Times New Roman"/>
          <w:i/>
          <w:iCs/>
          <w:color w:val="000000" w:themeColor="text1"/>
          <w:sz w:val="24"/>
          <w:szCs w:val="24"/>
        </w:rPr>
        <w:t>de facto</w:t>
      </w:r>
      <w:r w:rsidRPr="00CE1978">
        <w:rPr>
          <w:rFonts w:ascii="Times New Roman" w:eastAsia="Times New Roman" w:hAnsi="Times New Roman" w:cs="Times New Roman"/>
          <w:color w:val="000000" w:themeColor="text1"/>
          <w:sz w:val="24"/>
          <w:szCs w:val="24"/>
        </w:rPr>
        <w:t xml:space="preserve"> rozstrzygały akty (przepisy prawa, decyzje, umowy, itp.), na podstawie których </w:t>
      </w:r>
      <w:r w:rsidR="7EAE8539" w:rsidRPr="00CE1978">
        <w:rPr>
          <w:rFonts w:ascii="Times New Roman" w:eastAsia="Times New Roman" w:hAnsi="Times New Roman" w:cs="Times New Roman"/>
          <w:color w:val="000000" w:themeColor="text1"/>
          <w:sz w:val="24"/>
          <w:szCs w:val="24"/>
        </w:rPr>
        <w:t>udzielono</w:t>
      </w:r>
      <w:r w:rsidRPr="00CE1978">
        <w:rPr>
          <w:rFonts w:ascii="Times New Roman" w:eastAsia="Times New Roman" w:hAnsi="Times New Roman" w:cs="Times New Roman"/>
          <w:color w:val="000000" w:themeColor="text1"/>
          <w:sz w:val="24"/>
          <w:szCs w:val="24"/>
        </w:rPr>
        <w:t xml:space="preserve"> finansowani</w:t>
      </w:r>
      <w:r w:rsidR="2C717782" w:rsidRPr="00CE1978">
        <w:rPr>
          <w:rFonts w:ascii="Times New Roman" w:eastAsia="Times New Roman" w:hAnsi="Times New Roman" w:cs="Times New Roman"/>
          <w:color w:val="000000" w:themeColor="text1"/>
          <w:sz w:val="24"/>
          <w:szCs w:val="24"/>
        </w:rPr>
        <w:t>a</w:t>
      </w:r>
      <w:r w:rsidRPr="00CE1978">
        <w:rPr>
          <w:rFonts w:ascii="Times New Roman" w:eastAsia="Times New Roman" w:hAnsi="Times New Roman" w:cs="Times New Roman"/>
          <w:color w:val="000000" w:themeColor="text1"/>
          <w:sz w:val="24"/>
          <w:szCs w:val="24"/>
        </w:rPr>
        <w:t xml:space="preserve"> publicznego na budowę lub zakup sieci telekomunikacyjnych. Wg projektowanego brzmienia art. 27 ust. 1, obowiązek udzielenia dostępu do sieci telekomunikacyjnych, „finansowanych” ze środków publicznych, będzie następował z mocy samej </w:t>
      </w:r>
      <w:r w:rsidR="09A735C4" w:rsidRPr="00CE1978">
        <w:rPr>
          <w:rFonts w:ascii="Times New Roman" w:eastAsia="Times New Roman" w:hAnsi="Times New Roman" w:cs="Times New Roman"/>
          <w:color w:val="000000" w:themeColor="text1"/>
          <w:sz w:val="24"/>
          <w:szCs w:val="24"/>
        </w:rPr>
        <w:t>M</w:t>
      </w:r>
      <w:r w:rsidRPr="00CE1978">
        <w:rPr>
          <w:rFonts w:ascii="Times New Roman" w:eastAsia="Times New Roman" w:hAnsi="Times New Roman" w:cs="Times New Roman"/>
          <w:color w:val="000000" w:themeColor="text1"/>
          <w:sz w:val="24"/>
          <w:szCs w:val="24"/>
        </w:rPr>
        <w:t>egaustawy. Akty, na podstawie których udzielone zostało wsparcie publiczne, w zakresie, w jakim określają warunki zapewniania dostępu do wspieranej infrastruktury telekomunikacyjnej, będą nadal brane pod uwagę przez Prezesa UKE w postępowaniach rozstrzygających spory o dostęp do tej infrastruktury.</w:t>
      </w:r>
      <w:r w:rsidR="00E8419E" w:rsidRPr="00CE1978">
        <w:rPr>
          <w:rFonts w:ascii="Times New Roman" w:eastAsia="Times New Roman" w:hAnsi="Times New Roman" w:cs="Times New Roman"/>
          <w:color w:val="000000" w:themeColor="text1"/>
          <w:sz w:val="24"/>
          <w:szCs w:val="24"/>
        </w:rPr>
        <w:t xml:space="preserve"> Co więcej, obowiązek dostępu hurtowego dotyczyć będzie także tych elementów (odcinków) sieci zrealizowanej w ramach projektu, które nie były dofinansowane w tym projekcie i zostały sfinansowane w całości ze środków własnych beneficjenta</w:t>
      </w:r>
    </w:p>
    <w:p w14:paraId="4A996789" w14:textId="352CFEED" w:rsidR="64BD9701" w:rsidRPr="00CE1978" w:rsidRDefault="64BD970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Jednocześnie projekt zawiera przepis przejściowy, zgodnie z którym ustawowy (tj. z mocy prawa) obowiązek udzielania dostępu do infrastruktury wspieranej ze środków publicznych nie będzie dotyczyć infrastruktury, co do której wsparcie publiczne zosta</w:t>
      </w:r>
      <w:r w:rsidR="58E112B2" w:rsidRPr="00CE1978">
        <w:rPr>
          <w:rFonts w:ascii="Times New Roman" w:eastAsia="Times New Roman" w:hAnsi="Times New Roman" w:cs="Times New Roman"/>
          <w:color w:val="000000" w:themeColor="text1"/>
          <w:sz w:val="24"/>
          <w:szCs w:val="24"/>
        </w:rPr>
        <w:t xml:space="preserve">ło udzielone przed wejściem w życie znowelizowanego art. 27 ust. </w:t>
      </w:r>
      <w:r w:rsidR="00AD318A" w:rsidRPr="00CE1978">
        <w:rPr>
          <w:rFonts w:ascii="Times New Roman" w:eastAsia="Times New Roman" w:hAnsi="Times New Roman" w:cs="Times New Roman"/>
          <w:color w:val="000000" w:themeColor="text1"/>
          <w:sz w:val="24"/>
          <w:szCs w:val="24"/>
        </w:rPr>
        <w:t>1 Megaust</w:t>
      </w:r>
      <w:r w:rsidR="007D0EFE" w:rsidRPr="00CE1978">
        <w:rPr>
          <w:rFonts w:ascii="Times New Roman" w:eastAsia="Times New Roman" w:hAnsi="Times New Roman" w:cs="Times New Roman"/>
          <w:color w:val="000000" w:themeColor="text1"/>
          <w:sz w:val="24"/>
          <w:szCs w:val="24"/>
        </w:rPr>
        <w:t>a</w:t>
      </w:r>
      <w:r w:rsidR="00AD318A" w:rsidRPr="00CE1978">
        <w:rPr>
          <w:rFonts w:ascii="Times New Roman" w:eastAsia="Times New Roman" w:hAnsi="Times New Roman" w:cs="Times New Roman"/>
          <w:color w:val="000000" w:themeColor="text1"/>
          <w:sz w:val="24"/>
          <w:szCs w:val="24"/>
        </w:rPr>
        <w:t>wy</w:t>
      </w:r>
      <w:r w:rsidR="58E112B2" w:rsidRPr="00CE1978">
        <w:rPr>
          <w:rFonts w:ascii="Times New Roman" w:eastAsia="Times New Roman" w:hAnsi="Times New Roman" w:cs="Times New Roman"/>
          <w:color w:val="000000" w:themeColor="text1"/>
          <w:sz w:val="24"/>
          <w:szCs w:val="24"/>
        </w:rPr>
        <w:t>.</w:t>
      </w:r>
    </w:p>
    <w:p w14:paraId="7A25D3E0" w14:textId="77777777" w:rsidR="00F553A9" w:rsidRPr="00CE1978" w:rsidRDefault="00F553A9"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 xml:space="preserve">Zmiana w art. 27 ust. 1 </w:t>
      </w:r>
      <w:r w:rsidRPr="00CE1978">
        <w:rPr>
          <w:rFonts w:ascii="Times New Roman" w:eastAsia="Times New Roman" w:hAnsi="Times New Roman" w:cs="Times New Roman"/>
          <w:i/>
          <w:color w:val="000000" w:themeColor="text1"/>
          <w:sz w:val="24"/>
          <w:szCs w:val="24"/>
        </w:rPr>
        <w:t xml:space="preserve">in fine </w:t>
      </w:r>
      <w:r w:rsidRPr="00CE1978">
        <w:rPr>
          <w:rFonts w:ascii="Times New Roman" w:eastAsia="Times New Roman" w:hAnsi="Times New Roman" w:cs="Times New Roman"/>
          <w:color w:val="000000" w:themeColor="text1"/>
          <w:sz w:val="24"/>
          <w:szCs w:val="24"/>
        </w:rPr>
        <w:t>Megaustawy podkreślą, że dostęp do takich sieci lub infrastruktury przedsiębiorcom telekomunikacyjnym jest przejawem dostępu telekomunikacyjnego w rozumieniu Pke.</w:t>
      </w:r>
    </w:p>
    <w:p w14:paraId="183E21CD" w14:textId="0BDDA957" w:rsidR="29F9BCC0"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29F9BCC0"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29F9BCC0" w:rsidRPr="00CE1978">
        <w:rPr>
          <w:rFonts w:ascii="Times New Roman" w:eastAsia="Times New Roman" w:hAnsi="Times New Roman" w:cs="Times New Roman"/>
          <w:b/>
          <w:bCs/>
          <w:color w:val="000000" w:themeColor="text1"/>
          <w:sz w:val="24"/>
          <w:szCs w:val="24"/>
        </w:rPr>
        <w:t xml:space="preserve">pkt </w:t>
      </w:r>
      <w:r w:rsidR="006D6527" w:rsidRPr="00CE1978">
        <w:rPr>
          <w:rFonts w:ascii="Times New Roman" w:eastAsia="Times New Roman" w:hAnsi="Times New Roman" w:cs="Times New Roman"/>
          <w:b/>
          <w:bCs/>
          <w:color w:val="000000" w:themeColor="text1"/>
          <w:sz w:val="24"/>
          <w:szCs w:val="24"/>
        </w:rPr>
        <w:t xml:space="preserve">23 </w:t>
      </w:r>
      <w:r w:rsidR="29F9BCC0" w:rsidRPr="00CE1978">
        <w:rPr>
          <w:rFonts w:ascii="Times New Roman" w:eastAsia="Times New Roman" w:hAnsi="Times New Roman" w:cs="Times New Roman"/>
          <w:b/>
          <w:bCs/>
          <w:color w:val="000000" w:themeColor="text1"/>
          <w:sz w:val="24"/>
          <w:szCs w:val="24"/>
        </w:rPr>
        <w:t>lit. a</w:t>
      </w:r>
      <w:r w:rsidR="06371A65" w:rsidRPr="00CE1978">
        <w:rPr>
          <w:rFonts w:ascii="Times New Roman" w:eastAsia="Times New Roman" w:hAnsi="Times New Roman" w:cs="Times New Roman"/>
          <w:b/>
          <w:bCs/>
          <w:color w:val="000000" w:themeColor="text1"/>
          <w:sz w:val="24"/>
          <w:szCs w:val="24"/>
        </w:rPr>
        <w:t xml:space="preserve">, </w:t>
      </w:r>
      <w:r w:rsidR="5BD02427" w:rsidRPr="00CE1978">
        <w:rPr>
          <w:rFonts w:ascii="Times New Roman" w:eastAsia="Times New Roman" w:hAnsi="Times New Roman" w:cs="Times New Roman"/>
          <w:b/>
          <w:bCs/>
          <w:color w:val="000000" w:themeColor="text1"/>
          <w:sz w:val="24"/>
          <w:szCs w:val="24"/>
        </w:rPr>
        <w:t>l</w:t>
      </w:r>
      <w:r w:rsidR="6DB0B7D4" w:rsidRPr="00CE1978">
        <w:rPr>
          <w:rFonts w:ascii="Times New Roman" w:eastAsia="Times New Roman" w:hAnsi="Times New Roman" w:cs="Times New Roman"/>
          <w:b/>
          <w:bCs/>
          <w:color w:val="000000" w:themeColor="text1"/>
          <w:sz w:val="24"/>
          <w:szCs w:val="24"/>
        </w:rPr>
        <w:t xml:space="preserve">it. </w:t>
      </w:r>
      <w:r w:rsidR="617247CD" w:rsidRPr="00CE1978">
        <w:rPr>
          <w:rFonts w:ascii="Times New Roman" w:eastAsia="Times New Roman" w:hAnsi="Times New Roman" w:cs="Times New Roman"/>
          <w:b/>
          <w:bCs/>
          <w:color w:val="000000" w:themeColor="text1"/>
          <w:sz w:val="24"/>
          <w:szCs w:val="24"/>
        </w:rPr>
        <w:t>b tiret trzecie</w:t>
      </w:r>
      <w:r w:rsidR="0773EF6F" w:rsidRPr="00CE1978">
        <w:rPr>
          <w:rFonts w:ascii="Times New Roman" w:eastAsia="Times New Roman" w:hAnsi="Times New Roman" w:cs="Times New Roman"/>
          <w:b/>
          <w:bCs/>
          <w:color w:val="000000" w:themeColor="text1"/>
          <w:sz w:val="24"/>
          <w:szCs w:val="24"/>
        </w:rPr>
        <w:t xml:space="preserve">, </w:t>
      </w:r>
      <w:r w:rsidR="674421CF" w:rsidRPr="00CE1978">
        <w:rPr>
          <w:rFonts w:ascii="Times New Roman" w:eastAsia="Times New Roman" w:hAnsi="Times New Roman" w:cs="Times New Roman"/>
          <w:b/>
          <w:bCs/>
          <w:color w:val="000000" w:themeColor="text1"/>
          <w:sz w:val="24"/>
          <w:szCs w:val="24"/>
        </w:rPr>
        <w:t xml:space="preserve">lit. c </w:t>
      </w:r>
      <w:r w:rsidR="00CC6FD6" w:rsidRPr="00CE1978">
        <w:rPr>
          <w:rFonts w:ascii="Times New Roman" w:eastAsia="Times New Roman" w:hAnsi="Times New Roman" w:cs="Times New Roman"/>
          <w:b/>
          <w:bCs/>
          <w:color w:val="000000" w:themeColor="text1"/>
          <w:sz w:val="24"/>
          <w:szCs w:val="24"/>
        </w:rPr>
        <w:t>oraz</w:t>
      </w:r>
      <w:r w:rsidR="674421CF" w:rsidRPr="00CE1978">
        <w:rPr>
          <w:rFonts w:ascii="Times New Roman" w:eastAsia="Times New Roman" w:hAnsi="Times New Roman" w:cs="Times New Roman"/>
          <w:b/>
          <w:bCs/>
          <w:color w:val="000000" w:themeColor="text1"/>
          <w:sz w:val="24"/>
          <w:szCs w:val="24"/>
        </w:rPr>
        <w:t xml:space="preserve"> </w:t>
      </w:r>
      <w:r w:rsidR="008765BC" w:rsidRPr="00CE1978">
        <w:rPr>
          <w:rFonts w:ascii="Times New Roman" w:eastAsia="Times New Roman" w:hAnsi="Times New Roman" w:cs="Times New Roman"/>
          <w:b/>
          <w:bCs/>
          <w:color w:val="000000" w:themeColor="text1"/>
          <w:sz w:val="24"/>
          <w:szCs w:val="24"/>
        </w:rPr>
        <w:t>h</w:t>
      </w:r>
      <w:r w:rsidR="34731185" w:rsidRPr="00CE1978">
        <w:rPr>
          <w:rFonts w:ascii="Times New Roman" w:eastAsia="Times New Roman" w:hAnsi="Times New Roman" w:cs="Times New Roman"/>
          <w:b/>
          <w:bCs/>
          <w:color w:val="000000" w:themeColor="text1"/>
          <w:sz w:val="24"/>
          <w:szCs w:val="24"/>
        </w:rPr>
        <w:t>, art. 3</w:t>
      </w:r>
      <w:r w:rsidR="00F668D6" w:rsidRPr="00CE1978">
        <w:rPr>
          <w:rFonts w:ascii="Times New Roman" w:eastAsia="Times New Roman" w:hAnsi="Times New Roman" w:cs="Times New Roman"/>
          <w:b/>
          <w:bCs/>
          <w:color w:val="000000" w:themeColor="text1"/>
          <w:sz w:val="24"/>
          <w:szCs w:val="24"/>
        </w:rPr>
        <w:t>6</w:t>
      </w:r>
      <w:r w:rsidR="34731185" w:rsidRPr="00CE1978">
        <w:rPr>
          <w:rFonts w:ascii="Times New Roman" w:eastAsia="Times New Roman" w:hAnsi="Times New Roman" w:cs="Times New Roman"/>
          <w:b/>
          <w:bCs/>
          <w:color w:val="000000" w:themeColor="text1"/>
          <w:sz w:val="24"/>
          <w:szCs w:val="24"/>
        </w:rPr>
        <w:t xml:space="preserve"> pkt 27</w:t>
      </w:r>
    </w:p>
    <w:p w14:paraId="22A37ED4" w14:textId="4A3C4CA5" w:rsidR="7F696322" w:rsidRPr="00CE1978" w:rsidRDefault="00CC6FD6"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Zmiany w art.</w:t>
      </w:r>
      <w:r w:rsidR="07D9A465" w:rsidRPr="00CE1978">
        <w:rPr>
          <w:rFonts w:ascii="Times New Roman" w:eastAsia="Times New Roman" w:hAnsi="Times New Roman" w:cs="Times New Roman"/>
          <w:color w:val="000000" w:themeColor="text1"/>
          <w:sz w:val="24"/>
          <w:szCs w:val="24"/>
        </w:rPr>
        <w:t xml:space="preserve"> 29 Megaustawy polegają głównie na</w:t>
      </w:r>
      <w:r w:rsidR="0F6047A0" w:rsidRPr="00CE1978">
        <w:rPr>
          <w:rFonts w:ascii="Times New Roman" w:eastAsia="Times New Roman" w:hAnsi="Times New Roman" w:cs="Times New Roman"/>
          <w:color w:val="000000" w:themeColor="text1"/>
          <w:sz w:val="24"/>
          <w:szCs w:val="24"/>
        </w:rPr>
        <w:t>:</w:t>
      </w:r>
    </w:p>
    <w:p w14:paraId="75455E2F" w14:textId="1D446F6A" w:rsidR="189816ED" w:rsidRPr="00CE1978" w:rsidRDefault="0F6047A0" w:rsidP="00F91F34">
      <w:pPr>
        <w:pStyle w:val="Akapitzlist"/>
        <w:numPr>
          <w:ilvl w:val="0"/>
          <w:numId w:val="14"/>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 ust. 1 w </w:t>
      </w:r>
      <w:r w:rsidR="003C2606" w:rsidRPr="00CE1978">
        <w:rPr>
          <w:rFonts w:ascii="Times New Roman" w:eastAsia="Times New Roman" w:hAnsi="Times New Roman" w:cs="Times New Roman"/>
          <w:color w:val="000000" w:themeColor="text1"/>
          <w:sz w:val="24"/>
          <w:szCs w:val="24"/>
        </w:rPr>
        <w:t>pkt 2 wskazuje się, że inwentaryzacją objęte są wszystkie obiekty budowlane (nie tylko budynki)</w:t>
      </w:r>
      <w:r w:rsidR="006070AC" w:rsidRPr="00CE1978">
        <w:rPr>
          <w:rFonts w:ascii="Times New Roman" w:eastAsia="Times New Roman" w:hAnsi="Times New Roman" w:cs="Times New Roman"/>
          <w:color w:val="000000" w:themeColor="text1"/>
          <w:sz w:val="24"/>
          <w:szCs w:val="24"/>
        </w:rPr>
        <w:t>,</w:t>
      </w:r>
    </w:p>
    <w:p w14:paraId="013B22BF" w14:textId="349FCEE4" w:rsidR="189816ED" w:rsidRPr="00CE1978" w:rsidRDefault="0F6047A0" w:rsidP="00F91F34">
      <w:pPr>
        <w:pStyle w:val="Akapitzlist"/>
        <w:numPr>
          <w:ilvl w:val="0"/>
          <w:numId w:val="14"/>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 ust. 2 w części wspólnej </w:t>
      </w:r>
      <w:r w:rsidR="00F2684C" w:rsidRPr="00CE1978">
        <w:rPr>
          <w:rFonts w:ascii="Times New Roman" w:eastAsia="Times New Roman" w:hAnsi="Times New Roman" w:cs="Times New Roman"/>
          <w:color w:val="000000" w:themeColor="text1"/>
          <w:sz w:val="24"/>
          <w:szCs w:val="24"/>
        </w:rPr>
        <w:t xml:space="preserve">oraz w ust. 2a i 2b </w:t>
      </w:r>
      <w:r w:rsidRPr="00CE1978">
        <w:rPr>
          <w:rFonts w:ascii="Times New Roman" w:eastAsia="Times New Roman" w:hAnsi="Times New Roman" w:cs="Times New Roman"/>
          <w:color w:val="000000" w:themeColor="text1"/>
          <w:sz w:val="24"/>
          <w:szCs w:val="24"/>
        </w:rPr>
        <w:t xml:space="preserve">dostosowuje się </w:t>
      </w:r>
      <w:r w:rsidR="00F2684C" w:rsidRPr="00CE1978">
        <w:rPr>
          <w:rFonts w:ascii="Times New Roman" w:eastAsia="Times New Roman" w:hAnsi="Times New Roman" w:cs="Times New Roman"/>
          <w:color w:val="000000" w:themeColor="text1"/>
          <w:sz w:val="24"/>
          <w:szCs w:val="24"/>
        </w:rPr>
        <w:t>terminologię</w:t>
      </w:r>
      <w:r w:rsidR="006070AC" w:rsidRPr="00CE1978">
        <w:rPr>
          <w:rFonts w:ascii="Times New Roman" w:eastAsia="Times New Roman" w:hAnsi="Times New Roman" w:cs="Times New Roman"/>
          <w:color w:val="000000" w:themeColor="text1"/>
          <w:sz w:val="24"/>
          <w:szCs w:val="24"/>
        </w:rPr>
        <w:t>,</w:t>
      </w:r>
    </w:p>
    <w:p w14:paraId="164F49B5" w14:textId="074888B0" w:rsidR="189816ED" w:rsidRPr="00CE1978" w:rsidRDefault="0F6047A0" w:rsidP="00F91F34">
      <w:pPr>
        <w:pStyle w:val="Akapitzlist"/>
        <w:numPr>
          <w:ilvl w:val="0"/>
          <w:numId w:val="14"/>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 ust. 7 </w:t>
      </w:r>
      <w:r w:rsidR="00F2684C" w:rsidRPr="00CE1978">
        <w:rPr>
          <w:rFonts w:ascii="Times New Roman" w:eastAsia="Times New Roman" w:hAnsi="Times New Roman" w:cs="Times New Roman"/>
          <w:color w:val="000000" w:themeColor="text1"/>
          <w:sz w:val="24"/>
          <w:szCs w:val="24"/>
        </w:rPr>
        <w:t>uzupełnia się</w:t>
      </w:r>
      <w:r w:rsidRPr="00CE1978">
        <w:rPr>
          <w:rFonts w:ascii="Times New Roman" w:eastAsia="Times New Roman" w:hAnsi="Times New Roman" w:cs="Times New Roman"/>
          <w:color w:val="000000" w:themeColor="text1"/>
          <w:sz w:val="24"/>
          <w:szCs w:val="24"/>
        </w:rPr>
        <w:t xml:space="preserve"> zakres delegacji ustawowej do wydania rozporządzenia określającego szczegółowe zasady prowadzenia inwentaryzacji o </w:t>
      </w:r>
      <w:r w:rsidR="2480D611" w:rsidRPr="00CE1978">
        <w:rPr>
          <w:rFonts w:ascii="Times New Roman" w:eastAsia="Times New Roman" w:hAnsi="Times New Roman" w:cs="Times New Roman"/>
          <w:color w:val="000000" w:themeColor="text1"/>
          <w:sz w:val="24"/>
          <w:szCs w:val="24"/>
        </w:rPr>
        <w:t>dodatkowe elementy, takie jak zapewnienie szczegółowych informacji o jakości inwentaryzowanej infrastruktury i usług.</w:t>
      </w:r>
    </w:p>
    <w:p w14:paraId="7ACB5800" w14:textId="7D6EDE3B" w:rsidR="3FEC1FD6" w:rsidRPr="00C10C7D" w:rsidRDefault="2CE79E2D"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Druga z istotnych zmian w obowiązkach inwentaryzacyjnych </w:t>
      </w:r>
      <w:r w:rsidR="4A83B047" w:rsidRPr="00CE1978">
        <w:rPr>
          <w:rFonts w:ascii="Times New Roman" w:eastAsia="Times New Roman" w:hAnsi="Times New Roman" w:cs="Times New Roman"/>
          <w:color w:val="000000" w:themeColor="text1"/>
          <w:sz w:val="24"/>
          <w:szCs w:val="24"/>
        </w:rPr>
        <w:t xml:space="preserve">dotyczy </w:t>
      </w:r>
      <w:r w:rsidR="30B204D4" w:rsidRPr="00CE1978">
        <w:rPr>
          <w:rFonts w:ascii="Times New Roman" w:eastAsia="Times New Roman" w:hAnsi="Times New Roman" w:cs="Times New Roman"/>
          <w:color w:val="000000" w:themeColor="text1"/>
          <w:sz w:val="24"/>
          <w:szCs w:val="24"/>
        </w:rPr>
        <w:t>obowiąz</w:t>
      </w:r>
      <w:r w:rsidR="343F4431" w:rsidRPr="00CE1978">
        <w:rPr>
          <w:rFonts w:ascii="Times New Roman" w:eastAsia="Times New Roman" w:hAnsi="Times New Roman" w:cs="Times New Roman"/>
          <w:color w:val="000000" w:themeColor="text1"/>
          <w:sz w:val="24"/>
          <w:szCs w:val="24"/>
        </w:rPr>
        <w:t>ku</w:t>
      </w:r>
      <w:r w:rsidR="30B204D4" w:rsidRPr="00CE1978">
        <w:rPr>
          <w:rFonts w:ascii="Times New Roman" w:eastAsia="Times New Roman" w:hAnsi="Times New Roman" w:cs="Times New Roman"/>
          <w:color w:val="000000" w:themeColor="text1"/>
          <w:sz w:val="24"/>
          <w:szCs w:val="24"/>
        </w:rPr>
        <w:t xml:space="preserve"> informacyjn</w:t>
      </w:r>
      <w:r w:rsidR="02E4EB35" w:rsidRPr="00CE1978">
        <w:rPr>
          <w:rFonts w:ascii="Times New Roman" w:eastAsia="Times New Roman" w:hAnsi="Times New Roman" w:cs="Times New Roman"/>
          <w:color w:val="000000" w:themeColor="text1"/>
          <w:sz w:val="24"/>
          <w:szCs w:val="24"/>
        </w:rPr>
        <w:t>ego</w:t>
      </w:r>
      <w:r w:rsidR="30B204D4" w:rsidRPr="00CE1978">
        <w:rPr>
          <w:rFonts w:ascii="Times New Roman" w:eastAsia="Times New Roman" w:hAnsi="Times New Roman" w:cs="Times New Roman"/>
          <w:color w:val="000000" w:themeColor="text1"/>
          <w:sz w:val="24"/>
          <w:szCs w:val="24"/>
        </w:rPr>
        <w:t xml:space="preserve"> w zakresie sprawozdawania o świadczonych usługach </w:t>
      </w:r>
      <w:r w:rsidR="00532F3A">
        <w:rPr>
          <w:rFonts w:ascii="Times New Roman" w:eastAsia="Times New Roman" w:hAnsi="Times New Roman" w:cs="Times New Roman"/>
          <w:color w:val="000000" w:themeColor="text1"/>
          <w:sz w:val="24"/>
          <w:szCs w:val="24"/>
        </w:rPr>
        <w:t>–</w:t>
      </w:r>
      <w:r w:rsidR="30B204D4" w:rsidRPr="00532F3A">
        <w:rPr>
          <w:rFonts w:ascii="Times New Roman" w:eastAsia="Times New Roman" w:hAnsi="Times New Roman" w:cs="Times New Roman"/>
          <w:color w:val="000000" w:themeColor="text1"/>
          <w:sz w:val="24"/>
          <w:szCs w:val="24"/>
        </w:rPr>
        <w:t xml:space="preserve"> obecnie informowanie o usługach telefonicznych i usługach rozprowadzania programów radiowych i tel</w:t>
      </w:r>
      <w:r w:rsidR="02F6090E" w:rsidRPr="00CE1978">
        <w:rPr>
          <w:rFonts w:ascii="Times New Roman" w:eastAsia="Times New Roman" w:hAnsi="Times New Roman" w:cs="Times New Roman"/>
          <w:color w:val="000000" w:themeColor="text1"/>
          <w:sz w:val="24"/>
          <w:szCs w:val="24"/>
        </w:rPr>
        <w:t>ewizyjnych dotyczyć będzie tych usług wyłącznie w zakresie, w jakim są świadczone w pakiecie z usługami dostępu do szerokopasmowego internetu.</w:t>
      </w:r>
      <w:r w:rsidR="2B97A0EC" w:rsidRPr="00CE1978">
        <w:rPr>
          <w:rFonts w:ascii="Times New Roman" w:eastAsia="Times New Roman" w:hAnsi="Times New Roman" w:cs="Times New Roman"/>
          <w:color w:val="000000" w:themeColor="text1"/>
          <w:sz w:val="24"/>
          <w:szCs w:val="24"/>
        </w:rPr>
        <w:t xml:space="preserve"> Zmiany w tym zakresie zostały odzwierciedlone w </w:t>
      </w:r>
      <w:r w:rsidR="00DD0D55" w:rsidRPr="00CE1978">
        <w:rPr>
          <w:rFonts w:ascii="Times New Roman" w:eastAsia="Times New Roman" w:hAnsi="Times New Roman" w:cs="Times New Roman"/>
          <w:color w:val="000000" w:themeColor="text1"/>
          <w:sz w:val="24"/>
          <w:szCs w:val="24"/>
        </w:rPr>
        <w:t xml:space="preserve">nowym brzmieniu ust. 1 pkt 1 oraz w </w:t>
      </w:r>
      <w:r w:rsidR="4E49C21C" w:rsidRPr="00C10C7D">
        <w:rPr>
          <w:rFonts w:ascii="Times New Roman" w:eastAsia="Times New Roman" w:hAnsi="Times New Roman" w:cs="Times New Roman"/>
          <w:color w:val="000000" w:themeColor="text1"/>
          <w:sz w:val="24"/>
          <w:szCs w:val="24"/>
        </w:rPr>
        <w:t>częściach wspólnych w ust. 2 i 7.</w:t>
      </w:r>
      <w:r w:rsidR="456BEF41" w:rsidRPr="00C10C7D">
        <w:rPr>
          <w:rFonts w:ascii="Times New Roman" w:eastAsia="Times New Roman" w:hAnsi="Times New Roman" w:cs="Times New Roman"/>
          <w:color w:val="000000" w:themeColor="text1"/>
          <w:sz w:val="24"/>
          <w:szCs w:val="24"/>
        </w:rPr>
        <w:t xml:space="preserve"> Dodatkowo w ust. 7 uzupełniono upoważnienie do wydania rozporządzenia dookreślającego zasady prowadzenia inwentaryzacji o szczegółową postać elektroniczną przekazywanych danych (podobnie znowelizowano </w:t>
      </w:r>
      <w:r w:rsidR="1DBBB003" w:rsidRPr="00C10C7D">
        <w:rPr>
          <w:rFonts w:ascii="Times New Roman" w:eastAsia="Times New Roman" w:hAnsi="Times New Roman" w:cs="Times New Roman"/>
          <w:color w:val="000000" w:themeColor="text1"/>
          <w:sz w:val="24"/>
          <w:szCs w:val="24"/>
        </w:rPr>
        <w:t>także delegację ustawową z art. 29e megaustawy).</w:t>
      </w:r>
    </w:p>
    <w:p w14:paraId="65FC017E" w14:textId="6C9F0293" w:rsidR="00422A80" w:rsidRPr="00C10C7D" w:rsidRDefault="00422A80"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W pozostałym zakresie zmiany w art. 29 stanowią </w:t>
      </w:r>
      <w:r w:rsidR="00BD4FE7" w:rsidRPr="00C10C7D">
        <w:rPr>
          <w:rFonts w:ascii="Times New Roman" w:eastAsia="Times New Roman" w:hAnsi="Times New Roman" w:cs="Times New Roman"/>
          <w:color w:val="000000" w:themeColor="text1"/>
          <w:sz w:val="24"/>
          <w:szCs w:val="24"/>
        </w:rPr>
        <w:t xml:space="preserve">zmianę </w:t>
      </w:r>
      <w:r w:rsidR="00804D16" w:rsidRPr="00C10C7D">
        <w:rPr>
          <w:rFonts w:ascii="Times New Roman" w:eastAsia="Times New Roman" w:hAnsi="Times New Roman" w:cs="Times New Roman"/>
          <w:color w:val="000000" w:themeColor="text1"/>
          <w:sz w:val="24"/>
          <w:szCs w:val="24"/>
        </w:rPr>
        <w:t>termin</w:t>
      </w:r>
      <w:r w:rsidR="00BD4FE7" w:rsidRPr="00C10C7D">
        <w:rPr>
          <w:rFonts w:ascii="Times New Roman" w:eastAsia="Times New Roman" w:hAnsi="Times New Roman" w:cs="Times New Roman"/>
          <w:color w:val="000000" w:themeColor="text1"/>
          <w:sz w:val="24"/>
          <w:szCs w:val="24"/>
        </w:rPr>
        <w:t>u</w:t>
      </w:r>
      <w:r w:rsidR="00804D16" w:rsidRPr="00C10C7D">
        <w:rPr>
          <w:rFonts w:ascii="Times New Roman" w:eastAsia="Times New Roman" w:hAnsi="Times New Roman" w:cs="Times New Roman"/>
          <w:color w:val="000000" w:themeColor="text1"/>
          <w:sz w:val="24"/>
          <w:szCs w:val="24"/>
        </w:rPr>
        <w:t xml:space="preserve"> raportowania o istniejącej infrastrukturze telekomunikacyjnej za okres od 1 stycznia do 30 czerwca – z 31 sierpnia na 15 września. Zmiana</w:t>
      </w:r>
      <w:r w:rsidR="00BD4FE7" w:rsidRPr="00C10C7D">
        <w:rPr>
          <w:rFonts w:ascii="Times New Roman" w:eastAsia="Times New Roman" w:hAnsi="Times New Roman" w:cs="Times New Roman"/>
          <w:color w:val="000000" w:themeColor="text1"/>
          <w:sz w:val="24"/>
          <w:szCs w:val="24"/>
        </w:rPr>
        <w:t xml:space="preserve"> ta</w:t>
      </w:r>
      <w:r w:rsidR="00804D16" w:rsidRPr="00C10C7D">
        <w:rPr>
          <w:rFonts w:ascii="Times New Roman" w:eastAsia="Times New Roman" w:hAnsi="Times New Roman" w:cs="Times New Roman"/>
          <w:color w:val="000000" w:themeColor="text1"/>
          <w:sz w:val="24"/>
          <w:szCs w:val="24"/>
        </w:rPr>
        <w:t xml:space="preserve"> podyktowana jest zmniejszeniem uciążliwości tego obowiązku w okresie wakacyjnym i typowo urlopowym.</w:t>
      </w:r>
    </w:p>
    <w:p w14:paraId="0FD2249B" w14:textId="2BB6C525" w:rsidR="1972617E"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1972617E"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 xml:space="preserve">6 </w:t>
      </w:r>
      <w:r w:rsidR="1972617E" w:rsidRPr="00CE1978">
        <w:rPr>
          <w:rFonts w:ascii="Times New Roman" w:eastAsia="Times New Roman" w:hAnsi="Times New Roman" w:cs="Times New Roman"/>
          <w:b/>
          <w:bCs/>
          <w:color w:val="000000" w:themeColor="text1"/>
          <w:sz w:val="24"/>
          <w:szCs w:val="24"/>
        </w:rPr>
        <w:t xml:space="preserve">pkt </w:t>
      </w:r>
      <w:r w:rsidR="006D6527" w:rsidRPr="00CE1978">
        <w:rPr>
          <w:rFonts w:ascii="Times New Roman" w:eastAsia="Times New Roman" w:hAnsi="Times New Roman" w:cs="Times New Roman"/>
          <w:b/>
          <w:bCs/>
          <w:color w:val="000000" w:themeColor="text1"/>
          <w:sz w:val="24"/>
          <w:szCs w:val="24"/>
        </w:rPr>
        <w:t xml:space="preserve">23 </w:t>
      </w:r>
      <w:r w:rsidR="1972617E" w:rsidRPr="00CE1978">
        <w:rPr>
          <w:rFonts w:ascii="Times New Roman" w:eastAsia="Times New Roman" w:hAnsi="Times New Roman" w:cs="Times New Roman"/>
          <w:b/>
          <w:bCs/>
          <w:color w:val="000000" w:themeColor="text1"/>
          <w:sz w:val="24"/>
          <w:szCs w:val="24"/>
        </w:rPr>
        <w:t>lit. b tiret pierwsze i drugie</w:t>
      </w:r>
    </w:p>
    <w:p w14:paraId="0BD2FC05" w14:textId="7B879964" w:rsidR="1972617E" w:rsidRPr="00CE1978" w:rsidRDefault="58178BB4"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 art. 29 ust. 2 uchyla się pkt 1 oraz zmienia brzmienie pkt 1a. </w:t>
      </w:r>
      <w:r w:rsidR="19D9FCCE" w:rsidRPr="00CE1978">
        <w:rPr>
          <w:rFonts w:ascii="Times New Roman" w:eastAsia="Times New Roman" w:hAnsi="Times New Roman" w:cs="Times New Roman"/>
          <w:color w:val="000000" w:themeColor="text1"/>
          <w:sz w:val="24"/>
          <w:szCs w:val="24"/>
        </w:rPr>
        <w:t>Zmiany te mają na celu ostateczne doprecyzowanie, jakie kategorie podmiotów zobowiązane są do uczestnictwa w procesie inwentaryzacji infrastruktury i usług</w:t>
      </w:r>
      <w:r w:rsidR="3C1769C7" w:rsidRPr="00CE1978">
        <w:rPr>
          <w:rFonts w:ascii="Times New Roman" w:eastAsia="Times New Roman" w:hAnsi="Times New Roman" w:cs="Times New Roman"/>
          <w:color w:val="000000" w:themeColor="text1"/>
          <w:sz w:val="24"/>
          <w:szCs w:val="24"/>
        </w:rPr>
        <w:t>. Państwowe i samorządowe jednostki organizacyjne w zakresie obowiązku inwentaryzacyjnego powinny być traktowane odpowiednio jako podmioty wykonujące zadania z zakresu użyteczności publicznej (</w:t>
      </w:r>
      <w:r w:rsidR="5C84B3EF" w:rsidRPr="00CE1978">
        <w:rPr>
          <w:rFonts w:ascii="Times New Roman" w:eastAsia="Times New Roman" w:hAnsi="Times New Roman" w:cs="Times New Roman"/>
          <w:color w:val="000000" w:themeColor="text1"/>
          <w:sz w:val="24"/>
          <w:szCs w:val="24"/>
        </w:rPr>
        <w:t>art. 29 ust. 2 pkt 2 lub przedsiębiorcy telekomunikacyjni (art. 29 ust. 2 pkt 3) i tylko w tym kontekście powinno być oceniane ich zobowiązanie do uczestnictwa w inwentaryzacji</w:t>
      </w:r>
      <w:r w:rsidR="003C216C" w:rsidRPr="00CE1978">
        <w:rPr>
          <w:rFonts w:ascii="Times New Roman" w:eastAsia="Times New Roman" w:hAnsi="Times New Roman" w:cs="Times New Roman"/>
          <w:color w:val="000000" w:themeColor="text1"/>
          <w:sz w:val="24"/>
          <w:szCs w:val="24"/>
        </w:rPr>
        <w:t xml:space="preserve">. </w:t>
      </w:r>
      <w:r w:rsidR="5C84B3EF" w:rsidRPr="00CE1978">
        <w:rPr>
          <w:rFonts w:ascii="Times New Roman" w:eastAsia="Times New Roman" w:hAnsi="Times New Roman" w:cs="Times New Roman"/>
          <w:color w:val="000000" w:themeColor="text1"/>
          <w:sz w:val="24"/>
          <w:szCs w:val="24"/>
        </w:rPr>
        <w:t xml:space="preserve">Podobnie jednostki </w:t>
      </w:r>
      <w:r w:rsidR="5C84B3EF" w:rsidRPr="00CE1978">
        <w:rPr>
          <w:rFonts w:ascii="Times New Roman" w:eastAsia="Times New Roman" w:hAnsi="Times New Roman" w:cs="Times New Roman"/>
          <w:color w:val="000000" w:themeColor="text1"/>
          <w:sz w:val="24"/>
          <w:szCs w:val="24"/>
        </w:rPr>
        <w:lastRenderedPageBreak/>
        <w:t>samorządu terytor</w:t>
      </w:r>
      <w:r w:rsidR="07C6BED0" w:rsidRPr="00CE1978">
        <w:rPr>
          <w:rFonts w:ascii="Times New Roman" w:eastAsia="Times New Roman" w:hAnsi="Times New Roman" w:cs="Times New Roman"/>
          <w:color w:val="000000" w:themeColor="text1"/>
          <w:sz w:val="24"/>
          <w:szCs w:val="24"/>
        </w:rPr>
        <w:t xml:space="preserve">ialnego powinny być zobowiązane do uczestnictwa w inwentaryzacji w oderwaniu od ich statusu jednostki wykonującej zadania, o których mowa w art. 3 </w:t>
      </w:r>
      <w:r w:rsidR="5292486B" w:rsidRPr="00CE1978">
        <w:rPr>
          <w:rFonts w:ascii="Times New Roman" w:eastAsia="Times New Roman" w:hAnsi="Times New Roman" w:cs="Times New Roman"/>
          <w:color w:val="000000" w:themeColor="text1"/>
          <w:sz w:val="24"/>
          <w:szCs w:val="24"/>
        </w:rPr>
        <w:t>ust. 1 Megaustawy.</w:t>
      </w:r>
    </w:p>
    <w:p w14:paraId="381AF7A6" w14:textId="63796762" w:rsidR="456C9FCB" w:rsidRPr="00CE1978" w:rsidRDefault="00D15947" w:rsidP="00F91F34">
      <w:pPr>
        <w:spacing w:before="120" w:after="0" w:line="360" w:lineRule="auto"/>
        <w:jc w:val="both"/>
        <w:rPr>
          <w:rFonts w:ascii="Times New Roman" w:eastAsia="Times New Roman" w:hAnsi="Times New Roman" w:cs="Times New Roman"/>
          <w:b/>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5292486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5292486B" w:rsidRPr="00CE1978">
        <w:rPr>
          <w:rFonts w:ascii="Times New Roman" w:eastAsia="Times New Roman" w:hAnsi="Times New Roman" w:cs="Times New Roman"/>
          <w:b/>
          <w:bCs/>
          <w:color w:val="000000" w:themeColor="text1"/>
          <w:sz w:val="24"/>
          <w:szCs w:val="24"/>
        </w:rPr>
        <w:t xml:space="preserve">pkt </w:t>
      </w:r>
      <w:r w:rsidR="006D6527" w:rsidRPr="00CE1978">
        <w:rPr>
          <w:rFonts w:ascii="Times New Roman" w:eastAsia="Times New Roman" w:hAnsi="Times New Roman" w:cs="Times New Roman"/>
          <w:b/>
          <w:bCs/>
          <w:color w:val="000000" w:themeColor="text1"/>
          <w:sz w:val="24"/>
          <w:szCs w:val="24"/>
        </w:rPr>
        <w:t xml:space="preserve">23 </w:t>
      </w:r>
      <w:r w:rsidR="5292486B" w:rsidRPr="00CE1978">
        <w:rPr>
          <w:rFonts w:ascii="Times New Roman" w:eastAsia="Times New Roman" w:hAnsi="Times New Roman" w:cs="Times New Roman"/>
          <w:b/>
          <w:bCs/>
          <w:color w:val="000000" w:themeColor="text1"/>
          <w:sz w:val="24"/>
          <w:szCs w:val="24"/>
        </w:rPr>
        <w:t xml:space="preserve">lit. </w:t>
      </w:r>
      <w:r w:rsidR="002B598C" w:rsidRPr="00CE1978">
        <w:rPr>
          <w:rFonts w:ascii="Times New Roman" w:eastAsia="Times New Roman" w:hAnsi="Times New Roman" w:cs="Times New Roman"/>
          <w:b/>
          <w:bCs/>
          <w:color w:val="000000" w:themeColor="text1"/>
          <w:sz w:val="24"/>
          <w:szCs w:val="24"/>
        </w:rPr>
        <w:t>d</w:t>
      </w:r>
    </w:p>
    <w:p w14:paraId="7D9B7F1B" w14:textId="0FF7C53A" w:rsidR="489D5E97" w:rsidRPr="00CE1978" w:rsidRDefault="102802F8"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W art. 29 dodaje się ust. 2c rozstrzygający, że obowiązek inwentaryzacyjny lub obowiązek złożenia oświadczenia o nieposiadaniu infrastruktury telekomunikacyjnej lub nieświadczeniu usług telek</w:t>
      </w:r>
      <w:r w:rsidR="3A63FE35" w:rsidRPr="00CE1978">
        <w:rPr>
          <w:rFonts w:ascii="Times New Roman" w:eastAsia="Times New Roman" w:hAnsi="Times New Roman" w:cs="Times New Roman"/>
          <w:color w:val="000000" w:themeColor="text1"/>
          <w:sz w:val="24"/>
          <w:szCs w:val="24"/>
        </w:rPr>
        <w:t xml:space="preserve">omunikacyjnych realizuje się za pomocą Punktu informacyjnego do spraw telekomunikacji. </w:t>
      </w:r>
      <w:r w:rsidR="3740AC18" w:rsidRPr="00CE1978">
        <w:rPr>
          <w:rFonts w:ascii="Times New Roman" w:eastAsia="Times New Roman" w:hAnsi="Times New Roman" w:cs="Times New Roman"/>
          <w:color w:val="000000" w:themeColor="text1"/>
          <w:sz w:val="24"/>
          <w:szCs w:val="24"/>
        </w:rPr>
        <w:t xml:space="preserve">Podobne zmiany dotyczące uwzględnienia obowiązków publikowania informacji na stronie internetowej tego Punktu zawierają także inne projektowane przepisy (np. </w:t>
      </w:r>
      <w:r w:rsidR="62151630" w:rsidRPr="00CE1978">
        <w:rPr>
          <w:rFonts w:ascii="Times New Roman" w:eastAsia="Times New Roman" w:hAnsi="Times New Roman" w:cs="Times New Roman"/>
          <w:color w:val="000000" w:themeColor="text1"/>
          <w:sz w:val="24"/>
          <w:szCs w:val="24"/>
        </w:rPr>
        <w:t>nowe brzmienie ust. 6a). Zmiany mają na celu odzwierciedlenie planowanej funkcji Punktu informacyjnego do spraw telekomunikacji jako głównej bramy informacyjnej i kontaktowej Prezesa UKE w sprawach do</w:t>
      </w:r>
      <w:r w:rsidR="4D206AF0" w:rsidRPr="00CE1978">
        <w:rPr>
          <w:rFonts w:ascii="Times New Roman" w:eastAsia="Times New Roman" w:hAnsi="Times New Roman" w:cs="Times New Roman"/>
          <w:color w:val="000000" w:themeColor="text1"/>
          <w:sz w:val="24"/>
          <w:szCs w:val="24"/>
        </w:rPr>
        <w:t xml:space="preserve">tyczących telekomunikacji. Obecnie UKE jest w procesie adaptowania systemu teleinformatycznego Punktu do obsługi wszystkich spraw </w:t>
      </w:r>
      <w:r w:rsidR="14A00A56" w:rsidRPr="00CE1978">
        <w:rPr>
          <w:rFonts w:ascii="Times New Roman" w:eastAsia="Times New Roman" w:hAnsi="Times New Roman" w:cs="Times New Roman"/>
          <w:color w:val="000000" w:themeColor="text1"/>
          <w:sz w:val="24"/>
          <w:szCs w:val="24"/>
        </w:rPr>
        <w:t xml:space="preserve">na styku Prezesa UKE z podmiotami telekomunikacyjnymi, </w:t>
      </w:r>
    </w:p>
    <w:p w14:paraId="0FD134C6" w14:textId="3AF5C373" w:rsidR="00AB3BE7" w:rsidRPr="00CE1978" w:rsidRDefault="00D15947" w:rsidP="00F91F34">
      <w:pPr>
        <w:spacing w:before="120" w:after="0" w:line="360" w:lineRule="auto"/>
        <w:jc w:val="both"/>
        <w:rPr>
          <w:rFonts w:ascii="Times New Roman" w:eastAsia="Times New Roman" w:hAnsi="Times New Roman" w:cs="Times New Roman"/>
          <w:b/>
          <w:color w:val="000000" w:themeColor="text1"/>
          <w:sz w:val="24"/>
          <w:szCs w:val="24"/>
        </w:rPr>
      </w:pPr>
      <w:r w:rsidRPr="00CE1978">
        <w:rPr>
          <w:rFonts w:ascii="Times New Roman" w:eastAsia="Times New Roman" w:hAnsi="Times New Roman" w:cs="Times New Roman"/>
          <w:b/>
          <w:color w:val="000000" w:themeColor="text1"/>
          <w:sz w:val="24"/>
          <w:szCs w:val="24"/>
        </w:rPr>
        <w:t>A</w:t>
      </w:r>
      <w:r w:rsidR="00AB3BE7" w:rsidRPr="00CE1978">
        <w:rPr>
          <w:rFonts w:ascii="Times New Roman" w:eastAsia="Times New Roman" w:hAnsi="Times New Roman" w:cs="Times New Roman"/>
          <w:b/>
          <w:color w:val="000000" w:themeColor="text1"/>
          <w:sz w:val="24"/>
          <w:szCs w:val="24"/>
        </w:rPr>
        <w:t xml:space="preserve">rt. </w:t>
      </w:r>
      <w:r w:rsidR="00ED5C54" w:rsidRPr="00CE1978">
        <w:rPr>
          <w:rFonts w:ascii="Times New Roman" w:eastAsia="Times New Roman" w:hAnsi="Times New Roman" w:cs="Times New Roman"/>
          <w:b/>
          <w:color w:val="000000" w:themeColor="text1"/>
          <w:sz w:val="24"/>
          <w:szCs w:val="24"/>
        </w:rPr>
        <w:t>3</w:t>
      </w:r>
      <w:r w:rsidR="008A2DD6" w:rsidRPr="00CE1978">
        <w:rPr>
          <w:rFonts w:ascii="Times New Roman" w:eastAsia="Times New Roman" w:hAnsi="Times New Roman" w:cs="Times New Roman"/>
          <w:b/>
          <w:color w:val="000000" w:themeColor="text1"/>
          <w:sz w:val="24"/>
          <w:szCs w:val="24"/>
        </w:rPr>
        <w:t>6</w:t>
      </w:r>
      <w:r w:rsidR="00ED5C54" w:rsidRPr="00CE1978">
        <w:rPr>
          <w:rFonts w:ascii="Times New Roman" w:eastAsia="Times New Roman" w:hAnsi="Times New Roman" w:cs="Times New Roman"/>
          <w:b/>
          <w:color w:val="000000" w:themeColor="text1"/>
          <w:sz w:val="24"/>
          <w:szCs w:val="24"/>
        </w:rPr>
        <w:t xml:space="preserve"> </w:t>
      </w:r>
      <w:r w:rsidR="00AB3BE7" w:rsidRPr="00CE1978">
        <w:rPr>
          <w:rFonts w:ascii="Times New Roman" w:eastAsia="Times New Roman" w:hAnsi="Times New Roman" w:cs="Times New Roman"/>
          <w:b/>
          <w:color w:val="000000" w:themeColor="text1"/>
          <w:sz w:val="24"/>
          <w:szCs w:val="24"/>
        </w:rPr>
        <w:t xml:space="preserve">pkt </w:t>
      </w:r>
      <w:r w:rsidR="006D6527" w:rsidRPr="00CE1978">
        <w:rPr>
          <w:rFonts w:ascii="Times New Roman" w:eastAsia="Times New Roman" w:hAnsi="Times New Roman" w:cs="Times New Roman"/>
          <w:b/>
          <w:color w:val="000000" w:themeColor="text1"/>
          <w:sz w:val="24"/>
          <w:szCs w:val="24"/>
        </w:rPr>
        <w:t xml:space="preserve">23 </w:t>
      </w:r>
      <w:r w:rsidR="00AB3BE7" w:rsidRPr="00CE1978">
        <w:rPr>
          <w:rFonts w:ascii="Times New Roman" w:eastAsia="Times New Roman" w:hAnsi="Times New Roman" w:cs="Times New Roman"/>
          <w:b/>
          <w:color w:val="000000" w:themeColor="text1"/>
          <w:sz w:val="24"/>
          <w:szCs w:val="24"/>
        </w:rPr>
        <w:t xml:space="preserve">lit. </w:t>
      </w:r>
      <w:r w:rsidR="00BD4FE7" w:rsidRPr="00CE1978">
        <w:rPr>
          <w:rFonts w:ascii="Times New Roman" w:eastAsia="Times New Roman" w:hAnsi="Times New Roman" w:cs="Times New Roman"/>
          <w:b/>
          <w:color w:val="000000" w:themeColor="text1"/>
          <w:sz w:val="24"/>
          <w:szCs w:val="24"/>
        </w:rPr>
        <w:t>f</w:t>
      </w:r>
    </w:p>
    <w:p w14:paraId="67E24E31" w14:textId="77777777" w:rsidR="00AB3BE7" w:rsidRPr="00CE1978" w:rsidRDefault="00AB3BE7"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Zmiana polega na doprecyzowaniu w jaki sposób, tj. za pośrednictwem strony Punkt informacyjny do spraw telekomunikacji, następuje realizacja prawa wglądu do inwentaryzacji oraz pobierania i otrzymywania danych z niej pochodzących.</w:t>
      </w:r>
    </w:p>
    <w:p w14:paraId="6FDEABD4" w14:textId="0FF4E715" w:rsidR="00DD0D55"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color w:val="000000" w:themeColor="text1"/>
          <w:sz w:val="24"/>
          <w:szCs w:val="24"/>
        </w:rPr>
        <w:t>A</w:t>
      </w:r>
      <w:r w:rsidR="0014223A" w:rsidRPr="00CE1978">
        <w:rPr>
          <w:rFonts w:ascii="Times New Roman" w:eastAsia="Times New Roman" w:hAnsi="Times New Roman" w:cs="Times New Roman"/>
          <w:b/>
          <w:color w:val="000000" w:themeColor="text1"/>
          <w:sz w:val="24"/>
          <w:szCs w:val="24"/>
        </w:rPr>
        <w:t xml:space="preserve">rt. </w:t>
      </w:r>
      <w:r w:rsidR="00ED5C54" w:rsidRPr="00CE1978">
        <w:rPr>
          <w:rFonts w:ascii="Times New Roman" w:eastAsia="Times New Roman" w:hAnsi="Times New Roman" w:cs="Times New Roman"/>
          <w:b/>
          <w:color w:val="000000" w:themeColor="text1"/>
          <w:sz w:val="24"/>
          <w:szCs w:val="24"/>
        </w:rPr>
        <w:t>3</w:t>
      </w:r>
      <w:r w:rsidR="008A2DD6" w:rsidRPr="00CE1978">
        <w:rPr>
          <w:rFonts w:ascii="Times New Roman" w:eastAsia="Times New Roman" w:hAnsi="Times New Roman" w:cs="Times New Roman"/>
          <w:b/>
          <w:color w:val="000000" w:themeColor="text1"/>
          <w:sz w:val="24"/>
          <w:szCs w:val="24"/>
        </w:rPr>
        <w:t>6</w:t>
      </w:r>
      <w:r w:rsidR="00ED5C54" w:rsidRPr="00CE1978">
        <w:rPr>
          <w:rFonts w:ascii="Times New Roman" w:eastAsia="Times New Roman" w:hAnsi="Times New Roman" w:cs="Times New Roman"/>
          <w:b/>
          <w:color w:val="000000" w:themeColor="text1"/>
          <w:sz w:val="24"/>
          <w:szCs w:val="24"/>
        </w:rPr>
        <w:t xml:space="preserve"> </w:t>
      </w:r>
      <w:r w:rsidR="0014223A" w:rsidRPr="00CE1978">
        <w:rPr>
          <w:rFonts w:ascii="Times New Roman" w:eastAsia="Times New Roman" w:hAnsi="Times New Roman" w:cs="Times New Roman"/>
          <w:b/>
          <w:color w:val="000000" w:themeColor="text1"/>
          <w:sz w:val="24"/>
          <w:szCs w:val="24"/>
        </w:rPr>
        <w:t xml:space="preserve">pkt </w:t>
      </w:r>
      <w:r w:rsidR="006D6527" w:rsidRPr="00CE1978">
        <w:rPr>
          <w:rFonts w:ascii="Times New Roman" w:eastAsia="Times New Roman" w:hAnsi="Times New Roman" w:cs="Times New Roman"/>
          <w:b/>
          <w:color w:val="000000" w:themeColor="text1"/>
          <w:sz w:val="24"/>
          <w:szCs w:val="24"/>
        </w:rPr>
        <w:t xml:space="preserve">25 </w:t>
      </w:r>
    </w:p>
    <w:p w14:paraId="4C72D1C9" w14:textId="6EB72376" w:rsidR="00136AB4" w:rsidRPr="00CE1978" w:rsidRDefault="00DD0D55"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Projektowana zmiana uwzględnia nadanie Prezesowi UKE uprawnienia dostępu do wojewódzkich wykazów infrastruktury krytycznej, z którego Prezes UKE czerpać będzie informacje o infrastrukturze technicznej, która może nie służyć celom telekomunikacji. W związku z tym równolegle proponuje się umożliwić operatorom sieci odmowę przekazania do Punktu informacyjnego do spraw telekomunikacji informacji o infrastrukturze technicznej z powołaniem się na objęcie jej wojewódzkim wykazem infrastruktury krytycznej.</w:t>
      </w:r>
    </w:p>
    <w:p w14:paraId="6BE6E9E7" w14:textId="3433ECE2" w:rsidR="00DD0D55" w:rsidRPr="00CE1978" w:rsidRDefault="00136AB4" w:rsidP="00F91F34">
      <w:pPr>
        <w:spacing w:before="120" w:after="0" w:line="360" w:lineRule="auto"/>
        <w:jc w:val="both"/>
        <w:rPr>
          <w:rFonts w:ascii="Times New Roman" w:eastAsia="Times New Roman" w:hAnsi="Times New Roman" w:cs="Times New Roman"/>
          <w:bCs/>
          <w:color w:val="000000" w:themeColor="text1"/>
          <w:sz w:val="24"/>
          <w:szCs w:val="24"/>
        </w:rPr>
      </w:pPr>
      <w:r w:rsidRPr="00CE1978">
        <w:rPr>
          <w:rFonts w:ascii="Times New Roman" w:eastAsia="Times New Roman" w:hAnsi="Times New Roman" w:cs="Times New Roman"/>
          <w:bCs/>
          <w:color w:val="000000" w:themeColor="text1"/>
          <w:sz w:val="24"/>
          <w:szCs w:val="24"/>
        </w:rPr>
        <w:t xml:space="preserve">Proponuje się także uspójnienie terminu na przekazanie danych w wykonaniu obowiązku określonego w art. 29c ust. 1, z terminami wykonania innych obowiązków o charakterze inwentaryzacyjnym i sprawozdawczym, realizowanych na rzecz Prezesa UKE i określonych w </w:t>
      </w:r>
      <w:r w:rsidR="00F60BBA" w:rsidRPr="00CE1978">
        <w:rPr>
          <w:rFonts w:ascii="Times New Roman" w:eastAsia="Times New Roman" w:hAnsi="Times New Roman" w:cs="Times New Roman"/>
          <w:bCs/>
          <w:color w:val="000000" w:themeColor="text1"/>
          <w:sz w:val="24"/>
          <w:szCs w:val="24"/>
        </w:rPr>
        <w:t xml:space="preserve">Megaustawie </w:t>
      </w:r>
      <w:r w:rsidRPr="00CE1978">
        <w:rPr>
          <w:rFonts w:ascii="Times New Roman" w:eastAsia="Times New Roman" w:hAnsi="Times New Roman" w:cs="Times New Roman"/>
          <w:bCs/>
          <w:color w:val="000000" w:themeColor="text1"/>
          <w:sz w:val="24"/>
          <w:szCs w:val="24"/>
        </w:rPr>
        <w:t>– tj. harmonizację terminów na poziomie 28 lutego. Zmiana ta zniesie ryzyko potencjalnego chaosu sprawozdawczego związanego z różnie określonymi terminami wykonania różnych przedmiotowo – choć podobnych funkcjonalnie – obowiązków w zakresie informowania Prezesa UKE o posiadanej infrastrukturze (telekomunikacyjnej lub technicznej).</w:t>
      </w:r>
    </w:p>
    <w:p w14:paraId="14A8339D" w14:textId="7881159E"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lastRenderedPageBreak/>
        <w:t>A</w:t>
      </w:r>
      <w:r w:rsidR="75B895F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75B895FB" w:rsidRPr="00CE1978">
        <w:rPr>
          <w:rFonts w:ascii="Times New Roman" w:eastAsia="Times New Roman" w:hAnsi="Times New Roman" w:cs="Times New Roman"/>
          <w:b/>
          <w:bCs/>
          <w:color w:val="000000" w:themeColor="text1"/>
          <w:sz w:val="24"/>
          <w:szCs w:val="24"/>
        </w:rPr>
        <w:t xml:space="preserve">pkt </w:t>
      </w:r>
      <w:r w:rsidR="00DC4C0F" w:rsidRPr="00CE1978">
        <w:rPr>
          <w:rFonts w:ascii="Times New Roman" w:eastAsia="Times New Roman" w:hAnsi="Times New Roman" w:cs="Times New Roman"/>
          <w:b/>
          <w:bCs/>
          <w:color w:val="000000" w:themeColor="text1"/>
          <w:sz w:val="24"/>
          <w:szCs w:val="24"/>
        </w:rPr>
        <w:t>2</w:t>
      </w:r>
      <w:r w:rsidR="006D6527" w:rsidRPr="00CE1978">
        <w:rPr>
          <w:rFonts w:ascii="Times New Roman" w:eastAsia="Times New Roman" w:hAnsi="Times New Roman" w:cs="Times New Roman"/>
          <w:b/>
          <w:bCs/>
          <w:color w:val="000000" w:themeColor="text1"/>
          <w:sz w:val="24"/>
          <w:szCs w:val="24"/>
        </w:rPr>
        <w:t>6</w:t>
      </w:r>
      <w:r w:rsidR="00DC4C0F" w:rsidRPr="00CE1978">
        <w:rPr>
          <w:rFonts w:ascii="Times New Roman" w:eastAsia="Times New Roman" w:hAnsi="Times New Roman" w:cs="Times New Roman"/>
          <w:b/>
          <w:bCs/>
          <w:color w:val="000000" w:themeColor="text1"/>
          <w:sz w:val="24"/>
          <w:szCs w:val="24"/>
        </w:rPr>
        <w:t xml:space="preserve"> </w:t>
      </w:r>
      <w:r w:rsidR="75B895FB" w:rsidRPr="00CE1978">
        <w:rPr>
          <w:rFonts w:ascii="Times New Roman" w:eastAsia="Times New Roman" w:hAnsi="Times New Roman" w:cs="Times New Roman"/>
          <w:b/>
          <w:bCs/>
          <w:color w:val="000000" w:themeColor="text1"/>
          <w:sz w:val="24"/>
          <w:szCs w:val="24"/>
        </w:rPr>
        <w:t>lit. a i b tiret pierwsze</w:t>
      </w:r>
    </w:p>
    <w:p w14:paraId="13D0C8B5" w14:textId="77777777"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Zmiana w art. 29d ust. 4 polega na zniesieniu obowiązku przekazywania przez zarządców dróg, do Punktu informacyjnego ds. telekomunikacji, informacji o planowanej infrastrukturze technicznej, dla której zarządcy dróg wydali decyzje o lokalizacji tej infrastruktury w pasie drogowym lub zezwolenia na zajęcie pasa drogowego, o których mowa w art. 39 ust. 3 i art. 40 ust. 1 ustawy o drogach publicznych. W związku z nałożeniem na operatorów sieci bezwzględnego obowiązku przekazywania do ww. Punktu informacji o planowanej infrastrukturze technicznej, informacje w tym zakresie, pochodzące od zarządców dróg, mogą niepotrzebnie dublować informacje przekazane już do Punktu przez operatorów sieci. W związku z tym odpowiednio uchyla się pkt 2 w art. 29d ust. 5, określającym terminy, w jakich zarządcy dróg obowiązani są przekazywać informacje wynikające z wydanych decyzji.</w:t>
      </w:r>
    </w:p>
    <w:p w14:paraId="4BB083D9" w14:textId="19D88866"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lang w:val="en-US"/>
        </w:rPr>
      </w:pPr>
      <w:r w:rsidRPr="00CE1978">
        <w:rPr>
          <w:rFonts w:ascii="Times New Roman" w:eastAsia="Times New Roman" w:hAnsi="Times New Roman" w:cs="Times New Roman"/>
          <w:b/>
          <w:bCs/>
          <w:color w:val="000000" w:themeColor="text1"/>
          <w:sz w:val="24"/>
          <w:szCs w:val="24"/>
          <w:lang w:val="en-US"/>
        </w:rPr>
        <w:t>A</w:t>
      </w:r>
      <w:r w:rsidR="003B0907" w:rsidRPr="00CE1978">
        <w:rPr>
          <w:rFonts w:ascii="Times New Roman" w:eastAsia="Times New Roman" w:hAnsi="Times New Roman" w:cs="Times New Roman"/>
          <w:b/>
          <w:bCs/>
          <w:color w:val="000000" w:themeColor="text1"/>
          <w:sz w:val="24"/>
          <w:szCs w:val="24"/>
          <w:lang w:val="en-US"/>
        </w:rPr>
        <w:t xml:space="preserve">rt. </w:t>
      </w:r>
      <w:r w:rsidR="00ED5C54" w:rsidRPr="00CE1978">
        <w:rPr>
          <w:rFonts w:ascii="Times New Roman" w:eastAsia="Times New Roman" w:hAnsi="Times New Roman" w:cs="Times New Roman"/>
          <w:b/>
          <w:bCs/>
          <w:color w:val="000000" w:themeColor="text1"/>
          <w:sz w:val="24"/>
          <w:szCs w:val="24"/>
          <w:lang w:val="en-US"/>
        </w:rPr>
        <w:t>3</w:t>
      </w:r>
      <w:r w:rsidR="008A2DD6" w:rsidRPr="00CE1978">
        <w:rPr>
          <w:rFonts w:ascii="Times New Roman" w:eastAsia="Times New Roman" w:hAnsi="Times New Roman" w:cs="Times New Roman"/>
          <w:b/>
          <w:bCs/>
          <w:color w:val="000000" w:themeColor="text1"/>
          <w:sz w:val="24"/>
          <w:szCs w:val="24"/>
          <w:lang w:val="en-US"/>
        </w:rPr>
        <w:t>6</w:t>
      </w:r>
      <w:r w:rsidR="00ED5C54" w:rsidRPr="00CE1978">
        <w:rPr>
          <w:rFonts w:ascii="Times New Roman" w:eastAsia="Times New Roman" w:hAnsi="Times New Roman" w:cs="Times New Roman"/>
          <w:b/>
          <w:bCs/>
          <w:color w:val="000000" w:themeColor="text1"/>
          <w:sz w:val="24"/>
          <w:szCs w:val="24"/>
          <w:lang w:val="en-US"/>
        </w:rPr>
        <w:t xml:space="preserve"> </w:t>
      </w:r>
      <w:r w:rsidR="75B895FB" w:rsidRPr="00CE1978">
        <w:rPr>
          <w:rFonts w:ascii="Times New Roman" w:eastAsia="Times New Roman" w:hAnsi="Times New Roman" w:cs="Times New Roman"/>
          <w:b/>
          <w:bCs/>
          <w:color w:val="000000" w:themeColor="text1"/>
          <w:sz w:val="24"/>
          <w:szCs w:val="24"/>
          <w:lang w:val="en-US"/>
        </w:rPr>
        <w:t xml:space="preserve">pkt </w:t>
      </w:r>
      <w:r w:rsidR="001A77A9" w:rsidRPr="00CE1978">
        <w:rPr>
          <w:rFonts w:ascii="Times New Roman" w:eastAsia="Times New Roman" w:hAnsi="Times New Roman" w:cs="Times New Roman"/>
          <w:b/>
          <w:bCs/>
          <w:color w:val="000000" w:themeColor="text1"/>
          <w:sz w:val="24"/>
          <w:szCs w:val="24"/>
          <w:lang w:val="en-US"/>
        </w:rPr>
        <w:t xml:space="preserve">26 </w:t>
      </w:r>
      <w:r w:rsidR="75B895FB" w:rsidRPr="00CE1978">
        <w:rPr>
          <w:rFonts w:ascii="Times New Roman" w:eastAsia="Times New Roman" w:hAnsi="Times New Roman" w:cs="Times New Roman"/>
          <w:b/>
          <w:bCs/>
          <w:color w:val="000000" w:themeColor="text1"/>
          <w:sz w:val="24"/>
          <w:szCs w:val="24"/>
          <w:lang w:val="en-US"/>
        </w:rPr>
        <w:t>lit. b tiret drugie</w:t>
      </w:r>
      <w:r w:rsidR="00493155" w:rsidRPr="00CE1978">
        <w:rPr>
          <w:rFonts w:ascii="Times New Roman" w:eastAsia="Times New Roman" w:hAnsi="Times New Roman" w:cs="Times New Roman"/>
          <w:b/>
          <w:bCs/>
          <w:color w:val="000000" w:themeColor="text1"/>
          <w:sz w:val="24"/>
          <w:szCs w:val="24"/>
          <w:lang w:val="en-US"/>
        </w:rPr>
        <w:t xml:space="preserve"> i lit. c</w:t>
      </w:r>
    </w:p>
    <w:p w14:paraId="4DBEE93C" w14:textId="77777777"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Zmiana w art. 29d ust. 5 pkt 3 usuwa niedopatrzenie ustawodawcy</w:t>
      </w:r>
      <w:r w:rsidR="002F2CD3"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color w:val="000000" w:themeColor="text1"/>
          <w:sz w:val="24"/>
          <w:szCs w:val="24"/>
        </w:rPr>
        <w:t xml:space="preserve"> lukę prawną, polegającą na niedookreśleniu terminu, w jakim zarządcy dróg obowiązani są przekazywać do Punktu informacyjnego ds. telekomunikacji informacje o planowanych kanałach technologicznych. W obecnym brzmieniu termin określony jest poprzez odwołanie do ust. 6a w art. 39 ustawy o drogach publicznych, który to przepis został uchylony na mocy przepisów ustawy z dnia 30 sierpnia 2019 r. o zmianie ustawy o wspieraniu rozwoju usług i sieci telekomunikacyjnych oraz niektórych innych ustaw. Proponuje się, aby termin przekazania informacji o kanałach technologicznych wynosił 6 miesięcy przed dniem złożenia przez inwestora drogowego wniosku o wydanie decyzji o środowiskowych uwarunkowaniach, o zezwoleniu na realizację inwestycji drogowej lub o pozwoleniu na budowę albo dniem zgłoszenia przebudowy drogi publicznej.</w:t>
      </w:r>
    </w:p>
    <w:p w14:paraId="30066EA0" w14:textId="216F39A0" w:rsidR="004551CF" w:rsidRPr="00CE1978" w:rsidRDefault="006B07B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Zgodnie </w:t>
      </w:r>
      <w:r w:rsidR="529B4DF8" w:rsidRPr="00CE1978">
        <w:rPr>
          <w:rFonts w:ascii="Times New Roman" w:eastAsia="Times New Roman" w:hAnsi="Times New Roman" w:cs="Times New Roman"/>
          <w:color w:val="000000" w:themeColor="text1"/>
          <w:sz w:val="24"/>
          <w:szCs w:val="24"/>
        </w:rPr>
        <w:t xml:space="preserve">z ust. 6a </w:t>
      </w:r>
      <w:r w:rsidRPr="00CE1978">
        <w:rPr>
          <w:rFonts w:ascii="Times New Roman" w:eastAsia="Times New Roman" w:hAnsi="Times New Roman" w:cs="Times New Roman"/>
          <w:color w:val="000000" w:themeColor="text1"/>
          <w:sz w:val="24"/>
          <w:szCs w:val="24"/>
        </w:rPr>
        <w:t>doda</w:t>
      </w:r>
      <w:r w:rsidR="4487D2B7" w:rsidRPr="00CE1978">
        <w:rPr>
          <w:rFonts w:ascii="Times New Roman" w:eastAsia="Times New Roman" w:hAnsi="Times New Roman" w:cs="Times New Roman"/>
          <w:color w:val="000000" w:themeColor="text1"/>
          <w:sz w:val="24"/>
          <w:szCs w:val="24"/>
        </w:rPr>
        <w:t>wa</w:t>
      </w:r>
      <w:r w:rsidRPr="00CE1978">
        <w:rPr>
          <w:rFonts w:ascii="Times New Roman" w:eastAsia="Times New Roman" w:hAnsi="Times New Roman" w:cs="Times New Roman"/>
          <w:color w:val="000000" w:themeColor="text1"/>
          <w:sz w:val="24"/>
          <w:szCs w:val="24"/>
        </w:rPr>
        <w:t xml:space="preserve">nym </w:t>
      </w:r>
      <w:r w:rsidR="33823822" w:rsidRPr="00CE1978">
        <w:rPr>
          <w:rFonts w:ascii="Times New Roman" w:eastAsia="Times New Roman" w:hAnsi="Times New Roman" w:cs="Times New Roman"/>
          <w:color w:val="000000" w:themeColor="text1"/>
          <w:sz w:val="24"/>
          <w:szCs w:val="24"/>
        </w:rPr>
        <w:t xml:space="preserve">do </w:t>
      </w:r>
      <w:r w:rsidRPr="00CE1978">
        <w:rPr>
          <w:rFonts w:ascii="Times New Roman" w:eastAsia="Times New Roman" w:hAnsi="Times New Roman" w:cs="Times New Roman"/>
          <w:color w:val="000000" w:themeColor="text1"/>
          <w:sz w:val="24"/>
          <w:szCs w:val="24"/>
        </w:rPr>
        <w:t xml:space="preserve">art. 29d Prezes UKE nabywa uprawnienie do żądania </w:t>
      </w:r>
      <w:r w:rsidR="1B1C9348" w:rsidRPr="00CE1978">
        <w:rPr>
          <w:rFonts w:ascii="Times New Roman" w:eastAsia="Times New Roman" w:hAnsi="Times New Roman" w:cs="Times New Roman"/>
          <w:color w:val="000000" w:themeColor="text1"/>
          <w:sz w:val="24"/>
          <w:szCs w:val="24"/>
        </w:rPr>
        <w:t xml:space="preserve">od wojewody </w:t>
      </w:r>
      <w:r w:rsidRPr="00CE1978">
        <w:rPr>
          <w:rFonts w:ascii="Times New Roman" w:eastAsia="Times New Roman" w:hAnsi="Times New Roman" w:cs="Times New Roman"/>
          <w:color w:val="000000" w:themeColor="text1"/>
          <w:sz w:val="24"/>
          <w:szCs w:val="24"/>
        </w:rPr>
        <w:t xml:space="preserve">uzyskania danych o infrastrukturze krytycznej pochodzących z wojewódzkich planów zarządzania kryzysowego. </w:t>
      </w:r>
      <w:r w:rsidR="2687911C" w:rsidRPr="00CE1978">
        <w:rPr>
          <w:rFonts w:ascii="Times New Roman" w:eastAsia="Times New Roman" w:hAnsi="Times New Roman" w:cs="Times New Roman"/>
          <w:color w:val="000000" w:themeColor="text1"/>
          <w:sz w:val="24"/>
          <w:szCs w:val="24"/>
        </w:rPr>
        <w:t>Uprawnienie to ma na celu zapewnienie Prezesowi UKE lepszej kontroli nad wykonywaniem przez operatorów sieci obowiązków przekazywania do Punktu informacji o infrastrukturze technicznej innej niż objęta inwentaryzacją infra</w:t>
      </w:r>
      <w:r w:rsidR="7D4A8D7D" w:rsidRPr="00CE1978">
        <w:rPr>
          <w:rFonts w:ascii="Times New Roman" w:eastAsia="Times New Roman" w:hAnsi="Times New Roman" w:cs="Times New Roman"/>
          <w:color w:val="000000" w:themeColor="text1"/>
          <w:sz w:val="24"/>
          <w:szCs w:val="24"/>
        </w:rPr>
        <w:t>struktury i usług telekomunikacyjnych.</w:t>
      </w:r>
    </w:p>
    <w:p w14:paraId="57BC4683" w14:textId="6A78802B" w:rsidR="00BD4FE7" w:rsidRPr="00CE1978" w:rsidRDefault="00BD4FE7" w:rsidP="00F91F34">
      <w:pPr>
        <w:spacing w:before="120" w:after="0" w:line="360" w:lineRule="auto"/>
        <w:jc w:val="both"/>
        <w:rPr>
          <w:rFonts w:ascii="Times New Roman" w:eastAsia="Times New Roman" w:hAnsi="Times New Roman" w:cs="Times New Roman"/>
          <w:b/>
          <w:color w:val="000000" w:themeColor="text1"/>
          <w:sz w:val="24"/>
          <w:szCs w:val="24"/>
        </w:rPr>
      </w:pPr>
      <w:r w:rsidRPr="00CE1978">
        <w:rPr>
          <w:rFonts w:ascii="Times New Roman" w:eastAsia="Times New Roman" w:hAnsi="Times New Roman" w:cs="Times New Roman"/>
          <w:b/>
          <w:color w:val="000000" w:themeColor="text1"/>
          <w:sz w:val="24"/>
          <w:szCs w:val="24"/>
        </w:rPr>
        <w:t>Art. 36 pkt 30</w:t>
      </w:r>
    </w:p>
    <w:p w14:paraId="6CE9E801" w14:textId="2BD9D14E" w:rsidR="00BD4FE7" w:rsidRPr="00CE1978" w:rsidRDefault="00BD4FE7"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Art. 22 EKŁE w ust. 2–4 przewiduje dodatkowe uprawnienie dla właściwego organu regulacyjnego lub innego właściwego organu do określania tzw. obszarów wykluczenia </w:t>
      </w:r>
      <w:r w:rsidRPr="00CE1978">
        <w:rPr>
          <w:rFonts w:ascii="Times New Roman" w:eastAsia="Times New Roman" w:hAnsi="Times New Roman" w:cs="Times New Roman"/>
          <w:color w:val="000000" w:themeColor="text1"/>
          <w:sz w:val="24"/>
          <w:szCs w:val="24"/>
        </w:rPr>
        <w:lastRenderedPageBreak/>
        <w:t xml:space="preserve">cyfrowego – obszarów geograficznych, które zgodnie z prowadzonymi analizami i prognozami geograficznymi nie znajdują się w zasięgu istniejących i planowanych sieci telekomunikacyjnych. Skorzystanie przez właściwy organ z tego uprawnienia wymaga podania do publicznej wiadomości informacji o ustalonych obszarach wraz z zaproszeniem do zgłaszania zainteresowania objęcia tych obszarów zasięgiem sieci umożliwiających świadczenie usług dostępu do internetu o przepustowości co najmniej 100 Mb/s. Informacje o zgłoszeniu takiego zainteresowania na danym obszarze także powinny być podawane do publicznej wiadomości. </w:t>
      </w:r>
    </w:p>
    <w:p w14:paraId="18A58B22" w14:textId="77777777" w:rsidR="00BD4FE7" w:rsidRPr="00CE1978" w:rsidRDefault="00BD4FE7"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Zgodnie z ustawą z dnia 15 września 2022 r. o zmianie ustawy o wspieraniu rozwoju usług i sieci telekomunikacyjnych minister właściwy ds. informatyzacji prowadzić będzie System Informacyjny o Dostępie do Usług Stacjonarnego Internetu Szerokopasmowego (SIDUSIS). w którym zbierane i prezentowane będą informacje o punktach adresowych, w których:</w:t>
      </w:r>
    </w:p>
    <w:p w14:paraId="21D75F82" w14:textId="77777777" w:rsidR="00BD4FE7" w:rsidRPr="00CE1978" w:rsidRDefault="00BD4FE7" w:rsidP="00F91F34">
      <w:pPr>
        <w:spacing w:before="120" w:after="0" w:line="360" w:lineRule="auto"/>
        <w:ind w:left="426" w:hanging="426"/>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1)</w:t>
      </w:r>
      <w:r w:rsidRPr="00CE1978">
        <w:rPr>
          <w:rFonts w:ascii="Times New Roman" w:eastAsia="Times New Roman" w:hAnsi="Times New Roman" w:cs="Times New Roman"/>
          <w:color w:val="000000" w:themeColor="text1"/>
          <w:sz w:val="24"/>
          <w:szCs w:val="24"/>
        </w:rPr>
        <w:tab/>
        <w:t>jest możliwe świadczenie,</w:t>
      </w:r>
    </w:p>
    <w:p w14:paraId="5E77D4FE" w14:textId="77777777" w:rsidR="00BD4FE7" w:rsidRPr="00CE1978" w:rsidRDefault="00BD4FE7" w:rsidP="00F91F34">
      <w:pPr>
        <w:spacing w:before="120" w:after="0" w:line="360" w:lineRule="auto"/>
        <w:ind w:left="426" w:hanging="426"/>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2)</w:t>
      </w:r>
      <w:r w:rsidRPr="00CE1978">
        <w:rPr>
          <w:rFonts w:ascii="Times New Roman" w:eastAsia="Times New Roman" w:hAnsi="Times New Roman" w:cs="Times New Roman"/>
          <w:color w:val="000000" w:themeColor="text1"/>
          <w:sz w:val="24"/>
          <w:szCs w:val="24"/>
        </w:rPr>
        <w:tab/>
        <w:t xml:space="preserve">jest planowane zapewnienie możliwości świadczenia w wyniku realizacji inwestycji finansowanych ze środków publicznych, </w:t>
      </w:r>
    </w:p>
    <w:p w14:paraId="3632FB27" w14:textId="77777777" w:rsidR="00BD4FE7" w:rsidRPr="00CE1978" w:rsidRDefault="00BD4FE7" w:rsidP="00F91F34">
      <w:pPr>
        <w:spacing w:before="120" w:after="0" w:line="360" w:lineRule="auto"/>
        <w:ind w:left="426" w:hanging="426"/>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3)</w:t>
      </w:r>
      <w:r w:rsidRPr="00CE1978">
        <w:rPr>
          <w:rFonts w:ascii="Times New Roman" w:eastAsia="Times New Roman" w:hAnsi="Times New Roman" w:cs="Times New Roman"/>
          <w:color w:val="000000" w:themeColor="text1"/>
          <w:sz w:val="24"/>
          <w:szCs w:val="24"/>
        </w:rPr>
        <w:tab/>
        <w:t>w ciągu 3 lat jest planowane zapewnienie możliwości świadczenia w wyniku realizacji inwestycji ze środków prywatnych</w:t>
      </w:r>
    </w:p>
    <w:p w14:paraId="64765517" w14:textId="5CD9C9B4" w:rsidR="00BD4FE7" w:rsidRPr="00CE1978" w:rsidRDefault="00BD4FE7"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za pomocą stacjonarnych lub ruchomych publicznych sieci telekomunikacyjnych usług transmisji danych zapewniających stacjonarny szerokopasmowy dostęp do Internetu.</w:t>
      </w:r>
    </w:p>
    <w:p w14:paraId="2A1BE39F" w14:textId="3BC03168" w:rsidR="00BD4FE7" w:rsidRPr="00CE1978" w:rsidRDefault="00BD4FE7"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W związku z tym kompetencje w zakresie określania tzw. obszarów wykluczenia cyfrowego zgodnie z projektowanymi przepisami przypisana będzie ministrowi właściwemu ds. informatyzacji.</w:t>
      </w:r>
    </w:p>
    <w:p w14:paraId="01CEC313" w14:textId="0157F41D"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75B895F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75B895FB" w:rsidRPr="00CE1978">
        <w:rPr>
          <w:rFonts w:ascii="Times New Roman" w:eastAsia="Times New Roman" w:hAnsi="Times New Roman" w:cs="Times New Roman"/>
          <w:b/>
          <w:bCs/>
          <w:color w:val="000000" w:themeColor="text1"/>
          <w:sz w:val="24"/>
          <w:szCs w:val="24"/>
        </w:rPr>
        <w:t xml:space="preserve">pkt </w:t>
      </w:r>
      <w:r w:rsidR="00DC4C0F" w:rsidRPr="00CE1978">
        <w:rPr>
          <w:rFonts w:ascii="Times New Roman" w:eastAsia="Times New Roman" w:hAnsi="Times New Roman" w:cs="Times New Roman"/>
          <w:b/>
          <w:bCs/>
          <w:color w:val="000000" w:themeColor="text1"/>
          <w:sz w:val="24"/>
          <w:szCs w:val="24"/>
        </w:rPr>
        <w:t>3</w:t>
      </w:r>
      <w:r w:rsidR="00BD4FE7" w:rsidRPr="00CE1978">
        <w:rPr>
          <w:rFonts w:ascii="Times New Roman" w:eastAsia="Times New Roman" w:hAnsi="Times New Roman" w:cs="Times New Roman"/>
          <w:b/>
          <w:bCs/>
          <w:color w:val="000000" w:themeColor="text1"/>
          <w:sz w:val="24"/>
          <w:szCs w:val="24"/>
        </w:rPr>
        <w:t>1</w:t>
      </w:r>
      <w:r w:rsidR="75B895FB" w:rsidRPr="00CE1978">
        <w:rPr>
          <w:rFonts w:ascii="Times New Roman" w:eastAsia="Times New Roman" w:hAnsi="Times New Roman" w:cs="Times New Roman"/>
          <w:b/>
          <w:bCs/>
          <w:color w:val="000000" w:themeColor="text1"/>
          <w:sz w:val="24"/>
          <w:szCs w:val="24"/>
        </w:rPr>
        <w:t xml:space="preserve"> lit. a </w:t>
      </w:r>
    </w:p>
    <w:p w14:paraId="741E664C" w14:textId="77777777" w:rsidR="002A5CC7" w:rsidRPr="00CE1978" w:rsidRDefault="00652709"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Dotychczasowa </w:t>
      </w:r>
      <w:r w:rsidR="002A5CC7" w:rsidRPr="00CE1978">
        <w:rPr>
          <w:rFonts w:ascii="Times New Roman" w:eastAsia="Times New Roman" w:hAnsi="Times New Roman" w:cs="Times New Roman"/>
          <w:color w:val="000000" w:themeColor="text1"/>
          <w:sz w:val="24"/>
          <w:szCs w:val="24"/>
        </w:rPr>
        <w:t>regulacja art. 30 Megaustawy, ze względu na posługiwanie się pojęciami:</w:t>
      </w:r>
      <w:r w:rsidR="00CA36EB" w:rsidRPr="00CE1978">
        <w:rPr>
          <w:rFonts w:ascii="Times New Roman" w:eastAsia="Times New Roman" w:hAnsi="Times New Roman" w:cs="Times New Roman"/>
          <w:color w:val="000000" w:themeColor="text1"/>
          <w:sz w:val="24"/>
          <w:szCs w:val="24"/>
        </w:rPr>
        <w:t xml:space="preserve"> „</w:t>
      </w:r>
      <w:r w:rsidR="002A5CC7" w:rsidRPr="00CE1978">
        <w:rPr>
          <w:rFonts w:ascii="Times New Roman" w:eastAsia="Times New Roman" w:hAnsi="Times New Roman" w:cs="Times New Roman"/>
          <w:color w:val="000000" w:themeColor="text1"/>
          <w:sz w:val="24"/>
          <w:szCs w:val="24"/>
        </w:rPr>
        <w:t>instalacji telekomunikacyjnej</w:t>
      </w:r>
      <w:r w:rsidR="00CA36EB" w:rsidRPr="00CE1978">
        <w:rPr>
          <w:rFonts w:ascii="Times New Roman" w:eastAsia="Times New Roman" w:hAnsi="Times New Roman" w:cs="Times New Roman"/>
          <w:color w:val="000000" w:themeColor="text1"/>
          <w:sz w:val="24"/>
          <w:szCs w:val="24"/>
        </w:rPr>
        <w:t>”</w:t>
      </w:r>
      <w:r w:rsidR="002A5CC7" w:rsidRPr="00CE1978">
        <w:rPr>
          <w:rFonts w:ascii="Times New Roman" w:eastAsia="Times New Roman" w:hAnsi="Times New Roman" w:cs="Times New Roman"/>
          <w:color w:val="000000" w:themeColor="text1"/>
          <w:sz w:val="24"/>
          <w:szCs w:val="24"/>
        </w:rPr>
        <w:t xml:space="preserve"> budynku</w:t>
      </w:r>
      <w:r w:rsidR="00CA36EB" w:rsidRPr="00CE1978">
        <w:rPr>
          <w:rFonts w:ascii="Times New Roman" w:eastAsia="Times New Roman" w:hAnsi="Times New Roman" w:cs="Times New Roman"/>
          <w:color w:val="000000" w:themeColor="text1"/>
          <w:sz w:val="24"/>
          <w:szCs w:val="24"/>
        </w:rPr>
        <w:t xml:space="preserve"> oraz „</w:t>
      </w:r>
      <w:r w:rsidR="002A5CC7" w:rsidRPr="00CE1978">
        <w:rPr>
          <w:rFonts w:ascii="Times New Roman" w:eastAsia="Times New Roman" w:hAnsi="Times New Roman" w:cs="Times New Roman"/>
          <w:color w:val="000000" w:themeColor="text1"/>
          <w:sz w:val="24"/>
          <w:szCs w:val="24"/>
        </w:rPr>
        <w:t>punktu styku</w:t>
      </w:r>
      <w:r w:rsidR="00CA36EB" w:rsidRPr="00CE1978">
        <w:rPr>
          <w:rFonts w:ascii="Times New Roman" w:eastAsia="Times New Roman" w:hAnsi="Times New Roman" w:cs="Times New Roman"/>
          <w:color w:val="000000" w:themeColor="text1"/>
          <w:sz w:val="24"/>
          <w:szCs w:val="24"/>
        </w:rPr>
        <w:t>”</w:t>
      </w:r>
      <w:r w:rsidR="002A5CC7" w:rsidRPr="00CE1978">
        <w:rPr>
          <w:rFonts w:ascii="Times New Roman" w:eastAsia="Times New Roman" w:hAnsi="Times New Roman" w:cs="Times New Roman"/>
          <w:color w:val="000000" w:themeColor="text1"/>
          <w:sz w:val="24"/>
          <w:szCs w:val="24"/>
        </w:rPr>
        <w:t xml:space="preserve"> zdefiniowanego poprzez odwołanie do pojęcia instala</w:t>
      </w:r>
      <w:r w:rsidR="00A05E2B" w:rsidRPr="00CE1978">
        <w:rPr>
          <w:rFonts w:ascii="Times New Roman" w:eastAsia="Times New Roman" w:hAnsi="Times New Roman" w:cs="Times New Roman"/>
          <w:color w:val="000000" w:themeColor="text1"/>
          <w:sz w:val="24"/>
          <w:szCs w:val="24"/>
        </w:rPr>
        <w:t xml:space="preserve">cji telekomunikacyjnej budynku, </w:t>
      </w:r>
      <w:r w:rsidR="002A5CC7" w:rsidRPr="00CE1978">
        <w:rPr>
          <w:rFonts w:ascii="Times New Roman" w:eastAsia="Times New Roman" w:hAnsi="Times New Roman" w:cs="Times New Roman"/>
          <w:color w:val="000000" w:themeColor="text1"/>
          <w:sz w:val="24"/>
          <w:szCs w:val="24"/>
        </w:rPr>
        <w:t>łączy 3 różne mechanizmy przewidziane w prawie europejskim:</w:t>
      </w:r>
    </w:p>
    <w:p w14:paraId="4D476CDE" w14:textId="600FCF68" w:rsidR="002A5CC7" w:rsidRPr="00CE1978" w:rsidRDefault="002A5CC7" w:rsidP="00F91F34">
      <w:pPr>
        <w:pStyle w:val="Akapitzlist"/>
        <w:numPr>
          <w:ilvl w:val="0"/>
          <w:numId w:val="8"/>
        </w:numPr>
        <w:shd w:val="clear" w:color="auto" w:fill="FFFFFF" w:themeFill="background1"/>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dostęp do wewnątrzbudynkowej infrastruktury technicznej (art. 9 ust. 2</w:t>
      </w:r>
      <w:r w:rsidR="0060241B"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color w:val="000000" w:themeColor="text1"/>
          <w:sz w:val="24"/>
          <w:szCs w:val="24"/>
        </w:rPr>
        <w:t xml:space="preserve">3 </w:t>
      </w:r>
      <w:r w:rsidR="00CA36EB" w:rsidRPr="00CE1978">
        <w:rPr>
          <w:rFonts w:ascii="Times New Roman" w:eastAsia="Times New Roman" w:hAnsi="Times New Roman" w:cs="Times New Roman"/>
          <w:color w:val="000000" w:themeColor="text1"/>
          <w:sz w:val="24"/>
          <w:szCs w:val="24"/>
        </w:rPr>
        <w:t>Dyrektywy kosztowej</w:t>
      </w:r>
      <w:r w:rsidRPr="00CE1978">
        <w:rPr>
          <w:rFonts w:ascii="Times New Roman" w:eastAsia="Times New Roman" w:hAnsi="Times New Roman" w:cs="Times New Roman"/>
          <w:color w:val="000000" w:themeColor="text1"/>
          <w:sz w:val="24"/>
          <w:szCs w:val="24"/>
        </w:rPr>
        <w:t>),</w:t>
      </w:r>
    </w:p>
    <w:p w14:paraId="482869C6" w14:textId="77777777" w:rsidR="002A5CC7" w:rsidRPr="00CE1978" w:rsidRDefault="002A5CC7" w:rsidP="00F91F34">
      <w:pPr>
        <w:pStyle w:val="Akapitzlist"/>
        <w:numPr>
          <w:ilvl w:val="0"/>
          <w:numId w:val="8"/>
        </w:numPr>
        <w:shd w:val="clear" w:color="auto" w:fill="FFFFFF" w:themeFill="background1"/>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 xml:space="preserve">dostęp do budynku w celu doprowadzenia swojej sieci w lokalu abonenta, jeśli brak jest dostępnej wewnątrzbudynkowej infrastruktury technicznej (art. 9 ust. 5 </w:t>
      </w:r>
      <w:r w:rsidR="00CA36EB" w:rsidRPr="00CE1978">
        <w:rPr>
          <w:rFonts w:ascii="Times New Roman" w:eastAsia="Times New Roman" w:hAnsi="Times New Roman" w:cs="Times New Roman"/>
          <w:color w:val="000000" w:themeColor="text1"/>
          <w:sz w:val="24"/>
          <w:szCs w:val="24"/>
        </w:rPr>
        <w:t>Dyrektywy kosztowej</w:t>
      </w:r>
      <w:r w:rsidRPr="00CE1978">
        <w:rPr>
          <w:rFonts w:ascii="Times New Roman" w:eastAsia="Times New Roman" w:hAnsi="Times New Roman" w:cs="Times New Roman"/>
          <w:color w:val="000000" w:themeColor="text1"/>
          <w:sz w:val="24"/>
          <w:szCs w:val="24"/>
        </w:rPr>
        <w:t>),</w:t>
      </w:r>
    </w:p>
    <w:p w14:paraId="516EA4B3" w14:textId="77777777" w:rsidR="002A5CC7" w:rsidRPr="00CE1978" w:rsidRDefault="002A5CC7" w:rsidP="00F91F34">
      <w:pPr>
        <w:pStyle w:val="Akapitzlist"/>
        <w:numPr>
          <w:ilvl w:val="0"/>
          <w:numId w:val="8"/>
        </w:numPr>
        <w:shd w:val="clear" w:color="auto" w:fill="FFFFFF" w:themeFill="background1"/>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dostęp do okablowania wewnątrz budynków lub okablowania na odcinku do pierwszego punktu koncentracji lub dystrybucji (art. 12 ust. 3 dyrektywy ramowej – obecnie art. 61 ust. 2 EKŁE).</w:t>
      </w:r>
    </w:p>
    <w:p w14:paraId="1CB143B7" w14:textId="77777777" w:rsidR="002A5CC7" w:rsidRPr="00CE1978" w:rsidRDefault="002A5CC7" w:rsidP="00F91F34">
      <w:pPr>
        <w:shd w:val="clear" w:color="auto" w:fill="FFFFFF" w:themeFill="background1"/>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Korzystanie ze „zbiorczego” pojęcia instalacji telekomunikacyjnej budynku, które obejmuje zarówno okablowanie w budynku, jak i wewnątrzbudynkową infrastrukturę techniczną powoduje liczne problemy. </w:t>
      </w:r>
    </w:p>
    <w:p w14:paraId="577F9168" w14:textId="77777777" w:rsidR="002A5CC7" w:rsidRPr="00CE1978" w:rsidRDefault="002A5CC7" w:rsidP="00F91F34">
      <w:pPr>
        <w:shd w:val="clear" w:color="auto" w:fill="FFFFFF" w:themeFill="background1"/>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Przede wszystkim prawo wykonania nowej instalacji telekomunikacyjnej budynku zostało uzależnione od dostępności istniejącej instalacji telekomunikacyjnej budynku, podczas gdy z art. 9 ust. 5 </w:t>
      </w:r>
      <w:r w:rsidR="0052309E" w:rsidRPr="00CE1978">
        <w:rPr>
          <w:rFonts w:ascii="Times New Roman" w:eastAsia="Times New Roman" w:hAnsi="Times New Roman" w:cs="Times New Roman"/>
          <w:color w:val="000000" w:themeColor="text1"/>
          <w:sz w:val="24"/>
          <w:szCs w:val="24"/>
        </w:rPr>
        <w:t>Dyrektywy kosztowej</w:t>
      </w:r>
      <w:r w:rsidRPr="00CE1978">
        <w:rPr>
          <w:rFonts w:ascii="Times New Roman" w:eastAsia="Times New Roman" w:hAnsi="Times New Roman" w:cs="Times New Roman"/>
          <w:color w:val="000000" w:themeColor="text1"/>
          <w:sz w:val="24"/>
          <w:szCs w:val="24"/>
        </w:rPr>
        <w:t xml:space="preserve"> wynika, że co najwyżej sposób doprowadzenia łącza do abonenta powinien być uzależniony od dostępności wewnątrzbudynkowej infrastruktury technicznej (kanalizacji telekomunikacyjnej budynku), a nie od dostępności okablowania. Inny problem to jednoznaczne przesądzenie, czy „szczątkowa” instalacja telekomunikacyjna budynku (np. kabel łatwego dostępu bez zakończeń w lokalach) to już instalacja telekomunikacyjna budynku, czy jednak nie.</w:t>
      </w:r>
    </w:p>
    <w:p w14:paraId="53FA1906" w14:textId="10B7840D" w:rsidR="002A5CC7" w:rsidRPr="00532F3A" w:rsidRDefault="002A5CC7" w:rsidP="00F91F34">
      <w:pPr>
        <w:shd w:val="clear" w:color="auto" w:fill="FFFFFF" w:themeFill="background1"/>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 tych względów, aby uporządkować uprawnienia przedsiębiorców telekomunikacyjnych zasadnym jest uporządkowanie siatki pojęciowej i ustalenie prawidłowych zależności pomiędzy różnymi stanami faktycznymi a uprawnieniami przedsiębiorców. Zasadnym jest przede wszystkim usunięcie z siatki pojęciowej (wykorzystywanej na potrzeby P</w:t>
      </w:r>
      <w:r w:rsidR="59F8B815" w:rsidRPr="00CE1978">
        <w:rPr>
          <w:rFonts w:ascii="Times New Roman" w:eastAsia="Times New Roman" w:hAnsi="Times New Roman" w:cs="Times New Roman"/>
          <w:color w:val="000000" w:themeColor="text1"/>
          <w:sz w:val="24"/>
          <w:szCs w:val="24"/>
        </w:rPr>
        <w:t>ke</w:t>
      </w:r>
      <w:r w:rsidRPr="00CE1978">
        <w:rPr>
          <w:rFonts w:ascii="Times New Roman" w:eastAsia="Times New Roman" w:hAnsi="Times New Roman" w:cs="Times New Roman"/>
          <w:color w:val="000000" w:themeColor="text1"/>
          <w:sz w:val="24"/>
          <w:szCs w:val="24"/>
        </w:rPr>
        <w:t xml:space="preserve"> i Megaustawy) pojęcia instalacji telekomunikacyjnej budynku</w:t>
      </w:r>
      <w:r w:rsidR="00652709" w:rsidRPr="00CE1978">
        <w:rPr>
          <w:rFonts w:ascii="Times New Roman" w:eastAsia="Times New Roman" w:hAnsi="Times New Roman" w:cs="Times New Roman"/>
          <w:color w:val="000000" w:themeColor="text1"/>
          <w:sz w:val="24"/>
          <w:szCs w:val="24"/>
        </w:rPr>
        <w:t xml:space="preserve"> w zakresie dotychczasowego art. 30 ust. 1</w:t>
      </w:r>
      <w:r w:rsidR="00532F3A">
        <w:rPr>
          <w:rFonts w:ascii="Times New Roman" w:eastAsia="Times New Roman" w:hAnsi="Times New Roman" w:cs="Times New Roman"/>
          <w:color w:val="000000" w:themeColor="text1"/>
          <w:sz w:val="24"/>
          <w:szCs w:val="24"/>
        </w:rPr>
        <w:t>–</w:t>
      </w:r>
      <w:r w:rsidR="00652709" w:rsidRPr="00532F3A">
        <w:rPr>
          <w:rFonts w:ascii="Times New Roman" w:eastAsia="Times New Roman" w:hAnsi="Times New Roman" w:cs="Times New Roman"/>
          <w:color w:val="000000" w:themeColor="text1"/>
          <w:sz w:val="24"/>
          <w:szCs w:val="24"/>
        </w:rPr>
        <w:t>5d</w:t>
      </w:r>
      <w:r w:rsidRPr="00532F3A">
        <w:rPr>
          <w:rFonts w:ascii="Times New Roman" w:eastAsia="Times New Roman" w:hAnsi="Times New Roman" w:cs="Times New Roman"/>
          <w:color w:val="000000" w:themeColor="text1"/>
          <w:sz w:val="24"/>
          <w:szCs w:val="24"/>
        </w:rPr>
        <w:t xml:space="preserve"> i korzystanie z pojęć:</w:t>
      </w:r>
    </w:p>
    <w:p w14:paraId="3C9ED7A4" w14:textId="77777777" w:rsidR="002A5CC7" w:rsidRPr="00C10C7D" w:rsidRDefault="002A5CC7" w:rsidP="00F91F34">
      <w:pPr>
        <w:pStyle w:val="Akapitzlist"/>
        <w:numPr>
          <w:ilvl w:val="0"/>
          <w:numId w:val="9"/>
        </w:numPr>
        <w:shd w:val="clear" w:color="auto" w:fill="FFFFFF" w:themeFill="background1"/>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wewnątrzbudynkowa infrastruktura techniczna (jak w </w:t>
      </w:r>
      <w:r w:rsidR="0052309E" w:rsidRPr="00C10C7D">
        <w:rPr>
          <w:rFonts w:ascii="Times New Roman" w:eastAsia="Times New Roman" w:hAnsi="Times New Roman" w:cs="Times New Roman"/>
          <w:color w:val="000000" w:themeColor="text1"/>
          <w:sz w:val="24"/>
          <w:szCs w:val="24"/>
        </w:rPr>
        <w:t>Dyrektywie kosztowej</w:t>
      </w:r>
      <w:r w:rsidRPr="00C10C7D">
        <w:rPr>
          <w:rFonts w:ascii="Times New Roman" w:eastAsia="Times New Roman" w:hAnsi="Times New Roman" w:cs="Times New Roman"/>
          <w:color w:val="000000" w:themeColor="text1"/>
          <w:sz w:val="24"/>
          <w:szCs w:val="24"/>
        </w:rPr>
        <w:t>) – podzbiór infrastruktury technicznej, która jest podzbiorem powiązanych zasobów,</w:t>
      </w:r>
    </w:p>
    <w:p w14:paraId="34C38DF6" w14:textId="77777777" w:rsidR="002A5CC7" w:rsidRPr="00C10C7D" w:rsidRDefault="002A5CC7" w:rsidP="00F91F34">
      <w:pPr>
        <w:pStyle w:val="Akapitzlist"/>
        <w:numPr>
          <w:ilvl w:val="0"/>
          <w:numId w:val="9"/>
        </w:numPr>
        <w:shd w:val="clear" w:color="auto" w:fill="FFFFFF" w:themeFill="background1"/>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okablowania pomiędzy zakończeniami sieci w obiekcie budowlanym, a najbliższym punktem dystrybucji – podzbiór powiązanych zasobów.</w:t>
      </w:r>
    </w:p>
    <w:p w14:paraId="4D29F8F9" w14:textId="77777777" w:rsidR="002A5CC7" w:rsidRPr="00CE1978" w:rsidRDefault="002A5CC7" w:rsidP="00F91F34">
      <w:pPr>
        <w:shd w:val="clear" w:color="auto" w:fill="FFFFFF" w:themeFill="background1"/>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Usunięcie instalacji telekomunikacyjnej budynku wymaga jednak ponownego określenia definicji punktu dostępu z art. 2 pkt 11 </w:t>
      </w:r>
      <w:r w:rsidR="0052309E" w:rsidRPr="00C10C7D">
        <w:rPr>
          <w:rFonts w:ascii="Times New Roman" w:eastAsia="Times New Roman" w:hAnsi="Times New Roman" w:cs="Times New Roman"/>
          <w:color w:val="000000" w:themeColor="text1"/>
          <w:sz w:val="24"/>
          <w:szCs w:val="24"/>
        </w:rPr>
        <w:t>Dyrektywy kosztowej</w:t>
      </w:r>
      <w:r w:rsidRPr="00C10C7D">
        <w:rPr>
          <w:rFonts w:ascii="Times New Roman" w:eastAsia="Times New Roman" w:hAnsi="Times New Roman" w:cs="Times New Roman"/>
          <w:color w:val="000000" w:themeColor="text1"/>
          <w:sz w:val="24"/>
          <w:szCs w:val="24"/>
        </w:rPr>
        <w:t xml:space="preserve"> (</w:t>
      </w:r>
      <w:r w:rsidR="00AD784C"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punkt styku</w:t>
      </w:r>
      <w:r w:rsidR="00652709"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 xml:space="preserve"> z Megaustawy</w:t>
      </w:r>
      <w:r w:rsidR="0BAB6FD1" w:rsidRPr="00C10C7D">
        <w:rPr>
          <w:rFonts w:ascii="Times New Roman" w:eastAsia="Times New Roman" w:hAnsi="Times New Roman" w:cs="Times New Roman"/>
          <w:color w:val="000000" w:themeColor="text1"/>
          <w:sz w:val="24"/>
          <w:szCs w:val="24"/>
        </w:rPr>
        <w:t xml:space="preserve">, </w:t>
      </w:r>
      <w:r w:rsidR="00652709" w:rsidRPr="00C10C7D">
        <w:rPr>
          <w:rFonts w:ascii="Times New Roman" w:eastAsia="Times New Roman" w:hAnsi="Times New Roman" w:cs="Times New Roman"/>
          <w:color w:val="000000" w:themeColor="text1"/>
          <w:sz w:val="24"/>
          <w:szCs w:val="24"/>
        </w:rPr>
        <w:t xml:space="preserve">zmienia się </w:t>
      </w:r>
      <w:r w:rsidR="0BAB6FD1" w:rsidRPr="00C10C7D">
        <w:rPr>
          <w:rFonts w:ascii="Times New Roman" w:eastAsia="Times New Roman" w:hAnsi="Times New Roman" w:cs="Times New Roman"/>
          <w:color w:val="000000" w:themeColor="text1"/>
          <w:sz w:val="24"/>
          <w:szCs w:val="24"/>
        </w:rPr>
        <w:t xml:space="preserve">na </w:t>
      </w:r>
      <w:r w:rsidR="00652709" w:rsidRPr="00CE1978">
        <w:rPr>
          <w:rFonts w:ascii="Times New Roman" w:eastAsia="Times New Roman" w:hAnsi="Times New Roman" w:cs="Times New Roman"/>
          <w:color w:val="000000" w:themeColor="text1"/>
          <w:sz w:val="24"/>
          <w:szCs w:val="24"/>
        </w:rPr>
        <w:t>„</w:t>
      </w:r>
      <w:r w:rsidR="0BAB6FD1" w:rsidRPr="00CE1978">
        <w:rPr>
          <w:rFonts w:ascii="Times New Roman" w:eastAsia="Times New Roman" w:hAnsi="Times New Roman" w:cs="Times New Roman"/>
          <w:color w:val="000000" w:themeColor="text1"/>
          <w:sz w:val="24"/>
          <w:szCs w:val="24"/>
        </w:rPr>
        <w:t>miejsce dostępu”</w:t>
      </w:r>
      <w:r w:rsidRPr="00CE1978">
        <w:rPr>
          <w:rFonts w:ascii="Times New Roman" w:eastAsia="Times New Roman" w:hAnsi="Times New Roman" w:cs="Times New Roman"/>
          <w:color w:val="000000" w:themeColor="text1"/>
          <w:sz w:val="24"/>
          <w:szCs w:val="24"/>
        </w:rPr>
        <w:t>). Definicja ta ma następujące funkcje:</w:t>
      </w:r>
    </w:p>
    <w:p w14:paraId="5E4143CB" w14:textId="77777777" w:rsidR="002A5CC7" w:rsidRPr="00CE1978" w:rsidRDefault="002A5CC7" w:rsidP="00F91F34">
      <w:pPr>
        <w:pStyle w:val="Akapitzlist"/>
        <w:numPr>
          <w:ilvl w:val="0"/>
          <w:numId w:val="10"/>
        </w:numPr>
        <w:shd w:val="clear" w:color="auto" w:fill="FFFFFF" w:themeFill="background1"/>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 xml:space="preserve">określa do jakiego miejsca przedsiębiorca telekomunikacyjny może bezwarunkowo doprowadzić swoją sieć (art. 9 ust. 1 </w:t>
      </w:r>
      <w:r w:rsidR="0052309E" w:rsidRPr="00CE1978">
        <w:rPr>
          <w:rFonts w:ascii="Times New Roman" w:eastAsia="Times New Roman" w:hAnsi="Times New Roman" w:cs="Times New Roman"/>
          <w:color w:val="000000" w:themeColor="text1"/>
          <w:sz w:val="24"/>
          <w:szCs w:val="24"/>
        </w:rPr>
        <w:t>Dyrektywy kosztowej</w:t>
      </w:r>
      <w:r w:rsidRPr="00CE1978">
        <w:rPr>
          <w:rFonts w:ascii="Times New Roman" w:eastAsia="Times New Roman" w:hAnsi="Times New Roman" w:cs="Times New Roman"/>
          <w:color w:val="000000" w:themeColor="text1"/>
          <w:sz w:val="24"/>
          <w:szCs w:val="24"/>
        </w:rPr>
        <w:t>),</w:t>
      </w:r>
    </w:p>
    <w:p w14:paraId="08D2ACB3" w14:textId="43F3D8AD" w:rsidR="002A5CC7" w:rsidRPr="00CE1978" w:rsidRDefault="002A5CC7" w:rsidP="00F91F34">
      <w:pPr>
        <w:pStyle w:val="Akapitzlist"/>
        <w:numPr>
          <w:ilvl w:val="0"/>
          <w:numId w:val="10"/>
        </w:numPr>
        <w:shd w:val="clear" w:color="auto" w:fill="FFFFFF" w:themeFill="background1"/>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określa granicę, od której infrastruktura techniczna jest wewnątrzbudynkową infrastrukturą techniczną (której udostępnianie jest obowiązkiem nie tylko operatora sieci, ale każdego jej posiadacza – art. 9 ust. 2 </w:t>
      </w:r>
      <w:r w:rsidR="0052309E" w:rsidRPr="00CE1978">
        <w:rPr>
          <w:rFonts w:ascii="Times New Roman" w:eastAsia="Times New Roman" w:hAnsi="Times New Roman" w:cs="Times New Roman"/>
          <w:color w:val="000000" w:themeColor="text1"/>
          <w:sz w:val="24"/>
          <w:szCs w:val="24"/>
        </w:rPr>
        <w:t>Dyrektywy kosztowej</w:t>
      </w:r>
      <w:r w:rsidR="006070AC" w:rsidRPr="00CE1978">
        <w:rPr>
          <w:rFonts w:ascii="Times New Roman" w:eastAsia="Times New Roman" w:hAnsi="Times New Roman" w:cs="Times New Roman"/>
          <w:color w:val="000000" w:themeColor="text1"/>
          <w:sz w:val="24"/>
          <w:szCs w:val="24"/>
        </w:rPr>
        <w:t>),</w:t>
      </w:r>
    </w:p>
    <w:p w14:paraId="1537FC5D" w14:textId="77777777" w:rsidR="002A5CC7" w:rsidRPr="00CE1978" w:rsidRDefault="002A5CC7" w:rsidP="00F91F34">
      <w:pPr>
        <w:pStyle w:val="Akapitzlist"/>
        <w:numPr>
          <w:ilvl w:val="0"/>
          <w:numId w:val="10"/>
        </w:numPr>
        <w:shd w:val="clear" w:color="auto" w:fill="FFFFFF" w:themeFill="background1"/>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określa granicę, od której wykonanie przez przedsiębiorcę telekomunikacyjnego okablowania w nowej wewnątrzbudynkowej infrastruktury technicznej (w tym/lub natynkowo) uzależnione jest m.in. od dostępności istniejącej wewnątrzbudynkowej infrastruktury technicznej.</w:t>
      </w:r>
    </w:p>
    <w:p w14:paraId="1FD92B24" w14:textId="77777777" w:rsidR="002A5CC7" w:rsidRPr="00CE1978" w:rsidRDefault="00AD784C" w:rsidP="00F91F34">
      <w:pPr>
        <w:shd w:val="clear" w:color="auto" w:fill="FFFFFF" w:themeFill="background1"/>
        <w:spacing w:before="120" w:after="0" w:line="360" w:lineRule="auto"/>
        <w:jc w:val="both"/>
        <w:rPr>
          <w:rFonts w:ascii="Times New Roman" w:eastAsia="Times New Roman" w:hAnsi="Times New Roman" w:cs="Times New Roman"/>
          <w:i/>
          <w:color w:val="000000" w:themeColor="text1"/>
          <w:sz w:val="24"/>
          <w:szCs w:val="24"/>
        </w:rPr>
      </w:pPr>
      <w:r w:rsidRPr="00CE1978">
        <w:rPr>
          <w:rFonts w:ascii="Times New Roman" w:eastAsia="Times New Roman" w:hAnsi="Times New Roman" w:cs="Times New Roman"/>
          <w:color w:val="000000" w:themeColor="text1"/>
          <w:sz w:val="24"/>
          <w:szCs w:val="24"/>
        </w:rPr>
        <w:t>Zgodnie z definicją punktu dostępu zawartego</w:t>
      </w:r>
      <w:r w:rsidR="002A5CC7" w:rsidRPr="00CE1978">
        <w:rPr>
          <w:rFonts w:ascii="Times New Roman" w:eastAsia="Times New Roman" w:hAnsi="Times New Roman" w:cs="Times New Roman"/>
          <w:color w:val="000000" w:themeColor="text1"/>
          <w:sz w:val="24"/>
          <w:szCs w:val="24"/>
        </w:rPr>
        <w:t xml:space="preserve"> w </w:t>
      </w:r>
      <w:r w:rsidR="0052309E" w:rsidRPr="00CE1978">
        <w:rPr>
          <w:rFonts w:ascii="Times New Roman" w:eastAsia="Times New Roman" w:hAnsi="Times New Roman" w:cs="Times New Roman"/>
          <w:color w:val="000000" w:themeColor="text1"/>
          <w:sz w:val="24"/>
          <w:szCs w:val="24"/>
        </w:rPr>
        <w:t>Dyrektywie</w:t>
      </w:r>
      <w:r w:rsidRPr="00CE1978">
        <w:rPr>
          <w:rFonts w:ascii="Times New Roman" w:eastAsia="Times New Roman" w:hAnsi="Times New Roman" w:cs="Times New Roman"/>
          <w:color w:val="000000" w:themeColor="text1"/>
          <w:sz w:val="24"/>
          <w:szCs w:val="24"/>
        </w:rPr>
        <w:t xml:space="preserve"> kosztowej, jest to</w:t>
      </w:r>
      <w:r w:rsidR="002A5CC7" w:rsidRPr="00CE1978">
        <w:rPr>
          <w:rFonts w:ascii="Times New Roman" w:eastAsia="Times New Roman" w:hAnsi="Times New Roman" w:cs="Times New Roman"/>
          <w:color w:val="000000" w:themeColor="text1"/>
          <w:sz w:val="24"/>
          <w:szCs w:val="24"/>
        </w:rPr>
        <w:t>:</w:t>
      </w:r>
      <w:r w:rsidR="00652709" w:rsidRPr="00CE1978">
        <w:rPr>
          <w:rFonts w:ascii="Times New Roman" w:eastAsia="Times New Roman" w:hAnsi="Times New Roman" w:cs="Times New Roman"/>
          <w:i/>
          <w:color w:val="000000" w:themeColor="text1"/>
          <w:sz w:val="24"/>
          <w:szCs w:val="24"/>
        </w:rPr>
        <w:t xml:space="preserve"> </w:t>
      </w:r>
      <w:r w:rsidR="002A5CC7" w:rsidRPr="00CE1978">
        <w:rPr>
          <w:rFonts w:ascii="Times New Roman" w:eastAsia="Times New Roman" w:hAnsi="Times New Roman" w:cs="Times New Roman"/>
          <w:i/>
          <w:color w:val="000000" w:themeColor="text1"/>
          <w:sz w:val="24"/>
          <w:szCs w:val="24"/>
        </w:rPr>
        <w:t>„punkt fizyczny znajdujący się wewnątrz lub na zewnątrz budynku, dostępny dla przedsiębiorstwa dostarczającego lub upoważnionego do dostarczania publicznych sieci łączności, za pomocą którego to punktu udostępniane jest połączenie z wewnątrzbudynkową infrastrukturą techniczną przystosowaną do szybkich łączy.”</w:t>
      </w:r>
      <w:r w:rsidRPr="00CE1978">
        <w:rPr>
          <w:rFonts w:ascii="Times New Roman" w:eastAsia="Times New Roman" w:hAnsi="Times New Roman" w:cs="Times New Roman"/>
          <w:color w:val="000000" w:themeColor="text1"/>
          <w:sz w:val="24"/>
          <w:szCs w:val="24"/>
        </w:rPr>
        <w:t>.</w:t>
      </w:r>
    </w:p>
    <w:p w14:paraId="6958D61F" w14:textId="77777777" w:rsidR="002A5CC7" w:rsidRPr="00CE1978" w:rsidRDefault="002A5CC7" w:rsidP="00F91F34">
      <w:pPr>
        <w:shd w:val="clear" w:color="auto" w:fill="FFFFFF" w:themeFill="background1"/>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Definicja ta spełnia wskazane wyżej funkcje tylko wtedy, gdy faktycznie istnieje wewnątrzbudynkowa infrastruktura techniczna. Kiedy jej nie ma, powstaje luka i niepewność z nią związana. Dlatego zasadnym jest zdefiniowanie tego punktu w taki sposób, by odnosił się do funkcji, niż do konkretnego stanu infrastruktury.</w:t>
      </w:r>
    </w:p>
    <w:p w14:paraId="101B5F7F" w14:textId="77777777" w:rsidR="002A5CC7" w:rsidRPr="00CE1978" w:rsidRDefault="0052309E" w:rsidP="00F91F34">
      <w:pPr>
        <w:shd w:val="clear" w:color="auto" w:fill="FFFFFF" w:themeFill="background1"/>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Dzięki definicji miejsca dostępu</w:t>
      </w:r>
      <w:r w:rsidR="002A5CC7" w:rsidRPr="00CE1978">
        <w:rPr>
          <w:rFonts w:ascii="Times New Roman" w:eastAsia="Times New Roman" w:hAnsi="Times New Roman" w:cs="Times New Roman"/>
          <w:color w:val="000000" w:themeColor="text1"/>
          <w:sz w:val="24"/>
          <w:szCs w:val="24"/>
        </w:rPr>
        <w:t xml:space="preserve"> będzie można wskazać, że:</w:t>
      </w:r>
    </w:p>
    <w:p w14:paraId="052B44C3" w14:textId="77777777" w:rsidR="002A5CC7" w:rsidRPr="00CE1978" w:rsidRDefault="002A5CC7" w:rsidP="00F91F34">
      <w:pPr>
        <w:pStyle w:val="Akapitzlist"/>
        <w:numPr>
          <w:ilvl w:val="0"/>
          <w:numId w:val="7"/>
        </w:numPr>
        <w:shd w:val="clear" w:color="auto" w:fill="FFFFFF" w:themeFill="background1"/>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przedsiębiorca może doprowadzić sieć aż do takiego miejsca w budynku (ewentualnie poza nim), w którym będą zbiegać się wszystkie jego przyszłe kable/włókna z danego budynku,</w:t>
      </w:r>
    </w:p>
    <w:p w14:paraId="67F9941A" w14:textId="419C4279" w:rsidR="002A5CC7" w:rsidRPr="00CE1978" w:rsidRDefault="002A5CC7" w:rsidP="00F91F34">
      <w:pPr>
        <w:pStyle w:val="Akapitzlist"/>
        <w:numPr>
          <w:ilvl w:val="0"/>
          <w:numId w:val="7"/>
        </w:numPr>
        <w:shd w:val="clear" w:color="auto" w:fill="FFFFFF" w:themeFill="background1"/>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przedsiębiorca może bezwarunkowo doprowadzić sieć aż do takiego miejsca w budynku (ewentualnie poza nim), w którym będzie mógł skorzystać z okablowania rozprowadzonego po budynku (przez innego pr</w:t>
      </w:r>
      <w:r w:rsidR="006070AC" w:rsidRPr="00CE1978">
        <w:rPr>
          <w:rFonts w:ascii="Times New Roman" w:eastAsia="Times New Roman" w:hAnsi="Times New Roman" w:cs="Times New Roman"/>
          <w:color w:val="000000" w:themeColor="text1"/>
          <w:sz w:val="24"/>
          <w:szCs w:val="24"/>
        </w:rPr>
        <w:t>zedsiębiorcę bądź inny podmiot),</w:t>
      </w:r>
    </w:p>
    <w:p w14:paraId="6CB38A2D" w14:textId="77777777" w:rsidR="002A5CC7" w:rsidRPr="00CE1978" w:rsidRDefault="002A5CC7" w:rsidP="00F91F34">
      <w:pPr>
        <w:pStyle w:val="Akapitzlist"/>
        <w:numPr>
          <w:ilvl w:val="0"/>
          <w:numId w:val="7"/>
        </w:numPr>
        <w:shd w:val="clear" w:color="auto" w:fill="FFFFFF" w:themeFill="background1"/>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sposób doprowadzenia łącza do abonenta (tj. cała analiza dostępności wewnątrzbudynkowej infrastruktury technicznej, ewentualny wymóg zgody abonenta) zaczyna się od tego jednego miejsca w budynku.</w:t>
      </w:r>
    </w:p>
    <w:p w14:paraId="3EC8CD4B" w14:textId="3DF77970" w:rsidR="75B895FB" w:rsidRPr="00532F3A" w:rsidRDefault="75B895FB" w:rsidP="00F91F34">
      <w:pPr>
        <w:shd w:val="clear" w:color="auto" w:fill="FFFFFF" w:themeFill="background1"/>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Proponowane </w:t>
      </w:r>
      <w:r w:rsidR="00AD784C" w:rsidRPr="00CE1978">
        <w:rPr>
          <w:rFonts w:ascii="Times New Roman" w:eastAsia="Times New Roman" w:hAnsi="Times New Roman" w:cs="Times New Roman"/>
          <w:color w:val="000000" w:themeColor="text1"/>
          <w:sz w:val="24"/>
          <w:szCs w:val="24"/>
        </w:rPr>
        <w:t>zmiany</w:t>
      </w:r>
      <w:r w:rsidRPr="00CE1978">
        <w:rPr>
          <w:rFonts w:ascii="Times New Roman" w:eastAsia="Times New Roman" w:hAnsi="Times New Roman" w:cs="Times New Roman"/>
          <w:color w:val="000000" w:themeColor="text1"/>
          <w:sz w:val="24"/>
          <w:szCs w:val="24"/>
        </w:rPr>
        <w:t xml:space="preserve"> odnoszą się do definicji miejsca dostępu oraz wewnątrzbudynkowej infrastruktury technicznej wprowadzonych na gruncie niniejszej nowelizacji. Zgodnie z proponowaną treścią art. 30 ust. 1 Megaustawy, właściciel, użytkownik wieczysty lub zarządca nieruchomości</w:t>
      </w:r>
      <w:r w:rsidR="007C7803" w:rsidRPr="00F91F34">
        <w:rPr>
          <w:rFonts w:ascii="Times New Roman" w:hAnsi="Times New Roman" w:cs="Times New Roman"/>
          <w:sz w:val="24"/>
          <w:szCs w:val="24"/>
        </w:rPr>
        <w:t>,</w:t>
      </w:r>
      <w:r w:rsidR="007C7803" w:rsidRPr="00F91F34">
        <w:rPr>
          <w:rFonts w:ascii="Times New Roman" w:hAnsi="Times New Roman" w:cs="Times New Roman"/>
          <w:b/>
          <w:i/>
          <w:sz w:val="24"/>
          <w:szCs w:val="24"/>
        </w:rPr>
        <w:t xml:space="preserve"> </w:t>
      </w:r>
      <w:r w:rsidR="007C7803" w:rsidRPr="00F91F34">
        <w:rPr>
          <w:rFonts w:ascii="Times New Roman" w:hAnsi="Times New Roman" w:cs="Times New Roman"/>
          <w:sz w:val="24"/>
          <w:szCs w:val="24"/>
        </w:rPr>
        <w:t>z</w:t>
      </w:r>
      <w:r w:rsidR="007C7803" w:rsidRPr="00532F3A">
        <w:rPr>
          <w:rFonts w:ascii="Times New Roman" w:hAnsi="Times New Roman" w:cs="Times New Roman"/>
          <w:sz w:val="24"/>
          <w:szCs w:val="24"/>
        </w:rPr>
        <w:t xml:space="preserve"> wy</w:t>
      </w:r>
      <w:r w:rsidR="007C7803" w:rsidRPr="00F91F34">
        <w:rPr>
          <w:rFonts w:ascii="Times New Roman" w:hAnsi="Times New Roman" w:cs="Times New Roman"/>
          <w:sz w:val="24"/>
          <w:szCs w:val="24"/>
        </w:rPr>
        <w:t>łączeniem</w:t>
      </w:r>
      <w:r w:rsidR="007C7803" w:rsidRPr="00532F3A">
        <w:rPr>
          <w:rFonts w:ascii="Times New Roman" w:hAnsi="Times New Roman" w:cs="Times New Roman"/>
          <w:sz w:val="24"/>
          <w:szCs w:val="24"/>
        </w:rPr>
        <w:t xml:space="preserve"> użytkownika rządowego, o którym mowa w art. 2 pkt 87 lit. a, </w:t>
      </w:r>
      <w:r w:rsidR="007C7803" w:rsidRPr="00532F3A">
        <w:rPr>
          <w:rFonts w:ascii="Times New Roman" w:hAnsi="Times New Roman" w:cs="Times New Roman"/>
          <w:sz w:val="24"/>
          <w:szCs w:val="24"/>
        </w:rPr>
        <w:lastRenderedPageBreak/>
        <w:t xml:space="preserve">b, d, e, g oraz h ustawy </w:t>
      </w:r>
      <w:r w:rsidR="00E86A0E" w:rsidRPr="00532F3A">
        <w:rPr>
          <w:rFonts w:ascii="Times New Roman" w:eastAsia="Times New Roman" w:hAnsi="Times New Roman" w:cs="Times New Roman"/>
          <w:color w:val="000000" w:themeColor="text1"/>
          <w:sz w:val="24"/>
          <w:szCs w:val="24"/>
        </w:rPr>
        <w:t xml:space="preserve">– </w:t>
      </w:r>
      <w:r w:rsidR="007C7803" w:rsidRPr="00532F3A">
        <w:rPr>
          <w:rFonts w:ascii="Times New Roman" w:hAnsi="Times New Roman" w:cs="Times New Roman"/>
          <w:sz w:val="24"/>
          <w:szCs w:val="24"/>
        </w:rPr>
        <w:t>Prawo komunikacji elektronicznej</w:t>
      </w:r>
      <w:r w:rsidR="007C7803" w:rsidRPr="00F91F34">
        <w:rPr>
          <w:rFonts w:ascii="Times New Roman" w:hAnsi="Times New Roman" w:cs="Times New Roman"/>
          <w:sz w:val="24"/>
          <w:szCs w:val="24"/>
        </w:rPr>
        <w:t>,</w:t>
      </w:r>
      <w:r w:rsidRPr="00532F3A">
        <w:rPr>
          <w:rFonts w:ascii="Times New Roman" w:eastAsia="Times New Roman" w:hAnsi="Times New Roman" w:cs="Times New Roman"/>
          <w:color w:val="000000" w:themeColor="text1"/>
          <w:sz w:val="24"/>
          <w:szCs w:val="24"/>
        </w:rPr>
        <w:t xml:space="preserve"> jest zobowiązany zapewnić dostęp polegający na:</w:t>
      </w:r>
    </w:p>
    <w:p w14:paraId="38789448" w14:textId="1A52F6A1" w:rsidR="75B895FB" w:rsidRPr="00532F3A" w:rsidRDefault="75B895FB"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umożliwieniu doprowadzenia szybkiej sieci telekomunikacyjnej wraz z powiązanymi zasobami, w tym infrastrukturą techniczną, aż do miejsca dostępu</w:t>
      </w:r>
      <w:r w:rsidR="00B65E7B" w:rsidRPr="00532F3A">
        <w:rPr>
          <w:rFonts w:ascii="Times New Roman" w:eastAsia="Times New Roman" w:hAnsi="Times New Roman" w:cs="Times New Roman"/>
          <w:color w:val="000000" w:themeColor="text1"/>
          <w:sz w:val="24"/>
          <w:szCs w:val="24"/>
        </w:rPr>
        <w:t>. W stosunku do dotychczasowego uprawnienia związanego z możliwością doprowadzenia przyłącza telekomunikacyjnego, należy podkreślić, że „miejsce dostępu”, może znajdować się w obiekcie budowlanym lub poza nim</w:t>
      </w:r>
      <w:r w:rsidR="00B65E7B" w:rsidRPr="00CE1978">
        <w:rPr>
          <w:rFonts w:ascii="Times New Roman" w:eastAsia="Times New Roman" w:hAnsi="Times New Roman" w:cs="Times New Roman"/>
          <w:color w:val="000000" w:themeColor="text1"/>
          <w:sz w:val="24"/>
          <w:szCs w:val="24"/>
        </w:rPr>
        <w:t xml:space="preserve">. Użyte pojęcie „powiązanych zasobów” ma swoją legalną definicję w art. 2 pkt </w:t>
      </w:r>
      <w:r w:rsidR="00652709" w:rsidRPr="00CE1978">
        <w:rPr>
          <w:rFonts w:ascii="Times New Roman" w:eastAsia="Times New Roman" w:hAnsi="Times New Roman" w:cs="Times New Roman"/>
          <w:color w:val="000000" w:themeColor="text1"/>
          <w:sz w:val="24"/>
          <w:szCs w:val="24"/>
        </w:rPr>
        <w:t xml:space="preserve">38 </w:t>
      </w:r>
      <w:r w:rsidR="00B65E7B" w:rsidRPr="00C10C7D">
        <w:rPr>
          <w:rFonts w:ascii="Times New Roman" w:eastAsia="Times New Roman" w:hAnsi="Times New Roman" w:cs="Times New Roman"/>
          <w:color w:val="000000" w:themeColor="text1"/>
          <w:sz w:val="24"/>
          <w:szCs w:val="24"/>
        </w:rPr>
        <w:t>Pke, zgodnie z którą na powiązane zasoby składa się również okablowanie pomiędzy zakończeniami sieci w obiekcie budowlanym a najbliższym punktem dystrybucji, anteny i urządzenia</w:t>
      </w:r>
      <w:r w:rsidR="00532F3A">
        <w:rPr>
          <w:rFonts w:ascii="Times New Roman" w:eastAsia="Times New Roman" w:hAnsi="Times New Roman" w:cs="Times New Roman"/>
          <w:color w:val="000000" w:themeColor="text1"/>
          <w:sz w:val="24"/>
          <w:szCs w:val="24"/>
        </w:rPr>
        <w:t xml:space="preserve"> </w:t>
      </w:r>
      <w:r w:rsidR="00B65E7B" w:rsidRPr="00532F3A">
        <w:rPr>
          <w:rFonts w:ascii="Times New Roman" w:eastAsia="Times New Roman" w:hAnsi="Times New Roman" w:cs="Times New Roman"/>
          <w:color w:val="000000" w:themeColor="text1"/>
          <w:sz w:val="24"/>
          <w:szCs w:val="24"/>
        </w:rPr>
        <w:t>powiązane</w:t>
      </w:r>
      <w:r w:rsidR="00532F3A">
        <w:rPr>
          <w:rFonts w:ascii="Times New Roman" w:eastAsia="Times New Roman" w:hAnsi="Times New Roman" w:cs="Times New Roman"/>
          <w:color w:val="000000" w:themeColor="text1"/>
          <w:sz w:val="24"/>
          <w:szCs w:val="24"/>
        </w:rPr>
        <w:t xml:space="preserve"> </w:t>
      </w:r>
      <w:r w:rsidR="00B65E7B" w:rsidRPr="00532F3A">
        <w:rPr>
          <w:rFonts w:ascii="Times New Roman" w:eastAsia="Times New Roman" w:hAnsi="Times New Roman" w:cs="Times New Roman"/>
          <w:color w:val="000000" w:themeColor="text1"/>
          <w:sz w:val="24"/>
          <w:szCs w:val="24"/>
        </w:rPr>
        <w:t>z siecią telekomunikacyjną lub usługami</w:t>
      </w:r>
      <w:r w:rsidR="00532F3A">
        <w:rPr>
          <w:rFonts w:ascii="Times New Roman" w:eastAsia="Times New Roman" w:hAnsi="Times New Roman" w:cs="Times New Roman"/>
          <w:color w:val="000000" w:themeColor="text1"/>
          <w:sz w:val="24"/>
          <w:szCs w:val="24"/>
        </w:rPr>
        <w:t xml:space="preserve"> </w:t>
      </w:r>
      <w:r w:rsidR="00B65E7B" w:rsidRPr="00532F3A">
        <w:rPr>
          <w:rFonts w:ascii="Times New Roman" w:eastAsia="Times New Roman" w:hAnsi="Times New Roman" w:cs="Times New Roman"/>
          <w:color w:val="000000" w:themeColor="text1"/>
          <w:sz w:val="24"/>
          <w:szCs w:val="24"/>
        </w:rPr>
        <w:t>komunikacji elektronicznej, które umożliwiają lub wspierają dostarczanie usług za pośrednictwem tych sieci lub usług,</w:t>
      </w:r>
      <w:r w:rsidR="00532F3A">
        <w:rPr>
          <w:rFonts w:ascii="Times New Roman" w:eastAsia="Times New Roman" w:hAnsi="Times New Roman" w:cs="Times New Roman"/>
          <w:color w:val="000000" w:themeColor="text1"/>
          <w:sz w:val="24"/>
          <w:szCs w:val="24"/>
        </w:rPr>
        <w:t xml:space="preserve"> </w:t>
      </w:r>
      <w:r w:rsidR="00B65E7B" w:rsidRPr="00532F3A">
        <w:rPr>
          <w:rFonts w:ascii="Times New Roman" w:eastAsia="Times New Roman" w:hAnsi="Times New Roman" w:cs="Times New Roman"/>
          <w:color w:val="000000" w:themeColor="text1"/>
          <w:sz w:val="24"/>
          <w:szCs w:val="24"/>
        </w:rPr>
        <w:t>które mogą służyć do tego celu</w:t>
      </w:r>
      <w:r w:rsidR="006070AC" w:rsidRPr="00532F3A">
        <w:rPr>
          <w:rFonts w:ascii="Times New Roman" w:eastAsia="Times New Roman" w:hAnsi="Times New Roman" w:cs="Times New Roman"/>
          <w:color w:val="000000" w:themeColor="text1"/>
          <w:sz w:val="24"/>
          <w:szCs w:val="24"/>
        </w:rPr>
        <w:t>,</w:t>
      </w:r>
    </w:p>
    <w:p w14:paraId="04DD666D" w14:textId="2E7DFE8B" w:rsidR="75B895FB" w:rsidRPr="00532F3A" w:rsidRDefault="75B895FB"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umożliwieniu doprowadzenia szybkiej sieci telekomunikacyjnej wraz z powiązanymi zasobami dalej niż do miejsca dostępu, </w:t>
      </w:r>
      <w:r w:rsidR="00B83ECE" w:rsidRPr="00C10C7D">
        <w:rPr>
          <w:rFonts w:ascii="Times New Roman" w:eastAsia="Times New Roman" w:hAnsi="Times New Roman" w:cs="Times New Roman"/>
          <w:color w:val="000000" w:themeColor="text1"/>
          <w:sz w:val="24"/>
          <w:szCs w:val="24"/>
        </w:rPr>
        <w:t xml:space="preserve">pod warunkiem, że </w:t>
      </w:r>
      <w:r w:rsidRPr="00C10C7D">
        <w:rPr>
          <w:rFonts w:ascii="Times New Roman" w:eastAsia="Times New Roman" w:hAnsi="Times New Roman" w:cs="Times New Roman"/>
          <w:color w:val="000000" w:themeColor="text1"/>
          <w:sz w:val="24"/>
          <w:szCs w:val="24"/>
        </w:rPr>
        <w:t>elementy tej sieci wraz z</w:t>
      </w:r>
      <w:r w:rsidR="00532F3A">
        <w:rPr>
          <w:rFonts w:ascii="Times New Roman" w:eastAsia="Times New Roman" w:hAnsi="Times New Roman" w:cs="Times New Roman"/>
          <w:color w:val="000000" w:themeColor="text1"/>
          <w:sz w:val="24"/>
          <w:szCs w:val="24"/>
        </w:rPr>
        <w:t xml:space="preserve"> </w:t>
      </w:r>
      <w:r w:rsidRPr="00532F3A">
        <w:rPr>
          <w:rFonts w:ascii="Times New Roman" w:eastAsia="Times New Roman" w:hAnsi="Times New Roman" w:cs="Times New Roman"/>
          <w:color w:val="000000" w:themeColor="text1"/>
          <w:sz w:val="24"/>
          <w:szCs w:val="24"/>
        </w:rPr>
        <w:t>powiązanymi zasobami zostaną umieszczone w istniejącej wewnątrzbudynkowej infrastrukturze technicznej, a jeśli brak jest takiej dostępnej infrastruktury, to wówczas gdy użytkownik końcow</w:t>
      </w:r>
      <w:r w:rsidR="00A81C3F" w:rsidRPr="00532F3A">
        <w:rPr>
          <w:rFonts w:ascii="Times New Roman" w:eastAsia="Times New Roman" w:hAnsi="Times New Roman" w:cs="Times New Roman"/>
          <w:color w:val="000000" w:themeColor="text1"/>
          <w:sz w:val="24"/>
          <w:szCs w:val="24"/>
        </w:rPr>
        <w:t>y, który</w:t>
      </w:r>
      <w:r w:rsidR="00B83ECE" w:rsidRPr="00532F3A">
        <w:rPr>
          <w:rFonts w:ascii="Times New Roman" w:eastAsia="Times New Roman" w:hAnsi="Times New Roman" w:cs="Times New Roman"/>
          <w:color w:val="000000" w:themeColor="text1"/>
          <w:sz w:val="24"/>
          <w:szCs w:val="24"/>
        </w:rPr>
        <w:t xml:space="preserve"> nie </w:t>
      </w:r>
      <w:r w:rsidR="00A81C3F" w:rsidRPr="00532F3A">
        <w:rPr>
          <w:rFonts w:ascii="Times New Roman" w:eastAsia="Times New Roman" w:hAnsi="Times New Roman" w:cs="Times New Roman"/>
          <w:color w:val="000000" w:themeColor="text1"/>
          <w:sz w:val="24"/>
          <w:szCs w:val="24"/>
        </w:rPr>
        <w:t xml:space="preserve">posiada </w:t>
      </w:r>
      <w:r w:rsidR="00B83ECE" w:rsidRPr="00532F3A">
        <w:rPr>
          <w:rFonts w:ascii="Times New Roman" w:eastAsia="Times New Roman" w:hAnsi="Times New Roman" w:cs="Times New Roman"/>
          <w:color w:val="000000" w:themeColor="text1"/>
          <w:sz w:val="24"/>
          <w:szCs w:val="24"/>
        </w:rPr>
        <w:t>przyłączenia do szybkiej sieci</w:t>
      </w:r>
      <w:r w:rsidR="00A81C3F" w:rsidRPr="00532F3A">
        <w:rPr>
          <w:rFonts w:ascii="Times New Roman" w:eastAsia="Times New Roman" w:hAnsi="Times New Roman" w:cs="Times New Roman"/>
          <w:color w:val="000000" w:themeColor="text1"/>
          <w:sz w:val="24"/>
          <w:szCs w:val="24"/>
        </w:rPr>
        <w:t xml:space="preserve"> odpowiadającej jego potrzebom</w:t>
      </w:r>
      <w:r w:rsidR="00B83ECE" w:rsidRPr="00CE1978">
        <w:rPr>
          <w:rFonts w:ascii="Times New Roman" w:eastAsia="Times New Roman" w:hAnsi="Times New Roman" w:cs="Times New Roman"/>
          <w:color w:val="000000" w:themeColor="text1"/>
          <w:sz w:val="24"/>
          <w:szCs w:val="24"/>
        </w:rPr>
        <w:t>,</w:t>
      </w:r>
      <w:r w:rsidR="00A81C3F" w:rsidRPr="00C10C7D">
        <w:rPr>
          <w:rFonts w:ascii="Times New Roman" w:eastAsia="Times New Roman" w:hAnsi="Times New Roman" w:cs="Times New Roman"/>
          <w:color w:val="000000" w:themeColor="text1"/>
          <w:sz w:val="24"/>
          <w:szCs w:val="24"/>
        </w:rPr>
        <w:t xml:space="preserve"> </w:t>
      </w:r>
      <w:r w:rsidR="00B83ECE" w:rsidRPr="00C10C7D">
        <w:rPr>
          <w:rFonts w:ascii="Times New Roman" w:eastAsia="Times New Roman" w:hAnsi="Times New Roman" w:cs="Times New Roman"/>
          <w:color w:val="000000" w:themeColor="text1"/>
          <w:sz w:val="24"/>
          <w:szCs w:val="24"/>
        </w:rPr>
        <w:t>wyraził na to zgodę</w:t>
      </w:r>
      <w:r w:rsidRPr="00C10C7D">
        <w:rPr>
          <w:rFonts w:ascii="Times New Roman" w:eastAsia="Times New Roman" w:hAnsi="Times New Roman" w:cs="Times New Roman"/>
          <w:color w:val="000000" w:themeColor="text1"/>
          <w:sz w:val="24"/>
          <w:szCs w:val="24"/>
        </w:rPr>
        <w:t xml:space="preserve"> lub gdy przedsiębiorca telekomunikacyjny wykona wewnątrzbudynkową infrastrukturę techniczną przystosowaną do</w:t>
      </w:r>
      <w:r w:rsidR="00532F3A">
        <w:rPr>
          <w:rFonts w:ascii="Times New Roman" w:eastAsia="Times New Roman" w:hAnsi="Times New Roman" w:cs="Times New Roman"/>
          <w:color w:val="000000" w:themeColor="text1"/>
          <w:sz w:val="24"/>
          <w:szCs w:val="24"/>
        </w:rPr>
        <w:t xml:space="preserve"> </w:t>
      </w:r>
      <w:r w:rsidRPr="00532F3A">
        <w:rPr>
          <w:rFonts w:ascii="Times New Roman" w:eastAsia="Times New Roman" w:hAnsi="Times New Roman" w:cs="Times New Roman"/>
          <w:color w:val="000000" w:themeColor="text1"/>
          <w:sz w:val="24"/>
          <w:szCs w:val="24"/>
        </w:rPr>
        <w:t>umieszczenia w niej lub na niej dodatkowych elementów sieci telekomunikacyjnej oraz powiązanych zasobów przez innych przedsiębiorców telekomunikacyjnych</w:t>
      </w:r>
      <w:r w:rsidR="00B65E7B" w:rsidRPr="00532F3A">
        <w:rPr>
          <w:rFonts w:ascii="Times New Roman" w:eastAsia="Times New Roman" w:hAnsi="Times New Roman" w:cs="Times New Roman"/>
          <w:color w:val="000000" w:themeColor="text1"/>
          <w:sz w:val="24"/>
          <w:szCs w:val="24"/>
        </w:rPr>
        <w:t>,</w:t>
      </w:r>
    </w:p>
    <w:p w14:paraId="3CAF1606" w14:textId="7525EA34" w:rsidR="75B895FB" w:rsidRPr="00C10C7D" w:rsidRDefault="75B895FB"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umożliwieniu korzystania z miejsca dostępu</w:t>
      </w:r>
      <w:r w:rsidR="006070AC" w:rsidRPr="00C10C7D">
        <w:rPr>
          <w:rFonts w:ascii="Times New Roman" w:eastAsia="Times New Roman" w:hAnsi="Times New Roman" w:cs="Times New Roman"/>
          <w:color w:val="000000" w:themeColor="text1"/>
          <w:sz w:val="24"/>
          <w:szCs w:val="24"/>
        </w:rPr>
        <w:t>,</w:t>
      </w:r>
    </w:p>
    <w:p w14:paraId="23ECC763" w14:textId="15B16A32" w:rsidR="75B895FB" w:rsidRPr="00C10C7D" w:rsidRDefault="75B895FB"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umożliwieniu utrzymywania, eksploatacji, przebudowy lub remontu elementów sieci telekomunikacyjnej oraz powiązanych zasobów będących własnością tego przedsiębiorcy telekomunikacyjnego</w:t>
      </w:r>
      <w:r w:rsidR="00B83ECE" w:rsidRPr="00C10C7D">
        <w:rPr>
          <w:rFonts w:ascii="Times New Roman" w:eastAsia="Times New Roman" w:hAnsi="Times New Roman" w:cs="Times New Roman"/>
          <w:color w:val="000000" w:themeColor="text1"/>
          <w:sz w:val="24"/>
          <w:szCs w:val="24"/>
        </w:rPr>
        <w:t xml:space="preserve"> lub z których korzysta na podstawie innego tytułu prawnego</w:t>
      </w:r>
      <w:r w:rsidR="006070AC" w:rsidRPr="00C10C7D">
        <w:rPr>
          <w:rFonts w:ascii="Times New Roman" w:eastAsia="Times New Roman" w:hAnsi="Times New Roman" w:cs="Times New Roman"/>
          <w:color w:val="000000" w:themeColor="text1"/>
          <w:sz w:val="24"/>
          <w:szCs w:val="24"/>
        </w:rPr>
        <w:t>,</w:t>
      </w:r>
    </w:p>
    <w:p w14:paraId="4DA9E752" w14:textId="77777777" w:rsidR="00B83ECE" w:rsidRPr="00C10C7D" w:rsidRDefault="75B895FB"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color w:val="000000" w:themeColor="text1"/>
          <w:sz w:val="24"/>
          <w:szCs w:val="24"/>
        </w:rPr>
        <w:t xml:space="preserve">umożliwieniu wejścia na teren nieruchomości, w tym do budynku, w zakresie niezbędnym do korzystania z </w:t>
      </w:r>
      <w:r w:rsidR="00B83ECE" w:rsidRPr="00C10C7D">
        <w:rPr>
          <w:rFonts w:ascii="Times New Roman" w:eastAsia="Times New Roman" w:hAnsi="Times New Roman" w:cs="Times New Roman"/>
          <w:color w:val="000000" w:themeColor="text1"/>
          <w:sz w:val="24"/>
          <w:szCs w:val="24"/>
        </w:rPr>
        <w:t xml:space="preserve">ww. form </w:t>
      </w:r>
      <w:r w:rsidRPr="00C10C7D">
        <w:rPr>
          <w:rFonts w:ascii="Times New Roman" w:eastAsia="Times New Roman" w:hAnsi="Times New Roman" w:cs="Times New Roman"/>
          <w:color w:val="000000" w:themeColor="text1"/>
          <w:sz w:val="24"/>
          <w:szCs w:val="24"/>
        </w:rPr>
        <w:t>dostępu</w:t>
      </w:r>
      <w:r w:rsidR="00B83ECE" w:rsidRPr="00C10C7D">
        <w:rPr>
          <w:rFonts w:ascii="Times New Roman" w:eastAsia="Times New Roman" w:hAnsi="Times New Roman" w:cs="Times New Roman"/>
          <w:color w:val="000000" w:themeColor="text1"/>
          <w:sz w:val="24"/>
          <w:szCs w:val="24"/>
        </w:rPr>
        <w:t>.</w:t>
      </w:r>
    </w:p>
    <w:p w14:paraId="0A1C2423" w14:textId="297468BD" w:rsidR="00BF2EC1" w:rsidRPr="00CE1978" w:rsidRDefault="00BF2EC1" w:rsidP="00F91F34">
      <w:pPr>
        <w:shd w:val="clear" w:color="auto" w:fill="FFFFFF" w:themeFill="background1"/>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Omówiony obowiązek zapewnienia dostępu na rzecz przedsiębiorcy telekomunikacyjnego jest związany z celem, któremu ma służyć, tj. zapewnianiu telekomunikacji, wyłącznie w budynku na tej nieruchomości (art. 30 ust. 1 Megaustawy) oraz – co nie było przewidziane w dotychczasowej regulacji, ale jest uzasadnione – gdy ma to służyć zapewnieniu telekomunikacji w budynku na sąsiedniej nieruchomości, której właścicielem, użytkownikiem wieczystym lub </w:t>
      </w:r>
      <w:r w:rsidRPr="00C10C7D">
        <w:rPr>
          <w:rFonts w:ascii="Times New Roman" w:eastAsia="Times New Roman" w:hAnsi="Times New Roman" w:cs="Times New Roman"/>
          <w:color w:val="000000" w:themeColor="text1"/>
          <w:sz w:val="24"/>
          <w:szCs w:val="24"/>
        </w:rPr>
        <w:lastRenderedPageBreak/>
        <w:t>zarządcą</w:t>
      </w:r>
      <w:r w:rsidR="007C7803" w:rsidRPr="00C10C7D">
        <w:rPr>
          <w:rFonts w:ascii="Times New Roman" w:eastAsia="Times New Roman" w:hAnsi="Times New Roman" w:cs="Times New Roman"/>
          <w:color w:val="000000" w:themeColor="text1"/>
          <w:sz w:val="24"/>
          <w:szCs w:val="24"/>
        </w:rPr>
        <w:t xml:space="preserve">, z wyłączeniem użytkownika rządowego, o którym mowa w art. 2 pkt 87 lit. a, b, d, e, g oraz h ustawy </w:t>
      </w:r>
      <w:r w:rsidR="00E86A0E" w:rsidRPr="00C10C7D">
        <w:rPr>
          <w:rFonts w:ascii="Times New Roman" w:eastAsia="Times New Roman" w:hAnsi="Times New Roman" w:cs="Times New Roman"/>
          <w:color w:val="000000" w:themeColor="text1"/>
          <w:sz w:val="24"/>
          <w:szCs w:val="24"/>
        </w:rPr>
        <w:t xml:space="preserve">– </w:t>
      </w:r>
      <w:r w:rsidR="007C7803" w:rsidRPr="00C10C7D">
        <w:rPr>
          <w:rFonts w:ascii="Times New Roman" w:eastAsia="Times New Roman" w:hAnsi="Times New Roman" w:cs="Times New Roman"/>
          <w:color w:val="000000" w:themeColor="text1"/>
          <w:sz w:val="24"/>
          <w:szCs w:val="24"/>
        </w:rPr>
        <w:t>Prawo komunikacji elektronicznej,</w:t>
      </w:r>
      <w:r w:rsidRPr="00CE1978">
        <w:rPr>
          <w:rFonts w:ascii="Times New Roman" w:eastAsia="Times New Roman" w:hAnsi="Times New Roman" w:cs="Times New Roman"/>
          <w:color w:val="000000" w:themeColor="text1"/>
          <w:sz w:val="24"/>
          <w:szCs w:val="24"/>
        </w:rPr>
        <w:t xml:space="preserve"> jest ten sam podmiot (art. 30 ust. 1a w brzmieniu nadanym niniejszą nowelizacją).</w:t>
      </w:r>
    </w:p>
    <w:p w14:paraId="74A3030A" w14:textId="13AFEF26" w:rsidR="00A40FDA" w:rsidRPr="00532F3A" w:rsidRDefault="00A40FDA" w:rsidP="00F91F34">
      <w:pPr>
        <w:pStyle w:val="ARTartustawynprozporzdzenia"/>
        <w:ind w:firstLine="0"/>
        <w:rPr>
          <w:rFonts w:ascii="Times New Roman" w:hAnsi="Times New Roman" w:cs="Times New Roman"/>
          <w:color w:val="000000" w:themeColor="text1"/>
          <w:szCs w:val="24"/>
        </w:rPr>
      </w:pPr>
      <w:r w:rsidRPr="00CE1978">
        <w:rPr>
          <w:rFonts w:ascii="Times New Roman" w:hAnsi="Times New Roman" w:cs="Times New Roman"/>
          <w:color w:val="000000" w:themeColor="text1"/>
          <w:szCs w:val="24"/>
        </w:rPr>
        <w:t>Zgodnie z nowym brzmieniem art. 30 ust. 1a</w:t>
      </w:r>
      <w:r w:rsidR="00984C40" w:rsidRPr="00CE1978">
        <w:rPr>
          <w:rFonts w:ascii="Times New Roman" w:hAnsi="Times New Roman" w:cs="Times New Roman"/>
          <w:color w:val="000000" w:themeColor="text1"/>
          <w:szCs w:val="24"/>
        </w:rPr>
        <w:t xml:space="preserve"> Megaust</w:t>
      </w:r>
      <w:r w:rsidR="007D0EFE" w:rsidRPr="00CE1978">
        <w:rPr>
          <w:rFonts w:ascii="Times New Roman" w:hAnsi="Times New Roman" w:cs="Times New Roman"/>
          <w:color w:val="000000" w:themeColor="text1"/>
          <w:szCs w:val="24"/>
        </w:rPr>
        <w:t>a</w:t>
      </w:r>
      <w:r w:rsidR="00984C40" w:rsidRPr="00CE1978">
        <w:rPr>
          <w:rFonts w:ascii="Times New Roman" w:hAnsi="Times New Roman" w:cs="Times New Roman"/>
          <w:color w:val="000000" w:themeColor="text1"/>
          <w:szCs w:val="24"/>
        </w:rPr>
        <w:t>wy</w:t>
      </w:r>
      <w:r w:rsidRPr="00CE1978">
        <w:rPr>
          <w:rFonts w:ascii="Times New Roman" w:hAnsi="Times New Roman" w:cs="Times New Roman"/>
          <w:color w:val="000000" w:themeColor="text1"/>
          <w:szCs w:val="24"/>
        </w:rPr>
        <w:t>, właściciel, użytkownik wieczysty lub zarządca nieruchomości</w:t>
      </w:r>
      <w:r w:rsidR="007C7803" w:rsidRPr="00F91F34">
        <w:rPr>
          <w:rFonts w:ascii="Times New Roman" w:hAnsi="Times New Roman" w:cs="Times New Roman"/>
          <w:szCs w:val="24"/>
        </w:rPr>
        <w:t>,</w:t>
      </w:r>
      <w:r w:rsidR="007C7803" w:rsidRPr="00532F3A">
        <w:rPr>
          <w:rFonts w:ascii="Times New Roman" w:hAnsi="Times New Roman" w:cs="Times New Roman"/>
          <w:b/>
          <w:i/>
          <w:szCs w:val="24"/>
        </w:rPr>
        <w:t xml:space="preserve"> </w:t>
      </w:r>
      <w:r w:rsidR="007C7803" w:rsidRPr="00532F3A">
        <w:rPr>
          <w:rFonts w:ascii="Times New Roman" w:hAnsi="Times New Roman" w:cs="Times New Roman"/>
          <w:szCs w:val="24"/>
        </w:rPr>
        <w:t xml:space="preserve">z wyłączeniem użytkownika rządowego, o którym mowa w art. 2 pkt 87 lit. a, b, d, e, g oraz h ustawy </w:t>
      </w:r>
      <w:r w:rsidR="00E86A0E" w:rsidRPr="00532F3A">
        <w:rPr>
          <w:rFonts w:ascii="Times New Roman" w:eastAsia="Times New Roman" w:hAnsi="Times New Roman" w:cs="Times New Roman"/>
          <w:color w:val="000000" w:themeColor="text1"/>
          <w:szCs w:val="24"/>
        </w:rPr>
        <w:t xml:space="preserve">– </w:t>
      </w:r>
      <w:r w:rsidR="007C7803" w:rsidRPr="00532F3A">
        <w:rPr>
          <w:rFonts w:ascii="Times New Roman" w:hAnsi="Times New Roman" w:cs="Times New Roman"/>
          <w:szCs w:val="24"/>
        </w:rPr>
        <w:t>Prawo komunikacji elektronicznej,</w:t>
      </w:r>
      <w:r w:rsidRPr="00532F3A">
        <w:rPr>
          <w:rFonts w:ascii="Times New Roman" w:hAnsi="Times New Roman" w:cs="Times New Roman"/>
          <w:color w:val="000000" w:themeColor="text1"/>
          <w:szCs w:val="24"/>
        </w:rPr>
        <w:t xml:space="preserve"> jest obowiązany zapewnić przedsiębiorcy telekomunikacyjnemu dostęp, o którym mowa w ust. 1, także wtedy, gdy ma to służyć zapewnieniu telekomunikacji w budynku na sąsiedniej nieruchomości, której właścicielem, użytkownikiem wieczystym lub zarządcą</w:t>
      </w:r>
      <w:r w:rsidR="007C7803" w:rsidRPr="00F91F34">
        <w:rPr>
          <w:rFonts w:ascii="Times New Roman" w:hAnsi="Times New Roman" w:cs="Times New Roman"/>
          <w:szCs w:val="24"/>
        </w:rPr>
        <w:t>,</w:t>
      </w:r>
      <w:r w:rsidR="007C7803" w:rsidRPr="00532F3A">
        <w:rPr>
          <w:rFonts w:ascii="Times New Roman" w:hAnsi="Times New Roman" w:cs="Times New Roman"/>
          <w:b/>
          <w:i/>
          <w:szCs w:val="24"/>
        </w:rPr>
        <w:t xml:space="preserve"> </w:t>
      </w:r>
      <w:r w:rsidR="007C7803" w:rsidRPr="00532F3A">
        <w:rPr>
          <w:rFonts w:ascii="Times New Roman" w:hAnsi="Times New Roman" w:cs="Times New Roman"/>
          <w:szCs w:val="24"/>
        </w:rPr>
        <w:t xml:space="preserve">z wyłączeniem użytkownika rządowego, o którym mowa w art. 2 pkt 87 lit. a, b, d, e, g oraz h ustawy </w:t>
      </w:r>
      <w:r w:rsidR="00E86A0E" w:rsidRPr="00532F3A">
        <w:rPr>
          <w:rFonts w:ascii="Times New Roman" w:eastAsia="Times New Roman" w:hAnsi="Times New Roman" w:cs="Times New Roman"/>
          <w:color w:val="000000" w:themeColor="text1"/>
          <w:szCs w:val="24"/>
        </w:rPr>
        <w:t xml:space="preserve">– </w:t>
      </w:r>
      <w:r w:rsidR="007C7803" w:rsidRPr="00532F3A">
        <w:rPr>
          <w:rFonts w:ascii="Times New Roman" w:hAnsi="Times New Roman" w:cs="Times New Roman"/>
          <w:szCs w:val="24"/>
        </w:rPr>
        <w:t>Prawo komunikacji elektronicznej,</w:t>
      </w:r>
      <w:r w:rsidRPr="00532F3A">
        <w:rPr>
          <w:rFonts w:ascii="Times New Roman" w:hAnsi="Times New Roman" w:cs="Times New Roman"/>
          <w:color w:val="000000" w:themeColor="text1"/>
          <w:szCs w:val="24"/>
        </w:rPr>
        <w:t xml:space="preserve"> jest ten sam podmiot. Przepis odnosi się do sytuacji, co do których odmienne poglądy uczestników rynku przekładały się na istotną wątpliwość co do właściwego zastosowania pr</w:t>
      </w:r>
      <w:r w:rsidRPr="00CE1978">
        <w:rPr>
          <w:rFonts w:ascii="Times New Roman" w:hAnsi="Times New Roman" w:cs="Times New Roman"/>
          <w:color w:val="000000" w:themeColor="text1"/>
          <w:szCs w:val="24"/>
        </w:rPr>
        <w:t>zepisów art. 30 i art. 33 Megaustawy na kanwie poszczególnych stanów faktycznych. Ustęp 1a przesądza o konieczności wystąpienia tzw. po</w:t>
      </w:r>
      <w:r w:rsidRPr="00C10C7D">
        <w:rPr>
          <w:rFonts w:ascii="Times New Roman" w:hAnsi="Times New Roman" w:cs="Times New Roman"/>
          <w:color w:val="000000" w:themeColor="text1"/>
          <w:szCs w:val="24"/>
        </w:rPr>
        <w:t>dwójnej tożsamości podmiotowej – zarówno po ustronie uprawnionego (ubiegającego lub korzystającego) do dostępu, o którym mowa w</w:t>
      </w:r>
      <w:r w:rsidR="00532F3A">
        <w:rPr>
          <w:rFonts w:ascii="Times New Roman" w:hAnsi="Times New Roman" w:cs="Times New Roman"/>
          <w:color w:val="000000" w:themeColor="text1"/>
          <w:szCs w:val="24"/>
        </w:rPr>
        <w:t xml:space="preserve"> </w:t>
      </w:r>
      <w:r w:rsidRPr="00532F3A">
        <w:rPr>
          <w:rFonts w:ascii="Times New Roman" w:hAnsi="Times New Roman" w:cs="Times New Roman"/>
          <w:color w:val="000000" w:themeColor="text1"/>
          <w:szCs w:val="24"/>
        </w:rPr>
        <w:t>art. 30 ust. 1, jak również zobowiązanego do zapewnienia dostępu.</w:t>
      </w:r>
    </w:p>
    <w:p w14:paraId="2CB89CE8" w14:textId="134D2F71" w:rsidR="00BF2EC1" w:rsidRPr="00C10C7D" w:rsidRDefault="00BF2EC1" w:rsidP="00F91F34">
      <w:pPr>
        <w:shd w:val="clear" w:color="auto" w:fill="FFFFFF" w:themeFill="background1"/>
        <w:spacing w:before="120" w:after="0" w:line="360" w:lineRule="auto"/>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Nowy art. 30 ust. 1aa reguluje tę samą materię co dotychczasowy art. 30 ust. 1</w:t>
      </w:r>
      <w:r w:rsidR="0002777F" w:rsidRPr="00532F3A">
        <w:rPr>
          <w:rFonts w:ascii="Times New Roman" w:eastAsia="Times New Roman" w:hAnsi="Times New Roman" w:cs="Times New Roman"/>
          <w:color w:val="000000" w:themeColor="text1"/>
          <w:sz w:val="24"/>
          <w:szCs w:val="24"/>
        </w:rPr>
        <w:t>a</w:t>
      </w:r>
      <w:r w:rsidRPr="00532F3A">
        <w:rPr>
          <w:rFonts w:ascii="Times New Roman" w:eastAsia="Times New Roman" w:hAnsi="Times New Roman" w:cs="Times New Roman"/>
          <w:color w:val="000000" w:themeColor="text1"/>
          <w:sz w:val="24"/>
          <w:szCs w:val="24"/>
        </w:rPr>
        <w:t xml:space="preserve"> Megaust</w:t>
      </w:r>
      <w:r w:rsidR="003C216C" w:rsidRPr="00532F3A">
        <w:rPr>
          <w:rFonts w:ascii="Times New Roman" w:eastAsia="Times New Roman" w:hAnsi="Times New Roman" w:cs="Times New Roman"/>
          <w:color w:val="000000" w:themeColor="text1"/>
          <w:sz w:val="24"/>
          <w:szCs w:val="24"/>
        </w:rPr>
        <w:t>a</w:t>
      </w:r>
      <w:r w:rsidRPr="00532F3A">
        <w:rPr>
          <w:rFonts w:ascii="Times New Roman" w:eastAsia="Times New Roman" w:hAnsi="Times New Roman" w:cs="Times New Roman"/>
          <w:color w:val="000000" w:themeColor="text1"/>
          <w:sz w:val="24"/>
          <w:szCs w:val="24"/>
        </w:rPr>
        <w:t>wy. Poza oznaczeniem ustępu</w:t>
      </w:r>
      <w:r w:rsidR="00906803" w:rsidRPr="00CE1978">
        <w:rPr>
          <w:rFonts w:ascii="Times New Roman" w:eastAsia="Times New Roman" w:hAnsi="Times New Roman" w:cs="Times New Roman"/>
          <w:color w:val="000000" w:themeColor="text1"/>
          <w:sz w:val="24"/>
          <w:szCs w:val="24"/>
        </w:rPr>
        <w:t xml:space="preserve"> i zmianą części przepisu</w:t>
      </w:r>
      <w:r w:rsidRPr="00C10C7D">
        <w:rPr>
          <w:rFonts w:ascii="Times New Roman" w:eastAsia="Times New Roman" w:hAnsi="Times New Roman" w:cs="Times New Roman"/>
          <w:color w:val="000000" w:themeColor="text1"/>
          <w:sz w:val="24"/>
          <w:szCs w:val="24"/>
        </w:rPr>
        <w:t>, zmiany dotyczą:</w:t>
      </w:r>
    </w:p>
    <w:p w14:paraId="416836F0" w14:textId="3726B450" w:rsidR="00BF2EC1" w:rsidRPr="00C10C7D" w:rsidRDefault="00906803"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uspójnieniu</w:t>
      </w:r>
      <w:r w:rsidR="00BF2EC1" w:rsidRPr="00C10C7D">
        <w:rPr>
          <w:rFonts w:ascii="Times New Roman" w:eastAsia="Times New Roman" w:hAnsi="Times New Roman" w:cs="Times New Roman"/>
          <w:color w:val="000000" w:themeColor="text1"/>
          <w:sz w:val="24"/>
          <w:szCs w:val="24"/>
        </w:rPr>
        <w:t xml:space="preserve"> redakcji </w:t>
      </w:r>
      <w:r w:rsidRPr="00C10C7D">
        <w:rPr>
          <w:rFonts w:ascii="Times New Roman" w:eastAsia="Times New Roman" w:hAnsi="Times New Roman" w:cs="Times New Roman"/>
          <w:color w:val="000000" w:themeColor="text1"/>
          <w:sz w:val="24"/>
          <w:szCs w:val="24"/>
        </w:rPr>
        <w:t xml:space="preserve">przepisów </w:t>
      </w:r>
      <w:r w:rsidR="00BF2EC1" w:rsidRPr="00C10C7D">
        <w:rPr>
          <w:rFonts w:ascii="Times New Roman" w:eastAsia="Times New Roman" w:hAnsi="Times New Roman" w:cs="Times New Roman"/>
          <w:color w:val="000000" w:themeColor="text1"/>
          <w:sz w:val="24"/>
          <w:szCs w:val="24"/>
        </w:rPr>
        <w:t xml:space="preserve">w zakresie pkt </w:t>
      </w:r>
      <w:r w:rsidR="006070AC" w:rsidRPr="00C10C7D">
        <w:rPr>
          <w:rFonts w:ascii="Times New Roman" w:eastAsia="Times New Roman" w:hAnsi="Times New Roman" w:cs="Times New Roman"/>
          <w:color w:val="000000" w:themeColor="text1"/>
          <w:sz w:val="24"/>
          <w:szCs w:val="24"/>
        </w:rPr>
        <w:t>1</w:t>
      </w:r>
      <w:r w:rsidR="0060241B" w:rsidRPr="00C10C7D">
        <w:rPr>
          <w:rFonts w:ascii="Times New Roman" w:eastAsia="Times New Roman" w:hAnsi="Times New Roman" w:cs="Times New Roman"/>
          <w:color w:val="000000" w:themeColor="text1"/>
          <w:sz w:val="24"/>
          <w:szCs w:val="24"/>
        </w:rPr>
        <w:t>–</w:t>
      </w:r>
      <w:r w:rsidR="006070AC" w:rsidRPr="00C10C7D">
        <w:rPr>
          <w:rFonts w:ascii="Times New Roman" w:eastAsia="Times New Roman" w:hAnsi="Times New Roman" w:cs="Times New Roman"/>
          <w:color w:val="000000" w:themeColor="text1"/>
          <w:sz w:val="24"/>
          <w:szCs w:val="24"/>
        </w:rPr>
        <w:t>2,</w:t>
      </w:r>
    </w:p>
    <w:p w14:paraId="56107A0A" w14:textId="79C0B474" w:rsidR="00906803" w:rsidRPr="00C10C7D" w:rsidRDefault="00906803"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uproszczeniu przesłanki, o której mowa w pkt 3</w:t>
      </w:r>
      <w:r w:rsidR="00AC6CF4"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 xml:space="preserve"> </w:t>
      </w:r>
      <w:r w:rsidR="00AC6CF4" w:rsidRPr="00C10C7D">
        <w:rPr>
          <w:rFonts w:ascii="Times New Roman" w:eastAsia="Times New Roman" w:hAnsi="Times New Roman" w:cs="Times New Roman"/>
          <w:color w:val="000000" w:themeColor="text1"/>
          <w:sz w:val="24"/>
          <w:szCs w:val="24"/>
        </w:rPr>
        <w:t>zgodnie z której nowym brzmieniem,</w:t>
      </w:r>
      <w:r w:rsidRPr="00C10C7D">
        <w:rPr>
          <w:rFonts w:ascii="Times New Roman" w:eastAsia="Times New Roman" w:hAnsi="Times New Roman" w:cs="Times New Roman"/>
          <w:color w:val="000000" w:themeColor="text1"/>
          <w:sz w:val="24"/>
          <w:szCs w:val="24"/>
        </w:rPr>
        <w:t xml:space="preserve"> wewnątrzbudynkowa infrastruktura techniczna jest niedostępna, jeżeli warunki dostępu do tej infrastruktury są dyskryminujące lub ekonomicznie nieefektywne dla ubiegającego się o dostęp</w:t>
      </w:r>
      <w:r w:rsidR="006070AC" w:rsidRPr="00C10C7D">
        <w:rPr>
          <w:rFonts w:ascii="Times New Roman" w:eastAsia="Times New Roman" w:hAnsi="Times New Roman" w:cs="Times New Roman"/>
          <w:color w:val="000000" w:themeColor="text1"/>
          <w:sz w:val="24"/>
          <w:szCs w:val="24"/>
        </w:rPr>
        <w:t>,</w:t>
      </w:r>
    </w:p>
    <w:p w14:paraId="5126BE34" w14:textId="77777777" w:rsidR="00B83ECE" w:rsidRPr="00CE1978" w:rsidRDefault="00AC6CF4"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zmiany przesłanki „technologicznej” na bardziej adekwatną, zgodnie z którą wewnątrzbudynkowa in</w:t>
      </w:r>
      <w:r w:rsidRPr="00CE1978">
        <w:rPr>
          <w:rFonts w:ascii="Times New Roman" w:eastAsia="Times New Roman" w:hAnsi="Times New Roman" w:cs="Times New Roman"/>
          <w:color w:val="000000" w:themeColor="text1"/>
          <w:sz w:val="24"/>
          <w:szCs w:val="24"/>
        </w:rPr>
        <w:t xml:space="preserve">frastruktura techniczna jest niedostępna, jeżeli wykorzystanie jej na potrzeby umieszczenia w niej lub na niej elementów szybkiej sieci telekomunikacyjnej wraz z powiązanymi zasobami, zgodnie z zamierzeniem przedsiębiorcy telekomunikacyjnego, jest technicznie niewykonalne. </w:t>
      </w:r>
      <w:r w:rsidR="008F4AF3" w:rsidRPr="00CE1978">
        <w:rPr>
          <w:rFonts w:ascii="Times New Roman" w:eastAsia="Times New Roman" w:hAnsi="Times New Roman" w:cs="Times New Roman"/>
          <w:color w:val="000000" w:themeColor="text1"/>
          <w:sz w:val="24"/>
          <w:szCs w:val="24"/>
        </w:rPr>
        <w:t>W tym zakresie należy zauważyć że jest to rozwiązanie uwzgledniające dotychczasowe uprawnienie do wykonania instalacji telekomunikacyjnej ze względu na „nieodpowiadanie zapotrzebowaniu przedsiębiorcy telekomunikacyjnego” (art. 30 ust. 1 pkt 3 lit. b</w:t>
      </w:r>
      <w:r w:rsidRPr="00CE1978">
        <w:rPr>
          <w:rFonts w:ascii="Times New Roman" w:eastAsia="Times New Roman" w:hAnsi="Times New Roman" w:cs="Times New Roman"/>
          <w:color w:val="000000" w:themeColor="text1"/>
          <w:sz w:val="24"/>
          <w:szCs w:val="24"/>
        </w:rPr>
        <w:t xml:space="preserve"> </w:t>
      </w:r>
      <w:r w:rsidR="008F4AF3" w:rsidRPr="00CE1978">
        <w:rPr>
          <w:rFonts w:ascii="Times New Roman" w:eastAsia="Times New Roman" w:hAnsi="Times New Roman" w:cs="Times New Roman"/>
          <w:color w:val="000000" w:themeColor="text1"/>
          <w:sz w:val="24"/>
          <w:szCs w:val="24"/>
        </w:rPr>
        <w:t>Megaustawy w dotychczasowym brzmieniu).</w:t>
      </w:r>
    </w:p>
    <w:p w14:paraId="684C19E5" w14:textId="7B5AC151" w:rsidR="00114E66" w:rsidRPr="00CE1978" w:rsidRDefault="00114E66"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 xml:space="preserve">Wyłączenie użytkowników rządowych wymienionych w art. 2 pkt 87 lit. a, b, d, e, g oraz h projektu ustawy </w:t>
      </w:r>
      <w:r w:rsidR="00E86A0E" w:rsidRPr="00CE1978">
        <w:rPr>
          <w:rFonts w:ascii="Times New Roman" w:eastAsia="Times New Roman" w:hAnsi="Times New Roman" w:cs="Times New Roman"/>
          <w:color w:val="000000" w:themeColor="text1"/>
          <w:sz w:val="24"/>
          <w:szCs w:val="24"/>
        </w:rPr>
        <w:t>– P</w:t>
      </w:r>
      <w:r w:rsidRPr="00CE1978">
        <w:rPr>
          <w:rFonts w:ascii="Times New Roman" w:eastAsia="Times New Roman" w:hAnsi="Times New Roman" w:cs="Times New Roman"/>
          <w:color w:val="000000" w:themeColor="text1"/>
          <w:sz w:val="24"/>
          <w:szCs w:val="24"/>
        </w:rPr>
        <w:t>rawo komunikacji elektronicznej, wprowadzono na wzór art. 174 tej samej. Budynki, których właścicielem jest administracja rządowa często mogą stanowić infrastrukturę na potrzeby bezpieczeństwa i obronności państwa, dlatego zasadnym jest analogiczne wyłączenie wymogu obligatoryjnego udostępnienia tej infrastruktury przez użytkowników rządowych.</w:t>
      </w:r>
    </w:p>
    <w:p w14:paraId="565BB24C" w14:textId="263CAE24" w:rsidR="75B895FB" w:rsidRPr="00CE1978" w:rsidRDefault="00D15947" w:rsidP="00F91F34">
      <w:pPr>
        <w:spacing w:before="120" w:after="0" w:line="360" w:lineRule="auto"/>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75B895F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75B895FB" w:rsidRPr="00CE1978">
        <w:rPr>
          <w:rFonts w:ascii="Times New Roman" w:eastAsia="Times New Roman" w:hAnsi="Times New Roman" w:cs="Times New Roman"/>
          <w:b/>
          <w:bCs/>
          <w:color w:val="000000" w:themeColor="text1"/>
          <w:sz w:val="24"/>
          <w:szCs w:val="24"/>
        </w:rPr>
        <w:t xml:space="preserve">pkt </w:t>
      </w:r>
      <w:r w:rsidR="00DC4C0F" w:rsidRPr="00CE1978">
        <w:rPr>
          <w:rFonts w:ascii="Times New Roman" w:eastAsia="Times New Roman" w:hAnsi="Times New Roman" w:cs="Times New Roman"/>
          <w:b/>
          <w:bCs/>
          <w:color w:val="000000" w:themeColor="text1"/>
          <w:sz w:val="24"/>
          <w:szCs w:val="24"/>
        </w:rPr>
        <w:t>3</w:t>
      </w:r>
      <w:r w:rsidR="00BD4FE7" w:rsidRPr="00CE1978">
        <w:rPr>
          <w:rFonts w:ascii="Times New Roman" w:eastAsia="Times New Roman" w:hAnsi="Times New Roman" w:cs="Times New Roman"/>
          <w:b/>
          <w:bCs/>
          <w:color w:val="000000" w:themeColor="text1"/>
          <w:sz w:val="24"/>
          <w:szCs w:val="24"/>
        </w:rPr>
        <w:t>1</w:t>
      </w:r>
      <w:r w:rsidR="75B895FB" w:rsidRPr="00CE1978">
        <w:rPr>
          <w:rFonts w:ascii="Times New Roman" w:eastAsia="Times New Roman" w:hAnsi="Times New Roman" w:cs="Times New Roman"/>
          <w:b/>
          <w:bCs/>
          <w:color w:val="000000" w:themeColor="text1"/>
          <w:sz w:val="24"/>
          <w:szCs w:val="24"/>
        </w:rPr>
        <w:t xml:space="preserve"> lit. </w:t>
      </w:r>
      <w:r w:rsidR="00EF1D8B" w:rsidRPr="00CE1978">
        <w:rPr>
          <w:rFonts w:ascii="Times New Roman" w:eastAsia="Times New Roman" w:hAnsi="Times New Roman" w:cs="Times New Roman"/>
          <w:b/>
          <w:bCs/>
          <w:color w:val="000000" w:themeColor="text1"/>
          <w:sz w:val="24"/>
          <w:szCs w:val="24"/>
        </w:rPr>
        <w:t>f</w:t>
      </w:r>
    </w:p>
    <w:p w14:paraId="16D3EC8C" w14:textId="77777777"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Zmiana w art. 30 ust. 3 Megaustawy jest konsekwencją zmian w zakresie definicji oraz </w:t>
      </w:r>
      <w:r w:rsidR="00984DE9" w:rsidRPr="00CE1978">
        <w:rPr>
          <w:rFonts w:ascii="Times New Roman" w:eastAsia="Times New Roman" w:hAnsi="Times New Roman" w:cs="Times New Roman"/>
          <w:color w:val="000000" w:themeColor="text1"/>
          <w:sz w:val="24"/>
          <w:szCs w:val="24"/>
        </w:rPr>
        <w:t xml:space="preserve">rozwiązań </w:t>
      </w:r>
      <w:r w:rsidRPr="00CE1978">
        <w:rPr>
          <w:rFonts w:ascii="Times New Roman" w:eastAsia="Times New Roman" w:hAnsi="Times New Roman" w:cs="Times New Roman"/>
          <w:color w:val="000000" w:themeColor="text1"/>
          <w:sz w:val="24"/>
          <w:szCs w:val="24"/>
        </w:rPr>
        <w:t>wynikających z pr</w:t>
      </w:r>
      <w:r w:rsidR="00984DE9" w:rsidRPr="00CE1978">
        <w:rPr>
          <w:rFonts w:ascii="Times New Roman" w:eastAsia="Times New Roman" w:hAnsi="Times New Roman" w:cs="Times New Roman"/>
          <w:color w:val="000000" w:themeColor="text1"/>
          <w:sz w:val="24"/>
          <w:szCs w:val="24"/>
        </w:rPr>
        <w:t>ojektowanych zmian – nowego</w:t>
      </w:r>
      <w:r w:rsidRPr="00CE1978">
        <w:rPr>
          <w:rFonts w:ascii="Times New Roman" w:eastAsia="Times New Roman" w:hAnsi="Times New Roman" w:cs="Times New Roman"/>
          <w:color w:val="000000" w:themeColor="text1"/>
          <w:sz w:val="24"/>
          <w:szCs w:val="24"/>
        </w:rPr>
        <w:t xml:space="preserve"> brzmienia art. 30 ust. 1 Megaustawy</w:t>
      </w:r>
      <w:r w:rsidR="00984DE9" w:rsidRPr="00CE1978">
        <w:rPr>
          <w:rFonts w:ascii="Times New Roman" w:eastAsia="Times New Roman" w:hAnsi="Times New Roman" w:cs="Times New Roman"/>
          <w:color w:val="000000" w:themeColor="text1"/>
          <w:sz w:val="24"/>
          <w:szCs w:val="24"/>
        </w:rPr>
        <w:t xml:space="preserve"> oraz faktu, że obowiązek zapewnienia dostępu do okablowania, w związku z transpozycją przepisów EKŁE, wynika z Pke</w:t>
      </w:r>
      <w:r w:rsidR="0002777F" w:rsidRPr="00CE1978">
        <w:rPr>
          <w:rFonts w:ascii="Times New Roman" w:eastAsia="Times New Roman" w:hAnsi="Times New Roman" w:cs="Times New Roman"/>
          <w:color w:val="000000" w:themeColor="text1"/>
          <w:sz w:val="24"/>
          <w:szCs w:val="24"/>
        </w:rPr>
        <w:t>.</w:t>
      </w:r>
    </w:p>
    <w:p w14:paraId="6C964DBB" w14:textId="77777777" w:rsidR="00733009" w:rsidRPr="00CE1978" w:rsidRDefault="00733009" w:rsidP="00F91F34">
      <w:pPr>
        <w:spacing w:before="120" w:after="0" w:line="360" w:lineRule="auto"/>
        <w:jc w:val="both"/>
        <w:rPr>
          <w:rFonts w:ascii="Times New Roman" w:eastAsia="Times New Roman" w:hAnsi="Times New Roman" w:cs="Times New Roman"/>
          <w:bCs/>
          <w:color w:val="000000" w:themeColor="text1"/>
          <w:sz w:val="24"/>
          <w:szCs w:val="24"/>
        </w:rPr>
      </w:pPr>
      <w:r w:rsidRPr="00CE1978">
        <w:rPr>
          <w:rFonts w:ascii="Times New Roman" w:eastAsia="Times New Roman" w:hAnsi="Times New Roman" w:cs="Times New Roman"/>
          <w:bCs/>
          <w:color w:val="000000" w:themeColor="text1"/>
          <w:sz w:val="24"/>
          <w:szCs w:val="24"/>
        </w:rPr>
        <w:t>Zgodnie ze zmianami w</w:t>
      </w:r>
      <w:r w:rsidR="003C0514" w:rsidRPr="00CE1978">
        <w:rPr>
          <w:rFonts w:ascii="Times New Roman" w:eastAsia="Times New Roman" w:hAnsi="Times New Roman" w:cs="Times New Roman"/>
          <w:bCs/>
          <w:color w:val="000000" w:themeColor="text1"/>
          <w:sz w:val="24"/>
          <w:szCs w:val="24"/>
        </w:rPr>
        <w:t xml:space="preserve"> art. 30 ust. 3a</w:t>
      </w:r>
      <w:r w:rsidRPr="00CE1978">
        <w:rPr>
          <w:rFonts w:ascii="Times New Roman" w:eastAsia="Times New Roman" w:hAnsi="Times New Roman" w:cs="Times New Roman"/>
          <w:bCs/>
          <w:color w:val="000000" w:themeColor="text1"/>
          <w:sz w:val="24"/>
          <w:szCs w:val="24"/>
        </w:rPr>
        <w:t xml:space="preserve"> Megaustawy</w:t>
      </w:r>
      <w:r w:rsidR="003C0514" w:rsidRPr="00CE1978">
        <w:rPr>
          <w:rFonts w:ascii="Times New Roman" w:eastAsia="Times New Roman" w:hAnsi="Times New Roman" w:cs="Times New Roman"/>
          <w:bCs/>
          <w:color w:val="000000" w:themeColor="text1"/>
          <w:sz w:val="24"/>
          <w:szCs w:val="24"/>
        </w:rPr>
        <w:t xml:space="preserve">, </w:t>
      </w:r>
      <w:r w:rsidRPr="00CE1978">
        <w:rPr>
          <w:rFonts w:ascii="Times New Roman" w:eastAsia="Times New Roman" w:hAnsi="Times New Roman" w:cs="Times New Roman"/>
          <w:bCs/>
          <w:color w:val="000000" w:themeColor="text1"/>
          <w:sz w:val="24"/>
          <w:szCs w:val="24"/>
        </w:rPr>
        <w:t>dostęp, o którym mowa w art. 30 ust. 1 jest nieodpłatny, przy czym przedsiębiorca telekomunikacyjny ponosi:</w:t>
      </w:r>
    </w:p>
    <w:p w14:paraId="5D30E6A2" w14:textId="77777777" w:rsidR="00733009" w:rsidRPr="00CE1978" w:rsidRDefault="00733009"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koszty doprowadzenia, utrzymywania, eksploatacji, przebudowy lub remontu elementów szybkiej sieci telekomunikacyjnej oraz powiązanych zasobów będących własnością tego przedsiębiorcy telekomunikacyjnego</w:t>
      </w:r>
      <w:r w:rsidR="0002777F" w:rsidRPr="00CE1978">
        <w:rPr>
          <w:rFonts w:ascii="Times New Roman" w:eastAsia="Times New Roman" w:hAnsi="Times New Roman" w:cs="Times New Roman"/>
          <w:color w:val="000000" w:themeColor="text1"/>
          <w:sz w:val="24"/>
          <w:szCs w:val="24"/>
        </w:rPr>
        <w:t xml:space="preserve"> lub z których korzysta na podstawie innego tytułu prawnego</w:t>
      </w:r>
      <w:r w:rsidRPr="00CE1978">
        <w:rPr>
          <w:rFonts w:ascii="Times New Roman" w:eastAsia="Times New Roman" w:hAnsi="Times New Roman" w:cs="Times New Roman"/>
          <w:color w:val="000000" w:themeColor="text1"/>
          <w:sz w:val="24"/>
          <w:szCs w:val="24"/>
        </w:rPr>
        <w:t>, w tym przywrócenia stanu poprzedniego nieruchomości,</w:t>
      </w:r>
    </w:p>
    <w:p w14:paraId="380CBDAD" w14:textId="77777777" w:rsidR="00733009" w:rsidRPr="00CE1978" w:rsidRDefault="00733009"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koszty, które wystąpiły po stronie zapewniającego dostęp, jeżeli są konieczne, zaistniały bezpośrednio na skutek zapewnienia takiego dostępu i nie są związane ze zwykłą działalnością zapewniającego dostęp.</w:t>
      </w:r>
    </w:p>
    <w:p w14:paraId="5BD5741B" w14:textId="77777777" w:rsidR="00733009" w:rsidRPr="00CE1978" w:rsidRDefault="00733009" w:rsidP="00F91F34">
      <w:pPr>
        <w:pStyle w:val="ARTartustawynprozporzdzenia"/>
        <w:ind w:firstLine="0"/>
        <w:rPr>
          <w:rFonts w:ascii="Times New Roman" w:hAnsi="Times New Roman" w:cs="Times New Roman"/>
          <w:color w:val="000000" w:themeColor="text1"/>
          <w:szCs w:val="24"/>
        </w:rPr>
      </w:pPr>
      <w:r w:rsidRPr="00CE1978">
        <w:rPr>
          <w:rFonts w:ascii="Times New Roman" w:hAnsi="Times New Roman" w:cs="Times New Roman"/>
          <w:color w:val="000000" w:themeColor="text1"/>
          <w:szCs w:val="24"/>
        </w:rPr>
        <w:t>Natomiast dostęp, o którym mowa w art. 30 ust. 3 Megaustawy, jest:</w:t>
      </w:r>
    </w:p>
    <w:p w14:paraId="26D41CFB" w14:textId="77777777" w:rsidR="00733009" w:rsidRPr="00CE1978" w:rsidRDefault="00733009"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F91F34">
        <w:rPr>
          <w:rFonts w:ascii="Times New Roman" w:eastAsia="Times New Roman" w:hAnsi="Times New Roman" w:cs="Times New Roman"/>
          <w:color w:val="000000" w:themeColor="text1"/>
          <w:sz w:val="24"/>
          <w:szCs w:val="24"/>
        </w:rPr>
        <w:t>o</w:t>
      </w:r>
      <w:r w:rsidRPr="00CE1978">
        <w:rPr>
          <w:rFonts w:ascii="Times New Roman" w:eastAsia="Times New Roman" w:hAnsi="Times New Roman" w:cs="Times New Roman"/>
          <w:color w:val="000000" w:themeColor="text1"/>
          <w:sz w:val="24"/>
          <w:szCs w:val="24"/>
        </w:rPr>
        <w:t xml:space="preserve">dpłatny jeżeli wewnątrzbudynkowa infrastruktura techniczna jest własnością podmiotu, </w:t>
      </w:r>
      <w:r w:rsidR="007A6945" w:rsidRPr="00F91F34">
        <w:rPr>
          <w:rFonts w:ascii="Times New Roman" w:eastAsia="Times New Roman" w:hAnsi="Times New Roman" w:cs="Times New Roman"/>
          <w:color w:val="000000" w:themeColor="text1"/>
          <w:sz w:val="24"/>
          <w:szCs w:val="24"/>
        </w:rPr>
        <w:t xml:space="preserve">dla </w:t>
      </w:r>
      <w:r w:rsidRPr="00F91F34">
        <w:rPr>
          <w:rFonts w:ascii="Times New Roman" w:eastAsia="Times New Roman" w:hAnsi="Times New Roman" w:cs="Times New Roman"/>
          <w:color w:val="000000" w:themeColor="text1"/>
          <w:sz w:val="24"/>
          <w:szCs w:val="24"/>
        </w:rPr>
        <w:t xml:space="preserve">którego </w:t>
      </w:r>
      <w:r w:rsidR="007A6945" w:rsidRPr="00F91F34">
        <w:rPr>
          <w:rFonts w:ascii="Times New Roman" w:eastAsia="Times New Roman" w:hAnsi="Times New Roman" w:cs="Times New Roman"/>
          <w:color w:val="000000" w:themeColor="text1"/>
          <w:sz w:val="24"/>
          <w:szCs w:val="24"/>
        </w:rPr>
        <w:t xml:space="preserve">działalność telekomunikacyjna nie jest </w:t>
      </w:r>
      <w:r w:rsidRPr="00F91F34">
        <w:rPr>
          <w:rFonts w:ascii="Times New Roman" w:eastAsia="Times New Roman" w:hAnsi="Times New Roman" w:cs="Times New Roman"/>
          <w:color w:val="000000" w:themeColor="text1"/>
          <w:sz w:val="24"/>
          <w:szCs w:val="24"/>
        </w:rPr>
        <w:t>przeważającym przedmiotem działalności</w:t>
      </w:r>
      <w:r w:rsidRPr="00CE1978">
        <w:rPr>
          <w:rFonts w:ascii="Times New Roman" w:eastAsia="Times New Roman" w:hAnsi="Times New Roman" w:cs="Times New Roman"/>
          <w:color w:val="000000" w:themeColor="text1"/>
          <w:sz w:val="24"/>
          <w:szCs w:val="24"/>
        </w:rPr>
        <w:t xml:space="preserve">. Opłaty za ten dostęp powinny umożliwiać zwrot </w:t>
      </w:r>
      <w:r w:rsidR="0002777F" w:rsidRPr="00CE1978">
        <w:rPr>
          <w:rFonts w:ascii="Times New Roman" w:eastAsia="Times New Roman" w:hAnsi="Times New Roman" w:cs="Times New Roman"/>
          <w:color w:val="000000" w:themeColor="text1"/>
          <w:sz w:val="24"/>
          <w:szCs w:val="24"/>
        </w:rPr>
        <w:t xml:space="preserve">proporcjonalnej </w:t>
      </w:r>
      <w:r w:rsidRPr="00CE1978">
        <w:rPr>
          <w:rFonts w:ascii="Times New Roman" w:eastAsia="Times New Roman" w:hAnsi="Times New Roman" w:cs="Times New Roman"/>
          <w:color w:val="000000" w:themeColor="text1"/>
          <w:sz w:val="24"/>
          <w:szCs w:val="24"/>
        </w:rPr>
        <w:t>części poniesionych przez ten podmiot kosztów powstania tej infrastruktury oraz ponoszonych przez ten podmiot kosztów jej utrzymania oraz uwzględniać wpływ zapewnienia dostępu na plan biznesowy tego podmiotu, w szczególności na realizowane przez niego inwestycje dotyczące szybkich sieci telekomunikacyjnych oraz powiązanych zasobów, albo</w:t>
      </w:r>
    </w:p>
    <w:p w14:paraId="3268959D" w14:textId="77777777" w:rsidR="00E128E1" w:rsidRPr="00CE1978" w:rsidRDefault="00733009"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bCs/>
          <w:color w:val="000000" w:themeColor="text1"/>
          <w:sz w:val="24"/>
          <w:szCs w:val="24"/>
        </w:rPr>
      </w:pPr>
      <w:r w:rsidRPr="00CE1978">
        <w:rPr>
          <w:rFonts w:ascii="Times New Roman" w:eastAsia="Times New Roman" w:hAnsi="Times New Roman" w:cs="Times New Roman"/>
          <w:color w:val="000000" w:themeColor="text1"/>
          <w:sz w:val="24"/>
          <w:szCs w:val="24"/>
        </w:rPr>
        <w:t xml:space="preserve">nieodpłatny jeżeli wewnątrzbudynkowa infrastruktura techniczna jest własnością podmiotu, </w:t>
      </w:r>
      <w:r w:rsidR="007A6945" w:rsidRPr="00CE1978">
        <w:rPr>
          <w:rFonts w:ascii="Times New Roman" w:hAnsi="Times New Roman" w:cs="Times New Roman"/>
          <w:color w:val="000000" w:themeColor="text1"/>
          <w:sz w:val="24"/>
          <w:szCs w:val="24"/>
        </w:rPr>
        <w:t xml:space="preserve">dla </w:t>
      </w:r>
      <w:r w:rsidRPr="00CE1978">
        <w:rPr>
          <w:rFonts w:ascii="Times New Roman" w:hAnsi="Times New Roman" w:cs="Times New Roman"/>
          <w:color w:val="000000" w:themeColor="text1"/>
          <w:sz w:val="24"/>
          <w:szCs w:val="24"/>
        </w:rPr>
        <w:t xml:space="preserve">którego </w:t>
      </w:r>
      <w:r w:rsidR="007A6945" w:rsidRPr="00CE1978">
        <w:rPr>
          <w:rFonts w:ascii="Times New Roman" w:hAnsi="Times New Roman" w:cs="Times New Roman"/>
          <w:color w:val="000000" w:themeColor="text1"/>
          <w:sz w:val="24"/>
          <w:szCs w:val="24"/>
        </w:rPr>
        <w:t xml:space="preserve">działalność telekomunikacyjna nie jest </w:t>
      </w:r>
      <w:r w:rsidRPr="00CE1978">
        <w:rPr>
          <w:rFonts w:ascii="Times New Roman" w:hAnsi="Times New Roman" w:cs="Times New Roman"/>
          <w:color w:val="000000" w:themeColor="text1"/>
          <w:sz w:val="24"/>
          <w:szCs w:val="24"/>
        </w:rPr>
        <w:t xml:space="preserve">przeważającym przedmiotem </w:t>
      </w:r>
      <w:r w:rsidRPr="00CE1978">
        <w:rPr>
          <w:rFonts w:ascii="Times New Roman" w:hAnsi="Times New Roman" w:cs="Times New Roman"/>
          <w:color w:val="000000" w:themeColor="text1"/>
          <w:sz w:val="24"/>
          <w:szCs w:val="24"/>
        </w:rPr>
        <w:lastRenderedPageBreak/>
        <w:t>działalności</w:t>
      </w:r>
      <w:r w:rsidRPr="00CE1978">
        <w:rPr>
          <w:rFonts w:ascii="Times New Roman" w:eastAsia="Times New Roman" w:hAnsi="Times New Roman" w:cs="Times New Roman"/>
          <w:color w:val="000000" w:themeColor="text1"/>
          <w:sz w:val="24"/>
          <w:szCs w:val="24"/>
        </w:rPr>
        <w:t>, przy czym przedsiębiorca telekomunikacyjny ponosi</w:t>
      </w:r>
      <w:r w:rsidR="0002777F" w:rsidRPr="00CE1978">
        <w:rPr>
          <w:rFonts w:ascii="Times New Roman" w:eastAsia="Times New Roman" w:hAnsi="Times New Roman" w:cs="Times New Roman"/>
          <w:color w:val="000000" w:themeColor="text1"/>
          <w:sz w:val="24"/>
          <w:szCs w:val="24"/>
        </w:rPr>
        <w:t xml:space="preserve"> proporcjonalną</w:t>
      </w:r>
      <w:r w:rsidRPr="00CE1978">
        <w:rPr>
          <w:rFonts w:ascii="Times New Roman" w:eastAsia="Times New Roman" w:hAnsi="Times New Roman" w:cs="Times New Roman"/>
          <w:color w:val="000000" w:themeColor="text1"/>
          <w:sz w:val="24"/>
          <w:szCs w:val="24"/>
        </w:rPr>
        <w:t xml:space="preserve"> część kosztów utrzymania tej infrastruktury.</w:t>
      </w:r>
    </w:p>
    <w:p w14:paraId="71406600" w14:textId="20C110CD" w:rsidR="00E128E1"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00E128E1"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00E128E1" w:rsidRPr="00CE1978">
        <w:rPr>
          <w:rFonts w:ascii="Times New Roman" w:eastAsia="Times New Roman" w:hAnsi="Times New Roman" w:cs="Times New Roman"/>
          <w:b/>
          <w:bCs/>
          <w:color w:val="000000" w:themeColor="text1"/>
          <w:sz w:val="24"/>
          <w:szCs w:val="24"/>
        </w:rPr>
        <w:t>pkt 3</w:t>
      </w:r>
      <w:r w:rsidR="00BD4FE7" w:rsidRPr="00CE1978">
        <w:rPr>
          <w:rFonts w:ascii="Times New Roman" w:eastAsia="Times New Roman" w:hAnsi="Times New Roman" w:cs="Times New Roman"/>
          <w:b/>
          <w:bCs/>
          <w:color w:val="000000" w:themeColor="text1"/>
          <w:sz w:val="24"/>
          <w:szCs w:val="24"/>
        </w:rPr>
        <w:t>1</w:t>
      </w:r>
      <w:r w:rsidR="00E128E1" w:rsidRPr="00CE1978">
        <w:rPr>
          <w:rFonts w:ascii="Times New Roman" w:eastAsia="Times New Roman" w:hAnsi="Times New Roman" w:cs="Times New Roman"/>
          <w:b/>
          <w:bCs/>
          <w:color w:val="000000" w:themeColor="text1"/>
          <w:sz w:val="24"/>
          <w:szCs w:val="24"/>
        </w:rPr>
        <w:t xml:space="preserve"> lit. </w:t>
      </w:r>
      <w:r w:rsidR="00493C5F" w:rsidRPr="00CE1978">
        <w:rPr>
          <w:rFonts w:ascii="Times New Roman" w:eastAsia="Times New Roman" w:hAnsi="Times New Roman" w:cs="Times New Roman"/>
          <w:b/>
          <w:bCs/>
          <w:color w:val="000000" w:themeColor="text1"/>
          <w:sz w:val="24"/>
          <w:szCs w:val="24"/>
        </w:rPr>
        <w:t>g</w:t>
      </w:r>
    </w:p>
    <w:p w14:paraId="4E95F028" w14:textId="77777777" w:rsidR="75B895FB" w:rsidRPr="00CE1978" w:rsidRDefault="00E128E1" w:rsidP="00F91F34">
      <w:pPr>
        <w:spacing w:before="120" w:after="0" w:line="360" w:lineRule="auto"/>
        <w:jc w:val="both"/>
        <w:rPr>
          <w:rFonts w:ascii="Times New Roman" w:eastAsia="Times New Roman" w:hAnsi="Times New Roman" w:cs="Times New Roman"/>
          <w:bCs/>
          <w:color w:val="000000" w:themeColor="text1"/>
          <w:sz w:val="24"/>
          <w:szCs w:val="24"/>
        </w:rPr>
      </w:pPr>
      <w:r w:rsidRPr="00CE1978">
        <w:rPr>
          <w:rFonts w:ascii="Times New Roman" w:eastAsia="Times New Roman" w:hAnsi="Times New Roman" w:cs="Times New Roman"/>
          <w:bCs/>
          <w:color w:val="000000" w:themeColor="text1"/>
          <w:sz w:val="24"/>
          <w:szCs w:val="24"/>
        </w:rPr>
        <w:t>Uchyla się ust. 3b jako zbędny – koszty dotyczące dostępu, o którym mowa w art. 30 ust. 1 i ust. 3 Megaustawy będą uregulowane w całości w nowym brzmieniu art. 30 ust. 3a.</w:t>
      </w:r>
    </w:p>
    <w:p w14:paraId="692B0692" w14:textId="3453B836"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75B895F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75B895FB" w:rsidRPr="00CE1978">
        <w:rPr>
          <w:rFonts w:ascii="Times New Roman" w:eastAsia="Times New Roman" w:hAnsi="Times New Roman" w:cs="Times New Roman"/>
          <w:b/>
          <w:bCs/>
          <w:color w:val="000000" w:themeColor="text1"/>
          <w:sz w:val="24"/>
          <w:szCs w:val="24"/>
        </w:rPr>
        <w:t xml:space="preserve">pkt </w:t>
      </w:r>
      <w:r w:rsidR="00DC4C0F" w:rsidRPr="00CE1978">
        <w:rPr>
          <w:rFonts w:ascii="Times New Roman" w:eastAsia="Times New Roman" w:hAnsi="Times New Roman" w:cs="Times New Roman"/>
          <w:b/>
          <w:bCs/>
          <w:color w:val="000000" w:themeColor="text1"/>
          <w:sz w:val="24"/>
          <w:szCs w:val="24"/>
        </w:rPr>
        <w:t>3</w:t>
      </w:r>
      <w:r w:rsidR="00BD4FE7" w:rsidRPr="00CE1978">
        <w:rPr>
          <w:rFonts w:ascii="Times New Roman" w:eastAsia="Times New Roman" w:hAnsi="Times New Roman" w:cs="Times New Roman"/>
          <w:b/>
          <w:bCs/>
          <w:color w:val="000000" w:themeColor="text1"/>
          <w:sz w:val="24"/>
          <w:szCs w:val="24"/>
        </w:rPr>
        <w:t>1</w:t>
      </w:r>
      <w:r w:rsidR="75B895FB" w:rsidRPr="00CE1978">
        <w:rPr>
          <w:rFonts w:ascii="Times New Roman" w:eastAsia="Times New Roman" w:hAnsi="Times New Roman" w:cs="Times New Roman"/>
          <w:b/>
          <w:bCs/>
          <w:color w:val="000000" w:themeColor="text1"/>
          <w:sz w:val="24"/>
          <w:szCs w:val="24"/>
        </w:rPr>
        <w:t xml:space="preserve"> lit. </w:t>
      </w:r>
      <w:r w:rsidR="00493C5F" w:rsidRPr="00CE1978">
        <w:rPr>
          <w:rFonts w:ascii="Times New Roman" w:eastAsia="Times New Roman" w:hAnsi="Times New Roman" w:cs="Times New Roman"/>
          <w:b/>
          <w:bCs/>
          <w:color w:val="000000" w:themeColor="text1"/>
          <w:sz w:val="24"/>
          <w:szCs w:val="24"/>
        </w:rPr>
        <w:t>h</w:t>
      </w:r>
    </w:p>
    <w:p w14:paraId="32A7F94A" w14:textId="77777777" w:rsidR="00733009"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Zmiany polegające na wprowadzeniu nowego brzmienia art. 30 ust. 4</w:t>
      </w:r>
      <w:r w:rsidR="00733009" w:rsidRPr="00CE1978">
        <w:rPr>
          <w:rFonts w:ascii="Times New Roman" w:eastAsia="Times New Roman" w:hAnsi="Times New Roman" w:cs="Times New Roman"/>
          <w:color w:val="000000" w:themeColor="text1"/>
          <w:sz w:val="24"/>
          <w:szCs w:val="24"/>
        </w:rPr>
        <w:t xml:space="preserve"> wynikają z:</w:t>
      </w:r>
    </w:p>
    <w:p w14:paraId="71135516" w14:textId="454EC3E5" w:rsidR="00733009" w:rsidRPr="00CE1978" w:rsidRDefault="00733009"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uregulowania zawartego w art. </w:t>
      </w:r>
      <w:r w:rsidR="00E128E1" w:rsidRPr="00CE1978">
        <w:rPr>
          <w:rFonts w:ascii="Times New Roman" w:eastAsia="Times New Roman" w:hAnsi="Times New Roman" w:cs="Times New Roman"/>
          <w:color w:val="000000" w:themeColor="text1"/>
          <w:sz w:val="24"/>
          <w:szCs w:val="24"/>
        </w:rPr>
        <w:t>16</w:t>
      </w:r>
      <w:r w:rsidR="00211E51" w:rsidRPr="00CE1978">
        <w:rPr>
          <w:rFonts w:ascii="Times New Roman" w:eastAsia="Times New Roman" w:hAnsi="Times New Roman" w:cs="Times New Roman"/>
          <w:color w:val="000000" w:themeColor="text1"/>
          <w:sz w:val="24"/>
          <w:szCs w:val="24"/>
        </w:rPr>
        <w:t xml:space="preserve">8 ust. 2 Pke, </w:t>
      </w:r>
      <w:r w:rsidR="00DF0E49" w:rsidRPr="00CE1978">
        <w:rPr>
          <w:rFonts w:ascii="Times New Roman" w:eastAsia="Times New Roman" w:hAnsi="Times New Roman" w:cs="Times New Roman"/>
          <w:color w:val="000000" w:themeColor="text1"/>
          <w:sz w:val="24"/>
          <w:szCs w:val="24"/>
        </w:rPr>
        <w:t>zgodnie z którym</w:t>
      </w:r>
      <w:r w:rsidR="00211E51" w:rsidRPr="00CE1978">
        <w:rPr>
          <w:rFonts w:ascii="Times New Roman" w:eastAsia="Times New Roman" w:hAnsi="Times New Roman" w:cs="Times New Roman"/>
          <w:color w:val="000000" w:themeColor="text1"/>
          <w:sz w:val="24"/>
          <w:szCs w:val="24"/>
        </w:rPr>
        <w:t xml:space="preserve"> umowa o dostępie określa warunki dostępu telekomunikacyjnego (w rozumieniu Pke</w:t>
      </w:r>
      <w:r w:rsidR="00DF0E49" w:rsidRPr="00CE1978">
        <w:rPr>
          <w:rFonts w:ascii="Times New Roman" w:eastAsia="Times New Roman" w:hAnsi="Times New Roman" w:cs="Times New Roman"/>
          <w:color w:val="000000" w:themeColor="text1"/>
          <w:sz w:val="24"/>
          <w:szCs w:val="24"/>
        </w:rPr>
        <w:t>, a więc obejmujące dostęp do</w:t>
      </w:r>
      <w:r w:rsidR="00E128E1" w:rsidRPr="00CE1978">
        <w:rPr>
          <w:rFonts w:ascii="Times New Roman" w:eastAsia="Times New Roman" w:hAnsi="Times New Roman" w:cs="Times New Roman"/>
          <w:color w:val="000000" w:themeColor="text1"/>
          <w:sz w:val="24"/>
          <w:szCs w:val="24"/>
        </w:rPr>
        <w:t xml:space="preserve"> nieruchomości, w tym do budynków</w:t>
      </w:r>
      <w:r w:rsidR="00DF0E49" w:rsidRPr="00CE1978">
        <w:rPr>
          <w:rFonts w:ascii="Times New Roman" w:eastAsia="Times New Roman" w:hAnsi="Times New Roman" w:cs="Times New Roman"/>
          <w:color w:val="000000" w:themeColor="text1"/>
          <w:sz w:val="24"/>
          <w:szCs w:val="24"/>
        </w:rPr>
        <w:t xml:space="preserve"> niezależnie od tego, czy dysponentem jest przedsiębiorca telekomunikacyjny, czy inny podmiot zobowiązany do zapewnienia dostępu</w:t>
      </w:r>
      <w:r w:rsidR="00211E51" w:rsidRPr="00CE1978">
        <w:rPr>
          <w:rFonts w:ascii="Times New Roman" w:eastAsia="Times New Roman" w:hAnsi="Times New Roman" w:cs="Times New Roman"/>
          <w:color w:val="000000" w:themeColor="text1"/>
          <w:sz w:val="24"/>
          <w:szCs w:val="24"/>
        </w:rPr>
        <w:t>) oraz związanej z nim współpracy. Z tego powodu należy usunąć art. 30 u</w:t>
      </w:r>
      <w:r w:rsidR="006070AC" w:rsidRPr="00CE1978">
        <w:rPr>
          <w:rFonts w:ascii="Times New Roman" w:eastAsia="Times New Roman" w:hAnsi="Times New Roman" w:cs="Times New Roman"/>
          <w:color w:val="000000" w:themeColor="text1"/>
          <w:sz w:val="24"/>
          <w:szCs w:val="24"/>
        </w:rPr>
        <w:t>st. 4 zdanie pierwsze Megaust</w:t>
      </w:r>
      <w:r w:rsidR="007D0EFE" w:rsidRPr="00CE1978">
        <w:rPr>
          <w:rFonts w:ascii="Times New Roman" w:eastAsia="Times New Roman" w:hAnsi="Times New Roman" w:cs="Times New Roman"/>
          <w:color w:val="000000" w:themeColor="text1"/>
          <w:sz w:val="24"/>
          <w:szCs w:val="24"/>
        </w:rPr>
        <w:t>a</w:t>
      </w:r>
      <w:r w:rsidR="006070AC" w:rsidRPr="00CE1978">
        <w:rPr>
          <w:rFonts w:ascii="Times New Roman" w:eastAsia="Times New Roman" w:hAnsi="Times New Roman" w:cs="Times New Roman"/>
          <w:color w:val="000000" w:themeColor="text1"/>
          <w:sz w:val="24"/>
          <w:szCs w:val="24"/>
        </w:rPr>
        <w:t>wy,</w:t>
      </w:r>
    </w:p>
    <w:p w14:paraId="0DB41898" w14:textId="79BDFEBB" w:rsidR="75B895FB" w:rsidRPr="00CE1978" w:rsidRDefault="00211E51"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konieczności uspójnienia brzmienia </w:t>
      </w:r>
      <w:r w:rsidR="00DF0E49" w:rsidRPr="00CE1978">
        <w:rPr>
          <w:rFonts w:ascii="Times New Roman" w:eastAsia="Times New Roman" w:hAnsi="Times New Roman" w:cs="Times New Roman"/>
          <w:color w:val="000000" w:themeColor="text1"/>
          <w:sz w:val="24"/>
          <w:szCs w:val="24"/>
        </w:rPr>
        <w:t xml:space="preserve">treści dotychczasowego </w:t>
      </w:r>
      <w:r w:rsidRPr="00CE1978">
        <w:rPr>
          <w:rFonts w:ascii="Times New Roman" w:eastAsia="Times New Roman" w:hAnsi="Times New Roman" w:cs="Times New Roman"/>
          <w:color w:val="000000" w:themeColor="text1"/>
          <w:sz w:val="24"/>
          <w:szCs w:val="24"/>
        </w:rPr>
        <w:t>art. 30 ust. 4 zdanie drugie Megaust</w:t>
      </w:r>
      <w:r w:rsidR="00DF0E49" w:rsidRPr="00CE1978">
        <w:rPr>
          <w:rFonts w:ascii="Times New Roman" w:eastAsia="Times New Roman" w:hAnsi="Times New Roman" w:cs="Times New Roman"/>
          <w:color w:val="000000" w:themeColor="text1"/>
          <w:sz w:val="24"/>
          <w:szCs w:val="24"/>
        </w:rPr>
        <w:t>awy, przy zachowaniu rozwiązania polegającego na tym, że zawarcie umowy o dostępie, o którym mowa w art. 30 ust. 1 i 3 Megaustawy, stanowi czynność zwykłego zarządu. Ze względu, że obowiązek zapewnienia dostępu do okablowania</w:t>
      </w:r>
      <w:r w:rsidR="00F86742" w:rsidRPr="00CE1978">
        <w:rPr>
          <w:rFonts w:ascii="Times New Roman" w:eastAsia="Times New Roman" w:hAnsi="Times New Roman" w:cs="Times New Roman"/>
          <w:color w:val="000000" w:themeColor="text1"/>
          <w:sz w:val="24"/>
          <w:szCs w:val="24"/>
        </w:rPr>
        <w:t xml:space="preserve"> w budynku</w:t>
      </w:r>
      <w:r w:rsidR="00DF0E49" w:rsidRPr="00CE1978">
        <w:rPr>
          <w:rFonts w:ascii="Times New Roman" w:eastAsia="Times New Roman" w:hAnsi="Times New Roman" w:cs="Times New Roman"/>
          <w:color w:val="000000" w:themeColor="text1"/>
          <w:sz w:val="24"/>
          <w:szCs w:val="24"/>
        </w:rPr>
        <w:t xml:space="preserve"> znajduje się w Pke zgodnie z projektem tejże ustawy</w:t>
      </w:r>
      <w:r w:rsidR="007344B1" w:rsidRPr="00CE1978">
        <w:rPr>
          <w:rFonts w:ascii="Times New Roman" w:eastAsia="Times New Roman" w:hAnsi="Times New Roman" w:cs="Times New Roman"/>
          <w:color w:val="000000" w:themeColor="text1"/>
          <w:sz w:val="24"/>
          <w:szCs w:val="24"/>
        </w:rPr>
        <w:t>, również w art. 174</w:t>
      </w:r>
      <w:r w:rsidR="00DF0E49" w:rsidRPr="00CE1978">
        <w:rPr>
          <w:rFonts w:ascii="Times New Roman" w:eastAsia="Times New Roman" w:hAnsi="Times New Roman" w:cs="Times New Roman"/>
          <w:color w:val="000000" w:themeColor="text1"/>
          <w:sz w:val="24"/>
          <w:szCs w:val="24"/>
        </w:rPr>
        <w:t xml:space="preserve"> ust. </w:t>
      </w:r>
      <w:r w:rsidR="007344B1" w:rsidRPr="00CE1978">
        <w:rPr>
          <w:rFonts w:ascii="Times New Roman" w:eastAsia="Times New Roman" w:hAnsi="Times New Roman" w:cs="Times New Roman"/>
          <w:color w:val="000000" w:themeColor="text1"/>
          <w:sz w:val="24"/>
          <w:szCs w:val="24"/>
        </w:rPr>
        <w:t>3</w:t>
      </w:r>
      <w:r w:rsidR="00DF0E49" w:rsidRPr="00CE1978">
        <w:rPr>
          <w:rFonts w:ascii="Times New Roman" w:eastAsia="Times New Roman" w:hAnsi="Times New Roman" w:cs="Times New Roman"/>
          <w:color w:val="000000" w:themeColor="text1"/>
          <w:sz w:val="24"/>
          <w:szCs w:val="24"/>
        </w:rPr>
        <w:t xml:space="preserve"> Pke znajduje się odesłanie do odpowiedniego stosowania art. 30 ust. 4 Megaust</w:t>
      </w:r>
      <w:r w:rsidR="007D0EFE" w:rsidRPr="00CE1978">
        <w:rPr>
          <w:rFonts w:ascii="Times New Roman" w:eastAsia="Times New Roman" w:hAnsi="Times New Roman" w:cs="Times New Roman"/>
          <w:color w:val="000000" w:themeColor="text1"/>
          <w:sz w:val="24"/>
          <w:szCs w:val="24"/>
        </w:rPr>
        <w:t>a</w:t>
      </w:r>
      <w:r w:rsidR="00DF0E49" w:rsidRPr="00CE1978">
        <w:rPr>
          <w:rFonts w:ascii="Times New Roman" w:eastAsia="Times New Roman" w:hAnsi="Times New Roman" w:cs="Times New Roman"/>
          <w:color w:val="000000" w:themeColor="text1"/>
          <w:sz w:val="24"/>
          <w:szCs w:val="24"/>
        </w:rPr>
        <w:t>wy.</w:t>
      </w:r>
    </w:p>
    <w:p w14:paraId="51202C66" w14:textId="4A5D9929" w:rsidR="75B895FB" w:rsidRPr="00CE1978" w:rsidRDefault="00D15947" w:rsidP="00F91F34">
      <w:pPr>
        <w:spacing w:before="120" w:after="0" w:line="360" w:lineRule="auto"/>
        <w:jc w:val="both"/>
        <w:rPr>
          <w:rFonts w:ascii="Times New Roman" w:eastAsia="Times New Roman" w:hAnsi="Times New Roman" w:cs="Times New Roman"/>
          <w:b/>
          <w:color w:val="000000" w:themeColor="text1"/>
          <w:sz w:val="24"/>
          <w:szCs w:val="24"/>
        </w:rPr>
      </w:pPr>
      <w:r w:rsidRPr="00CE1978">
        <w:rPr>
          <w:rFonts w:ascii="Times New Roman" w:eastAsia="Times New Roman" w:hAnsi="Times New Roman" w:cs="Times New Roman"/>
          <w:b/>
          <w:color w:val="000000" w:themeColor="text1"/>
          <w:sz w:val="24"/>
          <w:szCs w:val="24"/>
        </w:rPr>
        <w:t>A</w:t>
      </w:r>
      <w:r w:rsidR="75B895FB" w:rsidRPr="00CE1978">
        <w:rPr>
          <w:rFonts w:ascii="Times New Roman" w:eastAsia="Times New Roman" w:hAnsi="Times New Roman" w:cs="Times New Roman"/>
          <w:b/>
          <w:color w:val="000000" w:themeColor="text1"/>
          <w:sz w:val="24"/>
          <w:szCs w:val="24"/>
        </w:rPr>
        <w:t xml:space="preserve">rt. </w:t>
      </w:r>
      <w:r w:rsidR="00ED5C54" w:rsidRPr="00CE1978">
        <w:rPr>
          <w:rFonts w:ascii="Times New Roman" w:eastAsia="Times New Roman" w:hAnsi="Times New Roman" w:cs="Times New Roman"/>
          <w:b/>
          <w:color w:val="000000" w:themeColor="text1"/>
          <w:sz w:val="24"/>
          <w:szCs w:val="24"/>
        </w:rPr>
        <w:t>3</w:t>
      </w:r>
      <w:r w:rsidR="008A2DD6" w:rsidRPr="00CE1978">
        <w:rPr>
          <w:rFonts w:ascii="Times New Roman" w:eastAsia="Times New Roman" w:hAnsi="Times New Roman" w:cs="Times New Roman"/>
          <w:b/>
          <w:color w:val="000000" w:themeColor="text1"/>
          <w:sz w:val="24"/>
          <w:szCs w:val="24"/>
        </w:rPr>
        <w:t>6</w:t>
      </w:r>
      <w:r w:rsidR="00ED5C54" w:rsidRPr="00CE1978">
        <w:rPr>
          <w:rFonts w:ascii="Times New Roman" w:eastAsia="Times New Roman" w:hAnsi="Times New Roman" w:cs="Times New Roman"/>
          <w:b/>
          <w:color w:val="000000" w:themeColor="text1"/>
          <w:sz w:val="24"/>
          <w:szCs w:val="24"/>
        </w:rPr>
        <w:t xml:space="preserve"> </w:t>
      </w:r>
      <w:r w:rsidR="75B895FB" w:rsidRPr="00CE1978">
        <w:rPr>
          <w:rFonts w:ascii="Times New Roman" w:eastAsia="Times New Roman" w:hAnsi="Times New Roman" w:cs="Times New Roman"/>
          <w:b/>
          <w:color w:val="000000" w:themeColor="text1"/>
          <w:sz w:val="24"/>
          <w:szCs w:val="24"/>
        </w:rPr>
        <w:t xml:space="preserve">pkt </w:t>
      </w:r>
      <w:r w:rsidR="00DC4C0F" w:rsidRPr="00CE1978">
        <w:rPr>
          <w:rFonts w:ascii="Times New Roman" w:eastAsia="Times New Roman" w:hAnsi="Times New Roman" w:cs="Times New Roman"/>
          <w:b/>
          <w:bCs/>
          <w:color w:val="000000" w:themeColor="text1"/>
          <w:sz w:val="24"/>
          <w:szCs w:val="24"/>
        </w:rPr>
        <w:t>3</w:t>
      </w:r>
      <w:r w:rsidR="00BD4FE7" w:rsidRPr="00CE1978">
        <w:rPr>
          <w:rFonts w:ascii="Times New Roman" w:eastAsia="Times New Roman" w:hAnsi="Times New Roman" w:cs="Times New Roman"/>
          <w:b/>
          <w:bCs/>
          <w:color w:val="000000" w:themeColor="text1"/>
          <w:sz w:val="24"/>
          <w:szCs w:val="24"/>
        </w:rPr>
        <w:t>1</w:t>
      </w:r>
      <w:r w:rsidR="75B895FB" w:rsidRPr="00CE1978">
        <w:rPr>
          <w:rFonts w:ascii="Times New Roman" w:eastAsia="Times New Roman" w:hAnsi="Times New Roman" w:cs="Times New Roman"/>
          <w:b/>
          <w:color w:val="000000" w:themeColor="text1"/>
          <w:sz w:val="24"/>
          <w:szCs w:val="24"/>
        </w:rPr>
        <w:t xml:space="preserve"> lit. </w:t>
      </w:r>
      <w:r w:rsidR="00EF1D8B" w:rsidRPr="00CE1978">
        <w:rPr>
          <w:rFonts w:ascii="Times New Roman" w:eastAsia="Times New Roman" w:hAnsi="Times New Roman" w:cs="Times New Roman"/>
          <w:b/>
          <w:color w:val="000000" w:themeColor="text1"/>
          <w:sz w:val="24"/>
          <w:szCs w:val="24"/>
        </w:rPr>
        <w:t>j</w:t>
      </w:r>
      <w:r w:rsidR="75B895FB" w:rsidRPr="00CE1978">
        <w:rPr>
          <w:rFonts w:ascii="Times New Roman" w:eastAsia="Times New Roman" w:hAnsi="Times New Roman" w:cs="Times New Roman"/>
          <w:b/>
          <w:color w:val="000000" w:themeColor="text1"/>
          <w:sz w:val="24"/>
          <w:szCs w:val="24"/>
        </w:rPr>
        <w:t xml:space="preserve"> </w:t>
      </w:r>
      <w:r w:rsidR="00C431BF" w:rsidRPr="00CE1978">
        <w:rPr>
          <w:rFonts w:ascii="Times New Roman" w:eastAsia="Times New Roman" w:hAnsi="Times New Roman" w:cs="Times New Roman"/>
          <w:b/>
          <w:color w:val="000000" w:themeColor="text1"/>
          <w:sz w:val="24"/>
          <w:szCs w:val="24"/>
        </w:rPr>
        <w:t xml:space="preserve">tiret </w:t>
      </w:r>
      <w:r w:rsidR="0091504C" w:rsidRPr="00CE1978">
        <w:rPr>
          <w:rFonts w:ascii="Times New Roman" w:eastAsia="Times New Roman" w:hAnsi="Times New Roman" w:cs="Times New Roman"/>
          <w:b/>
          <w:color w:val="000000" w:themeColor="text1"/>
          <w:sz w:val="24"/>
          <w:szCs w:val="24"/>
        </w:rPr>
        <w:t>trzecie</w:t>
      </w:r>
    </w:p>
    <w:p w14:paraId="5A543333" w14:textId="77777777" w:rsidR="75B895FB" w:rsidRPr="00CE1978" w:rsidRDefault="0091504C"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Dodane do art. 30 ust. 4 punkty 5 i 6 stanowią przeniesienie, odpowiednio regulacji z art. 30 ust. 5b i 5ba, przy odpowiednim dostosowania brzmienia do nowej siatki pojęciowej. Regulacje te stanowią odmienności, w stosunku do ogólnej procedury rozstrzygania sporów o dostęp przez Prezesa UKE uregulowanej w </w:t>
      </w:r>
      <w:r w:rsidRPr="00CE1978">
        <w:rPr>
          <w:rFonts w:ascii="Times New Roman" w:hAnsi="Times New Roman" w:cs="Times New Roman"/>
          <w:color w:val="000000" w:themeColor="text1"/>
          <w:sz w:val="24"/>
          <w:szCs w:val="24"/>
        </w:rPr>
        <w:t xml:space="preserve">dziale rozdziału </w:t>
      </w:r>
      <w:r w:rsidR="002F2741" w:rsidRPr="00CE1978">
        <w:rPr>
          <w:rFonts w:ascii="Times New Roman" w:hAnsi="Times New Roman" w:cs="Times New Roman"/>
          <w:color w:val="000000" w:themeColor="text1"/>
          <w:sz w:val="24"/>
          <w:szCs w:val="24"/>
        </w:rPr>
        <w:t>3 Pke.</w:t>
      </w:r>
    </w:p>
    <w:p w14:paraId="6B3D05D0" w14:textId="2BB1415B"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75B895F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75B895FB" w:rsidRPr="00CE1978">
        <w:rPr>
          <w:rFonts w:ascii="Times New Roman" w:eastAsia="Times New Roman" w:hAnsi="Times New Roman" w:cs="Times New Roman"/>
          <w:b/>
          <w:bCs/>
          <w:color w:val="000000" w:themeColor="text1"/>
          <w:sz w:val="24"/>
          <w:szCs w:val="24"/>
        </w:rPr>
        <w:t xml:space="preserve">pkt </w:t>
      </w:r>
      <w:r w:rsidR="00DC4C0F" w:rsidRPr="00CE1978">
        <w:rPr>
          <w:rFonts w:ascii="Times New Roman" w:eastAsia="Times New Roman" w:hAnsi="Times New Roman" w:cs="Times New Roman"/>
          <w:b/>
          <w:bCs/>
          <w:color w:val="000000" w:themeColor="text1"/>
          <w:sz w:val="24"/>
          <w:szCs w:val="24"/>
        </w:rPr>
        <w:t>3</w:t>
      </w:r>
      <w:r w:rsidR="00BD4FE7" w:rsidRPr="00CE1978">
        <w:rPr>
          <w:rFonts w:ascii="Times New Roman" w:eastAsia="Times New Roman" w:hAnsi="Times New Roman" w:cs="Times New Roman"/>
          <w:b/>
          <w:bCs/>
          <w:color w:val="000000" w:themeColor="text1"/>
          <w:sz w:val="24"/>
          <w:szCs w:val="24"/>
        </w:rPr>
        <w:t>1</w:t>
      </w:r>
      <w:r w:rsidR="75B895FB" w:rsidRPr="00CE1978">
        <w:rPr>
          <w:rFonts w:ascii="Times New Roman" w:eastAsia="Times New Roman" w:hAnsi="Times New Roman" w:cs="Times New Roman"/>
          <w:b/>
          <w:bCs/>
          <w:color w:val="000000" w:themeColor="text1"/>
          <w:sz w:val="24"/>
          <w:szCs w:val="24"/>
        </w:rPr>
        <w:t xml:space="preserve"> lit. </w:t>
      </w:r>
      <w:r w:rsidR="003030D2" w:rsidRPr="00CE1978">
        <w:rPr>
          <w:rFonts w:ascii="Times New Roman" w:eastAsia="Times New Roman" w:hAnsi="Times New Roman" w:cs="Times New Roman"/>
          <w:b/>
          <w:bCs/>
          <w:color w:val="000000" w:themeColor="text1"/>
          <w:sz w:val="24"/>
          <w:szCs w:val="24"/>
        </w:rPr>
        <w:t>j</w:t>
      </w:r>
    </w:p>
    <w:p w14:paraId="1F14F80C" w14:textId="77777777" w:rsidR="006508E4" w:rsidRPr="00CE1978" w:rsidRDefault="006508E4"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Treść przepisów art. 30 ust. 5b i 5ba zostaje przeniesiona do ust. 5</w:t>
      </w:r>
      <w:r w:rsidR="0091504C" w:rsidRPr="00CE1978">
        <w:rPr>
          <w:rFonts w:ascii="Times New Roman" w:eastAsia="Times New Roman" w:hAnsi="Times New Roman" w:cs="Times New Roman"/>
          <w:color w:val="000000" w:themeColor="text1"/>
          <w:sz w:val="24"/>
          <w:szCs w:val="24"/>
        </w:rPr>
        <w:t xml:space="preserve"> jako pkt 5 i 6</w:t>
      </w:r>
      <w:r w:rsidRPr="00CE1978">
        <w:rPr>
          <w:rFonts w:ascii="Times New Roman" w:eastAsia="Times New Roman" w:hAnsi="Times New Roman" w:cs="Times New Roman"/>
          <w:color w:val="000000" w:themeColor="text1"/>
          <w:sz w:val="24"/>
          <w:szCs w:val="24"/>
        </w:rPr>
        <w:t xml:space="preserve">, jako że stanowią odmienności, w stosunku do ogólnej procedury rozstrzygania sporów o dostęp przez Prezesa UKE uregulowanej w </w:t>
      </w:r>
      <w:r w:rsidRPr="00CE1978">
        <w:rPr>
          <w:rFonts w:ascii="Times New Roman" w:hAnsi="Times New Roman" w:cs="Times New Roman"/>
          <w:color w:val="000000" w:themeColor="text1"/>
          <w:sz w:val="24"/>
          <w:szCs w:val="24"/>
        </w:rPr>
        <w:t xml:space="preserve">dziale </w:t>
      </w:r>
      <w:r w:rsidR="00346C81" w:rsidRPr="00CE1978">
        <w:rPr>
          <w:rFonts w:ascii="Times New Roman" w:hAnsi="Times New Roman" w:cs="Times New Roman"/>
          <w:color w:val="000000" w:themeColor="text1"/>
          <w:sz w:val="24"/>
          <w:szCs w:val="24"/>
        </w:rPr>
        <w:t>III rozdział</w:t>
      </w:r>
      <w:r w:rsidRPr="00CE1978">
        <w:rPr>
          <w:rFonts w:ascii="Times New Roman" w:hAnsi="Times New Roman" w:cs="Times New Roman"/>
          <w:color w:val="000000" w:themeColor="text1"/>
          <w:sz w:val="24"/>
          <w:szCs w:val="24"/>
        </w:rPr>
        <w:t xml:space="preserve"> 3 </w:t>
      </w:r>
      <w:r w:rsidR="002F2741" w:rsidRPr="00CE1978">
        <w:rPr>
          <w:rFonts w:ascii="Times New Roman" w:hAnsi="Times New Roman" w:cs="Times New Roman"/>
          <w:color w:val="000000" w:themeColor="text1"/>
          <w:sz w:val="24"/>
          <w:szCs w:val="24"/>
        </w:rPr>
        <w:t>Pke.</w:t>
      </w:r>
    </w:p>
    <w:p w14:paraId="027CA507" w14:textId="132A8AC7" w:rsidR="75B895FB" w:rsidRPr="00CE1978" w:rsidRDefault="0091504C"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Artykuł </w:t>
      </w:r>
      <w:r w:rsidR="75B895FB" w:rsidRPr="00CE1978">
        <w:rPr>
          <w:rFonts w:ascii="Times New Roman" w:eastAsia="Times New Roman" w:hAnsi="Times New Roman" w:cs="Times New Roman"/>
          <w:color w:val="000000" w:themeColor="text1"/>
          <w:sz w:val="24"/>
          <w:szCs w:val="24"/>
        </w:rPr>
        <w:t>art. 30 ust. 5c Megaustawy w dotychczasowym brzmieniu jest zbędny, poniewa</w:t>
      </w:r>
      <w:r w:rsidR="00B418E5" w:rsidRPr="00CE1978">
        <w:rPr>
          <w:rFonts w:ascii="Times New Roman" w:eastAsia="Times New Roman" w:hAnsi="Times New Roman" w:cs="Times New Roman"/>
          <w:color w:val="000000" w:themeColor="text1"/>
          <w:sz w:val="24"/>
          <w:szCs w:val="24"/>
        </w:rPr>
        <w:t>ż możliwość stosowania art. 49</w:t>
      </w:r>
      <w:r w:rsidR="009B04F7" w:rsidRPr="00CE1978">
        <w:rPr>
          <w:rFonts w:ascii="Times New Roman" w:eastAsia="Times New Roman" w:hAnsi="Times New Roman" w:cs="Times New Roman"/>
          <w:color w:val="000000" w:themeColor="text1"/>
          <w:sz w:val="24"/>
          <w:szCs w:val="24"/>
        </w:rPr>
        <w:t xml:space="preserve"> Kpa</w:t>
      </w:r>
      <w:r w:rsidR="00B418E5" w:rsidRPr="00CE1978">
        <w:rPr>
          <w:rFonts w:ascii="Times New Roman" w:eastAsia="Times New Roman" w:hAnsi="Times New Roman" w:cs="Times New Roman"/>
          <w:color w:val="000000" w:themeColor="text1"/>
          <w:sz w:val="24"/>
          <w:szCs w:val="24"/>
        </w:rPr>
        <w:t xml:space="preserve">, </w:t>
      </w:r>
      <w:r w:rsidR="75B895FB" w:rsidRPr="00CE1978">
        <w:rPr>
          <w:rFonts w:ascii="Times New Roman" w:eastAsia="Times New Roman" w:hAnsi="Times New Roman" w:cs="Times New Roman"/>
          <w:color w:val="000000" w:themeColor="text1"/>
          <w:sz w:val="24"/>
          <w:szCs w:val="24"/>
        </w:rPr>
        <w:t xml:space="preserve">w przypadkach, gdy liczba stron postępowania przekracza </w:t>
      </w:r>
      <w:r w:rsidR="75B895FB" w:rsidRPr="00CE1978">
        <w:rPr>
          <w:rFonts w:ascii="Times New Roman" w:eastAsia="Times New Roman" w:hAnsi="Times New Roman" w:cs="Times New Roman"/>
          <w:color w:val="000000" w:themeColor="text1"/>
          <w:sz w:val="24"/>
          <w:szCs w:val="24"/>
        </w:rPr>
        <w:lastRenderedPageBreak/>
        <w:t>20 – lub innymi słowy, gdy w postępowaniu bierze udział więcej niż 20 stron – wynika wprost z treści art. 49a</w:t>
      </w:r>
      <w:r w:rsidR="00B418E5" w:rsidRPr="00CE1978">
        <w:rPr>
          <w:rFonts w:ascii="Times New Roman" w:eastAsia="Times New Roman" w:hAnsi="Times New Roman" w:cs="Times New Roman"/>
          <w:color w:val="000000" w:themeColor="text1"/>
          <w:sz w:val="24"/>
          <w:szCs w:val="24"/>
        </w:rPr>
        <w:t xml:space="preserve"> Kpa,</w:t>
      </w:r>
      <w:r w:rsidR="75B895FB" w:rsidRPr="00CE1978">
        <w:rPr>
          <w:rFonts w:ascii="Times New Roman" w:eastAsia="Times New Roman" w:hAnsi="Times New Roman" w:cs="Times New Roman"/>
          <w:color w:val="000000" w:themeColor="text1"/>
          <w:sz w:val="24"/>
          <w:szCs w:val="24"/>
        </w:rPr>
        <w:t xml:space="preserve"> który wszedł w życie 1 czerwca 2017 r.</w:t>
      </w:r>
    </w:p>
    <w:p w14:paraId="02D3A7A8" w14:textId="5EF0D204"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75B895F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75B895FB" w:rsidRPr="00CE1978">
        <w:rPr>
          <w:rFonts w:ascii="Times New Roman" w:eastAsia="Times New Roman" w:hAnsi="Times New Roman" w:cs="Times New Roman"/>
          <w:b/>
          <w:bCs/>
          <w:color w:val="000000" w:themeColor="text1"/>
          <w:sz w:val="24"/>
          <w:szCs w:val="24"/>
        </w:rPr>
        <w:t xml:space="preserve">pkt </w:t>
      </w:r>
      <w:r w:rsidR="00DC4C0F" w:rsidRPr="00CE1978">
        <w:rPr>
          <w:rFonts w:ascii="Times New Roman" w:eastAsia="Times New Roman" w:hAnsi="Times New Roman" w:cs="Times New Roman"/>
          <w:b/>
          <w:bCs/>
          <w:color w:val="000000" w:themeColor="text1"/>
          <w:sz w:val="24"/>
          <w:szCs w:val="24"/>
        </w:rPr>
        <w:t>3</w:t>
      </w:r>
      <w:r w:rsidR="00BD4FE7" w:rsidRPr="00CE1978">
        <w:rPr>
          <w:rFonts w:ascii="Times New Roman" w:eastAsia="Times New Roman" w:hAnsi="Times New Roman" w:cs="Times New Roman"/>
          <w:b/>
          <w:bCs/>
          <w:color w:val="000000" w:themeColor="text1"/>
          <w:sz w:val="24"/>
          <w:szCs w:val="24"/>
        </w:rPr>
        <w:t>1</w:t>
      </w:r>
      <w:r w:rsidR="75B895FB" w:rsidRPr="00CE1978">
        <w:rPr>
          <w:rFonts w:ascii="Times New Roman" w:eastAsia="Times New Roman" w:hAnsi="Times New Roman" w:cs="Times New Roman"/>
          <w:b/>
          <w:bCs/>
          <w:color w:val="000000" w:themeColor="text1"/>
          <w:sz w:val="24"/>
          <w:szCs w:val="24"/>
        </w:rPr>
        <w:t xml:space="preserve"> lit. </w:t>
      </w:r>
      <w:r w:rsidR="003030D2" w:rsidRPr="00CE1978">
        <w:rPr>
          <w:rFonts w:ascii="Times New Roman" w:eastAsia="Times New Roman" w:hAnsi="Times New Roman" w:cs="Times New Roman"/>
          <w:b/>
          <w:bCs/>
          <w:color w:val="000000" w:themeColor="text1"/>
          <w:sz w:val="24"/>
          <w:szCs w:val="24"/>
        </w:rPr>
        <w:t>l</w:t>
      </w:r>
    </w:p>
    <w:p w14:paraId="0CD38EA9" w14:textId="77777777"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Art. 30 ust. 5f w obecnym brzmieniu jest zbędny, ponieważ treść art. 30 nie przewiduje już rozróżnienia polegającego na wyłączeniu spod obowiązków zapewnienia dostępu, o którym mowa w art. 30 ust. 1, właściciela, użytkownika wieczystego lub zarządcy nieruchomości, </w:t>
      </w:r>
      <w:r w:rsidR="004367D8"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color w:val="000000" w:themeColor="text1"/>
          <w:sz w:val="24"/>
          <w:szCs w:val="24"/>
        </w:rPr>
        <w:t>niebędącego</w:t>
      </w:r>
      <w:r w:rsidR="004367D8"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color w:val="000000" w:themeColor="text1"/>
          <w:sz w:val="24"/>
          <w:szCs w:val="24"/>
        </w:rPr>
        <w:t>przedsiębiorcą telekomunikacyjnym</w:t>
      </w:r>
      <w:r w:rsidR="004367D8" w:rsidRPr="00CE1978">
        <w:rPr>
          <w:rFonts w:ascii="Times New Roman" w:eastAsia="Times New Roman" w:hAnsi="Times New Roman" w:cs="Times New Roman"/>
          <w:color w:val="000000" w:themeColor="text1"/>
          <w:sz w:val="24"/>
          <w:szCs w:val="24"/>
        </w:rPr>
        <w:t>”</w:t>
      </w:r>
      <w:r w:rsidR="00DD2A9D" w:rsidRPr="00CE1978">
        <w:rPr>
          <w:rFonts w:ascii="Times New Roman" w:eastAsia="Times New Roman" w:hAnsi="Times New Roman" w:cs="Times New Roman"/>
          <w:color w:val="000000" w:themeColor="text1"/>
          <w:sz w:val="24"/>
          <w:szCs w:val="24"/>
        </w:rPr>
        <w:t>.</w:t>
      </w:r>
    </w:p>
    <w:p w14:paraId="2B149D77" w14:textId="76A0CF1F" w:rsidR="004367D8"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004367D8"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004367D8" w:rsidRPr="00CE1978">
        <w:rPr>
          <w:rFonts w:ascii="Times New Roman" w:eastAsia="Times New Roman" w:hAnsi="Times New Roman" w:cs="Times New Roman"/>
          <w:b/>
          <w:bCs/>
          <w:color w:val="000000" w:themeColor="text1"/>
          <w:sz w:val="24"/>
          <w:szCs w:val="24"/>
        </w:rPr>
        <w:t xml:space="preserve">pkt </w:t>
      </w:r>
      <w:r w:rsidR="00DC4C0F" w:rsidRPr="00CE1978">
        <w:rPr>
          <w:rFonts w:ascii="Times New Roman" w:eastAsia="Times New Roman" w:hAnsi="Times New Roman" w:cs="Times New Roman"/>
          <w:b/>
          <w:bCs/>
          <w:color w:val="000000" w:themeColor="text1"/>
          <w:sz w:val="24"/>
          <w:szCs w:val="24"/>
        </w:rPr>
        <w:t>3</w:t>
      </w:r>
      <w:r w:rsidR="00BD4FE7" w:rsidRPr="00CE1978">
        <w:rPr>
          <w:rFonts w:ascii="Times New Roman" w:eastAsia="Times New Roman" w:hAnsi="Times New Roman" w:cs="Times New Roman"/>
          <w:b/>
          <w:bCs/>
          <w:color w:val="000000" w:themeColor="text1"/>
          <w:sz w:val="24"/>
          <w:szCs w:val="24"/>
        </w:rPr>
        <w:t>1</w:t>
      </w:r>
      <w:r w:rsidR="004367D8" w:rsidRPr="00CE1978">
        <w:rPr>
          <w:rFonts w:ascii="Times New Roman" w:eastAsia="Times New Roman" w:hAnsi="Times New Roman" w:cs="Times New Roman"/>
          <w:b/>
          <w:bCs/>
          <w:color w:val="000000" w:themeColor="text1"/>
          <w:sz w:val="24"/>
          <w:szCs w:val="24"/>
        </w:rPr>
        <w:t xml:space="preserve"> lit. </w:t>
      </w:r>
      <w:r w:rsidR="00381884" w:rsidRPr="00CE1978">
        <w:rPr>
          <w:rFonts w:ascii="Times New Roman" w:eastAsia="Times New Roman" w:hAnsi="Times New Roman" w:cs="Times New Roman"/>
          <w:b/>
          <w:bCs/>
          <w:color w:val="000000" w:themeColor="text1"/>
          <w:sz w:val="24"/>
          <w:szCs w:val="24"/>
        </w:rPr>
        <w:t>m</w:t>
      </w:r>
    </w:p>
    <w:p w14:paraId="50E9B9A9" w14:textId="3EC262C6" w:rsidR="004367D8" w:rsidRPr="00CE1978" w:rsidRDefault="00E017DE" w:rsidP="00F91F34">
      <w:pPr>
        <w:spacing w:before="120" w:after="0" w:line="360" w:lineRule="auto"/>
        <w:jc w:val="both"/>
        <w:rPr>
          <w:rFonts w:ascii="Times New Roman" w:eastAsia="Times New Roman" w:hAnsi="Times New Roman" w:cs="Times New Roman"/>
          <w:bCs/>
          <w:color w:val="000000" w:themeColor="text1"/>
          <w:sz w:val="24"/>
          <w:szCs w:val="24"/>
        </w:rPr>
      </w:pPr>
      <w:r w:rsidRPr="00CE1978">
        <w:rPr>
          <w:rFonts w:ascii="Times New Roman" w:eastAsia="Times New Roman" w:hAnsi="Times New Roman" w:cs="Times New Roman"/>
          <w:bCs/>
          <w:color w:val="000000" w:themeColor="text1"/>
          <w:sz w:val="24"/>
          <w:szCs w:val="24"/>
        </w:rPr>
        <w:t xml:space="preserve">W efekcie zidentyfikowanej przez uczestników rynku, niezgodnej z </w:t>
      </w:r>
      <w:r w:rsidRPr="00CE1978">
        <w:rPr>
          <w:rFonts w:ascii="Times New Roman" w:eastAsia="Times New Roman" w:hAnsi="Times New Roman" w:cs="Times New Roman"/>
          <w:bCs/>
          <w:i/>
          <w:color w:val="000000" w:themeColor="text1"/>
          <w:sz w:val="24"/>
          <w:szCs w:val="24"/>
        </w:rPr>
        <w:t>ratio legis</w:t>
      </w:r>
      <w:r w:rsidRPr="00CE1978">
        <w:rPr>
          <w:rFonts w:ascii="Times New Roman" w:eastAsia="Times New Roman" w:hAnsi="Times New Roman" w:cs="Times New Roman"/>
          <w:bCs/>
          <w:color w:val="000000" w:themeColor="text1"/>
          <w:sz w:val="24"/>
          <w:szCs w:val="24"/>
        </w:rPr>
        <w:t xml:space="preserve"> przepisów Megaustawy, praktyk żądania przez dysponentów nieruchomości ustanowienia służebności przesyłu na podstawie przepisów </w:t>
      </w:r>
      <w:r w:rsidR="00927E2A" w:rsidRPr="00CE1978">
        <w:rPr>
          <w:rFonts w:ascii="Times New Roman" w:hAnsi="Times New Roman" w:cs="Times New Roman"/>
          <w:color w:val="000000" w:themeColor="text1"/>
          <w:sz w:val="24"/>
          <w:szCs w:val="24"/>
        </w:rPr>
        <w:t>ustawy z dnia 23 kwietnia 1964 r. Kodeks cywilny</w:t>
      </w:r>
      <w:r w:rsidR="00355DCD" w:rsidRPr="00CE1978">
        <w:rPr>
          <w:rFonts w:ascii="Times New Roman" w:hAnsi="Times New Roman" w:cs="Times New Roman"/>
          <w:color w:val="000000" w:themeColor="text1"/>
          <w:sz w:val="24"/>
          <w:szCs w:val="24"/>
        </w:rPr>
        <w:t xml:space="preserve"> (Dz. U. z 202</w:t>
      </w:r>
      <w:r w:rsidR="0061652D" w:rsidRPr="00CE1978">
        <w:rPr>
          <w:rFonts w:ascii="Times New Roman" w:hAnsi="Times New Roman" w:cs="Times New Roman"/>
          <w:color w:val="000000" w:themeColor="text1"/>
          <w:sz w:val="24"/>
          <w:szCs w:val="24"/>
        </w:rPr>
        <w:t>2</w:t>
      </w:r>
      <w:r w:rsidR="00355DCD" w:rsidRPr="00CE1978">
        <w:rPr>
          <w:rFonts w:ascii="Times New Roman" w:hAnsi="Times New Roman" w:cs="Times New Roman"/>
          <w:color w:val="000000" w:themeColor="text1"/>
          <w:sz w:val="24"/>
          <w:szCs w:val="24"/>
        </w:rPr>
        <w:t xml:space="preserve"> r. poz. </w:t>
      </w:r>
      <w:r w:rsidR="0061652D" w:rsidRPr="00CE1978">
        <w:rPr>
          <w:rFonts w:ascii="Times New Roman" w:hAnsi="Times New Roman" w:cs="Times New Roman"/>
          <w:color w:val="000000" w:themeColor="text1"/>
          <w:sz w:val="24"/>
          <w:szCs w:val="24"/>
        </w:rPr>
        <w:t>1360)</w:t>
      </w:r>
      <w:r w:rsidRPr="00CE1978">
        <w:rPr>
          <w:rFonts w:ascii="Times New Roman" w:eastAsia="Times New Roman" w:hAnsi="Times New Roman" w:cs="Times New Roman"/>
          <w:bCs/>
          <w:color w:val="000000" w:themeColor="text1"/>
          <w:sz w:val="24"/>
          <w:szCs w:val="24"/>
        </w:rPr>
        <w:t xml:space="preserve">, konieczne jest wskazanie </w:t>
      </w:r>
      <w:r w:rsidRPr="00CE1978">
        <w:rPr>
          <w:rFonts w:ascii="Times New Roman" w:eastAsia="Times New Roman" w:hAnsi="Times New Roman" w:cs="Times New Roman"/>
          <w:bCs/>
          <w:i/>
          <w:color w:val="000000" w:themeColor="text1"/>
          <w:sz w:val="24"/>
          <w:szCs w:val="24"/>
        </w:rPr>
        <w:t>expressis verbis</w:t>
      </w:r>
      <w:r w:rsidRPr="00CE1978">
        <w:rPr>
          <w:rFonts w:ascii="Times New Roman" w:eastAsia="Times New Roman" w:hAnsi="Times New Roman" w:cs="Times New Roman"/>
          <w:bCs/>
          <w:color w:val="000000" w:themeColor="text1"/>
          <w:sz w:val="24"/>
          <w:szCs w:val="24"/>
        </w:rPr>
        <w:t xml:space="preserve">, że </w:t>
      </w:r>
      <w:r w:rsidRPr="00CE1978">
        <w:rPr>
          <w:rFonts w:ascii="Times New Roman" w:hAnsi="Times New Roman" w:cs="Times New Roman"/>
          <w:bCs/>
          <w:color w:val="000000" w:themeColor="text1"/>
          <w:sz w:val="24"/>
          <w:szCs w:val="24"/>
        </w:rPr>
        <w:t>właściciel lub użytkownik wieczysty nieruchomości nie może żądać ustanowienia za wynagrodzeniem służebności przesyłu na rzecz przedsiębiorcy telekomunikacyjnego, jeżeli zachodzą przesłanki zapewnienia temu przedsiębiorcy telekomunikacyjnemu dostępu, o którym mowa w art. 30 ust. 1 i 1a Megaustawy w brzmieniu nadanym niniejszą nowelizacją.</w:t>
      </w:r>
    </w:p>
    <w:p w14:paraId="31847172" w14:textId="2212E838"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75B895F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75B895FB" w:rsidRPr="00CE1978">
        <w:rPr>
          <w:rFonts w:ascii="Times New Roman" w:eastAsia="Times New Roman" w:hAnsi="Times New Roman" w:cs="Times New Roman"/>
          <w:b/>
          <w:bCs/>
          <w:color w:val="000000" w:themeColor="text1"/>
          <w:sz w:val="24"/>
          <w:szCs w:val="24"/>
        </w:rPr>
        <w:t xml:space="preserve">pkt </w:t>
      </w:r>
      <w:r w:rsidR="00C652F5" w:rsidRPr="00CE1978">
        <w:rPr>
          <w:rFonts w:ascii="Times New Roman" w:eastAsia="Times New Roman" w:hAnsi="Times New Roman" w:cs="Times New Roman"/>
          <w:b/>
          <w:bCs/>
          <w:color w:val="000000" w:themeColor="text1"/>
          <w:sz w:val="24"/>
          <w:szCs w:val="24"/>
        </w:rPr>
        <w:t>3</w:t>
      </w:r>
      <w:r w:rsidR="00BD4FE7" w:rsidRPr="00CE1978">
        <w:rPr>
          <w:rFonts w:ascii="Times New Roman" w:eastAsia="Times New Roman" w:hAnsi="Times New Roman" w:cs="Times New Roman"/>
          <w:b/>
          <w:bCs/>
          <w:color w:val="000000" w:themeColor="text1"/>
          <w:sz w:val="24"/>
          <w:szCs w:val="24"/>
        </w:rPr>
        <w:t>2</w:t>
      </w:r>
    </w:p>
    <w:p w14:paraId="4100EF37" w14:textId="77777777"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Uprawnienia użytkownika końcowego, do których odnosi się art. 31 i 32 Megaustawy, niezależnie od stosunku prawnego łączącego użytkownika końcowego z właścicielem nieruchomości, przysługują na podstawie przepisów odnoszących się do różnego rodzaju zobowiązań, zawartych</w:t>
      </w:r>
      <w:r w:rsidR="00927E2A" w:rsidRPr="00CE1978">
        <w:rPr>
          <w:rFonts w:ascii="Times New Roman" w:hAnsi="Times New Roman" w:cs="Times New Roman"/>
          <w:color w:val="000000" w:themeColor="text1"/>
          <w:sz w:val="24"/>
          <w:szCs w:val="24"/>
        </w:rPr>
        <w:t xml:space="preserve"> w Kc</w:t>
      </w:r>
      <w:r w:rsidRPr="00CE1978">
        <w:rPr>
          <w:rFonts w:ascii="Times New Roman" w:eastAsia="Times New Roman" w:hAnsi="Times New Roman" w:cs="Times New Roman"/>
          <w:color w:val="000000" w:themeColor="text1"/>
          <w:sz w:val="24"/>
          <w:szCs w:val="24"/>
        </w:rPr>
        <w:t xml:space="preserve">. Tytułem przykładu, zgodnie z art. 684 </w:t>
      </w:r>
      <w:r w:rsidR="00B418E5" w:rsidRPr="00CE1978">
        <w:rPr>
          <w:rFonts w:ascii="Times New Roman" w:eastAsia="Times New Roman" w:hAnsi="Times New Roman" w:cs="Times New Roman"/>
          <w:color w:val="000000" w:themeColor="text1"/>
          <w:sz w:val="24"/>
          <w:szCs w:val="24"/>
        </w:rPr>
        <w:t>Kc</w:t>
      </w:r>
      <w:r w:rsidR="002F2741"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i/>
          <w:color w:val="000000" w:themeColor="text1"/>
          <w:sz w:val="24"/>
          <w:szCs w:val="24"/>
        </w:rPr>
        <w:t>najemca może założyć w najętym lokalu oświetlenie elektryczne, gaz, telefon, radio i inne podobne urządzenia, chyba że sposób ich założenia sprzeciwia się obowiązującym przepisom albo zagraża bezpieczeństwu nieruchomości. Jeżeli do założenia urządzeń potrzebne jest współdziałanie wynajmującego, najemca może domagać się tego współdziałania za zwrotem wynikłych stąd kosztów</w:t>
      </w:r>
      <w:r w:rsidRPr="00CE1978">
        <w:rPr>
          <w:rFonts w:ascii="Times New Roman" w:eastAsia="Times New Roman" w:hAnsi="Times New Roman" w:cs="Times New Roman"/>
          <w:color w:val="000000" w:themeColor="text1"/>
          <w:sz w:val="24"/>
          <w:szCs w:val="24"/>
        </w:rPr>
        <w:t xml:space="preserve">”. Proponuje się więc uchylenie art. 31 i 32 jako zbędnych i powielających uprawnienia wynikające z innych </w:t>
      </w:r>
      <w:r w:rsidR="00B418E5" w:rsidRPr="00CE1978">
        <w:rPr>
          <w:rFonts w:ascii="Times New Roman" w:eastAsia="Times New Roman" w:hAnsi="Times New Roman" w:cs="Times New Roman"/>
          <w:color w:val="000000" w:themeColor="text1"/>
          <w:sz w:val="24"/>
          <w:szCs w:val="24"/>
        </w:rPr>
        <w:t xml:space="preserve">obowiązujących </w:t>
      </w:r>
      <w:r w:rsidRPr="00CE1978">
        <w:rPr>
          <w:rFonts w:ascii="Times New Roman" w:eastAsia="Times New Roman" w:hAnsi="Times New Roman" w:cs="Times New Roman"/>
          <w:color w:val="000000" w:themeColor="text1"/>
          <w:sz w:val="24"/>
          <w:szCs w:val="24"/>
        </w:rPr>
        <w:t>przepisów.</w:t>
      </w:r>
    </w:p>
    <w:p w14:paraId="5BE5F1C9" w14:textId="4A636418"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75B895F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 xml:space="preserve">6 </w:t>
      </w:r>
      <w:r w:rsidR="75B895FB" w:rsidRPr="00CE1978">
        <w:rPr>
          <w:rFonts w:ascii="Times New Roman" w:eastAsia="Times New Roman" w:hAnsi="Times New Roman" w:cs="Times New Roman"/>
          <w:b/>
          <w:bCs/>
          <w:color w:val="000000" w:themeColor="text1"/>
          <w:sz w:val="24"/>
          <w:szCs w:val="24"/>
        </w:rPr>
        <w:t xml:space="preserve">pkt </w:t>
      </w:r>
      <w:r w:rsidR="00DD0D55" w:rsidRPr="00CE1978">
        <w:rPr>
          <w:rFonts w:ascii="Times New Roman" w:eastAsia="Times New Roman" w:hAnsi="Times New Roman" w:cs="Times New Roman"/>
          <w:b/>
          <w:bCs/>
          <w:color w:val="000000" w:themeColor="text1"/>
          <w:sz w:val="24"/>
          <w:szCs w:val="24"/>
        </w:rPr>
        <w:t>3</w:t>
      </w:r>
      <w:r w:rsidR="00BD4FE7" w:rsidRPr="00CE1978">
        <w:rPr>
          <w:rFonts w:ascii="Times New Roman" w:eastAsia="Times New Roman" w:hAnsi="Times New Roman" w:cs="Times New Roman"/>
          <w:b/>
          <w:bCs/>
          <w:color w:val="000000" w:themeColor="text1"/>
          <w:sz w:val="24"/>
          <w:szCs w:val="24"/>
        </w:rPr>
        <w:t>3</w:t>
      </w:r>
    </w:p>
    <w:p w14:paraId="1F799FF0" w14:textId="112507CC"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Zmiany </w:t>
      </w:r>
      <w:r w:rsidR="00E96683" w:rsidRPr="00CE1978">
        <w:rPr>
          <w:rFonts w:ascii="Times New Roman" w:eastAsia="Times New Roman" w:hAnsi="Times New Roman" w:cs="Times New Roman"/>
          <w:color w:val="000000" w:themeColor="text1"/>
          <w:sz w:val="24"/>
          <w:szCs w:val="24"/>
        </w:rPr>
        <w:t xml:space="preserve">w </w:t>
      </w:r>
      <w:r w:rsidRPr="00CE1978">
        <w:rPr>
          <w:rFonts w:ascii="Times New Roman" w:eastAsia="Times New Roman" w:hAnsi="Times New Roman" w:cs="Times New Roman"/>
          <w:color w:val="000000" w:themeColor="text1"/>
          <w:sz w:val="24"/>
          <w:szCs w:val="24"/>
        </w:rPr>
        <w:t>brzmieniu art. 33 ust. 1 służą zmniejszeniu wątpliwości interpretacyjnych związanych z uprawnieniami i obowiązkami w zakresie dostępu do nieruchomości na podstawie art. 30 ust. 1</w:t>
      </w:r>
      <w:r w:rsidR="002F2741" w:rsidRPr="00CE1978">
        <w:rPr>
          <w:rFonts w:ascii="Times New Roman" w:eastAsia="Times New Roman" w:hAnsi="Times New Roman" w:cs="Times New Roman"/>
          <w:color w:val="000000" w:themeColor="text1"/>
          <w:sz w:val="24"/>
          <w:szCs w:val="24"/>
        </w:rPr>
        <w:t xml:space="preserve"> (i art. 30 ust. 1a w brzmieniu nadanym niniejszą nowelizacją)</w:t>
      </w:r>
      <w:r w:rsidRPr="00CE1978">
        <w:rPr>
          <w:rFonts w:ascii="Times New Roman" w:eastAsia="Times New Roman" w:hAnsi="Times New Roman" w:cs="Times New Roman"/>
          <w:color w:val="000000" w:themeColor="text1"/>
          <w:sz w:val="24"/>
          <w:szCs w:val="24"/>
        </w:rPr>
        <w:t xml:space="preserve">, a art. 33 </w:t>
      </w:r>
      <w:r w:rsidRPr="00CE1978">
        <w:rPr>
          <w:rFonts w:ascii="Times New Roman" w:eastAsia="Times New Roman" w:hAnsi="Times New Roman" w:cs="Times New Roman"/>
          <w:color w:val="000000" w:themeColor="text1"/>
          <w:sz w:val="24"/>
          <w:szCs w:val="24"/>
        </w:rPr>
        <w:lastRenderedPageBreak/>
        <w:t xml:space="preserve">Megaustawy. </w:t>
      </w:r>
      <w:r w:rsidR="003C216C" w:rsidRPr="00CE1978">
        <w:rPr>
          <w:rFonts w:ascii="Times New Roman" w:eastAsia="Times New Roman" w:hAnsi="Times New Roman" w:cs="Times New Roman"/>
          <w:color w:val="000000" w:themeColor="text1"/>
          <w:sz w:val="24"/>
          <w:szCs w:val="24"/>
        </w:rPr>
        <w:t xml:space="preserve">Doprecyzowanie </w:t>
      </w:r>
      <w:r w:rsidRPr="00CE1978">
        <w:rPr>
          <w:rFonts w:ascii="Times New Roman" w:eastAsia="Times New Roman" w:hAnsi="Times New Roman" w:cs="Times New Roman"/>
          <w:color w:val="000000" w:themeColor="text1"/>
          <w:sz w:val="24"/>
          <w:szCs w:val="24"/>
        </w:rPr>
        <w:t>polega na wskazaniu, że obowiązek z art. 33 ust. 1 dotyczy „innych przypadków niż określone w art. 30 ust. 1</w:t>
      </w:r>
      <w:r w:rsidR="002F2741" w:rsidRPr="00CE1978">
        <w:rPr>
          <w:rFonts w:ascii="Times New Roman" w:eastAsia="Times New Roman" w:hAnsi="Times New Roman" w:cs="Times New Roman"/>
          <w:color w:val="000000" w:themeColor="text1"/>
          <w:sz w:val="24"/>
          <w:szCs w:val="24"/>
        </w:rPr>
        <w:t xml:space="preserve"> i 1a</w:t>
      </w:r>
      <w:r w:rsidRPr="00CE1978">
        <w:rPr>
          <w:rFonts w:ascii="Times New Roman" w:eastAsia="Times New Roman" w:hAnsi="Times New Roman" w:cs="Times New Roman"/>
          <w:color w:val="000000" w:themeColor="text1"/>
          <w:sz w:val="24"/>
          <w:szCs w:val="24"/>
        </w:rPr>
        <w:t xml:space="preserve">”. Pozostałe zmiany w brzmieniu art. 33 ust. 1 związane są z potrzebą </w:t>
      </w:r>
      <w:r w:rsidR="00E83A60" w:rsidRPr="00CE1978">
        <w:rPr>
          <w:rFonts w:ascii="Times New Roman" w:eastAsia="Times New Roman" w:hAnsi="Times New Roman" w:cs="Times New Roman"/>
          <w:color w:val="000000" w:themeColor="text1"/>
          <w:sz w:val="24"/>
          <w:szCs w:val="24"/>
        </w:rPr>
        <w:t xml:space="preserve">dostosowania </w:t>
      </w:r>
      <w:r w:rsidRPr="00CE1978">
        <w:rPr>
          <w:rFonts w:ascii="Times New Roman" w:eastAsia="Times New Roman" w:hAnsi="Times New Roman" w:cs="Times New Roman"/>
          <w:color w:val="000000" w:themeColor="text1"/>
          <w:sz w:val="24"/>
          <w:szCs w:val="24"/>
        </w:rPr>
        <w:t xml:space="preserve">postanowień do innych zmian, wynikających również z projektu ustawy </w:t>
      </w:r>
      <w:r w:rsidR="795D0DAF" w:rsidRPr="00CE1978">
        <w:rPr>
          <w:rFonts w:ascii="Times New Roman" w:eastAsia="Times New Roman" w:hAnsi="Times New Roman" w:cs="Times New Roman"/>
          <w:color w:val="000000" w:themeColor="text1"/>
          <w:sz w:val="24"/>
          <w:szCs w:val="24"/>
        </w:rPr>
        <w:t>Pke</w:t>
      </w:r>
      <w:r w:rsidRPr="00CE1978">
        <w:rPr>
          <w:rFonts w:ascii="Times New Roman" w:eastAsia="Times New Roman" w:hAnsi="Times New Roman" w:cs="Times New Roman"/>
          <w:color w:val="000000" w:themeColor="text1"/>
          <w:sz w:val="24"/>
          <w:szCs w:val="24"/>
        </w:rPr>
        <w:t xml:space="preserve">, </w:t>
      </w:r>
      <w:r w:rsidR="002F2741" w:rsidRPr="00CE1978">
        <w:rPr>
          <w:rFonts w:ascii="Times New Roman" w:eastAsia="Times New Roman" w:hAnsi="Times New Roman" w:cs="Times New Roman"/>
          <w:color w:val="000000" w:themeColor="text1"/>
          <w:sz w:val="24"/>
          <w:szCs w:val="24"/>
        </w:rPr>
        <w:t xml:space="preserve">która to </w:t>
      </w:r>
      <w:r w:rsidRPr="00CE1978">
        <w:rPr>
          <w:rFonts w:ascii="Times New Roman" w:eastAsia="Times New Roman" w:hAnsi="Times New Roman" w:cs="Times New Roman"/>
          <w:color w:val="000000" w:themeColor="text1"/>
          <w:sz w:val="24"/>
          <w:szCs w:val="24"/>
        </w:rPr>
        <w:t xml:space="preserve">uchyla ustawę </w:t>
      </w:r>
      <w:r w:rsidR="3049001F" w:rsidRPr="00CE1978">
        <w:rPr>
          <w:rFonts w:ascii="Times New Roman" w:eastAsia="Times New Roman" w:hAnsi="Times New Roman" w:cs="Times New Roman"/>
          <w:color w:val="000000" w:themeColor="text1"/>
          <w:sz w:val="24"/>
          <w:szCs w:val="24"/>
        </w:rPr>
        <w:t>Pt</w:t>
      </w:r>
      <w:r w:rsidRPr="00CE1978">
        <w:rPr>
          <w:rFonts w:ascii="Times New Roman" w:eastAsia="Times New Roman" w:hAnsi="Times New Roman" w:cs="Times New Roman"/>
          <w:color w:val="000000" w:themeColor="text1"/>
          <w:sz w:val="24"/>
          <w:szCs w:val="24"/>
        </w:rPr>
        <w:t>.</w:t>
      </w:r>
    </w:p>
    <w:p w14:paraId="17F96D97" w14:textId="77777777" w:rsidR="75B895FB" w:rsidRPr="00CE1978" w:rsidRDefault="008154F1" w:rsidP="00F91F34">
      <w:pPr>
        <w:spacing w:before="120" w:after="0" w:line="360" w:lineRule="auto"/>
        <w:jc w:val="both"/>
        <w:rPr>
          <w:rFonts w:ascii="Times New Roman" w:eastAsia="Times New Roman" w:hAnsi="Times New Roman" w:cs="Times New Roman"/>
          <w:i/>
          <w:iCs/>
          <w:color w:val="000000" w:themeColor="text1"/>
          <w:sz w:val="24"/>
          <w:szCs w:val="24"/>
        </w:rPr>
      </w:pPr>
      <w:r w:rsidRPr="00CE1978">
        <w:rPr>
          <w:rFonts w:ascii="Times New Roman" w:eastAsia="Times New Roman" w:hAnsi="Times New Roman" w:cs="Times New Roman"/>
          <w:color w:val="000000" w:themeColor="text1"/>
          <w:sz w:val="24"/>
          <w:szCs w:val="24"/>
        </w:rPr>
        <w:t xml:space="preserve">Nowe brzmienie </w:t>
      </w:r>
      <w:r w:rsidR="75B895FB" w:rsidRPr="00CE1978">
        <w:rPr>
          <w:rFonts w:ascii="Times New Roman" w:eastAsia="Times New Roman" w:hAnsi="Times New Roman" w:cs="Times New Roman"/>
          <w:color w:val="000000" w:themeColor="text1"/>
          <w:sz w:val="24"/>
          <w:szCs w:val="24"/>
        </w:rPr>
        <w:t>art. 33 ust. 2</w:t>
      </w:r>
      <w:r w:rsidRPr="00CE1978">
        <w:rPr>
          <w:rFonts w:ascii="Times New Roman" w:eastAsia="Times New Roman" w:hAnsi="Times New Roman" w:cs="Times New Roman"/>
          <w:color w:val="000000" w:themeColor="text1"/>
          <w:sz w:val="24"/>
          <w:szCs w:val="24"/>
        </w:rPr>
        <w:t xml:space="preserve"> związane jest z przesądzeniem, że </w:t>
      </w:r>
      <w:r w:rsidR="75B895FB" w:rsidRPr="00CE1978">
        <w:rPr>
          <w:rFonts w:ascii="Times New Roman" w:eastAsia="Times New Roman" w:hAnsi="Times New Roman" w:cs="Times New Roman"/>
          <w:color w:val="000000" w:themeColor="text1"/>
          <w:sz w:val="24"/>
          <w:szCs w:val="24"/>
        </w:rPr>
        <w:t>umieszczanie</w:t>
      </w:r>
      <w:r w:rsidRPr="00CE1978">
        <w:rPr>
          <w:rFonts w:ascii="Times New Roman" w:eastAsia="Times New Roman" w:hAnsi="Times New Roman" w:cs="Times New Roman"/>
          <w:color w:val="000000" w:themeColor="text1"/>
          <w:sz w:val="24"/>
          <w:szCs w:val="24"/>
        </w:rPr>
        <w:t>, eksploatacja oraz konserwacja</w:t>
      </w:r>
      <w:r w:rsidR="75B895FB" w:rsidRPr="00CE1978">
        <w:rPr>
          <w:rFonts w:ascii="Times New Roman" w:eastAsia="Times New Roman" w:hAnsi="Times New Roman" w:cs="Times New Roman"/>
          <w:color w:val="000000" w:themeColor="text1"/>
          <w:sz w:val="24"/>
          <w:szCs w:val="24"/>
        </w:rPr>
        <w:t xml:space="preserve"> punktów dostępu bezprzewodowego o bliskim zasięgu na nieruchomościach stanowiących obszar kolejowy, o którym mowa w art. 4 pkt 8 ustawy z dnia 28 marca 2003 r. o transporcie kolejowym, będzie nieodpłatne. Powyższe rozwiązanie wpisuje się w jeden z głównych celów strategicznych Komunikatu </w:t>
      </w:r>
      <w:r w:rsidR="75B895FB" w:rsidRPr="00CE1978">
        <w:rPr>
          <w:rFonts w:ascii="Times New Roman" w:eastAsia="Times New Roman" w:hAnsi="Times New Roman" w:cs="Times New Roman"/>
          <w:i/>
          <w:iCs/>
          <w:color w:val="000000" w:themeColor="text1"/>
          <w:sz w:val="24"/>
          <w:szCs w:val="24"/>
        </w:rPr>
        <w:t>Gigabit Society</w:t>
      </w:r>
      <w:r w:rsidR="75B895FB" w:rsidRPr="00CE1978">
        <w:rPr>
          <w:rFonts w:ascii="Times New Roman" w:eastAsia="Times New Roman" w:hAnsi="Times New Roman" w:cs="Times New Roman"/>
          <w:color w:val="000000" w:themeColor="text1"/>
          <w:sz w:val="24"/>
          <w:szCs w:val="24"/>
        </w:rPr>
        <w:t xml:space="preserve"> (powielanego także w dokumentach krajowych), a mianowicie zapewnienia do roku 2025 niezakłóconego dostęp do sieci 5G na wszystkich obszarach miejskich i na wszystkich głównych szlakach komunikacyjnych (a więc także kolejowych). W celu stworzenia przyjaznych warunków dla realizacji nowoczesnych sieci telekomunikacyjnych służących zapewnieniu dostępu do usług telekomunikacyjnych na szlakach kolejowych, uzasadnione jest zatem, aby dostęp do nieruchomości, stanowiących obszar kolejowy, w celu umieszczania na nich punktów dostępu bezprzewodowego o bliskim zasięgu, był nieodpłatny. Beneficjentem takiej regulacji będą nie tylko przedsiębiorcy telekomunikacyjni, ale przede wszystkim pasażerowie korzystający z transportu kolejowego, którzy będą mieli możliwość uzyskania dostępu, w trakcie korzystania z transportu kolejowego, do nowoczesnych usług telekomunikacyjnych realizowanych przy wykorzystaniu punktów dostępu bezprzewodowego o bliskim zasięgu. Możliwość korzystania z nowoczesnych usług telekomunikacyjnych w trakcie korzystania z transportu kolejowego stanowić będzie również niewątpliwą zachętę dla pasażerów do korzystania z tego typu transportu, a zatem jest potencjalnie korzystna także z punktu widzenia przewoźników kolejowych, w tym podmiotów zapewniających dostęp do nieruchomości stanowiących obszar kolejowy. Wskazać należy również, iż tego typu rozwiązania przewidujące pewnego rodzaju „uprzywilejowanie” określonej formy dostępu do nieruchomości czy określonej infrastruktury w związku z uznaniem istotności celu, który będzie realizowany za pomocą tak uzyskanego dostępu już teraz występują w przepisach, zarówno na poziomie krajowym jak i unijnym. Tytułem przykładu wskazać można choćby nieodpłatny dostęp do nieruchomości w celu związanym z zapewnieniem telekomunikacji na danej nieruchomośc</w:t>
      </w:r>
      <w:r w:rsidR="00A43DF3" w:rsidRPr="00CE1978">
        <w:rPr>
          <w:rFonts w:ascii="Times New Roman" w:eastAsia="Times New Roman" w:hAnsi="Times New Roman" w:cs="Times New Roman"/>
          <w:color w:val="000000" w:themeColor="text1"/>
          <w:sz w:val="24"/>
          <w:szCs w:val="24"/>
        </w:rPr>
        <w:t>i (przewidziany w art. 30 Megaustawy</w:t>
      </w:r>
      <w:r w:rsidR="75B895FB" w:rsidRPr="00CE1978">
        <w:rPr>
          <w:rFonts w:ascii="Times New Roman" w:eastAsia="Times New Roman" w:hAnsi="Times New Roman" w:cs="Times New Roman"/>
          <w:color w:val="000000" w:themeColor="text1"/>
          <w:sz w:val="24"/>
          <w:szCs w:val="24"/>
        </w:rPr>
        <w:t>) czy przewidziany w art. 57 ust. 4 i 5 E</w:t>
      </w:r>
      <w:r w:rsidR="78F3D1C9" w:rsidRPr="00CE1978">
        <w:rPr>
          <w:rFonts w:ascii="Times New Roman" w:eastAsia="Times New Roman" w:hAnsi="Times New Roman" w:cs="Times New Roman"/>
          <w:color w:val="000000" w:themeColor="text1"/>
          <w:sz w:val="24"/>
          <w:szCs w:val="24"/>
        </w:rPr>
        <w:t>KŁE</w:t>
      </w:r>
      <w:r w:rsidR="0073337C" w:rsidRPr="00CE1978">
        <w:rPr>
          <w:rFonts w:ascii="Times New Roman" w:eastAsia="Times New Roman" w:hAnsi="Times New Roman" w:cs="Times New Roman"/>
          <w:color w:val="000000" w:themeColor="text1"/>
          <w:sz w:val="24"/>
          <w:szCs w:val="24"/>
        </w:rPr>
        <w:t xml:space="preserve"> </w:t>
      </w:r>
      <w:r w:rsidR="75B895FB" w:rsidRPr="00CE1978">
        <w:rPr>
          <w:rFonts w:ascii="Times New Roman" w:eastAsia="Times New Roman" w:hAnsi="Times New Roman" w:cs="Times New Roman"/>
          <w:color w:val="000000" w:themeColor="text1"/>
          <w:sz w:val="24"/>
          <w:szCs w:val="24"/>
        </w:rPr>
        <w:t>(a znajdujący odzwierciedlenie w projektowanym art. 17a</w:t>
      </w:r>
      <w:r w:rsidRPr="00CE1978">
        <w:rPr>
          <w:rFonts w:ascii="Times New Roman" w:eastAsia="Times New Roman" w:hAnsi="Times New Roman" w:cs="Times New Roman"/>
          <w:color w:val="000000" w:themeColor="text1"/>
          <w:sz w:val="24"/>
          <w:szCs w:val="24"/>
        </w:rPr>
        <w:t xml:space="preserve"> Megaust</w:t>
      </w:r>
      <w:r w:rsidR="00DF2D1F" w:rsidRPr="00CE1978">
        <w:rPr>
          <w:rFonts w:ascii="Times New Roman" w:eastAsia="Times New Roman" w:hAnsi="Times New Roman" w:cs="Times New Roman"/>
          <w:color w:val="000000" w:themeColor="text1"/>
          <w:sz w:val="24"/>
          <w:szCs w:val="24"/>
        </w:rPr>
        <w:t>a</w:t>
      </w:r>
      <w:r w:rsidRPr="00CE1978">
        <w:rPr>
          <w:rFonts w:ascii="Times New Roman" w:eastAsia="Times New Roman" w:hAnsi="Times New Roman" w:cs="Times New Roman"/>
          <w:color w:val="000000" w:themeColor="text1"/>
          <w:sz w:val="24"/>
          <w:szCs w:val="24"/>
        </w:rPr>
        <w:t>wy</w:t>
      </w:r>
      <w:r w:rsidR="75B895FB" w:rsidRPr="00CE1978">
        <w:rPr>
          <w:rFonts w:ascii="Times New Roman" w:eastAsia="Times New Roman" w:hAnsi="Times New Roman" w:cs="Times New Roman"/>
          <w:color w:val="000000" w:themeColor="text1"/>
          <w:sz w:val="24"/>
          <w:szCs w:val="24"/>
        </w:rPr>
        <w:t>) nieodpłatny dostęp</w:t>
      </w:r>
      <w:r w:rsidRPr="00CE1978">
        <w:rPr>
          <w:rFonts w:ascii="Times New Roman" w:eastAsia="Times New Roman" w:hAnsi="Times New Roman" w:cs="Times New Roman"/>
          <w:color w:val="000000" w:themeColor="text1"/>
          <w:sz w:val="24"/>
          <w:szCs w:val="24"/>
        </w:rPr>
        <w:t>:</w:t>
      </w:r>
      <w:r w:rsidR="75B895FB" w:rsidRPr="00CE1978">
        <w:rPr>
          <w:rFonts w:ascii="Times New Roman" w:eastAsia="Times New Roman" w:hAnsi="Times New Roman" w:cs="Times New Roman"/>
          <w:color w:val="000000" w:themeColor="text1"/>
          <w:sz w:val="24"/>
          <w:szCs w:val="24"/>
        </w:rPr>
        <w:t xml:space="preserve"> „</w:t>
      </w:r>
      <w:r w:rsidR="75B895FB" w:rsidRPr="00CE1978">
        <w:rPr>
          <w:rFonts w:ascii="Times New Roman" w:eastAsia="Times New Roman" w:hAnsi="Times New Roman" w:cs="Times New Roman"/>
          <w:i/>
          <w:iCs/>
          <w:color w:val="000000" w:themeColor="text1"/>
          <w:sz w:val="24"/>
          <w:szCs w:val="24"/>
        </w:rPr>
        <w:t xml:space="preserve">do każdej zarządzanej przez krajowe, regionalne lub lokalne organy publiczne infrastruktury technicznej, która nadaje się </w:t>
      </w:r>
      <w:r w:rsidR="75B895FB" w:rsidRPr="00CE1978">
        <w:rPr>
          <w:rFonts w:ascii="Times New Roman" w:eastAsia="Times New Roman" w:hAnsi="Times New Roman" w:cs="Times New Roman"/>
          <w:i/>
          <w:iCs/>
          <w:color w:val="000000" w:themeColor="text1"/>
          <w:sz w:val="24"/>
          <w:szCs w:val="24"/>
        </w:rPr>
        <w:lastRenderedPageBreak/>
        <w:t>pod względem technicznym do umieszczania punktów dostępu bezprzewodowego o bliskim zasięgu lub która jest niezbędna do połączenia takich punktów dostępu z siecią szkieletową”</w:t>
      </w:r>
      <w:r w:rsidR="75B895FB" w:rsidRPr="00CE1978">
        <w:rPr>
          <w:rFonts w:ascii="Times New Roman" w:eastAsia="Times New Roman" w:hAnsi="Times New Roman" w:cs="Times New Roman"/>
          <w:color w:val="000000" w:themeColor="text1"/>
          <w:sz w:val="24"/>
          <w:szCs w:val="24"/>
        </w:rPr>
        <w:t>. W tym miejscu warto również podkreślić, iż jak zostało wskazane w SOR „</w:t>
      </w:r>
      <w:r w:rsidR="75B895FB" w:rsidRPr="00CE1978">
        <w:rPr>
          <w:rFonts w:ascii="Times New Roman" w:eastAsia="Times New Roman" w:hAnsi="Times New Roman" w:cs="Times New Roman"/>
          <w:i/>
          <w:iCs/>
          <w:color w:val="000000" w:themeColor="text1"/>
          <w:sz w:val="24"/>
          <w:szCs w:val="24"/>
        </w:rPr>
        <w:t>Cyfryzacja i innowacyjność potrzebują odpowiedniej infrastruktury telekomunikacyjnej. Dostęp do szybkiego internetu napędza rozwój społeczno-gospodarczy i jest jedną z podstawowych potrzeb, której zaspokojenie umożliwia społeczeństwu korzystanie z usług i aplikacji ułatwiających życie codzienne. Dzięki sieciom szerokopasmowym możliwe jest ograniczenie kosztów prowadzenia działalności gospodarczej, m.in. poprzez nowe modele biznesowe, lepsze zautomatyzowanie produkcji czy dostęp do nowych narzędzi cyfrowych. Coraz bardziej zaawansowane usługi cyfrowe wymagają coraz wyższych przepustowości. Rozwój sieci w tym kierunku jest zatem kołem zamachowym innowacji wzmacniających konkurencyjność gospodarki i poziom życia obywateli</w:t>
      </w:r>
      <w:r w:rsidR="75B895FB" w:rsidRPr="00CE1978">
        <w:rPr>
          <w:rFonts w:ascii="Times New Roman" w:eastAsia="Times New Roman" w:hAnsi="Times New Roman" w:cs="Times New Roman"/>
          <w:color w:val="000000" w:themeColor="text1"/>
          <w:sz w:val="24"/>
          <w:szCs w:val="24"/>
        </w:rPr>
        <w:t xml:space="preserve">. (…) </w:t>
      </w:r>
      <w:r w:rsidR="75B895FB" w:rsidRPr="00CE1978">
        <w:rPr>
          <w:rFonts w:ascii="Times New Roman" w:eastAsia="Times New Roman" w:hAnsi="Times New Roman" w:cs="Times New Roman"/>
          <w:i/>
          <w:iCs/>
          <w:color w:val="000000" w:themeColor="text1"/>
          <w:sz w:val="24"/>
          <w:szCs w:val="24"/>
        </w:rPr>
        <w:t>Szerokopasmowy dostęp do internetu, podobnie jak inne techniki informacyjno-komunikacyjne (ICT), stanowi katalizator wzrostu gospodarczego, zarówno w skali globalnej, jaki i regionalnej.</w:t>
      </w:r>
      <w:r w:rsidR="75B895FB" w:rsidRPr="00CE1978">
        <w:rPr>
          <w:rFonts w:ascii="Times New Roman" w:eastAsia="Times New Roman" w:hAnsi="Times New Roman" w:cs="Times New Roman"/>
          <w:color w:val="000000" w:themeColor="text1"/>
          <w:sz w:val="24"/>
          <w:szCs w:val="24"/>
        </w:rPr>
        <w:t xml:space="preserve"> (…) </w:t>
      </w:r>
      <w:r w:rsidR="75B895FB" w:rsidRPr="00CE1978">
        <w:rPr>
          <w:rFonts w:ascii="Times New Roman" w:eastAsia="Times New Roman" w:hAnsi="Times New Roman" w:cs="Times New Roman"/>
          <w:i/>
          <w:iCs/>
          <w:color w:val="000000" w:themeColor="text1"/>
          <w:sz w:val="24"/>
          <w:szCs w:val="24"/>
        </w:rPr>
        <w:t>Podstawowym wymogiem wystąpienia tych efektów jest dostępność nowoczesnej infrastruktury, dlatego rolą państwa w tym zakresie jest tworzenie przyjaznych warunków dla budowy sieci szerokopasmowych (mobilnych i stacjonarnych) oraz interwencja publiczna ze środków krajowych i unijnych maksymalizująca pozytywny wpływ tych sieci na gospodarkę i społeczeństwo.</w:t>
      </w:r>
      <w:r w:rsidR="75B895FB" w:rsidRPr="00CE1978">
        <w:rPr>
          <w:rFonts w:ascii="Times New Roman" w:eastAsia="Times New Roman" w:hAnsi="Times New Roman" w:cs="Times New Roman"/>
          <w:color w:val="000000" w:themeColor="text1"/>
          <w:sz w:val="24"/>
          <w:szCs w:val="24"/>
        </w:rPr>
        <w:t xml:space="preserve">”. Wprowadzenie nieodpłatnego dostępu do nieruchomości stanowiących obszar kolejowy na cele związane z umieszczaniem punktów dostępu bezprzewodowego o bliskim zasięgu stanowi właśnie wyraz realizacji roli państwa w zakresie </w:t>
      </w:r>
      <w:r w:rsidR="75B895FB" w:rsidRPr="00CE1978">
        <w:rPr>
          <w:rFonts w:ascii="Times New Roman" w:eastAsia="Times New Roman" w:hAnsi="Times New Roman" w:cs="Times New Roman"/>
          <w:i/>
          <w:iCs/>
          <w:color w:val="000000" w:themeColor="text1"/>
          <w:sz w:val="24"/>
          <w:szCs w:val="24"/>
        </w:rPr>
        <w:t>„tworzenia przyjaznych warunków dla budowy sieci szerokopasmowych (mobilnych i stacjonarnych)”.</w:t>
      </w:r>
    </w:p>
    <w:p w14:paraId="56EE048F" w14:textId="77777777" w:rsidR="008154F1" w:rsidRPr="00CE1978" w:rsidRDefault="008154F1" w:rsidP="00F91F34">
      <w:pPr>
        <w:spacing w:before="120" w:after="0" w:line="360" w:lineRule="auto"/>
        <w:jc w:val="both"/>
        <w:rPr>
          <w:rFonts w:ascii="Times New Roman" w:eastAsia="Times New Roman" w:hAnsi="Times New Roman" w:cs="Times New Roman"/>
          <w:iCs/>
          <w:color w:val="000000" w:themeColor="text1"/>
          <w:sz w:val="24"/>
          <w:szCs w:val="24"/>
        </w:rPr>
      </w:pPr>
      <w:r w:rsidRPr="00CE1978">
        <w:rPr>
          <w:rFonts w:ascii="Times New Roman" w:eastAsia="Times New Roman" w:hAnsi="Times New Roman" w:cs="Times New Roman"/>
          <w:iCs/>
          <w:color w:val="000000" w:themeColor="text1"/>
          <w:sz w:val="24"/>
          <w:szCs w:val="24"/>
        </w:rPr>
        <w:t xml:space="preserve">Zmiany w art. </w:t>
      </w:r>
      <w:r w:rsidR="001A5097" w:rsidRPr="00CE1978">
        <w:rPr>
          <w:rFonts w:ascii="Times New Roman" w:eastAsia="Times New Roman" w:hAnsi="Times New Roman" w:cs="Times New Roman"/>
          <w:iCs/>
          <w:color w:val="000000" w:themeColor="text1"/>
          <w:sz w:val="24"/>
          <w:szCs w:val="24"/>
        </w:rPr>
        <w:t>33 ust. 3 wynikają z:</w:t>
      </w:r>
    </w:p>
    <w:p w14:paraId="0431BF77" w14:textId="60A4E4B0" w:rsidR="001A5097" w:rsidRPr="00CE1978" w:rsidRDefault="00DF2D1F"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uregulowania zawartego w art. 16</w:t>
      </w:r>
      <w:r w:rsidR="001A5097" w:rsidRPr="00CE1978">
        <w:rPr>
          <w:rFonts w:ascii="Times New Roman" w:eastAsia="Times New Roman" w:hAnsi="Times New Roman" w:cs="Times New Roman"/>
          <w:color w:val="000000" w:themeColor="text1"/>
          <w:sz w:val="24"/>
          <w:szCs w:val="24"/>
        </w:rPr>
        <w:t>8 ust. 2 Pke, zgodnie z którym umowa o dostępie określa warunki dostępu telekomunikacyjnego (w rozumieniu Pke, a więc obejmujące dostęp do</w:t>
      </w:r>
      <w:r w:rsidRPr="00CE1978">
        <w:rPr>
          <w:rFonts w:ascii="Times New Roman" w:eastAsia="Times New Roman" w:hAnsi="Times New Roman" w:cs="Times New Roman"/>
          <w:color w:val="000000" w:themeColor="text1"/>
          <w:sz w:val="24"/>
          <w:szCs w:val="24"/>
        </w:rPr>
        <w:t xml:space="preserve"> nieruchomości, w tym do budynków</w:t>
      </w:r>
      <w:r w:rsidR="001A5097" w:rsidRPr="00CE1978">
        <w:rPr>
          <w:rFonts w:ascii="Times New Roman" w:eastAsia="Times New Roman" w:hAnsi="Times New Roman" w:cs="Times New Roman"/>
          <w:color w:val="000000" w:themeColor="text1"/>
          <w:sz w:val="24"/>
          <w:szCs w:val="24"/>
        </w:rPr>
        <w:t xml:space="preserve"> niezależnie od tego, czy dysponentem jest przedsiębiorca telekomunikacyjny, czy inny podmiot zobowiązany do zapewnienia dostępu) </w:t>
      </w:r>
      <w:r w:rsidR="008E13B1" w:rsidRPr="00CE1978">
        <w:rPr>
          <w:rFonts w:ascii="Times New Roman" w:eastAsia="Times New Roman" w:hAnsi="Times New Roman" w:cs="Times New Roman"/>
          <w:color w:val="000000" w:themeColor="text1"/>
          <w:sz w:val="24"/>
          <w:szCs w:val="24"/>
        </w:rPr>
        <w:t>oraz związanej z nim współpracy,</w:t>
      </w:r>
    </w:p>
    <w:p w14:paraId="038ADFB9" w14:textId="09122A46" w:rsidR="001A5097" w:rsidRPr="00CE1978" w:rsidRDefault="001A5097"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w:t>
      </w:r>
      <w:r w:rsidR="00DF2D1F" w:rsidRPr="00CE1978">
        <w:rPr>
          <w:rFonts w:ascii="Times New Roman" w:eastAsia="Times New Roman" w:hAnsi="Times New Roman" w:cs="Times New Roman"/>
          <w:color w:val="000000" w:themeColor="text1"/>
          <w:sz w:val="24"/>
          <w:szCs w:val="24"/>
        </w:rPr>
        <w:t>6</w:t>
      </w:r>
      <w:r w:rsidRPr="00CE1978">
        <w:rPr>
          <w:rFonts w:ascii="Times New Roman" w:eastAsia="Times New Roman" w:hAnsi="Times New Roman" w:cs="Times New Roman"/>
          <w:color w:val="000000" w:themeColor="text1"/>
          <w:sz w:val="24"/>
          <w:szCs w:val="24"/>
        </w:rPr>
        <w:t>8 ust. 1</w:t>
      </w:r>
      <w:r w:rsidR="00F743FC" w:rsidRPr="00CE1978">
        <w:rPr>
          <w:rFonts w:ascii="Times New Roman" w:eastAsia="Times New Roman" w:hAnsi="Times New Roman" w:cs="Times New Roman"/>
          <w:color w:val="000000" w:themeColor="text1"/>
          <w:sz w:val="24"/>
          <w:szCs w:val="24"/>
        </w:rPr>
        <w:t xml:space="preserve"> Pke</w:t>
      </w:r>
      <w:r w:rsidRPr="00CE1978">
        <w:rPr>
          <w:rFonts w:ascii="Times New Roman" w:eastAsia="Times New Roman" w:hAnsi="Times New Roman" w:cs="Times New Roman"/>
          <w:color w:val="000000" w:themeColor="text1"/>
          <w:sz w:val="24"/>
          <w:szCs w:val="24"/>
        </w:rPr>
        <w:t>, który dla umowy o dostępie jest przewiduje formę dokumentową pod rygorem nieważności. Projektuje się więc rezygnację z obowiązku zawierania umowy na piśmie, także o do</w:t>
      </w:r>
      <w:r w:rsidR="008E13B1" w:rsidRPr="00CE1978">
        <w:rPr>
          <w:rFonts w:ascii="Times New Roman" w:eastAsia="Times New Roman" w:hAnsi="Times New Roman" w:cs="Times New Roman"/>
          <w:color w:val="000000" w:themeColor="text1"/>
          <w:sz w:val="24"/>
          <w:szCs w:val="24"/>
        </w:rPr>
        <w:t>stępie, o którym mowa w art. 33,</w:t>
      </w:r>
    </w:p>
    <w:p w14:paraId="01B5651F" w14:textId="3F19735A" w:rsidR="001A5097" w:rsidRPr="00532F3A" w:rsidRDefault="00F743FC"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konieczności uzupełnienia</w:t>
      </w:r>
      <w:r w:rsidR="001A5097" w:rsidRPr="00CE1978">
        <w:rPr>
          <w:rFonts w:ascii="Times New Roman" w:eastAsia="Times New Roman" w:hAnsi="Times New Roman" w:cs="Times New Roman"/>
          <w:color w:val="000000" w:themeColor="text1"/>
          <w:sz w:val="24"/>
          <w:szCs w:val="24"/>
        </w:rPr>
        <w:t xml:space="preserve"> katalog</w:t>
      </w:r>
      <w:r w:rsidRPr="00CE1978">
        <w:rPr>
          <w:rFonts w:ascii="Times New Roman" w:eastAsia="Times New Roman" w:hAnsi="Times New Roman" w:cs="Times New Roman"/>
          <w:color w:val="000000" w:themeColor="text1"/>
          <w:sz w:val="24"/>
          <w:szCs w:val="24"/>
        </w:rPr>
        <w:t>u</w:t>
      </w:r>
      <w:r w:rsidR="001A5097" w:rsidRPr="00CE1978">
        <w:rPr>
          <w:rFonts w:ascii="Times New Roman" w:eastAsia="Times New Roman" w:hAnsi="Times New Roman" w:cs="Times New Roman"/>
          <w:color w:val="000000" w:themeColor="text1"/>
          <w:sz w:val="24"/>
          <w:szCs w:val="24"/>
        </w:rPr>
        <w:t xml:space="preserve"> podmiotów w ślad za art. 33 ust. 1</w:t>
      </w:r>
      <w:r w:rsidRPr="00CE1978">
        <w:rPr>
          <w:rFonts w:ascii="Times New Roman" w:eastAsia="Times New Roman" w:hAnsi="Times New Roman" w:cs="Times New Roman"/>
          <w:color w:val="000000" w:themeColor="text1"/>
          <w:sz w:val="24"/>
          <w:szCs w:val="24"/>
        </w:rPr>
        <w:t xml:space="preserve"> Megaustawy, z</w:t>
      </w:r>
      <w:r w:rsidR="00532F3A">
        <w:rPr>
          <w:rFonts w:ascii="Times New Roman" w:eastAsia="Times New Roman" w:hAnsi="Times New Roman" w:cs="Times New Roman"/>
          <w:color w:val="000000" w:themeColor="text1"/>
          <w:sz w:val="24"/>
          <w:szCs w:val="24"/>
        </w:rPr>
        <w:t xml:space="preserve"> </w:t>
      </w:r>
      <w:r w:rsidR="001A5097" w:rsidRPr="00532F3A">
        <w:rPr>
          <w:rFonts w:ascii="Times New Roman" w:eastAsia="Times New Roman" w:hAnsi="Times New Roman" w:cs="Times New Roman"/>
          <w:color w:val="000000" w:themeColor="text1"/>
          <w:sz w:val="24"/>
          <w:szCs w:val="24"/>
        </w:rPr>
        <w:t>którym</w:t>
      </w:r>
      <w:r w:rsidRPr="00532F3A">
        <w:rPr>
          <w:rFonts w:ascii="Times New Roman" w:eastAsia="Times New Roman" w:hAnsi="Times New Roman" w:cs="Times New Roman"/>
          <w:color w:val="000000" w:themeColor="text1"/>
          <w:sz w:val="24"/>
          <w:szCs w:val="24"/>
        </w:rPr>
        <w:t>i również warunki korzystania z nieruchomości powinny być ustalone w terminie 30 dni od dnia wystąpienia z wnioskiem o zawarcie umow</w:t>
      </w:r>
      <w:r w:rsidR="008E13B1" w:rsidRPr="00532F3A">
        <w:rPr>
          <w:rFonts w:ascii="Times New Roman" w:eastAsia="Times New Roman" w:hAnsi="Times New Roman" w:cs="Times New Roman"/>
          <w:color w:val="000000" w:themeColor="text1"/>
          <w:sz w:val="24"/>
          <w:szCs w:val="24"/>
        </w:rPr>
        <w:t>y w zakresie rzeczonego dostępu,</w:t>
      </w:r>
    </w:p>
    <w:p w14:paraId="26F5107C" w14:textId="475644C5" w:rsidR="00F743FC" w:rsidRPr="00C10C7D" w:rsidRDefault="00F743FC" w:rsidP="00F91F34">
      <w:pPr>
        <w:pStyle w:val="Akapitzlist"/>
        <w:numPr>
          <w:ilvl w:val="0"/>
          <w:numId w:val="1"/>
        </w:numPr>
        <w:spacing w:before="120" w:after="0" w:line="360" w:lineRule="auto"/>
        <w:ind w:left="284" w:hanging="284"/>
        <w:contextualSpacing w:val="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dodaje się zdanie, zgodnie z którym art. 30 ust</w:t>
      </w:r>
      <w:r w:rsidR="00C2606F"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 xml:space="preserve"> 5d Megaustawy stosuje się odpowiednio. „Odpowiednie stosowanie” w ocenie projektodawcy oznacza, że przewidziany skutek związania następców prawnych właścicieli i użytkowników wieczystych nieruchomości objętych umową lub decyzją oraz innych podmiotów władających tą nieruchomością dotyczy umów oraz decyzji w sprawie dostępu, o którym mowa w art. 33 (a nie art. 30 ust. 1 i 3) Megaustawy.</w:t>
      </w:r>
    </w:p>
    <w:p w14:paraId="22861DB2" w14:textId="4EC16BEB" w:rsidR="00DF2D1F" w:rsidRPr="00C10C7D" w:rsidRDefault="00DF2D1F"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Należy podkreślić, że w związku z niezmienioną treścią art. 33 ust. 7</w:t>
      </w:r>
      <w:r w:rsidR="005C158A" w:rsidRPr="00C10C7D">
        <w:rPr>
          <w:rFonts w:ascii="Times New Roman" w:eastAsia="Times New Roman" w:hAnsi="Times New Roman" w:cs="Times New Roman"/>
          <w:color w:val="000000" w:themeColor="text1"/>
          <w:sz w:val="24"/>
          <w:szCs w:val="24"/>
        </w:rPr>
        <w:t xml:space="preserve"> Megaustawy,</w:t>
      </w:r>
      <w:r w:rsidRPr="00C10C7D">
        <w:rPr>
          <w:rFonts w:ascii="Times New Roman" w:eastAsia="Times New Roman" w:hAnsi="Times New Roman" w:cs="Times New Roman"/>
          <w:color w:val="000000" w:themeColor="text1"/>
          <w:sz w:val="24"/>
          <w:szCs w:val="24"/>
        </w:rPr>
        <w:t xml:space="preserve"> spór o dostęp</w:t>
      </w:r>
      <w:r w:rsidR="005C158A" w:rsidRPr="00C10C7D">
        <w:rPr>
          <w:rFonts w:ascii="Times New Roman" w:eastAsia="Times New Roman" w:hAnsi="Times New Roman" w:cs="Times New Roman"/>
          <w:color w:val="000000" w:themeColor="text1"/>
          <w:sz w:val="24"/>
          <w:szCs w:val="24"/>
        </w:rPr>
        <w:t xml:space="preserve">, o którym mowa w art. 33 Megaustawy, będzie rozstrzygany w oparciu o przepisu tego artykułu i odpowiednie stosowanie przepisów, do których odsyła. W tym kontekście regulacja art. 33 Megaustawy ma charakter </w:t>
      </w:r>
      <w:r w:rsidR="005C158A" w:rsidRPr="00C10C7D">
        <w:rPr>
          <w:rFonts w:ascii="Times New Roman" w:eastAsia="Times New Roman" w:hAnsi="Times New Roman" w:cs="Times New Roman"/>
          <w:i/>
          <w:color w:val="000000" w:themeColor="text1"/>
          <w:sz w:val="24"/>
          <w:szCs w:val="24"/>
        </w:rPr>
        <w:t>lex specialis</w:t>
      </w:r>
      <w:r w:rsidR="005C158A" w:rsidRPr="00C10C7D">
        <w:rPr>
          <w:rFonts w:ascii="Times New Roman" w:eastAsia="Times New Roman" w:hAnsi="Times New Roman" w:cs="Times New Roman"/>
          <w:color w:val="000000" w:themeColor="text1"/>
          <w:sz w:val="24"/>
          <w:szCs w:val="24"/>
        </w:rPr>
        <w:t xml:space="preserve"> w stosunku do Działu III Rozdziału 3 Pke.</w:t>
      </w:r>
    </w:p>
    <w:p w14:paraId="0E2E0C6F" w14:textId="6203BC97"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t>A</w:t>
      </w:r>
      <w:r w:rsidR="75B895FB" w:rsidRPr="00C10C7D">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00A43DF3" w:rsidRPr="00CE1978">
        <w:rPr>
          <w:rFonts w:ascii="Times New Roman" w:eastAsia="Times New Roman" w:hAnsi="Times New Roman" w:cs="Times New Roman"/>
          <w:b/>
          <w:bCs/>
          <w:color w:val="000000" w:themeColor="text1"/>
          <w:sz w:val="24"/>
          <w:szCs w:val="24"/>
        </w:rPr>
        <w:t>pkt 3</w:t>
      </w:r>
      <w:r w:rsidR="00BD4FE7" w:rsidRPr="00CE1978">
        <w:rPr>
          <w:rFonts w:ascii="Times New Roman" w:eastAsia="Times New Roman" w:hAnsi="Times New Roman" w:cs="Times New Roman"/>
          <w:b/>
          <w:bCs/>
          <w:color w:val="000000" w:themeColor="text1"/>
          <w:sz w:val="24"/>
          <w:szCs w:val="24"/>
        </w:rPr>
        <w:t>4</w:t>
      </w:r>
      <w:r w:rsidR="75B895FB" w:rsidRPr="00CE1978">
        <w:rPr>
          <w:rFonts w:ascii="Times New Roman" w:eastAsia="Times New Roman" w:hAnsi="Times New Roman" w:cs="Times New Roman"/>
          <w:b/>
          <w:bCs/>
          <w:color w:val="000000" w:themeColor="text1"/>
          <w:sz w:val="24"/>
          <w:szCs w:val="24"/>
        </w:rPr>
        <w:t xml:space="preserve"> </w:t>
      </w:r>
    </w:p>
    <w:p w14:paraId="179FBED7" w14:textId="77777777"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Proponuje się u</w:t>
      </w:r>
      <w:r w:rsidR="5825AD48" w:rsidRPr="00CE1978">
        <w:rPr>
          <w:rFonts w:ascii="Times New Roman" w:eastAsia="Times New Roman" w:hAnsi="Times New Roman" w:cs="Times New Roman"/>
          <w:color w:val="000000" w:themeColor="text1"/>
          <w:sz w:val="24"/>
          <w:szCs w:val="24"/>
        </w:rPr>
        <w:t>chylenie</w:t>
      </w:r>
      <w:r w:rsidRPr="00CE1978">
        <w:rPr>
          <w:rFonts w:ascii="Times New Roman" w:eastAsia="Times New Roman" w:hAnsi="Times New Roman" w:cs="Times New Roman"/>
          <w:color w:val="000000" w:themeColor="text1"/>
          <w:sz w:val="24"/>
          <w:szCs w:val="24"/>
        </w:rPr>
        <w:t xml:space="preserve"> art. 35</w:t>
      </w:r>
      <w:r w:rsidR="43132176" w:rsidRPr="00CE1978">
        <w:rPr>
          <w:rFonts w:ascii="Times New Roman" w:eastAsia="Times New Roman" w:hAnsi="Times New Roman" w:cs="Times New Roman"/>
          <w:color w:val="000000" w:themeColor="text1"/>
          <w:sz w:val="24"/>
          <w:szCs w:val="24"/>
        </w:rPr>
        <w:t xml:space="preserve"> Megaustawy</w:t>
      </w:r>
      <w:r w:rsidR="003804EA" w:rsidRPr="00CE1978">
        <w:rPr>
          <w:rFonts w:ascii="Times New Roman" w:eastAsia="Times New Roman" w:hAnsi="Times New Roman" w:cs="Times New Roman"/>
          <w:color w:val="000000" w:themeColor="text1"/>
          <w:sz w:val="24"/>
          <w:szCs w:val="24"/>
        </w:rPr>
        <w:t>, ponieważ i</w:t>
      </w:r>
      <w:r w:rsidRPr="00CE1978">
        <w:rPr>
          <w:rFonts w:ascii="Times New Roman" w:eastAsia="Times New Roman" w:hAnsi="Times New Roman" w:cs="Times New Roman"/>
          <w:color w:val="000000" w:themeColor="text1"/>
          <w:sz w:val="24"/>
          <w:szCs w:val="24"/>
        </w:rPr>
        <w:t xml:space="preserve">nfrastruktura techniczna, o której mowa w rzeczonym przepisie, jest udostępniana przez operatorów sieci w oparciu o inne przepisy </w:t>
      </w:r>
      <w:r w:rsidR="43132176" w:rsidRPr="00CE1978">
        <w:rPr>
          <w:rFonts w:ascii="Times New Roman" w:eastAsia="Times New Roman" w:hAnsi="Times New Roman" w:cs="Times New Roman"/>
          <w:color w:val="000000" w:themeColor="text1"/>
          <w:sz w:val="24"/>
          <w:szCs w:val="24"/>
        </w:rPr>
        <w:t>ustawy</w:t>
      </w:r>
      <w:r w:rsidRPr="00CE1978">
        <w:rPr>
          <w:rFonts w:ascii="Times New Roman" w:eastAsia="Times New Roman" w:hAnsi="Times New Roman" w:cs="Times New Roman"/>
          <w:color w:val="000000" w:themeColor="text1"/>
          <w:sz w:val="24"/>
          <w:szCs w:val="24"/>
        </w:rPr>
        <w:t xml:space="preserve">, a spory o dostęp do tej infrastruktury rozstrzyga Prezes UKE. </w:t>
      </w:r>
    </w:p>
    <w:p w14:paraId="666900A4" w14:textId="4466DED2" w:rsidR="003804EA"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75B895F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00A43DF3" w:rsidRPr="00CE1978">
        <w:rPr>
          <w:rFonts w:ascii="Times New Roman" w:eastAsia="Times New Roman" w:hAnsi="Times New Roman" w:cs="Times New Roman"/>
          <w:b/>
          <w:bCs/>
          <w:color w:val="000000" w:themeColor="text1"/>
          <w:sz w:val="24"/>
          <w:szCs w:val="24"/>
        </w:rPr>
        <w:t xml:space="preserve">pkt </w:t>
      </w:r>
      <w:r w:rsidR="00C652F5" w:rsidRPr="00CE1978">
        <w:rPr>
          <w:rFonts w:ascii="Times New Roman" w:eastAsia="Times New Roman" w:hAnsi="Times New Roman" w:cs="Times New Roman"/>
          <w:b/>
          <w:bCs/>
          <w:color w:val="000000" w:themeColor="text1"/>
          <w:sz w:val="24"/>
          <w:szCs w:val="24"/>
        </w:rPr>
        <w:t>3</w:t>
      </w:r>
      <w:r w:rsidR="00BD4FE7" w:rsidRPr="00CE1978">
        <w:rPr>
          <w:rFonts w:ascii="Times New Roman" w:eastAsia="Times New Roman" w:hAnsi="Times New Roman" w:cs="Times New Roman"/>
          <w:b/>
          <w:bCs/>
          <w:color w:val="000000" w:themeColor="text1"/>
          <w:sz w:val="24"/>
          <w:szCs w:val="24"/>
        </w:rPr>
        <w:t>5</w:t>
      </w:r>
      <w:r w:rsidR="003804EA" w:rsidRPr="00CE1978">
        <w:rPr>
          <w:rFonts w:ascii="Times New Roman" w:eastAsia="Times New Roman" w:hAnsi="Times New Roman" w:cs="Times New Roman"/>
          <w:b/>
          <w:bCs/>
          <w:color w:val="000000" w:themeColor="text1"/>
          <w:sz w:val="24"/>
          <w:szCs w:val="24"/>
        </w:rPr>
        <w:t xml:space="preserve"> lit. d</w:t>
      </w:r>
    </w:p>
    <w:p w14:paraId="654A78CE" w14:textId="77777777" w:rsidR="75B895FB" w:rsidRPr="00CE1978" w:rsidRDefault="00964654"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Dodany do art. 35a Megaustawy ust. 8 przesądza, że Prezes UKE przed przyjęciem rozstrzygnięcia w sprawie o której mowa w art. 35a ust. 3 Megaustawy, przeprowadza się postępowanie konsultacyjne zgodnie z regulacją zawartą w Pke. Innymi słowy, jest to „inne rozstrzygnięcie wskazane w ustawie z dnia 7 maja 2010 r. o wspieraniu rozwoju usług i sieci telekomunikacyjnych” w rozumieniu art. 30 pkt 1</w:t>
      </w:r>
      <w:r w:rsidR="00435656" w:rsidRPr="00CE1978">
        <w:rPr>
          <w:rFonts w:ascii="Times New Roman" w:hAnsi="Times New Roman" w:cs="Times New Roman"/>
          <w:color w:val="000000" w:themeColor="text1"/>
          <w:sz w:val="24"/>
          <w:szCs w:val="24"/>
        </w:rPr>
        <w:t>3</w:t>
      </w:r>
      <w:r w:rsidRPr="00CE1978">
        <w:rPr>
          <w:rFonts w:ascii="Times New Roman" w:hAnsi="Times New Roman" w:cs="Times New Roman"/>
          <w:color w:val="000000" w:themeColor="text1"/>
          <w:sz w:val="24"/>
          <w:szCs w:val="24"/>
        </w:rPr>
        <w:t xml:space="preserve"> Pke.</w:t>
      </w:r>
    </w:p>
    <w:p w14:paraId="75095FE2" w14:textId="397F02B2"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75B895F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75B895FB" w:rsidRPr="00CE1978">
        <w:rPr>
          <w:rFonts w:ascii="Times New Roman" w:eastAsia="Times New Roman" w:hAnsi="Times New Roman" w:cs="Times New Roman"/>
          <w:b/>
          <w:bCs/>
          <w:color w:val="000000" w:themeColor="text1"/>
          <w:sz w:val="24"/>
          <w:szCs w:val="24"/>
        </w:rPr>
        <w:t xml:space="preserve">pkt </w:t>
      </w:r>
      <w:r w:rsidR="00C652F5" w:rsidRPr="00CE1978">
        <w:rPr>
          <w:rFonts w:ascii="Times New Roman" w:eastAsia="Times New Roman" w:hAnsi="Times New Roman" w:cs="Times New Roman"/>
          <w:b/>
          <w:bCs/>
          <w:color w:val="000000" w:themeColor="text1"/>
          <w:sz w:val="24"/>
          <w:szCs w:val="24"/>
        </w:rPr>
        <w:t>3</w:t>
      </w:r>
      <w:r w:rsidR="00BD4FE7" w:rsidRPr="00CE1978">
        <w:rPr>
          <w:rFonts w:ascii="Times New Roman" w:eastAsia="Times New Roman" w:hAnsi="Times New Roman" w:cs="Times New Roman"/>
          <w:b/>
          <w:bCs/>
          <w:color w:val="000000" w:themeColor="text1"/>
          <w:sz w:val="24"/>
          <w:szCs w:val="24"/>
        </w:rPr>
        <w:t>6</w:t>
      </w:r>
      <w:r w:rsidR="00C652F5" w:rsidRPr="00CE1978">
        <w:rPr>
          <w:rFonts w:ascii="Times New Roman" w:eastAsia="Times New Roman" w:hAnsi="Times New Roman" w:cs="Times New Roman"/>
          <w:b/>
          <w:bCs/>
          <w:color w:val="000000" w:themeColor="text1"/>
          <w:sz w:val="24"/>
          <w:szCs w:val="24"/>
        </w:rPr>
        <w:t xml:space="preserve"> </w:t>
      </w:r>
    </w:p>
    <w:p w14:paraId="03B05445" w14:textId="7A0D73E2"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Proponuje się usunięcie art. 36 Megaustawy jak</w:t>
      </w:r>
      <w:r w:rsidR="00DD2A9D" w:rsidRPr="00CE1978">
        <w:rPr>
          <w:rFonts w:ascii="Times New Roman" w:eastAsia="Times New Roman" w:hAnsi="Times New Roman" w:cs="Times New Roman"/>
          <w:color w:val="000000" w:themeColor="text1"/>
          <w:sz w:val="24"/>
          <w:szCs w:val="24"/>
        </w:rPr>
        <w:t>o</w:t>
      </w:r>
      <w:r w:rsidRPr="00CE1978">
        <w:rPr>
          <w:rFonts w:ascii="Times New Roman" w:eastAsia="Times New Roman" w:hAnsi="Times New Roman" w:cs="Times New Roman"/>
          <w:color w:val="000000" w:themeColor="text1"/>
          <w:sz w:val="24"/>
          <w:szCs w:val="24"/>
        </w:rPr>
        <w:t xml:space="preserve"> przepisu zbędnego i powodujące</w:t>
      </w:r>
      <w:r w:rsidR="00264C01" w:rsidRPr="00CE1978">
        <w:rPr>
          <w:rFonts w:ascii="Times New Roman" w:eastAsia="Times New Roman" w:hAnsi="Times New Roman" w:cs="Times New Roman"/>
          <w:color w:val="000000" w:themeColor="text1"/>
          <w:sz w:val="24"/>
          <w:szCs w:val="24"/>
        </w:rPr>
        <w:t>go istotne</w:t>
      </w:r>
      <w:r w:rsidRPr="00CE1978">
        <w:rPr>
          <w:rFonts w:ascii="Times New Roman" w:eastAsia="Times New Roman" w:hAnsi="Times New Roman" w:cs="Times New Roman"/>
          <w:color w:val="000000" w:themeColor="text1"/>
          <w:sz w:val="24"/>
          <w:szCs w:val="24"/>
        </w:rPr>
        <w:t xml:space="preserve"> wątpliwości inte</w:t>
      </w:r>
      <w:r w:rsidR="00DD2A9D" w:rsidRPr="00CE1978">
        <w:rPr>
          <w:rFonts w:ascii="Times New Roman" w:eastAsia="Times New Roman" w:hAnsi="Times New Roman" w:cs="Times New Roman"/>
          <w:color w:val="000000" w:themeColor="text1"/>
          <w:sz w:val="24"/>
          <w:szCs w:val="24"/>
        </w:rPr>
        <w:t>r</w:t>
      </w:r>
      <w:r w:rsidRPr="00CE1978">
        <w:rPr>
          <w:rFonts w:ascii="Times New Roman" w:eastAsia="Times New Roman" w:hAnsi="Times New Roman" w:cs="Times New Roman"/>
          <w:color w:val="000000" w:themeColor="text1"/>
          <w:sz w:val="24"/>
          <w:szCs w:val="24"/>
        </w:rPr>
        <w:t>pretacyjne w związku z odesłaniem do odpowiedniego stosowania przepisów art. 33 i 34 Megaustawy</w:t>
      </w:r>
      <w:r w:rsidR="00964654" w:rsidRPr="00CE1978">
        <w:rPr>
          <w:rFonts w:ascii="Times New Roman" w:eastAsia="Times New Roman" w:hAnsi="Times New Roman" w:cs="Times New Roman"/>
          <w:color w:val="000000" w:themeColor="text1"/>
          <w:sz w:val="24"/>
          <w:szCs w:val="24"/>
        </w:rPr>
        <w:t>, z kolei które przepisy również odsyłają do „odpowiedniego stosowania” innych przepisów</w:t>
      </w:r>
      <w:r w:rsidRPr="00CE1978">
        <w:rPr>
          <w:rFonts w:ascii="Times New Roman" w:eastAsia="Times New Roman" w:hAnsi="Times New Roman" w:cs="Times New Roman"/>
          <w:color w:val="000000" w:themeColor="text1"/>
          <w:sz w:val="24"/>
          <w:szCs w:val="24"/>
        </w:rPr>
        <w:t>.</w:t>
      </w:r>
    </w:p>
    <w:p w14:paraId="1E9D9596" w14:textId="702DD1D1"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lang w:val="en-US"/>
        </w:rPr>
      </w:pPr>
      <w:r w:rsidRPr="00CE1978">
        <w:rPr>
          <w:rFonts w:ascii="Times New Roman" w:eastAsia="Times New Roman" w:hAnsi="Times New Roman" w:cs="Times New Roman"/>
          <w:b/>
          <w:bCs/>
          <w:color w:val="000000" w:themeColor="text1"/>
          <w:sz w:val="24"/>
          <w:szCs w:val="24"/>
          <w:lang w:val="en-US"/>
        </w:rPr>
        <w:t>A</w:t>
      </w:r>
      <w:r w:rsidR="75B895FB" w:rsidRPr="00CE1978">
        <w:rPr>
          <w:rFonts w:ascii="Times New Roman" w:eastAsia="Times New Roman" w:hAnsi="Times New Roman" w:cs="Times New Roman"/>
          <w:b/>
          <w:bCs/>
          <w:color w:val="000000" w:themeColor="text1"/>
          <w:sz w:val="24"/>
          <w:szCs w:val="24"/>
          <w:lang w:val="en-US"/>
        </w:rPr>
        <w:t xml:space="preserve">rt. </w:t>
      </w:r>
      <w:r w:rsidR="00ED5C54" w:rsidRPr="00CE1978">
        <w:rPr>
          <w:rFonts w:ascii="Times New Roman" w:eastAsia="Times New Roman" w:hAnsi="Times New Roman" w:cs="Times New Roman"/>
          <w:b/>
          <w:bCs/>
          <w:color w:val="000000" w:themeColor="text1"/>
          <w:sz w:val="24"/>
          <w:szCs w:val="24"/>
          <w:lang w:val="en-US"/>
        </w:rPr>
        <w:t>3</w:t>
      </w:r>
      <w:r w:rsidR="008A2DD6" w:rsidRPr="00CE1978">
        <w:rPr>
          <w:rFonts w:ascii="Times New Roman" w:eastAsia="Times New Roman" w:hAnsi="Times New Roman" w:cs="Times New Roman"/>
          <w:b/>
          <w:bCs/>
          <w:color w:val="000000" w:themeColor="text1"/>
          <w:sz w:val="24"/>
          <w:szCs w:val="24"/>
          <w:lang w:val="en-US"/>
        </w:rPr>
        <w:t>6</w:t>
      </w:r>
      <w:r w:rsidR="00ED5C54" w:rsidRPr="00CE1978">
        <w:rPr>
          <w:rFonts w:ascii="Times New Roman" w:eastAsia="Times New Roman" w:hAnsi="Times New Roman" w:cs="Times New Roman"/>
          <w:b/>
          <w:bCs/>
          <w:color w:val="000000" w:themeColor="text1"/>
          <w:sz w:val="24"/>
          <w:szCs w:val="24"/>
          <w:lang w:val="en-US"/>
        </w:rPr>
        <w:t xml:space="preserve"> </w:t>
      </w:r>
      <w:r w:rsidR="75B895FB" w:rsidRPr="00CE1978">
        <w:rPr>
          <w:rFonts w:ascii="Times New Roman" w:eastAsia="Times New Roman" w:hAnsi="Times New Roman" w:cs="Times New Roman"/>
          <w:b/>
          <w:bCs/>
          <w:color w:val="000000" w:themeColor="text1"/>
          <w:sz w:val="24"/>
          <w:szCs w:val="24"/>
          <w:lang w:val="en-US"/>
        </w:rPr>
        <w:t xml:space="preserve">pkt </w:t>
      </w:r>
      <w:r w:rsidR="00C652F5" w:rsidRPr="00CE1978">
        <w:rPr>
          <w:rFonts w:ascii="Times New Roman" w:eastAsia="Times New Roman" w:hAnsi="Times New Roman" w:cs="Times New Roman"/>
          <w:b/>
          <w:bCs/>
          <w:color w:val="000000" w:themeColor="text1"/>
          <w:sz w:val="24"/>
          <w:szCs w:val="24"/>
          <w:lang w:val="en-US"/>
        </w:rPr>
        <w:t>3</w:t>
      </w:r>
      <w:r w:rsidR="00BD4FE7" w:rsidRPr="00CE1978">
        <w:rPr>
          <w:rFonts w:ascii="Times New Roman" w:eastAsia="Times New Roman" w:hAnsi="Times New Roman" w:cs="Times New Roman"/>
          <w:b/>
          <w:bCs/>
          <w:color w:val="000000" w:themeColor="text1"/>
          <w:sz w:val="24"/>
          <w:szCs w:val="24"/>
          <w:lang w:val="en-US"/>
        </w:rPr>
        <w:t>7</w:t>
      </w:r>
      <w:r w:rsidR="00C652F5" w:rsidRPr="00CE1978">
        <w:rPr>
          <w:rFonts w:ascii="Times New Roman" w:eastAsia="Times New Roman" w:hAnsi="Times New Roman" w:cs="Times New Roman"/>
          <w:b/>
          <w:bCs/>
          <w:color w:val="000000" w:themeColor="text1"/>
          <w:sz w:val="24"/>
          <w:szCs w:val="24"/>
          <w:lang w:val="en-US"/>
        </w:rPr>
        <w:t xml:space="preserve"> </w:t>
      </w:r>
      <w:r w:rsidR="00264C01" w:rsidRPr="00CE1978">
        <w:rPr>
          <w:rFonts w:ascii="Times New Roman" w:eastAsia="Times New Roman" w:hAnsi="Times New Roman" w:cs="Times New Roman"/>
          <w:b/>
          <w:bCs/>
          <w:color w:val="000000" w:themeColor="text1"/>
          <w:sz w:val="24"/>
          <w:szCs w:val="24"/>
          <w:lang w:val="en-US"/>
        </w:rPr>
        <w:t xml:space="preserve">lit. a </w:t>
      </w:r>
    </w:p>
    <w:p w14:paraId="1E807003" w14:textId="77777777"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Zmiany w projektowanym nowym brzmieniu art. 36 ust. 2 pkt 1 i 2 Megaustawy wynikają, po pierwsze, z potrzeby doprecyzowania, na czym polega koordynacja robót. Przedmiotem </w:t>
      </w:r>
      <w:r w:rsidRPr="00CE1978">
        <w:rPr>
          <w:rFonts w:ascii="Times New Roman" w:eastAsia="Times New Roman" w:hAnsi="Times New Roman" w:cs="Times New Roman"/>
          <w:color w:val="000000" w:themeColor="text1"/>
          <w:sz w:val="24"/>
          <w:szCs w:val="24"/>
        </w:rPr>
        <w:lastRenderedPageBreak/>
        <w:t xml:space="preserve">koordynacji może być się tylko wykonanie robót dotyczących szybkiej sieci telekomunikacyjnej, ale zgodnie z </w:t>
      </w:r>
      <w:r w:rsidR="00964654" w:rsidRPr="00CE1978">
        <w:rPr>
          <w:rFonts w:ascii="Times New Roman" w:eastAsia="Times New Roman" w:hAnsi="Times New Roman" w:cs="Times New Roman"/>
          <w:color w:val="000000" w:themeColor="text1"/>
          <w:sz w:val="24"/>
          <w:szCs w:val="24"/>
        </w:rPr>
        <w:t xml:space="preserve">nowym </w:t>
      </w:r>
      <w:r w:rsidRPr="00CE1978">
        <w:rPr>
          <w:rFonts w:ascii="Times New Roman" w:eastAsia="Times New Roman" w:hAnsi="Times New Roman" w:cs="Times New Roman"/>
          <w:color w:val="000000" w:themeColor="text1"/>
          <w:sz w:val="24"/>
          <w:szCs w:val="24"/>
        </w:rPr>
        <w:t xml:space="preserve">brzmieniem również powiązanych z zasobów w rozumieniu art. 2 pkt </w:t>
      </w:r>
      <w:r w:rsidR="00964654" w:rsidRPr="00CE1978">
        <w:rPr>
          <w:rFonts w:ascii="Times New Roman" w:eastAsia="Times New Roman" w:hAnsi="Times New Roman" w:cs="Times New Roman"/>
          <w:color w:val="000000" w:themeColor="text1"/>
          <w:sz w:val="24"/>
          <w:szCs w:val="24"/>
        </w:rPr>
        <w:t>38</w:t>
      </w:r>
      <w:r w:rsidRPr="00CE1978">
        <w:rPr>
          <w:rFonts w:ascii="Times New Roman" w:eastAsia="Times New Roman" w:hAnsi="Times New Roman" w:cs="Times New Roman"/>
          <w:color w:val="000000" w:themeColor="text1"/>
          <w:sz w:val="24"/>
          <w:szCs w:val="24"/>
        </w:rPr>
        <w:t xml:space="preserve"> </w:t>
      </w:r>
      <w:r w:rsidR="00A43DF3" w:rsidRPr="00CE1978">
        <w:rPr>
          <w:rFonts w:ascii="Times New Roman" w:eastAsia="Times New Roman" w:hAnsi="Times New Roman" w:cs="Times New Roman"/>
          <w:color w:val="000000" w:themeColor="text1"/>
          <w:sz w:val="24"/>
          <w:szCs w:val="24"/>
        </w:rPr>
        <w:t>Pke</w:t>
      </w:r>
      <w:r w:rsidRPr="00CE1978">
        <w:rPr>
          <w:rFonts w:ascii="Times New Roman" w:eastAsia="Times New Roman" w:hAnsi="Times New Roman" w:cs="Times New Roman"/>
          <w:color w:val="000000" w:themeColor="text1"/>
          <w:sz w:val="24"/>
          <w:szCs w:val="24"/>
        </w:rPr>
        <w:t xml:space="preserve">. Po drugie, w art. 36a ust. 2 pkt 2 </w:t>
      </w:r>
      <w:r w:rsidR="445D7BB6" w:rsidRPr="00CE1978">
        <w:rPr>
          <w:rFonts w:ascii="Times New Roman" w:eastAsia="Times New Roman" w:hAnsi="Times New Roman" w:cs="Times New Roman"/>
          <w:color w:val="000000" w:themeColor="text1"/>
          <w:sz w:val="24"/>
          <w:szCs w:val="24"/>
        </w:rPr>
        <w:t xml:space="preserve">Megaustawy </w:t>
      </w:r>
      <w:r w:rsidRPr="00CE1978">
        <w:rPr>
          <w:rFonts w:ascii="Times New Roman" w:eastAsia="Times New Roman" w:hAnsi="Times New Roman" w:cs="Times New Roman"/>
          <w:color w:val="000000" w:themeColor="text1"/>
          <w:sz w:val="24"/>
          <w:szCs w:val="24"/>
        </w:rPr>
        <w:t>zastąpiono określenie „punkt styku” na „miejsce dostępu” oraz usunięto wyrażenie „uwzględniającej potrzeby przedsiębiorcy telekomunikacyjnego dotyczące realizacji elementów szybkiej sieci telekomunikacyjnej” jako zbyteczne</w:t>
      </w:r>
      <w:r w:rsidR="00964654" w:rsidRPr="00CE1978">
        <w:rPr>
          <w:rFonts w:ascii="Times New Roman" w:eastAsia="Times New Roman" w:hAnsi="Times New Roman" w:cs="Times New Roman"/>
          <w:color w:val="000000" w:themeColor="text1"/>
          <w:sz w:val="24"/>
          <w:szCs w:val="24"/>
        </w:rPr>
        <w:t>go</w:t>
      </w:r>
      <w:r w:rsidRPr="00CE1978">
        <w:rPr>
          <w:rFonts w:ascii="Times New Roman" w:eastAsia="Times New Roman" w:hAnsi="Times New Roman" w:cs="Times New Roman"/>
          <w:color w:val="000000" w:themeColor="text1"/>
          <w:sz w:val="24"/>
          <w:szCs w:val="24"/>
        </w:rPr>
        <w:t>.</w:t>
      </w:r>
    </w:p>
    <w:p w14:paraId="4055F8BC" w14:textId="3A1D0E5E" w:rsidR="75B895FB"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75B895FB"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75B895FB" w:rsidRPr="00CE1978">
        <w:rPr>
          <w:rFonts w:ascii="Times New Roman" w:eastAsia="Times New Roman" w:hAnsi="Times New Roman" w:cs="Times New Roman"/>
          <w:b/>
          <w:bCs/>
          <w:color w:val="000000" w:themeColor="text1"/>
          <w:sz w:val="24"/>
          <w:szCs w:val="24"/>
        </w:rPr>
        <w:t>pkt 3</w:t>
      </w:r>
      <w:r w:rsidR="00BD4FE7" w:rsidRPr="00CE1978">
        <w:rPr>
          <w:rFonts w:ascii="Times New Roman" w:eastAsia="Times New Roman" w:hAnsi="Times New Roman" w:cs="Times New Roman"/>
          <w:b/>
          <w:bCs/>
          <w:color w:val="000000" w:themeColor="text1"/>
          <w:sz w:val="24"/>
          <w:szCs w:val="24"/>
        </w:rPr>
        <w:t>7</w:t>
      </w:r>
      <w:r w:rsidR="00264C01" w:rsidRPr="00CE1978">
        <w:rPr>
          <w:rFonts w:ascii="Times New Roman" w:eastAsia="Times New Roman" w:hAnsi="Times New Roman" w:cs="Times New Roman"/>
          <w:b/>
          <w:bCs/>
          <w:color w:val="000000" w:themeColor="text1"/>
          <w:sz w:val="24"/>
          <w:szCs w:val="24"/>
        </w:rPr>
        <w:t xml:space="preserve"> lit. c tiret pierwsze</w:t>
      </w:r>
    </w:p>
    <w:p w14:paraId="3D340F60" w14:textId="77777777" w:rsidR="3F58E053" w:rsidRPr="00CE1978" w:rsidRDefault="0F685324"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Zmiana w art. 36a ust. 5 pkt 3 Megaustawy jest związana z potrzebą wyjaśnienia, że włókno światłowodowe jest elementem sieci, ale nie jest elementem infrastruktury </w:t>
      </w:r>
      <w:r w:rsidR="26C38FCC" w:rsidRPr="00CE1978">
        <w:rPr>
          <w:rFonts w:ascii="Times New Roman" w:eastAsia="Times New Roman" w:hAnsi="Times New Roman" w:cs="Times New Roman"/>
          <w:color w:val="000000" w:themeColor="text1"/>
          <w:sz w:val="24"/>
          <w:szCs w:val="24"/>
        </w:rPr>
        <w:t>technicznej</w:t>
      </w:r>
      <w:r w:rsidRPr="00CE1978">
        <w:rPr>
          <w:rFonts w:ascii="Times New Roman" w:eastAsia="Times New Roman" w:hAnsi="Times New Roman" w:cs="Times New Roman"/>
          <w:color w:val="000000" w:themeColor="text1"/>
          <w:sz w:val="24"/>
          <w:szCs w:val="24"/>
        </w:rPr>
        <w:t>, co wynika wprost z definicji tej infrastruktury zawartej w art. 2 pkt 6 Megaustawy.</w:t>
      </w:r>
    </w:p>
    <w:p w14:paraId="113EAFDE" w14:textId="07BD08D7" w:rsidR="00964654"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00964654"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00964654" w:rsidRPr="00CE1978">
        <w:rPr>
          <w:rFonts w:ascii="Times New Roman" w:eastAsia="Times New Roman" w:hAnsi="Times New Roman" w:cs="Times New Roman"/>
          <w:b/>
          <w:bCs/>
          <w:color w:val="000000" w:themeColor="text1"/>
          <w:sz w:val="24"/>
          <w:szCs w:val="24"/>
        </w:rPr>
        <w:t xml:space="preserve">pkt </w:t>
      </w:r>
      <w:r w:rsidR="00C652F5" w:rsidRPr="00CE1978">
        <w:rPr>
          <w:rFonts w:ascii="Times New Roman" w:eastAsia="Times New Roman" w:hAnsi="Times New Roman" w:cs="Times New Roman"/>
          <w:b/>
          <w:bCs/>
          <w:color w:val="000000" w:themeColor="text1"/>
          <w:sz w:val="24"/>
          <w:szCs w:val="24"/>
        </w:rPr>
        <w:t>3</w:t>
      </w:r>
      <w:r w:rsidR="00BD4FE7" w:rsidRPr="00CE1978">
        <w:rPr>
          <w:rFonts w:ascii="Times New Roman" w:eastAsia="Times New Roman" w:hAnsi="Times New Roman" w:cs="Times New Roman"/>
          <w:b/>
          <w:bCs/>
          <w:color w:val="000000" w:themeColor="text1"/>
          <w:sz w:val="24"/>
          <w:szCs w:val="24"/>
        </w:rPr>
        <w:t>8</w:t>
      </w:r>
      <w:r w:rsidR="00964654" w:rsidRPr="00CE1978">
        <w:rPr>
          <w:rFonts w:ascii="Times New Roman" w:eastAsia="Times New Roman" w:hAnsi="Times New Roman" w:cs="Times New Roman"/>
          <w:b/>
          <w:bCs/>
          <w:color w:val="000000" w:themeColor="text1"/>
          <w:sz w:val="24"/>
          <w:szCs w:val="24"/>
        </w:rPr>
        <w:t xml:space="preserve"> lit. b</w:t>
      </w:r>
    </w:p>
    <w:p w14:paraId="2CED90E5" w14:textId="08E24446" w:rsidR="00E6632A" w:rsidRPr="00CE1978" w:rsidRDefault="00E6632A"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W związku z propo</w:t>
      </w:r>
      <w:r w:rsidR="00435656" w:rsidRPr="00CE1978">
        <w:rPr>
          <w:rFonts w:ascii="Times New Roman" w:eastAsia="Times New Roman" w:hAnsi="Times New Roman" w:cs="Times New Roman"/>
          <w:color w:val="000000" w:themeColor="text1"/>
          <w:sz w:val="24"/>
          <w:szCs w:val="24"/>
        </w:rPr>
        <w:t>nowanym wprowadzeniem w art. 176</w:t>
      </w:r>
      <w:r w:rsidRPr="00CE1978">
        <w:rPr>
          <w:rFonts w:ascii="Times New Roman" w:eastAsia="Times New Roman" w:hAnsi="Times New Roman" w:cs="Times New Roman"/>
          <w:color w:val="000000" w:themeColor="text1"/>
          <w:sz w:val="24"/>
          <w:szCs w:val="24"/>
        </w:rPr>
        <w:t xml:space="preserve"> Pke ogólnej zasady w zakresie obowiązku przekazywania umowy o dostępie, zawarte w dotychczasowym brzmieniu art. 3</w:t>
      </w:r>
      <w:r w:rsidR="00ED68F0" w:rsidRPr="00CE1978">
        <w:rPr>
          <w:rFonts w:ascii="Times New Roman" w:eastAsia="Times New Roman" w:hAnsi="Times New Roman" w:cs="Times New Roman"/>
          <w:color w:val="000000" w:themeColor="text1"/>
          <w:sz w:val="24"/>
          <w:szCs w:val="24"/>
        </w:rPr>
        <w:t>6</w:t>
      </w:r>
      <w:r w:rsidRPr="00CE1978">
        <w:rPr>
          <w:rFonts w:ascii="Times New Roman" w:eastAsia="Times New Roman" w:hAnsi="Times New Roman" w:cs="Times New Roman"/>
          <w:color w:val="000000" w:themeColor="text1"/>
          <w:sz w:val="24"/>
          <w:szCs w:val="24"/>
        </w:rPr>
        <w:t>b ust. 3 Megaust</w:t>
      </w:r>
      <w:r w:rsidR="007D0EFE" w:rsidRPr="00CE1978">
        <w:rPr>
          <w:rFonts w:ascii="Times New Roman" w:eastAsia="Times New Roman" w:hAnsi="Times New Roman" w:cs="Times New Roman"/>
          <w:color w:val="000000" w:themeColor="text1"/>
          <w:sz w:val="24"/>
          <w:szCs w:val="24"/>
        </w:rPr>
        <w:t>a</w:t>
      </w:r>
      <w:r w:rsidRPr="00CE1978">
        <w:rPr>
          <w:rFonts w:ascii="Times New Roman" w:eastAsia="Times New Roman" w:hAnsi="Times New Roman" w:cs="Times New Roman"/>
          <w:color w:val="000000" w:themeColor="text1"/>
          <w:sz w:val="24"/>
          <w:szCs w:val="24"/>
        </w:rPr>
        <w:t>wy odesłanie do odpowiedniego stosowania art. 24 Megaust</w:t>
      </w:r>
      <w:r w:rsidR="00ED68F0" w:rsidRPr="00CE1978">
        <w:rPr>
          <w:rFonts w:ascii="Times New Roman" w:eastAsia="Times New Roman" w:hAnsi="Times New Roman" w:cs="Times New Roman"/>
          <w:color w:val="000000" w:themeColor="text1"/>
          <w:sz w:val="24"/>
          <w:szCs w:val="24"/>
        </w:rPr>
        <w:t>a</w:t>
      </w:r>
      <w:r w:rsidRPr="00CE1978">
        <w:rPr>
          <w:rFonts w:ascii="Times New Roman" w:eastAsia="Times New Roman" w:hAnsi="Times New Roman" w:cs="Times New Roman"/>
          <w:color w:val="000000" w:themeColor="text1"/>
          <w:sz w:val="24"/>
          <w:szCs w:val="24"/>
        </w:rPr>
        <w:t xml:space="preserve">wy należy zastąpić, poprzez odesłanie bezpośrednio do </w:t>
      </w:r>
      <w:r w:rsidR="00435656" w:rsidRPr="00CE1978">
        <w:rPr>
          <w:rFonts w:ascii="Times New Roman" w:eastAsia="Times New Roman" w:hAnsi="Times New Roman" w:cs="Times New Roman"/>
          <w:color w:val="000000" w:themeColor="text1"/>
          <w:sz w:val="24"/>
          <w:szCs w:val="24"/>
        </w:rPr>
        <w:t>stosowania się art. 176</w:t>
      </w:r>
      <w:r w:rsidRPr="00CE1978">
        <w:rPr>
          <w:rFonts w:ascii="Times New Roman" w:eastAsia="Times New Roman" w:hAnsi="Times New Roman" w:cs="Times New Roman"/>
          <w:color w:val="000000" w:themeColor="text1"/>
          <w:sz w:val="24"/>
          <w:szCs w:val="24"/>
        </w:rPr>
        <w:t xml:space="preserve"> </w:t>
      </w:r>
      <w:r w:rsidR="00ED68F0" w:rsidRPr="00CE1978">
        <w:rPr>
          <w:rFonts w:ascii="Times New Roman" w:eastAsia="Times New Roman" w:hAnsi="Times New Roman" w:cs="Times New Roman"/>
          <w:color w:val="000000" w:themeColor="text1"/>
          <w:sz w:val="24"/>
          <w:szCs w:val="24"/>
        </w:rPr>
        <w:t>Pke</w:t>
      </w:r>
      <w:r w:rsidRPr="00CE1978">
        <w:rPr>
          <w:rFonts w:ascii="Times New Roman" w:eastAsia="Times New Roman" w:hAnsi="Times New Roman" w:cs="Times New Roman"/>
          <w:color w:val="000000" w:themeColor="text1"/>
          <w:sz w:val="24"/>
          <w:szCs w:val="24"/>
        </w:rPr>
        <w:t>, z zastrzeżeniem, że umowa jest przekazywana przez operatora sieci zobowiązanego do zapewnienia dostępu</w:t>
      </w:r>
      <w:r w:rsidR="00ED68F0" w:rsidRPr="00CE1978">
        <w:rPr>
          <w:rFonts w:ascii="Times New Roman" w:eastAsia="Times New Roman" w:hAnsi="Times New Roman" w:cs="Times New Roman"/>
          <w:color w:val="000000" w:themeColor="text1"/>
          <w:sz w:val="24"/>
          <w:szCs w:val="24"/>
        </w:rPr>
        <w:t>. Odesłanie w kształcie zaproponowanym poprzez brzmienie nowego ust. 3a w art. 36b jest niezbędne do utrzymania dotychczas obowiązującego rozwiązania, ponieważ umowa o koordynacji robót budowlanych nie jest umową o dostępie.</w:t>
      </w:r>
    </w:p>
    <w:p w14:paraId="30DC7257" w14:textId="7A08C7AA" w:rsidR="00964654" w:rsidRPr="00CE1978" w:rsidRDefault="00D15947" w:rsidP="00F91F34">
      <w:pPr>
        <w:spacing w:before="120" w:after="0" w:line="360" w:lineRule="auto"/>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A</w:t>
      </w:r>
      <w:r w:rsidR="00964654" w:rsidRPr="00CE1978">
        <w:rPr>
          <w:rFonts w:ascii="Times New Roman" w:eastAsia="Times New Roman" w:hAnsi="Times New Roman" w:cs="Times New Roman"/>
          <w:b/>
          <w:bCs/>
          <w:color w:val="000000" w:themeColor="text1"/>
          <w:sz w:val="24"/>
          <w:szCs w:val="24"/>
        </w:rPr>
        <w:t xml:space="preserve">rt. </w:t>
      </w:r>
      <w:r w:rsidR="00ED5C54" w:rsidRPr="00CE1978">
        <w:rPr>
          <w:rFonts w:ascii="Times New Roman" w:eastAsia="Times New Roman" w:hAnsi="Times New Roman" w:cs="Times New Roman"/>
          <w:b/>
          <w:bCs/>
          <w:color w:val="000000" w:themeColor="text1"/>
          <w:sz w:val="24"/>
          <w:szCs w:val="24"/>
        </w:rPr>
        <w:t>3</w:t>
      </w:r>
      <w:r w:rsidR="008A2DD6" w:rsidRPr="00CE1978">
        <w:rPr>
          <w:rFonts w:ascii="Times New Roman" w:eastAsia="Times New Roman" w:hAnsi="Times New Roman" w:cs="Times New Roman"/>
          <w:b/>
          <w:bCs/>
          <w:color w:val="000000" w:themeColor="text1"/>
          <w:sz w:val="24"/>
          <w:szCs w:val="24"/>
        </w:rPr>
        <w:t>6</w:t>
      </w:r>
      <w:r w:rsidR="00ED5C54" w:rsidRPr="00CE1978">
        <w:rPr>
          <w:rFonts w:ascii="Times New Roman" w:eastAsia="Times New Roman" w:hAnsi="Times New Roman" w:cs="Times New Roman"/>
          <w:b/>
          <w:bCs/>
          <w:color w:val="000000" w:themeColor="text1"/>
          <w:sz w:val="24"/>
          <w:szCs w:val="24"/>
        </w:rPr>
        <w:t xml:space="preserve"> </w:t>
      </w:r>
      <w:r w:rsidR="00964654" w:rsidRPr="00CE1978">
        <w:rPr>
          <w:rFonts w:ascii="Times New Roman" w:eastAsia="Times New Roman" w:hAnsi="Times New Roman" w:cs="Times New Roman"/>
          <w:b/>
          <w:bCs/>
          <w:color w:val="000000" w:themeColor="text1"/>
          <w:sz w:val="24"/>
          <w:szCs w:val="24"/>
        </w:rPr>
        <w:t xml:space="preserve">ust. </w:t>
      </w:r>
      <w:r w:rsidR="00C652F5" w:rsidRPr="00CE1978">
        <w:rPr>
          <w:rFonts w:ascii="Times New Roman" w:eastAsia="Times New Roman" w:hAnsi="Times New Roman" w:cs="Times New Roman"/>
          <w:b/>
          <w:bCs/>
          <w:color w:val="000000" w:themeColor="text1"/>
          <w:sz w:val="24"/>
          <w:szCs w:val="24"/>
        </w:rPr>
        <w:t>3</w:t>
      </w:r>
      <w:r w:rsidR="00BD4FE7" w:rsidRPr="00CE1978">
        <w:rPr>
          <w:rFonts w:ascii="Times New Roman" w:eastAsia="Times New Roman" w:hAnsi="Times New Roman" w:cs="Times New Roman"/>
          <w:b/>
          <w:bCs/>
          <w:color w:val="000000" w:themeColor="text1"/>
          <w:sz w:val="24"/>
          <w:szCs w:val="24"/>
        </w:rPr>
        <w:t>9</w:t>
      </w:r>
      <w:r w:rsidR="00964654" w:rsidRPr="00CE1978">
        <w:rPr>
          <w:rFonts w:ascii="Times New Roman" w:eastAsia="Times New Roman" w:hAnsi="Times New Roman" w:cs="Times New Roman"/>
          <w:b/>
          <w:bCs/>
          <w:color w:val="000000" w:themeColor="text1"/>
          <w:sz w:val="24"/>
          <w:szCs w:val="24"/>
        </w:rPr>
        <w:t xml:space="preserve"> lit. a</w:t>
      </w:r>
    </w:p>
    <w:p w14:paraId="141B4295" w14:textId="77777777" w:rsidR="00964654" w:rsidRPr="00CE1978" w:rsidRDefault="00ED68F0"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Zmiana nie stanowi zmiany merytorycznej, ponieważ w zakresie wymogów </w:t>
      </w:r>
      <w:r w:rsidR="00FC1152" w:rsidRPr="00CE1978">
        <w:rPr>
          <w:rFonts w:ascii="Times New Roman" w:eastAsia="Times New Roman" w:hAnsi="Times New Roman" w:cs="Times New Roman"/>
          <w:color w:val="000000" w:themeColor="text1"/>
          <w:sz w:val="24"/>
          <w:szCs w:val="24"/>
        </w:rPr>
        <w:t xml:space="preserve">w zakresie </w:t>
      </w:r>
      <w:r w:rsidRPr="00CE1978">
        <w:rPr>
          <w:rFonts w:ascii="Times New Roman" w:eastAsia="Times New Roman" w:hAnsi="Times New Roman" w:cs="Times New Roman"/>
          <w:color w:val="000000" w:themeColor="text1"/>
          <w:sz w:val="24"/>
          <w:szCs w:val="24"/>
        </w:rPr>
        <w:t>wniosku</w:t>
      </w:r>
      <w:r w:rsidR="00FC1152" w:rsidRPr="00CE1978">
        <w:rPr>
          <w:rFonts w:ascii="Times New Roman" w:eastAsia="Times New Roman" w:hAnsi="Times New Roman" w:cs="Times New Roman"/>
          <w:color w:val="000000" w:themeColor="text1"/>
          <w:sz w:val="24"/>
          <w:szCs w:val="24"/>
        </w:rPr>
        <w:t xml:space="preserve"> kierowanego</w:t>
      </w:r>
      <w:r w:rsidRPr="00CE1978">
        <w:rPr>
          <w:rFonts w:ascii="Times New Roman" w:eastAsia="Times New Roman" w:hAnsi="Times New Roman" w:cs="Times New Roman"/>
          <w:color w:val="000000" w:themeColor="text1"/>
          <w:sz w:val="24"/>
          <w:szCs w:val="24"/>
        </w:rPr>
        <w:t xml:space="preserve"> do starosty o rozstrzygnięcie sporu </w:t>
      </w:r>
      <w:r w:rsidR="00FC1152" w:rsidRPr="00CE1978">
        <w:rPr>
          <w:rFonts w:ascii="Times New Roman" w:eastAsia="Times New Roman" w:hAnsi="Times New Roman" w:cs="Times New Roman"/>
          <w:color w:val="000000" w:themeColor="text1"/>
          <w:sz w:val="24"/>
          <w:szCs w:val="24"/>
        </w:rPr>
        <w:t xml:space="preserve">o </w:t>
      </w:r>
      <w:r w:rsidRPr="00CE1978">
        <w:rPr>
          <w:rFonts w:ascii="Times New Roman" w:eastAsia="Times New Roman" w:hAnsi="Times New Roman" w:cs="Times New Roman"/>
          <w:color w:val="000000" w:themeColor="text1"/>
          <w:sz w:val="24"/>
          <w:szCs w:val="24"/>
        </w:rPr>
        <w:t>koordynację robót, dotychczas</w:t>
      </w:r>
      <w:r w:rsidR="00FC1152" w:rsidRPr="00CE1978">
        <w:rPr>
          <w:rFonts w:ascii="Times New Roman" w:eastAsia="Times New Roman" w:hAnsi="Times New Roman" w:cs="Times New Roman"/>
          <w:color w:val="000000" w:themeColor="text1"/>
          <w:sz w:val="24"/>
          <w:szCs w:val="24"/>
        </w:rPr>
        <w:t>owe</w:t>
      </w:r>
      <w:r w:rsidRPr="00CE1978">
        <w:rPr>
          <w:rFonts w:ascii="Times New Roman" w:eastAsia="Times New Roman" w:hAnsi="Times New Roman" w:cs="Times New Roman"/>
          <w:color w:val="000000" w:themeColor="text1"/>
          <w:sz w:val="24"/>
          <w:szCs w:val="24"/>
        </w:rPr>
        <w:t xml:space="preserve"> odesłanie </w:t>
      </w:r>
      <w:r w:rsidR="00FC1152" w:rsidRPr="00CE1978">
        <w:rPr>
          <w:rFonts w:ascii="Times New Roman" w:eastAsia="Times New Roman" w:hAnsi="Times New Roman" w:cs="Times New Roman"/>
          <w:color w:val="000000" w:themeColor="text1"/>
          <w:sz w:val="24"/>
          <w:szCs w:val="24"/>
        </w:rPr>
        <w:t>do odpowiedniego stosowania uchylonego art. 21 ust. 2a Megaust</w:t>
      </w:r>
      <w:r w:rsidR="00435656" w:rsidRPr="00CE1978">
        <w:rPr>
          <w:rFonts w:ascii="Times New Roman" w:eastAsia="Times New Roman" w:hAnsi="Times New Roman" w:cs="Times New Roman"/>
          <w:color w:val="000000" w:themeColor="text1"/>
          <w:sz w:val="24"/>
          <w:szCs w:val="24"/>
        </w:rPr>
        <w:t>a</w:t>
      </w:r>
      <w:r w:rsidR="00FC1152" w:rsidRPr="00CE1978">
        <w:rPr>
          <w:rFonts w:ascii="Times New Roman" w:eastAsia="Times New Roman" w:hAnsi="Times New Roman" w:cs="Times New Roman"/>
          <w:color w:val="000000" w:themeColor="text1"/>
          <w:sz w:val="24"/>
          <w:szCs w:val="24"/>
        </w:rPr>
        <w:t xml:space="preserve">wy zastępuje się odesłaniem do odpowiedniego stosowania </w:t>
      </w:r>
      <w:r w:rsidR="00445ED5" w:rsidRPr="00CE1978">
        <w:rPr>
          <w:rFonts w:ascii="Times New Roman" w:eastAsia="Times New Roman" w:hAnsi="Times New Roman" w:cs="Times New Roman"/>
          <w:color w:val="000000" w:themeColor="text1"/>
          <w:sz w:val="24"/>
          <w:szCs w:val="24"/>
        </w:rPr>
        <w:t>art. 183</w:t>
      </w:r>
      <w:r w:rsidR="00964654" w:rsidRPr="00CE1978">
        <w:rPr>
          <w:rFonts w:ascii="Times New Roman" w:eastAsia="Times New Roman" w:hAnsi="Times New Roman" w:cs="Times New Roman"/>
          <w:color w:val="000000" w:themeColor="text1"/>
          <w:sz w:val="24"/>
          <w:szCs w:val="24"/>
        </w:rPr>
        <w:t xml:space="preserve"> ust. 4 ustawy </w:t>
      </w:r>
      <w:r w:rsidR="00FC1152" w:rsidRPr="00CE1978">
        <w:rPr>
          <w:rFonts w:ascii="Times New Roman" w:eastAsia="Times New Roman" w:hAnsi="Times New Roman" w:cs="Times New Roman"/>
          <w:color w:val="000000" w:themeColor="text1"/>
          <w:sz w:val="24"/>
          <w:szCs w:val="24"/>
        </w:rPr>
        <w:t>Pke.</w:t>
      </w:r>
    </w:p>
    <w:p w14:paraId="1B127A1D" w14:textId="2FA2E978" w:rsidR="00BA08D4" w:rsidRPr="00CE1978" w:rsidRDefault="00BA08D4" w:rsidP="00F91F34">
      <w:pPr>
        <w:pStyle w:val="Akapitzlist"/>
        <w:numPr>
          <w:ilvl w:val="0"/>
          <w:numId w:val="4"/>
        </w:numPr>
        <w:tabs>
          <w:tab w:val="left" w:pos="426"/>
        </w:tabs>
        <w:spacing w:before="120" w:after="0" w:line="360" w:lineRule="auto"/>
        <w:ind w:left="0" w:firstLine="0"/>
        <w:contextualSpacing w:val="0"/>
        <w:jc w:val="both"/>
        <w:rPr>
          <w:rFonts w:ascii="Times New Roman" w:hAnsi="Times New Roman" w:cs="Times New Roman"/>
          <w:b/>
          <w:color w:val="000000" w:themeColor="text1"/>
          <w:sz w:val="24"/>
          <w:szCs w:val="24"/>
        </w:rPr>
      </w:pPr>
      <w:r w:rsidRPr="00CE1978">
        <w:rPr>
          <w:rFonts w:ascii="Times New Roman" w:hAnsi="Times New Roman" w:cs="Times New Roman"/>
          <w:b/>
          <w:color w:val="000000" w:themeColor="text1"/>
          <w:sz w:val="24"/>
          <w:szCs w:val="24"/>
        </w:rPr>
        <w:t xml:space="preserve">ustawie z dnia 5 sierpnia 2010 r. o ochronie informacji niejawnych </w:t>
      </w:r>
    </w:p>
    <w:p w14:paraId="2EE361FC" w14:textId="6C387966" w:rsidR="3F58E053" w:rsidRPr="00C10C7D" w:rsidRDefault="00BA08D4" w:rsidP="00F91F34">
      <w:pPr>
        <w:pStyle w:val="ARTartustawynprozporzdzenia"/>
        <w:ind w:firstLine="0"/>
        <w:rPr>
          <w:rFonts w:ascii="Times New Roman" w:hAnsi="Times New Roman" w:cs="Times New Roman"/>
          <w:color w:val="000000" w:themeColor="text1"/>
          <w:szCs w:val="24"/>
        </w:rPr>
      </w:pPr>
      <w:r w:rsidRPr="00CE1978">
        <w:rPr>
          <w:rFonts w:ascii="Times New Roman" w:hAnsi="Times New Roman" w:cs="Times New Roman"/>
          <w:color w:val="000000" w:themeColor="text1"/>
          <w:szCs w:val="24"/>
        </w:rPr>
        <w:t xml:space="preserve">Zmiana w art. 51 w ust. 1 w zdaniu drugim polega na zastąpieniu odwołania do art. 179 ust. 4a Pt odwołaniem do </w:t>
      </w:r>
      <w:r w:rsidR="004515EE" w:rsidRPr="00CE1978">
        <w:rPr>
          <w:rFonts w:ascii="Times New Roman" w:hAnsi="Times New Roman" w:cs="Times New Roman"/>
          <w:color w:val="000000" w:themeColor="text1"/>
          <w:szCs w:val="24"/>
        </w:rPr>
        <w:t>art. 43 ust. 4</w:t>
      </w:r>
      <w:r w:rsidR="005539E6" w:rsidRPr="00CE1978">
        <w:rPr>
          <w:rFonts w:ascii="Times New Roman" w:hAnsi="Times New Roman" w:cs="Times New Roman"/>
          <w:color w:val="000000" w:themeColor="text1"/>
          <w:szCs w:val="24"/>
        </w:rPr>
        <w:t xml:space="preserve"> </w:t>
      </w:r>
      <w:r w:rsidRPr="00CE1978">
        <w:rPr>
          <w:rFonts w:ascii="Times New Roman" w:hAnsi="Times New Roman" w:cs="Times New Roman"/>
          <w:color w:val="000000" w:themeColor="text1"/>
          <w:szCs w:val="24"/>
        </w:rPr>
        <w:t xml:space="preserve">ustawy Pke. </w:t>
      </w:r>
      <w:r w:rsidR="00C27444" w:rsidRPr="00CE1978">
        <w:rPr>
          <w:rFonts w:ascii="Times New Roman" w:hAnsi="Times New Roman" w:cs="Times New Roman"/>
          <w:color w:val="000000" w:themeColor="text1"/>
          <w:szCs w:val="24"/>
        </w:rPr>
        <w:t xml:space="preserve">Obecnie obowiązujący art. 51 ust. 1 ustawy o ochronie informacji niejawnych wskazuje, że obowiązkowi </w:t>
      </w:r>
      <w:r w:rsidR="00C27444" w:rsidRPr="00CE1978">
        <w:rPr>
          <w:rFonts w:ascii="Times New Roman" w:hAnsi="Times New Roman" w:cs="Times New Roman"/>
          <w:color w:val="000000" w:themeColor="text1"/>
          <w:szCs w:val="24"/>
          <w:shd w:val="clear" w:color="auto" w:fill="FFFFFF"/>
        </w:rPr>
        <w:t>akredytacji bezpieczeństwa teleinformatycznego nie podlegają systemy teleinformatyczne znajdujące się poza strefami ochronnymi oraz służące bezpośrednio do pozyskiwania i przekazywania w sposób niejawny informacji oraz utrwalania dowodów w trakcie realizacji czynności operacyjno-</w:t>
      </w:r>
      <w:r w:rsidR="00C27444" w:rsidRPr="00CE1978">
        <w:rPr>
          <w:rFonts w:ascii="Times New Roman" w:hAnsi="Times New Roman" w:cs="Times New Roman"/>
          <w:color w:val="000000" w:themeColor="text1"/>
          <w:szCs w:val="24"/>
          <w:shd w:val="clear" w:color="auto" w:fill="FFFFFF"/>
        </w:rPr>
        <w:lastRenderedPageBreak/>
        <w:t>rozpoznawczych lub procesowych przez uprawnione do tego podmioty. Wyłączenie obowiązku akredytacji nie obejmuje interfejsów, o których mowa w</w:t>
      </w:r>
      <w:r w:rsidR="00532F3A">
        <w:rPr>
          <w:rFonts w:ascii="Times New Roman" w:hAnsi="Times New Roman" w:cs="Times New Roman"/>
          <w:color w:val="000000" w:themeColor="text1"/>
          <w:szCs w:val="24"/>
          <w:shd w:val="clear" w:color="auto" w:fill="FFFFFF"/>
        </w:rPr>
        <w:t xml:space="preserve"> </w:t>
      </w:r>
      <w:hyperlink r:id="rId12" w:history="1">
        <w:r w:rsidR="00C27444" w:rsidRPr="00CE1978">
          <w:rPr>
            <w:rStyle w:val="Hipercze"/>
            <w:rFonts w:ascii="Times New Roman" w:hAnsi="Times New Roman" w:cs="Times New Roman"/>
            <w:color w:val="000000" w:themeColor="text1"/>
            <w:szCs w:val="24"/>
            <w:u w:val="none"/>
            <w:shd w:val="clear" w:color="auto" w:fill="FFFFFF"/>
          </w:rPr>
          <w:t>art. 179 ust. 4a</w:t>
        </w:r>
      </w:hyperlink>
      <w:r w:rsidR="00532F3A">
        <w:rPr>
          <w:rFonts w:ascii="Times New Roman" w:hAnsi="Times New Roman" w:cs="Times New Roman"/>
          <w:color w:val="000000" w:themeColor="text1"/>
          <w:szCs w:val="24"/>
          <w:shd w:val="clear" w:color="auto" w:fill="FFFFFF"/>
        </w:rPr>
        <w:t xml:space="preserve"> </w:t>
      </w:r>
      <w:r w:rsidR="00C27444" w:rsidRPr="00532F3A">
        <w:rPr>
          <w:rFonts w:ascii="Times New Roman" w:hAnsi="Times New Roman" w:cs="Times New Roman"/>
          <w:color w:val="000000" w:themeColor="text1"/>
          <w:szCs w:val="24"/>
          <w:shd w:val="clear" w:color="auto" w:fill="FFFFFF"/>
        </w:rPr>
        <w:t xml:space="preserve">Pt oraz systemów z nimi współpracujących. Określone w art. 179 ust. 4a Pt interfejsy są to interfejsy, za pomocą których przedsiębiorcy telekomunikacyjni mogą zapewniać podmiotom uprawnionym warunki dostępu i utrwalania określonych w Pt danych. Na skutek uchylenia ustawy Pt </w:t>
      </w:r>
      <w:r w:rsidR="00E83A60" w:rsidRPr="00532F3A">
        <w:rPr>
          <w:rFonts w:ascii="Times New Roman" w:hAnsi="Times New Roman" w:cs="Times New Roman"/>
          <w:color w:val="000000" w:themeColor="text1"/>
          <w:szCs w:val="24"/>
          <w:shd w:val="clear" w:color="auto" w:fill="FFFFFF"/>
        </w:rPr>
        <w:t xml:space="preserve">konieczne jest odesłanie </w:t>
      </w:r>
      <w:r w:rsidR="00C27444" w:rsidRPr="00532F3A">
        <w:rPr>
          <w:rFonts w:ascii="Times New Roman" w:hAnsi="Times New Roman" w:cs="Times New Roman"/>
          <w:color w:val="000000" w:themeColor="text1"/>
          <w:szCs w:val="24"/>
          <w:shd w:val="clear" w:color="auto" w:fill="FFFFFF"/>
        </w:rPr>
        <w:t xml:space="preserve">do </w:t>
      </w:r>
      <w:r w:rsidR="00E83A60" w:rsidRPr="00532F3A">
        <w:rPr>
          <w:rFonts w:ascii="Times New Roman" w:hAnsi="Times New Roman" w:cs="Times New Roman"/>
          <w:color w:val="000000" w:themeColor="text1"/>
          <w:szCs w:val="24"/>
          <w:shd w:val="clear" w:color="auto" w:fill="FFFFFF"/>
        </w:rPr>
        <w:t xml:space="preserve">art. </w:t>
      </w:r>
      <w:r w:rsidR="00E83A60" w:rsidRPr="00532F3A">
        <w:rPr>
          <w:rFonts w:ascii="Times New Roman" w:hAnsi="Times New Roman" w:cs="Times New Roman"/>
          <w:color w:val="000000" w:themeColor="text1"/>
          <w:szCs w:val="24"/>
        </w:rPr>
        <w:t xml:space="preserve">43 ust. </w:t>
      </w:r>
      <w:r w:rsidR="005C45BA" w:rsidRPr="00532F3A">
        <w:rPr>
          <w:rFonts w:ascii="Times New Roman" w:hAnsi="Times New Roman" w:cs="Times New Roman"/>
          <w:color w:val="000000" w:themeColor="text1"/>
          <w:szCs w:val="24"/>
        </w:rPr>
        <w:t>5</w:t>
      </w:r>
      <w:r w:rsidR="00E83A60" w:rsidRPr="00532F3A">
        <w:rPr>
          <w:rFonts w:ascii="Times New Roman" w:hAnsi="Times New Roman" w:cs="Times New Roman"/>
          <w:color w:val="000000" w:themeColor="text1"/>
          <w:szCs w:val="24"/>
        </w:rPr>
        <w:t xml:space="preserve"> Pke, który odpowiada </w:t>
      </w:r>
      <w:r w:rsidR="00C27444" w:rsidRPr="00532F3A">
        <w:rPr>
          <w:rFonts w:ascii="Times New Roman" w:hAnsi="Times New Roman" w:cs="Times New Roman"/>
          <w:color w:val="000000" w:themeColor="text1"/>
          <w:szCs w:val="24"/>
          <w:shd w:val="clear" w:color="auto" w:fill="FFFFFF"/>
        </w:rPr>
        <w:t>art. 179 ust. 4a Pt</w:t>
      </w:r>
      <w:r w:rsidR="00E83A60" w:rsidRPr="00532F3A">
        <w:rPr>
          <w:rFonts w:ascii="Times New Roman" w:hAnsi="Times New Roman" w:cs="Times New Roman"/>
          <w:color w:val="000000" w:themeColor="text1"/>
          <w:szCs w:val="24"/>
          <w:shd w:val="clear" w:color="auto" w:fill="FFFFFF"/>
        </w:rPr>
        <w:t>.</w:t>
      </w:r>
      <w:r w:rsidR="002E751F" w:rsidRPr="00532F3A">
        <w:rPr>
          <w:rFonts w:ascii="Times New Roman" w:hAnsi="Times New Roman" w:cs="Times New Roman"/>
          <w:color w:val="000000" w:themeColor="text1"/>
          <w:szCs w:val="24"/>
          <w:shd w:val="clear" w:color="auto" w:fill="FFFFFF"/>
        </w:rPr>
        <w:t xml:space="preserve"> Nowelizacja ma charakter dostosowujący i nie w</w:t>
      </w:r>
      <w:r w:rsidR="00D3663D" w:rsidRPr="00CE1978">
        <w:rPr>
          <w:rFonts w:ascii="Times New Roman" w:hAnsi="Times New Roman" w:cs="Times New Roman"/>
          <w:color w:val="000000" w:themeColor="text1"/>
          <w:szCs w:val="24"/>
          <w:shd w:val="clear" w:color="auto" w:fill="FFFFFF"/>
        </w:rPr>
        <w:t>iąże się ze zmianą merytoryczną;</w:t>
      </w:r>
    </w:p>
    <w:p w14:paraId="6432C3E8" w14:textId="30D107D5" w:rsidR="3F58E053" w:rsidRPr="00C10C7D" w:rsidRDefault="3F58E053"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t xml:space="preserve">ustawie z dnia 23 listopada 2012 r. </w:t>
      </w:r>
      <w:r w:rsidR="00A0613F"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b/>
          <w:bCs/>
          <w:color w:val="000000" w:themeColor="text1"/>
          <w:sz w:val="24"/>
          <w:szCs w:val="24"/>
        </w:rPr>
        <w:t xml:space="preserve"> Prawo pocztowe </w:t>
      </w:r>
    </w:p>
    <w:p w14:paraId="0A928070" w14:textId="211E5ACA" w:rsidR="4CD2AF82" w:rsidRPr="00532F3A" w:rsidRDefault="4CD2AF82"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Zmiana polega na dodaniu</w:t>
      </w:r>
      <w:r w:rsidR="1C968945" w:rsidRPr="00C10C7D">
        <w:rPr>
          <w:rFonts w:ascii="Times New Roman" w:eastAsia="Times New Roman" w:hAnsi="Times New Roman" w:cs="Times New Roman"/>
          <w:color w:val="000000" w:themeColor="text1"/>
          <w:sz w:val="24"/>
          <w:szCs w:val="24"/>
        </w:rPr>
        <w:t xml:space="preserve"> Rozdziału 10a. Organy właściwe w sprawach poczty, </w:t>
      </w:r>
      <w:r w:rsidRPr="00C10C7D">
        <w:rPr>
          <w:rFonts w:ascii="Times New Roman" w:eastAsia="Times New Roman" w:hAnsi="Times New Roman" w:cs="Times New Roman"/>
          <w:color w:val="000000" w:themeColor="text1"/>
          <w:sz w:val="24"/>
          <w:szCs w:val="24"/>
        </w:rPr>
        <w:t>który powtarza treść dotychczasowe</w:t>
      </w:r>
      <w:r w:rsidR="0291C57B" w:rsidRPr="00C10C7D">
        <w:rPr>
          <w:rFonts w:ascii="Times New Roman" w:eastAsia="Times New Roman" w:hAnsi="Times New Roman" w:cs="Times New Roman"/>
          <w:color w:val="000000" w:themeColor="text1"/>
          <w:sz w:val="24"/>
          <w:szCs w:val="24"/>
        </w:rPr>
        <w:t xml:space="preserve">j regulacji </w:t>
      </w:r>
      <w:r w:rsidR="598EC01E" w:rsidRPr="00C10C7D">
        <w:rPr>
          <w:rFonts w:ascii="Times New Roman" w:eastAsia="Times New Roman" w:hAnsi="Times New Roman" w:cs="Times New Roman"/>
          <w:color w:val="000000" w:themeColor="text1"/>
          <w:sz w:val="24"/>
          <w:szCs w:val="24"/>
        </w:rPr>
        <w:t>odnoszącej</w:t>
      </w:r>
      <w:r w:rsidR="0291C57B" w:rsidRPr="00C10C7D">
        <w:rPr>
          <w:rFonts w:ascii="Times New Roman" w:eastAsia="Times New Roman" w:hAnsi="Times New Roman" w:cs="Times New Roman"/>
          <w:color w:val="000000" w:themeColor="text1"/>
          <w:sz w:val="24"/>
          <w:szCs w:val="24"/>
        </w:rPr>
        <w:t xml:space="preserve"> się do usług pocztowych zawart</w:t>
      </w:r>
      <w:r w:rsidR="62E01A3B" w:rsidRPr="00C10C7D">
        <w:rPr>
          <w:rFonts w:ascii="Times New Roman" w:eastAsia="Times New Roman" w:hAnsi="Times New Roman" w:cs="Times New Roman"/>
          <w:color w:val="000000" w:themeColor="text1"/>
          <w:sz w:val="24"/>
          <w:szCs w:val="24"/>
        </w:rPr>
        <w:t xml:space="preserve">ej dotychczas w </w:t>
      </w:r>
      <w:r w:rsidR="49313BCC" w:rsidRPr="00C10C7D">
        <w:rPr>
          <w:rFonts w:ascii="Times New Roman" w:eastAsia="Times New Roman" w:hAnsi="Times New Roman" w:cs="Times New Roman"/>
          <w:color w:val="000000" w:themeColor="text1"/>
          <w:sz w:val="24"/>
          <w:szCs w:val="24"/>
        </w:rPr>
        <w:t xml:space="preserve">poszczególnych ustępach </w:t>
      </w:r>
      <w:r w:rsidR="62E01A3B" w:rsidRPr="00C10C7D">
        <w:rPr>
          <w:rFonts w:ascii="Times New Roman" w:eastAsia="Times New Roman" w:hAnsi="Times New Roman" w:cs="Times New Roman"/>
          <w:color w:val="000000" w:themeColor="text1"/>
          <w:sz w:val="24"/>
          <w:szCs w:val="24"/>
        </w:rPr>
        <w:t xml:space="preserve">art. </w:t>
      </w:r>
      <w:r w:rsidR="1854ED38" w:rsidRPr="00C10C7D">
        <w:rPr>
          <w:rFonts w:ascii="Times New Roman" w:eastAsia="Times New Roman" w:hAnsi="Times New Roman" w:cs="Times New Roman"/>
          <w:color w:val="000000" w:themeColor="text1"/>
          <w:sz w:val="24"/>
          <w:szCs w:val="24"/>
        </w:rPr>
        <w:t>189, art. 192 oraz w art. 192a</w:t>
      </w:r>
      <w:r w:rsidR="0291C57B" w:rsidRPr="00CE1978">
        <w:rPr>
          <w:rFonts w:ascii="Times New Roman" w:eastAsia="Times New Roman" w:hAnsi="Times New Roman" w:cs="Times New Roman"/>
          <w:color w:val="000000" w:themeColor="text1"/>
          <w:sz w:val="24"/>
          <w:szCs w:val="24"/>
        </w:rPr>
        <w:t xml:space="preserve"> ustaw</w:t>
      </w:r>
      <w:r w:rsidR="391D55DE" w:rsidRPr="00CE1978">
        <w:rPr>
          <w:rFonts w:ascii="Times New Roman" w:eastAsia="Times New Roman" w:hAnsi="Times New Roman" w:cs="Times New Roman"/>
          <w:color w:val="000000" w:themeColor="text1"/>
          <w:sz w:val="24"/>
          <w:szCs w:val="24"/>
        </w:rPr>
        <w:t>y</w:t>
      </w:r>
      <w:r w:rsidR="566E8AE4" w:rsidRPr="00CE1978">
        <w:rPr>
          <w:rFonts w:ascii="Times New Roman" w:eastAsia="Times New Roman" w:hAnsi="Times New Roman" w:cs="Times New Roman"/>
          <w:color w:val="000000" w:themeColor="text1"/>
          <w:sz w:val="24"/>
          <w:szCs w:val="24"/>
        </w:rPr>
        <w:t xml:space="preserve"> </w:t>
      </w:r>
      <w:r w:rsidR="009335E4" w:rsidRPr="00CE1978">
        <w:rPr>
          <w:rFonts w:ascii="Times New Roman" w:eastAsia="Times New Roman" w:hAnsi="Times New Roman" w:cs="Times New Roman"/>
          <w:color w:val="000000" w:themeColor="text1"/>
          <w:sz w:val="24"/>
          <w:szCs w:val="24"/>
        </w:rPr>
        <w:t>Pt</w:t>
      </w:r>
      <w:r w:rsidR="311BD41C" w:rsidRPr="00CE1978">
        <w:rPr>
          <w:rFonts w:ascii="Times New Roman" w:eastAsia="Times New Roman" w:hAnsi="Times New Roman" w:cs="Times New Roman"/>
          <w:color w:val="000000" w:themeColor="text1"/>
          <w:sz w:val="24"/>
          <w:szCs w:val="24"/>
        </w:rPr>
        <w:t>.</w:t>
      </w:r>
      <w:r w:rsidR="566E8AE4"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color w:val="000000" w:themeColor="text1"/>
          <w:sz w:val="24"/>
          <w:szCs w:val="24"/>
        </w:rPr>
        <w:t xml:space="preserve">Przeniesienie tej regulacji do </w:t>
      </w:r>
      <w:r w:rsidR="15133E6E" w:rsidRPr="00CE1978">
        <w:rPr>
          <w:rFonts w:ascii="Times New Roman" w:eastAsia="Times New Roman" w:hAnsi="Times New Roman" w:cs="Times New Roman"/>
          <w:color w:val="000000" w:themeColor="text1"/>
          <w:sz w:val="24"/>
          <w:szCs w:val="24"/>
        </w:rPr>
        <w:t xml:space="preserve">ustawy </w:t>
      </w:r>
      <w:r w:rsidR="00532F3A">
        <w:rPr>
          <w:rFonts w:ascii="Times New Roman" w:eastAsia="Times New Roman" w:hAnsi="Times New Roman" w:cs="Times New Roman"/>
          <w:color w:val="000000" w:themeColor="text1"/>
          <w:sz w:val="24"/>
          <w:szCs w:val="24"/>
        </w:rPr>
        <w:t>–</w:t>
      </w:r>
      <w:r w:rsidR="009335E4" w:rsidRPr="00532F3A">
        <w:rPr>
          <w:rFonts w:ascii="Times New Roman" w:eastAsia="Times New Roman" w:hAnsi="Times New Roman" w:cs="Times New Roman"/>
          <w:color w:val="000000" w:themeColor="text1"/>
          <w:sz w:val="24"/>
          <w:szCs w:val="24"/>
        </w:rPr>
        <w:t xml:space="preserve"> </w:t>
      </w:r>
      <w:r w:rsidR="15133E6E" w:rsidRPr="00532F3A">
        <w:rPr>
          <w:rFonts w:ascii="Times New Roman" w:eastAsia="Times New Roman" w:hAnsi="Times New Roman" w:cs="Times New Roman"/>
          <w:color w:val="000000" w:themeColor="text1"/>
          <w:sz w:val="24"/>
          <w:szCs w:val="24"/>
        </w:rPr>
        <w:t>Prawo pocztowe ma charakter porządkujący</w:t>
      </w:r>
      <w:r w:rsidR="2FED5C57" w:rsidRPr="00532F3A">
        <w:rPr>
          <w:rFonts w:ascii="Times New Roman" w:eastAsia="Times New Roman" w:hAnsi="Times New Roman" w:cs="Times New Roman"/>
          <w:color w:val="000000" w:themeColor="text1"/>
          <w:sz w:val="24"/>
          <w:szCs w:val="24"/>
        </w:rPr>
        <w:t>.</w:t>
      </w:r>
    </w:p>
    <w:p w14:paraId="31560468" w14:textId="6D5983F6" w:rsidR="6EBD9EF4" w:rsidRPr="00532F3A" w:rsidRDefault="6EBD9EF4"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Ponadto dodano </w:t>
      </w:r>
      <w:r w:rsidR="289F9AB3" w:rsidRPr="00C10C7D">
        <w:rPr>
          <w:rFonts w:ascii="Times New Roman" w:eastAsia="Times New Roman" w:hAnsi="Times New Roman" w:cs="Times New Roman"/>
          <w:color w:val="000000" w:themeColor="text1"/>
          <w:sz w:val="24"/>
          <w:szCs w:val="24"/>
        </w:rPr>
        <w:t xml:space="preserve">ust. 2 </w:t>
      </w:r>
      <w:r w:rsidRPr="00C10C7D">
        <w:rPr>
          <w:rFonts w:ascii="Times New Roman" w:eastAsia="Times New Roman" w:hAnsi="Times New Roman" w:cs="Times New Roman"/>
          <w:color w:val="000000" w:themeColor="text1"/>
          <w:sz w:val="24"/>
          <w:szCs w:val="24"/>
        </w:rPr>
        <w:t>w art. 12</w:t>
      </w:r>
      <w:r w:rsidR="5936796D" w:rsidRPr="00C10C7D">
        <w:rPr>
          <w:rFonts w:ascii="Times New Roman" w:eastAsia="Times New Roman" w:hAnsi="Times New Roman" w:cs="Times New Roman"/>
          <w:color w:val="000000" w:themeColor="text1"/>
          <w:sz w:val="24"/>
          <w:szCs w:val="24"/>
        </w:rPr>
        <w:t>1</w:t>
      </w:r>
      <w:r w:rsidRPr="00C10C7D">
        <w:rPr>
          <w:rFonts w:ascii="Times New Roman" w:eastAsia="Times New Roman" w:hAnsi="Times New Roman" w:cs="Times New Roman"/>
          <w:color w:val="000000" w:themeColor="text1"/>
          <w:sz w:val="24"/>
          <w:szCs w:val="24"/>
        </w:rPr>
        <w:t xml:space="preserve">, który umożliwi stosowanie, do </w:t>
      </w:r>
      <w:r w:rsidR="646D6749" w:rsidRPr="00C10C7D">
        <w:rPr>
          <w:rFonts w:ascii="Times New Roman" w:eastAsia="Times New Roman" w:hAnsi="Times New Roman" w:cs="Times New Roman"/>
          <w:color w:val="000000" w:themeColor="text1"/>
          <w:sz w:val="24"/>
          <w:szCs w:val="24"/>
        </w:rPr>
        <w:t xml:space="preserve">prowadzonych przez Prezesa UKE </w:t>
      </w:r>
      <w:r w:rsidRPr="00C10C7D">
        <w:rPr>
          <w:rFonts w:ascii="Times New Roman" w:eastAsia="Times New Roman" w:hAnsi="Times New Roman" w:cs="Times New Roman"/>
          <w:color w:val="000000" w:themeColor="text1"/>
          <w:sz w:val="24"/>
          <w:szCs w:val="24"/>
        </w:rPr>
        <w:t>kontroli oraz zaleceń pokontrolnych</w:t>
      </w:r>
      <w:r w:rsidR="0A321A82"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 xml:space="preserve"> przepis</w:t>
      </w:r>
      <w:r w:rsidR="11401DD4" w:rsidRPr="00C10C7D">
        <w:rPr>
          <w:rFonts w:ascii="Times New Roman" w:eastAsia="Times New Roman" w:hAnsi="Times New Roman" w:cs="Times New Roman"/>
          <w:color w:val="000000" w:themeColor="text1"/>
          <w:sz w:val="24"/>
          <w:szCs w:val="24"/>
        </w:rPr>
        <w:t>ów</w:t>
      </w:r>
      <w:r w:rsidRPr="00C10C7D">
        <w:rPr>
          <w:rFonts w:ascii="Times New Roman" w:eastAsia="Times New Roman" w:hAnsi="Times New Roman" w:cs="Times New Roman"/>
          <w:color w:val="000000" w:themeColor="text1"/>
          <w:sz w:val="24"/>
          <w:szCs w:val="24"/>
        </w:rPr>
        <w:t xml:space="preserve"> rozdziału 8 Działu I ustawy z dnia 14 czerwca 1960 r. </w:t>
      </w:r>
      <w:r w:rsidR="00532F3A">
        <w:rPr>
          <w:rFonts w:ascii="Times New Roman" w:eastAsia="Times New Roman" w:hAnsi="Times New Roman" w:cs="Times New Roman"/>
          <w:color w:val="000000" w:themeColor="text1"/>
          <w:sz w:val="24"/>
          <w:szCs w:val="24"/>
        </w:rPr>
        <w:t>–</w:t>
      </w:r>
      <w:r w:rsidRPr="00532F3A">
        <w:rPr>
          <w:rFonts w:ascii="Times New Roman" w:eastAsia="Times New Roman" w:hAnsi="Times New Roman" w:cs="Times New Roman"/>
          <w:color w:val="000000" w:themeColor="text1"/>
          <w:sz w:val="24"/>
          <w:szCs w:val="24"/>
        </w:rPr>
        <w:t xml:space="preserve"> Kodeksu postępowania administracyjnego</w:t>
      </w:r>
      <w:r w:rsidR="00D3663D" w:rsidRPr="00532F3A">
        <w:rPr>
          <w:rFonts w:ascii="Times New Roman" w:eastAsia="Times New Roman" w:hAnsi="Times New Roman" w:cs="Times New Roman"/>
          <w:color w:val="000000" w:themeColor="text1"/>
          <w:sz w:val="24"/>
          <w:szCs w:val="24"/>
        </w:rPr>
        <w:t>, tj. przepisów o doręczeniach;</w:t>
      </w:r>
    </w:p>
    <w:p w14:paraId="4BF3DAB4" w14:textId="6DB5733B" w:rsidR="484D5AE9" w:rsidRPr="00C10C7D" w:rsidRDefault="419D5190"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t xml:space="preserve">ustawie z dnia 22 listopada 2013 r. o systemie powiadamiania ratunkowego </w:t>
      </w:r>
    </w:p>
    <w:p w14:paraId="651A0BD2" w14:textId="77777777" w:rsidR="00671F5C" w:rsidRPr="00C10C7D" w:rsidRDefault="419D5190"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W zakresie nowelizacji ustawy o systemie powiadamiania ratunkowego wprowadzono zmiany w art. 8 ust. 1 lit b, które mają na celu wdrożenie obowiązku z art. 109 ust. 6 EKŁE dotyczącego wykorzystywania przy lokalizacji osoby wykonującej połączenie na numer 112 nie tylko danych lokalizacyjnych ustalanych w oparciu o sieć telekomunikacyjną (tak jak obecnie), ale również danych pochodzących z urządzenia końcowego użytkownika (o ile urządzenie to posiada takie techniczne możliwości). Dodatkowo w art. 20 ust. 1 uwzględniono poszerzony w EKŁE katalog podmiotów, które mają obowiązek zapewniania połączeń z numerami alarmowymi. W związku z tym, w przepisie tym jako adresata obowiązku wskazano dostawcę publicznie dostępnych usług komunikacji interpersonalnej wykorzystujących numery z krajowych lub międzynarodowych planów numeracji i umożliwiających nawiązywanie połączeń z numerami z tych planów.</w:t>
      </w:r>
      <w:r w:rsidR="002A04FF" w:rsidRPr="00C10C7D">
        <w:rPr>
          <w:rFonts w:ascii="Times New Roman" w:eastAsia="Times New Roman" w:hAnsi="Times New Roman" w:cs="Times New Roman"/>
          <w:color w:val="000000" w:themeColor="text1"/>
          <w:sz w:val="24"/>
          <w:szCs w:val="24"/>
        </w:rPr>
        <w:t xml:space="preserve"> </w:t>
      </w:r>
    </w:p>
    <w:p w14:paraId="33446EBA" w14:textId="1442331F" w:rsidR="00671F5C" w:rsidRPr="00C10C7D" w:rsidRDefault="00671F5C"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Wprowadzono również zmiany wynikające z konieczności zapewnienia możliwości wysyłania na numer alarmowy 112 krótkich wiadomości tekstowych. Kierując się stwierdzonymi trudnościami (technicznymi i finansowymi) w dostarczeniu sms do właściwych terytorialnie centrów powiadamiania ratunkowego, zdecydowano o zmianie sposobu kierowania sms. Zmiana ta jest korzystna zarówno dla systemu powiadamiania ratunkowego, jak i dla </w:t>
      </w:r>
      <w:r w:rsidRPr="00C10C7D">
        <w:rPr>
          <w:rFonts w:ascii="Times New Roman" w:eastAsia="Times New Roman" w:hAnsi="Times New Roman" w:cs="Times New Roman"/>
          <w:color w:val="000000" w:themeColor="text1"/>
          <w:sz w:val="24"/>
          <w:szCs w:val="24"/>
        </w:rPr>
        <w:lastRenderedPageBreak/>
        <w:t>operatorów telekomunikacyjnych. Pozwoli na wykorzystanie istniejącej infrastruktury (centralny punkt systemu powiadamiania ratunkowego), której odpowiednie modyfikacje i późniejsze utrzymanie będzie mniej kosztowne, niż budowa nowej, odrębnej struktury i – co za tym idzie – przyniesie oszczędności dla budżetu państwa.</w:t>
      </w:r>
    </w:p>
    <w:p w14:paraId="63589D93" w14:textId="77777777" w:rsidR="00671F5C" w:rsidRPr="00CE1978" w:rsidRDefault="00671F5C"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Powyższa zmiana podyktowana jest koniecznością rozszerzenia wykorzystania centralnego punktu systemu powiadamiania ratunkowego, nie zawężając go tylko do pozyskiwania danych lokalizacyjnych z PLI CBD. </w:t>
      </w:r>
    </w:p>
    <w:p w14:paraId="59A1FF98" w14:textId="77777777" w:rsidR="00671F5C" w:rsidRPr="00CE1978" w:rsidRDefault="00671F5C"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 uwagi na szybko zachodzące zmiany w zakresie potrzeb wykorzystania CP SPR, w tym wynikające z prawa UE, delegację do wydania rozporządzenia o CPSPR dotychczas zawartą w Pt przeniesiono do ustawy o systemie powiadamiania ratunkowego.</w:t>
      </w:r>
    </w:p>
    <w:p w14:paraId="36D75957" w14:textId="49D5CA1F" w:rsidR="777D8778" w:rsidRPr="00CE1978" w:rsidRDefault="002A04FF"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Wprowadzono również zmiany dostosowujące słownictwo występujące na gruncie ustawy o systemie powiadamiania ratunkowego </w:t>
      </w:r>
      <w:r w:rsidR="006070AC" w:rsidRPr="00CE1978">
        <w:rPr>
          <w:rFonts w:ascii="Times New Roman" w:eastAsia="Times New Roman" w:hAnsi="Times New Roman" w:cs="Times New Roman"/>
          <w:color w:val="000000" w:themeColor="text1"/>
          <w:sz w:val="24"/>
          <w:szCs w:val="24"/>
        </w:rPr>
        <w:t>do słownictwa stosowanego w Pke;</w:t>
      </w:r>
    </w:p>
    <w:p w14:paraId="7E8B2064" w14:textId="2EAE5D44" w:rsidR="00753CC2" w:rsidRPr="00CE1978" w:rsidRDefault="00753CC2" w:rsidP="00F91F34">
      <w:pPr>
        <w:pStyle w:val="Akapitzlist"/>
        <w:numPr>
          <w:ilvl w:val="0"/>
          <w:numId w:val="4"/>
        </w:numPr>
        <w:tabs>
          <w:tab w:val="left" w:pos="426"/>
        </w:tabs>
        <w:spacing w:before="120" w:after="0" w:line="360" w:lineRule="auto"/>
        <w:ind w:left="0" w:firstLine="0"/>
        <w:contextualSpacing w:val="0"/>
        <w:jc w:val="both"/>
        <w:rPr>
          <w:rFonts w:ascii="Times New Roman" w:hAnsi="Times New Roman" w:cs="Times New Roman"/>
          <w:b/>
          <w:color w:val="000000" w:themeColor="text1"/>
          <w:sz w:val="24"/>
          <w:szCs w:val="24"/>
        </w:rPr>
      </w:pPr>
      <w:r w:rsidRPr="00CE1978">
        <w:rPr>
          <w:rFonts w:ascii="Times New Roman" w:hAnsi="Times New Roman" w:cs="Times New Roman"/>
          <w:b/>
          <w:color w:val="000000" w:themeColor="text1"/>
          <w:sz w:val="24"/>
          <w:szCs w:val="24"/>
        </w:rPr>
        <w:t>ustawie z dnia 12 grudnia 2013 r. o cudzoziemcach</w:t>
      </w:r>
    </w:p>
    <w:p w14:paraId="3A66889A" w14:textId="055F5482" w:rsidR="00753CC2" w:rsidRPr="00532F3A" w:rsidRDefault="00753CC2" w:rsidP="00F91F34">
      <w:pPr>
        <w:shd w:val="clear" w:color="auto" w:fill="FFFFFF"/>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Zmiany mają charakter dostosowujący. W związku z uchyleniem Pt konieczne jest zastąpienie odwołań do przepisów Pt odpowiadającymi im odwołaniami do przepisów Pke. Zawarta w art. 3 pkt 15</w:t>
      </w:r>
      <w:r w:rsidR="00532F3A">
        <w:rPr>
          <w:rFonts w:ascii="Times New Roman" w:hAnsi="Times New Roman" w:cs="Times New Roman"/>
          <w:color w:val="000000" w:themeColor="text1"/>
          <w:sz w:val="24"/>
          <w:szCs w:val="24"/>
          <w:shd w:val="clear" w:color="auto" w:fill="FFFFFF"/>
        </w:rPr>
        <w:t xml:space="preserve"> </w:t>
      </w:r>
      <w:r w:rsidRPr="00532F3A">
        <w:rPr>
          <w:rFonts w:ascii="Times New Roman" w:hAnsi="Times New Roman" w:cs="Times New Roman"/>
          <w:color w:val="000000" w:themeColor="text1"/>
          <w:sz w:val="24"/>
          <w:szCs w:val="24"/>
          <w:shd w:val="clear" w:color="auto" w:fill="FFFFFF"/>
        </w:rPr>
        <w:t xml:space="preserve">definicja „sieci telekomunikacyjnej” odwoływała się do definicji „sieci telekomunikacyjnej”, zawartej w </w:t>
      </w:r>
      <w:hyperlink r:id="rId13" w:history="1">
        <w:r w:rsidRPr="00CE1978">
          <w:rPr>
            <w:rStyle w:val="Hipercze"/>
            <w:rFonts w:ascii="Times New Roman" w:hAnsi="Times New Roman" w:cs="Times New Roman"/>
            <w:color w:val="000000" w:themeColor="text1"/>
            <w:sz w:val="24"/>
            <w:szCs w:val="24"/>
            <w:u w:val="none"/>
            <w:shd w:val="clear" w:color="auto" w:fill="FFFFFF"/>
          </w:rPr>
          <w:t>art. 2 pkt 35</w:t>
        </w:r>
      </w:hyperlink>
      <w:r w:rsidR="00532F3A">
        <w:rPr>
          <w:rFonts w:ascii="Times New Roman" w:hAnsi="Times New Roman" w:cs="Times New Roman"/>
          <w:color w:val="000000" w:themeColor="text1"/>
          <w:sz w:val="24"/>
          <w:szCs w:val="24"/>
          <w:shd w:val="clear" w:color="auto" w:fill="FFFFFF"/>
        </w:rPr>
        <w:t xml:space="preserve"> </w:t>
      </w:r>
      <w:r w:rsidRPr="00532F3A">
        <w:rPr>
          <w:rFonts w:ascii="Times New Roman" w:hAnsi="Times New Roman" w:cs="Times New Roman"/>
          <w:color w:val="000000" w:themeColor="text1"/>
          <w:sz w:val="24"/>
          <w:szCs w:val="24"/>
          <w:shd w:val="clear" w:color="auto" w:fill="FFFFFF"/>
        </w:rPr>
        <w:t xml:space="preserve">Pt. Definicja ta została przeniesiona z Pt do </w:t>
      </w:r>
      <w:r w:rsidRPr="00532F3A">
        <w:rPr>
          <w:rFonts w:ascii="Times New Roman" w:hAnsi="Times New Roman" w:cs="Times New Roman"/>
          <w:color w:val="000000" w:themeColor="text1"/>
          <w:sz w:val="24"/>
          <w:szCs w:val="24"/>
        </w:rPr>
        <w:t xml:space="preserve">art. 2 pkt </w:t>
      </w:r>
      <w:r w:rsidR="00D57958" w:rsidRPr="00532F3A">
        <w:rPr>
          <w:rFonts w:ascii="Times New Roman" w:hAnsi="Times New Roman" w:cs="Times New Roman"/>
          <w:color w:val="000000" w:themeColor="text1"/>
          <w:sz w:val="24"/>
          <w:szCs w:val="24"/>
        </w:rPr>
        <w:t xml:space="preserve">58 </w:t>
      </w:r>
      <w:r w:rsidRPr="00532F3A">
        <w:rPr>
          <w:rFonts w:ascii="Times New Roman" w:hAnsi="Times New Roman" w:cs="Times New Roman"/>
          <w:color w:val="000000" w:themeColor="text1"/>
          <w:sz w:val="24"/>
          <w:szCs w:val="24"/>
        </w:rPr>
        <w:t>Pke w związku z tym należało zmienić odwołanie.</w:t>
      </w:r>
    </w:p>
    <w:p w14:paraId="0A93418F" w14:textId="5679DA59" w:rsidR="00753CC2" w:rsidRPr="00CE1978" w:rsidRDefault="00753CC2" w:rsidP="00F91F34">
      <w:pPr>
        <w:shd w:val="clear" w:color="auto" w:fill="FFFFFF"/>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 xml:space="preserve">Analogicznie, </w:t>
      </w:r>
      <w:r w:rsidR="00CD7B71" w:rsidRPr="00C10C7D">
        <w:rPr>
          <w:rFonts w:ascii="Times New Roman" w:hAnsi="Times New Roman" w:cs="Times New Roman"/>
          <w:color w:val="000000" w:themeColor="text1"/>
          <w:sz w:val="24"/>
          <w:szCs w:val="24"/>
        </w:rPr>
        <w:t>zawarta</w:t>
      </w:r>
      <w:r w:rsidRPr="00C10C7D">
        <w:rPr>
          <w:rFonts w:ascii="Times New Roman" w:hAnsi="Times New Roman" w:cs="Times New Roman"/>
          <w:color w:val="000000" w:themeColor="text1"/>
          <w:sz w:val="24"/>
          <w:szCs w:val="24"/>
        </w:rPr>
        <w:t xml:space="preserve"> w art. 3 pkt 19 ustawy o cudzoziemcach </w:t>
      </w:r>
      <w:r w:rsidR="00CD7B71" w:rsidRPr="00C10C7D">
        <w:rPr>
          <w:rFonts w:ascii="Times New Roman" w:hAnsi="Times New Roman" w:cs="Times New Roman"/>
          <w:color w:val="000000" w:themeColor="text1"/>
          <w:sz w:val="24"/>
          <w:szCs w:val="24"/>
        </w:rPr>
        <w:t>definicja</w:t>
      </w:r>
      <w:r w:rsidRPr="00C10C7D">
        <w:rPr>
          <w:rFonts w:ascii="Times New Roman" w:hAnsi="Times New Roman" w:cs="Times New Roman"/>
          <w:color w:val="000000" w:themeColor="text1"/>
          <w:sz w:val="24"/>
          <w:szCs w:val="24"/>
        </w:rPr>
        <w:t xml:space="preserve"> „urządzenia telekomunikacyjne</w:t>
      </w:r>
      <w:r w:rsidR="0082396F" w:rsidRPr="00C10C7D">
        <w:rPr>
          <w:rFonts w:ascii="Times New Roman" w:hAnsi="Times New Roman" w:cs="Times New Roman"/>
          <w:color w:val="000000" w:themeColor="text1"/>
          <w:sz w:val="24"/>
          <w:szCs w:val="24"/>
        </w:rPr>
        <w:t>go”</w:t>
      </w:r>
      <w:r w:rsidRPr="00C10C7D">
        <w:rPr>
          <w:rFonts w:ascii="Times New Roman" w:hAnsi="Times New Roman" w:cs="Times New Roman"/>
          <w:color w:val="000000" w:themeColor="text1"/>
          <w:sz w:val="24"/>
          <w:szCs w:val="24"/>
        </w:rPr>
        <w:t xml:space="preserve"> </w:t>
      </w:r>
      <w:r w:rsidR="00CD7B71" w:rsidRPr="00C10C7D">
        <w:rPr>
          <w:rFonts w:ascii="Times New Roman" w:hAnsi="Times New Roman" w:cs="Times New Roman"/>
          <w:color w:val="000000" w:themeColor="text1"/>
          <w:sz w:val="24"/>
          <w:szCs w:val="24"/>
        </w:rPr>
        <w:t>odwołuje się do definicji „urządzenia telekomunikacyjnego”</w:t>
      </w:r>
      <w:r w:rsidRPr="00C10C7D">
        <w:rPr>
          <w:rFonts w:ascii="Times New Roman" w:hAnsi="Times New Roman" w:cs="Times New Roman"/>
          <w:color w:val="000000" w:themeColor="text1"/>
          <w:sz w:val="24"/>
          <w:szCs w:val="24"/>
        </w:rPr>
        <w:t xml:space="preserve"> </w:t>
      </w:r>
      <w:r w:rsidR="00CD7B71" w:rsidRPr="00C10C7D">
        <w:rPr>
          <w:rFonts w:ascii="Times New Roman" w:hAnsi="Times New Roman" w:cs="Times New Roman"/>
          <w:color w:val="000000" w:themeColor="text1"/>
          <w:sz w:val="24"/>
          <w:szCs w:val="24"/>
        </w:rPr>
        <w:t xml:space="preserve">zawartej w </w:t>
      </w:r>
      <w:r w:rsidRPr="00C10C7D">
        <w:rPr>
          <w:rFonts w:ascii="Times New Roman" w:hAnsi="Times New Roman" w:cs="Times New Roman"/>
          <w:color w:val="000000" w:themeColor="text1"/>
          <w:sz w:val="24"/>
          <w:szCs w:val="24"/>
        </w:rPr>
        <w:t xml:space="preserve">art. 2 pkt 46 </w:t>
      </w:r>
      <w:r w:rsidR="00CD7B71" w:rsidRPr="00C10C7D">
        <w:rPr>
          <w:rFonts w:ascii="Times New Roman" w:hAnsi="Times New Roman" w:cs="Times New Roman"/>
          <w:color w:val="000000" w:themeColor="text1"/>
          <w:sz w:val="24"/>
          <w:szCs w:val="24"/>
        </w:rPr>
        <w:t>Pt. Definicja ta została przeniesiona do</w:t>
      </w:r>
      <w:r w:rsidRPr="00C10C7D">
        <w:rPr>
          <w:rFonts w:ascii="Times New Roman" w:hAnsi="Times New Roman" w:cs="Times New Roman"/>
          <w:color w:val="000000" w:themeColor="text1"/>
          <w:sz w:val="24"/>
          <w:szCs w:val="24"/>
        </w:rPr>
        <w:t xml:space="preserve"> art. 2 pkt </w:t>
      </w:r>
      <w:r w:rsidR="00D57958" w:rsidRPr="00C10C7D">
        <w:rPr>
          <w:rFonts w:ascii="Times New Roman" w:hAnsi="Times New Roman" w:cs="Times New Roman"/>
          <w:color w:val="000000" w:themeColor="text1"/>
          <w:sz w:val="24"/>
          <w:szCs w:val="24"/>
        </w:rPr>
        <w:t xml:space="preserve">74 </w:t>
      </w:r>
      <w:r w:rsidR="00CD7B71" w:rsidRPr="00C10C7D">
        <w:rPr>
          <w:rFonts w:ascii="Times New Roman" w:hAnsi="Times New Roman" w:cs="Times New Roman"/>
          <w:color w:val="000000" w:themeColor="text1"/>
          <w:sz w:val="24"/>
          <w:szCs w:val="24"/>
        </w:rPr>
        <w:t>Pke</w:t>
      </w:r>
      <w:r w:rsidR="000508F9" w:rsidRPr="00C10C7D">
        <w:rPr>
          <w:rFonts w:ascii="Times New Roman" w:hAnsi="Times New Roman" w:cs="Times New Roman"/>
          <w:color w:val="000000" w:themeColor="text1"/>
          <w:sz w:val="24"/>
          <w:szCs w:val="24"/>
        </w:rPr>
        <w:t xml:space="preserve"> w związku z tym należało zmienić odwołanie</w:t>
      </w:r>
      <w:r w:rsidR="006070AC" w:rsidRPr="00CE1978">
        <w:rPr>
          <w:rFonts w:ascii="Times New Roman" w:hAnsi="Times New Roman" w:cs="Times New Roman"/>
          <w:color w:val="000000" w:themeColor="text1"/>
          <w:sz w:val="24"/>
          <w:szCs w:val="24"/>
        </w:rPr>
        <w:t>;</w:t>
      </w:r>
    </w:p>
    <w:p w14:paraId="4C4159C7" w14:textId="54E0DD89" w:rsidR="777D8778" w:rsidRPr="00CE1978" w:rsidRDefault="777D8778"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ustawie z dnia 6 marca 2</w:t>
      </w:r>
      <w:r w:rsidR="0073337C" w:rsidRPr="00CE1978">
        <w:rPr>
          <w:rFonts w:ascii="Times New Roman" w:eastAsia="Times New Roman" w:hAnsi="Times New Roman" w:cs="Times New Roman"/>
          <w:b/>
          <w:bCs/>
          <w:color w:val="000000" w:themeColor="text1"/>
          <w:sz w:val="24"/>
          <w:szCs w:val="24"/>
        </w:rPr>
        <w:t xml:space="preserve">018 r. </w:t>
      </w:r>
      <w:r w:rsidR="00A0613F" w:rsidRPr="00CE1978">
        <w:rPr>
          <w:rFonts w:ascii="Times New Roman" w:eastAsia="Times New Roman" w:hAnsi="Times New Roman" w:cs="Times New Roman"/>
          <w:color w:val="000000" w:themeColor="text1"/>
          <w:sz w:val="24"/>
          <w:szCs w:val="24"/>
        </w:rPr>
        <w:t>–</w:t>
      </w:r>
      <w:r w:rsidR="0073337C" w:rsidRPr="00CE1978">
        <w:rPr>
          <w:rFonts w:ascii="Times New Roman" w:eastAsia="Times New Roman" w:hAnsi="Times New Roman" w:cs="Times New Roman"/>
          <w:b/>
          <w:bCs/>
          <w:color w:val="000000" w:themeColor="text1"/>
          <w:sz w:val="24"/>
          <w:szCs w:val="24"/>
        </w:rPr>
        <w:t xml:space="preserve"> Prawo przedsiębiorców </w:t>
      </w:r>
    </w:p>
    <w:p w14:paraId="021E112C" w14:textId="7A538E25" w:rsidR="0073337C" w:rsidRPr="00C10C7D" w:rsidRDefault="57CC15A8"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Niniejsza ustawa przewiduje zmianę art. 48 ust. 11 oraz art. 50 ust. 2 ustawy – Prawo przedsiębiorców</w:t>
      </w:r>
      <w:r w:rsidR="03C48481" w:rsidRPr="00CE1978">
        <w:rPr>
          <w:rFonts w:ascii="Times New Roman" w:eastAsia="Times New Roman" w:hAnsi="Times New Roman" w:cs="Times New Roman"/>
          <w:color w:val="000000" w:themeColor="text1"/>
          <w:sz w:val="24"/>
          <w:szCs w:val="24"/>
        </w:rPr>
        <w:t>, która polega na</w:t>
      </w:r>
      <w:r w:rsidR="7262D8BB" w:rsidRPr="00CE1978">
        <w:rPr>
          <w:rFonts w:ascii="Times New Roman" w:eastAsia="Times New Roman" w:hAnsi="Times New Roman" w:cs="Times New Roman"/>
          <w:color w:val="000000" w:themeColor="text1"/>
          <w:sz w:val="24"/>
          <w:szCs w:val="24"/>
        </w:rPr>
        <w:t xml:space="preserve"> wyłączeni</w:t>
      </w:r>
      <w:r w:rsidR="76123F79" w:rsidRPr="00CE1978">
        <w:rPr>
          <w:rFonts w:ascii="Times New Roman" w:eastAsia="Times New Roman" w:hAnsi="Times New Roman" w:cs="Times New Roman"/>
          <w:color w:val="000000" w:themeColor="text1"/>
          <w:sz w:val="24"/>
          <w:szCs w:val="24"/>
        </w:rPr>
        <w:t>u</w:t>
      </w:r>
      <w:r w:rsidR="7262D8BB" w:rsidRPr="00CE1978">
        <w:rPr>
          <w:rFonts w:ascii="Times New Roman" w:eastAsia="Times New Roman" w:hAnsi="Times New Roman" w:cs="Times New Roman"/>
          <w:color w:val="000000" w:themeColor="text1"/>
          <w:sz w:val="24"/>
          <w:szCs w:val="24"/>
        </w:rPr>
        <w:t xml:space="preserve"> obowiązku zawiadomienia o zamiarze wszczęcia kontroli </w:t>
      </w:r>
      <w:r w:rsidR="7893205E" w:rsidRPr="00CE1978">
        <w:rPr>
          <w:rFonts w:ascii="Times New Roman" w:eastAsia="Times New Roman" w:hAnsi="Times New Roman" w:cs="Times New Roman"/>
          <w:color w:val="000000" w:themeColor="text1"/>
          <w:sz w:val="24"/>
          <w:szCs w:val="24"/>
        </w:rPr>
        <w:t>oraz wyłączeni</w:t>
      </w:r>
      <w:r w:rsidR="0BF9C327" w:rsidRPr="00CE1978">
        <w:rPr>
          <w:rFonts w:ascii="Times New Roman" w:eastAsia="Times New Roman" w:hAnsi="Times New Roman" w:cs="Times New Roman"/>
          <w:color w:val="000000" w:themeColor="text1"/>
          <w:sz w:val="24"/>
          <w:szCs w:val="24"/>
        </w:rPr>
        <w:t>u</w:t>
      </w:r>
      <w:r w:rsidR="7893205E" w:rsidRPr="00CE1978">
        <w:rPr>
          <w:rFonts w:ascii="Times New Roman" w:eastAsia="Times New Roman" w:hAnsi="Times New Roman" w:cs="Times New Roman"/>
          <w:color w:val="000000" w:themeColor="text1"/>
          <w:sz w:val="24"/>
          <w:szCs w:val="24"/>
        </w:rPr>
        <w:t xml:space="preserve"> obowiązku wykonywania czynności kontrolnych w obecności przedsiębiorcy lub osoby przez niego upoważnionej </w:t>
      </w:r>
      <w:r w:rsidR="00532F3A">
        <w:rPr>
          <w:rFonts w:ascii="Times New Roman" w:eastAsia="Times New Roman" w:hAnsi="Times New Roman" w:cs="Times New Roman"/>
          <w:color w:val="000000" w:themeColor="text1"/>
          <w:sz w:val="24"/>
          <w:szCs w:val="24"/>
        </w:rPr>
        <w:t>–</w:t>
      </w:r>
      <w:r w:rsidR="7893205E" w:rsidRPr="00532F3A">
        <w:rPr>
          <w:rFonts w:ascii="Times New Roman" w:eastAsia="Times New Roman" w:hAnsi="Times New Roman" w:cs="Times New Roman"/>
          <w:color w:val="000000" w:themeColor="text1"/>
          <w:sz w:val="24"/>
          <w:szCs w:val="24"/>
        </w:rPr>
        <w:t xml:space="preserve"> </w:t>
      </w:r>
      <w:r w:rsidR="7262D8BB" w:rsidRPr="00532F3A">
        <w:rPr>
          <w:rFonts w:ascii="Times New Roman" w:eastAsia="Times New Roman" w:hAnsi="Times New Roman" w:cs="Times New Roman"/>
          <w:color w:val="000000" w:themeColor="text1"/>
          <w:sz w:val="24"/>
          <w:szCs w:val="24"/>
        </w:rPr>
        <w:t>w przypadku kontroli prowadzonej przez Prezesa UKE</w:t>
      </w:r>
      <w:r w:rsidR="00AD474F" w:rsidRPr="00CE1978">
        <w:rPr>
          <w:rFonts w:ascii="Times New Roman" w:eastAsia="Times New Roman" w:hAnsi="Times New Roman" w:cs="Times New Roman"/>
          <w:color w:val="000000" w:themeColor="text1"/>
          <w:sz w:val="24"/>
          <w:szCs w:val="24"/>
        </w:rPr>
        <w:t xml:space="preserve"> na podstawie ustawy Pke</w:t>
      </w:r>
      <w:r w:rsidR="0015601B" w:rsidRPr="00C10C7D">
        <w:rPr>
          <w:rFonts w:ascii="Times New Roman" w:eastAsia="Times New Roman" w:hAnsi="Times New Roman" w:cs="Times New Roman"/>
          <w:color w:val="000000" w:themeColor="text1"/>
          <w:sz w:val="24"/>
          <w:szCs w:val="24"/>
        </w:rPr>
        <w:t xml:space="preserve"> w zakresie funkcjonowania infrastruktury telekomunikacyjnej lub korzystania z niej</w:t>
      </w:r>
      <w:r w:rsidR="70204898" w:rsidRPr="00C10C7D">
        <w:rPr>
          <w:rFonts w:ascii="Times New Roman" w:eastAsia="Times New Roman" w:hAnsi="Times New Roman" w:cs="Times New Roman"/>
          <w:color w:val="000000" w:themeColor="text1"/>
          <w:sz w:val="24"/>
          <w:szCs w:val="24"/>
        </w:rPr>
        <w:t>.</w:t>
      </w:r>
      <w:r w:rsidR="4BE87E92" w:rsidRPr="00C10C7D">
        <w:rPr>
          <w:rFonts w:ascii="Times New Roman" w:eastAsia="Times New Roman" w:hAnsi="Times New Roman" w:cs="Times New Roman"/>
          <w:color w:val="000000" w:themeColor="text1"/>
          <w:sz w:val="24"/>
          <w:szCs w:val="24"/>
        </w:rPr>
        <w:t xml:space="preserve"> </w:t>
      </w:r>
    </w:p>
    <w:p w14:paraId="56856B59" w14:textId="54C6849C" w:rsidR="002A1DB3" w:rsidRPr="00C10C7D" w:rsidRDefault="00280A63"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hAnsi="Times New Roman" w:cs="Times New Roman"/>
          <w:color w:val="000000" w:themeColor="text1"/>
          <w:sz w:val="24"/>
          <w:szCs w:val="24"/>
        </w:rPr>
        <w:t xml:space="preserve">Należy wskazać, że obecne regulacje wynikające z Prawa przedsiębiorców uniemożliwiają przeprowadzenie w określonych wypadkach realnych kontroli i nie uwzględniają w żaden </w:t>
      </w:r>
      <w:r w:rsidRPr="00C10C7D">
        <w:rPr>
          <w:rFonts w:ascii="Times New Roman" w:hAnsi="Times New Roman" w:cs="Times New Roman"/>
          <w:color w:val="000000" w:themeColor="text1"/>
          <w:sz w:val="24"/>
          <w:szCs w:val="24"/>
        </w:rPr>
        <w:lastRenderedPageBreak/>
        <w:t>sposób specyfiki rynku telekomunikacyjnego. Dotyczy to w szczególności sytuacji powodowania szkodliwych zakłóceń. W sytuacji spełnienia wymogów określonych w Prawie przedsiębiorców, czyli zawiadomienia z wyprzedzeniem o planowanej kontroli, przedsiębiorca na czas tej kontroli zaprzestaje podejmowania działań niezgodnych z prawem. Należy przy tym zauważyć, że Prawo przedsiębiorców zawiera już obecnie szereg wyłączeń kiedy nie trzeba dokonywać uprzedniego zawiadomienia, np. w przypadku kontrolowania jakości paliw, czy kontroli podejmowanych na podstawie Prawa energetycznego. Żadne z tych wyłączeń nie znajduje jednak zastosowania w sytuacjach kontroli prowadzonych przez UKE. W szczególności nie można skorzystać z wyłączenia dotyczącego przeciwdziałaniu popełnieniu przestępstwa lub wykroczenia, ponieważ nieprzestrzeganie przepisów PT lub PKE nie stanowi przestępstwa ani wykroczenia.</w:t>
      </w:r>
      <w:r w:rsidR="002A1DB3" w:rsidRPr="00C10C7D">
        <w:rPr>
          <w:rFonts w:ascii="Times New Roman" w:hAnsi="Times New Roman" w:cs="Times New Roman"/>
          <w:color w:val="000000" w:themeColor="text1"/>
          <w:sz w:val="24"/>
          <w:szCs w:val="24"/>
        </w:rPr>
        <w:t xml:space="preserve"> Z tego względu wprowadzana zmianę należy uznać za konieczną celem </w:t>
      </w:r>
      <w:r w:rsidR="002A1DB3" w:rsidRPr="00C10C7D">
        <w:rPr>
          <w:rFonts w:ascii="Times New Roman" w:eastAsia="Times New Roman" w:hAnsi="Times New Roman" w:cs="Times New Roman"/>
          <w:color w:val="000000" w:themeColor="text1"/>
          <w:sz w:val="24"/>
          <w:szCs w:val="24"/>
        </w:rPr>
        <w:t>umożliwienia sprawnego przeprowadzania przez Prezesa UKE ko</w:t>
      </w:r>
      <w:r w:rsidR="006070AC" w:rsidRPr="00C10C7D">
        <w:rPr>
          <w:rFonts w:ascii="Times New Roman" w:eastAsia="Times New Roman" w:hAnsi="Times New Roman" w:cs="Times New Roman"/>
          <w:color w:val="000000" w:themeColor="text1"/>
          <w:sz w:val="24"/>
          <w:szCs w:val="24"/>
        </w:rPr>
        <w:t>ntroli, na podstawie ustawy Pke;</w:t>
      </w:r>
    </w:p>
    <w:p w14:paraId="7EAE270C" w14:textId="47E4FDC7" w:rsidR="68872255" w:rsidRPr="00532F3A" w:rsidRDefault="37CF5F4F"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b/>
          <w:bCs/>
          <w:color w:val="000000" w:themeColor="text1"/>
          <w:sz w:val="24"/>
          <w:szCs w:val="24"/>
        </w:rPr>
        <w:t>ustawie z dnia 30 sierpnia 2019 r. o zmianie us</w:t>
      </w:r>
      <w:r w:rsidRPr="00CE1978">
        <w:rPr>
          <w:rFonts w:ascii="Times New Roman" w:eastAsia="Times New Roman" w:hAnsi="Times New Roman" w:cs="Times New Roman"/>
          <w:b/>
          <w:bCs/>
          <w:color w:val="000000" w:themeColor="text1"/>
          <w:sz w:val="24"/>
          <w:szCs w:val="24"/>
        </w:rPr>
        <w:t xml:space="preserve">tawy o wspieraniu rozwoju usług i sieci telekomunikacyjnych oraz niektórych innych ustaw </w:t>
      </w:r>
      <w:r w:rsidR="00532F3A">
        <w:rPr>
          <w:rFonts w:ascii="Times New Roman" w:eastAsia="Times New Roman" w:hAnsi="Times New Roman" w:cs="Times New Roman"/>
          <w:color w:val="000000" w:themeColor="text1"/>
          <w:sz w:val="24"/>
          <w:szCs w:val="24"/>
        </w:rPr>
        <w:t>–</w:t>
      </w:r>
      <w:r w:rsidRPr="00532F3A">
        <w:rPr>
          <w:rFonts w:ascii="Times New Roman" w:eastAsia="Times New Roman" w:hAnsi="Times New Roman" w:cs="Times New Roman"/>
          <w:color w:val="000000" w:themeColor="text1"/>
          <w:sz w:val="24"/>
          <w:szCs w:val="24"/>
        </w:rPr>
        <w:t xml:space="preserve"> </w:t>
      </w:r>
      <w:r w:rsidRPr="00532F3A">
        <w:rPr>
          <w:rFonts w:ascii="Times New Roman" w:eastAsia="Times New Roman" w:hAnsi="Times New Roman" w:cs="Times New Roman"/>
          <w:b/>
          <w:bCs/>
          <w:color w:val="000000" w:themeColor="text1"/>
          <w:sz w:val="24"/>
          <w:szCs w:val="24"/>
        </w:rPr>
        <w:t xml:space="preserve">art. </w:t>
      </w:r>
      <w:r w:rsidR="003A0D4D" w:rsidRPr="00532F3A">
        <w:rPr>
          <w:rFonts w:ascii="Times New Roman" w:eastAsia="Times New Roman" w:hAnsi="Times New Roman" w:cs="Times New Roman"/>
          <w:b/>
          <w:bCs/>
          <w:color w:val="000000" w:themeColor="text1"/>
          <w:sz w:val="24"/>
          <w:szCs w:val="24"/>
        </w:rPr>
        <w:t>5</w:t>
      </w:r>
      <w:r w:rsidR="008A2DD6" w:rsidRPr="00532F3A">
        <w:rPr>
          <w:rFonts w:ascii="Times New Roman" w:eastAsia="Times New Roman" w:hAnsi="Times New Roman" w:cs="Times New Roman"/>
          <w:b/>
          <w:bCs/>
          <w:color w:val="000000" w:themeColor="text1"/>
          <w:sz w:val="24"/>
          <w:szCs w:val="24"/>
        </w:rPr>
        <w:t>5</w:t>
      </w:r>
      <w:r w:rsidR="003A0D4D" w:rsidRPr="00532F3A">
        <w:rPr>
          <w:rFonts w:ascii="Times New Roman" w:eastAsia="Times New Roman" w:hAnsi="Times New Roman" w:cs="Times New Roman"/>
          <w:b/>
          <w:bCs/>
          <w:color w:val="000000" w:themeColor="text1"/>
          <w:sz w:val="24"/>
          <w:szCs w:val="24"/>
        </w:rPr>
        <w:t xml:space="preserve"> </w:t>
      </w:r>
      <w:r w:rsidR="240FC5E3" w:rsidRPr="00532F3A">
        <w:rPr>
          <w:rFonts w:ascii="Times New Roman" w:eastAsia="Times New Roman" w:hAnsi="Times New Roman" w:cs="Times New Roman"/>
          <w:b/>
          <w:bCs/>
          <w:color w:val="000000" w:themeColor="text1"/>
          <w:sz w:val="24"/>
          <w:szCs w:val="24"/>
        </w:rPr>
        <w:t>projektu ustawy</w:t>
      </w:r>
    </w:p>
    <w:p w14:paraId="7A1D0499" w14:textId="74F7FF28" w:rsidR="75B895FB" w:rsidRPr="00C10C7D"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Art. 29 </w:t>
      </w:r>
      <w:r w:rsidR="20421D41" w:rsidRPr="00C10C7D">
        <w:rPr>
          <w:rFonts w:ascii="Times New Roman" w:eastAsia="Times New Roman" w:hAnsi="Times New Roman" w:cs="Times New Roman"/>
          <w:color w:val="000000" w:themeColor="text1"/>
          <w:sz w:val="24"/>
          <w:szCs w:val="24"/>
        </w:rPr>
        <w:t>M</w:t>
      </w:r>
      <w:r w:rsidRPr="00C10C7D">
        <w:rPr>
          <w:rFonts w:ascii="Times New Roman" w:eastAsia="Times New Roman" w:hAnsi="Times New Roman" w:cs="Times New Roman"/>
          <w:color w:val="000000" w:themeColor="text1"/>
          <w:sz w:val="24"/>
          <w:szCs w:val="24"/>
        </w:rPr>
        <w:t xml:space="preserve">egaustawy określa zasady prowadzenia inwentaryzacji infrastruktury i usług telekomunikacyjnych, tj. procesu służącego Prezesowi UKE do gromadzenia informacji o pokryciu terytorium kraju infrastrukturą telekomunikacyjną oraz pozyskiwania danych o usługach, jakie są oraz mogą być świadczone w Polsce. Przepisy dotyczące prowadzenia inwentaryzacji zostały zawarte w </w:t>
      </w:r>
      <w:r w:rsidR="0B645560" w:rsidRPr="00C10C7D">
        <w:rPr>
          <w:rFonts w:ascii="Times New Roman" w:eastAsia="Times New Roman" w:hAnsi="Times New Roman" w:cs="Times New Roman"/>
          <w:color w:val="000000" w:themeColor="text1"/>
          <w:sz w:val="24"/>
          <w:szCs w:val="24"/>
        </w:rPr>
        <w:t>M</w:t>
      </w:r>
      <w:r w:rsidRPr="00C10C7D">
        <w:rPr>
          <w:rFonts w:ascii="Times New Roman" w:eastAsia="Times New Roman" w:hAnsi="Times New Roman" w:cs="Times New Roman"/>
          <w:color w:val="000000" w:themeColor="text1"/>
          <w:sz w:val="24"/>
          <w:szCs w:val="24"/>
        </w:rPr>
        <w:t>egaustawie już w jej tekście pierwotnym z 2010 r.</w:t>
      </w:r>
    </w:p>
    <w:p w14:paraId="46464A8E" w14:textId="77777777" w:rsidR="75B895FB" w:rsidRPr="00C10C7D"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Do momentu przyjęcia EKŁE wspólnotowe ramy regulacyjne dla rynku telekomunikacyjnego nie określały zobowiązania dla Państw członkowskich do zorganizowania procesów służących zbieraniu danych o funkcjonujących na ich terenach sieciach łączności elektronicznej. Dopiero EKŁE, w treści art. 22, wprost zobowiązało Państwa członkowskie do prowadzenia tzw. analiz geograficznych, dotyczących co najmniej sieci łączności elektronicznej zapewniających szerokopasmową transmisję danych.</w:t>
      </w:r>
    </w:p>
    <w:p w14:paraId="11A715DC" w14:textId="77777777" w:rsidR="75B895FB" w:rsidRPr="00C10C7D"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Obecnie obowiązujący art. 29 </w:t>
      </w:r>
      <w:r w:rsidR="70D0B7A1" w:rsidRPr="00C10C7D">
        <w:rPr>
          <w:rFonts w:ascii="Times New Roman" w:eastAsia="Times New Roman" w:hAnsi="Times New Roman" w:cs="Times New Roman"/>
          <w:color w:val="000000" w:themeColor="text1"/>
          <w:sz w:val="24"/>
          <w:szCs w:val="24"/>
        </w:rPr>
        <w:t>M</w:t>
      </w:r>
      <w:r w:rsidRPr="00C10C7D">
        <w:rPr>
          <w:rFonts w:ascii="Times New Roman" w:eastAsia="Times New Roman" w:hAnsi="Times New Roman" w:cs="Times New Roman"/>
          <w:color w:val="000000" w:themeColor="text1"/>
          <w:sz w:val="24"/>
          <w:szCs w:val="24"/>
        </w:rPr>
        <w:t xml:space="preserve">egaustawy, w przeważającej większości jego treści, jest zgodny z art. 22 EKŁE, tj. określa zasady prowadzenia analiz geograficznych w zakresie już istniejących sieci telekomunikacyjnych (art. 22 ust. 1 akapit pierwszy, drugi i siódmy EKŁE), oraz zasady udostępniania informacji z tych analiz (art. 22 ust. 5 akapit drugi EKŁE). Natomiast art. 22 EKŁE umożliwia też Państwom członkowskim prowadzenie prognoz dotyczących planowanych inwestycji w sieci łączności elektronicznej, co obecnie nie jest przedmiotem </w:t>
      </w:r>
      <w:r w:rsidRPr="00C10C7D">
        <w:rPr>
          <w:rFonts w:ascii="Times New Roman" w:eastAsia="Times New Roman" w:hAnsi="Times New Roman" w:cs="Times New Roman"/>
          <w:color w:val="000000" w:themeColor="text1"/>
          <w:sz w:val="24"/>
          <w:szCs w:val="24"/>
        </w:rPr>
        <w:lastRenderedPageBreak/>
        <w:t>inwentaryzacji Prezesa UKE. Co prawda, na podstawie dotychczasowego art. 6b ust. 1 pkt 2 Prawa telekomunikacyjnego Prezes UKE posiadał uprawnienie do wezwania operatorów telekomunikacyjnych do przedstawienia informacji o obszarach geograficznych, które operatorzy planują objąć zasięgiem sieci telekomunikacyjnych, jednak było to uprawnienie Prezesa UKE o charakterze fakultatywnym, a zbierane w tym trybie informacje mogły dotyczyć wyłącznie bieżącego roku kalendarzowego.</w:t>
      </w:r>
    </w:p>
    <w:p w14:paraId="51FE5E74" w14:textId="77777777" w:rsidR="75B895FB"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W związku z tym, że znaczenie informacji o potencjalnym pokryciu kraju infrastrukturą telekomunikacyjną wzrośnie w związku z nową strukturą uprawnień regulacyjnych Prezesa UKE, proponuje się, aby nowelizacja art. 29 </w:t>
      </w:r>
      <w:r w:rsidR="3C053715" w:rsidRPr="00C10C7D">
        <w:rPr>
          <w:rFonts w:ascii="Times New Roman" w:eastAsia="Times New Roman" w:hAnsi="Times New Roman" w:cs="Times New Roman"/>
          <w:color w:val="000000" w:themeColor="text1"/>
          <w:sz w:val="24"/>
          <w:szCs w:val="24"/>
        </w:rPr>
        <w:t>M</w:t>
      </w:r>
      <w:r w:rsidRPr="00CE1978">
        <w:rPr>
          <w:rFonts w:ascii="Times New Roman" w:eastAsia="Times New Roman" w:hAnsi="Times New Roman" w:cs="Times New Roman"/>
          <w:color w:val="000000" w:themeColor="text1"/>
          <w:sz w:val="24"/>
          <w:szCs w:val="24"/>
        </w:rPr>
        <w:t>egaustawy dokonała implementacji art. 22 EKŁE w zakresie prowadzenia prognoz dotyczących planowanych inwestycji.</w:t>
      </w:r>
    </w:p>
    <w:p w14:paraId="4024961D" w14:textId="2C49E9D4" w:rsidR="002162DE" w:rsidRPr="00CE1978" w:rsidRDefault="75B895FB"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Ze względów formalnych</w:t>
      </w:r>
      <w:r w:rsidR="00150CA3" w:rsidRPr="00CE1978">
        <w:rPr>
          <w:rFonts w:ascii="Times New Roman" w:eastAsia="Times New Roman" w:hAnsi="Times New Roman" w:cs="Times New Roman"/>
          <w:color w:val="000000" w:themeColor="text1"/>
          <w:sz w:val="24"/>
          <w:szCs w:val="24"/>
        </w:rPr>
        <w:t xml:space="preserve"> oraz historycznych</w:t>
      </w:r>
      <w:r w:rsidRPr="00CE1978">
        <w:rPr>
          <w:rFonts w:ascii="Times New Roman" w:eastAsia="Times New Roman" w:hAnsi="Times New Roman" w:cs="Times New Roman"/>
          <w:color w:val="000000" w:themeColor="text1"/>
          <w:sz w:val="24"/>
          <w:szCs w:val="24"/>
        </w:rPr>
        <w:t>, zmiany zasad prowadzenia inwentaryzacji zostały</w:t>
      </w:r>
      <w:r w:rsidR="00150CA3" w:rsidRPr="00CE1978">
        <w:rPr>
          <w:rFonts w:ascii="Times New Roman" w:eastAsia="Times New Roman" w:hAnsi="Times New Roman" w:cs="Times New Roman"/>
          <w:color w:val="000000" w:themeColor="text1"/>
          <w:sz w:val="24"/>
          <w:szCs w:val="24"/>
        </w:rPr>
        <w:t xml:space="preserve"> już częściowo</w:t>
      </w:r>
      <w:r w:rsidRPr="00CE1978">
        <w:rPr>
          <w:rFonts w:ascii="Times New Roman" w:eastAsia="Times New Roman" w:hAnsi="Times New Roman" w:cs="Times New Roman"/>
          <w:color w:val="000000" w:themeColor="text1"/>
          <w:sz w:val="24"/>
          <w:szCs w:val="24"/>
        </w:rPr>
        <w:t xml:space="preserve"> zaprojektowane w </w:t>
      </w:r>
      <w:r w:rsidR="5A4480C8" w:rsidRPr="00CE1978">
        <w:rPr>
          <w:rFonts w:ascii="Times New Roman" w:eastAsia="Times New Roman" w:hAnsi="Times New Roman" w:cs="Times New Roman"/>
          <w:color w:val="000000" w:themeColor="text1"/>
          <w:sz w:val="24"/>
          <w:szCs w:val="24"/>
        </w:rPr>
        <w:t>M</w:t>
      </w:r>
      <w:r w:rsidRPr="00CE1978">
        <w:rPr>
          <w:rFonts w:ascii="Times New Roman" w:eastAsia="Times New Roman" w:hAnsi="Times New Roman" w:cs="Times New Roman"/>
          <w:color w:val="000000" w:themeColor="text1"/>
          <w:sz w:val="24"/>
          <w:szCs w:val="24"/>
        </w:rPr>
        <w:t>egaustawie</w:t>
      </w:r>
      <w:r w:rsidR="00150CA3"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color w:val="000000" w:themeColor="text1"/>
          <w:sz w:val="24"/>
          <w:szCs w:val="24"/>
        </w:rPr>
        <w:t>ustaw</w:t>
      </w:r>
      <w:r w:rsidR="00150CA3" w:rsidRPr="00CE1978">
        <w:rPr>
          <w:rFonts w:ascii="Times New Roman" w:eastAsia="Times New Roman" w:hAnsi="Times New Roman" w:cs="Times New Roman"/>
          <w:color w:val="000000" w:themeColor="text1"/>
          <w:sz w:val="24"/>
          <w:szCs w:val="24"/>
        </w:rPr>
        <w:t>ą</w:t>
      </w:r>
      <w:r w:rsidRPr="00CE1978">
        <w:rPr>
          <w:rFonts w:ascii="Times New Roman" w:eastAsia="Times New Roman" w:hAnsi="Times New Roman" w:cs="Times New Roman"/>
          <w:color w:val="000000" w:themeColor="text1"/>
          <w:sz w:val="24"/>
          <w:szCs w:val="24"/>
        </w:rPr>
        <w:t xml:space="preserve"> z dnia 30 sierpnia 2019 r. o zmianie ustawy o wspieraniu rozwoju usług i sieci telekomunikacyjnych, która nowelizowała zasady prowadzenia inwentaryzacji w zakresie m.in. częstotliwości przekazywania informacji Prezesowi UKE.</w:t>
      </w:r>
      <w:r w:rsidR="00150CA3" w:rsidRPr="00CE1978">
        <w:rPr>
          <w:rFonts w:ascii="Times New Roman" w:eastAsia="Times New Roman" w:hAnsi="Times New Roman" w:cs="Times New Roman"/>
          <w:color w:val="000000" w:themeColor="text1"/>
          <w:sz w:val="24"/>
          <w:szCs w:val="24"/>
        </w:rPr>
        <w:t xml:space="preserve"> Ze względów ekonomiki legislacyjnej oraz biorąc pod uwagę czytelność zmian w art. 29 Megaustawy, proponuje się obecnie uchylenie przeważającej większości nowelizacji tego przepisu, przewidzianych ustawą z dnia 30 sierpnia 2019 r., oraz „przeniesienie” tych nowelizacji do zakresu zmian w art. 29 objętych projektowanym art. 36 pkt </w:t>
      </w:r>
      <w:r w:rsidR="00F627C3" w:rsidRPr="00CE1978">
        <w:rPr>
          <w:rFonts w:ascii="Times New Roman" w:eastAsia="Times New Roman" w:hAnsi="Times New Roman" w:cs="Times New Roman"/>
          <w:color w:val="000000" w:themeColor="text1"/>
          <w:sz w:val="24"/>
          <w:szCs w:val="24"/>
        </w:rPr>
        <w:t xml:space="preserve">23 </w:t>
      </w:r>
      <w:r w:rsidR="00150CA3" w:rsidRPr="00CE1978">
        <w:rPr>
          <w:rFonts w:ascii="Times New Roman" w:eastAsia="Times New Roman" w:hAnsi="Times New Roman" w:cs="Times New Roman"/>
          <w:color w:val="000000" w:themeColor="text1"/>
          <w:sz w:val="24"/>
          <w:szCs w:val="24"/>
        </w:rPr>
        <w:t>niniejszej ustawy. Zaproponowana technika legislacyjna nie doprowadzi do zmian o charakterze merytorycznym w zasadach prowadzenia inwentaryzacji, które mają obowiązywać zarówno na podstawie zmian przewidzianych niniejszą ustawą, jak i ustawą z dnia 30 sierpnia 2019 r.</w:t>
      </w:r>
    </w:p>
    <w:p w14:paraId="26B9E7D7" w14:textId="4AAC70B0" w:rsidR="00F12EB5" w:rsidRPr="00CE1978" w:rsidRDefault="00F12EB5" w:rsidP="00F91F34">
      <w:pPr>
        <w:pStyle w:val="Akapitzlist"/>
        <w:numPr>
          <w:ilvl w:val="0"/>
          <w:numId w:val="4"/>
        </w:numPr>
        <w:tabs>
          <w:tab w:val="left" w:pos="426"/>
        </w:tabs>
        <w:spacing w:before="120" w:after="0" w:line="360" w:lineRule="auto"/>
        <w:ind w:left="0" w:firstLine="0"/>
        <w:contextualSpacing w:val="0"/>
        <w:jc w:val="both"/>
        <w:rPr>
          <w:rFonts w:ascii="Times New Roman" w:eastAsia="Times New Roman" w:hAnsi="Times New Roman" w:cs="Times New Roman"/>
          <w:b/>
          <w:color w:val="000000" w:themeColor="text1"/>
          <w:sz w:val="24"/>
          <w:szCs w:val="24"/>
        </w:rPr>
      </w:pPr>
      <w:r w:rsidRPr="00CE1978">
        <w:rPr>
          <w:rFonts w:ascii="Times New Roman" w:eastAsia="Times New Roman" w:hAnsi="Times New Roman" w:cs="Times New Roman"/>
          <w:b/>
          <w:color w:val="000000" w:themeColor="text1"/>
          <w:sz w:val="24"/>
          <w:szCs w:val="24"/>
        </w:rPr>
        <w:t>zmiany w ustawie z dnia:</w:t>
      </w:r>
    </w:p>
    <w:p w14:paraId="4E0709E8" w14:textId="37A224C9" w:rsidR="00F12EB5" w:rsidRPr="00CE1978" w:rsidRDefault="004E1381"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 xml:space="preserve">6 kwietnia 1990 r. o Policji, </w:t>
      </w:r>
    </w:p>
    <w:p w14:paraId="26FAE507" w14:textId="5FB24F96"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12 października 1990 r. o Straży Granicznej</w:t>
      </w:r>
      <w:r w:rsidR="00F12EB5" w:rsidRPr="00CE1978">
        <w:rPr>
          <w:rFonts w:ascii="Times New Roman" w:hAnsi="Times New Roman" w:cs="Times New Roman"/>
          <w:color w:val="000000" w:themeColor="text1"/>
          <w:sz w:val="24"/>
          <w:szCs w:val="24"/>
        </w:rPr>
        <w:t>,</w:t>
      </w:r>
    </w:p>
    <w:p w14:paraId="2178429A" w14:textId="56A410C5"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15 lutego 1992 r. o podatku dochodowym od osób prawnych,</w:t>
      </w:r>
    </w:p>
    <w:p w14:paraId="64E56744" w14:textId="6F244941"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4 lutego 1994 r. o prawie autorskim i prawach pokrewnych,</w:t>
      </w:r>
    </w:p>
    <w:p w14:paraId="1D317615" w14:textId="554D4D8F"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29 czerwca 1995 r. o statystyce publicznej</w:t>
      </w:r>
      <w:r w:rsidR="00F12EB5" w:rsidRPr="00CE1978">
        <w:rPr>
          <w:rFonts w:ascii="Times New Roman" w:hAnsi="Times New Roman" w:cs="Times New Roman"/>
          <w:color w:val="000000" w:themeColor="text1"/>
          <w:sz w:val="24"/>
          <w:szCs w:val="24"/>
        </w:rPr>
        <w:t>,</w:t>
      </w:r>
    </w:p>
    <w:p w14:paraId="42F510C9" w14:textId="3602D7C9" w:rsidR="00F12EB5" w:rsidRPr="00CE1978" w:rsidRDefault="00213E9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21 czerwca 1996 r. o szczególnych formach sprawowania nadzoru przez ministra właściwego do spraw wewnętrznych,</w:t>
      </w:r>
    </w:p>
    <w:p w14:paraId="182C87DD" w14:textId="45DA41B9" w:rsidR="00F12EB5" w:rsidRPr="00CE1978" w:rsidRDefault="00213E9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 xml:space="preserve">6 czerwca 1997 r. </w:t>
      </w:r>
      <w:r w:rsidRPr="00CE1978">
        <w:rPr>
          <w:rFonts w:ascii="Times New Roman" w:eastAsia="Times New Roman" w:hAnsi="Times New Roman" w:cs="Times New Roman"/>
          <w:color w:val="000000" w:themeColor="text1"/>
          <w:sz w:val="24"/>
          <w:szCs w:val="24"/>
        </w:rPr>
        <w:t>–</w:t>
      </w:r>
      <w:r w:rsidRPr="00CE1978">
        <w:rPr>
          <w:rFonts w:ascii="Times New Roman" w:hAnsi="Times New Roman" w:cs="Times New Roman"/>
          <w:color w:val="000000" w:themeColor="text1"/>
          <w:sz w:val="24"/>
          <w:szCs w:val="24"/>
        </w:rPr>
        <w:t xml:space="preserve"> Kodeks postępowania karnego,</w:t>
      </w:r>
    </w:p>
    <w:p w14:paraId="018AC68F" w14:textId="61182208"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21 sierpnia 1997 r. o gospodarce nieruchomościami,</w:t>
      </w:r>
    </w:p>
    <w:p w14:paraId="75E42B3A" w14:textId="0A78B337"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lastRenderedPageBreak/>
        <w:t>27 kwietnia 2001 r. – Prawo ochrony środowiska,</w:t>
      </w:r>
    </w:p>
    <w:p w14:paraId="51E1108F" w14:textId="74CFC8BD" w:rsidR="00F12EB5" w:rsidRPr="00CE1978" w:rsidRDefault="00CD3A77"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24 sierpnia 2001 r. o Żandarmerii Wojskowej i wojskowych organach porządkowych,</w:t>
      </w:r>
    </w:p>
    <w:p w14:paraId="3B0CC9A6" w14:textId="7070CA4E" w:rsidR="00F12EB5" w:rsidRPr="00CE1978" w:rsidRDefault="00CD3A77"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24 maja 2002 r. o Agencji Bezpieczeństwa Wewnętrznego oraz Agencji Wywiadu,</w:t>
      </w:r>
    </w:p>
    <w:p w14:paraId="472C7EF0" w14:textId="320E1443"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3 lipca 2002 r. – Prawo lotnicze,</w:t>
      </w:r>
    </w:p>
    <w:p w14:paraId="6E49173C" w14:textId="4CAD7779"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5 lipca 2002 r. o ochronie niektórych usług świadczonych drogą elektroniczną opartych lub polegających na dostępie warunkowym,</w:t>
      </w:r>
    </w:p>
    <w:p w14:paraId="4FD5EE11" w14:textId="1B4EF235"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28 października 2002 r. o odpowiedzialności podmiotów zbiorowych za czyny zabronione pod groźbą kary,</w:t>
      </w:r>
    </w:p>
    <w:p w14:paraId="4EB4115F" w14:textId="3EAEA6EF"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28 lutego 2003 r. – Prawo upadłościowe,</w:t>
      </w:r>
    </w:p>
    <w:p w14:paraId="04F558AB" w14:textId="339F4762"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29 lipca 2005 r. o nadzorze nad rynkiem kapitałowym,</w:t>
      </w:r>
    </w:p>
    <w:p w14:paraId="26E6CF6E" w14:textId="11A54D3B" w:rsidR="00F12EB5" w:rsidRPr="00CE1978" w:rsidRDefault="00C127F9"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9 czerwca 2006 r. o Centralnym Biurze Antykorupcyjnym,</w:t>
      </w:r>
    </w:p>
    <w:p w14:paraId="2ED047E7" w14:textId="0D908197" w:rsidR="00F12EB5" w:rsidRPr="00CE1978" w:rsidRDefault="00C127F9"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9 czerwca 2006 r. o Służbie Kontrwywiadu Wojskowego oraz Służbie Wywiadu Wojskowego,</w:t>
      </w:r>
    </w:p>
    <w:p w14:paraId="6901E9CF" w14:textId="371570BE"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8 września 2006 r. o Państwowym Ratownictwie Medycznym,</w:t>
      </w:r>
    </w:p>
    <w:p w14:paraId="27116F92" w14:textId="2213CE8E"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30 czerwca 2011 r. o wdrożeniu naziemnej telewizji cyfrowej,</w:t>
      </w:r>
    </w:p>
    <w:p w14:paraId="150F0D17" w14:textId="6CE7D6E8"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19 sierpnia 2011 r. o usługach płatniczych</w:t>
      </w:r>
      <w:r w:rsidR="00F12EB5" w:rsidRPr="00CE1978">
        <w:rPr>
          <w:rFonts w:ascii="Times New Roman" w:hAnsi="Times New Roman" w:cs="Times New Roman"/>
          <w:color w:val="000000" w:themeColor="text1"/>
          <w:sz w:val="24"/>
          <w:szCs w:val="24"/>
        </w:rPr>
        <w:t>,</w:t>
      </w:r>
    </w:p>
    <w:p w14:paraId="18CAB08D" w14:textId="42B32EE1"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30 maja 2014 r. o prawach konsumenta,</w:t>
      </w:r>
    </w:p>
    <w:p w14:paraId="0611A1D0" w14:textId="77777777" w:rsidR="00384D37"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 xml:space="preserve">19 grudnia 2014 r. o rybołówstwie morskim, </w:t>
      </w:r>
    </w:p>
    <w:p w14:paraId="609FEEC3" w14:textId="61123CBB"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15 maja 2015 r. – Prawo restrukturyzacyjne,</w:t>
      </w:r>
    </w:p>
    <w:p w14:paraId="455A96BD" w14:textId="4C92F154" w:rsidR="00F12EB5" w:rsidRPr="00CE1978" w:rsidRDefault="00C127F9"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16 listopada 2016 r. o Krajowej Administracji Skarbowej,</w:t>
      </w:r>
    </w:p>
    <w:p w14:paraId="33546FFA" w14:textId="525F230F"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2 grudnia 2016 r. o wyposażeniu morskim,</w:t>
      </w:r>
    </w:p>
    <w:p w14:paraId="6D914FCC" w14:textId="354FD304"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27 października 2017 r. o Ogólnopolskiej Sieci Eduk</w:t>
      </w:r>
      <w:r w:rsidR="00F12EB5" w:rsidRPr="00CE1978">
        <w:rPr>
          <w:rFonts w:ascii="Times New Roman" w:hAnsi="Times New Roman" w:cs="Times New Roman"/>
          <w:color w:val="000000" w:themeColor="text1"/>
          <w:sz w:val="24"/>
          <w:szCs w:val="24"/>
        </w:rPr>
        <w:t>acyjnej,</w:t>
      </w:r>
    </w:p>
    <w:p w14:paraId="0519D44F" w14:textId="4B5BA4A4" w:rsidR="00F12EB5" w:rsidRPr="00CE1978" w:rsidRDefault="00C127F9"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8 grudnia 2017 r. o Służbie Ochrony Państwa</w:t>
      </w:r>
      <w:r w:rsidR="0001024A" w:rsidRPr="00CE1978">
        <w:rPr>
          <w:rFonts w:ascii="Times New Roman" w:hAnsi="Times New Roman" w:cs="Times New Roman"/>
          <w:color w:val="000000" w:themeColor="text1"/>
          <w:sz w:val="24"/>
          <w:szCs w:val="24"/>
        </w:rPr>
        <w:t>,</w:t>
      </w:r>
    </w:p>
    <w:p w14:paraId="78F05968" w14:textId="15C8040B"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1 marca 2018 r. o przeciwdziałaniu praniu pieniędzy oraz finansowaniu terroryzmu,</w:t>
      </w:r>
    </w:p>
    <w:p w14:paraId="25434D27" w14:textId="77777777"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dnia 6 marca 2018 r. o zasadach uczestnictwa przedsiębiorców zagranicznych i innych osób zagranicznych w obrocie gospodarczym na terytorium Rzeczypospolitej Polskiej,</w:t>
      </w:r>
    </w:p>
    <w:p w14:paraId="4A8050D0" w14:textId="77777777"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31 lipca 2019 r. o powszechnym spisie rolnym w 2020 r.,</w:t>
      </w:r>
    </w:p>
    <w:p w14:paraId="397DD460" w14:textId="77777777"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9 sierpnia 2019 r. o narodowym spisie powszechnym ludności i mieszkań w 2021 r.</w:t>
      </w:r>
      <w:r w:rsidR="00F12EB5" w:rsidRPr="00CE1978">
        <w:rPr>
          <w:rFonts w:ascii="Times New Roman" w:hAnsi="Times New Roman" w:cs="Times New Roman"/>
          <w:color w:val="000000" w:themeColor="text1"/>
          <w:sz w:val="24"/>
          <w:szCs w:val="24"/>
        </w:rPr>
        <w:t>,</w:t>
      </w:r>
    </w:p>
    <w:p w14:paraId="608614B1" w14:textId="77777777" w:rsidR="00F12EB5"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11 marca 2022 r. o obronie Ojczyzny,</w:t>
      </w:r>
    </w:p>
    <w:p w14:paraId="569FAB3E" w14:textId="63340DF8" w:rsidR="004E1381" w:rsidRPr="00CE1978" w:rsidRDefault="0001024A" w:rsidP="00F91F34">
      <w:pPr>
        <w:pStyle w:val="Akapitzlist"/>
        <w:numPr>
          <w:ilvl w:val="0"/>
          <w:numId w:val="19"/>
        </w:numPr>
        <w:spacing w:before="120" w:after="0" w:line="360" w:lineRule="auto"/>
        <w:ind w:left="284" w:hanging="284"/>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12 marca 2022 r. o pomocy obywatelom Ukrainy w związku z konfliktem zbrojnym na terytorium tego państwa</w:t>
      </w:r>
      <w:r w:rsidR="00694CDC" w:rsidRPr="00CE1978">
        <w:rPr>
          <w:rFonts w:ascii="Times New Roman" w:hAnsi="Times New Roman" w:cs="Times New Roman"/>
          <w:color w:val="000000" w:themeColor="text1"/>
          <w:sz w:val="24"/>
          <w:szCs w:val="24"/>
        </w:rPr>
        <w:t>.</w:t>
      </w:r>
    </w:p>
    <w:p w14:paraId="00F774A3" w14:textId="2606F2FD" w:rsidR="00100D8E" w:rsidRPr="00CE1978" w:rsidRDefault="0C39CDAF" w:rsidP="00F91F34">
      <w:pPr>
        <w:shd w:val="clear" w:color="auto" w:fill="FFFFFF" w:themeFill="background1"/>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lastRenderedPageBreak/>
        <w:t xml:space="preserve">Zmiany w w/w ustawach </w:t>
      </w:r>
      <w:r w:rsidR="0555E7A5" w:rsidRPr="00CE1978">
        <w:rPr>
          <w:rFonts w:ascii="Times New Roman" w:hAnsi="Times New Roman" w:cs="Times New Roman"/>
          <w:color w:val="000000" w:themeColor="text1"/>
          <w:sz w:val="24"/>
          <w:szCs w:val="24"/>
        </w:rPr>
        <w:t xml:space="preserve">przede wszystkim </w:t>
      </w:r>
      <w:r w:rsidRPr="00CE1978">
        <w:rPr>
          <w:rFonts w:ascii="Times New Roman" w:hAnsi="Times New Roman" w:cs="Times New Roman"/>
          <w:color w:val="000000" w:themeColor="text1"/>
          <w:sz w:val="24"/>
          <w:szCs w:val="24"/>
        </w:rPr>
        <w:t>mają</w:t>
      </w:r>
      <w:r w:rsidR="0BDA600F" w:rsidRPr="00CE1978">
        <w:rPr>
          <w:rFonts w:ascii="Times New Roman" w:hAnsi="Times New Roman" w:cs="Times New Roman"/>
          <w:color w:val="000000" w:themeColor="text1"/>
          <w:sz w:val="24"/>
          <w:szCs w:val="24"/>
        </w:rPr>
        <w:t xml:space="preserve"> charakter dostosowujący i polegają na zmianie odesłania d</w:t>
      </w:r>
      <w:r w:rsidR="0019495E" w:rsidRPr="00CE1978">
        <w:rPr>
          <w:rFonts w:ascii="Times New Roman" w:hAnsi="Times New Roman" w:cs="Times New Roman"/>
          <w:color w:val="000000" w:themeColor="text1"/>
          <w:sz w:val="24"/>
          <w:szCs w:val="24"/>
        </w:rPr>
        <w:t>o</w:t>
      </w:r>
      <w:r w:rsidR="0BDA600F" w:rsidRPr="00CE1978">
        <w:rPr>
          <w:rFonts w:ascii="Times New Roman" w:hAnsi="Times New Roman" w:cs="Times New Roman"/>
          <w:color w:val="000000" w:themeColor="text1"/>
          <w:sz w:val="24"/>
          <w:szCs w:val="24"/>
        </w:rPr>
        <w:t xml:space="preserve"> ustawy Pt na odesłania do Pke oraz zmianie odesłań do konkretnych przepisów Pt na odpowiadające im przepisy Pke. </w:t>
      </w:r>
      <w:r w:rsidR="7AA9ED9D" w:rsidRPr="00CE1978">
        <w:rPr>
          <w:rFonts w:ascii="Times New Roman" w:hAnsi="Times New Roman" w:cs="Times New Roman"/>
          <w:color w:val="000000" w:themeColor="text1"/>
          <w:sz w:val="24"/>
          <w:szCs w:val="24"/>
        </w:rPr>
        <w:t xml:space="preserve">Odnosi się to do regulacji dotyczących dostępu </w:t>
      </w:r>
      <w:r w:rsidR="67E7FBE3" w:rsidRPr="00CE1978">
        <w:rPr>
          <w:rFonts w:ascii="Times New Roman" w:hAnsi="Times New Roman" w:cs="Times New Roman"/>
          <w:color w:val="000000" w:themeColor="text1"/>
          <w:sz w:val="24"/>
          <w:szCs w:val="24"/>
        </w:rPr>
        <w:t xml:space="preserve">służb, uprawnionych organów </w:t>
      </w:r>
      <w:r w:rsidR="7AA9ED9D" w:rsidRPr="00CE1978">
        <w:rPr>
          <w:rFonts w:ascii="Times New Roman" w:hAnsi="Times New Roman" w:cs="Times New Roman"/>
          <w:color w:val="000000" w:themeColor="text1"/>
          <w:sz w:val="24"/>
          <w:szCs w:val="24"/>
        </w:rPr>
        <w:t>do danych telekomunikacyjnych wskazanych w art</w:t>
      </w:r>
      <w:r w:rsidR="67E7FBE3" w:rsidRPr="00CE1978">
        <w:rPr>
          <w:rFonts w:ascii="Times New Roman" w:hAnsi="Times New Roman" w:cs="Times New Roman"/>
          <w:color w:val="000000" w:themeColor="text1"/>
          <w:sz w:val="24"/>
          <w:szCs w:val="24"/>
        </w:rPr>
        <w:t>. 180c</w:t>
      </w:r>
      <w:r w:rsidR="7AA9ED9D" w:rsidRPr="00CE1978">
        <w:rPr>
          <w:rFonts w:ascii="Times New Roman" w:hAnsi="Times New Roman" w:cs="Times New Roman"/>
          <w:color w:val="000000" w:themeColor="text1"/>
          <w:sz w:val="24"/>
          <w:szCs w:val="24"/>
        </w:rPr>
        <w:t xml:space="preserve"> i art. 180d Pt, uzyskiwania danych z wykazu,</w:t>
      </w:r>
      <w:r w:rsidR="7811E2C9" w:rsidRPr="00CE1978">
        <w:rPr>
          <w:rFonts w:ascii="Times New Roman" w:hAnsi="Times New Roman" w:cs="Times New Roman"/>
          <w:color w:val="000000" w:themeColor="text1"/>
          <w:sz w:val="24"/>
          <w:szCs w:val="24"/>
        </w:rPr>
        <w:t xml:space="preserve"> o</w:t>
      </w:r>
      <w:r w:rsidR="00532F3A">
        <w:rPr>
          <w:rFonts w:ascii="Times New Roman" w:hAnsi="Times New Roman" w:cs="Times New Roman"/>
          <w:color w:val="000000" w:themeColor="text1"/>
          <w:sz w:val="24"/>
          <w:szCs w:val="24"/>
        </w:rPr>
        <w:t xml:space="preserve"> </w:t>
      </w:r>
      <w:r w:rsidR="7AA9ED9D" w:rsidRPr="00532F3A">
        <w:rPr>
          <w:rFonts w:ascii="Times New Roman" w:hAnsi="Times New Roman" w:cs="Times New Roman"/>
          <w:color w:val="000000" w:themeColor="text1"/>
          <w:sz w:val="24"/>
          <w:szCs w:val="24"/>
        </w:rPr>
        <w:t>którym mowa w</w:t>
      </w:r>
      <w:r w:rsidR="00532F3A">
        <w:rPr>
          <w:rFonts w:ascii="Times New Roman" w:hAnsi="Times New Roman" w:cs="Times New Roman"/>
          <w:color w:val="000000" w:themeColor="text1"/>
          <w:sz w:val="24"/>
          <w:szCs w:val="24"/>
        </w:rPr>
        <w:t xml:space="preserve"> </w:t>
      </w:r>
      <w:hyperlink r:id="rId14" w:history="1">
        <w:r w:rsidR="7AA9ED9D" w:rsidRPr="00CE1978">
          <w:rPr>
            <w:rStyle w:val="Hipercze"/>
            <w:rFonts w:ascii="Times New Roman" w:hAnsi="Times New Roman" w:cs="Times New Roman"/>
            <w:color w:val="000000" w:themeColor="text1"/>
            <w:sz w:val="24"/>
            <w:szCs w:val="24"/>
            <w:u w:val="none"/>
          </w:rPr>
          <w:t>art. 179 ust. 9</w:t>
        </w:r>
      </w:hyperlink>
      <w:r w:rsidR="7AA9ED9D" w:rsidRPr="00532F3A">
        <w:rPr>
          <w:rFonts w:ascii="Times New Roman" w:hAnsi="Times New Roman" w:cs="Times New Roman"/>
          <w:color w:val="000000" w:themeColor="text1"/>
          <w:sz w:val="24"/>
          <w:szCs w:val="24"/>
        </w:rPr>
        <w:t xml:space="preserve"> Pt oraz uzyskiwania dostępu </w:t>
      </w:r>
      <w:r w:rsidRPr="00532F3A">
        <w:rPr>
          <w:rFonts w:ascii="Times New Roman" w:hAnsi="Times New Roman" w:cs="Times New Roman"/>
          <w:color w:val="000000" w:themeColor="text1"/>
          <w:sz w:val="24"/>
          <w:szCs w:val="24"/>
        </w:rPr>
        <w:t>do danych, o których mowa</w:t>
      </w:r>
      <w:r w:rsidRPr="00532F3A">
        <w:rPr>
          <w:rFonts w:ascii="Times New Roman" w:hAnsi="Times New Roman" w:cs="Times New Roman"/>
          <w:color w:val="000000" w:themeColor="text1"/>
          <w:sz w:val="24"/>
          <w:szCs w:val="24"/>
          <w:shd w:val="clear" w:color="auto" w:fill="FFFFFF"/>
        </w:rPr>
        <w:t xml:space="preserve"> w</w:t>
      </w:r>
      <w:r w:rsidR="00532F3A">
        <w:rPr>
          <w:rFonts w:ascii="Times New Roman" w:hAnsi="Times New Roman" w:cs="Times New Roman"/>
          <w:color w:val="000000" w:themeColor="text1"/>
          <w:sz w:val="24"/>
          <w:szCs w:val="24"/>
          <w:shd w:val="clear" w:color="auto" w:fill="FFFFFF"/>
        </w:rPr>
        <w:t xml:space="preserve"> </w:t>
      </w:r>
      <w:hyperlink r:id="rId15" w:history="1">
        <w:r w:rsidRPr="00CE1978">
          <w:rPr>
            <w:rStyle w:val="Hipercze"/>
            <w:rFonts w:ascii="Times New Roman" w:hAnsi="Times New Roman" w:cs="Times New Roman"/>
            <w:color w:val="000000" w:themeColor="text1"/>
            <w:sz w:val="24"/>
            <w:szCs w:val="24"/>
            <w:u w:val="none"/>
            <w:shd w:val="clear" w:color="auto" w:fill="FFFFFF"/>
          </w:rPr>
          <w:t>art. 161</w:t>
        </w:r>
      </w:hyperlink>
      <w:r w:rsidR="67E7FBE3" w:rsidRPr="00532F3A">
        <w:rPr>
          <w:rFonts w:ascii="Times New Roman" w:hAnsi="Times New Roman" w:cs="Times New Roman"/>
          <w:color w:val="000000" w:themeColor="text1"/>
          <w:sz w:val="24"/>
          <w:szCs w:val="24"/>
        </w:rPr>
        <w:t xml:space="preserve"> Pt</w:t>
      </w:r>
      <w:r w:rsidRPr="00532F3A">
        <w:rPr>
          <w:rFonts w:ascii="Times New Roman" w:hAnsi="Times New Roman" w:cs="Times New Roman"/>
          <w:color w:val="000000" w:themeColor="text1"/>
          <w:sz w:val="24"/>
          <w:szCs w:val="24"/>
        </w:rPr>
        <w:t xml:space="preserve">. Dane te będą na gruncie Pke wskazane w </w:t>
      </w:r>
      <w:r w:rsidR="7AA9ED9D" w:rsidRPr="00532F3A">
        <w:rPr>
          <w:rFonts w:ascii="Times New Roman" w:hAnsi="Times New Roman" w:cs="Times New Roman"/>
          <w:color w:val="000000" w:themeColor="text1"/>
          <w:sz w:val="24"/>
          <w:szCs w:val="24"/>
        </w:rPr>
        <w:t xml:space="preserve">art. </w:t>
      </w:r>
      <w:r w:rsidR="00C95FB9" w:rsidRPr="00532F3A">
        <w:rPr>
          <w:rFonts w:ascii="Times New Roman" w:hAnsi="Times New Roman" w:cs="Times New Roman"/>
          <w:color w:val="000000" w:themeColor="text1"/>
          <w:sz w:val="24"/>
          <w:szCs w:val="24"/>
        </w:rPr>
        <w:t>45</w:t>
      </w:r>
      <w:r w:rsidRPr="00532F3A">
        <w:rPr>
          <w:rFonts w:ascii="Times New Roman" w:hAnsi="Times New Roman" w:cs="Times New Roman"/>
          <w:color w:val="000000" w:themeColor="text1"/>
          <w:sz w:val="24"/>
          <w:szCs w:val="24"/>
        </w:rPr>
        <w:t xml:space="preserve">, </w:t>
      </w:r>
      <w:r w:rsidR="7AA9ED9D" w:rsidRPr="00532F3A">
        <w:rPr>
          <w:rFonts w:ascii="Times New Roman" w:hAnsi="Times New Roman" w:cs="Times New Roman"/>
          <w:color w:val="000000" w:themeColor="text1"/>
          <w:sz w:val="24"/>
          <w:szCs w:val="24"/>
        </w:rPr>
        <w:t xml:space="preserve">art. </w:t>
      </w:r>
      <w:r w:rsidR="00492C99" w:rsidRPr="00532F3A">
        <w:rPr>
          <w:rFonts w:ascii="Times New Roman" w:hAnsi="Times New Roman" w:cs="Times New Roman"/>
          <w:color w:val="000000" w:themeColor="text1"/>
          <w:sz w:val="24"/>
          <w:szCs w:val="24"/>
        </w:rPr>
        <w:t>4</w:t>
      </w:r>
      <w:r w:rsidR="00894C32" w:rsidRPr="00532F3A">
        <w:rPr>
          <w:rFonts w:ascii="Times New Roman" w:hAnsi="Times New Roman" w:cs="Times New Roman"/>
          <w:color w:val="000000" w:themeColor="text1"/>
          <w:sz w:val="24"/>
          <w:szCs w:val="24"/>
        </w:rPr>
        <w:t>9</w:t>
      </w:r>
      <w:r w:rsidRPr="00532F3A">
        <w:rPr>
          <w:rFonts w:ascii="Times New Roman" w:hAnsi="Times New Roman" w:cs="Times New Roman"/>
          <w:color w:val="000000" w:themeColor="text1"/>
          <w:sz w:val="24"/>
          <w:szCs w:val="24"/>
        </w:rPr>
        <w:t>,</w:t>
      </w:r>
      <w:r w:rsidR="00492C99" w:rsidRPr="00532F3A">
        <w:rPr>
          <w:rFonts w:ascii="Times New Roman" w:hAnsi="Times New Roman" w:cs="Times New Roman"/>
          <w:color w:val="000000" w:themeColor="text1"/>
          <w:sz w:val="24"/>
          <w:szCs w:val="24"/>
        </w:rPr>
        <w:t xml:space="preserve"> </w:t>
      </w:r>
      <w:r w:rsidRPr="00532F3A">
        <w:rPr>
          <w:rFonts w:ascii="Times New Roman" w:hAnsi="Times New Roman" w:cs="Times New Roman"/>
          <w:color w:val="000000" w:themeColor="text1"/>
          <w:sz w:val="24"/>
          <w:szCs w:val="24"/>
        </w:rPr>
        <w:t xml:space="preserve">oraz art. </w:t>
      </w:r>
      <w:r w:rsidR="00492C99" w:rsidRPr="00532F3A">
        <w:rPr>
          <w:rFonts w:ascii="Times New Roman" w:hAnsi="Times New Roman" w:cs="Times New Roman"/>
          <w:color w:val="000000" w:themeColor="text1"/>
          <w:sz w:val="24"/>
          <w:szCs w:val="24"/>
        </w:rPr>
        <w:t>384</w:t>
      </w:r>
      <w:r w:rsidRPr="00532F3A">
        <w:rPr>
          <w:rFonts w:ascii="Times New Roman" w:hAnsi="Times New Roman" w:cs="Times New Roman"/>
          <w:color w:val="000000" w:themeColor="text1"/>
          <w:sz w:val="24"/>
          <w:szCs w:val="24"/>
        </w:rPr>
        <w:t>. W związku z tym należało zmienić odesłania do tych artykułów.</w:t>
      </w:r>
      <w:r w:rsidR="00100D8E" w:rsidRPr="00CE1978">
        <w:rPr>
          <w:rFonts w:ascii="Times New Roman" w:hAnsi="Times New Roman" w:cs="Times New Roman"/>
          <w:color w:val="000000" w:themeColor="text1"/>
          <w:sz w:val="24"/>
          <w:szCs w:val="24"/>
        </w:rPr>
        <w:t xml:space="preserve"> </w:t>
      </w:r>
    </w:p>
    <w:p w14:paraId="343702AD" w14:textId="7705F0CA" w:rsidR="009C2E9C" w:rsidRPr="00C10C7D" w:rsidRDefault="0BDA600F"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Ponadto w związku z doko</w:t>
      </w:r>
      <w:r w:rsidRPr="00C10C7D">
        <w:rPr>
          <w:rFonts w:ascii="Times New Roman" w:hAnsi="Times New Roman" w:cs="Times New Roman"/>
          <w:color w:val="000000" w:themeColor="text1"/>
          <w:sz w:val="24"/>
          <w:szCs w:val="24"/>
        </w:rPr>
        <w:t xml:space="preserve">naną </w:t>
      </w:r>
      <w:r w:rsidR="0019495E" w:rsidRPr="00C10C7D">
        <w:rPr>
          <w:rFonts w:ascii="Times New Roman" w:hAnsi="Times New Roman" w:cs="Times New Roman"/>
          <w:color w:val="000000" w:themeColor="text1"/>
          <w:sz w:val="24"/>
          <w:szCs w:val="24"/>
        </w:rPr>
        <w:t xml:space="preserve">w Pke </w:t>
      </w:r>
      <w:r w:rsidRPr="00C10C7D">
        <w:rPr>
          <w:rFonts w:ascii="Times New Roman" w:hAnsi="Times New Roman" w:cs="Times New Roman"/>
          <w:color w:val="000000" w:themeColor="text1"/>
          <w:sz w:val="24"/>
          <w:szCs w:val="24"/>
        </w:rPr>
        <w:t xml:space="preserve">zmianą terminologiczną w porównaniu do dotychczas obowiązujących przepisów PT, tj. </w:t>
      </w:r>
      <w:r w:rsidR="0019495E" w:rsidRPr="00C10C7D">
        <w:rPr>
          <w:rFonts w:ascii="Times New Roman" w:hAnsi="Times New Roman" w:cs="Times New Roman"/>
          <w:color w:val="000000" w:themeColor="text1"/>
          <w:sz w:val="24"/>
          <w:szCs w:val="24"/>
        </w:rPr>
        <w:t>rezygnacją z definiowania i posługiwania się pojęciem</w:t>
      </w:r>
      <w:r w:rsidRPr="00C10C7D">
        <w:rPr>
          <w:rFonts w:ascii="Times New Roman" w:hAnsi="Times New Roman" w:cs="Times New Roman"/>
          <w:color w:val="000000" w:themeColor="text1"/>
          <w:sz w:val="24"/>
          <w:szCs w:val="24"/>
        </w:rPr>
        <w:t xml:space="preserve"> </w:t>
      </w:r>
      <w:r w:rsidR="0019495E" w:rsidRPr="00C10C7D">
        <w:rPr>
          <w:rFonts w:ascii="Times New Roman" w:hAnsi="Times New Roman" w:cs="Times New Roman"/>
          <w:color w:val="000000" w:themeColor="text1"/>
          <w:sz w:val="24"/>
          <w:szCs w:val="24"/>
        </w:rPr>
        <w:t>„przekaz telekomunikacyjny”, gdyż pojęcie to mieści się w pojęciu</w:t>
      </w:r>
      <w:r w:rsidRPr="00C10C7D">
        <w:rPr>
          <w:rFonts w:ascii="Times New Roman" w:hAnsi="Times New Roman" w:cs="Times New Roman"/>
          <w:color w:val="000000" w:themeColor="text1"/>
          <w:sz w:val="24"/>
          <w:szCs w:val="24"/>
        </w:rPr>
        <w:t xml:space="preserve"> „komunikat elektroniczny” </w:t>
      </w:r>
      <w:r w:rsidR="00532F3A">
        <w:rPr>
          <w:rFonts w:ascii="Times New Roman" w:hAnsi="Times New Roman" w:cs="Times New Roman"/>
          <w:color w:val="000000" w:themeColor="text1"/>
          <w:sz w:val="24"/>
          <w:szCs w:val="24"/>
        </w:rPr>
        <w:t>–</w:t>
      </w:r>
      <w:r w:rsidR="009C2E9C" w:rsidRPr="00532F3A">
        <w:rPr>
          <w:rFonts w:ascii="Times New Roman" w:hAnsi="Times New Roman" w:cs="Times New Roman"/>
          <w:color w:val="000000" w:themeColor="text1"/>
          <w:sz w:val="24"/>
          <w:szCs w:val="24"/>
        </w:rPr>
        <w:t xml:space="preserve"> </w:t>
      </w:r>
      <w:r w:rsidRPr="00532F3A">
        <w:rPr>
          <w:rFonts w:ascii="Times New Roman" w:hAnsi="Times New Roman" w:cs="Times New Roman"/>
          <w:color w:val="000000" w:themeColor="text1"/>
          <w:sz w:val="24"/>
          <w:szCs w:val="24"/>
        </w:rPr>
        <w:t xml:space="preserve">stosowanej zmiany nazewnictwa należało również dokonać w zmienianych ustawach. </w:t>
      </w:r>
      <w:r w:rsidR="009C2E9C" w:rsidRPr="00532F3A">
        <w:rPr>
          <w:rFonts w:ascii="Times New Roman" w:hAnsi="Times New Roman" w:cs="Times New Roman"/>
          <w:color w:val="000000" w:themeColor="text1"/>
          <w:sz w:val="24"/>
          <w:szCs w:val="24"/>
        </w:rPr>
        <w:t xml:space="preserve">W tym celu pojęcie „przekaz telekomunikacyjny” zastąpiono pojęciem „komunikat elektroniczny </w:t>
      </w:r>
      <w:r w:rsidR="009C2E9C" w:rsidRPr="00CE1978">
        <w:rPr>
          <w:rFonts w:ascii="Times New Roman" w:hAnsi="Times New Roman" w:cs="Times New Roman"/>
          <w:color w:val="000000" w:themeColor="text1"/>
          <w:sz w:val="24"/>
          <w:szCs w:val="24"/>
        </w:rPr>
        <w:t xml:space="preserve">przesyłany </w:t>
      </w:r>
      <w:r w:rsidR="00DE2821" w:rsidRPr="00C10C7D">
        <w:rPr>
          <w:rFonts w:ascii="Times New Roman" w:hAnsi="Times New Roman" w:cs="Times New Roman"/>
          <w:color w:val="000000" w:themeColor="text1"/>
          <w:sz w:val="24"/>
          <w:szCs w:val="24"/>
        </w:rPr>
        <w:t>w ramach świadczonej publicznie dostępnej usługi</w:t>
      </w:r>
      <w:r w:rsidR="009C2E9C" w:rsidRPr="00C10C7D">
        <w:rPr>
          <w:rFonts w:ascii="Times New Roman" w:hAnsi="Times New Roman" w:cs="Times New Roman"/>
          <w:color w:val="000000" w:themeColor="text1"/>
          <w:sz w:val="24"/>
          <w:szCs w:val="24"/>
        </w:rPr>
        <w:t xml:space="preserve"> tele</w:t>
      </w:r>
      <w:r w:rsidR="00DE2821" w:rsidRPr="00C10C7D">
        <w:rPr>
          <w:rFonts w:ascii="Times New Roman" w:hAnsi="Times New Roman" w:cs="Times New Roman"/>
          <w:color w:val="000000" w:themeColor="text1"/>
          <w:sz w:val="24"/>
          <w:szCs w:val="24"/>
        </w:rPr>
        <w:t>komunikacyjnej</w:t>
      </w:r>
      <w:r w:rsidR="009C2E9C" w:rsidRPr="00C10C7D">
        <w:rPr>
          <w:rFonts w:ascii="Times New Roman" w:hAnsi="Times New Roman" w:cs="Times New Roman"/>
          <w:color w:val="000000" w:themeColor="text1"/>
          <w:sz w:val="24"/>
          <w:szCs w:val="24"/>
        </w:rPr>
        <w:t>”.</w:t>
      </w:r>
      <w:r w:rsidR="00CC1626" w:rsidRPr="00C10C7D">
        <w:rPr>
          <w:rFonts w:ascii="Times New Roman" w:hAnsi="Times New Roman" w:cs="Times New Roman"/>
          <w:color w:val="000000" w:themeColor="text1"/>
          <w:sz w:val="24"/>
          <w:szCs w:val="24"/>
        </w:rPr>
        <w:t xml:space="preserve"> </w:t>
      </w:r>
    </w:p>
    <w:p w14:paraId="3D6E6C88" w14:textId="41C55523" w:rsidR="00213E9A" w:rsidRPr="00C10C7D" w:rsidRDefault="00CC1626" w:rsidP="00F91F34">
      <w:pPr>
        <w:spacing w:before="120" w:after="0" w:line="360" w:lineRule="auto"/>
        <w:jc w:val="both"/>
        <w:rPr>
          <w:rFonts w:ascii="Times New Roman" w:hAnsi="Times New Roman" w:cs="Times New Roman"/>
          <w:color w:val="000000" w:themeColor="text1"/>
          <w:sz w:val="24"/>
          <w:szCs w:val="24"/>
        </w:rPr>
      </w:pPr>
      <w:r w:rsidRPr="00C10C7D">
        <w:rPr>
          <w:rFonts w:ascii="Times New Roman" w:hAnsi="Times New Roman" w:cs="Times New Roman"/>
          <w:color w:val="000000" w:themeColor="text1"/>
          <w:sz w:val="24"/>
          <w:szCs w:val="24"/>
        </w:rPr>
        <w:t>W zakresie ustaw</w:t>
      </w:r>
      <w:r w:rsidR="00433561" w:rsidRPr="00C10C7D">
        <w:rPr>
          <w:rFonts w:ascii="Times New Roman" w:hAnsi="Times New Roman" w:cs="Times New Roman"/>
          <w:color w:val="000000" w:themeColor="text1"/>
          <w:sz w:val="24"/>
          <w:szCs w:val="24"/>
        </w:rPr>
        <w:t>:</w:t>
      </w:r>
      <w:r w:rsidRPr="00C10C7D">
        <w:rPr>
          <w:rFonts w:ascii="Times New Roman" w:hAnsi="Times New Roman" w:cs="Times New Roman"/>
          <w:color w:val="000000" w:themeColor="text1"/>
          <w:sz w:val="24"/>
          <w:szCs w:val="24"/>
        </w:rPr>
        <w:t xml:space="preserve"> o Służbie Kontrwywiadu Wojskowego oraz Służbie Wywiadu</w:t>
      </w:r>
      <w:r w:rsidR="00F81298" w:rsidRPr="00C10C7D">
        <w:rPr>
          <w:rFonts w:ascii="Times New Roman" w:hAnsi="Times New Roman" w:cs="Times New Roman"/>
          <w:color w:val="000000" w:themeColor="text1"/>
          <w:sz w:val="24"/>
          <w:szCs w:val="24"/>
        </w:rPr>
        <w:t xml:space="preserve"> </w:t>
      </w:r>
      <w:r w:rsidRPr="00C10C7D">
        <w:rPr>
          <w:rFonts w:ascii="Times New Roman" w:hAnsi="Times New Roman" w:cs="Times New Roman"/>
          <w:color w:val="000000" w:themeColor="text1"/>
          <w:sz w:val="24"/>
          <w:szCs w:val="24"/>
        </w:rPr>
        <w:t>Wojskowego</w:t>
      </w:r>
      <w:r w:rsidR="00433561" w:rsidRPr="00C10C7D">
        <w:rPr>
          <w:rFonts w:ascii="Times New Roman" w:hAnsi="Times New Roman" w:cs="Times New Roman"/>
          <w:color w:val="000000" w:themeColor="text1"/>
          <w:sz w:val="24"/>
          <w:szCs w:val="24"/>
        </w:rPr>
        <w:t xml:space="preserve">, </w:t>
      </w:r>
      <w:r w:rsidR="00433561" w:rsidRPr="00C10C7D">
        <w:rPr>
          <w:rFonts w:ascii="Times New Roman" w:eastAsia="Times New Roman" w:hAnsi="Times New Roman" w:cs="Times New Roman"/>
          <w:color w:val="000000" w:themeColor="text1"/>
          <w:sz w:val="24"/>
          <w:szCs w:val="24"/>
        </w:rPr>
        <w:t>o Centralnym Biurze Antykorupcyjnym oraz</w:t>
      </w:r>
      <w:r w:rsidRPr="00C10C7D">
        <w:rPr>
          <w:rFonts w:ascii="Times New Roman" w:hAnsi="Times New Roman" w:cs="Times New Roman"/>
          <w:color w:val="000000" w:themeColor="text1"/>
          <w:sz w:val="24"/>
          <w:szCs w:val="24"/>
        </w:rPr>
        <w:t xml:space="preserve"> </w:t>
      </w:r>
      <w:r w:rsidR="00433561" w:rsidRPr="00C10C7D">
        <w:rPr>
          <w:rFonts w:ascii="Times New Roman" w:hAnsi="Times New Roman" w:cs="Times New Roman"/>
          <w:color w:val="000000" w:themeColor="text1"/>
          <w:sz w:val="24"/>
          <w:szCs w:val="24"/>
        </w:rPr>
        <w:t xml:space="preserve">o Agencji Bezpieczeństwa Wewnętrznego i Agencji Wywiadu </w:t>
      </w:r>
      <w:r w:rsidRPr="00C10C7D">
        <w:rPr>
          <w:rFonts w:ascii="Times New Roman" w:hAnsi="Times New Roman" w:cs="Times New Roman"/>
          <w:color w:val="000000" w:themeColor="text1"/>
          <w:sz w:val="24"/>
          <w:szCs w:val="24"/>
        </w:rPr>
        <w:t>ze względu na specyfikę działania tych służb zdecydowano się na rozszerzenie katalogu pod</w:t>
      </w:r>
      <w:r w:rsidRPr="00CE1978">
        <w:rPr>
          <w:rFonts w:ascii="Times New Roman" w:hAnsi="Times New Roman" w:cs="Times New Roman"/>
          <w:color w:val="000000" w:themeColor="text1"/>
          <w:sz w:val="24"/>
          <w:szCs w:val="24"/>
        </w:rPr>
        <w:t xml:space="preserve">miotowego przedsiębiorców zobowiązanych do udostępniania danych i zapewniających warunki do przeprowadzenia kontroli operacyjnej – na wszystkich przedsiębiorców komunikacji elektronicznej. W związku z czym </w:t>
      </w:r>
      <w:r w:rsidR="00433561" w:rsidRPr="00CE1978">
        <w:rPr>
          <w:rFonts w:ascii="Times New Roman" w:hAnsi="Times New Roman" w:cs="Times New Roman"/>
          <w:color w:val="000000" w:themeColor="text1"/>
          <w:sz w:val="24"/>
          <w:szCs w:val="24"/>
        </w:rPr>
        <w:t xml:space="preserve">odpowiednio w tych ustawach </w:t>
      </w:r>
      <w:r w:rsidRPr="00CE1978">
        <w:rPr>
          <w:rFonts w:ascii="Times New Roman" w:hAnsi="Times New Roman" w:cs="Times New Roman"/>
          <w:sz w:val="24"/>
          <w:szCs w:val="24"/>
        </w:rPr>
        <w:t>w art. 31 ust. 11 oraz w art. 32 ust. 2</w:t>
      </w:r>
      <w:r w:rsidR="00532F3A">
        <w:rPr>
          <w:rFonts w:ascii="Times New Roman" w:hAnsi="Times New Roman" w:cs="Times New Roman"/>
          <w:sz w:val="24"/>
          <w:szCs w:val="24"/>
        </w:rPr>
        <w:t>–</w:t>
      </w:r>
      <w:r w:rsidRPr="00532F3A">
        <w:rPr>
          <w:rFonts w:ascii="Times New Roman" w:hAnsi="Times New Roman" w:cs="Times New Roman"/>
          <w:sz w:val="24"/>
          <w:szCs w:val="24"/>
        </w:rPr>
        <w:t>5</w:t>
      </w:r>
      <w:r w:rsidR="00433561" w:rsidRPr="00532F3A">
        <w:rPr>
          <w:rFonts w:ascii="Times New Roman" w:hAnsi="Times New Roman" w:cs="Times New Roman"/>
          <w:sz w:val="24"/>
          <w:szCs w:val="24"/>
        </w:rPr>
        <w:t>, w art. 17 ust. 12 oraz w art. 18 ust. 2 i 3, oraz w art. 27 ust. 12 i w art. 28 ust. 2 i 3</w:t>
      </w:r>
      <w:r w:rsidRPr="00CE1978">
        <w:rPr>
          <w:rFonts w:ascii="Times New Roman" w:hAnsi="Times New Roman" w:cs="Times New Roman"/>
          <w:sz w:val="24"/>
          <w:szCs w:val="24"/>
        </w:rPr>
        <w:t xml:space="preserve"> wyrazy „przedsiębiorca telekomunikacyjny” zastąpiono wyrazami „przedsiębiorca komunikacji elektronicznej”, a ponadto </w:t>
      </w:r>
      <w:r w:rsidRPr="00C10C7D">
        <w:rPr>
          <w:rFonts w:ascii="Times New Roman" w:hAnsi="Times New Roman" w:cs="Times New Roman"/>
          <w:color w:val="000000" w:themeColor="text1"/>
          <w:sz w:val="24"/>
          <w:szCs w:val="24"/>
        </w:rPr>
        <w:t>pojęcie „przekaz telekomunikacyjny” zastąpiono pojęciem „komunikat elektroniczny”.</w:t>
      </w:r>
      <w:r w:rsidR="00433561" w:rsidRPr="00C10C7D">
        <w:rPr>
          <w:rFonts w:ascii="Times New Roman" w:hAnsi="Times New Roman" w:cs="Times New Roman"/>
          <w:color w:val="000000" w:themeColor="text1"/>
          <w:sz w:val="24"/>
          <w:szCs w:val="24"/>
        </w:rPr>
        <w:t xml:space="preserve"> </w:t>
      </w:r>
      <w:r w:rsidR="0C39CDAF" w:rsidRPr="00C10C7D">
        <w:rPr>
          <w:rFonts w:ascii="Times New Roman" w:eastAsia="Times New Roman" w:hAnsi="Times New Roman" w:cs="Times New Roman"/>
          <w:color w:val="000000" w:themeColor="text1"/>
          <w:sz w:val="24"/>
          <w:szCs w:val="24"/>
        </w:rPr>
        <w:t>W zakresie ustawy –</w:t>
      </w:r>
      <w:r w:rsidR="0C39CDAF" w:rsidRPr="00C10C7D">
        <w:rPr>
          <w:rFonts w:ascii="Times New Roman" w:hAnsi="Times New Roman" w:cs="Times New Roman"/>
          <w:color w:val="000000" w:themeColor="text1"/>
          <w:sz w:val="24"/>
          <w:szCs w:val="24"/>
        </w:rPr>
        <w:t xml:space="preserve"> Kodeks postępowania karnego zmieniono odwołania do Pt na odwołania do Pke oraz zmieniono odwołania do art. 180c i art. 180d Pt na odwołania do art. </w:t>
      </w:r>
      <w:r w:rsidR="00492C99" w:rsidRPr="00C10C7D">
        <w:rPr>
          <w:rFonts w:ascii="Times New Roman" w:hAnsi="Times New Roman" w:cs="Times New Roman"/>
          <w:color w:val="000000" w:themeColor="text1"/>
          <w:sz w:val="24"/>
          <w:szCs w:val="24"/>
        </w:rPr>
        <w:t>45</w:t>
      </w:r>
      <w:r w:rsidR="0C39CDAF" w:rsidRPr="00C10C7D">
        <w:rPr>
          <w:rFonts w:ascii="Times New Roman" w:hAnsi="Times New Roman" w:cs="Times New Roman"/>
          <w:color w:val="000000" w:themeColor="text1"/>
          <w:sz w:val="24"/>
          <w:szCs w:val="24"/>
        </w:rPr>
        <w:t xml:space="preserve">, art. </w:t>
      </w:r>
      <w:r w:rsidR="00492C99" w:rsidRPr="00C10C7D">
        <w:rPr>
          <w:rFonts w:ascii="Times New Roman" w:hAnsi="Times New Roman" w:cs="Times New Roman"/>
          <w:color w:val="000000" w:themeColor="text1"/>
          <w:sz w:val="24"/>
          <w:szCs w:val="24"/>
        </w:rPr>
        <w:t>4</w:t>
      </w:r>
      <w:r w:rsidR="008F4575" w:rsidRPr="00C10C7D">
        <w:rPr>
          <w:rFonts w:ascii="Times New Roman" w:hAnsi="Times New Roman" w:cs="Times New Roman"/>
          <w:color w:val="000000" w:themeColor="text1"/>
          <w:sz w:val="24"/>
          <w:szCs w:val="24"/>
        </w:rPr>
        <w:t>9</w:t>
      </w:r>
      <w:r w:rsidR="00492C99" w:rsidRPr="00C10C7D">
        <w:rPr>
          <w:rFonts w:ascii="Times New Roman" w:hAnsi="Times New Roman" w:cs="Times New Roman"/>
          <w:color w:val="000000" w:themeColor="text1"/>
          <w:sz w:val="24"/>
          <w:szCs w:val="24"/>
        </w:rPr>
        <w:t xml:space="preserve"> </w:t>
      </w:r>
      <w:r w:rsidR="0C39CDAF" w:rsidRPr="00C10C7D">
        <w:rPr>
          <w:rFonts w:ascii="Times New Roman" w:hAnsi="Times New Roman" w:cs="Times New Roman"/>
          <w:color w:val="000000" w:themeColor="text1"/>
          <w:sz w:val="24"/>
          <w:szCs w:val="24"/>
        </w:rPr>
        <w:t>Pke.</w:t>
      </w:r>
    </w:p>
    <w:p w14:paraId="50467466" w14:textId="77777777" w:rsidR="007F266E" w:rsidRPr="00CE1978" w:rsidRDefault="007F266E" w:rsidP="00F91F34">
      <w:pPr>
        <w:spacing w:before="120" w:after="0" w:line="360" w:lineRule="auto"/>
        <w:jc w:val="both"/>
        <w:rPr>
          <w:rFonts w:ascii="Times New Roman" w:hAnsi="Times New Roman" w:cs="Times New Roman"/>
          <w:color w:val="000000" w:themeColor="text1"/>
          <w:sz w:val="24"/>
          <w:szCs w:val="24"/>
        </w:rPr>
      </w:pPr>
      <w:r w:rsidRPr="00C10C7D">
        <w:rPr>
          <w:rFonts w:ascii="Times New Roman" w:hAnsi="Times New Roman" w:cs="Times New Roman"/>
          <w:color w:val="000000" w:themeColor="text1"/>
          <w:sz w:val="24"/>
          <w:szCs w:val="24"/>
        </w:rPr>
        <w:t xml:space="preserve">Dodatkowo, uzupełniono art. 5 ust. 1 ustawy o Agencji Bezpieczeństwa Wewnętrznego i Agencji Wywiadu poprzez dodanie pkt 3a. dotyczącego zarządzania satelitarną usługą publiczną o regulowanym dostępie PRS, w związku z kompleksowym uregulowaniem w Pke oraz ustawie o Agencji Bezpieczeństwa Wewnętrznego i Agencji Wywiadu zagadnień związanych z PRS, w tym działalności jednostki zarządzającej PRS – CPA Polska (Competent PRS Authority). Część zadań CPA powinna być wykonywana we współpracy lub za zgodą krajowej władzy bezpieczeństwa (National Security Authority – NSA) oraz organu do spraw </w:t>
      </w:r>
      <w:r w:rsidRPr="00C10C7D">
        <w:rPr>
          <w:rFonts w:ascii="Times New Roman" w:hAnsi="Times New Roman" w:cs="Times New Roman"/>
          <w:color w:val="000000" w:themeColor="text1"/>
          <w:sz w:val="24"/>
          <w:szCs w:val="24"/>
        </w:rPr>
        <w:lastRenderedPageBreak/>
        <w:t>dystrybucji produktów kryptograficznych (Crypto Distribution Authority – CDA). W Polsce funkcję obu organów pełni Agencja Bezpieczeństwa Wewnętrznego, przy czym dotychczas w żadnym akcie prawnym</w:t>
      </w:r>
      <w:r w:rsidRPr="00CE1978">
        <w:rPr>
          <w:rFonts w:ascii="Times New Roman" w:hAnsi="Times New Roman" w:cs="Times New Roman"/>
          <w:color w:val="000000" w:themeColor="text1"/>
          <w:sz w:val="24"/>
          <w:szCs w:val="24"/>
        </w:rPr>
        <w:t xml:space="preserve"> nie wskazano, że ABW jest organem do spraw dystrybucji produktów kryptograficznych. </w:t>
      </w:r>
    </w:p>
    <w:p w14:paraId="39EC4279" w14:textId="4367F2C0" w:rsidR="007F266E" w:rsidRPr="00CE1978" w:rsidRDefault="007F266E"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W związku z tym, w ustawie z dnia 24 maja 2012 r. o Agencji Bezpieczeństwa Wewnętrznego i Agencji Wywiadu należało wprowadzić zapis określający współpracę Agencji Bezpieczeństwa Wewnętrznego z ministrem właściwym do spraw wewnętrznych w obszarze zarządzania kluczami kryptograficznymi PRS w Polsce, w szczególności pełnienie przez Agencję Bezpieczeństwa Wewnętrznego funkcji organu do spraw dystrybucji produktów kryptograficznych.</w:t>
      </w:r>
    </w:p>
    <w:p w14:paraId="10EA9159" w14:textId="18C5197F" w:rsidR="007C3C61" w:rsidRPr="00CE1978" w:rsidRDefault="007C3C61" w:rsidP="00F91F34">
      <w:pPr>
        <w:pStyle w:val="Akapitzlist"/>
        <w:numPr>
          <w:ilvl w:val="0"/>
          <w:numId w:val="6"/>
        </w:numPr>
        <w:tabs>
          <w:tab w:val="left" w:pos="426"/>
        </w:tabs>
        <w:spacing w:before="120" w:after="0" w:line="360" w:lineRule="auto"/>
        <w:ind w:left="0" w:firstLine="0"/>
        <w:contextualSpacing w:val="0"/>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Przepis </w:t>
      </w:r>
      <w:r w:rsidR="00F2036C" w:rsidRPr="00CE1978">
        <w:rPr>
          <w:rFonts w:ascii="Times New Roman" w:eastAsia="Times New Roman" w:hAnsi="Times New Roman" w:cs="Times New Roman"/>
          <w:b/>
          <w:bCs/>
          <w:color w:val="000000" w:themeColor="text1"/>
          <w:sz w:val="24"/>
          <w:szCs w:val="24"/>
        </w:rPr>
        <w:t>uchylający</w:t>
      </w:r>
      <w:r w:rsidRPr="00CE1978">
        <w:rPr>
          <w:rFonts w:ascii="Times New Roman" w:eastAsia="Times New Roman" w:hAnsi="Times New Roman" w:cs="Times New Roman"/>
          <w:b/>
          <w:bCs/>
          <w:color w:val="000000" w:themeColor="text1"/>
          <w:sz w:val="24"/>
          <w:szCs w:val="24"/>
        </w:rPr>
        <w:t xml:space="preserve">, </w:t>
      </w:r>
      <w:r w:rsidR="00F2036C" w:rsidRPr="00CE1978">
        <w:rPr>
          <w:rFonts w:ascii="Times New Roman" w:eastAsia="Times New Roman" w:hAnsi="Times New Roman" w:cs="Times New Roman"/>
          <w:b/>
          <w:bCs/>
          <w:color w:val="000000" w:themeColor="text1"/>
          <w:sz w:val="24"/>
          <w:szCs w:val="24"/>
        </w:rPr>
        <w:t xml:space="preserve">przepisy epizodyczne, </w:t>
      </w:r>
      <w:r w:rsidRPr="00CE1978">
        <w:rPr>
          <w:rFonts w:ascii="Times New Roman" w:eastAsia="Times New Roman" w:hAnsi="Times New Roman" w:cs="Times New Roman"/>
          <w:b/>
          <w:bCs/>
          <w:color w:val="000000" w:themeColor="text1"/>
          <w:sz w:val="24"/>
          <w:szCs w:val="24"/>
        </w:rPr>
        <w:t xml:space="preserve">przejściowe, dostosowujące i </w:t>
      </w:r>
      <w:r w:rsidR="00F2036C" w:rsidRPr="00CE1978">
        <w:rPr>
          <w:rFonts w:ascii="Times New Roman" w:eastAsia="Times New Roman" w:hAnsi="Times New Roman" w:cs="Times New Roman"/>
          <w:b/>
          <w:bCs/>
          <w:color w:val="000000" w:themeColor="text1"/>
          <w:sz w:val="24"/>
          <w:szCs w:val="24"/>
        </w:rPr>
        <w:t>przepis końcowy</w:t>
      </w:r>
    </w:p>
    <w:p w14:paraId="11D6B4B7" w14:textId="16161D2B"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W związku z wejściem w życie nowej ustawy – Prawo komunikacji elektronicznej, w art. 58 ustawy przewidziano uchylenie ustawy z dnia 16 lipca 2004 r. – Prawo telekomunikacyjne. Dodano przy tym zastrzeżenie, że przepis art.</w:t>
      </w:r>
      <w:r w:rsidR="00532F3A">
        <w:rPr>
          <w:rStyle w:val="normaltextrun"/>
          <w:rFonts w:ascii="Times New Roman" w:hAnsi="Times New Roman" w:cs="Times New Roman"/>
          <w:color w:val="000000" w:themeColor="text1"/>
          <w:sz w:val="24"/>
          <w:szCs w:val="24"/>
          <w:shd w:val="clear" w:color="auto" w:fill="FFFFFF"/>
        </w:rPr>
        <w:t xml:space="preserve"> </w:t>
      </w:r>
      <w:r w:rsidRPr="00532F3A">
        <w:rPr>
          <w:rStyle w:val="normaltextrun"/>
          <w:rFonts w:ascii="Times New Roman" w:hAnsi="Times New Roman" w:cs="Times New Roman"/>
          <w:color w:val="000000" w:themeColor="text1"/>
          <w:sz w:val="24"/>
          <w:szCs w:val="24"/>
          <w:shd w:val="clear" w:color="auto" w:fill="FFFFFF"/>
        </w:rPr>
        <w:t>56 ust. 4a</w:t>
      </w:r>
      <w:r w:rsidR="00532F3A">
        <w:rPr>
          <w:rStyle w:val="normaltextrun"/>
          <w:rFonts w:ascii="Times New Roman" w:hAnsi="Times New Roman" w:cs="Times New Roman"/>
          <w:color w:val="000000" w:themeColor="text1"/>
          <w:sz w:val="24"/>
          <w:szCs w:val="24"/>
          <w:shd w:val="clear" w:color="auto" w:fill="FFFFFF"/>
        </w:rPr>
        <w:t xml:space="preserve"> </w:t>
      </w:r>
      <w:r w:rsidRPr="00532F3A">
        <w:rPr>
          <w:rStyle w:val="normaltextrun"/>
          <w:rFonts w:ascii="Times New Roman" w:hAnsi="Times New Roman" w:cs="Times New Roman"/>
          <w:color w:val="000000" w:themeColor="text1"/>
          <w:sz w:val="24"/>
          <w:szCs w:val="24"/>
          <w:shd w:val="clear" w:color="auto" w:fill="FFFFFF"/>
        </w:rPr>
        <w:t>ustawy Prawo telekomunikacyjne traci moc z dniem ogłoszenia ustawy.</w:t>
      </w:r>
      <w:r w:rsidR="00532F3A">
        <w:rPr>
          <w:rStyle w:val="eop"/>
          <w:rFonts w:ascii="Times New Roman" w:hAnsi="Times New Roman" w:cs="Times New Roman"/>
          <w:color w:val="000000" w:themeColor="text1"/>
          <w:sz w:val="24"/>
          <w:szCs w:val="24"/>
          <w:shd w:val="clear" w:color="auto" w:fill="FFFFFF"/>
        </w:rPr>
        <w:t xml:space="preserve"> </w:t>
      </w:r>
      <w:r w:rsidRPr="00532F3A">
        <w:rPr>
          <w:rFonts w:ascii="Times New Roman" w:eastAsia="Times New Roman" w:hAnsi="Times New Roman" w:cs="Times New Roman"/>
          <w:color w:val="000000" w:themeColor="text1"/>
          <w:sz w:val="24"/>
          <w:szCs w:val="24"/>
        </w:rPr>
        <w:t xml:space="preserve">Ponadto przepis art. 199 ust. 1b pkt 1 ustawy Prawo telekomunikacyjne utracił moc z dniem 28 lutego 2021 r. Uzasadnienie do tej zmiany zawarto w omówieniu terminu wejścia w życie ustawy Pke. </w:t>
      </w:r>
    </w:p>
    <w:p w14:paraId="74DF787D" w14:textId="77777777" w:rsidR="007C3C61" w:rsidRPr="00C10C7D"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Zastąpienie w systemie prawa dotychczasowych regulacji rozwiązaniami wprowadzanymi przepisami Pke, prowadzi do powstania sytuacji intertemporalnych wymagających rozstrzygnięcia w niniejszej ustawie.</w:t>
      </w:r>
    </w:p>
    <w:p w14:paraId="3C1E5377" w14:textId="77777777" w:rsidR="007C3C61" w:rsidRPr="00C10C7D"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Uregulowania w przepisach ustawy wprowadzającej ustawę – Prawo komunikacji elektronicznej wymagają kwestie dotyczące:</w:t>
      </w:r>
    </w:p>
    <w:p w14:paraId="7274C00A" w14:textId="56875859" w:rsidR="007C3C61" w:rsidRPr="00C10C7D"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b/>
          <w:bCs/>
          <w:color w:val="000000" w:themeColor="text1"/>
          <w:sz w:val="24"/>
          <w:szCs w:val="24"/>
        </w:rPr>
        <w:t>rocznej opłaty telekomunikacyjnej</w:t>
      </w:r>
      <w:r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b/>
          <w:bCs/>
          <w:color w:val="000000" w:themeColor="text1"/>
          <w:sz w:val="24"/>
          <w:szCs w:val="24"/>
        </w:rPr>
        <w:t xml:space="preserve"> art. 59</w:t>
      </w:r>
    </w:p>
    <w:p w14:paraId="03F8283D" w14:textId="09066881"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Zgodnie z art. 183 ust. 8 Pt (w Pke art. 23 ust. 13), minister właściwy do spraw informatyzacji ogłasza w Dzienniku Urzędowym Rzeczypospolitej Polskiej „Monitor Polski” do 15 grudnia każdego roku komunikat o wysokości wskaźnika opłaty telekomunikacyjnej. Komunikat Ministra Cyfryzacji </w:t>
      </w:r>
      <w:r w:rsidRPr="00C10C7D">
        <w:rPr>
          <w:rFonts w:ascii="Times New Roman" w:hAnsi="Times New Roman" w:cs="Times New Roman"/>
          <w:color w:val="000000" w:themeColor="text1"/>
          <w:sz w:val="24"/>
          <w:szCs w:val="24"/>
        </w:rPr>
        <w:t>o wysokości wskaźnika rocznej opłaty telekomunikacyjnej w 2022 r</w:t>
      </w:r>
      <w:r w:rsidRPr="00C10C7D">
        <w:rPr>
          <w:rFonts w:ascii="Times New Roman" w:hAnsi="Times New Roman" w:cs="Times New Roman"/>
          <w:b/>
          <w:bCs/>
          <w:caps/>
          <w:color w:val="000000" w:themeColor="text1"/>
          <w:sz w:val="24"/>
          <w:szCs w:val="24"/>
        </w:rPr>
        <w:t xml:space="preserve">. </w:t>
      </w:r>
      <w:r w:rsidRPr="00C10C7D">
        <w:rPr>
          <w:rFonts w:ascii="Times New Roman" w:hAnsi="Times New Roman" w:cs="Times New Roman"/>
          <w:color w:val="000000" w:themeColor="text1"/>
          <w:sz w:val="24"/>
          <w:szCs w:val="24"/>
        </w:rPr>
        <w:t>został</w:t>
      </w:r>
      <w:r w:rsidRPr="00CE1978">
        <w:rPr>
          <w:rFonts w:ascii="Times New Roman" w:hAnsi="Times New Roman" w:cs="Times New Roman"/>
          <w:b/>
          <w:bCs/>
          <w:color w:val="000000" w:themeColor="text1"/>
          <w:sz w:val="24"/>
          <w:szCs w:val="24"/>
        </w:rPr>
        <w:t xml:space="preserve"> </w:t>
      </w:r>
      <w:r w:rsidRPr="00CE1978">
        <w:rPr>
          <w:rFonts w:ascii="Times New Roman" w:hAnsi="Times New Roman" w:cs="Times New Roman"/>
          <w:color w:val="000000" w:themeColor="text1"/>
          <w:sz w:val="24"/>
          <w:szCs w:val="24"/>
        </w:rPr>
        <w:t xml:space="preserve">ogłoszony w dniu 9 grudnia 2021 r. i będzie obowiązywał do dnia 31 grudnia 2022 r. na podstawie Pt (art. 23 Pke ─ 6 miesięczne vacatio legis). Planowane wejście w życie </w:t>
      </w:r>
      <w:r w:rsidRPr="00CE1978">
        <w:rPr>
          <w:rFonts w:ascii="Times New Roman" w:eastAsia="Times New Roman" w:hAnsi="Times New Roman" w:cs="Times New Roman"/>
          <w:color w:val="000000" w:themeColor="text1"/>
          <w:sz w:val="24"/>
          <w:szCs w:val="24"/>
        </w:rPr>
        <w:t xml:space="preserve">Pke w ciągu roku 2022 r. powoduje, że niezbędne jest zapewnienie podstawy prawnej dla ustalenia i uiszczania opłaty telekomunikacyjnej w 2023 r. </w:t>
      </w:r>
    </w:p>
    <w:p w14:paraId="38CF5D54" w14:textId="2667E037" w:rsidR="00AC43DF" w:rsidRPr="00CE1978" w:rsidRDefault="00AC43DF" w:rsidP="00F91F34">
      <w:pPr>
        <w:spacing w:before="120" w:after="0" w:line="360" w:lineRule="auto"/>
        <w:jc w:val="both"/>
        <w:rPr>
          <w:rFonts w:ascii="Times New Roman" w:hAnsi="Times New Roman" w:cs="Times New Roman"/>
          <w:bCs/>
          <w:color w:val="000000" w:themeColor="text1"/>
          <w:sz w:val="24"/>
          <w:szCs w:val="24"/>
        </w:rPr>
      </w:pPr>
      <w:r w:rsidRPr="00CE1978">
        <w:rPr>
          <w:rFonts w:ascii="Times New Roman" w:hAnsi="Times New Roman" w:cs="Times New Roman"/>
          <w:color w:val="000000" w:themeColor="text1"/>
          <w:sz w:val="24"/>
          <w:szCs w:val="24"/>
        </w:rPr>
        <w:lastRenderedPageBreak/>
        <w:t xml:space="preserve">Zgodnie z art. 183 ust. 8 Pt (w Pke art. 23 ust. 13), minister właściwy do spraw informatyzacji ogłasza w Dzienniku Urzędowym Rzeczypospolitej Polskiej „Monitor Polski” do 15 grudnia każdego roku komunikat o wysokości wskaźnika opłaty telekomunikacyjnej. Komunikat Ministra Cyfryzacji o wysokości wskaźnika rocznej opłaty telekomunikacyjnej w 2023 r. zostanie ogłoszony w grudniu 2022 r. Planowane wejście w życie Pke w 2023 r. powoduje, że niezbędne jest zapewnienie podstawy prawnej dla ustalenia i uiszczania opłaty telekomunikacyjnej w 2023 r. </w:t>
      </w:r>
      <w:r w:rsidR="007C3C61" w:rsidRPr="00CE1978">
        <w:rPr>
          <w:rFonts w:ascii="Times New Roman" w:hAnsi="Times New Roman" w:cs="Times New Roman"/>
          <w:color w:val="000000" w:themeColor="text1"/>
          <w:sz w:val="24"/>
          <w:szCs w:val="24"/>
        </w:rPr>
        <w:t xml:space="preserve">Ponadto dodano przepisy, które stanowią podstawę prawną (po wejściu w życiu Pke i </w:t>
      </w:r>
      <w:r w:rsidR="00162B59" w:rsidRPr="00CE1978">
        <w:rPr>
          <w:rFonts w:ascii="Times New Roman" w:hAnsi="Times New Roman" w:cs="Times New Roman"/>
          <w:color w:val="000000" w:themeColor="text1"/>
          <w:sz w:val="24"/>
          <w:szCs w:val="24"/>
        </w:rPr>
        <w:t>utracie</w:t>
      </w:r>
      <w:r w:rsidR="007C3C61" w:rsidRPr="00CE1978">
        <w:rPr>
          <w:rFonts w:ascii="Times New Roman" w:hAnsi="Times New Roman" w:cs="Times New Roman"/>
          <w:color w:val="000000" w:themeColor="text1"/>
          <w:sz w:val="24"/>
          <w:szCs w:val="24"/>
        </w:rPr>
        <w:t xml:space="preserve"> mocy przez Pt) do obowiązywania komunikatu Ministra Cyfryzacji o wysokości wskaźnika rocznej opłaty telekomunikacyjnej w 2023 r</w:t>
      </w:r>
      <w:r w:rsidR="007C3C61" w:rsidRPr="00CE1978">
        <w:rPr>
          <w:rFonts w:ascii="Times New Roman" w:hAnsi="Times New Roman" w:cs="Times New Roman"/>
          <w:bCs/>
          <w:color w:val="000000" w:themeColor="text1"/>
          <w:sz w:val="24"/>
          <w:szCs w:val="24"/>
        </w:rPr>
        <w:t>. do dnia 31 grudnia 2023 r.</w:t>
      </w:r>
    </w:p>
    <w:p w14:paraId="0294B37E" w14:textId="68729550" w:rsidR="007C3C61" w:rsidRPr="00532F3A" w:rsidRDefault="00AC43DF" w:rsidP="00F91F34">
      <w:pPr>
        <w:pStyle w:val="USTustnpkodeksu"/>
        <w:spacing w:before="120"/>
        <w:ind w:firstLine="0"/>
        <w:rPr>
          <w:rFonts w:ascii="Times New Roman" w:hAnsi="Times New Roman" w:cs="Times New Roman"/>
          <w:bCs w:val="0"/>
          <w:color w:val="000000" w:themeColor="text1"/>
          <w:szCs w:val="24"/>
        </w:rPr>
      </w:pPr>
      <w:r w:rsidRPr="00CE1978">
        <w:rPr>
          <w:rFonts w:ascii="Times New Roman" w:hAnsi="Times New Roman" w:cs="Times New Roman"/>
          <w:color w:val="000000" w:themeColor="text1"/>
          <w:szCs w:val="24"/>
        </w:rPr>
        <w:t>Ponadto wskazano przepisy, zgodnie z którymi</w:t>
      </w:r>
      <w:r w:rsidR="00022CBD" w:rsidRPr="00CE1978">
        <w:rPr>
          <w:rFonts w:ascii="Times New Roman" w:hAnsi="Times New Roman" w:cs="Times New Roman"/>
          <w:color w:val="000000" w:themeColor="text1"/>
          <w:szCs w:val="24"/>
        </w:rPr>
        <w:t xml:space="preserve"> </w:t>
      </w:r>
      <w:r w:rsidRPr="00CE1978">
        <w:rPr>
          <w:rFonts w:ascii="Times New Roman" w:eastAsiaTheme="minorHAnsi" w:hAnsi="Times New Roman" w:cs="Times New Roman"/>
          <w:bCs w:val="0"/>
          <w:color w:val="000000" w:themeColor="text1"/>
          <w:szCs w:val="24"/>
          <w:lang w:eastAsia="en-US"/>
        </w:rPr>
        <w:t>do ustalenia i</w:t>
      </w:r>
      <w:r w:rsidR="00532F3A">
        <w:rPr>
          <w:rFonts w:ascii="Times New Roman" w:eastAsiaTheme="minorHAnsi" w:hAnsi="Times New Roman" w:cs="Times New Roman"/>
          <w:bCs w:val="0"/>
          <w:color w:val="000000" w:themeColor="text1"/>
          <w:szCs w:val="24"/>
          <w:lang w:eastAsia="en-US"/>
        </w:rPr>
        <w:t xml:space="preserve"> </w:t>
      </w:r>
      <w:r w:rsidRPr="00532F3A">
        <w:rPr>
          <w:rFonts w:ascii="Times New Roman" w:eastAsiaTheme="minorHAnsi" w:hAnsi="Times New Roman" w:cs="Times New Roman"/>
          <w:bCs w:val="0"/>
          <w:color w:val="000000" w:themeColor="text1"/>
          <w:szCs w:val="24"/>
          <w:lang w:eastAsia="en-US"/>
        </w:rPr>
        <w:t>uiszczenia rocznej opłaty telekomunikacyjnej przez przedsiębiorców telekomunikacyjnych za rok 2024</w:t>
      </w:r>
      <w:r w:rsidR="00532F3A">
        <w:rPr>
          <w:rFonts w:ascii="Times New Roman" w:eastAsiaTheme="minorHAnsi" w:hAnsi="Times New Roman" w:cs="Times New Roman"/>
          <w:bCs w:val="0"/>
          <w:color w:val="000000" w:themeColor="text1"/>
          <w:szCs w:val="24"/>
          <w:lang w:eastAsia="en-US"/>
        </w:rPr>
        <w:t xml:space="preserve"> </w:t>
      </w:r>
      <w:r w:rsidRPr="00532F3A">
        <w:rPr>
          <w:rFonts w:ascii="Times New Roman" w:eastAsiaTheme="minorHAnsi" w:hAnsi="Times New Roman" w:cs="Times New Roman"/>
          <w:bCs w:val="0"/>
          <w:color w:val="000000" w:themeColor="text1"/>
          <w:szCs w:val="24"/>
          <w:lang w:eastAsia="en-US"/>
        </w:rPr>
        <w:t>stosuje się przepisy ustawy Pke.</w:t>
      </w:r>
    </w:p>
    <w:p w14:paraId="50FA2F61" w14:textId="349E2A09" w:rsidR="007C3C61" w:rsidRPr="00F61D64"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bCs/>
          <w:color w:val="000000" w:themeColor="text1"/>
          <w:sz w:val="24"/>
          <w:szCs w:val="24"/>
        </w:rPr>
      </w:pPr>
      <w:r w:rsidRPr="00F61D64">
        <w:rPr>
          <w:rFonts w:ascii="Times New Roman" w:eastAsia="Times New Roman" w:hAnsi="Times New Roman" w:cs="Times New Roman"/>
          <w:b/>
          <w:bCs/>
          <w:color w:val="000000" w:themeColor="text1"/>
          <w:sz w:val="24"/>
          <w:szCs w:val="24"/>
        </w:rPr>
        <w:t xml:space="preserve">zapewnienia Prezesowi UKE odpowiedniego czasu na dostosowanie urzędu, w tym w zakresie systemów teleinformatycznych, do nowych regulacji w zakresie wydawania pozwoleń radiowych – art. 60 </w:t>
      </w:r>
    </w:p>
    <w:p w14:paraId="28F86B84" w14:textId="77777777" w:rsidR="007C3C61" w:rsidRPr="00C10C7D" w:rsidRDefault="007C3C61" w:rsidP="00F91F34">
      <w:pPr>
        <w:spacing w:before="120" w:after="0" w:line="360" w:lineRule="auto"/>
        <w:jc w:val="both"/>
        <w:rPr>
          <w:rFonts w:ascii="Times New Roman" w:eastAsia="Times New Roman" w:hAnsi="Times New Roman" w:cs="Times New Roman"/>
          <w:bCs/>
          <w:color w:val="000000" w:themeColor="text1"/>
          <w:sz w:val="24"/>
          <w:szCs w:val="24"/>
        </w:rPr>
      </w:pPr>
      <w:r w:rsidRPr="00C10C7D">
        <w:rPr>
          <w:rFonts w:ascii="Times New Roman" w:eastAsia="Times New Roman" w:hAnsi="Times New Roman" w:cs="Times New Roman"/>
          <w:bCs/>
          <w:color w:val="000000" w:themeColor="text1"/>
          <w:sz w:val="24"/>
          <w:szCs w:val="24"/>
        </w:rPr>
        <w:t>Przez okres 24 miesięcy od dnia wejścia w życie ustawy Pke, zgodnie z którą w przypadku wydłużenia okresu ważności pozwoleń radiowych w związku z przedłużeniem rezerwacji lub jej dokonaniem na kolejny okres Prezes UKE wydaje jedną decyzję w odniesieniu do wszystkich wskazanych we wniosku pozwoleń, Prezes UKE będzie mógł wszcząć i prowadzić jedno postępowanie oraz wydać jedną decyzję lub odrębne decyzje w sprawie zmiany wskazanych pozwoleń;</w:t>
      </w:r>
    </w:p>
    <w:p w14:paraId="5D41612C" w14:textId="54EF31A7" w:rsidR="007C3C61" w:rsidRPr="00C10C7D"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t>zestawów prepaid dostępnych w sprzedaży w dniu wejścia w życie Pke – art. 61</w:t>
      </w:r>
    </w:p>
    <w:p w14:paraId="3039B3FF" w14:textId="77777777" w:rsidR="007C3C61" w:rsidRPr="00C10C7D" w:rsidRDefault="007C3C61" w:rsidP="00F91F34">
      <w:pPr>
        <w:spacing w:before="120" w:after="0" w:line="360" w:lineRule="auto"/>
        <w:jc w:val="both"/>
        <w:rPr>
          <w:rFonts w:ascii="Times New Roman" w:eastAsia="Times" w:hAnsi="Times New Roman" w:cs="Times New Roman"/>
          <w:b/>
          <w:color w:val="000000" w:themeColor="text1"/>
          <w:sz w:val="24"/>
          <w:szCs w:val="24"/>
        </w:rPr>
      </w:pPr>
      <w:r w:rsidRPr="00C10C7D">
        <w:rPr>
          <w:rFonts w:ascii="Times New Roman" w:eastAsia="Times" w:hAnsi="Times New Roman" w:cs="Times New Roman"/>
          <w:color w:val="000000" w:themeColor="text1"/>
          <w:sz w:val="24"/>
          <w:szCs w:val="24"/>
        </w:rPr>
        <w:t>W celu</w:t>
      </w:r>
      <w:r w:rsidRPr="00C10C7D">
        <w:rPr>
          <w:rFonts w:ascii="Times New Roman" w:eastAsia="Times" w:hAnsi="Times New Roman" w:cs="Times New Roman"/>
          <w:b/>
          <w:bCs/>
          <w:color w:val="000000" w:themeColor="text1"/>
          <w:sz w:val="24"/>
          <w:szCs w:val="24"/>
        </w:rPr>
        <w:t xml:space="preserve"> </w:t>
      </w:r>
      <w:r w:rsidRPr="00C10C7D">
        <w:rPr>
          <w:rFonts w:ascii="Times New Roman" w:eastAsia="Times" w:hAnsi="Times New Roman" w:cs="Times New Roman"/>
          <w:color w:val="000000" w:themeColor="text1"/>
          <w:sz w:val="24"/>
          <w:szCs w:val="24"/>
        </w:rPr>
        <w:t xml:space="preserve">ograniczenia kosztów dostosowania znajdujących się w obrocie zestawów startowych prepaid do przepisów Pke oraz uniknięcia konieczności ich wycofywania z rynku jako niezgodnych z nowymi przepisami wprowadzono regulację przejściową w tym zakresie. </w:t>
      </w:r>
    </w:p>
    <w:p w14:paraId="30BAFD67"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w:hAnsi="Times New Roman" w:cs="Times New Roman"/>
          <w:color w:val="000000" w:themeColor="text1"/>
          <w:sz w:val="24"/>
          <w:szCs w:val="24"/>
        </w:rPr>
        <w:t xml:space="preserve">Przepis umożliwia dostawcom usług sprzedaż już wyprodukowanych starterów usług prepaid, przez okres 12 miesięcy od dnia wejścia w życie ustawy mimo, że startery te nie zawierają wszystkich informacji o których mowa w art. 279, art. 281 i art. 284 Pke. Doręczenie tych informacji realizowane jest poprzez poinformowanie na trwałym nośniku o udostępnieniu zwięzłego podsumowania warunków umowy w postaci łatwych do pobrania dokumentów, ze wskazaniem ich źródła kierującego bezpośrednio do tych dokumentów. W takim wypadku </w:t>
      </w:r>
      <w:r w:rsidRPr="00C10C7D">
        <w:rPr>
          <w:rFonts w:ascii="Times New Roman" w:eastAsia="Times" w:hAnsi="Times New Roman" w:cs="Times New Roman"/>
          <w:color w:val="000000" w:themeColor="text1"/>
          <w:sz w:val="24"/>
          <w:szCs w:val="24"/>
        </w:rPr>
        <w:lastRenderedPageBreak/>
        <w:t>dostawca usług może przedstawić je niezwłocznie po uruchomieniu usług (po zarejestrowaniu danych abonenta i włożeniu przez niego karty SIM do urządzenia) poprzez przesłanie wiadomości sms na zarejestrowany numer telefonu z linkiem do wymaganych informacji. Abonent musi zostać pouczony o konieczności ich pobrania i utrwalenia do celów dowodowych lub możliwości</w:t>
      </w:r>
      <w:r w:rsidRPr="00CE1978">
        <w:rPr>
          <w:rFonts w:ascii="Times New Roman" w:eastAsia="Times New Roman" w:hAnsi="Times New Roman" w:cs="Times New Roman"/>
          <w:color w:val="000000" w:themeColor="text1"/>
          <w:sz w:val="24"/>
          <w:szCs w:val="24"/>
        </w:rPr>
        <w:t xml:space="preserve"> otrzymania tych dokumentów w każdej placówce danego dostawcy. W tym wypadku konsument nie musi potwierdzać woli zawarcia umowy po otrzymaniu podsumowania.</w:t>
      </w:r>
    </w:p>
    <w:p w14:paraId="10982200" w14:textId="77777777" w:rsidR="007C3C61" w:rsidRPr="00CE1978" w:rsidRDefault="007C3C61" w:rsidP="00F91F34">
      <w:pPr>
        <w:spacing w:before="120" w:after="0" w:line="360" w:lineRule="auto"/>
        <w:jc w:val="both"/>
        <w:rPr>
          <w:rFonts w:ascii="Times New Roman" w:eastAsia="Times" w:hAnsi="Times New Roman" w:cs="Times New Roman"/>
          <w:color w:val="000000" w:themeColor="text1"/>
          <w:sz w:val="24"/>
          <w:szCs w:val="24"/>
        </w:rPr>
      </w:pPr>
      <w:r w:rsidRPr="00CE1978">
        <w:rPr>
          <w:rFonts w:ascii="Times New Roman" w:eastAsia="Times" w:hAnsi="Times New Roman" w:cs="Times New Roman"/>
          <w:color w:val="000000" w:themeColor="text1"/>
          <w:sz w:val="24"/>
          <w:szCs w:val="24"/>
        </w:rPr>
        <w:t>Należy podkreślić, że startery przekazane do sprzedaży po dniu wejścia w życie Pke mają zawierać zwięzłe podsumowanie warunków umowy zgodnie z art. 285 Pke na trwałym nośniku i zostać wydane przed zawarciem umowy;</w:t>
      </w:r>
    </w:p>
    <w:p w14:paraId="375D1BB7" w14:textId="7FC26F48"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w:hAnsi="Times New Roman" w:cs="Times New Roman"/>
          <w:b/>
          <w:bCs/>
          <w:color w:val="000000" w:themeColor="text1"/>
          <w:sz w:val="24"/>
          <w:szCs w:val="24"/>
        </w:rPr>
      </w:pPr>
      <w:r w:rsidRPr="00CE1978">
        <w:rPr>
          <w:rFonts w:ascii="Times New Roman" w:eastAsia="Times" w:hAnsi="Times New Roman" w:cs="Times New Roman"/>
          <w:b/>
          <w:bCs/>
          <w:color w:val="000000" w:themeColor="text1"/>
          <w:sz w:val="24"/>
          <w:szCs w:val="24"/>
        </w:rPr>
        <w:t>uzyskania zgody na świadczenie usług dodatkowego obciążania rachunku – art. 62</w:t>
      </w:r>
    </w:p>
    <w:p w14:paraId="09FCFA6D" w14:textId="5D80EC78" w:rsidR="007C3C61" w:rsidRPr="00CE1978" w:rsidRDefault="007C3C61" w:rsidP="00F91F34">
      <w:pPr>
        <w:spacing w:before="120" w:after="0" w:line="360" w:lineRule="auto"/>
        <w:jc w:val="both"/>
        <w:rPr>
          <w:rFonts w:ascii="Times New Roman" w:eastAsia="Times" w:hAnsi="Times New Roman" w:cs="Times New Roman"/>
          <w:sz w:val="24"/>
          <w:szCs w:val="24"/>
        </w:rPr>
      </w:pPr>
      <w:r w:rsidRPr="00CE1978">
        <w:rPr>
          <w:rFonts w:ascii="Times New Roman" w:eastAsia="Times" w:hAnsi="Times New Roman" w:cs="Times New Roman"/>
          <w:sz w:val="24"/>
          <w:szCs w:val="24"/>
        </w:rPr>
        <w:t xml:space="preserve">Brzmienie przepisu przejściowego zapewnia dotychczasowym użytkownikom usług </w:t>
      </w:r>
      <w:r w:rsidR="00653740" w:rsidRPr="00CE1978">
        <w:rPr>
          <w:rFonts w:ascii="Times New Roman" w:eastAsia="Times" w:hAnsi="Times New Roman" w:cs="Times New Roman"/>
          <w:sz w:val="24"/>
          <w:szCs w:val="24"/>
        </w:rPr>
        <w:t xml:space="preserve">odpowiadających swoim przedmiotem, zakresem i sposobem świadczenia definicji usług </w:t>
      </w:r>
      <w:r w:rsidRPr="00CE1978">
        <w:rPr>
          <w:rFonts w:ascii="Times New Roman" w:eastAsia="Times" w:hAnsi="Times New Roman" w:cs="Times New Roman"/>
          <w:sz w:val="24"/>
          <w:szCs w:val="24"/>
        </w:rPr>
        <w:t>fakultatywnego obciążania rachunku</w:t>
      </w:r>
      <w:r w:rsidR="00653740" w:rsidRPr="00CE1978">
        <w:rPr>
          <w:rFonts w:ascii="Times New Roman" w:eastAsia="Times" w:hAnsi="Times New Roman" w:cs="Times New Roman"/>
          <w:sz w:val="24"/>
          <w:szCs w:val="24"/>
        </w:rPr>
        <w:t xml:space="preserve"> wynikającej z Pke, świadczonych w sposób powtarzalny,</w:t>
      </w:r>
      <w:r w:rsidRPr="00CE1978">
        <w:rPr>
          <w:rFonts w:ascii="Times New Roman" w:eastAsia="Times" w:hAnsi="Times New Roman" w:cs="Times New Roman"/>
          <w:sz w:val="24"/>
          <w:szCs w:val="24"/>
        </w:rPr>
        <w:t xml:space="preserve"> możliwości nieprzerwanego korzystania z tych usług po ogłoszeniu ustawy</w:t>
      </w:r>
      <w:r w:rsidR="00532F3A">
        <w:rPr>
          <w:rFonts w:ascii="Times New Roman" w:eastAsia="Times" w:hAnsi="Times New Roman" w:cs="Times New Roman"/>
          <w:sz w:val="24"/>
          <w:szCs w:val="24"/>
        </w:rPr>
        <w:t xml:space="preserve"> </w:t>
      </w:r>
      <w:r w:rsidRPr="00532F3A">
        <w:rPr>
          <w:rFonts w:ascii="Times New Roman" w:eastAsia="Times" w:hAnsi="Times New Roman" w:cs="Times New Roman"/>
          <w:sz w:val="24"/>
          <w:szCs w:val="24"/>
        </w:rPr>
        <w:t>Pke. Dostawcy usług komunikacji elektronicznej nie będą zobligowani do wstecznego zebrania zgód od tych abonentów, którym w momencie opublikowania</w:t>
      </w:r>
      <w:r w:rsidR="00532F3A">
        <w:rPr>
          <w:rFonts w:ascii="Times New Roman" w:eastAsia="Times" w:hAnsi="Times New Roman" w:cs="Times New Roman"/>
          <w:sz w:val="24"/>
          <w:szCs w:val="24"/>
        </w:rPr>
        <w:t xml:space="preserve"> </w:t>
      </w:r>
      <w:r w:rsidRPr="00532F3A">
        <w:rPr>
          <w:rFonts w:ascii="Times New Roman" w:eastAsia="Times" w:hAnsi="Times New Roman" w:cs="Times New Roman"/>
          <w:sz w:val="24"/>
          <w:szCs w:val="24"/>
        </w:rPr>
        <w:t>Pke</w:t>
      </w:r>
      <w:r w:rsidR="00532F3A">
        <w:rPr>
          <w:rFonts w:ascii="Times New Roman" w:eastAsia="Times" w:hAnsi="Times New Roman" w:cs="Times New Roman"/>
          <w:sz w:val="24"/>
          <w:szCs w:val="24"/>
        </w:rPr>
        <w:t xml:space="preserve"> </w:t>
      </w:r>
      <w:r w:rsidRPr="00532F3A">
        <w:rPr>
          <w:rFonts w:ascii="Times New Roman" w:eastAsia="Times" w:hAnsi="Times New Roman" w:cs="Times New Roman"/>
          <w:sz w:val="24"/>
          <w:szCs w:val="24"/>
        </w:rPr>
        <w:t xml:space="preserve">już świadczą w sposób </w:t>
      </w:r>
      <w:r w:rsidR="00653740" w:rsidRPr="00532F3A">
        <w:rPr>
          <w:rFonts w:ascii="Times New Roman" w:eastAsia="Times" w:hAnsi="Times New Roman" w:cs="Times New Roman"/>
          <w:sz w:val="24"/>
          <w:szCs w:val="24"/>
        </w:rPr>
        <w:t>powtarzalny</w:t>
      </w:r>
      <w:r w:rsidRPr="00532F3A">
        <w:rPr>
          <w:rFonts w:ascii="Times New Roman" w:eastAsia="Times" w:hAnsi="Times New Roman" w:cs="Times New Roman"/>
          <w:sz w:val="24"/>
          <w:szCs w:val="24"/>
        </w:rPr>
        <w:t xml:space="preserve"> usługi fakultatywnego obciążania rachunku. Wymóg autoryzacji nie będzie wymagany względem tych transakcji, które zawarto przed datą publikacji</w:t>
      </w:r>
      <w:r w:rsidR="00532F3A">
        <w:rPr>
          <w:rFonts w:ascii="Times New Roman" w:eastAsia="Times" w:hAnsi="Times New Roman" w:cs="Times New Roman"/>
          <w:sz w:val="24"/>
          <w:szCs w:val="24"/>
        </w:rPr>
        <w:t xml:space="preserve"> </w:t>
      </w:r>
      <w:r w:rsidRPr="00532F3A">
        <w:rPr>
          <w:rFonts w:ascii="Times New Roman" w:eastAsia="Times" w:hAnsi="Times New Roman" w:cs="Times New Roman"/>
          <w:sz w:val="24"/>
          <w:szCs w:val="24"/>
        </w:rPr>
        <w:t>Pke. Zwolnienie z obowiązku pozyskiwania zgód i autoryzacji będzie obowiązywać tylko przez okres trwania umowy o świadczenie usług komunikacji elektronicznej zawartej z dostawcą, który świadczy abonentowi dodatkowo usługę fakultatywnego obciążania rachunku, nie dłużej jednak niż przez okres 24 miesięcy od dnia ogłoszenia ustawy. Zaproponowany przepis przejściowy pozwoli wyeliminować sytuacje, w których abonent nie potwierdził swojej zgody na świadczone mu już usługi, co w konsekwencji obligowałoby dostawcę usług do zaprzestania świadczenia usług fakultatywnego obciążania rachunku, choć abonent nie zgłaszał zastrzeżeń co do spos</w:t>
      </w:r>
      <w:r w:rsidRPr="00CE1978">
        <w:rPr>
          <w:rFonts w:ascii="Times New Roman" w:eastAsia="Times" w:hAnsi="Times New Roman" w:cs="Times New Roman"/>
          <w:sz w:val="24"/>
          <w:szCs w:val="24"/>
        </w:rPr>
        <w:t>obu i warunków ich świadczenia;</w:t>
      </w:r>
    </w:p>
    <w:p w14:paraId="491FCAE3" w14:textId="0A5035C0" w:rsidR="007C3C61" w:rsidRPr="00C10C7D"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t xml:space="preserve">obowiązku złożenia oświadczenia Prezesowi UKE </w:t>
      </w:r>
      <w:r w:rsidRPr="00C10C7D">
        <w:rPr>
          <w:rFonts w:ascii="Times New Roman" w:eastAsia="Times New Roman" w:hAnsi="Times New Roman" w:cs="Times New Roman"/>
          <w:bCs/>
          <w:color w:val="000000" w:themeColor="text1"/>
          <w:sz w:val="24"/>
          <w:szCs w:val="24"/>
        </w:rPr>
        <w:t>–</w:t>
      </w:r>
      <w:r w:rsidRPr="00C10C7D">
        <w:rPr>
          <w:rFonts w:ascii="Times New Roman" w:eastAsia="Times New Roman" w:hAnsi="Times New Roman" w:cs="Times New Roman"/>
          <w:b/>
          <w:bCs/>
          <w:color w:val="000000" w:themeColor="text1"/>
          <w:sz w:val="24"/>
          <w:szCs w:val="24"/>
        </w:rPr>
        <w:t xml:space="preserve"> art. 63</w:t>
      </w:r>
    </w:p>
    <w:p w14:paraId="63B75582" w14:textId="723DD31F" w:rsidR="007C3C61" w:rsidRPr="00C10C7D" w:rsidRDefault="007C3C61" w:rsidP="00F91F34">
      <w:pPr>
        <w:spacing w:before="120" w:after="0" w:line="360" w:lineRule="auto"/>
        <w:jc w:val="both"/>
        <w:rPr>
          <w:rFonts w:ascii="Times New Roman" w:eastAsia="Times New Roman" w:hAnsi="Times New Roman" w:cs="Times New Roman"/>
          <w:bCs/>
          <w:color w:val="000000" w:themeColor="text1"/>
          <w:sz w:val="24"/>
          <w:szCs w:val="24"/>
        </w:rPr>
      </w:pPr>
      <w:r w:rsidRPr="00C10C7D">
        <w:rPr>
          <w:rFonts w:ascii="Times New Roman" w:eastAsia="Times New Roman" w:hAnsi="Times New Roman" w:cs="Times New Roman"/>
          <w:bCs/>
          <w:color w:val="000000" w:themeColor="text1"/>
          <w:sz w:val="24"/>
          <w:szCs w:val="24"/>
        </w:rPr>
        <w:t>Przepis art. 63 rozstrzyga, że w 2023 roku w ramach inwentaryzacji infrastruktury i usług telekomunikacyjnych oświadczenie o nieświadczeniu usług telekomunikacyjnych (…) przekazuje się Prezesowi UKE w dotychczasowym terminie, tj. do dnia 31 marca;</w:t>
      </w:r>
    </w:p>
    <w:p w14:paraId="0B583D69" w14:textId="517F5369" w:rsidR="007C3C61" w:rsidRPr="00C10C7D" w:rsidRDefault="007C3C61" w:rsidP="00F91F34">
      <w:pPr>
        <w:keepNext/>
        <w:numPr>
          <w:ilvl w:val="0"/>
          <w:numId w:val="3"/>
        </w:numPr>
        <w:tabs>
          <w:tab w:val="left" w:pos="426"/>
        </w:tabs>
        <w:spacing w:before="120" w:after="0" w:line="360" w:lineRule="auto"/>
        <w:ind w:left="0" w:firstLine="0"/>
        <w:jc w:val="both"/>
        <w:rPr>
          <w:rFonts w:ascii="Times New Roman" w:eastAsia="Times New Roman" w:hAnsi="Times New Roman" w:cs="Times New Roman"/>
          <w:bCs/>
          <w:color w:val="000000" w:themeColor="text1"/>
          <w:sz w:val="24"/>
          <w:szCs w:val="24"/>
        </w:rPr>
      </w:pPr>
      <w:r w:rsidRPr="00C10C7D">
        <w:rPr>
          <w:rFonts w:ascii="Times New Roman" w:eastAsia="Times New Roman" w:hAnsi="Times New Roman" w:cs="Times New Roman"/>
          <w:b/>
          <w:bCs/>
          <w:color w:val="000000" w:themeColor="text1"/>
          <w:sz w:val="24"/>
          <w:szCs w:val="24"/>
        </w:rPr>
        <w:lastRenderedPageBreak/>
        <w:t xml:space="preserve">rejestru PT i JST </w:t>
      </w:r>
      <w:r w:rsidRPr="00C10C7D">
        <w:rPr>
          <w:rFonts w:ascii="Times New Roman" w:eastAsia="Times New Roman" w:hAnsi="Times New Roman" w:cs="Times New Roman"/>
          <w:bCs/>
          <w:color w:val="000000" w:themeColor="text1"/>
          <w:sz w:val="24"/>
          <w:szCs w:val="24"/>
        </w:rPr>
        <w:t>–</w:t>
      </w:r>
      <w:r w:rsidRPr="00C10C7D">
        <w:rPr>
          <w:rFonts w:ascii="Times New Roman" w:eastAsia="Times New Roman" w:hAnsi="Times New Roman" w:cs="Times New Roman"/>
          <w:b/>
          <w:bCs/>
          <w:color w:val="000000" w:themeColor="text1"/>
          <w:sz w:val="24"/>
          <w:szCs w:val="24"/>
        </w:rPr>
        <w:t xml:space="preserve"> art. 64 i art. 99</w:t>
      </w:r>
    </w:p>
    <w:p w14:paraId="5338AF2C" w14:textId="77777777" w:rsidR="007C3C61" w:rsidRPr="00C10C7D" w:rsidRDefault="007C3C61" w:rsidP="00F91F34">
      <w:pPr>
        <w:spacing w:before="120" w:after="0" w:line="360" w:lineRule="auto"/>
        <w:jc w:val="both"/>
        <w:rPr>
          <w:rFonts w:ascii="Times New Roman" w:eastAsia="Times New Roman" w:hAnsi="Times New Roman" w:cs="Times New Roman"/>
          <w:bCs/>
          <w:color w:val="000000" w:themeColor="text1"/>
          <w:sz w:val="24"/>
          <w:szCs w:val="24"/>
        </w:rPr>
      </w:pPr>
      <w:r w:rsidRPr="00C10C7D">
        <w:rPr>
          <w:rFonts w:ascii="Times New Roman" w:eastAsia="Times New Roman" w:hAnsi="Times New Roman" w:cs="Times New Roman"/>
          <w:bCs/>
          <w:color w:val="000000" w:themeColor="text1"/>
          <w:sz w:val="24"/>
          <w:szCs w:val="24"/>
        </w:rPr>
        <w:t>Projektowany przepis przejściowy zapewnia ciągłość funkcjonowania dotychczasowego rejestru przedsiębiorców telekomunikacyjnych</w:t>
      </w:r>
      <w:r w:rsidRPr="00C10C7D">
        <w:rPr>
          <w:rFonts w:ascii="Times New Roman" w:eastAsia="Times New Roman" w:hAnsi="Times New Roman" w:cs="Times New Roman"/>
          <w:b/>
          <w:bCs/>
          <w:color w:val="000000" w:themeColor="text1"/>
          <w:sz w:val="24"/>
          <w:szCs w:val="24"/>
        </w:rPr>
        <w:t xml:space="preserve"> </w:t>
      </w:r>
      <w:r w:rsidRPr="00C10C7D">
        <w:rPr>
          <w:rFonts w:ascii="Times New Roman" w:eastAsia="Times New Roman" w:hAnsi="Times New Roman" w:cs="Times New Roman"/>
          <w:bCs/>
          <w:color w:val="000000" w:themeColor="text1"/>
          <w:sz w:val="24"/>
          <w:szCs w:val="24"/>
        </w:rPr>
        <w:t xml:space="preserve">oraz rejestru jednostek samorządu terytorialnego wykonujących działalność w zakresie telekomunikacji poprzez wskazanie, że dotychczasowe rejestry prowadzone na podstawie przepisów ustawy Prawo telekomunikacyjne stają się rejestrem PT oraz rejestrem JST w rozumieniu ustawy Pke. Ponadto dotychczas dokonane wpisy do rejestrów stają się wpisami do rejestrów z ustawy Pke. </w:t>
      </w:r>
    </w:p>
    <w:p w14:paraId="40A51682" w14:textId="77777777" w:rsidR="007C3C61" w:rsidRPr="00CE1978" w:rsidRDefault="007C3C61" w:rsidP="00F91F34">
      <w:pPr>
        <w:spacing w:before="120" w:after="0" w:line="360" w:lineRule="auto"/>
        <w:jc w:val="both"/>
        <w:rPr>
          <w:rFonts w:ascii="Times New Roman" w:eastAsia="Times New Roman" w:hAnsi="Times New Roman" w:cs="Times New Roman"/>
          <w:bCs/>
          <w:color w:val="000000" w:themeColor="text1"/>
          <w:sz w:val="24"/>
          <w:szCs w:val="24"/>
        </w:rPr>
      </w:pPr>
      <w:r w:rsidRPr="00C10C7D">
        <w:rPr>
          <w:rFonts w:ascii="Times New Roman" w:eastAsia="Times New Roman" w:hAnsi="Times New Roman" w:cs="Times New Roman"/>
          <w:bCs/>
          <w:color w:val="000000" w:themeColor="text1"/>
          <w:sz w:val="24"/>
          <w:szCs w:val="24"/>
        </w:rPr>
        <w:t>Wejście w życie ustawy Pke nie będzie zatem pociągało za sobą konieczności złożenia przez przedsiębiorców telekomunikacyjnych czy jednostek samorządu terytorialnego ponownych wniosków o wpis do rejestrów. Jednocześnie należy zaznaczyć, że ustawa Pke zmienia katalog informacji jakie powinny zostać zawarte we wniosku o wpis do rejestru, w porównan</w:t>
      </w:r>
      <w:r w:rsidRPr="00CE1978">
        <w:rPr>
          <w:rFonts w:ascii="Times New Roman" w:eastAsia="Times New Roman" w:hAnsi="Times New Roman" w:cs="Times New Roman"/>
          <w:bCs/>
          <w:color w:val="000000" w:themeColor="text1"/>
          <w:sz w:val="24"/>
          <w:szCs w:val="24"/>
        </w:rPr>
        <w:t xml:space="preserve">iu do danych wymaganych na gruncie ustawy Prawo telekomunikacyjne, dostosowując ten katalog do wymogów EKŁE. Z tego względu podmioty wpisane do rejestrów przed wejściem w życie Pke na mocy przepisu przejściowego obowiązane są do uzupełnienia wpisu do rejestru w terminie 6 miesięcy od dnia wejścia w życie ustawy Pke w zakresie w jakim nie było to wymagane przepisami Pt m.in. o dane, o których mowa w art. 6 ust. 1 pkt 4–7 oraz art. 7 ust. 1 pkt 8 ustawy Pke. </w:t>
      </w:r>
    </w:p>
    <w:p w14:paraId="185D45CE" w14:textId="77777777" w:rsidR="007C3C61" w:rsidRPr="00CE1978" w:rsidRDefault="007C3C61" w:rsidP="00F91F34">
      <w:pPr>
        <w:spacing w:before="120" w:after="0" w:line="360" w:lineRule="auto"/>
        <w:jc w:val="both"/>
        <w:rPr>
          <w:rFonts w:ascii="Times New Roman" w:eastAsia="Times New Roman" w:hAnsi="Times New Roman" w:cs="Times New Roman"/>
          <w:bCs/>
          <w:color w:val="000000" w:themeColor="text1"/>
          <w:sz w:val="24"/>
          <w:szCs w:val="24"/>
        </w:rPr>
      </w:pPr>
      <w:r w:rsidRPr="00CE1978">
        <w:rPr>
          <w:rFonts w:ascii="Times New Roman" w:eastAsia="Times New Roman" w:hAnsi="Times New Roman" w:cs="Times New Roman"/>
          <w:bCs/>
          <w:color w:val="000000" w:themeColor="text1"/>
          <w:sz w:val="24"/>
          <w:szCs w:val="24"/>
        </w:rPr>
        <w:t>Przykładowo, zgodnie z obowiązującym rozporządzeniem Ministra Cyfryzacji z dnia 25 kwietnia 2019 r. w sprawie wzorów wniosków stosowanych w rejestrach w zakresie telekomunikacji, przy określaniu rodzaju dostarczanej sieci telekomunikacyjnej, przedsiębiorca wskazuje, czy dostarcza: stacjonarną publiczną sieć telekomunikacyjną, ruchomą publiczną sieć telekomunikacyjną, ruchomą publiczną sieć telekomunikacyjną nieposiadającą własnej infrastruktury radiowej itd. Zgodnie natomiast z wytycznymi BEREC z dnia 6 grudnia 2019 r. dotyczącymi wzoru zgłoszenia, przedsiębiorca telekomunikacyjny obowiązany będzie do wskazania, czy dostarczana przez niego sieć telekomunikacyjna stanowi: kabel parowy-miedziany, kabel koncentryczny, światłowód, itd.</w:t>
      </w:r>
    </w:p>
    <w:p w14:paraId="4D4BBBBD" w14:textId="77777777" w:rsidR="007C3C61" w:rsidRPr="00CE1978" w:rsidRDefault="007C3C61" w:rsidP="00F91F34">
      <w:pPr>
        <w:spacing w:before="120" w:after="0" w:line="360" w:lineRule="auto"/>
        <w:jc w:val="both"/>
        <w:rPr>
          <w:rFonts w:ascii="Times New Roman" w:eastAsia="Times New Roman" w:hAnsi="Times New Roman" w:cs="Times New Roman"/>
          <w:bCs/>
          <w:color w:val="000000" w:themeColor="text1"/>
          <w:sz w:val="24"/>
          <w:szCs w:val="24"/>
        </w:rPr>
      </w:pPr>
      <w:r w:rsidRPr="00CE1978">
        <w:rPr>
          <w:rFonts w:ascii="Times New Roman" w:eastAsia="Times New Roman" w:hAnsi="Times New Roman" w:cs="Times New Roman"/>
          <w:bCs/>
          <w:color w:val="000000" w:themeColor="text1"/>
          <w:sz w:val="24"/>
          <w:szCs w:val="24"/>
        </w:rPr>
        <w:t>Po upływie tego terminu Prezes UKE wzywa do uzupełnienia braków wyznaczając dodatkowy termin. Brak uzupełnienia danych mimo wezwania będzie skutkował wykreśleniem podmiotu z właściwego rejestru.</w:t>
      </w:r>
    </w:p>
    <w:p w14:paraId="6D6E1B92" w14:textId="723A18AF" w:rsidR="007C3C61" w:rsidRPr="00CE1978" w:rsidRDefault="007C3C61" w:rsidP="00F91F34">
      <w:pPr>
        <w:spacing w:before="120" w:after="0" w:line="360" w:lineRule="auto"/>
        <w:jc w:val="both"/>
        <w:rPr>
          <w:rFonts w:ascii="Times New Roman" w:eastAsia="Times New Roman" w:hAnsi="Times New Roman" w:cs="Times New Roman"/>
          <w:bCs/>
          <w:color w:val="000000" w:themeColor="text1"/>
          <w:sz w:val="24"/>
          <w:szCs w:val="24"/>
        </w:rPr>
      </w:pPr>
      <w:r w:rsidRPr="00CE1978">
        <w:rPr>
          <w:rFonts w:ascii="Times New Roman" w:eastAsia="Times New Roman" w:hAnsi="Times New Roman" w:cs="Times New Roman"/>
          <w:bCs/>
          <w:color w:val="000000" w:themeColor="text1"/>
          <w:sz w:val="24"/>
          <w:szCs w:val="24"/>
        </w:rPr>
        <w:t xml:space="preserve">Przepis przejściowy reguluje również kwestię usuwania przez Prezesa UKE danych, które zostały ujawnione w rejestrze przedsiębiorców telekomunikacyjnych przed wejściem w życie ustawy Pke, a których zawarcie we wniosku o wpis na gruncie tej ustawy nie jest już wymagane. </w:t>
      </w:r>
      <w:r w:rsidRPr="00CE1978">
        <w:rPr>
          <w:rFonts w:ascii="Times New Roman" w:eastAsia="Times New Roman" w:hAnsi="Times New Roman" w:cs="Times New Roman"/>
          <w:bCs/>
          <w:color w:val="000000" w:themeColor="text1"/>
          <w:sz w:val="24"/>
          <w:szCs w:val="24"/>
        </w:rPr>
        <w:lastRenderedPageBreak/>
        <w:t>Dotyczy to danych kontaktowych osoby upoważnionej do kontaktowania się w imieniu podmiotu wpisanego do rejestru przedsiębiorców telekomunikacyjnych, w nagłych przypadkach związanych z funkcjonowaniem sieci czy świadczeniem usług.</w:t>
      </w:r>
    </w:p>
    <w:p w14:paraId="3424AF0B" w14:textId="08596020" w:rsidR="007C3C61" w:rsidRPr="00CE1978" w:rsidRDefault="007C3C61" w:rsidP="00F91F34">
      <w:pPr>
        <w:spacing w:before="120" w:after="0" w:line="360" w:lineRule="auto"/>
        <w:jc w:val="both"/>
        <w:rPr>
          <w:rFonts w:ascii="Times New Roman" w:eastAsia="Times New Roman" w:hAnsi="Times New Roman" w:cs="Times New Roman"/>
          <w:bCs/>
          <w:color w:val="000000" w:themeColor="text1"/>
          <w:sz w:val="24"/>
          <w:szCs w:val="24"/>
        </w:rPr>
      </w:pPr>
      <w:r w:rsidRPr="00CE1978">
        <w:rPr>
          <w:rFonts w:ascii="Times New Roman" w:eastAsia="Times New Roman" w:hAnsi="Times New Roman" w:cs="Times New Roman"/>
          <w:bCs/>
          <w:color w:val="000000" w:themeColor="text1"/>
          <w:sz w:val="24"/>
          <w:szCs w:val="24"/>
        </w:rPr>
        <w:t xml:space="preserve">Niniejsza ustawa przewiduje również, iż Prezes UKE w terminie 3 miesięcy od dnia wejścia w życie ustawy Pke przekazuje do Organu Europejskich Regulatorów Łączności Elektronicznej (BEREC) treść wpisów do rejestru przedsiębiorców telekomunikacyjnych, o którym mowa w ustawie Prawo telekomunikacyjne, dokonanych przed dniem 21 grudnia 2020 r. Regulacja ta stanowi wdrożenie art. 12 ust. 4 akapit 3 </w:t>
      </w:r>
      <w:r w:rsidRPr="00CE1978">
        <w:rPr>
          <w:rFonts w:ascii="Times New Roman" w:eastAsia="Times New Roman" w:hAnsi="Times New Roman" w:cs="Times New Roman"/>
          <w:bCs/>
          <w:i/>
          <w:iCs/>
          <w:color w:val="000000" w:themeColor="text1"/>
          <w:sz w:val="24"/>
          <w:szCs w:val="24"/>
        </w:rPr>
        <w:t xml:space="preserve">in fine </w:t>
      </w:r>
      <w:r w:rsidRPr="00CE1978">
        <w:rPr>
          <w:rFonts w:ascii="Times New Roman" w:eastAsia="Times New Roman" w:hAnsi="Times New Roman" w:cs="Times New Roman"/>
          <w:bCs/>
          <w:color w:val="000000" w:themeColor="text1"/>
          <w:sz w:val="24"/>
          <w:szCs w:val="24"/>
        </w:rPr>
        <w:t>EKŁE;</w:t>
      </w:r>
    </w:p>
    <w:p w14:paraId="2C9EF52D" w14:textId="7FEEFE6B"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analiz rynku, określania rynków właściwych, nakładania, zmiany, uchylenia obowiązków regulacyjnych </w:t>
      </w:r>
      <w:r w:rsidRPr="00CE1978">
        <w:rPr>
          <w:rFonts w:ascii="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65</w:t>
      </w:r>
    </w:p>
    <w:p w14:paraId="6930839B"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Przepis wskazuje, iż do analiz rynku, </w:t>
      </w:r>
      <w:r w:rsidRPr="00CE1978">
        <w:rPr>
          <w:rFonts w:ascii="Times New Roman" w:hAnsi="Times New Roman" w:cs="Times New Roman"/>
          <w:color w:val="000000" w:themeColor="text1"/>
          <w:sz w:val="24"/>
          <w:szCs w:val="24"/>
        </w:rPr>
        <w:t>postępowań administracyjnych dotyczących określania rynków właściwych, nakładania, zmiany i uchylania obowiązków regulacyjnych,</w:t>
      </w:r>
      <w:r w:rsidRPr="00CE1978">
        <w:rPr>
          <w:rFonts w:ascii="Times New Roman" w:eastAsia="Times New Roman" w:hAnsi="Times New Roman" w:cs="Times New Roman"/>
          <w:color w:val="000000" w:themeColor="text1"/>
          <w:sz w:val="24"/>
          <w:szCs w:val="24"/>
        </w:rPr>
        <w:t xml:space="preserve"> wszczętych i niezakończonych przed dniem wejścia w życie ustawy Pke stosuje się przepisy tej ustawy. Jednocześnie czynności dokonane w ramach analiz rynku przed dniem wejścia w życie ustawy Pke zachowują moc. Przepis przejściowy zapobiega ryzyku konieczności ponownego przeprowadzenia analiz po wejściu w życie ustawy Pke;</w:t>
      </w:r>
    </w:p>
    <w:p w14:paraId="0535BD5C" w14:textId="17698AF2" w:rsidR="007C3C61" w:rsidRPr="00532F3A"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postępowań prowadzonych na podstawie art. 27, art. 28, </w:t>
      </w:r>
      <w:r w:rsidRPr="00CE1978">
        <w:rPr>
          <w:rFonts w:ascii="Times New Roman" w:eastAsia="Times New Roman" w:hAnsi="Times New Roman" w:cs="Times New Roman"/>
          <w:b/>
          <w:color w:val="000000" w:themeColor="text1"/>
          <w:sz w:val="24"/>
          <w:szCs w:val="24"/>
        </w:rPr>
        <w:t>art. 45, art. 62 ust. 3, art. 62a ust. 2, 5</w:t>
      </w:r>
      <w:r w:rsidR="001E3A7A" w:rsidRPr="00CE1978">
        <w:rPr>
          <w:rFonts w:ascii="Times New Roman" w:eastAsia="Times New Roman" w:hAnsi="Times New Roman" w:cs="Times New Roman"/>
          <w:b/>
          <w:color w:val="000000" w:themeColor="text1"/>
          <w:sz w:val="24"/>
          <w:szCs w:val="24"/>
        </w:rPr>
        <w:t xml:space="preserve"> i</w:t>
      </w:r>
      <w:r w:rsidRPr="00CE1978">
        <w:rPr>
          <w:rFonts w:ascii="Times New Roman" w:eastAsia="Times New Roman" w:hAnsi="Times New Roman" w:cs="Times New Roman"/>
          <w:b/>
          <w:color w:val="000000" w:themeColor="text1"/>
          <w:sz w:val="24"/>
          <w:szCs w:val="24"/>
        </w:rPr>
        <w:t xml:space="preserve"> 6, art. 63 ust. 2a</w:t>
      </w:r>
      <w:r w:rsidR="001E3A7A" w:rsidRPr="00CE1978">
        <w:rPr>
          <w:rFonts w:ascii="Times New Roman" w:eastAsia="Times New Roman" w:hAnsi="Times New Roman" w:cs="Times New Roman"/>
          <w:b/>
          <w:color w:val="000000" w:themeColor="text1"/>
          <w:sz w:val="24"/>
          <w:szCs w:val="24"/>
        </w:rPr>
        <w:t>,</w:t>
      </w:r>
      <w:r w:rsidRPr="00CE1978">
        <w:rPr>
          <w:rFonts w:ascii="Times New Roman" w:eastAsia="Times New Roman" w:hAnsi="Times New Roman" w:cs="Times New Roman"/>
          <w:b/>
          <w:color w:val="000000" w:themeColor="text1"/>
          <w:sz w:val="24"/>
          <w:szCs w:val="24"/>
        </w:rPr>
        <w:t xml:space="preserve"> art. 136 ust. 1</w:t>
      </w:r>
      <w:r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b/>
          <w:bCs/>
          <w:color w:val="000000" w:themeColor="text1"/>
          <w:sz w:val="24"/>
          <w:szCs w:val="24"/>
        </w:rPr>
        <w:t>i art. 139 Pt</w:t>
      </w:r>
      <w:r w:rsidR="005D5FDE">
        <w:rPr>
          <w:rFonts w:ascii="Times New Roman" w:eastAsia="Times New Roman" w:hAnsi="Times New Roman" w:cs="Times New Roman"/>
          <w:b/>
          <w:bCs/>
          <w:color w:val="000000" w:themeColor="text1"/>
          <w:sz w:val="24"/>
          <w:szCs w:val="24"/>
        </w:rPr>
        <w:t xml:space="preserve"> </w:t>
      </w:r>
      <w:r w:rsidRPr="00532F3A">
        <w:rPr>
          <w:rFonts w:ascii="Times New Roman" w:eastAsia="Times New Roman" w:hAnsi="Times New Roman" w:cs="Times New Roman"/>
          <w:color w:val="000000" w:themeColor="text1"/>
          <w:sz w:val="24"/>
          <w:szCs w:val="24"/>
        </w:rPr>
        <w:t>–</w:t>
      </w:r>
      <w:r w:rsidR="005D5FDE">
        <w:rPr>
          <w:rFonts w:ascii="Times New Roman" w:eastAsia="Times New Roman" w:hAnsi="Times New Roman" w:cs="Times New Roman"/>
          <w:color w:val="000000" w:themeColor="text1"/>
          <w:sz w:val="24"/>
          <w:szCs w:val="24"/>
        </w:rPr>
        <w:t xml:space="preserve"> </w:t>
      </w:r>
      <w:r w:rsidRPr="00532F3A">
        <w:rPr>
          <w:rFonts w:ascii="Times New Roman" w:eastAsia="Times New Roman" w:hAnsi="Times New Roman" w:cs="Times New Roman"/>
          <w:b/>
          <w:bCs/>
          <w:color w:val="000000" w:themeColor="text1"/>
          <w:sz w:val="24"/>
          <w:szCs w:val="24"/>
        </w:rPr>
        <w:t>art. 66</w:t>
      </w:r>
    </w:p>
    <w:p w14:paraId="79AE230C"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Przepis umożliwia stosowanie przepisów ustawy Pke do postępowań wszczętych na podstawie w/w przepisów ustawy – Prawo telekomunikacyjne, które nie zostały zakończone przed dniem wejścia w życie ustawy Pke;</w:t>
      </w:r>
    </w:p>
    <w:p w14:paraId="28837F25" w14:textId="45C82005" w:rsidR="007C3C61" w:rsidRPr="00532F3A"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t>postępowań wszczętych na podstawie art. 39 ust. 4, art. 40 u</w:t>
      </w:r>
      <w:r w:rsidR="00296F7A">
        <w:rPr>
          <w:rFonts w:ascii="Times New Roman" w:eastAsia="Times New Roman" w:hAnsi="Times New Roman" w:cs="Times New Roman"/>
          <w:b/>
          <w:bCs/>
          <w:color w:val="000000" w:themeColor="text1"/>
          <w:sz w:val="24"/>
          <w:szCs w:val="24"/>
        </w:rPr>
        <w:t>st. 4, art. 43 ust. 1 i 2, art. </w:t>
      </w:r>
      <w:r w:rsidRPr="00C10C7D">
        <w:rPr>
          <w:rFonts w:ascii="Times New Roman" w:eastAsia="Times New Roman" w:hAnsi="Times New Roman" w:cs="Times New Roman"/>
          <w:b/>
          <w:bCs/>
          <w:color w:val="000000" w:themeColor="text1"/>
          <w:sz w:val="24"/>
          <w:szCs w:val="24"/>
        </w:rPr>
        <w:t>53 ust. 1 i 2, art. 54, art. 96 ust. 1 i 3, art. 98 ust. 1–3, art. 109 ust. 1, art. 114</w:t>
      </w:r>
      <w:r w:rsidR="001E3A7A" w:rsidRPr="00C10C7D">
        <w:rPr>
          <w:rFonts w:ascii="Times New Roman" w:eastAsia="Times New Roman" w:hAnsi="Times New Roman" w:cs="Times New Roman"/>
          <w:b/>
          <w:bCs/>
          <w:color w:val="000000" w:themeColor="text1"/>
          <w:sz w:val="24"/>
          <w:szCs w:val="24"/>
        </w:rPr>
        <w:t>a</w:t>
      </w:r>
      <w:r w:rsidRPr="00C10C7D">
        <w:rPr>
          <w:rFonts w:ascii="Times New Roman" w:eastAsia="Times New Roman" w:hAnsi="Times New Roman" w:cs="Times New Roman"/>
          <w:b/>
          <w:bCs/>
          <w:color w:val="000000" w:themeColor="text1"/>
          <w:sz w:val="24"/>
          <w:szCs w:val="24"/>
        </w:rPr>
        <w:t xml:space="preserve"> ust. 1, 2 i 5, art. 115a, art. 116 ust. 11a, art. 122, art. 122</w:t>
      </w:r>
      <w:r w:rsidRPr="00C10C7D">
        <w:rPr>
          <w:rFonts w:ascii="Times New Roman" w:eastAsia="Times New Roman" w:hAnsi="Times New Roman" w:cs="Times New Roman"/>
          <w:b/>
          <w:bCs/>
          <w:color w:val="000000" w:themeColor="text1"/>
          <w:sz w:val="24"/>
          <w:szCs w:val="24"/>
          <w:vertAlign w:val="superscript"/>
        </w:rPr>
        <w:t>1</w:t>
      </w:r>
      <w:r w:rsidRPr="00C10C7D">
        <w:rPr>
          <w:rFonts w:ascii="Times New Roman" w:eastAsia="Times New Roman" w:hAnsi="Times New Roman" w:cs="Times New Roman"/>
          <w:b/>
          <w:bCs/>
          <w:color w:val="000000" w:themeColor="text1"/>
          <w:sz w:val="24"/>
          <w:szCs w:val="24"/>
        </w:rPr>
        <w:t xml:space="preserve"> i art. 122a</w:t>
      </w:r>
      <w:r w:rsidR="005D5FDE">
        <w:rPr>
          <w:rFonts w:ascii="Times New Roman" w:eastAsia="Times New Roman" w:hAnsi="Times New Roman" w:cs="Times New Roman"/>
          <w:b/>
          <w:bCs/>
          <w:color w:val="000000" w:themeColor="text1"/>
          <w:sz w:val="24"/>
          <w:szCs w:val="24"/>
        </w:rPr>
        <w:t xml:space="preserve"> </w:t>
      </w:r>
      <w:r w:rsidRPr="00532F3A">
        <w:rPr>
          <w:rFonts w:ascii="Times New Roman" w:hAnsi="Times New Roman" w:cs="Times New Roman"/>
          <w:color w:val="000000" w:themeColor="text1"/>
          <w:sz w:val="24"/>
          <w:szCs w:val="24"/>
        </w:rPr>
        <w:t>–</w:t>
      </w:r>
      <w:r w:rsidR="005D5FDE">
        <w:rPr>
          <w:rFonts w:ascii="Times New Roman" w:hAnsi="Times New Roman" w:cs="Times New Roman"/>
          <w:color w:val="000000" w:themeColor="text1"/>
          <w:sz w:val="24"/>
          <w:szCs w:val="24"/>
        </w:rPr>
        <w:t xml:space="preserve"> </w:t>
      </w:r>
      <w:r w:rsidRPr="00532F3A">
        <w:rPr>
          <w:rFonts w:ascii="Times New Roman" w:eastAsia="Times New Roman" w:hAnsi="Times New Roman" w:cs="Times New Roman"/>
          <w:b/>
          <w:bCs/>
          <w:color w:val="000000" w:themeColor="text1"/>
          <w:sz w:val="24"/>
          <w:szCs w:val="24"/>
        </w:rPr>
        <w:t>art. 67</w:t>
      </w:r>
    </w:p>
    <w:p w14:paraId="57B1649D" w14:textId="77777777" w:rsidR="007C3C61" w:rsidRPr="00C10C7D"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W celu zachowania przewidywalnoś</w:t>
      </w:r>
      <w:r w:rsidRPr="00C10C7D">
        <w:rPr>
          <w:rFonts w:ascii="Times New Roman" w:eastAsia="Times New Roman" w:hAnsi="Times New Roman" w:cs="Times New Roman"/>
          <w:color w:val="000000" w:themeColor="text1"/>
          <w:sz w:val="24"/>
          <w:szCs w:val="24"/>
        </w:rPr>
        <w:t>ci i ciągłości prawnej, przepisy przejściowe zapewniają, że do:</w:t>
      </w:r>
    </w:p>
    <w:p w14:paraId="4B6DC163" w14:textId="77777777" w:rsidR="007C3C61" w:rsidRPr="00C10C7D" w:rsidRDefault="007C3C61" w:rsidP="00F91F34">
      <w:pPr>
        <w:pStyle w:val="Akapitzlist"/>
        <w:numPr>
          <w:ilvl w:val="0"/>
          <w:numId w:val="2"/>
        </w:numPr>
        <w:spacing w:before="120" w:after="0" w:line="360" w:lineRule="auto"/>
        <w:ind w:left="426" w:hanging="426"/>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postępowań mających na celu wydanie decyzji dotyczących ustalenia opłat na rynku hurtowym na podstawie art. 39 ust. 4 Pt oraz na podstawie art. 40 ust. 4 Pt,</w:t>
      </w:r>
    </w:p>
    <w:p w14:paraId="4CA0D173" w14:textId="77777777" w:rsidR="007C3C61" w:rsidRPr="00C10C7D" w:rsidRDefault="007C3C61" w:rsidP="00F91F34">
      <w:pPr>
        <w:pStyle w:val="Akapitzlist"/>
        <w:numPr>
          <w:ilvl w:val="0"/>
          <w:numId w:val="2"/>
        </w:numPr>
        <w:spacing w:before="120" w:after="0" w:line="360" w:lineRule="auto"/>
        <w:ind w:left="426" w:hanging="426"/>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postępowań dotyczących oferty ramowej,</w:t>
      </w:r>
    </w:p>
    <w:p w14:paraId="5090047D" w14:textId="77777777" w:rsidR="007C3C61" w:rsidRPr="00C10C7D" w:rsidRDefault="007C3C61" w:rsidP="00F91F34">
      <w:pPr>
        <w:pStyle w:val="Akapitzlist"/>
        <w:numPr>
          <w:ilvl w:val="0"/>
          <w:numId w:val="2"/>
        </w:numPr>
        <w:spacing w:before="120" w:after="0" w:line="360" w:lineRule="auto"/>
        <w:ind w:left="426" w:hanging="426"/>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postępowań mających na celu wydanie decyzji określających wskaźnik zwrotu kosztu zaangażowanego kapitału,</w:t>
      </w:r>
    </w:p>
    <w:p w14:paraId="400915D6" w14:textId="77777777" w:rsidR="007C3C61" w:rsidRPr="00CE1978" w:rsidRDefault="007C3C61" w:rsidP="00F91F34">
      <w:pPr>
        <w:pStyle w:val="Akapitzlist"/>
        <w:numPr>
          <w:ilvl w:val="0"/>
          <w:numId w:val="2"/>
        </w:numPr>
        <w:spacing w:before="120" w:after="0" w:line="360" w:lineRule="auto"/>
        <w:ind w:left="426" w:hanging="426"/>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lastRenderedPageBreak/>
        <w:t>postępowań mających na celu wydanie decyzji zatwierdzaj</w:t>
      </w:r>
      <w:r w:rsidRPr="00532F3A">
        <w:rPr>
          <w:rFonts w:ascii="Times New Roman" w:eastAsia="Times New Roman" w:hAnsi="Times New Roman" w:cs="Times New Roman"/>
          <w:color w:val="000000" w:themeColor="text1"/>
          <w:sz w:val="24"/>
          <w:szCs w:val="24"/>
        </w:rPr>
        <w:t>ących instrukcję w zakresie rachunkowości reg</w:t>
      </w:r>
      <w:r w:rsidRPr="00CE1978">
        <w:rPr>
          <w:rFonts w:ascii="Times New Roman" w:eastAsia="Times New Roman" w:hAnsi="Times New Roman" w:cs="Times New Roman"/>
          <w:color w:val="000000" w:themeColor="text1"/>
          <w:sz w:val="24"/>
          <w:szCs w:val="24"/>
        </w:rPr>
        <w:t>ulacyjnej i opis kalkulacji kosztów,</w:t>
      </w:r>
    </w:p>
    <w:p w14:paraId="37979832" w14:textId="77777777" w:rsidR="007C3C61" w:rsidRPr="00C10C7D" w:rsidRDefault="007C3C61" w:rsidP="00F91F34">
      <w:pPr>
        <w:pStyle w:val="Akapitzlist"/>
        <w:numPr>
          <w:ilvl w:val="0"/>
          <w:numId w:val="2"/>
        </w:numPr>
        <w:spacing w:before="120" w:after="0" w:line="360" w:lineRule="auto"/>
        <w:ind w:left="426" w:hanging="426"/>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postępowań mających na celu wydanie decyzji nakładających obowiązek publikacji zatwierdzonej instrukcji w zakresie rachunkowości regulacyjnej, zatwierdzonego opisu kalkulacji kosztów oraz cen stosowanych przez przedsiębiorcę telekomunikacyjnego</w:t>
      </w:r>
    </w:p>
    <w:p w14:paraId="4DB68DC1" w14:textId="77777777" w:rsidR="007C3C61" w:rsidRPr="00C10C7D" w:rsidRDefault="007C3C61" w:rsidP="00F91F34">
      <w:pPr>
        <w:pStyle w:val="Akapitzlist"/>
        <w:numPr>
          <w:ilvl w:val="0"/>
          <w:numId w:val="2"/>
        </w:numPr>
        <w:spacing w:before="120" w:after="0" w:line="360" w:lineRule="auto"/>
        <w:ind w:left="426" w:hanging="426"/>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postępowań w sprawie przyznania przedsiębiorcy wyznaczonemu do świadczenia usługi powszechnej dopłaty do kosztów świadczonych przez niego usług, ustalenia przedsiębiorców obowiązanych do pokrycia dopłaty oraz wysokości ich udziału w dopłacie,</w:t>
      </w:r>
      <w:r w:rsidRPr="00F91F34">
        <w:rPr>
          <w:rFonts w:ascii="Times New Roman" w:eastAsia="Times New Roman" w:hAnsi="Times New Roman" w:cs="Times New Roman"/>
          <w:color w:val="000000" w:themeColor="text1"/>
          <w:sz w:val="24"/>
          <w:szCs w:val="24"/>
        </w:rPr>
        <w:t xml:space="preserve"> </w:t>
      </w:r>
    </w:p>
    <w:p w14:paraId="6F690BEA" w14:textId="77777777" w:rsidR="007C3C61" w:rsidRPr="00C10C7D" w:rsidRDefault="007C3C61" w:rsidP="00F91F34">
      <w:pPr>
        <w:pStyle w:val="Akapitzlist"/>
        <w:numPr>
          <w:ilvl w:val="0"/>
          <w:numId w:val="2"/>
        </w:numPr>
        <w:spacing w:before="120" w:after="0" w:line="360" w:lineRule="auto"/>
        <w:ind w:left="426" w:hanging="426"/>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postępowań w sprawie pozasądowego rozwiązywania sporów konsumenckich,</w:t>
      </w:r>
    </w:p>
    <w:p w14:paraId="2BFAF1F1" w14:textId="77777777" w:rsidR="007C3C61" w:rsidRPr="00C10C7D" w:rsidRDefault="007C3C61" w:rsidP="00F91F34">
      <w:pPr>
        <w:pStyle w:val="Akapitzlist"/>
        <w:numPr>
          <w:ilvl w:val="0"/>
          <w:numId w:val="2"/>
        </w:numPr>
        <w:spacing w:before="120" w:after="0" w:line="360" w:lineRule="auto"/>
        <w:ind w:left="426" w:hanging="426"/>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 postępowań spornych dotyczących współkorzystania z częstotliwości,</w:t>
      </w:r>
    </w:p>
    <w:p w14:paraId="55206D9C" w14:textId="77777777" w:rsidR="007C3C61" w:rsidRPr="00C10C7D" w:rsidRDefault="007C3C61" w:rsidP="00F91F34">
      <w:pPr>
        <w:pStyle w:val="Akapitzlist"/>
        <w:numPr>
          <w:ilvl w:val="0"/>
          <w:numId w:val="2"/>
        </w:numPr>
        <w:spacing w:before="120" w:after="0" w:line="360" w:lineRule="auto"/>
        <w:ind w:left="426" w:hanging="426"/>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postępowań w sprawie wykorzystania zwolnionej pojemności multipleksu,</w:t>
      </w:r>
    </w:p>
    <w:p w14:paraId="5819E950" w14:textId="77777777" w:rsidR="007C3C61" w:rsidRPr="00C10C7D" w:rsidRDefault="007C3C61" w:rsidP="00F91F34">
      <w:pPr>
        <w:pStyle w:val="Akapitzlist"/>
        <w:numPr>
          <w:ilvl w:val="0"/>
          <w:numId w:val="2"/>
        </w:numPr>
        <w:spacing w:before="120" w:after="0" w:line="360" w:lineRule="auto"/>
        <w:ind w:left="426" w:hanging="426"/>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postępowań w sprawie stwierdzenia braku możliwości dokonania rezerwacji na kolejny okres,</w:t>
      </w:r>
    </w:p>
    <w:p w14:paraId="751894A0" w14:textId="6047A93C" w:rsidR="007C3C61" w:rsidRPr="00C10C7D" w:rsidRDefault="007C3C61" w:rsidP="00F91F34">
      <w:pPr>
        <w:pStyle w:val="Akapitzlist"/>
        <w:numPr>
          <w:ilvl w:val="0"/>
          <w:numId w:val="2"/>
        </w:numPr>
        <w:spacing w:before="120" w:after="0" w:line="360" w:lineRule="auto"/>
        <w:ind w:left="426" w:hanging="426"/>
        <w:contextualSpacing w:val="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postępowań związanych z obrotem i przeniesieniem praw do częstotliwości</w:t>
      </w:r>
    </w:p>
    <w:p w14:paraId="4B0AB3E9"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w:t>
      </w:r>
      <w:r w:rsidRPr="00CE1978">
        <w:rPr>
          <w:rFonts w:ascii="Times New Roman" w:eastAsia="Times New Roman" w:hAnsi="Times New Roman" w:cs="Times New Roman"/>
          <w:color w:val="000000" w:themeColor="text1"/>
          <w:sz w:val="24"/>
          <w:szCs w:val="24"/>
        </w:rPr>
        <w:t xml:space="preserve"> wszczętych na podstawie dotychczasowej ustawy i niezakończonych przed dniem wejścia w życie Pke, należy stosować dotychczasowe przepisy.</w:t>
      </w:r>
    </w:p>
    <w:p w14:paraId="74A4E029" w14:textId="073F2333" w:rsidR="007C3C61" w:rsidRPr="00C10C7D" w:rsidRDefault="007C3C61"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Ponadto, zgodnie z ust. 2 doprecyzowano przepisy poprzez wskazanie, że jeżeli postępowanie na podstawie art. 98 ust. 1</w:t>
      </w:r>
      <w:r w:rsidR="00532F3A">
        <w:rPr>
          <w:rFonts w:ascii="Times New Roman" w:hAnsi="Times New Roman" w:cs="Times New Roman"/>
          <w:color w:val="000000" w:themeColor="text1"/>
          <w:sz w:val="24"/>
          <w:szCs w:val="24"/>
        </w:rPr>
        <w:t>–</w:t>
      </w:r>
      <w:r w:rsidRPr="00532F3A">
        <w:rPr>
          <w:rFonts w:ascii="Times New Roman" w:hAnsi="Times New Roman" w:cs="Times New Roman"/>
          <w:color w:val="000000" w:themeColor="text1"/>
          <w:sz w:val="24"/>
          <w:szCs w:val="24"/>
        </w:rPr>
        <w:t xml:space="preserve">2 Pt zostało objęte dotychczasowymi przepisami czyli Pt, to w konsekwencji również postępowanie z art. 98 ust. 3 musi być prowadzone na podstawie dotychczasowych przepisów, czyli Pt. </w:t>
      </w:r>
      <w:r w:rsidRPr="00532F3A">
        <w:rPr>
          <w:rFonts w:ascii="Times New Roman" w:eastAsia="Times New Roman" w:hAnsi="Times New Roman" w:cs="Times New Roman"/>
          <w:color w:val="000000" w:themeColor="text1"/>
          <w:sz w:val="24"/>
          <w:szCs w:val="24"/>
        </w:rPr>
        <w:t>Ten przepis został wprowadzony ze względu na to, że te postępowania, o których mowa w art. 98, dotyczą spraw sprzed kilku lat i składają się z kilku etapów – postępowań zakończonych odrębnymi decyzjami, m.in. decyzja z art. 98 ust. 2 dotyczy</w:t>
      </w:r>
      <w:r w:rsidRPr="00532F3A">
        <w:rPr>
          <w:rFonts w:ascii="Times New Roman" w:hAnsi="Times New Roman" w:cs="Times New Roman"/>
          <w:color w:val="000000" w:themeColor="text1"/>
          <w:sz w:val="24"/>
          <w:szCs w:val="24"/>
        </w:rPr>
        <w:t xml:space="preserve"> ustalenia jednolitego wskaźnika procentowego udziału wszystkich przedsiębiorców teleko</w:t>
      </w:r>
      <w:r w:rsidRPr="00CE1978">
        <w:rPr>
          <w:rFonts w:ascii="Times New Roman" w:hAnsi="Times New Roman" w:cs="Times New Roman"/>
          <w:color w:val="000000" w:themeColor="text1"/>
          <w:sz w:val="24"/>
          <w:szCs w:val="24"/>
        </w:rPr>
        <w:t>munikacyjnych obowiązanych do udziału w pokryciu dopłaty,</w:t>
      </w:r>
      <w:r w:rsidRPr="00C10C7D">
        <w:rPr>
          <w:rFonts w:ascii="Times New Roman" w:eastAsia="Times New Roman" w:hAnsi="Times New Roman" w:cs="Times New Roman"/>
          <w:color w:val="000000" w:themeColor="text1"/>
          <w:sz w:val="24"/>
          <w:szCs w:val="24"/>
        </w:rPr>
        <w:t xml:space="preserve"> natomiast decyzja z art. 98 ust. 3 dotyczy</w:t>
      </w:r>
      <w:r w:rsidRPr="00C10C7D">
        <w:rPr>
          <w:rFonts w:ascii="Times New Roman" w:hAnsi="Times New Roman" w:cs="Times New Roman"/>
          <w:color w:val="000000" w:themeColor="text1"/>
          <w:sz w:val="24"/>
          <w:szCs w:val="24"/>
        </w:rPr>
        <w:t xml:space="preserve"> ustalenia kwoty udziału w pokryciu dopłaty dla przedsiębiorcy telekomunikacyjnego i łączy się nierozerwalnie z decyzją z art. 98 ust. 2, dlatego do tych postępowań muszą mieć zastosowanie te same przepisy prawne, pomimo że postępowanie z art. 98 ust. 3 może nie zacząć się przed wejściem w życie Pke;</w:t>
      </w:r>
    </w:p>
    <w:p w14:paraId="74388206" w14:textId="305D3790" w:rsidR="007C3C61" w:rsidRPr="00C10C7D" w:rsidRDefault="007C3C61" w:rsidP="00F91F34">
      <w:pPr>
        <w:numPr>
          <w:ilvl w:val="0"/>
          <w:numId w:val="3"/>
        </w:numPr>
        <w:tabs>
          <w:tab w:val="left" w:pos="426"/>
        </w:tabs>
        <w:spacing w:before="120" w:after="0" w:line="360" w:lineRule="auto"/>
        <w:ind w:left="0" w:firstLine="0"/>
        <w:jc w:val="both"/>
        <w:rPr>
          <w:rFonts w:ascii="Times New Roman" w:hAnsi="Times New Roman" w:cs="Times New Roman"/>
          <w:color w:val="000000" w:themeColor="text1"/>
          <w:sz w:val="24"/>
          <w:szCs w:val="24"/>
        </w:rPr>
      </w:pPr>
      <w:r w:rsidRPr="00C10C7D">
        <w:rPr>
          <w:rFonts w:ascii="Times New Roman" w:hAnsi="Times New Roman" w:cs="Times New Roman"/>
          <w:b/>
          <w:bCs/>
          <w:color w:val="000000" w:themeColor="text1"/>
          <w:sz w:val="24"/>
          <w:szCs w:val="24"/>
        </w:rPr>
        <w:t xml:space="preserve">obowiązków określonych w art. 39 ust. 1 pkt 2 oraz w art. 40 ust. 1 Pt </w:t>
      </w:r>
      <w:r w:rsidRPr="00C10C7D">
        <w:rPr>
          <w:rFonts w:ascii="Times New Roman" w:hAnsi="Times New Roman" w:cs="Times New Roman"/>
          <w:color w:val="000000" w:themeColor="text1"/>
          <w:sz w:val="24"/>
          <w:szCs w:val="24"/>
        </w:rPr>
        <w:t>–</w:t>
      </w:r>
      <w:r w:rsidRPr="00C10C7D">
        <w:rPr>
          <w:rFonts w:ascii="Times New Roman" w:hAnsi="Times New Roman" w:cs="Times New Roman"/>
          <w:b/>
          <w:bCs/>
          <w:color w:val="000000" w:themeColor="text1"/>
          <w:sz w:val="24"/>
          <w:szCs w:val="24"/>
        </w:rPr>
        <w:t xml:space="preserve"> art. 68</w:t>
      </w:r>
    </w:p>
    <w:p w14:paraId="36E10735" w14:textId="3FB55441"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10C7D">
        <w:rPr>
          <w:rFonts w:ascii="Times New Roman" w:hAnsi="Times New Roman" w:cs="Times New Roman"/>
          <w:color w:val="000000" w:themeColor="text1"/>
          <w:sz w:val="24"/>
          <w:szCs w:val="24"/>
        </w:rPr>
        <w:lastRenderedPageBreak/>
        <w:t xml:space="preserve">Jest to przepis przejściowy przeniesiony wprost z ustawy z dnia 15 kwietnia 2011 r o zmianie ustawy – Prawo telekomunikacyjne (Dz. U. poz. 587), który wszedł w życie 2 czerwca 2011 r., który wciąż obowiązuje dla obowiązków określonych w art. 39 ust. 1 pkt 2 oraz w art. 40 ust. 1 ustawy uchylanej w art. </w:t>
      </w:r>
      <w:r w:rsidR="00AD1C44" w:rsidRPr="00C10C7D">
        <w:rPr>
          <w:rFonts w:ascii="Times New Roman" w:hAnsi="Times New Roman" w:cs="Times New Roman"/>
          <w:color w:val="000000" w:themeColor="text1"/>
          <w:sz w:val="24"/>
          <w:szCs w:val="24"/>
        </w:rPr>
        <w:t>58</w:t>
      </w:r>
      <w:r w:rsidRPr="00C10C7D">
        <w:rPr>
          <w:rFonts w:ascii="Times New Roman" w:hAnsi="Times New Roman" w:cs="Times New Roman"/>
          <w:color w:val="000000" w:themeColor="text1"/>
          <w:sz w:val="24"/>
          <w:szCs w:val="24"/>
        </w:rPr>
        <w:t>, wynikających z decyzji wydanych przed 2 czerwc</w:t>
      </w:r>
      <w:r w:rsidR="00851F1F" w:rsidRPr="00C10C7D">
        <w:rPr>
          <w:rFonts w:ascii="Times New Roman" w:hAnsi="Times New Roman" w:cs="Times New Roman"/>
          <w:color w:val="000000" w:themeColor="text1"/>
          <w:sz w:val="24"/>
          <w:szCs w:val="24"/>
        </w:rPr>
        <w:t>a</w:t>
      </w:r>
      <w:r w:rsidRPr="00C10C7D">
        <w:rPr>
          <w:rFonts w:ascii="Times New Roman" w:hAnsi="Times New Roman" w:cs="Times New Roman"/>
          <w:color w:val="000000" w:themeColor="text1"/>
          <w:sz w:val="24"/>
          <w:szCs w:val="24"/>
        </w:rPr>
        <w:t xml:space="preserve"> 2011 r. Ustawa z dnia 15 kwietnia 2011 r. o zmianie ustawy – Prawo telekomunikacyjne wprowadzi</w:t>
      </w:r>
      <w:r w:rsidRPr="00CE1978">
        <w:rPr>
          <w:rFonts w:ascii="Times New Roman" w:hAnsi="Times New Roman" w:cs="Times New Roman"/>
          <w:color w:val="000000" w:themeColor="text1"/>
          <w:sz w:val="24"/>
          <w:szCs w:val="24"/>
        </w:rPr>
        <w:t>ła obowiązek wskazywania w decyzjach nakładających obowiązki z art. 39 i 40 Pt metod weryfikacji i ustalenia wysokości opłat z tytułu dostępu telekomunikacyjnego lub ich maksymalnego albo minimalnego poziom. W związku z powyższym, w przypadku decyzji wydanych w tych sprawach przed dniem wejścia w życie tej ustawy, wprost w ustawie wskazano ww. metody;</w:t>
      </w:r>
    </w:p>
    <w:p w14:paraId="71DE4CCD" w14:textId="03205624" w:rsidR="007C3C61" w:rsidRPr="00CE1978" w:rsidRDefault="007C3C61" w:rsidP="00F91F34">
      <w:pPr>
        <w:numPr>
          <w:ilvl w:val="0"/>
          <w:numId w:val="3"/>
        </w:numPr>
        <w:tabs>
          <w:tab w:val="left" w:pos="426"/>
        </w:tabs>
        <w:spacing w:before="120" w:after="0" w:line="360" w:lineRule="auto"/>
        <w:ind w:left="0" w:firstLine="0"/>
        <w:jc w:val="both"/>
        <w:rPr>
          <w:rFonts w:ascii="Times New Roman" w:hAnsi="Times New Roman" w:cs="Times New Roman"/>
          <w:color w:val="000000" w:themeColor="text1"/>
          <w:sz w:val="24"/>
          <w:szCs w:val="24"/>
        </w:rPr>
      </w:pPr>
      <w:r w:rsidRPr="00CE1978">
        <w:rPr>
          <w:rFonts w:ascii="Times New Roman" w:hAnsi="Times New Roman" w:cs="Times New Roman"/>
          <w:b/>
          <w:bCs/>
          <w:color w:val="000000" w:themeColor="text1"/>
          <w:sz w:val="24"/>
          <w:szCs w:val="24"/>
        </w:rPr>
        <w:t xml:space="preserve">umów o świadczenie usług telekomunikacyjnych </w:t>
      </w:r>
      <w:r w:rsidRPr="00CE1978">
        <w:rPr>
          <w:rFonts w:ascii="Times New Roman" w:hAnsi="Times New Roman" w:cs="Times New Roman"/>
          <w:color w:val="000000" w:themeColor="text1"/>
          <w:sz w:val="24"/>
          <w:szCs w:val="24"/>
        </w:rPr>
        <w:t>–</w:t>
      </w:r>
      <w:r w:rsidRPr="00CE1978">
        <w:rPr>
          <w:rFonts w:ascii="Times New Roman" w:hAnsi="Times New Roman" w:cs="Times New Roman"/>
          <w:b/>
          <w:bCs/>
          <w:color w:val="000000" w:themeColor="text1"/>
          <w:sz w:val="24"/>
          <w:szCs w:val="24"/>
        </w:rPr>
        <w:t xml:space="preserve"> art. 69</w:t>
      </w:r>
    </w:p>
    <w:p w14:paraId="7835386D" w14:textId="77777777"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W związku ze znacznymi zmianami jakie ustawa Pke wprowadza w porównaniu do regulacji zawartej w ustawie Pt konieczne jest zawarcie przepisów przejściowych rozstrzygających, iż zasadniczo do umów o świadczenie usług telekomunikacyjnych zawartych przed dniem wejścia w życie ustawy Pke stosuje się przepisy tej ustawy. Zapewni to stosowanie m.in. nowych regulacji wynikających z EKŁE do już zawartych umów, co będzie korzystne dla użytkowników końcowych. Jednocześnie konieczne jest enumeratywne wskazanie odstępstw od stosowania nowych przepisów w przypadkach, gdy takie podejście jest uzasadnione. Do umowy o świadczenie usług telekomunikacyjnych</w:t>
      </w:r>
      <w:r w:rsidRPr="00CE1978">
        <w:rPr>
          <w:rFonts w:ascii="Times New Roman" w:hAnsi="Times New Roman" w:cs="Times New Roman"/>
          <w:bCs/>
          <w:color w:val="000000" w:themeColor="text1"/>
          <w:sz w:val="24"/>
          <w:szCs w:val="24"/>
        </w:rPr>
        <w:t xml:space="preserve"> </w:t>
      </w:r>
      <w:r w:rsidRPr="00CE1978">
        <w:rPr>
          <w:rFonts w:ascii="Times New Roman" w:hAnsi="Times New Roman" w:cs="Times New Roman"/>
          <w:color w:val="000000" w:themeColor="text1"/>
          <w:sz w:val="24"/>
          <w:szCs w:val="24"/>
        </w:rPr>
        <w:t>zawartej przed dniem wejścia w życie Pke stosuje się przepisy Pke z wyłączeniem przepisów dotyczących: przekazywania konsumentom przed zawarciem umowy informacji przedumownych i zwięzłego podsumowania warunków umowy, pozostałych obligatoryjnych elementów składających się na umowę, publikowania informacji o zasadach świadczenia usług NDS i korzystania z automatów publicznych oraz obligatoryjnych elementów umowy B2B.</w:t>
      </w:r>
    </w:p>
    <w:p w14:paraId="2CC2936D" w14:textId="77777777" w:rsidR="007C3C61" w:rsidRPr="00CE1978" w:rsidRDefault="007C3C61" w:rsidP="00F91F34">
      <w:pPr>
        <w:spacing w:before="120" w:after="0" w:line="360" w:lineRule="auto"/>
        <w:jc w:val="both"/>
        <w:rPr>
          <w:rFonts w:ascii="Times New Roman" w:hAnsi="Times New Roman" w:cs="Times New Roman"/>
          <w:bCs/>
          <w:color w:val="000000" w:themeColor="text1"/>
          <w:sz w:val="24"/>
          <w:szCs w:val="24"/>
        </w:rPr>
      </w:pPr>
      <w:r w:rsidRPr="00CE1978">
        <w:rPr>
          <w:rFonts w:ascii="Times New Roman" w:hAnsi="Times New Roman" w:cs="Times New Roman"/>
          <w:color w:val="000000" w:themeColor="text1"/>
          <w:sz w:val="24"/>
          <w:szCs w:val="24"/>
        </w:rPr>
        <w:t>Dodatkowo doprecyzowano, że w</w:t>
      </w:r>
      <w:r w:rsidRPr="00CE1978">
        <w:rPr>
          <w:rFonts w:ascii="Times New Roman" w:hAnsi="Times New Roman" w:cs="Times New Roman"/>
          <w:bCs/>
          <w:color w:val="000000" w:themeColor="text1"/>
          <w:sz w:val="24"/>
          <w:szCs w:val="24"/>
        </w:rPr>
        <w:t xml:space="preserve"> przypadku umowy zawartej z mikroprzedsiębiorcami, małymi przedsiębiorcami i organizacjami pożytku publicznego przed dniem wejścia w życie Pke dostawca usług musi pozyskać zgodę tych podmiotów, na to żeby uprawnienia konsumenckie wynikające z Pke, które stosuje się również wobec tych podmiotów, nie miały do nich zastosowania. </w:t>
      </w:r>
    </w:p>
    <w:p w14:paraId="3F9E90BE" w14:textId="77777777"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Rozstrzygnięto, że nowe przepisy Pke limitujące długość umowy zawieranej z konsumentem</w:t>
      </w:r>
      <w:r w:rsidRPr="00CE1978">
        <w:rPr>
          <w:rFonts w:ascii="Times New Roman" w:hAnsi="Times New Roman" w:cs="Times New Roman"/>
          <w:bCs/>
          <w:color w:val="000000" w:themeColor="text1"/>
          <w:sz w:val="24"/>
          <w:szCs w:val="24"/>
        </w:rPr>
        <w:t xml:space="preserve"> nie będą wpływać na okres obowiązywania umowy o świadczenie usług telekomunikacyjnych zawartej przed dniem opublikowania Pke. Jednocześnie należy podkreślić, że aneksowanie </w:t>
      </w:r>
      <w:r w:rsidRPr="00CE1978">
        <w:rPr>
          <w:rFonts w:ascii="Times New Roman" w:hAnsi="Times New Roman" w:cs="Times New Roman"/>
          <w:bCs/>
          <w:color w:val="000000" w:themeColor="text1"/>
          <w:sz w:val="24"/>
          <w:szCs w:val="24"/>
        </w:rPr>
        <w:lastRenderedPageBreak/>
        <w:t>umowy z konsumentem, choćby zawartej przed opublikowaniem Pke, ale dokonane już po wejściu w życie Pke, nie może odbywać się na okres dłuższy niż wynikający z Pke – 24 miesiące.</w:t>
      </w:r>
    </w:p>
    <w:p w14:paraId="4123A230" w14:textId="3E87C752"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Uregulowano zasady dochodzenia roszczeń przez dostawcę usług w przypadku wypowiedzenia umowy przez abonenta lub przez tego dostawcę z winy abonenta przed upływem okresu, na jaki umowa została zawarta poprzez wskazanie, że roszczenie dochodzone jest na podstawie dotychczasowych postanowień umownych, a jego wysokość nie może przekroczyć wartości ulgi przyznanej abonentowi przy zawarciu umowy pomniejszonej o proporcjonalną jej wartość za okres od dnia zawarcia umowy do dnia jej wypowiedzenia.</w:t>
      </w:r>
    </w:p>
    <w:p w14:paraId="0F11EB20" w14:textId="311E8984"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 xml:space="preserve">W odniesieniu do uprawnień konsumentów do otrzymania zwrotu środków pozostałych na koncie prepaid zdecydowano, że </w:t>
      </w:r>
      <w:r w:rsidRPr="00CE1978">
        <w:rPr>
          <w:rFonts w:ascii="Times New Roman" w:hAnsi="Times New Roman" w:cs="Times New Roman"/>
          <w:bCs/>
          <w:color w:val="000000" w:themeColor="text1"/>
          <w:sz w:val="24"/>
          <w:szCs w:val="24"/>
        </w:rPr>
        <w:t>uprawnienia obejmuje te środki, które będą znajdowały się na koncie w dniu opublikowania ustawy.</w:t>
      </w:r>
    </w:p>
    <w:p w14:paraId="3D75DC61" w14:textId="74FB7C7D" w:rsidR="007C3C61" w:rsidRPr="00CE1978" w:rsidRDefault="007C3C61" w:rsidP="00F91F34">
      <w:pPr>
        <w:spacing w:before="120" w:after="0" w:line="360" w:lineRule="auto"/>
        <w:jc w:val="both"/>
        <w:rPr>
          <w:rFonts w:ascii="Times New Roman" w:hAnsi="Times New Roman" w:cs="Times New Roman"/>
          <w:bCs/>
          <w:color w:val="000000" w:themeColor="text1"/>
          <w:sz w:val="24"/>
          <w:szCs w:val="24"/>
        </w:rPr>
      </w:pPr>
      <w:r w:rsidRPr="00CE1978">
        <w:rPr>
          <w:rFonts w:ascii="Times New Roman" w:hAnsi="Times New Roman" w:cs="Times New Roman"/>
          <w:bCs/>
          <w:color w:val="000000" w:themeColor="text1"/>
          <w:sz w:val="24"/>
          <w:szCs w:val="24"/>
        </w:rPr>
        <w:t>W celu ułatwienia dostawcom usług informowania swoich dotychczasowych abonentów o zmianach wprowadzanych w zawartych już umowach przesądzono, że dostawca usług telekomunikacyjnych wprowadzając zmiany warunków umowy wynikające wyłącznie z konieczności ich dostosowania do przepisów Pke, podaje do publicznej wiadomości przez publikację na swojej stronie internetowej treść wprowadzonych zmian, z wyprzedzeniem co najmniej jednego miesiąca przed wprowadzeniem ich w życie. Jednocześnie abonent powinien zostać poinformowany o prawie wypowiedzenia umowy w przypadku braku akceptacji tych zmian z zastrzeżeniem konieczności zapłaty roszczenia na rzecz dostawcy usług.</w:t>
      </w:r>
    </w:p>
    <w:p w14:paraId="6D944017" w14:textId="77777777"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Dodatkowym ułatwieniem w zakresie dostosowania obowiązujących już umów jest możliwość wprowadzania zmiany warunków umowy w dotychczasowych wzorcach umownych.</w:t>
      </w:r>
    </w:p>
    <w:p w14:paraId="6B6B9DCD" w14:textId="29E8A303"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Ponadto dodano ustęp 8, który jako przepis przejściowy zapewni podstawę prawną do przekazywania, przez dostawców usługi komunikacji głosowej, Prezesowi UKE informacji na temat wysokości pozostałych na koncie środków z doładowań, do których w poprzednim roku kalendarzowym wygasło uprawnienie konsumenta, o którym mowa w art. 325 ust. 5 ustawy Pke do czasu, gdy dostawcy usługi komunikacji głosowej zaczną przekazywać powyższe informacje, w ramach corocznej sprawozdawczości, przy użyciu formularza elektronicznego, o którym mowa w art. 20 ust. 3 Pke</w:t>
      </w:r>
      <w:r w:rsidR="00A15DCC" w:rsidRPr="00CE1978">
        <w:rPr>
          <w:rFonts w:ascii="Times New Roman" w:hAnsi="Times New Roman" w:cs="Times New Roman"/>
          <w:color w:val="000000" w:themeColor="text1"/>
          <w:sz w:val="24"/>
          <w:szCs w:val="24"/>
        </w:rPr>
        <w:t xml:space="preserve">. Ust. 9 precyzuje zawartość tej informacji w celu skutecznej egzekucji </w:t>
      </w:r>
      <w:r w:rsidR="00A15DCC" w:rsidRPr="00CE1978">
        <w:rPr>
          <w:rFonts w:ascii="Times New Roman" w:hAnsi="Times New Roman" w:cs="Times New Roman"/>
          <w:sz w:val="24"/>
          <w:szCs w:val="24"/>
        </w:rPr>
        <w:t>należności z tytułu środków z doładowań, do których w poprzednim roku kalendarzowym wygasło uprawnienie konsumenta, do czasu wydania aktu wykonawczego z art. 20</w:t>
      </w:r>
      <w:r w:rsidRPr="00CE1978">
        <w:rPr>
          <w:rFonts w:ascii="Times New Roman" w:hAnsi="Times New Roman" w:cs="Times New Roman"/>
          <w:color w:val="000000" w:themeColor="text1"/>
          <w:sz w:val="24"/>
          <w:szCs w:val="24"/>
        </w:rPr>
        <w:t>;</w:t>
      </w:r>
    </w:p>
    <w:p w14:paraId="1A91AD99" w14:textId="6E3FE7ED" w:rsidR="007C3C61" w:rsidRPr="00CE1978" w:rsidRDefault="007C3C61" w:rsidP="00F91F34">
      <w:pPr>
        <w:numPr>
          <w:ilvl w:val="0"/>
          <w:numId w:val="3"/>
        </w:numPr>
        <w:tabs>
          <w:tab w:val="left" w:pos="426"/>
        </w:tabs>
        <w:spacing w:before="120" w:after="0" w:line="360" w:lineRule="auto"/>
        <w:ind w:left="0" w:firstLine="0"/>
        <w:jc w:val="both"/>
        <w:rPr>
          <w:rFonts w:ascii="Times New Roman" w:hAnsi="Times New Roman" w:cs="Times New Roman"/>
          <w:b/>
          <w:bCs/>
          <w:color w:val="000000" w:themeColor="text1"/>
          <w:sz w:val="24"/>
          <w:szCs w:val="24"/>
        </w:rPr>
      </w:pPr>
      <w:r w:rsidRPr="00CE1978">
        <w:rPr>
          <w:rFonts w:ascii="Times New Roman" w:hAnsi="Times New Roman" w:cs="Times New Roman"/>
          <w:b/>
          <w:bCs/>
          <w:color w:val="000000" w:themeColor="text1"/>
          <w:sz w:val="24"/>
          <w:szCs w:val="24"/>
        </w:rPr>
        <w:lastRenderedPageBreak/>
        <w:t xml:space="preserve">rejestru usług </w:t>
      </w:r>
      <w:r w:rsidRPr="00CE1978">
        <w:rPr>
          <w:rFonts w:ascii="Times New Roman" w:hAnsi="Times New Roman" w:cs="Times New Roman"/>
          <w:b/>
          <w:bCs/>
          <w:i/>
          <w:iCs/>
          <w:color w:val="000000" w:themeColor="text1"/>
          <w:sz w:val="24"/>
          <w:szCs w:val="24"/>
        </w:rPr>
        <w:t>premium rate</w:t>
      </w:r>
      <w:r w:rsidRPr="00CE1978">
        <w:rPr>
          <w:rFonts w:ascii="Times New Roman" w:hAnsi="Times New Roman" w:cs="Times New Roman"/>
          <w:b/>
          <w:bCs/>
          <w:color w:val="000000" w:themeColor="text1"/>
          <w:sz w:val="24"/>
          <w:szCs w:val="24"/>
        </w:rPr>
        <w:t xml:space="preserve"> </w:t>
      </w:r>
      <w:r w:rsidRPr="00CE1978">
        <w:rPr>
          <w:rFonts w:ascii="Times New Roman" w:hAnsi="Times New Roman" w:cs="Times New Roman"/>
          <w:color w:val="000000" w:themeColor="text1"/>
          <w:sz w:val="24"/>
          <w:szCs w:val="24"/>
        </w:rPr>
        <w:t>–</w:t>
      </w:r>
      <w:r w:rsidRPr="00CE1978">
        <w:rPr>
          <w:rFonts w:ascii="Times New Roman" w:hAnsi="Times New Roman" w:cs="Times New Roman"/>
          <w:b/>
          <w:bCs/>
          <w:color w:val="000000" w:themeColor="text1"/>
          <w:sz w:val="24"/>
          <w:szCs w:val="24"/>
        </w:rPr>
        <w:t xml:space="preserve"> art. 70 i art. </w:t>
      </w:r>
      <w:r w:rsidR="00BD12D1" w:rsidRPr="00CE1978">
        <w:rPr>
          <w:rFonts w:ascii="Times New Roman" w:hAnsi="Times New Roman" w:cs="Times New Roman"/>
          <w:b/>
          <w:bCs/>
          <w:color w:val="000000" w:themeColor="text1"/>
          <w:sz w:val="24"/>
          <w:szCs w:val="24"/>
        </w:rPr>
        <w:t>99</w:t>
      </w:r>
    </w:p>
    <w:p w14:paraId="61BD7E41" w14:textId="32179729"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 xml:space="preserve">Analogicznie do kwestii rejestrów Pt i Jst przewidziano również przepisy przejściowe dotyczące rejestru tzw. usług </w:t>
      </w:r>
      <w:r w:rsidRPr="00CE1978">
        <w:rPr>
          <w:rFonts w:ascii="Times New Roman" w:hAnsi="Times New Roman" w:cs="Times New Roman"/>
          <w:i/>
          <w:iCs/>
          <w:color w:val="000000" w:themeColor="text1"/>
          <w:sz w:val="24"/>
          <w:szCs w:val="24"/>
        </w:rPr>
        <w:t>premium rate</w:t>
      </w:r>
      <w:r w:rsidRPr="00CE1978">
        <w:rPr>
          <w:rFonts w:ascii="Times New Roman" w:hAnsi="Times New Roman" w:cs="Times New Roman"/>
          <w:color w:val="000000" w:themeColor="text1"/>
          <w:sz w:val="24"/>
          <w:szCs w:val="24"/>
        </w:rPr>
        <w:t xml:space="preserve">. Uregulowany w art. 65 ust. 2 Pt rejestr numerów wykorzystywanych do świadczenia usług o podwyższonej opłacie staje się rejestrem numerów wykorzystywanych do świadczenia usługi z dodatkowym świadczeniem. Przepis przejściowy reguluje kwestię zgłoszeń i wpisów do rejestru dokonanych na gruncie Pt, spraw o wpis do rejestru wszczętych i niezakończonych przed dniem wejścia w życie Pke. Dodatkowo wskazuje na obowiązek przekazania Prezesowi UKE, przez podmiot wpisany do rejestru przed wejściem w życie Pke, numeru NIP w terminie 3 miesięcy od dnia wejścia w życie Pke. Wynika to z faktu, iż ustawa Pke w art. </w:t>
      </w:r>
      <w:r w:rsidR="00AD1C44" w:rsidRPr="00CE1978">
        <w:rPr>
          <w:rFonts w:ascii="Times New Roman" w:hAnsi="Times New Roman" w:cs="Times New Roman"/>
          <w:color w:val="000000" w:themeColor="text1"/>
          <w:sz w:val="24"/>
          <w:szCs w:val="24"/>
        </w:rPr>
        <w:t>340</w:t>
      </w:r>
      <w:r w:rsidRPr="00CE1978">
        <w:rPr>
          <w:rFonts w:ascii="Times New Roman" w:hAnsi="Times New Roman" w:cs="Times New Roman"/>
          <w:color w:val="000000" w:themeColor="text1"/>
          <w:sz w:val="24"/>
          <w:szCs w:val="24"/>
        </w:rPr>
        <w:t xml:space="preserve"> wprowadziła wymóg podania Prezesowi UKE numeru NIP przez podmiot realizujący dodatkowe świadczenie, w terminie co najmniej 14 dni przed dniem rozpoczęcia świadczenia tej usługi; </w:t>
      </w:r>
    </w:p>
    <w:p w14:paraId="3DA15BE1" w14:textId="72887260" w:rsidR="007C3C61" w:rsidRPr="00CE1978" w:rsidRDefault="007C3C61" w:rsidP="00F91F34">
      <w:pPr>
        <w:numPr>
          <w:ilvl w:val="0"/>
          <w:numId w:val="3"/>
        </w:numPr>
        <w:tabs>
          <w:tab w:val="left" w:pos="426"/>
        </w:tabs>
        <w:spacing w:before="120" w:after="0" w:line="360" w:lineRule="auto"/>
        <w:ind w:left="0" w:firstLine="0"/>
        <w:jc w:val="both"/>
        <w:rPr>
          <w:rFonts w:ascii="Times New Roman" w:hAnsi="Times New Roman" w:cs="Times New Roman"/>
          <w:color w:val="000000" w:themeColor="text1"/>
          <w:sz w:val="24"/>
          <w:szCs w:val="24"/>
        </w:rPr>
      </w:pPr>
      <w:r w:rsidRPr="00CE1978">
        <w:rPr>
          <w:rFonts w:ascii="Times New Roman" w:hAnsi="Times New Roman" w:cs="Times New Roman"/>
          <w:b/>
          <w:bCs/>
          <w:color w:val="000000" w:themeColor="text1"/>
          <w:sz w:val="24"/>
          <w:szCs w:val="24"/>
        </w:rPr>
        <w:t xml:space="preserve">żądania przeniesienia numeru </w:t>
      </w:r>
      <w:r w:rsidRPr="00CE1978">
        <w:rPr>
          <w:rFonts w:ascii="Times New Roman" w:hAnsi="Times New Roman" w:cs="Times New Roman"/>
          <w:color w:val="000000" w:themeColor="text1"/>
          <w:sz w:val="24"/>
          <w:szCs w:val="24"/>
        </w:rPr>
        <w:t>–</w:t>
      </w:r>
      <w:r w:rsidRPr="00CE1978">
        <w:rPr>
          <w:rFonts w:ascii="Times New Roman" w:hAnsi="Times New Roman" w:cs="Times New Roman"/>
          <w:b/>
          <w:bCs/>
          <w:color w:val="000000" w:themeColor="text1"/>
          <w:sz w:val="24"/>
          <w:szCs w:val="24"/>
        </w:rPr>
        <w:t xml:space="preserve"> art. 71</w:t>
      </w:r>
    </w:p>
    <w:p w14:paraId="724E9F87" w14:textId="3EFDEBFE"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Przepis wskazuje, iż</w:t>
      </w:r>
      <w:r w:rsidRPr="00CE1978">
        <w:rPr>
          <w:rFonts w:ascii="Times New Roman" w:hAnsi="Times New Roman" w:cs="Times New Roman"/>
          <w:b/>
          <w:bCs/>
          <w:color w:val="000000" w:themeColor="text1"/>
          <w:sz w:val="24"/>
          <w:szCs w:val="24"/>
        </w:rPr>
        <w:t xml:space="preserve"> </w:t>
      </w:r>
      <w:r w:rsidRPr="00CE1978">
        <w:rPr>
          <w:rFonts w:ascii="Times New Roman" w:hAnsi="Times New Roman" w:cs="Times New Roman"/>
          <w:color w:val="000000" w:themeColor="text1"/>
          <w:sz w:val="24"/>
          <w:szCs w:val="24"/>
        </w:rPr>
        <w:t>do żądania przeniesienia numeru, o którym mowa w art. 71 Pt, złożonego i niezrealizowanego przed dniem wejścia w życie ustawy Pke, stosuje się przepisy dotychczasowe. Zapis ten wynika z konieczności zapewnienia regulacji przejściowej w związku ze zmianami w procedurze przeniesienia numeru jakie przewiduje ustawa Pke w porównaniu do dotychczasowych przepisów Pt;</w:t>
      </w:r>
    </w:p>
    <w:p w14:paraId="4D4AE13F" w14:textId="337AD184" w:rsidR="007C3C61" w:rsidRPr="00CE1978" w:rsidRDefault="007C3C61" w:rsidP="00F91F34">
      <w:pPr>
        <w:numPr>
          <w:ilvl w:val="0"/>
          <w:numId w:val="3"/>
        </w:numPr>
        <w:tabs>
          <w:tab w:val="left" w:pos="426"/>
        </w:tabs>
        <w:spacing w:before="120" w:after="0" w:line="360" w:lineRule="auto"/>
        <w:ind w:left="0" w:firstLine="0"/>
        <w:jc w:val="both"/>
        <w:rPr>
          <w:rFonts w:ascii="Times New Roman" w:hAnsi="Times New Roman" w:cs="Times New Roman"/>
          <w:color w:val="000000" w:themeColor="text1"/>
          <w:sz w:val="24"/>
          <w:szCs w:val="24"/>
        </w:rPr>
      </w:pPr>
      <w:r w:rsidRPr="00CE1978">
        <w:rPr>
          <w:rFonts w:ascii="Times New Roman" w:hAnsi="Times New Roman" w:cs="Times New Roman"/>
          <w:b/>
          <w:bCs/>
          <w:color w:val="000000" w:themeColor="text1"/>
          <w:sz w:val="24"/>
          <w:szCs w:val="24"/>
        </w:rPr>
        <w:t xml:space="preserve">uprawnień abonenta </w:t>
      </w:r>
      <w:r w:rsidRPr="00CE1978">
        <w:rPr>
          <w:rFonts w:ascii="Times New Roman" w:hAnsi="Times New Roman" w:cs="Times New Roman"/>
          <w:color w:val="000000" w:themeColor="text1"/>
          <w:sz w:val="24"/>
          <w:szCs w:val="24"/>
        </w:rPr>
        <w:t>–</w:t>
      </w:r>
      <w:r w:rsidRPr="00CE1978">
        <w:rPr>
          <w:rFonts w:ascii="Times New Roman" w:hAnsi="Times New Roman" w:cs="Times New Roman"/>
          <w:b/>
          <w:bCs/>
          <w:color w:val="000000" w:themeColor="text1"/>
          <w:sz w:val="24"/>
          <w:szCs w:val="24"/>
        </w:rPr>
        <w:t xml:space="preserve"> art. 72</w:t>
      </w:r>
    </w:p>
    <w:p w14:paraId="4CB01A9B" w14:textId="77777777"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Przepis odnosi się do kwestii uprawnienia abonenta do żądania szczegółowego wykazu wykonanych usług telekomunikacyjnych, o którym mowa w art. art. 80 ust. 2 Pt. W sytuacji gdy żądanie zostało złożone po wejściu w życie ustawy Pke ale dotyczy usług zrealizowanych przed dniem wejścia w życie tej ustawy zasadne jest stosowanie przepisów dotychczasowych, tj. przepisów Pt;</w:t>
      </w:r>
    </w:p>
    <w:p w14:paraId="1AF99BA8" w14:textId="1921DC05" w:rsidR="007C3C61" w:rsidRPr="00CE1978" w:rsidRDefault="007C3C61" w:rsidP="00F91F34">
      <w:pPr>
        <w:numPr>
          <w:ilvl w:val="0"/>
          <w:numId w:val="3"/>
        </w:numPr>
        <w:tabs>
          <w:tab w:val="left" w:pos="426"/>
        </w:tabs>
        <w:spacing w:before="120" w:after="0" w:line="360" w:lineRule="auto"/>
        <w:ind w:left="0" w:firstLine="0"/>
        <w:jc w:val="both"/>
        <w:rPr>
          <w:rFonts w:ascii="Times New Roman" w:hAnsi="Times New Roman" w:cs="Times New Roman"/>
          <w:color w:val="000000" w:themeColor="text1"/>
          <w:sz w:val="24"/>
          <w:szCs w:val="24"/>
        </w:rPr>
      </w:pPr>
      <w:r w:rsidRPr="00CE1978">
        <w:rPr>
          <w:rFonts w:ascii="Times New Roman" w:hAnsi="Times New Roman" w:cs="Times New Roman"/>
          <w:b/>
          <w:bCs/>
          <w:color w:val="000000" w:themeColor="text1"/>
          <w:sz w:val="24"/>
          <w:szCs w:val="24"/>
        </w:rPr>
        <w:t xml:space="preserve">realizacji obowiązku, o którym mowa w art. 99 ust. 5 Pt </w:t>
      </w:r>
      <w:r w:rsidRPr="00CE1978">
        <w:rPr>
          <w:rFonts w:ascii="Times New Roman" w:hAnsi="Times New Roman" w:cs="Times New Roman"/>
          <w:color w:val="000000" w:themeColor="text1"/>
          <w:sz w:val="24"/>
          <w:szCs w:val="24"/>
        </w:rPr>
        <w:t>–</w:t>
      </w:r>
      <w:r w:rsidRPr="00CE1978">
        <w:rPr>
          <w:rFonts w:ascii="Times New Roman" w:hAnsi="Times New Roman" w:cs="Times New Roman"/>
          <w:b/>
          <w:bCs/>
          <w:color w:val="000000" w:themeColor="text1"/>
          <w:sz w:val="24"/>
          <w:szCs w:val="24"/>
        </w:rPr>
        <w:t xml:space="preserve"> art. 73</w:t>
      </w:r>
    </w:p>
    <w:p w14:paraId="74D52C5B" w14:textId="2E88B601"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 xml:space="preserve">W toku są postępowania administracyjne prowadzone przez Prezesa UKE w zakresie przyznania dopłaty do kosztów świadczenia usługi powszechnej a przed sądami toczą się postępowania w zakresie decyzji Prezesa UKE o przyznaniu/odmowie przyznania dopłaty. W związku z powyższym, sporządzenie sprawozdania przez Prezesa UKE na podstawie art. 99 ust. 5 Pt w zakresie spraw związanych z dopłatą do kosztów usług świadczonych przez przedsiębiorcę, do których świadczenia został wyznaczony, wszczętych i niezakończonych </w:t>
      </w:r>
      <w:r w:rsidRPr="00CE1978">
        <w:rPr>
          <w:rFonts w:ascii="Times New Roman" w:hAnsi="Times New Roman" w:cs="Times New Roman"/>
          <w:color w:val="000000" w:themeColor="text1"/>
          <w:sz w:val="24"/>
          <w:szCs w:val="24"/>
        </w:rPr>
        <w:lastRenderedPageBreak/>
        <w:t>przed dniem wejścia w życie ustawy Pke, może być sporządzony tylko na podstawie dotychczasowych przepisów czyli Pt;</w:t>
      </w:r>
    </w:p>
    <w:p w14:paraId="3113A555" w14:textId="3A76BCF8" w:rsidR="007C3C61" w:rsidRPr="00CE1978" w:rsidRDefault="007C3C61" w:rsidP="00F91F34">
      <w:pPr>
        <w:numPr>
          <w:ilvl w:val="0"/>
          <w:numId w:val="3"/>
        </w:numPr>
        <w:tabs>
          <w:tab w:val="left" w:pos="426"/>
        </w:tabs>
        <w:spacing w:before="120" w:after="0" w:line="360" w:lineRule="auto"/>
        <w:ind w:left="0" w:firstLine="0"/>
        <w:jc w:val="both"/>
        <w:rPr>
          <w:rFonts w:ascii="Times New Roman" w:hAnsi="Times New Roman" w:cs="Times New Roman"/>
          <w:color w:val="000000" w:themeColor="text1"/>
          <w:sz w:val="24"/>
          <w:szCs w:val="24"/>
        </w:rPr>
      </w:pPr>
      <w:r w:rsidRPr="00CE1978">
        <w:rPr>
          <w:rFonts w:ascii="Times New Roman" w:hAnsi="Times New Roman" w:cs="Times New Roman"/>
          <w:b/>
          <w:bCs/>
          <w:color w:val="000000" w:themeColor="text1"/>
          <w:sz w:val="24"/>
          <w:szCs w:val="24"/>
        </w:rPr>
        <w:t xml:space="preserve">zdarzeń będących podstawą do wszczęcia reklamacji </w:t>
      </w:r>
      <w:r w:rsidRPr="00CE1978">
        <w:rPr>
          <w:rFonts w:ascii="Times New Roman" w:hAnsi="Times New Roman" w:cs="Times New Roman"/>
          <w:color w:val="000000" w:themeColor="text1"/>
          <w:sz w:val="24"/>
          <w:szCs w:val="24"/>
        </w:rPr>
        <w:t>–</w:t>
      </w:r>
      <w:r w:rsidRPr="00CE1978">
        <w:rPr>
          <w:rFonts w:ascii="Times New Roman" w:hAnsi="Times New Roman" w:cs="Times New Roman"/>
          <w:b/>
          <w:bCs/>
          <w:color w:val="000000" w:themeColor="text1"/>
          <w:sz w:val="24"/>
          <w:szCs w:val="24"/>
        </w:rPr>
        <w:t xml:space="preserve"> art. 74</w:t>
      </w:r>
    </w:p>
    <w:p w14:paraId="59BA7489" w14:textId="03B9562B"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W związku ze zmianami w zakresie postępowania reklamacyjnego jakie wprowadza ustawa Pke w porównaniu do dotychczas obowiązujących przepisów Pt zasadne jest wskazanie w przepisie przejściowym, iż do zdarzeń lub sytuacji będących podstawą do wszczęcia reklamacji, o której mowa w art. 106 Pt, zaistniałych przed dniem wejścia w życie ustawy Pke, stosuje się przepisy dotychczasowe;</w:t>
      </w:r>
    </w:p>
    <w:p w14:paraId="6115909F" w14:textId="49614408" w:rsidR="007C3C61" w:rsidRPr="00CE1978" w:rsidRDefault="007C3C61" w:rsidP="00F91F34">
      <w:pPr>
        <w:numPr>
          <w:ilvl w:val="0"/>
          <w:numId w:val="3"/>
        </w:numPr>
        <w:tabs>
          <w:tab w:val="left" w:pos="426"/>
        </w:tabs>
        <w:spacing w:before="120" w:after="0" w:line="360" w:lineRule="auto"/>
        <w:ind w:left="0" w:firstLine="0"/>
        <w:jc w:val="both"/>
        <w:rPr>
          <w:rFonts w:ascii="Times New Roman" w:hAnsi="Times New Roman" w:cs="Times New Roman"/>
          <w:color w:val="000000" w:themeColor="text1"/>
          <w:sz w:val="24"/>
          <w:szCs w:val="24"/>
        </w:rPr>
      </w:pPr>
      <w:r w:rsidRPr="00CE1978">
        <w:rPr>
          <w:rFonts w:ascii="Times New Roman" w:hAnsi="Times New Roman" w:cs="Times New Roman"/>
          <w:b/>
          <w:bCs/>
          <w:color w:val="000000" w:themeColor="text1"/>
          <w:sz w:val="24"/>
          <w:szCs w:val="24"/>
        </w:rPr>
        <w:t xml:space="preserve">planów zagospodarowania częstotliwości </w:t>
      </w:r>
      <w:r w:rsidRPr="00CE1978">
        <w:rPr>
          <w:rFonts w:ascii="Times New Roman" w:hAnsi="Times New Roman" w:cs="Times New Roman"/>
          <w:color w:val="000000" w:themeColor="text1"/>
          <w:sz w:val="24"/>
          <w:szCs w:val="24"/>
        </w:rPr>
        <w:t>–</w:t>
      </w:r>
      <w:r w:rsidRPr="00CE1978">
        <w:rPr>
          <w:rFonts w:ascii="Times New Roman" w:hAnsi="Times New Roman" w:cs="Times New Roman"/>
          <w:b/>
          <w:bCs/>
          <w:color w:val="000000" w:themeColor="text1"/>
          <w:sz w:val="24"/>
          <w:szCs w:val="24"/>
        </w:rPr>
        <w:t xml:space="preserve"> art. 75</w:t>
      </w:r>
    </w:p>
    <w:p w14:paraId="135A1056" w14:textId="77777777"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Przepis ma na celu wyeliminowanie jakichkolwiek wątpliwości, iż plany zagospodarowania częstotliwości ustalone na podstawie ustawy Prawo telekomunikacyjne zachowują moc. Pozwoli to na kontynuowanie przez Prezesa UKE gospodarki zasobami częstotliwości bez konieczności wydawania nowych planów zagospodarowania częstotliwości;</w:t>
      </w:r>
    </w:p>
    <w:p w14:paraId="01316E4A" w14:textId="77F5F44B" w:rsidR="007C3C61" w:rsidRPr="00CE1978" w:rsidRDefault="007C3C61" w:rsidP="00F91F34">
      <w:pPr>
        <w:numPr>
          <w:ilvl w:val="0"/>
          <w:numId w:val="3"/>
        </w:numPr>
        <w:tabs>
          <w:tab w:val="left" w:pos="426"/>
        </w:tabs>
        <w:spacing w:before="120" w:after="0" w:line="360" w:lineRule="auto"/>
        <w:ind w:left="0" w:firstLine="0"/>
        <w:jc w:val="both"/>
        <w:rPr>
          <w:rFonts w:ascii="Times New Roman" w:hAnsi="Times New Roman" w:cs="Times New Roman"/>
          <w:b/>
          <w:bCs/>
          <w:color w:val="000000" w:themeColor="text1"/>
          <w:sz w:val="24"/>
          <w:szCs w:val="24"/>
        </w:rPr>
      </w:pPr>
      <w:r w:rsidRPr="00CE1978">
        <w:rPr>
          <w:rFonts w:ascii="Times New Roman" w:hAnsi="Times New Roman" w:cs="Times New Roman"/>
          <w:b/>
          <w:bCs/>
          <w:color w:val="000000" w:themeColor="text1"/>
          <w:sz w:val="24"/>
          <w:szCs w:val="24"/>
        </w:rPr>
        <w:t xml:space="preserve">rezerwacji częstotliwości </w:t>
      </w:r>
      <w:r w:rsidRPr="00CE1978">
        <w:rPr>
          <w:rFonts w:ascii="Times New Roman" w:hAnsi="Times New Roman" w:cs="Times New Roman"/>
          <w:color w:val="000000" w:themeColor="text1"/>
          <w:sz w:val="24"/>
          <w:szCs w:val="24"/>
        </w:rPr>
        <w:t>–</w:t>
      </w:r>
      <w:r w:rsidRPr="00CE1978">
        <w:rPr>
          <w:rFonts w:ascii="Times New Roman" w:hAnsi="Times New Roman" w:cs="Times New Roman"/>
          <w:b/>
          <w:bCs/>
          <w:color w:val="000000" w:themeColor="text1"/>
          <w:sz w:val="24"/>
          <w:szCs w:val="24"/>
        </w:rPr>
        <w:t xml:space="preserve"> art. 76</w:t>
      </w:r>
    </w:p>
    <w:p w14:paraId="6060C574" w14:textId="77777777"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Przepis ma na celu wyeliminowanie jakichkolwiek wątpliwości, iż decyzje w sprawie rezerwacji częstotliwości wydane na podstawie ustawy Pt zachowują moc, a co więcej są tożsame z rezerwacjami częstotliwości w rozumieniu ustawy Pke. Konieczność wprowadzenia w tym zakresie regulacji szczegółowej wynika ze specyfiki decyzji dającej prawo do dysponowania, przez określony czas nie dłuższy niż 15 lat, wskazanym zasobem częstotliwości;</w:t>
      </w:r>
    </w:p>
    <w:p w14:paraId="7B83D24C" w14:textId="042962C5"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bCs/>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postępowań w sprawie dokonania, zmiany i cofnięcia rezerwacji częstotliwości </w:t>
      </w:r>
      <w:r w:rsidRPr="00CE1978">
        <w:rPr>
          <w:rFonts w:ascii="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77</w:t>
      </w:r>
    </w:p>
    <w:p w14:paraId="0B27AD24"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Przepis przesądza, że do postępowań będących postępowaniami administracyjnymi (zatem nie obejmuje on postępowań selekcyjnych) w sprawie dokonania, zmiany oraz cofnięcia rezerwacji częstotliwości, wszczętych i niezakończonych przed dniem wejścia w życie ustawy Pke stosuje się przepisy dotychczasowe, czyli przepisy ustawy Pt.</w:t>
      </w:r>
    </w:p>
    <w:p w14:paraId="0C29F78D"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Do postępowań w sprawie dokonania na kolejny okres rezerwacji częstotliwości zharmonizowanych, wszczętych i niezakończonych przed dniem wejścia w życie ustawy, stosuje się przepisy ustawy Pke. </w:t>
      </w:r>
    </w:p>
    <w:p w14:paraId="410A9BE9"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Ze względu na fakt, że ustawa Pke nie przewiduje instytucji odnowienia rezerwacji częstotliwości innych niż częstotliwości zharmonizowane, postępowania w sprawie dokonania </w:t>
      </w:r>
      <w:r w:rsidRPr="00CE1978">
        <w:rPr>
          <w:rFonts w:ascii="Times New Roman" w:eastAsia="Times New Roman" w:hAnsi="Times New Roman" w:cs="Times New Roman"/>
          <w:color w:val="000000" w:themeColor="text1"/>
          <w:sz w:val="24"/>
          <w:szCs w:val="24"/>
        </w:rPr>
        <w:lastRenderedPageBreak/>
        <w:t>na kolejny okres rezerwacji częstotliwości z zakresów niezharmonizowanych, wszczęte i niezakończone przed wejściem w życie ustawy Pke umarza się;</w:t>
      </w:r>
    </w:p>
    <w:p w14:paraId="4F0C229E" w14:textId="5DADFB17"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ogłoszonych postępowań selekcyjnych </w:t>
      </w:r>
      <w:r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78</w:t>
      </w:r>
    </w:p>
    <w:p w14:paraId="1F98F399"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Przepis określa, że do postępowań selekcyjnych (aukcja, przetarg, konkurs), ogłoszonych przed dniem wejścia w życie ustawy Pke stosuje się przepisy dotychczasowe, czyli przepisy ustawy Pt. Także do postępowań w sprawie dokonania rezerwacji częstotliwości po przeprowadzeniu postępowania selekcyjnego ogłoszonego przed wejściem w życie ustawy Pke stosować się będzie przepisy dotychczasowe;</w:t>
      </w:r>
    </w:p>
    <w:p w14:paraId="49C5F326" w14:textId="6BA39E3A"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przydziałów numeracji </w:t>
      </w:r>
      <w:r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79</w:t>
      </w:r>
    </w:p>
    <w:p w14:paraId="4A0DC5FB" w14:textId="575CBCE0"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Przepis ma na celu wyeliminowanie jakichkolwiek wątpliwości, iż decyzje w sprawie przydziału numeracji wydane na podstawie art. 126 Pt są tożsame z decyzjami w sprawie przyznania prawa do wykorzystywania zasobów numeracji w rozumieniu ustawy Pke. Ponadto rozstrzyga się, że do postępowań w sprawie przydziału numeracji wszczętych na podstawie art. 126 ust. 1 Pt, i niezakończonych przed dniem wejścia w życie Pke, stosuje się przepisy Pt. Podobnie do przetargu wszczętego w celu przydziału zasobów numeracji, o które ubiega się więcej niż jeden podmiot ogłoszonego i niezakończonego przed dniem wejścia w życie Pke stosuje się dotychczasowe przepisy Pt. Do postępowań w sprawie cofnięcia przydziału numeracji lub zmiany jego zakresu wszczętych i niezakończonych przed dniem wejścia w życie Pke stosuje się przepisy dotychczasowe;</w:t>
      </w:r>
    </w:p>
    <w:p w14:paraId="0D710B79" w14:textId="13BA5CD1"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postępowań w sprawie dokonania, zmiany i cofnięcia pozwolenia radiowego </w:t>
      </w:r>
      <w:r w:rsidRPr="00CE1978">
        <w:rPr>
          <w:rFonts w:ascii="Times New Roman" w:eastAsia="Times New Roman" w:hAnsi="Times New Roman" w:cs="Times New Roman"/>
          <w:b/>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80</w:t>
      </w:r>
    </w:p>
    <w:p w14:paraId="44D1D9E7"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Przepis przesądza, że do postępowań będących postępowaniami administracyjnymi w sprawie dokonania, zmiany oraz cofnięcia pozwolenia radiowego, wszczętych i niezakończonych przed dniem wejścia w życie ustawy Pke stosuje się przepisy dotychczasowe, czyli przepisy ustawy Pt;</w:t>
      </w:r>
    </w:p>
    <w:p w14:paraId="644F7D0B" w14:textId="7A27B52C"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pozwoleń radiowych </w:t>
      </w:r>
      <w:r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81</w:t>
      </w:r>
    </w:p>
    <w:p w14:paraId="587CF892"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Przepis ma na celu wyeliminowanie jakichkolwiek wątpliwości, iż pozwolenia radiowe wydane na podstawie ustawy Pt zachowują moc, a co więcej są tożsame z pozwoleniami radiowymi w rozumieniu ustawy Pke. Konieczność wprowadzenia w tym zakresie regulacji szczegółowej wynika ze specyfiki decyzji dającej prawo do korzystania, przez określony czas, z określonego zasobu częstotliwości;</w:t>
      </w:r>
    </w:p>
    <w:p w14:paraId="4D58D041" w14:textId="768B651C" w:rsidR="007C3C61" w:rsidRPr="00CE1978" w:rsidRDefault="007C3C61" w:rsidP="00F91F34">
      <w:pPr>
        <w:keepNext/>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lastRenderedPageBreak/>
        <w:t xml:space="preserve">decyzji w sprawie czasowego używania urządzeń radiowych </w:t>
      </w:r>
      <w:r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82</w:t>
      </w:r>
    </w:p>
    <w:p w14:paraId="633A37EF"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Ustawa przesądza, że decyzje dotyczące czasowego używania urządzenia radiowego zachowują moc i stają się odpowiednio decyzjami w tym zakresie regulowanymi przez ustawę Pke;</w:t>
      </w:r>
    </w:p>
    <w:p w14:paraId="4B80C25C" w14:textId="2B498371"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rejestru urządzeń radiowych używanych bez pozwolenia </w:t>
      </w:r>
      <w:r w:rsidRPr="00CE1978">
        <w:rPr>
          <w:rFonts w:ascii="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83 i art. </w:t>
      </w:r>
      <w:r w:rsidR="00BD12D1" w:rsidRPr="00CE1978">
        <w:rPr>
          <w:rFonts w:ascii="Times New Roman" w:eastAsia="Times New Roman" w:hAnsi="Times New Roman" w:cs="Times New Roman"/>
          <w:b/>
          <w:bCs/>
          <w:color w:val="000000" w:themeColor="text1"/>
          <w:sz w:val="24"/>
          <w:szCs w:val="24"/>
        </w:rPr>
        <w:t xml:space="preserve">102 </w:t>
      </w:r>
    </w:p>
    <w:p w14:paraId="25AD2AE6"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Przepisy utrzymują kompleksowo w mocy funkcjonujący na podstawie ustawy Pt rejestr urządzeń;</w:t>
      </w:r>
    </w:p>
    <w:p w14:paraId="7F538D79" w14:textId="0BDD0475"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wiadectw operatora urządzeń radiowych </w:t>
      </w:r>
      <w:r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84</w:t>
      </w:r>
    </w:p>
    <w:p w14:paraId="43674595"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Przepis ma na celu wyeliminowanie jakichkolwiek wątpliwości, iż świadectwa operatora urządzeń radiowych w służbie radiokomunikacyjnej lotniczej, morskiej i żeglugi śródlądowej wydane na podstawie ustawy Pt zachowują moc.</w:t>
      </w:r>
    </w:p>
    <w:p w14:paraId="6BE52AE3"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Jednocześnie świadectwo operatora urządzeń radiowych w służbie radiokomunikacyjnej amatorskiej zachowuje moc i staje się świadectwem operatora urządzeń radiowych w służbie radiokomunikacyjnej amatorskiej w rozumieniu ustawy Pke.</w:t>
      </w:r>
    </w:p>
    <w:p w14:paraId="51AB246D" w14:textId="255ADBC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Przepis przewiduje również zachowanie okresu przejściowego umożliwiającego dostosowanie organów administracji morskiej do nowych obowiązków wynikających ze zmiany ustawy o bezpieczeństwie morskim w zakresie świadectw operatora urządzeń radiowych w służbie radiokomunikacyjnej morskiej. Do dnia 31 grudnia 2021 r. kwestie uzyskiwania kwalifikacji w służbie radiokomunikacyjnej morskiej pozostaną bez zmian na dotychczasowych zasadach. Od dnia 1 stycznia 2022 r. obowiązki te przejmie minister właściwy do spraw gospodarki morskiej. Do tego czasu zostaną opracowane nowe przepisy w przedmiotowym zakresie. Zastosowanie takiego okresu przejściowego pozwoli na płynne przejęcie nowych obowiązków, w tym przejęcie bazy danych, zorganizowanie możliwości przeprowadzania egzaminów w nowej formule czy zaplanowanie środków finansowych na nowy rok budżetowy. Sztywne ustalenie daty przejęcia obowiązków ułatwi również planowanie uzyskiwania świadectw lub ich odnawianie przez samych zainteresowanych, czyli marynarzy, którzy z wyprzedzeniem będą wiedzieli od kiedy kompetencje zostaną przeniesione do ministra właściwego do spraw gospodarki morskiej.</w:t>
      </w:r>
    </w:p>
    <w:p w14:paraId="2DA13B0C" w14:textId="7E4AEC3F" w:rsidR="007C3C61" w:rsidRPr="00CE1978" w:rsidRDefault="007C3C61" w:rsidP="00F91F34">
      <w:pPr>
        <w:keepNext/>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lastRenderedPageBreak/>
        <w:t xml:space="preserve">wspólnego wykonywania lub powierzenia wykonania obowiązków, o których mowa w art. 47 ust. 1 pkt 1, art. 49 oraz art. 51 ust. 1 Pke </w:t>
      </w:r>
      <w:r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85 i art. 88</w:t>
      </w:r>
    </w:p>
    <w:p w14:paraId="1D62FFD9" w14:textId="5F56317A"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85 odnosi się do kwestii wspólnego wykonywania przez dwóch lub więcej</w:t>
      </w:r>
      <w:r w:rsidRPr="00CE1978">
        <w:rPr>
          <w:rFonts w:ascii="Times New Roman" w:eastAsia="Times New Roman" w:hAnsi="Times New Roman" w:cs="Times New Roman"/>
          <w:b/>
          <w:bCs/>
          <w:color w:val="000000" w:themeColor="text1"/>
          <w:sz w:val="24"/>
          <w:szCs w:val="24"/>
        </w:rPr>
        <w:t xml:space="preserve"> </w:t>
      </w:r>
      <w:r w:rsidRPr="00CE1978">
        <w:rPr>
          <w:rFonts w:ascii="Times New Roman" w:eastAsia="Times New Roman" w:hAnsi="Times New Roman" w:cs="Times New Roman"/>
          <w:color w:val="000000" w:themeColor="text1"/>
          <w:sz w:val="24"/>
          <w:szCs w:val="24"/>
        </w:rPr>
        <w:t xml:space="preserve">operatorów lub dostawców publicznie dostępnych usług telekomunikacyjnych obowiązków, o których mowa w art. 180a ust. 1 Pt, w zakresie przechowywania określonych danych telekomunikacyjnych i ich udostępniania uprawnionym podmiotom, a także powierzenia wykonywania tych obowiązków innemu przedsiębiorcy, na podstawie dotychczasowego art. 180b ust. 1 i 2 Pt. W związku z zastąpieniem w/w przepisów Pt przez </w:t>
      </w:r>
      <w:r w:rsidR="00CF7D37" w:rsidRPr="00CE1978">
        <w:rPr>
          <w:rFonts w:ascii="Times New Roman" w:eastAsia="Times New Roman" w:hAnsi="Times New Roman" w:cs="Times New Roman"/>
          <w:color w:val="000000" w:themeColor="text1"/>
          <w:sz w:val="24"/>
          <w:szCs w:val="24"/>
        </w:rPr>
        <w:t xml:space="preserve">przepisy </w:t>
      </w:r>
      <w:r w:rsidRPr="00CE1978">
        <w:rPr>
          <w:rFonts w:ascii="Times New Roman" w:eastAsia="Times New Roman" w:hAnsi="Times New Roman" w:cs="Times New Roman"/>
          <w:color w:val="000000" w:themeColor="text1"/>
          <w:sz w:val="24"/>
          <w:szCs w:val="24"/>
        </w:rPr>
        <w:t>Pke zasadne jest zobowiązanie operatorów lub dostawców o wskazanie Prezesowi UKE w terminie 6 miesięcy od dnia wejścia w życie niniejszej ustawy operatora lub dostawcę, wspólnie z którym będzie wykonywał w/w obowiązek lub przedsiębiorcę telekomunikacyjnego któremu powierzył realizację tego obowiązku;</w:t>
      </w:r>
    </w:p>
    <w:p w14:paraId="79FDDC0E" w14:textId="29CDA53D"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kontroli wykonywania działalności gospodarczej </w:t>
      </w:r>
      <w:r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86</w:t>
      </w:r>
    </w:p>
    <w:p w14:paraId="1AEFF615"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W celu zachowania przewidywalności i ciągłości prawnej, przepisy przejściowe zapewniają, że do kontroli, postępowania pokontrolnego oraz innych postępowań dotyczących decyzji w sprawie nałożenia kar pieniężnych, o których mowa art. 209 Pt, prowadzonych na podstawie ustawy Prawo telekomunikacyjne wszczętych i niezakończonych przed dniem wejścia w życie ustawy Pke stosuje się przepisy dotychczasowe. Wskazanie, że również do decyzji w przedmiocie nałożenia kar pieniężnych, o których mowa w art. 209 Pt, należy stosować przepisy dotychczasowe ma na celu wyłączenie reguły określonej w art. 189c Kodeksu postępowania administracyjnego (</w:t>
      </w:r>
      <w:r w:rsidRPr="00CE1978">
        <w:rPr>
          <w:rFonts w:ascii="Times New Roman" w:eastAsia="Times New Roman" w:hAnsi="Times New Roman" w:cs="Times New Roman"/>
          <w:bCs/>
          <w:color w:val="000000" w:themeColor="text1"/>
          <w:sz w:val="24"/>
          <w:szCs w:val="24"/>
        </w:rPr>
        <w:t>zasada zastosowania przepisu względniejszego dla stron, w przypadku zmiany przepisów w trakcie wydawania decyzji).</w:t>
      </w:r>
    </w:p>
    <w:p w14:paraId="02C033D0"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W konsekwencji powyższych zmian również czynności podjęte w ramach kontroli dokonane przed dniem wejścia w życie ustawy Pke zachowują ważność;</w:t>
      </w:r>
    </w:p>
    <w:p w14:paraId="22905E2C" w14:textId="1DA23C8B"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t>postępowań sądowych i sądowoadministracyjnych wszczętych na skutek odwołań od decyzji Prezesa UKE i zażaleń na postanowienia wydane przez Prezesa UKE – art. 87</w:t>
      </w:r>
    </w:p>
    <w:p w14:paraId="17798CE4"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Wprowadzenie zmian w Pke w katalogu decyzji i postanowień Prezesa UKE, od których przysługuje odwołanie i zażalenie do Sądu Okręgowego w Warszawie – Sądu Ochrony Konkurencji i Konsumentów spowodowało konieczność uregulowania kwestii intertemporalnych odnoszących się do postępowań sadowych i sądowoaministracyjnych wszczętych i niezakończonych przed dniem wejścia w życie Pke.</w:t>
      </w:r>
    </w:p>
    <w:p w14:paraId="2D1EB536"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W przepisie przesądzono, iż stosuje się przepisy dotychczasowe;</w:t>
      </w:r>
    </w:p>
    <w:p w14:paraId="0E1A9CCE" w14:textId="7A16E604"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lastRenderedPageBreak/>
        <w:t xml:space="preserve">utrzymania w mocy decyzji oraz stosowane przepisy prawa </w:t>
      </w:r>
      <w:r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88</w:t>
      </w:r>
    </w:p>
    <w:p w14:paraId="2DFE498D"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Przepis zapewnia utrzymanie w mocy decyzji i postanowień wydanych na podstawie Pt przed wejściem w życie Pke. Artykuł będzie obejmował w szczególności decyzje wydane na podstawie następujących przepisów Pt:</w:t>
      </w:r>
    </w:p>
    <w:p w14:paraId="0F588157"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23 ust. 1 pkt 2 Pt – decyzja o określeniu rynku właściwego, stwierdzeniu, że na tym rynku występuje skuteczna konkurencja oraz uchyleniu nałożonych obowiązków regulacyjnych,</w:t>
      </w:r>
    </w:p>
    <w:p w14:paraId="51669549" w14:textId="54C75170" w:rsidR="007C3C61" w:rsidRPr="00532F3A"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24</w:t>
      </w:r>
      <w:r w:rsidRPr="00532F3A">
        <w:rPr>
          <w:rFonts w:ascii="Times New Roman" w:eastAsia="Times New Roman" w:hAnsi="Times New Roman" w:cs="Times New Roman"/>
          <w:color w:val="000000" w:themeColor="text1"/>
          <w:sz w:val="24"/>
          <w:szCs w:val="24"/>
        </w:rPr>
        <w:t xml:space="preserve"> Pt – decyzja o określeniu rynku właściwego, wyznaczeniu przedsiębiorcy telekomunikacyjnego o znaczącej pozycji rynkowej lub przedsiębiorców telekomunikacyjnych zajmujących kolektywną pozycję znaczącą, nałożeniu, utrzymaniu, zmianie lub uchyleniu obowiązków regulacyjnych, </w:t>
      </w:r>
    </w:p>
    <w:p w14:paraId="6779F193" w14:textId="77777777" w:rsidR="007C3C61" w:rsidRPr="00532F3A"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art. 28 ust. 1 Pt – decyzja o dostępie telekomunikacyjnym,</w:t>
      </w:r>
    </w:p>
    <w:p w14:paraId="4C358F5C" w14:textId="77777777" w:rsidR="007C3C61" w:rsidRPr="00532F3A"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art. 28 ust. 6 Pt – zmiana decyzji o dostępie telekomunikacyjnym,</w:t>
      </w:r>
    </w:p>
    <w:p w14:paraId="3DC99909"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29 Pt – zmiana treści umowy o dostępie telekomunikacyjnym lub zo</w:t>
      </w:r>
      <w:r w:rsidRPr="00C10C7D">
        <w:rPr>
          <w:rFonts w:ascii="Times New Roman" w:eastAsia="Times New Roman" w:hAnsi="Times New Roman" w:cs="Times New Roman"/>
          <w:color w:val="000000" w:themeColor="text1"/>
          <w:sz w:val="24"/>
          <w:szCs w:val="24"/>
        </w:rPr>
        <w:t>bowiązanie stron umowy do jej zmiany,</w:t>
      </w:r>
    </w:p>
    <w:p w14:paraId="7A00B539"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30 ust. 1 Pt – zmiana umowy o dostępie telekomunikacyjnym,</w:t>
      </w:r>
    </w:p>
    <w:p w14:paraId="08354C70"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39 ust. 4 Pt – ustalenie wysokości opłat z tytułu dostępu telekomunikacyjnego lub ich maksymalnego albo minimalnego poziomu,</w:t>
      </w:r>
    </w:p>
    <w:p w14:paraId="7FC21A8F" w14:textId="5D6CDB03" w:rsidR="007C3C61" w:rsidRPr="00532F3A"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art. 40 ust. 4 Pt – w przypadku, gdy wysokość opłat ustalonych przez operatora jest nieprawidłowa </w:t>
      </w:r>
      <w:r w:rsidR="00532F3A">
        <w:rPr>
          <w:rFonts w:ascii="Times New Roman" w:eastAsia="Times New Roman" w:hAnsi="Times New Roman" w:cs="Times New Roman"/>
          <w:color w:val="000000" w:themeColor="text1"/>
          <w:sz w:val="24"/>
          <w:szCs w:val="24"/>
        </w:rPr>
        <w:t>–</w:t>
      </w:r>
      <w:r w:rsidRPr="00532F3A">
        <w:rPr>
          <w:rFonts w:ascii="Times New Roman" w:eastAsia="Times New Roman" w:hAnsi="Times New Roman" w:cs="Times New Roman"/>
          <w:color w:val="000000" w:themeColor="text1"/>
          <w:sz w:val="24"/>
          <w:szCs w:val="24"/>
        </w:rPr>
        <w:t xml:space="preserve"> ustalenie wysokości opłat z tytułu dostępu telekomunikacyjnego lub ich maksymalnego albo minimalnego poziomu,</w:t>
      </w:r>
    </w:p>
    <w:p w14:paraId="5481D0CA" w14:textId="45F32626" w:rsidR="007C3C61" w:rsidRPr="00532F3A"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 xml:space="preserve">43 ust. 1 Pt – zatwierdzenie projektu oferty ramowej albo zmiana przedłożonego projektu oferty ramowej i jego zatwierdzenie, a w przypadku nieprzedstawienia oferty ramowej </w:t>
      </w:r>
      <w:r w:rsidRPr="00CE1978">
        <w:rPr>
          <w:rFonts w:ascii="Times New Roman" w:eastAsia="Times New Roman" w:hAnsi="Times New Roman" w:cs="Times New Roman"/>
          <w:color w:val="000000" w:themeColor="text1"/>
          <w:sz w:val="24"/>
          <w:szCs w:val="24"/>
        </w:rPr>
        <w:t xml:space="preserve">w terminie </w:t>
      </w:r>
      <w:r w:rsidR="00532F3A">
        <w:rPr>
          <w:rFonts w:ascii="Times New Roman" w:eastAsia="Times New Roman" w:hAnsi="Times New Roman" w:cs="Times New Roman"/>
          <w:color w:val="000000" w:themeColor="text1"/>
          <w:sz w:val="24"/>
          <w:szCs w:val="24"/>
        </w:rPr>
        <w:t>–</w:t>
      </w:r>
      <w:r w:rsidRPr="00532F3A">
        <w:rPr>
          <w:rFonts w:ascii="Times New Roman" w:eastAsia="Times New Roman" w:hAnsi="Times New Roman" w:cs="Times New Roman"/>
          <w:color w:val="000000" w:themeColor="text1"/>
          <w:sz w:val="24"/>
          <w:szCs w:val="24"/>
        </w:rPr>
        <w:t xml:space="preserve"> samodzielne ustalenie oferty ramowej,</w:t>
      </w:r>
    </w:p>
    <w:p w14:paraId="1333C481" w14:textId="0DB1AA81" w:rsidR="007C3C61" w:rsidRPr="00532F3A"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 xml:space="preserve">art. 43 ust. 2 Pt – zobowiązanie operatora do przygotowania zmiany oferty ramowej, a w przypadku nieprzedstawienia przez zobowiązanego operatora zmiany oferty ramowej w określonym terminie </w:t>
      </w:r>
      <w:r w:rsidR="00532F3A">
        <w:rPr>
          <w:rFonts w:ascii="Times New Roman" w:eastAsia="Times New Roman" w:hAnsi="Times New Roman" w:cs="Times New Roman"/>
          <w:color w:val="000000" w:themeColor="text1"/>
          <w:sz w:val="24"/>
          <w:szCs w:val="24"/>
        </w:rPr>
        <w:t>–</w:t>
      </w:r>
      <w:r w:rsidRPr="00532F3A">
        <w:rPr>
          <w:rFonts w:ascii="Times New Roman" w:eastAsia="Times New Roman" w:hAnsi="Times New Roman" w:cs="Times New Roman"/>
          <w:color w:val="000000" w:themeColor="text1"/>
          <w:sz w:val="24"/>
          <w:szCs w:val="24"/>
        </w:rPr>
        <w:t xml:space="preserve"> samodzielne ustalenie zmiany oferty ramowej,</w:t>
      </w:r>
    </w:p>
    <w:p w14:paraId="44064AA7" w14:textId="77777777" w:rsidR="007C3C61" w:rsidRPr="00532F3A"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 xml:space="preserve">art. 45 Pt – nałożenie na przedsiębiorcę telekomunikacyjnego kontrolującego dostęp do użytkowników końcowych obowiązków regulacyjnych niezbędnych do zapewnienia użytkownikom końcowym tego przedsiębiorcy telekomunikacyjnego komunikowania się z </w:t>
      </w:r>
      <w:r w:rsidRPr="00532F3A">
        <w:rPr>
          <w:rFonts w:ascii="Times New Roman" w:eastAsia="Times New Roman" w:hAnsi="Times New Roman" w:cs="Times New Roman"/>
          <w:color w:val="000000" w:themeColor="text1"/>
          <w:sz w:val="24"/>
          <w:szCs w:val="24"/>
        </w:rPr>
        <w:lastRenderedPageBreak/>
        <w:t>użytkownikami innego przedsiębiorcy telekomunikacyjnego, w tym obowiązku wzajemnego połączenia sieci,</w:t>
      </w:r>
    </w:p>
    <w:p w14:paraId="406AAE94"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53 ust. 1 Pt – określeni</w:t>
      </w:r>
      <w:r w:rsidRPr="00C10C7D">
        <w:rPr>
          <w:rFonts w:ascii="Times New Roman" w:eastAsia="Times New Roman" w:hAnsi="Times New Roman" w:cs="Times New Roman"/>
          <w:color w:val="000000" w:themeColor="text1"/>
          <w:sz w:val="24"/>
          <w:szCs w:val="24"/>
        </w:rPr>
        <w:t>e wskaźnika zwrotu kosztu zaangażowanego kapitału,</w:t>
      </w:r>
    </w:p>
    <w:p w14:paraId="57B8294C"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53 ust. 2 Pt – zatwierdzanie instrukcji i opisu kalkulacji kosztów,</w:t>
      </w:r>
    </w:p>
    <w:p w14:paraId="4F153807"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54 Pt – obowiązek publikowania na BIP UKE zatwierdzonego opisu kalkulacji kosztów, instrukcji w zakresie rachunkowości regulacyjnej,</w:t>
      </w:r>
    </w:p>
    <w:p w14:paraId="7C134233" w14:textId="1584E26C" w:rsidR="007C3C61" w:rsidRPr="00532F3A"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art. 96 ust. 3 – 4 Pt </w:t>
      </w:r>
      <w:r w:rsidR="00532F3A">
        <w:rPr>
          <w:rFonts w:ascii="Times New Roman" w:eastAsia="Times New Roman" w:hAnsi="Times New Roman" w:cs="Times New Roman"/>
          <w:color w:val="000000" w:themeColor="text1"/>
          <w:sz w:val="24"/>
          <w:szCs w:val="24"/>
        </w:rPr>
        <w:t>–</w:t>
      </w:r>
      <w:r w:rsidRPr="00532F3A">
        <w:rPr>
          <w:rFonts w:ascii="Times New Roman" w:eastAsia="Times New Roman" w:hAnsi="Times New Roman" w:cs="Times New Roman"/>
          <w:color w:val="000000" w:themeColor="text1"/>
          <w:sz w:val="24"/>
          <w:szCs w:val="24"/>
        </w:rPr>
        <w:t xml:space="preserve"> przyznanie dopłaty do kosztu świadczenia usług wchodzących w skład usługi powszechnej bądź odmowa jej przyznania,</w:t>
      </w:r>
    </w:p>
    <w:p w14:paraId="09DFA0AE" w14:textId="36BF370C" w:rsidR="007C3C61" w:rsidRPr="00532F3A"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 xml:space="preserve">art. 98 ust. 1 i 2 Pt </w:t>
      </w:r>
      <w:r w:rsidR="00532F3A">
        <w:rPr>
          <w:rFonts w:ascii="Times New Roman" w:eastAsia="Times New Roman" w:hAnsi="Times New Roman" w:cs="Times New Roman"/>
          <w:color w:val="000000" w:themeColor="text1"/>
          <w:sz w:val="24"/>
          <w:szCs w:val="24"/>
        </w:rPr>
        <w:t>–</w:t>
      </w:r>
      <w:r w:rsidRPr="00532F3A">
        <w:rPr>
          <w:rFonts w:ascii="Times New Roman" w:eastAsia="Times New Roman" w:hAnsi="Times New Roman" w:cs="Times New Roman"/>
          <w:color w:val="000000" w:themeColor="text1"/>
          <w:sz w:val="24"/>
          <w:szCs w:val="24"/>
        </w:rPr>
        <w:t xml:space="preserve"> ustalenie przedsiębiorców telekomunikacyjnych obowiązanych do pokrycia dopłaty i wysokości ich udziału w dopłacie oraz ustalenie jednolitego wskaźnika procentowego udziału tych przedsiębiorców telekomunikacyjnych obowiązanych do udziału w pokryciu dopłaty, </w:t>
      </w:r>
    </w:p>
    <w:p w14:paraId="6323FA51"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98 ust. 3 Pt – ustalenie kwoty udziału w pokryciu dopłaty dla przedsiębiorcy te</w:t>
      </w:r>
      <w:r w:rsidRPr="00C10C7D">
        <w:rPr>
          <w:rFonts w:ascii="Times New Roman" w:eastAsia="Times New Roman" w:hAnsi="Times New Roman" w:cs="Times New Roman"/>
          <w:color w:val="000000" w:themeColor="text1"/>
          <w:sz w:val="24"/>
          <w:szCs w:val="24"/>
        </w:rPr>
        <w:t>lekomunikacyjnego,</w:t>
      </w:r>
    </w:p>
    <w:p w14:paraId="7646DDB9"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114 Pt – rezerwacja częstotliwości,</w:t>
      </w:r>
    </w:p>
    <w:p w14:paraId="17B4FC6B"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114a ust. 2 Pt – ustalenie warunków współkorzystania z częstotliwości,</w:t>
      </w:r>
    </w:p>
    <w:p w14:paraId="1544523E"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116 ust. 8 Pt – rezerwacja częstotliwości na kolejny okres,</w:t>
      </w:r>
    </w:p>
    <w:p w14:paraId="7913BEEE"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116 ust. 9–9b Pt – odmowa dokonania rezerwacji na kolejny okres,</w:t>
      </w:r>
    </w:p>
    <w:p w14:paraId="0590A953"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art. 116 ust. 11a Pt – stwierdzenie braku możliwości dokonania rezerwacji na kolejny okres, </w:t>
      </w:r>
    </w:p>
    <w:p w14:paraId="19BC882E"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118d Pt – unieważnienie przetargu/konkursu/aukcji,</w:t>
      </w:r>
    </w:p>
    <w:p w14:paraId="70C11AEF"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118e Pt – uznanie przetargu/konkursu/aukcji za nierozstrzygnięte,</w:t>
      </w:r>
    </w:p>
    <w:p w14:paraId="3B3334F1"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122 ust. 1 Pt – zmiana podmiotu dysponującego rezerwacją częstotliwości,</w:t>
      </w:r>
    </w:p>
    <w:p w14:paraId="3682CD9B"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122 ust. 3 Pt – odmowa zmiany podmiotu dysponującego rezerwacją,</w:t>
      </w:r>
    </w:p>
    <w:p w14:paraId="531674CC"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123 ust. 1 Pt – cofnięcie lub zmiana rezerwacji częstotliwości,</w:t>
      </w:r>
    </w:p>
    <w:p w14:paraId="1F8B8682"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123 ust. 2c Pt – zmiana przydzielonych rezerwacji na częstotliwości o analogicznych właściwościach w celu zapewnienia ładu w gospodarce częstotliwościami oraz zwiększenia efektywności wykorzystywanych częstotliwości,</w:t>
      </w:r>
    </w:p>
    <w:p w14:paraId="46B3FF3F"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123 ust. 6 Pt – odmowa dokonania rezerwacji,</w:t>
      </w:r>
    </w:p>
    <w:p w14:paraId="0253DB73"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art. 123 ust. 7 Pt – odmowa wydania lub cofnięcie pozwolenia radiowego,</w:t>
      </w:r>
    </w:p>
    <w:p w14:paraId="661669CC"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126 Pt – przydział numeracji, odmowa przydziału, cofnięcie,</w:t>
      </w:r>
    </w:p>
    <w:p w14:paraId="04E59899"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131d ust. 2 Pt – rozstrzygnięcie kwestii spornych lub określenie warunków współpracy w sprawie umowy o dostępie do multipleksu,</w:t>
      </w:r>
    </w:p>
    <w:p w14:paraId="771BD5C2"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131f Pt – zmiana treści umowy o dostępie do multipleksu lub zobowiązanie do jej zmiany,</w:t>
      </w:r>
    </w:p>
    <w:p w14:paraId="01E46BD1"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136 ust. 1 Pt – nałożenie obowiązku dostępu do udogodnień towarzyszących,</w:t>
      </w:r>
    </w:p>
    <w:p w14:paraId="3308D99D"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139 ust. 1b Pt – określenie warunków zapewnienia dostępu do infrastruktury telekomunikacyjnej i nieruchomości,</w:t>
      </w:r>
    </w:p>
    <w:p w14:paraId="759127B6"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139 ust. 4 Pt – rozstrzygnięcie sporu w zakresie dostępu do infrastruktury telekomunikacyjnej i nieruchomości,</w:t>
      </w:r>
    </w:p>
    <w:p w14:paraId="5CAD737E"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143 Pt – pozwolenie radiowe,</w:t>
      </w:r>
    </w:p>
    <w:p w14:paraId="053484B7" w14:textId="2383A1A4" w:rsidR="007C3C61" w:rsidRPr="00532F3A"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art. 144a ust. 1 Pt </w:t>
      </w:r>
      <w:r w:rsidR="00532F3A">
        <w:rPr>
          <w:rFonts w:ascii="Times New Roman" w:eastAsia="Times New Roman" w:hAnsi="Times New Roman" w:cs="Times New Roman"/>
          <w:color w:val="000000" w:themeColor="text1"/>
          <w:sz w:val="24"/>
          <w:szCs w:val="24"/>
        </w:rPr>
        <w:t>–</w:t>
      </w:r>
      <w:r w:rsidRPr="00532F3A">
        <w:rPr>
          <w:rFonts w:ascii="Times New Roman" w:eastAsia="Times New Roman" w:hAnsi="Times New Roman" w:cs="Times New Roman"/>
          <w:color w:val="000000" w:themeColor="text1"/>
          <w:sz w:val="24"/>
          <w:szCs w:val="24"/>
        </w:rPr>
        <w:t xml:space="preserve"> zgoda na czasowe używanie urządzenia radiowego w celu zapewnienia okazjonalnego przekazu informacji,</w:t>
      </w:r>
    </w:p>
    <w:p w14:paraId="4AD40F16"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art. 144a ust. 9 Pt – odmowa wydania zgody na czasowe używanie urządzenia radiowego w celu zapewnieni</w:t>
      </w:r>
      <w:r w:rsidRPr="00CE1978">
        <w:rPr>
          <w:rFonts w:ascii="Times New Roman" w:eastAsia="Times New Roman" w:hAnsi="Times New Roman" w:cs="Times New Roman"/>
          <w:color w:val="000000" w:themeColor="text1"/>
          <w:sz w:val="24"/>
          <w:szCs w:val="24"/>
        </w:rPr>
        <w:t>a okazjonalnego przekazu informacji albo cofnięcie takiej zgody,</w:t>
      </w:r>
    </w:p>
    <w:p w14:paraId="44539815"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144b ust. 1 Pt – zezwolenie na czasowe używanie urządzenia radiowego w celu przeprowadzenia badań, testów lub eksperymentów,</w:t>
      </w:r>
    </w:p>
    <w:p w14:paraId="55FE3658"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144b ust. 4 Pt – odmowa wydania lub cofnięcie zezwolenia na czasowe używanie urządzenia radiowego w celu przeprowadzenia badań, testów lub eksperymentów,</w:t>
      </w:r>
    </w:p>
    <w:p w14:paraId="1477AA35"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144b ust. 6 Pt – przedłużenie zezwolenia na czasowe używanie urządzenia radiowego w celu przeprowadzenia badań, testów lub eksperymentów lub odmowa jego przedłużenia,</w:t>
      </w:r>
    </w:p>
    <w:p w14:paraId="4DC97DBB"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144c Pt – wpis do rejestru urządzeń radiowych używanych bez pozwolenia,</w:t>
      </w:r>
    </w:p>
    <w:p w14:paraId="45E95DE7"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144d Pt – wykreślenie wpisu z rejestru urządzeń radiowych używanych bez pozwolenia,</w:t>
      </w:r>
    </w:p>
    <w:p w14:paraId="24C44122"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145 ust. 6 Pt – cofnięcie pozwolenia radiowego w przypadku niewywiązania się przez podmiot z obowiązku informowania o przerwach w wykorzystywaniu częstotliwości trwających powyżej 14 dni,</w:t>
      </w:r>
    </w:p>
    <w:p w14:paraId="18038381"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147 Pt – cofnięcie, zmiana, odmowa wydania pozwolenia radiowego,</w:t>
      </w:r>
    </w:p>
    <w:p w14:paraId="59D8B0A5"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lastRenderedPageBreak/>
        <w:t>art. 148b ust. 1 Pt – zgoda na używanie urządzenia radiowego przez misje dyplomatyczne, urzędy konsularne, zagraniczne misje specjalne oraz przedstawicielstwa organizacji międzynarodowych,</w:t>
      </w:r>
    </w:p>
    <w:p w14:paraId="68FDA067"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art. 148b ust. </w:t>
      </w:r>
      <w:r w:rsidRPr="00CE1978">
        <w:rPr>
          <w:rFonts w:ascii="Times New Roman" w:eastAsia="Times New Roman" w:hAnsi="Times New Roman" w:cs="Times New Roman"/>
          <w:color w:val="000000" w:themeColor="text1"/>
          <w:sz w:val="24"/>
          <w:szCs w:val="24"/>
        </w:rPr>
        <w:t>7 Pt – cofnięcie zgody na używanie urządzenia radiowego przez misje dyplomatyczne, urzędy konsularne, zagraniczne misje specjalne oraz przedstawicielstwa organizacji międzynarodowych,</w:t>
      </w:r>
    </w:p>
    <w:p w14:paraId="64FF6FEC"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150 Pt – świadectwo operatora urządzeń radiowych,</w:t>
      </w:r>
    </w:p>
    <w:p w14:paraId="3675AF24"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175b ust. 2 Pt – obowiązek podania do publicznej wiadomości informacji o wystąpieniu naruszenia bezpieczeństwa lub integralności sieci lub usług,</w:t>
      </w:r>
    </w:p>
    <w:p w14:paraId="5BCCBBF6" w14:textId="77777777"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art. 175c ust. 3 Pt – zakaz stosowania środków mających na celu zapewnienie bezpieczeństwa i integralności sieci, usług oraz przekazu komunikatów związanych ze świadczonymi usługami, </w:t>
      </w:r>
    </w:p>
    <w:p w14:paraId="5853BBEF" w14:textId="30A35AF5"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178 ust. 1 Pt – obowiązki nakładane na przedsiębiorców telekomunikacyjnych w sytuacji wystąpienia szczególnego zagrożenia,</w:t>
      </w:r>
    </w:p>
    <w:p w14:paraId="1F5DAB6C" w14:textId="2DB6BB89" w:rsidR="007C3C61" w:rsidRPr="00CE1978"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179 ust. 6 Pt – czasowe zawieszenie obowiązku zapewnienia warunków dostępu i utrwalania,</w:t>
      </w:r>
    </w:p>
    <w:p w14:paraId="678621C7" w14:textId="69518430" w:rsidR="007C3C61" w:rsidRPr="00532F3A"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201 ust. 3 Pt – decyzje nakazujące usunięcie stwierdzonych nieprawidłowości</w:t>
      </w:r>
      <w:r w:rsidRPr="00532F3A">
        <w:rPr>
          <w:rFonts w:ascii="Times New Roman" w:eastAsia="Times New Roman" w:hAnsi="Times New Roman" w:cs="Times New Roman"/>
          <w:color w:val="000000" w:themeColor="text1"/>
          <w:sz w:val="24"/>
          <w:szCs w:val="24"/>
        </w:rPr>
        <w:t xml:space="preserve"> i ewentualnie nakładające kary,</w:t>
      </w:r>
    </w:p>
    <w:p w14:paraId="1FCABD71" w14:textId="77777777" w:rsidR="007C3C61" w:rsidRPr="00532F3A"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art. 201 ust. 4 Pt – zakaz wykonywania działalności telekomunikacyjnej, zmiana lub cofnięcie rezerwacji częstotliwości, zasobów orbitalnych lub przydziału numeracji,</w:t>
      </w:r>
    </w:p>
    <w:p w14:paraId="3FD24BFA"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art. 202 ust. 1 i 2 Pt – decyzje wydane w związku z podjęciem przez Prezesa UKE działań zmierzających do usunięcia zagrożeń (np. zakazujące używania lub obsługiwania urządzenia radiowego przez osobę ni</w:t>
      </w:r>
      <w:r w:rsidRPr="00C10C7D">
        <w:rPr>
          <w:rFonts w:ascii="Times New Roman" w:eastAsia="Times New Roman" w:hAnsi="Times New Roman" w:cs="Times New Roman"/>
          <w:color w:val="000000" w:themeColor="text1"/>
          <w:sz w:val="24"/>
          <w:szCs w:val="24"/>
        </w:rPr>
        <w:t xml:space="preserve">euprawnioną), </w:t>
      </w:r>
    </w:p>
    <w:p w14:paraId="01B98AF1"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art. 204 ust. 1 Pt – wymienione w tym przepisie decyzje wydawane w przypadku stwierdzenia, że urządzenie powoduje szkodliwe zakłócenia pracy innego urządzenia, </w:t>
      </w:r>
    </w:p>
    <w:p w14:paraId="46140037" w14:textId="77777777" w:rsidR="007C3C61" w:rsidRPr="00C10C7D" w:rsidRDefault="007C3C61" w:rsidP="00F91F34">
      <w:pPr>
        <w:numPr>
          <w:ilvl w:val="0"/>
          <w:numId w:val="12"/>
        </w:numPr>
        <w:spacing w:before="120" w:after="0" w:line="360" w:lineRule="auto"/>
        <w:ind w:left="284" w:hanging="284"/>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art. 209 ust. 1 i 2 Pt – nałożenie kary pieniężnej.</w:t>
      </w:r>
    </w:p>
    <w:p w14:paraId="08590E76" w14:textId="77777777" w:rsidR="007C3C61" w:rsidRPr="00C10C7D"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W celu zachowania przewidywalności i ciągłości prawnej wprowadzono zasadę w ust. 2, że do decyzji z art. 98 ust. 1–3, dotyczących ustalenia przedsiębiorców obowiązanych do pokrycia dopłaty do kosztu netto usługi powszechnej oraz wysokości ich udziału w tej dopłacie będzie się stosować przepisy dotychczasowe. Ten przepis został wprowadzony ze względu na to, że te </w:t>
      </w:r>
      <w:r w:rsidRPr="00C10C7D">
        <w:rPr>
          <w:rFonts w:ascii="Times New Roman" w:eastAsia="Times New Roman" w:hAnsi="Times New Roman" w:cs="Times New Roman"/>
          <w:color w:val="000000" w:themeColor="text1"/>
          <w:sz w:val="24"/>
          <w:szCs w:val="24"/>
        </w:rPr>
        <w:lastRenderedPageBreak/>
        <w:t>decyzje dotyczą spraw sprzed kilku lat, a Pke zmienia krąg podmiotów zobowiązanych do udziału w pokryciu dopłaty oraz sposób jego liczenia. W tych sprawach w toku są postępowania administracyjne prowadzone przez Prezesa UKE w zakresie przyznania dopłaty do kosztów świadczenia usługi powszechnej a przed sądami toczą się postępowania w zakresie decyzji Prezesa UKE o przyznaniu/odmowie przyznania dopłaty.</w:t>
      </w:r>
    </w:p>
    <w:p w14:paraId="5B8C6C21" w14:textId="108C01CA"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Inny wyjątek wprowadzono w </w:t>
      </w:r>
      <w:r w:rsidR="00CF7D37" w:rsidRPr="00C10C7D">
        <w:rPr>
          <w:rFonts w:ascii="Times New Roman" w:eastAsia="Times New Roman" w:hAnsi="Times New Roman" w:cs="Times New Roman"/>
          <w:color w:val="000000" w:themeColor="text1"/>
          <w:sz w:val="24"/>
          <w:szCs w:val="24"/>
        </w:rPr>
        <w:t>ust</w:t>
      </w:r>
      <w:r w:rsidRPr="00C10C7D">
        <w:rPr>
          <w:rFonts w:ascii="Times New Roman" w:eastAsia="Times New Roman" w:hAnsi="Times New Roman" w:cs="Times New Roman"/>
          <w:color w:val="000000" w:themeColor="text1"/>
          <w:sz w:val="24"/>
          <w:szCs w:val="24"/>
        </w:rPr>
        <w:t>. 3, który zapewnia, że do spraw związanych z realizacją obowiązków dotyczących rachunkowości regulacyjnej i kalkulacji kosztów, wynikających z art. 38 ust. 1 i art. 39 ust. 1 Pt i związanych z tym uprawnień Prezesa UKE stosuje się przepisy dotychczasowe</w:t>
      </w:r>
      <w:r w:rsidR="00CF7D37" w:rsidRPr="00CE1978">
        <w:rPr>
          <w:rFonts w:ascii="Times New Roman" w:eastAsia="Times New Roman" w:hAnsi="Times New Roman" w:cs="Times New Roman"/>
          <w:color w:val="000000" w:themeColor="text1"/>
          <w:sz w:val="24"/>
          <w:szCs w:val="24"/>
        </w:rPr>
        <w:t xml:space="preserve"> z uwzględnieniem art. 68 wPke</w:t>
      </w:r>
      <w:r w:rsidRPr="00CE1978">
        <w:rPr>
          <w:rFonts w:ascii="Times New Roman" w:eastAsia="Times New Roman" w:hAnsi="Times New Roman" w:cs="Times New Roman"/>
          <w:color w:val="000000" w:themeColor="text1"/>
          <w:sz w:val="24"/>
          <w:szCs w:val="24"/>
        </w:rPr>
        <w:t>. Powyższy przepis dotyczy w szczególności wszystkich uprawnień Prezesa UKE i obowiązków przedsiębiorców wskazanych w art. 53 i art. 54 Pt. Ponadto ten przepis zapewnia podstawy prawne dla umowy i ustaleń z bi</w:t>
      </w:r>
      <w:r w:rsidR="005A4FC2" w:rsidRPr="00CE1978">
        <w:rPr>
          <w:rFonts w:ascii="Times New Roman" w:eastAsia="Times New Roman" w:hAnsi="Times New Roman" w:cs="Times New Roman"/>
          <w:color w:val="000000" w:themeColor="text1"/>
          <w:sz w:val="24"/>
          <w:szCs w:val="24"/>
        </w:rPr>
        <w:t xml:space="preserve">egłym rewidentem, wynikających </w:t>
      </w:r>
      <w:r w:rsidRPr="00CE1978">
        <w:rPr>
          <w:rFonts w:ascii="Times New Roman" w:eastAsia="Times New Roman" w:hAnsi="Times New Roman" w:cs="Times New Roman"/>
          <w:color w:val="000000" w:themeColor="text1"/>
          <w:sz w:val="24"/>
          <w:szCs w:val="24"/>
        </w:rPr>
        <w:t>z dotychczasowej ustawy, koniecznych ze względu na to, że w 2020 została zawarta umowa pomiędzy UKE a biegłym rewidentem obowiązująca do 2022 roku, która będzie dotyczyć badania rocznych sprawozdań z prowadzonej rachunkowości regulacyjnej oraz wyników kalkulacji kosztów pod kątem zgodności z przepisami prawa oraz zatwierdzonymi przez Prezesa UKE instrukcją i opisem kalkulacji kosztów. Żeby powyższe badanie było możliwe do przeprowadzenia, muszą podczas jego przeprowadzania obowiązywać te same przepisy prawne co podczas sporządzania przez przedsiębiorcę instr</w:t>
      </w:r>
      <w:r w:rsidR="005A4FC2" w:rsidRPr="00CE1978">
        <w:rPr>
          <w:rFonts w:ascii="Times New Roman" w:eastAsia="Times New Roman" w:hAnsi="Times New Roman" w:cs="Times New Roman"/>
          <w:color w:val="000000" w:themeColor="text1"/>
          <w:sz w:val="24"/>
          <w:szCs w:val="24"/>
        </w:rPr>
        <w:t xml:space="preserve">ukcji w zakresie rachunkowości </w:t>
      </w:r>
      <w:r w:rsidRPr="00CE1978">
        <w:rPr>
          <w:rFonts w:ascii="Times New Roman" w:eastAsia="Times New Roman" w:hAnsi="Times New Roman" w:cs="Times New Roman"/>
          <w:color w:val="000000" w:themeColor="text1"/>
          <w:sz w:val="24"/>
          <w:szCs w:val="24"/>
        </w:rPr>
        <w:t>i opisu kalkulacji kosztów oraz sprawozdań z prowadzonej rachunkowości regulacyjnej oraz wyników kalkulacji kosztów;</w:t>
      </w:r>
    </w:p>
    <w:p w14:paraId="351D0EB9" w14:textId="366CA4EB" w:rsidR="007C3C61" w:rsidRPr="00532F3A"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t>postępowania egzekucyjnego dotyczącego udziału w pokryciu kosztu netto – art.</w:t>
      </w:r>
      <w:r w:rsidR="00532F3A">
        <w:rPr>
          <w:rFonts w:ascii="Times New Roman" w:eastAsia="Times New Roman" w:hAnsi="Times New Roman" w:cs="Times New Roman"/>
          <w:b/>
          <w:bCs/>
          <w:color w:val="000000" w:themeColor="text1"/>
          <w:sz w:val="24"/>
          <w:szCs w:val="24"/>
        </w:rPr>
        <w:t xml:space="preserve"> </w:t>
      </w:r>
      <w:r w:rsidRPr="00532F3A">
        <w:rPr>
          <w:rFonts w:ascii="Times New Roman" w:eastAsia="Times New Roman" w:hAnsi="Times New Roman" w:cs="Times New Roman"/>
          <w:b/>
          <w:bCs/>
          <w:color w:val="000000" w:themeColor="text1"/>
          <w:sz w:val="24"/>
          <w:szCs w:val="24"/>
        </w:rPr>
        <w:t>89</w:t>
      </w:r>
    </w:p>
    <w:p w14:paraId="36CA95CA" w14:textId="328FEF22" w:rsidR="007C3C61" w:rsidRPr="00CE1978" w:rsidRDefault="007C3C61" w:rsidP="00F91F34">
      <w:pPr>
        <w:pStyle w:val="Akapitzlist"/>
        <w:spacing w:before="120" w:after="0" w:line="360" w:lineRule="auto"/>
        <w:ind w:left="0"/>
        <w:jc w:val="both"/>
        <w:rPr>
          <w:rFonts w:ascii="Times New Roman" w:hAnsi="Times New Roman" w:cs="Times New Roman"/>
          <w:color w:val="000000" w:themeColor="text1"/>
          <w:sz w:val="24"/>
          <w:szCs w:val="24"/>
        </w:rPr>
      </w:pPr>
      <w:r w:rsidRPr="00532F3A">
        <w:rPr>
          <w:rFonts w:ascii="Times New Roman" w:hAnsi="Times New Roman" w:cs="Times New Roman"/>
          <w:color w:val="000000" w:themeColor="text1"/>
          <w:sz w:val="24"/>
          <w:szCs w:val="24"/>
        </w:rPr>
        <w:t>Art. 367 ust. 7 Pke został zapisany w brzmieniu, które uwzględnia zmiany wynikające z art. 4 ustawy z dnia 4 lipca 2019 r. o zmianie ustawy o postępowaniu egzekucyjnym w administracji oraz niektórych innych ustaw (Dz. U. poz. 1553 i 2070), wprowadzone w związku z planowanym uchyleniem przepisów dotyczących opłaty komorniczej od dnia 1 stycznia 2022 r., i w takiej treści ma obowiązywać dopiero od 1 stycznia 2022 r. Jednakże w związku z tym, że ustawa Pke wejdzie w życie przed 1 stycznia 2022 r., art. 89 wPke reguluje sytuacje dotyczące toczących się wcześniej postępowań egzekucyjnych przeciwko przedsiębiorcy telekomunikacyjnemu, obowiązanemu do udziału w pokryciu dopłaty, w sprawie kwoty jego udziału w pokryciu dopłaty i wynikających z tych postępowań konsekwencji, czyli m.in. konieczn</w:t>
      </w:r>
      <w:r w:rsidRPr="00CE1978">
        <w:rPr>
          <w:rFonts w:ascii="Times New Roman" w:hAnsi="Times New Roman" w:cs="Times New Roman"/>
          <w:color w:val="000000" w:themeColor="text1"/>
          <w:sz w:val="24"/>
          <w:szCs w:val="24"/>
        </w:rPr>
        <w:t>ości zapłaty opłaty komorniczej;</w:t>
      </w:r>
    </w:p>
    <w:p w14:paraId="14E14445" w14:textId="4F949182" w:rsidR="007C3C61" w:rsidRPr="00C10C7D" w:rsidRDefault="007C3C61" w:rsidP="00F91F34">
      <w:pPr>
        <w:keepNext/>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b/>
          <w:bCs/>
          <w:color w:val="000000" w:themeColor="text1"/>
          <w:sz w:val="24"/>
          <w:szCs w:val="24"/>
        </w:rPr>
        <w:lastRenderedPageBreak/>
        <w:t>zgody na przesyłanie niezamówionej informacji handlowej – art. 90</w:t>
      </w:r>
    </w:p>
    <w:p w14:paraId="2104D566" w14:textId="77777777" w:rsidR="007C3C61" w:rsidRPr="00C10C7D" w:rsidRDefault="007C3C61" w:rsidP="00F91F34">
      <w:pPr>
        <w:spacing w:before="120" w:after="0" w:line="360" w:lineRule="auto"/>
        <w:jc w:val="both"/>
        <w:rPr>
          <w:rFonts w:ascii="Times New Roman" w:eastAsia="Times New Roman" w:hAnsi="Times New Roman" w:cs="Times New Roman"/>
          <w:b/>
          <w:color w:val="000000" w:themeColor="text1"/>
          <w:sz w:val="24"/>
          <w:szCs w:val="24"/>
        </w:rPr>
      </w:pPr>
      <w:r w:rsidRPr="00C10C7D">
        <w:rPr>
          <w:rFonts w:ascii="Times New Roman" w:eastAsia="Times New Roman" w:hAnsi="Times New Roman" w:cs="Times New Roman"/>
          <w:color w:val="000000" w:themeColor="text1"/>
          <w:sz w:val="24"/>
          <w:szCs w:val="24"/>
        </w:rPr>
        <w:t>W projektowanej ustawie proponuje się, aby zgody na przesyłanie niezamówionej informacji handlowej zebrane na podstawie obecnego art. 10 uśude oraz zgody na marketing bezpośredni zebrane na podstawie obecnego art. 172 Pt zachowały ważność, jeżeli pierwotny sposób wyrażenia zgody odpowiada warunkom określonym w Pke;</w:t>
      </w:r>
    </w:p>
    <w:p w14:paraId="517B64B9" w14:textId="2043B2A0" w:rsidR="007C3C61" w:rsidRPr="00C10C7D"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b/>
          <w:bCs/>
          <w:color w:val="000000" w:themeColor="text1"/>
          <w:sz w:val="24"/>
          <w:szCs w:val="24"/>
        </w:rPr>
        <w:t xml:space="preserve">samochodowych odbiorników radiofonicznych </w:t>
      </w:r>
      <w:r w:rsidRPr="00C10C7D">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b/>
          <w:bCs/>
          <w:color w:val="000000" w:themeColor="text1"/>
          <w:sz w:val="24"/>
          <w:szCs w:val="24"/>
        </w:rPr>
        <w:t xml:space="preserve"> art. 91</w:t>
      </w:r>
    </w:p>
    <w:p w14:paraId="05D3EFAB" w14:textId="320FE8A7" w:rsidR="007C3C61" w:rsidRPr="00C10C7D"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Przepis odnosi się do wprowadzonego w art. 401 ust. </w:t>
      </w:r>
      <w:r w:rsidR="00042C47" w:rsidRPr="00C10C7D">
        <w:rPr>
          <w:rFonts w:ascii="Times New Roman" w:eastAsia="Times New Roman" w:hAnsi="Times New Roman" w:cs="Times New Roman"/>
          <w:color w:val="000000" w:themeColor="text1"/>
          <w:sz w:val="24"/>
          <w:szCs w:val="24"/>
        </w:rPr>
        <w:t xml:space="preserve">5 </w:t>
      </w:r>
      <w:r w:rsidRPr="00C10C7D">
        <w:rPr>
          <w:rFonts w:ascii="Times New Roman" w:eastAsia="Times New Roman" w:hAnsi="Times New Roman" w:cs="Times New Roman"/>
          <w:color w:val="000000" w:themeColor="text1"/>
          <w:sz w:val="24"/>
          <w:szCs w:val="24"/>
        </w:rPr>
        <w:t>Pke obowiązku, aby samochodowe odbiorniki radiofoniczne umożliwiały odbiór i odtwarzanie co najmniej usług radiofonii cyfrowej świadczonych za pośrednictwem naziemnych cyfrowych transmisji radiofonicznych. Jest to nowy obowiązek, stanowiący implementację art. 113 EKŁE. W związku z tym konieczne jest zapewnienie regulacji przejściowej, która wskaże, iż obowiązku tego nie stosuje się do pojazdów wyposażonych w samochodowe odbiorniki radiofoniczne wyprodukowanych przed dniem wejścia w życie ustawy Pke;</w:t>
      </w:r>
    </w:p>
    <w:p w14:paraId="2E9E1A29" w14:textId="4F466422"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b/>
          <w:color w:val="000000" w:themeColor="text1"/>
          <w:sz w:val="24"/>
          <w:szCs w:val="24"/>
        </w:rPr>
        <w:t xml:space="preserve">trwających postępowań ws. zwolnienia zarządcy drogi z obowiązku budowy kanału technologicznego </w:t>
      </w:r>
      <w:r w:rsidRPr="00CE1978">
        <w:rPr>
          <w:rFonts w:ascii="Times New Roman" w:eastAsia="Times New Roman" w:hAnsi="Times New Roman" w:cs="Times New Roman"/>
          <w:color w:val="000000" w:themeColor="text1"/>
          <w:sz w:val="24"/>
          <w:szCs w:val="24"/>
        </w:rPr>
        <w:t xml:space="preserve">– </w:t>
      </w:r>
      <w:r w:rsidRPr="00CE1978">
        <w:rPr>
          <w:rFonts w:ascii="Times New Roman" w:eastAsia="Times New Roman" w:hAnsi="Times New Roman" w:cs="Times New Roman"/>
          <w:b/>
          <w:color w:val="000000" w:themeColor="text1"/>
          <w:sz w:val="24"/>
          <w:szCs w:val="24"/>
        </w:rPr>
        <w:t>a</w:t>
      </w:r>
      <w:r w:rsidRPr="00CE1978">
        <w:rPr>
          <w:rFonts w:ascii="Times New Roman" w:eastAsia="Times New Roman" w:hAnsi="Times New Roman" w:cs="Times New Roman"/>
          <w:b/>
          <w:bCs/>
          <w:color w:val="000000" w:themeColor="text1"/>
          <w:sz w:val="24"/>
          <w:szCs w:val="24"/>
        </w:rPr>
        <w:t>rt. 92</w:t>
      </w:r>
    </w:p>
    <w:p w14:paraId="025E62BA" w14:textId="61692C54"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Przepisy przejściowe do postępowań administracyjnych prowadzonych przez ministra właściwego ds. informatyzacji na podstawie art. 39 ust. 6c ustawy o drogach publicznych ws. zwolnienia zarządcy drogi z obowiązku budowy kanału technologicznego w związku ze zmianami proponowanymi w art. 6 niniejszej ustawy. </w:t>
      </w:r>
      <w:r w:rsidR="000A55C4" w:rsidRPr="00CE1978">
        <w:rPr>
          <w:rFonts w:ascii="Times New Roman" w:eastAsia="Times New Roman" w:hAnsi="Times New Roman" w:cs="Times New Roman"/>
          <w:color w:val="000000" w:themeColor="text1"/>
          <w:sz w:val="24"/>
          <w:szCs w:val="24"/>
        </w:rPr>
        <w:t>Z uwagi na to, że w przypadku niektórych wszczętych postępowań o zwolnienie z obowiązku budowy kanału technologicznego, w świetle zmienianej ustawy o drogach publicznych, zarządcy drogi nie byliby zobowiązani do lokalizowania takiego kanału, proponuje się dodanie przepisu, który zrównując sytuację zarządców dróg składających wnioski o zwolnienie pod różnymi reżimami prawnymi, pozwoli na rozstrzygnięcie spraw zgodnie ze złożonym wnioskiem.</w:t>
      </w:r>
      <w:r w:rsidRPr="00CE1978">
        <w:rPr>
          <w:rFonts w:ascii="Times New Roman" w:eastAsia="Times New Roman" w:hAnsi="Times New Roman" w:cs="Times New Roman"/>
          <w:color w:val="000000" w:themeColor="text1"/>
          <w:sz w:val="24"/>
          <w:szCs w:val="24"/>
        </w:rPr>
        <w:t>;</w:t>
      </w:r>
    </w:p>
    <w:p w14:paraId="79FE2626" w14:textId="682A98DA"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color w:val="000000" w:themeColor="text1"/>
          <w:sz w:val="24"/>
          <w:szCs w:val="24"/>
        </w:rPr>
      </w:pPr>
      <w:r w:rsidRPr="00CE1978">
        <w:rPr>
          <w:rFonts w:ascii="Times New Roman" w:eastAsia="Times New Roman" w:hAnsi="Times New Roman" w:cs="Times New Roman"/>
          <w:b/>
          <w:color w:val="000000" w:themeColor="text1"/>
          <w:sz w:val="24"/>
          <w:szCs w:val="24"/>
        </w:rPr>
        <w:t>trwających postępowań w sprawie udzielenia koncesji – art. 9</w:t>
      </w:r>
      <w:r w:rsidR="002F1008" w:rsidRPr="00CE1978">
        <w:rPr>
          <w:rFonts w:ascii="Times New Roman" w:eastAsia="Times New Roman" w:hAnsi="Times New Roman" w:cs="Times New Roman"/>
          <w:b/>
          <w:color w:val="000000" w:themeColor="text1"/>
          <w:sz w:val="24"/>
          <w:szCs w:val="24"/>
        </w:rPr>
        <w:t>3</w:t>
      </w:r>
    </w:p>
    <w:p w14:paraId="260A82EF"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Do wszczętych i niezakończonych przed dniem wejścia w życie ustawy postępowań w sprawie udzielenia koncesji stosuje się nowe regulacje;</w:t>
      </w:r>
    </w:p>
    <w:p w14:paraId="7C4DD06E" w14:textId="707B5953"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postępowań wszczętych na podstawie art. 13 ust. 2, </w:t>
      </w:r>
      <w:r w:rsidR="00217122" w:rsidRPr="00CE1978">
        <w:rPr>
          <w:rFonts w:ascii="Times New Roman" w:eastAsia="Times New Roman" w:hAnsi="Times New Roman" w:cs="Times New Roman"/>
          <w:b/>
          <w:bCs/>
          <w:color w:val="000000" w:themeColor="text1"/>
          <w:sz w:val="24"/>
          <w:szCs w:val="24"/>
        </w:rPr>
        <w:t xml:space="preserve">art. 18, </w:t>
      </w:r>
      <w:r w:rsidRPr="00CE1978">
        <w:rPr>
          <w:rFonts w:ascii="Times New Roman" w:eastAsia="Times New Roman" w:hAnsi="Times New Roman" w:cs="Times New Roman"/>
          <w:b/>
          <w:bCs/>
          <w:color w:val="000000" w:themeColor="text1"/>
          <w:sz w:val="24"/>
          <w:szCs w:val="24"/>
        </w:rPr>
        <w:t xml:space="preserve">art. 22, art. 30 ustawy zmienianej w art. </w:t>
      </w:r>
      <w:r w:rsidR="00217122" w:rsidRPr="00CE1978">
        <w:rPr>
          <w:rFonts w:ascii="Times New Roman" w:eastAsia="Times New Roman" w:hAnsi="Times New Roman" w:cs="Times New Roman"/>
          <w:b/>
          <w:bCs/>
          <w:color w:val="000000" w:themeColor="text1"/>
          <w:sz w:val="24"/>
          <w:szCs w:val="24"/>
        </w:rPr>
        <w:t>36</w:t>
      </w:r>
      <w:r w:rsidRPr="00CE1978">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art. 9</w:t>
      </w:r>
      <w:r w:rsidR="002F1008" w:rsidRPr="00CE1978">
        <w:rPr>
          <w:rFonts w:ascii="Times New Roman" w:eastAsia="Times New Roman" w:hAnsi="Times New Roman" w:cs="Times New Roman"/>
          <w:b/>
          <w:bCs/>
          <w:color w:val="000000" w:themeColor="text1"/>
          <w:sz w:val="24"/>
          <w:szCs w:val="24"/>
        </w:rPr>
        <w:t>4</w:t>
      </w:r>
    </w:p>
    <w:p w14:paraId="50420259" w14:textId="0A8F9B91" w:rsidR="007C3C61" w:rsidRPr="00532F3A"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Przepis umożliwia stosowanie przepisów ustawy Pke do postępowań wszczętych na podstawie ww. przepisów Megaustawy, które nie zostały zakończone przed dniem wejścia w życie ustawy </w:t>
      </w:r>
      <w:r w:rsidRPr="00CE1978">
        <w:rPr>
          <w:rFonts w:ascii="Times New Roman" w:eastAsia="Times New Roman" w:hAnsi="Times New Roman" w:cs="Times New Roman"/>
          <w:color w:val="000000" w:themeColor="text1"/>
          <w:sz w:val="24"/>
          <w:szCs w:val="24"/>
        </w:rPr>
        <w:lastRenderedPageBreak/>
        <w:t>Pke, z wyjątkiem art. 183 ust. 4 Pke, co oznacza, że w zakresie wymogów formalnych wniosku w sprawie rozstrzygnięcia sporu dotyczącego dostępu</w:t>
      </w:r>
      <w:r w:rsidR="00532F3A">
        <w:rPr>
          <w:rFonts w:ascii="Times New Roman" w:eastAsia="Times New Roman" w:hAnsi="Times New Roman" w:cs="Times New Roman"/>
          <w:color w:val="000000" w:themeColor="text1"/>
          <w:sz w:val="24"/>
          <w:szCs w:val="24"/>
        </w:rPr>
        <w:t xml:space="preserve"> </w:t>
      </w:r>
      <w:r w:rsidRPr="00532F3A">
        <w:rPr>
          <w:rFonts w:ascii="Times New Roman" w:eastAsia="Times New Roman" w:hAnsi="Times New Roman" w:cs="Times New Roman"/>
          <w:color w:val="000000" w:themeColor="text1"/>
          <w:sz w:val="24"/>
          <w:szCs w:val="24"/>
        </w:rPr>
        <w:t>telekomunikacyjnego (w rozumieniu Pke, a nie dotychczasowej regulacji Pt) stosuje się przepisy uchylane;</w:t>
      </w:r>
    </w:p>
    <w:p w14:paraId="0F60E9E0" w14:textId="3F3D2959" w:rsidR="007C3C61" w:rsidRPr="00C10C7D"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bCs/>
          <w:color w:val="000000" w:themeColor="text1"/>
          <w:sz w:val="24"/>
          <w:szCs w:val="24"/>
        </w:rPr>
      </w:pPr>
      <w:r w:rsidRPr="00532F3A">
        <w:rPr>
          <w:rFonts w:ascii="Times New Roman" w:eastAsia="Times New Roman" w:hAnsi="Times New Roman" w:cs="Times New Roman"/>
          <w:b/>
          <w:bCs/>
          <w:color w:val="000000" w:themeColor="text1"/>
          <w:sz w:val="24"/>
          <w:szCs w:val="24"/>
        </w:rPr>
        <w:t xml:space="preserve">obowiązku zapewnienia dostępu hurtowego do infrastruktury zrealizowanej z udziałem środków publicznych </w:t>
      </w:r>
      <w:r w:rsidRPr="00CE1978">
        <w:rPr>
          <w:rFonts w:ascii="Times New Roman" w:eastAsia="Times New Roman" w:hAnsi="Times New Roman" w:cs="Times New Roman"/>
          <w:color w:val="000000" w:themeColor="text1"/>
          <w:sz w:val="24"/>
          <w:szCs w:val="24"/>
        </w:rPr>
        <w:t>–</w:t>
      </w:r>
      <w:r w:rsidRPr="00C10C7D">
        <w:rPr>
          <w:rFonts w:ascii="Times New Roman" w:eastAsia="Times New Roman" w:hAnsi="Times New Roman" w:cs="Times New Roman"/>
          <w:b/>
          <w:bCs/>
          <w:color w:val="000000" w:themeColor="text1"/>
          <w:sz w:val="24"/>
          <w:szCs w:val="24"/>
        </w:rPr>
        <w:t xml:space="preserve"> art. 9</w:t>
      </w:r>
      <w:r w:rsidR="002F1008" w:rsidRPr="00C10C7D">
        <w:rPr>
          <w:rFonts w:ascii="Times New Roman" w:eastAsia="Times New Roman" w:hAnsi="Times New Roman" w:cs="Times New Roman"/>
          <w:b/>
          <w:bCs/>
          <w:color w:val="000000" w:themeColor="text1"/>
          <w:sz w:val="24"/>
          <w:szCs w:val="24"/>
        </w:rPr>
        <w:t>5</w:t>
      </w:r>
      <w:r w:rsidRPr="00C10C7D">
        <w:rPr>
          <w:rFonts w:ascii="Times New Roman" w:eastAsia="Times New Roman" w:hAnsi="Times New Roman" w:cs="Times New Roman"/>
          <w:b/>
          <w:bCs/>
          <w:color w:val="000000" w:themeColor="text1"/>
          <w:sz w:val="24"/>
          <w:szCs w:val="24"/>
        </w:rPr>
        <w:t xml:space="preserve"> </w:t>
      </w:r>
    </w:p>
    <w:p w14:paraId="13F8EC2D" w14:textId="77777777" w:rsidR="007C3C61" w:rsidRPr="00C10C7D"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Przepis art. 95 rozstrzyga, że bezwzględny obowiązek zapewnienia dostępu do infrastruktury telekomunikacyjnej zrealizowanej z udziałem finansowania publicznego nie dotyczy infrastruktury, co do której finansowanie publiczne zostało udzielone przed dniem wejścia w życie ustawy.</w:t>
      </w:r>
    </w:p>
    <w:p w14:paraId="4F893DDC" w14:textId="7F9DD2FF" w:rsidR="007C3C61" w:rsidRPr="00C10C7D"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t>utrzymania w mocy aktów wykonawczych wydanych na podstawie Pt i megaustawy – art. 9</w:t>
      </w:r>
      <w:r w:rsidR="002F1008" w:rsidRPr="00C10C7D">
        <w:rPr>
          <w:rFonts w:ascii="Times New Roman" w:eastAsia="Times New Roman" w:hAnsi="Times New Roman" w:cs="Times New Roman"/>
          <w:b/>
          <w:bCs/>
          <w:color w:val="000000" w:themeColor="text1"/>
          <w:sz w:val="24"/>
          <w:szCs w:val="24"/>
        </w:rPr>
        <w:t>6</w:t>
      </w:r>
      <w:r w:rsidRPr="00C10C7D">
        <w:rPr>
          <w:rFonts w:ascii="Times New Roman" w:eastAsia="Times New Roman" w:hAnsi="Times New Roman" w:cs="Times New Roman"/>
          <w:b/>
          <w:bCs/>
          <w:color w:val="000000" w:themeColor="text1"/>
          <w:sz w:val="24"/>
          <w:szCs w:val="24"/>
        </w:rPr>
        <w:t xml:space="preserve"> i art. 9</w:t>
      </w:r>
      <w:r w:rsidR="002F1008" w:rsidRPr="00C10C7D">
        <w:rPr>
          <w:rFonts w:ascii="Times New Roman" w:eastAsia="Times New Roman" w:hAnsi="Times New Roman" w:cs="Times New Roman"/>
          <w:b/>
          <w:bCs/>
          <w:color w:val="000000" w:themeColor="text1"/>
          <w:sz w:val="24"/>
          <w:szCs w:val="24"/>
        </w:rPr>
        <w:t>7</w:t>
      </w:r>
    </w:p>
    <w:p w14:paraId="5F16EDA6" w14:textId="64EDE573" w:rsidR="007C3C61" w:rsidRPr="00CE1978" w:rsidRDefault="007C3C61" w:rsidP="00F91F34">
      <w:pPr>
        <w:spacing w:before="120" w:after="0" w:line="360" w:lineRule="auto"/>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color w:val="000000" w:themeColor="text1"/>
          <w:sz w:val="24"/>
          <w:szCs w:val="24"/>
        </w:rPr>
        <w:t>Projektowana ustawa zawiera ponadto regulacje dotyczące utrzymania w mocy szeregu aktów wykonawczych wydanych na podstawie ustawy – Prawo telekomunikacyjne. Zgodnie z art. 9</w:t>
      </w:r>
      <w:r w:rsidR="002F1008" w:rsidRPr="00C10C7D">
        <w:rPr>
          <w:rFonts w:ascii="Times New Roman" w:eastAsia="Times New Roman" w:hAnsi="Times New Roman" w:cs="Times New Roman"/>
          <w:color w:val="000000" w:themeColor="text1"/>
          <w:sz w:val="24"/>
          <w:szCs w:val="24"/>
        </w:rPr>
        <w:t>6</w:t>
      </w:r>
      <w:r w:rsidRPr="00C10C7D">
        <w:rPr>
          <w:rFonts w:ascii="Times New Roman" w:eastAsia="Times New Roman" w:hAnsi="Times New Roman" w:cs="Times New Roman"/>
          <w:color w:val="000000" w:themeColor="text1"/>
          <w:sz w:val="24"/>
          <w:szCs w:val="24"/>
        </w:rPr>
        <w:t xml:space="preserve"> niniejszej ustawy przeważająca część aktów wydanych na podstawie Pt zachowuje moc do dnia wejścia w życie przepisów wykonawczych wydanych na podstawie odpowiadających im zakresowo przepisów Pke, jednak nie dłużej niż przez 24 miesiące od dnia wejścia w życie ustawy Pke. Projektowany</w:t>
      </w:r>
      <w:r w:rsidRPr="00CE1978">
        <w:rPr>
          <w:rFonts w:ascii="Times New Roman" w:eastAsia="Times New Roman" w:hAnsi="Times New Roman" w:cs="Times New Roman"/>
          <w:color w:val="000000" w:themeColor="text1"/>
          <w:sz w:val="24"/>
          <w:szCs w:val="24"/>
        </w:rPr>
        <w:t xml:space="preserve"> przepis pozwoli na sukcesywne wydawanie rozporządzeń po wejściu w życie nowych regulacji. Jednocześnie akty wykonawcze wydane na podstawie art. 73, art. 79c, art. 109 ust. 12, art. 126 ust. 12 pkt 1 i 2, art. 184 ust. 4 Pt utracą moc z dniem wejścia w życie ustawy Pke. W ich miejsce zostaną wydane wraz z ustawą Pke nowe rozporządzenia.</w:t>
      </w:r>
    </w:p>
    <w:p w14:paraId="0DA7D326"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Konieczne jest również zamieszczenie przepisu utrzymującego w mocy akt wykonawczy wydany na podstawie zmienionego upoważnienia z art. 29 ust. 7 Megaustawy do czasu wejścia w życie nowego aktu wykonawczego, jednak nie dłużej niż przez okres 24 miesięcy od dnia wejścia w życie ustawy Pke;</w:t>
      </w:r>
    </w:p>
    <w:p w14:paraId="7A5C041C" w14:textId="26762EC6"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postępowań w sprawie dokonania, zmiany i cofnięcia rezerwacji częstotliwości użytkowanych jako cywilno-rządowe lub rządowe złożony przez użytkownika rządowego </w:t>
      </w:r>
      <w:r w:rsidRPr="00CE1978">
        <w:rPr>
          <w:rFonts w:ascii="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10</w:t>
      </w:r>
      <w:r w:rsidR="002F1008" w:rsidRPr="00CE1978">
        <w:rPr>
          <w:rFonts w:ascii="Times New Roman" w:eastAsia="Times New Roman" w:hAnsi="Times New Roman" w:cs="Times New Roman"/>
          <w:b/>
          <w:bCs/>
          <w:color w:val="000000" w:themeColor="text1"/>
          <w:sz w:val="24"/>
          <w:szCs w:val="24"/>
        </w:rPr>
        <w:t>0</w:t>
      </w:r>
      <w:r w:rsidRPr="00CE1978">
        <w:rPr>
          <w:rFonts w:ascii="Times New Roman" w:eastAsia="Times New Roman" w:hAnsi="Times New Roman" w:cs="Times New Roman"/>
          <w:b/>
          <w:bCs/>
          <w:color w:val="000000" w:themeColor="text1"/>
          <w:sz w:val="24"/>
          <w:szCs w:val="24"/>
        </w:rPr>
        <w:t xml:space="preserve"> i 10</w:t>
      </w:r>
      <w:r w:rsidR="002F1008" w:rsidRPr="00CE1978">
        <w:rPr>
          <w:rFonts w:ascii="Times New Roman" w:eastAsia="Times New Roman" w:hAnsi="Times New Roman" w:cs="Times New Roman"/>
          <w:b/>
          <w:bCs/>
          <w:color w:val="000000" w:themeColor="text1"/>
          <w:sz w:val="24"/>
          <w:szCs w:val="24"/>
        </w:rPr>
        <w:t>1</w:t>
      </w:r>
    </w:p>
    <w:p w14:paraId="3716A5ED"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Ze względu na wprowadzenie ustawą Pke nowej regulacji, zgodnie z którą użytkowanie częstotliwości cywilno-rządowych przez użytkowników rządowych nie będzie już wymagało posiadania rezerwacji częstotliwości, ale niezbędne będzie uzyskanie przydziału częstotliwości, należy przewidzieć przepisy przejściowe.</w:t>
      </w:r>
    </w:p>
    <w:p w14:paraId="7AE84365"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I tak, wniosek w sprawie dokonania rezerwacji częstotliwości użytkowanych jako cywilno-rządowe złożony przez użytkownika rządowego i nierozpatrzony przed dniem wejścia w życie ustawy Pke, staje się wnioskiem o wydanie przydziału w rozumieniu ustawy Pke.</w:t>
      </w:r>
    </w:p>
    <w:p w14:paraId="3B6E72C7"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Jednocześnie rezerwacje częstotliwości użytkowanych jako cywilno-rządowe dokonane na rzecz użytkowników rządowych przed wejściem w życie ustawy Pke zachowują moc i zwalniają z obowiązku uzyskania przydziału. Zatem w tym zakresie użytkownicy rządowi, posiadający ważną rezerwację częstotliwości nie muszą podejmować żadnych dodatkowych kroków w celu wykorzystywania częstotliwości.</w:t>
      </w:r>
    </w:p>
    <w:p w14:paraId="17360427" w14:textId="25D8C57B" w:rsidR="007C3C61" w:rsidRPr="00C10C7D"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W przypadku gdy użytkownik rządowy wykorzystujący częstotliwości z zakresów użytkowanych jako cywilno-rządowe nie posiada ani pozwolenia radiowego ani rezerwacji częstotliwości obowiązany jest do wystąpienia z wnioskiem o uzyskanie przydziału w okresie 2 lat od dnia wejścia w życie tej ustawy</w:t>
      </w:r>
      <w:r w:rsidR="00CE4142" w:rsidRPr="00CE1978">
        <w:rPr>
          <w:rFonts w:ascii="Times New Roman" w:eastAsia="Times New Roman" w:hAnsi="Times New Roman" w:cs="Times New Roman"/>
          <w:color w:val="000000" w:themeColor="text1"/>
          <w:sz w:val="24"/>
          <w:szCs w:val="24"/>
        </w:rPr>
        <w:t>. Należy przy tym zauważyć, że częstotliwości w</w:t>
      </w:r>
      <w:r w:rsidR="00532F3A">
        <w:rPr>
          <w:rFonts w:ascii="Times New Roman" w:eastAsia="Times New Roman" w:hAnsi="Times New Roman" w:cs="Times New Roman"/>
          <w:color w:val="000000" w:themeColor="text1"/>
          <w:sz w:val="24"/>
          <w:szCs w:val="24"/>
        </w:rPr>
        <w:t xml:space="preserve"> </w:t>
      </w:r>
      <w:r w:rsidR="00CE4142" w:rsidRPr="00532F3A">
        <w:rPr>
          <w:rFonts w:ascii="Times New Roman" w:eastAsia="Times New Roman" w:hAnsi="Times New Roman" w:cs="Times New Roman"/>
          <w:color w:val="000000" w:themeColor="text1"/>
          <w:sz w:val="24"/>
          <w:szCs w:val="24"/>
        </w:rPr>
        <w:t>użytkowaniu rządowym wykorzystywane przez użytkowników rządowych przed dniem wejścia w</w:t>
      </w:r>
      <w:r w:rsidR="00532F3A">
        <w:rPr>
          <w:rFonts w:ascii="Times New Roman" w:eastAsia="Times New Roman" w:hAnsi="Times New Roman" w:cs="Times New Roman"/>
          <w:color w:val="000000" w:themeColor="text1"/>
          <w:sz w:val="24"/>
          <w:szCs w:val="24"/>
        </w:rPr>
        <w:t xml:space="preserve"> </w:t>
      </w:r>
      <w:r w:rsidR="00CE4142" w:rsidRPr="00532F3A">
        <w:rPr>
          <w:rFonts w:ascii="Times New Roman" w:eastAsia="Times New Roman" w:hAnsi="Times New Roman" w:cs="Times New Roman"/>
          <w:color w:val="000000" w:themeColor="text1"/>
          <w:sz w:val="24"/>
          <w:szCs w:val="24"/>
        </w:rPr>
        <w:t>życie Pke stają się częstotliwościami wykorzystywanymi na podstawie przydziału częstotliwości. Użytkownicy rządowi są obowiązani przekazać, w</w:t>
      </w:r>
      <w:r w:rsidR="00532F3A">
        <w:rPr>
          <w:rFonts w:ascii="Times New Roman" w:eastAsia="Times New Roman" w:hAnsi="Times New Roman" w:cs="Times New Roman"/>
          <w:color w:val="000000" w:themeColor="text1"/>
          <w:sz w:val="24"/>
          <w:szCs w:val="24"/>
        </w:rPr>
        <w:t xml:space="preserve"> </w:t>
      </w:r>
      <w:r w:rsidR="00CE4142" w:rsidRPr="00532F3A">
        <w:rPr>
          <w:rFonts w:ascii="Times New Roman" w:eastAsia="Times New Roman" w:hAnsi="Times New Roman" w:cs="Times New Roman"/>
          <w:color w:val="000000" w:themeColor="text1"/>
          <w:sz w:val="24"/>
          <w:szCs w:val="24"/>
        </w:rPr>
        <w:t>terminie 3 miesięcy od dnia wejścia w</w:t>
      </w:r>
      <w:r w:rsidR="00532F3A">
        <w:rPr>
          <w:rFonts w:ascii="Times New Roman" w:eastAsia="Times New Roman" w:hAnsi="Times New Roman" w:cs="Times New Roman"/>
          <w:color w:val="000000" w:themeColor="text1"/>
          <w:sz w:val="24"/>
          <w:szCs w:val="24"/>
        </w:rPr>
        <w:t xml:space="preserve"> </w:t>
      </w:r>
      <w:r w:rsidR="00CE4142" w:rsidRPr="00532F3A">
        <w:rPr>
          <w:rFonts w:ascii="Times New Roman" w:eastAsia="Times New Roman" w:hAnsi="Times New Roman" w:cs="Times New Roman"/>
          <w:color w:val="000000" w:themeColor="text1"/>
          <w:sz w:val="24"/>
          <w:szCs w:val="24"/>
        </w:rPr>
        <w:t>życie ustawy, Ministrowi Obrony Narodowej informacje dotyczące wykorzystywanych częstotliwości. Ma to na celu zapewnienie niezbędnych do dokonania przydziału informacji, a wynika z faktu, że obecnie użytkowanie częstotliwości rządowych nie wymaga uzyskania rezerwacji częstotliwości. Na podstawie otrzymanych informacji Minister Obrony Narodowej dokona niezwłocznie, z urzędu, przydziału częstotliwości na rzecz danego użytkownika rządowego. Minister Obrony Narodowej, dokonując tego przydziału, nie może naruszać dotychczasowych uprawnień użytkowników rządowych do dysponowania przez nich częstotliwościami. Oznacza to, że przydział będzie obligatoryjnie dotyczył tego samego zakresu częstotliwości, którym dysponuje obecnie dany użytkownik i nie może przewidywać żadnych dodatkowych ograniczeń. Podstawą dokonania tych pierwszych przydziałów jest bowiem nie przepis Pke, a właśnie regulacja wynikająca z przepisów wprowadzających Pke. Ro</w:t>
      </w:r>
      <w:r w:rsidR="00CE4142" w:rsidRPr="00CE1978">
        <w:rPr>
          <w:rFonts w:ascii="Times New Roman" w:eastAsia="Times New Roman" w:hAnsi="Times New Roman" w:cs="Times New Roman"/>
          <w:color w:val="000000" w:themeColor="text1"/>
          <w:sz w:val="24"/>
          <w:szCs w:val="24"/>
        </w:rPr>
        <w:t>związanie ma na celu zachowanie pełnych uprawnień użytkowników rządowych do wykorzystywanych w chwili wejścia w życie Pke zasobów widma radiowego.</w:t>
      </w:r>
    </w:p>
    <w:p w14:paraId="4D1C6AA0" w14:textId="232C14F8" w:rsidR="002F1008" w:rsidRPr="00C10C7D" w:rsidRDefault="00FB71DA"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color w:val="000000" w:themeColor="text1"/>
          <w:sz w:val="24"/>
          <w:szCs w:val="24"/>
        </w:rPr>
      </w:pPr>
      <w:r w:rsidRPr="00C10C7D">
        <w:rPr>
          <w:rFonts w:ascii="Times New Roman" w:eastAsia="Times New Roman" w:hAnsi="Times New Roman" w:cs="Times New Roman"/>
          <w:b/>
          <w:color w:val="000000" w:themeColor="text1"/>
          <w:sz w:val="24"/>
          <w:szCs w:val="24"/>
        </w:rPr>
        <w:t>plan</w:t>
      </w:r>
      <w:r w:rsidR="005D6EFF" w:rsidRPr="00C10C7D">
        <w:rPr>
          <w:rFonts w:ascii="Times New Roman" w:eastAsia="Times New Roman" w:hAnsi="Times New Roman" w:cs="Times New Roman"/>
          <w:b/>
          <w:color w:val="000000" w:themeColor="text1"/>
          <w:sz w:val="24"/>
          <w:szCs w:val="24"/>
        </w:rPr>
        <w:t>ów</w:t>
      </w:r>
      <w:r w:rsidRPr="00C10C7D">
        <w:rPr>
          <w:rFonts w:ascii="Times New Roman" w:eastAsia="Times New Roman" w:hAnsi="Times New Roman" w:cs="Times New Roman"/>
          <w:b/>
          <w:color w:val="000000" w:themeColor="text1"/>
          <w:sz w:val="24"/>
          <w:szCs w:val="24"/>
        </w:rPr>
        <w:t xml:space="preserve"> dzia</w:t>
      </w:r>
      <w:r w:rsidR="00CE40C8" w:rsidRPr="00C10C7D">
        <w:rPr>
          <w:rFonts w:ascii="Times New Roman" w:eastAsia="Times New Roman" w:hAnsi="Times New Roman" w:cs="Times New Roman"/>
          <w:b/>
          <w:color w:val="000000" w:themeColor="text1"/>
          <w:sz w:val="24"/>
          <w:szCs w:val="24"/>
        </w:rPr>
        <w:t>ła</w:t>
      </w:r>
      <w:r w:rsidRPr="00C10C7D">
        <w:rPr>
          <w:rFonts w:ascii="Times New Roman" w:eastAsia="Times New Roman" w:hAnsi="Times New Roman" w:cs="Times New Roman"/>
          <w:b/>
          <w:color w:val="000000" w:themeColor="text1"/>
          <w:sz w:val="24"/>
          <w:szCs w:val="24"/>
        </w:rPr>
        <w:t>ń w sytuacjach szczególnych zagrożeń – art. 10</w:t>
      </w:r>
      <w:r w:rsidR="002F1008" w:rsidRPr="00C10C7D">
        <w:rPr>
          <w:rFonts w:ascii="Times New Roman" w:eastAsia="Times New Roman" w:hAnsi="Times New Roman" w:cs="Times New Roman"/>
          <w:b/>
          <w:color w:val="000000" w:themeColor="text1"/>
          <w:sz w:val="24"/>
          <w:szCs w:val="24"/>
        </w:rPr>
        <w:t>3</w:t>
      </w:r>
    </w:p>
    <w:p w14:paraId="63A148F5" w14:textId="56334ED8" w:rsidR="00FB71DA" w:rsidRPr="00C10C7D" w:rsidRDefault="00FB71DA"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bCs/>
          <w:color w:val="000000" w:themeColor="text1"/>
          <w:sz w:val="24"/>
          <w:szCs w:val="24"/>
        </w:rPr>
        <w:t xml:space="preserve">Projektowany przepis przejściowy zapewnia ciągłość funkcjonowania dotychczasowych (wydanych na podstawie Pt) planów działań w sytuacjach szczególnych zagrożeń. </w:t>
      </w:r>
      <w:r w:rsidR="00CE40C8" w:rsidRPr="00C10C7D">
        <w:rPr>
          <w:rFonts w:ascii="Times New Roman" w:eastAsia="Times New Roman" w:hAnsi="Times New Roman" w:cs="Times New Roman"/>
          <w:bCs/>
          <w:color w:val="000000" w:themeColor="text1"/>
          <w:sz w:val="24"/>
          <w:szCs w:val="24"/>
        </w:rPr>
        <w:t>Stają się one bowiem planami, o których mowa w art. 39 ust. 1 Pke.</w:t>
      </w:r>
    </w:p>
    <w:p w14:paraId="48FDC1CF" w14:textId="2A96895E" w:rsidR="007C3C61" w:rsidRPr="00CE1978" w:rsidRDefault="00CE40C8"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color w:val="000000" w:themeColor="text1"/>
          <w:sz w:val="24"/>
          <w:szCs w:val="24"/>
        </w:rPr>
      </w:pPr>
      <w:r w:rsidRPr="00C10C7D">
        <w:rPr>
          <w:rFonts w:ascii="Times New Roman" w:eastAsia="Times New Roman" w:hAnsi="Times New Roman" w:cs="Times New Roman"/>
          <w:b/>
          <w:color w:val="000000" w:themeColor="text1"/>
          <w:sz w:val="24"/>
          <w:szCs w:val="24"/>
        </w:rPr>
        <w:lastRenderedPageBreak/>
        <w:t>obowiąz</w:t>
      </w:r>
      <w:r w:rsidR="005D6EFF" w:rsidRPr="00C10C7D">
        <w:rPr>
          <w:rFonts w:ascii="Times New Roman" w:eastAsia="Times New Roman" w:hAnsi="Times New Roman" w:cs="Times New Roman"/>
          <w:b/>
          <w:color w:val="000000" w:themeColor="text1"/>
          <w:sz w:val="24"/>
          <w:szCs w:val="24"/>
        </w:rPr>
        <w:t>ku</w:t>
      </w:r>
      <w:r w:rsidRPr="00CE1978">
        <w:rPr>
          <w:rFonts w:ascii="Times New Roman" w:eastAsia="Times New Roman" w:hAnsi="Times New Roman" w:cs="Times New Roman"/>
          <w:b/>
          <w:color w:val="000000" w:themeColor="text1"/>
          <w:sz w:val="24"/>
          <w:szCs w:val="24"/>
        </w:rPr>
        <w:t xml:space="preserve"> udostępniania uprawnionym podmiotom oraz sądowi i prokuratorowi danych retencyjnych – art. 10</w:t>
      </w:r>
      <w:r w:rsidR="002F1008" w:rsidRPr="00CE1978">
        <w:rPr>
          <w:rFonts w:ascii="Times New Roman" w:eastAsia="Times New Roman" w:hAnsi="Times New Roman" w:cs="Times New Roman"/>
          <w:b/>
          <w:color w:val="000000" w:themeColor="text1"/>
          <w:sz w:val="24"/>
          <w:szCs w:val="24"/>
        </w:rPr>
        <w:t>4</w:t>
      </w:r>
    </w:p>
    <w:p w14:paraId="2DFE66F7" w14:textId="3E9BAECC" w:rsidR="00CE40C8" w:rsidRPr="00CE1978" w:rsidRDefault="00CE40C8"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Przepis określa obowiązek wskazania przez </w:t>
      </w:r>
      <w:r w:rsidR="005D6EFF" w:rsidRPr="00CE1978">
        <w:rPr>
          <w:rFonts w:ascii="Times New Roman" w:eastAsia="Times New Roman" w:hAnsi="Times New Roman" w:cs="Times New Roman"/>
          <w:color w:val="000000" w:themeColor="text1"/>
          <w:sz w:val="24"/>
          <w:szCs w:val="24"/>
        </w:rPr>
        <w:t xml:space="preserve">operatora publicznej sieci telekomunikacyjnej lub dostawcę publicznie dostępnych usług telekomunikacyjnych sposobu wykonywania obowiązku dotyczącego udostępniania uprawnionym podmiotom oraz sądowi i prokuratorowi danych retencyjnych. </w:t>
      </w:r>
    </w:p>
    <w:p w14:paraId="5FECB0EF" w14:textId="69AD0829" w:rsidR="007C3C61" w:rsidRPr="00532F3A"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przepisów przejściowych dotyczących Prezesa UKE i UKE </w:t>
      </w:r>
      <w:r w:rsidR="00532F3A">
        <w:rPr>
          <w:rFonts w:ascii="Times New Roman" w:eastAsia="Times New Roman" w:hAnsi="Times New Roman" w:cs="Times New Roman"/>
          <w:b/>
          <w:bCs/>
          <w:color w:val="000000" w:themeColor="text1"/>
          <w:sz w:val="24"/>
          <w:szCs w:val="24"/>
        </w:rPr>
        <w:t>–</w:t>
      </w:r>
      <w:r w:rsidRPr="00532F3A">
        <w:rPr>
          <w:rFonts w:ascii="Times New Roman" w:eastAsia="Times New Roman" w:hAnsi="Times New Roman" w:cs="Times New Roman"/>
          <w:b/>
          <w:bCs/>
          <w:color w:val="000000" w:themeColor="text1"/>
          <w:sz w:val="24"/>
          <w:szCs w:val="24"/>
        </w:rPr>
        <w:t xml:space="preserve"> art. 10</w:t>
      </w:r>
      <w:r w:rsidR="002F1008" w:rsidRPr="00532F3A">
        <w:rPr>
          <w:rFonts w:ascii="Times New Roman" w:eastAsia="Times New Roman" w:hAnsi="Times New Roman" w:cs="Times New Roman"/>
          <w:b/>
          <w:bCs/>
          <w:color w:val="000000" w:themeColor="text1"/>
          <w:sz w:val="24"/>
          <w:szCs w:val="24"/>
        </w:rPr>
        <w:t>5</w:t>
      </w:r>
      <w:r w:rsidRPr="00532F3A">
        <w:rPr>
          <w:rFonts w:ascii="Times New Roman" w:eastAsia="Times New Roman" w:hAnsi="Times New Roman" w:cs="Times New Roman"/>
          <w:b/>
          <w:bCs/>
          <w:color w:val="000000" w:themeColor="text1"/>
          <w:sz w:val="24"/>
          <w:szCs w:val="24"/>
        </w:rPr>
        <w:t>–1</w:t>
      </w:r>
      <w:r w:rsidR="002F1008" w:rsidRPr="00532F3A">
        <w:rPr>
          <w:rFonts w:ascii="Times New Roman" w:eastAsia="Times New Roman" w:hAnsi="Times New Roman" w:cs="Times New Roman"/>
          <w:b/>
          <w:bCs/>
          <w:color w:val="000000" w:themeColor="text1"/>
          <w:sz w:val="24"/>
          <w:szCs w:val="24"/>
        </w:rPr>
        <w:t>09</w:t>
      </w:r>
    </w:p>
    <w:p w14:paraId="164CAC80" w14:textId="23D98C71" w:rsidR="007C3C61" w:rsidRPr="00C10C7D"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W art. 10</w:t>
      </w:r>
      <w:r w:rsidR="002F1008" w:rsidRPr="00532F3A">
        <w:rPr>
          <w:rFonts w:ascii="Times New Roman" w:eastAsia="Times New Roman" w:hAnsi="Times New Roman" w:cs="Times New Roman"/>
          <w:color w:val="000000" w:themeColor="text1"/>
          <w:sz w:val="24"/>
          <w:szCs w:val="24"/>
        </w:rPr>
        <w:t>5</w:t>
      </w:r>
      <w:r w:rsidRPr="00CE1978">
        <w:rPr>
          <w:rFonts w:ascii="Times New Roman" w:hAnsi="Times New Roman" w:cs="Times New Roman"/>
          <w:color w:val="000000" w:themeColor="text1"/>
          <w:sz w:val="24"/>
          <w:szCs w:val="24"/>
        </w:rPr>
        <w:t>–</w:t>
      </w:r>
      <w:r w:rsidRPr="00C10C7D">
        <w:rPr>
          <w:rFonts w:ascii="Times New Roman" w:eastAsia="Times New Roman" w:hAnsi="Times New Roman" w:cs="Times New Roman"/>
          <w:color w:val="000000" w:themeColor="text1"/>
          <w:sz w:val="24"/>
          <w:szCs w:val="24"/>
        </w:rPr>
        <w:t>10</w:t>
      </w:r>
      <w:r w:rsidR="002F1008" w:rsidRPr="00C10C7D">
        <w:rPr>
          <w:rFonts w:ascii="Times New Roman" w:eastAsia="Times New Roman" w:hAnsi="Times New Roman" w:cs="Times New Roman"/>
          <w:color w:val="000000" w:themeColor="text1"/>
          <w:sz w:val="24"/>
          <w:szCs w:val="24"/>
        </w:rPr>
        <w:t>8</w:t>
      </w:r>
      <w:r w:rsidRPr="00C10C7D">
        <w:rPr>
          <w:rFonts w:ascii="Times New Roman" w:eastAsia="Times New Roman" w:hAnsi="Times New Roman" w:cs="Times New Roman"/>
          <w:color w:val="000000" w:themeColor="text1"/>
          <w:sz w:val="24"/>
          <w:szCs w:val="24"/>
        </w:rPr>
        <w:t xml:space="preserve"> zawarto przepisy </w:t>
      </w:r>
      <w:r w:rsidR="002E6EC2" w:rsidRPr="00C10C7D">
        <w:rPr>
          <w:rFonts w:ascii="Times New Roman" w:eastAsia="Times New Roman" w:hAnsi="Times New Roman" w:cs="Times New Roman"/>
          <w:color w:val="000000" w:themeColor="text1"/>
          <w:sz w:val="24"/>
          <w:szCs w:val="24"/>
        </w:rPr>
        <w:t>dostosowujące</w:t>
      </w:r>
      <w:r w:rsidRPr="00C10C7D">
        <w:rPr>
          <w:rFonts w:ascii="Times New Roman" w:eastAsia="Times New Roman" w:hAnsi="Times New Roman" w:cs="Times New Roman"/>
          <w:color w:val="000000" w:themeColor="text1"/>
          <w:sz w:val="24"/>
          <w:szCs w:val="24"/>
        </w:rPr>
        <w:t>, które odnoszą się do kwestii przejścia obowiązków Prezesa UKE oraz pracowników i mienia dotychczasowego Urzędu Komunikacji Elektronicznej, funkcjonujących w oparciu o uchylaną ustawę Pke na Prezesa UKE i UKE funkcjonujących na podstawie Pke. Prezes Urzędu Komunikacji Elektronicznej pozostaje na stanowisku do czasu upływu kadencji, na którą został powołany.</w:t>
      </w:r>
    </w:p>
    <w:p w14:paraId="16825EA7" w14:textId="36CE8F23" w:rsidR="007C3C61" w:rsidRPr="00C10C7D"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Ponadto art. 10</w:t>
      </w:r>
      <w:r w:rsidR="002F1008" w:rsidRPr="00C10C7D">
        <w:rPr>
          <w:rFonts w:ascii="Times New Roman" w:eastAsia="Times New Roman" w:hAnsi="Times New Roman" w:cs="Times New Roman"/>
          <w:color w:val="000000" w:themeColor="text1"/>
          <w:sz w:val="24"/>
          <w:szCs w:val="24"/>
        </w:rPr>
        <w:t>8</w:t>
      </w:r>
      <w:r w:rsidRPr="00C10C7D">
        <w:rPr>
          <w:rFonts w:ascii="Times New Roman" w:eastAsia="Times New Roman" w:hAnsi="Times New Roman" w:cs="Times New Roman"/>
          <w:color w:val="000000" w:themeColor="text1"/>
          <w:sz w:val="24"/>
          <w:szCs w:val="24"/>
        </w:rPr>
        <w:t xml:space="preserve"> reguluje kwestię postępowań, w których stroną lub uczestnikiem był Urząd Komunikacji Elektronicznej;</w:t>
      </w:r>
    </w:p>
    <w:p w14:paraId="1721A213" w14:textId="2D560C9B" w:rsidR="00C2688F" w:rsidRPr="00CE1978" w:rsidRDefault="00C2688F" w:rsidP="00F91F34">
      <w:pPr>
        <w:spacing w:before="120" w:after="0" w:line="360" w:lineRule="auto"/>
        <w:jc w:val="both"/>
        <w:rPr>
          <w:rFonts w:ascii="Times New Roman" w:hAnsi="Times New Roman" w:cs="Times New Roman"/>
          <w:bCs/>
          <w:color w:val="000000" w:themeColor="text1"/>
          <w:sz w:val="24"/>
          <w:szCs w:val="24"/>
        </w:rPr>
      </w:pPr>
      <w:r w:rsidRPr="00C10C7D">
        <w:rPr>
          <w:rFonts w:ascii="Times New Roman" w:hAnsi="Times New Roman" w:cs="Times New Roman"/>
          <w:color w:val="000000" w:themeColor="text1"/>
          <w:sz w:val="24"/>
          <w:szCs w:val="24"/>
        </w:rPr>
        <w:t>Ponadto dodano przepisy</w:t>
      </w:r>
      <w:r w:rsidR="005D6EFF" w:rsidRPr="00C10C7D">
        <w:rPr>
          <w:rFonts w:ascii="Times New Roman" w:hAnsi="Times New Roman" w:cs="Times New Roman"/>
          <w:color w:val="000000" w:themeColor="text1"/>
          <w:sz w:val="24"/>
          <w:szCs w:val="24"/>
        </w:rPr>
        <w:t xml:space="preserve"> (art. 1</w:t>
      </w:r>
      <w:r w:rsidR="002F1008" w:rsidRPr="00C10C7D">
        <w:rPr>
          <w:rFonts w:ascii="Times New Roman" w:hAnsi="Times New Roman" w:cs="Times New Roman"/>
          <w:color w:val="000000" w:themeColor="text1"/>
          <w:sz w:val="24"/>
          <w:szCs w:val="24"/>
        </w:rPr>
        <w:t>09</w:t>
      </w:r>
      <w:r w:rsidR="005D6EFF" w:rsidRPr="00C10C7D">
        <w:rPr>
          <w:rFonts w:ascii="Times New Roman" w:hAnsi="Times New Roman" w:cs="Times New Roman"/>
          <w:color w:val="000000" w:themeColor="text1"/>
          <w:sz w:val="24"/>
          <w:szCs w:val="24"/>
        </w:rPr>
        <w:t xml:space="preserve"> wPke)</w:t>
      </w:r>
      <w:r w:rsidRPr="00C10C7D">
        <w:rPr>
          <w:rFonts w:ascii="Times New Roman" w:hAnsi="Times New Roman" w:cs="Times New Roman"/>
          <w:color w:val="000000" w:themeColor="text1"/>
          <w:sz w:val="24"/>
          <w:szCs w:val="24"/>
        </w:rPr>
        <w:t xml:space="preserve">, które </w:t>
      </w:r>
      <w:r w:rsidRPr="00C10C7D">
        <w:rPr>
          <w:rFonts w:ascii="Times New Roman" w:hAnsi="Times New Roman" w:cs="Times New Roman"/>
          <w:bCs/>
          <w:color w:val="000000" w:themeColor="text1"/>
          <w:sz w:val="24"/>
          <w:szCs w:val="24"/>
        </w:rPr>
        <w:t>regul</w:t>
      </w:r>
      <w:r w:rsidRPr="00CE1978">
        <w:rPr>
          <w:rFonts w:ascii="Times New Roman" w:hAnsi="Times New Roman" w:cs="Times New Roman"/>
          <w:bCs/>
          <w:color w:val="000000" w:themeColor="text1"/>
          <w:sz w:val="24"/>
          <w:szCs w:val="24"/>
        </w:rPr>
        <w:t>ują ogłoszenie przez Prezesa UKE po raz pierwszy informacji, o której mowa w art. 23 ust. 6 Pke.</w:t>
      </w:r>
    </w:p>
    <w:p w14:paraId="60B096BB" w14:textId="357750DC" w:rsidR="00917E37" w:rsidRPr="00CE1978" w:rsidRDefault="00917E37" w:rsidP="00F91F34">
      <w:pPr>
        <w:numPr>
          <w:ilvl w:val="0"/>
          <w:numId w:val="3"/>
        </w:numPr>
        <w:tabs>
          <w:tab w:val="left" w:pos="426"/>
        </w:tabs>
        <w:spacing w:before="120" w:after="0" w:line="360" w:lineRule="auto"/>
        <w:ind w:left="0" w:firstLine="0"/>
        <w:jc w:val="both"/>
        <w:rPr>
          <w:rFonts w:ascii="Times New Roman" w:hAnsi="Times New Roman" w:cs="Times New Roman"/>
          <w:b/>
          <w:color w:val="000000" w:themeColor="text1"/>
          <w:sz w:val="24"/>
          <w:szCs w:val="24"/>
        </w:rPr>
      </w:pPr>
      <w:r w:rsidRPr="00CE1978">
        <w:rPr>
          <w:rFonts w:ascii="Times New Roman" w:hAnsi="Times New Roman" w:cs="Times New Roman"/>
          <w:b/>
          <w:color w:val="000000" w:themeColor="text1"/>
          <w:sz w:val="24"/>
          <w:szCs w:val="24"/>
        </w:rPr>
        <w:t>opłaty za pozwolenie radiowe –</w:t>
      </w:r>
      <w:r w:rsidR="002E6EC2" w:rsidRPr="00CE1978">
        <w:rPr>
          <w:rFonts w:ascii="Times New Roman" w:hAnsi="Times New Roman" w:cs="Times New Roman"/>
          <w:b/>
          <w:color w:val="000000" w:themeColor="text1"/>
          <w:sz w:val="24"/>
          <w:szCs w:val="24"/>
        </w:rPr>
        <w:t xml:space="preserve"> </w:t>
      </w:r>
      <w:r w:rsidRPr="00CE1978">
        <w:rPr>
          <w:rFonts w:ascii="Times New Roman" w:hAnsi="Times New Roman" w:cs="Times New Roman"/>
          <w:b/>
          <w:color w:val="000000" w:themeColor="text1"/>
          <w:sz w:val="24"/>
          <w:szCs w:val="24"/>
        </w:rPr>
        <w:t>art. 11</w:t>
      </w:r>
      <w:r w:rsidR="002F1008" w:rsidRPr="00CE1978">
        <w:rPr>
          <w:rFonts w:ascii="Times New Roman" w:hAnsi="Times New Roman" w:cs="Times New Roman"/>
          <w:b/>
          <w:color w:val="000000" w:themeColor="text1"/>
          <w:sz w:val="24"/>
          <w:szCs w:val="24"/>
        </w:rPr>
        <w:t>0</w:t>
      </w:r>
    </w:p>
    <w:p w14:paraId="5EEE8F0B" w14:textId="7850E84B" w:rsidR="00433CC2" w:rsidRPr="00CE1978" w:rsidRDefault="00917E37" w:rsidP="00F91F34">
      <w:pPr>
        <w:spacing w:before="120" w:after="0" w:line="360" w:lineRule="auto"/>
        <w:jc w:val="both"/>
        <w:rPr>
          <w:rFonts w:ascii="Times New Roman" w:hAnsi="Times New Roman" w:cs="Times New Roman"/>
          <w:color w:val="000000" w:themeColor="text1"/>
          <w:sz w:val="24"/>
          <w:szCs w:val="24"/>
        </w:rPr>
      </w:pPr>
      <w:r w:rsidRPr="00CE1978">
        <w:rPr>
          <w:rFonts w:ascii="Times New Roman" w:hAnsi="Times New Roman" w:cs="Times New Roman"/>
          <w:color w:val="000000" w:themeColor="text1"/>
          <w:sz w:val="24"/>
          <w:szCs w:val="24"/>
        </w:rPr>
        <w:t>W związku z wprowadzeniem w art. 24 ust. 22 Pke, w miejsce opłaty skarbowej, nowej opłaty za prawo używania urządzenia objętego pozwoleniem radiowym, w tym regulacji dotyczącej wysokości tej opłaty i ogłaszania w tym zakresie informacji przez Prezesa UKE, należało wprowadzić przepisy przejściowe, które rozstrzygną kwestie ogłaszania pierwszej informacji o wysokości tej opłaty;</w:t>
      </w:r>
    </w:p>
    <w:p w14:paraId="2275F055" w14:textId="4A0D5144"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t xml:space="preserve">narzędzia porównawczego </w:t>
      </w:r>
      <w:r w:rsidRPr="00CE1978">
        <w:rPr>
          <w:rFonts w:ascii="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11</w:t>
      </w:r>
      <w:r w:rsidR="002F1008" w:rsidRPr="00CE1978">
        <w:rPr>
          <w:rFonts w:ascii="Times New Roman" w:eastAsia="Times New Roman" w:hAnsi="Times New Roman" w:cs="Times New Roman"/>
          <w:b/>
          <w:bCs/>
          <w:color w:val="000000" w:themeColor="text1"/>
          <w:sz w:val="24"/>
          <w:szCs w:val="24"/>
        </w:rPr>
        <w:t>1</w:t>
      </w:r>
    </w:p>
    <w:p w14:paraId="2191A12E"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Przepis odnosi się do kwestii sprawnego uruchomienia przez Prezesa UKE narzędzia porównawczego umożliwiającego porównanie dostępnych na rynku ofert publicznie dostępnych usług dostępu do internetu oraz publicznie dostępnych usług komunikacji interpersonalnej wykorzystujących numery oraz pod pewnymi warunkami, publicznie dostępnych usług komunikacji interpersonalnej niewykorzystujących numerów. Przepis wprowadza wymóg, dokonania przez Prezesa UKE obwieszczenia na stronie podmiotowej Biuletynu Informacji Publicznej UKE gotowości narzędzia porównawczego do przyjęcia danych oraz reguluje termin przekazania przez dostawcę usług wymaganych danych;</w:t>
      </w:r>
    </w:p>
    <w:p w14:paraId="6AE1334E" w14:textId="79489ED8"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lastRenderedPageBreak/>
        <w:t xml:space="preserve">zmiany dostawcy usługi dostępu do internetu </w:t>
      </w:r>
      <w:r w:rsidRPr="00CE1978">
        <w:rPr>
          <w:rFonts w:ascii="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11</w:t>
      </w:r>
      <w:r w:rsidR="004F41A8" w:rsidRPr="00CE1978">
        <w:rPr>
          <w:rFonts w:ascii="Times New Roman" w:eastAsia="Times New Roman" w:hAnsi="Times New Roman" w:cs="Times New Roman"/>
          <w:b/>
          <w:bCs/>
          <w:color w:val="000000" w:themeColor="text1"/>
          <w:sz w:val="24"/>
          <w:szCs w:val="24"/>
        </w:rPr>
        <w:t>2</w:t>
      </w:r>
    </w:p>
    <w:p w14:paraId="5C7A301E" w14:textId="264CED76" w:rsidR="007C3C61" w:rsidRPr="00532F3A"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Przepis odnosi się do art. 312 ust. 10 Pke, który wskazuje, iż wymiana informacji pomiędzy operatorami lub dostawcami usługi dostępu do internetu w zakresie realizacji uprawnienia abonenta do zachowania ciągłości świadczenia usługi dostępu do internetu, w przypadku zmiany dostawcy </w:t>
      </w:r>
      <w:r w:rsidR="00532F3A">
        <w:rPr>
          <w:rFonts w:ascii="Times New Roman" w:eastAsia="Times New Roman" w:hAnsi="Times New Roman" w:cs="Times New Roman"/>
          <w:color w:val="000000" w:themeColor="text1"/>
          <w:sz w:val="24"/>
          <w:szCs w:val="24"/>
        </w:rPr>
        <w:t>–</w:t>
      </w:r>
      <w:r w:rsidRPr="00532F3A">
        <w:rPr>
          <w:rFonts w:ascii="Times New Roman" w:eastAsia="Times New Roman" w:hAnsi="Times New Roman" w:cs="Times New Roman"/>
          <w:color w:val="000000" w:themeColor="text1"/>
          <w:sz w:val="24"/>
          <w:szCs w:val="24"/>
        </w:rPr>
        <w:t xml:space="preserve"> odbywa się drogą elektroniczną za pośrednictwem prowadzonego przez Prezesa UKE systemu teleinformatycznego. Przepis przejściowy ma na celu uregulowanie kwestii ogłoszenia przez Prezesa UKE informacji o uruchomieniu odpowiednich funkcjonalności systemu, tak aby dostawcy i operatorzy, których to dotyczy mogli dowiedzieć się w łatwy sposób o możliwości korzystania z sytemu. Przepis przewiduje przy tym okres </w:t>
      </w:r>
      <w:r w:rsidRPr="00CE1978">
        <w:rPr>
          <w:rFonts w:ascii="Times New Roman" w:eastAsia="Times New Roman" w:hAnsi="Times New Roman" w:cs="Times New Roman"/>
          <w:color w:val="000000" w:themeColor="text1"/>
          <w:sz w:val="24"/>
          <w:szCs w:val="24"/>
        </w:rPr>
        <w:t xml:space="preserve">3 miesięcy </w:t>
      </w:r>
      <w:r w:rsidR="00532F3A">
        <w:rPr>
          <w:rFonts w:ascii="Times New Roman" w:eastAsia="Times New Roman" w:hAnsi="Times New Roman" w:cs="Times New Roman"/>
          <w:color w:val="000000" w:themeColor="text1"/>
          <w:sz w:val="24"/>
          <w:szCs w:val="24"/>
        </w:rPr>
        <w:t>–</w:t>
      </w:r>
      <w:r w:rsidRPr="00532F3A">
        <w:rPr>
          <w:rFonts w:ascii="Times New Roman" w:eastAsia="Times New Roman" w:hAnsi="Times New Roman" w:cs="Times New Roman"/>
          <w:color w:val="000000" w:themeColor="text1"/>
          <w:sz w:val="24"/>
          <w:szCs w:val="24"/>
        </w:rPr>
        <w:t xml:space="preserve"> po upływie którego będzie możliwe korzystanie z systemu, a przy tym dla zapewnienia sprawnego przepływu informacji między dostawcami lub operatorami w tym okresie </w:t>
      </w:r>
      <w:r w:rsidR="00532F3A">
        <w:rPr>
          <w:rFonts w:ascii="Times New Roman" w:eastAsia="Times New Roman" w:hAnsi="Times New Roman" w:cs="Times New Roman"/>
          <w:color w:val="000000" w:themeColor="text1"/>
          <w:sz w:val="24"/>
          <w:szCs w:val="24"/>
        </w:rPr>
        <w:t>–</w:t>
      </w:r>
      <w:r w:rsidRPr="00532F3A">
        <w:rPr>
          <w:rFonts w:ascii="Times New Roman" w:eastAsia="Times New Roman" w:hAnsi="Times New Roman" w:cs="Times New Roman"/>
          <w:color w:val="000000" w:themeColor="text1"/>
          <w:sz w:val="24"/>
          <w:szCs w:val="24"/>
        </w:rPr>
        <w:t xml:space="preserve"> przepis zobowiązuje Prezesa UKE do określenia sposobu i trybu wymiany komunikatów do czasu upływu powyższego terminu;</w:t>
      </w:r>
    </w:p>
    <w:p w14:paraId="5694E79B" w14:textId="7EE88752" w:rsidR="007C3C61" w:rsidRPr="00532F3A"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10C7D">
        <w:rPr>
          <w:rFonts w:ascii="Times New Roman" w:eastAsiaTheme="minorEastAsia" w:hAnsi="Times New Roman" w:cs="Times New Roman"/>
          <w:b/>
          <w:color w:val="000000" w:themeColor="text1"/>
          <w:sz w:val="24"/>
          <w:szCs w:val="24"/>
          <w:lang w:eastAsia="pl-PL"/>
        </w:rPr>
        <w:t>przepis art. 11</w:t>
      </w:r>
      <w:r w:rsidR="004F41A8" w:rsidRPr="00C10C7D">
        <w:rPr>
          <w:rFonts w:ascii="Times New Roman" w:eastAsiaTheme="minorEastAsia" w:hAnsi="Times New Roman" w:cs="Times New Roman"/>
          <w:b/>
          <w:color w:val="000000" w:themeColor="text1"/>
          <w:sz w:val="24"/>
          <w:szCs w:val="24"/>
          <w:lang w:eastAsia="pl-PL"/>
        </w:rPr>
        <w:t>3</w:t>
      </w:r>
      <w:r w:rsidRPr="00C10C7D">
        <w:rPr>
          <w:rFonts w:ascii="Times New Roman" w:eastAsiaTheme="minorEastAsia" w:hAnsi="Times New Roman" w:cs="Times New Roman"/>
          <w:color w:val="000000" w:themeColor="text1"/>
          <w:sz w:val="24"/>
          <w:szCs w:val="24"/>
          <w:lang w:eastAsia="pl-PL"/>
        </w:rPr>
        <w:t xml:space="preserve"> odnosi się do </w:t>
      </w:r>
      <w:r w:rsidRPr="00C10C7D">
        <w:rPr>
          <w:rFonts w:ascii="Times New Roman" w:eastAsia="Times New Roman" w:hAnsi="Times New Roman" w:cs="Times New Roman"/>
          <w:color w:val="000000" w:themeColor="text1"/>
          <w:sz w:val="24"/>
          <w:szCs w:val="24"/>
        </w:rPr>
        <w:t>art. 330 ust. 1 pkt 2 Pke w części dotyczącej danych lokalizacyjnych pochodzących z</w:t>
      </w:r>
      <w:r w:rsidR="00532F3A">
        <w:rPr>
          <w:rFonts w:ascii="Times New Roman" w:eastAsia="Times New Roman" w:hAnsi="Times New Roman" w:cs="Times New Roman"/>
          <w:color w:val="000000" w:themeColor="text1"/>
          <w:sz w:val="24"/>
          <w:szCs w:val="24"/>
        </w:rPr>
        <w:t xml:space="preserve"> </w:t>
      </w:r>
      <w:r w:rsidRPr="00532F3A">
        <w:rPr>
          <w:rFonts w:ascii="Times New Roman" w:eastAsia="Times New Roman" w:hAnsi="Times New Roman" w:cs="Times New Roman"/>
          <w:color w:val="000000" w:themeColor="text1"/>
          <w:sz w:val="24"/>
          <w:szCs w:val="24"/>
        </w:rPr>
        <w:t>telekomunikacyjnego urządzenia końcowego. Przepis przejściowy ma na celu uregulowanie kwestii ogłoszenia przez Prezesa UKE informacji o</w:t>
      </w:r>
      <w:r w:rsidR="00532F3A">
        <w:rPr>
          <w:rFonts w:ascii="Times New Roman" w:eastAsia="Times New Roman" w:hAnsi="Times New Roman" w:cs="Times New Roman"/>
          <w:color w:val="000000" w:themeColor="text1"/>
          <w:sz w:val="24"/>
          <w:szCs w:val="24"/>
        </w:rPr>
        <w:t xml:space="preserve"> </w:t>
      </w:r>
      <w:r w:rsidRPr="00532F3A">
        <w:rPr>
          <w:rFonts w:ascii="Times New Roman" w:eastAsia="Times New Roman" w:hAnsi="Times New Roman" w:cs="Times New Roman"/>
          <w:color w:val="000000" w:themeColor="text1"/>
          <w:sz w:val="24"/>
          <w:szCs w:val="24"/>
        </w:rPr>
        <w:t>uruchomieniu funkcjonalności dotyczącej lokalizowania zakończenia sieci, z którego zostało wykonane połączenie do numeru alarmowego w oparciu o dane pochodzące z</w:t>
      </w:r>
      <w:r w:rsidR="00532F3A">
        <w:rPr>
          <w:rFonts w:ascii="Times New Roman" w:eastAsia="Times New Roman" w:hAnsi="Times New Roman" w:cs="Times New Roman"/>
          <w:color w:val="000000" w:themeColor="text1"/>
          <w:sz w:val="24"/>
          <w:szCs w:val="24"/>
        </w:rPr>
        <w:t xml:space="preserve"> </w:t>
      </w:r>
      <w:r w:rsidRPr="00532F3A">
        <w:rPr>
          <w:rFonts w:ascii="Times New Roman" w:eastAsia="Times New Roman" w:hAnsi="Times New Roman" w:cs="Times New Roman"/>
          <w:color w:val="000000" w:themeColor="text1"/>
          <w:sz w:val="24"/>
          <w:szCs w:val="24"/>
        </w:rPr>
        <w:t xml:space="preserve">telekomunikacyjnego urządzenia końcowego. Ogłoszenie nastąpi z </w:t>
      </w:r>
      <w:r w:rsidR="002E6EC2" w:rsidRPr="00532F3A">
        <w:rPr>
          <w:rFonts w:ascii="Times New Roman" w:eastAsia="Times New Roman" w:hAnsi="Times New Roman" w:cs="Times New Roman"/>
          <w:color w:val="000000" w:themeColor="text1"/>
          <w:sz w:val="24"/>
          <w:szCs w:val="24"/>
        </w:rPr>
        <w:t>3-</w:t>
      </w:r>
      <w:r w:rsidRPr="00532F3A">
        <w:rPr>
          <w:rFonts w:ascii="Times New Roman" w:eastAsia="Times New Roman" w:hAnsi="Times New Roman" w:cs="Times New Roman"/>
          <w:color w:val="000000" w:themeColor="text1"/>
          <w:sz w:val="24"/>
          <w:szCs w:val="24"/>
        </w:rPr>
        <w:t>miesięcznym wyprzedzeniem tak, aby operatorzy mogli uzyskać odpowiednie informacji i przygotować się do realizacji nowej funkcjonalności.</w:t>
      </w:r>
    </w:p>
    <w:p w14:paraId="2986170D" w14:textId="2109DE38" w:rsidR="007C3C61" w:rsidRPr="00C10C7D"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t>raportu i sprawozdania Prezesa UKE – art. 11</w:t>
      </w:r>
      <w:r w:rsidR="004F41A8" w:rsidRPr="00C10C7D">
        <w:rPr>
          <w:rFonts w:ascii="Times New Roman" w:eastAsia="Times New Roman" w:hAnsi="Times New Roman" w:cs="Times New Roman"/>
          <w:b/>
          <w:bCs/>
          <w:color w:val="000000" w:themeColor="text1"/>
          <w:sz w:val="24"/>
          <w:szCs w:val="24"/>
        </w:rPr>
        <w:t>4</w:t>
      </w:r>
    </w:p>
    <w:p w14:paraId="182F1D39" w14:textId="2B14E417" w:rsidR="007C3C61" w:rsidRPr="00C10C7D"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W związku z uchyleniem ustawy – Prawo telekomunikacyjne i wejściem w życie nowych regulacji ustawy Pke, w tym dotyczących zawartości, sporządzanych przez Prezesa UKE, raportu o stanie rynku komunikacji elektronicznej oraz sprawozdania z działalności regulacyjnej, należy uregulować kwestię na podstawie jakich przepisów będą te dokumenty opracowywane za </w:t>
      </w:r>
      <w:r w:rsidR="002E6EC2" w:rsidRPr="00C10C7D">
        <w:rPr>
          <w:rFonts w:ascii="Times New Roman" w:eastAsia="Times New Roman" w:hAnsi="Times New Roman" w:cs="Times New Roman"/>
          <w:color w:val="000000" w:themeColor="text1"/>
          <w:sz w:val="24"/>
          <w:szCs w:val="24"/>
        </w:rPr>
        <w:t xml:space="preserve">2022 </w:t>
      </w:r>
      <w:r w:rsidRPr="00C10C7D">
        <w:rPr>
          <w:rFonts w:ascii="Times New Roman" w:eastAsia="Times New Roman" w:hAnsi="Times New Roman" w:cs="Times New Roman"/>
          <w:color w:val="000000" w:themeColor="text1"/>
          <w:sz w:val="24"/>
          <w:szCs w:val="24"/>
        </w:rPr>
        <w:t>r., po wejściu w życie ustawy. Przesądzono, iż powinny one zostać opracowane na podstawie przepisów dotychczasowych, tj. ustawy – Prawo telekomunikacyjne;</w:t>
      </w:r>
    </w:p>
    <w:p w14:paraId="28DDC426" w14:textId="7A98ADCA" w:rsidR="00C2688F" w:rsidRPr="00C10C7D" w:rsidRDefault="00C2688F"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b/>
          <w:bCs/>
          <w:color w:val="000000" w:themeColor="text1"/>
          <w:sz w:val="24"/>
          <w:szCs w:val="24"/>
        </w:rPr>
        <w:t xml:space="preserve">rezerwy celowej </w:t>
      </w:r>
      <w:r w:rsidR="00917E37" w:rsidRPr="00C10C7D">
        <w:rPr>
          <w:rFonts w:ascii="Times New Roman" w:eastAsia="Times New Roman" w:hAnsi="Times New Roman" w:cs="Times New Roman"/>
          <w:b/>
          <w:bCs/>
          <w:color w:val="000000" w:themeColor="text1"/>
          <w:sz w:val="24"/>
          <w:szCs w:val="24"/>
        </w:rPr>
        <w:t>– art. 11</w:t>
      </w:r>
      <w:r w:rsidR="004F41A8" w:rsidRPr="00C10C7D">
        <w:rPr>
          <w:rFonts w:ascii="Times New Roman" w:eastAsia="Times New Roman" w:hAnsi="Times New Roman" w:cs="Times New Roman"/>
          <w:b/>
          <w:bCs/>
          <w:color w:val="000000" w:themeColor="text1"/>
          <w:sz w:val="24"/>
          <w:szCs w:val="24"/>
        </w:rPr>
        <w:t>5</w:t>
      </w:r>
    </w:p>
    <w:p w14:paraId="180054A5" w14:textId="165A69E7" w:rsidR="0090252D" w:rsidRPr="00CE1978" w:rsidRDefault="00C2688F" w:rsidP="00F91F34">
      <w:pPr>
        <w:spacing w:before="120" w:after="0" w:line="360" w:lineRule="auto"/>
        <w:jc w:val="both"/>
        <w:rPr>
          <w:rFonts w:ascii="Times New Roman" w:hAnsi="Times New Roman" w:cs="Times New Roman"/>
          <w:bCs/>
          <w:color w:val="000000" w:themeColor="text1"/>
          <w:sz w:val="24"/>
          <w:szCs w:val="24"/>
        </w:rPr>
      </w:pPr>
      <w:r w:rsidRPr="00C10C7D">
        <w:rPr>
          <w:rFonts w:ascii="Times New Roman" w:hAnsi="Times New Roman" w:cs="Times New Roman"/>
          <w:bCs/>
          <w:color w:val="000000" w:themeColor="text1"/>
          <w:sz w:val="24"/>
          <w:szCs w:val="24"/>
        </w:rPr>
        <w:t>Art. 11</w:t>
      </w:r>
      <w:r w:rsidR="004F41A8" w:rsidRPr="00C10C7D">
        <w:rPr>
          <w:rFonts w:ascii="Times New Roman" w:hAnsi="Times New Roman" w:cs="Times New Roman"/>
          <w:bCs/>
          <w:color w:val="000000" w:themeColor="text1"/>
          <w:sz w:val="24"/>
          <w:szCs w:val="24"/>
        </w:rPr>
        <w:t>5</w:t>
      </w:r>
      <w:r w:rsidRPr="00CE1978">
        <w:rPr>
          <w:rFonts w:ascii="Times New Roman" w:hAnsi="Times New Roman" w:cs="Times New Roman"/>
          <w:bCs/>
          <w:color w:val="000000" w:themeColor="text1"/>
          <w:sz w:val="24"/>
          <w:szCs w:val="24"/>
        </w:rPr>
        <w:t xml:space="preserve"> reguluje zasady dotyczące utworzenia po raz pierwszy rezerwy celowej, o której mowa w art. 26 ust. 6</w:t>
      </w:r>
      <w:r w:rsidR="00E85D85" w:rsidRPr="00CE1978">
        <w:rPr>
          <w:rFonts w:ascii="Times New Roman" w:hAnsi="Times New Roman" w:cs="Times New Roman"/>
          <w:bCs/>
          <w:color w:val="000000" w:themeColor="text1"/>
          <w:sz w:val="24"/>
          <w:szCs w:val="24"/>
        </w:rPr>
        <w:t>,</w:t>
      </w:r>
      <w:r w:rsidRPr="00CE1978">
        <w:rPr>
          <w:rFonts w:ascii="Times New Roman" w:hAnsi="Times New Roman" w:cs="Times New Roman"/>
          <w:bCs/>
          <w:color w:val="000000" w:themeColor="text1"/>
          <w:sz w:val="24"/>
          <w:szCs w:val="24"/>
        </w:rPr>
        <w:t xml:space="preserve"> czyli wskazują rok jej utworzenia po raz pierwszy oraz wysokość tej pierwszej rezerwy.</w:t>
      </w:r>
    </w:p>
    <w:p w14:paraId="058AD807" w14:textId="531E542F" w:rsidR="007C3C61" w:rsidRPr="00CE1978"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b/>
          <w:bCs/>
          <w:color w:val="000000" w:themeColor="text1"/>
          <w:sz w:val="24"/>
          <w:szCs w:val="24"/>
        </w:rPr>
        <w:lastRenderedPageBreak/>
        <w:t xml:space="preserve">wydatków budżetu państwa </w:t>
      </w:r>
      <w:r w:rsidRPr="00CE1978">
        <w:rPr>
          <w:rFonts w:ascii="Times New Roman" w:hAnsi="Times New Roman" w:cs="Times New Roman"/>
          <w:color w:val="000000" w:themeColor="text1"/>
          <w:sz w:val="24"/>
          <w:szCs w:val="24"/>
        </w:rPr>
        <w:t>–</w:t>
      </w:r>
      <w:r w:rsidRPr="00CE1978">
        <w:rPr>
          <w:rFonts w:ascii="Times New Roman" w:eastAsia="Times New Roman" w:hAnsi="Times New Roman" w:cs="Times New Roman"/>
          <w:b/>
          <w:bCs/>
          <w:color w:val="000000" w:themeColor="text1"/>
          <w:sz w:val="24"/>
          <w:szCs w:val="24"/>
        </w:rPr>
        <w:t xml:space="preserve"> art. 11</w:t>
      </w:r>
      <w:r w:rsidR="004F41A8" w:rsidRPr="00CE1978">
        <w:rPr>
          <w:rFonts w:ascii="Times New Roman" w:eastAsia="Times New Roman" w:hAnsi="Times New Roman" w:cs="Times New Roman"/>
          <w:b/>
          <w:bCs/>
          <w:color w:val="000000" w:themeColor="text1"/>
          <w:sz w:val="24"/>
          <w:szCs w:val="24"/>
        </w:rPr>
        <w:t>6</w:t>
      </w:r>
      <w:r w:rsidR="00A15DCC" w:rsidRPr="00CE1978">
        <w:rPr>
          <w:rFonts w:ascii="Times New Roman" w:eastAsia="Times New Roman" w:hAnsi="Times New Roman" w:cs="Times New Roman"/>
          <w:b/>
          <w:bCs/>
          <w:color w:val="000000" w:themeColor="text1"/>
          <w:sz w:val="24"/>
          <w:szCs w:val="24"/>
        </w:rPr>
        <w:t xml:space="preserve"> </w:t>
      </w:r>
    </w:p>
    <w:p w14:paraId="3A8E456E" w14:textId="0ED3ABC2" w:rsidR="007C3C61" w:rsidRPr="00C10C7D" w:rsidRDefault="00AC43DF"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sz w:val="24"/>
          <w:szCs w:val="24"/>
        </w:rPr>
        <w:t>W</w:t>
      </w:r>
      <w:r w:rsidR="00A15DCC" w:rsidRPr="00CE1978">
        <w:rPr>
          <w:rFonts w:ascii="Times New Roman" w:eastAsia="Times New Roman" w:hAnsi="Times New Roman" w:cs="Times New Roman"/>
          <w:sz w:val="24"/>
          <w:szCs w:val="24"/>
        </w:rPr>
        <w:t xml:space="preserve"> art. </w:t>
      </w:r>
      <w:r w:rsidRPr="00CE1978">
        <w:rPr>
          <w:rFonts w:ascii="Times New Roman" w:eastAsia="Times New Roman" w:hAnsi="Times New Roman" w:cs="Times New Roman"/>
          <w:sz w:val="24"/>
          <w:szCs w:val="24"/>
        </w:rPr>
        <w:t xml:space="preserve">116 </w:t>
      </w:r>
      <w:r w:rsidR="00A15DCC" w:rsidRPr="00CE1978">
        <w:rPr>
          <w:rFonts w:ascii="Times New Roman" w:eastAsia="Times New Roman" w:hAnsi="Times New Roman" w:cs="Times New Roman"/>
          <w:sz w:val="24"/>
          <w:szCs w:val="24"/>
        </w:rPr>
        <w:t>wskazano maksymalne limity wydatków Prezesa UKE i ministra właściwego do spraw informatyzacji wynikające z utworzenia rezerwy celowej, o której mowa w art. 26 ust. 6 Pke.</w:t>
      </w:r>
      <w:r w:rsidR="00A15DCC" w:rsidRPr="00CE1978">
        <w:rPr>
          <w:rFonts w:ascii="Times New Roman" w:eastAsia="Times New Roman" w:hAnsi="Times New Roman" w:cs="Times New Roman"/>
          <w:color w:val="000000" w:themeColor="text1"/>
          <w:sz w:val="24"/>
          <w:szCs w:val="24"/>
        </w:rPr>
        <w:t xml:space="preserve"> Ten limit w latach 2023</w:t>
      </w:r>
      <w:r w:rsidR="00532F3A">
        <w:rPr>
          <w:rFonts w:ascii="Times New Roman" w:eastAsia="Times New Roman" w:hAnsi="Times New Roman" w:cs="Times New Roman"/>
          <w:color w:val="000000" w:themeColor="text1"/>
          <w:sz w:val="24"/>
          <w:szCs w:val="24"/>
        </w:rPr>
        <w:t>–</w:t>
      </w:r>
      <w:r w:rsidR="00A15DCC" w:rsidRPr="00532F3A">
        <w:rPr>
          <w:rFonts w:ascii="Times New Roman" w:eastAsia="Times New Roman" w:hAnsi="Times New Roman" w:cs="Times New Roman"/>
          <w:color w:val="000000" w:themeColor="text1"/>
          <w:sz w:val="24"/>
          <w:szCs w:val="24"/>
        </w:rPr>
        <w:t>2032 wynosi 1 026 250 000. W kolejnych ustępach wskazano mechanizm korygujący powyższych wydatków oraz</w:t>
      </w:r>
      <w:r w:rsidR="00A15DCC" w:rsidRPr="00CE1978">
        <w:rPr>
          <w:rFonts w:ascii="Times New Roman" w:eastAsia="Times New Roman" w:hAnsi="Times New Roman" w:cs="Times New Roman"/>
          <w:sz w:val="24"/>
          <w:szCs w:val="24"/>
        </w:rPr>
        <w:t xml:space="preserve"> organ właściwy do monitorowania wykorzystania limitu tych wydatków.</w:t>
      </w:r>
      <w:r w:rsidR="007C3C61" w:rsidRPr="00C10C7D">
        <w:rPr>
          <w:rFonts w:ascii="Times New Roman" w:eastAsia="Times New Roman" w:hAnsi="Times New Roman" w:cs="Times New Roman"/>
          <w:color w:val="000000" w:themeColor="text1"/>
          <w:sz w:val="24"/>
          <w:szCs w:val="24"/>
        </w:rPr>
        <w:t>;</w:t>
      </w:r>
    </w:p>
    <w:p w14:paraId="7F0A7256" w14:textId="6DC3E0FD" w:rsidR="007C3C61" w:rsidRPr="00C10C7D" w:rsidRDefault="007C3C61" w:rsidP="00F91F34">
      <w:pPr>
        <w:numPr>
          <w:ilvl w:val="0"/>
          <w:numId w:val="3"/>
        </w:numPr>
        <w:tabs>
          <w:tab w:val="left" w:pos="426"/>
        </w:tabs>
        <w:spacing w:before="120" w:after="0" w:line="360" w:lineRule="auto"/>
        <w:ind w:left="0" w:firstLine="0"/>
        <w:jc w:val="both"/>
        <w:rPr>
          <w:rFonts w:ascii="Times New Roman" w:eastAsia="Times New Roman" w:hAnsi="Times New Roman" w:cs="Times New Roman"/>
          <w:b/>
          <w:bCs/>
          <w:color w:val="000000" w:themeColor="text1"/>
          <w:sz w:val="24"/>
          <w:szCs w:val="24"/>
        </w:rPr>
      </w:pPr>
      <w:r w:rsidRPr="00C10C7D">
        <w:rPr>
          <w:rFonts w:ascii="Times New Roman" w:eastAsia="Times New Roman" w:hAnsi="Times New Roman" w:cs="Times New Roman"/>
          <w:b/>
          <w:bCs/>
          <w:color w:val="000000" w:themeColor="text1"/>
          <w:sz w:val="24"/>
          <w:szCs w:val="24"/>
        </w:rPr>
        <w:t xml:space="preserve">terminu wejścia w życie ustawy </w:t>
      </w:r>
      <w:r w:rsidRPr="00C10C7D">
        <w:rPr>
          <w:rFonts w:ascii="Times New Roman" w:hAnsi="Times New Roman" w:cs="Times New Roman"/>
          <w:color w:val="000000" w:themeColor="text1"/>
          <w:sz w:val="24"/>
          <w:szCs w:val="24"/>
        </w:rPr>
        <w:t>–</w:t>
      </w:r>
      <w:r w:rsidRPr="00C10C7D">
        <w:rPr>
          <w:rFonts w:ascii="Times New Roman" w:eastAsia="Times New Roman" w:hAnsi="Times New Roman" w:cs="Times New Roman"/>
          <w:b/>
          <w:bCs/>
          <w:color w:val="000000" w:themeColor="text1"/>
          <w:sz w:val="24"/>
          <w:szCs w:val="24"/>
        </w:rPr>
        <w:t xml:space="preserve"> art. </w:t>
      </w:r>
      <w:r w:rsidR="00022CBD" w:rsidRPr="00C10C7D">
        <w:rPr>
          <w:rFonts w:ascii="Times New Roman" w:eastAsia="Times New Roman" w:hAnsi="Times New Roman" w:cs="Times New Roman"/>
          <w:b/>
          <w:bCs/>
          <w:color w:val="000000" w:themeColor="text1"/>
          <w:sz w:val="24"/>
          <w:szCs w:val="24"/>
        </w:rPr>
        <w:t>117</w:t>
      </w:r>
    </w:p>
    <w:p w14:paraId="4ED1443A" w14:textId="11871D0E" w:rsidR="007C3C61" w:rsidRPr="00C10C7D"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 xml:space="preserve">Przepis określa, iż niniejsza ustawa wchodzi w życie po upływie 6 miesięcy od dnia ogłoszenia. Wskazanie tej daty ma na celu ujednolicenie daty wejścia w życie ustawy Pke oraz ustawy zawierającej przepisy wprowadzające Pke, co umożliwi skuteczne funkcjonowanie nowych przepisów Pke. Należy przy tym wskazać, </w:t>
      </w:r>
      <w:r w:rsidR="00FE129E" w:rsidRPr="00C10C7D">
        <w:rPr>
          <w:rFonts w:ascii="Times New Roman" w:eastAsia="Times New Roman" w:hAnsi="Times New Roman" w:cs="Times New Roman"/>
          <w:color w:val="000000" w:themeColor="text1"/>
          <w:sz w:val="24"/>
          <w:szCs w:val="24"/>
        </w:rPr>
        <w:t>że</w:t>
      </w:r>
      <w:r w:rsidRPr="00C10C7D">
        <w:rPr>
          <w:rFonts w:ascii="Times New Roman" w:eastAsia="Times New Roman" w:hAnsi="Times New Roman" w:cs="Times New Roman"/>
          <w:color w:val="000000" w:themeColor="text1"/>
          <w:sz w:val="24"/>
          <w:szCs w:val="24"/>
        </w:rPr>
        <w:t xml:space="preserve"> aby zapewnić jednakowy termin wejścia w życie obu ustaw przewidziano, że art. 1 ustawy wprowadzającej, który określa termin wejścia w życie ustawy Pke – wejdzie w życie </w:t>
      </w:r>
      <w:r w:rsidR="005D6EFF" w:rsidRPr="00C10C7D">
        <w:rPr>
          <w:rFonts w:ascii="Times New Roman" w:eastAsia="Times New Roman" w:hAnsi="Times New Roman" w:cs="Times New Roman"/>
          <w:color w:val="000000" w:themeColor="text1"/>
          <w:sz w:val="24"/>
          <w:szCs w:val="24"/>
        </w:rPr>
        <w:t>z dniem następującym po dniu</w:t>
      </w:r>
      <w:r w:rsidRPr="00C10C7D">
        <w:rPr>
          <w:rFonts w:ascii="Times New Roman" w:eastAsia="Times New Roman" w:hAnsi="Times New Roman" w:cs="Times New Roman"/>
          <w:color w:val="000000" w:themeColor="text1"/>
          <w:sz w:val="24"/>
          <w:szCs w:val="24"/>
        </w:rPr>
        <w:t xml:space="preserve"> ogłoszenia.</w:t>
      </w:r>
    </w:p>
    <w:p w14:paraId="4D334FFE" w14:textId="1BD4EC10" w:rsidR="007C3C61" w:rsidRPr="00C10C7D"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10C7D">
        <w:rPr>
          <w:rFonts w:ascii="Times New Roman" w:eastAsia="Times New Roman" w:hAnsi="Times New Roman" w:cs="Times New Roman"/>
          <w:color w:val="000000" w:themeColor="text1"/>
          <w:sz w:val="24"/>
          <w:szCs w:val="24"/>
        </w:rPr>
        <w:t>Ponadto przewidziano kolejne wyjątki od wskazanego wyżej terminu wejścia w życie ustawy – Przepisy wprowadzające Pke.</w:t>
      </w:r>
    </w:p>
    <w:p w14:paraId="4490A4D5" w14:textId="5E5E11F6" w:rsidR="007C3C61" w:rsidRPr="00CE1978" w:rsidRDefault="007C3C61" w:rsidP="00F91F34">
      <w:pPr>
        <w:pStyle w:val="ARTartustawynprozporzdzenia"/>
        <w:ind w:firstLine="0"/>
        <w:rPr>
          <w:rFonts w:ascii="Times New Roman" w:eastAsia="Times New Roman" w:hAnsi="Times New Roman" w:cs="Times New Roman"/>
          <w:color w:val="000000" w:themeColor="text1"/>
          <w:szCs w:val="24"/>
        </w:rPr>
      </w:pPr>
      <w:r w:rsidRPr="00CE1978">
        <w:rPr>
          <w:rFonts w:ascii="Times New Roman" w:eastAsia="Times New Roman" w:hAnsi="Times New Roman" w:cs="Times New Roman"/>
          <w:color w:val="000000" w:themeColor="text1"/>
          <w:szCs w:val="24"/>
        </w:rPr>
        <w:t xml:space="preserve">Wyjątkiem są przepisy art. </w:t>
      </w:r>
      <w:r w:rsidRPr="00CE1978">
        <w:rPr>
          <w:rFonts w:ascii="Times New Roman" w:hAnsi="Times New Roman" w:cs="Times New Roman"/>
          <w:color w:val="000000" w:themeColor="text1"/>
          <w:szCs w:val="24"/>
        </w:rPr>
        <w:t xml:space="preserve">5 pkt </w:t>
      </w:r>
      <w:r w:rsidR="00FE096F" w:rsidRPr="00CE1978">
        <w:rPr>
          <w:rFonts w:ascii="Times New Roman" w:hAnsi="Times New Roman" w:cs="Times New Roman"/>
          <w:color w:val="000000" w:themeColor="text1"/>
          <w:szCs w:val="24"/>
        </w:rPr>
        <w:t>2</w:t>
      </w:r>
      <w:r w:rsidRPr="00CE1978">
        <w:rPr>
          <w:rFonts w:ascii="Times New Roman" w:hAnsi="Times New Roman" w:cs="Times New Roman"/>
          <w:color w:val="000000" w:themeColor="text1"/>
          <w:szCs w:val="24"/>
        </w:rPr>
        <w:t xml:space="preserve">, który w zakresie lit. </w:t>
      </w:r>
      <w:r w:rsidR="005D6EFF" w:rsidRPr="00CE1978">
        <w:rPr>
          <w:rFonts w:ascii="Times New Roman" w:hAnsi="Times New Roman" w:cs="Times New Roman"/>
          <w:color w:val="000000" w:themeColor="text1"/>
          <w:szCs w:val="24"/>
        </w:rPr>
        <w:t>j</w:t>
      </w:r>
      <w:r w:rsidRPr="00CE1978">
        <w:rPr>
          <w:rFonts w:ascii="Times New Roman" w:hAnsi="Times New Roman" w:cs="Times New Roman"/>
          <w:color w:val="000000" w:themeColor="text1"/>
          <w:szCs w:val="24"/>
        </w:rPr>
        <w:t xml:space="preserve">, wchodzi w życie w terminie 3 miesięcy od dnia ogłoszenia. </w:t>
      </w:r>
      <w:r w:rsidR="00F01044" w:rsidRPr="00CE1978">
        <w:rPr>
          <w:rFonts w:ascii="Times New Roman" w:hAnsi="Times New Roman" w:cs="Times New Roman"/>
          <w:color w:val="000000" w:themeColor="text1"/>
          <w:szCs w:val="24"/>
        </w:rPr>
        <w:t>P</w:t>
      </w:r>
      <w:r w:rsidRPr="00CE1978">
        <w:rPr>
          <w:rFonts w:ascii="Times New Roman" w:hAnsi="Times New Roman" w:cs="Times New Roman"/>
          <w:color w:val="000000" w:themeColor="text1"/>
          <w:szCs w:val="24"/>
        </w:rPr>
        <w:t xml:space="preserve">rzepis </w:t>
      </w:r>
      <w:r w:rsidR="00F01044" w:rsidRPr="00CE1978">
        <w:rPr>
          <w:rFonts w:ascii="Times New Roman" w:hAnsi="Times New Roman" w:cs="Times New Roman"/>
          <w:color w:val="000000" w:themeColor="text1"/>
          <w:szCs w:val="24"/>
        </w:rPr>
        <w:t xml:space="preserve">dotyczy </w:t>
      </w:r>
      <w:r w:rsidRPr="00CE1978">
        <w:rPr>
          <w:rFonts w:ascii="Times New Roman" w:hAnsi="Times New Roman" w:cs="Times New Roman"/>
          <w:color w:val="000000" w:themeColor="text1"/>
          <w:szCs w:val="24"/>
        </w:rPr>
        <w:t>zamian w zakresie obowiązujących przepisów ustawy o drogach publicznych, stanowiących ułatwienie dla zarządców dróg w zakresie zwolnienia z obowiązku budowy kanałów technologicznych. Stanowią oczekiwane przez wnioskodawców rozwiązanie, w związku z czym nie wymagają 6 miesięcznego vacatio legis.</w:t>
      </w:r>
    </w:p>
    <w:p w14:paraId="774E1861" w14:textId="2A42AD28" w:rsidR="00FE129E" w:rsidRPr="00532F3A" w:rsidRDefault="00FE129E" w:rsidP="00F91F34">
      <w:pPr>
        <w:spacing w:before="120" w:after="0" w:line="360" w:lineRule="auto"/>
        <w:jc w:val="both"/>
        <w:rPr>
          <w:rFonts w:ascii="Times New Roman" w:eastAsia="Times New Roman" w:hAnsi="Times New Roman" w:cs="Times New Roman"/>
          <w:sz w:val="24"/>
          <w:szCs w:val="24"/>
          <w:lang w:eastAsia="pl-PL"/>
        </w:rPr>
      </w:pPr>
      <w:r w:rsidRPr="00CE1978">
        <w:rPr>
          <w:rFonts w:ascii="Times New Roman" w:eastAsia="Times New Roman" w:hAnsi="Times New Roman" w:cs="Times New Roman"/>
          <w:sz w:val="24"/>
          <w:szCs w:val="24"/>
          <w:lang w:eastAsia="pl-PL"/>
        </w:rPr>
        <w:t xml:space="preserve">W terminie 7 dni od dnia ogłoszenia wejdzie w życie art. 59, </w:t>
      </w:r>
      <w:r w:rsidR="00D95DC2" w:rsidRPr="00CE1978">
        <w:rPr>
          <w:rFonts w:ascii="Times New Roman" w:eastAsia="Times New Roman" w:hAnsi="Times New Roman" w:cs="Times New Roman"/>
          <w:sz w:val="24"/>
          <w:szCs w:val="24"/>
          <w:lang w:eastAsia="pl-PL"/>
        </w:rPr>
        <w:t xml:space="preserve">art. 92, </w:t>
      </w:r>
      <w:r w:rsidRPr="00CE1978">
        <w:rPr>
          <w:rFonts w:ascii="Times New Roman" w:eastAsia="Times New Roman" w:hAnsi="Times New Roman" w:cs="Times New Roman"/>
          <w:sz w:val="24"/>
          <w:szCs w:val="24"/>
          <w:lang w:eastAsia="pl-PL"/>
        </w:rPr>
        <w:t>art. 1</w:t>
      </w:r>
      <w:r w:rsidR="004F41A8" w:rsidRPr="00CE1978">
        <w:rPr>
          <w:rFonts w:ascii="Times New Roman" w:eastAsia="Times New Roman" w:hAnsi="Times New Roman" w:cs="Times New Roman"/>
          <w:sz w:val="24"/>
          <w:szCs w:val="24"/>
          <w:lang w:eastAsia="pl-PL"/>
        </w:rPr>
        <w:t>09</w:t>
      </w:r>
      <w:r w:rsidR="005F4707" w:rsidRPr="00CE1978">
        <w:rPr>
          <w:rFonts w:ascii="Times New Roman" w:eastAsia="Times New Roman" w:hAnsi="Times New Roman" w:cs="Times New Roman"/>
          <w:sz w:val="24"/>
          <w:szCs w:val="24"/>
          <w:lang w:eastAsia="pl-PL"/>
        </w:rPr>
        <w:t>,</w:t>
      </w:r>
      <w:r w:rsidR="0049610E" w:rsidRPr="00CE1978">
        <w:rPr>
          <w:rFonts w:ascii="Times New Roman" w:eastAsia="Times New Roman" w:hAnsi="Times New Roman" w:cs="Times New Roman"/>
          <w:sz w:val="24"/>
          <w:szCs w:val="24"/>
          <w:lang w:eastAsia="pl-PL"/>
        </w:rPr>
        <w:t xml:space="preserve"> </w:t>
      </w:r>
      <w:r w:rsidRPr="00CE1978">
        <w:rPr>
          <w:rFonts w:ascii="Times New Roman" w:eastAsia="Times New Roman" w:hAnsi="Times New Roman" w:cs="Times New Roman"/>
          <w:sz w:val="24"/>
          <w:szCs w:val="24"/>
          <w:lang w:eastAsia="pl-PL"/>
        </w:rPr>
        <w:t>art. 11</w:t>
      </w:r>
      <w:r w:rsidR="004F41A8" w:rsidRPr="00CE1978">
        <w:rPr>
          <w:rFonts w:ascii="Times New Roman" w:eastAsia="Times New Roman" w:hAnsi="Times New Roman" w:cs="Times New Roman"/>
          <w:sz w:val="24"/>
          <w:szCs w:val="24"/>
          <w:lang w:eastAsia="pl-PL"/>
        </w:rPr>
        <w:t>5</w:t>
      </w:r>
      <w:r w:rsidRPr="00CE1978">
        <w:rPr>
          <w:rFonts w:ascii="Times New Roman" w:eastAsia="Times New Roman" w:hAnsi="Times New Roman" w:cs="Times New Roman"/>
          <w:sz w:val="24"/>
          <w:szCs w:val="24"/>
          <w:lang w:eastAsia="pl-PL"/>
        </w:rPr>
        <w:t xml:space="preserve"> </w:t>
      </w:r>
      <w:r w:rsidR="00E15BDB" w:rsidRPr="00CE1978">
        <w:rPr>
          <w:rFonts w:ascii="Times New Roman" w:eastAsia="Times New Roman" w:hAnsi="Times New Roman" w:cs="Times New Roman"/>
          <w:sz w:val="24"/>
          <w:szCs w:val="24"/>
          <w:lang w:eastAsia="pl-PL"/>
        </w:rPr>
        <w:t xml:space="preserve">i </w:t>
      </w:r>
      <w:r w:rsidR="005F4707" w:rsidRPr="00CE1978">
        <w:rPr>
          <w:rFonts w:ascii="Times New Roman" w:eastAsia="Times New Roman" w:hAnsi="Times New Roman" w:cs="Times New Roman"/>
          <w:sz w:val="24"/>
          <w:szCs w:val="24"/>
          <w:lang w:eastAsia="pl-PL"/>
        </w:rPr>
        <w:t xml:space="preserve">art. </w:t>
      </w:r>
      <w:r w:rsidR="00C94F03" w:rsidRPr="00CE1978">
        <w:rPr>
          <w:rFonts w:ascii="Times New Roman" w:eastAsia="Times New Roman" w:hAnsi="Times New Roman" w:cs="Times New Roman"/>
          <w:sz w:val="24"/>
          <w:szCs w:val="24"/>
          <w:lang w:eastAsia="pl-PL"/>
        </w:rPr>
        <w:t>116</w:t>
      </w:r>
      <w:r w:rsidR="00E15BDB" w:rsidRPr="00CE1978">
        <w:rPr>
          <w:rFonts w:ascii="Times New Roman" w:eastAsia="Times New Roman" w:hAnsi="Times New Roman" w:cs="Times New Roman"/>
          <w:sz w:val="24"/>
          <w:szCs w:val="24"/>
          <w:lang w:eastAsia="pl-PL"/>
        </w:rPr>
        <w:t xml:space="preserve"> wPke</w:t>
      </w:r>
      <w:r w:rsidRPr="00CE1978">
        <w:rPr>
          <w:rFonts w:ascii="Times New Roman" w:eastAsia="Times New Roman" w:hAnsi="Times New Roman" w:cs="Times New Roman"/>
          <w:sz w:val="24"/>
          <w:szCs w:val="24"/>
          <w:lang w:eastAsia="pl-PL"/>
        </w:rPr>
        <w:t xml:space="preserve">. </w:t>
      </w:r>
      <w:r w:rsidR="00965BC2" w:rsidRPr="00CE1978">
        <w:rPr>
          <w:rFonts w:ascii="Times New Roman" w:eastAsia="Times New Roman" w:hAnsi="Times New Roman" w:cs="Times New Roman"/>
          <w:sz w:val="24"/>
          <w:szCs w:val="24"/>
          <w:lang w:eastAsia="pl-PL"/>
        </w:rPr>
        <w:t xml:space="preserve">Art. 59 </w:t>
      </w:r>
      <w:r w:rsidR="00364E53" w:rsidRPr="00CE1978">
        <w:rPr>
          <w:rFonts w:ascii="Times New Roman" w:eastAsia="Times New Roman" w:hAnsi="Times New Roman" w:cs="Times New Roman"/>
          <w:sz w:val="24"/>
          <w:szCs w:val="24"/>
          <w:lang w:eastAsia="pl-PL"/>
        </w:rPr>
        <w:t xml:space="preserve">zapewnia podstawę prawną dla ustalenia i uiszczania opłaty telekomunikacyjnej w 2023 r. </w:t>
      </w:r>
      <w:r w:rsidR="00965BC2" w:rsidRPr="00CE1978">
        <w:rPr>
          <w:rFonts w:ascii="Times New Roman" w:eastAsia="Times New Roman" w:hAnsi="Times New Roman" w:cs="Times New Roman"/>
          <w:sz w:val="24"/>
          <w:szCs w:val="24"/>
          <w:lang w:eastAsia="pl-PL"/>
        </w:rPr>
        <w:t>Pozostałe przepisy</w:t>
      </w:r>
      <w:r w:rsidRPr="00CE1978">
        <w:rPr>
          <w:rFonts w:ascii="Times New Roman" w:eastAsia="Times New Roman" w:hAnsi="Times New Roman" w:cs="Times New Roman"/>
          <w:sz w:val="24"/>
          <w:szCs w:val="24"/>
          <w:lang w:eastAsia="pl-PL"/>
        </w:rPr>
        <w:t xml:space="preserve"> wiążą się z wprowadzoną w art. 23 ust. 22 Pke nową opłatą za prawo używania urządzenia objętego pozwoleniem. Pke wskazuje wysokość tej opłaty, która będzie powiązana z wysokością średniego wynagrodzenia w gospodarce narodowej. Wysokość opłaty będzie przy tym podawana w informacji Prezesa UKE ogłaszanej corocznie do dnia 31 marca. Projektowany art. </w:t>
      </w:r>
      <w:r w:rsidR="00B66E23" w:rsidRPr="00CE1978">
        <w:rPr>
          <w:rFonts w:ascii="Times New Roman" w:eastAsia="Times New Roman" w:hAnsi="Times New Roman" w:cs="Times New Roman"/>
          <w:sz w:val="24"/>
          <w:szCs w:val="24"/>
          <w:lang w:eastAsia="pl-PL"/>
        </w:rPr>
        <w:t xml:space="preserve">109 </w:t>
      </w:r>
      <w:r w:rsidRPr="00CE1978">
        <w:rPr>
          <w:rFonts w:ascii="Times New Roman" w:eastAsia="Times New Roman" w:hAnsi="Times New Roman" w:cs="Times New Roman"/>
          <w:sz w:val="24"/>
          <w:szCs w:val="24"/>
          <w:lang w:eastAsia="pl-PL"/>
        </w:rPr>
        <w:t>wPke zawiera przepisy przejściowe regulujące ogłoszenie w/w informacji po raz pierwszy.</w:t>
      </w:r>
      <w:r w:rsidR="00364E53" w:rsidRPr="00CE1978">
        <w:rPr>
          <w:rFonts w:ascii="Times New Roman" w:eastAsia="Times New Roman" w:hAnsi="Times New Roman" w:cs="Times New Roman"/>
          <w:sz w:val="24"/>
          <w:szCs w:val="24"/>
          <w:lang w:eastAsia="pl-PL"/>
        </w:rPr>
        <w:t xml:space="preserve"> Art. 11</w:t>
      </w:r>
      <w:r w:rsidR="00AA60BF" w:rsidRPr="00CE1978">
        <w:rPr>
          <w:rFonts w:ascii="Times New Roman" w:eastAsia="Times New Roman" w:hAnsi="Times New Roman" w:cs="Times New Roman"/>
          <w:sz w:val="24"/>
          <w:szCs w:val="24"/>
          <w:lang w:eastAsia="pl-PL"/>
        </w:rPr>
        <w:t>5</w:t>
      </w:r>
      <w:r w:rsidR="00364E53" w:rsidRPr="00CE1978">
        <w:rPr>
          <w:rFonts w:ascii="Times New Roman" w:eastAsia="Times New Roman" w:hAnsi="Times New Roman" w:cs="Times New Roman"/>
          <w:sz w:val="24"/>
          <w:szCs w:val="24"/>
          <w:lang w:eastAsia="pl-PL"/>
        </w:rPr>
        <w:t xml:space="preserve"> wPke zapewnia możliwość utworzenia rezerwy celowej, o której mowa w art. 26 ust. 6 Pke.</w:t>
      </w:r>
      <w:r w:rsidR="005F4707" w:rsidRPr="00CE1978">
        <w:rPr>
          <w:rFonts w:ascii="Times New Roman" w:eastAsia="Times New Roman" w:hAnsi="Times New Roman" w:cs="Times New Roman"/>
          <w:sz w:val="24"/>
          <w:szCs w:val="24"/>
          <w:lang w:eastAsia="pl-PL"/>
        </w:rPr>
        <w:t xml:space="preserve"> Konieczność wejścia w życie art. </w:t>
      </w:r>
      <w:r w:rsidR="00C94F03" w:rsidRPr="00CE1978">
        <w:rPr>
          <w:rFonts w:ascii="Times New Roman" w:eastAsia="Times New Roman" w:hAnsi="Times New Roman" w:cs="Times New Roman"/>
          <w:sz w:val="24"/>
          <w:szCs w:val="24"/>
          <w:lang w:eastAsia="pl-PL"/>
        </w:rPr>
        <w:t xml:space="preserve">116 </w:t>
      </w:r>
      <w:r w:rsidR="005F4707" w:rsidRPr="00CE1978">
        <w:rPr>
          <w:rFonts w:ascii="Times New Roman" w:eastAsia="Times New Roman" w:hAnsi="Times New Roman" w:cs="Times New Roman"/>
          <w:sz w:val="24"/>
          <w:szCs w:val="24"/>
          <w:lang w:eastAsia="pl-PL"/>
        </w:rPr>
        <w:t>w terminie skróconym jest konsekwencją wejścia w życie w tym terminie art. 26 ust. 6</w:t>
      </w:r>
      <w:r w:rsidR="00532F3A">
        <w:rPr>
          <w:rFonts w:ascii="Times New Roman" w:eastAsia="Times New Roman" w:hAnsi="Times New Roman" w:cs="Times New Roman"/>
          <w:sz w:val="24"/>
          <w:szCs w:val="24"/>
          <w:lang w:eastAsia="pl-PL"/>
        </w:rPr>
        <w:t>–</w:t>
      </w:r>
      <w:r w:rsidR="005F4707" w:rsidRPr="00532F3A">
        <w:rPr>
          <w:rFonts w:ascii="Times New Roman" w:eastAsia="Times New Roman" w:hAnsi="Times New Roman" w:cs="Times New Roman"/>
          <w:sz w:val="24"/>
          <w:szCs w:val="24"/>
          <w:lang w:eastAsia="pl-PL"/>
        </w:rPr>
        <w:t xml:space="preserve">8 Pke oraz art. 115 </w:t>
      </w:r>
      <w:r w:rsidR="00985F49" w:rsidRPr="00532F3A">
        <w:rPr>
          <w:rFonts w:ascii="Times New Roman" w:eastAsia="Times New Roman" w:hAnsi="Times New Roman" w:cs="Times New Roman"/>
          <w:sz w:val="24"/>
          <w:szCs w:val="24"/>
          <w:lang w:eastAsia="pl-PL"/>
        </w:rPr>
        <w:t xml:space="preserve">wPke </w:t>
      </w:r>
      <w:r w:rsidR="005F4707" w:rsidRPr="00532F3A">
        <w:rPr>
          <w:rFonts w:ascii="Times New Roman" w:eastAsia="Times New Roman" w:hAnsi="Times New Roman" w:cs="Times New Roman"/>
          <w:sz w:val="24"/>
          <w:szCs w:val="24"/>
          <w:lang w:eastAsia="pl-PL"/>
        </w:rPr>
        <w:t>i wynika z konieczności utworzenia rezerwy celowej po raz pierwszy w roku 2023.</w:t>
      </w:r>
    </w:p>
    <w:p w14:paraId="3829D7C0" w14:textId="63452A35" w:rsidR="00FE096F" w:rsidRPr="00532F3A"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 xml:space="preserve">Wyjątkiem będą również art. </w:t>
      </w:r>
      <w:r w:rsidRPr="00C10C7D">
        <w:rPr>
          <w:rFonts w:ascii="Times New Roman" w:hAnsi="Times New Roman" w:cs="Times New Roman"/>
          <w:color w:val="000000" w:themeColor="text1"/>
          <w:sz w:val="24"/>
          <w:szCs w:val="24"/>
        </w:rPr>
        <w:t xml:space="preserve">36 pkt </w:t>
      </w:r>
      <w:r w:rsidR="005D6EFF" w:rsidRPr="00C10C7D">
        <w:rPr>
          <w:rFonts w:ascii="Times New Roman" w:hAnsi="Times New Roman" w:cs="Times New Roman"/>
          <w:color w:val="000000" w:themeColor="text1"/>
          <w:sz w:val="24"/>
          <w:szCs w:val="24"/>
        </w:rPr>
        <w:t xml:space="preserve">23 </w:t>
      </w:r>
      <w:r w:rsidRPr="00C10C7D">
        <w:rPr>
          <w:rFonts w:ascii="Times New Roman" w:hAnsi="Times New Roman" w:cs="Times New Roman"/>
          <w:color w:val="000000" w:themeColor="text1"/>
          <w:sz w:val="24"/>
          <w:szCs w:val="24"/>
        </w:rPr>
        <w:t>i 26</w:t>
      </w:r>
      <w:r w:rsidR="00027D27" w:rsidRPr="00C10C7D">
        <w:rPr>
          <w:rFonts w:ascii="Times New Roman" w:hAnsi="Times New Roman" w:cs="Times New Roman"/>
          <w:color w:val="000000" w:themeColor="text1"/>
          <w:sz w:val="24"/>
          <w:szCs w:val="24"/>
        </w:rPr>
        <w:t>,</w:t>
      </w:r>
      <w:r w:rsidRPr="00C10C7D">
        <w:rPr>
          <w:rFonts w:ascii="Times New Roman" w:hAnsi="Times New Roman" w:cs="Times New Roman"/>
          <w:color w:val="000000" w:themeColor="text1"/>
          <w:sz w:val="24"/>
          <w:szCs w:val="24"/>
        </w:rPr>
        <w:t xml:space="preserve"> </w:t>
      </w:r>
      <w:r w:rsidR="00205340" w:rsidRPr="00C10C7D">
        <w:rPr>
          <w:rFonts w:ascii="Times New Roman" w:eastAsia="MS Mincho" w:hAnsi="Times New Roman" w:cs="Times New Roman"/>
          <w:sz w:val="24"/>
          <w:szCs w:val="24"/>
          <w:lang w:eastAsia="pl-PL"/>
        </w:rPr>
        <w:t xml:space="preserve">art. </w:t>
      </w:r>
      <w:r w:rsidR="000E618F" w:rsidRPr="00C10C7D">
        <w:rPr>
          <w:rFonts w:ascii="Times New Roman" w:eastAsia="MS Mincho" w:hAnsi="Times New Roman" w:cs="Times New Roman"/>
          <w:sz w:val="24"/>
          <w:szCs w:val="24"/>
          <w:lang w:eastAsia="pl-PL"/>
        </w:rPr>
        <w:t xml:space="preserve">41 </w:t>
      </w:r>
      <w:r w:rsidR="00205340" w:rsidRPr="00C10C7D">
        <w:rPr>
          <w:rFonts w:ascii="Times New Roman" w:eastAsia="MS Mincho" w:hAnsi="Times New Roman" w:cs="Times New Roman"/>
          <w:sz w:val="24"/>
          <w:szCs w:val="24"/>
          <w:lang w:eastAsia="pl-PL"/>
        </w:rPr>
        <w:t>pkt 9</w:t>
      </w:r>
      <w:r w:rsidR="00532F3A">
        <w:rPr>
          <w:rFonts w:ascii="Times New Roman" w:eastAsia="MS Mincho" w:hAnsi="Times New Roman" w:cs="Times New Roman"/>
          <w:sz w:val="24"/>
          <w:szCs w:val="24"/>
          <w:lang w:eastAsia="pl-PL"/>
        </w:rPr>
        <w:t xml:space="preserve"> </w:t>
      </w:r>
      <w:r w:rsidR="00205340" w:rsidRPr="00532F3A">
        <w:rPr>
          <w:rFonts w:ascii="Times New Roman" w:eastAsia="MS Mincho" w:hAnsi="Times New Roman" w:cs="Times New Roman"/>
          <w:sz w:val="24"/>
          <w:szCs w:val="24"/>
          <w:lang w:eastAsia="pl-PL"/>
        </w:rPr>
        <w:t>w zakresie art. 20 ust.</w:t>
      </w:r>
      <w:r w:rsidR="00532F3A">
        <w:rPr>
          <w:rFonts w:ascii="Times New Roman" w:eastAsia="MS Mincho" w:hAnsi="Times New Roman" w:cs="Times New Roman"/>
          <w:sz w:val="24"/>
          <w:szCs w:val="24"/>
          <w:lang w:eastAsia="pl-PL"/>
        </w:rPr>
        <w:t xml:space="preserve"> </w:t>
      </w:r>
      <w:r w:rsidR="00205340" w:rsidRPr="00532F3A">
        <w:rPr>
          <w:rFonts w:ascii="Times New Roman" w:eastAsia="MS Mincho" w:hAnsi="Times New Roman" w:cs="Times New Roman"/>
          <w:sz w:val="24"/>
          <w:szCs w:val="24"/>
          <w:lang w:eastAsia="pl-PL"/>
        </w:rPr>
        <w:t>1 pkt</w:t>
      </w:r>
      <w:r w:rsidR="00532F3A">
        <w:rPr>
          <w:rFonts w:ascii="Times New Roman" w:eastAsia="MS Mincho" w:hAnsi="Times New Roman" w:cs="Times New Roman"/>
          <w:sz w:val="24"/>
          <w:szCs w:val="24"/>
          <w:lang w:eastAsia="pl-PL"/>
        </w:rPr>
        <w:t xml:space="preserve"> </w:t>
      </w:r>
      <w:r w:rsidR="00307573" w:rsidRPr="00532F3A">
        <w:rPr>
          <w:rFonts w:ascii="Times New Roman" w:eastAsia="MS Mincho" w:hAnsi="Times New Roman" w:cs="Times New Roman"/>
          <w:sz w:val="24"/>
          <w:szCs w:val="24"/>
          <w:lang w:eastAsia="pl-PL"/>
        </w:rPr>
        <w:t>2 lit.</w:t>
      </w:r>
      <w:r w:rsidR="00532F3A">
        <w:rPr>
          <w:rFonts w:ascii="Times New Roman" w:eastAsia="MS Mincho" w:hAnsi="Times New Roman" w:cs="Times New Roman"/>
          <w:sz w:val="24"/>
          <w:szCs w:val="24"/>
          <w:lang w:eastAsia="pl-PL"/>
        </w:rPr>
        <w:t xml:space="preserve"> </w:t>
      </w:r>
      <w:r w:rsidR="00307573" w:rsidRPr="00532F3A">
        <w:rPr>
          <w:rFonts w:ascii="Times New Roman" w:eastAsia="MS Mincho" w:hAnsi="Times New Roman" w:cs="Times New Roman"/>
          <w:sz w:val="24"/>
          <w:szCs w:val="24"/>
          <w:lang w:eastAsia="pl-PL"/>
        </w:rPr>
        <w:t>b</w:t>
      </w:r>
      <w:r w:rsidRPr="00532F3A">
        <w:rPr>
          <w:rFonts w:ascii="Times New Roman" w:hAnsi="Times New Roman" w:cs="Times New Roman"/>
          <w:color w:val="000000" w:themeColor="text1"/>
          <w:sz w:val="24"/>
          <w:szCs w:val="24"/>
        </w:rPr>
        <w:t xml:space="preserve"> nowelizujące zasady prowadzenia inwentaryzacji infrastruktury i usług telekomunikacyjnych Prezesa UKE, a także nowelizujące zasady raportowania przez operatorów sieci o infrastrukturze nieobjętej obowiązkiem inwentaryzacyjnym. Zmiany te wejdą w życie z dniem 1 stycznia 2023 r., wraz z innymi zmianami w zasadach prowadzenia inwentaryzacji, określonymi pierwotnie</w:t>
      </w:r>
      <w:r w:rsidR="0090252D" w:rsidRPr="00532F3A">
        <w:rPr>
          <w:rFonts w:ascii="Times New Roman" w:hAnsi="Times New Roman" w:cs="Times New Roman"/>
          <w:color w:val="000000" w:themeColor="text1"/>
          <w:sz w:val="24"/>
          <w:szCs w:val="24"/>
        </w:rPr>
        <w:t xml:space="preserve"> </w:t>
      </w:r>
      <w:r w:rsidRPr="00532F3A">
        <w:rPr>
          <w:rFonts w:ascii="Times New Roman" w:hAnsi="Times New Roman" w:cs="Times New Roman"/>
          <w:color w:val="000000" w:themeColor="text1"/>
          <w:sz w:val="24"/>
          <w:szCs w:val="24"/>
        </w:rPr>
        <w:t>w ustawie z dnia 30 sierpnia 2019 r. o zmianie ustawy o wspieraniu rozwoju usług i sieci telekomunikacyjnych oraz niektórych innych ustaw</w:t>
      </w:r>
      <w:r w:rsidR="002F5F78" w:rsidRPr="00532F3A">
        <w:rPr>
          <w:rFonts w:ascii="Times New Roman" w:hAnsi="Times New Roman" w:cs="Times New Roman"/>
          <w:color w:val="000000" w:themeColor="text1"/>
          <w:sz w:val="24"/>
          <w:szCs w:val="24"/>
        </w:rPr>
        <w:t xml:space="preserve">, z wyjątkiem art. 55, który wejdzie w życie po upływie </w:t>
      </w:r>
      <w:r w:rsidR="002F5F78" w:rsidRPr="00F91F34">
        <w:rPr>
          <w:rFonts w:ascii="Times New Roman" w:eastAsia="MS Mincho" w:hAnsi="Times New Roman" w:cs="Times New Roman"/>
          <w:sz w:val="24"/>
          <w:szCs w:val="24"/>
        </w:rPr>
        <w:t>14</w:t>
      </w:r>
      <w:r w:rsidR="00532F3A">
        <w:rPr>
          <w:rFonts w:ascii="Times New Roman" w:eastAsia="MS Mincho" w:hAnsi="Times New Roman" w:cs="Times New Roman"/>
          <w:sz w:val="24"/>
          <w:szCs w:val="24"/>
        </w:rPr>
        <w:t xml:space="preserve"> </w:t>
      </w:r>
      <w:r w:rsidR="002F5F78" w:rsidRPr="00F91F34">
        <w:rPr>
          <w:rFonts w:ascii="Times New Roman" w:eastAsia="MS Mincho" w:hAnsi="Times New Roman" w:cs="Times New Roman"/>
          <w:sz w:val="24"/>
          <w:szCs w:val="24"/>
        </w:rPr>
        <w:t>dni od dnia ogłoszenia</w:t>
      </w:r>
      <w:r w:rsidRPr="00532F3A">
        <w:rPr>
          <w:rFonts w:ascii="Times New Roman" w:hAnsi="Times New Roman" w:cs="Times New Roman"/>
          <w:color w:val="000000" w:themeColor="text1"/>
          <w:sz w:val="24"/>
          <w:szCs w:val="24"/>
        </w:rPr>
        <w:t>.</w:t>
      </w:r>
    </w:p>
    <w:p w14:paraId="1664D24F" w14:textId="58F1FE2D" w:rsidR="00FE129E" w:rsidRPr="00C10C7D" w:rsidRDefault="00FE096F" w:rsidP="00F91F34">
      <w:pPr>
        <w:spacing w:before="120" w:after="0" w:line="360" w:lineRule="auto"/>
        <w:jc w:val="both"/>
        <w:rPr>
          <w:rFonts w:ascii="Times New Roman" w:eastAsia="Times New Roman" w:hAnsi="Times New Roman" w:cs="Times New Roman"/>
          <w:color w:val="000000" w:themeColor="text1"/>
          <w:sz w:val="24"/>
          <w:szCs w:val="24"/>
        </w:rPr>
      </w:pPr>
      <w:r w:rsidRPr="00532F3A">
        <w:rPr>
          <w:rFonts w:ascii="Times New Roman" w:eastAsia="Times New Roman" w:hAnsi="Times New Roman" w:cs="Times New Roman"/>
          <w:color w:val="000000" w:themeColor="text1"/>
          <w:sz w:val="24"/>
          <w:szCs w:val="24"/>
        </w:rPr>
        <w:t xml:space="preserve">Dodatkowo zdecydowano, że z dniem </w:t>
      </w:r>
      <w:r w:rsidR="00FE129E" w:rsidRPr="00532F3A">
        <w:rPr>
          <w:rFonts w:ascii="Times New Roman" w:eastAsia="Times New Roman" w:hAnsi="Times New Roman" w:cs="Times New Roman"/>
          <w:color w:val="000000" w:themeColor="text1"/>
          <w:sz w:val="24"/>
          <w:szCs w:val="24"/>
        </w:rPr>
        <w:t xml:space="preserve">następującym po dniu </w:t>
      </w:r>
      <w:r w:rsidRPr="00532F3A">
        <w:rPr>
          <w:rFonts w:ascii="Times New Roman" w:eastAsia="Times New Roman" w:hAnsi="Times New Roman" w:cs="Times New Roman"/>
          <w:color w:val="000000" w:themeColor="text1"/>
          <w:sz w:val="24"/>
          <w:szCs w:val="24"/>
        </w:rPr>
        <w:t xml:space="preserve">ogłoszenia wejdzie w życie przepis art. 69 ust. 3, który wyłącza stosowanie przepisów ograniczających długość trwania zobowiązania umownego do umów zawartych przed dniem wejścia w życie Pke. Również ust. </w:t>
      </w:r>
      <w:r w:rsidR="0067307C" w:rsidRPr="00532F3A">
        <w:rPr>
          <w:rFonts w:ascii="Times New Roman" w:eastAsia="Times New Roman" w:hAnsi="Times New Roman" w:cs="Times New Roman"/>
          <w:color w:val="000000" w:themeColor="text1"/>
          <w:sz w:val="24"/>
          <w:szCs w:val="24"/>
        </w:rPr>
        <w:t>5–</w:t>
      </w:r>
      <w:r w:rsidRPr="00CE1978">
        <w:rPr>
          <w:rFonts w:ascii="Times New Roman" w:eastAsia="Times New Roman" w:hAnsi="Times New Roman" w:cs="Times New Roman"/>
          <w:color w:val="000000" w:themeColor="text1"/>
          <w:sz w:val="24"/>
          <w:szCs w:val="24"/>
        </w:rPr>
        <w:t>7 tego prze</w:t>
      </w:r>
      <w:r w:rsidRPr="00C10C7D">
        <w:rPr>
          <w:rFonts w:ascii="Times New Roman" w:eastAsia="Times New Roman" w:hAnsi="Times New Roman" w:cs="Times New Roman"/>
          <w:color w:val="000000" w:themeColor="text1"/>
          <w:sz w:val="24"/>
          <w:szCs w:val="24"/>
        </w:rPr>
        <w:t xml:space="preserve">pisu, wchodzą w życie w dniu </w:t>
      </w:r>
      <w:r w:rsidR="00FE129E" w:rsidRPr="00C10C7D">
        <w:rPr>
          <w:rFonts w:ascii="Times New Roman" w:eastAsia="Times New Roman" w:hAnsi="Times New Roman" w:cs="Times New Roman"/>
          <w:color w:val="000000" w:themeColor="text1"/>
          <w:sz w:val="24"/>
          <w:szCs w:val="24"/>
        </w:rPr>
        <w:t xml:space="preserve">następującym po dniu </w:t>
      </w:r>
      <w:r w:rsidRPr="00C10C7D">
        <w:rPr>
          <w:rFonts w:ascii="Times New Roman" w:eastAsia="Times New Roman" w:hAnsi="Times New Roman" w:cs="Times New Roman"/>
          <w:color w:val="000000" w:themeColor="text1"/>
          <w:sz w:val="24"/>
          <w:szCs w:val="24"/>
        </w:rPr>
        <w:t>ogłoszenia ustawy wPke. Są to przepisy, które umożliwiają dostawcom usług wprowadzenie zmian w dotychczasowych wzorach umownych oraz stanowią w jaki sposób mają oni dokonać tych zmian. Z tego powodu przepisy powinny wejść w życie przed wejściem w życie ustawy Pke, aby dać dostawcom usług odpowiednią ilość czasu na przygotowanie odpowiednich zmian i doręczenie stosownych informacji abonentom.</w:t>
      </w:r>
    </w:p>
    <w:p w14:paraId="5E71E561" w14:textId="130500D8" w:rsidR="007C3C61" w:rsidRPr="00C10C7D" w:rsidRDefault="007C3C61" w:rsidP="00F91F34">
      <w:pPr>
        <w:spacing w:before="120" w:after="0" w:line="360" w:lineRule="auto"/>
        <w:jc w:val="both"/>
        <w:rPr>
          <w:rFonts w:ascii="Times New Roman" w:hAnsi="Times New Roman" w:cs="Times New Roman"/>
          <w:color w:val="000000" w:themeColor="text1"/>
          <w:sz w:val="24"/>
          <w:szCs w:val="24"/>
        </w:rPr>
      </w:pPr>
      <w:r w:rsidRPr="00C10C7D">
        <w:rPr>
          <w:rStyle w:val="spellingerror"/>
          <w:rFonts w:ascii="Times New Roman" w:hAnsi="Times New Roman" w:cs="Times New Roman"/>
          <w:color w:val="000000" w:themeColor="text1"/>
          <w:sz w:val="24"/>
          <w:szCs w:val="24"/>
        </w:rPr>
        <w:t xml:space="preserve">Wyjątek w zakresie terminu wejścia w życie został przewidziany również dla zmiany w ustawie o systemie powiadamiania ratunkowego polegającej na ustaleniu, że SMS-y kierowane do numeru 112 powinny być dostarczane do centralnego punktu systemu powiadamiania ratunkowego. Regulacja ta z uwagi na konieczność zmian w systemie, w szczególności rozszerzenia funkcjonalności </w:t>
      </w:r>
      <w:r w:rsidRPr="00C10C7D">
        <w:rPr>
          <w:rFonts w:ascii="Times New Roman" w:hAnsi="Times New Roman" w:cs="Times New Roman"/>
          <w:color w:val="000000" w:themeColor="text1"/>
          <w:sz w:val="24"/>
          <w:szCs w:val="24"/>
        </w:rPr>
        <w:t xml:space="preserve">centralnego punktu systemu powiadamiania ratunkowego </w:t>
      </w:r>
      <w:r w:rsidRPr="00C10C7D">
        <w:rPr>
          <w:rStyle w:val="spellingerror"/>
          <w:rFonts w:ascii="Times New Roman" w:hAnsi="Times New Roman" w:cs="Times New Roman"/>
          <w:color w:val="000000" w:themeColor="text1"/>
          <w:sz w:val="24"/>
          <w:szCs w:val="24"/>
        </w:rPr>
        <w:t xml:space="preserve">wejdzie w życie z dniem 1 stycznia 2023 r. </w:t>
      </w:r>
    </w:p>
    <w:p w14:paraId="1F043FFD" w14:textId="7B221E12" w:rsidR="007C3C61" w:rsidRPr="00CE1978" w:rsidRDefault="007C3C61" w:rsidP="00F91F34">
      <w:pPr>
        <w:spacing w:before="120" w:after="0" w:line="360" w:lineRule="auto"/>
        <w:jc w:val="both"/>
        <w:rPr>
          <w:rFonts w:ascii="Times New Roman" w:hAnsi="Times New Roman" w:cs="Times New Roman"/>
          <w:color w:val="000000" w:themeColor="text1"/>
          <w:sz w:val="24"/>
          <w:szCs w:val="24"/>
        </w:rPr>
      </w:pPr>
      <w:r w:rsidRPr="00C10C7D">
        <w:rPr>
          <w:rFonts w:ascii="Times New Roman" w:hAnsi="Times New Roman" w:cs="Times New Roman"/>
          <w:color w:val="000000" w:themeColor="text1"/>
          <w:sz w:val="24"/>
          <w:szCs w:val="24"/>
        </w:rPr>
        <w:t xml:space="preserve">Z </w:t>
      </w:r>
      <w:r w:rsidR="00267F0F" w:rsidRPr="00C10C7D">
        <w:rPr>
          <w:rFonts w:ascii="Times New Roman" w:hAnsi="Times New Roman" w:cs="Times New Roman"/>
          <w:color w:val="000000" w:themeColor="text1"/>
          <w:sz w:val="24"/>
          <w:szCs w:val="24"/>
        </w:rPr>
        <w:t>dniem następującym po dniu ogłoszenia</w:t>
      </w:r>
      <w:r w:rsidR="00267F0F" w:rsidRPr="00C10C7D" w:rsidDel="00267F0F">
        <w:rPr>
          <w:rFonts w:ascii="Times New Roman" w:hAnsi="Times New Roman" w:cs="Times New Roman"/>
          <w:color w:val="000000" w:themeColor="text1"/>
          <w:sz w:val="24"/>
          <w:szCs w:val="24"/>
        </w:rPr>
        <w:t xml:space="preserve"> </w:t>
      </w:r>
      <w:r w:rsidRPr="00C10C7D">
        <w:rPr>
          <w:rFonts w:ascii="Times New Roman" w:hAnsi="Times New Roman" w:cs="Times New Roman"/>
          <w:color w:val="000000" w:themeColor="text1"/>
          <w:sz w:val="24"/>
          <w:szCs w:val="24"/>
        </w:rPr>
        <w:t xml:space="preserve">wejdą w życie zmiany w art. 16a </w:t>
      </w:r>
      <w:r w:rsidR="00A631EF">
        <w:rPr>
          <w:rFonts w:ascii="Times New Roman" w:hAnsi="Times New Roman" w:cs="Times New Roman"/>
          <w:color w:val="000000" w:themeColor="text1"/>
          <w:sz w:val="24"/>
          <w:szCs w:val="24"/>
        </w:rPr>
        <w:t>M</w:t>
      </w:r>
      <w:bookmarkStart w:id="0" w:name="_GoBack"/>
      <w:bookmarkEnd w:id="0"/>
      <w:r w:rsidRPr="00C10C7D">
        <w:rPr>
          <w:rFonts w:ascii="Times New Roman" w:hAnsi="Times New Roman" w:cs="Times New Roman"/>
          <w:color w:val="000000" w:themeColor="text1"/>
          <w:sz w:val="24"/>
          <w:szCs w:val="24"/>
        </w:rPr>
        <w:t>egaustawy, nowelizujące zasady funkcjono</w:t>
      </w:r>
      <w:r w:rsidRPr="00CE1978">
        <w:rPr>
          <w:rFonts w:ascii="Times New Roman" w:hAnsi="Times New Roman" w:cs="Times New Roman"/>
          <w:color w:val="000000" w:themeColor="text1"/>
          <w:sz w:val="24"/>
          <w:szCs w:val="24"/>
        </w:rPr>
        <w:t>wania Funduszu Szerokopasmowego. Istota tych zmian, polegająca na uelastycznieniu form prowadzenia interwencji ze środków Funduszu oraz zasad jego obsługi, a także skierowanie tych przepisów do dysponenta Funduszu, uzasadnia możliwość ich stosowania już od dnia ogłoszenia ustawy.</w:t>
      </w:r>
    </w:p>
    <w:p w14:paraId="7E7288CD" w14:textId="77777777" w:rsidR="007C3C61" w:rsidRPr="00CE1978" w:rsidRDefault="007C3C61" w:rsidP="00F91F34">
      <w:pPr>
        <w:widowControl w:val="0"/>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Przedkładany projekt ustawy jest zgodny z prawem Unii Europejskiej. </w:t>
      </w:r>
    </w:p>
    <w:p w14:paraId="0AF71DDE" w14:textId="77777777" w:rsidR="007C3C61" w:rsidRPr="00CE1978" w:rsidRDefault="007C3C61" w:rsidP="00F91F34">
      <w:pPr>
        <w:widowControl w:val="0"/>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Projekt ustawy nie podlega przedstawieniu właściwym organom i instytucjom Unii Europejskiej, w tym Europejskiemu Bankowi Centralnemu, w celu uzyskania opinii, dokonania powiadomienia, konsultacji albo uzgodnienia.</w:t>
      </w:r>
    </w:p>
    <w:p w14:paraId="45417C7B" w14:textId="55AFB399"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lastRenderedPageBreak/>
        <w:t>Projektowana regulacja nie będzie wymagała notyfikacji Komisji Europejskiej w trybie ustawy z dnia 30 kwietnia 2004 r. o postępowaniu w sprawach dot</w:t>
      </w:r>
      <w:r w:rsidR="00F82F4A">
        <w:rPr>
          <w:rFonts w:ascii="Times New Roman" w:eastAsia="Times New Roman" w:hAnsi="Times New Roman" w:cs="Times New Roman"/>
          <w:color w:val="000000" w:themeColor="text1"/>
          <w:sz w:val="24"/>
          <w:szCs w:val="24"/>
        </w:rPr>
        <w:t>yczących pomocy publicznej (Dz. </w:t>
      </w:r>
      <w:r w:rsidRPr="00CE1978">
        <w:rPr>
          <w:rFonts w:ascii="Times New Roman" w:eastAsia="Times New Roman" w:hAnsi="Times New Roman" w:cs="Times New Roman"/>
          <w:color w:val="000000" w:themeColor="text1"/>
          <w:sz w:val="24"/>
          <w:szCs w:val="24"/>
        </w:rPr>
        <w:t>U. z 2021 r. poz. 743</w:t>
      </w:r>
      <w:r w:rsidR="00C529A1" w:rsidRPr="00CE1978">
        <w:rPr>
          <w:rFonts w:ascii="Times New Roman" w:eastAsia="Times New Roman" w:hAnsi="Times New Roman" w:cs="Times New Roman"/>
          <w:color w:val="000000" w:themeColor="text1"/>
          <w:sz w:val="24"/>
          <w:szCs w:val="24"/>
        </w:rPr>
        <w:t xml:space="preserve"> oraz z 2022 r. poz. 807</w:t>
      </w:r>
      <w:r w:rsidRPr="00CE1978">
        <w:rPr>
          <w:rFonts w:ascii="Times New Roman" w:eastAsia="Times New Roman" w:hAnsi="Times New Roman" w:cs="Times New Roman"/>
          <w:color w:val="000000" w:themeColor="text1"/>
          <w:sz w:val="24"/>
          <w:szCs w:val="24"/>
        </w:rPr>
        <w:t>).</w:t>
      </w:r>
    </w:p>
    <w:p w14:paraId="7C514250" w14:textId="060BCE52"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Projekt ustawy nie zawiera norm technicznych w rozumieniu przepisów rozporządzenia Rady Ministrów z dnia 23 grudnia 2002 r. w sprawie sposobu funkcjonowania krajowego systemu notyfikacji norm i aktów prawnych (Dz. U. poz. 2039</w:t>
      </w:r>
      <w:r w:rsidR="00C529A1" w:rsidRPr="00CE1978">
        <w:rPr>
          <w:rFonts w:ascii="Times New Roman" w:eastAsia="Times New Roman" w:hAnsi="Times New Roman" w:cs="Times New Roman"/>
          <w:color w:val="000000" w:themeColor="text1"/>
          <w:sz w:val="24"/>
          <w:szCs w:val="24"/>
        </w:rPr>
        <w:t xml:space="preserve"> oraz z 2004 r. poz. 597</w:t>
      </w:r>
      <w:r w:rsidRPr="00CE1978">
        <w:rPr>
          <w:rFonts w:ascii="Times New Roman" w:eastAsia="Times New Roman" w:hAnsi="Times New Roman" w:cs="Times New Roman"/>
          <w:color w:val="000000" w:themeColor="text1"/>
          <w:sz w:val="24"/>
          <w:szCs w:val="24"/>
        </w:rPr>
        <w:t>), zatem nie podlega notyfikacji.</w:t>
      </w:r>
    </w:p>
    <w:p w14:paraId="5469E9C7" w14:textId="3CD804AA"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Stosownie do postanowień art. 5 ustawy z dnia 7 lipca 2005 </w:t>
      </w:r>
      <w:r w:rsidR="00F82F4A">
        <w:rPr>
          <w:rFonts w:ascii="Times New Roman" w:eastAsia="Times New Roman" w:hAnsi="Times New Roman" w:cs="Times New Roman"/>
          <w:color w:val="000000" w:themeColor="text1"/>
          <w:sz w:val="24"/>
          <w:szCs w:val="24"/>
        </w:rPr>
        <w:t>r. o działalności lobbingowej w </w:t>
      </w:r>
      <w:r w:rsidRPr="00CE1978">
        <w:rPr>
          <w:rFonts w:ascii="Times New Roman" w:eastAsia="Times New Roman" w:hAnsi="Times New Roman" w:cs="Times New Roman"/>
          <w:color w:val="000000" w:themeColor="text1"/>
          <w:sz w:val="24"/>
          <w:szCs w:val="24"/>
        </w:rPr>
        <w:t>procesie stanowienia prawa (Dz. U. z 2017 r. poz. 248)</w:t>
      </w:r>
      <w:r w:rsidR="00F82F4A">
        <w:rPr>
          <w:rFonts w:ascii="Times New Roman" w:eastAsia="Times New Roman" w:hAnsi="Times New Roman" w:cs="Times New Roman"/>
          <w:color w:val="000000" w:themeColor="text1"/>
          <w:sz w:val="24"/>
          <w:szCs w:val="24"/>
        </w:rPr>
        <w:t>, projekt został udostępniony w </w:t>
      </w:r>
      <w:r w:rsidRPr="00CE1978">
        <w:rPr>
          <w:rFonts w:ascii="Times New Roman" w:eastAsia="Times New Roman" w:hAnsi="Times New Roman" w:cs="Times New Roman"/>
          <w:color w:val="000000" w:themeColor="text1"/>
          <w:sz w:val="24"/>
          <w:szCs w:val="24"/>
        </w:rPr>
        <w:t>Biuletynie Informacji Publicznej. Ponadto zgodnie z § 52 ust. 1 uchwały nr 190 Rady Ministrów z dnia 29 października 2013 r. – Regulamin pracy Rady Ministrów (M.P. z 20</w:t>
      </w:r>
      <w:r w:rsidR="00C529A1" w:rsidRPr="00CE1978">
        <w:rPr>
          <w:rFonts w:ascii="Times New Roman" w:eastAsia="Times New Roman" w:hAnsi="Times New Roman" w:cs="Times New Roman"/>
          <w:color w:val="000000" w:themeColor="text1"/>
          <w:sz w:val="24"/>
          <w:szCs w:val="24"/>
        </w:rPr>
        <w:t>22 r. poz. 348</w:t>
      </w:r>
      <w:r w:rsidRPr="00CE1978">
        <w:rPr>
          <w:rFonts w:ascii="Times New Roman" w:eastAsia="Times New Roman" w:hAnsi="Times New Roman" w:cs="Times New Roman"/>
          <w:color w:val="000000" w:themeColor="text1"/>
          <w:sz w:val="24"/>
          <w:szCs w:val="24"/>
        </w:rPr>
        <w:t xml:space="preserve">), został udostępniony w Biuletynie Informacji Publicznej na stronie podmiotowej Rządowego Centrum Legislacji, w serwisie </w:t>
      </w:r>
      <w:r w:rsidR="00EA6CF3">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color w:val="000000" w:themeColor="text1"/>
          <w:sz w:val="24"/>
          <w:szCs w:val="24"/>
        </w:rPr>
        <w:t>Rządowy Proces Legislacyjny</w:t>
      </w:r>
      <w:r w:rsidR="00EA6CF3">
        <w:rPr>
          <w:rFonts w:ascii="Times New Roman" w:eastAsia="Times New Roman" w:hAnsi="Times New Roman" w:cs="Times New Roman"/>
          <w:color w:val="000000" w:themeColor="text1"/>
          <w:sz w:val="24"/>
          <w:szCs w:val="24"/>
        </w:rPr>
        <w:t>”</w:t>
      </w:r>
      <w:r w:rsidRPr="00CE1978">
        <w:rPr>
          <w:rFonts w:ascii="Times New Roman" w:eastAsia="Times New Roman" w:hAnsi="Times New Roman" w:cs="Times New Roman"/>
          <w:color w:val="000000" w:themeColor="text1"/>
          <w:sz w:val="24"/>
          <w:szCs w:val="24"/>
        </w:rPr>
        <w:t xml:space="preserve">. </w:t>
      </w:r>
    </w:p>
    <w:p w14:paraId="7E3A54BA" w14:textId="77777777" w:rsidR="007C3C61" w:rsidRPr="00CE1978" w:rsidRDefault="007C3C61" w:rsidP="00F91F34">
      <w:pPr>
        <w:spacing w:before="120" w:after="0" w:line="360" w:lineRule="auto"/>
        <w:jc w:val="both"/>
        <w:rPr>
          <w:rFonts w:ascii="Times New Roman" w:eastAsia="Times New Roman" w:hAnsi="Times New Roman" w:cs="Times New Roman"/>
          <w:color w:val="000000" w:themeColor="text1"/>
          <w:sz w:val="24"/>
          <w:szCs w:val="24"/>
        </w:rPr>
      </w:pPr>
      <w:r w:rsidRPr="00CE1978">
        <w:rPr>
          <w:rFonts w:ascii="Times New Roman" w:eastAsia="Times New Roman" w:hAnsi="Times New Roman" w:cs="Times New Roman"/>
          <w:color w:val="000000" w:themeColor="text1"/>
          <w:sz w:val="24"/>
          <w:szCs w:val="24"/>
        </w:rPr>
        <w:t xml:space="preserve">Jednocześnie należy wskazać, że nie ma możliwości podjęcia alternatywnych, w stosunku do projektowanej ustawy, środków umożliwiających osiągnięcie zamierzonego celu. </w:t>
      </w:r>
    </w:p>
    <w:sectPr w:rsidR="007C3C61" w:rsidRPr="00CE1978" w:rsidSect="00F91F34">
      <w:footerReference w:type="default" r:id="rId16"/>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4D523" w14:textId="77777777" w:rsidR="008C5405" w:rsidRDefault="008C5405">
      <w:pPr>
        <w:spacing w:after="0" w:line="240" w:lineRule="auto"/>
      </w:pPr>
      <w:r>
        <w:separator/>
      </w:r>
    </w:p>
  </w:endnote>
  <w:endnote w:type="continuationSeparator" w:id="0">
    <w:p w14:paraId="3C7977F5" w14:textId="77777777" w:rsidR="008C5405" w:rsidRDefault="008C5405">
      <w:pPr>
        <w:spacing w:after="0" w:line="240" w:lineRule="auto"/>
      </w:pPr>
      <w:r>
        <w:continuationSeparator/>
      </w:r>
    </w:p>
  </w:endnote>
  <w:endnote w:type="continuationNotice" w:id="1">
    <w:p w14:paraId="490A0C2A" w14:textId="77777777" w:rsidR="008C5405" w:rsidRDefault="008C54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firabold">
    <w:altName w:val="Times New Roman"/>
    <w:charset w:val="00"/>
    <w:family w:val="auto"/>
    <w:pitch w:val="default"/>
  </w:font>
  <w:font w:name="Helvetica">
    <w:panose1 w:val="020B05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472754"/>
      <w:docPartObj>
        <w:docPartGallery w:val="Page Numbers (Bottom of Page)"/>
        <w:docPartUnique/>
      </w:docPartObj>
    </w:sdtPr>
    <w:sdtEndPr/>
    <w:sdtContent>
      <w:p w14:paraId="2FA1AB2F" w14:textId="2C98BF99" w:rsidR="007E24A1" w:rsidRDefault="007E24A1" w:rsidP="00F91F34">
        <w:pPr>
          <w:pStyle w:val="Stopka"/>
          <w:jc w:val="center"/>
        </w:pPr>
        <w:r w:rsidRPr="00F91F34">
          <w:rPr>
            <w:rFonts w:ascii="Times New Roman" w:hAnsi="Times New Roman" w:cs="Times New Roman"/>
            <w:sz w:val="24"/>
          </w:rPr>
          <w:fldChar w:fldCharType="begin"/>
        </w:r>
        <w:r w:rsidRPr="00F91F34">
          <w:rPr>
            <w:rFonts w:ascii="Times New Roman" w:hAnsi="Times New Roman" w:cs="Times New Roman"/>
            <w:sz w:val="24"/>
          </w:rPr>
          <w:instrText>PAGE   \* MERGEFORMAT</w:instrText>
        </w:r>
        <w:r w:rsidRPr="00F91F34">
          <w:rPr>
            <w:rFonts w:ascii="Times New Roman" w:hAnsi="Times New Roman" w:cs="Times New Roman"/>
            <w:sz w:val="24"/>
          </w:rPr>
          <w:fldChar w:fldCharType="separate"/>
        </w:r>
        <w:r w:rsidR="00A631EF">
          <w:rPr>
            <w:rFonts w:ascii="Times New Roman" w:hAnsi="Times New Roman" w:cs="Times New Roman"/>
            <w:noProof/>
            <w:sz w:val="24"/>
          </w:rPr>
          <w:t>88</w:t>
        </w:r>
        <w:r w:rsidRPr="00F91F34">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57B76C" w14:textId="77777777" w:rsidR="008C5405" w:rsidRDefault="008C5405">
      <w:pPr>
        <w:spacing w:after="0" w:line="240" w:lineRule="auto"/>
      </w:pPr>
      <w:r>
        <w:separator/>
      </w:r>
    </w:p>
  </w:footnote>
  <w:footnote w:type="continuationSeparator" w:id="0">
    <w:p w14:paraId="72DAE1E1" w14:textId="77777777" w:rsidR="008C5405" w:rsidRDefault="008C5405">
      <w:pPr>
        <w:spacing w:after="0" w:line="240" w:lineRule="auto"/>
      </w:pPr>
      <w:r>
        <w:continuationSeparator/>
      </w:r>
    </w:p>
  </w:footnote>
  <w:footnote w:type="continuationNotice" w:id="1">
    <w:p w14:paraId="0B5A209F" w14:textId="77777777" w:rsidR="008C5405" w:rsidRDefault="008C5405">
      <w:pPr>
        <w:spacing w:after="0" w:line="240" w:lineRule="auto"/>
      </w:pPr>
    </w:p>
  </w:footnote>
  <w:footnote w:id="2">
    <w:p w14:paraId="406AC764" w14:textId="0D287999" w:rsidR="007E24A1" w:rsidRPr="00FF3C40" w:rsidRDefault="007E24A1" w:rsidP="007E24A1">
      <w:pPr>
        <w:pStyle w:val="Tekstprzypisudolnego"/>
        <w:ind w:left="284" w:hanging="284"/>
        <w:jc w:val="both"/>
        <w:rPr>
          <w:rFonts w:ascii="Times New Roman" w:hAnsi="Times New Roman" w:cs="Times New Roman"/>
        </w:rPr>
      </w:pPr>
      <w:r w:rsidRPr="00FF3C40">
        <w:rPr>
          <w:rStyle w:val="Odwoanieprzypisudolnego"/>
          <w:rFonts w:ascii="Times New Roman" w:hAnsi="Times New Roman" w:cs="Times New Roman"/>
        </w:rPr>
        <w:footnoteRef/>
      </w:r>
      <w:r w:rsidRPr="002F2F8E">
        <w:rPr>
          <w:rFonts w:ascii="Times New Roman" w:hAnsi="Times New Roman" w:cs="Times New Roman"/>
          <w:vertAlign w:val="superscript"/>
        </w:rPr>
        <w:t>)</w:t>
      </w:r>
      <w:r>
        <w:rPr>
          <w:rFonts w:ascii="Times New Roman" w:hAnsi="Times New Roman" w:cs="Times New Roman"/>
        </w:rPr>
        <w:tab/>
        <w:t>R</w:t>
      </w:r>
      <w:r w:rsidRPr="00FF3C40">
        <w:rPr>
          <w:rFonts w:ascii="Times New Roman" w:hAnsi="Times New Roman" w:cs="Times New Roman"/>
        </w:rPr>
        <w:t>ozporządzenie Prezesa Rady Ministrów z dnia 20 czerwca 2002 r. w sprawie „Za</w:t>
      </w:r>
      <w:r>
        <w:rPr>
          <w:rFonts w:ascii="Times New Roman" w:hAnsi="Times New Roman" w:cs="Times New Roman"/>
        </w:rPr>
        <w:t>sad techniki prawodawczej” (</w:t>
      </w:r>
      <w:r w:rsidRPr="00FF3C40">
        <w:rPr>
          <w:rFonts w:ascii="Times New Roman" w:hAnsi="Times New Roman" w:cs="Times New Roman"/>
        </w:rPr>
        <w:t>Dz. U. z 2016 r. poz. 283)</w:t>
      </w:r>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F21AD"/>
    <w:multiLevelType w:val="hybridMultilevel"/>
    <w:tmpl w:val="525E2F8E"/>
    <w:lvl w:ilvl="0" w:tplc="114035B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6772C3C"/>
    <w:multiLevelType w:val="hybridMultilevel"/>
    <w:tmpl w:val="585C357E"/>
    <w:lvl w:ilvl="0" w:tplc="114035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8DB6F86"/>
    <w:multiLevelType w:val="hybridMultilevel"/>
    <w:tmpl w:val="6BFC0002"/>
    <w:lvl w:ilvl="0" w:tplc="EEB0661E">
      <w:start w:val="1"/>
      <w:numFmt w:val="decimal"/>
      <w:lvlText w:val="%1)"/>
      <w:lvlJc w:val="left"/>
      <w:pPr>
        <w:ind w:left="502" w:hanging="360"/>
      </w:pPr>
    </w:lvl>
    <w:lvl w:ilvl="1" w:tplc="EA4E488E">
      <w:start w:val="1"/>
      <w:numFmt w:val="lowerLetter"/>
      <w:lvlText w:val="%2."/>
      <w:lvlJc w:val="left"/>
      <w:pPr>
        <w:ind w:left="1440" w:hanging="360"/>
      </w:pPr>
    </w:lvl>
    <w:lvl w:ilvl="2" w:tplc="DCC65A48">
      <w:start w:val="1"/>
      <w:numFmt w:val="lowerRoman"/>
      <w:lvlText w:val="%3."/>
      <w:lvlJc w:val="right"/>
      <w:pPr>
        <w:ind w:left="2160" w:hanging="180"/>
      </w:pPr>
    </w:lvl>
    <w:lvl w:ilvl="3" w:tplc="FC468CAA">
      <w:start w:val="1"/>
      <w:numFmt w:val="decimal"/>
      <w:lvlText w:val="%4."/>
      <w:lvlJc w:val="left"/>
      <w:pPr>
        <w:ind w:left="2880" w:hanging="360"/>
      </w:pPr>
    </w:lvl>
    <w:lvl w:ilvl="4" w:tplc="C9148F7A">
      <w:start w:val="1"/>
      <w:numFmt w:val="lowerLetter"/>
      <w:lvlText w:val="%5."/>
      <w:lvlJc w:val="left"/>
      <w:pPr>
        <w:ind w:left="3600" w:hanging="360"/>
      </w:pPr>
    </w:lvl>
    <w:lvl w:ilvl="5" w:tplc="D510703E">
      <w:start w:val="1"/>
      <w:numFmt w:val="lowerRoman"/>
      <w:lvlText w:val="%6."/>
      <w:lvlJc w:val="right"/>
      <w:pPr>
        <w:ind w:left="4320" w:hanging="180"/>
      </w:pPr>
    </w:lvl>
    <w:lvl w:ilvl="6" w:tplc="7786BF52">
      <w:start w:val="1"/>
      <w:numFmt w:val="decimal"/>
      <w:lvlText w:val="%7."/>
      <w:lvlJc w:val="left"/>
      <w:pPr>
        <w:ind w:left="5040" w:hanging="360"/>
      </w:pPr>
    </w:lvl>
    <w:lvl w:ilvl="7" w:tplc="28C6A084">
      <w:start w:val="1"/>
      <w:numFmt w:val="lowerLetter"/>
      <w:lvlText w:val="%8."/>
      <w:lvlJc w:val="left"/>
      <w:pPr>
        <w:ind w:left="5760" w:hanging="360"/>
      </w:pPr>
    </w:lvl>
    <w:lvl w:ilvl="8" w:tplc="732260D4">
      <w:start w:val="1"/>
      <w:numFmt w:val="lowerRoman"/>
      <w:lvlText w:val="%9."/>
      <w:lvlJc w:val="right"/>
      <w:pPr>
        <w:ind w:left="6480" w:hanging="180"/>
      </w:pPr>
    </w:lvl>
  </w:abstractNum>
  <w:abstractNum w:abstractNumId="3" w15:restartNumberingAfterBreak="0">
    <w:nsid w:val="11DE1675"/>
    <w:multiLevelType w:val="hybridMultilevel"/>
    <w:tmpl w:val="748692B0"/>
    <w:lvl w:ilvl="0" w:tplc="732CBC7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26C05425"/>
    <w:multiLevelType w:val="hybridMultilevel"/>
    <w:tmpl w:val="AD541230"/>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273E3A44"/>
    <w:multiLevelType w:val="hybridMultilevel"/>
    <w:tmpl w:val="102CB3F8"/>
    <w:lvl w:ilvl="0" w:tplc="A172FB7E">
      <w:start w:val="1"/>
      <w:numFmt w:val="upperRoman"/>
      <w:lvlText w:val="%1."/>
      <w:lvlJc w:val="left"/>
      <w:pPr>
        <w:ind w:left="360" w:hanging="360"/>
      </w:pPr>
    </w:lvl>
    <w:lvl w:ilvl="1" w:tplc="B5B8069A">
      <w:start w:val="1"/>
      <w:numFmt w:val="lowerLetter"/>
      <w:lvlText w:val="%2."/>
      <w:lvlJc w:val="left"/>
      <w:pPr>
        <w:ind w:left="1080" w:hanging="360"/>
      </w:pPr>
    </w:lvl>
    <w:lvl w:ilvl="2" w:tplc="82961C08">
      <w:start w:val="1"/>
      <w:numFmt w:val="lowerRoman"/>
      <w:lvlText w:val="%3."/>
      <w:lvlJc w:val="right"/>
      <w:pPr>
        <w:ind w:left="1800" w:hanging="180"/>
      </w:pPr>
    </w:lvl>
    <w:lvl w:ilvl="3" w:tplc="E25475B0">
      <w:start w:val="1"/>
      <w:numFmt w:val="decimal"/>
      <w:lvlText w:val="%4."/>
      <w:lvlJc w:val="left"/>
      <w:pPr>
        <w:ind w:left="2520" w:hanging="360"/>
      </w:pPr>
    </w:lvl>
    <w:lvl w:ilvl="4" w:tplc="3B00CD80">
      <w:start w:val="1"/>
      <w:numFmt w:val="lowerLetter"/>
      <w:lvlText w:val="%5."/>
      <w:lvlJc w:val="left"/>
      <w:pPr>
        <w:ind w:left="3240" w:hanging="360"/>
      </w:pPr>
    </w:lvl>
    <w:lvl w:ilvl="5" w:tplc="264C8C96">
      <w:start w:val="1"/>
      <w:numFmt w:val="lowerRoman"/>
      <w:lvlText w:val="%6."/>
      <w:lvlJc w:val="right"/>
      <w:pPr>
        <w:ind w:left="3960" w:hanging="180"/>
      </w:pPr>
    </w:lvl>
    <w:lvl w:ilvl="6" w:tplc="E4924FB4">
      <w:start w:val="1"/>
      <w:numFmt w:val="decimal"/>
      <w:lvlText w:val="%7."/>
      <w:lvlJc w:val="left"/>
      <w:pPr>
        <w:ind w:left="4680" w:hanging="360"/>
      </w:pPr>
    </w:lvl>
    <w:lvl w:ilvl="7" w:tplc="0282B88A">
      <w:start w:val="1"/>
      <w:numFmt w:val="lowerLetter"/>
      <w:lvlText w:val="%8."/>
      <w:lvlJc w:val="left"/>
      <w:pPr>
        <w:ind w:left="5400" w:hanging="360"/>
      </w:pPr>
    </w:lvl>
    <w:lvl w:ilvl="8" w:tplc="F58A79D4">
      <w:start w:val="1"/>
      <w:numFmt w:val="lowerRoman"/>
      <w:lvlText w:val="%9."/>
      <w:lvlJc w:val="right"/>
      <w:pPr>
        <w:ind w:left="6120" w:hanging="180"/>
      </w:pPr>
    </w:lvl>
  </w:abstractNum>
  <w:abstractNum w:abstractNumId="6" w15:restartNumberingAfterBreak="0">
    <w:nsid w:val="279B2CF4"/>
    <w:multiLevelType w:val="hybridMultilevel"/>
    <w:tmpl w:val="AAEA400E"/>
    <w:lvl w:ilvl="0" w:tplc="114035B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34125368"/>
    <w:multiLevelType w:val="hybridMultilevel"/>
    <w:tmpl w:val="FB5C856A"/>
    <w:lvl w:ilvl="0" w:tplc="CFEAF7B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4AA1377"/>
    <w:multiLevelType w:val="hybridMultilevel"/>
    <w:tmpl w:val="A2F05F24"/>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9FA7C17"/>
    <w:multiLevelType w:val="hybridMultilevel"/>
    <w:tmpl w:val="C5AE5E8C"/>
    <w:lvl w:ilvl="0" w:tplc="114035B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3A087168"/>
    <w:multiLevelType w:val="hybridMultilevel"/>
    <w:tmpl w:val="FB00FCC8"/>
    <w:lvl w:ilvl="0" w:tplc="114035B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3B3B06AF"/>
    <w:multiLevelType w:val="hybridMultilevel"/>
    <w:tmpl w:val="31BA3372"/>
    <w:lvl w:ilvl="0" w:tplc="FE8871BA">
      <w:start w:val="1"/>
      <w:numFmt w:val="decimal"/>
      <w:lvlText w:val="%1)"/>
      <w:lvlJc w:val="left"/>
      <w:pPr>
        <w:ind w:left="360" w:hanging="360"/>
      </w:pPr>
      <w:rPr>
        <w:b/>
      </w:rPr>
    </w:lvl>
    <w:lvl w:ilvl="1" w:tplc="6C8A4B34">
      <w:start w:val="1"/>
      <w:numFmt w:val="lowerLetter"/>
      <w:lvlText w:val="%2."/>
      <w:lvlJc w:val="left"/>
      <w:pPr>
        <w:ind w:left="1080" w:hanging="360"/>
      </w:pPr>
    </w:lvl>
    <w:lvl w:ilvl="2" w:tplc="600C3270">
      <w:start w:val="1"/>
      <w:numFmt w:val="lowerRoman"/>
      <w:lvlText w:val="%3."/>
      <w:lvlJc w:val="right"/>
      <w:pPr>
        <w:ind w:left="1800" w:hanging="180"/>
      </w:pPr>
    </w:lvl>
    <w:lvl w:ilvl="3" w:tplc="402EA380">
      <w:start w:val="1"/>
      <w:numFmt w:val="decimal"/>
      <w:lvlText w:val="%4."/>
      <w:lvlJc w:val="left"/>
      <w:pPr>
        <w:ind w:left="2520" w:hanging="360"/>
      </w:pPr>
    </w:lvl>
    <w:lvl w:ilvl="4" w:tplc="02FE13AE">
      <w:start w:val="1"/>
      <w:numFmt w:val="lowerLetter"/>
      <w:lvlText w:val="%5."/>
      <w:lvlJc w:val="left"/>
      <w:pPr>
        <w:ind w:left="3240" w:hanging="360"/>
      </w:pPr>
    </w:lvl>
    <w:lvl w:ilvl="5" w:tplc="387C65DA">
      <w:start w:val="1"/>
      <w:numFmt w:val="lowerRoman"/>
      <w:lvlText w:val="%6."/>
      <w:lvlJc w:val="right"/>
      <w:pPr>
        <w:ind w:left="3960" w:hanging="180"/>
      </w:pPr>
    </w:lvl>
    <w:lvl w:ilvl="6" w:tplc="F36C1168">
      <w:start w:val="1"/>
      <w:numFmt w:val="decimal"/>
      <w:lvlText w:val="%7."/>
      <w:lvlJc w:val="left"/>
      <w:pPr>
        <w:ind w:left="4680" w:hanging="360"/>
      </w:pPr>
    </w:lvl>
    <w:lvl w:ilvl="7" w:tplc="FEDABE04">
      <w:start w:val="1"/>
      <w:numFmt w:val="lowerLetter"/>
      <w:lvlText w:val="%8."/>
      <w:lvlJc w:val="left"/>
      <w:pPr>
        <w:ind w:left="5400" w:hanging="360"/>
      </w:pPr>
    </w:lvl>
    <w:lvl w:ilvl="8" w:tplc="4D60C32C">
      <w:start w:val="1"/>
      <w:numFmt w:val="lowerRoman"/>
      <w:lvlText w:val="%9."/>
      <w:lvlJc w:val="right"/>
      <w:pPr>
        <w:ind w:left="6120" w:hanging="180"/>
      </w:pPr>
    </w:lvl>
  </w:abstractNum>
  <w:abstractNum w:abstractNumId="12" w15:restartNumberingAfterBreak="0">
    <w:nsid w:val="3CB6415C"/>
    <w:multiLevelType w:val="hybridMultilevel"/>
    <w:tmpl w:val="5F5CC4D0"/>
    <w:lvl w:ilvl="0" w:tplc="F3D6083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40AF32B1"/>
    <w:multiLevelType w:val="hybridMultilevel"/>
    <w:tmpl w:val="E89C547A"/>
    <w:lvl w:ilvl="0" w:tplc="114035B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434327C7"/>
    <w:multiLevelType w:val="hybridMultilevel"/>
    <w:tmpl w:val="B5BC6160"/>
    <w:lvl w:ilvl="0" w:tplc="114035BA">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E5A5FAC"/>
    <w:multiLevelType w:val="multilevel"/>
    <w:tmpl w:val="1A0A46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6D305A6"/>
    <w:multiLevelType w:val="hybridMultilevel"/>
    <w:tmpl w:val="B478DB18"/>
    <w:lvl w:ilvl="0" w:tplc="FFFFFFFF">
      <w:start w:val="1"/>
      <w:numFmt w:val="lowerLetter"/>
      <w:lvlText w:val="%1)"/>
      <w:lvlJc w:val="left"/>
      <w:pPr>
        <w:ind w:left="720" w:hanging="360"/>
      </w:pPr>
    </w:lvl>
    <w:lvl w:ilvl="1" w:tplc="2E40B242">
      <w:start w:val="1"/>
      <w:numFmt w:val="lowerLetter"/>
      <w:lvlText w:val="%2."/>
      <w:lvlJc w:val="left"/>
      <w:pPr>
        <w:ind w:left="1440" w:hanging="360"/>
      </w:pPr>
    </w:lvl>
    <w:lvl w:ilvl="2" w:tplc="13D8B0B2">
      <w:start w:val="1"/>
      <w:numFmt w:val="lowerRoman"/>
      <w:lvlText w:val="%3."/>
      <w:lvlJc w:val="right"/>
      <w:pPr>
        <w:ind w:left="2160" w:hanging="180"/>
      </w:pPr>
    </w:lvl>
    <w:lvl w:ilvl="3" w:tplc="3CAC1268">
      <w:start w:val="1"/>
      <w:numFmt w:val="decimal"/>
      <w:lvlText w:val="%4."/>
      <w:lvlJc w:val="left"/>
      <w:pPr>
        <w:ind w:left="2880" w:hanging="360"/>
      </w:pPr>
    </w:lvl>
    <w:lvl w:ilvl="4" w:tplc="7B109F0A">
      <w:start w:val="1"/>
      <w:numFmt w:val="lowerLetter"/>
      <w:lvlText w:val="%5."/>
      <w:lvlJc w:val="left"/>
      <w:pPr>
        <w:ind w:left="3600" w:hanging="360"/>
      </w:pPr>
    </w:lvl>
    <w:lvl w:ilvl="5" w:tplc="F238ECF4">
      <w:start w:val="1"/>
      <w:numFmt w:val="lowerRoman"/>
      <w:lvlText w:val="%6."/>
      <w:lvlJc w:val="right"/>
      <w:pPr>
        <w:ind w:left="4320" w:hanging="180"/>
      </w:pPr>
    </w:lvl>
    <w:lvl w:ilvl="6" w:tplc="021097DC">
      <w:start w:val="1"/>
      <w:numFmt w:val="decimal"/>
      <w:lvlText w:val="%7."/>
      <w:lvlJc w:val="left"/>
      <w:pPr>
        <w:ind w:left="5040" w:hanging="360"/>
      </w:pPr>
    </w:lvl>
    <w:lvl w:ilvl="7" w:tplc="4900F840">
      <w:start w:val="1"/>
      <w:numFmt w:val="lowerLetter"/>
      <w:lvlText w:val="%8."/>
      <w:lvlJc w:val="left"/>
      <w:pPr>
        <w:ind w:left="5760" w:hanging="360"/>
      </w:pPr>
    </w:lvl>
    <w:lvl w:ilvl="8" w:tplc="56FED628">
      <w:start w:val="1"/>
      <w:numFmt w:val="lowerRoman"/>
      <w:lvlText w:val="%9."/>
      <w:lvlJc w:val="right"/>
      <w:pPr>
        <w:ind w:left="6480" w:hanging="180"/>
      </w:pPr>
    </w:lvl>
  </w:abstractNum>
  <w:abstractNum w:abstractNumId="17" w15:restartNumberingAfterBreak="0">
    <w:nsid w:val="67C81EFE"/>
    <w:multiLevelType w:val="hybridMultilevel"/>
    <w:tmpl w:val="67E058C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8" w15:restartNumberingAfterBreak="0">
    <w:nsid w:val="6A89616F"/>
    <w:multiLevelType w:val="hybridMultilevel"/>
    <w:tmpl w:val="5992AC6A"/>
    <w:lvl w:ilvl="0" w:tplc="114035BA">
      <w:start w:val="1"/>
      <w:numFmt w:val="bullet"/>
      <w:lvlText w:val=""/>
      <w:lvlJc w:val="left"/>
      <w:pPr>
        <w:ind w:left="360" w:hanging="360"/>
      </w:pPr>
      <w:rPr>
        <w:rFonts w:ascii="Symbol" w:hAnsi="Symbol" w:hint="default"/>
      </w:rPr>
    </w:lvl>
    <w:lvl w:ilvl="1" w:tplc="56603460">
      <w:start w:val="1"/>
      <w:numFmt w:val="lowerLetter"/>
      <w:lvlText w:val="%2."/>
      <w:lvlJc w:val="left"/>
      <w:pPr>
        <w:ind w:left="1080" w:hanging="360"/>
      </w:pPr>
    </w:lvl>
    <w:lvl w:ilvl="2" w:tplc="B1E8C5D0">
      <w:start w:val="1"/>
      <w:numFmt w:val="lowerRoman"/>
      <w:lvlText w:val="%3."/>
      <w:lvlJc w:val="right"/>
      <w:pPr>
        <w:ind w:left="1800" w:hanging="180"/>
      </w:pPr>
    </w:lvl>
    <w:lvl w:ilvl="3" w:tplc="548278CE">
      <w:start w:val="1"/>
      <w:numFmt w:val="decimal"/>
      <w:lvlText w:val="%4."/>
      <w:lvlJc w:val="left"/>
      <w:pPr>
        <w:ind w:left="2520" w:hanging="360"/>
      </w:pPr>
    </w:lvl>
    <w:lvl w:ilvl="4" w:tplc="DB501A3C">
      <w:start w:val="1"/>
      <w:numFmt w:val="lowerLetter"/>
      <w:lvlText w:val="%5."/>
      <w:lvlJc w:val="left"/>
      <w:pPr>
        <w:ind w:left="3240" w:hanging="360"/>
      </w:pPr>
    </w:lvl>
    <w:lvl w:ilvl="5" w:tplc="DF507D3A">
      <w:start w:val="1"/>
      <w:numFmt w:val="lowerRoman"/>
      <w:lvlText w:val="%6."/>
      <w:lvlJc w:val="right"/>
      <w:pPr>
        <w:ind w:left="3960" w:hanging="180"/>
      </w:pPr>
    </w:lvl>
    <w:lvl w:ilvl="6" w:tplc="971A5594">
      <w:start w:val="1"/>
      <w:numFmt w:val="decimal"/>
      <w:lvlText w:val="%7."/>
      <w:lvlJc w:val="left"/>
      <w:pPr>
        <w:ind w:left="4680" w:hanging="360"/>
      </w:pPr>
    </w:lvl>
    <w:lvl w:ilvl="7" w:tplc="9E20C588">
      <w:start w:val="1"/>
      <w:numFmt w:val="lowerLetter"/>
      <w:lvlText w:val="%8."/>
      <w:lvlJc w:val="left"/>
      <w:pPr>
        <w:ind w:left="5400" w:hanging="360"/>
      </w:pPr>
    </w:lvl>
    <w:lvl w:ilvl="8" w:tplc="AF3AC1A0">
      <w:start w:val="1"/>
      <w:numFmt w:val="lowerRoman"/>
      <w:lvlText w:val="%9."/>
      <w:lvlJc w:val="right"/>
      <w:pPr>
        <w:ind w:left="6120" w:hanging="180"/>
      </w:pPr>
    </w:lvl>
  </w:abstractNum>
  <w:abstractNum w:abstractNumId="19" w15:restartNumberingAfterBreak="0">
    <w:nsid w:val="6B1E31DB"/>
    <w:multiLevelType w:val="hybridMultilevel"/>
    <w:tmpl w:val="85CEA196"/>
    <w:lvl w:ilvl="0" w:tplc="F3D60830">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0" w15:restartNumberingAfterBreak="0">
    <w:nsid w:val="70095E3D"/>
    <w:multiLevelType w:val="hybridMultilevel"/>
    <w:tmpl w:val="0F56B0EA"/>
    <w:lvl w:ilvl="0" w:tplc="5AF60120">
      <w:start w:val="1"/>
      <w:numFmt w:val="decimal"/>
      <w:lvlText w:val="%1)"/>
      <w:lvlJc w:val="left"/>
      <w:pPr>
        <w:ind w:left="360" w:hanging="360"/>
      </w:pPr>
      <w:rPr>
        <w:b/>
      </w:rPr>
    </w:lvl>
    <w:lvl w:ilvl="1" w:tplc="5A920CAE">
      <w:start w:val="1"/>
      <w:numFmt w:val="lowerLetter"/>
      <w:lvlText w:val="%2."/>
      <w:lvlJc w:val="left"/>
      <w:pPr>
        <w:ind w:left="872" w:hanging="360"/>
      </w:pPr>
    </w:lvl>
    <w:lvl w:ilvl="2" w:tplc="B462C9C2">
      <w:start w:val="1"/>
      <w:numFmt w:val="lowerRoman"/>
      <w:lvlText w:val="%3."/>
      <w:lvlJc w:val="right"/>
      <w:pPr>
        <w:ind w:left="1592" w:hanging="180"/>
      </w:pPr>
    </w:lvl>
    <w:lvl w:ilvl="3" w:tplc="9D241042">
      <w:start w:val="1"/>
      <w:numFmt w:val="decimal"/>
      <w:lvlText w:val="%4."/>
      <w:lvlJc w:val="left"/>
      <w:pPr>
        <w:ind w:left="2312" w:hanging="360"/>
      </w:pPr>
    </w:lvl>
    <w:lvl w:ilvl="4" w:tplc="F538ED5E">
      <w:start w:val="1"/>
      <w:numFmt w:val="lowerLetter"/>
      <w:lvlText w:val="%5."/>
      <w:lvlJc w:val="left"/>
      <w:pPr>
        <w:ind w:left="3032" w:hanging="360"/>
      </w:pPr>
    </w:lvl>
    <w:lvl w:ilvl="5" w:tplc="EB8AC41C">
      <w:start w:val="1"/>
      <w:numFmt w:val="lowerRoman"/>
      <w:lvlText w:val="%6."/>
      <w:lvlJc w:val="right"/>
      <w:pPr>
        <w:ind w:left="3752" w:hanging="180"/>
      </w:pPr>
    </w:lvl>
    <w:lvl w:ilvl="6" w:tplc="158607EC">
      <w:start w:val="1"/>
      <w:numFmt w:val="decimal"/>
      <w:lvlText w:val="%7."/>
      <w:lvlJc w:val="left"/>
      <w:pPr>
        <w:ind w:left="4472" w:hanging="360"/>
      </w:pPr>
    </w:lvl>
    <w:lvl w:ilvl="7" w:tplc="47B076CE">
      <w:start w:val="1"/>
      <w:numFmt w:val="lowerLetter"/>
      <w:lvlText w:val="%8."/>
      <w:lvlJc w:val="left"/>
      <w:pPr>
        <w:ind w:left="5192" w:hanging="360"/>
      </w:pPr>
    </w:lvl>
    <w:lvl w:ilvl="8" w:tplc="2452A760">
      <w:start w:val="1"/>
      <w:numFmt w:val="lowerRoman"/>
      <w:lvlText w:val="%9."/>
      <w:lvlJc w:val="right"/>
      <w:pPr>
        <w:ind w:left="5912" w:hanging="180"/>
      </w:pPr>
    </w:lvl>
  </w:abstractNum>
  <w:num w:numId="1">
    <w:abstractNumId w:val="18"/>
  </w:num>
  <w:num w:numId="2">
    <w:abstractNumId w:val="16"/>
  </w:num>
  <w:num w:numId="3">
    <w:abstractNumId w:val="20"/>
  </w:num>
  <w:num w:numId="4">
    <w:abstractNumId w:val="11"/>
  </w:num>
  <w:num w:numId="5">
    <w:abstractNumId w:val="2"/>
  </w:num>
  <w:num w:numId="6">
    <w:abstractNumId w:val="5"/>
  </w:num>
  <w:num w:numId="7">
    <w:abstractNumId w:val="9"/>
  </w:num>
  <w:num w:numId="8">
    <w:abstractNumId w:val="13"/>
  </w:num>
  <w:num w:numId="9">
    <w:abstractNumId w:val="10"/>
  </w:num>
  <w:num w:numId="10">
    <w:abstractNumId w:val="14"/>
  </w:num>
  <w:num w:numId="11">
    <w:abstractNumId w:val="1"/>
  </w:num>
  <w:num w:numId="12">
    <w:abstractNumId w:val="19"/>
  </w:num>
  <w:num w:numId="13">
    <w:abstractNumId w:val="3"/>
  </w:num>
  <w:num w:numId="14">
    <w:abstractNumId w:val="6"/>
  </w:num>
  <w:num w:numId="15">
    <w:abstractNumId w:val="0"/>
  </w:num>
  <w:num w:numId="16">
    <w:abstractNumId w:val="8"/>
  </w:num>
  <w:num w:numId="17">
    <w:abstractNumId w:val="7"/>
  </w:num>
  <w:num w:numId="18">
    <w:abstractNumId w:val="4"/>
  </w:num>
  <w:num w:numId="19">
    <w:abstractNumId w:val="12"/>
  </w:num>
  <w:num w:numId="20">
    <w:abstractNumId w:val="17"/>
  </w:num>
  <w:num w:numId="21">
    <w:abstractNumId w:val="15"/>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2B4C84"/>
    <w:rsid w:val="00001D4A"/>
    <w:rsid w:val="00002E47"/>
    <w:rsid w:val="00003B95"/>
    <w:rsid w:val="00007FD2"/>
    <w:rsid w:val="0001024A"/>
    <w:rsid w:val="00010BF9"/>
    <w:rsid w:val="00011E6A"/>
    <w:rsid w:val="00013C38"/>
    <w:rsid w:val="000171E3"/>
    <w:rsid w:val="00022CBD"/>
    <w:rsid w:val="000236BB"/>
    <w:rsid w:val="0002777F"/>
    <w:rsid w:val="00027D27"/>
    <w:rsid w:val="000303A4"/>
    <w:rsid w:val="00030729"/>
    <w:rsid w:val="00032523"/>
    <w:rsid w:val="000360E9"/>
    <w:rsid w:val="000369C5"/>
    <w:rsid w:val="00042375"/>
    <w:rsid w:val="00042C47"/>
    <w:rsid w:val="00046144"/>
    <w:rsid w:val="00047C0F"/>
    <w:rsid w:val="000508F9"/>
    <w:rsid w:val="00071995"/>
    <w:rsid w:val="00071E50"/>
    <w:rsid w:val="00074852"/>
    <w:rsid w:val="00074BB8"/>
    <w:rsid w:val="00076146"/>
    <w:rsid w:val="00080473"/>
    <w:rsid w:val="000809CF"/>
    <w:rsid w:val="000813BA"/>
    <w:rsid w:val="00083C76"/>
    <w:rsid w:val="00085059"/>
    <w:rsid w:val="00093785"/>
    <w:rsid w:val="000A1514"/>
    <w:rsid w:val="000A4F85"/>
    <w:rsid w:val="000A55C4"/>
    <w:rsid w:val="000A6F48"/>
    <w:rsid w:val="000A765D"/>
    <w:rsid w:val="000B06FD"/>
    <w:rsid w:val="000B3C44"/>
    <w:rsid w:val="000C34A3"/>
    <w:rsid w:val="000C38E8"/>
    <w:rsid w:val="000C3F77"/>
    <w:rsid w:val="000C4205"/>
    <w:rsid w:val="000C64A1"/>
    <w:rsid w:val="000C74DA"/>
    <w:rsid w:val="000C7827"/>
    <w:rsid w:val="000C7D36"/>
    <w:rsid w:val="000D264D"/>
    <w:rsid w:val="000D3883"/>
    <w:rsid w:val="000D3950"/>
    <w:rsid w:val="000D6550"/>
    <w:rsid w:val="000D7AA0"/>
    <w:rsid w:val="000E0107"/>
    <w:rsid w:val="000E618F"/>
    <w:rsid w:val="000E752E"/>
    <w:rsid w:val="000F1EEF"/>
    <w:rsid w:val="000F21DB"/>
    <w:rsid w:val="000F3E9B"/>
    <w:rsid w:val="000F4398"/>
    <w:rsid w:val="000F58F8"/>
    <w:rsid w:val="000F6670"/>
    <w:rsid w:val="001004BE"/>
    <w:rsid w:val="00100909"/>
    <w:rsid w:val="00100D8E"/>
    <w:rsid w:val="00102D2B"/>
    <w:rsid w:val="001052C5"/>
    <w:rsid w:val="00106419"/>
    <w:rsid w:val="00106AC4"/>
    <w:rsid w:val="00107166"/>
    <w:rsid w:val="00110B4B"/>
    <w:rsid w:val="00111687"/>
    <w:rsid w:val="00111946"/>
    <w:rsid w:val="00114E66"/>
    <w:rsid w:val="00115501"/>
    <w:rsid w:val="00115D34"/>
    <w:rsid w:val="00116ABB"/>
    <w:rsid w:val="00120AC3"/>
    <w:rsid w:val="00120B80"/>
    <w:rsid w:val="00121B16"/>
    <w:rsid w:val="0012216D"/>
    <w:rsid w:val="00122C87"/>
    <w:rsid w:val="001269DC"/>
    <w:rsid w:val="00133C4C"/>
    <w:rsid w:val="00136AB4"/>
    <w:rsid w:val="00140567"/>
    <w:rsid w:val="00140B98"/>
    <w:rsid w:val="0014149C"/>
    <w:rsid w:val="0014223A"/>
    <w:rsid w:val="00143622"/>
    <w:rsid w:val="00145B50"/>
    <w:rsid w:val="001460D5"/>
    <w:rsid w:val="00146C4E"/>
    <w:rsid w:val="00150CA3"/>
    <w:rsid w:val="001511AA"/>
    <w:rsid w:val="0015601B"/>
    <w:rsid w:val="00160476"/>
    <w:rsid w:val="00160FF4"/>
    <w:rsid w:val="0016144B"/>
    <w:rsid w:val="00162B59"/>
    <w:rsid w:val="00164F28"/>
    <w:rsid w:val="0017136B"/>
    <w:rsid w:val="001800E4"/>
    <w:rsid w:val="00181719"/>
    <w:rsid w:val="001847F4"/>
    <w:rsid w:val="00187810"/>
    <w:rsid w:val="0019495E"/>
    <w:rsid w:val="00195105"/>
    <w:rsid w:val="001A1D96"/>
    <w:rsid w:val="001A5097"/>
    <w:rsid w:val="001A566F"/>
    <w:rsid w:val="001A73E0"/>
    <w:rsid w:val="001A77A9"/>
    <w:rsid w:val="001B20EA"/>
    <w:rsid w:val="001B224A"/>
    <w:rsid w:val="001B24C8"/>
    <w:rsid w:val="001B264C"/>
    <w:rsid w:val="001B5B17"/>
    <w:rsid w:val="001B5FE4"/>
    <w:rsid w:val="001B7FE2"/>
    <w:rsid w:val="001C08A4"/>
    <w:rsid w:val="001C28D6"/>
    <w:rsid w:val="001C33A6"/>
    <w:rsid w:val="001C52AC"/>
    <w:rsid w:val="001C6A6B"/>
    <w:rsid w:val="001D0BCC"/>
    <w:rsid w:val="001D1241"/>
    <w:rsid w:val="001D1520"/>
    <w:rsid w:val="001D1CEF"/>
    <w:rsid w:val="001D2FB5"/>
    <w:rsid w:val="001D3C61"/>
    <w:rsid w:val="001D415B"/>
    <w:rsid w:val="001D4DEE"/>
    <w:rsid w:val="001D5D2F"/>
    <w:rsid w:val="001D646B"/>
    <w:rsid w:val="001E3A7A"/>
    <w:rsid w:val="001F0C2F"/>
    <w:rsid w:val="001F27EE"/>
    <w:rsid w:val="001F2E9D"/>
    <w:rsid w:val="001F5DF4"/>
    <w:rsid w:val="001F6202"/>
    <w:rsid w:val="001F7F94"/>
    <w:rsid w:val="00201618"/>
    <w:rsid w:val="00201F40"/>
    <w:rsid w:val="00202E7B"/>
    <w:rsid w:val="00205340"/>
    <w:rsid w:val="002079D3"/>
    <w:rsid w:val="002117BC"/>
    <w:rsid w:val="00211E51"/>
    <w:rsid w:val="002121A8"/>
    <w:rsid w:val="00213E9A"/>
    <w:rsid w:val="002162DE"/>
    <w:rsid w:val="00217122"/>
    <w:rsid w:val="00217DAE"/>
    <w:rsid w:val="0022071F"/>
    <w:rsid w:val="00230015"/>
    <w:rsid w:val="00233915"/>
    <w:rsid w:val="00233CBF"/>
    <w:rsid w:val="0024667E"/>
    <w:rsid w:val="00246E02"/>
    <w:rsid w:val="00247C7E"/>
    <w:rsid w:val="00256773"/>
    <w:rsid w:val="00264C01"/>
    <w:rsid w:val="00267F0F"/>
    <w:rsid w:val="00273DBF"/>
    <w:rsid w:val="0027A5D1"/>
    <w:rsid w:val="0028044A"/>
    <w:rsid w:val="00280A63"/>
    <w:rsid w:val="00283653"/>
    <w:rsid w:val="0028366A"/>
    <w:rsid w:val="00285CB1"/>
    <w:rsid w:val="00287AF9"/>
    <w:rsid w:val="002902B5"/>
    <w:rsid w:val="00296F7A"/>
    <w:rsid w:val="00297F61"/>
    <w:rsid w:val="002A04FF"/>
    <w:rsid w:val="002A1DB3"/>
    <w:rsid w:val="002A5288"/>
    <w:rsid w:val="002A5898"/>
    <w:rsid w:val="002A5C55"/>
    <w:rsid w:val="002A5CC7"/>
    <w:rsid w:val="002B211A"/>
    <w:rsid w:val="002B512C"/>
    <w:rsid w:val="002B598C"/>
    <w:rsid w:val="002B7AAF"/>
    <w:rsid w:val="002C0030"/>
    <w:rsid w:val="002C0FFD"/>
    <w:rsid w:val="002C4AD8"/>
    <w:rsid w:val="002C5D48"/>
    <w:rsid w:val="002D01E6"/>
    <w:rsid w:val="002D1963"/>
    <w:rsid w:val="002D3689"/>
    <w:rsid w:val="002D57C4"/>
    <w:rsid w:val="002D6A1E"/>
    <w:rsid w:val="002D7B12"/>
    <w:rsid w:val="002E0F00"/>
    <w:rsid w:val="002E2FF3"/>
    <w:rsid w:val="002E3573"/>
    <w:rsid w:val="002E6EC2"/>
    <w:rsid w:val="002E751F"/>
    <w:rsid w:val="002F00A8"/>
    <w:rsid w:val="002F1008"/>
    <w:rsid w:val="002F2741"/>
    <w:rsid w:val="002F2CD3"/>
    <w:rsid w:val="002F2F8E"/>
    <w:rsid w:val="002F532C"/>
    <w:rsid w:val="002F5F78"/>
    <w:rsid w:val="002FF47E"/>
    <w:rsid w:val="00301517"/>
    <w:rsid w:val="003030D2"/>
    <w:rsid w:val="00303E09"/>
    <w:rsid w:val="0030401A"/>
    <w:rsid w:val="00307573"/>
    <w:rsid w:val="00311D8F"/>
    <w:rsid w:val="003232D2"/>
    <w:rsid w:val="00325267"/>
    <w:rsid w:val="00326192"/>
    <w:rsid w:val="003405AB"/>
    <w:rsid w:val="00340FE5"/>
    <w:rsid w:val="00340FF4"/>
    <w:rsid w:val="00342EA7"/>
    <w:rsid w:val="003452BF"/>
    <w:rsid w:val="00345883"/>
    <w:rsid w:val="00346C81"/>
    <w:rsid w:val="00351A81"/>
    <w:rsid w:val="00353687"/>
    <w:rsid w:val="00355DCD"/>
    <w:rsid w:val="00356508"/>
    <w:rsid w:val="003605E8"/>
    <w:rsid w:val="0036309F"/>
    <w:rsid w:val="0036392E"/>
    <w:rsid w:val="00364166"/>
    <w:rsid w:val="00364E53"/>
    <w:rsid w:val="00376658"/>
    <w:rsid w:val="00380320"/>
    <w:rsid w:val="003804EA"/>
    <w:rsid w:val="00381884"/>
    <w:rsid w:val="00384CF1"/>
    <w:rsid w:val="00384D37"/>
    <w:rsid w:val="00385826"/>
    <w:rsid w:val="0039253A"/>
    <w:rsid w:val="0039433E"/>
    <w:rsid w:val="00396B15"/>
    <w:rsid w:val="003A0D4D"/>
    <w:rsid w:val="003A1912"/>
    <w:rsid w:val="003A2E78"/>
    <w:rsid w:val="003A5D3B"/>
    <w:rsid w:val="003A5FF0"/>
    <w:rsid w:val="003B0907"/>
    <w:rsid w:val="003B0BCF"/>
    <w:rsid w:val="003B1842"/>
    <w:rsid w:val="003B4D64"/>
    <w:rsid w:val="003B5F83"/>
    <w:rsid w:val="003C0514"/>
    <w:rsid w:val="003C13CD"/>
    <w:rsid w:val="003C216C"/>
    <w:rsid w:val="003C2606"/>
    <w:rsid w:val="003C4CA6"/>
    <w:rsid w:val="003C5289"/>
    <w:rsid w:val="003C5B95"/>
    <w:rsid w:val="003C620A"/>
    <w:rsid w:val="003C7645"/>
    <w:rsid w:val="003C7BFC"/>
    <w:rsid w:val="003C7E5C"/>
    <w:rsid w:val="003D36FF"/>
    <w:rsid w:val="003D75B6"/>
    <w:rsid w:val="003E1A77"/>
    <w:rsid w:val="003E3D02"/>
    <w:rsid w:val="003E5DAC"/>
    <w:rsid w:val="003E7031"/>
    <w:rsid w:val="003F0C3B"/>
    <w:rsid w:val="003F17E2"/>
    <w:rsid w:val="003F1FBA"/>
    <w:rsid w:val="003F2276"/>
    <w:rsid w:val="003F2345"/>
    <w:rsid w:val="003F5FEB"/>
    <w:rsid w:val="0040076C"/>
    <w:rsid w:val="00400B73"/>
    <w:rsid w:val="00401DB5"/>
    <w:rsid w:val="00402519"/>
    <w:rsid w:val="0040286A"/>
    <w:rsid w:val="00403CC2"/>
    <w:rsid w:val="00404292"/>
    <w:rsid w:val="00410D08"/>
    <w:rsid w:val="00414393"/>
    <w:rsid w:val="00420254"/>
    <w:rsid w:val="00420B06"/>
    <w:rsid w:val="00422A80"/>
    <w:rsid w:val="00423930"/>
    <w:rsid w:val="004258B3"/>
    <w:rsid w:val="00431344"/>
    <w:rsid w:val="00431A48"/>
    <w:rsid w:val="00431A4E"/>
    <w:rsid w:val="00433561"/>
    <w:rsid w:val="0043381C"/>
    <w:rsid w:val="00433CC2"/>
    <w:rsid w:val="00435656"/>
    <w:rsid w:val="00435F78"/>
    <w:rsid w:val="004367D8"/>
    <w:rsid w:val="0044066F"/>
    <w:rsid w:val="00440B1C"/>
    <w:rsid w:val="00444B7E"/>
    <w:rsid w:val="00444C2E"/>
    <w:rsid w:val="00445ED5"/>
    <w:rsid w:val="00447AC1"/>
    <w:rsid w:val="004515EE"/>
    <w:rsid w:val="004523FF"/>
    <w:rsid w:val="00453FC3"/>
    <w:rsid w:val="004551CF"/>
    <w:rsid w:val="0045AB22"/>
    <w:rsid w:val="0046222F"/>
    <w:rsid w:val="00467199"/>
    <w:rsid w:val="004721AA"/>
    <w:rsid w:val="00472D41"/>
    <w:rsid w:val="004735DC"/>
    <w:rsid w:val="0047375E"/>
    <w:rsid w:val="0048EBA7"/>
    <w:rsid w:val="00492926"/>
    <w:rsid w:val="00492C99"/>
    <w:rsid w:val="00493155"/>
    <w:rsid w:val="00493C5F"/>
    <w:rsid w:val="00494E2B"/>
    <w:rsid w:val="0049610E"/>
    <w:rsid w:val="0049785D"/>
    <w:rsid w:val="004A02F4"/>
    <w:rsid w:val="004A05DF"/>
    <w:rsid w:val="004A0C8D"/>
    <w:rsid w:val="004A140D"/>
    <w:rsid w:val="004A1BC5"/>
    <w:rsid w:val="004A2204"/>
    <w:rsid w:val="004A2A4B"/>
    <w:rsid w:val="004B4CA8"/>
    <w:rsid w:val="004C0ABF"/>
    <w:rsid w:val="004C2A27"/>
    <w:rsid w:val="004C2D9A"/>
    <w:rsid w:val="004C30A5"/>
    <w:rsid w:val="004C5470"/>
    <w:rsid w:val="004C6D6E"/>
    <w:rsid w:val="004D283B"/>
    <w:rsid w:val="004D5EEB"/>
    <w:rsid w:val="004E0BC9"/>
    <w:rsid w:val="004E0F7F"/>
    <w:rsid w:val="004E1381"/>
    <w:rsid w:val="004E23F2"/>
    <w:rsid w:val="004E47F3"/>
    <w:rsid w:val="004E7C2B"/>
    <w:rsid w:val="004F377A"/>
    <w:rsid w:val="004F41A8"/>
    <w:rsid w:val="004F4893"/>
    <w:rsid w:val="004F6B6D"/>
    <w:rsid w:val="00500706"/>
    <w:rsid w:val="00504D0F"/>
    <w:rsid w:val="00507719"/>
    <w:rsid w:val="00510BA4"/>
    <w:rsid w:val="0051174D"/>
    <w:rsid w:val="00511AAC"/>
    <w:rsid w:val="00512204"/>
    <w:rsid w:val="00512DB6"/>
    <w:rsid w:val="00515A0D"/>
    <w:rsid w:val="00515DAA"/>
    <w:rsid w:val="005176E6"/>
    <w:rsid w:val="00521769"/>
    <w:rsid w:val="0052309E"/>
    <w:rsid w:val="00524B25"/>
    <w:rsid w:val="005252E8"/>
    <w:rsid w:val="0053090D"/>
    <w:rsid w:val="00530D8E"/>
    <w:rsid w:val="00532F3A"/>
    <w:rsid w:val="00534253"/>
    <w:rsid w:val="005362AF"/>
    <w:rsid w:val="00536A44"/>
    <w:rsid w:val="00540CB5"/>
    <w:rsid w:val="0054251C"/>
    <w:rsid w:val="00545290"/>
    <w:rsid w:val="00551B5F"/>
    <w:rsid w:val="00552E30"/>
    <w:rsid w:val="00552F91"/>
    <w:rsid w:val="005539E6"/>
    <w:rsid w:val="005544A0"/>
    <w:rsid w:val="00554FE5"/>
    <w:rsid w:val="00560040"/>
    <w:rsid w:val="00561614"/>
    <w:rsid w:val="005636EB"/>
    <w:rsid w:val="00565631"/>
    <w:rsid w:val="00566077"/>
    <w:rsid w:val="0056762C"/>
    <w:rsid w:val="00571575"/>
    <w:rsid w:val="005728C5"/>
    <w:rsid w:val="005733F0"/>
    <w:rsid w:val="0057481D"/>
    <w:rsid w:val="00574AF0"/>
    <w:rsid w:val="00574C4A"/>
    <w:rsid w:val="00575DBC"/>
    <w:rsid w:val="00583C84"/>
    <w:rsid w:val="00584411"/>
    <w:rsid w:val="00584684"/>
    <w:rsid w:val="00586C45"/>
    <w:rsid w:val="005870A3"/>
    <w:rsid w:val="005873DC"/>
    <w:rsid w:val="00591255"/>
    <w:rsid w:val="005952EA"/>
    <w:rsid w:val="005957F3"/>
    <w:rsid w:val="005A4A8A"/>
    <w:rsid w:val="005A4FA8"/>
    <w:rsid w:val="005A4FC2"/>
    <w:rsid w:val="005A5189"/>
    <w:rsid w:val="005B3380"/>
    <w:rsid w:val="005B4859"/>
    <w:rsid w:val="005B6AE4"/>
    <w:rsid w:val="005C1548"/>
    <w:rsid w:val="005C158A"/>
    <w:rsid w:val="005C45BA"/>
    <w:rsid w:val="005D06BF"/>
    <w:rsid w:val="005D2310"/>
    <w:rsid w:val="005D24F8"/>
    <w:rsid w:val="005D3AF6"/>
    <w:rsid w:val="005D5FDE"/>
    <w:rsid w:val="005D6488"/>
    <w:rsid w:val="005D6CBF"/>
    <w:rsid w:val="005D6EFF"/>
    <w:rsid w:val="005E0F4A"/>
    <w:rsid w:val="005E10E0"/>
    <w:rsid w:val="005E1173"/>
    <w:rsid w:val="005E3519"/>
    <w:rsid w:val="005E3586"/>
    <w:rsid w:val="005E7909"/>
    <w:rsid w:val="005E7B61"/>
    <w:rsid w:val="005F10C0"/>
    <w:rsid w:val="005F4707"/>
    <w:rsid w:val="005F6400"/>
    <w:rsid w:val="005F79F7"/>
    <w:rsid w:val="006003B6"/>
    <w:rsid w:val="0060241B"/>
    <w:rsid w:val="00603734"/>
    <w:rsid w:val="00603A6C"/>
    <w:rsid w:val="006070AC"/>
    <w:rsid w:val="00607EBC"/>
    <w:rsid w:val="00610650"/>
    <w:rsid w:val="00611564"/>
    <w:rsid w:val="00611AC5"/>
    <w:rsid w:val="00614493"/>
    <w:rsid w:val="00615499"/>
    <w:rsid w:val="006154D1"/>
    <w:rsid w:val="0061652D"/>
    <w:rsid w:val="00617A2E"/>
    <w:rsid w:val="006203DD"/>
    <w:rsid w:val="0062091D"/>
    <w:rsid w:val="00630DA5"/>
    <w:rsid w:val="006315E3"/>
    <w:rsid w:val="00633CA4"/>
    <w:rsid w:val="006361F6"/>
    <w:rsid w:val="00636F0B"/>
    <w:rsid w:val="006376A9"/>
    <w:rsid w:val="00640F5F"/>
    <w:rsid w:val="0064109C"/>
    <w:rsid w:val="006419F0"/>
    <w:rsid w:val="00643127"/>
    <w:rsid w:val="00643700"/>
    <w:rsid w:val="00644A94"/>
    <w:rsid w:val="00645609"/>
    <w:rsid w:val="00645806"/>
    <w:rsid w:val="00645A0C"/>
    <w:rsid w:val="006508E4"/>
    <w:rsid w:val="00651003"/>
    <w:rsid w:val="00651A9D"/>
    <w:rsid w:val="00652709"/>
    <w:rsid w:val="00653120"/>
    <w:rsid w:val="00653740"/>
    <w:rsid w:val="006547BC"/>
    <w:rsid w:val="0065533A"/>
    <w:rsid w:val="00655D45"/>
    <w:rsid w:val="00655F5E"/>
    <w:rsid w:val="00656213"/>
    <w:rsid w:val="006563BF"/>
    <w:rsid w:val="00657EDA"/>
    <w:rsid w:val="00663FC6"/>
    <w:rsid w:val="006641BE"/>
    <w:rsid w:val="00670F5D"/>
    <w:rsid w:val="00671B2B"/>
    <w:rsid w:val="00671B31"/>
    <w:rsid w:val="00671F5C"/>
    <w:rsid w:val="0067307C"/>
    <w:rsid w:val="00673838"/>
    <w:rsid w:val="006759F5"/>
    <w:rsid w:val="0067651B"/>
    <w:rsid w:val="00676E1B"/>
    <w:rsid w:val="00681195"/>
    <w:rsid w:val="006811E5"/>
    <w:rsid w:val="00687464"/>
    <w:rsid w:val="006916B9"/>
    <w:rsid w:val="006928E3"/>
    <w:rsid w:val="00692A71"/>
    <w:rsid w:val="00693505"/>
    <w:rsid w:val="00693E78"/>
    <w:rsid w:val="00694040"/>
    <w:rsid w:val="00694CDC"/>
    <w:rsid w:val="0069F078"/>
    <w:rsid w:val="006A080C"/>
    <w:rsid w:val="006A175B"/>
    <w:rsid w:val="006A2A2D"/>
    <w:rsid w:val="006A4DCF"/>
    <w:rsid w:val="006A7781"/>
    <w:rsid w:val="006B07BA"/>
    <w:rsid w:val="006B2C54"/>
    <w:rsid w:val="006B312A"/>
    <w:rsid w:val="006D22AA"/>
    <w:rsid w:val="006D300E"/>
    <w:rsid w:val="006D6527"/>
    <w:rsid w:val="006D7999"/>
    <w:rsid w:val="006E0755"/>
    <w:rsid w:val="006E0935"/>
    <w:rsid w:val="006E13C2"/>
    <w:rsid w:val="006E4060"/>
    <w:rsid w:val="006E6BE3"/>
    <w:rsid w:val="006E752A"/>
    <w:rsid w:val="006E8FBF"/>
    <w:rsid w:val="006F1EDE"/>
    <w:rsid w:val="006F286A"/>
    <w:rsid w:val="006F2A14"/>
    <w:rsid w:val="006F2B49"/>
    <w:rsid w:val="006F3A33"/>
    <w:rsid w:val="006F55B0"/>
    <w:rsid w:val="0070601E"/>
    <w:rsid w:val="00706288"/>
    <w:rsid w:val="00706396"/>
    <w:rsid w:val="007101FD"/>
    <w:rsid w:val="007117FF"/>
    <w:rsid w:val="007127DA"/>
    <w:rsid w:val="00713354"/>
    <w:rsid w:val="00716C0D"/>
    <w:rsid w:val="00716C63"/>
    <w:rsid w:val="00717F70"/>
    <w:rsid w:val="00721303"/>
    <w:rsid w:val="007233C7"/>
    <w:rsid w:val="00724430"/>
    <w:rsid w:val="007245EA"/>
    <w:rsid w:val="00733009"/>
    <w:rsid w:val="0073337C"/>
    <w:rsid w:val="007337B3"/>
    <w:rsid w:val="007344B1"/>
    <w:rsid w:val="00734519"/>
    <w:rsid w:val="00735846"/>
    <w:rsid w:val="00735B69"/>
    <w:rsid w:val="00737263"/>
    <w:rsid w:val="00740C9B"/>
    <w:rsid w:val="00741808"/>
    <w:rsid w:val="00741E40"/>
    <w:rsid w:val="007435CF"/>
    <w:rsid w:val="007468FE"/>
    <w:rsid w:val="00752EA4"/>
    <w:rsid w:val="00753659"/>
    <w:rsid w:val="00753CC2"/>
    <w:rsid w:val="007571EB"/>
    <w:rsid w:val="007601CA"/>
    <w:rsid w:val="00761F6C"/>
    <w:rsid w:val="007661A4"/>
    <w:rsid w:val="00766D1E"/>
    <w:rsid w:val="00773F70"/>
    <w:rsid w:val="0078075B"/>
    <w:rsid w:val="00780A62"/>
    <w:rsid w:val="00780F4B"/>
    <w:rsid w:val="00781E15"/>
    <w:rsid w:val="00785436"/>
    <w:rsid w:val="00785A7B"/>
    <w:rsid w:val="00786EC2"/>
    <w:rsid w:val="00792F2D"/>
    <w:rsid w:val="00795606"/>
    <w:rsid w:val="007A136B"/>
    <w:rsid w:val="007A19F1"/>
    <w:rsid w:val="007A2141"/>
    <w:rsid w:val="007A44E3"/>
    <w:rsid w:val="007A6945"/>
    <w:rsid w:val="007A7087"/>
    <w:rsid w:val="007B0720"/>
    <w:rsid w:val="007B289A"/>
    <w:rsid w:val="007B912B"/>
    <w:rsid w:val="007C0B73"/>
    <w:rsid w:val="007C337B"/>
    <w:rsid w:val="007C3C61"/>
    <w:rsid w:val="007C6718"/>
    <w:rsid w:val="007C7803"/>
    <w:rsid w:val="007D0EFE"/>
    <w:rsid w:val="007D449E"/>
    <w:rsid w:val="007D4E21"/>
    <w:rsid w:val="007D6B0C"/>
    <w:rsid w:val="007E24A1"/>
    <w:rsid w:val="007E2649"/>
    <w:rsid w:val="007E3517"/>
    <w:rsid w:val="007E62E1"/>
    <w:rsid w:val="007E6D73"/>
    <w:rsid w:val="007F15CB"/>
    <w:rsid w:val="007F266E"/>
    <w:rsid w:val="007F6A4A"/>
    <w:rsid w:val="007F6AD2"/>
    <w:rsid w:val="008004BB"/>
    <w:rsid w:val="008020A3"/>
    <w:rsid w:val="008032DB"/>
    <w:rsid w:val="008046AD"/>
    <w:rsid w:val="00804D16"/>
    <w:rsid w:val="00804D3E"/>
    <w:rsid w:val="00807061"/>
    <w:rsid w:val="00807949"/>
    <w:rsid w:val="00812798"/>
    <w:rsid w:val="008154F1"/>
    <w:rsid w:val="00815932"/>
    <w:rsid w:val="00815D7C"/>
    <w:rsid w:val="00821435"/>
    <w:rsid w:val="00821B6A"/>
    <w:rsid w:val="00822419"/>
    <w:rsid w:val="0082396F"/>
    <w:rsid w:val="00824358"/>
    <w:rsid w:val="00830BFC"/>
    <w:rsid w:val="00831FBD"/>
    <w:rsid w:val="00833F23"/>
    <w:rsid w:val="008358CD"/>
    <w:rsid w:val="00836553"/>
    <w:rsid w:val="0083763E"/>
    <w:rsid w:val="0083BDCC"/>
    <w:rsid w:val="00840834"/>
    <w:rsid w:val="008444B0"/>
    <w:rsid w:val="0084645B"/>
    <w:rsid w:val="00850DB8"/>
    <w:rsid w:val="00851F1F"/>
    <w:rsid w:val="00852B5A"/>
    <w:rsid w:val="00853CD0"/>
    <w:rsid w:val="00855358"/>
    <w:rsid w:val="008576DA"/>
    <w:rsid w:val="00865E6B"/>
    <w:rsid w:val="008670F4"/>
    <w:rsid w:val="00873C39"/>
    <w:rsid w:val="00874B4B"/>
    <w:rsid w:val="008765BC"/>
    <w:rsid w:val="00877316"/>
    <w:rsid w:val="0088144D"/>
    <w:rsid w:val="0088186C"/>
    <w:rsid w:val="00883214"/>
    <w:rsid w:val="00883A26"/>
    <w:rsid w:val="0088615D"/>
    <w:rsid w:val="00886DA4"/>
    <w:rsid w:val="00891902"/>
    <w:rsid w:val="008925A5"/>
    <w:rsid w:val="00892AD1"/>
    <w:rsid w:val="00893AA6"/>
    <w:rsid w:val="00894C32"/>
    <w:rsid w:val="00896499"/>
    <w:rsid w:val="00896875"/>
    <w:rsid w:val="0089CD2A"/>
    <w:rsid w:val="008A2667"/>
    <w:rsid w:val="008A2DD6"/>
    <w:rsid w:val="008A4751"/>
    <w:rsid w:val="008A6177"/>
    <w:rsid w:val="008A61BC"/>
    <w:rsid w:val="008B0F5C"/>
    <w:rsid w:val="008B1BFF"/>
    <w:rsid w:val="008B687E"/>
    <w:rsid w:val="008B7129"/>
    <w:rsid w:val="008C3A11"/>
    <w:rsid w:val="008C5405"/>
    <w:rsid w:val="008C6704"/>
    <w:rsid w:val="008C7434"/>
    <w:rsid w:val="008E02EA"/>
    <w:rsid w:val="008E13B1"/>
    <w:rsid w:val="008E2BD4"/>
    <w:rsid w:val="008E2E1C"/>
    <w:rsid w:val="008E34F3"/>
    <w:rsid w:val="008E3C52"/>
    <w:rsid w:val="008E6A61"/>
    <w:rsid w:val="008F4575"/>
    <w:rsid w:val="008F4A42"/>
    <w:rsid w:val="008F4AF3"/>
    <w:rsid w:val="008F6F68"/>
    <w:rsid w:val="00900564"/>
    <w:rsid w:val="009024DB"/>
    <w:rsid w:val="0090252D"/>
    <w:rsid w:val="0090278B"/>
    <w:rsid w:val="00902B42"/>
    <w:rsid w:val="00906803"/>
    <w:rsid w:val="0090770A"/>
    <w:rsid w:val="00907807"/>
    <w:rsid w:val="00912A76"/>
    <w:rsid w:val="00914051"/>
    <w:rsid w:val="0091504C"/>
    <w:rsid w:val="00917E37"/>
    <w:rsid w:val="0091899E"/>
    <w:rsid w:val="00927483"/>
    <w:rsid w:val="00927E2A"/>
    <w:rsid w:val="009335A3"/>
    <w:rsid w:val="009335E4"/>
    <w:rsid w:val="00934735"/>
    <w:rsid w:val="009349F8"/>
    <w:rsid w:val="00934B74"/>
    <w:rsid w:val="00935CFF"/>
    <w:rsid w:val="0094049C"/>
    <w:rsid w:val="0094326D"/>
    <w:rsid w:val="00944BC4"/>
    <w:rsid w:val="00944C96"/>
    <w:rsid w:val="00947DAD"/>
    <w:rsid w:val="0096197A"/>
    <w:rsid w:val="00962568"/>
    <w:rsid w:val="00964654"/>
    <w:rsid w:val="00965BC2"/>
    <w:rsid w:val="0097083D"/>
    <w:rsid w:val="00970FD5"/>
    <w:rsid w:val="00971A3A"/>
    <w:rsid w:val="00974CE1"/>
    <w:rsid w:val="00976403"/>
    <w:rsid w:val="00977141"/>
    <w:rsid w:val="00980DCE"/>
    <w:rsid w:val="009825C6"/>
    <w:rsid w:val="00982ABD"/>
    <w:rsid w:val="00984C40"/>
    <w:rsid w:val="00984DE9"/>
    <w:rsid w:val="00985EB4"/>
    <w:rsid w:val="00985F49"/>
    <w:rsid w:val="009905C3"/>
    <w:rsid w:val="00990E11"/>
    <w:rsid w:val="009936E3"/>
    <w:rsid w:val="00994AFE"/>
    <w:rsid w:val="00995F7D"/>
    <w:rsid w:val="009A05E2"/>
    <w:rsid w:val="009A1B2F"/>
    <w:rsid w:val="009A516D"/>
    <w:rsid w:val="009A6426"/>
    <w:rsid w:val="009A7C09"/>
    <w:rsid w:val="009B04F7"/>
    <w:rsid w:val="009B0966"/>
    <w:rsid w:val="009B1087"/>
    <w:rsid w:val="009B1B86"/>
    <w:rsid w:val="009B397D"/>
    <w:rsid w:val="009C2E9C"/>
    <w:rsid w:val="009C4C7A"/>
    <w:rsid w:val="009C64B0"/>
    <w:rsid w:val="009C73CD"/>
    <w:rsid w:val="009E29B0"/>
    <w:rsid w:val="009E2B88"/>
    <w:rsid w:val="009E2C76"/>
    <w:rsid w:val="009E339E"/>
    <w:rsid w:val="009E7859"/>
    <w:rsid w:val="009E888E"/>
    <w:rsid w:val="009F105C"/>
    <w:rsid w:val="009F12CD"/>
    <w:rsid w:val="009F5988"/>
    <w:rsid w:val="009F5DA9"/>
    <w:rsid w:val="009F742C"/>
    <w:rsid w:val="00A0100D"/>
    <w:rsid w:val="00A02E52"/>
    <w:rsid w:val="00A05E2B"/>
    <w:rsid w:val="00A0613F"/>
    <w:rsid w:val="00A101C9"/>
    <w:rsid w:val="00A13469"/>
    <w:rsid w:val="00A15DCC"/>
    <w:rsid w:val="00A164FC"/>
    <w:rsid w:val="00A165A2"/>
    <w:rsid w:val="00A21B60"/>
    <w:rsid w:val="00A22A2D"/>
    <w:rsid w:val="00A23CE6"/>
    <w:rsid w:val="00A30A5B"/>
    <w:rsid w:val="00A31684"/>
    <w:rsid w:val="00A340A4"/>
    <w:rsid w:val="00A351D4"/>
    <w:rsid w:val="00A36102"/>
    <w:rsid w:val="00A37EA2"/>
    <w:rsid w:val="00A40FDA"/>
    <w:rsid w:val="00A410D7"/>
    <w:rsid w:val="00A42D1C"/>
    <w:rsid w:val="00A42D22"/>
    <w:rsid w:val="00A43DF3"/>
    <w:rsid w:val="00A463F1"/>
    <w:rsid w:val="00A47FE1"/>
    <w:rsid w:val="00A506E0"/>
    <w:rsid w:val="00A52FF9"/>
    <w:rsid w:val="00A54395"/>
    <w:rsid w:val="00A544FE"/>
    <w:rsid w:val="00A55690"/>
    <w:rsid w:val="00A56A99"/>
    <w:rsid w:val="00A60353"/>
    <w:rsid w:val="00A631EF"/>
    <w:rsid w:val="00A63D8D"/>
    <w:rsid w:val="00A6417C"/>
    <w:rsid w:val="00A64678"/>
    <w:rsid w:val="00A65D16"/>
    <w:rsid w:val="00A706E6"/>
    <w:rsid w:val="00A74E9E"/>
    <w:rsid w:val="00A7620C"/>
    <w:rsid w:val="00A77E54"/>
    <w:rsid w:val="00A81C3F"/>
    <w:rsid w:val="00A85972"/>
    <w:rsid w:val="00A91A0C"/>
    <w:rsid w:val="00A91AB0"/>
    <w:rsid w:val="00A91C60"/>
    <w:rsid w:val="00A92FAA"/>
    <w:rsid w:val="00A94525"/>
    <w:rsid w:val="00A971DA"/>
    <w:rsid w:val="00AA4C8C"/>
    <w:rsid w:val="00AA60BF"/>
    <w:rsid w:val="00AA6BCE"/>
    <w:rsid w:val="00AB0825"/>
    <w:rsid w:val="00AB3BE7"/>
    <w:rsid w:val="00ABA004"/>
    <w:rsid w:val="00AC29D4"/>
    <w:rsid w:val="00AC3B60"/>
    <w:rsid w:val="00AC43DF"/>
    <w:rsid w:val="00AC6CF4"/>
    <w:rsid w:val="00AC791C"/>
    <w:rsid w:val="00ACCC7D"/>
    <w:rsid w:val="00AD067C"/>
    <w:rsid w:val="00AD0A08"/>
    <w:rsid w:val="00AD1446"/>
    <w:rsid w:val="00AD1C44"/>
    <w:rsid w:val="00AD2894"/>
    <w:rsid w:val="00AD318A"/>
    <w:rsid w:val="00AD417A"/>
    <w:rsid w:val="00AD474F"/>
    <w:rsid w:val="00AD6A0D"/>
    <w:rsid w:val="00AD784C"/>
    <w:rsid w:val="00AE1B23"/>
    <w:rsid w:val="00AE304F"/>
    <w:rsid w:val="00AE5DA5"/>
    <w:rsid w:val="00AE6478"/>
    <w:rsid w:val="00AE7D8F"/>
    <w:rsid w:val="00AF1441"/>
    <w:rsid w:val="00AF3338"/>
    <w:rsid w:val="00AF73C7"/>
    <w:rsid w:val="00AFA05A"/>
    <w:rsid w:val="00B00CA6"/>
    <w:rsid w:val="00B040CB"/>
    <w:rsid w:val="00B05438"/>
    <w:rsid w:val="00B11FAE"/>
    <w:rsid w:val="00B1366C"/>
    <w:rsid w:val="00B1440D"/>
    <w:rsid w:val="00B14ACB"/>
    <w:rsid w:val="00B157A6"/>
    <w:rsid w:val="00B1A394"/>
    <w:rsid w:val="00B24E11"/>
    <w:rsid w:val="00B30134"/>
    <w:rsid w:val="00B30ACB"/>
    <w:rsid w:val="00B30F91"/>
    <w:rsid w:val="00B32F03"/>
    <w:rsid w:val="00B35AB7"/>
    <w:rsid w:val="00B3722A"/>
    <w:rsid w:val="00B418E5"/>
    <w:rsid w:val="00B43EF6"/>
    <w:rsid w:val="00B44D9D"/>
    <w:rsid w:val="00B4586E"/>
    <w:rsid w:val="00B50BAA"/>
    <w:rsid w:val="00B52B50"/>
    <w:rsid w:val="00B56EE5"/>
    <w:rsid w:val="00B57E0B"/>
    <w:rsid w:val="00B60C3B"/>
    <w:rsid w:val="00B615DB"/>
    <w:rsid w:val="00B65679"/>
    <w:rsid w:val="00B65E7B"/>
    <w:rsid w:val="00B65F5E"/>
    <w:rsid w:val="00B66600"/>
    <w:rsid w:val="00B66E23"/>
    <w:rsid w:val="00B70B3D"/>
    <w:rsid w:val="00B813D1"/>
    <w:rsid w:val="00B817DD"/>
    <w:rsid w:val="00B83ECE"/>
    <w:rsid w:val="00B93420"/>
    <w:rsid w:val="00B93A3F"/>
    <w:rsid w:val="00BA08D4"/>
    <w:rsid w:val="00BA0B7C"/>
    <w:rsid w:val="00BA2FFB"/>
    <w:rsid w:val="00BA4365"/>
    <w:rsid w:val="00BA59DE"/>
    <w:rsid w:val="00BB11DB"/>
    <w:rsid w:val="00BB326C"/>
    <w:rsid w:val="00BB7E6E"/>
    <w:rsid w:val="00BC0493"/>
    <w:rsid w:val="00BC3D04"/>
    <w:rsid w:val="00BC40E7"/>
    <w:rsid w:val="00BC5B1D"/>
    <w:rsid w:val="00BC5CB9"/>
    <w:rsid w:val="00BC762E"/>
    <w:rsid w:val="00BD12D1"/>
    <w:rsid w:val="00BD4FE7"/>
    <w:rsid w:val="00BD5250"/>
    <w:rsid w:val="00BD5B5E"/>
    <w:rsid w:val="00BD5DEA"/>
    <w:rsid w:val="00BE08E8"/>
    <w:rsid w:val="00BE1744"/>
    <w:rsid w:val="00BE5DD1"/>
    <w:rsid w:val="00BF1F47"/>
    <w:rsid w:val="00BF2EC1"/>
    <w:rsid w:val="00BF3456"/>
    <w:rsid w:val="00BF3DD6"/>
    <w:rsid w:val="00BF735B"/>
    <w:rsid w:val="00BF78F2"/>
    <w:rsid w:val="00C00A75"/>
    <w:rsid w:val="00C0135E"/>
    <w:rsid w:val="00C03641"/>
    <w:rsid w:val="00C07322"/>
    <w:rsid w:val="00C07BEF"/>
    <w:rsid w:val="00C10C7D"/>
    <w:rsid w:val="00C127F9"/>
    <w:rsid w:val="00C227BF"/>
    <w:rsid w:val="00C2365E"/>
    <w:rsid w:val="00C23DF7"/>
    <w:rsid w:val="00C2606F"/>
    <w:rsid w:val="00C26249"/>
    <w:rsid w:val="00C2688F"/>
    <w:rsid w:val="00C27444"/>
    <w:rsid w:val="00C3313D"/>
    <w:rsid w:val="00C358CE"/>
    <w:rsid w:val="00C37A68"/>
    <w:rsid w:val="00C40079"/>
    <w:rsid w:val="00C4027D"/>
    <w:rsid w:val="00C42042"/>
    <w:rsid w:val="00C431BF"/>
    <w:rsid w:val="00C432C2"/>
    <w:rsid w:val="00C44621"/>
    <w:rsid w:val="00C455F4"/>
    <w:rsid w:val="00C513CF"/>
    <w:rsid w:val="00C5270A"/>
    <w:rsid w:val="00C529A1"/>
    <w:rsid w:val="00C52F9C"/>
    <w:rsid w:val="00C632C2"/>
    <w:rsid w:val="00C6381E"/>
    <w:rsid w:val="00C652B9"/>
    <w:rsid w:val="00C652F5"/>
    <w:rsid w:val="00C66639"/>
    <w:rsid w:val="00C66CC8"/>
    <w:rsid w:val="00C705A4"/>
    <w:rsid w:val="00C70A3C"/>
    <w:rsid w:val="00C731D4"/>
    <w:rsid w:val="00C75773"/>
    <w:rsid w:val="00C75C72"/>
    <w:rsid w:val="00C81CAA"/>
    <w:rsid w:val="00C85661"/>
    <w:rsid w:val="00C8779B"/>
    <w:rsid w:val="00C87B09"/>
    <w:rsid w:val="00C90118"/>
    <w:rsid w:val="00C93C12"/>
    <w:rsid w:val="00C94F03"/>
    <w:rsid w:val="00C958F7"/>
    <w:rsid w:val="00C95FB9"/>
    <w:rsid w:val="00C96E62"/>
    <w:rsid w:val="00C9DD44"/>
    <w:rsid w:val="00CA30FE"/>
    <w:rsid w:val="00CA36EB"/>
    <w:rsid w:val="00CA4981"/>
    <w:rsid w:val="00CB0305"/>
    <w:rsid w:val="00CB12BC"/>
    <w:rsid w:val="00CB2F7E"/>
    <w:rsid w:val="00CB5879"/>
    <w:rsid w:val="00CC0BE0"/>
    <w:rsid w:val="00CC1626"/>
    <w:rsid w:val="00CC47D2"/>
    <w:rsid w:val="00CC5B0F"/>
    <w:rsid w:val="00CC6322"/>
    <w:rsid w:val="00CC6FD6"/>
    <w:rsid w:val="00CC7980"/>
    <w:rsid w:val="00CD25F3"/>
    <w:rsid w:val="00CD38D2"/>
    <w:rsid w:val="00CD3A77"/>
    <w:rsid w:val="00CD4818"/>
    <w:rsid w:val="00CD7B71"/>
    <w:rsid w:val="00CE171E"/>
    <w:rsid w:val="00CE1978"/>
    <w:rsid w:val="00CE40C8"/>
    <w:rsid w:val="00CE4142"/>
    <w:rsid w:val="00CE6E27"/>
    <w:rsid w:val="00CF67CE"/>
    <w:rsid w:val="00CF7D37"/>
    <w:rsid w:val="00CFC92A"/>
    <w:rsid w:val="00D066E0"/>
    <w:rsid w:val="00D15947"/>
    <w:rsid w:val="00D15E70"/>
    <w:rsid w:val="00D1620C"/>
    <w:rsid w:val="00D165E1"/>
    <w:rsid w:val="00D23BA3"/>
    <w:rsid w:val="00D246E1"/>
    <w:rsid w:val="00D26673"/>
    <w:rsid w:val="00D316B8"/>
    <w:rsid w:val="00D33361"/>
    <w:rsid w:val="00D33ACD"/>
    <w:rsid w:val="00D362C3"/>
    <w:rsid w:val="00D3663D"/>
    <w:rsid w:val="00D44F12"/>
    <w:rsid w:val="00D46B3E"/>
    <w:rsid w:val="00D50081"/>
    <w:rsid w:val="00D51788"/>
    <w:rsid w:val="00D57958"/>
    <w:rsid w:val="00D57F1F"/>
    <w:rsid w:val="00D705F8"/>
    <w:rsid w:val="00D71B69"/>
    <w:rsid w:val="00D72A9E"/>
    <w:rsid w:val="00D73A2C"/>
    <w:rsid w:val="00D81C2E"/>
    <w:rsid w:val="00D83A2B"/>
    <w:rsid w:val="00D83A70"/>
    <w:rsid w:val="00D83AFA"/>
    <w:rsid w:val="00D872BA"/>
    <w:rsid w:val="00D920DD"/>
    <w:rsid w:val="00D95C6C"/>
    <w:rsid w:val="00D95DC2"/>
    <w:rsid w:val="00D96270"/>
    <w:rsid w:val="00D977A4"/>
    <w:rsid w:val="00DA41C8"/>
    <w:rsid w:val="00DA53CE"/>
    <w:rsid w:val="00DA7060"/>
    <w:rsid w:val="00DB1DDF"/>
    <w:rsid w:val="00DB3E14"/>
    <w:rsid w:val="00DB6BE8"/>
    <w:rsid w:val="00DB6C52"/>
    <w:rsid w:val="00DB982F"/>
    <w:rsid w:val="00DBD3A6"/>
    <w:rsid w:val="00DC06AA"/>
    <w:rsid w:val="00DC2BD2"/>
    <w:rsid w:val="00DC3DA9"/>
    <w:rsid w:val="00DC4C0F"/>
    <w:rsid w:val="00DC62D6"/>
    <w:rsid w:val="00DC6A47"/>
    <w:rsid w:val="00DCDC51"/>
    <w:rsid w:val="00DD0D47"/>
    <w:rsid w:val="00DD0D55"/>
    <w:rsid w:val="00DD2815"/>
    <w:rsid w:val="00DD2A9D"/>
    <w:rsid w:val="00DD4606"/>
    <w:rsid w:val="00DD75E4"/>
    <w:rsid w:val="00DE13AE"/>
    <w:rsid w:val="00DE2000"/>
    <w:rsid w:val="00DE2821"/>
    <w:rsid w:val="00DE40AD"/>
    <w:rsid w:val="00DE4DB7"/>
    <w:rsid w:val="00DE6503"/>
    <w:rsid w:val="00DE740E"/>
    <w:rsid w:val="00DE91E4"/>
    <w:rsid w:val="00DF0E49"/>
    <w:rsid w:val="00DF1297"/>
    <w:rsid w:val="00DF1940"/>
    <w:rsid w:val="00DF21CC"/>
    <w:rsid w:val="00DF2460"/>
    <w:rsid w:val="00DF255C"/>
    <w:rsid w:val="00DF2D1F"/>
    <w:rsid w:val="00DF3855"/>
    <w:rsid w:val="00DF44A6"/>
    <w:rsid w:val="00DF5404"/>
    <w:rsid w:val="00DF6B83"/>
    <w:rsid w:val="00E017DE"/>
    <w:rsid w:val="00E030BE"/>
    <w:rsid w:val="00E03BE0"/>
    <w:rsid w:val="00E0448B"/>
    <w:rsid w:val="00E045C7"/>
    <w:rsid w:val="00E04F24"/>
    <w:rsid w:val="00E0523A"/>
    <w:rsid w:val="00E06331"/>
    <w:rsid w:val="00E07D82"/>
    <w:rsid w:val="00E10444"/>
    <w:rsid w:val="00E11800"/>
    <w:rsid w:val="00E12424"/>
    <w:rsid w:val="00E128E1"/>
    <w:rsid w:val="00E13709"/>
    <w:rsid w:val="00E15BDB"/>
    <w:rsid w:val="00E16D96"/>
    <w:rsid w:val="00E2381D"/>
    <w:rsid w:val="00E23FB0"/>
    <w:rsid w:val="00E2423E"/>
    <w:rsid w:val="00E24583"/>
    <w:rsid w:val="00E2537D"/>
    <w:rsid w:val="00E25425"/>
    <w:rsid w:val="00E27D5C"/>
    <w:rsid w:val="00E3141F"/>
    <w:rsid w:val="00E3383A"/>
    <w:rsid w:val="00E34466"/>
    <w:rsid w:val="00E404EF"/>
    <w:rsid w:val="00E4402F"/>
    <w:rsid w:val="00E4576B"/>
    <w:rsid w:val="00E46A50"/>
    <w:rsid w:val="00E49140"/>
    <w:rsid w:val="00E50FE4"/>
    <w:rsid w:val="00E513DC"/>
    <w:rsid w:val="00E55E8A"/>
    <w:rsid w:val="00E64DC8"/>
    <w:rsid w:val="00E6632A"/>
    <w:rsid w:val="00E67B92"/>
    <w:rsid w:val="00E76880"/>
    <w:rsid w:val="00E805EC"/>
    <w:rsid w:val="00E81227"/>
    <w:rsid w:val="00E81841"/>
    <w:rsid w:val="00E83A60"/>
    <w:rsid w:val="00E8419E"/>
    <w:rsid w:val="00E85D85"/>
    <w:rsid w:val="00E86A0E"/>
    <w:rsid w:val="00E86BD9"/>
    <w:rsid w:val="00E96683"/>
    <w:rsid w:val="00EA3C7F"/>
    <w:rsid w:val="00EA6CF3"/>
    <w:rsid w:val="00EA71FC"/>
    <w:rsid w:val="00EB6DE5"/>
    <w:rsid w:val="00EC60F3"/>
    <w:rsid w:val="00EC6450"/>
    <w:rsid w:val="00ED27AD"/>
    <w:rsid w:val="00ED2D1E"/>
    <w:rsid w:val="00ED457C"/>
    <w:rsid w:val="00ED5C54"/>
    <w:rsid w:val="00ED68F0"/>
    <w:rsid w:val="00EDE0C6"/>
    <w:rsid w:val="00EE5DF7"/>
    <w:rsid w:val="00EE6119"/>
    <w:rsid w:val="00EF1027"/>
    <w:rsid w:val="00EF1D8B"/>
    <w:rsid w:val="00EF2720"/>
    <w:rsid w:val="00EF2F25"/>
    <w:rsid w:val="00EF5A9A"/>
    <w:rsid w:val="00F01044"/>
    <w:rsid w:val="00F02A8D"/>
    <w:rsid w:val="00F03555"/>
    <w:rsid w:val="00F11BB6"/>
    <w:rsid w:val="00F12EB5"/>
    <w:rsid w:val="00F13282"/>
    <w:rsid w:val="00F2036C"/>
    <w:rsid w:val="00F20747"/>
    <w:rsid w:val="00F21FFF"/>
    <w:rsid w:val="00F23B19"/>
    <w:rsid w:val="00F23DE5"/>
    <w:rsid w:val="00F244F0"/>
    <w:rsid w:val="00F25208"/>
    <w:rsid w:val="00F25ED6"/>
    <w:rsid w:val="00F2684C"/>
    <w:rsid w:val="00F270FA"/>
    <w:rsid w:val="00F305E4"/>
    <w:rsid w:val="00F317F4"/>
    <w:rsid w:val="00F332D6"/>
    <w:rsid w:val="00F377EF"/>
    <w:rsid w:val="00F4088A"/>
    <w:rsid w:val="00F40A6A"/>
    <w:rsid w:val="00F40EB7"/>
    <w:rsid w:val="00F41F9A"/>
    <w:rsid w:val="00F42A55"/>
    <w:rsid w:val="00F45FE2"/>
    <w:rsid w:val="00F46A21"/>
    <w:rsid w:val="00F52D0B"/>
    <w:rsid w:val="00F54434"/>
    <w:rsid w:val="00F553A9"/>
    <w:rsid w:val="00F571F8"/>
    <w:rsid w:val="00F60BBA"/>
    <w:rsid w:val="00F61D64"/>
    <w:rsid w:val="00F61E41"/>
    <w:rsid w:val="00F627C3"/>
    <w:rsid w:val="00F65409"/>
    <w:rsid w:val="00F6659B"/>
    <w:rsid w:val="00F668D6"/>
    <w:rsid w:val="00F7043D"/>
    <w:rsid w:val="00F7208A"/>
    <w:rsid w:val="00F743FC"/>
    <w:rsid w:val="00F754CF"/>
    <w:rsid w:val="00F80DC7"/>
    <w:rsid w:val="00F81298"/>
    <w:rsid w:val="00F81C16"/>
    <w:rsid w:val="00F82F4A"/>
    <w:rsid w:val="00F85A5F"/>
    <w:rsid w:val="00F86742"/>
    <w:rsid w:val="00F91F34"/>
    <w:rsid w:val="00F9267F"/>
    <w:rsid w:val="00F94093"/>
    <w:rsid w:val="00FA02A1"/>
    <w:rsid w:val="00FA0F27"/>
    <w:rsid w:val="00FA1EA7"/>
    <w:rsid w:val="00FA382E"/>
    <w:rsid w:val="00FA523E"/>
    <w:rsid w:val="00FA6D93"/>
    <w:rsid w:val="00FB1B38"/>
    <w:rsid w:val="00FB2649"/>
    <w:rsid w:val="00FB2842"/>
    <w:rsid w:val="00FB5BD0"/>
    <w:rsid w:val="00FB71DA"/>
    <w:rsid w:val="00FC1152"/>
    <w:rsid w:val="00FC2CED"/>
    <w:rsid w:val="00FC36A8"/>
    <w:rsid w:val="00FC3FA7"/>
    <w:rsid w:val="00FC6107"/>
    <w:rsid w:val="00FC64F5"/>
    <w:rsid w:val="00FD2C61"/>
    <w:rsid w:val="00FD38E6"/>
    <w:rsid w:val="00FD448E"/>
    <w:rsid w:val="00FD71C1"/>
    <w:rsid w:val="00FD7376"/>
    <w:rsid w:val="00FE096F"/>
    <w:rsid w:val="00FE129E"/>
    <w:rsid w:val="00FE1D74"/>
    <w:rsid w:val="00FE51C9"/>
    <w:rsid w:val="00FF0D76"/>
    <w:rsid w:val="00FF1EEB"/>
    <w:rsid w:val="00FF3C40"/>
    <w:rsid w:val="00FF76BC"/>
    <w:rsid w:val="00FF9735"/>
    <w:rsid w:val="01021EC2"/>
    <w:rsid w:val="0102B9D4"/>
    <w:rsid w:val="010AE9A9"/>
    <w:rsid w:val="010EA653"/>
    <w:rsid w:val="01132C82"/>
    <w:rsid w:val="011D385F"/>
    <w:rsid w:val="0126E1DA"/>
    <w:rsid w:val="012C311F"/>
    <w:rsid w:val="012F1B97"/>
    <w:rsid w:val="01528A00"/>
    <w:rsid w:val="0162ED04"/>
    <w:rsid w:val="01780F5B"/>
    <w:rsid w:val="017E7E16"/>
    <w:rsid w:val="018538C4"/>
    <w:rsid w:val="01877F6A"/>
    <w:rsid w:val="01971607"/>
    <w:rsid w:val="01A53917"/>
    <w:rsid w:val="01B66E6C"/>
    <w:rsid w:val="01DC9BD8"/>
    <w:rsid w:val="01DD8DF9"/>
    <w:rsid w:val="01E0056B"/>
    <w:rsid w:val="01EAB159"/>
    <w:rsid w:val="01EC2D9C"/>
    <w:rsid w:val="01F2A95E"/>
    <w:rsid w:val="01F628E5"/>
    <w:rsid w:val="01F6D124"/>
    <w:rsid w:val="01F89214"/>
    <w:rsid w:val="0213D5FD"/>
    <w:rsid w:val="0214C993"/>
    <w:rsid w:val="0215ED18"/>
    <w:rsid w:val="021AA7A1"/>
    <w:rsid w:val="021AD0F4"/>
    <w:rsid w:val="02256D27"/>
    <w:rsid w:val="02265C4E"/>
    <w:rsid w:val="022E47CF"/>
    <w:rsid w:val="0230CA6F"/>
    <w:rsid w:val="023A8A0F"/>
    <w:rsid w:val="023B9927"/>
    <w:rsid w:val="023F88F2"/>
    <w:rsid w:val="025C5F29"/>
    <w:rsid w:val="02676038"/>
    <w:rsid w:val="026AF5E8"/>
    <w:rsid w:val="02803D6F"/>
    <w:rsid w:val="028D923F"/>
    <w:rsid w:val="02908211"/>
    <w:rsid w:val="0291C57B"/>
    <w:rsid w:val="0294A1CD"/>
    <w:rsid w:val="02975D82"/>
    <w:rsid w:val="029C2E2A"/>
    <w:rsid w:val="02A20B39"/>
    <w:rsid w:val="02A2E201"/>
    <w:rsid w:val="02AEAE38"/>
    <w:rsid w:val="02B02969"/>
    <w:rsid w:val="02B3DD13"/>
    <w:rsid w:val="02B4C66F"/>
    <w:rsid w:val="02C8B3F6"/>
    <w:rsid w:val="02C9816B"/>
    <w:rsid w:val="02D0F447"/>
    <w:rsid w:val="02DC1D00"/>
    <w:rsid w:val="02E1A854"/>
    <w:rsid w:val="02E4EB35"/>
    <w:rsid w:val="02E62A66"/>
    <w:rsid w:val="02E84E1E"/>
    <w:rsid w:val="02EB72F1"/>
    <w:rsid w:val="02F6090E"/>
    <w:rsid w:val="02F7BEE1"/>
    <w:rsid w:val="02FF517D"/>
    <w:rsid w:val="03019E3F"/>
    <w:rsid w:val="033BC03A"/>
    <w:rsid w:val="033FBE28"/>
    <w:rsid w:val="0348669E"/>
    <w:rsid w:val="034C5818"/>
    <w:rsid w:val="034E6B80"/>
    <w:rsid w:val="035196CB"/>
    <w:rsid w:val="035A2163"/>
    <w:rsid w:val="0360EF37"/>
    <w:rsid w:val="036A80D2"/>
    <w:rsid w:val="036B9900"/>
    <w:rsid w:val="036EB89D"/>
    <w:rsid w:val="0371D9C7"/>
    <w:rsid w:val="03731DEF"/>
    <w:rsid w:val="03786C39"/>
    <w:rsid w:val="037B9717"/>
    <w:rsid w:val="038864BB"/>
    <w:rsid w:val="038903F4"/>
    <w:rsid w:val="038C2394"/>
    <w:rsid w:val="0390467E"/>
    <w:rsid w:val="03912E87"/>
    <w:rsid w:val="039608B7"/>
    <w:rsid w:val="03973C53"/>
    <w:rsid w:val="03AAF226"/>
    <w:rsid w:val="03BD629F"/>
    <w:rsid w:val="03BFDC46"/>
    <w:rsid w:val="03C48481"/>
    <w:rsid w:val="03D57010"/>
    <w:rsid w:val="03E08243"/>
    <w:rsid w:val="03EC1F9C"/>
    <w:rsid w:val="03F35CBF"/>
    <w:rsid w:val="03F9E983"/>
    <w:rsid w:val="0410CD1F"/>
    <w:rsid w:val="0413F82C"/>
    <w:rsid w:val="04141357"/>
    <w:rsid w:val="04161FE5"/>
    <w:rsid w:val="041B6F9D"/>
    <w:rsid w:val="041BDB20"/>
    <w:rsid w:val="0422CBF1"/>
    <w:rsid w:val="04256480"/>
    <w:rsid w:val="04272C3D"/>
    <w:rsid w:val="0435907D"/>
    <w:rsid w:val="04429C79"/>
    <w:rsid w:val="0445714C"/>
    <w:rsid w:val="0458E818"/>
    <w:rsid w:val="04657150"/>
    <w:rsid w:val="046ACA62"/>
    <w:rsid w:val="046E3D1E"/>
    <w:rsid w:val="046FC24F"/>
    <w:rsid w:val="04701F3B"/>
    <w:rsid w:val="047E6724"/>
    <w:rsid w:val="04806C87"/>
    <w:rsid w:val="048A9AC6"/>
    <w:rsid w:val="04904616"/>
    <w:rsid w:val="0493120C"/>
    <w:rsid w:val="049ED3B8"/>
    <w:rsid w:val="049FBE06"/>
    <w:rsid w:val="04A21022"/>
    <w:rsid w:val="04A2D83F"/>
    <w:rsid w:val="04A79C22"/>
    <w:rsid w:val="04A9E2E6"/>
    <w:rsid w:val="04CA7775"/>
    <w:rsid w:val="04D67703"/>
    <w:rsid w:val="04D7CFA3"/>
    <w:rsid w:val="04E4CD13"/>
    <w:rsid w:val="04F8BBB6"/>
    <w:rsid w:val="04FBFB8A"/>
    <w:rsid w:val="05074EE0"/>
    <w:rsid w:val="050D04C7"/>
    <w:rsid w:val="0514D9AB"/>
    <w:rsid w:val="052319ED"/>
    <w:rsid w:val="052355D7"/>
    <w:rsid w:val="052851E2"/>
    <w:rsid w:val="053465BB"/>
    <w:rsid w:val="053C910D"/>
    <w:rsid w:val="0545E32F"/>
    <w:rsid w:val="0553E342"/>
    <w:rsid w:val="0555E7A5"/>
    <w:rsid w:val="0557F09F"/>
    <w:rsid w:val="055DF58B"/>
    <w:rsid w:val="056BF478"/>
    <w:rsid w:val="056E8A0A"/>
    <w:rsid w:val="057A5AC4"/>
    <w:rsid w:val="0583B85D"/>
    <w:rsid w:val="0584FDBB"/>
    <w:rsid w:val="05954CA6"/>
    <w:rsid w:val="0596DF53"/>
    <w:rsid w:val="059AD76A"/>
    <w:rsid w:val="059C43FD"/>
    <w:rsid w:val="059D01FD"/>
    <w:rsid w:val="059D416E"/>
    <w:rsid w:val="059DCE7B"/>
    <w:rsid w:val="05A07513"/>
    <w:rsid w:val="05B0745D"/>
    <w:rsid w:val="05B3AA55"/>
    <w:rsid w:val="05B581BD"/>
    <w:rsid w:val="05B9512C"/>
    <w:rsid w:val="05BA6AAA"/>
    <w:rsid w:val="05BFF49E"/>
    <w:rsid w:val="05C53C44"/>
    <w:rsid w:val="05CB3576"/>
    <w:rsid w:val="05CBBB0C"/>
    <w:rsid w:val="05DAF131"/>
    <w:rsid w:val="05DC1596"/>
    <w:rsid w:val="05DE093D"/>
    <w:rsid w:val="06019F86"/>
    <w:rsid w:val="06072FAA"/>
    <w:rsid w:val="0614C000"/>
    <w:rsid w:val="0627C0FC"/>
    <w:rsid w:val="0629EAEF"/>
    <w:rsid w:val="06371A65"/>
    <w:rsid w:val="063C4EA4"/>
    <w:rsid w:val="0646DCC4"/>
    <w:rsid w:val="0649A53A"/>
    <w:rsid w:val="0658D196"/>
    <w:rsid w:val="066160D4"/>
    <w:rsid w:val="06632B99"/>
    <w:rsid w:val="0664B6AD"/>
    <w:rsid w:val="067462F9"/>
    <w:rsid w:val="0678578E"/>
    <w:rsid w:val="067CBDF6"/>
    <w:rsid w:val="0690E8C7"/>
    <w:rsid w:val="0694E853"/>
    <w:rsid w:val="0696696B"/>
    <w:rsid w:val="0697EC8C"/>
    <w:rsid w:val="069F4D0D"/>
    <w:rsid w:val="06A84BDF"/>
    <w:rsid w:val="06B3D4C0"/>
    <w:rsid w:val="06B8025C"/>
    <w:rsid w:val="06C37080"/>
    <w:rsid w:val="06C729B5"/>
    <w:rsid w:val="06CE95A8"/>
    <w:rsid w:val="06DE8C93"/>
    <w:rsid w:val="06E00FDC"/>
    <w:rsid w:val="06EAED86"/>
    <w:rsid w:val="06ED43B0"/>
    <w:rsid w:val="06F3B74B"/>
    <w:rsid w:val="06F9C001"/>
    <w:rsid w:val="06FC7682"/>
    <w:rsid w:val="070111F5"/>
    <w:rsid w:val="070B192B"/>
    <w:rsid w:val="07100E17"/>
    <w:rsid w:val="07339B39"/>
    <w:rsid w:val="073584EE"/>
    <w:rsid w:val="07368D67"/>
    <w:rsid w:val="0741BF44"/>
    <w:rsid w:val="0746C75C"/>
    <w:rsid w:val="0748D899"/>
    <w:rsid w:val="0768A61E"/>
    <w:rsid w:val="076C21E5"/>
    <w:rsid w:val="076EAFE6"/>
    <w:rsid w:val="077066E0"/>
    <w:rsid w:val="0773EF6F"/>
    <w:rsid w:val="07779B68"/>
    <w:rsid w:val="07798D27"/>
    <w:rsid w:val="0784DD3C"/>
    <w:rsid w:val="0790CC38"/>
    <w:rsid w:val="079963B4"/>
    <w:rsid w:val="07B0D49E"/>
    <w:rsid w:val="07B4BBE1"/>
    <w:rsid w:val="07B966BC"/>
    <w:rsid w:val="07C6BED0"/>
    <w:rsid w:val="07D9A465"/>
    <w:rsid w:val="07DE00BB"/>
    <w:rsid w:val="07E1AC4A"/>
    <w:rsid w:val="07E4DDCF"/>
    <w:rsid w:val="07F2F1F2"/>
    <w:rsid w:val="08014BF5"/>
    <w:rsid w:val="080B24F8"/>
    <w:rsid w:val="08221204"/>
    <w:rsid w:val="0830561D"/>
    <w:rsid w:val="0839EBF7"/>
    <w:rsid w:val="08402278"/>
    <w:rsid w:val="0842B918"/>
    <w:rsid w:val="0854240F"/>
    <w:rsid w:val="08563B85"/>
    <w:rsid w:val="085939AA"/>
    <w:rsid w:val="085AE0E1"/>
    <w:rsid w:val="085C614A"/>
    <w:rsid w:val="0866CA01"/>
    <w:rsid w:val="086A96F1"/>
    <w:rsid w:val="086BBDC0"/>
    <w:rsid w:val="087ADB76"/>
    <w:rsid w:val="087BA713"/>
    <w:rsid w:val="08821618"/>
    <w:rsid w:val="088449F8"/>
    <w:rsid w:val="08955A0A"/>
    <w:rsid w:val="0895F873"/>
    <w:rsid w:val="089911F3"/>
    <w:rsid w:val="089DC0CE"/>
    <w:rsid w:val="08AD1A2E"/>
    <w:rsid w:val="08B15053"/>
    <w:rsid w:val="08B26C94"/>
    <w:rsid w:val="08B648DD"/>
    <w:rsid w:val="08BFAC2F"/>
    <w:rsid w:val="08DD5B2E"/>
    <w:rsid w:val="08E06949"/>
    <w:rsid w:val="08E856A8"/>
    <w:rsid w:val="08EC9BAC"/>
    <w:rsid w:val="0910848B"/>
    <w:rsid w:val="094AD8BE"/>
    <w:rsid w:val="094ED2E8"/>
    <w:rsid w:val="09558EA4"/>
    <w:rsid w:val="095BDB4E"/>
    <w:rsid w:val="0971B942"/>
    <w:rsid w:val="0975E47D"/>
    <w:rsid w:val="09786DB8"/>
    <w:rsid w:val="09846E9D"/>
    <w:rsid w:val="098572A8"/>
    <w:rsid w:val="0988EBEE"/>
    <w:rsid w:val="098C8D55"/>
    <w:rsid w:val="09A735C4"/>
    <w:rsid w:val="09BF9374"/>
    <w:rsid w:val="09C75E3D"/>
    <w:rsid w:val="09D0CCCA"/>
    <w:rsid w:val="09D6CDB5"/>
    <w:rsid w:val="09DC9127"/>
    <w:rsid w:val="09DF329D"/>
    <w:rsid w:val="09E1DA47"/>
    <w:rsid w:val="09E8895E"/>
    <w:rsid w:val="09E93449"/>
    <w:rsid w:val="09EE28BC"/>
    <w:rsid w:val="09EF115B"/>
    <w:rsid w:val="09F095B8"/>
    <w:rsid w:val="09F2153B"/>
    <w:rsid w:val="09F3F1DF"/>
    <w:rsid w:val="09FA3361"/>
    <w:rsid w:val="09FF2C85"/>
    <w:rsid w:val="0A00EB4A"/>
    <w:rsid w:val="0A08BF42"/>
    <w:rsid w:val="0A0A7C21"/>
    <w:rsid w:val="0A0DE862"/>
    <w:rsid w:val="0A0E5310"/>
    <w:rsid w:val="0A14970A"/>
    <w:rsid w:val="0A213CB0"/>
    <w:rsid w:val="0A31CF92"/>
    <w:rsid w:val="0A321A82"/>
    <w:rsid w:val="0A3B50E1"/>
    <w:rsid w:val="0A42916A"/>
    <w:rsid w:val="0A464957"/>
    <w:rsid w:val="0A52DBEF"/>
    <w:rsid w:val="0A5B85AC"/>
    <w:rsid w:val="0A6332C8"/>
    <w:rsid w:val="0A63E6FB"/>
    <w:rsid w:val="0A680D4D"/>
    <w:rsid w:val="0A6824E9"/>
    <w:rsid w:val="0A683794"/>
    <w:rsid w:val="0A6A94BE"/>
    <w:rsid w:val="0A76B8A9"/>
    <w:rsid w:val="0A79D4C9"/>
    <w:rsid w:val="0A7AFE91"/>
    <w:rsid w:val="0A7B7DDC"/>
    <w:rsid w:val="0A7D4A55"/>
    <w:rsid w:val="0A8508F4"/>
    <w:rsid w:val="0A85CB10"/>
    <w:rsid w:val="0A892D21"/>
    <w:rsid w:val="0A895391"/>
    <w:rsid w:val="0A8969DB"/>
    <w:rsid w:val="0A962B2C"/>
    <w:rsid w:val="0A9A6D97"/>
    <w:rsid w:val="0A9D5509"/>
    <w:rsid w:val="0AA5D1FD"/>
    <w:rsid w:val="0AAB0DD7"/>
    <w:rsid w:val="0AC8EE79"/>
    <w:rsid w:val="0AD69E6D"/>
    <w:rsid w:val="0AED02ED"/>
    <w:rsid w:val="0AEEE37F"/>
    <w:rsid w:val="0AF86625"/>
    <w:rsid w:val="0AFD7E34"/>
    <w:rsid w:val="0B025979"/>
    <w:rsid w:val="0B05ABD8"/>
    <w:rsid w:val="0B0C350F"/>
    <w:rsid w:val="0B14ADDD"/>
    <w:rsid w:val="0B174EE9"/>
    <w:rsid w:val="0B18C9E7"/>
    <w:rsid w:val="0B33A749"/>
    <w:rsid w:val="0B34D171"/>
    <w:rsid w:val="0B3A55E0"/>
    <w:rsid w:val="0B3B0C6A"/>
    <w:rsid w:val="0B47B7F1"/>
    <w:rsid w:val="0B61BD41"/>
    <w:rsid w:val="0B645560"/>
    <w:rsid w:val="0B66C2A8"/>
    <w:rsid w:val="0B676557"/>
    <w:rsid w:val="0B6C02E5"/>
    <w:rsid w:val="0B70775A"/>
    <w:rsid w:val="0B775900"/>
    <w:rsid w:val="0B77DAC0"/>
    <w:rsid w:val="0B837E1E"/>
    <w:rsid w:val="0B85FA38"/>
    <w:rsid w:val="0B98181D"/>
    <w:rsid w:val="0B9CE7B5"/>
    <w:rsid w:val="0BA40893"/>
    <w:rsid w:val="0BAB6E0F"/>
    <w:rsid w:val="0BAB6FD1"/>
    <w:rsid w:val="0BAD5DD1"/>
    <w:rsid w:val="0BB9EF52"/>
    <w:rsid w:val="0BCDE57B"/>
    <w:rsid w:val="0BD2B66B"/>
    <w:rsid w:val="0BD8605F"/>
    <w:rsid w:val="0BDA600F"/>
    <w:rsid w:val="0BF9804D"/>
    <w:rsid w:val="0BF9C327"/>
    <w:rsid w:val="0BFEBB56"/>
    <w:rsid w:val="0C010A4C"/>
    <w:rsid w:val="0C18E440"/>
    <w:rsid w:val="0C19AD12"/>
    <w:rsid w:val="0C19CE9C"/>
    <w:rsid w:val="0C231DA3"/>
    <w:rsid w:val="0C2F9229"/>
    <w:rsid w:val="0C38DAFA"/>
    <w:rsid w:val="0C3974D0"/>
    <w:rsid w:val="0C39CDAF"/>
    <w:rsid w:val="0C3E7832"/>
    <w:rsid w:val="0C4D7BBA"/>
    <w:rsid w:val="0C574CFE"/>
    <w:rsid w:val="0C5E7C55"/>
    <w:rsid w:val="0C5EC9AB"/>
    <w:rsid w:val="0C60BC34"/>
    <w:rsid w:val="0C619492"/>
    <w:rsid w:val="0C71BFF6"/>
    <w:rsid w:val="0C8946CB"/>
    <w:rsid w:val="0C8F7224"/>
    <w:rsid w:val="0C90F65A"/>
    <w:rsid w:val="0C9592CD"/>
    <w:rsid w:val="0C9D3169"/>
    <w:rsid w:val="0C9F8639"/>
    <w:rsid w:val="0CA018E8"/>
    <w:rsid w:val="0CA8FBD0"/>
    <w:rsid w:val="0CAEF4D1"/>
    <w:rsid w:val="0CC39983"/>
    <w:rsid w:val="0CD51D1B"/>
    <w:rsid w:val="0CD89680"/>
    <w:rsid w:val="0CF62498"/>
    <w:rsid w:val="0CF6CE86"/>
    <w:rsid w:val="0CFBEA57"/>
    <w:rsid w:val="0D045098"/>
    <w:rsid w:val="0D184CC0"/>
    <w:rsid w:val="0D1F0D93"/>
    <w:rsid w:val="0D30B8A4"/>
    <w:rsid w:val="0D3949BA"/>
    <w:rsid w:val="0D5396D8"/>
    <w:rsid w:val="0D5754DF"/>
    <w:rsid w:val="0D67A966"/>
    <w:rsid w:val="0D67C851"/>
    <w:rsid w:val="0D698E9D"/>
    <w:rsid w:val="0D6B9645"/>
    <w:rsid w:val="0D7CAF7D"/>
    <w:rsid w:val="0D7E5EC2"/>
    <w:rsid w:val="0D8AAB86"/>
    <w:rsid w:val="0D93266E"/>
    <w:rsid w:val="0D93D812"/>
    <w:rsid w:val="0D9A0432"/>
    <w:rsid w:val="0DA287D4"/>
    <w:rsid w:val="0DA8E060"/>
    <w:rsid w:val="0DAFB3CF"/>
    <w:rsid w:val="0DC47BF7"/>
    <w:rsid w:val="0DCD542D"/>
    <w:rsid w:val="0DE10834"/>
    <w:rsid w:val="0DE387B8"/>
    <w:rsid w:val="0DE72409"/>
    <w:rsid w:val="0DE877AF"/>
    <w:rsid w:val="0DE97EBF"/>
    <w:rsid w:val="0DF48308"/>
    <w:rsid w:val="0E038E06"/>
    <w:rsid w:val="0E03B385"/>
    <w:rsid w:val="0E0ABCBD"/>
    <w:rsid w:val="0E0C0E2D"/>
    <w:rsid w:val="0E0D98ED"/>
    <w:rsid w:val="0E148A64"/>
    <w:rsid w:val="0E191BF6"/>
    <w:rsid w:val="0E23B825"/>
    <w:rsid w:val="0E265B81"/>
    <w:rsid w:val="0E377C6D"/>
    <w:rsid w:val="0E468B9B"/>
    <w:rsid w:val="0E4B6D0B"/>
    <w:rsid w:val="0E555261"/>
    <w:rsid w:val="0E63421B"/>
    <w:rsid w:val="0E66A69F"/>
    <w:rsid w:val="0E81AF58"/>
    <w:rsid w:val="0E8A0147"/>
    <w:rsid w:val="0E9636D1"/>
    <w:rsid w:val="0E981BA2"/>
    <w:rsid w:val="0E9DF63C"/>
    <w:rsid w:val="0EA60296"/>
    <w:rsid w:val="0EC1E48B"/>
    <w:rsid w:val="0EC537FF"/>
    <w:rsid w:val="0EC96F6C"/>
    <w:rsid w:val="0ECC039B"/>
    <w:rsid w:val="0EE93BBB"/>
    <w:rsid w:val="0EF0E3BA"/>
    <w:rsid w:val="0EF3F1F8"/>
    <w:rsid w:val="0EF56B94"/>
    <w:rsid w:val="0EFB35FB"/>
    <w:rsid w:val="0F1C788E"/>
    <w:rsid w:val="0F1CF25B"/>
    <w:rsid w:val="0F2A737E"/>
    <w:rsid w:val="0F2BE3B1"/>
    <w:rsid w:val="0F40069F"/>
    <w:rsid w:val="0F45E794"/>
    <w:rsid w:val="0F49760C"/>
    <w:rsid w:val="0F4B4CB5"/>
    <w:rsid w:val="0F4FB8A9"/>
    <w:rsid w:val="0F5317AC"/>
    <w:rsid w:val="0F54EEAA"/>
    <w:rsid w:val="0F5ABF07"/>
    <w:rsid w:val="0F6047A0"/>
    <w:rsid w:val="0F627371"/>
    <w:rsid w:val="0F685324"/>
    <w:rsid w:val="0F6CE1B5"/>
    <w:rsid w:val="0F74517D"/>
    <w:rsid w:val="0F7B788A"/>
    <w:rsid w:val="0F83BC49"/>
    <w:rsid w:val="0F92B281"/>
    <w:rsid w:val="0F9EA365"/>
    <w:rsid w:val="0FA18B10"/>
    <w:rsid w:val="0FB52154"/>
    <w:rsid w:val="0FBD8A0D"/>
    <w:rsid w:val="0FC5DB9E"/>
    <w:rsid w:val="0FC8DEB2"/>
    <w:rsid w:val="0FD3CF07"/>
    <w:rsid w:val="0FDA1F35"/>
    <w:rsid w:val="0FE2D978"/>
    <w:rsid w:val="0FE83D3C"/>
    <w:rsid w:val="1003DB2E"/>
    <w:rsid w:val="100FD11D"/>
    <w:rsid w:val="10134FFB"/>
    <w:rsid w:val="10135012"/>
    <w:rsid w:val="101C1A2F"/>
    <w:rsid w:val="1022D216"/>
    <w:rsid w:val="10245924"/>
    <w:rsid w:val="10277484"/>
    <w:rsid w:val="1027C1F1"/>
    <w:rsid w:val="102802F8"/>
    <w:rsid w:val="102CF8DD"/>
    <w:rsid w:val="1032FD44"/>
    <w:rsid w:val="1036DCAD"/>
    <w:rsid w:val="1038585D"/>
    <w:rsid w:val="1039374D"/>
    <w:rsid w:val="103F697F"/>
    <w:rsid w:val="104C9F67"/>
    <w:rsid w:val="104F6CB3"/>
    <w:rsid w:val="105671B3"/>
    <w:rsid w:val="1057FC30"/>
    <w:rsid w:val="1058DC48"/>
    <w:rsid w:val="105E943B"/>
    <w:rsid w:val="1067F80D"/>
    <w:rsid w:val="107392D7"/>
    <w:rsid w:val="10740790"/>
    <w:rsid w:val="107A452E"/>
    <w:rsid w:val="107C82DF"/>
    <w:rsid w:val="10893DF4"/>
    <w:rsid w:val="10901C3D"/>
    <w:rsid w:val="10974E2B"/>
    <w:rsid w:val="10A8EF9F"/>
    <w:rsid w:val="10B9ED31"/>
    <w:rsid w:val="10BD490E"/>
    <w:rsid w:val="10C65E4C"/>
    <w:rsid w:val="10CB976B"/>
    <w:rsid w:val="10D18A0D"/>
    <w:rsid w:val="10D7208A"/>
    <w:rsid w:val="10E08122"/>
    <w:rsid w:val="10E56EA5"/>
    <w:rsid w:val="10EC4E0E"/>
    <w:rsid w:val="1107F724"/>
    <w:rsid w:val="1113A93E"/>
    <w:rsid w:val="1119C64C"/>
    <w:rsid w:val="111EE412"/>
    <w:rsid w:val="11272E5A"/>
    <w:rsid w:val="1135D1DA"/>
    <w:rsid w:val="1139F9BC"/>
    <w:rsid w:val="11401DD4"/>
    <w:rsid w:val="1142ED08"/>
    <w:rsid w:val="1147CE8B"/>
    <w:rsid w:val="11482F9E"/>
    <w:rsid w:val="115872E5"/>
    <w:rsid w:val="11684692"/>
    <w:rsid w:val="1170F7D2"/>
    <w:rsid w:val="11730915"/>
    <w:rsid w:val="1175711A"/>
    <w:rsid w:val="1176D094"/>
    <w:rsid w:val="1185F2AD"/>
    <w:rsid w:val="118D3E0A"/>
    <w:rsid w:val="118D6FE8"/>
    <w:rsid w:val="11B08F15"/>
    <w:rsid w:val="11CC7D5D"/>
    <w:rsid w:val="11D5FD55"/>
    <w:rsid w:val="11E09081"/>
    <w:rsid w:val="11F79493"/>
    <w:rsid w:val="11F7C97F"/>
    <w:rsid w:val="11FCD5C0"/>
    <w:rsid w:val="11FE398C"/>
    <w:rsid w:val="1201B51F"/>
    <w:rsid w:val="121083E4"/>
    <w:rsid w:val="124BCCA2"/>
    <w:rsid w:val="12547158"/>
    <w:rsid w:val="125E7B23"/>
    <w:rsid w:val="12719227"/>
    <w:rsid w:val="127236E0"/>
    <w:rsid w:val="12731DEE"/>
    <w:rsid w:val="1281C148"/>
    <w:rsid w:val="1284F1D1"/>
    <w:rsid w:val="128A2644"/>
    <w:rsid w:val="128E451B"/>
    <w:rsid w:val="12981293"/>
    <w:rsid w:val="129B6A7D"/>
    <w:rsid w:val="12B1DB0C"/>
    <w:rsid w:val="12C10131"/>
    <w:rsid w:val="12C24AC5"/>
    <w:rsid w:val="12C4B1BD"/>
    <w:rsid w:val="12E54A44"/>
    <w:rsid w:val="12E9599C"/>
    <w:rsid w:val="12F2647D"/>
    <w:rsid w:val="12F2C992"/>
    <w:rsid w:val="12F8636F"/>
    <w:rsid w:val="12FA8FB2"/>
    <w:rsid w:val="13045D18"/>
    <w:rsid w:val="1307B38C"/>
    <w:rsid w:val="130EB49C"/>
    <w:rsid w:val="130FB1D7"/>
    <w:rsid w:val="13137B15"/>
    <w:rsid w:val="131EB844"/>
    <w:rsid w:val="132203C0"/>
    <w:rsid w:val="132BD6EF"/>
    <w:rsid w:val="132E3019"/>
    <w:rsid w:val="132E5429"/>
    <w:rsid w:val="1339AB88"/>
    <w:rsid w:val="133BCB6A"/>
    <w:rsid w:val="134FAFDC"/>
    <w:rsid w:val="135CB65A"/>
    <w:rsid w:val="13642B0D"/>
    <w:rsid w:val="13645B63"/>
    <w:rsid w:val="13743B2A"/>
    <w:rsid w:val="1380A9D0"/>
    <w:rsid w:val="13846F5F"/>
    <w:rsid w:val="1389C7E5"/>
    <w:rsid w:val="138CC8D2"/>
    <w:rsid w:val="13A7D2FF"/>
    <w:rsid w:val="13AED5E6"/>
    <w:rsid w:val="13AF6ED6"/>
    <w:rsid w:val="13B67F3B"/>
    <w:rsid w:val="13B827D7"/>
    <w:rsid w:val="13C829F7"/>
    <w:rsid w:val="13CB38DF"/>
    <w:rsid w:val="13EB319B"/>
    <w:rsid w:val="13F56F10"/>
    <w:rsid w:val="13F5BF03"/>
    <w:rsid w:val="140717AA"/>
    <w:rsid w:val="14078524"/>
    <w:rsid w:val="140E8CFE"/>
    <w:rsid w:val="14144E69"/>
    <w:rsid w:val="142837E2"/>
    <w:rsid w:val="142F685B"/>
    <w:rsid w:val="14303A58"/>
    <w:rsid w:val="143A3BF2"/>
    <w:rsid w:val="1447C2FF"/>
    <w:rsid w:val="14647BAA"/>
    <w:rsid w:val="146C3D04"/>
    <w:rsid w:val="14726DEE"/>
    <w:rsid w:val="1474FC2B"/>
    <w:rsid w:val="14830A22"/>
    <w:rsid w:val="14927231"/>
    <w:rsid w:val="149655ED"/>
    <w:rsid w:val="14A00A56"/>
    <w:rsid w:val="14A144DF"/>
    <w:rsid w:val="14A8EB3E"/>
    <w:rsid w:val="14A91828"/>
    <w:rsid w:val="14AEF47B"/>
    <w:rsid w:val="14B06546"/>
    <w:rsid w:val="14B2AB2A"/>
    <w:rsid w:val="14CABE10"/>
    <w:rsid w:val="14D53595"/>
    <w:rsid w:val="14D5F2EB"/>
    <w:rsid w:val="14DBB43D"/>
    <w:rsid w:val="14E16226"/>
    <w:rsid w:val="14EF92DA"/>
    <w:rsid w:val="14F8B5CD"/>
    <w:rsid w:val="150A988E"/>
    <w:rsid w:val="150E8A53"/>
    <w:rsid w:val="15133E6E"/>
    <w:rsid w:val="1521644A"/>
    <w:rsid w:val="1534BDD0"/>
    <w:rsid w:val="153A7543"/>
    <w:rsid w:val="15465E01"/>
    <w:rsid w:val="154ACA34"/>
    <w:rsid w:val="154BBAAC"/>
    <w:rsid w:val="1550D2FB"/>
    <w:rsid w:val="15510FCA"/>
    <w:rsid w:val="156553DD"/>
    <w:rsid w:val="157196F0"/>
    <w:rsid w:val="157E1BB0"/>
    <w:rsid w:val="1580C18E"/>
    <w:rsid w:val="1582B556"/>
    <w:rsid w:val="15867025"/>
    <w:rsid w:val="15870959"/>
    <w:rsid w:val="1588FB35"/>
    <w:rsid w:val="1596A423"/>
    <w:rsid w:val="1596B648"/>
    <w:rsid w:val="159B058F"/>
    <w:rsid w:val="159B14CF"/>
    <w:rsid w:val="159D5E2A"/>
    <w:rsid w:val="159DFB6D"/>
    <w:rsid w:val="159EE323"/>
    <w:rsid w:val="15A4690D"/>
    <w:rsid w:val="15ACF550"/>
    <w:rsid w:val="15C6E7AD"/>
    <w:rsid w:val="15DD0798"/>
    <w:rsid w:val="15DF4815"/>
    <w:rsid w:val="15F90A91"/>
    <w:rsid w:val="161E2357"/>
    <w:rsid w:val="1629BB6E"/>
    <w:rsid w:val="163FD253"/>
    <w:rsid w:val="16497ECF"/>
    <w:rsid w:val="16579DBE"/>
    <w:rsid w:val="165A2729"/>
    <w:rsid w:val="1661F704"/>
    <w:rsid w:val="166D8FC9"/>
    <w:rsid w:val="16735009"/>
    <w:rsid w:val="1689CEDB"/>
    <w:rsid w:val="16995BB7"/>
    <w:rsid w:val="169A91C4"/>
    <w:rsid w:val="169C8021"/>
    <w:rsid w:val="169E39AE"/>
    <w:rsid w:val="16AF51B2"/>
    <w:rsid w:val="16B6A480"/>
    <w:rsid w:val="16C14B12"/>
    <w:rsid w:val="16C94330"/>
    <w:rsid w:val="16CB5031"/>
    <w:rsid w:val="16D24D30"/>
    <w:rsid w:val="16E19B4D"/>
    <w:rsid w:val="17007A1B"/>
    <w:rsid w:val="1708ED0E"/>
    <w:rsid w:val="170AE023"/>
    <w:rsid w:val="170FCFE5"/>
    <w:rsid w:val="1712B78F"/>
    <w:rsid w:val="172A3CBE"/>
    <w:rsid w:val="17381D98"/>
    <w:rsid w:val="1749445D"/>
    <w:rsid w:val="174957D0"/>
    <w:rsid w:val="17530D4E"/>
    <w:rsid w:val="17536588"/>
    <w:rsid w:val="1756352F"/>
    <w:rsid w:val="175BDEB0"/>
    <w:rsid w:val="175F5F64"/>
    <w:rsid w:val="17642316"/>
    <w:rsid w:val="176E1A49"/>
    <w:rsid w:val="17766665"/>
    <w:rsid w:val="17826514"/>
    <w:rsid w:val="178A22C9"/>
    <w:rsid w:val="178AC6E7"/>
    <w:rsid w:val="179C53C5"/>
    <w:rsid w:val="17A16A5D"/>
    <w:rsid w:val="17A5BD92"/>
    <w:rsid w:val="17AD9381"/>
    <w:rsid w:val="17B5AF43"/>
    <w:rsid w:val="17BA2D9E"/>
    <w:rsid w:val="17C875F0"/>
    <w:rsid w:val="17C910C4"/>
    <w:rsid w:val="17D31F4A"/>
    <w:rsid w:val="17D671AC"/>
    <w:rsid w:val="17E62EFE"/>
    <w:rsid w:val="18037CB8"/>
    <w:rsid w:val="18069736"/>
    <w:rsid w:val="18096234"/>
    <w:rsid w:val="1814AFD0"/>
    <w:rsid w:val="181E6A8D"/>
    <w:rsid w:val="18296AD8"/>
    <w:rsid w:val="182F01B0"/>
    <w:rsid w:val="183D17F1"/>
    <w:rsid w:val="183F1952"/>
    <w:rsid w:val="1841A192"/>
    <w:rsid w:val="18467BC8"/>
    <w:rsid w:val="184F2B04"/>
    <w:rsid w:val="1850C64F"/>
    <w:rsid w:val="1854C4D4"/>
    <w:rsid w:val="1854ED38"/>
    <w:rsid w:val="185A3FCC"/>
    <w:rsid w:val="18651391"/>
    <w:rsid w:val="186684E7"/>
    <w:rsid w:val="186C752D"/>
    <w:rsid w:val="1873BA9C"/>
    <w:rsid w:val="1875A16B"/>
    <w:rsid w:val="1876A39E"/>
    <w:rsid w:val="18810ED3"/>
    <w:rsid w:val="188818D4"/>
    <w:rsid w:val="1890FEC9"/>
    <w:rsid w:val="189816ED"/>
    <w:rsid w:val="18AD9DAE"/>
    <w:rsid w:val="18AEC193"/>
    <w:rsid w:val="18C6329B"/>
    <w:rsid w:val="18C8776B"/>
    <w:rsid w:val="18CB5111"/>
    <w:rsid w:val="18D04C50"/>
    <w:rsid w:val="18D2B472"/>
    <w:rsid w:val="18DF844D"/>
    <w:rsid w:val="18E599DD"/>
    <w:rsid w:val="18E6ADB4"/>
    <w:rsid w:val="18E8C076"/>
    <w:rsid w:val="18F0A986"/>
    <w:rsid w:val="18F616F4"/>
    <w:rsid w:val="18F623CA"/>
    <w:rsid w:val="18F730D2"/>
    <w:rsid w:val="19064A69"/>
    <w:rsid w:val="190C37E1"/>
    <w:rsid w:val="19127A40"/>
    <w:rsid w:val="1936A9F9"/>
    <w:rsid w:val="193CBEF6"/>
    <w:rsid w:val="193D095D"/>
    <w:rsid w:val="1946AFFB"/>
    <w:rsid w:val="19508FA2"/>
    <w:rsid w:val="1956B793"/>
    <w:rsid w:val="19626AC9"/>
    <w:rsid w:val="1965E9B5"/>
    <w:rsid w:val="1969BAEC"/>
    <w:rsid w:val="196BED99"/>
    <w:rsid w:val="1972617E"/>
    <w:rsid w:val="19762DE9"/>
    <w:rsid w:val="19799062"/>
    <w:rsid w:val="197C85A4"/>
    <w:rsid w:val="1992B8BF"/>
    <w:rsid w:val="1996C1DE"/>
    <w:rsid w:val="1997C344"/>
    <w:rsid w:val="199B40CF"/>
    <w:rsid w:val="199C5EC3"/>
    <w:rsid w:val="19A21812"/>
    <w:rsid w:val="19A3A928"/>
    <w:rsid w:val="19A7F015"/>
    <w:rsid w:val="19AF7418"/>
    <w:rsid w:val="19B4E191"/>
    <w:rsid w:val="19B9B77C"/>
    <w:rsid w:val="19C0D230"/>
    <w:rsid w:val="19C65F35"/>
    <w:rsid w:val="19D9FCCE"/>
    <w:rsid w:val="19DB43C0"/>
    <w:rsid w:val="19DE63A5"/>
    <w:rsid w:val="19E1E99F"/>
    <w:rsid w:val="19E31FF7"/>
    <w:rsid w:val="19EA07AD"/>
    <w:rsid w:val="19F4AC6A"/>
    <w:rsid w:val="19FA638E"/>
    <w:rsid w:val="19FD2558"/>
    <w:rsid w:val="19FDA751"/>
    <w:rsid w:val="19FE0C09"/>
    <w:rsid w:val="1A19E84C"/>
    <w:rsid w:val="1A23C85E"/>
    <w:rsid w:val="1A389AB1"/>
    <w:rsid w:val="1A398B86"/>
    <w:rsid w:val="1A3B9126"/>
    <w:rsid w:val="1A578365"/>
    <w:rsid w:val="1A584433"/>
    <w:rsid w:val="1A73A4C2"/>
    <w:rsid w:val="1A7C9D78"/>
    <w:rsid w:val="1A7CA7BD"/>
    <w:rsid w:val="1A819336"/>
    <w:rsid w:val="1A8FFADB"/>
    <w:rsid w:val="1A954148"/>
    <w:rsid w:val="1A98DA13"/>
    <w:rsid w:val="1AA8DF91"/>
    <w:rsid w:val="1AAC7965"/>
    <w:rsid w:val="1AAD0A29"/>
    <w:rsid w:val="1AB6372C"/>
    <w:rsid w:val="1ACD7290"/>
    <w:rsid w:val="1AD21236"/>
    <w:rsid w:val="1ADB3D22"/>
    <w:rsid w:val="1AE1F7BC"/>
    <w:rsid w:val="1AE81A74"/>
    <w:rsid w:val="1AE8F9DA"/>
    <w:rsid w:val="1AEB6794"/>
    <w:rsid w:val="1AF0CF2A"/>
    <w:rsid w:val="1AF3C416"/>
    <w:rsid w:val="1AF91FCF"/>
    <w:rsid w:val="1AFF6ED7"/>
    <w:rsid w:val="1B0C226D"/>
    <w:rsid w:val="1B1C9348"/>
    <w:rsid w:val="1B2544D2"/>
    <w:rsid w:val="1B2EEDF4"/>
    <w:rsid w:val="1B5AB7C8"/>
    <w:rsid w:val="1B6C096B"/>
    <w:rsid w:val="1B6D41B2"/>
    <w:rsid w:val="1B6E997D"/>
    <w:rsid w:val="1B7059D4"/>
    <w:rsid w:val="1B8441EF"/>
    <w:rsid w:val="1B84A719"/>
    <w:rsid w:val="1B86F158"/>
    <w:rsid w:val="1B88B1F0"/>
    <w:rsid w:val="1B895122"/>
    <w:rsid w:val="1B96B9E2"/>
    <w:rsid w:val="1B9B9E14"/>
    <w:rsid w:val="1BA114C9"/>
    <w:rsid w:val="1BAF1A6D"/>
    <w:rsid w:val="1BB2A454"/>
    <w:rsid w:val="1BBC86EE"/>
    <w:rsid w:val="1BCED1C9"/>
    <w:rsid w:val="1BD26046"/>
    <w:rsid w:val="1BD374E8"/>
    <w:rsid w:val="1BDECB19"/>
    <w:rsid w:val="1BE97737"/>
    <w:rsid w:val="1BF6E4B3"/>
    <w:rsid w:val="1C0566BB"/>
    <w:rsid w:val="1C083120"/>
    <w:rsid w:val="1C0964A5"/>
    <w:rsid w:val="1C0FD4E5"/>
    <w:rsid w:val="1C166B9D"/>
    <w:rsid w:val="1C20846B"/>
    <w:rsid w:val="1C2584DD"/>
    <w:rsid w:val="1C43C470"/>
    <w:rsid w:val="1C4725AA"/>
    <w:rsid w:val="1C50DE4F"/>
    <w:rsid w:val="1C5196E6"/>
    <w:rsid w:val="1C624416"/>
    <w:rsid w:val="1C633134"/>
    <w:rsid w:val="1C635631"/>
    <w:rsid w:val="1C63C446"/>
    <w:rsid w:val="1C74ED32"/>
    <w:rsid w:val="1C968945"/>
    <w:rsid w:val="1CA13950"/>
    <w:rsid w:val="1CA94150"/>
    <w:rsid w:val="1CC0F5EC"/>
    <w:rsid w:val="1CC36E49"/>
    <w:rsid w:val="1CCA2943"/>
    <w:rsid w:val="1CCD04F9"/>
    <w:rsid w:val="1CCEC7E1"/>
    <w:rsid w:val="1CE8BF99"/>
    <w:rsid w:val="1CECCF2F"/>
    <w:rsid w:val="1CEE365D"/>
    <w:rsid w:val="1CEFEBF2"/>
    <w:rsid w:val="1CFCAC73"/>
    <w:rsid w:val="1CFD8419"/>
    <w:rsid w:val="1D055843"/>
    <w:rsid w:val="1D05F78C"/>
    <w:rsid w:val="1D062947"/>
    <w:rsid w:val="1D10751F"/>
    <w:rsid w:val="1D1A93E3"/>
    <w:rsid w:val="1D293459"/>
    <w:rsid w:val="1D301E61"/>
    <w:rsid w:val="1D3BF8F2"/>
    <w:rsid w:val="1D508F61"/>
    <w:rsid w:val="1D58F2FD"/>
    <w:rsid w:val="1D5B73E5"/>
    <w:rsid w:val="1D5BCC06"/>
    <w:rsid w:val="1D5EE17C"/>
    <w:rsid w:val="1D6F2ECC"/>
    <w:rsid w:val="1D7A375D"/>
    <w:rsid w:val="1D7EE3D5"/>
    <w:rsid w:val="1D80C864"/>
    <w:rsid w:val="1D914B74"/>
    <w:rsid w:val="1D969435"/>
    <w:rsid w:val="1D98F000"/>
    <w:rsid w:val="1DA29CE7"/>
    <w:rsid w:val="1DAB483E"/>
    <w:rsid w:val="1DAD0177"/>
    <w:rsid w:val="1DB946C8"/>
    <w:rsid w:val="1DBAB986"/>
    <w:rsid w:val="1DBBB003"/>
    <w:rsid w:val="1DCA0193"/>
    <w:rsid w:val="1DD17AC7"/>
    <w:rsid w:val="1DD5BD28"/>
    <w:rsid w:val="1DD675F9"/>
    <w:rsid w:val="1DDECB07"/>
    <w:rsid w:val="1DEC6342"/>
    <w:rsid w:val="1DF59BFF"/>
    <w:rsid w:val="1DF9220C"/>
    <w:rsid w:val="1DFE5CC4"/>
    <w:rsid w:val="1DFFC351"/>
    <w:rsid w:val="1E06DAF6"/>
    <w:rsid w:val="1E0B8168"/>
    <w:rsid w:val="1E12DA17"/>
    <w:rsid w:val="1E14D57F"/>
    <w:rsid w:val="1E1B11C7"/>
    <w:rsid w:val="1E1BFC50"/>
    <w:rsid w:val="1E1CBC9B"/>
    <w:rsid w:val="1E22181B"/>
    <w:rsid w:val="1E2F98E1"/>
    <w:rsid w:val="1E35D28E"/>
    <w:rsid w:val="1E4697CF"/>
    <w:rsid w:val="1E5AD431"/>
    <w:rsid w:val="1E60125E"/>
    <w:rsid w:val="1E6B0C98"/>
    <w:rsid w:val="1E7CE145"/>
    <w:rsid w:val="1E86B799"/>
    <w:rsid w:val="1E98B6F1"/>
    <w:rsid w:val="1E9B8DB5"/>
    <w:rsid w:val="1EA48360"/>
    <w:rsid w:val="1EAA9F28"/>
    <w:rsid w:val="1EB4C5A9"/>
    <w:rsid w:val="1EB5947F"/>
    <w:rsid w:val="1EC1261B"/>
    <w:rsid w:val="1EDF3D87"/>
    <w:rsid w:val="1EDF43F8"/>
    <w:rsid w:val="1EE23D90"/>
    <w:rsid w:val="1EE5D1FB"/>
    <w:rsid w:val="1EEA4B26"/>
    <w:rsid w:val="1EEE0637"/>
    <w:rsid w:val="1EF6BF56"/>
    <w:rsid w:val="1EFE6820"/>
    <w:rsid w:val="1F013403"/>
    <w:rsid w:val="1F04C95B"/>
    <w:rsid w:val="1F07B79C"/>
    <w:rsid w:val="1F1DF56E"/>
    <w:rsid w:val="1F3B312E"/>
    <w:rsid w:val="1F3F245B"/>
    <w:rsid w:val="1F559780"/>
    <w:rsid w:val="1F578E6C"/>
    <w:rsid w:val="1F58AF29"/>
    <w:rsid w:val="1F59E569"/>
    <w:rsid w:val="1F6AD5D7"/>
    <w:rsid w:val="1F6C7534"/>
    <w:rsid w:val="1F6DC8FE"/>
    <w:rsid w:val="1F708914"/>
    <w:rsid w:val="1F7CBD1B"/>
    <w:rsid w:val="1F7F18CC"/>
    <w:rsid w:val="1F9B3416"/>
    <w:rsid w:val="1F9CB63B"/>
    <w:rsid w:val="1F9E6C45"/>
    <w:rsid w:val="1FAE52AB"/>
    <w:rsid w:val="1FB3F380"/>
    <w:rsid w:val="1FC3AA3F"/>
    <w:rsid w:val="1FD3EBC6"/>
    <w:rsid w:val="1FD5C808"/>
    <w:rsid w:val="1FD5F33F"/>
    <w:rsid w:val="1FD82690"/>
    <w:rsid w:val="1FDEB26D"/>
    <w:rsid w:val="1FE26C5F"/>
    <w:rsid w:val="1FF18DE6"/>
    <w:rsid w:val="1FFB41FB"/>
    <w:rsid w:val="2006B041"/>
    <w:rsid w:val="2015C8C0"/>
    <w:rsid w:val="20207A68"/>
    <w:rsid w:val="202ABE7A"/>
    <w:rsid w:val="20352488"/>
    <w:rsid w:val="203EB2D5"/>
    <w:rsid w:val="20421D41"/>
    <w:rsid w:val="204C6FD6"/>
    <w:rsid w:val="204F605C"/>
    <w:rsid w:val="205215EA"/>
    <w:rsid w:val="20524E7E"/>
    <w:rsid w:val="2055A5F8"/>
    <w:rsid w:val="20643DA5"/>
    <w:rsid w:val="206FB165"/>
    <w:rsid w:val="2074E053"/>
    <w:rsid w:val="207F5749"/>
    <w:rsid w:val="2087E1A7"/>
    <w:rsid w:val="20A89E3F"/>
    <w:rsid w:val="20B5E4E7"/>
    <w:rsid w:val="20B7B687"/>
    <w:rsid w:val="20C38C32"/>
    <w:rsid w:val="20C3E377"/>
    <w:rsid w:val="20C4DBC3"/>
    <w:rsid w:val="20CC4F8D"/>
    <w:rsid w:val="20CC685C"/>
    <w:rsid w:val="20CD355E"/>
    <w:rsid w:val="20CDC303"/>
    <w:rsid w:val="20DF7AAE"/>
    <w:rsid w:val="20EE6E4E"/>
    <w:rsid w:val="20EF9AB8"/>
    <w:rsid w:val="20F6E99A"/>
    <w:rsid w:val="20F98783"/>
    <w:rsid w:val="210A68CE"/>
    <w:rsid w:val="210EBFA2"/>
    <w:rsid w:val="2118BFC3"/>
    <w:rsid w:val="2123C412"/>
    <w:rsid w:val="21285797"/>
    <w:rsid w:val="213C5ECF"/>
    <w:rsid w:val="213D6134"/>
    <w:rsid w:val="214C4089"/>
    <w:rsid w:val="2159B9B6"/>
    <w:rsid w:val="215A423D"/>
    <w:rsid w:val="215AE006"/>
    <w:rsid w:val="215BF8F5"/>
    <w:rsid w:val="21709B5D"/>
    <w:rsid w:val="21758B2F"/>
    <w:rsid w:val="2177C7F7"/>
    <w:rsid w:val="21804B18"/>
    <w:rsid w:val="21883100"/>
    <w:rsid w:val="219304A4"/>
    <w:rsid w:val="2196FD40"/>
    <w:rsid w:val="219BF4C1"/>
    <w:rsid w:val="21A005AE"/>
    <w:rsid w:val="21A30A66"/>
    <w:rsid w:val="21B10A63"/>
    <w:rsid w:val="21B861D7"/>
    <w:rsid w:val="21BB4718"/>
    <w:rsid w:val="21D23D33"/>
    <w:rsid w:val="21DA43DC"/>
    <w:rsid w:val="21DA50A5"/>
    <w:rsid w:val="21DB6A36"/>
    <w:rsid w:val="21DD3517"/>
    <w:rsid w:val="21E00042"/>
    <w:rsid w:val="21F1C2D3"/>
    <w:rsid w:val="21FCBF6B"/>
    <w:rsid w:val="22075AC9"/>
    <w:rsid w:val="220BF5D7"/>
    <w:rsid w:val="22113538"/>
    <w:rsid w:val="2214C1E8"/>
    <w:rsid w:val="22255AA2"/>
    <w:rsid w:val="22257113"/>
    <w:rsid w:val="222AADEC"/>
    <w:rsid w:val="222C458A"/>
    <w:rsid w:val="223946DB"/>
    <w:rsid w:val="223D9233"/>
    <w:rsid w:val="22518733"/>
    <w:rsid w:val="2253A146"/>
    <w:rsid w:val="22543752"/>
    <w:rsid w:val="226AFC38"/>
    <w:rsid w:val="227C69FA"/>
    <w:rsid w:val="227C9D79"/>
    <w:rsid w:val="228B8025"/>
    <w:rsid w:val="22909189"/>
    <w:rsid w:val="2290CBB2"/>
    <w:rsid w:val="229CBA49"/>
    <w:rsid w:val="22B40345"/>
    <w:rsid w:val="22BC0275"/>
    <w:rsid w:val="22BF3D2E"/>
    <w:rsid w:val="22C3D6EF"/>
    <w:rsid w:val="22CC56FC"/>
    <w:rsid w:val="22D2656A"/>
    <w:rsid w:val="22D6D0EB"/>
    <w:rsid w:val="22E8C458"/>
    <w:rsid w:val="22F81476"/>
    <w:rsid w:val="22FAD3CA"/>
    <w:rsid w:val="230425AA"/>
    <w:rsid w:val="23052935"/>
    <w:rsid w:val="230778B3"/>
    <w:rsid w:val="231252E2"/>
    <w:rsid w:val="2326ED74"/>
    <w:rsid w:val="232E0BC9"/>
    <w:rsid w:val="233387E1"/>
    <w:rsid w:val="2340BE02"/>
    <w:rsid w:val="23484D58"/>
    <w:rsid w:val="23562215"/>
    <w:rsid w:val="235A8687"/>
    <w:rsid w:val="2363856C"/>
    <w:rsid w:val="23758E0D"/>
    <w:rsid w:val="237F3014"/>
    <w:rsid w:val="2384B5AE"/>
    <w:rsid w:val="2384FEA2"/>
    <w:rsid w:val="23877330"/>
    <w:rsid w:val="238E7131"/>
    <w:rsid w:val="23AE1E45"/>
    <w:rsid w:val="23B6124B"/>
    <w:rsid w:val="23D0636E"/>
    <w:rsid w:val="23D5D8C7"/>
    <w:rsid w:val="23D66F13"/>
    <w:rsid w:val="23D740F5"/>
    <w:rsid w:val="23DFDE22"/>
    <w:rsid w:val="23E0502D"/>
    <w:rsid w:val="23E6AD92"/>
    <w:rsid w:val="23EB605E"/>
    <w:rsid w:val="23EEE18C"/>
    <w:rsid w:val="23F8D757"/>
    <w:rsid w:val="240084BF"/>
    <w:rsid w:val="240FC5E3"/>
    <w:rsid w:val="24126A2B"/>
    <w:rsid w:val="2412766F"/>
    <w:rsid w:val="24205E13"/>
    <w:rsid w:val="2420EA3D"/>
    <w:rsid w:val="242154EE"/>
    <w:rsid w:val="242599E1"/>
    <w:rsid w:val="24275D25"/>
    <w:rsid w:val="2438E64B"/>
    <w:rsid w:val="243CBAE3"/>
    <w:rsid w:val="243CD693"/>
    <w:rsid w:val="2441B2F1"/>
    <w:rsid w:val="2443B72F"/>
    <w:rsid w:val="244ACBD9"/>
    <w:rsid w:val="24506F24"/>
    <w:rsid w:val="24668A32"/>
    <w:rsid w:val="24693831"/>
    <w:rsid w:val="2471D48D"/>
    <w:rsid w:val="24723775"/>
    <w:rsid w:val="2479AA27"/>
    <w:rsid w:val="247F5E31"/>
    <w:rsid w:val="2480D611"/>
    <w:rsid w:val="24816892"/>
    <w:rsid w:val="2482B5C4"/>
    <w:rsid w:val="24A146FA"/>
    <w:rsid w:val="24B8F012"/>
    <w:rsid w:val="24C23BE5"/>
    <w:rsid w:val="24C3FDC1"/>
    <w:rsid w:val="24CD7DE0"/>
    <w:rsid w:val="24D210B4"/>
    <w:rsid w:val="24D67998"/>
    <w:rsid w:val="24DC26E5"/>
    <w:rsid w:val="24E3E7A6"/>
    <w:rsid w:val="24F71013"/>
    <w:rsid w:val="24F8DD4F"/>
    <w:rsid w:val="250E556C"/>
    <w:rsid w:val="251FF942"/>
    <w:rsid w:val="253D245F"/>
    <w:rsid w:val="25417E08"/>
    <w:rsid w:val="25608F1F"/>
    <w:rsid w:val="2562587F"/>
    <w:rsid w:val="2568C09D"/>
    <w:rsid w:val="256D9CAF"/>
    <w:rsid w:val="2579291D"/>
    <w:rsid w:val="257A7831"/>
    <w:rsid w:val="257CA91F"/>
    <w:rsid w:val="258B7BB0"/>
    <w:rsid w:val="25A2BEFF"/>
    <w:rsid w:val="25BF148E"/>
    <w:rsid w:val="25C44255"/>
    <w:rsid w:val="25C707AD"/>
    <w:rsid w:val="25D254AF"/>
    <w:rsid w:val="25D5BFD1"/>
    <w:rsid w:val="25E1F89E"/>
    <w:rsid w:val="25E38359"/>
    <w:rsid w:val="25F65E75"/>
    <w:rsid w:val="25F8C66F"/>
    <w:rsid w:val="2605AB54"/>
    <w:rsid w:val="260873EF"/>
    <w:rsid w:val="261FA0C2"/>
    <w:rsid w:val="2639EC5B"/>
    <w:rsid w:val="264BD62D"/>
    <w:rsid w:val="26516D01"/>
    <w:rsid w:val="2653F8F3"/>
    <w:rsid w:val="26575E5E"/>
    <w:rsid w:val="2659D63E"/>
    <w:rsid w:val="265CB959"/>
    <w:rsid w:val="26714AEE"/>
    <w:rsid w:val="26772C9E"/>
    <w:rsid w:val="267A6322"/>
    <w:rsid w:val="267B71B1"/>
    <w:rsid w:val="267DFECC"/>
    <w:rsid w:val="2687911C"/>
    <w:rsid w:val="26896087"/>
    <w:rsid w:val="268A89B7"/>
    <w:rsid w:val="268CBC90"/>
    <w:rsid w:val="269B262E"/>
    <w:rsid w:val="269B43B1"/>
    <w:rsid w:val="26A46A0C"/>
    <w:rsid w:val="26A5C520"/>
    <w:rsid w:val="26BDD902"/>
    <w:rsid w:val="26C38FCC"/>
    <w:rsid w:val="26E58E5D"/>
    <w:rsid w:val="26F4EDAE"/>
    <w:rsid w:val="26FEC2D6"/>
    <w:rsid w:val="2701EB33"/>
    <w:rsid w:val="2703A839"/>
    <w:rsid w:val="2711CC6F"/>
    <w:rsid w:val="271C1DF7"/>
    <w:rsid w:val="27271B42"/>
    <w:rsid w:val="27499083"/>
    <w:rsid w:val="27515E75"/>
    <w:rsid w:val="2751A061"/>
    <w:rsid w:val="275E8E9A"/>
    <w:rsid w:val="27636B0D"/>
    <w:rsid w:val="276409F3"/>
    <w:rsid w:val="2765C871"/>
    <w:rsid w:val="277902A7"/>
    <w:rsid w:val="277B4DC6"/>
    <w:rsid w:val="2782E501"/>
    <w:rsid w:val="27838A9B"/>
    <w:rsid w:val="2795B66E"/>
    <w:rsid w:val="27A20D92"/>
    <w:rsid w:val="27A4FC50"/>
    <w:rsid w:val="27A645FB"/>
    <w:rsid w:val="27B108DA"/>
    <w:rsid w:val="27B74512"/>
    <w:rsid w:val="27C77BEC"/>
    <w:rsid w:val="27D78247"/>
    <w:rsid w:val="27E3F11D"/>
    <w:rsid w:val="27E58723"/>
    <w:rsid w:val="27EA75CD"/>
    <w:rsid w:val="27FC0D6B"/>
    <w:rsid w:val="28070C48"/>
    <w:rsid w:val="28094922"/>
    <w:rsid w:val="281430FB"/>
    <w:rsid w:val="281ACDF8"/>
    <w:rsid w:val="283100FC"/>
    <w:rsid w:val="2838814A"/>
    <w:rsid w:val="2838E454"/>
    <w:rsid w:val="283C413B"/>
    <w:rsid w:val="284A8AB4"/>
    <w:rsid w:val="284CCD5C"/>
    <w:rsid w:val="2853966E"/>
    <w:rsid w:val="28560464"/>
    <w:rsid w:val="2856FF77"/>
    <w:rsid w:val="285A3C61"/>
    <w:rsid w:val="285F071C"/>
    <w:rsid w:val="2876CD00"/>
    <w:rsid w:val="28772872"/>
    <w:rsid w:val="2878B87F"/>
    <w:rsid w:val="2890D30B"/>
    <w:rsid w:val="2893255F"/>
    <w:rsid w:val="289786CD"/>
    <w:rsid w:val="289F9AB3"/>
    <w:rsid w:val="28A87CDE"/>
    <w:rsid w:val="28AFB672"/>
    <w:rsid w:val="28B9D38E"/>
    <w:rsid w:val="28CB9724"/>
    <w:rsid w:val="28D79201"/>
    <w:rsid w:val="28DF00A9"/>
    <w:rsid w:val="28ECC25C"/>
    <w:rsid w:val="28F0BC04"/>
    <w:rsid w:val="28F386DE"/>
    <w:rsid w:val="28F71AED"/>
    <w:rsid w:val="28F93248"/>
    <w:rsid w:val="28FBC525"/>
    <w:rsid w:val="28FE29A7"/>
    <w:rsid w:val="291AF652"/>
    <w:rsid w:val="291C790E"/>
    <w:rsid w:val="291FFF4A"/>
    <w:rsid w:val="29201084"/>
    <w:rsid w:val="29277459"/>
    <w:rsid w:val="29292E89"/>
    <w:rsid w:val="292DCAFD"/>
    <w:rsid w:val="292F89D6"/>
    <w:rsid w:val="29505AFC"/>
    <w:rsid w:val="2954DAFE"/>
    <w:rsid w:val="2955411B"/>
    <w:rsid w:val="295C899F"/>
    <w:rsid w:val="2964ECF2"/>
    <w:rsid w:val="296D5736"/>
    <w:rsid w:val="297AE2D2"/>
    <w:rsid w:val="297B4CBB"/>
    <w:rsid w:val="297B90A7"/>
    <w:rsid w:val="298DB86A"/>
    <w:rsid w:val="299451B1"/>
    <w:rsid w:val="29AC1097"/>
    <w:rsid w:val="29AC6AA2"/>
    <w:rsid w:val="29C2EB20"/>
    <w:rsid w:val="29D12B6D"/>
    <w:rsid w:val="29D692D1"/>
    <w:rsid w:val="29D85773"/>
    <w:rsid w:val="29DBD5FB"/>
    <w:rsid w:val="29DD91AC"/>
    <w:rsid w:val="29E18A22"/>
    <w:rsid w:val="29E97543"/>
    <w:rsid w:val="29F12F20"/>
    <w:rsid w:val="29F9BCC0"/>
    <w:rsid w:val="2A084351"/>
    <w:rsid w:val="2A09336E"/>
    <w:rsid w:val="2A0F6F33"/>
    <w:rsid w:val="2A16D19A"/>
    <w:rsid w:val="2A184253"/>
    <w:rsid w:val="2A186C05"/>
    <w:rsid w:val="2A24B255"/>
    <w:rsid w:val="2A36D922"/>
    <w:rsid w:val="2A4769D8"/>
    <w:rsid w:val="2A591BA4"/>
    <w:rsid w:val="2A724F63"/>
    <w:rsid w:val="2A75EDE2"/>
    <w:rsid w:val="2A774D87"/>
    <w:rsid w:val="2A7B8729"/>
    <w:rsid w:val="2A814EB4"/>
    <w:rsid w:val="2A857326"/>
    <w:rsid w:val="2A926A0F"/>
    <w:rsid w:val="2A92BB7A"/>
    <w:rsid w:val="2A962ECE"/>
    <w:rsid w:val="2AA332CD"/>
    <w:rsid w:val="2AB3DE3A"/>
    <w:rsid w:val="2AB998F1"/>
    <w:rsid w:val="2ABC354D"/>
    <w:rsid w:val="2AC118C9"/>
    <w:rsid w:val="2AD70615"/>
    <w:rsid w:val="2ADD5510"/>
    <w:rsid w:val="2AE4F022"/>
    <w:rsid w:val="2AE7F2CC"/>
    <w:rsid w:val="2AEAE272"/>
    <w:rsid w:val="2AEB9AC1"/>
    <w:rsid w:val="2AF17575"/>
    <w:rsid w:val="2AF4626B"/>
    <w:rsid w:val="2AF6EBFC"/>
    <w:rsid w:val="2AFD2906"/>
    <w:rsid w:val="2AFDB68D"/>
    <w:rsid w:val="2B0A87AD"/>
    <w:rsid w:val="2B0B3C92"/>
    <w:rsid w:val="2B0CDA76"/>
    <w:rsid w:val="2B237614"/>
    <w:rsid w:val="2B28226D"/>
    <w:rsid w:val="2B2ED666"/>
    <w:rsid w:val="2B2FD1E0"/>
    <w:rsid w:val="2B333F45"/>
    <w:rsid w:val="2B34116A"/>
    <w:rsid w:val="2B3D289A"/>
    <w:rsid w:val="2B48FA00"/>
    <w:rsid w:val="2B50637C"/>
    <w:rsid w:val="2B53A3B2"/>
    <w:rsid w:val="2B555C09"/>
    <w:rsid w:val="2B556EF4"/>
    <w:rsid w:val="2B56F6E2"/>
    <w:rsid w:val="2B5AFD9F"/>
    <w:rsid w:val="2B5F378C"/>
    <w:rsid w:val="2B66DF68"/>
    <w:rsid w:val="2B74B121"/>
    <w:rsid w:val="2B84C0DB"/>
    <w:rsid w:val="2B8A5973"/>
    <w:rsid w:val="2B8F6059"/>
    <w:rsid w:val="2B90062C"/>
    <w:rsid w:val="2B91C10F"/>
    <w:rsid w:val="2B94E369"/>
    <w:rsid w:val="2B97A0EC"/>
    <w:rsid w:val="2B999ED6"/>
    <w:rsid w:val="2B9E2DFE"/>
    <w:rsid w:val="2BAC48D2"/>
    <w:rsid w:val="2BACBFFA"/>
    <w:rsid w:val="2BB08F9C"/>
    <w:rsid w:val="2BBB5751"/>
    <w:rsid w:val="2BBF9621"/>
    <w:rsid w:val="2BC92FC8"/>
    <w:rsid w:val="2BE0AA27"/>
    <w:rsid w:val="2BE4E28D"/>
    <w:rsid w:val="2BE72CA8"/>
    <w:rsid w:val="2BE96D3E"/>
    <w:rsid w:val="2BE97376"/>
    <w:rsid w:val="2BF936D6"/>
    <w:rsid w:val="2C010E9E"/>
    <w:rsid w:val="2C0282C4"/>
    <w:rsid w:val="2C0A08A9"/>
    <w:rsid w:val="2C12FDBD"/>
    <w:rsid w:val="2C3B13B7"/>
    <w:rsid w:val="2C409F80"/>
    <w:rsid w:val="2C416839"/>
    <w:rsid w:val="2C4D7DF2"/>
    <w:rsid w:val="2C717782"/>
    <w:rsid w:val="2C7243D3"/>
    <w:rsid w:val="2C75E967"/>
    <w:rsid w:val="2C8212C6"/>
    <w:rsid w:val="2C867C5E"/>
    <w:rsid w:val="2C901246"/>
    <w:rsid w:val="2C92BD2B"/>
    <w:rsid w:val="2C9682D3"/>
    <w:rsid w:val="2C9DD908"/>
    <w:rsid w:val="2CA8AB59"/>
    <w:rsid w:val="2CAB52CF"/>
    <w:rsid w:val="2CAE75C7"/>
    <w:rsid w:val="2CB76A32"/>
    <w:rsid w:val="2CB96459"/>
    <w:rsid w:val="2CBE04DE"/>
    <w:rsid w:val="2CCEDC50"/>
    <w:rsid w:val="2CCF08DD"/>
    <w:rsid w:val="2CE0FC0D"/>
    <w:rsid w:val="2CE69380"/>
    <w:rsid w:val="2CE79E2D"/>
    <w:rsid w:val="2CEF7517"/>
    <w:rsid w:val="2CF94FA0"/>
    <w:rsid w:val="2CFAFF81"/>
    <w:rsid w:val="2D03E6C5"/>
    <w:rsid w:val="2D1EB313"/>
    <w:rsid w:val="2D22CE86"/>
    <w:rsid w:val="2D28E852"/>
    <w:rsid w:val="2D2F5837"/>
    <w:rsid w:val="2D40997B"/>
    <w:rsid w:val="2D546954"/>
    <w:rsid w:val="2D54AF49"/>
    <w:rsid w:val="2D594E27"/>
    <w:rsid w:val="2D5AC50C"/>
    <w:rsid w:val="2D5EF9D2"/>
    <w:rsid w:val="2D7F0A9A"/>
    <w:rsid w:val="2D7F7588"/>
    <w:rsid w:val="2D8AF476"/>
    <w:rsid w:val="2D9226FE"/>
    <w:rsid w:val="2D94098A"/>
    <w:rsid w:val="2D9EC5E3"/>
    <w:rsid w:val="2DA2684E"/>
    <w:rsid w:val="2DA3584D"/>
    <w:rsid w:val="2DAB3D84"/>
    <w:rsid w:val="2DAE1159"/>
    <w:rsid w:val="2DC40298"/>
    <w:rsid w:val="2DC8E598"/>
    <w:rsid w:val="2DE38EBE"/>
    <w:rsid w:val="2DE57B15"/>
    <w:rsid w:val="2DE8573A"/>
    <w:rsid w:val="2DF10F28"/>
    <w:rsid w:val="2DF990CD"/>
    <w:rsid w:val="2E07B51C"/>
    <w:rsid w:val="2E085BB8"/>
    <w:rsid w:val="2E0C96C8"/>
    <w:rsid w:val="2E14F5D2"/>
    <w:rsid w:val="2E155B5E"/>
    <w:rsid w:val="2E16221E"/>
    <w:rsid w:val="2E220B9A"/>
    <w:rsid w:val="2E23F3BD"/>
    <w:rsid w:val="2E257150"/>
    <w:rsid w:val="2E2AD98F"/>
    <w:rsid w:val="2E493A10"/>
    <w:rsid w:val="2E55F4A5"/>
    <w:rsid w:val="2E5A6E0E"/>
    <w:rsid w:val="2E5ED7C8"/>
    <w:rsid w:val="2E5EEF1A"/>
    <w:rsid w:val="2E65D8BB"/>
    <w:rsid w:val="2E66F7EF"/>
    <w:rsid w:val="2E695C8D"/>
    <w:rsid w:val="2E767CE9"/>
    <w:rsid w:val="2E77FDFF"/>
    <w:rsid w:val="2E786427"/>
    <w:rsid w:val="2E904548"/>
    <w:rsid w:val="2E90FF12"/>
    <w:rsid w:val="2E935CD3"/>
    <w:rsid w:val="2E993B11"/>
    <w:rsid w:val="2EA1E496"/>
    <w:rsid w:val="2EA37ACB"/>
    <w:rsid w:val="2EA47383"/>
    <w:rsid w:val="2EA84066"/>
    <w:rsid w:val="2EC3B7AB"/>
    <w:rsid w:val="2EC8B0CC"/>
    <w:rsid w:val="2ED1A2D8"/>
    <w:rsid w:val="2ED2E132"/>
    <w:rsid w:val="2ED787E7"/>
    <w:rsid w:val="2ED9063A"/>
    <w:rsid w:val="2EDD56EA"/>
    <w:rsid w:val="2EDDD097"/>
    <w:rsid w:val="2EDE7261"/>
    <w:rsid w:val="2EDEBDA7"/>
    <w:rsid w:val="2EF013BB"/>
    <w:rsid w:val="2EF36D49"/>
    <w:rsid w:val="2EF49E22"/>
    <w:rsid w:val="2EFF9D47"/>
    <w:rsid w:val="2F074688"/>
    <w:rsid w:val="2F086842"/>
    <w:rsid w:val="2F0CFA4D"/>
    <w:rsid w:val="2F154EA3"/>
    <w:rsid w:val="2F29CB33"/>
    <w:rsid w:val="2F4DD844"/>
    <w:rsid w:val="2F6580F8"/>
    <w:rsid w:val="2F7DFAA8"/>
    <w:rsid w:val="2F883FE2"/>
    <w:rsid w:val="2F8CF697"/>
    <w:rsid w:val="2F8E35B0"/>
    <w:rsid w:val="2F925365"/>
    <w:rsid w:val="2F926B82"/>
    <w:rsid w:val="2F93906E"/>
    <w:rsid w:val="2F99EDF7"/>
    <w:rsid w:val="2FA8471B"/>
    <w:rsid w:val="2FAE2882"/>
    <w:rsid w:val="2FB0C633"/>
    <w:rsid w:val="2FB0E035"/>
    <w:rsid w:val="2FBE0840"/>
    <w:rsid w:val="2FCA8F66"/>
    <w:rsid w:val="2FCD067B"/>
    <w:rsid w:val="2FD96610"/>
    <w:rsid w:val="2FED5C57"/>
    <w:rsid w:val="2FF1B3F2"/>
    <w:rsid w:val="2FF44FBA"/>
    <w:rsid w:val="2FF7C322"/>
    <w:rsid w:val="2FFDB2C4"/>
    <w:rsid w:val="2FFEFC47"/>
    <w:rsid w:val="300D006C"/>
    <w:rsid w:val="3014BFCD"/>
    <w:rsid w:val="301D19D2"/>
    <w:rsid w:val="301E6879"/>
    <w:rsid w:val="3023A80B"/>
    <w:rsid w:val="302FE7F6"/>
    <w:rsid w:val="303BB22F"/>
    <w:rsid w:val="30472109"/>
    <w:rsid w:val="3049001F"/>
    <w:rsid w:val="304CDCEC"/>
    <w:rsid w:val="30539141"/>
    <w:rsid w:val="305640A1"/>
    <w:rsid w:val="305BC576"/>
    <w:rsid w:val="305E5635"/>
    <w:rsid w:val="3065C26C"/>
    <w:rsid w:val="30800364"/>
    <w:rsid w:val="30804EA5"/>
    <w:rsid w:val="308E3697"/>
    <w:rsid w:val="308FC1AE"/>
    <w:rsid w:val="30A0985B"/>
    <w:rsid w:val="30A534C2"/>
    <w:rsid w:val="30A64411"/>
    <w:rsid w:val="30AB56CE"/>
    <w:rsid w:val="30B1D6B9"/>
    <w:rsid w:val="30B204D4"/>
    <w:rsid w:val="30BC3402"/>
    <w:rsid w:val="30C5A9F8"/>
    <w:rsid w:val="30C6C371"/>
    <w:rsid w:val="30C8C8CD"/>
    <w:rsid w:val="30CB6F21"/>
    <w:rsid w:val="30D552E0"/>
    <w:rsid w:val="30D7DA9D"/>
    <w:rsid w:val="30FEF233"/>
    <w:rsid w:val="310FB8C6"/>
    <w:rsid w:val="3111E788"/>
    <w:rsid w:val="311BD41C"/>
    <w:rsid w:val="311E44F6"/>
    <w:rsid w:val="31207437"/>
    <w:rsid w:val="31336EE5"/>
    <w:rsid w:val="314717D7"/>
    <w:rsid w:val="3152E268"/>
    <w:rsid w:val="315453E4"/>
    <w:rsid w:val="31546542"/>
    <w:rsid w:val="3156B6AB"/>
    <w:rsid w:val="315C3273"/>
    <w:rsid w:val="3168D266"/>
    <w:rsid w:val="316BB29F"/>
    <w:rsid w:val="317A72C8"/>
    <w:rsid w:val="317C016F"/>
    <w:rsid w:val="317E2850"/>
    <w:rsid w:val="3182DC5D"/>
    <w:rsid w:val="318C9DE3"/>
    <w:rsid w:val="319718B5"/>
    <w:rsid w:val="319BB5C4"/>
    <w:rsid w:val="31B99995"/>
    <w:rsid w:val="31C2A628"/>
    <w:rsid w:val="31C41A0C"/>
    <w:rsid w:val="31C4DFC6"/>
    <w:rsid w:val="31D25619"/>
    <w:rsid w:val="31DC7F7E"/>
    <w:rsid w:val="31F39E16"/>
    <w:rsid w:val="31FD03C5"/>
    <w:rsid w:val="32040493"/>
    <w:rsid w:val="320FC5A7"/>
    <w:rsid w:val="32180492"/>
    <w:rsid w:val="3226B54C"/>
    <w:rsid w:val="3230B18A"/>
    <w:rsid w:val="323D70CE"/>
    <w:rsid w:val="32441467"/>
    <w:rsid w:val="324A721B"/>
    <w:rsid w:val="324F44C6"/>
    <w:rsid w:val="324F9FB4"/>
    <w:rsid w:val="325C63FB"/>
    <w:rsid w:val="325FB372"/>
    <w:rsid w:val="3266280D"/>
    <w:rsid w:val="32732D66"/>
    <w:rsid w:val="32795548"/>
    <w:rsid w:val="327B77A8"/>
    <w:rsid w:val="327BFF46"/>
    <w:rsid w:val="3292838F"/>
    <w:rsid w:val="32974706"/>
    <w:rsid w:val="329BCBD8"/>
    <w:rsid w:val="329E7F19"/>
    <w:rsid w:val="32A1C683"/>
    <w:rsid w:val="32B48E6C"/>
    <w:rsid w:val="32C84C90"/>
    <w:rsid w:val="32E070C8"/>
    <w:rsid w:val="32E2BDA9"/>
    <w:rsid w:val="32EEB5CB"/>
    <w:rsid w:val="32F47F91"/>
    <w:rsid w:val="330DD8EB"/>
    <w:rsid w:val="332538B1"/>
    <w:rsid w:val="332A1E03"/>
    <w:rsid w:val="3334A5BE"/>
    <w:rsid w:val="333B7A66"/>
    <w:rsid w:val="3345AA2E"/>
    <w:rsid w:val="335C0BD0"/>
    <w:rsid w:val="335F66C2"/>
    <w:rsid w:val="33602536"/>
    <w:rsid w:val="336416DB"/>
    <w:rsid w:val="3372D9A9"/>
    <w:rsid w:val="337AF700"/>
    <w:rsid w:val="337F4A8E"/>
    <w:rsid w:val="33823822"/>
    <w:rsid w:val="3383E4BA"/>
    <w:rsid w:val="33866CB9"/>
    <w:rsid w:val="338B5CDA"/>
    <w:rsid w:val="339E7174"/>
    <w:rsid w:val="33A29F69"/>
    <w:rsid w:val="33A56807"/>
    <w:rsid w:val="33C7B7F0"/>
    <w:rsid w:val="33CFAB05"/>
    <w:rsid w:val="33DE44C1"/>
    <w:rsid w:val="33DE6312"/>
    <w:rsid w:val="33E0669B"/>
    <w:rsid w:val="33E12E6D"/>
    <w:rsid w:val="33EB16E8"/>
    <w:rsid w:val="33EB6646"/>
    <w:rsid w:val="33EEAFD4"/>
    <w:rsid w:val="33FFB117"/>
    <w:rsid w:val="340C344B"/>
    <w:rsid w:val="341B5159"/>
    <w:rsid w:val="341BDF40"/>
    <w:rsid w:val="341C912D"/>
    <w:rsid w:val="341F6147"/>
    <w:rsid w:val="34257372"/>
    <w:rsid w:val="343F4431"/>
    <w:rsid w:val="34400753"/>
    <w:rsid w:val="34471FD2"/>
    <w:rsid w:val="34577B77"/>
    <w:rsid w:val="345D8C4D"/>
    <w:rsid w:val="345E15ED"/>
    <w:rsid w:val="345EC8AA"/>
    <w:rsid w:val="346067F0"/>
    <w:rsid w:val="346B0EF9"/>
    <w:rsid w:val="34731185"/>
    <w:rsid w:val="3473DEB7"/>
    <w:rsid w:val="347714DA"/>
    <w:rsid w:val="347C8752"/>
    <w:rsid w:val="34812FA5"/>
    <w:rsid w:val="3487B2E7"/>
    <w:rsid w:val="349436C1"/>
    <w:rsid w:val="34A37FE6"/>
    <w:rsid w:val="34A3E89E"/>
    <w:rsid w:val="34B2B8DA"/>
    <w:rsid w:val="34BF4AF5"/>
    <w:rsid w:val="34C16ABD"/>
    <w:rsid w:val="34C4C596"/>
    <w:rsid w:val="34D45FF6"/>
    <w:rsid w:val="34D4F4B4"/>
    <w:rsid w:val="34D57D40"/>
    <w:rsid w:val="34DD9D3A"/>
    <w:rsid w:val="34DE8AD7"/>
    <w:rsid w:val="34E24F42"/>
    <w:rsid w:val="34EB80A8"/>
    <w:rsid w:val="34F0A0C7"/>
    <w:rsid w:val="34FFFB8D"/>
    <w:rsid w:val="35026E3A"/>
    <w:rsid w:val="350488C3"/>
    <w:rsid w:val="350816F6"/>
    <w:rsid w:val="350925CE"/>
    <w:rsid w:val="3509F949"/>
    <w:rsid w:val="3518483B"/>
    <w:rsid w:val="353000C9"/>
    <w:rsid w:val="35409206"/>
    <w:rsid w:val="3546C84B"/>
    <w:rsid w:val="3559BA63"/>
    <w:rsid w:val="3563B1EB"/>
    <w:rsid w:val="3564CAAB"/>
    <w:rsid w:val="35728D25"/>
    <w:rsid w:val="357BCF69"/>
    <w:rsid w:val="357FD8B9"/>
    <w:rsid w:val="3580D62A"/>
    <w:rsid w:val="35864B81"/>
    <w:rsid w:val="35907712"/>
    <w:rsid w:val="3594B84A"/>
    <w:rsid w:val="35B5FC92"/>
    <w:rsid w:val="35C5F561"/>
    <w:rsid w:val="35CEB554"/>
    <w:rsid w:val="35D06927"/>
    <w:rsid w:val="35EA22A6"/>
    <w:rsid w:val="35F4FA79"/>
    <w:rsid w:val="35F75CD0"/>
    <w:rsid w:val="3601B553"/>
    <w:rsid w:val="3611CD6A"/>
    <w:rsid w:val="36121F69"/>
    <w:rsid w:val="3615D1E5"/>
    <w:rsid w:val="36169B9F"/>
    <w:rsid w:val="36207CCA"/>
    <w:rsid w:val="3621C573"/>
    <w:rsid w:val="3621D6D4"/>
    <w:rsid w:val="362D24AA"/>
    <w:rsid w:val="362F14F7"/>
    <w:rsid w:val="362FBF75"/>
    <w:rsid w:val="363D4D25"/>
    <w:rsid w:val="364AC616"/>
    <w:rsid w:val="364CC420"/>
    <w:rsid w:val="364F4296"/>
    <w:rsid w:val="364F5F96"/>
    <w:rsid w:val="36506AAF"/>
    <w:rsid w:val="3664DF18"/>
    <w:rsid w:val="3676F043"/>
    <w:rsid w:val="367A146A"/>
    <w:rsid w:val="367A4F8A"/>
    <w:rsid w:val="3683B14F"/>
    <w:rsid w:val="368432B1"/>
    <w:rsid w:val="36856052"/>
    <w:rsid w:val="368D957D"/>
    <w:rsid w:val="369A0B60"/>
    <w:rsid w:val="36A364D1"/>
    <w:rsid w:val="36AF26E9"/>
    <w:rsid w:val="36B1B7BB"/>
    <w:rsid w:val="36BFF310"/>
    <w:rsid w:val="36C853B8"/>
    <w:rsid w:val="36CA4011"/>
    <w:rsid w:val="36CDE4DC"/>
    <w:rsid w:val="36D067C8"/>
    <w:rsid w:val="36DF6622"/>
    <w:rsid w:val="36E94A20"/>
    <w:rsid w:val="36F973B9"/>
    <w:rsid w:val="36FA32F8"/>
    <w:rsid w:val="37004C85"/>
    <w:rsid w:val="37006F60"/>
    <w:rsid w:val="3701ACAA"/>
    <w:rsid w:val="37078E60"/>
    <w:rsid w:val="370F291E"/>
    <w:rsid w:val="370FFA52"/>
    <w:rsid w:val="37128A38"/>
    <w:rsid w:val="371BF551"/>
    <w:rsid w:val="3722D6F2"/>
    <w:rsid w:val="372BCDE6"/>
    <w:rsid w:val="372C5BD0"/>
    <w:rsid w:val="372CB0FD"/>
    <w:rsid w:val="372E831B"/>
    <w:rsid w:val="3735C0A0"/>
    <w:rsid w:val="3740AC18"/>
    <w:rsid w:val="374F1827"/>
    <w:rsid w:val="3754D88B"/>
    <w:rsid w:val="375AE5CE"/>
    <w:rsid w:val="375E39EF"/>
    <w:rsid w:val="3762CE67"/>
    <w:rsid w:val="376BDD09"/>
    <w:rsid w:val="376C19AD"/>
    <w:rsid w:val="376F060D"/>
    <w:rsid w:val="3778AC17"/>
    <w:rsid w:val="377D307B"/>
    <w:rsid w:val="378A9D9D"/>
    <w:rsid w:val="378C3446"/>
    <w:rsid w:val="378D90A6"/>
    <w:rsid w:val="378F67FD"/>
    <w:rsid w:val="3791EBFF"/>
    <w:rsid w:val="3795B9D3"/>
    <w:rsid w:val="3799CB55"/>
    <w:rsid w:val="379BA686"/>
    <w:rsid w:val="379D410A"/>
    <w:rsid w:val="37A96109"/>
    <w:rsid w:val="37B1A246"/>
    <w:rsid w:val="37B8D380"/>
    <w:rsid w:val="37BB99FE"/>
    <w:rsid w:val="37C033CD"/>
    <w:rsid w:val="37C659B9"/>
    <w:rsid w:val="37CF5F4F"/>
    <w:rsid w:val="37D0F11F"/>
    <w:rsid w:val="37D7E4C0"/>
    <w:rsid w:val="37DBFA59"/>
    <w:rsid w:val="37E66406"/>
    <w:rsid w:val="37F12444"/>
    <w:rsid w:val="37F899F0"/>
    <w:rsid w:val="37F9AA1F"/>
    <w:rsid w:val="37FA5AA6"/>
    <w:rsid w:val="38037FC0"/>
    <w:rsid w:val="3809359B"/>
    <w:rsid w:val="380F8989"/>
    <w:rsid w:val="3810556B"/>
    <w:rsid w:val="38191885"/>
    <w:rsid w:val="381BC726"/>
    <w:rsid w:val="38321DA3"/>
    <w:rsid w:val="3832249A"/>
    <w:rsid w:val="38387BB4"/>
    <w:rsid w:val="383FD41B"/>
    <w:rsid w:val="3842E332"/>
    <w:rsid w:val="3843390C"/>
    <w:rsid w:val="38458F6C"/>
    <w:rsid w:val="38462298"/>
    <w:rsid w:val="384CFC48"/>
    <w:rsid w:val="38503133"/>
    <w:rsid w:val="386A2787"/>
    <w:rsid w:val="386C1A01"/>
    <w:rsid w:val="387BB4B7"/>
    <w:rsid w:val="38829A89"/>
    <w:rsid w:val="388714BF"/>
    <w:rsid w:val="389150BA"/>
    <w:rsid w:val="3894710E"/>
    <w:rsid w:val="389E8DEA"/>
    <w:rsid w:val="389EF5E8"/>
    <w:rsid w:val="38C09FE0"/>
    <w:rsid w:val="38C66205"/>
    <w:rsid w:val="38DE5074"/>
    <w:rsid w:val="38E452A3"/>
    <w:rsid w:val="38E4E2BE"/>
    <w:rsid w:val="38FA4D3B"/>
    <w:rsid w:val="38FE27BE"/>
    <w:rsid w:val="390A80D5"/>
    <w:rsid w:val="3915CAA4"/>
    <w:rsid w:val="391D55DE"/>
    <w:rsid w:val="39226FD6"/>
    <w:rsid w:val="392280BD"/>
    <w:rsid w:val="39268C5B"/>
    <w:rsid w:val="3929D447"/>
    <w:rsid w:val="392E8B29"/>
    <w:rsid w:val="39451650"/>
    <w:rsid w:val="39545554"/>
    <w:rsid w:val="395995BA"/>
    <w:rsid w:val="395A631D"/>
    <w:rsid w:val="39607532"/>
    <w:rsid w:val="39645FBB"/>
    <w:rsid w:val="3972DFF2"/>
    <w:rsid w:val="3976BBC4"/>
    <w:rsid w:val="3976F4BB"/>
    <w:rsid w:val="397E3A1C"/>
    <w:rsid w:val="39928FC5"/>
    <w:rsid w:val="39946A51"/>
    <w:rsid w:val="399A92D5"/>
    <w:rsid w:val="399B35E0"/>
    <w:rsid w:val="39A1883F"/>
    <w:rsid w:val="39A40556"/>
    <w:rsid w:val="39A5AA49"/>
    <w:rsid w:val="39B9CFA0"/>
    <w:rsid w:val="39C1AE01"/>
    <w:rsid w:val="39CA1CEC"/>
    <w:rsid w:val="39CB416B"/>
    <w:rsid w:val="39CD7B2E"/>
    <w:rsid w:val="39DC6069"/>
    <w:rsid w:val="39E03429"/>
    <w:rsid w:val="39E82249"/>
    <w:rsid w:val="39F41E21"/>
    <w:rsid w:val="3A0442F3"/>
    <w:rsid w:val="3A0531D6"/>
    <w:rsid w:val="3A05C802"/>
    <w:rsid w:val="3A0BAB02"/>
    <w:rsid w:val="3A12D554"/>
    <w:rsid w:val="3A1BB469"/>
    <w:rsid w:val="3A225DB6"/>
    <w:rsid w:val="3A287FBC"/>
    <w:rsid w:val="3A410BCC"/>
    <w:rsid w:val="3A60726B"/>
    <w:rsid w:val="3A63FE35"/>
    <w:rsid w:val="3A6B3D97"/>
    <w:rsid w:val="3A81A488"/>
    <w:rsid w:val="3A9D4595"/>
    <w:rsid w:val="3A9DC6AA"/>
    <w:rsid w:val="3AAB6FDC"/>
    <w:rsid w:val="3AB63DFC"/>
    <w:rsid w:val="3ABE0B9D"/>
    <w:rsid w:val="3AC2EE1B"/>
    <w:rsid w:val="3AC973D2"/>
    <w:rsid w:val="3ACA1115"/>
    <w:rsid w:val="3ACD19DB"/>
    <w:rsid w:val="3AD138C3"/>
    <w:rsid w:val="3AD5D012"/>
    <w:rsid w:val="3AD8E19C"/>
    <w:rsid w:val="3AE63824"/>
    <w:rsid w:val="3AFD64DC"/>
    <w:rsid w:val="3B0891E1"/>
    <w:rsid w:val="3B11D7C1"/>
    <w:rsid w:val="3B1E7545"/>
    <w:rsid w:val="3B23805E"/>
    <w:rsid w:val="3B2F9968"/>
    <w:rsid w:val="3B419D0C"/>
    <w:rsid w:val="3B4D1D31"/>
    <w:rsid w:val="3B58462A"/>
    <w:rsid w:val="3B68FD55"/>
    <w:rsid w:val="3B7E4BE0"/>
    <w:rsid w:val="3B880B16"/>
    <w:rsid w:val="3B890252"/>
    <w:rsid w:val="3B8E4592"/>
    <w:rsid w:val="3B947780"/>
    <w:rsid w:val="3B9AAD8A"/>
    <w:rsid w:val="3B9D67D8"/>
    <w:rsid w:val="3BA003A1"/>
    <w:rsid w:val="3BA0800B"/>
    <w:rsid w:val="3BA0B0B9"/>
    <w:rsid w:val="3BE39837"/>
    <w:rsid w:val="3BE576AD"/>
    <w:rsid w:val="3BFF942F"/>
    <w:rsid w:val="3C053715"/>
    <w:rsid w:val="3C0B3ECB"/>
    <w:rsid w:val="3C0E9556"/>
    <w:rsid w:val="3C1769C7"/>
    <w:rsid w:val="3C1E7815"/>
    <w:rsid w:val="3C20835C"/>
    <w:rsid w:val="3C344DFD"/>
    <w:rsid w:val="3C3AC715"/>
    <w:rsid w:val="3C3C0F84"/>
    <w:rsid w:val="3C3C166A"/>
    <w:rsid w:val="3C411089"/>
    <w:rsid w:val="3C46A621"/>
    <w:rsid w:val="3C5D0A4F"/>
    <w:rsid w:val="3C66496F"/>
    <w:rsid w:val="3C6D97F5"/>
    <w:rsid w:val="3C751E41"/>
    <w:rsid w:val="3C77694D"/>
    <w:rsid w:val="3C81F270"/>
    <w:rsid w:val="3C864453"/>
    <w:rsid w:val="3C88881D"/>
    <w:rsid w:val="3C8B0A07"/>
    <w:rsid w:val="3C90ED3E"/>
    <w:rsid w:val="3C94B970"/>
    <w:rsid w:val="3C98204C"/>
    <w:rsid w:val="3C9B9E5F"/>
    <w:rsid w:val="3C9C12AD"/>
    <w:rsid w:val="3C9E5C30"/>
    <w:rsid w:val="3CA1964E"/>
    <w:rsid w:val="3CB29EE2"/>
    <w:rsid w:val="3CB35F86"/>
    <w:rsid w:val="3CB5D18A"/>
    <w:rsid w:val="3CC3D74D"/>
    <w:rsid w:val="3CC919C4"/>
    <w:rsid w:val="3CCE5572"/>
    <w:rsid w:val="3CD4224B"/>
    <w:rsid w:val="3CD5938E"/>
    <w:rsid w:val="3CD86D37"/>
    <w:rsid w:val="3CE02726"/>
    <w:rsid w:val="3CE3E797"/>
    <w:rsid w:val="3CEF21C7"/>
    <w:rsid w:val="3D092A93"/>
    <w:rsid w:val="3D10D17B"/>
    <w:rsid w:val="3D19B916"/>
    <w:rsid w:val="3D1F5BF1"/>
    <w:rsid w:val="3D1FE65C"/>
    <w:rsid w:val="3D1FF3EB"/>
    <w:rsid w:val="3D2CBA9B"/>
    <w:rsid w:val="3D38A4CA"/>
    <w:rsid w:val="3D39A27D"/>
    <w:rsid w:val="3D39B3C0"/>
    <w:rsid w:val="3D3BFC8A"/>
    <w:rsid w:val="3D408495"/>
    <w:rsid w:val="3D4D8726"/>
    <w:rsid w:val="3D5840D6"/>
    <w:rsid w:val="3D6AA67A"/>
    <w:rsid w:val="3D74BE14"/>
    <w:rsid w:val="3D7DDB67"/>
    <w:rsid w:val="3D7EC366"/>
    <w:rsid w:val="3D86A651"/>
    <w:rsid w:val="3D873211"/>
    <w:rsid w:val="3D9D37D0"/>
    <w:rsid w:val="3D9D77E6"/>
    <w:rsid w:val="3D9F86FF"/>
    <w:rsid w:val="3DB9CB48"/>
    <w:rsid w:val="3DE0BA18"/>
    <w:rsid w:val="3DF1F3B6"/>
    <w:rsid w:val="3DF62091"/>
    <w:rsid w:val="3E0334BC"/>
    <w:rsid w:val="3E065297"/>
    <w:rsid w:val="3E095244"/>
    <w:rsid w:val="3E0DE568"/>
    <w:rsid w:val="3E1DD8E6"/>
    <w:rsid w:val="3E1DEF28"/>
    <w:rsid w:val="3E32B510"/>
    <w:rsid w:val="3E3476B6"/>
    <w:rsid w:val="3E37BE64"/>
    <w:rsid w:val="3E37E13F"/>
    <w:rsid w:val="3E528090"/>
    <w:rsid w:val="3E692EAA"/>
    <w:rsid w:val="3E6A60A8"/>
    <w:rsid w:val="3E72EE02"/>
    <w:rsid w:val="3E746FA9"/>
    <w:rsid w:val="3E9BEDB8"/>
    <w:rsid w:val="3EABEE01"/>
    <w:rsid w:val="3EB69CD0"/>
    <w:rsid w:val="3EBCA52A"/>
    <w:rsid w:val="3EC73C12"/>
    <w:rsid w:val="3ECDE29B"/>
    <w:rsid w:val="3ED246F0"/>
    <w:rsid w:val="3ED722BA"/>
    <w:rsid w:val="3EE48697"/>
    <w:rsid w:val="3EEAD910"/>
    <w:rsid w:val="3EF0F676"/>
    <w:rsid w:val="3EF91993"/>
    <w:rsid w:val="3EFA9A16"/>
    <w:rsid w:val="3EFD43AF"/>
    <w:rsid w:val="3EFE9D7E"/>
    <w:rsid w:val="3F1B27FB"/>
    <w:rsid w:val="3F2686B2"/>
    <w:rsid w:val="3F282FC3"/>
    <w:rsid w:val="3F2B4C84"/>
    <w:rsid w:val="3F2DAFE4"/>
    <w:rsid w:val="3F2E40D6"/>
    <w:rsid w:val="3F33370D"/>
    <w:rsid w:val="3F3A9F7A"/>
    <w:rsid w:val="3F58E053"/>
    <w:rsid w:val="3F5F80B7"/>
    <w:rsid w:val="3F6292BD"/>
    <w:rsid w:val="3F6B621F"/>
    <w:rsid w:val="3F6BA5D7"/>
    <w:rsid w:val="3F6C6AEF"/>
    <w:rsid w:val="3F701730"/>
    <w:rsid w:val="3F7CA8F5"/>
    <w:rsid w:val="3F7CB259"/>
    <w:rsid w:val="3F7DCE16"/>
    <w:rsid w:val="3F89FD0E"/>
    <w:rsid w:val="3F917621"/>
    <w:rsid w:val="3F9AE7D1"/>
    <w:rsid w:val="3FA36E75"/>
    <w:rsid w:val="3FADD7A1"/>
    <w:rsid w:val="3FB9E289"/>
    <w:rsid w:val="3FBADA6E"/>
    <w:rsid w:val="3FCEAB58"/>
    <w:rsid w:val="3FD28856"/>
    <w:rsid w:val="3FD354EB"/>
    <w:rsid w:val="3FE4E841"/>
    <w:rsid w:val="3FEC1FD6"/>
    <w:rsid w:val="3FF5B9A0"/>
    <w:rsid w:val="3FFA3238"/>
    <w:rsid w:val="403BAF82"/>
    <w:rsid w:val="404F713A"/>
    <w:rsid w:val="4055D15B"/>
    <w:rsid w:val="4064720E"/>
    <w:rsid w:val="4068E03D"/>
    <w:rsid w:val="40698E26"/>
    <w:rsid w:val="40737D1D"/>
    <w:rsid w:val="4079C536"/>
    <w:rsid w:val="407DB332"/>
    <w:rsid w:val="407F8847"/>
    <w:rsid w:val="4088D0A6"/>
    <w:rsid w:val="408CB092"/>
    <w:rsid w:val="40911A3D"/>
    <w:rsid w:val="40941C85"/>
    <w:rsid w:val="409981F9"/>
    <w:rsid w:val="40A7026A"/>
    <w:rsid w:val="40AB71B1"/>
    <w:rsid w:val="40AEDC3D"/>
    <w:rsid w:val="40AEFC57"/>
    <w:rsid w:val="40AF5585"/>
    <w:rsid w:val="40B046D5"/>
    <w:rsid w:val="40B0CF55"/>
    <w:rsid w:val="40B223D5"/>
    <w:rsid w:val="40B89559"/>
    <w:rsid w:val="40BAACF0"/>
    <w:rsid w:val="40C94D63"/>
    <w:rsid w:val="40D76D13"/>
    <w:rsid w:val="40E736CE"/>
    <w:rsid w:val="40EC9A66"/>
    <w:rsid w:val="411B1AAA"/>
    <w:rsid w:val="411B36FB"/>
    <w:rsid w:val="413417D6"/>
    <w:rsid w:val="4138984E"/>
    <w:rsid w:val="4138CB9A"/>
    <w:rsid w:val="413A1704"/>
    <w:rsid w:val="4140B08A"/>
    <w:rsid w:val="4149A802"/>
    <w:rsid w:val="414DD0E8"/>
    <w:rsid w:val="415AA269"/>
    <w:rsid w:val="415D8441"/>
    <w:rsid w:val="41714896"/>
    <w:rsid w:val="418BA738"/>
    <w:rsid w:val="418E1CE6"/>
    <w:rsid w:val="4193686B"/>
    <w:rsid w:val="419D5190"/>
    <w:rsid w:val="41A0BBF9"/>
    <w:rsid w:val="41B357C2"/>
    <w:rsid w:val="41B49826"/>
    <w:rsid w:val="41C2D5C2"/>
    <w:rsid w:val="41C656FF"/>
    <w:rsid w:val="41C754DD"/>
    <w:rsid w:val="41CD5833"/>
    <w:rsid w:val="41F0FB33"/>
    <w:rsid w:val="41FA8B45"/>
    <w:rsid w:val="41FF0D9A"/>
    <w:rsid w:val="420172DF"/>
    <w:rsid w:val="4212B46D"/>
    <w:rsid w:val="4214238A"/>
    <w:rsid w:val="421A9F55"/>
    <w:rsid w:val="4232D8CB"/>
    <w:rsid w:val="423E7EFE"/>
    <w:rsid w:val="42426740"/>
    <w:rsid w:val="424CE3C4"/>
    <w:rsid w:val="4252779A"/>
    <w:rsid w:val="42553D4B"/>
    <w:rsid w:val="4276ECA6"/>
    <w:rsid w:val="42802FD7"/>
    <w:rsid w:val="42882DB8"/>
    <w:rsid w:val="42AEC35C"/>
    <w:rsid w:val="42AFA884"/>
    <w:rsid w:val="42B128AD"/>
    <w:rsid w:val="42BFE9F9"/>
    <w:rsid w:val="42C002EC"/>
    <w:rsid w:val="42C9D84A"/>
    <w:rsid w:val="42D7E581"/>
    <w:rsid w:val="42E7D5A4"/>
    <w:rsid w:val="42F2D570"/>
    <w:rsid w:val="42F74F24"/>
    <w:rsid w:val="42FE5D06"/>
    <w:rsid w:val="430173BF"/>
    <w:rsid w:val="43132176"/>
    <w:rsid w:val="431E1F1C"/>
    <w:rsid w:val="433229EB"/>
    <w:rsid w:val="434584E0"/>
    <w:rsid w:val="434D27EB"/>
    <w:rsid w:val="434E9A7A"/>
    <w:rsid w:val="434F14F2"/>
    <w:rsid w:val="434F72DC"/>
    <w:rsid w:val="435A3A38"/>
    <w:rsid w:val="435FE28F"/>
    <w:rsid w:val="43624869"/>
    <w:rsid w:val="4362A276"/>
    <w:rsid w:val="43663ED7"/>
    <w:rsid w:val="436E952E"/>
    <w:rsid w:val="4370E8FB"/>
    <w:rsid w:val="43715924"/>
    <w:rsid w:val="4372A2A8"/>
    <w:rsid w:val="4373594C"/>
    <w:rsid w:val="4382ABCE"/>
    <w:rsid w:val="4385C951"/>
    <w:rsid w:val="4388D88A"/>
    <w:rsid w:val="438D7B0D"/>
    <w:rsid w:val="43A58CDB"/>
    <w:rsid w:val="43CDF051"/>
    <w:rsid w:val="43DB1032"/>
    <w:rsid w:val="43DD4BFA"/>
    <w:rsid w:val="43E3C303"/>
    <w:rsid w:val="43E3D9A9"/>
    <w:rsid w:val="43EF6341"/>
    <w:rsid w:val="43F93831"/>
    <w:rsid w:val="440CBCD1"/>
    <w:rsid w:val="441232E1"/>
    <w:rsid w:val="441F619F"/>
    <w:rsid w:val="44265CB7"/>
    <w:rsid w:val="443D5B03"/>
    <w:rsid w:val="4442F3AC"/>
    <w:rsid w:val="445CB200"/>
    <w:rsid w:val="445D7892"/>
    <w:rsid w:val="445D7BB6"/>
    <w:rsid w:val="4463C17D"/>
    <w:rsid w:val="446684B3"/>
    <w:rsid w:val="446A7598"/>
    <w:rsid w:val="446AFDE9"/>
    <w:rsid w:val="446DF3F1"/>
    <w:rsid w:val="44818BAC"/>
    <w:rsid w:val="4487D2B7"/>
    <w:rsid w:val="448A5ECD"/>
    <w:rsid w:val="449AEE07"/>
    <w:rsid w:val="44B022C0"/>
    <w:rsid w:val="44D709D8"/>
    <w:rsid w:val="44D97DB9"/>
    <w:rsid w:val="44DDBBBC"/>
    <w:rsid w:val="44F9C19B"/>
    <w:rsid w:val="4507D05A"/>
    <w:rsid w:val="450AA7F3"/>
    <w:rsid w:val="451FA878"/>
    <w:rsid w:val="452693EE"/>
    <w:rsid w:val="4530B540"/>
    <w:rsid w:val="4533E123"/>
    <w:rsid w:val="45482D63"/>
    <w:rsid w:val="4551641C"/>
    <w:rsid w:val="4557C57B"/>
    <w:rsid w:val="456BEF41"/>
    <w:rsid w:val="456C9FCB"/>
    <w:rsid w:val="45739323"/>
    <w:rsid w:val="457A4FCA"/>
    <w:rsid w:val="4585389C"/>
    <w:rsid w:val="45997E2E"/>
    <w:rsid w:val="45A330B3"/>
    <w:rsid w:val="45A7BF70"/>
    <w:rsid w:val="45AEFD05"/>
    <w:rsid w:val="45C7E798"/>
    <w:rsid w:val="45D37F18"/>
    <w:rsid w:val="45F3183A"/>
    <w:rsid w:val="460C93E5"/>
    <w:rsid w:val="460ECA7D"/>
    <w:rsid w:val="46164206"/>
    <w:rsid w:val="462163FE"/>
    <w:rsid w:val="4621A440"/>
    <w:rsid w:val="4633A10D"/>
    <w:rsid w:val="463CBD52"/>
    <w:rsid w:val="463D47B2"/>
    <w:rsid w:val="463F8AEB"/>
    <w:rsid w:val="46413D1C"/>
    <w:rsid w:val="46467300"/>
    <w:rsid w:val="46578A42"/>
    <w:rsid w:val="46648741"/>
    <w:rsid w:val="4669E799"/>
    <w:rsid w:val="466B9FFB"/>
    <w:rsid w:val="466DD253"/>
    <w:rsid w:val="46703FC4"/>
    <w:rsid w:val="46876BF4"/>
    <w:rsid w:val="468F3881"/>
    <w:rsid w:val="46952DD5"/>
    <w:rsid w:val="469BA966"/>
    <w:rsid w:val="46A6DB53"/>
    <w:rsid w:val="46ABDBFD"/>
    <w:rsid w:val="46D2995E"/>
    <w:rsid w:val="46D5F597"/>
    <w:rsid w:val="46DDBDB0"/>
    <w:rsid w:val="46DF124C"/>
    <w:rsid w:val="46EA166E"/>
    <w:rsid w:val="46EF7F13"/>
    <w:rsid w:val="46F95E70"/>
    <w:rsid w:val="46FD7CC1"/>
    <w:rsid w:val="4703DCE8"/>
    <w:rsid w:val="4706A448"/>
    <w:rsid w:val="470CEDB4"/>
    <w:rsid w:val="470D0988"/>
    <w:rsid w:val="472FAB90"/>
    <w:rsid w:val="47329138"/>
    <w:rsid w:val="4736C7CC"/>
    <w:rsid w:val="4738314A"/>
    <w:rsid w:val="473C5217"/>
    <w:rsid w:val="473DFC78"/>
    <w:rsid w:val="4747F0EE"/>
    <w:rsid w:val="474BCCFA"/>
    <w:rsid w:val="475B9374"/>
    <w:rsid w:val="47665DDD"/>
    <w:rsid w:val="476FFA62"/>
    <w:rsid w:val="47741528"/>
    <w:rsid w:val="4776AB54"/>
    <w:rsid w:val="477E7916"/>
    <w:rsid w:val="47829D16"/>
    <w:rsid w:val="47896F2C"/>
    <w:rsid w:val="479CFBD7"/>
    <w:rsid w:val="47B0EEC7"/>
    <w:rsid w:val="47B19321"/>
    <w:rsid w:val="47BC6EE0"/>
    <w:rsid w:val="47BE4F4A"/>
    <w:rsid w:val="47CC8A77"/>
    <w:rsid w:val="47E4F3F5"/>
    <w:rsid w:val="47E6C3A0"/>
    <w:rsid w:val="47F63623"/>
    <w:rsid w:val="47FAA2C7"/>
    <w:rsid w:val="47FC06A1"/>
    <w:rsid w:val="4803EDE5"/>
    <w:rsid w:val="48051F23"/>
    <w:rsid w:val="48113A42"/>
    <w:rsid w:val="481875F8"/>
    <w:rsid w:val="481C9347"/>
    <w:rsid w:val="4825B72B"/>
    <w:rsid w:val="482AEEB9"/>
    <w:rsid w:val="482BD83C"/>
    <w:rsid w:val="4838580D"/>
    <w:rsid w:val="4838C8B1"/>
    <w:rsid w:val="483B92A4"/>
    <w:rsid w:val="484B13D4"/>
    <w:rsid w:val="484D5AE9"/>
    <w:rsid w:val="484E4906"/>
    <w:rsid w:val="48546276"/>
    <w:rsid w:val="48578249"/>
    <w:rsid w:val="485D840D"/>
    <w:rsid w:val="48659311"/>
    <w:rsid w:val="48695E16"/>
    <w:rsid w:val="4871DA82"/>
    <w:rsid w:val="487E8274"/>
    <w:rsid w:val="488470EA"/>
    <w:rsid w:val="488D8FAD"/>
    <w:rsid w:val="489541EB"/>
    <w:rsid w:val="4897A861"/>
    <w:rsid w:val="489D5E97"/>
    <w:rsid w:val="48A95F2D"/>
    <w:rsid w:val="48C49CE8"/>
    <w:rsid w:val="48C4CC9B"/>
    <w:rsid w:val="48CA2A75"/>
    <w:rsid w:val="48E5ED24"/>
    <w:rsid w:val="48EF25FE"/>
    <w:rsid w:val="48F34E64"/>
    <w:rsid w:val="48FC890F"/>
    <w:rsid w:val="48FEDF08"/>
    <w:rsid w:val="4907A2BA"/>
    <w:rsid w:val="49090B21"/>
    <w:rsid w:val="490F156B"/>
    <w:rsid w:val="491431E2"/>
    <w:rsid w:val="49200418"/>
    <w:rsid w:val="49206565"/>
    <w:rsid w:val="492D249E"/>
    <w:rsid w:val="492F9F41"/>
    <w:rsid w:val="49313BCC"/>
    <w:rsid w:val="49471553"/>
    <w:rsid w:val="494759BD"/>
    <w:rsid w:val="495346D2"/>
    <w:rsid w:val="495F2D4C"/>
    <w:rsid w:val="495FF77F"/>
    <w:rsid w:val="49697657"/>
    <w:rsid w:val="4971AF39"/>
    <w:rsid w:val="4987E545"/>
    <w:rsid w:val="498BC235"/>
    <w:rsid w:val="498D8FB9"/>
    <w:rsid w:val="499038BB"/>
    <w:rsid w:val="49973BF1"/>
    <w:rsid w:val="49A2EAF9"/>
    <w:rsid w:val="49A861A0"/>
    <w:rsid w:val="49B1D704"/>
    <w:rsid w:val="49C4FD17"/>
    <w:rsid w:val="49C949AF"/>
    <w:rsid w:val="49D241AD"/>
    <w:rsid w:val="49D97D64"/>
    <w:rsid w:val="49E918CF"/>
    <w:rsid w:val="49EE5C3E"/>
    <w:rsid w:val="49F28835"/>
    <w:rsid w:val="49F6AFD1"/>
    <w:rsid w:val="4A0FC150"/>
    <w:rsid w:val="4A15D9C7"/>
    <w:rsid w:val="4A197C64"/>
    <w:rsid w:val="4A1ADB74"/>
    <w:rsid w:val="4A1BD1C4"/>
    <w:rsid w:val="4A1BFBAA"/>
    <w:rsid w:val="4A1F391F"/>
    <w:rsid w:val="4A2285BA"/>
    <w:rsid w:val="4A283F9B"/>
    <w:rsid w:val="4A51B443"/>
    <w:rsid w:val="4A6959CC"/>
    <w:rsid w:val="4A6CA70D"/>
    <w:rsid w:val="4A7840A4"/>
    <w:rsid w:val="4A7A76A7"/>
    <w:rsid w:val="4A814E9F"/>
    <w:rsid w:val="4A83B047"/>
    <w:rsid w:val="4A8C4D13"/>
    <w:rsid w:val="4AA26408"/>
    <w:rsid w:val="4AA63649"/>
    <w:rsid w:val="4AB38919"/>
    <w:rsid w:val="4ABA1BCE"/>
    <w:rsid w:val="4ABA7CBD"/>
    <w:rsid w:val="4AC21143"/>
    <w:rsid w:val="4AC802D4"/>
    <w:rsid w:val="4AD7FCF0"/>
    <w:rsid w:val="4ADE591A"/>
    <w:rsid w:val="4AE03671"/>
    <w:rsid w:val="4AEB01E3"/>
    <w:rsid w:val="4AFA5E98"/>
    <w:rsid w:val="4B063086"/>
    <w:rsid w:val="4B11659E"/>
    <w:rsid w:val="4B132A4F"/>
    <w:rsid w:val="4B17DF9B"/>
    <w:rsid w:val="4B186A04"/>
    <w:rsid w:val="4B1C9885"/>
    <w:rsid w:val="4B27DE8B"/>
    <w:rsid w:val="4B2A6A41"/>
    <w:rsid w:val="4B2ABAD5"/>
    <w:rsid w:val="4B2BA770"/>
    <w:rsid w:val="4B3A205F"/>
    <w:rsid w:val="4B4652EE"/>
    <w:rsid w:val="4B4FB02C"/>
    <w:rsid w:val="4B56448D"/>
    <w:rsid w:val="4B5CBE6E"/>
    <w:rsid w:val="4B616C17"/>
    <w:rsid w:val="4B64FE5C"/>
    <w:rsid w:val="4B65FBDD"/>
    <w:rsid w:val="4B6E8B9C"/>
    <w:rsid w:val="4B7BF252"/>
    <w:rsid w:val="4B7D466B"/>
    <w:rsid w:val="4B7EF940"/>
    <w:rsid w:val="4B83EE76"/>
    <w:rsid w:val="4B8E75EE"/>
    <w:rsid w:val="4B9D86CB"/>
    <w:rsid w:val="4BB42DC8"/>
    <w:rsid w:val="4BBB6571"/>
    <w:rsid w:val="4BC00865"/>
    <w:rsid w:val="4BC07B29"/>
    <w:rsid w:val="4BD048C3"/>
    <w:rsid w:val="4BD0D233"/>
    <w:rsid w:val="4BDA69D1"/>
    <w:rsid w:val="4BDE383F"/>
    <w:rsid w:val="4BE446E7"/>
    <w:rsid w:val="4BE65FC1"/>
    <w:rsid w:val="4BE749A5"/>
    <w:rsid w:val="4BE7D2D8"/>
    <w:rsid w:val="4BE87E92"/>
    <w:rsid w:val="4BF329C5"/>
    <w:rsid w:val="4BF7A5CC"/>
    <w:rsid w:val="4BFEE0B3"/>
    <w:rsid w:val="4C0C21D9"/>
    <w:rsid w:val="4C0E56F5"/>
    <w:rsid w:val="4C117794"/>
    <w:rsid w:val="4C1BD004"/>
    <w:rsid w:val="4C3488AC"/>
    <w:rsid w:val="4C40A025"/>
    <w:rsid w:val="4C4113AF"/>
    <w:rsid w:val="4C5D90B2"/>
    <w:rsid w:val="4C7C599A"/>
    <w:rsid w:val="4C812E67"/>
    <w:rsid w:val="4C8BB007"/>
    <w:rsid w:val="4C90AA51"/>
    <w:rsid w:val="4CACF2EC"/>
    <w:rsid w:val="4CC355C0"/>
    <w:rsid w:val="4CCDEFB3"/>
    <w:rsid w:val="4CCF625D"/>
    <w:rsid w:val="4CD2AF82"/>
    <w:rsid w:val="4CDBEEAB"/>
    <w:rsid w:val="4CE47B28"/>
    <w:rsid w:val="4CEE6832"/>
    <w:rsid w:val="4CFA3792"/>
    <w:rsid w:val="4CFB6071"/>
    <w:rsid w:val="4CFD0B08"/>
    <w:rsid w:val="4CFE8176"/>
    <w:rsid w:val="4D085885"/>
    <w:rsid w:val="4D0AF3C9"/>
    <w:rsid w:val="4D0B2D82"/>
    <w:rsid w:val="4D0CA96C"/>
    <w:rsid w:val="4D201FC6"/>
    <w:rsid w:val="4D206AF0"/>
    <w:rsid w:val="4D362D0A"/>
    <w:rsid w:val="4D3AB43F"/>
    <w:rsid w:val="4D3EEA79"/>
    <w:rsid w:val="4D4CB579"/>
    <w:rsid w:val="4D64A4B1"/>
    <w:rsid w:val="4D6CE2DB"/>
    <w:rsid w:val="4D6DE4F5"/>
    <w:rsid w:val="4D6DEC61"/>
    <w:rsid w:val="4D6FFB71"/>
    <w:rsid w:val="4D80079B"/>
    <w:rsid w:val="4D87CBF5"/>
    <w:rsid w:val="4DA5D792"/>
    <w:rsid w:val="4DBEE574"/>
    <w:rsid w:val="4DC22EC7"/>
    <w:rsid w:val="4DCC1E32"/>
    <w:rsid w:val="4DCEF4A1"/>
    <w:rsid w:val="4DD2D49D"/>
    <w:rsid w:val="4DE50EBD"/>
    <w:rsid w:val="4DF19874"/>
    <w:rsid w:val="4DF4FE44"/>
    <w:rsid w:val="4E00F080"/>
    <w:rsid w:val="4E037706"/>
    <w:rsid w:val="4E08AC9D"/>
    <w:rsid w:val="4E099F0E"/>
    <w:rsid w:val="4E0AD429"/>
    <w:rsid w:val="4E49C21C"/>
    <w:rsid w:val="4E5B254A"/>
    <w:rsid w:val="4E60A8E8"/>
    <w:rsid w:val="4E68705B"/>
    <w:rsid w:val="4E68CD57"/>
    <w:rsid w:val="4E79B35A"/>
    <w:rsid w:val="4E80D1D9"/>
    <w:rsid w:val="4E89CC65"/>
    <w:rsid w:val="4E8CCC47"/>
    <w:rsid w:val="4E9B9CFC"/>
    <w:rsid w:val="4EA5D01B"/>
    <w:rsid w:val="4EAD0792"/>
    <w:rsid w:val="4EAF5446"/>
    <w:rsid w:val="4EB7E237"/>
    <w:rsid w:val="4EBC34F7"/>
    <w:rsid w:val="4EC57D33"/>
    <w:rsid w:val="4EDF2800"/>
    <w:rsid w:val="4EEBE472"/>
    <w:rsid w:val="4EF882EF"/>
    <w:rsid w:val="4F0AF469"/>
    <w:rsid w:val="4F0F0B01"/>
    <w:rsid w:val="4F1A62CA"/>
    <w:rsid w:val="4F1BCC42"/>
    <w:rsid w:val="4F1EE14B"/>
    <w:rsid w:val="4F1F583F"/>
    <w:rsid w:val="4F42B12E"/>
    <w:rsid w:val="4F75ED75"/>
    <w:rsid w:val="4F76C229"/>
    <w:rsid w:val="4F7B7AEC"/>
    <w:rsid w:val="4F8069BB"/>
    <w:rsid w:val="4F865003"/>
    <w:rsid w:val="4F91760F"/>
    <w:rsid w:val="4F9C21B5"/>
    <w:rsid w:val="4FAD11A7"/>
    <w:rsid w:val="4FAD5275"/>
    <w:rsid w:val="4FB6DE94"/>
    <w:rsid w:val="4FC187F7"/>
    <w:rsid w:val="4FC48274"/>
    <w:rsid w:val="4FCEE55B"/>
    <w:rsid w:val="4FD6EA2F"/>
    <w:rsid w:val="4FD89AA1"/>
    <w:rsid w:val="4FE3E766"/>
    <w:rsid w:val="4FE41AAF"/>
    <w:rsid w:val="4FEBBB0C"/>
    <w:rsid w:val="4FFCF395"/>
    <w:rsid w:val="5005A4D7"/>
    <w:rsid w:val="500D29F5"/>
    <w:rsid w:val="5029C0A5"/>
    <w:rsid w:val="502B3752"/>
    <w:rsid w:val="502DEF28"/>
    <w:rsid w:val="5036C31B"/>
    <w:rsid w:val="503B6F8C"/>
    <w:rsid w:val="503FE519"/>
    <w:rsid w:val="504AA8F6"/>
    <w:rsid w:val="50570B3C"/>
    <w:rsid w:val="505CADB7"/>
    <w:rsid w:val="506DB6D7"/>
    <w:rsid w:val="50728960"/>
    <w:rsid w:val="507823A2"/>
    <w:rsid w:val="507C4F9D"/>
    <w:rsid w:val="5081BC66"/>
    <w:rsid w:val="5088364F"/>
    <w:rsid w:val="50A23F7C"/>
    <w:rsid w:val="50AC565F"/>
    <w:rsid w:val="50AD12BA"/>
    <w:rsid w:val="50B1FD93"/>
    <w:rsid w:val="50B8073F"/>
    <w:rsid w:val="50B8C87C"/>
    <w:rsid w:val="50C9DE73"/>
    <w:rsid w:val="50CEF06A"/>
    <w:rsid w:val="50E1AC47"/>
    <w:rsid w:val="50EF3F7A"/>
    <w:rsid w:val="50F18C7B"/>
    <w:rsid w:val="50F28472"/>
    <w:rsid w:val="51003D66"/>
    <w:rsid w:val="510C674F"/>
    <w:rsid w:val="510DA5EF"/>
    <w:rsid w:val="511F0037"/>
    <w:rsid w:val="51303B0E"/>
    <w:rsid w:val="51317BF6"/>
    <w:rsid w:val="5137AFC7"/>
    <w:rsid w:val="51494079"/>
    <w:rsid w:val="514F7B5E"/>
    <w:rsid w:val="51539F93"/>
    <w:rsid w:val="516BFA8F"/>
    <w:rsid w:val="51798928"/>
    <w:rsid w:val="517CBE2D"/>
    <w:rsid w:val="5186F581"/>
    <w:rsid w:val="5188BB31"/>
    <w:rsid w:val="518EEBCD"/>
    <w:rsid w:val="519CC574"/>
    <w:rsid w:val="51A0556D"/>
    <w:rsid w:val="51A7A969"/>
    <w:rsid w:val="51ABFCF5"/>
    <w:rsid w:val="51CAAED9"/>
    <w:rsid w:val="51DC1DBD"/>
    <w:rsid w:val="51E50504"/>
    <w:rsid w:val="51EB1AF6"/>
    <w:rsid w:val="51EE4B21"/>
    <w:rsid w:val="51F81550"/>
    <w:rsid w:val="51FD85B3"/>
    <w:rsid w:val="52077C60"/>
    <w:rsid w:val="52094094"/>
    <w:rsid w:val="520B6983"/>
    <w:rsid w:val="52101A65"/>
    <w:rsid w:val="5210EBF5"/>
    <w:rsid w:val="5215B9CF"/>
    <w:rsid w:val="5224AF53"/>
    <w:rsid w:val="522A10F9"/>
    <w:rsid w:val="522F0C24"/>
    <w:rsid w:val="52393E8C"/>
    <w:rsid w:val="523EE345"/>
    <w:rsid w:val="524013A4"/>
    <w:rsid w:val="52447B71"/>
    <w:rsid w:val="52607AFC"/>
    <w:rsid w:val="5262D933"/>
    <w:rsid w:val="5272DA51"/>
    <w:rsid w:val="527DEA7A"/>
    <w:rsid w:val="5288EC80"/>
    <w:rsid w:val="529178C3"/>
    <w:rsid w:val="5292486B"/>
    <w:rsid w:val="529303CC"/>
    <w:rsid w:val="529433FF"/>
    <w:rsid w:val="529B4DF8"/>
    <w:rsid w:val="52A5D55F"/>
    <w:rsid w:val="52A73B24"/>
    <w:rsid w:val="52AB74C6"/>
    <w:rsid w:val="52B4CE1A"/>
    <w:rsid w:val="52B99604"/>
    <w:rsid w:val="52BB7917"/>
    <w:rsid w:val="52C6809D"/>
    <w:rsid w:val="52CDDBE1"/>
    <w:rsid w:val="52EA6CCD"/>
    <w:rsid w:val="52ED3B43"/>
    <w:rsid w:val="52FB1BA0"/>
    <w:rsid w:val="530A936C"/>
    <w:rsid w:val="530F7172"/>
    <w:rsid w:val="53116260"/>
    <w:rsid w:val="5318D407"/>
    <w:rsid w:val="5327BE96"/>
    <w:rsid w:val="532CD245"/>
    <w:rsid w:val="5333435B"/>
    <w:rsid w:val="533AA1E8"/>
    <w:rsid w:val="5349C6A8"/>
    <w:rsid w:val="5354932C"/>
    <w:rsid w:val="5356D605"/>
    <w:rsid w:val="535E89AC"/>
    <w:rsid w:val="53651218"/>
    <w:rsid w:val="5367B5E1"/>
    <w:rsid w:val="53696A8B"/>
    <w:rsid w:val="5369CC30"/>
    <w:rsid w:val="536F6F73"/>
    <w:rsid w:val="53884992"/>
    <w:rsid w:val="538D5F76"/>
    <w:rsid w:val="5392090E"/>
    <w:rsid w:val="539E0436"/>
    <w:rsid w:val="53AF7C07"/>
    <w:rsid w:val="53B1FB4C"/>
    <w:rsid w:val="53B36D98"/>
    <w:rsid w:val="53BE7392"/>
    <w:rsid w:val="53C2DFB6"/>
    <w:rsid w:val="53C84AED"/>
    <w:rsid w:val="53D4DA1A"/>
    <w:rsid w:val="53D6B465"/>
    <w:rsid w:val="53DA3FF9"/>
    <w:rsid w:val="53DC5336"/>
    <w:rsid w:val="53DF8C8D"/>
    <w:rsid w:val="53E46544"/>
    <w:rsid w:val="53E5134D"/>
    <w:rsid w:val="53E60DB6"/>
    <w:rsid w:val="53F1C43F"/>
    <w:rsid w:val="54054CB4"/>
    <w:rsid w:val="5407D30F"/>
    <w:rsid w:val="5408E293"/>
    <w:rsid w:val="541AB5F2"/>
    <w:rsid w:val="54293C32"/>
    <w:rsid w:val="542D0B02"/>
    <w:rsid w:val="542DC8E6"/>
    <w:rsid w:val="543B0EBF"/>
    <w:rsid w:val="544634DC"/>
    <w:rsid w:val="54524422"/>
    <w:rsid w:val="54549882"/>
    <w:rsid w:val="547F219D"/>
    <w:rsid w:val="548E4556"/>
    <w:rsid w:val="5492458D"/>
    <w:rsid w:val="54A060B2"/>
    <w:rsid w:val="54AC4049"/>
    <w:rsid w:val="54BBC610"/>
    <w:rsid w:val="54BF10B1"/>
    <w:rsid w:val="54BF3040"/>
    <w:rsid w:val="54D649F1"/>
    <w:rsid w:val="54D668C9"/>
    <w:rsid w:val="54DA316A"/>
    <w:rsid w:val="54DED88F"/>
    <w:rsid w:val="54E622BC"/>
    <w:rsid w:val="54ECB685"/>
    <w:rsid w:val="54FE12E5"/>
    <w:rsid w:val="550088E2"/>
    <w:rsid w:val="5515D92F"/>
    <w:rsid w:val="552419F3"/>
    <w:rsid w:val="5525268E"/>
    <w:rsid w:val="552598B4"/>
    <w:rsid w:val="5534B8F9"/>
    <w:rsid w:val="55354D46"/>
    <w:rsid w:val="553614E8"/>
    <w:rsid w:val="55386E3C"/>
    <w:rsid w:val="5539C0BA"/>
    <w:rsid w:val="553D94A6"/>
    <w:rsid w:val="55483312"/>
    <w:rsid w:val="554B3B97"/>
    <w:rsid w:val="555E8C1C"/>
    <w:rsid w:val="555EA7CF"/>
    <w:rsid w:val="557ADDD4"/>
    <w:rsid w:val="557BFE57"/>
    <w:rsid w:val="558A300D"/>
    <w:rsid w:val="55B0F83B"/>
    <w:rsid w:val="55B91BF7"/>
    <w:rsid w:val="55D2F82C"/>
    <w:rsid w:val="55D9969F"/>
    <w:rsid w:val="55DD0DCA"/>
    <w:rsid w:val="55E2CA28"/>
    <w:rsid w:val="55EE2D31"/>
    <w:rsid w:val="56038A1F"/>
    <w:rsid w:val="5605310F"/>
    <w:rsid w:val="560D0C19"/>
    <w:rsid w:val="560D59B5"/>
    <w:rsid w:val="561130E3"/>
    <w:rsid w:val="5622A5FF"/>
    <w:rsid w:val="56315EE0"/>
    <w:rsid w:val="5636B104"/>
    <w:rsid w:val="564CA4F3"/>
    <w:rsid w:val="564F61B6"/>
    <w:rsid w:val="566080DD"/>
    <w:rsid w:val="56609C8D"/>
    <w:rsid w:val="566E8AE4"/>
    <w:rsid w:val="56700948"/>
    <w:rsid w:val="56811789"/>
    <w:rsid w:val="568A524B"/>
    <w:rsid w:val="568F3F3F"/>
    <w:rsid w:val="56910B2C"/>
    <w:rsid w:val="5696BF80"/>
    <w:rsid w:val="569A83A0"/>
    <w:rsid w:val="569FCCFD"/>
    <w:rsid w:val="56A6C1F7"/>
    <w:rsid w:val="56C5E5BE"/>
    <w:rsid w:val="56E49904"/>
    <w:rsid w:val="56E53021"/>
    <w:rsid w:val="56F370D3"/>
    <w:rsid w:val="56F8FECB"/>
    <w:rsid w:val="56FEC437"/>
    <w:rsid w:val="57117E28"/>
    <w:rsid w:val="571A4511"/>
    <w:rsid w:val="57255F35"/>
    <w:rsid w:val="57256653"/>
    <w:rsid w:val="57348731"/>
    <w:rsid w:val="5735B87C"/>
    <w:rsid w:val="5765A4D9"/>
    <w:rsid w:val="5769A65E"/>
    <w:rsid w:val="5788D7C1"/>
    <w:rsid w:val="578A1178"/>
    <w:rsid w:val="578E357A"/>
    <w:rsid w:val="579DC7B4"/>
    <w:rsid w:val="57A1DD56"/>
    <w:rsid w:val="57A3271E"/>
    <w:rsid w:val="57A82CBB"/>
    <w:rsid w:val="57AEC9F2"/>
    <w:rsid w:val="57C0CEE3"/>
    <w:rsid w:val="57CC15A8"/>
    <w:rsid w:val="57D005D9"/>
    <w:rsid w:val="57DA19C5"/>
    <w:rsid w:val="57F13208"/>
    <w:rsid w:val="57F27EA7"/>
    <w:rsid w:val="57F9AF05"/>
    <w:rsid w:val="57FDD918"/>
    <w:rsid w:val="5804422E"/>
    <w:rsid w:val="58060322"/>
    <w:rsid w:val="58066CC8"/>
    <w:rsid w:val="580F2659"/>
    <w:rsid w:val="5811F3EC"/>
    <w:rsid w:val="5813E96E"/>
    <w:rsid w:val="58178BB4"/>
    <w:rsid w:val="582254D6"/>
    <w:rsid w:val="5825AD48"/>
    <w:rsid w:val="583B8A2C"/>
    <w:rsid w:val="583E361A"/>
    <w:rsid w:val="58425092"/>
    <w:rsid w:val="5849CDC5"/>
    <w:rsid w:val="584C9E02"/>
    <w:rsid w:val="584FAF1C"/>
    <w:rsid w:val="5858B850"/>
    <w:rsid w:val="585BBAB5"/>
    <w:rsid w:val="5864DA0C"/>
    <w:rsid w:val="5877F00C"/>
    <w:rsid w:val="587A8406"/>
    <w:rsid w:val="5888FA46"/>
    <w:rsid w:val="588D0E58"/>
    <w:rsid w:val="58A2E533"/>
    <w:rsid w:val="58AC842C"/>
    <w:rsid w:val="58ACFA28"/>
    <w:rsid w:val="58BA0D96"/>
    <w:rsid w:val="58C69D2E"/>
    <w:rsid w:val="58CA7AA9"/>
    <w:rsid w:val="58CF0F66"/>
    <w:rsid w:val="58D1B50F"/>
    <w:rsid w:val="58D246A7"/>
    <w:rsid w:val="58D9DAC6"/>
    <w:rsid w:val="58E112B2"/>
    <w:rsid w:val="58E17583"/>
    <w:rsid w:val="58E7CFF5"/>
    <w:rsid w:val="58ED00DE"/>
    <w:rsid w:val="58F13C63"/>
    <w:rsid w:val="58F28D4C"/>
    <w:rsid w:val="58F9A096"/>
    <w:rsid w:val="5902DAD6"/>
    <w:rsid w:val="590478F0"/>
    <w:rsid w:val="59057E28"/>
    <w:rsid w:val="591017C5"/>
    <w:rsid w:val="591232B7"/>
    <w:rsid w:val="59150A38"/>
    <w:rsid w:val="591CE122"/>
    <w:rsid w:val="5923930C"/>
    <w:rsid w:val="593461DD"/>
    <w:rsid w:val="5936796D"/>
    <w:rsid w:val="593C1F71"/>
    <w:rsid w:val="5940AAF0"/>
    <w:rsid w:val="59418715"/>
    <w:rsid w:val="594C8FB0"/>
    <w:rsid w:val="59514BF1"/>
    <w:rsid w:val="5958A45D"/>
    <w:rsid w:val="595D8934"/>
    <w:rsid w:val="595E4516"/>
    <w:rsid w:val="596827DD"/>
    <w:rsid w:val="59820754"/>
    <w:rsid w:val="598EC01E"/>
    <w:rsid w:val="59A0B16C"/>
    <w:rsid w:val="59A16BC0"/>
    <w:rsid w:val="59B1AE96"/>
    <w:rsid w:val="59B77F1C"/>
    <w:rsid w:val="59C37F73"/>
    <w:rsid w:val="59CC382F"/>
    <w:rsid w:val="59D23A9E"/>
    <w:rsid w:val="59D70930"/>
    <w:rsid w:val="59E7F370"/>
    <w:rsid w:val="59F1E763"/>
    <w:rsid w:val="59F8B815"/>
    <w:rsid w:val="5A047BD9"/>
    <w:rsid w:val="5A0E9CA2"/>
    <w:rsid w:val="5A160516"/>
    <w:rsid w:val="5A16F9A6"/>
    <w:rsid w:val="5A18EE53"/>
    <w:rsid w:val="5A347636"/>
    <w:rsid w:val="5A34C102"/>
    <w:rsid w:val="5A3D2C1F"/>
    <w:rsid w:val="5A4480C8"/>
    <w:rsid w:val="5A4BC862"/>
    <w:rsid w:val="5A4DD7AD"/>
    <w:rsid w:val="5A667829"/>
    <w:rsid w:val="5A75C8AB"/>
    <w:rsid w:val="5A79B234"/>
    <w:rsid w:val="5A83689F"/>
    <w:rsid w:val="5A8D2EEC"/>
    <w:rsid w:val="5A9E1F3B"/>
    <w:rsid w:val="5A9F4617"/>
    <w:rsid w:val="5A9F5A0C"/>
    <w:rsid w:val="5A9F8DEF"/>
    <w:rsid w:val="5AA3B3F3"/>
    <w:rsid w:val="5AAB7D6C"/>
    <w:rsid w:val="5AAE1FFB"/>
    <w:rsid w:val="5AB12C61"/>
    <w:rsid w:val="5AB19379"/>
    <w:rsid w:val="5AC777A6"/>
    <w:rsid w:val="5ACF6902"/>
    <w:rsid w:val="5AEB4E09"/>
    <w:rsid w:val="5AF10187"/>
    <w:rsid w:val="5AF6DC7C"/>
    <w:rsid w:val="5B0FF9E7"/>
    <w:rsid w:val="5B17D3C7"/>
    <w:rsid w:val="5B25DDAA"/>
    <w:rsid w:val="5B292595"/>
    <w:rsid w:val="5B2CFA7B"/>
    <w:rsid w:val="5B32DC24"/>
    <w:rsid w:val="5B37CB4A"/>
    <w:rsid w:val="5B3A7FB6"/>
    <w:rsid w:val="5B3EE605"/>
    <w:rsid w:val="5B4C5787"/>
    <w:rsid w:val="5B4CBC4E"/>
    <w:rsid w:val="5B5915FB"/>
    <w:rsid w:val="5B5F4FD4"/>
    <w:rsid w:val="5B618063"/>
    <w:rsid w:val="5B670E31"/>
    <w:rsid w:val="5B6D5FEE"/>
    <w:rsid w:val="5B72A349"/>
    <w:rsid w:val="5B83F296"/>
    <w:rsid w:val="5B877804"/>
    <w:rsid w:val="5B8C46B0"/>
    <w:rsid w:val="5B8D2F3B"/>
    <w:rsid w:val="5B8EFC0B"/>
    <w:rsid w:val="5B906989"/>
    <w:rsid w:val="5B96E7FB"/>
    <w:rsid w:val="5B9BF6DE"/>
    <w:rsid w:val="5B9E96F7"/>
    <w:rsid w:val="5BB435CB"/>
    <w:rsid w:val="5BBAE912"/>
    <w:rsid w:val="5BD02427"/>
    <w:rsid w:val="5BD7163D"/>
    <w:rsid w:val="5BDBC384"/>
    <w:rsid w:val="5BEB2EBB"/>
    <w:rsid w:val="5BF06CF0"/>
    <w:rsid w:val="5BF29DC7"/>
    <w:rsid w:val="5BF538F7"/>
    <w:rsid w:val="5BFA5B04"/>
    <w:rsid w:val="5BFB9CFA"/>
    <w:rsid w:val="5BFEFDD2"/>
    <w:rsid w:val="5BFF96A9"/>
    <w:rsid w:val="5C0314E1"/>
    <w:rsid w:val="5C110CE7"/>
    <w:rsid w:val="5C112475"/>
    <w:rsid w:val="5C16A8E1"/>
    <w:rsid w:val="5C1AA651"/>
    <w:rsid w:val="5C333069"/>
    <w:rsid w:val="5C33B333"/>
    <w:rsid w:val="5C61D887"/>
    <w:rsid w:val="5C64DA52"/>
    <w:rsid w:val="5C71ECDD"/>
    <w:rsid w:val="5C7BDD59"/>
    <w:rsid w:val="5C84B3EF"/>
    <w:rsid w:val="5C8C5124"/>
    <w:rsid w:val="5C902982"/>
    <w:rsid w:val="5C9B7E3B"/>
    <w:rsid w:val="5CB00489"/>
    <w:rsid w:val="5CB20DC9"/>
    <w:rsid w:val="5CB7AA49"/>
    <w:rsid w:val="5CBA595F"/>
    <w:rsid w:val="5CBF1D00"/>
    <w:rsid w:val="5CDD7311"/>
    <w:rsid w:val="5CE254A3"/>
    <w:rsid w:val="5CE2A416"/>
    <w:rsid w:val="5CFA2F3D"/>
    <w:rsid w:val="5D02E3D7"/>
    <w:rsid w:val="5D095527"/>
    <w:rsid w:val="5D27CE89"/>
    <w:rsid w:val="5D286317"/>
    <w:rsid w:val="5D3290DF"/>
    <w:rsid w:val="5D35BCC9"/>
    <w:rsid w:val="5D4038E0"/>
    <w:rsid w:val="5D419146"/>
    <w:rsid w:val="5D42ECA4"/>
    <w:rsid w:val="5D4B524D"/>
    <w:rsid w:val="5D4D7206"/>
    <w:rsid w:val="5D4D884B"/>
    <w:rsid w:val="5D5212BC"/>
    <w:rsid w:val="5D525B16"/>
    <w:rsid w:val="5D576520"/>
    <w:rsid w:val="5D5AD5D0"/>
    <w:rsid w:val="5D675317"/>
    <w:rsid w:val="5D6FA51B"/>
    <w:rsid w:val="5D724A86"/>
    <w:rsid w:val="5D8095A5"/>
    <w:rsid w:val="5D8B4EF5"/>
    <w:rsid w:val="5D90E7C5"/>
    <w:rsid w:val="5D9896AB"/>
    <w:rsid w:val="5D9FCE04"/>
    <w:rsid w:val="5DA040BA"/>
    <w:rsid w:val="5DA9E4B5"/>
    <w:rsid w:val="5DAC6CF5"/>
    <w:rsid w:val="5DAF6BAC"/>
    <w:rsid w:val="5DAF80D0"/>
    <w:rsid w:val="5DBDAA43"/>
    <w:rsid w:val="5DC7897A"/>
    <w:rsid w:val="5DC937C6"/>
    <w:rsid w:val="5DD46A28"/>
    <w:rsid w:val="5DD525CB"/>
    <w:rsid w:val="5DDA1AFB"/>
    <w:rsid w:val="5DDAF5B5"/>
    <w:rsid w:val="5DE44824"/>
    <w:rsid w:val="5DF9E5F7"/>
    <w:rsid w:val="5DFBEF82"/>
    <w:rsid w:val="5DFD2604"/>
    <w:rsid w:val="5E0108DF"/>
    <w:rsid w:val="5E02B3B1"/>
    <w:rsid w:val="5E051CBE"/>
    <w:rsid w:val="5E0532D3"/>
    <w:rsid w:val="5E06485B"/>
    <w:rsid w:val="5E0C9320"/>
    <w:rsid w:val="5E142D26"/>
    <w:rsid w:val="5E24F0F0"/>
    <w:rsid w:val="5E3CEF71"/>
    <w:rsid w:val="5E3E1C1C"/>
    <w:rsid w:val="5E461536"/>
    <w:rsid w:val="5E47D034"/>
    <w:rsid w:val="5E505AFC"/>
    <w:rsid w:val="5E730B2B"/>
    <w:rsid w:val="5E748104"/>
    <w:rsid w:val="5E818403"/>
    <w:rsid w:val="5E831AFF"/>
    <w:rsid w:val="5E8AFD0C"/>
    <w:rsid w:val="5E9745D3"/>
    <w:rsid w:val="5EA18489"/>
    <w:rsid w:val="5EA20DF9"/>
    <w:rsid w:val="5EAD40CF"/>
    <w:rsid w:val="5EB46E16"/>
    <w:rsid w:val="5EB550A3"/>
    <w:rsid w:val="5EB64163"/>
    <w:rsid w:val="5EBADC45"/>
    <w:rsid w:val="5EBFD963"/>
    <w:rsid w:val="5EC0EBE3"/>
    <w:rsid w:val="5ECA367A"/>
    <w:rsid w:val="5ED86AAB"/>
    <w:rsid w:val="5EDF5D05"/>
    <w:rsid w:val="5EEBFFDC"/>
    <w:rsid w:val="5F0CA067"/>
    <w:rsid w:val="5F1536BE"/>
    <w:rsid w:val="5F157B5B"/>
    <w:rsid w:val="5F1AA3FC"/>
    <w:rsid w:val="5F1FA5A2"/>
    <w:rsid w:val="5F38D897"/>
    <w:rsid w:val="5F3A25EC"/>
    <w:rsid w:val="5F4935F7"/>
    <w:rsid w:val="5F4A29CF"/>
    <w:rsid w:val="5F519B5C"/>
    <w:rsid w:val="5F563B7F"/>
    <w:rsid w:val="5F574BF5"/>
    <w:rsid w:val="5F643E7D"/>
    <w:rsid w:val="5F7B0EDF"/>
    <w:rsid w:val="5F7B70C4"/>
    <w:rsid w:val="5F839294"/>
    <w:rsid w:val="5F9D6507"/>
    <w:rsid w:val="5FA43123"/>
    <w:rsid w:val="5FA5237D"/>
    <w:rsid w:val="5FA7098D"/>
    <w:rsid w:val="5FAF9CFD"/>
    <w:rsid w:val="5FB13C27"/>
    <w:rsid w:val="5FB9F383"/>
    <w:rsid w:val="5FCE26B8"/>
    <w:rsid w:val="5FEB2219"/>
    <w:rsid w:val="5FF5D141"/>
    <w:rsid w:val="5FFEC40F"/>
    <w:rsid w:val="6017ABA9"/>
    <w:rsid w:val="603B882F"/>
    <w:rsid w:val="6045276D"/>
    <w:rsid w:val="6056F743"/>
    <w:rsid w:val="605CDC0F"/>
    <w:rsid w:val="605DACB0"/>
    <w:rsid w:val="60671244"/>
    <w:rsid w:val="606B225C"/>
    <w:rsid w:val="606D7931"/>
    <w:rsid w:val="60774F19"/>
    <w:rsid w:val="607D2973"/>
    <w:rsid w:val="607E2576"/>
    <w:rsid w:val="60973FC9"/>
    <w:rsid w:val="60991409"/>
    <w:rsid w:val="609C7F18"/>
    <w:rsid w:val="60A4AC92"/>
    <w:rsid w:val="60C39DE5"/>
    <w:rsid w:val="60C4441A"/>
    <w:rsid w:val="60DA9496"/>
    <w:rsid w:val="60DE2A68"/>
    <w:rsid w:val="60DED1A5"/>
    <w:rsid w:val="60F34D10"/>
    <w:rsid w:val="60FDB80C"/>
    <w:rsid w:val="6100C3B5"/>
    <w:rsid w:val="6103F69F"/>
    <w:rsid w:val="61075EAD"/>
    <w:rsid w:val="61081CF3"/>
    <w:rsid w:val="6118C3D3"/>
    <w:rsid w:val="6118F1E1"/>
    <w:rsid w:val="6129B5EF"/>
    <w:rsid w:val="612F73DE"/>
    <w:rsid w:val="6134D65C"/>
    <w:rsid w:val="6144F050"/>
    <w:rsid w:val="614AF8E5"/>
    <w:rsid w:val="615DCEB1"/>
    <w:rsid w:val="61708665"/>
    <w:rsid w:val="617247CD"/>
    <w:rsid w:val="6176E299"/>
    <w:rsid w:val="618E7464"/>
    <w:rsid w:val="6198B2D5"/>
    <w:rsid w:val="619BB2FE"/>
    <w:rsid w:val="619F90B8"/>
    <w:rsid w:val="61A4FF9B"/>
    <w:rsid w:val="61ADE550"/>
    <w:rsid w:val="61AE5B47"/>
    <w:rsid w:val="61B79C36"/>
    <w:rsid w:val="61BA3764"/>
    <w:rsid w:val="61C5AD1E"/>
    <w:rsid w:val="61D2F023"/>
    <w:rsid w:val="61D46C2C"/>
    <w:rsid w:val="61EFAE38"/>
    <w:rsid w:val="61F00846"/>
    <w:rsid w:val="61F182EA"/>
    <w:rsid w:val="61F1F7EE"/>
    <w:rsid w:val="61FB6788"/>
    <w:rsid w:val="61FC1ED1"/>
    <w:rsid w:val="620F526B"/>
    <w:rsid w:val="62151630"/>
    <w:rsid w:val="621CF475"/>
    <w:rsid w:val="621DA59E"/>
    <w:rsid w:val="62266F67"/>
    <w:rsid w:val="62439CDD"/>
    <w:rsid w:val="62495599"/>
    <w:rsid w:val="6249BC5F"/>
    <w:rsid w:val="624D59C9"/>
    <w:rsid w:val="6251C51F"/>
    <w:rsid w:val="62528FBC"/>
    <w:rsid w:val="626709EB"/>
    <w:rsid w:val="626B69DB"/>
    <w:rsid w:val="626ED22D"/>
    <w:rsid w:val="6275566F"/>
    <w:rsid w:val="627CA50E"/>
    <w:rsid w:val="627F0E4F"/>
    <w:rsid w:val="628830E1"/>
    <w:rsid w:val="628E3E47"/>
    <w:rsid w:val="62929FEC"/>
    <w:rsid w:val="62A40E0A"/>
    <w:rsid w:val="62A4DB5B"/>
    <w:rsid w:val="62A7EB0B"/>
    <w:rsid w:val="62AE4BE6"/>
    <w:rsid w:val="62B7CC23"/>
    <w:rsid w:val="62C11786"/>
    <w:rsid w:val="62CBBCF9"/>
    <w:rsid w:val="62D9B996"/>
    <w:rsid w:val="62DFDF31"/>
    <w:rsid w:val="62DFE7C6"/>
    <w:rsid w:val="62E01A3B"/>
    <w:rsid w:val="62E40D50"/>
    <w:rsid w:val="62F0CBF7"/>
    <w:rsid w:val="63035C0E"/>
    <w:rsid w:val="6308EE52"/>
    <w:rsid w:val="630CA667"/>
    <w:rsid w:val="630F9358"/>
    <w:rsid w:val="631B0941"/>
    <w:rsid w:val="632277DE"/>
    <w:rsid w:val="632A93EF"/>
    <w:rsid w:val="6341D9F9"/>
    <w:rsid w:val="6342E05A"/>
    <w:rsid w:val="63474989"/>
    <w:rsid w:val="634B827E"/>
    <w:rsid w:val="635F41CB"/>
    <w:rsid w:val="63626FC0"/>
    <w:rsid w:val="6365C161"/>
    <w:rsid w:val="636B7E74"/>
    <w:rsid w:val="6370450A"/>
    <w:rsid w:val="637883F0"/>
    <w:rsid w:val="6383B8EE"/>
    <w:rsid w:val="63906058"/>
    <w:rsid w:val="63961FF3"/>
    <w:rsid w:val="639C2CC4"/>
    <w:rsid w:val="63A24270"/>
    <w:rsid w:val="63A9D6AF"/>
    <w:rsid w:val="63AE2B7C"/>
    <w:rsid w:val="63AF7C3C"/>
    <w:rsid w:val="63B2EB54"/>
    <w:rsid w:val="63D187EE"/>
    <w:rsid w:val="63D6453A"/>
    <w:rsid w:val="63D8A262"/>
    <w:rsid w:val="63E9A1EB"/>
    <w:rsid w:val="63EB116E"/>
    <w:rsid w:val="63F8EC27"/>
    <w:rsid w:val="640FC5DE"/>
    <w:rsid w:val="64110A5B"/>
    <w:rsid w:val="64215F81"/>
    <w:rsid w:val="64237F59"/>
    <w:rsid w:val="64241D33"/>
    <w:rsid w:val="642C780F"/>
    <w:rsid w:val="6431B596"/>
    <w:rsid w:val="6431C428"/>
    <w:rsid w:val="64351C79"/>
    <w:rsid w:val="64384C52"/>
    <w:rsid w:val="643CF42D"/>
    <w:rsid w:val="644BA169"/>
    <w:rsid w:val="64560C81"/>
    <w:rsid w:val="64598942"/>
    <w:rsid w:val="645C28AB"/>
    <w:rsid w:val="646A3607"/>
    <w:rsid w:val="646A9F0D"/>
    <w:rsid w:val="646D6749"/>
    <w:rsid w:val="647BD4CA"/>
    <w:rsid w:val="647DBB8D"/>
    <w:rsid w:val="648FC619"/>
    <w:rsid w:val="6493C4A6"/>
    <w:rsid w:val="649CD701"/>
    <w:rsid w:val="649EA94A"/>
    <w:rsid w:val="64A13D89"/>
    <w:rsid w:val="64AFD9F6"/>
    <w:rsid w:val="64B6C10C"/>
    <w:rsid w:val="64B75622"/>
    <w:rsid w:val="64BD9701"/>
    <w:rsid w:val="64DF273D"/>
    <w:rsid w:val="64E6D7FF"/>
    <w:rsid w:val="64F056B3"/>
    <w:rsid w:val="64F8F605"/>
    <w:rsid w:val="64F92FDC"/>
    <w:rsid w:val="64FF50AC"/>
    <w:rsid w:val="650016A6"/>
    <w:rsid w:val="6500DB94"/>
    <w:rsid w:val="651234B7"/>
    <w:rsid w:val="65150B9A"/>
    <w:rsid w:val="653BB8CE"/>
    <w:rsid w:val="654AA04F"/>
    <w:rsid w:val="6550F7E6"/>
    <w:rsid w:val="6556A71E"/>
    <w:rsid w:val="655CD107"/>
    <w:rsid w:val="657BFEB0"/>
    <w:rsid w:val="6593C4F2"/>
    <w:rsid w:val="65A040BE"/>
    <w:rsid w:val="65A64727"/>
    <w:rsid w:val="65A92AD0"/>
    <w:rsid w:val="65AF1703"/>
    <w:rsid w:val="65B25944"/>
    <w:rsid w:val="65B26C45"/>
    <w:rsid w:val="65B99D92"/>
    <w:rsid w:val="65CBE700"/>
    <w:rsid w:val="65D4C63E"/>
    <w:rsid w:val="65D5122E"/>
    <w:rsid w:val="65D8ED47"/>
    <w:rsid w:val="65DD2699"/>
    <w:rsid w:val="65E06938"/>
    <w:rsid w:val="65EBAB13"/>
    <w:rsid w:val="65EE68C5"/>
    <w:rsid w:val="65FA0FD8"/>
    <w:rsid w:val="65FE1C8A"/>
    <w:rsid w:val="66144538"/>
    <w:rsid w:val="6626DDE0"/>
    <w:rsid w:val="6632A437"/>
    <w:rsid w:val="663E1DF0"/>
    <w:rsid w:val="664366B7"/>
    <w:rsid w:val="664D8ED8"/>
    <w:rsid w:val="664ED65E"/>
    <w:rsid w:val="664F5E4C"/>
    <w:rsid w:val="6652FF40"/>
    <w:rsid w:val="665E065F"/>
    <w:rsid w:val="66702367"/>
    <w:rsid w:val="6670BB0B"/>
    <w:rsid w:val="6696E55C"/>
    <w:rsid w:val="66B02CC2"/>
    <w:rsid w:val="66B13E6D"/>
    <w:rsid w:val="66B334EC"/>
    <w:rsid w:val="66C31E51"/>
    <w:rsid w:val="66D3C740"/>
    <w:rsid w:val="66D7F54C"/>
    <w:rsid w:val="66D94DD6"/>
    <w:rsid w:val="66DE19F3"/>
    <w:rsid w:val="66DEF4C9"/>
    <w:rsid w:val="66E01D7D"/>
    <w:rsid w:val="66E1340D"/>
    <w:rsid w:val="66FA0913"/>
    <w:rsid w:val="66FC9CA6"/>
    <w:rsid w:val="6703285C"/>
    <w:rsid w:val="671CFF0D"/>
    <w:rsid w:val="672046BB"/>
    <w:rsid w:val="6724E78C"/>
    <w:rsid w:val="672CFF61"/>
    <w:rsid w:val="6735983A"/>
    <w:rsid w:val="6737BA7B"/>
    <w:rsid w:val="673924DF"/>
    <w:rsid w:val="67421788"/>
    <w:rsid w:val="674421CF"/>
    <w:rsid w:val="67539837"/>
    <w:rsid w:val="676342A0"/>
    <w:rsid w:val="676CD87A"/>
    <w:rsid w:val="676F073B"/>
    <w:rsid w:val="676FE82D"/>
    <w:rsid w:val="677110C5"/>
    <w:rsid w:val="6782FDD5"/>
    <w:rsid w:val="6789A5D3"/>
    <w:rsid w:val="678C72A8"/>
    <w:rsid w:val="679172DA"/>
    <w:rsid w:val="67A003F0"/>
    <w:rsid w:val="67A9CC1B"/>
    <w:rsid w:val="67B24AD6"/>
    <w:rsid w:val="67BE903C"/>
    <w:rsid w:val="67BFE582"/>
    <w:rsid w:val="67CA40F2"/>
    <w:rsid w:val="67CE33CC"/>
    <w:rsid w:val="67D52B0F"/>
    <w:rsid w:val="67DC6CB1"/>
    <w:rsid w:val="67E2DECA"/>
    <w:rsid w:val="67E7FBE3"/>
    <w:rsid w:val="67F3565C"/>
    <w:rsid w:val="67F93911"/>
    <w:rsid w:val="67FCDBD6"/>
    <w:rsid w:val="681B5251"/>
    <w:rsid w:val="6821B7F2"/>
    <w:rsid w:val="6826698D"/>
    <w:rsid w:val="682840D5"/>
    <w:rsid w:val="6837C263"/>
    <w:rsid w:val="6852FDAC"/>
    <w:rsid w:val="6856AD87"/>
    <w:rsid w:val="685EF663"/>
    <w:rsid w:val="6873C233"/>
    <w:rsid w:val="687627AA"/>
    <w:rsid w:val="68768983"/>
    <w:rsid w:val="687B575B"/>
    <w:rsid w:val="687C641D"/>
    <w:rsid w:val="68801A32"/>
    <w:rsid w:val="68872255"/>
    <w:rsid w:val="689738C6"/>
    <w:rsid w:val="68AE84CC"/>
    <w:rsid w:val="68AF136B"/>
    <w:rsid w:val="68C8139D"/>
    <w:rsid w:val="68CFB21A"/>
    <w:rsid w:val="68D37BB1"/>
    <w:rsid w:val="68D6BAA1"/>
    <w:rsid w:val="68DD31A2"/>
    <w:rsid w:val="68EAFA29"/>
    <w:rsid w:val="68F0815D"/>
    <w:rsid w:val="68F90CEA"/>
    <w:rsid w:val="68F926FA"/>
    <w:rsid w:val="6902D523"/>
    <w:rsid w:val="69065B8E"/>
    <w:rsid w:val="69135537"/>
    <w:rsid w:val="6939A4F9"/>
    <w:rsid w:val="693FBD19"/>
    <w:rsid w:val="6946B323"/>
    <w:rsid w:val="6948E66C"/>
    <w:rsid w:val="6960CEAE"/>
    <w:rsid w:val="6962C1B9"/>
    <w:rsid w:val="6966EA50"/>
    <w:rsid w:val="69750DD4"/>
    <w:rsid w:val="69751A98"/>
    <w:rsid w:val="6977D03F"/>
    <w:rsid w:val="697EAA23"/>
    <w:rsid w:val="6987ABE1"/>
    <w:rsid w:val="698BDFA7"/>
    <w:rsid w:val="698DE2DD"/>
    <w:rsid w:val="699457F4"/>
    <w:rsid w:val="6994E716"/>
    <w:rsid w:val="69974107"/>
    <w:rsid w:val="69AD8068"/>
    <w:rsid w:val="69AF14E5"/>
    <w:rsid w:val="69BCA1FF"/>
    <w:rsid w:val="69BD354D"/>
    <w:rsid w:val="69BDEC3C"/>
    <w:rsid w:val="69D00632"/>
    <w:rsid w:val="69E1E600"/>
    <w:rsid w:val="69E9114D"/>
    <w:rsid w:val="69F030DA"/>
    <w:rsid w:val="6A04885B"/>
    <w:rsid w:val="6A0D43A8"/>
    <w:rsid w:val="6A168113"/>
    <w:rsid w:val="6A232293"/>
    <w:rsid w:val="6A2B238A"/>
    <w:rsid w:val="6A370CA2"/>
    <w:rsid w:val="6A38FD85"/>
    <w:rsid w:val="6A46FA65"/>
    <w:rsid w:val="6A4DFCE6"/>
    <w:rsid w:val="6A7F0AAB"/>
    <w:rsid w:val="6A921528"/>
    <w:rsid w:val="6A981D7A"/>
    <w:rsid w:val="6A9BB51A"/>
    <w:rsid w:val="6A9EADF0"/>
    <w:rsid w:val="6AA2AC1A"/>
    <w:rsid w:val="6AA48702"/>
    <w:rsid w:val="6AA6D0F4"/>
    <w:rsid w:val="6AA72F33"/>
    <w:rsid w:val="6AB46EFD"/>
    <w:rsid w:val="6AB75DBD"/>
    <w:rsid w:val="6AC32466"/>
    <w:rsid w:val="6ACC845C"/>
    <w:rsid w:val="6ACEC7EF"/>
    <w:rsid w:val="6AD14A56"/>
    <w:rsid w:val="6AD28668"/>
    <w:rsid w:val="6ADDFD7B"/>
    <w:rsid w:val="6AE0498E"/>
    <w:rsid w:val="6AE44358"/>
    <w:rsid w:val="6AE7177E"/>
    <w:rsid w:val="6AE84976"/>
    <w:rsid w:val="6AEA032B"/>
    <w:rsid w:val="6B003AA5"/>
    <w:rsid w:val="6B01AC76"/>
    <w:rsid w:val="6B09F741"/>
    <w:rsid w:val="6B23A9BC"/>
    <w:rsid w:val="6B42D90C"/>
    <w:rsid w:val="6B465AB1"/>
    <w:rsid w:val="6B470E11"/>
    <w:rsid w:val="6B5D6E86"/>
    <w:rsid w:val="6B677084"/>
    <w:rsid w:val="6B6A0063"/>
    <w:rsid w:val="6B6B4FF8"/>
    <w:rsid w:val="6B6CEE1F"/>
    <w:rsid w:val="6B704636"/>
    <w:rsid w:val="6B760498"/>
    <w:rsid w:val="6B78DFA6"/>
    <w:rsid w:val="6B7DA9BF"/>
    <w:rsid w:val="6B85E5BE"/>
    <w:rsid w:val="6B932703"/>
    <w:rsid w:val="6BAA913C"/>
    <w:rsid w:val="6BB3CD70"/>
    <w:rsid w:val="6BB4F169"/>
    <w:rsid w:val="6BB5D3D7"/>
    <w:rsid w:val="6BB9A5CA"/>
    <w:rsid w:val="6BD3F80B"/>
    <w:rsid w:val="6BDC494F"/>
    <w:rsid w:val="6BE8DD15"/>
    <w:rsid w:val="6BF9BE63"/>
    <w:rsid w:val="6C1B65F6"/>
    <w:rsid w:val="6C38D2FA"/>
    <w:rsid w:val="6C3D65B0"/>
    <w:rsid w:val="6C509DB7"/>
    <w:rsid w:val="6C537C22"/>
    <w:rsid w:val="6C5F7434"/>
    <w:rsid w:val="6C6C5A2D"/>
    <w:rsid w:val="6C776463"/>
    <w:rsid w:val="6C798D15"/>
    <w:rsid w:val="6C85F5D7"/>
    <w:rsid w:val="6C86F2F6"/>
    <w:rsid w:val="6C90DBD3"/>
    <w:rsid w:val="6C9C81F8"/>
    <w:rsid w:val="6C9DBDB8"/>
    <w:rsid w:val="6CBC93C2"/>
    <w:rsid w:val="6CBD1905"/>
    <w:rsid w:val="6CC81E79"/>
    <w:rsid w:val="6CC8D469"/>
    <w:rsid w:val="6CE7259C"/>
    <w:rsid w:val="6CF2B667"/>
    <w:rsid w:val="6CF4721E"/>
    <w:rsid w:val="6D04F490"/>
    <w:rsid w:val="6D065797"/>
    <w:rsid w:val="6D0CF979"/>
    <w:rsid w:val="6D0E0124"/>
    <w:rsid w:val="6D10F13A"/>
    <w:rsid w:val="6D1986C2"/>
    <w:rsid w:val="6D1DBAF5"/>
    <w:rsid w:val="6D1FA181"/>
    <w:rsid w:val="6D21C751"/>
    <w:rsid w:val="6D58AC8A"/>
    <w:rsid w:val="6D5C2AEC"/>
    <w:rsid w:val="6D5C94B1"/>
    <w:rsid w:val="6D6A2F47"/>
    <w:rsid w:val="6D71D100"/>
    <w:rsid w:val="6D8949B2"/>
    <w:rsid w:val="6D8B9C66"/>
    <w:rsid w:val="6D8D2FFD"/>
    <w:rsid w:val="6D928AD0"/>
    <w:rsid w:val="6DA2B15B"/>
    <w:rsid w:val="6DA2EF8D"/>
    <w:rsid w:val="6DA77858"/>
    <w:rsid w:val="6DAA2052"/>
    <w:rsid w:val="6DB0B7D4"/>
    <w:rsid w:val="6DB36236"/>
    <w:rsid w:val="6DB4E914"/>
    <w:rsid w:val="6DBCC7E3"/>
    <w:rsid w:val="6DC511C0"/>
    <w:rsid w:val="6DDA46B2"/>
    <w:rsid w:val="6DEC1CB4"/>
    <w:rsid w:val="6DEDCEE2"/>
    <w:rsid w:val="6DF0C963"/>
    <w:rsid w:val="6DFE4AEA"/>
    <w:rsid w:val="6E0F967F"/>
    <w:rsid w:val="6E1DBE01"/>
    <w:rsid w:val="6E1E87B4"/>
    <w:rsid w:val="6E2752C1"/>
    <w:rsid w:val="6E383290"/>
    <w:rsid w:val="6E3DD466"/>
    <w:rsid w:val="6E4522F3"/>
    <w:rsid w:val="6E493682"/>
    <w:rsid w:val="6E4DA618"/>
    <w:rsid w:val="6E5BDC02"/>
    <w:rsid w:val="6E677501"/>
    <w:rsid w:val="6E6AA7B8"/>
    <w:rsid w:val="6E8F118D"/>
    <w:rsid w:val="6EA53740"/>
    <w:rsid w:val="6EAB4E98"/>
    <w:rsid w:val="6EB90D60"/>
    <w:rsid w:val="6EBD9EF4"/>
    <w:rsid w:val="6EC4BDCB"/>
    <w:rsid w:val="6ECD53A1"/>
    <w:rsid w:val="6ECF32FB"/>
    <w:rsid w:val="6EF1A8F0"/>
    <w:rsid w:val="6EF78365"/>
    <w:rsid w:val="6EF81D96"/>
    <w:rsid w:val="6EF9B611"/>
    <w:rsid w:val="6EFE2BFF"/>
    <w:rsid w:val="6EFFA142"/>
    <w:rsid w:val="6F034A73"/>
    <w:rsid w:val="6F0769FC"/>
    <w:rsid w:val="6F0B2CA8"/>
    <w:rsid w:val="6F1F36AA"/>
    <w:rsid w:val="6F289988"/>
    <w:rsid w:val="6F2CA25E"/>
    <w:rsid w:val="6F323807"/>
    <w:rsid w:val="6F3B23C7"/>
    <w:rsid w:val="6F3C6594"/>
    <w:rsid w:val="6F3CC99E"/>
    <w:rsid w:val="6F3D3626"/>
    <w:rsid w:val="6F3F2C25"/>
    <w:rsid w:val="6F45BF28"/>
    <w:rsid w:val="6F471704"/>
    <w:rsid w:val="6F4ECE8F"/>
    <w:rsid w:val="6F5F972A"/>
    <w:rsid w:val="6F60D31A"/>
    <w:rsid w:val="6F62FB0B"/>
    <w:rsid w:val="6F6389DA"/>
    <w:rsid w:val="6F64DE76"/>
    <w:rsid w:val="6F72914F"/>
    <w:rsid w:val="6F7A4521"/>
    <w:rsid w:val="6F7DCB4B"/>
    <w:rsid w:val="6F7DFCF0"/>
    <w:rsid w:val="6F91527F"/>
    <w:rsid w:val="6F98DB3D"/>
    <w:rsid w:val="6F9A5C81"/>
    <w:rsid w:val="6FA1A193"/>
    <w:rsid w:val="6FA9DDDF"/>
    <w:rsid w:val="6FAA6EBF"/>
    <w:rsid w:val="6FAE4C5D"/>
    <w:rsid w:val="6FB8500C"/>
    <w:rsid w:val="6FB972FA"/>
    <w:rsid w:val="6FBBBA99"/>
    <w:rsid w:val="6FBD19EF"/>
    <w:rsid w:val="6FCDC6A8"/>
    <w:rsid w:val="6FD3ED12"/>
    <w:rsid w:val="6FD99EF7"/>
    <w:rsid w:val="6FDD611E"/>
    <w:rsid w:val="6FF1764F"/>
    <w:rsid w:val="6FF33F69"/>
    <w:rsid w:val="6FF3E1EB"/>
    <w:rsid w:val="6FF5F3A0"/>
    <w:rsid w:val="70036B62"/>
    <w:rsid w:val="700F6B8D"/>
    <w:rsid w:val="7012E5E4"/>
    <w:rsid w:val="701657C2"/>
    <w:rsid w:val="70199F07"/>
    <w:rsid w:val="7019C7DA"/>
    <w:rsid w:val="701B9605"/>
    <w:rsid w:val="70204898"/>
    <w:rsid w:val="70298A58"/>
    <w:rsid w:val="702E166E"/>
    <w:rsid w:val="703945AD"/>
    <w:rsid w:val="70497807"/>
    <w:rsid w:val="704DC665"/>
    <w:rsid w:val="70505F2C"/>
    <w:rsid w:val="706800CC"/>
    <w:rsid w:val="7073ADFC"/>
    <w:rsid w:val="707629D0"/>
    <w:rsid w:val="7092C9FC"/>
    <w:rsid w:val="70981CD1"/>
    <w:rsid w:val="70A2C190"/>
    <w:rsid w:val="70A3D2E4"/>
    <w:rsid w:val="70A9BA17"/>
    <w:rsid w:val="70AF4CCD"/>
    <w:rsid w:val="70C857D1"/>
    <w:rsid w:val="70C9ABAA"/>
    <w:rsid w:val="70D0B7A1"/>
    <w:rsid w:val="70D37363"/>
    <w:rsid w:val="70D37D83"/>
    <w:rsid w:val="70D5349A"/>
    <w:rsid w:val="70DD880F"/>
    <w:rsid w:val="70E012CF"/>
    <w:rsid w:val="70E57D99"/>
    <w:rsid w:val="70E92BD3"/>
    <w:rsid w:val="70FF40FC"/>
    <w:rsid w:val="7114A98E"/>
    <w:rsid w:val="711A22C9"/>
    <w:rsid w:val="711C7091"/>
    <w:rsid w:val="7122880B"/>
    <w:rsid w:val="712F01C1"/>
    <w:rsid w:val="7149C2B6"/>
    <w:rsid w:val="714E3DEF"/>
    <w:rsid w:val="715ED617"/>
    <w:rsid w:val="7160043B"/>
    <w:rsid w:val="7162C7FB"/>
    <w:rsid w:val="7166A698"/>
    <w:rsid w:val="716D3498"/>
    <w:rsid w:val="716DE314"/>
    <w:rsid w:val="7171F7C4"/>
    <w:rsid w:val="717ACD3A"/>
    <w:rsid w:val="71804A45"/>
    <w:rsid w:val="718CFFB5"/>
    <w:rsid w:val="719001BC"/>
    <w:rsid w:val="7192D04A"/>
    <w:rsid w:val="7195E14E"/>
    <w:rsid w:val="719823D1"/>
    <w:rsid w:val="71A329B5"/>
    <w:rsid w:val="71AF27A8"/>
    <w:rsid w:val="71BC3C89"/>
    <w:rsid w:val="71DA327D"/>
    <w:rsid w:val="71DEE235"/>
    <w:rsid w:val="71E0DB43"/>
    <w:rsid w:val="71EE4DFD"/>
    <w:rsid w:val="71EE972B"/>
    <w:rsid w:val="71F1CCF5"/>
    <w:rsid w:val="71F4BFC7"/>
    <w:rsid w:val="71F57EB1"/>
    <w:rsid w:val="72011EDE"/>
    <w:rsid w:val="72017FE3"/>
    <w:rsid w:val="72037C20"/>
    <w:rsid w:val="72039D42"/>
    <w:rsid w:val="721F1668"/>
    <w:rsid w:val="72242612"/>
    <w:rsid w:val="7239046D"/>
    <w:rsid w:val="7245BEE9"/>
    <w:rsid w:val="7262D8BB"/>
    <w:rsid w:val="727393FE"/>
    <w:rsid w:val="72875BC1"/>
    <w:rsid w:val="728A4C9F"/>
    <w:rsid w:val="7297E791"/>
    <w:rsid w:val="729C6ABA"/>
    <w:rsid w:val="729C95E6"/>
    <w:rsid w:val="72A22CF7"/>
    <w:rsid w:val="72B5A24E"/>
    <w:rsid w:val="72B5B893"/>
    <w:rsid w:val="72C3B3A5"/>
    <w:rsid w:val="72C715D4"/>
    <w:rsid w:val="72C75563"/>
    <w:rsid w:val="72D89757"/>
    <w:rsid w:val="72EB6708"/>
    <w:rsid w:val="72EC4857"/>
    <w:rsid w:val="72EE8CE5"/>
    <w:rsid w:val="72FE6431"/>
    <w:rsid w:val="72FF4BD8"/>
    <w:rsid w:val="730837AF"/>
    <w:rsid w:val="7318CFD5"/>
    <w:rsid w:val="732F680E"/>
    <w:rsid w:val="7336FF00"/>
    <w:rsid w:val="733C7528"/>
    <w:rsid w:val="733DF299"/>
    <w:rsid w:val="733EECDB"/>
    <w:rsid w:val="733EF00A"/>
    <w:rsid w:val="734646A9"/>
    <w:rsid w:val="734D29F0"/>
    <w:rsid w:val="734E5D4B"/>
    <w:rsid w:val="735DC6D9"/>
    <w:rsid w:val="7360F9F1"/>
    <w:rsid w:val="7364F050"/>
    <w:rsid w:val="7384382C"/>
    <w:rsid w:val="73863DA3"/>
    <w:rsid w:val="7387C8BD"/>
    <w:rsid w:val="738D002D"/>
    <w:rsid w:val="739621DF"/>
    <w:rsid w:val="73A139B5"/>
    <w:rsid w:val="73A7F0FF"/>
    <w:rsid w:val="73A9F66A"/>
    <w:rsid w:val="73ABF1B6"/>
    <w:rsid w:val="73AEEE7C"/>
    <w:rsid w:val="73DADB1F"/>
    <w:rsid w:val="73DAE422"/>
    <w:rsid w:val="73FBC78E"/>
    <w:rsid w:val="73FCFF11"/>
    <w:rsid w:val="73FD81B0"/>
    <w:rsid w:val="74002243"/>
    <w:rsid w:val="7409F863"/>
    <w:rsid w:val="7413C7FC"/>
    <w:rsid w:val="74162B85"/>
    <w:rsid w:val="74237E39"/>
    <w:rsid w:val="7433D981"/>
    <w:rsid w:val="743F90DC"/>
    <w:rsid w:val="74447E8B"/>
    <w:rsid w:val="744CF61E"/>
    <w:rsid w:val="744F22D3"/>
    <w:rsid w:val="7452DA91"/>
    <w:rsid w:val="745707C0"/>
    <w:rsid w:val="7461C51D"/>
    <w:rsid w:val="7462DBC4"/>
    <w:rsid w:val="746B999A"/>
    <w:rsid w:val="746B9FED"/>
    <w:rsid w:val="7476E595"/>
    <w:rsid w:val="7476EA5E"/>
    <w:rsid w:val="74794934"/>
    <w:rsid w:val="747C371C"/>
    <w:rsid w:val="7485FCB7"/>
    <w:rsid w:val="7496776F"/>
    <w:rsid w:val="749739C5"/>
    <w:rsid w:val="74C29F0E"/>
    <w:rsid w:val="74C3E024"/>
    <w:rsid w:val="74C9AA6D"/>
    <w:rsid w:val="74F9464A"/>
    <w:rsid w:val="750BD35F"/>
    <w:rsid w:val="75193032"/>
    <w:rsid w:val="75299D9E"/>
    <w:rsid w:val="752C34F7"/>
    <w:rsid w:val="752E444A"/>
    <w:rsid w:val="752FAF43"/>
    <w:rsid w:val="7532127D"/>
    <w:rsid w:val="753B254D"/>
    <w:rsid w:val="75443794"/>
    <w:rsid w:val="7548CD07"/>
    <w:rsid w:val="7549AA51"/>
    <w:rsid w:val="754D7805"/>
    <w:rsid w:val="755AB214"/>
    <w:rsid w:val="75726902"/>
    <w:rsid w:val="75783B14"/>
    <w:rsid w:val="75786800"/>
    <w:rsid w:val="7587EDB2"/>
    <w:rsid w:val="7592FF3C"/>
    <w:rsid w:val="759E2CE9"/>
    <w:rsid w:val="759EA75F"/>
    <w:rsid w:val="759EC8A8"/>
    <w:rsid w:val="75B895FB"/>
    <w:rsid w:val="75BAE514"/>
    <w:rsid w:val="75BEA763"/>
    <w:rsid w:val="75BF16C7"/>
    <w:rsid w:val="75CE2543"/>
    <w:rsid w:val="75D6CDCF"/>
    <w:rsid w:val="75E0E4B0"/>
    <w:rsid w:val="75FDBC79"/>
    <w:rsid w:val="761167A8"/>
    <w:rsid w:val="76123F79"/>
    <w:rsid w:val="761DE250"/>
    <w:rsid w:val="762FB81E"/>
    <w:rsid w:val="7640611B"/>
    <w:rsid w:val="76446DE3"/>
    <w:rsid w:val="76464AFA"/>
    <w:rsid w:val="76487104"/>
    <w:rsid w:val="7648C782"/>
    <w:rsid w:val="7660C6A1"/>
    <w:rsid w:val="766280ED"/>
    <w:rsid w:val="7663CCB0"/>
    <w:rsid w:val="766B2D0C"/>
    <w:rsid w:val="76760286"/>
    <w:rsid w:val="767736F9"/>
    <w:rsid w:val="767DBBBA"/>
    <w:rsid w:val="767DF59E"/>
    <w:rsid w:val="76893399"/>
    <w:rsid w:val="76A33F71"/>
    <w:rsid w:val="76A3AB42"/>
    <w:rsid w:val="76BB8620"/>
    <w:rsid w:val="76C2634F"/>
    <w:rsid w:val="76C5874F"/>
    <w:rsid w:val="76D12186"/>
    <w:rsid w:val="76DF4F61"/>
    <w:rsid w:val="76E39278"/>
    <w:rsid w:val="76E66556"/>
    <w:rsid w:val="76EFDE68"/>
    <w:rsid w:val="76F1AB77"/>
    <w:rsid w:val="76F8C5BF"/>
    <w:rsid w:val="76FBC128"/>
    <w:rsid w:val="76FC6DC3"/>
    <w:rsid w:val="7702D1A1"/>
    <w:rsid w:val="770B89A0"/>
    <w:rsid w:val="77167E98"/>
    <w:rsid w:val="77403AA1"/>
    <w:rsid w:val="7746B1BF"/>
    <w:rsid w:val="774993A1"/>
    <w:rsid w:val="775012F1"/>
    <w:rsid w:val="77586DE3"/>
    <w:rsid w:val="775F1787"/>
    <w:rsid w:val="776EF370"/>
    <w:rsid w:val="77707839"/>
    <w:rsid w:val="77749BFD"/>
    <w:rsid w:val="777D8778"/>
    <w:rsid w:val="7783ED5A"/>
    <w:rsid w:val="77894D2C"/>
    <w:rsid w:val="7794344C"/>
    <w:rsid w:val="7798D0DB"/>
    <w:rsid w:val="779927F0"/>
    <w:rsid w:val="77A2B293"/>
    <w:rsid w:val="77B0830A"/>
    <w:rsid w:val="77B2DAF6"/>
    <w:rsid w:val="77C66A38"/>
    <w:rsid w:val="77CC69E6"/>
    <w:rsid w:val="77CEBA04"/>
    <w:rsid w:val="77DB70AB"/>
    <w:rsid w:val="77FC7A1F"/>
    <w:rsid w:val="77FE86A5"/>
    <w:rsid w:val="7809F538"/>
    <w:rsid w:val="780A16F6"/>
    <w:rsid w:val="780F98AB"/>
    <w:rsid w:val="7811E2C9"/>
    <w:rsid w:val="782C8F02"/>
    <w:rsid w:val="782E1EEF"/>
    <w:rsid w:val="783649B1"/>
    <w:rsid w:val="78634BC9"/>
    <w:rsid w:val="78680FCB"/>
    <w:rsid w:val="78758217"/>
    <w:rsid w:val="7875E1AC"/>
    <w:rsid w:val="787721D1"/>
    <w:rsid w:val="7877F56A"/>
    <w:rsid w:val="787AC98C"/>
    <w:rsid w:val="78895EAA"/>
    <w:rsid w:val="788C63F8"/>
    <w:rsid w:val="788FF492"/>
    <w:rsid w:val="7893205E"/>
    <w:rsid w:val="789DD2D6"/>
    <w:rsid w:val="78AF2827"/>
    <w:rsid w:val="78B95454"/>
    <w:rsid w:val="78D0408D"/>
    <w:rsid w:val="78D26689"/>
    <w:rsid w:val="78D4292B"/>
    <w:rsid w:val="78DBBC93"/>
    <w:rsid w:val="78DD4A7C"/>
    <w:rsid w:val="78F0C934"/>
    <w:rsid w:val="78F3D1C9"/>
    <w:rsid w:val="7911FD5A"/>
    <w:rsid w:val="791D8C82"/>
    <w:rsid w:val="791D96EE"/>
    <w:rsid w:val="791DD7AD"/>
    <w:rsid w:val="791F720A"/>
    <w:rsid w:val="79218EFE"/>
    <w:rsid w:val="79241915"/>
    <w:rsid w:val="792D1806"/>
    <w:rsid w:val="7933C4C5"/>
    <w:rsid w:val="7936A805"/>
    <w:rsid w:val="793E32FA"/>
    <w:rsid w:val="79425A93"/>
    <w:rsid w:val="79561A01"/>
    <w:rsid w:val="795D0DAF"/>
    <w:rsid w:val="79672C99"/>
    <w:rsid w:val="796B41A8"/>
    <w:rsid w:val="79731BAD"/>
    <w:rsid w:val="79769246"/>
    <w:rsid w:val="797A1D9F"/>
    <w:rsid w:val="797D4B83"/>
    <w:rsid w:val="7986F527"/>
    <w:rsid w:val="79931BDA"/>
    <w:rsid w:val="7997D1AA"/>
    <w:rsid w:val="799D3282"/>
    <w:rsid w:val="799E3373"/>
    <w:rsid w:val="79A20F35"/>
    <w:rsid w:val="79AC6C02"/>
    <w:rsid w:val="79B8896F"/>
    <w:rsid w:val="79C1BC91"/>
    <w:rsid w:val="79C27E3F"/>
    <w:rsid w:val="79C55C92"/>
    <w:rsid w:val="79C6C5D6"/>
    <w:rsid w:val="79C834A5"/>
    <w:rsid w:val="79D72604"/>
    <w:rsid w:val="79DEE16D"/>
    <w:rsid w:val="79E5CB86"/>
    <w:rsid w:val="79EC0B32"/>
    <w:rsid w:val="79F58185"/>
    <w:rsid w:val="79F87248"/>
    <w:rsid w:val="79FF7578"/>
    <w:rsid w:val="7A0E4BCA"/>
    <w:rsid w:val="7A1752C1"/>
    <w:rsid w:val="7A17C9C5"/>
    <w:rsid w:val="7A264F8F"/>
    <w:rsid w:val="7A2D66DC"/>
    <w:rsid w:val="7A2E1B3F"/>
    <w:rsid w:val="7A2ECBE2"/>
    <w:rsid w:val="7A3547E5"/>
    <w:rsid w:val="7A3D69DC"/>
    <w:rsid w:val="7A49F119"/>
    <w:rsid w:val="7A4EC8E1"/>
    <w:rsid w:val="7A6993B0"/>
    <w:rsid w:val="7A717FF9"/>
    <w:rsid w:val="7A7EAFCB"/>
    <w:rsid w:val="7A82459B"/>
    <w:rsid w:val="7A8F55E4"/>
    <w:rsid w:val="7A90DBA3"/>
    <w:rsid w:val="7AA9ED9D"/>
    <w:rsid w:val="7AAE8CAE"/>
    <w:rsid w:val="7ABFAAC4"/>
    <w:rsid w:val="7AC65574"/>
    <w:rsid w:val="7ADDBBD9"/>
    <w:rsid w:val="7ADEFA8D"/>
    <w:rsid w:val="7AEF3E07"/>
    <w:rsid w:val="7AFF1E21"/>
    <w:rsid w:val="7B08D615"/>
    <w:rsid w:val="7B092EA6"/>
    <w:rsid w:val="7B0BE0E6"/>
    <w:rsid w:val="7B2A2649"/>
    <w:rsid w:val="7B2A9D28"/>
    <w:rsid w:val="7B36D2D8"/>
    <w:rsid w:val="7B41985C"/>
    <w:rsid w:val="7B4575C2"/>
    <w:rsid w:val="7B45A1D0"/>
    <w:rsid w:val="7B47FC9C"/>
    <w:rsid w:val="7B4ADC84"/>
    <w:rsid w:val="7B5FD007"/>
    <w:rsid w:val="7B69F248"/>
    <w:rsid w:val="7B71E596"/>
    <w:rsid w:val="7B8F6BE7"/>
    <w:rsid w:val="7B9181D3"/>
    <w:rsid w:val="7B9D6BE9"/>
    <w:rsid w:val="7BAD679F"/>
    <w:rsid w:val="7BBEF60A"/>
    <w:rsid w:val="7BC0D00F"/>
    <w:rsid w:val="7BC0F203"/>
    <w:rsid w:val="7BC21D38"/>
    <w:rsid w:val="7BC44122"/>
    <w:rsid w:val="7BC8D822"/>
    <w:rsid w:val="7BC9FC7F"/>
    <w:rsid w:val="7BE49045"/>
    <w:rsid w:val="7BE49F75"/>
    <w:rsid w:val="7BF4A46B"/>
    <w:rsid w:val="7C08E759"/>
    <w:rsid w:val="7C179E47"/>
    <w:rsid w:val="7C247501"/>
    <w:rsid w:val="7C25D4AA"/>
    <w:rsid w:val="7C28582C"/>
    <w:rsid w:val="7C2C5DE8"/>
    <w:rsid w:val="7C399506"/>
    <w:rsid w:val="7C3BC399"/>
    <w:rsid w:val="7C3E956E"/>
    <w:rsid w:val="7C529044"/>
    <w:rsid w:val="7C6B99E6"/>
    <w:rsid w:val="7C731569"/>
    <w:rsid w:val="7C76B3D1"/>
    <w:rsid w:val="7C7A5125"/>
    <w:rsid w:val="7C983857"/>
    <w:rsid w:val="7CA30F86"/>
    <w:rsid w:val="7CA3F542"/>
    <w:rsid w:val="7CA8ABBD"/>
    <w:rsid w:val="7CC41220"/>
    <w:rsid w:val="7CDD9FD3"/>
    <w:rsid w:val="7CE75E44"/>
    <w:rsid w:val="7CEFC967"/>
    <w:rsid w:val="7CF15E93"/>
    <w:rsid w:val="7CF427E5"/>
    <w:rsid w:val="7D0331D9"/>
    <w:rsid w:val="7D039C13"/>
    <w:rsid w:val="7D05C5C1"/>
    <w:rsid w:val="7D0F0983"/>
    <w:rsid w:val="7D0F44B2"/>
    <w:rsid w:val="7D188A60"/>
    <w:rsid w:val="7D26B67D"/>
    <w:rsid w:val="7D27F90B"/>
    <w:rsid w:val="7D28D141"/>
    <w:rsid w:val="7D31B32D"/>
    <w:rsid w:val="7D36DCC1"/>
    <w:rsid w:val="7D464A88"/>
    <w:rsid w:val="7D4A8D7D"/>
    <w:rsid w:val="7D4B604C"/>
    <w:rsid w:val="7D4D9349"/>
    <w:rsid w:val="7D5DACE8"/>
    <w:rsid w:val="7D625055"/>
    <w:rsid w:val="7D665DEE"/>
    <w:rsid w:val="7D774151"/>
    <w:rsid w:val="7D7F50CA"/>
    <w:rsid w:val="7D80B2FE"/>
    <w:rsid w:val="7D884526"/>
    <w:rsid w:val="7D88ABA6"/>
    <w:rsid w:val="7D92E9DE"/>
    <w:rsid w:val="7D92FE10"/>
    <w:rsid w:val="7DA00F6F"/>
    <w:rsid w:val="7DA23768"/>
    <w:rsid w:val="7DAAE254"/>
    <w:rsid w:val="7DACC55E"/>
    <w:rsid w:val="7DB51546"/>
    <w:rsid w:val="7DB6F9B7"/>
    <w:rsid w:val="7DCA5763"/>
    <w:rsid w:val="7DCA6E9F"/>
    <w:rsid w:val="7DCE77CC"/>
    <w:rsid w:val="7DDB09DD"/>
    <w:rsid w:val="7DE14EB5"/>
    <w:rsid w:val="7DE28058"/>
    <w:rsid w:val="7DE6F485"/>
    <w:rsid w:val="7DEA1977"/>
    <w:rsid w:val="7DFF872C"/>
    <w:rsid w:val="7E02C0D2"/>
    <w:rsid w:val="7E066571"/>
    <w:rsid w:val="7E15D590"/>
    <w:rsid w:val="7E1EC1DF"/>
    <w:rsid w:val="7E1EDAAB"/>
    <w:rsid w:val="7E20885D"/>
    <w:rsid w:val="7E2F1D99"/>
    <w:rsid w:val="7E36B790"/>
    <w:rsid w:val="7E409080"/>
    <w:rsid w:val="7E4CE15F"/>
    <w:rsid w:val="7E571EB7"/>
    <w:rsid w:val="7E6529A0"/>
    <w:rsid w:val="7E861F11"/>
    <w:rsid w:val="7E877FF8"/>
    <w:rsid w:val="7E9D6516"/>
    <w:rsid w:val="7E9FAE8A"/>
    <w:rsid w:val="7EA86067"/>
    <w:rsid w:val="7EAB4025"/>
    <w:rsid w:val="7EAE8539"/>
    <w:rsid w:val="7EB857C0"/>
    <w:rsid w:val="7EB8CE40"/>
    <w:rsid w:val="7EC131F5"/>
    <w:rsid w:val="7ECC234B"/>
    <w:rsid w:val="7ED858E5"/>
    <w:rsid w:val="7EEC8D15"/>
    <w:rsid w:val="7EECE7B3"/>
    <w:rsid w:val="7EFFEF52"/>
    <w:rsid w:val="7F07124E"/>
    <w:rsid w:val="7F0B9407"/>
    <w:rsid w:val="7F1C20BD"/>
    <w:rsid w:val="7F34F1A7"/>
    <w:rsid w:val="7F3EE017"/>
    <w:rsid w:val="7F4CEB59"/>
    <w:rsid w:val="7F4D293F"/>
    <w:rsid w:val="7F696322"/>
    <w:rsid w:val="7F6F2B55"/>
    <w:rsid w:val="7F71438D"/>
    <w:rsid w:val="7F7364DD"/>
    <w:rsid w:val="7F786206"/>
    <w:rsid w:val="7F7CA872"/>
    <w:rsid w:val="7F7F96C4"/>
    <w:rsid w:val="7F8C7799"/>
    <w:rsid w:val="7F8FE0EC"/>
    <w:rsid w:val="7F90D082"/>
    <w:rsid w:val="7F9B7892"/>
    <w:rsid w:val="7F9C1F1C"/>
    <w:rsid w:val="7F9C517E"/>
    <w:rsid w:val="7F9FD0D7"/>
    <w:rsid w:val="7FA5C5A9"/>
    <w:rsid w:val="7FACB7E3"/>
    <w:rsid w:val="7FAD50DB"/>
    <w:rsid w:val="7FB72291"/>
    <w:rsid w:val="7FB83D25"/>
    <w:rsid w:val="7FD094D4"/>
    <w:rsid w:val="7FD2074F"/>
    <w:rsid w:val="7FD8AC50"/>
    <w:rsid w:val="7FDBFF5C"/>
    <w:rsid w:val="7FDFD010"/>
    <w:rsid w:val="7FF1A3AD"/>
    <w:rsid w:val="7FF55593"/>
    <w:rsid w:val="7FF6C40F"/>
    <w:rsid w:val="7FF92B7F"/>
    <w:rsid w:val="7FFEFF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B59B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pPr>
      <w:ind w:left="720"/>
      <w:contextualSpacing/>
    </w:pPr>
  </w:style>
  <w:style w:type="character" w:styleId="Hipercze">
    <w:name w:val="Hyperlink"/>
    <w:basedOn w:val="Domylnaczcionkaakapitu"/>
    <w:uiPriority w:val="99"/>
    <w:unhideWhenUsed/>
    <w:rPr>
      <w:color w:val="0563C1" w:themeColor="hyperlink"/>
      <w:u w:val="single"/>
    </w:r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komentarza">
    <w:name w:val="annotation text"/>
    <w:basedOn w:val="Normalny"/>
    <w:link w:val="TekstkomentarzaZnak"/>
    <w:uiPriority w:val="99"/>
    <w:unhideWhenUsed/>
    <w:qFormat/>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character" w:customStyle="1" w:styleId="articletitle">
    <w:name w:val="articletitle"/>
    <w:basedOn w:val="Domylnaczcionkaakapitu"/>
    <w:rsid w:val="00724430"/>
  </w:style>
  <w:style w:type="paragraph" w:styleId="Tekstprzypisudolnego">
    <w:name w:val="footnote text"/>
    <w:basedOn w:val="Normalny"/>
    <w:link w:val="TekstprzypisudolnegoZnak"/>
    <w:uiPriority w:val="99"/>
    <w:semiHidden/>
    <w:unhideWhenUsed/>
    <w:rsid w:val="0072443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24430"/>
    <w:rPr>
      <w:sz w:val="20"/>
      <w:szCs w:val="20"/>
    </w:rPr>
  </w:style>
  <w:style w:type="character" w:styleId="Odwoanieprzypisudolnego">
    <w:name w:val="footnote reference"/>
    <w:basedOn w:val="Domylnaczcionkaakapitu"/>
    <w:uiPriority w:val="99"/>
    <w:semiHidden/>
    <w:unhideWhenUsed/>
    <w:rsid w:val="00724430"/>
    <w:rPr>
      <w:vertAlign w:val="superscript"/>
    </w:rPr>
  </w:style>
  <w:style w:type="paragraph" w:styleId="Tekstdymka">
    <w:name w:val="Balloon Text"/>
    <w:basedOn w:val="Normalny"/>
    <w:link w:val="TekstdymkaZnak"/>
    <w:uiPriority w:val="99"/>
    <w:semiHidden/>
    <w:unhideWhenUsed/>
    <w:rsid w:val="008E2E1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E2E1C"/>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CE6E27"/>
    <w:rPr>
      <w:b/>
      <w:bCs/>
    </w:rPr>
  </w:style>
  <w:style w:type="character" w:customStyle="1" w:styleId="TematkomentarzaZnak">
    <w:name w:val="Temat komentarza Znak"/>
    <w:basedOn w:val="TekstkomentarzaZnak"/>
    <w:link w:val="Tematkomentarza"/>
    <w:uiPriority w:val="99"/>
    <w:semiHidden/>
    <w:rsid w:val="00CE6E27"/>
    <w:rPr>
      <w:b/>
      <w:bCs/>
      <w:sz w:val="20"/>
      <w:szCs w:val="20"/>
    </w:rPr>
  </w:style>
  <w:style w:type="character" w:customStyle="1" w:styleId="Nagwek3Znak">
    <w:name w:val="Nagłówek 3 Znak"/>
    <w:basedOn w:val="Domylnaczcionkaakapitu"/>
    <w:link w:val="Nagwek3"/>
    <w:uiPriority w:val="9"/>
    <w:rPr>
      <w:rFonts w:asciiTheme="majorHAnsi" w:eastAsiaTheme="majorEastAsia" w:hAnsiTheme="majorHAnsi" w:cstheme="majorBidi"/>
      <w:color w:val="1F3763" w:themeColor="accent1" w:themeShade="7F"/>
      <w:sz w:val="24"/>
      <w:szCs w:val="24"/>
    </w:rPr>
  </w:style>
  <w:style w:type="character" w:customStyle="1" w:styleId="Nagwek1Znak">
    <w:name w:val="Nagłówek 1 Znak"/>
    <w:basedOn w:val="Domylnaczcionkaakapitu"/>
    <w:link w:val="Nagwek1"/>
    <w:uiPriority w:val="9"/>
    <w:rPr>
      <w:rFonts w:asciiTheme="majorHAnsi" w:eastAsiaTheme="majorEastAsia" w:hAnsiTheme="majorHAnsi" w:cstheme="majorBidi"/>
      <w:color w:val="2F5496" w:themeColor="accent1" w:themeShade="BF"/>
      <w:sz w:val="32"/>
      <w:szCs w:val="32"/>
    </w:rPr>
  </w:style>
  <w:style w:type="character" w:customStyle="1" w:styleId="normaltextrun">
    <w:name w:val="normaltextrun"/>
    <w:basedOn w:val="Domylnaczcionkaakapitu"/>
    <w:rsid w:val="00B65E7B"/>
  </w:style>
  <w:style w:type="character" w:customStyle="1" w:styleId="findhit">
    <w:name w:val="findhit"/>
    <w:basedOn w:val="Domylnaczcionkaakapitu"/>
    <w:rsid w:val="00B65E7B"/>
  </w:style>
  <w:style w:type="paragraph" w:customStyle="1" w:styleId="ARTartustawynprozporzdzenia">
    <w:name w:val="ART(§) – art. ustawy (§ np. rozporządzenia)"/>
    <w:uiPriority w:val="11"/>
    <w:qFormat/>
    <w:rsid w:val="00AD067C"/>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highlight">
    <w:name w:val="highlight"/>
    <w:basedOn w:val="Domylnaczcionkaakapitu"/>
    <w:rsid w:val="0064109C"/>
  </w:style>
  <w:style w:type="paragraph" w:styleId="Tekstprzypisukocowego">
    <w:name w:val="endnote text"/>
    <w:basedOn w:val="Normalny"/>
    <w:link w:val="TekstprzypisukocowegoZnak"/>
    <w:uiPriority w:val="99"/>
    <w:semiHidden/>
    <w:unhideWhenUsed/>
    <w:rsid w:val="001D0BC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D0BCC"/>
    <w:rPr>
      <w:sz w:val="20"/>
      <w:szCs w:val="20"/>
    </w:rPr>
  </w:style>
  <w:style w:type="character" w:styleId="Odwoanieprzypisukocowego">
    <w:name w:val="endnote reference"/>
    <w:basedOn w:val="Domylnaczcionkaakapitu"/>
    <w:uiPriority w:val="99"/>
    <w:semiHidden/>
    <w:unhideWhenUsed/>
    <w:rsid w:val="001D0BCC"/>
    <w:rPr>
      <w:vertAlign w:val="superscript"/>
    </w:rPr>
  </w:style>
  <w:style w:type="character" w:customStyle="1" w:styleId="spellingerror">
    <w:name w:val="spellingerror"/>
    <w:basedOn w:val="Domylnaczcionkaakapitu"/>
    <w:rsid w:val="00AF1441"/>
  </w:style>
  <w:style w:type="character" w:customStyle="1" w:styleId="eop">
    <w:name w:val="eop"/>
    <w:basedOn w:val="Domylnaczcionkaakapitu"/>
    <w:rsid w:val="00A56A99"/>
  </w:style>
  <w:style w:type="paragraph" w:customStyle="1" w:styleId="ZCZWSPPKTzmczciwsppktartykuempunktem">
    <w:name w:val="Z/CZ_WSP_PKT – zm. części wsp. pkt artykułem (punktem)"/>
    <w:basedOn w:val="Normalny"/>
    <w:next w:val="Normalny"/>
    <w:uiPriority w:val="34"/>
    <w:qFormat/>
    <w:rsid w:val="00F65409"/>
    <w:pPr>
      <w:spacing w:after="0" w:line="360" w:lineRule="auto"/>
      <w:ind w:left="510"/>
      <w:jc w:val="both"/>
    </w:pPr>
    <w:rPr>
      <w:rFonts w:ascii="Times" w:eastAsiaTheme="minorEastAsia" w:hAnsi="Times" w:cs="Arial"/>
      <w:bCs/>
      <w:sz w:val="24"/>
      <w:szCs w:val="20"/>
      <w:lang w:eastAsia="pl-PL"/>
    </w:rPr>
  </w:style>
  <w:style w:type="character" w:styleId="Pogrubienie">
    <w:name w:val="Strong"/>
    <w:basedOn w:val="Domylnaczcionkaakapitu"/>
    <w:uiPriority w:val="22"/>
    <w:qFormat/>
    <w:rsid w:val="00645A0C"/>
    <w:rPr>
      <w:rFonts w:ascii="firabold" w:hAnsi="firabold" w:hint="default"/>
      <w:b w:val="0"/>
      <w:bCs w:val="0"/>
    </w:rPr>
  </w:style>
  <w:style w:type="paragraph" w:customStyle="1" w:styleId="USTustnpkodeksu">
    <w:name w:val="UST(§) – ust. (§ np. kodeksu)"/>
    <w:basedOn w:val="ARTartustawynprozporzdzenia"/>
    <w:uiPriority w:val="12"/>
    <w:qFormat/>
    <w:rsid w:val="003C13CD"/>
    <w:pPr>
      <w:spacing w:before="0"/>
    </w:pPr>
    <w:rPr>
      <w:bCs/>
    </w:rPr>
  </w:style>
  <w:style w:type="paragraph" w:styleId="Poprawka">
    <w:name w:val="Revision"/>
    <w:hidden/>
    <w:uiPriority w:val="99"/>
    <w:semiHidden/>
    <w:rsid w:val="002902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858674">
      <w:bodyDiv w:val="1"/>
      <w:marLeft w:val="0"/>
      <w:marRight w:val="0"/>
      <w:marTop w:val="0"/>
      <w:marBottom w:val="0"/>
      <w:divBdr>
        <w:top w:val="none" w:sz="0" w:space="0" w:color="auto"/>
        <w:left w:val="none" w:sz="0" w:space="0" w:color="auto"/>
        <w:bottom w:val="none" w:sz="0" w:space="0" w:color="auto"/>
        <w:right w:val="none" w:sz="0" w:space="0" w:color="auto"/>
      </w:divBdr>
      <w:divsChild>
        <w:div w:id="392126171">
          <w:marLeft w:val="0"/>
          <w:marRight w:val="0"/>
          <w:marTop w:val="0"/>
          <w:marBottom w:val="0"/>
          <w:divBdr>
            <w:top w:val="none" w:sz="0" w:space="0" w:color="auto"/>
            <w:left w:val="none" w:sz="0" w:space="0" w:color="auto"/>
            <w:bottom w:val="none" w:sz="0" w:space="0" w:color="auto"/>
            <w:right w:val="none" w:sz="0" w:space="0" w:color="auto"/>
          </w:divBdr>
        </w:div>
      </w:divsChild>
    </w:div>
    <w:div w:id="307899663">
      <w:bodyDiv w:val="1"/>
      <w:marLeft w:val="0"/>
      <w:marRight w:val="0"/>
      <w:marTop w:val="0"/>
      <w:marBottom w:val="0"/>
      <w:divBdr>
        <w:top w:val="none" w:sz="0" w:space="0" w:color="auto"/>
        <w:left w:val="none" w:sz="0" w:space="0" w:color="auto"/>
        <w:bottom w:val="none" w:sz="0" w:space="0" w:color="auto"/>
        <w:right w:val="none" w:sz="0" w:space="0" w:color="auto"/>
      </w:divBdr>
    </w:div>
    <w:div w:id="358050212">
      <w:bodyDiv w:val="1"/>
      <w:marLeft w:val="0"/>
      <w:marRight w:val="0"/>
      <w:marTop w:val="0"/>
      <w:marBottom w:val="0"/>
      <w:divBdr>
        <w:top w:val="none" w:sz="0" w:space="0" w:color="auto"/>
        <w:left w:val="none" w:sz="0" w:space="0" w:color="auto"/>
        <w:bottom w:val="none" w:sz="0" w:space="0" w:color="auto"/>
        <w:right w:val="none" w:sz="0" w:space="0" w:color="auto"/>
      </w:divBdr>
    </w:div>
    <w:div w:id="397359702">
      <w:bodyDiv w:val="1"/>
      <w:marLeft w:val="0"/>
      <w:marRight w:val="0"/>
      <w:marTop w:val="0"/>
      <w:marBottom w:val="0"/>
      <w:divBdr>
        <w:top w:val="none" w:sz="0" w:space="0" w:color="auto"/>
        <w:left w:val="none" w:sz="0" w:space="0" w:color="auto"/>
        <w:bottom w:val="none" w:sz="0" w:space="0" w:color="auto"/>
        <w:right w:val="none" w:sz="0" w:space="0" w:color="auto"/>
      </w:divBdr>
      <w:divsChild>
        <w:div w:id="1254053392">
          <w:marLeft w:val="0"/>
          <w:marRight w:val="0"/>
          <w:marTop w:val="0"/>
          <w:marBottom w:val="0"/>
          <w:divBdr>
            <w:top w:val="none" w:sz="0" w:space="0" w:color="auto"/>
            <w:left w:val="none" w:sz="0" w:space="0" w:color="auto"/>
            <w:bottom w:val="none" w:sz="0" w:space="0" w:color="auto"/>
            <w:right w:val="none" w:sz="0" w:space="0" w:color="auto"/>
          </w:divBdr>
        </w:div>
        <w:div w:id="1427112629">
          <w:marLeft w:val="0"/>
          <w:marRight w:val="0"/>
          <w:marTop w:val="0"/>
          <w:marBottom w:val="0"/>
          <w:divBdr>
            <w:top w:val="none" w:sz="0" w:space="0" w:color="auto"/>
            <w:left w:val="none" w:sz="0" w:space="0" w:color="auto"/>
            <w:bottom w:val="none" w:sz="0" w:space="0" w:color="auto"/>
            <w:right w:val="none" w:sz="0" w:space="0" w:color="auto"/>
          </w:divBdr>
        </w:div>
        <w:div w:id="1672485830">
          <w:marLeft w:val="0"/>
          <w:marRight w:val="0"/>
          <w:marTop w:val="0"/>
          <w:marBottom w:val="0"/>
          <w:divBdr>
            <w:top w:val="none" w:sz="0" w:space="0" w:color="auto"/>
            <w:left w:val="none" w:sz="0" w:space="0" w:color="auto"/>
            <w:bottom w:val="none" w:sz="0" w:space="0" w:color="auto"/>
            <w:right w:val="none" w:sz="0" w:space="0" w:color="auto"/>
          </w:divBdr>
        </w:div>
      </w:divsChild>
    </w:div>
    <w:div w:id="522940824">
      <w:bodyDiv w:val="1"/>
      <w:marLeft w:val="0"/>
      <w:marRight w:val="0"/>
      <w:marTop w:val="0"/>
      <w:marBottom w:val="0"/>
      <w:divBdr>
        <w:top w:val="none" w:sz="0" w:space="0" w:color="auto"/>
        <w:left w:val="none" w:sz="0" w:space="0" w:color="auto"/>
        <w:bottom w:val="none" w:sz="0" w:space="0" w:color="auto"/>
        <w:right w:val="none" w:sz="0" w:space="0" w:color="auto"/>
      </w:divBdr>
    </w:div>
    <w:div w:id="637878796">
      <w:bodyDiv w:val="1"/>
      <w:marLeft w:val="0"/>
      <w:marRight w:val="0"/>
      <w:marTop w:val="0"/>
      <w:marBottom w:val="0"/>
      <w:divBdr>
        <w:top w:val="none" w:sz="0" w:space="0" w:color="auto"/>
        <w:left w:val="none" w:sz="0" w:space="0" w:color="auto"/>
        <w:bottom w:val="none" w:sz="0" w:space="0" w:color="auto"/>
        <w:right w:val="none" w:sz="0" w:space="0" w:color="auto"/>
      </w:divBdr>
      <w:divsChild>
        <w:div w:id="101387505">
          <w:marLeft w:val="0"/>
          <w:marRight w:val="0"/>
          <w:marTop w:val="0"/>
          <w:marBottom w:val="0"/>
          <w:divBdr>
            <w:top w:val="none" w:sz="0" w:space="0" w:color="auto"/>
            <w:left w:val="none" w:sz="0" w:space="0" w:color="auto"/>
            <w:bottom w:val="none" w:sz="0" w:space="0" w:color="auto"/>
            <w:right w:val="none" w:sz="0" w:space="0" w:color="auto"/>
          </w:divBdr>
        </w:div>
        <w:div w:id="127481440">
          <w:marLeft w:val="0"/>
          <w:marRight w:val="0"/>
          <w:marTop w:val="0"/>
          <w:marBottom w:val="0"/>
          <w:divBdr>
            <w:top w:val="none" w:sz="0" w:space="0" w:color="auto"/>
            <w:left w:val="none" w:sz="0" w:space="0" w:color="auto"/>
            <w:bottom w:val="none" w:sz="0" w:space="0" w:color="auto"/>
            <w:right w:val="none" w:sz="0" w:space="0" w:color="auto"/>
          </w:divBdr>
        </w:div>
      </w:divsChild>
    </w:div>
    <w:div w:id="661932580">
      <w:bodyDiv w:val="1"/>
      <w:marLeft w:val="0"/>
      <w:marRight w:val="0"/>
      <w:marTop w:val="0"/>
      <w:marBottom w:val="0"/>
      <w:divBdr>
        <w:top w:val="none" w:sz="0" w:space="0" w:color="auto"/>
        <w:left w:val="none" w:sz="0" w:space="0" w:color="auto"/>
        <w:bottom w:val="none" w:sz="0" w:space="0" w:color="auto"/>
        <w:right w:val="none" w:sz="0" w:space="0" w:color="auto"/>
      </w:divBdr>
    </w:div>
    <w:div w:id="774712612">
      <w:bodyDiv w:val="1"/>
      <w:marLeft w:val="0"/>
      <w:marRight w:val="0"/>
      <w:marTop w:val="0"/>
      <w:marBottom w:val="0"/>
      <w:divBdr>
        <w:top w:val="none" w:sz="0" w:space="0" w:color="auto"/>
        <w:left w:val="none" w:sz="0" w:space="0" w:color="auto"/>
        <w:bottom w:val="none" w:sz="0" w:space="0" w:color="auto"/>
        <w:right w:val="none" w:sz="0" w:space="0" w:color="auto"/>
      </w:divBdr>
    </w:div>
    <w:div w:id="778329867">
      <w:bodyDiv w:val="1"/>
      <w:marLeft w:val="0"/>
      <w:marRight w:val="0"/>
      <w:marTop w:val="0"/>
      <w:marBottom w:val="0"/>
      <w:divBdr>
        <w:top w:val="none" w:sz="0" w:space="0" w:color="auto"/>
        <w:left w:val="none" w:sz="0" w:space="0" w:color="auto"/>
        <w:bottom w:val="none" w:sz="0" w:space="0" w:color="auto"/>
        <w:right w:val="none" w:sz="0" w:space="0" w:color="auto"/>
      </w:divBdr>
    </w:div>
    <w:div w:id="1190221317">
      <w:bodyDiv w:val="1"/>
      <w:marLeft w:val="0"/>
      <w:marRight w:val="0"/>
      <w:marTop w:val="0"/>
      <w:marBottom w:val="0"/>
      <w:divBdr>
        <w:top w:val="none" w:sz="0" w:space="0" w:color="auto"/>
        <w:left w:val="none" w:sz="0" w:space="0" w:color="auto"/>
        <w:bottom w:val="none" w:sz="0" w:space="0" w:color="auto"/>
        <w:right w:val="none" w:sz="0" w:space="0" w:color="auto"/>
      </w:divBdr>
    </w:div>
    <w:div w:id="1382555696">
      <w:bodyDiv w:val="1"/>
      <w:marLeft w:val="0"/>
      <w:marRight w:val="0"/>
      <w:marTop w:val="0"/>
      <w:marBottom w:val="0"/>
      <w:divBdr>
        <w:top w:val="none" w:sz="0" w:space="0" w:color="auto"/>
        <w:left w:val="none" w:sz="0" w:space="0" w:color="auto"/>
        <w:bottom w:val="none" w:sz="0" w:space="0" w:color="auto"/>
        <w:right w:val="none" w:sz="0" w:space="0" w:color="auto"/>
      </w:divBdr>
    </w:div>
    <w:div w:id="1394039977">
      <w:bodyDiv w:val="1"/>
      <w:marLeft w:val="0"/>
      <w:marRight w:val="0"/>
      <w:marTop w:val="0"/>
      <w:marBottom w:val="0"/>
      <w:divBdr>
        <w:top w:val="none" w:sz="0" w:space="0" w:color="auto"/>
        <w:left w:val="none" w:sz="0" w:space="0" w:color="auto"/>
        <w:bottom w:val="none" w:sz="0" w:space="0" w:color="auto"/>
        <w:right w:val="none" w:sz="0" w:space="0" w:color="auto"/>
      </w:divBdr>
    </w:div>
    <w:div w:id="1495104675">
      <w:bodyDiv w:val="1"/>
      <w:marLeft w:val="0"/>
      <w:marRight w:val="0"/>
      <w:marTop w:val="0"/>
      <w:marBottom w:val="0"/>
      <w:divBdr>
        <w:top w:val="none" w:sz="0" w:space="0" w:color="auto"/>
        <w:left w:val="none" w:sz="0" w:space="0" w:color="auto"/>
        <w:bottom w:val="none" w:sz="0" w:space="0" w:color="auto"/>
        <w:right w:val="none" w:sz="0" w:space="0" w:color="auto"/>
      </w:divBdr>
      <w:divsChild>
        <w:div w:id="1905942587">
          <w:marLeft w:val="0"/>
          <w:marRight w:val="0"/>
          <w:marTop w:val="0"/>
          <w:marBottom w:val="0"/>
          <w:divBdr>
            <w:top w:val="none" w:sz="0" w:space="0" w:color="auto"/>
            <w:left w:val="none" w:sz="0" w:space="0" w:color="auto"/>
            <w:bottom w:val="none" w:sz="0" w:space="0" w:color="auto"/>
            <w:right w:val="none" w:sz="0" w:space="0" w:color="auto"/>
          </w:divBdr>
          <w:divsChild>
            <w:div w:id="1080954390">
              <w:marLeft w:val="0"/>
              <w:marRight w:val="0"/>
              <w:marTop w:val="0"/>
              <w:marBottom w:val="0"/>
              <w:divBdr>
                <w:top w:val="none" w:sz="0" w:space="0" w:color="auto"/>
                <w:left w:val="none" w:sz="0" w:space="0" w:color="auto"/>
                <w:bottom w:val="none" w:sz="0" w:space="0" w:color="auto"/>
                <w:right w:val="none" w:sz="0" w:space="0" w:color="auto"/>
              </w:divBdr>
              <w:divsChild>
                <w:div w:id="656613914">
                  <w:marLeft w:val="0"/>
                  <w:marRight w:val="0"/>
                  <w:marTop w:val="0"/>
                  <w:marBottom w:val="0"/>
                  <w:divBdr>
                    <w:top w:val="none" w:sz="0" w:space="0" w:color="auto"/>
                    <w:left w:val="none" w:sz="0" w:space="0" w:color="auto"/>
                    <w:bottom w:val="none" w:sz="0" w:space="0" w:color="auto"/>
                    <w:right w:val="none" w:sz="0" w:space="0" w:color="auto"/>
                  </w:divBdr>
                  <w:divsChild>
                    <w:div w:id="111873720">
                      <w:marLeft w:val="0"/>
                      <w:marRight w:val="0"/>
                      <w:marTop w:val="420"/>
                      <w:marBottom w:val="0"/>
                      <w:divBdr>
                        <w:top w:val="none" w:sz="0" w:space="0" w:color="auto"/>
                        <w:left w:val="none" w:sz="0" w:space="0" w:color="auto"/>
                        <w:bottom w:val="none" w:sz="0" w:space="0" w:color="auto"/>
                        <w:right w:val="none" w:sz="0" w:space="0" w:color="auto"/>
                      </w:divBdr>
                      <w:divsChild>
                        <w:div w:id="1581988398">
                          <w:marLeft w:val="0"/>
                          <w:marRight w:val="0"/>
                          <w:marTop w:val="0"/>
                          <w:marBottom w:val="0"/>
                          <w:divBdr>
                            <w:top w:val="none" w:sz="0" w:space="0" w:color="auto"/>
                            <w:left w:val="none" w:sz="0" w:space="0" w:color="auto"/>
                            <w:bottom w:val="none" w:sz="0" w:space="0" w:color="auto"/>
                            <w:right w:val="none" w:sz="0" w:space="0" w:color="auto"/>
                          </w:divBdr>
                          <w:divsChild>
                            <w:div w:id="1582981012">
                              <w:marLeft w:val="0"/>
                              <w:marRight w:val="0"/>
                              <w:marTop w:val="0"/>
                              <w:marBottom w:val="0"/>
                              <w:divBdr>
                                <w:top w:val="none" w:sz="0" w:space="0" w:color="auto"/>
                                <w:left w:val="none" w:sz="0" w:space="0" w:color="auto"/>
                                <w:bottom w:val="none" w:sz="0" w:space="0" w:color="auto"/>
                                <w:right w:val="none" w:sz="0" w:space="0" w:color="auto"/>
                              </w:divBdr>
                              <w:divsChild>
                                <w:div w:id="2029939235">
                                  <w:marLeft w:val="0"/>
                                  <w:marRight w:val="0"/>
                                  <w:marTop w:val="0"/>
                                  <w:marBottom w:val="0"/>
                                  <w:divBdr>
                                    <w:top w:val="none" w:sz="0" w:space="0" w:color="auto"/>
                                    <w:left w:val="none" w:sz="0" w:space="0" w:color="auto"/>
                                    <w:bottom w:val="none" w:sz="0" w:space="0" w:color="auto"/>
                                    <w:right w:val="none" w:sz="0" w:space="0" w:color="auto"/>
                                  </w:divBdr>
                                  <w:divsChild>
                                    <w:div w:id="2090033439">
                                      <w:marLeft w:val="0"/>
                                      <w:marRight w:val="0"/>
                                      <w:marTop w:val="0"/>
                                      <w:marBottom w:val="0"/>
                                      <w:divBdr>
                                        <w:top w:val="none" w:sz="0" w:space="0" w:color="auto"/>
                                        <w:left w:val="none" w:sz="0" w:space="0" w:color="auto"/>
                                        <w:bottom w:val="none" w:sz="0" w:space="0" w:color="auto"/>
                                        <w:right w:val="none" w:sz="0" w:space="0" w:color="auto"/>
                                      </w:divBdr>
                                      <w:divsChild>
                                        <w:div w:id="1329988304">
                                          <w:marLeft w:val="0"/>
                                          <w:marRight w:val="0"/>
                                          <w:marTop w:val="0"/>
                                          <w:marBottom w:val="0"/>
                                          <w:divBdr>
                                            <w:top w:val="none" w:sz="0" w:space="0" w:color="auto"/>
                                            <w:left w:val="none" w:sz="0" w:space="0" w:color="auto"/>
                                            <w:bottom w:val="none" w:sz="0" w:space="0" w:color="auto"/>
                                            <w:right w:val="none" w:sz="0" w:space="0" w:color="auto"/>
                                          </w:divBdr>
                                          <w:divsChild>
                                            <w:div w:id="15732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768106">
      <w:bodyDiv w:val="1"/>
      <w:marLeft w:val="0"/>
      <w:marRight w:val="0"/>
      <w:marTop w:val="0"/>
      <w:marBottom w:val="0"/>
      <w:divBdr>
        <w:top w:val="none" w:sz="0" w:space="0" w:color="auto"/>
        <w:left w:val="none" w:sz="0" w:space="0" w:color="auto"/>
        <w:bottom w:val="none" w:sz="0" w:space="0" w:color="auto"/>
        <w:right w:val="none" w:sz="0" w:space="0" w:color="auto"/>
      </w:divBdr>
    </w:div>
    <w:div w:id="1784837430">
      <w:bodyDiv w:val="1"/>
      <w:marLeft w:val="0"/>
      <w:marRight w:val="0"/>
      <w:marTop w:val="0"/>
      <w:marBottom w:val="0"/>
      <w:divBdr>
        <w:top w:val="none" w:sz="0" w:space="0" w:color="auto"/>
        <w:left w:val="none" w:sz="0" w:space="0" w:color="auto"/>
        <w:bottom w:val="none" w:sz="0" w:space="0" w:color="auto"/>
        <w:right w:val="none" w:sz="0" w:space="0" w:color="auto"/>
      </w:divBdr>
    </w:div>
    <w:div w:id="1912275564">
      <w:bodyDiv w:val="1"/>
      <w:marLeft w:val="0"/>
      <w:marRight w:val="0"/>
      <w:marTop w:val="0"/>
      <w:marBottom w:val="0"/>
      <w:divBdr>
        <w:top w:val="none" w:sz="0" w:space="0" w:color="auto"/>
        <w:left w:val="none" w:sz="0" w:space="0" w:color="auto"/>
        <w:bottom w:val="none" w:sz="0" w:space="0" w:color="auto"/>
        <w:right w:val="none" w:sz="0" w:space="0" w:color="auto"/>
      </w:divBdr>
    </w:div>
    <w:div w:id="210345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cnrqga2teltqmfyc4nbqgqzdsmzvhe" TargetMode="External"/><Relationship Id="rId13" Type="http://schemas.openxmlformats.org/officeDocument/2006/relationships/hyperlink" Target="https://sip.legalis.pl/document-view.seam?documentId=mfrxilrtg4ytinbzgyztmltqmfyc4njsgeztiojvg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galis.pl/document-view.seam?documentId=mfrxilrtg4ytenzyha3toltqmfyc4nbug42tsmzqg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4ytinbzgyztmltqmfyc4njsgeztknzwg4" TargetMode="External"/><Relationship Id="rId5" Type="http://schemas.openxmlformats.org/officeDocument/2006/relationships/webSettings" Target="webSettings.xml"/><Relationship Id="rId15" Type="http://schemas.openxmlformats.org/officeDocument/2006/relationships/hyperlink" Target="https://sip.legalis.pl/document-view.seam?documentId=mfrxilrtg4ytenzyha3toltqmfyc4nbug42tsmbxgu" TargetMode="External"/><Relationship Id="rId10" Type="http://schemas.openxmlformats.org/officeDocument/2006/relationships/hyperlink" Target="https://sip.legalis.pl/document-view.seam?documentId=mfrxilrtg4ytinbzgyztmltqmfyc4njsgeztknzxha" TargetMode="External"/><Relationship Id="rId4" Type="http://schemas.openxmlformats.org/officeDocument/2006/relationships/settings" Target="settings.xml"/><Relationship Id="rId9" Type="http://schemas.openxmlformats.org/officeDocument/2006/relationships/hyperlink" Target="https://sip.legalis.pl/document-view.seam?documentId=mfrxilrtg4ytcnrqga2teltqmfyc4nbqgqzdsnbrg4" TargetMode="External"/><Relationship Id="rId14" Type="http://schemas.openxmlformats.org/officeDocument/2006/relationships/hyperlink" Target="https://sip.legalis.pl/document-view.seam?documentId=mfrxilrtg4ytenzyha3toltqmfyc4nbug42tsmzs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FB75B-6CEF-4C78-B6BA-E6A0AD78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90</Pages>
  <Words>30711</Words>
  <Characters>184267</Characters>
  <Application>Microsoft Office Word</Application>
  <DocSecurity>0</DocSecurity>
  <Lines>1535</Lines>
  <Paragraphs>429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2022-12-07T14:30:00Z</dcterms:created>
  <dcterms:modified xsi:type="dcterms:W3CDTF">2022-12-07T14:40:00Z</dcterms:modified>
</cp:coreProperties>
</file>