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BBE6F2" w14:textId="58B64C5C" w:rsidR="00072CA8" w:rsidRDefault="00872D85" w:rsidP="00872D85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872D85">
        <w:rPr>
          <w:rFonts w:ascii="Times New Roman" w:hAnsi="Times New Roman" w:cs="Times New Roman"/>
          <w:b/>
          <w:bCs/>
        </w:rPr>
        <w:t>Uzasadnienie</w:t>
      </w:r>
    </w:p>
    <w:p w14:paraId="649C53DD" w14:textId="5C4A3B72" w:rsidR="00872D85" w:rsidRDefault="00872D85" w:rsidP="00872D85">
      <w:pPr>
        <w:jc w:val="center"/>
        <w:rPr>
          <w:rFonts w:ascii="Times New Roman" w:hAnsi="Times New Roman" w:cs="Times New Roman"/>
          <w:b/>
          <w:bCs/>
        </w:rPr>
      </w:pPr>
    </w:p>
    <w:p w14:paraId="26D76F6A" w14:textId="632BA318" w:rsidR="00872D85" w:rsidRDefault="00872D85" w:rsidP="00C761F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Projekt ustawy o zmianie ustawy o Sądzie Najwyższym oraz niektórych innych ustaw</w:t>
      </w:r>
      <w:r w:rsidR="00C761F9">
        <w:rPr>
          <w:rFonts w:ascii="Times New Roman" w:hAnsi="Times New Roman" w:cs="Times New Roman"/>
        </w:rPr>
        <w:t xml:space="preserve"> ma na celu dokonanie niezbędnych zmian w organizacji Sądu Najwyższego oraz Naczelnego Sądu Administracyjnego</w:t>
      </w:r>
      <w:r w:rsidR="0013416B">
        <w:rPr>
          <w:rFonts w:ascii="Times New Roman" w:hAnsi="Times New Roman" w:cs="Times New Roman"/>
        </w:rPr>
        <w:t>,</w:t>
      </w:r>
      <w:r w:rsidR="00C761F9">
        <w:rPr>
          <w:rFonts w:ascii="Times New Roman" w:hAnsi="Times New Roman" w:cs="Times New Roman"/>
        </w:rPr>
        <w:t xml:space="preserve"> związanych z przypisaniem Naczelnemu Sądowi Administracyjnemu </w:t>
      </w:r>
      <w:r w:rsidR="00C761F9" w:rsidRPr="005C6F03">
        <w:rPr>
          <w:rFonts w:ascii="Times New Roman" w:hAnsi="Times New Roman" w:cs="Times New Roman"/>
        </w:rPr>
        <w:t>zadań związanych ze sprawowaniem</w:t>
      </w:r>
      <w:r w:rsidR="00C761F9">
        <w:rPr>
          <w:rFonts w:ascii="Times New Roman" w:hAnsi="Times New Roman" w:cs="Times New Roman"/>
        </w:rPr>
        <w:t xml:space="preserve"> funkcji sądu dyscyplinarnego dla sędziów </w:t>
      </w:r>
      <w:r w:rsidR="00CA60BB">
        <w:rPr>
          <w:rFonts w:ascii="Times New Roman" w:hAnsi="Times New Roman" w:cs="Times New Roman"/>
        </w:rPr>
        <w:t xml:space="preserve">Sądu Najwyższego oraz sędziów </w:t>
      </w:r>
      <w:r w:rsidR="00C761F9">
        <w:rPr>
          <w:rFonts w:ascii="Times New Roman" w:hAnsi="Times New Roman" w:cs="Times New Roman"/>
        </w:rPr>
        <w:t>sądów powszechnych</w:t>
      </w:r>
      <w:r w:rsidR="00CA60BB">
        <w:rPr>
          <w:rFonts w:ascii="Times New Roman" w:hAnsi="Times New Roman" w:cs="Times New Roman"/>
        </w:rPr>
        <w:t xml:space="preserve"> i</w:t>
      </w:r>
      <w:r w:rsidR="00C761F9">
        <w:rPr>
          <w:rFonts w:ascii="Times New Roman" w:hAnsi="Times New Roman" w:cs="Times New Roman"/>
        </w:rPr>
        <w:t xml:space="preserve"> sędziów sądów wojskowych</w:t>
      </w:r>
      <w:r w:rsidR="00F93022">
        <w:rPr>
          <w:rFonts w:ascii="Times New Roman" w:hAnsi="Times New Roman" w:cs="Times New Roman"/>
        </w:rPr>
        <w:t>.</w:t>
      </w:r>
    </w:p>
    <w:p w14:paraId="55112888" w14:textId="3866898A" w:rsidR="00C761F9" w:rsidRDefault="00C761F9" w:rsidP="00C761F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Ponadto projektowana ustawa służy doprecyzowaniu zasad odpowiedzialności dyscyplinarnej sędziów Sądu Najwyższego</w:t>
      </w:r>
      <w:r w:rsidR="00E652AB">
        <w:rPr>
          <w:rFonts w:ascii="Times New Roman" w:hAnsi="Times New Roman" w:cs="Times New Roman"/>
        </w:rPr>
        <w:t xml:space="preserve"> oraz sędziów sądów powszechnych, wojskowych i administracyjnych, w celu usunięcia wszelkich ewentualnych wątpliwości </w:t>
      </w:r>
      <w:r w:rsidR="0013416B">
        <w:rPr>
          <w:rFonts w:ascii="Times New Roman" w:hAnsi="Times New Roman" w:cs="Times New Roman"/>
        </w:rPr>
        <w:t xml:space="preserve">dotyczących stosowania </w:t>
      </w:r>
      <w:r w:rsidR="00E652AB">
        <w:rPr>
          <w:rFonts w:ascii="Times New Roman" w:hAnsi="Times New Roman" w:cs="Times New Roman"/>
        </w:rPr>
        <w:t xml:space="preserve">przepisów wprowadzonych ustawą z dnia 9 czerwca 2022 r. </w:t>
      </w:r>
      <w:r w:rsidR="00E652AB" w:rsidRPr="00E652AB">
        <w:rPr>
          <w:rFonts w:ascii="Times New Roman" w:hAnsi="Times New Roman" w:cs="Times New Roman"/>
          <w:i/>
          <w:iCs/>
        </w:rPr>
        <w:t>o zmianie ustawy o Sądzie Najwyższym oraz niektórych innych ustaw</w:t>
      </w:r>
      <w:r w:rsidR="00E652AB">
        <w:rPr>
          <w:rFonts w:ascii="Times New Roman" w:hAnsi="Times New Roman" w:cs="Times New Roman"/>
          <w:i/>
          <w:iCs/>
        </w:rPr>
        <w:t xml:space="preserve"> </w:t>
      </w:r>
      <w:r w:rsidR="00E652AB">
        <w:rPr>
          <w:rFonts w:ascii="Times New Roman" w:hAnsi="Times New Roman" w:cs="Times New Roman"/>
        </w:rPr>
        <w:t>(Dz. U. poz. 1259</w:t>
      </w:r>
      <w:r w:rsidR="00EF3514">
        <w:rPr>
          <w:rFonts w:ascii="Times New Roman" w:hAnsi="Times New Roman" w:cs="Times New Roman"/>
        </w:rPr>
        <w:t>, zwaną dalej „ustawą z dnia 9 czerwca 2022 r.”</w:t>
      </w:r>
      <w:r w:rsidR="00E652AB">
        <w:rPr>
          <w:rFonts w:ascii="Times New Roman" w:hAnsi="Times New Roman" w:cs="Times New Roman"/>
        </w:rPr>
        <w:t>) w zakresie w jakim przepisy te zapewniają, że nie może stanowić przewinienia dyscyplinarnego zachowanie sędziego znajdujące odzwierciedlenie w treści wydanego przez niego orzeczenia sądowego</w:t>
      </w:r>
      <w:r w:rsidR="006A4770">
        <w:rPr>
          <w:rFonts w:ascii="Times New Roman" w:hAnsi="Times New Roman" w:cs="Times New Roman"/>
        </w:rPr>
        <w:t>. Projektowana ustawa przesądza również, że deliktu dyscyplinarnego nie może stanowić badanie spełniania przez sędziego wymogów niezależności, bezstronności oraz ustanowienia na podstawie ustawy, niezależnie od tego w</w:t>
      </w:r>
      <w:r w:rsidR="00CA60BB">
        <w:rPr>
          <w:rFonts w:ascii="Times New Roman" w:hAnsi="Times New Roman" w:cs="Times New Roman"/>
        </w:rPr>
        <w:t> </w:t>
      </w:r>
      <w:r w:rsidR="006A4770">
        <w:rPr>
          <w:rFonts w:ascii="Times New Roman" w:hAnsi="Times New Roman" w:cs="Times New Roman"/>
        </w:rPr>
        <w:t xml:space="preserve">jakiej prawnie określonej procedurze </w:t>
      </w:r>
      <w:r w:rsidR="00E11A8E">
        <w:rPr>
          <w:rFonts w:ascii="Times New Roman" w:hAnsi="Times New Roman" w:cs="Times New Roman"/>
        </w:rPr>
        <w:t>weryfikowane są te wymogi</w:t>
      </w:r>
      <w:r w:rsidR="006A4770">
        <w:rPr>
          <w:rFonts w:ascii="Times New Roman" w:hAnsi="Times New Roman" w:cs="Times New Roman"/>
        </w:rPr>
        <w:t>.</w:t>
      </w:r>
    </w:p>
    <w:p w14:paraId="444337D5" w14:textId="41D6EE78" w:rsidR="00E11A8E" w:rsidRDefault="00E11A8E" w:rsidP="00C761F9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Intencją projektowanych zmian jest wyeliminowanie potencjalnych wątpliwości związanych z wykonaniem przez Rzeczpospolitą Polską zobowiązań wynikających</w:t>
      </w:r>
      <w:r w:rsidR="00770EC1">
        <w:rPr>
          <w:rFonts w:ascii="Times New Roman" w:hAnsi="Times New Roman" w:cs="Times New Roman"/>
        </w:rPr>
        <w:t xml:space="preserve"> z decyzji wykonawczej Rady (UE) </w:t>
      </w:r>
      <w:r w:rsidR="00EF3514">
        <w:rPr>
          <w:rFonts w:ascii="Times New Roman" w:hAnsi="Times New Roman" w:cs="Times New Roman"/>
        </w:rPr>
        <w:t xml:space="preserve">nr 9728/22 </w:t>
      </w:r>
      <w:r w:rsidR="00770EC1">
        <w:rPr>
          <w:rFonts w:ascii="Times New Roman" w:hAnsi="Times New Roman" w:cs="Times New Roman"/>
        </w:rPr>
        <w:t xml:space="preserve">z dnia 14 czerwca 2022 r. </w:t>
      </w:r>
      <w:r w:rsidR="00770EC1" w:rsidRPr="00770EC1">
        <w:rPr>
          <w:rFonts w:ascii="Times New Roman" w:hAnsi="Times New Roman" w:cs="Times New Roman"/>
          <w:i/>
          <w:iCs/>
        </w:rPr>
        <w:t>w sprawie zatwierdzenia oceny planu odbudowy i zwiększania odporności dla Polski</w:t>
      </w:r>
      <w:r w:rsidR="00EF3514">
        <w:rPr>
          <w:rFonts w:ascii="Times New Roman" w:hAnsi="Times New Roman" w:cs="Times New Roman"/>
          <w:i/>
          <w:iCs/>
        </w:rPr>
        <w:t xml:space="preserve"> </w:t>
      </w:r>
      <w:r w:rsidR="00EF3514">
        <w:rPr>
          <w:rFonts w:ascii="Times New Roman" w:hAnsi="Times New Roman" w:cs="Times New Roman"/>
        </w:rPr>
        <w:t>(zwanej dalej „decyzją wykonawczą Rady (UE)”)</w:t>
      </w:r>
      <w:r w:rsidR="00770EC1">
        <w:rPr>
          <w:rFonts w:ascii="Times New Roman" w:hAnsi="Times New Roman" w:cs="Times New Roman"/>
        </w:rPr>
        <w:t>,  na mocy której zatwierdzony został tzw. Krajowy Plan Odbudowy i Zwiększania Odporności (KPO), przewidujący realizację, w drodze odpowiednich zmian legislacyjnych, reformy wzmacniającej niezależność i bezstronność sądownictwa oraz zapewniającej odpowiednie środki prawne umożliwiające ponowne rozpoznanie spraw rozstrzygniętych uprzednio przez Izbę Dyscyplinarną Sądu Najwyższego</w:t>
      </w:r>
      <w:r w:rsidR="00EE303A">
        <w:rPr>
          <w:rFonts w:ascii="Times New Roman" w:hAnsi="Times New Roman" w:cs="Times New Roman"/>
        </w:rPr>
        <w:t xml:space="preserve"> (</w:t>
      </w:r>
      <w:r w:rsidR="00CA60BB">
        <w:rPr>
          <w:rFonts w:ascii="Times New Roman" w:hAnsi="Times New Roman" w:cs="Times New Roman"/>
        </w:rPr>
        <w:t xml:space="preserve">co odzwierciedlone jest w zawartych w KPO </w:t>
      </w:r>
      <w:r w:rsidR="00EE303A">
        <w:rPr>
          <w:rFonts w:ascii="Times New Roman" w:hAnsi="Times New Roman" w:cs="Times New Roman"/>
        </w:rPr>
        <w:t>kamieni</w:t>
      </w:r>
      <w:r w:rsidR="00CA60BB">
        <w:rPr>
          <w:rFonts w:ascii="Times New Roman" w:hAnsi="Times New Roman" w:cs="Times New Roman"/>
        </w:rPr>
        <w:t>ach</w:t>
      </w:r>
      <w:r w:rsidR="00EE303A">
        <w:rPr>
          <w:rFonts w:ascii="Times New Roman" w:hAnsi="Times New Roman" w:cs="Times New Roman"/>
        </w:rPr>
        <w:t xml:space="preserve"> milow</w:t>
      </w:r>
      <w:r w:rsidR="00CA60BB">
        <w:rPr>
          <w:rFonts w:ascii="Times New Roman" w:hAnsi="Times New Roman" w:cs="Times New Roman"/>
        </w:rPr>
        <w:t>ych</w:t>
      </w:r>
      <w:r w:rsidR="00EE303A">
        <w:rPr>
          <w:rFonts w:ascii="Times New Roman" w:hAnsi="Times New Roman" w:cs="Times New Roman"/>
        </w:rPr>
        <w:t xml:space="preserve"> F1G oraz F2G). </w:t>
      </w:r>
    </w:p>
    <w:p w14:paraId="11D73B85" w14:textId="2BC9604C" w:rsidR="00EE303A" w:rsidRDefault="005C6F03" w:rsidP="00DC73C3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Zmiany przewidziane w art. 1 pkt 1 i 4,</w:t>
      </w:r>
      <w:r w:rsidR="00DA0828">
        <w:rPr>
          <w:rFonts w:ascii="Times New Roman" w:hAnsi="Times New Roman" w:cs="Times New Roman"/>
        </w:rPr>
        <w:t xml:space="preserve"> art. 2 pkt 3, art. 3 pkt 4 i art. 4 pkt 3 </w:t>
      </w:r>
      <w:r w:rsidR="00BD6951">
        <w:rPr>
          <w:rFonts w:ascii="Times New Roman" w:hAnsi="Times New Roman" w:cs="Times New Roman"/>
        </w:rPr>
        <w:t>służą ustaleniu właściwości Naczelnego</w:t>
      </w:r>
      <w:r w:rsidR="00DA0828">
        <w:rPr>
          <w:rFonts w:ascii="Times New Roman" w:hAnsi="Times New Roman" w:cs="Times New Roman"/>
        </w:rPr>
        <w:t xml:space="preserve"> Sąd</w:t>
      </w:r>
      <w:r w:rsidR="00BD6951">
        <w:rPr>
          <w:rFonts w:ascii="Times New Roman" w:hAnsi="Times New Roman" w:cs="Times New Roman"/>
        </w:rPr>
        <w:t>u Administracyjnego jako sądu dyscyplinarnego</w:t>
      </w:r>
      <w:r w:rsidR="00DA0828" w:rsidRPr="00DA0828">
        <w:rPr>
          <w:rFonts w:ascii="Times New Roman" w:hAnsi="Times New Roman" w:cs="Times New Roman"/>
        </w:rPr>
        <w:t xml:space="preserve"> sędziów sądów powszechnych, sędziów sądów wojskowych oraz sędziów Sądu Najwyższego</w:t>
      </w:r>
      <w:r w:rsidR="00DA0828">
        <w:rPr>
          <w:rFonts w:ascii="Times New Roman" w:hAnsi="Times New Roman" w:cs="Times New Roman"/>
        </w:rPr>
        <w:t>.</w:t>
      </w:r>
      <w:r w:rsidR="00DA0828" w:rsidRPr="00DA0828">
        <w:rPr>
          <w:rFonts w:ascii="Times New Roman" w:hAnsi="Times New Roman" w:cs="Times New Roman"/>
        </w:rPr>
        <w:t xml:space="preserve"> </w:t>
      </w:r>
      <w:r w:rsidR="00DA0828">
        <w:rPr>
          <w:rFonts w:ascii="Times New Roman" w:hAnsi="Times New Roman" w:cs="Times New Roman"/>
        </w:rPr>
        <w:t>Z</w:t>
      </w:r>
      <w:r w:rsidR="00DC73C3">
        <w:rPr>
          <w:rFonts w:ascii="Times New Roman" w:hAnsi="Times New Roman" w:cs="Times New Roman"/>
        </w:rPr>
        <w:t xml:space="preserve">godnie ze zmianami proponowanymi do art. 73 § 1 pkt 1 i 2 ustawy o SN (art. 1 pkt 4 projektu), sądem dyscyplinarnym dla sędziów Sądu Najwyższego będzie w pierwszej instancji Naczelny Sąd Administracyjny w składzie 3 sędziów Naczelnego Sądu Administracyjnego, a w drugiej instancji – Naczelny Sąd Administracyjny w składzie 5 sędziów Naczelnego Sądu Administracyjnego </w:t>
      </w:r>
      <w:r w:rsidR="00DA0828">
        <w:rPr>
          <w:rFonts w:ascii="Times New Roman" w:hAnsi="Times New Roman" w:cs="Times New Roman"/>
        </w:rPr>
        <w:t>W</w:t>
      </w:r>
      <w:r w:rsidR="00DC73C3">
        <w:rPr>
          <w:rFonts w:ascii="Times New Roman" w:hAnsi="Times New Roman" w:cs="Times New Roman"/>
        </w:rPr>
        <w:t xml:space="preserve"> przypadku sędziów sądów powszechnych oraz wojskowych Naczelny Sąd Administracyjny będzie pełnił funkcję sądu dyscyplinarnego drugiej instancji, orzekając w składzie trzech sędziów Naczelnego Sądu Administracyjnego (odpowiednio art. </w:t>
      </w:r>
      <w:r w:rsidR="00DC73C3">
        <w:rPr>
          <w:rFonts w:ascii="Times New Roman" w:hAnsi="Times New Roman" w:cs="Times New Roman"/>
        </w:rPr>
        <w:lastRenderedPageBreak/>
        <w:t>2 pkt 3 lit. a tiret drugie projektu oraz art. 3 pkt 4 lit. a tiret drugie projektu).</w:t>
      </w:r>
      <w:r w:rsidR="00222A62">
        <w:rPr>
          <w:rFonts w:ascii="Times New Roman" w:hAnsi="Times New Roman" w:cs="Times New Roman"/>
        </w:rPr>
        <w:t xml:space="preserve"> W konsekwencji przypisania Naczelnemu Sądowi Administracyjnemu funkcji sądu dyscyplinarnego w sprawach dotyczących sędziów, sąd ten stanie się również właściwy w sprawach dotyczących zezwolenia na pociągnięcie sędziów bądź asesorów sądowych do odpowiedzialności karnej lub do zezwolenia na ich tymczasowe aresztowanie. Tzw. sprawy immunitetowe rozstrzyga bowiem właściwy sąd dyscyplinarny, co wynika z </w:t>
      </w:r>
      <w:r w:rsidR="000D46B4">
        <w:rPr>
          <w:rFonts w:ascii="Times New Roman" w:hAnsi="Times New Roman" w:cs="Times New Roman"/>
        </w:rPr>
        <w:t xml:space="preserve">przepisów </w:t>
      </w:r>
      <w:r w:rsidR="00222A62">
        <w:rPr>
          <w:rFonts w:ascii="Times New Roman" w:hAnsi="Times New Roman" w:cs="Times New Roman"/>
        </w:rPr>
        <w:t xml:space="preserve">art. 55 ustawy o SN oraz z </w:t>
      </w:r>
      <w:r w:rsidR="000D46B4">
        <w:rPr>
          <w:rFonts w:ascii="Times New Roman" w:hAnsi="Times New Roman" w:cs="Times New Roman"/>
        </w:rPr>
        <w:t xml:space="preserve">przepisów </w:t>
      </w:r>
      <w:r w:rsidR="00222A62">
        <w:rPr>
          <w:rFonts w:ascii="Times New Roman" w:hAnsi="Times New Roman" w:cs="Times New Roman"/>
        </w:rPr>
        <w:t xml:space="preserve">art. </w:t>
      </w:r>
      <w:r w:rsidR="000D46B4">
        <w:rPr>
          <w:rFonts w:ascii="Times New Roman" w:hAnsi="Times New Roman" w:cs="Times New Roman"/>
        </w:rPr>
        <w:t>80 ustawy z dnia 27 lipca 2001 r. – Prawo o ustroju sądów powszechnych (Dz. U. z 2020 r. poz. 2072, z późn. zm., zwanej dalej „PUSP”).</w:t>
      </w:r>
    </w:p>
    <w:p w14:paraId="6F99D9A6" w14:textId="72BD42DE" w:rsidR="00DC73C3" w:rsidRDefault="009C00B8" w:rsidP="001C604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DC73C3">
        <w:rPr>
          <w:rFonts w:ascii="Times New Roman" w:hAnsi="Times New Roman" w:cs="Times New Roman"/>
        </w:rPr>
        <w:t xml:space="preserve">miany przewidziane w art. 1 pkt 1 projektu mają charakter </w:t>
      </w:r>
      <w:r>
        <w:rPr>
          <w:rFonts w:ascii="Times New Roman" w:hAnsi="Times New Roman" w:cs="Times New Roman"/>
        </w:rPr>
        <w:t xml:space="preserve">wynikowy i </w:t>
      </w:r>
      <w:r w:rsidR="00DC73C3">
        <w:rPr>
          <w:rFonts w:ascii="Times New Roman" w:hAnsi="Times New Roman" w:cs="Times New Roman"/>
        </w:rPr>
        <w:t>porządkujący</w:t>
      </w:r>
      <w:r>
        <w:rPr>
          <w:rFonts w:ascii="Times New Roman" w:hAnsi="Times New Roman" w:cs="Times New Roman"/>
        </w:rPr>
        <w:t xml:space="preserve">. W przepisie tym </w:t>
      </w:r>
      <w:r w:rsidR="00DC73C3">
        <w:rPr>
          <w:rFonts w:ascii="Times New Roman" w:hAnsi="Times New Roman" w:cs="Times New Roman"/>
        </w:rPr>
        <w:t>doprecyzow</w:t>
      </w:r>
      <w:r>
        <w:rPr>
          <w:rFonts w:ascii="Times New Roman" w:hAnsi="Times New Roman" w:cs="Times New Roman"/>
        </w:rPr>
        <w:t>uje się</w:t>
      </w:r>
      <w:r w:rsidR="00DC73C3">
        <w:rPr>
          <w:rFonts w:ascii="Times New Roman" w:hAnsi="Times New Roman" w:cs="Times New Roman"/>
        </w:rPr>
        <w:t xml:space="preserve"> właściwość rzeczową Izby Odpowiedzialności Zawodowej Sądu Najwyższego w rozpatrywanych przez Sąd Najwyższy sprawach dyscyplinarnych</w:t>
      </w:r>
      <w:r w:rsidR="001C604B">
        <w:rPr>
          <w:rFonts w:ascii="Times New Roman" w:hAnsi="Times New Roman" w:cs="Times New Roman"/>
        </w:rPr>
        <w:t xml:space="preserve"> </w:t>
      </w:r>
      <w:r w:rsidR="001C604B" w:rsidRPr="001C604B">
        <w:rPr>
          <w:rFonts w:ascii="Times New Roman" w:hAnsi="Times New Roman" w:cs="Times New Roman"/>
        </w:rPr>
        <w:t>prowadzonych na podstawie</w:t>
      </w:r>
      <w:r w:rsidR="001C604B">
        <w:rPr>
          <w:rFonts w:ascii="Times New Roman" w:hAnsi="Times New Roman" w:cs="Times New Roman"/>
        </w:rPr>
        <w:t xml:space="preserve"> ustaw wskazanych w art. 27a § 1 pkt 1 lit. b tiret 1-5, 7 i 8 oraz 10-15 ustawy o SN, oraz </w:t>
      </w:r>
      <w:r w:rsidR="00DC73C3">
        <w:rPr>
          <w:rFonts w:ascii="Times New Roman" w:hAnsi="Times New Roman" w:cs="Times New Roman"/>
        </w:rPr>
        <w:t>w sprawach dotyczących zezwolenia na pociągnięcie do odpowiedzialności karnej</w:t>
      </w:r>
      <w:r w:rsidR="001C604B">
        <w:rPr>
          <w:rFonts w:ascii="Times New Roman" w:hAnsi="Times New Roman" w:cs="Times New Roman"/>
        </w:rPr>
        <w:t xml:space="preserve"> lub tymczasowe aresztowanie prokuratorów i asesorów prokuratury.  </w:t>
      </w:r>
    </w:p>
    <w:p w14:paraId="08D41A7D" w14:textId="064C2158" w:rsidR="00541E09" w:rsidRDefault="001B635C" w:rsidP="001C604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art. 1 pkt 2</w:t>
      </w:r>
      <w:r w:rsidR="00E36E0B">
        <w:rPr>
          <w:rFonts w:ascii="Times New Roman" w:hAnsi="Times New Roman" w:cs="Times New Roman"/>
        </w:rPr>
        <w:t xml:space="preserve"> projektu zawarte zostały mające charakter doprecyzowujący zmiany w przepisach obejmujących procedurę tzw. </w:t>
      </w:r>
      <w:r w:rsidR="00EF3514">
        <w:rPr>
          <w:rFonts w:ascii="Times New Roman" w:hAnsi="Times New Roman" w:cs="Times New Roman"/>
        </w:rPr>
        <w:t>testu</w:t>
      </w:r>
      <w:r w:rsidR="00E36E0B">
        <w:rPr>
          <w:rFonts w:ascii="Times New Roman" w:hAnsi="Times New Roman" w:cs="Times New Roman"/>
        </w:rPr>
        <w:t xml:space="preserve"> niezależności i bezstronności sędziego</w:t>
      </w:r>
      <w:r w:rsidR="00EF3514">
        <w:rPr>
          <w:rFonts w:ascii="Times New Roman" w:hAnsi="Times New Roman" w:cs="Times New Roman"/>
        </w:rPr>
        <w:t>, wprowadzonych ustawą z dnia 9 czerwca 2022 r. Mając na uwadze postanowienia zawarte w szczególności w pkt 46-49 preambuły do decyzji wykonawczej Rady (UE), w celu potwierdzenia możliwości badania w ramach przedmiotowej procedury wszystkich wymogów wynikających z art. 19 ust. 1 Traktatu o Unii Europejskiej</w:t>
      </w:r>
      <w:r w:rsidR="00305AAA">
        <w:rPr>
          <w:rFonts w:ascii="Times New Roman" w:hAnsi="Times New Roman" w:cs="Times New Roman"/>
        </w:rPr>
        <w:t xml:space="preserve"> projektowane nowe brzmienie przepisu art. 29 § 5 ustawy o SN zostało uzupełnione o wskazanie przesłanki „ustanowienia na podstawie ustawy”, a przepis § 4</w:t>
      </w:r>
      <w:r w:rsidR="00CA60BB">
        <w:rPr>
          <w:rFonts w:ascii="Times New Roman" w:hAnsi="Times New Roman" w:cs="Times New Roman"/>
        </w:rPr>
        <w:t>, zgodnie z art. 1 pkt 2 lit. a projektu,</w:t>
      </w:r>
      <w:r w:rsidR="00305AAA">
        <w:rPr>
          <w:rFonts w:ascii="Times New Roman" w:hAnsi="Times New Roman" w:cs="Times New Roman"/>
        </w:rPr>
        <w:t xml:space="preserve"> zostanie uchylony. Ponadto</w:t>
      </w:r>
      <w:r w:rsidR="009F1338">
        <w:rPr>
          <w:rFonts w:ascii="Times New Roman" w:hAnsi="Times New Roman" w:cs="Times New Roman"/>
        </w:rPr>
        <w:t>,</w:t>
      </w:r>
      <w:r w:rsidR="00305AAA">
        <w:rPr>
          <w:rFonts w:ascii="Times New Roman" w:hAnsi="Times New Roman" w:cs="Times New Roman"/>
        </w:rPr>
        <w:t xml:space="preserve"> w celu</w:t>
      </w:r>
      <w:r w:rsidR="009F1338">
        <w:rPr>
          <w:rFonts w:ascii="Times New Roman" w:hAnsi="Times New Roman" w:cs="Times New Roman"/>
        </w:rPr>
        <w:t xml:space="preserve"> umożliwienia zainicjowania procedury badania powyższych wymogów zarówno na wniosek strony lub innej uprawnionej osoby, jak i z urzędu, w</w:t>
      </w:r>
      <w:r w:rsidR="00AF7FE4">
        <w:rPr>
          <w:rFonts w:ascii="Times New Roman" w:hAnsi="Times New Roman" w:cs="Times New Roman"/>
        </w:rPr>
        <w:t> </w:t>
      </w:r>
      <w:r w:rsidR="009F1338">
        <w:rPr>
          <w:rFonts w:ascii="Times New Roman" w:hAnsi="Times New Roman" w:cs="Times New Roman"/>
        </w:rPr>
        <w:t xml:space="preserve">przepisie § 7 w art. 29 ustawy o SN przewidziane zostało stosowne uprawnienie do złożenia wniosku inicjującego procedurę testu niezależności i bezstronności sędziego adresowane do właściwego sądu. W sprawach rozpatrywanych w składach wieloosobowych członek składu orzekającego będzie zaś uprawniony do poinformowania przewodniczącego o wszelkich okolicznościach w ocenie tego sędziego uzasadniających złożenie z urzędu wniosku inicjującego przedmiotową procedurę. </w:t>
      </w:r>
    </w:p>
    <w:p w14:paraId="26FC46FD" w14:textId="272520D9" w:rsidR="001B635C" w:rsidRDefault="009F1338" w:rsidP="001C604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przewiduje wprowadzenie analogicznych zmian</w:t>
      </w:r>
      <w:r w:rsidR="00541E09">
        <w:rPr>
          <w:rFonts w:ascii="Times New Roman" w:hAnsi="Times New Roman" w:cs="Times New Roman"/>
        </w:rPr>
        <w:t xml:space="preserve"> również na poziomie przepisów PUSP (art. 3 pkt 2 projektu), oraz pozostałych ustrojowych ustaw sądowych, tj. ustawy z dnia 21 sierpnia 1997 r. – Prawo o ustroju sądów wojskowych (Dz. U. z 2020 r., z późn. zm., zwanej dalej „PUSW”) w art. 2 pkt 1 projektu oraz ustawy z dnia 25 lipca 2002 r. – Prawo o ustroju sądów administracyjnych (Dz. U. z 2021 r. poz. 137, z późn. zm., zwanej dalej „PUSA”) w art. 4 pkt 2 projektu.</w:t>
      </w:r>
    </w:p>
    <w:p w14:paraId="5669EDD0" w14:textId="16F21C20" w:rsidR="00541E09" w:rsidRDefault="00541E09" w:rsidP="001C604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Pozostałe zmiany w odniesieniu do procedury testu niezależności i bezstronności sędziego w ustawie o SN (art. 1 pkt 2 lit. e-j</w:t>
      </w:r>
      <w:r w:rsidR="00AF7FE4">
        <w:rPr>
          <w:rFonts w:ascii="Times New Roman" w:hAnsi="Times New Roman" w:cs="Times New Roman"/>
        </w:rPr>
        <w:t xml:space="preserve"> projektu</w:t>
      </w:r>
      <w:r>
        <w:rPr>
          <w:rFonts w:ascii="Times New Roman" w:hAnsi="Times New Roman" w:cs="Times New Roman"/>
        </w:rPr>
        <w:t xml:space="preserve">) mają na celu przypisanie </w:t>
      </w:r>
      <w:r w:rsidR="00AF7FE4">
        <w:rPr>
          <w:rFonts w:ascii="Times New Roman" w:hAnsi="Times New Roman" w:cs="Times New Roman"/>
        </w:rPr>
        <w:t xml:space="preserve">Naczelnemu Sądowi Administracyjnemu </w:t>
      </w:r>
      <w:r>
        <w:rPr>
          <w:rFonts w:ascii="Times New Roman" w:hAnsi="Times New Roman" w:cs="Times New Roman"/>
        </w:rPr>
        <w:t xml:space="preserve">właściwości w sprawach obejmujących ocenę wniosku o przeprowadzenie </w:t>
      </w:r>
      <w:r>
        <w:rPr>
          <w:rFonts w:ascii="Times New Roman" w:hAnsi="Times New Roman" w:cs="Times New Roman"/>
        </w:rPr>
        <w:lastRenderedPageBreak/>
        <w:t xml:space="preserve">przedmiotowego testu, </w:t>
      </w:r>
      <w:r w:rsidR="00A941DD">
        <w:rPr>
          <w:rFonts w:ascii="Times New Roman" w:hAnsi="Times New Roman" w:cs="Times New Roman"/>
        </w:rPr>
        <w:t>bez merytorycznej ingerencji w treść samej procedury. Projekt przewiduje zatem m.in., że powyższy wniosek będzie rozpoznawany przez Naczelny Sąd Administracyjny na posiedzeniu niejawnym w składzie 5 sędziów losowanych spośród całego składu Naczelnego Sądu Administracyjnego, w drugiej instancji w składzie 7 sędziów losowanych spośród całego składu Naczelnego Sądu Administracyjnego, a orzeczenie w przedmiocie wniosku powinno zostać wydane, zarówno w pierwszej jak i w drugiej instancji, w terminie dwóch tygodni, licząc odpowiednio od dnia złożenia wniosku albo od dnia wniesienia odwołania. Analogiczne zmiany zostały opisane w odniesieniu do przepisów PUSW (art. 2 pkt 1 lit. d) oraz PUSP (art. 3 pkt 1 lit. d oraz pkt 2).</w:t>
      </w:r>
    </w:p>
    <w:p w14:paraId="02820422" w14:textId="61BB3B1A" w:rsidR="00AF7FE4" w:rsidRDefault="00AF7FE4" w:rsidP="001C604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art. 1 pkt 3 projektu doprecyzowane zostały przepisy dotyczące wyłączenia odpowiedzialności dyscyplinarnej sędziów Sądu Najwyższego (art. 72 § 6 pkt 1 i 3 ustawy o SN), poprzez jednoznaczne wskazanie, że treść orzeczenia sądowego, również w zakresie obejmującym możliwe naruszenie przepisów art. 26</w:t>
      </w:r>
      <w:r w:rsidR="00165ED4">
        <w:rPr>
          <w:rFonts w:ascii="Times New Roman" w:hAnsi="Times New Roman" w:cs="Times New Roman"/>
        </w:rPr>
        <w:t xml:space="preserve"> § 3 lub art. 29 § 2 i 3 ustawy o SN,</w:t>
      </w:r>
      <w:r>
        <w:rPr>
          <w:rFonts w:ascii="Times New Roman" w:hAnsi="Times New Roman" w:cs="Times New Roman"/>
        </w:rPr>
        <w:t xml:space="preserve"> nie może stanowić podstawy do przypisania sędziemu Sądu Najwyższego popełnienia przewinienia dyscyplinarnego</w:t>
      </w:r>
      <w:r w:rsidR="00165ED4">
        <w:rPr>
          <w:rFonts w:ascii="Times New Roman" w:hAnsi="Times New Roman" w:cs="Times New Roman"/>
        </w:rPr>
        <w:t xml:space="preserve">. Natomiast w celu usunięcia ewentualnych wątpliwości w zakresie możliwości ponoszenia przez sędziego Sądu Najwyższego odpowiedzialności dyscyplinarnej za czyny związane z badaniem, w ramach wszelkich prawnie obowiązujących procedur, spełniania przez sędziego wymogów niezawisłości i bezstronności oraz ustanowienia na podstawie ustawy projektowanemu przepisowi art. 72 § 6 pkt 3 w ustawie o SN proponuje się nadać brzmienie zgodne z pierwotną intencją projektodawcy ustawy z dnia </w:t>
      </w:r>
      <w:r w:rsidR="005C6F03">
        <w:rPr>
          <w:rFonts w:ascii="Times New Roman" w:hAnsi="Times New Roman" w:cs="Times New Roman"/>
        </w:rPr>
        <w:t>9</w:t>
      </w:r>
      <w:r w:rsidR="00165ED4">
        <w:rPr>
          <w:rFonts w:ascii="Times New Roman" w:hAnsi="Times New Roman" w:cs="Times New Roman"/>
        </w:rPr>
        <w:t xml:space="preserve"> czerwca 2022 r. Analogiczne zmiany w zakresie wyłączenia odpowiedzialności dyscyplinarnej przewidziane zostały na poziomie PUSW (art. 1 pkt 2 projektu), PUSP (art. </w:t>
      </w:r>
      <w:r w:rsidR="00961157">
        <w:rPr>
          <w:rFonts w:ascii="Times New Roman" w:hAnsi="Times New Roman" w:cs="Times New Roman"/>
        </w:rPr>
        <w:t>3 pkt 3 projektu) oraz PUSA (art. 4 pkt 4 projektu).</w:t>
      </w:r>
    </w:p>
    <w:p w14:paraId="257CF9AF" w14:textId="11C9BE57" w:rsidR="00961157" w:rsidRDefault="00961157" w:rsidP="001C604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art. 5 – art. 10 projektu zawarte zostały przepisy przejściowe.</w:t>
      </w:r>
    </w:p>
    <w:p w14:paraId="0347829D" w14:textId="1DC49385" w:rsidR="00961157" w:rsidRDefault="00961157" w:rsidP="0096115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961157">
        <w:rPr>
          <w:rFonts w:ascii="Times New Roman" w:hAnsi="Times New Roman" w:cs="Times New Roman"/>
        </w:rPr>
        <w:t xml:space="preserve">W celu zapewnienia ciągłości rozpoznawania spraw pozostających obecnie we właściwości Izby Odpowiedzialności Zawodowej Sądu Najwyższego projektowany art. 5 przesądza, że </w:t>
      </w:r>
      <w:r w:rsidR="001B4E27">
        <w:rPr>
          <w:rFonts w:ascii="Times New Roman" w:hAnsi="Times New Roman" w:cs="Times New Roman"/>
        </w:rPr>
        <w:t xml:space="preserve">wszczęte i niezakończone do dnia wejścia w życie projektowanej ustawy </w:t>
      </w:r>
      <w:r w:rsidRPr="00961157">
        <w:rPr>
          <w:rFonts w:ascii="Times New Roman" w:hAnsi="Times New Roman" w:cs="Times New Roman"/>
        </w:rPr>
        <w:t>sprawy:</w:t>
      </w:r>
    </w:p>
    <w:p w14:paraId="0397BE4A" w14:textId="6F99C5F0" w:rsidR="00961157" w:rsidRDefault="00961157" w:rsidP="0096115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961157">
        <w:rPr>
          <w:rFonts w:ascii="Times New Roman" w:hAnsi="Times New Roman" w:cs="Times New Roman"/>
        </w:rPr>
        <w:t>dyscyplinarne sędziów Sądu Najwyższego, a także pozostałych sędziów i asesorów sądowych</w:t>
      </w:r>
      <w:r>
        <w:rPr>
          <w:rFonts w:ascii="Times New Roman" w:hAnsi="Times New Roman" w:cs="Times New Roman"/>
        </w:rPr>
        <w:t>,</w:t>
      </w:r>
    </w:p>
    <w:p w14:paraId="794B80E5" w14:textId="4C6949D1" w:rsidR="00961157" w:rsidRDefault="00961157" w:rsidP="0096115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tzw. sprawy immunitetowe, tj. dotyczące wydania uchwały w sprawie </w:t>
      </w:r>
      <w:r w:rsidR="005C6F03">
        <w:rPr>
          <w:rFonts w:ascii="Times New Roman" w:hAnsi="Times New Roman" w:cs="Times New Roman"/>
        </w:rPr>
        <w:t xml:space="preserve"> o zezwolenie na pociągnięcie </w:t>
      </w:r>
      <w:r>
        <w:rPr>
          <w:rFonts w:ascii="Times New Roman" w:hAnsi="Times New Roman" w:cs="Times New Roman"/>
        </w:rPr>
        <w:t>sędziego</w:t>
      </w:r>
      <w:r w:rsidR="001B4E27">
        <w:rPr>
          <w:rFonts w:ascii="Times New Roman" w:hAnsi="Times New Roman" w:cs="Times New Roman"/>
        </w:rPr>
        <w:t xml:space="preserve"> </w:t>
      </w:r>
      <w:r w:rsidR="005C6F03">
        <w:rPr>
          <w:rFonts w:ascii="Times New Roman" w:hAnsi="Times New Roman" w:cs="Times New Roman"/>
        </w:rPr>
        <w:t xml:space="preserve">lub asesora sądowego </w:t>
      </w:r>
      <w:r w:rsidR="001B4E27">
        <w:rPr>
          <w:rFonts w:ascii="Times New Roman" w:hAnsi="Times New Roman" w:cs="Times New Roman"/>
        </w:rPr>
        <w:t xml:space="preserve">do odpowiedzialności karnej, </w:t>
      </w:r>
    </w:p>
    <w:p w14:paraId="282662F3" w14:textId="7E41ABBE" w:rsidR="001B4E27" w:rsidRDefault="001B4E27" w:rsidP="0096115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sprawy o wznowienie postępowania w zakresie spraw rozstrzygniętych uprzednio przez Izbę Dyscyplinarną Sądu Najwyższego, prowadzone na podstawie art. 18 ustawy z dnia 9 czerwca 2022</w:t>
      </w:r>
      <w:r w:rsidR="009C00B8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r.,</w:t>
      </w:r>
    </w:p>
    <w:p w14:paraId="3E8906BC" w14:textId="2824C723" w:rsidR="001B4E27" w:rsidRDefault="001B4E27" w:rsidP="001B4E2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przejmuje do prowadzenia i kontynuuje Naczelny Sąd Administracyjny. Dla zapewnienia płynnego toku rozpatrywania ww. spraw czynności procesowe podjęte przed dniem wejścia w życie projektowanej ustawy pozostają w mocy, chyba że Naczelny Sąd Administracyjny postanowi inaczej.</w:t>
      </w:r>
    </w:p>
    <w:p w14:paraId="25F85B9D" w14:textId="189E1F95" w:rsidR="001B4E27" w:rsidRDefault="001B4E27" w:rsidP="001B4E2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Projektowany art. 6 umożliwi sędziom, którzy do dnia wejścia w życie projektowanej ustawy nie złożyli do Izby Odpowiedzialności Zawodowej Sądu Najwyższego wniosku o wznowienie postępowania na podstawie art. 18 ustawy z dnia 9 czerwca 2022 r., </w:t>
      </w:r>
      <w:r w:rsidR="008D2560">
        <w:rPr>
          <w:rFonts w:ascii="Times New Roman" w:hAnsi="Times New Roman" w:cs="Times New Roman"/>
        </w:rPr>
        <w:t xml:space="preserve">albo wobec których Izba Odpowiedzialności Zawodowej wydała już prawomocne orzeczenie w sprawie dotyczącej wznowienia postępowania, </w:t>
      </w:r>
      <w:r>
        <w:rPr>
          <w:rFonts w:ascii="Times New Roman" w:hAnsi="Times New Roman" w:cs="Times New Roman"/>
        </w:rPr>
        <w:t>złożenie stosownego wniosku bezpośrednio do Naczelnego Sądu Administracyjnego, w terminie 3 miesięcy od dnia wejścia w życie projektowanej ustawy. Do postępowania toczącego się w sprawie wniosku odpowiednie zastosowanie znajdą przepisy art. 18 ust. 3-6 oraz ust. 8 ustawy z dnia 9 czerwca 2022 r.</w:t>
      </w:r>
      <w:r w:rsidR="00E16C19">
        <w:rPr>
          <w:rFonts w:ascii="Times New Roman" w:hAnsi="Times New Roman" w:cs="Times New Roman"/>
        </w:rPr>
        <w:t>, co zapewni m.in., że pierwsze posiedzenie w sprawie wniosku o wznowienie postępowania powinno nastąpić nie później niż w terminie 3 miesięcy, licząc od dnia złożenia wniosku, zaś orzeczenie kończące postępowanie powinno zostać wydane przez Naczelny Sąd Administracyjny w terminie 12 miesięcy, licząc od dnia złożenia wniosku o wznowienie postępowania.</w:t>
      </w:r>
    </w:p>
    <w:p w14:paraId="016FCB54" w14:textId="4F24ACC7" w:rsidR="00E16C19" w:rsidRDefault="00E16C19" w:rsidP="001C604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Zgodnie z projektowanym art. 7 w sprawach dyscyplinarnych, do rozpoznawania których właściwy stanie się Naczelny Sąd Administracyjny, sąd ten z urzędu, na pierwszym posiedzeniu, rozpatrzy orzeczone przez Izbę Odpowiedzialności Zawodowej albo Izbę Dyscyplinarną Sądu Najwyższego zawieszenie sędziego w czynnościach służbowych, w związku z prowadzoną w stosunku do niego sprawą dyscyplinarną </w:t>
      </w:r>
      <w:r w:rsidRPr="00E16C19">
        <w:rPr>
          <w:rFonts w:ascii="Times New Roman" w:hAnsi="Times New Roman" w:cs="Times New Roman"/>
        </w:rPr>
        <w:t>albo wobec którego została wydana uchwała zezwalająca na pociągnięcie do odpowiedzialności karnej i obniżenie wynagrodzenia lub uposażenia sędziego na czas trwania zawieszenia sędziego w czynnościach służbowych albo postępowania dyscyplinarnego</w:t>
      </w:r>
      <w:r>
        <w:rPr>
          <w:rFonts w:ascii="Times New Roman" w:hAnsi="Times New Roman" w:cs="Times New Roman"/>
        </w:rPr>
        <w:t>. Projektowany przepis stanowi istotną gwarancję proceduralną dla sędziego obwinionego albo sędziego wobec którego wydano uchwałę zezwalającą na pociągnięcie do odpowiedzialności karnej, ponieważ umożliwi Naczelnemu Sądowi Administracyjnemu</w:t>
      </w:r>
      <w:r w:rsidR="00705C02">
        <w:rPr>
          <w:rFonts w:ascii="Times New Roman" w:hAnsi="Times New Roman" w:cs="Times New Roman"/>
        </w:rPr>
        <w:t xml:space="preserve"> niezwłoczne rozpatrzenie zastosowanych w przedmiotowych sprawach środków tymczasowych, i w uzasadnionych przypadkach ich niezwłoczne uchylenie.</w:t>
      </w:r>
    </w:p>
    <w:p w14:paraId="366A6EC7" w14:textId="35FC9EF1" w:rsidR="00705C02" w:rsidRDefault="00705C02" w:rsidP="001C604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Przepisy art. 8-10 projektu mają charakter stricte proceduralny i przewidują odpowiednio wydłużenie terminu przedawnienia w sprawach należących uprzednio do właściwości Izby Odpowiedzialności Zawodowej Sądu Najwyższego (art. 8), przekazanie przez Prezesa Sądu Najwyższego kierującego pracą Izby Odpowiedzialności Zawodowej Prezesowi Naczelnego Sądu Administracyjnego akt spraw, w których właściwość przejmuje Naczelny Sąd Administracyjny (art. 9) oraz przerwanie i liczenie od nowa z pierwszym dniem po przekazaniu akt do Naczelnego Sądu Administracyjnego terminów procesowych przewidzianych w ramach procedury tzw. testu niezależności i bezstronności sędziego (art. 10).</w:t>
      </w:r>
    </w:p>
    <w:p w14:paraId="376A439E" w14:textId="1A39A1B6" w:rsidR="00705C02" w:rsidRDefault="00705C02" w:rsidP="001C604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Przewiduje się, że projektowana ustawa wejdzie w życie po upływie 14 dni od dnia ogłoszenia, co stanowi standardowo przyjęty i adekwatny termin tzw. </w:t>
      </w:r>
      <w:r w:rsidRPr="00705C02">
        <w:rPr>
          <w:rFonts w:ascii="Times New Roman" w:hAnsi="Times New Roman" w:cs="Times New Roman"/>
          <w:i/>
          <w:iCs/>
        </w:rPr>
        <w:t>vacatio legis</w:t>
      </w:r>
      <w:r>
        <w:rPr>
          <w:rFonts w:ascii="Times New Roman" w:hAnsi="Times New Roman" w:cs="Times New Roman"/>
          <w:i/>
          <w:iCs/>
        </w:rPr>
        <w:t xml:space="preserve">, </w:t>
      </w:r>
      <w:r>
        <w:rPr>
          <w:rFonts w:ascii="Times New Roman" w:hAnsi="Times New Roman" w:cs="Times New Roman"/>
        </w:rPr>
        <w:t>umożliwiający adresatom projektowanych rozwiązań zapoznanie się z nimi i przygotowanie do właściwego ich stosowania.</w:t>
      </w:r>
    </w:p>
    <w:p w14:paraId="0696A94B" w14:textId="63BE5259" w:rsidR="006250A2" w:rsidRPr="006250A2" w:rsidRDefault="006250A2" w:rsidP="006250A2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6250A2">
        <w:rPr>
          <w:rFonts w:ascii="Times New Roman" w:hAnsi="Times New Roman" w:cs="Times New Roman"/>
        </w:rPr>
        <w:lastRenderedPageBreak/>
        <w:t xml:space="preserve">Uchwalenie projektowanej ustawy spowoduje </w:t>
      </w:r>
      <w:r w:rsidR="00EE6451">
        <w:rPr>
          <w:rFonts w:ascii="Times New Roman" w:hAnsi="Times New Roman" w:cs="Times New Roman"/>
        </w:rPr>
        <w:t>skutki finansowe</w:t>
      </w:r>
      <w:r w:rsidRPr="006250A2">
        <w:rPr>
          <w:rFonts w:ascii="Times New Roman" w:hAnsi="Times New Roman" w:cs="Times New Roman"/>
        </w:rPr>
        <w:t xml:space="preserve"> dla budżetu państwa, </w:t>
      </w:r>
      <w:r w:rsidR="00EE6451">
        <w:rPr>
          <w:rFonts w:ascii="Times New Roman" w:hAnsi="Times New Roman" w:cs="Times New Roman"/>
        </w:rPr>
        <w:t>które ze względu na charakter są trudne do oszacowania. Projekt nie wywiera skutków finansowych</w:t>
      </w:r>
      <w:r w:rsidRPr="006250A2">
        <w:rPr>
          <w:rFonts w:ascii="Times New Roman" w:hAnsi="Times New Roman" w:cs="Times New Roman"/>
        </w:rPr>
        <w:t xml:space="preserve"> dla budżetów jednostek samorządu terytorialnego.</w:t>
      </w:r>
    </w:p>
    <w:p w14:paraId="5CE95EF0" w14:textId="77777777" w:rsidR="006250A2" w:rsidRPr="006250A2" w:rsidRDefault="006250A2" w:rsidP="006250A2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6250A2">
        <w:rPr>
          <w:rFonts w:ascii="Times New Roman" w:hAnsi="Times New Roman" w:cs="Times New Roman"/>
        </w:rPr>
        <w:t>Projekt ustawy nie podlega obowiązkowi przedstawiania właściwym organom i instytucjom Unii Europejskiej, w tym Europejskiemu Bankowi Centralnemu, w celu uzyskania opinii, dokonania powiadomienia, konsultacji albo uzgodnienia.</w:t>
      </w:r>
    </w:p>
    <w:p w14:paraId="7FEBFBF8" w14:textId="77777777" w:rsidR="006250A2" w:rsidRPr="006250A2" w:rsidRDefault="006250A2" w:rsidP="006250A2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6250A2">
        <w:rPr>
          <w:rFonts w:ascii="Times New Roman" w:hAnsi="Times New Roman" w:cs="Times New Roman"/>
        </w:rPr>
        <w:t>Projektowana ustawa nie zawiera przepisów technicznych w rozumieniu przepisów rozporządzenia Rady Ministrów z dnia 23 grudnia 2002 r. w sprawie sposobu funkcjonowania krajowego systemu notyfikacji norm i aktów prawnych (Dz. U. poz. 2039 oraz 2004 r. poz. 597) i w związku z tym nie podlega notyfikacji.</w:t>
      </w:r>
    </w:p>
    <w:p w14:paraId="1B2E50AF" w14:textId="6E9761C7" w:rsidR="006250A2" w:rsidRPr="006250A2" w:rsidRDefault="006250A2" w:rsidP="006250A2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6250A2">
        <w:rPr>
          <w:rFonts w:ascii="Times New Roman" w:hAnsi="Times New Roman" w:cs="Times New Roman"/>
        </w:rPr>
        <w:t>Projektowana ustawa, poprzez wprowadzenie zmian w organizacji Sądu Najwyższego</w:t>
      </w:r>
      <w:r w:rsidR="00C03E08">
        <w:rPr>
          <w:rFonts w:ascii="Times New Roman" w:hAnsi="Times New Roman" w:cs="Times New Roman"/>
        </w:rPr>
        <w:t xml:space="preserve"> oraz Naczelnego Sądu Administracyjnego</w:t>
      </w:r>
      <w:r w:rsidRPr="006250A2">
        <w:rPr>
          <w:rFonts w:ascii="Times New Roman" w:hAnsi="Times New Roman" w:cs="Times New Roman"/>
        </w:rPr>
        <w:t>, będzie miała pozytywne skutki społeczne, gospodarcze i prawne, w tym dla sytuacji mikroprzedsiębiorców, małych i średnich przedsiębiorców</w:t>
      </w:r>
      <w:r w:rsidR="00C03E08">
        <w:rPr>
          <w:rFonts w:ascii="Times New Roman" w:hAnsi="Times New Roman" w:cs="Times New Roman"/>
        </w:rPr>
        <w:t>, poprzez wyeliminowanie wszelkich ewentualnych wątpliwości prawnych na tle zgodności rozwiązań dotyczących odpowiedzialności dyscyplinarnej oraz spraw immunitetowych sędziów z prawem Unii Europejskiej</w:t>
      </w:r>
      <w:r w:rsidRPr="006250A2">
        <w:rPr>
          <w:rFonts w:ascii="Times New Roman" w:hAnsi="Times New Roman" w:cs="Times New Roman"/>
        </w:rPr>
        <w:t>.</w:t>
      </w:r>
    </w:p>
    <w:p w14:paraId="5AD9F927" w14:textId="64DF13CC" w:rsidR="006250A2" w:rsidRPr="006250A2" w:rsidRDefault="00C03E08" w:rsidP="006250A2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powyższych względów treść projektowanej ustawy zgodna</w:t>
      </w:r>
      <w:r w:rsidR="006250A2" w:rsidRPr="006250A2">
        <w:rPr>
          <w:rFonts w:ascii="Times New Roman" w:hAnsi="Times New Roman" w:cs="Times New Roman"/>
        </w:rPr>
        <w:t xml:space="preserve"> jest </w:t>
      </w:r>
      <w:r>
        <w:rPr>
          <w:rFonts w:ascii="Times New Roman" w:hAnsi="Times New Roman" w:cs="Times New Roman"/>
        </w:rPr>
        <w:t xml:space="preserve">z przepisami </w:t>
      </w:r>
      <w:r w:rsidR="006250A2" w:rsidRPr="006250A2">
        <w:rPr>
          <w:rFonts w:ascii="Times New Roman" w:hAnsi="Times New Roman" w:cs="Times New Roman"/>
        </w:rPr>
        <w:t xml:space="preserve">prawa Unii Europejskiej. </w:t>
      </w:r>
    </w:p>
    <w:p w14:paraId="0826FC1B" w14:textId="77777777" w:rsidR="00A941DD" w:rsidRDefault="00A941DD" w:rsidP="001C604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21636DC7" w14:textId="77777777" w:rsidR="00305AAA" w:rsidRPr="00770EC1" w:rsidRDefault="00305AAA" w:rsidP="001C604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sectPr w:rsidR="00305AAA" w:rsidRPr="00770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2726D2" w14:textId="77777777" w:rsidR="00554C62" w:rsidRDefault="00554C62" w:rsidP="00C761F9">
      <w:pPr>
        <w:spacing w:after="0" w:line="240" w:lineRule="auto"/>
      </w:pPr>
      <w:r>
        <w:separator/>
      </w:r>
    </w:p>
  </w:endnote>
  <w:endnote w:type="continuationSeparator" w:id="0">
    <w:p w14:paraId="1AA18C03" w14:textId="77777777" w:rsidR="00554C62" w:rsidRDefault="00554C62" w:rsidP="00C76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47E922" w14:textId="77777777" w:rsidR="00554C62" w:rsidRDefault="00554C62" w:rsidP="00C761F9">
      <w:pPr>
        <w:spacing w:after="0" w:line="240" w:lineRule="auto"/>
      </w:pPr>
      <w:r>
        <w:separator/>
      </w:r>
    </w:p>
  </w:footnote>
  <w:footnote w:type="continuationSeparator" w:id="0">
    <w:p w14:paraId="5ECC9DD2" w14:textId="77777777" w:rsidR="00554C62" w:rsidRDefault="00554C62" w:rsidP="00C761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8504A"/>
    <w:multiLevelType w:val="hybridMultilevel"/>
    <w:tmpl w:val="D3889004"/>
    <w:lvl w:ilvl="0" w:tplc="D5409C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E42074F"/>
    <w:multiLevelType w:val="hybridMultilevel"/>
    <w:tmpl w:val="319211BA"/>
    <w:lvl w:ilvl="0" w:tplc="D5409C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312"/>
    <w:rsid w:val="00005364"/>
    <w:rsid w:val="00025BED"/>
    <w:rsid w:val="0002702C"/>
    <w:rsid w:val="00072CA8"/>
    <w:rsid w:val="0007564E"/>
    <w:rsid w:val="000D46B4"/>
    <w:rsid w:val="0013416B"/>
    <w:rsid w:val="00165ED4"/>
    <w:rsid w:val="001B4E27"/>
    <w:rsid w:val="001B635C"/>
    <w:rsid w:val="001C604B"/>
    <w:rsid w:val="002001F7"/>
    <w:rsid w:val="002226F8"/>
    <w:rsid w:val="00222A62"/>
    <w:rsid w:val="00305AAA"/>
    <w:rsid w:val="003F0C1D"/>
    <w:rsid w:val="004A6312"/>
    <w:rsid w:val="004C3097"/>
    <w:rsid w:val="004D126A"/>
    <w:rsid w:val="004E1DC3"/>
    <w:rsid w:val="00537DCD"/>
    <w:rsid w:val="00541E09"/>
    <w:rsid w:val="00546EC0"/>
    <w:rsid w:val="00553269"/>
    <w:rsid w:val="00554C62"/>
    <w:rsid w:val="005C6F03"/>
    <w:rsid w:val="006250A2"/>
    <w:rsid w:val="006A4770"/>
    <w:rsid w:val="00705C02"/>
    <w:rsid w:val="00713BD9"/>
    <w:rsid w:val="00715D62"/>
    <w:rsid w:val="00770EC1"/>
    <w:rsid w:val="00872D85"/>
    <w:rsid w:val="00876FFD"/>
    <w:rsid w:val="008D2560"/>
    <w:rsid w:val="00961157"/>
    <w:rsid w:val="00990D98"/>
    <w:rsid w:val="009B4A42"/>
    <w:rsid w:val="009C00B8"/>
    <w:rsid w:val="009D03CA"/>
    <w:rsid w:val="009D6C3D"/>
    <w:rsid w:val="009F1338"/>
    <w:rsid w:val="00A941DD"/>
    <w:rsid w:val="00A978CC"/>
    <w:rsid w:val="00AF7FE4"/>
    <w:rsid w:val="00B077FE"/>
    <w:rsid w:val="00BB27AC"/>
    <w:rsid w:val="00BD6951"/>
    <w:rsid w:val="00C03E08"/>
    <w:rsid w:val="00C761F9"/>
    <w:rsid w:val="00C95C81"/>
    <w:rsid w:val="00CA60BB"/>
    <w:rsid w:val="00DA0828"/>
    <w:rsid w:val="00DC73C3"/>
    <w:rsid w:val="00E11A8E"/>
    <w:rsid w:val="00E16C19"/>
    <w:rsid w:val="00E36E0B"/>
    <w:rsid w:val="00E652AB"/>
    <w:rsid w:val="00E85593"/>
    <w:rsid w:val="00E95EEE"/>
    <w:rsid w:val="00EB121D"/>
    <w:rsid w:val="00EE303A"/>
    <w:rsid w:val="00EE6451"/>
    <w:rsid w:val="00EF3514"/>
    <w:rsid w:val="00F9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E85B5"/>
  <w15:chartTrackingRefBased/>
  <w15:docId w15:val="{13A18895-FD91-4BD1-8B72-A1CAE49E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761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61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761F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13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133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1338"/>
    <w:rPr>
      <w:vertAlign w:val="superscript"/>
    </w:rPr>
  </w:style>
  <w:style w:type="paragraph" w:styleId="Akapitzlist">
    <w:name w:val="List Paragraph"/>
    <w:basedOn w:val="Normalny"/>
    <w:uiPriority w:val="34"/>
    <w:qFormat/>
    <w:rsid w:val="0096115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341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41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41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41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416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4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41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1F9DB-19A9-4BD9-9FD5-551B2A98D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1921</Words>
  <Characters>11532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Grażyna D. Grabowska</cp:lastModifiedBy>
  <cp:revision>2</cp:revision>
  <dcterms:created xsi:type="dcterms:W3CDTF">2022-12-13T22:46:00Z</dcterms:created>
  <dcterms:modified xsi:type="dcterms:W3CDTF">2022-12-13T22:46:00Z</dcterms:modified>
</cp:coreProperties>
</file>