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A9113" w14:textId="77777777" w:rsidR="00771FB9" w:rsidRPr="00FB4BB4" w:rsidRDefault="00771FB9" w:rsidP="002353A1">
      <w:pPr>
        <w:spacing w:after="240" w:line="360" w:lineRule="auto"/>
        <w:jc w:val="center"/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UZASADNIENIE</w:t>
      </w:r>
    </w:p>
    <w:p w14:paraId="73DC6762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ustawy o zmianie ustawy o ubezpieczeniu spo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ecznym rolników ma na celu m.in. zmian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 zakresie waloryzacji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emerytalno-rentowych rolniczych. Proponowana zmiana sprowadza si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do powi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zania wysoko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 emerytury podstawowej z kwot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 wysoko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 90% najni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szej emerytury okre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lonej w przepisach emerytalnych. Emerytura podstawowa stanowi podstaw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wymiaru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emerytalno-rentowych rolniczych, gdy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wiadczenia te wyp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 si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 kwocie odpowiadaj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cej iloczynowi wska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ź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nika wymiaru ustalanego na podstawie przepisów o ubezpieczeniu spo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ecznym rolników i aktualnej emerytury podstawowej. Obecnie emerytura podstawowa (od dnia 1 marca 2022 r. wynosi 1084,58 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) jest znacz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co 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sza od najni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szej emerytury (od dnia 1 marca 2022 r. wynosi 1338,44 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). </w:t>
      </w:r>
    </w:p>
    <w:p w14:paraId="69770080" w14:textId="0680C5E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Maj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 na wzgl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dzie,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e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wiadczenia rolnicze s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sto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sunkowo niskie, zaproponowane w 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przedmiotowym projekcie ustawy rozwi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zanie pozwoli zrekompensowa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ć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wiadczeniobiorcom ich oczekiwania w trakcie przysz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orocznej waloryzacji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emerytalno-rentowych rolniczych. Jest to szczególnie istotne z tego wzgl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du,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 z zapowiedzi dotycz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cych tegorocznej (w roku 2022) waloryzacji wynika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o,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e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wiadczenia wzrosn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o 7 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proc., a sposób waloryzacji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emerytalno-rentowych rolniczych nie pozwoli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osi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gn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ąć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tej warto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ci, co spotka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 si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 du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ym niezadowoleniem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wiadczeniobiorców. </w:t>
      </w:r>
    </w:p>
    <w:p w14:paraId="155B2FE7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Dodatkow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przes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ank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do zmian jest planowany wska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ź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nik waloryzacji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emerytalnych w roku 2023, na poziomie 13,8 proc. Obecny sposób waloryzacji rolniczych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emerytalno-rentowych nie gwarantowa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by podwy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ki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na przewidywanym poziomie. </w:t>
      </w:r>
    </w:p>
    <w:p w14:paraId="66497EFE" w14:textId="2ED9538D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zwi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zku z tym,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 zgodnie z projektem ustawy emerytura podstawowa b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dzie równa kwocie 90% najni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szej emerytury okre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lonej w przepisach emerytalnych, </w:t>
      </w:r>
      <w:r w:rsidR="00BD12AE"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by</w:t>
      </w:r>
      <w:r w:rsidR="00BD12AE"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="00BD12AE"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y 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konieczne zmi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any w art. 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48 i art. 48a ustawy o ubezpieczeniu spo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ecznym rolników.</w:t>
      </w:r>
    </w:p>
    <w:p w14:paraId="2C99BA74" w14:textId="48C26303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Dodanie art. 27a w projekcie ustawy jest konsekwencj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postulatów zg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aszanych przez rolników i organizacje rolnicze, których zdaniem krzywdz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ce jest to, </w:t>
      </w:r>
      <w:r w:rsidR="00BD12A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że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osoby op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ce podwójn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na ubezpieczenie emerytalno-rentowe lub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dodatkow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 tytu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 prowadzenia dzia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alno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 rolniczej w gospodarstwach rolnych o powierzchni powy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ej 50 ha przeliczeniowych nie uzyskuj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 tego tytu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 rekompensaty podczas ustalania prawa do emerytury rolniczej. Na podstawie tego przepisu b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dzie przys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ugiwa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takim osobom dodatek z 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tytu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 op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acania podwójnej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adki albo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adki dodatko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wej na ubezpieczenie emerytalno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noBreakHyphen/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rentowe. Projekt zak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ada,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 zarówno rolnikom op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cym podwójn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na 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ubezpieczenie emerytalno-rentowe, jak i rolnikom op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cym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dodatkow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BD12AE"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b</w:t>
      </w:r>
      <w:r w:rsidR="00BD12AE"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="00BD12AE"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dzie 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przys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ugiwa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ć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 oprócz cz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adkowej w wysoko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 1%, d</w:t>
      </w:r>
      <w:r w:rsidR="00CD0A13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odatek do emerytury rolniczej w </w:t>
      </w:r>
      <w:bookmarkStart w:id="0" w:name="_GoBack"/>
      <w:bookmarkEnd w:id="0"/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wysoko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 0,5% emerytury podstawowej za ka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dy rok op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acania podwójnej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adki na ubezpieczenie emerytalno-rentowe. Dodatek z tytu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 op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acania wy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szej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adki na ubezpieczenie emerytalno-rentowe nale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y do zakresu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pieni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nych z ubezpieczenia. Zatem maj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 na wzgl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dzie,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 zgodnie z art. 36 ust. 1 pkt 3 ustawy o ubezpieczeniu spo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ecznym rolników Prezes Kasy Rolniczego Ubezpieczenia Spo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ecznego, zwanej dalej „KRUS”, wydaje decyzje w sprawach ustalenia prawa do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pieni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nych z ubezpieczenia i ich indywidualnego wymiaru, równie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ustalenie prawa do tego dodatku nast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pi na podstawie decyzji Prezesa KRUS i na zasadach okre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lonych w ustawie o ubezpieczeniu spo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ecznym rolników. Nale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y dodatkowo wyja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ć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,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 dodatek z tytu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 op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acania podwójnej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adki na ubezpieczenie emerytalno-rentowe lub sk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adki dodatkowej b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dzie podlega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podwy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szaniu 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 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wyniku corocznej waloryzacji najni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szej emerytury okre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onej w przepisach emerytalnych.</w:t>
      </w:r>
    </w:p>
    <w:p w14:paraId="2092C85D" w14:textId="54620642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Proponowana w art. 1 pkt 5 zmiana wynika z potrzeby dopr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>ecyzowania regulacji zawartej w art. 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64 ust. 3 pkt 4 ustawy o ubezpieczeniu spo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ecznym rolników. Ustawa z dnia 28 kwietnia 2022 r. o zmianie ustawy o ubezpieczeniu spo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ecznym rolników (Dz. U. poz. 1155) wprowadzi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 zmian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art. 64 polegaj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na przeniesieniu z aktu wykonawczego do ustawy przepisów dotycz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cych warunków kierowania przez KRUS na rehabilitacj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lecznicz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. Do czasu wej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cia w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ycie ww. nowelizacji na rehabilitacj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lecznicz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by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 kierowane dzieci, je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eli by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 w wieku uprawniaj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cym do renty rodzinnej. W zwi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zku z powy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szym istnieje konieczno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ść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doprecyzowania zakresu podmiotowego w stosunku do osób uprawnionych do renty rodzinnej mog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cych skorzysta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ć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 rehabilitacji leczniczej przez szczegó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owe odniesienie si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do art. 29 ust. 2 pkt 1 i 2 ustawy o ubezpieczeniu spo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ecznym rolników. </w:t>
      </w:r>
    </w:p>
    <w:p w14:paraId="3A1D518E" w14:textId="35A86C09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art. 2 </w:t>
      </w:r>
      <w:r w:rsidR="00BD12AE"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zosta</w:t>
      </w:r>
      <w:r w:rsidR="00BD12AE"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="00BD12AE"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zaproponowany przepis przej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ciowy w zwi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zku z doprecyzowaniem regulacji zawartej w art. 64 ust. 3 pkt 4 ustawy o ubezpieczeniu spo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>ecznym rolników. Zgodnie z 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proponowanym przepisem osoby, które uzyska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 orzeczenie albo wniosek, o których mowa w art. 64 ust. 6 pkt 1 i 2 ustawy o ubezpieczeniu spo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ecznym rolników, je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eli to orzeczenie albo wniosek zostan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pozytywnie zaopiniowane przez lekarza regionalnego inspektora orzecznictwa lekarskiego KRUS, b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d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mog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 skorzysta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ć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 rehabilitacji leczniczej.</w:t>
      </w:r>
    </w:p>
    <w:p w14:paraId="11CE9027" w14:textId="3BD38B6F" w:rsidR="00771FB9" w:rsidRPr="00771FB9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Proponowane art. 3 i art. 4 stanowi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przepisy przej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ciowe przewidziane z my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l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 osobach, które w dniu wej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cia w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ycie projektowanej ustawy b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d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trakcie post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powania o ustalenie prawa do emerytury rolniczej b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d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ź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przed wej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ciem w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ycie projektowanej ustawy ustalono im prawo do tego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wiadczenia bez dodatku z tytu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 op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acania wy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szej sk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adki na ubezpieczenie 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emerytalno-rentowe. Regulacja zaproponowana w art. 3 dotyczy osób, które w dniu wej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>cia w 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ycie projektowanej ustawy jeszcze nie naby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y prawa do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wiadczenia emerytalnego, a s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 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trakcie post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powania o ustalenie prawa do tego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wiadczenia. Zatem ten przepis stanowi,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e w takim przypadku stosuje si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przepisy ustawy w brzmieniu nadanym projektowan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ustaw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i 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ma ona za zadanie wyeliminowanie w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tpliwo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ci, jakie regulacje maj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wtedy zastosowanie i 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tym samym u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atwienie i skrócenie post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powania. Regulacja zaproponowana w art. 4 dotyczy natomiast osób, które naby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 prawo do emerytury przed wej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ciem w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ycie przepisów projektowanej ustawy. Przepis stanowi,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e w takim przypadku organ rentowy ustali prawo do dodatku w terminie maksymalnie 6 miesi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 od dnia wej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cia w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ycie projektowanej ustawy. Przyznanie dodatku do emerytury z tytu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 op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acania podwójnej lub dodatkowej sk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adki na ubezpieczenie emerytalno-rentowe wymaga, oprócz konieczno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ci dostosowania systemów informatycznych, manualnej weryfikacji przez pracowników organu rentowego okresów podlegania ubezpieczeniu w jednym systemie informatycznym (</w:t>
      </w:r>
      <w:proofErr w:type="spellStart"/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nSIU</w:t>
      </w:r>
      <w:proofErr w:type="spellEnd"/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) oraz manualnego wprowadzenia danych do drugiego systemu (FARMER). Organ rentowy nie posiada w bazie danych szczegó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owych informacji na temat osób op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acaj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cych w przesz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ci sk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adki, z tytu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 których b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dzie przys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ugiwa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dodatek do emerytury rolniczej.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Co prawda posiada informacje o 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osobach op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acaj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cych sk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adki, z tytu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 których b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dzie przys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ugiwa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dodatek do emerytury rolniczej</w:t>
      </w:r>
      <w:r w:rsidR="0082620A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82620A">
        <w:rPr>
          <w:rFonts w:ascii="Times New Roman" w:eastAsia="Times New Roman" w:hAnsi="Times New Roman" w:cs="Times New Roman"/>
          <w:sz w:val="24"/>
          <w:szCs w:val="20"/>
          <w:lang w:eastAsia="pl-PL"/>
        </w:rPr>
        <w:t>n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iemniej dane te </w:t>
      </w:r>
      <w:r w:rsidR="0082620A"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s</w:t>
      </w:r>
      <w:r w:rsidR="0082620A"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="0082620A"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umieszczone w systemie informatycznym obs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uguj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cym osoby ubezpieczone (</w:t>
      </w:r>
      <w:proofErr w:type="spellStart"/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nSIU</w:t>
      </w:r>
      <w:proofErr w:type="spellEnd"/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) i nie ma mo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liwo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ci automatycznego ich przeniesienia do systemu obs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uguj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cego przyznawanie i wyp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at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ń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emerytalno-rentowych (FARMER).</w:t>
      </w:r>
      <w:r w:rsidR="0082620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771FB9">
        <w:rPr>
          <w:rFonts w:ascii="Times New Roman" w:eastAsia="Times New Roman" w:hAnsi="Times New Roman" w:cs="Times New Roman"/>
          <w:sz w:val="24"/>
          <w:szCs w:val="24"/>
          <w:lang w:eastAsia="pl-PL"/>
        </w:rPr>
        <w:t>Konsekwencją tego jest wskazanie maksymalnego terminu 6 miesięcy, w ciągu którego nastąpi ustalenie prawa do dodatku, który będzie przysługiwał tym osobom od dnia wejścia w życie projektowanej ustawy.</w:t>
      </w:r>
    </w:p>
    <w:p w14:paraId="3C7CDA4C" w14:textId="2FEB5750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FB9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Projektowane art. 5 i art. 6 są związane z szacowanym wzrostem kosztów funduszu emerytalno-rentowego. Konieczność ich dodania jest podyktowana potrzebą ustanowienia możliwości dokonania zwiększeni</w:t>
      </w:r>
      <w:r w:rsidRPr="003D2134">
        <w:rPr>
          <w:rFonts w:ascii="Times New Roman" w:eastAsia="Times New Roman" w:hAnsi="Times New Roman" w:cs="Times New Roman"/>
          <w:sz w:val="24"/>
          <w:szCs w:val="24"/>
          <w:lang w:eastAsia="pl-PL"/>
        </w:rPr>
        <w:t>a dot</w:t>
      </w:r>
      <w:r w:rsidRPr="00FB4BB4">
        <w:rPr>
          <w:rFonts w:ascii="Times New Roman" w:eastAsia="Times New Roman" w:hAnsi="Times New Roman" w:cs="Times New Roman"/>
          <w:sz w:val="24"/>
          <w:szCs w:val="24"/>
          <w:lang w:eastAsia="pl-PL"/>
        </w:rPr>
        <w:t>acji do funduszu emerytalno-rentowego w 2023 r., bowiem przepis art. 29 ust. 10 ustawy z dnia 27 sierpnia 2009 r. o finansach publicznych wskazuje, że zmiany planu finansowego państwowego funduszu celowego nie mogą powodować zwiększeni</w:t>
      </w:r>
      <w:r w:rsidR="0082620A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B4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z budżetu państwa. Z kolei art. 29 ust. 12 </w:t>
      </w:r>
      <w:r w:rsidR="00826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ww. </w:t>
      </w:r>
      <w:r w:rsidRPr="00FB4BB4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stanowi, że zmiany planu finansowego państwowego funduszu celowego dokonuje odpowiednio minister albo inny organ dysponujący tym funduszem po uzyskaniu zgody Ministra Finansów i opinii sejmowej komisji do spraw budżetu.</w:t>
      </w:r>
    </w:p>
    <w:p w14:paraId="1CCF5CF2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 xml:space="preserve">Projektowana ustawa wejdzie w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ycie po up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ywie 14 dni od dnia og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oszenia, z wyj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>tkiem art. 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1 pkt 1, 3 i 4, które wejd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ycie z dniem 1 marca 2023 r., a jest to wynik zmian b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d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cych konsekwencj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potrzeby zapewnienia odpowiedniej waloryzacji 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wiadcze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ń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emerytalno</w:t>
      </w:r>
      <w:r w:rsidR="005D0006">
        <w:rPr>
          <w:rFonts w:ascii="Times New Roman" w:eastAsia="Times New Roman" w:hAnsi="Times New Roman" w:cs="Times New Roman"/>
          <w:sz w:val="24"/>
          <w:szCs w:val="20"/>
          <w:lang w:eastAsia="pl-PL"/>
        </w:rPr>
        <w:noBreakHyphen/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>rentowych rolniczych w przysz</w:t>
      </w:r>
      <w:r w:rsidRPr="00FB4BB4">
        <w:rPr>
          <w:rFonts w:ascii="Times New Roman" w:eastAsia="Times New Roman" w:hAnsi="Times New Roman" w:cs="Times New Roman" w:hint="eastAsia"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ym roku. </w:t>
      </w:r>
    </w:p>
    <w:p w14:paraId="5A2D6064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nie wp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ynie na konkurencyjno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ść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gospodarki.</w:t>
      </w:r>
    </w:p>
    <w:p w14:paraId="19D7CA2D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Projektowane przepisy nie b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mia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y wp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ywu na sektor mikro-, ma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ych i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rednich przedsi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biorstw.</w:t>
      </w:r>
    </w:p>
    <w:p w14:paraId="0673DEC4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Projektowane przepisy spowoduj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podwy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ż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szenie przychodów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wiadczeniobiorców, co b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dzie mia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 pozytywny wp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yw na rodzin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 obywateli i gospodarstwa domowe oraz sytuacj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ę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osób niepe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nosprawnych i osób starszych.</w:t>
      </w:r>
    </w:p>
    <w:p w14:paraId="2635C472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jest zgodny z prawem Unii Europejskiej.</w:t>
      </w:r>
    </w:p>
    <w:p w14:paraId="77BE0893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Zgodnie z art. 5 ustawy z dnia 7 lipca 2005 r. o dzia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alno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ś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ci lobbingowej w procesie stanowienia prawa (Dz. U. z 2017 r. poz. 248) projekt ustawy zosta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zamieszczony na stronie internetowej Biuletynu Informacji Publicznej Ministerstwa Rolnictwa i Rozwoju Wsi oraz Rz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dowego Centrum Legislacji</w:t>
      </w:r>
      <w:r w:rsidR="00665C3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 w serwisie „Rządowy Proces Legislacyjny”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</w:p>
    <w:p w14:paraId="505BF453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ustawy nie wymaga przedstawienia organom i instytucjom Unii Europejskiej, w tym Europejskiemu Bankowi Centralnemu</w:t>
      </w:r>
      <w:r w:rsidR="005A4FC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 trybie § 27 ust. 4 uchwa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y nr 190 Rady Ministrów z 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dnia 29 pa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ź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dziernika 2013 r. 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–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Regulamin pracy Rady Ministrów (M.P. z 2022 r. poz. 348).</w:t>
      </w:r>
    </w:p>
    <w:p w14:paraId="72B8F6FB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ustawy nie zawiera przepisów technicznych, w zwi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zku z tym nie podlega notyfikacji w rozumieniu przepisów rozporz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ą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dzenia Rady Ministrów z dnia 23 grudnia 2002 r. w sprawie sposobu funkcjonowania krajowego systemu notyfikacji nor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m i aktów prawnych (Dz. U. poz. 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2039, z </w:t>
      </w:r>
      <w:proofErr w:type="spellStart"/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pó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ź</w:t>
      </w:r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</w:t>
      </w:r>
      <w:proofErr w:type="spellEnd"/>
      <w:r w:rsidR="005D00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 zm.).</w:t>
      </w:r>
    </w:p>
    <w:p w14:paraId="3CE7EB6D" w14:textId="77777777" w:rsidR="00771FB9" w:rsidRPr="00FB4BB4" w:rsidRDefault="00771FB9" w:rsidP="00FB4BB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ustawy zosta</w:t>
      </w:r>
      <w:r w:rsidRPr="00FB4BB4">
        <w:rPr>
          <w:rFonts w:ascii="Times New Roman" w:eastAsia="Times New Roman" w:hAnsi="Times New Roman" w:cs="Times New Roman" w:hint="eastAsia"/>
          <w:bCs/>
          <w:sz w:val="24"/>
          <w:szCs w:val="20"/>
          <w:lang w:eastAsia="pl-PL"/>
        </w:rPr>
        <w:t>ł</w:t>
      </w:r>
      <w:r w:rsidRPr="00FB4BB4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umieszczony w Wykazie prac legislacyjnych i programowych Rady Ministrów pod nr UD450.</w:t>
      </w:r>
    </w:p>
    <w:sectPr w:rsidR="00771FB9" w:rsidRPr="00FB4BB4" w:rsidSect="00FB4BB4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CEF25" w14:textId="77777777" w:rsidR="00142492" w:rsidRDefault="00142492" w:rsidP="00771FB9">
      <w:pPr>
        <w:spacing w:after="0" w:line="240" w:lineRule="auto"/>
      </w:pPr>
      <w:r>
        <w:separator/>
      </w:r>
    </w:p>
  </w:endnote>
  <w:endnote w:type="continuationSeparator" w:id="0">
    <w:p w14:paraId="4F02968B" w14:textId="77777777" w:rsidR="00142492" w:rsidRDefault="00142492" w:rsidP="0077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15282905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28D5A48" w14:textId="1DC9AC6F" w:rsidR="00771FB9" w:rsidRPr="00FB4BB4" w:rsidRDefault="00771FB9" w:rsidP="00FB4BB4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FB4BB4">
          <w:rPr>
            <w:rFonts w:ascii="Times New Roman" w:hAnsi="Times New Roman" w:cs="Times New Roman"/>
            <w:sz w:val="24"/>
          </w:rPr>
          <w:fldChar w:fldCharType="begin"/>
        </w:r>
        <w:r w:rsidRPr="00FB4BB4">
          <w:rPr>
            <w:rFonts w:ascii="Times New Roman" w:hAnsi="Times New Roman" w:cs="Times New Roman"/>
            <w:sz w:val="24"/>
          </w:rPr>
          <w:instrText>PAGE   \* MERGEFORMAT</w:instrText>
        </w:r>
        <w:r w:rsidRPr="00FB4BB4">
          <w:rPr>
            <w:rFonts w:ascii="Times New Roman" w:hAnsi="Times New Roman" w:cs="Times New Roman"/>
            <w:sz w:val="24"/>
          </w:rPr>
          <w:fldChar w:fldCharType="separate"/>
        </w:r>
        <w:r w:rsidR="00CD0A13">
          <w:rPr>
            <w:rFonts w:ascii="Times New Roman" w:hAnsi="Times New Roman" w:cs="Times New Roman"/>
            <w:noProof/>
            <w:sz w:val="24"/>
          </w:rPr>
          <w:t>4</w:t>
        </w:r>
        <w:r w:rsidRPr="00FB4BB4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3D7D4" w14:textId="77777777" w:rsidR="00142492" w:rsidRDefault="00142492" w:rsidP="00771FB9">
      <w:pPr>
        <w:spacing w:after="0" w:line="240" w:lineRule="auto"/>
      </w:pPr>
      <w:r>
        <w:separator/>
      </w:r>
    </w:p>
  </w:footnote>
  <w:footnote w:type="continuationSeparator" w:id="0">
    <w:p w14:paraId="273C1A81" w14:textId="77777777" w:rsidR="00142492" w:rsidRDefault="00142492" w:rsidP="00771F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FB9"/>
    <w:rsid w:val="00142492"/>
    <w:rsid w:val="0017127C"/>
    <w:rsid w:val="00171F35"/>
    <w:rsid w:val="002353A1"/>
    <w:rsid w:val="0033116C"/>
    <w:rsid w:val="003D2134"/>
    <w:rsid w:val="004470EB"/>
    <w:rsid w:val="00452B4F"/>
    <w:rsid w:val="00533CEF"/>
    <w:rsid w:val="005A4FCE"/>
    <w:rsid w:val="005B6FB6"/>
    <w:rsid w:val="005D0006"/>
    <w:rsid w:val="00665C36"/>
    <w:rsid w:val="00771FB9"/>
    <w:rsid w:val="00807F38"/>
    <w:rsid w:val="0082620A"/>
    <w:rsid w:val="0088661F"/>
    <w:rsid w:val="008F6AD4"/>
    <w:rsid w:val="00942468"/>
    <w:rsid w:val="009950E2"/>
    <w:rsid w:val="009E7F01"/>
    <w:rsid w:val="00A61B6C"/>
    <w:rsid w:val="00AC7D97"/>
    <w:rsid w:val="00B05482"/>
    <w:rsid w:val="00BD12AE"/>
    <w:rsid w:val="00C45020"/>
    <w:rsid w:val="00C94731"/>
    <w:rsid w:val="00CD0A13"/>
    <w:rsid w:val="00DD7E5C"/>
    <w:rsid w:val="00E36F2B"/>
    <w:rsid w:val="00FB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EF1BF"/>
  <w15:chartTrackingRefBased/>
  <w15:docId w15:val="{92B3C458-E638-4255-8551-1BE937AA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1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FB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1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1FB9"/>
  </w:style>
  <w:style w:type="paragraph" w:styleId="Stopka">
    <w:name w:val="footer"/>
    <w:basedOn w:val="Normalny"/>
    <w:link w:val="StopkaZnak"/>
    <w:uiPriority w:val="99"/>
    <w:unhideWhenUsed/>
    <w:rsid w:val="00771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1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1391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Trafisz Kinga</dc:creator>
  <cp:keywords/>
  <dc:description/>
  <cp:lastModifiedBy>Wójcik Aleksandra</cp:lastModifiedBy>
  <cp:revision>3</cp:revision>
  <dcterms:created xsi:type="dcterms:W3CDTF">2022-12-22T13:16:00Z</dcterms:created>
  <dcterms:modified xsi:type="dcterms:W3CDTF">2022-12-22T13:20:00Z</dcterms:modified>
</cp:coreProperties>
</file>