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972852" w14:textId="2B52633B" w:rsidR="00D674E7" w:rsidRDefault="00D674E7" w:rsidP="00D674E7"/>
    <w:p w14:paraId="37FEF3E6" w14:textId="2ED99A84" w:rsidR="00D674E7" w:rsidRDefault="00D674E7" w:rsidP="00D674E7"/>
    <w:p w14:paraId="19529FD9" w14:textId="77777777" w:rsidR="00A77846" w:rsidRDefault="00A77846" w:rsidP="00A77846">
      <w:pPr>
        <w:spacing w:line="360" w:lineRule="auto"/>
        <w:jc w:val="center"/>
        <w:rPr>
          <w:b/>
        </w:rPr>
      </w:pPr>
      <w:r>
        <w:rPr>
          <w:b/>
        </w:rPr>
        <w:t>Stanowisko Rady Ministrów</w:t>
      </w:r>
    </w:p>
    <w:p w14:paraId="10F7440B" w14:textId="758B457D" w:rsidR="00740937" w:rsidRDefault="00A77846" w:rsidP="00570F32">
      <w:pPr>
        <w:spacing w:line="360" w:lineRule="auto"/>
        <w:jc w:val="center"/>
        <w:rPr>
          <w:b/>
        </w:rPr>
      </w:pPr>
      <w:r>
        <w:rPr>
          <w:b/>
        </w:rPr>
        <w:t xml:space="preserve">wobec </w:t>
      </w:r>
      <w:bookmarkStart w:id="0" w:name="_GoBack"/>
      <w:r>
        <w:rPr>
          <w:b/>
        </w:rPr>
        <w:t xml:space="preserve">poselskiego projektu ustawy o zmianie ustawy o </w:t>
      </w:r>
      <w:r w:rsidR="00DD0E6D">
        <w:rPr>
          <w:b/>
        </w:rPr>
        <w:t xml:space="preserve">emeryturach i rentach </w:t>
      </w:r>
      <w:r w:rsidR="009523D2">
        <w:rPr>
          <w:b/>
        </w:rPr>
        <w:t>z</w:t>
      </w:r>
      <w:r w:rsidR="00DD0E6D">
        <w:rPr>
          <w:b/>
        </w:rPr>
        <w:t> </w:t>
      </w:r>
      <w:r w:rsidR="009523D2">
        <w:rPr>
          <w:b/>
        </w:rPr>
        <w:t>Funduszu Ubezpieczeń Społecznych (druk nr 290</w:t>
      </w:r>
      <w:r>
        <w:rPr>
          <w:b/>
        </w:rPr>
        <w:t>)</w:t>
      </w:r>
    </w:p>
    <w:bookmarkEnd w:id="0"/>
    <w:p w14:paraId="4DD63BAE" w14:textId="77777777" w:rsidR="0073021F" w:rsidRDefault="0073021F" w:rsidP="00A77846">
      <w:pPr>
        <w:spacing w:line="360" w:lineRule="auto"/>
        <w:jc w:val="both"/>
        <w:rPr>
          <w:b/>
        </w:rPr>
      </w:pPr>
    </w:p>
    <w:p w14:paraId="2EBC711B" w14:textId="77777777" w:rsidR="0073021F" w:rsidRDefault="0073021F" w:rsidP="00A77846">
      <w:pPr>
        <w:spacing w:line="360" w:lineRule="auto"/>
        <w:jc w:val="both"/>
        <w:rPr>
          <w:b/>
        </w:rPr>
      </w:pPr>
    </w:p>
    <w:p w14:paraId="0CB28DEB" w14:textId="77777777" w:rsidR="00A77846" w:rsidRDefault="00A77846" w:rsidP="00A77846">
      <w:pPr>
        <w:spacing w:line="360" w:lineRule="auto"/>
        <w:jc w:val="both"/>
        <w:rPr>
          <w:b/>
        </w:rPr>
      </w:pPr>
      <w:r>
        <w:rPr>
          <w:b/>
        </w:rPr>
        <w:t xml:space="preserve">I. Proponowane rozwiązania </w:t>
      </w:r>
    </w:p>
    <w:p w14:paraId="14C23310" w14:textId="45DA3FFF" w:rsidR="005D5BC2" w:rsidRDefault="00A77846" w:rsidP="006A4175">
      <w:pPr>
        <w:spacing w:line="360" w:lineRule="auto"/>
        <w:ind w:firstLine="708"/>
        <w:jc w:val="both"/>
      </w:pPr>
      <w:r>
        <w:t xml:space="preserve">Poselski projekt </w:t>
      </w:r>
      <w:r w:rsidR="00C679E9">
        <w:t xml:space="preserve">ustawy </w:t>
      </w:r>
      <w:r w:rsidR="006A4175">
        <w:t xml:space="preserve">dotyczy </w:t>
      </w:r>
      <w:r w:rsidR="00F81045">
        <w:t>dodania art.</w:t>
      </w:r>
      <w:r w:rsidR="00E7261B">
        <w:t xml:space="preserve"> </w:t>
      </w:r>
      <w:r w:rsidR="00F81045">
        <w:t>111a w ust</w:t>
      </w:r>
      <w:r w:rsidR="00DD0E6D">
        <w:t xml:space="preserve">awie z dnia 17 grudnia 1998 r. </w:t>
      </w:r>
      <w:r w:rsidR="00F81045">
        <w:t>o emeryturach i rentach z Funduszu Ubezpieczeń Społecznych (Dz.</w:t>
      </w:r>
      <w:r w:rsidR="00070A6C">
        <w:t xml:space="preserve"> </w:t>
      </w:r>
      <w:r w:rsidR="00F81045">
        <w:t>U. z 2020 r. poz. 53, z</w:t>
      </w:r>
      <w:r w:rsidR="00DD0E6D">
        <w:t> </w:t>
      </w:r>
      <w:proofErr w:type="spellStart"/>
      <w:r w:rsidR="00114074">
        <w:t>późn</w:t>
      </w:r>
      <w:proofErr w:type="spellEnd"/>
      <w:r w:rsidR="00114074">
        <w:t>.</w:t>
      </w:r>
      <w:r w:rsidR="00B40112">
        <w:t> </w:t>
      </w:r>
      <w:r w:rsidR="00114074">
        <w:t>zm.)</w:t>
      </w:r>
      <w:r w:rsidR="00E44246">
        <w:t>,</w:t>
      </w:r>
      <w:r w:rsidR="00474FEF">
        <w:t xml:space="preserve"> zwanej dalej „ustawą o emeryturach i rentach z FUS</w:t>
      </w:r>
      <w:r w:rsidR="00E44246">
        <w:t>”</w:t>
      </w:r>
      <w:r w:rsidR="001612CE">
        <w:t xml:space="preserve">. </w:t>
      </w:r>
    </w:p>
    <w:p w14:paraId="14957947" w14:textId="73A4BC91" w:rsidR="00911640" w:rsidRDefault="009B6219" w:rsidP="006A4175">
      <w:pPr>
        <w:spacing w:line="360" w:lineRule="auto"/>
        <w:ind w:firstLine="708"/>
        <w:jc w:val="both"/>
      </w:pPr>
      <w:r>
        <w:t>Zgodnie z proponowaną regulacją</w:t>
      </w:r>
      <w:r w:rsidR="00114074">
        <w:t xml:space="preserve"> </w:t>
      </w:r>
      <w:r w:rsidR="00911640">
        <w:t xml:space="preserve">w przypadku osób występujących o ponowne obliczenie wysokości emerytury i renty, którym </w:t>
      </w:r>
      <w:r w:rsidR="00F81045">
        <w:t>przysługiwało świadczenie emerytalne na</w:t>
      </w:r>
      <w:r w:rsidR="00B40112">
        <w:t> </w:t>
      </w:r>
      <w:r w:rsidR="00F81045">
        <w:t>pods</w:t>
      </w:r>
      <w:r w:rsidR="002E1960">
        <w:t>tawie ustawy z dnia 1 lutego 198</w:t>
      </w:r>
      <w:r w:rsidR="00F81045">
        <w:t xml:space="preserve">3 r. o zaopatrzeniu emerytalnym </w:t>
      </w:r>
      <w:r w:rsidR="00114074">
        <w:t xml:space="preserve">górników i ich rodzin (Dz. U. z 1995 r. poz. 154, z </w:t>
      </w:r>
      <w:proofErr w:type="spellStart"/>
      <w:r w:rsidR="00114074">
        <w:t>późn</w:t>
      </w:r>
      <w:proofErr w:type="spellEnd"/>
      <w:r w:rsidR="00114074">
        <w:t>. zm.</w:t>
      </w:r>
      <w:r w:rsidR="005A3C0B">
        <w:t>)</w:t>
      </w:r>
      <w:r w:rsidR="00022B07">
        <w:t>, zwanej dalej „ustawą o zaopatrzeniu</w:t>
      </w:r>
      <w:r w:rsidR="00E90BE5">
        <w:t xml:space="preserve"> </w:t>
      </w:r>
      <w:r w:rsidR="00022B07">
        <w:t>emerytalnym górników i ich rodzin”</w:t>
      </w:r>
      <w:r w:rsidR="00B40112">
        <w:t>,</w:t>
      </w:r>
      <w:r w:rsidR="00911640">
        <w:t xml:space="preserve"> i</w:t>
      </w:r>
      <w:r w:rsidR="001612CE">
        <w:t xml:space="preserve"> </w:t>
      </w:r>
      <w:r w:rsidR="00E7261B">
        <w:t xml:space="preserve">których </w:t>
      </w:r>
      <w:r w:rsidR="00911640">
        <w:t>świadczenia zostały ustalone przed dniem 31 grudnia 1998 r.</w:t>
      </w:r>
      <w:r w:rsidR="00B40112">
        <w:t>,</w:t>
      </w:r>
      <w:r w:rsidR="00911640">
        <w:t xml:space="preserve"> organ rentowy przeprowadzałby </w:t>
      </w:r>
      <w:r w:rsidR="00E44246">
        <w:t>postę</w:t>
      </w:r>
      <w:r w:rsidR="00911640">
        <w:t xml:space="preserve">powanie w oparciu o dowody znane organowi z urzędu. W przypadku tych osób </w:t>
      </w:r>
      <w:r w:rsidR="0073021F">
        <w:t>niestosowana byłaby</w:t>
      </w:r>
      <w:r w:rsidR="00E44246">
        <w:t xml:space="preserve"> regulacja art.</w:t>
      </w:r>
      <w:r w:rsidR="00070A6C">
        <w:t xml:space="preserve"> 116 ust. 5 ustawy o emeryturach i</w:t>
      </w:r>
      <w:r w:rsidR="00A43C8B">
        <w:t> </w:t>
      </w:r>
      <w:r w:rsidR="00070A6C">
        <w:t>rentach z FUS, na podstawie której</w:t>
      </w:r>
      <w:r w:rsidR="00517E91">
        <w:t xml:space="preserve"> do wniosku w sprawie przyznania świadczeń powinny być dołączone dowody uzasadniające prawo do świadczeń </w:t>
      </w:r>
      <w:r w:rsidR="00774C53">
        <w:t xml:space="preserve">oraz </w:t>
      </w:r>
      <w:r w:rsidR="00517E91">
        <w:t>ic</w:t>
      </w:r>
      <w:r w:rsidR="00E7261B">
        <w:t xml:space="preserve">h wysokości określone w drodze rozporządzenia przez ministra właściwego do spraw zabezpieczenia społecznego. </w:t>
      </w:r>
    </w:p>
    <w:p w14:paraId="455A4334" w14:textId="34A5550D" w:rsidR="006A4175" w:rsidRDefault="00222B66" w:rsidP="00F7409A">
      <w:pPr>
        <w:spacing w:line="360" w:lineRule="auto"/>
        <w:ind w:firstLine="708"/>
        <w:jc w:val="both"/>
      </w:pPr>
      <w:r>
        <w:t xml:space="preserve">Projektowana </w:t>
      </w:r>
      <w:r w:rsidR="00B0633D">
        <w:t>regulacj</w:t>
      </w:r>
      <w:r>
        <w:t>a zakłada ponadto</w:t>
      </w:r>
      <w:r w:rsidR="00B0633D">
        <w:t>,</w:t>
      </w:r>
      <w:r>
        <w:t xml:space="preserve"> że</w:t>
      </w:r>
      <w:r w:rsidR="00B0633D">
        <w:t xml:space="preserve"> jeżeli </w:t>
      </w:r>
      <w:r w:rsidR="00F41D26">
        <w:t>po przeprowadzeniu postę</w:t>
      </w:r>
      <w:r w:rsidR="00B0633D">
        <w:t>powania przez organ rentow</w:t>
      </w:r>
      <w:r w:rsidR="00027E8A">
        <w:t>y ujawnione dowody nie pozwalałyby</w:t>
      </w:r>
      <w:r w:rsidR="00B0633D">
        <w:t xml:space="preserve"> na jednoznaczne </w:t>
      </w:r>
      <w:r w:rsidR="00F41D26">
        <w:t>ustalenie wskaźnika wysokoś</w:t>
      </w:r>
      <w:r w:rsidR="00B0633D">
        <w:t>ci podstawy</w:t>
      </w:r>
      <w:r w:rsidR="00F41D26">
        <w:t xml:space="preserve"> </w:t>
      </w:r>
      <w:r w:rsidR="00027E8A">
        <w:t>wymiaru emerytury, przyjmowana byłaby</w:t>
      </w:r>
      <w:r w:rsidR="00F41D26">
        <w:t xml:space="preserve"> średnia wartość wynagrodzeń osoby składającej wniosek z roku wskazanego przez wnioskodawcę</w:t>
      </w:r>
      <w:r w:rsidR="00C6551E">
        <w:t>,</w:t>
      </w:r>
      <w:r w:rsidR="00F41D26">
        <w:t xml:space="preserve"> uwzględniając przy tym składniki wynagrodzenia, od których nie były naliczone składki na ubezpieczenie emerytalne i</w:t>
      </w:r>
      <w:r w:rsidR="00A43C8B">
        <w:t> </w:t>
      </w:r>
      <w:r w:rsidR="00F41D26">
        <w:t xml:space="preserve">rentowe. </w:t>
      </w:r>
    </w:p>
    <w:p w14:paraId="3BB1D3CE" w14:textId="5E2920BB" w:rsidR="006E222C" w:rsidRDefault="006E222C" w:rsidP="00F7409A">
      <w:pPr>
        <w:spacing w:line="360" w:lineRule="auto"/>
        <w:ind w:firstLine="708"/>
        <w:jc w:val="both"/>
      </w:pPr>
      <w:r>
        <w:t xml:space="preserve">Wnioskodawcy w uzasadnieniu do projektu ustawy wskazują, że projektowane rozwiązania zmierzają do przerzucenia ciężaru </w:t>
      </w:r>
      <w:r w:rsidR="00774C53">
        <w:t>dowodu</w:t>
      </w:r>
      <w:r w:rsidR="00581B8D">
        <w:t xml:space="preserve"> w post</w:t>
      </w:r>
      <w:r w:rsidR="00660FF9">
        <w:t>ę</w:t>
      </w:r>
      <w:r w:rsidR="00486576">
        <w:t xml:space="preserve">powaniach o ponowne obliczenie wysokości świadczeń </w:t>
      </w:r>
      <w:proofErr w:type="spellStart"/>
      <w:r w:rsidR="00486576">
        <w:t>em</w:t>
      </w:r>
      <w:r w:rsidR="003870BE">
        <w:t>e</w:t>
      </w:r>
      <w:r w:rsidR="00074EDD">
        <w:t>rytalno</w:t>
      </w:r>
      <w:proofErr w:type="spellEnd"/>
      <w:r w:rsidR="00074EDD">
        <w:t>–</w:t>
      </w:r>
      <w:r w:rsidR="00486576">
        <w:t>rentowych na organ rentowy</w:t>
      </w:r>
      <w:r w:rsidR="00027E8A">
        <w:t xml:space="preserve">, gdyż </w:t>
      </w:r>
      <w:r w:rsidR="00774C53">
        <w:t xml:space="preserve">według projektodawców </w:t>
      </w:r>
      <w:r w:rsidR="00027E8A">
        <w:t>posiada on często wiedzę</w:t>
      </w:r>
      <w:r w:rsidR="00774C53">
        <w:t>,</w:t>
      </w:r>
      <w:r w:rsidR="00027E8A">
        <w:t xml:space="preserve"> </w:t>
      </w:r>
      <w:r w:rsidR="00486576">
        <w:t>gdzie znajdują się zbiory dokumentów ze</w:t>
      </w:r>
      <w:r w:rsidR="00A43C8B">
        <w:t> </w:t>
      </w:r>
      <w:r w:rsidR="00486576">
        <w:t>zlikwidowanych zakładów pracy</w:t>
      </w:r>
      <w:r w:rsidR="003870BE">
        <w:t xml:space="preserve">, a także </w:t>
      </w:r>
      <w:r w:rsidR="00486576">
        <w:t xml:space="preserve">możliwość uzupełnienia materiału </w:t>
      </w:r>
      <w:r w:rsidR="007F6901">
        <w:t>dowodo</w:t>
      </w:r>
      <w:r w:rsidR="004A1CFC">
        <w:t>wego innymi środkami dowodowymi</w:t>
      </w:r>
      <w:r w:rsidR="00660FF9">
        <w:t>.</w:t>
      </w:r>
    </w:p>
    <w:p w14:paraId="6B2807AC" w14:textId="676CAE47" w:rsidR="00382518" w:rsidRDefault="00382518" w:rsidP="00F7409A">
      <w:pPr>
        <w:spacing w:line="360" w:lineRule="auto"/>
        <w:ind w:firstLine="708"/>
        <w:jc w:val="both"/>
      </w:pPr>
      <w:r>
        <w:lastRenderedPageBreak/>
        <w:t xml:space="preserve">Zdaniem wnioskodawców brak dokumentacji nie powinien niweczyć działań podjętych w celu zwiększenia wskaźnika podstawy wymiaru emerytury górniczej. W </w:t>
      </w:r>
      <w:r w:rsidR="0030468A">
        <w:t>ta</w:t>
      </w:r>
      <w:r>
        <w:t xml:space="preserve">kich przypadkach </w:t>
      </w:r>
      <w:r w:rsidR="0030468A">
        <w:t>następowałoby wyliczenie sumy zarobków za dany rok przy zastosowaniu uśrednienia zarobków z danego roku</w:t>
      </w:r>
      <w:r w:rsidR="00521490">
        <w:t xml:space="preserve">, w tym </w:t>
      </w:r>
      <w:r w:rsidR="0030468A">
        <w:t>przy uwzględnieniu dodatków niepodlegający</w:t>
      </w:r>
      <w:r w:rsidR="00D56012">
        <w:t>ch oskładkowaniu, jak: 13</w:t>
      </w:r>
      <w:r w:rsidR="00353FE8">
        <w:t xml:space="preserve">. </w:t>
      </w:r>
      <w:r w:rsidR="00D56012">
        <w:t>pensja</w:t>
      </w:r>
      <w:r w:rsidR="0030468A">
        <w:t xml:space="preserve">, nagrody, barbórki. </w:t>
      </w:r>
    </w:p>
    <w:p w14:paraId="52512002" w14:textId="7F8789C0" w:rsidR="00D674E7" w:rsidRDefault="00D56012" w:rsidP="00570F32">
      <w:pPr>
        <w:spacing w:line="360" w:lineRule="auto"/>
        <w:ind w:firstLine="708"/>
        <w:jc w:val="both"/>
      </w:pPr>
      <w:r>
        <w:t xml:space="preserve">Według szacunków wnioskodawców </w:t>
      </w:r>
      <w:r w:rsidR="00E95466">
        <w:t xml:space="preserve">projektowane zmiany mogą dotyczyć około 10 000 osób. Skutki finansowe dla budżetu Funduszu Ubezpieczeń Społecznych oszacowano na 240 mln złotych w skali roku. </w:t>
      </w:r>
    </w:p>
    <w:p w14:paraId="0C844EF7" w14:textId="77777777" w:rsidR="00774C53" w:rsidRDefault="00774C53" w:rsidP="003C2B3E">
      <w:pPr>
        <w:spacing w:line="360" w:lineRule="auto"/>
        <w:jc w:val="both"/>
        <w:rPr>
          <w:b/>
        </w:rPr>
      </w:pPr>
    </w:p>
    <w:p w14:paraId="35EF4EFF" w14:textId="0E1B9EDF" w:rsidR="00D674E7" w:rsidRPr="00B55749" w:rsidRDefault="00A77846" w:rsidP="003C2B3E">
      <w:pPr>
        <w:spacing w:line="360" w:lineRule="auto"/>
        <w:jc w:val="both"/>
        <w:rPr>
          <w:b/>
        </w:rPr>
      </w:pPr>
      <w:r>
        <w:rPr>
          <w:b/>
        </w:rPr>
        <w:t>II. Opinia o projekcie ustawy</w:t>
      </w:r>
    </w:p>
    <w:p w14:paraId="4B24818A" w14:textId="0DE5AB77" w:rsidR="00100750" w:rsidRDefault="00100750" w:rsidP="00100750">
      <w:pPr>
        <w:spacing w:line="360" w:lineRule="auto"/>
        <w:ind w:firstLine="708"/>
        <w:jc w:val="both"/>
        <w:rPr>
          <w:rFonts w:eastAsia="Calibri"/>
          <w:lang w:eastAsia="en-US"/>
        </w:rPr>
      </w:pPr>
      <w:r>
        <w:rPr>
          <w:rFonts w:eastAsia="Calibri"/>
          <w:bCs/>
          <w:lang w:eastAsia="en-US"/>
        </w:rPr>
        <w:t>W stanie prawnym obowiązującym przed dniem 1 stycznia 1999 r.</w:t>
      </w:r>
      <w:r w:rsidR="00EE2E80">
        <w:rPr>
          <w:rFonts w:eastAsia="Calibri"/>
          <w:bCs/>
          <w:lang w:eastAsia="en-US"/>
        </w:rPr>
        <w:t>,</w:t>
      </w:r>
      <w:r>
        <w:rPr>
          <w:rFonts w:eastAsia="Calibri"/>
          <w:bCs/>
          <w:lang w:eastAsia="en-US"/>
        </w:rPr>
        <w:t xml:space="preserve"> na mocy rozwiązań wprowadzonych p</w:t>
      </w:r>
      <w:r w:rsidR="003C2B3E" w:rsidRPr="003C2B3E">
        <w:rPr>
          <w:rFonts w:eastAsia="Calibri"/>
          <w:lang w:eastAsia="en-US"/>
        </w:rPr>
        <w:t>rzepisami ustawy z dnia 17 października 1991 r. o rewaloryzacji</w:t>
      </w:r>
      <w:r w:rsidR="00C6267E">
        <w:rPr>
          <w:rFonts w:eastAsia="Calibri"/>
          <w:lang w:eastAsia="en-US"/>
        </w:rPr>
        <w:t xml:space="preserve"> </w:t>
      </w:r>
      <w:r w:rsidR="003C2B3E" w:rsidRPr="003C2B3E">
        <w:rPr>
          <w:rFonts w:eastAsia="Calibri"/>
          <w:lang w:eastAsia="en-US"/>
        </w:rPr>
        <w:t xml:space="preserve">emerytur </w:t>
      </w:r>
      <w:r w:rsidR="00E82BA4">
        <w:rPr>
          <w:rFonts w:eastAsia="Calibri"/>
          <w:lang w:eastAsia="en-US"/>
        </w:rPr>
        <w:t>i</w:t>
      </w:r>
      <w:r w:rsidR="00B40112">
        <w:rPr>
          <w:rFonts w:eastAsia="Calibri"/>
          <w:lang w:eastAsia="en-US"/>
        </w:rPr>
        <w:t> </w:t>
      </w:r>
      <w:r w:rsidR="003C2B3E" w:rsidRPr="003C2B3E">
        <w:rPr>
          <w:rFonts w:eastAsia="Calibri"/>
          <w:lang w:eastAsia="en-US"/>
        </w:rPr>
        <w:t>rent, o zasadach ustalania emerytur i rent oraz o zmianie</w:t>
      </w:r>
      <w:r w:rsidR="00DD0E6D">
        <w:rPr>
          <w:rFonts w:eastAsia="Calibri"/>
          <w:lang w:eastAsia="en-US"/>
        </w:rPr>
        <w:t xml:space="preserve"> niektórych ustaw (Dz. U.</w:t>
      </w:r>
      <w:r w:rsidR="003C2B3E" w:rsidRPr="003C2B3E">
        <w:rPr>
          <w:rFonts w:eastAsia="Calibri"/>
          <w:lang w:eastAsia="en-US"/>
        </w:rPr>
        <w:t xml:space="preserve"> poz. 450, z</w:t>
      </w:r>
      <w:r w:rsidR="00B40112">
        <w:rPr>
          <w:rFonts w:eastAsia="Calibri"/>
          <w:lang w:eastAsia="en-US"/>
        </w:rPr>
        <w:t> </w:t>
      </w:r>
      <w:proofErr w:type="spellStart"/>
      <w:r w:rsidR="003C2B3E" w:rsidRPr="003C2B3E">
        <w:rPr>
          <w:rFonts w:eastAsia="Calibri"/>
          <w:lang w:eastAsia="en-US"/>
        </w:rPr>
        <w:t>późn</w:t>
      </w:r>
      <w:proofErr w:type="spellEnd"/>
      <w:r w:rsidR="003C2B3E" w:rsidRPr="003C2B3E">
        <w:rPr>
          <w:rFonts w:eastAsia="Calibri"/>
          <w:lang w:eastAsia="en-US"/>
        </w:rPr>
        <w:t>. zm.)</w:t>
      </w:r>
      <w:r w:rsidR="00EE2E80">
        <w:rPr>
          <w:rFonts w:eastAsia="Calibri"/>
          <w:lang w:eastAsia="en-US"/>
        </w:rPr>
        <w:t>,</w:t>
      </w:r>
      <w:r w:rsidR="003C2B3E" w:rsidRPr="003C2B3E">
        <w:rPr>
          <w:rFonts w:eastAsia="Calibri"/>
          <w:lang w:eastAsia="en-US"/>
        </w:rPr>
        <w:t xml:space="preserve"> </w:t>
      </w:r>
      <w:r>
        <w:rPr>
          <w:rFonts w:eastAsia="Calibri"/>
          <w:lang w:eastAsia="en-US"/>
        </w:rPr>
        <w:t xml:space="preserve">zastosowano zasadę, że podstawę wymiaru emerytury lub renty </w:t>
      </w:r>
      <w:r w:rsidR="006D0FC3">
        <w:rPr>
          <w:rFonts w:eastAsia="Calibri"/>
          <w:lang w:eastAsia="en-US"/>
        </w:rPr>
        <w:t>stanowiła zwa</w:t>
      </w:r>
      <w:r>
        <w:rPr>
          <w:rFonts w:eastAsia="Calibri"/>
          <w:lang w:eastAsia="en-US"/>
        </w:rPr>
        <w:t xml:space="preserve">loryzowana kwota </w:t>
      </w:r>
      <w:r w:rsidR="006D0FC3">
        <w:rPr>
          <w:rFonts w:eastAsia="Calibri"/>
          <w:lang w:eastAsia="en-US"/>
        </w:rPr>
        <w:t>wynagrodzenia</w:t>
      </w:r>
      <w:r>
        <w:rPr>
          <w:rFonts w:eastAsia="Calibri"/>
          <w:lang w:eastAsia="en-US"/>
        </w:rPr>
        <w:t xml:space="preserve"> lub dochodu</w:t>
      </w:r>
      <w:r w:rsidR="00EE2E80">
        <w:rPr>
          <w:rFonts w:eastAsia="Calibri"/>
          <w:lang w:eastAsia="en-US"/>
        </w:rPr>
        <w:t xml:space="preserve"> stanowiąca </w:t>
      </w:r>
      <w:r w:rsidR="006D0FC3">
        <w:rPr>
          <w:rFonts w:eastAsia="Calibri"/>
          <w:lang w:eastAsia="en-US"/>
        </w:rPr>
        <w:t>podstawę wymiaru składek na</w:t>
      </w:r>
      <w:r w:rsidR="00B40112">
        <w:rPr>
          <w:rFonts w:eastAsia="Calibri"/>
          <w:lang w:eastAsia="en-US"/>
        </w:rPr>
        <w:t> </w:t>
      </w:r>
      <w:r w:rsidR="006D0FC3">
        <w:rPr>
          <w:rFonts w:eastAsia="Calibri"/>
          <w:lang w:eastAsia="en-US"/>
        </w:rPr>
        <w:t>ubezpieczenie społeczne.</w:t>
      </w:r>
      <w:r>
        <w:rPr>
          <w:rFonts w:eastAsia="Calibri"/>
          <w:lang w:eastAsia="en-US"/>
        </w:rPr>
        <w:t xml:space="preserve"> </w:t>
      </w:r>
    </w:p>
    <w:p w14:paraId="6B1E1A45" w14:textId="15BD578F" w:rsidR="003C2B3E" w:rsidRPr="003C2B3E" w:rsidRDefault="00474FEF" w:rsidP="003C2B3E">
      <w:pPr>
        <w:spacing w:line="360" w:lineRule="auto"/>
        <w:ind w:firstLine="708"/>
        <w:jc w:val="both"/>
        <w:rPr>
          <w:rFonts w:eastAsia="Calibri"/>
          <w:lang w:eastAsia="en-US"/>
        </w:rPr>
      </w:pPr>
      <w:r>
        <w:rPr>
          <w:rFonts w:eastAsia="Calibri"/>
          <w:lang w:eastAsia="en-US"/>
        </w:rPr>
        <w:t xml:space="preserve">W miejsce uprzednio obowiązującej zasady ustalania podstawy wymiaru </w:t>
      </w:r>
      <w:r w:rsidR="001A14DF">
        <w:rPr>
          <w:rFonts w:eastAsia="Calibri"/>
          <w:lang w:eastAsia="en-US"/>
        </w:rPr>
        <w:t>emerytury lub</w:t>
      </w:r>
      <w:r w:rsidR="00E826E2">
        <w:rPr>
          <w:rFonts w:eastAsia="Calibri"/>
          <w:lang w:eastAsia="en-US"/>
        </w:rPr>
        <w:t> </w:t>
      </w:r>
      <w:r w:rsidR="001A14DF">
        <w:rPr>
          <w:rFonts w:eastAsia="Calibri"/>
          <w:lang w:eastAsia="en-US"/>
        </w:rPr>
        <w:t xml:space="preserve">renty </w:t>
      </w:r>
      <w:r w:rsidR="00E82BA4">
        <w:rPr>
          <w:rFonts w:eastAsia="Calibri"/>
          <w:lang w:eastAsia="en-US"/>
        </w:rPr>
        <w:t xml:space="preserve">na podstawie wynagrodzeń </w:t>
      </w:r>
      <w:r>
        <w:rPr>
          <w:rFonts w:eastAsia="Calibri"/>
          <w:lang w:eastAsia="en-US"/>
        </w:rPr>
        <w:t>z jednego bądź dwóch lat wprowadzo</w:t>
      </w:r>
      <w:r w:rsidR="001A14DF">
        <w:rPr>
          <w:rFonts w:eastAsia="Calibri"/>
          <w:lang w:eastAsia="en-US"/>
        </w:rPr>
        <w:t xml:space="preserve">no zasadę, </w:t>
      </w:r>
      <w:r w:rsidR="00311F05">
        <w:rPr>
          <w:rFonts w:eastAsia="Calibri"/>
          <w:lang w:eastAsia="en-US"/>
        </w:rPr>
        <w:t>że</w:t>
      </w:r>
      <w:r w:rsidR="00C4588D">
        <w:rPr>
          <w:rFonts w:eastAsia="Calibri"/>
          <w:lang w:eastAsia="en-US"/>
        </w:rPr>
        <w:t> </w:t>
      </w:r>
      <w:r w:rsidR="00311F05">
        <w:rPr>
          <w:rFonts w:eastAsia="Calibri"/>
          <w:lang w:eastAsia="en-US"/>
        </w:rPr>
        <w:t xml:space="preserve">podstawę wymiaru </w:t>
      </w:r>
      <w:r w:rsidR="001A14DF">
        <w:rPr>
          <w:rFonts w:eastAsia="Calibri"/>
          <w:lang w:eastAsia="en-US"/>
        </w:rPr>
        <w:t xml:space="preserve">tych świadczeń </w:t>
      </w:r>
      <w:r w:rsidR="00311F05">
        <w:rPr>
          <w:rFonts w:eastAsia="Calibri"/>
          <w:lang w:eastAsia="en-US"/>
        </w:rPr>
        <w:t>ustalano</w:t>
      </w:r>
      <w:r w:rsidR="001A14DF">
        <w:rPr>
          <w:rFonts w:eastAsia="Calibri"/>
          <w:lang w:eastAsia="en-US"/>
        </w:rPr>
        <w:t xml:space="preserve"> </w:t>
      </w:r>
      <w:r w:rsidR="0091069C">
        <w:rPr>
          <w:rFonts w:eastAsia="Calibri"/>
          <w:lang w:eastAsia="en-US"/>
        </w:rPr>
        <w:t xml:space="preserve">w 1992 r. </w:t>
      </w:r>
      <w:r w:rsidR="003C2B3E" w:rsidRPr="003C2B3E">
        <w:rPr>
          <w:rFonts w:eastAsia="Calibri"/>
          <w:lang w:eastAsia="en-US"/>
        </w:rPr>
        <w:t>z kolejnych trzech lat kalendarzowych w</w:t>
      </w:r>
      <w:r w:rsidR="006D0FC3">
        <w:rPr>
          <w:rFonts w:eastAsia="Calibri"/>
          <w:lang w:eastAsia="en-US"/>
        </w:rPr>
        <w:t xml:space="preserve">ybranych z ostatnich 12 lat, </w:t>
      </w:r>
      <w:r w:rsidR="003C2B3E" w:rsidRPr="003C2B3E">
        <w:rPr>
          <w:rFonts w:eastAsia="Calibri"/>
          <w:lang w:eastAsia="en-US"/>
        </w:rPr>
        <w:t xml:space="preserve">w 1993 r. </w:t>
      </w:r>
      <w:r w:rsidR="00C6267E">
        <w:rPr>
          <w:rFonts w:eastAsia="Calibri"/>
          <w:lang w:eastAsia="en-US"/>
        </w:rPr>
        <w:t xml:space="preserve">z czterech </w:t>
      </w:r>
      <w:r w:rsidR="00DD0E6D">
        <w:rPr>
          <w:rFonts w:eastAsia="Calibri"/>
          <w:lang w:eastAsia="en-US"/>
        </w:rPr>
        <w:t>lat</w:t>
      </w:r>
      <w:r w:rsidR="003C2B3E" w:rsidRPr="003C2B3E">
        <w:rPr>
          <w:rFonts w:eastAsia="Calibri"/>
          <w:lang w:eastAsia="en-US"/>
        </w:rPr>
        <w:t xml:space="preserve"> w</w:t>
      </w:r>
      <w:r w:rsidR="00C6267E">
        <w:rPr>
          <w:rFonts w:eastAsia="Calibri"/>
          <w:lang w:eastAsia="en-US"/>
        </w:rPr>
        <w:t xml:space="preserve">ybranych </w:t>
      </w:r>
      <w:r w:rsidR="009039A0">
        <w:rPr>
          <w:rFonts w:eastAsia="Calibri"/>
          <w:lang w:eastAsia="en-US"/>
        </w:rPr>
        <w:t xml:space="preserve">z </w:t>
      </w:r>
      <w:r w:rsidR="00C6267E">
        <w:rPr>
          <w:rFonts w:eastAsia="Calibri"/>
          <w:lang w:eastAsia="en-US"/>
        </w:rPr>
        <w:t>13 lat, w 1994 r. z pięciu</w:t>
      </w:r>
      <w:r w:rsidR="00DD0E6D">
        <w:rPr>
          <w:rFonts w:eastAsia="Calibri"/>
          <w:lang w:eastAsia="en-US"/>
        </w:rPr>
        <w:t xml:space="preserve"> lat z wybranych</w:t>
      </w:r>
      <w:r w:rsidR="004C4A23">
        <w:rPr>
          <w:rFonts w:eastAsia="Calibri"/>
          <w:lang w:eastAsia="en-US"/>
        </w:rPr>
        <w:t xml:space="preserve"> z</w:t>
      </w:r>
      <w:r w:rsidR="00DD0E6D">
        <w:rPr>
          <w:rFonts w:eastAsia="Calibri"/>
          <w:lang w:eastAsia="en-US"/>
        </w:rPr>
        <w:t xml:space="preserve"> </w:t>
      </w:r>
      <w:r w:rsidR="003C2B3E" w:rsidRPr="003C2B3E">
        <w:rPr>
          <w:rFonts w:eastAsia="Calibri"/>
          <w:lang w:eastAsia="en-US"/>
        </w:rPr>
        <w:t xml:space="preserve">14 lat, </w:t>
      </w:r>
      <w:r w:rsidR="009039A0">
        <w:rPr>
          <w:rFonts w:eastAsia="Calibri"/>
          <w:lang w:eastAsia="en-US"/>
        </w:rPr>
        <w:t xml:space="preserve">w 1995 r. z </w:t>
      </w:r>
      <w:r w:rsidR="00C6267E">
        <w:rPr>
          <w:rFonts w:eastAsia="Calibri"/>
          <w:lang w:eastAsia="en-US"/>
        </w:rPr>
        <w:t xml:space="preserve">sześciu </w:t>
      </w:r>
      <w:r w:rsidR="003C2B3E" w:rsidRPr="003C2B3E">
        <w:rPr>
          <w:rFonts w:eastAsia="Calibri"/>
          <w:lang w:eastAsia="en-US"/>
        </w:rPr>
        <w:t xml:space="preserve">lat wybranych z 15 lat, </w:t>
      </w:r>
      <w:r w:rsidR="005365DF">
        <w:rPr>
          <w:rFonts w:eastAsia="Calibri"/>
          <w:lang w:eastAsia="en-US"/>
        </w:rPr>
        <w:t xml:space="preserve">w 1996 r. z </w:t>
      </w:r>
      <w:r w:rsidR="00C6267E">
        <w:rPr>
          <w:rFonts w:eastAsia="Calibri"/>
          <w:lang w:eastAsia="en-US"/>
        </w:rPr>
        <w:t xml:space="preserve">siedmiu </w:t>
      </w:r>
      <w:r w:rsidR="006D0FC3">
        <w:rPr>
          <w:rFonts w:eastAsia="Calibri"/>
          <w:lang w:eastAsia="en-US"/>
        </w:rPr>
        <w:t xml:space="preserve">lat wybranych z 16 lat, </w:t>
      </w:r>
      <w:r w:rsidR="005365DF">
        <w:rPr>
          <w:rFonts w:eastAsia="Calibri"/>
          <w:lang w:eastAsia="en-US"/>
        </w:rPr>
        <w:t xml:space="preserve">w 1997 r. z </w:t>
      </w:r>
      <w:r w:rsidR="00C6267E">
        <w:rPr>
          <w:rFonts w:eastAsia="Calibri"/>
          <w:lang w:eastAsia="en-US"/>
        </w:rPr>
        <w:t>ośmiu</w:t>
      </w:r>
      <w:r w:rsidR="006D0FC3">
        <w:rPr>
          <w:rFonts w:eastAsia="Calibri"/>
          <w:lang w:eastAsia="en-US"/>
        </w:rPr>
        <w:t xml:space="preserve"> lat wybranych z 17 lat</w:t>
      </w:r>
      <w:r w:rsidR="005365DF">
        <w:rPr>
          <w:rFonts w:eastAsia="Calibri"/>
          <w:lang w:eastAsia="en-US"/>
        </w:rPr>
        <w:t xml:space="preserve">, w 1998 r. </w:t>
      </w:r>
      <w:r w:rsidR="00AF4951">
        <w:rPr>
          <w:rFonts w:eastAsia="Calibri"/>
          <w:lang w:eastAsia="en-US"/>
        </w:rPr>
        <w:t xml:space="preserve">z </w:t>
      </w:r>
      <w:r w:rsidR="00C6267E">
        <w:rPr>
          <w:rFonts w:eastAsia="Calibri"/>
          <w:lang w:eastAsia="en-US"/>
        </w:rPr>
        <w:t xml:space="preserve">dziewięciu </w:t>
      </w:r>
      <w:r w:rsidR="005365DF">
        <w:rPr>
          <w:rFonts w:eastAsia="Calibri"/>
          <w:lang w:eastAsia="en-US"/>
        </w:rPr>
        <w:t>lat wybranych z 18</w:t>
      </w:r>
      <w:r w:rsidR="00A43C8B">
        <w:rPr>
          <w:rFonts w:eastAsia="Calibri"/>
          <w:lang w:eastAsia="en-US"/>
        </w:rPr>
        <w:t> </w:t>
      </w:r>
      <w:r w:rsidR="005365DF">
        <w:rPr>
          <w:rFonts w:eastAsia="Calibri"/>
          <w:lang w:eastAsia="en-US"/>
        </w:rPr>
        <w:t>lat.</w:t>
      </w:r>
      <w:r w:rsidR="0066439E">
        <w:rPr>
          <w:rFonts w:eastAsia="Calibri"/>
          <w:lang w:eastAsia="en-US"/>
        </w:rPr>
        <w:t xml:space="preserve"> </w:t>
      </w:r>
      <w:r w:rsidR="00070A6C">
        <w:rPr>
          <w:rFonts w:eastAsia="Calibri"/>
          <w:lang w:eastAsia="en-US"/>
        </w:rPr>
        <w:t>Przyjęto</w:t>
      </w:r>
      <w:r w:rsidR="005365DF">
        <w:rPr>
          <w:rFonts w:eastAsia="Calibri"/>
          <w:lang w:eastAsia="en-US"/>
        </w:rPr>
        <w:t xml:space="preserve"> </w:t>
      </w:r>
      <w:r w:rsidR="00070A6C">
        <w:rPr>
          <w:rFonts w:eastAsia="Calibri"/>
          <w:lang w:eastAsia="en-US"/>
        </w:rPr>
        <w:t xml:space="preserve">także zasadę, </w:t>
      </w:r>
      <w:r w:rsidR="005365DF">
        <w:rPr>
          <w:rFonts w:eastAsia="Calibri"/>
          <w:lang w:eastAsia="en-US"/>
        </w:rPr>
        <w:t xml:space="preserve">że </w:t>
      </w:r>
      <w:r w:rsidR="003C2B3E" w:rsidRPr="003C2B3E">
        <w:rPr>
          <w:rFonts w:eastAsia="Calibri"/>
          <w:lang w:eastAsia="en-US"/>
        </w:rPr>
        <w:t xml:space="preserve">wskaźnik </w:t>
      </w:r>
      <w:r w:rsidR="00EC23AC">
        <w:rPr>
          <w:rFonts w:eastAsia="Calibri"/>
          <w:lang w:eastAsia="en-US"/>
        </w:rPr>
        <w:t xml:space="preserve">wysokości </w:t>
      </w:r>
      <w:r w:rsidR="003C2B3E" w:rsidRPr="003C2B3E">
        <w:rPr>
          <w:rFonts w:eastAsia="Calibri"/>
          <w:lang w:eastAsia="en-US"/>
        </w:rPr>
        <w:t xml:space="preserve">podstawy wymiaru </w:t>
      </w:r>
      <w:r w:rsidR="005365DF">
        <w:rPr>
          <w:rFonts w:eastAsia="Calibri"/>
          <w:lang w:eastAsia="en-US"/>
        </w:rPr>
        <w:t xml:space="preserve">emerytury lub renty </w:t>
      </w:r>
      <w:r w:rsidR="003C2B3E" w:rsidRPr="003C2B3E">
        <w:rPr>
          <w:rFonts w:eastAsia="Calibri"/>
          <w:lang w:eastAsia="en-US"/>
        </w:rPr>
        <w:t xml:space="preserve">nie mógł być wyższy niż 250%. </w:t>
      </w:r>
    </w:p>
    <w:p w14:paraId="55FA64FF" w14:textId="07B48DF0" w:rsidR="003C2B3E" w:rsidRDefault="003C2B3E" w:rsidP="003C2B3E">
      <w:pPr>
        <w:spacing w:line="360" w:lineRule="auto"/>
        <w:ind w:firstLine="708"/>
        <w:jc w:val="both"/>
        <w:rPr>
          <w:rFonts w:eastAsia="Calibri"/>
          <w:lang w:eastAsia="en-US"/>
        </w:rPr>
      </w:pPr>
      <w:r w:rsidRPr="003C2B3E">
        <w:rPr>
          <w:rFonts w:eastAsia="Calibri"/>
          <w:lang w:eastAsia="en-US"/>
        </w:rPr>
        <w:t xml:space="preserve">W zreformowanym od dnia 1 stycznia 1999 r. </w:t>
      </w:r>
      <w:r>
        <w:rPr>
          <w:rFonts w:eastAsia="Calibri"/>
          <w:lang w:eastAsia="en-US"/>
        </w:rPr>
        <w:t xml:space="preserve">powszechnym </w:t>
      </w:r>
      <w:r w:rsidRPr="003C2B3E">
        <w:rPr>
          <w:rFonts w:eastAsia="Calibri"/>
          <w:lang w:eastAsia="en-US"/>
        </w:rPr>
        <w:t>systemi</w:t>
      </w:r>
      <w:r w:rsidR="00144703">
        <w:rPr>
          <w:rFonts w:eastAsia="Calibri"/>
          <w:lang w:eastAsia="en-US"/>
        </w:rPr>
        <w:t xml:space="preserve">e </w:t>
      </w:r>
      <w:proofErr w:type="spellStart"/>
      <w:r w:rsidR="00144703">
        <w:rPr>
          <w:rFonts w:eastAsia="Calibri"/>
          <w:lang w:eastAsia="en-US"/>
        </w:rPr>
        <w:t>emerytalno</w:t>
      </w:r>
      <w:proofErr w:type="spellEnd"/>
      <w:r w:rsidR="000920A0">
        <w:rPr>
          <w:rFonts w:eastAsia="Calibri"/>
          <w:lang w:eastAsia="en-US"/>
        </w:rPr>
        <w:t xml:space="preserve">– rentowym uregulowanym </w:t>
      </w:r>
      <w:r w:rsidRPr="003C2B3E">
        <w:rPr>
          <w:rFonts w:eastAsia="Calibri"/>
          <w:lang w:eastAsia="en-US"/>
        </w:rPr>
        <w:t>przepisami ustawy o emeryturach i rentach</w:t>
      </w:r>
      <w:r w:rsidR="00C6267E">
        <w:rPr>
          <w:rFonts w:eastAsia="Calibri"/>
          <w:lang w:eastAsia="en-US"/>
        </w:rPr>
        <w:t xml:space="preserve"> </w:t>
      </w:r>
      <w:r w:rsidR="00827F3F">
        <w:rPr>
          <w:rFonts w:eastAsia="Calibri"/>
          <w:lang w:eastAsia="en-US"/>
        </w:rPr>
        <w:t xml:space="preserve">z </w:t>
      </w:r>
      <w:r w:rsidR="00474FEF">
        <w:rPr>
          <w:rFonts w:eastAsia="Calibri"/>
          <w:lang w:eastAsia="en-US"/>
        </w:rPr>
        <w:t xml:space="preserve">FUS </w:t>
      </w:r>
      <w:r w:rsidRPr="003C2B3E">
        <w:rPr>
          <w:rFonts w:eastAsia="Calibri"/>
          <w:lang w:eastAsia="en-US"/>
        </w:rPr>
        <w:t>przyjęto, że</w:t>
      </w:r>
      <w:r w:rsidR="00B40112">
        <w:rPr>
          <w:rFonts w:eastAsia="Calibri"/>
          <w:lang w:eastAsia="en-US"/>
        </w:rPr>
        <w:t> </w:t>
      </w:r>
      <w:r w:rsidRPr="003C2B3E">
        <w:rPr>
          <w:rFonts w:eastAsia="Calibri"/>
          <w:lang w:eastAsia="en-US"/>
        </w:rPr>
        <w:t>podstawę w</w:t>
      </w:r>
      <w:r w:rsidR="003E684E">
        <w:rPr>
          <w:rFonts w:eastAsia="Calibri"/>
          <w:lang w:eastAsia="en-US"/>
        </w:rPr>
        <w:t xml:space="preserve">ymiaru dla świadczeń </w:t>
      </w:r>
      <w:proofErr w:type="spellStart"/>
      <w:r w:rsidR="003E684E">
        <w:rPr>
          <w:rFonts w:eastAsia="Calibri"/>
          <w:lang w:eastAsia="en-US"/>
        </w:rPr>
        <w:t>emerytalno</w:t>
      </w:r>
      <w:proofErr w:type="spellEnd"/>
      <w:r w:rsidR="003E684E">
        <w:rPr>
          <w:rFonts w:eastAsia="Calibri"/>
          <w:lang w:eastAsia="en-US"/>
        </w:rPr>
        <w:t>–</w:t>
      </w:r>
      <w:r w:rsidRPr="003C2B3E">
        <w:rPr>
          <w:rFonts w:eastAsia="Calibri"/>
          <w:lang w:eastAsia="en-US"/>
        </w:rPr>
        <w:t>rentowych usta</w:t>
      </w:r>
      <w:r w:rsidR="0073025D">
        <w:rPr>
          <w:rFonts w:eastAsia="Calibri"/>
          <w:lang w:eastAsia="en-US"/>
        </w:rPr>
        <w:t>lanych na tzw. starych zasadach</w:t>
      </w:r>
      <w:r w:rsidRPr="003C2B3E">
        <w:rPr>
          <w:rFonts w:eastAsia="Calibri"/>
          <w:lang w:eastAsia="en-US"/>
        </w:rPr>
        <w:t xml:space="preserve"> stanowi przeciętna podstawa wymiaru składek </w:t>
      </w:r>
      <w:r w:rsidR="00827F3F">
        <w:rPr>
          <w:rFonts w:eastAsia="Calibri"/>
          <w:lang w:eastAsia="en-US"/>
        </w:rPr>
        <w:t xml:space="preserve">na </w:t>
      </w:r>
      <w:r w:rsidR="00144703">
        <w:rPr>
          <w:rFonts w:eastAsia="Calibri"/>
          <w:lang w:eastAsia="en-US"/>
        </w:rPr>
        <w:t xml:space="preserve">ubezpieczenie </w:t>
      </w:r>
      <w:proofErr w:type="spellStart"/>
      <w:r w:rsidR="00144703">
        <w:rPr>
          <w:rFonts w:eastAsia="Calibri"/>
          <w:lang w:eastAsia="en-US"/>
        </w:rPr>
        <w:t>emerytaln</w:t>
      </w:r>
      <w:r w:rsidR="00B41C19">
        <w:rPr>
          <w:rFonts w:eastAsia="Calibri"/>
          <w:lang w:eastAsia="en-US"/>
        </w:rPr>
        <w:t>o</w:t>
      </w:r>
      <w:proofErr w:type="spellEnd"/>
      <w:r w:rsidR="00EE2E80">
        <w:rPr>
          <w:rFonts w:eastAsia="Calibri"/>
          <w:lang w:eastAsia="en-US"/>
        </w:rPr>
        <w:t>–</w:t>
      </w:r>
      <w:r w:rsidR="0003517E">
        <w:rPr>
          <w:rFonts w:eastAsia="Calibri"/>
          <w:lang w:eastAsia="en-US"/>
        </w:rPr>
        <w:t>r</w:t>
      </w:r>
      <w:r w:rsidRPr="003C2B3E">
        <w:rPr>
          <w:rFonts w:eastAsia="Calibri"/>
          <w:lang w:eastAsia="en-US"/>
        </w:rPr>
        <w:t>entowe lub na ubezpieczenie społeczne w okresie kolejnych 10 lat kalendarzowych, wybranych przez zainteresowanego z ostatnich 20 lat kalendarzowych poprzedzających bezpośrednio rok, w</w:t>
      </w:r>
      <w:r w:rsidR="00A43C8B">
        <w:rPr>
          <w:rFonts w:eastAsia="Calibri"/>
          <w:lang w:eastAsia="en-US"/>
        </w:rPr>
        <w:t> </w:t>
      </w:r>
      <w:r w:rsidRPr="003C2B3E">
        <w:rPr>
          <w:rFonts w:eastAsia="Calibri"/>
          <w:lang w:eastAsia="en-US"/>
        </w:rPr>
        <w:t>którym zgłoszono wniosek o emeryturę. Na wniosek ubezpieczonego podstawę wymiaru emerytury może stanowić przeciętna podstawa</w:t>
      </w:r>
      <w:r w:rsidR="00070A6C">
        <w:rPr>
          <w:rFonts w:eastAsia="Calibri"/>
          <w:lang w:eastAsia="en-US"/>
        </w:rPr>
        <w:t xml:space="preserve"> wymiaru </w:t>
      </w:r>
      <w:r w:rsidRPr="003C2B3E">
        <w:rPr>
          <w:rFonts w:eastAsia="Calibri"/>
          <w:lang w:eastAsia="en-US"/>
        </w:rPr>
        <w:t>składki</w:t>
      </w:r>
      <w:r w:rsidR="00070A6C">
        <w:rPr>
          <w:rFonts w:eastAsia="Calibri"/>
          <w:lang w:eastAsia="en-US"/>
        </w:rPr>
        <w:t xml:space="preserve"> </w:t>
      </w:r>
      <w:r w:rsidRPr="003C2B3E">
        <w:rPr>
          <w:rFonts w:eastAsia="Calibri"/>
          <w:lang w:eastAsia="en-US"/>
        </w:rPr>
        <w:t>na</w:t>
      </w:r>
      <w:r w:rsidR="0006265E">
        <w:rPr>
          <w:rFonts w:eastAsia="Calibri"/>
          <w:lang w:eastAsia="en-US"/>
        </w:rPr>
        <w:t xml:space="preserve"> ubezpieczenia</w:t>
      </w:r>
      <w:r w:rsidR="00070A6C">
        <w:rPr>
          <w:rFonts w:eastAsia="Calibri"/>
          <w:lang w:eastAsia="en-US"/>
        </w:rPr>
        <w:t xml:space="preserve"> sp</w:t>
      </w:r>
      <w:r w:rsidR="00DD0E6D">
        <w:rPr>
          <w:rFonts w:eastAsia="Calibri"/>
          <w:lang w:eastAsia="en-US"/>
        </w:rPr>
        <w:t xml:space="preserve">ołeczne </w:t>
      </w:r>
      <w:r w:rsidR="0006265E">
        <w:rPr>
          <w:rFonts w:eastAsia="Calibri"/>
          <w:lang w:eastAsia="en-US"/>
        </w:rPr>
        <w:t>lub ubezpieczenia</w:t>
      </w:r>
      <w:r w:rsidRPr="003C2B3E">
        <w:rPr>
          <w:rFonts w:eastAsia="Calibri"/>
          <w:lang w:eastAsia="en-US"/>
        </w:rPr>
        <w:t xml:space="preserve"> emerytalne i rentowe w okresie 20 lat kalendarzowych przypadających przed </w:t>
      </w:r>
      <w:r w:rsidRPr="003C2B3E">
        <w:rPr>
          <w:rFonts w:eastAsia="Calibri"/>
          <w:lang w:eastAsia="en-US"/>
        </w:rPr>
        <w:lastRenderedPageBreak/>
        <w:t>rokiem zgłoszenia wniosku, wybranych z całego okresu podlegania ubezpieczeniu.</w:t>
      </w:r>
      <w:r>
        <w:rPr>
          <w:rFonts w:eastAsia="Calibri"/>
          <w:lang w:eastAsia="en-US"/>
        </w:rPr>
        <w:t xml:space="preserve"> Zachowana została zasada, że wskaźnik wysokości podstawy </w:t>
      </w:r>
      <w:r w:rsidR="005A0A6D">
        <w:rPr>
          <w:rFonts w:eastAsia="Calibri"/>
          <w:lang w:eastAsia="en-US"/>
        </w:rPr>
        <w:t xml:space="preserve">wymiaru </w:t>
      </w:r>
      <w:r>
        <w:rPr>
          <w:rFonts w:eastAsia="Calibri"/>
          <w:lang w:eastAsia="en-US"/>
        </w:rPr>
        <w:t xml:space="preserve">nie może być wyższy niż 250%. </w:t>
      </w:r>
    </w:p>
    <w:p w14:paraId="28966D6C" w14:textId="24D66270" w:rsidR="003C2B3E" w:rsidRDefault="00AE7B9A" w:rsidP="00F0794E">
      <w:pPr>
        <w:spacing w:line="360" w:lineRule="auto"/>
        <w:ind w:firstLine="708"/>
        <w:jc w:val="both"/>
        <w:rPr>
          <w:rFonts w:eastAsia="Calibri"/>
          <w:lang w:eastAsia="en-US"/>
        </w:rPr>
      </w:pPr>
      <w:r w:rsidRPr="00F0794E">
        <w:rPr>
          <w:rFonts w:eastAsia="Calibri"/>
          <w:lang w:eastAsia="en-US"/>
        </w:rPr>
        <w:t xml:space="preserve">Z kolei w przypadku ubezpieczonych, których wysokość świadczeń </w:t>
      </w:r>
      <w:proofErr w:type="spellStart"/>
      <w:r w:rsidR="00CA754C">
        <w:rPr>
          <w:rFonts w:eastAsia="Calibri"/>
          <w:lang w:eastAsia="en-US"/>
        </w:rPr>
        <w:t>emerytalno</w:t>
      </w:r>
      <w:proofErr w:type="spellEnd"/>
      <w:r w:rsidR="00F64C4B">
        <w:rPr>
          <w:rFonts w:eastAsia="Calibri"/>
          <w:lang w:eastAsia="en-US"/>
        </w:rPr>
        <w:t xml:space="preserve">– rentowych </w:t>
      </w:r>
      <w:r w:rsidRPr="00F0794E">
        <w:rPr>
          <w:rFonts w:eastAsia="Calibri"/>
          <w:lang w:eastAsia="en-US"/>
        </w:rPr>
        <w:t>ustalana jest na tzw. nowych zasadach</w:t>
      </w:r>
      <w:r w:rsidR="00F64C4B">
        <w:rPr>
          <w:rFonts w:eastAsia="Calibri"/>
          <w:lang w:eastAsia="en-US"/>
        </w:rPr>
        <w:t xml:space="preserve">, zgodnie z przepisami </w:t>
      </w:r>
      <w:r w:rsidR="00F0794E" w:rsidRPr="00F0794E">
        <w:rPr>
          <w:rFonts w:eastAsia="Calibri"/>
          <w:lang w:eastAsia="en-US"/>
        </w:rPr>
        <w:t>ustawy z dnia 13</w:t>
      </w:r>
      <w:r w:rsidR="00E826E2">
        <w:rPr>
          <w:rFonts w:eastAsia="Calibri"/>
          <w:lang w:eastAsia="en-US"/>
        </w:rPr>
        <w:t> </w:t>
      </w:r>
      <w:r w:rsidR="00F0794E" w:rsidRPr="00F0794E">
        <w:rPr>
          <w:rFonts w:eastAsia="Calibri"/>
          <w:lang w:eastAsia="en-US"/>
        </w:rPr>
        <w:t>października 1998 r. o systemie ubezpieczeń społecznych</w:t>
      </w:r>
      <w:r w:rsidR="00F64C4B">
        <w:rPr>
          <w:rFonts w:eastAsia="Calibri"/>
          <w:lang w:eastAsia="en-US"/>
        </w:rPr>
        <w:t xml:space="preserve"> </w:t>
      </w:r>
      <w:r w:rsidR="00F0794E" w:rsidRPr="00F0794E">
        <w:rPr>
          <w:rFonts w:eastAsia="Calibri"/>
          <w:lang w:eastAsia="en-US"/>
        </w:rPr>
        <w:t xml:space="preserve">(Dz. U. z 2020 r. poz. 266, z </w:t>
      </w:r>
      <w:proofErr w:type="spellStart"/>
      <w:r w:rsidR="00F0794E" w:rsidRPr="00F0794E">
        <w:rPr>
          <w:rFonts w:eastAsia="Calibri"/>
          <w:lang w:eastAsia="en-US"/>
        </w:rPr>
        <w:t>późn</w:t>
      </w:r>
      <w:proofErr w:type="spellEnd"/>
      <w:r w:rsidR="00F0794E" w:rsidRPr="00F0794E">
        <w:rPr>
          <w:rFonts w:eastAsia="Calibri"/>
          <w:lang w:eastAsia="en-US"/>
        </w:rPr>
        <w:t>. zm.)</w:t>
      </w:r>
      <w:r w:rsidR="00F64C4B">
        <w:rPr>
          <w:rFonts w:eastAsia="Calibri"/>
          <w:lang w:eastAsia="en-US"/>
        </w:rPr>
        <w:t>,</w:t>
      </w:r>
      <w:r w:rsidR="00F0794E" w:rsidRPr="00F0794E">
        <w:rPr>
          <w:rFonts w:eastAsia="Calibri"/>
          <w:lang w:eastAsia="en-US"/>
        </w:rPr>
        <w:t xml:space="preserve"> </w:t>
      </w:r>
      <w:r w:rsidR="00F0794E" w:rsidRPr="00C6267E">
        <w:rPr>
          <w:rFonts w:eastAsia="Calibri"/>
          <w:lang w:eastAsia="en-US"/>
        </w:rPr>
        <w:t>r</w:t>
      </w:r>
      <w:r w:rsidR="00A665DF" w:rsidRPr="00C6267E">
        <w:t>oczna podstawa wymiaru składek na ubezpieczenia emerytalne i rentowe w danym roku kalendarzowym nie może być wyższa od kwoty odpowiadającej trzydziestokrotności prognozowanego przeciętnego wynagrodzenia miesięcznego w gospodarce narodowej na dany rok kalendarzowy</w:t>
      </w:r>
      <w:r w:rsidR="00F0794E" w:rsidRPr="00C6267E">
        <w:t>.</w:t>
      </w:r>
      <w:r w:rsidR="00A665DF" w:rsidRPr="00C6267E">
        <w:t xml:space="preserve"> </w:t>
      </w:r>
    </w:p>
    <w:p w14:paraId="16074EA6" w14:textId="1B4E6AE3" w:rsidR="00774C53" w:rsidRDefault="00774C53" w:rsidP="00774C53">
      <w:pPr>
        <w:autoSpaceDE w:val="0"/>
        <w:autoSpaceDN w:val="0"/>
        <w:adjustRightInd w:val="0"/>
        <w:spacing w:line="360" w:lineRule="auto"/>
        <w:ind w:firstLine="708"/>
        <w:jc w:val="both"/>
        <w:rPr>
          <w:rFonts w:eastAsiaTheme="minorHAnsi"/>
          <w:color w:val="000000"/>
          <w:lang w:eastAsia="en-US"/>
        </w:rPr>
      </w:pPr>
      <w:r>
        <w:rPr>
          <w:rFonts w:eastAsiaTheme="minorHAnsi"/>
          <w:color w:val="000000"/>
          <w:lang w:eastAsia="en-US"/>
        </w:rPr>
        <w:t>Przepisami</w:t>
      </w:r>
      <w:r w:rsidR="00DD0E6D">
        <w:rPr>
          <w:rFonts w:eastAsiaTheme="minorHAnsi"/>
          <w:color w:val="000000"/>
          <w:lang w:eastAsia="en-US"/>
        </w:rPr>
        <w:t xml:space="preserve"> ustawy o emeryturach i rentach</w:t>
      </w:r>
      <w:r>
        <w:rPr>
          <w:rFonts w:eastAsiaTheme="minorHAnsi"/>
          <w:color w:val="000000"/>
          <w:lang w:eastAsia="en-US"/>
        </w:rPr>
        <w:t xml:space="preserve"> z FUS została uregulowana również sprawa ponownego obliczenia wysokości emerytury lub renty. Ponowne obliczenie następuje, jeżeli do obliczenia tych świadczeń wskazano podstawę </w:t>
      </w:r>
      <w:r w:rsidR="0006265E">
        <w:rPr>
          <w:rFonts w:eastAsiaTheme="minorHAnsi"/>
          <w:color w:val="000000"/>
          <w:lang w:eastAsia="en-US"/>
        </w:rPr>
        <w:t>wymiaru składki na ubezpieczenia społeczne lub ubezpieczenia</w:t>
      </w:r>
      <w:r>
        <w:rPr>
          <w:rFonts w:eastAsiaTheme="minorHAnsi"/>
          <w:color w:val="000000"/>
          <w:lang w:eastAsia="en-US"/>
        </w:rPr>
        <w:t xml:space="preserve"> emerytalne i rentowe, przypadającą w całości lub w czę</w:t>
      </w:r>
      <w:r w:rsidR="00CA754C">
        <w:rPr>
          <w:rFonts w:eastAsiaTheme="minorHAnsi"/>
          <w:color w:val="000000"/>
          <w:lang w:eastAsia="en-US"/>
        </w:rPr>
        <w:t>ści po przyznaniu świadczenia, z</w:t>
      </w:r>
      <w:r w:rsidR="00DD1D79">
        <w:rPr>
          <w:rFonts w:eastAsiaTheme="minorHAnsi"/>
          <w:color w:val="000000"/>
          <w:lang w:eastAsia="en-US"/>
        </w:rPr>
        <w:t xml:space="preserve"> tym</w:t>
      </w:r>
      <w:r>
        <w:rPr>
          <w:rFonts w:eastAsiaTheme="minorHAnsi"/>
          <w:color w:val="000000"/>
          <w:lang w:eastAsia="en-US"/>
        </w:rPr>
        <w:t xml:space="preserve"> że wskaźnik wysokości podstawy wymiaru jest wyższy od poprzednio obliczonego. W przypadku emerytury ponowne obliczenie następuje</w:t>
      </w:r>
      <w:r w:rsidRPr="00D15F1F">
        <w:rPr>
          <w:rFonts w:eastAsiaTheme="minorHAnsi"/>
          <w:lang w:eastAsia="en-US"/>
        </w:rPr>
        <w:t>,</w:t>
      </w:r>
      <w:r>
        <w:rPr>
          <w:rFonts w:eastAsiaTheme="minorHAnsi"/>
          <w:color w:val="FF1F35"/>
          <w:lang w:eastAsia="en-US"/>
        </w:rPr>
        <w:t xml:space="preserve"> </w:t>
      </w:r>
      <w:r>
        <w:rPr>
          <w:rFonts w:eastAsiaTheme="minorHAnsi"/>
          <w:color w:val="000000"/>
          <w:lang w:eastAsia="en-US"/>
        </w:rPr>
        <w:t>jeżeli do jej obliczenia wskazano podstawę wymiaru składki na ubezpieczenie społeczne lub ubezpieczenie emerytalne i rentowe, przypadającą w całości lub w części po przyznaniu świadczenia, a wskaźnik wysokości podstawy jej wymiaru przed zastosowaniem ograniczenia do 250% jest wyższy od</w:t>
      </w:r>
      <w:r w:rsidR="00E826E2">
        <w:rPr>
          <w:rFonts w:eastAsiaTheme="minorHAnsi"/>
          <w:color w:val="000000"/>
          <w:lang w:eastAsia="en-US"/>
        </w:rPr>
        <w:t> </w:t>
      </w:r>
      <w:r>
        <w:rPr>
          <w:rFonts w:eastAsiaTheme="minorHAnsi"/>
          <w:color w:val="000000"/>
          <w:lang w:eastAsia="en-US"/>
        </w:rPr>
        <w:t xml:space="preserve">niego. W tym przypadku ponowne obliczenie wysokości emerytury może nastąpić tylko raz. Ponowne obliczenie wysokości może nastąpić także, jeżeli do ustalenia podstawy wymiaru tych świadczeń wskazano podstawę </w:t>
      </w:r>
      <w:r w:rsidR="00D366B2">
        <w:rPr>
          <w:rFonts w:eastAsiaTheme="minorHAnsi"/>
          <w:color w:val="000000"/>
          <w:lang w:eastAsia="en-US"/>
        </w:rPr>
        <w:t>wymiaru składek na ubezpieczenia</w:t>
      </w:r>
      <w:r>
        <w:rPr>
          <w:rFonts w:eastAsiaTheme="minorHAnsi"/>
          <w:color w:val="000000"/>
          <w:lang w:eastAsia="en-US"/>
        </w:rPr>
        <w:t xml:space="preserve"> społeczne lub ubezpieczenia emerytalne i rentowe z liczby kolejnych lat kalendarzowych i w okresie wskazanym do</w:t>
      </w:r>
      <w:r w:rsidR="00E826E2">
        <w:rPr>
          <w:rFonts w:eastAsiaTheme="minorHAnsi"/>
          <w:color w:val="000000"/>
          <w:lang w:eastAsia="en-US"/>
        </w:rPr>
        <w:t> </w:t>
      </w:r>
      <w:r>
        <w:rPr>
          <w:rFonts w:eastAsiaTheme="minorHAnsi"/>
          <w:color w:val="000000"/>
          <w:lang w:eastAsia="en-US"/>
        </w:rPr>
        <w:t>ustalenia poprzedniej podstawy wymiaru świadczenia albo z kolejnych 10 lat kalendarzowych wybranych z 20 lat lub z 20 lat kalendarzowych wybranych z całego okresu podlegania ubezpieczeniu poprzedzających rok, w którym zgłoszono wniosek o przyznanie świadczenia. Również w tym przypadku wskaźnik wysokości podstawy wymiaru jest wyższy od poprzednio obliczonego.</w:t>
      </w:r>
    </w:p>
    <w:p w14:paraId="03DF8D23" w14:textId="39406357" w:rsidR="00774C53" w:rsidRDefault="00774C53" w:rsidP="00774C53">
      <w:pPr>
        <w:spacing w:line="360" w:lineRule="auto"/>
        <w:ind w:firstLine="708"/>
        <w:jc w:val="both"/>
        <w:rPr>
          <w:rFonts w:eastAsia="Calibri"/>
          <w:lang w:eastAsia="en-US"/>
        </w:rPr>
      </w:pPr>
      <w:r>
        <w:rPr>
          <w:rFonts w:eastAsiaTheme="minorHAnsi"/>
          <w:color w:val="000000"/>
          <w:lang w:eastAsia="en-US"/>
        </w:rPr>
        <w:t>Decyzje w sprawie ponownego obliczenia wysokości świadcze</w:t>
      </w:r>
      <w:r w:rsidR="00CA754C">
        <w:rPr>
          <w:rFonts w:eastAsiaTheme="minorHAnsi"/>
          <w:color w:val="000000"/>
          <w:lang w:eastAsia="en-US"/>
        </w:rPr>
        <w:t xml:space="preserve">ń </w:t>
      </w:r>
      <w:proofErr w:type="spellStart"/>
      <w:r w:rsidR="00CA754C">
        <w:rPr>
          <w:rFonts w:eastAsiaTheme="minorHAnsi"/>
          <w:color w:val="000000"/>
          <w:lang w:eastAsia="en-US"/>
        </w:rPr>
        <w:t>emerytalno</w:t>
      </w:r>
      <w:proofErr w:type="spellEnd"/>
      <w:r w:rsidR="00CA754C">
        <w:t>–</w:t>
      </w:r>
      <w:r>
        <w:rPr>
          <w:rFonts w:eastAsiaTheme="minorHAnsi"/>
          <w:color w:val="000000"/>
          <w:lang w:eastAsia="en-US"/>
        </w:rPr>
        <w:t xml:space="preserve">rentowych, na podstawie wniosku osoby zainteresowanej </w:t>
      </w:r>
      <w:r w:rsidR="00DD0E6D">
        <w:rPr>
          <w:rFonts w:eastAsiaTheme="minorHAnsi"/>
          <w:color w:val="000000"/>
          <w:lang w:eastAsia="en-US"/>
        </w:rPr>
        <w:t xml:space="preserve">i przedłożonych przez tę osobę </w:t>
      </w:r>
      <w:r>
        <w:rPr>
          <w:rFonts w:eastAsiaTheme="minorHAnsi"/>
          <w:color w:val="000000"/>
          <w:lang w:eastAsia="en-US"/>
        </w:rPr>
        <w:t>nowych dow</w:t>
      </w:r>
      <w:r w:rsidR="00DD0E6D">
        <w:rPr>
          <w:rFonts w:eastAsiaTheme="minorHAnsi"/>
          <w:color w:val="000000"/>
          <w:lang w:eastAsia="en-US"/>
        </w:rPr>
        <w:t>odów</w:t>
      </w:r>
      <w:r w:rsidR="0073025D">
        <w:rPr>
          <w:rFonts w:eastAsiaTheme="minorHAnsi"/>
          <w:color w:val="000000"/>
          <w:lang w:eastAsia="en-US"/>
        </w:rPr>
        <w:t>,</w:t>
      </w:r>
      <w:r w:rsidR="00DD0E6D">
        <w:rPr>
          <w:rFonts w:eastAsiaTheme="minorHAnsi"/>
          <w:color w:val="000000"/>
          <w:lang w:eastAsia="en-US"/>
        </w:rPr>
        <w:t xml:space="preserve"> podejmują organy rentowe. </w:t>
      </w:r>
    </w:p>
    <w:p w14:paraId="6B51CDBE" w14:textId="3A15FBD5" w:rsidR="00866223" w:rsidRDefault="00866223" w:rsidP="00866223">
      <w:pPr>
        <w:spacing w:line="360" w:lineRule="auto"/>
        <w:ind w:firstLine="708"/>
        <w:jc w:val="both"/>
      </w:pPr>
      <w:r>
        <w:rPr>
          <w:rFonts w:eastAsia="Calibri"/>
          <w:lang w:eastAsia="en-US"/>
        </w:rPr>
        <w:t>P</w:t>
      </w:r>
      <w:r>
        <w:t>rzepisami rozporządzenia Ministra Pracy i Polityki Społecznej z dnia 11 października 2011 r. w sprawie postępo</w:t>
      </w:r>
      <w:r w:rsidR="00CA754C">
        <w:t xml:space="preserve">wania o świadczenia </w:t>
      </w:r>
      <w:proofErr w:type="spellStart"/>
      <w:r w:rsidR="00CA754C">
        <w:t>emerytalno</w:t>
      </w:r>
      <w:proofErr w:type="spellEnd"/>
      <w:r w:rsidR="00CA754C">
        <w:t>–</w:t>
      </w:r>
      <w:r>
        <w:t>rentowe (Dz. U. poz. 1412) uregulowana została kwestia dokumentowania okresów uwzględnianych przy ustalani</w:t>
      </w:r>
      <w:r w:rsidR="00CA754C">
        <w:t xml:space="preserve">u prawa do świadczeń </w:t>
      </w:r>
      <w:proofErr w:type="spellStart"/>
      <w:r w:rsidR="00CA754C">
        <w:t>emerytalno</w:t>
      </w:r>
      <w:proofErr w:type="spellEnd"/>
      <w:r w:rsidR="00CA754C">
        <w:t>–</w:t>
      </w:r>
      <w:r>
        <w:t xml:space="preserve">rentowych oraz ich wysokości. Środkiem dowodowym </w:t>
      </w:r>
      <w:r>
        <w:lastRenderedPageBreak/>
        <w:t>stwierdzającym wysokość wynagrodzenia, dochodu, przychodu oraz uposażenia przyjmowanego do ustalenia podst</w:t>
      </w:r>
      <w:r w:rsidR="0073025D">
        <w:t>awy wymiaru emerytury lub renty</w:t>
      </w:r>
      <w:r>
        <w:t xml:space="preserve"> są zaświadczenia pracodawcy lub innego płatnika składek, legitymacja ubezpieczeniowa lub inny dokument, na</w:t>
      </w:r>
      <w:r w:rsidR="00C4588D">
        <w:t> </w:t>
      </w:r>
      <w:r>
        <w:t>podstawie którego można ustalić wysokość wynagrodzenia, dochodu, przychodu lub</w:t>
      </w:r>
      <w:r w:rsidR="00C4588D">
        <w:t> </w:t>
      </w:r>
      <w:r>
        <w:t xml:space="preserve">uposażenia. Obowiązuje zasada, zgodnie </w:t>
      </w:r>
      <w:r w:rsidR="00D63BB3">
        <w:t xml:space="preserve">z którą </w:t>
      </w:r>
      <w:r>
        <w:t xml:space="preserve">zaświadczenie, stwierdzające wysokość osiąganych wynagrodzeń lub dochodu, powinno być wystawione przez pracodawcę lub prawnego następcę pracodawcy na podstawie dokumentacji płacowej. Jeżeli jednak dokumentacja taka nie istnieje </w:t>
      </w:r>
      <w:r w:rsidR="006E6257">
        <w:t>–</w:t>
      </w:r>
      <w:r>
        <w:t xml:space="preserve"> zaświadczenie o wysokości osiągniętych wynagrodzeń może być wydane na podstawie danych zawartych w aktach osobowych pracownika, np. w umowie o pracę, pismach o powołaniu, mianowaniu oraz w innych pismach określających wynagrodzenie danej osoby. Przy ustalaniu podstawy wymiaru świadczeń z dokumentacji zastępczej obowiązuje ścisła zasada uwzględniania tylko takich składników wynagrodzenia określonego w aktach osobowych, które przysługiwały bezwarunkowo w czasie trwania zatrudnienia jako stałe składniki w określonej wysokości, np. wynagrodzenie zasadnicze, s</w:t>
      </w:r>
      <w:r w:rsidR="00DC0084">
        <w:t xml:space="preserve">tałe dodatki określone kwotowo. </w:t>
      </w:r>
      <w:r w:rsidR="00063DDF">
        <w:t>Inne składniki wynagrodzenia –</w:t>
      </w:r>
      <w:r>
        <w:t xml:space="preserve"> premie, nagrody czy dodatki mogą być uwzględnione tylko wówczas, gdy zachowana dokumentacja wskazuje niewątpliwie na ich faktyczną wypłatę w określonej wysokości, od której została odprowadzona składka na ubezpieczenie społeczne. Nie można więc uwzględniać premii, nagród czy dodatków określonych w dokumentacji osobowej pracownika jako składników wynagrodzenia przysługujących warunkowo (np. uzależnionych od wykonania planu produkcyjnego) lub</w:t>
      </w:r>
      <w:r w:rsidR="00C4588D">
        <w:t> </w:t>
      </w:r>
      <w:r>
        <w:t xml:space="preserve">uznaniowo i wypłacanych w zmiennych wysokościach </w:t>
      </w:r>
      <w:r w:rsidR="00063DDF">
        <w:t>–</w:t>
      </w:r>
      <w:r>
        <w:t xml:space="preserve"> w razie braku dokumentów potwierdzających ich wypłatę i wysokość. W pr</w:t>
      </w:r>
      <w:r w:rsidR="002B42E6">
        <w:t>zypadku</w:t>
      </w:r>
      <w:r>
        <w:t xml:space="preserve"> gdy w aktach osobowych pracownika wynagrodzenie określone jest stawką godzinową </w:t>
      </w:r>
      <w:r w:rsidR="00C6267C">
        <w:t>–</w:t>
      </w:r>
      <w:r>
        <w:t xml:space="preserve"> dopuszczalne jest ustalenie wynagrodzenia stanowiącego podstawę wymiaru świadczenia tylko wówczas, jeżeli zachowały się dane dotyczące liczby godzin, jaką pracownik faktycznie przepracował w danym okresie na</w:t>
      </w:r>
      <w:r w:rsidR="00C4588D">
        <w:t> </w:t>
      </w:r>
      <w:r>
        <w:t>określonym stanowisku (dziennie, tygod</w:t>
      </w:r>
      <w:r w:rsidR="00495000">
        <w:t>niowo lub miesięcznie). W razie</w:t>
      </w:r>
      <w:r>
        <w:t xml:space="preserve"> gdy zainteresowany nie ma możliwości uzyskania wymaganych dowodów, możliwe jest przyjęcie kopii dokumentacji płacowej sporządzonej przez archiwum lub uwierzytelnionej kopii sporządzonej przez inne instytucje przechowujące dokumentację danego zakładu pracy bądź prywatną firmę przechowalniczą. Archiwa państwowe zobowiązane są do wydawania </w:t>
      </w:r>
      <w:r w:rsidR="00CA50E6">
        <w:t>–</w:t>
      </w:r>
      <w:r>
        <w:t xml:space="preserve"> na podstawie posiadanych materiałów archiwalnych</w:t>
      </w:r>
      <w:r w:rsidR="0078021E">
        <w:t xml:space="preserve"> – </w:t>
      </w:r>
      <w:r>
        <w:t>uwierzytelnionych odpisów, wypisów, wyciągów, a</w:t>
      </w:r>
      <w:r w:rsidR="00F97212">
        <w:t> </w:t>
      </w:r>
      <w:r>
        <w:t xml:space="preserve">także zaświadczeń. Kopie dokumentów powinny być uwierzytelnione przez osoby kierujące archiwum. Do ustalenia podstawy wymiaru z takiej dokumentacji może być przyjęte </w:t>
      </w:r>
      <w:r>
        <w:lastRenderedPageBreak/>
        <w:t xml:space="preserve">wynagrodzenie i ewentualnie wykazane inne składniki, co </w:t>
      </w:r>
      <w:r w:rsidR="00F97212">
        <w:t xml:space="preserve">do których nie ma wątpliwości, </w:t>
      </w:r>
      <w:r>
        <w:t>iż</w:t>
      </w:r>
      <w:r w:rsidR="00F97212">
        <w:t> </w:t>
      </w:r>
      <w:r>
        <w:t>były wypłacone i po</w:t>
      </w:r>
      <w:r w:rsidR="008C4DCE">
        <w:t>dlegały składce na ubezpieczenia</w:t>
      </w:r>
      <w:r>
        <w:t xml:space="preserve"> społeczne. </w:t>
      </w:r>
    </w:p>
    <w:p w14:paraId="3C4ED920" w14:textId="3C5751B1" w:rsidR="00866223" w:rsidRDefault="009B5F9D" w:rsidP="00372B9A">
      <w:pPr>
        <w:spacing w:line="360" w:lineRule="auto"/>
        <w:ind w:firstLine="708"/>
        <w:jc w:val="both"/>
      </w:pPr>
      <w:r>
        <w:t>Przepisy przedmiotowego rozporządzenia przewidują zatem szerokie spectrum środków dowodowych,</w:t>
      </w:r>
      <w:r w:rsidR="0046040F">
        <w:t xml:space="preserve"> służących dokumentowaniu</w:t>
      </w:r>
      <w:r w:rsidR="0046040F" w:rsidRPr="0046040F">
        <w:t xml:space="preserve"> okresów uwzględnianych przy ustalaniu prawa do świadcze</w:t>
      </w:r>
      <w:r w:rsidR="00CA50E6">
        <w:t xml:space="preserve">ń </w:t>
      </w:r>
      <w:proofErr w:type="spellStart"/>
      <w:r w:rsidR="00CA50E6">
        <w:t>emerytalno</w:t>
      </w:r>
      <w:proofErr w:type="spellEnd"/>
      <w:r w:rsidR="00CA50E6">
        <w:t>–</w:t>
      </w:r>
      <w:r w:rsidR="0046040F" w:rsidRPr="0046040F">
        <w:t>rentowych oraz ich wysokości</w:t>
      </w:r>
      <w:r>
        <w:t xml:space="preserve"> </w:t>
      </w:r>
      <w:r w:rsidR="00C04DB2">
        <w:t>J</w:t>
      </w:r>
      <w:r w:rsidR="00866223">
        <w:t xml:space="preserve">eżeli </w:t>
      </w:r>
      <w:r w:rsidR="0046040F">
        <w:t xml:space="preserve">jednak pomimo tego nie można </w:t>
      </w:r>
      <w:r w:rsidR="00866223">
        <w:t xml:space="preserve">ustalić podstawy wymiaru składek w okresie pozostawania w stosunku pracy wskazanym do ustalenia podstawy wymiaru emerytury, </w:t>
      </w:r>
      <w:r w:rsidR="0046040F">
        <w:t xml:space="preserve">to zgodnie z przepisami </w:t>
      </w:r>
      <w:r w:rsidR="0046040F" w:rsidRPr="0046040F">
        <w:t>ustawy o</w:t>
      </w:r>
      <w:r w:rsidR="00F97212">
        <w:t> </w:t>
      </w:r>
      <w:r w:rsidR="0046040F" w:rsidRPr="0046040F">
        <w:t xml:space="preserve">emeryturach i rentach z FUS </w:t>
      </w:r>
      <w:r w:rsidR="00866223">
        <w:t xml:space="preserve">za podstawę wymiaru składek przyjmuje się kwotę obowiązującego w tym okresie minimalnego wynagrodzenia pracowników, proporcjonalnie do okresu podlegania ubezpieczeniu i wymiaru czasu pracy. </w:t>
      </w:r>
    </w:p>
    <w:p w14:paraId="12FEE8A1" w14:textId="38C132AE" w:rsidR="008D51F6" w:rsidRDefault="00B81CFB" w:rsidP="00FD6A38">
      <w:pPr>
        <w:spacing w:line="360" w:lineRule="auto"/>
        <w:ind w:firstLine="708"/>
        <w:jc w:val="both"/>
      </w:pPr>
      <w:r>
        <w:t xml:space="preserve">Przedstawione w poselskim projekcie ustawy rozwiązania budzą szereg </w:t>
      </w:r>
      <w:r w:rsidR="000E4ABF">
        <w:t>zastrzeżeń</w:t>
      </w:r>
      <w:r>
        <w:t xml:space="preserve">. </w:t>
      </w:r>
      <w:r w:rsidR="000D110E">
        <w:t xml:space="preserve">Przede </w:t>
      </w:r>
      <w:r w:rsidR="007506F1">
        <w:t xml:space="preserve">wszystkim należy </w:t>
      </w:r>
      <w:r w:rsidR="00FD6A38">
        <w:t>podkreślić</w:t>
      </w:r>
      <w:r w:rsidR="00701609">
        <w:t xml:space="preserve">, że </w:t>
      </w:r>
      <w:r w:rsidR="00496FD6">
        <w:t>projektowan</w:t>
      </w:r>
      <w:r w:rsidR="000E4ABF">
        <w:t>a</w:t>
      </w:r>
      <w:r w:rsidR="00496FD6">
        <w:t xml:space="preserve"> regulacj</w:t>
      </w:r>
      <w:r w:rsidR="000E4ABF">
        <w:t>a</w:t>
      </w:r>
      <w:r w:rsidR="009703BE">
        <w:t xml:space="preserve"> dotyczy</w:t>
      </w:r>
      <w:r w:rsidR="00496FD6">
        <w:t xml:space="preserve"> wyłącznie osób, którym przysługiwało </w:t>
      </w:r>
      <w:r w:rsidR="00D67764">
        <w:t xml:space="preserve">prawo do emerytur górniczych </w:t>
      </w:r>
      <w:r w:rsidR="00CD02BB">
        <w:t>na podstawie ustawy o zaopatrzeniu emerytalnym górników i ich rodzin</w:t>
      </w:r>
      <w:r w:rsidR="00CC7A0B">
        <w:t>, tj. przepisów</w:t>
      </w:r>
      <w:r w:rsidR="00022B07">
        <w:t xml:space="preserve">, </w:t>
      </w:r>
      <w:r w:rsidR="009E28C5">
        <w:t xml:space="preserve">które </w:t>
      </w:r>
      <w:r w:rsidR="00FF0564">
        <w:t>u</w:t>
      </w:r>
      <w:r w:rsidR="009E28C5">
        <w:t xml:space="preserve">traciły moc </w:t>
      </w:r>
      <w:r w:rsidR="00022B07">
        <w:t>z uwagi na wejście w</w:t>
      </w:r>
      <w:r w:rsidR="00F97212">
        <w:t> </w:t>
      </w:r>
      <w:r w:rsidR="00022B07">
        <w:t xml:space="preserve">życie </w:t>
      </w:r>
      <w:r w:rsidR="009E28C5">
        <w:t xml:space="preserve">z dniem 1 stycznia 1999 r. </w:t>
      </w:r>
      <w:r w:rsidR="00CA50E6">
        <w:t xml:space="preserve">powszechnego systemu </w:t>
      </w:r>
      <w:proofErr w:type="spellStart"/>
      <w:r w:rsidR="00CA50E6">
        <w:t>emerytalno</w:t>
      </w:r>
      <w:proofErr w:type="spellEnd"/>
      <w:r w:rsidR="00CA50E6">
        <w:t>–</w:t>
      </w:r>
      <w:r w:rsidR="00CC7A0B">
        <w:t>rentowego uregulowanego ustawą</w:t>
      </w:r>
      <w:r w:rsidR="00976743">
        <w:t xml:space="preserve"> o emeryturach i rentach z FUS</w:t>
      </w:r>
      <w:r w:rsidR="00CC7A0B">
        <w:t xml:space="preserve">. </w:t>
      </w:r>
    </w:p>
    <w:p w14:paraId="283341B4" w14:textId="3797B379" w:rsidR="008D51F6" w:rsidRDefault="008D51F6" w:rsidP="008D51F6">
      <w:pPr>
        <w:spacing w:line="360" w:lineRule="auto"/>
        <w:ind w:firstLine="708"/>
        <w:jc w:val="both"/>
      </w:pPr>
      <w:r>
        <w:t>Należy</w:t>
      </w:r>
      <w:r w:rsidR="00FD6A38">
        <w:t xml:space="preserve"> </w:t>
      </w:r>
      <w:r w:rsidR="000E4ABF">
        <w:t xml:space="preserve">przy tym zauważyć, </w:t>
      </w:r>
      <w:r>
        <w:t>że osoby uprawnione do emerytur górniczych korzystały</w:t>
      </w:r>
      <w:r w:rsidR="00E87B79">
        <w:t xml:space="preserve"> ze</w:t>
      </w:r>
      <w:r w:rsidR="00F97212">
        <w:t> </w:t>
      </w:r>
      <w:r w:rsidR="00E87B79">
        <w:t>szczególnych uprawnień dotyczących zasad ustalania prawa do tych emerytur oraz obli</w:t>
      </w:r>
      <w:r w:rsidR="00F44D92">
        <w:t xml:space="preserve">czania ich wysokości. </w:t>
      </w:r>
      <w:r w:rsidR="00E87B79">
        <w:t xml:space="preserve">Osobom </w:t>
      </w:r>
      <w:r w:rsidR="00F44D92">
        <w:t xml:space="preserve">legitymującym się wymaganym okresem pracy górniczej </w:t>
      </w:r>
      <w:r w:rsidR="00E87B79">
        <w:t xml:space="preserve">przysługiwało prawo do </w:t>
      </w:r>
      <w:r w:rsidR="00F44D92">
        <w:t xml:space="preserve">wcześniejszego przejścia na emeryturę górniczą lub </w:t>
      </w:r>
      <w:r w:rsidR="00E87B79">
        <w:t>emeryturę</w:t>
      </w:r>
      <w:r w:rsidR="006D2B53">
        <w:t xml:space="preserve"> górniczą</w:t>
      </w:r>
      <w:r w:rsidR="00E87B79">
        <w:t>, bez względu na wiek i zajmowane stanowisko. W</w:t>
      </w:r>
      <w:r w:rsidR="00FD6A38">
        <w:t xml:space="preserve">ysokość tych emerytur ustalana była </w:t>
      </w:r>
      <w:r w:rsidR="00F44D92">
        <w:t xml:space="preserve">dodatkowo </w:t>
      </w:r>
      <w:r w:rsidR="00FD6A38">
        <w:t xml:space="preserve">przy zastosowaniu przeliczników </w:t>
      </w:r>
      <w:r w:rsidR="00E87B79">
        <w:t xml:space="preserve">z tytułu </w:t>
      </w:r>
      <w:r w:rsidR="00FD6A38">
        <w:t xml:space="preserve">określonej pracy górniczej wykonywanej w wymaganym wymiarze czasu pracy. </w:t>
      </w:r>
      <w:r w:rsidR="006D2B53">
        <w:t xml:space="preserve">Inne grupy ubezpieczonych nie korzystały z takich uprawnień. </w:t>
      </w:r>
    </w:p>
    <w:p w14:paraId="45B736A4" w14:textId="2980DFE9" w:rsidR="001C153C" w:rsidRDefault="00F44D92" w:rsidP="001C153C">
      <w:pPr>
        <w:spacing w:line="360" w:lineRule="auto"/>
        <w:ind w:firstLine="708"/>
        <w:jc w:val="both"/>
      </w:pPr>
      <w:r>
        <w:t>Rozwiązania</w:t>
      </w:r>
      <w:r w:rsidR="008C4DCE">
        <w:t xml:space="preserve"> zawarte</w:t>
      </w:r>
      <w:r>
        <w:t xml:space="preserve"> w projekcie ustawy </w:t>
      </w:r>
      <w:r w:rsidR="00523A3B">
        <w:t xml:space="preserve">nie </w:t>
      </w:r>
      <w:r w:rsidR="008C4DCE">
        <w:t>obejmują</w:t>
      </w:r>
      <w:r w:rsidR="00523A3B">
        <w:t xml:space="preserve"> </w:t>
      </w:r>
      <w:r w:rsidR="0060117C">
        <w:t>os</w:t>
      </w:r>
      <w:r w:rsidR="008C4DCE">
        <w:t>ób</w:t>
      </w:r>
      <w:r w:rsidR="0060117C">
        <w:t xml:space="preserve">, które nabyły uprawnienia do emerytury </w:t>
      </w:r>
      <w:r w:rsidR="001C153C">
        <w:t xml:space="preserve">na podstawie odrębnych </w:t>
      </w:r>
      <w:r w:rsidR="0060117C">
        <w:t>regulacji obowiązujących przed dniem 1 stycznia 1999</w:t>
      </w:r>
      <w:r w:rsidR="00F97212">
        <w:t> </w:t>
      </w:r>
      <w:r w:rsidR="0060117C">
        <w:t>r.</w:t>
      </w:r>
      <w:r w:rsidR="00C40088">
        <w:t>, jak</w:t>
      </w:r>
      <w:r w:rsidR="0060117C">
        <w:t xml:space="preserve"> przykładowo na podstawie ustawy z dnia 14 grudnia 1982 r. o zaopatrzeniu emerytalnym pracowników i ich rodzi</w:t>
      </w:r>
      <w:r w:rsidR="00D70066">
        <w:t>n</w:t>
      </w:r>
      <w:r w:rsidR="0060117C">
        <w:t xml:space="preserve"> (Dz. U. </w:t>
      </w:r>
      <w:r w:rsidR="00E50D45">
        <w:t>poz. 267,</w:t>
      </w:r>
      <w:r w:rsidR="00C40088">
        <w:t xml:space="preserve"> z </w:t>
      </w:r>
      <w:proofErr w:type="spellStart"/>
      <w:r w:rsidR="00C40088">
        <w:t>późn</w:t>
      </w:r>
      <w:proofErr w:type="spellEnd"/>
      <w:r w:rsidR="00C40088">
        <w:t>. zm.)</w:t>
      </w:r>
      <w:r w:rsidR="00B52349">
        <w:t xml:space="preserve"> </w:t>
      </w:r>
      <w:r w:rsidR="00C40088">
        <w:t>czy też obowiązującej</w:t>
      </w:r>
      <w:r w:rsidR="00976743">
        <w:t xml:space="preserve"> od tego d</w:t>
      </w:r>
      <w:r w:rsidR="00022B07">
        <w:t>nia ustawy o emeryturach i renta</w:t>
      </w:r>
      <w:r w:rsidR="00976743">
        <w:t>ch z FUS</w:t>
      </w:r>
      <w:r w:rsidR="00C40088">
        <w:t>. Przyznanie prawa do ponownego obliczenia wysokośc</w:t>
      </w:r>
      <w:r w:rsidR="00022B07">
        <w:t xml:space="preserve">i emerytury wyłącznie </w:t>
      </w:r>
      <w:r w:rsidR="001C153C">
        <w:t xml:space="preserve">osobom uprawnionym do emerytury górniczej prowadziłoby </w:t>
      </w:r>
      <w:r w:rsidR="000E4ABF">
        <w:t xml:space="preserve">zatem </w:t>
      </w:r>
      <w:r w:rsidR="00C40088">
        <w:t xml:space="preserve">do nierównego traktowania pozostałych </w:t>
      </w:r>
      <w:r w:rsidR="001C153C">
        <w:t>u</w:t>
      </w:r>
      <w:r w:rsidR="00C40088">
        <w:t>bezpieczonych</w:t>
      </w:r>
      <w:r w:rsidR="006F485F">
        <w:t>, których prawo do świadczeń w ustalonej wysoko</w:t>
      </w:r>
      <w:r w:rsidR="001C153C">
        <w:t xml:space="preserve">ści </w:t>
      </w:r>
      <w:r w:rsidR="00DD0E6D">
        <w:t>powstało na podstawie odrębnych</w:t>
      </w:r>
      <w:r w:rsidR="006F485F">
        <w:t xml:space="preserve"> przepisów. </w:t>
      </w:r>
    </w:p>
    <w:p w14:paraId="6B7F3061" w14:textId="77777777" w:rsidR="009703BE" w:rsidRDefault="00F44D92" w:rsidP="007E69D1">
      <w:pPr>
        <w:spacing w:line="360" w:lineRule="auto"/>
        <w:ind w:firstLine="708"/>
        <w:jc w:val="both"/>
      </w:pPr>
      <w:r>
        <w:lastRenderedPageBreak/>
        <w:t>W</w:t>
      </w:r>
      <w:r w:rsidR="001C153C">
        <w:t>nioskodawcy projektu nie uzasadniają przyznania nowych uprawnień wyłącznie</w:t>
      </w:r>
      <w:r>
        <w:t xml:space="preserve"> osobom uprawnionym do emerytury górniczej i tylko tym, które nabyły uprawnienia do tych emerytur na podstawie </w:t>
      </w:r>
      <w:r w:rsidR="00961066">
        <w:t>ustawy o zaopatrzeniu emerytalnym górników i ich rodzin</w:t>
      </w:r>
      <w:r w:rsidR="001C153C">
        <w:t xml:space="preserve">. </w:t>
      </w:r>
    </w:p>
    <w:p w14:paraId="1A9B87F6" w14:textId="1F151990" w:rsidR="007E69D1" w:rsidRDefault="002745A6" w:rsidP="00042D97">
      <w:pPr>
        <w:spacing w:line="360" w:lineRule="auto"/>
        <w:ind w:firstLine="708"/>
        <w:jc w:val="both"/>
      </w:pPr>
      <w:r>
        <w:t>Kolejną kwestią</w:t>
      </w:r>
      <w:r w:rsidR="00FE52A4">
        <w:t xml:space="preserve"> budzącą</w:t>
      </w:r>
      <w:r w:rsidR="00FF3B5D">
        <w:t xml:space="preserve"> </w:t>
      </w:r>
      <w:r w:rsidR="008C4DCE">
        <w:t>wątpliwości</w:t>
      </w:r>
      <w:r>
        <w:t xml:space="preserve"> </w:t>
      </w:r>
      <w:r w:rsidR="00B524B7">
        <w:t xml:space="preserve">jest </w:t>
      </w:r>
      <w:r w:rsidR="007E69D1">
        <w:t>wskazane przez wnioskodawc</w:t>
      </w:r>
      <w:r w:rsidR="00B63A7A">
        <w:t>ów projektu ustawy „przerzucenie</w:t>
      </w:r>
      <w:r w:rsidR="001E076F">
        <w:t>”</w:t>
      </w:r>
      <w:r w:rsidR="007E69D1">
        <w:t xml:space="preserve"> ciężaru dowod</w:t>
      </w:r>
      <w:r w:rsidR="009703BE">
        <w:t>u</w:t>
      </w:r>
      <w:r w:rsidR="007E69D1">
        <w:t xml:space="preserve"> w postępowaniach o ponowne obliczenie</w:t>
      </w:r>
      <w:r w:rsidR="001E1258">
        <w:t xml:space="preserve"> wysokości świadczeń </w:t>
      </w:r>
      <w:proofErr w:type="spellStart"/>
      <w:r w:rsidR="001E1258">
        <w:t>emerytalno</w:t>
      </w:r>
      <w:proofErr w:type="spellEnd"/>
      <w:r w:rsidR="001E1258">
        <w:t>–</w:t>
      </w:r>
      <w:r w:rsidR="007E69D1">
        <w:t>rentowych na organ rentowy.</w:t>
      </w:r>
    </w:p>
    <w:p w14:paraId="18F90BDC" w14:textId="3CB754B4" w:rsidR="00A968C9" w:rsidRDefault="0003491F" w:rsidP="00042D97">
      <w:pPr>
        <w:spacing w:line="360" w:lineRule="auto"/>
        <w:ind w:firstLine="708"/>
        <w:jc w:val="both"/>
      </w:pPr>
      <w:r>
        <w:t xml:space="preserve">W </w:t>
      </w:r>
      <w:r w:rsidR="00A968C9">
        <w:t>zakresie przechowywania dokumentacji osobowej i płacowej pracodawców mają zastosowanie regulacje ustawy z dnia 14 lipca 1983 r. o narodowym zasobie archiwalnym i</w:t>
      </w:r>
      <w:r w:rsidR="00507885">
        <w:t> </w:t>
      </w:r>
      <w:r w:rsidR="00A968C9">
        <w:t>archiwach (Dz. U. z 2020 r. poz. 164). Przepisy wymienionej ustawy nie nakładają na organy rentowe obowiązku przechowywania dokumentacji osobowej i płacowej wszystkich pracodawców, w tym</w:t>
      </w:r>
      <w:r w:rsidR="00B55A84">
        <w:t xml:space="preserve"> tych</w:t>
      </w:r>
      <w:r w:rsidR="00A968C9">
        <w:t xml:space="preserve">, którzy ulegli likwidacji lub upadłości. </w:t>
      </w:r>
    </w:p>
    <w:p w14:paraId="6AB05A25" w14:textId="08C733EB" w:rsidR="006F485F" w:rsidRDefault="00BE5DE5" w:rsidP="007E69D1">
      <w:pPr>
        <w:spacing w:line="360" w:lineRule="auto"/>
        <w:ind w:firstLine="708"/>
        <w:jc w:val="both"/>
      </w:pPr>
      <w:r>
        <w:t xml:space="preserve">Na podstawie </w:t>
      </w:r>
      <w:r w:rsidR="00105A31">
        <w:t>zasad obowiązujących w</w:t>
      </w:r>
      <w:r w:rsidR="001E1258">
        <w:t xml:space="preserve"> powszechnym systemie </w:t>
      </w:r>
      <w:proofErr w:type="spellStart"/>
      <w:r w:rsidR="001E1258">
        <w:t>emerytalno</w:t>
      </w:r>
      <w:proofErr w:type="spellEnd"/>
      <w:r w:rsidR="001E1258">
        <w:t>–</w:t>
      </w:r>
      <w:r w:rsidR="00105A31">
        <w:t>rentowym d</w:t>
      </w:r>
      <w:r w:rsidR="006F485F">
        <w:t xml:space="preserve">o wniosków o przyznanie prawa do świadczeń wymagane jest dołączenie przez osobę </w:t>
      </w:r>
      <w:r w:rsidR="00840CA8">
        <w:t>zainteresowaną</w:t>
      </w:r>
      <w:r w:rsidR="006F485F">
        <w:t xml:space="preserve"> dowodów uzasadniających prawo do świadczeń i ich wysokości.</w:t>
      </w:r>
      <w:r w:rsidR="00E4287F">
        <w:t xml:space="preserve"> Ponowne ustalenie wysokości tych świadczeń może nastąpić po przedłożeniu przez osobę zainteresowaną nowych dowodów lub ujawnieni</w:t>
      </w:r>
      <w:r w:rsidR="00975859">
        <w:t>u</w:t>
      </w:r>
      <w:r w:rsidR="00E4287F">
        <w:t xml:space="preserve"> nowych okoliczności. </w:t>
      </w:r>
      <w:r w:rsidR="00BF6099">
        <w:t>Dowody prz</w:t>
      </w:r>
      <w:r w:rsidR="00A83511">
        <w:t>edstawione przez wnioskodawcę są</w:t>
      </w:r>
      <w:r w:rsidR="00BF6099">
        <w:t xml:space="preserve"> </w:t>
      </w:r>
      <w:r w:rsidR="00A83511">
        <w:t>podstawą do ustalenia wysokości świadczenia lub</w:t>
      </w:r>
      <w:r w:rsidR="00C4588D">
        <w:t> </w:t>
      </w:r>
      <w:r w:rsidR="00A83511">
        <w:t xml:space="preserve">obliczenia jego wysokości ponownie. </w:t>
      </w:r>
    </w:p>
    <w:p w14:paraId="55125B44" w14:textId="46EA68A6" w:rsidR="00A35319" w:rsidRDefault="001E076F" w:rsidP="007E69D1">
      <w:pPr>
        <w:spacing w:line="360" w:lineRule="auto"/>
        <w:ind w:firstLine="708"/>
        <w:jc w:val="both"/>
      </w:pPr>
      <w:r>
        <w:t>Projektowane rozwiązanie dotyczy wyłącznie przypadków ponownego obliczenia wysokości świadczeń osób upra</w:t>
      </w:r>
      <w:r w:rsidR="00FF3B5D">
        <w:t>wnionych do emerytury górniczej, naruszając bezpośrednio obowiązującą w tym zakresie zasadę równego traktowania wszystkich ubezpieczonych.</w:t>
      </w:r>
      <w:r>
        <w:t xml:space="preserve"> </w:t>
      </w:r>
      <w:r w:rsidR="009703BE">
        <w:t>W</w:t>
      </w:r>
      <w:r w:rsidR="00507885">
        <w:t> </w:t>
      </w:r>
      <w:r w:rsidR="00FA51CC">
        <w:t>konsekwencji</w:t>
      </w:r>
      <w:r w:rsidR="009703BE">
        <w:t xml:space="preserve"> </w:t>
      </w:r>
      <w:r w:rsidR="0041567F">
        <w:t xml:space="preserve">należy spodziewać się </w:t>
      </w:r>
      <w:r w:rsidR="00252E2C">
        <w:t>roszcze</w:t>
      </w:r>
      <w:r w:rsidR="0041567F">
        <w:t>ń</w:t>
      </w:r>
      <w:r>
        <w:t xml:space="preserve"> innych grup społecznych o przyznanie im</w:t>
      </w:r>
      <w:r w:rsidR="00C4588D">
        <w:t> </w:t>
      </w:r>
      <w:r>
        <w:t>analogicznych uprawnień nie tylko w sprawach o ponowne obliczenie</w:t>
      </w:r>
      <w:r w:rsidR="001E1258">
        <w:t xml:space="preserve"> wysokości świadczeń </w:t>
      </w:r>
      <w:proofErr w:type="spellStart"/>
      <w:r w:rsidR="001E1258">
        <w:t>emerytalno</w:t>
      </w:r>
      <w:proofErr w:type="spellEnd"/>
      <w:r w:rsidR="001E1258">
        <w:t>–</w:t>
      </w:r>
      <w:r>
        <w:t>rentowych</w:t>
      </w:r>
      <w:r w:rsidR="0041567F">
        <w:t>,</w:t>
      </w:r>
      <w:r>
        <w:t xml:space="preserve"> ale</w:t>
      </w:r>
      <w:r w:rsidR="0041567F">
        <w:t xml:space="preserve"> przede wszystkim </w:t>
      </w:r>
      <w:r>
        <w:t>w sprawach dotyczących ustalenia prawa do</w:t>
      </w:r>
      <w:r w:rsidR="00F97212">
        <w:t> </w:t>
      </w:r>
      <w:r>
        <w:t xml:space="preserve">świadczeń i ich wysokości. </w:t>
      </w:r>
    </w:p>
    <w:p w14:paraId="7CFC9462" w14:textId="320A0A96" w:rsidR="005A5A8C" w:rsidRDefault="00A83511" w:rsidP="00CA2B44">
      <w:pPr>
        <w:spacing w:line="360" w:lineRule="auto"/>
        <w:ind w:firstLine="708"/>
        <w:jc w:val="both"/>
      </w:pPr>
      <w:r>
        <w:t xml:space="preserve">Przyjęcie proponowanych rozwiązań prowadziłoby faktycznie do nałożenia na organy rentowe nowego obowiązku polegającego na poszukiwaniu dowodów uzasadniających prawo wnioskodawców do świadczeń </w:t>
      </w:r>
      <w:r w:rsidR="009703BE">
        <w:t>oraz do</w:t>
      </w:r>
      <w:r>
        <w:t xml:space="preserve"> ich wysokości. </w:t>
      </w:r>
      <w:r w:rsidR="005A5A8C">
        <w:t>Z projektow</w:t>
      </w:r>
      <w:r w:rsidR="00237B54">
        <w:t>anych regulacji nie wynika</w:t>
      </w:r>
      <w:r w:rsidR="009703BE">
        <w:t xml:space="preserve">, </w:t>
      </w:r>
      <w:r w:rsidR="00237B54">
        <w:t xml:space="preserve">w jaki sposób organy rentowe miałyby przeprowadzać proces postępowania w sprawie </w:t>
      </w:r>
      <w:r w:rsidR="008C4DCE">
        <w:t xml:space="preserve">pozyskiwania </w:t>
      </w:r>
      <w:r w:rsidR="00237B54">
        <w:t xml:space="preserve">dowodów </w:t>
      </w:r>
      <w:r w:rsidR="008C4DCE">
        <w:t xml:space="preserve">czy też co </w:t>
      </w:r>
      <w:r w:rsidR="00A14642">
        <w:t>należy rozumieć</w:t>
      </w:r>
      <w:r w:rsidR="008C4DCE">
        <w:t xml:space="preserve"> pod pojęciem „dowodów </w:t>
      </w:r>
      <w:r w:rsidR="00237B54">
        <w:t>znanych z</w:t>
      </w:r>
      <w:r w:rsidR="00DD0E6D">
        <w:t> </w:t>
      </w:r>
      <w:r w:rsidR="00237B54">
        <w:t>urzędu</w:t>
      </w:r>
      <w:r w:rsidR="008C4DCE">
        <w:t>”</w:t>
      </w:r>
      <w:r w:rsidR="00237B54">
        <w:t xml:space="preserve">. </w:t>
      </w:r>
    </w:p>
    <w:p w14:paraId="426DA2EE" w14:textId="736E244D" w:rsidR="004857E2" w:rsidRDefault="00BF6099" w:rsidP="00A30DE5">
      <w:pPr>
        <w:spacing w:line="360" w:lineRule="auto"/>
        <w:ind w:firstLine="708"/>
        <w:jc w:val="both"/>
      </w:pPr>
      <w:r>
        <w:t>W</w:t>
      </w:r>
      <w:r w:rsidR="00B524B7">
        <w:t>bre</w:t>
      </w:r>
      <w:r w:rsidR="005A3C4E">
        <w:t xml:space="preserve">w intencjom wnioskodawców </w:t>
      </w:r>
      <w:r>
        <w:t xml:space="preserve">projektowane rozwiązanie </w:t>
      </w:r>
      <w:r w:rsidR="009703BE">
        <w:t>mogło</w:t>
      </w:r>
      <w:r w:rsidR="00B524B7">
        <w:t>by prowadzić do</w:t>
      </w:r>
      <w:r w:rsidR="00F97212">
        <w:t> </w:t>
      </w:r>
      <w:r w:rsidR="00B524B7">
        <w:t>zawężenia środków</w:t>
      </w:r>
      <w:r w:rsidR="001B2314">
        <w:t xml:space="preserve"> dowodowych, które miałyby stanowić podstaw</w:t>
      </w:r>
      <w:r w:rsidR="00DA1F60">
        <w:t>ę</w:t>
      </w:r>
      <w:r w:rsidR="001B2314">
        <w:t xml:space="preserve"> do ponownego ustalenia wysokości emerytury</w:t>
      </w:r>
      <w:r>
        <w:t xml:space="preserve"> górniczej</w:t>
      </w:r>
      <w:r w:rsidR="001B2314">
        <w:t xml:space="preserve">. </w:t>
      </w:r>
      <w:r w:rsidR="00A30DE5">
        <w:t xml:space="preserve">Nie można wykluczyć sytuacji, że organy rentowe </w:t>
      </w:r>
      <w:r w:rsidR="00A30DE5">
        <w:lastRenderedPageBreak/>
        <w:t xml:space="preserve">nie mogłyby dotrzeć do dowodów uzasadniających prawo wnioskodawcy do ponownego obliczenia wysokości świadczenia. </w:t>
      </w:r>
      <w:r w:rsidR="004B2D9E">
        <w:t xml:space="preserve">Przyjęcie rozwiązania na podstawie którego ponowne obliczenie </w:t>
      </w:r>
      <w:r w:rsidR="00B046A3" w:rsidRPr="00B046A3">
        <w:t xml:space="preserve">tej </w:t>
      </w:r>
      <w:r w:rsidR="004B2D9E">
        <w:t xml:space="preserve">wysokości następowałoby na podstawie </w:t>
      </w:r>
      <w:r w:rsidR="00DA1F60">
        <w:t>dowodów zna</w:t>
      </w:r>
      <w:r w:rsidR="00840CA8">
        <w:t>nych organowi powodował</w:t>
      </w:r>
      <w:r w:rsidR="00975859">
        <w:t>o</w:t>
      </w:r>
      <w:r w:rsidR="00840CA8">
        <w:t>by</w:t>
      </w:r>
      <w:r w:rsidR="00DA1F60">
        <w:t xml:space="preserve">, że osoby składające wnioski o to </w:t>
      </w:r>
      <w:r w:rsidR="005A3C4E">
        <w:t xml:space="preserve">ponowne </w:t>
      </w:r>
      <w:r w:rsidR="00DA1F60">
        <w:t xml:space="preserve">obliczenie </w:t>
      </w:r>
      <w:r w:rsidR="005A3C4E">
        <w:t xml:space="preserve">świadczeń </w:t>
      </w:r>
      <w:r w:rsidR="00DA1F60">
        <w:t>nie</w:t>
      </w:r>
      <w:r w:rsidR="00C4588D">
        <w:t> </w:t>
      </w:r>
      <w:r w:rsidR="00DA1F60">
        <w:t>podejmowałyby działań w kierunku o</w:t>
      </w:r>
      <w:r w:rsidR="00A83511">
        <w:t xml:space="preserve">dnalezienia tych dowodów a </w:t>
      </w:r>
      <w:r w:rsidR="00A30DE5">
        <w:t xml:space="preserve">jedynie </w:t>
      </w:r>
      <w:r w:rsidR="00A83511">
        <w:t>oczekiwały na</w:t>
      </w:r>
      <w:r w:rsidR="00FD726B">
        <w:t> </w:t>
      </w:r>
      <w:r w:rsidR="00A83511">
        <w:t>działania organu rentowego.</w:t>
      </w:r>
      <w:r w:rsidR="00237B54">
        <w:t xml:space="preserve"> </w:t>
      </w:r>
      <w:r w:rsidR="00B654B8">
        <w:t>Ale też</w:t>
      </w:r>
      <w:r w:rsidR="00DA1F60">
        <w:t xml:space="preserve"> nie możn</w:t>
      </w:r>
      <w:r w:rsidR="00B52349">
        <w:t xml:space="preserve">a wykluczyć przypadków </w:t>
      </w:r>
      <w:r w:rsidR="00B046A3">
        <w:t xml:space="preserve">świadomego </w:t>
      </w:r>
      <w:r w:rsidR="00B52349">
        <w:t>nieujawniania</w:t>
      </w:r>
      <w:r w:rsidR="007A43CC">
        <w:t xml:space="preserve"> organom rentowym </w:t>
      </w:r>
      <w:r w:rsidR="00E64EEC">
        <w:t xml:space="preserve">przez </w:t>
      </w:r>
      <w:r w:rsidR="005A3C4E">
        <w:t xml:space="preserve">osoby zainteresowane </w:t>
      </w:r>
      <w:r w:rsidR="00737B4D">
        <w:t>dowodów znajdujących się</w:t>
      </w:r>
      <w:r w:rsidR="00C4588D">
        <w:t> </w:t>
      </w:r>
      <w:r w:rsidR="00737B4D">
        <w:t>w</w:t>
      </w:r>
      <w:r w:rsidR="00F97212">
        <w:t> </w:t>
      </w:r>
      <w:r w:rsidR="00737B4D">
        <w:t>ich posiadaniu</w:t>
      </w:r>
      <w:r w:rsidR="00975859">
        <w:t>,</w:t>
      </w:r>
      <w:r w:rsidR="00737B4D">
        <w:t xml:space="preserve"> </w:t>
      </w:r>
      <w:r w:rsidR="00DA1F60">
        <w:t xml:space="preserve">ze względu </w:t>
      </w:r>
      <w:r w:rsidR="00B654B8">
        <w:t>na pro</w:t>
      </w:r>
      <w:r w:rsidR="00DD15C8">
        <w:t>ponowaną w projekcie</w:t>
      </w:r>
      <w:r w:rsidR="00B654B8">
        <w:t xml:space="preserve"> zasadę ustalania wskaźnika wysokości podstawy emerytury w przypadkach</w:t>
      </w:r>
      <w:r w:rsidR="00E622AD">
        <w:t>,</w:t>
      </w:r>
      <w:r w:rsidR="00B654B8">
        <w:t xml:space="preserve"> kiedy organy rentowe po przeprowadzeniu postępowania o dowody </w:t>
      </w:r>
      <w:r w:rsidR="00E43CBE">
        <w:t xml:space="preserve">im </w:t>
      </w:r>
      <w:r w:rsidR="00737B4D">
        <w:t xml:space="preserve">znane </w:t>
      </w:r>
      <w:r w:rsidR="00B654B8">
        <w:t xml:space="preserve">nie byłyby w stanie </w:t>
      </w:r>
      <w:r w:rsidR="00737B4D">
        <w:t xml:space="preserve">jednoznacznie </w:t>
      </w:r>
      <w:r w:rsidR="00E622AD">
        <w:t>określić tego wskaźnika –</w:t>
      </w:r>
      <w:r w:rsidR="004857E2">
        <w:t xml:space="preserve"> </w:t>
      </w:r>
      <w:r w:rsidR="00E622AD">
        <w:t xml:space="preserve">zwłaszcza </w:t>
      </w:r>
      <w:r w:rsidR="00585507">
        <w:t>wtedy, gdy tak ustalony wskaźnik wysokości podstawy emerytury byłby wyższy</w:t>
      </w:r>
      <w:r w:rsidR="004857E2">
        <w:t>,</w:t>
      </w:r>
      <w:r w:rsidR="00585507">
        <w:t xml:space="preserve"> niż wynikałoby to z posiadanych przez stronę dowodów. </w:t>
      </w:r>
    </w:p>
    <w:p w14:paraId="6E21BA3F" w14:textId="52B9E4D5" w:rsidR="00A91275" w:rsidRDefault="00E90FB7" w:rsidP="00A30DE5">
      <w:pPr>
        <w:spacing w:line="360" w:lineRule="auto"/>
        <w:ind w:firstLine="708"/>
        <w:jc w:val="both"/>
      </w:pPr>
      <w:r>
        <w:t>Projektowane rozwiązanie dotyczące ustalenia wskaźnika wysokości podstawy emerytury na podstawie przyjmowan</w:t>
      </w:r>
      <w:r w:rsidR="00DD15C8">
        <w:t>i</w:t>
      </w:r>
      <w:r>
        <w:t xml:space="preserve">a </w:t>
      </w:r>
      <w:r w:rsidR="00212122">
        <w:t>średniej wartości</w:t>
      </w:r>
      <w:r>
        <w:t xml:space="preserve"> wynagrodzeń osoby składającej wniosek z roku wskazanego przez </w:t>
      </w:r>
      <w:r w:rsidR="00212122">
        <w:t xml:space="preserve">tę osobę </w:t>
      </w:r>
      <w:r>
        <w:t>przy jednoczesnym uwzględnieniu składników wynagrodzenia, od których nie były na</w:t>
      </w:r>
      <w:r w:rsidR="00DD15C8">
        <w:t>liczane składki na ubezpieczenia</w:t>
      </w:r>
      <w:r>
        <w:t xml:space="preserve"> </w:t>
      </w:r>
      <w:r w:rsidR="00DD15C8">
        <w:t>społeczne</w:t>
      </w:r>
      <w:r w:rsidR="00FA51CC">
        <w:t>,</w:t>
      </w:r>
      <w:r w:rsidR="002E3F86">
        <w:t xml:space="preserve"> jest</w:t>
      </w:r>
      <w:r w:rsidR="00C4588D">
        <w:t> </w:t>
      </w:r>
      <w:r w:rsidR="002E3F86">
        <w:t xml:space="preserve">sprzeczne </w:t>
      </w:r>
      <w:r w:rsidR="00212122">
        <w:t xml:space="preserve">z generalną zasadą obowiązującą </w:t>
      </w:r>
      <w:r w:rsidR="00737B4D">
        <w:t xml:space="preserve">w </w:t>
      </w:r>
      <w:r w:rsidR="007A18F1">
        <w:t xml:space="preserve">powszechnym systemie </w:t>
      </w:r>
      <w:proofErr w:type="spellStart"/>
      <w:r w:rsidR="007A18F1">
        <w:t>emerytalno</w:t>
      </w:r>
      <w:proofErr w:type="spellEnd"/>
      <w:r w:rsidR="007A18F1">
        <w:t>–</w:t>
      </w:r>
      <w:r w:rsidR="00737B4D">
        <w:t xml:space="preserve">rentowym. </w:t>
      </w:r>
      <w:r w:rsidR="00212122">
        <w:t>Zgo</w:t>
      </w:r>
      <w:r w:rsidR="007A43CC">
        <w:t>dnie z tą zasadą wysokość</w:t>
      </w:r>
      <w:r w:rsidR="00212122">
        <w:t xml:space="preserve"> podstawy wymiaru emerytur i rent stanowi </w:t>
      </w:r>
      <w:r w:rsidR="00240514">
        <w:t xml:space="preserve">przeciętna podstawa </w:t>
      </w:r>
      <w:r w:rsidR="00A14642">
        <w:t>wymiaru składki na ubezpieczenia</w:t>
      </w:r>
      <w:r w:rsidR="00240514">
        <w:t xml:space="preserve"> emerytaln</w:t>
      </w:r>
      <w:r w:rsidR="00A14642">
        <w:t>e i rentowe lub na ubezpieczenia</w:t>
      </w:r>
      <w:r w:rsidR="00240514">
        <w:t xml:space="preserve"> społeczne. </w:t>
      </w:r>
      <w:r w:rsidR="002E3F86">
        <w:t xml:space="preserve">Przyjęcie </w:t>
      </w:r>
      <w:r w:rsidR="00737B4D">
        <w:t xml:space="preserve">projektowanego </w:t>
      </w:r>
      <w:r w:rsidR="002E3F86">
        <w:t xml:space="preserve">rozwiązania </w:t>
      </w:r>
      <w:r w:rsidR="005A3C4E">
        <w:t xml:space="preserve">jedynie </w:t>
      </w:r>
      <w:r w:rsidR="002E3F86">
        <w:t xml:space="preserve">w stosunku do </w:t>
      </w:r>
      <w:r w:rsidR="005A3C4E">
        <w:t>osób, które nabyły</w:t>
      </w:r>
      <w:r w:rsidR="002E3F86">
        <w:t xml:space="preserve"> uprawnienia </w:t>
      </w:r>
      <w:r w:rsidR="00B63A7A">
        <w:t xml:space="preserve">do </w:t>
      </w:r>
      <w:r w:rsidR="00A30DE5">
        <w:t xml:space="preserve">emerytur górniczych prowadziłoby </w:t>
      </w:r>
      <w:r w:rsidR="00B27C60">
        <w:t xml:space="preserve">nie tylko </w:t>
      </w:r>
      <w:r w:rsidR="007A43CC">
        <w:t xml:space="preserve">do </w:t>
      </w:r>
      <w:r w:rsidR="002E3F86">
        <w:t xml:space="preserve">nierównego traktowania </w:t>
      </w:r>
      <w:r w:rsidR="00965775">
        <w:t>innych grup społecznych, które nabyły uprawnienia emerytalne na podstawie odrębnych przepisów.</w:t>
      </w:r>
      <w:r w:rsidR="00840CA8">
        <w:t xml:space="preserve"> </w:t>
      </w:r>
      <w:r w:rsidR="00965775">
        <w:t>Prowadziłoby</w:t>
      </w:r>
      <w:r w:rsidR="007C4A0E">
        <w:t xml:space="preserve"> to</w:t>
      </w:r>
      <w:r w:rsidR="00965775">
        <w:t xml:space="preserve"> </w:t>
      </w:r>
      <w:r w:rsidR="00F0506B">
        <w:t xml:space="preserve">również </w:t>
      </w:r>
      <w:r w:rsidR="00965775">
        <w:t>do nierównego t</w:t>
      </w:r>
      <w:r w:rsidR="00992DFA">
        <w:t xml:space="preserve">raktowania w ramach </w:t>
      </w:r>
      <w:r w:rsidR="00965775">
        <w:t>jednej grupy społecznej</w:t>
      </w:r>
      <w:r w:rsidR="00A91275">
        <w:t>,</w:t>
      </w:r>
      <w:r w:rsidR="00902553">
        <w:t xml:space="preserve"> </w:t>
      </w:r>
      <w:r w:rsidR="00965775">
        <w:t xml:space="preserve">gdyż </w:t>
      </w:r>
      <w:r w:rsidR="00E64EEC">
        <w:t xml:space="preserve">w przypadku </w:t>
      </w:r>
      <w:r w:rsidR="00965775">
        <w:t>części uprawnionych przy ustalaniu bądź ponownym ustalaniu wskaźnika wysokoś</w:t>
      </w:r>
      <w:r w:rsidR="007A43CC">
        <w:t xml:space="preserve">ci podstawy </w:t>
      </w:r>
      <w:r w:rsidR="00902553">
        <w:t xml:space="preserve">emerytur górniczych </w:t>
      </w:r>
      <w:r w:rsidR="007A43CC">
        <w:t>uwzględniona byłaby</w:t>
      </w:r>
      <w:r w:rsidR="00965775">
        <w:t xml:space="preserve"> przeciętna podstaw</w:t>
      </w:r>
      <w:r w:rsidR="007A43CC">
        <w:t>a</w:t>
      </w:r>
      <w:r w:rsidR="00965775">
        <w:t xml:space="preserve"> </w:t>
      </w:r>
      <w:r w:rsidR="008C4DCE">
        <w:t>wymiaru składek na ubezpieczenia</w:t>
      </w:r>
      <w:r w:rsidR="00965775">
        <w:t xml:space="preserve"> emeryt</w:t>
      </w:r>
      <w:r w:rsidR="008C4DCE">
        <w:t>alne i rentowe lub ubezpieczenia</w:t>
      </w:r>
      <w:r w:rsidR="00965775">
        <w:t xml:space="preserve"> społeczne</w:t>
      </w:r>
      <w:r w:rsidR="00840CA8">
        <w:t>,</w:t>
      </w:r>
      <w:r w:rsidR="00965775">
        <w:t xml:space="preserve"> </w:t>
      </w:r>
      <w:r w:rsidR="00E64EEC">
        <w:t xml:space="preserve">a w przypadku </w:t>
      </w:r>
      <w:r w:rsidR="00965775">
        <w:t xml:space="preserve">części uprawnionych wskaźnik ten ustalony byłby </w:t>
      </w:r>
      <w:r w:rsidR="00B33D0C">
        <w:t>w oparciu o</w:t>
      </w:r>
      <w:r w:rsidR="00C4588D">
        <w:t> </w:t>
      </w:r>
      <w:r w:rsidR="00B33D0C">
        <w:t>wynagrodzenie przy uwzględnieniu</w:t>
      </w:r>
      <w:r w:rsidR="007A43CC">
        <w:t xml:space="preserve"> również </w:t>
      </w:r>
      <w:r w:rsidR="008C4DCE">
        <w:t>składników, od których</w:t>
      </w:r>
      <w:r w:rsidR="00B33D0C">
        <w:t xml:space="preserve"> nie były odprowadzane składki na to ubezpieczenie. </w:t>
      </w:r>
      <w:r w:rsidR="007F7DB6">
        <w:t>K</w:t>
      </w:r>
      <w:r w:rsidR="00902553">
        <w:t xml:space="preserve">onsekwencją </w:t>
      </w:r>
      <w:r w:rsidR="007F7DB6">
        <w:t xml:space="preserve">przyjęcia projektowanych </w:t>
      </w:r>
      <w:r w:rsidR="00902553">
        <w:t xml:space="preserve">rozwiązań </w:t>
      </w:r>
      <w:r w:rsidR="00014F97">
        <w:t xml:space="preserve">byłoby nieuzasadnione zawyżanie wysokości </w:t>
      </w:r>
      <w:r w:rsidR="00237B54">
        <w:t xml:space="preserve">ponownie obliczonych </w:t>
      </w:r>
      <w:r w:rsidR="00014F97">
        <w:t>emerytur górniczych</w:t>
      </w:r>
      <w:r w:rsidR="00902553">
        <w:t xml:space="preserve">, tym bardziej że na wysokość tych świadczeń ma również wpływ stosowanie przeliczników z tytułu wykonywanej określonej pracy górniczej. </w:t>
      </w:r>
    </w:p>
    <w:p w14:paraId="2094A098" w14:textId="77777777" w:rsidR="00A14642" w:rsidRDefault="00A14642">
      <w:pPr>
        <w:spacing w:after="160" w:line="259" w:lineRule="auto"/>
      </w:pPr>
      <w:r>
        <w:br w:type="page"/>
      </w:r>
    </w:p>
    <w:p w14:paraId="6AAC2B84" w14:textId="0B5B597C" w:rsidR="00902553" w:rsidRDefault="007F7DB6" w:rsidP="00A30DE5">
      <w:pPr>
        <w:spacing w:line="360" w:lineRule="auto"/>
        <w:ind w:firstLine="708"/>
        <w:jc w:val="both"/>
      </w:pPr>
      <w:r>
        <w:lastRenderedPageBreak/>
        <w:t>Przyznanie preferencyjnych zasad dotyczących ponownego obliczenia wysokości emerytury dla wybranej grupy społecznej nie znajduje uzasadnienia ze względu na podstawową zasadę</w:t>
      </w:r>
      <w:r w:rsidR="00E702BA">
        <w:t xml:space="preserve"> obowiązującą w powszechnym systemie </w:t>
      </w:r>
      <w:proofErr w:type="spellStart"/>
      <w:r w:rsidR="00E702BA">
        <w:t>emerytalno</w:t>
      </w:r>
      <w:proofErr w:type="spellEnd"/>
      <w:r w:rsidR="008323F9">
        <w:t>–</w:t>
      </w:r>
      <w:r w:rsidR="00E702BA">
        <w:t>rentowym</w:t>
      </w:r>
      <w:r>
        <w:t>, zgodnie z którą w</w:t>
      </w:r>
      <w:r w:rsidR="00E82BCF">
        <w:t>ysokość składki na ubezpieczenia</w:t>
      </w:r>
      <w:r>
        <w:t xml:space="preserve"> społeczne </w:t>
      </w:r>
      <w:r w:rsidR="00E702BA">
        <w:t xml:space="preserve">jest jednakowa dla wszystkich ubezpieczonych. </w:t>
      </w:r>
      <w:r w:rsidR="00F0506B">
        <w:t>Uwzględnienie przy obliczaniu</w:t>
      </w:r>
      <w:r w:rsidR="008323F9">
        <w:t xml:space="preserve"> wysokości świadczeń </w:t>
      </w:r>
      <w:proofErr w:type="spellStart"/>
      <w:r w:rsidR="008323F9">
        <w:t>emerytalno</w:t>
      </w:r>
      <w:proofErr w:type="spellEnd"/>
      <w:r w:rsidR="008323F9">
        <w:t>–</w:t>
      </w:r>
      <w:r w:rsidR="00F0506B">
        <w:t>rentowych wynagrodzeń, od</w:t>
      </w:r>
      <w:r w:rsidR="00FD726B">
        <w:t> </w:t>
      </w:r>
      <w:r w:rsidR="00F0506B">
        <w:t xml:space="preserve">których nie była odprowadzana składka na </w:t>
      </w:r>
      <w:r w:rsidR="00B63A7A">
        <w:t xml:space="preserve">to </w:t>
      </w:r>
      <w:r w:rsidR="00F0506B">
        <w:t>ubezpieczenie</w:t>
      </w:r>
      <w:r w:rsidR="00FD726B">
        <w:t>,</w:t>
      </w:r>
      <w:r w:rsidR="00F0506B">
        <w:t xml:space="preserve"> jest sprzeczne z zasadami, którym podlega ogół ubezpieczonych.</w:t>
      </w:r>
    </w:p>
    <w:p w14:paraId="1ACD6DC9" w14:textId="573A3DE1" w:rsidR="00242B2F" w:rsidRDefault="00167105" w:rsidP="00167105">
      <w:pPr>
        <w:spacing w:line="360" w:lineRule="auto"/>
        <w:ind w:firstLine="708"/>
        <w:jc w:val="both"/>
      </w:pPr>
      <w:r>
        <w:t xml:space="preserve">Należy również zaznaczyć, że projektowane rozwiązanie dotyczące </w:t>
      </w:r>
      <w:r w:rsidR="00840CA8">
        <w:t>nie</w:t>
      </w:r>
      <w:r>
        <w:t>stosowania art.</w:t>
      </w:r>
      <w:r w:rsidR="00F97212">
        <w:t> </w:t>
      </w:r>
      <w:r>
        <w:t>116 ust</w:t>
      </w:r>
      <w:r w:rsidR="008A281B">
        <w:t>.</w:t>
      </w:r>
      <w:r>
        <w:t xml:space="preserve"> 5 ustawy o emeryturach i rentach z FUS przy ponownym obliczaniu wysokości emerytury i renty nie znajduje uzasadnienia z uwagi, że wskazana regulacja dotyczy składanych przez osoby zainteresowane wniosków o przyznanie świadczeń, do których powinny być dołączone dowody uzasadniające prawo do świadczeń i ich wysokości</w:t>
      </w:r>
      <w:r w:rsidR="00320312">
        <w:t>.</w:t>
      </w:r>
      <w:r w:rsidR="00237B54">
        <w:t xml:space="preserve"> </w:t>
      </w:r>
    </w:p>
    <w:p w14:paraId="2B73845A" w14:textId="4187780E" w:rsidR="00E377A7" w:rsidRDefault="00E377A7" w:rsidP="00167105">
      <w:pPr>
        <w:spacing w:line="360" w:lineRule="auto"/>
        <w:ind w:firstLine="708"/>
        <w:jc w:val="both"/>
      </w:pPr>
      <w:r>
        <w:t>Kolejną kwest</w:t>
      </w:r>
      <w:r w:rsidR="00413786">
        <w:t>i</w:t>
      </w:r>
      <w:r>
        <w:t xml:space="preserve">ą budzącą </w:t>
      </w:r>
      <w:r w:rsidR="00DD15C8">
        <w:t>wątpliwości</w:t>
      </w:r>
      <w:r>
        <w:t xml:space="preserve"> są wskazane w uzasadnieniu do projektu ustawy skutki finansowe projektowan</w:t>
      </w:r>
      <w:r w:rsidR="00AC5B1C">
        <w:t>ej</w:t>
      </w:r>
      <w:r>
        <w:t xml:space="preserve"> regulacji. </w:t>
      </w:r>
      <w:r w:rsidR="00831C6A">
        <w:t>Przede wszystkim nie określono założeń do</w:t>
      </w:r>
      <w:r w:rsidR="00FD726B">
        <w:t> </w:t>
      </w:r>
      <w:r w:rsidR="00831C6A">
        <w:t>oszacowania tych skutków. Brak jest informacji</w:t>
      </w:r>
      <w:r w:rsidR="00DD15C8">
        <w:t>,</w:t>
      </w:r>
      <w:r w:rsidR="00831C6A">
        <w:t xml:space="preserve"> na jakiej podstawie ustalono liczbę osób, które byłyby </w:t>
      </w:r>
      <w:r w:rsidR="00AC5B1C">
        <w:t xml:space="preserve">nią </w:t>
      </w:r>
      <w:r w:rsidR="00831C6A">
        <w:t>objęte. Brak je</w:t>
      </w:r>
      <w:r w:rsidR="00DD15C8">
        <w:t>st także informacji ile wynosił</w:t>
      </w:r>
      <w:r w:rsidR="00831C6A">
        <w:t>by przeciętny wzrost emerytury górniczej oraz ile mogłaby wynosić górna granica wysokości tej emerytury</w:t>
      </w:r>
      <w:r w:rsidR="00934E49">
        <w:t xml:space="preserve"> obliczonej na</w:t>
      </w:r>
      <w:r w:rsidR="00F97212">
        <w:t> </w:t>
      </w:r>
      <w:r w:rsidR="00934E49">
        <w:t xml:space="preserve">nowych zasadach. Wnioskodawcy w uzasadnieniu projektu ustawy nie podjęli kwestii skali </w:t>
      </w:r>
      <w:r w:rsidR="00CA2B44">
        <w:t>ewentualn</w:t>
      </w:r>
      <w:r w:rsidR="00452C40">
        <w:t xml:space="preserve">ych </w:t>
      </w:r>
      <w:r w:rsidR="00934E49">
        <w:t xml:space="preserve">roszczeń innych grup </w:t>
      </w:r>
      <w:r w:rsidR="00570F32">
        <w:t>społecznych upraw</w:t>
      </w:r>
      <w:r w:rsidR="008323F9">
        <w:t xml:space="preserve">nionych do świadczeń </w:t>
      </w:r>
      <w:proofErr w:type="spellStart"/>
      <w:r w:rsidR="008323F9">
        <w:t>emerytalno</w:t>
      </w:r>
      <w:proofErr w:type="spellEnd"/>
      <w:r w:rsidR="00570F32">
        <w:t>– rentowych</w:t>
      </w:r>
      <w:r w:rsidR="00974ABE">
        <w:t>, czy też</w:t>
      </w:r>
      <w:r w:rsidR="00570F32">
        <w:t xml:space="preserve"> roszczeń </w:t>
      </w:r>
      <w:r w:rsidR="00934E49">
        <w:t>ubezpieczonych</w:t>
      </w:r>
      <w:r w:rsidR="00570F32">
        <w:t>, którzy dopiero będą występować o ustalenie prawa do tych świadczeń</w:t>
      </w:r>
      <w:r w:rsidR="00974ABE">
        <w:t xml:space="preserve"> </w:t>
      </w:r>
      <w:r w:rsidR="00934E49">
        <w:t xml:space="preserve">oraz </w:t>
      </w:r>
      <w:r w:rsidR="00570F32">
        <w:t xml:space="preserve">skali </w:t>
      </w:r>
      <w:r w:rsidR="00934E49">
        <w:t xml:space="preserve">wpływu tych roszczeń na stan finansów ubezpieczeń społecznych. Nie został również uwzględniony wzrost kosztów działania organów rentowych z uwagi na nowo nałożone </w:t>
      </w:r>
      <w:r w:rsidR="00AC5B1C">
        <w:t>obowiązki</w:t>
      </w:r>
      <w:r w:rsidR="00934E49">
        <w:t xml:space="preserve">. </w:t>
      </w:r>
    </w:p>
    <w:p w14:paraId="614CE314" w14:textId="2DB5E138" w:rsidR="00D65EB2" w:rsidRDefault="0073021F" w:rsidP="00212122">
      <w:pPr>
        <w:spacing w:line="360" w:lineRule="auto"/>
        <w:ind w:firstLine="708"/>
        <w:jc w:val="both"/>
      </w:pPr>
      <w:r>
        <w:t>Należy również zauważyć, że w</w:t>
      </w:r>
      <w:r w:rsidR="00E43CBE">
        <w:t xml:space="preserve">nioskodawcy projektu ustawy </w:t>
      </w:r>
      <w:r w:rsidR="00991B97">
        <w:t xml:space="preserve">kierują </w:t>
      </w:r>
      <w:r>
        <w:t>proponowane rozwiązanie</w:t>
      </w:r>
      <w:r w:rsidR="00E43CBE">
        <w:t xml:space="preserve"> </w:t>
      </w:r>
      <w:r w:rsidR="00991B97">
        <w:t>do osób</w:t>
      </w:r>
      <w:r w:rsidR="00B80C0D">
        <w:t xml:space="preserve"> składających</w:t>
      </w:r>
      <w:r w:rsidR="00127073">
        <w:t xml:space="preserve"> wniosek o ponowne obliczenie wysokoś</w:t>
      </w:r>
      <w:r w:rsidR="00B80C0D">
        <w:t>ci renty i emerytur</w:t>
      </w:r>
      <w:r w:rsidR="00991B97">
        <w:t xml:space="preserve"> w przypadku, </w:t>
      </w:r>
      <w:r>
        <w:t xml:space="preserve">w </w:t>
      </w:r>
      <w:r w:rsidR="00991B97">
        <w:t>który</w:t>
      </w:r>
      <w:r w:rsidR="00970246">
        <w:t>m</w:t>
      </w:r>
      <w:r w:rsidR="00B80C0D">
        <w:t xml:space="preserve"> organ rentowy przeprowadza postępowanie w oparciu o dowody </w:t>
      </w:r>
      <w:r w:rsidR="00991B97">
        <w:t xml:space="preserve">jemu </w:t>
      </w:r>
      <w:r w:rsidR="00B80C0D">
        <w:t>znane z urzędu</w:t>
      </w:r>
      <w:r w:rsidR="00127073">
        <w:t xml:space="preserve">, gdy z kolei </w:t>
      </w:r>
      <w:r w:rsidR="00B80C0D">
        <w:t xml:space="preserve">przyjęte </w:t>
      </w:r>
      <w:r>
        <w:t>docelowe rozwiązanie</w:t>
      </w:r>
      <w:r w:rsidR="00B80C0D">
        <w:t xml:space="preserve"> odnos</w:t>
      </w:r>
      <w:r>
        <w:t>i</w:t>
      </w:r>
      <w:r w:rsidR="00B80C0D">
        <w:t xml:space="preserve"> się do wskaźnika </w:t>
      </w:r>
      <w:r w:rsidR="00306F48">
        <w:t>wysokości podstawy emerytury. W tym stanie</w:t>
      </w:r>
      <w:r w:rsidR="00277E24">
        <w:t xml:space="preserve"> rzeczy wątpliwości budzi rodzaj</w:t>
      </w:r>
      <w:r w:rsidR="00306F48">
        <w:t xml:space="preserve"> świadczeń</w:t>
      </w:r>
      <w:r w:rsidR="00970246">
        <w:t>,</w:t>
      </w:r>
      <w:r w:rsidR="00306F48">
        <w:t xml:space="preserve"> do których mają mieć zastos</w:t>
      </w:r>
      <w:r w:rsidR="00167105">
        <w:t>owanie</w:t>
      </w:r>
      <w:r w:rsidR="00934E49">
        <w:t xml:space="preserve"> projektowane regulacje. Nastę</w:t>
      </w:r>
      <w:r w:rsidR="00831C6A">
        <w:t>pną</w:t>
      </w:r>
      <w:r w:rsidR="00167105">
        <w:t xml:space="preserve"> </w:t>
      </w:r>
      <w:r w:rsidR="00991B97">
        <w:t xml:space="preserve">kwestią jest </w:t>
      </w:r>
      <w:r w:rsidR="00A14642">
        <w:t>niewłaściw</w:t>
      </w:r>
      <w:r w:rsidR="00991B97">
        <w:t>e wskazanie daty ustalania prawa do świadczeń na podstawie ustawy</w:t>
      </w:r>
      <w:r w:rsidR="00D65EB2">
        <w:t xml:space="preserve"> o zaopatrzeniu emerytalnym górników i ich rodzin.</w:t>
      </w:r>
      <w:r w:rsidR="00840CA8">
        <w:t xml:space="preserve"> W</w:t>
      </w:r>
      <w:r w:rsidR="007F1188">
        <w:t xml:space="preserve">ątpliwości </w:t>
      </w:r>
      <w:r w:rsidR="00991B97">
        <w:t xml:space="preserve">budzi </w:t>
      </w:r>
      <w:r w:rsidR="007F1188">
        <w:t xml:space="preserve">użyte </w:t>
      </w:r>
      <w:r w:rsidR="00991B97">
        <w:t xml:space="preserve">w projekcie ustawy </w:t>
      </w:r>
      <w:r w:rsidR="00277E24">
        <w:t xml:space="preserve">określenie </w:t>
      </w:r>
      <w:r w:rsidR="007F1188">
        <w:t>„jednoznacznie” w</w:t>
      </w:r>
      <w:r w:rsidR="00F97212">
        <w:t> </w:t>
      </w:r>
      <w:r w:rsidR="007F1188">
        <w:t>stosunku do ustalenia wskaźnika wysokości podstawy emerytury w sytuacji</w:t>
      </w:r>
      <w:r w:rsidR="00970246">
        <w:t>,</w:t>
      </w:r>
      <w:r w:rsidR="007F1188">
        <w:t xml:space="preserve"> gdy ujawnione dowody nie pozwalają na</w:t>
      </w:r>
      <w:r w:rsidR="00127073">
        <w:t xml:space="preserve"> jego</w:t>
      </w:r>
      <w:r w:rsidR="007F1188">
        <w:t xml:space="preserve"> u</w:t>
      </w:r>
      <w:r w:rsidR="00127073">
        <w:t>stalenie.</w:t>
      </w:r>
    </w:p>
    <w:p w14:paraId="081A91DF" w14:textId="5AEA7718" w:rsidR="00740937" w:rsidRPr="00840CA8" w:rsidRDefault="0073021F" w:rsidP="00570F32">
      <w:pPr>
        <w:spacing w:line="360" w:lineRule="auto"/>
        <w:ind w:firstLine="708"/>
        <w:jc w:val="both"/>
      </w:pPr>
      <w:r>
        <w:lastRenderedPageBreak/>
        <w:t>Można domniemywać, że p</w:t>
      </w:r>
      <w:r w:rsidR="001F4B34">
        <w:t>rzyjęcie projektowan</w:t>
      </w:r>
      <w:r w:rsidR="0077284A">
        <w:t xml:space="preserve">ej </w:t>
      </w:r>
      <w:r w:rsidR="001F4B34">
        <w:t xml:space="preserve">regulacji </w:t>
      </w:r>
      <w:r w:rsidR="00273C26">
        <w:t xml:space="preserve">skutkowałoby </w:t>
      </w:r>
      <w:r w:rsidR="0077284A">
        <w:t xml:space="preserve">zatem </w:t>
      </w:r>
      <w:r w:rsidR="000159DE">
        <w:t>wprowadzenie</w:t>
      </w:r>
      <w:r w:rsidR="0077284A">
        <w:t>m mechanizmu p</w:t>
      </w:r>
      <w:r w:rsidR="001F4B34">
        <w:t xml:space="preserve">onownego </w:t>
      </w:r>
      <w:r w:rsidR="000159DE">
        <w:t>obliczania</w:t>
      </w:r>
      <w:r w:rsidR="008323F9">
        <w:t xml:space="preserve"> wysokości świadczeń </w:t>
      </w:r>
      <w:proofErr w:type="spellStart"/>
      <w:r w:rsidR="008323F9">
        <w:t>emerytalno</w:t>
      </w:r>
      <w:proofErr w:type="spellEnd"/>
      <w:r w:rsidR="000159DE">
        <w:t xml:space="preserve">– rentowych </w:t>
      </w:r>
      <w:r>
        <w:t>w oparciu o „sztucznie wyliczony” wskaźnik</w:t>
      </w:r>
      <w:r w:rsidR="000159DE">
        <w:t xml:space="preserve"> wysokości podstawy tych świadczeń</w:t>
      </w:r>
      <w:r w:rsidR="006641C6">
        <w:t xml:space="preserve">, </w:t>
      </w:r>
      <w:r>
        <w:t xml:space="preserve">uwzgledniający wszystkie składki wynagrodzenia, nawet te, od których nie były opłacane składki na ubezpieczenia społeczne, </w:t>
      </w:r>
      <w:r w:rsidR="0077284A">
        <w:t xml:space="preserve">co </w:t>
      </w:r>
      <w:r w:rsidR="006641C6">
        <w:t>był</w:t>
      </w:r>
      <w:r w:rsidR="000B046D">
        <w:t>o</w:t>
      </w:r>
      <w:r w:rsidR="001F4B34">
        <w:t xml:space="preserve">by </w:t>
      </w:r>
      <w:r w:rsidR="00E377A7">
        <w:t xml:space="preserve">sprzeczne </w:t>
      </w:r>
      <w:r w:rsidR="001F4B34">
        <w:t>z zasadami przyjętymi w</w:t>
      </w:r>
      <w:r w:rsidR="00F97212">
        <w:t> </w:t>
      </w:r>
      <w:r w:rsidR="008323F9">
        <w:t xml:space="preserve">powszechnym systemie </w:t>
      </w:r>
      <w:proofErr w:type="spellStart"/>
      <w:r w:rsidR="008323F9">
        <w:t>emerytalno</w:t>
      </w:r>
      <w:proofErr w:type="spellEnd"/>
      <w:r w:rsidR="008323F9">
        <w:t>–</w:t>
      </w:r>
      <w:r w:rsidR="001F4B34">
        <w:t>rentowym uregulowanym przepisami ustawy z dnia 17</w:t>
      </w:r>
      <w:r w:rsidR="00F97212">
        <w:t> </w:t>
      </w:r>
      <w:r w:rsidR="001F4B34">
        <w:t>grudnia 1998 r. o emeryturach i rentach z Fu</w:t>
      </w:r>
      <w:r w:rsidR="00D674E7">
        <w:t>nduszu Ubezpieczeń Społecznych.</w:t>
      </w:r>
    </w:p>
    <w:p w14:paraId="390D49D5" w14:textId="77777777" w:rsidR="0073021F" w:rsidRDefault="0073021F" w:rsidP="00A77846">
      <w:pPr>
        <w:spacing w:line="360" w:lineRule="auto"/>
        <w:jc w:val="both"/>
        <w:rPr>
          <w:b/>
        </w:rPr>
      </w:pPr>
    </w:p>
    <w:p w14:paraId="1E887143" w14:textId="77777777" w:rsidR="00A77846" w:rsidRDefault="00A77846" w:rsidP="00A77846">
      <w:pPr>
        <w:spacing w:line="360" w:lineRule="auto"/>
        <w:jc w:val="both"/>
        <w:rPr>
          <w:b/>
        </w:rPr>
      </w:pPr>
      <w:r>
        <w:rPr>
          <w:b/>
        </w:rPr>
        <w:t>III. Wnioski</w:t>
      </w:r>
    </w:p>
    <w:p w14:paraId="736DE7BC" w14:textId="438835CE" w:rsidR="001863CA" w:rsidRPr="00A77846" w:rsidRDefault="00A77846" w:rsidP="00320312">
      <w:pPr>
        <w:spacing w:line="360" w:lineRule="auto"/>
        <w:ind w:firstLine="708"/>
        <w:jc w:val="both"/>
        <w:rPr>
          <w:rFonts w:eastAsia="Calibri"/>
        </w:rPr>
      </w:pPr>
      <w:r>
        <w:t>Rada Minis</w:t>
      </w:r>
      <w:r w:rsidR="005C3AD6">
        <w:t xml:space="preserve">trów </w:t>
      </w:r>
      <w:r w:rsidR="00685686">
        <w:t>negatywnie ocenia poselski projekt ustawy o zmianie ustawy o</w:t>
      </w:r>
      <w:r w:rsidR="00507885">
        <w:t> </w:t>
      </w:r>
      <w:r w:rsidR="00685686">
        <w:t>emeryturach i rentach z Funduszu Ubezpie</w:t>
      </w:r>
      <w:r w:rsidR="00970246">
        <w:t>czeń Społecznych (druk nr 290).</w:t>
      </w:r>
    </w:p>
    <w:sectPr w:rsidR="001863CA" w:rsidRPr="00A77846" w:rsidSect="00FA47F2">
      <w:footerReference w:type="defaul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8C0F2E" w14:textId="77777777" w:rsidR="00F36DBF" w:rsidRDefault="00F36DBF" w:rsidP="00EE7F96">
      <w:r>
        <w:separator/>
      </w:r>
    </w:p>
  </w:endnote>
  <w:endnote w:type="continuationSeparator" w:id="0">
    <w:p w14:paraId="5C4D0035" w14:textId="77777777" w:rsidR="00F36DBF" w:rsidRDefault="00F36DBF" w:rsidP="00EE7F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Segoe UI">
    <w:panose1 w:val="020B0502040204020203"/>
    <w:charset w:val="EE"/>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8053932"/>
      <w:docPartObj>
        <w:docPartGallery w:val="Page Numbers (Bottom of Page)"/>
        <w:docPartUnique/>
      </w:docPartObj>
    </w:sdtPr>
    <w:sdtEndPr/>
    <w:sdtContent>
      <w:p w14:paraId="23B6BBB1" w14:textId="569A2BF2" w:rsidR="00FA47F2" w:rsidRDefault="00FA47F2">
        <w:pPr>
          <w:pStyle w:val="Stopka"/>
          <w:jc w:val="right"/>
        </w:pPr>
        <w:r>
          <w:fldChar w:fldCharType="begin"/>
        </w:r>
        <w:r>
          <w:instrText>PAGE   \* MERGEFORMAT</w:instrText>
        </w:r>
        <w:r>
          <w:fldChar w:fldCharType="separate"/>
        </w:r>
        <w:r w:rsidR="00C4588D">
          <w:rPr>
            <w:noProof/>
          </w:rPr>
          <w:t>2</w:t>
        </w:r>
        <w:r>
          <w:fldChar w:fldCharType="end"/>
        </w:r>
      </w:p>
    </w:sdtContent>
  </w:sdt>
  <w:p w14:paraId="344B48D9" w14:textId="77777777" w:rsidR="00FA47F2" w:rsidRDefault="00FA47F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B39ACB" w14:textId="77777777" w:rsidR="00F36DBF" w:rsidRDefault="00F36DBF" w:rsidP="00EE7F96">
      <w:r>
        <w:separator/>
      </w:r>
    </w:p>
  </w:footnote>
  <w:footnote w:type="continuationSeparator" w:id="0">
    <w:p w14:paraId="0A55879D" w14:textId="77777777" w:rsidR="00F36DBF" w:rsidRDefault="00F36DBF" w:rsidP="00EE7F9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7C86"/>
    <w:rsid w:val="00001E46"/>
    <w:rsid w:val="00014F97"/>
    <w:rsid w:val="000157FE"/>
    <w:rsid w:val="000159DE"/>
    <w:rsid w:val="000207A3"/>
    <w:rsid w:val="00022B07"/>
    <w:rsid w:val="00023952"/>
    <w:rsid w:val="00024248"/>
    <w:rsid w:val="00027E8A"/>
    <w:rsid w:val="00032FF1"/>
    <w:rsid w:val="00033193"/>
    <w:rsid w:val="0003491F"/>
    <w:rsid w:val="0003517E"/>
    <w:rsid w:val="00035379"/>
    <w:rsid w:val="00042D97"/>
    <w:rsid w:val="00045A3B"/>
    <w:rsid w:val="00050FE8"/>
    <w:rsid w:val="00053D7E"/>
    <w:rsid w:val="00054315"/>
    <w:rsid w:val="000544F3"/>
    <w:rsid w:val="000556C2"/>
    <w:rsid w:val="000615B9"/>
    <w:rsid w:val="0006191B"/>
    <w:rsid w:val="0006265E"/>
    <w:rsid w:val="00063C95"/>
    <w:rsid w:val="00063DDF"/>
    <w:rsid w:val="00070A6C"/>
    <w:rsid w:val="00074EDD"/>
    <w:rsid w:val="00075085"/>
    <w:rsid w:val="000920A0"/>
    <w:rsid w:val="000A0DE2"/>
    <w:rsid w:val="000B046D"/>
    <w:rsid w:val="000D110E"/>
    <w:rsid w:val="000D541D"/>
    <w:rsid w:val="000E05C7"/>
    <w:rsid w:val="000E40B1"/>
    <w:rsid w:val="000E4ABF"/>
    <w:rsid w:val="000E631A"/>
    <w:rsid w:val="000F2CE1"/>
    <w:rsid w:val="00100750"/>
    <w:rsid w:val="00101CDF"/>
    <w:rsid w:val="00105A31"/>
    <w:rsid w:val="001066F6"/>
    <w:rsid w:val="00110B07"/>
    <w:rsid w:val="001126ED"/>
    <w:rsid w:val="00114074"/>
    <w:rsid w:val="00120B72"/>
    <w:rsid w:val="00123475"/>
    <w:rsid w:val="00125728"/>
    <w:rsid w:val="00127073"/>
    <w:rsid w:val="0013418E"/>
    <w:rsid w:val="0013595C"/>
    <w:rsid w:val="0014119A"/>
    <w:rsid w:val="00144703"/>
    <w:rsid w:val="00151FB5"/>
    <w:rsid w:val="001612CE"/>
    <w:rsid w:val="00165579"/>
    <w:rsid w:val="001668A2"/>
    <w:rsid w:val="00167105"/>
    <w:rsid w:val="001714F4"/>
    <w:rsid w:val="001863CA"/>
    <w:rsid w:val="00191C5A"/>
    <w:rsid w:val="001941DA"/>
    <w:rsid w:val="001A0DF1"/>
    <w:rsid w:val="001A14DF"/>
    <w:rsid w:val="001A156C"/>
    <w:rsid w:val="001A2337"/>
    <w:rsid w:val="001A3950"/>
    <w:rsid w:val="001B2314"/>
    <w:rsid w:val="001B57C9"/>
    <w:rsid w:val="001C153C"/>
    <w:rsid w:val="001D6DA4"/>
    <w:rsid w:val="001E076F"/>
    <w:rsid w:val="001E1258"/>
    <w:rsid w:val="001E7E2F"/>
    <w:rsid w:val="001F3B2E"/>
    <w:rsid w:val="001F4B34"/>
    <w:rsid w:val="002014A2"/>
    <w:rsid w:val="002057AF"/>
    <w:rsid w:val="00212122"/>
    <w:rsid w:val="002123B5"/>
    <w:rsid w:val="0021597F"/>
    <w:rsid w:val="00222B66"/>
    <w:rsid w:val="00224018"/>
    <w:rsid w:val="00232406"/>
    <w:rsid w:val="00237B54"/>
    <w:rsid w:val="00240514"/>
    <w:rsid w:val="0024069B"/>
    <w:rsid w:val="00242B2F"/>
    <w:rsid w:val="00252E2C"/>
    <w:rsid w:val="002538F1"/>
    <w:rsid w:val="00261059"/>
    <w:rsid w:val="002670C0"/>
    <w:rsid w:val="002712D7"/>
    <w:rsid w:val="00273C26"/>
    <w:rsid w:val="002745A6"/>
    <w:rsid w:val="00274D7E"/>
    <w:rsid w:val="00277E24"/>
    <w:rsid w:val="002851E1"/>
    <w:rsid w:val="00290ADC"/>
    <w:rsid w:val="0029275B"/>
    <w:rsid w:val="00293818"/>
    <w:rsid w:val="00293EB7"/>
    <w:rsid w:val="0029468A"/>
    <w:rsid w:val="002971D0"/>
    <w:rsid w:val="002B42E6"/>
    <w:rsid w:val="002B6F2F"/>
    <w:rsid w:val="002C30C9"/>
    <w:rsid w:val="002D3D59"/>
    <w:rsid w:val="002D4742"/>
    <w:rsid w:val="002D6EA1"/>
    <w:rsid w:val="002D7DCD"/>
    <w:rsid w:val="002E0C9C"/>
    <w:rsid w:val="002E1960"/>
    <w:rsid w:val="002E2E56"/>
    <w:rsid w:val="002E3F86"/>
    <w:rsid w:val="002E4248"/>
    <w:rsid w:val="002E57D4"/>
    <w:rsid w:val="002E7692"/>
    <w:rsid w:val="002F1EEE"/>
    <w:rsid w:val="002F321B"/>
    <w:rsid w:val="0030468A"/>
    <w:rsid w:val="00306F48"/>
    <w:rsid w:val="00311F05"/>
    <w:rsid w:val="00320312"/>
    <w:rsid w:val="0032434D"/>
    <w:rsid w:val="00330DDC"/>
    <w:rsid w:val="00337BD6"/>
    <w:rsid w:val="00342CE7"/>
    <w:rsid w:val="0035032C"/>
    <w:rsid w:val="00353FE8"/>
    <w:rsid w:val="00365FFA"/>
    <w:rsid w:val="00372B9A"/>
    <w:rsid w:val="00382518"/>
    <w:rsid w:val="00386060"/>
    <w:rsid w:val="003870BE"/>
    <w:rsid w:val="003C2B3E"/>
    <w:rsid w:val="003D1265"/>
    <w:rsid w:val="003D2F62"/>
    <w:rsid w:val="003D35C6"/>
    <w:rsid w:val="003D436C"/>
    <w:rsid w:val="003D7588"/>
    <w:rsid w:val="003E3538"/>
    <w:rsid w:val="003E40EB"/>
    <w:rsid w:val="003E684E"/>
    <w:rsid w:val="003F5361"/>
    <w:rsid w:val="00405618"/>
    <w:rsid w:val="00413786"/>
    <w:rsid w:val="0041567F"/>
    <w:rsid w:val="00415BF3"/>
    <w:rsid w:val="00421D97"/>
    <w:rsid w:val="00422B4B"/>
    <w:rsid w:val="00426F62"/>
    <w:rsid w:val="004379E9"/>
    <w:rsid w:val="00452C40"/>
    <w:rsid w:val="0046040F"/>
    <w:rsid w:val="00465091"/>
    <w:rsid w:val="00474FEF"/>
    <w:rsid w:val="00481096"/>
    <w:rsid w:val="0048163D"/>
    <w:rsid w:val="004857E2"/>
    <w:rsid w:val="004859AB"/>
    <w:rsid w:val="00486576"/>
    <w:rsid w:val="004939A5"/>
    <w:rsid w:val="00495000"/>
    <w:rsid w:val="00496FD6"/>
    <w:rsid w:val="004A1981"/>
    <w:rsid w:val="004A1CFC"/>
    <w:rsid w:val="004A2072"/>
    <w:rsid w:val="004B2D9E"/>
    <w:rsid w:val="004C4A23"/>
    <w:rsid w:val="004C6134"/>
    <w:rsid w:val="004D34B4"/>
    <w:rsid w:val="004E076D"/>
    <w:rsid w:val="004E092F"/>
    <w:rsid w:val="0050445F"/>
    <w:rsid w:val="00504675"/>
    <w:rsid w:val="005052EF"/>
    <w:rsid w:val="0050578C"/>
    <w:rsid w:val="00505E01"/>
    <w:rsid w:val="00507885"/>
    <w:rsid w:val="00513299"/>
    <w:rsid w:val="00515626"/>
    <w:rsid w:val="00517E91"/>
    <w:rsid w:val="00521490"/>
    <w:rsid w:val="00521C1B"/>
    <w:rsid w:val="00523A3B"/>
    <w:rsid w:val="00524114"/>
    <w:rsid w:val="005347DA"/>
    <w:rsid w:val="00535EA8"/>
    <w:rsid w:val="005365DF"/>
    <w:rsid w:val="00537789"/>
    <w:rsid w:val="00542B24"/>
    <w:rsid w:val="00542FA8"/>
    <w:rsid w:val="00550C37"/>
    <w:rsid w:val="00554054"/>
    <w:rsid w:val="00556290"/>
    <w:rsid w:val="0056100A"/>
    <w:rsid w:val="00570F32"/>
    <w:rsid w:val="00581309"/>
    <w:rsid w:val="00581B8D"/>
    <w:rsid w:val="00584CFE"/>
    <w:rsid w:val="00585507"/>
    <w:rsid w:val="00590FEA"/>
    <w:rsid w:val="005A0A6D"/>
    <w:rsid w:val="005A3C0B"/>
    <w:rsid w:val="005A3C4E"/>
    <w:rsid w:val="005A5A8C"/>
    <w:rsid w:val="005A68C7"/>
    <w:rsid w:val="005B69F2"/>
    <w:rsid w:val="005C3AD6"/>
    <w:rsid w:val="005C58AE"/>
    <w:rsid w:val="005D4C5F"/>
    <w:rsid w:val="005D5BC2"/>
    <w:rsid w:val="005F45FC"/>
    <w:rsid w:val="005F64CB"/>
    <w:rsid w:val="0060117C"/>
    <w:rsid w:val="00606FB1"/>
    <w:rsid w:val="00616E98"/>
    <w:rsid w:val="00630ECB"/>
    <w:rsid w:val="00635BBB"/>
    <w:rsid w:val="00644E07"/>
    <w:rsid w:val="006452F7"/>
    <w:rsid w:val="00657FCD"/>
    <w:rsid w:val="00660FF9"/>
    <w:rsid w:val="006641C6"/>
    <w:rsid w:val="0066439E"/>
    <w:rsid w:val="006665EF"/>
    <w:rsid w:val="00676A14"/>
    <w:rsid w:val="00677B1D"/>
    <w:rsid w:val="006838F6"/>
    <w:rsid w:val="00685686"/>
    <w:rsid w:val="006963AE"/>
    <w:rsid w:val="00696547"/>
    <w:rsid w:val="006A1DF5"/>
    <w:rsid w:val="006A3542"/>
    <w:rsid w:val="006A4175"/>
    <w:rsid w:val="006A4336"/>
    <w:rsid w:val="006A4F10"/>
    <w:rsid w:val="006A55FF"/>
    <w:rsid w:val="006A6A26"/>
    <w:rsid w:val="006C0008"/>
    <w:rsid w:val="006C2578"/>
    <w:rsid w:val="006D0FC3"/>
    <w:rsid w:val="006D214B"/>
    <w:rsid w:val="006D2B53"/>
    <w:rsid w:val="006D2D08"/>
    <w:rsid w:val="006D65CE"/>
    <w:rsid w:val="006E222C"/>
    <w:rsid w:val="006E29B0"/>
    <w:rsid w:val="006E6257"/>
    <w:rsid w:val="006F1B5E"/>
    <w:rsid w:val="006F485F"/>
    <w:rsid w:val="00700D2A"/>
    <w:rsid w:val="00701609"/>
    <w:rsid w:val="00712DEA"/>
    <w:rsid w:val="00713984"/>
    <w:rsid w:val="00715380"/>
    <w:rsid w:val="0071540C"/>
    <w:rsid w:val="0072177C"/>
    <w:rsid w:val="00723CEC"/>
    <w:rsid w:val="00726EFA"/>
    <w:rsid w:val="00727D08"/>
    <w:rsid w:val="0073021F"/>
    <w:rsid w:val="0073025D"/>
    <w:rsid w:val="007332FA"/>
    <w:rsid w:val="007377B8"/>
    <w:rsid w:val="00737B4D"/>
    <w:rsid w:val="00740937"/>
    <w:rsid w:val="00745B29"/>
    <w:rsid w:val="007506F1"/>
    <w:rsid w:val="00756B39"/>
    <w:rsid w:val="00770160"/>
    <w:rsid w:val="0077284A"/>
    <w:rsid w:val="00772C09"/>
    <w:rsid w:val="00774C53"/>
    <w:rsid w:val="0077687B"/>
    <w:rsid w:val="00777F00"/>
    <w:rsid w:val="0078021E"/>
    <w:rsid w:val="007823EC"/>
    <w:rsid w:val="00783CC2"/>
    <w:rsid w:val="00797A73"/>
    <w:rsid w:val="007A16E6"/>
    <w:rsid w:val="007A18F1"/>
    <w:rsid w:val="007A43CC"/>
    <w:rsid w:val="007A67BA"/>
    <w:rsid w:val="007B06C8"/>
    <w:rsid w:val="007B1E74"/>
    <w:rsid w:val="007B24C6"/>
    <w:rsid w:val="007C2CD5"/>
    <w:rsid w:val="007C4A0E"/>
    <w:rsid w:val="007C4C24"/>
    <w:rsid w:val="007C7803"/>
    <w:rsid w:val="007D1091"/>
    <w:rsid w:val="007D1F99"/>
    <w:rsid w:val="007E21F6"/>
    <w:rsid w:val="007E508A"/>
    <w:rsid w:val="007E69D1"/>
    <w:rsid w:val="007F1188"/>
    <w:rsid w:val="007F20BB"/>
    <w:rsid w:val="007F6901"/>
    <w:rsid w:val="007F7DB6"/>
    <w:rsid w:val="008027B2"/>
    <w:rsid w:val="00806B97"/>
    <w:rsid w:val="00810C5F"/>
    <w:rsid w:val="00811D7F"/>
    <w:rsid w:val="00812D4A"/>
    <w:rsid w:val="00817427"/>
    <w:rsid w:val="00820C5C"/>
    <w:rsid w:val="00827F3F"/>
    <w:rsid w:val="00831C6A"/>
    <w:rsid w:val="00831FB5"/>
    <w:rsid w:val="008323F9"/>
    <w:rsid w:val="00836240"/>
    <w:rsid w:val="00837DA1"/>
    <w:rsid w:val="0084034B"/>
    <w:rsid w:val="00840CA8"/>
    <w:rsid w:val="0084424C"/>
    <w:rsid w:val="008554B9"/>
    <w:rsid w:val="00861010"/>
    <w:rsid w:val="00863907"/>
    <w:rsid w:val="00864B30"/>
    <w:rsid w:val="00866223"/>
    <w:rsid w:val="00873F02"/>
    <w:rsid w:val="008740CC"/>
    <w:rsid w:val="00875CC4"/>
    <w:rsid w:val="00881899"/>
    <w:rsid w:val="00893E83"/>
    <w:rsid w:val="008A13FA"/>
    <w:rsid w:val="008A267A"/>
    <w:rsid w:val="008A281B"/>
    <w:rsid w:val="008B5160"/>
    <w:rsid w:val="008B5EB1"/>
    <w:rsid w:val="008B6ED6"/>
    <w:rsid w:val="008B77DF"/>
    <w:rsid w:val="008C3258"/>
    <w:rsid w:val="008C4DCE"/>
    <w:rsid w:val="008D51F6"/>
    <w:rsid w:val="008D62D3"/>
    <w:rsid w:val="008E25C0"/>
    <w:rsid w:val="008E2EE0"/>
    <w:rsid w:val="008E3539"/>
    <w:rsid w:val="008E75F5"/>
    <w:rsid w:val="00902553"/>
    <w:rsid w:val="009039A0"/>
    <w:rsid w:val="009071E8"/>
    <w:rsid w:val="0091069C"/>
    <w:rsid w:val="00911640"/>
    <w:rsid w:val="009204D5"/>
    <w:rsid w:val="00923B78"/>
    <w:rsid w:val="009248C2"/>
    <w:rsid w:val="00934E49"/>
    <w:rsid w:val="00936E3A"/>
    <w:rsid w:val="009407D5"/>
    <w:rsid w:val="00951326"/>
    <w:rsid w:val="009523D2"/>
    <w:rsid w:val="0095707D"/>
    <w:rsid w:val="00961066"/>
    <w:rsid w:val="00964551"/>
    <w:rsid w:val="0096551F"/>
    <w:rsid w:val="00965775"/>
    <w:rsid w:val="00970246"/>
    <w:rsid w:val="009703BE"/>
    <w:rsid w:val="00971CE7"/>
    <w:rsid w:val="00974ABE"/>
    <w:rsid w:val="00975859"/>
    <w:rsid w:val="00976743"/>
    <w:rsid w:val="0098095F"/>
    <w:rsid w:val="00991B97"/>
    <w:rsid w:val="00992DFA"/>
    <w:rsid w:val="00996988"/>
    <w:rsid w:val="009A2EDC"/>
    <w:rsid w:val="009A4083"/>
    <w:rsid w:val="009A63B2"/>
    <w:rsid w:val="009B1A0D"/>
    <w:rsid w:val="009B5F9D"/>
    <w:rsid w:val="009B6219"/>
    <w:rsid w:val="009C69DE"/>
    <w:rsid w:val="009E28C5"/>
    <w:rsid w:val="009E2EEC"/>
    <w:rsid w:val="009E4598"/>
    <w:rsid w:val="009E4D0D"/>
    <w:rsid w:val="009F008B"/>
    <w:rsid w:val="009F0CF8"/>
    <w:rsid w:val="009F3DE2"/>
    <w:rsid w:val="009F4924"/>
    <w:rsid w:val="00A00D9B"/>
    <w:rsid w:val="00A05F82"/>
    <w:rsid w:val="00A11B5A"/>
    <w:rsid w:val="00A14642"/>
    <w:rsid w:val="00A15EF8"/>
    <w:rsid w:val="00A30DE5"/>
    <w:rsid w:val="00A34E55"/>
    <w:rsid w:val="00A35319"/>
    <w:rsid w:val="00A43C8B"/>
    <w:rsid w:val="00A508E4"/>
    <w:rsid w:val="00A522F6"/>
    <w:rsid w:val="00A56C95"/>
    <w:rsid w:val="00A65716"/>
    <w:rsid w:val="00A665DF"/>
    <w:rsid w:val="00A772AD"/>
    <w:rsid w:val="00A7746B"/>
    <w:rsid w:val="00A77846"/>
    <w:rsid w:val="00A83511"/>
    <w:rsid w:val="00A91275"/>
    <w:rsid w:val="00A9234E"/>
    <w:rsid w:val="00A968C9"/>
    <w:rsid w:val="00AA24D7"/>
    <w:rsid w:val="00AA723C"/>
    <w:rsid w:val="00AC078D"/>
    <w:rsid w:val="00AC5B1C"/>
    <w:rsid w:val="00AD4DFF"/>
    <w:rsid w:val="00AE131C"/>
    <w:rsid w:val="00AE7B9A"/>
    <w:rsid w:val="00AF4951"/>
    <w:rsid w:val="00B046A3"/>
    <w:rsid w:val="00B05E50"/>
    <w:rsid w:val="00B0633D"/>
    <w:rsid w:val="00B137C2"/>
    <w:rsid w:val="00B27C60"/>
    <w:rsid w:val="00B33D0C"/>
    <w:rsid w:val="00B37015"/>
    <w:rsid w:val="00B40112"/>
    <w:rsid w:val="00B41C19"/>
    <w:rsid w:val="00B41F92"/>
    <w:rsid w:val="00B422AA"/>
    <w:rsid w:val="00B440A1"/>
    <w:rsid w:val="00B44416"/>
    <w:rsid w:val="00B52349"/>
    <w:rsid w:val="00B524B7"/>
    <w:rsid w:val="00B55749"/>
    <w:rsid w:val="00B55A84"/>
    <w:rsid w:val="00B63A7A"/>
    <w:rsid w:val="00B654B8"/>
    <w:rsid w:val="00B77DBC"/>
    <w:rsid w:val="00B80C0D"/>
    <w:rsid w:val="00B81CFB"/>
    <w:rsid w:val="00B82AF8"/>
    <w:rsid w:val="00B93D5B"/>
    <w:rsid w:val="00B94E5F"/>
    <w:rsid w:val="00BA2B1A"/>
    <w:rsid w:val="00BA3DE4"/>
    <w:rsid w:val="00BA431E"/>
    <w:rsid w:val="00BB45C1"/>
    <w:rsid w:val="00BC04E6"/>
    <w:rsid w:val="00BC4B66"/>
    <w:rsid w:val="00BD4215"/>
    <w:rsid w:val="00BD4C74"/>
    <w:rsid w:val="00BD5BC8"/>
    <w:rsid w:val="00BE0C90"/>
    <w:rsid w:val="00BE2840"/>
    <w:rsid w:val="00BE3CDE"/>
    <w:rsid w:val="00BE5DE5"/>
    <w:rsid w:val="00BF6099"/>
    <w:rsid w:val="00C02F66"/>
    <w:rsid w:val="00C0414C"/>
    <w:rsid w:val="00C04DB2"/>
    <w:rsid w:val="00C06ECF"/>
    <w:rsid w:val="00C140F0"/>
    <w:rsid w:val="00C232A6"/>
    <w:rsid w:val="00C2636D"/>
    <w:rsid w:val="00C32755"/>
    <w:rsid w:val="00C33B8A"/>
    <w:rsid w:val="00C40088"/>
    <w:rsid w:val="00C4588D"/>
    <w:rsid w:val="00C51E1D"/>
    <w:rsid w:val="00C534A1"/>
    <w:rsid w:val="00C5353A"/>
    <w:rsid w:val="00C5369F"/>
    <w:rsid w:val="00C5776D"/>
    <w:rsid w:val="00C6267C"/>
    <w:rsid w:val="00C6267E"/>
    <w:rsid w:val="00C6551E"/>
    <w:rsid w:val="00C679E9"/>
    <w:rsid w:val="00C713D0"/>
    <w:rsid w:val="00C81A89"/>
    <w:rsid w:val="00C87774"/>
    <w:rsid w:val="00C9035E"/>
    <w:rsid w:val="00C97174"/>
    <w:rsid w:val="00CA207B"/>
    <w:rsid w:val="00CA2B44"/>
    <w:rsid w:val="00CA322F"/>
    <w:rsid w:val="00CA50E6"/>
    <w:rsid w:val="00CA754C"/>
    <w:rsid w:val="00CA7E0D"/>
    <w:rsid w:val="00CB1464"/>
    <w:rsid w:val="00CB33F1"/>
    <w:rsid w:val="00CC12E9"/>
    <w:rsid w:val="00CC3C21"/>
    <w:rsid w:val="00CC7031"/>
    <w:rsid w:val="00CC7A0B"/>
    <w:rsid w:val="00CD02BB"/>
    <w:rsid w:val="00CF1038"/>
    <w:rsid w:val="00CF1A95"/>
    <w:rsid w:val="00CF5617"/>
    <w:rsid w:val="00CF6BC1"/>
    <w:rsid w:val="00D0147C"/>
    <w:rsid w:val="00D15F1F"/>
    <w:rsid w:val="00D16CAA"/>
    <w:rsid w:val="00D256AD"/>
    <w:rsid w:val="00D27627"/>
    <w:rsid w:val="00D366B2"/>
    <w:rsid w:val="00D4384A"/>
    <w:rsid w:val="00D47D2C"/>
    <w:rsid w:val="00D54EAD"/>
    <w:rsid w:val="00D56012"/>
    <w:rsid w:val="00D56BAD"/>
    <w:rsid w:val="00D61D2D"/>
    <w:rsid w:val="00D63BB3"/>
    <w:rsid w:val="00D65EB2"/>
    <w:rsid w:val="00D674E7"/>
    <w:rsid w:val="00D67764"/>
    <w:rsid w:val="00D70066"/>
    <w:rsid w:val="00D7070E"/>
    <w:rsid w:val="00D72A25"/>
    <w:rsid w:val="00D76EE6"/>
    <w:rsid w:val="00D90077"/>
    <w:rsid w:val="00DA1F60"/>
    <w:rsid w:val="00DA46F8"/>
    <w:rsid w:val="00DA61E7"/>
    <w:rsid w:val="00DB3418"/>
    <w:rsid w:val="00DC0084"/>
    <w:rsid w:val="00DC1F39"/>
    <w:rsid w:val="00DD0E6D"/>
    <w:rsid w:val="00DD15C8"/>
    <w:rsid w:val="00DD1D79"/>
    <w:rsid w:val="00DE0FCE"/>
    <w:rsid w:val="00DE1387"/>
    <w:rsid w:val="00DE58CA"/>
    <w:rsid w:val="00DF09CE"/>
    <w:rsid w:val="00E03AE8"/>
    <w:rsid w:val="00E11A2B"/>
    <w:rsid w:val="00E11B53"/>
    <w:rsid w:val="00E12F5A"/>
    <w:rsid w:val="00E148A8"/>
    <w:rsid w:val="00E14900"/>
    <w:rsid w:val="00E3141C"/>
    <w:rsid w:val="00E334DA"/>
    <w:rsid w:val="00E377A7"/>
    <w:rsid w:val="00E4287F"/>
    <w:rsid w:val="00E43CBE"/>
    <w:rsid w:val="00E44246"/>
    <w:rsid w:val="00E50D45"/>
    <w:rsid w:val="00E622AD"/>
    <w:rsid w:val="00E64EEC"/>
    <w:rsid w:val="00E70147"/>
    <w:rsid w:val="00E702BA"/>
    <w:rsid w:val="00E7261B"/>
    <w:rsid w:val="00E7355C"/>
    <w:rsid w:val="00E75917"/>
    <w:rsid w:val="00E77C48"/>
    <w:rsid w:val="00E81180"/>
    <w:rsid w:val="00E826E2"/>
    <w:rsid w:val="00E82BA4"/>
    <w:rsid w:val="00E82BCF"/>
    <w:rsid w:val="00E87B79"/>
    <w:rsid w:val="00E90BE5"/>
    <w:rsid w:val="00E90FB7"/>
    <w:rsid w:val="00E95466"/>
    <w:rsid w:val="00EA2DC0"/>
    <w:rsid w:val="00EB0B4E"/>
    <w:rsid w:val="00EB18CB"/>
    <w:rsid w:val="00EB7F85"/>
    <w:rsid w:val="00EC23AC"/>
    <w:rsid w:val="00EC3948"/>
    <w:rsid w:val="00EC52AC"/>
    <w:rsid w:val="00EC7640"/>
    <w:rsid w:val="00ED63BF"/>
    <w:rsid w:val="00EE2E80"/>
    <w:rsid w:val="00EE7B3D"/>
    <w:rsid w:val="00EE7F96"/>
    <w:rsid w:val="00EF6F9B"/>
    <w:rsid w:val="00F003C1"/>
    <w:rsid w:val="00F0506B"/>
    <w:rsid w:val="00F05AC9"/>
    <w:rsid w:val="00F0794E"/>
    <w:rsid w:val="00F07C86"/>
    <w:rsid w:val="00F12C4E"/>
    <w:rsid w:val="00F228DF"/>
    <w:rsid w:val="00F31531"/>
    <w:rsid w:val="00F36DBF"/>
    <w:rsid w:val="00F40104"/>
    <w:rsid w:val="00F412F7"/>
    <w:rsid w:val="00F41D26"/>
    <w:rsid w:val="00F44D92"/>
    <w:rsid w:val="00F5507D"/>
    <w:rsid w:val="00F64C4B"/>
    <w:rsid w:val="00F66FD4"/>
    <w:rsid w:val="00F7409A"/>
    <w:rsid w:val="00F81045"/>
    <w:rsid w:val="00F83456"/>
    <w:rsid w:val="00F93355"/>
    <w:rsid w:val="00F93ED1"/>
    <w:rsid w:val="00F97212"/>
    <w:rsid w:val="00FA2FA8"/>
    <w:rsid w:val="00FA47F2"/>
    <w:rsid w:val="00FA51CC"/>
    <w:rsid w:val="00FB25B0"/>
    <w:rsid w:val="00FC4736"/>
    <w:rsid w:val="00FC5EEB"/>
    <w:rsid w:val="00FD111A"/>
    <w:rsid w:val="00FD574C"/>
    <w:rsid w:val="00FD657A"/>
    <w:rsid w:val="00FD6A38"/>
    <w:rsid w:val="00FD726B"/>
    <w:rsid w:val="00FE4AAB"/>
    <w:rsid w:val="00FE52A4"/>
    <w:rsid w:val="00FF0564"/>
    <w:rsid w:val="00FF3B5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0BC18"/>
  <w15:chartTrackingRefBased/>
  <w15:docId w15:val="{FCC3DC61-06C3-46B5-B6C6-E382780BC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42B24"/>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EE7F96"/>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Nagwek6">
    <w:name w:val="heading 6"/>
    <w:basedOn w:val="Normalny"/>
    <w:next w:val="Tekstpodstawowy"/>
    <w:link w:val="Nagwek6Znak"/>
    <w:qFormat/>
    <w:rsid w:val="00542B24"/>
    <w:pPr>
      <w:keepNext/>
      <w:keepLines/>
      <w:spacing w:line="220" w:lineRule="atLeast"/>
      <w:ind w:left="1080"/>
      <w:jc w:val="both"/>
      <w:outlineLvl w:val="5"/>
    </w:pPr>
    <w:rPr>
      <w:rFonts w:ascii="Arial Black" w:hAnsi="Arial Black"/>
      <w:spacing w:val="-5"/>
      <w:kern w:val="20"/>
      <w:sz w:val="18"/>
      <w:szCs w:val="20"/>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6Znak">
    <w:name w:val="Nagłówek 6 Znak"/>
    <w:basedOn w:val="Domylnaczcionkaakapitu"/>
    <w:link w:val="Nagwek6"/>
    <w:rsid w:val="00542B24"/>
    <w:rPr>
      <w:rFonts w:ascii="Arial Black" w:eastAsia="Times New Roman" w:hAnsi="Arial Black" w:cs="Times New Roman"/>
      <w:spacing w:val="-5"/>
      <w:kern w:val="20"/>
      <w:sz w:val="18"/>
      <w:szCs w:val="20"/>
    </w:rPr>
  </w:style>
  <w:style w:type="paragraph" w:styleId="Tekstpodstawowy">
    <w:name w:val="Body Text"/>
    <w:basedOn w:val="Normalny"/>
    <w:link w:val="TekstpodstawowyZnak"/>
    <w:uiPriority w:val="99"/>
    <w:semiHidden/>
    <w:unhideWhenUsed/>
    <w:rsid w:val="00542B24"/>
    <w:pPr>
      <w:spacing w:after="120"/>
    </w:pPr>
  </w:style>
  <w:style w:type="character" w:customStyle="1" w:styleId="TekstpodstawowyZnak">
    <w:name w:val="Tekst podstawowy Znak"/>
    <w:basedOn w:val="Domylnaczcionkaakapitu"/>
    <w:link w:val="Tekstpodstawowy"/>
    <w:uiPriority w:val="99"/>
    <w:semiHidden/>
    <w:rsid w:val="00542B24"/>
    <w:rPr>
      <w:rFonts w:ascii="Times New Roman" w:eastAsia="Times New Roman" w:hAnsi="Times New Roman" w:cs="Times New Roman"/>
      <w:sz w:val="24"/>
      <w:szCs w:val="24"/>
      <w:lang w:eastAsia="pl-PL"/>
    </w:rPr>
  </w:style>
  <w:style w:type="character" w:customStyle="1" w:styleId="Teksttreci">
    <w:name w:val="Tekst treści"/>
    <w:basedOn w:val="Domylnaczcionkaakapitu"/>
    <w:rsid w:val="00DE0FCE"/>
    <w:rPr>
      <w:rFonts w:ascii="Times New Roman" w:eastAsia="Times New Roman" w:hAnsi="Times New Roman" w:cs="Times New Roman" w:hint="default"/>
      <w:b w:val="0"/>
      <w:bCs w:val="0"/>
      <w:i w:val="0"/>
      <w:iCs w:val="0"/>
      <w:smallCaps w:val="0"/>
      <w:strike w:val="0"/>
      <w:dstrike w:val="0"/>
      <w:color w:val="000000"/>
      <w:spacing w:val="5"/>
      <w:w w:val="100"/>
      <w:position w:val="0"/>
      <w:sz w:val="20"/>
      <w:szCs w:val="20"/>
      <w:u w:val="none"/>
      <w:effect w:val="none"/>
      <w:lang w:val="pl-PL"/>
    </w:rPr>
  </w:style>
  <w:style w:type="paragraph" w:styleId="Nagwek">
    <w:name w:val="header"/>
    <w:basedOn w:val="Normalny"/>
    <w:link w:val="NagwekZnak"/>
    <w:uiPriority w:val="99"/>
    <w:unhideWhenUsed/>
    <w:rsid w:val="00EE7F96"/>
    <w:pPr>
      <w:tabs>
        <w:tab w:val="center" w:pos="4536"/>
        <w:tab w:val="right" w:pos="9072"/>
      </w:tabs>
    </w:pPr>
  </w:style>
  <w:style w:type="character" w:customStyle="1" w:styleId="NagwekZnak">
    <w:name w:val="Nagłówek Znak"/>
    <w:basedOn w:val="Domylnaczcionkaakapitu"/>
    <w:link w:val="Nagwek"/>
    <w:uiPriority w:val="99"/>
    <w:rsid w:val="00EE7F96"/>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EE7F96"/>
    <w:pPr>
      <w:tabs>
        <w:tab w:val="center" w:pos="4536"/>
        <w:tab w:val="right" w:pos="9072"/>
      </w:tabs>
    </w:pPr>
  </w:style>
  <w:style w:type="character" w:customStyle="1" w:styleId="StopkaZnak">
    <w:name w:val="Stopka Znak"/>
    <w:basedOn w:val="Domylnaczcionkaakapitu"/>
    <w:link w:val="Stopka"/>
    <w:uiPriority w:val="99"/>
    <w:rsid w:val="00EE7F96"/>
    <w:rPr>
      <w:rFonts w:ascii="Times New Roman" w:eastAsia="Times New Roman" w:hAnsi="Times New Roman" w:cs="Times New Roman"/>
      <w:sz w:val="24"/>
      <w:szCs w:val="24"/>
      <w:lang w:eastAsia="pl-PL"/>
    </w:rPr>
  </w:style>
  <w:style w:type="character" w:customStyle="1" w:styleId="Nagwek1Znak">
    <w:name w:val="Nagłówek 1 Znak"/>
    <w:basedOn w:val="Domylnaczcionkaakapitu"/>
    <w:link w:val="Nagwek1"/>
    <w:uiPriority w:val="9"/>
    <w:rsid w:val="00EE7F96"/>
    <w:rPr>
      <w:rFonts w:asciiTheme="majorHAnsi" w:eastAsiaTheme="majorEastAsia" w:hAnsiTheme="majorHAnsi" w:cstheme="majorBidi"/>
      <w:color w:val="2E74B5" w:themeColor="accent1" w:themeShade="BF"/>
      <w:sz w:val="32"/>
      <w:szCs w:val="32"/>
      <w:lang w:eastAsia="pl-PL"/>
    </w:rPr>
  </w:style>
  <w:style w:type="paragraph" w:styleId="Tekstdymka">
    <w:name w:val="Balloon Text"/>
    <w:basedOn w:val="Normalny"/>
    <w:link w:val="TekstdymkaZnak"/>
    <w:uiPriority w:val="99"/>
    <w:semiHidden/>
    <w:unhideWhenUsed/>
    <w:rsid w:val="002E57D4"/>
    <w:rPr>
      <w:rFonts w:ascii="Segoe UI" w:hAnsi="Segoe UI" w:cs="Segoe UI"/>
      <w:sz w:val="18"/>
      <w:szCs w:val="18"/>
    </w:rPr>
  </w:style>
  <w:style w:type="character" w:customStyle="1" w:styleId="TekstdymkaZnak">
    <w:name w:val="Tekst dymka Znak"/>
    <w:basedOn w:val="Domylnaczcionkaakapitu"/>
    <w:link w:val="Tekstdymka"/>
    <w:uiPriority w:val="99"/>
    <w:semiHidden/>
    <w:rsid w:val="002E57D4"/>
    <w:rPr>
      <w:rFonts w:ascii="Segoe UI" w:eastAsia="Times New Roman" w:hAnsi="Segoe UI" w:cs="Segoe UI"/>
      <w:sz w:val="18"/>
      <w:szCs w:val="18"/>
      <w:lang w:eastAsia="pl-PL"/>
    </w:rPr>
  </w:style>
  <w:style w:type="paragraph" w:styleId="Bezodstpw">
    <w:name w:val="No Spacing"/>
    <w:uiPriority w:val="1"/>
    <w:qFormat/>
    <w:rsid w:val="00873F02"/>
    <w:pPr>
      <w:spacing w:after="0" w:line="240" w:lineRule="auto"/>
    </w:pPr>
  </w:style>
  <w:style w:type="paragraph" w:styleId="Tekstprzypisukocowego">
    <w:name w:val="endnote text"/>
    <w:basedOn w:val="Normalny"/>
    <w:link w:val="TekstprzypisukocowegoZnak"/>
    <w:uiPriority w:val="99"/>
    <w:semiHidden/>
    <w:unhideWhenUsed/>
    <w:rsid w:val="007E21F6"/>
    <w:rPr>
      <w:sz w:val="20"/>
      <w:szCs w:val="20"/>
    </w:rPr>
  </w:style>
  <w:style w:type="character" w:customStyle="1" w:styleId="TekstprzypisukocowegoZnak">
    <w:name w:val="Tekst przypisu końcowego Znak"/>
    <w:basedOn w:val="Domylnaczcionkaakapitu"/>
    <w:link w:val="Tekstprzypisukocowego"/>
    <w:uiPriority w:val="99"/>
    <w:semiHidden/>
    <w:rsid w:val="007E21F6"/>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7E21F6"/>
    <w:rPr>
      <w:vertAlign w:val="superscript"/>
    </w:rPr>
  </w:style>
  <w:style w:type="paragraph" w:styleId="Tekstpodstawowywcity">
    <w:name w:val="Body Text Indent"/>
    <w:basedOn w:val="Normalny"/>
    <w:link w:val="TekstpodstawowywcityZnak"/>
    <w:uiPriority w:val="99"/>
    <w:semiHidden/>
    <w:unhideWhenUsed/>
    <w:rsid w:val="00EC7640"/>
    <w:pPr>
      <w:spacing w:after="120"/>
      <w:ind w:left="283"/>
    </w:pPr>
  </w:style>
  <w:style w:type="character" w:customStyle="1" w:styleId="TekstpodstawowywcityZnak">
    <w:name w:val="Tekst podstawowy wcięty Znak"/>
    <w:basedOn w:val="Domylnaczcionkaakapitu"/>
    <w:link w:val="Tekstpodstawowywcity"/>
    <w:uiPriority w:val="99"/>
    <w:semiHidden/>
    <w:rsid w:val="00EC7640"/>
    <w:rPr>
      <w:rFonts w:ascii="Times New Roman" w:eastAsia="Times New Roman" w:hAnsi="Times New Roman" w:cs="Times New Roman"/>
      <w:sz w:val="24"/>
      <w:szCs w:val="24"/>
      <w:lang w:eastAsia="pl-PL"/>
    </w:rPr>
  </w:style>
  <w:style w:type="table" w:styleId="Tabela-Siatka">
    <w:name w:val="Table Grid"/>
    <w:basedOn w:val="Standardowy"/>
    <w:uiPriority w:val="39"/>
    <w:rsid w:val="00A7784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ED63BF"/>
    <w:rPr>
      <w:sz w:val="16"/>
      <w:szCs w:val="16"/>
    </w:rPr>
  </w:style>
  <w:style w:type="paragraph" w:styleId="Tekstkomentarza">
    <w:name w:val="annotation text"/>
    <w:basedOn w:val="Normalny"/>
    <w:link w:val="TekstkomentarzaZnak"/>
    <w:uiPriority w:val="99"/>
    <w:semiHidden/>
    <w:unhideWhenUsed/>
    <w:rsid w:val="00ED63BF"/>
    <w:rPr>
      <w:sz w:val="20"/>
      <w:szCs w:val="20"/>
    </w:rPr>
  </w:style>
  <w:style w:type="character" w:customStyle="1" w:styleId="TekstkomentarzaZnak">
    <w:name w:val="Tekst komentarza Znak"/>
    <w:basedOn w:val="Domylnaczcionkaakapitu"/>
    <w:link w:val="Tekstkomentarza"/>
    <w:uiPriority w:val="99"/>
    <w:semiHidden/>
    <w:rsid w:val="00ED63BF"/>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ED63BF"/>
    <w:rPr>
      <w:b/>
      <w:bCs/>
    </w:rPr>
  </w:style>
  <w:style w:type="character" w:customStyle="1" w:styleId="TematkomentarzaZnak">
    <w:name w:val="Temat komentarza Znak"/>
    <w:basedOn w:val="TekstkomentarzaZnak"/>
    <w:link w:val="Tematkomentarza"/>
    <w:uiPriority w:val="99"/>
    <w:semiHidden/>
    <w:rsid w:val="00ED63BF"/>
    <w:rPr>
      <w:rFonts w:ascii="Times New Roman" w:eastAsia="Times New Roman" w:hAnsi="Times New Roman" w:cs="Times New Roman"/>
      <w:b/>
      <w:bCs/>
      <w:sz w:val="20"/>
      <w:szCs w:val="20"/>
      <w:lang w:eastAsia="pl-PL"/>
    </w:rPr>
  </w:style>
  <w:style w:type="character" w:styleId="Hipercze">
    <w:name w:val="Hyperlink"/>
    <w:basedOn w:val="Domylnaczcionkaakapitu"/>
    <w:uiPriority w:val="99"/>
    <w:semiHidden/>
    <w:unhideWhenUsed/>
    <w:rsid w:val="00A665D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989446">
      <w:bodyDiv w:val="1"/>
      <w:marLeft w:val="0"/>
      <w:marRight w:val="0"/>
      <w:marTop w:val="0"/>
      <w:marBottom w:val="0"/>
      <w:divBdr>
        <w:top w:val="none" w:sz="0" w:space="0" w:color="auto"/>
        <w:left w:val="none" w:sz="0" w:space="0" w:color="auto"/>
        <w:bottom w:val="none" w:sz="0" w:space="0" w:color="auto"/>
        <w:right w:val="none" w:sz="0" w:space="0" w:color="auto"/>
      </w:divBdr>
    </w:div>
    <w:div w:id="127628203">
      <w:bodyDiv w:val="1"/>
      <w:marLeft w:val="0"/>
      <w:marRight w:val="0"/>
      <w:marTop w:val="0"/>
      <w:marBottom w:val="0"/>
      <w:divBdr>
        <w:top w:val="none" w:sz="0" w:space="0" w:color="auto"/>
        <w:left w:val="none" w:sz="0" w:space="0" w:color="auto"/>
        <w:bottom w:val="none" w:sz="0" w:space="0" w:color="auto"/>
        <w:right w:val="none" w:sz="0" w:space="0" w:color="auto"/>
      </w:divBdr>
    </w:div>
    <w:div w:id="472211039">
      <w:bodyDiv w:val="1"/>
      <w:marLeft w:val="0"/>
      <w:marRight w:val="0"/>
      <w:marTop w:val="0"/>
      <w:marBottom w:val="0"/>
      <w:divBdr>
        <w:top w:val="none" w:sz="0" w:space="0" w:color="auto"/>
        <w:left w:val="none" w:sz="0" w:space="0" w:color="auto"/>
        <w:bottom w:val="none" w:sz="0" w:space="0" w:color="auto"/>
        <w:right w:val="none" w:sz="0" w:space="0" w:color="auto"/>
      </w:divBdr>
    </w:div>
    <w:div w:id="831482415">
      <w:bodyDiv w:val="1"/>
      <w:marLeft w:val="0"/>
      <w:marRight w:val="0"/>
      <w:marTop w:val="0"/>
      <w:marBottom w:val="0"/>
      <w:divBdr>
        <w:top w:val="none" w:sz="0" w:space="0" w:color="auto"/>
        <w:left w:val="none" w:sz="0" w:space="0" w:color="auto"/>
        <w:bottom w:val="none" w:sz="0" w:space="0" w:color="auto"/>
        <w:right w:val="none" w:sz="0" w:space="0" w:color="auto"/>
      </w:divBdr>
    </w:div>
    <w:div w:id="839928768">
      <w:bodyDiv w:val="1"/>
      <w:marLeft w:val="0"/>
      <w:marRight w:val="0"/>
      <w:marTop w:val="0"/>
      <w:marBottom w:val="0"/>
      <w:divBdr>
        <w:top w:val="none" w:sz="0" w:space="0" w:color="auto"/>
        <w:left w:val="none" w:sz="0" w:space="0" w:color="auto"/>
        <w:bottom w:val="none" w:sz="0" w:space="0" w:color="auto"/>
        <w:right w:val="none" w:sz="0" w:space="0" w:color="auto"/>
      </w:divBdr>
    </w:div>
    <w:div w:id="1087385459">
      <w:bodyDiv w:val="1"/>
      <w:marLeft w:val="0"/>
      <w:marRight w:val="0"/>
      <w:marTop w:val="0"/>
      <w:marBottom w:val="0"/>
      <w:divBdr>
        <w:top w:val="none" w:sz="0" w:space="0" w:color="auto"/>
        <w:left w:val="none" w:sz="0" w:space="0" w:color="auto"/>
        <w:bottom w:val="none" w:sz="0" w:space="0" w:color="auto"/>
        <w:right w:val="none" w:sz="0" w:space="0" w:color="auto"/>
      </w:divBdr>
    </w:div>
    <w:div w:id="1136407706">
      <w:bodyDiv w:val="1"/>
      <w:marLeft w:val="0"/>
      <w:marRight w:val="0"/>
      <w:marTop w:val="0"/>
      <w:marBottom w:val="0"/>
      <w:divBdr>
        <w:top w:val="none" w:sz="0" w:space="0" w:color="auto"/>
        <w:left w:val="none" w:sz="0" w:space="0" w:color="auto"/>
        <w:bottom w:val="none" w:sz="0" w:space="0" w:color="auto"/>
        <w:right w:val="none" w:sz="0" w:space="0" w:color="auto"/>
      </w:divBdr>
    </w:div>
    <w:div w:id="1252275080">
      <w:bodyDiv w:val="1"/>
      <w:marLeft w:val="0"/>
      <w:marRight w:val="0"/>
      <w:marTop w:val="0"/>
      <w:marBottom w:val="0"/>
      <w:divBdr>
        <w:top w:val="none" w:sz="0" w:space="0" w:color="auto"/>
        <w:left w:val="none" w:sz="0" w:space="0" w:color="auto"/>
        <w:bottom w:val="none" w:sz="0" w:space="0" w:color="auto"/>
        <w:right w:val="none" w:sz="0" w:space="0" w:color="auto"/>
      </w:divBdr>
    </w:div>
    <w:div w:id="1321276874">
      <w:bodyDiv w:val="1"/>
      <w:marLeft w:val="0"/>
      <w:marRight w:val="0"/>
      <w:marTop w:val="0"/>
      <w:marBottom w:val="0"/>
      <w:divBdr>
        <w:top w:val="none" w:sz="0" w:space="0" w:color="auto"/>
        <w:left w:val="none" w:sz="0" w:space="0" w:color="auto"/>
        <w:bottom w:val="none" w:sz="0" w:space="0" w:color="auto"/>
        <w:right w:val="none" w:sz="0" w:space="0" w:color="auto"/>
      </w:divBdr>
    </w:div>
    <w:div w:id="1365715413">
      <w:bodyDiv w:val="1"/>
      <w:marLeft w:val="0"/>
      <w:marRight w:val="0"/>
      <w:marTop w:val="0"/>
      <w:marBottom w:val="0"/>
      <w:divBdr>
        <w:top w:val="none" w:sz="0" w:space="0" w:color="auto"/>
        <w:left w:val="none" w:sz="0" w:space="0" w:color="auto"/>
        <w:bottom w:val="none" w:sz="0" w:space="0" w:color="auto"/>
        <w:right w:val="none" w:sz="0" w:space="0" w:color="auto"/>
      </w:divBdr>
    </w:div>
    <w:div w:id="1642661064">
      <w:bodyDiv w:val="1"/>
      <w:marLeft w:val="0"/>
      <w:marRight w:val="0"/>
      <w:marTop w:val="0"/>
      <w:marBottom w:val="0"/>
      <w:divBdr>
        <w:top w:val="none" w:sz="0" w:space="0" w:color="auto"/>
        <w:left w:val="none" w:sz="0" w:space="0" w:color="auto"/>
        <w:bottom w:val="none" w:sz="0" w:space="0" w:color="auto"/>
        <w:right w:val="none" w:sz="0" w:space="0" w:color="auto"/>
      </w:divBdr>
    </w:div>
    <w:div w:id="2006737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4A9E14-DD30-47F8-AA0F-4233ED8F6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1</Pages>
  <Words>3035</Words>
  <Characters>18213</Characters>
  <Application>Microsoft Office Word</Application>
  <DocSecurity>0</DocSecurity>
  <Lines>151</Lines>
  <Paragraphs>42</Paragraphs>
  <ScaleCrop>false</ScaleCrop>
  <HeadingPairs>
    <vt:vector size="2" baseType="variant">
      <vt:variant>
        <vt:lpstr>Tytuł</vt:lpstr>
      </vt:variant>
      <vt:variant>
        <vt:i4>1</vt:i4>
      </vt:variant>
    </vt:vector>
  </HeadingPairs>
  <TitlesOfParts>
    <vt:vector size="1" baseType="lpstr">
      <vt:lpstr/>
    </vt:vector>
  </TitlesOfParts>
  <Company>MRPiPS</Company>
  <LinksUpToDate>false</LinksUpToDate>
  <CharactersWithSpaces>21206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Bozena Bator</dc:creator>
  <cp:keywords/>
  <dc:description/>
  <cp:lastModifiedBy>Sabiniewicz Marcin</cp:lastModifiedBy>
  <cp:revision>17</cp:revision>
  <cp:lastPrinted>2020-05-12T10:37:00Z</cp:lastPrinted>
  <dcterms:created xsi:type="dcterms:W3CDTF">2020-07-21T09:33:00Z</dcterms:created>
  <dcterms:modified xsi:type="dcterms:W3CDTF">2020-07-21T11:22:00Z</dcterms:modified>
</cp:coreProperties>
</file>