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AC" w:rsidRDefault="007E26CA" w:rsidP="009B51A0">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UZASADNIENIE</w:t>
      </w:r>
    </w:p>
    <w:p w:rsidR="00DF1210" w:rsidRDefault="00DF1210" w:rsidP="00DF1210">
      <w:pPr>
        <w:pStyle w:val="NIEARTTEKSTtekstnieartykuowanynppodstprawnarozplubpreambua"/>
      </w:pPr>
      <w:r>
        <w:t>Projektowana ustawa ma na celu wprowadzenie w usta</w:t>
      </w:r>
      <w:r w:rsidR="00F81E77">
        <w:t>wie z dnia 19 grudnia 2003 r. o </w:t>
      </w:r>
      <w:r>
        <w:t>organizacji rynków owoców i warzyw oraz rynku</w:t>
      </w:r>
      <w:r w:rsidR="00F81E77">
        <w:t xml:space="preserve"> chmielu (Dz. U. z 2022 r. poz. </w:t>
      </w:r>
      <w:r>
        <w:t xml:space="preserve">2101), zwanej dalej „ustawą z dnia 19 grudnia 2003 r.” lub „ustawą zmienianą”, najbardziej istotnych zmian wynikających z przepisów Komisji Europejskiej dotyczących przyznawania pomocy finansowej ze środków Unii Europejskiej organizacjom </w:t>
      </w:r>
      <w:r w:rsidR="00F81E77">
        <w:t>producentów w sektorze owoców i </w:t>
      </w:r>
      <w:r>
        <w:t>warzyw i ich zrzeszeniom. Są to:</w:t>
      </w:r>
    </w:p>
    <w:p w:rsidR="00DF1210" w:rsidRDefault="00DF1210" w:rsidP="00723F33">
      <w:pPr>
        <w:pStyle w:val="NIEARTTEKSTtekstnieartykuowanynppodstprawnarozplubpreambua"/>
        <w:ind w:left="284" w:hanging="284"/>
      </w:pPr>
      <w:r>
        <w:t>– rozporządzenie delegowane Komisji (UE</w:t>
      </w:r>
      <w:r w:rsidR="00723F33">
        <w:t xml:space="preserve">) 2017/891 z dnia 13 marca 2017 </w:t>
      </w:r>
      <w:r>
        <w:t>r. uzupełniające rozporządzenie Parlamentu Europejsk</w:t>
      </w:r>
      <w:r w:rsidR="00723F33">
        <w:t xml:space="preserve">iego i Rady (UE) nr 1308/2013 w </w:t>
      </w:r>
      <w:r>
        <w:t>odniesieniu do sektora owoców i warzyw oraz sektora przetworzonych owoców i warzyw, uzupełniające rozporządzenie Parlamentu Europejsk</w:t>
      </w:r>
      <w:r w:rsidR="00723F33">
        <w:t xml:space="preserve">iego i Rady (UE) nr 1306/2013 w </w:t>
      </w:r>
      <w:r>
        <w:t>odniesieniu do kar, które mają być stosowane w tych sektorach, a także zmieniające rozporządzenie wykonawcze Komisji (UE) nr 543/2011 (Dz. U</w:t>
      </w:r>
      <w:r w:rsidR="00F81E77">
        <w:t>rz. U</w:t>
      </w:r>
      <w:r w:rsidR="00723F33">
        <w:t>E L 138 z 25.05.2017, str. 4, z późn. </w:t>
      </w:r>
      <w:r>
        <w:t>zm.), zwane dalej „rozporządzeniem nr 2017/891” oraz</w:t>
      </w:r>
    </w:p>
    <w:p w:rsidR="00DF1210" w:rsidRDefault="00DF1210" w:rsidP="00723F33">
      <w:pPr>
        <w:pStyle w:val="NIEARTTEKSTtekstnieartykuowanynppodstprawnarozplubpreambua"/>
        <w:ind w:left="284" w:hanging="284"/>
      </w:pPr>
      <w:r>
        <w:t>– rozporządzenie wykonawcze Komisji (UE</w:t>
      </w:r>
      <w:r w:rsidR="00723F33">
        <w:t xml:space="preserve">) 2017/892 z dnia 13 marca 2017 </w:t>
      </w:r>
      <w:r>
        <w:t>r. ustanawiające zasady stosowania rozporządzenia Parlamen</w:t>
      </w:r>
      <w:r w:rsidR="00F81E77">
        <w:t>tu Europejskiego i Rady (UE) nr </w:t>
      </w:r>
      <w:r>
        <w:t>1308</w:t>
      </w:r>
      <w:r w:rsidR="00723F33">
        <w:t>/2013 w </w:t>
      </w:r>
      <w:r>
        <w:t xml:space="preserve">odniesieniu do sektora owoców i warzyw oraz sektora przetworzonych owoców i warzyw (Dz. Urz. UE L 138 z 25.05.2017, str. 57, z późn. zm.), </w:t>
      </w:r>
      <w:r w:rsidR="00723F33">
        <w:t>zwane dalej „rozporządzeniem nr </w:t>
      </w:r>
      <w:r>
        <w:t>2017/892”. Przywołane wyżej przepisy Komisji Europejskiej podleg</w:t>
      </w:r>
      <w:r w:rsidR="00F81E77">
        <w:t>ały zmianom w</w:t>
      </w:r>
      <w:r w:rsidR="00723F33">
        <w:t> </w:t>
      </w:r>
      <w:r w:rsidR="00F81E77">
        <w:t>latach 2018–2021.</w:t>
      </w:r>
    </w:p>
    <w:p w:rsidR="00DF1210" w:rsidRDefault="00DF1210" w:rsidP="00DF1210">
      <w:pPr>
        <w:pStyle w:val="NIEARTTEKSTtekstnieartykuowanynppodstprawnarozplubpreambua"/>
      </w:pPr>
      <w:r>
        <w:t xml:space="preserve">Analiza procesu wykonywania ww. przepisów wskazuje, że </w:t>
      </w:r>
      <w:r w:rsidR="00A44F95">
        <w:t xml:space="preserve">jest </w:t>
      </w:r>
      <w:r>
        <w:t>konieczne wprowadzenie zmian w ustawie z dnia 19 grudnia 2003 r. w celu ich skuteczniejszego i bardziej optymalnego stosowania. Zmiany przepisów ustawy z dnia 19 gru</w:t>
      </w:r>
      <w:r w:rsidR="00F81E77">
        <w:t>dnia 2003 r. wynikają również z </w:t>
      </w:r>
      <w:r>
        <w:t>doświadczeń Agencji Restrukturyzacji i Modernizacji Rolnictwa, zwanej dalej „Agencją”, zdobytych podczas wieloletniego administrowania mechanizmem przyznawania pomocy finansowej wstępnie uznanym grupom producentów i uznanym organizacjom producentów owoców i warzyw, w tym wyroków sądów administracyjnych.</w:t>
      </w:r>
    </w:p>
    <w:p w:rsidR="00DF1210" w:rsidRDefault="00DF1210" w:rsidP="00383CE5">
      <w:pPr>
        <w:pStyle w:val="NIEARTTEKSTtekstnieartykuowanynppodstprawnarozplubpreambua"/>
      </w:pPr>
      <w:r>
        <w:t>Wspólna Polityka Rolna Unii Europejskiej w najbliższej perspektywie finansowej przewiduje wdrażanie szeregu tzw. interwencji, określony</w:t>
      </w:r>
      <w:r w:rsidR="00F81E77">
        <w:t>ch przez państwa członkowskie w </w:t>
      </w:r>
      <w:r>
        <w:t>krajowych planach strategicznych na podstawie rozporządz</w:t>
      </w:r>
      <w:r w:rsidR="00F81E77">
        <w:t>enia Parlamentu Europejskiego i </w:t>
      </w:r>
      <w:r>
        <w:t xml:space="preserve">Rady (UE) 2021/2115 z dnia 2 grudnia 2021 r. ustanawiającego przepisy dotyczące wsparcia planów strategicznych sporządzanych przez państwa członkowskie w ramach wspólnej polityki </w:t>
      </w:r>
      <w:r>
        <w:lastRenderedPageBreak/>
        <w:t>rolnej (planów strategicznych WPR) i finansowanych z Europejskiego Funduszu Rolniczego Gwarancji (EFRG) i z Europejskiego Funduszu Rolnego na rzecz Rozwoju Obszarów Wiejskich (EFRROW) oraz uchylającego rozporządze</w:t>
      </w:r>
      <w:r w:rsidR="00F81E77">
        <w:t>nia (UE) nr 1305/2013 i (UE) nr </w:t>
      </w:r>
      <w:r>
        <w:t>1307/2013 (Dz. Urz. UE L 435 z 06.12.2021, str. 1, z późn. zm.), zwanego dalej „rozporządzeniem 2021/2115”. Powołane wyżej przepisy Komisji Europejskiej regulujące szczegółowo uznawanie i finansowanie organizacji producentów w sektorze owoców i warzyw i ich zrzeszeń, w tym międzynarodowych organizacji i zrzeszeń, zostaną w dużej części uchylone. W rozporządzeniu delegowanym Komisji (UE)</w:t>
      </w:r>
      <w:r w:rsidR="00F81E77">
        <w:t xml:space="preserve"> 2022/126 z dnia 7 grudnia 2021 </w:t>
      </w:r>
      <w:r>
        <w:t>r. uzupełniającym rozporządzenie Parlamentu Europe</w:t>
      </w:r>
      <w:r w:rsidR="00F81E77">
        <w:t>jskiego i Rady (UE) 2021/2115 o </w:t>
      </w:r>
      <w:r>
        <w:t xml:space="preserve">dodatkowe wymogi w odniesieniu do niektórych rodzajów interwencji określonych przez państwa członkowskie w ich planach strategicznych WPR na lata 2023–2027 na podstawie tego rozporządzenia, jak również o przepisy dotyczące współczynnika dotyczącego normy dobrej kultury rolnej zgodnej z ochroną środowiska (GAEC) nr 1 (Dz. </w:t>
      </w:r>
      <w:r w:rsidR="00F81E77">
        <w:t>Urz. UE L 20 z 31.01.2022, str. </w:t>
      </w:r>
      <w:r>
        <w:t>52)</w:t>
      </w:r>
      <w:r w:rsidR="00A44F95">
        <w:t>,</w:t>
      </w:r>
      <w:r>
        <w:t xml:space="preserve"> nakreślono ogólne zasady dotyczące interwencji możliwych do wdrożenia w ramach planów strategicznych, w tym w sektorze owoców i warzyw. Natomiast państwa członkowskie będą musiały określić w swoich krajowych przepisach szczegółowe zasady obsługi programów operacyjnych, w ramach których będą wdrażane interwencje wskazane przez te państwa w ich planach strategicznych. Nowe regulacje UE wejdą w życie z dniem 1 stycznia 2023 r., na ich podstawie są już opracowywane stosowne krajowe przepisy, natomiast przepisy ustawy z dnia 19 grudnia 2003 r. zostaną docelowo uchylone. Jednakże, w związku z możliwością kontynuowania do końca 2025 r. realizacji działań i inwestycji ujętych w programach operacyjnych opracowanych na podstawie dotychczasowych przepisów, tj. rozporządzenia Parlamentu Europejskiego i Rady (UE) nr 1308/2013 z dnia 17 grudnia 2013 r. ustanawiającego wspólną organizację rynków produktów rolnych oraz uchylającego rozporządzenia Rady (EWG) nr 922/72, (EWG) nr 234/79, (WE) nr 1037/2001 i (WE) nr 1234/2007 (Dz.</w:t>
      </w:r>
      <w:r w:rsidR="00F81E77">
        <w:t xml:space="preserve"> Urz. UE L </w:t>
      </w:r>
      <w:r>
        <w:t>347 z 20.12.2013, str. 671, z późn. zm.), zwanego dalej „rozporządzeniem nr 1308/2013”, oraz ww. rozporządzeń Komisji Europejskiej zmienione niniejszym projektem przepisy ustawy z dnia 19 grudnia 2003 r. będą miały zastosowanie do obsługi przez organy Agencji programów operacyjnych zatwierdzonych w oparciu o dotychczasowe przepisy i wdrażanych do końca 2025 r. Wynika to z przepisów przejściowych określonych w art. 5 ust. 4 i ust. 6 akapit pierwszy lit. c rozporządzenia Parlamentu Europejskiego i Rady (UE) 2021/2117 z dnia 2 grudnia 2021 r. zmieniającego rozporządzenia (UE) nr 1308/2013 ustanawiające wspólną organizację rynków produktów rolnych, (UE) nr 1151/2012 w sprawie syste</w:t>
      </w:r>
      <w:r w:rsidR="00180CE4">
        <w:t>mów jakości produktów rolnych i </w:t>
      </w:r>
      <w:r>
        <w:t xml:space="preserve">środków spożywczych, (UE) nr 251/2014 w sprawie definicji, opisu, prezentacji, </w:t>
      </w:r>
      <w:r>
        <w:lastRenderedPageBreak/>
        <w:t>etykietowania i ochrony oznaczeń geograficznych aromatyzowanych produktów sektora wina i (UE) nr 228/2013 ustanawiające szczególne środki w dziedzinie rolnictwa na rzecz regionów najbardziej oddalonych w Unii Europejskiej (Dz. U</w:t>
      </w:r>
      <w:r w:rsidR="00180CE4">
        <w:t>rz. UE L 435 z 06.12.2021, str. </w:t>
      </w:r>
      <w:bookmarkStart w:id="0" w:name="_GoBack"/>
      <w:bookmarkEnd w:id="0"/>
      <w:r>
        <w:t>262), zwanego dalej „rozporządzeniem 2021/2117”, a także w art. 10 pkt 2 rozporządzenia Parlamentu Europejskiego i Rady (UE) 2020/2220 z dnia 23 grudnia 2020 r. ustanawiającego niektóre przepisy przejściowe dotyczące wsparcia z Europejskiego Funduszu Rolnego na rzecz Rozwoju Obszarów Wiejskich (EFRROW) i z Europejskiego Funduszu Rolniczego Gwarancji (EFRG) w latach 2021 i 2022 oraz zmieniające rozporządz</w:t>
      </w:r>
      <w:r w:rsidR="00F81E77">
        <w:t>enia (UE) nr 1305/2013, (UE) nr </w:t>
      </w:r>
      <w:r>
        <w:t>1306/2013 i (UE) nr 1307/2013 w odniesieniu do zasobów i stosowania w latach 2021 i 2022 oraz rozporządzenie (UE) nr 1308/2013 w odniesieniu do zasobów i rozdziału takiego wsparcia na lata 2021 i 2022 (Dz. Urz. UE L 437 z 28.12.2020, str. 1).</w:t>
      </w:r>
    </w:p>
    <w:p w:rsidR="00DF1210" w:rsidRDefault="00DF1210" w:rsidP="00DF1210">
      <w:pPr>
        <w:pStyle w:val="NIEARTTEKSTtekstnieartykuowanynppodstprawnarozplubpreambua"/>
      </w:pPr>
      <w:r>
        <w:t>W niniejszym projekcie dokonuje się korekt przepisó</w:t>
      </w:r>
      <w:r w:rsidR="00F81E77">
        <w:t>w ustawy z dnia 19 grudnia 2003 </w:t>
      </w:r>
      <w:r>
        <w:t>r. odnoszących się do obsługi wniosków o zatwierdzenie programów operacyjnych, wysokości wydatków i funduszy operacyjnych oraz o przyznanie pomocy finansowej, co pozwoli na prawidłowe stosowanie przepisów Unii w tym zakresie. Wprowadzono również sankcje za niewywiązywanie się z podjętych na podstawie przepisów unijnych zobowiązań wobec inwestycji zakupionych ze współfinansowaniem ze środków publicznych, a także za uniemożliwienie przeprowadzenia kontroli wywiązywania się z podjętych zobowiązań oraz za wykorzystywanie środków funduszu operacyjnego n</w:t>
      </w:r>
      <w:r w:rsidR="00F81E77">
        <w:t>iezgodnie z ich przeznaczeniem.</w:t>
      </w:r>
    </w:p>
    <w:p w:rsidR="00DF1210" w:rsidRDefault="00DF1210" w:rsidP="00DF1210">
      <w:pPr>
        <w:pStyle w:val="ARTartustawynprozporzdzenia"/>
      </w:pPr>
      <w:r>
        <w:t xml:space="preserve">W </w:t>
      </w:r>
      <w:r>
        <w:rPr>
          <w:rStyle w:val="Ppogrubienie"/>
        </w:rPr>
        <w:t>art. 1 pkt 1</w:t>
      </w:r>
      <w:r>
        <w:t xml:space="preserve"> projektu ustawy dodaje się ust. 1a w art. 1 ustawy zmienianej, w którym wskazuje się, że przepisy ustawy nie mają zastosowania do programów operacyjnych innych niż objęte przepisami art. 5 ust. 4 i ust. 6 akapit pierwszy lit. c rozporządzenia 2021/2117, co oznacza, że mają zastosowanie do programów operacyjnych realizowanych na dotychczasowych zasadach, wynikających z rozporządzenia nr 1308/2013 w kształcie sprzed wprowadzenia w nim zmian rozporządzeniem 2021/2117.</w:t>
      </w:r>
    </w:p>
    <w:p w:rsidR="00DF1210" w:rsidRDefault="00DF1210" w:rsidP="00DF1210">
      <w:pPr>
        <w:pStyle w:val="NIEARTTEKSTtekstnieartykuowanynppodstprawnarozplubpreambua"/>
      </w:pPr>
      <w:r>
        <w:t xml:space="preserve">Przepisy </w:t>
      </w:r>
      <w:r>
        <w:rPr>
          <w:rStyle w:val="Ppogrubienie"/>
          <w:bCs w:val="0"/>
        </w:rPr>
        <w:t>art. 1 pkt 2</w:t>
      </w:r>
      <w:r>
        <w:t xml:space="preserve"> projektu ustawy odnoszą si</w:t>
      </w:r>
      <w:r w:rsidR="00F81E77">
        <w:t>ę do zmian wprowadzonych w art. </w:t>
      </w:r>
      <w:r>
        <w:t xml:space="preserve">9a ustawy z dnia 19 grudnia 2003 r. dotyczących kompetencji dyrektora oddziału regionalnego Agencji i obowiązków organizacji producentów i ich zrzeszeń związanych z realizacją programów operacyjnych i wnioskowaniem </w:t>
      </w:r>
      <w:r w:rsidR="00F81E77">
        <w:t>o przyznanie pomocy finansowej.</w:t>
      </w:r>
    </w:p>
    <w:p w:rsidR="00DF1210" w:rsidRDefault="00DF1210" w:rsidP="00DF1210">
      <w:pPr>
        <w:pStyle w:val="NIEARTTEKSTtekstnieartykuowanynppodstprawnarozplubpreambua"/>
      </w:pPr>
      <w:r>
        <w:t xml:space="preserve">W </w:t>
      </w:r>
      <w:r>
        <w:rPr>
          <w:rStyle w:val="Ppogrubienie"/>
          <w:bCs w:val="0"/>
        </w:rPr>
        <w:t>art. 1 pkt 2 lit. a tiret pierwsze</w:t>
      </w:r>
      <w:r>
        <w:t xml:space="preserve"> projektu ustawy z</w:t>
      </w:r>
      <w:r w:rsidR="00F81E77">
        <w:t>mieniono brzmienie pkt 5 w art. </w:t>
      </w:r>
      <w:r>
        <w:t xml:space="preserve">9a ust. 1 ustawy zmienianej. Przepis ten wskazuje, że dyrektor oddziału regionalnego Agencji wydaje decyzje w sprawie wymierzania kar, z tym, że wyrażenie „kary pieniężne” zmieniono </w:t>
      </w:r>
      <w:r>
        <w:lastRenderedPageBreak/>
        <w:t xml:space="preserve">na „kary administracyjne” zgodnie z przepisami tytułu II rozdziału V sekcji 3 rozporządzenia nr 2017/891 i odwołano </w:t>
      </w:r>
      <w:r w:rsidR="00F81E77">
        <w:t>się do aktualnych przepisów UE.</w:t>
      </w:r>
    </w:p>
    <w:p w:rsidR="00DF1210" w:rsidRDefault="00DF1210" w:rsidP="00DF1210">
      <w:pPr>
        <w:pStyle w:val="NIEARTTEKSTtekstnieartykuowanynppodstprawnarozplubpreambua"/>
      </w:pPr>
      <w:r>
        <w:t>Z uwagi na to, że kary określone w zmienionym przepisie art. 9a ust. 1 pkt 5 obejmują również kary przewidziane w art. 64 rozporządzenia nr 2017/891 wobec odbiorców produktów wycofanych, tj. jednostek organizacyjnych lub osób fizycznych</w:t>
      </w:r>
      <w:r w:rsidR="00F81E77">
        <w:t>, o których mowa w art. 12 ust. </w:t>
      </w:r>
      <w:r>
        <w:t xml:space="preserve">1 pkt 1 lit. a i b ustawy zmienianej, dotychczasowy pkt 6 w art. 9a ust. 1 ustawy zmienianej odnoszący się do tych kar został uchylony w </w:t>
      </w:r>
      <w:r>
        <w:rPr>
          <w:rStyle w:val="Ppogrubienie"/>
          <w:bCs w:val="0"/>
        </w:rPr>
        <w:t>art. 1 pkt 2 lit. a tiret drugie</w:t>
      </w:r>
      <w:r>
        <w:t xml:space="preserve"> projekt</w:t>
      </w:r>
      <w:r w:rsidR="00F81E77">
        <w:t>u ustawy.</w:t>
      </w:r>
    </w:p>
    <w:p w:rsidR="00DF1210" w:rsidRDefault="00DF1210" w:rsidP="00DF1210">
      <w:pPr>
        <w:pStyle w:val="NIEARTTEKSTtekstnieartykuowanynppodstprawnarozplubpreambua"/>
      </w:pPr>
      <w:r>
        <w:t xml:space="preserve">W </w:t>
      </w:r>
      <w:r>
        <w:rPr>
          <w:rStyle w:val="Ppogrubienie"/>
          <w:bCs w:val="0"/>
        </w:rPr>
        <w:t>art. 1 pkt 2 lit. a tiret trzecie</w:t>
      </w:r>
      <w:r>
        <w:t xml:space="preserve"> projektu ustaw</w:t>
      </w:r>
      <w:r w:rsidR="00F81E77">
        <w:t>y uchylono pkt 8 w art. 9a ust. </w:t>
      </w:r>
      <w:r>
        <w:t>1 uprawniający dyrektora oddziału regionalnego Agencji do wydania decyzji w sprawie wyłączenia organizacji producentów lub zrzeszenia organizacji producentów ze w</w:t>
      </w:r>
      <w:r w:rsidR="00F81E77">
        <w:t>sparcia w </w:t>
      </w:r>
      <w:r>
        <w:t>ramach programu operacyjnego w kolejnym roku jego re</w:t>
      </w:r>
      <w:r w:rsidR="00F81E77">
        <w:t>alizacji. Przepis ten wynikał z </w:t>
      </w:r>
      <w:r>
        <w:t>nieobowiązujących aktualnie przepisów Unii dotyczących sytuacji, gdy stwierdzono popełnienie przez daną organizację lub zrzeszenie oszustwa w odniesieniu do pomocy objętej przepisami regulującymi wspólną organizację rynków produktó</w:t>
      </w:r>
      <w:r w:rsidR="00F81E77">
        <w:t>w rolnych. Obecnie, w myśl art. </w:t>
      </w:r>
      <w:r>
        <w:t>60 ust. 2 lit. c rozporządzenia nr 2017/891, w sytuacji stwierdzenia oszustwa wyłącza się organizację producentów lub zrzeszenie z uznania w kolejnym roku.</w:t>
      </w:r>
    </w:p>
    <w:p w:rsidR="00DF1210" w:rsidRDefault="00DF1210" w:rsidP="00DF1210">
      <w:pPr>
        <w:pStyle w:val="NIEARTTEKSTtekstnieartykuowanynppodstprawnarozplubpreambua"/>
      </w:pPr>
      <w:r>
        <w:t xml:space="preserve">W </w:t>
      </w:r>
      <w:r>
        <w:rPr>
          <w:rStyle w:val="Ppogrubienie"/>
          <w:bCs w:val="0"/>
        </w:rPr>
        <w:t>art. 1 pkt 2 lit. b</w:t>
      </w:r>
      <w:r>
        <w:t xml:space="preserve"> projektu ustawy dodano ust. 1a w art. 9a ustawy zmienianej, w którym wprowadzono nową kompetencję dla dyrektora oddziału regionalnego Agencji umożliwiającą odroczenie programu operacyjnego na rok</w:t>
      </w:r>
      <w:r w:rsidR="0022065B">
        <w:t>,</w:t>
      </w:r>
      <w:r>
        <w:t xml:space="preserve"> w sytuacji zatwierdzenia go po terminie wynikającym z przepisów UE. Zgodnie z art. 33 ust. 2 rozporządzenia nr 2017/891 programy operacyjne, które mają być realizowane w danym roku, powinny być zatwierdzone do dnia 15 grudnia roku poprzedniego, a wyjątkowo z należycie uzasadnionych przyczyn mogą być zatwierdzone po tej dacie, najpóźniej do dnia 20 stycznia. Zgo</w:t>
      </w:r>
      <w:r w:rsidR="00F81E77">
        <w:t>dnie z art. 7 rozporządzenia nr </w:t>
      </w:r>
      <w:r>
        <w:t>2017/892 programy operacyjne zatwierdzone do dnia 15 grudnia realizowane są od dnia 1 stycznia następnego roku. Realizacja programów zatwierdzonych po dniu 15 grudnia powinna zostać odroczona na rok. Agencja przedstawiła wyroki sądów administracyjnych, z których wynika, że kompetencja dyrektora oddziału regionalnego Agencji do odraczania programu operacyjnego powinna być umocowana ustawowo. Dlatego zaproponowano, aby w decyzjach w sprawie zatwierdzenia programu operacyjnego albo jego zmiany oraz w decyzjach zatwierdzających częściowe programy operacyjne zrzeszeń organizacji producentów, o których mowa w art. 9a ust. 1 pkt 1 lit. a i pkt 2, wydanych po termi</w:t>
      </w:r>
      <w:r w:rsidR="00F81E77">
        <w:t>nie określonym w art. 7 ust. </w:t>
      </w:r>
      <w:r>
        <w:t>2 rozporządzenia nr 2017/892, dyrektor oddziału regionalneg</w:t>
      </w:r>
      <w:r w:rsidR="00F81E77">
        <w:t>o Agencji rozstrzygał również o </w:t>
      </w:r>
      <w:r>
        <w:t>odroczeniu programu zgodnie z tym przepisem.</w:t>
      </w:r>
    </w:p>
    <w:p w:rsidR="00DF1210" w:rsidRDefault="00DF1210" w:rsidP="00DF1210">
      <w:pPr>
        <w:pStyle w:val="NIEARTTEKSTtekstnieartykuowanynppodstprawnarozplubpreambua"/>
      </w:pPr>
      <w:r>
        <w:lastRenderedPageBreak/>
        <w:t>Dotychczasowe przepisy art. 9a ust. 2 ustawy zmien</w:t>
      </w:r>
      <w:r w:rsidR="00F81E77">
        <w:t>ianej przewidywały określenie w </w:t>
      </w:r>
      <w:r>
        <w:t xml:space="preserve">decyzjach w sprawie przyznania pomocy finansowej na dofinansowanie funduszu operacyjnego oraz w sprawie corocznego rozliczenia środków finansowych obniżek pomocy finansowej, jeśli wynikały one z przepisów Unii Europejskiej. W </w:t>
      </w:r>
      <w:r>
        <w:rPr>
          <w:rStyle w:val="Ppogrubienie"/>
          <w:bCs w:val="0"/>
        </w:rPr>
        <w:t>art. 1 pkt 2 lit. c</w:t>
      </w:r>
      <w:r>
        <w:t xml:space="preserve"> projektu ustawy zmieniono brzmienie tego przepisu</w:t>
      </w:r>
      <w:r w:rsidR="0022065B">
        <w:t>,</w:t>
      </w:r>
      <w:r>
        <w:t xml:space="preserve"> dodając możli</w:t>
      </w:r>
      <w:r w:rsidR="00F81E77">
        <w:t>wość zwiększenia kwoty pomocy</w:t>
      </w:r>
      <w:r w:rsidR="0022065B">
        <w:t>,</w:t>
      </w:r>
      <w:r w:rsidR="00F81E77">
        <w:t xml:space="preserve"> i </w:t>
      </w:r>
      <w:r>
        <w:t>doprecyzowano, że kwotę obniżki określa się w dodanym w art. 9a ust. 16, w którym wprowadzono możliwość zmniejszenia pomocy za wykorzystywanie środków funduszu operacyjnego niezgodnie z przeznaczeniem, tj. wyłącznie do finansowania zatwierdzonych programów operacyjnych, co wynika z art. 32 ust. 2 ro</w:t>
      </w:r>
      <w:r w:rsidR="00F81E77">
        <w:t>zporządzenia nr 1308/2013 lub w </w:t>
      </w:r>
      <w:r>
        <w:t>przypadkach określonych w art. 61 ust. 3 i 6 rozporz</w:t>
      </w:r>
      <w:r w:rsidR="00F81E77">
        <w:t>ądzenia nr 2017/891 mówiących o </w:t>
      </w:r>
      <w:r>
        <w:t>karach za niekwalifikowalne kwoty. Natomiast możliwość zwiększenia kwoty pomocy finansowej wynika z przepisów art. 34 ust. 3 rozporządzen</w:t>
      </w:r>
      <w:r w:rsidR="00F81E77">
        <w:t>ia nr 1308/2013. Zgodnie z art. </w:t>
      </w:r>
      <w:r>
        <w:t>34 ust. 1 rozporządzenia nr 1308/2013 unijna pomoc finansowa na dofinansowanie funduszu operacyjnego jest równa faktycznie wpłaconej na ten fundusz kwocie składek (przez organizację lub jej członków) i jest ograniczona do 50% faktycznie poniesionych wydatków. Możliwe jest zwiększenie kwoty pomocy ze środkó</w:t>
      </w:r>
      <w:r w:rsidR="00F81E77">
        <w:t>w Unii z 50% do 60% w związku z </w:t>
      </w:r>
      <w:r>
        <w:t>zaistnieniem co najmniej jednego z warunków, o których mowa w art. 34 ust. 3 tego rozporządzenia. Przykładowo, zgodnie z art. 34 ust. 3 lit. d rozporządzenia nr 1308/2013, możliwość zwiększenia kwoty pomocy do 60% faktycznie poniesionych wydatków dotyczy pierwszego programu operacyjnego przedstawionego przez organizację producentów powstałą w wyniku połączenia z inną organizacją producentów – takie sytuacje miały miejsce w Polsce. Na podstawie art. 34 ust. 3 lit. e ww. rozporządzenia zwiększoną kwotę pomocy otrzyma zrzeszenie organizacji producentów na realizację swojego pierwszego programu operacyjnego. Z kolei, zgodnie z art. 34 ust. 3 lit. f ww. rozporządzenia</w:t>
      </w:r>
      <w:r w:rsidR="0022065B">
        <w:t>,</w:t>
      </w:r>
      <w:r>
        <w:t xml:space="preserve"> </w:t>
      </w:r>
      <w:r w:rsidR="009551EA">
        <w:t xml:space="preserve">jest </w:t>
      </w:r>
      <w:r>
        <w:t>możliwe zwiększenie kwoty pomocy</w:t>
      </w:r>
      <w:r w:rsidR="009551EA">
        <w:t>,</w:t>
      </w:r>
      <w:r>
        <w:t xml:space="preserve"> w sytuacji gdy program operacyjny został przedło</w:t>
      </w:r>
      <w:r w:rsidR="00F81E77">
        <w:t>żony w państwie członkowskim, w </w:t>
      </w:r>
      <w:r>
        <w:t>którym organizacje producentów wprowadzają do obrotu mniej niż 20% wyprodukowanych owoców i warzyw. Taka sytuacja jest możliwa do zastosowania i była już stosowana, gdyż poziom zorganizowania rynków owoców i warzyw w Polsce oscyluje w okolicach 20%.</w:t>
      </w:r>
    </w:p>
    <w:p w:rsidR="00DF1210" w:rsidRDefault="00DF1210" w:rsidP="00DF1210">
      <w:pPr>
        <w:pStyle w:val="NIEARTTEKSTtekstnieartykuowanynppodstprawnarozplubpreambua"/>
      </w:pPr>
      <w:r>
        <w:t xml:space="preserve">W </w:t>
      </w:r>
      <w:r>
        <w:rPr>
          <w:rStyle w:val="Ppogrubienie"/>
          <w:bCs w:val="0"/>
        </w:rPr>
        <w:t>art. 1 pkt 2 lit. d</w:t>
      </w:r>
      <w:r>
        <w:t xml:space="preserve"> projektu dodano w art. 9a ustawy zmienianej nową regulację odnoszącą się do wsparcia za produkty podlegające operacji wycofania z rynku w ramach wdrażanych w programie operacyjnym działań kryzysowych. W ust. 2a wskazano, że wsparcie, o którym mowa w art. 45 ust. 1 rozporządzenia nr 2017/891, tj. wsparcie za produkty wycofywane z rynku w ramach tej operacji, objęte pomocą </w:t>
      </w:r>
      <w:r w:rsidR="00F81E77">
        <w:t>finansową, o której mowa w ust. </w:t>
      </w:r>
      <w:r>
        <w:t xml:space="preserve">1 </w:t>
      </w:r>
      <w:r>
        <w:lastRenderedPageBreak/>
        <w:t>pkt 3 tego artykułu, ustala się jako kwotę równą cenie zakupu produktu objętego tym wsparciem od producenta, przy czym wsparcie to wynosi nie więcej n</w:t>
      </w:r>
      <w:r w:rsidR="00F81E77">
        <w:t>iż kwoty określone w załączniku </w:t>
      </w:r>
      <w:r>
        <w:t>IV do rozporządzenia nr 2017/891. W przypadku produkt</w:t>
      </w:r>
      <w:r w:rsidR="00F81E77">
        <w:t>ów niewymienionych w załączniku </w:t>
      </w:r>
      <w:r>
        <w:t>IV do rozporządzenia nr 2017/891 wsparcie nie przekracza maksymalnej wysokości rekompensat określonych w przepisach wydanych na podstawie art. 19 ust. 2 pkt 16. Przy czym użycie wyrazu „rekompensaty” w krajowych przepisach wynika z tego, że tak dawniej w przepisach UE było określone wsparcie za wycofywanie z rynku.</w:t>
      </w:r>
    </w:p>
    <w:p w:rsidR="00DF1210" w:rsidRDefault="00DF1210" w:rsidP="00DF1210">
      <w:pPr>
        <w:pStyle w:val="NIEARTTEKSTtekstnieartykuowanynppodstprawnarozplubpreambua"/>
      </w:pPr>
      <w:r>
        <w:t xml:space="preserve">Kolejna zmiana dotyczy sposobu ustalania rocznego pułapu pomocy na dofinansowanie funduszu operacyjnego. W </w:t>
      </w:r>
      <w:r>
        <w:rPr>
          <w:rStyle w:val="Ppogrubienie"/>
          <w:bCs w:val="0"/>
        </w:rPr>
        <w:t>art. 1 pkt 2 lit. e</w:t>
      </w:r>
      <w:r>
        <w:t xml:space="preserve"> projektu zm</w:t>
      </w:r>
      <w:r w:rsidR="00F81E77">
        <w:t>ieniono brzmienie ust. 3 w art. </w:t>
      </w:r>
      <w:r>
        <w:t>9a ustawy zmienianej</w:t>
      </w:r>
      <w:r w:rsidR="003A5CE2">
        <w:t>,</w:t>
      </w:r>
      <w:r>
        <w:t xml:space="preserve"> wskazując że dyrektor oddziału regionalnego oblicza roczny pułap pomocy w sposób określony w art. 23 ust. 3 zdanie pierwsze rozporządzenia nr 2017/891, który wskazuje metodę alternatywną do wskazanej w art. 23 ust. 2 tego rozporządzenia</w:t>
      </w:r>
      <w:r w:rsidR="003A5CE2">
        <w:t>,</w:t>
      </w:r>
      <w:r>
        <w:t xml:space="preserve"> i przewiduje, że państwa członkowskie mogą podjąć decyzję o wykorzystaniu rzeczywistych wartości produkcji sprzedanej w danym okresie referencyjnym danej organizacji producentów lub danego zrzeszenia organizacji. Ten sposób obliczania pułapu unijnej pomocy finansowej ma zastosowanie jedynie do organizacji i zrzeszeń niemających międzynarodowego charakteru. Aktualnie w Polsce nie ma międzynarodowych organizacji i zrzeszeń, można więc założyć, że zmieniony przepis będzie się odnosił do wszystkich organizacji i zrzeszeń, które będą wdrażały program operacyjny zatwierdzony na dotychczasowych zasadach w okresie przejściowym, tj. maksymalnie do końca 2025 r. Przepis ten uwzględniono na wniosek organizacji producentów, aby do obliczeń wykorzystywać rzeczywiste wartości produkcji sprzedanej członków organizacji, którzy byli członkami w okresie referencyjnym, a następnie w dowolnym momencie, z różnych powodów, przestali nimi być. Okres referencyjny stosowany przy określeniu wartości owoców i warzyw sprzedanych został określony w rozporządzeniu wydanym na podstawie upoważnienia z art. 19 ust. 2 pkt 4 ustawy zmienia</w:t>
      </w:r>
      <w:r w:rsidR="00F81E77">
        <w:t>nej.</w:t>
      </w:r>
    </w:p>
    <w:p w:rsidR="00DF1210" w:rsidRDefault="00DF1210" w:rsidP="00DF1210">
      <w:pPr>
        <w:pStyle w:val="NIEARTTEKSTtekstnieartykuowanynppodstprawnarozplubpreambua"/>
      </w:pPr>
      <w:r>
        <w:t xml:space="preserve">W </w:t>
      </w:r>
      <w:r>
        <w:rPr>
          <w:rStyle w:val="Ppogrubienie"/>
          <w:bCs w:val="0"/>
        </w:rPr>
        <w:t>art. 1 pkt 2 lit. f</w:t>
      </w:r>
      <w:r>
        <w:t xml:space="preserve"> projektu uzupełniono ust. 6 art. 9a ustawy zmienianej</w:t>
      </w:r>
      <w:r w:rsidR="003A5CE2">
        <w:t>,</w:t>
      </w:r>
      <w:r>
        <w:t xml:space="preserve"> doprecyzowując że dyrektor oddziału regionalnego Agencji monitoruje sposób wdrażania strategii krajowej również w programach operacyjnych zrzeszeń organizacji, nie tylko organizacji producentów, w związku z czym przepis ten otrzymał nowe brzmienie.</w:t>
      </w:r>
    </w:p>
    <w:p w:rsidR="00DF1210" w:rsidRDefault="00DF1210" w:rsidP="00DF1210">
      <w:pPr>
        <w:pStyle w:val="NIEARTTEKSTtekstnieartykuowanynppodstprawnarozplubpreambua"/>
      </w:pPr>
      <w:r>
        <w:t xml:space="preserve">Zmiana w </w:t>
      </w:r>
      <w:r>
        <w:rPr>
          <w:rStyle w:val="Ppogrubienie"/>
          <w:bCs w:val="0"/>
        </w:rPr>
        <w:t>art. 1 pkt 2 lit. g</w:t>
      </w:r>
      <w:r>
        <w:t xml:space="preserve"> projektu jest zmianą p</w:t>
      </w:r>
      <w:r w:rsidR="00F81E77">
        <w:t>orządkową – nowe brzmienie ust. </w:t>
      </w:r>
      <w:r>
        <w:t>8 omawianej jednostki redakcyjnej wyn</w:t>
      </w:r>
      <w:r w:rsidR="00F81E77">
        <w:t>ika z uchylenia pkt 6 w ust. 1.</w:t>
      </w:r>
    </w:p>
    <w:p w:rsidR="00DF1210" w:rsidRDefault="00DF1210" w:rsidP="00DF1210">
      <w:pPr>
        <w:pStyle w:val="NIEARTTEKSTtekstnieartykuowanynppodstprawnarozplubpreambua"/>
      </w:pPr>
      <w:r>
        <w:t xml:space="preserve">Zmiana w </w:t>
      </w:r>
      <w:r>
        <w:rPr>
          <w:rStyle w:val="Ppogrubienie"/>
          <w:bCs w:val="0"/>
        </w:rPr>
        <w:t>art. 1 pkt 2 lit. h</w:t>
      </w:r>
      <w:r>
        <w:t xml:space="preserve"> projektu dotyczy art. 9a ust. 14 pkt 2 i polega na zastąpieniu wyrazu „utworzone” wyrazem „uznane” w odniesieniu do grupy produktów, ze względu na </w:t>
      </w:r>
      <w:r>
        <w:lastRenderedPageBreak/>
        <w:t>którą organizacja producentów lub zrzeszenie zostały uznane. Istotne jest wskazanie, że organizacja lub zrzeszenie prowadzi rachunkowość w sposób umożliwiający identyfikację sprzedaży produktów pochodzących od członków niebędących członkami danej organizacji lub zrzeszenia, z grupy produktów, ze względu na które ta organizacja lub to zrzeszenie otrzymały status uznania.</w:t>
      </w:r>
    </w:p>
    <w:p w:rsidR="00DF1210" w:rsidRDefault="00DF1210" w:rsidP="00DF1210">
      <w:pPr>
        <w:pStyle w:val="NIEARTTEKSTtekstnieartykuowanynppodstprawnarozplubpreambua"/>
      </w:pPr>
      <w:r>
        <w:t>W związku z pojawiającymi się przypadkami wykorzystywania przez organizacje producentów środków finansowych zgromadzonych na r</w:t>
      </w:r>
      <w:r w:rsidR="00F81E77">
        <w:t>achunku funduszu operacyjnego w </w:t>
      </w:r>
      <w:r>
        <w:t>sposób niezgodny z ich przeznaczeniem, jakim powi</w:t>
      </w:r>
      <w:r w:rsidR="00F81E77">
        <w:t>nno być, zgodnie z art. 32 ust. </w:t>
      </w:r>
      <w:r>
        <w:t>2 rozporządzenia nr 1308/2013, finansowanie jedynie kwalifikujących się wydatków zatwierdzonych w programie operacyjnym, zaproponowano sankcję polegającą na zmniejszeniu kwoty udzielonej pomocy finansowej za dany rok o kwotę środków wykorzystanych niezgodnie z przeznaczeniem, maksymalnie do wartości 5% kwoty pomocy przyznanej na dany rok. Zgodnie z przepisami UE do finansowania kwalifikują się wyłącznie wydatki w kwocie netto, a zdarzały się przypadki przelewu z rachunku funduszu operacyjnego za wydatek związany z programem operacyjnym w kwocie brutto, co następnie było korygowane, ale często w dużym odstępie czasu od dokonania wydatku. Utrudnia to identyfikację i ustalenie prawidłowej wartości każdego po</w:t>
      </w:r>
      <w:r w:rsidR="00F81E77">
        <w:t>jedynczego wydatku związanego z </w:t>
      </w:r>
      <w:r>
        <w:t>realizacją programu na dany moment. Wykorzystani</w:t>
      </w:r>
      <w:r w:rsidR="00F81E77">
        <w:t>e środków funduszu niezgodnie z </w:t>
      </w:r>
      <w:r>
        <w:t>przeznaczeniem było w takich sytuacjach przejściowe, ostatecznie środki zostały wykorzystane zgodnie z ich przeznaczeniem. Zaproponowana sankcja ma charakter dyscyplinujący i jest proporcjonalna do stopnia przewinienia. Natomiast w sytuacjach przelewu z rachunku funduszu operacyjnego środków na wydatki niezwiązane z realizacją programu operacyjnego</w:t>
      </w:r>
      <w:r w:rsidR="00CE4BDE">
        <w:t>,</w:t>
      </w:r>
      <w:r>
        <w:t xml:space="preserve"> stosuje się sankcje wynikające z przepisów</w:t>
      </w:r>
      <w:r w:rsidR="00F81E77">
        <w:t xml:space="preserve"> UE nakładane na podstawie art. </w:t>
      </w:r>
      <w:r>
        <w:t xml:space="preserve">61 rozporządzenia nr 2017/891. Sankcję za opisane powyżej przejściowe wykorzystywanie środków funduszu niezgodnie z przeznaczeniem przewidziano w </w:t>
      </w:r>
      <w:r>
        <w:rPr>
          <w:rStyle w:val="Ppogrubienie"/>
          <w:bCs w:val="0"/>
        </w:rPr>
        <w:t>art. 1 pkt 2 lit. i</w:t>
      </w:r>
      <w:r>
        <w:t xml:space="preserve"> projektu, tj. w dodanym w art. 9a ustawy zmienianej ust. 16</w:t>
      </w:r>
    </w:p>
    <w:p w:rsidR="00DF1210" w:rsidRDefault="00DF1210" w:rsidP="00DF1210">
      <w:pPr>
        <w:pStyle w:val="NIEARTTEKSTtekstnieartykuowanynppodstprawnarozplubpreambua"/>
      </w:pPr>
      <w:r>
        <w:t xml:space="preserve">W </w:t>
      </w:r>
      <w:r>
        <w:rPr>
          <w:rStyle w:val="Ppogrubienie"/>
          <w:bCs w:val="0"/>
        </w:rPr>
        <w:t>art. 1 pkt 3</w:t>
      </w:r>
      <w:r>
        <w:t xml:space="preserve"> projektowanej ustawy dodano w ustawie z dnia 19 g</w:t>
      </w:r>
      <w:r w:rsidR="00F81E77">
        <w:t>rudnia 2003 r. art. </w:t>
      </w:r>
      <w:r>
        <w:t>9b –9f. W art. 9b w ust. 1 wskazano Prezesa Agencji jako organ właściwy do corocznego obliczania odsetka wartości produkcji owoców i warzyw sprzedanej przez wszystkie organizacje producentów funkcjonujące w Polsce w stosunku do łącznej wartości produkcji owoców i warzyw sprzedanych w Polsce. W sytuacji gdy odsetek ten wyniesie mniej niż 20%, to zgodnie z art. 34 ust. 3 lit. f rozporządzenia nr 1308/2013, dyrektor oddziału regionalnego Agencji będzie mógł</w:t>
      </w:r>
      <w:r w:rsidR="00B6561E">
        <w:t>,</w:t>
      </w:r>
      <w:r>
        <w:t xml:space="preserve"> zatwierdzając organizacji producentów lub zrzeszeniu kwotę pomocy na </w:t>
      </w:r>
      <w:r>
        <w:lastRenderedPageBreak/>
        <w:t>dany rok realizacji programu operacyjnego, uwzględnić w niej zwiększenie poziomu unijnej pomocy z 50% do 60%. W przepisie tym wskazano także, że Prezes Agencji oblicza ww. odsetek w sposób określony w art. 8a ust. 2 akapit drugi rozporządzenia nr 2017/892, zgodnie z którym państwa członkowskie stosujące alternatywną metodę obliczania pułapu pomocy finansowej określoną w art. 23 ust. 3 rozporządzenia nr 2017/891 obliczają odsetek produkcji owoców i warzyw sprzedanej dla każdego roku trwania programu operacyjnego jako część wartości produkcji sprzedanej przez organizacje producentów w danym państwie członkowskim w stosunku do łącznej wartości produkc</w:t>
      </w:r>
      <w:r w:rsidR="00F81E77">
        <w:t>ji owoców i warzyw sprzedanej w </w:t>
      </w:r>
      <w:r>
        <w:t xml:space="preserve">danym państwie członkowskim w okresie od dnia 1 stycznia do dnia 31 grudnia roku poprzedzającego rok, w którym pomoc zatwierdzono. W ust. 2 wskazano, że obliczony odsetek jest wykorzystywany na potrzeby zatwierdzania funduszy operacyjnych oraz programów operacyjnych organizacji producentów rozpoczynających się od roku następującego bezpośrednio po roku publikacji informacji o odsetku oraz na potrzeby obliczania wartości pomocy finansowej w odniesieniu do funduszu operacyjnego zatwierdzonego na rok następujący bezpośrednio po roku publikacji. W ust. 3 wskazano, że w obliczeniach, o których mowa w ust. 1, wykorzystuje się dane zawarte w rocznym sprawozdaniu, które Prezes Agencji przekazuje Komisji każdego roku do dnia 15 listopada, zgodnie z art. 54 lit. b rozporządzenia nr 2017/891 w odniesieniu do wartości produkcji sprzedanej </w:t>
      </w:r>
      <w:r w:rsidR="00F81E77">
        <w:t>przez organizacje producentów i </w:t>
      </w:r>
      <w:r>
        <w:t>ich zrzeszenia oraz dane dotyczące towarowej produkcji o</w:t>
      </w:r>
      <w:r w:rsidR="00F81E77">
        <w:t>woców, warzyw, grzybów i ziół w </w:t>
      </w:r>
      <w:r>
        <w:t xml:space="preserve">Rzeczypospolitej Polskiej udostępniane na podstawie przepisów o statystyce publicznej. Istotne jest, że do obliczenia poziomu zorganizowania rynku </w:t>
      </w:r>
      <w:r w:rsidR="00B6561E">
        <w:t xml:space="preserve">są </w:t>
      </w:r>
      <w:r>
        <w:t>wykorzystywane dane dostępne w terminie sporządzania tego obliczenia. Dane te zarówno dotyczące wartości produkcji sprzedanej przez organizacje producentów, jak i publikowane przez Główny Urząd Statystyczny</w:t>
      </w:r>
      <w:r w:rsidR="00B6561E">
        <w:t>,</w:t>
      </w:r>
      <w:r>
        <w:t xml:space="preserve"> mogą zostać zmienione w późniejszym okresie, ale z uwagi na fakt, że obliczony odsetek </w:t>
      </w:r>
      <w:r w:rsidR="00B6561E">
        <w:t xml:space="preserve">jest </w:t>
      </w:r>
      <w:r>
        <w:t>wykorzystywany na potrzeby zatwierdzania programów i funduszy operacyjnych oraz obliczania wysokości pomocy finansowej na rok następujący po roku jego publikacji, co ma nastąpić co do zasady do dnia 15 grudnia roku, w któr</w:t>
      </w:r>
      <w:r w:rsidR="00F81E77">
        <w:t>ym odsetek ten jest obliczony i </w:t>
      </w:r>
      <w:r>
        <w:t>opublikowany, odsetek ten nie powinien ulec zmianie.</w:t>
      </w:r>
    </w:p>
    <w:p w:rsidR="00DF1210" w:rsidRDefault="00DF1210" w:rsidP="00DF1210">
      <w:pPr>
        <w:pStyle w:val="NIEARTTEKSTtekstnieartykuowanynppodstprawnarozplubpreambua"/>
      </w:pPr>
      <w:r>
        <w:t>W art. 31 ust. 5 akapit pierwszy rozporządzenia nr 20</w:t>
      </w:r>
      <w:r w:rsidR="00F81E77">
        <w:t>17/891 określono zobowiązania w </w:t>
      </w:r>
      <w:r>
        <w:t xml:space="preserve">odniesieniu do środków trwałych zakupionych w ramach realizowanych przez organizacje producentów programów operacyjnych. Zgodnie z art. 31 ust. 5 lit. a ww. rozporządzenia inwestycje w środki trwałe powinny być wykorzystywane zgodnie z przeznaczeniem opisanym w programie operacyjnym, zgodnie z lit. b powołanego przepisu powinny być własnością </w:t>
      </w:r>
      <w:r>
        <w:lastRenderedPageBreak/>
        <w:t>i</w:t>
      </w:r>
      <w:r w:rsidR="00F81E77">
        <w:t> </w:t>
      </w:r>
      <w:r>
        <w:t>w</w:t>
      </w:r>
      <w:r w:rsidR="00F81E77">
        <w:t> </w:t>
      </w:r>
      <w:r>
        <w:t>posiadaniu beneficjenta przez okres amortyzacji podatkowej, a zgodnie z lit. c, w przypadku gdy organizacja producentów jest właścicielem, a członek organizacji producentów jest właścicielem faktycznym środka trwałego, którego dotyczy inwestycja, organizacja producentów ma prawo dostępu do tego składnika aktywów podczas obowiązywania okresu amortyzacji podatkowej. Ww. przepisy unijne nakazują odzyskanie pomocy i jej zwrot do budżetu UE w przypadku sprzedania inwestycji zakupionej lub nabytej w ramach programu operacyjnego przed zakończeniem okresu amortyzacji podatkowej. Jednakże ani przepisy Unii Europejskiej</w:t>
      </w:r>
      <w:r w:rsidR="00001956">
        <w:t>,</w:t>
      </w:r>
      <w:r>
        <w:t xml:space="preserve"> ani przepisy krajowe nie określają kar za niedotrzymanie podjętych zobowiązań, za wyjątkiem sprzedaży inwestycji. W projektowanej ustawie przewidziano zatem wprowadzenie sankcji w przypadku niewywiązywania się organizacji producentów z podjętych zobowiązań w zakresie wykorzystywania inwestycji zgodnie </w:t>
      </w:r>
      <w:r w:rsidR="00F81E77">
        <w:t>z jej przeznaczeniem. Zgodnie z </w:t>
      </w:r>
      <w:r>
        <w:t>art. 76 rozporządzenia nr 2017/891 państwa członkowskie stosują kary na szczeblu krajowym w odniesieniu do nieprawidłowości dotyczących wymogów określonych w przepisach unijnych. Kary te muszą być skuteczne, proporcjonalne i odstraszające w celu zapewnienia odpowiedniej ochrony interesów finansowych Unii. W związku z tym w ustawie zmienianej dodano art. 9c, w którym wskazano, że jeżeli w okresie, o którym mowa w art. 31 ust. 5 akapit pierwszy lit. b rozporządzenia nr 2017/891, tj. w okresie amortyzacji podatkowej lub</w:t>
      </w:r>
      <w:r w:rsidR="00F81E77">
        <w:t xml:space="preserve"> 10 lat, w </w:t>
      </w:r>
      <w:r>
        <w:t>zależności od tego, który okres jest krótszy, a w przypadku gdy w strategii krajowej został określony inny okres na podstawie art. 31 ust. 5 akapit drugi r</w:t>
      </w:r>
      <w:r w:rsidR="00F81E77">
        <w:t>ozporządzenia nr 2017/891, to w </w:t>
      </w:r>
      <w:r>
        <w:t>tym innym okresie, inwestycja nabyta w ramach realizacji programu operacyjnego jest wykorzystywana niezgodnie z przeznaczeniem określonym w art.</w:t>
      </w:r>
      <w:r w:rsidR="00F81E77">
        <w:t xml:space="preserve"> 31 ust. 5 akapit pierwszy lit. </w:t>
      </w:r>
      <w:r>
        <w:t>a rozporządzenia nr 2017/891, organizacja albo zrzeszenie zwraca kwotę pomocy przyznanej na tę inwestycję z odsetkami naliczanymi zgodnie z art. 67 ust. 1 akapit drugi rozporządzenia nr 2017/891.</w:t>
      </w:r>
    </w:p>
    <w:p w:rsidR="00DF1210" w:rsidRDefault="00DF1210" w:rsidP="00DF1210">
      <w:pPr>
        <w:pStyle w:val="NIEARTTEKSTtekstnieartykuowanynppodstprawnarozplubpreambua"/>
      </w:pPr>
      <w:r>
        <w:t>W art. 9d wskazano, że kwotę podlegającą zwrotowi ustala dyrektor oddziału regionalnego Agencji w drodze decyzji proporcjonalnie do okresu, w którym nie dotrzymano zobowiązania, o którym mowa w art. 31 ust. 5 akapit pi</w:t>
      </w:r>
      <w:r w:rsidR="00F81E77">
        <w:t>erwszy lit. a rozporządzenia nr </w:t>
      </w:r>
      <w:r>
        <w:t>2017/891. Zobowiązanie</w:t>
      </w:r>
      <w:r w:rsidR="00865971">
        <w:t>,</w:t>
      </w:r>
      <w:r>
        <w:t xml:space="preserve"> jakie podejmuje organizacja producentów</w:t>
      </w:r>
      <w:r w:rsidR="00267691">
        <w:t>,</w:t>
      </w:r>
      <w:r>
        <w:t xml:space="preserve"> dotyczy zarówno wykorzystywania inwestycji realizowanych w ramach </w:t>
      </w:r>
      <w:r w:rsidR="00F81E77">
        <w:t>programu operacyjnego zgodnie z </w:t>
      </w:r>
      <w:r>
        <w:t xml:space="preserve">przeznaczeniem opisanym w zatwierdzonym programie operacyjnym, jak i zachowania warunków kwalifikowalności, o których mowa w art. 31 ust. 4 tego rozporządzenia. Zaproponowana sankcja jest analogiczna do już stosowanych przez Agencję w mechanizmach Programu Rozwoju Obszarów Wiejskich, np. w poddziałaniu „Wsparcie inwestycji </w:t>
      </w:r>
      <w:r>
        <w:lastRenderedPageBreak/>
        <w:t>w</w:t>
      </w:r>
      <w:r w:rsidR="00F81E77">
        <w:t> </w:t>
      </w:r>
      <w:r>
        <w:t>przetwarzanie produktów rolnych, obrót nimi lub ich rozwój” w ramach PROW 2014–2020. Nie jest zasadne wskazywanie w decyzjach w sprawie zwrotu pomocy terminu zwrotu z uwagi na wynikający z przepisów UE sposób naliczania odsetek. Zgodnie z art. 67 ust. 1 akapit drugi lit. a rozporządzenia nr 2017/891 odsetki są naliczane na podstawie okresu, który upłynął między otrzymaniem nienależnej płatności a jej zwrotem przez beneficjenta, dlatego zwrot pomocy powinien nastąpić możliwie jak najszybciej. W innych mechanizmach WPR, np. pomocy udzielanej w ramach PROW 2014–2020, odsetki nalicza się od terminu wskazanego w decyzji. Agencja przyjęła w procedurach, że gdy decyzja ustalająca kwotę do zwrotu stanie się ostateczna, do beneficjenta wysyłane jest upomnienie z pouczeniem, że w przypadku niewykonania obowiązku w całości w terminie 7 dni od dnia doręczenia upomnienia sprawa zostanie skierowana na drogę postępowania egzekucyjnego. Do egzekucji należności zastosowanie mają przepisy ustawy z dnia 17 czerwca 1966 r. o postępowaniu egzekucyjnym w administracji (Dz. U. z 2022 r. poz. 479, z późn. zm.).</w:t>
      </w:r>
    </w:p>
    <w:p w:rsidR="00DF1210" w:rsidRDefault="00DF1210" w:rsidP="00DF1210">
      <w:pPr>
        <w:pStyle w:val="NIEARTTEKSTtekstnieartykuowanynppodstprawnarozplubpreambua"/>
      </w:pPr>
      <w:r>
        <w:t xml:space="preserve">W dodanym art. 9e ustawy zmienianej wprowadzono sankcję polegającą na zwrocie 100% otrzymanej pomocy finansowej wraz z odsetkami za uniemożliwianie przeprowadzenia kontroli realizacji zobowiązania wykorzystywania inwestycji nabytych w ramach programu operacyjnego zgodnie z przeznaczeniem. Sankcja ta będzie miała zastosowanie w przypadku uniemożliwiania przeprowadzenia kontroli w okresie, o którym mowa w art. 31 ust. 5 akapit pierwszy lit. b rozporządzenia nr 2017/891, tj. w okresie amortyzacji danej inwestycji lub 10 lat, a w przypadku gdy w krajowej strategii został określony inny okres, w tym innym okresie, w odniesieniu do inwestycji, dla których okres realizacji zobowiązań nie upłynął. Pomoc finansowa jest zwracana wraz z odsetkami, naliczanymi zgodnie z art. 67 ust. 1 akapit drugi rozporządzenia nr 2017/891. W art. 9f określono, że dyrektor oddziału Agencji wydaje decyzję w sprawie zwrotu pomocy, o którym mowa w art. 9e. Należy wyjaśnić, że jeśli jest możliwe przeprowadzenie kontroli lub kontrolowany wprawdzie utrudnia przeprowadzenie kontroli, ale ostatecznie jest ona możliwa i w rezultacie </w:t>
      </w:r>
      <w:r w:rsidR="00CE4CD8">
        <w:t xml:space="preserve">jest </w:t>
      </w:r>
      <w:r>
        <w:t>możliwa ocena</w:t>
      </w:r>
      <w:r w:rsidR="00CE4CD8">
        <w:t>,</w:t>
      </w:r>
      <w:r>
        <w:t xml:space="preserve"> czy inwestycja jest wykorzystywania zgodnie przeznaczeniem czy nie, kwotę zwrotu pomocy można ustalić proporcjonalnie do okresu naruszenia. Natomiast</w:t>
      </w:r>
      <w:r w:rsidR="00CE4CD8">
        <w:t>,</w:t>
      </w:r>
      <w:r>
        <w:t xml:space="preserve"> jeśli nie jest w ogóle możliwa weryfikacja dotrzymywania podjętych zobowiązań z winy beneficjenta, a tym samym nie jest możliwe potwierdzenie</w:t>
      </w:r>
      <w:r w:rsidR="00CE4CD8">
        <w:t>,</w:t>
      </w:r>
      <w:r>
        <w:t xml:space="preserve"> czy inwestycja jest wykorzystywana zgodnie z przeznaczeniem, zwrot całej kwoty pomocy jest sankcją proporcjonalną.</w:t>
      </w:r>
    </w:p>
    <w:p w:rsidR="00DF1210" w:rsidRDefault="00DF1210" w:rsidP="00DF1210">
      <w:pPr>
        <w:pStyle w:val="NIEARTTEKSTtekstnieartykuowanynppodstprawnarozplubpreambua"/>
      </w:pPr>
      <w:r>
        <w:t xml:space="preserve">Należy dodać, że przepisy UE nie zobowiązują do powiadamiania podmiotów kontrolowanych o planowanym terminie kontroli. Zgodnie z art. 27 ust. 4 rozporządzenia </w:t>
      </w:r>
      <w:r>
        <w:lastRenderedPageBreak/>
        <w:t>nr</w:t>
      </w:r>
      <w:r w:rsidR="00F81E77">
        <w:t> </w:t>
      </w:r>
      <w:r>
        <w:t>2017/892 dopuszcza się wcześniejsze powiadomienie o planowanej kontroli na miejscu</w:t>
      </w:r>
      <w:r w:rsidR="003416BB">
        <w:t>,</w:t>
      </w:r>
      <w:r>
        <w:t xml:space="preserve"> pod warunkiem że nie zagrozi to realizacji jej celu. W praktyce, zgodnie z procedurami Agencji, dopuszcza się powiadomienie przedstawiciela organizacji producentów o kontroli, w tym kontroli zobowiązań wieloletnich. Możliwa jest t</w:t>
      </w:r>
      <w:r w:rsidR="00F81E77">
        <w:t>akże zmiana terminu kontroli. W </w:t>
      </w:r>
      <w:r>
        <w:t>powiadomieniu należy każdorazowo poinformować kontrolowanego o skutkach uniemożliwienia przepro</w:t>
      </w:r>
      <w:r w:rsidR="00F81E77">
        <w:t>wadzenia czynności kontrolnych.</w:t>
      </w:r>
    </w:p>
    <w:p w:rsidR="00DF1210" w:rsidRDefault="00DF1210" w:rsidP="00DF1210">
      <w:pPr>
        <w:pStyle w:val="NIEARTTEKSTtekstnieartykuowanynppodstprawnarozplubpreambua"/>
      </w:pPr>
      <w:r>
        <w:t xml:space="preserve">Kolejne zmiany wprowadzone w </w:t>
      </w:r>
      <w:r>
        <w:rPr>
          <w:rStyle w:val="Ppogrubienie"/>
          <w:bCs w:val="0"/>
        </w:rPr>
        <w:t>art. 1 pkt 4</w:t>
      </w:r>
      <w:r>
        <w:t xml:space="preserve"> projektu dotyczą art. 12 ustawy z dnia 19 grudnia 2003 r. dotyczącego uznawania i wpisywania do rejestru prowadzonego przez Prezesa Agencji odbiorców produktów wycofywanych z rynku w ramach działania kryzysowego wdrażanego w ramach programów operacyjnych. Operacja wycofania z rynku czy też nieprzeznaczenia owoców i warzyw do sprzedaży, jak to dotychczas było określone w ustawie, polega na przekazaniu owoców i warzyw uprawnionemu odbiorcy, tj. jednostce organizacyjnej lub osobie fizycznej wybranej z rejestru prowadzonego przez Prezesa Agencji. Odbiorca produktów wycofanych zagospodarowuje otrzymane produkty zgodnie z rozporządzeniem wydanym na podstawie art. 19 ust. 2 pkt 17 ustawy zmienianej, tj. przeznacza je na bezpłatną dystrybucj</w:t>
      </w:r>
      <w:r w:rsidR="00F81E77">
        <w:t>ę albo na pasze dla zwierząt.</w:t>
      </w:r>
    </w:p>
    <w:p w:rsidR="00DF1210" w:rsidRDefault="00DF1210" w:rsidP="00DF1210">
      <w:pPr>
        <w:pStyle w:val="NIEARTTEKSTtekstnieartykuowanynppodstprawnarozplubpreambua"/>
      </w:pPr>
      <w:r>
        <w:t xml:space="preserve">W </w:t>
      </w:r>
      <w:r>
        <w:rPr>
          <w:rStyle w:val="Ppogrubienie"/>
          <w:bCs w:val="0"/>
        </w:rPr>
        <w:t>art. 1 pkt 4 lit. a</w:t>
      </w:r>
      <w:r>
        <w:t xml:space="preserve"> projektu ustawy zmieniono brzmienie pkt </w:t>
      </w:r>
      <w:r w:rsidR="00F81E77">
        <w:t>6 lit. b i dodano lit. c w art. </w:t>
      </w:r>
      <w:r>
        <w:t>12 ust. 1 ustawy zmienianej. Przepis ten dotyczy przeprowadzania kontroli w zakresie realizacji operacji wycofania z rynku. Dotychczasową lit. b rozbito na dwie jednostki redakcyjne b i c. Prezes Agencji przeprowadza bowiem kontrole w zakresie sposobu zagospodarowania owoców i warzyw nieprzeznaczonych do sprzedaży otrzymanych od organizacji producentów lub ich zrzeszeń przez uprawnionych do tego odbiorców (lit. b) oraz kontrole w zakresie realizacji przez organizacje producentów lub ich zrzeszenia wycofywania z rynku, zgodnie z tytułem II rozdziałem III sekcją 5 rozporządzenia nr 2017/891 (lit. c).</w:t>
      </w:r>
    </w:p>
    <w:p w:rsidR="00DF1210" w:rsidRDefault="00DF1210" w:rsidP="00DF1210">
      <w:pPr>
        <w:pStyle w:val="NIEARTTEKSTtekstnieartykuowanynppodstprawnarozplubpreambua"/>
      </w:pPr>
      <w:r>
        <w:t xml:space="preserve">W </w:t>
      </w:r>
      <w:r>
        <w:rPr>
          <w:rStyle w:val="Ppogrubienie"/>
          <w:bCs w:val="0"/>
        </w:rPr>
        <w:t>art. 1 pkt 4 lit. b</w:t>
      </w:r>
      <w:r>
        <w:t xml:space="preserve"> projektu dodano w art. 12 ustawy zmienianej ust. 2a, w którym na wniosek Agencji wskazano, że wniosek o wydanie decyzji w sprawie uznania jednostki organizacyjnej za organizację charytatywną bądź wyznaczenia innych jednostek organizacyjnych lub osób fizycznych jako uprawnionych do odbioru owoców i warzyw nieprzeznaczonych do sprzedaży, składa się na formula</w:t>
      </w:r>
      <w:r w:rsidR="00F81E77">
        <w:t>rzu opracowanym przez Agencję i </w:t>
      </w:r>
      <w:r>
        <w:t>udostępnionym na stronie internetowej Agencji.</w:t>
      </w:r>
    </w:p>
    <w:p w:rsidR="00DF1210" w:rsidRDefault="00DF1210" w:rsidP="00DF1210">
      <w:pPr>
        <w:pStyle w:val="NIEARTTEKSTtekstnieartykuowanynppodstprawnarozplubpreambua"/>
      </w:pPr>
      <w:r>
        <w:t xml:space="preserve">Ponadto w </w:t>
      </w:r>
      <w:r>
        <w:rPr>
          <w:rStyle w:val="Ppogrubienie"/>
          <w:bCs w:val="0"/>
        </w:rPr>
        <w:t>art. 1 pkt 4 lit. c</w:t>
      </w:r>
      <w:r>
        <w:t xml:space="preserve"> projektowanej ustawy zmieniono brzmienie u</w:t>
      </w:r>
      <w:r w:rsidR="00F81E77">
        <w:t>st. 3 pkt 4 lit. </w:t>
      </w:r>
      <w:r>
        <w:t xml:space="preserve">c w art. 12 ustawy zmienianej w związku z zastąpieniem nazwy dokumentu potwierdzającego odbiór owoców i warzyw nieprzeznaczonych do sprzedaży od organizacji producentów przez </w:t>
      </w:r>
      <w:r>
        <w:lastRenderedPageBreak/>
        <w:t>uprawnionych odbiorców z „świadectwa przejęcia” na „świadectwo przyjęcia”. „Świadectwo przejęcia” jest bowiem terminem użytym w a</w:t>
      </w:r>
      <w:r w:rsidR="00F81E77">
        <w:t>rt. 47 ust. 1 rozporządzenia nr </w:t>
      </w:r>
      <w:r>
        <w:t>2017/891, określającym dokument poświadczający przejęcie produktów wycofanych od uprawnionego odbiorcy przez osobę trzecią, tj. osobę uprawnioną do ostatecznego wykorzystania tych produktów, zgodnie z art. 34 ust. 4 lit. a rozporządzenia nr 1308/2013. Niezasadne jest używanie tego samego terminu w odniesieniu do dwóch różnych dokumentów.</w:t>
      </w:r>
    </w:p>
    <w:p w:rsidR="00DF1210" w:rsidRDefault="00DF1210" w:rsidP="00DF1210">
      <w:pPr>
        <w:pStyle w:val="NIEARTTEKSTtekstnieartykuowanynppodstprawnarozplubpreambua"/>
      </w:pPr>
      <w:r>
        <w:t xml:space="preserve">W </w:t>
      </w:r>
      <w:r>
        <w:rPr>
          <w:rStyle w:val="Ppogrubienie"/>
          <w:bCs w:val="0"/>
        </w:rPr>
        <w:t>art. 1 pkt 5</w:t>
      </w:r>
      <w:r>
        <w:t xml:space="preserve"> projektu ustawy wprowadzono zmianę w art. 13 ust. 1 pkt 3 ustawy z dnia 19 grudnia 2003 r. dotyczącym obowiązków informacyjnych organizacji producentów i ich zrzeszeń. Zmiana polega na wydłużeniu terminu na przekazywanie informacji o każdej zmianie składu członkowskiego z 7 do 14 dni.</w:t>
      </w:r>
    </w:p>
    <w:p w:rsidR="00DF1210" w:rsidRDefault="00DF1210" w:rsidP="00DF1210">
      <w:pPr>
        <w:pStyle w:val="NIEARTTEKSTtekstnieartykuowanynppodstprawnarozplubpreambua"/>
      </w:pPr>
      <w:r w:rsidRPr="002A5FD9">
        <w:t xml:space="preserve">W </w:t>
      </w:r>
      <w:r w:rsidRPr="002A5FD9">
        <w:rPr>
          <w:rStyle w:val="Ppogrubienie"/>
          <w:bCs w:val="0"/>
        </w:rPr>
        <w:t>art. 1 pkt 6</w:t>
      </w:r>
      <w:r w:rsidRPr="002A5FD9">
        <w:t xml:space="preserve"> projektu ustawy zmienia się brzmienie pkt 2 w art. 15 ust. 5 zmienianej ustawy. Organizacje producentów i ich zrzeszenia </w:t>
      </w:r>
      <w:r w:rsidR="008C28CD" w:rsidRPr="002A5FD9">
        <w:t xml:space="preserve">będą </w:t>
      </w:r>
      <w:r w:rsidRPr="002A5FD9">
        <w:t>zobowiązane do przekazywania Prezesowi Agencji kopii protokołu kontroli owoców i warzy</w:t>
      </w:r>
      <w:r w:rsidR="00F81E77" w:rsidRPr="002A5FD9">
        <w:t xml:space="preserve">w objętych operacją wycofania </w:t>
      </w:r>
      <w:r w:rsidR="00F81E77">
        <w:t>z </w:t>
      </w:r>
      <w:r>
        <w:t xml:space="preserve">rynku przeprowadzonej przez wojewódzkiego inspektora, a nie oświadczenia o tym, że owoce i warzywa nieprzeznaczone do sprzedaży spełniają wymagania jakości handlowej. Takie oświadczenie jest wymagane zgodnie z art. 44 ust. 1 </w:t>
      </w:r>
      <w:r w:rsidR="00F81E77">
        <w:t>akapit trzeci rozporządzenia nr </w:t>
      </w:r>
      <w:r>
        <w:t>2017/891, jako element powiadomienia o zamiarze wycofania produktów. Natomiast protokół kontroli jest dokumentem wystawianym po zgłoszeniu zamiaru, a przed przeprowadzeniem omawianej operacji kryzysowej, poświadczającym że owoce i warzywa nieprzeznaczone do sprzedaży spełniają wymagania norm jakości handlowej wynikające z przepisów unijnych. Zgodnie bowiem z art. 15 ust. 1 pkt 3 ustawy zmienianej wojewódzki i</w:t>
      </w:r>
      <w:r w:rsidR="00F81E77">
        <w:t>nspektor kontroluje</w:t>
      </w:r>
      <w:r w:rsidR="008C28CD">
        <w:t>,</w:t>
      </w:r>
      <w:r w:rsidR="00F81E77">
        <w:t xml:space="preserve"> czy owoce i </w:t>
      </w:r>
      <w:r>
        <w:t xml:space="preserve">warzywa nieprzeznaczone do sprzedaży spełniają wymagania w zakresie jakości handlowej. Z przebiegu kontroli sporządza się protokół. Przekazywanie kopii protokołu kontroli nie jest nowym wymogiem, zatem dodanie takiego </w:t>
      </w:r>
      <w:r w:rsidR="00F81E77">
        <w:t>przepisu jest uporządkowaniem i </w:t>
      </w:r>
      <w:r>
        <w:t>sformalizowaniem wymagania już funkcjonującego wobec organizacji producentów. Stąd nie jest konieczne uwzględnienie w projektowanej ustawie przepisu przejściowego odnoszącego się do postępowań w sprawie zezwolenia na rozdysponowanie owoców i warzyw nieprzeznaczonych do sprzedaży, o których mowa w art. 12 u</w:t>
      </w:r>
      <w:r w:rsidR="00F81E77">
        <w:t>st. 1 pkt 1 lit. d</w:t>
      </w:r>
      <w:r w:rsidR="00822A24">
        <w:t>,</w:t>
      </w:r>
      <w:r w:rsidR="00F81E77">
        <w:t xml:space="preserve"> wszczętych i </w:t>
      </w:r>
      <w:r>
        <w:t>niezakończonych decyzją ostateczną przed dniem wejścia</w:t>
      </w:r>
      <w:r w:rsidR="00F81E77">
        <w:t xml:space="preserve"> w życie projektowanej ustawy. </w:t>
      </w:r>
      <w:r>
        <w:t>Ponadto zmiana brzmienia pkt 2 w art. 15 ust. 5 zmienianej ustawy nie będzie miała wpływu na zmianę przepisów wydanych na podstawie upoważnieni</w:t>
      </w:r>
      <w:r w:rsidR="00F81E77">
        <w:t>a, o którym mowa w art. 19 ust. </w:t>
      </w:r>
      <w:r>
        <w:t xml:space="preserve">2 pkt 12. Należy wyjaśnić, że mimo wskazania w upoważnieniu całego ust. 5, zmianie ulega tylko </w:t>
      </w:r>
      <w:r>
        <w:lastRenderedPageBreak/>
        <w:t>pkt 2, a upoważnienie realizuje tylko kwestie powiadamiania, które są zawarte wyłącznie w pkt 1, który nie ulega zmianie.</w:t>
      </w:r>
    </w:p>
    <w:p w:rsidR="00DF1210" w:rsidRDefault="00DF1210" w:rsidP="00DF1210">
      <w:pPr>
        <w:pStyle w:val="NIEARTTEKSTtekstnieartykuowanynppodstprawnarozplubpreambua"/>
      </w:pPr>
      <w:r>
        <w:t xml:space="preserve">W </w:t>
      </w:r>
      <w:r>
        <w:rPr>
          <w:rStyle w:val="Ppogrubienie"/>
          <w:bCs w:val="0"/>
        </w:rPr>
        <w:t>art. 2</w:t>
      </w:r>
      <w:r>
        <w:t xml:space="preserve"> projektowanej ustawy określono przepisy przejściowe, zgodnie z którymi do postępowań w sprawach, o których mowa w art. 9a ust. 1 </w:t>
      </w:r>
      <w:r w:rsidR="00F81E77">
        <w:t>ustawy zmienianej, wszczętych i </w:t>
      </w:r>
      <w:r>
        <w:t>niezakończonych decyzją ostateczną przed dniem wejścia w życie niniejszej ustawy, stosuje się przepisy dotychczasowe.</w:t>
      </w:r>
    </w:p>
    <w:p w:rsidR="00DF1210" w:rsidRDefault="00DF1210" w:rsidP="00DF1210">
      <w:pPr>
        <w:pStyle w:val="ARTartustawynprozporzdzenia"/>
      </w:pPr>
      <w:r>
        <w:t xml:space="preserve">W </w:t>
      </w:r>
      <w:r>
        <w:rPr>
          <w:rStyle w:val="Ppogrubienie"/>
        </w:rPr>
        <w:t>art. 3</w:t>
      </w:r>
      <w:r>
        <w:t xml:space="preserve"> projektowanej ustawy określono przepis pr</w:t>
      </w:r>
      <w:r w:rsidR="00F81E77">
        <w:t>zejściowy dotyczący sytuacji, w </w:t>
      </w:r>
      <w:r>
        <w:t>których jeżeli organizacja producentów dokona zmiany składu członkowskiego przed dniem wejścia w życie ustawy, to do poinformowania organu o tej zmianie będzie miał zastosowanie art. 13 ust. 1 pkt 3 ustawy zmienianej w brzmieniu nadanym niniejszą ustawą, z uwagi na to, że nowy 14-dniowy termin jest bardziej korzystny dla organizacji.</w:t>
      </w:r>
    </w:p>
    <w:p w:rsidR="00DF1210" w:rsidRDefault="00DF1210" w:rsidP="00DF1210">
      <w:pPr>
        <w:pStyle w:val="NIEARTTEKSTtekstnieartykuowanynppodstprawnarozplubpreambua"/>
      </w:pPr>
      <w:r>
        <w:t xml:space="preserve">Projektowany </w:t>
      </w:r>
      <w:r>
        <w:rPr>
          <w:rStyle w:val="Ppogrubienie"/>
          <w:bCs w:val="0"/>
        </w:rPr>
        <w:t>art. 4</w:t>
      </w:r>
      <w:r>
        <w:t xml:space="preserve"> wskazuje, że ustawa wejdzie w życie po upływie 30 dni od dnia jej ogłoszenia.</w:t>
      </w:r>
    </w:p>
    <w:p w:rsidR="00DF1210" w:rsidRDefault="00DF1210" w:rsidP="00DF1210">
      <w:pPr>
        <w:pStyle w:val="NIEARTTEKSTtekstnieartykuowanynppodstprawnarozplubpreambua"/>
      </w:pPr>
      <w:r>
        <w:t>Projekt nie spowoduje zwiększenia wydatków z budżetu państwa ani z budżetów jednostek samorządu terytorialnego oraz nie wpłynie na konkurencyjność gospodarki.</w:t>
      </w:r>
    </w:p>
    <w:p w:rsidR="00DF1210" w:rsidRDefault="00DF1210" w:rsidP="00DF1210">
      <w:pPr>
        <w:pStyle w:val="NIEARTTEKSTtekstnieartykuowanynppodstprawnarozplubpreambua"/>
      </w:pPr>
      <w:r>
        <w:t>Projekt jest zgodny z prawem Unii Europejskiej.</w:t>
      </w:r>
    </w:p>
    <w:p w:rsidR="00DF1210" w:rsidRDefault="00DF1210" w:rsidP="00DF1210">
      <w:pPr>
        <w:pStyle w:val="NIEARTTEKSTtekstnieartykuowanynppodstprawnarozplubpreambua"/>
      </w:pPr>
      <w:r>
        <w:t>Zgodnie z art. 5 ustawy z dnia 7 lipca 2005 r. o działalności lobbingowej w procesie stanowienia prawa (Dz. U. z 2017 r. poz. 248) projekt ustawy został zamieszczony na stronie podmiotowej Biuletynu Informacji Publicznej Ministerstwa Rolnictwa i Rozwoju Wsi oraz Rządowego Centrum Legislacji.</w:t>
      </w:r>
    </w:p>
    <w:p w:rsidR="00DF1210" w:rsidRDefault="00DF1210" w:rsidP="00DF1210">
      <w:pPr>
        <w:pStyle w:val="NIEARTTEKSTtekstnieartykuowanynppodstprawnarozplubpreambua"/>
      </w:pPr>
      <w:r>
        <w:t>Projekt ustawy nie zawiera przepisów technicznych, w związku z tym nie podlega notyfikacji w rozumieniu przepisów rozporządzenia Rady M</w:t>
      </w:r>
      <w:r w:rsidR="00F81E77">
        <w:t>inistrów z dnia 23 grudnia 2002 </w:t>
      </w:r>
      <w:r>
        <w:t>r. w sprawie sposobu funkcjonowania krajowego systemu notyfikacji norm i aktów prawnych (Dz. U. poz. 2039, z późn. zm.).</w:t>
      </w:r>
    </w:p>
    <w:p w:rsidR="00DE0567" w:rsidRPr="00343DF1" w:rsidRDefault="00DF1210" w:rsidP="00DF1210">
      <w:pPr>
        <w:pStyle w:val="NIEARTTEKSTtekstnieartykuowanynppodstprawnarozplubpreambua"/>
      </w:pPr>
      <w:r>
        <w:t>Projekt ustawy został zgłoszony do Wykazu prac legislacyjnych i programowych Rady Ministrów.</w:t>
      </w:r>
    </w:p>
    <w:sectPr w:rsidR="00DE0567" w:rsidRPr="00343DF1"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A40" w:rsidRDefault="004C5A40" w:rsidP="009D78F9">
      <w:pPr>
        <w:spacing w:after="0" w:line="240" w:lineRule="auto"/>
      </w:pPr>
      <w:r>
        <w:separator/>
      </w:r>
    </w:p>
  </w:endnote>
  <w:endnote w:type="continuationSeparator" w:id="0">
    <w:p w:rsidR="004C5A40" w:rsidRDefault="004C5A40"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180CE4">
          <w:rPr>
            <w:rFonts w:ascii="Times New Roman" w:hAnsi="Times New Roman" w:cs="Times New Roman"/>
            <w:noProof/>
            <w:sz w:val="24"/>
            <w:szCs w:val="24"/>
          </w:rPr>
          <w:t>13</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A40" w:rsidRDefault="004C5A40" w:rsidP="009D78F9">
      <w:pPr>
        <w:spacing w:after="0" w:line="240" w:lineRule="auto"/>
      </w:pPr>
      <w:r>
        <w:separator/>
      </w:r>
    </w:p>
  </w:footnote>
  <w:footnote w:type="continuationSeparator" w:id="0">
    <w:p w:rsidR="004C5A40" w:rsidRDefault="004C5A40"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01956"/>
    <w:rsid w:val="00056E79"/>
    <w:rsid w:val="0015289B"/>
    <w:rsid w:val="00180CE4"/>
    <w:rsid w:val="001B30E9"/>
    <w:rsid w:val="001B3166"/>
    <w:rsid w:val="001E469B"/>
    <w:rsid w:val="0022065B"/>
    <w:rsid w:val="00236955"/>
    <w:rsid w:val="00243264"/>
    <w:rsid w:val="0026138B"/>
    <w:rsid w:val="00267691"/>
    <w:rsid w:val="00295067"/>
    <w:rsid w:val="002A5FD9"/>
    <w:rsid w:val="002D3299"/>
    <w:rsid w:val="003416BB"/>
    <w:rsid w:val="00383CE5"/>
    <w:rsid w:val="00392C21"/>
    <w:rsid w:val="003938F7"/>
    <w:rsid w:val="003A5CE2"/>
    <w:rsid w:val="003F6C95"/>
    <w:rsid w:val="00445210"/>
    <w:rsid w:val="00453BA3"/>
    <w:rsid w:val="004A2B6D"/>
    <w:rsid w:val="004A37A6"/>
    <w:rsid w:val="004C5A40"/>
    <w:rsid w:val="004E0A95"/>
    <w:rsid w:val="004F3862"/>
    <w:rsid w:val="00530CDC"/>
    <w:rsid w:val="005F249D"/>
    <w:rsid w:val="005F4005"/>
    <w:rsid w:val="006466AC"/>
    <w:rsid w:val="00723F33"/>
    <w:rsid w:val="00725B90"/>
    <w:rsid w:val="00726F0A"/>
    <w:rsid w:val="00727934"/>
    <w:rsid w:val="007455B5"/>
    <w:rsid w:val="007A3A37"/>
    <w:rsid w:val="007E26CA"/>
    <w:rsid w:val="00822A24"/>
    <w:rsid w:val="00865971"/>
    <w:rsid w:val="00867028"/>
    <w:rsid w:val="00874676"/>
    <w:rsid w:val="00877B10"/>
    <w:rsid w:val="00882207"/>
    <w:rsid w:val="00887DB4"/>
    <w:rsid w:val="008C28CD"/>
    <w:rsid w:val="008D1573"/>
    <w:rsid w:val="008F6235"/>
    <w:rsid w:val="009551EA"/>
    <w:rsid w:val="009A27E9"/>
    <w:rsid w:val="009B51A0"/>
    <w:rsid w:val="009D78F9"/>
    <w:rsid w:val="009E788D"/>
    <w:rsid w:val="009F03C5"/>
    <w:rsid w:val="00A44F95"/>
    <w:rsid w:val="00AB053F"/>
    <w:rsid w:val="00AD453B"/>
    <w:rsid w:val="00B6561E"/>
    <w:rsid w:val="00C046FE"/>
    <w:rsid w:val="00C04DCD"/>
    <w:rsid w:val="00CE4BDE"/>
    <w:rsid w:val="00CE4CD8"/>
    <w:rsid w:val="00CF08F2"/>
    <w:rsid w:val="00D033A0"/>
    <w:rsid w:val="00D03895"/>
    <w:rsid w:val="00D53E13"/>
    <w:rsid w:val="00D6329F"/>
    <w:rsid w:val="00D645D8"/>
    <w:rsid w:val="00DE0567"/>
    <w:rsid w:val="00DF1210"/>
    <w:rsid w:val="00DF4048"/>
    <w:rsid w:val="00DF5F5A"/>
    <w:rsid w:val="00EE2731"/>
    <w:rsid w:val="00EF2FED"/>
    <w:rsid w:val="00F736BD"/>
    <w:rsid w:val="00F81E77"/>
    <w:rsid w:val="00F86E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B45DB"/>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Ppogrubienie">
    <w:name w:val="_P_ – pogrubienie"/>
    <w:basedOn w:val="Domylnaczcionkaakapitu"/>
    <w:uiPriority w:val="1"/>
    <w:qFormat/>
    <w:rsid w:val="00DF1210"/>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30935119">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4983</Words>
  <Characters>29901</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5</cp:revision>
  <cp:lastPrinted>2018-10-02T13:01:00Z</cp:lastPrinted>
  <dcterms:created xsi:type="dcterms:W3CDTF">2022-12-21T17:32:00Z</dcterms:created>
  <dcterms:modified xsi:type="dcterms:W3CDTF">2022-12-22T09:30:00Z</dcterms:modified>
</cp:coreProperties>
</file>