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9FFE9" w14:textId="1083D7A8" w:rsidR="002457DC" w:rsidRPr="00922071" w:rsidRDefault="002457DC" w:rsidP="000E4D56">
      <w:pPr>
        <w:pStyle w:val="OZNPROJEKTUwskazaniedatylubwersjiprojektu"/>
        <w:rPr>
          <w:rStyle w:val="Ppogrubienie"/>
          <w:b w:val="0"/>
        </w:rPr>
      </w:pPr>
      <w:r w:rsidRPr="00922071">
        <w:rPr>
          <w:rStyle w:val="Ppogrubienie"/>
          <w:b w:val="0"/>
        </w:rPr>
        <w:t>Projekt</w:t>
      </w:r>
    </w:p>
    <w:p w14:paraId="050B5428" w14:textId="36D81FDC" w:rsidR="002457DC" w:rsidRPr="000E4D56" w:rsidRDefault="002457DC" w:rsidP="000E4D56">
      <w:pPr>
        <w:pStyle w:val="OZNRODZAKTUtznustawalubrozporzdzenieiorganwydajcy"/>
        <w:rPr>
          <w:rStyle w:val="Ppogrubienie"/>
          <w:b/>
        </w:rPr>
      </w:pPr>
      <w:bookmarkStart w:id="0" w:name="_Hlk63760082"/>
      <w:r w:rsidRPr="00DD5732">
        <w:rPr>
          <w:rStyle w:val="Ppogrubienie"/>
          <w:b/>
        </w:rPr>
        <w:t>USTAWA</w:t>
      </w:r>
    </w:p>
    <w:p w14:paraId="1EA83316" w14:textId="42B12071" w:rsidR="002457DC" w:rsidRPr="00922071" w:rsidRDefault="002457DC">
      <w:pPr>
        <w:pStyle w:val="DATAAKTUdatauchwalenialubwydaniaaktu"/>
      </w:pPr>
      <w:r w:rsidRPr="004F1AC6">
        <w:t>z dnia</w:t>
      </w:r>
    </w:p>
    <w:p w14:paraId="35BCA171" w14:textId="77777777" w:rsidR="002457DC" w:rsidRPr="000E4D56" w:rsidRDefault="002457DC">
      <w:pPr>
        <w:pStyle w:val="TYTUAKTUprzedmiotregulacjiustawylubrozporzdzenia"/>
        <w:rPr>
          <w:rStyle w:val="IGPindeksgrnyipogrubienie"/>
        </w:rPr>
      </w:pPr>
      <w:r w:rsidRPr="004F1AC6">
        <w:t xml:space="preserve">o zmianie ustawy – Kodeks postępowania karnego </w:t>
      </w:r>
      <w:r w:rsidRPr="00922071">
        <w:t>oraz</w:t>
      </w:r>
      <w:r w:rsidRPr="004F1AC6">
        <w:t xml:space="preserve"> niektórych innych ustaw</w:t>
      </w:r>
      <w:r w:rsidRPr="000E4D56">
        <w:rPr>
          <w:rStyle w:val="IGPindeksgrnyipogrubienie"/>
        </w:rPr>
        <w:footnoteReference w:id="1"/>
      </w:r>
      <w:r w:rsidRPr="000E4D56">
        <w:rPr>
          <w:rStyle w:val="IGPindeksgrnyipogrubienie"/>
        </w:rPr>
        <w:t>),</w:t>
      </w:r>
      <w:r w:rsidR="00896F7A">
        <w:rPr>
          <w:rStyle w:val="IGPindeksgrnyipogrubienie"/>
        </w:rPr>
        <w:t xml:space="preserve"> </w:t>
      </w:r>
      <w:r w:rsidRPr="000E4D56">
        <w:rPr>
          <w:rStyle w:val="IGPindeksgrnyipogrubienie"/>
        </w:rPr>
        <w:footnoteReference w:id="2"/>
      </w:r>
      <w:r w:rsidRPr="000E4D56">
        <w:rPr>
          <w:rStyle w:val="IGPindeksgrnyipogrubienie"/>
        </w:rPr>
        <w:t>)</w:t>
      </w:r>
    </w:p>
    <w:bookmarkEnd w:id="0"/>
    <w:p w14:paraId="208A4CB6" w14:textId="0658B64B" w:rsidR="002457DC" w:rsidRPr="002457DC" w:rsidRDefault="002457DC" w:rsidP="002457DC">
      <w:pPr>
        <w:pStyle w:val="ARTartustawynprozporzdzenia"/>
      </w:pPr>
      <w:r>
        <w:rPr>
          <w:rStyle w:val="Ppogrubienie"/>
        </w:rPr>
        <w:t>Art. 1.</w:t>
      </w:r>
      <w:r>
        <w:t> </w:t>
      </w:r>
      <w:r w:rsidRPr="002457DC">
        <w:t>W ustawie z dnia 6 czerwca 1997 r. –</w:t>
      </w:r>
      <w:r w:rsidR="00AF36E9">
        <w:t xml:space="preserve"> </w:t>
      </w:r>
      <w:r w:rsidRPr="002457DC">
        <w:t>Kodeks</w:t>
      </w:r>
      <w:r w:rsidR="00DB3734">
        <w:t xml:space="preserve"> postępowania karnego (Dz. U. z </w:t>
      </w:r>
      <w:r w:rsidRPr="002457DC">
        <w:t>2022 r. poz. 1375, 1855, 2582 i 2600) wprowadza się następujące zmiany:</w:t>
      </w:r>
    </w:p>
    <w:p w14:paraId="74ADA1BA" w14:textId="475106ED" w:rsidR="002457DC" w:rsidRPr="002457DC" w:rsidRDefault="002457DC" w:rsidP="000E4D56">
      <w:pPr>
        <w:pStyle w:val="PKTpunkt"/>
      </w:pPr>
      <w:r w:rsidRPr="002457DC">
        <w:t>1)</w:t>
      </w:r>
      <w:r w:rsidR="00896F7A">
        <w:tab/>
      </w:r>
      <w:r w:rsidRPr="002457DC">
        <w:t>odnośnik nr 1 otrzymuje brzmienie:</w:t>
      </w:r>
    </w:p>
    <w:p w14:paraId="442264F1" w14:textId="0C57C1F3" w:rsidR="002457DC" w:rsidRPr="002457DC" w:rsidRDefault="002457DC" w:rsidP="000E4D56">
      <w:pPr>
        <w:pStyle w:val="ZPKTODNONIKAzmpktodnonikaartykuempunktem"/>
      </w:pPr>
      <w:r w:rsidRPr="002457DC">
        <w:t>„</w:t>
      </w:r>
      <w:r w:rsidRPr="00272ECA">
        <w:rPr>
          <w:rStyle w:val="IGindeksgrny"/>
        </w:rPr>
        <w:t>1)</w:t>
      </w:r>
      <w:r w:rsidR="00896F7A">
        <w:rPr>
          <w:rStyle w:val="IGindeksgrny"/>
        </w:rPr>
        <w:tab/>
      </w:r>
      <w:r w:rsidRPr="002457DC">
        <w:t>Niniejsza ustawa w zakresie swojej regulacji realizuje postanowienia:</w:t>
      </w:r>
    </w:p>
    <w:p w14:paraId="27DB68E6" w14:textId="7E300F78" w:rsidR="002457DC" w:rsidRPr="00896F7A" w:rsidRDefault="002457DC" w:rsidP="000E4D56">
      <w:pPr>
        <w:pStyle w:val="ZPKTwODNONIKUzmpktwzmienianymodnonikuartykuempunktem"/>
      </w:pPr>
      <w:r w:rsidRPr="002457DC">
        <w:t>1)</w:t>
      </w:r>
      <w:r w:rsidRPr="002457DC">
        <w:tab/>
      </w:r>
      <w:r w:rsidRPr="00896F7A">
        <w:t>dyrektywy Parlamentu Europejskiego i Rady 2013/48/UE z dnia 22 października 2013 r. w sprawie prawa dostępu do adwokata w postępowani</w:t>
      </w:r>
      <w:r w:rsidR="00DB3734">
        <w:t>u karnym i w </w:t>
      </w:r>
      <w:r w:rsidRPr="00896F7A">
        <w:t>postępowaniu dotyczącym europejsk</w:t>
      </w:r>
      <w:r w:rsidR="00DB3734">
        <w:t>iego nakazu aresztowania oraz w </w:t>
      </w:r>
      <w:r w:rsidRPr="00896F7A">
        <w:t>sprawie prawa do poinformowania osoby tr</w:t>
      </w:r>
      <w:r w:rsidR="00DB3734">
        <w:t>zeciej o pozbawieniu wolności i </w:t>
      </w:r>
      <w:r w:rsidRPr="00896F7A">
        <w:t>prawa do porozumiewania się z osobami trz</w:t>
      </w:r>
      <w:r w:rsidR="00DB3734">
        <w:t>ecimi i organami konsularnymi w </w:t>
      </w:r>
      <w:r w:rsidRPr="00896F7A">
        <w:t xml:space="preserve">czasie pozbawienia wolności (Dz. Urz. UE L 294 z 06.11.2013, str. 1); </w:t>
      </w:r>
    </w:p>
    <w:p w14:paraId="3F0911B0" w14:textId="58878B27" w:rsidR="002457DC" w:rsidRPr="002457DC" w:rsidRDefault="002457DC" w:rsidP="000E4D56">
      <w:pPr>
        <w:pStyle w:val="ZPKTwODNONIKUzmpktwzmienianymodnonikuartykuempunktem"/>
      </w:pPr>
      <w:r w:rsidRPr="002457DC">
        <w:t>2)</w:t>
      </w:r>
      <w:r w:rsidRPr="002457DC">
        <w:tab/>
        <w:t>dyrektywy Parlamentu Europejskiego i Rady (U</w:t>
      </w:r>
      <w:r w:rsidR="00DB3734">
        <w:t>E) 2016/343 z dnia 9 marca 2016 </w:t>
      </w:r>
      <w:r w:rsidRPr="002457DC">
        <w:t xml:space="preserve">r. </w:t>
      </w:r>
      <w:r>
        <w:t>w sprawie wzmocnienia niektórych aspektów domniemania niewinności i</w:t>
      </w:r>
      <w:r w:rsidR="00AF36E9">
        <w:t xml:space="preserve"> </w:t>
      </w:r>
      <w:r>
        <w:t>prawa do obecności na rozprawie w</w:t>
      </w:r>
      <w:r w:rsidR="00AF36E9">
        <w:t xml:space="preserve"> </w:t>
      </w:r>
      <w:r>
        <w:t>postępowaniu karnym (Dz. Urz. UE L</w:t>
      </w:r>
      <w:r w:rsidR="00DB3734">
        <w:t xml:space="preserve"> 65 z </w:t>
      </w:r>
      <w:r>
        <w:t>11.03.2016, s</w:t>
      </w:r>
      <w:r w:rsidRPr="002457DC">
        <w:t>tr. 1);</w:t>
      </w:r>
    </w:p>
    <w:p w14:paraId="55C2E6A6" w14:textId="6A506F6D" w:rsidR="002457DC" w:rsidRPr="002457DC" w:rsidRDefault="002457DC" w:rsidP="000E4D56">
      <w:pPr>
        <w:pStyle w:val="ZPKTwODNONIKUzmpktwzmienianymodnonikuartykuempunktem"/>
      </w:pPr>
      <w:r w:rsidRPr="002457DC">
        <w:t>3)</w:t>
      </w:r>
      <w:r w:rsidRPr="002457DC">
        <w:tab/>
        <w:t xml:space="preserve">dyrektywy Parlamentu Europejskiego i Rady </w:t>
      </w:r>
      <w:r w:rsidR="006930BB">
        <w:t xml:space="preserve">(UE) </w:t>
      </w:r>
      <w:r w:rsidRPr="002457DC">
        <w:t xml:space="preserve">2016/1919 z dnia 26 października </w:t>
      </w:r>
      <w:r>
        <w:t>2016 r. w sprawie pomocy prawnej z urzędu d</w:t>
      </w:r>
      <w:r w:rsidR="004841E7">
        <w:t>la podejrzanych i </w:t>
      </w:r>
      <w:r w:rsidR="009053B4">
        <w:t>oskarżonych w </w:t>
      </w:r>
      <w:r>
        <w:t>postępowaniu karnym oraz dla osób, których dotyczy wniosek w postępowaniu dotyczącym europejskiego nakazu ar</w:t>
      </w:r>
      <w:r w:rsidR="009053B4">
        <w:t>esztowania (Dz. Urz. UE L 297 z </w:t>
      </w:r>
      <w:r w:rsidR="00681C3E">
        <w:t>0</w:t>
      </w:r>
      <w:r>
        <w:t>4.11.2016, s</w:t>
      </w:r>
      <w:r w:rsidR="00681C3E">
        <w:t>tr</w:t>
      </w:r>
      <w:r>
        <w:t>. 1</w:t>
      </w:r>
      <w:r w:rsidRPr="002457DC">
        <w:t xml:space="preserve"> oraz Dz. Urz. UE L 91 z </w:t>
      </w:r>
      <w:r w:rsidR="00681C3E">
        <w:t>0</w:t>
      </w:r>
      <w:r w:rsidRPr="002457DC">
        <w:t>5.04.2017, str. 40).”;</w:t>
      </w:r>
    </w:p>
    <w:p w14:paraId="311745AC" w14:textId="2EBEC372" w:rsidR="002457DC" w:rsidRPr="002457DC" w:rsidRDefault="002457DC" w:rsidP="000E4D56">
      <w:pPr>
        <w:pStyle w:val="PKTpunkt"/>
      </w:pPr>
      <w:r w:rsidRPr="002457DC">
        <w:t>2)</w:t>
      </w:r>
      <w:r w:rsidR="00896F7A">
        <w:tab/>
      </w:r>
      <w:r w:rsidRPr="002457DC">
        <w:t>art. 76 otrzymuje brzmienie:</w:t>
      </w:r>
    </w:p>
    <w:p w14:paraId="64D8A961" w14:textId="77777777" w:rsidR="002457DC" w:rsidRPr="002457DC" w:rsidRDefault="002457DC" w:rsidP="002457DC">
      <w:pPr>
        <w:pStyle w:val="ZARTzmartartykuempunktem"/>
      </w:pPr>
      <w:r w:rsidRPr="002457DC">
        <w:lastRenderedPageBreak/>
        <w:t xml:space="preserve">„Art. 76. Jeżeli </w:t>
      </w:r>
      <w:r>
        <w:t xml:space="preserve">oskarżony nie ukończył 18 lat lub </w:t>
      </w:r>
      <w:r w:rsidRPr="002457DC">
        <w:t>jest ubezwłasnowolniony, jego przedstawiciel ustawowy lub osoba, pod której pieczą oskarżony pozostaje, może podejmować na jego korzyść wszelkie czynności procesowe, a przede wszystkim wnosić środki zaskarżenia, składać wnioski oraz ustanowić obrońcę.”;</w:t>
      </w:r>
    </w:p>
    <w:p w14:paraId="66E6DC88" w14:textId="7C216F5C" w:rsidR="002457DC" w:rsidRPr="002457DC" w:rsidRDefault="002457DC" w:rsidP="000E4D56">
      <w:pPr>
        <w:pStyle w:val="PKTpunkt"/>
      </w:pPr>
      <w:r w:rsidRPr="002457DC">
        <w:t>3)</w:t>
      </w:r>
      <w:r w:rsidR="00DA592F">
        <w:tab/>
      </w:r>
      <w:r w:rsidRPr="002457DC">
        <w:t>po art. 76 dodaje się art. 76a w brzmieniu:</w:t>
      </w:r>
    </w:p>
    <w:p w14:paraId="41A735A2" w14:textId="77777777" w:rsidR="002457DC" w:rsidRPr="00A7231C" w:rsidRDefault="002457DC" w:rsidP="002457DC">
      <w:pPr>
        <w:pStyle w:val="ZARTzmartartykuempunktem"/>
      </w:pPr>
      <w:r>
        <w:t xml:space="preserve">„Art. 76a. § 1. Na wniosek oskarżonego, który nie ukończył 18 lat, podczas posiedzenia albo rozprawy z jego udziałem może być obecny jego przedstawiciel ustawowy lub osoba, pod której pieczą oskarżony pozostaje. Jeśli oskarżony nie posiada przedstawiciela ustawowego lub osoby, pod której pieczą pozostaje, albo przewodniczący uznał, że udział tych osób może prowadzić do naruszenia praw lub interesów oskarżonego, </w:t>
      </w:r>
      <w:r w:rsidRPr="002457DC">
        <w:t>jest niecelowy ze względu na jego dobro</w:t>
      </w:r>
      <w:r>
        <w:t xml:space="preserve">, uniemożliwia przeprowadzenie posiedzenia albo rozprawy albo utrudnia je w istotny sposób, oskarżony może wskazać inną osobę pełnoletnią. Jeżeli oskarżony nie wskazał takiej osoby lub przewodniczący uznał, że jej obecność może prowadzić do naruszenia praw lub interesów oskarżonego, jest niecelowa ze względu na jego dobro, uniemożliwia przeprowadzenie posiedzenia albo rozprawy albo utrudnia je w istotny sposób, </w:t>
      </w:r>
      <w:r w:rsidRPr="00A7231C">
        <w:t xml:space="preserve">przewodniczący </w:t>
      </w:r>
      <w:r w:rsidRPr="00124DA4">
        <w:t xml:space="preserve">wyznacza asystenta rodziny, o którym mowa w art. 12 </w:t>
      </w:r>
      <w:bookmarkStart w:id="1" w:name="_Hlk111639546"/>
      <w:r w:rsidRPr="00124DA4">
        <w:t>ustawy z dnia 9 czerwca 2011 r. o wspieraniu rodziny i systemie pieczy zastępczej (Dz. U. z 202</w:t>
      </w:r>
      <w:r>
        <w:t>2</w:t>
      </w:r>
      <w:r w:rsidRPr="00124DA4">
        <w:t xml:space="preserve"> r. poz. </w:t>
      </w:r>
      <w:r>
        <w:t>447, 1700 i 2140</w:t>
      </w:r>
      <w:r w:rsidRPr="00124DA4">
        <w:t>)</w:t>
      </w:r>
      <w:bookmarkEnd w:id="1"/>
      <w:r>
        <w:t>.</w:t>
      </w:r>
    </w:p>
    <w:p w14:paraId="46C154BA" w14:textId="71CACA9A" w:rsidR="002457DC" w:rsidRDefault="002457DC" w:rsidP="000E4D56">
      <w:pPr>
        <w:pStyle w:val="ZUSTzmustartykuempunktem"/>
      </w:pPr>
      <w:r w:rsidRPr="00873B18">
        <w:t>§ 2. Przewodniczący wyznacza asystenta rodziny</w:t>
      </w:r>
      <w:r w:rsidR="00891943">
        <w:t>,</w:t>
      </w:r>
      <w:r w:rsidRPr="00873B18">
        <w:t xml:space="preserve"> mając na uwadze ochronę praw lub interesów oskarżonego oraz zapewnienie sprawnego przeprowadzenia posiedzenia lub rozprawy. Przed wyznaczeniem asystenta rodziny przewodniczący </w:t>
      </w:r>
      <w:r>
        <w:t>wzywa</w:t>
      </w:r>
      <w:r w:rsidRPr="00873B18">
        <w:t xml:space="preserve"> podmiot wskazan</w:t>
      </w:r>
      <w:r>
        <w:t>y</w:t>
      </w:r>
      <w:r w:rsidRPr="00873B18">
        <w:t xml:space="preserve"> w art. 17 ust. 1 ustawy z dnia 9 czerwca 2011 r. o wspieraniu rodziny i</w:t>
      </w:r>
      <w:r w:rsidR="00AF36E9">
        <w:t xml:space="preserve"> </w:t>
      </w:r>
      <w:r w:rsidRPr="00873B18">
        <w:t>systemie pieczy zastępczej, właściw</w:t>
      </w:r>
      <w:r>
        <w:t>y</w:t>
      </w:r>
      <w:r w:rsidRPr="00873B18">
        <w:t xml:space="preserve"> miejscowo ze </w:t>
      </w:r>
      <w:bookmarkStart w:id="2" w:name="_Hlk111644172"/>
      <w:r w:rsidRPr="00873B18">
        <w:t xml:space="preserve">względu na miejsce prowadzenia postępowania, </w:t>
      </w:r>
      <w:bookmarkEnd w:id="2"/>
      <w:r w:rsidRPr="00873B18">
        <w:t>o niezwłoczne przekazanie listy zatrudnionych asystentów rodziny.</w:t>
      </w:r>
      <w:r>
        <w:t>”;</w:t>
      </w:r>
    </w:p>
    <w:p w14:paraId="01DC4B5A" w14:textId="5293C145" w:rsidR="002457DC" w:rsidRPr="002457DC" w:rsidRDefault="002457DC" w:rsidP="000E4D56">
      <w:pPr>
        <w:pStyle w:val="PKTpunkt"/>
      </w:pPr>
      <w:r w:rsidRPr="002457DC">
        <w:t>4)</w:t>
      </w:r>
      <w:r w:rsidR="00DA592F">
        <w:tab/>
      </w:r>
      <w:r w:rsidRPr="002457DC">
        <w:t>w art. 214 w § 2 po pkt 1 dodaje się pkt 1a w brzmieniu:</w:t>
      </w:r>
    </w:p>
    <w:p w14:paraId="7B435EC2" w14:textId="0B5BE186" w:rsidR="002457DC" w:rsidRPr="002457DC" w:rsidRDefault="002457DC" w:rsidP="000E4D56">
      <w:pPr>
        <w:pStyle w:val="ZPKTzmpktartykuempunktem"/>
      </w:pPr>
      <w:r w:rsidRPr="002457DC">
        <w:t>„1a)</w:t>
      </w:r>
      <w:r w:rsidR="00DA592F">
        <w:tab/>
      </w:r>
      <w:r w:rsidRPr="002457DC">
        <w:t>w stosunku do oskarżonego, który w chwili czynu nie ukończył 18 lat;”;</w:t>
      </w:r>
    </w:p>
    <w:p w14:paraId="629738FB" w14:textId="116D0C82" w:rsidR="002457DC" w:rsidRPr="002457DC" w:rsidRDefault="002457DC" w:rsidP="000E4D56">
      <w:pPr>
        <w:pStyle w:val="PKTpunkt"/>
      </w:pPr>
      <w:r w:rsidRPr="002457DC">
        <w:t>5)</w:t>
      </w:r>
      <w:r w:rsidR="00DA592F">
        <w:tab/>
      </w:r>
      <w:r w:rsidRPr="002457DC">
        <w:t>po art. 299a dodaje się art. 299b w brzmieniu:</w:t>
      </w:r>
    </w:p>
    <w:p w14:paraId="4FC6A35A" w14:textId="0C0803F8" w:rsidR="002457DC" w:rsidRDefault="002457DC">
      <w:pPr>
        <w:pStyle w:val="ZARTzmartartykuempunktem"/>
      </w:pPr>
      <w:r>
        <w:t xml:space="preserve">„Art. 299b. Podczas czynności z udziałem </w:t>
      </w:r>
      <w:r w:rsidRPr="00DA592F">
        <w:t>podejrzanego</w:t>
      </w:r>
      <w:r>
        <w:t>, który nie ukończył 18 lat, w postępowaniu przygotowawczym może być obecny jego przedstawiciel ustawowy lub osoba, pod której pieczą podejrzany pozostaje, chyba że</w:t>
      </w:r>
      <w:r w:rsidRPr="006E053A">
        <w:t xml:space="preserve"> udział tych osób</w:t>
      </w:r>
      <w:r>
        <w:t xml:space="preserve"> może prowadzić do naruszenia praw lub interesów podejrzanego, jest niecelowe ze względu na jego dobro, uniemożliwia przeprowadzenie czynności albo utrudnia ją w istotny sposób. Jeżeli podejrzany nie posiada przedstawiciela ustawowego lub osoby, pod której pieczą </w:t>
      </w:r>
      <w:r>
        <w:lastRenderedPageBreak/>
        <w:t>pozostaje</w:t>
      </w:r>
      <w:r w:rsidR="004E30CE">
        <w:t>,</w:t>
      </w:r>
      <w:r>
        <w:t xml:space="preserve"> albo jeżeli zaistniały okoliczności wyłączające udział w czynności tych osób, podejrzany może wskazać inną osobę pełnoletnią, chyba że udział tej osoby może prowadzić do naruszenia praw lub interesów podejrzanego, jest niecelowy ze względu na jego dobro, uniemożliwia przeprowadzenie czynności albo utrudnia ją w istotny sposób.”;</w:t>
      </w:r>
    </w:p>
    <w:p w14:paraId="1275843F" w14:textId="55FAA29D" w:rsidR="002457DC" w:rsidRDefault="002457DC" w:rsidP="000E4D56">
      <w:pPr>
        <w:pStyle w:val="PKTpunkt"/>
      </w:pPr>
      <w:r>
        <w:t>6)</w:t>
      </w:r>
      <w:r w:rsidR="00DA592F">
        <w:tab/>
      </w:r>
      <w:r>
        <w:t>w art. 300:</w:t>
      </w:r>
    </w:p>
    <w:p w14:paraId="415F227A" w14:textId="1BF36B83" w:rsidR="002457DC" w:rsidRDefault="002457DC" w:rsidP="000E4D56">
      <w:pPr>
        <w:pStyle w:val="LITlitera"/>
      </w:pPr>
      <w:r>
        <w:t>a)</w:t>
      </w:r>
      <w:r w:rsidR="00DA592F">
        <w:tab/>
      </w:r>
      <w:r>
        <w:t>§ 1 otrzymuje brzmienie:</w:t>
      </w:r>
    </w:p>
    <w:p w14:paraId="79BA87FF" w14:textId="30DD846B" w:rsidR="002457DC" w:rsidRPr="00D55397" w:rsidRDefault="002457DC" w:rsidP="000E4D56">
      <w:pPr>
        <w:pStyle w:val="ZLITUSTzmustliter"/>
      </w:pPr>
      <w:r w:rsidRPr="002457DC">
        <w:t xml:space="preserve">„§ 1. Przed pierwszym przesłuchaniem poucza się podejrzanego o </w:t>
      </w:r>
      <w:r w:rsidRPr="00D55397">
        <w:t xml:space="preserve">jego uprawnieniach: do składania wyjaśnień, do odmowy składania wyjaśnień lub odmowy odpowiedzi na pytania, do informacji o treści zarzutów i ich zmianach, do składania wniosków o dokonanie czynności śledztwa lub dochodzenia, do korzystania z pomocy obrońcy, w tym do wystąpienia o obrońcę z urzędu w wypadku określonym w art. 78, oraz o treści art. </w:t>
      </w:r>
      <w:r>
        <w:t xml:space="preserve">202, art. 214, art. 215, art. </w:t>
      </w:r>
      <w:r w:rsidR="004841E7">
        <w:t>257 § 1 i 2, art. </w:t>
      </w:r>
      <w:r>
        <w:t xml:space="preserve">259, art. 316, art. </w:t>
      </w:r>
      <w:r w:rsidRPr="00D55397">
        <w:t xml:space="preserve">338b, art. 360, art. 361 i art. 374 § 1, </w:t>
      </w:r>
      <w:r>
        <w:t>o treści przepisów dotyczących środków zapobiegawczych stanowiących alternatywę względem tymczasowego aresztowania,</w:t>
      </w:r>
      <w:r w:rsidRPr="00D55397">
        <w:t xml:space="preserve"> o uprawnieniu do końcowego zaznajomienia z materiałami postępowania przygotowawczego, jak również o u</w:t>
      </w:r>
      <w:r w:rsidR="004841E7">
        <w:t>prawnieniach określonych w art. </w:t>
      </w:r>
      <w:r w:rsidRPr="00D55397">
        <w:t xml:space="preserve">23a § 1, art. 72 § 1, art. 156 § 5 i 5a, art. 301, art. 335, art. 338a i art. 387 oraz o obowiązkach i konsekwencjach wskazanych w art. 74, art. 75, art. 133 § 2, art. 138 i </w:t>
      </w:r>
      <w:r>
        <w:t xml:space="preserve">art. </w:t>
      </w:r>
      <w:r w:rsidRPr="00D55397">
        <w:t>139. Pouczenie należy wręczyć podejrzanemu na piśmie; podejrzany otrzymanie pouczenia potwierdza podpisem.”</w:t>
      </w:r>
      <w:r w:rsidR="00B37167">
        <w:t>,</w:t>
      </w:r>
    </w:p>
    <w:p w14:paraId="04002E23" w14:textId="453531DB" w:rsidR="002457DC" w:rsidRDefault="002457DC" w:rsidP="000E4D56">
      <w:pPr>
        <w:pStyle w:val="LITlitera"/>
      </w:pPr>
      <w:r>
        <w:t>b)</w:t>
      </w:r>
      <w:r w:rsidR="00DA592F">
        <w:tab/>
      </w:r>
      <w:r>
        <w:t>po § 1 dodaje się § 1a w brzmieniu:</w:t>
      </w:r>
    </w:p>
    <w:p w14:paraId="15F6A8CB" w14:textId="5E46939D" w:rsidR="002457DC" w:rsidRPr="002457DC" w:rsidRDefault="002457DC" w:rsidP="000E4D56">
      <w:pPr>
        <w:pStyle w:val="ZLITUSTzmustliter"/>
      </w:pPr>
      <w:r>
        <w:t xml:space="preserve">„§ 1a. </w:t>
      </w:r>
      <w:r w:rsidRPr="004073CD">
        <w:t>Przed pierwszym przesłuchaniem podejrzanego</w:t>
      </w:r>
      <w:r w:rsidR="004841E7">
        <w:t>, który nie ukończył 18 </w:t>
      </w:r>
      <w:r>
        <w:t>lat, poucza się o jego uprawnieniach, treś</w:t>
      </w:r>
      <w:r w:rsidR="004841E7">
        <w:t>ci przepisów oraz obowiązkach i </w:t>
      </w:r>
      <w:r>
        <w:t>konsekwencjach wymienionych w</w:t>
      </w:r>
      <w:r w:rsidR="00AF36E9">
        <w:t xml:space="preserve"> </w:t>
      </w:r>
      <w:r w:rsidRPr="004073CD">
        <w:t>§</w:t>
      </w:r>
      <w:r>
        <w:t xml:space="preserve"> 1 oraz o treści art. 76,</w:t>
      </w:r>
      <w:r w:rsidR="00AF36E9">
        <w:t xml:space="preserve"> </w:t>
      </w:r>
      <w:r>
        <w:t xml:space="preserve">art. 76a, art. 299b oraz o treści art. 212 Kodeksu karnego wykonawczego, a także o roli organów uczestniczących w postępowaniu. Pouczenie doręcza się również przedstawicielowi ustawowemu lub osobie, pod której pieczą oskarżony pozostaje, albo innej osobie wskazanej albo wyznaczonej, o której mowa w art. 76a.”; </w:t>
      </w:r>
    </w:p>
    <w:p w14:paraId="32B63070" w14:textId="7098A6AB" w:rsidR="002457DC" w:rsidRDefault="002457DC" w:rsidP="000E4D56">
      <w:pPr>
        <w:pStyle w:val="PKTpunkt"/>
      </w:pPr>
      <w:r>
        <w:t>7)</w:t>
      </w:r>
      <w:r w:rsidR="00DA592F">
        <w:tab/>
      </w:r>
      <w:r>
        <w:t>w art. 360 w § 1 pkt 2 otrzymuje brzmienie:</w:t>
      </w:r>
    </w:p>
    <w:p w14:paraId="126D177A" w14:textId="7FB8539F" w:rsidR="002457DC" w:rsidRPr="002457DC" w:rsidRDefault="002457DC" w:rsidP="000E4D56">
      <w:pPr>
        <w:pStyle w:val="ZPKTzmpktartykuempunktem"/>
      </w:pPr>
      <w:r>
        <w:t>„</w:t>
      </w:r>
      <w:r w:rsidRPr="002457DC">
        <w:t>2)</w:t>
      </w:r>
      <w:r w:rsidR="00DA592F">
        <w:tab/>
      </w:r>
      <w:r w:rsidRPr="002457DC">
        <w:t xml:space="preserve">jeżeli choćby jeden z oskarżonych nie ukończył 18 lat lub na czas przesłuchania świadka, który nie ukończył 15 lat;”; </w:t>
      </w:r>
    </w:p>
    <w:p w14:paraId="7E2A4E2D" w14:textId="0C4B512D" w:rsidR="002457DC" w:rsidRPr="002457DC" w:rsidRDefault="002457DC" w:rsidP="000E4D56">
      <w:pPr>
        <w:pStyle w:val="PKTpunkt"/>
      </w:pPr>
      <w:r w:rsidRPr="002457DC">
        <w:t>8)</w:t>
      </w:r>
      <w:r w:rsidR="00DA592F">
        <w:tab/>
      </w:r>
      <w:r w:rsidRPr="002457DC">
        <w:t>w art. 607l:</w:t>
      </w:r>
    </w:p>
    <w:p w14:paraId="380610A8" w14:textId="6FD48890" w:rsidR="002457DC" w:rsidRPr="002457DC" w:rsidRDefault="002457DC" w:rsidP="000E4D56">
      <w:pPr>
        <w:pStyle w:val="LITlitera"/>
      </w:pPr>
      <w:r w:rsidRPr="002457DC">
        <w:t>a)</w:t>
      </w:r>
      <w:r w:rsidR="00DA592F">
        <w:tab/>
      </w:r>
      <w:r w:rsidRPr="002457DC">
        <w:t>§ 4 otrzymuje brzmienie:</w:t>
      </w:r>
    </w:p>
    <w:p w14:paraId="5BB9BDB1" w14:textId="1F6B7AC7" w:rsidR="002457DC" w:rsidRPr="002457DC" w:rsidRDefault="002457DC" w:rsidP="000E4D56">
      <w:pPr>
        <w:pStyle w:val="ZLITUSTzmustliter"/>
      </w:pPr>
      <w:r w:rsidRPr="002457DC">
        <w:lastRenderedPageBreak/>
        <w:t>„§ 4. Minister Sprawiedliwości określi, w drodze rozporządzenia, wzór pouczenia o przysługujących osobie, której nakaz dotyczy, w wypadku jej zatrzymania, uprawnieniach: do uzyskania informacji o treści nakazu europejskiego, o możliwości wyrażenia zgody na przekazanie, o możliwości złożenia oświadczenia w przedmiocie przekazania, do korzystania z pomocy obrońcy, do składania wyjaśnień, do odmowy składania wyjaśnień lub odmowy odpowiedzi na pytania, do przeglądania akt w zakresie dotyczącym przyczyn zatrzymania, do dostępu do pierwszej pomocy medycznej, do obecności na posiedzeniu, o którym mowa w § 1, jak również o uprawnieniach określonych w § 3, w art. 72 § 1, art. 78 § 1, art. 202, art. 215, art. 257 § 1 i 2, art. 259, art. 261 § 1, 2 i 2a, art. 360, art. 361, art. 612 oraz o treści art. 607k § 3 i 3a, a także o treści przepisów dotyczących środków zapobiegawczych stanowiących alternatywę względem tymczasowego aresztowania, a jeśli osoba, której nakaz dotyczy</w:t>
      </w:r>
      <w:r w:rsidR="00905FFF">
        <w:t>,</w:t>
      </w:r>
      <w:r w:rsidRPr="002457DC">
        <w:t xml:space="preserve"> n</w:t>
      </w:r>
      <w:r w:rsidR="004841E7">
        <w:t>ie ukończyła 18 lat – ponadto o </w:t>
      </w:r>
      <w:r w:rsidRPr="002457DC">
        <w:t xml:space="preserve">treści art. 76, art. 76a oraz o treści art. 212 </w:t>
      </w:r>
      <w:r w:rsidR="004841E7">
        <w:t>Kodeksu karnego wykonawczego, a </w:t>
      </w:r>
      <w:r w:rsidRPr="002457DC">
        <w:t>także o roli organów uczestniczących w postępowaniu, mając na względzie konieczność zrozumienia pouczenia także przez osoby niekorzystające z pomocy obrońcy.”,</w:t>
      </w:r>
    </w:p>
    <w:p w14:paraId="7FAF2622" w14:textId="0C0482A5" w:rsidR="002457DC" w:rsidRPr="002457DC" w:rsidRDefault="002457DC" w:rsidP="000E4D56">
      <w:pPr>
        <w:pStyle w:val="LITlitera"/>
      </w:pPr>
      <w:r w:rsidRPr="002457DC">
        <w:t>b)</w:t>
      </w:r>
      <w:r w:rsidR="00DA592F">
        <w:tab/>
      </w:r>
      <w:r w:rsidRPr="002457DC">
        <w:t>dodaje się § 5 w brzmieniu:</w:t>
      </w:r>
    </w:p>
    <w:p w14:paraId="7D56E9B3" w14:textId="39FD4775" w:rsidR="002457DC" w:rsidRPr="002457DC" w:rsidRDefault="002457DC" w:rsidP="000E4D56">
      <w:pPr>
        <w:pStyle w:val="ZLITUSTzmustliter"/>
      </w:pPr>
      <w:r>
        <w:t>„§ 5. Pouczenie należy doręczyć na piśmie; otrzymanie pouczenia potwierdza się podpisem. Jeżeli</w:t>
      </w:r>
      <w:r w:rsidRPr="002457DC">
        <w:t xml:space="preserve"> osoba</w:t>
      </w:r>
      <w:r w:rsidR="00905FFF">
        <w:t>,</w:t>
      </w:r>
      <w:r w:rsidRPr="002457DC">
        <w:t xml:space="preserve"> której nakaz dotyczy</w:t>
      </w:r>
      <w:r w:rsidR="00905FFF">
        <w:t>,</w:t>
      </w:r>
      <w:r w:rsidRPr="002457DC">
        <w:t xml:space="preserve"> nie ukończyła 18 lat, pouczenie doręcza się również przedstawicielowi ustawowemu lub osobie, pod której pieczą oskarżony pozostaje, albo innej osobie wskazanej albo wyznaczonej, o której mowa w art. 76a.”;</w:t>
      </w:r>
    </w:p>
    <w:p w14:paraId="0A5061E8" w14:textId="0FF5C7A4" w:rsidR="002457DC" w:rsidRPr="002457DC" w:rsidRDefault="002457DC" w:rsidP="000E4D56">
      <w:pPr>
        <w:pStyle w:val="PKTpunkt"/>
      </w:pPr>
      <w:r w:rsidRPr="00124DA4">
        <w:t>9)</w:t>
      </w:r>
      <w:r w:rsidR="00DA592F">
        <w:tab/>
      </w:r>
      <w:r w:rsidRPr="002457DC">
        <w:t>w art. 618 w § 1 po pkt 12 dodaje się pkt 12a w brzmieniu:</w:t>
      </w:r>
    </w:p>
    <w:p w14:paraId="48C8A7B8" w14:textId="5398366A" w:rsidR="002457DC" w:rsidRPr="002457DC" w:rsidRDefault="002457DC" w:rsidP="000E4D56">
      <w:pPr>
        <w:pStyle w:val="ZPKTzmpktartykuempunktem"/>
      </w:pPr>
      <w:r w:rsidRPr="002457DC">
        <w:t>„12a)</w:t>
      </w:r>
      <w:r w:rsidR="00DA592F">
        <w:tab/>
      </w:r>
      <w:r w:rsidRPr="002457DC">
        <w:t>ryczałtu asystenta rodziny za udział w posiedzeniu albo rozprawie, o których mowa w art. 76a § 1;”;</w:t>
      </w:r>
    </w:p>
    <w:p w14:paraId="54D71EA6" w14:textId="22E713A2" w:rsidR="002457DC" w:rsidRPr="002457DC" w:rsidRDefault="002457DC" w:rsidP="000E4D56">
      <w:pPr>
        <w:pStyle w:val="PKTpunkt"/>
      </w:pPr>
      <w:r w:rsidRPr="002457DC">
        <w:t>10)</w:t>
      </w:r>
      <w:r w:rsidR="00DA592F">
        <w:tab/>
      </w:r>
      <w:r w:rsidRPr="002457DC">
        <w:t>po art. 618i dodaje się art. 618ia w brzmieniu:</w:t>
      </w:r>
    </w:p>
    <w:p w14:paraId="5BBFBA38" w14:textId="77777777" w:rsidR="002457DC" w:rsidRPr="00124DA4" w:rsidRDefault="002457DC" w:rsidP="002457DC">
      <w:pPr>
        <w:pStyle w:val="ZARTzmartartykuempunktem"/>
      </w:pPr>
      <w:r w:rsidRPr="00124DA4">
        <w:t>„Art. 618ia. § 1. Asystentowi rodziny przysługuje ryczałt za udział w posiedzeniu albo rozprawie na podstawie art. 76a §</w:t>
      </w:r>
      <w:r>
        <w:t xml:space="preserve"> </w:t>
      </w:r>
      <w:r w:rsidRPr="00124DA4">
        <w:t>1.</w:t>
      </w:r>
    </w:p>
    <w:p w14:paraId="6557D01B" w14:textId="6CD6FA8B" w:rsidR="002457DC" w:rsidRPr="00A7231C" w:rsidRDefault="002457DC" w:rsidP="000E4D56">
      <w:pPr>
        <w:pStyle w:val="ZUSTzmustartykuempunktem"/>
      </w:pPr>
      <w:bookmarkStart w:id="3" w:name="_Hlk90992973"/>
      <w:r w:rsidRPr="00124DA4">
        <w:t>§ 2. Minister Sprawiedliwości w porozumieniu z ministrem właściwym do spraw finansów publicznych określi, w drodze rozporządzenia, wysokość ryczałtu</w:t>
      </w:r>
      <w:r w:rsidRPr="002457DC">
        <w:t xml:space="preserve"> </w:t>
      </w:r>
      <w:r w:rsidRPr="00391644">
        <w:t>za udział w posiedzeniu albo rozprawie na podstawie art. 76a §</w:t>
      </w:r>
      <w:r>
        <w:t xml:space="preserve"> </w:t>
      </w:r>
      <w:r w:rsidRPr="00391644">
        <w:t>1</w:t>
      </w:r>
      <w:r w:rsidRPr="00124DA4">
        <w:t>, mając na uwadze przewidywane średnie koszty stawiennictwa i udziału asystenta rodziny w posiedzeniu albo rozprawie.”</w:t>
      </w:r>
      <w:bookmarkEnd w:id="3"/>
      <w:r w:rsidRPr="00124DA4">
        <w:t>.</w:t>
      </w:r>
    </w:p>
    <w:p w14:paraId="74D78CDF" w14:textId="4C0CDA3E" w:rsidR="002457DC" w:rsidRDefault="002457DC" w:rsidP="002457DC">
      <w:pPr>
        <w:pStyle w:val="ARTartustawynprozporzdzenia"/>
      </w:pPr>
      <w:r w:rsidRPr="002457DC">
        <w:rPr>
          <w:rStyle w:val="Ppogrubienie"/>
        </w:rPr>
        <w:lastRenderedPageBreak/>
        <w:t>Art.</w:t>
      </w:r>
      <w:r w:rsidR="00A92FB2">
        <w:rPr>
          <w:rStyle w:val="Ppogrubienie"/>
        </w:rPr>
        <w:t> </w:t>
      </w:r>
      <w:r w:rsidRPr="002457DC">
        <w:rPr>
          <w:rStyle w:val="Ppogrubienie"/>
        </w:rPr>
        <w:t>2.</w:t>
      </w:r>
      <w:r w:rsidR="00A92FB2">
        <w:rPr>
          <w:rStyle w:val="Ppogrubienie"/>
        </w:rPr>
        <w:t> </w:t>
      </w:r>
      <w:r w:rsidRPr="00124DA4">
        <w:t>W ustawie z dnia 6 czerwca 1997 r. – Kodeks karny (Dz. U. z 202</w:t>
      </w:r>
      <w:r>
        <w:t>2</w:t>
      </w:r>
      <w:r w:rsidRPr="00124DA4">
        <w:t xml:space="preserve"> r. poz. </w:t>
      </w:r>
      <w:r>
        <w:t xml:space="preserve">1138, </w:t>
      </w:r>
      <w:r w:rsidRPr="005E2E9B">
        <w:t>1726</w:t>
      </w:r>
      <w:r>
        <w:t>,</w:t>
      </w:r>
      <w:r w:rsidRPr="005E2E9B">
        <w:t xml:space="preserve"> 1855</w:t>
      </w:r>
      <w:r>
        <w:t>, 2339 i 2600</w:t>
      </w:r>
      <w:r w:rsidRPr="00124DA4">
        <w:t>)</w:t>
      </w:r>
      <w:r>
        <w:t xml:space="preserve"> wprowadza się następujące zmiany: </w:t>
      </w:r>
    </w:p>
    <w:p w14:paraId="0C444AE4" w14:textId="77777777" w:rsidR="002457DC" w:rsidRPr="002457DC" w:rsidRDefault="002457DC" w:rsidP="000E4D56">
      <w:pPr>
        <w:pStyle w:val="PKTpunkt"/>
      </w:pPr>
      <w:r>
        <w:t>1)</w:t>
      </w:r>
      <w:r>
        <w:tab/>
      </w:r>
      <w:r w:rsidRPr="002457DC">
        <w:t>do tytułu ustawy dodaje się odnośnik nr 1 w brzmieniu:</w:t>
      </w:r>
    </w:p>
    <w:p w14:paraId="32F9B451" w14:textId="51F2F383" w:rsidR="002457DC" w:rsidRPr="002457DC" w:rsidRDefault="002457DC" w:rsidP="000E4D56">
      <w:pPr>
        <w:pStyle w:val="ZPKTODNONIKAzmpktodnonikaartykuempunktem"/>
      </w:pPr>
      <w:r w:rsidRPr="002457DC">
        <w:t>„</w:t>
      </w:r>
      <w:r w:rsidRPr="002457DC">
        <w:rPr>
          <w:rStyle w:val="IGindeksgrny"/>
        </w:rPr>
        <w:t>1)</w:t>
      </w:r>
      <w:r w:rsidR="00D853E7">
        <w:rPr>
          <w:rStyle w:val="IGindeksgrny"/>
        </w:rPr>
        <w:tab/>
      </w:r>
      <w:r w:rsidRPr="002457DC">
        <w:t xml:space="preserve">Niniejsza ustawa w zakresie swojej regulacji realizuje postanowienia: </w:t>
      </w:r>
    </w:p>
    <w:p w14:paraId="308756B4" w14:textId="2A61F4D2" w:rsidR="002457DC" w:rsidRPr="002457DC" w:rsidRDefault="002457DC" w:rsidP="000E4D56">
      <w:pPr>
        <w:pStyle w:val="ZPKTwODNONIKUzmpktwzmienianymodnonikuartykuempunktem"/>
      </w:pPr>
      <w:r w:rsidRPr="002457DC">
        <w:t>1)</w:t>
      </w:r>
      <w:r w:rsidRPr="002457DC">
        <w:tab/>
        <w:t xml:space="preserve">dyrektywy Parlamentu Europejskiego </w:t>
      </w:r>
      <w:r w:rsidR="004841E7">
        <w:t>i Rady (UE) 2018/1673 z dnia 23 </w:t>
      </w:r>
      <w:r w:rsidRPr="002457DC">
        <w:t>października 2018 r. w sprawie zwalczania prania pieniędzy za pomocą środków prawnokarnych (Dz. Urz. UE L 284 z 12.11.2018, str. 22);</w:t>
      </w:r>
    </w:p>
    <w:p w14:paraId="5315F19C" w14:textId="143B9BA7" w:rsidR="002457DC" w:rsidRPr="002457DC" w:rsidRDefault="002457DC" w:rsidP="000E4D56">
      <w:pPr>
        <w:pStyle w:val="ZPKTwODNONIKUzmpktwzmienianymodnonikuartykuempunktem"/>
      </w:pPr>
      <w:bookmarkStart w:id="4" w:name="_Hlk91059239"/>
      <w:r w:rsidRPr="002457DC">
        <w:t>2)</w:t>
      </w:r>
      <w:r w:rsidRPr="002457DC">
        <w:tab/>
        <w:t>dyrektywy Parlamentu Europejskiego i Rady (UE) 2019/713 z dnia 17 kwietnia 2019 r. w sprawie zwalczania fał</w:t>
      </w:r>
      <w:r w:rsidR="004841E7">
        <w:t>szowania i oszustw związanych z </w:t>
      </w:r>
      <w:r w:rsidRPr="002457DC">
        <w:t>bezgotówkowymi środkami płatniczymi, zastępującej decyzję ramową Rady 2001/413/</w:t>
      </w:r>
      <w:proofErr w:type="spellStart"/>
      <w:r w:rsidRPr="002457DC">
        <w:t>WSiSW</w:t>
      </w:r>
      <w:proofErr w:type="spellEnd"/>
      <w:r w:rsidRPr="002457DC">
        <w:t xml:space="preserve"> (Dz. Urz. UE L 123 z 10.05.2019, str. 18).</w:t>
      </w:r>
      <w:bookmarkEnd w:id="4"/>
      <w:r w:rsidRPr="002457DC">
        <w:t>”;</w:t>
      </w:r>
    </w:p>
    <w:p w14:paraId="0BE2CCAF" w14:textId="77777777" w:rsidR="002457DC" w:rsidRPr="002457DC" w:rsidRDefault="002457DC" w:rsidP="000E4D56">
      <w:pPr>
        <w:pStyle w:val="PKTpunkt"/>
      </w:pPr>
      <w:r>
        <w:t>2)</w:t>
      </w:r>
      <w:r>
        <w:tab/>
      </w:r>
      <w:r w:rsidRPr="002457DC">
        <w:t xml:space="preserve">w art. 202 § 4b otrzymuje brzmienie: </w:t>
      </w:r>
    </w:p>
    <w:p w14:paraId="16D31557" w14:textId="77777777" w:rsidR="002457DC" w:rsidRPr="002457DC" w:rsidRDefault="002457DC" w:rsidP="000E4D56">
      <w:pPr>
        <w:pStyle w:val="ZUSTzmustartykuempunktem"/>
      </w:pPr>
      <w:r>
        <w:t xml:space="preserve">„§ 4b. Kto produkuje, rozpowszechnia, prezentuje, przechowuje lub posiada treści pornograficzne przedstawiające wytworzony albo przetworzony wizerunek małoletniego uczestniczącego w czynności seksualnej </w:t>
      </w:r>
    </w:p>
    <w:p w14:paraId="3AE67430" w14:textId="77777777" w:rsidR="002457DC" w:rsidRDefault="002457DC" w:rsidP="003621AD">
      <w:pPr>
        <w:pStyle w:val="ZSKARNzmsankcjikarnejwszczeglnociwKodeksiekarnym"/>
      </w:pPr>
      <w:r>
        <w:t xml:space="preserve">podlega </w:t>
      </w:r>
      <w:r w:rsidRPr="004B18C5">
        <w:t>karze</w:t>
      </w:r>
      <w:r>
        <w:t xml:space="preserve"> </w:t>
      </w:r>
      <w:r w:rsidRPr="00D13052">
        <w:t>pozbawienia</w:t>
      </w:r>
      <w:r>
        <w:t xml:space="preserve"> wolności do lat 3.”. </w:t>
      </w:r>
    </w:p>
    <w:p w14:paraId="55F8F21B" w14:textId="0BD2F441" w:rsidR="002457DC" w:rsidRPr="002457DC" w:rsidRDefault="002457DC" w:rsidP="00DD5732">
      <w:pPr>
        <w:pStyle w:val="ARTartustawynprozporzdzenia"/>
      </w:pPr>
      <w:r w:rsidRPr="000E4D56">
        <w:rPr>
          <w:rStyle w:val="Ppogrubienie"/>
          <w:rFonts w:ascii="Times New Roman" w:hAnsi="Times New Roman"/>
        </w:rPr>
        <w:t>Art.</w:t>
      </w:r>
      <w:r w:rsidR="00A92FB2">
        <w:rPr>
          <w:rStyle w:val="Ppogrubienie"/>
        </w:rPr>
        <w:t> </w:t>
      </w:r>
      <w:r w:rsidRPr="000E4D56">
        <w:rPr>
          <w:rStyle w:val="Ppogrubienie"/>
          <w:rFonts w:ascii="Times New Roman" w:hAnsi="Times New Roman"/>
        </w:rPr>
        <w:t>3.</w:t>
      </w:r>
      <w:r w:rsidR="00A92FB2">
        <w:t> </w:t>
      </w:r>
      <w:r w:rsidRPr="002457DC">
        <w:t xml:space="preserve">W ustawie z </w:t>
      </w:r>
      <w:r w:rsidRPr="004B18C5">
        <w:rPr>
          <w:rFonts w:ascii="Times New Roman" w:hAnsi="Times New Roman"/>
        </w:rPr>
        <w:t>dnia</w:t>
      </w:r>
      <w:r w:rsidRPr="002457DC">
        <w:t xml:space="preserve"> 6 czerwca 1997 r. – Kodeks </w:t>
      </w:r>
      <w:r w:rsidR="004841E7">
        <w:t>karny wykonawczy (Dz. U. z 2021 </w:t>
      </w:r>
      <w:r w:rsidRPr="002457DC">
        <w:t>r. poz. 53, z późn. zm.</w:t>
      </w:r>
      <w:r w:rsidRPr="00272ECA">
        <w:rPr>
          <w:rStyle w:val="IGindeksgrny"/>
        </w:rPr>
        <w:footnoteReference w:id="3"/>
      </w:r>
      <w:r w:rsidRPr="00272ECA">
        <w:rPr>
          <w:rStyle w:val="IGindeksgrny"/>
        </w:rPr>
        <w:t>)</w:t>
      </w:r>
      <w:r w:rsidRPr="002457DC">
        <w:t xml:space="preserve">) </w:t>
      </w:r>
      <w:r>
        <w:t>w art. 212 w § 1 we wprowadzeniu do wyliczenia zdanie drugie otrzymuje brzmienie:</w:t>
      </w:r>
    </w:p>
    <w:p w14:paraId="4A6CE5D3" w14:textId="61F961AA" w:rsidR="002457DC" w:rsidRDefault="002457DC" w:rsidP="000E4D56">
      <w:pPr>
        <w:pStyle w:val="ZFRAGzmfragmentunpzdaniaartykuempunktem"/>
      </w:pPr>
      <w:r>
        <w:t xml:space="preserve">„W szczególności należy oddzielać niekaranych od uprzednio odbywających karę pozbawienia wolności oraz młodocianych od dorosłych, chyba że szczególne względy wychowawcze </w:t>
      </w:r>
      <w:r w:rsidRPr="002457DC">
        <w:t>przemawiają za umieszczeniem dorosłego z młodocianym lub młodocianymi, z tym zastrzeżeniem, że umieszczenie dorosłego z młodocianym lub młodocianymi, którzy nie ukończyli 18 lat, jak równ</w:t>
      </w:r>
      <w:r w:rsidR="004841E7">
        <w:t>ież umieszczenie młodocianego z </w:t>
      </w:r>
      <w:bookmarkStart w:id="5" w:name="_GoBack"/>
      <w:bookmarkEnd w:id="5"/>
      <w:r w:rsidRPr="002457DC">
        <w:t>młodocianymi, którzy nie ukończyli 18 lat, może nastąpić tylko wówczas, jeśli nie jest to sprzeczne z dobrem tego młodocianego lub młodocianych.</w:t>
      </w:r>
      <w:r>
        <w:t>”.</w:t>
      </w:r>
    </w:p>
    <w:p w14:paraId="46D593D9" w14:textId="5AD684F7" w:rsidR="002457DC" w:rsidRDefault="002457DC" w:rsidP="002457DC">
      <w:pPr>
        <w:pStyle w:val="ARTartustawynprozporzdzenia"/>
      </w:pPr>
      <w:r w:rsidRPr="002457DC">
        <w:rPr>
          <w:rStyle w:val="Ppogrubienie"/>
        </w:rPr>
        <w:t>Art. 4.</w:t>
      </w:r>
      <w:r>
        <w:t> W ustawie z dnia 10 września 1999 r. – Kodeks karny skarbowy (Dz. U. z 2022 r. poz. 859 i 1301) do tytułu ustawy dodaje się odnośnik nr 1 w brzmieniu:</w:t>
      </w:r>
    </w:p>
    <w:p w14:paraId="0A95B5DD" w14:textId="4E2DF078" w:rsidR="002457DC" w:rsidRPr="002457DC" w:rsidRDefault="002457DC" w:rsidP="000E4D56">
      <w:pPr>
        <w:pStyle w:val="ZPKTODNONIKAzmpktodnonikaartykuempunktem"/>
      </w:pPr>
      <w:r w:rsidRPr="002457DC">
        <w:t>„</w:t>
      </w:r>
      <w:r w:rsidRPr="002457DC">
        <w:rPr>
          <w:rStyle w:val="IGindeksgrny"/>
        </w:rPr>
        <w:t>1)</w:t>
      </w:r>
      <w:r w:rsidR="004B18C5">
        <w:rPr>
          <w:rStyle w:val="IGindeksgrny"/>
        </w:rPr>
        <w:tab/>
      </w:r>
      <w:r w:rsidRPr="002457DC">
        <w:t xml:space="preserve">Niniejsza ustawa w zakresie swojej regulacji realizuje postanowienia dyrektywy Parlamentu Europejskiego i Rady (UE) 2017/1371 z dnia 5 lipca 2017 r. w sprawie </w:t>
      </w:r>
      <w:r w:rsidRPr="002457DC">
        <w:lastRenderedPageBreak/>
        <w:t>zwalczania za pośrednictwem prawa karnego nadużyć na szkodę interesów finansowych Unii (Dz. Urz. UE L 198 z 28.07.2017, str. 29).”.</w:t>
      </w:r>
    </w:p>
    <w:p w14:paraId="2C6EA472" w14:textId="53587E64" w:rsidR="002457DC" w:rsidRPr="002457DC" w:rsidRDefault="002457DC" w:rsidP="000E4D56">
      <w:pPr>
        <w:pStyle w:val="ARTartustawynprozporzdzenia"/>
      </w:pPr>
      <w:r w:rsidRPr="000E4D56">
        <w:rPr>
          <w:rStyle w:val="Ppogrubienie"/>
        </w:rPr>
        <w:t>Art.</w:t>
      </w:r>
      <w:r w:rsidR="00A92FB2">
        <w:rPr>
          <w:rStyle w:val="Ppogrubienie"/>
        </w:rPr>
        <w:t> </w:t>
      </w:r>
      <w:r w:rsidRPr="000E4D56">
        <w:rPr>
          <w:rStyle w:val="Ppogrubienie"/>
        </w:rPr>
        <w:t>5.</w:t>
      </w:r>
      <w:r w:rsidR="00A92FB2">
        <w:t> </w:t>
      </w:r>
      <w:r w:rsidRPr="002457DC">
        <w:t xml:space="preserve">W ustawie z dnia 9 czerwca 2011 r. o wspieraniu rodziny i systemie pieczy zastępczej (Dz. U. z 2022 r. poz. 447, 1700 i 2140) wprowadza się następujące zmiany: </w:t>
      </w:r>
    </w:p>
    <w:p w14:paraId="2BA775FE" w14:textId="77777777" w:rsidR="002457DC" w:rsidRPr="002457DC" w:rsidRDefault="002457DC" w:rsidP="000E4D56">
      <w:pPr>
        <w:pStyle w:val="PKTpunkt"/>
      </w:pPr>
      <w:r w:rsidRPr="002457DC">
        <w:t>1)</w:t>
      </w:r>
      <w:r w:rsidRPr="002457DC">
        <w:tab/>
        <w:t>w art. 15 w ust. 1 po pkt 11 dodaje się pkt 11a w brzmieniu:</w:t>
      </w:r>
    </w:p>
    <w:p w14:paraId="52665D2D" w14:textId="6F0AE992" w:rsidR="002457DC" w:rsidRPr="002457DC" w:rsidRDefault="002457DC" w:rsidP="000E4D56">
      <w:pPr>
        <w:pStyle w:val="ZPKTzmpktartykuempunktem"/>
      </w:pPr>
      <w:r w:rsidRPr="002457DC">
        <w:t>„11a)</w:t>
      </w:r>
      <w:r w:rsidR="004B18C5">
        <w:tab/>
      </w:r>
      <w:r w:rsidRPr="002457DC">
        <w:t>udzielanie wsparcia dziecku przez towarzyszenie mu podczas posiedzenia albo rozprawy z jego udziałem na podstawie art. 76a ustawy z dnia 6 czerwca 1997 r. –</w:t>
      </w:r>
      <w:r w:rsidR="00AF36E9">
        <w:t xml:space="preserve"> </w:t>
      </w:r>
      <w:r w:rsidRPr="002457DC">
        <w:t>Kodeks postępowania karnego (Dz. U. z 2022 r. poz. 1375, 1855, 2582 i 2600);”;</w:t>
      </w:r>
    </w:p>
    <w:p w14:paraId="3C116143" w14:textId="77777777" w:rsidR="002457DC" w:rsidRPr="002457DC" w:rsidRDefault="002457DC" w:rsidP="000E4D56">
      <w:pPr>
        <w:pStyle w:val="PKTpunkt"/>
      </w:pPr>
      <w:r w:rsidRPr="002457DC">
        <w:t>2)</w:t>
      </w:r>
      <w:r w:rsidRPr="002457DC">
        <w:tab/>
        <w:t xml:space="preserve">w art. 17 dodaje się ust. 5 w brzmieniu: </w:t>
      </w:r>
    </w:p>
    <w:p w14:paraId="01CD1FFC" w14:textId="731FFCB8" w:rsidR="002457DC" w:rsidRPr="002457DC" w:rsidRDefault="002457DC" w:rsidP="000E4D56">
      <w:pPr>
        <w:pStyle w:val="ZUSTzmustartykuempunktem"/>
      </w:pPr>
      <w:r w:rsidRPr="002457DC">
        <w:t>„5. Podmiot, o którym mowa w ust. 1, na wezwanie sądu, o którym mowa w art. 76a § 2 ustawy z dnia 6 czerwca 1997 r. –</w:t>
      </w:r>
      <w:r w:rsidR="00AF36E9">
        <w:t xml:space="preserve"> </w:t>
      </w:r>
      <w:r w:rsidRPr="002457DC">
        <w:t>Kodeks postępowania karnego</w:t>
      </w:r>
      <w:bookmarkStart w:id="6" w:name="_Hlk111643734"/>
      <w:r w:rsidR="00891570">
        <w:t>,</w:t>
      </w:r>
      <w:r w:rsidR="00AF36E9">
        <w:t xml:space="preserve"> </w:t>
      </w:r>
      <w:r w:rsidRPr="002457DC">
        <w:t>przekazuje niezwłocznie listę asystentów rodziny wraz z danymi kontaktowymi</w:t>
      </w:r>
      <w:bookmarkEnd w:id="6"/>
      <w:r w:rsidRPr="002457DC">
        <w:t>.”.</w:t>
      </w:r>
    </w:p>
    <w:p w14:paraId="3550B574" w14:textId="279EDAD8" w:rsidR="002457DC" w:rsidRPr="002457DC" w:rsidRDefault="002457DC" w:rsidP="000E4D56">
      <w:pPr>
        <w:pStyle w:val="ARTartustawynprozporzdzenia"/>
      </w:pPr>
      <w:r w:rsidRPr="000E4D56">
        <w:rPr>
          <w:rStyle w:val="Ppogrubienie"/>
        </w:rPr>
        <w:t>Art.</w:t>
      </w:r>
      <w:r w:rsidR="00A92FB2">
        <w:rPr>
          <w:rStyle w:val="Ppogrubienie"/>
        </w:rPr>
        <w:t> </w:t>
      </w:r>
      <w:r w:rsidRPr="000E4D56">
        <w:rPr>
          <w:rStyle w:val="Ppogrubienie"/>
        </w:rPr>
        <w:t>6.</w:t>
      </w:r>
      <w:r w:rsidR="00A92FB2">
        <w:t> </w:t>
      </w:r>
      <w:r w:rsidRPr="002457DC">
        <w:t>Dotychczasowe przepisy wykonawcze wydane na podstawie art. 300 § 4 i art. 607l § 4 ustawy zmienianej w art. 1 zachowują moc do dnia wejścia w życie nowych przepisów wykonawczych wydanych na podstawie art. 300 § 4 i art. 607l § 4 ustawy zmienianej w art. 1, w brzmieniu nadanym niniejszą ustawą, jednak nie dłużej niż przez 6 miesięcy od dnia wejścia w życie niniejszej ustawy.</w:t>
      </w:r>
    </w:p>
    <w:p w14:paraId="6D3FE541" w14:textId="053CADF2" w:rsidR="00261A16" w:rsidRPr="00737F6A" w:rsidRDefault="002457DC" w:rsidP="000E4D56">
      <w:pPr>
        <w:pStyle w:val="ARTartustawynprozporzdzenia"/>
      </w:pPr>
      <w:r>
        <w:rPr>
          <w:rStyle w:val="Ppogrubienie"/>
        </w:rPr>
        <w:t>Art. 7.</w:t>
      </w:r>
      <w:r>
        <w:t> Ustawa wchodzi w życie po upływie 14 dni od dnia ogłoszenia</w:t>
      </w:r>
      <w:r w:rsidR="004B18C5">
        <w:t>.</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FDE18" w14:textId="77777777" w:rsidR="00CB1563" w:rsidRDefault="00CB1563">
      <w:r>
        <w:separator/>
      </w:r>
    </w:p>
  </w:endnote>
  <w:endnote w:type="continuationSeparator" w:id="0">
    <w:p w14:paraId="30A70810" w14:textId="77777777" w:rsidR="00CB1563" w:rsidRDefault="00CB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71289" w14:textId="77777777" w:rsidR="00CB1563" w:rsidRDefault="00CB1563">
      <w:r>
        <w:separator/>
      </w:r>
    </w:p>
  </w:footnote>
  <w:footnote w:type="continuationSeparator" w:id="0">
    <w:p w14:paraId="5C3DF4C7" w14:textId="77777777" w:rsidR="00CB1563" w:rsidRDefault="00CB1563">
      <w:r>
        <w:continuationSeparator/>
      </w:r>
    </w:p>
  </w:footnote>
  <w:footnote w:id="1">
    <w:p w14:paraId="6FCF0E71" w14:textId="182E30B8" w:rsidR="002457DC" w:rsidRPr="00FF4183" w:rsidRDefault="002457DC" w:rsidP="000E4D56">
      <w:pPr>
        <w:pStyle w:val="ODNONIKtreodnonika"/>
        <w:rPr>
          <w:szCs w:val="24"/>
        </w:rPr>
      </w:pPr>
      <w:r>
        <w:rPr>
          <w:rStyle w:val="Odwoanieprzypisudolnego"/>
        </w:rPr>
        <w:footnoteRef/>
      </w:r>
      <w:r w:rsidRPr="00A42B56">
        <w:rPr>
          <w:vertAlign w:val="superscript"/>
        </w:rPr>
        <w:t>)</w:t>
      </w:r>
      <w:r w:rsidR="00896F7A">
        <w:tab/>
      </w:r>
      <w:r w:rsidRPr="00FF4183">
        <w:t>Niniejsza ustawa w zakresie swojej regulacji dokonuje częściowego wdrożenia dyrektywy Parlamentu Europejskiego i Rady 2011/93/UE z dnia 13 grudnia 2011 r. w sprawie zwalczania niegodziwego traktowania w celach seksualnych i wykorzystywania seksualnego dzieci oraz pornografii dziecięcej, zastępującej decyzję ramową Rady 2004/68/</w:t>
      </w:r>
      <w:proofErr w:type="spellStart"/>
      <w:r w:rsidRPr="00FF4183">
        <w:t>WSiSW</w:t>
      </w:r>
      <w:proofErr w:type="spellEnd"/>
      <w:r w:rsidRPr="00FF4183">
        <w:t xml:space="preserve"> (Dz. Urz. UE L 335 z 17.12.2011, str. 1 oraz </w:t>
      </w:r>
      <w:r>
        <w:t xml:space="preserve">Dz. Urz. UE </w:t>
      </w:r>
      <w:r w:rsidRPr="00FF4183">
        <w:t>L 18 z 21.01.2012, str. 7) oraz wdrożenia dyrektywy Parlamentu Europejskiego i Rady (UE) 2016/800 z dnia 11 maja 2016 r.</w:t>
      </w:r>
      <w:r w:rsidR="00DB3734">
        <w:t xml:space="preserve"> w </w:t>
      </w:r>
      <w:r w:rsidRPr="00FF4183">
        <w:t>sprawie gwarancji procesowych dla dzieci będących podejrzanymi lub oskarżonymi w postępowaniu karnym (Dz. Urz. UE L 132 z 21.05.2016, str. 1)</w:t>
      </w:r>
      <w:r w:rsidRPr="00BF0998">
        <w:rPr>
          <w:szCs w:val="24"/>
        </w:rPr>
        <w:t>.</w:t>
      </w:r>
    </w:p>
  </w:footnote>
  <w:footnote w:id="2">
    <w:p w14:paraId="756A052D" w14:textId="11009DD7" w:rsidR="002457DC" w:rsidRPr="004F1AC6" w:rsidRDefault="002457DC" w:rsidP="000E4D56">
      <w:pPr>
        <w:pStyle w:val="ODNONIKtreodnonika"/>
      </w:pPr>
      <w:r w:rsidRPr="00315E60">
        <w:rPr>
          <w:rStyle w:val="Odwoanieprzypisudolnego"/>
        </w:rPr>
        <w:footnoteRef/>
      </w:r>
      <w:r w:rsidRPr="00315E60">
        <w:rPr>
          <w:vertAlign w:val="superscript"/>
        </w:rPr>
        <w:t>)</w:t>
      </w:r>
      <w:r w:rsidR="00896F7A">
        <w:tab/>
      </w:r>
      <w:r w:rsidRPr="004F1AC6">
        <w:t>Niniejszą ustawą zmienia się ustawy: ustawę z dnia 6 czerwca 1997 r. – Kodeks karny, ustawę z dnia 6 czerwca 1997 r. – Kodeks karny wykonawczy, ustawę z dnia 10 września 1999 r. – Kodeks karny skarbowy</w:t>
      </w:r>
      <w:r w:rsidR="00787FEC">
        <w:t xml:space="preserve"> oraz</w:t>
      </w:r>
      <w:r>
        <w:t xml:space="preserve"> </w:t>
      </w:r>
      <w:r w:rsidRPr="00194295">
        <w:t>ustaw</w:t>
      </w:r>
      <w:r>
        <w:t>ę</w:t>
      </w:r>
      <w:r w:rsidR="00DB3734">
        <w:t xml:space="preserve"> z </w:t>
      </w:r>
      <w:r w:rsidRPr="00194295">
        <w:t>dnia 9 czerwca 2011 r. o wspieraniu rodziny i systemie pieczy zastępczej</w:t>
      </w:r>
      <w:r>
        <w:t>.</w:t>
      </w:r>
    </w:p>
  </w:footnote>
  <w:footnote w:id="3">
    <w:p w14:paraId="7F558090" w14:textId="7B0D9395" w:rsidR="002457DC" w:rsidRDefault="002457DC" w:rsidP="000E4D56">
      <w:pPr>
        <w:pStyle w:val="ODNONIKtreodnonika"/>
      </w:pPr>
      <w:r>
        <w:rPr>
          <w:rStyle w:val="Odwoanieprzypisudolnego"/>
        </w:rPr>
        <w:footnoteRef/>
      </w:r>
      <w:r>
        <w:rPr>
          <w:vertAlign w:val="superscript"/>
        </w:rPr>
        <w:t>)</w:t>
      </w:r>
      <w:r w:rsidR="004B18C5">
        <w:tab/>
      </w:r>
      <w:r>
        <w:t>Zmiany tekstu jednolitego wymienionej ustawy zostały ogłoszone w Dz. U. z 2021 r. poz. 472, 1236 i 2054 oraz z 2022 r. poz. 22, 655, 1855 i 2600.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D3C59" w14:textId="69652D63"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841E7">
      <w:rPr>
        <w:noProof/>
      </w:rPr>
      <w:t>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D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4D08"/>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0CC"/>
    <w:rsid w:val="000E25CC"/>
    <w:rsid w:val="000E3694"/>
    <w:rsid w:val="000E490F"/>
    <w:rsid w:val="000E4D56"/>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30D3"/>
    <w:rsid w:val="002166AD"/>
    <w:rsid w:val="00217871"/>
    <w:rsid w:val="00221ED8"/>
    <w:rsid w:val="002231EA"/>
    <w:rsid w:val="00223FDF"/>
    <w:rsid w:val="002279C0"/>
    <w:rsid w:val="0023727E"/>
    <w:rsid w:val="00242081"/>
    <w:rsid w:val="00243777"/>
    <w:rsid w:val="002441CD"/>
    <w:rsid w:val="002457DC"/>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1AD"/>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41E7"/>
    <w:rsid w:val="00485FAD"/>
    <w:rsid w:val="00487AED"/>
    <w:rsid w:val="00491EDF"/>
    <w:rsid w:val="00492A3F"/>
    <w:rsid w:val="00494F62"/>
    <w:rsid w:val="004A2001"/>
    <w:rsid w:val="004A3590"/>
    <w:rsid w:val="004B00A7"/>
    <w:rsid w:val="004B18C5"/>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0CE"/>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0FAD"/>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2AE"/>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C3E"/>
    <w:rsid w:val="00681F9F"/>
    <w:rsid w:val="006840EA"/>
    <w:rsid w:val="006844E2"/>
    <w:rsid w:val="00685267"/>
    <w:rsid w:val="006872AE"/>
    <w:rsid w:val="00690082"/>
    <w:rsid w:val="00690252"/>
    <w:rsid w:val="006930BB"/>
    <w:rsid w:val="006946BB"/>
    <w:rsid w:val="006969FA"/>
    <w:rsid w:val="006A35D5"/>
    <w:rsid w:val="006A418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FEC"/>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900"/>
    <w:rsid w:val="007F2EB6"/>
    <w:rsid w:val="007F4DE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477B2"/>
    <w:rsid w:val="00850C9D"/>
    <w:rsid w:val="00852B59"/>
    <w:rsid w:val="00856272"/>
    <w:rsid w:val="008563FF"/>
    <w:rsid w:val="0086018B"/>
    <w:rsid w:val="008611DD"/>
    <w:rsid w:val="008620DE"/>
    <w:rsid w:val="00866867"/>
    <w:rsid w:val="00867781"/>
    <w:rsid w:val="00872257"/>
    <w:rsid w:val="008753E6"/>
    <w:rsid w:val="0087738C"/>
    <w:rsid w:val="008802AF"/>
    <w:rsid w:val="00881926"/>
    <w:rsid w:val="0088318F"/>
    <w:rsid w:val="0088331D"/>
    <w:rsid w:val="008852B0"/>
    <w:rsid w:val="00885AE7"/>
    <w:rsid w:val="00886B60"/>
    <w:rsid w:val="00887889"/>
    <w:rsid w:val="00891570"/>
    <w:rsid w:val="00891943"/>
    <w:rsid w:val="008920FF"/>
    <w:rsid w:val="008926E8"/>
    <w:rsid w:val="00894F19"/>
    <w:rsid w:val="00896A10"/>
    <w:rsid w:val="00896F7A"/>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77A1"/>
    <w:rsid w:val="008E171D"/>
    <w:rsid w:val="008E2785"/>
    <w:rsid w:val="008E78A3"/>
    <w:rsid w:val="008F0654"/>
    <w:rsid w:val="008F06CB"/>
    <w:rsid w:val="008F2E83"/>
    <w:rsid w:val="008F612A"/>
    <w:rsid w:val="0090293D"/>
    <w:rsid w:val="009034DE"/>
    <w:rsid w:val="00905396"/>
    <w:rsid w:val="009053B4"/>
    <w:rsid w:val="00905FFF"/>
    <w:rsid w:val="0090605D"/>
    <w:rsid w:val="00906419"/>
    <w:rsid w:val="00912889"/>
    <w:rsid w:val="00913A42"/>
    <w:rsid w:val="00914167"/>
    <w:rsid w:val="009143DB"/>
    <w:rsid w:val="00915065"/>
    <w:rsid w:val="00917CE5"/>
    <w:rsid w:val="009217C0"/>
    <w:rsid w:val="00922071"/>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AE"/>
    <w:rsid w:val="00A638DA"/>
    <w:rsid w:val="00A65B41"/>
    <w:rsid w:val="00A65E00"/>
    <w:rsid w:val="00A66A78"/>
    <w:rsid w:val="00A7436E"/>
    <w:rsid w:val="00A74E96"/>
    <w:rsid w:val="00A75A8E"/>
    <w:rsid w:val="00A824DD"/>
    <w:rsid w:val="00A83676"/>
    <w:rsid w:val="00A83B7B"/>
    <w:rsid w:val="00A84274"/>
    <w:rsid w:val="00A850F3"/>
    <w:rsid w:val="00A864E3"/>
    <w:rsid w:val="00A92FB2"/>
    <w:rsid w:val="00A94574"/>
    <w:rsid w:val="00A95936"/>
    <w:rsid w:val="00A96265"/>
    <w:rsid w:val="00A97084"/>
    <w:rsid w:val="00AA1C2C"/>
    <w:rsid w:val="00AA35F6"/>
    <w:rsid w:val="00AA54AB"/>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36E9"/>
    <w:rsid w:val="00AF4CAA"/>
    <w:rsid w:val="00AF571A"/>
    <w:rsid w:val="00AF60A0"/>
    <w:rsid w:val="00AF67FC"/>
    <w:rsid w:val="00AF7DF5"/>
    <w:rsid w:val="00B006E5"/>
    <w:rsid w:val="00B024C2"/>
    <w:rsid w:val="00B07700"/>
    <w:rsid w:val="00B13921"/>
    <w:rsid w:val="00B1528C"/>
    <w:rsid w:val="00B16ACD"/>
    <w:rsid w:val="00B21215"/>
    <w:rsid w:val="00B21487"/>
    <w:rsid w:val="00B232D1"/>
    <w:rsid w:val="00B24DB5"/>
    <w:rsid w:val="00B31F9E"/>
    <w:rsid w:val="00B3268F"/>
    <w:rsid w:val="00B32C2C"/>
    <w:rsid w:val="00B33A1A"/>
    <w:rsid w:val="00B33E6C"/>
    <w:rsid w:val="00B37167"/>
    <w:rsid w:val="00B371CC"/>
    <w:rsid w:val="00B41CD9"/>
    <w:rsid w:val="00B427E6"/>
    <w:rsid w:val="00B428A6"/>
    <w:rsid w:val="00B43E1F"/>
    <w:rsid w:val="00B45FBC"/>
    <w:rsid w:val="00B51A7D"/>
    <w:rsid w:val="00B535C2"/>
    <w:rsid w:val="00B55544"/>
    <w:rsid w:val="00B6266D"/>
    <w:rsid w:val="00B642FC"/>
    <w:rsid w:val="00B64D26"/>
    <w:rsid w:val="00B64FBB"/>
    <w:rsid w:val="00B70E22"/>
    <w:rsid w:val="00B774CB"/>
    <w:rsid w:val="00B80402"/>
    <w:rsid w:val="00B80B9A"/>
    <w:rsid w:val="00B830B7"/>
    <w:rsid w:val="00B848EA"/>
    <w:rsid w:val="00B84B2B"/>
    <w:rsid w:val="00B90500"/>
    <w:rsid w:val="00B9176C"/>
    <w:rsid w:val="00B935A4"/>
    <w:rsid w:val="00BA4990"/>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7DD"/>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3F01"/>
    <w:rsid w:val="00C76417"/>
    <w:rsid w:val="00C7726F"/>
    <w:rsid w:val="00C823DA"/>
    <w:rsid w:val="00C8259F"/>
    <w:rsid w:val="00C82746"/>
    <w:rsid w:val="00C8312F"/>
    <w:rsid w:val="00C84C47"/>
    <w:rsid w:val="00C858A4"/>
    <w:rsid w:val="00C86AFA"/>
    <w:rsid w:val="00CB1563"/>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1F3D"/>
    <w:rsid w:val="00CF4813"/>
    <w:rsid w:val="00CF5233"/>
    <w:rsid w:val="00CF7545"/>
    <w:rsid w:val="00D029B8"/>
    <w:rsid w:val="00D02F60"/>
    <w:rsid w:val="00D0464E"/>
    <w:rsid w:val="00D04A96"/>
    <w:rsid w:val="00D07A7B"/>
    <w:rsid w:val="00D10E06"/>
    <w:rsid w:val="00D13052"/>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53E7"/>
    <w:rsid w:val="00D90E69"/>
    <w:rsid w:val="00D91368"/>
    <w:rsid w:val="00D93106"/>
    <w:rsid w:val="00D933E9"/>
    <w:rsid w:val="00D9505D"/>
    <w:rsid w:val="00D953D0"/>
    <w:rsid w:val="00D959F5"/>
    <w:rsid w:val="00D96884"/>
    <w:rsid w:val="00DA3FDD"/>
    <w:rsid w:val="00DA592F"/>
    <w:rsid w:val="00DA7017"/>
    <w:rsid w:val="00DA7028"/>
    <w:rsid w:val="00DB1AD2"/>
    <w:rsid w:val="00DB2B58"/>
    <w:rsid w:val="00DB3734"/>
    <w:rsid w:val="00DB5206"/>
    <w:rsid w:val="00DB6276"/>
    <w:rsid w:val="00DB63F5"/>
    <w:rsid w:val="00DC1C6B"/>
    <w:rsid w:val="00DC2C2E"/>
    <w:rsid w:val="00DC4AF0"/>
    <w:rsid w:val="00DC7886"/>
    <w:rsid w:val="00DD0CF2"/>
    <w:rsid w:val="00DD5732"/>
    <w:rsid w:val="00DE1554"/>
    <w:rsid w:val="00DE2901"/>
    <w:rsid w:val="00DE590F"/>
    <w:rsid w:val="00DE7DC1"/>
    <w:rsid w:val="00DF3F7E"/>
    <w:rsid w:val="00DF7648"/>
    <w:rsid w:val="00E00E29"/>
    <w:rsid w:val="00E02BAB"/>
    <w:rsid w:val="00E04CEB"/>
    <w:rsid w:val="00E060BC"/>
    <w:rsid w:val="00E07C9D"/>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941"/>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5B559"/>
  <w15:docId w15:val="{05A7D3BB-43D8-4C8C-A0BB-3062768D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36E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DD5732"/>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3B6D00-D98F-4F2F-9CFB-7BFF478F5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6</Pages>
  <Words>1858</Words>
  <Characters>10100</Characters>
  <Application>Microsoft Office Word</Application>
  <DocSecurity>0</DocSecurity>
  <Lines>84</Lines>
  <Paragraphs>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3</cp:revision>
  <cp:lastPrinted>2012-04-23T06:39:00Z</cp:lastPrinted>
  <dcterms:created xsi:type="dcterms:W3CDTF">2023-01-11T07:35:00Z</dcterms:created>
  <dcterms:modified xsi:type="dcterms:W3CDTF">2023-01-11T07:45:00Z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