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8B7A9" w14:textId="77777777" w:rsidR="00676D9C" w:rsidRPr="00676D9C" w:rsidRDefault="00676D9C" w:rsidP="00601B9F">
      <w:pPr>
        <w:pStyle w:val="NIEARTTEKSTtekstnieartykuowanynppodstprawnarozplubpreambua"/>
        <w:spacing w:before="0" w:after="240"/>
        <w:ind w:firstLine="0"/>
        <w:jc w:val="center"/>
        <w:rPr>
          <w:rFonts w:ascii="Times New Roman" w:hAnsi="Times New Roman" w:cs="Times New Roman"/>
          <w:szCs w:val="24"/>
        </w:rPr>
      </w:pPr>
      <w:r w:rsidRPr="00676D9C">
        <w:rPr>
          <w:rFonts w:ascii="Times New Roman" w:hAnsi="Times New Roman" w:cs="Times New Roman"/>
          <w:bCs w:val="0"/>
          <w:szCs w:val="24"/>
        </w:rPr>
        <w:t xml:space="preserve">UZASADNIENIE </w:t>
      </w:r>
    </w:p>
    <w:p w14:paraId="344A9CFF" w14:textId="77777777" w:rsidR="00676D9C" w:rsidRPr="00C470D1" w:rsidRDefault="00676D9C" w:rsidP="00C470D1">
      <w:pPr>
        <w:pStyle w:val="NIEARTTEKSTtekstnieartykuowanynppodstprawnarozplubpreambua"/>
        <w:ind w:firstLine="0"/>
        <w:rPr>
          <w:rFonts w:ascii="Times New Roman" w:hAnsi="Times New Roman" w:cs="Times New Roman"/>
          <w:szCs w:val="24"/>
          <w:u w:val="single"/>
        </w:rPr>
      </w:pPr>
      <w:r w:rsidRPr="00676D9C">
        <w:rPr>
          <w:rFonts w:ascii="Times New Roman" w:hAnsi="Times New Roman" w:cs="Times New Roman"/>
          <w:szCs w:val="24"/>
          <w:u w:val="single"/>
        </w:rPr>
        <w:t xml:space="preserve">Zakres i cel projektu </w:t>
      </w:r>
    </w:p>
    <w:p w14:paraId="2D75AADE" w14:textId="46AA25E6" w:rsidR="00676D9C" w:rsidRPr="00676D9C" w:rsidRDefault="00676D9C" w:rsidP="00601B9F">
      <w:pPr>
        <w:pStyle w:val="NIEARTTEKSTtekstnieartykuowanynppodstprawnarozplubpreambua"/>
        <w:ind w:firstLine="0"/>
        <w:rPr>
          <w:rFonts w:ascii="Times New Roman" w:hAnsi="Times New Roman" w:cs="Times New Roman"/>
          <w:szCs w:val="24"/>
        </w:rPr>
      </w:pPr>
      <w:r w:rsidRPr="00191EB8">
        <w:rPr>
          <w:rFonts w:ascii="Times New Roman" w:hAnsi="Times New Roman" w:cs="Times New Roman"/>
          <w:szCs w:val="24"/>
        </w:rPr>
        <w:t>Projektowana ustawa stanowi uzupełniające wdrożenie przepisów dyrektywy Parlamentu Europejskiego i Rady (UE) 2016/800 z dnia 11 maja 2016 r. w sprawie gwarancji procesowych dla dzieci będących podejrzanymi lub oskarżonymi w postępowa</w:t>
      </w:r>
      <w:r w:rsidRPr="00676D9C">
        <w:rPr>
          <w:rFonts w:ascii="Times New Roman" w:hAnsi="Times New Roman" w:cs="Times New Roman"/>
          <w:szCs w:val="24"/>
        </w:rPr>
        <w:t>niu karnym (w dalszej części – „dyrektywa 2016/800”) oraz dyrektywy Parlamentu Europejskiego i Rady 2011/93/UE z dnia 13 grudnia 2011 r. w sprawie zwalczania niegodziwego tra</w:t>
      </w:r>
      <w:r w:rsidR="00C612FE">
        <w:rPr>
          <w:rFonts w:ascii="Times New Roman" w:hAnsi="Times New Roman" w:cs="Times New Roman"/>
          <w:szCs w:val="24"/>
        </w:rPr>
        <w:t>ktowania w celach seksualnych i </w:t>
      </w:r>
      <w:r w:rsidRPr="00676D9C">
        <w:rPr>
          <w:rFonts w:ascii="Times New Roman" w:hAnsi="Times New Roman" w:cs="Times New Roman"/>
          <w:szCs w:val="24"/>
        </w:rPr>
        <w:t>wykorzystywania seksualnego dzieci oraz pornografii dziecięcej, zastępującej decyzję ramową Rady 2004/68/</w:t>
      </w:r>
      <w:proofErr w:type="spellStart"/>
      <w:r w:rsidRPr="00676D9C">
        <w:rPr>
          <w:rFonts w:ascii="Times New Roman" w:hAnsi="Times New Roman" w:cs="Times New Roman"/>
          <w:szCs w:val="24"/>
        </w:rPr>
        <w:t>WSiSW</w:t>
      </w:r>
      <w:proofErr w:type="spellEnd"/>
      <w:r w:rsidRPr="00676D9C">
        <w:rPr>
          <w:rFonts w:ascii="Times New Roman" w:hAnsi="Times New Roman" w:cs="Times New Roman"/>
          <w:szCs w:val="24"/>
        </w:rPr>
        <w:t xml:space="preserve"> (w dalszej części – „dyrektywa 2011/93”). Zmiana ta ma również na celu uwzględnienie wniosku Komisji Europejskiej skierowanego w ramach procedury </w:t>
      </w:r>
      <w:proofErr w:type="spellStart"/>
      <w:r w:rsidRPr="00676D9C">
        <w:rPr>
          <w:rFonts w:ascii="Times New Roman" w:hAnsi="Times New Roman" w:cs="Times New Roman"/>
          <w:szCs w:val="24"/>
        </w:rPr>
        <w:t>naruszeniowej</w:t>
      </w:r>
      <w:proofErr w:type="spellEnd"/>
      <w:r w:rsidRPr="00676D9C">
        <w:rPr>
          <w:rFonts w:ascii="Times New Roman" w:hAnsi="Times New Roman" w:cs="Times New Roman"/>
          <w:szCs w:val="24"/>
        </w:rPr>
        <w:t xml:space="preserve"> (uchybienie nr 2019/2238) dotyczącej niepełnego wdrożenia dyrektywy 2011/93.</w:t>
      </w:r>
    </w:p>
    <w:p w14:paraId="1628E463" w14:textId="638F3A31" w:rsidR="00676D9C" w:rsidRPr="00191EB8" w:rsidRDefault="00676D9C" w:rsidP="00601B9F">
      <w:pPr>
        <w:pStyle w:val="NIEARTTEKSTtekstnieartykuowanynppodstprawnarozplubpreambua"/>
        <w:ind w:firstLine="0"/>
        <w:rPr>
          <w:rFonts w:ascii="Times New Roman" w:hAnsi="Times New Roman" w:cs="Times New Roman"/>
          <w:szCs w:val="24"/>
        </w:rPr>
      </w:pPr>
      <w:r w:rsidRPr="00676D9C">
        <w:rPr>
          <w:rFonts w:ascii="Times New Roman" w:hAnsi="Times New Roman" w:cs="Times New Roman"/>
          <w:szCs w:val="24"/>
        </w:rPr>
        <w:t xml:space="preserve">W tym celu projekt ustawy przewiduje wprowadzenie zmian </w:t>
      </w:r>
      <w:r w:rsidR="00551951">
        <w:rPr>
          <w:rFonts w:ascii="Times New Roman" w:hAnsi="Times New Roman" w:cs="Times New Roman"/>
          <w:szCs w:val="24"/>
        </w:rPr>
        <w:t>do ustawy z dnia 6 czerwca 1997 </w:t>
      </w:r>
      <w:r w:rsidRPr="00676D9C">
        <w:rPr>
          <w:rFonts w:ascii="Times New Roman" w:hAnsi="Times New Roman" w:cs="Times New Roman"/>
          <w:szCs w:val="24"/>
        </w:rPr>
        <w:t xml:space="preserve">r. – Kodeks postępowania karnego (Dz. U. z 2022 r. poz. 1375, 1855, 2582 i 2600), dalej: „k.p.k.”, </w:t>
      </w:r>
      <w:r w:rsidRPr="00601B9F">
        <w:rPr>
          <w:rFonts w:ascii="Times New Roman" w:hAnsi="Times New Roman" w:cs="Times New Roman"/>
        </w:rPr>
        <w:t xml:space="preserve">ustawy z dnia 6 czerwca 1997 r. – Kodeks karny (Dz. U. z 2022 r. poz. 1138, 1726, 1855, 2339 i 2600), dalej: „k.k.”, </w:t>
      </w:r>
      <w:r w:rsidRPr="00676D9C">
        <w:rPr>
          <w:rFonts w:ascii="Times New Roman" w:hAnsi="Times New Roman" w:cs="Times New Roman"/>
          <w:szCs w:val="24"/>
        </w:rPr>
        <w:t xml:space="preserve">ustawy z dnia 6 czerwca 1997 r. – Kodeks karny wykonawczy (Dz. U. z 2021 r. </w:t>
      </w:r>
      <w:r w:rsidRPr="00C470D1">
        <w:rPr>
          <w:rFonts w:ascii="Times New Roman" w:hAnsi="Times New Roman" w:cs="Times New Roman"/>
          <w:szCs w:val="24"/>
        </w:rPr>
        <w:t>poz. 53</w:t>
      </w:r>
      <w:r w:rsidRPr="00191EB8">
        <w:rPr>
          <w:rFonts w:ascii="Times New Roman" w:hAnsi="Times New Roman" w:cs="Times New Roman"/>
          <w:szCs w:val="24"/>
        </w:rPr>
        <w:t xml:space="preserve">, z </w:t>
      </w:r>
      <w:proofErr w:type="spellStart"/>
      <w:r w:rsidRPr="00191EB8">
        <w:rPr>
          <w:rFonts w:ascii="Times New Roman" w:hAnsi="Times New Roman" w:cs="Times New Roman"/>
          <w:szCs w:val="24"/>
        </w:rPr>
        <w:t>późn</w:t>
      </w:r>
      <w:proofErr w:type="spellEnd"/>
      <w:r w:rsidRPr="00191EB8">
        <w:rPr>
          <w:rFonts w:ascii="Times New Roman" w:hAnsi="Times New Roman" w:cs="Times New Roman"/>
          <w:szCs w:val="24"/>
        </w:rPr>
        <w:t>. zm.), dalej: „</w:t>
      </w:r>
      <w:proofErr w:type="spellStart"/>
      <w:r w:rsidRPr="00191EB8">
        <w:rPr>
          <w:rFonts w:ascii="Times New Roman" w:hAnsi="Times New Roman" w:cs="Times New Roman"/>
          <w:szCs w:val="24"/>
        </w:rPr>
        <w:t>k.k.w</w:t>
      </w:r>
      <w:proofErr w:type="spellEnd"/>
      <w:r w:rsidRPr="00191EB8">
        <w:rPr>
          <w:rFonts w:ascii="Times New Roman" w:hAnsi="Times New Roman" w:cs="Times New Roman"/>
          <w:szCs w:val="24"/>
        </w:rPr>
        <w:t xml:space="preserve">.”, </w:t>
      </w:r>
      <w:r w:rsidRPr="00601B9F">
        <w:rPr>
          <w:rFonts w:ascii="Times New Roman" w:hAnsi="Times New Roman" w:cs="Times New Roman"/>
        </w:rPr>
        <w:t>ustawy z dnia 10 września 1999 r. – Kodeks karny skarbowy (Dz. U. z 2022 r. poz. 859 i 1301), dalej: „</w:t>
      </w:r>
      <w:proofErr w:type="spellStart"/>
      <w:r w:rsidRPr="00601B9F">
        <w:rPr>
          <w:rFonts w:ascii="Times New Roman" w:hAnsi="Times New Roman" w:cs="Times New Roman"/>
        </w:rPr>
        <w:t>k.k.s</w:t>
      </w:r>
      <w:proofErr w:type="spellEnd"/>
      <w:r w:rsidRPr="00601B9F">
        <w:rPr>
          <w:rFonts w:ascii="Times New Roman" w:hAnsi="Times New Roman" w:cs="Times New Roman"/>
        </w:rPr>
        <w:t>.”</w:t>
      </w:r>
      <w:r w:rsidR="00263BF7">
        <w:rPr>
          <w:rFonts w:ascii="Times New Roman" w:hAnsi="Times New Roman" w:cs="Times New Roman"/>
        </w:rPr>
        <w:t>,</w:t>
      </w:r>
      <w:r w:rsidRPr="00601B9F">
        <w:rPr>
          <w:rFonts w:ascii="Times New Roman" w:hAnsi="Times New Roman" w:cs="Times New Roman"/>
        </w:rPr>
        <w:t xml:space="preserve"> </w:t>
      </w:r>
      <w:bookmarkStart w:id="0" w:name="_Hlk92204214"/>
      <w:r w:rsidR="00551951">
        <w:rPr>
          <w:rFonts w:ascii="Times New Roman" w:hAnsi="Times New Roman" w:cs="Times New Roman"/>
        </w:rPr>
        <w:t>oraz ustawy z dnia 9 czerwca 2011 </w:t>
      </w:r>
      <w:r w:rsidRPr="00601B9F">
        <w:rPr>
          <w:rFonts w:ascii="Times New Roman" w:hAnsi="Times New Roman" w:cs="Times New Roman"/>
        </w:rPr>
        <w:t xml:space="preserve">r. </w:t>
      </w:r>
      <w:r w:rsidRPr="00676D9C">
        <w:rPr>
          <w:rFonts w:ascii="Times New Roman" w:hAnsi="Times New Roman" w:cs="Times New Roman"/>
          <w:szCs w:val="24"/>
        </w:rPr>
        <w:t xml:space="preserve">o wspieraniu rodziny i systemie pieczy zastępczej </w:t>
      </w:r>
      <w:bookmarkEnd w:id="0"/>
      <w:r w:rsidRPr="00676D9C">
        <w:rPr>
          <w:rFonts w:ascii="Times New Roman" w:hAnsi="Times New Roman" w:cs="Times New Roman"/>
          <w:szCs w:val="24"/>
        </w:rPr>
        <w:t xml:space="preserve">(Dz. U. z 2022 r. poz. 447, </w:t>
      </w:r>
      <w:r w:rsidRPr="00C470D1">
        <w:rPr>
          <w:rFonts w:ascii="Times New Roman" w:hAnsi="Times New Roman" w:cs="Times New Roman"/>
          <w:szCs w:val="24"/>
        </w:rPr>
        <w:t>1700</w:t>
      </w:r>
      <w:r w:rsidR="00551951">
        <w:rPr>
          <w:rFonts w:ascii="Times New Roman" w:hAnsi="Times New Roman" w:cs="Times New Roman"/>
          <w:szCs w:val="24"/>
        </w:rPr>
        <w:t xml:space="preserve"> i </w:t>
      </w:r>
      <w:r w:rsidRPr="00191EB8">
        <w:rPr>
          <w:rFonts w:ascii="Times New Roman" w:hAnsi="Times New Roman" w:cs="Times New Roman"/>
          <w:szCs w:val="24"/>
        </w:rPr>
        <w:t xml:space="preserve">2140). </w:t>
      </w:r>
    </w:p>
    <w:p w14:paraId="39CE665C" w14:textId="1B4D1DC8" w:rsidR="00676D9C" w:rsidRPr="00676D9C" w:rsidRDefault="00676D9C" w:rsidP="00601B9F">
      <w:pPr>
        <w:pStyle w:val="NIEARTTEKSTtekstnieartykuowanynppodstprawnarozplubpreambua"/>
        <w:ind w:firstLine="0"/>
        <w:rPr>
          <w:rFonts w:ascii="Times New Roman" w:hAnsi="Times New Roman" w:cs="Times New Roman"/>
          <w:szCs w:val="24"/>
        </w:rPr>
      </w:pPr>
      <w:r w:rsidRPr="00676D9C">
        <w:rPr>
          <w:rFonts w:ascii="Times New Roman" w:hAnsi="Times New Roman" w:cs="Times New Roman"/>
          <w:szCs w:val="24"/>
        </w:rPr>
        <w:t>Zmiany w k.p.k</w:t>
      </w:r>
      <w:r w:rsidR="00BB57E7">
        <w:rPr>
          <w:rFonts w:ascii="Times New Roman" w:hAnsi="Times New Roman" w:cs="Times New Roman"/>
          <w:szCs w:val="24"/>
        </w:rPr>
        <w:t>.</w:t>
      </w:r>
      <w:r w:rsidRPr="00676D9C">
        <w:rPr>
          <w:rFonts w:ascii="Times New Roman" w:hAnsi="Times New Roman" w:cs="Times New Roman"/>
          <w:szCs w:val="24"/>
        </w:rPr>
        <w:t xml:space="preserve"> i </w:t>
      </w:r>
      <w:proofErr w:type="spellStart"/>
      <w:r w:rsidRPr="00676D9C">
        <w:rPr>
          <w:rFonts w:ascii="Times New Roman" w:hAnsi="Times New Roman" w:cs="Times New Roman"/>
          <w:szCs w:val="24"/>
        </w:rPr>
        <w:t>k.k.w</w:t>
      </w:r>
      <w:proofErr w:type="spellEnd"/>
      <w:r w:rsidRPr="00676D9C">
        <w:rPr>
          <w:rFonts w:ascii="Times New Roman" w:hAnsi="Times New Roman" w:cs="Times New Roman"/>
          <w:szCs w:val="24"/>
        </w:rPr>
        <w:t xml:space="preserve">. zmierzają do uściślenia i doprecyzowania obowiązujących przepisów odnoszących się do gwarancji procesowych przysługujących podejrzanym i oskarżonym, którzy nie ukończyli 18 lat. Zmiany w k.k. </w:t>
      </w:r>
      <w:r w:rsidR="00BB57E7" w:rsidRPr="00676D9C">
        <w:rPr>
          <w:rFonts w:ascii="Times New Roman" w:hAnsi="Times New Roman" w:cs="Times New Roman"/>
          <w:szCs w:val="24"/>
        </w:rPr>
        <w:t xml:space="preserve">są </w:t>
      </w:r>
      <w:r w:rsidRPr="00676D9C">
        <w:rPr>
          <w:rFonts w:ascii="Times New Roman" w:hAnsi="Times New Roman" w:cs="Times New Roman"/>
          <w:szCs w:val="24"/>
        </w:rPr>
        <w:t>wymierzone w osoby dopuszczające się seksualnego wykorzystywania lub niegodziwego traktowania w celach seksualnych małoletnich.</w:t>
      </w:r>
    </w:p>
    <w:p w14:paraId="3E399A55" w14:textId="77777777" w:rsidR="00676D9C" w:rsidRPr="00676D9C" w:rsidRDefault="00676D9C" w:rsidP="00601B9F">
      <w:pPr>
        <w:pStyle w:val="NIEARTTEKSTtekstnieartykuowanynppodstprawnarozplubpreambua"/>
        <w:ind w:firstLine="0"/>
        <w:rPr>
          <w:rFonts w:ascii="Times New Roman" w:hAnsi="Times New Roman" w:cs="Times New Roman"/>
          <w:szCs w:val="24"/>
        </w:rPr>
      </w:pPr>
      <w:r w:rsidRPr="00676D9C">
        <w:rPr>
          <w:rFonts w:ascii="Times New Roman" w:hAnsi="Times New Roman" w:cs="Times New Roman"/>
          <w:szCs w:val="24"/>
        </w:rPr>
        <w:t xml:space="preserve">Ponadto w k.p.k. i. </w:t>
      </w:r>
      <w:proofErr w:type="spellStart"/>
      <w:r w:rsidRPr="00676D9C">
        <w:rPr>
          <w:rFonts w:ascii="Times New Roman" w:hAnsi="Times New Roman" w:cs="Times New Roman"/>
          <w:szCs w:val="24"/>
        </w:rPr>
        <w:t>k.k.s</w:t>
      </w:r>
      <w:proofErr w:type="spellEnd"/>
      <w:r w:rsidRPr="00676D9C">
        <w:rPr>
          <w:rFonts w:ascii="Times New Roman" w:hAnsi="Times New Roman" w:cs="Times New Roman"/>
          <w:szCs w:val="24"/>
        </w:rPr>
        <w:t xml:space="preserve">. przewiduje się zmiany w odnośnikach objaśniających relacje tych ustaw do obowiązków implementacyjnych wynikających z prawa Unii Europejskiej. </w:t>
      </w:r>
    </w:p>
    <w:p w14:paraId="42E29096" w14:textId="6BBAA4BB" w:rsidR="00676D9C" w:rsidRPr="00676D9C" w:rsidRDefault="00676D9C" w:rsidP="00601B9F">
      <w:pPr>
        <w:pStyle w:val="NIEARTTEKSTtekstnieartykuowanynppodstprawnarozplubpreambua"/>
        <w:ind w:firstLine="0"/>
        <w:rPr>
          <w:rFonts w:ascii="Times New Roman" w:hAnsi="Times New Roman" w:cs="Times New Roman"/>
          <w:szCs w:val="24"/>
        </w:rPr>
      </w:pPr>
      <w:r w:rsidRPr="00676D9C">
        <w:rPr>
          <w:rFonts w:ascii="Times New Roman" w:hAnsi="Times New Roman" w:cs="Times New Roman"/>
          <w:szCs w:val="24"/>
        </w:rPr>
        <w:t xml:space="preserve">Zmiana w ustawie z dnia 9 czerwca 2011 r. o wspieraniu rodziny i systemie pieczy zastępczej wynika natomiast z potrzeby dodania nowego zadania dla asystenta rodziny </w:t>
      </w:r>
      <w:r w:rsidR="0079676B">
        <w:rPr>
          <w:rFonts w:ascii="Times New Roman" w:hAnsi="Times New Roman" w:cs="Times New Roman"/>
          <w:szCs w:val="24"/>
        </w:rPr>
        <w:t>polegającego na</w:t>
      </w:r>
      <w:r w:rsidRPr="00676D9C">
        <w:rPr>
          <w:rFonts w:ascii="Times New Roman" w:hAnsi="Times New Roman" w:cs="Times New Roman"/>
          <w:szCs w:val="24"/>
        </w:rPr>
        <w:t xml:space="preserve"> towarzysz</w:t>
      </w:r>
      <w:r w:rsidR="0079676B">
        <w:rPr>
          <w:rFonts w:ascii="Times New Roman" w:hAnsi="Times New Roman" w:cs="Times New Roman"/>
          <w:szCs w:val="24"/>
        </w:rPr>
        <w:t>eniu</w:t>
      </w:r>
      <w:r w:rsidRPr="00676D9C">
        <w:rPr>
          <w:rFonts w:ascii="Times New Roman" w:hAnsi="Times New Roman" w:cs="Times New Roman"/>
          <w:szCs w:val="24"/>
        </w:rPr>
        <w:t xml:space="preserve"> oskarżonym, którzy nie ukończyli 18 lat</w:t>
      </w:r>
      <w:r w:rsidR="00BB57E7">
        <w:rPr>
          <w:rFonts w:ascii="Times New Roman" w:hAnsi="Times New Roman" w:cs="Times New Roman"/>
          <w:szCs w:val="24"/>
        </w:rPr>
        <w:t>,</w:t>
      </w:r>
      <w:r w:rsidRPr="00676D9C">
        <w:rPr>
          <w:rFonts w:ascii="Times New Roman" w:hAnsi="Times New Roman" w:cs="Times New Roman"/>
          <w:szCs w:val="24"/>
        </w:rPr>
        <w:t xml:space="preserve"> w trakcie posiedzenia albo rozprawy, o których mowa w projektowanym art. 76a k.p.k. </w:t>
      </w:r>
    </w:p>
    <w:p w14:paraId="08D19EF1" w14:textId="724E7D10" w:rsidR="00676D9C" w:rsidRPr="00676D9C" w:rsidRDefault="00676D9C" w:rsidP="00C470D1">
      <w:pPr>
        <w:pStyle w:val="NIEARTTEKSTtekstnieartykuowanynppodstprawnarozplubpreambua"/>
        <w:ind w:firstLine="0"/>
        <w:rPr>
          <w:rFonts w:ascii="Times New Roman" w:hAnsi="Times New Roman" w:cs="Times New Roman"/>
          <w:szCs w:val="24"/>
          <w:u w:val="single"/>
        </w:rPr>
      </w:pPr>
      <w:r w:rsidRPr="00676D9C">
        <w:rPr>
          <w:rFonts w:ascii="Times New Roman" w:hAnsi="Times New Roman" w:cs="Times New Roman"/>
          <w:szCs w:val="24"/>
          <w:u w:val="single"/>
        </w:rPr>
        <w:lastRenderedPageBreak/>
        <w:t>Zmiany w zakresie implementacji dyrektyw</w:t>
      </w:r>
    </w:p>
    <w:p w14:paraId="6CCB2BDC" w14:textId="4820B4A4" w:rsidR="00676D9C" w:rsidRPr="00676D9C" w:rsidRDefault="00676D9C" w:rsidP="00601B9F">
      <w:pPr>
        <w:pStyle w:val="NIEARTTEKSTtekstnieartykuowanynppodstprawnarozplubpreambua"/>
        <w:ind w:firstLine="0"/>
        <w:rPr>
          <w:rFonts w:ascii="Times New Roman" w:hAnsi="Times New Roman" w:cs="Times New Roman"/>
          <w:szCs w:val="24"/>
        </w:rPr>
      </w:pPr>
      <w:r w:rsidRPr="00676D9C">
        <w:rPr>
          <w:rFonts w:ascii="Times New Roman" w:hAnsi="Times New Roman" w:cs="Times New Roman"/>
          <w:szCs w:val="24"/>
        </w:rPr>
        <w:t xml:space="preserve">Projektowana ustawa wprowadza jedynie punktowe zmiany we wskazanych wyżej polskich aktach prawnych, które mają zapewnić realizację przepisów przywołanych dyrektyw, gdyż już aktualnie prawo polskie w zdecydowanej części wdraża </w:t>
      </w:r>
      <w:r w:rsidR="0079676B">
        <w:rPr>
          <w:rFonts w:ascii="Times New Roman" w:hAnsi="Times New Roman" w:cs="Times New Roman"/>
          <w:szCs w:val="24"/>
        </w:rPr>
        <w:t>te</w:t>
      </w:r>
      <w:r w:rsidRPr="00676D9C">
        <w:rPr>
          <w:rFonts w:ascii="Times New Roman" w:hAnsi="Times New Roman" w:cs="Times New Roman"/>
          <w:szCs w:val="24"/>
        </w:rPr>
        <w:t xml:space="preserve"> instrumenty prawa UE. </w:t>
      </w:r>
    </w:p>
    <w:p w14:paraId="495E8C7C" w14:textId="282C8C2D" w:rsidR="00676D9C" w:rsidRPr="00676D9C" w:rsidRDefault="00676D9C" w:rsidP="00601B9F">
      <w:pPr>
        <w:pStyle w:val="ARTartustawynprozporzdzenia"/>
        <w:ind w:firstLine="0"/>
        <w:rPr>
          <w:rFonts w:ascii="Times New Roman" w:hAnsi="Times New Roman" w:cs="Times New Roman"/>
          <w:szCs w:val="24"/>
        </w:rPr>
      </w:pPr>
      <w:r w:rsidRPr="00676D9C">
        <w:rPr>
          <w:rFonts w:ascii="Times New Roman" w:hAnsi="Times New Roman" w:cs="Times New Roman"/>
          <w:szCs w:val="24"/>
        </w:rPr>
        <w:t xml:space="preserve">W części dotyczącej wdrożenia dyrektywy 2016/800 projektowana ustawa przewiduje zmiany w art. 76, art. 214, art. 300, art. 360 i art. 607l k.p.k., a także art. 212 </w:t>
      </w:r>
      <w:proofErr w:type="spellStart"/>
      <w:r w:rsidRPr="00676D9C">
        <w:rPr>
          <w:rFonts w:ascii="Times New Roman" w:hAnsi="Times New Roman" w:cs="Times New Roman"/>
          <w:szCs w:val="24"/>
        </w:rPr>
        <w:t>k.k.w</w:t>
      </w:r>
      <w:proofErr w:type="spellEnd"/>
      <w:r w:rsidRPr="00676D9C">
        <w:rPr>
          <w:rFonts w:ascii="Times New Roman" w:hAnsi="Times New Roman" w:cs="Times New Roman"/>
          <w:szCs w:val="24"/>
        </w:rPr>
        <w:t xml:space="preserve">. oraz wprowadzenie nowych przepisów art. 76a i art. 299b k.p.k. Zaproponowane zmiany </w:t>
      </w:r>
      <w:bookmarkStart w:id="1" w:name="_Hlk93395769"/>
      <w:r w:rsidRPr="00676D9C">
        <w:rPr>
          <w:rFonts w:ascii="Times New Roman" w:hAnsi="Times New Roman" w:cs="Times New Roman"/>
          <w:szCs w:val="24"/>
        </w:rPr>
        <w:t>mają na celu doprecyzowanie zakresu stosowania wymienionych wyżej przepisów przez zastąpienie używanego w nich pojęcia „nieletni” sformułowaniem odnoszącym się do podejrzanego lub oskarżonego, który nie ukończył 18 lat</w:t>
      </w:r>
      <w:r w:rsidR="00BB57E7">
        <w:rPr>
          <w:rFonts w:ascii="Times New Roman" w:hAnsi="Times New Roman" w:cs="Times New Roman"/>
          <w:szCs w:val="24"/>
        </w:rPr>
        <w:t>,</w:t>
      </w:r>
      <w:r w:rsidRPr="00676D9C">
        <w:rPr>
          <w:rFonts w:ascii="Times New Roman" w:hAnsi="Times New Roman" w:cs="Times New Roman"/>
          <w:szCs w:val="24"/>
        </w:rPr>
        <w:t xml:space="preserve"> i ujednolicenie terminologii stosowanej na gruncie k.p.k.</w:t>
      </w:r>
      <w:bookmarkEnd w:id="1"/>
      <w:r w:rsidRPr="00676D9C">
        <w:rPr>
          <w:rFonts w:ascii="Times New Roman" w:hAnsi="Times New Roman" w:cs="Times New Roman"/>
          <w:szCs w:val="24"/>
        </w:rPr>
        <w:t xml:space="preserve"> Wymóg stosowania wobec podejrzanego i oskarżonego, który nie ukończył 18 lat, określonych gwarancji wynika z art. 3 ust. 1 dyrektywy 2016/800, a w polskim prawie karnym brak definicji nieletniego. </w:t>
      </w:r>
    </w:p>
    <w:p w14:paraId="4B404ABC" w14:textId="3915C9C5" w:rsidR="00676D9C" w:rsidRPr="00601B9F" w:rsidRDefault="00676D9C" w:rsidP="00601B9F">
      <w:pPr>
        <w:pStyle w:val="ARTartustawynprozporzdzenia"/>
        <w:ind w:firstLine="0"/>
        <w:rPr>
          <w:rFonts w:ascii="Times New Roman" w:hAnsi="Times New Roman" w:cs="Times New Roman"/>
        </w:rPr>
      </w:pPr>
      <w:r w:rsidRPr="00601B9F">
        <w:rPr>
          <w:rFonts w:ascii="Times New Roman" w:hAnsi="Times New Roman" w:cs="Times New Roman"/>
        </w:rPr>
        <w:t>Celem projektowanego przepisu art. 76a k.p.k. jest ponadto wdrożenie do polskiego porządku prawnego art. 15 dyrektywy 2016/800, który przewidu</w:t>
      </w:r>
      <w:r w:rsidR="00C612FE">
        <w:rPr>
          <w:rFonts w:ascii="Times New Roman" w:hAnsi="Times New Roman" w:cs="Times New Roman"/>
        </w:rPr>
        <w:t>je możliwość udziału rodziców w </w:t>
      </w:r>
      <w:r w:rsidRPr="00601B9F">
        <w:rPr>
          <w:rFonts w:ascii="Times New Roman" w:hAnsi="Times New Roman" w:cs="Times New Roman"/>
        </w:rPr>
        <w:t xml:space="preserve">posiedzeniu sądu, osoby trzeciej wskazanej przez oskarżonego w określonych przypadkach, tj. wówczas, gdy udział rodzica byłby sprzeczny z </w:t>
      </w:r>
      <w:r w:rsidR="00C612FE">
        <w:rPr>
          <w:rFonts w:ascii="Times New Roman" w:hAnsi="Times New Roman" w:cs="Times New Roman"/>
        </w:rPr>
        <w:t>najlepszym interesem dziecka (w </w:t>
      </w:r>
      <w:r w:rsidRPr="00601B9F">
        <w:rPr>
          <w:rFonts w:ascii="Times New Roman" w:hAnsi="Times New Roman" w:cs="Times New Roman"/>
        </w:rPr>
        <w:t>projektowanym przepisie użyto także przesłanki „jest niecelowy ze względu na jego dobro” – dobro dziecka jest naczelną zasadą prawa rodzinnego i s</w:t>
      </w:r>
      <w:r w:rsidR="00C612FE">
        <w:rPr>
          <w:rFonts w:ascii="Times New Roman" w:hAnsi="Times New Roman" w:cs="Times New Roman"/>
        </w:rPr>
        <w:t>tanowi ochronę jego interesów w </w:t>
      </w:r>
      <w:r w:rsidRPr="00601B9F">
        <w:rPr>
          <w:rFonts w:ascii="Times New Roman" w:hAnsi="Times New Roman" w:cs="Times New Roman"/>
        </w:rPr>
        <w:t xml:space="preserve">celu prawidłowego rozwoju psychofizycznego i duchowego oraz społecznego) lub poważnie utrudniał postępowanie karne bądź też byłby po prostu niemożliwy z powodu trudności nawiązania z nim kontaktu, przy czym udział takich osób przewidziano także w przypadku rozprawy. Dodatkowo przepis art. 15 ust. 2 dyrektywy 2016/800 umożliwia udział osoby ustanowionej przez sąd, gdyby oskarżony nie wskazał żadnej osoby, zaś udział przedstawiciela ustawowego był niemożliwy. Dodanie art. 76a k.p.k. tym samym zapewni pełną implementację art. 15 ust. 1 i 2 dyrektywy 2016/800, gdyż w projektowanym przepisie wprowadza się możliwość obecności podczas posiedzenia sądu albo rozprawy, w którym uczestniczy oskarżony lub podejrzany poniżej 18 </w:t>
      </w:r>
      <w:r w:rsidR="0079676B">
        <w:rPr>
          <w:rFonts w:ascii="Times New Roman" w:hAnsi="Times New Roman" w:cs="Times New Roman"/>
        </w:rPr>
        <w:t>lat</w:t>
      </w:r>
      <w:r w:rsidRPr="00601B9F">
        <w:rPr>
          <w:rFonts w:ascii="Times New Roman" w:hAnsi="Times New Roman" w:cs="Times New Roman"/>
        </w:rPr>
        <w:t xml:space="preserve">, przedstawiciela ustawowego lub osoby trzeciej (innej pełnoletniej osoby) wskazanej przez tego oskarżonego lub wyznaczonej przez sąd, przed którym toczy się postępowanie jurysdykcyjne. </w:t>
      </w:r>
    </w:p>
    <w:p w14:paraId="7C7FF864" w14:textId="13EA5BDE" w:rsidR="00676D9C" w:rsidRPr="00601B9F" w:rsidRDefault="00676D9C" w:rsidP="00601B9F">
      <w:pPr>
        <w:pStyle w:val="ARTartustawynprozporzdzenia"/>
        <w:ind w:firstLine="0"/>
        <w:rPr>
          <w:rFonts w:ascii="Times New Roman" w:hAnsi="Times New Roman" w:cs="Times New Roman"/>
        </w:rPr>
      </w:pPr>
      <w:r w:rsidRPr="00601B9F">
        <w:rPr>
          <w:rFonts w:ascii="Times New Roman" w:hAnsi="Times New Roman" w:cs="Times New Roman"/>
        </w:rPr>
        <w:t xml:space="preserve">Jednocześnie przepis art. 76a k.p.k. przewiduje obecność asystenta rodziny w danym sądzie podczas rozprawy albo posiedzenia z udziałem oskarżonego, który nie ukończył 18 lat, jeśli </w:t>
      </w:r>
      <w:r w:rsidRPr="00601B9F">
        <w:rPr>
          <w:rFonts w:ascii="Times New Roman" w:hAnsi="Times New Roman" w:cs="Times New Roman"/>
        </w:rPr>
        <w:lastRenderedPageBreak/>
        <w:t xml:space="preserve">obecność pozostałych osób wskazanych w tym przepisie nie jest możliwa. Instytucja asystenta rodziny została wprowadzona ustawą z dnia 9 czerwca 2011 r. o wspieraniu rodziny i systemie pieczy zastępczej. Asystent rodziny ma wymóg posiadania odpowiednich kwalifikacji, w tym kwalifikacji z zakresu pracy z dziećmi. Wybór asystenta rodziny pozostaje zatem w pełnej zgodzie z przepisami dyrektywy 2016/800, w szczególności z art. 15 ust. 2, który przewiduje, że jeżeli osoba dorosła wskazana przez dziecko nie jest do zaakceptowania przez właściwy organ, organ ten, uwzględniając najlepszy interes dziecka, wyznacza inną osobę, aby towarzyszyła dziecku, a osoba ta może być także przedstawicielem organu lub innej instytucji odpowiedzialnej za ochronę lub dobro dzieci. </w:t>
      </w:r>
    </w:p>
    <w:p w14:paraId="54691C52" w14:textId="20D30A33" w:rsidR="00676D9C" w:rsidRPr="00676D9C" w:rsidRDefault="00676D9C" w:rsidP="00601B9F">
      <w:pPr>
        <w:pStyle w:val="ARTartustawynprozporzdzenia"/>
        <w:ind w:firstLine="0"/>
        <w:rPr>
          <w:rFonts w:ascii="Times New Roman" w:hAnsi="Times New Roman" w:cs="Times New Roman"/>
          <w:szCs w:val="24"/>
        </w:rPr>
      </w:pPr>
      <w:r w:rsidRPr="00601B9F">
        <w:rPr>
          <w:rFonts w:ascii="Times New Roman" w:hAnsi="Times New Roman" w:cs="Times New Roman"/>
        </w:rPr>
        <w:t>Dla umożliwienia uczestniczenia asystentom rodziny w rozprawie albo posiedzeniu</w:t>
      </w:r>
      <w:r w:rsidR="005D0FC9">
        <w:rPr>
          <w:rFonts w:ascii="Times New Roman" w:hAnsi="Times New Roman" w:cs="Times New Roman"/>
        </w:rPr>
        <w:t>,</w:t>
      </w:r>
      <w:r w:rsidRPr="00601B9F">
        <w:rPr>
          <w:rFonts w:ascii="Times New Roman" w:hAnsi="Times New Roman" w:cs="Times New Roman"/>
        </w:rPr>
        <w:t xml:space="preserve"> o którym mowa w nowo</w:t>
      </w:r>
      <w:r w:rsidR="00203953">
        <w:rPr>
          <w:rFonts w:ascii="Times New Roman" w:hAnsi="Times New Roman" w:cs="Times New Roman"/>
        </w:rPr>
        <w:t xml:space="preserve"> </w:t>
      </w:r>
      <w:r w:rsidRPr="00601B9F">
        <w:rPr>
          <w:rFonts w:ascii="Times New Roman" w:hAnsi="Times New Roman" w:cs="Times New Roman"/>
        </w:rPr>
        <w:t>projektowanym art. 76a, projekt przewiduje ta</w:t>
      </w:r>
      <w:r w:rsidR="00C612FE">
        <w:rPr>
          <w:rFonts w:ascii="Times New Roman" w:hAnsi="Times New Roman" w:cs="Times New Roman"/>
        </w:rPr>
        <w:t>kże nowelizację ustawy z dnia 9 </w:t>
      </w:r>
      <w:r w:rsidRPr="00601B9F">
        <w:rPr>
          <w:rFonts w:ascii="Times New Roman" w:hAnsi="Times New Roman" w:cs="Times New Roman"/>
        </w:rPr>
        <w:t xml:space="preserve">czerwca 2011 r. </w:t>
      </w:r>
      <w:bookmarkStart w:id="2" w:name="_Hlk111643624"/>
      <w:r w:rsidRPr="00601B9F">
        <w:rPr>
          <w:rFonts w:ascii="Times New Roman" w:hAnsi="Times New Roman" w:cs="Times New Roman"/>
        </w:rPr>
        <w:t>o wspieraniu rodziny i systemie pieczy zastępczej</w:t>
      </w:r>
      <w:r w:rsidRPr="00676D9C">
        <w:rPr>
          <w:rFonts w:ascii="Times New Roman" w:hAnsi="Times New Roman" w:cs="Times New Roman"/>
          <w:szCs w:val="24"/>
        </w:rPr>
        <w:t>, która precyzuje zadania asystenta rodziny</w:t>
      </w:r>
      <w:bookmarkEnd w:id="2"/>
      <w:r w:rsidR="005D0FC9">
        <w:rPr>
          <w:rFonts w:ascii="Times New Roman" w:hAnsi="Times New Roman" w:cs="Times New Roman"/>
          <w:szCs w:val="24"/>
        </w:rPr>
        <w:t>,</w:t>
      </w:r>
      <w:r w:rsidRPr="00676D9C">
        <w:rPr>
          <w:rFonts w:ascii="Times New Roman" w:hAnsi="Times New Roman" w:cs="Times New Roman"/>
          <w:szCs w:val="24"/>
        </w:rPr>
        <w:t xml:space="preserve"> uzupełniając </w:t>
      </w:r>
      <w:r w:rsidRPr="00C470D1">
        <w:rPr>
          <w:rFonts w:ascii="Times New Roman" w:hAnsi="Times New Roman" w:cs="Times New Roman"/>
          <w:szCs w:val="24"/>
        </w:rPr>
        <w:t>katalog zadań zdefiniowan</w:t>
      </w:r>
      <w:r w:rsidR="00C612FE">
        <w:rPr>
          <w:rFonts w:ascii="Times New Roman" w:hAnsi="Times New Roman" w:cs="Times New Roman"/>
          <w:szCs w:val="24"/>
        </w:rPr>
        <w:t>y w art. 15 ust. 1 tej ustawy o </w:t>
      </w:r>
      <w:r w:rsidRPr="00C470D1">
        <w:rPr>
          <w:rFonts w:ascii="Times New Roman" w:hAnsi="Times New Roman" w:cs="Times New Roman"/>
          <w:szCs w:val="24"/>
        </w:rPr>
        <w:t xml:space="preserve">„udzielanie </w:t>
      </w:r>
      <w:r w:rsidRPr="00676D9C">
        <w:rPr>
          <w:rFonts w:ascii="Times New Roman" w:hAnsi="Times New Roman" w:cs="Times New Roman"/>
          <w:szCs w:val="24"/>
        </w:rPr>
        <w:t>wsparcia dziecku poprzez towarzyszenie mu podczas posiedzenia albo rozprawy z jego udziałem na podstawie art. 76a k.p</w:t>
      </w:r>
      <w:r w:rsidR="00117B91">
        <w:rPr>
          <w:rFonts w:ascii="Times New Roman" w:hAnsi="Times New Roman" w:cs="Times New Roman"/>
          <w:szCs w:val="24"/>
        </w:rPr>
        <w:t>.</w:t>
      </w:r>
      <w:r w:rsidRPr="00676D9C">
        <w:rPr>
          <w:rFonts w:ascii="Times New Roman" w:hAnsi="Times New Roman" w:cs="Times New Roman"/>
          <w:szCs w:val="24"/>
        </w:rPr>
        <w:t>k</w:t>
      </w:r>
      <w:r w:rsidR="00117B91">
        <w:rPr>
          <w:rFonts w:ascii="Times New Roman" w:hAnsi="Times New Roman" w:cs="Times New Roman"/>
          <w:szCs w:val="24"/>
        </w:rPr>
        <w:t>.</w:t>
      </w:r>
      <w:r w:rsidRPr="00676D9C">
        <w:rPr>
          <w:rFonts w:ascii="Times New Roman" w:hAnsi="Times New Roman" w:cs="Times New Roman"/>
          <w:szCs w:val="24"/>
        </w:rPr>
        <w:t xml:space="preserve">”. </w:t>
      </w:r>
    </w:p>
    <w:p w14:paraId="5F7069B4" w14:textId="5D969BB8" w:rsidR="00676D9C" w:rsidRPr="00601B9F" w:rsidRDefault="00676D9C" w:rsidP="00601B9F">
      <w:pPr>
        <w:pStyle w:val="ARTartustawynprozporzdzenia"/>
        <w:ind w:firstLine="0"/>
        <w:rPr>
          <w:rFonts w:ascii="Times New Roman" w:hAnsi="Times New Roman" w:cs="Times New Roman"/>
        </w:rPr>
      </w:pPr>
      <w:r w:rsidRPr="00601B9F">
        <w:rPr>
          <w:rFonts w:ascii="Times New Roman" w:hAnsi="Times New Roman" w:cs="Times New Roman"/>
        </w:rPr>
        <w:t>W związku z powyższym projekt wprowadza także do kat</w:t>
      </w:r>
      <w:r w:rsidR="00C612FE">
        <w:rPr>
          <w:rFonts w:ascii="Times New Roman" w:hAnsi="Times New Roman" w:cs="Times New Roman"/>
        </w:rPr>
        <w:t>alogu wydatków Skarbu Państwa w </w:t>
      </w:r>
      <w:r w:rsidRPr="00601B9F">
        <w:rPr>
          <w:rFonts w:ascii="Times New Roman" w:hAnsi="Times New Roman" w:cs="Times New Roman"/>
        </w:rPr>
        <w:t>postępowaniu karnym wynagrodzenie w postaci ryczałtu dla as</w:t>
      </w:r>
      <w:r w:rsidR="00C612FE">
        <w:rPr>
          <w:rFonts w:ascii="Times New Roman" w:hAnsi="Times New Roman" w:cs="Times New Roman"/>
        </w:rPr>
        <w:t>ystenta rodziny za udział w </w:t>
      </w:r>
      <w:r w:rsidRPr="00601B9F">
        <w:rPr>
          <w:rFonts w:ascii="Times New Roman" w:hAnsi="Times New Roman" w:cs="Times New Roman"/>
        </w:rPr>
        <w:t xml:space="preserve">posiedzeniu albo rozprawie, o których mowa w art. 76a § 1 </w:t>
      </w:r>
      <w:r w:rsidR="00C612FE">
        <w:rPr>
          <w:rFonts w:ascii="Times New Roman" w:hAnsi="Times New Roman" w:cs="Times New Roman"/>
        </w:rPr>
        <w:t>k.p.k. – dodanie pkt 12a w art. </w:t>
      </w:r>
      <w:r w:rsidRPr="00601B9F">
        <w:rPr>
          <w:rFonts w:ascii="Times New Roman" w:hAnsi="Times New Roman" w:cs="Times New Roman"/>
        </w:rPr>
        <w:t>618 § 1 k.p.k. i dodanie przepisu art. 618ia k.p.k.</w:t>
      </w:r>
    </w:p>
    <w:p w14:paraId="7693F827" w14:textId="01EEBA85" w:rsidR="00676D9C" w:rsidRPr="00601B9F" w:rsidRDefault="00676D9C" w:rsidP="00601B9F">
      <w:pPr>
        <w:pStyle w:val="ARTartustawynprozporzdzenia"/>
        <w:ind w:firstLine="0"/>
        <w:rPr>
          <w:rFonts w:ascii="Times New Roman" w:hAnsi="Times New Roman" w:cs="Times New Roman"/>
        </w:rPr>
      </w:pPr>
      <w:r w:rsidRPr="00601B9F">
        <w:rPr>
          <w:rFonts w:ascii="Times New Roman" w:hAnsi="Times New Roman" w:cs="Times New Roman"/>
        </w:rPr>
        <w:t>W konsekwencji zmian dotyczących udziału asystenta rodziny podczas rozprawy albo posiedzenia, o których mowa w art. 76a k.p.k., w przepisie tym wskazano, że w przypadku potrzeby wyznaczenia asystenta rodziny do udziału w rozprawie albo posiedzeniu przewodniczący występuje do właściwego ze względu na miejsce prowadzenia postępowania kierownika jednostki organizacyjnej gminy, która organizuje pracę z rodziną, lub podmiotu, któremu gmina na podstawie art. 190 ustawy z dnia 9 czerwca</w:t>
      </w:r>
      <w:r w:rsidR="00C612FE">
        <w:rPr>
          <w:rFonts w:ascii="Times New Roman" w:hAnsi="Times New Roman" w:cs="Times New Roman"/>
        </w:rPr>
        <w:t xml:space="preserve"> 2011 r. o wspieraniu rodziny i </w:t>
      </w:r>
      <w:r w:rsidRPr="00601B9F">
        <w:rPr>
          <w:rFonts w:ascii="Times New Roman" w:hAnsi="Times New Roman" w:cs="Times New Roman"/>
        </w:rPr>
        <w:t>systemie pieczy zastępczej zleciła organizację pracy z rodziną do niezwłocznego przekazania listy zatrudnionych asystentów rodziny wraz z danymi kontaktowymi. Po otrzymaniu tej listy przewodniczący wyznaczy asystenta rodziny</w:t>
      </w:r>
      <w:r w:rsidR="005D0FC9">
        <w:rPr>
          <w:rFonts w:ascii="Times New Roman" w:hAnsi="Times New Roman" w:cs="Times New Roman"/>
        </w:rPr>
        <w:t>,</w:t>
      </w:r>
      <w:r w:rsidRPr="00601B9F">
        <w:rPr>
          <w:rFonts w:ascii="Times New Roman" w:hAnsi="Times New Roman" w:cs="Times New Roman"/>
        </w:rPr>
        <w:t xml:space="preserve"> mając na względzie ochronę praw lub interesów oskarżonego oraz zapewnienie sprawnego przeprowadzenia posiedzenia lub rozprawy. Z uwagi na powyższe projekt przewiduje także nowelizację us</w:t>
      </w:r>
      <w:r w:rsidR="00C612FE">
        <w:rPr>
          <w:rFonts w:ascii="Times New Roman" w:hAnsi="Times New Roman" w:cs="Times New Roman"/>
        </w:rPr>
        <w:t>tawy z dnia 9 czerwca 2011 r. o </w:t>
      </w:r>
      <w:r w:rsidRPr="00601B9F">
        <w:rPr>
          <w:rFonts w:ascii="Times New Roman" w:hAnsi="Times New Roman" w:cs="Times New Roman"/>
        </w:rPr>
        <w:t>wspieraniu rodziny i systemie pieczy zastępczej</w:t>
      </w:r>
      <w:r w:rsidRPr="00676D9C">
        <w:rPr>
          <w:rFonts w:ascii="Times New Roman" w:hAnsi="Times New Roman" w:cs="Times New Roman"/>
          <w:szCs w:val="24"/>
        </w:rPr>
        <w:t xml:space="preserve">, która w art. 17 ust. 5 nakłada na </w:t>
      </w:r>
      <w:r w:rsidRPr="00C470D1">
        <w:rPr>
          <w:rFonts w:ascii="Times New Roman" w:hAnsi="Times New Roman" w:cs="Times New Roman"/>
          <w:szCs w:val="24"/>
        </w:rPr>
        <w:t>jednostki,</w:t>
      </w:r>
      <w:r w:rsidRPr="00191EB8">
        <w:rPr>
          <w:rFonts w:ascii="Times New Roman" w:hAnsi="Times New Roman" w:cs="Times New Roman"/>
          <w:szCs w:val="24"/>
        </w:rPr>
        <w:t xml:space="preserve"> o których mowa powyżej, obowiązek niezwłocznego przekazania listy zatrudnionych asystentów rodziny oraz danych kontaktowych.</w:t>
      </w:r>
    </w:p>
    <w:p w14:paraId="25A3E13D" w14:textId="5694B8D9" w:rsidR="00676D9C" w:rsidRPr="00601B9F" w:rsidRDefault="00676D9C" w:rsidP="00601B9F">
      <w:pPr>
        <w:pStyle w:val="ARTartustawynprozporzdzenia"/>
        <w:ind w:firstLine="0"/>
        <w:rPr>
          <w:rFonts w:ascii="Times New Roman" w:hAnsi="Times New Roman" w:cs="Times New Roman"/>
        </w:rPr>
      </w:pPr>
      <w:r w:rsidRPr="00601B9F">
        <w:rPr>
          <w:rFonts w:ascii="Times New Roman" w:hAnsi="Times New Roman" w:cs="Times New Roman"/>
        </w:rPr>
        <w:lastRenderedPageBreak/>
        <w:t xml:space="preserve">Przewidziano także upoważnienie dla Ministra Sprawiedliwości do wydania </w:t>
      </w:r>
      <w:r w:rsidR="00191EB8">
        <w:rPr>
          <w:rFonts w:ascii="Times New Roman" w:hAnsi="Times New Roman" w:cs="Times New Roman"/>
        </w:rPr>
        <w:t>–</w:t>
      </w:r>
      <w:r w:rsidRPr="00601B9F">
        <w:rPr>
          <w:rFonts w:ascii="Times New Roman" w:hAnsi="Times New Roman" w:cs="Times New Roman"/>
        </w:rPr>
        <w:t xml:space="preserve"> w porozumieniu z ministrem właściwym do spraw finansów publicznych </w:t>
      </w:r>
      <w:r w:rsidR="00191EB8">
        <w:rPr>
          <w:rFonts w:ascii="Times New Roman" w:hAnsi="Times New Roman" w:cs="Times New Roman"/>
        </w:rPr>
        <w:t>–</w:t>
      </w:r>
      <w:r w:rsidRPr="00601B9F">
        <w:rPr>
          <w:rFonts w:ascii="Times New Roman" w:hAnsi="Times New Roman" w:cs="Times New Roman"/>
        </w:rPr>
        <w:t xml:space="preserve"> rozporządzenia w przedmiocie wysokości ryczałtu stanowiącego wynagrodzenie za udział </w:t>
      </w:r>
      <w:r w:rsidR="00D15244">
        <w:rPr>
          <w:rFonts w:ascii="Times New Roman" w:hAnsi="Times New Roman" w:cs="Times New Roman"/>
        </w:rPr>
        <w:t>asystenta rodziny w rozprawie i </w:t>
      </w:r>
      <w:r w:rsidRPr="00601B9F">
        <w:rPr>
          <w:rFonts w:ascii="Times New Roman" w:hAnsi="Times New Roman" w:cs="Times New Roman"/>
        </w:rPr>
        <w:t>posiedzeniu na podstawie art. 76a k.p.k. (projektowany art. 61</w:t>
      </w:r>
      <w:r w:rsidR="00D15244">
        <w:rPr>
          <w:rFonts w:ascii="Times New Roman" w:hAnsi="Times New Roman" w:cs="Times New Roman"/>
        </w:rPr>
        <w:t>8ia § 2 k.p.k.). Data wejścia w </w:t>
      </w:r>
      <w:r w:rsidRPr="00601B9F">
        <w:rPr>
          <w:rFonts w:ascii="Times New Roman" w:hAnsi="Times New Roman" w:cs="Times New Roman"/>
        </w:rPr>
        <w:t>życie tych rozporządzeń została skorelowana z datą wejścia w życie zmian w Kodeksie postępowania karnego.</w:t>
      </w:r>
    </w:p>
    <w:p w14:paraId="1B049863" w14:textId="4AFA5F14" w:rsidR="00676D9C" w:rsidRPr="00676D9C" w:rsidRDefault="00676D9C" w:rsidP="00601B9F">
      <w:pPr>
        <w:pStyle w:val="NIEARTTEKSTtekstnieartykuowanynppodstprawnarozplubpreambua"/>
        <w:ind w:firstLine="0"/>
        <w:rPr>
          <w:rFonts w:ascii="Times New Roman" w:hAnsi="Times New Roman" w:cs="Times New Roman"/>
          <w:szCs w:val="24"/>
        </w:rPr>
      </w:pPr>
      <w:r w:rsidRPr="00676D9C">
        <w:rPr>
          <w:rFonts w:ascii="Times New Roman" w:hAnsi="Times New Roman" w:cs="Times New Roman"/>
          <w:szCs w:val="24"/>
        </w:rPr>
        <w:t xml:space="preserve">Zmiana art. 214 § 2 k.p.k. przez uzupełnienie katalogu sytuacji procesowych, w których </w:t>
      </w:r>
      <w:r w:rsidRPr="00C470D1">
        <w:rPr>
          <w:rFonts w:ascii="Times New Roman" w:hAnsi="Times New Roman" w:cs="Times New Roman"/>
          <w:szCs w:val="24"/>
        </w:rPr>
        <w:t xml:space="preserve">jest </w:t>
      </w:r>
      <w:r w:rsidRPr="00676D9C">
        <w:rPr>
          <w:rFonts w:ascii="Times New Roman" w:hAnsi="Times New Roman" w:cs="Times New Roman"/>
          <w:szCs w:val="24"/>
        </w:rPr>
        <w:t>obligatoryjne przeprowadzenie wywiadu środowiskowego również o sprawy, w których oskarżony w chwili czynu nie ukończył 18 lat, zapewni pełną implementację art. 7 ust. 2 dyrektywy 2016/800. Ten przepis dyrektywy przewiduje tzw. indywidualną ocenę dziecka będącego podejrzanym lub oskarżonym, co w polskiej praktyce systemowej oznacza konieczność przeprowadzenia wywiadu środowiskowego. Obowiązujący przepis art. 214 § 1 k.p.k. daje organom procesowym możliwość przeprowadzenia wywiadu środowiskowego, ale w stosunku do oskarżonych poniżej 18 lat taki wywiad nie jest obecnie obowiązkowy. Tymczasem w motywach 35 i 36 dyrektywy 2016/800 podkreśla się, że „ocena indywidualna podejrzanego i oskarżonego poniżej 18 lat ma służyć zidentyfikowaniu ich szczególnych potrzeb w zakresie ochrony, kształcenia, szkolenia i integracji społecznej oraz służyć ustaleniu, czy i w jakim zakresie dzieci wymagałyby zastosowania szczególnych środków w trakcie postępowania karnego, zakresu ich odpowiedzialności karnej oraz adekwatności określonej kary lub środka wychowawczego. W indywidualnej ocenie należy też w szczególności uwzględnić osobowość i stopień dojrzałości dziecka, jego sytuację ekonomiczną, społeczną i rodzinną, w tym otoczenie, w którym dziecko żyje, a także konieczność szczególnego traktowania dziecka ze względu na np. trudności w uczeniu się i komunikowaniu”. Wprowadzenie obowiązku przeprowadzenia wywiadu środowiskowego na mocy projektowanego art. 214 § 2 pkt 1a k.p.k. zapewni w pełni realizację obowiązku dokonania oceny indywidualnej oskarżonego, który w chwili czynu nie ukończył 18 lat.</w:t>
      </w:r>
    </w:p>
    <w:p w14:paraId="1A56BC6C" w14:textId="72C5BC9F" w:rsidR="00676D9C" w:rsidRPr="00676D9C" w:rsidRDefault="00676D9C" w:rsidP="00601B9F">
      <w:pPr>
        <w:pStyle w:val="NIEARTTEKSTtekstnieartykuowanynppodstprawnarozplubpreambua"/>
        <w:ind w:firstLine="0"/>
        <w:rPr>
          <w:rFonts w:ascii="Times New Roman" w:hAnsi="Times New Roman" w:cs="Times New Roman"/>
          <w:szCs w:val="24"/>
        </w:rPr>
      </w:pPr>
      <w:r w:rsidRPr="00676D9C">
        <w:rPr>
          <w:rFonts w:ascii="Times New Roman" w:hAnsi="Times New Roman" w:cs="Times New Roman"/>
          <w:szCs w:val="24"/>
        </w:rPr>
        <w:t xml:space="preserve">Projekt zawiera także nowy art. 299b k.p.k., który implementuje art. 15 ust. 4 dyrektywy 2016/800. Przepis ten zapewni, że osoba wskazana przez podejrzanego będzie miała prawo do obecności w czynnościach postępowania w fazie innej niż postępowanie przed sądem, o ile jej obecność leży w najlepszym interesie tego podejrzanego i nie zaszkodzi ona postępowaniu karnemu. Obowiązujące przepisy k.p.k. nie przewidują obecności w czynnościach postępowania przygotowawczego osób innych niż przedstawiciele ustawowi (art. 316 § 1 k.p.k.) i odnosi się wyłącznie do czynności niepowtarzalnych. W związku z tym projektowany </w:t>
      </w:r>
      <w:r w:rsidRPr="00676D9C">
        <w:rPr>
          <w:rFonts w:ascii="Times New Roman" w:hAnsi="Times New Roman" w:cs="Times New Roman"/>
          <w:szCs w:val="24"/>
        </w:rPr>
        <w:lastRenderedPageBreak/>
        <w:t>art. 299b k.p.k. przewiduje możliwość obecności osoby wskazanej przez podejrzanego, który nie ukończył 18 lat</w:t>
      </w:r>
      <w:r w:rsidR="00F9563A">
        <w:rPr>
          <w:rFonts w:ascii="Times New Roman" w:hAnsi="Times New Roman" w:cs="Times New Roman"/>
          <w:szCs w:val="24"/>
        </w:rPr>
        <w:t>,</w:t>
      </w:r>
      <w:r w:rsidRPr="00676D9C">
        <w:rPr>
          <w:rFonts w:ascii="Times New Roman" w:hAnsi="Times New Roman" w:cs="Times New Roman"/>
          <w:szCs w:val="24"/>
        </w:rPr>
        <w:t xml:space="preserve"> w czynnościach z udziałem tego podejrzanego przeprowadzanych w toku postępowania przygotowawczego. Jednocześnie uzależnia obecność tej osoby od tego, jaki wpływ może ona mieć na prawa i interesy podejrzanego, a przede wszystkim na przeprowadzenie danej czynności, a tym samym na skuteczność postępowania karnego.</w:t>
      </w:r>
    </w:p>
    <w:p w14:paraId="0C874664" w14:textId="4A15DBCC" w:rsidR="00676D9C" w:rsidRPr="00676D9C" w:rsidRDefault="00676D9C" w:rsidP="00601B9F">
      <w:pPr>
        <w:pStyle w:val="ARTartustawynprozporzdzenia"/>
        <w:ind w:firstLine="0"/>
        <w:rPr>
          <w:rFonts w:ascii="Times New Roman" w:hAnsi="Times New Roman" w:cs="Times New Roman"/>
          <w:szCs w:val="24"/>
        </w:rPr>
      </w:pPr>
      <w:r w:rsidRPr="00601B9F">
        <w:rPr>
          <w:rFonts w:ascii="Times New Roman" w:hAnsi="Times New Roman" w:cs="Times New Roman"/>
        </w:rPr>
        <w:t xml:space="preserve">Projektowana zmiana nadająca nowe brzmienie art. 300 </w:t>
      </w:r>
      <w:r w:rsidRPr="00676D9C">
        <w:rPr>
          <w:rFonts w:ascii="Times New Roman" w:hAnsi="Times New Roman" w:cs="Times New Roman"/>
          <w:szCs w:val="24"/>
        </w:rPr>
        <w:t xml:space="preserve">§ 1 k.p.k. i wprowadzająca § 1a wynika z konieczności implementacji art. 4 i </w:t>
      </w:r>
      <w:r w:rsidRPr="00C470D1">
        <w:rPr>
          <w:rFonts w:ascii="Times New Roman" w:hAnsi="Times New Roman" w:cs="Times New Roman"/>
          <w:szCs w:val="24"/>
        </w:rPr>
        <w:t xml:space="preserve">art. 5 dyrektywy 2016/800. Artykuł 4 tej dyrektywy przewiduje prawo do informacji o uprawnieniach </w:t>
      </w:r>
      <w:r w:rsidRPr="00676D9C">
        <w:rPr>
          <w:rFonts w:ascii="Times New Roman" w:hAnsi="Times New Roman" w:cs="Times New Roman"/>
          <w:szCs w:val="24"/>
        </w:rPr>
        <w:t xml:space="preserve">przysługujących nieletniemu, który nie ukończył 18 lat. Na gruncie prawa polskiego są to prawa bądź ogólne zasady stosowane w toku postępowania karnego, informujące o ogólnym przebiegu postępowania, takie jak: prawo do obecności na rozprawie </w:t>
      </w:r>
      <w:r w:rsidR="00191EB8">
        <w:rPr>
          <w:rFonts w:ascii="Times New Roman" w:hAnsi="Times New Roman" w:cs="Times New Roman"/>
          <w:szCs w:val="24"/>
        </w:rPr>
        <w:t>–</w:t>
      </w:r>
      <w:r w:rsidRPr="00191EB8">
        <w:rPr>
          <w:rFonts w:ascii="Times New Roman" w:hAnsi="Times New Roman" w:cs="Times New Roman"/>
          <w:szCs w:val="24"/>
        </w:rPr>
        <w:t xml:space="preserve"> art. </w:t>
      </w:r>
      <w:r w:rsidRPr="00601B9F">
        <w:rPr>
          <w:rFonts w:ascii="Times New Roman" w:hAnsi="Times New Roman" w:cs="Times New Roman"/>
        </w:rPr>
        <w:t xml:space="preserve">374 § 1 k.p.k., zgodnie z art. 16 dyrektywy 2016/800; </w:t>
      </w:r>
      <w:bookmarkStart w:id="3" w:name="_Hlk85543351"/>
      <w:r w:rsidRPr="00676D9C">
        <w:rPr>
          <w:rFonts w:ascii="Times New Roman" w:hAnsi="Times New Roman" w:cs="Times New Roman"/>
          <w:szCs w:val="24"/>
        </w:rPr>
        <w:t xml:space="preserve">możliwość wyłączenia jawności postępowania </w:t>
      </w:r>
      <w:r w:rsidRPr="00601B9F">
        <w:rPr>
          <w:rFonts w:ascii="Times New Roman" w:hAnsi="Times New Roman" w:cs="Times New Roman"/>
        </w:rPr>
        <w:t xml:space="preserve">– jako element ochrony prywatności </w:t>
      </w:r>
      <w:r w:rsidR="00191EB8">
        <w:rPr>
          <w:rFonts w:ascii="Times New Roman" w:hAnsi="Times New Roman" w:cs="Times New Roman"/>
        </w:rPr>
        <w:t>–</w:t>
      </w:r>
      <w:r w:rsidRPr="00601B9F">
        <w:rPr>
          <w:rFonts w:ascii="Times New Roman" w:hAnsi="Times New Roman" w:cs="Times New Roman"/>
        </w:rPr>
        <w:t xml:space="preserve"> art. 360 i art. 361 </w:t>
      </w:r>
      <w:bookmarkEnd w:id="3"/>
      <w:r w:rsidRPr="00601B9F">
        <w:rPr>
          <w:rFonts w:ascii="Times New Roman" w:hAnsi="Times New Roman" w:cs="Times New Roman"/>
        </w:rPr>
        <w:t>k.p.k., zgodnie z art. 14 tej dyrektywy</w:t>
      </w:r>
      <w:r w:rsidR="00D95D5F">
        <w:rPr>
          <w:rFonts w:ascii="Times New Roman" w:hAnsi="Times New Roman" w:cs="Times New Roman"/>
        </w:rPr>
        <w:t>;</w:t>
      </w:r>
      <w:r w:rsidRPr="00601B9F">
        <w:rPr>
          <w:rFonts w:ascii="Times New Roman" w:hAnsi="Times New Roman" w:cs="Times New Roman"/>
        </w:rPr>
        <w:t xml:space="preserve"> wprowadzany przez ten projekt obowiązek przeprowadzania wywiadu środowiskowego </w:t>
      </w:r>
      <w:r w:rsidR="00191EB8">
        <w:rPr>
          <w:rFonts w:ascii="Times New Roman" w:hAnsi="Times New Roman" w:cs="Times New Roman"/>
        </w:rPr>
        <w:t>–</w:t>
      </w:r>
      <w:r w:rsidRPr="00601B9F">
        <w:rPr>
          <w:rFonts w:ascii="Times New Roman" w:hAnsi="Times New Roman" w:cs="Times New Roman"/>
        </w:rPr>
        <w:t xml:space="preserve"> projektowany art. 214 § 2 pkt 1a k.p.k., zgodnie z art. 7 dyrektywy 2016/800; badanie lekarskie </w:t>
      </w:r>
      <w:r w:rsidR="00191EB8">
        <w:rPr>
          <w:rFonts w:ascii="Times New Roman" w:hAnsi="Times New Roman" w:cs="Times New Roman"/>
        </w:rPr>
        <w:t>–</w:t>
      </w:r>
      <w:r w:rsidRPr="00601B9F">
        <w:rPr>
          <w:rFonts w:ascii="Times New Roman" w:hAnsi="Times New Roman" w:cs="Times New Roman"/>
        </w:rPr>
        <w:t xml:space="preserve"> art. 202 i art. 215 k.p.k., zgodnie z art. 8 tej dyrektywy</w:t>
      </w:r>
      <w:r w:rsidR="00D95D5F">
        <w:rPr>
          <w:rFonts w:ascii="Times New Roman" w:hAnsi="Times New Roman" w:cs="Times New Roman"/>
        </w:rPr>
        <w:t>;</w:t>
      </w:r>
      <w:r w:rsidRPr="00601B9F">
        <w:rPr>
          <w:rFonts w:ascii="Times New Roman" w:hAnsi="Times New Roman" w:cs="Times New Roman"/>
        </w:rPr>
        <w:t xml:space="preserve"> zasady stosowania tymczasowego aresztowania określone w art. 257 § 1 i 2 k.p.k., art. 259 k.p.k., zgodnie z art. 10 dyrektywy 2016/800; stosowanie środków zapobiegawczych stanowiących alternatywę dla tymczasowego aresztowania </w:t>
      </w:r>
      <w:r w:rsidR="00191EB8">
        <w:rPr>
          <w:rFonts w:ascii="Times New Roman" w:hAnsi="Times New Roman" w:cs="Times New Roman"/>
        </w:rPr>
        <w:t>–</w:t>
      </w:r>
      <w:r w:rsidRPr="00601B9F">
        <w:rPr>
          <w:rFonts w:ascii="Times New Roman" w:hAnsi="Times New Roman" w:cs="Times New Roman"/>
        </w:rPr>
        <w:t xml:space="preserve"> art. 266 k.p.k., art. 271 i art. 272 k.p.k., art. 275 i art. 275a k.p.k., zgodnie z art. 11 tej dyrektywy</w:t>
      </w:r>
      <w:r w:rsidRPr="00676D9C">
        <w:rPr>
          <w:rFonts w:ascii="Times New Roman" w:hAnsi="Times New Roman" w:cs="Times New Roman"/>
          <w:szCs w:val="24"/>
        </w:rPr>
        <w:t xml:space="preserve">. </w:t>
      </w:r>
    </w:p>
    <w:p w14:paraId="3CA424EC" w14:textId="1E665150" w:rsidR="00676D9C" w:rsidRPr="00601B9F" w:rsidRDefault="00676D9C" w:rsidP="00601B9F">
      <w:pPr>
        <w:pStyle w:val="ARTartustawynprozporzdzenia"/>
        <w:ind w:firstLine="0"/>
        <w:rPr>
          <w:rFonts w:ascii="Times New Roman" w:hAnsi="Times New Roman" w:cs="Times New Roman"/>
        </w:rPr>
      </w:pPr>
      <w:r w:rsidRPr="00C470D1">
        <w:rPr>
          <w:rFonts w:ascii="Times New Roman" w:hAnsi="Times New Roman" w:cs="Times New Roman"/>
          <w:szCs w:val="24"/>
        </w:rPr>
        <w:t>Projektowana ustawa wprowadza ponadto dodatkowe uprawnienia, które odnoszą się do obecności przedstawiciela ustawowego bądź innych osób pełnoletnich w rozprawie, posiedzeniach sądu oraz czynnościach postępowania przygotowawczego (art. 76a</w:t>
      </w:r>
      <w:r w:rsidRPr="00601B9F">
        <w:rPr>
          <w:rFonts w:ascii="Times New Roman" w:hAnsi="Times New Roman" w:cs="Times New Roman"/>
        </w:rPr>
        <w:t xml:space="preserve"> i art. 299b k.p.k.), o których również nieletni powinien zostać pouczony. W tym względzie pouczenie jest także uzupełnione o art. 76 k.p.k., z którego wynika możliwość działania na korzyść tego oskarżonego przedstawiciela ustawowego lub osoby, pod której pieczą pozostaje oskarżony, który nie ukończył 18 lat. W projektowanym § 1a</w:t>
      </w:r>
      <w:r w:rsidR="004A2D9F">
        <w:rPr>
          <w:rFonts w:ascii="Times New Roman" w:hAnsi="Times New Roman" w:cs="Times New Roman"/>
        </w:rPr>
        <w:t xml:space="preserve"> znalazło się także pouczenie o </w:t>
      </w:r>
      <w:r w:rsidRPr="00601B9F">
        <w:rPr>
          <w:rFonts w:ascii="Times New Roman" w:hAnsi="Times New Roman" w:cs="Times New Roman"/>
        </w:rPr>
        <w:t>nowo</w:t>
      </w:r>
      <w:r w:rsidR="00D95D5F">
        <w:rPr>
          <w:rFonts w:ascii="Times New Roman" w:hAnsi="Times New Roman" w:cs="Times New Roman"/>
        </w:rPr>
        <w:t xml:space="preserve"> </w:t>
      </w:r>
      <w:r w:rsidRPr="00601B9F">
        <w:rPr>
          <w:rFonts w:ascii="Times New Roman" w:hAnsi="Times New Roman" w:cs="Times New Roman"/>
        </w:rPr>
        <w:t>projektowanym art. 212 Kodeksu karnego wykonawczego, które zapewni wdrożenie art. 4 ust. 1 lit. c dyrektywy 2016/800 w zakresie pouczenia osk</w:t>
      </w:r>
      <w:r w:rsidR="004A2D9F">
        <w:rPr>
          <w:rFonts w:ascii="Times New Roman" w:hAnsi="Times New Roman" w:cs="Times New Roman"/>
        </w:rPr>
        <w:t>arżonego, który nie ukończył 18 </w:t>
      </w:r>
      <w:r w:rsidRPr="00601B9F">
        <w:rPr>
          <w:rFonts w:ascii="Times New Roman" w:hAnsi="Times New Roman" w:cs="Times New Roman"/>
        </w:rPr>
        <w:t xml:space="preserve">lat, przy pozbawieniu wolności o prawie do szczególnego traktowania w czasie pozbawienia wolności, przewidzianego w art. 12 dyrektywy 2016/800. </w:t>
      </w:r>
      <w:bookmarkStart w:id="4" w:name="_Hlk91058901"/>
      <w:r w:rsidRPr="00601B9F">
        <w:rPr>
          <w:rFonts w:ascii="Times New Roman" w:hAnsi="Times New Roman" w:cs="Times New Roman"/>
        </w:rPr>
        <w:t>W projektowanym przepisie znalazło się także pouczenie o roli organów uczestniczących w postępowaniu.</w:t>
      </w:r>
      <w:bookmarkEnd w:id="4"/>
      <w:r w:rsidRPr="00601B9F">
        <w:rPr>
          <w:rFonts w:ascii="Times New Roman" w:hAnsi="Times New Roman" w:cs="Times New Roman"/>
        </w:rPr>
        <w:t xml:space="preserve"> Ponadto zgodnie z art. 5 dyrektywy 2016/800 informacja o prawach przysługujących nieletniemu powinna być także przekazywana przedstawicielowi ustawowemu bądź innej osobie dorosłej wskazanej przez tego nieletniego. </w:t>
      </w:r>
      <w:r w:rsidRPr="00601B9F">
        <w:rPr>
          <w:rFonts w:ascii="Times New Roman" w:hAnsi="Times New Roman" w:cs="Times New Roman"/>
        </w:rPr>
        <w:lastRenderedPageBreak/>
        <w:t>Projektowany art. 300 k.p.k. uwzględnia wyżej wskazane informacje oraz przewiduje doręczenie pouczenia przedstawicielowi ustawowemu albo innej osobie wskazanej w art. 76a k.p.k., co zapewnia pełne wdrożenie art. 4 i art. 5 dyrektywy 2016/800.</w:t>
      </w:r>
    </w:p>
    <w:p w14:paraId="00294D3A" w14:textId="564A3B82" w:rsidR="00676D9C" w:rsidRPr="00676D9C" w:rsidRDefault="00676D9C" w:rsidP="00601B9F">
      <w:pPr>
        <w:pStyle w:val="ARTartustawynprozporzdzenia"/>
        <w:ind w:firstLine="0"/>
        <w:rPr>
          <w:rFonts w:ascii="Times New Roman" w:hAnsi="Times New Roman" w:cs="Times New Roman"/>
          <w:szCs w:val="24"/>
        </w:rPr>
      </w:pPr>
      <w:r w:rsidRPr="00676D9C">
        <w:rPr>
          <w:rFonts w:ascii="Times New Roman" w:hAnsi="Times New Roman" w:cs="Times New Roman"/>
          <w:szCs w:val="24"/>
        </w:rPr>
        <w:t xml:space="preserve">Projektowana zmiana w art. 607l k.p.k. polega na poszerzeniu zakresu pouczenia, o którym mowa w art. 607l </w:t>
      </w:r>
      <w:r w:rsidRPr="00601B9F">
        <w:rPr>
          <w:rFonts w:ascii="Times New Roman" w:hAnsi="Times New Roman" w:cs="Times New Roman"/>
        </w:rPr>
        <w:t>§ 4 k.p.k</w:t>
      </w:r>
      <w:r w:rsidRPr="00676D9C">
        <w:rPr>
          <w:rFonts w:ascii="Times New Roman" w:hAnsi="Times New Roman" w:cs="Times New Roman"/>
          <w:szCs w:val="24"/>
        </w:rPr>
        <w:t>. Wzór pouczenia będzie zatem zawierał informacje o prawach przysługujących nieletnim, którzy nie ukończyli 18 lat, a których dotyczy europejski nakaz aresztowania. W projektowanym art. 607l § 5</w:t>
      </w:r>
      <w:r w:rsidRPr="00C470D1">
        <w:rPr>
          <w:rFonts w:ascii="Times New Roman" w:hAnsi="Times New Roman" w:cs="Times New Roman"/>
          <w:szCs w:val="24"/>
        </w:rPr>
        <w:t xml:space="preserve"> k.p.k. wskazuje się, że informacja taka powinna być przekazywana przedstawicielowi ustawowemu </w:t>
      </w:r>
      <w:r w:rsidRPr="00191EB8">
        <w:rPr>
          <w:rFonts w:ascii="Times New Roman" w:hAnsi="Times New Roman" w:cs="Times New Roman"/>
          <w:szCs w:val="24"/>
        </w:rPr>
        <w:t xml:space="preserve">bądź innej osobie pełnoletniej wskazanej przez tego nieletniego. Dotyczy to: prawa określonego w art. 76a k.p.k., </w:t>
      </w:r>
      <w:r w:rsidRPr="00601B9F">
        <w:rPr>
          <w:rFonts w:ascii="Times New Roman" w:hAnsi="Times New Roman" w:cs="Times New Roman"/>
        </w:rPr>
        <w:t>art. 202 i art. 215 k.p.k. (badanie lekarskie), art. 257 § 1 i 2, art. 259 k.p.k. (przepisy dotyczące stosowania tymczasowego aresztowania), art. 360 k.p.k. (możliwość wyłączenia jawności posiedzenia), art. 607k § 3 i 3a k.p.k. (czas trwania tymczasowego aresztowania), a także środków zapobiegawczych stanowiących alternatywę względem tymczasowego aresztowania. Analogicznie do nowo</w:t>
      </w:r>
      <w:r w:rsidR="00F7788A">
        <w:rPr>
          <w:rFonts w:ascii="Times New Roman" w:hAnsi="Times New Roman" w:cs="Times New Roman"/>
        </w:rPr>
        <w:t xml:space="preserve"> </w:t>
      </w:r>
      <w:r w:rsidRPr="00601B9F">
        <w:rPr>
          <w:rFonts w:ascii="Times New Roman" w:hAnsi="Times New Roman" w:cs="Times New Roman"/>
        </w:rPr>
        <w:t>projektowanego art. 300 § 1a k.p.k. w przepisie tym znalazły się także pouczenia dotyczące ochrony prywatności – art. 360 i art. 361</w:t>
      </w:r>
      <w:r w:rsidR="004A2D9F">
        <w:rPr>
          <w:rFonts w:ascii="Times New Roman" w:hAnsi="Times New Roman" w:cs="Times New Roman"/>
        </w:rPr>
        <w:t xml:space="preserve"> k.p.k. oraz art. 212 </w:t>
      </w:r>
      <w:proofErr w:type="spellStart"/>
      <w:r w:rsidR="004A2D9F">
        <w:rPr>
          <w:rFonts w:ascii="Times New Roman" w:hAnsi="Times New Roman" w:cs="Times New Roman"/>
        </w:rPr>
        <w:t>k.k.w</w:t>
      </w:r>
      <w:proofErr w:type="spellEnd"/>
      <w:r w:rsidR="004A2D9F">
        <w:rPr>
          <w:rFonts w:ascii="Times New Roman" w:hAnsi="Times New Roman" w:cs="Times New Roman"/>
        </w:rPr>
        <w:t>., a </w:t>
      </w:r>
      <w:r w:rsidRPr="00601B9F">
        <w:rPr>
          <w:rFonts w:ascii="Times New Roman" w:hAnsi="Times New Roman" w:cs="Times New Roman"/>
        </w:rPr>
        <w:t>także pouczenie o roli organów uczestniczących w postępowaniu.</w:t>
      </w:r>
    </w:p>
    <w:p w14:paraId="4B84553B" w14:textId="77777777" w:rsidR="00676D9C" w:rsidRPr="00601B9F" w:rsidRDefault="00676D9C" w:rsidP="00601B9F">
      <w:pPr>
        <w:pStyle w:val="ARTartustawynprozporzdzenia"/>
        <w:ind w:firstLine="0"/>
        <w:rPr>
          <w:rFonts w:ascii="Times New Roman" w:hAnsi="Times New Roman" w:cs="Times New Roman"/>
        </w:rPr>
      </w:pPr>
      <w:r w:rsidRPr="00601B9F">
        <w:rPr>
          <w:rFonts w:ascii="Times New Roman" w:hAnsi="Times New Roman" w:cs="Times New Roman"/>
        </w:rPr>
        <w:t>W konsekwencji zmian dotyczących art. 300 k.p.k. oraz art. 607l k.p.k. zaistnieje konieczność wydania przez Ministra Sprawiedliwości dwóch rozporządzeń zawierających wzory pouczeń dla podejrzanego w postępowaniu karnym oraz dla zatrzymanego na podstawie europejskiego nakazu aresztowania. Data wejścia w życie tych rozporządzeń została skorelowana z datą wejścia w życie zmian w Kodeksie postępowania karnego.</w:t>
      </w:r>
    </w:p>
    <w:p w14:paraId="2EC683E4" w14:textId="57D0147D" w:rsidR="00676D9C" w:rsidRPr="00601B9F" w:rsidRDefault="00676D9C" w:rsidP="00601B9F">
      <w:pPr>
        <w:pStyle w:val="ARTartustawynprozporzdzenia"/>
        <w:ind w:firstLine="0"/>
        <w:rPr>
          <w:rFonts w:ascii="Times New Roman" w:hAnsi="Times New Roman" w:cs="Times New Roman"/>
        </w:rPr>
      </w:pPr>
      <w:r w:rsidRPr="00601B9F">
        <w:rPr>
          <w:rFonts w:ascii="Times New Roman" w:hAnsi="Times New Roman" w:cs="Times New Roman"/>
        </w:rPr>
        <w:t xml:space="preserve">Projektowany art. 360 § 1 pkt 2 k.p.k. ma na celu zastąpienie używanego w nim pojęcia „nieletni” sformułowaniem odnoszącym się do oskarżonego, który nie ukończył 18 lat, które prowadzi do ujednolicenia w tym zakresie terminologii stosowanej na gruncie k.p.k. Projektowany przepis przewiduje wyłączenie jawności rozprawy, w sytuacji gdy choćby jeden z oskarżonych nie ukończył 18 lat. Opisywany przepis nie prowadzi do całkowitego wyeliminowania możliwości udziału w rozprawie osób postronnych. Konieczność zapewnienia społecznej kontroli nad sprawowaniem wymiaru sprawiedliwości jest na tyle istotna, że ograniczenie jawności rozprawy, choć dopuszczalne, nie powinno jej jednak całkowicie eliminować. Z tego względu ustawodawca na niejawnej rozprawie przewiduje </w:t>
      </w:r>
      <w:r w:rsidR="0079676B">
        <w:rPr>
          <w:rFonts w:ascii="Times New Roman" w:hAnsi="Times New Roman" w:cs="Times New Roman"/>
        </w:rPr>
        <w:t>„</w:t>
      </w:r>
      <w:r w:rsidRPr="00514C8D">
        <w:rPr>
          <w:rFonts w:ascii="Times New Roman" w:hAnsi="Times New Roman" w:cs="Times New Roman"/>
          <w:iCs/>
        </w:rPr>
        <w:t>ekwiwalenty publiczności</w:t>
      </w:r>
      <w:r w:rsidR="0079676B">
        <w:rPr>
          <w:rFonts w:ascii="Times New Roman" w:hAnsi="Times New Roman" w:cs="Times New Roman"/>
          <w:iCs/>
        </w:rPr>
        <w:t>”</w:t>
      </w:r>
      <w:r w:rsidRPr="00601B9F">
        <w:rPr>
          <w:rFonts w:ascii="Times New Roman" w:hAnsi="Times New Roman" w:cs="Times New Roman"/>
        </w:rPr>
        <w:t xml:space="preserve">. Jednym z nich jest uregulowana w art. 361 § 1 k.p.k. instytucja tzw. osób zaufania. Rolą osób zaufania jest uczestniczenie w procesie i kontrola prawidłowości jego przebiegu. Osoby uczestniczące w rozprawie niejawnej, wymienione w art. 361 k.p.k., są </w:t>
      </w:r>
      <w:r w:rsidRPr="00601B9F">
        <w:rPr>
          <w:rFonts w:ascii="Times New Roman" w:hAnsi="Times New Roman" w:cs="Times New Roman"/>
        </w:rPr>
        <w:lastRenderedPageBreak/>
        <w:t>obecne na rozprawie w charakterze publiczności, co oznacza wyłącznie uprawnienie do przyglądania i przysłuchiwania się rozprawie. Przepis art. 361 k.p.k. nie ma wpływu na stosowanie projektowanego niniejszą ustawą art. 76a k.p.k. Instytucja osoby towarzyszącej oskarżonemu, który nie ukończył 18 lat, w rozprawie albo posiedzeniu zgodnie z treścią art. 76a k.p.k. została opisana w uzasadnieniu powyżej i stanowi pełne wdrożenie art. 15 dyrektywy 2016/800 do polskiego porządku prawnego. W sytuacji gdy nastąpi wyłącz</w:t>
      </w:r>
      <w:r w:rsidR="004A2D9F">
        <w:rPr>
          <w:rFonts w:ascii="Times New Roman" w:hAnsi="Times New Roman" w:cs="Times New Roman"/>
        </w:rPr>
        <w:t>enie jawności na podstawie art. </w:t>
      </w:r>
      <w:r w:rsidRPr="00601B9F">
        <w:rPr>
          <w:rFonts w:ascii="Times New Roman" w:hAnsi="Times New Roman" w:cs="Times New Roman"/>
        </w:rPr>
        <w:t>360 § 1 pkt 2 k.p.k.</w:t>
      </w:r>
      <w:r w:rsidR="009471B6">
        <w:rPr>
          <w:rFonts w:ascii="Times New Roman" w:hAnsi="Times New Roman" w:cs="Times New Roman"/>
        </w:rPr>
        <w:t>,</w:t>
      </w:r>
      <w:r w:rsidRPr="00601B9F">
        <w:rPr>
          <w:rFonts w:ascii="Times New Roman" w:hAnsi="Times New Roman" w:cs="Times New Roman"/>
        </w:rPr>
        <w:t xml:space="preserve"> oskarżonemu, który nie ukończył 18 lat, będzie mogła towarzyszyć osoba, o której mowa w art. 76a k.p.k.; będzie on też mógł wskazać tzw. osoby zaufania zgodnie z art. 361 k.p.k.</w:t>
      </w:r>
    </w:p>
    <w:p w14:paraId="10BE8052" w14:textId="44976F94" w:rsidR="00676D9C" w:rsidRPr="00676D9C" w:rsidRDefault="00676D9C" w:rsidP="00601B9F">
      <w:pPr>
        <w:pStyle w:val="ARTartustawynprozporzdzenia"/>
        <w:ind w:firstLine="0"/>
        <w:rPr>
          <w:rFonts w:ascii="Times New Roman" w:hAnsi="Times New Roman" w:cs="Times New Roman"/>
          <w:szCs w:val="24"/>
          <w:shd w:val="clear" w:color="auto" w:fill="FFFFFF"/>
        </w:rPr>
      </w:pPr>
      <w:r w:rsidRPr="00601B9F">
        <w:rPr>
          <w:rFonts w:ascii="Times New Roman" w:hAnsi="Times New Roman" w:cs="Times New Roman"/>
        </w:rPr>
        <w:t xml:space="preserve">Ostatnia zmiana wynikająca z potrzeby implementacji dyrektywy 2016/800 przewidziana w projektowanej ustawie dotyczy art. 212 § 1 </w:t>
      </w:r>
      <w:proofErr w:type="spellStart"/>
      <w:r w:rsidRPr="00601B9F">
        <w:rPr>
          <w:rFonts w:ascii="Times New Roman" w:hAnsi="Times New Roman" w:cs="Times New Roman"/>
        </w:rPr>
        <w:t>k.k.w</w:t>
      </w:r>
      <w:proofErr w:type="spellEnd"/>
      <w:r w:rsidRPr="00601B9F">
        <w:rPr>
          <w:rFonts w:ascii="Times New Roman" w:hAnsi="Times New Roman" w:cs="Times New Roman"/>
        </w:rPr>
        <w:t>. Jej celem jest pełne wdrożenie art. 12 tej dyrektywy. Przepis ten jest dość złożony, gdyż dotyczy kwestii przetrzymywania pozbawionych wolności podejrzanych lub oskarżonych poniżej 18</w:t>
      </w:r>
      <w:r w:rsidR="00352E46">
        <w:rPr>
          <w:rFonts w:ascii="Times New Roman" w:hAnsi="Times New Roman" w:cs="Times New Roman"/>
        </w:rPr>
        <w:t xml:space="preserve"> lat</w:t>
      </w:r>
      <w:r w:rsidRPr="00601B9F">
        <w:rPr>
          <w:rFonts w:ascii="Times New Roman" w:hAnsi="Times New Roman" w:cs="Times New Roman"/>
        </w:rPr>
        <w:t xml:space="preserve">. Projektowany przepis art. 212 § 1 </w:t>
      </w:r>
      <w:proofErr w:type="spellStart"/>
      <w:r w:rsidRPr="00601B9F">
        <w:rPr>
          <w:rFonts w:ascii="Times New Roman" w:hAnsi="Times New Roman" w:cs="Times New Roman"/>
        </w:rPr>
        <w:t>k.k.w</w:t>
      </w:r>
      <w:proofErr w:type="spellEnd"/>
      <w:r w:rsidRPr="00601B9F">
        <w:rPr>
          <w:rFonts w:ascii="Times New Roman" w:hAnsi="Times New Roman" w:cs="Times New Roman"/>
        </w:rPr>
        <w:t xml:space="preserve">. jako zasadę statuuje osobne przetrzymywanie młodocianych od osób dorosłych. Wyjątkiem jest sytuacja, gdy wspólne przetrzymywanie osoby dorosłej jest podyktowane szczególnymi względami wychowawczymi. Brakującym, aczkolwiek istotnym elementem z puntu widzenia dyrektywy jest – w przepisach </w:t>
      </w:r>
      <w:proofErr w:type="spellStart"/>
      <w:r w:rsidRPr="00601B9F">
        <w:rPr>
          <w:rFonts w:ascii="Times New Roman" w:hAnsi="Times New Roman" w:cs="Times New Roman"/>
        </w:rPr>
        <w:t>k.k.w</w:t>
      </w:r>
      <w:proofErr w:type="spellEnd"/>
      <w:r w:rsidRPr="00601B9F">
        <w:rPr>
          <w:rFonts w:ascii="Times New Roman" w:hAnsi="Times New Roman" w:cs="Times New Roman"/>
        </w:rPr>
        <w:t xml:space="preserve">. – dobro dziecka (art. 12 ust. 1 dyrektywy). Z tego względu projektowany art. 212 </w:t>
      </w:r>
      <w:proofErr w:type="spellStart"/>
      <w:r w:rsidRPr="00601B9F">
        <w:rPr>
          <w:rFonts w:ascii="Times New Roman" w:hAnsi="Times New Roman" w:cs="Times New Roman"/>
        </w:rPr>
        <w:t>k.k.w</w:t>
      </w:r>
      <w:proofErr w:type="spellEnd"/>
      <w:r w:rsidRPr="00601B9F">
        <w:rPr>
          <w:rFonts w:ascii="Times New Roman" w:hAnsi="Times New Roman" w:cs="Times New Roman"/>
        </w:rPr>
        <w:t xml:space="preserve">. odwołuje się także do dobra młodocianych oraz młodocianych, którzy nie ukończyli 18 lat. Uwzględnienie tego elementu zapewni pełną zgodność rozwiązań prawa polskiego z art. 12 dyrektywy 2016/800. </w:t>
      </w:r>
      <w:r w:rsidR="009471B6">
        <w:rPr>
          <w:rFonts w:ascii="Times New Roman" w:hAnsi="Times New Roman" w:cs="Times New Roman"/>
        </w:rPr>
        <w:t>W</w:t>
      </w:r>
      <w:r w:rsidR="009471B6" w:rsidRPr="00601B9F">
        <w:rPr>
          <w:rFonts w:ascii="Times New Roman" w:hAnsi="Times New Roman" w:cs="Times New Roman"/>
        </w:rPr>
        <w:t xml:space="preserve">ypada jedynie </w:t>
      </w:r>
      <w:r w:rsidR="009471B6">
        <w:rPr>
          <w:rFonts w:ascii="Times New Roman" w:hAnsi="Times New Roman" w:cs="Times New Roman"/>
        </w:rPr>
        <w:t>w</w:t>
      </w:r>
      <w:r w:rsidRPr="00601B9F">
        <w:rPr>
          <w:rFonts w:ascii="Times New Roman" w:hAnsi="Times New Roman" w:cs="Times New Roman"/>
        </w:rPr>
        <w:t xml:space="preserve">skazać, </w:t>
      </w:r>
      <w:r w:rsidR="00352E46">
        <w:rPr>
          <w:rFonts w:ascii="Times New Roman" w:hAnsi="Times New Roman" w:cs="Times New Roman"/>
        </w:rPr>
        <w:t>i</w:t>
      </w:r>
      <w:r w:rsidR="009471B6">
        <w:rPr>
          <w:rFonts w:ascii="Times New Roman" w:hAnsi="Times New Roman" w:cs="Times New Roman"/>
        </w:rPr>
        <w:t>ż</w:t>
      </w:r>
      <w:r w:rsidRPr="00601B9F">
        <w:rPr>
          <w:rFonts w:ascii="Times New Roman" w:hAnsi="Times New Roman" w:cs="Times New Roman"/>
        </w:rPr>
        <w:t xml:space="preserve"> o ile projektowana ustawa w przepisach k.p.k. odwołuje się do praw i interesów oskarżonego, który nie ukończył 18 lat, o tyle w zakresie przepisów </w:t>
      </w:r>
      <w:proofErr w:type="spellStart"/>
      <w:r w:rsidRPr="00601B9F">
        <w:rPr>
          <w:rFonts w:ascii="Times New Roman" w:hAnsi="Times New Roman" w:cs="Times New Roman"/>
        </w:rPr>
        <w:t>k.k.w</w:t>
      </w:r>
      <w:proofErr w:type="spellEnd"/>
      <w:r w:rsidR="009471B6">
        <w:rPr>
          <w:rFonts w:ascii="Times New Roman" w:hAnsi="Times New Roman" w:cs="Times New Roman"/>
        </w:rPr>
        <w:t>.</w:t>
      </w:r>
      <w:r w:rsidRPr="00601B9F">
        <w:rPr>
          <w:rFonts w:ascii="Times New Roman" w:hAnsi="Times New Roman" w:cs="Times New Roman"/>
        </w:rPr>
        <w:t xml:space="preserve"> posługuje się terminem „dobro młodocianego”, co jest podyktowane specyfiką terminologii przyjętej na gruncie obydwu kodeksów.</w:t>
      </w:r>
    </w:p>
    <w:p w14:paraId="774D8FFE" w14:textId="3BAD89B1" w:rsidR="00676D9C" w:rsidRPr="00601B9F" w:rsidRDefault="00676D9C" w:rsidP="00C470D1">
      <w:pPr>
        <w:pStyle w:val="ARTartustawynprozporzdzenia"/>
        <w:ind w:firstLine="0"/>
        <w:rPr>
          <w:rFonts w:ascii="Times New Roman" w:hAnsi="Times New Roman" w:cs="Times New Roman"/>
        </w:rPr>
      </w:pPr>
      <w:r w:rsidRPr="00676D9C">
        <w:rPr>
          <w:rFonts w:ascii="Times New Roman" w:hAnsi="Times New Roman" w:cs="Times New Roman"/>
          <w:szCs w:val="24"/>
        </w:rPr>
        <w:t xml:space="preserve">Uzupełniająca implementacja dyrektywy 2011/93 uwzględniająca wniosek Komisji Europejskiej skierowany wobec Polski w ramach procedury </w:t>
      </w:r>
      <w:proofErr w:type="spellStart"/>
      <w:r w:rsidRPr="00676D9C">
        <w:rPr>
          <w:rFonts w:ascii="Times New Roman" w:hAnsi="Times New Roman" w:cs="Times New Roman"/>
          <w:szCs w:val="24"/>
        </w:rPr>
        <w:t>naruszeniowe</w:t>
      </w:r>
      <w:r w:rsidRPr="00C470D1">
        <w:rPr>
          <w:rFonts w:ascii="Times New Roman" w:hAnsi="Times New Roman" w:cs="Times New Roman"/>
          <w:szCs w:val="24"/>
        </w:rPr>
        <w:t>j</w:t>
      </w:r>
      <w:proofErr w:type="spellEnd"/>
      <w:r w:rsidRPr="00C470D1">
        <w:rPr>
          <w:rFonts w:ascii="Times New Roman" w:hAnsi="Times New Roman" w:cs="Times New Roman"/>
          <w:szCs w:val="24"/>
        </w:rPr>
        <w:t xml:space="preserve"> polega na podniesieniu górnej granicy kary wymierzanej za przestępstwo z art. 202 § 4b k.k. z dotychczasowych dwóch do trzec</w:t>
      </w:r>
      <w:r w:rsidRPr="00676D9C">
        <w:rPr>
          <w:rFonts w:ascii="Times New Roman" w:hAnsi="Times New Roman" w:cs="Times New Roman"/>
          <w:szCs w:val="24"/>
        </w:rPr>
        <w:t xml:space="preserve">h lat pozbawienia wolności, czego wymaga art. 5 ust. 6 dyrektywy 2011/93. Pozostałe przepisy dyrektywy 2011/93 obecnie są już implementowane do systemu prawa krajowego m.in. w przepisach k.k. dotyczących przestępstwa pornografii, prostytucji, prezentacji pornograficznych i groomingu (zachęcanie do czynności seksualnych za pośrednictwem sieci Internet), a także odnoszących się do przepadku narzędzi i korzyści pochodzących z tych przestępstw, przedawnienia ścigania tych czynów i jurysdykcji. Ponadto </w:t>
      </w:r>
      <w:r w:rsidRPr="00676D9C">
        <w:rPr>
          <w:rFonts w:ascii="Times New Roman" w:hAnsi="Times New Roman" w:cs="Times New Roman"/>
          <w:szCs w:val="24"/>
        </w:rPr>
        <w:lastRenderedPageBreak/>
        <w:t xml:space="preserve">przepisy dyrektywy są realizowane przez praktyczne działania nakierowane na pomoc i wsparcie dla małoletnich pokrzywdzonych będących ofiarami wskazanych przestępstw. </w:t>
      </w:r>
    </w:p>
    <w:p w14:paraId="759A0B0A" w14:textId="00A06519" w:rsidR="00676D9C" w:rsidRPr="00676D9C" w:rsidRDefault="00676D9C" w:rsidP="00C470D1">
      <w:pPr>
        <w:pStyle w:val="NIEARTTEKSTtekstnieartykuowanynppodstprawnarozplubpreambua"/>
        <w:ind w:firstLine="0"/>
        <w:rPr>
          <w:rFonts w:ascii="Times New Roman" w:hAnsi="Times New Roman" w:cs="Times New Roman"/>
          <w:szCs w:val="24"/>
          <w:u w:val="single"/>
        </w:rPr>
      </w:pPr>
      <w:r w:rsidRPr="00676D9C">
        <w:rPr>
          <w:rFonts w:ascii="Times New Roman" w:hAnsi="Times New Roman" w:cs="Times New Roman"/>
          <w:szCs w:val="24"/>
          <w:u w:val="single"/>
        </w:rPr>
        <w:t>Zmiany w odnośnikach do ustaw</w:t>
      </w:r>
    </w:p>
    <w:p w14:paraId="31A683EE" w14:textId="51A35A2F" w:rsidR="00676D9C" w:rsidRPr="000419B3" w:rsidRDefault="00676D9C" w:rsidP="00601B9F">
      <w:pPr>
        <w:pStyle w:val="NIEARTTEKSTtekstnieartykuowanynppodstprawnarozplubpreambua"/>
        <w:ind w:firstLine="0"/>
        <w:rPr>
          <w:rFonts w:ascii="Times New Roman" w:hAnsi="Times New Roman" w:cs="Times New Roman"/>
          <w:szCs w:val="24"/>
        </w:rPr>
      </w:pPr>
      <w:r w:rsidRPr="00C470D1">
        <w:rPr>
          <w:rFonts w:ascii="Times New Roman" w:hAnsi="Times New Roman" w:cs="Times New Roman"/>
          <w:szCs w:val="24"/>
        </w:rPr>
        <w:t xml:space="preserve">Projekt ustawy zawiera również zmiany w odnośniku do </w:t>
      </w:r>
      <w:r w:rsidRPr="00191EB8">
        <w:rPr>
          <w:rFonts w:ascii="Times New Roman" w:hAnsi="Times New Roman" w:cs="Times New Roman"/>
          <w:szCs w:val="24"/>
        </w:rPr>
        <w:t>k.p.k., a także w postaci dodania odnośnik</w:t>
      </w:r>
      <w:r w:rsidRPr="000419B3">
        <w:rPr>
          <w:rFonts w:ascii="Times New Roman" w:hAnsi="Times New Roman" w:cs="Times New Roman"/>
          <w:szCs w:val="24"/>
        </w:rPr>
        <w:t xml:space="preserve">ów do </w:t>
      </w:r>
      <w:proofErr w:type="spellStart"/>
      <w:r w:rsidRPr="000419B3">
        <w:rPr>
          <w:rFonts w:ascii="Times New Roman" w:hAnsi="Times New Roman" w:cs="Times New Roman"/>
          <w:szCs w:val="24"/>
        </w:rPr>
        <w:t>k.k.s</w:t>
      </w:r>
      <w:proofErr w:type="spellEnd"/>
      <w:r w:rsidRPr="000419B3">
        <w:rPr>
          <w:rFonts w:ascii="Times New Roman" w:hAnsi="Times New Roman" w:cs="Times New Roman"/>
          <w:szCs w:val="24"/>
        </w:rPr>
        <w:t>. i</w:t>
      </w:r>
      <w:r w:rsidR="000419B3">
        <w:rPr>
          <w:rFonts w:ascii="Times New Roman" w:hAnsi="Times New Roman" w:cs="Times New Roman"/>
          <w:szCs w:val="24"/>
        </w:rPr>
        <w:t xml:space="preserve"> </w:t>
      </w:r>
      <w:r w:rsidRPr="000419B3">
        <w:rPr>
          <w:rFonts w:ascii="Times New Roman" w:hAnsi="Times New Roman" w:cs="Times New Roman"/>
          <w:szCs w:val="24"/>
        </w:rPr>
        <w:t>k.k.</w:t>
      </w:r>
    </w:p>
    <w:p w14:paraId="5C2020B2" w14:textId="25C70845" w:rsidR="00676D9C" w:rsidRPr="00601B9F" w:rsidRDefault="00645257" w:rsidP="00601B9F">
      <w:pPr>
        <w:pStyle w:val="ARTartustawynprozporzdzenia"/>
        <w:ind w:firstLine="0"/>
        <w:rPr>
          <w:rFonts w:ascii="Times New Roman" w:hAnsi="Times New Roman" w:cs="Times New Roman"/>
        </w:rPr>
      </w:pPr>
      <w:r>
        <w:rPr>
          <w:rFonts w:ascii="Times New Roman" w:hAnsi="Times New Roman" w:cs="Times New Roman"/>
        </w:rPr>
        <w:t>N</w:t>
      </w:r>
      <w:r w:rsidRPr="00601B9F">
        <w:rPr>
          <w:rFonts w:ascii="Times New Roman" w:hAnsi="Times New Roman" w:cs="Times New Roman"/>
        </w:rPr>
        <w:t xml:space="preserve">ależy </w:t>
      </w:r>
      <w:r>
        <w:rPr>
          <w:rFonts w:ascii="Times New Roman" w:hAnsi="Times New Roman" w:cs="Times New Roman"/>
        </w:rPr>
        <w:t>w</w:t>
      </w:r>
      <w:r w:rsidR="00676D9C" w:rsidRPr="00601B9F">
        <w:rPr>
          <w:rFonts w:ascii="Times New Roman" w:hAnsi="Times New Roman" w:cs="Times New Roman"/>
        </w:rPr>
        <w:t xml:space="preserve">skazać, że zmiana w odnośniku 1 do tytułu k.p.k. polega na dodaniu do niego odwołania do dyrektywy Parlamentu Europejskiego i Rady </w:t>
      </w:r>
      <w:r w:rsidR="00352E46">
        <w:rPr>
          <w:rFonts w:ascii="Times New Roman" w:hAnsi="Times New Roman" w:cs="Times New Roman"/>
        </w:rPr>
        <w:t xml:space="preserve">(UE) </w:t>
      </w:r>
      <w:r w:rsidR="00676D9C" w:rsidRPr="00601B9F">
        <w:rPr>
          <w:rFonts w:ascii="Times New Roman" w:hAnsi="Times New Roman" w:cs="Times New Roman"/>
        </w:rPr>
        <w:t xml:space="preserve">2016/1919 z dnia 26 października 2016 r. w sprawie pomocy prawnej z urzędu dla podejrzanych i oskarżonych w postępowaniu karnym oraz dla osób, których dotyczy wniosek w postępowaniu dotyczącym europejskiego nakazu aresztowania, a wprowadzany niniejszą ustawą odnośnik nr 1 do </w:t>
      </w:r>
      <w:proofErr w:type="spellStart"/>
      <w:r w:rsidR="00676D9C" w:rsidRPr="00601B9F">
        <w:rPr>
          <w:rFonts w:ascii="Times New Roman" w:hAnsi="Times New Roman" w:cs="Times New Roman"/>
        </w:rPr>
        <w:t>k.k.s</w:t>
      </w:r>
      <w:proofErr w:type="spellEnd"/>
      <w:r w:rsidR="00676D9C" w:rsidRPr="00601B9F">
        <w:rPr>
          <w:rFonts w:ascii="Times New Roman" w:hAnsi="Times New Roman" w:cs="Times New Roman"/>
        </w:rPr>
        <w:t xml:space="preserve">. zawiera odwołanie do dyrektywy </w:t>
      </w:r>
      <w:r w:rsidR="00676D9C" w:rsidRPr="00676D9C">
        <w:rPr>
          <w:rFonts w:ascii="Times New Roman" w:eastAsia="Times New Roman" w:hAnsi="Times New Roman" w:cs="Times New Roman"/>
          <w:bCs/>
          <w:szCs w:val="24"/>
        </w:rPr>
        <w:t>Parlamentu Europejskiego i Rady (UE</w:t>
      </w:r>
      <w:r w:rsidR="004A2D9F">
        <w:rPr>
          <w:rFonts w:ascii="Times New Roman" w:eastAsia="Times New Roman" w:hAnsi="Times New Roman" w:cs="Times New Roman"/>
          <w:bCs/>
          <w:szCs w:val="24"/>
        </w:rPr>
        <w:t>) 2017/1371 z dnia 5 lipca 2017 </w:t>
      </w:r>
      <w:r w:rsidR="00676D9C" w:rsidRPr="00676D9C">
        <w:rPr>
          <w:rFonts w:ascii="Times New Roman" w:eastAsia="Times New Roman" w:hAnsi="Times New Roman" w:cs="Times New Roman"/>
          <w:bCs/>
          <w:szCs w:val="24"/>
        </w:rPr>
        <w:t>r. w sprawie zwalczania za pośrednictwem prawa karnego nadużyć na szkodę interesów finansowych Unii</w:t>
      </w:r>
      <w:r w:rsidR="00676D9C" w:rsidRPr="00601B9F">
        <w:rPr>
          <w:rFonts w:ascii="Times New Roman" w:hAnsi="Times New Roman" w:cs="Times New Roman"/>
        </w:rPr>
        <w:t xml:space="preserve">. Ponadto niniejsza ustawa wprowadza także odnośnik nr 1 do k.k., który zawiera odwołanie do </w:t>
      </w:r>
      <w:r w:rsidR="00676D9C" w:rsidRPr="00676D9C">
        <w:rPr>
          <w:rFonts w:ascii="Times New Roman" w:eastAsia="Times New Roman" w:hAnsi="Times New Roman" w:cs="Times New Roman"/>
          <w:bCs/>
          <w:szCs w:val="24"/>
        </w:rPr>
        <w:t xml:space="preserve">dyrektywy Parlamentu Europejskiego i Rady </w:t>
      </w:r>
      <w:r w:rsidR="00A5067A">
        <w:rPr>
          <w:rFonts w:ascii="Times New Roman" w:hAnsi="Times New Roman" w:cs="Times New Roman"/>
          <w:szCs w:val="24"/>
        </w:rPr>
        <w:t>(UE) 2018/1673 z dnia 23 </w:t>
      </w:r>
      <w:r w:rsidR="00676D9C" w:rsidRPr="00676D9C">
        <w:rPr>
          <w:rFonts w:ascii="Times New Roman" w:hAnsi="Times New Roman" w:cs="Times New Roman"/>
          <w:szCs w:val="24"/>
        </w:rPr>
        <w:t>października 2018 r. w sprawie zwalczania prania pieniędzy za pomocą środków prawnokarnych</w:t>
      </w:r>
      <w:r w:rsidR="00676D9C" w:rsidRPr="00C470D1">
        <w:rPr>
          <w:rFonts w:ascii="Times New Roman" w:hAnsi="Times New Roman" w:cs="Times New Roman"/>
          <w:szCs w:val="24"/>
        </w:rPr>
        <w:t xml:space="preserve"> oraz do </w:t>
      </w:r>
      <w:bookmarkStart w:id="5" w:name="_Hlk91059314"/>
      <w:r w:rsidR="00676D9C" w:rsidRPr="00C470D1">
        <w:rPr>
          <w:rFonts w:ascii="Times New Roman" w:hAnsi="Times New Roman" w:cs="Times New Roman"/>
          <w:szCs w:val="24"/>
        </w:rPr>
        <w:t xml:space="preserve">dyrektywy Parlamentu Europejskiego i Rady </w:t>
      </w:r>
      <w:r w:rsidR="00676D9C" w:rsidRPr="00191EB8">
        <w:rPr>
          <w:rFonts w:ascii="Times New Roman" w:hAnsi="Times New Roman" w:cs="Times New Roman"/>
          <w:szCs w:val="24"/>
        </w:rPr>
        <w:t>(UE) 2019/713</w:t>
      </w:r>
      <w:bookmarkEnd w:id="5"/>
      <w:r w:rsidR="00676D9C" w:rsidRPr="00191EB8">
        <w:rPr>
          <w:rFonts w:ascii="Times New Roman" w:hAnsi="Times New Roman" w:cs="Times New Roman"/>
          <w:szCs w:val="24"/>
        </w:rPr>
        <w:t xml:space="preserve"> w sprawie zwalczania fałszowania i oszu</w:t>
      </w:r>
      <w:r w:rsidR="00676D9C" w:rsidRPr="000419B3">
        <w:rPr>
          <w:rFonts w:ascii="Times New Roman" w:hAnsi="Times New Roman" w:cs="Times New Roman"/>
          <w:szCs w:val="24"/>
        </w:rPr>
        <w:t>stw związanych z bezgotówkowymi środkami płatniczymi, zastępującej decyzję ramową Rady 2001/413/</w:t>
      </w:r>
      <w:proofErr w:type="spellStart"/>
      <w:r w:rsidR="00676D9C" w:rsidRPr="000419B3">
        <w:rPr>
          <w:rFonts w:ascii="Times New Roman" w:hAnsi="Times New Roman" w:cs="Times New Roman"/>
          <w:szCs w:val="24"/>
        </w:rPr>
        <w:t>WSiSW</w:t>
      </w:r>
      <w:proofErr w:type="spellEnd"/>
      <w:r w:rsidR="00676D9C" w:rsidRPr="00601B9F">
        <w:rPr>
          <w:rFonts w:ascii="Times New Roman" w:hAnsi="Times New Roman" w:cs="Times New Roman"/>
        </w:rPr>
        <w:t xml:space="preserve">. </w:t>
      </w:r>
    </w:p>
    <w:p w14:paraId="57932155" w14:textId="2695281D" w:rsidR="00676D9C" w:rsidRPr="00676D9C" w:rsidRDefault="00676D9C" w:rsidP="00601B9F">
      <w:pPr>
        <w:pStyle w:val="ARTartustawynprozporzdzenia"/>
        <w:ind w:firstLine="0"/>
        <w:rPr>
          <w:rFonts w:ascii="Times New Roman" w:hAnsi="Times New Roman" w:cs="Times New Roman"/>
          <w:szCs w:val="24"/>
        </w:rPr>
      </w:pPr>
      <w:r w:rsidRPr="00676D9C">
        <w:rPr>
          <w:rFonts w:ascii="Times New Roman" w:hAnsi="Times New Roman" w:cs="Times New Roman"/>
          <w:szCs w:val="24"/>
        </w:rPr>
        <w:t xml:space="preserve">Postanowienia dyrektywy 2016/1919 są realizowane przez przepisy k.p.k. dotyczące wyznaczenia podejrzanemu obrońcy z urzędu, jak też adwokata dla osoby zatrzymanej w trybie przyspieszonym. W szczególności chodzi o przepisy art. 78 i art. </w:t>
      </w:r>
      <w:r w:rsidRPr="00C470D1">
        <w:rPr>
          <w:rFonts w:ascii="Times New Roman" w:hAnsi="Times New Roman" w:cs="Times New Roman"/>
          <w:szCs w:val="24"/>
        </w:rPr>
        <w:t>79 § 1 i 2, art. 80–</w:t>
      </w:r>
      <w:r w:rsidRPr="00191EB8">
        <w:rPr>
          <w:rFonts w:ascii="Times New Roman" w:hAnsi="Times New Roman" w:cs="Times New Roman"/>
          <w:szCs w:val="24"/>
        </w:rPr>
        <w:t>81a, art.</w:t>
      </w:r>
      <w:r w:rsidR="00A5067A">
        <w:rPr>
          <w:rFonts w:ascii="Times New Roman" w:hAnsi="Times New Roman" w:cs="Times New Roman"/>
          <w:szCs w:val="24"/>
        </w:rPr>
        <w:t> </w:t>
      </w:r>
      <w:r w:rsidRPr="00191EB8">
        <w:rPr>
          <w:rFonts w:ascii="Times New Roman" w:hAnsi="Times New Roman" w:cs="Times New Roman"/>
          <w:szCs w:val="24"/>
        </w:rPr>
        <w:t xml:space="preserve">245, art. 249 § 3 i 5, art. 517j i art. 617l § 4 k.p.k., a także rozporządzenie Ministra Sprawiedliwości </w:t>
      </w:r>
      <w:r w:rsidRPr="000419B3">
        <w:rPr>
          <w:rFonts w:ascii="Times New Roman" w:hAnsi="Times New Roman" w:cs="Times New Roman"/>
          <w:szCs w:val="24"/>
        </w:rPr>
        <w:t xml:space="preserve">z dnia 23 czerwca 2015 r. w sprawie sposobu zapewnienia oskarżonemu korzystania z pomocy obrońcy w postępowaniu przyspieszonym (Dz. U. poz. 920), </w:t>
      </w:r>
      <w:r w:rsidRPr="00676D9C">
        <w:rPr>
          <w:rFonts w:ascii="Times New Roman" w:hAnsi="Times New Roman" w:cs="Times New Roman"/>
          <w:szCs w:val="24"/>
        </w:rPr>
        <w:t>jak również rozporządzenie Ministra Sprawiedliwości z dnia 28 września 2020 r. w sprawie sposobu zapewnienia oskarżonemu korzystania z pomocy obrońcy z urzędu (Dz. U. poz. 1681).</w:t>
      </w:r>
    </w:p>
    <w:p w14:paraId="42729D75" w14:textId="7A95104F" w:rsidR="00676D9C" w:rsidRPr="00676D9C" w:rsidRDefault="00676D9C" w:rsidP="00601B9F">
      <w:pPr>
        <w:pStyle w:val="ARTartustawynprozporzdzenia"/>
        <w:ind w:firstLine="0"/>
        <w:rPr>
          <w:rFonts w:ascii="Times New Roman" w:hAnsi="Times New Roman" w:cs="Times New Roman"/>
          <w:szCs w:val="24"/>
        </w:rPr>
      </w:pPr>
      <w:r w:rsidRPr="00601B9F">
        <w:rPr>
          <w:rFonts w:ascii="Times New Roman" w:hAnsi="Times New Roman" w:cs="Times New Roman"/>
          <w:szCs w:val="24"/>
        </w:rPr>
        <w:t>W zakresie dyrektywy 2017/1371 to wymogi w niej przewidziane są głównie realizowane przez przepisy k.k. oraz</w:t>
      </w:r>
      <w:r w:rsidR="00191EB8">
        <w:rPr>
          <w:rFonts w:ascii="Times New Roman" w:hAnsi="Times New Roman" w:cs="Times New Roman"/>
          <w:szCs w:val="24"/>
        </w:rPr>
        <w:t xml:space="preserve"> </w:t>
      </w:r>
      <w:proofErr w:type="spellStart"/>
      <w:r w:rsidRPr="00601B9F">
        <w:rPr>
          <w:rFonts w:ascii="Times New Roman" w:hAnsi="Times New Roman" w:cs="Times New Roman"/>
          <w:szCs w:val="24"/>
        </w:rPr>
        <w:t>k.k.s</w:t>
      </w:r>
      <w:proofErr w:type="spellEnd"/>
      <w:r w:rsidRPr="00601B9F">
        <w:rPr>
          <w:rFonts w:ascii="Times New Roman" w:hAnsi="Times New Roman" w:cs="Times New Roman"/>
          <w:szCs w:val="24"/>
        </w:rPr>
        <w:t>., a także przepisy ustawy z dnia 28 października 2002 r. o odpowiedzialności podmiotów zbiorowych za czyny zabronione pod groźbą kary (Dz. U. z 2020 r. poz. 358, z 2021 r. poz. 1177 oraz z 2022 r. poz. 1488, 1726 i 2600). W szczególności chodzi o przepisy art. 20 § 2, art. 21 § 2 i 3, art. 27 § 1, art. 53 § 14</w:t>
      </w:r>
      <w:r w:rsidR="00191EB8">
        <w:rPr>
          <w:rFonts w:ascii="Times New Roman" w:hAnsi="Times New Roman" w:cs="Times New Roman"/>
          <w:szCs w:val="24"/>
        </w:rPr>
        <w:t>–</w:t>
      </w:r>
      <w:r w:rsidRPr="00601B9F">
        <w:rPr>
          <w:rFonts w:ascii="Times New Roman" w:hAnsi="Times New Roman" w:cs="Times New Roman"/>
          <w:szCs w:val="24"/>
        </w:rPr>
        <w:t xml:space="preserve">16 </w:t>
      </w:r>
      <w:proofErr w:type="spellStart"/>
      <w:r w:rsidRPr="00601B9F">
        <w:rPr>
          <w:rFonts w:ascii="Times New Roman" w:hAnsi="Times New Roman" w:cs="Times New Roman"/>
          <w:szCs w:val="24"/>
        </w:rPr>
        <w:t>k.k.s</w:t>
      </w:r>
      <w:proofErr w:type="spellEnd"/>
      <w:r w:rsidR="00126962">
        <w:rPr>
          <w:rFonts w:ascii="Times New Roman" w:hAnsi="Times New Roman" w:cs="Times New Roman"/>
          <w:szCs w:val="24"/>
        </w:rPr>
        <w:t>.</w:t>
      </w:r>
      <w:r w:rsidRPr="00601B9F">
        <w:rPr>
          <w:rFonts w:ascii="Times New Roman" w:hAnsi="Times New Roman" w:cs="Times New Roman"/>
          <w:szCs w:val="24"/>
        </w:rPr>
        <w:t xml:space="preserve"> oraz art. 13 i </w:t>
      </w:r>
      <w:r w:rsidR="00126962">
        <w:rPr>
          <w:rFonts w:ascii="Times New Roman" w:hAnsi="Times New Roman" w:cs="Times New Roman"/>
          <w:szCs w:val="24"/>
        </w:rPr>
        <w:t xml:space="preserve">art. </w:t>
      </w:r>
      <w:r w:rsidRPr="00601B9F">
        <w:rPr>
          <w:rFonts w:ascii="Times New Roman" w:hAnsi="Times New Roman" w:cs="Times New Roman"/>
          <w:szCs w:val="24"/>
        </w:rPr>
        <w:t xml:space="preserve">14, art. 18 i </w:t>
      </w:r>
      <w:r w:rsidR="00126962">
        <w:rPr>
          <w:rFonts w:ascii="Times New Roman" w:hAnsi="Times New Roman" w:cs="Times New Roman"/>
          <w:szCs w:val="24"/>
        </w:rPr>
        <w:t xml:space="preserve">art. </w:t>
      </w:r>
      <w:r w:rsidRPr="00601B9F">
        <w:rPr>
          <w:rFonts w:ascii="Times New Roman" w:hAnsi="Times New Roman" w:cs="Times New Roman"/>
          <w:szCs w:val="24"/>
        </w:rPr>
        <w:t xml:space="preserve">19, art. 270 § 1 i 2, art. 270a § 1 i 2, art. 271a § 1 i 2, art. 277a § 1, </w:t>
      </w:r>
      <w:r w:rsidR="00126962">
        <w:rPr>
          <w:rFonts w:ascii="Times New Roman" w:hAnsi="Times New Roman" w:cs="Times New Roman"/>
          <w:szCs w:val="24"/>
        </w:rPr>
        <w:t xml:space="preserve">art. </w:t>
      </w:r>
      <w:r w:rsidRPr="00601B9F">
        <w:rPr>
          <w:rFonts w:ascii="Times New Roman" w:hAnsi="Times New Roman" w:cs="Times New Roman"/>
          <w:szCs w:val="24"/>
        </w:rPr>
        <w:t xml:space="preserve">284 § 2, </w:t>
      </w:r>
      <w:r w:rsidRPr="00601B9F">
        <w:rPr>
          <w:rFonts w:ascii="Times New Roman" w:hAnsi="Times New Roman" w:cs="Times New Roman"/>
          <w:szCs w:val="24"/>
        </w:rPr>
        <w:lastRenderedPageBreak/>
        <w:t>art. 286 § 1, art. 294 § 1</w:t>
      </w:r>
      <w:r w:rsidR="00352E46">
        <w:rPr>
          <w:rFonts w:ascii="Times New Roman" w:hAnsi="Times New Roman" w:cs="Times New Roman"/>
          <w:szCs w:val="24"/>
        </w:rPr>
        <w:t>,</w:t>
      </w:r>
      <w:r w:rsidRPr="00601B9F">
        <w:rPr>
          <w:rFonts w:ascii="Times New Roman" w:hAnsi="Times New Roman" w:cs="Times New Roman"/>
          <w:szCs w:val="24"/>
        </w:rPr>
        <w:t xml:space="preserve"> art. 297 § 1 </w:t>
      </w:r>
      <w:r w:rsidR="00352E46">
        <w:rPr>
          <w:rFonts w:ascii="Times New Roman" w:hAnsi="Times New Roman" w:cs="Times New Roman"/>
          <w:szCs w:val="24"/>
        </w:rPr>
        <w:t xml:space="preserve">i </w:t>
      </w:r>
      <w:r w:rsidR="00352E46" w:rsidRPr="00601B9F">
        <w:rPr>
          <w:rFonts w:ascii="Times New Roman" w:hAnsi="Times New Roman" w:cs="Times New Roman"/>
          <w:szCs w:val="24"/>
        </w:rPr>
        <w:t xml:space="preserve">art. 308, </w:t>
      </w:r>
      <w:r w:rsidRPr="00601B9F">
        <w:rPr>
          <w:rFonts w:ascii="Times New Roman" w:hAnsi="Times New Roman" w:cs="Times New Roman"/>
          <w:szCs w:val="24"/>
        </w:rPr>
        <w:t>k.k. Gdy chodzi o ustawę z dnia 28 października 20</w:t>
      </w:r>
      <w:r w:rsidR="00126962">
        <w:rPr>
          <w:rFonts w:ascii="Times New Roman" w:hAnsi="Times New Roman" w:cs="Times New Roman"/>
          <w:szCs w:val="24"/>
        </w:rPr>
        <w:t>02</w:t>
      </w:r>
      <w:r w:rsidRPr="00601B9F">
        <w:rPr>
          <w:rFonts w:ascii="Times New Roman" w:hAnsi="Times New Roman" w:cs="Times New Roman"/>
          <w:szCs w:val="24"/>
        </w:rPr>
        <w:t xml:space="preserve"> r. o odpowiedzialności podmiotów zbiorowych za czyny zabronione pod groźbą kary, to chodzi zaś o przepisy dotyczące zakresu odpowiedzialności tych podmiotów, jak również sankcji za popełnienie wskazanych przestępstw (art. 3–5, art. 7–9 i art. 16). </w:t>
      </w:r>
    </w:p>
    <w:p w14:paraId="420F7AB4" w14:textId="69DBD076" w:rsidR="00676D9C" w:rsidRPr="00676D9C" w:rsidRDefault="00676D9C" w:rsidP="00601B9F">
      <w:pPr>
        <w:spacing w:before="120"/>
        <w:jc w:val="both"/>
        <w:rPr>
          <w:rFonts w:cs="Times New Roman"/>
          <w:szCs w:val="24"/>
        </w:rPr>
      </w:pPr>
      <w:r w:rsidRPr="00676D9C">
        <w:rPr>
          <w:rFonts w:cs="Times New Roman"/>
          <w:szCs w:val="24"/>
        </w:rPr>
        <w:t xml:space="preserve">W odniesieniu do dyrektywy 2018/1673 </w:t>
      </w:r>
      <w:bookmarkStart w:id="6" w:name="_Hlk91059340"/>
      <w:r w:rsidR="00C77C37" w:rsidRPr="00676D9C">
        <w:rPr>
          <w:rFonts w:cs="Times New Roman"/>
          <w:szCs w:val="24"/>
        </w:rPr>
        <w:t xml:space="preserve">należy </w:t>
      </w:r>
      <w:r w:rsidRPr="00676D9C">
        <w:rPr>
          <w:rFonts w:cs="Times New Roman"/>
          <w:szCs w:val="24"/>
        </w:rPr>
        <w:t>wskazać, że je</w:t>
      </w:r>
      <w:r w:rsidRPr="00C470D1">
        <w:rPr>
          <w:rFonts w:cs="Times New Roman"/>
          <w:szCs w:val="24"/>
        </w:rPr>
        <w:t>j przepisy są w głównej mierze realizowane przez przepisy k.k.</w:t>
      </w:r>
      <w:r w:rsidRPr="00191EB8">
        <w:rPr>
          <w:rFonts w:cs="Times New Roman"/>
          <w:szCs w:val="24"/>
        </w:rPr>
        <w:t>, w szczególności określające</w:t>
      </w:r>
      <w:bookmarkEnd w:id="6"/>
      <w:r w:rsidRPr="00191EB8">
        <w:rPr>
          <w:rFonts w:cs="Times New Roman"/>
          <w:szCs w:val="24"/>
        </w:rPr>
        <w:t xml:space="preserve"> przestępstwa źródłowe dla przestępstw prania pieniędzy i terroryzmu, tj. m.in. art. 258 § 1 (udział w zorganizowanej grupie przestępczej), art. 282 (wymuszenie), art. 191 (groźba, zmuszenie), art. 255a (rozpowszechnianie treści mogących ułatwić popełnienie przestępstwa), art. 259a i art. 165a</w:t>
      </w:r>
      <w:r w:rsidR="00191EB8">
        <w:rPr>
          <w:rFonts w:cs="Times New Roman"/>
          <w:szCs w:val="24"/>
        </w:rPr>
        <w:t xml:space="preserve"> </w:t>
      </w:r>
      <w:r w:rsidR="00551951">
        <w:rPr>
          <w:rFonts w:cs="Times New Roman"/>
          <w:szCs w:val="24"/>
        </w:rPr>
        <w:t>§ </w:t>
      </w:r>
      <w:bookmarkStart w:id="7" w:name="_GoBack"/>
      <w:bookmarkEnd w:id="7"/>
      <w:r w:rsidRPr="00191EB8">
        <w:rPr>
          <w:rFonts w:cs="Times New Roman"/>
          <w:szCs w:val="24"/>
        </w:rPr>
        <w:t xml:space="preserve">1 (terroryzm), art. 189a, art. 264 § 3 i art. 264a § 1 (handel ludźmi i </w:t>
      </w:r>
      <w:r w:rsidR="00551951">
        <w:rPr>
          <w:rFonts w:cs="Times New Roman"/>
          <w:szCs w:val="24"/>
        </w:rPr>
        <w:t>nielegalna migracja), art. </w:t>
      </w:r>
      <w:r w:rsidRPr="00191EB8">
        <w:rPr>
          <w:rFonts w:cs="Times New Roman"/>
          <w:szCs w:val="24"/>
        </w:rPr>
        <w:t>197</w:t>
      </w:r>
      <w:r w:rsidRPr="000419B3">
        <w:rPr>
          <w:rFonts w:cs="Times New Roman"/>
          <w:szCs w:val="24"/>
        </w:rPr>
        <w:t>–204 (przestępstwa na tle seksualnym), art. 263 (nieleg</w:t>
      </w:r>
      <w:r w:rsidR="00551951">
        <w:rPr>
          <w:rFonts w:cs="Times New Roman"/>
          <w:szCs w:val="24"/>
        </w:rPr>
        <w:t>alny handel bronią), art. 291 i </w:t>
      </w:r>
      <w:r w:rsidRPr="000419B3">
        <w:rPr>
          <w:rFonts w:cs="Times New Roman"/>
          <w:szCs w:val="24"/>
        </w:rPr>
        <w:t xml:space="preserve">art. </w:t>
      </w:r>
      <w:r w:rsidRPr="0032676E">
        <w:rPr>
          <w:rFonts w:cs="Times New Roman"/>
          <w:szCs w:val="24"/>
        </w:rPr>
        <w:t>292 (handel skradz</w:t>
      </w:r>
      <w:r w:rsidRPr="00601B9F">
        <w:rPr>
          <w:rFonts w:cs="Times New Roman"/>
          <w:szCs w:val="24"/>
        </w:rPr>
        <w:t>ionymi towarami), art. 228–230a i art. 296a (korupcja), art. 181–188 (przestępstwa przeciwko środowisku) oraz art. 299 (pranie pieniędzy), art. 64 i art. 65 (okoliczności obciążające). Ponadto wymogi dyrektywy spełniają również art. 3–5</w:t>
      </w:r>
      <w:r w:rsidR="00A60C3F">
        <w:rPr>
          <w:rFonts w:cs="Times New Roman"/>
          <w:szCs w:val="24"/>
        </w:rPr>
        <w:t xml:space="preserve"> i</w:t>
      </w:r>
      <w:r w:rsidRPr="00601B9F">
        <w:rPr>
          <w:rFonts w:cs="Times New Roman"/>
          <w:szCs w:val="24"/>
        </w:rPr>
        <w:t xml:space="preserve"> art. 16 ustawy z dnia 28 </w:t>
      </w:r>
      <w:r w:rsidRPr="00676D9C">
        <w:rPr>
          <w:rFonts w:cs="Times New Roman"/>
          <w:szCs w:val="24"/>
        </w:rPr>
        <w:t>października 2002 r. o odpowiedzialności podmiotów zbiorowych za czyny zabronione pod groźbą kary.</w:t>
      </w:r>
    </w:p>
    <w:p w14:paraId="66E32620" w14:textId="5C334780" w:rsidR="00676D9C" w:rsidRPr="00601B9F" w:rsidRDefault="00676D9C" w:rsidP="00601B9F">
      <w:pPr>
        <w:spacing w:before="120"/>
        <w:jc w:val="both"/>
        <w:rPr>
          <w:rFonts w:cs="Times New Roman"/>
          <w:szCs w:val="24"/>
        </w:rPr>
      </w:pPr>
      <w:r w:rsidRPr="0032676E">
        <w:rPr>
          <w:rFonts w:cs="Times New Roman"/>
          <w:szCs w:val="24"/>
        </w:rPr>
        <w:t xml:space="preserve">W odniesieniu do dyrektywy Parlamentu Europejskiego i Rady 2019/713/UE </w:t>
      </w:r>
      <w:r w:rsidR="00A5599F" w:rsidRPr="0032676E">
        <w:rPr>
          <w:rFonts w:cs="Times New Roman"/>
          <w:szCs w:val="24"/>
        </w:rPr>
        <w:t xml:space="preserve">należy </w:t>
      </w:r>
      <w:r w:rsidRPr="0032676E">
        <w:rPr>
          <w:rFonts w:cs="Times New Roman"/>
          <w:szCs w:val="24"/>
        </w:rPr>
        <w:t xml:space="preserve">wskazać, że jej przepisy są w głównej mierze realizowane przez przepisy </w:t>
      </w:r>
      <w:r w:rsidRPr="00601B9F">
        <w:rPr>
          <w:rFonts w:cs="Times New Roman"/>
          <w:szCs w:val="24"/>
        </w:rPr>
        <w:t>k.k., w szczególności określające przestępstwa użycia bezgotówkowych instrumentów płatniczych w celu dokonania oszustwa, tj. m.in. art. 278 k.k., art. 284 k.k., art. 286 k.k., art. 287 k.k., w tym przestępstw użycia materialnych i niematerialnych instrumentów bezgotówkowych.</w:t>
      </w:r>
    </w:p>
    <w:p w14:paraId="333A988E" w14:textId="737A35A8" w:rsidR="00676D9C" w:rsidRPr="00676D9C" w:rsidRDefault="00676D9C" w:rsidP="00C470D1">
      <w:pPr>
        <w:pStyle w:val="NIEARTTEKSTtekstnieartykuowanynppodstprawnarozplubpreambua"/>
        <w:ind w:firstLine="0"/>
        <w:rPr>
          <w:rFonts w:ascii="Times New Roman" w:hAnsi="Times New Roman" w:cs="Times New Roman"/>
          <w:szCs w:val="24"/>
        </w:rPr>
      </w:pPr>
      <w:r w:rsidRPr="00676D9C">
        <w:rPr>
          <w:rFonts w:ascii="Times New Roman" w:hAnsi="Times New Roman" w:cs="Times New Roman"/>
          <w:szCs w:val="24"/>
        </w:rPr>
        <w:t>Powyższe zmiany wynikają z konieczności spełnienia wymogu zawarcia w przepisach krajowych odniesienia do tych dyrektyw, których postanowienia realizują wskazane ustawy. Wymóg wynika bezpośrednio z przepisów tych dyrektyw (art. 12 ust. 1 dyrektywy 2016/1919 oraz art. 17 ust. 1 dyrektywy 2017/1371 i art. 13 ust. 2 dyrektywy 2018/1673</w:t>
      </w:r>
      <w:r w:rsidR="00FB5988">
        <w:rPr>
          <w:rFonts w:ascii="Times New Roman" w:hAnsi="Times New Roman" w:cs="Times New Roman"/>
          <w:szCs w:val="24"/>
        </w:rPr>
        <w:t xml:space="preserve"> oraz</w:t>
      </w:r>
      <w:r w:rsidRPr="00676D9C">
        <w:rPr>
          <w:rFonts w:ascii="Times New Roman" w:hAnsi="Times New Roman" w:cs="Times New Roman"/>
          <w:szCs w:val="24"/>
        </w:rPr>
        <w:t xml:space="preserve"> art. 20 dyrektywy 2019/713). Obowiązujące przepisy k.p.k., k.k. i </w:t>
      </w:r>
      <w:proofErr w:type="spellStart"/>
      <w:r w:rsidRPr="00676D9C">
        <w:rPr>
          <w:rFonts w:ascii="Times New Roman" w:hAnsi="Times New Roman" w:cs="Times New Roman"/>
          <w:szCs w:val="24"/>
        </w:rPr>
        <w:t>k.k.s</w:t>
      </w:r>
      <w:proofErr w:type="spellEnd"/>
      <w:r w:rsidRPr="00676D9C">
        <w:rPr>
          <w:rFonts w:ascii="Times New Roman" w:hAnsi="Times New Roman" w:cs="Times New Roman"/>
          <w:szCs w:val="24"/>
        </w:rPr>
        <w:t>. są zgodne ze wskazanymi dyrektywami, tym samym nie zachodzi potrzeba dokonywania jakichkolwiek zmian w prawie, a jedynie odwołanie do dyrektyw powinno znaleźć się w formie odnośników do tytułów tych kodeksów.</w:t>
      </w:r>
    </w:p>
    <w:p w14:paraId="69FB4DE2" w14:textId="5D93BB05" w:rsidR="00676D9C" w:rsidRPr="000419B3" w:rsidRDefault="00676D9C" w:rsidP="00601B9F">
      <w:pPr>
        <w:pStyle w:val="NIEARTTEKSTtekstnieartykuowanynppodstprawnarozplubpreambua"/>
        <w:ind w:firstLine="0"/>
        <w:rPr>
          <w:rFonts w:ascii="Times New Roman" w:hAnsi="Times New Roman" w:cs="Times New Roman"/>
          <w:szCs w:val="24"/>
        </w:rPr>
      </w:pPr>
      <w:r w:rsidRPr="00676D9C">
        <w:rPr>
          <w:rFonts w:ascii="Times New Roman" w:hAnsi="Times New Roman" w:cs="Times New Roman"/>
          <w:szCs w:val="24"/>
        </w:rPr>
        <w:t>Projekt ustawy został pozytywnie zaopiniowany przez Komisję Wspólną Rządu i Samorządu Terytorialnego</w:t>
      </w:r>
      <w:r w:rsidR="00A5067A">
        <w:rPr>
          <w:rFonts w:ascii="Times New Roman" w:hAnsi="Times New Roman" w:cs="Times New Roman"/>
          <w:szCs w:val="24"/>
        </w:rPr>
        <w:t>.</w:t>
      </w:r>
      <w:r w:rsidRPr="000419B3">
        <w:rPr>
          <w:rFonts w:ascii="Times New Roman" w:hAnsi="Times New Roman" w:cs="Times New Roman"/>
          <w:szCs w:val="24"/>
        </w:rPr>
        <w:t xml:space="preserve"> </w:t>
      </w:r>
    </w:p>
    <w:p w14:paraId="68E7D02F" w14:textId="77777777" w:rsidR="00676D9C" w:rsidRPr="00676D9C" w:rsidRDefault="00676D9C" w:rsidP="00601B9F">
      <w:pPr>
        <w:pStyle w:val="NIEARTTEKSTtekstnieartykuowanynppodstprawnarozplubpreambua"/>
        <w:ind w:firstLine="0"/>
        <w:rPr>
          <w:rFonts w:ascii="Times New Roman" w:hAnsi="Times New Roman" w:cs="Times New Roman"/>
          <w:szCs w:val="24"/>
        </w:rPr>
      </w:pPr>
      <w:r w:rsidRPr="00676D9C">
        <w:rPr>
          <w:rFonts w:ascii="Times New Roman" w:hAnsi="Times New Roman" w:cs="Times New Roman"/>
          <w:szCs w:val="24"/>
        </w:rPr>
        <w:t xml:space="preserve">Projekt ustawy jest zgodny z prawem Unii Europejskiej. </w:t>
      </w:r>
    </w:p>
    <w:p w14:paraId="202A894C" w14:textId="26A80813" w:rsidR="00676D9C" w:rsidRPr="00676D9C" w:rsidRDefault="00676D9C" w:rsidP="00601B9F">
      <w:pPr>
        <w:pStyle w:val="NIEARTTEKSTtekstnieartykuowanynppodstprawnarozplubpreambua"/>
        <w:ind w:firstLine="0"/>
        <w:rPr>
          <w:rFonts w:ascii="Times New Roman" w:hAnsi="Times New Roman" w:cs="Times New Roman"/>
          <w:szCs w:val="24"/>
        </w:rPr>
      </w:pPr>
      <w:r w:rsidRPr="00676D9C">
        <w:rPr>
          <w:rFonts w:ascii="Times New Roman" w:hAnsi="Times New Roman" w:cs="Times New Roman"/>
          <w:szCs w:val="24"/>
        </w:rPr>
        <w:lastRenderedPageBreak/>
        <w:t>Projekt nie zawiera przepisów technicznych, a zatem nie podlega notyfikacji, zgodnie z trybem przewidzianym w rozporządzeniu Rady Ministrów z dnia 23 grudnia 2002 r. w sprawie sposobu funkcjonowania krajowego systemu notyfikacji norm i aktów prawnych (Dz. U. poz.</w:t>
      </w:r>
      <w:r w:rsidR="00191EB8">
        <w:rPr>
          <w:rFonts w:ascii="Times New Roman" w:hAnsi="Times New Roman" w:cs="Times New Roman"/>
          <w:szCs w:val="24"/>
        </w:rPr>
        <w:t xml:space="preserve"> </w:t>
      </w:r>
      <w:r w:rsidRPr="00191EB8">
        <w:rPr>
          <w:rFonts w:ascii="Times New Roman" w:hAnsi="Times New Roman" w:cs="Times New Roman"/>
          <w:szCs w:val="24"/>
        </w:rPr>
        <w:t xml:space="preserve">2039 </w:t>
      </w:r>
      <w:r w:rsidRPr="00601B9F">
        <w:rPr>
          <w:rFonts w:ascii="Times New Roman" w:hAnsi="Times New Roman" w:cs="Times New Roman"/>
        </w:rPr>
        <w:t>oraz z 2004 r. poz. 597</w:t>
      </w:r>
      <w:r w:rsidRPr="00676D9C">
        <w:rPr>
          <w:rFonts w:ascii="Times New Roman" w:hAnsi="Times New Roman" w:cs="Times New Roman"/>
          <w:szCs w:val="24"/>
        </w:rPr>
        <w:t xml:space="preserve">). </w:t>
      </w:r>
    </w:p>
    <w:p w14:paraId="1AE1E381" w14:textId="3AAB068B" w:rsidR="00676D9C" w:rsidRPr="00C470D1" w:rsidRDefault="00676D9C" w:rsidP="00601B9F">
      <w:pPr>
        <w:pStyle w:val="NIEARTTEKSTtekstnieartykuowanynppodstprawnarozplubpreambua"/>
        <w:ind w:firstLine="0"/>
        <w:rPr>
          <w:rFonts w:ascii="Times New Roman" w:hAnsi="Times New Roman" w:cs="Times New Roman"/>
          <w:szCs w:val="24"/>
        </w:rPr>
      </w:pPr>
      <w:r w:rsidRPr="00676D9C">
        <w:rPr>
          <w:rFonts w:ascii="Times New Roman" w:hAnsi="Times New Roman" w:cs="Times New Roman"/>
          <w:szCs w:val="24"/>
        </w:rPr>
        <w:t xml:space="preserve">Projekt ustawy nie będzie miał wpływu na działalność </w:t>
      </w:r>
      <w:proofErr w:type="spellStart"/>
      <w:r w:rsidRPr="00676D9C">
        <w:rPr>
          <w:rFonts w:ascii="Times New Roman" w:hAnsi="Times New Roman" w:cs="Times New Roman"/>
          <w:szCs w:val="24"/>
        </w:rPr>
        <w:t>mik</w:t>
      </w:r>
      <w:r w:rsidR="00A5067A">
        <w:rPr>
          <w:rFonts w:ascii="Times New Roman" w:hAnsi="Times New Roman" w:cs="Times New Roman"/>
          <w:szCs w:val="24"/>
        </w:rPr>
        <w:t>roprzedsiębiorców</w:t>
      </w:r>
      <w:proofErr w:type="spellEnd"/>
      <w:r w:rsidR="00A5067A">
        <w:rPr>
          <w:rFonts w:ascii="Times New Roman" w:hAnsi="Times New Roman" w:cs="Times New Roman"/>
          <w:szCs w:val="24"/>
        </w:rPr>
        <w:t xml:space="preserve"> oraz małych i </w:t>
      </w:r>
      <w:r w:rsidRPr="00676D9C">
        <w:rPr>
          <w:rFonts w:ascii="Times New Roman" w:hAnsi="Times New Roman" w:cs="Times New Roman"/>
          <w:szCs w:val="24"/>
        </w:rPr>
        <w:t>średn</w:t>
      </w:r>
      <w:r w:rsidRPr="00C470D1">
        <w:rPr>
          <w:rFonts w:ascii="Times New Roman" w:hAnsi="Times New Roman" w:cs="Times New Roman"/>
          <w:szCs w:val="24"/>
        </w:rPr>
        <w:t xml:space="preserve">ich przedsiębiorców. Nie przewiduje się również wpływu na rodzinę, obywateli oraz gospodarstwa domowe, w tym osoby starsze i </w:t>
      </w:r>
      <w:r w:rsidR="007E68DE">
        <w:rPr>
          <w:rFonts w:ascii="Times New Roman" w:hAnsi="Times New Roman" w:cs="Times New Roman"/>
          <w:szCs w:val="24"/>
        </w:rPr>
        <w:t xml:space="preserve">osoby </w:t>
      </w:r>
      <w:r w:rsidRPr="00C470D1">
        <w:rPr>
          <w:rFonts w:ascii="Times New Roman" w:hAnsi="Times New Roman" w:cs="Times New Roman"/>
          <w:szCs w:val="24"/>
        </w:rPr>
        <w:t xml:space="preserve">niepełnosprawne. </w:t>
      </w:r>
    </w:p>
    <w:p w14:paraId="784B8B52" w14:textId="6C353693" w:rsidR="00676D9C" w:rsidRPr="00676D9C" w:rsidRDefault="00676D9C" w:rsidP="00601B9F">
      <w:pPr>
        <w:pStyle w:val="NIEARTTEKSTtekstnieartykuowanynppodstprawnarozplubpreambua"/>
        <w:ind w:firstLine="0"/>
        <w:rPr>
          <w:rFonts w:ascii="Times New Roman" w:hAnsi="Times New Roman" w:cs="Times New Roman"/>
          <w:szCs w:val="24"/>
        </w:rPr>
      </w:pPr>
      <w:r w:rsidRPr="00601B9F">
        <w:rPr>
          <w:rFonts w:ascii="Times New Roman" w:hAnsi="Times New Roman" w:cs="Times New Roman"/>
        </w:rPr>
        <w:t>Zgodnie z</w:t>
      </w:r>
      <w:r w:rsidR="00191EB8">
        <w:rPr>
          <w:rFonts w:ascii="Times New Roman" w:hAnsi="Times New Roman" w:cs="Times New Roman"/>
        </w:rPr>
        <w:t xml:space="preserve"> </w:t>
      </w:r>
      <w:r w:rsidRPr="00601B9F">
        <w:rPr>
          <w:rFonts w:ascii="Times New Roman" w:hAnsi="Times New Roman" w:cs="Times New Roman"/>
        </w:rPr>
        <w:t>art.</w:t>
      </w:r>
      <w:r w:rsidR="00191EB8">
        <w:rPr>
          <w:rFonts w:ascii="Times New Roman" w:hAnsi="Times New Roman" w:cs="Times New Roman"/>
        </w:rPr>
        <w:t xml:space="preserve"> </w:t>
      </w:r>
      <w:r w:rsidRPr="00601B9F">
        <w:rPr>
          <w:rFonts w:ascii="Times New Roman" w:hAnsi="Times New Roman" w:cs="Times New Roman"/>
        </w:rPr>
        <w:t>5</w:t>
      </w:r>
      <w:r w:rsidR="00191EB8">
        <w:rPr>
          <w:rFonts w:ascii="Times New Roman" w:hAnsi="Times New Roman" w:cs="Times New Roman"/>
        </w:rPr>
        <w:t xml:space="preserve"> </w:t>
      </w:r>
      <w:r w:rsidRPr="00601B9F">
        <w:rPr>
          <w:rFonts w:ascii="Times New Roman" w:hAnsi="Times New Roman" w:cs="Times New Roman"/>
        </w:rPr>
        <w:t>ustawy z</w:t>
      </w:r>
      <w:r w:rsidR="00191EB8">
        <w:rPr>
          <w:rFonts w:ascii="Times New Roman" w:hAnsi="Times New Roman" w:cs="Times New Roman"/>
        </w:rPr>
        <w:t xml:space="preserve"> </w:t>
      </w:r>
      <w:r w:rsidRPr="00601B9F">
        <w:rPr>
          <w:rFonts w:ascii="Times New Roman" w:hAnsi="Times New Roman" w:cs="Times New Roman"/>
        </w:rPr>
        <w:t>dnia 7</w:t>
      </w:r>
      <w:r w:rsidR="00191EB8">
        <w:rPr>
          <w:rFonts w:ascii="Times New Roman" w:hAnsi="Times New Roman" w:cs="Times New Roman"/>
        </w:rPr>
        <w:t xml:space="preserve"> </w:t>
      </w:r>
      <w:r w:rsidRPr="00601B9F">
        <w:rPr>
          <w:rFonts w:ascii="Times New Roman" w:hAnsi="Times New Roman" w:cs="Times New Roman"/>
        </w:rPr>
        <w:t>lipca 2005</w:t>
      </w:r>
      <w:r w:rsidR="00191EB8">
        <w:rPr>
          <w:rFonts w:ascii="Times New Roman" w:hAnsi="Times New Roman" w:cs="Times New Roman"/>
        </w:rPr>
        <w:t xml:space="preserve"> </w:t>
      </w:r>
      <w:r w:rsidRPr="00601B9F">
        <w:rPr>
          <w:rFonts w:ascii="Times New Roman" w:hAnsi="Times New Roman" w:cs="Times New Roman"/>
        </w:rPr>
        <w:t>r. o</w:t>
      </w:r>
      <w:r w:rsidR="00191EB8">
        <w:rPr>
          <w:rFonts w:ascii="Times New Roman" w:hAnsi="Times New Roman" w:cs="Times New Roman"/>
        </w:rPr>
        <w:t xml:space="preserve"> </w:t>
      </w:r>
      <w:r w:rsidRPr="00601B9F">
        <w:rPr>
          <w:rFonts w:ascii="Times New Roman" w:hAnsi="Times New Roman" w:cs="Times New Roman"/>
        </w:rPr>
        <w:t>działalności lobbingowej w</w:t>
      </w:r>
      <w:r w:rsidR="00191EB8">
        <w:rPr>
          <w:rFonts w:ascii="Times New Roman" w:hAnsi="Times New Roman" w:cs="Times New Roman"/>
        </w:rPr>
        <w:t xml:space="preserve"> </w:t>
      </w:r>
      <w:r w:rsidRPr="00601B9F">
        <w:rPr>
          <w:rFonts w:ascii="Times New Roman" w:hAnsi="Times New Roman" w:cs="Times New Roman"/>
        </w:rPr>
        <w:t>procesie stanowienia prawa (Dz.</w:t>
      </w:r>
      <w:r w:rsidR="00191EB8">
        <w:rPr>
          <w:rFonts w:ascii="Times New Roman" w:hAnsi="Times New Roman" w:cs="Times New Roman"/>
        </w:rPr>
        <w:t xml:space="preserve"> </w:t>
      </w:r>
      <w:r w:rsidRPr="00601B9F">
        <w:rPr>
          <w:rFonts w:ascii="Times New Roman" w:hAnsi="Times New Roman" w:cs="Times New Roman"/>
        </w:rPr>
        <w:t>U. z 2017 r. poz. 248), projekt ustawy został zamieszczony na stronie Biuletynu Informacji Publicznej Rządowego Centrum Legislacji</w:t>
      </w:r>
      <w:r w:rsidR="005F7E09">
        <w:rPr>
          <w:rFonts w:ascii="Times New Roman" w:hAnsi="Times New Roman" w:cs="Times New Roman"/>
        </w:rPr>
        <w:t>, w serwisie „Rządowy Proces Legislacyjny”</w:t>
      </w:r>
      <w:r w:rsidRPr="00601B9F">
        <w:rPr>
          <w:rFonts w:ascii="Times New Roman" w:hAnsi="Times New Roman" w:cs="Times New Roman"/>
        </w:rPr>
        <w:t>.</w:t>
      </w:r>
      <w:r w:rsidR="00352E46">
        <w:rPr>
          <w:rFonts w:ascii="Times New Roman" w:hAnsi="Times New Roman" w:cs="Times New Roman"/>
          <w:szCs w:val="24"/>
        </w:rPr>
        <w:t xml:space="preserve"> </w:t>
      </w:r>
      <w:r w:rsidRPr="00676D9C">
        <w:rPr>
          <w:rFonts w:ascii="Times New Roman" w:hAnsi="Times New Roman" w:cs="Times New Roman"/>
          <w:szCs w:val="24"/>
        </w:rPr>
        <w:t>Żaden z uprawnionych podmiotów nie wyr</w:t>
      </w:r>
      <w:r w:rsidR="00551951">
        <w:rPr>
          <w:rFonts w:ascii="Times New Roman" w:hAnsi="Times New Roman" w:cs="Times New Roman"/>
          <w:szCs w:val="24"/>
        </w:rPr>
        <w:t>aził zainteresowania udziałem w </w:t>
      </w:r>
      <w:r w:rsidRPr="00676D9C">
        <w:rPr>
          <w:rFonts w:ascii="Times New Roman" w:hAnsi="Times New Roman" w:cs="Times New Roman"/>
          <w:szCs w:val="24"/>
        </w:rPr>
        <w:t xml:space="preserve">pracach nad projektem. </w:t>
      </w:r>
    </w:p>
    <w:p w14:paraId="052CBC1C" w14:textId="77777777" w:rsidR="00676D9C" w:rsidRPr="000419B3" w:rsidRDefault="00676D9C" w:rsidP="00601B9F">
      <w:pPr>
        <w:pStyle w:val="NIEARTTEKSTtekstnieartykuowanynppodstprawnarozplubpreambua"/>
        <w:ind w:firstLine="0"/>
        <w:rPr>
          <w:rFonts w:ascii="Times New Roman" w:hAnsi="Times New Roman" w:cs="Times New Roman"/>
          <w:szCs w:val="24"/>
        </w:rPr>
      </w:pPr>
      <w:r w:rsidRPr="00C470D1">
        <w:rPr>
          <w:rFonts w:ascii="Times New Roman" w:hAnsi="Times New Roman" w:cs="Times New Roman"/>
          <w:szCs w:val="24"/>
        </w:rPr>
        <w:t>Projekt ustawy nie wymaga przedstawienia właściwym organom i instytucjom Unii Europejskiej, w tym Europejskiemu Bankowi Centralnemu, w celu uzyskania opinii, dokonania powiadomienia, konsultacji albo uzgodnienia.</w:t>
      </w:r>
    </w:p>
    <w:sectPr w:rsidR="00676D9C" w:rsidRPr="000419B3" w:rsidSect="00601B9F">
      <w:footerReference w:type="default" r:id="rId7"/>
      <w:footnotePr>
        <w:numRestart w:val="eachSect"/>
      </w:footnotePr>
      <w:pgSz w:w="11906" w:h="16838"/>
      <w:pgMar w:top="1418" w:right="1418" w:bottom="1418"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6F884D" w14:textId="77777777" w:rsidR="00D51398" w:rsidRDefault="00D51398">
      <w:pPr>
        <w:spacing w:line="240" w:lineRule="auto"/>
      </w:pPr>
      <w:r>
        <w:separator/>
      </w:r>
    </w:p>
  </w:endnote>
  <w:endnote w:type="continuationSeparator" w:id="0">
    <w:p w14:paraId="66E9803A" w14:textId="77777777" w:rsidR="00D51398" w:rsidRDefault="00D513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1688398917"/>
      <w:docPartObj>
        <w:docPartGallery w:val="Page Numbers (Bottom of Page)"/>
        <w:docPartUnique/>
      </w:docPartObj>
    </w:sdtPr>
    <w:sdtEndPr>
      <w:rPr>
        <w:rFonts w:ascii="Times New Roman" w:hAnsi="Times New Roman" w:cs="Times New Roman"/>
      </w:rPr>
    </w:sdtEndPr>
    <w:sdtContent>
      <w:p w14:paraId="2A39A3F6" w14:textId="79765C88" w:rsidR="004742E8" w:rsidRPr="004742E8" w:rsidRDefault="004742E8" w:rsidP="004742E8">
        <w:pPr>
          <w:pStyle w:val="Stopka"/>
          <w:jc w:val="center"/>
          <w:rPr>
            <w:rFonts w:ascii="Times New Roman" w:hAnsi="Times New Roman" w:cs="Times New Roman"/>
            <w:sz w:val="24"/>
          </w:rPr>
        </w:pPr>
        <w:r w:rsidRPr="004742E8">
          <w:rPr>
            <w:rFonts w:ascii="Times New Roman" w:hAnsi="Times New Roman" w:cs="Times New Roman"/>
            <w:sz w:val="24"/>
          </w:rPr>
          <w:fldChar w:fldCharType="begin"/>
        </w:r>
        <w:r w:rsidRPr="004742E8">
          <w:rPr>
            <w:rFonts w:ascii="Times New Roman" w:hAnsi="Times New Roman" w:cs="Times New Roman"/>
            <w:sz w:val="24"/>
          </w:rPr>
          <w:instrText>PAGE   \* MERGEFORMAT</w:instrText>
        </w:r>
        <w:r w:rsidRPr="004742E8">
          <w:rPr>
            <w:rFonts w:ascii="Times New Roman" w:hAnsi="Times New Roman" w:cs="Times New Roman"/>
            <w:sz w:val="24"/>
          </w:rPr>
          <w:fldChar w:fldCharType="separate"/>
        </w:r>
        <w:r w:rsidR="00551951">
          <w:rPr>
            <w:rFonts w:ascii="Times New Roman" w:hAnsi="Times New Roman" w:cs="Times New Roman"/>
            <w:noProof/>
            <w:sz w:val="24"/>
          </w:rPr>
          <w:t>10</w:t>
        </w:r>
        <w:r w:rsidRPr="004742E8">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717C6D" w14:textId="77777777" w:rsidR="00D51398" w:rsidRDefault="00D51398">
      <w:pPr>
        <w:spacing w:line="240" w:lineRule="auto"/>
      </w:pPr>
      <w:r>
        <w:separator/>
      </w:r>
    </w:p>
  </w:footnote>
  <w:footnote w:type="continuationSeparator" w:id="0">
    <w:p w14:paraId="18D25F6A" w14:textId="77777777" w:rsidR="00D51398" w:rsidRDefault="00D5139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829"/>
    <w:rsid w:val="000419B3"/>
    <w:rsid w:val="00117B91"/>
    <w:rsid w:val="00126962"/>
    <w:rsid w:val="00171F35"/>
    <w:rsid w:val="00191EB8"/>
    <w:rsid w:val="00203953"/>
    <w:rsid w:val="00204C8B"/>
    <w:rsid w:val="0021328B"/>
    <w:rsid w:val="00263BF7"/>
    <w:rsid w:val="002E1092"/>
    <w:rsid w:val="00307FE4"/>
    <w:rsid w:val="0032676E"/>
    <w:rsid w:val="00352E46"/>
    <w:rsid w:val="00452B4F"/>
    <w:rsid w:val="004742E8"/>
    <w:rsid w:val="004A2D9F"/>
    <w:rsid w:val="00514C8D"/>
    <w:rsid w:val="00533CEF"/>
    <w:rsid w:val="00551951"/>
    <w:rsid w:val="005978F8"/>
    <w:rsid w:val="005A2829"/>
    <w:rsid w:val="005B6FB6"/>
    <w:rsid w:val="005D0FC9"/>
    <w:rsid w:val="005F7E09"/>
    <w:rsid w:val="00601B9F"/>
    <w:rsid w:val="00643CE7"/>
    <w:rsid w:val="00645257"/>
    <w:rsid w:val="00661BB1"/>
    <w:rsid w:val="00676D9C"/>
    <w:rsid w:val="00775C8B"/>
    <w:rsid w:val="0079676B"/>
    <w:rsid w:val="007A1421"/>
    <w:rsid w:val="007E68DE"/>
    <w:rsid w:val="00854CCC"/>
    <w:rsid w:val="0091566C"/>
    <w:rsid w:val="0092067E"/>
    <w:rsid w:val="00942468"/>
    <w:rsid w:val="009471B6"/>
    <w:rsid w:val="009950E2"/>
    <w:rsid w:val="009E7F01"/>
    <w:rsid w:val="00A25A65"/>
    <w:rsid w:val="00A5067A"/>
    <w:rsid w:val="00A5599F"/>
    <w:rsid w:val="00A60C3F"/>
    <w:rsid w:val="00A61B6C"/>
    <w:rsid w:val="00BB57E7"/>
    <w:rsid w:val="00C470D1"/>
    <w:rsid w:val="00C612FE"/>
    <w:rsid w:val="00C77C37"/>
    <w:rsid w:val="00C94731"/>
    <w:rsid w:val="00D15244"/>
    <w:rsid w:val="00D236D2"/>
    <w:rsid w:val="00D51398"/>
    <w:rsid w:val="00D95D5F"/>
    <w:rsid w:val="00DD178F"/>
    <w:rsid w:val="00DD7E5C"/>
    <w:rsid w:val="00DF2F9A"/>
    <w:rsid w:val="00E36F2B"/>
    <w:rsid w:val="00F10BC2"/>
    <w:rsid w:val="00F55D4F"/>
    <w:rsid w:val="00F7788A"/>
    <w:rsid w:val="00F9563A"/>
    <w:rsid w:val="00FB59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64DD6"/>
  <w15:chartTrackingRefBased/>
  <w15:docId w15:val="{EDAF5C28-D3D9-4B4D-B6CF-A6151BF1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76D9C"/>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A2829"/>
    <w:pPr>
      <w:widowControl/>
      <w:tabs>
        <w:tab w:val="center" w:pos="4536"/>
        <w:tab w:val="right" w:pos="9072"/>
      </w:tabs>
      <w:autoSpaceDE/>
      <w:autoSpaceDN/>
      <w:adjustRightInd/>
      <w:spacing w:line="240" w:lineRule="auto"/>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5A2829"/>
  </w:style>
  <w:style w:type="paragraph" w:styleId="Stopka">
    <w:name w:val="footer"/>
    <w:basedOn w:val="Normalny"/>
    <w:link w:val="StopkaZnak"/>
    <w:uiPriority w:val="99"/>
    <w:unhideWhenUsed/>
    <w:rsid w:val="004742E8"/>
    <w:pPr>
      <w:widowControl/>
      <w:tabs>
        <w:tab w:val="center" w:pos="4536"/>
        <w:tab w:val="right" w:pos="9072"/>
      </w:tabs>
      <w:autoSpaceDE/>
      <w:autoSpaceDN/>
      <w:adjustRightInd/>
      <w:spacing w:line="240" w:lineRule="auto"/>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4742E8"/>
  </w:style>
  <w:style w:type="paragraph" w:customStyle="1" w:styleId="ARTartustawynprozporzdzenia">
    <w:name w:val="ART(§) – art. ustawy (§ np. rozporządzenia)"/>
    <w:uiPriority w:val="11"/>
    <w:qFormat/>
    <w:rsid w:val="00676D9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76D9C"/>
    <w:rPr>
      <w:bCs/>
    </w:rPr>
  </w:style>
  <w:style w:type="paragraph" w:styleId="Tekstdymka">
    <w:name w:val="Balloon Text"/>
    <w:basedOn w:val="Normalny"/>
    <w:link w:val="TekstdymkaZnak"/>
    <w:uiPriority w:val="99"/>
    <w:semiHidden/>
    <w:unhideWhenUsed/>
    <w:rsid w:val="00676D9C"/>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76D9C"/>
    <w:rPr>
      <w:rFonts w:ascii="Segoe UI" w:eastAsiaTheme="minorEastAsia" w:hAnsi="Segoe UI" w:cs="Segoe UI"/>
      <w:sz w:val="18"/>
      <w:szCs w:val="18"/>
      <w:lang w:eastAsia="pl-PL"/>
    </w:rPr>
  </w:style>
  <w:style w:type="character" w:styleId="Odwoaniedokomentarza">
    <w:name w:val="annotation reference"/>
    <w:basedOn w:val="Domylnaczcionkaakapitu"/>
    <w:uiPriority w:val="99"/>
    <w:semiHidden/>
    <w:unhideWhenUsed/>
    <w:rsid w:val="000419B3"/>
    <w:rPr>
      <w:sz w:val="16"/>
      <w:szCs w:val="16"/>
    </w:rPr>
  </w:style>
  <w:style w:type="paragraph" w:styleId="Tekstkomentarza">
    <w:name w:val="annotation text"/>
    <w:basedOn w:val="Normalny"/>
    <w:link w:val="TekstkomentarzaZnak"/>
    <w:uiPriority w:val="99"/>
    <w:semiHidden/>
    <w:unhideWhenUsed/>
    <w:rsid w:val="000419B3"/>
    <w:pPr>
      <w:spacing w:line="240" w:lineRule="auto"/>
    </w:pPr>
    <w:rPr>
      <w:sz w:val="20"/>
    </w:rPr>
  </w:style>
  <w:style w:type="character" w:customStyle="1" w:styleId="TekstkomentarzaZnak">
    <w:name w:val="Tekst komentarza Znak"/>
    <w:basedOn w:val="Domylnaczcionkaakapitu"/>
    <w:link w:val="Tekstkomentarza"/>
    <w:uiPriority w:val="99"/>
    <w:semiHidden/>
    <w:rsid w:val="000419B3"/>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0419B3"/>
    <w:rPr>
      <w:b/>
      <w:bCs/>
    </w:rPr>
  </w:style>
  <w:style w:type="character" w:customStyle="1" w:styleId="TematkomentarzaZnak">
    <w:name w:val="Temat komentarza Znak"/>
    <w:basedOn w:val="TekstkomentarzaZnak"/>
    <w:link w:val="Tematkomentarza"/>
    <w:uiPriority w:val="99"/>
    <w:semiHidden/>
    <w:rsid w:val="000419B3"/>
    <w:rPr>
      <w:rFonts w:ascii="Times New Roman" w:eastAsiaTheme="minorEastAsia" w:hAnsi="Times New Roman" w:cs="Arial"/>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6E8EC-70DB-43B2-8B8C-4133B0E46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3622</Words>
  <Characters>21735</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25307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Trafisz Kinga</dc:creator>
  <cp:keywords/>
  <dc:description/>
  <cp:lastModifiedBy>Wójcik Aleksandra</cp:lastModifiedBy>
  <cp:revision>3</cp:revision>
  <dcterms:created xsi:type="dcterms:W3CDTF">2023-01-11T07:36:00Z</dcterms:created>
  <dcterms:modified xsi:type="dcterms:W3CDTF">2023-01-11T07:46:00Z</dcterms:modified>
</cp:coreProperties>
</file>