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9FE" w:rsidRPr="0050789A" w:rsidRDefault="005E49FE" w:rsidP="0050789A">
      <w:pPr>
        <w:keepNext/>
        <w:suppressAutoHyphens/>
        <w:spacing w:after="240" w:line="360" w:lineRule="auto"/>
        <w:jc w:val="center"/>
        <w:rPr>
          <w:rFonts w:ascii="Times New Roman" w:eastAsia="Times New Roman" w:hAnsi="Times New Roman" w:cs="Times New Roman"/>
          <w:bCs/>
          <w:caps/>
          <w:kern w:val="24"/>
          <w:sz w:val="24"/>
          <w:szCs w:val="24"/>
          <w:lang w:eastAsia="pl-PL"/>
        </w:rPr>
      </w:pPr>
      <w:r w:rsidRPr="0050789A">
        <w:rPr>
          <w:rFonts w:ascii="Times New Roman" w:eastAsia="Times New Roman" w:hAnsi="Times New Roman" w:cs="Times New Roman"/>
          <w:bCs/>
          <w:caps/>
          <w:kern w:val="24"/>
          <w:sz w:val="24"/>
          <w:szCs w:val="24"/>
          <w:lang w:eastAsia="pl-PL"/>
        </w:rPr>
        <w:t>UZASADNIENIE</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Projekt ustawy o finansowaniu wspólnej polityki rolnej na lata 2023–2027 służy stosowaniu przepisów unijnych o finansowaniu wspólnej polityki rolnej określonych w rozporządzeniu Parlamentu Europejskiego i Rady (UE):</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1)</w:t>
      </w:r>
      <w:r w:rsidRPr="0050789A">
        <w:rPr>
          <w:rFonts w:ascii="Times New Roman" w:eastAsia="Times New Roman" w:hAnsi="Times New Roman" w:cs="Times New Roman"/>
          <w:bCs/>
          <w:sz w:val="24"/>
          <w:szCs w:val="24"/>
          <w:lang w:eastAsia="pl-PL"/>
        </w:rPr>
        <w:tab/>
        <w:t xml:space="preserve">2021/2116 z dnia 2 grudnia 2021 r. w sprawie finansowania wspólnej polityki rolnej, zarządzania nią i monitorowania jej oraz uchylenia rozporządzenia (UE) nr 1306/2013 (Dz. Urz. UE L 435 z 06.12.2021, str. 187, z </w:t>
      </w:r>
      <w:proofErr w:type="spellStart"/>
      <w:r w:rsidRPr="0050789A">
        <w:rPr>
          <w:rFonts w:ascii="Times New Roman" w:eastAsia="Times New Roman" w:hAnsi="Times New Roman" w:cs="Times New Roman"/>
          <w:bCs/>
          <w:sz w:val="24"/>
          <w:szCs w:val="24"/>
          <w:lang w:eastAsia="pl-PL"/>
        </w:rPr>
        <w:t>późn</w:t>
      </w:r>
      <w:proofErr w:type="spellEnd"/>
      <w:r w:rsidRPr="0050789A">
        <w:rPr>
          <w:rFonts w:ascii="Times New Roman" w:eastAsia="Times New Roman" w:hAnsi="Times New Roman" w:cs="Times New Roman"/>
          <w:bCs/>
          <w:sz w:val="24"/>
          <w:szCs w:val="24"/>
          <w:lang w:eastAsia="pl-PL"/>
        </w:rPr>
        <w:t xml:space="preserve">. zm.), zwanym dalej „rozporządzeniem 2021/2116”, w szczególności w zakresie wskazania organów odpowiedzialnych za funkcjonowanie systemu finansowania i monitorowania programów i płatności w ramach wspólnej polityki rolnej, uregulowania zasad przepływu środków na realizację tej polityki, warunków wypłaty wyprzedzającego finansowania z budżetu państwa beneficjentom Planu Strategicznego dla Wspólnej Polityki Rolnej na lata 2023–2027, zwanego dalej </w:t>
      </w:r>
      <w:bookmarkStart w:id="0" w:name="_Hlk117671000"/>
      <w:r w:rsidRPr="0050789A">
        <w:rPr>
          <w:rFonts w:ascii="Times New Roman" w:eastAsia="Times New Roman" w:hAnsi="Times New Roman" w:cs="Times New Roman"/>
          <w:bCs/>
          <w:sz w:val="24"/>
          <w:szCs w:val="24"/>
          <w:lang w:eastAsia="pl-PL"/>
        </w:rPr>
        <w:t>„</w:t>
      </w:r>
      <w:bookmarkEnd w:id="0"/>
      <w:r w:rsidRPr="0050789A">
        <w:rPr>
          <w:rFonts w:ascii="Times New Roman" w:eastAsia="Times New Roman" w:hAnsi="Times New Roman" w:cs="Times New Roman"/>
          <w:bCs/>
          <w:sz w:val="24"/>
          <w:szCs w:val="24"/>
          <w:lang w:eastAsia="pl-PL"/>
        </w:rPr>
        <w:t>PS WPR”, oraz pomocy technicznej w ramach PS WPR;</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2)</w:t>
      </w:r>
      <w:r w:rsidRPr="0050789A">
        <w:rPr>
          <w:rFonts w:ascii="Times New Roman" w:eastAsia="Times New Roman" w:hAnsi="Times New Roman" w:cs="Times New Roman"/>
          <w:bCs/>
          <w:sz w:val="24"/>
          <w:szCs w:val="24"/>
          <w:lang w:eastAsia="pl-PL"/>
        </w:rPr>
        <w:tab/>
        <w:t>2021/2115 z dnia 2 grudnia 2021 r. ustanawiając</w:t>
      </w:r>
      <w:r w:rsidR="00D16197">
        <w:rPr>
          <w:rFonts w:ascii="Times New Roman" w:eastAsia="Times New Roman" w:hAnsi="Times New Roman" w:cs="Times New Roman"/>
          <w:bCs/>
          <w:sz w:val="24"/>
          <w:szCs w:val="24"/>
          <w:lang w:eastAsia="pl-PL"/>
        </w:rPr>
        <w:t>ym</w:t>
      </w:r>
      <w:r w:rsidRPr="0050789A">
        <w:rPr>
          <w:rFonts w:ascii="Times New Roman" w:eastAsia="Times New Roman" w:hAnsi="Times New Roman" w:cs="Times New Roman"/>
          <w:bCs/>
          <w:sz w:val="24"/>
          <w:szCs w:val="24"/>
          <w:lang w:eastAsia="pl-PL"/>
        </w:rPr>
        <w:t xml:space="preserv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w:t>
      </w:r>
      <w:r w:rsidR="00D16197">
        <w:rPr>
          <w:rFonts w:ascii="Times New Roman" w:eastAsia="Times New Roman" w:hAnsi="Times New Roman" w:cs="Times New Roman"/>
          <w:bCs/>
          <w:sz w:val="24"/>
          <w:szCs w:val="24"/>
          <w:lang w:eastAsia="pl-PL"/>
        </w:rPr>
        <w:t>ym</w:t>
      </w:r>
      <w:r w:rsidRPr="0050789A">
        <w:rPr>
          <w:rFonts w:ascii="Times New Roman" w:eastAsia="Times New Roman" w:hAnsi="Times New Roman" w:cs="Times New Roman"/>
          <w:bCs/>
          <w:sz w:val="24"/>
          <w:szCs w:val="24"/>
          <w:lang w:eastAsia="pl-PL"/>
        </w:rPr>
        <w:t xml:space="preserve"> roz</w:t>
      </w:r>
      <w:r w:rsidR="002E498E">
        <w:rPr>
          <w:rFonts w:ascii="Times New Roman" w:eastAsia="Times New Roman" w:hAnsi="Times New Roman" w:cs="Times New Roman"/>
          <w:bCs/>
          <w:sz w:val="24"/>
          <w:szCs w:val="24"/>
          <w:lang w:eastAsia="pl-PL"/>
        </w:rPr>
        <w:t>porządzenia (UE) nr 1305/2013 i </w:t>
      </w:r>
      <w:r w:rsidRPr="0050789A">
        <w:rPr>
          <w:rFonts w:ascii="Times New Roman" w:eastAsia="Times New Roman" w:hAnsi="Times New Roman" w:cs="Times New Roman"/>
          <w:bCs/>
          <w:sz w:val="24"/>
          <w:szCs w:val="24"/>
          <w:lang w:eastAsia="pl-PL"/>
        </w:rPr>
        <w:t xml:space="preserve">(UE) nr 1307/2013 (Dz. Urz. UE L 435 z 06.12.2021, str. 1, z </w:t>
      </w:r>
      <w:proofErr w:type="spellStart"/>
      <w:r w:rsidRPr="0050789A">
        <w:rPr>
          <w:rFonts w:ascii="Times New Roman" w:eastAsia="Times New Roman" w:hAnsi="Times New Roman" w:cs="Times New Roman"/>
          <w:bCs/>
          <w:sz w:val="24"/>
          <w:szCs w:val="24"/>
          <w:lang w:eastAsia="pl-PL"/>
        </w:rPr>
        <w:t>późn</w:t>
      </w:r>
      <w:proofErr w:type="spellEnd"/>
      <w:r w:rsidRPr="0050789A">
        <w:rPr>
          <w:rFonts w:ascii="Times New Roman" w:eastAsia="Times New Roman" w:hAnsi="Times New Roman" w:cs="Times New Roman"/>
          <w:bCs/>
          <w:sz w:val="24"/>
          <w:szCs w:val="24"/>
          <w:lang w:eastAsia="pl-PL"/>
        </w:rPr>
        <w:t xml:space="preserve">. zm.), zwanym dalej „rozporządzeniem 2021/2115”. </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Założono, że projektowana ustawa będzie obowiązywała w okresie programowania </w:t>
      </w:r>
      <w:r w:rsidR="002E498E">
        <w:rPr>
          <w:rFonts w:ascii="Times New Roman" w:eastAsia="Times New Roman" w:hAnsi="Times New Roman" w:cs="Times New Roman"/>
          <w:bCs/>
          <w:sz w:val="24"/>
          <w:szCs w:val="24"/>
          <w:lang w:eastAsia="pl-PL"/>
        </w:rPr>
        <w:br/>
      </w:r>
      <w:r w:rsidRPr="0050789A">
        <w:rPr>
          <w:rFonts w:ascii="Times New Roman" w:eastAsia="Times New Roman" w:hAnsi="Times New Roman" w:cs="Times New Roman"/>
          <w:bCs/>
          <w:sz w:val="24"/>
          <w:szCs w:val="24"/>
          <w:lang w:eastAsia="pl-PL"/>
        </w:rPr>
        <w:t>2023–2027, ale przy uwzględnieniu zasady n+2, tj. do końca 2029 r. Jednakże projektowana ustawa będzie stosowana do spraw rozpoczętych na jej pod</w:t>
      </w:r>
      <w:r w:rsidR="002E498E">
        <w:rPr>
          <w:rFonts w:ascii="Times New Roman" w:eastAsia="Times New Roman" w:hAnsi="Times New Roman" w:cs="Times New Roman"/>
          <w:bCs/>
          <w:sz w:val="24"/>
          <w:szCs w:val="24"/>
          <w:lang w:eastAsia="pl-PL"/>
        </w:rPr>
        <w:t>stawie aż do ich zakończenia, w </w:t>
      </w:r>
      <w:r w:rsidRPr="0050789A">
        <w:rPr>
          <w:rFonts w:ascii="Times New Roman" w:eastAsia="Times New Roman" w:hAnsi="Times New Roman" w:cs="Times New Roman"/>
          <w:bCs/>
          <w:sz w:val="24"/>
          <w:szCs w:val="24"/>
          <w:lang w:eastAsia="pl-PL"/>
        </w:rPr>
        <w:t xml:space="preserve">szczególności do spraw dotyczących odzyskiwania należności. </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W zakresie wyznaczenia instytucji właściwej do udzielania akredytacji agencji płatniczej oraz zasad udzielania tej akredytacji (</w:t>
      </w:r>
      <w:r w:rsidRPr="0050789A">
        <w:rPr>
          <w:rFonts w:ascii="Times New Roman" w:eastAsia="Times New Roman" w:hAnsi="Times New Roman" w:cs="Times New Roman"/>
          <w:b/>
          <w:bCs/>
          <w:sz w:val="24"/>
          <w:szCs w:val="24"/>
          <w:lang w:eastAsia="pl-PL"/>
        </w:rPr>
        <w:t>art. 2–6</w:t>
      </w:r>
      <w:r w:rsidRPr="0050789A">
        <w:rPr>
          <w:rFonts w:ascii="Times New Roman" w:eastAsia="Times New Roman" w:hAnsi="Times New Roman" w:cs="Times New Roman"/>
          <w:bCs/>
          <w:sz w:val="24"/>
          <w:szCs w:val="24"/>
          <w:lang w:eastAsia="pl-PL"/>
        </w:rPr>
        <w:t xml:space="preserve"> projektu ustawy) nie przewiduje się zmian w stosunku do przepisów obecnie obowiązujących określonych w u</w:t>
      </w:r>
      <w:r w:rsidR="002E498E">
        <w:rPr>
          <w:rFonts w:ascii="Times New Roman" w:eastAsia="Times New Roman" w:hAnsi="Times New Roman" w:cs="Times New Roman"/>
          <w:bCs/>
          <w:sz w:val="24"/>
          <w:szCs w:val="24"/>
          <w:lang w:eastAsia="pl-PL"/>
        </w:rPr>
        <w:t>stawie z dnia 27 maja 2015 r. o </w:t>
      </w:r>
      <w:r w:rsidRPr="0050789A">
        <w:rPr>
          <w:rFonts w:ascii="Times New Roman" w:eastAsia="Times New Roman" w:hAnsi="Times New Roman" w:cs="Times New Roman"/>
          <w:bCs/>
          <w:sz w:val="24"/>
          <w:szCs w:val="24"/>
          <w:lang w:eastAsia="pl-PL"/>
        </w:rPr>
        <w:t>finansowaniu wspólnej polityki rolnej (Dz. U. z 2022 r.</w:t>
      </w:r>
      <w:r w:rsidR="002E498E">
        <w:rPr>
          <w:rFonts w:ascii="Times New Roman" w:eastAsia="Times New Roman" w:hAnsi="Times New Roman" w:cs="Times New Roman"/>
          <w:bCs/>
          <w:sz w:val="24"/>
          <w:szCs w:val="24"/>
          <w:lang w:eastAsia="pl-PL"/>
        </w:rPr>
        <w:t xml:space="preserve"> poz. 2068). Analogicznie jak w </w:t>
      </w:r>
      <w:r w:rsidRPr="0050789A">
        <w:rPr>
          <w:rFonts w:ascii="Times New Roman" w:eastAsia="Times New Roman" w:hAnsi="Times New Roman" w:cs="Times New Roman"/>
          <w:bCs/>
          <w:sz w:val="24"/>
          <w:szCs w:val="24"/>
          <w:lang w:eastAsia="pl-PL"/>
        </w:rPr>
        <w:t xml:space="preserve">przypadku perspektywy finansowej 2014–2020 akredytacji będzie udzielał minister właściwy do spraw finansów publicznych. Zgodnie z art. 3 projektowanej ustawy minister właściwy do spraw finansów publicznych przed przyznaniem jednostce organizacyjnej akredytacji lub tymczasowej akredytacji jako agencji płatniczej może powierzyć sprawdzenie </w:t>
      </w:r>
      <w:r w:rsidRPr="0050789A">
        <w:rPr>
          <w:rFonts w:ascii="Times New Roman" w:eastAsia="Times New Roman" w:hAnsi="Times New Roman" w:cs="Times New Roman"/>
          <w:bCs/>
          <w:sz w:val="24"/>
          <w:szCs w:val="24"/>
          <w:lang w:eastAsia="pl-PL"/>
        </w:rPr>
        <w:lastRenderedPageBreak/>
        <w:t xml:space="preserve">spełniania przez daną jednostkę kryteriów akredytacyjnych określonych w załączniku I do rozporządzenia 2022/127 podmiotom uprawnionym do przeprowadzania audytu zewnętrznego. Zgodnie z art. 1 ust. 3 rozporządzenia wykonawczego Komisji </w:t>
      </w:r>
      <w:r w:rsidR="002E498E">
        <w:rPr>
          <w:rFonts w:ascii="Times New Roman" w:eastAsia="Times New Roman" w:hAnsi="Times New Roman" w:cs="Times New Roman"/>
          <w:bCs/>
          <w:sz w:val="24"/>
          <w:szCs w:val="24"/>
          <w:lang w:eastAsia="pl-PL"/>
        </w:rPr>
        <w:t>2022/128 z dnia 21 grudnia 2021 </w:t>
      </w:r>
      <w:r w:rsidRPr="0050789A">
        <w:rPr>
          <w:rFonts w:ascii="Times New Roman" w:eastAsia="Times New Roman" w:hAnsi="Times New Roman" w:cs="Times New Roman"/>
          <w:bCs/>
          <w:sz w:val="24"/>
          <w:szCs w:val="24"/>
          <w:lang w:eastAsia="pl-PL"/>
        </w:rPr>
        <w:t xml:space="preserve">r. określającego przepisy dotyczące stosowania rozporządzenia Parlamentu Europejskiego i Rady (UE) 2021/2116 w odniesieniu do agencji płatniczych i innych organów, zarządzania finansami, rozliczania rachunków, kontroli, zabezpieczeń i przejrzystości (Dz. Urz. UE L 20 z 31.01.2022, str. 131), zwanego dalej „rozporządzeniem 2022/128”, właściwy organ wyznacza organ audytowy w celu przeprowadzenia badania (przeglądu </w:t>
      </w:r>
      <w:proofErr w:type="spellStart"/>
      <w:r w:rsidRPr="0050789A">
        <w:rPr>
          <w:rFonts w:ascii="Times New Roman" w:eastAsia="Times New Roman" w:hAnsi="Times New Roman" w:cs="Times New Roman"/>
          <w:bCs/>
          <w:sz w:val="24"/>
          <w:szCs w:val="24"/>
          <w:lang w:eastAsia="pl-PL"/>
        </w:rPr>
        <w:t>przedakredytacyjnego</w:t>
      </w:r>
      <w:proofErr w:type="spellEnd"/>
      <w:r w:rsidRPr="0050789A">
        <w:rPr>
          <w:rFonts w:ascii="Times New Roman" w:eastAsia="Times New Roman" w:hAnsi="Times New Roman" w:cs="Times New Roman"/>
          <w:bCs/>
          <w:sz w:val="24"/>
          <w:szCs w:val="24"/>
          <w:lang w:eastAsia="pl-PL"/>
        </w:rPr>
        <w:t>), zanim zostanie przyznana jakakolwiek forma akredytacji. Organ audytowy to instytucja audytowa lub inna publiczna lub prywatna organizacja lub jednostka organizacyjna, która dysponuje odpowiednimi kwalifikacjami, umiejętnościami i zasobami koniecznymi do przeprowadzenia audytu. Dotychczas takie badania były wykonywane przez jednostkę certyfikującą, audyt wewnętrzny agencji płatniczej albo podmiot zewnętrzny wyłoniony zgodnie z przepisami o zamówi</w:t>
      </w:r>
      <w:r w:rsidR="00A31730">
        <w:rPr>
          <w:rFonts w:ascii="Times New Roman" w:eastAsia="Times New Roman" w:hAnsi="Times New Roman" w:cs="Times New Roman"/>
          <w:bCs/>
          <w:sz w:val="24"/>
          <w:szCs w:val="24"/>
          <w:lang w:eastAsia="pl-PL"/>
        </w:rPr>
        <w:t>e</w:t>
      </w:r>
      <w:r w:rsidRPr="0050789A">
        <w:rPr>
          <w:rFonts w:ascii="Times New Roman" w:eastAsia="Times New Roman" w:hAnsi="Times New Roman" w:cs="Times New Roman"/>
          <w:bCs/>
          <w:sz w:val="24"/>
          <w:szCs w:val="24"/>
          <w:lang w:eastAsia="pl-PL"/>
        </w:rPr>
        <w:t>n</w:t>
      </w:r>
      <w:r w:rsidR="008306A2">
        <w:rPr>
          <w:rFonts w:ascii="Times New Roman" w:eastAsia="Times New Roman" w:hAnsi="Times New Roman" w:cs="Times New Roman"/>
          <w:bCs/>
          <w:sz w:val="24"/>
          <w:szCs w:val="24"/>
          <w:lang w:eastAsia="pl-PL"/>
        </w:rPr>
        <w:t>i</w:t>
      </w:r>
      <w:r w:rsidRPr="0050789A">
        <w:rPr>
          <w:rFonts w:ascii="Times New Roman" w:eastAsia="Times New Roman" w:hAnsi="Times New Roman" w:cs="Times New Roman"/>
          <w:bCs/>
          <w:sz w:val="24"/>
          <w:szCs w:val="24"/>
          <w:lang w:eastAsia="pl-PL"/>
        </w:rPr>
        <w:t xml:space="preserve">ach publicznych. </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W celu zapewnienia ciągłości realizacji przez agencję płatniczą zadań i wypłat pomocy beneficjentom wspólnej polityki rolnej zaproponowano w projekcie ustawy przepisy </w:t>
      </w:r>
      <w:r w:rsidRPr="0050789A">
        <w:rPr>
          <w:rFonts w:ascii="Times New Roman" w:eastAsia="Times New Roman" w:hAnsi="Times New Roman" w:cs="Times New Roman"/>
          <w:b/>
          <w:bCs/>
          <w:sz w:val="24"/>
          <w:szCs w:val="24"/>
          <w:lang w:eastAsia="pl-PL"/>
        </w:rPr>
        <w:t>art. 23</w:t>
      </w:r>
      <w:r w:rsidRPr="0050789A">
        <w:rPr>
          <w:rFonts w:ascii="Times New Roman" w:eastAsia="Times New Roman" w:hAnsi="Times New Roman" w:cs="Times New Roman"/>
          <w:bCs/>
          <w:sz w:val="24"/>
          <w:szCs w:val="24"/>
          <w:lang w:eastAsia="pl-PL"/>
        </w:rPr>
        <w:t xml:space="preserve"> dotyczące zachowania aktualnej akredytacji agencji płatniczej. </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Możliwość zachowania akredytacji udzielonej agencji płatniczej wynika z art. 39 rozporządzenia delegowanego Komisji (UE) 2022/127 z dnia 7 grudnia 2021 r. uzupełniającego rozporządzenie Parlamentu Europejskiego i Rady (UE) 2021/2116 o przepisy dotyczące w odniesieniu do agencji płatniczych i innych organów, zarządzania finansami, rozliczania rachunków, zabezpieczeń oraz stosowania euro (Dz. Urz. UE L 20 z 31.01.2022, str. 95), zwanego dalej „rozporządzeniem 2022/127”.</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Powyższa propozycja wynika ponadto z:</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1)</w:t>
      </w:r>
      <w:r w:rsidRPr="0050789A">
        <w:rPr>
          <w:rFonts w:ascii="Times New Roman" w:eastAsia="Times New Roman" w:hAnsi="Times New Roman" w:cs="Times New Roman"/>
          <w:bCs/>
          <w:sz w:val="24"/>
          <w:szCs w:val="24"/>
          <w:lang w:eastAsia="pl-PL"/>
        </w:rPr>
        <w:tab/>
        <w:t xml:space="preserve">funkcjonowania w Agencji Restrukturyzacji i Modernizacji Rolnictwa (ARiMR) rozwiązań procesowych (tzw. ścieżek biznesowych), które w dowolnym czasie umożliwiają podjęcie działań mających na celu opracowanie procedur oraz rozwiązań informatycznych wspierających obsługę wniosków o udzielenie pomocy w ramach interwencji, a wypracowane schematy obsługi wniosków umożliwiają szybkie wdrożenie mechanizmów kontrolnych do merytorycznych książek procedur; </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lastRenderedPageBreak/>
        <w:t>2)</w:t>
      </w:r>
      <w:r w:rsidRPr="0050789A">
        <w:rPr>
          <w:rFonts w:ascii="Times New Roman" w:eastAsia="Times New Roman" w:hAnsi="Times New Roman" w:cs="Times New Roman"/>
          <w:bCs/>
          <w:sz w:val="24"/>
          <w:szCs w:val="24"/>
          <w:lang w:eastAsia="pl-PL"/>
        </w:rPr>
        <w:tab/>
        <w:t>wdrożenia większości kryteriów akredytacyjnych w ARiMR w sposób horyzontalny, a ich dostosowanie do poszczególnych instrumentów wsparcia nie wymaga wprowadzenia zmian;</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3)</w:t>
      </w:r>
      <w:r w:rsidRPr="0050789A">
        <w:rPr>
          <w:rFonts w:ascii="Times New Roman" w:eastAsia="Times New Roman" w:hAnsi="Times New Roman" w:cs="Times New Roman"/>
          <w:bCs/>
          <w:sz w:val="24"/>
          <w:szCs w:val="24"/>
          <w:lang w:eastAsia="pl-PL"/>
        </w:rPr>
        <w:tab/>
        <w:t>wypełniania przez ARiMR kryteriów akredytacyjnych, co jest potwierdzane przez niezależny organ certyfikujący;</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4)</w:t>
      </w:r>
      <w:r w:rsidRPr="0050789A">
        <w:rPr>
          <w:rFonts w:ascii="Times New Roman" w:eastAsia="Times New Roman" w:hAnsi="Times New Roman" w:cs="Times New Roman"/>
          <w:bCs/>
          <w:sz w:val="24"/>
          <w:szCs w:val="24"/>
          <w:lang w:eastAsia="pl-PL"/>
        </w:rPr>
        <w:tab/>
        <w:t>posiadania przez ARiMR wieloletniego doświadczenia we wdrażaniu różnego rodzaju mechanizmów wsparcia ze środków publicznych, w tym działań lub mechanizmów związanych z pomocą nadzwyczajną lub interwencyjną, poprzedzonego uprzednim badaniem przez audyt wewnętrzny agencji płatniczej;</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5)</w:t>
      </w:r>
      <w:r w:rsidRPr="0050789A">
        <w:rPr>
          <w:rFonts w:ascii="Times New Roman" w:eastAsia="Times New Roman" w:hAnsi="Times New Roman" w:cs="Times New Roman"/>
          <w:bCs/>
          <w:sz w:val="24"/>
          <w:szCs w:val="24"/>
          <w:lang w:eastAsia="pl-PL"/>
        </w:rPr>
        <w:tab/>
        <w:t>bieżącego informowania –</w:t>
      </w:r>
      <w:r w:rsidR="009902AF">
        <w:rPr>
          <w:rFonts w:ascii="Times New Roman" w:eastAsia="Times New Roman" w:hAnsi="Times New Roman" w:cs="Times New Roman"/>
          <w:bCs/>
          <w:sz w:val="24"/>
          <w:szCs w:val="24"/>
          <w:lang w:eastAsia="pl-PL"/>
        </w:rPr>
        <w:t xml:space="preserve"> </w:t>
      </w:r>
      <w:r w:rsidRPr="0050789A">
        <w:rPr>
          <w:rFonts w:ascii="Times New Roman" w:eastAsia="Times New Roman" w:hAnsi="Times New Roman" w:cs="Times New Roman"/>
          <w:bCs/>
          <w:sz w:val="24"/>
          <w:szCs w:val="24"/>
          <w:lang w:eastAsia="pl-PL"/>
        </w:rPr>
        <w:t xml:space="preserve">zgodnie z przepisami art. 2 ust. 1 rozporządzenia wykonawczego Komisji (UE) nr 908/2014 z dnia 6 sierpnia 2014 r. ustanawiającego zasady dotyczące stosowania rozporządzenia Parlamentu Europejskiego i Rady (UE) nr 1306/2013 w odniesieniu do agencji płatniczych i innych organów, zarządzania finansami, rozliczania rachunków, przepisów dotyczących kontroli, zabezpieczeń i przejrzystości (Dz. Urz. UE L 255 z 28.08.2014, str. 59, z </w:t>
      </w:r>
      <w:proofErr w:type="spellStart"/>
      <w:r w:rsidRPr="0050789A">
        <w:rPr>
          <w:rFonts w:ascii="Times New Roman" w:eastAsia="Times New Roman" w:hAnsi="Times New Roman" w:cs="Times New Roman"/>
          <w:bCs/>
          <w:sz w:val="24"/>
          <w:szCs w:val="24"/>
          <w:lang w:eastAsia="pl-PL"/>
        </w:rPr>
        <w:t>późn</w:t>
      </w:r>
      <w:proofErr w:type="spellEnd"/>
      <w:r w:rsidRPr="0050789A">
        <w:rPr>
          <w:rFonts w:ascii="Times New Roman" w:eastAsia="Times New Roman" w:hAnsi="Times New Roman" w:cs="Times New Roman"/>
          <w:bCs/>
          <w:sz w:val="24"/>
          <w:szCs w:val="24"/>
          <w:lang w:eastAsia="pl-PL"/>
        </w:rPr>
        <w:t>. zm.) – Komisji Europejskiej (KE) o stanie akredytacji agencji płatniczej w Polsce. Składane KE co trzy lata pisemne sprawozdanie z nadzoru agencji płatniczych i monitorowania ich działań obejmuje przegląd agencji płatniczej pod kątem jej zgodności z kryteriami akredytacji oraz zawiera informację na temat działań podjętych w celu uzupełnienia stwierdzonych braków. Minister właściwy do spraw finansów publicznych potwierdza co trzy lata, że agencja płatnicza nadal spełnia kryteria akredytacji. W rozporządzeniu 2022/128 zastępującym ww. rozporządzenie 908/2014 zobowiązanie do składania sprawozdań o spełnianiu przez agencję płatniczą kryteriów akredytacji zostało utrzymane.</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W trakcie prowadzonych przez KE uzgodnień rozporządzeń dotyczących m.in. kwestii związanych z akredytacją agencji płatniczych KE podkreślała, że akredytacja jest konieczna tylko w przypadku przyjęcia odpowiedzialności za wydatki, za które agencja płatnicza nie była wcześniej odpowiedzialna. Agencje płatnicze, które w poprzedniej perspektywie były akredytowane w odniesieniu do wydatków EFRG i EFRROW, nie muszą być ponownie akredytowane na nowy okres programowania, mimo że w PS WPR będą nowe interwencje. Agencja płatnicza jest akredytowana jako instytucja, a PS WPR nie obejmuje żadnych nowych wydatków innych niż EFRG i EFRROW.</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lastRenderedPageBreak/>
        <w:t>W Polsce obecnie funkcjonuje jedna agencja płatnicza – ARiMR – nie ma więc obowiązku wyznaczania jednostki koordynującej (art. 10 rozporządzenia 2021/2116) i potrzeby przyznawania specjalnej akredytacji jednostce koordynującej.</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Mając na uwadze przepis art. 1 ust. 2 rozporządzenia 2022/128, zgodnie z którym właściwy organ, tj. minister właściwy do spraw finansów publicznych, podejmuje w formie aktu prawnego decyzję w sprawie przyznania lub – po dokonaniu przeglądu – wycofania akredytacji agencji płatniczej na podstawie analizy kryteriów akredytacyjnych oraz szczególny charakter postępowania o udziel</w:t>
      </w:r>
      <w:r w:rsidR="00B7764C">
        <w:rPr>
          <w:rFonts w:ascii="Times New Roman" w:eastAsia="Times New Roman" w:hAnsi="Times New Roman" w:cs="Times New Roman"/>
          <w:bCs/>
          <w:sz w:val="24"/>
          <w:szCs w:val="24"/>
          <w:lang w:eastAsia="pl-PL"/>
        </w:rPr>
        <w:t>e</w:t>
      </w:r>
      <w:r w:rsidRPr="0050789A">
        <w:rPr>
          <w:rFonts w:ascii="Times New Roman" w:eastAsia="Times New Roman" w:hAnsi="Times New Roman" w:cs="Times New Roman"/>
          <w:bCs/>
          <w:sz w:val="24"/>
          <w:szCs w:val="24"/>
          <w:lang w:eastAsia="pl-PL"/>
        </w:rPr>
        <w:t xml:space="preserve">nie lub wycofanie akredytacji agencji płatniczej, nie przewiduje się postępowania odwoławczego w tym zakresie. </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W </w:t>
      </w:r>
      <w:r w:rsidRPr="0050789A">
        <w:rPr>
          <w:rFonts w:ascii="Times New Roman" w:eastAsia="Times New Roman" w:hAnsi="Times New Roman" w:cs="Times New Roman"/>
          <w:b/>
          <w:bCs/>
          <w:sz w:val="24"/>
          <w:szCs w:val="24"/>
          <w:lang w:eastAsia="pl-PL"/>
        </w:rPr>
        <w:t xml:space="preserve">art. 7 </w:t>
      </w:r>
      <w:r w:rsidRPr="0050789A">
        <w:rPr>
          <w:rFonts w:ascii="Times New Roman" w:eastAsia="Times New Roman" w:hAnsi="Times New Roman" w:cs="Times New Roman"/>
          <w:bCs/>
          <w:sz w:val="24"/>
          <w:szCs w:val="24"/>
          <w:lang w:eastAsia="pl-PL"/>
        </w:rPr>
        <w:t xml:space="preserve">projektu ustawy określono zakres danych finansowych i informacji przekazywanych przez ministra właściwego do spraw rozwoju wsi, w przypadku gdy w przepisach unijnych wskazano właściwe państwo członkowskie, tj. art. 90 ust. 1 lit. a, b i lit. c </w:t>
      </w:r>
      <w:proofErr w:type="spellStart"/>
      <w:r w:rsidRPr="0050789A">
        <w:rPr>
          <w:rFonts w:ascii="Times New Roman" w:eastAsia="Times New Roman" w:hAnsi="Times New Roman" w:cs="Times New Roman"/>
          <w:bCs/>
          <w:sz w:val="24"/>
          <w:szCs w:val="24"/>
          <w:lang w:eastAsia="pl-PL"/>
        </w:rPr>
        <w:t>ppkt</w:t>
      </w:r>
      <w:proofErr w:type="spellEnd"/>
      <w:r w:rsidRPr="0050789A">
        <w:rPr>
          <w:rFonts w:ascii="Times New Roman" w:eastAsia="Times New Roman" w:hAnsi="Times New Roman" w:cs="Times New Roman"/>
          <w:bCs/>
          <w:sz w:val="24"/>
          <w:szCs w:val="24"/>
          <w:lang w:eastAsia="pl-PL"/>
        </w:rPr>
        <w:t xml:space="preserve"> (i) i (ii) oraz ust. 2 rozporządzenia 2021/2116. </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Przyjęcie takiego rozwiązania oznacza, że minister właściwy do spraw rozwoju wsi będzie:</w:t>
      </w:r>
    </w:p>
    <w:p w:rsidR="005E49FE" w:rsidRPr="0050789A" w:rsidRDefault="005E49FE" w:rsidP="0050789A">
      <w:pPr>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1)</w:t>
      </w:r>
      <w:r w:rsidRPr="0050789A">
        <w:rPr>
          <w:rFonts w:ascii="Times New Roman" w:eastAsia="Times New Roman" w:hAnsi="Times New Roman" w:cs="Times New Roman"/>
          <w:bCs/>
          <w:sz w:val="24"/>
          <w:szCs w:val="24"/>
          <w:lang w:eastAsia="pl-PL"/>
        </w:rPr>
        <w:tab/>
        <w:t>przekazywał KE następujące informacje i dokumenty – w odniesieniu do:</w:t>
      </w:r>
    </w:p>
    <w:p w:rsidR="005E49FE" w:rsidRPr="0050789A" w:rsidRDefault="005E49FE" w:rsidP="0050789A">
      <w:pPr>
        <w:spacing w:before="120" w:after="0" w:line="360" w:lineRule="auto"/>
        <w:ind w:left="851" w:hanging="431"/>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a)</w:t>
      </w:r>
      <w:r w:rsidRPr="0050789A">
        <w:rPr>
          <w:rFonts w:ascii="Times New Roman" w:eastAsia="Times New Roman" w:hAnsi="Times New Roman" w:cs="Times New Roman"/>
          <w:bCs/>
          <w:sz w:val="24"/>
          <w:szCs w:val="24"/>
          <w:lang w:eastAsia="pl-PL"/>
        </w:rPr>
        <w:tab/>
        <w:t xml:space="preserve">akredytowanych agencji płatniczych </w:t>
      </w:r>
      <w:r w:rsidRPr="0050789A">
        <w:rPr>
          <w:rFonts w:ascii="Times New Roman" w:eastAsia="Times New Roman" w:hAnsi="Times New Roman" w:cs="Times New Roman"/>
          <w:sz w:val="24"/>
          <w:szCs w:val="24"/>
          <w:lang w:eastAsia="pl-PL"/>
        </w:rPr>
        <w:t>–</w:t>
      </w:r>
      <w:r w:rsidRPr="0050789A">
        <w:rPr>
          <w:rFonts w:ascii="Times New Roman" w:eastAsia="Times New Roman" w:hAnsi="Times New Roman" w:cs="Times New Roman"/>
          <w:bCs/>
          <w:sz w:val="24"/>
          <w:szCs w:val="24"/>
          <w:lang w:eastAsia="pl-PL"/>
        </w:rPr>
        <w:t xml:space="preserve"> </w:t>
      </w:r>
      <w:r w:rsidRPr="0050789A">
        <w:rPr>
          <w:rFonts w:ascii="Times New Roman" w:eastAsia="Times New Roman" w:hAnsi="Times New Roman" w:cs="Times New Roman"/>
          <w:sz w:val="24"/>
          <w:szCs w:val="24"/>
          <w:lang w:eastAsia="pl-PL"/>
        </w:rPr>
        <w:t xml:space="preserve">dokument ich akredytacji oraz w stosownych przypadkach cofnięcie akredytacji, określając pełnioną przez nie </w:t>
      </w:r>
      <w:r w:rsidRPr="0050789A">
        <w:rPr>
          <w:rFonts w:ascii="Times New Roman" w:eastAsia="Times New Roman" w:hAnsi="Times New Roman" w:cs="Times New Roman"/>
          <w:bCs/>
          <w:sz w:val="24"/>
          <w:szCs w:val="24"/>
          <w:lang w:eastAsia="pl-PL"/>
        </w:rPr>
        <w:t>funkcję (akredytowana agencja płatnicza),</w:t>
      </w:r>
    </w:p>
    <w:p w:rsidR="005E49FE" w:rsidRPr="0050789A" w:rsidRDefault="005E49FE" w:rsidP="0050789A">
      <w:pPr>
        <w:spacing w:before="120" w:after="0" w:line="360" w:lineRule="auto"/>
        <w:ind w:left="851" w:hanging="431"/>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sz w:val="24"/>
          <w:szCs w:val="24"/>
          <w:lang w:eastAsia="pl-PL"/>
        </w:rPr>
        <w:t>b)</w:t>
      </w:r>
      <w:r w:rsidRPr="0050789A">
        <w:rPr>
          <w:rFonts w:ascii="Times New Roman" w:eastAsia="Times New Roman" w:hAnsi="Times New Roman" w:cs="Times New Roman"/>
          <w:sz w:val="24"/>
          <w:szCs w:val="24"/>
          <w:lang w:eastAsia="pl-PL"/>
        </w:rPr>
        <w:tab/>
        <w:t xml:space="preserve">jednostek certyfikujących </w:t>
      </w:r>
      <w:r w:rsidRPr="0050789A">
        <w:rPr>
          <w:rFonts w:ascii="Times New Roman" w:eastAsia="Times New Roman" w:hAnsi="Times New Roman" w:cs="Times New Roman"/>
          <w:bCs/>
          <w:sz w:val="24"/>
          <w:szCs w:val="24"/>
          <w:lang w:eastAsia="pl-PL"/>
        </w:rPr>
        <w:t xml:space="preserve">– </w:t>
      </w:r>
      <w:r w:rsidRPr="0050789A">
        <w:rPr>
          <w:rFonts w:ascii="Times New Roman" w:eastAsia="Times New Roman" w:hAnsi="Times New Roman" w:cs="Times New Roman"/>
          <w:sz w:val="24"/>
          <w:szCs w:val="24"/>
          <w:lang w:eastAsia="pl-PL"/>
        </w:rPr>
        <w:t>ich nazwę i</w:t>
      </w:r>
      <w:r w:rsidRPr="0050789A">
        <w:rPr>
          <w:rFonts w:ascii="Times New Roman" w:eastAsia="Times New Roman" w:hAnsi="Times New Roman" w:cs="Times New Roman"/>
          <w:bCs/>
          <w:sz w:val="24"/>
          <w:szCs w:val="24"/>
          <w:lang w:eastAsia="pl-PL"/>
        </w:rPr>
        <w:t xml:space="preserve"> adres,</w:t>
      </w:r>
    </w:p>
    <w:p w:rsidR="005E49FE" w:rsidRPr="0050789A" w:rsidRDefault="005E49FE" w:rsidP="0050789A">
      <w:pPr>
        <w:spacing w:before="120" w:after="0" w:line="360" w:lineRule="auto"/>
        <w:ind w:left="851" w:hanging="431"/>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c)</w:t>
      </w:r>
      <w:r w:rsidRPr="0050789A">
        <w:rPr>
          <w:rFonts w:ascii="Times New Roman" w:eastAsia="Times New Roman" w:hAnsi="Times New Roman" w:cs="Times New Roman"/>
          <w:bCs/>
          <w:sz w:val="24"/>
          <w:szCs w:val="24"/>
          <w:lang w:eastAsia="pl-PL"/>
        </w:rPr>
        <w:tab/>
        <w:t>działań związanych z operacjami finansowanymi przez EFRG i EFRROW:</w:t>
      </w:r>
    </w:p>
    <w:p w:rsidR="005E49FE" w:rsidRPr="0050789A" w:rsidRDefault="005E49FE" w:rsidP="0050789A">
      <w:pPr>
        <w:spacing w:before="120" w:after="0" w:line="360" w:lineRule="auto"/>
        <w:ind w:left="1204" w:hanging="350"/>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w:t>
      </w:r>
      <w:r w:rsidRPr="0050789A">
        <w:rPr>
          <w:rFonts w:ascii="Times New Roman" w:eastAsia="Times New Roman" w:hAnsi="Times New Roman" w:cs="Times New Roman"/>
          <w:bCs/>
          <w:sz w:val="24"/>
          <w:szCs w:val="24"/>
          <w:lang w:eastAsia="pl-PL"/>
        </w:rPr>
        <w:tab/>
        <w:t xml:space="preserve">deklaracje wydatków, w tym także wniosek o płatność, podpisane przez akredytowaną agencję płatniczą wraz z wymaganymi informacjami, zgodnie z art. 10 i art. 22 ust. 2 rozporządzenia 2022/128, </w:t>
      </w:r>
    </w:p>
    <w:p w:rsidR="005E49FE" w:rsidRPr="0050789A" w:rsidRDefault="005E49FE" w:rsidP="0050789A">
      <w:pPr>
        <w:spacing w:before="120" w:after="0" w:line="360" w:lineRule="auto"/>
        <w:ind w:left="1204" w:hanging="350"/>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w:t>
      </w:r>
      <w:r w:rsidRPr="0050789A">
        <w:rPr>
          <w:rFonts w:ascii="Times New Roman" w:eastAsia="Times New Roman" w:hAnsi="Times New Roman" w:cs="Times New Roman"/>
          <w:bCs/>
          <w:sz w:val="24"/>
          <w:szCs w:val="24"/>
          <w:lang w:eastAsia="pl-PL"/>
        </w:rPr>
        <w:tab/>
        <w:t>przewidywane zapotrzebowanie na środki finansowe – w przypadku finansowania z EFRG (zgodnie z art. 10 rozporządzenia 2022/128), a w przypadku finansowania z EFRROW – aktualizację szacowanych deklaracji wydatków, które będą przedstawione w trakcie roku, oraz szacowane deklaracje wydatków dotyczące następnego rolniczego roku budżetowego, zgodnie z art. 21 rozporządzenia 2022/128;</w:t>
      </w:r>
    </w:p>
    <w:p w:rsidR="005E49FE" w:rsidRPr="0050789A" w:rsidRDefault="005E49FE" w:rsidP="0050789A">
      <w:pPr>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sz w:val="24"/>
          <w:szCs w:val="24"/>
          <w:lang w:eastAsia="pl-PL"/>
        </w:rPr>
        <w:t>2)</w:t>
      </w:r>
      <w:r w:rsidRPr="0050789A">
        <w:rPr>
          <w:rFonts w:ascii="Times New Roman" w:eastAsia="Times New Roman" w:hAnsi="Times New Roman" w:cs="Times New Roman"/>
          <w:bCs/>
          <w:sz w:val="24"/>
          <w:szCs w:val="24"/>
          <w:lang w:eastAsia="pl-PL"/>
        </w:rPr>
        <w:tab/>
      </w:r>
      <w:r w:rsidRPr="0050789A">
        <w:rPr>
          <w:rFonts w:ascii="Times New Roman" w:eastAsia="Times New Roman" w:hAnsi="Times New Roman" w:cs="Times New Roman"/>
          <w:sz w:val="24"/>
          <w:szCs w:val="24"/>
          <w:lang w:eastAsia="pl-PL"/>
        </w:rPr>
        <w:t xml:space="preserve">informował KE o stosowaniu zintegrowanego systemu zarządzania i kontroli, o którym mowa </w:t>
      </w:r>
      <w:r w:rsidRPr="0050789A">
        <w:rPr>
          <w:rFonts w:ascii="Times New Roman" w:eastAsia="Times New Roman" w:hAnsi="Times New Roman" w:cs="Times New Roman"/>
          <w:bCs/>
          <w:sz w:val="24"/>
          <w:szCs w:val="24"/>
          <w:lang w:eastAsia="pl-PL"/>
        </w:rPr>
        <w:t xml:space="preserve">w </w:t>
      </w:r>
      <w:r w:rsidRPr="0050789A">
        <w:rPr>
          <w:rFonts w:ascii="Times New Roman" w:eastAsia="Times New Roman" w:hAnsi="Times New Roman" w:cs="Times New Roman"/>
          <w:sz w:val="24"/>
          <w:szCs w:val="24"/>
          <w:lang w:eastAsia="pl-PL"/>
        </w:rPr>
        <w:t>tytule IV rozdziale II rozporządzenia 2021/2</w:t>
      </w:r>
      <w:r w:rsidR="00896BB7">
        <w:rPr>
          <w:rFonts w:ascii="Times New Roman" w:eastAsia="Times New Roman" w:hAnsi="Times New Roman" w:cs="Times New Roman"/>
          <w:sz w:val="24"/>
          <w:szCs w:val="24"/>
          <w:lang w:eastAsia="pl-PL"/>
        </w:rPr>
        <w:t>1</w:t>
      </w:r>
      <w:r w:rsidRPr="0050789A">
        <w:rPr>
          <w:rFonts w:ascii="Times New Roman" w:eastAsia="Times New Roman" w:hAnsi="Times New Roman" w:cs="Times New Roman"/>
          <w:sz w:val="24"/>
          <w:szCs w:val="24"/>
          <w:lang w:eastAsia="pl-PL"/>
        </w:rPr>
        <w:t xml:space="preserve">16. </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lastRenderedPageBreak/>
        <w:t xml:space="preserve">Propozycje zawarte w </w:t>
      </w:r>
      <w:r w:rsidRPr="0050789A">
        <w:rPr>
          <w:rFonts w:ascii="Times New Roman" w:eastAsia="Times New Roman" w:hAnsi="Times New Roman" w:cs="Times New Roman"/>
          <w:b/>
          <w:bCs/>
          <w:sz w:val="24"/>
          <w:szCs w:val="24"/>
          <w:lang w:eastAsia="pl-PL"/>
        </w:rPr>
        <w:t>art. 8</w:t>
      </w:r>
      <w:r w:rsidRPr="0050789A">
        <w:rPr>
          <w:rFonts w:ascii="Times New Roman" w:eastAsia="Times New Roman" w:hAnsi="Times New Roman" w:cs="Times New Roman"/>
          <w:bCs/>
          <w:sz w:val="24"/>
          <w:szCs w:val="24"/>
          <w:lang w:eastAsia="pl-PL"/>
        </w:rPr>
        <w:t xml:space="preserve"> projektu ustawy dotyczące zapotrzebowania na środki publiczne przeznaczone na wspólną politykę rolną i przekazywania tych </w:t>
      </w:r>
      <w:proofErr w:type="spellStart"/>
      <w:r w:rsidRPr="0050789A">
        <w:rPr>
          <w:rFonts w:ascii="Times New Roman" w:eastAsia="Times New Roman" w:hAnsi="Times New Roman" w:cs="Times New Roman"/>
          <w:bCs/>
          <w:sz w:val="24"/>
          <w:szCs w:val="24"/>
          <w:lang w:eastAsia="pl-PL"/>
        </w:rPr>
        <w:t>zapotrzebowań</w:t>
      </w:r>
      <w:proofErr w:type="spellEnd"/>
      <w:r w:rsidRPr="0050789A">
        <w:rPr>
          <w:rFonts w:ascii="Times New Roman" w:eastAsia="Times New Roman" w:hAnsi="Times New Roman" w:cs="Times New Roman"/>
          <w:bCs/>
          <w:sz w:val="24"/>
          <w:szCs w:val="24"/>
          <w:lang w:eastAsia="pl-PL"/>
        </w:rPr>
        <w:t xml:space="preserve"> przez agencję płatniczą są analogiczne do obecnie obowiązujących, tj. te zapotrzebowania będą przekazywane do ministra właściwego do spraw finansów publicznych oraz ministra właściwego do spraw rozwoju wsi. </w:t>
      </w:r>
      <w:bookmarkStart w:id="1" w:name="_Hlk122082958"/>
      <w:r w:rsidRPr="0050789A">
        <w:rPr>
          <w:rFonts w:ascii="Times New Roman" w:eastAsia="Times New Roman" w:hAnsi="Times New Roman" w:cs="Times New Roman"/>
          <w:bCs/>
          <w:sz w:val="24"/>
          <w:szCs w:val="24"/>
          <w:lang w:eastAsia="pl-PL"/>
        </w:rPr>
        <w:t xml:space="preserve">Minister właściwy do spraw rozwoju wsi </w:t>
      </w:r>
      <w:bookmarkEnd w:id="1"/>
      <w:r w:rsidRPr="0050789A">
        <w:rPr>
          <w:rFonts w:ascii="Times New Roman" w:eastAsia="Times New Roman" w:hAnsi="Times New Roman" w:cs="Times New Roman"/>
          <w:bCs/>
          <w:sz w:val="24"/>
          <w:szCs w:val="24"/>
          <w:lang w:eastAsia="pl-PL"/>
        </w:rPr>
        <w:t xml:space="preserve">po weryfikacji </w:t>
      </w:r>
      <w:proofErr w:type="spellStart"/>
      <w:r w:rsidRPr="0050789A">
        <w:rPr>
          <w:rFonts w:ascii="Times New Roman" w:eastAsia="Times New Roman" w:hAnsi="Times New Roman" w:cs="Times New Roman"/>
          <w:bCs/>
          <w:sz w:val="24"/>
          <w:szCs w:val="24"/>
          <w:lang w:eastAsia="pl-PL"/>
        </w:rPr>
        <w:t>zapotrzebowań</w:t>
      </w:r>
      <w:proofErr w:type="spellEnd"/>
      <w:r w:rsidRPr="0050789A">
        <w:rPr>
          <w:rFonts w:ascii="Times New Roman" w:eastAsia="Times New Roman" w:hAnsi="Times New Roman" w:cs="Times New Roman"/>
          <w:bCs/>
          <w:sz w:val="24"/>
          <w:szCs w:val="24"/>
          <w:lang w:eastAsia="pl-PL"/>
        </w:rPr>
        <w:t xml:space="preserve"> agencji płatniczej będzie składał wniosek o przekazanie środków do ministra właściwego do spraw finansów publicznych.</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 xml:space="preserve">Środki publiczne przeznaczone na finansowanie w ramach wspólnej polityki rolnej w części podlegającej refundacji ze środków EFRG i EFRROW, uruchamiane co do zasady z budżetu środków europejskich, są przekazywane agencji płatniczej przez ministra właściwego do spraw rozwoju wsi z rachunku bankowego w Banku Gospodarstwa Krajowego. </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Środki publiczne na współfinansowanie w ramach wspólnej polityki rolnej są przeznaczone na:</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1)</w:t>
      </w:r>
      <w:r w:rsidRPr="0050789A">
        <w:rPr>
          <w:rFonts w:ascii="Times New Roman" w:eastAsia="Times New Roman" w:hAnsi="Times New Roman" w:cs="Times New Roman"/>
          <w:sz w:val="24"/>
          <w:szCs w:val="24"/>
          <w:lang w:eastAsia="pl-PL"/>
        </w:rPr>
        <w:tab/>
        <w:t>współfinansowanie krajowe (wkład krajowy) wymagane w PS WPR;</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2)</w:t>
      </w:r>
      <w:r w:rsidRPr="0050789A">
        <w:rPr>
          <w:rFonts w:ascii="Times New Roman" w:eastAsia="Times New Roman" w:hAnsi="Times New Roman" w:cs="Times New Roman"/>
          <w:sz w:val="24"/>
          <w:szCs w:val="24"/>
          <w:lang w:eastAsia="pl-PL"/>
        </w:rPr>
        <w:tab/>
        <w:t>przejściowe wsparcie krajowe, o którym mowa w art. 147 rozporządzenia 2021/2115;</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3)</w:t>
      </w:r>
      <w:r w:rsidRPr="0050789A">
        <w:rPr>
          <w:rFonts w:ascii="Times New Roman" w:eastAsia="Times New Roman" w:hAnsi="Times New Roman" w:cs="Times New Roman"/>
          <w:sz w:val="24"/>
          <w:szCs w:val="24"/>
          <w:lang w:eastAsia="pl-PL"/>
        </w:rPr>
        <w:tab/>
        <w:t>podatek od towarów i usług wymagany w ramach interwencji rynkowych (np. z tytułu programu dla szkół – inne koszty);</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4)</w:t>
      </w:r>
      <w:r w:rsidRPr="0050789A">
        <w:rPr>
          <w:rFonts w:ascii="Times New Roman" w:eastAsia="Times New Roman" w:hAnsi="Times New Roman" w:cs="Times New Roman"/>
          <w:sz w:val="24"/>
          <w:szCs w:val="24"/>
          <w:lang w:eastAsia="pl-PL"/>
        </w:rPr>
        <w:tab/>
        <w:t>zwrot kwot wynikających z prawomocnych wyroków sądowych albo kwot powstałych w związku ze zmianą, uchyleniem albo stwierdzeniem nieważności decyzji stanowiącej podstawę zwrotu przez beneficjenta środków publicznych</w:t>
      </w:r>
      <w:r w:rsidRPr="0050789A" w:rsidDel="00747C60">
        <w:rPr>
          <w:rFonts w:ascii="Times New Roman" w:eastAsia="Times New Roman" w:hAnsi="Times New Roman" w:cs="Times New Roman"/>
          <w:sz w:val="24"/>
          <w:szCs w:val="24"/>
          <w:lang w:eastAsia="pl-PL"/>
        </w:rPr>
        <w:t xml:space="preserve"> </w:t>
      </w:r>
      <w:r w:rsidRPr="0050789A">
        <w:rPr>
          <w:rFonts w:ascii="Times New Roman" w:eastAsia="Times New Roman" w:hAnsi="Times New Roman" w:cs="Times New Roman"/>
          <w:sz w:val="24"/>
          <w:szCs w:val="24"/>
          <w:lang w:eastAsia="pl-PL"/>
        </w:rPr>
        <w:t>na podstawie zapotrzebowania składanego przez agencję płatniczą.</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W art. 8 ust. 3 projektu ustawy zaproponowano regulację, której celem jest zabezpieczenie środków finansowych pozwalających na finansowanie ze środków współfinansowania krajowego nadpłat w zakresie środków odzyskanych od beneficjentów, które wynikają z prawomocnych wyroków sądowych</w:t>
      </w:r>
      <w:r w:rsidR="009A4030">
        <w:rPr>
          <w:rFonts w:ascii="Times New Roman" w:eastAsia="Times New Roman" w:hAnsi="Times New Roman" w:cs="Times New Roman"/>
          <w:bCs/>
          <w:sz w:val="24"/>
          <w:szCs w:val="24"/>
          <w:lang w:eastAsia="pl-PL"/>
        </w:rPr>
        <w:t>,</w:t>
      </w:r>
      <w:r w:rsidRPr="0050789A">
        <w:rPr>
          <w:rFonts w:ascii="Times New Roman" w:eastAsia="Times New Roman" w:hAnsi="Times New Roman" w:cs="Times New Roman"/>
          <w:bCs/>
          <w:sz w:val="24"/>
          <w:szCs w:val="24"/>
          <w:lang w:eastAsia="pl-PL"/>
        </w:rPr>
        <w:t xml:space="preserve"> albo kwot, które powstały w związku ze zmianą, uchyleniem albo stwierdzeniem nieważności decyzji stanowiącej podstawę zwrotu przez beneficjenta środków publicznych. Obecnie obowiązujące przepisy nie przewidują takiej możliwości w części finansowanej z UE, w związku z czym zachodzi konieczność wprowadzenia regulacji stanowiących podstawę do zwrotów nadpłat. Do zmiany, uchylenia albo stwierdzenia nieważności decyzji stanowiącej podstawę zwrotu przez beneficjenta środków publicznych może dojść na skutek zastosowania tzw. trybów nadzwyczajnych określonych w przepisach ustawy z dnia 14 czerwca 1960 r. – Kodeks post</w:t>
      </w:r>
      <w:r w:rsidR="009A4030">
        <w:rPr>
          <w:rFonts w:ascii="Times New Roman" w:eastAsia="Times New Roman" w:hAnsi="Times New Roman" w:cs="Times New Roman"/>
          <w:bCs/>
          <w:sz w:val="24"/>
          <w:szCs w:val="24"/>
          <w:lang w:eastAsia="pl-PL"/>
        </w:rPr>
        <w:t>ę</w:t>
      </w:r>
      <w:r w:rsidRPr="0050789A">
        <w:rPr>
          <w:rFonts w:ascii="Times New Roman" w:eastAsia="Times New Roman" w:hAnsi="Times New Roman" w:cs="Times New Roman"/>
          <w:bCs/>
          <w:sz w:val="24"/>
          <w:szCs w:val="24"/>
          <w:lang w:eastAsia="pl-PL"/>
        </w:rPr>
        <w:t>powania administracyjnego (Dz. U. z 2022 r. poz. 2000</w:t>
      </w:r>
      <w:r w:rsidR="00760E79">
        <w:rPr>
          <w:rFonts w:ascii="Times New Roman" w:eastAsia="Times New Roman" w:hAnsi="Times New Roman" w:cs="Times New Roman"/>
          <w:bCs/>
          <w:sz w:val="24"/>
          <w:szCs w:val="24"/>
          <w:lang w:eastAsia="pl-PL"/>
        </w:rPr>
        <w:t xml:space="preserve"> i 2185</w:t>
      </w:r>
      <w:r w:rsidRPr="0050789A">
        <w:rPr>
          <w:rFonts w:ascii="Times New Roman" w:eastAsia="Times New Roman" w:hAnsi="Times New Roman" w:cs="Times New Roman"/>
          <w:bCs/>
          <w:sz w:val="24"/>
          <w:szCs w:val="24"/>
          <w:lang w:eastAsia="pl-PL"/>
        </w:rPr>
        <w:t>)</w:t>
      </w:r>
      <w:r w:rsidRPr="0050789A" w:rsidDel="002A196E">
        <w:rPr>
          <w:rFonts w:ascii="Times New Roman" w:eastAsia="Times New Roman" w:hAnsi="Times New Roman" w:cs="Times New Roman"/>
          <w:bCs/>
          <w:sz w:val="24"/>
          <w:szCs w:val="24"/>
          <w:lang w:eastAsia="pl-PL"/>
        </w:rPr>
        <w:t xml:space="preserve"> </w:t>
      </w:r>
      <w:r w:rsidRPr="0050789A">
        <w:rPr>
          <w:rFonts w:ascii="Times New Roman" w:eastAsia="Times New Roman" w:hAnsi="Times New Roman" w:cs="Times New Roman"/>
          <w:bCs/>
          <w:sz w:val="24"/>
          <w:szCs w:val="24"/>
          <w:lang w:eastAsia="pl-PL"/>
        </w:rPr>
        <w:t xml:space="preserve">(dział II rozdział 13). Uchylenie albo </w:t>
      </w:r>
      <w:r w:rsidRPr="0050789A">
        <w:rPr>
          <w:rFonts w:ascii="Times New Roman" w:eastAsia="Times New Roman" w:hAnsi="Times New Roman" w:cs="Times New Roman"/>
          <w:bCs/>
          <w:sz w:val="24"/>
          <w:szCs w:val="24"/>
          <w:lang w:eastAsia="pl-PL"/>
        </w:rPr>
        <w:lastRenderedPageBreak/>
        <w:t>stwierdzenie nieważności decyzji stanowiącej podstawę zwrotu przez beneficjenta środków publicznych może być również wynikiem wyroku sądu administracyjnego wydanego na skutek skargi wniesionej od takiej decyzji. Wzruszenie tytułu przyznania pomocy w ramach wspólnej polityki rolnej innego niż decyzja administracyjna następuje w trybie odwoławczym na drodze postępowania cywilnego.</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W </w:t>
      </w:r>
      <w:r w:rsidRPr="0050789A">
        <w:rPr>
          <w:rFonts w:ascii="Times New Roman" w:eastAsia="Times New Roman" w:hAnsi="Times New Roman" w:cs="Times New Roman"/>
          <w:b/>
          <w:bCs/>
          <w:sz w:val="24"/>
          <w:szCs w:val="24"/>
          <w:lang w:eastAsia="pl-PL"/>
        </w:rPr>
        <w:t>art. 9</w:t>
      </w:r>
      <w:r w:rsidRPr="0050789A">
        <w:rPr>
          <w:rFonts w:ascii="Times New Roman" w:eastAsia="Times New Roman" w:hAnsi="Times New Roman" w:cs="Times New Roman"/>
          <w:bCs/>
          <w:sz w:val="24"/>
          <w:szCs w:val="24"/>
          <w:lang w:eastAsia="pl-PL"/>
        </w:rPr>
        <w:t xml:space="preserve"> projektu ustawy zaproponowano zasady dotyczące środków odzyskanych od beneficjentów. Środki publiczne przeznaczone na finansowanie w ramach wspólnej polityki rolnej odzyskane od beneficjentów będą pomniejszały zapotrzebowania agencji płatniczej na środki składane do ministra właściwego do spraw finansów publicznych i ministra właściwego do spraw rozwoju wsi. Środki publiczne przeznaczone na współfinansowanie w ramach wspólnej polityki rolnej będą przekazywane na rachunek bankowy wskazany przez ministra właściwego do spraw rozwoju wsi. Zgodnie z projektowanym </w:t>
      </w:r>
      <w:r w:rsidRPr="0050789A">
        <w:rPr>
          <w:rFonts w:ascii="Times New Roman" w:eastAsia="Times New Roman" w:hAnsi="Times New Roman" w:cs="Times New Roman"/>
          <w:b/>
          <w:bCs/>
          <w:sz w:val="24"/>
          <w:szCs w:val="24"/>
          <w:lang w:eastAsia="pl-PL"/>
        </w:rPr>
        <w:t>art. 10</w:t>
      </w:r>
      <w:r w:rsidRPr="0050789A">
        <w:rPr>
          <w:rFonts w:ascii="Times New Roman" w:eastAsia="Times New Roman" w:hAnsi="Times New Roman" w:cs="Times New Roman"/>
          <w:bCs/>
          <w:sz w:val="24"/>
          <w:szCs w:val="24"/>
          <w:lang w:eastAsia="pl-PL"/>
        </w:rPr>
        <w:t xml:space="preserve"> szczegółowy sposób postępowania ze środkami odzyskanymi będzie określony w rozporządzeniu ministra właściwego do spraw finansów publicznych wydanym w porozumieniu z ministrem właściwym do spraw rozwoju wsi. Ponadto w tym rozporządzeniu zostaną określone wymagania dotyczące zapotrzebowania składanego przez agencję płatniczą, w tym zakres tego zapotrzebowania i wymagania dotyczące jego przekazywania, oraz warunki i terminy przekazywania agencji płatniczej środków publicznych, o których mowa w art. 8 ust. 1–3, a także wymagania dotyczące informacji, jakie agencja płatnicza lub minister właściwy do spraw rozwoju wsi przekazują ministrowi właściwemu do spraw finansów publicznych, dotyczących prognozowanych i przekazanych agencji płatniczej środków publicznych, o których mowa w art. 8 ust. 1–3, oraz środków publicznych, o których mowa w art. 9 ust. 1–3, w tym zakres tych informacji oraz wymagania dotyczące ich przekazywania.</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W </w:t>
      </w:r>
      <w:r w:rsidRPr="0050789A">
        <w:rPr>
          <w:rFonts w:ascii="Times New Roman" w:eastAsia="Times New Roman" w:hAnsi="Times New Roman" w:cs="Times New Roman"/>
          <w:b/>
          <w:bCs/>
          <w:sz w:val="24"/>
          <w:szCs w:val="24"/>
          <w:lang w:eastAsia="pl-PL"/>
        </w:rPr>
        <w:t xml:space="preserve">art. 11 </w:t>
      </w:r>
      <w:r w:rsidRPr="0050789A">
        <w:rPr>
          <w:rFonts w:ascii="Times New Roman" w:eastAsia="Times New Roman" w:hAnsi="Times New Roman" w:cs="Times New Roman"/>
          <w:bCs/>
          <w:sz w:val="24"/>
          <w:szCs w:val="24"/>
          <w:lang w:eastAsia="pl-PL"/>
        </w:rPr>
        <w:t>i</w:t>
      </w:r>
      <w:r w:rsidRPr="0050789A">
        <w:rPr>
          <w:rFonts w:ascii="Times New Roman" w:eastAsia="Times New Roman" w:hAnsi="Times New Roman" w:cs="Times New Roman"/>
          <w:b/>
          <w:bCs/>
          <w:sz w:val="24"/>
          <w:szCs w:val="24"/>
          <w:lang w:eastAsia="pl-PL"/>
        </w:rPr>
        <w:t xml:space="preserve"> art. 12</w:t>
      </w:r>
      <w:r w:rsidRPr="0050789A">
        <w:rPr>
          <w:rFonts w:ascii="Times New Roman" w:eastAsia="Times New Roman" w:hAnsi="Times New Roman" w:cs="Times New Roman"/>
          <w:bCs/>
          <w:sz w:val="24"/>
          <w:szCs w:val="24"/>
          <w:lang w:eastAsia="pl-PL"/>
        </w:rPr>
        <w:t xml:space="preserve"> projektu ustawy proponuje się, aby z wyprzedzającego finansowania z budżetu krajowego mogły korzystać jednostki samorządu terytorialnego realizujące operacje, których przedmiotem jest postępowanie scaleniowe i zagospodarowanie </w:t>
      </w:r>
      <w:proofErr w:type="spellStart"/>
      <w:r w:rsidRPr="0050789A">
        <w:rPr>
          <w:rFonts w:ascii="Times New Roman" w:eastAsia="Times New Roman" w:hAnsi="Times New Roman" w:cs="Times New Roman"/>
          <w:bCs/>
          <w:sz w:val="24"/>
          <w:szCs w:val="24"/>
          <w:lang w:eastAsia="pl-PL"/>
        </w:rPr>
        <w:t>poscaleniowe</w:t>
      </w:r>
      <w:proofErr w:type="spellEnd"/>
      <w:r w:rsidRPr="0050789A">
        <w:rPr>
          <w:rFonts w:ascii="Times New Roman" w:eastAsia="Times New Roman" w:hAnsi="Times New Roman" w:cs="Times New Roman"/>
          <w:bCs/>
          <w:sz w:val="24"/>
          <w:szCs w:val="24"/>
          <w:lang w:eastAsia="pl-PL"/>
        </w:rPr>
        <w:t xml:space="preserve">, o których mowa w przepisach </w:t>
      </w:r>
      <w:r w:rsidRPr="0050789A">
        <w:rPr>
          <w:rFonts w:ascii="Times New Roman" w:eastAsia="Times New Roman" w:hAnsi="Times New Roman" w:cs="Times New Roman"/>
          <w:bCs/>
          <w:sz w:val="24"/>
          <w:szCs w:val="24"/>
        </w:rPr>
        <w:t>ustaw</w:t>
      </w:r>
      <w:r w:rsidRPr="0050789A">
        <w:rPr>
          <w:rFonts w:ascii="Times New Roman" w:eastAsia="Times New Roman" w:hAnsi="Times New Roman" w:cs="Times New Roman"/>
          <w:bCs/>
          <w:sz w:val="24"/>
          <w:szCs w:val="24"/>
          <w:lang w:eastAsia="pl-PL"/>
        </w:rPr>
        <w:t>y</w:t>
      </w:r>
      <w:r w:rsidRPr="0050789A">
        <w:rPr>
          <w:rFonts w:ascii="Times New Roman" w:eastAsia="Times New Roman" w:hAnsi="Times New Roman" w:cs="Times New Roman"/>
          <w:bCs/>
          <w:sz w:val="24"/>
          <w:szCs w:val="24"/>
        </w:rPr>
        <w:t xml:space="preserve"> z dnia 26 marca 1982 r. o scalaniu i wymianie gruntów (Dz. U. z 202</w:t>
      </w:r>
      <w:r w:rsidRPr="0050789A">
        <w:rPr>
          <w:rFonts w:ascii="Times New Roman" w:eastAsia="Times New Roman" w:hAnsi="Times New Roman" w:cs="Times New Roman"/>
          <w:bCs/>
          <w:sz w:val="24"/>
          <w:szCs w:val="24"/>
          <w:lang w:eastAsia="pl-PL"/>
        </w:rPr>
        <w:t>2</w:t>
      </w:r>
      <w:r w:rsidRPr="0050789A">
        <w:rPr>
          <w:rFonts w:ascii="Times New Roman" w:eastAsia="Times New Roman" w:hAnsi="Times New Roman" w:cs="Times New Roman"/>
          <w:bCs/>
          <w:sz w:val="24"/>
          <w:szCs w:val="24"/>
        </w:rPr>
        <w:t xml:space="preserve"> r. </w:t>
      </w:r>
      <w:r w:rsidRPr="0050789A">
        <w:rPr>
          <w:rFonts w:ascii="Times New Roman" w:eastAsia="Times New Roman" w:hAnsi="Times New Roman" w:cs="Times New Roman"/>
          <w:bCs/>
          <w:sz w:val="24"/>
          <w:szCs w:val="24"/>
          <w:lang w:eastAsia="pl-PL"/>
        </w:rPr>
        <w:t xml:space="preserve">poz. 1223), oraz operacje z zakresu pomocy technicznej PS WPR </w:t>
      </w:r>
      <w:bookmarkStart w:id="2" w:name="_Hlk117670907"/>
      <w:bookmarkStart w:id="3" w:name="_Hlk117671073"/>
      <w:r w:rsidRPr="0050789A">
        <w:rPr>
          <w:rFonts w:ascii="Times New Roman" w:eastAsia="Times New Roman" w:hAnsi="Times New Roman" w:cs="Times New Roman"/>
          <w:bCs/>
          <w:sz w:val="24"/>
          <w:szCs w:val="24"/>
          <w:lang w:eastAsia="pl-PL"/>
        </w:rPr>
        <w:t>–</w:t>
      </w:r>
      <w:bookmarkEnd w:id="2"/>
      <w:r w:rsidRPr="0050789A">
        <w:rPr>
          <w:rFonts w:ascii="Times New Roman" w:eastAsia="Times New Roman" w:hAnsi="Times New Roman" w:cs="Times New Roman"/>
          <w:bCs/>
          <w:sz w:val="24"/>
          <w:szCs w:val="24"/>
          <w:lang w:eastAsia="pl-PL"/>
        </w:rPr>
        <w:t xml:space="preserve"> </w:t>
      </w:r>
      <w:bookmarkEnd w:id="3"/>
      <w:r w:rsidRPr="0050789A">
        <w:rPr>
          <w:rFonts w:ascii="Times New Roman" w:eastAsia="Times New Roman" w:hAnsi="Times New Roman" w:cs="Times New Roman"/>
          <w:bCs/>
          <w:sz w:val="24"/>
          <w:szCs w:val="24"/>
          <w:lang w:eastAsia="pl-PL"/>
        </w:rPr>
        <w:t>analogicznie jak w Programie Rozwoju Obszarów Wiejskich na lata 2007</w:t>
      </w:r>
      <w:bookmarkStart w:id="4" w:name="_Hlk105069342"/>
      <w:r w:rsidRPr="0050789A">
        <w:rPr>
          <w:rFonts w:ascii="Times New Roman" w:eastAsia="Times New Roman" w:hAnsi="Times New Roman" w:cs="Times New Roman"/>
          <w:bCs/>
          <w:sz w:val="24"/>
          <w:szCs w:val="24"/>
          <w:lang w:eastAsia="pl-PL"/>
        </w:rPr>
        <w:t>–</w:t>
      </w:r>
      <w:bookmarkEnd w:id="4"/>
      <w:r w:rsidRPr="0050789A">
        <w:rPr>
          <w:rFonts w:ascii="Times New Roman" w:eastAsia="Times New Roman" w:hAnsi="Times New Roman" w:cs="Times New Roman"/>
          <w:bCs/>
          <w:sz w:val="24"/>
          <w:szCs w:val="24"/>
          <w:lang w:eastAsia="pl-PL"/>
        </w:rPr>
        <w:t>2013 (PROW 2007–2013) i Programie Rozwoju Obszarów Wiejskich na lata 2014–2020 (PROW 2014–2020).</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bookmarkStart w:id="5" w:name="_Hlk105068621"/>
      <w:r w:rsidRPr="0050789A">
        <w:rPr>
          <w:rFonts w:ascii="Times New Roman" w:eastAsia="Times New Roman" w:hAnsi="Times New Roman" w:cs="Times New Roman"/>
          <w:bCs/>
          <w:sz w:val="24"/>
          <w:szCs w:val="24"/>
          <w:lang w:eastAsia="pl-PL"/>
        </w:rPr>
        <w:t xml:space="preserve">Ponadto w </w:t>
      </w:r>
      <w:r w:rsidRPr="0050789A">
        <w:rPr>
          <w:rFonts w:ascii="Times New Roman" w:eastAsia="Times New Roman" w:hAnsi="Times New Roman" w:cs="Times New Roman"/>
          <w:b/>
          <w:bCs/>
          <w:sz w:val="24"/>
          <w:szCs w:val="24"/>
          <w:lang w:eastAsia="pl-PL"/>
        </w:rPr>
        <w:t xml:space="preserve">art. 13 </w:t>
      </w:r>
      <w:r w:rsidRPr="0050789A">
        <w:rPr>
          <w:rFonts w:ascii="Times New Roman" w:eastAsia="Times New Roman" w:hAnsi="Times New Roman" w:cs="Times New Roman"/>
          <w:bCs/>
          <w:sz w:val="24"/>
          <w:szCs w:val="24"/>
          <w:lang w:eastAsia="pl-PL"/>
        </w:rPr>
        <w:t xml:space="preserve">projektu ustawy proponuje się, aby jednostki samorządu terytorialnego, instytuty badawcze, instytuty działające w ramach Sieci Badawczej Łukasiewicz, jednostki </w:t>
      </w:r>
      <w:r w:rsidRPr="0050789A">
        <w:rPr>
          <w:rFonts w:ascii="Times New Roman" w:eastAsia="Times New Roman" w:hAnsi="Times New Roman" w:cs="Times New Roman"/>
          <w:bCs/>
          <w:sz w:val="24"/>
          <w:szCs w:val="24"/>
          <w:lang w:eastAsia="pl-PL"/>
        </w:rPr>
        <w:lastRenderedPageBreak/>
        <w:t>doradztwa rolniczego, uczelnie i lokalne grupy działania otrzymywały środki na wyprzedzające finansowanie pomocy na operacje realizowane w ramach interwencji</w:t>
      </w:r>
      <w:bookmarkEnd w:id="5"/>
      <w:r w:rsidRPr="0050789A">
        <w:rPr>
          <w:rFonts w:ascii="Times New Roman" w:eastAsia="Times New Roman" w:hAnsi="Times New Roman" w:cs="Times New Roman"/>
          <w:bCs/>
          <w:sz w:val="24"/>
          <w:szCs w:val="24"/>
          <w:lang w:eastAsia="pl-PL"/>
        </w:rPr>
        <w:t>:</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1)</w:t>
      </w:r>
      <w:r w:rsidRPr="0050789A">
        <w:rPr>
          <w:rFonts w:ascii="Times New Roman" w:eastAsia="Times New Roman" w:hAnsi="Times New Roman" w:cs="Times New Roman"/>
          <w:bCs/>
          <w:sz w:val="24"/>
          <w:szCs w:val="24"/>
          <w:lang w:eastAsia="pl-PL"/>
        </w:rPr>
        <w:tab/>
        <w:t>„Inwestycje” – art. 73 rozporządzenia 2021/2115;</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2)</w:t>
      </w:r>
      <w:r w:rsidRPr="0050789A">
        <w:rPr>
          <w:rFonts w:ascii="Times New Roman" w:eastAsia="Times New Roman" w:hAnsi="Times New Roman" w:cs="Times New Roman"/>
          <w:bCs/>
          <w:sz w:val="24"/>
          <w:szCs w:val="24"/>
          <w:lang w:eastAsia="pl-PL"/>
        </w:rPr>
        <w:tab/>
        <w:t>„Współpraca” – art. 77 rozporządzenia 2021/2115;</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3)</w:t>
      </w:r>
      <w:r w:rsidRPr="0050789A">
        <w:rPr>
          <w:rFonts w:ascii="Times New Roman" w:eastAsia="Times New Roman" w:hAnsi="Times New Roman" w:cs="Times New Roman"/>
          <w:bCs/>
          <w:sz w:val="24"/>
          <w:szCs w:val="24"/>
          <w:lang w:eastAsia="pl-PL"/>
        </w:rPr>
        <w:tab/>
        <w:t>„Wymiana wiedzy i upowszechnianie informacji” – art. 78 rozporządzenia 2021/2115.</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Środki na realizację operacji w ramach tych interwencji będą uruchamiane w formie oprocentowanych pożyczek z Banku Gospodarstwa Krajowego. Analogiczny mechanizm działa również w ramach PROW 2014–2020 i działał w PROW 2007–2013. Szczegółowe warunki, tryb i terminy udzielania pożyczek na wyprzedzające finansowanie pomocy Rada Ministrów określi w drodze rozporządzenia (art. 15 ust. 4 projektu ustawy).</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Zaproponowane rozwiązania dotyczące pożyczek z Banku Gospodarstwa Krajowego (</w:t>
      </w:r>
      <w:r w:rsidRPr="0050789A">
        <w:rPr>
          <w:rFonts w:ascii="Times New Roman" w:eastAsia="Times New Roman" w:hAnsi="Times New Roman" w:cs="Times New Roman"/>
          <w:b/>
          <w:bCs/>
          <w:sz w:val="24"/>
          <w:szCs w:val="24"/>
          <w:lang w:eastAsia="pl-PL"/>
        </w:rPr>
        <w:t>art.</w:t>
      </w:r>
      <w:r w:rsidRPr="0050789A">
        <w:rPr>
          <w:rFonts w:ascii="Times New Roman" w:eastAsia="Times New Roman" w:hAnsi="Times New Roman" w:cs="Times New Roman"/>
          <w:bCs/>
          <w:sz w:val="24"/>
          <w:szCs w:val="24"/>
          <w:lang w:eastAsia="pl-PL"/>
        </w:rPr>
        <w:t xml:space="preserve"> </w:t>
      </w:r>
      <w:r w:rsidRPr="0050789A">
        <w:rPr>
          <w:rFonts w:ascii="Times New Roman" w:eastAsia="Times New Roman" w:hAnsi="Times New Roman" w:cs="Times New Roman"/>
          <w:b/>
          <w:bCs/>
          <w:sz w:val="24"/>
          <w:szCs w:val="24"/>
          <w:lang w:eastAsia="pl-PL"/>
        </w:rPr>
        <w:t xml:space="preserve">14 </w:t>
      </w:r>
      <w:r w:rsidRPr="0050789A">
        <w:rPr>
          <w:rFonts w:ascii="Times New Roman" w:eastAsia="Times New Roman" w:hAnsi="Times New Roman" w:cs="Times New Roman"/>
          <w:bCs/>
          <w:sz w:val="24"/>
          <w:szCs w:val="24"/>
          <w:lang w:eastAsia="pl-PL"/>
        </w:rPr>
        <w:t xml:space="preserve">i </w:t>
      </w:r>
      <w:r w:rsidRPr="0050789A">
        <w:rPr>
          <w:rFonts w:ascii="Times New Roman" w:eastAsia="Times New Roman" w:hAnsi="Times New Roman" w:cs="Times New Roman"/>
          <w:b/>
          <w:bCs/>
          <w:sz w:val="24"/>
          <w:szCs w:val="24"/>
          <w:lang w:eastAsia="pl-PL"/>
        </w:rPr>
        <w:t xml:space="preserve">art. 15 </w:t>
      </w:r>
      <w:r w:rsidRPr="0050789A">
        <w:rPr>
          <w:rFonts w:ascii="Times New Roman" w:eastAsia="Times New Roman" w:hAnsi="Times New Roman" w:cs="Times New Roman"/>
          <w:bCs/>
          <w:sz w:val="24"/>
          <w:szCs w:val="24"/>
          <w:lang w:eastAsia="pl-PL"/>
        </w:rPr>
        <w:t>projektu ustawy) obowiązują w PROW 2014–2020.</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Z proponowanego </w:t>
      </w:r>
      <w:r w:rsidRPr="0050789A">
        <w:rPr>
          <w:rFonts w:ascii="Times New Roman" w:eastAsia="Times New Roman" w:hAnsi="Times New Roman" w:cs="Times New Roman"/>
          <w:b/>
          <w:bCs/>
          <w:sz w:val="24"/>
          <w:szCs w:val="24"/>
          <w:lang w:eastAsia="pl-PL"/>
        </w:rPr>
        <w:t>art.</w:t>
      </w:r>
      <w:r w:rsidRPr="0050789A">
        <w:rPr>
          <w:rFonts w:ascii="Times New Roman" w:eastAsia="Times New Roman" w:hAnsi="Times New Roman" w:cs="Times New Roman"/>
          <w:bCs/>
          <w:sz w:val="24"/>
          <w:szCs w:val="24"/>
          <w:lang w:eastAsia="pl-PL"/>
        </w:rPr>
        <w:t xml:space="preserve"> </w:t>
      </w:r>
      <w:r w:rsidRPr="0050789A">
        <w:rPr>
          <w:rFonts w:ascii="Times New Roman" w:eastAsia="Times New Roman" w:hAnsi="Times New Roman" w:cs="Times New Roman"/>
          <w:b/>
          <w:bCs/>
          <w:sz w:val="24"/>
          <w:szCs w:val="24"/>
          <w:lang w:eastAsia="pl-PL"/>
        </w:rPr>
        <w:t>16</w:t>
      </w:r>
      <w:r w:rsidRPr="0050789A">
        <w:rPr>
          <w:rFonts w:ascii="Times New Roman" w:eastAsia="Times New Roman" w:hAnsi="Times New Roman" w:cs="Times New Roman"/>
          <w:bCs/>
          <w:sz w:val="24"/>
          <w:szCs w:val="24"/>
          <w:lang w:eastAsia="pl-PL"/>
        </w:rPr>
        <w:t xml:space="preserve"> projektu ustawy wynika, że wysokość wyprzedzającego finansowania pomocy będzie określał beneficjent we wniosku o przyznanie pomocy, ale wysokość tego finansowania nie może być wyższa od współfinansowania krajowego określonego dla danej interwencji</w:t>
      </w:r>
      <w:r w:rsidRPr="0050789A">
        <w:rPr>
          <w:rFonts w:ascii="Times New Roman" w:eastAsia="Times New Roman" w:hAnsi="Times New Roman" w:cs="Times New Roman"/>
          <w:bCs/>
          <w:sz w:val="24"/>
          <w:szCs w:val="24"/>
        </w:rPr>
        <w:t>.</w:t>
      </w:r>
      <w:r w:rsidRPr="0050789A">
        <w:rPr>
          <w:rFonts w:ascii="Times New Roman" w:eastAsia="Times New Roman" w:hAnsi="Times New Roman" w:cs="Times New Roman"/>
          <w:bCs/>
          <w:sz w:val="24"/>
          <w:szCs w:val="24"/>
          <w:lang w:eastAsia="pl-PL"/>
        </w:rPr>
        <w:t xml:space="preserve"> Kwota pomocy oraz warunki wypłaty i zasady rozliczania tych środków będą określone w umowie o przyznaniu pomocy. </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Zasady zwrotu tych środków są analogiczne jak obecnie funkcjonujące w ramach PROW 2014–2020 (</w:t>
      </w:r>
      <w:r w:rsidRPr="0050789A">
        <w:rPr>
          <w:rFonts w:ascii="Times New Roman" w:eastAsia="Times New Roman" w:hAnsi="Times New Roman" w:cs="Times New Roman"/>
          <w:b/>
          <w:bCs/>
          <w:sz w:val="24"/>
          <w:szCs w:val="24"/>
          <w:lang w:eastAsia="pl-PL"/>
        </w:rPr>
        <w:t xml:space="preserve">art. 17 </w:t>
      </w:r>
      <w:r w:rsidRPr="0050789A">
        <w:rPr>
          <w:rFonts w:ascii="Times New Roman" w:eastAsia="Times New Roman" w:hAnsi="Times New Roman" w:cs="Times New Roman"/>
          <w:bCs/>
          <w:sz w:val="24"/>
          <w:szCs w:val="24"/>
          <w:lang w:eastAsia="pl-PL"/>
        </w:rPr>
        <w:t xml:space="preserve">projektu ustawy). Proponuje się, aby wyprzedzające finansowanie pomocy z budżetu państwa do wysokości współfinansowania krajowego mogli otrzymać wszyscy zainteresowani beneficjenci PS WPR w ramach interwencji, w których będzie zawierana umowa o przyznaniu pomocy. Wyprzedzające finansowanie będzie przekazywane zgodnie z harmonogramami płatności w ramach danej operacji. Spowoduje to skrócenie okresu między przekazaniem beneficjentowi wyprzedzającego finansowania a rozliczeniem operacji lub jej etapu przez agencję płatniczą. Zgodnie z projektowanym </w:t>
      </w:r>
      <w:r w:rsidRPr="0050789A">
        <w:rPr>
          <w:rFonts w:ascii="Times New Roman" w:eastAsia="Times New Roman" w:hAnsi="Times New Roman" w:cs="Times New Roman"/>
          <w:b/>
          <w:bCs/>
          <w:sz w:val="24"/>
          <w:szCs w:val="24"/>
          <w:lang w:eastAsia="pl-PL"/>
        </w:rPr>
        <w:t>art. 18</w:t>
      </w:r>
      <w:r w:rsidRPr="0050789A">
        <w:rPr>
          <w:rFonts w:ascii="Times New Roman" w:eastAsia="Times New Roman" w:hAnsi="Times New Roman" w:cs="Times New Roman"/>
          <w:bCs/>
          <w:sz w:val="24"/>
          <w:szCs w:val="24"/>
          <w:lang w:eastAsia="pl-PL"/>
        </w:rPr>
        <w:t xml:space="preserve"> minister właściwy do spraw rozwoju wsi w porozumieniu z ministrem właściwym do spraw finansów publicznych określi, w drodze rozporządzenia, szczegółowe warunki i tryb udzielania, rozliczania i zwrotu środków na wyprzedzające współfinansowanie pomocy oraz formy i sposób zabezpieczenia wypłaconych środków, mając na uwadze zakres i należyte zabezpieczenie realizowanej operacji. </w:t>
      </w:r>
      <w:bookmarkStart w:id="6" w:name="_Hlk119914132"/>
      <w:r w:rsidRPr="0050789A">
        <w:rPr>
          <w:rFonts w:ascii="Times New Roman" w:eastAsia="Times New Roman" w:hAnsi="Times New Roman" w:cs="Times New Roman"/>
          <w:bCs/>
          <w:sz w:val="24"/>
          <w:szCs w:val="24"/>
          <w:lang w:eastAsia="pl-PL"/>
        </w:rPr>
        <w:t xml:space="preserve">W przypadku wyprzedzającego współfinansowania agencja płatnicza wypłaca wkład EFRROW beneficjentowi dopiero po zakończeniu i rozliczeniu operacji lub jej poszczególnych etapów. Po wypłacie wkładu EFRROW agencja płatnicza wykazuje środki publiczne zarówno </w:t>
      </w:r>
      <w:r w:rsidRPr="0050789A">
        <w:rPr>
          <w:rFonts w:ascii="Times New Roman" w:eastAsia="Times New Roman" w:hAnsi="Times New Roman" w:cs="Times New Roman"/>
          <w:bCs/>
          <w:sz w:val="24"/>
          <w:szCs w:val="24"/>
          <w:lang w:eastAsia="pl-PL"/>
        </w:rPr>
        <w:lastRenderedPageBreak/>
        <w:t>odpowiadające wkładowi EFRROW, jak i wkładowi krajowemu (wyprzedzające współfinansowanie) w deklaracji wydatków przekazywanej do KE w celu otrzymania refundacji z budżetu Unii Europejskiej.</w:t>
      </w:r>
    </w:p>
    <w:bookmarkEnd w:id="6"/>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Środki na wyprzedzające współfinansowanie (projektowany </w:t>
      </w:r>
      <w:r w:rsidRPr="0050789A">
        <w:rPr>
          <w:rFonts w:ascii="Times New Roman" w:eastAsia="Times New Roman" w:hAnsi="Times New Roman" w:cs="Times New Roman"/>
          <w:b/>
          <w:bCs/>
          <w:sz w:val="24"/>
          <w:szCs w:val="24"/>
          <w:lang w:eastAsia="pl-PL"/>
        </w:rPr>
        <w:t>art. 16</w:t>
      </w:r>
      <w:r w:rsidRPr="0050789A">
        <w:rPr>
          <w:rFonts w:ascii="Times New Roman" w:eastAsia="Times New Roman" w:hAnsi="Times New Roman" w:cs="Times New Roman"/>
          <w:bCs/>
          <w:sz w:val="24"/>
          <w:szCs w:val="24"/>
          <w:lang w:eastAsia="pl-PL"/>
        </w:rPr>
        <w:t xml:space="preserve"> i </w:t>
      </w:r>
      <w:r w:rsidRPr="0050789A">
        <w:rPr>
          <w:rFonts w:ascii="Times New Roman" w:eastAsia="Times New Roman" w:hAnsi="Times New Roman" w:cs="Times New Roman"/>
          <w:b/>
          <w:bCs/>
          <w:sz w:val="24"/>
          <w:szCs w:val="24"/>
          <w:lang w:eastAsia="pl-PL"/>
        </w:rPr>
        <w:t>art. 17</w:t>
      </w:r>
      <w:r w:rsidRPr="0050789A">
        <w:rPr>
          <w:rFonts w:ascii="Times New Roman" w:eastAsia="Times New Roman" w:hAnsi="Times New Roman" w:cs="Times New Roman"/>
          <w:bCs/>
          <w:sz w:val="24"/>
          <w:szCs w:val="24"/>
          <w:lang w:eastAsia="pl-PL"/>
        </w:rPr>
        <w:t>) będą wypłacane beneficjentowi po ustanowieniu i wniesieniu przez niego zabezpieczenia należytego wykonania zobowiązań wynikających z umowy o przyznaniu pomocy. Przepis dotyczący zabezpieczenia nie będzie miał zastosowania do beneficjenta będącego jednostką sektora finansów publicznych, państwowym instytutem badawczym oraz instytutem działającym w ramach Sieci Badawczej Łukasiewicz, a w przypadku gdy umowa o przyznaniu pomocy jest zawierana z grupą beneficjentów – jeżeli wszyscy beneficjenci pomocy w tej grupie są jednostkami sektora finansów publicznych lub takimi instytutami. Proponowany przepis pozwala na zwolnienie instytutu badawczego posiadającego status państwowego instytutu badawczego w rozumieniu art. 21 ustawy z dnia 30 kwietnia 2010 r. o instytutach badawczych (Dz. U. z 2022 r. poz. 498) uczestniczącego w realizacji operacji z zakresu interwencji „Wymiana wiedzy i upowszechnianie informacji” PS WPR (art. 78 rozporządzenia 2021/2115) z obowiązku ustanowienia i złożenia zabezpieczenia należytego wykonania zobowiązań określonych w umowie o przyznaniu pomocy. Państwowe instytuty badawcze obok jednostek sektora finansów publicznych, takich jak jednostki doradztwa rolniczego (JDR) i uczelnie publiczne, są potencjalnymi beneficjentami wsparcia w ramach interwencji z art. 78 rozporządzenia 2021/2115, przy czym mogą ubiegać się o wsparcie samodzielnie albo wspólnie z JDR i uczelniami w ramach umowy konsorcjum. Zastosowanie takiego zwolnienia w stosunku do państwowego instytutu badawczego oraz instytutu działającego w ramach Sieci Badawczej Łukasiewicz ma istotne znaczenie dla zapewnienia udziału tych jednostek w realizacji operacji szkoleniowych i doradczych dla rolników i doradców rolnych w ramach interwencji PS WPR. Udział państwowych instytutów badawczych i instytutów działających w ramach Sieci Badawczej Łukasiewicz jest niezbędny ze względu na zakres operacji, które będą realizowane w ramach interwencji z art. 78 rozporządzenia 2021/2115, tj. interwencji: „Doskonalenie zawodowe rolników” (występowanie pracowników naukowych instytutów w charakterze wykładowców upowszechniających</w:t>
      </w:r>
      <w:r w:rsidRPr="0050789A" w:rsidDel="00D832CC">
        <w:rPr>
          <w:rFonts w:ascii="Times New Roman" w:eastAsia="Times New Roman" w:hAnsi="Times New Roman" w:cs="Times New Roman"/>
          <w:bCs/>
          <w:sz w:val="24"/>
          <w:szCs w:val="24"/>
          <w:lang w:eastAsia="pl-PL"/>
        </w:rPr>
        <w:t xml:space="preserve"> </w:t>
      </w:r>
      <w:r w:rsidRPr="0050789A">
        <w:rPr>
          <w:rFonts w:ascii="Times New Roman" w:eastAsia="Times New Roman" w:hAnsi="Times New Roman" w:cs="Times New Roman"/>
          <w:bCs/>
          <w:sz w:val="24"/>
          <w:szCs w:val="24"/>
          <w:lang w:eastAsia="pl-PL"/>
        </w:rPr>
        <w:t xml:space="preserve">doświadczenie, wiedzę i najnowsze rozwiązania), „Wsparcie gospodarstw demonstracyjnych” (udział państwowych instytutów badawczych w realizacji operacji obejmującej założenie i prowadzenie obiektów demonstracyjnych w gospodarstwach oraz przeprowadzanie prezentacji dla rolników w tych obiektach) oraz „Doskonalenie zawodowe kadr doradczych” (wspieranie szkoleń dla doradców, w </w:t>
      </w:r>
      <w:r w:rsidRPr="0050789A">
        <w:rPr>
          <w:rFonts w:ascii="Times New Roman" w:eastAsia="Times New Roman" w:hAnsi="Times New Roman" w:cs="Times New Roman"/>
          <w:bCs/>
          <w:sz w:val="24"/>
          <w:szCs w:val="24"/>
          <w:lang w:eastAsia="pl-PL"/>
        </w:rPr>
        <w:lastRenderedPageBreak/>
        <w:t xml:space="preserve">szczególności w formie studiów podyplomowych). Zaproponowane rozwiązanie – zwolnienie z obowiązku zabezpieczenia należytego wykonania zobowiązań umowy o przyznaniu pomocy jest stosowane również w ramach wdrażania PROW 2014–2020 na podstawie art. 37a ustawy z dnia 20 lutego 2015 r. o wspieraniu rozwoju obszarów wiejskich z udziałem środków Europejskiego Funduszu Rolnego na rzecz Rozwoju Obszarów Wiejskich w ramach programu rozwoju obszarów wiejskich na lata 2014–2020 (Dz. U. z 2022 r. poz. 2422, z </w:t>
      </w:r>
      <w:proofErr w:type="spellStart"/>
      <w:r w:rsidRPr="0050789A">
        <w:rPr>
          <w:rFonts w:ascii="Times New Roman" w:eastAsia="Times New Roman" w:hAnsi="Times New Roman" w:cs="Times New Roman"/>
          <w:bCs/>
          <w:sz w:val="24"/>
          <w:szCs w:val="24"/>
          <w:lang w:eastAsia="pl-PL"/>
        </w:rPr>
        <w:t>późn</w:t>
      </w:r>
      <w:proofErr w:type="spellEnd"/>
      <w:r w:rsidRPr="0050789A">
        <w:rPr>
          <w:rFonts w:ascii="Times New Roman" w:eastAsia="Times New Roman" w:hAnsi="Times New Roman" w:cs="Times New Roman"/>
          <w:bCs/>
          <w:sz w:val="24"/>
          <w:szCs w:val="24"/>
          <w:lang w:eastAsia="pl-PL"/>
        </w:rPr>
        <w:t>. zm.). Stosowane rozwiązanie bazuje na wykorzystanym we wdrażaniu strategicznych programów badań naukowych i prac rozwojowych (GOSPOSTRATEG, LIDER), realizowanych na podstawie ustawy z dnia 30 kwietnia 2010 r. o Narodowym Centrum Badań i Rozwoju (Dz. U. z 2022 r. poz. 2279), w których przewidziano zwolnienie z obowiązku składania zabezpieczenia wykonania umowy, w szczególności w przypadku instytutów badawczych w rozumieniu ustawy z dnia 30 kwietnia 2010 r. o instytutach badawczych. W przypadku interwencji z zakresu „Wymiana wiedzy i upowszechnianie informacji” – art. 78 rozporządzenia 2021/2115, analogicznie jak to jest przyjęte i stosowane w PROW 2014–2020 w odniesieniu do podobnych działań, nie przewiduje się stosowania zabezpieczenia należytego wykonania zobowiązań w odniesieniu do beneficjentów takich jak: JDR, uczelnie publiczne i państwowe instytuty badawcze. Ryzyko problemów z regulacją własnych zobowiązań czy nawet upadłości beneficjenta będącego państwowym instytutem badawczym, podobnie jak beneficjentów należących do sektora finansów publicznych, jest dużo mniejsze niż pozostałych beneficjentów pomocy (przedsiębiorców czy osób fizycznych).</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W przypadku instytutów działających w ramach Sieci Badawczej Łukasiewicz, mimo że w perspektywie finansowej 2014–2020 instytuty tej sieci nie miały możliwości ubiegania się o wyprzedzające współfinansowanie, a także o wyprzedzające finansowanie udzielane w formie pożyczek Banku Gospodarstwa Krajowego, instytuty tej sieci mogą odgrywać rolę we wspieraniu sektora rolnego w każdym z trzech obszarów (inwestycje, współpraca i wymiana wiedzy), a to pozwala na otrzymanie przez nie takiego finansowania. Przepisy regulujące działanie Sieci Badawczej Łukasiewicz wskazują, że w jej ramach instytuty mogą m.in.:</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1)</w:t>
      </w:r>
      <w:r w:rsidRPr="0050789A">
        <w:rPr>
          <w:rFonts w:ascii="Times New Roman" w:eastAsia="Times New Roman" w:hAnsi="Times New Roman" w:cs="Times New Roman"/>
          <w:bCs/>
          <w:sz w:val="24"/>
          <w:szCs w:val="24"/>
          <w:lang w:eastAsia="pl-PL"/>
        </w:rPr>
        <w:tab/>
        <w:t>produkować unikatową aparaturę badawczą i unikatowe materiały;</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2)</w:t>
      </w:r>
      <w:r w:rsidRPr="0050789A">
        <w:rPr>
          <w:rFonts w:ascii="Times New Roman" w:eastAsia="Times New Roman" w:hAnsi="Times New Roman" w:cs="Times New Roman"/>
          <w:bCs/>
          <w:sz w:val="24"/>
          <w:szCs w:val="24"/>
          <w:lang w:eastAsia="pl-PL"/>
        </w:rPr>
        <w:tab/>
        <w:t>opracowywać prototypy nowych rozwiązań technologicznych;</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3)</w:t>
      </w:r>
      <w:r w:rsidRPr="0050789A">
        <w:rPr>
          <w:rFonts w:ascii="Times New Roman" w:eastAsia="Times New Roman" w:hAnsi="Times New Roman" w:cs="Times New Roman"/>
          <w:bCs/>
          <w:sz w:val="24"/>
          <w:szCs w:val="24"/>
          <w:lang w:eastAsia="pl-PL"/>
        </w:rPr>
        <w:tab/>
        <w:t>prowadzić działalność w zakresie standaryzacji procesów wspierających rozwój innowacyjności;</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4)</w:t>
      </w:r>
      <w:r w:rsidRPr="0050789A">
        <w:rPr>
          <w:rFonts w:ascii="Times New Roman" w:eastAsia="Times New Roman" w:hAnsi="Times New Roman" w:cs="Times New Roman"/>
          <w:bCs/>
          <w:sz w:val="24"/>
          <w:szCs w:val="24"/>
          <w:lang w:eastAsia="pl-PL"/>
        </w:rPr>
        <w:tab/>
        <w:t>prowadzić działalność w zakresie popularyzacji nauki i wiedzy o nowych technologiach;</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lastRenderedPageBreak/>
        <w:t>5)</w:t>
      </w:r>
      <w:r w:rsidRPr="0050789A">
        <w:rPr>
          <w:rFonts w:ascii="Times New Roman" w:eastAsia="Times New Roman" w:hAnsi="Times New Roman" w:cs="Times New Roman"/>
          <w:bCs/>
          <w:sz w:val="24"/>
          <w:szCs w:val="24"/>
          <w:lang w:eastAsia="pl-PL"/>
        </w:rPr>
        <w:tab/>
        <w:t>prowadzić kursy i szkolenia kadr dla gospodarki.</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Kompetencje w tym zakresie w obszarze związanym z rolnictwem posiadają w szczególności Łukasiewicz – Instytut Nowych Syntez Chemicznych czy Łukasiewicz –Poznański Instytut Technologiczny. Całej Sieci Badawczej Łukasiewicz jednakże wyznaczono jako kierunek działalności „Zrównoważoną gospodarkę i energię”. Mieszczą się w nim takie obszary jak:</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1)</w:t>
      </w:r>
      <w:r w:rsidRPr="0050789A">
        <w:rPr>
          <w:rFonts w:ascii="Times New Roman" w:eastAsia="Times New Roman" w:hAnsi="Times New Roman" w:cs="Times New Roman"/>
          <w:bCs/>
          <w:sz w:val="24"/>
          <w:szCs w:val="24"/>
          <w:lang w:eastAsia="pl-PL"/>
        </w:rPr>
        <w:tab/>
        <w:t>zrównoważone rolnictwo;</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2)</w:t>
      </w:r>
      <w:r w:rsidRPr="0050789A">
        <w:rPr>
          <w:rFonts w:ascii="Times New Roman" w:eastAsia="Times New Roman" w:hAnsi="Times New Roman" w:cs="Times New Roman"/>
          <w:bCs/>
          <w:sz w:val="24"/>
          <w:szCs w:val="24"/>
          <w:lang w:eastAsia="pl-PL"/>
        </w:rPr>
        <w:tab/>
        <w:t>przeciwdziałanie skutkom suszy;</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3)</w:t>
      </w:r>
      <w:r w:rsidRPr="0050789A">
        <w:rPr>
          <w:rFonts w:ascii="Times New Roman" w:eastAsia="Times New Roman" w:hAnsi="Times New Roman" w:cs="Times New Roman"/>
          <w:bCs/>
          <w:sz w:val="24"/>
          <w:szCs w:val="24"/>
          <w:lang w:eastAsia="pl-PL"/>
        </w:rPr>
        <w:tab/>
        <w:t>obniżenie materiałochłonności gospodarki;</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4)</w:t>
      </w:r>
      <w:r w:rsidRPr="0050789A">
        <w:rPr>
          <w:rFonts w:ascii="Times New Roman" w:eastAsia="Times New Roman" w:hAnsi="Times New Roman" w:cs="Times New Roman"/>
          <w:bCs/>
          <w:sz w:val="24"/>
          <w:szCs w:val="24"/>
          <w:lang w:eastAsia="pl-PL"/>
        </w:rPr>
        <w:tab/>
        <w:t>budownictwo pasywne;</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5)</w:t>
      </w:r>
      <w:r w:rsidRPr="0050789A">
        <w:rPr>
          <w:rFonts w:ascii="Times New Roman" w:eastAsia="Times New Roman" w:hAnsi="Times New Roman" w:cs="Times New Roman"/>
          <w:bCs/>
          <w:sz w:val="24"/>
          <w:szCs w:val="24"/>
          <w:lang w:eastAsia="pl-PL"/>
        </w:rPr>
        <w:tab/>
        <w:t>minimalizacja emisji do środowiska;</w:t>
      </w:r>
    </w:p>
    <w:p w:rsidR="005E49FE" w:rsidRPr="0050789A" w:rsidRDefault="005E49FE" w:rsidP="0050789A">
      <w:pPr>
        <w:suppressAutoHyphens/>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6)</w:t>
      </w:r>
      <w:r w:rsidRPr="0050789A">
        <w:rPr>
          <w:rFonts w:ascii="Times New Roman" w:eastAsia="Times New Roman" w:hAnsi="Times New Roman" w:cs="Times New Roman"/>
          <w:bCs/>
          <w:sz w:val="24"/>
          <w:szCs w:val="24"/>
          <w:lang w:eastAsia="pl-PL"/>
        </w:rPr>
        <w:tab/>
        <w:t>minimalizacja wytwarzania odpadów.</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Instytuty Sieci Badawczej Łukasiewicz aktywnie działają także w kierunku „Transformacja cyfrowa”, co może wspomóc sektor rolny w zakresie poprawy organizacji i efektywności wykonywanych prac w gospodarstw</w:t>
      </w:r>
      <w:r w:rsidR="00804FF5">
        <w:rPr>
          <w:rFonts w:ascii="Times New Roman" w:eastAsia="Times New Roman" w:hAnsi="Times New Roman" w:cs="Times New Roman"/>
          <w:bCs/>
          <w:sz w:val="24"/>
          <w:szCs w:val="24"/>
          <w:lang w:eastAsia="pl-PL"/>
        </w:rPr>
        <w:t>ach</w:t>
      </w:r>
      <w:r w:rsidRPr="0050789A">
        <w:rPr>
          <w:rFonts w:ascii="Times New Roman" w:eastAsia="Times New Roman" w:hAnsi="Times New Roman" w:cs="Times New Roman"/>
          <w:bCs/>
          <w:sz w:val="24"/>
          <w:szCs w:val="24"/>
          <w:lang w:eastAsia="pl-PL"/>
        </w:rPr>
        <w:t xml:space="preserve"> rolnych.</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 xml:space="preserve">W proponowanych w projektowanej ustawie mechanizmach dotyczących wyprzedzającego finansowania kosztów kwalifikowalnych przewidzianych w art. 11 – pomoc techniczna oraz postępowanie scaleniowe i zagospodarowanie </w:t>
      </w:r>
      <w:proofErr w:type="spellStart"/>
      <w:r w:rsidRPr="0050789A">
        <w:rPr>
          <w:rFonts w:ascii="Times New Roman" w:eastAsia="Times New Roman" w:hAnsi="Times New Roman" w:cs="Times New Roman"/>
          <w:sz w:val="24"/>
          <w:szCs w:val="24"/>
          <w:lang w:eastAsia="pl-PL"/>
        </w:rPr>
        <w:t>poscaleniowe</w:t>
      </w:r>
      <w:proofErr w:type="spellEnd"/>
      <w:r w:rsidRPr="0050789A">
        <w:rPr>
          <w:rFonts w:ascii="Times New Roman" w:eastAsia="Times New Roman" w:hAnsi="Times New Roman" w:cs="Times New Roman"/>
          <w:sz w:val="24"/>
          <w:szCs w:val="24"/>
          <w:lang w:eastAsia="pl-PL"/>
        </w:rPr>
        <w:t xml:space="preserve"> dla jednostek samorządu terytorialnego, art. 13 – pożyczki z Banku Gospodarstwa Krajowego i art. 16 – wyprzedzające współfinansowanie krajowe środki wykorzystane niezgodnie z przeznaczeniem albo pobrane nienależnie lub w nadmiernej wysokości będą podlegać zwrotowi wraz z odsetkami jak dla zaległości podatkowych, liczonymi od dnia przekazania środków, w terminie 14 dni od dnia doręczenia wezwania do zwrotu tych środków.</w:t>
      </w:r>
    </w:p>
    <w:p w:rsidR="005E49FE" w:rsidRPr="0050789A" w:rsidRDefault="005E49FE" w:rsidP="005E49F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 xml:space="preserve">Zgodnie z </w:t>
      </w:r>
      <w:r w:rsidRPr="0050789A">
        <w:rPr>
          <w:rFonts w:ascii="Times New Roman" w:eastAsia="Times New Roman" w:hAnsi="Times New Roman" w:cs="Times New Roman"/>
          <w:b/>
          <w:sz w:val="24"/>
          <w:szCs w:val="24"/>
          <w:lang w:eastAsia="pl-PL"/>
        </w:rPr>
        <w:t>art</w:t>
      </w:r>
      <w:r w:rsidRPr="0050789A">
        <w:rPr>
          <w:rFonts w:ascii="Times New Roman" w:eastAsia="Times New Roman" w:hAnsi="Times New Roman" w:cs="Times New Roman"/>
          <w:sz w:val="24"/>
          <w:szCs w:val="24"/>
          <w:lang w:eastAsia="pl-PL"/>
        </w:rPr>
        <w:t xml:space="preserve">. </w:t>
      </w:r>
      <w:r w:rsidRPr="0050789A">
        <w:rPr>
          <w:rFonts w:ascii="Times New Roman" w:eastAsia="Times New Roman" w:hAnsi="Times New Roman" w:cs="Times New Roman"/>
          <w:b/>
          <w:sz w:val="24"/>
          <w:szCs w:val="24"/>
          <w:lang w:eastAsia="pl-PL"/>
        </w:rPr>
        <w:t>19</w:t>
      </w:r>
      <w:r w:rsidRPr="0050789A">
        <w:rPr>
          <w:rFonts w:ascii="Times New Roman" w:eastAsia="Times New Roman" w:hAnsi="Times New Roman" w:cs="Times New Roman"/>
          <w:sz w:val="24"/>
          <w:szCs w:val="24"/>
          <w:lang w:eastAsia="pl-PL"/>
        </w:rPr>
        <w:t xml:space="preserve"> projektowanej ustawy jednostka samorządu terytorialnego nie może wnioskować na realizację tej samej operacji o udzielenie środków na wyprzedzające finansowanie kosztów kwalifikowalnych, o którym mowa w art. 11, oraz na wyprzedzające finansowanie pomocy, o którym mowa w art. 13 i art. 16. Powyższe ma na celu wyeliminowanie sytuacji, gdy na realizację tej samej operacji są wykorzystywane środki z różnych źródeł. </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W </w:t>
      </w:r>
      <w:r w:rsidRPr="0050789A">
        <w:rPr>
          <w:rFonts w:ascii="Times New Roman" w:eastAsia="Times New Roman" w:hAnsi="Times New Roman" w:cs="Times New Roman"/>
          <w:b/>
          <w:bCs/>
          <w:sz w:val="24"/>
          <w:szCs w:val="24"/>
          <w:lang w:eastAsia="pl-PL"/>
        </w:rPr>
        <w:t>art. 20</w:t>
      </w:r>
      <w:r w:rsidRPr="0050789A">
        <w:rPr>
          <w:rFonts w:ascii="Times New Roman" w:eastAsia="Times New Roman" w:hAnsi="Times New Roman" w:cs="Times New Roman"/>
          <w:bCs/>
          <w:sz w:val="24"/>
          <w:szCs w:val="24"/>
          <w:lang w:eastAsia="pl-PL"/>
        </w:rPr>
        <w:t xml:space="preserve"> projektowanej ustawy zaproponowano, aby jednostki sektora finansów publicznych realizujące operacje w ramach pomocy technicznej otrzymywały środki na wyprzedzające </w:t>
      </w:r>
      <w:r w:rsidRPr="0050789A">
        <w:rPr>
          <w:rFonts w:ascii="Times New Roman" w:eastAsia="Times New Roman" w:hAnsi="Times New Roman" w:cs="Times New Roman"/>
          <w:bCs/>
          <w:sz w:val="24"/>
          <w:szCs w:val="24"/>
          <w:lang w:eastAsia="pl-PL"/>
        </w:rPr>
        <w:lastRenderedPageBreak/>
        <w:t xml:space="preserve">finansowanie kosztów kwalifikowalnych ponoszonych na realizację operacji. Do planowania, wykorzystywania i rozliczania środków będą mieć zastosowanie przepisy o finansach publicznych. Ten przepis jednoznacznie dopuszcza możliwość otrzymania środków na wyprzedzające finansowanie przez jednostki sektora finansów publicznych, a także określa, jakie przepisy należy stosować do ich planowania, wykorzystywania i rozliczania. Środki otrzymane z agencji płatniczej z tytułu refundacji będą stanowiły dochód budżetu państwa w części 77. </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Ponadto zobowiązuje się ARiMR oraz JDR realizujące operacje w ramach pomocy technicznej do zwrotu środków w terminie 60 dni na rachunek dochodów ministra właściwego do spraw rozwoju wsi w przypadku, gdy agencja płatnicza odmówi wypłaty środków.</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Powyższe ma na celu zabezpieczenie interesów finansowych budżetu państwa i uniknięcie wątpliwości dotyczących postępowania w przypadku, gdy dotacja celowa na wyprzedzające finansowanie udzielona przez dysponenta części budżetowej, tj. ministra właściwego do spraw rozwoju wsi, została rozliczona, jednakże na etapie oceny formalnej, rachunkowej i merytorycznej wniosku o przyznanie pomocy czy też wniosku o płatność agencja płatnicza uzna, że część wydatków nie kwalifikuje się do refundacji w ramach pomocy technicznej PS WPR. W tym zakresie ocena i decyzja agencji płatniczej jest niezależna od decyzji ministra właściwego do spraw rozwoju wsi i nie można wykluczyć, że wyprzedzające finansowanie nie zostanie w całości zrefundowane przez agencję płatniczą. Proponowany przepis ust. 4 w art. 20 zobowiązuje ARiMR oraz JDR do zwrotu środków do wysokości dotacji celowej otrzymanej z budżetu państwa.</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Zgodnie z art. 175 ustawy z dnia 27 sierpnia 2009 r. o finansach publicznych to dysponenci części budżetowych – w tym przypadku minister właściwy do spraw rozwoju wsi – sprawują nadzór nad wykorzystaniem i przeprowadzają kontrolę wykorzystania dotacji udzielonych z budżetu państwa. Mając na uwadze powyższe, a także przepisy ustawy z dnia 27 sierpnia 2009 r. o finansach publicznych dotyczące umarzania należności pieniężnych (art. 60–67), właściwy organ, tj. minister do spraw rozwoju wsi, może na wniosek zobowiązanego (ARiMR lub JDR) udzielić ulg w spłacie zobowiązań. Zgodnie z art. 55 ustawy z dnia 27 sierpnia 2009 r. o finansach publicznych ulgi mogą polegać na umorzeniu należności w całości albo w części albo odroczeniu ich spłaty lub rozłożeniu tej spłaty na raty. Analogiczne rozwiązania obowiązują obecnie i zostały przyjęte w ustawie z dnia 17 grudnia 2021 r. o zmianie niektórych ustaw w związku z przedłużeniem realizacji Programu Rozwoju Obszarów Wiejskich na lata 2014–2020 (Dz. U. z 2022 r. poz. 88).</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lastRenderedPageBreak/>
        <w:t xml:space="preserve">W projektowanym </w:t>
      </w:r>
      <w:r w:rsidRPr="0050789A">
        <w:rPr>
          <w:rFonts w:ascii="Times New Roman" w:eastAsia="Times New Roman" w:hAnsi="Times New Roman" w:cs="Times New Roman"/>
          <w:b/>
          <w:bCs/>
          <w:sz w:val="24"/>
          <w:szCs w:val="24"/>
          <w:lang w:eastAsia="pl-PL"/>
        </w:rPr>
        <w:t xml:space="preserve">art. 21 </w:t>
      </w:r>
      <w:r w:rsidRPr="0050789A">
        <w:rPr>
          <w:rFonts w:ascii="Times New Roman" w:eastAsia="Times New Roman" w:hAnsi="Times New Roman" w:cs="Times New Roman"/>
          <w:bCs/>
          <w:sz w:val="24"/>
          <w:szCs w:val="24"/>
          <w:lang w:eastAsia="pl-PL"/>
        </w:rPr>
        <w:t xml:space="preserve">wskazano, że odsetki, o których mowa w projekcie ustawy, są naliczane w wysokości określonej jak dla zaległości podatkowych. </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W </w:t>
      </w:r>
      <w:r w:rsidRPr="0050789A">
        <w:rPr>
          <w:rFonts w:ascii="Times New Roman" w:eastAsia="Times New Roman" w:hAnsi="Times New Roman" w:cs="Times New Roman"/>
          <w:b/>
          <w:bCs/>
          <w:sz w:val="24"/>
          <w:szCs w:val="24"/>
          <w:lang w:eastAsia="pl-PL"/>
        </w:rPr>
        <w:t>art. 22</w:t>
      </w:r>
      <w:r w:rsidRPr="0050789A">
        <w:rPr>
          <w:rFonts w:ascii="Times New Roman" w:eastAsia="Times New Roman" w:hAnsi="Times New Roman" w:cs="Times New Roman"/>
          <w:bCs/>
          <w:sz w:val="24"/>
          <w:szCs w:val="24"/>
          <w:lang w:eastAsia="pl-PL"/>
        </w:rPr>
        <w:t xml:space="preserve"> projektowanej ustawy określono, że – tak jak obecnie – na stronie internetowej administrowanej przez ministra właściwego do spraw rozwoju wsi będzie publikowany wykaz beneficjentów EFRG i EFRROW. Zgodnie z wymaganiami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50789A">
        <w:rPr>
          <w:rFonts w:ascii="Times New Roman" w:eastAsia="Times New Roman" w:hAnsi="Times New Roman" w:cs="Times New Roman"/>
          <w:bCs/>
          <w:sz w:val="24"/>
          <w:szCs w:val="24"/>
          <w:lang w:eastAsia="pl-PL"/>
        </w:rPr>
        <w:t>późn</w:t>
      </w:r>
      <w:proofErr w:type="spellEnd"/>
      <w:r w:rsidRPr="0050789A">
        <w:rPr>
          <w:rFonts w:ascii="Times New Roman" w:eastAsia="Times New Roman" w:hAnsi="Times New Roman" w:cs="Times New Roman"/>
          <w:bCs/>
          <w:sz w:val="24"/>
          <w:szCs w:val="24"/>
          <w:lang w:eastAsia="pl-PL"/>
        </w:rPr>
        <w:t>. zm.)</w:t>
      </w:r>
      <w:r w:rsidR="00BE6A46">
        <w:rPr>
          <w:rFonts w:ascii="Times New Roman" w:eastAsia="Times New Roman" w:hAnsi="Times New Roman" w:cs="Times New Roman"/>
          <w:bCs/>
          <w:sz w:val="24"/>
          <w:szCs w:val="24"/>
          <w:lang w:eastAsia="pl-PL"/>
        </w:rPr>
        <w:t>,</w:t>
      </w:r>
      <w:r w:rsidRPr="0050789A">
        <w:rPr>
          <w:rFonts w:ascii="Times New Roman" w:eastAsia="Times New Roman" w:hAnsi="Times New Roman" w:cs="Times New Roman"/>
          <w:bCs/>
          <w:sz w:val="24"/>
          <w:szCs w:val="24"/>
          <w:lang w:eastAsia="pl-PL"/>
        </w:rPr>
        <w:t xml:space="preserve"> w przypadku gdy dotyczy to danych osobowych, państwa członkowskie informują beneficjentów o prawach przysługujących im na mocy tego rozporządzenia oraz o procedurach umożliwiających wykonywanie tych praw.</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Zgodnie z przepisami art. 61 rozporządzenia 2022/128 powyższe informacje mają być przekazywane za pośrednictwem formularzy wniosków o dofinansowanie z funduszy EFRG i EFRROW lub podczas zbierania danych. Obowiązek dla agencji płatniczych do wprowadzenia tego typu postanowień we wnioskach o przyznanie pomocy wynika z odrębnych przepisów.</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We wnioskach o przyznanie pomocy i wnioskach o przyznanie płatności bezpośrednich wnioskodawca składa oświadczenie, że przyjmuje do wiadomości, że informacje o przyznaniu pomocy beneficjentowi będą publikowane na stronie internetowej Ministerstwa Rolnictwa i Rozwoju Wsi. </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Zgodnie z art. 98 ust. 4 rozporządzenia 2021/2116 wykaz beneficjentów ma być dostępny na jednej stronie internetowej państwa członkowskiego z danymi za dwa lata budżetowe. Aktualizacja wykazu beneficjentów odbywa się raz w roku – do dnia 31 maja. W ramach aktualizacji są udostępniane dane za poprzedni rok budżetowy i usuwane dane za dwa lata wstecz. Obecnie na stronie www.beneficjenciwpr.minrol.gov.pl są dostępne dane za lata budżetowe 2020 i 2021 (art. 60 rozporządzenia 2022/128).</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 xml:space="preserve">Proponuje się, aby projektowana ustawa weszła w życie z dniem następującym po dniu ogłoszenia. Zaproponowany termin wynika z potrzeby jak najszybszego wejścia w życie projektowanych przepisów i zapewnienia dalszego finansowania wspólnej polityki rolnej, a także utrzymania akredytacji agencji płatniczej. Powyższe wynika z utraty mocy przez część przepisów rozporządzania Parlamentu Europejskiego i Rady (UE) nr 1306/2013 z dnia 17 grudnia 2013 r. w sprawie finansowania wspólnej polityki rolnej, zarządzania nią i </w:t>
      </w:r>
      <w:r w:rsidRPr="0050789A">
        <w:rPr>
          <w:rFonts w:ascii="Times New Roman" w:eastAsia="Times New Roman" w:hAnsi="Times New Roman" w:cs="Times New Roman"/>
          <w:bCs/>
          <w:sz w:val="24"/>
          <w:szCs w:val="24"/>
          <w:lang w:eastAsia="pl-PL"/>
        </w:rPr>
        <w:lastRenderedPageBreak/>
        <w:t xml:space="preserve">monitorowania jej oraz uchylającego rozporządzenia Rady (EWG) nr 352/78, (WE) nr 165/94, (WE) nr 2799/98, (WE) nr 814/2000, (WE) nr 1290/2005 i (WE) nr 485/2008 (Dz. Urz. UE L 347 z 20.12.2013, str. 549, z </w:t>
      </w:r>
      <w:proofErr w:type="spellStart"/>
      <w:r w:rsidRPr="0050789A">
        <w:rPr>
          <w:rFonts w:ascii="Times New Roman" w:eastAsia="Times New Roman" w:hAnsi="Times New Roman" w:cs="Times New Roman"/>
          <w:bCs/>
          <w:sz w:val="24"/>
          <w:szCs w:val="24"/>
          <w:lang w:eastAsia="pl-PL"/>
        </w:rPr>
        <w:t>późn</w:t>
      </w:r>
      <w:proofErr w:type="spellEnd"/>
      <w:r w:rsidRPr="0050789A">
        <w:rPr>
          <w:rFonts w:ascii="Times New Roman" w:eastAsia="Times New Roman" w:hAnsi="Times New Roman" w:cs="Times New Roman"/>
          <w:bCs/>
          <w:sz w:val="24"/>
          <w:szCs w:val="24"/>
          <w:lang w:eastAsia="pl-PL"/>
        </w:rPr>
        <w:t>. zm.).</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Zaproponowany termin wejścia w życie projektowanej ustawy jest korzystny dla beneficjentów wspólnej polityki rolnej i nie narusza zasad demokratycznego państwa prawnego, ponieważ przemawia za tym ważny interes państwa, który w demokratycznym państwie prawa przejawia się m.in. przez ważny interes jego obywateli.</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50789A">
        <w:rPr>
          <w:rFonts w:ascii="Times New Roman" w:eastAsia="Times New Roman" w:hAnsi="Times New Roman" w:cs="Times New Roman"/>
          <w:bCs/>
          <w:sz w:val="24"/>
          <w:szCs w:val="24"/>
          <w:lang w:eastAsia="pl-PL"/>
        </w:rPr>
        <w:t>Projektowana ustawa jest zgodna z prawem Unii Europejskiej.</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 xml:space="preserve">Projekt ustawy nie zawiera przepisów wymagających zasięgnięcia opinii, dokonania </w:t>
      </w:r>
      <w:r w:rsidR="00465439">
        <w:rPr>
          <w:rFonts w:ascii="Times New Roman" w:eastAsia="Times New Roman" w:hAnsi="Times New Roman" w:cs="Times New Roman"/>
          <w:sz w:val="24"/>
          <w:szCs w:val="24"/>
          <w:lang w:eastAsia="pl-PL"/>
        </w:rPr>
        <w:t xml:space="preserve">powiadomienia, </w:t>
      </w:r>
      <w:r w:rsidRPr="0050789A">
        <w:rPr>
          <w:rFonts w:ascii="Times New Roman" w:eastAsia="Times New Roman" w:hAnsi="Times New Roman" w:cs="Times New Roman"/>
          <w:sz w:val="24"/>
          <w:szCs w:val="24"/>
          <w:lang w:eastAsia="pl-PL"/>
        </w:rPr>
        <w:t xml:space="preserve">konsultacji </w:t>
      </w:r>
      <w:r w:rsidR="00465439">
        <w:rPr>
          <w:rFonts w:ascii="Times New Roman" w:eastAsia="Times New Roman" w:hAnsi="Times New Roman" w:cs="Times New Roman"/>
          <w:sz w:val="24"/>
          <w:szCs w:val="24"/>
          <w:lang w:eastAsia="pl-PL"/>
        </w:rPr>
        <w:t>albo</w:t>
      </w:r>
      <w:r w:rsidR="00465439" w:rsidRPr="0050789A">
        <w:rPr>
          <w:rFonts w:ascii="Times New Roman" w:eastAsia="Times New Roman" w:hAnsi="Times New Roman" w:cs="Times New Roman"/>
          <w:sz w:val="24"/>
          <w:szCs w:val="24"/>
          <w:lang w:eastAsia="pl-PL"/>
        </w:rPr>
        <w:t xml:space="preserve"> </w:t>
      </w:r>
      <w:r w:rsidRPr="0050789A">
        <w:rPr>
          <w:rFonts w:ascii="Times New Roman" w:eastAsia="Times New Roman" w:hAnsi="Times New Roman" w:cs="Times New Roman"/>
          <w:sz w:val="24"/>
          <w:szCs w:val="24"/>
          <w:lang w:eastAsia="pl-PL"/>
        </w:rPr>
        <w:t>uzgodnienia z organami i in</w:t>
      </w:r>
      <w:r w:rsidR="00F12FF3">
        <w:rPr>
          <w:rFonts w:ascii="Times New Roman" w:eastAsia="Times New Roman" w:hAnsi="Times New Roman" w:cs="Times New Roman"/>
          <w:sz w:val="24"/>
          <w:szCs w:val="24"/>
          <w:lang w:eastAsia="pl-PL"/>
        </w:rPr>
        <w:t>stytucjami Unii Europejskiej, w </w:t>
      </w:r>
      <w:r w:rsidRPr="0050789A">
        <w:rPr>
          <w:rFonts w:ascii="Times New Roman" w:eastAsia="Times New Roman" w:hAnsi="Times New Roman" w:cs="Times New Roman"/>
          <w:sz w:val="24"/>
          <w:szCs w:val="24"/>
          <w:lang w:eastAsia="pl-PL"/>
        </w:rPr>
        <w:t xml:space="preserve">tym </w:t>
      </w:r>
      <w:r w:rsidR="00465439">
        <w:rPr>
          <w:rFonts w:ascii="Times New Roman" w:eastAsia="Times New Roman" w:hAnsi="Times New Roman" w:cs="Times New Roman"/>
          <w:sz w:val="24"/>
          <w:szCs w:val="24"/>
          <w:lang w:eastAsia="pl-PL"/>
        </w:rPr>
        <w:t xml:space="preserve">z </w:t>
      </w:r>
      <w:r w:rsidRPr="0050789A">
        <w:rPr>
          <w:rFonts w:ascii="Times New Roman" w:eastAsia="Times New Roman" w:hAnsi="Times New Roman" w:cs="Times New Roman"/>
          <w:sz w:val="24"/>
          <w:szCs w:val="24"/>
          <w:lang w:eastAsia="pl-PL"/>
        </w:rPr>
        <w:t>Europejskim Bankiem Centralnym.</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Projektowana ustawa nie zawiera przepisów technicznych w rozumieniu przepisów rozporządzenia Rady Ministrów z dnia 23 grudnia 2002 r. w sprawie sposobu funkcjonowania krajowego systemu notyfikacji norm i aktów prawnych (Dz</w:t>
      </w:r>
      <w:r w:rsidR="00F12FF3">
        <w:rPr>
          <w:rFonts w:ascii="Times New Roman" w:eastAsia="Times New Roman" w:hAnsi="Times New Roman" w:cs="Times New Roman"/>
          <w:sz w:val="24"/>
          <w:szCs w:val="24"/>
          <w:lang w:eastAsia="pl-PL"/>
        </w:rPr>
        <w:t xml:space="preserve">. U. poz. 2039, z </w:t>
      </w:r>
      <w:proofErr w:type="spellStart"/>
      <w:r w:rsidR="00F12FF3">
        <w:rPr>
          <w:rFonts w:ascii="Times New Roman" w:eastAsia="Times New Roman" w:hAnsi="Times New Roman" w:cs="Times New Roman"/>
          <w:sz w:val="24"/>
          <w:szCs w:val="24"/>
          <w:lang w:eastAsia="pl-PL"/>
        </w:rPr>
        <w:t>późn</w:t>
      </w:r>
      <w:proofErr w:type="spellEnd"/>
      <w:r w:rsidR="00F12FF3">
        <w:rPr>
          <w:rFonts w:ascii="Times New Roman" w:eastAsia="Times New Roman" w:hAnsi="Times New Roman" w:cs="Times New Roman"/>
          <w:sz w:val="24"/>
          <w:szCs w:val="24"/>
          <w:lang w:eastAsia="pl-PL"/>
        </w:rPr>
        <w:t>. zm.), w </w:t>
      </w:r>
      <w:bookmarkStart w:id="7" w:name="_GoBack"/>
      <w:bookmarkEnd w:id="7"/>
      <w:r w:rsidRPr="0050789A">
        <w:rPr>
          <w:rFonts w:ascii="Times New Roman" w:eastAsia="Times New Roman" w:hAnsi="Times New Roman" w:cs="Times New Roman"/>
          <w:sz w:val="24"/>
          <w:szCs w:val="24"/>
          <w:lang w:eastAsia="pl-PL"/>
        </w:rPr>
        <w:t>związku z tym nie podlega notyfikacji.</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Projekt ustawy wraz z wszelkimi dokumentami dotyczącymi prac nad nim został udostępniony w Biuletynie Informacji Publicznej na stronie podmiotowej Ministerstwa Rolnictwa i Rozwoju Wsi zgodnie z przepisami ustawy z dnia 7 lipca 2005 r. o działalności lobbingowej w procesie stanowienia prawa (Dz. U. z 2017 r. poz. 248) oraz w Biuletynie Informacji Publicznej na stronie podmiotowej Rządowego Centrum Legislacji</w:t>
      </w:r>
      <w:r w:rsidR="00D205DE">
        <w:rPr>
          <w:rFonts w:ascii="Times New Roman" w:eastAsia="Times New Roman" w:hAnsi="Times New Roman" w:cs="Times New Roman"/>
          <w:sz w:val="24"/>
          <w:szCs w:val="24"/>
          <w:lang w:eastAsia="pl-PL"/>
        </w:rPr>
        <w:t>, w serwisie „Rządowy Proces Legislacyjny”</w:t>
      </w:r>
      <w:r w:rsidRPr="0050789A">
        <w:rPr>
          <w:rFonts w:ascii="Times New Roman" w:eastAsia="Times New Roman" w:hAnsi="Times New Roman" w:cs="Times New Roman"/>
          <w:sz w:val="24"/>
          <w:szCs w:val="24"/>
          <w:lang w:eastAsia="pl-PL"/>
        </w:rPr>
        <w:t xml:space="preserve">. </w:t>
      </w:r>
    </w:p>
    <w:p w:rsidR="005E49FE" w:rsidRPr="0050789A" w:rsidRDefault="005E49FE">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0789A">
        <w:rPr>
          <w:rFonts w:ascii="Times New Roman" w:eastAsia="Times New Roman" w:hAnsi="Times New Roman" w:cs="Times New Roman"/>
          <w:sz w:val="24"/>
          <w:szCs w:val="24"/>
          <w:lang w:eastAsia="pl-PL"/>
        </w:rPr>
        <w:t>Projekt ustawy został wpisany do Wykazu prac legislacyjnych i programowych Rady Ministrów pod nr UC131.</w:t>
      </w:r>
    </w:p>
    <w:sectPr w:rsidR="005E49FE" w:rsidRPr="0050789A" w:rsidSect="0050789A">
      <w:footerReference w:type="default" r:id="rId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911" w:rsidRDefault="00897911" w:rsidP="005E49FE">
      <w:pPr>
        <w:spacing w:after="0" w:line="240" w:lineRule="auto"/>
      </w:pPr>
      <w:r>
        <w:separator/>
      </w:r>
    </w:p>
  </w:endnote>
  <w:endnote w:type="continuationSeparator" w:id="0">
    <w:p w:rsidR="00897911" w:rsidRDefault="00897911" w:rsidP="005E4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375453"/>
      <w:docPartObj>
        <w:docPartGallery w:val="Page Numbers (Bottom of Page)"/>
        <w:docPartUnique/>
      </w:docPartObj>
    </w:sdtPr>
    <w:sdtEndPr>
      <w:rPr>
        <w:rFonts w:ascii="Times New Roman" w:hAnsi="Times New Roman" w:cs="Times New Roman"/>
        <w:sz w:val="24"/>
      </w:rPr>
    </w:sdtEndPr>
    <w:sdtContent>
      <w:p w:rsidR="005E49FE" w:rsidRPr="0050789A" w:rsidRDefault="005E49FE" w:rsidP="0050789A">
        <w:pPr>
          <w:pStyle w:val="Stopka"/>
          <w:jc w:val="center"/>
          <w:rPr>
            <w:rFonts w:ascii="Times New Roman" w:hAnsi="Times New Roman" w:cs="Times New Roman"/>
            <w:sz w:val="24"/>
          </w:rPr>
        </w:pPr>
        <w:r w:rsidRPr="0050789A">
          <w:rPr>
            <w:rFonts w:ascii="Times New Roman" w:hAnsi="Times New Roman" w:cs="Times New Roman"/>
            <w:sz w:val="24"/>
          </w:rPr>
          <w:fldChar w:fldCharType="begin"/>
        </w:r>
        <w:r w:rsidRPr="0050789A">
          <w:rPr>
            <w:rFonts w:ascii="Times New Roman" w:hAnsi="Times New Roman" w:cs="Times New Roman"/>
            <w:sz w:val="24"/>
          </w:rPr>
          <w:instrText>PAGE   \* MERGEFORMAT</w:instrText>
        </w:r>
        <w:r w:rsidRPr="0050789A">
          <w:rPr>
            <w:rFonts w:ascii="Times New Roman" w:hAnsi="Times New Roman" w:cs="Times New Roman"/>
            <w:sz w:val="24"/>
          </w:rPr>
          <w:fldChar w:fldCharType="separate"/>
        </w:r>
        <w:r w:rsidR="00F12FF3">
          <w:rPr>
            <w:rFonts w:ascii="Times New Roman" w:hAnsi="Times New Roman" w:cs="Times New Roman"/>
            <w:noProof/>
            <w:sz w:val="24"/>
          </w:rPr>
          <w:t>13</w:t>
        </w:r>
        <w:r w:rsidRPr="0050789A">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911" w:rsidRDefault="00897911" w:rsidP="005E49FE">
      <w:pPr>
        <w:spacing w:after="0" w:line="240" w:lineRule="auto"/>
      </w:pPr>
      <w:r>
        <w:separator/>
      </w:r>
    </w:p>
  </w:footnote>
  <w:footnote w:type="continuationSeparator" w:id="0">
    <w:p w:rsidR="00897911" w:rsidRDefault="00897911" w:rsidP="005E49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9FE"/>
    <w:rsid w:val="000641EC"/>
    <w:rsid w:val="000D7E8F"/>
    <w:rsid w:val="00171F35"/>
    <w:rsid w:val="001772AF"/>
    <w:rsid w:val="001B3535"/>
    <w:rsid w:val="001C1F70"/>
    <w:rsid w:val="00227A3A"/>
    <w:rsid w:val="002E498E"/>
    <w:rsid w:val="00313009"/>
    <w:rsid w:val="003549CC"/>
    <w:rsid w:val="004433A7"/>
    <w:rsid w:val="00452B4F"/>
    <w:rsid w:val="00465439"/>
    <w:rsid w:val="0050789A"/>
    <w:rsid w:val="00521A4B"/>
    <w:rsid w:val="00533CEF"/>
    <w:rsid w:val="005874ED"/>
    <w:rsid w:val="00594808"/>
    <w:rsid w:val="005B6FB6"/>
    <w:rsid w:val="005E49FE"/>
    <w:rsid w:val="00623C2E"/>
    <w:rsid w:val="00710CCC"/>
    <w:rsid w:val="00737E9E"/>
    <w:rsid w:val="00760E79"/>
    <w:rsid w:val="007A2CF6"/>
    <w:rsid w:val="007F7D8F"/>
    <w:rsid w:val="00804FF5"/>
    <w:rsid w:val="008306A2"/>
    <w:rsid w:val="00896BB7"/>
    <w:rsid w:val="00897911"/>
    <w:rsid w:val="009365AC"/>
    <w:rsid w:val="00942468"/>
    <w:rsid w:val="009902AF"/>
    <w:rsid w:val="009950E2"/>
    <w:rsid w:val="009A1CBE"/>
    <w:rsid w:val="009A4030"/>
    <w:rsid w:val="009C4C93"/>
    <w:rsid w:val="009E7F01"/>
    <w:rsid w:val="00A31730"/>
    <w:rsid w:val="00A61B6C"/>
    <w:rsid w:val="00B7764C"/>
    <w:rsid w:val="00B941FB"/>
    <w:rsid w:val="00BC7B85"/>
    <w:rsid w:val="00BE6A46"/>
    <w:rsid w:val="00C85D18"/>
    <w:rsid w:val="00C94731"/>
    <w:rsid w:val="00D049BB"/>
    <w:rsid w:val="00D16197"/>
    <w:rsid w:val="00D205DE"/>
    <w:rsid w:val="00D67DA2"/>
    <w:rsid w:val="00DD7E5C"/>
    <w:rsid w:val="00E36F2B"/>
    <w:rsid w:val="00E82BE0"/>
    <w:rsid w:val="00F12F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9D58E"/>
  <w15:chartTrackingRefBased/>
  <w15:docId w15:val="{701539C1-C82B-460C-8F79-20884CFCF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E49F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E49FE"/>
    <w:rPr>
      <w:rFonts w:ascii="Segoe UI" w:hAnsi="Segoe UI" w:cs="Segoe UI"/>
      <w:sz w:val="18"/>
      <w:szCs w:val="18"/>
    </w:rPr>
  </w:style>
  <w:style w:type="paragraph" w:styleId="Nagwek">
    <w:name w:val="header"/>
    <w:basedOn w:val="Normalny"/>
    <w:link w:val="NagwekZnak"/>
    <w:uiPriority w:val="99"/>
    <w:unhideWhenUsed/>
    <w:rsid w:val="005E49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49FE"/>
  </w:style>
  <w:style w:type="paragraph" w:styleId="Stopka">
    <w:name w:val="footer"/>
    <w:basedOn w:val="Normalny"/>
    <w:link w:val="StopkaZnak"/>
    <w:uiPriority w:val="99"/>
    <w:unhideWhenUsed/>
    <w:rsid w:val="005E49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4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4505</Words>
  <Characters>27030</Characters>
  <Application>Microsoft Office Word</Application>
  <DocSecurity>0</DocSecurity>
  <Lines>225</Lines>
  <Paragraphs>62</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31473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Trafisz Kinga</dc:creator>
  <cp:keywords/>
  <dc:description/>
  <cp:lastModifiedBy>Wójcik Aleksandra</cp:lastModifiedBy>
  <cp:revision>4</cp:revision>
  <dcterms:created xsi:type="dcterms:W3CDTF">2023-01-05T10:41:00Z</dcterms:created>
  <dcterms:modified xsi:type="dcterms:W3CDTF">2023-01-05T10:45:00Z</dcterms:modified>
</cp:coreProperties>
</file>