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CDF63" w14:textId="77777777" w:rsidR="00C63D79" w:rsidRPr="00543D5B" w:rsidRDefault="00C63D79" w:rsidP="00C63D79">
      <w:pPr>
        <w:pStyle w:val="OZNRODZAKTUtznustawalubrozporzdzenieiorganwydajcy"/>
        <w:rPr>
          <w:rStyle w:val="Ppogrubienie"/>
          <w:rFonts w:asciiTheme="majorHAnsi" w:hAnsiTheme="majorHAnsi" w:cstheme="majorHAnsi"/>
        </w:rPr>
      </w:pPr>
      <w:bookmarkStart w:id="0" w:name="_GoBack"/>
      <w:bookmarkEnd w:id="0"/>
      <w:r w:rsidRPr="00543D5B">
        <w:rPr>
          <w:rStyle w:val="Ppogrubienie"/>
          <w:rFonts w:asciiTheme="majorHAnsi" w:hAnsiTheme="majorHAnsi" w:cstheme="majorHAnsi"/>
        </w:rPr>
        <w:t>UZASADNIENIE</w:t>
      </w:r>
    </w:p>
    <w:p w14:paraId="3802B0EE" w14:textId="77777777" w:rsidR="00C63D79" w:rsidRPr="00543D5B" w:rsidRDefault="00C63D79" w:rsidP="00C63D7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Konieczność nowelizacji ustawy z dnia 4 kwietnia 2019 r. o dostępności cyfrowej stron internetowych i aplikacji mobilnych podmiotów publicznych (Dz. U. poz. 848</w:t>
      </w:r>
      <w:r w:rsidR="00CA599D" w:rsidRPr="00543D5B">
        <w:rPr>
          <w:rFonts w:asciiTheme="majorHAnsi" w:hAnsiTheme="majorHAnsi" w:cstheme="majorHAnsi"/>
        </w:rPr>
        <w:t xml:space="preserve"> oraz z 2022 r. poz. 1002)</w:t>
      </w:r>
      <w:r w:rsidRPr="00543D5B">
        <w:rPr>
          <w:rFonts w:asciiTheme="majorHAnsi" w:hAnsiTheme="majorHAnsi" w:cstheme="majorHAnsi"/>
        </w:rPr>
        <w:t xml:space="preserve">, zwanej dalej </w:t>
      </w:r>
      <w:r w:rsidR="003C0B70" w:rsidRPr="00543D5B">
        <w:rPr>
          <w:rFonts w:asciiTheme="majorHAnsi" w:hAnsiTheme="majorHAnsi" w:cstheme="majorHAnsi"/>
        </w:rPr>
        <w:t>„</w:t>
      </w:r>
      <w:r w:rsidRPr="00543D5B">
        <w:rPr>
          <w:rFonts w:asciiTheme="majorHAnsi" w:hAnsiTheme="majorHAnsi" w:cstheme="majorHAnsi"/>
        </w:rPr>
        <w:t>ustawą</w:t>
      </w:r>
      <w:r w:rsidR="003C0B70" w:rsidRPr="00543D5B">
        <w:rPr>
          <w:rFonts w:asciiTheme="majorHAnsi" w:hAnsiTheme="majorHAnsi" w:cstheme="majorHAnsi"/>
        </w:rPr>
        <w:t>”</w:t>
      </w:r>
      <w:r w:rsidR="006928AE" w:rsidRPr="00543D5B">
        <w:rPr>
          <w:rFonts w:asciiTheme="majorHAnsi" w:hAnsiTheme="majorHAnsi" w:cstheme="majorHAnsi"/>
        </w:rPr>
        <w:t>,</w:t>
      </w:r>
      <w:r w:rsidRPr="00543D5B">
        <w:rPr>
          <w:rFonts w:asciiTheme="majorHAnsi" w:hAnsiTheme="majorHAnsi" w:cstheme="majorHAnsi"/>
        </w:rPr>
        <w:t xml:space="preserve"> wynika z doświadczeń płynących z </w:t>
      </w:r>
      <w:r w:rsidR="008A64A3" w:rsidRPr="00543D5B">
        <w:rPr>
          <w:rFonts w:asciiTheme="majorHAnsi" w:hAnsiTheme="majorHAnsi" w:cstheme="majorHAnsi"/>
        </w:rPr>
        <w:t xml:space="preserve">trzyletniego </w:t>
      </w:r>
      <w:r w:rsidRPr="00543D5B">
        <w:rPr>
          <w:rFonts w:asciiTheme="majorHAnsi" w:hAnsiTheme="majorHAnsi" w:cstheme="majorHAnsi"/>
        </w:rPr>
        <w:t>obowiązywania obecnych przepisów oraz przyczyn zewnętrznych (polskie</w:t>
      </w:r>
      <w:r w:rsidR="0029797F" w:rsidRPr="00543D5B">
        <w:rPr>
          <w:rFonts w:asciiTheme="majorHAnsi" w:hAnsiTheme="majorHAnsi" w:cstheme="majorHAnsi"/>
        </w:rPr>
        <w:t>,</w:t>
      </w:r>
      <w:r w:rsidRPr="00543D5B">
        <w:rPr>
          <w:rFonts w:asciiTheme="majorHAnsi" w:hAnsiTheme="majorHAnsi" w:cstheme="majorHAnsi"/>
        </w:rPr>
        <w:t xml:space="preserve"> oficjalne tłumaczenia standardu WCAG 2.1).</w:t>
      </w:r>
    </w:p>
    <w:p w14:paraId="5A4A7DBD" w14:textId="69F8F46B" w:rsidR="005E767C" w:rsidRPr="00543D5B" w:rsidRDefault="005E767C" w:rsidP="005E767C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Mając na uwadze powyższe</w:t>
      </w:r>
      <w:r w:rsidR="0087043A" w:rsidRPr="00543D5B">
        <w:rPr>
          <w:rFonts w:asciiTheme="majorHAnsi" w:hAnsiTheme="majorHAnsi" w:cstheme="majorHAnsi"/>
        </w:rPr>
        <w:t>,</w:t>
      </w:r>
      <w:r w:rsidRPr="00543D5B">
        <w:rPr>
          <w:rFonts w:asciiTheme="majorHAnsi" w:hAnsiTheme="majorHAnsi" w:cstheme="majorHAnsi"/>
        </w:rPr>
        <w:t xml:space="preserve"> w </w:t>
      </w:r>
      <w:r w:rsidR="006928AE" w:rsidRPr="00543D5B">
        <w:rPr>
          <w:rFonts w:asciiTheme="majorHAnsi" w:hAnsiTheme="majorHAnsi" w:cstheme="majorHAnsi"/>
        </w:rPr>
        <w:t xml:space="preserve">niniejszym </w:t>
      </w:r>
      <w:r w:rsidRPr="00543D5B">
        <w:rPr>
          <w:rFonts w:asciiTheme="majorHAnsi" w:hAnsiTheme="majorHAnsi" w:cstheme="majorHAnsi"/>
        </w:rPr>
        <w:t>projekcie ustawy przewidziano poniższe zmiany.</w:t>
      </w:r>
    </w:p>
    <w:p w14:paraId="76C6AF59" w14:textId="77777777" w:rsidR="00C63D79" w:rsidRPr="00543D5B" w:rsidRDefault="00C63D79" w:rsidP="00C63D7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3 ust. 2 pkt 5 lit. a </w:t>
      </w:r>
      <w:r w:rsidR="00DE282E" w:rsidRPr="00543D5B">
        <w:rPr>
          <w:rFonts w:asciiTheme="majorHAnsi" w:hAnsiTheme="majorHAnsi" w:cstheme="majorHAnsi"/>
        </w:rPr>
        <w:t>–</w:t>
      </w:r>
      <w:r w:rsidRPr="00543D5B">
        <w:rPr>
          <w:rFonts w:asciiTheme="majorHAnsi" w:hAnsiTheme="majorHAnsi" w:cstheme="majorHAnsi"/>
        </w:rPr>
        <w:t xml:space="preserve"> </w:t>
      </w:r>
      <w:r w:rsidR="00BE5B08" w:rsidRPr="00543D5B">
        <w:rPr>
          <w:rFonts w:asciiTheme="majorHAnsi" w:hAnsiTheme="majorHAnsi" w:cstheme="majorHAnsi"/>
        </w:rPr>
        <w:t xml:space="preserve">w katalogu </w:t>
      </w:r>
      <w:proofErr w:type="spellStart"/>
      <w:r w:rsidR="00BE5B08" w:rsidRPr="00543D5B">
        <w:rPr>
          <w:rFonts w:asciiTheme="majorHAnsi" w:hAnsiTheme="majorHAnsi" w:cstheme="majorHAnsi"/>
        </w:rPr>
        <w:t>wyłączeń</w:t>
      </w:r>
      <w:proofErr w:type="spellEnd"/>
      <w:r w:rsidR="00BE5B08" w:rsidRPr="00543D5B">
        <w:rPr>
          <w:rFonts w:asciiTheme="majorHAnsi" w:hAnsiTheme="majorHAnsi" w:cstheme="majorHAnsi"/>
        </w:rPr>
        <w:t xml:space="preserve"> konieczne jest doprecyzowanie, że jeśli publikowane treści znajdują się w posiadaniu podmiotu publicznego ale ich powstanie nie zostało przez niego sfinansowane, to podlegają one wyłączeniu.</w:t>
      </w:r>
      <w:r w:rsidRPr="00543D5B">
        <w:rPr>
          <w:rFonts w:asciiTheme="majorHAnsi" w:hAnsiTheme="majorHAnsi" w:cstheme="majorHAnsi"/>
        </w:rPr>
        <w:t xml:space="preserve"> </w:t>
      </w:r>
    </w:p>
    <w:p w14:paraId="3F41D48E" w14:textId="2343908E" w:rsidR="00C63D79" w:rsidRPr="00543D5B" w:rsidRDefault="00C63D79" w:rsidP="00C63D7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3 ust. 2 pkt </w:t>
      </w:r>
      <w:r w:rsidR="00905FB0" w:rsidRPr="00543D5B">
        <w:rPr>
          <w:rFonts w:asciiTheme="majorHAnsi" w:hAnsiTheme="majorHAnsi" w:cstheme="majorHAnsi"/>
        </w:rPr>
        <w:t xml:space="preserve">9 </w:t>
      </w:r>
      <w:r w:rsidR="00DE282E" w:rsidRPr="00543D5B">
        <w:rPr>
          <w:rFonts w:asciiTheme="majorHAnsi" w:hAnsiTheme="majorHAnsi" w:cstheme="majorHAnsi"/>
        </w:rPr>
        <w:t>–</w:t>
      </w:r>
      <w:r w:rsidRPr="00543D5B">
        <w:rPr>
          <w:rFonts w:asciiTheme="majorHAnsi" w:hAnsiTheme="majorHAnsi" w:cstheme="majorHAnsi"/>
        </w:rPr>
        <w:t xml:space="preserve"> </w:t>
      </w:r>
      <w:r w:rsidR="005E767C" w:rsidRPr="00543D5B">
        <w:rPr>
          <w:rFonts w:asciiTheme="majorHAnsi" w:hAnsiTheme="majorHAnsi" w:cstheme="majorHAnsi"/>
        </w:rPr>
        <w:t>r</w:t>
      </w:r>
      <w:r w:rsidRPr="00543D5B">
        <w:rPr>
          <w:rFonts w:asciiTheme="majorHAnsi" w:hAnsiTheme="majorHAnsi" w:cstheme="majorHAnsi"/>
        </w:rPr>
        <w:t>óżnego rodzaju dokumentacje techniczne, przede wszystkim te</w:t>
      </w:r>
      <w:r w:rsidR="005E767C" w:rsidRPr="00543D5B">
        <w:rPr>
          <w:rFonts w:asciiTheme="majorHAnsi" w:hAnsiTheme="majorHAnsi" w:cstheme="majorHAnsi"/>
        </w:rPr>
        <w:t xml:space="preserve"> tworzone w</w:t>
      </w:r>
      <w:r w:rsidRPr="00543D5B">
        <w:rPr>
          <w:rFonts w:asciiTheme="majorHAnsi" w:hAnsiTheme="majorHAnsi" w:cstheme="majorHAnsi"/>
        </w:rPr>
        <w:t xml:space="preserve"> wyspecjalizowanych programach</w:t>
      </w:r>
      <w:r w:rsidR="005E767C" w:rsidRPr="00543D5B">
        <w:rPr>
          <w:rFonts w:asciiTheme="majorHAnsi" w:hAnsiTheme="majorHAnsi" w:cstheme="majorHAnsi"/>
        </w:rPr>
        <w:t>,</w:t>
      </w:r>
      <w:r w:rsidRPr="00543D5B">
        <w:rPr>
          <w:rFonts w:asciiTheme="majorHAnsi" w:hAnsiTheme="majorHAnsi" w:cstheme="majorHAnsi"/>
        </w:rPr>
        <w:t xml:space="preserve"> są często bardzo złożone i skomplikowane. Nie jest obecnie możliwe, przy racjonalnym nakładzie środków, zapewnienie skutecznej alternatywy umożliwiającej</w:t>
      </w:r>
      <w:r w:rsidR="00D53E96" w:rsidRPr="00543D5B">
        <w:rPr>
          <w:rFonts w:asciiTheme="majorHAnsi" w:hAnsiTheme="majorHAnsi" w:cstheme="majorHAnsi"/>
        </w:rPr>
        <w:t>,</w:t>
      </w:r>
      <w:r w:rsidRPr="00543D5B">
        <w:rPr>
          <w:rFonts w:asciiTheme="majorHAnsi" w:hAnsiTheme="majorHAnsi" w:cstheme="majorHAnsi"/>
        </w:rPr>
        <w:t xml:space="preserve"> </w:t>
      </w:r>
      <w:r w:rsidR="00726735" w:rsidRPr="00543D5B">
        <w:rPr>
          <w:rFonts w:asciiTheme="majorHAnsi" w:hAnsiTheme="majorHAnsi" w:cstheme="majorHAnsi"/>
        </w:rPr>
        <w:t>np.</w:t>
      </w:r>
      <w:r w:rsidRPr="00543D5B">
        <w:rPr>
          <w:rFonts w:asciiTheme="majorHAnsi" w:hAnsiTheme="majorHAnsi" w:cstheme="majorHAnsi"/>
        </w:rPr>
        <w:t xml:space="preserve"> osobie niewidomej</w:t>
      </w:r>
      <w:r w:rsidR="00726735" w:rsidRPr="00543D5B">
        <w:rPr>
          <w:rFonts w:asciiTheme="majorHAnsi" w:hAnsiTheme="majorHAnsi" w:cstheme="majorHAnsi"/>
        </w:rPr>
        <w:t>,</w:t>
      </w:r>
      <w:r w:rsidRPr="00543D5B">
        <w:rPr>
          <w:rFonts w:asciiTheme="majorHAnsi" w:hAnsiTheme="majorHAnsi" w:cstheme="majorHAnsi"/>
        </w:rPr>
        <w:t xml:space="preserve"> skorzystanie ze schematów urządzeń elektronicznych. Takie schematy są często elementami dokumentacji</w:t>
      </w:r>
      <w:r w:rsidR="0029797F" w:rsidRPr="00543D5B">
        <w:rPr>
          <w:rFonts w:asciiTheme="majorHAnsi" w:hAnsiTheme="majorHAnsi" w:cstheme="majorHAnsi"/>
        </w:rPr>
        <w:t>,</w:t>
      </w:r>
      <w:r w:rsidRPr="00543D5B">
        <w:rPr>
          <w:rFonts w:asciiTheme="majorHAnsi" w:hAnsiTheme="majorHAnsi" w:cstheme="majorHAnsi"/>
        </w:rPr>
        <w:t xml:space="preserve"> </w:t>
      </w:r>
      <w:r w:rsidR="00D53E96" w:rsidRPr="00543D5B">
        <w:rPr>
          <w:rFonts w:asciiTheme="majorHAnsi" w:hAnsiTheme="majorHAnsi" w:cstheme="majorHAnsi"/>
        </w:rPr>
        <w:t>np.</w:t>
      </w:r>
      <w:r w:rsidRPr="00543D5B">
        <w:rPr>
          <w:rFonts w:asciiTheme="majorHAnsi" w:hAnsiTheme="majorHAnsi" w:cstheme="majorHAnsi"/>
        </w:rPr>
        <w:t xml:space="preserve"> w</w:t>
      </w:r>
      <w:r w:rsidR="00D93096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>postępowaniach przetargowych, które są publikowane na stronach internetowych i dla których ważna jest pewność poprawnego przygotowania ca</w:t>
      </w:r>
      <w:r w:rsidR="0029797F" w:rsidRPr="00543D5B">
        <w:rPr>
          <w:rFonts w:asciiTheme="majorHAnsi" w:hAnsiTheme="majorHAnsi" w:cstheme="majorHAnsi"/>
        </w:rPr>
        <w:t xml:space="preserve">łości dokumentów. Wyłączenie schematów </w:t>
      </w:r>
      <w:r w:rsidR="00C9705C" w:rsidRPr="00543D5B">
        <w:rPr>
          <w:rFonts w:asciiTheme="majorHAnsi" w:hAnsiTheme="majorHAnsi" w:cstheme="majorHAnsi"/>
        </w:rPr>
        <w:t>i</w:t>
      </w:r>
      <w:r w:rsidR="001B7BD5" w:rsidRPr="00543D5B">
        <w:rPr>
          <w:rFonts w:asciiTheme="majorHAnsi" w:hAnsiTheme="majorHAnsi" w:cstheme="majorHAnsi"/>
        </w:rPr>
        <w:t> </w:t>
      </w:r>
      <w:r w:rsidR="0029797F" w:rsidRPr="00543D5B">
        <w:rPr>
          <w:rFonts w:asciiTheme="majorHAnsi" w:hAnsiTheme="majorHAnsi" w:cstheme="majorHAnsi"/>
        </w:rPr>
        <w:t>dokumentacji technicznej</w:t>
      </w:r>
      <w:r w:rsidRPr="00543D5B">
        <w:rPr>
          <w:rFonts w:asciiTheme="majorHAnsi" w:hAnsiTheme="majorHAnsi" w:cstheme="majorHAnsi"/>
        </w:rPr>
        <w:t xml:space="preserve"> z zakresu przedmiotowego </w:t>
      </w:r>
      <w:r w:rsidR="00726735" w:rsidRPr="00543D5B">
        <w:rPr>
          <w:rFonts w:asciiTheme="majorHAnsi" w:hAnsiTheme="majorHAnsi" w:cstheme="majorHAnsi"/>
        </w:rPr>
        <w:t xml:space="preserve">ustawy </w:t>
      </w:r>
      <w:r w:rsidRPr="00543D5B">
        <w:rPr>
          <w:rFonts w:asciiTheme="majorHAnsi" w:hAnsiTheme="majorHAnsi" w:cstheme="majorHAnsi"/>
        </w:rPr>
        <w:t>pozwoli na uniknięcie wątpliwości co do tego, w jakim zakresie konieczne jest zapewnienie dostępności cyfrowej</w:t>
      </w:r>
      <w:r w:rsidR="00726735" w:rsidRPr="00543D5B">
        <w:rPr>
          <w:rFonts w:asciiTheme="majorHAnsi" w:hAnsiTheme="majorHAnsi" w:cstheme="majorHAnsi"/>
        </w:rPr>
        <w:t xml:space="preserve"> </w:t>
      </w:r>
      <w:r w:rsidRPr="00543D5B">
        <w:rPr>
          <w:rFonts w:asciiTheme="majorHAnsi" w:hAnsiTheme="majorHAnsi" w:cstheme="majorHAnsi"/>
        </w:rPr>
        <w:t xml:space="preserve">dokumentów, </w:t>
      </w:r>
      <w:r w:rsidR="00726735" w:rsidRPr="00543D5B">
        <w:rPr>
          <w:rFonts w:asciiTheme="majorHAnsi" w:hAnsiTheme="majorHAnsi" w:cstheme="majorHAnsi"/>
        </w:rPr>
        <w:t>co do</w:t>
      </w:r>
      <w:r w:rsidRPr="00543D5B">
        <w:rPr>
          <w:rFonts w:asciiTheme="majorHAnsi" w:hAnsiTheme="majorHAnsi" w:cstheme="majorHAnsi"/>
        </w:rPr>
        <w:t xml:space="preserve"> których jest </w:t>
      </w:r>
      <w:r w:rsidR="00726735" w:rsidRPr="00543D5B">
        <w:rPr>
          <w:rFonts w:asciiTheme="majorHAnsi" w:hAnsiTheme="majorHAnsi" w:cstheme="majorHAnsi"/>
        </w:rPr>
        <w:t xml:space="preserve">to </w:t>
      </w:r>
      <w:r w:rsidRPr="00543D5B">
        <w:rPr>
          <w:rFonts w:asciiTheme="majorHAnsi" w:hAnsiTheme="majorHAnsi" w:cstheme="majorHAnsi"/>
        </w:rPr>
        <w:t>bardzo trudn</w:t>
      </w:r>
      <w:r w:rsidR="00726735" w:rsidRPr="00543D5B">
        <w:rPr>
          <w:rFonts w:asciiTheme="majorHAnsi" w:hAnsiTheme="majorHAnsi" w:cstheme="majorHAnsi"/>
        </w:rPr>
        <w:t>e</w:t>
      </w:r>
      <w:r w:rsidRPr="00543D5B">
        <w:rPr>
          <w:rFonts w:asciiTheme="majorHAnsi" w:hAnsiTheme="majorHAnsi" w:cstheme="majorHAnsi"/>
        </w:rPr>
        <w:t>.</w:t>
      </w:r>
    </w:p>
    <w:p w14:paraId="5B8422BA" w14:textId="5A84AE90" w:rsidR="001A485E" w:rsidRPr="00543D5B" w:rsidRDefault="00C63D79" w:rsidP="001A485E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Art. 5 ust</w:t>
      </w:r>
      <w:r w:rsidR="00DE282E" w:rsidRPr="00543D5B">
        <w:rPr>
          <w:rFonts w:asciiTheme="majorHAnsi" w:hAnsiTheme="majorHAnsi" w:cstheme="majorHAnsi"/>
        </w:rPr>
        <w:t>.</w:t>
      </w:r>
      <w:r w:rsidRPr="00543D5B">
        <w:rPr>
          <w:rFonts w:asciiTheme="majorHAnsi" w:hAnsiTheme="majorHAnsi" w:cstheme="majorHAnsi"/>
        </w:rPr>
        <w:t xml:space="preserve"> 1</w:t>
      </w:r>
      <w:r w:rsidR="001A5255" w:rsidRPr="00543D5B">
        <w:rPr>
          <w:rFonts w:asciiTheme="majorHAnsi" w:hAnsiTheme="majorHAnsi" w:cstheme="majorHAnsi"/>
        </w:rPr>
        <w:t xml:space="preserve"> </w:t>
      </w:r>
      <w:r w:rsidR="00DE282E" w:rsidRPr="00543D5B">
        <w:rPr>
          <w:rFonts w:asciiTheme="majorHAnsi" w:hAnsiTheme="majorHAnsi" w:cstheme="majorHAnsi"/>
        </w:rPr>
        <w:t>–</w:t>
      </w:r>
      <w:r w:rsidR="0029797F" w:rsidRPr="00543D5B">
        <w:rPr>
          <w:rFonts w:asciiTheme="majorHAnsi" w:hAnsiTheme="majorHAnsi" w:cstheme="majorHAnsi"/>
        </w:rPr>
        <w:t xml:space="preserve"> </w:t>
      </w:r>
      <w:r w:rsidR="005E767C" w:rsidRPr="00543D5B">
        <w:rPr>
          <w:rFonts w:asciiTheme="majorHAnsi" w:hAnsiTheme="majorHAnsi" w:cstheme="majorHAnsi"/>
        </w:rPr>
        <w:t>n</w:t>
      </w:r>
      <w:r w:rsidRPr="00543D5B">
        <w:rPr>
          <w:rFonts w:asciiTheme="majorHAnsi" w:hAnsiTheme="majorHAnsi" w:cstheme="majorHAnsi"/>
        </w:rPr>
        <w:t>owe brzmienie przepisu wprowadza jednoznac</w:t>
      </w:r>
      <w:r w:rsidR="0029797F" w:rsidRPr="00543D5B">
        <w:rPr>
          <w:rFonts w:asciiTheme="majorHAnsi" w:hAnsiTheme="majorHAnsi" w:cstheme="majorHAnsi"/>
        </w:rPr>
        <w:t>znie dodatkowy</w:t>
      </w:r>
      <w:r w:rsidRPr="00543D5B">
        <w:rPr>
          <w:rFonts w:asciiTheme="majorHAnsi" w:hAnsiTheme="majorHAnsi" w:cstheme="majorHAnsi"/>
        </w:rPr>
        <w:t xml:space="preserve"> obowiązek zapewnienia dostępności cyfrowej wszelkich </w:t>
      </w:r>
      <w:r w:rsidR="00830756" w:rsidRPr="00543D5B">
        <w:rPr>
          <w:rFonts w:asciiTheme="majorHAnsi" w:hAnsiTheme="majorHAnsi" w:cstheme="majorHAnsi"/>
        </w:rPr>
        <w:t xml:space="preserve">treści </w:t>
      </w:r>
      <w:r w:rsidRPr="00543D5B">
        <w:rPr>
          <w:rFonts w:asciiTheme="majorHAnsi" w:hAnsiTheme="majorHAnsi" w:cstheme="majorHAnsi"/>
        </w:rPr>
        <w:t>publikowanych</w:t>
      </w:r>
      <w:r w:rsidR="005534FF" w:rsidRPr="00543D5B">
        <w:rPr>
          <w:rFonts w:asciiTheme="majorHAnsi" w:hAnsiTheme="majorHAnsi" w:cstheme="majorHAnsi"/>
        </w:rPr>
        <w:t xml:space="preserve"> przez podmiot publiczny</w:t>
      </w:r>
      <w:r w:rsidRPr="00543D5B">
        <w:rPr>
          <w:rFonts w:asciiTheme="majorHAnsi" w:hAnsiTheme="majorHAnsi" w:cstheme="majorHAnsi"/>
        </w:rPr>
        <w:t xml:space="preserve"> </w:t>
      </w:r>
      <w:r w:rsidR="00426964" w:rsidRPr="00543D5B">
        <w:rPr>
          <w:rFonts w:asciiTheme="majorHAnsi" w:hAnsiTheme="majorHAnsi" w:cstheme="majorHAnsi"/>
        </w:rPr>
        <w:t>na stronach internetowych</w:t>
      </w:r>
      <w:r w:rsidR="00CC64CD" w:rsidRPr="00543D5B">
        <w:rPr>
          <w:rFonts w:asciiTheme="majorHAnsi" w:hAnsiTheme="majorHAnsi" w:cstheme="majorHAnsi"/>
        </w:rPr>
        <w:t xml:space="preserve"> (</w:t>
      </w:r>
      <w:r w:rsidR="007C2549" w:rsidRPr="00543D5B">
        <w:rPr>
          <w:rFonts w:asciiTheme="majorHAnsi" w:hAnsiTheme="majorHAnsi" w:cstheme="majorHAnsi"/>
        </w:rPr>
        <w:t xml:space="preserve">zarządzanych </w:t>
      </w:r>
      <w:r w:rsidR="00CC64CD" w:rsidRPr="00543D5B">
        <w:rPr>
          <w:rFonts w:asciiTheme="majorHAnsi" w:hAnsiTheme="majorHAnsi" w:cstheme="majorHAnsi"/>
        </w:rPr>
        <w:t>elementów stron internetowych)</w:t>
      </w:r>
      <w:r w:rsidR="00C9705C" w:rsidRPr="00543D5B">
        <w:rPr>
          <w:rFonts w:asciiTheme="majorHAnsi" w:hAnsiTheme="majorHAnsi" w:cstheme="majorHAnsi"/>
        </w:rPr>
        <w:t xml:space="preserve"> i w aplikacjach mobilnych (zarządzan</w:t>
      </w:r>
      <w:r w:rsidR="007548AF" w:rsidRPr="00543D5B">
        <w:rPr>
          <w:rFonts w:asciiTheme="majorHAnsi" w:hAnsiTheme="majorHAnsi" w:cstheme="majorHAnsi"/>
        </w:rPr>
        <w:t>ych</w:t>
      </w:r>
      <w:r w:rsidR="00C9705C" w:rsidRPr="00543D5B">
        <w:rPr>
          <w:rFonts w:asciiTheme="majorHAnsi" w:hAnsiTheme="majorHAnsi" w:cstheme="majorHAnsi"/>
        </w:rPr>
        <w:t xml:space="preserve"> element</w:t>
      </w:r>
      <w:r w:rsidR="007548AF" w:rsidRPr="00543D5B">
        <w:rPr>
          <w:rFonts w:asciiTheme="majorHAnsi" w:hAnsiTheme="majorHAnsi" w:cstheme="majorHAnsi"/>
        </w:rPr>
        <w:t>ów</w:t>
      </w:r>
      <w:r w:rsidR="00C9705C" w:rsidRPr="00543D5B">
        <w:rPr>
          <w:rFonts w:asciiTheme="majorHAnsi" w:hAnsiTheme="majorHAnsi" w:cstheme="majorHAnsi"/>
        </w:rPr>
        <w:t xml:space="preserve"> aplikacji mobilnych)</w:t>
      </w:r>
      <w:r w:rsidRPr="00543D5B">
        <w:rPr>
          <w:rFonts w:asciiTheme="majorHAnsi" w:hAnsiTheme="majorHAnsi" w:cstheme="majorHAnsi"/>
        </w:rPr>
        <w:t>.</w:t>
      </w:r>
      <w:r w:rsidR="00C9705C" w:rsidRPr="00543D5B">
        <w:rPr>
          <w:rFonts w:asciiTheme="majorHAnsi" w:hAnsiTheme="majorHAnsi" w:cstheme="majorHAnsi"/>
        </w:rPr>
        <w:t xml:space="preserve"> Oznacza to, że podmiot publiczny</w:t>
      </w:r>
      <w:r w:rsidR="00543D5B">
        <w:rPr>
          <w:rFonts w:asciiTheme="majorHAnsi" w:hAnsiTheme="majorHAnsi" w:cstheme="majorHAnsi"/>
        </w:rPr>
        <w:t>,</w:t>
      </w:r>
      <w:r w:rsidR="00C9705C" w:rsidRPr="00543D5B">
        <w:rPr>
          <w:rFonts w:asciiTheme="majorHAnsi" w:hAnsiTheme="majorHAnsi" w:cstheme="majorHAnsi"/>
        </w:rPr>
        <w:t xml:space="preserve"> publikując treści na stronach internetowych lub w aplikacjach mob</w:t>
      </w:r>
      <w:r w:rsidR="005534FF" w:rsidRPr="00543D5B">
        <w:rPr>
          <w:rFonts w:asciiTheme="majorHAnsi" w:hAnsiTheme="majorHAnsi" w:cstheme="majorHAnsi"/>
        </w:rPr>
        <w:t xml:space="preserve">ilnych, których </w:t>
      </w:r>
      <w:r w:rsidR="007548AF" w:rsidRPr="00543D5B">
        <w:rPr>
          <w:rFonts w:asciiTheme="majorHAnsi" w:hAnsiTheme="majorHAnsi" w:cstheme="majorHAnsi"/>
        </w:rPr>
        <w:t>nie jest właścicielem (</w:t>
      </w:r>
      <w:r w:rsidR="005534FF" w:rsidRPr="00543D5B">
        <w:rPr>
          <w:rFonts w:asciiTheme="majorHAnsi" w:hAnsiTheme="majorHAnsi" w:cstheme="majorHAnsi"/>
        </w:rPr>
        <w:t>nie posiada</w:t>
      </w:r>
      <w:r w:rsidR="00830756" w:rsidRPr="00543D5B">
        <w:rPr>
          <w:rFonts w:asciiTheme="majorHAnsi" w:hAnsiTheme="majorHAnsi" w:cstheme="majorHAnsi"/>
        </w:rPr>
        <w:t xml:space="preserve"> ich</w:t>
      </w:r>
      <w:r w:rsidR="007548AF" w:rsidRPr="00543D5B">
        <w:rPr>
          <w:rFonts w:asciiTheme="majorHAnsi" w:hAnsiTheme="majorHAnsi" w:cstheme="majorHAnsi"/>
        </w:rPr>
        <w:t>)</w:t>
      </w:r>
      <w:r w:rsidR="005534FF" w:rsidRPr="00543D5B">
        <w:rPr>
          <w:rFonts w:asciiTheme="majorHAnsi" w:hAnsiTheme="majorHAnsi" w:cstheme="majorHAnsi"/>
        </w:rPr>
        <w:t>, nadal odpowiada za</w:t>
      </w:r>
      <w:r w:rsidR="00C9705C" w:rsidRPr="00543D5B">
        <w:rPr>
          <w:rFonts w:asciiTheme="majorHAnsi" w:hAnsiTheme="majorHAnsi" w:cstheme="majorHAnsi"/>
        </w:rPr>
        <w:t xml:space="preserve"> dostępność cyfrową tych treści, ale jedynie </w:t>
      </w:r>
      <w:r w:rsidR="00C9705C" w:rsidRPr="00543D5B">
        <w:rPr>
          <w:rFonts w:asciiTheme="majorHAnsi" w:hAnsiTheme="majorHAnsi" w:cstheme="majorHAnsi"/>
        </w:rPr>
        <w:lastRenderedPageBreak/>
        <w:t>w</w:t>
      </w:r>
      <w:r w:rsidR="00CA599D" w:rsidRPr="00543D5B">
        <w:rPr>
          <w:rFonts w:asciiTheme="majorHAnsi" w:hAnsiTheme="majorHAnsi" w:cstheme="majorHAnsi"/>
        </w:rPr>
        <w:t> </w:t>
      </w:r>
      <w:r w:rsidR="00C9705C" w:rsidRPr="00543D5B">
        <w:rPr>
          <w:rFonts w:asciiTheme="majorHAnsi" w:hAnsiTheme="majorHAnsi" w:cstheme="majorHAnsi"/>
        </w:rPr>
        <w:t>zak</w:t>
      </w:r>
      <w:r w:rsidR="005534FF" w:rsidRPr="00543D5B">
        <w:rPr>
          <w:rFonts w:asciiTheme="majorHAnsi" w:hAnsiTheme="majorHAnsi" w:cstheme="majorHAnsi"/>
        </w:rPr>
        <w:t>resie możliwości, jakie posiada</w:t>
      </w:r>
      <w:r w:rsidR="00830756" w:rsidRPr="00543D5B">
        <w:rPr>
          <w:rFonts w:asciiTheme="majorHAnsi" w:hAnsiTheme="majorHAnsi" w:cstheme="majorHAnsi"/>
        </w:rPr>
        <w:t>,</w:t>
      </w:r>
      <w:r w:rsidR="005534FF" w:rsidRPr="00543D5B">
        <w:rPr>
          <w:rFonts w:asciiTheme="majorHAnsi" w:hAnsiTheme="majorHAnsi" w:cstheme="majorHAnsi"/>
        </w:rPr>
        <w:t xml:space="preserve"> </w:t>
      </w:r>
      <w:r w:rsidR="00C9705C" w:rsidRPr="00543D5B">
        <w:rPr>
          <w:rFonts w:asciiTheme="majorHAnsi" w:hAnsiTheme="majorHAnsi" w:cstheme="majorHAnsi"/>
        </w:rPr>
        <w:t>zarządzając tymi elementami strony inte</w:t>
      </w:r>
      <w:r w:rsidR="005534FF" w:rsidRPr="00543D5B">
        <w:rPr>
          <w:rFonts w:asciiTheme="majorHAnsi" w:hAnsiTheme="majorHAnsi" w:cstheme="majorHAnsi"/>
        </w:rPr>
        <w:t>rnetowej lub aplikacji mobilnej</w:t>
      </w:r>
      <w:r w:rsidR="00C9705C" w:rsidRPr="00543D5B">
        <w:rPr>
          <w:rFonts w:asciiTheme="majorHAnsi" w:hAnsiTheme="majorHAnsi" w:cstheme="majorHAnsi"/>
        </w:rPr>
        <w:t>.</w:t>
      </w:r>
      <w:r w:rsidRPr="00543D5B">
        <w:rPr>
          <w:rFonts w:asciiTheme="majorHAnsi" w:hAnsiTheme="majorHAnsi" w:cstheme="majorHAnsi"/>
        </w:rPr>
        <w:t xml:space="preserve"> </w:t>
      </w:r>
    </w:p>
    <w:p w14:paraId="77351CEC" w14:textId="57603E7C" w:rsidR="00CA599D" w:rsidRPr="00543D5B" w:rsidRDefault="00CA599D" w:rsidP="00CA599D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Art. 5 ust. 3 – zmiana polega na wskazaniu nowej wersji normy przez odesłanie do</w:t>
      </w:r>
      <w:r w:rsidR="005D5A7A" w:rsidRPr="00543D5B">
        <w:rPr>
          <w:rFonts w:asciiTheme="majorHAnsi" w:hAnsiTheme="majorHAnsi" w:cstheme="majorHAnsi"/>
        </w:rPr>
        <w:t xml:space="preserve"> </w:t>
      </w:r>
      <w:r w:rsidRPr="00543D5B">
        <w:rPr>
          <w:rFonts w:asciiTheme="majorHAnsi" w:hAnsiTheme="majorHAnsi" w:cstheme="majorHAnsi"/>
        </w:rPr>
        <w:t>Polskiej Normy wprowadzającej normę ETSI EN 301 549 V3.2.1:2021. Powyższe oznacza możliwość powoływani</w:t>
      </w:r>
      <w:r w:rsidR="001F41A0" w:rsidRPr="00543D5B">
        <w:rPr>
          <w:rFonts w:asciiTheme="majorHAnsi" w:hAnsiTheme="majorHAnsi" w:cstheme="majorHAnsi"/>
        </w:rPr>
        <w:t>a</w:t>
      </w:r>
      <w:r w:rsidRPr="00543D5B">
        <w:rPr>
          <w:rFonts w:asciiTheme="majorHAnsi" w:hAnsiTheme="majorHAnsi" w:cstheme="majorHAnsi"/>
        </w:rPr>
        <w:t xml:space="preserve"> się zarówno na wersję angielskojęzyczną, jak i polskojęzyczną zatwierdzoną przez krajową jednostkę normalizacyjną.</w:t>
      </w:r>
      <w:r w:rsidR="00543D5B" w:rsidRPr="00543D5B">
        <w:rPr>
          <w:rFonts w:asciiTheme="majorHAnsi" w:hAnsiTheme="majorHAnsi" w:cstheme="majorHAnsi"/>
        </w:rPr>
        <w:t xml:space="preserve"> </w:t>
      </w:r>
    </w:p>
    <w:p w14:paraId="4BA38464" w14:textId="0B4A0E5F" w:rsidR="00C63D79" w:rsidRPr="00543D5B" w:rsidRDefault="00C63D79" w:rsidP="00AF2A6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Art. 5</w:t>
      </w:r>
      <w:r w:rsidR="007548AF" w:rsidRPr="00543D5B">
        <w:rPr>
          <w:rFonts w:asciiTheme="majorHAnsi" w:hAnsiTheme="majorHAnsi" w:cstheme="majorHAnsi"/>
        </w:rPr>
        <w:t>a</w:t>
      </w:r>
      <w:r w:rsidR="00232DFC" w:rsidRPr="00543D5B">
        <w:rPr>
          <w:rFonts w:asciiTheme="majorHAnsi" w:hAnsiTheme="majorHAnsi" w:cstheme="majorHAnsi"/>
        </w:rPr>
        <w:t xml:space="preserve"> </w:t>
      </w:r>
      <w:r w:rsidR="00DE282E" w:rsidRPr="00543D5B">
        <w:rPr>
          <w:rFonts w:asciiTheme="majorHAnsi" w:hAnsiTheme="majorHAnsi" w:cstheme="majorHAnsi"/>
        </w:rPr>
        <w:t>–</w:t>
      </w:r>
      <w:r w:rsidR="007B4772" w:rsidRPr="00543D5B">
        <w:rPr>
          <w:rFonts w:asciiTheme="majorHAnsi" w:hAnsiTheme="majorHAnsi" w:cstheme="majorHAnsi"/>
        </w:rPr>
        <w:t xml:space="preserve"> dodawany przepis</w:t>
      </w:r>
      <w:r w:rsidR="00753981" w:rsidRPr="00543D5B">
        <w:rPr>
          <w:rFonts w:asciiTheme="majorHAnsi" w:hAnsiTheme="majorHAnsi" w:cstheme="majorHAnsi"/>
        </w:rPr>
        <w:t xml:space="preserve"> dotyczy</w:t>
      </w:r>
      <w:r w:rsidR="00CA599D" w:rsidRPr="00543D5B">
        <w:rPr>
          <w:rFonts w:asciiTheme="majorHAnsi" w:hAnsiTheme="majorHAnsi" w:cstheme="majorHAnsi"/>
        </w:rPr>
        <w:t xml:space="preserve"> </w:t>
      </w:r>
      <w:r w:rsidR="00753981" w:rsidRPr="00543D5B">
        <w:rPr>
          <w:rFonts w:asciiTheme="majorHAnsi" w:hAnsiTheme="majorHAnsi" w:cstheme="majorHAnsi"/>
        </w:rPr>
        <w:t xml:space="preserve">multimediów </w:t>
      </w:r>
      <w:r w:rsidR="00BE5B08" w:rsidRPr="00543D5B">
        <w:rPr>
          <w:rFonts w:asciiTheme="majorHAnsi" w:hAnsiTheme="majorHAnsi" w:cstheme="majorHAnsi"/>
        </w:rPr>
        <w:t xml:space="preserve">pierwotnie </w:t>
      </w:r>
      <w:r w:rsidR="00753981" w:rsidRPr="00543D5B">
        <w:rPr>
          <w:rFonts w:asciiTheme="majorHAnsi" w:hAnsiTheme="majorHAnsi" w:cstheme="majorHAnsi"/>
        </w:rPr>
        <w:t>nadawanych na żywo</w:t>
      </w:r>
      <w:r w:rsidR="00BE5B08" w:rsidRPr="00543D5B">
        <w:rPr>
          <w:rFonts w:asciiTheme="majorHAnsi" w:hAnsiTheme="majorHAnsi" w:cstheme="majorHAnsi"/>
        </w:rPr>
        <w:t>. Multimedia nadawane na żywo</w:t>
      </w:r>
      <w:r w:rsidR="00AC3DC4" w:rsidRPr="00543D5B">
        <w:rPr>
          <w:rFonts w:asciiTheme="majorHAnsi" w:hAnsiTheme="majorHAnsi" w:cstheme="majorHAnsi"/>
        </w:rPr>
        <w:t>,</w:t>
      </w:r>
      <w:r w:rsidR="00753981" w:rsidRPr="00543D5B">
        <w:rPr>
          <w:rFonts w:asciiTheme="majorHAnsi" w:hAnsiTheme="majorHAnsi" w:cstheme="majorHAnsi"/>
        </w:rPr>
        <w:t xml:space="preserve"> na podstawie art. 3 ust. 2 pkt 1 ustawy – są </w:t>
      </w:r>
      <w:r w:rsidRPr="00543D5B">
        <w:rPr>
          <w:rFonts w:asciiTheme="majorHAnsi" w:hAnsiTheme="majorHAnsi" w:cstheme="majorHAnsi"/>
        </w:rPr>
        <w:t>wyłącz</w:t>
      </w:r>
      <w:r w:rsidR="00753981" w:rsidRPr="00543D5B">
        <w:rPr>
          <w:rFonts w:asciiTheme="majorHAnsi" w:hAnsiTheme="majorHAnsi" w:cstheme="majorHAnsi"/>
        </w:rPr>
        <w:t>one</w:t>
      </w:r>
      <w:r w:rsidRPr="00543D5B">
        <w:rPr>
          <w:rFonts w:asciiTheme="majorHAnsi" w:hAnsiTheme="majorHAnsi" w:cstheme="majorHAnsi"/>
        </w:rPr>
        <w:t xml:space="preserve"> z </w:t>
      </w:r>
      <w:r w:rsidR="00753981" w:rsidRPr="00543D5B">
        <w:rPr>
          <w:rFonts w:asciiTheme="majorHAnsi" w:hAnsiTheme="majorHAnsi" w:cstheme="majorHAnsi"/>
        </w:rPr>
        <w:t xml:space="preserve">jej </w:t>
      </w:r>
      <w:r w:rsidRPr="00543D5B">
        <w:rPr>
          <w:rFonts w:asciiTheme="majorHAnsi" w:hAnsiTheme="majorHAnsi" w:cstheme="majorHAnsi"/>
        </w:rPr>
        <w:t>zakresu przedmiotowego</w:t>
      </w:r>
      <w:r w:rsidR="00AC3DC4" w:rsidRPr="00543D5B">
        <w:rPr>
          <w:rFonts w:asciiTheme="majorHAnsi" w:hAnsiTheme="majorHAnsi" w:cstheme="majorHAnsi"/>
        </w:rPr>
        <w:t>, ale nagrania takich multimediów są już objęte obowiązkiem dostępności cyfrowej</w:t>
      </w:r>
      <w:r w:rsidRPr="00543D5B">
        <w:rPr>
          <w:rFonts w:asciiTheme="majorHAnsi" w:hAnsiTheme="majorHAnsi" w:cstheme="majorHAnsi"/>
        </w:rPr>
        <w:t xml:space="preserve">. Niektóre podmioty publiczne są obowiązane do publikowania na swoich stronach relacji na żywo, np. z posiedzeń rad, po czym nagrania pozostają na stronie i </w:t>
      </w:r>
      <w:r w:rsidR="00AC3DC4" w:rsidRPr="00543D5B">
        <w:rPr>
          <w:rFonts w:asciiTheme="majorHAnsi" w:hAnsiTheme="majorHAnsi" w:cstheme="majorHAnsi"/>
        </w:rPr>
        <w:t xml:space="preserve">tym samym </w:t>
      </w:r>
      <w:r w:rsidRPr="00543D5B">
        <w:rPr>
          <w:rFonts w:asciiTheme="majorHAnsi" w:hAnsiTheme="majorHAnsi" w:cstheme="majorHAnsi"/>
        </w:rPr>
        <w:t>zaczynają być objęte przepisami</w:t>
      </w:r>
      <w:r w:rsidR="00C323CF" w:rsidRPr="00543D5B">
        <w:rPr>
          <w:rFonts w:asciiTheme="majorHAnsi" w:hAnsiTheme="majorHAnsi" w:cstheme="majorHAnsi"/>
        </w:rPr>
        <w:t xml:space="preserve"> ustawy</w:t>
      </w:r>
      <w:r w:rsidRPr="00543D5B">
        <w:rPr>
          <w:rFonts w:asciiTheme="majorHAnsi" w:hAnsiTheme="majorHAnsi" w:cstheme="majorHAnsi"/>
        </w:rPr>
        <w:t>. Oczywist</w:t>
      </w:r>
      <w:r w:rsidR="00F6778C" w:rsidRPr="00543D5B">
        <w:rPr>
          <w:rFonts w:asciiTheme="majorHAnsi" w:hAnsiTheme="majorHAnsi" w:cstheme="majorHAnsi"/>
        </w:rPr>
        <w:t>e</w:t>
      </w:r>
      <w:r w:rsidRPr="00543D5B">
        <w:rPr>
          <w:rFonts w:asciiTheme="majorHAnsi" w:hAnsiTheme="majorHAnsi" w:cstheme="majorHAnsi"/>
        </w:rPr>
        <w:t xml:space="preserve"> jest, że potrzeba czasu na przygotowanie napisów czy </w:t>
      </w:r>
      <w:proofErr w:type="spellStart"/>
      <w:r w:rsidRPr="00543D5B">
        <w:rPr>
          <w:rFonts w:asciiTheme="majorHAnsi" w:hAnsiTheme="majorHAnsi" w:cstheme="majorHAnsi"/>
        </w:rPr>
        <w:t>audiodeskrypcji</w:t>
      </w:r>
      <w:proofErr w:type="spellEnd"/>
      <w:r w:rsidRPr="00543D5B">
        <w:rPr>
          <w:rFonts w:asciiTheme="majorHAnsi" w:hAnsiTheme="majorHAnsi" w:cstheme="majorHAnsi"/>
        </w:rPr>
        <w:t>. Mot</w:t>
      </w:r>
      <w:r w:rsidR="00794D17" w:rsidRPr="00543D5B">
        <w:rPr>
          <w:rFonts w:asciiTheme="majorHAnsi" w:hAnsiTheme="majorHAnsi" w:cstheme="majorHAnsi"/>
        </w:rPr>
        <w:t>yw 27 d</w:t>
      </w:r>
      <w:r w:rsidRPr="00543D5B">
        <w:rPr>
          <w:rFonts w:asciiTheme="majorHAnsi" w:hAnsiTheme="majorHAnsi" w:cstheme="majorHAnsi"/>
        </w:rPr>
        <w:t>yrektywy Parlamentu Europejskiego i Rady (UE) 2016/2102 z</w:t>
      </w:r>
      <w:r w:rsidR="00D93096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>dnia 26 października 2016 r. w sprawie dostępności stron internetowych i</w:t>
      </w:r>
      <w:r w:rsidR="001B7BD5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 xml:space="preserve">mobilnych aplikacji organów sektora publicznego </w:t>
      </w:r>
      <w:r w:rsidR="00DA43AB" w:rsidRPr="00543D5B">
        <w:rPr>
          <w:rFonts w:asciiTheme="majorHAnsi" w:hAnsiTheme="majorHAnsi" w:cstheme="majorHAnsi"/>
        </w:rPr>
        <w:t>(Dz. Urz. UE L 327 z 02.12.2016, str. 1)</w:t>
      </w:r>
      <w:r w:rsidR="008F660C" w:rsidRPr="00543D5B">
        <w:rPr>
          <w:rFonts w:asciiTheme="majorHAnsi" w:hAnsiTheme="majorHAnsi" w:cstheme="majorHAnsi"/>
        </w:rPr>
        <w:t>, zwan</w:t>
      </w:r>
      <w:r w:rsidR="00413739" w:rsidRPr="00543D5B">
        <w:rPr>
          <w:rFonts w:asciiTheme="majorHAnsi" w:hAnsiTheme="majorHAnsi" w:cstheme="majorHAnsi"/>
        </w:rPr>
        <w:t>ej</w:t>
      </w:r>
      <w:r w:rsidR="008F660C" w:rsidRPr="00543D5B">
        <w:rPr>
          <w:rFonts w:asciiTheme="majorHAnsi" w:hAnsiTheme="majorHAnsi" w:cstheme="majorHAnsi"/>
        </w:rPr>
        <w:t xml:space="preserve"> dalej „dyrektywą 2016/2102”,</w:t>
      </w:r>
      <w:r w:rsidR="00DA43AB" w:rsidRPr="00543D5B">
        <w:rPr>
          <w:rFonts w:asciiTheme="majorHAnsi" w:hAnsiTheme="majorHAnsi" w:cstheme="majorHAnsi"/>
        </w:rPr>
        <w:t xml:space="preserve"> </w:t>
      </w:r>
      <w:r w:rsidR="00794D17" w:rsidRPr="00543D5B">
        <w:rPr>
          <w:rFonts w:asciiTheme="majorHAnsi" w:hAnsiTheme="majorHAnsi" w:cstheme="majorHAnsi"/>
        </w:rPr>
        <w:t>stanowi</w:t>
      </w:r>
      <w:r w:rsidRPr="00543D5B">
        <w:rPr>
          <w:rFonts w:asciiTheme="majorHAnsi" w:hAnsiTheme="majorHAnsi" w:cstheme="majorHAnsi"/>
        </w:rPr>
        <w:t xml:space="preserve"> w takim przypadku o </w:t>
      </w:r>
      <w:r w:rsidR="00456184" w:rsidRPr="00543D5B">
        <w:rPr>
          <w:rFonts w:asciiTheme="majorHAnsi" w:hAnsiTheme="majorHAnsi" w:cstheme="majorHAnsi"/>
        </w:rPr>
        <w:t xml:space="preserve">terminie </w:t>
      </w:r>
      <w:r w:rsidRPr="00543D5B">
        <w:rPr>
          <w:rFonts w:asciiTheme="majorHAnsi" w:hAnsiTheme="majorHAnsi" w:cstheme="majorHAnsi"/>
        </w:rPr>
        <w:t>14</w:t>
      </w:r>
      <w:r w:rsidR="00456184" w:rsidRPr="00543D5B">
        <w:rPr>
          <w:rFonts w:asciiTheme="majorHAnsi" w:hAnsiTheme="majorHAnsi" w:cstheme="majorHAnsi"/>
        </w:rPr>
        <w:t>-</w:t>
      </w:r>
      <w:r w:rsidRPr="00543D5B">
        <w:rPr>
          <w:rFonts w:asciiTheme="majorHAnsi" w:hAnsiTheme="majorHAnsi" w:cstheme="majorHAnsi"/>
        </w:rPr>
        <w:t>dni</w:t>
      </w:r>
      <w:r w:rsidR="00456184" w:rsidRPr="00543D5B">
        <w:rPr>
          <w:rFonts w:asciiTheme="majorHAnsi" w:hAnsiTheme="majorHAnsi" w:cstheme="majorHAnsi"/>
        </w:rPr>
        <w:t>owym</w:t>
      </w:r>
      <w:r w:rsidRPr="00543D5B">
        <w:rPr>
          <w:rFonts w:asciiTheme="majorHAnsi" w:hAnsiTheme="majorHAnsi" w:cstheme="majorHAnsi"/>
        </w:rPr>
        <w:t xml:space="preserve">, </w:t>
      </w:r>
      <w:r w:rsidR="00475E3D" w:rsidRPr="00543D5B">
        <w:rPr>
          <w:rFonts w:asciiTheme="majorHAnsi" w:hAnsiTheme="majorHAnsi" w:cstheme="majorHAnsi"/>
        </w:rPr>
        <w:t xml:space="preserve">o </w:t>
      </w:r>
      <w:r w:rsidR="00456184" w:rsidRPr="00543D5B">
        <w:rPr>
          <w:rFonts w:asciiTheme="majorHAnsi" w:hAnsiTheme="majorHAnsi" w:cstheme="majorHAnsi"/>
        </w:rPr>
        <w:t>który należy również uzupełnić</w:t>
      </w:r>
      <w:r w:rsidRPr="00543D5B">
        <w:rPr>
          <w:rFonts w:asciiTheme="majorHAnsi" w:hAnsiTheme="majorHAnsi" w:cstheme="majorHAnsi"/>
        </w:rPr>
        <w:t xml:space="preserve"> przepis</w:t>
      </w:r>
      <w:r w:rsidR="00456184" w:rsidRPr="00543D5B">
        <w:rPr>
          <w:rFonts w:asciiTheme="majorHAnsi" w:hAnsiTheme="majorHAnsi" w:cstheme="majorHAnsi"/>
        </w:rPr>
        <w:t>y</w:t>
      </w:r>
      <w:r w:rsidRPr="00543D5B">
        <w:rPr>
          <w:rFonts w:asciiTheme="majorHAnsi" w:hAnsiTheme="majorHAnsi" w:cstheme="majorHAnsi"/>
        </w:rPr>
        <w:t xml:space="preserve"> ustawy.</w:t>
      </w:r>
      <w:r w:rsidR="00E07E9B" w:rsidRPr="00543D5B">
        <w:rPr>
          <w:rFonts w:asciiTheme="majorHAnsi" w:hAnsiTheme="majorHAnsi" w:cstheme="majorHAnsi"/>
        </w:rPr>
        <w:t xml:space="preserve"> </w:t>
      </w:r>
      <w:r w:rsidR="00AF2A69" w:rsidRPr="00543D5B">
        <w:rPr>
          <w:rFonts w:asciiTheme="majorHAnsi" w:hAnsiTheme="majorHAnsi" w:cstheme="majorHAnsi"/>
        </w:rPr>
        <w:t xml:space="preserve">W uzasadnionych przypadkach, </w:t>
      </w:r>
      <w:r w:rsidR="00475E3D" w:rsidRPr="00543D5B">
        <w:rPr>
          <w:rFonts w:asciiTheme="majorHAnsi" w:hAnsiTheme="majorHAnsi" w:cstheme="majorHAnsi"/>
        </w:rPr>
        <w:t>np.</w:t>
      </w:r>
      <w:r w:rsidR="00AF2A69" w:rsidRPr="00543D5B">
        <w:rPr>
          <w:rFonts w:asciiTheme="majorHAnsi" w:hAnsiTheme="majorHAnsi" w:cstheme="majorHAnsi"/>
        </w:rPr>
        <w:t xml:space="preserve"> gdy niemożliwe jest uzyskanie odpowiednich usług w odpowiednim czasie, 14-</w:t>
      </w:r>
      <w:r w:rsidR="00E07E9B" w:rsidRPr="00543D5B">
        <w:rPr>
          <w:rFonts w:asciiTheme="majorHAnsi" w:hAnsiTheme="majorHAnsi" w:cstheme="majorHAnsi"/>
        </w:rPr>
        <w:t>dni</w:t>
      </w:r>
      <w:r w:rsidR="00AF2A69" w:rsidRPr="00543D5B">
        <w:rPr>
          <w:rFonts w:asciiTheme="majorHAnsi" w:hAnsiTheme="majorHAnsi" w:cstheme="majorHAnsi"/>
        </w:rPr>
        <w:t>owy termin</w:t>
      </w:r>
      <w:r w:rsidR="00E07E9B" w:rsidRPr="00543D5B">
        <w:rPr>
          <w:rFonts w:asciiTheme="majorHAnsi" w:hAnsiTheme="majorHAnsi" w:cstheme="majorHAnsi"/>
        </w:rPr>
        <w:t xml:space="preserve"> na dostosowanie multimedium m</w:t>
      </w:r>
      <w:r w:rsidR="00AF2A69" w:rsidRPr="00543D5B">
        <w:rPr>
          <w:rFonts w:asciiTheme="majorHAnsi" w:hAnsiTheme="majorHAnsi" w:cstheme="majorHAnsi"/>
        </w:rPr>
        <w:t>oże zostać wydłużony</w:t>
      </w:r>
      <w:r w:rsidR="00E07E9B" w:rsidRPr="00543D5B">
        <w:rPr>
          <w:rFonts w:asciiTheme="majorHAnsi" w:hAnsiTheme="majorHAnsi" w:cstheme="majorHAnsi"/>
        </w:rPr>
        <w:t xml:space="preserve"> </w:t>
      </w:r>
      <w:r w:rsidR="00475E3D" w:rsidRPr="00543D5B">
        <w:rPr>
          <w:rFonts w:asciiTheme="majorHAnsi" w:hAnsiTheme="majorHAnsi" w:cstheme="majorHAnsi"/>
        </w:rPr>
        <w:t xml:space="preserve">– </w:t>
      </w:r>
      <w:r w:rsidR="00AF2A69" w:rsidRPr="00543D5B">
        <w:rPr>
          <w:rFonts w:asciiTheme="majorHAnsi" w:hAnsiTheme="majorHAnsi" w:cstheme="majorHAnsi"/>
        </w:rPr>
        <w:t>do maksymalnie</w:t>
      </w:r>
      <w:r w:rsidR="00E07E9B" w:rsidRPr="00543D5B">
        <w:rPr>
          <w:rFonts w:asciiTheme="majorHAnsi" w:hAnsiTheme="majorHAnsi" w:cstheme="majorHAnsi"/>
        </w:rPr>
        <w:t xml:space="preserve"> 2 miesi</w:t>
      </w:r>
      <w:r w:rsidR="00AF2A69" w:rsidRPr="00543D5B">
        <w:rPr>
          <w:rFonts w:asciiTheme="majorHAnsi" w:hAnsiTheme="majorHAnsi" w:cstheme="majorHAnsi"/>
        </w:rPr>
        <w:t>ęcy. Jednocześnie podmiot publiczny zamieszcza na stronie internetowej lub w aplikacji mobilnej informację o nowym, wydłużonym terminie dostosowania takiego multimedium.</w:t>
      </w:r>
      <w:r w:rsidR="00730F5D" w:rsidRPr="00543D5B">
        <w:rPr>
          <w:rFonts w:asciiTheme="majorHAnsi" w:hAnsiTheme="majorHAnsi" w:cstheme="majorHAnsi"/>
        </w:rPr>
        <w:t xml:space="preserve"> Informacja taka powinna zostać z</w:t>
      </w:r>
      <w:r w:rsidR="00D16F7E" w:rsidRPr="00543D5B">
        <w:rPr>
          <w:rFonts w:asciiTheme="majorHAnsi" w:hAnsiTheme="majorHAnsi" w:cstheme="majorHAnsi"/>
        </w:rPr>
        <w:t>a</w:t>
      </w:r>
      <w:r w:rsidR="00730F5D" w:rsidRPr="00543D5B">
        <w:rPr>
          <w:rFonts w:asciiTheme="majorHAnsi" w:hAnsiTheme="majorHAnsi" w:cstheme="majorHAnsi"/>
        </w:rPr>
        <w:t xml:space="preserve">mieszczona razem z opublikowanym multimedium </w:t>
      </w:r>
      <w:r w:rsidR="00D16F7E" w:rsidRPr="00543D5B">
        <w:rPr>
          <w:rFonts w:asciiTheme="majorHAnsi" w:hAnsiTheme="majorHAnsi" w:cstheme="majorHAnsi"/>
        </w:rPr>
        <w:t xml:space="preserve">– </w:t>
      </w:r>
      <w:r w:rsidR="00730F5D" w:rsidRPr="00543D5B">
        <w:rPr>
          <w:rFonts w:asciiTheme="majorHAnsi" w:hAnsiTheme="majorHAnsi" w:cstheme="majorHAnsi"/>
        </w:rPr>
        <w:t>tak</w:t>
      </w:r>
      <w:r w:rsidR="00475E3D" w:rsidRPr="00543D5B">
        <w:rPr>
          <w:rFonts w:asciiTheme="majorHAnsi" w:hAnsiTheme="majorHAnsi" w:cstheme="majorHAnsi"/>
        </w:rPr>
        <w:t>,</w:t>
      </w:r>
      <w:r w:rsidR="00730F5D" w:rsidRPr="00543D5B">
        <w:rPr>
          <w:rFonts w:asciiTheme="majorHAnsi" w:hAnsiTheme="majorHAnsi" w:cstheme="majorHAnsi"/>
        </w:rPr>
        <w:t xml:space="preserve"> aby możliwe było zapoznanie się z nią.</w:t>
      </w:r>
      <w:r w:rsidR="00543D5B" w:rsidRPr="00543D5B">
        <w:rPr>
          <w:rFonts w:asciiTheme="majorHAnsi" w:hAnsiTheme="majorHAnsi" w:cstheme="majorHAnsi"/>
        </w:rPr>
        <w:t xml:space="preserve"> </w:t>
      </w:r>
    </w:p>
    <w:p w14:paraId="5B1AD781" w14:textId="681B2054" w:rsidR="00E8139D" w:rsidRPr="00543D5B" w:rsidRDefault="001D1091" w:rsidP="00E8139D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Art. 8 ust. 1</w:t>
      </w:r>
      <w:r w:rsidR="00BE26E2" w:rsidRPr="00543D5B">
        <w:rPr>
          <w:rFonts w:asciiTheme="majorHAnsi" w:hAnsiTheme="majorHAnsi" w:cstheme="majorHAnsi"/>
        </w:rPr>
        <w:t xml:space="preserve"> – </w:t>
      </w:r>
      <w:r w:rsidR="0011014C" w:rsidRPr="00543D5B">
        <w:rPr>
          <w:rFonts w:asciiTheme="majorHAnsi" w:hAnsiTheme="majorHAnsi" w:cstheme="majorHAnsi"/>
        </w:rPr>
        <w:t>n</w:t>
      </w:r>
      <w:r w:rsidR="007C52ED" w:rsidRPr="00543D5B">
        <w:rPr>
          <w:rFonts w:asciiTheme="majorHAnsi" w:hAnsiTheme="majorHAnsi" w:cstheme="majorHAnsi"/>
        </w:rPr>
        <w:t xml:space="preserve">iezbędne jest doprecyzowanie, że mechanizm </w:t>
      </w:r>
      <w:r w:rsidR="003C0B70" w:rsidRPr="00543D5B">
        <w:rPr>
          <w:rFonts w:asciiTheme="majorHAnsi" w:hAnsiTheme="majorHAnsi" w:cstheme="majorHAnsi"/>
        </w:rPr>
        <w:t>„</w:t>
      </w:r>
      <w:r w:rsidR="007C52ED" w:rsidRPr="00543D5B">
        <w:rPr>
          <w:rFonts w:asciiTheme="majorHAnsi" w:hAnsiTheme="majorHAnsi" w:cstheme="majorHAnsi"/>
        </w:rPr>
        <w:t>nadmiernych kosztów</w:t>
      </w:r>
      <w:r w:rsidR="003C0B70" w:rsidRPr="00543D5B">
        <w:rPr>
          <w:rFonts w:asciiTheme="majorHAnsi" w:hAnsiTheme="majorHAnsi" w:cstheme="majorHAnsi"/>
        </w:rPr>
        <w:t>”</w:t>
      </w:r>
      <w:r w:rsidR="007C52ED" w:rsidRPr="00543D5B">
        <w:rPr>
          <w:rFonts w:asciiTheme="majorHAnsi" w:hAnsiTheme="majorHAnsi" w:cstheme="majorHAnsi"/>
        </w:rPr>
        <w:t xml:space="preserve"> może być stosowany jedynie</w:t>
      </w:r>
      <w:r w:rsidR="00F77F9F" w:rsidRPr="00543D5B">
        <w:rPr>
          <w:rFonts w:asciiTheme="majorHAnsi" w:hAnsiTheme="majorHAnsi" w:cstheme="majorHAnsi"/>
        </w:rPr>
        <w:t xml:space="preserve"> w uzasadnionych przypadkach</w:t>
      </w:r>
      <w:r w:rsidR="007C52ED" w:rsidRPr="00543D5B">
        <w:rPr>
          <w:rFonts w:asciiTheme="majorHAnsi" w:hAnsiTheme="majorHAnsi" w:cstheme="majorHAnsi"/>
        </w:rPr>
        <w:t xml:space="preserve"> do konkretnych, poszczególnych elementów</w:t>
      </w:r>
      <w:r w:rsidR="00A6125E" w:rsidRPr="00543D5B">
        <w:rPr>
          <w:rFonts w:asciiTheme="majorHAnsi" w:hAnsiTheme="majorHAnsi" w:cstheme="majorHAnsi"/>
        </w:rPr>
        <w:t xml:space="preserve"> </w:t>
      </w:r>
      <w:r w:rsidR="007C52ED" w:rsidRPr="00543D5B">
        <w:rPr>
          <w:rFonts w:asciiTheme="majorHAnsi" w:hAnsiTheme="majorHAnsi" w:cstheme="majorHAnsi"/>
        </w:rPr>
        <w:t>strony internetowej lub</w:t>
      </w:r>
      <w:r w:rsidR="0072643D" w:rsidRPr="00543D5B">
        <w:rPr>
          <w:rFonts w:asciiTheme="majorHAnsi" w:hAnsiTheme="majorHAnsi" w:cstheme="majorHAnsi"/>
        </w:rPr>
        <w:t xml:space="preserve"> </w:t>
      </w:r>
      <w:r w:rsidR="00C323CF" w:rsidRPr="00543D5B">
        <w:rPr>
          <w:rFonts w:asciiTheme="majorHAnsi" w:hAnsiTheme="majorHAnsi" w:cstheme="majorHAnsi"/>
        </w:rPr>
        <w:t xml:space="preserve">elementów </w:t>
      </w:r>
      <w:r w:rsidR="007C52ED" w:rsidRPr="00543D5B">
        <w:rPr>
          <w:rFonts w:asciiTheme="majorHAnsi" w:hAnsiTheme="majorHAnsi" w:cstheme="majorHAnsi"/>
        </w:rPr>
        <w:t xml:space="preserve">aplikacji mobilnej, a nie ich całości. </w:t>
      </w:r>
      <w:r w:rsidR="005E3C11" w:rsidRPr="00543D5B">
        <w:rPr>
          <w:rFonts w:asciiTheme="majorHAnsi" w:hAnsiTheme="majorHAnsi" w:cstheme="majorHAnsi"/>
        </w:rPr>
        <w:t>Podmiot publiczny, nawet w przypadku stwierdzenia nadmierności kosztów zapewnienia</w:t>
      </w:r>
      <w:r w:rsidR="001A5255" w:rsidRPr="00543D5B">
        <w:rPr>
          <w:rFonts w:asciiTheme="majorHAnsi" w:hAnsiTheme="majorHAnsi" w:cstheme="majorHAnsi"/>
        </w:rPr>
        <w:t xml:space="preserve"> pełnej</w:t>
      </w:r>
      <w:r w:rsidR="005E3C11" w:rsidRPr="00543D5B">
        <w:rPr>
          <w:rFonts w:asciiTheme="majorHAnsi" w:hAnsiTheme="majorHAnsi" w:cstheme="majorHAnsi"/>
        </w:rPr>
        <w:t xml:space="preserve"> dostępności cyfrowej jakiegoś elementu</w:t>
      </w:r>
      <w:r w:rsidR="00FB29F5" w:rsidRPr="00543D5B">
        <w:rPr>
          <w:rFonts w:asciiTheme="majorHAnsi" w:hAnsiTheme="majorHAnsi" w:cstheme="majorHAnsi"/>
        </w:rPr>
        <w:t xml:space="preserve"> strony internetowej lub aplikacji mobilnej</w:t>
      </w:r>
      <w:r w:rsidR="005E3C11" w:rsidRPr="00543D5B">
        <w:rPr>
          <w:rFonts w:asciiTheme="majorHAnsi" w:hAnsiTheme="majorHAnsi" w:cstheme="majorHAnsi"/>
        </w:rPr>
        <w:t>, nadal powinien dbać</w:t>
      </w:r>
      <w:r w:rsidR="001A5255" w:rsidRPr="00543D5B">
        <w:rPr>
          <w:rFonts w:asciiTheme="majorHAnsi" w:hAnsiTheme="majorHAnsi" w:cstheme="majorHAnsi"/>
        </w:rPr>
        <w:t xml:space="preserve"> </w:t>
      </w:r>
      <w:r w:rsidR="001A5255" w:rsidRPr="00543D5B">
        <w:rPr>
          <w:rFonts w:asciiTheme="majorHAnsi" w:hAnsiTheme="majorHAnsi" w:cstheme="majorHAnsi"/>
        </w:rPr>
        <w:lastRenderedPageBreak/>
        <w:t>o</w:t>
      </w:r>
      <w:r w:rsidR="001B7BD5" w:rsidRPr="00543D5B">
        <w:rPr>
          <w:rFonts w:asciiTheme="majorHAnsi" w:hAnsiTheme="majorHAnsi" w:cstheme="majorHAnsi"/>
        </w:rPr>
        <w:t> </w:t>
      </w:r>
      <w:r w:rsidR="001A5255" w:rsidRPr="00543D5B">
        <w:rPr>
          <w:rFonts w:asciiTheme="majorHAnsi" w:hAnsiTheme="majorHAnsi" w:cstheme="majorHAnsi"/>
        </w:rPr>
        <w:t xml:space="preserve">jego maksymalnie możliwą dostępność cyfrową i </w:t>
      </w:r>
      <w:r w:rsidR="005E3C11" w:rsidRPr="00543D5B">
        <w:rPr>
          <w:rFonts w:asciiTheme="majorHAnsi" w:hAnsiTheme="majorHAnsi" w:cstheme="majorHAnsi"/>
        </w:rPr>
        <w:t xml:space="preserve">o </w:t>
      </w:r>
      <w:r w:rsidR="001A5255" w:rsidRPr="00543D5B">
        <w:rPr>
          <w:rFonts w:asciiTheme="majorHAnsi" w:hAnsiTheme="majorHAnsi" w:cstheme="majorHAnsi"/>
        </w:rPr>
        <w:t xml:space="preserve">pełną </w:t>
      </w:r>
      <w:r w:rsidR="005E3C11" w:rsidRPr="00543D5B">
        <w:rPr>
          <w:rFonts w:asciiTheme="majorHAnsi" w:hAnsiTheme="majorHAnsi" w:cstheme="majorHAnsi"/>
        </w:rPr>
        <w:t>dostępność cyfrową pozostałych elementów tworzących stronę internetową lub aplikację mobilną.</w:t>
      </w:r>
      <w:r w:rsidR="00E8139D" w:rsidRPr="00543D5B">
        <w:rPr>
          <w:rFonts w:asciiTheme="majorHAnsi" w:hAnsiTheme="majorHAnsi" w:cstheme="majorHAnsi"/>
        </w:rPr>
        <w:t xml:space="preserve"> Taki wymóg wynika bezpośrednio z motywu 39 dyrektywy 2016/2102 oraz decyzji wykonawczej Komisji (UE) 2018/1523 z dnia 11 października 2018 r. ustanawiającej wzór oświadczenia w sprawie dostępności zgodnie z dyrektywą Parlamentu Europejskiego i Rady (UE) 2016/2102 w sprawie dostępności stron internetowych i mobilnych aplikacji organów sektora publicznego</w:t>
      </w:r>
      <w:r w:rsidR="0087566F" w:rsidRPr="00543D5B">
        <w:rPr>
          <w:rFonts w:asciiTheme="majorHAnsi" w:hAnsiTheme="majorHAnsi" w:cstheme="majorHAnsi"/>
        </w:rPr>
        <w:t xml:space="preserve"> (Dz. U</w:t>
      </w:r>
      <w:r w:rsidR="000E06C4" w:rsidRPr="00543D5B">
        <w:rPr>
          <w:rFonts w:asciiTheme="majorHAnsi" w:hAnsiTheme="majorHAnsi" w:cstheme="majorHAnsi"/>
        </w:rPr>
        <w:t>rz</w:t>
      </w:r>
      <w:r w:rsidR="0087566F" w:rsidRPr="00543D5B">
        <w:rPr>
          <w:rFonts w:asciiTheme="majorHAnsi" w:hAnsiTheme="majorHAnsi" w:cstheme="majorHAnsi"/>
        </w:rPr>
        <w:t xml:space="preserve">. UE L </w:t>
      </w:r>
      <w:r w:rsidR="000E06C4" w:rsidRPr="00543D5B">
        <w:rPr>
          <w:rFonts w:asciiTheme="majorHAnsi" w:hAnsiTheme="majorHAnsi" w:cstheme="majorHAnsi"/>
        </w:rPr>
        <w:t xml:space="preserve">256 </w:t>
      </w:r>
      <w:r w:rsidR="0087566F" w:rsidRPr="00543D5B">
        <w:rPr>
          <w:rFonts w:asciiTheme="majorHAnsi" w:hAnsiTheme="majorHAnsi" w:cstheme="majorHAnsi"/>
        </w:rPr>
        <w:t xml:space="preserve">z </w:t>
      </w:r>
      <w:r w:rsidR="000E06C4" w:rsidRPr="00543D5B">
        <w:rPr>
          <w:rFonts w:asciiTheme="majorHAnsi" w:hAnsiTheme="majorHAnsi" w:cstheme="majorHAnsi"/>
        </w:rPr>
        <w:t>12.10.</w:t>
      </w:r>
      <w:r w:rsidR="0087566F" w:rsidRPr="00543D5B">
        <w:rPr>
          <w:rFonts w:asciiTheme="majorHAnsi" w:hAnsiTheme="majorHAnsi" w:cstheme="majorHAnsi"/>
        </w:rPr>
        <w:t>2018, str. 103)</w:t>
      </w:r>
      <w:r w:rsidR="00E8139D" w:rsidRPr="00543D5B">
        <w:rPr>
          <w:rFonts w:asciiTheme="majorHAnsi" w:hAnsiTheme="majorHAnsi" w:cstheme="majorHAnsi"/>
        </w:rPr>
        <w:t xml:space="preserve">. </w:t>
      </w:r>
    </w:p>
    <w:p w14:paraId="2FCA4E46" w14:textId="52FE21B6" w:rsidR="00E8139D" w:rsidRPr="00543D5B" w:rsidRDefault="00E8139D" w:rsidP="00E8139D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W przypadku gdy podmiot</w:t>
      </w:r>
      <w:r w:rsidR="000E06C4" w:rsidRPr="00543D5B">
        <w:rPr>
          <w:rFonts w:asciiTheme="majorHAnsi" w:hAnsiTheme="majorHAnsi" w:cstheme="majorHAnsi"/>
        </w:rPr>
        <w:t>,</w:t>
      </w:r>
      <w:r w:rsidRPr="00543D5B">
        <w:rPr>
          <w:rFonts w:asciiTheme="majorHAnsi" w:hAnsiTheme="majorHAnsi" w:cstheme="majorHAnsi"/>
        </w:rPr>
        <w:t xml:space="preserve"> po dokonaniu szczegółowej analizy</w:t>
      </w:r>
      <w:r w:rsidR="000E06C4" w:rsidRPr="00543D5B">
        <w:rPr>
          <w:rFonts w:asciiTheme="majorHAnsi" w:hAnsiTheme="majorHAnsi" w:cstheme="majorHAnsi"/>
        </w:rPr>
        <w:t>,</w:t>
      </w:r>
      <w:r w:rsidRPr="00543D5B">
        <w:rPr>
          <w:rFonts w:asciiTheme="majorHAnsi" w:hAnsiTheme="majorHAnsi" w:cstheme="majorHAnsi"/>
        </w:rPr>
        <w:t xml:space="preserve"> stwierdzi, że wszystkie elementy jego strony </w:t>
      </w:r>
      <w:r w:rsidR="000E06C4" w:rsidRPr="00543D5B">
        <w:rPr>
          <w:rFonts w:asciiTheme="majorHAnsi" w:hAnsiTheme="majorHAnsi" w:cstheme="majorHAnsi"/>
        </w:rPr>
        <w:t xml:space="preserve">internetowej </w:t>
      </w:r>
      <w:r w:rsidRPr="00543D5B">
        <w:rPr>
          <w:rFonts w:asciiTheme="majorHAnsi" w:hAnsiTheme="majorHAnsi" w:cstheme="majorHAnsi"/>
        </w:rPr>
        <w:t xml:space="preserve">lub </w:t>
      </w:r>
      <w:r w:rsidR="006C2F35" w:rsidRPr="00543D5B">
        <w:rPr>
          <w:rFonts w:asciiTheme="majorHAnsi" w:hAnsiTheme="majorHAnsi" w:cstheme="majorHAnsi"/>
        </w:rPr>
        <w:t xml:space="preserve">elementy </w:t>
      </w:r>
      <w:r w:rsidRPr="00543D5B">
        <w:rPr>
          <w:rFonts w:asciiTheme="majorHAnsi" w:hAnsiTheme="majorHAnsi" w:cstheme="majorHAnsi"/>
        </w:rPr>
        <w:t xml:space="preserve">aplikacji </w:t>
      </w:r>
      <w:r w:rsidR="0085232A" w:rsidRPr="00543D5B">
        <w:rPr>
          <w:rFonts w:asciiTheme="majorHAnsi" w:hAnsiTheme="majorHAnsi" w:cstheme="majorHAnsi"/>
        </w:rPr>
        <w:t xml:space="preserve">mobilnej </w:t>
      </w:r>
      <w:r w:rsidRPr="00543D5B">
        <w:rPr>
          <w:rFonts w:asciiTheme="majorHAnsi" w:hAnsiTheme="majorHAnsi" w:cstheme="majorHAnsi"/>
        </w:rPr>
        <w:t xml:space="preserve">nie mogą być udostępnione ze względu na nadmierny koszt, będzie to oznaczało w praktyce, że cała strona internetowa lub cała aplikacja </w:t>
      </w:r>
      <w:r w:rsidR="000E06C4" w:rsidRPr="00543D5B">
        <w:rPr>
          <w:rFonts w:asciiTheme="majorHAnsi" w:hAnsiTheme="majorHAnsi" w:cstheme="majorHAnsi"/>
        </w:rPr>
        <w:t xml:space="preserve">mobilna </w:t>
      </w:r>
      <w:r w:rsidRPr="00543D5B">
        <w:rPr>
          <w:rFonts w:asciiTheme="majorHAnsi" w:hAnsiTheme="majorHAnsi" w:cstheme="majorHAnsi"/>
        </w:rPr>
        <w:t>będzie niedostępna cyfrowo. Taka sytuacja nie powinna jednak zwalniać podmiotu z</w:t>
      </w:r>
      <w:r w:rsidR="00CA599D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 xml:space="preserve">obowiązku opublikowania deklaracji dostępności takiej strony </w:t>
      </w:r>
      <w:r w:rsidR="000E06C4" w:rsidRPr="00543D5B">
        <w:rPr>
          <w:rFonts w:asciiTheme="majorHAnsi" w:hAnsiTheme="majorHAnsi" w:cstheme="majorHAnsi"/>
        </w:rPr>
        <w:t xml:space="preserve">internetowej </w:t>
      </w:r>
      <w:r w:rsidRPr="00543D5B">
        <w:rPr>
          <w:rFonts w:asciiTheme="majorHAnsi" w:hAnsiTheme="majorHAnsi" w:cstheme="majorHAnsi"/>
        </w:rPr>
        <w:t>lub aplikacji</w:t>
      </w:r>
      <w:r w:rsidR="0085232A" w:rsidRPr="00543D5B">
        <w:rPr>
          <w:rFonts w:asciiTheme="majorHAnsi" w:hAnsiTheme="majorHAnsi" w:cstheme="majorHAnsi"/>
        </w:rPr>
        <w:t xml:space="preserve"> mobilnej</w:t>
      </w:r>
      <w:r w:rsidRPr="00543D5B">
        <w:rPr>
          <w:rFonts w:asciiTheme="majorHAnsi" w:hAnsiTheme="majorHAnsi" w:cstheme="majorHAnsi"/>
        </w:rPr>
        <w:t>. W</w:t>
      </w:r>
      <w:r w:rsidR="00CA599D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>deklaracji</w:t>
      </w:r>
      <w:r w:rsidR="002C26A3" w:rsidRPr="00543D5B">
        <w:rPr>
          <w:rFonts w:asciiTheme="majorHAnsi" w:hAnsiTheme="majorHAnsi" w:cstheme="majorHAnsi"/>
        </w:rPr>
        <w:t xml:space="preserve"> </w:t>
      </w:r>
      <w:r w:rsidR="000E06C4" w:rsidRPr="00543D5B">
        <w:rPr>
          <w:rFonts w:asciiTheme="majorHAnsi" w:hAnsiTheme="majorHAnsi" w:cstheme="majorHAnsi"/>
        </w:rPr>
        <w:t xml:space="preserve">dostępności </w:t>
      </w:r>
      <w:r w:rsidRPr="00543D5B">
        <w:rPr>
          <w:rFonts w:asciiTheme="majorHAnsi" w:hAnsiTheme="majorHAnsi" w:cstheme="majorHAnsi"/>
        </w:rPr>
        <w:t xml:space="preserve">podmiot </w:t>
      </w:r>
      <w:r w:rsidR="000E06C4" w:rsidRPr="00543D5B">
        <w:rPr>
          <w:rFonts w:asciiTheme="majorHAnsi" w:hAnsiTheme="majorHAnsi" w:cstheme="majorHAnsi"/>
        </w:rPr>
        <w:t xml:space="preserve">publiczny </w:t>
      </w:r>
      <w:r w:rsidRPr="00543D5B">
        <w:rPr>
          <w:rFonts w:asciiTheme="majorHAnsi" w:hAnsiTheme="majorHAnsi" w:cstheme="majorHAnsi"/>
        </w:rPr>
        <w:t>powinien wskazać poszczególne elementy, których udostępnienie nie było możliwe ze względu na nadmierny k</w:t>
      </w:r>
      <w:r w:rsidR="00FC6389" w:rsidRPr="00543D5B">
        <w:rPr>
          <w:rFonts w:asciiTheme="majorHAnsi" w:hAnsiTheme="majorHAnsi" w:cstheme="majorHAnsi"/>
        </w:rPr>
        <w:t>oszt.</w:t>
      </w:r>
    </w:p>
    <w:p w14:paraId="7F29A82C" w14:textId="77777777" w:rsidR="00FC6389" w:rsidRPr="00543D5B" w:rsidRDefault="00C63D79" w:rsidP="00FC638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8 ust. 2 </w:t>
      </w:r>
      <w:r w:rsidR="00DE282E" w:rsidRPr="00543D5B">
        <w:rPr>
          <w:rFonts w:asciiTheme="majorHAnsi" w:hAnsiTheme="majorHAnsi" w:cstheme="majorHAnsi"/>
        </w:rPr>
        <w:t>–</w:t>
      </w:r>
      <w:r w:rsidR="00FC6389" w:rsidRPr="00543D5B">
        <w:rPr>
          <w:rFonts w:asciiTheme="majorHAnsi" w:hAnsiTheme="majorHAnsi" w:cstheme="majorHAnsi"/>
        </w:rPr>
        <w:t xml:space="preserve"> uchylenie </w:t>
      </w:r>
      <w:r w:rsidR="002C26A3" w:rsidRPr="00543D5B">
        <w:rPr>
          <w:rFonts w:asciiTheme="majorHAnsi" w:hAnsiTheme="majorHAnsi" w:cstheme="majorHAnsi"/>
        </w:rPr>
        <w:t xml:space="preserve">tego przepisu </w:t>
      </w:r>
      <w:r w:rsidR="00FC6389" w:rsidRPr="00543D5B">
        <w:rPr>
          <w:rFonts w:asciiTheme="majorHAnsi" w:hAnsiTheme="majorHAnsi" w:cstheme="majorHAnsi"/>
        </w:rPr>
        <w:t>jest niezbędne ze względu na:</w:t>
      </w:r>
    </w:p>
    <w:p w14:paraId="7C258A87" w14:textId="23505599" w:rsidR="00FC6389" w:rsidRPr="00543D5B" w:rsidRDefault="0085232A" w:rsidP="00FC638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1)</w:t>
      </w:r>
      <w:r w:rsidR="005D5A7A" w:rsidRPr="00543D5B">
        <w:rPr>
          <w:rFonts w:asciiTheme="majorHAnsi" w:hAnsiTheme="majorHAnsi" w:cstheme="majorHAnsi"/>
        </w:rPr>
        <w:tab/>
      </w:r>
      <w:proofErr w:type="spellStart"/>
      <w:r w:rsidR="00FC6389" w:rsidRPr="00543D5B">
        <w:rPr>
          <w:rFonts w:asciiTheme="majorHAnsi" w:hAnsiTheme="majorHAnsi" w:cstheme="majorHAnsi"/>
        </w:rPr>
        <w:t>uspójnienie</w:t>
      </w:r>
      <w:proofErr w:type="spellEnd"/>
      <w:r w:rsidR="00FC6389" w:rsidRPr="00543D5B">
        <w:rPr>
          <w:rFonts w:asciiTheme="majorHAnsi" w:hAnsiTheme="majorHAnsi" w:cstheme="majorHAnsi"/>
        </w:rPr>
        <w:t xml:space="preserve"> przepisów odnośnie </w:t>
      </w:r>
      <w:r w:rsidR="00562F05" w:rsidRPr="00543D5B">
        <w:rPr>
          <w:rFonts w:asciiTheme="majorHAnsi" w:hAnsiTheme="majorHAnsi" w:cstheme="majorHAnsi"/>
        </w:rPr>
        <w:t xml:space="preserve">do </w:t>
      </w:r>
      <w:r w:rsidR="00FC6389" w:rsidRPr="00543D5B">
        <w:rPr>
          <w:rFonts w:asciiTheme="majorHAnsi" w:hAnsiTheme="majorHAnsi" w:cstheme="majorHAnsi"/>
        </w:rPr>
        <w:t>nadmiernych kosztów z przepisami obowiązującymi w innych krajach U</w:t>
      </w:r>
      <w:r w:rsidR="00C550CE" w:rsidRPr="00543D5B">
        <w:rPr>
          <w:rFonts w:asciiTheme="majorHAnsi" w:hAnsiTheme="majorHAnsi" w:cstheme="majorHAnsi"/>
        </w:rPr>
        <w:t>nii Europejskiej</w:t>
      </w:r>
      <w:r w:rsidR="00562F05" w:rsidRPr="00543D5B">
        <w:rPr>
          <w:rFonts w:asciiTheme="majorHAnsi" w:hAnsiTheme="majorHAnsi" w:cstheme="majorHAnsi"/>
        </w:rPr>
        <w:t>;</w:t>
      </w:r>
    </w:p>
    <w:p w14:paraId="474068A2" w14:textId="77777777" w:rsidR="00FC6389" w:rsidRPr="00543D5B" w:rsidRDefault="0085232A" w:rsidP="00FC638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2)</w:t>
      </w:r>
      <w:r w:rsidR="00FC6389" w:rsidRPr="00543D5B">
        <w:rPr>
          <w:rFonts w:asciiTheme="majorHAnsi" w:hAnsiTheme="majorHAnsi" w:cstheme="majorHAnsi"/>
        </w:rPr>
        <w:tab/>
        <w:t>umożliwienie korzystania z mechanizmu nadmiernych kosztów</w:t>
      </w:r>
      <w:r w:rsidR="00562F05" w:rsidRPr="00543D5B">
        <w:rPr>
          <w:rFonts w:asciiTheme="majorHAnsi" w:hAnsiTheme="majorHAnsi" w:cstheme="majorHAnsi"/>
        </w:rPr>
        <w:t>;</w:t>
      </w:r>
      <w:r w:rsidR="00FC6389" w:rsidRPr="00543D5B">
        <w:rPr>
          <w:rFonts w:asciiTheme="majorHAnsi" w:hAnsiTheme="majorHAnsi" w:cstheme="majorHAnsi"/>
        </w:rPr>
        <w:t xml:space="preserve"> </w:t>
      </w:r>
    </w:p>
    <w:p w14:paraId="0CFAF7FB" w14:textId="2B351381" w:rsidR="00FC6389" w:rsidRPr="00543D5B" w:rsidRDefault="0085232A" w:rsidP="00FC638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3)</w:t>
      </w:r>
      <w:r w:rsidR="00FC6389" w:rsidRPr="00543D5B">
        <w:rPr>
          <w:rFonts w:asciiTheme="majorHAnsi" w:hAnsiTheme="majorHAnsi" w:cstheme="majorHAnsi"/>
        </w:rPr>
        <w:tab/>
      </w:r>
      <w:r w:rsidR="00560EA1" w:rsidRPr="00543D5B">
        <w:rPr>
          <w:rFonts w:asciiTheme="majorHAnsi" w:hAnsiTheme="majorHAnsi" w:cstheme="majorHAnsi"/>
        </w:rPr>
        <w:t xml:space="preserve">utrudnienie przez </w:t>
      </w:r>
      <w:r w:rsidR="00FC6389" w:rsidRPr="00543D5B">
        <w:rPr>
          <w:rFonts w:asciiTheme="majorHAnsi" w:hAnsiTheme="majorHAnsi" w:cstheme="majorHAnsi"/>
        </w:rPr>
        <w:t xml:space="preserve">ograniczony mechanizm nadmiernych kosztów </w:t>
      </w:r>
      <w:r w:rsidR="00560EA1" w:rsidRPr="00543D5B">
        <w:rPr>
          <w:rFonts w:asciiTheme="majorHAnsi" w:hAnsiTheme="majorHAnsi" w:cstheme="majorHAnsi"/>
        </w:rPr>
        <w:t xml:space="preserve">monitorowania </w:t>
      </w:r>
      <w:r w:rsidR="00FC6389" w:rsidRPr="00543D5B">
        <w:rPr>
          <w:rFonts w:asciiTheme="majorHAnsi" w:hAnsiTheme="majorHAnsi" w:cstheme="majorHAnsi"/>
        </w:rPr>
        <w:t xml:space="preserve">wszystkich rodzajów elementów stron </w:t>
      </w:r>
      <w:r w:rsidR="00562F05" w:rsidRPr="00543D5B">
        <w:rPr>
          <w:rFonts w:asciiTheme="majorHAnsi" w:hAnsiTheme="majorHAnsi" w:cstheme="majorHAnsi"/>
        </w:rPr>
        <w:t xml:space="preserve">internetowych </w:t>
      </w:r>
      <w:r w:rsidR="00FC6389" w:rsidRPr="00543D5B">
        <w:rPr>
          <w:rFonts w:asciiTheme="majorHAnsi" w:hAnsiTheme="majorHAnsi" w:cstheme="majorHAnsi"/>
        </w:rPr>
        <w:t xml:space="preserve">lub </w:t>
      </w:r>
      <w:r w:rsidR="006C2F35" w:rsidRPr="00543D5B">
        <w:rPr>
          <w:rFonts w:asciiTheme="majorHAnsi" w:hAnsiTheme="majorHAnsi" w:cstheme="majorHAnsi"/>
        </w:rPr>
        <w:t xml:space="preserve">elementów </w:t>
      </w:r>
      <w:r w:rsidR="00FC6389" w:rsidRPr="00543D5B">
        <w:rPr>
          <w:rFonts w:asciiTheme="majorHAnsi" w:hAnsiTheme="majorHAnsi" w:cstheme="majorHAnsi"/>
        </w:rPr>
        <w:t>aplikacji</w:t>
      </w:r>
      <w:r w:rsidRPr="00543D5B">
        <w:rPr>
          <w:rFonts w:asciiTheme="majorHAnsi" w:hAnsiTheme="majorHAnsi" w:cstheme="majorHAnsi"/>
        </w:rPr>
        <w:t xml:space="preserve"> mobilnych</w:t>
      </w:r>
      <w:r w:rsidR="00FC6389" w:rsidRPr="00543D5B">
        <w:rPr>
          <w:rFonts w:asciiTheme="majorHAnsi" w:hAnsiTheme="majorHAnsi" w:cstheme="majorHAnsi"/>
        </w:rPr>
        <w:t xml:space="preserve">, których dostosowanie </w:t>
      </w:r>
      <w:r w:rsidR="00562F05" w:rsidRPr="00543D5B">
        <w:rPr>
          <w:rFonts w:asciiTheme="majorHAnsi" w:hAnsiTheme="majorHAnsi" w:cstheme="majorHAnsi"/>
        </w:rPr>
        <w:t xml:space="preserve">do wymogów dostępności cyfrowej </w:t>
      </w:r>
      <w:r w:rsidR="00FC6389" w:rsidRPr="00543D5B">
        <w:rPr>
          <w:rFonts w:asciiTheme="majorHAnsi" w:hAnsiTheme="majorHAnsi" w:cstheme="majorHAnsi"/>
        </w:rPr>
        <w:t>wiąże się najczęściej z nadmiernymi kosztami.</w:t>
      </w:r>
    </w:p>
    <w:p w14:paraId="13080598" w14:textId="4FE3E28B" w:rsidR="00FC6389" w:rsidRPr="00543D5B" w:rsidRDefault="00FC6389" w:rsidP="00FC638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Rezygnacja z przepisu nie ma wpływu na kwestię zapewnienia dostępności cyfrowej deklaracji dostępności, któr</w:t>
      </w:r>
      <w:r w:rsidR="00C550CE" w:rsidRPr="00543D5B">
        <w:rPr>
          <w:rFonts w:asciiTheme="majorHAnsi" w:hAnsiTheme="majorHAnsi" w:cstheme="majorHAnsi"/>
        </w:rPr>
        <w:t>e</w:t>
      </w:r>
      <w:r w:rsidRPr="00543D5B">
        <w:rPr>
          <w:rFonts w:asciiTheme="majorHAnsi" w:hAnsiTheme="majorHAnsi" w:cstheme="majorHAnsi"/>
        </w:rPr>
        <w:t xml:space="preserve"> jest wymagan</w:t>
      </w:r>
      <w:r w:rsidR="00C550CE" w:rsidRPr="00543D5B">
        <w:rPr>
          <w:rFonts w:asciiTheme="majorHAnsi" w:hAnsiTheme="majorHAnsi" w:cstheme="majorHAnsi"/>
        </w:rPr>
        <w:t>e</w:t>
      </w:r>
      <w:r w:rsidRPr="00543D5B">
        <w:rPr>
          <w:rFonts w:asciiTheme="majorHAnsi" w:hAnsiTheme="majorHAnsi" w:cstheme="majorHAnsi"/>
        </w:rPr>
        <w:t xml:space="preserve"> w art. 10 ust. 1 ustawy. Jednocześnie nie sposób wskazać sytuacji, w której stworzenie lub publikacja tej deklaracji miałaby się wiązać z</w:t>
      </w:r>
      <w:r w:rsidR="00CA599D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 xml:space="preserve">nadmiernymi kosztami. </w:t>
      </w:r>
    </w:p>
    <w:p w14:paraId="35CB4E8B" w14:textId="3C74A5BF" w:rsidR="00C63D79" w:rsidRPr="00543D5B" w:rsidRDefault="00FC6389" w:rsidP="00FC638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lastRenderedPageBreak/>
        <w:t>Dodatkowo</w:t>
      </w:r>
      <w:r w:rsidR="006B27E2" w:rsidRPr="00543D5B">
        <w:rPr>
          <w:rFonts w:asciiTheme="majorHAnsi" w:hAnsiTheme="majorHAnsi" w:cstheme="majorHAnsi"/>
        </w:rPr>
        <w:t xml:space="preserve"> </w:t>
      </w:r>
      <w:r w:rsidR="00E321C2" w:rsidRPr="00543D5B">
        <w:rPr>
          <w:rFonts w:asciiTheme="majorHAnsi" w:hAnsiTheme="majorHAnsi" w:cstheme="majorHAnsi"/>
        </w:rPr>
        <w:t>przepis</w:t>
      </w:r>
      <w:r w:rsidR="00C63D79" w:rsidRPr="00543D5B">
        <w:rPr>
          <w:rFonts w:asciiTheme="majorHAnsi" w:hAnsiTheme="majorHAnsi" w:cstheme="majorHAnsi"/>
        </w:rPr>
        <w:t xml:space="preserve"> </w:t>
      </w:r>
      <w:r w:rsidR="00E321C2" w:rsidRPr="00543D5B">
        <w:rPr>
          <w:rFonts w:asciiTheme="majorHAnsi" w:hAnsiTheme="majorHAnsi" w:cstheme="majorHAnsi"/>
        </w:rPr>
        <w:t xml:space="preserve">był błędnie interpretowany jako lista jedynych elementów podlegających obowiązkowi zapewnienia dostępności cyfrowej. </w:t>
      </w:r>
    </w:p>
    <w:p w14:paraId="5390F86C" w14:textId="66DFEE5E" w:rsidR="00891C6E" w:rsidRPr="00543D5B" w:rsidRDefault="00030ACC" w:rsidP="00030ACC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Art. 8 ust. 3</w:t>
      </w:r>
      <w:r w:rsidR="00891C6E" w:rsidRPr="00543D5B">
        <w:rPr>
          <w:rFonts w:asciiTheme="majorHAnsi" w:hAnsiTheme="majorHAnsi" w:cstheme="majorHAnsi"/>
        </w:rPr>
        <w:t xml:space="preserve"> </w:t>
      </w:r>
      <w:r w:rsidR="00562F05" w:rsidRPr="00543D5B">
        <w:rPr>
          <w:rFonts w:asciiTheme="majorHAnsi" w:hAnsiTheme="majorHAnsi" w:cstheme="majorHAnsi"/>
        </w:rPr>
        <w:t>(</w:t>
      </w:r>
      <w:r w:rsidR="002B0CA7" w:rsidRPr="00543D5B">
        <w:rPr>
          <w:rFonts w:asciiTheme="majorHAnsi" w:hAnsiTheme="majorHAnsi" w:cstheme="majorHAnsi"/>
        </w:rPr>
        <w:t>wprowadzenie do wyliczenia</w:t>
      </w:r>
      <w:r w:rsidR="00562F05" w:rsidRPr="00543D5B">
        <w:rPr>
          <w:rFonts w:asciiTheme="majorHAnsi" w:hAnsiTheme="majorHAnsi" w:cstheme="majorHAnsi"/>
        </w:rPr>
        <w:t>)</w:t>
      </w:r>
      <w:r w:rsidR="002B0CA7" w:rsidRPr="00543D5B">
        <w:rPr>
          <w:rFonts w:asciiTheme="majorHAnsi" w:hAnsiTheme="majorHAnsi" w:cstheme="majorHAnsi"/>
        </w:rPr>
        <w:t xml:space="preserve"> </w:t>
      </w:r>
      <w:r w:rsidR="00891C6E" w:rsidRPr="00543D5B">
        <w:rPr>
          <w:rFonts w:asciiTheme="majorHAnsi" w:hAnsiTheme="majorHAnsi" w:cstheme="majorHAnsi"/>
        </w:rPr>
        <w:t xml:space="preserve">– w związku z </w:t>
      </w:r>
      <w:r w:rsidR="00802466" w:rsidRPr="00543D5B">
        <w:rPr>
          <w:rFonts w:asciiTheme="majorHAnsi" w:hAnsiTheme="majorHAnsi" w:cstheme="majorHAnsi"/>
        </w:rPr>
        <w:t xml:space="preserve">podkreśleniem w </w:t>
      </w:r>
      <w:r w:rsidR="006C2F35" w:rsidRPr="00543D5B">
        <w:rPr>
          <w:rFonts w:asciiTheme="majorHAnsi" w:hAnsiTheme="majorHAnsi" w:cstheme="majorHAnsi"/>
        </w:rPr>
        <w:t xml:space="preserve">art. 8 </w:t>
      </w:r>
      <w:r w:rsidR="00802466" w:rsidRPr="00543D5B">
        <w:rPr>
          <w:rFonts w:asciiTheme="majorHAnsi" w:hAnsiTheme="majorHAnsi" w:cstheme="majorHAnsi"/>
        </w:rPr>
        <w:t>ust.</w:t>
      </w:r>
      <w:r w:rsidR="00891C6E" w:rsidRPr="00543D5B">
        <w:rPr>
          <w:rFonts w:asciiTheme="majorHAnsi" w:hAnsiTheme="majorHAnsi" w:cstheme="majorHAnsi"/>
        </w:rPr>
        <w:t xml:space="preserve"> 1, że nadmierne koszty mogą dotyczyć jedynie elementów a nie całości stron internetowych lub aplikacji mobilnych, konieczn</w:t>
      </w:r>
      <w:r w:rsidR="00562F05" w:rsidRPr="00543D5B">
        <w:rPr>
          <w:rFonts w:asciiTheme="majorHAnsi" w:hAnsiTheme="majorHAnsi" w:cstheme="majorHAnsi"/>
        </w:rPr>
        <w:t>e</w:t>
      </w:r>
      <w:r w:rsidR="00891C6E" w:rsidRPr="00543D5B">
        <w:rPr>
          <w:rFonts w:asciiTheme="majorHAnsi" w:hAnsiTheme="majorHAnsi" w:cstheme="majorHAnsi"/>
        </w:rPr>
        <w:t xml:space="preserve"> było spójne określenie wymagań dotyczących zakresu przeprowadzenia oceny zapewnienia dostępności cyfrowej.</w:t>
      </w:r>
    </w:p>
    <w:p w14:paraId="7B971D79" w14:textId="32F264C6" w:rsidR="00030ACC" w:rsidRPr="00543D5B" w:rsidRDefault="00891C6E" w:rsidP="00030ACC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8 ust. 3 pkt 1 – został uchylony </w:t>
      </w:r>
      <w:r w:rsidR="007874A2" w:rsidRPr="00543D5B">
        <w:rPr>
          <w:rFonts w:asciiTheme="majorHAnsi" w:hAnsiTheme="majorHAnsi" w:cstheme="majorHAnsi"/>
        </w:rPr>
        <w:t xml:space="preserve">i zastąpiony nowym </w:t>
      </w:r>
      <w:r w:rsidR="00FB29F5" w:rsidRPr="00543D5B">
        <w:rPr>
          <w:rFonts w:asciiTheme="majorHAnsi" w:hAnsiTheme="majorHAnsi" w:cstheme="majorHAnsi"/>
        </w:rPr>
        <w:t xml:space="preserve">pkt </w:t>
      </w:r>
      <w:r w:rsidR="007874A2" w:rsidRPr="00543D5B">
        <w:rPr>
          <w:rFonts w:asciiTheme="majorHAnsi" w:hAnsiTheme="majorHAnsi" w:cstheme="majorHAnsi"/>
        </w:rPr>
        <w:t>2a</w:t>
      </w:r>
      <w:r w:rsidR="00CA599D" w:rsidRPr="00543D5B">
        <w:rPr>
          <w:rFonts w:asciiTheme="majorHAnsi" w:hAnsiTheme="majorHAnsi" w:cstheme="majorHAnsi"/>
        </w:rPr>
        <w:t>,</w:t>
      </w:r>
      <w:r w:rsidR="007874A2" w:rsidRPr="00543D5B">
        <w:rPr>
          <w:rFonts w:asciiTheme="majorHAnsi" w:hAnsiTheme="majorHAnsi" w:cstheme="majorHAnsi"/>
        </w:rPr>
        <w:t xml:space="preserve"> co upraszcza rozumienie przepisu bez naruszenia spójności z przepis</w:t>
      </w:r>
      <w:r w:rsidR="00FB29F5" w:rsidRPr="00543D5B">
        <w:rPr>
          <w:rFonts w:asciiTheme="majorHAnsi" w:hAnsiTheme="majorHAnsi" w:cstheme="majorHAnsi"/>
        </w:rPr>
        <w:t>ami</w:t>
      </w:r>
      <w:r w:rsidR="007874A2" w:rsidRPr="00543D5B">
        <w:rPr>
          <w:rFonts w:asciiTheme="majorHAnsi" w:hAnsiTheme="majorHAnsi" w:cstheme="majorHAnsi"/>
        </w:rPr>
        <w:t xml:space="preserve"> zawartym</w:t>
      </w:r>
      <w:r w:rsidR="00FB29F5" w:rsidRPr="00543D5B">
        <w:rPr>
          <w:rFonts w:asciiTheme="majorHAnsi" w:hAnsiTheme="majorHAnsi" w:cstheme="majorHAnsi"/>
        </w:rPr>
        <w:t>i</w:t>
      </w:r>
      <w:r w:rsidR="007874A2" w:rsidRPr="00543D5B">
        <w:rPr>
          <w:rFonts w:asciiTheme="majorHAnsi" w:hAnsiTheme="majorHAnsi" w:cstheme="majorHAnsi"/>
        </w:rPr>
        <w:t xml:space="preserve"> w </w:t>
      </w:r>
      <w:r w:rsidR="00293D0D" w:rsidRPr="00543D5B">
        <w:rPr>
          <w:rFonts w:asciiTheme="majorHAnsi" w:hAnsiTheme="majorHAnsi" w:cstheme="majorHAnsi"/>
        </w:rPr>
        <w:t>d</w:t>
      </w:r>
      <w:r w:rsidR="007874A2" w:rsidRPr="00543D5B">
        <w:rPr>
          <w:rFonts w:asciiTheme="majorHAnsi" w:hAnsiTheme="majorHAnsi" w:cstheme="majorHAnsi"/>
        </w:rPr>
        <w:t>yrektywie</w:t>
      </w:r>
      <w:r w:rsidR="00293D0D" w:rsidRPr="00543D5B">
        <w:rPr>
          <w:rFonts w:asciiTheme="majorHAnsi" w:hAnsiTheme="majorHAnsi" w:cstheme="majorHAnsi"/>
        </w:rPr>
        <w:t xml:space="preserve"> 2016/2102</w:t>
      </w:r>
      <w:r w:rsidR="007874A2" w:rsidRPr="00543D5B">
        <w:rPr>
          <w:rFonts w:asciiTheme="majorHAnsi" w:hAnsiTheme="majorHAnsi" w:cstheme="majorHAnsi"/>
        </w:rPr>
        <w:t>.</w:t>
      </w:r>
      <w:r w:rsidR="00F25265" w:rsidRPr="00543D5B">
        <w:rPr>
          <w:rFonts w:asciiTheme="majorHAnsi" w:hAnsiTheme="majorHAnsi" w:cstheme="majorHAnsi"/>
        </w:rPr>
        <w:t xml:space="preserve"> Podmiot publiczny powołujący się na nadmierne koszty dostosowania musi uwzględnić w</w:t>
      </w:r>
      <w:r w:rsidR="00CA599D" w:rsidRPr="00543D5B">
        <w:rPr>
          <w:rFonts w:asciiTheme="majorHAnsi" w:hAnsiTheme="majorHAnsi" w:cstheme="majorHAnsi"/>
        </w:rPr>
        <w:t> </w:t>
      </w:r>
      <w:r w:rsidR="00F25265" w:rsidRPr="00543D5B">
        <w:rPr>
          <w:rFonts w:asciiTheme="majorHAnsi" w:hAnsiTheme="majorHAnsi" w:cstheme="majorHAnsi"/>
        </w:rPr>
        <w:t>analizie szacowane korzyści dla danego podmiotu publicznego w odniesieniu do szacowanych korzyści dla osób niepełnosprawnych.</w:t>
      </w:r>
    </w:p>
    <w:p w14:paraId="6F52ADC7" w14:textId="5A2D0A87" w:rsidR="00BF73BF" w:rsidRPr="00543D5B" w:rsidRDefault="00BF73BF" w:rsidP="00030ACC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8 ust. 4 </w:t>
      </w:r>
      <w:r w:rsidR="00914E65" w:rsidRPr="00543D5B">
        <w:rPr>
          <w:rFonts w:asciiTheme="majorHAnsi" w:hAnsiTheme="majorHAnsi" w:cstheme="majorHAnsi"/>
        </w:rPr>
        <w:t>–</w:t>
      </w:r>
      <w:r w:rsidRPr="00543D5B">
        <w:rPr>
          <w:rFonts w:asciiTheme="majorHAnsi" w:hAnsiTheme="majorHAnsi" w:cstheme="majorHAnsi"/>
        </w:rPr>
        <w:t xml:space="preserve"> </w:t>
      </w:r>
      <w:r w:rsidR="00914E65" w:rsidRPr="00543D5B">
        <w:rPr>
          <w:rFonts w:asciiTheme="majorHAnsi" w:hAnsiTheme="majorHAnsi" w:cstheme="majorHAnsi"/>
        </w:rPr>
        <w:t>w związku z uchyleniem art. 8 ust. 2</w:t>
      </w:r>
      <w:r w:rsidR="00033BC7" w:rsidRPr="00543D5B">
        <w:rPr>
          <w:rFonts w:asciiTheme="majorHAnsi" w:hAnsiTheme="majorHAnsi" w:cstheme="majorHAnsi"/>
        </w:rPr>
        <w:t xml:space="preserve"> ustawy</w:t>
      </w:r>
      <w:r w:rsidR="00914E65" w:rsidRPr="00543D5B">
        <w:rPr>
          <w:rFonts w:asciiTheme="majorHAnsi" w:hAnsiTheme="majorHAnsi" w:cstheme="majorHAnsi"/>
        </w:rPr>
        <w:t xml:space="preserve">, w którym wprowadzony był skrót </w:t>
      </w:r>
      <w:r w:rsidR="00033BC7" w:rsidRPr="00543D5B">
        <w:rPr>
          <w:rFonts w:asciiTheme="majorHAnsi" w:hAnsiTheme="majorHAnsi" w:cstheme="majorHAnsi"/>
        </w:rPr>
        <w:t>„</w:t>
      </w:r>
      <w:r w:rsidR="00914E65" w:rsidRPr="00543D5B">
        <w:rPr>
          <w:rFonts w:asciiTheme="majorHAnsi" w:hAnsiTheme="majorHAnsi" w:cstheme="majorHAnsi"/>
        </w:rPr>
        <w:t>deklaracj</w:t>
      </w:r>
      <w:r w:rsidR="00033BC7" w:rsidRPr="00543D5B">
        <w:rPr>
          <w:rFonts w:asciiTheme="majorHAnsi" w:hAnsiTheme="majorHAnsi" w:cstheme="majorHAnsi"/>
        </w:rPr>
        <w:t>a</w:t>
      </w:r>
      <w:r w:rsidR="00914E65" w:rsidRPr="00543D5B">
        <w:rPr>
          <w:rFonts w:asciiTheme="majorHAnsi" w:hAnsiTheme="majorHAnsi" w:cstheme="majorHAnsi"/>
        </w:rPr>
        <w:t xml:space="preserve"> dostępności</w:t>
      </w:r>
      <w:r w:rsidR="00033BC7" w:rsidRPr="00543D5B">
        <w:rPr>
          <w:rFonts w:asciiTheme="majorHAnsi" w:hAnsiTheme="majorHAnsi" w:cstheme="majorHAnsi"/>
        </w:rPr>
        <w:t>”</w:t>
      </w:r>
      <w:r w:rsidR="00914E65" w:rsidRPr="00543D5B">
        <w:rPr>
          <w:rFonts w:asciiTheme="majorHAnsi" w:hAnsiTheme="majorHAnsi" w:cstheme="majorHAnsi"/>
        </w:rPr>
        <w:t xml:space="preserve">, niezbędne było wprowadzenie tego skrótu </w:t>
      </w:r>
      <w:r w:rsidR="00E018A3" w:rsidRPr="00543D5B">
        <w:rPr>
          <w:rFonts w:asciiTheme="majorHAnsi" w:hAnsiTheme="majorHAnsi" w:cstheme="majorHAnsi"/>
        </w:rPr>
        <w:t>w</w:t>
      </w:r>
      <w:r w:rsidR="00914E65" w:rsidRPr="00543D5B">
        <w:rPr>
          <w:rFonts w:asciiTheme="majorHAnsi" w:hAnsiTheme="majorHAnsi" w:cstheme="majorHAnsi"/>
        </w:rPr>
        <w:t xml:space="preserve"> art. 8 ust. 4. W</w:t>
      </w:r>
      <w:r w:rsidR="00A71682" w:rsidRPr="00543D5B">
        <w:rPr>
          <w:rFonts w:asciiTheme="majorHAnsi" w:hAnsiTheme="majorHAnsi" w:cstheme="majorHAnsi"/>
        </w:rPr>
        <w:t> </w:t>
      </w:r>
      <w:r w:rsidR="00914E65" w:rsidRPr="00543D5B">
        <w:rPr>
          <w:rFonts w:asciiTheme="majorHAnsi" w:hAnsiTheme="majorHAnsi" w:cstheme="majorHAnsi"/>
        </w:rPr>
        <w:t xml:space="preserve">tym miejscu pojęcie </w:t>
      </w:r>
      <w:r w:rsidR="00033BC7" w:rsidRPr="00543D5B">
        <w:rPr>
          <w:rFonts w:asciiTheme="majorHAnsi" w:hAnsiTheme="majorHAnsi" w:cstheme="majorHAnsi"/>
        </w:rPr>
        <w:t>„</w:t>
      </w:r>
      <w:r w:rsidR="00914E65" w:rsidRPr="00543D5B">
        <w:rPr>
          <w:rFonts w:asciiTheme="majorHAnsi" w:hAnsiTheme="majorHAnsi" w:cstheme="majorHAnsi"/>
        </w:rPr>
        <w:t>deklaracji dostępności</w:t>
      </w:r>
      <w:r w:rsidR="00033BC7" w:rsidRPr="00543D5B">
        <w:rPr>
          <w:rFonts w:asciiTheme="majorHAnsi" w:hAnsiTheme="majorHAnsi" w:cstheme="majorHAnsi"/>
        </w:rPr>
        <w:t>”</w:t>
      </w:r>
      <w:r w:rsidR="00914E65" w:rsidRPr="00543D5B">
        <w:rPr>
          <w:rFonts w:asciiTheme="majorHAnsi" w:hAnsiTheme="majorHAnsi" w:cstheme="majorHAnsi"/>
        </w:rPr>
        <w:t xml:space="preserve"> pojawia się po raz pierwszy. </w:t>
      </w:r>
      <w:r w:rsidR="004D12F5" w:rsidRPr="00543D5B">
        <w:rPr>
          <w:rFonts w:asciiTheme="majorHAnsi" w:hAnsiTheme="majorHAnsi" w:cstheme="majorHAnsi"/>
        </w:rPr>
        <w:t>Ponadto</w:t>
      </w:r>
      <w:r w:rsidR="00914E65" w:rsidRPr="00543D5B">
        <w:rPr>
          <w:rFonts w:asciiTheme="majorHAnsi" w:hAnsiTheme="majorHAnsi" w:cstheme="majorHAnsi"/>
        </w:rPr>
        <w:t xml:space="preserve"> zmian</w:t>
      </w:r>
      <w:r w:rsidR="004D12F5" w:rsidRPr="00543D5B">
        <w:rPr>
          <w:rFonts w:asciiTheme="majorHAnsi" w:hAnsiTheme="majorHAnsi" w:cstheme="majorHAnsi"/>
        </w:rPr>
        <w:t>a</w:t>
      </w:r>
      <w:r w:rsidR="00914E65" w:rsidRPr="00543D5B">
        <w:rPr>
          <w:rFonts w:asciiTheme="majorHAnsi" w:hAnsiTheme="majorHAnsi" w:cstheme="majorHAnsi"/>
        </w:rPr>
        <w:t xml:space="preserve"> </w:t>
      </w:r>
      <w:r w:rsidR="004D12F5" w:rsidRPr="00543D5B">
        <w:rPr>
          <w:rFonts w:asciiTheme="majorHAnsi" w:hAnsiTheme="majorHAnsi" w:cstheme="majorHAnsi"/>
        </w:rPr>
        <w:t>omawianego przepisu wynik</w:t>
      </w:r>
      <w:r w:rsidR="00033BC7" w:rsidRPr="00543D5B">
        <w:rPr>
          <w:rFonts w:asciiTheme="majorHAnsi" w:hAnsiTheme="majorHAnsi" w:cstheme="majorHAnsi"/>
        </w:rPr>
        <w:t>a</w:t>
      </w:r>
      <w:r w:rsidR="004D12F5" w:rsidRPr="00543D5B">
        <w:rPr>
          <w:rFonts w:asciiTheme="majorHAnsi" w:hAnsiTheme="majorHAnsi" w:cstheme="majorHAnsi"/>
        </w:rPr>
        <w:t xml:space="preserve"> z konieczności </w:t>
      </w:r>
      <w:proofErr w:type="spellStart"/>
      <w:r w:rsidR="00E018A3" w:rsidRPr="00543D5B">
        <w:rPr>
          <w:rFonts w:asciiTheme="majorHAnsi" w:hAnsiTheme="majorHAnsi" w:cstheme="majorHAnsi"/>
        </w:rPr>
        <w:t>uspójnienia</w:t>
      </w:r>
      <w:proofErr w:type="spellEnd"/>
      <w:r w:rsidR="004D12F5" w:rsidRPr="00543D5B">
        <w:rPr>
          <w:rFonts w:asciiTheme="majorHAnsi" w:hAnsiTheme="majorHAnsi" w:cstheme="majorHAnsi"/>
        </w:rPr>
        <w:t xml:space="preserve"> jego brzmienia z nowym brzmieniem </w:t>
      </w:r>
      <w:r w:rsidR="00914E65" w:rsidRPr="00543D5B">
        <w:rPr>
          <w:rFonts w:asciiTheme="majorHAnsi" w:hAnsiTheme="majorHAnsi" w:cstheme="majorHAnsi"/>
        </w:rPr>
        <w:t>art. 8 ust. 3</w:t>
      </w:r>
      <w:r w:rsidR="00033BC7" w:rsidRPr="00543D5B">
        <w:rPr>
          <w:rFonts w:asciiTheme="majorHAnsi" w:hAnsiTheme="majorHAnsi" w:cstheme="majorHAnsi"/>
        </w:rPr>
        <w:t xml:space="preserve"> ustawy</w:t>
      </w:r>
      <w:r w:rsidR="004D12F5" w:rsidRPr="00543D5B">
        <w:rPr>
          <w:rFonts w:asciiTheme="majorHAnsi" w:hAnsiTheme="majorHAnsi" w:cstheme="majorHAnsi"/>
        </w:rPr>
        <w:t>.</w:t>
      </w:r>
      <w:r w:rsidR="00914E65" w:rsidRPr="00543D5B">
        <w:rPr>
          <w:rFonts w:asciiTheme="majorHAnsi" w:hAnsiTheme="majorHAnsi" w:cstheme="majorHAnsi"/>
        </w:rPr>
        <w:t xml:space="preserve"> </w:t>
      </w:r>
    </w:p>
    <w:p w14:paraId="51E1B130" w14:textId="77777777" w:rsidR="00575808" w:rsidRPr="00543D5B" w:rsidRDefault="00575808" w:rsidP="00C63D7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Art. 9 –</w:t>
      </w:r>
      <w:r w:rsidR="00C22038" w:rsidRPr="00543D5B">
        <w:rPr>
          <w:rFonts w:asciiTheme="majorHAnsi" w:hAnsiTheme="majorHAnsi" w:cstheme="majorHAnsi"/>
        </w:rPr>
        <w:t xml:space="preserve"> </w:t>
      </w:r>
      <w:r w:rsidR="00F4588A" w:rsidRPr="00543D5B">
        <w:rPr>
          <w:rFonts w:asciiTheme="majorHAnsi" w:hAnsiTheme="majorHAnsi" w:cstheme="majorHAnsi"/>
        </w:rPr>
        <w:t>uchylenie tego przepisu jest konsekwencją</w:t>
      </w:r>
      <w:r w:rsidRPr="00543D5B">
        <w:rPr>
          <w:rFonts w:asciiTheme="majorHAnsi" w:hAnsiTheme="majorHAnsi" w:cstheme="majorHAnsi"/>
        </w:rPr>
        <w:t xml:space="preserve"> uchyleni</w:t>
      </w:r>
      <w:r w:rsidR="00F4588A" w:rsidRPr="00543D5B">
        <w:rPr>
          <w:rFonts w:asciiTheme="majorHAnsi" w:hAnsiTheme="majorHAnsi" w:cstheme="majorHAnsi"/>
        </w:rPr>
        <w:t>a</w:t>
      </w:r>
      <w:r w:rsidRPr="00543D5B">
        <w:rPr>
          <w:rFonts w:asciiTheme="majorHAnsi" w:hAnsiTheme="majorHAnsi" w:cstheme="majorHAnsi"/>
        </w:rPr>
        <w:t xml:space="preserve"> art. 8 ust. 2</w:t>
      </w:r>
      <w:r w:rsidR="00033BC7" w:rsidRPr="00543D5B">
        <w:rPr>
          <w:rFonts w:asciiTheme="majorHAnsi" w:hAnsiTheme="majorHAnsi" w:cstheme="majorHAnsi"/>
        </w:rPr>
        <w:t xml:space="preserve"> ustawy</w:t>
      </w:r>
      <w:r w:rsidR="00F4588A" w:rsidRPr="00543D5B">
        <w:rPr>
          <w:rFonts w:asciiTheme="majorHAnsi" w:hAnsiTheme="majorHAnsi" w:cstheme="majorHAnsi"/>
        </w:rPr>
        <w:t>.</w:t>
      </w:r>
      <w:r w:rsidRPr="00543D5B">
        <w:rPr>
          <w:rFonts w:asciiTheme="majorHAnsi" w:hAnsiTheme="majorHAnsi" w:cstheme="majorHAnsi"/>
        </w:rPr>
        <w:t xml:space="preserve"> </w:t>
      </w:r>
    </w:p>
    <w:p w14:paraId="5A576F0E" w14:textId="77777777" w:rsidR="00117094" w:rsidRPr="00543D5B" w:rsidRDefault="00C63D79" w:rsidP="00117094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10 ust. 1 </w:t>
      </w:r>
      <w:r w:rsidR="00DE282E" w:rsidRPr="00543D5B">
        <w:rPr>
          <w:rFonts w:asciiTheme="majorHAnsi" w:hAnsiTheme="majorHAnsi" w:cstheme="majorHAnsi"/>
        </w:rPr>
        <w:t>–</w:t>
      </w:r>
      <w:r w:rsidRPr="00543D5B">
        <w:rPr>
          <w:rFonts w:asciiTheme="majorHAnsi" w:hAnsiTheme="majorHAnsi" w:cstheme="majorHAnsi"/>
        </w:rPr>
        <w:t xml:space="preserve"> </w:t>
      </w:r>
      <w:r w:rsidR="00456184" w:rsidRPr="00543D5B">
        <w:rPr>
          <w:rFonts w:asciiTheme="majorHAnsi" w:hAnsiTheme="majorHAnsi" w:cstheme="majorHAnsi"/>
        </w:rPr>
        <w:t>o</w:t>
      </w:r>
      <w:r w:rsidRPr="00543D5B">
        <w:rPr>
          <w:rFonts w:asciiTheme="majorHAnsi" w:hAnsiTheme="majorHAnsi" w:cstheme="majorHAnsi"/>
        </w:rPr>
        <w:t xml:space="preserve">d początku obowiązywania ustawy wraca pytanie o język, w którym ma być opublikowana deklaracja dostępności. Niezbędne jest więc wskazanie, że deklaracja dostępności powinna być </w:t>
      </w:r>
      <w:r w:rsidR="00117094" w:rsidRPr="00543D5B">
        <w:rPr>
          <w:rFonts w:asciiTheme="majorHAnsi" w:hAnsiTheme="majorHAnsi" w:cstheme="majorHAnsi"/>
        </w:rPr>
        <w:t xml:space="preserve">sporządzona </w:t>
      </w:r>
      <w:r w:rsidRPr="00543D5B">
        <w:rPr>
          <w:rFonts w:asciiTheme="majorHAnsi" w:hAnsiTheme="majorHAnsi" w:cstheme="majorHAnsi"/>
        </w:rPr>
        <w:t>w tym samym języku co strona</w:t>
      </w:r>
      <w:r w:rsidR="00117094" w:rsidRPr="00543D5B">
        <w:rPr>
          <w:rFonts w:asciiTheme="majorHAnsi" w:hAnsiTheme="majorHAnsi" w:cstheme="majorHAnsi"/>
        </w:rPr>
        <w:t xml:space="preserve"> internetowa</w:t>
      </w:r>
      <w:r w:rsidR="008462B6" w:rsidRPr="00543D5B">
        <w:rPr>
          <w:rFonts w:asciiTheme="majorHAnsi" w:hAnsiTheme="majorHAnsi" w:cstheme="majorHAnsi"/>
        </w:rPr>
        <w:t xml:space="preserve"> lub aplikacja</w:t>
      </w:r>
      <w:r w:rsidR="00117094" w:rsidRPr="00543D5B">
        <w:rPr>
          <w:rFonts w:asciiTheme="majorHAnsi" w:hAnsiTheme="majorHAnsi" w:cstheme="majorHAnsi"/>
        </w:rPr>
        <w:t xml:space="preserve"> mobilna</w:t>
      </w:r>
      <w:r w:rsidRPr="00543D5B">
        <w:rPr>
          <w:rFonts w:asciiTheme="majorHAnsi" w:hAnsiTheme="majorHAnsi" w:cstheme="majorHAnsi"/>
        </w:rPr>
        <w:t>, do której się odnosi, gdyż jest to dokument skierowany przede wszystkim do użytkowników danej strony internetowej</w:t>
      </w:r>
      <w:r w:rsidR="008462B6" w:rsidRPr="00543D5B">
        <w:rPr>
          <w:rFonts w:asciiTheme="majorHAnsi" w:hAnsiTheme="majorHAnsi" w:cstheme="majorHAnsi"/>
        </w:rPr>
        <w:t xml:space="preserve"> lub aplikacji mobilnej</w:t>
      </w:r>
      <w:r w:rsidRPr="00543D5B">
        <w:rPr>
          <w:rFonts w:asciiTheme="majorHAnsi" w:hAnsiTheme="majorHAnsi" w:cstheme="majorHAnsi"/>
        </w:rPr>
        <w:t>.</w:t>
      </w:r>
    </w:p>
    <w:p w14:paraId="674C4626" w14:textId="212654CC" w:rsidR="00C63D79" w:rsidRPr="00543D5B" w:rsidRDefault="00C63D79" w:rsidP="00C63D7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10 ust. 4 pkt 4 </w:t>
      </w:r>
      <w:r w:rsidR="00DE282E" w:rsidRPr="00543D5B">
        <w:rPr>
          <w:rFonts w:asciiTheme="majorHAnsi" w:hAnsiTheme="majorHAnsi" w:cstheme="majorHAnsi"/>
        </w:rPr>
        <w:t>–</w:t>
      </w:r>
      <w:r w:rsidRPr="00543D5B">
        <w:rPr>
          <w:rFonts w:asciiTheme="majorHAnsi" w:hAnsiTheme="majorHAnsi" w:cstheme="majorHAnsi"/>
        </w:rPr>
        <w:t xml:space="preserve"> </w:t>
      </w:r>
      <w:r w:rsidR="00456184" w:rsidRPr="00543D5B">
        <w:rPr>
          <w:rFonts w:asciiTheme="majorHAnsi" w:hAnsiTheme="majorHAnsi" w:cstheme="majorHAnsi"/>
        </w:rPr>
        <w:t>d</w:t>
      </w:r>
      <w:r w:rsidRPr="00543D5B">
        <w:rPr>
          <w:rFonts w:asciiTheme="majorHAnsi" w:hAnsiTheme="majorHAnsi" w:cstheme="majorHAnsi"/>
        </w:rPr>
        <w:t xml:space="preserve">eklaracja dostępności musi zawierać dane kontaktowe. Ustawa </w:t>
      </w:r>
      <w:r w:rsidR="00456184" w:rsidRPr="00543D5B">
        <w:rPr>
          <w:rFonts w:asciiTheme="majorHAnsi" w:hAnsiTheme="majorHAnsi" w:cstheme="majorHAnsi"/>
        </w:rPr>
        <w:t>w</w:t>
      </w:r>
      <w:r w:rsidR="001B7BD5" w:rsidRPr="00543D5B">
        <w:rPr>
          <w:rFonts w:asciiTheme="majorHAnsi" w:hAnsiTheme="majorHAnsi" w:cstheme="majorHAnsi"/>
        </w:rPr>
        <w:t> </w:t>
      </w:r>
      <w:r w:rsidR="00456184" w:rsidRPr="00543D5B">
        <w:rPr>
          <w:rFonts w:asciiTheme="majorHAnsi" w:hAnsiTheme="majorHAnsi" w:cstheme="majorHAnsi"/>
        </w:rPr>
        <w:t>dotychczasowym brzmieniu zawiera</w:t>
      </w:r>
      <w:r w:rsidRPr="00543D5B">
        <w:rPr>
          <w:rFonts w:asciiTheme="majorHAnsi" w:hAnsiTheme="majorHAnsi" w:cstheme="majorHAnsi"/>
        </w:rPr>
        <w:t xml:space="preserve"> przepis wymagający </w:t>
      </w:r>
      <w:r w:rsidR="001D608F" w:rsidRPr="00543D5B">
        <w:rPr>
          <w:rFonts w:asciiTheme="majorHAnsi" w:hAnsiTheme="majorHAnsi" w:cstheme="majorHAnsi"/>
        </w:rPr>
        <w:t xml:space="preserve">wskazania </w:t>
      </w:r>
      <w:r w:rsidRPr="00543D5B">
        <w:rPr>
          <w:rFonts w:asciiTheme="majorHAnsi" w:hAnsiTheme="majorHAnsi" w:cstheme="majorHAnsi"/>
        </w:rPr>
        <w:t>konkretnej osoby odpowiedzialnej za dostępność cyfrową. T</w:t>
      </w:r>
      <w:r w:rsidR="00F82F90" w:rsidRPr="00543D5B">
        <w:rPr>
          <w:rFonts w:asciiTheme="majorHAnsi" w:hAnsiTheme="majorHAnsi" w:cstheme="majorHAnsi"/>
        </w:rPr>
        <w:t>akie</w:t>
      </w:r>
      <w:r w:rsidRPr="00543D5B">
        <w:rPr>
          <w:rFonts w:asciiTheme="majorHAnsi" w:hAnsiTheme="majorHAnsi" w:cstheme="majorHAnsi"/>
        </w:rPr>
        <w:t xml:space="preserve"> rozwiązanie okazało się nieodpowiednie dla niektórych podmiotów, w których za t</w:t>
      </w:r>
      <w:r w:rsidR="00F82F90" w:rsidRPr="00543D5B">
        <w:rPr>
          <w:rFonts w:asciiTheme="majorHAnsi" w:hAnsiTheme="majorHAnsi" w:cstheme="majorHAnsi"/>
        </w:rPr>
        <w:t>o</w:t>
      </w:r>
      <w:r w:rsidRPr="00543D5B">
        <w:rPr>
          <w:rFonts w:asciiTheme="majorHAnsi" w:hAnsiTheme="majorHAnsi" w:cstheme="majorHAnsi"/>
        </w:rPr>
        <w:t xml:space="preserve"> </w:t>
      </w:r>
      <w:r w:rsidR="00005B38" w:rsidRPr="00543D5B">
        <w:rPr>
          <w:rFonts w:asciiTheme="majorHAnsi" w:hAnsiTheme="majorHAnsi" w:cstheme="majorHAnsi"/>
        </w:rPr>
        <w:t xml:space="preserve">zagadnienie </w:t>
      </w:r>
      <w:r w:rsidRPr="00543D5B">
        <w:rPr>
          <w:rFonts w:asciiTheme="majorHAnsi" w:hAnsiTheme="majorHAnsi" w:cstheme="majorHAnsi"/>
        </w:rPr>
        <w:t>odpowiada cała komórka organizacyjna czy zespół. Stąd konieczność zmiany umożliwiającej wskazanie zarówno osoby, jak i komórki organizacyjnej.</w:t>
      </w:r>
    </w:p>
    <w:p w14:paraId="742C0661" w14:textId="77777777" w:rsidR="001D608F" w:rsidRPr="00543D5B" w:rsidRDefault="001D608F" w:rsidP="001D608F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lastRenderedPageBreak/>
        <w:t xml:space="preserve">Art. 10 ust. 4 pkt 5 – </w:t>
      </w:r>
      <w:r w:rsidR="00D560FF" w:rsidRPr="00543D5B">
        <w:rPr>
          <w:rFonts w:asciiTheme="majorHAnsi" w:hAnsiTheme="majorHAnsi" w:cstheme="majorHAnsi"/>
        </w:rPr>
        <w:t xml:space="preserve">deklaracja dostępności musi zawierać informacje na temat utworzonych na stronie internetowej lub w aplikacji mobilnej niestandardowych </w:t>
      </w:r>
      <w:r w:rsidR="00005B38" w:rsidRPr="00543D5B">
        <w:rPr>
          <w:rFonts w:asciiTheme="majorHAnsi" w:hAnsiTheme="majorHAnsi" w:cstheme="majorHAnsi"/>
        </w:rPr>
        <w:t xml:space="preserve">(o co uzupełniono przepis) </w:t>
      </w:r>
      <w:r w:rsidR="00D560FF" w:rsidRPr="00543D5B">
        <w:rPr>
          <w:rFonts w:asciiTheme="majorHAnsi" w:hAnsiTheme="majorHAnsi" w:cstheme="majorHAnsi"/>
        </w:rPr>
        <w:t>skrótów klawiszowych</w:t>
      </w:r>
      <w:r w:rsidRPr="00543D5B">
        <w:rPr>
          <w:rFonts w:asciiTheme="majorHAnsi" w:hAnsiTheme="majorHAnsi" w:cstheme="majorHAnsi"/>
        </w:rPr>
        <w:t>.</w:t>
      </w:r>
    </w:p>
    <w:p w14:paraId="57FDAAA0" w14:textId="77777777" w:rsidR="001D608F" w:rsidRPr="00543D5B" w:rsidRDefault="001D608F" w:rsidP="00AB6DFF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10 ust. 4 pkt 6 – w niektórych (szczególnie w dużych) podmiotach publicznych informacja o dostępności architektonicznej siedziby podmiotu jest opisana </w:t>
      </w:r>
      <w:r w:rsidR="00B30023" w:rsidRPr="00543D5B">
        <w:rPr>
          <w:rFonts w:asciiTheme="majorHAnsi" w:hAnsiTheme="majorHAnsi" w:cstheme="majorHAnsi"/>
        </w:rPr>
        <w:t>szczegółowo na osobnej stronie internetowej. Dublowanie tych informacji we wszystkich deklaracjach dostępności publikowanych przez dany podmiot byłoby nieracjonalne. Dlatego dodaje się możliwość umieszczenia w deklaracji dostępności linku do strony zawierającej te informacje.</w:t>
      </w:r>
    </w:p>
    <w:p w14:paraId="3987B1D7" w14:textId="77777777" w:rsidR="00C63D79" w:rsidRPr="00543D5B" w:rsidRDefault="00C63D79" w:rsidP="00C63D7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10 ust. 4 pkt 8 </w:t>
      </w:r>
      <w:r w:rsidR="00DE282E" w:rsidRPr="00543D5B">
        <w:rPr>
          <w:rFonts w:asciiTheme="majorHAnsi" w:hAnsiTheme="majorHAnsi" w:cstheme="majorHAnsi"/>
        </w:rPr>
        <w:t>–</w:t>
      </w:r>
      <w:r w:rsidRPr="00543D5B">
        <w:rPr>
          <w:rFonts w:asciiTheme="majorHAnsi" w:hAnsiTheme="majorHAnsi" w:cstheme="majorHAnsi"/>
        </w:rPr>
        <w:t xml:space="preserve"> </w:t>
      </w:r>
      <w:r w:rsidR="00D1120E" w:rsidRPr="00543D5B">
        <w:rPr>
          <w:rFonts w:asciiTheme="majorHAnsi" w:hAnsiTheme="majorHAnsi" w:cstheme="majorHAnsi"/>
        </w:rPr>
        <w:t>o</w:t>
      </w:r>
      <w:r w:rsidRPr="00543D5B">
        <w:rPr>
          <w:rFonts w:asciiTheme="majorHAnsi" w:hAnsiTheme="majorHAnsi" w:cstheme="majorHAnsi"/>
        </w:rPr>
        <w:t>bowiązek podania linku do deklaracji dostępności aplikacji mobilnej nakładany jest na podmiot publiczny publikujący deklarację dostępności strony internetowej, dzięki czemu można uniknąć konieczności publikowania linku do deklaracji dostępności aplikacji mobilnej w deklaracji dostępności</w:t>
      </w:r>
      <w:r w:rsidR="009E4663" w:rsidRPr="00543D5B">
        <w:rPr>
          <w:rFonts w:asciiTheme="majorHAnsi" w:hAnsiTheme="majorHAnsi" w:cstheme="majorHAnsi"/>
        </w:rPr>
        <w:t xml:space="preserve"> tej aplikacji</w:t>
      </w:r>
      <w:r w:rsidRPr="00543D5B">
        <w:rPr>
          <w:rFonts w:asciiTheme="majorHAnsi" w:hAnsiTheme="majorHAnsi" w:cstheme="majorHAnsi"/>
        </w:rPr>
        <w:t>.</w:t>
      </w:r>
    </w:p>
    <w:p w14:paraId="25BE464C" w14:textId="77777777" w:rsidR="00C63D79" w:rsidRPr="00543D5B" w:rsidRDefault="00C63D79" w:rsidP="00C63D7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10 ust. 7 pkt 1 – </w:t>
      </w:r>
      <w:r w:rsidR="006059A4" w:rsidRPr="00543D5B">
        <w:rPr>
          <w:rFonts w:asciiTheme="majorHAnsi" w:hAnsiTheme="majorHAnsi" w:cstheme="majorHAnsi"/>
        </w:rPr>
        <w:t>ze względu na pojawiające się wątpliwości zosta</w:t>
      </w:r>
      <w:r w:rsidR="009E30AE" w:rsidRPr="00543D5B">
        <w:rPr>
          <w:rFonts w:asciiTheme="majorHAnsi" w:hAnsiTheme="majorHAnsi" w:cstheme="majorHAnsi"/>
        </w:rPr>
        <w:t>ło</w:t>
      </w:r>
      <w:r w:rsidR="006059A4" w:rsidRPr="00543D5B">
        <w:rPr>
          <w:rFonts w:asciiTheme="majorHAnsi" w:hAnsiTheme="majorHAnsi" w:cstheme="majorHAnsi"/>
        </w:rPr>
        <w:t xml:space="preserve"> sprecyzowane, że deklaracja dostępności dotyczy posiadan</w:t>
      </w:r>
      <w:r w:rsidR="008827D1" w:rsidRPr="00543D5B">
        <w:rPr>
          <w:rFonts w:asciiTheme="majorHAnsi" w:hAnsiTheme="majorHAnsi" w:cstheme="majorHAnsi"/>
        </w:rPr>
        <w:t>ej</w:t>
      </w:r>
      <w:r w:rsidR="006059A4" w:rsidRPr="00543D5B">
        <w:rPr>
          <w:rFonts w:asciiTheme="majorHAnsi" w:hAnsiTheme="majorHAnsi" w:cstheme="majorHAnsi"/>
        </w:rPr>
        <w:t xml:space="preserve"> przez podmiot strony internetowej. </w:t>
      </w:r>
      <w:r w:rsidR="009E30AE" w:rsidRPr="00543D5B">
        <w:rPr>
          <w:rFonts w:asciiTheme="majorHAnsi" w:hAnsiTheme="majorHAnsi" w:cstheme="majorHAnsi"/>
        </w:rPr>
        <w:t xml:space="preserve">Z uwagi na fakt, że </w:t>
      </w:r>
      <w:r w:rsidR="006059A4" w:rsidRPr="00543D5B">
        <w:rPr>
          <w:rFonts w:asciiTheme="majorHAnsi" w:hAnsiTheme="majorHAnsi" w:cstheme="majorHAnsi"/>
        </w:rPr>
        <w:t>art. 7 ust. 1 dyrektywy 2016/2102 daje możliwość wyboru odpowiedniej strony internetowej, na której podmiot publikuje deklarację dostępności, z</w:t>
      </w:r>
      <w:r w:rsidR="00703553" w:rsidRPr="00543D5B">
        <w:rPr>
          <w:rFonts w:asciiTheme="majorHAnsi" w:hAnsiTheme="majorHAnsi" w:cstheme="majorHAnsi"/>
        </w:rPr>
        <w:t>ostała dodana możliwość publikowania deklaracji dostępności również na innej</w:t>
      </w:r>
      <w:r w:rsidR="006059A4" w:rsidRPr="00543D5B">
        <w:rPr>
          <w:rFonts w:asciiTheme="majorHAnsi" w:hAnsiTheme="majorHAnsi" w:cstheme="majorHAnsi"/>
        </w:rPr>
        <w:t xml:space="preserve"> </w:t>
      </w:r>
      <w:r w:rsidR="00703553" w:rsidRPr="00543D5B">
        <w:rPr>
          <w:rFonts w:asciiTheme="majorHAnsi" w:hAnsiTheme="majorHAnsi" w:cstheme="majorHAnsi"/>
        </w:rPr>
        <w:t xml:space="preserve">stronie internetowej niż strona, której dotyczy </w:t>
      </w:r>
      <w:r w:rsidR="006059A4" w:rsidRPr="00543D5B">
        <w:rPr>
          <w:rFonts w:asciiTheme="majorHAnsi" w:hAnsiTheme="majorHAnsi" w:cstheme="majorHAnsi"/>
        </w:rPr>
        <w:t xml:space="preserve">ta </w:t>
      </w:r>
      <w:r w:rsidR="00703553" w:rsidRPr="00543D5B">
        <w:rPr>
          <w:rFonts w:asciiTheme="majorHAnsi" w:hAnsiTheme="majorHAnsi" w:cstheme="majorHAnsi"/>
        </w:rPr>
        <w:t>deklaracja.</w:t>
      </w:r>
    </w:p>
    <w:p w14:paraId="0F9B8623" w14:textId="6207607C" w:rsidR="00C63D79" w:rsidRPr="00543D5B" w:rsidRDefault="00C63D79" w:rsidP="00C63D7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10 ust. 7 pkt 2 – </w:t>
      </w:r>
      <w:r w:rsidR="00D1120E" w:rsidRPr="00543D5B">
        <w:rPr>
          <w:rFonts w:asciiTheme="majorHAnsi" w:hAnsiTheme="majorHAnsi" w:cstheme="majorHAnsi"/>
        </w:rPr>
        <w:t>z</w:t>
      </w:r>
      <w:r w:rsidRPr="00543D5B">
        <w:rPr>
          <w:rFonts w:asciiTheme="majorHAnsi" w:hAnsiTheme="majorHAnsi" w:cstheme="majorHAnsi"/>
        </w:rPr>
        <w:t>e względu na pojawiające się wątpliwości zosta</w:t>
      </w:r>
      <w:r w:rsidR="009E30AE" w:rsidRPr="00543D5B">
        <w:rPr>
          <w:rFonts w:asciiTheme="majorHAnsi" w:hAnsiTheme="majorHAnsi" w:cstheme="majorHAnsi"/>
        </w:rPr>
        <w:t>ło</w:t>
      </w:r>
      <w:r w:rsidRPr="00543D5B">
        <w:rPr>
          <w:rFonts w:asciiTheme="majorHAnsi" w:hAnsiTheme="majorHAnsi" w:cstheme="majorHAnsi"/>
        </w:rPr>
        <w:t xml:space="preserve"> sprecyzowane, że deklaracja dostępności dotyczy posiadanych przez podmiot aplikacji mobilnych.</w:t>
      </w:r>
      <w:r w:rsidR="00D9282F" w:rsidRPr="00543D5B">
        <w:rPr>
          <w:rFonts w:asciiTheme="majorHAnsi" w:hAnsiTheme="majorHAnsi" w:cstheme="majorHAnsi"/>
        </w:rPr>
        <w:t xml:space="preserve"> Art</w:t>
      </w:r>
      <w:r w:rsidR="00721CFE" w:rsidRPr="00543D5B">
        <w:rPr>
          <w:rFonts w:asciiTheme="majorHAnsi" w:hAnsiTheme="majorHAnsi" w:cstheme="majorHAnsi"/>
        </w:rPr>
        <w:t>ykuł</w:t>
      </w:r>
      <w:r w:rsidR="00D9282F" w:rsidRPr="00543D5B">
        <w:rPr>
          <w:rFonts w:asciiTheme="majorHAnsi" w:hAnsiTheme="majorHAnsi" w:cstheme="majorHAnsi"/>
        </w:rPr>
        <w:t xml:space="preserve"> 7 ust. 1 dyrektywy 2016/2102 daje możliwość publikacji deklaracji dostępności</w:t>
      </w:r>
      <w:r w:rsidR="00347D54" w:rsidRPr="00543D5B">
        <w:rPr>
          <w:rFonts w:asciiTheme="majorHAnsi" w:hAnsiTheme="majorHAnsi" w:cstheme="majorHAnsi"/>
        </w:rPr>
        <w:t xml:space="preserve"> aplikacji mobilnej</w:t>
      </w:r>
      <w:r w:rsidR="00D9282F" w:rsidRPr="00543D5B">
        <w:rPr>
          <w:rFonts w:asciiTheme="majorHAnsi" w:hAnsiTheme="majorHAnsi" w:cstheme="majorHAnsi"/>
        </w:rPr>
        <w:t xml:space="preserve"> na stronie internetowej wybranej spośród stron internetowych posiadanych przez ten podmiot lub wraz z innymi informacjami, które są udostępniane podczas pobierania aplikacji</w:t>
      </w:r>
      <w:r w:rsidR="0085232A" w:rsidRPr="00543D5B">
        <w:rPr>
          <w:rFonts w:asciiTheme="majorHAnsi" w:hAnsiTheme="majorHAnsi" w:cstheme="majorHAnsi"/>
        </w:rPr>
        <w:t xml:space="preserve"> mobilnej</w:t>
      </w:r>
      <w:r w:rsidR="00347D54" w:rsidRPr="00543D5B">
        <w:rPr>
          <w:rFonts w:asciiTheme="majorHAnsi" w:hAnsiTheme="majorHAnsi" w:cstheme="majorHAnsi"/>
        </w:rPr>
        <w:t xml:space="preserve"> (np. </w:t>
      </w:r>
      <w:r w:rsidR="0092465F" w:rsidRPr="00543D5B">
        <w:rPr>
          <w:rFonts w:asciiTheme="majorHAnsi" w:hAnsiTheme="majorHAnsi" w:cstheme="majorHAnsi"/>
        </w:rPr>
        <w:t>wraz z opisem przeznaczenia aplikacji i jej głównych funkcji oraz zrzutami ekranu pokazującymi wygląd aplikacji</w:t>
      </w:r>
      <w:r w:rsidR="00347D54" w:rsidRPr="00543D5B">
        <w:rPr>
          <w:rFonts w:asciiTheme="majorHAnsi" w:hAnsiTheme="majorHAnsi" w:cstheme="majorHAnsi"/>
        </w:rPr>
        <w:t>)</w:t>
      </w:r>
      <w:r w:rsidR="00D9282F" w:rsidRPr="00543D5B">
        <w:rPr>
          <w:rFonts w:asciiTheme="majorHAnsi" w:hAnsiTheme="majorHAnsi" w:cstheme="majorHAnsi"/>
        </w:rPr>
        <w:t xml:space="preserve">. Coroczna obowiązkowa aktualizacja deklaracji dostępności (zgodnie z art. 11 </w:t>
      </w:r>
      <w:r w:rsidR="00033936" w:rsidRPr="00543D5B">
        <w:rPr>
          <w:rFonts w:asciiTheme="majorHAnsi" w:hAnsiTheme="majorHAnsi" w:cstheme="majorHAnsi"/>
        </w:rPr>
        <w:t>ustawy</w:t>
      </w:r>
      <w:r w:rsidR="00D9282F" w:rsidRPr="00543D5B">
        <w:rPr>
          <w:rFonts w:asciiTheme="majorHAnsi" w:hAnsiTheme="majorHAnsi" w:cstheme="majorHAnsi"/>
        </w:rPr>
        <w:t>) opublikowanej bezpośredn</w:t>
      </w:r>
      <w:r w:rsidR="00046DEB" w:rsidRPr="00543D5B">
        <w:rPr>
          <w:rFonts w:asciiTheme="majorHAnsi" w:hAnsiTheme="majorHAnsi" w:cstheme="majorHAnsi"/>
        </w:rPr>
        <w:t>io w aplikacji mobilnej powod</w:t>
      </w:r>
      <w:r w:rsidR="001F2F9B" w:rsidRPr="00543D5B">
        <w:rPr>
          <w:rFonts w:asciiTheme="majorHAnsi" w:hAnsiTheme="majorHAnsi" w:cstheme="majorHAnsi"/>
        </w:rPr>
        <w:t>owała</w:t>
      </w:r>
      <w:r w:rsidR="00D9282F" w:rsidRPr="00543D5B">
        <w:rPr>
          <w:rFonts w:asciiTheme="majorHAnsi" w:hAnsiTheme="majorHAnsi" w:cstheme="majorHAnsi"/>
        </w:rPr>
        <w:t xml:space="preserve"> konieczność</w:t>
      </w:r>
      <w:r w:rsidR="00046DEB" w:rsidRPr="00543D5B">
        <w:rPr>
          <w:rFonts w:asciiTheme="majorHAnsi" w:hAnsiTheme="majorHAnsi" w:cstheme="majorHAnsi"/>
        </w:rPr>
        <w:t xml:space="preserve"> opublikowania nowej wersji tej aplikacji </w:t>
      </w:r>
      <w:r w:rsidR="00046DEB" w:rsidRPr="00543D5B">
        <w:rPr>
          <w:rFonts w:asciiTheme="majorHAnsi" w:hAnsiTheme="majorHAnsi" w:cstheme="majorHAnsi"/>
        </w:rPr>
        <w:lastRenderedPageBreak/>
        <w:t xml:space="preserve">mobilnej i zaktualizowania </w:t>
      </w:r>
      <w:r w:rsidR="00347D54" w:rsidRPr="00543D5B">
        <w:rPr>
          <w:rFonts w:asciiTheme="majorHAnsi" w:hAnsiTheme="majorHAnsi" w:cstheme="majorHAnsi"/>
        </w:rPr>
        <w:t xml:space="preserve">lub ponownego zainstalowania </w:t>
      </w:r>
      <w:r w:rsidR="00046DEB" w:rsidRPr="00543D5B">
        <w:rPr>
          <w:rFonts w:asciiTheme="majorHAnsi" w:hAnsiTheme="majorHAnsi" w:cstheme="majorHAnsi"/>
        </w:rPr>
        <w:t>jej przez każdego z użytkowników</w:t>
      </w:r>
      <w:r w:rsidR="00347D54" w:rsidRPr="00543D5B">
        <w:rPr>
          <w:rFonts w:asciiTheme="majorHAnsi" w:hAnsiTheme="majorHAnsi" w:cstheme="majorHAnsi"/>
        </w:rPr>
        <w:t xml:space="preserve"> na swoim urządzeniu mobilnym</w:t>
      </w:r>
      <w:r w:rsidR="00046DEB" w:rsidRPr="00543D5B">
        <w:rPr>
          <w:rFonts w:asciiTheme="majorHAnsi" w:hAnsiTheme="majorHAnsi" w:cstheme="majorHAnsi"/>
        </w:rPr>
        <w:t>.</w:t>
      </w:r>
      <w:r w:rsidR="00347D54" w:rsidRPr="00543D5B">
        <w:rPr>
          <w:rFonts w:asciiTheme="majorHAnsi" w:hAnsiTheme="majorHAnsi" w:cstheme="majorHAnsi"/>
        </w:rPr>
        <w:t xml:space="preserve"> Dodatkowo deklaracja dostępności aplikacji mobilnej może być opublikowana bezpośrednio w tej aplikacji mobilnej </w:t>
      </w:r>
      <w:r w:rsidR="00CB4129" w:rsidRPr="00543D5B">
        <w:rPr>
          <w:rFonts w:asciiTheme="majorHAnsi" w:hAnsiTheme="majorHAnsi" w:cstheme="majorHAnsi"/>
        </w:rPr>
        <w:t>–</w:t>
      </w:r>
      <w:r w:rsidR="00347D54" w:rsidRPr="00543D5B">
        <w:rPr>
          <w:rFonts w:asciiTheme="majorHAnsi" w:hAnsiTheme="majorHAnsi" w:cstheme="majorHAnsi"/>
        </w:rPr>
        <w:t xml:space="preserve"> decyzja o takiej publikacji należy do podmiotu publicznego i jest traktowana jako dobra praktyka.</w:t>
      </w:r>
    </w:p>
    <w:p w14:paraId="5C75ACDA" w14:textId="41805075" w:rsidR="00BF5F37" w:rsidRPr="00543D5B" w:rsidRDefault="00BF5F37" w:rsidP="00F647EF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12 pkt 5 </w:t>
      </w:r>
      <w:r w:rsidR="008827D1" w:rsidRPr="00543D5B">
        <w:rPr>
          <w:rFonts w:asciiTheme="majorHAnsi" w:hAnsiTheme="majorHAnsi" w:cstheme="majorHAnsi"/>
        </w:rPr>
        <w:t>–</w:t>
      </w:r>
      <w:r w:rsidRPr="00543D5B">
        <w:rPr>
          <w:rFonts w:asciiTheme="majorHAnsi" w:hAnsiTheme="majorHAnsi" w:cstheme="majorHAnsi"/>
        </w:rPr>
        <w:t xml:space="preserve"> treś</w:t>
      </w:r>
      <w:r w:rsidR="00CB4129" w:rsidRPr="00543D5B">
        <w:rPr>
          <w:rFonts w:asciiTheme="majorHAnsi" w:hAnsiTheme="majorHAnsi" w:cstheme="majorHAnsi"/>
        </w:rPr>
        <w:t>ć</w:t>
      </w:r>
      <w:r w:rsidRPr="00543D5B">
        <w:rPr>
          <w:rFonts w:asciiTheme="majorHAnsi" w:hAnsiTheme="majorHAnsi" w:cstheme="majorHAnsi"/>
        </w:rPr>
        <w:t xml:space="preserve"> przepisu </w:t>
      </w:r>
      <w:r w:rsidR="00CB4129" w:rsidRPr="00543D5B">
        <w:rPr>
          <w:rFonts w:asciiTheme="majorHAnsi" w:hAnsiTheme="majorHAnsi" w:cstheme="majorHAnsi"/>
        </w:rPr>
        <w:t xml:space="preserve">została </w:t>
      </w:r>
      <w:proofErr w:type="spellStart"/>
      <w:r w:rsidRPr="00543D5B">
        <w:rPr>
          <w:rFonts w:asciiTheme="majorHAnsi" w:hAnsiTheme="majorHAnsi" w:cstheme="majorHAnsi"/>
        </w:rPr>
        <w:t>uspójniona</w:t>
      </w:r>
      <w:proofErr w:type="spellEnd"/>
      <w:r w:rsidRPr="00543D5B">
        <w:rPr>
          <w:rFonts w:asciiTheme="majorHAnsi" w:hAnsiTheme="majorHAnsi" w:cstheme="majorHAnsi"/>
        </w:rPr>
        <w:t xml:space="preserve"> ze </w:t>
      </w:r>
      <w:r w:rsidR="00CB4129" w:rsidRPr="00543D5B">
        <w:rPr>
          <w:rFonts w:asciiTheme="majorHAnsi" w:hAnsiTheme="majorHAnsi" w:cstheme="majorHAnsi"/>
        </w:rPr>
        <w:t xml:space="preserve">zmianami </w:t>
      </w:r>
      <w:r w:rsidR="00E018A3" w:rsidRPr="00543D5B">
        <w:rPr>
          <w:rFonts w:asciiTheme="majorHAnsi" w:hAnsiTheme="majorHAnsi" w:cstheme="majorHAnsi"/>
        </w:rPr>
        <w:t>wprowadzonymi w</w:t>
      </w:r>
      <w:r w:rsidRPr="00543D5B">
        <w:rPr>
          <w:rFonts w:asciiTheme="majorHAnsi" w:hAnsiTheme="majorHAnsi" w:cstheme="majorHAnsi"/>
        </w:rPr>
        <w:t xml:space="preserve"> art. 8 ust. 4</w:t>
      </w:r>
      <w:r w:rsidR="00CB4129" w:rsidRPr="00543D5B">
        <w:rPr>
          <w:rFonts w:asciiTheme="majorHAnsi" w:hAnsiTheme="majorHAnsi" w:cstheme="majorHAnsi"/>
        </w:rPr>
        <w:t xml:space="preserve"> ustawy</w:t>
      </w:r>
      <w:r w:rsidRPr="00543D5B">
        <w:rPr>
          <w:rFonts w:asciiTheme="majorHAnsi" w:hAnsiTheme="majorHAnsi" w:cstheme="majorHAnsi"/>
        </w:rPr>
        <w:t>.</w:t>
      </w:r>
      <w:r w:rsidR="005D5A7A" w:rsidRPr="00543D5B">
        <w:rPr>
          <w:rFonts w:asciiTheme="majorHAnsi" w:hAnsiTheme="majorHAnsi" w:cstheme="majorHAnsi"/>
        </w:rPr>
        <w:t xml:space="preserve"> </w:t>
      </w:r>
    </w:p>
    <w:p w14:paraId="2975139E" w14:textId="1AA6824A" w:rsidR="006043F3" w:rsidRPr="00543D5B" w:rsidRDefault="006043F3" w:rsidP="00F647EF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Art. 18 ust. 1 –</w:t>
      </w:r>
      <w:r w:rsidR="00EF3FA8">
        <w:rPr>
          <w:rFonts w:asciiTheme="majorHAnsi" w:hAnsiTheme="majorHAnsi" w:cstheme="majorHAnsi"/>
        </w:rPr>
        <w:t xml:space="preserve"> </w:t>
      </w:r>
      <w:r w:rsidRPr="00543D5B">
        <w:rPr>
          <w:rFonts w:asciiTheme="majorHAnsi" w:hAnsiTheme="majorHAnsi" w:cstheme="majorHAnsi"/>
        </w:rPr>
        <w:t>doprecyzowan</w:t>
      </w:r>
      <w:r w:rsidR="00701A45" w:rsidRPr="00543D5B">
        <w:rPr>
          <w:rFonts w:asciiTheme="majorHAnsi" w:hAnsiTheme="majorHAnsi" w:cstheme="majorHAnsi"/>
        </w:rPr>
        <w:t>o</w:t>
      </w:r>
      <w:r w:rsidRPr="00543D5B">
        <w:rPr>
          <w:rFonts w:asciiTheme="majorHAnsi" w:hAnsiTheme="majorHAnsi" w:cstheme="majorHAnsi"/>
        </w:rPr>
        <w:t xml:space="preserve">, że każdy ma prawo wystąpić z żądaniem zapewnienia alternatywnego </w:t>
      </w:r>
      <w:r w:rsidR="00701A45" w:rsidRPr="00543D5B">
        <w:rPr>
          <w:rFonts w:asciiTheme="majorHAnsi" w:hAnsiTheme="majorHAnsi" w:cstheme="majorHAnsi"/>
        </w:rPr>
        <w:t xml:space="preserve">sposobu </w:t>
      </w:r>
      <w:r w:rsidRPr="00543D5B">
        <w:rPr>
          <w:rFonts w:asciiTheme="majorHAnsi" w:hAnsiTheme="majorHAnsi" w:cstheme="majorHAnsi"/>
        </w:rPr>
        <w:t>dostępu</w:t>
      </w:r>
      <w:r w:rsidR="00701A45" w:rsidRPr="00543D5B">
        <w:rPr>
          <w:rFonts w:asciiTheme="majorHAnsi" w:hAnsiTheme="majorHAnsi" w:cstheme="majorHAnsi"/>
        </w:rPr>
        <w:t xml:space="preserve"> do elementu strony internetowej lub elementu aplikacji mobilnej</w:t>
      </w:r>
      <w:r w:rsidRPr="00543D5B">
        <w:rPr>
          <w:rFonts w:asciiTheme="majorHAnsi" w:hAnsiTheme="majorHAnsi" w:cstheme="majorHAnsi"/>
        </w:rPr>
        <w:t>, wyłącznie w sytuacji, gdy podmiot publiczny nie jest w</w:t>
      </w:r>
      <w:r w:rsidR="001B7BD5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>stanie zapewnić dostępności cyfrowej elementu strony internetowej lub elementu aplikacji mobilnej.</w:t>
      </w:r>
      <w:r w:rsidR="00C12607" w:rsidRPr="00543D5B">
        <w:rPr>
          <w:rFonts w:asciiTheme="majorHAnsi" w:hAnsiTheme="majorHAnsi" w:cstheme="majorHAnsi"/>
        </w:rPr>
        <w:t xml:space="preserve"> Podstawowym obowiązkiem podmiotów publicznych jest zapewnianie dostępności cyfrowej, stąd alternatywne dostęp</w:t>
      </w:r>
      <w:r w:rsidR="00656B27" w:rsidRPr="00543D5B">
        <w:rPr>
          <w:rFonts w:asciiTheme="majorHAnsi" w:hAnsiTheme="majorHAnsi" w:cstheme="majorHAnsi"/>
        </w:rPr>
        <w:t>y</w:t>
      </w:r>
      <w:r w:rsidR="00C12607" w:rsidRPr="00543D5B">
        <w:rPr>
          <w:rFonts w:asciiTheme="majorHAnsi" w:hAnsiTheme="majorHAnsi" w:cstheme="majorHAnsi"/>
        </w:rPr>
        <w:t xml:space="preserve"> powinny pojawiać się dopiero</w:t>
      </w:r>
      <w:r w:rsidR="00701A45" w:rsidRPr="00543D5B">
        <w:rPr>
          <w:rFonts w:asciiTheme="majorHAnsi" w:hAnsiTheme="majorHAnsi" w:cstheme="majorHAnsi"/>
        </w:rPr>
        <w:t>,</w:t>
      </w:r>
      <w:r w:rsidR="00C12607" w:rsidRPr="00543D5B">
        <w:rPr>
          <w:rFonts w:asciiTheme="majorHAnsi" w:hAnsiTheme="majorHAnsi" w:cstheme="majorHAnsi"/>
        </w:rPr>
        <w:t xml:space="preserve"> je</w:t>
      </w:r>
      <w:r w:rsidR="00701A45" w:rsidRPr="00543D5B">
        <w:rPr>
          <w:rFonts w:asciiTheme="majorHAnsi" w:hAnsiTheme="majorHAnsi" w:cstheme="majorHAnsi"/>
        </w:rPr>
        <w:t>żeli</w:t>
      </w:r>
      <w:r w:rsidR="00C12607" w:rsidRPr="00543D5B">
        <w:rPr>
          <w:rFonts w:asciiTheme="majorHAnsi" w:hAnsiTheme="majorHAnsi" w:cstheme="majorHAnsi"/>
        </w:rPr>
        <w:t xml:space="preserve"> podmiot nie realizuje tego podstawowego obowiązku.</w:t>
      </w:r>
    </w:p>
    <w:p w14:paraId="0B7E67DF" w14:textId="057CE2D7" w:rsidR="00F647EF" w:rsidRPr="00543D5B" w:rsidRDefault="00F647EF" w:rsidP="00F647EF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Art. 19 ust. 1 pkt </w:t>
      </w:r>
      <w:r w:rsidR="00C22038" w:rsidRPr="00543D5B">
        <w:rPr>
          <w:rFonts w:asciiTheme="majorHAnsi" w:hAnsiTheme="majorHAnsi" w:cstheme="majorHAnsi"/>
        </w:rPr>
        <w:t>3</w:t>
      </w:r>
      <w:r w:rsidR="008370E5" w:rsidRPr="00543D5B">
        <w:rPr>
          <w:rFonts w:asciiTheme="majorHAnsi" w:hAnsiTheme="majorHAnsi" w:cstheme="majorHAnsi"/>
        </w:rPr>
        <w:t>, ust. 4 oraz ust. 5 pkt 2</w:t>
      </w:r>
      <w:r w:rsidRPr="00543D5B">
        <w:rPr>
          <w:rFonts w:asciiTheme="majorHAnsi" w:hAnsiTheme="majorHAnsi" w:cstheme="majorHAnsi"/>
        </w:rPr>
        <w:t xml:space="preserve"> –</w:t>
      </w:r>
      <w:r w:rsidR="00C22038" w:rsidRPr="00543D5B">
        <w:rPr>
          <w:rFonts w:asciiTheme="majorHAnsi" w:hAnsiTheme="majorHAnsi" w:cstheme="majorHAnsi"/>
        </w:rPr>
        <w:t xml:space="preserve"> </w:t>
      </w:r>
      <w:r w:rsidR="008370E5" w:rsidRPr="00543D5B">
        <w:rPr>
          <w:rFonts w:asciiTheme="majorHAnsi" w:hAnsiTheme="majorHAnsi" w:cstheme="majorHAnsi"/>
        </w:rPr>
        <w:t>zmiany przepisu są konsekwencją</w:t>
      </w:r>
      <w:r w:rsidRPr="00543D5B">
        <w:rPr>
          <w:rFonts w:asciiTheme="majorHAnsi" w:hAnsiTheme="majorHAnsi" w:cstheme="majorHAnsi"/>
        </w:rPr>
        <w:t xml:space="preserve"> uchyleni</w:t>
      </w:r>
      <w:r w:rsidR="008370E5" w:rsidRPr="00543D5B">
        <w:rPr>
          <w:rFonts w:asciiTheme="majorHAnsi" w:hAnsiTheme="majorHAnsi" w:cstheme="majorHAnsi"/>
        </w:rPr>
        <w:t>a</w:t>
      </w:r>
      <w:r w:rsidRPr="00543D5B">
        <w:rPr>
          <w:rFonts w:asciiTheme="majorHAnsi" w:hAnsiTheme="majorHAnsi" w:cstheme="majorHAnsi"/>
        </w:rPr>
        <w:t xml:space="preserve"> art. 8 ust. 2</w:t>
      </w:r>
      <w:r w:rsidR="00945E2F" w:rsidRPr="00543D5B">
        <w:rPr>
          <w:rFonts w:asciiTheme="majorHAnsi" w:hAnsiTheme="majorHAnsi" w:cstheme="majorHAnsi"/>
        </w:rPr>
        <w:t xml:space="preserve"> ustawy</w:t>
      </w:r>
      <w:r w:rsidR="008370E5" w:rsidRPr="00543D5B">
        <w:rPr>
          <w:rFonts w:asciiTheme="majorHAnsi" w:hAnsiTheme="majorHAnsi" w:cstheme="majorHAnsi"/>
        </w:rPr>
        <w:t>.</w:t>
      </w:r>
      <w:r w:rsidRPr="00543D5B">
        <w:rPr>
          <w:rFonts w:asciiTheme="majorHAnsi" w:hAnsiTheme="majorHAnsi" w:cstheme="majorHAnsi"/>
        </w:rPr>
        <w:t xml:space="preserve"> </w:t>
      </w:r>
    </w:p>
    <w:p w14:paraId="0B6396D4" w14:textId="500D558E" w:rsidR="00C752ED" w:rsidRPr="00543D5B" w:rsidRDefault="00C63D79" w:rsidP="00C752ED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Załącznik do ustawy </w:t>
      </w:r>
      <w:r w:rsidR="00DE282E" w:rsidRPr="00543D5B">
        <w:rPr>
          <w:rFonts w:asciiTheme="majorHAnsi" w:hAnsiTheme="majorHAnsi" w:cstheme="majorHAnsi"/>
        </w:rPr>
        <w:t>–</w:t>
      </w:r>
      <w:r w:rsidRPr="00543D5B">
        <w:rPr>
          <w:rFonts w:asciiTheme="majorHAnsi" w:hAnsiTheme="majorHAnsi" w:cstheme="majorHAnsi"/>
        </w:rPr>
        <w:t xml:space="preserve"> </w:t>
      </w:r>
      <w:r w:rsidR="00E3667C" w:rsidRPr="00543D5B">
        <w:rPr>
          <w:rFonts w:asciiTheme="majorHAnsi" w:hAnsiTheme="majorHAnsi" w:cstheme="majorHAnsi"/>
        </w:rPr>
        <w:t>p</w:t>
      </w:r>
      <w:r w:rsidRPr="00543D5B">
        <w:rPr>
          <w:rFonts w:asciiTheme="majorHAnsi" w:hAnsiTheme="majorHAnsi" w:cstheme="majorHAnsi"/>
        </w:rPr>
        <w:t>od koniec 2020 r</w:t>
      </w:r>
      <w:r w:rsidR="00E3667C" w:rsidRPr="00543D5B">
        <w:rPr>
          <w:rFonts w:asciiTheme="majorHAnsi" w:hAnsiTheme="majorHAnsi" w:cstheme="majorHAnsi"/>
        </w:rPr>
        <w:t>.</w:t>
      </w:r>
      <w:r w:rsidRPr="00543D5B">
        <w:rPr>
          <w:rFonts w:asciiTheme="majorHAnsi" w:hAnsiTheme="majorHAnsi" w:cstheme="majorHAnsi"/>
        </w:rPr>
        <w:t xml:space="preserve"> opublikowane zostało oficjalne polskie tłumaczenie standardu WCAG 2.1 (</w:t>
      </w:r>
      <w:r w:rsidR="008462B6" w:rsidRPr="00543D5B">
        <w:rPr>
          <w:rFonts w:asciiTheme="majorHAnsi" w:hAnsiTheme="majorHAnsi" w:cstheme="majorHAnsi"/>
        </w:rPr>
        <w:t xml:space="preserve">https://www.w3.org/Translations/WCAG21-pl/). </w:t>
      </w:r>
      <w:r w:rsidRPr="00543D5B">
        <w:rPr>
          <w:rFonts w:asciiTheme="majorHAnsi" w:hAnsiTheme="majorHAnsi" w:cstheme="majorHAnsi"/>
        </w:rPr>
        <w:t xml:space="preserve">Załącznik do ustawy ma być odwzorowaniem wymaganych do spełnienia kryteriów zawartych w tym standardzie. Podczas </w:t>
      </w:r>
      <w:r w:rsidR="009035AA" w:rsidRPr="00543D5B">
        <w:rPr>
          <w:rFonts w:asciiTheme="majorHAnsi" w:hAnsiTheme="majorHAnsi" w:cstheme="majorHAnsi"/>
        </w:rPr>
        <w:t xml:space="preserve">opracowywania </w:t>
      </w:r>
      <w:r w:rsidRPr="00543D5B">
        <w:rPr>
          <w:rFonts w:asciiTheme="majorHAnsi" w:hAnsiTheme="majorHAnsi" w:cstheme="majorHAnsi"/>
        </w:rPr>
        <w:t xml:space="preserve">ustawy w 2018 </w:t>
      </w:r>
      <w:r w:rsidR="00E3667C" w:rsidRPr="00543D5B">
        <w:rPr>
          <w:rFonts w:asciiTheme="majorHAnsi" w:hAnsiTheme="majorHAnsi" w:cstheme="majorHAnsi"/>
        </w:rPr>
        <w:t xml:space="preserve">r. </w:t>
      </w:r>
      <w:r w:rsidRPr="00543D5B">
        <w:rPr>
          <w:rFonts w:asciiTheme="majorHAnsi" w:hAnsiTheme="majorHAnsi" w:cstheme="majorHAnsi"/>
        </w:rPr>
        <w:t>nie było jeszcze oficjalnego tłumaczenia</w:t>
      </w:r>
      <w:r w:rsidR="009035AA" w:rsidRPr="00543D5B">
        <w:rPr>
          <w:rFonts w:asciiTheme="majorHAnsi" w:hAnsiTheme="majorHAnsi" w:cstheme="majorHAnsi"/>
        </w:rPr>
        <w:t xml:space="preserve"> standardu</w:t>
      </w:r>
      <w:r w:rsidR="008462B6" w:rsidRPr="00543D5B">
        <w:rPr>
          <w:rFonts w:asciiTheme="majorHAnsi" w:hAnsiTheme="majorHAnsi" w:cstheme="majorHAnsi"/>
        </w:rPr>
        <w:t>,</w:t>
      </w:r>
      <w:r w:rsidRPr="00543D5B">
        <w:rPr>
          <w:rFonts w:asciiTheme="majorHAnsi" w:hAnsiTheme="majorHAnsi" w:cstheme="majorHAnsi"/>
        </w:rPr>
        <w:t xml:space="preserve"> więc niektóre elementy standardu zawarte w załączniku </w:t>
      </w:r>
      <w:r w:rsidR="009E46D9" w:rsidRPr="00543D5B">
        <w:rPr>
          <w:rFonts w:asciiTheme="majorHAnsi" w:hAnsiTheme="majorHAnsi" w:cstheme="majorHAnsi"/>
        </w:rPr>
        <w:t xml:space="preserve">do ustawy </w:t>
      </w:r>
      <w:r w:rsidRPr="00543D5B">
        <w:rPr>
          <w:rFonts w:asciiTheme="majorHAnsi" w:hAnsiTheme="majorHAnsi" w:cstheme="majorHAnsi"/>
        </w:rPr>
        <w:t>miały inne brzmienie niż to, które ostatecznie zostało przyjęte. Nowa tabela</w:t>
      </w:r>
      <w:r w:rsidR="00E3667C" w:rsidRPr="00543D5B">
        <w:rPr>
          <w:rFonts w:asciiTheme="majorHAnsi" w:hAnsiTheme="majorHAnsi" w:cstheme="majorHAnsi"/>
        </w:rPr>
        <w:t xml:space="preserve"> zawarta w </w:t>
      </w:r>
      <w:r w:rsidRPr="00543D5B">
        <w:rPr>
          <w:rFonts w:asciiTheme="majorHAnsi" w:hAnsiTheme="majorHAnsi" w:cstheme="majorHAnsi"/>
        </w:rPr>
        <w:t>załącznik</w:t>
      </w:r>
      <w:r w:rsidR="00E3667C" w:rsidRPr="00543D5B">
        <w:rPr>
          <w:rFonts w:asciiTheme="majorHAnsi" w:hAnsiTheme="majorHAnsi" w:cstheme="majorHAnsi"/>
        </w:rPr>
        <w:t>u</w:t>
      </w:r>
      <w:r w:rsidRPr="00543D5B">
        <w:rPr>
          <w:rFonts w:asciiTheme="majorHAnsi" w:hAnsiTheme="majorHAnsi" w:cstheme="majorHAnsi"/>
        </w:rPr>
        <w:t xml:space="preserve"> do ustawy jest spójna z</w:t>
      </w:r>
      <w:r w:rsidR="003912A1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>tłumaczeniem.</w:t>
      </w:r>
      <w:r w:rsidR="00C752ED" w:rsidRPr="00543D5B">
        <w:rPr>
          <w:rFonts w:asciiTheme="majorHAnsi" w:hAnsiTheme="majorHAnsi" w:cstheme="majorHAnsi"/>
        </w:rPr>
        <w:t xml:space="preserve"> Niektóre kryteria sukcesu nie odnoszą się do aplikacji mobilnych. Mówi o tym wprost norma europejska </w:t>
      </w:r>
      <w:r w:rsidR="00F36FEF" w:rsidRPr="00543D5B">
        <w:rPr>
          <w:rFonts w:asciiTheme="majorHAnsi" w:hAnsiTheme="majorHAnsi" w:cstheme="majorHAnsi"/>
          <w:color w:val="202122"/>
          <w:szCs w:val="24"/>
          <w:shd w:val="clear" w:color="auto" w:fill="FFFFFF"/>
        </w:rPr>
        <w:t xml:space="preserve">ETSI EN 301 549 V3.2.1:2021 </w:t>
      </w:r>
      <w:r w:rsidR="00C752ED" w:rsidRPr="00543D5B">
        <w:rPr>
          <w:rFonts w:asciiTheme="majorHAnsi" w:hAnsiTheme="majorHAnsi" w:cstheme="majorHAnsi"/>
        </w:rPr>
        <w:t xml:space="preserve">przez wyłączenie 7 kryteriów sukcesu w przypadku aplikacji mobilnych. Kryteria te są w </w:t>
      </w:r>
      <w:r w:rsidR="009E46D9" w:rsidRPr="00543D5B">
        <w:rPr>
          <w:rFonts w:asciiTheme="majorHAnsi" w:hAnsiTheme="majorHAnsi" w:cstheme="majorHAnsi"/>
        </w:rPr>
        <w:t>z</w:t>
      </w:r>
      <w:r w:rsidR="00C752ED" w:rsidRPr="00543D5B">
        <w:rPr>
          <w:rFonts w:asciiTheme="majorHAnsi" w:hAnsiTheme="majorHAnsi" w:cstheme="majorHAnsi"/>
        </w:rPr>
        <w:t xml:space="preserve">ałączniku </w:t>
      </w:r>
      <w:r w:rsidR="009E46D9" w:rsidRPr="00543D5B">
        <w:rPr>
          <w:rFonts w:asciiTheme="majorHAnsi" w:hAnsiTheme="majorHAnsi" w:cstheme="majorHAnsi"/>
        </w:rPr>
        <w:t xml:space="preserve">do ustawy </w:t>
      </w:r>
      <w:r w:rsidR="00C752ED" w:rsidRPr="00543D5B">
        <w:rPr>
          <w:rFonts w:asciiTheme="majorHAnsi" w:hAnsiTheme="majorHAnsi" w:cstheme="majorHAnsi"/>
        </w:rPr>
        <w:t xml:space="preserve">oznaczone </w:t>
      </w:r>
      <w:r w:rsidR="009E46D9" w:rsidRPr="00543D5B">
        <w:rPr>
          <w:rFonts w:asciiTheme="majorHAnsi" w:hAnsiTheme="majorHAnsi" w:cstheme="majorHAnsi"/>
        </w:rPr>
        <w:t xml:space="preserve">numerem </w:t>
      </w:r>
      <w:r w:rsidR="00C752ED" w:rsidRPr="00543D5B">
        <w:rPr>
          <w:rFonts w:asciiTheme="majorHAnsi" w:hAnsiTheme="majorHAnsi" w:cstheme="majorHAnsi"/>
        </w:rPr>
        <w:t>odnośnik</w:t>
      </w:r>
      <w:r w:rsidR="009E46D9" w:rsidRPr="00543D5B">
        <w:rPr>
          <w:rFonts w:asciiTheme="majorHAnsi" w:hAnsiTheme="majorHAnsi" w:cstheme="majorHAnsi"/>
        </w:rPr>
        <w:t>a</w:t>
      </w:r>
      <w:r w:rsidR="00C752ED" w:rsidRPr="00543D5B">
        <w:rPr>
          <w:rFonts w:asciiTheme="majorHAnsi" w:hAnsiTheme="majorHAnsi" w:cstheme="majorHAnsi"/>
        </w:rPr>
        <w:t>.</w:t>
      </w:r>
    </w:p>
    <w:p w14:paraId="069DFB11" w14:textId="302186C6" w:rsidR="00C63D79" w:rsidRPr="00543D5B" w:rsidRDefault="00C63D79" w:rsidP="00C752ED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Projektowana ustawa nie zawiera przepisów technicznych w rozumieniu rozporządzenia Rady Ministrów z dnia 23 grudnia 2002 r. w sprawie sposobu funkcjonowania krajowego systemu notyfikacji norm i aktów prawnych (Dz. U. poz. </w:t>
      </w:r>
      <w:r w:rsidRPr="00543D5B">
        <w:rPr>
          <w:rFonts w:asciiTheme="majorHAnsi" w:hAnsiTheme="majorHAnsi" w:cstheme="majorHAnsi"/>
        </w:rPr>
        <w:lastRenderedPageBreak/>
        <w:t>2039</w:t>
      </w:r>
      <w:r w:rsidR="00D76CE5" w:rsidRPr="00543D5B">
        <w:rPr>
          <w:rFonts w:asciiTheme="majorHAnsi" w:hAnsiTheme="majorHAnsi" w:cstheme="majorHAnsi"/>
        </w:rPr>
        <w:t xml:space="preserve"> oraz z 2004 r. p</w:t>
      </w:r>
      <w:r w:rsidR="000E05C5" w:rsidRPr="00543D5B">
        <w:rPr>
          <w:rFonts w:asciiTheme="majorHAnsi" w:hAnsiTheme="majorHAnsi" w:cstheme="majorHAnsi"/>
        </w:rPr>
        <w:t>oz. 597</w:t>
      </w:r>
      <w:r w:rsidRPr="00543D5B">
        <w:rPr>
          <w:rFonts w:asciiTheme="majorHAnsi" w:hAnsiTheme="majorHAnsi" w:cstheme="majorHAnsi"/>
        </w:rPr>
        <w:t>), w</w:t>
      </w:r>
      <w:r w:rsidR="00D76CE5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>związku z czym nie podlega notyfikacji zgodnie z ww. przepisami.</w:t>
      </w:r>
    </w:p>
    <w:p w14:paraId="75B5698E" w14:textId="67577847" w:rsidR="00C63D79" w:rsidRPr="00543D5B" w:rsidRDefault="00C63D79" w:rsidP="00C63D7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Przedmiot projektowanej regulacji jest zgodny z prawem Unii Europejskiej.</w:t>
      </w:r>
    </w:p>
    <w:p w14:paraId="4B9F5722" w14:textId="24F49DBE" w:rsidR="00C63D79" w:rsidRPr="00543D5B" w:rsidRDefault="00C63D79" w:rsidP="00C63D7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Projekt ustawy nie wymaga przedstawienia właściwym organom i instytucjom Unii Europejskiej, w tym Europejskiemu Bankowi Centralnemu, w celu uzyskania opinii, dokonania powiadomienia, konsultacji albo uzgodnienia, o których mowa w § 39 </w:t>
      </w:r>
      <w:r w:rsidR="009E46D9" w:rsidRPr="00543D5B">
        <w:rPr>
          <w:rFonts w:asciiTheme="majorHAnsi" w:hAnsiTheme="majorHAnsi" w:cstheme="majorHAnsi"/>
        </w:rPr>
        <w:t xml:space="preserve">ust. 1 </w:t>
      </w:r>
      <w:r w:rsidRPr="00543D5B">
        <w:rPr>
          <w:rFonts w:asciiTheme="majorHAnsi" w:hAnsiTheme="majorHAnsi" w:cstheme="majorHAnsi"/>
        </w:rPr>
        <w:t>uchwały nr 190 Rady Ministrów z dnia 29 października 2013 r. – Regulamin pracy Rady Ministrów (M.P. z</w:t>
      </w:r>
      <w:r w:rsidR="00A71682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>20</w:t>
      </w:r>
      <w:r w:rsidR="004800F9" w:rsidRPr="00543D5B">
        <w:rPr>
          <w:rFonts w:asciiTheme="majorHAnsi" w:hAnsiTheme="majorHAnsi" w:cstheme="majorHAnsi"/>
        </w:rPr>
        <w:t>22</w:t>
      </w:r>
      <w:r w:rsidRPr="00543D5B">
        <w:rPr>
          <w:rFonts w:asciiTheme="majorHAnsi" w:hAnsiTheme="majorHAnsi" w:cstheme="majorHAnsi"/>
        </w:rPr>
        <w:t xml:space="preserve"> r. poz. </w:t>
      </w:r>
      <w:r w:rsidR="004800F9" w:rsidRPr="00543D5B">
        <w:rPr>
          <w:rFonts w:asciiTheme="majorHAnsi" w:hAnsiTheme="majorHAnsi" w:cstheme="majorHAnsi"/>
        </w:rPr>
        <w:t>348</w:t>
      </w:r>
      <w:r w:rsidRPr="00543D5B">
        <w:rPr>
          <w:rFonts w:asciiTheme="majorHAnsi" w:hAnsiTheme="majorHAnsi" w:cstheme="majorHAnsi"/>
        </w:rPr>
        <w:t>).</w:t>
      </w:r>
    </w:p>
    <w:p w14:paraId="3ADE9895" w14:textId="4542D673" w:rsidR="00C63D79" w:rsidRPr="00543D5B" w:rsidRDefault="00C63D79" w:rsidP="00C63D79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Wejście w życie ustawy nie będzie miało wpływu na konkurencyjność gospodarki i</w:t>
      </w:r>
      <w:r w:rsidR="00A71682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 xml:space="preserve">przedsiębiorczość, w tym funkcjonowanie przedsiębiorców, a zwłaszcza </w:t>
      </w:r>
      <w:proofErr w:type="spellStart"/>
      <w:r w:rsidRPr="00543D5B">
        <w:rPr>
          <w:rFonts w:asciiTheme="majorHAnsi" w:hAnsiTheme="majorHAnsi" w:cstheme="majorHAnsi"/>
        </w:rPr>
        <w:t>mikroprzedsiębiorców</w:t>
      </w:r>
      <w:proofErr w:type="spellEnd"/>
      <w:r w:rsidRPr="00543D5B">
        <w:rPr>
          <w:rFonts w:asciiTheme="majorHAnsi" w:hAnsiTheme="majorHAnsi" w:cstheme="majorHAnsi"/>
        </w:rPr>
        <w:t>, małych i średnich przedsiębiorców</w:t>
      </w:r>
      <w:r w:rsidR="003912A1" w:rsidRPr="00543D5B">
        <w:rPr>
          <w:rFonts w:asciiTheme="majorHAnsi" w:hAnsiTheme="majorHAnsi" w:cstheme="majorHAnsi"/>
        </w:rPr>
        <w:t>.</w:t>
      </w:r>
    </w:p>
    <w:p w14:paraId="08904ED2" w14:textId="77777777" w:rsidR="00E72DC5" w:rsidRPr="00543D5B" w:rsidRDefault="00C63D79" w:rsidP="00E72DC5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Stosownie do art. 5 ustawy z dnia 7 lipca 2005 r. o działalności lobbingowej w procesie stanowienia prawa</w:t>
      </w:r>
      <w:r w:rsidRPr="00543D5B">
        <w:rPr>
          <w:rStyle w:val="Kkursywa"/>
          <w:rFonts w:asciiTheme="majorHAnsi" w:hAnsiTheme="majorHAnsi" w:cstheme="majorHAnsi"/>
        </w:rPr>
        <w:t xml:space="preserve"> </w:t>
      </w:r>
      <w:r w:rsidRPr="00543D5B">
        <w:rPr>
          <w:rFonts w:asciiTheme="majorHAnsi" w:hAnsiTheme="majorHAnsi" w:cstheme="majorHAnsi"/>
        </w:rPr>
        <w:t xml:space="preserve">(Dz. U. z 2017 r. poz. 248) oraz </w:t>
      </w:r>
      <w:r w:rsidR="005001FF" w:rsidRPr="00543D5B">
        <w:rPr>
          <w:rFonts w:asciiTheme="majorHAnsi" w:hAnsiTheme="majorHAnsi" w:cstheme="majorHAnsi"/>
        </w:rPr>
        <w:t>§</w:t>
      </w:r>
      <w:r w:rsidRPr="00543D5B">
        <w:rPr>
          <w:rFonts w:asciiTheme="majorHAnsi" w:hAnsiTheme="majorHAnsi" w:cstheme="majorHAnsi"/>
        </w:rPr>
        <w:t xml:space="preserve"> 52 </w:t>
      </w:r>
      <w:r w:rsidR="005001FF" w:rsidRPr="00543D5B">
        <w:rPr>
          <w:rFonts w:asciiTheme="majorHAnsi" w:hAnsiTheme="majorHAnsi" w:cstheme="majorHAnsi"/>
        </w:rPr>
        <w:t>ust.</w:t>
      </w:r>
      <w:r w:rsidRPr="00543D5B">
        <w:rPr>
          <w:rFonts w:asciiTheme="majorHAnsi" w:hAnsiTheme="majorHAnsi" w:cstheme="majorHAnsi"/>
        </w:rPr>
        <w:t xml:space="preserve"> 1 uchwały </w:t>
      </w:r>
      <w:r w:rsidR="003912A1" w:rsidRPr="00543D5B">
        <w:rPr>
          <w:rFonts w:asciiTheme="majorHAnsi" w:hAnsiTheme="majorHAnsi" w:cstheme="majorHAnsi"/>
        </w:rPr>
        <w:t>n</w:t>
      </w:r>
      <w:r w:rsidRPr="00543D5B">
        <w:rPr>
          <w:rFonts w:asciiTheme="majorHAnsi" w:hAnsiTheme="majorHAnsi" w:cstheme="majorHAnsi"/>
        </w:rPr>
        <w:t xml:space="preserve">r 190 Rady Ministrów z </w:t>
      </w:r>
      <w:r w:rsidR="003912A1" w:rsidRPr="00543D5B">
        <w:rPr>
          <w:rFonts w:asciiTheme="majorHAnsi" w:hAnsiTheme="majorHAnsi" w:cstheme="majorHAnsi"/>
        </w:rPr>
        <w:t xml:space="preserve">dnia </w:t>
      </w:r>
      <w:r w:rsidRPr="00543D5B">
        <w:rPr>
          <w:rFonts w:asciiTheme="majorHAnsi" w:hAnsiTheme="majorHAnsi" w:cstheme="majorHAnsi"/>
        </w:rPr>
        <w:t xml:space="preserve">29 października 2013 r. </w:t>
      </w:r>
      <w:r w:rsidR="003912A1" w:rsidRPr="00543D5B">
        <w:rPr>
          <w:rFonts w:asciiTheme="majorHAnsi" w:hAnsiTheme="majorHAnsi" w:cstheme="majorHAnsi"/>
        </w:rPr>
        <w:t xml:space="preserve">– </w:t>
      </w:r>
      <w:r w:rsidRPr="00543D5B">
        <w:rPr>
          <w:rFonts w:asciiTheme="majorHAnsi" w:hAnsiTheme="majorHAnsi" w:cstheme="majorHAnsi"/>
        </w:rPr>
        <w:t>Regulamin</w:t>
      </w:r>
      <w:r w:rsidR="003912A1" w:rsidRPr="00543D5B">
        <w:rPr>
          <w:rFonts w:asciiTheme="majorHAnsi" w:hAnsiTheme="majorHAnsi" w:cstheme="majorHAnsi"/>
        </w:rPr>
        <w:t xml:space="preserve"> </w:t>
      </w:r>
      <w:r w:rsidRPr="00543D5B">
        <w:rPr>
          <w:rFonts w:asciiTheme="majorHAnsi" w:hAnsiTheme="majorHAnsi" w:cstheme="majorHAnsi"/>
        </w:rPr>
        <w:t xml:space="preserve">pracy Rady Ministrów projekt ustawy </w:t>
      </w:r>
      <w:r w:rsidR="001C5981" w:rsidRPr="00543D5B">
        <w:rPr>
          <w:rFonts w:asciiTheme="majorHAnsi" w:hAnsiTheme="majorHAnsi" w:cstheme="majorHAnsi"/>
        </w:rPr>
        <w:t xml:space="preserve">został </w:t>
      </w:r>
      <w:r w:rsidRPr="00543D5B">
        <w:rPr>
          <w:rFonts w:asciiTheme="majorHAnsi" w:hAnsiTheme="majorHAnsi" w:cstheme="majorHAnsi"/>
        </w:rPr>
        <w:t xml:space="preserve">udostępniony w </w:t>
      </w:r>
      <w:r w:rsidR="004800F9" w:rsidRPr="00543D5B">
        <w:rPr>
          <w:rFonts w:asciiTheme="majorHAnsi" w:hAnsiTheme="majorHAnsi" w:cstheme="majorHAnsi"/>
        </w:rPr>
        <w:t>Biuletynie Informacji Publicznej na stronie podmiotowej Rządowego Centrum Legislacji w serwisie Rządowy Proces Legislacyjny</w:t>
      </w:r>
      <w:r w:rsidRPr="00543D5B">
        <w:rPr>
          <w:rFonts w:asciiTheme="majorHAnsi" w:hAnsiTheme="majorHAnsi" w:cstheme="majorHAnsi"/>
        </w:rPr>
        <w:t>.</w:t>
      </w:r>
      <w:r w:rsidR="00E72DC5" w:rsidRPr="00543D5B">
        <w:rPr>
          <w:rFonts w:asciiTheme="majorHAnsi" w:hAnsiTheme="majorHAnsi" w:cstheme="majorHAnsi"/>
        </w:rPr>
        <w:t xml:space="preserve"> </w:t>
      </w:r>
    </w:p>
    <w:p w14:paraId="232C74BB" w14:textId="77777777" w:rsidR="002C62BF" w:rsidRPr="00543D5B" w:rsidRDefault="00E72DC5" w:rsidP="002C62BF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>Ustawa wejdzie w</w:t>
      </w:r>
      <w:r w:rsidR="002C62BF" w:rsidRPr="00543D5B">
        <w:rPr>
          <w:rFonts w:asciiTheme="majorHAnsi" w:hAnsiTheme="majorHAnsi" w:cstheme="majorHAnsi"/>
        </w:rPr>
        <w:t xml:space="preserve"> życie po upływie 30 dni od dnia ogłoszenia.</w:t>
      </w:r>
      <w:r w:rsidR="00E332F5" w:rsidRPr="00543D5B">
        <w:rPr>
          <w:rFonts w:asciiTheme="majorHAnsi" w:hAnsiTheme="majorHAnsi" w:cstheme="majorHAnsi"/>
        </w:rPr>
        <w:t xml:space="preserve"> </w:t>
      </w:r>
      <w:r w:rsidR="00E239A1" w:rsidRPr="00543D5B">
        <w:rPr>
          <w:rFonts w:asciiTheme="majorHAnsi" w:hAnsiTheme="majorHAnsi" w:cstheme="majorHAnsi"/>
        </w:rPr>
        <w:t>Podkreślenia wymaga, że n</w:t>
      </w:r>
      <w:r w:rsidR="00E332F5" w:rsidRPr="00543D5B">
        <w:rPr>
          <w:rFonts w:asciiTheme="majorHAnsi" w:hAnsiTheme="majorHAnsi" w:cstheme="majorHAnsi"/>
        </w:rPr>
        <w:t>ie jest konieczne dodawanie przepisów przejściow</w:t>
      </w:r>
      <w:r w:rsidR="00E239A1" w:rsidRPr="00543D5B">
        <w:rPr>
          <w:rFonts w:asciiTheme="majorHAnsi" w:hAnsiTheme="majorHAnsi" w:cstheme="majorHAnsi"/>
        </w:rPr>
        <w:t>ych</w:t>
      </w:r>
      <w:r w:rsidR="00E332F5" w:rsidRPr="00543D5B">
        <w:rPr>
          <w:rFonts w:asciiTheme="majorHAnsi" w:hAnsiTheme="majorHAnsi" w:cstheme="majorHAnsi"/>
        </w:rPr>
        <w:t xml:space="preserve">, ponieważ nowelizacja </w:t>
      </w:r>
      <w:r w:rsidR="00945E2F" w:rsidRPr="00543D5B">
        <w:rPr>
          <w:rFonts w:asciiTheme="majorHAnsi" w:hAnsiTheme="majorHAnsi" w:cstheme="majorHAnsi"/>
        </w:rPr>
        <w:t xml:space="preserve">ustawy </w:t>
      </w:r>
      <w:r w:rsidR="00E332F5" w:rsidRPr="00543D5B">
        <w:rPr>
          <w:rFonts w:asciiTheme="majorHAnsi" w:hAnsiTheme="majorHAnsi" w:cstheme="majorHAnsi"/>
        </w:rPr>
        <w:t>nie wprowadza nowych obowiązków dla podmiotów publicznych</w:t>
      </w:r>
      <w:r w:rsidR="00175701" w:rsidRPr="00543D5B">
        <w:rPr>
          <w:rFonts w:asciiTheme="majorHAnsi" w:hAnsiTheme="majorHAnsi" w:cstheme="majorHAnsi"/>
        </w:rPr>
        <w:t>, a jedynie poszerza katalog możliwości realizacji obowiązków zapewnienia dostępności cyfrowej</w:t>
      </w:r>
      <w:r w:rsidR="00E13741" w:rsidRPr="00543D5B">
        <w:rPr>
          <w:rFonts w:asciiTheme="majorHAnsi" w:hAnsiTheme="majorHAnsi" w:cstheme="majorHAnsi"/>
        </w:rPr>
        <w:t xml:space="preserve"> (zmiany w art. 10 ust. 4 pkt 4</w:t>
      </w:r>
      <w:r w:rsidR="00945E2F" w:rsidRPr="00543D5B">
        <w:rPr>
          <w:rFonts w:asciiTheme="majorHAnsi" w:hAnsiTheme="majorHAnsi" w:cstheme="majorHAnsi"/>
        </w:rPr>
        <w:t>–</w:t>
      </w:r>
      <w:r w:rsidR="00E13741" w:rsidRPr="00543D5B">
        <w:rPr>
          <w:rFonts w:asciiTheme="majorHAnsi" w:hAnsiTheme="majorHAnsi" w:cstheme="majorHAnsi"/>
        </w:rPr>
        <w:t>6)</w:t>
      </w:r>
      <w:r w:rsidR="00175701" w:rsidRPr="00543D5B">
        <w:rPr>
          <w:rFonts w:asciiTheme="majorHAnsi" w:hAnsiTheme="majorHAnsi" w:cstheme="majorHAnsi"/>
        </w:rPr>
        <w:t xml:space="preserve">. Poszerzenie zakresu art. 5 na </w:t>
      </w:r>
      <w:r w:rsidR="006A581E" w:rsidRPr="00543D5B">
        <w:rPr>
          <w:rFonts w:asciiTheme="majorHAnsi" w:hAnsiTheme="majorHAnsi" w:cstheme="majorHAnsi"/>
        </w:rPr>
        <w:t>„</w:t>
      </w:r>
      <w:r w:rsidR="00175701" w:rsidRPr="00543D5B">
        <w:rPr>
          <w:rFonts w:asciiTheme="majorHAnsi" w:hAnsiTheme="majorHAnsi" w:cstheme="majorHAnsi"/>
        </w:rPr>
        <w:t>zarządzane elementy</w:t>
      </w:r>
      <w:r w:rsidR="006A581E" w:rsidRPr="00543D5B">
        <w:rPr>
          <w:rFonts w:asciiTheme="majorHAnsi" w:hAnsiTheme="majorHAnsi" w:cstheme="majorHAnsi"/>
        </w:rPr>
        <w:t>”</w:t>
      </w:r>
      <w:r w:rsidR="00175701" w:rsidRPr="00543D5B">
        <w:rPr>
          <w:rFonts w:asciiTheme="majorHAnsi" w:hAnsiTheme="majorHAnsi" w:cstheme="majorHAnsi"/>
        </w:rPr>
        <w:t xml:space="preserve"> strony internetowej lub aplikacji mobilnej nie jest także nowym wymogiem, a jedynie wzmocnieniem obowiązującego już obowiązku określonego w art. 6</w:t>
      </w:r>
      <w:r w:rsidR="00945E2F" w:rsidRPr="00543D5B">
        <w:rPr>
          <w:rFonts w:asciiTheme="majorHAnsi" w:hAnsiTheme="majorHAnsi" w:cstheme="majorHAnsi"/>
        </w:rPr>
        <w:t xml:space="preserve"> ustawy</w:t>
      </w:r>
      <w:r w:rsidR="00175701" w:rsidRPr="00543D5B">
        <w:rPr>
          <w:rFonts w:asciiTheme="majorHAnsi" w:hAnsiTheme="majorHAnsi" w:cstheme="majorHAnsi"/>
        </w:rPr>
        <w:t>.</w:t>
      </w:r>
    </w:p>
    <w:p w14:paraId="7B86E460" w14:textId="06C03163" w:rsidR="00B1590C" w:rsidRPr="00543D5B" w:rsidRDefault="00B1590C" w:rsidP="00B1590C">
      <w:pPr>
        <w:pStyle w:val="NIEARTTEKSTtekstnieartykuowanynppodstprawnarozplubpreambu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Podkreślić należy, że w związku z uchyleniem </w:t>
      </w:r>
      <w:r w:rsidR="003B404E" w:rsidRPr="00543D5B">
        <w:rPr>
          <w:rFonts w:asciiTheme="majorHAnsi" w:hAnsiTheme="majorHAnsi" w:cstheme="majorHAnsi"/>
        </w:rPr>
        <w:t>przepisów art. 19 ust. 1 pkt 3, ust. 4 oraz ust. 5 pkt 2</w:t>
      </w:r>
      <w:r w:rsidR="00945E2F" w:rsidRPr="00543D5B">
        <w:rPr>
          <w:rFonts w:asciiTheme="majorHAnsi" w:hAnsiTheme="majorHAnsi" w:cstheme="majorHAnsi"/>
        </w:rPr>
        <w:t xml:space="preserve"> ustawy</w:t>
      </w:r>
      <w:r w:rsidR="003B404E" w:rsidRPr="00543D5B">
        <w:rPr>
          <w:rFonts w:asciiTheme="majorHAnsi" w:hAnsiTheme="majorHAnsi" w:cstheme="majorHAnsi"/>
        </w:rPr>
        <w:t xml:space="preserve"> również </w:t>
      </w:r>
      <w:r w:rsidRPr="00543D5B">
        <w:rPr>
          <w:rFonts w:asciiTheme="majorHAnsi" w:hAnsiTheme="majorHAnsi" w:cstheme="majorHAnsi"/>
        </w:rPr>
        <w:t>nie ma potrzeby wprowadzania przepisów przejściowych. Kara pieniężna, o której mowa w art. 19 ust. 1 pkt 3</w:t>
      </w:r>
      <w:r w:rsidR="00945E2F" w:rsidRPr="00543D5B">
        <w:rPr>
          <w:rFonts w:asciiTheme="majorHAnsi" w:hAnsiTheme="majorHAnsi" w:cstheme="majorHAnsi"/>
        </w:rPr>
        <w:t xml:space="preserve"> ustawy</w:t>
      </w:r>
      <w:r w:rsidR="00E018A3" w:rsidRPr="00543D5B">
        <w:rPr>
          <w:rFonts w:asciiTheme="majorHAnsi" w:hAnsiTheme="majorHAnsi" w:cstheme="majorHAnsi"/>
        </w:rPr>
        <w:t>,</w:t>
      </w:r>
      <w:r w:rsidRPr="00543D5B">
        <w:rPr>
          <w:rFonts w:asciiTheme="majorHAnsi" w:hAnsiTheme="majorHAnsi" w:cstheme="majorHAnsi"/>
        </w:rPr>
        <w:t xml:space="preserve"> jest nakładana przez ministra właściwego do spraw informatyzacji po dwóch kolejnych monitorowaniach (art. 19 ust. 4</w:t>
      </w:r>
      <w:r w:rsidR="00945E2F" w:rsidRPr="00543D5B">
        <w:rPr>
          <w:rFonts w:asciiTheme="majorHAnsi" w:hAnsiTheme="majorHAnsi" w:cstheme="majorHAnsi"/>
        </w:rPr>
        <w:t xml:space="preserve"> ustawy</w:t>
      </w:r>
      <w:r w:rsidRPr="00543D5B">
        <w:rPr>
          <w:rFonts w:asciiTheme="majorHAnsi" w:hAnsiTheme="majorHAnsi" w:cstheme="majorHAnsi"/>
        </w:rPr>
        <w:t xml:space="preserve">). Monitorowania takie są prowadzone na </w:t>
      </w:r>
      <w:r w:rsidRPr="00543D5B">
        <w:rPr>
          <w:rFonts w:asciiTheme="majorHAnsi" w:hAnsiTheme="majorHAnsi" w:cstheme="majorHAnsi"/>
        </w:rPr>
        <w:lastRenderedPageBreak/>
        <w:t>podstawie art. 12 pkt 2</w:t>
      </w:r>
      <w:r w:rsidR="00945E2F" w:rsidRPr="00543D5B">
        <w:rPr>
          <w:rFonts w:asciiTheme="majorHAnsi" w:hAnsiTheme="majorHAnsi" w:cstheme="majorHAnsi"/>
        </w:rPr>
        <w:t xml:space="preserve"> ustawy</w:t>
      </w:r>
      <w:r w:rsidRPr="00543D5B">
        <w:rPr>
          <w:rFonts w:asciiTheme="majorHAnsi" w:hAnsiTheme="majorHAnsi" w:cstheme="majorHAnsi"/>
        </w:rPr>
        <w:t>. Metodyka</w:t>
      </w:r>
      <w:r w:rsidR="00033936" w:rsidRPr="00543D5B">
        <w:rPr>
          <w:rFonts w:asciiTheme="majorHAnsi" w:hAnsiTheme="majorHAnsi" w:cstheme="majorHAnsi"/>
        </w:rPr>
        <w:t xml:space="preserve"> monitorowania</w:t>
      </w:r>
      <w:r w:rsidRPr="00543D5B">
        <w:rPr>
          <w:rFonts w:asciiTheme="majorHAnsi" w:hAnsiTheme="majorHAnsi" w:cstheme="majorHAnsi"/>
        </w:rPr>
        <w:t xml:space="preserve">, o której mowa w art. 12 pkt 2 </w:t>
      </w:r>
      <w:r w:rsidR="00033936" w:rsidRPr="00543D5B">
        <w:rPr>
          <w:rFonts w:asciiTheme="majorHAnsi" w:hAnsiTheme="majorHAnsi" w:cstheme="majorHAnsi"/>
        </w:rPr>
        <w:t>ustawy</w:t>
      </w:r>
      <w:r w:rsidR="00945E2F" w:rsidRPr="00543D5B">
        <w:rPr>
          <w:rFonts w:asciiTheme="majorHAnsi" w:hAnsiTheme="majorHAnsi" w:cstheme="majorHAnsi"/>
        </w:rPr>
        <w:t>,</w:t>
      </w:r>
      <w:r w:rsidR="00033936" w:rsidRPr="00543D5B">
        <w:rPr>
          <w:rFonts w:asciiTheme="majorHAnsi" w:hAnsiTheme="majorHAnsi" w:cstheme="majorHAnsi"/>
        </w:rPr>
        <w:t xml:space="preserve"> </w:t>
      </w:r>
      <w:r w:rsidRPr="00543D5B">
        <w:rPr>
          <w:rFonts w:asciiTheme="majorHAnsi" w:hAnsiTheme="majorHAnsi" w:cstheme="majorHAnsi"/>
        </w:rPr>
        <w:t>zakłada, że pierwszy okres monitorowania stron internetowych przypada między dniem 1 stycznia 2020 r. a dniem 22 grudnia 2021 r. (art. 3 ust. 2 metodyki</w:t>
      </w:r>
      <w:r w:rsidR="00033936" w:rsidRPr="00543D5B">
        <w:rPr>
          <w:rFonts w:asciiTheme="majorHAnsi" w:hAnsiTheme="majorHAnsi" w:cstheme="majorHAnsi"/>
        </w:rPr>
        <w:t xml:space="preserve"> monitorowania</w:t>
      </w:r>
      <w:r w:rsidRPr="00543D5B">
        <w:rPr>
          <w:rFonts w:asciiTheme="majorHAnsi" w:hAnsiTheme="majorHAnsi" w:cstheme="majorHAnsi"/>
        </w:rPr>
        <w:t>), a</w:t>
      </w:r>
      <w:r w:rsidR="00E018A3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>pierwszy okres monitorowania aplikacji mobilnych przypada między dniem 23 czerwca 2021</w:t>
      </w:r>
      <w:r w:rsidR="00E018A3" w:rsidRPr="00543D5B">
        <w:rPr>
          <w:rFonts w:asciiTheme="majorHAnsi" w:hAnsiTheme="majorHAnsi" w:cstheme="majorHAnsi"/>
        </w:rPr>
        <w:t> </w:t>
      </w:r>
      <w:r w:rsidRPr="00543D5B">
        <w:rPr>
          <w:rFonts w:asciiTheme="majorHAnsi" w:hAnsiTheme="majorHAnsi" w:cstheme="majorHAnsi"/>
        </w:rPr>
        <w:t>r. a dniem 22 grudnia 2021 r. (art. 3 ust. 3 metodyki</w:t>
      </w:r>
      <w:r w:rsidR="00033936" w:rsidRPr="00543D5B">
        <w:rPr>
          <w:rFonts w:asciiTheme="majorHAnsi" w:hAnsiTheme="majorHAnsi" w:cstheme="majorHAnsi"/>
        </w:rPr>
        <w:t xml:space="preserve"> monitorowania</w:t>
      </w:r>
      <w:r w:rsidRPr="00543D5B">
        <w:rPr>
          <w:rFonts w:asciiTheme="majorHAnsi" w:hAnsiTheme="majorHAnsi" w:cstheme="majorHAnsi"/>
        </w:rPr>
        <w:t>) i taki monitoring został przeprowadzony w 2021 r.,</w:t>
      </w:r>
      <w:r w:rsidR="00E3667C" w:rsidRPr="00543D5B">
        <w:rPr>
          <w:rFonts w:asciiTheme="majorHAnsi" w:hAnsiTheme="majorHAnsi" w:cstheme="majorHAnsi"/>
        </w:rPr>
        <w:t xml:space="preserve"> zaś</w:t>
      </w:r>
      <w:r w:rsidR="005D5A7A" w:rsidRPr="00543D5B">
        <w:rPr>
          <w:rFonts w:asciiTheme="majorHAnsi" w:hAnsiTheme="majorHAnsi" w:cstheme="majorHAnsi"/>
        </w:rPr>
        <w:t xml:space="preserve"> </w:t>
      </w:r>
      <w:r w:rsidRPr="00543D5B">
        <w:rPr>
          <w:rFonts w:asciiTheme="majorHAnsi" w:hAnsiTheme="majorHAnsi" w:cstheme="majorHAnsi"/>
        </w:rPr>
        <w:t xml:space="preserve">kolejny zostanie przeprowadzony w </w:t>
      </w:r>
      <w:r w:rsidR="00DC45A6" w:rsidRPr="00543D5B">
        <w:rPr>
          <w:rFonts w:asciiTheme="majorHAnsi" w:hAnsiTheme="majorHAnsi" w:cstheme="majorHAnsi"/>
        </w:rPr>
        <w:t xml:space="preserve">2022 </w:t>
      </w:r>
      <w:r w:rsidRPr="00543D5B">
        <w:rPr>
          <w:rFonts w:asciiTheme="majorHAnsi" w:hAnsiTheme="majorHAnsi" w:cstheme="majorHAnsi"/>
        </w:rPr>
        <w:t xml:space="preserve">r. Uchylając ust. 2 w art. 8 </w:t>
      </w:r>
      <w:r w:rsidR="00E3667C" w:rsidRPr="00543D5B">
        <w:rPr>
          <w:rFonts w:asciiTheme="majorHAnsi" w:hAnsiTheme="majorHAnsi" w:cstheme="majorHAnsi"/>
        </w:rPr>
        <w:t xml:space="preserve">ustawy – </w:t>
      </w:r>
      <w:r w:rsidRPr="00543D5B">
        <w:rPr>
          <w:rFonts w:asciiTheme="majorHAnsi" w:hAnsiTheme="majorHAnsi" w:cstheme="majorHAnsi"/>
        </w:rPr>
        <w:t>i w konsekwencji pkt 3 w ust. 1 w art. 19 oraz ust. 4 w art. 19</w:t>
      </w:r>
      <w:r w:rsidR="00E3667C" w:rsidRPr="00543D5B">
        <w:rPr>
          <w:rFonts w:asciiTheme="majorHAnsi" w:hAnsiTheme="majorHAnsi" w:cstheme="majorHAnsi"/>
        </w:rPr>
        <w:t xml:space="preserve"> –</w:t>
      </w:r>
      <w:r w:rsidR="005D5A7A" w:rsidRPr="00543D5B">
        <w:rPr>
          <w:rFonts w:asciiTheme="majorHAnsi" w:hAnsiTheme="majorHAnsi" w:cstheme="majorHAnsi"/>
        </w:rPr>
        <w:t xml:space="preserve"> </w:t>
      </w:r>
      <w:r w:rsidRPr="00543D5B">
        <w:rPr>
          <w:rFonts w:asciiTheme="majorHAnsi" w:hAnsiTheme="majorHAnsi" w:cstheme="majorHAnsi"/>
        </w:rPr>
        <w:t>uchylona zastanie materia objęta monitoringiem, a tym samym możliwość wszczęcia postępowania o nałożenie kary. Obecnie nie jest prowadzone żadne postępowanie o nałożenie kary, o której mowa w art. 19 ust. 1 pkt 3</w:t>
      </w:r>
      <w:r w:rsidR="00E3667C" w:rsidRPr="00543D5B">
        <w:rPr>
          <w:rFonts w:asciiTheme="majorHAnsi" w:hAnsiTheme="majorHAnsi" w:cstheme="majorHAnsi"/>
        </w:rPr>
        <w:t xml:space="preserve"> ustawy</w:t>
      </w:r>
      <w:r w:rsidRPr="00543D5B">
        <w:rPr>
          <w:rFonts w:asciiTheme="majorHAnsi" w:hAnsiTheme="majorHAnsi" w:cstheme="majorHAnsi"/>
        </w:rPr>
        <w:t xml:space="preserve">. </w:t>
      </w:r>
    </w:p>
    <w:p w14:paraId="62E9DAD0" w14:textId="0934474C" w:rsidR="00216BD4" w:rsidRPr="00543D5B" w:rsidRDefault="00E13741" w:rsidP="005D5A7A">
      <w:pPr>
        <w:pStyle w:val="ARTartustawynprozporzdzenia"/>
        <w:rPr>
          <w:rFonts w:asciiTheme="majorHAnsi" w:hAnsiTheme="majorHAnsi" w:cstheme="majorHAnsi"/>
        </w:rPr>
      </w:pPr>
      <w:r w:rsidRPr="00543D5B">
        <w:rPr>
          <w:rFonts w:asciiTheme="majorHAnsi" w:hAnsiTheme="majorHAnsi" w:cstheme="majorHAnsi"/>
        </w:rPr>
        <w:t xml:space="preserve">Dlatego też przewidywany okres </w:t>
      </w:r>
      <w:r w:rsidRPr="00543D5B">
        <w:rPr>
          <w:rStyle w:val="Kkursywa"/>
          <w:rFonts w:asciiTheme="majorHAnsi" w:hAnsiTheme="majorHAnsi" w:cstheme="majorHAnsi"/>
        </w:rPr>
        <w:t>vacatio legis</w:t>
      </w:r>
      <w:r w:rsidRPr="00543D5B">
        <w:rPr>
          <w:rFonts w:asciiTheme="majorHAnsi" w:hAnsiTheme="majorHAnsi" w:cstheme="majorHAnsi"/>
        </w:rPr>
        <w:t xml:space="preserve"> będzie wystarczający na wprowadzenie różnic w stosunku do wymogów wynikających z obecnego brzmienia przepisów ustawy (dodatkowo przepis art. 11 ustawy także obliguje podmioty publiczne do corocznej weryfikacji i aktualizacji deklaracji dostępności).</w:t>
      </w:r>
    </w:p>
    <w:sectPr w:rsidR="00216BD4" w:rsidRPr="00543D5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4227D" w14:textId="77777777" w:rsidR="0073775D" w:rsidRDefault="0073775D">
      <w:r>
        <w:separator/>
      </w:r>
    </w:p>
  </w:endnote>
  <w:endnote w:type="continuationSeparator" w:id="0">
    <w:p w14:paraId="63B4A5AD" w14:textId="77777777" w:rsidR="0073775D" w:rsidRDefault="0073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2D12E" w14:textId="77777777" w:rsidR="0073775D" w:rsidRDefault="0073775D">
      <w:r>
        <w:separator/>
      </w:r>
    </w:p>
  </w:footnote>
  <w:footnote w:type="continuationSeparator" w:id="0">
    <w:p w14:paraId="3BE297C6" w14:textId="77777777" w:rsidR="0073775D" w:rsidRDefault="00737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4F255" w14:textId="4B2766F9" w:rsidR="00D91854" w:rsidRPr="00B371CC" w:rsidRDefault="00D9185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1588A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903DF"/>
    <w:multiLevelType w:val="hybridMultilevel"/>
    <w:tmpl w:val="2932BA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496C34"/>
    <w:multiLevelType w:val="multilevel"/>
    <w:tmpl w:val="00528A26"/>
    <w:lvl w:ilvl="0">
      <w:start w:val="1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BD02C79"/>
    <w:multiLevelType w:val="hybridMultilevel"/>
    <w:tmpl w:val="5786318E"/>
    <w:lvl w:ilvl="0" w:tplc="B968648A">
      <w:start w:val="1"/>
      <w:numFmt w:val="decimal"/>
      <w:lvlText w:val="%1)"/>
      <w:lvlJc w:val="left"/>
      <w:pPr>
        <w:ind w:left="155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70" w:hanging="360"/>
      </w:pPr>
    </w:lvl>
    <w:lvl w:ilvl="2" w:tplc="0415001B" w:tentative="1">
      <w:start w:val="1"/>
      <w:numFmt w:val="lowerRoman"/>
      <w:lvlText w:val="%3."/>
      <w:lvlJc w:val="right"/>
      <w:pPr>
        <w:ind w:left="2990" w:hanging="180"/>
      </w:pPr>
    </w:lvl>
    <w:lvl w:ilvl="3" w:tplc="0415000F" w:tentative="1">
      <w:start w:val="1"/>
      <w:numFmt w:val="decimal"/>
      <w:lvlText w:val="%4."/>
      <w:lvlJc w:val="left"/>
      <w:pPr>
        <w:ind w:left="3710" w:hanging="360"/>
      </w:pPr>
    </w:lvl>
    <w:lvl w:ilvl="4" w:tplc="04150019" w:tentative="1">
      <w:start w:val="1"/>
      <w:numFmt w:val="lowerLetter"/>
      <w:lvlText w:val="%5."/>
      <w:lvlJc w:val="left"/>
      <w:pPr>
        <w:ind w:left="4430" w:hanging="360"/>
      </w:pPr>
    </w:lvl>
    <w:lvl w:ilvl="5" w:tplc="0415001B" w:tentative="1">
      <w:start w:val="1"/>
      <w:numFmt w:val="lowerRoman"/>
      <w:lvlText w:val="%6."/>
      <w:lvlJc w:val="right"/>
      <w:pPr>
        <w:ind w:left="5150" w:hanging="180"/>
      </w:pPr>
    </w:lvl>
    <w:lvl w:ilvl="6" w:tplc="0415000F" w:tentative="1">
      <w:start w:val="1"/>
      <w:numFmt w:val="decimal"/>
      <w:lvlText w:val="%7."/>
      <w:lvlJc w:val="left"/>
      <w:pPr>
        <w:ind w:left="5870" w:hanging="360"/>
      </w:pPr>
    </w:lvl>
    <w:lvl w:ilvl="7" w:tplc="04150019" w:tentative="1">
      <w:start w:val="1"/>
      <w:numFmt w:val="lowerLetter"/>
      <w:lvlText w:val="%8."/>
      <w:lvlJc w:val="left"/>
      <w:pPr>
        <w:ind w:left="6590" w:hanging="360"/>
      </w:pPr>
    </w:lvl>
    <w:lvl w:ilvl="8" w:tplc="0415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3D2875C0"/>
    <w:multiLevelType w:val="hybridMultilevel"/>
    <w:tmpl w:val="4EEAC6A0"/>
    <w:lvl w:ilvl="0" w:tplc="04150011">
      <w:start w:val="1"/>
      <w:numFmt w:val="decimal"/>
      <w:lvlText w:val="%1)"/>
      <w:lvlJc w:val="left"/>
      <w:pPr>
        <w:ind w:left="1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40" w:hanging="360"/>
      </w:pPr>
    </w:lvl>
    <w:lvl w:ilvl="2" w:tplc="0415001B" w:tentative="1">
      <w:start w:val="1"/>
      <w:numFmt w:val="lowerRoman"/>
      <w:lvlText w:val="%3."/>
      <w:lvlJc w:val="right"/>
      <w:pPr>
        <w:ind w:left="3160" w:hanging="180"/>
      </w:pPr>
    </w:lvl>
    <w:lvl w:ilvl="3" w:tplc="0415000F" w:tentative="1">
      <w:start w:val="1"/>
      <w:numFmt w:val="decimal"/>
      <w:lvlText w:val="%4."/>
      <w:lvlJc w:val="left"/>
      <w:pPr>
        <w:ind w:left="3880" w:hanging="360"/>
      </w:pPr>
    </w:lvl>
    <w:lvl w:ilvl="4" w:tplc="04150019" w:tentative="1">
      <w:start w:val="1"/>
      <w:numFmt w:val="lowerLetter"/>
      <w:lvlText w:val="%5."/>
      <w:lvlJc w:val="left"/>
      <w:pPr>
        <w:ind w:left="4600" w:hanging="360"/>
      </w:pPr>
    </w:lvl>
    <w:lvl w:ilvl="5" w:tplc="0415001B" w:tentative="1">
      <w:start w:val="1"/>
      <w:numFmt w:val="lowerRoman"/>
      <w:lvlText w:val="%6."/>
      <w:lvlJc w:val="right"/>
      <w:pPr>
        <w:ind w:left="5320" w:hanging="180"/>
      </w:pPr>
    </w:lvl>
    <w:lvl w:ilvl="6" w:tplc="0415000F" w:tentative="1">
      <w:start w:val="1"/>
      <w:numFmt w:val="decimal"/>
      <w:lvlText w:val="%7."/>
      <w:lvlJc w:val="left"/>
      <w:pPr>
        <w:ind w:left="6040" w:hanging="360"/>
      </w:pPr>
    </w:lvl>
    <w:lvl w:ilvl="7" w:tplc="04150019" w:tentative="1">
      <w:start w:val="1"/>
      <w:numFmt w:val="lowerLetter"/>
      <w:lvlText w:val="%8."/>
      <w:lvlJc w:val="left"/>
      <w:pPr>
        <w:ind w:left="6760" w:hanging="360"/>
      </w:pPr>
    </w:lvl>
    <w:lvl w:ilvl="8" w:tplc="0415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4" w15:restartNumberingAfterBreak="0">
    <w:nsid w:val="5BD82BFA"/>
    <w:multiLevelType w:val="hybridMultilevel"/>
    <w:tmpl w:val="8C74E8E6"/>
    <w:lvl w:ilvl="0" w:tplc="8576875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45BCE"/>
    <w:multiLevelType w:val="hybridMultilevel"/>
    <w:tmpl w:val="CB389E92"/>
    <w:lvl w:ilvl="0" w:tplc="0415000F">
      <w:start w:val="1"/>
      <w:numFmt w:val="decimal"/>
      <w:lvlText w:val="%1.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64916450"/>
    <w:multiLevelType w:val="hybridMultilevel"/>
    <w:tmpl w:val="6900AD2E"/>
    <w:lvl w:ilvl="0" w:tplc="1626FF7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65AB2147"/>
    <w:multiLevelType w:val="hybridMultilevel"/>
    <w:tmpl w:val="C2805D12"/>
    <w:lvl w:ilvl="0" w:tplc="B1744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08F"/>
    <w:rsid w:val="000012DA"/>
    <w:rsid w:val="0000246E"/>
    <w:rsid w:val="00003862"/>
    <w:rsid w:val="0000493B"/>
    <w:rsid w:val="00004A33"/>
    <w:rsid w:val="00004CC6"/>
    <w:rsid w:val="00005B38"/>
    <w:rsid w:val="000123BF"/>
    <w:rsid w:val="00012A35"/>
    <w:rsid w:val="00015201"/>
    <w:rsid w:val="00015C44"/>
    <w:rsid w:val="00015F92"/>
    <w:rsid w:val="00016099"/>
    <w:rsid w:val="00017DC2"/>
    <w:rsid w:val="00021522"/>
    <w:rsid w:val="00023471"/>
    <w:rsid w:val="00023580"/>
    <w:rsid w:val="00023F13"/>
    <w:rsid w:val="0002463E"/>
    <w:rsid w:val="000252FD"/>
    <w:rsid w:val="00026626"/>
    <w:rsid w:val="00027ACD"/>
    <w:rsid w:val="00030634"/>
    <w:rsid w:val="00030ACC"/>
    <w:rsid w:val="0003164D"/>
    <w:rsid w:val="000319C1"/>
    <w:rsid w:val="00031A8B"/>
    <w:rsid w:val="00031BCA"/>
    <w:rsid w:val="00031E68"/>
    <w:rsid w:val="000330FA"/>
    <w:rsid w:val="00033583"/>
    <w:rsid w:val="0003362F"/>
    <w:rsid w:val="00033936"/>
    <w:rsid w:val="00033BC7"/>
    <w:rsid w:val="00036B63"/>
    <w:rsid w:val="00037E1A"/>
    <w:rsid w:val="00043495"/>
    <w:rsid w:val="000445C1"/>
    <w:rsid w:val="00046A75"/>
    <w:rsid w:val="00046DEB"/>
    <w:rsid w:val="00047312"/>
    <w:rsid w:val="000508BD"/>
    <w:rsid w:val="000517AB"/>
    <w:rsid w:val="0005339C"/>
    <w:rsid w:val="0005402B"/>
    <w:rsid w:val="0005571B"/>
    <w:rsid w:val="0005613B"/>
    <w:rsid w:val="00057AB3"/>
    <w:rsid w:val="00060076"/>
    <w:rsid w:val="00060432"/>
    <w:rsid w:val="000609CA"/>
    <w:rsid w:val="00060D87"/>
    <w:rsid w:val="000615A5"/>
    <w:rsid w:val="00064E4C"/>
    <w:rsid w:val="000657BF"/>
    <w:rsid w:val="00066901"/>
    <w:rsid w:val="00071BEE"/>
    <w:rsid w:val="00072FCA"/>
    <w:rsid w:val="000736CD"/>
    <w:rsid w:val="0007533B"/>
    <w:rsid w:val="0007545D"/>
    <w:rsid w:val="000760BF"/>
    <w:rsid w:val="0007613E"/>
    <w:rsid w:val="00076868"/>
    <w:rsid w:val="00076BFC"/>
    <w:rsid w:val="000814A7"/>
    <w:rsid w:val="000815F7"/>
    <w:rsid w:val="0008557B"/>
    <w:rsid w:val="00085CE7"/>
    <w:rsid w:val="0008654E"/>
    <w:rsid w:val="00087045"/>
    <w:rsid w:val="00087FAF"/>
    <w:rsid w:val="000906EE"/>
    <w:rsid w:val="00090B3E"/>
    <w:rsid w:val="00091BA2"/>
    <w:rsid w:val="000944EF"/>
    <w:rsid w:val="0009732D"/>
    <w:rsid w:val="000973F0"/>
    <w:rsid w:val="000A1279"/>
    <w:rsid w:val="000A1296"/>
    <w:rsid w:val="000A18A2"/>
    <w:rsid w:val="000A1C27"/>
    <w:rsid w:val="000A1DAD"/>
    <w:rsid w:val="000A2649"/>
    <w:rsid w:val="000A2BD4"/>
    <w:rsid w:val="000A323B"/>
    <w:rsid w:val="000A32D9"/>
    <w:rsid w:val="000A5CA2"/>
    <w:rsid w:val="000A66D1"/>
    <w:rsid w:val="000A767F"/>
    <w:rsid w:val="000B298D"/>
    <w:rsid w:val="000B5B2D"/>
    <w:rsid w:val="000B5DCE"/>
    <w:rsid w:val="000B7221"/>
    <w:rsid w:val="000C05BA"/>
    <w:rsid w:val="000C0E8F"/>
    <w:rsid w:val="000C16E6"/>
    <w:rsid w:val="000C2A0D"/>
    <w:rsid w:val="000C2A68"/>
    <w:rsid w:val="000C4BC4"/>
    <w:rsid w:val="000D0110"/>
    <w:rsid w:val="000D1FF2"/>
    <w:rsid w:val="000D2468"/>
    <w:rsid w:val="000D318A"/>
    <w:rsid w:val="000D6173"/>
    <w:rsid w:val="000D65EB"/>
    <w:rsid w:val="000D6F83"/>
    <w:rsid w:val="000D76B7"/>
    <w:rsid w:val="000E05C5"/>
    <w:rsid w:val="000E06B0"/>
    <w:rsid w:val="000E06C4"/>
    <w:rsid w:val="000E25CC"/>
    <w:rsid w:val="000E3694"/>
    <w:rsid w:val="000E490F"/>
    <w:rsid w:val="000E6241"/>
    <w:rsid w:val="000F2BE3"/>
    <w:rsid w:val="000F3D0D"/>
    <w:rsid w:val="000F6ED4"/>
    <w:rsid w:val="000F7A6E"/>
    <w:rsid w:val="001019C9"/>
    <w:rsid w:val="00101AB2"/>
    <w:rsid w:val="001042BA"/>
    <w:rsid w:val="00104A68"/>
    <w:rsid w:val="00105292"/>
    <w:rsid w:val="00106D03"/>
    <w:rsid w:val="00106DA1"/>
    <w:rsid w:val="0011014C"/>
    <w:rsid w:val="00110465"/>
    <w:rsid w:val="00110628"/>
    <w:rsid w:val="0011245A"/>
    <w:rsid w:val="00113F5F"/>
    <w:rsid w:val="0011493E"/>
    <w:rsid w:val="00114D62"/>
    <w:rsid w:val="00115B72"/>
    <w:rsid w:val="00116851"/>
    <w:rsid w:val="00116994"/>
    <w:rsid w:val="00116F24"/>
    <w:rsid w:val="00117094"/>
    <w:rsid w:val="00117E00"/>
    <w:rsid w:val="00117EAD"/>
    <w:rsid w:val="001209EC"/>
    <w:rsid w:val="00120A9E"/>
    <w:rsid w:val="00125A9C"/>
    <w:rsid w:val="00125B5A"/>
    <w:rsid w:val="00125DD9"/>
    <w:rsid w:val="001270A2"/>
    <w:rsid w:val="001270EE"/>
    <w:rsid w:val="00131237"/>
    <w:rsid w:val="001318B3"/>
    <w:rsid w:val="001329AC"/>
    <w:rsid w:val="00132E42"/>
    <w:rsid w:val="00134CA0"/>
    <w:rsid w:val="0013777D"/>
    <w:rsid w:val="0014026F"/>
    <w:rsid w:val="00141DFE"/>
    <w:rsid w:val="00144E8E"/>
    <w:rsid w:val="0014653C"/>
    <w:rsid w:val="00147A47"/>
    <w:rsid w:val="00147AA1"/>
    <w:rsid w:val="00151922"/>
    <w:rsid w:val="001520CF"/>
    <w:rsid w:val="00153622"/>
    <w:rsid w:val="0015667C"/>
    <w:rsid w:val="00157110"/>
    <w:rsid w:val="0015742A"/>
    <w:rsid w:val="00157DA1"/>
    <w:rsid w:val="00161C06"/>
    <w:rsid w:val="00163147"/>
    <w:rsid w:val="00164C57"/>
    <w:rsid w:val="00164C9D"/>
    <w:rsid w:val="00165082"/>
    <w:rsid w:val="001702A9"/>
    <w:rsid w:val="00172F7A"/>
    <w:rsid w:val="00173150"/>
    <w:rsid w:val="00173390"/>
    <w:rsid w:val="001736F0"/>
    <w:rsid w:val="00173BB3"/>
    <w:rsid w:val="001740D0"/>
    <w:rsid w:val="00174F2C"/>
    <w:rsid w:val="00175701"/>
    <w:rsid w:val="001764C1"/>
    <w:rsid w:val="00177976"/>
    <w:rsid w:val="0018003F"/>
    <w:rsid w:val="001806FA"/>
    <w:rsid w:val="00180F2A"/>
    <w:rsid w:val="0018368E"/>
    <w:rsid w:val="00184B91"/>
    <w:rsid w:val="00184D4A"/>
    <w:rsid w:val="00186082"/>
    <w:rsid w:val="00186EC1"/>
    <w:rsid w:val="001874FF"/>
    <w:rsid w:val="00187583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85E"/>
    <w:rsid w:val="001A5255"/>
    <w:rsid w:val="001A5BEF"/>
    <w:rsid w:val="001A6085"/>
    <w:rsid w:val="001A7AA9"/>
    <w:rsid w:val="001A7F15"/>
    <w:rsid w:val="001B342E"/>
    <w:rsid w:val="001B66FD"/>
    <w:rsid w:val="001B7BD5"/>
    <w:rsid w:val="001C0AC4"/>
    <w:rsid w:val="001C1832"/>
    <w:rsid w:val="001C188C"/>
    <w:rsid w:val="001C2250"/>
    <w:rsid w:val="001C2B60"/>
    <w:rsid w:val="001C3905"/>
    <w:rsid w:val="001C532B"/>
    <w:rsid w:val="001C583C"/>
    <w:rsid w:val="001C5981"/>
    <w:rsid w:val="001C6314"/>
    <w:rsid w:val="001C6C0A"/>
    <w:rsid w:val="001D0B55"/>
    <w:rsid w:val="001D1091"/>
    <w:rsid w:val="001D1783"/>
    <w:rsid w:val="001D225F"/>
    <w:rsid w:val="001D25C9"/>
    <w:rsid w:val="001D53CD"/>
    <w:rsid w:val="001D551A"/>
    <w:rsid w:val="001D55A3"/>
    <w:rsid w:val="001D5AF5"/>
    <w:rsid w:val="001D5F6C"/>
    <w:rsid w:val="001D608F"/>
    <w:rsid w:val="001E1E73"/>
    <w:rsid w:val="001E3B8F"/>
    <w:rsid w:val="001E4E0C"/>
    <w:rsid w:val="001E526D"/>
    <w:rsid w:val="001E5655"/>
    <w:rsid w:val="001E7CB1"/>
    <w:rsid w:val="001F1832"/>
    <w:rsid w:val="001F220F"/>
    <w:rsid w:val="001F23D6"/>
    <w:rsid w:val="001F25B3"/>
    <w:rsid w:val="001F2F9B"/>
    <w:rsid w:val="001F3D1F"/>
    <w:rsid w:val="001F41A0"/>
    <w:rsid w:val="001F4DDB"/>
    <w:rsid w:val="001F60F0"/>
    <w:rsid w:val="001F6616"/>
    <w:rsid w:val="00201DF4"/>
    <w:rsid w:val="00202BD4"/>
    <w:rsid w:val="00204A97"/>
    <w:rsid w:val="002109BF"/>
    <w:rsid w:val="00210E7A"/>
    <w:rsid w:val="0021149F"/>
    <w:rsid w:val="002114EF"/>
    <w:rsid w:val="00216128"/>
    <w:rsid w:val="002166AD"/>
    <w:rsid w:val="00216BD4"/>
    <w:rsid w:val="00217151"/>
    <w:rsid w:val="00217871"/>
    <w:rsid w:val="00221ED8"/>
    <w:rsid w:val="00222651"/>
    <w:rsid w:val="002231EA"/>
    <w:rsid w:val="00223522"/>
    <w:rsid w:val="00223FDF"/>
    <w:rsid w:val="00225A70"/>
    <w:rsid w:val="002279C0"/>
    <w:rsid w:val="00232DFC"/>
    <w:rsid w:val="00234097"/>
    <w:rsid w:val="00234FC5"/>
    <w:rsid w:val="0023509A"/>
    <w:rsid w:val="00236891"/>
    <w:rsid w:val="0023705C"/>
    <w:rsid w:val="0023727E"/>
    <w:rsid w:val="00240520"/>
    <w:rsid w:val="00241C13"/>
    <w:rsid w:val="00242081"/>
    <w:rsid w:val="00242739"/>
    <w:rsid w:val="00243777"/>
    <w:rsid w:val="002441CD"/>
    <w:rsid w:val="00246BC1"/>
    <w:rsid w:val="002470A5"/>
    <w:rsid w:val="002501A3"/>
    <w:rsid w:val="00250AE5"/>
    <w:rsid w:val="0025166C"/>
    <w:rsid w:val="00252AB4"/>
    <w:rsid w:val="002539BF"/>
    <w:rsid w:val="0025452C"/>
    <w:rsid w:val="002555D4"/>
    <w:rsid w:val="0025678A"/>
    <w:rsid w:val="00261A16"/>
    <w:rsid w:val="00263522"/>
    <w:rsid w:val="00263A28"/>
    <w:rsid w:val="00264A1E"/>
    <w:rsid w:val="00264EC6"/>
    <w:rsid w:val="002659DE"/>
    <w:rsid w:val="00270F50"/>
    <w:rsid w:val="00271013"/>
    <w:rsid w:val="00273FE4"/>
    <w:rsid w:val="002765B4"/>
    <w:rsid w:val="00276A94"/>
    <w:rsid w:val="00277CDF"/>
    <w:rsid w:val="00277D15"/>
    <w:rsid w:val="00280A21"/>
    <w:rsid w:val="00283538"/>
    <w:rsid w:val="0028379E"/>
    <w:rsid w:val="002915B1"/>
    <w:rsid w:val="00293D0D"/>
    <w:rsid w:val="00293E22"/>
    <w:rsid w:val="0029405D"/>
    <w:rsid w:val="00294FA6"/>
    <w:rsid w:val="00295A6F"/>
    <w:rsid w:val="0029797F"/>
    <w:rsid w:val="002A167A"/>
    <w:rsid w:val="002A20C4"/>
    <w:rsid w:val="002A31F7"/>
    <w:rsid w:val="002A3936"/>
    <w:rsid w:val="002A5351"/>
    <w:rsid w:val="002A570F"/>
    <w:rsid w:val="002A65F3"/>
    <w:rsid w:val="002A682B"/>
    <w:rsid w:val="002A7292"/>
    <w:rsid w:val="002A7358"/>
    <w:rsid w:val="002A7902"/>
    <w:rsid w:val="002B05A7"/>
    <w:rsid w:val="002B0CA7"/>
    <w:rsid w:val="002B0D94"/>
    <w:rsid w:val="002B0F6B"/>
    <w:rsid w:val="002B23B8"/>
    <w:rsid w:val="002B281C"/>
    <w:rsid w:val="002B4429"/>
    <w:rsid w:val="002B68A6"/>
    <w:rsid w:val="002B7FAF"/>
    <w:rsid w:val="002C1D88"/>
    <w:rsid w:val="002C26A3"/>
    <w:rsid w:val="002C2700"/>
    <w:rsid w:val="002C62BF"/>
    <w:rsid w:val="002C6BCC"/>
    <w:rsid w:val="002D0C4F"/>
    <w:rsid w:val="002D1364"/>
    <w:rsid w:val="002D1D0D"/>
    <w:rsid w:val="002D3191"/>
    <w:rsid w:val="002D36AF"/>
    <w:rsid w:val="002D3FAB"/>
    <w:rsid w:val="002D4D30"/>
    <w:rsid w:val="002D5000"/>
    <w:rsid w:val="002D598D"/>
    <w:rsid w:val="002D7188"/>
    <w:rsid w:val="002D7BB4"/>
    <w:rsid w:val="002E1DE3"/>
    <w:rsid w:val="002E2AB6"/>
    <w:rsid w:val="002E3F34"/>
    <w:rsid w:val="002E525A"/>
    <w:rsid w:val="002E5F79"/>
    <w:rsid w:val="002E64FA"/>
    <w:rsid w:val="002E7253"/>
    <w:rsid w:val="002F0A00"/>
    <w:rsid w:val="002F0CFA"/>
    <w:rsid w:val="002F0EBC"/>
    <w:rsid w:val="002F187D"/>
    <w:rsid w:val="002F4127"/>
    <w:rsid w:val="002F669F"/>
    <w:rsid w:val="002F6A78"/>
    <w:rsid w:val="00301C97"/>
    <w:rsid w:val="00305628"/>
    <w:rsid w:val="00306430"/>
    <w:rsid w:val="00307109"/>
    <w:rsid w:val="00307D9C"/>
    <w:rsid w:val="0031004C"/>
    <w:rsid w:val="003105F6"/>
    <w:rsid w:val="00311297"/>
    <w:rsid w:val="003113BE"/>
    <w:rsid w:val="003122CA"/>
    <w:rsid w:val="003148FD"/>
    <w:rsid w:val="00315EDA"/>
    <w:rsid w:val="003172E8"/>
    <w:rsid w:val="00317D1D"/>
    <w:rsid w:val="003208F2"/>
    <w:rsid w:val="00321080"/>
    <w:rsid w:val="00322D45"/>
    <w:rsid w:val="00324F8F"/>
    <w:rsid w:val="0032569A"/>
    <w:rsid w:val="00325A1F"/>
    <w:rsid w:val="003268F9"/>
    <w:rsid w:val="00330BAF"/>
    <w:rsid w:val="00331FFC"/>
    <w:rsid w:val="00334E3A"/>
    <w:rsid w:val="003352B8"/>
    <w:rsid w:val="003361DD"/>
    <w:rsid w:val="00341113"/>
    <w:rsid w:val="00341A6A"/>
    <w:rsid w:val="00343874"/>
    <w:rsid w:val="00345B9C"/>
    <w:rsid w:val="00346AFC"/>
    <w:rsid w:val="00347D54"/>
    <w:rsid w:val="003505BE"/>
    <w:rsid w:val="00352DAE"/>
    <w:rsid w:val="0035314D"/>
    <w:rsid w:val="00354EB9"/>
    <w:rsid w:val="00357B62"/>
    <w:rsid w:val="003602AE"/>
    <w:rsid w:val="00360929"/>
    <w:rsid w:val="003647D5"/>
    <w:rsid w:val="0036710F"/>
    <w:rsid w:val="003674B0"/>
    <w:rsid w:val="00367FB6"/>
    <w:rsid w:val="003720F5"/>
    <w:rsid w:val="0037727C"/>
    <w:rsid w:val="00377E70"/>
    <w:rsid w:val="00380904"/>
    <w:rsid w:val="003823EE"/>
    <w:rsid w:val="00382960"/>
    <w:rsid w:val="00382CC7"/>
    <w:rsid w:val="00382D53"/>
    <w:rsid w:val="00383B88"/>
    <w:rsid w:val="003846F7"/>
    <w:rsid w:val="003851ED"/>
    <w:rsid w:val="00385B39"/>
    <w:rsid w:val="00386785"/>
    <w:rsid w:val="00390A62"/>
    <w:rsid w:val="00390E89"/>
    <w:rsid w:val="00390F01"/>
    <w:rsid w:val="003912A1"/>
    <w:rsid w:val="00391B1A"/>
    <w:rsid w:val="00394423"/>
    <w:rsid w:val="00395844"/>
    <w:rsid w:val="00396942"/>
    <w:rsid w:val="00396B49"/>
    <w:rsid w:val="00396E3E"/>
    <w:rsid w:val="003A306E"/>
    <w:rsid w:val="003A60DC"/>
    <w:rsid w:val="003A6A46"/>
    <w:rsid w:val="003A769E"/>
    <w:rsid w:val="003A7A63"/>
    <w:rsid w:val="003B000C"/>
    <w:rsid w:val="003B0F1D"/>
    <w:rsid w:val="003B404E"/>
    <w:rsid w:val="003B4A57"/>
    <w:rsid w:val="003B4A9C"/>
    <w:rsid w:val="003B75CD"/>
    <w:rsid w:val="003C0AD9"/>
    <w:rsid w:val="003C0B70"/>
    <w:rsid w:val="003C0DCC"/>
    <w:rsid w:val="003C0ED0"/>
    <w:rsid w:val="003C1D49"/>
    <w:rsid w:val="003C35C4"/>
    <w:rsid w:val="003C4035"/>
    <w:rsid w:val="003C68D1"/>
    <w:rsid w:val="003D12C2"/>
    <w:rsid w:val="003D266C"/>
    <w:rsid w:val="003D31B9"/>
    <w:rsid w:val="003D350F"/>
    <w:rsid w:val="003D3867"/>
    <w:rsid w:val="003D4F5B"/>
    <w:rsid w:val="003D7CBA"/>
    <w:rsid w:val="003E0D1A"/>
    <w:rsid w:val="003E2DA3"/>
    <w:rsid w:val="003E3495"/>
    <w:rsid w:val="003E375B"/>
    <w:rsid w:val="003E4AFC"/>
    <w:rsid w:val="003E4F3A"/>
    <w:rsid w:val="003E667B"/>
    <w:rsid w:val="003F020D"/>
    <w:rsid w:val="003F03D9"/>
    <w:rsid w:val="003F2FBE"/>
    <w:rsid w:val="003F318D"/>
    <w:rsid w:val="003F3562"/>
    <w:rsid w:val="003F42FD"/>
    <w:rsid w:val="003F524E"/>
    <w:rsid w:val="003F52FE"/>
    <w:rsid w:val="003F5BAE"/>
    <w:rsid w:val="003F6ED7"/>
    <w:rsid w:val="003F704B"/>
    <w:rsid w:val="0040196D"/>
    <w:rsid w:val="00401C84"/>
    <w:rsid w:val="00403210"/>
    <w:rsid w:val="004035BB"/>
    <w:rsid w:val="004035EB"/>
    <w:rsid w:val="0040405D"/>
    <w:rsid w:val="00405AD1"/>
    <w:rsid w:val="00406BD4"/>
    <w:rsid w:val="00407332"/>
    <w:rsid w:val="00407828"/>
    <w:rsid w:val="0041050B"/>
    <w:rsid w:val="00413328"/>
    <w:rsid w:val="00413739"/>
    <w:rsid w:val="00413D8E"/>
    <w:rsid w:val="004140F2"/>
    <w:rsid w:val="00414F18"/>
    <w:rsid w:val="00415000"/>
    <w:rsid w:val="00416FDC"/>
    <w:rsid w:val="00417B22"/>
    <w:rsid w:val="00421059"/>
    <w:rsid w:val="00421085"/>
    <w:rsid w:val="00422766"/>
    <w:rsid w:val="00423B7C"/>
    <w:rsid w:val="0042465E"/>
    <w:rsid w:val="00424DF7"/>
    <w:rsid w:val="00426964"/>
    <w:rsid w:val="00432B76"/>
    <w:rsid w:val="0043375F"/>
    <w:rsid w:val="0043485E"/>
    <w:rsid w:val="00434D01"/>
    <w:rsid w:val="00435D26"/>
    <w:rsid w:val="00440327"/>
    <w:rsid w:val="00440C99"/>
    <w:rsid w:val="0044175C"/>
    <w:rsid w:val="00443A27"/>
    <w:rsid w:val="00445F4D"/>
    <w:rsid w:val="00447DFE"/>
    <w:rsid w:val="004504C0"/>
    <w:rsid w:val="00450B92"/>
    <w:rsid w:val="004512EC"/>
    <w:rsid w:val="004535B0"/>
    <w:rsid w:val="0045457D"/>
    <w:rsid w:val="004550FB"/>
    <w:rsid w:val="00455DD5"/>
    <w:rsid w:val="00456184"/>
    <w:rsid w:val="00460CA3"/>
    <w:rsid w:val="0046111A"/>
    <w:rsid w:val="00461CBD"/>
    <w:rsid w:val="00462946"/>
    <w:rsid w:val="00463F43"/>
    <w:rsid w:val="00464B94"/>
    <w:rsid w:val="004653A8"/>
    <w:rsid w:val="004657E0"/>
    <w:rsid w:val="00465A0B"/>
    <w:rsid w:val="00465AC8"/>
    <w:rsid w:val="00467CBE"/>
    <w:rsid w:val="004703E4"/>
    <w:rsid w:val="0047077C"/>
    <w:rsid w:val="00470B05"/>
    <w:rsid w:val="00471979"/>
    <w:rsid w:val="00471B75"/>
    <w:rsid w:val="0047207C"/>
    <w:rsid w:val="00472CD6"/>
    <w:rsid w:val="00474E3C"/>
    <w:rsid w:val="0047514B"/>
    <w:rsid w:val="00475E3D"/>
    <w:rsid w:val="004800F9"/>
    <w:rsid w:val="004804F8"/>
    <w:rsid w:val="00480A58"/>
    <w:rsid w:val="004817B3"/>
    <w:rsid w:val="00482151"/>
    <w:rsid w:val="004835AD"/>
    <w:rsid w:val="00485C67"/>
    <w:rsid w:val="00485FAD"/>
    <w:rsid w:val="00487AED"/>
    <w:rsid w:val="00491EDF"/>
    <w:rsid w:val="00492A3F"/>
    <w:rsid w:val="00492C6D"/>
    <w:rsid w:val="00492F8C"/>
    <w:rsid w:val="00493A03"/>
    <w:rsid w:val="0049494F"/>
    <w:rsid w:val="00494F62"/>
    <w:rsid w:val="00495E9B"/>
    <w:rsid w:val="00495F59"/>
    <w:rsid w:val="00497446"/>
    <w:rsid w:val="004A2001"/>
    <w:rsid w:val="004A2C11"/>
    <w:rsid w:val="004A3590"/>
    <w:rsid w:val="004A73D1"/>
    <w:rsid w:val="004B00A7"/>
    <w:rsid w:val="004B1D23"/>
    <w:rsid w:val="004B25E2"/>
    <w:rsid w:val="004B34D7"/>
    <w:rsid w:val="004B4B0F"/>
    <w:rsid w:val="004B5037"/>
    <w:rsid w:val="004B55C9"/>
    <w:rsid w:val="004B5B2F"/>
    <w:rsid w:val="004B626A"/>
    <w:rsid w:val="004B660E"/>
    <w:rsid w:val="004B7352"/>
    <w:rsid w:val="004C05BD"/>
    <w:rsid w:val="004C3B06"/>
    <w:rsid w:val="004C3F97"/>
    <w:rsid w:val="004C7EE7"/>
    <w:rsid w:val="004D12F5"/>
    <w:rsid w:val="004D132B"/>
    <w:rsid w:val="004D28C8"/>
    <w:rsid w:val="004D2DEE"/>
    <w:rsid w:val="004D2E1F"/>
    <w:rsid w:val="004D3DE5"/>
    <w:rsid w:val="004D7FD9"/>
    <w:rsid w:val="004E06E1"/>
    <w:rsid w:val="004E09BD"/>
    <w:rsid w:val="004E1324"/>
    <w:rsid w:val="004E19A5"/>
    <w:rsid w:val="004E37E5"/>
    <w:rsid w:val="004E3FDB"/>
    <w:rsid w:val="004E58C0"/>
    <w:rsid w:val="004F1316"/>
    <w:rsid w:val="004F1F4A"/>
    <w:rsid w:val="004F296D"/>
    <w:rsid w:val="004F508B"/>
    <w:rsid w:val="004F5A70"/>
    <w:rsid w:val="004F695F"/>
    <w:rsid w:val="004F6CA4"/>
    <w:rsid w:val="005001FF"/>
    <w:rsid w:val="00500752"/>
    <w:rsid w:val="00501A50"/>
    <w:rsid w:val="0050222D"/>
    <w:rsid w:val="00503AF3"/>
    <w:rsid w:val="005053FA"/>
    <w:rsid w:val="0050696D"/>
    <w:rsid w:val="0051094B"/>
    <w:rsid w:val="005110D7"/>
    <w:rsid w:val="00511D99"/>
    <w:rsid w:val="005128D3"/>
    <w:rsid w:val="00512EFF"/>
    <w:rsid w:val="005147E8"/>
    <w:rsid w:val="005158F2"/>
    <w:rsid w:val="00520C5D"/>
    <w:rsid w:val="005248BD"/>
    <w:rsid w:val="00524EED"/>
    <w:rsid w:val="00525B2F"/>
    <w:rsid w:val="00526400"/>
    <w:rsid w:val="0052680A"/>
    <w:rsid w:val="00526DFC"/>
    <w:rsid w:val="00526F43"/>
    <w:rsid w:val="0052705B"/>
    <w:rsid w:val="005272A9"/>
    <w:rsid w:val="00527651"/>
    <w:rsid w:val="0053140F"/>
    <w:rsid w:val="00531BD0"/>
    <w:rsid w:val="00532458"/>
    <w:rsid w:val="00535F95"/>
    <w:rsid w:val="005363AB"/>
    <w:rsid w:val="00543D5B"/>
    <w:rsid w:val="00544EF4"/>
    <w:rsid w:val="005454A0"/>
    <w:rsid w:val="00545E53"/>
    <w:rsid w:val="00546410"/>
    <w:rsid w:val="005479D9"/>
    <w:rsid w:val="00551300"/>
    <w:rsid w:val="005534FF"/>
    <w:rsid w:val="005558A5"/>
    <w:rsid w:val="005572BD"/>
    <w:rsid w:val="0055756B"/>
    <w:rsid w:val="00557583"/>
    <w:rsid w:val="00557A12"/>
    <w:rsid w:val="00560AC7"/>
    <w:rsid w:val="00560EA1"/>
    <w:rsid w:val="00561AFB"/>
    <w:rsid w:val="00561FA8"/>
    <w:rsid w:val="00562F05"/>
    <w:rsid w:val="00563074"/>
    <w:rsid w:val="005635ED"/>
    <w:rsid w:val="00565253"/>
    <w:rsid w:val="00570191"/>
    <w:rsid w:val="00570570"/>
    <w:rsid w:val="00570C83"/>
    <w:rsid w:val="00571BAA"/>
    <w:rsid w:val="00572512"/>
    <w:rsid w:val="00573EE6"/>
    <w:rsid w:val="0057547F"/>
    <w:rsid w:val="005754EE"/>
    <w:rsid w:val="00575808"/>
    <w:rsid w:val="0057617E"/>
    <w:rsid w:val="005762B9"/>
    <w:rsid w:val="00576497"/>
    <w:rsid w:val="005832A2"/>
    <w:rsid w:val="005835E7"/>
    <w:rsid w:val="0058397F"/>
    <w:rsid w:val="00583BF8"/>
    <w:rsid w:val="00585F33"/>
    <w:rsid w:val="00591124"/>
    <w:rsid w:val="00594F70"/>
    <w:rsid w:val="005957DA"/>
    <w:rsid w:val="00597024"/>
    <w:rsid w:val="005971D0"/>
    <w:rsid w:val="00597A4E"/>
    <w:rsid w:val="005A0274"/>
    <w:rsid w:val="005A095C"/>
    <w:rsid w:val="005A1297"/>
    <w:rsid w:val="005A2518"/>
    <w:rsid w:val="005A3198"/>
    <w:rsid w:val="005A3861"/>
    <w:rsid w:val="005A5326"/>
    <w:rsid w:val="005A669D"/>
    <w:rsid w:val="005A75D8"/>
    <w:rsid w:val="005A77A3"/>
    <w:rsid w:val="005B5DA9"/>
    <w:rsid w:val="005B713E"/>
    <w:rsid w:val="005C0096"/>
    <w:rsid w:val="005C03B6"/>
    <w:rsid w:val="005C061F"/>
    <w:rsid w:val="005C1CDF"/>
    <w:rsid w:val="005C348E"/>
    <w:rsid w:val="005C34CF"/>
    <w:rsid w:val="005C60DF"/>
    <w:rsid w:val="005C68E1"/>
    <w:rsid w:val="005C7088"/>
    <w:rsid w:val="005D1AF7"/>
    <w:rsid w:val="005D2E0C"/>
    <w:rsid w:val="005D3763"/>
    <w:rsid w:val="005D55E1"/>
    <w:rsid w:val="005D5A7A"/>
    <w:rsid w:val="005D70A4"/>
    <w:rsid w:val="005D75CA"/>
    <w:rsid w:val="005D7DA0"/>
    <w:rsid w:val="005E14F3"/>
    <w:rsid w:val="005E19F7"/>
    <w:rsid w:val="005E3C11"/>
    <w:rsid w:val="005E3C6D"/>
    <w:rsid w:val="005E4F04"/>
    <w:rsid w:val="005E62C2"/>
    <w:rsid w:val="005E6C71"/>
    <w:rsid w:val="005E767C"/>
    <w:rsid w:val="005E795B"/>
    <w:rsid w:val="005F0963"/>
    <w:rsid w:val="005F1909"/>
    <w:rsid w:val="005F2265"/>
    <w:rsid w:val="005F2824"/>
    <w:rsid w:val="005F2EBA"/>
    <w:rsid w:val="005F35ED"/>
    <w:rsid w:val="005F5205"/>
    <w:rsid w:val="005F7812"/>
    <w:rsid w:val="005F7A88"/>
    <w:rsid w:val="00603A1A"/>
    <w:rsid w:val="006043F3"/>
    <w:rsid w:val="006046D5"/>
    <w:rsid w:val="0060536B"/>
    <w:rsid w:val="006059A4"/>
    <w:rsid w:val="00607A93"/>
    <w:rsid w:val="006104D1"/>
    <w:rsid w:val="00610C08"/>
    <w:rsid w:val="00610DEA"/>
    <w:rsid w:val="00611F74"/>
    <w:rsid w:val="006133D5"/>
    <w:rsid w:val="00615101"/>
    <w:rsid w:val="006152F7"/>
    <w:rsid w:val="00615772"/>
    <w:rsid w:val="0061588A"/>
    <w:rsid w:val="00621256"/>
    <w:rsid w:val="00621CB9"/>
    <w:rsid w:val="00621FCC"/>
    <w:rsid w:val="00622E4B"/>
    <w:rsid w:val="00624D4D"/>
    <w:rsid w:val="006333DA"/>
    <w:rsid w:val="00635134"/>
    <w:rsid w:val="006356E2"/>
    <w:rsid w:val="006361C7"/>
    <w:rsid w:val="00636200"/>
    <w:rsid w:val="00637CD4"/>
    <w:rsid w:val="00642A65"/>
    <w:rsid w:val="00644435"/>
    <w:rsid w:val="006449B7"/>
    <w:rsid w:val="00645DCE"/>
    <w:rsid w:val="006465AC"/>
    <w:rsid w:val="006465BF"/>
    <w:rsid w:val="00651726"/>
    <w:rsid w:val="00653B22"/>
    <w:rsid w:val="006546C8"/>
    <w:rsid w:val="00656968"/>
    <w:rsid w:val="00656B27"/>
    <w:rsid w:val="00657BF4"/>
    <w:rsid w:val="006603FB"/>
    <w:rsid w:val="006608DF"/>
    <w:rsid w:val="00661051"/>
    <w:rsid w:val="00661343"/>
    <w:rsid w:val="006617F4"/>
    <w:rsid w:val="006623AC"/>
    <w:rsid w:val="006623BF"/>
    <w:rsid w:val="006678AF"/>
    <w:rsid w:val="006701EF"/>
    <w:rsid w:val="0067162B"/>
    <w:rsid w:val="00672257"/>
    <w:rsid w:val="0067346B"/>
    <w:rsid w:val="00673BA5"/>
    <w:rsid w:val="006749DF"/>
    <w:rsid w:val="00680058"/>
    <w:rsid w:val="00681AF3"/>
    <w:rsid w:val="00681F9F"/>
    <w:rsid w:val="006831C9"/>
    <w:rsid w:val="0068383A"/>
    <w:rsid w:val="006840EA"/>
    <w:rsid w:val="006844E2"/>
    <w:rsid w:val="00685267"/>
    <w:rsid w:val="006872AE"/>
    <w:rsid w:val="00690082"/>
    <w:rsid w:val="00690252"/>
    <w:rsid w:val="006928AE"/>
    <w:rsid w:val="00692B45"/>
    <w:rsid w:val="00693BDC"/>
    <w:rsid w:val="006946BB"/>
    <w:rsid w:val="006969FA"/>
    <w:rsid w:val="006A0A15"/>
    <w:rsid w:val="006A2269"/>
    <w:rsid w:val="006A35D5"/>
    <w:rsid w:val="006A581E"/>
    <w:rsid w:val="006A748A"/>
    <w:rsid w:val="006B0A3B"/>
    <w:rsid w:val="006B20D4"/>
    <w:rsid w:val="006B27E2"/>
    <w:rsid w:val="006C2F35"/>
    <w:rsid w:val="006C419E"/>
    <w:rsid w:val="006C4A31"/>
    <w:rsid w:val="006C5AC2"/>
    <w:rsid w:val="006C6558"/>
    <w:rsid w:val="006C6AFB"/>
    <w:rsid w:val="006C7F91"/>
    <w:rsid w:val="006D0DCC"/>
    <w:rsid w:val="006D2735"/>
    <w:rsid w:val="006D45B2"/>
    <w:rsid w:val="006D5791"/>
    <w:rsid w:val="006D7EA1"/>
    <w:rsid w:val="006E0FCC"/>
    <w:rsid w:val="006E10B7"/>
    <w:rsid w:val="006E1E96"/>
    <w:rsid w:val="006E1F61"/>
    <w:rsid w:val="006E52AA"/>
    <w:rsid w:val="006E5E21"/>
    <w:rsid w:val="006F0FEB"/>
    <w:rsid w:val="006F1B95"/>
    <w:rsid w:val="006F1B9C"/>
    <w:rsid w:val="006F1E62"/>
    <w:rsid w:val="006F2648"/>
    <w:rsid w:val="006F2F10"/>
    <w:rsid w:val="006F482B"/>
    <w:rsid w:val="006F6311"/>
    <w:rsid w:val="006F7B3F"/>
    <w:rsid w:val="00701952"/>
    <w:rsid w:val="00701A45"/>
    <w:rsid w:val="00702556"/>
    <w:rsid w:val="0070277E"/>
    <w:rsid w:val="00703553"/>
    <w:rsid w:val="00704156"/>
    <w:rsid w:val="00704D91"/>
    <w:rsid w:val="007069FC"/>
    <w:rsid w:val="007075EA"/>
    <w:rsid w:val="00710917"/>
    <w:rsid w:val="00711221"/>
    <w:rsid w:val="007121C4"/>
    <w:rsid w:val="00712592"/>
    <w:rsid w:val="00712675"/>
    <w:rsid w:val="00713808"/>
    <w:rsid w:val="00714623"/>
    <w:rsid w:val="007151B6"/>
    <w:rsid w:val="0071520D"/>
    <w:rsid w:val="00715DB2"/>
    <w:rsid w:val="00715EDB"/>
    <w:rsid w:val="007160D5"/>
    <w:rsid w:val="007163FB"/>
    <w:rsid w:val="007165C6"/>
    <w:rsid w:val="0071697A"/>
    <w:rsid w:val="00717085"/>
    <w:rsid w:val="00717C2E"/>
    <w:rsid w:val="007204FA"/>
    <w:rsid w:val="007213B3"/>
    <w:rsid w:val="00721CFE"/>
    <w:rsid w:val="0072457F"/>
    <w:rsid w:val="0072492C"/>
    <w:rsid w:val="00725406"/>
    <w:rsid w:val="0072621B"/>
    <w:rsid w:val="0072643D"/>
    <w:rsid w:val="00726735"/>
    <w:rsid w:val="00730555"/>
    <w:rsid w:val="00730F5D"/>
    <w:rsid w:val="007310EA"/>
    <w:rsid w:val="007312CC"/>
    <w:rsid w:val="00731B04"/>
    <w:rsid w:val="00736A64"/>
    <w:rsid w:val="0073775D"/>
    <w:rsid w:val="00737F6A"/>
    <w:rsid w:val="00740640"/>
    <w:rsid w:val="007410B6"/>
    <w:rsid w:val="00743608"/>
    <w:rsid w:val="00743973"/>
    <w:rsid w:val="00744AB7"/>
    <w:rsid w:val="00744C6F"/>
    <w:rsid w:val="007457F6"/>
    <w:rsid w:val="00745ABB"/>
    <w:rsid w:val="00746B1F"/>
    <w:rsid w:val="00746E38"/>
    <w:rsid w:val="00747CD5"/>
    <w:rsid w:val="00750700"/>
    <w:rsid w:val="00750874"/>
    <w:rsid w:val="0075295C"/>
    <w:rsid w:val="00753981"/>
    <w:rsid w:val="00753B51"/>
    <w:rsid w:val="007548AF"/>
    <w:rsid w:val="00756629"/>
    <w:rsid w:val="00757435"/>
    <w:rsid w:val="007575D2"/>
    <w:rsid w:val="00757B4F"/>
    <w:rsid w:val="00757B6A"/>
    <w:rsid w:val="007610E0"/>
    <w:rsid w:val="007621AA"/>
    <w:rsid w:val="0076260A"/>
    <w:rsid w:val="00764A67"/>
    <w:rsid w:val="00770206"/>
    <w:rsid w:val="00770F6B"/>
    <w:rsid w:val="00771883"/>
    <w:rsid w:val="00776DC2"/>
    <w:rsid w:val="00777FDE"/>
    <w:rsid w:val="00780122"/>
    <w:rsid w:val="007804CF"/>
    <w:rsid w:val="00781FF5"/>
    <w:rsid w:val="0078214B"/>
    <w:rsid w:val="0078498A"/>
    <w:rsid w:val="007852E3"/>
    <w:rsid w:val="007874A2"/>
    <w:rsid w:val="007874E8"/>
    <w:rsid w:val="00787887"/>
    <w:rsid w:val="007878FE"/>
    <w:rsid w:val="00792207"/>
    <w:rsid w:val="007925DF"/>
    <w:rsid w:val="007929D5"/>
    <w:rsid w:val="00792B64"/>
    <w:rsid w:val="00792E29"/>
    <w:rsid w:val="00793549"/>
    <w:rsid w:val="0079379A"/>
    <w:rsid w:val="00794953"/>
    <w:rsid w:val="00794D17"/>
    <w:rsid w:val="00794F69"/>
    <w:rsid w:val="007A0BBF"/>
    <w:rsid w:val="007A1046"/>
    <w:rsid w:val="007A1224"/>
    <w:rsid w:val="007A1F2F"/>
    <w:rsid w:val="007A2A5C"/>
    <w:rsid w:val="007A3B59"/>
    <w:rsid w:val="007A5150"/>
    <w:rsid w:val="007A5373"/>
    <w:rsid w:val="007A555D"/>
    <w:rsid w:val="007A789F"/>
    <w:rsid w:val="007B0AB4"/>
    <w:rsid w:val="007B2AC2"/>
    <w:rsid w:val="007B3042"/>
    <w:rsid w:val="007B4772"/>
    <w:rsid w:val="007B5303"/>
    <w:rsid w:val="007B5F1A"/>
    <w:rsid w:val="007B75BC"/>
    <w:rsid w:val="007C0BD6"/>
    <w:rsid w:val="007C2549"/>
    <w:rsid w:val="007C2E31"/>
    <w:rsid w:val="007C3806"/>
    <w:rsid w:val="007C488C"/>
    <w:rsid w:val="007C52ED"/>
    <w:rsid w:val="007C5B96"/>
    <w:rsid w:val="007C5BB7"/>
    <w:rsid w:val="007C7137"/>
    <w:rsid w:val="007D07D5"/>
    <w:rsid w:val="007D0B69"/>
    <w:rsid w:val="007D14B8"/>
    <w:rsid w:val="007D1C64"/>
    <w:rsid w:val="007D32DD"/>
    <w:rsid w:val="007D4DC4"/>
    <w:rsid w:val="007D6DCE"/>
    <w:rsid w:val="007D72C4"/>
    <w:rsid w:val="007E2CFE"/>
    <w:rsid w:val="007E4590"/>
    <w:rsid w:val="007E4FC4"/>
    <w:rsid w:val="007E59C9"/>
    <w:rsid w:val="007E7232"/>
    <w:rsid w:val="007F0072"/>
    <w:rsid w:val="007F18D3"/>
    <w:rsid w:val="007F2EB6"/>
    <w:rsid w:val="007F319C"/>
    <w:rsid w:val="007F4493"/>
    <w:rsid w:val="007F54C3"/>
    <w:rsid w:val="007F6C3B"/>
    <w:rsid w:val="00800AF1"/>
    <w:rsid w:val="00800D55"/>
    <w:rsid w:val="00800DAE"/>
    <w:rsid w:val="00802466"/>
    <w:rsid w:val="00802949"/>
    <w:rsid w:val="0080301E"/>
    <w:rsid w:val="008031AD"/>
    <w:rsid w:val="0080365F"/>
    <w:rsid w:val="00811748"/>
    <w:rsid w:val="008128C2"/>
    <w:rsid w:val="00812AC3"/>
    <w:rsid w:val="00812BE5"/>
    <w:rsid w:val="008158CD"/>
    <w:rsid w:val="00817429"/>
    <w:rsid w:val="00821514"/>
    <w:rsid w:val="00821E35"/>
    <w:rsid w:val="00822F9C"/>
    <w:rsid w:val="00824591"/>
    <w:rsid w:val="00824AED"/>
    <w:rsid w:val="008259E9"/>
    <w:rsid w:val="00827820"/>
    <w:rsid w:val="00830756"/>
    <w:rsid w:val="00831B8B"/>
    <w:rsid w:val="0083405D"/>
    <w:rsid w:val="008352D4"/>
    <w:rsid w:val="00836DB9"/>
    <w:rsid w:val="008370E5"/>
    <w:rsid w:val="00837C67"/>
    <w:rsid w:val="0084048B"/>
    <w:rsid w:val="008415B0"/>
    <w:rsid w:val="00842028"/>
    <w:rsid w:val="00842BEB"/>
    <w:rsid w:val="008436B8"/>
    <w:rsid w:val="008448F3"/>
    <w:rsid w:val="008460B6"/>
    <w:rsid w:val="008462B6"/>
    <w:rsid w:val="00850C9D"/>
    <w:rsid w:val="00850CD0"/>
    <w:rsid w:val="00852103"/>
    <w:rsid w:val="0085232A"/>
    <w:rsid w:val="00852B59"/>
    <w:rsid w:val="00852F5D"/>
    <w:rsid w:val="00856272"/>
    <w:rsid w:val="008563FF"/>
    <w:rsid w:val="0086018B"/>
    <w:rsid w:val="008611DD"/>
    <w:rsid w:val="008611FD"/>
    <w:rsid w:val="00861662"/>
    <w:rsid w:val="00861E6C"/>
    <w:rsid w:val="008620DE"/>
    <w:rsid w:val="00865CF8"/>
    <w:rsid w:val="00866867"/>
    <w:rsid w:val="00866929"/>
    <w:rsid w:val="0086768F"/>
    <w:rsid w:val="0087043A"/>
    <w:rsid w:val="00870D00"/>
    <w:rsid w:val="00872257"/>
    <w:rsid w:val="00873CAB"/>
    <w:rsid w:val="008753E6"/>
    <w:rsid w:val="0087566F"/>
    <w:rsid w:val="0087738C"/>
    <w:rsid w:val="008802AF"/>
    <w:rsid w:val="00881926"/>
    <w:rsid w:val="008823EA"/>
    <w:rsid w:val="008827D1"/>
    <w:rsid w:val="00882C52"/>
    <w:rsid w:val="0088318F"/>
    <w:rsid w:val="0088331D"/>
    <w:rsid w:val="008852B0"/>
    <w:rsid w:val="00885AE7"/>
    <w:rsid w:val="00886B60"/>
    <w:rsid w:val="00887889"/>
    <w:rsid w:val="00890017"/>
    <w:rsid w:val="00891117"/>
    <w:rsid w:val="00891C6E"/>
    <w:rsid w:val="008920FF"/>
    <w:rsid w:val="008926E8"/>
    <w:rsid w:val="00893442"/>
    <w:rsid w:val="008936D3"/>
    <w:rsid w:val="00894F19"/>
    <w:rsid w:val="00896A10"/>
    <w:rsid w:val="008971B5"/>
    <w:rsid w:val="008A02B3"/>
    <w:rsid w:val="008A2AC1"/>
    <w:rsid w:val="008A319B"/>
    <w:rsid w:val="008A4101"/>
    <w:rsid w:val="008A5D26"/>
    <w:rsid w:val="008A64A3"/>
    <w:rsid w:val="008A66A4"/>
    <w:rsid w:val="008A6B13"/>
    <w:rsid w:val="008A6ECB"/>
    <w:rsid w:val="008B024D"/>
    <w:rsid w:val="008B0BF9"/>
    <w:rsid w:val="008B25EC"/>
    <w:rsid w:val="008B26F9"/>
    <w:rsid w:val="008B2866"/>
    <w:rsid w:val="008B3859"/>
    <w:rsid w:val="008B436D"/>
    <w:rsid w:val="008B4E49"/>
    <w:rsid w:val="008B6624"/>
    <w:rsid w:val="008B684C"/>
    <w:rsid w:val="008B7712"/>
    <w:rsid w:val="008B7B26"/>
    <w:rsid w:val="008C3524"/>
    <w:rsid w:val="008C3EDC"/>
    <w:rsid w:val="008C4061"/>
    <w:rsid w:val="008C4229"/>
    <w:rsid w:val="008C5682"/>
    <w:rsid w:val="008C5A16"/>
    <w:rsid w:val="008C5BE0"/>
    <w:rsid w:val="008C7233"/>
    <w:rsid w:val="008D1645"/>
    <w:rsid w:val="008D2434"/>
    <w:rsid w:val="008D466B"/>
    <w:rsid w:val="008D7D7F"/>
    <w:rsid w:val="008E171D"/>
    <w:rsid w:val="008E2785"/>
    <w:rsid w:val="008E3FA1"/>
    <w:rsid w:val="008E5484"/>
    <w:rsid w:val="008E67B8"/>
    <w:rsid w:val="008E74CE"/>
    <w:rsid w:val="008E78A3"/>
    <w:rsid w:val="008F01DD"/>
    <w:rsid w:val="008F0654"/>
    <w:rsid w:val="008F06CB"/>
    <w:rsid w:val="008F2E83"/>
    <w:rsid w:val="008F46E0"/>
    <w:rsid w:val="008F4F1A"/>
    <w:rsid w:val="008F612A"/>
    <w:rsid w:val="008F660C"/>
    <w:rsid w:val="0090293D"/>
    <w:rsid w:val="009034DE"/>
    <w:rsid w:val="00903584"/>
    <w:rsid w:val="009035AA"/>
    <w:rsid w:val="00905396"/>
    <w:rsid w:val="00905FB0"/>
    <w:rsid w:val="0090605D"/>
    <w:rsid w:val="00906419"/>
    <w:rsid w:val="00912889"/>
    <w:rsid w:val="00912E45"/>
    <w:rsid w:val="00913A42"/>
    <w:rsid w:val="00914167"/>
    <w:rsid w:val="009143DB"/>
    <w:rsid w:val="00914E65"/>
    <w:rsid w:val="00915065"/>
    <w:rsid w:val="00917066"/>
    <w:rsid w:val="00917CE5"/>
    <w:rsid w:val="009217C0"/>
    <w:rsid w:val="00923B2B"/>
    <w:rsid w:val="00923E98"/>
    <w:rsid w:val="00924582"/>
    <w:rsid w:val="0092465F"/>
    <w:rsid w:val="00925241"/>
    <w:rsid w:val="00925CEC"/>
    <w:rsid w:val="00926A3F"/>
    <w:rsid w:val="0092794E"/>
    <w:rsid w:val="00930D30"/>
    <w:rsid w:val="00932FEE"/>
    <w:rsid w:val="009332A2"/>
    <w:rsid w:val="0093357D"/>
    <w:rsid w:val="00935691"/>
    <w:rsid w:val="00936E97"/>
    <w:rsid w:val="00937598"/>
    <w:rsid w:val="0093790B"/>
    <w:rsid w:val="009407B7"/>
    <w:rsid w:val="009418A5"/>
    <w:rsid w:val="00943751"/>
    <w:rsid w:val="00945E2F"/>
    <w:rsid w:val="00946353"/>
    <w:rsid w:val="00946B4D"/>
    <w:rsid w:val="00946DD0"/>
    <w:rsid w:val="00950201"/>
    <w:rsid w:val="009509E6"/>
    <w:rsid w:val="00952018"/>
    <w:rsid w:val="00952800"/>
    <w:rsid w:val="0095300D"/>
    <w:rsid w:val="00956812"/>
    <w:rsid w:val="0095719A"/>
    <w:rsid w:val="0095764F"/>
    <w:rsid w:val="009604CF"/>
    <w:rsid w:val="009623E9"/>
    <w:rsid w:val="00963EE4"/>
    <w:rsid w:val="00963EEB"/>
    <w:rsid w:val="009648BC"/>
    <w:rsid w:val="00964C2F"/>
    <w:rsid w:val="00965F88"/>
    <w:rsid w:val="009667E9"/>
    <w:rsid w:val="00966C33"/>
    <w:rsid w:val="00971413"/>
    <w:rsid w:val="00971D3D"/>
    <w:rsid w:val="009737B6"/>
    <w:rsid w:val="0097670E"/>
    <w:rsid w:val="00983CAD"/>
    <w:rsid w:val="009844DD"/>
    <w:rsid w:val="00984E03"/>
    <w:rsid w:val="00985521"/>
    <w:rsid w:val="009872C6"/>
    <w:rsid w:val="00987DEA"/>
    <w:rsid w:val="00987E85"/>
    <w:rsid w:val="0099167B"/>
    <w:rsid w:val="00991E5A"/>
    <w:rsid w:val="009A01A7"/>
    <w:rsid w:val="009A0A90"/>
    <w:rsid w:val="009A0D12"/>
    <w:rsid w:val="009A1987"/>
    <w:rsid w:val="009A25C6"/>
    <w:rsid w:val="009A2BEE"/>
    <w:rsid w:val="009A5289"/>
    <w:rsid w:val="009A74F9"/>
    <w:rsid w:val="009A780A"/>
    <w:rsid w:val="009A7A53"/>
    <w:rsid w:val="009B0402"/>
    <w:rsid w:val="009B0B75"/>
    <w:rsid w:val="009B0EFB"/>
    <w:rsid w:val="009B16DF"/>
    <w:rsid w:val="009B25D6"/>
    <w:rsid w:val="009B3155"/>
    <w:rsid w:val="009B399A"/>
    <w:rsid w:val="009B4CB2"/>
    <w:rsid w:val="009B6701"/>
    <w:rsid w:val="009B6EF7"/>
    <w:rsid w:val="009B7000"/>
    <w:rsid w:val="009B739C"/>
    <w:rsid w:val="009C04EC"/>
    <w:rsid w:val="009C0A9F"/>
    <w:rsid w:val="009C25FC"/>
    <w:rsid w:val="009C328C"/>
    <w:rsid w:val="009C4444"/>
    <w:rsid w:val="009C54C4"/>
    <w:rsid w:val="009C79AD"/>
    <w:rsid w:val="009C7CA6"/>
    <w:rsid w:val="009D01A1"/>
    <w:rsid w:val="009D0456"/>
    <w:rsid w:val="009D2A18"/>
    <w:rsid w:val="009D3316"/>
    <w:rsid w:val="009D3CCC"/>
    <w:rsid w:val="009D4165"/>
    <w:rsid w:val="009D4733"/>
    <w:rsid w:val="009D55AA"/>
    <w:rsid w:val="009D5E2F"/>
    <w:rsid w:val="009D6AEE"/>
    <w:rsid w:val="009E30AE"/>
    <w:rsid w:val="009E3E77"/>
    <w:rsid w:val="009E3FAB"/>
    <w:rsid w:val="009E4663"/>
    <w:rsid w:val="009E46D9"/>
    <w:rsid w:val="009E5B3F"/>
    <w:rsid w:val="009E7D90"/>
    <w:rsid w:val="009F1AB0"/>
    <w:rsid w:val="009F3F7C"/>
    <w:rsid w:val="009F501D"/>
    <w:rsid w:val="009F5637"/>
    <w:rsid w:val="00A02FEB"/>
    <w:rsid w:val="00A039D5"/>
    <w:rsid w:val="00A046AD"/>
    <w:rsid w:val="00A079C1"/>
    <w:rsid w:val="00A108F3"/>
    <w:rsid w:val="00A12520"/>
    <w:rsid w:val="00A130FD"/>
    <w:rsid w:val="00A13D6D"/>
    <w:rsid w:val="00A14769"/>
    <w:rsid w:val="00A15086"/>
    <w:rsid w:val="00A1575B"/>
    <w:rsid w:val="00A16151"/>
    <w:rsid w:val="00A16EC6"/>
    <w:rsid w:val="00A17B0D"/>
    <w:rsid w:val="00A17C06"/>
    <w:rsid w:val="00A2126E"/>
    <w:rsid w:val="00A21706"/>
    <w:rsid w:val="00A23A1E"/>
    <w:rsid w:val="00A242A3"/>
    <w:rsid w:val="00A24FCC"/>
    <w:rsid w:val="00A26A90"/>
    <w:rsid w:val="00A26B27"/>
    <w:rsid w:val="00A3034D"/>
    <w:rsid w:val="00A30E4F"/>
    <w:rsid w:val="00A32253"/>
    <w:rsid w:val="00A3310E"/>
    <w:rsid w:val="00A333A0"/>
    <w:rsid w:val="00A34367"/>
    <w:rsid w:val="00A3507F"/>
    <w:rsid w:val="00A35191"/>
    <w:rsid w:val="00A37E70"/>
    <w:rsid w:val="00A41060"/>
    <w:rsid w:val="00A41781"/>
    <w:rsid w:val="00A43485"/>
    <w:rsid w:val="00A437E1"/>
    <w:rsid w:val="00A44FF8"/>
    <w:rsid w:val="00A45306"/>
    <w:rsid w:val="00A460DE"/>
    <w:rsid w:val="00A462F5"/>
    <w:rsid w:val="00A4685E"/>
    <w:rsid w:val="00A47398"/>
    <w:rsid w:val="00A50CD4"/>
    <w:rsid w:val="00A51191"/>
    <w:rsid w:val="00A56D62"/>
    <w:rsid w:val="00A56F07"/>
    <w:rsid w:val="00A5762C"/>
    <w:rsid w:val="00A600FC"/>
    <w:rsid w:val="00A60BCA"/>
    <w:rsid w:val="00A6125E"/>
    <w:rsid w:val="00A638DA"/>
    <w:rsid w:val="00A65B41"/>
    <w:rsid w:val="00A65E00"/>
    <w:rsid w:val="00A66A78"/>
    <w:rsid w:val="00A71682"/>
    <w:rsid w:val="00A7436E"/>
    <w:rsid w:val="00A74E96"/>
    <w:rsid w:val="00A75A8E"/>
    <w:rsid w:val="00A8063A"/>
    <w:rsid w:val="00A824DD"/>
    <w:rsid w:val="00A82FC5"/>
    <w:rsid w:val="00A83676"/>
    <w:rsid w:val="00A83B7B"/>
    <w:rsid w:val="00A84274"/>
    <w:rsid w:val="00A844A7"/>
    <w:rsid w:val="00A850F3"/>
    <w:rsid w:val="00A864E3"/>
    <w:rsid w:val="00A90237"/>
    <w:rsid w:val="00A92F09"/>
    <w:rsid w:val="00A9423D"/>
    <w:rsid w:val="00A94574"/>
    <w:rsid w:val="00A95936"/>
    <w:rsid w:val="00A96265"/>
    <w:rsid w:val="00A97084"/>
    <w:rsid w:val="00AA0816"/>
    <w:rsid w:val="00AA1C2C"/>
    <w:rsid w:val="00AA2532"/>
    <w:rsid w:val="00AA25B3"/>
    <w:rsid w:val="00AA308F"/>
    <w:rsid w:val="00AA35F6"/>
    <w:rsid w:val="00AA3C09"/>
    <w:rsid w:val="00AA5759"/>
    <w:rsid w:val="00AA667C"/>
    <w:rsid w:val="00AA6E91"/>
    <w:rsid w:val="00AA7439"/>
    <w:rsid w:val="00AA7ED8"/>
    <w:rsid w:val="00AB044B"/>
    <w:rsid w:val="00AB047E"/>
    <w:rsid w:val="00AB06B3"/>
    <w:rsid w:val="00AB0B0A"/>
    <w:rsid w:val="00AB0BB7"/>
    <w:rsid w:val="00AB20E3"/>
    <w:rsid w:val="00AB22C6"/>
    <w:rsid w:val="00AB290C"/>
    <w:rsid w:val="00AB2AD0"/>
    <w:rsid w:val="00AB67FC"/>
    <w:rsid w:val="00AB6DFF"/>
    <w:rsid w:val="00AB6EDB"/>
    <w:rsid w:val="00AB7F79"/>
    <w:rsid w:val="00AC00F2"/>
    <w:rsid w:val="00AC2893"/>
    <w:rsid w:val="00AC31B5"/>
    <w:rsid w:val="00AC3DC4"/>
    <w:rsid w:val="00AC4906"/>
    <w:rsid w:val="00AC4EA1"/>
    <w:rsid w:val="00AC5381"/>
    <w:rsid w:val="00AC5920"/>
    <w:rsid w:val="00AD0E65"/>
    <w:rsid w:val="00AD104B"/>
    <w:rsid w:val="00AD1511"/>
    <w:rsid w:val="00AD17B8"/>
    <w:rsid w:val="00AD2BF2"/>
    <w:rsid w:val="00AD4E90"/>
    <w:rsid w:val="00AD5422"/>
    <w:rsid w:val="00AD6171"/>
    <w:rsid w:val="00AD652F"/>
    <w:rsid w:val="00AD7BF3"/>
    <w:rsid w:val="00AE4179"/>
    <w:rsid w:val="00AE4425"/>
    <w:rsid w:val="00AE4800"/>
    <w:rsid w:val="00AE4FBE"/>
    <w:rsid w:val="00AE650F"/>
    <w:rsid w:val="00AE6555"/>
    <w:rsid w:val="00AE7D16"/>
    <w:rsid w:val="00AF2A69"/>
    <w:rsid w:val="00AF460E"/>
    <w:rsid w:val="00AF4CAA"/>
    <w:rsid w:val="00AF571A"/>
    <w:rsid w:val="00AF60A0"/>
    <w:rsid w:val="00AF67FC"/>
    <w:rsid w:val="00AF7DF5"/>
    <w:rsid w:val="00B006E5"/>
    <w:rsid w:val="00B02343"/>
    <w:rsid w:val="00B024C2"/>
    <w:rsid w:val="00B04037"/>
    <w:rsid w:val="00B07700"/>
    <w:rsid w:val="00B10190"/>
    <w:rsid w:val="00B13921"/>
    <w:rsid w:val="00B1528C"/>
    <w:rsid w:val="00B1590C"/>
    <w:rsid w:val="00B160B8"/>
    <w:rsid w:val="00B16ACD"/>
    <w:rsid w:val="00B16C32"/>
    <w:rsid w:val="00B20E7D"/>
    <w:rsid w:val="00B21487"/>
    <w:rsid w:val="00B22D4F"/>
    <w:rsid w:val="00B232D1"/>
    <w:rsid w:val="00B24680"/>
    <w:rsid w:val="00B24DB5"/>
    <w:rsid w:val="00B26074"/>
    <w:rsid w:val="00B30023"/>
    <w:rsid w:val="00B309C0"/>
    <w:rsid w:val="00B3116B"/>
    <w:rsid w:val="00B31F9E"/>
    <w:rsid w:val="00B3268F"/>
    <w:rsid w:val="00B32C2C"/>
    <w:rsid w:val="00B33A1A"/>
    <w:rsid w:val="00B33E6C"/>
    <w:rsid w:val="00B34736"/>
    <w:rsid w:val="00B35B66"/>
    <w:rsid w:val="00B371CC"/>
    <w:rsid w:val="00B41CD9"/>
    <w:rsid w:val="00B427E6"/>
    <w:rsid w:val="00B428A6"/>
    <w:rsid w:val="00B42F07"/>
    <w:rsid w:val="00B4335D"/>
    <w:rsid w:val="00B434D4"/>
    <w:rsid w:val="00B43527"/>
    <w:rsid w:val="00B43E1F"/>
    <w:rsid w:val="00B45FBC"/>
    <w:rsid w:val="00B460D8"/>
    <w:rsid w:val="00B51A7D"/>
    <w:rsid w:val="00B535C2"/>
    <w:rsid w:val="00B55544"/>
    <w:rsid w:val="00B63E0E"/>
    <w:rsid w:val="00B642FC"/>
    <w:rsid w:val="00B646A4"/>
    <w:rsid w:val="00B64D26"/>
    <w:rsid w:val="00B64FBB"/>
    <w:rsid w:val="00B70E22"/>
    <w:rsid w:val="00B72E0C"/>
    <w:rsid w:val="00B745F9"/>
    <w:rsid w:val="00B774CB"/>
    <w:rsid w:val="00B80402"/>
    <w:rsid w:val="00B80B9A"/>
    <w:rsid w:val="00B830B7"/>
    <w:rsid w:val="00B84408"/>
    <w:rsid w:val="00B848EA"/>
    <w:rsid w:val="00B84B2B"/>
    <w:rsid w:val="00B90500"/>
    <w:rsid w:val="00B9176C"/>
    <w:rsid w:val="00B93521"/>
    <w:rsid w:val="00B935A4"/>
    <w:rsid w:val="00B96B43"/>
    <w:rsid w:val="00BA561A"/>
    <w:rsid w:val="00BA5FFA"/>
    <w:rsid w:val="00BA7A03"/>
    <w:rsid w:val="00BB0DC6"/>
    <w:rsid w:val="00BB1168"/>
    <w:rsid w:val="00BB136B"/>
    <w:rsid w:val="00BB15E4"/>
    <w:rsid w:val="00BB1E19"/>
    <w:rsid w:val="00BB21D1"/>
    <w:rsid w:val="00BB32F2"/>
    <w:rsid w:val="00BB4338"/>
    <w:rsid w:val="00BB588D"/>
    <w:rsid w:val="00BB6C0E"/>
    <w:rsid w:val="00BB7B38"/>
    <w:rsid w:val="00BC05D1"/>
    <w:rsid w:val="00BC11E5"/>
    <w:rsid w:val="00BC4BC6"/>
    <w:rsid w:val="00BC52FD"/>
    <w:rsid w:val="00BC6CA2"/>
    <w:rsid w:val="00BC6E62"/>
    <w:rsid w:val="00BC7443"/>
    <w:rsid w:val="00BC7BA8"/>
    <w:rsid w:val="00BD0274"/>
    <w:rsid w:val="00BD0648"/>
    <w:rsid w:val="00BD1040"/>
    <w:rsid w:val="00BD34AA"/>
    <w:rsid w:val="00BD5DB1"/>
    <w:rsid w:val="00BD7E55"/>
    <w:rsid w:val="00BE0C44"/>
    <w:rsid w:val="00BE1A97"/>
    <w:rsid w:val="00BE1B8B"/>
    <w:rsid w:val="00BE26E2"/>
    <w:rsid w:val="00BE2A18"/>
    <w:rsid w:val="00BE2C01"/>
    <w:rsid w:val="00BE41EC"/>
    <w:rsid w:val="00BE56FB"/>
    <w:rsid w:val="00BE5B08"/>
    <w:rsid w:val="00BF3DDE"/>
    <w:rsid w:val="00BF4FAB"/>
    <w:rsid w:val="00BF5344"/>
    <w:rsid w:val="00BF5F37"/>
    <w:rsid w:val="00BF6589"/>
    <w:rsid w:val="00BF6F7F"/>
    <w:rsid w:val="00BF73BF"/>
    <w:rsid w:val="00C00647"/>
    <w:rsid w:val="00C02764"/>
    <w:rsid w:val="00C02D4F"/>
    <w:rsid w:val="00C04CEF"/>
    <w:rsid w:val="00C0662F"/>
    <w:rsid w:val="00C11943"/>
    <w:rsid w:val="00C11A40"/>
    <w:rsid w:val="00C12607"/>
    <w:rsid w:val="00C12A18"/>
    <w:rsid w:val="00C12E96"/>
    <w:rsid w:val="00C14763"/>
    <w:rsid w:val="00C16141"/>
    <w:rsid w:val="00C16B34"/>
    <w:rsid w:val="00C21125"/>
    <w:rsid w:val="00C2171F"/>
    <w:rsid w:val="00C22038"/>
    <w:rsid w:val="00C2363F"/>
    <w:rsid w:val="00C236C8"/>
    <w:rsid w:val="00C242A5"/>
    <w:rsid w:val="00C260B1"/>
    <w:rsid w:val="00C26E56"/>
    <w:rsid w:val="00C30392"/>
    <w:rsid w:val="00C31406"/>
    <w:rsid w:val="00C323CF"/>
    <w:rsid w:val="00C3261F"/>
    <w:rsid w:val="00C326A6"/>
    <w:rsid w:val="00C37194"/>
    <w:rsid w:val="00C40621"/>
    <w:rsid w:val="00C40637"/>
    <w:rsid w:val="00C40F6C"/>
    <w:rsid w:val="00C411B8"/>
    <w:rsid w:val="00C44426"/>
    <w:rsid w:val="00C445F3"/>
    <w:rsid w:val="00C451F4"/>
    <w:rsid w:val="00C45A7F"/>
    <w:rsid w:val="00C45EB1"/>
    <w:rsid w:val="00C51339"/>
    <w:rsid w:val="00C5302A"/>
    <w:rsid w:val="00C54A3A"/>
    <w:rsid w:val="00C550CE"/>
    <w:rsid w:val="00C55566"/>
    <w:rsid w:val="00C55731"/>
    <w:rsid w:val="00C56448"/>
    <w:rsid w:val="00C56B32"/>
    <w:rsid w:val="00C63D79"/>
    <w:rsid w:val="00C667BE"/>
    <w:rsid w:val="00C6766B"/>
    <w:rsid w:val="00C72223"/>
    <w:rsid w:val="00C73E6B"/>
    <w:rsid w:val="00C74582"/>
    <w:rsid w:val="00C752ED"/>
    <w:rsid w:val="00C76417"/>
    <w:rsid w:val="00C7726F"/>
    <w:rsid w:val="00C823DA"/>
    <w:rsid w:val="00C8259F"/>
    <w:rsid w:val="00C82746"/>
    <w:rsid w:val="00C8312F"/>
    <w:rsid w:val="00C84C47"/>
    <w:rsid w:val="00C858A4"/>
    <w:rsid w:val="00C86753"/>
    <w:rsid w:val="00C86AFA"/>
    <w:rsid w:val="00C9061F"/>
    <w:rsid w:val="00C90D10"/>
    <w:rsid w:val="00C92291"/>
    <w:rsid w:val="00C930ED"/>
    <w:rsid w:val="00C935F0"/>
    <w:rsid w:val="00C93772"/>
    <w:rsid w:val="00C93A8C"/>
    <w:rsid w:val="00C9675F"/>
    <w:rsid w:val="00C9705C"/>
    <w:rsid w:val="00CA248C"/>
    <w:rsid w:val="00CA2622"/>
    <w:rsid w:val="00CA44A1"/>
    <w:rsid w:val="00CA4657"/>
    <w:rsid w:val="00CA4BC6"/>
    <w:rsid w:val="00CA530A"/>
    <w:rsid w:val="00CA581C"/>
    <w:rsid w:val="00CA599D"/>
    <w:rsid w:val="00CA72E2"/>
    <w:rsid w:val="00CB1315"/>
    <w:rsid w:val="00CB18D0"/>
    <w:rsid w:val="00CB1C8A"/>
    <w:rsid w:val="00CB24F5"/>
    <w:rsid w:val="00CB2663"/>
    <w:rsid w:val="00CB35A5"/>
    <w:rsid w:val="00CB3BBE"/>
    <w:rsid w:val="00CB4129"/>
    <w:rsid w:val="00CB59E9"/>
    <w:rsid w:val="00CC0D6A"/>
    <w:rsid w:val="00CC3831"/>
    <w:rsid w:val="00CC3E3D"/>
    <w:rsid w:val="00CC519B"/>
    <w:rsid w:val="00CC5229"/>
    <w:rsid w:val="00CC6110"/>
    <w:rsid w:val="00CC64CD"/>
    <w:rsid w:val="00CD12C1"/>
    <w:rsid w:val="00CD19DF"/>
    <w:rsid w:val="00CD214E"/>
    <w:rsid w:val="00CD2255"/>
    <w:rsid w:val="00CD46FA"/>
    <w:rsid w:val="00CD4FD8"/>
    <w:rsid w:val="00CD5973"/>
    <w:rsid w:val="00CD5DC7"/>
    <w:rsid w:val="00CD66B8"/>
    <w:rsid w:val="00CD7ECB"/>
    <w:rsid w:val="00CE0013"/>
    <w:rsid w:val="00CE03F5"/>
    <w:rsid w:val="00CE31A6"/>
    <w:rsid w:val="00CE3A1C"/>
    <w:rsid w:val="00CE3D21"/>
    <w:rsid w:val="00CE446C"/>
    <w:rsid w:val="00CE587A"/>
    <w:rsid w:val="00CF09AA"/>
    <w:rsid w:val="00CF12F3"/>
    <w:rsid w:val="00CF4645"/>
    <w:rsid w:val="00CF4813"/>
    <w:rsid w:val="00CF5233"/>
    <w:rsid w:val="00CF5C40"/>
    <w:rsid w:val="00CF7A1C"/>
    <w:rsid w:val="00D01BEB"/>
    <w:rsid w:val="00D01F13"/>
    <w:rsid w:val="00D029B8"/>
    <w:rsid w:val="00D02F60"/>
    <w:rsid w:val="00D038E8"/>
    <w:rsid w:val="00D0464E"/>
    <w:rsid w:val="00D04A96"/>
    <w:rsid w:val="00D07A7B"/>
    <w:rsid w:val="00D07BB8"/>
    <w:rsid w:val="00D10E06"/>
    <w:rsid w:val="00D1120E"/>
    <w:rsid w:val="00D136B6"/>
    <w:rsid w:val="00D1451F"/>
    <w:rsid w:val="00D15197"/>
    <w:rsid w:val="00D1536B"/>
    <w:rsid w:val="00D16820"/>
    <w:rsid w:val="00D169C8"/>
    <w:rsid w:val="00D16F7E"/>
    <w:rsid w:val="00D171E7"/>
    <w:rsid w:val="00D1793F"/>
    <w:rsid w:val="00D226F2"/>
    <w:rsid w:val="00D22AF5"/>
    <w:rsid w:val="00D235EA"/>
    <w:rsid w:val="00D247A9"/>
    <w:rsid w:val="00D26A85"/>
    <w:rsid w:val="00D3252E"/>
    <w:rsid w:val="00D32721"/>
    <w:rsid w:val="00D328DC"/>
    <w:rsid w:val="00D33387"/>
    <w:rsid w:val="00D402FB"/>
    <w:rsid w:val="00D41FB0"/>
    <w:rsid w:val="00D45988"/>
    <w:rsid w:val="00D4656B"/>
    <w:rsid w:val="00D47731"/>
    <w:rsid w:val="00D47D7A"/>
    <w:rsid w:val="00D50ABD"/>
    <w:rsid w:val="00D53E96"/>
    <w:rsid w:val="00D53FE7"/>
    <w:rsid w:val="00D55290"/>
    <w:rsid w:val="00D560FF"/>
    <w:rsid w:val="00D5774E"/>
    <w:rsid w:val="00D57791"/>
    <w:rsid w:val="00D6046A"/>
    <w:rsid w:val="00D620E6"/>
    <w:rsid w:val="00D62870"/>
    <w:rsid w:val="00D644EC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C2C"/>
    <w:rsid w:val="00D76CE5"/>
    <w:rsid w:val="00D76DD7"/>
    <w:rsid w:val="00D76E9B"/>
    <w:rsid w:val="00D76EC9"/>
    <w:rsid w:val="00D800E0"/>
    <w:rsid w:val="00D80E7D"/>
    <w:rsid w:val="00D81397"/>
    <w:rsid w:val="00D81873"/>
    <w:rsid w:val="00D81EA6"/>
    <w:rsid w:val="00D82095"/>
    <w:rsid w:val="00D848B9"/>
    <w:rsid w:val="00D90E69"/>
    <w:rsid w:val="00D91368"/>
    <w:rsid w:val="00D91854"/>
    <w:rsid w:val="00D9282F"/>
    <w:rsid w:val="00D93096"/>
    <w:rsid w:val="00D93106"/>
    <w:rsid w:val="00D933E9"/>
    <w:rsid w:val="00D945C3"/>
    <w:rsid w:val="00D9505D"/>
    <w:rsid w:val="00D953D0"/>
    <w:rsid w:val="00D959F5"/>
    <w:rsid w:val="00D96493"/>
    <w:rsid w:val="00D96884"/>
    <w:rsid w:val="00D96A35"/>
    <w:rsid w:val="00D96D22"/>
    <w:rsid w:val="00D96D6A"/>
    <w:rsid w:val="00DA00BC"/>
    <w:rsid w:val="00DA23E6"/>
    <w:rsid w:val="00DA33B1"/>
    <w:rsid w:val="00DA3689"/>
    <w:rsid w:val="00DA3FDD"/>
    <w:rsid w:val="00DA43AB"/>
    <w:rsid w:val="00DA5C87"/>
    <w:rsid w:val="00DA7017"/>
    <w:rsid w:val="00DA7028"/>
    <w:rsid w:val="00DA7EF8"/>
    <w:rsid w:val="00DB092B"/>
    <w:rsid w:val="00DB0BA4"/>
    <w:rsid w:val="00DB1AD2"/>
    <w:rsid w:val="00DB23CD"/>
    <w:rsid w:val="00DB2B58"/>
    <w:rsid w:val="00DB3464"/>
    <w:rsid w:val="00DB5206"/>
    <w:rsid w:val="00DB5E86"/>
    <w:rsid w:val="00DB6276"/>
    <w:rsid w:val="00DB63F5"/>
    <w:rsid w:val="00DB6B45"/>
    <w:rsid w:val="00DC0A60"/>
    <w:rsid w:val="00DC1C6B"/>
    <w:rsid w:val="00DC2C2E"/>
    <w:rsid w:val="00DC3775"/>
    <w:rsid w:val="00DC45A6"/>
    <w:rsid w:val="00DC4AF0"/>
    <w:rsid w:val="00DC666D"/>
    <w:rsid w:val="00DC7886"/>
    <w:rsid w:val="00DC7F9E"/>
    <w:rsid w:val="00DD0CF2"/>
    <w:rsid w:val="00DD6E31"/>
    <w:rsid w:val="00DE1554"/>
    <w:rsid w:val="00DE282E"/>
    <w:rsid w:val="00DE2901"/>
    <w:rsid w:val="00DE3430"/>
    <w:rsid w:val="00DE590F"/>
    <w:rsid w:val="00DE7DC1"/>
    <w:rsid w:val="00DF3F7E"/>
    <w:rsid w:val="00DF55A6"/>
    <w:rsid w:val="00DF6E21"/>
    <w:rsid w:val="00DF7648"/>
    <w:rsid w:val="00E00E29"/>
    <w:rsid w:val="00E018A3"/>
    <w:rsid w:val="00E02BAB"/>
    <w:rsid w:val="00E02BCA"/>
    <w:rsid w:val="00E04369"/>
    <w:rsid w:val="00E04CEB"/>
    <w:rsid w:val="00E060BC"/>
    <w:rsid w:val="00E068D1"/>
    <w:rsid w:val="00E07E9B"/>
    <w:rsid w:val="00E102B0"/>
    <w:rsid w:val="00E10EA3"/>
    <w:rsid w:val="00E11420"/>
    <w:rsid w:val="00E11529"/>
    <w:rsid w:val="00E11661"/>
    <w:rsid w:val="00E132FB"/>
    <w:rsid w:val="00E13741"/>
    <w:rsid w:val="00E1404A"/>
    <w:rsid w:val="00E15119"/>
    <w:rsid w:val="00E1596F"/>
    <w:rsid w:val="00E15D5B"/>
    <w:rsid w:val="00E15F21"/>
    <w:rsid w:val="00E16100"/>
    <w:rsid w:val="00E170B7"/>
    <w:rsid w:val="00E177DD"/>
    <w:rsid w:val="00E17F55"/>
    <w:rsid w:val="00E20900"/>
    <w:rsid w:val="00E20C7F"/>
    <w:rsid w:val="00E22D13"/>
    <w:rsid w:val="00E2396E"/>
    <w:rsid w:val="00E239A1"/>
    <w:rsid w:val="00E243EE"/>
    <w:rsid w:val="00E24728"/>
    <w:rsid w:val="00E25113"/>
    <w:rsid w:val="00E26C68"/>
    <w:rsid w:val="00E276AC"/>
    <w:rsid w:val="00E321C2"/>
    <w:rsid w:val="00E332F5"/>
    <w:rsid w:val="00E343E5"/>
    <w:rsid w:val="00E34A35"/>
    <w:rsid w:val="00E3667C"/>
    <w:rsid w:val="00E3747E"/>
    <w:rsid w:val="00E37C2F"/>
    <w:rsid w:val="00E41B23"/>
    <w:rsid w:val="00E41C28"/>
    <w:rsid w:val="00E437CD"/>
    <w:rsid w:val="00E445E6"/>
    <w:rsid w:val="00E46308"/>
    <w:rsid w:val="00E4735E"/>
    <w:rsid w:val="00E473B3"/>
    <w:rsid w:val="00E5167F"/>
    <w:rsid w:val="00E51E17"/>
    <w:rsid w:val="00E5284D"/>
    <w:rsid w:val="00E52DAB"/>
    <w:rsid w:val="00E539B0"/>
    <w:rsid w:val="00E55994"/>
    <w:rsid w:val="00E55EAA"/>
    <w:rsid w:val="00E60606"/>
    <w:rsid w:val="00E60C66"/>
    <w:rsid w:val="00E610FE"/>
    <w:rsid w:val="00E6164D"/>
    <w:rsid w:val="00E618C9"/>
    <w:rsid w:val="00E62774"/>
    <w:rsid w:val="00E6307C"/>
    <w:rsid w:val="00E636FA"/>
    <w:rsid w:val="00E662DF"/>
    <w:rsid w:val="00E66949"/>
    <w:rsid w:val="00E66AAC"/>
    <w:rsid w:val="00E66C50"/>
    <w:rsid w:val="00E679D3"/>
    <w:rsid w:val="00E7067B"/>
    <w:rsid w:val="00E71208"/>
    <w:rsid w:val="00E71444"/>
    <w:rsid w:val="00E71C91"/>
    <w:rsid w:val="00E720A1"/>
    <w:rsid w:val="00E72DC5"/>
    <w:rsid w:val="00E75DDA"/>
    <w:rsid w:val="00E76B7C"/>
    <w:rsid w:val="00E773E8"/>
    <w:rsid w:val="00E8139D"/>
    <w:rsid w:val="00E81697"/>
    <w:rsid w:val="00E82EB4"/>
    <w:rsid w:val="00E83623"/>
    <w:rsid w:val="00E83ADD"/>
    <w:rsid w:val="00E83D61"/>
    <w:rsid w:val="00E84D0D"/>
    <w:rsid w:val="00E84EBE"/>
    <w:rsid w:val="00E84F38"/>
    <w:rsid w:val="00E85623"/>
    <w:rsid w:val="00E86299"/>
    <w:rsid w:val="00E87441"/>
    <w:rsid w:val="00E91FAE"/>
    <w:rsid w:val="00E92CA3"/>
    <w:rsid w:val="00E96E3F"/>
    <w:rsid w:val="00E973FB"/>
    <w:rsid w:val="00EA0E3C"/>
    <w:rsid w:val="00EA1B07"/>
    <w:rsid w:val="00EA270C"/>
    <w:rsid w:val="00EA4974"/>
    <w:rsid w:val="00EA532E"/>
    <w:rsid w:val="00EA6531"/>
    <w:rsid w:val="00EA6ECF"/>
    <w:rsid w:val="00EB06D9"/>
    <w:rsid w:val="00EB192B"/>
    <w:rsid w:val="00EB19ED"/>
    <w:rsid w:val="00EB1CAB"/>
    <w:rsid w:val="00EB2D30"/>
    <w:rsid w:val="00EB3405"/>
    <w:rsid w:val="00EB5CA7"/>
    <w:rsid w:val="00EB5D23"/>
    <w:rsid w:val="00EB6B45"/>
    <w:rsid w:val="00EC0314"/>
    <w:rsid w:val="00EC0520"/>
    <w:rsid w:val="00EC0F5A"/>
    <w:rsid w:val="00EC4265"/>
    <w:rsid w:val="00EC4CEB"/>
    <w:rsid w:val="00EC60A0"/>
    <w:rsid w:val="00EC659E"/>
    <w:rsid w:val="00EC6D42"/>
    <w:rsid w:val="00EC7734"/>
    <w:rsid w:val="00ED013C"/>
    <w:rsid w:val="00ED2072"/>
    <w:rsid w:val="00ED2AE0"/>
    <w:rsid w:val="00ED38E2"/>
    <w:rsid w:val="00ED5553"/>
    <w:rsid w:val="00ED5E36"/>
    <w:rsid w:val="00ED6476"/>
    <w:rsid w:val="00ED6961"/>
    <w:rsid w:val="00EE00BC"/>
    <w:rsid w:val="00EE18E4"/>
    <w:rsid w:val="00EE23C0"/>
    <w:rsid w:val="00EE4B15"/>
    <w:rsid w:val="00EE4D89"/>
    <w:rsid w:val="00EE55B1"/>
    <w:rsid w:val="00EE7159"/>
    <w:rsid w:val="00EF0B96"/>
    <w:rsid w:val="00EF1BBD"/>
    <w:rsid w:val="00EF1E83"/>
    <w:rsid w:val="00EF2D56"/>
    <w:rsid w:val="00EF3486"/>
    <w:rsid w:val="00EF3FA8"/>
    <w:rsid w:val="00EF47AF"/>
    <w:rsid w:val="00EF4E57"/>
    <w:rsid w:val="00EF53B6"/>
    <w:rsid w:val="00EF548B"/>
    <w:rsid w:val="00EF5680"/>
    <w:rsid w:val="00EF5A05"/>
    <w:rsid w:val="00EF6D26"/>
    <w:rsid w:val="00F00B73"/>
    <w:rsid w:val="00F01892"/>
    <w:rsid w:val="00F01AC9"/>
    <w:rsid w:val="00F040FA"/>
    <w:rsid w:val="00F11050"/>
    <w:rsid w:val="00F115CA"/>
    <w:rsid w:val="00F14817"/>
    <w:rsid w:val="00F14EBA"/>
    <w:rsid w:val="00F1510F"/>
    <w:rsid w:val="00F1533A"/>
    <w:rsid w:val="00F15463"/>
    <w:rsid w:val="00F15D5A"/>
    <w:rsid w:val="00F15E5A"/>
    <w:rsid w:val="00F15FC9"/>
    <w:rsid w:val="00F1614D"/>
    <w:rsid w:val="00F16CEC"/>
    <w:rsid w:val="00F17F0A"/>
    <w:rsid w:val="00F2046A"/>
    <w:rsid w:val="00F205C2"/>
    <w:rsid w:val="00F215CF"/>
    <w:rsid w:val="00F25265"/>
    <w:rsid w:val="00F2577C"/>
    <w:rsid w:val="00F2668F"/>
    <w:rsid w:val="00F26E5C"/>
    <w:rsid w:val="00F26EE8"/>
    <w:rsid w:val="00F2742F"/>
    <w:rsid w:val="00F2753B"/>
    <w:rsid w:val="00F33F8B"/>
    <w:rsid w:val="00F340B2"/>
    <w:rsid w:val="00F362F3"/>
    <w:rsid w:val="00F36FEF"/>
    <w:rsid w:val="00F373E2"/>
    <w:rsid w:val="00F43390"/>
    <w:rsid w:val="00F443B2"/>
    <w:rsid w:val="00F4588A"/>
    <w:rsid w:val="00F458D8"/>
    <w:rsid w:val="00F47329"/>
    <w:rsid w:val="00F50237"/>
    <w:rsid w:val="00F53596"/>
    <w:rsid w:val="00F55BA8"/>
    <w:rsid w:val="00F55DB1"/>
    <w:rsid w:val="00F5627A"/>
    <w:rsid w:val="00F56525"/>
    <w:rsid w:val="00F56ACA"/>
    <w:rsid w:val="00F600FE"/>
    <w:rsid w:val="00F62E4D"/>
    <w:rsid w:val="00F647EF"/>
    <w:rsid w:val="00F66201"/>
    <w:rsid w:val="00F66B34"/>
    <w:rsid w:val="00F6756D"/>
    <w:rsid w:val="00F675B9"/>
    <w:rsid w:val="00F6778C"/>
    <w:rsid w:val="00F70B7D"/>
    <w:rsid w:val="00F711C9"/>
    <w:rsid w:val="00F7347E"/>
    <w:rsid w:val="00F74C59"/>
    <w:rsid w:val="00F75165"/>
    <w:rsid w:val="00F75C3A"/>
    <w:rsid w:val="00F77F9F"/>
    <w:rsid w:val="00F81E14"/>
    <w:rsid w:val="00F82AB3"/>
    <w:rsid w:val="00F82E30"/>
    <w:rsid w:val="00F82F90"/>
    <w:rsid w:val="00F831CB"/>
    <w:rsid w:val="00F83E86"/>
    <w:rsid w:val="00F848A3"/>
    <w:rsid w:val="00F84ACF"/>
    <w:rsid w:val="00F85742"/>
    <w:rsid w:val="00F85BF8"/>
    <w:rsid w:val="00F871CE"/>
    <w:rsid w:val="00F87802"/>
    <w:rsid w:val="00F92C0A"/>
    <w:rsid w:val="00F9415B"/>
    <w:rsid w:val="00F94260"/>
    <w:rsid w:val="00F94AAE"/>
    <w:rsid w:val="00F94ADB"/>
    <w:rsid w:val="00F95AAC"/>
    <w:rsid w:val="00FA13C2"/>
    <w:rsid w:val="00FA3914"/>
    <w:rsid w:val="00FA3FBB"/>
    <w:rsid w:val="00FA7F91"/>
    <w:rsid w:val="00FB121C"/>
    <w:rsid w:val="00FB1700"/>
    <w:rsid w:val="00FB1CDD"/>
    <w:rsid w:val="00FB1FB2"/>
    <w:rsid w:val="00FB29F5"/>
    <w:rsid w:val="00FB2BBB"/>
    <w:rsid w:val="00FB2C2F"/>
    <w:rsid w:val="00FB305C"/>
    <w:rsid w:val="00FC294F"/>
    <w:rsid w:val="00FC2E3D"/>
    <w:rsid w:val="00FC3058"/>
    <w:rsid w:val="00FC3BDE"/>
    <w:rsid w:val="00FC4646"/>
    <w:rsid w:val="00FC4C1D"/>
    <w:rsid w:val="00FC6389"/>
    <w:rsid w:val="00FC65E0"/>
    <w:rsid w:val="00FC7B27"/>
    <w:rsid w:val="00FC7E26"/>
    <w:rsid w:val="00FD1DBE"/>
    <w:rsid w:val="00FD2492"/>
    <w:rsid w:val="00FD25A7"/>
    <w:rsid w:val="00FD27B6"/>
    <w:rsid w:val="00FD3689"/>
    <w:rsid w:val="00FD3C8B"/>
    <w:rsid w:val="00FD42A3"/>
    <w:rsid w:val="00FD59DE"/>
    <w:rsid w:val="00FD7468"/>
    <w:rsid w:val="00FD7CE0"/>
    <w:rsid w:val="00FE0153"/>
    <w:rsid w:val="00FE0B3B"/>
    <w:rsid w:val="00FE11EC"/>
    <w:rsid w:val="00FE1BE2"/>
    <w:rsid w:val="00FE31F6"/>
    <w:rsid w:val="00FE514B"/>
    <w:rsid w:val="00FE5CED"/>
    <w:rsid w:val="00FE730A"/>
    <w:rsid w:val="00FF0D1F"/>
    <w:rsid w:val="00FF1DD7"/>
    <w:rsid w:val="00FF4453"/>
    <w:rsid w:val="00FF4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66B12"/>
  <w15:docId w15:val="{2D17808C-6429-4023-A1A1-09652586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0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308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qFormat/>
    <w:rsid w:val="00AA308F"/>
    <w:pPr>
      <w:spacing w:line="240" w:lineRule="auto"/>
      <w:ind w:left="720"/>
      <w:contextualSpacing/>
    </w:pPr>
    <w:rPr>
      <w:rFonts w:ascii="Verdana" w:eastAsia="Noto Sans CJK SC" w:hAnsi="Verdana" w:cs="Lohit Devanagari"/>
      <w:kern w:val="2"/>
      <w:sz w:val="20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3D4F5B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905FB0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D431CC-0C48-4A18-B770-D5EA415F2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7</Pages>
  <Words>2178</Words>
  <Characters>13831</Characters>
  <Application>Microsoft Office Word</Application>
  <DocSecurity>4</DocSecurity>
  <Lines>115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ustawy o zmianie ustawy o dostępności cyfrowej stron internetowych i aplikacji mobilnych podmiotów publicznych 1.07.2021</vt:lpstr>
      <vt:lpstr>p r o j e k t</vt:lpstr>
    </vt:vector>
  </TitlesOfParts>
  <Manager/>
  <Company>&lt;nazwa organu&gt;</Company>
  <LinksUpToDate>false</LinksUpToDate>
  <CharactersWithSpaces>15978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ustawy o zmianie ustawy o dostępności cyfrowej stron internetowych i aplikacji mobilnych podmiotów publicznych 1.07.2021</dc:title>
  <dc:subject/>
  <dc:creator>Gubernat Barbara</dc:creator>
  <cp:keywords/>
  <dc:description/>
  <cp:lastModifiedBy>Kołakowska Iwona</cp:lastModifiedBy>
  <cp:revision>2</cp:revision>
  <cp:lastPrinted>2012-04-23T06:39:00Z</cp:lastPrinted>
  <dcterms:created xsi:type="dcterms:W3CDTF">2023-01-09T08:01:00Z</dcterms:created>
  <dcterms:modified xsi:type="dcterms:W3CDTF">2023-01-09T08:01:00Z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