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DC2" w:rsidRPr="005A0448" w:rsidRDefault="00AC1DC2" w:rsidP="005A0448">
      <w:pPr>
        <w:pStyle w:val="OZNRODZAKTUtznustawalubrozporzdzenieiorganwydajcy"/>
      </w:pPr>
      <w:bookmarkStart w:id="0" w:name="_GoBack"/>
      <w:bookmarkEnd w:id="0"/>
      <w:r w:rsidRPr="005A0448">
        <w:t>Uzasadnienie</w:t>
      </w:r>
    </w:p>
    <w:p w:rsidR="00AC1DC2" w:rsidRDefault="00AC1DC2" w:rsidP="005A0448">
      <w:pPr>
        <w:pStyle w:val="ARTartustawynprozporzdzenia"/>
      </w:pPr>
      <w:r>
        <w:t xml:space="preserve">1. </w:t>
      </w:r>
      <w:r w:rsidRPr="005A0448">
        <w:t>Celem projektu ustawy jest wprowadzenie możliwości złożenia zażalenia na postanowienie sądu stwierdzające, że interesy oskarżonych bronionych przez tego samego obrońcę nie są sprzeczne. Dotychczas zażalenie przysługuje jedynie na postanowienie sądu stwierdzające, że interesy oskarżonych są sprzeczne.</w:t>
      </w:r>
    </w:p>
    <w:p w:rsidR="00AC1DC2" w:rsidRPr="005A0448" w:rsidRDefault="00AC1DC2" w:rsidP="005A0448">
      <w:pPr>
        <w:pStyle w:val="ARTartustawynprozporzdzenia"/>
      </w:pPr>
      <w:r w:rsidRPr="005A0448">
        <w:t>2. W postępowaniu karnym obrońca może bronić kilku oskarżonych, jeżeli ich interesy nie pozostają w sprzeczności. Zakaz obrony kilku oskarżonych o sprzecznych interesach przez jednego obrońcę nie został ustanowiony w inter</w:t>
      </w:r>
      <w:r>
        <w:t>esie adwokatów czy sądu, lecz w </w:t>
      </w:r>
      <w:r w:rsidRPr="005A0448">
        <w:t>interesie oskarżonego oraz wymiaru sprawiedliwości. Adwokat powinien odmówić podjęcia się obrony kolejnej osoby, w przypadku, gdy jej interesy są sprzeczne z interesami innej bronionej przez tego adwokata osoby. Nie zawsze jednak sprzeczność interesów oskarżonych jest możliwa do ustalenia na tym wczesnym etapie.</w:t>
      </w:r>
    </w:p>
    <w:p w:rsidR="00AC1DC2" w:rsidRPr="005A0448" w:rsidRDefault="00AC1DC2" w:rsidP="005A0448">
      <w:pPr>
        <w:pStyle w:val="ARTartustawynprozporzdzenia"/>
      </w:pPr>
      <w:r w:rsidRPr="005A0448">
        <w:t>Stwierdzając sprzeczność interesów oskarżonych sąd wydaje postanowienie, zakreślając oskarżonym termin do ustanowienia innych obrońców. W wypadku obrony z urzędu sąd sam wyznacza innego obrońcę. Na postanowienie przysługuje zażalenie. W postępowaniu przygotowawczym powyższe uprawnienia sądu przysługują prezesowi sądu właściwego do rozpoznania sprawy.</w:t>
      </w:r>
    </w:p>
    <w:p w:rsidR="00AC1DC2" w:rsidRPr="005A0448" w:rsidRDefault="00AC1DC2" w:rsidP="005A0448">
      <w:pPr>
        <w:pStyle w:val="ARTartustawynprozporzdzenia"/>
      </w:pPr>
      <w:r w:rsidRPr="005A0448">
        <w:t>Co istotne, z art. 85 § 2 zdanie pierwsze i trzecie Kodeksu postępowania karnego wynika, że zażalenie przysługuje jedynie na postanowienie stwierdzające sprzeczność interesów oskarżonych. W takim przypadku, oskarżony lub oskarżeni mogą domagać się w zażaleniu utrzymania tego samego obrońcy dla kilku oskarżonych. Tymczasem, kiedy sąd uzna, że nie zachodzi sprzeczność interesów oskarżonych, żaden z nich nie może złożyć zażalenia. Nawet jeśli zainteresowany postanowieniem stwierdzającym sprzeczność interesów wybierze sobie innego obrońcę, musi liczyć się z tym, że jego dotychczasowy adwokat będzie bronić nadal innego oskarżonego, którego interesy pozostają sprzeczne. Adwokat ten może wykorzystać informacje uzyskane od dotychczas bronionego oskarżonego przeciw niemu, a w interesie nadal bronionego oskarżonego. Jeszcze trudniejsza jest sytuacja w przypadku obrońcy wyznaczonego z urzędu. W takim przypadku i oskarżeni i sam adwokat muszą znosić sytuację, w której adwokat broni oskarżonych o sprzecznych interesach.</w:t>
      </w:r>
    </w:p>
    <w:p w:rsidR="00AC1DC2" w:rsidRPr="005A0448" w:rsidRDefault="00AC1DC2" w:rsidP="005A0448">
      <w:pPr>
        <w:pStyle w:val="ARTartustawynprozporzdzenia"/>
      </w:pPr>
      <w:r w:rsidRPr="005A0448">
        <w:t xml:space="preserve">3. Powyższy stan prawny spotyka się ze skargami zainteresowanych uczestników postępowań sądowych. Krytykę tego stanu przedstawił też Rzecznik Praw Obywatelskich (RPO). Zdaniem Rzecznika „O sprzeczności interesów oskarżonych można mówić, gdy </w:t>
      </w:r>
      <w:r w:rsidRPr="005A0448">
        <w:lastRenderedPageBreak/>
        <w:t>obrona jednego z oskarżonych w sposób nieuchronny naraża dobro drugiego z nich tzn., gdy wyjaśnienia jednego z oskarżonych czy też dowody przez niego powołane oraz ich ocena godzą w interes drugiego oskarżonego, w rezultacie czego rodzi się kolizja interesów, prowadząca w takiej sytuacji do unicestwienia roli obrońcy w procesie karnym. Prowadzi to do naruszenia uprawnień oskarżonego przewidzianych w art. 6 k.p.k. Dlatego w każdej sytuacji, gdy wyjaśnienia jednego z oskarżonych lub dowody przezeń powoływane i ich ocena godzą w interes drugiego oskarżonego, pojawia się kolizja interesów, która nie pozwala, aby jeden obrońca bronił obu oskarżonych”</w:t>
      </w:r>
      <w:r>
        <w:t xml:space="preserve"> (pismo RPO z 30 czerwca 2020 r, </w:t>
      </w:r>
      <w:r w:rsidRPr="00C16071">
        <w:t>II.5150.3.2020.MM</w:t>
      </w:r>
      <w:r>
        <w:t>)</w:t>
      </w:r>
      <w:r w:rsidRPr="005A0448">
        <w:t>. Zdaniem RPO „zróżnicowanie sytuacji osób, którym sąd stwierdził istnienie konfliktu interesów i go nie stwierdził, nie jest racjonalnie uzasadnione, zaś interes, któremu ma służyć różnicowanie sytuacji prawnej tych podmiotów nie występuje. Podkreślić należy fakt, że podmioty znajdują się w tej samej sytuacji prawnej, a los dopuszczalności zażalenia zależy od rodz</w:t>
      </w:r>
      <w:r>
        <w:t xml:space="preserve">aju rozstrzygnięcia zapadłego w </w:t>
      </w:r>
      <w:r w:rsidRPr="005A0448">
        <w:t>zakresie (nie)sprzeczności interesów podejrzanych (oskarżonych) bronionych przez tego samego obrońcę. Każde z rozstrzygnięć ma niewątpliwie wpływ na prawo do obrony. Z tych powodów nie sposób uznać, by takie kryterium różn</w:t>
      </w:r>
      <w:r>
        <w:t xml:space="preserve">icujące mogło stanowić zgodną z </w:t>
      </w:r>
      <w:r w:rsidRPr="005A0448">
        <w:t xml:space="preserve">Konstytucją podstawę zróżnicowania. Dlatego [przepis ten] jest </w:t>
      </w:r>
      <w:r w:rsidRPr="005A0448">
        <w:rPr>
          <w:rStyle w:val="Ppogrubienie"/>
        </w:rPr>
        <w:t>niezgodny z art. 32 ust. 1 w zw. z art. 78 Konstytucji RP</w:t>
      </w:r>
      <w:r w:rsidRPr="005A0448">
        <w:t>”.</w:t>
      </w:r>
    </w:p>
    <w:p w:rsidR="00AC1DC2" w:rsidRPr="005A0448" w:rsidRDefault="00AC1DC2" w:rsidP="005A0448">
      <w:pPr>
        <w:pStyle w:val="ARTartustawynprozporzdzenia"/>
      </w:pPr>
      <w:r w:rsidRPr="005A0448">
        <w:t xml:space="preserve">Rzecznik zwrócił też uwagę, że „Prawo do zaskarżania decyzji i czynności organów procesowych to uprawnienie, które w szczególny sposób wzmacnia korzystanie z pozostałych uprawnień procesowych, wynikających z prawa do obrony. Dzięki kontroli instancyjnej istnieje możliwość wyeliminowania błędnych decyzji i ustaleń naruszających prawa oskarżonego. Podejrzenie naruszenia któregokolwiek z nich jest bowiem wystarczającą podstawą do żądania procesowej kontroli prawidłowości, legalności i zasadności decyzji. Istota tego prawa wyraża się w możliwości zaskarżania decyzji procesowych dotyczących oskarżonego, a także niektórych innych czynności organów procesowych. Służy zwalczaniu uciążliwych środków procesowych. Jest to uprawnienie o wyraźnie kontrolnym charakterze. Gwarancji realizacji prawa do zaskarżania poszukiwać należy bezpośrednio w przepisach Konstytucji RP. Zgodnie z art. 78 Konstytucji RP każda ze stron ma prawo do zaskarżania orzeczeń i decyzji wydanych w I instancji. Znaczenie ma też ustrojowy przepis art. 176 ust. 1 Konstytucji RP, statuujący co najmniej dwuinstancyjne postępowanie sądowe. Co prawda poza zakresem gwarancji wynikających z zasady wyrażonej w art. 176 ust. 1 Konstytucji RP pozostają ustawowe środki zaskarżenia wykraczające poza dwuinstancyjny model postępowania sądowego, to ustawodawca decydując się na tworzenie tego rodzaju procedur, </w:t>
      </w:r>
      <w:r w:rsidRPr="005A0448">
        <w:lastRenderedPageBreak/>
        <w:t>powinien tworząc je przestrzegać obowiązujących norm, zasad i wartości konstytucyjnych, uwzględniając fakt, że ograniczenia dopuszczalności korzystania z tego rodzaju środków muszą się mieścić w ramach konstytucyjnego prawa do sądu”.</w:t>
      </w:r>
    </w:p>
    <w:p w:rsidR="00AC1DC2" w:rsidRPr="005A0448" w:rsidRDefault="00AC1DC2" w:rsidP="005A0448">
      <w:pPr>
        <w:pStyle w:val="ARTartustawynprozporzdzenia"/>
      </w:pPr>
      <w:r w:rsidRPr="005A0448">
        <w:t xml:space="preserve">„Zgodnie z art. 78 Konstytucji każda ze stron ma samoistne prawo podmiotowe do zakwestionowania rozstrzygnięć podjętych wobec niej w postępowaniu sądowym bądź administracyjnym w pierwszej instancji. Prawo jest również środkiem reakcji w razie naruszenia praw jednostki przez organ lub sąd rozpatrujący jej sprawę w pierwszej instancji. Warto podkreślić, że ustawodawca nie ma pełnej, </w:t>
      </w:r>
      <w:r>
        <w:t>niczym nieskrępowanej swobody w </w:t>
      </w:r>
      <w:r w:rsidRPr="005A0448">
        <w:t xml:space="preserve">ustalaniu katalogu wyjątków od zasady dwuinstancyjności (…). Takie odstępstwo może być uzasadnione szczególnymi okolicznościami, które usprawiedliwiałyby pozbawienie strony postępowania środka odwoławczego. W niniejszej sprawie, (…) takie ukształtowanie przepisu art. 85 k.p.k. doprowadziło do nieuzasadnionego i </w:t>
      </w:r>
      <w:r w:rsidRPr="005A0448">
        <w:rPr>
          <w:rStyle w:val="Ppogrubienie"/>
        </w:rPr>
        <w:t>niezgodnego z art. 78 Konstytucji</w:t>
      </w:r>
      <w:r w:rsidRPr="005A0448">
        <w:t xml:space="preserve"> pozbawieniem strony prawa do środka odwoławczego”.</w:t>
      </w:r>
    </w:p>
    <w:p w:rsidR="00AC1DC2" w:rsidRPr="005A0448" w:rsidRDefault="00AC1DC2" w:rsidP="005A0448">
      <w:pPr>
        <w:pStyle w:val="ARTartustawynprozporzdzenia"/>
      </w:pPr>
      <w:r>
        <w:t xml:space="preserve">Ponadto, </w:t>
      </w:r>
      <w:r w:rsidRPr="005A0448">
        <w:t>„Prawo do sądu jako organu sprawującego wymiar sprawiedliwości obejmuje w szczególności prawo do rzetelnej procedury sądowej, w tym zaś prawo do zaskarżenia pierwszoinstancyjnego orzeczenia sądowego. Nadto, prawo do sądu jako organu kontrolującego akty innych organów władzy publicznej go</w:t>
      </w:r>
      <w:r>
        <w:t>dzących w konstytucyjne prawa i </w:t>
      </w:r>
      <w:r w:rsidRPr="005A0448">
        <w:t>wolności jednostki w sposób niewątpliwy zawiera prawo do zaskarżenia, bo właśnie zaskarżenie decyzji do sądu umożliwia jej kontrolę. W tym wypadku prawo do zaskarżenia również zatem może być postrzegane jako element prawa do sądu”. W konsekwencji – zdaniem RPO – można mówić też o „</w:t>
      </w:r>
      <w:r w:rsidRPr="005A0448">
        <w:rPr>
          <w:rStyle w:val="Ppogrubienie"/>
        </w:rPr>
        <w:t>niezgodności przepisów art. 85 § 2 w zw. z art. 85 § 3 k.p.k. z art. 45 Konstytucji RP</w:t>
      </w:r>
      <w:r w:rsidRPr="005A0448">
        <w:t>, w zakresie w jakim nie przewidują możliwości złożenia zażalenia na stwierdzenia braku sprzeczności interesów”.</w:t>
      </w:r>
    </w:p>
    <w:p w:rsidR="00AC1DC2" w:rsidRPr="005A0448" w:rsidRDefault="00AC1DC2" w:rsidP="005A0448">
      <w:pPr>
        <w:pStyle w:val="ARTartustawynprozporzdzenia"/>
      </w:pPr>
      <w:r w:rsidRPr="005A0448">
        <w:t>W końcu, „Zgodnie z ustanowioną w art. 42 ust. 2 Konstytucji RP konstytucyjną zasadą prawa do obrony (…), każdy, przeciw komu prowadzone jest postępowanie karne, ma prawo do obrony we wszystkich stadiach postępowania. Konstytucyjne prawo do obrony ma niewątpliwie wymiar materialny i formalny. Obrona materialna to możliwość bronienia przez oskarżonego jego interesów osobiście, zaś obrona for</w:t>
      </w:r>
      <w:r>
        <w:t>malna to prawo do korzystania z </w:t>
      </w:r>
      <w:r w:rsidRPr="005A0448">
        <w:t xml:space="preserve">pomocy obrońcy z wyboru lub z urzędu. Wyraża się to w szczególności poprzez korzystanie na zasadach określonych w ustawie z obrońcy z urzędu. (…). Konstytucyjne prawo do obrony należy rozumieć szeroko, jest ono bowiem nie tylko fundamentalną zasadą procesu karnego, ale też elementarnym standardem demokratycznego państwa prawnego. Jak słusznie </w:t>
      </w:r>
      <w:r w:rsidRPr="005A0448">
        <w:lastRenderedPageBreak/>
        <w:t>zauważono w doktrynie, korzystanie z prawa do obrony nie może polegać na działaniach, które prowadzą do ochrony własnych interesów kosztem realizacji prawa do obrony innych współoskarżonych”.</w:t>
      </w:r>
    </w:p>
    <w:p w:rsidR="00AC1DC2" w:rsidRDefault="00AC1DC2" w:rsidP="005A0448">
      <w:pPr>
        <w:pStyle w:val="ARTartustawynprozporzdzenia"/>
      </w:pPr>
      <w:r w:rsidRPr="005A0448">
        <w:t>Zatem „pozbawienie skarżącego możliwości kon</w:t>
      </w:r>
      <w:r>
        <w:t>troli sądowej rozstrzygnięcia w </w:t>
      </w:r>
      <w:r w:rsidRPr="005A0448">
        <w:t xml:space="preserve">zakresie braku sprzeczności interesów może skutkować pozbawieniem go prawa do obrony. W sytuacji bowiem, gdy doszło do konfliktu interesów podejrzanych, bronionych przez tego samego obrońcę, ich obrona jest jedynie pozorna. W konsekwencji art. 85 § 2 k.p.k. w zw. z art. 85 § 3 k.p.k. jest </w:t>
      </w:r>
      <w:r w:rsidRPr="005A0448">
        <w:rPr>
          <w:rStyle w:val="Ppogrubienie"/>
        </w:rPr>
        <w:t>niezgodny z art. 42 ust. 2 Konstytucji RP</w:t>
      </w:r>
      <w:r w:rsidRPr="005A0448">
        <w:t>”.</w:t>
      </w:r>
    </w:p>
    <w:p w:rsidR="00AC1DC2" w:rsidRDefault="00AC1DC2" w:rsidP="005A0448">
      <w:pPr>
        <w:pStyle w:val="ARTartustawynprozporzdzenia"/>
      </w:pPr>
      <w:r>
        <w:t xml:space="preserve">W konsekwencji proponuje się w projekcie, by prawo do zażalenia można było złożyć </w:t>
      </w:r>
      <w:r w:rsidRPr="006B4FE8">
        <w:rPr>
          <w:rStyle w:val="Ppogrubienie"/>
        </w:rPr>
        <w:t>także w przypadku postanowienia sądu o niesprzeczności interesów między oskarżonymi</w:t>
      </w:r>
      <w:r>
        <w:t>.</w:t>
      </w:r>
    </w:p>
    <w:p w:rsidR="00AC1DC2" w:rsidRDefault="00AC1DC2" w:rsidP="005A0448">
      <w:pPr>
        <w:pStyle w:val="ARTartustawynprozporzdzenia"/>
      </w:pPr>
      <w:r>
        <w:t xml:space="preserve">4. </w:t>
      </w:r>
      <w:r w:rsidRPr="00B8479E">
        <w:t>Nadesłane w ramach konsultacji opinie i uwagi są zamieszczone na senackiej stronie internetowej. Wyniki konsultacji przedstawiono w Ocenie Skutków Regulacji.</w:t>
      </w:r>
    </w:p>
    <w:p w:rsidR="00AC1DC2" w:rsidRPr="004810D7" w:rsidRDefault="00AC1DC2" w:rsidP="005A0448">
      <w:pPr>
        <w:pStyle w:val="ARTartustawynprozporzdzenia"/>
      </w:pPr>
      <w:r>
        <w:t>5. P</w:t>
      </w:r>
      <w:r w:rsidRPr="00AC3F27">
        <w:t>rzedmiot projektowanej regulacji nie jest objęty prawem Unii Europejskiej</w:t>
      </w:r>
      <w:r>
        <w:t>.</w:t>
      </w:r>
    </w:p>
    <w:p w:rsidR="00AC1DC2" w:rsidRPr="001B342E" w:rsidRDefault="00AC1DC2" w:rsidP="00A554F0"/>
    <w:sectPr w:rsidR="00AC1DC2" w:rsidRPr="001B342E" w:rsidSect="00AC1DC2">
      <w:headerReference w:type="default" r:id="rId8"/>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353" w:rsidRDefault="00C13353">
      <w:r>
        <w:separator/>
      </w:r>
    </w:p>
  </w:endnote>
  <w:endnote w:type="continuationSeparator" w:id="0">
    <w:p w:rsidR="00C13353" w:rsidRDefault="00C13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353" w:rsidRDefault="00C13353">
      <w:r>
        <w:separator/>
      </w:r>
    </w:p>
  </w:footnote>
  <w:footnote w:type="continuationSeparator" w:id="0">
    <w:p w:rsidR="00C13353" w:rsidRDefault="00C133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AC1DC2" w:rsidP="00B371CC">
    <w:pPr>
      <w:pStyle w:val="Nagwek"/>
      <w:jc w:val="center"/>
    </w:pPr>
    <w:r>
      <w:t xml:space="preserve">– </w:t>
    </w:r>
    <w:r>
      <w:fldChar w:fldCharType="begin"/>
    </w:r>
    <w:r>
      <w:instrText xml:space="preserve"> PAGE  \* MERGEFORMAT </w:instrText>
    </w:r>
    <w:r>
      <w:fldChar w:fldCharType="separate"/>
    </w:r>
    <w:r w:rsidR="00502DAD">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20"/>
  </w:num>
  <w:num w:numId="32">
    <w:abstractNumId w:val="12"/>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29"/>
  </w:num>
  <w:num w:numId="42">
    <w:abstractNumId w:val="22"/>
  </w:num>
  <w:num w:numId="43">
    <w:abstractNumId w:val="36"/>
  </w:num>
  <w:num w:numId="44">
    <w:abstractNumId w:val="13"/>
  </w:num>
  <w:num w:numId="45">
    <w:abstractNumId w:val="30"/>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4F0"/>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0DE0"/>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2D5E"/>
    <w:rsid w:val="003A306E"/>
    <w:rsid w:val="003A6A46"/>
    <w:rsid w:val="003A7A63"/>
    <w:rsid w:val="003B0F1D"/>
    <w:rsid w:val="003C0AD9"/>
    <w:rsid w:val="003C0ED0"/>
    <w:rsid w:val="003C35C4"/>
    <w:rsid w:val="003D31B9"/>
    <w:rsid w:val="003E2DA3"/>
    <w:rsid w:val="003F03D9"/>
    <w:rsid w:val="003F1262"/>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2DA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54F0"/>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1DC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13353"/>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D6099"/>
    <w:rsid w:val="00CE31A6"/>
    <w:rsid w:val="00CF09AA"/>
    <w:rsid w:val="00CF4813"/>
    <w:rsid w:val="00CF5233"/>
    <w:rsid w:val="00D029B8"/>
    <w:rsid w:val="00D02F60"/>
    <w:rsid w:val="00D07A7B"/>
    <w:rsid w:val="00D10E06"/>
    <w:rsid w:val="00D16820"/>
    <w:rsid w:val="00D32721"/>
    <w:rsid w:val="00D328DC"/>
    <w:rsid w:val="00D402FB"/>
    <w:rsid w:val="00D47D7A"/>
    <w:rsid w:val="00D57591"/>
    <w:rsid w:val="00D6046A"/>
    <w:rsid w:val="00D676F3"/>
    <w:rsid w:val="00D70EF5"/>
    <w:rsid w:val="00D71A25"/>
    <w:rsid w:val="00D71FCF"/>
    <w:rsid w:val="00D72A54"/>
    <w:rsid w:val="00D72CC1"/>
    <w:rsid w:val="00D80E7D"/>
    <w:rsid w:val="00D81397"/>
    <w:rsid w:val="00D848B9"/>
    <w:rsid w:val="00D90E69"/>
    <w:rsid w:val="00D93106"/>
    <w:rsid w:val="00D933E9"/>
    <w:rsid w:val="00D94104"/>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479A2E-9742-422A-8A01-E3A93EBA6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C1DC2"/>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6"/>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5"/>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28"/>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7"/>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IGindeksgrny">
    <w:name w:val="_IG_ – indeks górny"/>
    <w:basedOn w:val="Domylnaczcionkaakapitu"/>
    <w:uiPriority w:val="2"/>
    <w:qFormat/>
    <w:rsid w:val="00120DE0"/>
    <w:rPr>
      <w:b w:val="0"/>
      <w:i w:val="0"/>
      <w:vanish w:val="0"/>
      <w:spacing w:val="0"/>
      <w:vertAlign w:val="superscript"/>
    </w:rPr>
  </w:style>
  <w:style w:type="character" w:customStyle="1" w:styleId="Ppogrubienie">
    <w:name w:val="_P_ – pogrubienie"/>
    <w:basedOn w:val="Domylnaczcionkaakapitu"/>
    <w:uiPriority w:val="1"/>
    <w:qFormat/>
    <w:rsid w:val="00120DE0"/>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20DE0"/>
    <w:rPr>
      <w:bCs/>
    </w:rPr>
  </w:style>
  <w:style w:type="character" w:customStyle="1" w:styleId="Kkursywa">
    <w:name w:val="_K_ – kursywa"/>
    <w:basedOn w:val="Domylnaczcionkaakapitu"/>
    <w:uiPriority w:val="1"/>
    <w:qFormat/>
    <w:rsid w:val="00120DE0"/>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ADD68-0EF8-43D7-BB61-E0694424B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Template>
  <TotalTime>23</TotalTime>
  <Pages>4</Pages>
  <Words>1285</Words>
  <Characters>7711</Characters>
  <Application>Microsoft Office Word</Application>
  <DocSecurity>0</DocSecurity>
  <Lines>64</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8979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Justyna Mazur</dc:creator>
  <cp:lastModifiedBy>Grzegorz Molesztak</cp:lastModifiedBy>
  <cp:revision>9</cp:revision>
  <cp:lastPrinted>2023-01-13T08:32:00Z</cp:lastPrinted>
  <dcterms:created xsi:type="dcterms:W3CDTF">2022-11-16T20:26:00Z</dcterms:created>
  <dcterms:modified xsi:type="dcterms:W3CDTF">2023-01-25T09:56:00Z</dcterms:modified>
</cp:coreProperties>
</file>