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53309" w14:textId="3CB5D21F" w:rsidR="0081708D" w:rsidRPr="00D84154" w:rsidRDefault="0081708D" w:rsidP="00D84154">
      <w:pPr>
        <w:spacing w:before="120" w:after="0" w:line="360" w:lineRule="auto"/>
        <w:jc w:val="center"/>
        <w:rPr>
          <w:rFonts w:ascii="Times New Roman" w:hAnsi="Times New Roman" w:cs="Times New Roman"/>
          <w:bCs/>
          <w:caps/>
          <w:color w:val="000000" w:themeColor="text1"/>
          <w:sz w:val="24"/>
          <w:szCs w:val="24"/>
        </w:rPr>
      </w:pPr>
      <w:r w:rsidRPr="00D84154">
        <w:rPr>
          <w:rFonts w:ascii="Times New Roman" w:hAnsi="Times New Roman" w:cs="Times New Roman"/>
          <w:bCs/>
          <w:caps/>
          <w:color w:val="000000" w:themeColor="text1"/>
          <w:sz w:val="24"/>
          <w:szCs w:val="24"/>
        </w:rPr>
        <w:t>Uzasadnienie</w:t>
      </w:r>
    </w:p>
    <w:p w14:paraId="52C39FF5" w14:textId="3E8E55E8" w:rsidR="005C79FE" w:rsidRPr="00D84154" w:rsidRDefault="00090D9B" w:rsidP="00090D9B">
      <w:pPr>
        <w:spacing w:before="120" w:after="0" w:line="360" w:lineRule="auto"/>
        <w:ind w:left="426" w:hanging="426"/>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w:t>
      </w:r>
      <w:r>
        <w:rPr>
          <w:rFonts w:ascii="Times New Roman" w:hAnsi="Times New Roman" w:cs="Times New Roman"/>
          <w:b/>
          <w:bCs/>
          <w:color w:val="000000" w:themeColor="text1"/>
          <w:sz w:val="24"/>
          <w:szCs w:val="24"/>
        </w:rPr>
        <w:tab/>
      </w:r>
      <w:r w:rsidR="005C79FE" w:rsidRPr="00D84154">
        <w:rPr>
          <w:rFonts w:ascii="Times New Roman" w:hAnsi="Times New Roman" w:cs="Times New Roman"/>
          <w:b/>
          <w:bCs/>
          <w:color w:val="000000" w:themeColor="text1"/>
          <w:sz w:val="24"/>
          <w:szCs w:val="24"/>
        </w:rPr>
        <w:t>Potrzeba i cel uchwalenia projektowanej regulacji</w:t>
      </w:r>
    </w:p>
    <w:p w14:paraId="35DC62FB" w14:textId="3EB0ACEB" w:rsidR="0081708D" w:rsidRPr="00D84154" w:rsidRDefault="008144BA"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Nowelizacja ustawy z dnia 16 lutego 2007 </w:t>
      </w:r>
      <w:r w:rsidR="00A60572" w:rsidRPr="00D84154">
        <w:rPr>
          <w:rFonts w:ascii="Times New Roman" w:hAnsi="Times New Roman" w:cs="Times New Roman"/>
          <w:color w:val="000000" w:themeColor="text1"/>
          <w:sz w:val="24"/>
          <w:szCs w:val="24"/>
        </w:rPr>
        <w:t xml:space="preserve">r. </w:t>
      </w:r>
      <w:r w:rsidRPr="00D84154">
        <w:rPr>
          <w:rFonts w:ascii="Times New Roman" w:hAnsi="Times New Roman" w:cs="Times New Roman"/>
          <w:color w:val="000000" w:themeColor="text1"/>
          <w:sz w:val="24"/>
          <w:szCs w:val="24"/>
        </w:rPr>
        <w:t>o ochronie</w:t>
      </w:r>
      <w:r w:rsidR="00B15488">
        <w:rPr>
          <w:rFonts w:ascii="Times New Roman" w:hAnsi="Times New Roman" w:cs="Times New Roman"/>
          <w:color w:val="000000" w:themeColor="text1"/>
          <w:sz w:val="24"/>
          <w:szCs w:val="24"/>
        </w:rPr>
        <w:t xml:space="preserve"> konkurencji i konsumentów (Dz. </w:t>
      </w:r>
      <w:r w:rsidR="00A533F4">
        <w:rPr>
          <w:rFonts w:ascii="Times New Roman" w:hAnsi="Times New Roman" w:cs="Times New Roman"/>
          <w:color w:val="000000" w:themeColor="text1"/>
          <w:sz w:val="24"/>
          <w:szCs w:val="24"/>
        </w:rPr>
        <w:t>U. z </w:t>
      </w:r>
      <w:r w:rsidRPr="00D84154">
        <w:rPr>
          <w:rFonts w:ascii="Times New Roman" w:hAnsi="Times New Roman" w:cs="Times New Roman"/>
          <w:color w:val="000000" w:themeColor="text1"/>
          <w:sz w:val="24"/>
          <w:szCs w:val="24"/>
        </w:rPr>
        <w:t>20</w:t>
      </w:r>
      <w:r w:rsidR="005C79FE" w:rsidRPr="00D84154">
        <w:rPr>
          <w:rFonts w:ascii="Times New Roman" w:hAnsi="Times New Roman" w:cs="Times New Roman"/>
          <w:color w:val="000000" w:themeColor="text1"/>
          <w:sz w:val="24"/>
          <w:szCs w:val="24"/>
        </w:rPr>
        <w:t>2</w:t>
      </w:r>
      <w:r w:rsidR="002A2932" w:rsidRPr="00D84154">
        <w:rPr>
          <w:rFonts w:ascii="Times New Roman" w:hAnsi="Times New Roman" w:cs="Times New Roman"/>
          <w:color w:val="000000" w:themeColor="text1"/>
          <w:sz w:val="24"/>
          <w:szCs w:val="24"/>
        </w:rPr>
        <w:t>1</w:t>
      </w:r>
      <w:r w:rsidRPr="00D84154">
        <w:rPr>
          <w:rFonts w:ascii="Times New Roman" w:hAnsi="Times New Roman" w:cs="Times New Roman"/>
          <w:color w:val="000000" w:themeColor="text1"/>
          <w:sz w:val="24"/>
          <w:szCs w:val="24"/>
        </w:rPr>
        <w:t xml:space="preserve"> </w:t>
      </w:r>
      <w:r w:rsidR="00A60572" w:rsidRPr="00D84154">
        <w:rPr>
          <w:rFonts w:ascii="Times New Roman" w:hAnsi="Times New Roman" w:cs="Times New Roman"/>
          <w:color w:val="000000" w:themeColor="text1"/>
          <w:sz w:val="24"/>
          <w:szCs w:val="24"/>
        </w:rPr>
        <w:t xml:space="preserve">r. </w:t>
      </w:r>
      <w:r w:rsidRPr="00D84154">
        <w:rPr>
          <w:rFonts w:ascii="Times New Roman" w:hAnsi="Times New Roman" w:cs="Times New Roman"/>
          <w:color w:val="000000" w:themeColor="text1"/>
          <w:sz w:val="24"/>
          <w:szCs w:val="24"/>
        </w:rPr>
        <w:t xml:space="preserve">poz. </w:t>
      </w:r>
      <w:r w:rsidR="002A2932" w:rsidRPr="00D84154">
        <w:rPr>
          <w:rFonts w:ascii="Times New Roman" w:hAnsi="Times New Roman" w:cs="Times New Roman"/>
          <w:color w:val="000000" w:themeColor="text1"/>
          <w:sz w:val="24"/>
          <w:szCs w:val="24"/>
        </w:rPr>
        <w:t>275</w:t>
      </w:r>
      <w:r w:rsidR="00857C3D" w:rsidRPr="00D84154">
        <w:rPr>
          <w:rFonts w:ascii="Times New Roman" w:hAnsi="Times New Roman" w:cs="Times New Roman"/>
          <w:color w:val="000000" w:themeColor="text1"/>
          <w:sz w:val="24"/>
          <w:szCs w:val="24"/>
        </w:rPr>
        <w:t>, z późn. zm.</w:t>
      </w:r>
      <w:r w:rsidR="002A2932" w:rsidRPr="00D84154">
        <w:rPr>
          <w:rFonts w:ascii="Times New Roman" w:hAnsi="Times New Roman" w:cs="Times New Roman"/>
          <w:color w:val="000000" w:themeColor="text1"/>
          <w:sz w:val="24"/>
          <w:szCs w:val="24"/>
        </w:rPr>
        <w:t>)</w:t>
      </w:r>
      <w:r w:rsidR="005C79FE" w:rsidRPr="00D84154">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dalej „</w:t>
      </w:r>
      <w:r w:rsidRPr="004E3981">
        <w:rPr>
          <w:rFonts w:ascii="Times New Roman" w:hAnsi="Times New Roman" w:cs="Times New Roman"/>
          <w:color w:val="000000" w:themeColor="text1"/>
          <w:sz w:val="24"/>
          <w:szCs w:val="24"/>
        </w:rPr>
        <w:t>ustawa</w:t>
      </w:r>
      <w:r w:rsidRPr="00D84154">
        <w:rPr>
          <w:rFonts w:ascii="Times New Roman" w:hAnsi="Times New Roman" w:cs="Times New Roman"/>
          <w:color w:val="000000" w:themeColor="text1"/>
          <w:sz w:val="24"/>
          <w:szCs w:val="24"/>
        </w:rPr>
        <w:t>”</w:t>
      </w:r>
      <w:r w:rsidR="002A2932" w:rsidRPr="00D84154">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dokonuje transpozycji</w:t>
      </w:r>
      <w:r w:rsidR="0081708D" w:rsidRPr="00D84154">
        <w:rPr>
          <w:rFonts w:ascii="Times New Roman" w:hAnsi="Times New Roman" w:cs="Times New Roman"/>
          <w:color w:val="000000" w:themeColor="text1"/>
          <w:sz w:val="24"/>
          <w:szCs w:val="24"/>
        </w:rPr>
        <w:t xml:space="preserve"> </w:t>
      </w:r>
      <w:r w:rsidR="002A2932" w:rsidRPr="00D84154">
        <w:rPr>
          <w:rFonts w:ascii="Times New Roman" w:hAnsi="Times New Roman" w:cs="Times New Roman"/>
          <w:color w:val="000000" w:themeColor="text1"/>
          <w:sz w:val="24"/>
          <w:szCs w:val="24"/>
        </w:rPr>
        <w:t>d</w:t>
      </w:r>
      <w:r w:rsidR="0081708D" w:rsidRPr="00D84154">
        <w:rPr>
          <w:rFonts w:ascii="Times New Roman" w:hAnsi="Times New Roman" w:cs="Times New Roman"/>
          <w:color w:val="000000" w:themeColor="text1"/>
          <w:sz w:val="24"/>
          <w:szCs w:val="24"/>
        </w:rPr>
        <w:t xml:space="preserve">yrektywy </w:t>
      </w:r>
      <w:r w:rsidR="00BE677A" w:rsidRPr="00D84154">
        <w:rPr>
          <w:rFonts w:ascii="Times New Roman" w:hAnsi="Times New Roman" w:cs="Times New Roman"/>
          <w:color w:val="000000" w:themeColor="text1"/>
          <w:sz w:val="24"/>
          <w:szCs w:val="24"/>
        </w:rPr>
        <w:t xml:space="preserve">Parlamentu Europejskiego i Rady </w:t>
      </w:r>
      <w:r w:rsidR="00A60572" w:rsidRPr="00D84154">
        <w:rPr>
          <w:rFonts w:ascii="Times New Roman" w:hAnsi="Times New Roman" w:cs="Times New Roman"/>
          <w:color w:val="000000" w:themeColor="text1"/>
          <w:sz w:val="24"/>
          <w:szCs w:val="24"/>
        </w:rPr>
        <w:t xml:space="preserve">(UE) </w:t>
      </w:r>
      <w:r w:rsidR="00BE677A" w:rsidRPr="00D84154">
        <w:rPr>
          <w:rFonts w:ascii="Times New Roman" w:hAnsi="Times New Roman" w:cs="Times New Roman"/>
          <w:color w:val="000000" w:themeColor="text1"/>
          <w:sz w:val="24"/>
          <w:szCs w:val="24"/>
        </w:rPr>
        <w:t xml:space="preserve">2019/1 z dnia 11 grudnia 2018 r. mającej na celu nadanie organom ochrony konkurencji państw członkowskich uprawnień w celu skuteczniejszego egzekwowania prawa i zapewnienia należytego funkcjonowania rynku </w:t>
      </w:r>
      <w:r w:rsidR="00A60572" w:rsidRPr="00D84154">
        <w:rPr>
          <w:rFonts w:ascii="Times New Roman" w:hAnsi="Times New Roman" w:cs="Times New Roman"/>
          <w:color w:val="000000" w:themeColor="text1"/>
          <w:sz w:val="24"/>
          <w:szCs w:val="24"/>
        </w:rPr>
        <w:t>w</w:t>
      </w:r>
      <w:r w:rsidR="00BE677A" w:rsidRPr="00D84154">
        <w:rPr>
          <w:rFonts w:ascii="Times New Roman" w:hAnsi="Times New Roman" w:cs="Times New Roman"/>
          <w:color w:val="000000" w:themeColor="text1"/>
          <w:sz w:val="24"/>
          <w:szCs w:val="24"/>
        </w:rPr>
        <w:t xml:space="preserve">ewnętrznego (Dz. Urz. UE </w:t>
      </w:r>
      <w:r w:rsidR="00B15488">
        <w:rPr>
          <w:rFonts w:ascii="Times New Roman" w:hAnsi="Times New Roman" w:cs="Times New Roman"/>
          <w:color w:val="000000" w:themeColor="text1"/>
          <w:sz w:val="24"/>
          <w:szCs w:val="24"/>
        </w:rPr>
        <w:t>L </w:t>
      </w:r>
      <w:r w:rsidR="002A2932" w:rsidRPr="00D84154">
        <w:rPr>
          <w:rFonts w:ascii="Times New Roman" w:hAnsi="Times New Roman" w:cs="Times New Roman"/>
          <w:color w:val="000000" w:themeColor="text1"/>
          <w:sz w:val="24"/>
          <w:szCs w:val="24"/>
        </w:rPr>
        <w:t xml:space="preserve">11 </w:t>
      </w:r>
      <w:r w:rsidR="00A533F4">
        <w:rPr>
          <w:rFonts w:ascii="Times New Roman" w:hAnsi="Times New Roman" w:cs="Times New Roman"/>
          <w:color w:val="000000" w:themeColor="text1"/>
          <w:sz w:val="24"/>
          <w:szCs w:val="24"/>
        </w:rPr>
        <w:t>z </w:t>
      </w:r>
      <w:r w:rsidR="00BE677A" w:rsidRPr="00D84154">
        <w:rPr>
          <w:rFonts w:ascii="Times New Roman" w:hAnsi="Times New Roman" w:cs="Times New Roman"/>
          <w:color w:val="000000" w:themeColor="text1"/>
          <w:sz w:val="24"/>
          <w:szCs w:val="24"/>
        </w:rPr>
        <w:t>14.</w:t>
      </w:r>
      <w:r w:rsidR="002A2932" w:rsidRPr="00D84154">
        <w:rPr>
          <w:rFonts w:ascii="Times New Roman" w:hAnsi="Times New Roman" w:cs="Times New Roman"/>
          <w:color w:val="000000" w:themeColor="text1"/>
          <w:sz w:val="24"/>
          <w:szCs w:val="24"/>
        </w:rPr>
        <w:t>0</w:t>
      </w:r>
      <w:r w:rsidR="00BE677A" w:rsidRPr="00D84154">
        <w:rPr>
          <w:rFonts w:ascii="Times New Roman" w:hAnsi="Times New Roman" w:cs="Times New Roman"/>
          <w:color w:val="000000" w:themeColor="text1"/>
          <w:sz w:val="24"/>
          <w:szCs w:val="24"/>
        </w:rPr>
        <w:t xml:space="preserve">1.2019, </w:t>
      </w:r>
      <w:r w:rsidR="002A2932" w:rsidRPr="00D84154">
        <w:rPr>
          <w:rFonts w:ascii="Times New Roman" w:hAnsi="Times New Roman" w:cs="Times New Roman"/>
          <w:color w:val="000000" w:themeColor="text1"/>
          <w:sz w:val="24"/>
          <w:szCs w:val="24"/>
        </w:rPr>
        <w:t>str. 3)</w:t>
      </w:r>
      <w:r w:rsidR="00BE677A" w:rsidRPr="00D84154">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dalej „</w:t>
      </w:r>
      <w:r w:rsidR="002A2932" w:rsidRPr="004E3981">
        <w:rPr>
          <w:rFonts w:ascii="Times New Roman" w:hAnsi="Times New Roman" w:cs="Times New Roman"/>
          <w:color w:val="000000" w:themeColor="text1"/>
          <w:sz w:val="24"/>
          <w:szCs w:val="24"/>
        </w:rPr>
        <w:t>d</w:t>
      </w:r>
      <w:r w:rsidRPr="004E3981">
        <w:rPr>
          <w:rFonts w:ascii="Times New Roman" w:hAnsi="Times New Roman" w:cs="Times New Roman"/>
          <w:color w:val="000000" w:themeColor="text1"/>
          <w:sz w:val="24"/>
          <w:szCs w:val="24"/>
        </w:rPr>
        <w:t>yrektywa</w:t>
      </w:r>
      <w:r w:rsidRPr="00D84154">
        <w:rPr>
          <w:rFonts w:ascii="Times New Roman" w:hAnsi="Times New Roman" w:cs="Times New Roman"/>
          <w:color w:val="000000" w:themeColor="text1"/>
          <w:sz w:val="24"/>
          <w:szCs w:val="24"/>
        </w:rPr>
        <w:t>”</w:t>
      </w:r>
      <w:r w:rsidR="005C79FE" w:rsidRPr="00D84154">
        <w:rPr>
          <w:rFonts w:ascii="Times New Roman" w:hAnsi="Times New Roman" w:cs="Times New Roman"/>
          <w:color w:val="000000" w:themeColor="text1"/>
          <w:sz w:val="24"/>
          <w:szCs w:val="24"/>
        </w:rPr>
        <w:t xml:space="preserve">. Celem </w:t>
      </w:r>
      <w:r w:rsidR="002A2932" w:rsidRPr="00D84154">
        <w:rPr>
          <w:rFonts w:ascii="Times New Roman" w:hAnsi="Times New Roman" w:cs="Times New Roman"/>
          <w:color w:val="000000" w:themeColor="text1"/>
          <w:sz w:val="24"/>
          <w:szCs w:val="24"/>
        </w:rPr>
        <w:t>d</w:t>
      </w:r>
      <w:r w:rsidR="005C79FE" w:rsidRPr="00D84154">
        <w:rPr>
          <w:rFonts w:ascii="Times New Roman" w:hAnsi="Times New Roman" w:cs="Times New Roman"/>
          <w:color w:val="000000" w:themeColor="text1"/>
          <w:sz w:val="24"/>
          <w:szCs w:val="24"/>
        </w:rPr>
        <w:t xml:space="preserve">yrektywy jest zwiększenie skuteczności egzekwowania unijnych reguł konkurencji na rynku wewnętrznym przez krajowe organy ds. konkurencji państw członkowskich. Środkiem do uzyskania tego celu jest natomiast ustanowienie minimalnego zakresu uprawnień organów krajowych. Z uwagi na nieostre granice między sprawami, w których ma zastosowanie art. 101 lub </w:t>
      </w:r>
      <w:r w:rsidR="00A60572" w:rsidRPr="00D84154">
        <w:rPr>
          <w:rFonts w:ascii="Times New Roman" w:hAnsi="Times New Roman" w:cs="Times New Roman"/>
          <w:color w:val="000000" w:themeColor="text1"/>
          <w:sz w:val="24"/>
          <w:szCs w:val="24"/>
        </w:rPr>
        <w:t xml:space="preserve">art. </w:t>
      </w:r>
      <w:r w:rsidR="005C79FE" w:rsidRPr="00D84154">
        <w:rPr>
          <w:rFonts w:ascii="Times New Roman" w:hAnsi="Times New Roman" w:cs="Times New Roman"/>
          <w:color w:val="000000" w:themeColor="text1"/>
          <w:sz w:val="24"/>
          <w:szCs w:val="24"/>
        </w:rPr>
        <w:t>102 Traktatu o funkcjonowaniu Unii Europejskiej</w:t>
      </w:r>
      <w:r w:rsidR="002A2932" w:rsidRPr="00D84154">
        <w:rPr>
          <w:rFonts w:ascii="Times New Roman" w:hAnsi="Times New Roman" w:cs="Times New Roman"/>
          <w:color w:val="000000" w:themeColor="text1"/>
          <w:sz w:val="24"/>
          <w:szCs w:val="24"/>
        </w:rPr>
        <w:t>,</w:t>
      </w:r>
      <w:r w:rsidR="005C79FE" w:rsidRPr="00D84154">
        <w:rPr>
          <w:rFonts w:ascii="Times New Roman" w:hAnsi="Times New Roman" w:cs="Times New Roman"/>
          <w:color w:val="000000" w:themeColor="text1"/>
          <w:sz w:val="24"/>
          <w:szCs w:val="24"/>
        </w:rPr>
        <w:t xml:space="preserve"> dalej</w:t>
      </w:r>
      <w:r w:rsidR="00430D4F" w:rsidRPr="00D84154">
        <w:rPr>
          <w:rFonts w:ascii="Times New Roman" w:hAnsi="Times New Roman" w:cs="Times New Roman"/>
          <w:color w:val="000000" w:themeColor="text1"/>
          <w:sz w:val="24"/>
          <w:szCs w:val="24"/>
        </w:rPr>
        <w:t xml:space="preserve"> </w:t>
      </w:r>
      <w:r w:rsidR="00DC3E0E" w:rsidRPr="00D84154">
        <w:rPr>
          <w:rFonts w:ascii="Times New Roman" w:hAnsi="Times New Roman" w:cs="Times New Roman"/>
          <w:color w:val="000000" w:themeColor="text1"/>
          <w:sz w:val="24"/>
          <w:szCs w:val="24"/>
        </w:rPr>
        <w:t>„</w:t>
      </w:r>
      <w:r w:rsidR="005C79FE" w:rsidRPr="004E3981">
        <w:rPr>
          <w:rFonts w:ascii="Times New Roman" w:hAnsi="Times New Roman" w:cs="Times New Roman"/>
          <w:color w:val="000000" w:themeColor="text1"/>
          <w:sz w:val="24"/>
          <w:szCs w:val="24"/>
        </w:rPr>
        <w:t>TFUE</w:t>
      </w:r>
      <w:r w:rsidR="00DC3E0E" w:rsidRPr="00D84154">
        <w:rPr>
          <w:rFonts w:ascii="Times New Roman" w:hAnsi="Times New Roman" w:cs="Times New Roman"/>
          <w:color w:val="000000" w:themeColor="text1"/>
          <w:sz w:val="24"/>
          <w:szCs w:val="24"/>
        </w:rPr>
        <w:t>”</w:t>
      </w:r>
      <w:r w:rsidR="005C79FE" w:rsidRPr="00D84154">
        <w:rPr>
          <w:rFonts w:ascii="Times New Roman" w:hAnsi="Times New Roman" w:cs="Times New Roman"/>
          <w:color w:val="000000" w:themeColor="text1"/>
          <w:sz w:val="24"/>
          <w:szCs w:val="24"/>
        </w:rPr>
        <w:t>, a sprawami, w których organy d</w:t>
      </w:r>
      <w:r w:rsidR="00DC3E0E" w:rsidRPr="00D84154">
        <w:rPr>
          <w:rFonts w:ascii="Times New Roman" w:hAnsi="Times New Roman" w:cs="Times New Roman"/>
          <w:color w:val="000000" w:themeColor="text1"/>
          <w:sz w:val="24"/>
          <w:szCs w:val="24"/>
        </w:rPr>
        <w:t xml:space="preserve">o </w:t>
      </w:r>
      <w:r w:rsidR="005C79FE" w:rsidRPr="00D84154">
        <w:rPr>
          <w:rFonts w:ascii="Times New Roman" w:hAnsi="Times New Roman" w:cs="Times New Roman"/>
          <w:color w:val="000000" w:themeColor="text1"/>
          <w:sz w:val="24"/>
          <w:szCs w:val="24"/>
        </w:rPr>
        <w:t>s</w:t>
      </w:r>
      <w:r w:rsidR="00DC3E0E" w:rsidRPr="00D84154">
        <w:rPr>
          <w:rFonts w:ascii="Times New Roman" w:hAnsi="Times New Roman" w:cs="Times New Roman"/>
          <w:color w:val="000000" w:themeColor="text1"/>
          <w:sz w:val="24"/>
          <w:szCs w:val="24"/>
        </w:rPr>
        <w:t>praw</w:t>
      </w:r>
      <w:r w:rsidR="005C79FE" w:rsidRPr="00D84154">
        <w:rPr>
          <w:rFonts w:ascii="Times New Roman" w:hAnsi="Times New Roman" w:cs="Times New Roman"/>
          <w:color w:val="000000" w:themeColor="text1"/>
          <w:sz w:val="24"/>
          <w:szCs w:val="24"/>
        </w:rPr>
        <w:t xml:space="preserve"> konkurencji stosują tylko prawo krajowe </w:t>
      </w:r>
      <w:r w:rsidR="004E728B" w:rsidRPr="00D84154">
        <w:rPr>
          <w:rFonts w:ascii="Times New Roman" w:hAnsi="Times New Roman" w:cs="Times New Roman"/>
          <w:color w:val="000000" w:themeColor="text1"/>
          <w:sz w:val="24"/>
          <w:szCs w:val="24"/>
        </w:rPr>
        <w:t xml:space="preserve">proponowane zmiany </w:t>
      </w:r>
      <w:r w:rsidR="005C79FE" w:rsidRPr="00D84154">
        <w:rPr>
          <w:rFonts w:ascii="Times New Roman" w:hAnsi="Times New Roman" w:cs="Times New Roman"/>
          <w:color w:val="000000" w:themeColor="text1"/>
          <w:sz w:val="24"/>
          <w:szCs w:val="24"/>
        </w:rPr>
        <w:t>dotyczy</w:t>
      </w:r>
      <w:r w:rsidR="004E728B" w:rsidRPr="00D84154">
        <w:rPr>
          <w:rFonts w:ascii="Times New Roman" w:hAnsi="Times New Roman" w:cs="Times New Roman"/>
          <w:color w:val="000000" w:themeColor="text1"/>
          <w:sz w:val="24"/>
          <w:szCs w:val="24"/>
        </w:rPr>
        <w:t>ć</w:t>
      </w:r>
      <w:r w:rsidR="005C79FE" w:rsidRPr="00D84154">
        <w:rPr>
          <w:rFonts w:ascii="Times New Roman" w:hAnsi="Times New Roman" w:cs="Times New Roman"/>
          <w:color w:val="000000" w:themeColor="text1"/>
          <w:sz w:val="24"/>
          <w:szCs w:val="24"/>
        </w:rPr>
        <w:t xml:space="preserve"> </w:t>
      </w:r>
      <w:r w:rsidR="004E728B" w:rsidRPr="00D84154">
        <w:rPr>
          <w:rFonts w:ascii="Times New Roman" w:hAnsi="Times New Roman" w:cs="Times New Roman"/>
          <w:color w:val="000000" w:themeColor="text1"/>
          <w:sz w:val="24"/>
          <w:szCs w:val="24"/>
        </w:rPr>
        <w:t xml:space="preserve">będą </w:t>
      </w:r>
      <w:r w:rsidR="005C79FE" w:rsidRPr="00D84154">
        <w:rPr>
          <w:rFonts w:ascii="Times New Roman" w:hAnsi="Times New Roman" w:cs="Times New Roman"/>
          <w:color w:val="000000" w:themeColor="text1"/>
          <w:sz w:val="24"/>
          <w:szCs w:val="24"/>
        </w:rPr>
        <w:t>obu tych obszarów. Dyrektywa zmierza do zapewnienia</w:t>
      </w:r>
      <w:r w:rsidR="00B15488">
        <w:rPr>
          <w:rFonts w:ascii="Times New Roman" w:hAnsi="Times New Roman" w:cs="Times New Roman"/>
          <w:color w:val="000000" w:themeColor="text1"/>
          <w:sz w:val="24"/>
          <w:szCs w:val="24"/>
        </w:rPr>
        <w:t>,</w:t>
      </w:r>
      <w:r w:rsidR="005C79FE" w:rsidRPr="00D84154">
        <w:rPr>
          <w:rFonts w:ascii="Times New Roman" w:hAnsi="Times New Roman" w:cs="Times New Roman"/>
          <w:color w:val="000000" w:themeColor="text1"/>
          <w:sz w:val="24"/>
          <w:szCs w:val="24"/>
        </w:rPr>
        <w:t xml:space="preserve"> aby wszystkie krajowe organy ochrony konkurencji posiadały uprawnienia odpowiadające zasadniczo uprawnieniom Komisji Europejskiej</w:t>
      </w:r>
      <w:r w:rsidR="005F372A" w:rsidRPr="00D84154">
        <w:rPr>
          <w:rFonts w:ascii="Times New Roman" w:hAnsi="Times New Roman" w:cs="Times New Roman"/>
          <w:color w:val="000000" w:themeColor="text1"/>
          <w:sz w:val="24"/>
          <w:szCs w:val="24"/>
        </w:rPr>
        <w:t xml:space="preserve">, dalej </w:t>
      </w:r>
      <w:r w:rsidR="005A4F94" w:rsidRPr="00D84154">
        <w:rPr>
          <w:rFonts w:ascii="Times New Roman" w:hAnsi="Times New Roman" w:cs="Times New Roman"/>
          <w:color w:val="000000" w:themeColor="text1"/>
          <w:sz w:val="24"/>
          <w:szCs w:val="24"/>
        </w:rPr>
        <w:t>również „</w:t>
      </w:r>
      <w:r w:rsidR="005F372A" w:rsidRPr="004E3981">
        <w:rPr>
          <w:rFonts w:ascii="Times New Roman" w:hAnsi="Times New Roman" w:cs="Times New Roman"/>
          <w:color w:val="000000" w:themeColor="text1"/>
          <w:sz w:val="24"/>
          <w:szCs w:val="24"/>
        </w:rPr>
        <w:t>KE</w:t>
      </w:r>
      <w:r w:rsidR="005F372A" w:rsidRPr="00D84154">
        <w:rPr>
          <w:rFonts w:ascii="Times New Roman" w:hAnsi="Times New Roman" w:cs="Times New Roman"/>
          <w:color w:val="000000" w:themeColor="text1"/>
          <w:sz w:val="24"/>
          <w:szCs w:val="24"/>
        </w:rPr>
        <w:t>”,</w:t>
      </w:r>
      <w:r w:rsidR="005C79FE" w:rsidRPr="00D84154">
        <w:rPr>
          <w:rFonts w:ascii="Times New Roman" w:hAnsi="Times New Roman" w:cs="Times New Roman"/>
          <w:color w:val="000000" w:themeColor="text1"/>
          <w:sz w:val="24"/>
          <w:szCs w:val="24"/>
        </w:rPr>
        <w:t xml:space="preserve"> wynikającym z </w:t>
      </w:r>
      <w:r w:rsidR="00DC3E0E" w:rsidRPr="00D84154">
        <w:rPr>
          <w:rFonts w:ascii="Times New Roman" w:hAnsi="Times New Roman" w:cs="Times New Roman"/>
          <w:color w:val="000000" w:themeColor="text1"/>
          <w:sz w:val="24"/>
          <w:szCs w:val="24"/>
        </w:rPr>
        <w:t>r</w:t>
      </w:r>
      <w:r w:rsidR="005C79FE" w:rsidRPr="00D84154">
        <w:rPr>
          <w:rFonts w:ascii="Times New Roman" w:hAnsi="Times New Roman" w:cs="Times New Roman"/>
          <w:color w:val="000000" w:themeColor="text1"/>
          <w:sz w:val="24"/>
          <w:szCs w:val="24"/>
        </w:rPr>
        <w:t xml:space="preserve">ozporządzenia </w:t>
      </w:r>
      <w:r w:rsidR="005F372A" w:rsidRPr="00D84154">
        <w:rPr>
          <w:rFonts w:ascii="Times New Roman" w:hAnsi="Times New Roman" w:cs="Times New Roman"/>
          <w:color w:val="000000" w:themeColor="text1"/>
          <w:sz w:val="24"/>
          <w:szCs w:val="24"/>
        </w:rPr>
        <w:t xml:space="preserve">Rady nr </w:t>
      </w:r>
      <w:r w:rsidR="005C79FE" w:rsidRPr="00D84154">
        <w:rPr>
          <w:rFonts w:ascii="Times New Roman" w:hAnsi="Times New Roman" w:cs="Times New Roman"/>
          <w:color w:val="000000" w:themeColor="text1"/>
          <w:sz w:val="24"/>
          <w:szCs w:val="24"/>
        </w:rPr>
        <w:t>1/2003</w:t>
      </w:r>
      <w:r w:rsidR="005F372A" w:rsidRPr="00D84154">
        <w:rPr>
          <w:rFonts w:ascii="Times New Roman" w:hAnsi="Times New Roman" w:cs="Times New Roman"/>
          <w:color w:val="000000" w:themeColor="text1"/>
          <w:sz w:val="24"/>
          <w:szCs w:val="24"/>
        </w:rPr>
        <w:t>/WE</w:t>
      </w:r>
      <w:r w:rsidR="005C79FE" w:rsidRPr="00D84154">
        <w:rPr>
          <w:rFonts w:ascii="Times New Roman" w:hAnsi="Times New Roman" w:cs="Times New Roman"/>
          <w:color w:val="000000" w:themeColor="text1"/>
          <w:sz w:val="24"/>
          <w:szCs w:val="24"/>
        </w:rPr>
        <w:t xml:space="preserve"> z </w:t>
      </w:r>
      <w:r w:rsidR="000275FA" w:rsidRPr="00D84154">
        <w:rPr>
          <w:rFonts w:ascii="Times New Roman" w:hAnsi="Times New Roman" w:cs="Times New Roman"/>
          <w:color w:val="000000" w:themeColor="text1"/>
          <w:sz w:val="24"/>
          <w:szCs w:val="24"/>
        </w:rPr>
        <w:t xml:space="preserve">dnia </w:t>
      </w:r>
      <w:r w:rsidR="005C79FE" w:rsidRPr="00D84154">
        <w:rPr>
          <w:rFonts w:ascii="Times New Roman" w:hAnsi="Times New Roman" w:cs="Times New Roman"/>
          <w:color w:val="000000" w:themeColor="text1"/>
          <w:sz w:val="24"/>
          <w:szCs w:val="24"/>
        </w:rPr>
        <w:t>16 grudnia 2002 r. w sprawie wprowadzenia w życie reguł konkurencji ustanowionych w art. 81 i 82 Traktatu</w:t>
      </w:r>
      <w:r w:rsidR="00BE677A" w:rsidRPr="00D84154">
        <w:rPr>
          <w:rFonts w:ascii="Times New Roman" w:hAnsi="Times New Roman" w:cs="Times New Roman"/>
          <w:color w:val="000000" w:themeColor="text1"/>
          <w:sz w:val="24"/>
          <w:szCs w:val="24"/>
        </w:rPr>
        <w:t xml:space="preserve"> (Dz.</w:t>
      </w:r>
      <w:r w:rsidR="00DC3E0E" w:rsidRPr="00D84154">
        <w:rPr>
          <w:rFonts w:ascii="Times New Roman" w:hAnsi="Times New Roman" w:cs="Times New Roman"/>
          <w:color w:val="000000" w:themeColor="text1"/>
          <w:sz w:val="24"/>
          <w:szCs w:val="24"/>
        </w:rPr>
        <w:t xml:space="preserve"> </w:t>
      </w:r>
      <w:r w:rsidR="00BE677A" w:rsidRPr="00D84154">
        <w:rPr>
          <w:rFonts w:ascii="Times New Roman" w:hAnsi="Times New Roman" w:cs="Times New Roman"/>
          <w:color w:val="000000" w:themeColor="text1"/>
          <w:sz w:val="24"/>
          <w:szCs w:val="24"/>
        </w:rPr>
        <w:t>U</w:t>
      </w:r>
      <w:r w:rsidR="00DC3E0E" w:rsidRPr="00D84154">
        <w:rPr>
          <w:rFonts w:ascii="Times New Roman" w:hAnsi="Times New Roman" w:cs="Times New Roman"/>
          <w:color w:val="000000" w:themeColor="text1"/>
          <w:sz w:val="24"/>
          <w:szCs w:val="24"/>
        </w:rPr>
        <w:t>rz</w:t>
      </w:r>
      <w:r w:rsidR="00BE677A" w:rsidRPr="00D84154">
        <w:rPr>
          <w:rFonts w:ascii="Times New Roman" w:hAnsi="Times New Roman" w:cs="Times New Roman"/>
          <w:color w:val="000000" w:themeColor="text1"/>
          <w:sz w:val="24"/>
          <w:szCs w:val="24"/>
        </w:rPr>
        <w:t xml:space="preserve">. </w:t>
      </w:r>
      <w:r w:rsidR="00A533F4">
        <w:rPr>
          <w:rFonts w:ascii="Times New Roman" w:hAnsi="Times New Roman" w:cs="Times New Roman"/>
          <w:color w:val="000000" w:themeColor="text1"/>
          <w:sz w:val="24"/>
          <w:szCs w:val="24"/>
        </w:rPr>
        <w:t>UE </w:t>
      </w:r>
      <w:r w:rsidR="00BE677A" w:rsidRPr="00D84154">
        <w:rPr>
          <w:rFonts w:ascii="Times New Roman" w:hAnsi="Times New Roman" w:cs="Times New Roman"/>
          <w:color w:val="000000" w:themeColor="text1"/>
          <w:sz w:val="24"/>
          <w:szCs w:val="24"/>
        </w:rPr>
        <w:t xml:space="preserve">L 1 z </w:t>
      </w:r>
      <w:r w:rsidR="00DC3E0E" w:rsidRPr="00D84154">
        <w:rPr>
          <w:rFonts w:ascii="Times New Roman" w:hAnsi="Times New Roman" w:cs="Times New Roman"/>
          <w:color w:val="000000" w:themeColor="text1"/>
          <w:sz w:val="24"/>
          <w:szCs w:val="24"/>
        </w:rPr>
        <w:t>0</w:t>
      </w:r>
      <w:r w:rsidR="00BE677A" w:rsidRPr="00D84154">
        <w:rPr>
          <w:rFonts w:ascii="Times New Roman" w:hAnsi="Times New Roman" w:cs="Times New Roman"/>
          <w:color w:val="000000" w:themeColor="text1"/>
          <w:sz w:val="24"/>
          <w:szCs w:val="24"/>
        </w:rPr>
        <w:t>4.</w:t>
      </w:r>
      <w:r w:rsidR="00DC3E0E" w:rsidRPr="00D84154">
        <w:rPr>
          <w:rFonts w:ascii="Times New Roman" w:hAnsi="Times New Roman" w:cs="Times New Roman"/>
          <w:color w:val="000000" w:themeColor="text1"/>
          <w:sz w:val="24"/>
          <w:szCs w:val="24"/>
        </w:rPr>
        <w:t>0</w:t>
      </w:r>
      <w:r w:rsidR="00BE677A" w:rsidRPr="00D84154">
        <w:rPr>
          <w:rFonts w:ascii="Times New Roman" w:hAnsi="Times New Roman" w:cs="Times New Roman"/>
          <w:color w:val="000000" w:themeColor="text1"/>
          <w:sz w:val="24"/>
          <w:szCs w:val="24"/>
        </w:rPr>
        <w:t xml:space="preserve">1.2003, str. </w:t>
      </w:r>
      <w:r w:rsidR="00857C3D" w:rsidRPr="00D84154">
        <w:rPr>
          <w:rFonts w:ascii="Times New Roman" w:hAnsi="Times New Roman" w:cs="Times New Roman"/>
          <w:color w:val="000000" w:themeColor="text1"/>
          <w:sz w:val="24"/>
          <w:szCs w:val="24"/>
        </w:rPr>
        <w:t xml:space="preserve">1, </w:t>
      </w:r>
      <w:r w:rsidR="00A60572" w:rsidRPr="00D84154">
        <w:rPr>
          <w:rFonts w:ascii="Times New Roman" w:hAnsi="Times New Roman" w:cs="Times New Roman"/>
          <w:color w:val="000000" w:themeColor="text1"/>
          <w:sz w:val="24"/>
          <w:szCs w:val="24"/>
        </w:rPr>
        <w:t xml:space="preserve">z </w:t>
      </w:r>
      <w:r w:rsidR="00857C3D" w:rsidRPr="00D84154">
        <w:rPr>
          <w:rFonts w:ascii="Times New Roman" w:hAnsi="Times New Roman" w:cs="Times New Roman"/>
          <w:color w:val="000000" w:themeColor="text1"/>
          <w:sz w:val="24"/>
          <w:szCs w:val="24"/>
        </w:rPr>
        <w:t>późn. zm.; Dz. Urz. UE</w:t>
      </w:r>
      <w:r w:rsidR="00857C3D" w:rsidRPr="00D84154">
        <w:rPr>
          <w:rFonts w:ascii="Times New Roman" w:hAnsi="Times New Roman" w:cs="Times New Roman"/>
          <w:sz w:val="24"/>
          <w:szCs w:val="24"/>
        </w:rPr>
        <w:t xml:space="preserve"> </w:t>
      </w:r>
      <w:r w:rsidR="00857C3D" w:rsidRPr="00D84154">
        <w:rPr>
          <w:rFonts w:ascii="Times New Roman" w:hAnsi="Times New Roman" w:cs="Times New Roman"/>
          <w:color w:val="000000" w:themeColor="text1"/>
          <w:sz w:val="24"/>
          <w:szCs w:val="24"/>
        </w:rPr>
        <w:t>Polskie w</w:t>
      </w:r>
      <w:r w:rsidR="00A533F4">
        <w:rPr>
          <w:rFonts w:ascii="Times New Roman" w:hAnsi="Times New Roman" w:cs="Times New Roman"/>
          <w:color w:val="000000" w:themeColor="text1"/>
          <w:sz w:val="24"/>
          <w:szCs w:val="24"/>
        </w:rPr>
        <w:t>ydanie specjalne, rozdz. 08, t. 02, str. </w:t>
      </w:r>
      <w:r w:rsidR="00857C3D" w:rsidRPr="00D84154">
        <w:rPr>
          <w:rFonts w:ascii="Times New Roman" w:hAnsi="Times New Roman" w:cs="Times New Roman"/>
          <w:color w:val="000000" w:themeColor="text1"/>
          <w:sz w:val="24"/>
          <w:szCs w:val="24"/>
        </w:rPr>
        <w:t>205</w:t>
      </w:r>
      <w:r w:rsidR="00BE677A" w:rsidRPr="00D84154">
        <w:rPr>
          <w:rFonts w:ascii="Times New Roman" w:hAnsi="Times New Roman" w:cs="Times New Roman"/>
          <w:color w:val="000000" w:themeColor="text1"/>
          <w:sz w:val="24"/>
          <w:szCs w:val="24"/>
        </w:rPr>
        <w:t>)</w:t>
      </w:r>
      <w:r w:rsidR="004B514F" w:rsidRPr="00D84154">
        <w:rPr>
          <w:rFonts w:ascii="Times New Roman" w:hAnsi="Times New Roman" w:cs="Times New Roman"/>
          <w:color w:val="000000" w:themeColor="text1"/>
          <w:sz w:val="24"/>
          <w:szCs w:val="24"/>
        </w:rPr>
        <w:t>, dalej „</w:t>
      </w:r>
      <w:r w:rsidR="004B514F" w:rsidRPr="004E3981">
        <w:rPr>
          <w:rFonts w:ascii="Times New Roman" w:hAnsi="Times New Roman" w:cs="Times New Roman"/>
          <w:color w:val="000000" w:themeColor="text1"/>
          <w:sz w:val="24"/>
          <w:szCs w:val="24"/>
        </w:rPr>
        <w:t>rozporządzenie 1/2003”</w:t>
      </w:r>
      <w:r w:rsidR="005C79FE" w:rsidRPr="004E3981">
        <w:rPr>
          <w:rFonts w:ascii="Times New Roman" w:hAnsi="Times New Roman" w:cs="Times New Roman"/>
          <w:color w:val="000000" w:themeColor="text1"/>
          <w:sz w:val="24"/>
          <w:szCs w:val="24"/>
        </w:rPr>
        <w:t>.</w:t>
      </w:r>
    </w:p>
    <w:p w14:paraId="62CDFD04" w14:textId="3061DF68" w:rsidR="0081708D" w:rsidRPr="00D84154" w:rsidRDefault="004E728B"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Na wstępie zaznaczyć należy, że już obecnie</w:t>
      </w:r>
      <w:r w:rsidR="0081708D" w:rsidRPr="00D84154">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 xml:space="preserve">znaczna część </w:t>
      </w:r>
      <w:r w:rsidR="0081708D" w:rsidRPr="00D84154">
        <w:rPr>
          <w:rFonts w:ascii="Times New Roman" w:hAnsi="Times New Roman" w:cs="Times New Roman"/>
          <w:color w:val="000000" w:themeColor="text1"/>
          <w:sz w:val="24"/>
          <w:szCs w:val="24"/>
        </w:rPr>
        <w:t>rozwiąza</w:t>
      </w:r>
      <w:r w:rsidRPr="00D84154">
        <w:rPr>
          <w:rFonts w:ascii="Times New Roman" w:hAnsi="Times New Roman" w:cs="Times New Roman"/>
          <w:color w:val="000000" w:themeColor="text1"/>
          <w:sz w:val="24"/>
          <w:szCs w:val="24"/>
        </w:rPr>
        <w:t>ń</w:t>
      </w:r>
      <w:r w:rsidR="0081708D" w:rsidRPr="00D84154">
        <w:rPr>
          <w:rFonts w:ascii="Times New Roman" w:hAnsi="Times New Roman" w:cs="Times New Roman"/>
          <w:color w:val="000000" w:themeColor="text1"/>
          <w:sz w:val="24"/>
          <w:szCs w:val="24"/>
        </w:rPr>
        <w:t xml:space="preserve"> przewidzian</w:t>
      </w:r>
      <w:r w:rsidRPr="00D84154">
        <w:rPr>
          <w:rFonts w:ascii="Times New Roman" w:hAnsi="Times New Roman" w:cs="Times New Roman"/>
          <w:color w:val="000000" w:themeColor="text1"/>
          <w:sz w:val="24"/>
          <w:szCs w:val="24"/>
        </w:rPr>
        <w:t>ych</w:t>
      </w:r>
      <w:r w:rsidR="00A533F4">
        <w:rPr>
          <w:rFonts w:ascii="Times New Roman" w:hAnsi="Times New Roman" w:cs="Times New Roman"/>
          <w:color w:val="000000" w:themeColor="text1"/>
          <w:sz w:val="24"/>
          <w:szCs w:val="24"/>
        </w:rPr>
        <w:t xml:space="preserve"> w </w:t>
      </w:r>
      <w:r w:rsidR="0081708D" w:rsidRPr="00D84154">
        <w:rPr>
          <w:rFonts w:ascii="Times New Roman" w:hAnsi="Times New Roman" w:cs="Times New Roman"/>
          <w:color w:val="000000" w:themeColor="text1"/>
          <w:sz w:val="24"/>
          <w:szCs w:val="24"/>
        </w:rPr>
        <w:t>ustawie</w:t>
      </w:r>
      <w:r w:rsidRPr="00D84154">
        <w:rPr>
          <w:rFonts w:ascii="Times New Roman" w:hAnsi="Times New Roman" w:cs="Times New Roman"/>
          <w:color w:val="000000" w:themeColor="text1"/>
          <w:sz w:val="24"/>
          <w:szCs w:val="24"/>
        </w:rPr>
        <w:t xml:space="preserve"> jest </w:t>
      </w:r>
      <w:r w:rsidR="0081708D" w:rsidRPr="00D84154">
        <w:rPr>
          <w:rFonts w:ascii="Times New Roman" w:hAnsi="Times New Roman" w:cs="Times New Roman"/>
          <w:color w:val="000000" w:themeColor="text1"/>
          <w:sz w:val="24"/>
          <w:szCs w:val="24"/>
        </w:rPr>
        <w:t>zbież</w:t>
      </w:r>
      <w:r w:rsidRPr="00D84154">
        <w:rPr>
          <w:rFonts w:ascii="Times New Roman" w:hAnsi="Times New Roman" w:cs="Times New Roman"/>
          <w:color w:val="000000" w:themeColor="text1"/>
          <w:sz w:val="24"/>
          <w:szCs w:val="24"/>
        </w:rPr>
        <w:t>na</w:t>
      </w:r>
      <w:r w:rsidR="0081708D" w:rsidRPr="00D84154">
        <w:rPr>
          <w:rFonts w:ascii="Times New Roman" w:hAnsi="Times New Roman" w:cs="Times New Roman"/>
          <w:color w:val="000000" w:themeColor="text1"/>
          <w:sz w:val="24"/>
          <w:szCs w:val="24"/>
        </w:rPr>
        <w:t xml:space="preserve"> z unijnymi standardami określonymi w </w:t>
      </w:r>
      <w:r w:rsidR="00DC3E0E" w:rsidRPr="00D84154">
        <w:rPr>
          <w:rFonts w:ascii="Times New Roman" w:hAnsi="Times New Roman" w:cs="Times New Roman"/>
          <w:color w:val="000000" w:themeColor="text1"/>
          <w:sz w:val="24"/>
          <w:szCs w:val="24"/>
        </w:rPr>
        <w:t>d</w:t>
      </w:r>
      <w:r w:rsidR="0081708D" w:rsidRPr="00D84154">
        <w:rPr>
          <w:rFonts w:ascii="Times New Roman" w:hAnsi="Times New Roman" w:cs="Times New Roman"/>
          <w:color w:val="000000" w:themeColor="text1"/>
          <w:sz w:val="24"/>
          <w:szCs w:val="24"/>
        </w:rPr>
        <w:t xml:space="preserve">yrektywie. </w:t>
      </w:r>
      <w:r w:rsidRPr="00D84154">
        <w:rPr>
          <w:rFonts w:ascii="Times New Roman" w:hAnsi="Times New Roman" w:cs="Times New Roman"/>
          <w:color w:val="000000" w:themeColor="text1"/>
          <w:sz w:val="24"/>
          <w:szCs w:val="24"/>
        </w:rPr>
        <w:t>Niemniej jednak n</w:t>
      </w:r>
      <w:r w:rsidR="005C79FE" w:rsidRPr="00D84154">
        <w:rPr>
          <w:rFonts w:ascii="Times New Roman" w:hAnsi="Times New Roman" w:cs="Times New Roman"/>
          <w:color w:val="000000" w:themeColor="text1"/>
          <w:sz w:val="24"/>
          <w:szCs w:val="24"/>
        </w:rPr>
        <w:t>iektóre obszary wymagają dostosowania</w:t>
      </w:r>
      <w:r w:rsidR="0081708D" w:rsidRPr="00D84154">
        <w:rPr>
          <w:rFonts w:ascii="Times New Roman" w:hAnsi="Times New Roman" w:cs="Times New Roman"/>
          <w:color w:val="000000" w:themeColor="text1"/>
          <w:sz w:val="24"/>
          <w:szCs w:val="24"/>
        </w:rPr>
        <w:t>.</w:t>
      </w:r>
    </w:p>
    <w:p w14:paraId="13706762" w14:textId="6D45FA83" w:rsidR="005C79FE" w:rsidRPr="00D84154" w:rsidRDefault="00090D9B" w:rsidP="00090D9B">
      <w:pPr>
        <w:spacing w:before="120" w:after="0" w:line="360" w:lineRule="auto"/>
        <w:ind w:left="426" w:hanging="426"/>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II.</w:t>
      </w:r>
      <w:r>
        <w:rPr>
          <w:rFonts w:ascii="Times New Roman" w:hAnsi="Times New Roman" w:cs="Times New Roman"/>
          <w:b/>
          <w:bCs/>
          <w:color w:val="000000" w:themeColor="text1"/>
          <w:sz w:val="24"/>
          <w:szCs w:val="24"/>
        </w:rPr>
        <w:tab/>
      </w:r>
      <w:r w:rsidR="005C79FE" w:rsidRPr="00D84154">
        <w:rPr>
          <w:rFonts w:ascii="Times New Roman" w:hAnsi="Times New Roman" w:cs="Times New Roman"/>
          <w:b/>
          <w:bCs/>
          <w:color w:val="000000" w:themeColor="text1"/>
          <w:sz w:val="24"/>
          <w:szCs w:val="24"/>
        </w:rPr>
        <w:t>Zakres projektowanej regulacji</w:t>
      </w:r>
    </w:p>
    <w:p w14:paraId="5A3AE7C7" w14:textId="1E785A6E" w:rsidR="0081708D" w:rsidRPr="00D84154" w:rsidRDefault="005C79FE"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Projekt ustawy o zmianie ustawy o ochronie konkurencji i konsumentów</w:t>
      </w:r>
      <w:r w:rsidR="00E60CE5" w:rsidRPr="00D84154">
        <w:rPr>
          <w:rFonts w:ascii="Times New Roman" w:hAnsi="Times New Roman" w:cs="Times New Roman"/>
          <w:color w:val="000000" w:themeColor="text1"/>
          <w:sz w:val="24"/>
          <w:szCs w:val="24"/>
        </w:rPr>
        <w:t xml:space="preserve"> oraz niektórych innych ustaw</w:t>
      </w:r>
      <w:r w:rsidRPr="00D84154">
        <w:rPr>
          <w:rFonts w:ascii="Times New Roman" w:hAnsi="Times New Roman" w:cs="Times New Roman"/>
          <w:color w:val="000000" w:themeColor="text1"/>
          <w:sz w:val="24"/>
          <w:szCs w:val="24"/>
        </w:rPr>
        <w:t xml:space="preserve"> obejmuje takie zagadnienia, jak:</w:t>
      </w:r>
    </w:p>
    <w:p w14:paraId="20DA9A95" w14:textId="5BC71DD5" w:rsidR="005C79FE" w:rsidRPr="00D84154" w:rsidRDefault="005C79FE" w:rsidP="00D84154">
      <w:pPr>
        <w:pStyle w:val="Akapitzlist"/>
        <w:numPr>
          <w:ilvl w:val="0"/>
          <w:numId w:val="12"/>
        </w:numPr>
        <w:spacing w:before="120" w:after="0" w:line="360" w:lineRule="auto"/>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pojęcie przedsiębiorstwa</w:t>
      </w:r>
      <w:r w:rsidR="00B03FC9">
        <w:rPr>
          <w:rFonts w:ascii="Times New Roman" w:hAnsi="Times New Roman" w:cs="Times New Roman"/>
          <w:color w:val="000000" w:themeColor="text1"/>
          <w:sz w:val="24"/>
          <w:szCs w:val="24"/>
        </w:rPr>
        <w:t>,</w:t>
      </w:r>
    </w:p>
    <w:p w14:paraId="7D68FF12" w14:textId="0BAD56A6" w:rsidR="005C79FE" w:rsidRPr="00D84154" w:rsidRDefault="005C79FE" w:rsidP="00D84154">
      <w:pPr>
        <w:pStyle w:val="Akapitzlist"/>
        <w:numPr>
          <w:ilvl w:val="0"/>
          <w:numId w:val="12"/>
        </w:numPr>
        <w:spacing w:before="120" w:after="0" w:line="360" w:lineRule="auto"/>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stwierdzenie i wyeliminowanie naruszenia</w:t>
      </w:r>
      <w:r w:rsidR="00B03FC9">
        <w:rPr>
          <w:rFonts w:ascii="Times New Roman" w:hAnsi="Times New Roman" w:cs="Times New Roman"/>
          <w:color w:val="000000" w:themeColor="text1"/>
          <w:sz w:val="24"/>
          <w:szCs w:val="24"/>
        </w:rPr>
        <w:t>,</w:t>
      </w:r>
    </w:p>
    <w:p w14:paraId="400E578A" w14:textId="205F7B2B" w:rsidR="005C79FE" w:rsidRPr="00D84154" w:rsidRDefault="005C79FE" w:rsidP="00D84154">
      <w:pPr>
        <w:pStyle w:val="Akapitzlist"/>
        <w:numPr>
          <w:ilvl w:val="0"/>
          <w:numId w:val="12"/>
        </w:numPr>
        <w:spacing w:before="120" w:after="0" w:line="360" w:lineRule="auto"/>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kadencyjność Prezesa U</w:t>
      </w:r>
      <w:r w:rsidR="00CA43DD" w:rsidRPr="00D84154">
        <w:rPr>
          <w:rFonts w:ascii="Times New Roman" w:hAnsi="Times New Roman" w:cs="Times New Roman"/>
          <w:color w:val="000000" w:themeColor="text1"/>
          <w:sz w:val="24"/>
          <w:szCs w:val="24"/>
        </w:rPr>
        <w:t xml:space="preserve">rzędu </w:t>
      </w:r>
      <w:r w:rsidRPr="00D84154">
        <w:rPr>
          <w:rFonts w:ascii="Times New Roman" w:hAnsi="Times New Roman" w:cs="Times New Roman"/>
          <w:color w:val="000000" w:themeColor="text1"/>
          <w:sz w:val="24"/>
          <w:szCs w:val="24"/>
        </w:rPr>
        <w:t>O</w:t>
      </w:r>
      <w:r w:rsidR="00CA43DD" w:rsidRPr="00D84154">
        <w:rPr>
          <w:rFonts w:ascii="Times New Roman" w:hAnsi="Times New Roman" w:cs="Times New Roman"/>
          <w:color w:val="000000" w:themeColor="text1"/>
          <w:sz w:val="24"/>
          <w:szCs w:val="24"/>
        </w:rPr>
        <w:t xml:space="preserve">chrony </w:t>
      </w:r>
      <w:r w:rsidRPr="00D84154">
        <w:rPr>
          <w:rFonts w:ascii="Times New Roman" w:hAnsi="Times New Roman" w:cs="Times New Roman"/>
          <w:color w:val="000000" w:themeColor="text1"/>
          <w:sz w:val="24"/>
          <w:szCs w:val="24"/>
        </w:rPr>
        <w:t>K</w:t>
      </w:r>
      <w:r w:rsidR="00CA43DD" w:rsidRPr="00D84154">
        <w:rPr>
          <w:rFonts w:ascii="Times New Roman" w:hAnsi="Times New Roman" w:cs="Times New Roman"/>
          <w:color w:val="000000" w:themeColor="text1"/>
          <w:sz w:val="24"/>
          <w:szCs w:val="24"/>
        </w:rPr>
        <w:t xml:space="preserve">onkurencji </w:t>
      </w:r>
      <w:r w:rsidRPr="00D84154">
        <w:rPr>
          <w:rFonts w:ascii="Times New Roman" w:hAnsi="Times New Roman" w:cs="Times New Roman"/>
          <w:color w:val="000000" w:themeColor="text1"/>
          <w:sz w:val="24"/>
          <w:szCs w:val="24"/>
        </w:rPr>
        <w:t>i</w:t>
      </w:r>
      <w:r w:rsidR="00CA43DD" w:rsidRPr="00D84154">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K</w:t>
      </w:r>
      <w:r w:rsidR="00CA43DD" w:rsidRPr="00D84154">
        <w:rPr>
          <w:rFonts w:ascii="Times New Roman" w:hAnsi="Times New Roman" w:cs="Times New Roman"/>
          <w:color w:val="000000" w:themeColor="text1"/>
          <w:sz w:val="24"/>
          <w:szCs w:val="24"/>
        </w:rPr>
        <w:t>onsumentów</w:t>
      </w:r>
      <w:r w:rsidRPr="00D84154">
        <w:rPr>
          <w:rFonts w:ascii="Times New Roman" w:hAnsi="Times New Roman" w:cs="Times New Roman"/>
          <w:color w:val="000000" w:themeColor="text1"/>
          <w:sz w:val="24"/>
          <w:szCs w:val="24"/>
        </w:rPr>
        <w:t>,</w:t>
      </w:r>
      <w:r w:rsidR="00CA43DD" w:rsidRPr="00D84154">
        <w:rPr>
          <w:rFonts w:ascii="Times New Roman" w:hAnsi="Times New Roman" w:cs="Times New Roman"/>
          <w:color w:val="000000" w:themeColor="text1"/>
          <w:sz w:val="24"/>
          <w:szCs w:val="24"/>
        </w:rPr>
        <w:t xml:space="preserve"> dalej „</w:t>
      </w:r>
      <w:r w:rsidR="00CA43DD" w:rsidRPr="0067766C">
        <w:rPr>
          <w:rFonts w:ascii="Times New Roman" w:hAnsi="Times New Roman" w:cs="Times New Roman"/>
          <w:color w:val="000000" w:themeColor="text1"/>
          <w:sz w:val="24"/>
          <w:szCs w:val="24"/>
        </w:rPr>
        <w:t>Prezes Urzędu</w:t>
      </w:r>
      <w:r w:rsidR="00CA43DD" w:rsidRPr="00D84154">
        <w:rPr>
          <w:rFonts w:ascii="Times New Roman" w:hAnsi="Times New Roman" w:cs="Times New Roman"/>
          <w:color w:val="000000" w:themeColor="text1"/>
          <w:sz w:val="24"/>
          <w:szCs w:val="24"/>
        </w:rPr>
        <w:t xml:space="preserve">” lub </w:t>
      </w:r>
      <w:r w:rsidR="00E60CE5" w:rsidRPr="00D84154">
        <w:rPr>
          <w:rFonts w:ascii="Times New Roman" w:hAnsi="Times New Roman" w:cs="Times New Roman"/>
          <w:color w:val="000000" w:themeColor="text1"/>
          <w:sz w:val="24"/>
          <w:szCs w:val="24"/>
        </w:rPr>
        <w:t>„</w:t>
      </w:r>
      <w:r w:rsidR="00CA43DD" w:rsidRPr="0067766C">
        <w:rPr>
          <w:rFonts w:ascii="Times New Roman" w:hAnsi="Times New Roman" w:cs="Times New Roman"/>
          <w:color w:val="000000" w:themeColor="text1"/>
          <w:sz w:val="24"/>
          <w:szCs w:val="24"/>
        </w:rPr>
        <w:t>Prezes UOKiK</w:t>
      </w:r>
      <w:r w:rsidR="00CA43DD" w:rsidRPr="00D84154">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w:t>
      </w:r>
      <w:r w:rsidR="0059371B" w:rsidRPr="00D84154">
        <w:rPr>
          <w:rFonts w:ascii="Times New Roman" w:hAnsi="Times New Roman" w:cs="Times New Roman"/>
          <w:color w:val="000000" w:themeColor="text1"/>
          <w:sz w:val="24"/>
          <w:szCs w:val="24"/>
        </w:rPr>
        <w:t xml:space="preserve">zapewnienie </w:t>
      </w:r>
      <w:r w:rsidRPr="00D84154">
        <w:rPr>
          <w:rFonts w:ascii="Times New Roman" w:hAnsi="Times New Roman" w:cs="Times New Roman"/>
          <w:color w:val="000000" w:themeColor="text1"/>
          <w:sz w:val="24"/>
          <w:szCs w:val="24"/>
        </w:rPr>
        <w:t>bezstronnoś</w:t>
      </w:r>
      <w:r w:rsidR="0059371B" w:rsidRPr="00D84154">
        <w:rPr>
          <w:rFonts w:ascii="Times New Roman" w:hAnsi="Times New Roman" w:cs="Times New Roman"/>
          <w:color w:val="000000" w:themeColor="text1"/>
          <w:sz w:val="24"/>
          <w:szCs w:val="24"/>
        </w:rPr>
        <w:t>ci</w:t>
      </w:r>
      <w:r w:rsidRPr="00D84154">
        <w:rPr>
          <w:rFonts w:ascii="Times New Roman" w:hAnsi="Times New Roman" w:cs="Times New Roman"/>
          <w:color w:val="000000" w:themeColor="text1"/>
          <w:sz w:val="24"/>
          <w:szCs w:val="24"/>
        </w:rPr>
        <w:t xml:space="preserve"> i </w:t>
      </w:r>
      <w:r w:rsidR="0059371B" w:rsidRPr="00D84154">
        <w:rPr>
          <w:rFonts w:ascii="Times New Roman" w:hAnsi="Times New Roman" w:cs="Times New Roman"/>
          <w:color w:val="000000" w:themeColor="text1"/>
          <w:sz w:val="24"/>
          <w:szCs w:val="24"/>
        </w:rPr>
        <w:t>przeciwdziałanie</w:t>
      </w:r>
      <w:r w:rsidRPr="00D84154">
        <w:rPr>
          <w:rFonts w:ascii="Times New Roman" w:hAnsi="Times New Roman" w:cs="Times New Roman"/>
          <w:color w:val="000000" w:themeColor="text1"/>
          <w:sz w:val="24"/>
          <w:szCs w:val="24"/>
        </w:rPr>
        <w:t xml:space="preserve"> konfliktowi interesów</w:t>
      </w:r>
      <w:r w:rsidR="00B03FC9">
        <w:rPr>
          <w:rFonts w:ascii="Times New Roman" w:hAnsi="Times New Roman" w:cs="Times New Roman"/>
          <w:color w:val="000000" w:themeColor="text1"/>
          <w:sz w:val="24"/>
          <w:szCs w:val="24"/>
        </w:rPr>
        <w:t>,</w:t>
      </w:r>
    </w:p>
    <w:p w14:paraId="014128AC" w14:textId="5A857712" w:rsidR="005C79FE" w:rsidRPr="00D84154" w:rsidRDefault="00C343E2" w:rsidP="00D84154">
      <w:pPr>
        <w:pStyle w:val="Akapitzlist"/>
        <w:numPr>
          <w:ilvl w:val="0"/>
          <w:numId w:val="12"/>
        </w:numPr>
        <w:spacing w:before="120" w:after="0" w:line="360" w:lineRule="auto"/>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u</w:t>
      </w:r>
      <w:r w:rsidR="005C79FE" w:rsidRPr="00D84154">
        <w:rPr>
          <w:rFonts w:ascii="Times New Roman" w:hAnsi="Times New Roman" w:cs="Times New Roman"/>
          <w:color w:val="000000" w:themeColor="text1"/>
          <w:sz w:val="24"/>
          <w:szCs w:val="24"/>
        </w:rPr>
        <w:t>zasadnienie zarzutów</w:t>
      </w:r>
      <w:r w:rsidR="00B03FC9">
        <w:rPr>
          <w:rFonts w:ascii="Times New Roman" w:hAnsi="Times New Roman" w:cs="Times New Roman"/>
          <w:color w:val="000000" w:themeColor="text1"/>
          <w:sz w:val="24"/>
          <w:szCs w:val="24"/>
        </w:rPr>
        <w:t>,</w:t>
      </w:r>
    </w:p>
    <w:p w14:paraId="3BC1F24D" w14:textId="6462610F" w:rsidR="005C79FE" w:rsidRPr="00D84154" w:rsidRDefault="005C79FE" w:rsidP="00D84154">
      <w:pPr>
        <w:pStyle w:val="Akapitzlist"/>
        <w:numPr>
          <w:ilvl w:val="0"/>
          <w:numId w:val="12"/>
        </w:numPr>
        <w:spacing w:before="120" w:after="0" w:line="360" w:lineRule="auto"/>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lastRenderedPageBreak/>
        <w:t>żądanie informacji</w:t>
      </w:r>
      <w:r w:rsidR="00B03FC9">
        <w:rPr>
          <w:rFonts w:ascii="Times New Roman" w:hAnsi="Times New Roman" w:cs="Times New Roman"/>
          <w:color w:val="000000" w:themeColor="text1"/>
          <w:sz w:val="24"/>
          <w:szCs w:val="24"/>
        </w:rPr>
        <w:t>,</w:t>
      </w:r>
    </w:p>
    <w:p w14:paraId="1A794712" w14:textId="4E5D2D8E" w:rsidR="005C79FE" w:rsidRPr="00D84154" w:rsidRDefault="005C79FE" w:rsidP="00D84154">
      <w:pPr>
        <w:pStyle w:val="Akapitzlist"/>
        <w:numPr>
          <w:ilvl w:val="0"/>
          <w:numId w:val="12"/>
        </w:numPr>
        <w:spacing w:before="120" w:after="0" w:line="360" w:lineRule="auto"/>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wolność od samooskarżania</w:t>
      </w:r>
      <w:r w:rsidR="00B03FC9">
        <w:rPr>
          <w:rFonts w:ascii="Times New Roman" w:hAnsi="Times New Roman" w:cs="Times New Roman"/>
          <w:color w:val="000000" w:themeColor="text1"/>
          <w:sz w:val="24"/>
          <w:szCs w:val="24"/>
        </w:rPr>
        <w:t>,</w:t>
      </w:r>
    </w:p>
    <w:p w14:paraId="39A84D57" w14:textId="3B3160F2" w:rsidR="005C79FE" w:rsidRPr="00D84154" w:rsidRDefault="005C79FE" w:rsidP="00D84154">
      <w:pPr>
        <w:pStyle w:val="Akapitzlist"/>
        <w:numPr>
          <w:ilvl w:val="0"/>
          <w:numId w:val="12"/>
        </w:numPr>
        <w:spacing w:before="120" w:after="0" w:line="360" w:lineRule="auto"/>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ochrona informacji uzyskanych w postępowaniu przed Prezesem</w:t>
      </w:r>
      <w:r w:rsidR="00A60572" w:rsidRPr="00D84154">
        <w:rPr>
          <w:rFonts w:ascii="Times New Roman" w:hAnsi="Times New Roman" w:cs="Times New Roman"/>
          <w:color w:val="000000" w:themeColor="text1"/>
          <w:sz w:val="24"/>
          <w:szCs w:val="24"/>
        </w:rPr>
        <w:t xml:space="preserve"> Urzędu</w:t>
      </w:r>
      <w:r w:rsidR="00B03FC9">
        <w:rPr>
          <w:rFonts w:ascii="Times New Roman" w:hAnsi="Times New Roman" w:cs="Times New Roman"/>
          <w:color w:val="000000" w:themeColor="text1"/>
          <w:sz w:val="24"/>
          <w:szCs w:val="24"/>
        </w:rPr>
        <w:t>,</w:t>
      </w:r>
    </w:p>
    <w:p w14:paraId="08ABC73E" w14:textId="03EB8555" w:rsidR="005C79FE" w:rsidRPr="00D84154" w:rsidRDefault="005C79FE" w:rsidP="00D84154">
      <w:pPr>
        <w:pStyle w:val="Akapitzlist"/>
        <w:numPr>
          <w:ilvl w:val="0"/>
          <w:numId w:val="12"/>
        </w:numPr>
        <w:spacing w:before="120" w:after="0" w:line="360" w:lineRule="auto"/>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kontrola, pomoc policji i LPP (</w:t>
      </w:r>
      <w:r w:rsidRPr="00A96C32">
        <w:rPr>
          <w:rFonts w:ascii="Times New Roman" w:hAnsi="Times New Roman" w:cs="Times New Roman"/>
          <w:color w:val="000000" w:themeColor="text1"/>
          <w:sz w:val="24"/>
          <w:szCs w:val="24"/>
        </w:rPr>
        <w:t>Legal professional privilege</w:t>
      </w:r>
      <w:r w:rsidRPr="00D84154">
        <w:rPr>
          <w:rFonts w:ascii="Times New Roman" w:hAnsi="Times New Roman" w:cs="Times New Roman"/>
          <w:color w:val="000000" w:themeColor="text1"/>
          <w:sz w:val="24"/>
          <w:szCs w:val="24"/>
        </w:rPr>
        <w:t>)</w:t>
      </w:r>
      <w:r w:rsidR="00B03FC9">
        <w:rPr>
          <w:rFonts w:ascii="Times New Roman" w:hAnsi="Times New Roman" w:cs="Times New Roman"/>
          <w:color w:val="000000" w:themeColor="text1"/>
          <w:sz w:val="24"/>
          <w:szCs w:val="24"/>
        </w:rPr>
        <w:t>,</w:t>
      </w:r>
    </w:p>
    <w:p w14:paraId="410757AF" w14:textId="2250DAB3" w:rsidR="005C79FE" w:rsidRPr="00D84154" w:rsidRDefault="00C354EA" w:rsidP="00D84154">
      <w:pPr>
        <w:pStyle w:val="Akapitzlist"/>
        <w:numPr>
          <w:ilvl w:val="0"/>
          <w:numId w:val="12"/>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terminy przedawnień</w:t>
      </w:r>
      <w:r w:rsidR="00B03FC9">
        <w:rPr>
          <w:rFonts w:ascii="Times New Roman" w:hAnsi="Times New Roman" w:cs="Times New Roman"/>
          <w:color w:val="000000" w:themeColor="text1"/>
          <w:sz w:val="24"/>
          <w:szCs w:val="24"/>
        </w:rPr>
        <w:t>,</w:t>
      </w:r>
    </w:p>
    <w:p w14:paraId="51BBBD53" w14:textId="46C277E6" w:rsidR="00C354EA" w:rsidRPr="00D84154" w:rsidRDefault="00C354EA" w:rsidP="00D84154">
      <w:pPr>
        <w:pStyle w:val="Akapitzlist"/>
        <w:numPr>
          <w:ilvl w:val="0"/>
          <w:numId w:val="12"/>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kary</w:t>
      </w:r>
      <w:r w:rsidR="00B03FC9">
        <w:rPr>
          <w:rFonts w:ascii="Times New Roman" w:hAnsi="Times New Roman" w:cs="Times New Roman"/>
          <w:color w:val="000000" w:themeColor="text1"/>
          <w:sz w:val="24"/>
          <w:szCs w:val="24"/>
        </w:rPr>
        <w:t>,</w:t>
      </w:r>
    </w:p>
    <w:p w14:paraId="2A5AF072" w14:textId="134B0807" w:rsidR="00C354EA" w:rsidRPr="00D84154" w:rsidRDefault="00C354EA" w:rsidP="00D84154">
      <w:pPr>
        <w:pStyle w:val="Akapitzlist"/>
        <w:numPr>
          <w:ilvl w:val="0"/>
          <w:numId w:val="12"/>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program łagodzenia kar (</w:t>
      </w:r>
      <w:r w:rsidRPr="0067766C">
        <w:rPr>
          <w:rFonts w:ascii="Times New Roman" w:hAnsi="Times New Roman" w:cs="Times New Roman"/>
          <w:i/>
          <w:color w:val="000000" w:themeColor="text1"/>
          <w:sz w:val="24"/>
          <w:szCs w:val="24"/>
        </w:rPr>
        <w:t>leniency</w:t>
      </w:r>
      <w:r w:rsidRPr="00D84154">
        <w:rPr>
          <w:rFonts w:ascii="Times New Roman" w:hAnsi="Times New Roman" w:cs="Times New Roman"/>
          <w:color w:val="000000" w:themeColor="text1"/>
          <w:sz w:val="24"/>
          <w:szCs w:val="24"/>
        </w:rPr>
        <w:t>)</w:t>
      </w:r>
      <w:r w:rsidR="00B03FC9">
        <w:rPr>
          <w:rFonts w:ascii="Times New Roman" w:hAnsi="Times New Roman" w:cs="Times New Roman"/>
          <w:color w:val="000000" w:themeColor="text1"/>
          <w:sz w:val="24"/>
          <w:szCs w:val="24"/>
        </w:rPr>
        <w:t>,</w:t>
      </w:r>
    </w:p>
    <w:p w14:paraId="7DC71057" w14:textId="7D221B8F" w:rsidR="00C354EA" w:rsidRPr="00D84154" w:rsidRDefault="00C354EA" w:rsidP="00D84154">
      <w:pPr>
        <w:pStyle w:val="Akapitzlist"/>
        <w:numPr>
          <w:ilvl w:val="0"/>
          <w:numId w:val="12"/>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wzajemna pomoc</w:t>
      </w:r>
      <w:r w:rsidR="00B03FC9">
        <w:rPr>
          <w:rFonts w:ascii="Times New Roman" w:hAnsi="Times New Roman" w:cs="Times New Roman"/>
          <w:color w:val="000000" w:themeColor="text1"/>
          <w:sz w:val="24"/>
          <w:szCs w:val="24"/>
        </w:rPr>
        <w:t>,</w:t>
      </w:r>
    </w:p>
    <w:p w14:paraId="58CACC05" w14:textId="400AF870" w:rsidR="00C354EA" w:rsidRPr="00D84154" w:rsidRDefault="0059371B" w:rsidP="00D84154">
      <w:pPr>
        <w:pStyle w:val="Akapitzlist"/>
        <w:numPr>
          <w:ilvl w:val="0"/>
          <w:numId w:val="12"/>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bCs/>
          <w:color w:val="000000" w:themeColor="text1"/>
          <w:sz w:val="24"/>
          <w:szCs w:val="24"/>
        </w:rPr>
        <w:t>zmiany wynikające z wyroku Trybunału Konstytu</w:t>
      </w:r>
      <w:r w:rsidR="00A533F4">
        <w:rPr>
          <w:rFonts w:ascii="Times New Roman" w:hAnsi="Times New Roman" w:cs="Times New Roman"/>
          <w:bCs/>
          <w:color w:val="000000" w:themeColor="text1"/>
          <w:sz w:val="24"/>
          <w:szCs w:val="24"/>
        </w:rPr>
        <w:t>cyjnego z dnia 16 stycznia 2019 </w:t>
      </w:r>
      <w:r w:rsidRPr="00D84154">
        <w:rPr>
          <w:rFonts w:ascii="Times New Roman" w:hAnsi="Times New Roman" w:cs="Times New Roman"/>
          <w:bCs/>
          <w:color w:val="000000" w:themeColor="text1"/>
          <w:sz w:val="24"/>
          <w:szCs w:val="24"/>
        </w:rPr>
        <w:t>r. sygn. P 19/17</w:t>
      </w:r>
      <w:r w:rsidR="00B03FC9">
        <w:rPr>
          <w:rFonts w:ascii="Times New Roman" w:hAnsi="Times New Roman" w:cs="Times New Roman"/>
          <w:color w:val="000000" w:themeColor="text1"/>
          <w:sz w:val="24"/>
          <w:szCs w:val="24"/>
        </w:rPr>
        <w:t>,</w:t>
      </w:r>
    </w:p>
    <w:p w14:paraId="0C5F9CAB" w14:textId="5E5899C4" w:rsidR="00A17D1F" w:rsidRDefault="0035472C" w:rsidP="00D84154">
      <w:pPr>
        <w:pStyle w:val="Akapitzlist"/>
        <w:numPr>
          <w:ilvl w:val="0"/>
          <w:numId w:val="12"/>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pozostałe</w:t>
      </w:r>
      <w:r w:rsidR="00F1745D" w:rsidRPr="00D84154">
        <w:rPr>
          <w:rFonts w:ascii="Times New Roman" w:hAnsi="Times New Roman" w:cs="Times New Roman"/>
          <w:color w:val="000000" w:themeColor="text1"/>
          <w:sz w:val="24"/>
          <w:szCs w:val="24"/>
        </w:rPr>
        <w:t xml:space="preserve"> zmiany oraz </w:t>
      </w:r>
      <w:r w:rsidR="00D87041" w:rsidRPr="00D84154">
        <w:rPr>
          <w:rFonts w:ascii="Times New Roman" w:hAnsi="Times New Roman" w:cs="Times New Roman"/>
          <w:color w:val="000000" w:themeColor="text1"/>
          <w:sz w:val="24"/>
          <w:szCs w:val="24"/>
        </w:rPr>
        <w:t>z</w:t>
      </w:r>
      <w:r w:rsidR="00C354EA" w:rsidRPr="00D84154">
        <w:rPr>
          <w:rFonts w:ascii="Times New Roman" w:hAnsi="Times New Roman" w:cs="Times New Roman"/>
          <w:color w:val="000000" w:themeColor="text1"/>
          <w:sz w:val="24"/>
          <w:szCs w:val="24"/>
        </w:rPr>
        <w:t xml:space="preserve">miany w </w:t>
      </w:r>
      <w:r w:rsidR="0059371B" w:rsidRPr="00D84154">
        <w:rPr>
          <w:rFonts w:ascii="Times New Roman" w:hAnsi="Times New Roman" w:cs="Times New Roman"/>
          <w:color w:val="000000" w:themeColor="text1"/>
          <w:sz w:val="24"/>
          <w:szCs w:val="24"/>
        </w:rPr>
        <w:t>innych ustawach (</w:t>
      </w:r>
      <w:r w:rsidR="00A533F4">
        <w:rPr>
          <w:rFonts w:ascii="Times New Roman" w:hAnsi="Times New Roman" w:cs="Times New Roman"/>
          <w:color w:val="000000" w:themeColor="text1"/>
          <w:sz w:val="24"/>
          <w:szCs w:val="24"/>
        </w:rPr>
        <w:t>ustawa z dnia 17 listopada 1964 </w:t>
      </w:r>
      <w:r w:rsidR="005F372A" w:rsidRPr="00D84154">
        <w:rPr>
          <w:rFonts w:ascii="Times New Roman" w:hAnsi="Times New Roman" w:cs="Times New Roman"/>
          <w:color w:val="000000" w:themeColor="text1"/>
          <w:sz w:val="24"/>
          <w:szCs w:val="24"/>
        </w:rPr>
        <w:t xml:space="preserve">r. </w:t>
      </w:r>
      <w:r w:rsidR="00A17D1F">
        <w:rPr>
          <w:rFonts w:ascii="Times New Roman" w:hAnsi="Times New Roman" w:cs="Times New Roman"/>
          <w:color w:val="000000" w:themeColor="text1"/>
          <w:sz w:val="24"/>
          <w:szCs w:val="24"/>
        </w:rPr>
        <w:t>–</w:t>
      </w:r>
    </w:p>
    <w:p w14:paraId="7701C3BD" w14:textId="5F790E87" w:rsidR="00C354EA" w:rsidRPr="00D84154" w:rsidRDefault="005F372A" w:rsidP="00A17D1F">
      <w:pPr>
        <w:pStyle w:val="Akapitzlist"/>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 </w:t>
      </w:r>
      <w:r w:rsidR="0059371B" w:rsidRPr="00D84154">
        <w:rPr>
          <w:rFonts w:ascii="Times New Roman" w:hAnsi="Times New Roman" w:cs="Times New Roman"/>
          <w:color w:val="000000" w:themeColor="text1"/>
          <w:sz w:val="24"/>
          <w:szCs w:val="24"/>
        </w:rPr>
        <w:t>Kodeks postępowania cywilnego</w:t>
      </w:r>
      <w:r w:rsidRPr="00D84154">
        <w:rPr>
          <w:rFonts w:ascii="Times New Roman" w:hAnsi="Times New Roman" w:cs="Times New Roman"/>
          <w:color w:val="000000" w:themeColor="text1"/>
          <w:sz w:val="24"/>
          <w:szCs w:val="24"/>
        </w:rPr>
        <w:t xml:space="preserve"> </w:t>
      </w:r>
      <w:r w:rsidR="00A17D1F">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Dz.U. z </w:t>
      </w:r>
      <w:r w:rsidR="00857C3D" w:rsidRPr="00D84154">
        <w:rPr>
          <w:rFonts w:ascii="Times New Roman" w:hAnsi="Times New Roman" w:cs="Times New Roman"/>
          <w:color w:val="000000" w:themeColor="text1"/>
          <w:sz w:val="24"/>
          <w:szCs w:val="24"/>
        </w:rPr>
        <w:t>2021 r. poz. 1805</w:t>
      </w:r>
      <w:r w:rsidRPr="00D84154">
        <w:rPr>
          <w:rFonts w:ascii="Times New Roman" w:hAnsi="Times New Roman" w:cs="Times New Roman"/>
          <w:color w:val="000000" w:themeColor="text1"/>
          <w:sz w:val="24"/>
          <w:szCs w:val="24"/>
        </w:rPr>
        <w:t>, z późn. zm.</w:t>
      </w:r>
      <w:r w:rsidR="00A17D1F">
        <w:rPr>
          <w:rFonts w:ascii="Times New Roman" w:hAnsi="Times New Roman" w:cs="Times New Roman"/>
          <w:color w:val="000000" w:themeColor="text1"/>
          <w:sz w:val="24"/>
          <w:szCs w:val="24"/>
        </w:rPr>
        <w:t>)</w:t>
      </w:r>
      <w:r w:rsidR="0059371B" w:rsidRPr="00D84154">
        <w:rPr>
          <w:rFonts w:ascii="Times New Roman" w:hAnsi="Times New Roman" w:cs="Times New Roman"/>
          <w:color w:val="000000" w:themeColor="text1"/>
          <w:sz w:val="24"/>
          <w:szCs w:val="24"/>
        </w:rPr>
        <w:t xml:space="preserve">, ustawa </w:t>
      </w:r>
      <w:r w:rsidR="00A533F4">
        <w:rPr>
          <w:rFonts w:ascii="Times New Roman" w:hAnsi="Times New Roman" w:cs="Times New Roman"/>
          <w:color w:val="000000" w:themeColor="text1"/>
          <w:sz w:val="24"/>
          <w:szCs w:val="24"/>
        </w:rPr>
        <w:t>z </w:t>
      </w:r>
      <w:r w:rsidRPr="00D84154">
        <w:rPr>
          <w:rFonts w:ascii="Times New Roman" w:hAnsi="Times New Roman" w:cs="Times New Roman"/>
          <w:color w:val="000000" w:themeColor="text1"/>
          <w:sz w:val="24"/>
          <w:szCs w:val="24"/>
        </w:rPr>
        <w:t xml:space="preserve">dnia 17 czerwca 1966 r. </w:t>
      </w:r>
      <w:r w:rsidR="0059371B" w:rsidRPr="00D84154">
        <w:rPr>
          <w:rFonts w:ascii="Times New Roman" w:hAnsi="Times New Roman" w:cs="Times New Roman"/>
          <w:color w:val="000000" w:themeColor="text1"/>
          <w:sz w:val="24"/>
          <w:szCs w:val="24"/>
        </w:rPr>
        <w:t>o postępowaniu egzekucyjnym w administracji</w:t>
      </w:r>
      <w:r w:rsidRPr="00D84154">
        <w:rPr>
          <w:rFonts w:ascii="Times New Roman" w:hAnsi="Times New Roman" w:cs="Times New Roman"/>
          <w:color w:val="000000" w:themeColor="text1"/>
          <w:sz w:val="24"/>
          <w:szCs w:val="24"/>
        </w:rPr>
        <w:t xml:space="preserve"> </w:t>
      </w:r>
      <w:r w:rsidR="00A17D1F">
        <w:rPr>
          <w:rFonts w:ascii="Times New Roman" w:hAnsi="Times New Roman" w:cs="Times New Roman"/>
          <w:color w:val="000000" w:themeColor="text1"/>
          <w:sz w:val="24"/>
          <w:szCs w:val="24"/>
        </w:rPr>
        <w:t>(</w:t>
      </w:r>
      <w:r w:rsidR="00A533F4">
        <w:rPr>
          <w:rFonts w:ascii="Times New Roman" w:hAnsi="Times New Roman" w:cs="Times New Roman"/>
          <w:color w:val="000000" w:themeColor="text1"/>
          <w:sz w:val="24"/>
          <w:szCs w:val="24"/>
        </w:rPr>
        <w:t>Dz. U. z 2022 </w:t>
      </w:r>
      <w:r w:rsidR="00857C3D" w:rsidRPr="00D84154">
        <w:rPr>
          <w:rFonts w:ascii="Times New Roman" w:hAnsi="Times New Roman" w:cs="Times New Roman"/>
          <w:color w:val="000000" w:themeColor="text1"/>
          <w:sz w:val="24"/>
          <w:szCs w:val="24"/>
        </w:rPr>
        <w:t>r. poz. 479</w:t>
      </w:r>
      <w:r w:rsidRPr="00D84154">
        <w:rPr>
          <w:rFonts w:ascii="Times New Roman" w:hAnsi="Times New Roman" w:cs="Times New Roman"/>
          <w:color w:val="000000" w:themeColor="text1"/>
          <w:sz w:val="24"/>
          <w:szCs w:val="24"/>
        </w:rPr>
        <w:t>, z późn. zm.</w:t>
      </w:r>
      <w:r w:rsidR="0059371B" w:rsidRPr="00D84154">
        <w:rPr>
          <w:rFonts w:ascii="Times New Roman" w:hAnsi="Times New Roman" w:cs="Times New Roman"/>
          <w:color w:val="000000" w:themeColor="text1"/>
          <w:sz w:val="24"/>
          <w:szCs w:val="24"/>
        </w:rPr>
        <w:t>)</w:t>
      </w:r>
      <w:r w:rsidR="00A17D1F">
        <w:rPr>
          <w:rFonts w:ascii="Times New Roman" w:hAnsi="Times New Roman" w:cs="Times New Roman"/>
          <w:color w:val="000000" w:themeColor="text1"/>
          <w:sz w:val="24"/>
          <w:szCs w:val="24"/>
        </w:rPr>
        <w:t>)</w:t>
      </w:r>
      <w:r w:rsidR="0059371B" w:rsidRPr="00D84154">
        <w:rPr>
          <w:rFonts w:ascii="Times New Roman" w:hAnsi="Times New Roman" w:cs="Times New Roman"/>
          <w:color w:val="000000" w:themeColor="text1"/>
          <w:sz w:val="24"/>
          <w:szCs w:val="24"/>
        </w:rPr>
        <w:t xml:space="preserve"> wynikające z konieczności wdrożenia </w:t>
      </w:r>
      <w:r w:rsidR="00DC0A8E" w:rsidRPr="00D84154">
        <w:rPr>
          <w:rFonts w:ascii="Times New Roman" w:hAnsi="Times New Roman" w:cs="Times New Roman"/>
          <w:color w:val="000000" w:themeColor="text1"/>
          <w:sz w:val="24"/>
          <w:szCs w:val="24"/>
        </w:rPr>
        <w:t>d</w:t>
      </w:r>
      <w:r w:rsidR="0059371B" w:rsidRPr="00D84154">
        <w:rPr>
          <w:rFonts w:ascii="Times New Roman" w:hAnsi="Times New Roman" w:cs="Times New Roman"/>
          <w:color w:val="000000" w:themeColor="text1"/>
          <w:sz w:val="24"/>
          <w:szCs w:val="24"/>
        </w:rPr>
        <w:t>yrektywy</w:t>
      </w:r>
      <w:r w:rsidR="00B03FC9">
        <w:rPr>
          <w:rFonts w:ascii="Times New Roman" w:hAnsi="Times New Roman" w:cs="Times New Roman"/>
          <w:color w:val="000000" w:themeColor="text1"/>
          <w:sz w:val="24"/>
          <w:szCs w:val="24"/>
        </w:rPr>
        <w:t>,</w:t>
      </w:r>
    </w:p>
    <w:p w14:paraId="19BF2764" w14:textId="77777777" w:rsidR="00BE677A" w:rsidRPr="00D84154" w:rsidRDefault="00BE677A" w:rsidP="00D84154">
      <w:pPr>
        <w:pStyle w:val="Akapitzlist"/>
        <w:numPr>
          <w:ilvl w:val="0"/>
          <w:numId w:val="12"/>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przepisy przejściowe</w:t>
      </w:r>
      <w:r w:rsidR="00B20D82" w:rsidRPr="00D84154">
        <w:rPr>
          <w:rFonts w:ascii="Times New Roman" w:hAnsi="Times New Roman" w:cs="Times New Roman"/>
          <w:color w:val="000000" w:themeColor="text1"/>
          <w:sz w:val="24"/>
          <w:szCs w:val="24"/>
        </w:rPr>
        <w:t xml:space="preserve"> i o wejściu w życie</w:t>
      </w:r>
      <w:r w:rsidR="0085665C" w:rsidRPr="00D84154">
        <w:rPr>
          <w:rFonts w:ascii="Times New Roman" w:hAnsi="Times New Roman" w:cs="Times New Roman"/>
          <w:color w:val="000000" w:themeColor="text1"/>
          <w:sz w:val="24"/>
          <w:szCs w:val="24"/>
        </w:rPr>
        <w:t xml:space="preserve"> ustawy</w:t>
      </w:r>
      <w:r w:rsidRPr="00D84154">
        <w:rPr>
          <w:rFonts w:ascii="Times New Roman" w:hAnsi="Times New Roman" w:cs="Times New Roman"/>
          <w:color w:val="000000" w:themeColor="text1"/>
          <w:sz w:val="24"/>
          <w:szCs w:val="24"/>
        </w:rPr>
        <w:t>.</w:t>
      </w:r>
    </w:p>
    <w:p w14:paraId="5556F960" w14:textId="31DD18D9" w:rsidR="005C79FE" w:rsidRPr="00D84154" w:rsidRDefault="00090D9B" w:rsidP="00090D9B">
      <w:pPr>
        <w:spacing w:before="120" w:after="0" w:line="360" w:lineRule="auto"/>
        <w:ind w:left="426" w:hanging="426"/>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III.</w:t>
      </w:r>
      <w:r>
        <w:rPr>
          <w:rFonts w:ascii="Times New Roman" w:hAnsi="Times New Roman" w:cs="Times New Roman"/>
          <w:b/>
          <w:bCs/>
          <w:color w:val="000000" w:themeColor="text1"/>
          <w:sz w:val="24"/>
          <w:szCs w:val="24"/>
        </w:rPr>
        <w:tab/>
      </w:r>
      <w:r w:rsidR="00C354EA" w:rsidRPr="00D84154">
        <w:rPr>
          <w:rFonts w:ascii="Times New Roman" w:hAnsi="Times New Roman" w:cs="Times New Roman"/>
          <w:b/>
          <w:bCs/>
          <w:color w:val="000000" w:themeColor="text1"/>
          <w:sz w:val="24"/>
          <w:szCs w:val="24"/>
        </w:rPr>
        <w:t>Opis proponowanych rozwiązań</w:t>
      </w:r>
    </w:p>
    <w:p w14:paraId="04A9ADBF" w14:textId="2F015EB5" w:rsidR="00D159BB" w:rsidRPr="00D84154" w:rsidRDefault="00D159BB" w:rsidP="00D84154">
      <w:pPr>
        <w:pStyle w:val="Akapitzlist"/>
        <w:numPr>
          <w:ilvl w:val="0"/>
          <w:numId w:val="2"/>
        </w:numPr>
        <w:spacing w:before="120" w:after="0" w:line="360" w:lineRule="auto"/>
        <w:ind w:left="426" w:hanging="426"/>
        <w:rPr>
          <w:rFonts w:ascii="Times New Roman" w:hAnsi="Times New Roman" w:cs="Times New Roman"/>
          <w:b/>
          <w:bCs/>
          <w:color w:val="000000" w:themeColor="text1"/>
          <w:sz w:val="24"/>
          <w:szCs w:val="24"/>
        </w:rPr>
      </w:pPr>
      <w:r w:rsidRPr="00D84154">
        <w:rPr>
          <w:rFonts w:ascii="Times New Roman" w:hAnsi="Times New Roman" w:cs="Times New Roman"/>
          <w:b/>
          <w:bCs/>
          <w:color w:val="000000" w:themeColor="text1"/>
          <w:sz w:val="24"/>
          <w:szCs w:val="24"/>
        </w:rPr>
        <w:t>Pojęcie przedsiębiorstwa</w:t>
      </w:r>
    </w:p>
    <w:p w14:paraId="7C7B3201" w14:textId="7002A217" w:rsidR="00E837DF" w:rsidRPr="00D84154" w:rsidRDefault="00E837DF"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Dyrektywa wskazuje, że aby zapewnić skuteczne i jednolite stosowanie art. 101 i </w:t>
      </w:r>
      <w:r w:rsidR="00A533F4">
        <w:rPr>
          <w:rFonts w:ascii="Times New Roman" w:hAnsi="Times New Roman" w:cs="Times New Roman"/>
          <w:color w:val="000000" w:themeColor="text1"/>
          <w:sz w:val="24"/>
          <w:szCs w:val="24"/>
        </w:rPr>
        <w:t>art. </w:t>
      </w:r>
      <w:r w:rsidRPr="00D84154">
        <w:rPr>
          <w:rFonts w:ascii="Times New Roman" w:hAnsi="Times New Roman" w:cs="Times New Roman"/>
          <w:color w:val="000000" w:themeColor="text1"/>
          <w:sz w:val="24"/>
          <w:szCs w:val="24"/>
        </w:rPr>
        <w:t xml:space="preserve">102 TFUE, pojęcie przedsiębiorstwa zawarte w art. 101 i </w:t>
      </w:r>
      <w:r w:rsidR="005A4F94" w:rsidRPr="00D84154">
        <w:rPr>
          <w:rFonts w:ascii="Times New Roman" w:hAnsi="Times New Roman" w:cs="Times New Roman"/>
          <w:color w:val="000000" w:themeColor="text1"/>
          <w:sz w:val="24"/>
          <w:szCs w:val="24"/>
        </w:rPr>
        <w:t xml:space="preserve">art. </w:t>
      </w:r>
      <w:r w:rsidRPr="00D84154">
        <w:rPr>
          <w:rFonts w:ascii="Times New Roman" w:hAnsi="Times New Roman" w:cs="Times New Roman"/>
          <w:color w:val="000000" w:themeColor="text1"/>
          <w:sz w:val="24"/>
          <w:szCs w:val="24"/>
        </w:rPr>
        <w:t>102</w:t>
      </w:r>
      <w:r w:rsidR="00A533F4">
        <w:rPr>
          <w:rFonts w:ascii="Times New Roman" w:hAnsi="Times New Roman" w:cs="Times New Roman"/>
          <w:color w:val="000000" w:themeColor="text1"/>
          <w:sz w:val="24"/>
          <w:szCs w:val="24"/>
        </w:rPr>
        <w:t xml:space="preserve"> TFUE należy stosować zgodnie z </w:t>
      </w:r>
      <w:r w:rsidRPr="00D84154">
        <w:rPr>
          <w:rFonts w:ascii="Times New Roman" w:hAnsi="Times New Roman" w:cs="Times New Roman"/>
          <w:color w:val="000000" w:themeColor="text1"/>
          <w:sz w:val="24"/>
          <w:szCs w:val="24"/>
        </w:rPr>
        <w:t>orzecznictwem Trybunału Sprawiedliwości Unii Europejskiej</w:t>
      </w:r>
      <w:r w:rsidR="005F372A" w:rsidRPr="00D84154">
        <w:rPr>
          <w:rFonts w:ascii="Times New Roman" w:hAnsi="Times New Roman" w:cs="Times New Roman"/>
          <w:color w:val="000000" w:themeColor="text1"/>
          <w:sz w:val="24"/>
          <w:szCs w:val="24"/>
        </w:rPr>
        <w:t>,</w:t>
      </w:r>
      <w:r w:rsidR="00BA7B9E" w:rsidRPr="00D84154">
        <w:rPr>
          <w:rFonts w:ascii="Times New Roman" w:hAnsi="Times New Roman" w:cs="Times New Roman"/>
          <w:color w:val="000000" w:themeColor="text1"/>
          <w:sz w:val="24"/>
          <w:szCs w:val="24"/>
        </w:rPr>
        <w:t xml:space="preserve"> dalej „</w:t>
      </w:r>
      <w:r w:rsidR="00BA7B9E" w:rsidRPr="0067766C">
        <w:rPr>
          <w:rFonts w:ascii="Times New Roman" w:hAnsi="Times New Roman" w:cs="Times New Roman"/>
          <w:color w:val="000000" w:themeColor="text1"/>
          <w:sz w:val="24"/>
          <w:szCs w:val="24"/>
        </w:rPr>
        <w:t>TSUE</w:t>
      </w:r>
      <w:r w:rsidR="00BA7B9E" w:rsidRPr="00D84154">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czyli jako jednostkę gospodarczą, nawet jeśli składa się ona z kilku </w:t>
      </w:r>
      <w:r w:rsidR="00A533F4">
        <w:rPr>
          <w:rFonts w:ascii="Times New Roman" w:hAnsi="Times New Roman" w:cs="Times New Roman"/>
          <w:color w:val="000000" w:themeColor="text1"/>
          <w:sz w:val="24"/>
          <w:szCs w:val="24"/>
        </w:rPr>
        <w:t>osób fizycznych lub prawnych. W </w:t>
      </w:r>
      <w:r w:rsidRPr="00D84154">
        <w:rPr>
          <w:rFonts w:ascii="Times New Roman" w:hAnsi="Times New Roman" w:cs="Times New Roman"/>
          <w:color w:val="000000" w:themeColor="text1"/>
          <w:sz w:val="24"/>
          <w:szCs w:val="24"/>
        </w:rPr>
        <w:t xml:space="preserve">związku z tym krajowe organy ochrony konkurencji powinny mieć możliwość stosowania pojęcia przedsiębiorstwa </w:t>
      </w:r>
      <w:r w:rsidR="00BA7B9E" w:rsidRPr="00D84154">
        <w:rPr>
          <w:rFonts w:ascii="Times New Roman" w:hAnsi="Times New Roman" w:cs="Times New Roman"/>
          <w:color w:val="000000" w:themeColor="text1"/>
          <w:sz w:val="24"/>
          <w:szCs w:val="24"/>
        </w:rPr>
        <w:t>w rozumieniu orzecznictwa TSUE w celu zidentyfikowania wszystkich podmiotów należących do odpowiedzialnej za nar</w:t>
      </w:r>
      <w:r w:rsidR="00E07799" w:rsidRPr="00D84154">
        <w:rPr>
          <w:rFonts w:ascii="Times New Roman" w:hAnsi="Times New Roman" w:cs="Times New Roman"/>
          <w:color w:val="000000" w:themeColor="text1"/>
          <w:sz w:val="24"/>
          <w:szCs w:val="24"/>
        </w:rPr>
        <w:t xml:space="preserve">uszenie jednostki gospodarczej. W szczególności konieczne </w:t>
      </w:r>
      <w:r w:rsidR="00155E9E" w:rsidRPr="00D84154">
        <w:rPr>
          <w:rFonts w:ascii="Times New Roman" w:hAnsi="Times New Roman" w:cs="Times New Roman"/>
          <w:color w:val="000000" w:themeColor="text1"/>
          <w:sz w:val="24"/>
          <w:szCs w:val="24"/>
        </w:rPr>
        <w:t xml:space="preserve">jest </w:t>
      </w:r>
      <w:r w:rsidR="00E07799" w:rsidRPr="00D84154">
        <w:rPr>
          <w:rFonts w:ascii="Times New Roman" w:hAnsi="Times New Roman" w:cs="Times New Roman"/>
          <w:color w:val="000000" w:themeColor="text1"/>
          <w:sz w:val="24"/>
          <w:szCs w:val="24"/>
        </w:rPr>
        <w:t xml:space="preserve">zapewnienie możliwości </w:t>
      </w:r>
      <w:r w:rsidR="00BA7B9E" w:rsidRPr="00D84154">
        <w:rPr>
          <w:rFonts w:ascii="Times New Roman" w:hAnsi="Times New Roman" w:cs="Times New Roman"/>
          <w:color w:val="000000" w:themeColor="text1"/>
          <w:sz w:val="24"/>
          <w:szCs w:val="24"/>
        </w:rPr>
        <w:t xml:space="preserve">zidentyfikowania spółki dominującej i nałożenia na nią kar za praktykę stosowaną </w:t>
      </w:r>
      <w:r w:rsidR="004B0BC5" w:rsidRPr="00D84154">
        <w:rPr>
          <w:rFonts w:ascii="Times New Roman" w:hAnsi="Times New Roman" w:cs="Times New Roman"/>
          <w:color w:val="000000" w:themeColor="text1"/>
          <w:sz w:val="24"/>
          <w:szCs w:val="24"/>
        </w:rPr>
        <w:t>przez jedną z</w:t>
      </w:r>
      <w:r w:rsidR="00BA7B9E" w:rsidRPr="00D84154">
        <w:rPr>
          <w:rFonts w:ascii="Times New Roman" w:hAnsi="Times New Roman" w:cs="Times New Roman"/>
          <w:color w:val="000000" w:themeColor="text1"/>
          <w:sz w:val="24"/>
          <w:szCs w:val="24"/>
        </w:rPr>
        <w:t xml:space="preserve"> jej spółek zależnych, w przypadku gdy spółka dominująca i jej spółka zależna stanowią </w:t>
      </w:r>
      <w:r w:rsidR="007F565D" w:rsidRPr="00D84154">
        <w:rPr>
          <w:rFonts w:ascii="Times New Roman" w:hAnsi="Times New Roman" w:cs="Times New Roman"/>
          <w:color w:val="000000" w:themeColor="text1"/>
          <w:sz w:val="24"/>
          <w:szCs w:val="24"/>
        </w:rPr>
        <w:t>taką</w:t>
      </w:r>
      <w:r w:rsidR="00BA7B9E" w:rsidRPr="00D84154">
        <w:rPr>
          <w:rFonts w:ascii="Times New Roman" w:hAnsi="Times New Roman" w:cs="Times New Roman"/>
          <w:color w:val="000000" w:themeColor="text1"/>
          <w:sz w:val="24"/>
          <w:szCs w:val="24"/>
        </w:rPr>
        <w:t xml:space="preserve"> jednostkę gospodarczą.</w:t>
      </w:r>
    </w:p>
    <w:p w14:paraId="1D3A445B" w14:textId="4DCDCEDF" w:rsidR="0044448B" w:rsidRPr="00D84154" w:rsidRDefault="00E837DF"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Ustawa w obecnym brzmieniu nie posługuje się pojęciem przedsiębiorstwa</w:t>
      </w:r>
      <w:r w:rsidR="00531DCE">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lecz przedsiębiorcy, przez którego należy rozumieć</w:t>
      </w:r>
      <w:r w:rsidR="005F372A" w:rsidRPr="00D84154">
        <w:rPr>
          <w:rFonts w:ascii="Times New Roman" w:hAnsi="Times New Roman" w:cs="Times New Roman"/>
          <w:color w:val="000000" w:themeColor="text1"/>
          <w:sz w:val="24"/>
          <w:szCs w:val="24"/>
        </w:rPr>
        <w:t xml:space="preserve">, zgodnie z art. 4 pkt </w:t>
      </w:r>
      <w:r w:rsidR="00857C3D" w:rsidRPr="00D84154">
        <w:rPr>
          <w:rFonts w:ascii="Times New Roman" w:hAnsi="Times New Roman" w:cs="Times New Roman"/>
          <w:color w:val="000000" w:themeColor="text1"/>
          <w:sz w:val="24"/>
          <w:szCs w:val="24"/>
        </w:rPr>
        <w:t>1</w:t>
      </w:r>
      <w:r w:rsidR="005F372A" w:rsidRPr="00D84154">
        <w:rPr>
          <w:rFonts w:ascii="Times New Roman" w:hAnsi="Times New Roman" w:cs="Times New Roman"/>
          <w:color w:val="000000" w:themeColor="text1"/>
          <w:sz w:val="24"/>
          <w:szCs w:val="24"/>
        </w:rPr>
        <w:t xml:space="preserve"> ustawy,</w:t>
      </w:r>
      <w:r w:rsidR="00F65A77">
        <w:rPr>
          <w:rFonts w:ascii="Times New Roman" w:hAnsi="Times New Roman" w:cs="Times New Roman"/>
          <w:color w:val="000000" w:themeColor="text1"/>
          <w:sz w:val="24"/>
          <w:szCs w:val="24"/>
        </w:rPr>
        <w:t xml:space="preserve"> </w:t>
      </w:r>
      <w:r w:rsidR="00A533F4">
        <w:rPr>
          <w:rFonts w:ascii="Times New Roman" w:hAnsi="Times New Roman" w:cs="Times New Roman"/>
          <w:color w:val="000000" w:themeColor="text1"/>
          <w:sz w:val="24"/>
          <w:szCs w:val="24"/>
        </w:rPr>
        <w:t>przedsiębiorcę w </w:t>
      </w:r>
      <w:r w:rsidRPr="00D84154">
        <w:rPr>
          <w:rFonts w:ascii="Times New Roman" w:hAnsi="Times New Roman" w:cs="Times New Roman"/>
          <w:color w:val="000000" w:themeColor="text1"/>
          <w:sz w:val="24"/>
          <w:szCs w:val="24"/>
        </w:rPr>
        <w:t xml:space="preserve">rozumieniu przepisów ustawy z dnia 6 marca 2018 </w:t>
      </w:r>
      <w:r w:rsidR="00A533F4">
        <w:rPr>
          <w:rFonts w:ascii="Times New Roman" w:hAnsi="Times New Roman" w:cs="Times New Roman"/>
          <w:color w:val="000000" w:themeColor="text1"/>
          <w:sz w:val="24"/>
          <w:szCs w:val="24"/>
        </w:rPr>
        <w:t>r. – Prawo przedsiębiorców (Dz. </w:t>
      </w:r>
      <w:r w:rsidRPr="00D84154">
        <w:rPr>
          <w:rFonts w:ascii="Times New Roman" w:hAnsi="Times New Roman" w:cs="Times New Roman"/>
          <w:color w:val="000000" w:themeColor="text1"/>
          <w:sz w:val="24"/>
          <w:szCs w:val="24"/>
        </w:rPr>
        <w:t xml:space="preserve">U. </w:t>
      </w:r>
      <w:r w:rsidR="00A533F4">
        <w:rPr>
          <w:rFonts w:ascii="Times New Roman" w:hAnsi="Times New Roman" w:cs="Times New Roman"/>
          <w:color w:val="000000" w:themeColor="text1"/>
          <w:sz w:val="24"/>
          <w:szCs w:val="24"/>
        </w:rPr>
        <w:t>z </w:t>
      </w:r>
      <w:r w:rsidR="0044448B" w:rsidRPr="00D84154">
        <w:rPr>
          <w:rFonts w:ascii="Times New Roman" w:hAnsi="Times New Roman" w:cs="Times New Roman"/>
          <w:color w:val="000000" w:themeColor="text1"/>
          <w:sz w:val="24"/>
          <w:szCs w:val="24"/>
        </w:rPr>
        <w:t>20</w:t>
      </w:r>
      <w:r w:rsidR="00DA1090" w:rsidRPr="00D84154">
        <w:rPr>
          <w:rFonts w:ascii="Times New Roman" w:hAnsi="Times New Roman" w:cs="Times New Roman"/>
          <w:color w:val="000000" w:themeColor="text1"/>
          <w:sz w:val="24"/>
          <w:szCs w:val="24"/>
        </w:rPr>
        <w:t xml:space="preserve">21 </w:t>
      </w:r>
      <w:r w:rsidR="0044448B" w:rsidRPr="00D84154">
        <w:rPr>
          <w:rFonts w:ascii="Times New Roman" w:hAnsi="Times New Roman" w:cs="Times New Roman"/>
          <w:color w:val="000000" w:themeColor="text1"/>
          <w:sz w:val="24"/>
          <w:szCs w:val="24"/>
        </w:rPr>
        <w:t xml:space="preserve">r. </w:t>
      </w:r>
      <w:r w:rsidRPr="00D84154">
        <w:rPr>
          <w:rFonts w:ascii="Times New Roman" w:hAnsi="Times New Roman" w:cs="Times New Roman"/>
          <w:color w:val="000000" w:themeColor="text1"/>
          <w:sz w:val="24"/>
          <w:szCs w:val="24"/>
        </w:rPr>
        <w:t xml:space="preserve">poz. </w:t>
      </w:r>
      <w:r w:rsidR="00DA1090" w:rsidRPr="00D84154">
        <w:rPr>
          <w:rFonts w:ascii="Times New Roman" w:hAnsi="Times New Roman" w:cs="Times New Roman"/>
          <w:color w:val="000000" w:themeColor="text1"/>
          <w:sz w:val="24"/>
          <w:szCs w:val="24"/>
        </w:rPr>
        <w:t>162</w:t>
      </w:r>
      <w:r w:rsidR="00857C3D" w:rsidRPr="00D84154">
        <w:rPr>
          <w:rFonts w:ascii="Times New Roman" w:hAnsi="Times New Roman" w:cs="Times New Roman"/>
          <w:color w:val="000000" w:themeColor="text1"/>
          <w:sz w:val="24"/>
          <w:szCs w:val="24"/>
        </w:rPr>
        <w:t>, z późn. zm.</w:t>
      </w:r>
      <w:r w:rsidRPr="00D84154">
        <w:rPr>
          <w:rFonts w:ascii="Times New Roman" w:hAnsi="Times New Roman" w:cs="Times New Roman"/>
          <w:color w:val="000000" w:themeColor="text1"/>
          <w:sz w:val="24"/>
          <w:szCs w:val="24"/>
        </w:rPr>
        <w:t xml:space="preserve">), a także: </w:t>
      </w:r>
    </w:p>
    <w:p w14:paraId="5F5D116D" w14:textId="04A37DBE" w:rsidR="0044448B" w:rsidRPr="00D84154" w:rsidRDefault="00E837DF" w:rsidP="00D84154">
      <w:pPr>
        <w:pStyle w:val="Akapitzlist"/>
        <w:numPr>
          <w:ilvl w:val="0"/>
          <w:numId w:val="25"/>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lastRenderedPageBreak/>
        <w:t>osobę fizyczną, osobę prawną, a także jednostkę organizacyjną niemającą osobowości prawnej, której ustawa przyznaje zdolność prawną, organizującą lub świadczącą usługi o charakterze użyteczności publicznej, które nie</w:t>
      </w:r>
      <w:r w:rsidR="00A533F4">
        <w:rPr>
          <w:rFonts w:ascii="Times New Roman" w:hAnsi="Times New Roman" w:cs="Times New Roman"/>
          <w:color w:val="000000" w:themeColor="text1"/>
          <w:sz w:val="24"/>
          <w:szCs w:val="24"/>
        </w:rPr>
        <w:t xml:space="preserve"> są działalnością gospodarczą w </w:t>
      </w:r>
      <w:r w:rsidRPr="00D84154">
        <w:rPr>
          <w:rFonts w:ascii="Times New Roman" w:hAnsi="Times New Roman" w:cs="Times New Roman"/>
          <w:color w:val="000000" w:themeColor="text1"/>
          <w:sz w:val="24"/>
          <w:szCs w:val="24"/>
        </w:rPr>
        <w:t>rozumieniu przepisów ustawy z dnia 6 marca 2018 r. – Prawo przedsiębiorców</w:t>
      </w:r>
      <w:r w:rsidR="00DA1090" w:rsidRPr="00D84154">
        <w:rPr>
          <w:rFonts w:ascii="Times New Roman" w:hAnsi="Times New Roman" w:cs="Times New Roman"/>
          <w:color w:val="000000" w:themeColor="text1"/>
          <w:sz w:val="24"/>
          <w:szCs w:val="24"/>
        </w:rPr>
        <w:t>;</w:t>
      </w:r>
    </w:p>
    <w:p w14:paraId="10726F8C" w14:textId="07BBDF72" w:rsidR="0044448B" w:rsidRPr="00D84154" w:rsidRDefault="00E837DF" w:rsidP="00D84154">
      <w:pPr>
        <w:pStyle w:val="Akapitzlist"/>
        <w:numPr>
          <w:ilvl w:val="0"/>
          <w:numId w:val="25"/>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 osobę fizyczną wykonującą zawód we własnym imieniu i na własny rachunek lub prowadzącą działalność w ramach wykonywania takiego zawodu</w:t>
      </w:r>
      <w:r w:rsidR="00DA1090" w:rsidRPr="00D84154">
        <w:rPr>
          <w:rFonts w:ascii="Times New Roman" w:hAnsi="Times New Roman" w:cs="Times New Roman"/>
          <w:color w:val="000000" w:themeColor="text1"/>
          <w:sz w:val="24"/>
          <w:szCs w:val="24"/>
        </w:rPr>
        <w:t>;</w:t>
      </w:r>
    </w:p>
    <w:p w14:paraId="112E0562" w14:textId="2C499811" w:rsidR="0044448B" w:rsidRPr="00D84154" w:rsidRDefault="00E837DF" w:rsidP="00D84154">
      <w:pPr>
        <w:pStyle w:val="Akapitzlist"/>
        <w:numPr>
          <w:ilvl w:val="0"/>
          <w:numId w:val="25"/>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osobę fizyczną, która posiada kontrolę, w rozumieniu pkt 4, nad co najmniej jednym przedsiębiorcą, choćby nie prowadziła działalności gospodarczej w rozumieniu przepisów ustawy z dnia 6 marca 2018 r. – Prawo przedsiębiorców, jeżeli podejmuje dalsze działania podlegające kontroli koncentracji, o której mowa w art. 13</w:t>
      </w:r>
      <w:r w:rsidR="00DA1090" w:rsidRPr="00D84154">
        <w:rPr>
          <w:rFonts w:ascii="Times New Roman" w:hAnsi="Times New Roman" w:cs="Times New Roman"/>
          <w:color w:val="000000" w:themeColor="text1"/>
          <w:sz w:val="24"/>
          <w:szCs w:val="24"/>
        </w:rPr>
        <w:t>;</w:t>
      </w:r>
    </w:p>
    <w:p w14:paraId="2D914AEF" w14:textId="77777777" w:rsidR="00E837DF" w:rsidRPr="00D84154" w:rsidRDefault="00E837DF" w:rsidP="00D84154">
      <w:pPr>
        <w:pStyle w:val="Akapitzlist"/>
        <w:numPr>
          <w:ilvl w:val="0"/>
          <w:numId w:val="25"/>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związek przedsiębiorców w rozumieniu pkt 2, z wyłączeniem przepisów dotyczących koncentracji.</w:t>
      </w:r>
    </w:p>
    <w:p w14:paraId="39F46D7E" w14:textId="7DFFC6A4" w:rsidR="00E837DF" w:rsidRPr="00D84154" w:rsidRDefault="00E837DF"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Zgodnie zaś z art. 4 </w:t>
      </w:r>
      <w:r w:rsidR="00DA1090" w:rsidRPr="00D84154">
        <w:rPr>
          <w:rFonts w:ascii="Times New Roman" w:hAnsi="Times New Roman" w:cs="Times New Roman"/>
          <w:color w:val="000000" w:themeColor="text1"/>
          <w:sz w:val="24"/>
          <w:szCs w:val="24"/>
        </w:rPr>
        <w:t xml:space="preserve">ustawy z dnia 6 marca 2018 r. </w:t>
      </w:r>
      <w:r w:rsidR="00531DCE">
        <w:rPr>
          <w:rFonts w:ascii="Times New Roman" w:hAnsi="Times New Roman" w:cs="Times New Roman"/>
          <w:color w:val="000000" w:themeColor="text1"/>
          <w:sz w:val="24"/>
          <w:szCs w:val="24"/>
        </w:rPr>
        <w:t>–</w:t>
      </w:r>
      <w:r w:rsidR="00DA1090" w:rsidRPr="00D84154">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Praw</w:t>
      </w:r>
      <w:r w:rsidR="00DA1090" w:rsidRPr="00D84154">
        <w:rPr>
          <w:rFonts w:ascii="Times New Roman" w:hAnsi="Times New Roman" w:cs="Times New Roman"/>
          <w:color w:val="000000" w:themeColor="text1"/>
          <w:sz w:val="24"/>
          <w:szCs w:val="24"/>
        </w:rPr>
        <w:t>o</w:t>
      </w:r>
      <w:r w:rsidRPr="00D84154">
        <w:rPr>
          <w:rFonts w:ascii="Times New Roman" w:hAnsi="Times New Roman" w:cs="Times New Roman"/>
          <w:color w:val="000000" w:themeColor="text1"/>
          <w:sz w:val="24"/>
          <w:szCs w:val="24"/>
        </w:rPr>
        <w:t xml:space="preserve"> przedsiębiorców przedsiębiorcą jest osoba fizyczna, osoba prawna lub jednostka organizacyjna niebędąca osobą prawną, której odrębna ustawa przyznaje zdolność prawną, wykonująca działalność gospodarczą. Przedsiębiorcami są także wspólnicy spółki cywilnej w zakresie wykonywanej przez nich działalności gospodarczej.</w:t>
      </w:r>
    </w:p>
    <w:p w14:paraId="32E38110" w14:textId="20BDEAFA" w:rsidR="00FF5E55" w:rsidRPr="00D84154" w:rsidRDefault="00E07799" w:rsidP="00D84154">
      <w:pPr>
        <w:pStyle w:val="listawewnatrz"/>
        <w:numPr>
          <w:ilvl w:val="0"/>
          <w:numId w:val="0"/>
        </w:numPr>
        <w:spacing w:before="120" w:after="0"/>
        <w:rPr>
          <w:rFonts w:ascii="Times New Roman" w:hAnsi="Times New Roman" w:cs="Times New Roman"/>
          <w:color w:val="000000" w:themeColor="text1"/>
        </w:rPr>
      </w:pPr>
      <w:r w:rsidRPr="00D84154">
        <w:rPr>
          <w:rFonts w:ascii="Times New Roman" w:hAnsi="Times New Roman" w:cs="Times New Roman"/>
          <w:color w:val="000000" w:themeColor="text1"/>
        </w:rPr>
        <w:t xml:space="preserve">Prawo </w:t>
      </w:r>
      <w:r w:rsidR="009C0E5B" w:rsidRPr="00D84154">
        <w:rPr>
          <w:rFonts w:ascii="Times New Roman" w:hAnsi="Times New Roman" w:cs="Times New Roman"/>
          <w:color w:val="000000" w:themeColor="text1"/>
        </w:rPr>
        <w:t>pierwotne</w:t>
      </w:r>
      <w:r w:rsidRPr="00D84154">
        <w:rPr>
          <w:rFonts w:ascii="Times New Roman" w:hAnsi="Times New Roman" w:cs="Times New Roman"/>
          <w:color w:val="000000" w:themeColor="text1"/>
        </w:rPr>
        <w:t xml:space="preserve"> </w:t>
      </w:r>
      <w:r w:rsidR="009C0E5B" w:rsidRPr="00D84154">
        <w:rPr>
          <w:rFonts w:ascii="Times New Roman" w:hAnsi="Times New Roman" w:cs="Times New Roman"/>
          <w:color w:val="000000" w:themeColor="text1"/>
        </w:rPr>
        <w:t xml:space="preserve">i pochodne </w:t>
      </w:r>
      <w:r w:rsidRPr="00D84154">
        <w:rPr>
          <w:rFonts w:ascii="Times New Roman" w:hAnsi="Times New Roman" w:cs="Times New Roman"/>
          <w:color w:val="000000" w:themeColor="text1"/>
        </w:rPr>
        <w:t xml:space="preserve">UE </w:t>
      </w:r>
      <w:r w:rsidR="009C0E5B" w:rsidRPr="00D84154">
        <w:rPr>
          <w:rFonts w:ascii="Times New Roman" w:hAnsi="Times New Roman" w:cs="Times New Roman"/>
          <w:color w:val="000000" w:themeColor="text1"/>
        </w:rPr>
        <w:t xml:space="preserve">nie zawierają definicji przedsiębiorstwa (ang. </w:t>
      </w:r>
      <w:r w:rsidR="009C0E5B" w:rsidRPr="0067766C">
        <w:rPr>
          <w:rFonts w:ascii="Times New Roman" w:hAnsi="Times New Roman" w:cs="Times New Roman"/>
          <w:color w:val="000000" w:themeColor="text1"/>
        </w:rPr>
        <w:t>undertaking</w:t>
      </w:r>
      <w:r w:rsidR="009C0E5B" w:rsidRPr="00D84154">
        <w:rPr>
          <w:rFonts w:ascii="Times New Roman" w:hAnsi="Times New Roman" w:cs="Times New Roman"/>
          <w:color w:val="000000" w:themeColor="text1"/>
        </w:rPr>
        <w:t xml:space="preserve">). </w:t>
      </w:r>
      <w:r w:rsidR="00A56DDC" w:rsidRPr="00D84154">
        <w:rPr>
          <w:rFonts w:ascii="Times New Roman" w:hAnsi="Times New Roman" w:cs="Times New Roman"/>
          <w:color w:val="000000" w:themeColor="text1"/>
        </w:rPr>
        <w:t xml:space="preserve">Zgodnie z </w:t>
      </w:r>
      <w:r w:rsidR="00EB117D" w:rsidRPr="00D84154">
        <w:rPr>
          <w:rFonts w:ascii="Times New Roman" w:hAnsi="Times New Roman" w:cs="Times New Roman"/>
          <w:color w:val="000000" w:themeColor="text1"/>
        </w:rPr>
        <w:t>dorobkiem orzeczniczym UE</w:t>
      </w:r>
      <w:r w:rsidR="00A56DDC" w:rsidRPr="00D84154">
        <w:rPr>
          <w:rFonts w:ascii="Times New Roman" w:hAnsi="Times New Roman" w:cs="Times New Roman"/>
          <w:color w:val="000000" w:themeColor="text1"/>
        </w:rPr>
        <w:t xml:space="preserve"> przedsiębiorstwo to</w:t>
      </w:r>
      <w:r w:rsidR="009C0E5B" w:rsidRPr="00D84154">
        <w:rPr>
          <w:rFonts w:ascii="Times New Roman" w:hAnsi="Times New Roman" w:cs="Times New Roman"/>
          <w:color w:val="000000" w:themeColor="text1"/>
        </w:rPr>
        <w:t xml:space="preserve"> „każda</w:t>
      </w:r>
      <w:r w:rsidR="00A56DDC" w:rsidRPr="00D84154">
        <w:rPr>
          <w:rFonts w:ascii="Times New Roman" w:hAnsi="Times New Roman" w:cs="Times New Roman"/>
          <w:color w:val="000000" w:themeColor="text1"/>
        </w:rPr>
        <w:t xml:space="preserve"> o</w:t>
      </w:r>
      <w:r w:rsidR="009C0E5B" w:rsidRPr="00D84154">
        <w:rPr>
          <w:rFonts w:ascii="Times New Roman" w:hAnsi="Times New Roman" w:cs="Times New Roman"/>
          <w:color w:val="000000" w:themeColor="text1"/>
        </w:rPr>
        <w:t>soba</w:t>
      </w:r>
      <w:r w:rsidR="00A56DDC" w:rsidRPr="00D84154">
        <w:rPr>
          <w:rFonts w:ascii="Times New Roman" w:hAnsi="Times New Roman" w:cs="Times New Roman"/>
          <w:color w:val="000000" w:themeColor="text1"/>
        </w:rPr>
        <w:t xml:space="preserve"> </w:t>
      </w:r>
      <w:r w:rsidR="00EB117D" w:rsidRPr="00D84154">
        <w:rPr>
          <w:rFonts w:ascii="Times New Roman" w:hAnsi="Times New Roman" w:cs="Times New Roman"/>
          <w:color w:val="000000" w:themeColor="text1"/>
        </w:rPr>
        <w:t>fizyczn</w:t>
      </w:r>
      <w:r w:rsidR="00024369" w:rsidRPr="00D84154">
        <w:rPr>
          <w:rFonts w:ascii="Times New Roman" w:hAnsi="Times New Roman" w:cs="Times New Roman"/>
          <w:color w:val="000000" w:themeColor="text1"/>
        </w:rPr>
        <w:t>a</w:t>
      </w:r>
      <w:r w:rsidR="00EB117D" w:rsidRPr="00D84154">
        <w:rPr>
          <w:rFonts w:ascii="Times New Roman" w:hAnsi="Times New Roman" w:cs="Times New Roman"/>
          <w:color w:val="000000" w:themeColor="text1"/>
        </w:rPr>
        <w:t xml:space="preserve"> lub prawn</w:t>
      </w:r>
      <w:r w:rsidR="00024369" w:rsidRPr="00D84154">
        <w:rPr>
          <w:rFonts w:ascii="Times New Roman" w:hAnsi="Times New Roman" w:cs="Times New Roman"/>
          <w:color w:val="000000" w:themeColor="text1"/>
        </w:rPr>
        <w:t>a</w:t>
      </w:r>
      <w:r w:rsidR="009C0E5B" w:rsidRPr="00D84154">
        <w:rPr>
          <w:rFonts w:ascii="Times New Roman" w:hAnsi="Times New Roman" w:cs="Times New Roman"/>
          <w:color w:val="000000" w:themeColor="text1"/>
        </w:rPr>
        <w:t xml:space="preserve"> prowadząca </w:t>
      </w:r>
      <w:r w:rsidR="00A56DDC" w:rsidRPr="00D84154">
        <w:rPr>
          <w:rFonts w:ascii="Times New Roman" w:hAnsi="Times New Roman" w:cs="Times New Roman"/>
          <w:color w:val="000000" w:themeColor="text1"/>
        </w:rPr>
        <w:t>działalność gospodarczą bez względu na jej formę organizacyjno-p</w:t>
      </w:r>
      <w:r w:rsidR="009C0E5B" w:rsidRPr="00D84154">
        <w:rPr>
          <w:rFonts w:ascii="Times New Roman" w:hAnsi="Times New Roman" w:cs="Times New Roman"/>
          <w:color w:val="000000" w:themeColor="text1"/>
        </w:rPr>
        <w:t>rawną oraz sposób finansowania”</w:t>
      </w:r>
      <w:r w:rsidR="00A56DDC" w:rsidRPr="00D84154">
        <w:rPr>
          <w:rStyle w:val="Odwoanieprzypisudolnego"/>
          <w:rFonts w:ascii="Times New Roman" w:hAnsi="Times New Roman" w:cs="Times New Roman"/>
          <w:color w:val="000000" w:themeColor="text1"/>
        </w:rPr>
        <w:footnoteReference w:id="1"/>
      </w:r>
      <w:r w:rsidR="00DA1090" w:rsidRPr="00D84154">
        <w:rPr>
          <w:rFonts w:ascii="Times New Roman" w:hAnsi="Times New Roman" w:cs="Times New Roman"/>
          <w:color w:val="000000" w:themeColor="text1"/>
          <w:vertAlign w:val="superscript"/>
        </w:rPr>
        <w:t>)</w:t>
      </w:r>
      <w:r w:rsidR="00A56DDC" w:rsidRPr="00D84154">
        <w:rPr>
          <w:rFonts w:ascii="Times New Roman" w:hAnsi="Times New Roman" w:cs="Times New Roman"/>
          <w:color w:val="000000" w:themeColor="text1"/>
        </w:rPr>
        <w:t>.</w:t>
      </w:r>
      <w:r w:rsidR="009C0E5B" w:rsidRPr="00D84154">
        <w:rPr>
          <w:rFonts w:ascii="Times New Roman" w:hAnsi="Times New Roman" w:cs="Times New Roman"/>
          <w:color w:val="000000" w:themeColor="text1"/>
        </w:rPr>
        <w:t xml:space="preserve"> </w:t>
      </w:r>
      <w:r w:rsidR="00DA1090" w:rsidRPr="00D84154">
        <w:rPr>
          <w:rFonts w:ascii="Times New Roman" w:hAnsi="Times New Roman" w:cs="Times New Roman"/>
          <w:color w:val="000000" w:themeColor="text1"/>
        </w:rPr>
        <w:t>Jeżeli</w:t>
      </w:r>
      <w:r w:rsidR="00EB117D" w:rsidRPr="00D84154">
        <w:rPr>
          <w:rFonts w:ascii="Times New Roman" w:hAnsi="Times New Roman" w:cs="Times New Roman"/>
          <w:color w:val="000000" w:themeColor="text1"/>
        </w:rPr>
        <w:t xml:space="preserve"> spółka dominująca i jej spółka zależna są częścią jednego organizmu gospodarczego (ang. </w:t>
      </w:r>
      <w:r w:rsidR="00EB117D" w:rsidRPr="0067766C">
        <w:rPr>
          <w:rFonts w:ascii="Times New Roman" w:hAnsi="Times New Roman" w:cs="Times New Roman"/>
          <w:color w:val="000000" w:themeColor="text1"/>
        </w:rPr>
        <w:t>single economic unit</w:t>
      </w:r>
      <w:r w:rsidR="00EB117D" w:rsidRPr="00D84154">
        <w:rPr>
          <w:rFonts w:ascii="Times New Roman" w:hAnsi="Times New Roman" w:cs="Times New Roman"/>
          <w:i/>
          <w:color w:val="000000" w:themeColor="text1"/>
        </w:rPr>
        <w:t>)</w:t>
      </w:r>
      <w:r w:rsidR="00EB117D" w:rsidRPr="00D84154">
        <w:rPr>
          <w:rStyle w:val="Odwoanieprzypisudolnego"/>
          <w:rFonts w:ascii="Times New Roman" w:hAnsi="Times New Roman" w:cs="Times New Roman"/>
          <w:color w:val="000000" w:themeColor="text1"/>
        </w:rPr>
        <w:footnoteReference w:id="2"/>
      </w:r>
      <w:r w:rsidR="00DA1090" w:rsidRPr="00D84154">
        <w:rPr>
          <w:rFonts w:ascii="Times New Roman" w:hAnsi="Times New Roman" w:cs="Times New Roman"/>
          <w:i/>
          <w:color w:val="000000" w:themeColor="text1"/>
          <w:vertAlign w:val="superscript"/>
        </w:rPr>
        <w:t>)</w:t>
      </w:r>
      <w:r w:rsidR="00EB117D" w:rsidRPr="00D84154">
        <w:rPr>
          <w:rFonts w:ascii="Times New Roman" w:hAnsi="Times New Roman" w:cs="Times New Roman"/>
          <w:color w:val="000000" w:themeColor="text1"/>
        </w:rPr>
        <w:t xml:space="preserve"> twor</w:t>
      </w:r>
      <w:r w:rsidR="00A533F4">
        <w:rPr>
          <w:rFonts w:ascii="Times New Roman" w:hAnsi="Times New Roman" w:cs="Times New Roman"/>
          <w:color w:val="000000" w:themeColor="text1"/>
        </w:rPr>
        <w:t>zą one jedno przedsiębiorstwo w </w:t>
      </w:r>
      <w:r w:rsidR="00EB117D" w:rsidRPr="00D84154">
        <w:rPr>
          <w:rFonts w:ascii="Times New Roman" w:hAnsi="Times New Roman" w:cs="Times New Roman"/>
          <w:color w:val="000000" w:themeColor="text1"/>
        </w:rPr>
        <w:t xml:space="preserve">rozumieniu art. 101 TFUE, co pozwala Komisji </w:t>
      </w:r>
      <w:r w:rsidR="005336E1" w:rsidRPr="00D84154">
        <w:rPr>
          <w:rFonts w:ascii="Times New Roman" w:hAnsi="Times New Roman" w:cs="Times New Roman"/>
          <w:color w:val="000000" w:themeColor="text1"/>
        </w:rPr>
        <w:t xml:space="preserve">Europejskiej </w:t>
      </w:r>
      <w:r w:rsidR="00EB117D" w:rsidRPr="00D84154">
        <w:rPr>
          <w:rFonts w:ascii="Times New Roman" w:hAnsi="Times New Roman" w:cs="Times New Roman"/>
          <w:color w:val="000000" w:themeColor="text1"/>
        </w:rPr>
        <w:t>na skierowa</w:t>
      </w:r>
      <w:r w:rsidR="00F71C13" w:rsidRPr="00D84154">
        <w:rPr>
          <w:rFonts w:ascii="Times New Roman" w:hAnsi="Times New Roman" w:cs="Times New Roman"/>
          <w:color w:val="000000" w:themeColor="text1"/>
        </w:rPr>
        <w:t>nie decyzji nakładającej grzywnę</w:t>
      </w:r>
      <w:r w:rsidR="00EB117D" w:rsidRPr="00D84154">
        <w:rPr>
          <w:rFonts w:ascii="Times New Roman" w:hAnsi="Times New Roman" w:cs="Times New Roman"/>
          <w:color w:val="000000" w:themeColor="text1"/>
        </w:rPr>
        <w:t xml:space="preserve"> do spółki dominującej, bez konieczności ustalania jej bezpośredniego zaangażowania w naruszenie</w:t>
      </w:r>
      <w:r w:rsidR="00EB117D" w:rsidRPr="00D84154">
        <w:rPr>
          <w:rStyle w:val="Odwoanieprzypisudolnego"/>
          <w:rFonts w:ascii="Times New Roman" w:hAnsi="Times New Roman" w:cs="Times New Roman"/>
          <w:color w:val="000000" w:themeColor="text1"/>
        </w:rPr>
        <w:footnoteReference w:id="3"/>
      </w:r>
      <w:r w:rsidR="00DA1090" w:rsidRPr="00D84154">
        <w:rPr>
          <w:rFonts w:ascii="Times New Roman" w:hAnsi="Times New Roman" w:cs="Times New Roman"/>
          <w:color w:val="000000" w:themeColor="text1"/>
          <w:vertAlign w:val="superscript"/>
        </w:rPr>
        <w:t>)</w:t>
      </w:r>
      <w:r w:rsidR="00EB117D" w:rsidRPr="00D84154">
        <w:rPr>
          <w:rFonts w:ascii="Times New Roman" w:hAnsi="Times New Roman" w:cs="Times New Roman"/>
          <w:color w:val="000000" w:themeColor="text1"/>
        </w:rPr>
        <w:t>.</w:t>
      </w:r>
    </w:p>
    <w:p w14:paraId="6A7871EE" w14:textId="305FFF95" w:rsidR="007F565D" w:rsidRPr="00D84154" w:rsidRDefault="00EB117D" w:rsidP="00D84154">
      <w:pPr>
        <w:pStyle w:val="listawewnatrz"/>
        <w:numPr>
          <w:ilvl w:val="0"/>
          <w:numId w:val="0"/>
        </w:numPr>
        <w:spacing w:before="120" w:after="0"/>
        <w:rPr>
          <w:rFonts w:ascii="Times New Roman" w:hAnsi="Times New Roman" w:cs="Times New Roman"/>
          <w:color w:val="000000" w:themeColor="text1"/>
        </w:rPr>
      </w:pPr>
      <w:r w:rsidRPr="00D84154">
        <w:rPr>
          <w:rFonts w:ascii="Times New Roman" w:hAnsi="Times New Roman" w:cs="Times New Roman"/>
          <w:color w:val="000000" w:themeColor="text1"/>
        </w:rPr>
        <w:lastRenderedPageBreak/>
        <w:t xml:space="preserve">Dla </w:t>
      </w:r>
      <w:r w:rsidR="00E07799" w:rsidRPr="00D84154">
        <w:rPr>
          <w:rFonts w:ascii="Times New Roman" w:hAnsi="Times New Roman" w:cs="Times New Roman"/>
          <w:color w:val="000000" w:themeColor="text1"/>
        </w:rPr>
        <w:t>stwierdzenia</w:t>
      </w:r>
      <w:r w:rsidR="00291459">
        <w:rPr>
          <w:rFonts w:ascii="Times New Roman" w:hAnsi="Times New Roman" w:cs="Times New Roman"/>
          <w:color w:val="000000" w:themeColor="text1"/>
        </w:rPr>
        <w:t>,</w:t>
      </w:r>
      <w:r w:rsidRPr="00D84154">
        <w:rPr>
          <w:rFonts w:ascii="Times New Roman" w:hAnsi="Times New Roman" w:cs="Times New Roman"/>
          <w:color w:val="000000" w:themeColor="text1"/>
        </w:rPr>
        <w:t xml:space="preserve"> czy spółki stanowią jeden organizm gospodarczy należy ustalić</w:t>
      </w:r>
      <w:r w:rsidR="00291459">
        <w:rPr>
          <w:rFonts w:ascii="Times New Roman" w:hAnsi="Times New Roman" w:cs="Times New Roman"/>
          <w:color w:val="000000" w:themeColor="text1"/>
        </w:rPr>
        <w:t>,</w:t>
      </w:r>
      <w:r w:rsidRPr="00D84154">
        <w:rPr>
          <w:rFonts w:ascii="Times New Roman" w:hAnsi="Times New Roman" w:cs="Times New Roman"/>
          <w:color w:val="000000" w:themeColor="text1"/>
        </w:rPr>
        <w:t xml:space="preserve"> czy</w:t>
      </w:r>
      <w:r w:rsidR="007F565D" w:rsidRPr="00D84154">
        <w:rPr>
          <w:rFonts w:ascii="Times New Roman" w:hAnsi="Times New Roman" w:cs="Times New Roman"/>
          <w:color w:val="000000" w:themeColor="text1"/>
        </w:rPr>
        <w:t xml:space="preserve"> spółka dominująca wywiera na spółkę zależną „decydujący wpływ</w:t>
      </w:r>
      <w:r w:rsidRPr="00D84154">
        <w:rPr>
          <w:rFonts w:ascii="Times New Roman" w:hAnsi="Times New Roman" w:cs="Times New Roman"/>
          <w:color w:val="000000" w:themeColor="text1"/>
        </w:rPr>
        <w:t>”</w:t>
      </w:r>
      <w:r w:rsidR="00082CA2" w:rsidRPr="00D84154">
        <w:rPr>
          <w:rStyle w:val="Odwoanieprzypisudolnego"/>
          <w:rFonts w:ascii="Times New Roman" w:hAnsi="Times New Roman" w:cs="Times New Roman"/>
          <w:color w:val="000000" w:themeColor="text1"/>
        </w:rPr>
        <w:footnoteReference w:id="4"/>
      </w:r>
      <w:r w:rsidR="00DA1090" w:rsidRPr="00D84154">
        <w:rPr>
          <w:rFonts w:ascii="Times New Roman" w:hAnsi="Times New Roman" w:cs="Times New Roman"/>
          <w:color w:val="000000" w:themeColor="text1"/>
          <w:vertAlign w:val="superscript"/>
        </w:rPr>
        <w:t>)</w:t>
      </w:r>
      <w:r w:rsidR="00082CA2" w:rsidRPr="00D84154">
        <w:rPr>
          <w:rFonts w:ascii="Times New Roman" w:hAnsi="Times New Roman" w:cs="Times New Roman"/>
          <w:color w:val="000000" w:themeColor="text1"/>
        </w:rPr>
        <w:t xml:space="preserve">. </w:t>
      </w:r>
      <w:r w:rsidR="007F565D" w:rsidRPr="00D84154">
        <w:rPr>
          <w:rFonts w:ascii="Times New Roman" w:hAnsi="Times New Roman" w:cs="Times New Roman"/>
          <w:color w:val="000000" w:themeColor="text1"/>
        </w:rPr>
        <w:t>Decydujący wpływ oznacza istnienie powiązań ekonomicznych, prawnych i organizacyjnych takiego rodzaju, że spółka zależna nie określa samodzielnie swojego zachowania na rynku, lecz co do zasady stosuje się do wskazówek udzielan</w:t>
      </w:r>
      <w:r w:rsidR="00082CA2" w:rsidRPr="00D84154">
        <w:rPr>
          <w:rFonts w:ascii="Times New Roman" w:hAnsi="Times New Roman" w:cs="Times New Roman"/>
          <w:color w:val="000000" w:themeColor="text1"/>
        </w:rPr>
        <w:t>ych jej przez spółkę dominującą</w:t>
      </w:r>
      <w:r w:rsidRPr="00D84154">
        <w:rPr>
          <w:rFonts w:ascii="Times New Roman" w:hAnsi="Times New Roman" w:cs="Times New Roman"/>
          <w:color w:val="000000" w:themeColor="text1"/>
        </w:rPr>
        <w:t>, w szczególności z uwzględnieniem więzów ekonomicznych, organizacyjnych i prawnych łączących oba te podmioty prawa</w:t>
      </w:r>
      <w:r w:rsidR="00082CA2" w:rsidRPr="00D84154">
        <w:rPr>
          <w:rStyle w:val="Odwoanieprzypisudolnego"/>
          <w:rFonts w:ascii="Times New Roman" w:hAnsi="Times New Roman" w:cs="Times New Roman"/>
          <w:color w:val="000000" w:themeColor="text1"/>
        </w:rPr>
        <w:footnoteReference w:id="5"/>
      </w:r>
      <w:r w:rsidR="00DA1090" w:rsidRPr="00D84154">
        <w:rPr>
          <w:rFonts w:ascii="Times New Roman" w:hAnsi="Times New Roman" w:cs="Times New Roman"/>
          <w:color w:val="000000" w:themeColor="text1"/>
          <w:vertAlign w:val="superscript"/>
        </w:rPr>
        <w:t>)</w:t>
      </w:r>
      <w:r w:rsidR="00082CA2" w:rsidRPr="00D84154">
        <w:rPr>
          <w:rFonts w:ascii="Times New Roman" w:hAnsi="Times New Roman" w:cs="Times New Roman"/>
          <w:color w:val="000000" w:themeColor="text1"/>
        </w:rPr>
        <w:t xml:space="preserve">. </w:t>
      </w:r>
      <w:r w:rsidR="00A533F4">
        <w:rPr>
          <w:rFonts w:ascii="Times New Roman" w:hAnsi="Times New Roman" w:cs="Times New Roman"/>
          <w:color w:val="000000" w:themeColor="text1"/>
        </w:rPr>
        <w:t>W </w:t>
      </w:r>
      <w:r w:rsidR="007F565D" w:rsidRPr="00D84154">
        <w:rPr>
          <w:rFonts w:ascii="Times New Roman" w:hAnsi="Times New Roman" w:cs="Times New Roman"/>
          <w:color w:val="000000" w:themeColor="text1"/>
        </w:rPr>
        <w:t>szczególnym wypadku, kiedy spółka dominująca posiada cały lub prawie cały kapitał spółki zależnej, która popełniła naruszenie unijnych zasad konkurencji, istnieje wzruszalne domniemanie</w:t>
      </w:r>
      <w:r w:rsidR="00D16543" w:rsidRPr="00D84154">
        <w:rPr>
          <w:rStyle w:val="Odwoanieprzypisudolnego"/>
          <w:rFonts w:ascii="Times New Roman" w:hAnsi="Times New Roman" w:cs="Times New Roman"/>
          <w:color w:val="000000" w:themeColor="text1"/>
        </w:rPr>
        <w:footnoteReference w:id="6"/>
      </w:r>
      <w:r w:rsidR="00DA1090" w:rsidRPr="00D84154">
        <w:rPr>
          <w:rFonts w:ascii="Times New Roman" w:hAnsi="Times New Roman" w:cs="Times New Roman"/>
          <w:color w:val="000000" w:themeColor="text1"/>
          <w:vertAlign w:val="superscript"/>
        </w:rPr>
        <w:t>)</w:t>
      </w:r>
      <w:r w:rsidR="007F565D" w:rsidRPr="00D84154">
        <w:rPr>
          <w:rFonts w:ascii="Times New Roman" w:hAnsi="Times New Roman" w:cs="Times New Roman"/>
          <w:color w:val="000000" w:themeColor="text1"/>
        </w:rPr>
        <w:t>, ż</w:t>
      </w:r>
      <w:r w:rsidR="00291459">
        <w:rPr>
          <w:rFonts w:ascii="Times New Roman" w:hAnsi="Times New Roman" w:cs="Times New Roman"/>
          <w:color w:val="000000" w:themeColor="text1"/>
        </w:rPr>
        <w:t>e</w:t>
      </w:r>
      <w:r w:rsidR="007F565D" w:rsidRPr="00D84154">
        <w:rPr>
          <w:rFonts w:ascii="Times New Roman" w:hAnsi="Times New Roman" w:cs="Times New Roman"/>
          <w:color w:val="000000" w:themeColor="text1"/>
        </w:rPr>
        <w:t xml:space="preserve"> owa spółka dominująca rzeczywiście wywiera decydujący wpływ na swoją spółkę zależną</w:t>
      </w:r>
      <w:r w:rsidR="007F565D" w:rsidRPr="00D84154">
        <w:rPr>
          <w:rFonts w:ascii="Times New Roman" w:hAnsi="Times New Roman" w:cs="Times New Roman"/>
          <w:color w:val="000000" w:themeColor="text1"/>
          <w:vertAlign w:val="superscript"/>
        </w:rPr>
        <w:footnoteReference w:id="7"/>
      </w:r>
      <w:r w:rsidR="00D20200" w:rsidRPr="00D84154">
        <w:rPr>
          <w:rFonts w:ascii="Times New Roman" w:hAnsi="Times New Roman" w:cs="Times New Roman"/>
          <w:color w:val="000000" w:themeColor="text1"/>
          <w:vertAlign w:val="superscript"/>
        </w:rPr>
        <w:t>)</w:t>
      </w:r>
      <w:r w:rsidR="00082CA2" w:rsidRPr="00D84154">
        <w:rPr>
          <w:rFonts w:ascii="Times New Roman" w:hAnsi="Times New Roman" w:cs="Times New Roman"/>
          <w:color w:val="000000" w:themeColor="text1"/>
        </w:rPr>
        <w:t>.</w:t>
      </w:r>
    </w:p>
    <w:p w14:paraId="29B79712" w14:textId="7F70397E" w:rsidR="00E837DF" w:rsidRPr="00D84154" w:rsidRDefault="00E837DF"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Z uwagi na powyższe należy więc stwierdzić, że wdrożenie przepisów </w:t>
      </w:r>
      <w:r w:rsidR="00DA1090"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 xml:space="preserve">yrektywy wymaga </w:t>
      </w:r>
      <w:r w:rsidR="00511C4A" w:rsidRPr="00D84154">
        <w:rPr>
          <w:rFonts w:ascii="Times New Roman" w:hAnsi="Times New Roman" w:cs="Times New Roman"/>
          <w:color w:val="000000" w:themeColor="text1"/>
          <w:sz w:val="24"/>
          <w:szCs w:val="24"/>
        </w:rPr>
        <w:t xml:space="preserve">uporządkowania przepisów dotyczących </w:t>
      </w:r>
      <w:r w:rsidRPr="00D84154">
        <w:rPr>
          <w:rFonts w:ascii="Times New Roman" w:hAnsi="Times New Roman" w:cs="Times New Roman"/>
          <w:color w:val="000000" w:themeColor="text1"/>
          <w:sz w:val="24"/>
          <w:szCs w:val="24"/>
        </w:rPr>
        <w:t>możliwości pociągnięcia do odpowiedzialności również przedsiębiorcy dominującego</w:t>
      </w:r>
      <w:r w:rsidR="003B7FE6">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w przypadku gdy naruszenia ustawy przez zawarcie niedozwolonego porozumienia lub nadużycie pozycji dominującej dopuścił się przedsiębiorca zależny. </w:t>
      </w:r>
      <w:r w:rsidR="00B2377D" w:rsidRPr="00D84154">
        <w:rPr>
          <w:rFonts w:ascii="Times New Roman" w:hAnsi="Times New Roman" w:cs="Times New Roman"/>
          <w:color w:val="000000" w:themeColor="text1"/>
          <w:sz w:val="24"/>
          <w:szCs w:val="24"/>
        </w:rPr>
        <w:t>Względy pewności prawa wymagają legislacyjnego potwierdzenia takiej możliwości, w związku z tym p</w:t>
      </w:r>
      <w:r w:rsidRPr="00D84154">
        <w:rPr>
          <w:rFonts w:ascii="Times New Roman" w:hAnsi="Times New Roman" w:cs="Times New Roman"/>
          <w:color w:val="000000" w:themeColor="text1"/>
          <w:sz w:val="24"/>
          <w:szCs w:val="24"/>
        </w:rPr>
        <w:t xml:space="preserve">roponuje się dodanie do ustawy przepisów art. </w:t>
      </w:r>
      <w:r w:rsidR="009950B3" w:rsidRPr="00D84154">
        <w:rPr>
          <w:rFonts w:ascii="Times New Roman" w:hAnsi="Times New Roman" w:cs="Times New Roman"/>
          <w:color w:val="000000" w:themeColor="text1"/>
          <w:sz w:val="24"/>
          <w:szCs w:val="24"/>
        </w:rPr>
        <w:t xml:space="preserve">6b </w:t>
      </w:r>
      <w:r w:rsidRPr="00D84154">
        <w:rPr>
          <w:rFonts w:ascii="Times New Roman" w:hAnsi="Times New Roman" w:cs="Times New Roman"/>
          <w:color w:val="000000" w:themeColor="text1"/>
          <w:sz w:val="24"/>
          <w:szCs w:val="24"/>
        </w:rPr>
        <w:t>i art. 9a dotyczących odpowiednio zawierania niedozwolonych porozumień i nadużycia pozycji dominującej. Przepisy w zakresie możliwości przypisania odpowiedzialności będą miały taką samą konstrukcję w związku z czym zostaną opisane łącznie.</w:t>
      </w:r>
    </w:p>
    <w:p w14:paraId="032B5EB1" w14:textId="3CF8F592" w:rsidR="00E837DF" w:rsidRPr="00D84154" w:rsidRDefault="00E837DF"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Proponowane przepisy dodawanych art. </w:t>
      </w:r>
      <w:r w:rsidR="009950B3" w:rsidRPr="00D84154">
        <w:rPr>
          <w:rFonts w:ascii="Times New Roman" w:hAnsi="Times New Roman" w:cs="Times New Roman"/>
          <w:color w:val="000000" w:themeColor="text1"/>
          <w:sz w:val="24"/>
          <w:szCs w:val="24"/>
        </w:rPr>
        <w:t xml:space="preserve">6b </w:t>
      </w:r>
      <w:r w:rsidRPr="00D84154">
        <w:rPr>
          <w:rFonts w:ascii="Times New Roman" w:hAnsi="Times New Roman" w:cs="Times New Roman"/>
          <w:color w:val="000000" w:themeColor="text1"/>
          <w:sz w:val="24"/>
          <w:szCs w:val="24"/>
        </w:rPr>
        <w:t>i art. 9a przewidują, że w przypadku naruszenia przez przedsiębiorcę zakazów określonych w art. 6 ust. 1 lub art. 9 ustawy, naruszenia dopuszcza się również przedsiębiorca wywierający decydujący wpływ na tego przedsiębiorcę. Taka konstrukcja pozwoli na podjęcie działań prze</w:t>
      </w:r>
      <w:r w:rsidR="003827F8" w:rsidRPr="00D84154">
        <w:rPr>
          <w:rFonts w:ascii="Times New Roman" w:hAnsi="Times New Roman" w:cs="Times New Roman"/>
          <w:color w:val="000000" w:themeColor="text1"/>
          <w:sz w:val="24"/>
          <w:szCs w:val="24"/>
        </w:rPr>
        <w:t>z</w:t>
      </w:r>
      <w:r w:rsidRPr="00D84154">
        <w:rPr>
          <w:rFonts w:ascii="Times New Roman" w:hAnsi="Times New Roman" w:cs="Times New Roman"/>
          <w:color w:val="000000" w:themeColor="text1"/>
          <w:sz w:val="24"/>
          <w:szCs w:val="24"/>
        </w:rPr>
        <w:t xml:space="preserve"> Prezesa UOKiK zarówno w sytuacji, gdy </w:t>
      </w:r>
      <w:r w:rsidR="004E728B" w:rsidRPr="00D84154">
        <w:rPr>
          <w:rFonts w:ascii="Times New Roman" w:hAnsi="Times New Roman" w:cs="Times New Roman"/>
          <w:color w:val="000000" w:themeColor="text1"/>
          <w:sz w:val="24"/>
          <w:szCs w:val="24"/>
        </w:rPr>
        <w:lastRenderedPageBreak/>
        <w:t>decydujący wpływ wywierać będzie jeden, jak i większa liczba podmiotów.</w:t>
      </w:r>
      <w:r w:rsidRPr="00D84154">
        <w:rPr>
          <w:rFonts w:ascii="Times New Roman" w:hAnsi="Times New Roman" w:cs="Times New Roman"/>
          <w:color w:val="000000" w:themeColor="text1"/>
          <w:sz w:val="24"/>
          <w:szCs w:val="24"/>
        </w:rPr>
        <w:t xml:space="preserve"> Powyższą regulację należy rozumieć również w ten sposób, że przedsiębiorcą wywierającym decydujący wpływ jest, w przypadku spółki „córki”, nie tylko spółka „matka”</w:t>
      </w:r>
      <w:r w:rsidR="00291459">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lecz również spółka „babka” i kolejne spółki wywierające na nie decydujący wpływ.</w:t>
      </w:r>
    </w:p>
    <w:p w14:paraId="2FDD9D7F" w14:textId="5B7D1981" w:rsidR="00064EDA" w:rsidRPr="00D84154" w:rsidRDefault="00E837DF"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Przez wywieranie decydującego wpływu należy rozumieć sytuację</w:t>
      </w:r>
      <w:r w:rsidR="004E728B" w:rsidRPr="00D84154">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w:t>
      </w:r>
      <w:r w:rsidR="00DC0465" w:rsidRPr="00D84154">
        <w:rPr>
          <w:rFonts w:ascii="Times New Roman" w:hAnsi="Times New Roman" w:cs="Times New Roman"/>
          <w:color w:val="000000" w:themeColor="text1"/>
          <w:sz w:val="24"/>
          <w:szCs w:val="24"/>
        </w:rPr>
        <w:t xml:space="preserve">gdy między przedsiębiorcami istnieją </w:t>
      </w:r>
      <w:r w:rsidR="009950B3" w:rsidRPr="00D84154">
        <w:rPr>
          <w:rFonts w:ascii="Times New Roman" w:hAnsi="Times New Roman" w:cs="Times New Roman"/>
          <w:color w:val="000000" w:themeColor="text1"/>
          <w:sz w:val="24"/>
          <w:szCs w:val="24"/>
        </w:rPr>
        <w:t>takie powiązania ekonomiczne, prawne lub organizacyjne, których skutkiem jest wykonywanie lub dostosowywanie się przez przedsiębiorcę, na którego jest wywierany decydujący wpływ, do instrukcji udzielanych mu przez przedsiębiorcę wywierającego decydujący wpływ, w sposób ograniczający lub uniemożliwiający jego samodzielne zachowania na rynku.</w:t>
      </w:r>
    </w:p>
    <w:p w14:paraId="31D38F5F" w14:textId="4FF3A98B" w:rsidR="00064EDA" w:rsidRPr="00D84154" w:rsidRDefault="00064EDA"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Projektowane przepisy przewidują, że w przypadku posiadania przez spółkę więcej niż 90% udziałów w innej spółce, okoliczność wywierania decydującego wpływu będzie objęta wzruszalnym domniemaniem. Wskazany próg procentowy należy uznać za wysoki i nie budzący wątpliwości ze względu na skutki</w:t>
      </w:r>
      <w:r w:rsidR="00CE568B">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jakie niesie za sobą wykonywanie praw wynikających z posiadania prawie wszystkich udziałów w spółce. W takim wypadku </w:t>
      </w:r>
      <w:r w:rsidR="00CE568B" w:rsidRPr="00D84154">
        <w:rPr>
          <w:rFonts w:ascii="Times New Roman" w:hAnsi="Times New Roman" w:cs="Times New Roman"/>
          <w:color w:val="000000" w:themeColor="text1"/>
          <w:sz w:val="24"/>
          <w:szCs w:val="24"/>
        </w:rPr>
        <w:t xml:space="preserve">jest </w:t>
      </w:r>
      <w:r w:rsidRPr="00D84154">
        <w:rPr>
          <w:rFonts w:ascii="Times New Roman" w:hAnsi="Times New Roman" w:cs="Times New Roman"/>
          <w:color w:val="000000" w:themeColor="text1"/>
          <w:sz w:val="24"/>
          <w:szCs w:val="24"/>
        </w:rPr>
        <w:t xml:space="preserve">uzasadnione domniemanie istnienia między podmiotami takich powiązań ekonomicznych, prawnych i organizacyjnych, które skutkują brakiem samodzielności spółki zależnej. Wzruszalny charakter domniemania będzie zaś </w:t>
      </w:r>
      <w:r w:rsidR="00945F93">
        <w:rPr>
          <w:rFonts w:ascii="Times New Roman" w:hAnsi="Times New Roman" w:cs="Times New Roman"/>
          <w:color w:val="000000" w:themeColor="text1"/>
          <w:sz w:val="24"/>
          <w:szCs w:val="24"/>
        </w:rPr>
        <w:t>służył ochronie przedsiębiorcy.</w:t>
      </w:r>
    </w:p>
    <w:p w14:paraId="1C2FF69F" w14:textId="79A44358" w:rsidR="00064EDA" w:rsidRPr="00D84154" w:rsidRDefault="00064EDA"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Ponadto zastosowanie domniemania wywierania decydującego wpływu w przypadku posiadania przez podmiot wywierający wpływ udziału przekraczającego 90% kapitału spółki</w:t>
      </w:r>
      <w:r w:rsidR="00CE568B">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na którą wpływ jest wywierany, odzwierciedla aktualną praktykę decyzyjną Komisji Europejskiej oraz orzecznictwo sądów unijnych. Ugrunto</w:t>
      </w:r>
      <w:r w:rsidR="00A533F4">
        <w:rPr>
          <w:rFonts w:ascii="Times New Roman" w:hAnsi="Times New Roman" w:cs="Times New Roman"/>
          <w:color w:val="000000" w:themeColor="text1"/>
          <w:sz w:val="24"/>
          <w:szCs w:val="24"/>
        </w:rPr>
        <w:t>wane jest stanowisko, zgodnie z </w:t>
      </w:r>
      <w:r w:rsidRPr="00D84154">
        <w:rPr>
          <w:rFonts w:ascii="Times New Roman" w:hAnsi="Times New Roman" w:cs="Times New Roman"/>
          <w:color w:val="000000" w:themeColor="text1"/>
          <w:sz w:val="24"/>
          <w:szCs w:val="24"/>
        </w:rPr>
        <w:t>którym „domniemanie wywierania decydującego wpływu” może b</w:t>
      </w:r>
      <w:r w:rsidR="00A533F4">
        <w:rPr>
          <w:rFonts w:ascii="Times New Roman" w:hAnsi="Times New Roman" w:cs="Times New Roman"/>
          <w:color w:val="000000" w:themeColor="text1"/>
          <w:sz w:val="24"/>
          <w:szCs w:val="24"/>
        </w:rPr>
        <w:t>yć zastosowane w </w:t>
      </w:r>
      <w:r w:rsidRPr="00D84154">
        <w:rPr>
          <w:rFonts w:ascii="Times New Roman" w:hAnsi="Times New Roman" w:cs="Times New Roman"/>
          <w:color w:val="000000" w:themeColor="text1"/>
          <w:sz w:val="24"/>
          <w:szCs w:val="24"/>
        </w:rPr>
        <w:t xml:space="preserve">wypadku posiadania przez spółkę „wszystkich lub prawie wszystkich udziałów” w spółce, na którą </w:t>
      </w:r>
      <w:r w:rsidR="00426D4B" w:rsidRPr="00D84154">
        <w:rPr>
          <w:rFonts w:ascii="Times New Roman" w:hAnsi="Times New Roman" w:cs="Times New Roman"/>
          <w:color w:val="000000" w:themeColor="text1"/>
          <w:sz w:val="24"/>
          <w:szCs w:val="24"/>
        </w:rPr>
        <w:t xml:space="preserve">jest </w:t>
      </w:r>
      <w:r w:rsidRPr="00D84154">
        <w:rPr>
          <w:rFonts w:ascii="Times New Roman" w:hAnsi="Times New Roman" w:cs="Times New Roman"/>
          <w:color w:val="000000" w:themeColor="text1"/>
          <w:sz w:val="24"/>
          <w:szCs w:val="24"/>
        </w:rPr>
        <w:t>wywierany decydujący wpływ. Orzecznictwo unijne posługuje się nieprecyzyjnym terminem „prawie wszystkie” (ang. „almost all” lub „virtually all”)</w:t>
      </w:r>
      <w:r w:rsidR="00CE568B">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jednak analiza dotychczasowych spraw pozwoliła przyjąć, że dotyczy to przypadków, w których udział spółki dominującej w kapitale spółki zależnej, w sposób pośredni lub bezpośredni</w:t>
      </w:r>
      <w:r w:rsidR="00CE568B">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przekraczał 90%</w:t>
      </w:r>
      <w:r w:rsidRPr="00D84154">
        <w:rPr>
          <w:rStyle w:val="Odwoanieprzypisudolnego"/>
          <w:rFonts w:ascii="Times New Roman" w:hAnsi="Times New Roman" w:cs="Times New Roman"/>
          <w:color w:val="000000" w:themeColor="text1"/>
          <w:sz w:val="24"/>
          <w:szCs w:val="24"/>
        </w:rPr>
        <w:footnoteReference w:id="8"/>
      </w:r>
      <w:r w:rsidR="000E431A" w:rsidRPr="00D84154">
        <w:rPr>
          <w:rFonts w:ascii="Times New Roman" w:hAnsi="Times New Roman" w:cs="Times New Roman"/>
          <w:color w:val="000000" w:themeColor="text1"/>
          <w:sz w:val="24"/>
          <w:szCs w:val="24"/>
          <w:vertAlign w:val="superscript"/>
        </w:rPr>
        <w:t>)</w:t>
      </w:r>
      <w:r w:rsidRPr="00D84154">
        <w:rPr>
          <w:rFonts w:ascii="Times New Roman" w:hAnsi="Times New Roman" w:cs="Times New Roman"/>
          <w:color w:val="000000" w:themeColor="text1"/>
          <w:sz w:val="24"/>
          <w:szCs w:val="24"/>
        </w:rPr>
        <w:t>.</w:t>
      </w:r>
    </w:p>
    <w:p w14:paraId="75111E3F" w14:textId="192B6464" w:rsidR="009950B3" w:rsidRPr="00D84154" w:rsidRDefault="009950B3"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lastRenderedPageBreak/>
        <w:t>Przepis</w:t>
      </w:r>
      <w:r w:rsidR="00741E28" w:rsidRPr="00D84154">
        <w:rPr>
          <w:rFonts w:ascii="Times New Roman" w:hAnsi="Times New Roman" w:cs="Times New Roman"/>
          <w:color w:val="000000" w:themeColor="text1"/>
          <w:sz w:val="24"/>
          <w:szCs w:val="24"/>
        </w:rPr>
        <w:t xml:space="preserve"> ten</w:t>
      </w:r>
      <w:r w:rsidR="00E50F7A" w:rsidRPr="00D84154">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mając na celu transpozycję art. 13 ust. 5 </w:t>
      </w:r>
      <w:r w:rsidR="000E431A"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yrektywy przez uregulowanie podmiotu odpowiedzialności zgodnie z aktualnym orzecznictwem unijnym, podobnie jak powołane wyżej orzecznictwo</w:t>
      </w:r>
      <w:r w:rsidR="00E870F4">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odnosi się do kapitału spółki lub udziałów w spółce, zasadniczo nie precyzując charakteru tego kapitału</w:t>
      </w:r>
      <w:r w:rsidRPr="00D84154">
        <w:rPr>
          <w:rStyle w:val="Odwoanieprzypisudolnego"/>
          <w:rFonts w:ascii="Times New Roman" w:hAnsi="Times New Roman" w:cs="Times New Roman"/>
          <w:color w:val="000000" w:themeColor="text1"/>
          <w:sz w:val="24"/>
          <w:szCs w:val="24"/>
        </w:rPr>
        <w:footnoteReference w:id="9"/>
      </w:r>
      <w:r w:rsidR="000E431A" w:rsidRPr="00D84154">
        <w:rPr>
          <w:rFonts w:ascii="Times New Roman" w:hAnsi="Times New Roman" w:cs="Times New Roman"/>
          <w:color w:val="000000" w:themeColor="text1"/>
          <w:sz w:val="24"/>
          <w:szCs w:val="24"/>
          <w:vertAlign w:val="superscript"/>
        </w:rPr>
        <w:t>)</w:t>
      </w:r>
      <w:r w:rsidRPr="00D84154">
        <w:rPr>
          <w:rFonts w:ascii="Times New Roman" w:hAnsi="Times New Roman" w:cs="Times New Roman"/>
          <w:color w:val="000000" w:themeColor="text1"/>
          <w:sz w:val="24"/>
          <w:szCs w:val="24"/>
        </w:rPr>
        <w:t xml:space="preserve">. Kapitał zakładowy stanowi źródło finansowania posiadanych przez spółkę aktywów w formie wniesionych </w:t>
      </w:r>
      <w:r w:rsidR="00A533F4">
        <w:rPr>
          <w:rFonts w:ascii="Times New Roman" w:hAnsi="Times New Roman" w:cs="Times New Roman"/>
          <w:color w:val="000000" w:themeColor="text1"/>
          <w:sz w:val="24"/>
          <w:szCs w:val="24"/>
        </w:rPr>
        <w:t>przez wspólników wkładów oraz z </w:t>
      </w:r>
      <w:r w:rsidRPr="00D84154">
        <w:rPr>
          <w:rFonts w:ascii="Times New Roman" w:hAnsi="Times New Roman" w:cs="Times New Roman"/>
          <w:color w:val="000000" w:themeColor="text1"/>
          <w:sz w:val="24"/>
          <w:szCs w:val="24"/>
        </w:rPr>
        <w:t xml:space="preserve">reguły przesądza o rozmiarach działalności gospodarczej spółki, zatem zasadniczo to właśnie ten kapitał będzie brany pod uwagę przy określaniu udziałów wspólników spółki. Jednocześnie należy mieć na względzie, że przepis ten nie będzie miał zastosowania jedynie do spółek prawa polskiego, lecz także do spółek z innych państw członkowskich </w:t>
      </w:r>
      <w:r w:rsidR="000E431A" w:rsidRPr="00D84154">
        <w:rPr>
          <w:rFonts w:ascii="Times New Roman" w:hAnsi="Times New Roman" w:cs="Times New Roman"/>
          <w:color w:val="000000" w:themeColor="text1"/>
          <w:sz w:val="24"/>
          <w:szCs w:val="24"/>
        </w:rPr>
        <w:t xml:space="preserve">Unii Europejskiej </w:t>
      </w:r>
      <w:r w:rsidRPr="00D84154">
        <w:rPr>
          <w:rFonts w:ascii="Times New Roman" w:hAnsi="Times New Roman" w:cs="Times New Roman"/>
          <w:color w:val="000000" w:themeColor="text1"/>
          <w:sz w:val="24"/>
          <w:szCs w:val="24"/>
        </w:rPr>
        <w:t>oraz z państw trzecich, zatem stosowanie siatki pojęciowej właściwej dla spółek prawa polskiego może powodować niepotrzebne wątpliwości interpretacyjne.</w:t>
      </w:r>
    </w:p>
    <w:p w14:paraId="7714F3B2" w14:textId="392A9854" w:rsidR="00064EDA" w:rsidRPr="00D84154" w:rsidRDefault="00064EDA"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Mając na uwadze, że </w:t>
      </w:r>
      <w:r w:rsidR="000E431A"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 xml:space="preserve">yrektywa nakłada na </w:t>
      </w:r>
      <w:r w:rsidR="005336E1" w:rsidRPr="00D84154">
        <w:rPr>
          <w:rFonts w:ascii="Times New Roman" w:hAnsi="Times New Roman" w:cs="Times New Roman"/>
          <w:color w:val="000000" w:themeColor="text1"/>
          <w:sz w:val="24"/>
          <w:szCs w:val="24"/>
        </w:rPr>
        <w:t>p</w:t>
      </w:r>
      <w:r w:rsidRPr="00D84154">
        <w:rPr>
          <w:rFonts w:ascii="Times New Roman" w:hAnsi="Times New Roman" w:cs="Times New Roman"/>
          <w:color w:val="000000" w:themeColor="text1"/>
          <w:sz w:val="24"/>
          <w:szCs w:val="24"/>
        </w:rPr>
        <w:t xml:space="preserve">aństwa członkowskie </w:t>
      </w:r>
      <w:r w:rsidR="000E431A" w:rsidRPr="00D84154">
        <w:rPr>
          <w:rFonts w:ascii="Times New Roman" w:hAnsi="Times New Roman" w:cs="Times New Roman"/>
          <w:color w:val="000000" w:themeColor="text1"/>
          <w:sz w:val="24"/>
          <w:szCs w:val="24"/>
        </w:rPr>
        <w:t xml:space="preserve">Unii Europejskiej </w:t>
      </w:r>
      <w:r w:rsidRPr="00D84154">
        <w:rPr>
          <w:rFonts w:ascii="Times New Roman" w:hAnsi="Times New Roman" w:cs="Times New Roman"/>
          <w:color w:val="000000" w:themeColor="text1"/>
          <w:sz w:val="24"/>
          <w:szCs w:val="24"/>
        </w:rPr>
        <w:t xml:space="preserve">obowiązek stosowania pojęcia przedsiębiorstwa w zgodzie z art. 101 i </w:t>
      </w:r>
      <w:r w:rsidR="00BC30E8" w:rsidRPr="00D84154">
        <w:rPr>
          <w:rFonts w:ascii="Times New Roman" w:hAnsi="Times New Roman" w:cs="Times New Roman"/>
          <w:color w:val="000000" w:themeColor="text1"/>
          <w:sz w:val="24"/>
          <w:szCs w:val="24"/>
        </w:rPr>
        <w:t xml:space="preserve">art. </w:t>
      </w:r>
      <w:r w:rsidRPr="00D84154">
        <w:rPr>
          <w:rFonts w:ascii="Times New Roman" w:hAnsi="Times New Roman" w:cs="Times New Roman"/>
          <w:color w:val="000000" w:themeColor="text1"/>
          <w:sz w:val="24"/>
          <w:szCs w:val="24"/>
        </w:rPr>
        <w:t xml:space="preserve">102 TFUE, także proponowany w ustawie próg procentowy zastosowania domniemania powinien odzwierciedlać ugruntowane orzecznictwo sądów europejskich. Jednocześnie regulacja ustawowa powinna być w jak największym stopniu </w:t>
      </w:r>
      <w:r w:rsidR="000567BC" w:rsidRPr="00D84154">
        <w:rPr>
          <w:rFonts w:ascii="Times New Roman" w:hAnsi="Times New Roman" w:cs="Times New Roman"/>
          <w:color w:val="000000" w:themeColor="text1"/>
          <w:sz w:val="24"/>
          <w:szCs w:val="24"/>
        </w:rPr>
        <w:t>elastyczna</w:t>
      </w:r>
      <w:r w:rsidRPr="00D84154">
        <w:rPr>
          <w:rFonts w:ascii="Times New Roman" w:hAnsi="Times New Roman" w:cs="Times New Roman"/>
          <w:color w:val="000000" w:themeColor="text1"/>
          <w:sz w:val="24"/>
          <w:szCs w:val="24"/>
        </w:rPr>
        <w:t xml:space="preserve"> </w:t>
      </w:r>
      <w:r w:rsidR="000567BC" w:rsidRPr="00D84154">
        <w:rPr>
          <w:rFonts w:ascii="Times New Roman" w:hAnsi="Times New Roman" w:cs="Times New Roman"/>
          <w:color w:val="000000" w:themeColor="text1"/>
          <w:sz w:val="24"/>
          <w:szCs w:val="24"/>
        </w:rPr>
        <w:t xml:space="preserve">z uwagi </w:t>
      </w:r>
      <w:r w:rsidRPr="00D84154">
        <w:rPr>
          <w:rFonts w:ascii="Times New Roman" w:hAnsi="Times New Roman" w:cs="Times New Roman"/>
          <w:color w:val="000000" w:themeColor="text1"/>
          <w:sz w:val="24"/>
          <w:szCs w:val="24"/>
        </w:rPr>
        <w:t>na możliwą ewolucję orzecznictwa.</w:t>
      </w:r>
    </w:p>
    <w:p w14:paraId="40FC0B8F" w14:textId="3B6353FC" w:rsidR="008F398C" w:rsidRPr="00D84154" w:rsidRDefault="00064EDA"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Należy podkreślić, że w przypadku niższych udziałów procentowych w kapitale spółki zależnej</w:t>
      </w:r>
      <w:r w:rsidR="00501F13">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doktryna jednolitego organizmu gospodarczego może zostać zastosowana, ze względu na istniejące między spółkami powiązania umożliwiające wywieranie decydującego wpływu, jednak KE nie stosowała w takich wypadkach domniemania.</w:t>
      </w:r>
      <w:r w:rsidR="00F65A77">
        <w:rPr>
          <w:rFonts w:ascii="Times New Roman" w:hAnsi="Times New Roman" w:cs="Times New Roman"/>
          <w:color w:val="000000" w:themeColor="text1"/>
          <w:sz w:val="24"/>
          <w:szCs w:val="24"/>
        </w:rPr>
        <w:t xml:space="preserve"> </w:t>
      </w:r>
      <w:r w:rsidR="00A533F4">
        <w:rPr>
          <w:rFonts w:ascii="Times New Roman" w:hAnsi="Times New Roman" w:cs="Times New Roman"/>
          <w:color w:val="000000" w:themeColor="text1"/>
          <w:sz w:val="24"/>
          <w:szCs w:val="24"/>
        </w:rPr>
        <w:t>Zarówno orzecznictwo, jak i </w:t>
      </w:r>
      <w:r w:rsidRPr="00D84154">
        <w:rPr>
          <w:rFonts w:ascii="Times New Roman" w:hAnsi="Times New Roman" w:cs="Times New Roman"/>
          <w:color w:val="000000" w:themeColor="text1"/>
          <w:sz w:val="24"/>
          <w:szCs w:val="24"/>
        </w:rPr>
        <w:t>praktyka decyzyjna KE, sugeruje, że ustalając okoliczność wywierania dominującego wpływu na potrzeby doktryny jednolitego organizmu gospodarczego, nie można polegać wyłącznie na przedmiotowym domniemaniu, gdy spółka posiada udział 90% lub mniej w kapitale spółki</w:t>
      </w:r>
      <w:r w:rsidR="00501F13">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na którą ten wpływ jest wywierany.</w:t>
      </w:r>
    </w:p>
    <w:p w14:paraId="0E2B57E3" w14:textId="1B5334FB" w:rsidR="00981513" w:rsidRPr="00D84154" w:rsidRDefault="00981513"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W projektowanych przepisach przewidziano mechanizm fakultatywności wszczęcia postępowania przeciwko przedsiębiorcy wywierającemu decydujący wpływ. Rozwiązanie to ma służyć zwiększaniu skuteczności ścigania naruszeń reguł konkurencji, a zarazem </w:t>
      </w:r>
      <w:r w:rsidRPr="00D84154">
        <w:rPr>
          <w:rFonts w:ascii="Times New Roman" w:hAnsi="Times New Roman" w:cs="Times New Roman"/>
          <w:color w:val="000000" w:themeColor="text1"/>
          <w:sz w:val="24"/>
          <w:szCs w:val="24"/>
        </w:rPr>
        <w:lastRenderedPageBreak/>
        <w:t>zapewnienia skuteczności wdrażania przez Rzeczpospolitą Polską</w:t>
      </w:r>
      <w:r w:rsidR="00A533F4">
        <w:rPr>
          <w:rFonts w:ascii="Times New Roman" w:hAnsi="Times New Roman" w:cs="Times New Roman"/>
          <w:color w:val="000000" w:themeColor="text1"/>
          <w:sz w:val="24"/>
          <w:szCs w:val="24"/>
        </w:rPr>
        <w:t xml:space="preserve"> prawa unijnego, tj. art. 101 i </w:t>
      </w:r>
      <w:r w:rsidR="00BC30E8" w:rsidRPr="00D84154">
        <w:rPr>
          <w:rFonts w:ascii="Times New Roman" w:hAnsi="Times New Roman" w:cs="Times New Roman"/>
          <w:color w:val="000000" w:themeColor="text1"/>
          <w:sz w:val="24"/>
          <w:szCs w:val="24"/>
        </w:rPr>
        <w:t xml:space="preserve">art. </w:t>
      </w:r>
      <w:r w:rsidRPr="00D84154">
        <w:rPr>
          <w:rFonts w:ascii="Times New Roman" w:hAnsi="Times New Roman" w:cs="Times New Roman"/>
          <w:color w:val="000000" w:themeColor="text1"/>
          <w:sz w:val="24"/>
          <w:szCs w:val="24"/>
        </w:rPr>
        <w:t xml:space="preserve">102 TFUE. Takie rozwiązanie pozwoli na koncentrację materiału dowodowego, przyspieszenie postępowania oraz zapewnienie spójności rozstrzygnięć bez uszczerbku dla prawa </w:t>
      </w:r>
      <w:r w:rsidR="004B514F" w:rsidRPr="00D84154">
        <w:rPr>
          <w:rFonts w:ascii="Times New Roman" w:hAnsi="Times New Roman" w:cs="Times New Roman"/>
          <w:color w:val="000000" w:themeColor="text1"/>
          <w:sz w:val="24"/>
          <w:szCs w:val="24"/>
        </w:rPr>
        <w:t xml:space="preserve">strony </w:t>
      </w:r>
      <w:r w:rsidRPr="00D84154">
        <w:rPr>
          <w:rFonts w:ascii="Times New Roman" w:hAnsi="Times New Roman" w:cs="Times New Roman"/>
          <w:color w:val="000000" w:themeColor="text1"/>
          <w:sz w:val="24"/>
          <w:szCs w:val="24"/>
        </w:rPr>
        <w:t>do obrony i możliwości zapoznania się z materiałem dowodowym przez którąkolwiek ze stron.</w:t>
      </w:r>
    </w:p>
    <w:p w14:paraId="2FD75869" w14:textId="723ACE6C" w:rsidR="00981513" w:rsidRPr="00D84154" w:rsidRDefault="00981513"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Specyfika działań Prezes</w:t>
      </w:r>
      <w:r w:rsidR="004B514F" w:rsidRPr="00D84154">
        <w:rPr>
          <w:rFonts w:ascii="Times New Roman" w:hAnsi="Times New Roman" w:cs="Times New Roman"/>
          <w:color w:val="000000" w:themeColor="text1"/>
          <w:sz w:val="24"/>
          <w:szCs w:val="24"/>
        </w:rPr>
        <w:t>a</w:t>
      </w:r>
      <w:r w:rsidRPr="00D84154">
        <w:rPr>
          <w:rFonts w:ascii="Times New Roman" w:hAnsi="Times New Roman" w:cs="Times New Roman"/>
          <w:color w:val="000000" w:themeColor="text1"/>
          <w:sz w:val="24"/>
          <w:szCs w:val="24"/>
        </w:rPr>
        <w:t xml:space="preserve"> Urzędu przewiduje, że jako </w:t>
      </w:r>
      <w:r w:rsidR="004B514F" w:rsidRPr="00D84154">
        <w:rPr>
          <w:rFonts w:ascii="Times New Roman" w:hAnsi="Times New Roman" w:cs="Times New Roman"/>
          <w:color w:val="000000" w:themeColor="text1"/>
          <w:sz w:val="24"/>
          <w:szCs w:val="24"/>
        </w:rPr>
        <w:t>krajowy</w:t>
      </w:r>
      <w:r w:rsidRPr="00D84154">
        <w:rPr>
          <w:rFonts w:ascii="Times New Roman" w:hAnsi="Times New Roman" w:cs="Times New Roman"/>
          <w:color w:val="000000" w:themeColor="text1"/>
          <w:sz w:val="24"/>
          <w:szCs w:val="24"/>
        </w:rPr>
        <w:t xml:space="preserve"> organ ochrony konkurencji jest on zobligowany przez </w:t>
      </w:r>
      <w:r w:rsidR="004B514F" w:rsidRPr="00D84154">
        <w:rPr>
          <w:rFonts w:ascii="Times New Roman" w:hAnsi="Times New Roman" w:cs="Times New Roman"/>
          <w:color w:val="000000" w:themeColor="text1"/>
          <w:sz w:val="24"/>
          <w:szCs w:val="24"/>
        </w:rPr>
        <w:t>r</w:t>
      </w:r>
      <w:r w:rsidRPr="00D84154">
        <w:rPr>
          <w:rFonts w:ascii="Times New Roman" w:hAnsi="Times New Roman" w:cs="Times New Roman"/>
          <w:color w:val="000000" w:themeColor="text1"/>
          <w:sz w:val="24"/>
          <w:szCs w:val="24"/>
        </w:rPr>
        <w:t>ozporządzenie 1/2003 do równoleg</w:t>
      </w:r>
      <w:r w:rsidR="00A533F4">
        <w:rPr>
          <w:rFonts w:ascii="Times New Roman" w:hAnsi="Times New Roman" w:cs="Times New Roman"/>
          <w:color w:val="000000" w:themeColor="text1"/>
          <w:sz w:val="24"/>
          <w:szCs w:val="24"/>
        </w:rPr>
        <w:t>łego prowadzenia postępowania w </w:t>
      </w:r>
      <w:r w:rsidRPr="00D84154">
        <w:rPr>
          <w:rFonts w:ascii="Times New Roman" w:hAnsi="Times New Roman" w:cs="Times New Roman"/>
          <w:color w:val="000000" w:themeColor="text1"/>
          <w:sz w:val="24"/>
          <w:szCs w:val="24"/>
        </w:rPr>
        <w:t xml:space="preserve">sprawie podejrzenia naruszenia art. 101 lub </w:t>
      </w:r>
      <w:r w:rsidR="00D20200" w:rsidRPr="00D84154">
        <w:rPr>
          <w:rFonts w:ascii="Times New Roman" w:hAnsi="Times New Roman" w:cs="Times New Roman"/>
          <w:color w:val="000000" w:themeColor="text1"/>
          <w:sz w:val="24"/>
          <w:szCs w:val="24"/>
        </w:rPr>
        <w:t xml:space="preserve">art. </w:t>
      </w:r>
      <w:r w:rsidRPr="00D84154">
        <w:rPr>
          <w:rFonts w:ascii="Times New Roman" w:hAnsi="Times New Roman" w:cs="Times New Roman"/>
          <w:color w:val="000000" w:themeColor="text1"/>
          <w:sz w:val="24"/>
          <w:szCs w:val="24"/>
        </w:rPr>
        <w:t xml:space="preserve">102 TFUE, jeżeli wszczyna postępowanie na podstawie prawa krajowego (art. 6 lub </w:t>
      </w:r>
      <w:r w:rsidR="00AD3322" w:rsidRPr="00D84154">
        <w:rPr>
          <w:rFonts w:ascii="Times New Roman" w:hAnsi="Times New Roman" w:cs="Times New Roman"/>
          <w:color w:val="000000" w:themeColor="text1"/>
          <w:sz w:val="24"/>
          <w:szCs w:val="24"/>
        </w:rPr>
        <w:t xml:space="preserve">art. </w:t>
      </w:r>
      <w:r w:rsidRPr="00D84154">
        <w:rPr>
          <w:rFonts w:ascii="Times New Roman" w:hAnsi="Times New Roman" w:cs="Times New Roman"/>
          <w:color w:val="000000" w:themeColor="text1"/>
          <w:sz w:val="24"/>
          <w:szCs w:val="24"/>
        </w:rPr>
        <w:t xml:space="preserve">9 </w:t>
      </w:r>
      <w:r w:rsidR="00D20200" w:rsidRPr="00D84154">
        <w:rPr>
          <w:rFonts w:ascii="Times New Roman" w:hAnsi="Times New Roman" w:cs="Times New Roman"/>
          <w:color w:val="000000" w:themeColor="text1"/>
          <w:sz w:val="24"/>
          <w:szCs w:val="24"/>
        </w:rPr>
        <w:t>ustawy</w:t>
      </w:r>
      <w:r w:rsidRPr="00D84154">
        <w:rPr>
          <w:rFonts w:ascii="Times New Roman" w:hAnsi="Times New Roman" w:cs="Times New Roman"/>
          <w:color w:val="000000" w:themeColor="text1"/>
          <w:sz w:val="24"/>
          <w:szCs w:val="24"/>
        </w:rPr>
        <w:t>), a sprawa wywiera wpływ na handel między państwami członkowskimi Unii Europejskiej, przy czym pojęcie „wpływu na handel” ma charakter szeroki i może dotyczyć po prostu sprawy, która obejmuje cały obszar Rzeczypospolitej Polskiej jako istotnej części rynku wewnętrznego Unii Europejskiej. Oznacza to, że przepisy art. 6</w:t>
      </w:r>
      <w:r w:rsidR="00D20200" w:rsidRPr="00D84154">
        <w:rPr>
          <w:rFonts w:ascii="Times New Roman" w:hAnsi="Times New Roman" w:cs="Times New Roman"/>
          <w:color w:val="000000" w:themeColor="text1"/>
          <w:sz w:val="24"/>
          <w:szCs w:val="24"/>
        </w:rPr>
        <w:t>b</w:t>
      </w:r>
      <w:r w:rsidRPr="00D84154">
        <w:rPr>
          <w:rFonts w:ascii="Times New Roman" w:hAnsi="Times New Roman" w:cs="Times New Roman"/>
          <w:color w:val="000000" w:themeColor="text1"/>
          <w:sz w:val="24"/>
          <w:szCs w:val="24"/>
        </w:rPr>
        <w:t xml:space="preserve"> oraz </w:t>
      </w:r>
      <w:r w:rsidR="00D20200" w:rsidRPr="00D84154">
        <w:rPr>
          <w:rFonts w:ascii="Times New Roman" w:hAnsi="Times New Roman" w:cs="Times New Roman"/>
          <w:color w:val="000000" w:themeColor="text1"/>
          <w:sz w:val="24"/>
          <w:szCs w:val="24"/>
        </w:rPr>
        <w:t xml:space="preserve">art. </w:t>
      </w:r>
      <w:r w:rsidRPr="00D84154">
        <w:rPr>
          <w:rFonts w:ascii="Times New Roman" w:hAnsi="Times New Roman" w:cs="Times New Roman"/>
          <w:color w:val="000000" w:themeColor="text1"/>
          <w:sz w:val="24"/>
          <w:szCs w:val="24"/>
        </w:rPr>
        <w:t>9a będą najczęściej stosowa</w:t>
      </w:r>
      <w:r w:rsidR="00BC0E7C">
        <w:rPr>
          <w:rFonts w:ascii="Times New Roman" w:hAnsi="Times New Roman" w:cs="Times New Roman"/>
          <w:color w:val="000000" w:themeColor="text1"/>
          <w:sz w:val="24"/>
          <w:szCs w:val="24"/>
        </w:rPr>
        <w:t>ne równolegle do przepisów art. </w:t>
      </w:r>
      <w:r w:rsidRPr="00D84154">
        <w:rPr>
          <w:rFonts w:ascii="Times New Roman" w:hAnsi="Times New Roman" w:cs="Times New Roman"/>
          <w:color w:val="000000" w:themeColor="text1"/>
          <w:sz w:val="24"/>
          <w:szCs w:val="24"/>
        </w:rPr>
        <w:t xml:space="preserve">101 i </w:t>
      </w:r>
      <w:r w:rsidR="00D20200" w:rsidRPr="00D84154">
        <w:rPr>
          <w:rFonts w:ascii="Times New Roman" w:hAnsi="Times New Roman" w:cs="Times New Roman"/>
          <w:color w:val="000000" w:themeColor="text1"/>
          <w:sz w:val="24"/>
          <w:szCs w:val="24"/>
        </w:rPr>
        <w:t xml:space="preserve">art. </w:t>
      </w:r>
      <w:r w:rsidRPr="00D84154">
        <w:rPr>
          <w:rFonts w:ascii="Times New Roman" w:hAnsi="Times New Roman" w:cs="Times New Roman"/>
          <w:color w:val="000000" w:themeColor="text1"/>
          <w:sz w:val="24"/>
          <w:szCs w:val="24"/>
        </w:rPr>
        <w:t>102 TFUE. Istotą art. 6</w:t>
      </w:r>
      <w:r w:rsidR="00D20200" w:rsidRPr="00D84154">
        <w:rPr>
          <w:rFonts w:ascii="Times New Roman" w:hAnsi="Times New Roman" w:cs="Times New Roman"/>
          <w:color w:val="000000" w:themeColor="text1"/>
          <w:sz w:val="24"/>
          <w:szCs w:val="24"/>
        </w:rPr>
        <w:t>b</w:t>
      </w:r>
      <w:r w:rsidRPr="00D84154">
        <w:rPr>
          <w:rFonts w:ascii="Times New Roman" w:hAnsi="Times New Roman" w:cs="Times New Roman"/>
          <w:color w:val="000000" w:themeColor="text1"/>
          <w:sz w:val="24"/>
          <w:szCs w:val="24"/>
        </w:rPr>
        <w:t xml:space="preserve"> i </w:t>
      </w:r>
      <w:r w:rsidR="00D20200" w:rsidRPr="00D84154">
        <w:rPr>
          <w:rFonts w:ascii="Times New Roman" w:hAnsi="Times New Roman" w:cs="Times New Roman"/>
          <w:color w:val="000000" w:themeColor="text1"/>
          <w:sz w:val="24"/>
          <w:szCs w:val="24"/>
        </w:rPr>
        <w:t xml:space="preserve">art. </w:t>
      </w:r>
      <w:r w:rsidRPr="00D84154">
        <w:rPr>
          <w:rFonts w:ascii="Times New Roman" w:hAnsi="Times New Roman" w:cs="Times New Roman"/>
          <w:color w:val="000000" w:themeColor="text1"/>
          <w:sz w:val="24"/>
          <w:szCs w:val="24"/>
        </w:rPr>
        <w:t xml:space="preserve">9a jest sprecyzowanie charakteru odpowiedzialności spółek wywierających decydujący wpływ i tym samym zbliżenie prawa polskiego do prawa unijnego (pojęcie „przedsiębiorstwa” w art. 101 i </w:t>
      </w:r>
      <w:r w:rsidR="00D20200" w:rsidRPr="00D84154">
        <w:rPr>
          <w:rFonts w:ascii="Times New Roman" w:hAnsi="Times New Roman" w:cs="Times New Roman"/>
          <w:color w:val="000000" w:themeColor="text1"/>
          <w:sz w:val="24"/>
          <w:szCs w:val="24"/>
        </w:rPr>
        <w:t xml:space="preserve">art. </w:t>
      </w:r>
      <w:r w:rsidR="00945F93">
        <w:rPr>
          <w:rFonts w:ascii="Times New Roman" w:hAnsi="Times New Roman" w:cs="Times New Roman"/>
          <w:color w:val="000000" w:themeColor="text1"/>
          <w:sz w:val="24"/>
          <w:szCs w:val="24"/>
        </w:rPr>
        <w:t>102 TFUE).</w:t>
      </w:r>
    </w:p>
    <w:p w14:paraId="0A270CA1" w14:textId="4F0E06C5" w:rsidR="008F398C" w:rsidRPr="00D84154" w:rsidRDefault="00981513"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W praktyce decydujący wpływ może być wywierany w złożonych układach korporacyjnych. Przykładowo w Polsce w oparciu o przepisy </w:t>
      </w:r>
      <w:r w:rsidR="00945F93">
        <w:rPr>
          <w:rFonts w:ascii="Times New Roman" w:hAnsi="Times New Roman" w:cs="Times New Roman"/>
          <w:color w:val="000000" w:themeColor="text1"/>
          <w:sz w:val="24"/>
          <w:szCs w:val="24"/>
        </w:rPr>
        <w:t xml:space="preserve">ustawy z dnia 15 września 2000 r. </w:t>
      </w:r>
      <w:r w:rsidR="00094E8B" w:rsidRPr="00D84154">
        <w:rPr>
          <w:rFonts w:ascii="Times New Roman" w:hAnsi="Times New Roman" w:cs="Times New Roman"/>
          <w:color w:val="000000" w:themeColor="text1"/>
          <w:sz w:val="24"/>
          <w:szCs w:val="24"/>
        </w:rPr>
        <w:t xml:space="preserve">– </w:t>
      </w:r>
      <w:r w:rsidR="007218FC" w:rsidRPr="00D84154">
        <w:rPr>
          <w:rFonts w:ascii="Times New Roman" w:hAnsi="Times New Roman" w:cs="Times New Roman"/>
          <w:color w:val="000000" w:themeColor="text1"/>
          <w:sz w:val="24"/>
          <w:szCs w:val="24"/>
        </w:rPr>
        <w:t>K</w:t>
      </w:r>
      <w:r w:rsidRPr="00D84154">
        <w:rPr>
          <w:rFonts w:ascii="Times New Roman" w:hAnsi="Times New Roman" w:cs="Times New Roman"/>
          <w:color w:val="000000" w:themeColor="text1"/>
          <w:sz w:val="24"/>
          <w:szCs w:val="24"/>
        </w:rPr>
        <w:t xml:space="preserve">odeks spółek handlowych </w:t>
      </w:r>
      <w:r w:rsidR="007218FC" w:rsidRPr="00D84154">
        <w:rPr>
          <w:rFonts w:ascii="Times New Roman" w:hAnsi="Times New Roman" w:cs="Times New Roman"/>
          <w:color w:val="000000" w:themeColor="text1"/>
          <w:sz w:val="24"/>
          <w:szCs w:val="24"/>
        </w:rPr>
        <w:t xml:space="preserve">(Dz. U. z </w:t>
      </w:r>
      <w:r w:rsidR="00857C3D" w:rsidRPr="00D84154">
        <w:rPr>
          <w:rFonts w:ascii="Times New Roman" w:hAnsi="Times New Roman" w:cs="Times New Roman"/>
          <w:color w:val="000000" w:themeColor="text1"/>
          <w:sz w:val="24"/>
          <w:szCs w:val="24"/>
        </w:rPr>
        <w:t>2022 r. poz. 1467</w:t>
      </w:r>
      <w:r w:rsidR="007218FC" w:rsidRPr="00D84154">
        <w:rPr>
          <w:rFonts w:ascii="Times New Roman" w:hAnsi="Times New Roman" w:cs="Times New Roman"/>
          <w:color w:val="000000" w:themeColor="text1"/>
          <w:sz w:val="24"/>
          <w:szCs w:val="24"/>
        </w:rPr>
        <w:t xml:space="preserve">, z późn. zm.) </w:t>
      </w:r>
      <w:r w:rsidRPr="00D84154">
        <w:rPr>
          <w:rFonts w:ascii="Times New Roman" w:hAnsi="Times New Roman" w:cs="Times New Roman"/>
          <w:color w:val="000000" w:themeColor="text1"/>
          <w:sz w:val="24"/>
          <w:szCs w:val="24"/>
        </w:rPr>
        <w:t>inkorporowany może być podmiot stanowiący „przedstawiciela” określonego międzynarodowego przedsiębiorstwa w Polsce („emanację” obecności tego przedsiębiorstwa na rynku polskim). Jednocześnie taki inkorporowany w Polsce przedsiębiorca może pozostawać pod decydującym wpływem innego przedsiębiorcy, inkorporowanego w innym państwie Unii Europejskiej (np. zarządzającego działalnością przedsiębiorstwa w całej Europie), który z kolei może pozostawać pod decydującym wpływem przedsiębiorcy inkorporow</w:t>
      </w:r>
      <w:r w:rsidR="00BC0E7C">
        <w:rPr>
          <w:rFonts w:ascii="Times New Roman" w:hAnsi="Times New Roman" w:cs="Times New Roman"/>
          <w:color w:val="000000" w:themeColor="text1"/>
          <w:sz w:val="24"/>
          <w:szCs w:val="24"/>
        </w:rPr>
        <w:t>anego poza Unią Europejską (np. </w:t>
      </w:r>
      <w:r w:rsidRPr="00D84154">
        <w:rPr>
          <w:rFonts w:ascii="Times New Roman" w:hAnsi="Times New Roman" w:cs="Times New Roman"/>
          <w:color w:val="000000" w:themeColor="text1"/>
          <w:sz w:val="24"/>
          <w:szCs w:val="24"/>
        </w:rPr>
        <w:t>zarządzającego określonym typem aktywności tego przedsiębiorstwa na świecie), będącego w dalszej kolejności pod wpływem kolejnego przedsiębiorcy inkorporowanego poza Unią Europejską (np. zarządzającego cało</w:t>
      </w:r>
      <w:r w:rsidR="00945F93">
        <w:rPr>
          <w:rFonts w:ascii="Times New Roman" w:hAnsi="Times New Roman" w:cs="Times New Roman"/>
          <w:color w:val="000000" w:themeColor="text1"/>
          <w:sz w:val="24"/>
          <w:szCs w:val="24"/>
        </w:rPr>
        <w:t>ścią działań przedsiębiorstwa).</w:t>
      </w:r>
    </w:p>
    <w:p w14:paraId="6703CB1D" w14:textId="2C837429" w:rsidR="00981513" w:rsidRPr="00D84154" w:rsidRDefault="00981513"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Projektowane rozwiązanie, tj. dopuszczenie fakultatywności wszczęcia postępowania przeciwko podmiotowi wywierającemu decydujący wpływ, a tym samym pewnej elastyczności doboru stron postępowania, ma zagwarantować, że w praktyce postępowania przeciwko spółkom wywierającym decydujący wpływ wszczynane będą w sposób sprzyjający skuteczności reguł konkurencji. W przywołanym wcześniej przykładzie układu korporacyjnego </w:t>
      </w:r>
      <w:r w:rsidRPr="00D84154">
        <w:rPr>
          <w:rFonts w:ascii="Times New Roman" w:hAnsi="Times New Roman" w:cs="Times New Roman"/>
          <w:color w:val="000000" w:themeColor="text1"/>
          <w:sz w:val="24"/>
          <w:szCs w:val="24"/>
        </w:rPr>
        <w:lastRenderedPageBreak/>
        <w:t xml:space="preserve">nie w każdym przypadku wszczynanie postępowania przeciwko wszystkim składającym się na przedsiębiorstwo w rozumieniu art. 101 i </w:t>
      </w:r>
      <w:r w:rsidR="00D20200" w:rsidRPr="00D84154">
        <w:rPr>
          <w:rFonts w:ascii="Times New Roman" w:hAnsi="Times New Roman" w:cs="Times New Roman"/>
          <w:color w:val="000000" w:themeColor="text1"/>
          <w:sz w:val="24"/>
          <w:szCs w:val="24"/>
        </w:rPr>
        <w:t xml:space="preserve">art. </w:t>
      </w:r>
      <w:r w:rsidRPr="00D84154">
        <w:rPr>
          <w:rFonts w:ascii="Times New Roman" w:hAnsi="Times New Roman" w:cs="Times New Roman"/>
          <w:color w:val="000000" w:themeColor="text1"/>
          <w:sz w:val="24"/>
          <w:szCs w:val="24"/>
        </w:rPr>
        <w:t xml:space="preserve">102 TFUE podmiotom (tj. zarazem podmiotom wywierającym decydujący wpływ, o którym mowa w art. </w:t>
      </w:r>
      <w:r w:rsidR="00741E28" w:rsidRPr="00D84154">
        <w:rPr>
          <w:rFonts w:ascii="Times New Roman" w:hAnsi="Times New Roman" w:cs="Times New Roman"/>
          <w:color w:val="000000" w:themeColor="text1"/>
          <w:sz w:val="24"/>
          <w:szCs w:val="24"/>
        </w:rPr>
        <w:t xml:space="preserve">6b </w:t>
      </w:r>
      <w:r w:rsidRPr="00D84154">
        <w:rPr>
          <w:rFonts w:ascii="Times New Roman" w:hAnsi="Times New Roman" w:cs="Times New Roman"/>
          <w:color w:val="000000" w:themeColor="text1"/>
          <w:sz w:val="24"/>
          <w:szCs w:val="24"/>
        </w:rPr>
        <w:t xml:space="preserve">i </w:t>
      </w:r>
      <w:r w:rsidR="00D20200" w:rsidRPr="00D84154">
        <w:rPr>
          <w:rFonts w:ascii="Times New Roman" w:hAnsi="Times New Roman" w:cs="Times New Roman"/>
          <w:color w:val="000000" w:themeColor="text1"/>
          <w:sz w:val="24"/>
          <w:szCs w:val="24"/>
        </w:rPr>
        <w:t xml:space="preserve">art. </w:t>
      </w:r>
      <w:r w:rsidRPr="00D84154">
        <w:rPr>
          <w:rFonts w:ascii="Times New Roman" w:hAnsi="Times New Roman" w:cs="Times New Roman"/>
          <w:color w:val="000000" w:themeColor="text1"/>
          <w:sz w:val="24"/>
          <w:szCs w:val="24"/>
        </w:rPr>
        <w:t>9a u</w:t>
      </w:r>
      <w:r w:rsidR="00AD3322" w:rsidRPr="00D84154">
        <w:rPr>
          <w:rFonts w:ascii="Times New Roman" w:hAnsi="Times New Roman" w:cs="Times New Roman"/>
          <w:color w:val="000000" w:themeColor="text1"/>
          <w:sz w:val="24"/>
          <w:szCs w:val="24"/>
        </w:rPr>
        <w:t>stawy</w:t>
      </w:r>
      <w:r w:rsidRPr="00D84154">
        <w:rPr>
          <w:rFonts w:ascii="Times New Roman" w:hAnsi="Times New Roman" w:cs="Times New Roman"/>
          <w:color w:val="000000" w:themeColor="text1"/>
          <w:sz w:val="24"/>
          <w:szCs w:val="24"/>
        </w:rPr>
        <w:t>) musi stanowić optymalny sposób zapewnienia skuteczności prawa. W szczególności obligatoryjne wszczęcie postępowania przeciwko spółkom spoza Unii Europejskiej może przyczyniać się do wydłużenia postępowań z uwagi na konieczność włączenia do postępowania podmiotu prawa obcego, posługującego się roboczo innym językiem niż język polski lub język urzędowy Unii Europejskiej. Obligatoryjność w powyższym zakresie może przekładać się również na obciążenie sądów, ponieważ postępowania z odwołania od decyzji Prezesa Urzędu również musiałby obejmować tego rodzaju podmioty.</w:t>
      </w:r>
    </w:p>
    <w:p w14:paraId="17940143" w14:textId="4FD33111" w:rsidR="00981513" w:rsidRPr="00D84154" w:rsidRDefault="00981513"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Należy jednak zwrócić uwagę, że </w:t>
      </w:r>
      <w:r w:rsidR="00421DCA" w:rsidRPr="00D84154">
        <w:rPr>
          <w:rFonts w:ascii="Times New Roman" w:hAnsi="Times New Roman" w:cs="Times New Roman"/>
          <w:color w:val="000000" w:themeColor="text1"/>
          <w:sz w:val="24"/>
          <w:szCs w:val="24"/>
        </w:rPr>
        <w:t xml:space="preserve">jest </w:t>
      </w:r>
      <w:r w:rsidRPr="00D84154">
        <w:rPr>
          <w:rFonts w:ascii="Times New Roman" w:hAnsi="Times New Roman" w:cs="Times New Roman"/>
          <w:color w:val="000000" w:themeColor="text1"/>
          <w:sz w:val="24"/>
          <w:szCs w:val="24"/>
        </w:rPr>
        <w:t>możliwa też sytuacja odwrotna. Już obecnie w praktyce Prezesa Urzędu zdarza się, że dla zapewnienia skuteczności prawa pol</w:t>
      </w:r>
      <w:r w:rsidR="00BC0E7C">
        <w:rPr>
          <w:rFonts w:ascii="Times New Roman" w:hAnsi="Times New Roman" w:cs="Times New Roman"/>
          <w:color w:val="000000" w:themeColor="text1"/>
          <w:sz w:val="24"/>
          <w:szCs w:val="24"/>
        </w:rPr>
        <w:t>skiego wszczynane i </w:t>
      </w:r>
      <w:r w:rsidRPr="00D84154">
        <w:rPr>
          <w:rFonts w:ascii="Times New Roman" w:hAnsi="Times New Roman" w:cs="Times New Roman"/>
          <w:color w:val="000000" w:themeColor="text1"/>
          <w:sz w:val="24"/>
          <w:szCs w:val="24"/>
        </w:rPr>
        <w:t xml:space="preserve">pociągane są do odpowiedzialności podmioty spoza Polski, w tym spoza Unii Europejskiej, których działania zagrażają konkurencji na polskim rynku oraz polskim konsumentom. Ponadto istotą pojęcia „przedsiębiorstwa” w art. 101 i </w:t>
      </w:r>
      <w:r w:rsidR="00F2385D" w:rsidRPr="00D84154">
        <w:rPr>
          <w:rFonts w:ascii="Times New Roman" w:hAnsi="Times New Roman" w:cs="Times New Roman"/>
          <w:color w:val="000000" w:themeColor="text1"/>
          <w:sz w:val="24"/>
          <w:szCs w:val="24"/>
        </w:rPr>
        <w:t xml:space="preserve">art. </w:t>
      </w:r>
      <w:r w:rsidRPr="00D84154">
        <w:rPr>
          <w:rFonts w:ascii="Times New Roman" w:hAnsi="Times New Roman" w:cs="Times New Roman"/>
          <w:color w:val="000000" w:themeColor="text1"/>
          <w:sz w:val="24"/>
          <w:szCs w:val="24"/>
        </w:rPr>
        <w:t>102 T</w:t>
      </w:r>
      <w:r w:rsidR="00BC0E7C">
        <w:rPr>
          <w:rFonts w:ascii="Times New Roman" w:hAnsi="Times New Roman" w:cs="Times New Roman"/>
          <w:color w:val="000000" w:themeColor="text1"/>
          <w:sz w:val="24"/>
          <w:szCs w:val="24"/>
        </w:rPr>
        <w:t>FUE oraz projektowanych art. </w:t>
      </w:r>
      <w:r w:rsidR="008F398C" w:rsidRPr="00D84154">
        <w:rPr>
          <w:rFonts w:ascii="Times New Roman" w:hAnsi="Times New Roman" w:cs="Times New Roman"/>
          <w:color w:val="000000" w:themeColor="text1"/>
          <w:sz w:val="24"/>
          <w:szCs w:val="24"/>
        </w:rPr>
        <w:t xml:space="preserve">6b </w:t>
      </w:r>
      <w:r w:rsidR="00BC0E7C">
        <w:rPr>
          <w:rFonts w:ascii="Times New Roman" w:hAnsi="Times New Roman" w:cs="Times New Roman"/>
          <w:color w:val="000000" w:themeColor="text1"/>
          <w:sz w:val="24"/>
          <w:szCs w:val="24"/>
        </w:rPr>
        <w:t>i art. </w:t>
      </w:r>
      <w:r w:rsidRPr="00D84154">
        <w:rPr>
          <w:rFonts w:ascii="Times New Roman" w:hAnsi="Times New Roman" w:cs="Times New Roman"/>
          <w:color w:val="000000" w:themeColor="text1"/>
          <w:sz w:val="24"/>
          <w:szCs w:val="24"/>
        </w:rPr>
        <w:t xml:space="preserve">9a </w:t>
      </w:r>
      <w:r w:rsidR="00F2385D" w:rsidRPr="00D84154">
        <w:rPr>
          <w:rFonts w:ascii="Times New Roman" w:hAnsi="Times New Roman" w:cs="Times New Roman"/>
          <w:color w:val="000000" w:themeColor="text1"/>
          <w:sz w:val="24"/>
          <w:szCs w:val="24"/>
        </w:rPr>
        <w:t>ustawy</w:t>
      </w:r>
      <w:r w:rsidRPr="00D84154">
        <w:rPr>
          <w:rFonts w:ascii="Times New Roman" w:hAnsi="Times New Roman" w:cs="Times New Roman"/>
          <w:color w:val="000000" w:themeColor="text1"/>
          <w:sz w:val="24"/>
          <w:szCs w:val="24"/>
        </w:rPr>
        <w:t xml:space="preserve"> jest przyczynianie się do przypisywania odpowiedzialności za naruszenia prawa wszystkim zaangażowanym w nie podmiotom prawnym w celu zwiększenia skuteczności reguł konkurencji.</w:t>
      </w:r>
    </w:p>
    <w:p w14:paraId="24012622" w14:textId="5D99D4CA" w:rsidR="00981513" w:rsidRPr="00D84154" w:rsidRDefault="00981513"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Z tych względów uznano, że właściwym rozwiązaniem w projektowanych przepisach będzie stworzenie jednoznacznych podstaw dla fakultatywności wszczęcia postępowania przeciwko podmiotowi wywierającemu decydujący wpływ, tak aby możliwe było wyważenie interesów w oparciu o zasadę skuteczności (</w:t>
      </w:r>
      <w:r w:rsidRPr="00637161">
        <w:rPr>
          <w:rFonts w:ascii="Times New Roman" w:hAnsi="Times New Roman" w:cs="Times New Roman"/>
          <w:color w:val="000000" w:themeColor="text1"/>
          <w:sz w:val="24"/>
          <w:szCs w:val="24"/>
        </w:rPr>
        <w:t>effet utile</w:t>
      </w:r>
      <w:r w:rsidRPr="00D84154">
        <w:rPr>
          <w:rFonts w:ascii="Times New Roman" w:hAnsi="Times New Roman" w:cs="Times New Roman"/>
          <w:color w:val="000000" w:themeColor="text1"/>
          <w:sz w:val="24"/>
          <w:szCs w:val="24"/>
        </w:rPr>
        <w:t xml:space="preserve">) </w:t>
      </w:r>
      <w:r w:rsidR="00945F93">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skutecznego s</w:t>
      </w:r>
      <w:r w:rsidR="00BC0E7C">
        <w:rPr>
          <w:rFonts w:ascii="Times New Roman" w:hAnsi="Times New Roman" w:cs="Times New Roman"/>
          <w:color w:val="000000" w:themeColor="text1"/>
          <w:sz w:val="24"/>
          <w:szCs w:val="24"/>
        </w:rPr>
        <w:t>tosowania przepisów art. 6 ust. </w:t>
      </w:r>
      <w:r w:rsidRPr="00D84154">
        <w:rPr>
          <w:rFonts w:ascii="Times New Roman" w:hAnsi="Times New Roman" w:cs="Times New Roman"/>
          <w:color w:val="000000" w:themeColor="text1"/>
          <w:sz w:val="24"/>
          <w:szCs w:val="24"/>
        </w:rPr>
        <w:t xml:space="preserve">1, art. 9 ust. 1 ustawy, art. 101 lub </w:t>
      </w:r>
      <w:r w:rsidR="00CF4EB1" w:rsidRPr="00D84154">
        <w:rPr>
          <w:rFonts w:ascii="Times New Roman" w:hAnsi="Times New Roman" w:cs="Times New Roman"/>
          <w:color w:val="000000" w:themeColor="text1"/>
          <w:sz w:val="24"/>
          <w:szCs w:val="24"/>
        </w:rPr>
        <w:t xml:space="preserve">art. </w:t>
      </w:r>
      <w:r w:rsidRPr="00D84154">
        <w:rPr>
          <w:rFonts w:ascii="Times New Roman" w:hAnsi="Times New Roman" w:cs="Times New Roman"/>
          <w:color w:val="000000" w:themeColor="text1"/>
          <w:sz w:val="24"/>
          <w:szCs w:val="24"/>
        </w:rPr>
        <w:t xml:space="preserve">102 TFUE. Rozwiązanie to opiera się na założeniu, że postępowania prowadzone przez Prezesa Urzędu wszczynane są w „interesie publicznym” i że w określonych sytuacjach interes ten może przemawiać </w:t>
      </w:r>
      <w:r w:rsidR="00BC0E7C">
        <w:rPr>
          <w:rFonts w:ascii="Times New Roman" w:hAnsi="Times New Roman" w:cs="Times New Roman"/>
          <w:color w:val="000000" w:themeColor="text1"/>
          <w:sz w:val="24"/>
          <w:szCs w:val="24"/>
        </w:rPr>
        <w:t>za wszczęciem postępowania (np. </w:t>
      </w:r>
      <w:r w:rsidRPr="00D84154">
        <w:rPr>
          <w:rFonts w:ascii="Times New Roman" w:hAnsi="Times New Roman" w:cs="Times New Roman"/>
          <w:color w:val="000000" w:themeColor="text1"/>
          <w:sz w:val="24"/>
          <w:szCs w:val="24"/>
        </w:rPr>
        <w:t xml:space="preserve">spółka inkorporowana w Polsce prowadzi wąską działalność i można domniemywać, że istotna część procesu decyzyjnego przedsiębiorstwa w rozumieniu art. 101 i </w:t>
      </w:r>
      <w:r w:rsidR="00CF4EB1" w:rsidRPr="00D84154">
        <w:rPr>
          <w:rFonts w:ascii="Times New Roman" w:hAnsi="Times New Roman" w:cs="Times New Roman"/>
          <w:color w:val="000000" w:themeColor="text1"/>
          <w:sz w:val="24"/>
          <w:szCs w:val="24"/>
        </w:rPr>
        <w:t xml:space="preserve">art. </w:t>
      </w:r>
      <w:r w:rsidRPr="00D84154">
        <w:rPr>
          <w:rFonts w:ascii="Times New Roman" w:hAnsi="Times New Roman" w:cs="Times New Roman"/>
          <w:color w:val="000000" w:themeColor="text1"/>
          <w:sz w:val="24"/>
          <w:szCs w:val="24"/>
        </w:rPr>
        <w:t xml:space="preserve">102 TFUE koncentruje się w spółce inkorporowanej poza Unią Europejską i wywierającej decydujący wpływ na polską spółkę) lub przeciwko takiemu wszczęciu lub jego ograniczeniu do podmiotów posiadających siedziby w Unii Europejskiej (zob. wcześniej opisany przykład dużej złożoności struktury korporacyjnej przedsiębiorstwa w rozumieniu art. 101 i </w:t>
      </w:r>
      <w:r w:rsidR="00CF4EB1" w:rsidRPr="00D84154">
        <w:rPr>
          <w:rFonts w:ascii="Times New Roman" w:hAnsi="Times New Roman" w:cs="Times New Roman"/>
          <w:color w:val="000000" w:themeColor="text1"/>
          <w:sz w:val="24"/>
          <w:szCs w:val="24"/>
        </w:rPr>
        <w:t xml:space="preserve">art. </w:t>
      </w:r>
      <w:r w:rsidRPr="00D84154">
        <w:rPr>
          <w:rFonts w:ascii="Times New Roman" w:hAnsi="Times New Roman" w:cs="Times New Roman"/>
          <w:color w:val="000000" w:themeColor="text1"/>
          <w:sz w:val="24"/>
          <w:szCs w:val="24"/>
        </w:rPr>
        <w:t xml:space="preserve">102, przy jednoczesnej możliwości potencjalnie sprawniejszego prowadzenia postępowania przeciwko spółkom inkorporowanym w Unii Europejskiej we współpracy z organami innych państw </w:t>
      </w:r>
      <w:r w:rsidRPr="00D84154">
        <w:rPr>
          <w:rFonts w:ascii="Times New Roman" w:hAnsi="Times New Roman" w:cs="Times New Roman"/>
          <w:color w:val="000000" w:themeColor="text1"/>
          <w:sz w:val="24"/>
          <w:szCs w:val="24"/>
        </w:rPr>
        <w:lastRenderedPageBreak/>
        <w:t xml:space="preserve">członkowskich w oparciu o implementowane przepisy dyrektywy). Projektowane rozwiązanie stanowi jednocześnie doprecyzowanie już obecnie funkcjonującego w orzecznictwie, w tym przede wszystkim orzecznictwie Sądu Najwyższego, założenia, że sam art. 88 </w:t>
      </w:r>
      <w:r w:rsidR="00F2385D" w:rsidRPr="00D84154">
        <w:rPr>
          <w:rFonts w:ascii="Times New Roman" w:hAnsi="Times New Roman" w:cs="Times New Roman"/>
          <w:color w:val="000000" w:themeColor="text1"/>
          <w:sz w:val="24"/>
          <w:szCs w:val="24"/>
        </w:rPr>
        <w:t>ustawy</w:t>
      </w:r>
      <w:r w:rsidRPr="00D84154">
        <w:rPr>
          <w:rFonts w:ascii="Times New Roman" w:hAnsi="Times New Roman" w:cs="Times New Roman"/>
          <w:color w:val="000000" w:themeColor="text1"/>
          <w:sz w:val="24"/>
          <w:szCs w:val="24"/>
        </w:rPr>
        <w:t xml:space="preserve"> dostarcza organowi ochrony konkurencji pewnej elastyczności w doborze stron postępowania antymonopolowego, która </w:t>
      </w:r>
      <w:r w:rsidR="00421DCA" w:rsidRPr="00D84154">
        <w:rPr>
          <w:rFonts w:ascii="Times New Roman" w:hAnsi="Times New Roman" w:cs="Times New Roman"/>
          <w:color w:val="000000" w:themeColor="text1"/>
          <w:sz w:val="24"/>
          <w:szCs w:val="24"/>
        </w:rPr>
        <w:t xml:space="preserve">jest </w:t>
      </w:r>
      <w:r w:rsidRPr="00D84154">
        <w:rPr>
          <w:rFonts w:ascii="Times New Roman" w:hAnsi="Times New Roman" w:cs="Times New Roman"/>
          <w:color w:val="000000" w:themeColor="text1"/>
          <w:sz w:val="24"/>
          <w:szCs w:val="24"/>
        </w:rPr>
        <w:t>motywowana sprzyjaniem skuteczności prawa (</w:t>
      </w:r>
      <w:r w:rsidRPr="00637161">
        <w:rPr>
          <w:rFonts w:ascii="Times New Roman" w:hAnsi="Times New Roman" w:cs="Times New Roman"/>
          <w:color w:val="000000" w:themeColor="text1"/>
          <w:sz w:val="24"/>
          <w:szCs w:val="24"/>
        </w:rPr>
        <w:t>effet utile</w:t>
      </w:r>
      <w:r w:rsidRPr="00D84154">
        <w:rPr>
          <w:rFonts w:ascii="Times New Roman" w:hAnsi="Times New Roman" w:cs="Times New Roman"/>
          <w:color w:val="000000" w:themeColor="text1"/>
          <w:sz w:val="24"/>
          <w:szCs w:val="24"/>
        </w:rPr>
        <w:t>), sprawności prowadzenia postępowań i eliminowania naruszeń.</w:t>
      </w:r>
      <w:r w:rsidRPr="00D84154">
        <w:rPr>
          <w:rFonts w:ascii="Times New Roman" w:hAnsi="Times New Roman" w:cs="Times New Roman"/>
          <w:color w:val="000000" w:themeColor="text1"/>
          <w:sz w:val="24"/>
          <w:szCs w:val="24"/>
          <w:vertAlign w:val="superscript"/>
        </w:rPr>
        <w:footnoteReference w:id="10"/>
      </w:r>
      <w:r w:rsidR="00CF4EB1" w:rsidRPr="00D84154">
        <w:rPr>
          <w:rFonts w:ascii="Times New Roman" w:hAnsi="Times New Roman" w:cs="Times New Roman"/>
          <w:color w:val="000000" w:themeColor="text1"/>
          <w:sz w:val="24"/>
          <w:szCs w:val="24"/>
          <w:vertAlign w:val="superscript"/>
        </w:rPr>
        <w:t>)</w:t>
      </w:r>
      <w:r w:rsidRPr="00D84154">
        <w:rPr>
          <w:rFonts w:ascii="Times New Roman" w:hAnsi="Times New Roman" w:cs="Times New Roman"/>
          <w:color w:val="000000" w:themeColor="text1"/>
          <w:sz w:val="24"/>
          <w:szCs w:val="24"/>
        </w:rPr>
        <w:t xml:space="preserve"> Sąd Najwyższy wskazał, że dla rzetelnego ustalenia</w:t>
      </w:r>
      <w:r w:rsidR="00421DCA">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czy dany podmiot był stroną porozumienia ograniczającego konkurencję, a</w:t>
      </w:r>
      <w:r w:rsidR="00F65A77">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także dla zagwarantowania realizacji jego uprawnień, nie jest konieczne ustalanie tożsamości wszystkich pozostałych uczestników porozumienia.</w:t>
      </w:r>
    </w:p>
    <w:p w14:paraId="5B20A211" w14:textId="39192351" w:rsidR="00981513" w:rsidRPr="00D84154" w:rsidRDefault="00981513"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Fakultatywność projektowanego mechanizmu zawartego w art. 88 u</w:t>
      </w:r>
      <w:r w:rsidR="00F2385D" w:rsidRPr="00D84154">
        <w:rPr>
          <w:rFonts w:ascii="Times New Roman" w:hAnsi="Times New Roman" w:cs="Times New Roman"/>
          <w:color w:val="000000" w:themeColor="text1"/>
          <w:sz w:val="24"/>
          <w:szCs w:val="24"/>
        </w:rPr>
        <w:t>stawy</w:t>
      </w:r>
      <w:r w:rsidRPr="00D84154">
        <w:rPr>
          <w:rFonts w:ascii="Times New Roman" w:hAnsi="Times New Roman" w:cs="Times New Roman"/>
          <w:color w:val="000000" w:themeColor="text1"/>
          <w:sz w:val="24"/>
          <w:szCs w:val="24"/>
        </w:rPr>
        <w:t xml:space="preserve"> ma również sprzyjać respektowaniu art. 4 ust. 3 T</w:t>
      </w:r>
      <w:r w:rsidR="00CF4EB1" w:rsidRPr="00D84154">
        <w:rPr>
          <w:rFonts w:ascii="Times New Roman" w:hAnsi="Times New Roman" w:cs="Times New Roman"/>
          <w:color w:val="000000" w:themeColor="text1"/>
          <w:sz w:val="24"/>
          <w:szCs w:val="24"/>
        </w:rPr>
        <w:t>F</w:t>
      </w:r>
      <w:r w:rsidRPr="00D84154">
        <w:rPr>
          <w:rFonts w:ascii="Times New Roman" w:hAnsi="Times New Roman" w:cs="Times New Roman"/>
          <w:color w:val="000000" w:themeColor="text1"/>
          <w:sz w:val="24"/>
          <w:szCs w:val="24"/>
        </w:rPr>
        <w:t xml:space="preserve">UE – brak możliwości skutecznego przeprowadzenia postępowania w sprawie naruszenia art. 101 lub </w:t>
      </w:r>
      <w:r w:rsidR="00CF4EB1" w:rsidRPr="00D84154">
        <w:rPr>
          <w:rFonts w:ascii="Times New Roman" w:hAnsi="Times New Roman" w:cs="Times New Roman"/>
          <w:color w:val="000000" w:themeColor="text1"/>
          <w:sz w:val="24"/>
          <w:szCs w:val="24"/>
        </w:rPr>
        <w:t xml:space="preserve">art. </w:t>
      </w:r>
      <w:r w:rsidRPr="00D84154">
        <w:rPr>
          <w:rFonts w:ascii="Times New Roman" w:hAnsi="Times New Roman" w:cs="Times New Roman"/>
          <w:color w:val="000000" w:themeColor="text1"/>
          <w:sz w:val="24"/>
          <w:szCs w:val="24"/>
        </w:rPr>
        <w:t>102 TFUE i sprawnego wyeliminowania tego naruszenia z rynku przez zachowanie elastyczności co do doboru stron postępowania mógłby podważać należyte wypełnienie przez Rzeczpospolitą Polską zobowiązań traktatowych w zakresie zapewniania na obszarze Rzeczypospolitej Polskiej skuteczności prawa unijnego.</w:t>
      </w:r>
    </w:p>
    <w:p w14:paraId="298ACDFB" w14:textId="13344971" w:rsidR="00981513" w:rsidRPr="00D84154" w:rsidRDefault="00981513"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Warto zwrócić uwagę także na praktykę decyzyjną Komisji Europejskiej, która niejednokrotnie korzystała ze swobody w wyborze podmiotów</w:t>
      </w:r>
      <w:r w:rsidR="00421DCA">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przeciwko którym prowadziła postępowania, np. prowadząc postępowanie jedynie przeciwko podmiotowi dominującemu lub „omijając” podmioty pośrednie w wielopoziomowych strukturach kapitałowych. Zgodnie z orzecznictwem Trybunału taka elastyczność nie narusza prawa do obrony, ponieważ nie jest ono zależne od sytuacji pozostałych podmiotów występujących w postępowaniu.</w:t>
      </w:r>
      <w:r w:rsidRPr="00D84154">
        <w:rPr>
          <w:rFonts w:ascii="Times New Roman" w:hAnsi="Times New Roman" w:cs="Times New Roman"/>
          <w:sz w:val="24"/>
          <w:szCs w:val="24"/>
          <w:vertAlign w:val="superscript"/>
        </w:rPr>
        <w:footnoteReference w:id="11"/>
      </w:r>
      <w:r w:rsidR="00CF4EB1" w:rsidRPr="00D84154">
        <w:rPr>
          <w:rFonts w:ascii="Times New Roman" w:hAnsi="Times New Roman" w:cs="Times New Roman"/>
          <w:color w:val="000000" w:themeColor="text1"/>
          <w:sz w:val="24"/>
          <w:szCs w:val="24"/>
          <w:vertAlign w:val="superscript"/>
        </w:rPr>
        <w:t>)</w:t>
      </w:r>
    </w:p>
    <w:p w14:paraId="5F20DE0B" w14:textId="66CDE73A" w:rsidR="008F398C" w:rsidRPr="00D84154" w:rsidRDefault="008F398C"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lastRenderedPageBreak/>
        <w:t>Rozstrzygnięcie o wywieraniu decydującego wpływu, który prz</w:t>
      </w:r>
      <w:r w:rsidR="00BC0E7C">
        <w:rPr>
          <w:rFonts w:ascii="Times New Roman" w:hAnsi="Times New Roman" w:cs="Times New Roman"/>
          <w:color w:val="000000" w:themeColor="text1"/>
          <w:sz w:val="24"/>
          <w:szCs w:val="24"/>
        </w:rPr>
        <w:t>esądza o zastosowaniu art. 6b i </w:t>
      </w:r>
      <w:r w:rsidR="00CF4EB1" w:rsidRPr="00D84154">
        <w:rPr>
          <w:rFonts w:ascii="Times New Roman" w:hAnsi="Times New Roman" w:cs="Times New Roman"/>
          <w:color w:val="000000" w:themeColor="text1"/>
          <w:sz w:val="24"/>
          <w:szCs w:val="24"/>
        </w:rPr>
        <w:t xml:space="preserve">art. </w:t>
      </w:r>
      <w:r w:rsidRPr="00D84154">
        <w:rPr>
          <w:rFonts w:ascii="Times New Roman" w:hAnsi="Times New Roman" w:cs="Times New Roman"/>
          <w:color w:val="000000" w:themeColor="text1"/>
          <w:sz w:val="24"/>
          <w:szCs w:val="24"/>
        </w:rPr>
        <w:t>9</w:t>
      </w:r>
      <w:r w:rsidR="00857C3D" w:rsidRPr="00D84154">
        <w:rPr>
          <w:rFonts w:ascii="Times New Roman" w:hAnsi="Times New Roman" w:cs="Times New Roman"/>
          <w:color w:val="000000" w:themeColor="text1"/>
          <w:sz w:val="24"/>
          <w:szCs w:val="24"/>
        </w:rPr>
        <w:t>a</w:t>
      </w:r>
      <w:r w:rsidR="00466368">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tj. uznaniu, że naruszenia dopuścił się również przedsiębiorca, który wywierał decydujący wpływ na przedsiębiorcę, który naruszył zakazy określone w art. 6 lub </w:t>
      </w:r>
      <w:r w:rsidR="00094E8B" w:rsidRPr="00D84154">
        <w:rPr>
          <w:rFonts w:ascii="Times New Roman" w:hAnsi="Times New Roman" w:cs="Times New Roman"/>
          <w:color w:val="000000" w:themeColor="text1"/>
          <w:sz w:val="24"/>
          <w:szCs w:val="24"/>
        </w:rPr>
        <w:t xml:space="preserve">art. </w:t>
      </w:r>
      <w:r w:rsidRPr="00D84154">
        <w:rPr>
          <w:rFonts w:ascii="Times New Roman" w:hAnsi="Times New Roman" w:cs="Times New Roman"/>
          <w:color w:val="000000" w:themeColor="text1"/>
          <w:sz w:val="24"/>
          <w:szCs w:val="24"/>
        </w:rPr>
        <w:t xml:space="preserve">9 ustawy lub art. 101 lub </w:t>
      </w:r>
      <w:r w:rsidR="00CF4EB1" w:rsidRPr="00D84154">
        <w:rPr>
          <w:rFonts w:ascii="Times New Roman" w:hAnsi="Times New Roman" w:cs="Times New Roman"/>
          <w:color w:val="000000" w:themeColor="text1"/>
          <w:sz w:val="24"/>
          <w:szCs w:val="24"/>
        </w:rPr>
        <w:t xml:space="preserve">art. </w:t>
      </w:r>
      <w:r w:rsidRPr="00D84154">
        <w:rPr>
          <w:rFonts w:ascii="Times New Roman" w:hAnsi="Times New Roman" w:cs="Times New Roman"/>
          <w:color w:val="000000" w:themeColor="text1"/>
          <w:sz w:val="24"/>
          <w:szCs w:val="24"/>
        </w:rPr>
        <w:t xml:space="preserve">102 TFUE, </w:t>
      </w:r>
      <w:r w:rsidR="00466368" w:rsidRPr="00D84154">
        <w:rPr>
          <w:rFonts w:ascii="Times New Roman" w:hAnsi="Times New Roman" w:cs="Times New Roman"/>
          <w:color w:val="000000" w:themeColor="text1"/>
          <w:sz w:val="24"/>
          <w:szCs w:val="24"/>
        </w:rPr>
        <w:t xml:space="preserve">będzie </w:t>
      </w:r>
      <w:r w:rsidRPr="00D84154">
        <w:rPr>
          <w:rFonts w:ascii="Times New Roman" w:hAnsi="Times New Roman" w:cs="Times New Roman"/>
          <w:color w:val="000000" w:themeColor="text1"/>
          <w:sz w:val="24"/>
          <w:szCs w:val="24"/>
        </w:rPr>
        <w:t>następowało w decyzji, o której mowa w art</w:t>
      </w:r>
      <w:r w:rsidR="00BC0E7C">
        <w:rPr>
          <w:rFonts w:ascii="Times New Roman" w:hAnsi="Times New Roman" w:cs="Times New Roman"/>
          <w:color w:val="000000" w:themeColor="text1"/>
          <w:sz w:val="24"/>
          <w:szCs w:val="24"/>
        </w:rPr>
        <w:t>. 10 ust. </w:t>
      </w:r>
      <w:r w:rsidRPr="00D84154">
        <w:rPr>
          <w:rFonts w:ascii="Times New Roman" w:hAnsi="Times New Roman" w:cs="Times New Roman"/>
          <w:color w:val="000000" w:themeColor="text1"/>
          <w:sz w:val="24"/>
          <w:szCs w:val="24"/>
        </w:rPr>
        <w:t>1, w której w takim wypadku Prezes UOKiK uznaje praktykę</w:t>
      </w:r>
      <w:r w:rsidR="00BC0E7C">
        <w:rPr>
          <w:rFonts w:ascii="Times New Roman" w:hAnsi="Times New Roman" w:cs="Times New Roman"/>
          <w:color w:val="000000" w:themeColor="text1"/>
          <w:sz w:val="24"/>
          <w:szCs w:val="24"/>
        </w:rPr>
        <w:t xml:space="preserve"> za ograniczającą konkurencję i </w:t>
      </w:r>
      <w:r w:rsidRPr="00D84154">
        <w:rPr>
          <w:rFonts w:ascii="Times New Roman" w:hAnsi="Times New Roman" w:cs="Times New Roman"/>
          <w:color w:val="000000" w:themeColor="text1"/>
          <w:sz w:val="24"/>
          <w:szCs w:val="24"/>
        </w:rPr>
        <w:t>stwierdza naruszenie zarówno przez podmiot</w:t>
      </w:r>
      <w:r w:rsidR="00CF4EB1" w:rsidRPr="00D84154">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na który wywierany był decydujący wpływ</w:t>
      </w:r>
      <w:r w:rsidR="00466368">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jak i przez podmiot który ten wpływ wywierał. Prowadzone przez Prezesa UOKiK postępowanie będzie miało na celu zarówno wykazanie, że doszło do naruszenia, jak i wykazanie okoliczności świadczących o wywieraniu decydującego wpływu. Podmiot wskazany w art. 6b i </w:t>
      </w:r>
      <w:r w:rsidR="00BC0E7C">
        <w:rPr>
          <w:rFonts w:ascii="Times New Roman" w:hAnsi="Times New Roman" w:cs="Times New Roman"/>
          <w:color w:val="000000" w:themeColor="text1"/>
          <w:sz w:val="24"/>
          <w:szCs w:val="24"/>
        </w:rPr>
        <w:t>art. </w:t>
      </w:r>
      <w:r w:rsidRPr="00D84154">
        <w:rPr>
          <w:rFonts w:ascii="Times New Roman" w:hAnsi="Times New Roman" w:cs="Times New Roman"/>
          <w:color w:val="000000" w:themeColor="text1"/>
          <w:sz w:val="24"/>
          <w:szCs w:val="24"/>
        </w:rPr>
        <w:t>9</w:t>
      </w:r>
      <w:r w:rsidR="00CF4EB1" w:rsidRPr="00D84154">
        <w:rPr>
          <w:rFonts w:ascii="Times New Roman" w:hAnsi="Times New Roman" w:cs="Times New Roman"/>
          <w:color w:val="000000" w:themeColor="text1"/>
          <w:sz w:val="24"/>
          <w:szCs w:val="24"/>
        </w:rPr>
        <w:t>a</w:t>
      </w:r>
      <w:r w:rsidRPr="00D84154">
        <w:rPr>
          <w:rFonts w:ascii="Times New Roman" w:hAnsi="Times New Roman" w:cs="Times New Roman"/>
          <w:color w:val="000000" w:themeColor="text1"/>
          <w:sz w:val="24"/>
          <w:szCs w:val="24"/>
        </w:rPr>
        <w:t>, zgodnie z art. 88 ust. 3a, będzie stroną postępowania i będą mu przysługiwały wszelkie wynikające z tego uprawnienia, także w odniesieniu do postępowania dowodowego.</w:t>
      </w:r>
    </w:p>
    <w:p w14:paraId="12EA78ED" w14:textId="1D231996" w:rsidR="001F54AF" w:rsidRPr="00D84154" w:rsidRDefault="00E837DF"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 przypadku stwierdzenia naruszenia przez przedsiębiorcę wywierającego decydujący wpływ Prezes UOKiK będzie mógł nałożyć łączną karę</w:t>
      </w:r>
      <w:r w:rsidR="00D2786F" w:rsidRPr="00D84154">
        <w:rPr>
          <w:rFonts w:ascii="Times New Roman" w:hAnsi="Times New Roman" w:cs="Times New Roman"/>
          <w:color w:val="000000" w:themeColor="text1"/>
          <w:sz w:val="24"/>
          <w:szCs w:val="24"/>
        </w:rPr>
        <w:t xml:space="preserve"> pieniężną</w:t>
      </w:r>
      <w:r w:rsidRPr="00D84154">
        <w:rPr>
          <w:rFonts w:ascii="Times New Roman" w:hAnsi="Times New Roman" w:cs="Times New Roman"/>
          <w:color w:val="000000" w:themeColor="text1"/>
          <w:sz w:val="24"/>
          <w:szCs w:val="24"/>
        </w:rPr>
        <w:t xml:space="preserve"> na tego przedsiębiorcę oraz na przedsiębiorcę</w:t>
      </w:r>
      <w:r w:rsidR="00466368">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na którego ten wpływ jest wywierany (art. 106</w:t>
      </w:r>
      <w:r w:rsidR="00E2404D" w:rsidRPr="00D84154">
        <w:rPr>
          <w:rFonts w:ascii="Times New Roman" w:hAnsi="Times New Roman" w:cs="Times New Roman"/>
          <w:color w:val="000000" w:themeColor="text1"/>
          <w:sz w:val="24"/>
          <w:szCs w:val="24"/>
        </w:rPr>
        <w:t>c</w:t>
      </w:r>
      <w:r w:rsidRPr="00D84154">
        <w:rPr>
          <w:rFonts w:ascii="Times New Roman" w:hAnsi="Times New Roman" w:cs="Times New Roman"/>
          <w:color w:val="000000" w:themeColor="text1"/>
          <w:sz w:val="24"/>
          <w:szCs w:val="24"/>
        </w:rPr>
        <w:t xml:space="preserve"> ust. 1). Odpowiedzialność za łączną</w:t>
      </w:r>
      <w:r w:rsidR="00D2786F" w:rsidRPr="00D84154">
        <w:rPr>
          <w:rFonts w:ascii="Times New Roman" w:hAnsi="Times New Roman" w:cs="Times New Roman"/>
          <w:color w:val="000000" w:themeColor="text1"/>
          <w:sz w:val="24"/>
          <w:szCs w:val="24"/>
        </w:rPr>
        <w:t xml:space="preserve"> karę pieniężną</w:t>
      </w:r>
      <w:r w:rsidRPr="00D84154">
        <w:rPr>
          <w:rFonts w:ascii="Times New Roman" w:hAnsi="Times New Roman" w:cs="Times New Roman"/>
          <w:color w:val="000000" w:themeColor="text1"/>
          <w:sz w:val="24"/>
          <w:szCs w:val="24"/>
        </w:rPr>
        <w:t xml:space="preserve"> nałożoną na tych przedsiębiorców będzie solidarna i znajdą do niej zastosowanie przepisy </w:t>
      </w:r>
      <w:r w:rsidR="00E2404D" w:rsidRPr="00D84154">
        <w:rPr>
          <w:rFonts w:ascii="Times New Roman" w:hAnsi="Times New Roman" w:cs="Times New Roman"/>
          <w:color w:val="000000" w:themeColor="text1"/>
          <w:sz w:val="24"/>
          <w:szCs w:val="24"/>
        </w:rPr>
        <w:t xml:space="preserve">ustawy z dnia 23 kwietnia 1964 r. </w:t>
      </w:r>
      <w:r w:rsidR="00466368">
        <w:rPr>
          <w:rFonts w:ascii="Times New Roman" w:hAnsi="Times New Roman" w:cs="Times New Roman"/>
          <w:color w:val="000000" w:themeColor="text1"/>
          <w:sz w:val="24"/>
          <w:szCs w:val="24"/>
        </w:rPr>
        <w:t>–</w:t>
      </w:r>
      <w:r w:rsidR="00E2404D" w:rsidRPr="00D84154">
        <w:rPr>
          <w:rFonts w:ascii="Times New Roman" w:hAnsi="Times New Roman" w:cs="Times New Roman"/>
          <w:color w:val="000000" w:themeColor="text1"/>
          <w:sz w:val="24"/>
          <w:szCs w:val="24"/>
        </w:rPr>
        <w:t xml:space="preserve"> K</w:t>
      </w:r>
      <w:r w:rsidRPr="00D84154">
        <w:rPr>
          <w:rFonts w:ascii="Times New Roman" w:hAnsi="Times New Roman" w:cs="Times New Roman"/>
          <w:color w:val="000000" w:themeColor="text1"/>
          <w:sz w:val="24"/>
          <w:szCs w:val="24"/>
        </w:rPr>
        <w:t xml:space="preserve">odeks </w:t>
      </w:r>
      <w:r w:rsidR="00245365" w:rsidRPr="00D84154">
        <w:rPr>
          <w:rFonts w:ascii="Times New Roman" w:hAnsi="Times New Roman" w:cs="Times New Roman"/>
          <w:color w:val="000000" w:themeColor="text1"/>
          <w:sz w:val="24"/>
          <w:szCs w:val="24"/>
        </w:rPr>
        <w:t>cywiln</w:t>
      </w:r>
      <w:r w:rsidR="00857C3D" w:rsidRPr="00D84154">
        <w:rPr>
          <w:rFonts w:ascii="Times New Roman" w:hAnsi="Times New Roman" w:cs="Times New Roman"/>
          <w:color w:val="000000" w:themeColor="text1"/>
          <w:sz w:val="24"/>
          <w:szCs w:val="24"/>
        </w:rPr>
        <w:t>y</w:t>
      </w:r>
      <w:r w:rsidR="00245365" w:rsidRPr="00D84154">
        <w:rPr>
          <w:rFonts w:ascii="Times New Roman" w:hAnsi="Times New Roman" w:cs="Times New Roman"/>
          <w:color w:val="000000" w:themeColor="text1"/>
          <w:sz w:val="24"/>
          <w:szCs w:val="24"/>
        </w:rPr>
        <w:t xml:space="preserve"> (Dz. U. z </w:t>
      </w:r>
      <w:r w:rsidR="00BC0E7C">
        <w:rPr>
          <w:rFonts w:ascii="Times New Roman" w:hAnsi="Times New Roman" w:cs="Times New Roman"/>
          <w:color w:val="000000" w:themeColor="text1"/>
          <w:sz w:val="24"/>
          <w:szCs w:val="24"/>
        </w:rPr>
        <w:t>2022 </w:t>
      </w:r>
      <w:r w:rsidR="00857C3D" w:rsidRPr="00D84154">
        <w:rPr>
          <w:rFonts w:ascii="Times New Roman" w:hAnsi="Times New Roman" w:cs="Times New Roman"/>
          <w:color w:val="000000" w:themeColor="text1"/>
          <w:sz w:val="24"/>
          <w:szCs w:val="24"/>
        </w:rPr>
        <w:t>r. poz. 1360</w:t>
      </w:r>
      <w:r w:rsidR="00245365" w:rsidRPr="00D84154">
        <w:rPr>
          <w:rFonts w:ascii="Times New Roman" w:hAnsi="Times New Roman" w:cs="Times New Roman"/>
          <w:color w:val="000000" w:themeColor="text1"/>
          <w:sz w:val="24"/>
          <w:szCs w:val="24"/>
        </w:rPr>
        <w:t>, z późn. zm.)</w:t>
      </w:r>
      <w:r w:rsidRPr="00D84154">
        <w:rPr>
          <w:rFonts w:ascii="Times New Roman" w:hAnsi="Times New Roman" w:cs="Times New Roman"/>
          <w:color w:val="000000" w:themeColor="text1"/>
          <w:sz w:val="24"/>
          <w:szCs w:val="24"/>
        </w:rPr>
        <w:t xml:space="preserve"> dotyczące zobowiązań solidarnych (art. 106</w:t>
      </w:r>
      <w:r w:rsidR="00E2404D" w:rsidRPr="00D84154">
        <w:rPr>
          <w:rFonts w:ascii="Times New Roman" w:hAnsi="Times New Roman" w:cs="Times New Roman"/>
          <w:color w:val="000000" w:themeColor="text1"/>
          <w:sz w:val="24"/>
          <w:szCs w:val="24"/>
        </w:rPr>
        <w:t>c</w:t>
      </w:r>
      <w:r w:rsidRPr="00D84154">
        <w:rPr>
          <w:rFonts w:ascii="Times New Roman" w:hAnsi="Times New Roman" w:cs="Times New Roman"/>
          <w:color w:val="000000" w:themeColor="text1"/>
          <w:sz w:val="24"/>
          <w:szCs w:val="24"/>
        </w:rPr>
        <w:t xml:space="preserve"> ust. 2 i 3). Ponadto, na potrzeby obliczania łącznej</w:t>
      </w:r>
      <w:r w:rsidR="00D2786F" w:rsidRPr="00D84154">
        <w:rPr>
          <w:rFonts w:ascii="Times New Roman" w:hAnsi="Times New Roman" w:cs="Times New Roman"/>
          <w:color w:val="000000" w:themeColor="text1"/>
          <w:sz w:val="24"/>
          <w:szCs w:val="24"/>
        </w:rPr>
        <w:t xml:space="preserve"> kary pieniężnej</w:t>
      </w:r>
      <w:r w:rsidRPr="00D84154">
        <w:rPr>
          <w:rFonts w:ascii="Times New Roman" w:hAnsi="Times New Roman" w:cs="Times New Roman"/>
          <w:color w:val="000000" w:themeColor="text1"/>
          <w:sz w:val="24"/>
          <w:szCs w:val="24"/>
        </w:rPr>
        <w:t>, będą przewidziane szczególne zasady obliczania obrotu. Zgodnie z art. 106</w:t>
      </w:r>
      <w:r w:rsidR="00E2404D" w:rsidRPr="00D84154">
        <w:rPr>
          <w:rFonts w:ascii="Times New Roman" w:hAnsi="Times New Roman" w:cs="Times New Roman"/>
          <w:color w:val="000000" w:themeColor="text1"/>
          <w:sz w:val="24"/>
          <w:szCs w:val="24"/>
        </w:rPr>
        <w:t>c</w:t>
      </w:r>
      <w:r w:rsidRPr="00D84154">
        <w:rPr>
          <w:rFonts w:ascii="Times New Roman" w:hAnsi="Times New Roman" w:cs="Times New Roman"/>
          <w:color w:val="000000" w:themeColor="text1"/>
          <w:sz w:val="24"/>
          <w:szCs w:val="24"/>
        </w:rPr>
        <w:t xml:space="preserve">, obliczając wysokość obrotu uwzględnia się </w:t>
      </w:r>
      <w:r w:rsidR="00B51384" w:rsidRPr="00D84154">
        <w:rPr>
          <w:rFonts w:ascii="Times New Roman" w:hAnsi="Times New Roman" w:cs="Times New Roman"/>
          <w:color w:val="000000" w:themeColor="text1"/>
          <w:sz w:val="24"/>
          <w:szCs w:val="24"/>
        </w:rPr>
        <w:t xml:space="preserve">zarówno </w:t>
      </w:r>
      <w:r w:rsidRPr="00D84154">
        <w:rPr>
          <w:rFonts w:ascii="Times New Roman" w:hAnsi="Times New Roman" w:cs="Times New Roman"/>
          <w:color w:val="000000" w:themeColor="text1"/>
          <w:sz w:val="24"/>
          <w:szCs w:val="24"/>
        </w:rPr>
        <w:t>obrót osiągnięty przez przedsiębiorcę lub przedsiębiorców wywierających decydujący wpływ oraz przedsiębiorców, na który ten decydujący wpływ jest wywierany. Taki przepis pozwoli na uwzględnienie nie tylko obrotu przedsiębiorcy wywierającego decydujący wpływ</w:t>
      </w:r>
      <w:r w:rsidR="00466368">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lecz również </w:t>
      </w:r>
      <w:r w:rsidR="00B51384" w:rsidRPr="00D84154">
        <w:rPr>
          <w:rFonts w:ascii="Times New Roman" w:hAnsi="Times New Roman" w:cs="Times New Roman"/>
          <w:color w:val="000000" w:themeColor="text1"/>
          <w:sz w:val="24"/>
          <w:szCs w:val="24"/>
        </w:rPr>
        <w:t xml:space="preserve">wszystkich </w:t>
      </w:r>
      <w:r w:rsidRPr="00D84154">
        <w:rPr>
          <w:rFonts w:ascii="Times New Roman" w:hAnsi="Times New Roman" w:cs="Times New Roman"/>
          <w:color w:val="000000" w:themeColor="text1"/>
          <w:sz w:val="24"/>
          <w:szCs w:val="24"/>
        </w:rPr>
        <w:t>przedsiębiorców, na których decydujący wpływ jest wywierany.</w:t>
      </w:r>
    </w:p>
    <w:p w14:paraId="1F456E3F" w14:textId="6BE87020" w:rsidR="004C7467" w:rsidRPr="00D84154" w:rsidRDefault="004C7467"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Osoby zarządzające przedsiębiorcy wywierającego decydujący wpływ na przedsiębiorcę dokonującego naruszenia zakazów określonych w art. 6 ust. 1 pkt 1</w:t>
      </w:r>
      <w:r w:rsidR="00466368">
        <w:rPr>
          <w:rFonts w:ascii="Times New Roman" w:hAnsi="Times New Roman" w:cs="Times New Roman"/>
          <w:color w:val="000000" w:themeColor="text1"/>
          <w:sz w:val="24"/>
          <w:szCs w:val="24"/>
        </w:rPr>
        <w:t>–</w:t>
      </w:r>
      <w:r w:rsidR="00BC0E7C">
        <w:rPr>
          <w:rFonts w:ascii="Times New Roman" w:hAnsi="Times New Roman" w:cs="Times New Roman"/>
          <w:color w:val="000000" w:themeColor="text1"/>
          <w:sz w:val="24"/>
          <w:szCs w:val="24"/>
        </w:rPr>
        <w:t>6 ustawy lub w art. </w:t>
      </w:r>
      <w:r w:rsidRPr="00D84154">
        <w:rPr>
          <w:rFonts w:ascii="Times New Roman" w:hAnsi="Times New Roman" w:cs="Times New Roman"/>
          <w:color w:val="000000" w:themeColor="text1"/>
          <w:sz w:val="24"/>
          <w:szCs w:val="24"/>
        </w:rPr>
        <w:t>101 ust. 1 lit. a</w:t>
      </w:r>
      <w:r w:rsidR="00466368">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e TFUE mogą podlegać odpowiedzialności na podstawie art. 6a u</w:t>
      </w:r>
      <w:r w:rsidR="00F2385D" w:rsidRPr="00D84154">
        <w:rPr>
          <w:rFonts w:ascii="Times New Roman" w:hAnsi="Times New Roman" w:cs="Times New Roman"/>
          <w:color w:val="000000" w:themeColor="text1"/>
          <w:sz w:val="24"/>
          <w:szCs w:val="24"/>
        </w:rPr>
        <w:t>stawy.</w:t>
      </w:r>
      <w:r w:rsidRPr="00D84154">
        <w:rPr>
          <w:rFonts w:ascii="Times New Roman" w:hAnsi="Times New Roman" w:cs="Times New Roman"/>
          <w:color w:val="000000" w:themeColor="text1"/>
          <w:sz w:val="24"/>
          <w:szCs w:val="24"/>
        </w:rPr>
        <w:t xml:space="preserve"> Pociągnięcie osoby zarządzającej do odpowiedzialności za naruszenie przepisów prawa konkurencji </w:t>
      </w:r>
      <w:r w:rsidR="00466368" w:rsidRPr="00D84154">
        <w:rPr>
          <w:rFonts w:ascii="Times New Roman" w:hAnsi="Times New Roman" w:cs="Times New Roman"/>
          <w:color w:val="000000" w:themeColor="text1"/>
          <w:sz w:val="24"/>
          <w:szCs w:val="24"/>
        </w:rPr>
        <w:t xml:space="preserve">jest </w:t>
      </w:r>
      <w:r w:rsidRPr="00D84154">
        <w:rPr>
          <w:rFonts w:ascii="Times New Roman" w:hAnsi="Times New Roman" w:cs="Times New Roman"/>
          <w:color w:val="000000" w:themeColor="text1"/>
          <w:sz w:val="24"/>
          <w:szCs w:val="24"/>
        </w:rPr>
        <w:t>możliwe po spełnieniu trzech przesłanek:</w:t>
      </w:r>
      <w:r w:rsidR="00F65A77">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 xml:space="preserve">posiadania przymiotu osoby zarządzającej, stwierdzeniu naruszenia po stronie przedsiębiorcy oraz umyślności. Na mocy projektowanego art. </w:t>
      </w:r>
      <w:r w:rsidR="008F398C" w:rsidRPr="00D84154">
        <w:rPr>
          <w:rFonts w:ascii="Times New Roman" w:hAnsi="Times New Roman" w:cs="Times New Roman"/>
          <w:color w:val="000000" w:themeColor="text1"/>
          <w:sz w:val="24"/>
          <w:szCs w:val="24"/>
        </w:rPr>
        <w:t xml:space="preserve">6b </w:t>
      </w:r>
      <w:r w:rsidRPr="00D84154">
        <w:rPr>
          <w:rFonts w:ascii="Times New Roman" w:hAnsi="Times New Roman" w:cs="Times New Roman"/>
          <w:color w:val="000000" w:themeColor="text1"/>
          <w:sz w:val="24"/>
          <w:szCs w:val="24"/>
        </w:rPr>
        <w:t>u</w:t>
      </w:r>
      <w:r w:rsidR="00F2385D" w:rsidRPr="00D84154">
        <w:rPr>
          <w:rFonts w:ascii="Times New Roman" w:hAnsi="Times New Roman" w:cs="Times New Roman"/>
          <w:color w:val="000000" w:themeColor="text1"/>
          <w:sz w:val="24"/>
          <w:szCs w:val="24"/>
        </w:rPr>
        <w:t>stawy</w:t>
      </w:r>
      <w:r w:rsidR="001A502D" w:rsidRPr="00D84154">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przedsiębiorca wywierający decydujący wpływ na przedsiębiorcę naruszającego</w:t>
      </w:r>
      <w:r w:rsidR="0077337F" w:rsidRPr="00D84154">
        <w:rPr>
          <w:rFonts w:ascii="Times New Roman" w:hAnsi="Times New Roman" w:cs="Times New Roman"/>
          <w:color w:val="000000" w:themeColor="text1"/>
          <w:sz w:val="24"/>
          <w:szCs w:val="24"/>
        </w:rPr>
        <w:t xml:space="preserve"> zakazy, o których mowa w art. 6 ust. 1 ustawy lub art. 101 TFUE, będzie również podmiotem dopuszczającym się </w:t>
      </w:r>
      <w:r w:rsidR="00433410" w:rsidRPr="00D84154">
        <w:rPr>
          <w:rFonts w:ascii="Times New Roman" w:hAnsi="Times New Roman" w:cs="Times New Roman"/>
          <w:color w:val="000000" w:themeColor="text1"/>
          <w:sz w:val="24"/>
          <w:szCs w:val="24"/>
        </w:rPr>
        <w:t>naruszenia tych zakazów.</w:t>
      </w:r>
      <w:r w:rsidR="001A502D" w:rsidRPr="00D84154">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Jednak</w:t>
      </w:r>
      <w:r w:rsidR="00466368">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mimo że warunkiem odpowiedzialności osoby zarządzającej jest uprzednie stwierdzenie, że naruszenia </w:t>
      </w:r>
      <w:r w:rsidRPr="00D84154">
        <w:rPr>
          <w:rFonts w:ascii="Times New Roman" w:hAnsi="Times New Roman" w:cs="Times New Roman"/>
          <w:color w:val="000000" w:themeColor="text1"/>
          <w:sz w:val="24"/>
          <w:szCs w:val="24"/>
        </w:rPr>
        <w:lastRenderedPageBreak/>
        <w:t>przepisów</w:t>
      </w:r>
      <w:r w:rsidR="001A502D" w:rsidRPr="00D84154">
        <w:rPr>
          <w:rFonts w:ascii="Times New Roman" w:hAnsi="Times New Roman" w:cs="Times New Roman"/>
          <w:color w:val="000000" w:themeColor="text1"/>
          <w:sz w:val="24"/>
          <w:szCs w:val="24"/>
        </w:rPr>
        <w:t xml:space="preserve"> </w:t>
      </w:r>
      <w:r w:rsidR="00F2385D" w:rsidRPr="00D84154">
        <w:rPr>
          <w:rFonts w:ascii="Times New Roman" w:hAnsi="Times New Roman" w:cs="Times New Roman"/>
          <w:color w:val="000000" w:themeColor="text1"/>
          <w:sz w:val="24"/>
          <w:szCs w:val="24"/>
        </w:rPr>
        <w:t>ustawy</w:t>
      </w:r>
      <w:r w:rsidRPr="00D84154">
        <w:rPr>
          <w:rFonts w:ascii="Times New Roman" w:hAnsi="Times New Roman" w:cs="Times New Roman"/>
          <w:color w:val="000000" w:themeColor="text1"/>
          <w:sz w:val="24"/>
          <w:szCs w:val="24"/>
        </w:rPr>
        <w:t xml:space="preserve"> dopuścił się przedsiębiorca, to odpowiedzialność ta ma charakter samoistny, tj. osoba fizyczna odpowiada za własne zachowanie, a nie za zachowanie cudze (tj. zachowanie przedsiębiorcy)</w:t>
      </w:r>
      <w:r w:rsidRPr="00D84154">
        <w:rPr>
          <w:rStyle w:val="Odwoanieprzypisudolnego"/>
          <w:rFonts w:ascii="Times New Roman" w:hAnsi="Times New Roman" w:cs="Times New Roman"/>
          <w:color w:val="000000" w:themeColor="text1"/>
          <w:sz w:val="24"/>
          <w:szCs w:val="24"/>
        </w:rPr>
        <w:footnoteReference w:id="12"/>
      </w:r>
      <w:r w:rsidR="00F2385D" w:rsidRPr="00D84154">
        <w:rPr>
          <w:rFonts w:ascii="Times New Roman" w:hAnsi="Times New Roman" w:cs="Times New Roman"/>
          <w:color w:val="000000" w:themeColor="text1"/>
          <w:sz w:val="24"/>
          <w:szCs w:val="24"/>
          <w:vertAlign w:val="superscript"/>
        </w:rPr>
        <w:t>)</w:t>
      </w:r>
      <w:r w:rsidRPr="00D84154">
        <w:rPr>
          <w:rFonts w:ascii="Times New Roman" w:hAnsi="Times New Roman" w:cs="Times New Roman"/>
          <w:color w:val="000000" w:themeColor="text1"/>
          <w:sz w:val="24"/>
          <w:szCs w:val="24"/>
        </w:rPr>
        <w:t>. Należy zatem podkreślić, że odpowiedzialność osoby zarządzającej</w:t>
      </w:r>
      <w:r w:rsidR="00466368">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także w wypadku przedsiębiorcy wywierającego decydujący wpływ na naruszyciela</w:t>
      </w:r>
      <w:r w:rsidR="00466368">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jest uzależniona od zrealizowania się przesłanki umyślności po stronie osoby fizycznej.</w:t>
      </w:r>
    </w:p>
    <w:p w14:paraId="0A749EFE" w14:textId="1AF5128E" w:rsidR="001875C5" w:rsidRPr="00D84154" w:rsidRDefault="00E837DF" w:rsidP="00D84154">
      <w:pPr>
        <w:spacing w:before="120" w:after="0" w:line="360" w:lineRule="auto"/>
        <w:jc w:val="both"/>
        <w:rPr>
          <w:rFonts w:ascii="Times New Roman" w:hAnsi="Times New Roman" w:cs="Times New Roman"/>
          <w:sz w:val="24"/>
          <w:szCs w:val="24"/>
        </w:rPr>
      </w:pPr>
      <w:r w:rsidRPr="00D84154">
        <w:rPr>
          <w:rFonts w:ascii="Times New Roman" w:hAnsi="Times New Roman" w:cs="Times New Roman"/>
          <w:color w:val="000000" w:themeColor="text1"/>
          <w:sz w:val="24"/>
          <w:szCs w:val="24"/>
        </w:rPr>
        <w:t xml:space="preserve">Ponadto projekt przewiduje w nowym art. </w:t>
      </w:r>
      <w:r w:rsidR="007D6414" w:rsidRPr="00D84154">
        <w:rPr>
          <w:rFonts w:ascii="Times New Roman" w:hAnsi="Times New Roman" w:cs="Times New Roman"/>
          <w:color w:val="000000" w:themeColor="text1"/>
          <w:sz w:val="24"/>
          <w:szCs w:val="24"/>
        </w:rPr>
        <w:t>4a</w:t>
      </w:r>
      <w:r w:rsidR="007407BB" w:rsidRPr="00D84154">
        <w:rPr>
          <w:rFonts w:ascii="Times New Roman" w:hAnsi="Times New Roman" w:cs="Times New Roman"/>
          <w:color w:val="000000" w:themeColor="text1"/>
          <w:sz w:val="24"/>
          <w:szCs w:val="24"/>
        </w:rPr>
        <w:t xml:space="preserve"> ustawy</w:t>
      </w:r>
      <w:r w:rsidRPr="00D84154">
        <w:rPr>
          <w:rFonts w:ascii="Times New Roman" w:hAnsi="Times New Roman" w:cs="Times New Roman"/>
          <w:color w:val="000000" w:themeColor="text1"/>
          <w:sz w:val="24"/>
          <w:szCs w:val="24"/>
        </w:rPr>
        <w:t xml:space="preserve">, że </w:t>
      </w:r>
      <w:r w:rsidR="001F54AF" w:rsidRPr="00D84154">
        <w:rPr>
          <w:rFonts w:ascii="Times New Roman" w:hAnsi="Times New Roman" w:cs="Times New Roman"/>
          <w:color w:val="000000" w:themeColor="text1"/>
          <w:sz w:val="24"/>
          <w:szCs w:val="24"/>
        </w:rPr>
        <w:t xml:space="preserve">odpowiedzialności za naruszenie przepisów ustawy </w:t>
      </w:r>
      <w:r w:rsidR="007407BB" w:rsidRPr="00D84154">
        <w:rPr>
          <w:rFonts w:ascii="Times New Roman" w:hAnsi="Times New Roman" w:cs="Times New Roman"/>
          <w:color w:val="000000" w:themeColor="text1"/>
          <w:sz w:val="24"/>
          <w:szCs w:val="24"/>
        </w:rPr>
        <w:t xml:space="preserve">lub przepisów TFUE </w:t>
      </w:r>
      <w:r w:rsidR="001F54AF" w:rsidRPr="00D84154">
        <w:rPr>
          <w:rFonts w:ascii="Times New Roman" w:hAnsi="Times New Roman" w:cs="Times New Roman"/>
          <w:color w:val="000000" w:themeColor="text1"/>
          <w:sz w:val="24"/>
          <w:szCs w:val="24"/>
        </w:rPr>
        <w:t>podlega również</w:t>
      </w:r>
      <w:r w:rsidRPr="00D84154">
        <w:rPr>
          <w:rFonts w:ascii="Times New Roman" w:hAnsi="Times New Roman" w:cs="Times New Roman"/>
          <w:color w:val="000000" w:themeColor="text1"/>
          <w:sz w:val="24"/>
          <w:szCs w:val="24"/>
        </w:rPr>
        <w:t xml:space="preserve"> osoba fizyczna, </w:t>
      </w:r>
      <w:r w:rsidR="002F4035" w:rsidRPr="00D84154">
        <w:rPr>
          <w:rFonts w:ascii="Times New Roman" w:hAnsi="Times New Roman" w:cs="Times New Roman"/>
          <w:color w:val="000000" w:themeColor="text1"/>
          <w:sz w:val="24"/>
          <w:szCs w:val="24"/>
        </w:rPr>
        <w:t xml:space="preserve">która </w:t>
      </w:r>
      <w:r w:rsidR="00F008DF" w:rsidRPr="00D84154">
        <w:rPr>
          <w:rFonts w:ascii="Times New Roman" w:hAnsi="Times New Roman" w:cs="Times New Roman"/>
          <w:color w:val="000000" w:themeColor="text1"/>
          <w:sz w:val="24"/>
          <w:szCs w:val="24"/>
        </w:rPr>
        <w:t xml:space="preserve">będąc przedsiębiorcą dopuściła się tego naruszenia (tj. </w:t>
      </w:r>
      <w:r w:rsidR="002F4035" w:rsidRPr="00D84154">
        <w:rPr>
          <w:rFonts w:ascii="Times New Roman" w:hAnsi="Times New Roman" w:cs="Times New Roman"/>
          <w:color w:val="000000" w:themeColor="text1"/>
          <w:sz w:val="24"/>
          <w:szCs w:val="24"/>
        </w:rPr>
        <w:t xml:space="preserve">po dokonaniu naruszenia </w:t>
      </w:r>
      <w:r w:rsidRPr="00D84154">
        <w:rPr>
          <w:rFonts w:ascii="Times New Roman" w:hAnsi="Times New Roman" w:cs="Times New Roman"/>
          <w:color w:val="000000" w:themeColor="text1"/>
          <w:sz w:val="24"/>
          <w:szCs w:val="24"/>
        </w:rPr>
        <w:t>zaprzestała prowadzenia działalności gospodarczej</w:t>
      </w:r>
      <w:r w:rsidR="00F008DF" w:rsidRPr="00D84154">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Takie rozwiązanie pozwoli uniknąć częstych sytuacji, w których osoba fizyczna prowadząca działalność gospodarczą, chcąc uniknąć odpowiedzialności przed Prezesem UOKiK, decydowała się na</w:t>
      </w:r>
      <w:r w:rsidR="00685DA3" w:rsidRPr="00D84154">
        <w:rPr>
          <w:rFonts w:ascii="Times New Roman" w:hAnsi="Times New Roman" w:cs="Times New Roman"/>
          <w:color w:val="000000" w:themeColor="text1"/>
          <w:sz w:val="24"/>
          <w:szCs w:val="24"/>
        </w:rPr>
        <w:t xml:space="preserve"> (chwilowe)</w:t>
      </w:r>
      <w:r w:rsidRPr="00D84154">
        <w:rPr>
          <w:rFonts w:ascii="Times New Roman" w:hAnsi="Times New Roman" w:cs="Times New Roman"/>
          <w:color w:val="000000" w:themeColor="text1"/>
          <w:sz w:val="24"/>
          <w:szCs w:val="24"/>
        </w:rPr>
        <w:t xml:space="preserve"> zaprzestanie działalności gospodarczej.</w:t>
      </w:r>
      <w:r w:rsidR="001F54AF" w:rsidRPr="00D84154">
        <w:rPr>
          <w:rFonts w:ascii="Times New Roman" w:hAnsi="Times New Roman" w:cs="Times New Roman"/>
          <w:color w:val="000000" w:themeColor="text1"/>
          <w:sz w:val="24"/>
          <w:szCs w:val="24"/>
        </w:rPr>
        <w:t xml:space="preserve"> </w:t>
      </w:r>
      <w:r w:rsidR="000346BF" w:rsidRPr="00D84154">
        <w:rPr>
          <w:rFonts w:ascii="Times New Roman" w:hAnsi="Times New Roman" w:cs="Times New Roman"/>
          <w:sz w:val="24"/>
          <w:szCs w:val="24"/>
        </w:rPr>
        <w:t xml:space="preserve">Dodatkowo projekt precyzyjnie wskazuje, które przepisy ustawy nie będą miały zastosowania do </w:t>
      </w:r>
      <w:r w:rsidR="001A170E" w:rsidRPr="00D84154">
        <w:rPr>
          <w:rFonts w:ascii="Times New Roman" w:hAnsi="Times New Roman" w:cs="Times New Roman"/>
          <w:color w:val="000000" w:themeColor="text1"/>
          <w:sz w:val="24"/>
          <w:szCs w:val="24"/>
        </w:rPr>
        <w:t>takich osób</w:t>
      </w:r>
      <w:r w:rsidR="001F54AF" w:rsidRPr="00D84154">
        <w:rPr>
          <w:rFonts w:ascii="Times New Roman" w:hAnsi="Times New Roman" w:cs="Times New Roman"/>
          <w:sz w:val="24"/>
          <w:szCs w:val="24"/>
        </w:rPr>
        <w:t xml:space="preserve">. Należy jednak podkreślić, że nie oznacza to wyłączenia możliwości podejmowania przez Prezesa UOKiK działań zmierzających do usunięcia naruszenia lub pociągnięcia do odpowiedzialności osób, które prowadziły działalność gospodarczą bez dokonania jej rejestracji. Dla wskazania kogo obejmuje zakres definicji przedsiębiorcy </w:t>
      </w:r>
      <w:r w:rsidR="002A4AB5" w:rsidRPr="00D84154">
        <w:rPr>
          <w:rFonts w:ascii="Times New Roman" w:hAnsi="Times New Roman" w:cs="Times New Roman"/>
          <w:sz w:val="24"/>
          <w:szCs w:val="24"/>
        </w:rPr>
        <w:t xml:space="preserve">jest </w:t>
      </w:r>
      <w:r w:rsidR="001F54AF" w:rsidRPr="00D84154">
        <w:rPr>
          <w:rFonts w:ascii="Times New Roman" w:hAnsi="Times New Roman" w:cs="Times New Roman"/>
          <w:sz w:val="24"/>
          <w:szCs w:val="24"/>
        </w:rPr>
        <w:t>kluczowe bowiem określenie</w:t>
      </w:r>
      <w:r w:rsidR="008825E4">
        <w:rPr>
          <w:rFonts w:ascii="Times New Roman" w:hAnsi="Times New Roman" w:cs="Times New Roman"/>
          <w:sz w:val="24"/>
          <w:szCs w:val="24"/>
        </w:rPr>
        <w:t>,</w:t>
      </w:r>
      <w:r w:rsidR="001F54AF" w:rsidRPr="00D84154">
        <w:rPr>
          <w:rFonts w:ascii="Times New Roman" w:hAnsi="Times New Roman" w:cs="Times New Roman"/>
          <w:sz w:val="24"/>
          <w:szCs w:val="24"/>
        </w:rPr>
        <w:t xml:space="preserve"> czy faktycznie prowadzona była działalność gospodarcza w rozumieniu art. 3 ustawy z dnia 6 marca 2018 r. </w:t>
      </w:r>
      <w:r w:rsidR="008825E4">
        <w:rPr>
          <w:rFonts w:ascii="Times New Roman" w:hAnsi="Times New Roman" w:cs="Times New Roman"/>
          <w:sz w:val="24"/>
          <w:szCs w:val="24"/>
        </w:rPr>
        <w:t>–</w:t>
      </w:r>
      <w:r w:rsidR="007D5CB5" w:rsidRPr="00D84154">
        <w:rPr>
          <w:rFonts w:ascii="Times New Roman" w:hAnsi="Times New Roman" w:cs="Times New Roman"/>
          <w:sz w:val="24"/>
          <w:szCs w:val="24"/>
        </w:rPr>
        <w:t xml:space="preserve"> </w:t>
      </w:r>
      <w:r w:rsidR="001F54AF" w:rsidRPr="00D84154">
        <w:rPr>
          <w:rFonts w:ascii="Times New Roman" w:hAnsi="Times New Roman" w:cs="Times New Roman"/>
          <w:sz w:val="24"/>
          <w:szCs w:val="24"/>
        </w:rPr>
        <w:t>Prawo przedsiębiorców, a nie fakt rejestracji działalności gospodarczej.</w:t>
      </w:r>
    </w:p>
    <w:p w14:paraId="1BC848E2" w14:textId="30A853D1" w:rsidR="007979C9" w:rsidRPr="00D84154" w:rsidRDefault="007979C9"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Przepis ten najczęściej znajdzie zastosowanie w sprawach dot</w:t>
      </w:r>
      <w:r w:rsidR="00310D3C" w:rsidRPr="00D84154">
        <w:rPr>
          <w:rFonts w:ascii="Times New Roman" w:hAnsi="Times New Roman" w:cs="Times New Roman"/>
          <w:color w:val="000000" w:themeColor="text1"/>
          <w:sz w:val="24"/>
          <w:szCs w:val="24"/>
        </w:rPr>
        <w:t>yczących</w:t>
      </w:r>
      <w:r w:rsidRPr="00D84154">
        <w:rPr>
          <w:rFonts w:ascii="Times New Roman" w:hAnsi="Times New Roman" w:cs="Times New Roman"/>
          <w:color w:val="000000" w:themeColor="text1"/>
          <w:sz w:val="24"/>
          <w:szCs w:val="24"/>
        </w:rPr>
        <w:t xml:space="preserve"> praktyk naruszających zbiorowe interesy konsumentów oraz stosowania niedozwolonych postanowień wzorców umów wobec przedsiębiorców będących osobami fizycznymi, którzy dopuścili się takich praktyk w trakcie prowadzenia działalności gospodarczej</w:t>
      </w:r>
      <w:r w:rsidR="00F008DF" w:rsidRPr="00D84154">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a następnie zakończyli</w:t>
      </w:r>
      <w:r w:rsidR="00F65A77">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lub zaprzestali prowadzenia działalności gospodarczej</w:t>
      </w:r>
      <w:r w:rsidR="00C4151C">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unikając tym samym odpowiedzialności za stosowanie nieuczciwych praktyk. </w:t>
      </w:r>
      <w:r w:rsidR="000346BF" w:rsidRPr="00D84154">
        <w:rPr>
          <w:rFonts w:ascii="Times New Roman" w:hAnsi="Times New Roman" w:cs="Times New Roman"/>
          <w:color w:val="000000" w:themeColor="text1"/>
          <w:sz w:val="24"/>
          <w:szCs w:val="24"/>
        </w:rPr>
        <w:t>W dotychczasowych działaniach</w:t>
      </w:r>
      <w:r w:rsidRPr="00D84154">
        <w:rPr>
          <w:rFonts w:ascii="Times New Roman" w:hAnsi="Times New Roman" w:cs="Times New Roman"/>
          <w:color w:val="000000" w:themeColor="text1"/>
          <w:sz w:val="24"/>
          <w:szCs w:val="24"/>
        </w:rPr>
        <w:t xml:space="preserve"> Prezesa UOKiK </w:t>
      </w:r>
      <w:r w:rsidR="000346BF" w:rsidRPr="00D84154">
        <w:rPr>
          <w:rFonts w:ascii="Times New Roman" w:hAnsi="Times New Roman" w:cs="Times New Roman"/>
          <w:color w:val="000000" w:themeColor="text1"/>
          <w:sz w:val="24"/>
          <w:szCs w:val="24"/>
        </w:rPr>
        <w:t xml:space="preserve">dochodziło do </w:t>
      </w:r>
      <w:r w:rsidRPr="00D84154">
        <w:rPr>
          <w:rFonts w:ascii="Times New Roman" w:hAnsi="Times New Roman" w:cs="Times New Roman"/>
          <w:color w:val="000000" w:themeColor="text1"/>
          <w:sz w:val="24"/>
          <w:szCs w:val="24"/>
        </w:rPr>
        <w:t>sytuacj</w:t>
      </w:r>
      <w:r w:rsidR="000346BF" w:rsidRPr="00D84154">
        <w:rPr>
          <w:rFonts w:ascii="Times New Roman" w:hAnsi="Times New Roman" w:cs="Times New Roman"/>
          <w:color w:val="000000" w:themeColor="text1"/>
          <w:sz w:val="24"/>
          <w:szCs w:val="24"/>
        </w:rPr>
        <w:t>i</w:t>
      </w:r>
      <w:r w:rsidRPr="00D84154">
        <w:rPr>
          <w:rFonts w:ascii="Times New Roman" w:hAnsi="Times New Roman" w:cs="Times New Roman"/>
          <w:color w:val="000000" w:themeColor="text1"/>
          <w:sz w:val="24"/>
          <w:szCs w:val="24"/>
        </w:rPr>
        <w:t>, w których osoba fizyczna prowadząca działalność gospodarczą, chcąc uniknąć odpowiedzialności przed Prezesem UOKiK, decydowała się na zaprzestanie działalności gospodarczej. Ma to miejsce w szczególności przy sprzedaży poza lokalem przedsiębiorstwa (na tzw. pokazach), podczas których przedsiębiorca oferuje konsumentom (najczęściej osobom starszym) produkty nieadekwatne do ich potrzeb po cenach znacząco o</w:t>
      </w:r>
      <w:r w:rsidR="00C4151C">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biegających od cen rynkowych tego typu produktów (np. materac leczniczy za 4</w:t>
      </w:r>
      <w:r w:rsidR="006A1445" w:rsidRPr="00D84154">
        <w:rPr>
          <w:rFonts w:ascii="Times New Roman" w:hAnsi="Times New Roman" w:cs="Times New Roman"/>
          <w:color w:val="000000" w:themeColor="text1"/>
          <w:sz w:val="24"/>
          <w:szCs w:val="24"/>
        </w:rPr>
        <w:t xml:space="preserve"> </w:t>
      </w:r>
      <w:r w:rsidR="00BC0E7C">
        <w:rPr>
          <w:rFonts w:ascii="Times New Roman" w:hAnsi="Times New Roman" w:cs="Times New Roman"/>
          <w:color w:val="000000" w:themeColor="text1"/>
          <w:sz w:val="24"/>
          <w:szCs w:val="24"/>
        </w:rPr>
        <w:t>00000 </w:t>
      </w:r>
      <w:r w:rsidRPr="00D84154">
        <w:rPr>
          <w:rFonts w:ascii="Times New Roman" w:hAnsi="Times New Roman" w:cs="Times New Roman"/>
          <w:color w:val="000000" w:themeColor="text1"/>
          <w:sz w:val="24"/>
          <w:szCs w:val="24"/>
        </w:rPr>
        <w:t xml:space="preserve">zł, </w:t>
      </w:r>
      <w:r w:rsidRPr="00D84154">
        <w:rPr>
          <w:rFonts w:ascii="Times New Roman" w:hAnsi="Times New Roman" w:cs="Times New Roman"/>
          <w:color w:val="000000" w:themeColor="text1"/>
          <w:sz w:val="24"/>
          <w:szCs w:val="24"/>
        </w:rPr>
        <w:lastRenderedPageBreak/>
        <w:t>zestaw garnków i patelni za 7000 zł, filtry do wody za 3000 zł), często wprowadzając konsumentów w błąd co do właściwości oferowanych produktów, jak również co do przysługujących konsumentom praw (np. odmawia im prawa odstąpienia od umowy zawartej poza lokalem przedsiębiorstwa). Proponowany przepis ma na celu wyeliminowa</w:t>
      </w:r>
      <w:r w:rsidR="00BC0E7C">
        <w:rPr>
          <w:rFonts w:ascii="Times New Roman" w:hAnsi="Times New Roman" w:cs="Times New Roman"/>
          <w:color w:val="000000" w:themeColor="text1"/>
          <w:sz w:val="24"/>
          <w:szCs w:val="24"/>
        </w:rPr>
        <w:t>nie sytuacji, w </w:t>
      </w:r>
      <w:r w:rsidRPr="00D84154">
        <w:rPr>
          <w:rFonts w:ascii="Times New Roman" w:hAnsi="Times New Roman" w:cs="Times New Roman"/>
          <w:color w:val="000000" w:themeColor="text1"/>
          <w:sz w:val="24"/>
          <w:szCs w:val="24"/>
        </w:rPr>
        <w:t>której przedsiębiorca</w:t>
      </w:r>
      <w:r w:rsidR="00382C13" w:rsidRPr="00D84154">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działając nieuczciwie przez naruszenie zbiorowych interesów konsumentów lub stosowanie we wzorcach umów niedozwolonych postanowień umownych</w:t>
      </w:r>
      <w:r w:rsidR="00382C13" w:rsidRPr="00D84154">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może uniknąć odpowiedzialności przez zaprzestanie prowadzenia działalności gospodarczej. Podobnie w przypadku jednoosobowych podmiotów gospodarczych propagujących projekty promocyjne typu piramida. Projekty te są rażącym naruszeniem prawa i nieuczciwą praktyką rynkową, która bazuje przede wszystkim na zachęcaniu kolejnych konsumentów do uczestnictwa w projektach, których dochody powstają wyłącznie z wpłat nowych uczestników. Stąd tak szkodliwa jest działalność osób wykorzystujących serwisy społecznościowe, strony internetowe, w tym influencerów, blogerów, vlogerów, którzy promują projekty typu piramida, namawiając do uczestnictwa w projektach, które nie mają jakiejkolwiek szansy powodzenia poza uzyskaniem korzyści przez osoby znajdujące się na wyższych poziomach struktury.</w:t>
      </w:r>
    </w:p>
    <w:p w14:paraId="6DA0BE98" w14:textId="6A501894" w:rsidR="007979C9" w:rsidRPr="00D84154" w:rsidRDefault="007979C9"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Wskazać należy, że osoby fizyczne prowadzące działalność gospodarczą w momencie wszczęcia postępowania przez Prezesa UOKiK </w:t>
      </w:r>
      <w:r w:rsidR="00F008DF" w:rsidRPr="00D84154">
        <w:rPr>
          <w:rFonts w:ascii="Times New Roman" w:hAnsi="Times New Roman" w:cs="Times New Roman"/>
          <w:color w:val="000000" w:themeColor="text1"/>
          <w:sz w:val="24"/>
          <w:szCs w:val="24"/>
        </w:rPr>
        <w:t xml:space="preserve">często </w:t>
      </w:r>
      <w:r w:rsidRPr="00D84154">
        <w:rPr>
          <w:rFonts w:ascii="Times New Roman" w:hAnsi="Times New Roman" w:cs="Times New Roman"/>
          <w:color w:val="000000" w:themeColor="text1"/>
          <w:sz w:val="24"/>
          <w:szCs w:val="24"/>
        </w:rPr>
        <w:t xml:space="preserve">przeciągają postępowanie nie odpowiadając na kierowane do nich wezwania i zaprzestają </w:t>
      </w:r>
      <w:r w:rsidR="00BC0E7C">
        <w:rPr>
          <w:rFonts w:ascii="Times New Roman" w:hAnsi="Times New Roman" w:cs="Times New Roman"/>
          <w:color w:val="000000" w:themeColor="text1"/>
          <w:sz w:val="24"/>
          <w:szCs w:val="24"/>
        </w:rPr>
        <w:t>wykonywania działalności albo w </w:t>
      </w:r>
      <w:r w:rsidRPr="00D84154">
        <w:rPr>
          <w:rFonts w:ascii="Times New Roman" w:hAnsi="Times New Roman" w:cs="Times New Roman"/>
          <w:color w:val="000000" w:themeColor="text1"/>
          <w:sz w:val="24"/>
          <w:szCs w:val="24"/>
        </w:rPr>
        <w:t>momencie otrzymania pierwszego pisma od Prezesa UOKiK wykreślają swo</w:t>
      </w:r>
      <w:r w:rsidR="00BC0E7C">
        <w:rPr>
          <w:rFonts w:ascii="Times New Roman" w:hAnsi="Times New Roman" w:cs="Times New Roman"/>
          <w:color w:val="000000" w:themeColor="text1"/>
          <w:sz w:val="24"/>
          <w:szCs w:val="24"/>
        </w:rPr>
        <w:t>ją działalność z </w:t>
      </w:r>
      <w:r w:rsidRPr="00D84154">
        <w:rPr>
          <w:rFonts w:ascii="Times New Roman" w:hAnsi="Times New Roman" w:cs="Times New Roman"/>
          <w:color w:val="000000" w:themeColor="text1"/>
          <w:sz w:val="24"/>
          <w:szCs w:val="24"/>
        </w:rPr>
        <w:t xml:space="preserve">Centralnej Ewidencji i Informacji o Działalności Gospodarczej, co powoduje, że prowadzone postępowanie staje się bezprzedmiotowe </w:t>
      </w:r>
      <w:r w:rsidR="00F008DF" w:rsidRPr="00D84154">
        <w:rPr>
          <w:rFonts w:ascii="Times New Roman" w:hAnsi="Times New Roman" w:cs="Times New Roman"/>
          <w:color w:val="000000" w:themeColor="text1"/>
          <w:sz w:val="24"/>
          <w:szCs w:val="24"/>
        </w:rPr>
        <w:t xml:space="preserve">i </w:t>
      </w:r>
      <w:r w:rsidRPr="00D84154">
        <w:rPr>
          <w:rFonts w:ascii="Times New Roman" w:hAnsi="Times New Roman" w:cs="Times New Roman"/>
          <w:color w:val="000000" w:themeColor="text1"/>
          <w:sz w:val="24"/>
          <w:szCs w:val="24"/>
        </w:rPr>
        <w:t xml:space="preserve">należy je umorzyć. W obecnym stanie prawnym Prezes UOKiK nie posiada narzędzi umożliwiających skuteczne egzekwowanie przepisów </w:t>
      </w:r>
      <w:r w:rsidR="006A1445" w:rsidRPr="00D84154">
        <w:rPr>
          <w:rFonts w:ascii="Times New Roman" w:hAnsi="Times New Roman" w:cs="Times New Roman"/>
          <w:color w:val="000000" w:themeColor="text1"/>
          <w:sz w:val="24"/>
          <w:szCs w:val="24"/>
        </w:rPr>
        <w:t xml:space="preserve">ustawy </w:t>
      </w:r>
      <w:r w:rsidRPr="00D84154">
        <w:rPr>
          <w:rFonts w:ascii="Times New Roman" w:hAnsi="Times New Roman" w:cs="Times New Roman"/>
          <w:color w:val="000000" w:themeColor="text1"/>
          <w:sz w:val="24"/>
          <w:szCs w:val="24"/>
        </w:rPr>
        <w:t>wobec takich podmiotów.</w:t>
      </w:r>
    </w:p>
    <w:p w14:paraId="4ABCCBC6" w14:textId="69DB7465" w:rsidR="007979C9" w:rsidRPr="00D84154" w:rsidRDefault="007979C9"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Projektowany art. 4a daje podstawę do zastosowania </w:t>
      </w:r>
      <w:r w:rsidR="006639CF" w:rsidRPr="00D84154">
        <w:rPr>
          <w:rFonts w:ascii="Times New Roman" w:hAnsi="Times New Roman" w:cs="Times New Roman"/>
          <w:color w:val="000000" w:themeColor="text1"/>
          <w:sz w:val="24"/>
          <w:szCs w:val="24"/>
        </w:rPr>
        <w:t xml:space="preserve">ustawy </w:t>
      </w:r>
      <w:r w:rsidRPr="00D84154">
        <w:rPr>
          <w:rFonts w:ascii="Times New Roman" w:hAnsi="Times New Roman" w:cs="Times New Roman"/>
          <w:color w:val="000000" w:themeColor="text1"/>
          <w:sz w:val="24"/>
          <w:szCs w:val="24"/>
        </w:rPr>
        <w:t>do osoby fizycznej, która była przedsiębiorcą i w trakcie prowadzenia działalności naruszyła np. art. 23a</w:t>
      </w:r>
      <w:r w:rsidR="007A5D7F" w:rsidRPr="00D84154">
        <w:rPr>
          <w:rFonts w:ascii="Times New Roman" w:hAnsi="Times New Roman" w:cs="Times New Roman"/>
          <w:color w:val="000000" w:themeColor="text1"/>
          <w:sz w:val="24"/>
          <w:szCs w:val="24"/>
        </w:rPr>
        <w:t xml:space="preserve"> ustawy</w:t>
      </w:r>
      <w:r w:rsidR="00BC0E7C">
        <w:rPr>
          <w:rFonts w:ascii="Times New Roman" w:hAnsi="Times New Roman" w:cs="Times New Roman"/>
          <w:color w:val="000000" w:themeColor="text1"/>
          <w:sz w:val="24"/>
          <w:szCs w:val="24"/>
        </w:rPr>
        <w:t>, zgodnie z </w:t>
      </w:r>
      <w:r w:rsidRPr="00D84154">
        <w:rPr>
          <w:rFonts w:ascii="Times New Roman" w:hAnsi="Times New Roman" w:cs="Times New Roman"/>
          <w:color w:val="000000" w:themeColor="text1"/>
          <w:sz w:val="24"/>
          <w:szCs w:val="24"/>
        </w:rPr>
        <w:t xml:space="preserve">którym zakazane </w:t>
      </w:r>
      <w:r w:rsidR="00CA19F6" w:rsidRPr="00D84154">
        <w:rPr>
          <w:rFonts w:ascii="Times New Roman" w:hAnsi="Times New Roman" w:cs="Times New Roman"/>
          <w:color w:val="000000" w:themeColor="text1"/>
          <w:sz w:val="24"/>
          <w:szCs w:val="24"/>
        </w:rPr>
        <w:t xml:space="preserve">jest </w:t>
      </w:r>
      <w:r w:rsidRPr="00D84154">
        <w:rPr>
          <w:rFonts w:ascii="Times New Roman" w:hAnsi="Times New Roman" w:cs="Times New Roman"/>
          <w:color w:val="000000" w:themeColor="text1"/>
          <w:sz w:val="24"/>
          <w:szCs w:val="24"/>
        </w:rPr>
        <w:t>stosowanie we wzorcach umów zawieranych z konsumentami niedozwolonych postanowień umownych, o których mowa w art. 385</w:t>
      </w:r>
      <w:r w:rsidR="00A200C1" w:rsidRPr="00D84154">
        <w:rPr>
          <w:rFonts w:ascii="Times New Roman" w:hAnsi="Times New Roman" w:cs="Times New Roman"/>
          <w:color w:val="000000" w:themeColor="text1"/>
          <w:sz w:val="24"/>
          <w:szCs w:val="24"/>
          <w:vertAlign w:val="superscript"/>
        </w:rPr>
        <w:t>1</w:t>
      </w:r>
      <w:r w:rsidRPr="00D84154">
        <w:rPr>
          <w:rFonts w:ascii="Times New Roman" w:hAnsi="Times New Roman" w:cs="Times New Roman"/>
          <w:color w:val="000000" w:themeColor="text1"/>
          <w:sz w:val="24"/>
          <w:szCs w:val="24"/>
        </w:rPr>
        <w:t xml:space="preserve"> § 1 ustawy z dnia 23 kwietnia 1964 r. </w:t>
      </w:r>
      <w:r w:rsidR="00CB1B0B">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Kodeks cywilny</w:t>
      </w:r>
      <w:r w:rsidR="00CB1B0B">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lub naruszyła art. 24</w:t>
      </w:r>
      <w:r w:rsidR="007A5D7F" w:rsidRPr="00D84154">
        <w:rPr>
          <w:rFonts w:ascii="Times New Roman" w:hAnsi="Times New Roman" w:cs="Times New Roman"/>
          <w:color w:val="000000" w:themeColor="text1"/>
          <w:sz w:val="24"/>
          <w:szCs w:val="24"/>
        </w:rPr>
        <w:t xml:space="preserve"> ustawy</w:t>
      </w:r>
      <w:r w:rsidRPr="00D84154">
        <w:rPr>
          <w:rFonts w:ascii="Times New Roman" w:hAnsi="Times New Roman" w:cs="Times New Roman"/>
          <w:color w:val="000000" w:themeColor="text1"/>
          <w:sz w:val="24"/>
          <w:szCs w:val="24"/>
        </w:rPr>
        <w:t xml:space="preserve">, zgodnie z którym zakazane </w:t>
      </w:r>
      <w:r w:rsidR="00CA19F6" w:rsidRPr="00D84154">
        <w:rPr>
          <w:rFonts w:ascii="Times New Roman" w:hAnsi="Times New Roman" w:cs="Times New Roman"/>
          <w:color w:val="000000" w:themeColor="text1"/>
          <w:sz w:val="24"/>
          <w:szCs w:val="24"/>
        </w:rPr>
        <w:t xml:space="preserve">jest </w:t>
      </w:r>
      <w:r w:rsidRPr="00D84154">
        <w:rPr>
          <w:rFonts w:ascii="Times New Roman" w:hAnsi="Times New Roman" w:cs="Times New Roman"/>
          <w:color w:val="000000" w:themeColor="text1"/>
          <w:sz w:val="24"/>
          <w:szCs w:val="24"/>
        </w:rPr>
        <w:t>stosowanie praktyk naruszających zbiorowe interesy konsumentów. Przez praktykę naruszającą zbiorowe interesy konsumentów rozumie się godzące w nie sprzeczne z prawem lub dobrymi obyczajami zachowanie przedsiębiorcy, w szczególności:</w:t>
      </w:r>
    </w:p>
    <w:p w14:paraId="47E23CD3" w14:textId="66FADD1A" w:rsidR="007979C9" w:rsidRPr="00D84154" w:rsidRDefault="000D4F15" w:rsidP="000D4F15">
      <w:pPr>
        <w:spacing w:before="120" w:after="0" w:line="36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ab/>
      </w:r>
      <w:r w:rsidR="007979C9" w:rsidRPr="00D84154">
        <w:rPr>
          <w:rFonts w:ascii="Times New Roman" w:hAnsi="Times New Roman" w:cs="Times New Roman"/>
          <w:color w:val="000000" w:themeColor="text1"/>
          <w:sz w:val="24"/>
          <w:szCs w:val="24"/>
        </w:rPr>
        <w:t>naruszanie obowiązku udzielania konsumentom rzetelnej, prawdziwej i pełnej informacji;</w:t>
      </w:r>
    </w:p>
    <w:p w14:paraId="4D4458F2" w14:textId="042D6506" w:rsidR="007979C9" w:rsidRPr="00D84154" w:rsidRDefault="000D4F15" w:rsidP="000D4F15">
      <w:pPr>
        <w:spacing w:before="120" w:after="0" w:line="36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ab/>
      </w:r>
      <w:r w:rsidR="007979C9" w:rsidRPr="00D84154">
        <w:rPr>
          <w:rFonts w:ascii="Times New Roman" w:hAnsi="Times New Roman" w:cs="Times New Roman"/>
          <w:color w:val="000000" w:themeColor="text1"/>
          <w:sz w:val="24"/>
          <w:szCs w:val="24"/>
        </w:rPr>
        <w:t>nieuczciwe praktyki rynkowe lub czyny nieuczciwej konkurencji;</w:t>
      </w:r>
    </w:p>
    <w:p w14:paraId="52152423" w14:textId="01B7EEA0" w:rsidR="007979C9" w:rsidRPr="00D84154" w:rsidRDefault="000D4F15" w:rsidP="000D4F15">
      <w:pPr>
        <w:spacing w:before="120" w:after="0" w:line="36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w:t>
      </w:r>
      <w:r>
        <w:rPr>
          <w:rFonts w:ascii="Times New Roman" w:hAnsi="Times New Roman" w:cs="Times New Roman"/>
          <w:color w:val="000000" w:themeColor="text1"/>
          <w:sz w:val="24"/>
          <w:szCs w:val="24"/>
        </w:rPr>
        <w:tab/>
      </w:r>
      <w:r w:rsidR="007979C9" w:rsidRPr="00D84154">
        <w:rPr>
          <w:rFonts w:ascii="Times New Roman" w:hAnsi="Times New Roman" w:cs="Times New Roman"/>
          <w:color w:val="000000" w:themeColor="text1"/>
          <w:sz w:val="24"/>
          <w:szCs w:val="24"/>
        </w:rPr>
        <w:t>proponowanie konsumentom nabycia usług finansowych, które nie odpowiadają potrzebom tych konsumentów ustalonym z uwzględnieniem dostępnych przedsiębiorcy informacji w zakresie cech tych konsumentów</w:t>
      </w:r>
      <w:r w:rsidR="006B09FE">
        <w:rPr>
          <w:rFonts w:ascii="Times New Roman" w:hAnsi="Times New Roman" w:cs="Times New Roman"/>
          <w:color w:val="000000" w:themeColor="text1"/>
          <w:sz w:val="24"/>
          <w:szCs w:val="24"/>
        </w:rPr>
        <w:t>,</w:t>
      </w:r>
      <w:r w:rsidR="007979C9" w:rsidRPr="00D84154">
        <w:rPr>
          <w:rFonts w:ascii="Times New Roman" w:hAnsi="Times New Roman" w:cs="Times New Roman"/>
          <w:color w:val="000000" w:themeColor="text1"/>
          <w:sz w:val="24"/>
          <w:szCs w:val="24"/>
        </w:rPr>
        <w:t xml:space="preserve"> lub pr</w:t>
      </w:r>
      <w:r w:rsidR="00BC0E7C">
        <w:rPr>
          <w:rFonts w:ascii="Times New Roman" w:hAnsi="Times New Roman" w:cs="Times New Roman"/>
          <w:color w:val="000000" w:themeColor="text1"/>
          <w:sz w:val="24"/>
          <w:szCs w:val="24"/>
        </w:rPr>
        <w:t>oponowanie nabycia tych usług w </w:t>
      </w:r>
      <w:r w:rsidR="007979C9" w:rsidRPr="00D84154">
        <w:rPr>
          <w:rFonts w:ascii="Times New Roman" w:hAnsi="Times New Roman" w:cs="Times New Roman"/>
          <w:color w:val="000000" w:themeColor="text1"/>
          <w:sz w:val="24"/>
          <w:szCs w:val="24"/>
        </w:rPr>
        <w:t>sposób nieadekwatny do ich charakteru.</w:t>
      </w:r>
    </w:p>
    <w:p w14:paraId="101845F5" w14:textId="32647D1E" w:rsidR="007979C9" w:rsidRPr="00D84154" w:rsidRDefault="007A5D7F"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Projektowany p</w:t>
      </w:r>
      <w:r w:rsidR="007979C9" w:rsidRPr="00D84154">
        <w:rPr>
          <w:rFonts w:ascii="Times New Roman" w:hAnsi="Times New Roman" w:cs="Times New Roman"/>
          <w:color w:val="000000" w:themeColor="text1"/>
          <w:sz w:val="24"/>
          <w:szCs w:val="24"/>
        </w:rPr>
        <w:t>rzepis art. 4a wskazuje też, że wobec ww. osób zastosowanie znajdzie co do zasady większość przepisów ustawy dotycząca m.in. podstaw wydawania decyzji, postępowania przed Prezesem UOK</w:t>
      </w:r>
      <w:r w:rsidR="00F23A42" w:rsidRPr="00D84154">
        <w:rPr>
          <w:rFonts w:ascii="Times New Roman" w:hAnsi="Times New Roman" w:cs="Times New Roman"/>
          <w:color w:val="000000" w:themeColor="text1"/>
          <w:sz w:val="24"/>
          <w:szCs w:val="24"/>
        </w:rPr>
        <w:t>i</w:t>
      </w:r>
      <w:r w:rsidR="007979C9" w:rsidRPr="00D84154">
        <w:rPr>
          <w:rFonts w:ascii="Times New Roman" w:hAnsi="Times New Roman" w:cs="Times New Roman"/>
          <w:color w:val="000000" w:themeColor="text1"/>
          <w:sz w:val="24"/>
          <w:szCs w:val="24"/>
        </w:rPr>
        <w:t>K, kar – w tym zasady ich wymierzania,</w:t>
      </w:r>
      <w:r w:rsidR="000D4F15">
        <w:rPr>
          <w:rFonts w:ascii="Times New Roman" w:hAnsi="Times New Roman" w:cs="Times New Roman"/>
          <w:color w:val="000000" w:themeColor="text1"/>
          <w:sz w:val="24"/>
          <w:szCs w:val="24"/>
        </w:rPr>
        <w:t xml:space="preserve"> odstąpienia od nałożenia kary.</w:t>
      </w:r>
    </w:p>
    <w:p w14:paraId="62CA62D6" w14:textId="2A90192C" w:rsidR="007979C9" w:rsidRPr="00D84154" w:rsidRDefault="007979C9"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Zastosowania nie znajdą do tych osób jedynie przepisy wprost wymienione (są to przepisy, których nie da się zastosować do osoby fizycznej, która już nie prowadzi działalności gospodarczej), np. w zakresie przepisów o karach nie będzie m</w:t>
      </w:r>
      <w:r w:rsidR="00296571" w:rsidRPr="00D84154">
        <w:rPr>
          <w:rFonts w:ascii="Times New Roman" w:hAnsi="Times New Roman" w:cs="Times New Roman"/>
          <w:color w:val="000000" w:themeColor="text1"/>
          <w:sz w:val="24"/>
          <w:szCs w:val="24"/>
        </w:rPr>
        <w:t>iał</w:t>
      </w:r>
      <w:r w:rsidR="00BC0E7C">
        <w:rPr>
          <w:rFonts w:ascii="Times New Roman" w:hAnsi="Times New Roman" w:cs="Times New Roman"/>
          <w:color w:val="000000" w:themeColor="text1"/>
          <w:sz w:val="24"/>
          <w:szCs w:val="24"/>
        </w:rPr>
        <w:t xml:space="preserve"> zastosowania przepis art. </w:t>
      </w:r>
      <w:r w:rsidRPr="00D84154">
        <w:rPr>
          <w:rFonts w:ascii="Times New Roman" w:hAnsi="Times New Roman" w:cs="Times New Roman"/>
          <w:color w:val="000000" w:themeColor="text1"/>
          <w:sz w:val="24"/>
          <w:szCs w:val="24"/>
        </w:rPr>
        <w:t>106 ust. 4</w:t>
      </w:r>
      <w:r w:rsidR="0083626C" w:rsidRPr="00D84154">
        <w:rPr>
          <w:rFonts w:ascii="Times New Roman" w:hAnsi="Times New Roman" w:cs="Times New Roman"/>
          <w:color w:val="000000" w:themeColor="text1"/>
          <w:sz w:val="24"/>
          <w:szCs w:val="24"/>
        </w:rPr>
        <w:t xml:space="preserve"> ustawy</w:t>
      </w:r>
      <w:r w:rsidRPr="00D84154">
        <w:rPr>
          <w:rFonts w:ascii="Times New Roman" w:hAnsi="Times New Roman" w:cs="Times New Roman"/>
          <w:color w:val="000000" w:themeColor="text1"/>
          <w:sz w:val="24"/>
          <w:szCs w:val="24"/>
        </w:rPr>
        <w:t xml:space="preserve">, który dotyczy przedsiębiorcy, który powstał w wyniku połączenia lub przekształcenia innych przedsiębiorców, art. 106a i </w:t>
      </w:r>
      <w:r w:rsidR="00296571" w:rsidRPr="00D84154">
        <w:rPr>
          <w:rFonts w:ascii="Times New Roman" w:hAnsi="Times New Roman" w:cs="Times New Roman"/>
          <w:color w:val="000000" w:themeColor="text1"/>
          <w:sz w:val="24"/>
          <w:szCs w:val="24"/>
        </w:rPr>
        <w:t xml:space="preserve">art. </w:t>
      </w:r>
      <w:r w:rsidRPr="00D84154">
        <w:rPr>
          <w:rFonts w:ascii="Times New Roman" w:hAnsi="Times New Roman" w:cs="Times New Roman"/>
          <w:color w:val="000000" w:themeColor="text1"/>
          <w:sz w:val="24"/>
          <w:szCs w:val="24"/>
        </w:rPr>
        <w:t>106b, które dotyczą nakładania kary na osobę zarządzając</w:t>
      </w:r>
      <w:r w:rsidR="00F86913" w:rsidRPr="00D84154">
        <w:rPr>
          <w:rFonts w:ascii="Times New Roman" w:hAnsi="Times New Roman" w:cs="Times New Roman"/>
          <w:color w:val="000000" w:themeColor="text1"/>
          <w:sz w:val="24"/>
          <w:szCs w:val="24"/>
        </w:rPr>
        <w:t>ą</w:t>
      </w:r>
      <w:r w:rsidRPr="00D84154">
        <w:rPr>
          <w:rFonts w:ascii="Times New Roman" w:hAnsi="Times New Roman" w:cs="Times New Roman"/>
          <w:color w:val="000000" w:themeColor="text1"/>
          <w:sz w:val="24"/>
          <w:szCs w:val="24"/>
        </w:rPr>
        <w:t>, czy art. 108 – dotyczący osoby pełniącej funkcję kierowniczą lub wchodzącej w skład organu zarządzającego przedsiębiorcy.</w:t>
      </w:r>
      <w:r w:rsidR="00C80224" w:rsidRPr="00D84154">
        <w:rPr>
          <w:rFonts w:ascii="Times New Roman" w:hAnsi="Times New Roman" w:cs="Times New Roman"/>
          <w:color w:val="000000" w:themeColor="text1"/>
          <w:sz w:val="24"/>
          <w:szCs w:val="24"/>
        </w:rPr>
        <w:t xml:space="preserve"> </w:t>
      </w:r>
      <w:r w:rsidR="009A7082" w:rsidRPr="00D84154">
        <w:rPr>
          <w:rFonts w:ascii="Times New Roman" w:hAnsi="Times New Roman" w:cs="Times New Roman"/>
          <w:color w:val="000000" w:themeColor="text1"/>
          <w:sz w:val="24"/>
          <w:szCs w:val="24"/>
        </w:rPr>
        <w:t>Przy obliczaniu wymiaru kary pieniężnej dla osoby fizycznej, która zaprzestała prowadzenia działalności gospodarczej</w:t>
      </w:r>
      <w:r w:rsidR="00F506F5">
        <w:rPr>
          <w:rFonts w:ascii="Times New Roman" w:hAnsi="Times New Roman" w:cs="Times New Roman"/>
          <w:color w:val="000000" w:themeColor="text1"/>
          <w:sz w:val="24"/>
          <w:szCs w:val="24"/>
        </w:rPr>
        <w:t>,</w:t>
      </w:r>
      <w:r w:rsidR="00BC0E7C">
        <w:rPr>
          <w:rFonts w:ascii="Times New Roman" w:hAnsi="Times New Roman" w:cs="Times New Roman"/>
          <w:color w:val="000000" w:themeColor="text1"/>
          <w:sz w:val="24"/>
          <w:szCs w:val="24"/>
        </w:rPr>
        <w:t xml:space="preserve"> w </w:t>
      </w:r>
      <w:r w:rsidR="009A7082" w:rsidRPr="00D84154">
        <w:rPr>
          <w:rFonts w:ascii="Times New Roman" w:hAnsi="Times New Roman" w:cs="Times New Roman"/>
          <w:color w:val="000000" w:themeColor="text1"/>
          <w:sz w:val="24"/>
          <w:szCs w:val="24"/>
        </w:rPr>
        <w:t>pierwszej kolejności zastosowanie znajdzie art. 106 ust. 1 w zw. z ust. 3. Kara obliczana więc będzie w wysokości nie większej niż 10% obrotu osiągniętego przez tę osobę w okresie, kiedy jeszcze prowadziła działalność gospodarczą, którą kwestionuje Prezes UOKiK, w roku poprzedzającym nałożenie kary. W przypadku gdy osoba fizyczna nie osiągnęła w okresie, kiedy jeszcze prowadziła działalność gospodarczą</w:t>
      </w:r>
      <w:r w:rsidR="00F506F5">
        <w:rPr>
          <w:rFonts w:ascii="Times New Roman" w:hAnsi="Times New Roman" w:cs="Times New Roman"/>
          <w:color w:val="000000" w:themeColor="text1"/>
          <w:sz w:val="24"/>
          <w:szCs w:val="24"/>
        </w:rPr>
        <w:t>,</w:t>
      </w:r>
      <w:r w:rsidR="009A7082" w:rsidRPr="00D84154">
        <w:rPr>
          <w:rFonts w:ascii="Times New Roman" w:hAnsi="Times New Roman" w:cs="Times New Roman"/>
          <w:color w:val="000000" w:themeColor="text1"/>
          <w:sz w:val="24"/>
          <w:szCs w:val="24"/>
        </w:rPr>
        <w:t xml:space="preserve"> obrotu w roku poprzedzającym rok nałożenia kary, podstawą wymiaru kary będzie średni obrót osiągnięty przez t</w:t>
      </w:r>
      <w:r w:rsidR="00F506F5">
        <w:rPr>
          <w:rFonts w:ascii="Times New Roman" w:hAnsi="Times New Roman" w:cs="Times New Roman"/>
          <w:color w:val="000000" w:themeColor="text1"/>
          <w:sz w:val="24"/>
          <w:szCs w:val="24"/>
        </w:rPr>
        <w:t>ę</w:t>
      </w:r>
      <w:r w:rsidR="009A7082" w:rsidRPr="00D84154">
        <w:rPr>
          <w:rFonts w:ascii="Times New Roman" w:hAnsi="Times New Roman" w:cs="Times New Roman"/>
          <w:color w:val="000000" w:themeColor="text1"/>
          <w:sz w:val="24"/>
          <w:szCs w:val="24"/>
        </w:rPr>
        <w:t xml:space="preserve"> osobę w okresie, kiedy prowadziła kwestionowaną przez Prezesa UOKiK działalność gospodarczą w trzech kolejnych latach obrotowych poprzedzających rok nałożenia kary. Natomiast</w:t>
      </w:r>
      <w:r w:rsidR="00F506F5">
        <w:rPr>
          <w:rFonts w:ascii="Times New Roman" w:hAnsi="Times New Roman" w:cs="Times New Roman"/>
          <w:color w:val="000000" w:themeColor="text1"/>
          <w:sz w:val="24"/>
          <w:szCs w:val="24"/>
        </w:rPr>
        <w:t>,</w:t>
      </w:r>
      <w:r w:rsidR="009A7082" w:rsidRPr="00D84154">
        <w:rPr>
          <w:rFonts w:ascii="Times New Roman" w:hAnsi="Times New Roman" w:cs="Times New Roman"/>
          <w:color w:val="000000" w:themeColor="text1"/>
          <w:sz w:val="24"/>
          <w:szCs w:val="24"/>
        </w:rPr>
        <w:t xml:space="preserve"> </w:t>
      </w:r>
      <w:r w:rsidR="00F86913" w:rsidRPr="00D84154">
        <w:rPr>
          <w:rFonts w:ascii="Times New Roman" w:hAnsi="Times New Roman" w:cs="Times New Roman"/>
          <w:color w:val="000000" w:themeColor="text1"/>
          <w:sz w:val="24"/>
          <w:szCs w:val="24"/>
        </w:rPr>
        <w:t xml:space="preserve">jeżeli </w:t>
      </w:r>
      <w:r w:rsidR="009A7082" w:rsidRPr="00D84154">
        <w:rPr>
          <w:rFonts w:ascii="Times New Roman" w:hAnsi="Times New Roman" w:cs="Times New Roman"/>
          <w:color w:val="000000" w:themeColor="text1"/>
          <w:sz w:val="24"/>
          <w:szCs w:val="24"/>
        </w:rPr>
        <w:t>w okresie trzech lat poprzedzających rok nałożenia kary (w trakcie prowadzenia przez nią kwestionowanej przez Prezesa UOKiK działalności gospodarczej) ta osoba nie osiągnęła obrotu, Prezes UOKiK będzie mógł nałożyć karę pieniężną w wysokości nieprzekraczającej 10 000 euro. Uwzględnienie w podstawie wymiaru kary pieniężnej obrotu osiąganego przez osobę fizyczną, która już nie prowadzi działalności gospodarczej</w:t>
      </w:r>
      <w:r w:rsidR="00F506F5">
        <w:rPr>
          <w:rFonts w:ascii="Times New Roman" w:hAnsi="Times New Roman" w:cs="Times New Roman"/>
          <w:color w:val="000000" w:themeColor="text1"/>
          <w:sz w:val="24"/>
          <w:szCs w:val="24"/>
        </w:rPr>
        <w:t>,</w:t>
      </w:r>
      <w:r w:rsidR="009A7082" w:rsidRPr="00D84154">
        <w:rPr>
          <w:rFonts w:ascii="Times New Roman" w:hAnsi="Times New Roman" w:cs="Times New Roman"/>
          <w:color w:val="000000" w:themeColor="text1"/>
          <w:sz w:val="24"/>
          <w:szCs w:val="24"/>
        </w:rPr>
        <w:t xml:space="preserve"> w okresie, kiedy prowadziła działalność kwestionowaną przez Prezesa UOKiK, pozwoli na powiązanie wysokości tej kary z prowadzoną przez nią wówczas działalnością, a tym samym zapewni, że kara pieniężna będzie proporcjonalna do korzyści</w:t>
      </w:r>
      <w:r w:rsidR="00F506F5">
        <w:rPr>
          <w:rFonts w:ascii="Times New Roman" w:hAnsi="Times New Roman" w:cs="Times New Roman"/>
          <w:color w:val="000000" w:themeColor="text1"/>
          <w:sz w:val="24"/>
          <w:szCs w:val="24"/>
        </w:rPr>
        <w:t>,</w:t>
      </w:r>
      <w:r w:rsidR="009A7082" w:rsidRPr="00D84154">
        <w:rPr>
          <w:rFonts w:ascii="Times New Roman" w:hAnsi="Times New Roman" w:cs="Times New Roman"/>
          <w:color w:val="000000" w:themeColor="text1"/>
          <w:sz w:val="24"/>
          <w:szCs w:val="24"/>
        </w:rPr>
        <w:t xml:space="preserve"> jakie ta osoba osiągnęła w związku ze stosowaniem niedozwolonych praktyk. W przypadku gdy nie będzie możliwe ustalenie obrotu osiągniętego </w:t>
      </w:r>
      <w:r w:rsidR="009A7082" w:rsidRPr="00D84154">
        <w:rPr>
          <w:rFonts w:ascii="Times New Roman" w:hAnsi="Times New Roman" w:cs="Times New Roman"/>
          <w:color w:val="000000" w:themeColor="text1"/>
          <w:sz w:val="24"/>
          <w:szCs w:val="24"/>
        </w:rPr>
        <w:lastRenderedPageBreak/>
        <w:t>przez tę osobę w okresie, w którym prowadziła kwestionowana przez Prezesa UOKiK działalność, będzie możliwość nałożenia kary w wysokości nieprzekraczającej 10</w:t>
      </w:r>
      <w:r w:rsidR="00F506F5">
        <w:rPr>
          <w:rFonts w:ascii="Times New Roman" w:hAnsi="Times New Roman" w:cs="Times New Roman"/>
          <w:color w:val="000000" w:themeColor="text1"/>
          <w:sz w:val="24"/>
          <w:szCs w:val="24"/>
        </w:rPr>
        <w:t> </w:t>
      </w:r>
      <w:r w:rsidR="009A7082" w:rsidRPr="00D84154">
        <w:rPr>
          <w:rFonts w:ascii="Times New Roman" w:hAnsi="Times New Roman" w:cs="Times New Roman"/>
          <w:color w:val="000000" w:themeColor="text1"/>
          <w:sz w:val="24"/>
          <w:szCs w:val="24"/>
        </w:rPr>
        <w:t>000 euro. Wymiar kary pieniężnej nakładanej na taką osobę fizyczną będzie uwzględniał okoliczności</w:t>
      </w:r>
      <w:r w:rsidR="00F506F5">
        <w:rPr>
          <w:rFonts w:ascii="Times New Roman" w:hAnsi="Times New Roman" w:cs="Times New Roman"/>
          <w:color w:val="000000" w:themeColor="text1"/>
          <w:sz w:val="24"/>
          <w:szCs w:val="24"/>
        </w:rPr>
        <w:t>,</w:t>
      </w:r>
      <w:r w:rsidR="00BC0E7C">
        <w:rPr>
          <w:rFonts w:ascii="Times New Roman" w:hAnsi="Times New Roman" w:cs="Times New Roman"/>
          <w:color w:val="000000" w:themeColor="text1"/>
          <w:sz w:val="24"/>
          <w:szCs w:val="24"/>
        </w:rPr>
        <w:t xml:space="preserve"> o </w:t>
      </w:r>
      <w:r w:rsidR="009A7082" w:rsidRPr="00D84154">
        <w:rPr>
          <w:rFonts w:ascii="Times New Roman" w:hAnsi="Times New Roman" w:cs="Times New Roman"/>
          <w:color w:val="000000" w:themeColor="text1"/>
          <w:sz w:val="24"/>
          <w:szCs w:val="24"/>
        </w:rPr>
        <w:t>których mowa w art. 111 ust. 1 pkt 2 i ust. 3 pkt 2a i 3 ustawy.</w:t>
      </w:r>
    </w:p>
    <w:p w14:paraId="74413037" w14:textId="3CDC6BCB" w:rsidR="008B56AD" w:rsidRPr="00D84154" w:rsidRDefault="008B56AD"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W </w:t>
      </w:r>
      <w:r w:rsidR="00F23A42" w:rsidRPr="00D84154">
        <w:rPr>
          <w:rFonts w:ascii="Times New Roman" w:hAnsi="Times New Roman" w:cs="Times New Roman"/>
          <w:color w:val="000000" w:themeColor="text1"/>
          <w:sz w:val="24"/>
          <w:szCs w:val="24"/>
        </w:rPr>
        <w:t xml:space="preserve">sprawach, w których są prowadzone </w:t>
      </w:r>
      <w:r w:rsidRPr="00D84154">
        <w:rPr>
          <w:rFonts w:ascii="Times New Roman" w:hAnsi="Times New Roman" w:cs="Times New Roman"/>
          <w:color w:val="000000" w:themeColor="text1"/>
          <w:sz w:val="24"/>
          <w:szCs w:val="24"/>
        </w:rPr>
        <w:t>postępowani</w:t>
      </w:r>
      <w:r w:rsidR="00F23A42" w:rsidRPr="00D84154">
        <w:rPr>
          <w:rFonts w:ascii="Times New Roman" w:hAnsi="Times New Roman" w:cs="Times New Roman"/>
          <w:color w:val="000000" w:themeColor="text1"/>
          <w:sz w:val="24"/>
          <w:szCs w:val="24"/>
        </w:rPr>
        <w:t>a</w:t>
      </w:r>
      <w:r w:rsidRPr="00D84154">
        <w:rPr>
          <w:rFonts w:ascii="Times New Roman" w:hAnsi="Times New Roman" w:cs="Times New Roman"/>
          <w:color w:val="000000" w:themeColor="text1"/>
          <w:sz w:val="24"/>
          <w:szCs w:val="24"/>
        </w:rPr>
        <w:t xml:space="preserve"> antymonopolo</w:t>
      </w:r>
      <w:r w:rsidR="00F23A42" w:rsidRPr="00D84154">
        <w:rPr>
          <w:rFonts w:ascii="Times New Roman" w:hAnsi="Times New Roman" w:cs="Times New Roman"/>
          <w:color w:val="000000" w:themeColor="text1"/>
          <w:sz w:val="24"/>
          <w:szCs w:val="24"/>
        </w:rPr>
        <w:t>we</w:t>
      </w:r>
      <w:r w:rsidR="00F506F5">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przepisy </w:t>
      </w:r>
      <w:r w:rsidR="001414FD" w:rsidRPr="00D84154">
        <w:rPr>
          <w:rFonts w:ascii="Times New Roman" w:hAnsi="Times New Roman" w:cs="Times New Roman"/>
          <w:color w:val="000000" w:themeColor="text1"/>
          <w:sz w:val="24"/>
          <w:szCs w:val="24"/>
        </w:rPr>
        <w:t xml:space="preserve">art. 4a </w:t>
      </w:r>
      <w:r w:rsidR="00296571" w:rsidRPr="00D84154">
        <w:rPr>
          <w:rFonts w:ascii="Times New Roman" w:hAnsi="Times New Roman" w:cs="Times New Roman"/>
          <w:color w:val="000000" w:themeColor="text1"/>
          <w:sz w:val="24"/>
          <w:szCs w:val="24"/>
        </w:rPr>
        <w:t xml:space="preserve">ustawy </w:t>
      </w:r>
      <w:r w:rsidRPr="00D84154">
        <w:rPr>
          <w:rFonts w:ascii="Times New Roman" w:hAnsi="Times New Roman" w:cs="Times New Roman"/>
          <w:color w:val="000000" w:themeColor="text1"/>
          <w:sz w:val="24"/>
          <w:szCs w:val="24"/>
        </w:rPr>
        <w:t>b</w:t>
      </w:r>
      <w:r w:rsidR="00F23A42" w:rsidRPr="00D84154">
        <w:rPr>
          <w:rFonts w:ascii="Times New Roman" w:hAnsi="Times New Roman" w:cs="Times New Roman"/>
          <w:color w:val="000000" w:themeColor="text1"/>
          <w:sz w:val="24"/>
          <w:szCs w:val="24"/>
        </w:rPr>
        <w:t>ędą</w:t>
      </w:r>
      <w:r w:rsidRPr="00D84154">
        <w:rPr>
          <w:rFonts w:ascii="Times New Roman" w:hAnsi="Times New Roman" w:cs="Times New Roman"/>
          <w:color w:val="000000" w:themeColor="text1"/>
          <w:sz w:val="24"/>
          <w:szCs w:val="24"/>
        </w:rPr>
        <w:t xml:space="preserve"> stosowane analogicznie do przepisów dotyczących zbiorowych interesów konsumentów.</w:t>
      </w:r>
    </w:p>
    <w:p w14:paraId="37043E6E" w14:textId="77777777" w:rsidR="00D159BB" w:rsidRPr="00D84154" w:rsidRDefault="00D159BB" w:rsidP="00D84154">
      <w:pPr>
        <w:pStyle w:val="Akapitzlist"/>
        <w:numPr>
          <w:ilvl w:val="0"/>
          <w:numId w:val="2"/>
        </w:numPr>
        <w:spacing w:before="120" w:after="0" w:line="360" w:lineRule="auto"/>
        <w:ind w:left="426" w:hanging="426"/>
        <w:rPr>
          <w:rFonts w:ascii="Times New Roman" w:hAnsi="Times New Roman" w:cs="Times New Roman"/>
          <w:b/>
          <w:bCs/>
          <w:color w:val="000000" w:themeColor="text1"/>
          <w:sz w:val="24"/>
          <w:szCs w:val="24"/>
        </w:rPr>
      </w:pPr>
      <w:r w:rsidRPr="00D84154">
        <w:rPr>
          <w:rFonts w:ascii="Times New Roman" w:hAnsi="Times New Roman" w:cs="Times New Roman"/>
          <w:b/>
          <w:bCs/>
          <w:color w:val="000000" w:themeColor="text1"/>
          <w:sz w:val="24"/>
          <w:szCs w:val="24"/>
        </w:rPr>
        <w:t>Stwierdzenie i wyeliminowanie naruszenia</w:t>
      </w:r>
    </w:p>
    <w:p w14:paraId="38DBD8BB" w14:textId="6D049C3A" w:rsidR="00E837DF" w:rsidRPr="00D84154" w:rsidRDefault="00E837DF"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Artykuł 10 </w:t>
      </w:r>
      <w:r w:rsidR="00296571"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 xml:space="preserve">yrektywy przewiduje harmonizację w zakresie stwierdzenia przez organy ochrony konkurencji naruszenia art. 101 lub </w:t>
      </w:r>
      <w:r w:rsidR="00296571" w:rsidRPr="00D84154">
        <w:rPr>
          <w:rFonts w:ascii="Times New Roman" w:hAnsi="Times New Roman" w:cs="Times New Roman"/>
          <w:color w:val="000000" w:themeColor="text1"/>
          <w:sz w:val="24"/>
          <w:szCs w:val="24"/>
        </w:rPr>
        <w:t xml:space="preserve">art. </w:t>
      </w:r>
      <w:r w:rsidRPr="00D84154">
        <w:rPr>
          <w:rFonts w:ascii="Times New Roman" w:hAnsi="Times New Roman" w:cs="Times New Roman"/>
          <w:color w:val="000000" w:themeColor="text1"/>
          <w:sz w:val="24"/>
          <w:szCs w:val="24"/>
        </w:rPr>
        <w:t>102 TFUE. Przepis przewiduje</w:t>
      </w:r>
      <w:r w:rsidR="00AD3A05" w:rsidRPr="00D84154">
        <w:rPr>
          <w:rFonts w:ascii="Times New Roman" w:hAnsi="Times New Roman" w:cs="Times New Roman"/>
          <w:color w:val="000000" w:themeColor="text1"/>
          <w:sz w:val="24"/>
          <w:szCs w:val="24"/>
        </w:rPr>
        <w:t xml:space="preserve"> zapewnienie przez państwa członkowskie UE</w:t>
      </w:r>
      <w:r w:rsidR="00CA1B11">
        <w:rPr>
          <w:rFonts w:ascii="Times New Roman" w:hAnsi="Times New Roman" w:cs="Times New Roman"/>
          <w:color w:val="000000" w:themeColor="text1"/>
          <w:sz w:val="24"/>
          <w:szCs w:val="24"/>
        </w:rPr>
        <w:t>,</w:t>
      </w:r>
      <w:r w:rsidR="001A502D" w:rsidRPr="00D84154">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 xml:space="preserve">aby organy </w:t>
      </w:r>
      <w:r w:rsidR="00AD3A05" w:rsidRPr="00D84154">
        <w:rPr>
          <w:rFonts w:ascii="Times New Roman" w:hAnsi="Times New Roman" w:cs="Times New Roman"/>
          <w:color w:val="000000" w:themeColor="text1"/>
          <w:sz w:val="24"/>
          <w:szCs w:val="24"/>
        </w:rPr>
        <w:t xml:space="preserve">te </w:t>
      </w:r>
      <w:r w:rsidRPr="00D84154">
        <w:rPr>
          <w:rFonts w:ascii="Times New Roman" w:hAnsi="Times New Roman" w:cs="Times New Roman"/>
          <w:color w:val="000000" w:themeColor="text1"/>
          <w:sz w:val="24"/>
          <w:szCs w:val="24"/>
        </w:rPr>
        <w:t xml:space="preserve">mogły w drodze decyzji nakazać przedsiębiorstwom lub związkom przedsiębiorstw </w:t>
      </w:r>
      <w:r w:rsidR="001A502D" w:rsidRPr="00D84154">
        <w:rPr>
          <w:rFonts w:ascii="Times New Roman" w:hAnsi="Times New Roman" w:cs="Times New Roman"/>
          <w:color w:val="000000" w:themeColor="text1"/>
          <w:sz w:val="24"/>
          <w:szCs w:val="24"/>
        </w:rPr>
        <w:t>zaprzestanie</w:t>
      </w:r>
      <w:r w:rsidR="00AD3A05" w:rsidRPr="00D84154">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 xml:space="preserve">naruszenia. W tym celu mogą one nałożyć dowolne środki zaradcze o charakterze behawioralnym lub strukturalnym, które są proporcjonalne do popełnionego naruszenia i konieczne do skutecznego zaprzestania tego naruszenia. Przy czym </w:t>
      </w:r>
      <w:r w:rsidR="00FA1189"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yrektywa wskazuje, że zgodnie z zasadą proporcjonalności</w:t>
      </w:r>
      <w:r w:rsidR="00CA1B11">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spośród dwóch równie skutecznych środków zaradczych krajowe organy ochrony konkurencji powinny wybrać środek najmniej uciążliwy dla danego przedsiębiorstwa.</w:t>
      </w:r>
    </w:p>
    <w:p w14:paraId="65163E72" w14:textId="260829BF" w:rsidR="00E837DF" w:rsidRPr="00D84154" w:rsidRDefault="00E837DF"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Prezes UOKiK </w:t>
      </w:r>
      <w:r w:rsidR="00B51384" w:rsidRPr="00D84154">
        <w:rPr>
          <w:rFonts w:ascii="Times New Roman" w:hAnsi="Times New Roman" w:cs="Times New Roman"/>
          <w:color w:val="000000" w:themeColor="text1"/>
          <w:sz w:val="24"/>
          <w:szCs w:val="24"/>
        </w:rPr>
        <w:t xml:space="preserve">już obecnie, </w:t>
      </w:r>
      <w:r w:rsidRPr="00D84154">
        <w:rPr>
          <w:rFonts w:ascii="Times New Roman" w:hAnsi="Times New Roman" w:cs="Times New Roman"/>
          <w:color w:val="000000" w:themeColor="text1"/>
          <w:sz w:val="24"/>
          <w:szCs w:val="24"/>
        </w:rPr>
        <w:t xml:space="preserve">na podstawie art. 10 ust. 4 i 5 </w:t>
      </w:r>
      <w:r w:rsidR="00FA1189" w:rsidRPr="00D84154">
        <w:rPr>
          <w:rFonts w:ascii="Times New Roman" w:hAnsi="Times New Roman" w:cs="Times New Roman"/>
          <w:color w:val="000000" w:themeColor="text1"/>
          <w:sz w:val="24"/>
          <w:szCs w:val="24"/>
        </w:rPr>
        <w:t>ustawy</w:t>
      </w:r>
      <w:r w:rsidR="00CA1B11">
        <w:rPr>
          <w:rFonts w:ascii="Times New Roman" w:hAnsi="Times New Roman" w:cs="Times New Roman"/>
          <w:color w:val="000000" w:themeColor="text1"/>
          <w:sz w:val="24"/>
          <w:szCs w:val="24"/>
        </w:rPr>
        <w:t>,</w:t>
      </w:r>
      <w:r w:rsidR="00FA1189" w:rsidRPr="00D84154">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ma możliwość nałożenia takich środków w decyzji o uznaniu praktyki za ograniczającą konkurencję (są to praktyki polegające na zawarciu niedozwolonego porozumienia bądź nadużywaniu pozycji dominującej). Polska regulacja, podobnie jak unijna</w:t>
      </w:r>
      <w:r w:rsidR="00CA1B11">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wyróżnia dwa typy środków zaradczych – behawioralne i strukturalne, mimo że na poziomie ustawowy</w:t>
      </w:r>
      <w:r w:rsidR="00BC0E7C">
        <w:rPr>
          <w:rFonts w:ascii="Times New Roman" w:hAnsi="Times New Roman" w:cs="Times New Roman"/>
          <w:color w:val="000000" w:themeColor="text1"/>
          <w:sz w:val="24"/>
          <w:szCs w:val="24"/>
        </w:rPr>
        <w:t>m nie wprowadza ich definicji i </w:t>
      </w:r>
      <w:r w:rsidRPr="00D84154">
        <w:rPr>
          <w:rFonts w:ascii="Times New Roman" w:hAnsi="Times New Roman" w:cs="Times New Roman"/>
          <w:color w:val="000000" w:themeColor="text1"/>
          <w:sz w:val="24"/>
          <w:szCs w:val="24"/>
        </w:rPr>
        <w:t>nie stosuje pojęć behawioralnych i strukturalnych środków zaradczych.</w:t>
      </w:r>
    </w:p>
    <w:p w14:paraId="21668451" w14:textId="0B1F2BD6" w:rsidR="00B51384" w:rsidRPr="00D84154" w:rsidRDefault="00E837DF"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Pierwszy typ, środki o charakterze behawioralnym został określony w art. 10 ust. 4 ustawy. Środki te polegają na nałożeniu na przedsiębiorcę obowiązku określonego działania lub zaniechania. Działanie to </w:t>
      </w:r>
      <w:r w:rsidR="00AD3A05" w:rsidRPr="00D84154">
        <w:rPr>
          <w:rFonts w:ascii="Times New Roman" w:hAnsi="Times New Roman" w:cs="Times New Roman"/>
          <w:color w:val="000000" w:themeColor="text1"/>
          <w:sz w:val="24"/>
          <w:szCs w:val="24"/>
        </w:rPr>
        <w:t xml:space="preserve">jest </w:t>
      </w:r>
      <w:r w:rsidRPr="00D84154">
        <w:rPr>
          <w:rFonts w:ascii="Times New Roman" w:hAnsi="Times New Roman" w:cs="Times New Roman"/>
          <w:color w:val="000000" w:themeColor="text1"/>
          <w:sz w:val="24"/>
          <w:szCs w:val="24"/>
        </w:rPr>
        <w:t>związane ze stosowaną przez niego praktyką. Zazwyczaj środek taki polega na obowiązku powstrzymania się od określonych działań lub też na zobowiązaniu do zmiany stosowanej praktyki.</w:t>
      </w:r>
    </w:p>
    <w:p w14:paraId="74EED64A" w14:textId="73AB9EBA" w:rsidR="00E837DF" w:rsidRPr="00D84154" w:rsidRDefault="00E837DF"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Środki behawioralne dotyczą zachowań przedsiębiorcy skierowanych „na zewnątrz”, wobec jego kontrahentów, konkurentów lub klientów. Środki te nie dokonują ingerencji w wewnętrzną strukturę przedsiębiorcy. Art. 10 ust. 4 </w:t>
      </w:r>
      <w:r w:rsidR="00AD3A05" w:rsidRPr="00D84154">
        <w:rPr>
          <w:rFonts w:ascii="Times New Roman" w:hAnsi="Times New Roman" w:cs="Times New Roman"/>
          <w:color w:val="000000" w:themeColor="text1"/>
          <w:sz w:val="24"/>
          <w:szCs w:val="24"/>
        </w:rPr>
        <w:t xml:space="preserve">ustawy </w:t>
      </w:r>
      <w:r w:rsidRPr="00D84154">
        <w:rPr>
          <w:rFonts w:ascii="Times New Roman" w:hAnsi="Times New Roman" w:cs="Times New Roman"/>
          <w:color w:val="000000" w:themeColor="text1"/>
          <w:sz w:val="24"/>
          <w:szCs w:val="24"/>
        </w:rPr>
        <w:t>zawiera otwarty katalog takich środków.</w:t>
      </w:r>
    </w:p>
    <w:p w14:paraId="099FBDF0" w14:textId="1A7B5725" w:rsidR="00E837DF" w:rsidRPr="00D84154" w:rsidRDefault="00E837DF"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Drugim rodzajem środków zaradczych są środki strukturalne. Środki strukturalne to takie, które ingerują w strukturę przedsiębiorstwa (w strukturę organizacyjną, kapitałową, lub personalną)</w:t>
      </w:r>
      <w:r w:rsidR="00CA1B11">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lastRenderedPageBreak/>
        <w:t>dokonując w niej zmian w stosunku do stanu istniejącego przed naruszeniem. Środek taki jest nakładany w sytuacjach, w których struktura przedsiębiorstwa umożliwia oraz stwarza istotne bodźce do stosowania określonej praktyki, w związku z czym jej utrzymywanie się istotnie zwiększa prawdopodobieństwo takich naruszeń w przyszłoś</w:t>
      </w:r>
      <w:r w:rsidR="00BC0E7C">
        <w:rPr>
          <w:rFonts w:ascii="Times New Roman" w:hAnsi="Times New Roman" w:cs="Times New Roman"/>
          <w:color w:val="000000" w:themeColor="text1"/>
          <w:sz w:val="24"/>
          <w:szCs w:val="24"/>
        </w:rPr>
        <w:t>ci. Środek ten nakładany jest w </w:t>
      </w:r>
      <w:r w:rsidRPr="00D84154">
        <w:rPr>
          <w:rFonts w:ascii="Times New Roman" w:hAnsi="Times New Roman" w:cs="Times New Roman"/>
          <w:color w:val="000000" w:themeColor="text1"/>
          <w:sz w:val="24"/>
          <w:szCs w:val="24"/>
        </w:rPr>
        <w:t>wyjątkowych sytuacjach. Prawo unijne, jak również wzorowane na nim przepisy polskie, wskazują, że można go zastosować jedynie w sytuacji, gdy środki behawioralne mogłyby okazać się nieskuteczne albo skuteczne, lecz bardziej uciążliwe dla przedsiębiorcy. Obecnie przepis art. 10 ust. 5 ustawy przewiduje tylko jeden środek strukturalny polegający na nałożeniu na przedsiębiorcę obowiązku powierzenia wykonywania określonej działalności gospodarczej, w tym wykonywania tej działalności na różnych szczeblach obrotu, poszczególnym podmiotom w ramach grupy kapitałowej lub odrębnym jednostkom organizacyjnym w ramach struktury przedsiębiorcy.</w:t>
      </w:r>
    </w:p>
    <w:p w14:paraId="30F157AB" w14:textId="45F87935" w:rsidR="00DC0465" w:rsidRPr="00D84154" w:rsidRDefault="00E837DF"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W celu wdrożenia </w:t>
      </w:r>
      <w:r w:rsidR="00AD3A05"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 xml:space="preserve">yrektywy należy więc zmienić przepisy ustawy i rozszerzyć uprawnienia Prezesa UOKiK o możliwość nałożenia dowolnego środka o charakterze strukturalnym. </w:t>
      </w:r>
      <w:r w:rsidR="00BC0E7C">
        <w:rPr>
          <w:rFonts w:ascii="Times New Roman" w:hAnsi="Times New Roman" w:cs="Times New Roman"/>
          <w:color w:val="000000" w:themeColor="text1"/>
          <w:sz w:val="24"/>
          <w:szCs w:val="24"/>
        </w:rPr>
        <w:t>Z </w:t>
      </w:r>
      <w:r w:rsidR="00DC0465" w:rsidRPr="00D84154">
        <w:rPr>
          <w:rFonts w:ascii="Times New Roman" w:hAnsi="Times New Roman" w:cs="Times New Roman"/>
          <w:color w:val="000000" w:themeColor="text1"/>
          <w:sz w:val="24"/>
          <w:szCs w:val="24"/>
        </w:rPr>
        <w:t>uwagi na powyższe pro</w:t>
      </w:r>
      <w:r w:rsidR="00AD3A05" w:rsidRPr="00D84154">
        <w:rPr>
          <w:rFonts w:ascii="Times New Roman" w:hAnsi="Times New Roman" w:cs="Times New Roman"/>
          <w:color w:val="000000" w:themeColor="text1"/>
          <w:sz w:val="24"/>
          <w:szCs w:val="24"/>
        </w:rPr>
        <w:t xml:space="preserve">jekt przewiduje </w:t>
      </w:r>
      <w:r w:rsidR="00DC0465" w:rsidRPr="00D84154">
        <w:rPr>
          <w:rFonts w:ascii="Times New Roman" w:hAnsi="Times New Roman" w:cs="Times New Roman"/>
          <w:color w:val="000000" w:themeColor="text1"/>
          <w:sz w:val="24"/>
          <w:szCs w:val="24"/>
        </w:rPr>
        <w:t>wprowadzenie w art. 10 ust. 5 ustawy katalogu środków zaradczych o charakterze strukturalnym, które Prezes UOKiK będzie mógł nałożyć na przedsiębiorców w decyzji, o której mowa w art. 10 ust. 1 ustawy. Prezes UOKiK miałby pełną dowolność w wyborze odpowiedniego środka strukturalnego. Prezes UOKiK</w:t>
      </w:r>
      <w:r w:rsidR="00CA1B11">
        <w:rPr>
          <w:rFonts w:ascii="Times New Roman" w:hAnsi="Times New Roman" w:cs="Times New Roman"/>
          <w:color w:val="000000" w:themeColor="text1"/>
          <w:sz w:val="24"/>
          <w:szCs w:val="24"/>
        </w:rPr>
        <w:t>,</w:t>
      </w:r>
      <w:r w:rsidR="00DC0465" w:rsidRPr="00D84154">
        <w:rPr>
          <w:rFonts w:ascii="Times New Roman" w:hAnsi="Times New Roman" w:cs="Times New Roman"/>
          <w:color w:val="000000" w:themeColor="text1"/>
          <w:sz w:val="24"/>
          <w:szCs w:val="24"/>
        </w:rPr>
        <w:t xml:space="preserve"> nakładając środek strukturalny</w:t>
      </w:r>
      <w:r w:rsidR="00CA1B11">
        <w:rPr>
          <w:rFonts w:ascii="Times New Roman" w:hAnsi="Times New Roman" w:cs="Times New Roman"/>
          <w:color w:val="000000" w:themeColor="text1"/>
          <w:sz w:val="24"/>
          <w:szCs w:val="24"/>
        </w:rPr>
        <w:t>,</w:t>
      </w:r>
      <w:r w:rsidR="00DC0465" w:rsidRPr="00D84154">
        <w:rPr>
          <w:rFonts w:ascii="Times New Roman" w:hAnsi="Times New Roman" w:cs="Times New Roman"/>
          <w:color w:val="000000" w:themeColor="text1"/>
          <w:sz w:val="24"/>
          <w:szCs w:val="24"/>
        </w:rPr>
        <w:t xml:space="preserve"> będzie mógł nakazać:</w:t>
      </w:r>
    </w:p>
    <w:p w14:paraId="35BD0A2C" w14:textId="634B1D5F" w:rsidR="00DC0465" w:rsidRPr="00D84154" w:rsidRDefault="00DC0465" w:rsidP="00D84154">
      <w:pPr>
        <w:pStyle w:val="Akapitzlist"/>
        <w:numPr>
          <w:ilvl w:val="0"/>
          <w:numId w:val="26"/>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podział przedsiębiorcy;</w:t>
      </w:r>
    </w:p>
    <w:p w14:paraId="303C05AA" w14:textId="53B2BD8C" w:rsidR="00DC0465" w:rsidRPr="00D84154" w:rsidRDefault="00DC0465" w:rsidP="00D84154">
      <w:pPr>
        <w:pStyle w:val="Akapitzlist"/>
        <w:numPr>
          <w:ilvl w:val="0"/>
          <w:numId w:val="26"/>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zbycie całości lub części majątku jednego lub kilku przedsiębiorców;</w:t>
      </w:r>
    </w:p>
    <w:p w14:paraId="09B20FC5" w14:textId="6D2B6188" w:rsidR="00DC0465" w:rsidRPr="00D84154" w:rsidRDefault="00DC0465" w:rsidP="00D84154">
      <w:pPr>
        <w:pStyle w:val="Akapitzlist"/>
        <w:numPr>
          <w:ilvl w:val="0"/>
          <w:numId w:val="26"/>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zbycie udziałów lub akcji zapewniających kontrolę nad przedsiębiorc</w:t>
      </w:r>
      <w:r w:rsidR="00CA1B11">
        <w:rPr>
          <w:rFonts w:ascii="Times New Roman" w:hAnsi="Times New Roman" w:cs="Times New Roman"/>
          <w:color w:val="000000" w:themeColor="text1"/>
          <w:sz w:val="24"/>
          <w:szCs w:val="24"/>
        </w:rPr>
        <w:t>ą</w:t>
      </w:r>
      <w:r w:rsidRPr="00D84154">
        <w:rPr>
          <w:rFonts w:ascii="Times New Roman" w:hAnsi="Times New Roman" w:cs="Times New Roman"/>
          <w:color w:val="000000" w:themeColor="text1"/>
          <w:sz w:val="24"/>
          <w:szCs w:val="24"/>
        </w:rPr>
        <w:t xml:space="preserve"> lub przedsiębiorcami; </w:t>
      </w:r>
    </w:p>
    <w:p w14:paraId="03DA71F8" w14:textId="2BB7CE7A" w:rsidR="007979C9" w:rsidRPr="00D84154" w:rsidRDefault="00DC0465" w:rsidP="00D84154">
      <w:pPr>
        <w:pStyle w:val="Akapitzlist"/>
        <w:numPr>
          <w:ilvl w:val="0"/>
          <w:numId w:val="26"/>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powierzenie wykonywania określonej działalności gospodarczej, w tym wykonywania tej działalności na różnych szczeblach obrotu, poszczególnym podmiotom w ramach grupy kapitałowej lub odrębnym jednostkom organizacyjnym w ramach struktury przedsiębiorcy</w:t>
      </w:r>
      <w:r w:rsidR="007979C9" w:rsidRPr="00D84154">
        <w:rPr>
          <w:rFonts w:ascii="Times New Roman" w:hAnsi="Times New Roman" w:cs="Times New Roman"/>
          <w:color w:val="000000" w:themeColor="text1"/>
          <w:sz w:val="24"/>
          <w:szCs w:val="24"/>
        </w:rPr>
        <w:t>;</w:t>
      </w:r>
    </w:p>
    <w:p w14:paraId="0F13B736" w14:textId="508BACA6" w:rsidR="00DC0465" w:rsidRPr="00D84154" w:rsidRDefault="007979C9" w:rsidP="00D84154">
      <w:pPr>
        <w:pStyle w:val="Akapitzlist"/>
        <w:numPr>
          <w:ilvl w:val="0"/>
          <w:numId w:val="26"/>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ingerencj</w:t>
      </w:r>
      <w:r w:rsidR="00AD3A05" w:rsidRPr="00D84154">
        <w:rPr>
          <w:rFonts w:ascii="Times New Roman" w:hAnsi="Times New Roman" w:cs="Times New Roman"/>
          <w:color w:val="000000" w:themeColor="text1"/>
          <w:sz w:val="24"/>
          <w:szCs w:val="24"/>
        </w:rPr>
        <w:t>ę</w:t>
      </w:r>
      <w:r w:rsidRPr="00D84154">
        <w:rPr>
          <w:rFonts w:ascii="Times New Roman" w:hAnsi="Times New Roman" w:cs="Times New Roman"/>
          <w:color w:val="000000" w:themeColor="text1"/>
          <w:sz w:val="24"/>
          <w:szCs w:val="24"/>
        </w:rPr>
        <w:t xml:space="preserve"> w strukturę przedsiębiorcy lub przedsię</w:t>
      </w:r>
      <w:r w:rsidR="00BC0E7C">
        <w:rPr>
          <w:rFonts w:ascii="Times New Roman" w:hAnsi="Times New Roman" w:cs="Times New Roman"/>
          <w:color w:val="000000" w:themeColor="text1"/>
          <w:sz w:val="24"/>
          <w:szCs w:val="24"/>
        </w:rPr>
        <w:t>biorców innymi niż wymienione w </w:t>
      </w:r>
      <w:r w:rsidRPr="00D84154">
        <w:rPr>
          <w:rFonts w:ascii="Times New Roman" w:hAnsi="Times New Roman" w:cs="Times New Roman"/>
          <w:color w:val="000000" w:themeColor="text1"/>
          <w:sz w:val="24"/>
          <w:szCs w:val="24"/>
        </w:rPr>
        <w:t>pkt 1-4 środkami służącymi</w:t>
      </w:r>
      <w:r w:rsidR="00F65A77">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realizacji celu, o którym mowa w ust. 4 (w celu zaniechania stosowania praktyki lub usunięcia jej skutków).</w:t>
      </w:r>
    </w:p>
    <w:p w14:paraId="6F579A27" w14:textId="389AD740" w:rsidR="00E837DF" w:rsidRPr="00D84154" w:rsidRDefault="007979C9"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Powyższy katalog sprawi, że</w:t>
      </w:r>
      <w:r w:rsidR="00DC0465" w:rsidRPr="00D84154">
        <w:rPr>
          <w:rFonts w:ascii="Times New Roman" w:hAnsi="Times New Roman" w:cs="Times New Roman"/>
          <w:color w:val="000000" w:themeColor="text1"/>
          <w:sz w:val="24"/>
          <w:szCs w:val="24"/>
        </w:rPr>
        <w:t xml:space="preserve"> Prezes UOKiK będzie mógł</w:t>
      </w:r>
      <w:r w:rsidR="003B7FE6">
        <w:rPr>
          <w:rFonts w:ascii="Times New Roman" w:hAnsi="Times New Roman" w:cs="Times New Roman"/>
          <w:color w:val="000000" w:themeColor="text1"/>
          <w:sz w:val="24"/>
          <w:szCs w:val="24"/>
        </w:rPr>
        <w:t>,</w:t>
      </w:r>
      <w:r w:rsidR="00DC0465" w:rsidRPr="00D84154">
        <w:rPr>
          <w:rFonts w:ascii="Times New Roman" w:hAnsi="Times New Roman" w:cs="Times New Roman"/>
          <w:color w:val="000000" w:themeColor="text1"/>
          <w:sz w:val="24"/>
          <w:szCs w:val="24"/>
        </w:rPr>
        <w:t xml:space="preserve"> w przypadku gdy będą tego wymagały okoliczności sprawy</w:t>
      </w:r>
      <w:r w:rsidR="00CA1B11">
        <w:rPr>
          <w:rFonts w:ascii="Times New Roman" w:hAnsi="Times New Roman" w:cs="Times New Roman"/>
          <w:color w:val="000000" w:themeColor="text1"/>
          <w:sz w:val="24"/>
          <w:szCs w:val="24"/>
        </w:rPr>
        <w:t>,</w:t>
      </w:r>
      <w:r w:rsidR="00DC0465" w:rsidRPr="00D84154">
        <w:rPr>
          <w:rFonts w:ascii="Times New Roman" w:hAnsi="Times New Roman" w:cs="Times New Roman"/>
          <w:color w:val="000000" w:themeColor="text1"/>
          <w:sz w:val="24"/>
          <w:szCs w:val="24"/>
        </w:rPr>
        <w:t xml:space="preserve"> zastosować inny środek mający na celu ingerencję w strukturę przedsiębiorcy. Takie rozwiązanie zapewni </w:t>
      </w:r>
      <w:r w:rsidR="00AE216D" w:rsidRPr="00D84154">
        <w:rPr>
          <w:rFonts w:ascii="Times New Roman" w:hAnsi="Times New Roman" w:cs="Times New Roman"/>
          <w:color w:val="000000" w:themeColor="text1"/>
          <w:sz w:val="24"/>
          <w:szCs w:val="24"/>
        </w:rPr>
        <w:t xml:space="preserve">elastyczność </w:t>
      </w:r>
      <w:r w:rsidR="00DC0465" w:rsidRPr="00D84154">
        <w:rPr>
          <w:rFonts w:ascii="Times New Roman" w:hAnsi="Times New Roman" w:cs="Times New Roman"/>
          <w:color w:val="000000" w:themeColor="text1"/>
          <w:sz w:val="24"/>
          <w:szCs w:val="24"/>
        </w:rPr>
        <w:t xml:space="preserve">wyboru środków strukturalnych, </w:t>
      </w:r>
      <w:r w:rsidR="00DC0465" w:rsidRPr="00D84154">
        <w:rPr>
          <w:rFonts w:ascii="Times New Roman" w:hAnsi="Times New Roman" w:cs="Times New Roman"/>
          <w:color w:val="000000" w:themeColor="text1"/>
          <w:sz w:val="24"/>
          <w:szCs w:val="24"/>
        </w:rPr>
        <w:lastRenderedPageBreak/>
        <w:t>a</w:t>
      </w:r>
      <w:r w:rsidR="00BC0E7C">
        <w:rPr>
          <w:rFonts w:ascii="Times New Roman" w:hAnsi="Times New Roman" w:cs="Times New Roman"/>
          <w:color w:val="000000" w:themeColor="text1"/>
          <w:sz w:val="24"/>
          <w:szCs w:val="24"/>
        </w:rPr>
        <w:t> </w:t>
      </w:r>
      <w:r w:rsidR="00DC0465" w:rsidRPr="00D84154">
        <w:rPr>
          <w:rFonts w:ascii="Times New Roman" w:hAnsi="Times New Roman" w:cs="Times New Roman"/>
          <w:color w:val="000000" w:themeColor="text1"/>
          <w:sz w:val="24"/>
          <w:szCs w:val="24"/>
        </w:rPr>
        <w:t xml:space="preserve">tym samym zapewni wdrożenie </w:t>
      </w:r>
      <w:r w:rsidR="00AD3A05" w:rsidRPr="00D84154">
        <w:rPr>
          <w:rFonts w:ascii="Times New Roman" w:hAnsi="Times New Roman" w:cs="Times New Roman"/>
          <w:color w:val="000000" w:themeColor="text1"/>
          <w:sz w:val="24"/>
          <w:szCs w:val="24"/>
        </w:rPr>
        <w:t>d</w:t>
      </w:r>
      <w:r w:rsidR="00DC0465" w:rsidRPr="00D84154">
        <w:rPr>
          <w:rFonts w:ascii="Times New Roman" w:hAnsi="Times New Roman" w:cs="Times New Roman"/>
          <w:color w:val="000000" w:themeColor="text1"/>
          <w:sz w:val="24"/>
          <w:szCs w:val="24"/>
        </w:rPr>
        <w:t xml:space="preserve">yrektywy w tym zakresie. </w:t>
      </w:r>
      <w:r w:rsidR="00E837DF" w:rsidRPr="00D84154">
        <w:rPr>
          <w:rFonts w:ascii="Times New Roman" w:hAnsi="Times New Roman" w:cs="Times New Roman"/>
          <w:color w:val="000000" w:themeColor="text1"/>
          <w:sz w:val="24"/>
          <w:szCs w:val="24"/>
        </w:rPr>
        <w:t>Z uwagi na większą inwazyjność tego rozwiązania w wewnętrzną strukturę i strategię przedsiębiorcy, Prezes UOKiK mógłby skorzystać z tego narzędzia jedynie w wyjątkowyc</w:t>
      </w:r>
      <w:r w:rsidR="00BC0E7C">
        <w:rPr>
          <w:rFonts w:ascii="Times New Roman" w:hAnsi="Times New Roman" w:cs="Times New Roman"/>
          <w:color w:val="000000" w:themeColor="text1"/>
          <w:sz w:val="24"/>
          <w:szCs w:val="24"/>
        </w:rPr>
        <w:t>h okolicznościach określonych w </w:t>
      </w:r>
      <w:r w:rsidR="00E837DF" w:rsidRPr="00D84154">
        <w:rPr>
          <w:rFonts w:ascii="Times New Roman" w:hAnsi="Times New Roman" w:cs="Times New Roman"/>
          <w:color w:val="000000" w:themeColor="text1"/>
          <w:sz w:val="24"/>
          <w:szCs w:val="24"/>
        </w:rPr>
        <w:t>projektowan</w:t>
      </w:r>
      <w:r w:rsidR="001A502D" w:rsidRPr="00D84154">
        <w:rPr>
          <w:rFonts w:ascii="Times New Roman" w:hAnsi="Times New Roman" w:cs="Times New Roman"/>
          <w:color w:val="000000" w:themeColor="text1"/>
          <w:sz w:val="24"/>
          <w:szCs w:val="24"/>
        </w:rPr>
        <w:t xml:space="preserve">ych </w:t>
      </w:r>
      <w:r w:rsidR="00AD3A05" w:rsidRPr="00D84154">
        <w:rPr>
          <w:rFonts w:ascii="Times New Roman" w:hAnsi="Times New Roman" w:cs="Times New Roman"/>
          <w:color w:val="000000" w:themeColor="text1"/>
          <w:sz w:val="24"/>
          <w:szCs w:val="24"/>
        </w:rPr>
        <w:t>przepisach</w:t>
      </w:r>
      <w:r w:rsidR="00E837DF" w:rsidRPr="00D84154">
        <w:rPr>
          <w:rFonts w:ascii="Times New Roman" w:hAnsi="Times New Roman" w:cs="Times New Roman"/>
          <w:color w:val="000000" w:themeColor="text1"/>
          <w:sz w:val="24"/>
          <w:szCs w:val="24"/>
        </w:rPr>
        <w:t>, tzn. w przypadku gdy inne środki mogłyby okazać się nieskuteczne lub też gdy byłyby równie skuteczne</w:t>
      </w:r>
      <w:r w:rsidR="007657E2">
        <w:rPr>
          <w:rFonts w:ascii="Times New Roman" w:hAnsi="Times New Roman" w:cs="Times New Roman"/>
          <w:color w:val="000000" w:themeColor="text1"/>
          <w:sz w:val="24"/>
          <w:szCs w:val="24"/>
        </w:rPr>
        <w:t>,</w:t>
      </w:r>
      <w:r w:rsidR="00E837DF" w:rsidRPr="00D84154">
        <w:rPr>
          <w:rFonts w:ascii="Times New Roman" w:hAnsi="Times New Roman" w:cs="Times New Roman"/>
          <w:color w:val="000000" w:themeColor="text1"/>
          <w:sz w:val="24"/>
          <w:szCs w:val="24"/>
        </w:rPr>
        <w:t xml:space="preserve"> lecz bardziej uciążliwe dla przedsiębiorcy. Podobnie jak w przypadku pozostałych środków, także i ten środek powinien być proporcjonalny do stwierdzonego naruszenia i konieczny do usunięcia jego skutków. Takie ograniczenie jest zgodne z </w:t>
      </w:r>
      <w:r w:rsidR="00AD3A05" w:rsidRPr="00D84154">
        <w:rPr>
          <w:rFonts w:ascii="Times New Roman" w:hAnsi="Times New Roman" w:cs="Times New Roman"/>
          <w:color w:val="000000" w:themeColor="text1"/>
          <w:sz w:val="24"/>
          <w:szCs w:val="24"/>
        </w:rPr>
        <w:t>d</w:t>
      </w:r>
      <w:r w:rsidR="00E837DF" w:rsidRPr="00D84154">
        <w:rPr>
          <w:rFonts w:ascii="Times New Roman" w:hAnsi="Times New Roman" w:cs="Times New Roman"/>
          <w:color w:val="000000" w:themeColor="text1"/>
          <w:sz w:val="24"/>
          <w:szCs w:val="24"/>
        </w:rPr>
        <w:t>yrektywą.</w:t>
      </w:r>
    </w:p>
    <w:p w14:paraId="0EC1CB0C" w14:textId="38954D59" w:rsidR="00E837DF" w:rsidRPr="00D84154" w:rsidRDefault="00E837DF"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Jednocześnie w przypadku nałożenia środka zaradczego, zastosowanie znajdzie procedura konsultacyjna określona w art. 10 ust. 7 ustawy, w trakcie której przedsiębiorca będzie mógł się odnieść do zaproponowanego przez Prezesa UOKiK środka i przedstawić swoje stanowisko oraz argumenty przemawiające za podjęciem przez Prezesa UOKiK innych </w:t>
      </w:r>
      <w:r w:rsidR="00A110BC" w:rsidRPr="00D84154">
        <w:rPr>
          <w:rFonts w:ascii="Times New Roman" w:hAnsi="Times New Roman" w:cs="Times New Roman"/>
          <w:color w:val="000000" w:themeColor="text1"/>
          <w:sz w:val="24"/>
          <w:szCs w:val="24"/>
        </w:rPr>
        <w:t>działań.</w:t>
      </w:r>
    </w:p>
    <w:p w14:paraId="3B974F05" w14:textId="77777777" w:rsidR="00D159BB" w:rsidRPr="00D84154" w:rsidRDefault="00D159BB" w:rsidP="00D84154">
      <w:pPr>
        <w:pStyle w:val="Akapitzlist"/>
        <w:numPr>
          <w:ilvl w:val="0"/>
          <w:numId w:val="2"/>
        </w:numPr>
        <w:spacing w:before="120" w:after="0" w:line="360" w:lineRule="auto"/>
        <w:ind w:left="426" w:hanging="426"/>
        <w:jc w:val="both"/>
        <w:rPr>
          <w:rFonts w:ascii="Times New Roman" w:hAnsi="Times New Roman" w:cs="Times New Roman"/>
          <w:b/>
          <w:bCs/>
          <w:color w:val="000000" w:themeColor="text1"/>
          <w:sz w:val="24"/>
          <w:szCs w:val="24"/>
        </w:rPr>
      </w:pPr>
      <w:r w:rsidRPr="00D84154">
        <w:rPr>
          <w:rFonts w:ascii="Times New Roman" w:hAnsi="Times New Roman" w:cs="Times New Roman"/>
          <w:b/>
          <w:bCs/>
          <w:color w:val="000000" w:themeColor="text1"/>
          <w:sz w:val="24"/>
          <w:szCs w:val="24"/>
        </w:rPr>
        <w:t>Kadencyjność Prezesa UOKiK</w:t>
      </w:r>
      <w:r w:rsidR="00B15D9C" w:rsidRPr="00D84154">
        <w:rPr>
          <w:rFonts w:ascii="Times New Roman" w:hAnsi="Times New Roman" w:cs="Times New Roman"/>
          <w:b/>
          <w:bCs/>
          <w:color w:val="000000" w:themeColor="text1"/>
          <w:sz w:val="24"/>
          <w:szCs w:val="24"/>
        </w:rPr>
        <w:t xml:space="preserve">, </w:t>
      </w:r>
      <w:r w:rsidR="00AC3CFD" w:rsidRPr="00D84154">
        <w:rPr>
          <w:rFonts w:ascii="Times New Roman" w:hAnsi="Times New Roman" w:cs="Times New Roman"/>
          <w:b/>
          <w:bCs/>
          <w:color w:val="000000" w:themeColor="text1"/>
          <w:sz w:val="24"/>
          <w:szCs w:val="24"/>
        </w:rPr>
        <w:t xml:space="preserve">zapewnienie </w:t>
      </w:r>
      <w:r w:rsidR="00B15D9C" w:rsidRPr="00D84154">
        <w:rPr>
          <w:rFonts w:ascii="Times New Roman" w:hAnsi="Times New Roman" w:cs="Times New Roman"/>
          <w:b/>
          <w:bCs/>
          <w:color w:val="000000" w:themeColor="text1"/>
          <w:sz w:val="24"/>
          <w:szCs w:val="24"/>
        </w:rPr>
        <w:t xml:space="preserve">bezstronności i </w:t>
      </w:r>
      <w:r w:rsidR="00AC3CFD" w:rsidRPr="00D84154">
        <w:rPr>
          <w:rFonts w:ascii="Times New Roman" w:hAnsi="Times New Roman" w:cs="Times New Roman"/>
          <w:b/>
          <w:bCs/>
          <w:color w:val="000000" w:themeColor="text1"/>
          <w:sz w:val="24"/>
          <w:szCs w:val="24"/>
        </w:rPr>
        <w:t>przeciwdziałanie</w:t>
      </w:r>
      <w:r w:rsidR="00B15D9C" w:rsidRPr="00D84154">
        <w:rPr>
          <w:rFonts w:ascii="Times New Roman" w:hAnsi="Times New Roman" w:cs="Times New Roman"/>
          <w:b/>
          <w:bCs/>
          <w:color w:val="000000" w:themeColor="text1"/>
          <w:sz w:val="24"/>
          <w:szCs w:val="24"/>
        </w:rPr>
        <w:t xml:space="preserve"> konfliktowi interesów</w:t>
      </w:r>
    </w:p>
    <w:p w14:paraId="36BF4D7B" w14:textId="4AE98CB6" w:rsidR="00E837DF" w:rsidRPr="00D84154" w:rsidRDefault="00E837DF"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Dyrektywa nakłada na państwa członkowskie UE obowiązek przyjmowania regulacji zapewniających niezależność osobom pełniącym funkcję organów antymonopolowych zarówno w zakresie jasno określonych kryteriów powołania</w:t>
      </w:r>
      <w:r w:rsidR="00BC0E7C">
        <w:rPr>
          <w:rFonts w:ascii="Times New Roman" w:hAnsi="Times New Roman" w:cs="Times New Roman"/>
          <w:color w:val="000000" w:themeColor="text1"/>
          <w:sz w:val="24"/>
          <w:szCs w:val="24"/>
        </w:rPr>
        <w:t xml:space="preserve"> i odwołania tych osób, jak i w </w:t>
      </w:r>
      <w:r w:rsidRPr="00D84154">
        <w:rPr>
          <w:rFonts w:ascii="Times New Roman" w:hAnsi="Times New Roman" w:cs="Times New Roman"/>
          <w:color w:val="000000" w:themeColor="text1"/>
          <w:sz w:val="24"/>
          <w:szCs w:val="24"/>
        </w:rPr>
        <w:t>odniesieniu do sposobu sprawowania tej funkcji.</w:t>
      </w:r>
    </w:p>
    <w:p w14:paraId="640C3947" w14:textId="05CA8B97" w:rsidR="00E837DF" w:rsidRPr="00D84154" w:rsidRDefault="00E837DF"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Obecne regulacje w ustawie w powyższym zakresie (art. 29 i art. 30), jakkolwiek zapewniają Prezesowi UOKiK względną niezależność instytucjonalną, to wymagają modernizacji pod kątem zapewnienia możliwości wykonywania przez organ antymonopolowy ustawowych zadań w sposób niezależny. Proponowane w powyższym zakresie wzmocnienie niezależności organu antymonopolowego w Polsce</w:t>
      </w:r>
      <w:r w:rsidR="00F65A77">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stanowi</w:t>
      </w:r>
      <w:r w:rsidR="00F65A77">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realizację postulatu niejednokrotnie zgłaszanego w ostatnich latach przez środowiska skupiające osoby naukowo lub zawodowo związane ze stosowaniem prawa ochrony konkurencji i ochrony konsumentów</w:t>
      </w:r>
      <w:r w:rsidR="00E540B5" w:rsidRPr="00D84154">
        <w:rPr>
          <w:rStyle w:val="Odwoanieprzypisudolnego"/>
          <w:rFonts w:ascii="Times New Roman" w:hAnsi="Times New Roman" w:cs="Times New Roman"/>
          <w:color w:val="000000" w:themeColor="text1"/>
          <w:sz w:val="24"/>
          <w:szCs w:val="24"/>
        </w:rPr>
        <w:footnoteReference w:id="13"/>
      </w:r>
      <w:r w:rsidR="00AD3A05" w:rsidRPr="00D84154">
        <w:rPr>
          <w:rFonts w:ascii="Times New Roman" w:hAnsi="Times New Roman" w:cs="Times New Roman"/>
          <w:color w:val="000000" w:themeColor="text1"/>
          <w:sz w:val="24"/>
          <w:szCs w:val="24"/>
          <w:vertAlign w:val="superscript"/>
        </w:rPr>
        <w:t>)</w:t>
      </w:r>
      <w:r w:rsidRPr="00D84154">
        <w:rPr>
          <w:rFonts w:ascii="Times New Roman" w:hAnsi="Times New Roman" w:cs="Times New Roman"/>
          <w:color w:val="000000" w:themeColor="text1"/>
          <w:sz w:val="24"/>
          <w:szCs w:val="24"/>
        </w:rPr>
        <w:t xml:space="preserve">. Wprowadzenie kadencyjności będzie </w:t>
      </w:r>
      <w:r w:rsidR="00A110BC" w:rsidRPr="00D84154">
        <w:rPr>
          <w:rFonts w:ascii="Times New Roman" w:hAnsi="Times New Roman" w:cs="Times New Roman"/>
          <w:color w:val="000000" w:themeColor="text1"/>
          <w:sz w:val="24"/>
          <w:szCs w:val="24"/>
        </w:rPr>
        <w:t>niewątpliwie służyć</w:t>
      </w:r>
      <w:r w:rsidRPr="00D84154">
        <w:rPr>
          <w:rFonts w:ascii="Times New Roman" w:hAnsi="Times New Roman" w:cs="Times New Roman"/>
          <w:color w:val="000000" w:themeColor="text1"/>
          <w:sz w:val="24"/>
          <w:szCs w:val="24"/>
        </w:rPr>
        <w:t xml:space="preserve"> skuteczniejszemu wypełnianiu przez Prezesa UOKiK jego ustawowych zadań.</w:t>
      </w:r>
    </w:p>
    <w:p w14:paraId="43FE5194" w14:textId="68290E5F" w:rsidR="00E837DF" w:rsidRPr="00D84154" w:rsidRDefault="00E837DF"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Projekt zakłada wprowadzenie pięcioletniej kadencji Prezesa UOKiK. Rozwiązanie to, wraz z określeniem zamkniętego katalogu przesłanek, na podstawie których Prezes UOKiK będzie </w:t>
      </w:r>
      <w:r w:rsidRPr="00D84154">
        <w:rPr>
          <w:rFonts w:ascii="Times New Roman" w:hAnsi="Times New Roman" w:cs="Times New Roman"/>
          <w:color w:val="000000" w:themeColor="text1"/>
          <w:sz w:val="24"/>
          <w:szCs w:val="24"/>
        </w:rPr>
        <w:lastRenderedPageBreak/>
        <w:t>mógł być odwołany przez Prezesa Rady Ministrów, ma na celu zapewnienie większej niezależności Prezesa UOKiK oraz pozwoli na planowanie</w:t>
      </w:r>
      <w:r w:rsidR="00BC0E7C">
        <w:rPr>
          <w:rFonts w:ascii="Times New Roman" w:hAnsi="Times New Roman" w:cs="Times New Roman"/>
          <w:color w:val="000000" w:themeColor="text1"/>
          <w:sz w:val="24"/>
          <w:szCs w:val="24"/>
        </w:rPr>
        <w:t xml:space="preserve"> polityki ochrony konkurencji i </w:t>
      </w:r>
      <w:r w:rsidRPr="00D84154">
        <w:rPr>
          <w:rFonts w:ascii="Times New Roman" w:hAnsi="Times New Roman" w:cs="Times New Roman"/>
          <w:color w:val="000000" w:themeColor="text1"/>
          <w:sz w:val="24"/>
          <w:szCs w:val="24"/>
        </w:rPr>
        <w:t>konsumentów w dłuższej perspektywie czasu. Katalog prze</w:t>
      </w:r>
      <w:r w:rsidR="00BC0E7C">
        <w:rPr>
          <w:rFonts w:ascii="Times New Roman" w:hAnsi="Times New Roman" w:cs="Times New Roman"/>
          <w:color w:val="000000" w:themeColor="text1"/>
          <w:sz w:val="24"/>
          <w:szCs w:val="24"/>
        </w:rPr>
        <w:t>słanek ma charakter zamknięty i </w:t>
      </w:r>
      <w:r w:rsidRPr="00D84154">
        <w:rPr>
          <w:rFonts w:ascii="Times New Roman" w:hAnsi="Times New Roman" w:cs="Times New Roman"/>
          <w:color w:val="000000" w:themeColor="text1"/>
          <w:sz w:val="24"/>
          <w:szCs w:val="24"/>
        </w:rPr>
        <w:t>nie zawiera przesłanek o charakterze ocennym i niedookreślonym (wprowadzenie do art</w:t>
      </w:r>
      <w:r w:rsidR="00BC0E7C">
        <w:rPr>
          <w:rFonts w:ascii="Times New Roman" w:hAnsi="Times New Roman" w:cs="Times New Roman"/>
          <w:color w:val="000000" w:themeColor="text1"/>
          <w:sz w:val="24"/>
          <w:szCs w:val="24"/>
        </w:rPr>
        <w:t>. </w:t>
      </w:r>
      <w:r w:rsidRPr="00D84154">
        <w:rPr>
          <w:rFonts w:ascii="Times New Roman" w:hAnsi="Times New Roman" w:cs="Times New Roman"/>
          <w:color w:val="000000" w:themeColor="text1"/>
          <w:sz w:val="24"/>
          <w:szCs w:val="24"/>
        </w:rPr>
        <w:t>29 ust. 4 ustawy takiego rodzaju przesłanek stałoby w jawnej sprzeczności z zasadniczym celem wprowadzanej zmiany – wzmocnieni</w:t>
      </w:r>
      <w:r w:rsidR="00AD3A05" w:rsidRPr="00D84154">
        <w:rPr>
          <w:rFonts w:ascii="Times New Roman" w:hAnsi="Times New Roman" w:cs="Times New Roman"/>
          <w:color w:val="000000" w:themeColor="text1"/>
          <w:sz w:val="24"/>
          <w:szCs w:val="24"/>
        </w:rPr>
        <w:t>em</w:t>
      </w:r>
      <w:r w:rsidRPr="00D84154">
        <w:rPr>
          <w:rFonts w:ascii="Times New Roman" w:hAnsi="Times New Roman" w:cs="Times New Roman"/>
          <w:color w:val="000000" w:themeColor="text1"/>
          <w:sz w:val="24"/>
          <w:szCs w:val="24"/>
        </w:rPr>
        <w:t xml:space="preserve"> gwarancji niezależności organu antymonopolowego). Zgodnie z projektem odwołanie Prezesa UOKiK przed końcem kadencji będzie możliwe jedynie w przypadku:</w:t>
      </w:r>
    </w:p>
    <w:p w14:paraId="0E8C6D1D" w14:textId="6B497929" w:rsidR="00E837DF" w:rsidRPr="00D84154" w:rsidRDefault="00E837DF" w:rsidP="00D84154">
      <w:pPr>
        <w:pStyle w:val="Akapitzlist"/>
        <w:numPr>
          <w:ilvl w:val="0"/>
          <w:numId w:val="32"/>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skazania prawomocnym wyrokiem za umyślne przestępstwo lub umyślne przestępstwo skarbowe;</w:t>
      </w:r>
    </w:p>
    <w:p w14:paraId="7CBA1BBE" w14:textId="7E95C043" w:rsidR="00A42966" w:rsidRPr="00D84154" w:rsidRDefault="00A42966" w:rsidP="00D84154">
      <w:pPr>
        <w:pStyle w:val="Akapitzlist"/>
        <w:numPr>
          <w:ilvl w:val="0"/>
          <w:numId w:val="32"/>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orzeczenia zakazu zajmowania kierowniczych stanowisk lub pełnienia funkcji związanych ze szczególną odpowiedzialnością w organach państwa</w:t>
      </w:r>
      <w:r w:rsidR="002D0FBA" w:rsidRPr="00D84154">
        <w:rPr>
          <w:rFonts w:ascii="Times New Roman" w:hAnsi="Times New Roman" w:cs="Times New Roman"/>
          <w:color w:val="000000" w:themeColor="text1"/>
          <w:sz w:val="24"/>
          <w:szCs w:val="24"/>
        </w:rPr>
        <w:t>;</w:t>
      </w:r>
    </w:p>
    <w:p w14:paraId="3C42BCEA" w14:textId="77777777" w:rsidR="00E837DF" w:rsidRPr="00D84154" w:rsidRDefault="00E837DF" w:rsidP="00D84154">
      <w:pPr>
        <w:pStyle w:val="Akapitzlist"/>
        <w:numPr>
          <w:ilvl w:val="0"/>
          <w:numId w:val="32"/>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pozbawienia praw publicznych;</w:t>
      </w:r>
    </w:p>
    <w:p w14:paraId="67562C81" w14:textId="77777777" w:rsidR="00E837DF" w:rsidRPr="00D84154" w:rsidRDefault="00E837DF" w:rsidP="00D84154">
      <w:pPr>
        <w:pStyle w:val="Akapitzlist"/>
        <w:numPr>
          <w:ilvl w:val="0"/>
          <w:numId w:val="32"/>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złożenia rezygnacji;</w:t>
      </w:r>
    </w:p>
    <w:p w14:paraId="6FF64659" w14:textId="77777777" w:rsidR="00E837DF" w:rsidRPr="00D84154" w:rsidRDefault="00E837DF" w:rsidP="00D84154">
      <w:pPr>
        <w:pStyle w:val="Akapitzlist"/>
        <w:numPr>
          <w:ilvl w:val="0"/>
          <w:numId w:val="32"/>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utraty obywatelstwa polskiego;</w:t>
      </w:r>
    </w:p>
    <w:p w14:paraId="55F5BD57" w14:textId="07A60099" w:rsidR="00E837DF" w:rsidRPr="00D84154" w:rsidRDefault="00E837DF" w:rsidP="00D84154">
      <w:pPr>
        <w:pStyle w:val="Akapitzlist"/>
        <w:numPr>
          <w:ilvl w:val="0"/>
          <w:numId w:val="32"/>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choroby stwierdzonej orzeczeniem lekarskim lub innej przeszkody, trwale uniemożliwiając</w:t>
      </w:r>
      <w:r w:rsidR="00F86913" w:rsidRPr="00D84154">
        <w:rPr>
          <w:rFonts w:ascii="Times New Roman" w:hAnsi="Times New Roman" w:cs="Times New Roman"/>
          <w:color w:val="000000" w:themeColor="text1"/>
          <w:sz w:val="24"/>
          <w:szCs w:val="24"/>
        </w:rPr>
        <w:t>ych</w:t>
      </w:r>
      <w:r w:rsidRPr="00D84154">
        <w:rPr>
          <w:rFonts w:ascii="Times New Roman" w:hAnsi="Times New Roman" w:cs="Times New Roman"/>
          <w:color w:val="000000" w:themeColor="text1"/>
          <w:sz w:val="24"/>
          <w:szCs w:val="24"/>
        </w:rPr>
        <w:t xml:space="preserve"> wykonywanie zadań;</w:t>
      </w:r>
    </w:p>
    <w:p w14:paraId="4F6D99EE" w14:textId="7BE23D7A" w:rsidR="00E837DF" w:rsidRPr="00D84154" w:rsidRDefault="00E837DF" w:rsidP="00D84154">
      <w:pPr>
        <w:pStyle w:val="Akapitzlist"/>
        <w:numPr>
          <w:ilvl w:val="0"/>
          <w:numId w:val="32"/>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naruszenia zakazów, o których mowa w art. 4 ustawy z dnia 21 sier</w:t>
      </w:r>
      <w:r w:rsidR="00BC0E7C">
        <w:rPr>
          <w:rFonts w:ascii="Times New Roman" w:hAnsi="Times New Roman" w:cs="Times New Roman"/>
          <w:color w:val="000000" w:themeColor="text1"/>
          <w:sz w:val="24"/>
          <w:szCs w:val="24"/>
        </w:rPr>
        <w:t>pnia 1997 r. o </w:t>
      </w:r>
      <w:r w:rsidRPr="00D84154">
        <w:rPr>
          <w:rFonts w:ascii="Times New Roman" w:hAnsi="Times New Roman" w:cs="Times New Roman"/>
          <w:color w:val="000000" w:themeColor="text1"/>
          <w:sz w:val="24"/>
          <w:szCs w:val="24"/>
        </w:rPr>
        <w:t xml:space="preserve">ograniczeniu prowadzenia działalności gospodarczej przez osoby pełniące funkcje publiczne (Dz. U. z </w:t>
      </w:r>
      <w:r w:rsidR="00B6208E" w:rsidRPr="00D84154">
        <w:rPr>
          <w:rFonts w:ascii="Times New Roman" w:hAnsi="Times New Roman" w:cs="Times New Roman"/>
          <w:color w:val="000000" w:themeColor="text1"/>
          <w:sz w:val="24"/>
          <w:szCs w:val="24"/>
        </w:rPr>
        <w:t>2022 r. poz. 1110</w:t>
      </w:r>
      <w:r w:rsidRPr="00D84154">
        <w:rPr>
          <w:rFonts w:ascii="Times New Roman" w:hAnsi="Times New Roman" w:cs="Times New Roman"/>
          <w:color w:val="000000" w:themeColor="text1"/>
          <w:sz w:val="24"/>
          <w:szCs w:val="24"/>
        </w:rPr>
        <w:t>);</w:t>
      </w:r>
    </w:p>
    <w:p w14:paraId="678A005B" w14:textId="63F98FFE" w:rsidR="00794E29" w:rsidRPr="00D84154" w:rsidRDefault="00E837DF" w:rsidP="00D84154">
      <w:pPr>
        <w:pStyle w:val="Akapitzlist"/>
        <w:numPr>
          <w:ilvl w:val="0"/>
          <w:numId w:val="32"/>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naruszenia zakazu</w:t>
      </w:r>
      <w:r w:rsidR="00AC3CFD" w:rsidRPr="00D84154">
        <w:rPr>
          <w:rFonts w:ascii="Times New Roman" w:hAnsi="Times New Roman" w:cs="Times New Roman"/>
          <w:color w:val="000000" w:themeColor="text1"/>
          <w:sz w:val="24"/>
          <w:szCs w:val="24"/>
        </w:rPr>
        <w:t xml:space="preserve"> zajmowania innego stanowiska, z wyjątkiem stanowiska dydaktycznego, </w:t>
      </w:r>
      <w:r w:rsidR="00DC2FB7" w:rsidRPr="00D84154">
        <w:rPr>
          <w:rFonts w:ascii="Times New Roman" w:hAnsi="Times New Roman" w:cs="Times New Roman"/>
          <w:color w:val="000000" w:themeColor="text1"/>
          <w:sz w:val="24"/>
          <w:szCs w:val="24"/>
        </w:rPr>
        <w:t xml:space="preserve">badawczego lub </w:t>
      </w:r>
      <w:r w:rsidR="00AC3CFD" w:rsidRPr="00D84154">
        <w:rPr>
          <w:rFonts w:ascii="Times New Roman" w:hAnsi="Times New Roman" w:cs="Times New Roman"/>
          <w:color w:val="000000" w:themeColor="text1"/>
          <w:sz w:val="24"/>
          <w:szCs w:val="24"/>
        </w:rPr>
        <w:t xml:space="preserve">badawczo-dydaktycznego </w:t>
      </w:r>
      <w:r w:rsidR="00DC2FB7" w:rsidRPr="00D84154">
        <w:rPr>
          <w:rFonts w:ascii="Times New Roman" w:hAnsi="Times New Roman" w:cs="Times New Roman"/>
          <w:color w:val="000000" w:themeColor="text1"/>
          <w:sz w:val="24"/>
          <w:szCs w:val="24"/>
        </w:rPr>
        <w:t>na uczelni</w:t>
      </w:r>
      <w:r w:rsidR="00AC3CFD" w:rsidRPr="00D84154">
        <w:rPr>
          <w:rFonts w:ascii="Times New Roman" w:hAnsi="Times New Roman" w:cs="Times New Roman"/>
          <w:color w:val="000000" w:themeColor="text1"/>
          <w:sz w:val="24"/>
          <w:szCs w:val="24"/>
        </w:rPr>
        <w:t xml:space="preserve">, </w:t>
      </w:r>
      <w:r w:rsidR="00DC2FB7" w:rsidRPr="00D84154">
        <w:rPr>
          <w:rFonts w:ascii="Times New Roman" w:hAnsi="Times New Roman" w:cs="Times New Roman"/>
          <w:color w:val="000000" w:themeColor="text1"/>
          <w:sz w:val="24"/>
          <w:szCs w:val="24"/>
        </w:rPr>
        <w:t xml:space="preserve">w </w:t>
      </w:r>
      <w:r w:rsidR="00AC3CFD" w:rsidRPr="00D84154">
        <w:rPr>
          <w:rFonts w:ascii="Times New Roman" w:hAnsi="Times New Roman" w:cs="Times New Roman"/>
          <w:color w:val="000000" w:themeColor="text1"/>
          <w:sz w:val="24"/>
          <w:szCs w:val="24"/>
        </w:rPr>
        <w:t>Polskiej Akademii Nauk, instytucie badawczym lub inn</w:t>
      </w:r>
      <w:r w:rsidR="00DC2FB7" w:rsidRPr="00D84154">
        <w:rPr>
          <w:rFonts w:ascii="Times New Roman" w:hAnsi="Times New Roman" w:cs="Times New Roman"/>
          <w:color w:val="000000" w:themeColor="text1"/>
          <w:sz w:val="24"/>
          <w:szCs w:val="24"/>
        </w:rPr>
        <w:t>ym</w:t>
      </w:r>
      <w:r w:rsidR="00AC3CFD" w:rsidRPr="00D84154">
        <w:rPr>
          <w:rFonts w:ascii="Times New Roman" w:hAnsi="Times New Roman" w:cs="Times New Roman"/>
          <w:color w:val="000000" w:themeColor="text1"/>
          <w:sz w:val="24"/>
          <w:szCs w:val="24"/>
        </w:rPr>
        <w:t xml:space="preserve"> </w:t>
      </w:r>
      <w:r w:rsidR="00DC2FB7" w:rsidRPr="00D84154">
        <w:rPr>
          <w:rFonts w:ascii="Times New Roman" w:hAnsi="Times New Roman" w:cs="Times New Roman"/>
          <w:color w:val="000000" w:themeColor="text1"/>
          <w:sz w:val="24"/>
          <w:szCs w:val="24"/>
        </w:rPr>
        <w:t>podmiocie prowadzącym działalność naukową,</w:t>
      </w:r>
      <w:r w:rsidR="00AC3CFD" w:rsidRPr="00D84154">
        <w:rPr>
          <w:rFonts w:ascii="Times New Roman" w:hAnsi="Times New Roman" w:cs="Times New Roman"/>
          <w:color w:val="000000" w:themeColor="text1"/>
          <w:sz w:val="24"/>
          <w:szCs w:val="24"/>
        </w:rPr>
        <w:t xml:space="preserve"> lub stanowiska wykładowcy w Krajowej Szkole Administracji Publicznej im. Prezydenta Rzeczypospolitej Polskiej Lecha Kaczyńskiego </w:t>
      </w:r>
      <w:r w:rsidR="00C7570F" w:rsidRPr="00D84154">
        <w:rPr>
          <w:rFonts w:ascii="Times New Roman" w:hAnsi="Times New Roman" w:cs="Times New Roman"/>
          <w:color w:val="000000" w:themeColor="text1"/>
          <w:sz w:val="24"/>
          <w:szCs w:val="24"/>
        </w:rPr>
        <w:t xml:space="preserve">oraz </w:t>
      </w:r>
      <w:r w:rsidR="00AC3CFD" w:rsidRPr="00D84154">
        <w:rPr>
          <w:rFonts w:ascii="Times New Roman" w:hAnsi="Times New Roman" w:cs="Times New Roman"/>
          <w:color w:val="000000" w:themeColor="text1"/>
          <w:sz w:val="24"/>
          <w:szCs w:val="24"/>
        </w:rPr>
        <w:t>wykonywania innych zajęć zarobkowych sprzecznych z obowiązkami Prezesa Urzędu</w:t>
      </w:r>
      <w:r w:rsidR="00794E29" w:rsidRPr="00D84154">
        <w:rPr>
          <w:rFonts w:ascii="Times New Roman" w:hAnsi="Times New Roman" w:cs="Times New Roman"/>
          <w:color w:val="000000" w:themeColor="text1"/>
          <w:sz w:val="24"/>
          <w:szCs w:val="24"/>
        </w:rPr>
        <w:t>;</w:t>
      </w:r>
    </w:p>
    <w:p w14:paraId="3AB72BCF" w14:textId="49C9118B" w:rsidR="00E837DF" w:rsidRPr="00D84154" w:rsidRDefault="00794E29" w:rsidP="00D84154">
      <w:pPr>
        <w:pStyle w:val="Akapitzlist"/>
        <w:numPr>
          <w:ilvl w:val="0"/>
          <w:numId w:val="32"/>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złożenia niezgodnego z prawdą oświadczenia lustracyjnego, stwierdzonego prawomocnym orzeczeniem sądu</w:t>
      </w:r>
      <w:r w:rsidR="00B6208E" w:rsidRPr="00D84154">
        <w:rPr>
          <w:rFonts w:ascii="Times New Roman" w:hAnsi="Times New Roman" w:cs="Times New Roman"/>
          <w:color w:val="000000" w:themeColor="text1"/>
          <w:sz w:val="24"/>
          <w:szCs w:val="24"/>
        </w:rPr>
        <w:t>.</w:t>
      </w:r>
    </w:p>
    <w:p w14:paraId="201870B4" w14:textId="393F56D1" w:rsidR="00E837DF" w:rsidRPr="00D84154" w:rsidRDefault="00E837DF"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Wprowadzenie wyżej wymienionych przesłanek odwołania Prezesa UOKiK w formie zamkniętego katalogu zapewni</w:t>
      </w:r>
      <w:r w:rsidR="00A110BC" w:rsidRPr="00D84154">
        <w:rPr>
          <w:rFonts w:ascii="Times New Roman" w:hAnsi="Times New Roman" w:cs="Times New Roman"/>
          <w:color w:val="000000" w:themeColor="text1"/>
          <w:sz w:val="24"/>
          <w:szCs w:val="24"/>
        </w:rPr>
        <w:t xml:space="preserve"> właściwą implementacj</w:t>
      </w:r>
      <w:r w:rsidR="00C7570F" w:rsidRPr="00D84154">
        <w:rPr>
          <w:rFonts w:ascii="Times New Roman" w:hAnsi="Times New Roman" w:cs="Times New Roman"/>
          <w:color w:val="000000" w:themeColor="text1"/>
          <w:sz w:val="24"/>
          <w:szCs w:val="24"/>
        </w:rPr>
        <w:t>ę</w:t>
      </w:r>
      <w:r w:rsidRPr="00D84154">
        <w:rPr>
          <w:rFonts w:ascii="Times New Roman" w:hAnsi="Times New Roman" w:cs="Times New Roman"/>
          <w:color w:val="000000" w:themeColor="text1"/>
          <w:sz w:val="24"/>
          <w:szCs w:val="24"/>
        </w:rPr>
        <w:t xml:space="preserve"> </w:t>
      </w:r>
      <w:r w:rsidR="0042535C"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yrektywy, zgodnie z którą osoby sprawujące funkcję organów antymonopolowych nie mo</w:t>
      </w:r>
      <w:r w:rsidR="00BC0E7C">
        <w:rPr>
          <w:rFonts w:ascii="Times New Roman" w:hAnsi="Times New Roman" w:cs="Times New Roman"/>
          <w:color w:val="000000" w:themeColor="text1"/>
          <w:sz w:val="24"/>
          <w:szCs w:val="24"/>
        </w:rPr>
        <w:t>gą być odwołane ze stanowiska w </w:t>
      </w:r>
      <w:r w:rsidRPr="00D84154">
        <w:rPr>
          <w:rFonts w:ascii="Times New Roman" w:hAnsi="Times New Roman" w:cs="Times New Roman"/>
          <w:color w:val="000000" w:themeColor="text1"/>
          <w:sz w:val="24"/>
          <w:szCs w:val="24"/>
        </w:rPr>
        <w:t xml:space="preserve">takich organach z przyczyn związanych z właściwym wykonywaniem swoich obowiązków i uprawnień w ramach stosowania art. 101 i </w:t>
      </w:r>
      <w:r w:rsidR="0042535C" w:rsidRPr="00D84154">
        <w:rPr>
          <w:rFonts w:ascii="Times New Roman" w:hAnsi="Times New Roman" w:cs="Times New Roman"/>
          <w:color w:val="000000" w:themeColor="text1"/>
          <w:sz w:val="24"/>
          <w:szCs w:val="24"/>
        </w:rPr>
        <w:t xml:space="preserve">art. </w:t>
      </w:r>
      <w:r w:rsidRPr="00D84154">
        <w:rPr>
          <w:rFonts w:ascii="Times New Roman" w:hAnsi="Times New Roman" w:cs="Times New Roman"/>
          <w:color w:val="000000" w:themeColor="text1"/>
          <w:sz w:val="24"/>
          <w:szCs w:val="24"/>
        </w:rPr>
        <w:t xml:space="preserve">102 TFUE (art. 10 ust. 3 </w:t>
      </w:r>
      <w:r w:rsidR="0042535C"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yrektywy).</w:t>
      </w:r>
    </w:p>
    <w:p w14:paraId="64A86E53" w14:textId="0A965AC1" w:rsidR="00E837DF" w:rsidRPr="00D84154" w:rsidRDefault="00E837DF"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lastRenderedPageBreak/>
        <w:t xml:space="preserve">Ponadto w projekcie wskazano, że kadencja Prezesa UOKiK wygasa w razie jego śmierci </w:t>
      </w:r>
      <w:r w:rsidR="00DC2FB7" w:rsidRPr="00D84154">
        <w:rPr>
          <w:rFonts w:ascii="Times New Roman" w:hAnsi="Times New Roman" w:cs="Times New Roman"/>
          <w:color w:val="000000" w:themeColor="text1"/>
          <w:sz w:val="24"/>
          <w:szCs w:val="24"/>
        </w:rPr>
        <w:t xml:space="preserve">albo </w:t>
      </w:r>
      <w:r w:rsidRPr="00D84154">
        <w:rPr>
          <w:rFonts w:ascii="Times New Roman" w:hAnsi="Times New Roman" w:cs="Times New Roman"/>
          <w:color w:val="000000" w:themeColor="text1"/>
          <w:sz w:val="24"/>
          <w:szCs w:val="24"/>
        </w:rPr>
        <w:t>odwołania. Zgodnie z projektem, w razie wygaśnięcia kadencji Prezesa Urzędu, do czasu powołania nowego Prezesa Urzędu, jego obowiązki pełni wiceprezes Urzędu wskazany przez Prezesa Rady Ministrów.</w:t>
      </w:r>
    </w:p>
    <w:p w14:paraId="2C9D4430" w14:textId="433AE06B" w:rsidR="00E837DF" w:rsidRPr="00D84154" w:rsidRDefault="00E837DF"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Proponowane rozwiązanie przewiduje, że Prezes UOKiK, tak jak w obecnym stanie prawnym, będzie powoływany przez Prezesa Rady Ministrów</w:t>
      </w:r>
      <w:r w:rsidR="00794E29" w:rsidRPr="00D84154">
        <w:rPr>
          <w:rFonts w:ascii="Times New Roman" w:hAnsi="Times New Roman" w:cs="Times New Roman"/>
          <w:color w:val="000000" w:themeColor="text1"/>
          <w:sz w:val="24"/>
          <w:szCs w:val="24"/>
        </w:rPr>
        <w:t xml:space="preserve"> spośród osób wyłonionych w drodze otwartego i konkurencyjnego naboru</w:t>
      </w:r>
      <w:r w:rsidRPr="00D84154">
        <w:rPr>
          <w:rFonts w:ascii="Times New Roman" w:hAnsi="Times New Roman" w:cs="Times New Roman"/>
          <w:color w:val="000000" w:themeColor="text1"/>
          <w:sz w:val="24"/>
          <w:szCs w:val="24"/>
        </w:rPr>
        <w:t xml:space="preserve">. Ponadto wprowadzono ograniczenie, zgodnie z którym Prezes UOKiK może zostać ponownie powołany tylko raz (art. 29 ust. 3). </w:t>
      </w:r>
      <w:r w:rsidR="004445F1" w:rsidRPr="00D84154">
        <w:rPr>
          <w:rFonts w:ascii="Times New Roman" w:hAnsi="Times New Roman" w:cs="Times New Roman"/>
          <w:color w:val="000000" w:themeColor="text1"/>
          <w:sz w:val="24"/>
          <w:szCs w:val="24"/>
        </w:rPr>
        <w:t>Wprowadzono także wymóg (projektowany art. 29 ust. 3a pkt 8), aby osoba zajmująca stanowisko Prezesa UOKiK nie pełniła uprzednio służby zawodowej ani nie pracowała w organach bezpieczeństwa państwa wymienionych w art. 2 ustawy z dnia 18 października 20</w:t>
      </w:r>
      <w:r w:rsidR="00BC0E7C">
        <w:rPr>
          <w:rFonts w:ascii="Times New Roman" w:hAnsi="Times New Roman" w:cs="Times New Roman"/>
          <w:color w:val="000000" w:themeColor="text1"/>
          <w:sz w:val="24"/>
          <w:szCs w:val="24"/>
        </w:rPr>
        <w:t>06 r. o ujawnianiu informacji o </w:t>
      </w:r>
      <w:r w:rsidR="004445F1" w:rsidRPr="00D84154">
        <w:rPr>
          <w:rFonts w:ascii="Times New Roman" w:hAnsi="Times New Roman" w:cs="Times New Roman"/>
          <w:color w:val="000000" w:themeColor="text1"/>
          <w:sz w:val="24"/>
          <w:szCs w:val="24"/>
        </w:rPr>
        <w:t>dokumentach organów bezpieczeństwa państwa z lat 1944–1990 oraz treści tych dokumentów (Dz. U. z 202</w:t>
      </w:r>
      <w:r w:rsidR="0042535C" w:rsidRPr="00D84154">
        <w:rPr>
          <w:rFonts w:ascii="Times New Roman" w:hAnsi="Times New Roman" w:cs="Times New Roman"/>
          <w:color w:val="000000" w:themeColor="text1"/>
          <w:sz w:val="24"/>
          <w:szCs w:val="24"/>
        </w:rPr>
        <w:t>1</w:t>
      </w:r>
      <w:r w:rsidR="004445F1" w:rsidRPr="00D84154">
        <w:rPr>
          <w:rFonts w:ascii="Times New Roman" w:hAnsi="Times New Roman" w:cs="Times New Roman"/>
          <w:color w:val="000000" w:themeColor="text1"/>
          <w:sz w:val="24"/>
          <w:szCs w:val="24"/>
        </w:rPr>
        <w:t xml:space="preserve"> r. poz. </w:t>
      </w:r>
      <w:r w:rsidR="0042535C" w:rsidRPr="00D84154">
        <w:rPr>
          <w:rFonts w:ascii="Times New Roman" w:hAnsi="Times New Roman" w:cs="Times New Roman"/>
          <w:color w:val="000000" w:themeColor="text1"/>
          <w:sz w:val="24"/>
          <w:szCs w:val="24"/>
        </w:rPr>
        <w:t>1633</w:t>
      </w:r>
      <w:r w:rsidR="00B6208E" w:rsidRPr="00D84154">
        <w:rPr>
          <w:rFonts w:ascii="Times New Roman" w:hAnsi="Times New Roman" w:cs="Times New Roman"/>
          <w:color w:val="000000" w:themeColor="text1"/>
          <w:sz w:val="24"/>
          <w:szCs w:val="24"/>
        </w:rPr>
        <w:t>, z późn. zm.</w:t>
      </w:r>
      <w:r w:rsidR="004445F1" w:rsidRPr="00D84154">
        <w:rPr>
          <w:rFonts w:ascii="Times New Roman" w:hAnsi="Times New Roman" w:cs="Times New Roman"/>
          <w:color w:val="000000" w:themeColor="text1"/>
          <w:sz w:val="24"/>
          <w:szCs w:val="24"/>
        </w:rPr>
        <w:t>), ani nie była ich współpracownikiem.</w:t>
      </w:r>
    </w:p>
    <w:p w14:paraId="284DBDB4" w14:textId="5089A234" w:rsidR="00E837DF" w:rsidRPr="00D84154" w:rsidRDefault="00E837DF"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 zakresie zmian dotyczących art. 30</w:t>
      </w:r>
      <w:r w:rsidR="00AC3CFD" w:rsidRPr="00D84154">
        <w:rPr>
          <w:rFonts w:ascii="Times New Roman" w:hAnsi="Times New Roman" w:cs="Times New Roman"/>
          <w:color w:val="000000" w:themeColor="text1"/>
          <w:sz w:val="24"/>
          <w:szCs w:val="24"/>
        </w:rPr>
        <w:t xml:space="preserve"> </w:t>
      </w:r>
      <w:r w:rsidR="00FF6909" w:rsidRPr="00D84154">
        <w:rPr>
          <w:rFonts w:ascii="Times New Roman" w:hAnsi="Times New Roman" w:cs="Times New Roman"/>
          <w:color w:val="000000" w:themeColor="text1"/>
          <w:sz w:val="24"/>
          <w:szCs w:val="24"/>
        </w:rPr>
        <w:t xml:space="preserve">ustawy </w:t>
      </w:r>
      <w:r w:rsidR="00AC3CFD" w:rsidRPr="00D84154">
        <w:rPr>
          <w:rFonts w:ascii="Times New Roman" w:hAnsi="Times New Roman" w:cs="Times New Roman"/>
          <w:color w:val="000000" w:themeColor="text1"/>
          <w:sz w:val="24"/>
          <w:szCs w:val="24"/>
        </w:rPr>
        <w:t>projekt przewiduje, że wymogi określone w ar</w:t>
      </w:r>
      <w:r w:rsidR="00DA5F74" w:rsidRPr="00D84154">
        <w:rPr>
          <w:rFonts w:ascii="Times New Roman" w:hAnsi="Times New Roman" w:cs="Times New Roman"/>
          <w:color w:val="000000" w:themeColor="text1"/>
          <w:sz w:val="24"/>
          <w:szCs w:val="24"/>
        </w:rPr>
        <w:t>t</w:t>
      </w:r>
      <w:r w:rsidR="00AC3CFD" w:rsidRPr="00D84154">
        <w:rPr>
          <w:rFonts w:ascii="Times New Roman" w:hAnsi="Times New Roman" w:cs="Times New Roman"/>
          <w:color w:val="000000" w:themeColor="text1"/>
          <w:sz w:val="24"/>
          <w:szCs w:val="24"/>
        </w:rPr>
        <w:t>. 29 ust. 3a i ust. 3aa będą miały również zastosowanie do wiceprezesów UOKiK.</w:t>
      </w:r>
      <w:r w:rsidRPr="00D84154">
        <w:rPr>
          <w:rFonts w:ascii="Times New Roman" w:hAnsi="Times New Roman" w:cs="Times New Roman"/>
          <w:color w:val="000000" w:themeColor="text1"/>
          <w:sz w:val="24"/>
          <w:szCs w:val="24"/>
        </w:rPr>
        <w:t xml:space="preserve"> W pozostałym zakresie tryb powoływania i odwoływania wiceprezesów UOKiK nie ulegnie zmianie. Będą oni powoływani i odwoływani przez Prezesa Rady Ministrów na wniosek Prezesa UOKiK.</w:t>
      </w:r>
    </w:p>
    <w:p w14:paraId="05368373" w14:textId="3B65EF3C" w:rsidR="008B56AD" w:rsidRPr="00D84154" w:rsidRDefault="00DC0465"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Projekt wprowadza również nowy obowiązek dla Prezesa Urzędu polegający na przygotowaniu rocznych sprawozdań z działalności </w:t>
      </w:r>
      <w:r w:rsidR="00DC2FB7" w:rsidRPr="00D84154">
        <w:rPr>
          <w:rFonts w:ascii="Times New Roman" w:hAnsi="Times New Roman" w:cs="Times New Roman"/>
          <w:color w:val="000000" w:themeColor="text1"/>
          <w:sz w:val="24"/>
          <w:szCs w:val="24"/>
        </w:rPr>
        <w:t xml:space="preserve">Prezesa </w:t>
      </w:r>
      <w:r w:rsidRPr="00D84154">
        <w:rPr>
          <w:rFonts w:ascii="Times New Roman" w:hAnsi="Times New Roman" w:cs="Times New Roman"/>
          <w:color w:val="000000" w:themeColor="text1"/>
          <w:sz w:val="24"/>
          <w:szCs w:val="24"/>
        </w:rPr>
        <w:t>Urzędu. Rozwią</w:t>
      </w:r>
      <w:r w:rsidR="00BC0E7C">
        <w:rPr>
          <w:rFonts w:ascii="Times New Roman" w:hAnsi="Times New Roman" w:cs="Times New Roman"/>
          <w:color w:val="000000" w:themeColor="text1"/>
          <w:sz w:val="24"/>
          <w:szCs w:val="24"/>
        </w:rPr>
        <w:t>zanie to stanowi wdrożenie art. </w:t>
      </w:r>
      <w:r w:rsidRPr="00D84154">
        <w:rPr>
          <w:rFonts w:ascii="Times New Roman" w:hAnsi="Times New Roman" w:cs="Times New Roman"/>
          <w:color w:val="000000" w:themeColor="text1"/>
          <w:sz w:val="24"/>
          <w:szCs w:val="24"/>
        </w:rPr>
        <w:t xml:space="preserve">5 ust. 4 </w:t>
      </w:r>
      <w:r w:rsidR="00FF6909"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yrektywy</w:t>
      </w:r>
      <w:r w:rsidR="003B070F">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który wymaga</w:t>
      </w:r>
      <w:r w:rsidR="003B070F">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w:t>
      </w:r>
      <w:r w:rsidR="003B070F">
        <w:rPr>
          <w:rFonts w:ascii="Times New Roman" w:hAnsi="Times New Roman" w:cs="Times New Roman"/>
          <w:color w:val="000000" w:themeColor="text1"/>
          <w:sz w:val="24"/>
          <w:szCs w:val="24"/>
        </w:rPr>
        <w:t>a</w:t>
      </w:r>
      <w:r w:rsidRPr="00D84154">
        <w:rPr>
          <w:rFonts w:ascii="Times New Roman" w:hAnsi="Times New Roman" w:cs="Times New Roman"/>
          <w:color w:val="000000" w:themeColor="text1"/>
          <w:sz w:val="24"/>
          <w:szCs w:val="24"/>
        </w:rPr>
        <w:t xml:space="preserve">by organy antymonopolowe przedstawiały organowi rządowemu lub parlamentarnemu sprawozdania okresowe </w:t>
      </w:r>
      <w:r w:rsidR="00BC0E7C">
        <w:rPr>
          <w:rFonts w:ascii="Times New Roman" w:hAnsi="Times New Roman" w:cs="Times New Roman"/>
          <w:color w:val="000000" w:themeColor="text1"/>
          <w:sz w:val="24"/>
          <w:szCs w:val="24"/>
        </w:rPr>
        <w:t>dotyczące swojej działalności i </w:t>
      </w:r>
      <w:r w:rsidRPr="00D84154">
        <w:rPr>
          <w:rFonts w:ascii="Times New Roman" w:hAnsi="Times New Roman" w:cs="Times New Roman"/>
          <w:color w:val="000000" w:themeColor="text1"/>
          <w:sz w:val="24"/>
          <w:szCs w:val="24"/>
        </w:rPr>
        <w:t>swoich zasobów. Sprawozdania te powinny zaw</w:t>
      </w:r>
      <w:r w:rsidR="00BC0E7C">
        <w:rPr>
          <w:rFonts w:ascii="Times New Roman" w:hAnsi="Times New Roman" w:cs="Times New Roman"/>
          <w:color w:val="000000" w:themeColor="text1"/>
          <w:sz w:val="24"/>
          <w:szCs w:val="24"/>
        </w:rPr>
        <w:t>ierać informacje o mianowaniu i </w:t>
      </w:r>
      <w:r w:rsidRPr="00D84154">
        <w:rPr>
          <w:rFonts w:ascii="Times New Roman" w:hAnsi="Times New Roman" w:cs="Times New Roman"/>
          <w:color w:val="000000" w:themeColor="text1"/>
          <w:sz w:val="24"/>
          <w:szCs w:val="24"/>
        </w:rPr>
        <w:t xml:space="preserve">odwoływaniu członków organu decyzyjnego, o ilości zasobów przydzielonych w danym roku oraz o wszelkich zmianach tej ilości w porównaniu z latami poprzednimi. Takie sprawozdania są udostępniane publicznie. Rozwiązania wdrażające </w:t>
      </w:r>
      <w:r w:rsidR="00FF6909"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yrektywę w tym zakresie zostały zaproponowane w art. 31aa</w:t>
      </w:r>
      <w:r w:rsidR="00FF6909" w:rsidRPr="00D84154">
        <w:rPr>
          <w:rFonts w:ascii="Times New Roman" w:hAnsi="Times New Roman" w:cs="Times New Roman"/>
          <w:color w:val="000000" w:themeColor="text1"/>
          <w:sz w:val="24"/>
          <w:szCs w:val="24"/>
        </w:rPr>
        <w:t xml:space="preserve"> ustawy</w:t>
      </w:r>
      <w:r w:rsidRPr="00D84154">
        <w:rPr>
          <w:rFonts w:ascii="Times New Roman" w:hAnsi="Times New Roman" w:cs="Times New Roman"/>
          <w:color w:val="000000" w:themeColor="text1"/>
          <w:sz w:val="24"/>
          <w:szCs w:val="24"/>
        </w:rPr>
        <w:t xml:space="preserve">, zgodnie z którym Prezes Urzędu będzie zobowiązany do przekazania Prezesowi Rady Ministrów sprawozdania z działalności </w:t>
      </w:r>
      <w:r w:rsidR="00DC2FB7" w:rsidRPr="00D84154">
        <w:rPr>
          <w:rFonts w:ascii="Times New Roman" w:hAnsi="Times New Roman" w:cs="Times New Roman"/>
          <w:color w:val="000000" w:themeColor="text1"/>
          <w:sz w:val="24"/>
          <w:szCs w:val="24"/>
        </w:rPr>
        <w:t xml:space="preserve">Prezesa </w:t>
      </w:r>
      <w:r w:rsidRPr="00D84154">
        <w:rPr>
          <w:rFonts w:ascii="Times New Roman" w:hAnsi="Times New Roman" w:cs="Times New Roman"/>
          <w:color w:val="000000" w:themeColor="text1"/>
          <w:sz w:val="24"/>
          <w:szCs w:val="24"/>
        </w:rPr>
        <w:t xml:space="preserve">Urzędu zawierającego w szczególności informacje o </w:t>
      </w:r>
      <w:r w:rsidR="00437E31" w:rsidRPr="00D84154">
        <w:rPr>
          <w:rFonts w:ascii="Times New Roman" w:hAnsi="Times New Roman" w:cs="Times New Roman"/>
          <w:color w:val="000000" w:themeColor="text1"/>
          <w:sz w:val="24"/>
          <w:szCs w:val="24"/>
        </w:rPr>
        <w:t xml:space="preserve">realizacji zadań Urzędu i ich efektach, w podziale na poszczególne obszary jego działalności, o </w:t>
      </w:r>
      <w:r w:rsidRPr="00D84154">
        <w:rPr>
          <w:rFonts w:ascii="Times New Roman" w:hAnsi="Times New Roman" w:cs="Times New Roman"/>
          <w:color w:val="000000" w:themeColor="text1"/>
          <w:sz w:val="24"/>
          <w:szCs w:val="24"/>
        </w:rPr>
        <w:t>Prezesie i wiceprezesach Urzędu pełniących funkcję w danym roku kalendarzowym oraz zasobach, któ</w:t>
      </w:r>
      <w:r w:rsidR="00BC0E7C">
        <w:rPr>
          <w:rFonts w:ascii="Times New Roman" w:hAnsi="Times New Roman" w:cs="Times New Roman"/>
          <w:color w:val="000000" w:themeColor="text1"/>
          <w:sz w:val="24"/>
          <w:szCs w:val="24"/>
        </w:rPr>
        <w:t>rymi Prezes Urzędu dysponował w </w:t>
      </w:r>
      <w:r w:rsidRPr="00D84154">
        <w:rPr>
          <w:rFonts w:ascii="Times New Roman" w:hAnsi="Times New Roman" w:cs="Times New Roman"/>
          <w:color w:val="000000" w:themeColor="text1"/>
          <w:sz w:val="24"/>
          <w:szCs w:val="24"/>
        </w:rPr>
        <w:t>danym roku kalendarzowym</w:t>
      </w:r>
      <w:r w:rsidR="003B070F">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wraz z informacją o zmi</w:t>
      </w:r>
      <w:r w:rsidR="00BC0E7C">
        <w:rPr>
          <w:rFonts w:ascii="Times New Roman" w:hAnsi="Times New Roman" w:cs="Times New Roman"/>
          <w:color w:val="000000" w:themeColor="text1"/>
          <w:sz w:val="24"/>
          <w:szCs w:val="24"/>
        </w:rPr>
        <w:t>anach w zakresie tych zasobów w </w:t>
      </w:r>
      <w:r w:rsidRPr="00D84154">
        <w:rPr>
          <w:rFonts w:ascii="Times New Roman" w:hAnsi="Times New Roman" w:cs="Times New Roman"/>
          <w:color w:val="000000" w:themeColor="text1"/>
          <w:sz w:val="24"/>
          <w:szCs w:val="24"/>
        </w:rPr>
        <w:t xml:space="preserve">porównaniu z latami poprzednimi. Sprawozdanie przekazywane będzie </w:t>
      </w:r>
      <w:r w:rsidR="00DC2FB7" w:rsidRPr="00D84154">
        <w:rPr>
          <w:rFonts w:ascii="Times New Roman" w:hAnsi="Times New Roman" w:cs="Times New Roman"/>
          <w:color w:val="000000" w:themeColor="text1"/>
          <w:sz w:val="24"/>
          <w:szCs w:val="24"/>
        </w:rPr>
        <w:t xml:space="preserve">Prezesowi Rady Ministrów </w:t>
      </w:r>
      <w:r w:rsidRPr="00D84154">
        <w:rPr>
          <w:rFonts w:ascii="Times New Roman" w:hAnsi="Times New Roman" w:cs="Times New Roman"/>
          <w:color w:val="000000" w:themeColor="text1"/>
          <w:sz w:val="24"/>
          <w:szCs w:val="24"/>
        </w:rPr>
        <w:t xml:space="preserve">w terminie do 30 kwietnia. Ponadto sprawozdanie będzie </w:t>
      </w:r>
      <w:r w:rsidR="008B56AD" w:rsidRPr="00D84154">
        <w:rPr>
          <w:rFonts w:ascii="Times New Roman" w:hAnsi="Times New Roman" w:cs="Times New Roman"/>
          <w:color w:val="000000" w:themeColor="text1"/>
          <w:sz w:val="24"/>
          <w:szCs w:val="24"/>
        </w:rPr>
        <w:t xml:space="preserve">publikowane na stronie </w:t>
      </w:r>
      <w:r w:rsidR="00FF6909" w:rsidRPr="00D84154">
        <w:rPr>
          <w:rFonts w:ascii="Times New Roman" w:hAnsi="Times New Roman" w:cs="Times New Roman"/>
          <w:color w:val="000000" w:themeColor="text1"/>
          <w:sz w:val="24"/>
          <w:szCs w:val="24"/>
        </w:rPr>
        <w:lastRenderedPageBreak/>
        <w:t xml:space="preserve">internetowej </w:t>
      </w:r>
      <w:r w:rsidR="008B56AD" w:rsidRPr="00D84154">
        <w:rPr>
          <w:rFonts w:ascii="Times New Roman" w:hAnsi="Times New Roman" w:cs="Times New Roman"/>
          <w:color w:val="000000" w:themeColor="text1"/>
          <w:sz w:val="24"/>
          <w:szCs w:val="24"/>
        </w:rPr>
        <w:t>Urzędu</w:t>
      </w:r>
      <w:r w:rsidRPr="00D84154">
        <w:rPr>
          <w:rFonts w:ascii="Times New Roman" w:hAnsi="Times New Roman" w:cs="Times New Roman"/>
          <w:color w:val="000000" w:themeColor="text1"/>
          <w:sz w:val="24"/>
          <w:szCs w:val="24"/>
        </w:rPr>
        <w:t>.</w:t>
      </w:r>
      <w:r w:rsidR="00865C5E" w:rsidRPr="00D84154">
        <w:rPr>
          <w:rFonts w:ascii="Times New Roman" w:hAnsi="Times New Roman" w:cs="Times New Roman"/>
          <w:color w:val="000000" w:themeColor="text1"/>
          <w:sz w:val="24"/>
          <w:szCs w:val="24"/>
        </w:rPr>
        <w:t xml:space="preserve"> </w:t>
      </w:r>
      <w:r w:rsidR="00AE216D" w:rsidRPr="00D84154">
        <w:rPr>
          <w:rFonts w:ascii="Times New Roman" w:hAnsi="Times New Roman" w:cs="Times New Roman"/>
          <w:color w:val="000000" w:themeColor="text1"/>
          <w:sz w:val="24"/>
          <w:szCs w:val="24"/>
        </w:rPr>
        <w:t>P</w:t>
      </w:r>
      <w:r w:rsidR="00865C5E" w:rsidRPr="00D84154">
        <w:rPr>
          <w:rFonts w:ascii="Times New Roman" w:hAnsi="Times New Roman" w:cs="Times New Roman"/>
          <w:color w:val="000000" w:themeColor="text1"/>
          <w:sz w:val="24"/>
          <w:szCs w:val="24"/>
        </w:rPr>
        <w:t xml:space="preserve">rzekazywanie sprawozdania Prezesowi Rady Ministrów wynika również z pozycji ustrojowej Prezesa Urzędu. Zgodnie art. 33a ust. 1 pkt 6 ustawy z dnia 4 września 1997 r. o działach administracji rządowej (Dz. U. z </w:t>
      </w:r>
      <w:r w:rsidR="00AE1108" w:rsidRPr="00D84154">
        <w:rPr>
          <w:rFonts w:ascii="Times New Roman" w:hAnsi="Times New Roman" w:cs="Times New Roman"/>
          <w:color w:val="000000" w:themeColor="text1"/>
          <w:sz w:val="24"/>
          <w:szCs w:val="24"/>
        </w:rPr>
        <w:t>2022 r. poz. 2512</w:t>
      </w:r>
      <w:r w:rsidR="00FF6909" w:rsidRPr="00D84154">
        <w:rPr>
          <w:rFonts w:ascii="Times New Roman" w:hAnsi="Times New Roman" w:cs="Times New Roman"/>
          <w:color w:val="000000" w:themeColor="text1"/>
          <w:sz w:val="24"/>
          <w:szCs w:val="24"/>
        </w:rPr>
        <w:t>)</w:t>
      </w:r>
      <w:r w:rsidR="00865C5E" w:rsidRPr="00D84154">
        <w:rPr>
          <w:rFonts w:ascii="Times New Roman" w:hAnsi="Times New Roman" w:cs="Times New Roman"/>
          <w:color w:val="000000" w:themeColor="text1"/>
          <w:sz w:val="24"/>
          <w:szCs w:val="24"/>
        </w:rPr>
        <w:t xml:space="preserve"> Prezes Rady Ministrów sprawuje nadzór nad działalnością administracji rządowej nieobjętą zakresem działów administracji rządowej, wykonywaną przez </w:t>
      </w:r>
      <w:r w:rsidR="008B56AD" w:rsidRPr="00D84154">
        <w:rPr>
          <w:rFonts w:ascii="Times New Roman" w:hAnsi="Times New Roman" w:cs="Times New Roman"/>
          <w:color w:val="000000" w:themeColor="text1"/>
          <w:sz w:val="24"/>
          <w:szCs w:val="24"/>
        </w:rPr>
        <w:t xml:space="preserve">Prezesa </w:t>
      </w:r>
      <w:r w:rsidR="00865C5E" w:rsidRPr="00D84154">
        <w:rPr>
          <w:rFonts w:ascii="Times New Roman" w:hAnsi="Times New Roman" w:cs="Times New Roman"/>
          <w:color w:val="000000" w:themeColor="text1"/>
          <w:sz w:val="24"/>
          <w:szCs w:val="24"/>
        </w:rPr>
        <w:t>UOKiK.</w:t>
      </w:r>
    </w:p>
    <w:p w14:paraId="49737B2E" w14:textId="55E3AE9E" w:rsidR="00E837DF" w:rsidRPr="00D84154" w:rsidRDefault="00E837DF"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Ponadto projekt proponuje rozwiązania mające na celu unikanie konfliktu interesów przez wprowadzenie przepisu</w:t>
      </w:r>
      <w:r w:rsidR="00794E29" w:rsidRPr="00D84154">
        <w:rPr>
          <w:rFonts w:ascii="Times New Roman" w:hAnsi="Times New Roman" w:cs="Times New Roman"/>
          <w:color w:val="000000" w:themeColor="text1"/>
          <w:sz w:val="24"/>
          <w:szCs w:val="24"/>
        </w:rPr>
        <w:t xml:space="preserve"> (art. 29 ust. 3aa)</w:t>
      </w:r>
      <w:r w:rsidR="00FF6909" w:rsidRPr="00D84154">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zgodnie z którym Prezes UOKiK nie będzie mógł zajmować innego stanowiska, z wyjątkiem stanowiska dydaktycznego, </w:t>
      </w:r>
      <w:r w:rsidR="008B56AD" w:rsidRPr="00D84154">
        <w:rPr>
          <w:rFonts w:ascii="Times New Roman" w:hAnsi="Times New Roman" w:cs="Times New Roman"/>
          <w:color w:val="000000" w:themeColor="text1"/>
          <w:sz w:val="24"/>
          <w:szCs w:val="24"/>
        </w:rPr>
        <w:t xml:space="preserve">badawczego lub badawczo-dydaktycznego </w:t>
      </w:r>
      <w:r w:rsidR="00FF6909" w:rsidRPr="00D84154">
        <w:rPr>
          <w:rFonts w:ascii="Times New Roman" w:hAnsi="Times New Roman" w:cs="Times New Roman"/>
          <w:color w:val="000000" w:themeColor="text1"/>
          <w:sz w:val="24"/>
          <w:szCs w:val="24"/>
        </w:rPr>
        <w:t>w</w:t>
      </w:r>
      <w:r w:rsidR="008B56AD" w:rsidRPr="00D84154">
        <w:rPr>
          <w:rFonts w:ascii="Times New Roman" w:hAnsi="Times New Roman" w:cs="Times New Roman"/>
          <w:color w:val="000000" w:themeColor="text1"/>
          <w:sz w:val="24"/>
          <w:szCs w:val="24"/>
        </w:rPr>
        <w:t xml:space="preserve"> uczelni,</w:t>
      </w:r>
      <w:r w:rsidR="00F65A77">
        <w:rPr>
          <w:rFonts w:ascii="Times New Roman" w:hAnsi="Times New Roman" w:cs="Times New Roman"/>
          <w:color w:val="000000" w:themeColor="text1"/>
          <w:sz w:val="24"/>
          <w:szCs w:val="24"/>
        </w:rPr>
        <w:t xml:space="preserve"> </w:t>
      </w:r>
      <w:r w:rsidR="008B56AD" w:rsidRPr="00D84154">
        <w:rPr>
          <w:rFonts w:ascii="Times New Roman" w:hAnsi="Times New Roman" w:cs="Times New Roman"/>
          <w:color w:val="000000" w:themeColor="text1"/>
          <w:sz w:val="24"/>
          <w:szCs w:val="24"/>
        </w:rPr>
        <w:t xml:space="preserve">Polskiej Akademii Nauk, instytucie badawczym lub innym podmiocie prowadzącym działalność naukową, </w:t>
      </w:r>
      <w:r w:rsidRPr="00D84154">
        <w:rPr>
          <w:rFonts w:ascii="Times New Roman" w:hAnsi="Times New Roman" w:cs="Times New Roman"/>
          <w:color w:val="000000" w:themeColor="text1"/>
          <w:sz w:val="24"/>
          <w:szCs w:val="24"/>
        </w:rPr>
        <w:t>lub stanowiska wykładowcy w Krajowej Szkole Administracji Publicznej im. Prezydenta Rzeczypospolitej Polskiej Lecha Kaczyńskiego ani wykonywać innych zajęć zarobkowych sprzecznych z obowiązkami Prezesa Urzędu.</w:t>
      </w:r>
    </w:p>
    <w:p w14:paraId="6E4976EA" w14:textId="478A6409" w:rsidR="007C25F6" w:rsidRPr="00F959A3" w:rsidRDefault="007C25F6" w:rsidP="00D84154">
      <w:pPr>
        <w:spacing w:before="120" w:after="0" w:line="360" w:lineRule="auto"/>
        <w:jc w:val="both"/>
        <w:rPr>
          <w:rFonts w:ascii="Times New Roman" w:eastAsia="Times New Roman" w:hAnsi="Times New Roman" w:cs="Times New Roman"/>
          <w:color w:val="000000" w:themeColor="text1"/>
          <w:sz w:val="24"/>
          <w:szCs w:val="24"/>
          <w:lang w:eastAsia="pl-PL"/>
        </w:rPr>
      </w:pPr>
      <w:r w:rsidRPr="00D84154">
        <w:rPr>
          <w:rFonts w:ascii="Times New Roman" w:eastAsia="Times New Roman" w:hAnsi="Times New Roman" w:cs="Times New Roman"/>
          <w:color w:val="000000" w:themeColor="text1"/>
          <w:sz w:val="24"/>
          <w:szCs w:val="24"/>
          <w:lang w:eastAsia="pl-PL"/>
        </w:rPr>
        <w:t>Zgodnie z art. 4 dyrektywy należy zapewnić bezstronność oraz niezależność organu antymonopolowego oraz pracowników wykonujących uprawnienia władcze na podstawie tego aktu. Należy zauważyć, ż</w:t>
      </w:r>
      <w:r w:rsidR="000D0F4B">
        <w:rPr>
          <w:rFonts w:ascii="Times New Roman" w:eastAsia="Times New Roman" w:hAnsi="Times New Roman" w:cs="Times New Roman"/>
          <w:color w:val="000000" w:themeColor="text1"/>
          <w:sz w:val="24"/>
          <w:szCs w:val="24"/>
          <w:lang w:eastAsia="pl-PL"/>
        </w:rPr>
        <w:t>e</w:t>
      </w:r>
      <w:r w:rsidRPr="00D84154">
        <w:rPr>
          <w:rFonts w:ascii="Times New Roman" w:eastAsia="Times New Roman" w:hAnsi="Times New Roman" w:cs="Times New Roman"/>
          <w:color w:val="000000" w:themeColor="text1"/>
          <w:sz w:val="24"/>
          <w:szCs w:val="24"/>
          <w:lang w:eastAsia="pl-PL"/>
        </w:rPr>
        <w:t xml:space="preserve"> w tym zakresie w prawie krajowym obowiązują już stosowne regulacje przewidziane w </w:t>
      </w:r>
      <w:r w:rsidR="00FF6909" w:rsidRPr="00D84154">
        <w:rPr>
          <w:rFonts w:ascii="Times New Roman" w:eastAsia="Times New Roman" w:hAnsi="Times New Roman" w:cs="Times New Roman"/>
          <w:color w:val="000000" w:themeColor="text1"/>
          <w:sz w:val="24"/>
          <w:szCs w:val="24"/>
          <w:lang w:eastAsia="pl-PL"/>
        </w:rPr>
        <w:t>ustawie</w:t>
      </w:r>
      <w:r w:rsidR="00F65A77">
        <w:rPr>
          <w:rFonts w:ascii="Times New Roman" w:eastAsia="Times New Roman" w:hAnsi="Times New Roman" w:cs="Times New Roman"/>
          <w:color w:val="000000" w:themeColor="text1"/>
          <w:sz w:val="24"/>
          <w:szCs w:val="24"/>
          <w:lang w:eastAsia="pl-PL"/>
        </w:rPr>
        <w:t xml:space="preserve"> </w:t>
      </w:r>
      <w:r w:rsidR="00FF6909" w:rsidRPr="00D84154">
        <w:rPr>
          <w:rFonts w:ascii="Times New Roman" w:eastAsia="Times New Roman" w:hAnsi="Times New Roman" w:cs="Times New Roman"/>
          <w:color w:val="000000" w:themeColor="text1"/>
          <w:sz w:val="24"/>
          <w:szCs w:val="24"/>
          <w:lang w:eastAsia="pl-PL"/>
        </w:rPr>
        <w:t xml:space="preserve">z dnia 14 czerwca 1960 r. </w:t>
      </w:r>
      <w:r w:rsidR="000D0F4B">
        <w:rPr>
          <w:rFonts w:ascii="Times New Roman" w:eastAsia="Times New Roman" w:hAnsi="Times New Roman" w:cs="Times New Roman"/>
          <w:color w:val="000000" w:themeColor="text1"/>
          <w:sz w:val="24"/>
          <w:szCs w:val="24"/>
          <w:lang w:eastAsia="pl-PL"/>
        </w:rPr>
        <w:t>–</w:t>
      </w:r>
      <w:r w:rsidR="00FF6909" w:rsidRPr="00D84154">
        <w:rPr>
          <w:rFonts w:ascii="Times New Roman" w:eastAsia="Times New Roman" w:hAnsi="Times New Roman" w:cs="Times New Roman"/>
          <w:color w:val="000000" w:themeColor="text1"/>
          <w:sz w:val="24"/>
          <w:szCs w:val="24"/>
          <w:lang w:eastAsia="pl-PL"/>
        </w:rPr>
        <w:t xml:space="preserve"> </w:t>
      </w:r>
      <w:r w:rsidRPr="00D84154">
        <w:rPr>
          <w:rFonts w:ascii="Times New Roman" w:eastAsia="Times New Roman" w:hAnsi="Times New Roman" w:cs="Times New Roman"/>
          <w:color w:val="000000" w:themeColor="text1"/>
          <w:sz w:val="24"/>
          <w:szCs w:val="24"/>
          <w:lang w:eastAsia="pl-PL"/>
        </w:rPr>
        <w:t xml:space="preserve">Kodeks postępowania administracyjnego </w:t>
      </w:r>
      <w:r w:rsidR="00FF6909" w:rsidRPr="00D84154">
        <w:rPr>
          <w:rFonts w:ascii="Times New Roman" w:eastAsia="Times New Roman" w:hAnsi="Times New Roman" w:cs="Times New Roman"/>
          <w:color w:val="000000" w:themeColor="text1"/>
          <w:sz w:val="24"/>
          <w:szCs w:val="24"/>
          <w:lang w:eastAsia="pl-PL"/>
        </w:rPr>
        <w:t xml:space="preserve">(Dz. U. z </w:t>
      </w:r>
      <w:r w:rsidR="00AE1108" w:rsidRPr="00D84154">
        <w:rPr>
          <w:rFonts w:ascii="Times New Roman" w:eastAsia="Times New Roman" w:hAnsi="Times New Roman" w:cs="Times New Roman"/>
          <w:color w:val="000000" w:themeColor="text1"/>
          <w:sz w:val="24"/>
          <w:szCs w:val="24"/>
          <w:lang w:eastAsia="pl-PL"/>
        </w:rPr>
        <w:t>2022 r. poz. 2000</w:t>
      </w:r>
      <w:r w:rsidR="00FF6909" w:rsidRPr="00D84154">
        <w:rPr>
          <w:rFonts w:ascii="Times New Roman" w:eastAsia="Times New Roman" w:hAnsi="Times New Roman" w:cs="Times New Roman"/>
          <w:color w:val="000000" w:themeColor="text1"/>
          <w:sz w:val="24"/>
          <w:szCs w:val="24"/>
          <w:lang w:eastAsia="pl-PL"/>
        </w:rPr>
        <w:t xml:space="preserve">, z późn. zm.) </w:t>
      </w:r>
      <w:r w:rsidRPr="00D84154">
        <w:rPr>
          <w:rFonts w:ascii="Times New Roman" w:eastAsia="Times New Roman" w:hAnsi="Times New Roman" w:cs="Times New Roman"/>
          <w:color w:val="000000" w:themeColor="text1"/>
          <w:sz w:val="24"/>
          <w:szCs w:val="24"/>
          <w:lang w:eastAsia="pl-PL"/>
        </w:rPr>
        <w:t>zapobiegające konfliktowi interesów zarówno w odniesieniu do organu administracji publicznej, jak</w:t>
      </w:r>
      <w:r w:rsidR="00C7570F" w:rsidRPr="00D84154">
        <w:rPr>
          <w:rFonts w:ascii="Times New Roman" w:eastAsia="Times New Roman" w:hAnsi="Times New Roman" w:cs="Times New Roman"/>
          <w:color w:val="000000" w:themeColor="text1"/>
          <w:sz w:val="24"/>
          <w:szCs w:val="24"/>
          <w:lang w:eastAsia="pl-PL"/>
        </w:rPr>
        <w:t xml:space="preserve"> </w:t>
      </w:r>
      <w:r w:rsidRPr="00D84154">
        <w:rPr>
          <w:rFonts w:ascii="Times New Roman" w:eastAsia="Times New Roman" w:hAnsi="Times New Roman" w:cs="Times New Roman"/>
          <w:color w:val="000000" w:themeColor="text1"/>
          <w:sz w:val="24"/>
          <w:szCs w:val="24"/>
          <w:lang w:eastAsia="pl-PL"/>
        </w:rPr>
        <w:t xml:space="preserve">i pracowników </w:t>
      </w:r>
      <w:r w:rsidR="00A0552E" w:rsidRPr="00D84154">
        <w:rPr>
          <w:rFonts w:ascii="Times New Roman" w:eastAsia="Times New Roman" w:hAnsi="Times New Roman" w:cs="Times New Roman"/>
          <w:color w:val="000000" w:themeColor="text1"/>
          <w:sz w:val="24"/>
          <w:szCs w:val="24"/>
          <w:lang w:eastAsia="pl-PL"/>
        </w:rPr>
        <w:t>organu</w:t>
      </w:r>
      <w:r w:rsidR="00D22DC0" w:rsidRPr="00D84154">
        <w:rPr>
          <w:rFonts w:ascii="Times New Roman" w:eastAsia="Times New Roman" w:hAnsi="Times New Roman" w:cs="Times New Roman"/>
          <w:color w:val="000000" w:themeColor="text1"/>
          <w:sz w:val="24"/>
          <w:szCs w:val="24"/>
          <w:lang w:eastAsia="pl-PL"/>
        </w:rPr>
        <w:t xml:space="preserve"> (m.in. art. 24–26 K</w:t>
      </w:r>
      <w:r w:rsidR="00FF6909" w:rsidRPr="00D84154">
        <w:rPr>
          <w:rFonts w:ascii="Times New Roman" w:eastAsia="Times New Roman" w:hAnsi="Times New Roman" w:cs="Times New Roman"/>
          <w:color w:val="000000" w:themeColor="text1"/>
          <w:sz w:val="24"/>
          <w:szCs w:val="24"/>
          <w:lang w:eastAsia="pl-PL"/>
        </w:rPr>
        <w:t xml:space="preserve">odeksu </w:t>
      </w:r>
      <w:r w:rsidR="00D22DC0" w:rsidRPr="00D84154">
        <w:rPr>
          <w:rFonts w:ascii="Times New Roman" w:eastAsia="Times New Roman" w:hAnsi="Times New Roman" w:cs="Times New Roman"/>
          <w:color w:val="000000" w:themeColor="text1"/>
          <w:sz w:val="24"/>
          <w:szCs w:val="24"/>
          <w:lang w:eastAsia="pl-PL"/>
        </w:rPr>
        <w:t>)</w:t>
      </w:r>
      <w:r w:rsidR="00A0552E" w:rsidRPr="00D84154">
        <w:rPr>
          <w:rFonts w:ascii="Times New Roman" w:eastAsia="Times New Roman" w:hAnsi="Times New Roman" w:cs="Times New Roman"/>
          <w:color w:val="000000" w:themeColor="text1"/>
          <w:sz w:val="24"/>
          <w:szCs w:val="24"/>
          <w:lang w:eastAsia="pl-PL"/>
        </w:rPr>
        <w:t xml:space="preserve">, jak i wymogi bezstronności oraz politycznej neutralności spoczywające na członkach korpusu służby cywilnej wynikające z ustawy </w:t>
      </w:r>
      <w:r w:rsidR="000D0F4B">
        <w:rPr>
          <w:rFonts w:ascii="Times New Roman" w:eastAsia="Times New Roman" w:hAnsi="Times New Roman" w:cs="Times New Roman"/>
          <w:color w:val="000000" w:themeColor="text1"/>
          <w:sz w:val="24"/>
          <w:szCs w:val="24"/>
          <w:lang w:eastAsia="pl-PL"/>
        </w:rPr>
        <w:t xml:space="preserve">z dnia 21 listopada 2008 r. </w:t>
      </w:r>
      <w:r w:rsidR="00A0552E" w:rsidRPr="00D84154">
        <w:rPr>
          <w:rFonts w:ascii="Times New Roman" w:eastAsia="Times New Roman" w:hAnsi="Times New Roman" w:cs="Times New Roman"/>
          <w:color w:val="000000" w:themeColor="text1"/>
          <w:sz w:val="24"/>
          <w:szCs w:val="24"/>
          <w:lang w:eastAsia="pl-PL"/>
        </w:rPr>
        <w:t>o służbie cywilnej</w:t>
      </w:r>
      <w:r w:rsidR="000D0F4B">
        <w:rPr>
          <w:rFonts w:ascii="Times New Roman" w:eastAsia="Times New Roman" w:hAnsi="Times New Roman" w:cs="Times New Roman"/>
          <w:color w:val="000000" w:themeColor="text1"/>
          <w:sz w:val="24"/>
          <w:szCs w:val="24"/>
          <w:lang w:eastAsia="pl-PL"/>
        </w:rPr>
        <w:t xml:space="preserve"> (Dz. U. z 2022 r. poz. 1691)</w:t>
      </w:r>
      <w:r w:rsidR="00A0552E" w:rsidRPr="00D84154">
        <w:rPr>
          <w:rFonts w:ascii="Times New Roman" w:eastAsia="Times New Roman" w:hAnsi="Times New Roman" w:cs="Times New Roman"/>
          <w:color w:val="000000" w:themeColor="text1"/>
          <w:sz w:val="24"/>
          <w:szCs w:val="24"/>
          <w:lang w:eastAsia="pl-PL"/>
        </w:rPr>
        <w:t>. Ponadto</w:t>
      </w:r>
      <w:r w:rsidR="0052290D">
        <w:rPr>
          <w:rFonts w:ascii="Times New Roman" w:eastAsia="Times New Roman" w:hAnsi="Times New Roman" w:cs="Times New Roman"/>
          <w:color w:val="000000" w:themeColor="text1"/>
          <w:sz w:val="24"/>
          <w:szCs w:val="24"/>
          <w:lang w:eastAsia="pl-PL"/>
        </w:rPr>
        <w:t xml:space="preserve"> </w:t>
      </w:r>
      <w:r w:rsidR="00A0552E" w:rsidRPr="00D84154">
        <w:rPr>
          <w:rFonts w:ascii="Times New Roman" w:eastAsia="Times New Roman" w:hAnsi="Times New Roman" w:cs="Times New Roman"/>
          <w:color w:val="000000" w:themeColor="text1"/>
          <w:sz w:val="24"/>
          <w:szCs w:val="24"/>
          <w:lang w:eastAsia="pl-PL"/>
        </w:rPr>
        <w:t xml:space="preserve">w projekcie ustawy zaproponowano dodanie także art. </w:t>
      </w:r>
      <w:r w:rsidR="00DA5F74" w:rsidRPr="00D84154">
        <w:rPr>
          <w:rFonts w:ascii="Times New Roman" w:eastAsia="Times New Roman" w:hAnsi="Times New Roman" w:cs="Times New Roman"/>
          <w:color w:val="000000" w:themeColor="text1"/>
          <w:sz w:val="24"/>
          <w:szCs w:val="24"/>
          <w:lang w:eastAsia="pl-PL"/>
        </w:rPr>
        <w:t>34</w:t>
      </w:r>
      <w:r w:rsidR="00A0552E" w:rsidRPr="00D84154">
        <w:rPr>
          <w:rFonts w:ascii="Times New Roman" w:eastAsia="Times New Roman" w:hAnsi="Times New Roman" w:cs="Times New Roman"/>
          <w:color w:val="000000" w:themeColor="text1"/>
          <w:sz w:val="24"/>
          <w:szCs w:val="24"/>
          <w:lang w:eastAsia="pl-PL"/>
        </w:rPr>
        <w:t>a, zgodnie z którym</w:t>
      </w:r>
      <w:r w:rsidR="0052290D">
        <w:rPr>
          <w:rFonts w:ascii="Times New Roman" w:eastAsia="Times New Roman" w:hAnsi="Times New Roman" w:cs="Times New Roman"/>
          <w:color w:val="000000" w:themeColor="text1"/>
          <w:sz w:val="24"/>
          <w:szCs w:val="24"/>
          <w:lang w:eastAsia="pl-PL"/>
        </w:rPr>
        <w:t xml:space="preserve"> </w:t>
      </w:r>
      <w:r w:rsidRPr="00D84154">
        <w:rPr>
          <w:rFonts w:ascii="Times New Roman" w:eastAsia="Times New Roman" w:hAnsi="Times New Roman" w:cs="Times New Roman"/>
          <w:color w:val="000000" w:themeColor="text1"/>
          <w:sz w:val="24"/>
          <w:szCs w:val="24"/>
          <w:lang w:eastAsia="pl-PL"/>
        </w:rPr>
        <w:t>Prezes Urzędu, wiceprezesi Urzędu</w:t>
      </w:r>
      <w:r w:rsidR="00CF60FA" w:rsidRPr="00D84154">
        <w:rPr>
          <w:rFonts w:ascii="Times New Roman" w:eastAsia="Times New Roman" w:hAnsi="Times New Roman" w:cs="Times New Roman"/>
          <w:color w:val="000000" w:themeColor="text1"/>
          <w:sz w:val="24"/>
          <w:szCs w:val="24"/>
          <w:lang w:eastAsia="pl-PL"/>
        </w:rPr>
        <w:t xml:space="preserve"> oraz pracownicy Urzędu wykonują swoje obowiązki i uprawnienia niezależnie od wpływów politycznych i innych wpływów zewnętrznych oraz nie mogą zwracać się o instrukcje do rządu ani innego podmiotu</w:t>
      </w:r>
      <w:r w:rsidR="00D22DC0" w:rsidRPr="00D84154">
        <w:rPr>
          <w:rFonts w:ascii="Times New Roman" w:eastAsia="Times New Roman" w:hAnsi="Times New Roman" w:cs="Times New Roman"/>
          <w:color w:val="000000" w:themeColor="text1"/>
          <w:sz w:val="24"/>
          <w:szCs w:val="24"/>
          <w:lang w:eastAsia="pl-PL"/>
        </w:rPr>
        <w:t xml:space="preserve"> publicznego lub prywatnego</w:t>
      </w:r>
      <w:r w:rsidR="00CF60FA" w:rsidRPr="00D84154">
        <w:rPr>
          <w:rFonts w:ascii="Times New Roman" w:eastAsia="Times New Roman" w:hAnsi="Times New Roman" w:cs="Times New Roman"/>
          <w:color w:val="000000" w:themeColor="text1"/>
          <w:sz w:val="24"/>
          <w:szCs w:val="24"/>
          <w:lang w:eastAsia="pl-PL"/>
        </w:rPr>
        <w:t xml:space="preserve">, </w:t>
      </w:r>
      <w:r w:rsidR="008B56AD" w:rsidRPr="00D84154">
        <w:rPr>
          <w:rFonts w:ascii="Times New Roman" w:eastAsia="Times New Roman" w:hAnsi="Times New Roman" w:cs="Times New Roman"/>
          <w:color w:val="000000" w:themeColor="text1"/>
          <w:sz w:val="24"/>
          <w:szCs w:val="24"/>
          <w:lang w:eastAsia="pl-PL"/>
        </w:rPr>
        <w:t xml:space="preserve">oraz </w:t>
      </w:r>
      <w:r w:rsidR="00CF60FA" w:rsidRPr="00D84154">
        <w:rPr>
          <w:rFonts w:ascii="Times New Roman" w:eastAsia="Times New Roman" w:hAnsi="Times New Roman" w:cs="Times New Roman"/>
          <w:color w:val="000000" w:themeColor="text1"/>
          <w:sz w:val="24"/>
          <w:szCs w:val="24"/>
          <w:lang w:eastAsia="pl-PL"/>
        </w:rPr>
        <w:t>przyjmować od nich żadnych instrukcji. W celu zapewnie</w:t>
      </w:r>
      <w:r w:rsidR="00D22DC0" w:rsidRPr="00D84154">
        <w:rPr>
          <w:rFonts w:ascii="Times New Roman" w:eastAsia="Times New Roman" w:hAnsi="Times New Roman" w:cs="Times New Roman"/>
          <w:color w:val="000000" w:themeColor="text1"/>
          <w:sz w:val="24"/>
          <w:szCs w:val="24"/>
          <w:lang w:eastAsia="pl-PL"/>
        </w:rPr>
        <w:t>nia</w:t>
      </w:r>
      <w:r w:rsidR="00CF60FA" w:rsidRPr="00D84154">
        <w:rPr>
          <w:rFonts w:ascii="Times New Roman" w:eastAsia="Times New Roman" w:hAnsi="Times New Roman" w:cs="Times New Roman"/>
          <w:color w:val="000000" w:themeColor="text1"/>
          <w:sz w:val="24"/>
          <w:szCs w:val="24"/>
          <w:lang w:eastAsia="pl-PL"/>
        </w:rPr>
        <w:t xml:space="preserve"> braku konfliktu interesów po ustaniu zatru</w:t>
      </w:r>
      <w:r w:rsidR="00BC0E7C">
        <w:rPr>
          <w:rFonts w:ascii="Times New Roman" w:eastAsia="Times New Roman" w:hAnsi="Times New Roman" w:cs="Times New Roman"/>
          <w:color w:val="000000" w:themeColor="text1"/>
          <w:sz w:val="24"/>
          <w:szCs w:val="24"/>
          <w:lang w:eastAsia="pl-PL"/>
        </w:rPr>
        <w:t>dnienia lub pełnienia funkcji w </w:t>
      </w:r>
      <w:r w:rsidR="00CF60FA" w:rsidRPr="00D84154">
        <w:rPr>
          <w:rFonts w:ascii="Times New Roman" w:eastAsia="Times New Roman" w:hAnsi="Times New Roman" w:cs="Times New Roman"/>
          <w:color w:val="000000" w:themeColor="text1"/>
          <w:sz w:val="24"/>
          <w:szCs w:val="24"/>
          <w:lang w:eastAsia="pl-PL"/>
        </w:rPr>
        <w:t xml:space="preserve">art. </w:t>
      </w:r>
      <w:r w:rsidR="00DA5F74" w:rsidRPr="00D84154">
        <w:rPr>
          <w:rFonts w:ascii="Times New Roman" w:eastAsia="Times New Roman" w:hAnsi="Times New Roman" w:cs="Times New Roman"/>
          <w:color w:val="000000" w:themeColor="text1"/>
          <w:sz w:val="24"/>
          <w:szCs w:val="24"/>
          <w:lang w:eastAsia="pl-PL"/>
        </w:rPr>
        <w:t>34</w:t>
      </w:r>
      <w:r w:rsidR="00CF60FA" w:rsidRPr="00D84154">
        <w:rPr>
          <w:rFonts w:ascii="Times New Roman" w:eastAsia="Times New Roman" w:hAnsi="Times New Roman" w:cs="Times New Roman"/>
          <w:color w:val="000000" w:themeColor="text1"/>
          <w:sz w:val="24"/>
          <w:szCs w:val="24"/>
          <w:lang w:eastAsia="pl-PL"/>
        </w:rPr>
        <w:t xml:space="preserve">a ust. 2 nałożono na Prezesa, wiceprezesów oraz pracowników Urzędu uczestniczących w </w:t>
      </w:r>
      <w:r w:rsidR="00F33BAC" w:rsidRPr="00D84154">
        <w:rPr>
          <w:rFonts w:ascii="Times New Roman" w:eastAsia="Times New Roman" w:hAnsi="Times New Roman" w:cs="Times New Roman"/>
          <w:color w:val="000000" w:themeColor="text1"/>
          <w:sz w:val="24"/>
          <w:szCs w:val="24"/>
          <w:lang w:eastAsia="pl-PL"/>
        </w:rPr>
        <w:t>wydaniu decyzji obowiązek nieangażowania się w tę samą sprawę, w</w:t>
      </w:r>
      <w:r w:rsidR="00DA5F74" w:rsidRPr="00D84154">
        <w:rPr>
          <w:rFonts w:ascii="Times New Roman" w:eastAsia="Times New Roman" w:hAnsi="Times New Roman" w:cs="Times New Roman"/>
          <w:color w:val="000000" w:themeColor="text1"/>
          <w:sz w:val="24"/>
          <w:szCs w:val="24"/>
          <w:lang w:eastAsia="pl-PL"/>
        </w:rPr>
        <w:t>e wskazanym w tym przepisie</w:t>
      </w:r>
      <w:r w:rsidR="00F33BAC" w:rsidRPr="00D84154">
        <w:rPr>
          <w:rFonts w:ascii="Times New Roman" w:eastAsia="Times New Roman" w:hAnsi="Times New Roman" w:cs="Times New Roman"/>
          <w:color w:val="000000" w:themeColor="text1"/>
          <w:sz w:val="24"/>
          <w:szCs w:val="24"/>
          <w:lang w:eastAsia="pl-PL"/>
        </w:rPr>
        <w:t xml:space="preserve"> okresie</w:t>
      </w:r>
      <w:r w:rsidR="00DA5F74" w:rsidRPr="00D84154">
        <w:rPr>
          <w:rFonts w:ascii="Times New Roman" w:eastAsia="Times New Roman" w:hAnsi="Times New Roman" w:cs="Times New Roman"/>
          <w:color w:val="000000" w:themeColor="text1"/>
          <w:sz w:val="24"/>
          <w:szCs w:val="24"/>
          <w:lang w:eastAsia="pl-PL"/>
        </w:rPr>
        <w:t xml:space="preserve"> </w:t>
      </w:r>
      <w:r w:rsidR="00F33BAC" w:rsidRPr="00D84154">
        <w:rPr>
          <w:rFonts w:ascii="Times New Roman" w:eastAsia="Times New Roman" w:hAnsi="Times New Roman" w:cs="Times New Roman"/>
          <w:color w:val="000000" w:themeColor="text1"/>
          <w:sz w:val="24"/>
          <w:szCs w:val="24"/>
          <w:lang w:eastAsia="pl-PL"/>
        </w:rPr>
        <w:t xml:space="preserve">od </w:t>
      </w:r>
      <w:r w:rsidR="008B56AD" w:rsidRPr="00D84154">
        <w:rPr>
          <w:rFonts w:ascii="Times New Roman" w:eastAsia="Times New Roman" w:hAnsi="Times New Roman" w:cs="Times New Roman"/>
          <w:color w:val="000000" w:themeColor="text1"/>
          <w:sz w:val="24"/>
          <w:szCs w:val="24"/>
          <w:lang w:eastAsia="pl-PL"/>
        </w:rPr>
        <w:t xml:space="preserve">ustania </w:t>
      </w:r>
      <w:r w:rsidR="00F33BAC" w:rsidRPr="00D84154">
        <w:rPr>
          <w:rFonts w:ascii="Times New Roman" w:eastAsia="Times New Roman" w:hAnsi="Times New Roman" w:cs="Times New Roman"/>
          <w:color w:val="000000" w:themeColor="text1"/>
          <w:sz w:val="24"/>
          <w:szCs w:val="24"/>
          <w:lang w:eastAsia="pl-PL"/>
        </w:rPr>
        <w:t>pracy w Urzędzie lub pełnienia swojej funkcji.</w:t>
      </w:r>
    </w:p>
    <w:p w14:paraId="1363DBBB" w14:textId="63109A4E" w:rsidR="00D159BB" w:rsidRPr="00D84154" w:rsidRDefault="00C343E2" w:rsidP="00D84154">
      <w:pPr>
        <w:pStyle w:val="Akapitzlist"/>
        <w:numPr>
          <w:ilvl w:val="0"/>
          <w:numId w:val="2"/>
        </w:numPr>
        <w:spacing w:before="120" w:after="0" w:line="360" w:lineRule="auto"/>
        <w:ind w:left="426" w:hanging="426"/>
        <w:jc w:val="both"/>
        <w:rPr>
          <w:rFonts w:ascii="Times New Roman" w:hAnsi="Times New Roman" w:cs="Times New Roman"/>
          <w:b/>
          <w:bCs/>
          <w:color w:val="000000" w:themeColor="text1"/>
          <w:sz w:val="24"/>
          <w:szCs w:val="24"/>
        </w:rPr>
      </w:pPr>
      <w:r w:rsidRPr="00D84154">
        <w:rPr>
          <w:rFonts w:ascii="Times New Roman" w:hAnsi="Times New Roman" w:cs="Times New Roman"/>
          <w:b/>
          <w:bCs/>
          <w:color w:val="000000" w:themeColor="text1"/>
          <w:sz w:val="24"/>
          <w:szCs w:val="24"/>
        </w:rPr>
        <w:t>U</w:t>
      </w:r>
      <w:r w:rsidR="00D159BB" w:rsidRPr="00D84154">
        <w:rPr>
          <w:rFonts w:ascii="Times New Roman" w:hAnsi="Times New Roman" w:cs="Times New Roman"/>
          <w:b/>
          <w:bCs/>
          <w:color w:val="000000" w:themeColor="text1"/>
          <w:sz w:val="24"/>
          <w:szCs w:val="24"/>
        </w:rPr>
        <w:t>zasadnienie zarzutów</w:t>
      </w:r>
    </w:p>
    <w:p w14:paraId="78F15DFC" w14:textId="6DF6E62C" w:rsidR="00E837DF" w:rsidRPr="001F3800" w:rsidRDefault="00E837DF" w:rsidP="00D84154">
      <w:pPr>
        <w:spacing w:before="120" w:after="0" w:line="360" w:lineRule="auto"/>
        <w:jc w:val="both"/>
        <w:rPr>
          <w:rFonts w:ascii="Times New Roman" w:hAnsi="Times New Roman" w:cs="Times New Roman"/>
          <w:color w:val="000000" w:themeColor="text1"/>
          <w:sz w:val="24"/>
          <w:szCs w:val="24"/>
        </w:rPr>
      </w:pPr>
      <w:r w:rsidRPr="001F3800">
        <w:rPr>
          <w:rFonts w:ascii="Times New Roman" w:hAnsi="Times New Roman" w:cs="Times New Roman"/>
          <w:color w:val="000000" w:themeColor="text1"/>
          <w:sz w:val="24"/>
          <w:szCs w:val="24"/>
        </w:rPr>
        <w:lastRenderedPageBreak/>
        <w:t xml:space="preserve">Dyrektywa stanowi, że </w:t>
      </w:r>
      <w:r w:rsidR="00FF6909" w:rsidRPr="001F3800">
        <w:rPr>
          <w:rFonts w:ascii="Times New Roman" w:hAnsi="Times New Roman" w:cs="Times New Roman"/>
          <w:color w:val="000000" w:themeColor="text1"/>
          <w:sz w:val="24"/>
          <w:szCs w:val="24"/>
        </w:rPr>
        <w:t>p</w:t>
      </w:r>
      <w:r w:rsidRPr="001F3800">
        <w:rPr>
          <w:rFonts w:ascii="Times New Roman" w:hAnsi="Times New Roman" w:cs="Times New Roman"/>
          <w:color w:val="000000" w:themeColor="text1"/>
          <w:sz w:val="24"/>
          <w:szCs w:val="24"/>
        </w:rPr>
        <w:t>aństwa członkowskie zapewniają, aby przed podjęciem decyzji na podstawie art. 10 dyrektywy krajowe organy ochrony konkurencji przyjmowały szczegółowe uzasadnienie zarzutów (art. 3 ust. 3 zd</w:t>
      </w:r>
      <w:r w:rsidR="00FF6909" w:rsidRPr="001F3800">
        <w:rPr>
          <w:rFonts w:ascii="Times New Roman" w:hAnsi="Times New Roman" w:cs="Times New Roman"/>
          <w:color w:val="000000" w:themeColor="text1"/>
          <w:sz w:val="24"/>
          <w:szCs w:val="24"/>
        </w:rPr>
        <w:t>anie drugie</w:t>
      </w:r>
      <w:r w:rsidRPr="001F3800">
        <w:rPr>
          <w:rFonts w:ascii="Times New Roman" w:hAnsi="Times New Roman" w:cs="Times New Roman"/>
          <w:color w:val="000000" w:themeColor="text1"/>
          <w:sz w:val="24"/>
          <w:szCs w:val="24"/>
        </w:rPr>
        <w:t>)</w:t>
      </w:r>
      <w:r w:rsidR="00FF6909" w:rsidRPr="001F3800">
        <w:rPr>
          <w:rFonts w:ascii="Times New Roman" w:hAnsi="Times New Roman" w:cs="Times New Roman"/>
          <w:color w:val="000000" w:themeColor="text1"/>
          <w:sz w:val="24"/>
          <w:szCs w:val="24"/>
        </w:rPr>
        <w:t>.</w:t>
      </w:r>
    </w:p>
    <w:p w14:paraId="5EAF9092" w14:textId="758F867E" w:rsidR="00E837DF" w:rsidRPr="00D84154" w:rsidRDefault="00E837DF"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Obowiązek wydawania szczegółowego uzasadnienia zarzut</w:t>
      </w:r>
      <w:r w:rsidR="00BC0E7C">
        <w:rPr>
          <w:rFonts w:ascii="Times New Roman" w:hAnsi="Times New Roman" w:cs="Times New Roman"/>
          <w:color w:val="000000" w:themeColor="text1"/>
          <w:sz w:val="24"/>
          <w:szCs w:val="24"/>
        </w:rPr>
        <w:t>ów jest wskazywany jako jedno z </w:t>
      </w:r>
      <w:r w:rsidRPr="00D84154">
        <w:rPr>
          <w:rFonts w:ascii="Times New Roman" w:hAnsi="Times New Roman" w:cs="Times New Roman"/>
          <w:color w:val="000000" w:themeColor="text1"/>
          <w:sz w:val="24"/>
          <w:szCs w:val="24"/>
        </w:rPr>
        <w:t xml:space="preserve">podstawowych praw przysługujących przedsiębiorcy. Jak wyjaśnia preambuła </w:t>
      </w:r>
      <w:r w:rsidR="00FF6909" w:rsidRPr="00D84154">
        <w:rPr>
          <w:rFonts w:ascii="Times New Roman" w:hAnsi="Times New Roman" w:cs="Times New Roman"/>
          <w:color w:val="000000" w:themeColor="text1"/>
          <w:sz w:val="24"/>
          <w:szCs w:val="24"/>
        </w:rPr>
        <w:t>d</w:t>
      </w:r>
      <w:r w:rsidR="00BC0E7C">
        <w:rPr>
          <w:rFonts w:ascii="Times New Roman" w:hAnsi="Times New Roman" w:cs="Times New Roman"/>
          <w:color w:val="000000" w:themeColor="text1"/>
          <w:sz w:val="24"/>
          <w:szCs w:val="24"/>
        </w:rPr>
        <w:t>yrektywy w </w:t>
      </w:r>
      <w:r w:rsidRPr="00D84154">
        <w:rPr>
          <w:rFonts w:ascii="Times New Roman" w:hAnsi="Times New Roman" w:cs="Times New Roman"/>
          <w:color w:val="000000" w:themeColor="text1"/>
          <w:sz w:val="24"/>
          <w:szCs w:val="24"/>
        </w:rPr>
        <w:t xml:space="preserve">motywie 14 wykonywanie uprawnień, w tym uprawnień dochodzeniowych, przyznanych krajowym organom ochrony konkurencji powinno podlegać odpowiednim gwarancjom, które będą spełniać co najmniej normy przewidziane w ogólnych zasadach prawa Unii </w:t>
      </w:r>
      <w:r w:rsidR="00FF6909" w:rsidRPr="00D84154">
        <w:rPr>
          <w:rFonts w:ascii="Times New Roman" w:hAnsi="Times New Roman" w:cs="Times New Roman"/>
          <w:color w:val="000000" w:themeColor="text1"/>
          <w:sz w:val="24"/>
          <w:szCs w:val="24"/>
        </w:rPr>
        <w:t xml:space="preserve">Europejskiej </w:t>
      </w:r>
      <w:r w:rsidRPr="00D84154">
        <w:rPr>
          <w:rFonts w:ascii="Times New Roman" w:hAnsi="Times New Roman" w:cs="Times New Roman"/>
          <w:color w:val="000000" w:themeColor="text1"/>
          <w:sz w:val="24"/>
          <w:szCs w:val="24"/>
        </w:rPr>
        <w:t>i w Karcie praw podstawowych Unii Europejskiej, zgodnie z orzecznictwem T</w:t>
      </w:r>
      <w:r w:rsidR="00FF6909" w:rsidRPr="00D84154">
        <w:rPr>
          <w:rFonts w:ascii="Times New Roman" w:hAnsi="Times New Roman" w:cs="Times New Roman"/>
          <w:color w:val="000000" w:themeColor="text1"/>
          <w:sz w:val="24"/>
          <w:szCs w:val="24"/>
        </w:rPr>
        <w:t>SUE</w:t>
      </w:r>
      <w:r w:rsidRPr="00D84154">
        <w:rPr>
          <w:rFonts w:ascii="Times New Roman" w:hAnsi="Times New Roman" w:cs="Times New Roman"/>
          <w:color w:val="000000" w:themeColor="text1"/>
          <w:sz w:val="24"/>
          <w:szCs w:val="24"/>
        </w:rPr>
        <w:t xml:space="preserve">, zwłaszcza w kontekście postępowań, które mogą doprowadzić do nałożenia kar. Te gwarancje obejmują prawo do dobrej administracji i poszanowanie prawa przedsiębiorstwa do obrony, którego zasadniczym elementem jest prawo do bycia wysłuchanym. W szczególności przed podjęciem decyzji o stwierdzeniu naruszenia krajowe organy ochrony konkurencji powinny poinformować strony objęte postępowaniem o wstępnych zastrzeżeniach wniesionych wobec nich na podstawie art. 101 lub </w:t>
      </w:r>
      <w:r w:rsidR="00FF6909" w:rsidRPr="00D84154">
        <w:rPr>
          <w:rFonts w:ascii="Times New Roman" w:hAnsi="Times New Roman" w:cs="Times New Roman"/>
          <w:color w:val="000000" w:themeColor="text1"/>
          <w:sz w:val="24"/>
          <w:szCs w:val="24"/>
        </w:rPr>
        <w:t xml:space="preserve">art. </w:t>
      </w:r>
      <w:r w:rsidRPr="00D84154">
        <w:rPr>
          <w:rFonts w:ascii="Times New Roman" w:hAnsi="Times New Roman" w:cs="Times New Roman"/>
          <w:color w:val="000000" w:themeColor="text1"/>
          <w:sz w:val="24"/>
          <w:szCs w:val="24"/>
        </w:rPr>
        <w:t>102 TFUE w formie szczegółowego uzasadnienia zarzutów lub podobnego środka, a strony postępowania powinny mieć możliwość skutecznego przedstawienia swoich opinii w sprawie wniesionych zastrzeżeń.</w:t>
      </w:r>
    </w:p>
    <w:p w14:paraId="2051E91C" w14:textId="30A59F44" w:rsidR="002B0210" w:rsidRPr="00D84154" w:rsidRDefault="002B0210"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W odniesieniu do art. 10 </w:t>
      </w:r>
      <w:r w:rsidR="00FF6909"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 xml:space="preserve">yrektywy przyjęto, że dla implementacji tego przepisu zmieniony zostanie art. 49 </w:t>
      </w:r>
      <w:r w:rsidR="00304996" w:rsidRPr="00D84154">
        <w:rPr>
          <w:rFonts w:ascii="Times New Roman" w:hAnsi="Times New Roman" w:cs="Times New Roman"/>
          <w:color w:val="000000" w:themeColor="text1"/>
          <w:sz w:val="24"/>
          <w:szCs w:val="24"/>
        </w:rPr>
        <w:t>ustawy</w:t>
      </w:r>
      <w:r w:rsidRPr="00D84154">
        <w:rPr>
          <w:rFonts w:ascii="Times New Roman" w:hAnsi="Times New Roman" w:cs="Times New Roman"/>
          <w:color w:val="000000" w:themeColor="text1"/>
          <w:sz w:val="24"/>
          <w:szCs w:val="24"/>
        </w:rPr>
        <w:t xml:space="preserve"> w ten sposób, że obligatoryjnym elementem postanowienia o wszczęciu postępowania będzie uzasadnienie. Zgodnie z art. 10 </w:t>
      </w:r>
      <w:r w:rsidR="00FF6909"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 xml:space="preserve">yrektywy przed podjęciem decyzji organy </w:t>
      </w:r>
      <w:r w:rsidR="00FF6909" w:rsidRPr="00D84154">
        <w:rPr>
          <w:rFonts w:ascii="Times New Roman" w:hAnsi="Times New Roman" w:cs="Times New Roman"/>
          <w:color w:val="000000" w:themeColor="text1"/>
          <w:sz w:val="24"/>
          <w:szCs w:val="24"/>
        </w:rPr>
        <w:t>p</w:t>
      </w:r>
      <w:r w:rsidRPr="00D84154">
        <w:rPr>
          <w:rFonts w:ascii="Times New Roman" w:hAnsi="Times New Roman" w:cs="Times New Roman"/>
          <w:color w:val="000000" w:themeColor="text1"/>
          <w:sz w:val="24"/>
          <w:szCs w:val="24"/>
        </w:rPr>
        <w:t xml:space="preserve">aństw </w:t>
      </w:r>
      <w:r w:rsidR="00FF6909" w:rsidRPr="00D84154">
        <w:rPr>
          <w:rFonts w:ascii="Times New Roman" w:hAnsi="Times New Roman" w:cs="Times New Roman"/>
          <w:color w:val="000000" w:themeColor="text1"/>
          <w:sz w:val="24"/>
          <w:szCs w:val="24"/>
        </w:rPr>
        <w:t>c</w:t>
      </w:r>
      <w:r w:rsidRPr="00D84154">
        <w:rPr>
          <w:rFonts w:ascii="Times New Roman" w:hAnsi="Times New Roman" w:cs="Times New Roman"/>
          <w:color w:val="000000" w:themeColor="text1"/>
          <w:sz w:val="24"/>
          <w:szCs w:val="24"/>
        </w:rPr>
        <w:t xml:space="preserve">złonkowskich powinny przyjąć „szczegółowe uzasadnienie zarzutów” (wersja polska </w:t>
      </w:r>
      <w:r w:rsidR="00FF6909"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 xml:space="preserve">yrektywy), określane również jako „statement of objections”, tj. „zgłoszenie zastrzeżeń” (wersja angielska </w:t>
      </w:r>
      <w:r w:rsidR="00FF6909"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 xml:space="preserve">yrektywy). Jednocześnie w motywie 14 </w:t>
      </w:r>
      <w:r w:rsidR="00FF6909"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 xml:space="preserve">yrektywy doprecyzowano, że: „(...) </w:t>
      </w:r>
      <w:r w:rsidRPr="00637161">
        <w:rPr>
          <w:rFonts w:ascii="Times New Roman" w:hAnsi="Times New Roman" w:cs="Times New Roman"/>
          <w:color w:val="000000" w:themeColor="text1"/>
          <w:sz w:val="24"/>
          <w:szCs w:val="24"/>
        </w:rPr>
        <w:t>przed podjęciem decyzji o stwierdzeniu naruszenia krajowe organy ochrony konkurencji powinny poinformować strony objęte postępowaniem o wstępnych zastrzeżeniach wniesionych wobec nich na podstawie art. 101 lub 102 TFUE w formie szczegółowego uzasadnienia zarzutów lub podobnego środka, a strony postępowania powinny mieć możliwość skutecznego przedstawienia swoich opinii w sprawie wniesionych zastrzeżeń</w:t>
      </w:r>
      <w:r w:rsidRPr="00B90F25">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Innymi słowy istotą art. 10 </w:t>
      </w:r>
      <w:r w:rsidR="00FF6909"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yrektywy jest, aby strona postępowania otrzymała informację o wstępnych zastrzeżeniach co do jej działań r</w:t>
      </w:r>
      <w:r w:rsidR="00BC0E7C">
        <w:rPr>
          <w:rFonts w:ascii="Times New Roman" w:hAnsi="Times New Roman" w:cs="Times New Roman"/>
          <w:color w:val="000000" w:themeColor="text1"/>
          <w:sz w:val="24"/>
          <w:szCs w:val="24"/>
        </w:rPr>
        <w:t>ynkowych z punktu widzenia art. </w:t>
      </w:r>
      <w:r w:rsidRPr="00D84154">
        <w:rPr>
          <w:rFonts w:ascii="Times New Roman" w:hAnsi="Times New Roman" w:cs="Times New Roman"/>
          <w:color w:val="000000" w:themeColor="text1"/>
          <w:sz w:val="24"/>
          <w:szCs w:val="24"/>
        </w:rPr>
        <w:t xml:space="preserve">101 lub </w:t>
      </w:r>
      <w:r w:rsidR="00FF6909" w:rsidRPr="00D84154">
        <w:rPr>
          <w:rFonts w:ascii="Times New Roman" w:hAnsi="Times New Roman" w:cs="Times New Roman"/>
          <w:color w:val="000000" w:themeColor="text1"/>
          <w:sz w:val="24"/>
          <w:szCs w:val="24"/>
        </w:rPr>
        <w:t xml:space="preserve">art. </w:t>
      </w:r>
      <w:r w:rsidRPr="00D84154">
        <w:rPr>
          <w:rFonts w:ascii="Times New Roman" w:hAnsi="Times New Roman" w:cs="Times New Roman"/>
          <w:color w:val="000000" w:themeColor="text1"/>
          <w:sz w:val="24"/>
          <w:szCs w:val="24"/>
        </w:rPr>
        <w:t xml:space="preserve">102 TFUE, nim zostanie wydana ewentualna decyzja, przy czym </w:t>
      </w:r>
      <w:r w:rsidR="00FF6909"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yrektywa dopuszcza, żeby powyższe nastąpiło w „szczegółowym uzasadnieniu zarzutów” („statement of objections”, tj. „zgłoszeniu zastrzeżeń”) lub innym podobnym dokumencie.</w:t>
      </w:r>
    </w:p>
    <w:p w14:paraId="2434019D" w14:textId="44161D5B" w:rsidR="002B0210" w:rsidRPr="00D84154" w:rsidRDefault="002B0210"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lastRenderedPageBreak/>
        <w:t xml:space="preserve">W obecnym stanie prawnym w sprawach z zakresu ochrony konkurencji prowadzi się dwa rodzaje postępowań: wyjaśniające i antymonopolowe. Postępowania wyjaśniające służą wstępnemu poczynieniu ustaleń </w:t>
      </w:r>
      <w:r w:rsidR="00B90F25">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w postępowaniu tym nie ma stron, a postępowanie zamykane jest w drodze postanowienia. W postępowaniu antymonopol</w:t>
      </w:r>
      <w:r w:rsidR="00BC0E7C">
        <w:rPr>
          <w:rFonts w:ascii="Times New Roman" w:hAnsi="Times New Roman" w:cs="Times New Roman"/>
          <w:color w:val="000000" w:themeColor="text1"/>
          <w:sz w:val="24"/>
          <w:szCs w:val="24"/>
        </w:rPr>
        <w:t>owym występują strony i tylko w </w:t>
      </w:r>
      <w:r w:rsidRPr="00D84154">
        <w:rPr>
          <w:rFonts w:ascii="Times New Roman" w:hAnsi="Times New Roman" w:cs="Times New Roman"/>
          <w:color w:val="000000" w:themeColor="text1"/>
          <w:sz w:val="24"/>
          <w:szCs w:val="24"/>
        </w:rPr>
        <w:t xml:space="preserve">wyniku takiego postępowania </w:t>
      </w:r>
      <w:r w:rsidR="00B90F25" w:rsidRPr="00D84154">
        <w:rPr>
          <w:rFonts w:ascii="Times New Roman" w:hAnsi="Times New Roman" w:cs="Times New Roman"/>
          <w:color w:val="000000" w:themeColor="text1"/>
          <w:sz w:val="24"/>
          <w:szCs w:val="24"/>
        </w:rPr>
        <w:t xml:space="preserve">jest </w:t>
      </w:r>
      <w:r w:rsidRPr="00D84154">
        <w:rPr>
          <w:rFonts w:ascii="Times New Roman" w:hAnsi="Times New Roman" w:cs="Times New Roman"/>
          <w:color w:val="000000" w:themeColor="text1"/>
          <w:sz w:val="24"/>
          <w:szCs w:val="24"/>
        </w:rPr>
        <w:t>możliwe wydanie decyzji. Prezes Urzędu wszczyna postępowanie antymonopolowe na podstawie art. 49</w:t>
      </w:r>
      <w:r w:rsidR="00304996" w:rsidRPr="00D84154">
        <w:rPr>
          <w:rFonts w:ascii="Times New Roman" w:hAnsi="Times New Roman" w:cs="Times New Roman"/>
          <w:color w:val="000000" w:themeColor="text1"/>
          <w:sz w:val="24"/>
          <w:szCs w:val="24"/>
        </w:rPr>
        <w:t xml:space="preserve"> ustawy</w:t>
      </w:r>
      <w:r w:rsidRPr="00D84154">
        <w:rPr>
          <w:rFonts w:ascii="Times New Roman" w:hAnsi="Times New Roman" w:cs="Times New Roman"/>
          <w:color w:val="000000" w:themeColor="text1"/>
          <w:sz w:val="24"/>
          <w:szCs w:val="24"/>
        </w:rPr>
        <w:t>, przy czym postanowienie, którym wszczynane jest postępowanie</w:t>
      </w:r>
      <w:r w:rsidR="00B90F25">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jako niezaskarżalne nie musi zawierać uzasadnienia. Jednocześnie zgodnie z art. 74 </w:t>
      </w:r>
      <w:r w:rsidR="00304996" w:rsidRPr="00D84154">
        <w:rPr>
          <w:rFonts w:ascii="Times New Roman" w:hAnsi="Times New Roman" w:cs="Times New Roman"/>
          <w:color w:val="000000" w:themeColor="text1"/>
          <w:sz w:val="24"/>
          <w:szCs w:val="24"/>
        </w:rPr>
        <w:t>ustawy</w:t>
      </w:r>
      <w:r w:rsidRPr="00D84154">
        <w:rPr>
          <w:rFonts w:ascii="Times New Roman" w:hAnsi="Times New Roman" w:cs="Times New Roman"/>
          <w:color w:val="000000" w:themeColor="text1"/>
          <w:sz w:val="24"/>
          <w:szCs w:val="24"/>
        </w:rPr>
        <w:t xml:space="preserve"> Prezes Urzędu, wydając decyzję kończącą postępowanie, uwzględnia tylko zarzuty, do których strony mogły się ustosunkować. W obecnej praktyce Prezesa Urzędu przyjęto, że niezależnie od uregulowań wynikających z </w:t>
      </w:r>
      <w:r w:rsidR="00304996" w:rsidRPr="00D84154">
        <w:rPr>
          <w:rFonts w:ascii="Times New Roman" w:hAnsi="Times New Roman" w:cs="Times New Roman"/>
          <w:color w:val="000000" w:themeColor="text1"/>
          <w:sz w:val="24"/>
          <w:szCs w:val="24"/>
        </w:rPr>
        <w:t>ustawy</w:t>
      </w:r>
      <w:r w:rsidRPr="00D84154">
        <w:rPr>
          <w:rFonts w:ascii="Times New Roman" w:hAnsi="Times New Roman" w:cs="Times New Roman"/>
          <w:color w:val="000000" w:themeColor="text1"/>
          <w:sz w:val="24"/>
          <w:szCs w:val="24"/>
        </w:rPr>
        <w:t xml:space="preserve"> oraz </w:t>
      </w:r>
      <w:r w:rsidR="00BC0E7C">
        <w:rPr>
          <w:rFonts w:ascii="Times New Roman" w:hAnsi="Times New Roman" w:cs="Times New Roman"/>
          <w:color w:val="000000" w:themeColor="text1"/>
          <w:sz w:val="24"/>
          <w:szCs w:val="24"/>
        </w:rPr>
        <w:t>ustawy z </w:t>
      </w:r>
      <w:r w:rsidR="009B06BF" w:rsidRPr="00D84154">
        <w:rPr>
          <w:rFonts w:ascii="Times New Roman" w:hAnsi="Times New Roman" w:cs="Times New Roman"/>
          <w:color w:val="000000" w:themeColor="text1"/>
          <w:sz w:val="24"/>
          <w:szCs w:val="24"/>
        </w:rPr>
        <w:t xml:space="preserve">dnia 14 czerwca 1960 r. </w:t>
      </w:r>
      <w:r w:rsidR="00B90F25">
        <w:rPr>
          <w:rFonts w:ascii="Times New Roman" w:hAnsi="Times New Roman" w:cs="Times New Roman"/>
          <w:color w:val="000000" w:themeColor="text1"/>
          <w:sz w:val="24"/>
          <w:szCs w:val="24"/>
        </w:rPr>
        <w:t xml:space="preserve">– </w:t>
      </w:r>
      <w:r w:rsidR="009B06BF" w:rsidRPr="00D84154">
        <w:rPr>
          <w:rFonts w:ascii="Times New Roman" w:hAnsi="Times New Roman" w:cs="Times New Roman"/>
          <w:color w:val="000000" w:themeColor="text1"/>
          <w:sz w:val="24"/>
          <w:szCs w:val="24"/>
        </w:rPr>
        <w:t>Kodeks postępowania administracyjnego</w:t>
      </w:r>
      <w:r w:rsidR="008736A1">
        <w:rPr>
          <w:rFonts w:ascii="Times New Roman" w:hAnsi="Times New Roman" w:cs="Times New Roman"/>
          <w:color w:val="000000" w:themeColor="text1"/>
          <w:sz w:val="24"/>
          <w:szCs w:val="24"/>
        </w:rPr>
        <w:t>,</w:t>
      </w:r>
      <w:r w:rsidR="009B06BF" w:rsidRPr="00D84154">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 xml:space="preserve">przed wydaniem decyzji Prezes Urzędu udostępnia stronom, w formie dodatkowej (wychodzącej poza wskazane wprost wymogi ustawowe), dokument o nazwie „Szczegółowe Uzasadnienie Zarzutów” </w:t>
      </w:r>
      <w:r w:rsidR="00B90F25">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dokument ten jest wydawany, jeżeli Prezes Urzędu zamierza wydać dec</w:t>
      </w:r>
      <w:r w:rsidR="00BC0E7C">
        <w:rPr>
          <w:rFonts w:ascii="Times New Roman" w:hAnsi="Times New Roman" w:cs="Times New Roman"/>
          <w:color w:val="000000" w:themeColor="text1"/>
          <w:sz w:val="24"/>
          <w:szCs w:val="24"/>
        </w:rPr>
        <w:t>yzję stwierdzającą naruszenie i </w:t>
      </w:r>
      <w:r w:rsidRPr="00D84154">
        <w:rPr>
          <w:rFonts w:ascii="Times New Roman" w:hAnsi="Times New Roman" w:cs="Times New Roman"/>
          <w:color w:val="000000" w:themeColor="text1"/>
          <w:sz w:val="24"/>
          <w:szCs w:val="24"/>
        </w:rPr>
        <w:t>zawiera wstępną ocenę sprawy.</w:t>
      </w:r>
    </w:p>
    <w:p w14:paraId="7A2EB3AF" w14:textId="29A245D3" w:rsidR="002B0210" w:rsidRPr="00D84154" w:rsidRDefault="002B0210"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Projektodawca poddał pod rozwagę dwie możliwości wdrożenia art. 10 </w:t>
      </w:r>
      <w:r w:rsidR="009B06BF"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yrektywy: (a) wprowadzenie obligatoryjnego uzasadnienia postanowieni</w:t>
      </w:r>
      <w:r w:rsidR="00BC0E7C">
        <w:rPr>
          <w:rFonts w:ascii="Times New Roman" w:hAnsi="Times New Roman" w:cs="Times New Roman"/>
          <w:color w:val="000000" w:themeColor="text1"/>
          <w:sz w:val="24"/>
          <w:szCs w:val="24"/>
        </w:rPr>
        <w:t>a o wszczęciu postępowania (tj. </w:t>
      </w:r>
      <w:r w:rsidRPr="00D84154">
        <w:rPr>
          <w:rFonts w:ascii="Times New Roman" w:hAnsi="Times New Roman" w:cs="Times New Roman"/>
          <w:color w:val="000000" w:themeColor="text1"/>
          <w:sz w:val="24"/>
          <w:szCs w:val="24"/>
        </w:rPr>
        <w:t xml:space="preserve">zmianę art. 49 </w:t>
      </w:r>
      <w:r w:rsidR="00304996" w:rsidRPr="00D84154">
        <w:rPr>
          <w:rFonts w:ascii="Times New Roman" w:hAnsi="Times New Roman" w:cs="Times New Roman"/>
          <w:color w:val="000000" w:themeColor="text1"/>
          <w:sz w:val="24"/>
          <w:szCs w:val="24"/>
        </w:rPr>
        <w:t>ustawy</w:t>
      </w:r>
      <w:r w:rsidRPr="00D84154">
        <w:rPr>
          <w:rFonts w:ascii="Times New Roman" w:hAnsi="Times New Roman" w:cs="Times New Roman"/>
          <w:color w:val="000000" w:themeColor="text1"/>
          <w:sz w:val="24"/>
          <w:szCs w:val="24"/>
        </w:rPr>
        <w:t xml:space="preserve">); (b) wykreowanie w ustawie zupełnie nowej instytucji w postaci dokumentu wydawanego w toku postępowania antymonopolowego i zawierającego opis wstępnych ustaleń. Projektodawca poddał także analizie sposób ukształtowania postępowania w sprawach z zakresu ochrony konkurencji przed Komisją Europejską, która również rozpatruje sprawy dotyczące naruszenia art. 101 i </w:t>
      </w:r>
      <w:r w:rsidR="009B06BF" w:rsidRPr="00D84154">
        <w:rPr>
          <w:rFonts w:ascii="Times New Roman" w:hAnsi="Times New Roman" w:cs="Times New Roman"/>
          <w:color w:val="000000" w:themeColor="text1"/>
          <w:sz w:val="24"/>
          <w:szCs w:val="24"/>
        </w:rPr>
        <w:t xml:space="preserve">art. </w:t>
      </w:r>
      <w:r w:rsidRPr="00D84154">
        <w:rPr>
          <w:rFonts w:ascii="Times New Roman" w:hAnsi="Times New Roman" w:cs="Times New Roman"/>
          <w:color w:val="000000" w:themeColor="text1"/>
          <w:sz w:val="24"/>
          <w:szCs w:val="24"/>
        </w:rPr>
        <w:t>102</w:t>
      </w:r>
      <w:r w:rsidR="009B06BF" w:rsidRPr="00D84154">
        <w:rPr>
          <w:rFonts w:ascii="Times New Roman" w:hAnsi="Times New Roman" w:cs="Times New Roman"/>
          <w:color w:val="000000" w:themeColor="text1"/>
          <w:sz w:val="24"/>
          <w:szCs w:val="24"/>
        </w:rPr>
        <w:t xml:space="preserve"> TFUE</w:t>
      </w:r>
      <w:r w:rsidRPr="00D84154">
        <w:rPr>
          <w:rFonts w:ascii="Times New Roman" w:hAnsi="Times New Roman" w:cs="Times New Roman"/>
          <w:color w:val="000000" w:themeColor="text1"/>
          <w:sz w:val="24"/>
          <w:szCs w:val="24"/>
        </w:rPr>
        <w:t xml:space="preserve">, i która wydaje w swoich postępowaniach dokument określany jako „statement of objections”. Dokument ten jest wydawany przed wydaniem decyzji i zawiera opis zastrzeżeń Komisji Europejskiej w badanej sprawie oraz odniesienie się do dowodów. Do dokumentu tego strony mogą się odnieść przedstawiając swoje stanowisko, w tym ewentualnie kolejne dowody na jego poparcie. Po wydaniu „statement of objections” Komisja Europejska może wydać kolejne (zmienione) „statement of objections” lub uzupełnić pierwotne „statement of objections” w nowym dokumencie określanym jako „supplementary statement of objections” (uzupełnienie zgłoszenia zastrzeżeń). Innymi słowy po wydaniu „statement of objections” </w:t>
      </w:r>
      <w:r w:rsidR="008736A1" w:rsidRPr="00D84154">
        <w:rPr>
          <w:rFonts w:ascii="Times New Roman" w:hAnsi="Times New Roman" w:cs="Times New Roman"/>
          <w:color w:val="000000" w:themeColor="text1"/>
          <w:sz w:val="24"/>
          <w:szCs w:val="24"/>
        </w:rPr>
        <w:t xml:space="preserve">jest </w:t>
      </w:r>
      <w:r w:rsidRPr="00D84154">
        <w:rPr>
          <w:rFonts w:ascii="Times New Roman" w:hAnsi="Times New Roman" w:cs="Times New Roman"/>
          <w:color w:val="000000" w:themeColor="text1"/>
          <w:sz w:val="24"/>
          <w:szCs w:val="24"/>
        </w:rPr>
        <w:t xml:space="preserve">możliwe w sprawie pojawienie się nowych dowodów oraz wymiana pism ze stroną postępowania. Jednocześnie zgodnie np. z akapitem 4 </w:t>
      </w:r>
      <w:r w:rsidR="00FE58B2" w:rsidRPr="00D84154">
        <w:rPr>
          <w:rFonts w:ascii="Times New Roman" w:hAnsi="Times New Roman" w:cs="Times New Roman"/>
          <w:color w:val="000000" w:themeColor="text1"/>
          <w:sz w:val="24"/>
          <w:szCs w:val="24"/>
        </w:rPr>
        <w:t>o</w:t>
      </w:r>
      <w:r w:rsidRPr="00D84154">
        <w:rPr>
          <w:rFonts w:ascii="Times New Roman" w:hAnsi="Times New Roman" w:cs="Times New Roman"/>
          <w:color w:val="000000" w:themeColor="text1"/>
          <w:sz w:val="24"/>
          <w:szCs w:val="24"/>
        </w:rPr>
        <w:t>bwieszczenia Komisji dotycząc</w:t>
      </w:r>
      <w:r w:rsidR="009B06BF" w:rsidRPr="00D84154">
        <w:rPr>
          <w:rFonts w:ascii="Times New Roman" w:hAnsi="Times New Roman" w:cs="Times New Roman"/>
          <w:color w:val="000000" w:themeColor="text1"/>
          <w:sz w:val="24"/>
          <w:szCs w:val="24"/>
        </w:rPr>
        <w:t>ego</w:t>
      </w:r>
      <w:r w:rsidRPr="00D84154">
        <w:rPr>
          <w:rFonts w:ascii="Times New Roman" w:hAnsi="Times New Roman" w:cs="Times New Roman"/>
          <w:color w:val="000000" w:themeColor="text1"/>
          <w:sz w:val="24"/>
          <w:szCs w:val="24"/>
        </w:rPr>
        <w:t xml:space="preserve"> zasad dostępu do akt Komisji w sp</w:t>
      </w:r>
      <w:r w:rsidR="00BC0E7C">
        <w:rPr>
          <w:rFonts w:ascii="Times New Roman" w:hAnsi="Times New Roman" w:cs="Times New Roman"/>
          <w:color w:val="000000" w:themeColor="text1"/>
          <w:sz w:val="24"/>
          <w:szCs w:val="24"/>
        </w:rPr>
        <w:t>rawach na mocy art. </w:t>
      </w:r>
      <w:r w:rsidRPr="00D84154">
        <w:rPr>
          <w:rFonts w:ascii="Times New Roman" w:hAnsi="Times New Roman" w:cs="Times New Roman"/>
          <w:color w:val="000000" w:themeColor="text1"/>
          <w:sz w:val="24"/>
          <w:szCs w:val="24"/>
        </w:rPr>
        <w:t xml:space="preserve">81 i 82 Traktatu WE, art. 53, </w:t>
      </w:r>
      <w:r w:rsidR="008736A1">
        <w:rPr>
          <w:rFonts w:ascii="Times New Roman" w:hAnsi="Times New Roman" w:cs="Times New Roman"/>
          <w:color w:val="000000" w:themeColor="text1"/>
          <w:sz w:val="24"/>
          <w:szCs w:val="24"/>
        </w:rPr>
        <w:t xml:space="preserve">art. </w:t>
      </w:r>
      <w:r w:rsidRPr="00D84154">
        <w:rPr>
          <w:rFonts w:ascii="Times New Roman" w:hAnsi="Times New Roman" w:cs="Times New Roman"/>
          <w:color w:val="000000" w:themeColor="text1"/>
          <w:sz w:val="24"/>
          <w:szCs w:val="24"/>
        </w:rPr>
        <w:t xml:space="preserve">54 i </w:t>
      </w:r>
      <w:r w:rsidR="008736A1">
        <w:rPr>
          <w:rFonts w:ascii="Times New Roman" w:hAnsi="Times New Roman" w:cs="Times New Roman"/>
          <w:color w:val="000000" w:themeColor="text1"/>
          <w:sz w:val="24"/>
          <w:szCs w:val="24"/>
        </w:rPr>
        <w:t xml:space="preserve">art. </w:t>
      </w:r>
      <w:r w:rsidRPr="00D84154">
        <w:rPr>
          <w:rFonts w:ascii="Times New Roman" w:hAnsi="Times New Roman" w:cs="Times New Roman"/>
          <w:color w:val="000000" w:themeColor="text1"/>
          <w:sz w:val="24"/>
          <w:szCs w:val="24"/>
        </w:rPr>
        <w:t xml:space="preserve">57 Porozumienia EOG oraz rozporządzeniem Rady (WE) </w:t>
      </w:r>
      <w:r w:rsidRPr="00D84154">
        <w:rPr>
          <w:rFonts w:ascii="Times New Roman" w:hAnsi="Times New Roman" w:cs="Times New Roman"/>
          <w:color w:val="000000" w:themeColor="text1"/>
          <w:sz w:val="24"/>
          <w:szCs w:val="24"/>
        </w:rPr>
        <w:lastRenderedPageBreak/>
        <w:t>nr 139/2004</w:t>
      </w:r>
      <w:r w:rsidR="00FE58B2" w:rsidRPr="00D84154">
        <w:rPr>
          <w:rFonts w:ascii="Times New Roman" w:hAnsi="Times New Roman" w:cs="Times New Roman"/>
          <w:color w:val="000000" w:themeColor="text1"/>
          <w:sz w:val="24"/>
          <w:szCs w:val="24"/>
        </w:rPr>
        <w:t>(Dz. Urz. UE C 325 z 22.12.2005</w:t>
      </w:r>
      <w:r w:rsidRPr="00D84154">
        <w:rPr>
          <w:rFonts w:ascii="Times New Roman" w:hAnsi="Times New Roman" w:cs="Times New Roman"/>
          <w:color w:val="000000" w:themeColor="text1"/>
          <w:sz w:val="24"/>
          <w:szCs w:val="24"/>
        </w:rPr>
        <w:t>,</w:t>
      </w:r>
      <w:r w:rsidR="00FE58B2" w:rsidRPr="00D84154">
        <w:rPr>
          <w:rFonts w:ascii="Times New Roman" w:hAnsi="Times New Roman" w:cs="Times New Roman"/>
          <w:color w:val="000000" w:themeColor="text1"/>
          <w:sz w:val="24"/>
          <w:szCs w:val="24"/>
        </w:rPr>
        <w:t xml:space="preserve"> str. 3)</w:t>
      </w:r>
      <w:r w:rsidRPr="00D84154">
        <w:rPr>
          <w:rFonts w:ascii="Times New Roman" w:hAnsi="Times New Roman" w:cs="Times New Roman"/>
          <w:color w:val="000000" w:themeColor="text1"/>
          <w:sz w:val="24"/>
          <w:szCs w:val="24"/>
        </w:rPr>
        <w:t xml:space="preserve"> dostęp do akt </w:t>
      </w:r>
      <w:r w:rsidR="009B06BF" w:rsidRPr="00D84154">
        <w:rPr>
          <w:rFonts w:ascii="Times New Roman" w:hAnsi="Times New Roman" w:cs="Times New Roman"/>
          <w:color w:val="000000" w:themeColor="text1"/>
          <w:sz w:val="24"/>
          <w:szCs w:val="24"/>
        </w:rPr>
        <w:t xml:space="preserve">jest </w:t>
      </w:r>
      <w:r w:rsidRPr="00D84154">
        <w:rPr>
          <w:rFonts w:ascii="Times New Roman" w:hAnsi="Times New Roman" w:cs="Times New Roman"/>
          <w:color w:val="000000" w:themeColor="text1"/>
          <w:sz w:val="24"/>
          <w:szCs w:val="24"/>
        </w:rPr>
        <w:t xml:space="preserve">realizowany przez podmioty, do których zostało skierowane „statement of objections”. Należy przy tym zwrócić uwagę, że o ile sformułowanie „statement of objections” zostało przetłumaczone w </w:t>
      </w:r>
      <w:r w:rsidR="009B06BF"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yrektywie jako „szczegółowe uzasadnienie zarzutów”, to w obwieszczeniu, o którym mowa wyżej, dokument ten określony został po prostu jako „pisemne zastrzeżenia”, co pozostaje bliższe angielskiemu brzmieniu tego instrumentu.</w:t>
      </w:r>
    </w:p>
    <w:p w14:paraId="6391F71D" w14:textId="7B7C6984" w:rsidR="002B0210" w:rsidRPr="00D84154" w:rsidRDefault="002B0210"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Mając na względzie fakt, że „statement of objections” ma służyć przede wszystkim poinformowaniu strony o zastrzeżeniach (tj. zarzutach oraz ich wyjaśnieniu), a tym samym umożliwieniu jej ustosunkowanie się do zastrzeżeń zgłoszonych przez organ ochrony konkurencji, a sama </w:t>
      </w:r>
      <w:r w:rsidR="009B06BF"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 xml:space="preserve">yrektywa ma na celu zbliżenie, a nie ujednolicenie praktyki w </w:t>
      </w:r>
      <w:r w:rsidR="009B06BF" w:rsidRPr="00D84154">
        <w:rPr>
          <w:rFonts w:ascii="Times New Roman" w:hAnsi="Times New Roman" w:cs="Times New Roman"/>
          <w:color w:val="000000" w:themeColor="text1"/>
          <w:sz w:val="24"/>
          <w:szCs w:val="24"/>
        </w:rPr>
        <w:t>p</w:t>
      </w:r>
      <w:r w:rsidRPr="00D84154">
        <w:rPr>
          <w:rFonts w:ascii="Times New Roman" w:hAnsi="Times New Roman" w:cs="Times New Roman"/>
          <w:color w:val="000000" w:themeColor="text1"/>
          <w:sz w:val="24"/>
          <w:szCs w:val="24"/>
        </w:rPr>
        <w:t xml:space="preserve">aństwach </w:t>
      </w:r>
      <w:r w:rsidR="009B06BF" w:rsidRPr="00D84154">
        <w:rPr>
          <w:rFonts w:ascii="Times New Roman" w:hAnsi="Times New Roman" w:cs="Times New Roman"/>
          <w:color w:val="000000" w:themeColor="text1"/>
          <w:sz w:val="24"/>
          <w:szCs w:val="24"/>
        </w:rPr>
        <w:t>c</w:t>
      </w:r>
      <w:r w:rsidRPr="00D84154">
        <w:rPr>
          <w:rFonts w:ascii="Times New Roman" w:hAnsi="Times New Roman" w:cs="Times New Roman"/>
          <w:color w:val="000000" w:themeColor="text1"/>
          <w:sz w:val="24"/>
          <w:szCs w:val="24"/>
        </w:rPr>
        <w:t>złonkowskich (w tym drugim przypadku prawodawca unijny zdecydowałby się na regulację w postaci rozporządzenia), projektodawca uznał, że w polskim porządku prawnym właściwe będzie umiejscowienie „statement of objections” w postanowieniu o wszczęciu postępowania. Rozwiązanie takie pozostaje spójne ze specyfiką polskiego postępowania administracyjnego oraz dotychczasową siatką instytucjonalną ustawy, która przewiduje już obecnie istnienie aktu w postaci postanowienia o wszczęciu postępowania antymonopolowego (należy przy tym zwrócić uwagę, że postępowanie przed Prezesem Urzędu zawiera już teraz wyłom od ogólnych zasad postępowania administracyjnego i wszczęcie postępow</w:t>
      </w:r>
      <w:r w:rsidR="00BC0E7C">
        <w:rPr>
          <w:rFonts w:ascii="Times New Roman" w:hAnsi="Times New Roman" w:cs="Times New Roman"/>
          <w:color w:val="000000" w:themeColor="text1"/>
          <w:sz w:val="24"/>
          <w:szCs w:val="24"/>
        </w:rPr>
        <w:t>ania w drodze postanowienia i z </w:t>
      </w:r>
      <w:r w:rsidRPr="00D84154">
        <w:rPr>
          <w:rFonts w:ascii="Times New Roman" w:hAnsi="Times New Roman" w:cs="Times New Roman"/>
          <w:color w:val="000000" w:themeColor="text1"/>
          <w:sz w:val="24"/>
          <w:szCs w:val="24"/>
        </w:rPr>
        <w:t xml:space="preserve">datą na dzień wydania tego postanowienia). Jednocześnie rozwiązanie takie pozostaje spójne z formułą postępowania przed Komisją Europejską, w ramach którego wgląd do akt posiadają adresaci „statement of objections” </w:t>
      </w:r>
      <w:r w:rsidR="003F5269">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w przypadku prawa polskiego byłyby to zatem strony postępowania antymonopolowego (postępowanie wyjaśniające nie posiada stron, a jego charakter bardziej przypomina etap postępowania Komisji Europejskiej przed momentem wydania „statement of objections”). Należy również zwrócić uwagę, że już w obecnym stanie prawnym postępowania antymonopolowe </w:t>
      </w:r>
      <w:r w:rsidR="003F5269" w:rsidRPr="00D84154">
        <w:rPr>
          <w:rFonts w:ascii="Times New Roman" w:hAnsi="Times New Roman" w:cs="Times New Roman"/>
          <w:color w:val="000000" w:themeColor="text1"/>
          <w:sz w:val="24"/>
          <w:szCs w:val="24"/>
        </w:rPr>
        <w:t xml:space="preserve">są </w:t>
      </w:r>
      <w:r w:rsidRPr="00D84154">
        <w:rPr>
          <w:rFonts w:ascii="Times New Roman" w:hAnsi="Times New Roman" w:cs="Times New Roman"/>
          <w:color w:val="000000" w:themeColor="text1"/>
          <w:sz w:val="24"/>
          <w:szCs w:val="24"/>
        </w:rPr>
        <w:t>poprzedzane postępowaniami wyjaśniającymi, które służą zgromadzeniu materiału dowodowego oraz wstępnemu wyjaśnieniu charakteru sprawy, co z kolei pozwala określić ewentualny zakres p</w:t>
      </w:r>
      <w:r w:rsidR="00BC0E7C">
        <w:rPr>
          <w:rFonts w:ascii="Times New Roman" w:hAnsi="Times New Roman" w:cs="Times New Roman"/>
          <w:color w:val="000000" w:themeColor="text1"/>
          <w:sz w:val="24"/>
          <w:szCs w:val="24"/>
        </w:rPr>
        <w:t>ostępowania antymonopolowego. W </w:t>
      </w:r>
      <w:r w:rsidRPr="00D84154">
        <w:rPr>
          <w:rFonts w:ascii="Times New Roman" w:hAnsi="Times New Roman" w:cs="Times New Roman"/>
          <w:color w:val="000000" w:themeColor="text1"/>
          <w:sz w:val="24"/>
          <w:szCs w:val="24"/>
        </w:rPr>
        <w:t xml:space="preserve">konsekwencji taka konstrukcja implementacji art. 10 </w:t>
      </w:r>
      <w:r w:rsidR="009E44FB"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 xml:space="preserve">yrektywy odpowiada charakterowi polskiego postępowania administracyjnego oraz samego postępowania w sprawie praktyk ograniczających konkurencję </w:t>
      </w:r>
      <w:r w:rsidR="000D4F15">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wstępne przedstawie</w:t>
      </w:r>
      <w:r w:rsidR="00BC0E7C">
        <w:rPr>
          <w:rFonts w:ascii="Times New Roman" w:hAnsi="Times New Roman" w:cs="Times New Roman"/>
          <w:color w:val="000000" w:themeColor="text1"/>
          <w:sz w:val="24"/>
          <w:szCs w:val="24"/>
        </w:rPr>
        <w:t>nie zastrzeżeń, o którym mowa w </w:t>
      </w:r>
      <w:r w:rsidR="009E44FB"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yrektywie, może nastąpić w postanowieniu o wszczęciu postępowania antymonopolowego, ponieważ w tym czasie organ ochrony konkurencji powinien już posiadać odpowiednie materiały do wyjaśnien</w:t>
      </w:r>
      <w:r w:rsidR="000D4F15">
        <w:rPr>
          <w:rFonts w:ascii="Times New Roman" w:hAnsi="Times New Roman" w:cs="Times New Roman"/>
          <w:color w:val="000000" w:themeColor="text1"/>
          <w:sz w:val="24"/>
          <w:szCs w:val="24"/>
        </w:rPr>
        <w:t>ia swoich wstępnych zastrzeżeń.</w:t>
      </w:r>
    </w:p>
    <w:p w14:paraId="1CD35B9C" w14:textId="340643EC" w:rsidR="002B0210" w:rsidRPr="00D84154" w:rsidRDefault="002B0210"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lastRenderedPageBreak/>
        <w:t>Z uwagi na powyższe projekt</w:t>
      </w:r>
      <w:r w:rsidR="003F5269">
        <w:rPr>
          <w:rFonts w:ascii="Times New Roman" w:hAnsi="Times New Roman" w:cs="Times New Roman"/>
          <w:color w:val="000000" w:themeColor="text1"/>
          <w:sz w:val="24"/>
          <w:szCs w:val="24"/>
        </w:rPr>
        <w:t>odawca</w:t>
      </w:r>
      <w:r w:rsidRPr="00D84154">
        <w:rPr>
          <w:rFonts w:ascii="Times New Roman" w:hAnsi="Times New Roman" w:cs="Times New Roman"/>
          <w:color w:val="000000" w:themeColor="text1"/>
          <w:sz w:val="24"/>
          <w:szCs w:val="24"/>
        </w:rPr>
        <w:t xml:space="preserve"> proponuje</w:t>
      </w:r>
      <w:r w:rsidR="003F5269">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w:t>
      </w:r>
      <w:r w:rsidR="009E44FB" w:rsidRPr="00D84154">
        <w:rPr>
          <w:rFonts w:ascii="Times New Roman" w:hAnsi="Times New Roman" w:cs="Times New Roman"/>
          <w:color w:val="000000" w:themeColor="text1"/>
          <w:sz w:val="24"/>
          <w:szCs w:val="24"/>
        </w:rPr>
        <w:t>a</w:t>
      </w:r>
      <w:r w:rsidRPr="00D84154">
        <w:rPr>
          <w:rFonts w:ascii="Times New Roman" w:hAnsi="Times New Roman" w:cs="Times New Roman"/>
          <w:color w:val="000000" w:themeColor="text1"/>
          <w:sz w:val="24"/>
          <w:szCs w:val="24"/>
        </w:rPr>
        <w:t xml:space="preserve">by uzasadnienie zarzutów było wydawane na etapie wszczęcia postępowania. Zgodnie z propozycją postanowienie o wszczęciu postępowania wymaga uzasadnienia. Uzasadnienie zawiera wyjaśnienie zarzutów stawianych przedsiębiorcy oraz informację o zasadach </w:t>
      </w:r>
      <w:r w:rsidR="003E3853" w:rsidRPr="00D84154">
        <w:rPr>
          <w:rFonts w:ascii="Times New Roman" w:hAnsi="Times New Roman" w:cs="Times New Roman"/>
          <w:color w:val="000000" w:themeColor="text1"/>
          <w:sz w:val="24"/>
          <w:szCs w:val="24"/>
        </w:rPr>
        <w:t xml:space="preserve">ustalania wysokości </w:t>
      </w:r>
      <w:r w:rsidRPr="00D84154">
        <w:rPr>
          <w:rFonts w:ascii="Times New Roman" w:hAnsi="Times New Roman" w:cs="Times New Roman"/>
          <w:color w:val="000000" w:themeColor="text1"/>
          <w:sz w:val="24"/>
          <w:szCs w:val="24"/>
        </w:rPr>
        <w:t xml:space="preserve">kary pieniężnej w przypadku stwierdzenia, że przedsiębiorca dopuścił się naruszenia przepisów ustawy. Obowiązek przedstawienia uzasadnienia zarzutów </w:t>
      </w:r>
      <w:r w:rsidR="003F5269" w:rsidRPr="00D84154">
        <w:rPr>
          <w:rFonts w:ascii="Times New Roman" w:hAnsi="Times New Roman" w:cs="Times New Roman"/>
          <w:color w:val="000000" w:themeColor="text1"/>
          <w:sz w:val="24"/>
          <w:szCs w:val="24"/>
        </w:rPr>
        <w:t xml:space="preserve">będzie </w:t>
      </w:r>
      <w:r w:rsidRPr="00D84154">
        <w:rPr>
          <w:rFonts w:ascii="Times New Roman" w:hAnsi="Times New Roman" w:cs="Times New Roman"/>
          <w:color w:val="000000" w:themeColor="text1"/>
          <w:sz w:val="24"/>
          <w:szCs w:val="24"/>
        </w:rPr>
        <w:t>dotyczyć wszystkich postępowań wymienionych w art. 49 ust. 1 ustawy, a więc postępowań antymonopolowych w sprawach praktyk ograniczających konkurencję, postępowań w sprawach praktyk naruszających zbiorowe interesy konsumentów, postępowań w sprawach o uznanie postanowień wzorca umowy za niedozwolone oraz w sprawach nakładania kar pieniężnych.</w:t>
      </w:r>
    </w:p>
    <w:p w14:paraId="703A5A82" w14:textId="37FE148D" w:rsidR="003E3853" w:rsidRPr="00D84154" w:rsidRDefault="008C3651"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 ramach informacji o</w:t>
      </w:r>
      <w:r w:rsidR="003E3853" w:rsidRPr="00D84154">
        <w:rPr>
          <w:rFonts w:ascii="Times New Roman" w:hAnsi="Times New Roman" w:cs="Times New Roman"/>
          <w:color w:val="000000" w:themeColor="text1"/>
          <w:sz w:val="24"/>
          <w:szCs w:val="24"/>
        </w:rPr>
        <w:t xml:space="preserve"> zasad</w:t>
      </w:r>
      <w:r w:rsidRPr="00D84154">
        <w:rPr>
          <w:rFonts w:ascii="Times New Roman" w:hAnsi="Times New Roman" w:cs="Times New Roman"/>
          <w:color w:val="000000" w:themeColor="text1"/>
          <w:sz w:val="24"/>
          <w:szCs w:val="24"/>
        </w:rPr>
        <w:t>ach</w:t>
      </w:r>
      <w:r w:rsidR="003E3853" w:rsidRPr="00D84154">
        <w:rPr>
          <w:rFonts w:ascii="Times New Roman" w:hAnsi="Times New Roman" w:cs="Times New Roman"/>
          <w:color w:val="000000" w:themeColor="text1"/>
          <w:sz w:val="24"/>
          <w:szCs w:val="24"/>
        </w:rPr>
        <w:t xml:space="preserve"> ustalania kary pieniężnej, o których mowa w projektowanym przepisie art. 49 ust. 3,</w:t>
      </w:r>
      <w:r w:rsidR="00F65A77">
        <w:rPr>
          <w:rFonts w:ascii="Times New Roman" w:hAnsi="Times New Roman" w:cs="Times New Roman"/>
          <w:color w:val="000000" w:themeColor="text1"/>
          <w:sz w:val="24"/>
          <w:szCs w:val="24"/>
        </w:rPr>
        <w:t xml:space="preserve"> </w:t>
      </w:r>
      <w:r w:rsidR="003E3853" w:rsidRPr="00D84154">
        <w:rPr>
          <w:rFonts w:ascii="Times New Roman" w:hAnsi="Times New Roman" w:cs="Times New Roman"/>
          <w:color w:val="000000" w:themeColor="text1"/>
          <w:sz w:val="24"/>
          <w:szCs w:val="24"/>
        </w:rPr>
        <w:t>wskaza</w:t>
      </w:r>
      <w:r w:rsidRPr="00D84154">
        <w:rPr>
          <w:rFonts w:ascii="Times New Roman" w:hAnsi="Times New Roman" w:cs="Times New Roman"/>
          <w:color w:val="000000" w:themeColor="text1"/>
          <w:sz w:val="24"/>
          <w:szCs w:val="24"/>
        </w:rPr>
        <w:t>ne zostaną</w:t>
      </w:r>
      <w:r w:rsidR="003E3853" w:rsidRPr="00D84154">
        <w:rPr>
          <w:rFonts w:ascii="Times New Roman" w:hAnsi="Times New Roman" w:cs="Times New Roman"/>
          <w:color w:val="000000" w:themeColor="text1"/>
          <w:sz w:val="24"/>
          <w:szCs w:val="24"/>
        </w:rPr>
        <w:t xml:space="preserve"> okoliczności, jakie wpływają na ustalenie wysokości kary pieniężnej. W</w:t>
      </w:r>
      <w:r w:rsidR="00187C0F" w:rsidRPr="00D84154">
        <w:rPr>
          <w:rFonts w:ascii="Times New Roman" w:hAnsi="Times New Roman" w:cs="Times New Roman"/>
          <w:color w:val="000000" w:themeColor="text1"/>
          <w:sz w:val="24"/>
          <w:szCs w:val="24"/>
        </w:rPr>
        <w:t xml:space="preserve"> informacji tej przedstawione zostaną</w:t>
      </w:r>
      <w:r w:rsidR="003E3853" w:rsidRPr="00D84154">
        <w:rPr>
          <w:rFonts w:ascii="Times New Roman" w:hAnsi="Times New Roman" w:cs="Times New Roman"/>
          <w:color w:val="000000" w:themeColor="text1"/>
          <w:sz w:val="24"/>
          <w:szCs w:val="24"/>
        </w:rPr>
        <w:t xml:space="preserve"> w sposób ogólny przesłanki, które </w:t>
      </w:r>
      <w:r w:rsidR="00187C0F" w:rsidRPr="00D84154">
        <w:rPr>
          <w:rFonts w:ascii="Times New Roman" w:hAnsi="Times New Roman" w:cs="Times New Roman"/>
          <w:color w:val="000000" w:themeColor="text1"/>
          <w:sz w:val="24"/>
          <w:szCs w:val="24"/>
        </w:rPr>
        <w:t>będą</w:t>
      </w:r>
      <w:r w:rsidR="003E3853" w:rsidRPr="00D84154">
        <w:rPr>
          <w:rFonts w:ascii="Times New Roman" w:hAnsi="Times New Roman" w:cs="Times New Roman"/>
          <w:color w:val="000000" w:themeColor="text1"/>
          <w:sz w:val="24"/>
          <w:szCs w:val="24"/>
        </w:rPr>
        <w:t xml:space="preserve"> uwzględnione przy obliczaniu wysokości kary pieniężnej, takie jak okres, stopień oraz skutki rynkowe naruszenia przepisów ustawy. Prezes UOKiK wskaże zarówno obowiązujące przepisy dotyczące ustalania wysokości kary</w:t>
      </w:r>
      <w:r w:rsidR="00187C0F" w:rsidRPr="00D84154">
        <w:rPr>
          <w:rFonts w:ascii="Times New Roman" w:hAnsi="Times New Roman" w:cs="Times New Roman"/>
          <w:color w:val="000000" w:themeColor="text1"/>
          <w:sz w:val="24"/>
          <w:szCs w:val="24"/>
        </w:rPr>
        <w:t>,</w:t>
      </w:r>
      <w:r w:rsidR="003E3853" w:rsidRPr="00D84154">
        <w:rPr>
          <w:rFonts w:ascii="Times New Roman" w:hAnsi="Times New Roman" w:cs="Times New Roman"/>
          <w:color w:val="000000" w:themeColor="text1"/>
          <w:sz w:val="24"/>
          <w:szCs w:val="24"/>
        </w:rPr>
        <w:t xml:space="preserve"> jak i znajdujące zastosowanie w danej sprawie wyjaśnienia i interpretacje wydane na podstawie art. 31a ustawy.</w:t>
      </w:r>
    </w:p>
    <w:p w14:paraId="440FF0AC" w14:textId="0E8F5455" w:rsidR="002B0210" w:rsidRPr="00D84154" w:rsidRDefault="00304996"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Dodatkowo, zgodnie z projektowanym art. 49 ust. 4, postanowienie o wszczęciu postępowania w sprawie dopuszczenia przez osobę zarządzającą do naruszenia przez przedsiębiorcę zakazów, o których mowa w art. 6 ust. 1 pkt 1</w:t>
      </w:r>
      <w:r w:rsidR="003F5269">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6 ustawy lub w art. 101 ust. 1 lit. a</w:t>
      </w:r>
      <w:r w:rsidR="003F5269">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e TFUE, będzie również zawierało wyjaśnienie zarzutów stawianych tej osobie oraz informację o zasadach wymiaru kary pieniężnej.</w:t>
      </w:r>
    </w:p>
    <w:p w14:paraId="03E0A7CB" w14:textId="77777777" w:rsidR="00D159BB" w:rsidRPr="00D84154" w:rsidRDefault="00D159BB" w:rsidP="00D84154">
      <w:pPr>
        <w:pStyle w:val="Akapitzlist"/>
        <w:numPr>
          <w:ilvl w:val="0"/>
          <w:numId w:val="2"/>
        </w:numPr>
        <w:spacing w:before="120" w:after="0" w:line="360" w:lineRule="auto"/>
        <w:ind w:left="426" w:hanging="426"/>
        <w:jc w:val="both"/>
        <w:rPr>
          <w:rFonts w:ascii="Times New Roman" w:hAnsi="Times New Roman" w:cs="Times New Roman"/>
          <w:b/>
          <w:bCs/>
          <w:color w:val="000000" w:themeColor="text1"/>
          <w:sz w:val="24"/>
          <w:szCs w:val="24"/>
        </w:rPr>
      </w:pPr>
      <w:r w:rsidRPr="00D84154">
        <w:rPr>
          <w:rFonts w:ascii="Times New Roman" w:hAnsi="Times New Roman" w:cs="Times New Roman"/>
          <w:b/>
          <w:bCs/>
          <w:color w:val="000000" w:themeColor="text1"/>
          <w:sz w:val="24"/>
          <w:szCs w:val="24"/>
        </w:rPr>
        <w:t>Żądanie informacji</w:t>
      </w:r>
    </w:p>
    <w:p w14:paraId="5C91C979" w14:textId="22A57D64" w:rsidR="00E837DF" w:rsidRPr="00D84154" w:rsidRDefault="00E837DF"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Dyrektywa wymaga</w:t>
      </w:r>
      <w:r w:rsidR="00023C43">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aby krajowe organy ochrony konkurencji miały skuteczne uprawnienia umożliwiające im żądanie od przedsiębiorstw lub związków przedsiębiorstw dostarczenia informacji niezbędnych do wykrycia naruszeń art. 101 i </w:t>
      </w:r>
      <w:r w:rsidR="00A3148B" w:rsidRPr="00D84154">
        <w:rPr>
          <w:rFonts w:ascii="Times New Roman" w:hAnsi="Times New Roman" w:cs="Times New Roman"/>
          <w:color w:val="000000" w:themeColor="text1"/>
          <w:sz w:val="24"/>
          <w:szCs w:val="24"/>
        </w:rPr>
        <w:t xml:space="preserve">art. </w:t>
      </w:r>
      <w:r w:rsidRPr="00D84154">
        <w:rPr>
          <w:rFonts w:ascii="Times New Roman" w:hAnsi="Times New Roman" w:cs="Times New Roman"/>
          <w:color w:val="000000" w:themeColor="text1"/>
          <w:sz w:val="24"/>
          <w:szCs w:val="24"/>
        </w:rPr>
        <w:t xml:space="preserve">102 TFUE. Przepis </w:t>
      </w:r>
      <w:r w:rsidR="00DA5F74" w:rsidRPr="00D84154">
        <w:rPr>
          <w:rFonts w:ascii="Times New Roman" w:hAnsi="Times New Roman" w:cs="Times New Roman"/>
          <w:color w:val="000000" w:themeColor="text1"/>
          <w:sz w:val="24"/>
          <w:szCs w:val="24"/>
        </w:rPr>
        <w:t>art.</w:t>
      </w:r>
      <w:r w:rsidRPr="00D84154">
        <w:rPr>
          <w:rFonts w:ascii="Times New Roman" w:hAnsi="Times New Roman" w:cs="Times New Roman"/>
          <w:color w:val="000000" w:themeColor="text1"/>
          <w:sz w:val="24"/>
          <w:szCs w:val="24"/>
        </w:rPr>
        <w:t xml:space="preserve"> 8 </w:t>
      </w:r>
      <w:r w:rsidR="00A3148B"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yrektywy nakazuje</w:t>
      </w:r>
      <w:r w:rsidR="00023C43">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aby </w:t>
      </w:r>
      <w:r w:rsidR="00A3148B" w:rsidRPr="00D84154">
        <w:rPr>
          <w:rFonts w:ascii="Times New Roman" w:hAnsi="Times New Roman" w:cs="Times New Roman"/>
          <w:color w:val="000000" w:themeColor="text1"/>
          <w:sz w:val="24"/>
          <w:szCs w:val="24"/>
        </w:rPr>
        <w:t>p</w:t>
      </w:r>
      <w:r w:rsidRPr="00D84154">
        <w:rPr>
          <w:rFonts w:ascii="Times New Roman" w:hAnsi="Times New Roman" w:cs="Times New Roman"/>
          <w:color w:val="000000" w:themeColor="text1"/>
          <w:sz w:val="24"/>
          <w:szCs w:val="24"/>
        </w:rPr>
        <w:t>aństwa członkowskie zapewniły krajowym administracyjnym organom ochrony konkurencji możliwość żądania od przedsiębiorstw i związków</w:t>
      </w:r>
      <w:r w:rsidR="00BC0E7C">
        <w:rPr>
          <w:rFonts w:ascii="Times New Roman" w:hAnsi="Times New Roman" w:cs="Times New Roman"/>
          <w:color w:val="000000" w:themeColor="text1"/>
          <w:sz w:val="24"/>
          <w:szCs w:val="24"/>
        </w:rPr>
        <w:t xml:space="preserve"> przedsiębiorstw dostarczenia w </w:t>
      </w:r>
      <w:r w:rsidRPr="00D84154">
        <w:rPr>
          <w:rFonts w:ascii="Times New Roman" w:hAnsi="Times New Roman" w:cs="Times New Roman"/>
          <w:color w:val="000000" w:themeColor="text1"/>
          <w:sz w:val="24"/>
          <w:szCs w:val="24"/>
        </w:rPr>
        <w:t xml:space="preserve">określonym i rozsądnym terminie wszelkich niezbędnych informacji do celów stosowania art. 101 i </w:t>
      </w:r>
      <w:r w:rsidR="00A3148B" w:rsidRPr="00D84154">
        <w:rPr>
          <w:rFonts w:ascii="Times New Roman" w:hAnsi="Times New Roman" w:cs="Times New Roman"/>
          <w:color w:val="000000" w:themeColor="text1"/>
          <w:sz w:val="24"/>
          <w:szCs w:val="24"/>
        </w:rPr>
        <w:t xml:space="preserve">art. </w:t>
      </w:r>
      <w:r w:rsidRPr="00D84154">
        <w:rPr>
          <w:rFonts w:ascii="Times New Roman" w:hAnsi="Times New Roman" w:cs="Times New Roman"/>
          <w:color w:val="000000" w:themeColor="text1"/>
          <w:sz w:val="24"/>
          <w:szCs w:val="24"/>
        </w:rPr>
        <w:t>102 TFUE. Przepis określa, że takie wnioski o informacje muszą być proporcjonalne i nie mogą zmuszać adresata wniosku do pr</w:t>
      </w:r>
      <w:r w:rsidR="00BC0E7C">
        <w:rPr>
          <w:rFonts w:ascii="Times New Roman" w:hAnsi="Times New Roman" w:cs="Times New Roman"/>
          <w:color w:val="000000" w:themeColor="text1"/>
          <w:sz w:val="24"/>
          <w:szCs w:val="24"/>
        </w:rPr>
        <w:t>zyznania się do naruszenia art. </w:t>
      </w:r>
      <w:r w:rsidRPr="00D84154">
        <w:rPr>
          <w:rFonts w:ascii="Times New Roman" w:hAnsi="Times New Roman" w:cs="Times New Roman"/>
          <w:color w:val="000000" w:themeColor="text1"/>
          <w:sz w:val="24"/>
          <w:szCs w:val="24"/>
        </w:rPr>
        <w:t xml:space="preserve">101 i </w:t>
      </w:r>
      <w:r w:rsidR="00A3148B" w:rsidRPr="00D84154">
        <w:rPr>
          <w:rFonts w:ascii="Times New Roman" w:hAnsi="Times New Roman" w:cs="Times New Roman"/>
          <w:color w:val="000000" w:themeColor="text1"/>
          <w:sz w:val="24"/>
          <w:szCs w:val="24"/>
        </w:rPr>
        <w:t xml:space="preserve">art. </w:t>
      </w:r>
      <w:r w:rsidRPr="00D84154">
        <w:rPr>
          <w:rFonts w:ascii="Times New Roman" w:hAnsi="Times New Roman" w:cs="Times New Roman"/>
          <w:color w:val="000000" w:themeColor="text1"/>
          <w:sz w:val="24"/>
          <w:szCs w:val="24"/>
        </w:rPr>
        <w:t xml:space="preserve">102 TFUE. Obowiązek dostarczenia wszelkich niezbędnych informacji obejmuje informacje, do których dane przedsiębiorstwo lub związek przedsiębiorstw mają dostęp. </w:t>
      </w:r>
      <w:r w:rsidRPr="00D84154">
        <w:rPr>
          <w:rFonts w:ascii="Times New Roman" w:hAnsi="Times New Roman" w:cs="Times New Roman"/>
          <w:color w:val="000000" w:themeColor="text1"/>
          <w:sz w:val="24"/>
          <w:szCs w:val="24"/>
        </w:rPr>
        <w:lastRenderedPageBreak/>
        <w:t xml:space="preserve">Krajowe organy ochrony konkurencji są także uprawnione do żądania od innych osób fizycznych lub prawnych dostarczenia w określonym i rozsądnym terminie informacji, które mogą mieć znaczenie dla stosowania postanowień art. 101 i </w:t>
      </w:r>
      <w:r w:rsidR="00A3148B" w:rsidRPr="00D84154">
        <w:rPr>
          <w:rFonts w:ascii="Times New Roman" w:hAnsi="Times New Roman" w:cs="Times New Roman"/>
          <w:color w:val="000000" w:themeColor="text1"/>
          <w:sz w:val="24"/>
          <w:szCs w:val="24"/>
        </w:rPr>
        <w:t xml:space="preserve">art. </w:t>
      </w:r>
      <w:r w:rsidRPr="00D84154">
        <w:rPr>
          <w:rFonts w:ascii="Times New Roman" w:hAnsi="Times New Roman" w:cs="Times New Roman"/>
          <w:color w:val="000000" w:themeColor="text1"/>
          <w:sz w:val="24"/>
          <w:szCs w:val="24"/>
        </w:rPr>
        <w:t>102 TFUE.</w:t>
      </w:r>
    </w:p>
    <w:p w14:paraId="5FEAFFAC" w14:textId="05B7B614" w:rsidR="00E837DF" w:rsidRPr="00D84154" w:rsidRDefault="00E837DF"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Obecnie, zgodnie z art. 50 ust. 1 ustawy, obowiązek przekazywania wszelkich koniecznych informacji i dokumentów na żądanie Prezesa Urzędu </w:t>
      </w:r>
      <w:r w:rsidR="00023C43" w:rsidRPr="00D84154">
        <w:rPr>
          <w:rFonts w:ascii="Times New Roman" w:hAnsi="Times New Roman" w:cs="Times New Roman"/>
          <w:color w:val="000000" w:themeColor="text1"/>
          <w:sz w:val="24"/>
          <w:szCs w:val="24"/>
        </w:rPr>
        <w:t xml:space="preserve">jest </w:t>
      </w:r>
      <w:r w:rsidRPr="00D84154">
        <w:rPr>
          <w:rFonts w:ascii="Times New Roman" w:hAnsi="Times New Roman" w:cs="Times New Roman"/>
          <w:color w:val="000000" w:themeColor="text1"/>
          <w:sz w:val="24"/>
          <w:szCs w:val="24"/>
        </w:rPr>
        <w:t>nałożony tylko na przedsiębiorców. Prezes UOKiK może zobligować do udzielenia mu informacji każdy podmiot mający status przedsiębiorcy lub związku przedsiębiorców. Prezes Urzędu nie może żądać informacji od osoby niebędącej przedsiębiorcą. Wyjątkiem jest możliwość żądania przez Prezesa Urzędu dokumentów i informacji od osób zarządzających, które złożył</w:t>
      </w:r>
      <w:r w:rsidR="00BC0E7C">
        <w:rPr>
          <w:rFonts w:ascii="Times New Roman" w:hAnsi="Times New Roman" w:cs="Times New Roman"/>
          <w:color w:val="000000" w:themeColor="text1"/>
          <w:sz w:val="24"/>
          <w:szCs w:val="24"/>
        </w:rPr>
        <w:t>y wniosek leniency (art. 113h w </w:t>
      </w:r>
      <w:r w:rsidRPr="00D84154">
        <w:rPr>
          <w:rFonts w:ascii="Times New Roman" w:hAnsi="Times New Roman" w:cs="Times New Roman"/>
          <w:color w:val="000000" w:themeColor="text1"/>
          <w:sz w:val="24"/>
          <w:szCs w:val="24"/>
        </w:rPr>
        <w:t>zw</w:t>
      </w:r>
      <w:r w:rsidR="00A3148B" w:rsidRPr="00D84154">
        <w:rPr>
          <w:rFonts w:ascii="Times New Roman" w:hAnsi="Times New Roman" w:cs="Times New Roman"/>
          <w:color w:val="000000" w:themeColor="text1"/>
          <w:sz w:val="24"/>
          <w:szCs w:val="24"/>
        </w:rPr>
        <w:t>iązku z</w:t>
      </w:r>
      <w:r w:rsidRPr="00D84154">
        <w:rPr>
          <w:rFonts w:ascii="Times New Roman" w:hAnsi="Times New Roman" w:cs="Times New Roman"/>
          <w:color w:val="000000" w:themeColor="text1"/>
          <w:sz w:val="24"/>
          <w:szCs w:val="24"/>
        </w:rPr>
        <w:t xml:space="preserve"> art. 113a ust. 5 ustawy). Dodatkowo każdy – a więc i każda osoba fizyczna </w:t>
      </w:r>
      <w:r w:rsidR="00023C43">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w:t>
      </w:r>
      <w:r w:rsidR="00023C43" w:rsidRPr="00D84154">
        <w:rPr>
          <w:rFonts w:ascii="Times New Roman" w:hAnsi="Times New Roman" w:cs="Times New Roman"/>
          <w:color w:val="000000" w:themeColor="text1"/>
          <w:sz w:val="24"/>
          <w:szCs w:val="24"/>
        </w:rPr>
        <w:t xml:space="preserve">jest </w:t>
      </w:r>
      <w:r w:rsidRPr="00D84154">
        <w:rPr>
          <w:rFonts w:ascii="Times New Roman" w:hAnsi="Times New Roman" w:cs="Times New Roman"/>
          <w:color w:val="000000" w:themeColor="text1"/>
          <w:sz w:val="24"/>
          <w:szCs w:val="24"/>
        </w:rPr>
        <w:t xml:space="preserve">obowiązany przedstawić na żądanie Prezesa UOKiK w oznaczonym terminie i miejscu dokument znajdujący się w jego posiadaniu i stanowiący dowód faktu istotnego dla rozstrzygnięcia sprawy, chyba że dokument zawiera informacje niejawne (art. 248 § 1 </w:t>
      </w:r>
      <w:r w:rsidR="00A3148B" w:rsidRPr="00D84154">
        <w:rPr>
          <w:rFonts w:ascii="Times New Roman" w:hAnsi="Times New Roman" w:cs="Times New Roman"/>
          <w:color w:val="000000" w:themeColor="text1"/>
          <w:sz w:val="24"/>
          <w:szCs w:val="24"/>
        </w:rPr>
        <w:t xml:space="preserve">ustawy z dnia 17 listopada 1964 r. </w:t>
      </w:r>
      <w:r w:rsidR="00AF0D09" w:rsidRPr="00D84154">
        <w:rPr>
          <w:rFonts w:ascii="Times New Roman" w:hAnsi="Times New Roman" w:cs="Times New Roman"/>
          <w:color w:val="000000" w:themeColor="text1"/>
          <w:sz w:val="24"/>
          <w:szCs w:val="24"/>
        </w:rPr>
        <w:t>–</w:t>
      </w:r>
      <w:r w:rsidR="00AE1108" w:rsidRPr="00D84154">
        <w:rPr>
          <w:rFonts w:ascii="Times New Roman" w:hAnsi="Times New Roman" w:cs="Times New Roman"/>
          <w:color w:val="000000" w:themeColor="text1"/>
          <w:sz w:val="24"/>
          <w:szCs w:val="24"/>
        </w:rPr>
        <w:t xml:space="preserve"> </w:t>
      </w:r>
      <w:r w:rsidR="00A3148B" w:rsidRPr="00D84154">
        <w:rPr>
          <w:rFonts w:ascii="Times New Roman" w:hAnsi="Times New Roman" w:cs="Times New Roman"/>
          <w:color w:val="000000" w:themeColor="text1"/>
          <w:sz w:val="24"/>
          <w:szCs w:val="24"/>
        </w:rPr>
        <w:t xml:space="preserve">Kodeks postępowania cywilnego </w:t>
      </w:r>
      <w:r w:rsidRPr="00D84154">
        <w:rPr>
          <w:rFonts w:ascii="Times New Roman" w:hAnsi="Times New Roman" w:cs="Times New Roman"/>
          <w:color w:val="000000" w:themeColor="text1"/>
          <w:sz w:val="24"/>
          <w:szCs w:val="24"/>
        </w:rPr>
        <w:t>w zw</w:t>
      </w:r>
      <w:r w:rsidR="00A3148B" w:rsidRPr="00D84154">
        <w:rPr>
          <w:rFonts w:ascii="Times New Roman" w:hAnsi="Times New Roman" w:cs="Times New Roman"/>
          <w:color w:val="000000" w:themeColor="text1"/>
          <w:sz w:val="24"/>
          <w:szCs w:val="24"/>
        </w:rPr>
        <w:t xml:space="preserve">iązku </w:t>
      </w:r>
      <w:r w:rsidRPr="00D84154">
        <w:rPr>
          <w:rFonts w:ascii="Times New Roman" w:hAnsi="Times New Roman" w:cs="Times New Roman"/>
          <w:color w:val="000000" w:themeColor="text1"/>
          <w:sz w:val="24"/>
          <w:szCs w:val="24"/>
        </w:rPr>
        <w:t>z art. 84 ustawy).</w:t>
      </w:r>
    </w:p>
    <w:p w14:paraId="555F45B8" w14:textId="6A19B59C" w:rsidR="00E837DF" w:rsidRPr="00D84154" w:rsidRDefault="00E837DF"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Wymogi dyrektywy w zakresie dysponowania przez Prezesa UOKiK efektywnymi narzędziami gromadzenia materiału dowodowego uzasadniają przyznanie mu kompetencji do żądania informacji na piśmie, we wskazanej formie, od </w:t>
      </w:r>
      <w:r w:rsidR="00C505E8" w:rsidRPr="00D84154">
        <w:rPr>
          <w:rFonts w:ascii="Times New Roman" w:hAnsi="Times New Roman" w:cs="Times New Roman"/>
          <w:color w:val="000000" w:themeColor="text1"/>
          <w:sz w:val="24"/>
          <w:szCs w:val="24"/>
        </w:rPr>
        <w:t xml:space="preserve">przedsiębiorców oraz innych osób fizycznych, osób prawnych i jednostek organizacyjnych, którym przepisy szczególne przyznają </w:t>
      </w:r>
      <w:r w:rsidR="00A04EF0" w:rsidRPr="00D84154">
        <w:rPr>
          <w:rFonts w:ascii="Times New Roman" w:hAnsi="Times New Roman" w:cs="Times New Roman"/>
          <w:color w:val="000000" w:themeColor="text1"/>
          <w:sz w:val="24"/>
          <w:szCs w:val="24"/>
        </w:rPr>
        <w:t xml:space="preserve">zdolność </w:t>
      </w:r>
      <w:r w:rsidR="00C505E8" w:rsidRPr="00D84154">
        <w:rPr>
          <w:rFonts w:ascii="Times New Roman" w:hAnsi="Times New Roman" w:cs="Times New Roman"/>
          <w:color w:val="000000" w:themeColor="text1"/>
          <w:sz w:val="24"/>
          <w:szCs w:val="24"/>
        </w:rPr>
        <w:t>prawną</w:t>
      </w:r>
      <w:r w:rsidRPr="00D84154">
        <w:rPr>
          <w:rFonts w:ascii="Times New Roman" w:hAnsi="Times New Roman" w:cs="Times New Roman"/>
          <w:color w:val="000000" w:themeColor="text1"/>
          <w:sz w:val="24"/>
          <w:szCs w:val="24"/>
        </w:rPr>
        <w:t xml:space="preserve">. Takie rozwiązanie byłoby również zbieżne z obowiązującą w postępowaniu przed Prezesem UOKiK koncepcją otwartego katalogu dowodów (art. 227 i </w:t>
      </w:r>
      <w:r w:rsidR="00C7570F" w:rsidRPr="00D84154">
        <w:rPr>
          <w:rFonts w:ascii="Times New Roman" w:hAnsi="Times New Roman" w:cs="Times New Roman"/>
          <w:color w:val="000000" w:themeColor="text1"/>
          <w:sz w:val="24"/>
          <w:szCs w:val="24"/>
        </w:rPr>
        <w:t xml:space="preserve">art. </w:t>
      </w:r>
      <w:r w:rsidRPr="00D84154">
        <w:rPr>
          <w:rFonts w:ascii="Times New Roman" w:hAnsi="Times New Roman" w:cs="Times New Roman"/>
          <w:color w:val="000000" w:themeColor="text1"/>
          <w:sz w:val="24"/>
          <w:szCs w:val="24"/>
        </w:rPr>
        <w:t xml:space="preserve">315 </w:t>
      </w:r>
      <w:r w:rsidR="00325811" w:rsidRPr="00D84154">
        <w:rPr>
          <w:rFonts w:ascii="Times New Roman" w:hAnsi="Times New Roman" w:cs="Times New Roman"/>
          <w:color w:val="000000" w:themeColor="text1"/>
          <w:sz w:val="24"/>
          <w:szCs w:val="24"/>
        </w:rPr>
        <w:t xml:space="preserve">ustawy z dnia 17 listopada 1964 r. </w:t>
      </w:r>
      <w:r w:rsidR="00C7570F" w:rsidRPr="00D84154">
        <w:rPr>
          <w:rFonts w:ascii="Times New Roman" w:hAnsi="Times New Roman" w:cs="Times New Roman"/>
          <w:color w:val="000000" w:themeColor="text1"/>
          <w:sz w:val="24"/>
          <w:szCs w:val="24"/>
        </w:rPr>
        <w:t xml:space="preserve">– </w:t>
      </w:r>
      <w:r w:rsidR="00325811" w:rsidRPr="00D84154">
        <w:rPr>
          <w:rFonts w:ascii="Times New Roman" w:hAnsi="Times New Roman" w:cs="Times New Roman"/>
          <w:color w:val="000000" w:themeColor="text1"/>
          <w:sz w:val="24"/>
          <w:szCs w:val="24"/>
        </w:rPr>
        <w:t>Kode</w:t>
      </w:r>
      <w:r w:rsidR="0074777B" w:rsidRPr="00D84154">
        <w:rPr>
          <w:rFonts w:ascii="Times New Roman" w:hAnsi="Times New Roman" w:cs="Times New Roman"/>
          <w:color w:val="000000" w:themeColor="text1"/>
          <w:sz w:val="24"/>
          <w:szCs w:val="24"/>
        </w:rPr>
        <w:t>ks</w:t>
      </w:r>
      <w:r w:rsidR="00325811" w:rsidRPr="00D84154">
        <w:rPr>
          <w:rFonts w:ascii="Times New Roman" w:hAnsi="Times New Roman" w:cs="Times New Roman"/>
          <w:color w:val="000000" w:themeColor="text1"/>
          <w:sz w:val="24"/>
          <w:szCs w:val="24"/>
        </w:rPr>
        <w:t xml:space="preserve"> postępowania cywilnego </w:t>
      </w:r>
      <w:r w:rsidRPr="00D84154">
        <w:rPr>
          <w:rFonts w:ascii="Times New Roman" w:hAnsi="Times New Roman" w:cs="Times New Roman"/>
          <w:color w:val="000000" w:themeColor="text1"/>
          <w:sz w:val="24"/>
          <w:szCs w:val="24"/>
        </w:rPr>
        <w:t>w zw</w:t>
      </w:r>
      <w:r w:rsidR="00325811" w:rsidRPr="00D84154">
        <w:rPr>
          <w:rFonts w:ascii="Times New Roman" w:hAnsi="Times New Roman" w:cs="Times New Roman"/>
          <w:color w:val="000000" w:themeColor="text1"/>
          <w:sz w:val="24"/>
          <w:szCs w:val="24"/>
        </w:rPr>
        <w:t>iązku</w:t>
      </w:r>
      <w:r w:rsidRPr="00D84154">
        <w:rPr>
          <w:rFonts w:ascii="Times New Roman" w:hAnsi="Times New Roman" w:cs="Times New Roman"/>
          <w:color w:val="000000" w:themeColor="text1"/>
          <w:sz w:val="24"/>
          <w:szCs w:val="24"/>
        </w:rPr>
        <w:t xml:space="preserve"> z art. 84 ustawy).</w:t>
      </w:r>
    </w:p>
    <w:p w14:paraId="430294B0" w14:textId="77777777" w:rsidR="00E837DF" w:rsidRPr="00D84154" w:rsidRDefault="00E837DF"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Istnieją co najmniej cztery kategorie osób fizycznych niebędących przedsiębiorcami, które mogą posiadać informacje istotne w sprawach praktyk ograniczających konkurencję. Są to:</w:t>
      </w:r>
    </w:p>
    <w:p w14:paraId="550EEC8B" w14:textId="087FA435" w:rsidR="00E837DF" w:rsidRPr="00D84154" w:rsidRDefault="00E837DF" w:rsidP="00D84154">
      <w:pPr>
        <w:pStyle w:val="Akapitzlist"/>
        <w:numPr>
          <w:ilvl w:val="0"/>
          <w:numId w:val="33"/>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aktualni i byli członkowie organów przedsiębiorców (którzy nie złożyli wniosku leniency);</w:t>
      </w:r>
    </w:p>
    <w:p w14:paraId="38956AB6" w14:textId="77777777" w:rsidR="00E837DF" w:rsidRPr="00D84154" w:rsidRDefault="00E837DF" w:rsidP="00D84154">
      <w:pPr>
        <w:pStyle w:val="Akapitzlist"/>
        <w:numPr>
          <w:ilvl w:val="0"/>
          <w:numId w:val="33"/>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osoby fizyczne, które dopuściły się praktyk antykonkurencyjnych prowadząc działalność gospodarczą (tj. mając status przedsiębiorcy), a następnie zaprzestały jej prowadzenia;</w:t>
      </w:r>
    </w:p>
    <w:p w14:paraId="572B9644" w14:textId="77777777" w:rsidR="00E837DF" w:rsidRPr="00D84154" w:rsidRDefault="00E837DF" w:rsidP="00D84154">
      <w:pPr>
        <w:pStyle w:val="Akapitzlist"/>
        <w:numPr>
          <w:ilvl w:val="0"/>
          <w:numId w:val="33"/>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aktualni i byli pracownicy przedsiębiorcy zaangażowanego w antykonkurencyjną praktykę;</w:t>
      </w:r>
    </w:p>
    <w:p w14:paraId="3E3099DA" w14:textId="19B5B174" w:rsidR="00E837DF" w:rsidRPr="00D84154" w:rsidRDefault="00E837DF" w:rsidP="00D84154">
      <w:pPr>
        <w:pStyle w:val="Akapitzlist"/>
        <w:numPr>
          <w:ilvl w:val="0"/>
          <w:numId w:val="33"/>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osoby, które w dobrej wierze i w interesie publicznym przekazuj</w:t>
      </w:r>
      <w:r w:rsidR="00284CFC">
        <w:rPr>
          <w:rFonts w:ascii="Times New Roman" w:hAnsi="Times New Roman" w:cs="Times New Roman"/>
          <w:color w:val="000000" w:themeColor="text1"/>
          <w:sz w:val="24"/>
          <w:szCs w:val="24"/>
        </w:rPr>
        <w:t>ą</w:t>
      </w:r>
      <w:r w:rsidR="00BC0E7C">
        <w:rPr>
          <w:rFonts w:ascii="Times New Roman" w:hAnsi="Times New Roman" w:cs="Times New Roman"/>
          <w:color w:val="000000" w:themeColor="text1"/>
          <w:sz w:val="24"/>
          <w:szCs w:val="24"/>
        </w:rPr>
        <w:t xml:space="preserve"> informacje o </w:t>
      </w:r>
      <w:r w:rsidRPr="00D84154">
        <w:rPr>
          <w:rFonts w:ascii="Times New Roman" w:hAnsi="Times New Roman" w:cs="Times New Roman"/>
          <w:color w:val="000000" w:themeColor="text1"/>
          <w:sz w:val="24"/>
          <w:szCs w:val="24"/>
        </w:rPr>
        <w:t xml:space="preserve">potencjalnych naruszeniach reguł konkurencji, tzw. „sygnaliści” (w przypadku, gdyby </w:t>
      </w:r>
      <w:r w:rsidRPr="00D84154">
        <w:rPr>
          <w:rFonts w:ascii="Times New Roman" w:hAnsi="Times New Roman" w:cs="Times New Roman"/>
          <w:color w:val="000000" w:themeColor="text1"/>
          <w:sz w:val="24"/>
          <w:szCs w:val="24"/>
        </w:rPr>
        <w:lastRenderedPageBreak/>
        <w:t>nie chcieli udzielić informacji dalszych niż tylko te wskazane</w:t>
      </w:r>
      <w:r w:rsidR="00F65A77">
        <w:rPr>
          <w:rFonts w:ascii="Times New Roman" w:hAnsi="Times New Roman" w:cs="Times New Roman"/>
          <w:color w:val="000000" w:themeColor="text1"/>
          <w:sz w:val="24"/>
          <w:szCs w:val="24"/>
        </w:rPr>
        <w:t xml:space="preserve"> </w:t>
      </w:r>
      <w:r w:rsidR="00BC0E7C">
        <w:rPr>
          <w:rFonts w:ascii="Times New Roman" w:hAnsi="Times New Roman" w:cs="Times New Roman"/>
          <w:color w:val="000000" w:themeColor="text1"/>
          <w:sz w:val="24"/>
          <w:szCs w:val="24"/>
        </w:rPr>
        <w:t>pierwotnie w </w:t>
      </w:r>
      <w:r w:rsidRPr="00D84154">
        <w:rPr>
          <w:rFonts w:ascii="Times New Roman" w:hAnsi="Times New Roman" w:cs="Times New Roman"/>
          <w:color w:val="000000" w:themeColor="text1"/>
          <w:sz w:val="24"/>
          <w:szCs w:val="24"/>
        </w:rPr>
        <w:t>zawiadomieniu).</w:t>
      </w:r>
    </w:p>
    <w:p w14:paraId="698B104B" w14:textId="7A0F2AC5" w:rsidR="00E837DF" w:rsidRPr="00D84154" w:rsidRDefault="00E837DF"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Ponadto </w:t>
      </w:r>
      <w:r w:rsidR="00813E8D" w:rsidRPr="00D84154">
        <w:rPr>
          <w:rFonts w:ascii="Times New Roman" w:hAnsi="Times New Roman" w:cs="Times New Roman"/>
          <w:color w:val="000000" w:themeColor="text1"/>
          <w:sz w:val="24"/>
          <w:szCs w:val="24"/>
        </w:rPr>
        <w:t xml:space="preserve">jest </w:t>
      </w:r>
      <w:r w:rsidRPr="00D84154">
        <w:rPr>
          <w:rFonts w:ascii="Times New Roman" w:hAnsi="Times New Roman" w:cs="Times New Roman"/>
          <w:color w:val="000000" w:themeColor="text1"/>
          <w:sz w:val="24"/>
          <w:szCs w:val="24"/>
        </w:rPr>
        <w:t xml:space="preserve">celowe, </w:t>
      </w:r>
      <w:r w:rsidR="00813E8D">
        <w:rPr>
          <w:rFonts w:ascii="Times New Roman" w:hAnsi="Times New Roman" w:cs="Times New Roman"/>
          <w:color w:val="000000" w:themeColor="text1"/>
          <w:sz w:val="24"/>
          <w:szCs w:val="24"/>
        </w:rPr>
        <w:t>a</w:t>
      </w:r>
      <w:r w:rsidRPr="00D84154">
        <w:rPr>
          <w:rFonts w:ascii="Times New Roman" w:hAnsi="Times New Roman" w:cs="Times New Roman"/>
          <w:color w:val="000000" w:themeColor="text1"/>
          <w:sz w:val="24"/>
          <w:szCs w:val="24"/>
        </w:rPr>
        <w:t>by Prezes UOKiK miał prawo żądać informacji i dokumentów (np.</w:t>
      </w:r>
      <w:r w:rsidR="00BC0E7C">
        <w:rPr>
          <w:rFonts w:ascii="Times New Roman" w:hAnsi="Times New Roman" w:cs="Times New Roman"/>
          <w:color w:val="000000" w:themeColor="text1"/>
          <w:sz w:val="24"/>
          <w:szCs w:val="24"/>
        </w:rPr>
        <w:t> </w:t>
      </w:r>
      <w:r w:rsidR="00E524D6" w:rsidRPr="00D84154">
        <w:rPr>
          <w:rFonts w:ascii="Times New Roman" w:hAnsi="Times New Roman" w:cs="Times New Roman"/>
          <w:color w:val="000000" w:themeColor="text1"/>
          <w:sz w:val="24"/>
          <w:szCs w:val="24"/>
        </w:rPr>
        <w:t>rocznych deklaracji</w:t>
      </w:r>
      <w:r w:rsidRPr="00D84154">
        <w:rPr>
          <w:rFonts w:ascii="Times New Roman" w:hAnsi="Times New Roman" w:cs="Times New Roman"/>
          <w:color w:val="000000" w:themeColor="text1"/>
          <w:sz w:val="24"/>
          <w:szCs w:val="24"/>
        </w:rPr>
        <w:t xml:space="preserve"> PIT) od osób fizycznych podlegających indywidualnie karom na podstawie ustawy (przykładowo za utrudnianie wszczęcia lub prowadzenia kontroli (przeszukania)</w:t>
      </w:r>
      <w:r w:rsidR="00813E8D">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w:t>
      </w:r>
    </w:p>
    <w:p w14:paraId="36625A70" w14:textId="04BA1CCE" w:rsidR="003E3853" w:rsidRPr="00D84154" w:rsidRDefault="003E3853"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Zgodnie z projektowanym art. 50 ust. 1 zostanie rozszerzony zakres podmiotowy tego przepisu przez wskazanie</w:t>
      </w:r>
      <w:r w:rsidR="00187C0F" w:rsidRPr="00D84154">
        <w:rPr>
          <w:rFonts w:ascii="Times New Roman" w:hAnsi="Times New Roman" w:cs="Times New Roman"/>
          <w:color w:val="000000" w:themeColor="text1"/>
          <w:sz w:val="24"/>
          <w:szCs w:val="24"/>
        </w:rPr>
        <w:t>, że</w:t>
      </w:r>
      <w:r w:rsidRPr="00D84154">
        <w:rPr>
          <w:rFonts w:ascii="Times New Roman" w:hAnsi="Times New Roman" w:cs="Times New Roman"/>
          <w:color w:val="000000" w:themeColor="text1"/>
          <w:sz w:val="24"/>
          <w:szCs w:val="24"/>
        </w:rPr>
        <w:t xml:space="preserve"> </w:t>
      </w:r>
      <w:r w:rsidR="00187C0F" w:rsidRPr="00D84154">
        <w:rPr>
          <w:rFonts w:ascii="Times New Roman" w:hAnsi="Times New Roman" w:cs="Times New Roman"/>
          <w:color w:val="000000" w:themeColor="text1"/>
          <w:sz w:val="24"/>
          <w:szCs w:val="24"/>
        </w:rPr>
        <w:t>p</w:t>
      </w:r>
      <w:r w:rsidRPr="00D84154">
        <w:rPr>
          <w:rFonts w:ascii="Times New Roman" w:hAnsi="Times New Roman" w:cs="Times New Roman"/>
          <w:color w:val="000000" w:themeColor="text1"/>
          <w:sz w:val="24"/>
          <w:szCs w:val="24"/>
        </w:rPr>
        <w:t>rzedsiębiorcy, niebędące przedsiębiorcami osoby fizyczne i osoby prawne oraz jednostki organizacyjne niebędące osobami prawnymi, którym przepisy odrębne przyznają zdolność prawną,</w:t>
      </w:r>
      <w:r w:rsidR="00F65A77">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są obowiązani do udzielania wszelkich koniecznych informacji, w tym</w:t>
      </w:r>
      <w:r w:rsidR="00F65A77">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przekazywania dokumentów na żądanie Prezesa Urzędu. Tak</w:t>
      </w:r>
      <w:r w:rsidR="00BC0E7C">
        <w:rPr>
          <w:rFonts w:ascii="Times New Roman" w:hAnsi="Times New Roman" w:cs="Times New Roman"/>
          <w:color w:val="000000" w:themeColor="text1"/>
          <w:sz w:val="24"/>
          <w:szCs w:val="24"/>
        </w:rPr>
        <w:t>ie brzmienie zapewni zgodność z </w:t>
      </w:r>
      <w:r w:rsidR="00325811"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yrektywą.</w:t>
      </w:r>
    </w:p>
    <w:p w14:paraId="16FCEDC2" w14:textId="5E3649F8" w:rsidR="00E837DF" w:rsidRPr="00D84154" w:rsidRDefault="00E837DF"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Przepis art. 50 ustawy w zasadzie nie wyznacza zakresu przedmiotowego uprawnienia Prezesa Urzędu. Na podstawie tego przepisu organ może więc żądać od przedsiębiorców przekazania mu wszelkich koniecznych informacji i dokumentów. Przy tym, ocena</w:t>
      </w:r>
      <w:r w:rsidR="00193AA9">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czy określona informacja jest konieczna, należy wyłącznie do Prezesa Urzędu, zaś przedsiębiorca nie może odmówić udzielenia żądanej przez organ informacji</w:t>
      </w:r>
      <w:r w:rsidR="00193AA9">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twierdząc, że jego zdaniem informacja ta nie jest związana z przedmiotem prowadzonego postępowania. Ponadto z zasady proporcjonalności wynika, że informacje żądane przez P</w:t>
      </w:r>
      <w:r w:rsidR="00BC0E7C">
        <w:rPr>
          <w:rFonts w:ascii="Times New Roman" w:hAnsi="Times New Roman" w:cs="Times New Roman"/>
          <w:color w:val="000000" w:themeColor="text1"/>
          <w:sz w:val="24"/>
          <w:szCs w:val="24"/>
        </w:rPr>
        <w:t>rezesa Urzędu na podstawie art. </w:t>
      </w:r>
      <w:r w:rsidRPr="00D84154">
        <w:rPr>
          <w:rFonts w:ascii="Times New Roman" w:hAnsi="Times New Roman" w:cs="Times New Roman"/>
          <w:color w:val="000000" w:themeColor="text1"/>
          <w:sz w:val="24"/>
          <w:szCs w:val="24"/>
        </w:rPr>
        <w:t>50 ustawy powinny być faktycznie konieczne do prowadzonego postępowania oraz istotne dla końcowego wyniku postępowania, a więc niezbędne do rozstrzygnięcia sprawy.</w:t>
      </w:r>
    </w:p>
    <w:p w14:paraId="0039DD29" w14:textId="77777777" w:rsidR="00D159BB" w:rsidRPr="00D84154" w:rsidRDefault="00D159BB" w:rsidP="00D84154">
      <w:pPr>
        <w:pStyle w:val="Akapitzlist"/>
        <w:numPr>
          <w:ilvl w:val="0"/>
          <w:numId w:val="2"/>
        </w:numPr>
        <w:spacing w:before="120" w:after="0" w:line="360" w:lineRule="auto"/>
        <w:ind w:left="426" w:hanging="426"/>
        <w:jc w:val="both"/>
        <w:rPr>
          <w:rFonts w:ascii="Times New Roman" w:hAnsi="Times New Roman" w:cs="Times New Roman"/>
          <w:b/>
          <w:bCs/>
          <w:color w:val="000000" w:themeColor="text1"/>
          <w:sz w:val="24"/>
          <w:szCs w:val="24"/>
        </w:rPr>
      </w:pPr>
      <w:r w:rsidRPr="00D84154">
        <w:rPr>
          <w:rFonts w:ascii="Times New Roman" w:hAnsi="Times New Roman" w:cs="Times New Roman"/>
          <w:b/>
          <w:bCs/>
          <w:color w:val="000000" w:themeColor="text1"/>
          <w:sz w:val="24"/>
          <w:szCs w:val="24"/>
        </w:rPr>
        <w:t>Wolność od samooskarżania</w:t>
      </w:r>
    </w:p>
    <w:p w14:paraId="46E60B6B" w14:textId="1B66BDF2" w:rsidR="00A84ACD" w:rsidRPr="00D84154" w:rsidRDefault="00A84ACD"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Zgodnie z art. 3 </w:t>
      </w:r>
      <w:r w:rsidR="00325811"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yrektywy w postępowaniach dotyczących naruszeń art. 101</w:t>
      </w:r>
      <w:r w:rsidR="00F65A77">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 xml:space="preserve">lub </w:t>
      </w:r>
      <w:r w:rsidR="00325811" w:rsidRPr="00D84154">
        <w:rPr>
          <w:rFonts w:ascii="Times New Roman" w:hAnsi="Times New Roman" w:cs="Times New Roman"/>
          <w:color w:val="000000" w:themeColor="text1"/>
          <w:sz w:val="24"/>
          <w:szCs w:val="24"/>
        </w:rPr>
        <w:t xml:space="preserve">art. </w:t>
      </w:r>
      <w:r w:rsidRPr="00D84154">
        <w:rPr>
          <w:rFonts w:ascii="Times New Roman" w:hAnsi="Times New Roman" w:cs="Times New Roman"/>
          <w:color w:val="000000" w:themeColor="text1"/>
          <w:sz w:val="24"/>
          <w:szCs w:val="24"/>
        </w:rPr>
        <w:t>102</w:t>
      </w:r>
      <w:r w:rsidR="00F65A77">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 xml:space="preserve">TFUE prowadzonych przez krajowe organy ochrony konkurencji muszą być stosowane ogólne zasady prawa Unii </w:t>
      </w:r>
      <w:r w:rsidR="003440AF" w:rsidRPr="00D84154">
        <w:rPr>
          <w:rFonts w:ascii="Times New Roman" w:hAnsi="Times New Roman" w:cs="Times New Roman"/>
          <w:color w:val="000000" w:themeColor="text1"/>
          <w:sz w:val="24"/>
          <w:szCs w:val="24"/>
        </w:rPr>
        <w:t xml:space="preserve">Europejskiej </w:t>
      </w:r>
      <w:r w:rsidRPr="00D84154">
        <w:rPr>
          <w:rFonts w:ascii="Times New Roman" w:hAnsi="Times New Roman" w:cs="Times New Roman"/>
          <w:color w:val="000000" w:themeColor="text1"/>
          <w:sz w:val="24"/>
          <w:szCs w:val="24"/>
        </w:rPr>
        <w:t>oraz Karta praw podstawowych Unii Europejskiej</w:t>
      </w:r>
      <w:r w:rsidR="0074777B" w:rsidRPr="00D84154">
        <w:rPr>
          <w:rFonts w:ascii="Times New Roman" w:hAnsi="Times New Roman" w:cs="Times New Roman"/>
          <w:color w:val="000000" w:themeColor="text1"/>
          <w:sz w:val="24"/>
          <w:szCs w:val="24"/>
        </w:rPr>
        <w:t>.</w:t>
      </w:r>
      <w:r w:rsidR="0044448B" w:rsidRPr="00D84154">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Należy zauważyć, że obecna regulacja zawarta w ustawie, co do zasady</w:t>
      </w:r>
      <w:r w:rsidR="00630A7C">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zapewnia realizację tego postulat</w:t>
      </w:r>
      <w:r w:rsidR="00325811" w:rsidRPr="00D84154">
        <w:rPr>
          <w:rFonts w:ascii="Times New Roman" w:hAnsi="Times New Roman" w:cs="Times New Roman"/>
          <w:color w:val="000000" w:themeColor="text1"/>
          <w:sz w:val="24"/>
          <w:szCs w:val="24"/>
        </w:rPr>
        <w:t>u</w:t>
      </w:r>
      <w:r w:rsidRPr="00D84154">
        <w:rPr>
          <w:rFonts w:ascii="Times New Roman" w:hAnsi="Times New Roman" w:cs="Times New Roman"/>
          <w:color w:val="000000" w:themeColor="text1"/>
          <w:sz w:val="24"/>
          <w:szCs w:val="24"/>
        </w:rPr>
        <w:t>, istnieje jednak obszar wymagający podjęcia interwencji legislacyjnej.</w:t>
      </w:r>
    </w:p>
    <w:p w14:paraId="0250D115" w14:textId="6F201B65" w:rsidR="00A84ACD" w:rsidRPr="00D84154" w:rsidRDefault="00A84ACD"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W związku z art. 3 </w:t>
      </w:r>
      <w:r w:rsidR="00325811"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yrektywy pojawiła się konieczność zagwarantowania wolności od samooskarżania osobom fizycznym, od których Prezes UOKiK pozyskuje informacj</w:t>
      </w:r>
      <w:r w:rsidR="00BC0E7C">
        <w:rPr>
          <w:rFonts w:ascii="Times New Roman" w:hAnsi="Times New Roman" w:cs="Times New Roman"/>
          <w:color w:val="000000" w:themeColor="text1"/>
          <w:sz w:val="24"/>
          <w:szCs w:val="24"/>
        </w:rPr>
        <w:t>e i </w:t>
      </w:r>
      <w:r w:rsidRPr="00D84154">
        <w:rPr>
          <w:rFonts w:ascii="Times New Roman" w:hAnsi="Times New Roman" w:cs="Times New Roman"/>
          <w:color w:val="000000" w:themeColor="text1"/>
          <w:sz w:val="24"/>
          <w:szCs w:val="24"/>
        </w:rPr>
        <w:t xml:space="preserve">dokumenty bądź które są przesłuchiwane w charakterze strony. Obowiązek przedstawienia informacji stoi często w sprzeczności z prawem do wolności od samooskarżania się. Zwraca na to uwagę m.in. doktryna i orzecznictwo dotyczące stosowania unijnego prawa konkurencji </w:t>
      </w:r>
      <w:r w:rsidRPr="00D84154">
        <w:rPr>
          <w:rFonts w:ascii="Times New Roman" w:hAnsi="Times New Roman" w:cs="Times New Roman"/>
          <w:color w:val="000000" w:themeColor="text1"/>
          <w:sz w:val="24"/>
          <w:szCs w:val="24"/>
        </w:rPr>
        <w:lastRenderedPageBreak/>
        <w:t>w</w:t>
      </w:r>
      <w:r w:rsidR="00BC0E7C">
        <w:rPr>
          <w:rFonts w:ascii="Times New Roman" w:hAnsi="Times New Roman" w:cs="Times New Roman"/>
          <w:color w:val="000000" w:themeColor="text1"/>
          <w:sz w:val="24"/>
          <w:szCs w:val="24"/>
        </w:rPr>
        <w:t> </w:t>
      </w:r>
      <w:r w:rsidRPr="00D84154">
        <w:rPr>
          <w:rFonts w:ascii="Times New Roman" w:hAnsi="Times New Roman" w:cs="Times New Roman"/>
          <w:color w:val="000000" w:themeColor="text1"/>
          <w:sz w:val="24"/>
          <w:szCs w:val="24"/>
        </w:rPr>
        <w:t xml:space="preserve">kontekście uprawnień dochodzeniowych Komisji Europejskiej. Podnosi się, że żądanie przekazania informacji </w:t>
      </w:r>
      <w:r w:rsidR="001709D3" w:rsidRPr="00D84154">
        <w:rPr>
          <w:rFonts w:ascii="Times New Roman" w:hAnsi="Times New Roman" w:cs="Times New Roman"/>
          <w:color w:val="000000" w:themeColor="text1"/>
          <w:sz w:val="24"/>
          <w:szCs w:val="24"/>
        </w:rPr>
        <w:t xml:space="preserve">powinno </w:t>
      </w:r>
      <w:r w:rsidRPr="00D84154">
        <w:rPr>
          <w:rFonts w:ascii="Times New Roman" w:hAnsi="Times New Roman" w:cs="Times New Roman"/>
          <w:color w:val="000000" w:themeColor="text1"/>
          <w:sz w:val="24"/>
          <w:szCs w:val="24"/>
        </w:rPr>
        <w:t xml:space="preserve">podlegać ograniczeniom z uwagi na istnienie praw podstawowych, zagwarantowanych m.in. w art. 6 </w:t>
      </w:r>
      <w:r w:rsidR="0074777B" w:rsidRPr="00D84154">
        <w:rPr>
          <w:rFonts w:ascii="Times New Roman" w:hAnsi="Times New Roman" w:cs="Times New Roman"/>
          <w:color w:val="000000" w:themeColor="text1"/>
          <w:sz w:val="24"/>
          <w:szCs w:val="24"/>
        </w:rPr>
        <w:t>Konwencj</w:t>
      </w:r>
      <w:r w:rsidR="009567A4" w:rsidRPr="00D84154">
        <w:rPr>
          <w:rFonts w:ascii="Times New Roman" w:hAnsi="Times New Roman" w:cs="Times New Roman"/>
          <w:color w:val="000000" w:themeColor="text1"/>
          <w:sz w:val="24"/>
          <w:szCs w:val="24"/>
        </w:rPr>
        <w:t>i</w:t>
      </w:r>
      <w:r w:rsidR="00BC0E7C">
        <w:rPr>
          <w:rFonts w:ascii="Times New Roman" w:hAnsi="Times New Roman" w:cs="Times New Roman"/>
          <w:color w:val="000000" w:themeColor="text1"/>
          <w:sz w:val="24"/>
          <w:szCs w:val="24"/>
        </w:rPr>
        <w:t xml:space="preserve"> o Ochronie Praw Człowieka i </w:t>
      </w:r>
      <w:r w:rsidR="0074777B" w:rsidRPr="00D84154">
        <w:rPr>
          <w:rFonts w:ascii="Times New Roman" w:hAnsi="Times New Roman" w:cs="Times New Roman"/>
          <w:color w:val="000000" w:themeColor="text1"/>
          <w:sz w:val="24"/>
          <w:szCs w:val="24"/>
        </w:rPr>
        <w:t>Podstawowych Wolności</w:t>
      </w:r>
      <w:r w:rsidR="001709D3">
        <w:rPr>
          <w:rFonts w:ascii="Times New Roman" w:hAnsi="Times New Roman" w:cs="Times New Roman"/>
          <w:color w:val="000000" w:themeColor="text1"/>
          <w:sz w:val="24"/>
          <w:szCs w:val="24"/>
        </w:rPr>
        <w:t>,</w:t>
      </w:r>
      <w:r w:rsidR="0074777B" w:rsidRPr="00D84154">
        <w:rPr>
          <w:rFonts w:ascii="Times New Roman" w:hAnsi="Times New Roman" w:cs="Times New Roman"/>
          <w:color w:val="000000" w:themeColor="text1"/>
          <w:sz w:val="24"/>
          <w:szCs w:val="24"/>
        </w:rPr>
        <w:t xml:space="preserve"> sporządzon</w:t>
      </w:r>
      <w:r w:rsidR="009567A4" w:rsidRPr="00D84154">
        <w:rPr>
          <w:rFonts w:ascii="Times New Roman" w:hAnsi="Times New Roman" w:cs="Times New Roman"/>
          <w:color w:val="000000" w:themeColor="text1"/>
          <w:sz w:val="24"/>
          <w:szCs w:val="24"/>
        </w:rPr>
        <w:t xml:space="preserve">ej </w:t>
      </w:r>
      <w:r w:rsidR="0074777B" w:rsidRPr="00D84154">
        <w:rPr>
          <w:rFonts w:ascii="Times New Roman" w:hAnsi="Times New Roman" w:cs="Times New Roman"/>
          <w:color w:val="000000" w:themeColor="text1"/>
          <w:sz w:val="24"/>
          <w:szCs w:val="24"/>
        </w:rPr>
        <w:t>w Rzymie dnia 4 listopada 1950 r., zmienion</w:t>
      </w:r>
      <w:r w:rsidR="009567A4" w:rsidRPr="00D84154">
        <w:rPr>
          <w:rFonts w:ascii="Times New Roman" w:hAnsi="Times New Roman" w:cs="Times New Roman"/>
          <w:color w:val="000000" w:themeColor="text1"/>
          <w:sz w:val="24"/>
          <w:szCs w:val="24"/>
        </w:rPr>
        <w:t>ej</w:t>
      </w:r>
      <w:r w:rsidR="0074777B" w:rsidRPr="00D84154">
        <w:rPr>
          <w:rFonts w:ascii="Times New Roman" w:hAnsi="Times New Roman" w:cs="Times New Roman"/>
          <w:color w:val="000000" w:themeColor="text1"/>
          <w:sz w:val="24"/>
          <w:szCs w:val="24"/>
        </w:rPr>
        <w:t xml:space="preserve"> następnie Protokołami nr 3, 5 i 8 oraz uzupełnion</w:t>
      </w:r>
      <w:r w:rsidR="009567A4" w:rsidRPr="00D84154">
        <w:rPr>
          <w:rFonts w:ascii="Times New Roman" w:hAnsi="Times New Roman" w:cs="Times New Roman"/>
          <w:color w:val="000000" w:themeColor="text1"/>
          <w:sz w:val="24"/>
          <w:szCs w:val="24"/>
        </w:rPr>
        <w:t>ej</w:t>
      </w:r>
      <w:r w:rsidR="0074777B" w:rsidRPr="00D84154">
        <w:rPr>
          <w:rFonts w:ascii="Times New Roman" w:hAnsi="Times New Roman" w:cs="Times New Roman"/>
          <w:color w:val="000000" w:themeColor="text1"/>
          <w:sz w:val="24"/>
          <w:szCs w:val="24"/>
        </w:rPr>
        <w:t xml:space="preserve"> Protoko</w:t>
      </w:r>
      <w:r w:rsidR="00BC0E7C">
        <w:rPr>
          <w:rFonts w:ascii="Times New Roman" w:hAnsi="Times New Roman" w:cs="Times New Roman"/>
          <w:color w:val="000000" w:themeColor="text1"/>
          <w:sz w:val="24"/>
          <w:szCs w:val="24"/>
        </w:rPr>
        <w:t>łem nr 2 (Dz. U. z 1993 r. poz. </w:t>
      </w:r>
      <w:r w:rsidR="0074777B" w:rsidRPr="00D84154">
        <w:rPr>
          <w:rFonts w:ascii="Times New Roman" w:hAnsi="Times New Roman" w:cs="Times New Roman"/>
          <w:color w:val="000000" w:themeColor="text1"/>
          <w:sz w:val="24"/>
          <w:szCs w:val="24"/>
        </w:rPr>
        <w:t>284, z późn. zm.</w:t>
      </w:r>
      <w:r w:rsidR="009725F8" w:rsidRPr="00D84154">
        <w:rPr>
          <w:rFonts w:ascii="Times New Roman" w:hAnsi="Times New Roman" w:cs="Times New Roman"/>
          <w:color w:val="000000" w:themeColor="text1"/>
          <w:sz w:val="24"/>
          <w:szCs w:val="24"/>
        </w:rPr>
        <w:t>)</w:t>
      </w:r>
      <w:r w:rsidR="00C3025C" w:rsidRPr="00D84154">
        <w:rPr>
          <w:rFonts w:ascii="Times New Roman" w:hAnsi="Times New Roman" w:cs="Times New Roman"/>
          <w:color w:val="000000" w:themeColor="text1"/>
          <w:sz w:val="24"/>
          <w:szCs w:val="24"/>
        </w:rPr>
        <w:t>, dalej „</w:t>
      </w:r>
      <w:r w:rsidR="00C3025C" w:rsidRPr="00637161">
        <w:rPr>
          <w:rFonts w:ascii="Times New Roman" w:hAnsi="Times New Roman" w:cs="Times New Roman"/>
          <w:color w:val="000000" w:themeColor="text1"/>
          <w:sz w:val="24"/>
          <w:szCs w:val="24"/>
        </w:rPr>
        <w:t>EKPC</w:t>
      </w:r>
      <w:r w:rsidR="00C3025C" w:rsidRPr="00D84154">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Nakładając obowiązek udzielenia </w:t>
      </w:r>
      <w:r w:rsidR="00BC0E7C">
        <w:rPr>
          <w:rFonts w:ascii="Times New Roman" w:hAnsi="Times New Roman" w:cs="Times New Roman"/>
          <w:color w:val="000000" w:themeColor="text1"/>
          <w:sz w:val="24"/>
          <w:szCs w:val="24"/>
        </w:rPr>
        <w:t>informacji na osoby fizyczne, a </w:t>
      </w:r>
      <w:r w:rsidRPr="00D84154">
        <w:rPr>
          <w:rFonts w:ascii="Times New Roman" w:hAnsi="Times New Roman" w:cs="Times New Roman"/>
          <w:color w:val="000000" w:themeColor="text1"/>
          <w:sz w:val="24"/>
          <w:szCs w:val="24"/>
        </w:rPr>
        <w:t>także przesłuchując stronę, trzeba pamiętać o zagwarantowaniu tym osobom wolności od samooskarżania – tj. nieobciążaniu ich ryzykiem, że na skutek przedstawionych przez siebie informacji, zostaną pociągnięte do odpowiedzialności (art. 6 EKPC). Z uwagi na powyższe proponuje się dodanie w tym zakresie odpowiednich przepisów.</w:t>
      </w:r>
    </w:p>
    <w:p w14:paraId="7171BFE2" w14:textId="2C471319" w:rsidR="00A84ACD" w:rsidRPr="00D84154" w:rsidRDefault="00A84ACD"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Przepis art. 50 w ust. 1 wprowadza możliwość pozyskiwania przez Prezesa UOKiK informacji od osób fizycznych. Z uwagi na rozciągnięcie możliwości żądania informacji od tej kategorii osób, należy zapewnić im prawo do odmowy </w:t>
      </w:r>
      <w:r w:rsidR="003E3853" w:rsidRPr="00D84154">
        <w:rPr>
          <w:rFonts w:ascii="Times New Roman" w:hAnsi="Times New Roman" w:cs="Times New Roman"/>
          <w:color w:val="000000" w:themeColor="text1"/>
          <w:sz w:val="24"/>
          <w:szCs w:val="24"/>
        </w:rPr>
        <w:t xml:space="preserve">udzielenia </w:t>
      </w:r>
      <w:r w:rsidRPr="00D84154">
        <w:rPr>
          <w:rFonts w:ascii="Times New Roman" w:hAnsi="Times New Roman" w:cs="Times New Roman"/>
          <w:color w:val="000000" w:themeColor="text1"/>
          <w:sz w:val="24"/>
          <w:szCs w:val="24"/>
        </w:rPr>
        <w:t>informacji</w:t>
      </w:r>
      <w:r w:rsidR="003E3853" w:rsidRPr="00D84154">
        <w:rPr>
          <w:rFonts w:ascii="Times New Roman" w:hAnsi="Times New Roman" w:cs="Times New Roman"/>
          <w:color w:val="000000" w:themeColor="text1"/>
          <w:sz w:val="24"/>
          <w:szCs w:val="24"/>
        </w:rPr>
        <w:t xml:space="preserve">, w tym przekazania </w:t>
      </w:r>
      <w:r w:rsidR="00BF1C15" w:rsidRPr="00D84154">
        <w:rPr>
          <w:rFonts w:ascii="Times New Roman" w:hAnsi="Times New Roman" w:cs="Times New Roman"/>
          <w:color w:val="000000" w:themeColor="text1"/>
          <w:sz w:val="24"/>
          <w:szCs w:val="24"/>
        </w:rPr>
        <w:t>dokumentów</w:t>
      </w:r>
      <w:r w:rsidR="003E3853" w:rsidRPr="00D84154">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w przypadku gdy naraziłoby to je lub ich małżonka, wstępnych, zstępnych, rodzeństwo oraz powinowatych w tej samej linii lub stopniu, </w:t>
      </w:r>
      <w:r w:rsidR="00BC0E7C">
        <w:rPr>
          <w:rFonts w:ascii="Times New Roman" w:hAnsi="Times New Roman" w:cs="Times New Roman"/>
          <w:color w:val="000000" w:themeColor="text1"/>
          <w:sz w:val="24"/>
          <w:szCs w:val="24"/>
        </w:rPr>
        <w:t>jak również osoby pozostające w </w:t>
      </w:r>
      <w:r w:rsidRPr="00D84154">
        <w:rPr>
          <w:rFonts w:ascii="Times New Roman" w:hAnsi="Times New Roman" w:cs="Times New Roman"/>
          <w:color w:val="000000" w:themeColor="text1"/>
          <w:sz w:val="24"/>
          <w:szCs w:val="24"/>
        </w:rPr>
        <w:t>stosunku przysposobienia, opieki lub kurateli, a także osobę pozostającą we wspólnym pożyciu, na odpowiedzialność karną (art. 50 ust</w:t>
      </w:r>
      <w:r w:rsidR="004D4F5B" w:rsidRPr="00D84154">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4</w:t>
      </w:r>
      <w:r w:rsidR="004D4F5B" w:rsidRPr="00D84154">
        <w:rPr>
          <w:rFonts w:ascii="Times New Roman" w:hAnsi="Times New Roman" w:cs="Times New Roman"/>
          <w:color w:val="000000" w:themeColor="text1"/>
          <w:sz w:val="24"/>
          <w:szCs w:val="24"/>
        </w:rPr>
        <w:t xml:space="preserve"> ustawy</w:t>
      </w:r>
      <w:r w:rsidRPr="00D84154">
        <w:rPr>
          <w:rFonts w:ascii="Times New Roman" w:hAnsi="Times New Roman" w:cs="Times New Roman"/>
          <w:color w:val="000000" w:themeColor="text1"/>
          <w:sz w:val="24"/>
          <w:szCs w:val="24"/>
        </w:rPr>
        <w:t>). Prawo odmowy udzielenia informacji będzie mogło również trwać po ustaniu małżeństwa lub rozwiązaniu stosunku przysposobienia, opieki lub kurateli.</w:t>
      </w:r>
    </w:p>
    <w:p w14:paraId="33DB3638" w14:textId="19FD8A4F" w:rsidR="00A84ACD" w:rsidRPr="00D84154" w:rsidRDefault="00A84ACD"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Ponadto w przypadku gdy osoba fizyczna jest również osobą zarządzającą w rozumieniu przepisów ustawy (art. 4 pkt 3a)</w:t>
      </w:r>
      <w:r w:rsidR="00D12693">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należy zapewnić, że informacje i dokumenty przekazane przez taką </w:t>
      </w:r>
      <w:r w:rsidR="004D4F5B" w:rsidRPr="00D84154">
        <w:rPr>
          <w:rFonts w:ascii="Times New Roman" w:hAnsi="Times New Roman" w:cs="Times New Roman"/>
          <w:color w:val="000000" w:themeColor="text1"/>
          <w:sz w:val="24"/>
          <w:szCs w:val="24"/>
        </w:rPr>
        <w:t xml:space="preserve">osobę </w:t>
      </w:r>
      <w:r w:rsidRPr="00D84154">
        <w:rPr>
          <w:rFonts w:ascii="Times New Roman" w:hAnsi="Times New Roman" w:cs="Times New Roman"/>
          <w:color w:val="000000" w:themeColor="text1"/>
          <w:sz w:val="24"/>
          <w:szCs w:val="24"/>
        </w:rPr>
        <w:t xml:space="preserve">na podstawie art. 50 ust. 1 </w:t>
      </w:r>
      <w:r w:rsidR="0044448B" w:rsidRPr="00D84154">
        <w:rPr>
          <w:rFonts w:ascii="Times New Roman" w:hAnsi="Times New Roman" w:cs="Times New Roman"/>
          <w:color w:val="000000" w:themeColor="text1"/>
          <w:sz w:val="24"/>
          <w:szCs w:val="24"/>
        </w:rPr>
        <w:t xml:space="preserve">ustawy </w:t>
      </w:r>
      <w:r w:rsidRPr="00D84154">
        <w:rPr>
          <w:rFonts w:ascii="Times New Roman" w:hAnsi="Times New Roman" w:cs="Times New Roman"/>
          <w:color w:val="000000" w:themeColor="text1"/>
          <w:sz w:val="24"/>
          <w:szCs w:val="24"/>
        </w:rPr>
        <w:t>nie mogą być wykorzystane na potrzeby nałożenia kary pieniężnej, o której mowa w art. 106a</w:t>
      </w:r>
      <w:r w:rsidR="00064EDA" w:rsidRPr="00D84154">
        <w:rPr>
          <w:rFonts w:ascii="Times New Roman" w:hAnsi="Times New Roman" w:cs="Times New Roman"/>
          <w:color w:val="000000" w:themeColor="text1"/>
          <w:sz w:val="24"/>
          <w:szCs w:val="24"/>
        </w:rPr>
        <w:t xml:space="preserve"> i </w:t>
      </w:r>
      <w:r w:rsidR="004D4F5B" w:rsidRPr="00D84154">
        <w:rPr>
          <w:rFonts w:ascii="Times New Roman" w:hAnsi="Times New Roman" w:cs="Times New Roman"/>
          <w:color w:val="000000" w:themeColor="text1"/>
          <w:sz w:val="24"/>
          <w:szCs w:val="24"/>
        </w:rPr>
        <w:t xml:space="preserve">art. </w:t>
      </w:r>
      <w:r w:rsidR="00064EDA" w:rsidRPr="00D84154">
        <w:rPr>
          <w:rFonts w:ascii="Times New Roman" w:hAnsi="Times New Roman" w:cs="Times New Roman"/>
          <w:color w:val="000000" w:themeColor="text1"/>
          <w:sz w:val="24"/>
          <w:szCs w:val="24"/>
        </w:rPr>
        <w:t>106b</w:t>
      </w:r>
      <w:r w:rsidRPr="00D84154">
        <w:rPr>
          <w:rFonts w:ascii="Times New Roman" w:hAnsi="Times New Roman" w:cs="Times New Roman"/>
          <w:color w:val="000000" w:themeColor="text1"/>
          <w:sz w:val="24"/>
          <w:szCs w:val="24"/>
        </w:rPr>
        <w:t>, na niekorzyść</w:t>
      </w:r>
      <w:r w:rsidR="00EA68A4" w:rsidRPr="00D84154">
        <w:rPr>
          <w:rStyle w:val="Odwoanieprzypisudolnego"/>
          <w:rFonts w:ascii="Times New Roman" w:hAnsi="Times New Roman" w:cs="Times New Roman"/>
          <w:color w:val="000000" w:themeColor="text1"/>
          <w:sz w:val="24"/>
          <w:szCs w:val="24"/>
        </w:rPr>
        <w:footnoteReference w:id="14"/>
      </w:r>
      <w:r w:rsidR="004D4F5B" w:rsidRPr="00D84154">
        <w:rPr>
          <w:rFonts w:ascii="Times New Roman" w:hAnsi="Times New Roman" w:cs="Times New Roman"/>
          <w:color w:val="000000" w:themeColor="text1"/>
          <w:sz w:val="24"/>
          <w:szCs w:val="24"/>
          <w:vertAlign w:val="superscript"/>
        </w:rPr>
        <w:t>)</w:t>
      </w:r>
      <w:r w:rsidRPr="00D84154">
        <w:rPr>
          <w:rFonts w:ascii="Times New Roman" w:hAnsi="Times New Roman" w:cs="Times New Roman"/>
          <w:color w:val="000000" w:themeColor="text1"/>
          <w:sz w:val="24"/>
          <w:szCs w:val="24"/>
        </w:rPr>
        <w:t xml:space="preserve"> tej osoby lub jej małżonka, wstępnych, zstępnych, rodzeństwo oraz powinowatych w tej samej linii lub stopniu, jak również osób pozostających w stosunku przysposobienia, opieki lub kurateli, a także osob</w:t>
      </w:r>
      <w:r w:rsidR="009567A4" w:rsidRPr="00D84154">
        <w:rPr>
          <w:rFonts w:ascii="Times New Roman" w:hAnsi="Times New Roman" w:cs="Times New Roman"/>
          <w:color w:val="000000" w:themeColor="text1"/>
          <w:sz w:val="24"/>
          <w:szCs w:val="24"/>
        </w:rPr>
        <w:t>y</w:t>
      </w:r>
      <w:r w:rsidRPr="00D84154">
        <w:rPr>
          <w:rFonts w:ascii="Times New Roman" w:hAnsi="Times New Roman" w:cs="Times New Roman"/>
          <w:color w:val="000000" w:themeColor="text1"/>
          <w:sz w:val="24"/>
          <w:szCs w:val="24"/>
        </w:rPr>
        <w:t xml:space="preserve"> pozostając</w:t>
      </w:r>
      <w:r w:rsidR="001F20A5" w:rsidRPr="00D84154">
        <w:rPr>
          <w:rFonts w:ascii="Times New Roman" w:hAnsi="Times New Roman" w:cs="Times New Roman"/>
          <w:color w:val="000000" w:themeColor="text1"/>
          <w:sz w:val="24"/>
          <w:szCs w:val="24"/>
        </w:rPr>
        <w:t>ej</w:t>
      </w:r>
      <w:r w:rsidRPr="00D84154">
        <w:rPr>
          <w:rFonts w:ascii="Times New Roman" w:hAnsi="Times New Roman" w:cs="Times New Roman"/>
          <w:color w:val="000000" w:themeColor="text1"/>
          <w:sz w:val="24"/>
          <w:szCs w:val="24"/>
        </w:rPr>
        <w:t xml:space="preserve"> we wspólnym pożyciu (art. 50 ust. 5). Zakaz ten trwać będzie również po ustaniu małżeństwa lub rozwiązaniu stosunku przysposobienia, opieki lub kurateli.</w:t>
      </w:r>
    </w:p>
    <w:p w14:paraId="4120B307" w14:textId="231988EF" w:rsidR="00064EDA" w:rsidRPr="00D84154" w:rsidRDefault="00064EDA"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Przepis art. 50 ust. 5 stanowi implementację fakultatywneg</w:t>
      </w:r>
      <w:r w:rsidR="00BC0E7C">
        <w:rPr>
          <w:rFonts w:ascii="Times New Roman" w:hAnsi="Times New Roman" w:cs="Times New Roman"/>
          <w:color w:val="000000" w:themeColor="text1"/>
          <w:sz w:val="24"/>
          <w:szCs w:val="24"/>
        </w:rPr>
        <w:t>o rozwiązania wskazanego w art. </w:t>
      </w:r>
      <w:r w:rsidRPr="00D84154">
        <w:rPr>
          <w:rFonts w:ascii="Times New Roman" w:hAnsi="Times New Roman" w:cs="Times New Roman"/>
          <w:color w:val="000000" w:themeColor="text1"/>
          <w:sz w:val="24"/>
          <w:szCs w:val="24"/>
        </w:rPr>
        <w:t xml:space="preserve">31 ust. 1 </w:t>
      </w:r>
      <w:r w:rsidR="004D4F5B"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 xml:space="preserve">yrektywy. Jego celem jest ograniczenie możliwości wykorzystania informacji przekazywanych przez osoby fizyczne na żądanie Prezesa Urzędu na potrzeby nałożenia kary </w:t>
      </w:r>
      <w:r w:rsidRPr="00D84154">
        <w:rPr>
          <w:rFonts w:ascii="Times New Roman" w:hAnsi="Times New Roman" w:cs="Times New Roman"/>
          <w:color w:val="000000" w:themeColor="text1"/>
          <w:sz w:val="24"/>
          <w:szCs w:val="24"/>
        </w:rPr>
        <w:lastRenderedPageBreak/>
        <w:t>na te osoby lub osoby powiązane w określony sposób z tymi osobami, o ile prowadziłoby to do negatywnych skutków dla tych osób. Istotą uregulowania jest zatem dopuszczenie możliwości wykorzystania przekazanych dowodów np. gdyby wskazywały one na to, że nałożona kara powinna być niższa, ale ogranicza możliwość żądania od osoby fizycznej informacji, uzyskania ich pod groźbą kary za brak udzielenia informacji, a następnie nałożenia na podstawie tych informacji np. wyższej kary. Uregulowanie zmierza zatem również do tego, aby wprowadzając rozróżnienie między informacjami na korzyść i niekorz</w:t>
      </w:r>
      <w:r w:rsidR="00BC0E7C">
        <w:rPr>
          <w:rFonts w:ascii="Times New Roman" w:hAnsi="Times New Roman" w:cs="Times New Roman"/>
          <w:color w:val="000000" w:themeColor="text1"/>
          <w:sz w:val="24"/>
          <w:szCs w:val="24"/>
        </w:rPr>
        <w:t>yść osoby fizycznej, pozwolić w </w:t>
      </w:r>
      <w:r w:rsidRPr="00D84154">
        <w:rPr>
          <w:rFonts w:ascii="Times New Roman" w:hAnsi="Times New Roman" w:cs="Times New Roman"/>
          <w:color w:val="000000" w:themeColor="text1"/>
          <w:sz w:val="24"/>
          <w:szCs w:val="24"/>
        </w:rPr>
        <w:t>każdym przypadku na wykorzystanie tej pierwszej kategorii informacji. Całkowity zakaz wykorzystania informacji pozyskanych od osób fizycznych we wskazany wyżej sposób wiązałby się bowiem z tym, że informacje takie nie mogłyby zostać uwzględnione na korzyść tych osób (np. w przypadku gdyby informacje takie dotyczyły okoliczności łagodzących wysokość kary, o których mowa w art. 111 ustawy).</w:t>
      </w:r>
    </w:p>
    <w:p w14:paraId="6E20A998" w14:textId="2F40585B" w:rsidR="00A84ACD" w:rsidRPr="00D84154" w:rsidRDefault="00BF1C15"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Tożsame r</w:t>
      </w:r>
      <w:r w:rsidR="00A84ACD" w:rsidRPr="00D84154">
        <w:rPr>
          <w:rFonts w:ascii="Times New Roman" w:hAnsi="Times New Roman" w:cs="Times New Roman"/>
          <w:color w:val="000000" w:themeColor="text1"/>
          <w:sz w:val="24"/>
          <w:szCs w:val="24"/>
        </w:rPr>
        <w:t>egulacje zapewniające wolność od samooskarżenia zostały również zaproponowane do instytucji przesłuchania strony</w:t>
      </w:r>
      <w:r w:rsidRPr="00D84154">
        <w:rPr>
          <w:rFonts w:ascii="Times New Roman" w:hAnsi="Times New Roman" w:cs="Times New Roman"/>
          <w:color w:val="000000" w:themeColor="text1"/>
          <w:sz w:val="24"/>
          <w:szCs w:val="24"/>
        </w:rPr>
        <w:t xml:space="preserve"> i świadka</w:t>
      </w:r>
      <w:r w:rsidR="003711C8" w:rsidRPr="00D84154">
        <w:rPr>
          <w:rFonts w:ascii="Times New Roman" w:hAnsi="Times New Roman" w:cs="Times New Roman"/>
          <w:color w:val="000000" w:themeColor="text1"/>
          <w:sz w:val="24"/>
          <w:szCs w:val="24"/>
        </w:rPr>
        <w:t xml:space="preserve"> </w:t>
      </w:r>
      <w:r w:rsidR="00A84ACD" w:rsidRPr="00D84154">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art. 52 ust. </w:t>
      </w:r>
      <w:r w:rsidR="003711C8" w:rsidRPr="00D84154">
        <w:rPr>
          <w:rFonts w:ascii="Times New Roman" w:hAnsi="Times New Roman" w:cs="Times New Roman"/>
          <w:color w:val="000000" w:themeColor="text1"/>
          <w:sz w:val="24"/>
          <w:szCs w:val="24"/>
        </w:rPr>
        <w:t>4</w:t>
      </w:r>
      <w:r w:rsidRPr="00D84154">
        <w:rPr>
          <w:rFonts w:ascii="Times New Roman" w:hAnsi="Times New Roman" w:cs="Times New Roman"/>
          <w:color w:val="000000" w:themeColor="text1"/>
          <w:sz w:val="24"/>
          <w:szCs w:val="24"/>
        </w:rPr>
        <w:t xml:space="preserve"> oraz </w:t>
      </w:r>
      <w:r w:rsidR="00A84ACD" w:rsidRPr="00D84154">
        <w:rPr>
          <w:rFonts w:ascii="Times New Roman" w:hAnsi="Times New Roman" w:cs="Times New Roman"/>
          <w:color w:val="000000" w:themeColor="text1"/>
          <w:sz w:val="24"/>
          <w:szCs w:val="24"/>
        </w:rPr>
        <w:t>art. 60 ust. 5</w:t>
      </w:r>
      <w:r w:rsidR="000B17A7" w:rsidRPr="00D84154">
        <w:rPr>
          <w:rFonts w:ascii="Times New Roman" w:hAnsi="Times New Roman" w:cs="Times New Roman"/>
          <w:color w:val="000000" w:themeColor="text1"/>
          <w:sz w:val="24"/>
          <w:szCs w:val="24"/>
        </w:rPr>
        <w:t xml:space="preserve"> ustawy</w:t>
      </w:r>
      <w:r w:rsidR="00A84ACD" w:rsidRPr="00D84154">
        <w:rPr>
          <w:rFonts w:ascii="Times New Roman" w:hAnsi="Times New Roman" w:cs="Times New Roman"/>
          <w:color w:val="000000" w:themeColor="text1"/>
          <w:sz w:val="24"/>
          <w:szCs w:val="24"/>
        </w:rPr>
        <w:t>).</w:t>
      </w:r>
    </w:p>
    <w:p w14:paraId="7617108B" w14:textId="674421FB" w:rsidR="00E837DF" w:rsidRPr="00D84154" w:rsidRDefault="00A84ACD"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Osoby zarządzające będą chronione również w toku kontro</w:t>
      </w:r>
      <w:r w:rsidR="00BC0E7C">
        <w:rPr>
          <w:rFonts w:ascii="Times New Roman" w:hAnsi="Times New Roman" w:cs="Times New Roman"/>
          <w:color w:val="000000" w:themeColor="text1"/>
          <w:sz w:val="24"/>
          <w:szCs w:val="24"/>
        </w:rPr>
        <w:t>li. Analogiczny przepis do art. </w:t>
      </w:r>
      <w:r w:rsidRPr="00D84154">
        <w:rPr>
          <w:rFonts w:ascii="Times New Roman" w:hAnsi="Times New Roman" w:cs="Times New Roman"/>
          <w:color w:val="000000" w:themeColor="text1"/>
          <w:sz w:val="24"/>
          <w:szCs w:val="24"/>
        </w:rPr>
        <w:t xml:space="preserve">60 ust. </w:t>
      </w:r>
      <w:r w:rsidR="0074777B" w:rsidRPr="00D84154">
        <w:rPr>
          <w:rFonts w:ascii="Times New Roman" w:hAnsi="Times New Roman" w:cs="Times New Roman"/>
          <w:color w:val="000000" w:themeColor="text1"/>
          <w:sz w:val="24"/>
          <w:szCs w:val="24"/>
        </w:rPr>
        <w:t>5</w:t>
      </w:r>
      <w:r w:rsidRPr="00D84154">
        <w:rPr>
          <w:rFonts w:ascii="Times New Roman" w:hAnsi="Times New Roman" w:cs="Times New Roman"/>
          <w:color w:val="000000" w:themeColor="text1"/>
          <w:sz w:val="24"/>
          <w:szCs w:val="24"/>
        </w:rPr>
        <w:t xml:space="preserve"> </w:t>
      </w:r>
      <w:r w:rsidR="000B17A7" w:rsidRPr="00D84154">
        <w:rPr>
          <w:rFonts w:ascii="Times New Roman" w:hAnsi="Times New Roman" w:cs="Times New Roman"/>
          <w:color w:val="000000" w:themeColor="text1"/>
          <w:sz w:val="24"/>
          <w:szCs w:val="24"/>
        </w:rPr>
        <w:t xml:space="preserve">ustawy </w:t>
      </w:r>
      <w:r w:rsidRPr="00D84154">
        <w:rPr>
          <w:rFonts w:ascii="Times New Roman" w:hAnsi="Times New Roman" w:cs="Times New Roman"/>
          <w:color w:val="000000" w:themeColor="text1"/>
          <w:sz w:val="24"/>
          <w:szCs w:val="24"/>
        </w:rPr>
        <w:t xml:space="preserve">zostanie również dodany </w:t>
      </w:r>
      <w:r w:rsidR="000B17A7" w:rsidRPr="00D84154">
        <w:rPr>
          <w:rFonts w:ascii="Times New Roman" w:hAnsi="Times New Roman" w:cs="Times New Roman"/>
          <w:color w:val="000000" w:themeColor="text1"/>
          <w:sz w:val="24"/>
          <w:szCs w:val="24"/>
        </w:rPr>
        <w:t>w przepisach o</w:t>
      </w:r>
      <w:r w:rsidR="00F65A77">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kontroli (art. 105d ust. 3). Z uwagi na treść art. 105q pkt 1</w:t>
      </w:r>
      <w:r w:rsidR="000B17A7" w:rsidRPr="00D84154">
        <w:rPr>
          <w:rFonts w:ascii="Times New Roman" w:hAnsi="Times New Roman" w:cs="Times New Roman"/>
          <w:color w:val="000000" w:themeColor="text1"/>
          <w:sz w:val="24"/>
          <w:szCs w:val="24"/>
        </w:rPr>
        <w:t xml:space="preserve"> ustawy</w:t>
      </w:r>
      <w:r w:rsidRPr="00D84154">
        <w:rPr>
          <w:rFonts w:ascii="Times New Roman" w:hAnsi="Times New Roman" w:cs="Times New Roman"/>
          <w:color w:val="000000" w:themeColor="text1"/>
          <w:sz w:val="24"/>
          <w:szCs w:val="24"/>
        </w:rPr>
        <w:t>, rozwiązanie to znajdzie również zastosowanie w przeszukaniu.</w:t>
      </w:r>
    </w:p>
    <w:p w14:paraId="6DE2AD17" w14:textId="77777777" w:rsidR="00D159BB" w:rsidRPr="00D84154" w:rsidRDefault="00B15D9C" w:rsidP="00D84154">
      <w:pPr>
        <w:pStyle w:val="Akapitzlist"/>
        <w:numPr>
          <w:ilvl w:val="0"/>
          <w:numId w:val="2"/>
        </w:numPr>
        <w:spacing w:before="120" w:after="0" w:line="360" w:lineRule="auto"/>
        <w:ind w:left="426" w:hanging="426"/>
        <w:jc w:val="both"/>
        <w:rPr>
          <w:rFonts w:ascii="Times New Roman" w:hAnsi="Times New Roman" w:cs="Times New Roman"/>
          <w:b/>
          <w:bCs/>
          <w:color w:val="000000" w:themeColor="text1"/>
          <w:sz w:val="24"/>
          <w:szCs w:val="24"/>
        </w:rPr>
      </w:pPr>
      <w:bookmarkStart w:id="1" w:name="_Hlk52996463"/>
      <w:r w:rsidRPr="00D84154">
        <w:rPr>
          <w:rFonts w:ascii="Times New Roman" w:hAnsi="Times New Roman" w:cs="Times New Roman"/>
          <w:b/>
          <w:bCs/>
          <w:color w:val="000000" w:themeColor="text1"/>
          <w:sz w:val="24"/>
          <w:szCs w:val="24"/>
        </w:rPr>
        <w:t>Ochrona informacji uzyskanych w postępowaniu przed Prezesem</w:t>
      </w:r>
      <w:r w:rsidR="00F63FBE" w:rsidRPr="00D84154">
        <w:rPr>
          <w:rFonts w:ascii="Times New Roman" w:hAnsi="Times New Roman" w:cs="Times New Roman"/>
          <w:b/>
          <w:bCs/>
          <w:color w:val="000000" w:themeColor="text1"/>
          <w:sz w:val="24"/>
          <w:szCs w:val="24"/>
        </w:rPr>
        <w:t xml:space="preserve"> UOKiK</w:t>
      </w:r>
    </w:p>
    <w:bookmarkEnd w:id="1"/>
    <w:p w14:paraId="4E86D74A" w14:textId="20500E74" w:rsidR="007070CA" w:rsidRPr="00D84154" w:rsidRDefault="00922CE6"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W celu zapewnienia właściwej ochrony określonej kategorii dokumentów w postępowaniu przed Prezesem Urzędu, zgodnie z art. 31 ust. 3–7 </w:t>
      </w:r>
      <w:r w:rsidR="000B17A7"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yrekt</w:t>
      </w:r>
      <w:r w:rsidR="00BC0E7C">
        <w:rPr>
          <w:rFonts w:ascii="Times New Roman" w:hAnsi="Times New Roman" w:cs="Times New Roman"/>
          <w:color w:val="000000" w:themeColor="text1"/>
          <w:sz w:val="24"/>
          <w:szCs w:val="24"/>
        </w:rPr>
        <w:t>ywy zaproponowano zmiany w art. </w:t>
      </w:r>
      <w:r w:rsidRPr="00D84154">
        <w:rPr>
          <w:rFonts w:ascii="Times New Roman" w:hAnsi="Times New Roman" w:cs="Times New Roman"/>
          <w:color w:val="000000" w:themeColor="text1"/>
          <w:sz w:val="24"/>
          <w:szCs w:val="24"/>
        </w:rPr>
        <w:t>70 ustawy. Jeżeli chodzi o ochronę w zakresie udostępniania oświadczeń w ramach programu łagodzenia kar, oświadczeń przedsiębiorcy lub osoby zarządzającej występującej z wnioskiem o odstąpienie lub obniżenie kary pieniężnej, propozycji ugodowych lub oświad</w:t>
      </w:r>
      <w:r w:rsidR="00BC0E7C">
        <w:rPr>
          <w:rFonts w:ascii="Times New Roman" w:hAnsi="Times New Roman" w:cs="Times New Roman"/>
          <w:color w:val="000000" w:themeColor="text1"/>
          <w:sz w:val="24"/>
          <w:szCs w:val="24"/>
        </w:rPr>
        <w:t>czeń strony, o </w:t>
      </w:r>
      <w:r w:rsidRPr="00D84154">
        <w:rPr>
          <w:rFonts w:ascii="Times New Roman" w:hAnsi="Times New Roman" w:cs="Times New Roman"/>
          <w:color w:val="000000" w:themeColor="text1"/>
          <w:sz w:val="24"/>
          <w:szCs w:val="24"/>
        </w:rPr>
        <w:t>który</w:t>
      </w:r>
      <w:r w:rsidR="000B17A7" w:rsidRPr="00D84154">
        <w:rPr>
          <w:rFonts w:ascii="Times New Roman" w:hAnsi="Times New Roman" w:cs="Times New Roman"/>
          <w:color w:val="000000" w:themeColor="text1"/>
          <w:sz w:val="24"/>
          <w:szCs w:val="24"/>
        </w:rPr>
        <w:t>ch</w:t>
      </w:r>
      <w:r w:rsidRPr="00D84154">
        <w:rPr>
          <w:rFonts w:ascii="Times New Roman" w:hAnsi="Times New Roman" w:cs="Times New Roman"/>
          <w:color w:val="000000" w:themeColor="text1"/>
          <w:sz w:val="24"/>
          <w:szCs w:val="24"/>
        </w:rPr>
        <w:t xml:space="preserve"> mowa w</w:t>
      </w:r>
      <w:r w:rsidR="0074777B" w:rsidRPr="00D84154">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 xml:space="preserve">art. 89a ust. 8 </w:t>
      </w:r>
      <w:r w:rsidR="000B17A7" w:rsidRPr="00D84154">
        <w:rPr>
          <w:rFonts w:ascii="Times New Roman" w:hAnsi="Times New Roman" w:cs="Times New Roman"/>
          <w:color w:val="000000" w:themeColor="text1"/>
          <w:sz w:val="24"/>
          <w:szCs w:val="24"/>
        </w:rPr>
        <w:t xml:space="preserve">ustawy, </w:t>
      </w:r>
      <w:r w:rsidRPr="00D84154">
        <w:rPr>
          <w:rFonts w:ascii="Times New Roman" w:hAnsi="Times New Roman" w:cs="Times New Roman"/>
          <w:color w:val="000000" w:themeColor="text1"/>
          <w:sz w:val="24"/>
          <w:szCs w:val="24"/>
        </w:rPr>
        <w:t>przewidziano, ż</w:t>
      </w:r>
      <w:r w:rsidR="00B31C4D">
        <w:rPr>
          <w:rFonts w:ascii="Times New Roman" w:hAnsi="Times New Roman" w:cs="Times New Roman"/>
          <w:color w:val="000000" w:themeColor="text1"/>
          <w:sz w:val="24"/>
          <w:szCs w:val="24"/>
        </w:rPr>
        <w:t>e</w:t>
      </w:r>
      <w:r w:rsidRPr="00D84154">
        <w:rPr>
          <w:rFonts w:ascii="Times New Roman" w:hAnsi="Times New Roman" w:cs="Times New Roman"/>
          <w:color w:val="000000" w:themeColor="text1"/>
          <w:sz w:val="24"/>
          <w:szCs w:val="24"/>
        </w:rPr>
        <w:t xml:space="preserve"> mogą być one udostępnione wyłącznie stronie do celów wykonywania przez nią prawa do obrony (art. 70 ust. 1). Z kolei wykorzystanie przez stronę informacji z ww. dokumentów</w:t>
      </w:r>
      <w:r w:rsidR="00CF0F0D" w:rsidRPr="00D84154">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ma być możliwe jedynie wówczas, gdy jest to konieczne do wykonywania prawa strony do obrony w postępowaniu przed sądem w ramach sądowej kontroli decyzji Prezesa Urzędu wydane</w:t>
      </w:r>
      <w:r w:rsidR="00BC0E7C">
        <w:rPr>
          <w:rFonts w:ascii="Times New Roman" w:hAnsi="Times New Roman" w:cs="Times New Roman"/>
          <w:color w:val="000000" w:themeColor="text1"/>
          <w:sz w:val="24"/>
          <w:szCs w:val="24"/>
        </w:rPr>
        <w:t>j w danej sprawie (art. 70 ust. </w:t>
      </w:r>
      <w:r w:rsidRPr="00D84154">
        <w:rPr>
          <w:rFonts w:ascii="Times New Roman" w:hAnsi="Times New Roman" w:cs="Times New Roman"/>
          <w:color w:val="000000" w:themeColor="text1"/>
          <w:sz w:val="24"/>
          <w:szCs w:val="24"/>
        </w:rPr>
        <w:t xml:space="preserve">2). </w:t>
      </w:r>
      <w:r w:rsidR="007070CA" w:rsidRPr="00D84154">
        <w:rPr>
          <w:rFonts w:ascii="Times New Roman" w:hAnsi="Times New Roman" w:cs="Times New Roman"/>
          <w:color w:val="000000" w:themeColor="text1"/>
          <w:sz w:val="24"/>
          <w:szCs w:val="24"/>
        </w:rPr>
        <w:t xml:space="preserve">Art. 70 ust. 3 pkt 1 </w:t>
      </w:r>
      <w:r w:rsidR="000B17A7" w:rsidRPr="00D84154">
        <w:rPr>
          <w:rFonts w:ascii="Times New Roman" w:hAnsi="Times New Roman" w:cs="Times New Roman"/>
          <w:color w:val="000000" w:themeColor="text1"/>
          <w:sz w:val="24"/>
          <w:szCs w:val="24"/>
        </w:rPr>
        <w:t xml:space="preserve">ustawy </w:t>
      </w:r>
      <w:r w:rsidR="007070CA" w:rsidRPr="00D84154">
        <w:rPr>
          <w:rFonts w:ascii="Times New Roman" w:hAnsi="Times New Roman" w:cs="Times New Roman"/>
          <w:color w:val="000000" w:themeColor="text1"/>
          <w:sz w:val="24"/>
          <w:szCs w:val="24"/>
        </w:rPr>
        <w:t>odpowiada zakresowi wdrażanego art. 31 ust. 5</w:t>
      </w:r>
      <w:r w:rsidR="000B17A7" w:rsidRPr="00D84154">
        <w:rPr>
          <w:rFonts w:ascii="Times New Roman" w:hAnsi="Times New Roman" w:cs="Times New Roman"/>
          <w:color w:val="000000" w:themeColor="text1"/>
          <w:sz w:val="24"/>
          <w:szCs w:val="24"/>
        </w:rPr>
        <w:t xml:space="preserve"> dyrektywy</w:t>
      </w:r>
      <w:r w:rsidR="007070CA" w:rsidRPr="00D84154">
        <w:rPr>
          <w:rFonts w:ascii="Times New Roman" w:hAnsi="Times New Roman" w:cs="Times New Roman"/>
          <w:color w:val="000000" w:themeColor="text1"/>
          <w:sz w:val="24"/>
          <w:szCs w:val="24"/>
        </w:rPr>
        <w:t xml:space="preserve">. Odnosi się on przede wszystkim do pism, notatek lub innego rodzaju korespondencji, wytworzonych w związku z postępowaniem przez osoby fizyczne i prawne, w tym w szczególności strony postępowania i przekazywanych Prezesowi UOKiK w toku postępowania. Zasadniczo nie odnosi się on zatem do materiałów wytworzonych niezależnie od toczącego się przed Prezesem </w:t>
      </w:r>
      <w:r w:rsidR="007070CA" w:rsidRPr="00D84154">
        <w:rPr>
          <w:rFonts w:ascii="Times New Roman" w:hAnsi="Times New Roman" w:cs="Times New Roman"/>
          <w:color w:val="000000" w:themeColor="text1"/>
          <w:sz w:val="24"/>
          <w:szCs w:val="24"/>
        </w:rPr>
        <w:lastRenderedPageBreak/>
        <w:t>UOKiK postępowania, a włączonych do materiału dowodowego, takich jak np. umowy lub inne dokumenty powstałe w toku działalności strony post</w:t>
      </w:r>
      <w:r w:rsidR="0074777B" w:rsidRPr="00D84154">
        <w:rPr>
          <w:rFonts w:ascii="Times New Roman" w:hAnsi="Times New Roman" w:cs="Times New Roman"/>
          <w:color w:val="000000" w:themeColor="text1"/>
          <w:sz w:val="24"/>
          <w:szCs w:val="24"/>
        </w:rPr>
        <w:t>ę</w:t>
      </w:r>
      <w:r w:rsidR="007070CA" w:rsidRPr="00D84154">
        <w:rPr>
          <w:rFonts w:ascii="Times New Roman" w:hAnsi="Times New Roman" w:cs="Times New Roman"/>
          <w:color w:val="000000" w:themeColor="text1"/>
          <w:sz w:val="24"/>
          <w:szCs w:val="24"/>
        </w:rPr>
        <w:t>powania.</w:t>
      </w:r>
    </w:p>
    <w:p w14:paraId="2C172A4B" w14:textId="350F6A7F" w:rsidR="00E524D6" w:rsidRPr="00D84154" w:rsidRDefault="00922CE6" w:rsidP="00D84154">
      <w:pPr>
        <w:spacing w:before="120" w:after="0" w:line="360" w:lineRule="auto"/>
        <w:jc w:val="both"/>
        <w:rPr>
          <w:rFonts w:ascii="Times New Roman" w:hAnsi="Times New Roman" w:cs="Times New Roman"/>
          <w:color w:val="000000" w:themeColor="text1"/>
          <w:sz w:val="24"/>
          <w:szCs w:val="24"/>
        </w:rPr>
      </w:pPr>
      <w:r w:rsidRPr="005428EE">
        <w:rPr>
          <w:rFonts w:ascii="Times New Roman" w:hAnsi="Times New Roman" w:cs="Times New Roman"/>
          <w:color w:val="000000" w:themeColor="text1"/>
          <w:sz w:val="24"/>
          <w:szCs w:val="24"/>
        </w:rPr>
        <w:t>Jeżeli</w:t>
      </w:r>
      <w:r w:rsidRPr="00D84154">
        <w:rPr>
          <w:rFonts w:ascii="Times New Roman" w:hAnsi="Times New Roman" w:cs="Times New Roman"/>
          <w:color w:val="000000" w:themeColor="text1"/>
          <w:sz w:val="24"/>
          <w:szCs w:val="24"/>
        </w:rPr>
        <w:t xml:space="preserve"> chodzi o informacje przygotowane specjalnie na potrzeby postępowania prowadzonego przez Prezesa Urzędu, informacje </w:t>
      </w:r>
      <w:r w:rsidR="006B4DEB" w:rsidRPr="00D84154">
        <w:rPr>
          <w:rFonts w:ascii="Times New Roman" w:hAnsi="Times New Roman" w:cs="Times New Roman"/>
          <w:color w:val="000000" w:themeColor="text1"/>
          <w:sz w:val="24"/>
          <w:szCs w:val="24"/>
        </w:rPr>
        <w:t>wytworzone</w:t>
      </w:r>
      <w:r w:rsidRPr="00D84154">
        <w:rPr>
          <w:rFonts w:ascii="Times New Roman" w:hAnsi="Times New Roman" w:cs="Times New Roman"/>
          <w:color w:val="000000" w:themeColor="text1"/>
          <w:sz w:val="24"/>
          <w:szCs w:val="24"/>
        </w:rPr>
        <w:t xml:space="preserve"> przez Prezesa Urzędu i prze</w:t>
      </w:r>
      <w:r w:rsidR="006B4DEB" w:rsidRPr="00D84154">
        <w:rPr>
          <w:rFonts w:ascii="Times New Roman" w:hAnsi="Times New Roman" w:cs="Times New Roman"/>
          <w:color w:val="000000" w:themeColor="text1"/>
          <w:sz w:val="24"/>
          <w:szCs w:val="24"/>
        </w:rPr>
        <w:t>kazane</w:t>
      </w:r>
      <w:r w:rsidR="00BC0E7C">
        <w:rPr>
          <w:rFonts w:ascii="Times New Roman" w:hAnsi="Times New Roman" w:cs="Times New Roman"/>
          <w:color w:val="000000" w:themeColor="text1"/>
          <w:sz w:val="24"/>
          <w:szCs w:val="24"/>
        </w:rPr>
        <w:t xml:space="preserve"> stronom w </w:t>
      </w:r>
      <w:r w:rsidRPr="00D84154">
        <w:rPr>
          <w:rFonts w:ascii="Times New Roman" w:hAnsi="Times New Roman" w:cs="Times New Roman"/>
          <w:color w:val="000000" w:themeColor="text1"/>
          <w:sz w:val="24"/>
          <w:szCs w:val="24"/>
        </w:rPr>
        <w:t xml:space="preserve">trakcie prowadzonego przez ten organ postępowania lub wycofane propozycje ugodowe, mając na względzie art. 31 ust. 4 </w:t>
      </w:r>
      <w:r w:rsidR="000B17A7"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yrektywy, zaproponowano</w:t>
      </w:r>
      <w:r w:rsidR="00B31C4D">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aby nie mogły one być wykorzystywane przez stronę w postępowaniu przed sądami do czasu zakończenia </w:t>
      </w:r>
      <w:r w:rsidR="000B7CCB" w:rsidRPr="00D84154">
        <w:rPr>
          <w:rFonts w:ascii="Times New Roman" w:hAnsi="Times New Roman" w:cs="Times New Roman"/>
          <w:color w:val="000000" w:themeColor="text1"/>
          <w:sz w:val="24"/>
          <w:szCs w:val="24"/>
        </w:rPr>
        <w:t xml:space="preserve">postępowania </w:t>
      </w:r>
      <w:r w:rsidRPr="00D84154">
        <w:rPr>
          <w:rFonts w:ascii="Times New Roman" w:hAnsi="Times New Roman" w:cs="Times New Roman"/>
          <w:color w:val="000000" w:themeColor="text1"/>
          <w:sz w:val="24"/>
          <w:szCs w:val="24"/>
        </w:rPr>
        <w:t>przez Prezesa Urzędu. W ust. 4 przewidziano, ż</w:t>
      </w:r>
      <w:r w:rsidR="00B31C4D">
        <w:rPr>
          <w:rFonts w:ascii="Times New Roman" w:hAnsi="Times New Roman" w:cs="Times New Roman"/>
          <w:color w:val="000000" w:themeColor="text1"/>
          <w:sz w:val="24"/>
          <w:szCs w:val="24"/>
        </w:rPr>
        <w:t>e</w:t>
      </w:r>
      <w:r w:rsidR="00BC0E7C">
        <w:rPr>
          <w:rFonts w:ascii="Times New Roman" w:hAnsi="Times New Roman" w:cs="Times New Roman"/>
          <w:color w:val="000000" w:themeColor="text1"/>
          <w:sz w:val="24"/>
          <w:szCs w:val="24"/>
        </w:rPr>
        <w:t xml:space="preserve"> przekazanie oświadczeń w </w:t>
      </w:r>
      <w:r w:rsidRPr="00D84154">
        <w:rPr>
          <w:rFonts w:ascii="Times New Roman" w:hAnsi="Times New Roman" w:cs="Times New Roman"/>
          <w:color w:val="000000" w:themeColor="text1"/>
          <w:sz w:val="24"/>
          <w:szCs w:val="24"/>
        </w:rPr>
        <w:t>ramach programu łagodzenia kar</w:t>
      </w:r>
      <w:r w:rsidR="00B31C4D">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w:t>
      </w:r>
      <w:r w:rsidR="00E524D6" w:rsidRPr="00D84154">
        <w:rPr>
          <w:rFonts w:ascii="Times New Roman" w:hAnsi="Times New Roman" w:cs="Times New Roman"/>
          <w:color w:val="000000" w:themeColor="text1"/>
          <w:sz w:val="24"/>
          <w:szCs w:val="24"/>
        </w:rPr>
        <w:t xml:space="preserve">w </w:t>
      </w:r>
      <w:r w:rsidRPr="00D84154">
        <w:rPr>
          <w:rFonts w:ascii="Times New Roman" w:hAnsi="Times New Roman" w:cs="Times New Roman"/>
          <w:color w:val="000000" w:themeColor="text1"/>
          <w:sz w:val="24"/>
          <w:szCs w:val="24"/>
        </w:rPr>
        <w:t>tym oświadczeń przedsiębiorcy lub osoby zarządzającej występującej z wnioskiem o odstąpienie lub obniżenie kary pieniężnej</w:t>
      </w:r>
      <w:r w:rsidR="00B31C4D">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organowi ochrony konkurencji państwa członkowskiego Unii Europejskiej na podstawie art. 12 rozporządzenia 1/2003 jest możliwe wyłącznie w dwóch przypadkach: </w:t>
      </w:r>
    </w:p>
    <w:p w14:paraId="0FBE381F" w14:textId="593E8340" w:rsidR="00E524D6" w:rsidRPr="00D84154" w:rsidRDefault="00922CE6" w:rsidP="00D84154">
      <w:pPr>
        <w:pStyle w:val="Akapitzlist"/>
        <w:numPr>
          <w:ilvl w:val="0"/>
          <w:numId w:val="34"/>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za zgodą wnioskodawcy</w:t>
      </w:r>
      <w:r w:rsidR="00E524D6" w:rsidRPr="00D84154">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lub</w:t>
      </w:r>
    </w:p>
    <w:p w14:paraId="58B277F0" w14:textId="66C72C5A" w:rsidR="00802F2B" w:rsidRPr="00D84154" w:rsidRDefault="00922CE6" w:rsidP="00D84154">
      <w:pPr>
        <w:pStyle w:val="Akapitzlist"/>
        <w:numPr>
          <w:ilvl w:val="0"/>
          <w:numId w:val="34"/>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gdy organ ochrony konkurencji państwa członkowskiego Unii Europejskiej otrzymujący oświadczenie w ramach programu łagodzenia kar otrzymał także wniosek o odstąpienie od wymierzenia kary pieniężnej lub jej obniżenie w związku z tym samym naruszeniem i od tego samego wnioskodawcy, co </w:t>
      </w:r>
      <w:r w:rsidR="003705F2" w:rsidRPr="00D84154">
        <w:rPr>
          <w:rFonts w:ascii="Times New Roman" w:hAnsi="Times New Roman" w:cs="Times New Roman"/>
          <w:color w:val="000000" w:themeColor="text1"/>
          <w:sz w:val="24"/>
          <w:szCs w:val="24"/>
        </w:rPr>
        <w:t>organ ochrony konkurencji</w:t>
      </w:r>
      <w:r w:rsidRPr="00D84154">
        <w:rPr>
          <w:rFonts w:ascii="Times New Roman" w:hAnsi="Times New Roman" w:cs="Times New Roman"/>
          <w:color w:val="000000" w:themeColor="text1"/>
          <w:sz w:val="24"/>
          <w:szCs w:val="24"/>
        </w:rPr>
        <w:t xml:space="preserve"> przekazujący oświadczenie w ramach programu łag</w:t>
      </w:r>
      <w:r w:rsidR="00BC0E7C">
        <w:rPr>
          <w:rFonts w:ascii="Times New Roman" w:hAnsi="Times New Roman" w:cs="Times New Roman"/>
          <w:color w:val="000000" w:themeColor="text1"/>
          <w:sz w:val="24"/>
          <w:szCs w:val="24"/>
        </w:rPr>
        <w:t>odzenia kar, pod warunkiem że w </w:t>
      </w:r>
      <w:r w:rsidRPr="00D84154">
        <w:rPr>
          <w:rFonts w:ascii="Times New Roman" w:hAnsi="Times New Roman" w:cs="Times New Roman"/>
          <w:color w:val="000000" w:themeColor="text1"/>
          <w:sz w:val="24"/>
          <w:szCs w:val="24"/>
        </w:rPr>
        <w:t>chwili przekazywania oświadczenia wnioskodawca nie ma możliwości wycofania informacji przekazanej krajowemu organowi ochrony konkurencji otrzymującemu oświadczenie w ramach programu łagodzenia kar.</w:t>
      </w:r>
    </w:p>
    <w:p w14:paraId="4351DE76" w14:textId="285D8620" w:rsidR="00802F2B" w:rsidRPr="00D84154" w:rsidRDefault="00802F2B"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Ze zmianami w art. 70 </w:t>
      </w:r>
      <w:r w:rsidR="000B17A7" w:rsidRPr="00D84154">
        <w:rPr>
          <w:rFonts w:ascii="Times New Roman" w:hAnsi="Times New Roman" w:cs="Times New Roman"/>
          <w:color w:val="000000" w:themeColor="text1"/>
          <w:sz w:val="24"/>
          <w:szCs w:val="24"/>
        </w:rPr>
        <w:t xml:space="preserve">ustawy </w:t>
      </w:r>
      <w:r w:rsidRPr="00D84154">
        <w:rPr>
          <w:rFonts w:ascii="Times New Roman" w:hAnsi="Times New Roman" w:cs="Times New Roman"/>
          <w:color w:val="000000" w:themeColor="text1"/>
          <w:sz w:val="24"/>
          <w:szCs w:val="24"/>
        </w:rPr>
        <w:t xml:space="preserve">wiąże się konieczność wprowadzenia do art. 4 ustawy definicji pojęć: „kartel”, </w:t>
      </w:r>
      <w:r w:rsidR="00A42966" w:rsidRPr="00D84154">
        <w:rPr>
          <w:rFonts w:ascii="Times New Roman" w:hAnsi="Times New Roman" w:cs="Times New Roman"/>
          <w:color w:val="000000" w:themeColor="text1"/>
          <w:sz w:val="24"/>
          <w:szCs w:val="24"/>
        </w:rPr>
        <w:t xml:space="preserve">„tajny kartel”, </w:t>
      </w:r>
      <w:r w:rsidRPr="00D84154">
        <w:rPr>
          <w:rFonts w:ascii="Times New Roman" w:hAnsi="Times New Roman" w:cs="Times New Roman"/>
          <w:color w:val="000000" w:themeColor="text1"/>
          <w:sz w:val="24"/>
          <w:szCs w:val="24"/>
        </w:rPr>
        <w:t xml:space="preserve">„program łagodzenia kar”, </w:t>
      </w:r>
      <w:r w:rsidR="00DD19C0" w:rsidRPr="00D84154">
        <w:rPr>
          <w:rFonts w:ascii="Times New Roman" w:hAnsi="Times New Roman" w:cs="Times New Roman"/>
          <w:color w:val="000000" w:themeColor="text1"/>
          <w:sz w:val="24"/>
          <w:szCs w:val="24"/>
        </w:rPr>
        <w:t xml:space="preserve">„propozycja ugodowa”, </w:t>
      </w:r>
      <w:r w:rsidRPr="00D84154">
        <w:rPr>
          <w:rFonts w:ascii="Times New Roman" w:hAnsi="Times New Roman" w:cs="Times New Roman"/>
          <w:color w:val="000000" w:themeColor="text1"/>
          <w:sz w:val="24"/>
          <w:szCs w:val="24"/>
        </w:rPr>
        <w:t>„oświadczeni</w:t>
      </w:r>
      <w:r w:rsidR="000B17A7" w:rsidRPr="00D84154">
        <w:rPr>
          <w:rFonts w:ascii="Times New Roman" w:hAnsi="Times New Roman" w:cs="Times New Roman"/>
          <w:color w:val="000000" w:themeColor="text1"/>
          <w:sz w:val="24"/>
          <w:szCs w:val="24"/>
        </w:rPr>
        <w:t>e</w:t>
      </w:r>
      <w:r w:rsidRPr="00D84154">
        <w:rPr>
          <w:rFonts w:ascii="Times New Roman" w:hAnsi="Times New Roman" w:cs="Times New Roman"/>
          <w:color w:val="000000" w:themeColor="text1"/>
          <w:sz w:val="24"/>
          <w:szCs w:val="24"/>
        </w:rPr>
        <w:t xml:space="preserve"> w ramach programu łagodzenia kar”. Proponowane definicje zasadniczo pokrywają się z ich brzmieniem w art. 2 </w:t>
      </w:r>
      <w:r w:rsidR="000B17A7"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 xml:space="preserve">yrektywy oraz ze stosownymi pojęciami występującymi w ustawie </w:t>
      </w:r>
      <w:r w:rsidR="007E638B" w:rsidRPr="00D84154">
        <w:rPr>
          <w:rFonts w:ascii="Times New Roman" w:hAnsi="Times New Roman" w:cs="Times New Roman"/>
          <w:color w:val="000000" w:themeColor="text1"/>
          <w:sz w:val="24"/>
          <w:szCs w:val="24"/>
        </w:rPr>
        <w:t xml:space="preserve">z dnia 21 kwietnia 2017 r. </w:t>
      </w:r>
      <w:r w:rsidRPr="00D84154">
        <w:rPr>
          <w:rFonts w:ascii="Times New Roman" w:hAnsi="Times New Roman" w:cs="Times New Roman"/>
          <w:color w:val="000000" w:themeColor="text1"/>
          <w:sz w:val="24"/>
          <w:szCs w:val="24"/>
        </w:rPr>
        <w:t>o roszczeniach o naprawienie szkody wyrządzonej przez naruszenie prawa konkurencji</w:t>
      </w:r>
      <w:r w:rsidR="007E638B" w:rsidRPr="00D84154">
        <w:rPr>
          <w:rFonts w:ascii="Times New Roman" w:hAnsi="Times New Roman" w:cs="Times New Roman"/>
          <w:color w:val="000000" w:themeColor="text1"/>
          <w:sz w:val="24"/>
          <w:szCs w:val="24"/>
        </w:rPr>
        <w:t xml:space="preserve"> (Dz. U. poz. 1132)</w:t>
      </w:r>
      <w:r w:rsidRPr="00D84154">
        <w:rPr>
          <w:rFonts w:ascii="Times New Roman" w:hAnsi="Times New Roman" w:cs="Times New Roman"/>
          <w:color w:val="000000" w:themeColor="text1"/>
          <w:sz w:val="24"/>
          <w:szCs w:val="24"/>
        </w:rPr>
        <w:t>, wdrażającej dyrektywę Parlamentu Europejskiego i Rady 2014/104/UE z dnia 26 listopada 2014 r. w sprawie niektórych przepisów regulujących dochodzenie roszczeń odszkodowawczych z tytułu naruszenia prawa konkurencji państw członkowskich i Unii Europejskiej, objęte przepisami prawa krajowego</w:t>
      </w:r>
      <w:r w:rsidR="007E638B" w:rsidRPr="00D84154">
        <w:rPr>
          <w:rFonts w:ascii="Times New Roman" w:hAnsi="Times New Roman" w:cs="Times New Roman"/>
          <w:color w:val="000000" w:themeColor="text1"/>
          <w:sz w:val="24"/>
          <w:szCs w:val="24"/>
        </w:rPr>
        <w:t xml:space="preserve"> (Dz. Urz. UE L 349 z 05.12.2014, str. 1)</w:t>
      </w:r>
      <w:r w:rsidRPr="00D84154">
        <w:rPr>
          <w:rFonts w:ascii="Times New Roman" w:hAnsi="Times New Roman" w:cs="Times New Roman"/>
          <w:color w:val="000000" w:themeColor="text1"/>
          <w:sz w:val="24"/>
          <w:szCs w:val="24"/>
        </w:rPr>
        <w:t>.</w:t>
      </w:r>
      <w:r w:rsidR="00F65A77">
        <w:rPr>
          <w:rFonts w:ascii="Times New Roman" w:hAnsi="Times New Roman" w:cs="Times New Roman"/>
          <w:color w:val="000000" w:themeColor="text1"/>
          <w:sz w:val="24"/>
          <w:szCs w:val="24"/>
        </w:rPr>
        <w:t xml:space="preserve"> </w:t>
      </w:r>
      <w:r w:rsidR="00AF203A" w:rsidRPr="00D84154">
        <w:rPr>
          <w:rFonts w:ascii="Times New Roman" w:hAnsi="Times New Roman" w:cs="Times New Roman"/>
          <w:color w:val="000000" w:themeColor="text1"/>
          <w:sz w:val="24"/>
          <w:szCs w:val="24"/>
        </w:rPr>
        <w:t>W projekcie przyjęto model jednolitej ochrony wnioskodawców składających wniosek leniency do Prezesa UOKiK, niezależnie od tego</w:t>
      </w:r>
      <w:r w:rsidR="005428EE">
        <w:rPr>
          <w:rFonts w:ascii="Times New Roman" w:hAnsi="Times New Roman" w:cs="Times New Roman"/>
          <w:color w:val="000000" w:themeColor="text1"/>
          <w:sz w:val="24"/>
          <w:szCs w:val="24"/>
        </w:rPr>
        <w:t>,</w:t>
      </w:r>
      <w:r w:rsidR="00AF203A" w:rsidRPr="00D84154">
        <w:rPr>
          <w:rFonts w:ascii="Times New Roman" w:hAnsi="Times New Roman" w:cs="Times New Roman"/>
          <w:color w:val="000000" w:themeColor="text1"/>
          <w:sz w:val="24"/>
          <w:szCs w:val="24"/>
        </w:rPr>
        <w:t xml:space="preserve"> czy składany wniosek dotyczy kartelu czy innego niedozwolonego </w:t>
      </w:r>
      <w:r w:rsidR="00AF203A" w:rsidRPr="00D84154">
        <w:rPr>
          <w:rFonts w:ascii="Times New Roman" w:hAnsi="Times New Roman" w:cs="Times New Roman"/>
          <w:color w:val="000000" w:themeColor="text1"/>
          <w:sz w:val="24"/>
          <w:szCs w:val="24"/>
        </w:rPr>
        <w:lastRenderedPageBreak/>
        <w:t xml:space="preserve">porozumienia. Ochrona ta ma więc charakter szerszy niż to, co wynikałoby z </w:t>
      </w:r>
      <w:r w:rsidR="003711C8" w:rsidRPr="00D84154">
        <w:rPr>
          <w:rFonts w:ascii="Times New Roman" w:hAnsi="Times New Roman" w:cs="Times New Roman"/>
          <w:color w:val="000000" w:themeColor="text1"/>
          <w:sz w:val="24"/>
          <w:szCs w:val="24"/>
        </w:rPr>
        <w:t>d</w:t>
      </w:r>
      <w:r w:rsidR="00AF203A" w:rsidRPr="00D84154">
        <w:rPr>
          <w:rFonts w:ascii="Times New Roman" w:hAnsi="Times New Roman" w:cs="Times New Roman"/>
          <w:color w:val="000000" w:themeColor="text1"/>
          <w:sz w:val="24"/>
          <w:szCs w:val="24"/>
        </w:rPr>
        <w:t>yrektywy. Ze względu na to, że polski program leniency dotyczy nie tylko karteli, lecz także innych porozumień ograniczających konkurencję, pełne uspójni</w:t>
      </w:r>
      <w:r w:rsidR="00BC0E7C">
        <w:rPr>
          <w:rFonts w:ascii="Times New Roman" w:hAnsi="Times New Roman" w:cs="Times New Roman"/>
          <w:color w:val="000000" w:themeColor="text1"/>
          <w:sz w:val="24"/>
          <w:szCs w:val="24"/>
        </w:rPr>
        <w:t>enie siatki pojęć stosowanych w </w:t>
      </w:r>
      <w:r w:rsidR="00AF203A" w:rsidRPr="00D84154">
        <w:rPr>
          <w:rFonts w:ascii="Times New Roman" w:hAnsi="Times New Roman" w:cs="Times New Roman"/>
          <w:color w:val="000000" w:themeColor="text1"/>
          <w:sz w:val="24"/>
          <w:szCs w:val="24"/>
        </w:rPr>
        <w:t>dyrektywie ECN+ oraz pojęć z obecnej ustawy nie jest możliwe. W projekcie przyjęto zatem</w:t>
      </w:r>
      <w:r w:rsidR="00F65A77">
        <w:rPr>
          <w:rFonts w:ascii="Times New Roman" w:hAnsi="Times New Roman" w:cs="Times New Roman"/>
          <w:color w:val="000000" w:themeColor="text1"/>
          <w:sz w:val="24"/>
          <w:szCs w:val="24"/>
        </w:rPr>
        <w:t xml:space="preserve"> </w:t>
      </w:r>
      <w:r w:rsidR="00AF203A" w:rsidRPr="00D84154">
        <w:rPr>
          <w:rFonts w:ascii="Times New Roman" w:hAnsi="Times New Roman" w:cs="Times New Roman"/>
          <w:color w:val="000000" w:themeColor="text1"/>
          <w:sz w:val="24"/>
          <w:szCs w:val="24"/>
        </w:rPr>
        <w:t>konsekwentnie stosowanie pojęć z dyrektywy ECN+ (kartel, tajny kartel, program łagodzenia kar, oświadczenie w ramach programu łagodzenia kar) w przepisach, które odnoszą się do programów leniency stosowanych w innych państwach UE, z kolei dla polskiego programu leniency zastosowanie mają przede wszystkim pojęcia wykorzystywane w obecnie funkcjonujących przepisach ustawy.</w:t>
      </w:r>
    </w:p>
    <w:p w14:paraId="35E4360F" w14:textId="17E58AFE" w:rsidR="006B4DEB" w:rsidRPr="00D84154" w:rsidRDefault="006B4DEB"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W projektowanym art. 70 ust. 5 </w:t>
      </w:r>
      <w:r w:rsidR="007E638B" w:rsidRPr="00D84154">
        <w:rPr>
          <w:rFonts w:ascii="Times New Roman" w:hAnsi="Times New Roman" w:cs="Times New Roman"/>
          <w:color w:val="000000" w:themeColor="text1"/>
          <w:sz w:val="24"/>
          <w:szCs w:val="24"/>
        </w:rPr>
        <w:t xml:space="preserve">ustawy </w:t>
      </w:r>
      <w:r w:rsidRPr="00D84154">
        <w:rPr>
          <w:rFonts w:ascii="Times New Roman" w:hAnsi="Times New Roman" w:cs="Times New Roman"/>
          <w:color w:val="000000" w:themeColor="text1"/>
          <w:sz w:val="24"/>
          <w:szCs w:val="24"/>
        </w:rPr>
        <w:t>zaproponowano, aby oświa</w:t>
      </w:r>
      <w:r w:rsidR="005428EE">
        <w:rPr>
          <w:rFonts w:ascii="Times New Roman" w:hAnsi="Times New Roman" w:cs="Times New Roman"/>
          <w:color w:val="000000" w:themeColor="text1"/>
          <w:sz w:val="24"/>
          <w:szCs w:val="24"/>
        </w:rPr>
        <w:t xml:space="preserve">dczenia, informacje i dowody, o </w:t>
      </w:r>
      <w:r w:rsidRPr="00D84154">
        <w:rPr>
          <w:rFonts w:ascii="Times New Roman" w:hAnsi="Times New Roman" w:cs="Times New Roman"/>
          <w:color w:val="000000" w:themeColor="text1"/>
          <w:sz w:val="24"/>
          <w:szCs w:val="24"/>
        </w:rPr>
        <w:t>których mowa</w:t>
      </w:r>
      <w:r w:rsidR="005428EE">
        <w:rPr>
          <w:rFonts w:ascii="Times New Roman" w:hAnsi="Times New Roman" w:cs="Times New Roman"/>
          <w:color w:val="000000" w:themeColor="text1"/>
          <w:sz w:val="24"/>
          <w:szCs w:val="24"/>
        </w:rPr>
        <w:t xml:space="preserve"> w </w:t>
      </w:r>
      <w:r w:rsidRPr="00D84154">
        <w:rPr>
          <w:rFonts w:ascii="Times New Roman" w:hAnsi="Times New Roman" w:cs="Times New Roman"/>
          <w:color w:val="000000" w:themeColor="text1"/>
          <w:sz w:val="24"/>
          <w:szCs w:val="24"/>
        </w:rPr>
        <w:t>art. 70</w:t>
      </w:r>
      <w:r w:rsidR="00F65A77">
        <w:rPr>
          <w:rFonts w:ascii="Times New Roman" w:hAnsi="Times New Roman" w:cs="Times New Roman"/>
          <w:color w:val="000000" w:themeColor="text1"/>
          <w:sz w:val="24"/>
          <w:szCs w:val="24"/>
        </w:rPr>
        <w:t xml:space="preserve"> </w:t>
      </w:r>
      <w:r w:rsidR="005428EE">
        <w:rPr>
          <w:rFonts w:ascii="Times New Roman" w:hAnsi="Times New Roman" w:cs="Times New Roman"/>
          <w:color w:val="000000" w:themeColor="text1"/>
          <w:sz w:val="24"/>
          <w:szCs w:val="24"/>
        </w:rPr>
        <w:t xml:space="preserve">1 </w:t>
      </w:r>
      <w:r w:rsidRPr="00D84154">
        <w:rPr>
          <w:rFonts w:ascii="Times New Roman" w:hAnsi="Times New Roman" w:cs="Times New Roman"/>
          <w:color w:val="000000" w:themeColor="text1"/>
          <w:sz w:val="24"/>
          <w:szCs w:val="24"/>
        </w:rPr>
        <w:t>i 2</w:t>
      </w:r>
      <w:r w:rsidR="005428EE">
        <w:rPr>
          <w:rFonts w:ascii="Times New Roman" w:hAnsi="Times New Roman" w:cs="Times New Roman"/>
          <w:color w:val="000000" w:themeColor="text1"/>
          <w:sz w:val="24"/>
          <w:szCs w:val="24"/>
        </w:rPr>
        <w:t xml:space="preserve">, nie podlegały udostępnieniu w trybie przepisów ustawy z dnia 6 września 2001 r. o </w:t>
      </w:r>
      <w:r w:rsidRPr="00D84154">
        <w:rPr>
          <w:rFonts w:ascii="Times New Roman" w:hAnsi="Times New Roman" w:cs="Times New Roman"/>
          <w:color w:val="000000" w:themeColor="text1"/>
          <w:sz w:val="24"/>
          <w:szCs w:val="24"/>
        </w:rPr>
        <w:t>dostępie do informacji publicznej</w:t>
      </w:r>
      <w:r w:rsidR="00B04941" w:rsidRPr="00D84154">
        <w:rPr>
          <w:rFonts w:ascii="Times New Roman" w:hAnsi="Times New Roman" w:cs="Times New Roman"/>
          <w:color w:val="000000" w:themeColor="text1"/>
          <w:sz w:val="24"/>
          <w:szCs w:val="24"/>
        </w:rPr>
        <w:t xml:space="preserve"> (Dz. U. z </w:t>
      </w:r>
      <w:r w:rsidR="00BC0E7C">
        <w:rPr>
          <w:rFonts w:ascii="Times New Roman" w:hAnsi="Times New Roman" w:cs="Times New Roman"/>
          <w:color w:val="000000" w:themeColor="text1"/>
          <w:sz w:val="24"/>
          <w:szCs w:val="24"/>
        </w:rPr>
        <w:t>2022 r. poz. </w:t>
      </w:r>
      <w:r w:rsidR="0074777B" w:rsidRPr="00D84154">
        <w:rPr>
          <w:rFonts w:ascii="Times New Roman" w:hAnsi="Times New Roman" w:cs="Times New Roman"/>
          <w:color w:val="000000" w:themeColor="text1"/>
          <w:sz w:val="24"/>
          <w:szCs w:val="24"/>
        </w:rPr>
        <w:t>902</w:t>
      </w:r>
      <w:r w:rsidR="00B04941" w:rsidRPr="00D84154">
        <w:rPr>
          <w:rFonts w:ascii="Times New Roman" w:hAnsi="Times New Roman" w:cs="Times New Roman"/>
          <w:color w:val="000000" w:themeColor="text1"/>
          <w:sz w:val="24"/>
          <w:szCs w:val="24"/>
        </w:rPr>
        <w:t>)</w:t>
      </w:r>
      <w:r w:rsidR="007070CA" w:rsidRPr="00D84154">
        <w:rPr>
          <w:rFonts w:ascii="Times New Roman" w:hAnsi="Times New Roman" w:cs="Times New Roman"/>
          <w:color w:val="000000" w:themeColor="text1"/>
          <w:sz w:val="24"/>
          <w:szCs w:val="24"/>
        </w:rPr>
        <w:t>.</w:t>
      </w:r>
    </w:p>
    <w:p w14:paraId="1671BD42" w14:textId="2D09E1E0" w:rsidR="00F85D06" w:rsidRPr="00D84154" w:rsidRDefault="008954A2"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Ponadto, w związku ze zmianami zaproponowanymi w art. 70</w:t>
      </w:r>
      <w:r w:rsidR="007E638B" w:rsidRPr="00D84154">
        <w:rPr>
          <w:rFonts w:ascii="Times New Roman" w:hAnsi="Times New Roman" w:cs="Times New Roman"/>
          <w:color w:val="000000" w:themeColor="text1"/>
          <w:sz w:val="24"/>
          <w:szCs w:val="24"/>
        </w:rPr>
        <w:t xml:space="preserve"> ustawy</w:t>
      </w:r>
      <w:r w:rsidRPr="00D84154">
        <w:rPr>
          <w:rFonts w:ascii="Times New Roman" w:hAnsi="Times New Roman" w:cs="Times New Roman"/>
          <w:color w:val="000000" w:themeColor="text1"/>
          <w:sz w:val="24"/>
          <w:szCs w:val="24"/>
        </w:rPr>
        <w:t>, dokonano wynikowej zmiany przepisu sankcyjnego</w:t>
      </w:r>
      <w:r w:rsidR="00161FE3">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tj. art. 108 ust. 5</w:t>
      </w:r>
      <w:r w:rsidR="007E638B" w:rsidRPr="00D84154">
        <w:rPr>
          <w:rFonts w:ascii="Times New Roman" w:hAnsi="Times New Roman" w:cs="Times New Roman"/>
          <w:color w:val="000000" w:themeColor="text1"/>
          <w:sz w:val="24"/>
          <w:szCs w:val="24"/>
        </w:rPr>
        <w:t xml:space="preserve"> ustawy</w:t>
      </w:r>
      <w:r w:rsidRPr="00D84154">
        <w:rPr>
          <w:rFonts w:ascii="Times New Roman" w:hAnsi="Times New Roman" w:cs="Times New Roman"/>
          <w:color w:val="000000" w:themeColor="text1"/>
          <w:sz w:val="24"/>
          <w:szCs w:val="24"/>
        </w:rPr>
        <w:t xml:space="preserve">, zgodnie z którym Prezes Urzędu będzie uprawniony w drodze decyzji do nałożenia kary pieniężnej w wysokości do </w:t>
      </w:r>
      <w:r w:rsidR="00A94F95" w:rsidRPr="00D84154">
        <w:rPr>
          <w:rFonts w:ascii="Times New Roman" w:hAnsi="Times New Roman" w:cs="Times New Roman"/>
          <w:color w:val="000000" w:themeColor="text1"/>
          <w:sz w:val="24"/>
          <w:szCs w:val="24"/>
        </w:rPr>
        <w:t>pięćdziesięciokrotności przeciętnego wynagrodzenia</w:t>
      </w:r>
      <w:r w:rsidR="00A94F95" w:rsidRPr="00D84154" w:rsidDel="00A94F95">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na każdego</w:t>
      </w:r>
      <w:r w:rsidR="007E638B" w:rsidRPr="00D84154">
        <w:rPr>
          <w:rFonts w:ascii="Times New Roman" w:hAnsi="Times New Roman" w:cs="Times New Roman"/>
          <w:color w:val="000000" w:themeColor="text1"/>
          <w:sz w:val="24"/>
          <w:szCs w:val="24"/>
        </w:rPr>
        <w:t>,</w:t>
      </w:r>
      <w:r w:rsidR="00BC0E7C">
        <w:rPr>
          <w:rFonts w:ascii="Times New Roman" w:hAnsi="Times New Roman" w:cs="Times New Roman"/>
          <w:color w:val="000000" w:themeColor="text1"/>
          <w:sz w:val="24"/>
          <w:szCs w:val="24"/>
        </w:rPr>
        <w:t xml:space="preserve"> kto wykorzysta informacje z </w:t>
      </w:r>
      <w:r w:rsidRPr="00D84154">
        <w:rPr>
          <w:rFonts w:ascii="Times New Roman" w:hAnsi="Times New Roman" w:cs="Times New Roman"/>
          <w:color w:val="000000" w:themeColor="text1"/>
          <w:sz w:val="24"/>
          <w:szCs w:val="24"/>
        </w:rPr>
        <w:t>oświadczeń w ramach programu łagodzenia kar, oświadczeń przedsiębiorcy lub osoby zarządzającej występującej z wnioskiem o odstąpienie lub obniżenie kary pieniężnej, propozycji ugodowych lub oświadczenia strony, o którym mowa w</w:t>
      </w:r>
      <w:r w:rsidR="001D0AFF" w:rsidRPr="00D84154">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art. 89a ust. 8</w:t>
      </w:r>
      <w:r w:rsidR="007E638B" w:rsidRPr="00D84154">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w innym celu niż określony w art. 70 ust. 2</w:t>
      </w:r>
      <w:r w:rsidR="009105CE" w:rsidRPr="00D84154">
        <w:rPr>
          <w:rFonts w:ascii="Times New Roman" w:hAnsi="Times New Roman" w:cs="Times New Roman"/>
          <w:color w:val="000000" w:themeColor="text1"/>
          <w:sz w:val="24"/>
          <w:szCs w:val="24"/>
        </w:rPr>
        <w:t xml:space="preserve"> ustawy</w:t>
      </w:r>
      <w:r w:rsidRPr="00D84154">
        <w:rPr>
          <w:rFonts w:ascii="Times New Roman" w:hAnsi="Times New Roman" w:cs="Times New Roman"/>
          <w:color w:val="000000" w:themeColor="text1"/>
          <w:sz w:val="24"/>
          <w:szCs w:val="24"/>
        </w:rPr>
        <w:t>.</w:t>
      </w:r>
      <w:r w:rsidR="006B4DEB" w:rsidRPr="00D84154">
        <w:rPr>
          <w:rFonts w:ascii="Times New Roman" w:hAnsi="Times New Roman" w:cs="Times New Roman"/>
          <w:color w:val="000000" w:themeColor="text1"/>
          <w:sz w:val="24"/>
          <w:szCs w:val="24"/>
        </w:rPr>
        <w:t xml:space="preserve"> Podwyższenie maksymalnej wysokości kary określonej w art. 108 ust. 5 </w:t>
      </w:r>
      <w:r w:rsidR="007E638B" w:rsidRPr="00D84154">
        <w:rPr>
          <w:rFonts w:ascii="Times New Roman" w:hAnsi="Times New Roman" w:cs="Times New Roman"/>
          <w:color w:val="000000" w:themeColor="text1"/>
          <w:sz w:val="24"/>
          <w:szCs w:val="24"/>
        </w:rPr>
        <w:t xml:space="preserve">ustawy </w:t>
      </w:r>
      <w:r w:rsidR="006B4DEB" w:rsidRPr="00D84154">
        <w:rPr>
          <w:rFonts w:ascii="Times New Roman" w:hAnsi="Times New Roman" w:cs="Times New Roman"/>
          <w:bCs/>
          <w:color w:val="000000" w:themeColor="text1"/>
          <w:sz w:val="24"/>
          <w:szCs w:val="24"/>
        </w:rPr>
        <w:t>m</w:t>
      </w:r>
      <w:r w:rsidR="00CF696E" w:rsidRPr="00D84154">
        <w:rPr>
          <w:rFonts w:ascii="Times New Roman" w:hAnsi="Times New Roman" w:cs="Times New Roman"/>
          <w:bCs/>
          <w:color w:val="000000" w:themeColor="text1"/>
          <w:sz w:val="24"/>
          <w:szCs w:val="24"/>
        </w:rPr>
        <w:t>a cel prewencyjny. Obecny</w:t>
      </w:r>
      <w:r w:rsidR="006B4DEB" w:rsidRPr="00D84154">
        <w:rPr>
          <w:rFonts w:ascii="Times New Roman" w:hAnsi="Times New Roman" w:cs="Times New Roman"/>
          <w:bCs/>
          <w:color w:val="000000" w:themeColor="text1"/>
          <w:sz w:val="24"/>
          <w:szCs w:val="24"/>
        </w:rPr>
        <w:t xml:space="preserve"> maksymalny pułap kary</w:t>
      </w:r>
      <w:r w:rsidR="00CF696E" w:rsidRPr="00D84154">
        <w:rPr>
          <w:rFonts w:ascii="Times New Roman" w:hAnsi="Times New Roman" w:cs="Times New Roman"/>
          <w:bCs/>
          <w:color w:val="000000" w:themeColor="text1"/>
          <w:sz w:val="24"/>
          <w:szCs w:val="24"/>
        </w:rPr>
        <w:t xml:space="preserve"> jest ustalony na stosunkowo niskim poziomie i nie gwarantuje</w:t>
      </w:r>
      <w:r w:rsidR="006B4DEB" w:rsidRPr="00D84154">
        <w:rPr>
          <w:rFonts w:ascii="Times New Roman" w:hAnsi="Times New Roman" w:cs="Times New Roman"/>
          <w:bCs/>
          <w:color w:val="000000" w:themeColor="text1"/>
          <w:sz w:val="24"/>
          <w:szCs w:val="24"/>
        </w:rPr>
        <w:t xml:space="preserve"> skuteczności przepisu, który zabezpiecza interesy przedsiębiorców przede wszystkim na wypadek dochodzenia roszczeń</w:t>
      </w:r>
      <w:r w:rsidR="00F65A77">
        <w:rPr>
          <w:rFonts w:ascii="Times New Roman" w:hAnsi="Times New Roman" w:cs="Times New Roman"/>
          <w:bCs/>
          <w:color w:val="000000" w:themeColor="text1"/>
          <w:sz w:val="24"/>
          <w:szCs w:val="24"/>
        </w:rPr>
        <w:t xml:space="preserve"> </w:t>
      </w:r>
      <w:r w:rsidR="00BC0E7C">
        <w:rPr>
          <w:rFonts w:ascii="Times New Roman" w:hAnsi="Times New Roman" w:cs="Times New Roman"/>
          <w:bCs/>
          <w:color w:val="000000" w:themeColor="text1"/>
          <w:sz w:val="24"/>
          <w:szCs w:val="24"/>
        </w:rPr>
        <w:t>o </w:t>
      </w:r>
      <w:r w:rsidR="006B4DEB" w:rsidRPr="00D84154">
        <w:rPr>
          <w:rFonts w:ascii="Times New Roman" w:hAnsi="Times New Roman" w:cs="Times New Roman"/>
          <w:bCs/>
          <w:color w:val="000000" w:themeColor="text1"/>
          <w:sz w:val="24"/>
          <w:szCs w:val="24"/>
        </w:rPr>
        <w:t>naprawienie szkody wyrządzonej przez naruszenie prawa konkurencji.</w:t>
      </w:r>
    </w:p>
    <w:p w14:paraId="24764FD1" w14:textId="4F907817" w:rsidR="00E524D6" w:rsidRPr="00D84154" w:rsidRDefault="00F85D06"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Mając na względzie treść</w:t>
      </w:r>
      <w:r w:rsidR="00F65A77">
        <w:rPr>
          <w:rFonts w:ascii="Times New Roman" w:hAnsi="Times New Roman" w:cs="Times New Roman"/>
          <w:color w:val="000000" w:themeColor="text1"/>
          <w:sz w:val="24"/>
          <w:szCs w:val="24"/>
        </w:rPr>
        <w:t xml:space="preserve"> </w:t>
      </w:r>
      <w:r w:rsidR="00922CE6" w:rsidRPr="00D84154">
        <w:rPr>
          <w:rFonts w:ascii="Times New Roman" w:hAnsi="Times New Roman" w:cs="Times New Roman"/>
          <w:color w:val="000000" w:themeColor="text1"/>
          <w:sz w:val="24"/>
          <w:szCs w:val="24"/>
        </w:rPr>
        <w:t xml:space="preserve">art. 31 ust. 2 </w:t>
      </w:r>
      <w:r w:rsidR="007E638B" w:rsidRPr="00D84154">
        <w:rPr>
          <w:rFonts w:ascii="Times New Roman" w:hAnsi="Times New Roman" w:cs="Times New Roman"/>
          <w:color w:val="000000" w:themeColor="text1"/>
          <w:sz w:val="24"/>
          <w:szCs w:val="24"/>
        </w:rPr>
        <w:t>d</w:t>
      </w:r>
      <w:r w:rsidR="00922CE6" w:rsidRPr="00D84154">
        <w:rPr>
          <w:rFonts w:ascii="Times New Roman" w:hAnsi="Times New Roman" w:cs="Times New Roman"/>
          <w:color w:val="000000" w:themeColor="text1"/>
          <w:sz w:val="24"/>
          <w:szCs w:val="24"/>
        </w:rPr>
        <w:t>yrektywy</w:t>
      </w:r>
      <w:r w:rsidR="00783AB5" w:rsidRPr="00D84154">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jej motyw 14</w:t>
      </w:r>
      <w:r w:rsidR="00922CE6" w:rsidRPr="00D84154">
        <w:rPr>
          <w:rFonts w:ascii="Times New Roman" w:hAnsi="Times New Roman" w:cs="Times New Roman"/>
          <w:color w:val="000000" w:themeColor="text1"/>
          <w:sz w:val="24"/>
          <w:szCs w:val="24"/>
        </w:rPr>
        <w:t xml:space="preserve"> oraz orzecznictw</w:t>
      </w:r>
      <w:r w:rsidR="00161FE3">
        <w:rPr>
          <w:rFonts w:ascii="Times New Roman" w:hAnsi="Times New Roman" w:cs="Times New Roman"/>
          <w:color w:val="000000" w:themeColor="text1"/>
          <w:sz w:val="24"/>
          <w:szCs w:val="24"/>
        </w:rPr>
        <w:t>o</w:t>
      </w:r>
      <w:r w:rsidR="00922CE6" w:rsidRPr="00D84154">
        <w:rPr>
          <w:rFonts w:ascii="Times New Roman" w:hAnsi="Times New Roman" w:cs="Times New Roman"/>
          <w:color w:val="000000" w:themeColor="text1"/>
          <w:sz w:val="24"/>
          <w:szCs w:val="24"/>
        </w:rPr>
        <w:t xml:space="preserve"> TSUE m.in. w sprawie T-198/03 zaproponowano uregulowanie w ustawie tajemnicy służbowej obowiązującej </w:t>
      </w:r>
      <w:r w:rsidR="00F97CC5" w:rsidRPr="00D84154">
        <w:rPr>
          <w:rFonts w:ascii="Times New Roman" w:hAnsi="Times New Roman" w:cs="Times New Roman"/>
          <w:color w:val="000000" w:themeColor="text1"/>
          <w:sz w:val="24"/>
          <w:szCs w:val="24"/>
        </w:rPr>
        <w:t xml:space="preserve">Prezesa, wiceprezesów i </w:t>
      </w:r>
      <w:r w:rsidR="00922CE6" w:rsidRPr="00D84154">
        <w:rPr>
          <w:rFonts w:ascii="Times New Roman" w:hAnsi="Times New Roman" w:cs="Times New Roman"/>
          <w:color w:val="000000" w:themeColor="text1"/>
          <w:sz w:val="24"/>
          <w:szCs w:val="24"/>
        </w:rPr>
        <w:t xml:space="preserve">pracowników Urzędu. </w:t>
      </w:r>
      <w:r w:rsidR="00BC0E7C">
        <w:rPr>
          <w:rFonts w:ascii="Times New Roman" w:hAnsi="Times New Roman" w:cs="Times New Roman"/>
          <w:color w:val="000000" w:themeColor="text1"/>
          <w:sz w:val="24"/>
          <w:szCs w:val="24"/>
        </w:rPr>
        <w:t>W związku z powyższym w art. </w:t>
      </w:r>
      <w:r w:rsidR="009137D6" w:rsidRPr="00D84154">
        <w:rPr>
          <w:rFonts w:ascii="Times New Roman" w:hAnsi="Times New Roman" w:cs="Times New Roman"/>
          <w:color w:val="000000" w:themeColor="text1"/>
          <w:sz w:val="24"/>
          <w:szCs w:val="24"/>
        </w:rPr>
        <w:t xml:space="preserve">71 </w:t>
      </w:r>
      <w:r w:rsidR="00CF696E" w:rsidRPr="00D84154">
        <w:rPr>
          <w:rFonts w:ascii="Times New Roman" w:hAnsi="Times New Roman" w:cs="Times New Roman"/>
          <w:color w:val="000000" w:themeColor="text1"/>
          <w:sz w:val="24"/>
          <w:szCs w:val="24"/>
        </w:rPr>
        <w:t>zaproponowano zmianę</w:t>
      </w:r>
      <w:r w:rsidR="00161FE3">
        <w:rPr>
          <w:rFonts w:ascii="Times New Roman" w:hAnsi="Times New Roman" w:cs="Times New Roman"/>
          <w:color w:val="000000" w:themeColor="text1"/>
          <w:sz w:val="24"/>
          <w:szCs w:val="24"/>
        </w:rPr>
        <w:t>,</w:t>
      </w:r>
      <w:r w:rsidR="00CF696E" w:rsidRPr="00D84154">
        <w:rPr>
          <w:rFonts w:ascii="Times New Roman" w:hAnsi="Times New Roman" w:cs="Times New Roman"/>
          <w:color w:val="000000" w:themeColor="text1"/>
          <w:sz w:val="24"/>
          <w:szCs w:val="24"/>
        </w:rPr>
        <w:t xml:space="preserve"> </w:t>
      </w:r>
      <w:r w:rsidR="00783AB5" w:rsidRPr="00D84154">
        <w:rPr>
          <w:rFonts w:ascii="Times New Roman" w:hAnsi="Times New Roman" w:cs="Times New Roman"/>
          <w:color w:val="000000" w:themeColor="text1"/>
          <w:sz w:val="24"/>
          <w:szCs w:val="24"/>
        </w:rPr>
        <w:t>zgodnie z któr</w:t>
      </w:r>
      <w:r w:rsidR="00161FE3">
        <w:rPr>
          <w:rFonts w:ascii="Times New Roman" w:hAnsi="Times New Roman" w:cs="Times New Roman"/>
          <w:color w:val="000000" w:themeColor="text1"/>
          <w:sz w:val="24"/>
          <w:szCs w:val="24"/>
        </w:rPr>
        <w:t>ą</w:t>
      </w:r>
      <w:r w:rsidR="00DA0BFF" w:rsidRPr="00D84154">
        <w:rPr>
          <w:rFonts w:ascii="Times New Roman" w:hAnsi="Times New Roman" w:cs="Times New Roman"/>
          <w:color w:val="000000" w:themeColor="text1"/>
          <w:sz w:val="24"/>
          <w:szCs w:val="24"/>
        </w:rPr>
        <w:t xml:space="preserve"> </w:t>
      </w:r>
      <w:r w:rsidR="00F97CC5" w:rsidRPr="00D84154">
        <w:rPr>
          <w:rFonts w:ascii="Times New Roman" w:hAnsi="Times New Roman" w:cs="Times New Roman"/>
          <w:color w:val="000000" w:themeColor="text1"/>
          <w:sz w:val="24"/>
          <w:szCs w:val="24"/>
        </w:rPr>
        <w:t xml:space="preserve">Prezes, wiceprezesi oraz </w:t>
      </w:r>
      <w:r w:rsidR="00783AB5" w:rsidRPr="00D84154">
        <w:rPr>
          <w:rFonts w:ascii="Times New Roman" w:hAnsi="Times New Roman" w:cs="Times New Roman"/>
          <w:color w:val="000000" w:themeColor="text1"/>
          <w:sz w:val="24"/>
          <w:szCs w:val="24"/>
        </w:rPr>
        <w:t>pracownicy Urzędu mają być również obowiązani do o</w:t>
      </w:r>
      <w:r w:rsidR="00161FE3">
        <w:rPr>
          <w:rFonts w:ascii="Times New Roman" w:hAnsi="Times New Roman" w:cs="Times New Roman"/>
          <w:color w:val="000000" w:themeColor="text1"/>
          <w:sz w:val="24"/>
          <w:szCs w:val="24"/>
        </w:rPr>
        <w:t>chrony inf</w:t>
      </w:r>
      <w:r w:rsidR="00BC0E7C">
        <w:rPr>
          <w:rFonts w:ascii="Times New Roman" w:hAnsi="Times New Roman" w:cs="Times New Roman"/>
          <w:color w:val="000000" w:themeColor="text1"/>
          <w:sz w:val="24"/>
          <w:szCs w:val="24"/>
        </w:rPr>
        <w:t>ormacji pozyskanych w związku z </w:t>
      </w:r>
      <w:r w:rsidR="00783AB5" w:rsidRPr="00D84154">
        <w:rPr>
          <w:rFonts w:ascii="Times New Roman" w:hAnsi="Times New Roman" w:cs="Times New Roman"/>
          <w:color w:val="000000" w:themeColor="text1"/>
          <w:sz w:val="24"/>
          <w:szCs w:val="24"/>
        </w:rPr>
        <w:t>wykonywaniem czynności służbowych, obejmujących</w:t>
      </w:r>
      <w:r w:rsidR="00E524D6" w:rsidRPr="00D84154">
        <w:rPr>
          <w:rFonts w:ascii="Times New Roman" w:hAnsi="Times New Roman" w:cs="Times New Roman"/>
          <w:color w:val="000000" w:themeColor="text1"/>
          <w:sz w:val="24"/>
          <w:szCs w:val="24"/>
        </w:rPr>
        <w:t>:</w:t>
      </w:r>
    </w:p>
    <w:p w14:paraId="69E0B94C" w14:textId="5FF5ACF0" w:rsidR="00E524D6" w:rsidRPr="00D84154" w:rsidRDefault="00783AB5" w:rsidP="00D84154">
      <w:pPr>
        <w:pStyle w:val="Akapitzlist"/>
        <w:numPr>
          <w:ilvl w:val="0"/>
          <w:numId w:val="35"/>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informacje znane ograniczonej liczbie osób, których ujawnienie może wywołać negatywne skutki dla osoby, która je dos</w:t>
      </w:r>
      <w:r w:rsidR="00161FE3">
        <w:rPr>
          <w:rFonts w:ascii="Times New Roman" w:hAnsi="Times New Roman" w:cs="Times New Roman"/>
          <w:color w:val="000000" w:themeColor="text1"/>
          <w:sz w:val="24"/>
          <w:szCs w:val="24"/>
        </w:rPr>
        <w:t>tarczyła</w:t>
      </w:r>
      <w:r w:rsidR="00FC1F0C">
        <w:rPr>
          <w:rFonts w:ascii="Times New Roman" w:hAnsi="Times New Roman" w:cs="Times New Roman"/>
          <w:color w:val="000000" w:themeColor="text1"/>
          <w:sz w:val="24"/>
          <w:szCs w:val="24"/>
        </w:rPr>
        <w:t>,</w:t>
      </w:r>
      <w:r w:rsidR="00161FE3">
        <w:rPr>
          <w:rFonts w:ascii="Times New Roman" w:hAnsi="Times New Roman" w:cs="Times New Roman"/>
          <w:color w:val="000000" w:themeColor="text1"/>
          <w:sz w:val="24"/>
          <w:szCs w:val="24"/>
        </w:rPr>
        <w:t xml:space="preserve"> lub osobie trzeciej, w </w:t>
      </w:r>
      <w:r w:rsidRPr="00D84154">
        <w:rPr>
          <w:rFonts w:ascii="Times New Roman" w:hAnsi="Times New Roman" w:cs="Times New Roman"/>
          <w:color w:val="000000" w:themeColor="text1"/>
          <w:sz w:val="24"/>
          <w:szCs w:val="24"/>
        </w:rPr>
        <w:t xml:space="preserve">sytuacji gdy </w:t>
      </w:r>
      <w:r w:rsidRPr="00D84154">
        <w:rPr>
          <w:rFonts w:ascii="Times New Roman" w:hAnsi="Times New Roman" w:cs="Times New Roman"/>
          <w:color w:val="000000" w:themeColor="text1"/>
          <w:sz w:val="24"/>
          <w:szCs w:val="24"/>
        </w:rPr>
        <w:lastRenderedPageBreak/>
        <w:t>interes, który może być naruszony wskutek ujawnienia tych informacji zasługuje na ochronę</w:t>
      </w:r>
      <w:r w:rsidR="00E524D6" w:rsidRPr="00D84154">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oraz</w:t>
      </w:r>
    </w:p>
    <w:p w14:paraId="6D319789" w14:textId="7EB47FDC" w:rsidR="00E524D6" w:rsidRPr="00D84154" w:rsidRDefault="00783AB5" w:rsidP="00D84154">
      <w:pPr>
        <w:pStyle w:val="Akapitzlist"/>
        <w:numPr>
          <w:ilvl w:val="0"/>
          <w:numId w:val="35"/>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dokumenty sporządzone na użytek wewnętrzny Prezesa Urzędu, Komisji Europejskiej lub organu ochrony konkurencji państwa członkowskiego Unii Europejskiej oraz korespondencji między nim</w:t>
      </w:r>
      <w:r w:rsidR="009105CE" w:rsidRPr="00D84154">
        <w:rPr>
          <w:rFonts w:ascii="Times New Roman" w:hAnsi="Times New Roman" w:cs="Times New Roman"/>
          <w:color w:val="000000" w:themeColor="text1"/>
          <w:sz w:val="24"/>
          <w:szCs w:val="24"/>
        </w:rPr>
        <w:t>i</w:t>
      </w:r>
      <w:r w:rsidR="00DA0BFF" w:rsidRPr="00D84154">
        <w:rPr>
          <w:rFonts w:ascii="Times New Roman" w:hAnsi="Times New Roman" w:cs="Times New Roman"/>
          <w:color w:val="000000" w:themeColor="text1"/>
          <w:sz w:val="24"/>
          <w:szCs w:val="24"/>
        </w:rPr>
        <w:t>.</w:t>
      </w:r>
    </w:p>
    <w:p w14:paraId="228F576F" w14:textId="161BE748" w:rsidR="00922CE6" w:rsidRPr="00D84154" w:rsidRDefault="00922CE6"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Ponadto w art. 73 </w:t>
      </w:r>
      <w:r w:rsidR="009105CE" w:rsidRPr="00D84154">
        <w:rPr>
          <w:rFonts w:ascii="Times New Roman" w:hAnsi="Times New Roman" w:cs="Times New Roman"/>
          <w:color w:val="000000" w:themeColor="text1"/>
          <w:sz w:val="24"/>
          <w:szCs w:val="24"/>
        </w:rPr>
        <w:t xml:space="preserve">ustawy </w:t>
      </w:r>
      <w:r w:rsidRPr="00D84154">
        <w:rPr>
          <w:rFonts w:ascii="Times New Roman" w:hAnsi="Times New Roman" w:cs="Times New Roman"/>
          <w:color w:val="000000" w:themeColor="text1"/>
          <w:sz w:val="24"/>
          <w:szCs w:val="24"/>
        </w:rPr>
        <w:t>dokonano zmian polegających na prze</w:t>
      </w:r>
      <w:r w:rsidR="00BC0E7C">
        <w:rPr>
          <w:rFonts w:ascii="Times New Roman" w:hAnsi="Times New Roman" w:cs="Times New Roman"/>
          <w:color w:val="000000" w:themeColor="text1"/>
          <w:sz w:val="24"/>
          <w:szCs w:val="24"/>
        </w:rPr>
        <w:t>niesieniu regulacji związanej z </w:t>
      </w:r>
      <w:r w:rsidRPr="00D84154">
        <w:rPr>
          <w:rFonts w:ascii="Times New Roman" w:hAnsi="Times New Roman" w:cs="Times New Roman"/>
          <w:color w:val="000000" w:themeColor="text1"/>
          <w:sz w:val="24"/>
          <w:szCs w:val="24"/>
        </w:rPr>
        <w:t>wymianą informacji przez Prezesa Urzędu z Przewodniczącym K</w:t>
      </w:r>
      <w:r w:rsidR="009105CE" w:rsidRPr="00D84154">
        <w:rPr>
          <w:rFonts w:ascii="Times New Roman" w:hAnsi="Times New Roman" w:cs="Times New Roman"/>
          <w:color w:val="000000" w:themeColor="text1"/>
          <w:sz w:val="24"/>
          <w:szCs w:val="24"/>
        </w:rPr>
        <w:t xml:space="preserve">omisji </w:t>
      </w:r>
      <w:r w:rsidRPr="00D84154">
        <w:rPr>
          <w:rFonts w:ascii="Times New Roman" w:hAnsi="Times New Roman" w:cs="Times New Roman"/>
          <w:color w:val="000000" w:themeColor="text1"/>
          <w:sz w:val="24"/>
          <w:szCs w:val="24"/>
        </w:rPr>
        <w:t>N</w:t>
      </w:r>
      <w:r w:rsidR="009105CE" w:rsidRPr="00D84154">
        <w:rPr>
          <w:rFonts w:ascii="Times New Roman" w:hAnsi="Times New Roman" w:cs="Times New Roman"/>
          <w:color w:val="000000" w:themeColor="text1"/>
          <w:sz w:val="24"/>
          <w:szCs w:val="24"/>
        </w:rPr>
        <w:t xml:space="preserve">adzoru </w:t>
      </w:r>
      <w:r w:rsidRPr="00D84154">
        <w:rPr>
          <w:rFonts w:ascii="Times New Roman" w:hAnsi="Times New Roman" w:cs="Times New Roman"/>
          <w:color w:val="000000" w:themeColor="text1"/>
          <w:sz w:val="24"/>
          <w:szCs w:val="24"/>
        </w:rPr>
        <w:t>F</w:t>
      </w:r>
      <w:r w:rsidR="009105CE" w:rsidRPr="00D84154">
        <w:rPr>
          <w:rFonts w:ascii="Times New Roman" w:hAnsi="Times New Roman" w:cs="Times New Roman"/>
          <w:color w:val="000000" w:themeColor="text1"/>
          <w:sz w:val="24"/>
          <w:szCs w:val="24"/>
        </w:rPr>
        <w:t>inansowego</w:t>
      </w:r>
      <w:r w:rsidRPr="00D84154">
        <w:rPr>
          <w:rFonts w:ascii="Times New Roman" w:hAnsi="Times New Roman" w:cs="Times New Roman"/>
          <w:color w:val="000000" w:themeColor="text1"/>
          <w:sz w:val="24"/>
          <w:szCs w:val="24"/>
        </w:rPr>
        <w:t xml:space="preserve"> z obecnego ust. 1 pkt 7 do zmienianych ust. 3 i 4. Przepisy te kompleksowo regulują wymianę informacji Prezesa UOKiK z innymi regulatorami oraz wyjątki od możliwości udostępniania danych, podyktowane koniecznością ochrony m.in. oświadczeń składanych w ramach procedury leniency.</w:t>
      </w:r>
    </w:p>
    <w:p w14:paraId="701A101E" w14:textId="77777777" w:rsidR="00D159BB" w:rsidRPr="00D84154" w:rsidRDefault="005C79FE" w:rsidP="00D84154">
      <w:pPr>
        <w:pStyle w:val="Akapitzlist"/>
        <w:numPr>
          <w:ilvl w:val="0"/>
          <w:numId w:val="2"/>
        </w:numPr>
        <w:spacing w:before="120" w:after="0" w:line="360" w:lineRule="auto"/>
        <w:ind w:left="426" w:hanging="426"/>
        <w:jc w:val="both"/>
        <w:rPr>
          <w:rFonts w:ascii="Times New Roman" w:hAnsi="Times New Roman" w:cs="Times New Roman"/>
          <w:b/>
          <w:bCs/>
          <w:color w:val="000000" w:themeColor="text1"/>
          <w:sz w:val="24"/>
          <w:szCs w:val="24"/>
        </w:rPr>
      </w:pPr>
      <w:r w:rsidRPr="00D84154">
        <w:rPr>
          <w:rFonts w:ascii="Times New Roman" w:hAnsi="Times New Roman" w:cs="Times New Roman"/>
          <w:b/>
          <w:bCs/>
          <w:color w:val="000000" w:themeColor="text1"/>
          <w:sz w:val="24"/>
          <w:szCs w:val="24"/>
        </w:rPr>
        <w:t>K</w:t>
      </w:r>
      <w:r w:rsidR="00B15D9C" w:rsidRPr="00D84154">
        <w:rPr>
          <w:rFonts w:ascii="Times New Roman" w:hAnsi="Times New Roman" w:cs="Times New Roman"/>
          <w:b/>
          <w:bCs/>
          <w:color w:val="000000" w:themeColor="text1"/>
          <w:sz w:val="24"/>
          <w:szCs w:val="24"/>
        </w:rPr>
        <w:t xml:space="preserve">ontrola, </w:t>
      </w:r>
      <w:r w:rsidR="005F40A3" w:rsidRPr="00D84154">
        <w:rPr>
          <w:rFonts w:ascii="Times New Roman" w:hAnsi="Times New Roman" w:cs="Times New Roman"/>
          <w:b/>
          <w:bCs/>
          <w:color w:val="000000" w:themeColor="text1"/>
          <w:sz w:val="24"/>
          <w:szCs w:val="24"/>
        </w:rPr>
        <w:t xml:space="preserve">przeszukanie, </w:t>
      </w:r>
      <w:r w:rsidR="00B15D9C" w:rsidRPr="00D84154">
        <w:rPr>
          <w:rFonts w:ascii="Times New Roman" w:hAnsi="Times New Roman" w:cs="Times New Roman"/>
          <w:b/>
          <w:bCs/>
          <w:color w:val="000000" w:themeColor="text1"/>
          <w:sz w:val="24"/>
          <w:szCs w:val="24"/>
        </w:rPr>
        <w:t xml:space="preserve">pomoc policji i LPP </w:t>
      </w:r>
      <w:r w:rsidR="00D159BB" w:rsidRPr="00D84154">
        <w:rPr>
          <w:rFonts w:ascii="Times New Roman" w:hAnsi="Times New Roman" w:cs="Times New Roman"/>
          <w:b/>
          <w:bCs/>
          <w:color w:val="000000" w:themeColor="text1"/>
          <w:sz w:val="24"/>
          <w:szCs w:val="24"/>
        </w:rPr>
        <w:t>(</w:t>
      </w:r>
      <w:r w:rsidR="00D159BB" w:rsidRPr="00637161">
        <w:rPr>
          <w:rFonts w:ascii="Times New Roman" w:hAnsi="Times New Roman" w:cs="Times New Roman"/>
          <w:b/>
          <w:bCs/>
          <w:color w:val="000000" w:themeColor="text1"/>
          <w:sz w:val="24"/>
          <w:szCs w:val="24"/>
        </w:rPr>
        <w:t>Legal professional privilege</w:t>
      </w:r>
      <w:r w:rsidR="00D159BB" w:rsidRPr="00D84154">
        <w:rPr>
          <w:rFonts w:ascii="Times New Roman" w:hAnsi="Times New Roman" w:cs="Times New Roman"/>
          <w:b/>
          <w:bCs/>
          <w:color w:val="000000" w:themeColor="text1"/>
          <w:sz w:val="24"/>
          <w:szCs w:val="24"/>
        </w:rPr>
        <w:t>)</w:t>
      </w:r>
    </w:p>
    <w:p w14:paraId="42610C5C" w14:textId="60E66003" w:rsidR="00A84ACD" w:rsidRPr="00D84154" w:rsidRDefault="00A84ACD" w:rsidP="00D84154">
      <w:pPr>
        <w:spacing w:before="120" w:after="0" w:line="360" w:lineRule="auto"/>
        <w:jc w:val="both"/>
        <w:rPr>
          <w:rFonts w:ascii="Times New Roman" w:hAnsi="Times New Roman" w:cs="Times New Roman"/>
          <w:b/>
          <w:bCs/>
          <w:color w:val="000000" w:themeColor="text1"/>
          <w:sz w:val="24"/>
          <w:szCs w:val="24"/>
        </w:rPr>
      </w:pPr>
      <w:r w:rsidRPr="00D84154">
        <w:rPr>
          <w:rFonts w:ascii="Times New Roman" w:hAnsi="Times New Roman" w:cs="Times New Roman"/>
          <w:b/>
          <w:bCs/>
          <w:color w:val="000000" w:themeColor="text1"/>
          <w:sz w:val="24"/>
          <w:szCs w:val="24"/>
        </w:rPr>
        <w:t>Kontrola i przeszukanie</w:t>
      </w:r>
    </w:p>
    <w:p w14:paraId="365BAC89" w14:textId="4BC6610E" w:rsidR="00510348" w:rsidRPr="00D84154" w:rsidRDefault="00EB4C68"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w:t>
      </w:r>
      <w:r w:rsidR="00A84ACD" w:rsidRPr="00D84154">
        <w:rPr>
          <w:rFonts w:ascii="Times New Roman" w:hAnsi="Times New Roman" w:cs="Times New Roman"/>
          <w:color w:val="000000" w:themeColor="text1"/>
          <w:sz w:val="24"/>
          <w:szCs w:val="24"/>
        </w:rPr>
        <w:t xml:space="preserve"> procedurze kontroli u przedsiębiorcy oraz przeszukania (do której część przepisów o kontroli ma zastosowanie przez odesłanie) wprowadzono szereg mian szczegółowych. </w:t>
      </w:r>
      <w:r w:rsidR="00A32BAF" w:rsidRPr="00D84154">
        <w:rPr>
          <w:rFonts w:ascii="Times New Roman" w:hAnsi="Times New Roman" w:cs="Times New Roman"/>
          <w:color w:val="000000" w:themeColor="text1"/>
          <w:sz w:val="24"/>
          <w:szCs w:val="24"/>
        </w:rPr>
        <w:t xml:space="preserve">W związku z art. 6 ust. 1 lit. d </w:t>
      </w:r>
      <w:r w:rsidR="009105CE" w:rsidRPr="00D84154">
        <w:rPr>
          <w:rFonts w:ascii="Times New Roman" w:hAnsi="Times New Roman" w:cs="Times New Roman"/>
          <w:color w:val="000000" w:themeColor="text1"/>
          <w:sz w:val="24"/>
          <w:szCs w:val="24"/>
        </w:rPr>
        <w:t>d</w:t>
      </w:r>
      <w:r w:rsidR="00A32BAF" w:rsidRPr="00D84154">
        <w:rPr>
          <w:rFonts w:ascii="Times New Roman" w:hAnsi="Times New Roman" w:cs="Times New Roman"/>
          <w:color w:val="000000" w:themeColor="text1"/>
          <w:sz w:val="24"/>
          <w:szCs w:val="24"/>
        </w:rPr>
        <w:t>yrektywy dodano w przepisach wprost uprawnienie kontrolujących do opieczętowania wszelkich lokali, pomieszczeń lub przedmiotów w</w:t>
      </w:r>
      <w:r w:rsidR="00E9537C">
        <w:rPr>
          <w:rFonts w:ascii="Times New Roman" w:hAnsi="Times New Roman" w:cs="Times New Roman"/>
          <w:color w:val="000000" w:themeColor="text1"/>
          <w:sz w:val="24"/>
          <w:szCs w:val="24"/>
        </w:rPr>
        <w:t xml:space="preserve"> </w:t>
      </w:r>
      <w:r w:rsidR="00A32BAF" w:rsidRPr="00D84154">
        <w:rPr>
          <w:rFonts w:ascii="Times New Roman" w:hAnsi="Times New Roman" w:cs="Times New Roman"/>
          <w:color w:val="000000" w:themeColor="text1"/>
          <w:sz w:val="24"/>
          <w:szCs w:val="24"/>
        </w:rPr>
        <w:t xml:space="preserve">zakresie koniecznym do przeprowadzenia kontroli </w:t>
      </w:r>
      <w:r w:rsidR="0011712B" w:rsidRPr="00D84154">
        <w:rPr>
          <w:rFonts w:ascii="Times New Roman" w:hAnsi="Times New Roman" w:cs="Times New Roman"/>
          <w:color w:val="000000" w:themeColor="text1"/>
          <w:sz w:val="24"/>
          <w:szCs w:val="24"/>
        </w:rPr>
        <w:t>(art. 105b ust. 1 pkt 7)</w:t>
      </w:r>
      <w:r w:rsidR="00A32BAF" w:rsidRPr="00D84154">
        <w:rPr>
          <w:rFonts w:ascii="Times New Roman" w:hAnsi="Times New Roman" w:cs="Times New Roman"/>
          <w:color w:val="000000" w:themeColor="text1"/>
          <w:sz w:val="24"/>
          <w:szCs w:val="24"/>
        </w:rPr>
        <w:t xml:space="preserve">. </w:t>
      </w:r>
      <w:r w:rsidR="00510348" w:rsidRPr="00D84154">
        <w:rPr>
          <w:rFonts w:ascii="Times New Roman" w:hAnsi="Times New Roman" w:cs="Times New Roman"/>
          <w:color w:val="000000" w:themeColor="text1"/>
          <w:sz w:val="24"/>
          <w:szCs w:val="24"/>
        </w:rPr>
        <w:t>Należy wskazać, ż</w:t>
      </w:r>
      <w:r w:rsidR="00E9537C">
        <w:rPr>
          <w:rFonts w:ascii="Times New Roman" w:hAnsi="Times New Roman" w:cs="Times New Roman"/>
          <w:color w:val="000000" w:themeColor="text1"/>
          <w:sz w:val="24"/>
          <w:szCs w:val="24"/>
        </w:rPr>
        <w:t>e</w:t>
      </w:r>
      <w:r w:rsidR="00510348" w:rsidRPr="00D84154">
        <w:rPr>
          <w:rFonts w:ascii="Times New Roman" w:hAnsi="Times New Roman" w:cs="Times New Roman"/>
          <w:color w:val="000000" w:themeColor="text1"/>
          <w:sz w:val="24"/>
          <w:szCs w:val="24"/>
        </w:rPr>
        <w:t xml:space="preserve"> opieczętowanie jest czynnością techniczną, która usprawnia przebieg kontroli lub przeszukania. Dotyczy ona np. sytuacji, gdy kontrolujący/przeszukujący wytypują do kontroli/przeszukania wiele pomieszczeń, których liczba jest na tyle duża, że nie można przystąpić do czynności we wszystkich miejscach jednocześnie, wówczas część pomie</w:t>
      </w:r>
      <w:r w:rsidR="00C612AC">
        <w:rPr>
          <w:rFonts w:ascii="Times New Roman" w:hAnsi="Times New Roman" w:cs="Times New Roman"/>
          <w:color w:val="000000" w:themeColor="text1"/>
          <w:sz w:val="24"/>
          <w:szCs w:val="24"/>
        </w:rPr>
        <w:t>szczeń zostaje opieczętowana. W </w:t>
      </w:r>
      <w:r w:rsidR="00510348" w:rsidRPr="00D84154">
        <w:rPr>
          <w:rFonts w:ascii="Times New Roman" w:hAnsi="Times New Roman" w:cs="Times New Roman"/>
          <w:color w:val="000000" w:themeColor="text1"/>
          <w:sz w:val="24"/>
          <w:szCs w:val="24"/>
        </w:rPr>
        <w:t>czasie</w:t>
      </w:r>
      <w:r w:rsidR="00E9537C">
        <w:rPr>
          <w:rFonts w:ascii="Times New Roman" w:hAnsi="Times New Roman" w:cs="Times New Roman"/>
          <w:color w:val="000000" w:themeColor="text1"/>
          <w:sz w:val="24"/>
          <w:szCs w:val="24"/>
        </w:rPr>
        <w:t>,</w:t>
      </w:r>
      <w:r w:rsidR="00510348" w:rsidRPr="00D84154">
        <w:rPr>
          <w:rFonts w:ascii="Times New Roman" w:hAnsi="Times New Roman" w:cs="Times New Roman"/>
          <w:color w:val="000000" w:themeColor="text1"/>
          <w:sz w:val="24"/>
          <w:szCs w:val="24"/>
        </w:rPr>
        <w:t xml:space="preserve"> gdy kontrolujący/przeszukujący wykonują czynności gdzie indziej, pomieszczenia opieczętowane</w:t>
      </w:r>
      <w:r w:rsidR="009105CE" w:rsidRPr="00D84154">
        <w:rPr>
          <w:rFonts w:ascii="Times New Roman" w:hAnsi="Times New Roman" w:cs="Times New Roman"/>
          <w:color w:val="000000" w:themeColor="text1"/>
          <w:sz w:val="24"/>
          <w:szCs w:val="24"/>
        </w:rPr>
        <w:t>,</w:t>
      </w:r>
      <w:r w:rsidR="00510348" w:rsidRPr="00D84154">
        <w:rPr>
          <w:rFonts w:ascii="Times New Roman" w:hAnsi="Times New Roman" w:cs="Times New Roman"/>
          <w:color w:val="000000" w:themeColor="text1"/>
          <w:sz w:val="24"/>
          <w:szCs w:val="24"/>
        </w:rPr>
        <w:t xml:space="preserve"> które mają być kontrolowane/przeszukane jako kolejne, są opieczętow</w:t>
      </w:r>
      <w:r w:rsidR="00E9537C">
        <w:rPr>
          <w:rFonts w:ascii="Times New Roman" w:hAnsi="Times New Roman" w:cs="Times New Roman"/>
          <w:color w:val="000000" w:themeColor="text1"/>
          <w:sz w:val="24"/>
          <w:szCs w:val="24"/>
        </w:rPr>
        <w:t>yw</w:t>
      </w:r>
      <w:r w:rsidR="00510348" w:rsidRPr="00D84154">
        <w:rPr>
          <w:rFonts w:ascii="Times New Roman" w:hAnsi="Times New Roman" w:cs="Times New Roman"/>
          <w:color w:val="000000" w:themeColor="text1"/>
          <w:sz w:val="24"/>
          <w:szCs w:val="24"/>
        </w:rPr>
        <w:t>ane</w:t>
      </w:r>
      <w:r w:rsidR="00E9537C">
        <w:rPr>
          <w:rFonts w:ascii="Times New Roman" w:hAnsi="Times New Roman" w:cs="Times New Roman"/>
          <w:color w:val="000000" w:themeColor="text1"/>
          <w:sz w:val="24"/>
          <w:szCs w:val="24"/>
        </w:rPr>
        <w:t>,</w:t>
      </w:r>
      <w:r w:rsidR="00510348" w:rsidRPr="00D84154">
        <w:rPr>
          <w:rFonts w:ascii="Times New Roman" w:hAnsi="Times New Roman" w:cs="Times New Roman"/>
          <w:color w:val="000000" w:themeColor="text1"/>
          <w:sz w:val="24"/>
          <w:szCs w:val="24"/>
        </w:rPr>
        <w:t xml:space="preserve"> aby nie doszło do usunięcia bądź zatarcia dowodów. Pomieszczenia są sukcesywnie odpieczętowywane i kontrolowane/przeszukiwane. Opieczętowanie może mieć także miejsce pod koniec każdego dnia czynności w siedzibie przedsiębiorcy. Na czas</w:t>
      </w:r>
      <w:r w:rsidR="00E9537C">
        <w:rPr>
          <w:rFonts w:ascii="Times New Roman" w:hAnsi="Times New Roman" w:cs="Times New Roman"/>
          <w:color w:val="000000" w:themeColor="text1"/>
          <w:sz w:val="24"/>
          <w:szCs w:val="24"/>
        </w:rPr>
        <w:t>,</w:t>
      </w:r>
      <w:r w:rsidR="00510348" w:rsidRPr="00D84154">
        <w:rPr>
          <w:rFonts w:ascii="Times New Roman" w:hAnsi="Times New Roman" w:cs="Times New Roman"/>
          <w:color w:val="000000" w:themeColor="text1"/>
          <w:sz w:val="24"/>
          <w:szCs w:val="24"/>
        </w:rPr>
        <w:t xml:space="preserve"> kiedy kontrolujący/przeszukujący pozostają poza siedzibą przedsiębiorcy</w:t>
      </w:r>
      <w:r w:rsidR="00E9537C">
        <w:rPr>
          <w:rFonts w:ascii="Times New Roman" w:hAnsi="Times New Roman" w:cs="Times New Roman"/>
          <w:color w:val="000000" w:themeColor="text1"/>
          <w:sz w:val="24"/>
          <w:szCs w:val="24"/>
        </w:rPr>
        <w:t>,</w:t>
      </w:r>
      <w:r w:rsidR="00510348" w:rsidRPr="00D84154">
        <w:rPr>
          <w:rFonts w:ascii="Times New Roman" w:hAnsi="Times New Roman" w:cs="Times New Roman"/>
          <w:color w:val="000000" w:themeColor="text1"/>
          <w:sz w:val="24"/>
          <w:szCs w:val="24"/>
        </w:rPr>
        <w:t xml:space="preserve"> opieczętowane zostaje pomieszczenie udostępnione im, w którym znajduje się sprzęt używany podczas kontroli/przeszukania oraz ew. kopie zbiorów elektronicznych będące w trakcie analizy. W tym kontekście należy podkreślić, że opieczętowanie spełnia także rolę gwarancyjną dla przedsiębiorcy, który może być obecny przy pieczętowaniu oraz zdejmowaniu pieczęci, dzięki </w:t>
      </w:r>
      <w:r w:rsidR="00510348" w:rsidRPr="00D84154">
        <w:rPr>
          <w:rFonts w:ascii="Times New Roman" w:hAnsi="Times New Roman" w:cs="Times New Roman"/>
          <w:color w:val="000000" w:themeColor="text1"/>
          <w:sz w:val="24"/>
          <w:szCs w:val="24"/>
        </w:rPr>
        <w:lastRenderedPageBreak/>
        <w:t>czemu może mieć pewność, że żadne czynności w stosunku do zbiorów elektronicznych nie były prowadzone pod jego nieobecność.</w:t>
      </w:r>
    </w:p>
    <w:p w14:paraId="2024094E" w14:textId="6D0389D7" w:rsidR="000B7CCB" w:rsidRPr="00D84154" w:rsidRDefault="00A84ACD"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W celu dostosowania do art. 6 ust. 1 lit. e </w:t>
      </w:r>
      <w:r w:rsidR="009105CE"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 xml:space="preserve">yrektywy zaproponowano </w:t>
      </w:r>
      <w:r w:rsidR="0011712B" w:rsidRPr="00D84154">
        <w:rPr>
          <w:rFonts w:ascii="Times New Roman" w:hAnsi="Times New Roman" w:cs="Times New Roman"/>
          <w:color w:val="000000" w:themeColor="text1"/>
          <w:sz w:val="24"/>
          <w:szCs w:val="24"/>
        </w:rPr>
        <w:t>również doprecyzowanie</w:t>
      </w:r>
      <w:r w:rsidRPr="00D84154">
        <w:rPr>
          <w:rFonts w:ascii="Times New Roman" w:hAnsi="Times New Roman" w:cs="Times New Roman"/>
          <w:color w:val="000000" w:themeColor="text1"/>
          <w:sz w:val="24"/>
          <w:szCs w:val="24"/>
        </w:rPr>
        <w:t xml:space="preserve"> w ustawie, że kontrolujący może w toku kontroli</w:t>
      </w:r>
      <w:r w:rsidR="00F65A77">
        <w:rPr>
          <w:rFonts w:ascii="Times New Roman" w:hAnsi="Times New Roman" w:cs="Times New Roman"/>
          <w:color w:val="000000" w:themeColor="text1"/>
          <w:sz w:val="24"/>
          <w:szCs w:val="24"/>
        </w:rPr>
        <w:t xml:space="preserve"> </w:t>
      </w:r>
      <w:r w:rsidR="006251B3" w:rsidRPr="00D84154">
        <w:rPr>
          <w:rFonts w:ascii="Times New Roman" w:hAnsi="Times New Roman" w:cs="Times New Roman"/>
          <w:color w:val="000000" w:themeColor="text1"/>
          <w:sz w:val="24"/>
          <w:szCs w:val="24"/>
        </w:rPr>
        <w:t xml:space="preserve">żądać ustnych wyjaśnień dotyczących przedmiotu kontroli od </w:t>
      </w:r>
      <w:r w:rsidRPr="00D84154">
        <w:rPr>
          <w:rFonts w:ascii="Times New Roman" w:hAnsi="Times New Roman" w:cs="Times New Roman"/>
          <w:color w:val="000000" w:themeColor="text1"/>
          <w:sz w:val="24"/>
          <w:szCs w:val="24"/>
        </w:rPr>
        <w:t xml:space="preserve">pracownika </w:t>
      </w:r>
      <w:r w:rsidR="006251B3" w:rsidRPr="00D84154">
        <w:rPr>
          <w:rFonts w:ascii="Times New Roman" w:hAnsi="Times New Roman" w:cs="Times New Roman"/>
          <w:color w:val="000000" w:themeColor="text1"/>
          <w:sz w:val="24"/>
          <w:szCs w:val="24"/>
        </w:rPr>
        <w:t xml:space="preserve">kontrolowanego </w:t>
      </w:r>
      <w:r w:rsidRPr="00D84154">
        <w:rPr>
          <w:rFonts w:ascii="Times New Roman" w:hAnsi="Times New Roman" w:cs="Times New Roman"/>
          <w:color w:val="000000" w:themeColor="text1"/>
          <w:sz w:val="24"/>
          <w:szCs w:val="24"/>
        </w:rPr>
        <w:t>oraz osob</w:t>
      </w:r>
      <w:r w:rsidR="006251B3" w:rsidRPr="00D84154">
        <w:rPr>
          <w:rFonts w:ascii="Times New Roman" w:hAnsi="Times New Roman" w:cs="Times New Roman"/>
          <w:color w:val="000000" w:themeColor="text1"/>
          <w:sz w:val="24"/>
          <w:szCs w:val="24"/>
        </w:rPr>
        <w:t>y</w:t>
      </w:r>
      <w:r w:rsidRPr="00D84154">
        <w:rPr>
          <w:rFonts w:ascii="Times New Roman" w:hAnsi="Times New Roman" w:cs="Times New Roman"/>
          <w:color w:val="000000" w:themeColor="text1"/>
          <w:sz w:val="24"/>
          <w:szCs w:val="24"/>
        </w:rPr>
        <w:t xml:space="preserve"> wykonując</w:t>
      </w:r>
      <w:r w:rsidR="006251B3" w:rsidRPr="00D84154">
        <w:rPr>
          <w:rFonts w:ascii="Times New Roman" w:hAnsi="Times New Roman" w:cs="Times New Roman"/>
          <w:color w:val="000000" w:themeColor="text1"/>
          <w:sz w:val="24"/>
          <w:szCs w:val="24"/>
        </w:rPr>
        <w:t>ej</w:t>
      </w:r>
      <w:r w:rsidRPr="00D84154">
        <w:rPr>
          <w:rFonts w:ascii="Times New Roman" w:hAnsi="Times New Roman" w:cs="Times New Roman"/>
          <w:color w:val="000000" w:themeColor="text1"/>
          <w:sz w:val="24"/>
          <w:szCs w:val="24"/>
        </w:rPr>
        <w:t xml:space="preserve"> </w:t>
      </w:r>
      <w:r w:rsidR="00C612AC">
        <w:rPr>
          <w:rFonts w:ascii="Times New Roman" w:hAnsi="Times New Roman" w:cs="Times New Roman"/>
          <w:color w:val="000000" w:themeColor="text1"/>
          <w:sz w:val="24"/>
          <w:szCs w:val="24"/>
        </w:rPr>
        <w:t>czynności w </w:t>
      </w:r>
      <w:r w:rsidR="0011712B" w:rsidRPr="00D84154">
        <w:rPr>
          <w:rFonts w:ascii="Times New Roman" w:hAnsi="Times New Roman" w:cs="Times New Roman"/>
          <w:color w:val="000000" w:themeColor="text1"/>
          <w:sz w:val="24"/>
          <w:szCs w:val="24"/>
        </w:rPr>
        <w:t xml:space="preserve">imieniu lub na rzecz kontrolowanego na podstawie innej </w:t>
      </w:r>
      <w:r w:rsidR="00151896" w:rsidRPr="00D84154">
        <w:rPr>
          <w:rFonts w:ascii="Times New Roman" w:hAnsi="Times New Roman" w:cs="Times New Roman"/>
          <w:color w:val="000000" w:themeColor="text1"/>
          <w:sz w:val="24"/>
          <w:szCs w:val="24"/>
        </w:rPr>
        <w:t xml:space="preserve">niż umowa o pracę </w:t>
      </w:r>
      <w:r w:rsidR="0011712B" w:rsidRPr="00D84154">
        <w:rPr>
          <w:rFonts w:ascii="Times New Roman" w:hAnsi="Times New Roman" w:cs="Times New Roman"/>
          <w:color w:val="000000" w:themeColor="text1"/>
          <w:sz w:val="24"/>
          <w:szCs w:val="24"/>
        </w:rPr>
        <w:t>umowy</w:t>
      </w:r>
      <w:r w:rsidR="00F65A77">
        <w:rPr>
          <w:rFonts w:ascii="Times New Roman" w:hAnsi="Times New Roman" w:cs="Times New Roman"/>
          <w:color w:val="000000" w:themeColor="text1"/>
          <w:sz w:val="24"/>
          <w:szCs w:val="24"/>
        </w:rPr>
        <w:t xml:space="preserve"> </w:t>
      </w:r>
      <w:r w:rsidR="00C612AC">
        <w:rPr>
          <w:rFonts w:ascii="Times New Roman" w:hAnsi="Times New Roman" w:cs="Times New Roman"/>
          <w:color w:val="000000" w:themeColor="text1"/>
          <w:sz w:val="24"/>
          <w:szCs w:val="24"/>
        </w:rPr>
        <w:t>(art. </w:t>
      </w:r>
      <w:r w:rsidRPr="00D84154">
        <w:rPr>
          <w:rFonts w:ascii="Times New Roman" w:hAnsi="Times New Roman" w:cs="Times New Roman"/>
          <w:color w:val="000000" w:themeColor="text1"/>
          <w:sz w:val="24"/>
          <w:szCs w:val="24"/>
        </w:rPr>
        <w:t xml:space="preserve">105b ust. 1a). Ponadto, </w:t>
      </w:r>
      <w:r w:rsidR="002777AD" w:rsidRPr="00D84154">
        <w:rPr>
          <w:rFonts w:ascii="Times New Roman" w:hAnsi="Times New Roman" w:cs="Times New Roman"/>
          <w:color w:val="000000" w:themeColor="text1"/>
          <w:sz w:val="24"/>
          <w:szCs w:val="24"/>
        </w:rPr>
        <w:t>aby zapewnić zgodność</w:t>
      </w:r>
      <w:r w:rsidRPr="00D84154">
        <w:rPr>
          <w:rFonts w:ascii="Times New Roman" w:hAnsi="Times New Roman" w:cs="Times New Roman"/>
          <w:color w:val="000000" w:themeColor="text1"/>
          <w:sz w:val="24"/>
          <w:szCs w:val="24"/>
        </w:rPr>
        <w:t xml:space="preserve"> z art. 6 ust. 1 lit. c </w:t>
      </w:r>
      <w:r w:rsidR="009105CE"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yrektywy</w:t>
      </w:r>
      <w:r w:rsidR="00E9537C">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zaproponowano rozwiązanie, </w:t>
      </w:r>
      <w:r w:rsidR="00EA2468" w:rsidRPr="00D84154">
        <w:rPr>
          <w:rFonts w:ascii="Times New Roman" w:hAnsi="Times New Roman" w:cs="Times New Roman"/>
          <w:color w:val="000000" w:themeColor="text1"/>
          <w:sz w:val="24"/>
          <w:szCs w:val="24"/>
        </w:rPr>
        <w:t>zgodnie z którym</w:t>
      </w:r>
      <w:r w:rsidR="00E9537C">
        <w:rPr>
          <w:rFonts w:ascii="Times New Roman" w:hAnsi="Times New Roman" w:cs="Times New Roman"/>
          <w:color w:val="000000" w:themeColor="text1"/>
          <w:sz w:val="24"/>
          <w:szCs w:val="24"/>
        </w:rPr>
        <w:t>,</w:t>
      </w:r>
      <w:r w:rsidR="00EA2468" w:rsidRPr="00D84154">
        <w:rPr>
          <w:rFonts w:ascii="Times New Roman" w:hAnsi="Times New Roman" w:cs="Times New Roman"/>
          <w:color w:val="000000" w:themeColor="text1"/>
          <w:sz w:val="24"/>
          <w:szCs w:val="24"/>
        </w:rPr>
        <w:t xml:space="preserve"> je</w:t>
      </w:r>
      <w:r w:rsidR="009105CE" w:rsidRPr="00D84154">
        <w:rPr>
          <w:rFonts w:ascii="Times New Roman" w:hAnsi="Times New Roman" w:cs="Times New Roman"/>
          <w:color w:val="000000" w:themeColor="text1"/>
          <w:sz w:val="24"/>
          <w:szCs w:val="24"/>
        </w:rPr>
        <w:t>żeli</w:t>
      </w:r>
      <w:r w:rsidR="00EA2468" w:rsidRPr="00D84154">
        <w:rPr>
          <w:rFonts w:ascii="Times New Roman" w:hAnsi="Times New Roman" w:cs="Times New Roman"/>
          <w:color w:val="000000" w:themeColor="text1"/>
          <w:sz w:val="24"/>
          <w:szCs w:val="24"/>
        </w:rPr>
        <w:t xml:space="preserve"> może to usprawnić przeprowadzenie kontroli, kontrolujący będzie uprawniony do kontynuowania czynności kontrolnych w </w:t>
      </w:r>
      <w:r w:rsidR="00151896" w:rsidRPr="00D84154">
        <w:rPr>
          <w:rFonts w:ascii="Times New Roman" w:hAnsi="Times New Roman" w:cs="Times New Roman"/>
          <w:color w:val="000000" w:themeColor="text1"/>
          <w:sz w:val="24"/>
          <w:szCs w:val="24"/>
        </w:rPr>
        <w:t>zakresie sporządzania przeglądania lub analizowania</w:t>
      </w:r>
      <w:r w:rsidR="00EA2468" w:rsidRPr="00D84154">
        <w:rPr>
          <w:rFonts w:ascii="Times New Roman" w:hAnsi="Times New Roman" w:cs="Times New Roman"/>
          <w:color w:val="000000" w:themeColor="text1"/>
          <w:sz w:val="24"/>
          <w:szCs w:val="24"/>
        </w:rPr>
        <w:t xml:space="preserve"> notatek, ko</w:t>
      </w:r>
      <w:r w:rsidR="00C612AC">
        <w:rPr>
          <w:rFonts w:ascii="Times New Roman" w:hAnsi="Times New Roman" w:cs="Times New Roman"/>
          <w:color w:val="000000" w:themeColor="text1"/>
          <w:sz w:val="24"/>
          <w:szCs w:val="24"/>
        </w:rPr>
        <w:t>pii lub wydruków z materiałów i </w:t>
      </w:r>
      <w:r w:rsidR="00EA2468" w:rsidRPr="00D84154">
        <w:rPr>
          <w:rFonts w:ascii="Times New Roman" w:hAnsi="Times New Roman" w:cs="Times New Roman"/>
          <w:color w:val="000000" w:themeColor="text1"/>
          <w:sz w:val="24"/>
          <w:szCs w:val="24"/>
        </w:rPr>
        <w:t>korespondencji, o których mowa w art. 105b ust. 1 pkt 2</w:t>
      </w:r>
      <w:r w:rsidR="009105CE" w:rsidRPr="00D84154">
        <w:rPr>
          <w:rFonts w:ascii="Times New Roman" w:hAnsi="Times New Roman" w:cs="Times New Roman"/>
          <w:color w:val="000000" w:themeColor="text1"/>
          <w:sz w:val="24"/>
          <w:szCs w:val="24"/>
        </w:rPr>
        <w:t xml:space="preserve"> ustawy,</w:t>
      </w:r>
      <w:r w:rsidR="006B655A" w:rsidRPr="00D84154">
        <w:rPr>
          <w:rFonts w:ascii="Times New Roman" w:hAnsi="Times New Roman" w:cs="Times New Roman"/>
          <w:color w:val="000000" w:themeColor="text1"/>
          <w:sz w:val="24"/>
          <w:szCs w:val="24"/>
        </w:rPr>
        <w:t xml:space="preserve"> lub</w:t>
      </w:r>
      <w:r w:rsidR="00EA2468" w:rsidRPr="00D84154">
        <w:rPr>
          <w:rFonts w:ascii="Times New Roman" w:hAnsi="Times New Roman" w:cs="Times New Roman"/>
          <w:color w:val="000000" w:themeColor="text1"/>
          <w:sz w:val="24"/>
          <w:szCs w:val="24"/>
        </w:rPr>
        <w:t xml:space="preserve"> z informacji zgromadzonych na nośnikach, w urządzeniach lub w systemach, o których mowa w tym przepisie, w siedzibie</w:t>
      </w:r>
      <w:r w:rsidR="00F65A77">
        <w:rPr>
          <w:rFonts w:ascii="Times New Roman" w:hAnsi="Times New Roman" w:cs="Times New Roman"/>
          <w:color w:val="000000" w:themeColor="text1"/>
          <w:sz w:val="24"/>
          <w:szCs w:val="24"/>
        </w:rPr>
        <w:t xml:space="preserve"> </w:t>
      </w:r>
      <w:r w:rsidR="00EA2468" w:rsidRPr="00D84154">
        <w:rPr>
          <w:rFonts w:ascii="Times New Roman" w:hAnsi="Times New Roman" w:cs="Times New Roman"/>
          <w:color w:val="000000" w:themeColor="text1"/>
          <w:sz w:val="24"/>
          <w:szCs w:val="24"/>
        </w:rPr>
        <w:t>Urzędu lu</w:t>
      </w:r>
      <w:r w:rsidR="00105878" w:rsidRPr="00D84154">
        <w:rPr>
          <w:rFonts w:ascii="Times New Roman" w:hAnsi="Times New Roman" w:cs="Times New Roman"/>
          <w:color w:val="000000" w:themeColor="text1"/>
          <w:sz w:val="24"/>
          <w:szCs w:val="24"/>
        </w:rPr>
        <w:t xml:space="preserve">b </w:t>
      </w:r>
      <w:r w:rsidR="009105CE" w:rsidRPr="00D84154">
        <w:rPr>
          <w:rFonts w:ascii="Times New Roman" w:hAnsi="Times New Roman" w:cs="Times New Roman"/>
          <w:color w:val="000000" w:themeColor="text1"/>
          <w:sz w:val="24"/>
          <w:szCs w:val="24"/>
        </w:rPr>
        <w:t>d</w:t>
      </w:r>
      <w:r w:rsidR="00105878" w:rsidRPr="00D84154">
        <w:rPr>
          <w:rFonts w:ascii="Times New Roman" w:hAnsi="Times New Roman" w:cs="Times New Roman"/>
          <w:color w:val="000000" w:themeColor="text1"/>
          <w:sz w:val="24"/>
          <w:szCs w:val="24"/>
        </w:rPr>
        <w:t>elegaturze Urzędu</w:t>
      </w:r>
      <w:r w:rsidR="00EA2468" w:rsidRPr="00D84154">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 xml:space="preserve">(art. 105b ust. 1b). Organ będzie zobowiązany do </w:t>
      </w:r>
      <w:r w:rsidR="00533AF1" w:rsidRPr="00D84154">
        <w:rPr>
          <w:rFonts w:ascii="Times New Roman" w:hAnsi="Times New Roman" w:cs="Times New Roman"/>
          <w:color w:val="000000" w:themeColor="text1"/>
          <w:sz w:val="24"/>
          <w:szCs w:val="24"/>
        </w:rPr>
        <w:t>za</w:t>
      </w:r>
      <w:r w:rsidRPr="00D84154">
        <w:rPr>
          <w:rFonts w:ascii="Times New Roman" w:hAnsi="Times New Roman" w:cs="Times New Roman"/>
          <w:color w:val="000000" w:themeColor="text1"/>
          <w:sz w:val="24"/>
          <w:szCs w:val="24"/>
        </w:rPr>
        <w:t xml:space="preserve">wiadomienia kontrolowanego o terminie </w:t>
      </w:r>
      <w:r w:rsidR="006251B3" w:rsidRPr="00D84154">
        <w:rPr>
          <w:rFonts w:ascii="Times New Roman" w:hAnsi="Times New Roman" w:cs="Times New Roman"/>
          <w:color w:val="000000" w:themeColor="text1"/>
          <w:sz w:val="24"/>
          <w:szCs w:val="24"/>
        </w:rPr>
        <w:t>kontynuowan</w:t>
      </w:r>
      <w:r w:rsidR="00EA2468" w:rsidRPr="00D84154">
        <w:rPr>
          <w:rFonts w:ascii="Times New Roman" w:hAnsi="Times New Roman" w:cs="Times New Roman"/>
          <w:color w:val="000000" w:themeColor="text1"/>
          <w:sz w:val="24"/>
          <w:szCs w:val="24"/>
        </w:rPr>
        <w:t>ych</w:t>
      </w:r>
      <w:r w:rsidRPr="00D84154">
        <w:rPr>
          <w:rFonts w:ascii="Times New Roman" w:hAnsi="Times New Roman" w:cs="Times New Roman"/>
          <w:color w:val="000000" w:themeColor="text1"/>
          <w:sz w:val="24"/>
          <w:szCs w:val="24"/>
        </w:rPr>
        <w:t xml:space="preserve"> czynności kontrolnych, przy czym jego niestawiennictwo </w:t>
      </w:r>
      <w:r w:rsidR="00151896" w:rsidRPr="00D84154">
        <w:rPr>
          <w:rFonts w:ascii="Times New Roman" w:hAnsi="Times New Roman" w:cs="Times New Roman"/>
          <w:color w:val="000000" w:themeColor="text1"/>
          <w:sz w:val="24"/>
          <w:szCs w:val="24"/>
        </w:rPr>
        <w:t xml:space="preserve">(lub osoby upoważnionej) </w:t>
      </w:r>
      <w:r w:rsidRPr="00D84154">
        <w:rPr>
          <w:rFonts w:ascii="Times New Roman" w:hAnsi="Times New Roman" w:cs="Times New Roman"/>
          <w:color w:val="000000" w:themeColor="text1"/>
          <w:sz w:val="24"/>
          <w:szCs w:val="24"/>
        </w:rPr>
        <w:t xml:space="preserve">nie </w:t>
      </w:r>
      <w:r w:rsidR="00E9537C">
        <w:rPr>
          <w:rFonts w:ascii="Times New Roman" w:hAnsi="Times New Roman" w:cs="Times New Roman"/>
          <w:color w:val="000000" w:themeColor="text1"/>
          <w:sz w:val="24"/>
          <w:szCs w:val="24"/>
        </w:rPr>
        <w:t>wstrzymuje</w:t>
      </w:r>
      <w:r w:rsidR="00E9537C" w:rsidRPr="00D84154">
        <w:rPr>
          <w:rFonts w:ascii="Times New Roman" w:hAnsi="Times New Roman" w:cs="Times New Roman"/>
          <w:color w:val="000000" w:themeColor="text1"/>
          <w:sz w:val="24"/>
          <w:szCs w:val="24"/>
        </w:rPr>
        <w:t xml:space="preserve"> </w:t>
      </w:r>
      <w:r w:rsidR="00EA2468" w:rsidRPr="00D84154">
        <w:rPr>
          <w:rFonts w:ascii="Times New Roman" w:hAnsi="Times New Roman" w:cs="Times New Roman"/>
          <w:color w:val="000000" w:themeColor="text1"/>
          <w:sz w:val="24"/>
          <w:szCs w:val="24"/>
        </w:rPr>
        <w:t>ich</w:t>
      </w:r>
      <w:r w:rsidR="006251B3" w:rsidRPr="00D84154">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 xml:space="preserve">przeprowadzenia. Zgodnie z wymogiem z art. 6 ust. 1 lit. e </w:t>
      </w:r>
      <w:r w:rsidRPr="00095CF2">
        <w:rPr>
          <w:rFonts w:ascii="Times New Roman" w:hAnsi="Times New Roman" w:cs="Times New Roman"/>
          <w:i/>
          <w:color w:val="000000" w:themeColor="text1"/>
          <w:sz w:val="24"/>
          <w:szCs w:val="24"/>
        </w:rPr>
        <w:t>in fine</w:t>
      </w:r>
      <w:r w:rsidRPr="00D84154">
        <w:rPr>
          <w:rFonts w:ascii="Times New Roman" w:hAnsi="Times New Roman" w:cs="Times New Roman"/>
          <w:color w:val="000000" w:themeColor="text1"/>
          <w:sz w:val="24"/>
          <w:szCs w:val="24"/>
        </w:rPr>
        <w:t xml:space="preserve"> </w:t>
      </w:r>
      <w:r w:rsidR="009105CE"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 xml:space="preserve">yrektywy zmieniono art. 105b ust. 4 </w:t>
      </w:r>
      <w:r w:rsidR="009105CE" w:rsidRPr="00D84154">
        <w:rPr>
          <w:rFonts w:ascii="Times New Roman" w:hAnsi="Times New Roman" w:cs="Times New Roman"/>
          <w:color w:val="000000" w:themeColor="text1"/>
          <w:sz w:val="24"/>
          <w:szCs w:val="24"/>
        </w:rPr>
        <w:t xml:space="preserve">ustawy </w:t>
      </w:r>
      <w:r w:rsidRPr="00D84154">
        <w:rPr>
          <w:rFonts w:ascii="Times New Roman" w:hAnsi="Times New Roman" w:cs="Times New Roman"/>
          <w:color w:val="000000" w:themeColor="text1"/>
          <w:sz w:val="24"/>
          <w:szCs w:val="24"/>
        </w:rPr>
        <w:t>przez wskazanie, że przebieg kontroli lub poszczególne czynności w jej toku, po uprzednim poinformowaniu kontrolowanego, mogą być utrwalane przy pomocy urządzeń rejestrujących obraz lub dźwięk, zaś informatyczne nośniki danych, na których zarejestrowano przebieg kontroli lub poszczególne czynności w jej toku, stanowią załącznik do protokołu kontroli. W obecnym przepisie takie uprawnienie przysługiwało kontrolującym jedynie w uzasadnionych przypadkach.</w:t>
      </w:r>
    </w:p>
    <w:p w14:paraId="2064DCD5" w14:textId="49AEA778" w:rsidR="00284271" w:rsidRPr="00D84154" w:rsidRDefault="000B7CCB"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W art. 105d </w:t>
      </w:r>
      <w:r w:rsidR="009105CE" w:rsidRPr="00D84154">
        <w:rPr>
          <w:rFonts w:ascii="Times New Roman" w:hAnsi="Times New Roman" w:cs="Times New Roman"/>
          <w:color w:val="000000" w:themeColor="text1"/>
          <w:sz w:val="24"/>
          <w:szCs w:val="24"/>
        </w:rPr>
        <w:t xml:space="preserve">ustawy </w:t>
      </w:r>
      <w:r w:rsidRPr="00D84154">
        <w:rPr>
          <w:rFonts w:ascii="Times New Roman" w:hAnsi="Times New Roman" w:cs="Times New Roman"/>
          <w:color w:val="000000" w:themeColor="text1"/>
          <w:sz w:val="24"/>
          <w:szCs w:val="24"/>
        </w:rPr>
        <w:t>zaproponowano dodanie ust. 3 o charakterze gwarancyjnym w celu zapewnienia niemożności wykorzystania odpowiedzi osoby przesłuchiwanej i jej bliskich udzielonych w toku kontroli na potrzeby nałożenia kary pieniężnej, o któ</w:t>
      </w:r>
      <w:r w:rsidR="00C612AC">
        <w:rPr>
          <w:rFonts w:ascii="Times New Roman" w:hAnsi="Times New Roman" w:cs="Times New Roman"/>
          <w:color w:val="000000" w:themeColor="text1"/>
          <w:sz w:val="24"/>
          <w:szCs w:val="24"/>
        </w:rPr>
        <w:t>rej mowa w art. </w:t>
      </w:r>
      <w:r w:rsidRPr="00D84154">
        <w:rPr>
          <w:rFonts w:ascii="Times New Roman" w:hAnsi="Times New Roman" w:cs="Times New Roman"/>
          <w:color w:val="000000" w:themeColor="text1"/>
          <w:sz w:val="24"/>
          <w:szCs w:val="24"/>
        </w:rPr>
        <w:t>106a (por. art. 31 ust. 1 dyrektywy).</w:t>
      </w:r>
    </w:p>
    <w:p w14:paraId="58788B14" w14:textId="2BAEB0CF" w:rsidR="00211FA2" w:rsidRPr="00D84154" w:rsidRDefault="00284271"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W art. 105m ust. 5 </w:t>
      </w:r>
      <w:r w:rsidR="009105CE" w:rsidRPr="00D84154">
        <w:rPr>
          <w:rFonts w:ascii="Times New Roman" w:hAnsi="Times New Roman" w:cs="Times New Roman"/>
          <w:color w:val="000000" w:themeColor="text1"/>
          <w:sz w:val="24"/>
          <w:szCs w:val="24"/>
        </w:rPr>
        <w:t xml:space="preserve">ustawy </w:t>
      </w:r>
      <w:r w:rsidRPr="00D84154">
        <w:rPr>
          <w:rFonts w:ascii="Times New Roman" w:hAnsi="Times New Roman" w:cs="Times New Roman"/>
          <w:color w:val="000000" w:themeColor="text1"/>
          <w:sz w:val="24"/>
          <w:szCs w:val="24"/>
        </w:rPr>
        <w:t>doprecyzowano brzmienie tego przepisu</w:t>
      </w:r>
      <w:r w:rsidR="00E9537C">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przez usunięcie odesłania do uwzględnienia zażalenia przez sąd ochrony konkurencji i konsumentów, bowiem możliwa jest również sytuacja</w:t>
      </w:r>
      <w:r w:rsidR="00E9537C">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gdy zażalenie będzie uwzględnione przez sąd drugiej instancji.</w:t>
      </w:r>
    </w:p>
    <w:p w14:paraId="04C5165A" w14:textId="51F00737" w:rsidR="00607C5F" w:rsidRPr="00D84154" w:rsidRDefault="00607C5F"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Ponadto zaproponowano dodanie w ustawie nowego art. 105n</w:t>
      </w:r>
      <w:r w:rsidR="00F3603A" w:rsidRPr="00D84154">
        <w:rPr>
          <w:rFonts w:ascii="Times New Roman" w:hAnsi="Times New Roman" w:cs="Times New Roman"/>
          <w:color w:val="000000" w:themeColor="text1"/>
          <w:sz w:val="24"/>
          <w:szCs w:val="24"/>
        </w:rPr>
        <w:t>d</w:t>
      </w:r>
      <w:r w:rsidR="00C612AC">
        <w:rPr>
          <w:rFonts w:ascii="Times New Roman" w:hAnsi="Times New Roman" w:cs="Times New Roman"/>
          <w:color w:val="000000" w:themeColor="text1"/>
          <w:sz w:val="24"/>
          <w:szCs w:val="24"/>
        </w:rPr>
        <w:t xml:space="preserve"> w celu uregulowania godzin, w </w:t>
      </w:r>
      <w:r w:rsidRPr="00D84154">
        <w:rPr>
          <w:rFonts w:ascii="Times New Roman" w:hAnsi="Times New Roman" w:cs="Times New Roman"/>
          <w:color w:val="000000" w:themeColor="text1"/>
          <w:sz w:val="24"/>
          <w:szCs w:val="24"/>
        </w:rPr>
        <w:t xml:space="preserve">których przeszukanie może zostać przeprowadzone. Zgodnie z projektowaną regulacją, przeszukanie ma być przeprowadzane w godzinach pracy lub w czasie faktycznego wykonywania działalności gospodarczej przez przedsiębiorcę, przy czym za zgodą </w:t>
      </w:r>
      <w:r w:rsidRPr="00D84154">
        <w:rPr>
          <w:rFonts w:ascii="Times New Roman" w:hAnsi="Times New Roman" w:cs="Times New Roman"/>
          <w:color w:val="000000" w:themeColor="text1"/>
          <w:sz w:val="24"/>
          <w:szCs w:val="24"/>
        </w:rPr>
        <w:lastRenderedPageBreak/>
        <w:t>przedsiębiorcy lub w szczególnie uzasadnionych przypadkach bez takiej zgody, przeszukujący mogą kontynuować przeszukanie poza tymi godzinami lub czasem faktycznego wykonywania działalności gospodarczej przez przedsiębiorcę.</w:t>
      </w:r>
    </w:p>
    <w:p w14:paraId="073EE424" w14:textId="15A7A993" w:rsidR="003B511B" w:rsidRPr="00D84154" w:rsidRDefault="003B511B"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 projektowanych przepisach przewidziano rozwiązanie, że czynności przeszukania, które rozpocznie się w godzinach pracy przedsiębiorcy, będą mogły być kontynuowane również po tych godzinach w dwóch przypadkach, tj. wyrażenia na to zgody przez przeszukiwanego lub zaistnienia okoliczności uzasadniających taki sposób procedowania. W pierwszej kolejności należy zwrócić uwagę, że przeszukanie stanowi instytucję odrębną od typowej kontroli działalności gospodarczej, w tym kontroli prowadzonej przez Prezes</w:t>
      </w:r>
      <w:r w:rsidR="009105CE" w:rsidRPr="00D84154">
        <w:rPr>
          <w:rFonts w:ascii="Times New Roman" w:hAnsi="Times New Roman" w:cs="Times New Roman"/>
          <w:color w:val="000000" w:themeColor="text1"/>
          <w:sz w:val="24"/>
          <w:szCs w:val="24"/>
        </w:rPr>
        <w:t>a</w:t>
      </w:r>
      <w:r w:rsidRPr="00D84154">
        <w:rPr>
          <w:rFonts w:ascii="Times New Roman" w:hAnsi="Times New Roman" w:cs="Times New Roman"/>
          <w:color w:val="000000" w:themeColor="text1"/>
          <w:sz w:val="24"/>
          <w:szCs w:val="24"/>
        </w:rPr>
        <w:t xml:space="preserve"> Urzędu – do kontroli stosują się w pełni przepisy </w:t>
      </w:r>
      <w:r w:rsidR="009105CE" w:rsidRPr="00D84154">
        <w:rPr>
          <w:rFonts w:ascii="Times New Roman" w:hAnsi="Times New Roman" w:cs="Times New Roman"/>
          <w:color w:val="000000" w:themeColor="text1"/>
          <w:sz w:val="24"/>
          <w:szCs w:val="24"/>
        </w:rPr>
        <w:t xml:space="preserve">ustawy z dnia 6 marca 2018 r. </w:t>
      </w:r>
      <w:r w:rsidR="00E9537C">
        <w:rPr>
          <w:rFonts w:ascii="Times New Roman" w:hAnsi="Times New Roman" w:cs="Times New Roman"/>
          <w:color w:val="000000" w:themeColor="text1"/>
          <w:sz w:val="24"/>
          <w:szCs w:val="24"/>
        </w:rPr>
        <w:t>–</w:t>
      </w:r>
      <w:r w:rsidR="009105CE" w:rsidRPr="00D84154">
        <w:rPr>
          <w:rFonts w:ascii="Times New Roman" w:hAnsi="Times New Roman" w:cs="Times New Roman"/>
          <w:color w:val="000000" w:themeColor="text1"/>
          <w:sz w:val="24"/>
          <w:szCs w:val="24"/>
        </w:rPr>
        <w:t xml:space="preserve"> P</w:t>
      </w:r>
      <w:r w:rsidRPr="00D84154">
        <w:rPr>
          <w:rFonts w:ascii="Times New Roman" w:hAnsi="Times New Roman" w:cs="Times New Roman"/>
          <w:color w:val="000000" w:themeColor="text1"/>
          <w:sz w:val="24"/>
          <w:szCs w:val="24"/>
        </w:rPr>
        <w:t>raw</w:t>
      </w:r>
      <w:r w:rsidR="009105CE" w:rsidRPr="00D84154">
        <w:rPr>
          <w:rFonts w:ascii="Times New Roman" w:hAnsi="Times New Roman" w:cs="Times New Roman"/>
          <w:color w:val="000000" w:themeColor="text1"/>
          <w:sz w:val="24"/>
          <w:szCs w:val="24"/>
        </w:rPr>
        <w:t>o</w:t>
      </w:r>
      <w:r w:rsidRPr="00D84154">
        <w:rPr>
          <w:rFonts w:ascii="Times New Roman" w:hAnsi="Times New Roman" w:cs="Times New Roman"/>
          <w:color w:val="000000" w:themeColor="text1"/>
          <w:sz w:val="24"/>
          <w:szCs w:val="24"/>
        </w:rPr>
        <w:t xml:space="preserve"> przedsiębiorców o jej prowadzeniu w godzinach pracy przedsiębiorcy. Tymczasem dla porównania w przeszukaniu, o którym mowa w </w:t>
      </w:r>
      <w:r w:rsidR="008D5A48">
        <w:rPr>
          <w:rFonts w:ascii="Times New Roman" w:hAnsi="Times New Roman" w:cs="Times New Roman"/>
          <w:color w:val="000000" w:themeColor="text1"/>
          <w:sz w:val="24"/>
          <w:szCs w:val="24"/>
        </w:rPr>
        <w:t>K</w:t>
      </w:r>
      <w:r w:rsidRPr="00D84154">
        <w:rPr>
          <w:rFonts w:ascii="Times New Roman" w:hAnsi="Times New Roman" w:cs="Times New Roman"/>
          <w:color w:val="000000" w:themeColor="text1"/>
          <w:sz w:val="24"/>
          <w:szCs w:val="24"/>
        </w:rPr>
        <w:t>odeksie postępowania karnego, przewiduje się możliwość prowadzenia przeszukania w porze nocnej, a szczególne ograniczenia w t</w:t>
      </w:r>
      <w:r w:rsidR="00C612AC">
        <w:rPr>
          <w:rFonts w:ascii="Times New Roman" w:hAnsi="Times New Roman" w:cs="Times New Roman"/>
          <w:color w:val="000000" w:themeColor="text1"/>
          <w:sz w:val="24"/>
          <w:szCs w:val="24"/>
        </w:rPr>
        <w:t>ym zakresie występują jedynie w </w:t>
      </w:r>
      <w:r w:rsidRPr="00D84154">
        <w:rPr>
          <w:rFonts w:ascii="Times New Roman" w:hAnsi="Times New Roman" w:cs="Times New Roman"/>
          <w:color w:val="000000" w:themeColor="text1"/>
          <w:sz w:val="24"/>
          <w:szCs w:val="24"/>
        </w:rPr>
        <w:t xml:space="preserve">odniesieniu do lokali zamieszkałych (art. 221 </w:t>
      </w:r>
      <w:r w:rsidR="009105CE" w:rsidRPr="00D84154">
        <w:rPr>
          <w:rFonts w:ascii="Times New Roman" w:hAnsi="Times New Roman" w:cs="Times New Roman"/>
          <w:color w:val="000000" w:themeColor="text1"/>
          <w:sz w:val="24"/>
          <w:szCs w:val="24"/>
        </w:rPr>
        <w:t xml:space="preserve">ustawy z dnia 6 czerwca 1997 r. </w:t>
      </w:r>
      <w:r w:rsidR="008D5A48">
        <w:rPr>
          <w:rFonts w:ascii="Times New Roman" w:hAnsi="Times New Roman" w:cs="Times New Roman"/>
          <w:color w:val="000000" w:themeColor="text1"/>
          <w:sz w:val="24"/>
          <w:szCs w:val="24"/>
        </w:rPr>
        <w:t>–</w:t>
      </w:r>
      <w:r w:rsidR="009105CE" w:rsidRPr="00D84154">
        <w:rPr>
          <w:rFonts w:ascii="Times New Roman" w:hAnsi="Times New Roman" w:cs="Times New Roman"/>
          <w:color w:val="000000" w:themeColor="text1"/>
          <w:sz w:val="24"/>
          <w:szCs w:val="24"/>
        </w:rPr>
        <w:t xml:space="preserve"> Kodeks postępowania karnego</w:t>
      </w:r>
      <w:r w:rsidR="00196831" w:rsidRPr="00D84154">
        <w:rPr>
          <w:rFonts w:ascii="Times New Roman" w:hAnsi="Times New Roman" w:cs="Times New Roman"/>
          <w:color w:val="000000" w:themeColor="text1"/>
          <w:sz w:val="24"/>
          <w:szCs w:val="24"/>
        </w:rPr>
        <w:t xml:space="preserve"> </w:t>
      </w:r>
      <w:r w:rsidR="008D5A48">
        <w:rPr>
          <w:rFonts w:ascii="Times New Roman" w:hAnsi="Times New Roman" w:cs="Times New Roman"/>
          <w:color w:val="000000" w:themeColor="text1"/>
          <w:sz w:val="24"/>
          <w:szCs w:val="24"/>
        </w:rPr>
        <w:t>(</w:t>
      </w:r>
      <w:r w:rsidR="00196831" w:rsidRPr="00D84154">
        <w:rPr>
          <w:rFonts w:ascii="Times New Roman" w:hAnsi="Times New Roman" w:cs="Times New Roman"/>
          <w:color w:val="000000" w:themeColor="text1"/>
          <w:sz w:val="24"/>
          <w:szCs w:val="24"/>
        </w:rPr>
        <w:t xml:space="preserve">Dz. U. z </w:t>
      </w:r>
      <w:r w:rsidR="0074777B" w:rsidRPr="00D84154">
        <w:rPr>
          <w:rFonts w:ascii="Times New Roman" w:hAnsi="Times New Roman" w:cs="Times New Roman"/>
          <w:color w:val="000000" w:themeColor="text1"/>
          <w:sz w:val="24"/>
          <w:szCs w:val="24"/>
        </w:rPr>
        <w:t>2022 r. poz. 1375</w:t>
      </w:r>
      <w:r w:rsidR="00196831" w:rsidRPr="00D84154">
        <w:rPr>
          <w:rFonts w:ascii="Times New Roman" w:hAnsi="Times New Roman" w:cs="Times New Roman"/>
          <w:color w:val="000000" w:themeColor="text1"/>
          <w:sz w:val="24"/>
          <w:szCs w:val="24"/>
        </w:rPr>
        <w:t>, z późn. zm.</w:t>
      </w:r>
      <w:r w:rsidRPr="00D84154">
        <w:rPr>
          <w:rFonts w:ascii="Times New Roman" w:hAnsi="Times New Roman" w:cs="Times New Roman"/>
          <w:color w:val="000000" w:themeColor="text1"/>
          <w:sz w:val="24"/>
          <w:szCs w:val="24"/>
        </w:rPr>
        <w:t>)</w:t>
      </w:r>
      <w:r w:rsidR="008D5A48">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Projektowane przepisy mają na celu ustanowienie ram dla instytucji przeszukania w toku postępowania z zakresu ochrony konkurencji w sposób, który z jednej strony będzie odpowiadał specyfice instytucji przeszukania (działanie w oparciu o zgodę sądu, działanie w interesie publicznym w celu zabezpieczenia dowodów, mimo potencjalnego braku kooperacji ze strony przeszukiwanego), a z drugiej </w:t>
      </w:r>
      <w:r w:rsidR="009105CE" w:rsidRPr="00D84154">
        <w:rPr>
          <w:rFonts w:ascii="Times New Roman" w:hAnsi="Times New Roman" w:cs="Times New Roman"/>
          <w:color w:val="000000" w:themeColor="text1"/>
          <w:sz w:val="24"/>
          <w:szCs w:val="24"/>
        </w:rPr>
        <w:t xml:space="preserve">strony </w:t>
      </w:r>
      <w:r w:rsidRPr="00D84154">
        <w:rPr>
          <w:rFonts w:ascii="Times New Roman" w:hAnsi="Times New Roman" w:cs="Times New Roman"/>
          <w:color w:val="000000" w:themeColor="text1"/>
          <w:sz w:val="24"/>
          <w:szCs w:val="24"/>
        </w:rPr>
        <w:t>będzie dostosowany do charakteru działań organu ochrony konkurencji (przeszukania prowadzone w miejscach, w których osoby dysponujące lokalami są najczęściej pracownikami przedsiębiorcy i przebywają w nich zawodowo, w godzinach swojej pracy).</w:t>
      </w:r>
    </w:p>
    <w:p w14:paraId="12C2E55D" w14:textId="75586BEB" w:rsidR="003B511B" w:rsidRPr="00D84154" w:rsidRDefault="003B511B"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W powyższym kontekście, w oparciu o doświadczenia Prezesa Urzędu, a zarazem potrzebę zapewnienia skuteczności przeszukań, w tym skuteczności instrumentów prawnych służących zabezpieczaniu dowodów ewentualnych naruszeń art. 101 i </w:t>
      </w:r>
      <w:r w:rsidR="00196831" w:rsidRPr="00D84154">
        <w:rPr>
          <w:rFonts w:ascii="Times New Roman" w:hAnsi="Times New Roman" w:cs="Times New Roman"/>
          <w:color w:val="000000" w:themeColor="text1"/>
          <w:sz w:val="24"/>
          <w:szCs w:val="24"/>
        </w:rPr>
        <w:t xml:space="preserve">art. </w:t>
      </w:r>
      <w:r w:rsidR="00C612AC">
        <w:rPr>
          <w:rFonts w:ascii="Times New Roman" w:hAnsi="Times New Roman" w:cs="Times New Roman"/>
          <w:color w:val="000000" w:themeColor="text1"/>
          <w:sz w:val="24"/>
          <w:szCs w:val="24"/>
        </w:rPr>
        <w:t>102 TFUE, zdecydowano o </w:t>
      </w:r>
      <w:r w:rsidRPr="00D84154">
        <w:rPr>
          <w:rFonts w:ascii="Times New Roman" w:hAnsi="Times New Roman" w:cs="Times New Roman"/>
          <w:color w:val="000000" w:themeColor="text1"/>
          <w:sz w:val="24"/>
          <w:szCs w:val="24"/>
        </w:rPr>
        <w:t>wprowadzeniu dwóch rozwiązań. W pierwszej kolejności uznano, że o ile przeszukiwany przedsiębiorca zgadza się na kontynuowanie przeszukania poza formalnymi godzinami swojej pracy (i np. poleci swoim wybranym pracownikom pracę w nadgodzinach bądź tak zorganizuje pracę swojego przedsiębiorstwa, że niektórzy jego pracownicy będą pracowali w innych godzinach), to przepisy powinny jednoznaczni</w:t>
      </w:r>
      <w:r w:rsidR="00C612AC">
        <w:rPr>
          <w:rFonts w:ascii="Times New Roman" w:hAnsi="Times New Roman" w:cs="Times New Roman"/>
          <w:color w:val="000000" w:themeColor="text1"/>
          <w:sz w:val="24"/>
          <w:szCs w:val="24"/>
        </w:rPr>
        <w:t>e taką możliwość dopuszczać – w </w:t>
      </w:r>
      <w:r w:rsidRPr="00D84154">
        <w:rPr>
          <w:rFonts w:ascii="Times New Roman" w:hAnsi="Times New Roman" w:cs="Times New Roman"/>
          <w:color w:val="000000" w:themeColor="text1"/>
          <w:sz w:val="24"/>
          <w:szCs w:val="24"/>
        </w:rPr>
        <w:t xml:space="preserve">dotychczasowym stanie prawnym taka możliwość budziła wątpliwości. Rozwiązanie takie jest korzystne dla przedsiębiorców, ponieważ zdarza się, że są oni skłonni dokonać tymczasowych zmian w organizacji pracy swoich przedsiębiorstw w celu zapewnienia </w:t>
      </w:r>
      <w:r w:rsidRPr="00D84154">
        <w:rPr>
          <w:rFonts w:ascii="Times New Roman" w:hAnsi="Times New Roman" w:cs="Times New Roman"/>
          <w:color w:val="000000" w:themeColor="text1"/>
          <w:sz w:val="24"/>
          <w:szCs w:val="24"/>
        </w:rPr>
        <w:lastRenderedPageBreak/>
        <w:t>szybszego przebiegu przeszukania i w konsekwencji szybszego opuszczenia przedsiębiorstwa przez przeszukujących. Innymi słowy, niektórzy przedsiębiorcy wolą</w:t>
      </w:r>
      <w:r w:rsidR="00D17DC9">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aby przeszukanie odznaczało się większym skoncentrowaniem w czasie, a mniejszą rozpiętością czasową rozumianą jako liczba dni, w których podejmowane są czynności. Projektowane rozwiązanie stwarza niebudzące wątpliwości podstawy prawne do takiego sposobu działania.</w:t>
      </w:r>
    </w:p>
    <w:p w14:paraId="4E095C1D" w14:textId="46C46DD9" w:rsidR="003B511B" w:rsidRPr="00D84154" w:rsidRDefault="003B511B"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Projektowane rozwiązanie przewiduje również, że czynności przeszukania mogą być kontynuowane poza godzinami pracy przedsiębiorcy, ale warunkuje to wystąpieniem uzasadnionych podstaw do takiego działania. W tym kontekście należy w pierwszej kolejności zwrócić uwagę, że rozwiązanie takie przesądza, że poza godzinami pracy przeszukanie może być jedynie kontynuowane (tj. musi rozpocząć się w godzinach pracy, a gdy przeszukiwany już wie, że toczy się przeszukanie, to ewentualnie dopiero wtedy może być ono kontynuowane również poza godzinami pracy). Rozwiązanie takie zapewnia również skuteczność przeszukania przez usunięcie możliwości obstrukcji działań przeszukujących. Należy zwrócić uwagę, że przeszukanie </w:t>
      </w:r>
      <w:r w:rsidR="00196831" w:rsidRPr="00D84154">
        <w:rPr>
          <w:rFonts w:ascii="Times New Roman" w:hAnsi="Times New Roman" w:cs="Times New Roman"/>
          <w:color w:val="000000" w:themeColor="text1"/>
          <w:sz w:val="24"/>
          <w:szCs w:val="24"/>
        </w:rPr>
        <w:t xml:space="preserve">jest </w:t>
      </w:r>
      <w:r w:rsidRPr="00D84154">
        <w:rPr>
          <w:rFonts w:ascii="Times New Roman" w:hAnsi="Times New Roman" w:cs="Times New Roman"/>
          <w:color w:val="000000" w:themeColor="text1"/>
          <w:sz w:val="24"/>
          <w:szCs w:val="24"/>
        </w:rPr>
        <w:t xml:space="preserve">prowadzone przede wszystkim po to, aby zabezpieczyć dowody, które w braku dokonania przeszukania mogłyby być zniszczone albo ukryte – przeszukanie prowadzone jest za zgodą sądu i z oczywistych względów może przebiegać wbrew woli przeszukiwanego. Projektowane rozwiązanie zakłada zatem, że niepożądana byłaby sytuacja, gdyby przeszukanie mogło podlegać obstrukcji np. </w:t>
      </w:r>
      <w:r w:rsidR="00196831" w:rsidRPr="00D84154">
        <w:rPr>
          <w:rFonts w:ascii="Times New Roman" w:hAnsi="Times New Roman" w:cs="Times New Roman"/>
          <w:color w:val="000000" w:themeColor="text1"/>
          <w:sz w:val="24"/>
          <w:szCs w:val="24"/>
        </w:rPr>
        <w:t xml:space="preserve">w ten </w:t>
      </w:r>
      <w:r w:rsidRPr="00D84154">
        <w:rPr>
          <w:rFonts w:ascii="Times New Roman" w:hAnsi="Times New Roman" w:cs="Times New Roman"/>
          <w:color w:val="000000" w:themeColor="text1"/>
          <w:sz w:val="24"/>
          <w:szCs w:val="24"/>
        </w:rPr>
        <w:t xml:space="preserve">sposób, że przeszukujący spowalnia bieg przeszukania po to, aby przedłużyć je do momentu upływu godzin swojej pracy, zmuszając tym przeszukujących do opuszczenia miejsca przeszukania nim dojdzie do podjęcia czynności przeszukania istotnych dla zabezpieczenia dowodów. Powyższe niwelowałoby skuteczność działań dochodzeniowych Prezesa Urzędu. Należy jednocześnie wskazać, że wszystkie przeszukania prowadzone przez Prezesa Urzędu podlegają kontroli </w:t>
      </w:r>
      <w:r w:rsidR="00196831" w:rsidRPr="00D84154">
        <w:rPr>
          <w:rFonts w:ascii="Times New Roman" w:hAnsi="Times New Roman" w:cs="Times New Roman"/>
          <w:color w:val="000000" w:themeColor="text1"/>
          <w:sz w:val="24"/>
          <w:szCs w:val="24"/>
        </w:rPr>
        <w:t>S</w:t>
      </w:r>
      <w:r w:rsidRPr="00D84154">
        <w:rPr>
          <w:rFonts w:ascii="Times New Roman" w:hAnsi="Times New Roman" w:cs="Times New Roman"/>
          <w:color w:val="000000" w:themeColor="text1"/>
          <w:sz w:val="24"/>
          <w:szCs w:val="24"/>
        </w:rPr>
        <w:t xml:space="preserve">ądu </w:t>
      </w:r>
      <w:r w:rsidR="00196831" w:rsidRPr="00D84154">
        <w:rPr>
          <w:rFonts w:ascii="Times New Roman" w:hAnsi="Times New Roman" w:cs="Times New Roman"/>
          <w:color w:val="000000" w:themeColor="text1"/>
          <w:sz w:val="24"/>
          <w:szCs w:val="24"/>
        </w:rPr>
        <w:t>O</w:t>
      </w:r>
      <w:r w:rsidRPr="00D84154">
        <w:rPr>
          <w:rFonts w:ascii="Times New Roman" w:hAnsi="Times New Roman" w:cs="Times New Roman"/>
          <w:color w:val="000000" w:themeColor="text1"/>
          <w:sz w:val="24"/>
          <w:szCs w:val="24"/>
        </w:rPr>
        <w:t xml:space="preserve">kręgowego </w:t>
      </w:r>
      <w:r w:rsidR="00C612AC">
        <w:rPr>
          <w:rFonts w:ascii="Times New Roman" w:hAnsi="Times New Roman" w:cs="Times New Roman"/>
          <w:color w:val="000000" w:themeColor="text1"/>
          <w:sz w:val="24"/>
          <w:szCs w:val="24"/>
        </w:rPr>
        <w:t>w </w:t>
      </w:r>
      <w:r w:rsidR="00196831" w:rsidRPr="00D84154">
        <w:rPr>
          <w:rFonts w:ascii="Times New Roman" w:hAnsi="Times New Roman" w:cs="Times New Roman"/>
          <w:color w:val="000000" w:themeColor="text1"/>
          <w:sz w:val="24"/>
          <w:szCs w:val="24"/>
        </w:rPr>
        <w:t xml:space="preserve">Warszawie </w:t>
      </w:r>
      <w:r w:rsidRPr="00D84154">
        <w:rPr>
          <w:rFonts w:ascii="Times New Roman" w:hAnsi="Times New Roman" w:cs="Times New Roman"/>
          <w:color w:val="000000" w:themeColor="text1"/>
          <w:sz w:val="24"/>
          <w:szCs w:val="24"/>
        </w:rPr>
        <w:t xml:space="preserve">(sądu ochrony konkurencji i konsumentów) – przeszukiwany może złożyć zażalenie na czynności przeszukania, a kontrola sądu ma charakter merytoryczny. Z uwagi na sposób określenia przesłanki kontynuowania przeszukania (uzasadnione okoliczności), wszelkie przypadki takiego działania będą podlegały również udokumentowaniu w protokole przeszukania (już obecnie w protokołach tych są każdorazowo </w:t>
      </w:r>
      <w:r w:rsidR="00196831" w:rsidRPr="00D84154">
        <w:rPr>
          <w:rFonts w:ascii="Times New Roman" w:hAnsi="Times New Roman" w:cs="Times New Roman"/>
          <w:color w:val="000000" w:themeColor="text1"/>
          <w:sz w:val="24"/>
          <w:szCs w:val="24"/>
        </w:rPr>
        <w:t xml:space="preserve">wskazywane </w:t>
      </w:r>
      <w:r w:rsidRPr="00D84154">
        <w:rPr>
          <w:rFonts w:ascii="Times New Roman" w:hAnsi="Times New Roman" w:cs="Times New Roman"/>
          <w:color w:val="000000" w:themeColor="text1"/>
          <w:sz w:val="24"/>
          <w:szCs w:val="24"/>
        </w:rPr>
        <w:t>godziny rozpoczęcia i zakończenia prowadzenia czynności każdego dnia przeszukania) – protokoły te również stanowią część materiału dowodowego, który może podlegać analizie przez sąd poddający ocenie ewentualne zażalenie przeszukiwanego na czynności przeszukania.</w:t>
      </w:r>
    </w:p>
    <w:p w14:paraId="237C64D8" w14:textId="77777777" w:rsidR="00A84ACD" w:rsidRPr="00D84154" w:rsidRDefault="00A84ACD" w:rsidP="00D84154">
      <w:pPr>
        <w:spacing w:before="120" w:after="0" w:line="360" w:lineRule="auto"/>
        <w:jc w:val="both"/>
        <w:rPr>
          <w:rFonts w:ascii="Times New Roman" w:hAnsi="Times New Roman" w:cs="Times New Roman"/>
          <w:b/>
          <w:bCs/>
          <w:color w:val="000000" w:themeColor="text1"/>
          <w:sz w:val="24"/>
          <w:szCs w:val="24"/>
        </w:rPr>
      </w:pPr>
      <w:r w:rsidRPr="00D84154">
        <w:rPr>
          <w:rFonts w:ascii="Times New Roman" w:hAnsi="Times New Roman" w:cs="Times New Roman"/>
          <w:b/>
          <w:bCs/>
          <w:color w:val="000000" w:themeColor="text1"/>
          <w:sz w:val="24"/>
          <w:szCs w:val="24"/>
        </w:rPr>
        <w:t>Pomoc Policji</w:t>
      </w:r>
    </w:p>
    <w:p w14:paraId="76357F7E" w14:textId="66B10644" w:rsidR="00A84ACD" w:rsidRPr="00D84154" w:rsidRDefault="00A84ACD"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lastRenderedPageBreak/>
        <w:t xml:space="preserve">Art. 6 ust. 2 </w:t>
      </w:r>
      <w:r w:rsidR="009A3B4B"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 xml:space="preserve">yrektywy przewiduje, że w przypadku gdy przedsiębiorstwo lub związek przedsiębiorstw sprzeciwiają się kontroli, którą nakazał przeprowadzić krajowy administracyjny organ ochrony konkurencji lub którą zatwierdził krajowy organ sądowy, krajowe organy ochrony konkurencji mogą skorzystać z niezbędnej pomocy policji lub równorzędnego organu ścigania, aby móc przeprowadzić kontrolę. Taka pomoc może być również udzielona tytułem środka zapobiegawczego. Wobec powyższego zdecydowano się na kompleksowe uregulowanie w ustawie pomocy </w:t>
      </w:r>
      <w:r w:rsidR="009A3B4B" w:rsidRPr="00D84154">
        <w:rPr>
          <w:rFonts w:ascii="Times New Roman" w:hAnsi="Times New Roman" w:cs="Times New Roman"/>
          <w:color w:val="000000" w:themeColor="text1"/>
          <w:sz w:val="24"/>
          <w:szCs w:val="24"/>
        </w:rPr>
        <w:t>P</w:t>
      </w:r>
      <w:r w:rsidRPr="00D84154">
        <w:rPr>
          <w:rFonts w:ascii="Times New Roman" w:hAnsi="Times New Roman" w:cs="Times New Roman"/>
          <w:color w:val="000000" w:themeColor="text1"/>
          <w:sz w:val="24"/>
          <w:szCs w:val="24"/>
        </w:rPr>
        <w:t>olicji w</w:t>
      </w:r>
      <w:r w:rsidR="00C612AC">
        <w:rPr>
          <w:rFonts w:ascii="Times New Roman" w:hAnsi="Times New Roman" w:cs="Times New Roman"/>
          <w:color w:val="000000" w:themeColor="text1"/>
          <w:sz w:val="24"/>
          <w:szCs w:val="24"/>
        </w:rPr>
        <w:t xml:space="preserve"> toku kontroli i przeszukania i </w:t>
      </w:r>
      <w:r w:rsidRPr="00D84154">
        <w:rPr>
          <w:rFonts w:ascii="Times New Roman" w:hAnsi="Times New Roman" w:cs="Times New Roman"/>
          <w:color w:val="000000" w:themeColor="text1"/>
          <w:sz w:val="24"/>
          <w:szCs w:val="24"/>
        </w:rPr>
        <w:t>uchylenia ogólnego przepisu w tym zakresie</w:t>
      </w:r>
      <w:r w:rsidR="00D17DC9">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tj. art. 10</w:t>
      </w:r>
      <w:r w:rsidR="00C612AC">
        <w:rPr>
          <w:rFonts w:ascii="Times New Roman" w:hAnsi="Times New Roman" w:cs="Times New Roman"/>
          <w:color w:val="000000" w:themeColor="text1"/>
          <w:sz w:val="24"/>
          <w:szCs w:val="24"/>
        </w:rPr>
        <w:t>5b ust. 3 ustawy. Rozwiązania w </w:t>
      </w:r>
      <w:r w:rsidRPr="00D84154">
        <w:rPr>
          <w:rFonts w:ascii="Times New Roman" w:hAnsi="Times New Roman" w:cs="Times New Roman"/>
          <w:color w:val="000000" w:themeColor="text1"/>
          <w:sz w:val="24"/>
          <w:szCs w:val="24"/>
        </w:rPr>
        <w:t xml:space="preserve">zakresie pomocy </w:t>
      </w:r>
      <w:r w:rsidR="009A3B4B" w:rsidRPr="00D84154">
        <w:rPr>
          <w:rFonts w:ascii="Times New Roman" w:hAnsi="Times New Roman" w:cs="Times New Roman"/>
          <w:color w:val="000000" w:themeColor="text1"/>
          <w:sz w:val="24"/>
          <w:szCs w:val="24"/>
        </w:rPr>
        <w:t>P</w:t>
      </w:r>
      <w:r w:rsidRPr="00D84154">
        <w:rPr>
          <w:rFonts w:ascii="Times New Roman" w:hAnsi="Times New Roman" w:cs="Times New Roman"/>
          <w:color w:val="000000" w:themeColor="text1"/>
          <w:sz w:val="24"/>
          <w:szCs w:val="24"/>
        </w:rPr>
        <w:t>olicji wzorowano na przepisach rozporządzenia M</w:t>
      </w:r>
      <w:r w:rsidR="009A3B4B" w:rsidRPr="00D84154">
        <w:rPr>
          <w:rFonts w:ascii="Times New Roman" w:hAnsi="Times New Roman" w:cs="Times New Roman"/>
          <w:color w:val="000000" w:themeColor="text1"/>
          <w:sz w:val="24"/>
          <w:szCs w:val="24"/>
        </w:rPr>
        <w:t xml:space="preserve">inistra </w:t>
      </w:r>
      <w:r w:rsidRPr="00D84154">
        <w:rPr>
          <w:rFonts w:ascii="Times New Roman" w:hAnsi="Times New Roman" w:cs="Times New Roman"/>
          <w:color w:val="000000" w:themeColor="text1"/>
          <w:sz w:val="24"/>
          <w:szCs w:val="24"/>
        </w:rPr>
        <w:t>S</w:t>
      </w:r>
      <w:r w:rsidR="009A3B4B" w:rsidRPr="00D84154">
        <w:rPr>
          <w:rFonts w:ascii="Times New Roman" w:hAnsi="Times New Roman" w:cs="Times New Roman"/>
          <w:color w:val="000000" w:themeColor="text1"/>
          <w:sz w:val="24"/>
          <w:szCs w:val="24"/>
        </w:rPr>
        <w:t xml:space="preserve">praw </w:t>
      </w:r>
      <w:r w:rsidRPr="00D84154">
        <w:rPr>
          <w:rFonts w:ascii="Times New Roman" w:hAnsi="Times New Roman" w:cs="Times New Roman"/>
          <w:color w:val="000000" w:themeColor="text1"/>
          <w:sz w:val="24"/>
          <w:szCs w:val="24"/>
        </w:rPr>
        <w:t>W</w:t>
      </w:r>
      <w:r w:rsidR="009A3B4B" w:rsidRPr="00D84154">
        <w:rPr>
          <w:rFonts w:ascii="Times New Roman" w:hAnsi="Times New Roman" w:cs="Times New Roman"/>
          <w:color w:val="000000" w:themeColor="text1"/>
          <w:sz w:val="24"/>
          <w:szCs w:val="24"/>
        </w:rPr>
        <w:t xml:space="preserve">ewnętrznych </w:t>
      </w:r>
      <w:r w:rsidRPr="00D84154">
        <w:rPr>
          <w:rFonts w:ascii="Times New Roman" w:hAnsi="Times New Roman" w:cs="Times New Roman"/>
          <w:color w:val="000000" w:themeColor="text1"/>
          <w:sz w:val="24"/>
          <w:szCs w:val="24"/>
        </w:rPr>
        <w:t>i</w:t>
      </w:r>
      <w:r w:rsidR="009A3B4B" w:rsidRPr="00D84154">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A</w:t>
      </w:r>
      <w:r w:rsidR="009A3B4B" w:rsidRPr="00D84154">
        <w:rPr>
          <w:rFonts w:ascii="Times New Roman" w:hAnsi="Times New Roman" w:cs="Times New Roman"/>
          <w:color w:val="000000" w:themeColor="text1"/>
          <w:sz w:val="24"/>
          <w:szCs w:val="24"/>
        </w:rPr>
        <w:t>dministracji</w:t>
      </w:r>
      <w:r w:rsidRPr="00D84154">
        <w:rPr>
          <w:rFonts w:ascii="Times New Roman" w:hAnsi="Times New Roman" w:cs="Times New Roman"/>
          <w:color w:val="000000" w:themeColor="text1"/>
          <w:sz w:val="24"/>
          <w:szCs w:val="24"/>
        </w:rPr>
        <w:t xml:space="preserve"> z dnia 15 marca 2019 r. w sprawie asystowania komornikowi przez Policję, Straż Graniczną lub Służbę Ochrony Państwa przy wykonywaniu czynności egzekucyjnych </w:t>
      </w:r>
      <w:r w:rsidR="0044448B" w:rsidRPr="00D84154">
        <w:rPr>
          <w:rFonts w:ascii="Times New Roman" w:hAnsi="Times New Roman" w:cs="Times New Roman"/>
          <w:color w:val="000000" w:themeColor="text1"/>
          <w:sz w:val="24"/>
          <w:szCs w:val="24"/>
        </w:rPr>
        <w:t>(Dz. U. poz</w:t>
      </w:r>
      <w:r w:rsidR="009472A8" w:rsidRPr="00D84154">
        <w:rPr>
          <w:rFonts w:ascii="Times New Roman" w:hAnsi="Times New Roman" w:cs="Times New Roman"/>
          <w:color w:val="000000" w:themeColor="text1"/>
          <w:sz w:val="24"/>
          <w:szCs w:val="24"/>
        </w:rPr>
        <w:t>.</w:t>
      </w:r>
      <w:r w:rsidR="0044448B" w:rsidRPr="00D84154">
        <w:rPr>
          <w:rFonts w:ascii="Times New Roman" w:hAnsi="Times New Roman" w:cs="Times New Roman"/>
          <w:color w:val="000000" w:themeColor="text1"/>
          <w:sz w:val="24"/>
          <w:szCs w:val="24"/>
        </w:rPr>
        <w:t xml:space="preserve"> 538) </w:t>
      </w:r>
      <w:r w:rsidRPr="00D84154">
        <w:rPr>
          <w:rFonts w:ascii="Times New Roman" w:hAnsi="Times New Roman" w:cs="Times New Roman"/>
          <w:color w:val="000000" w:themeColor="text1"/>
          <w:sz w:val="24"/>
          <w:szCs w:val="24"/>
        </w:rPr>
        <w:t xml:space="preserve">oraz art. 13k ustawy z dnia </w:t>
      </w:r>
      <w:r w:rsidR="00860532" w:rsidRPr="00D84154">
        <w:rPr>
          <w:rFonts w:ascii="Times New Roman" w:hAnsi="Times New Roman" w:cs="Times New Roman"/>
          <w:color w:val="000000" w:themeColor="text1"/>
          <w:sz w:val="24"/>
          <w:szCs w:val="24"/>
        </w:rPr>
        <w:t>8</w:t>
      </w:r>
      <w:r w:rsidRPr="00D84154">
        <w:rPr>
          <w:rFonts w:ascii="Times New Roman" w:hAnsi="Times New Roman" w:cs="Times New Roman"/>
          <w:color w:val="000000" w:themeColor="text1"/>
          <w:sz w:val="24"/>
          <w:szCs w:val="24"/>
        </w:rPr>
        <w:t xml:space="preserve"> marca 2013 r o przeciwdziałaniu nadmiernym opóźnieniom w transakcjach handlowych (Dz. U. z </w:t>
      </w:r>
      <w:r w:rsidR="00C612AC">
        <w:rPr>
          <w:rFonts w:ascii="Times New Roman" w:hAnsi="Times New Roman" w:cs="Times New Roman"/>
          <w:color w:val="000000" w:themeColor="text1"/>
          <w:sz w:val="24"/>
          <w:szCs w:val="24"/>
        </w:rPr>
        <w:t>2022 r. poz. 893, z późn. </w:t>
      </w:r>
      <w:r w:rsidR="0074777B" w:rsidRPr="00D84154">
        <w:rPr>
          <w:rFonts w:ascii="Times New Roman" w:hAnsi="Times New Roman" w:cs="Times New Roman"/>
          <w:color w:val="000000" w:themeColor="text1"/>
          <w:sz w:val="24"/>
          <w:szCs w:val="24"/>
        </w:rPr>
        <w:t>zm.</w:t>
      </w:r>
      <w:r w:rsidRPr="00D84154">
        <w:rPr>
          <w:rFonts w:ascii="Times New Roman" w:hAnsi="Times New Roman" w:cs="Times New Roman"/>
          <w:color w:val="000000" w:themeColor="text1"/>
          <w:sz w:val="24"/>
          <w:szCs w:val="24"/>
        </w:rPr>
        <w:t>). W konsekwencji zaproponowano wprowadzenie odrębnych regulacji w zakresie pomocy Policji lub organu kontroli państwowej w toku kontroli i</w:t>
      </w:r>
      <w:r w:rsidR="00F65A77">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toku przeszukania. W toku kontroli zgodnie z nowo</w:t>
      </w:r>
      <w:r w:rsidR="00D17DC9">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 xml:space="preserve">projektowanym art. 105ca Prezes Urzędu będzie mógł zwrócić się do Policji </w:t>
      </w:r>
      <w:r w:rsidR="00C612AC">
        <w:rPr>
          <w:rFonts w:ascii="Times New Roman" w:hAnsi="Times New Roman" w:cs="Times New Roman"/>
          <w:color w:val="000000" w:themeColor="text1"/>
          <w:sz w:val="24"/>
          <w:szCs w:val="24"/>
        </w:rPr>
        <w:t>o </w:t>
      </w:r>
      <w:r w:rsidR="00105878" w:rsidRPr="00D84154">
        <w:rPr>
          <w:rFonts w:ascii="Times New Roman" w:hAnsi="Times New Roman" w:cs="Times New Roman"/>
          <w:color w:val="000000" w:themeColor="text1"/>
          <w:sz w:val="24"/>
          <w:szCs w:val="24"/>
        </w:rPr>
        <w:t>udzielenie pomocy</w:t>
      </w:r>
      <w:r w:rsidR="001532F1" w:rsidRPr="00D84154">
        <w:rPr>
          <w:rFonts w:ascii="Times New Roman" w:hAnsi="Times New Roman" w:cs="Times New Roman"/>
          <w:color w:val="000000" w:themeColor="text1"/>
          <w:sz w:val="24"/>
          <w:szCs w:val="24"/>
        </w:rPr>
        <w:t>, jeżeli jest to niezbędne do przeprowadzenia kontroli</w:t>
      </w:r>
      <w:r w:rsidR="00105878" w:rsidRPr="00D84154">
        <w:rPr>
          <w:rFonts w:ascii="Times New Roman" w:hAnsi="Times New Roman" w:cs="Times New Roman"/>
          <w:color w:val="000000" w:themeColor="text1"/>
          <w:sz w:val="24"/>
          <w:szCs w:val="24"/>
        </w:rPr>
        <w:t>. Prezes będzie mógł jak dotychczas zwrócić się o pomoc w kontroli również do</w:t>
      </w:r>
      <w:r w:rsidRPr="00D84154">
        <w:rPr>
          <w:rFonts w:ascii="Times New Roman" w:hAnsi="Times New Roman" w:cs="Times New Roman"/>
          <w:color w:val="000000" w:themeColor="text1"/>
          <w:sz w:val="24"/>
          <w:szCs w:val="24"/>
        </w:rPr>
        <w:t xml:space="preserve"> organu kont</w:t>
      </w:r>
      <w:r w:rsidR="00E70AAB" w:rsidRPr="00D84154">
        <w:rPr>
          <w:rFonts w:ascii="Times New Roman" w:hAnsi="Times New Roman" w:cs="Times New Roman"/>
          <w:color w:val="000000" w:themeColor="text1"/>
          <w:sz w:val="24"/>
          <w:szCs w:val="24"/>
        </w:rPr>
        <w:t>roli państwowej</w:t>
      </w:r>
      <w:r w:rsidRPr="00D84154">
        <w:rPr>
          <w:rFonts w:ascii="Times New Roman" w:hAnsi="Times New Roman" w:cs="Times New Roman"/>
          <w:color w:val="000000" w:themeColor="text1"/>
          <w:sz w:val="24"/>
          <w:szCs w:val="24"/>
        </w:rPr>
        <w:t>. W</w:t>
      </w:r>
      <w:r w:rsidR="00C612AC">
        <w:rPr>
          <w:rFonts w:ascii="Times New Roman" w:hAnsi="Times New Roman" w:cs="Times New Roman"/>
          <w:color w:val="000000" w:themeColor="text1"/>
          <w:sz w:val="24"/>
          <w:szCs w:val="24"/>
        </w:rPr>
        <w:t> ust. </w:t>
      </w:r>
      <w:r w:rsidRPr="00D84154">
        <w:rPr>
          <w:rFonts w:ascii="Times New Roman" w:hAnsi="Times New Roman" w:cs="Times New Roman"/>
          <w:color w:val="000000" w:themeColor="text1"/>
          <w:sz w:val="24"/>
          <w:szCs w:val="24"/>
        </w:rPr>
        <w:t>2 tego artykułu przesądzono, ż</w:t>
      </w:r>
      <w:r w:rsidR="00D17DC9">
        <w:rPr>
          <w:rFonts w:ascii="Times New Roman" w:hAnsi="Times New Roman" w:cs="Times New Roman"/>
          <w:color w:val="000000" w:themeColor="text1"/>
          <w:sz w:val="24"/>
          <w:szCs w:val="24"/>
        </w:rPr>
        <w:t>e</w:t>
      </w:r>
      <w:r w:rsidRPr="00D84154">
        <w:rPr>
          <w:rFonts w:ascii="Times New Roman" w:hAnsi="Times New Roman" w:cs="Times New Roman"/>
          <w:color w:val="000000" w:themeColor="text1"/>
          <w:sz w:val="24"/>
          <w:szCs w:val="24"/>
        </w:rPr>
        <w:t xml:space="preserve"> Policja lub organ kontroli państwowej mają obowiązek zapewnić pomoc w kontroli na wniosek Prezesa. Ponadto uregulowano zakres pomocy Policji przez wskazanie, że polega ona na zapewnieniu porządku w miejscu przeprowadzania kontroli, osobistego bezpieczeństwa osób obecnych w miejscu przeprowadzania kontroli, a także ustaleni</w:t>
      </w:r>
      <w:r w:rsidR="00860532" w:rsidRPr="00D84154">
        <w:rPr>
          <w:rFonts w:ascii="Times New Roman" w:hAnsi="Times New Roman" w:cs="Times New Roman"/>
          <w:color w:val="000000" w:themeColor="text1"/>
          <w:sz w:val="24"/>
          <w:szCs w:val="24"/>
        </w:rPr>
        <w:t>u</w:t>
      </w:r>
      <w:r w:rsidRPr="00D84154">
        <w:rPr>
          <w:rFonts w:ascii="Times New Roman" w:hAnsi="Times New Roman" w:cs="Times New Roman"/>
          <w:color w:val="000000" w:themeColor="text1"/>
          <w:sz w:val="24"/>
          <w:szCs w:val="24"/>
        </w:rPr>
        <w:t xml:space="preserve"> tożsamości osób. W art. 105ca ust. 3 </w:t>
      </w:r>
      <w:r w:rsidR="004F7331" w:rsidRPr="00D84154">
        <w:rPr>
          <w:rFonts w:ascii="Times New Roman" w:hAnsi="Times New Roman" w:cs="Times New Roman"/>
          <w:color w:val="000000" w:themeColor="text1"/>
          <w:sz w:val="24"/>
          <w:szCs w:val="24"/>
        </w:rPr>
        <w:t>i</w:t>
      </w:r>
      <w:r w:rsidRPr="00D84154">
        <w:rPr>
          <w:rFonts w:ascii="Times New Roman" w:hAnsi="Times New Roman" w:cs="Times New Roman"/>
          <w:color w:val="000000" w:themeColor="text1"/>
          <w:sz w:val="24"/>
          <w:szCs w:val="24"/>
        </w:rPr>
        <w:t xml:space="preserve"> 4 </w:t>
      </w:r>
      <w:r w:rsidR="00860532" w:rsidRPr="00D84154">
        <w:rPr>
          <w:rFonts w:ascii="Times New Roman" w:hAnsi="Times New Roman" w:cs="Times New Roman"/>
          <w:color w:val="000000" w:themeColor="text1"/>
          <w:sz w:val="24"/>
          <w:szCs w:val="24"/>
        </w:rPr>
        <w:t xml:space="preserve">ustawy </w:t>
      </w:r>
      <w:r w:rsidRPr="00D84154">
        <w:rPr>
          <w:rFonts w:ascii="Times New Roman" w:hAnsi="Times New Roman" w:cs="Times New Roman"/>
          <w:color w:val="000000" w:themeColor="text1"/>
          <w:sz w:val="24"/>
          <w:szCs w:val="24"/>
        </w:rPr>
        <w:t>uregulowano szczegółow</w:t>
      </w:r>
      <w:r w:rsidR="00860532" w:rsidRPr="00D84154">
        <w:rPr>
          <w:rFonts w:ascii="Times New Roman" w:hAnsi="Times New Roman" w:cs="Times New Roman"/>
          <w:color w:val="000000" w:themeColor="text1"/>
          <w:sz w:val="24"/>
          <w:szCs w:val="24"/>
        </w:rPr>
        <w:t>o</w:t>
      </w:r>
      <w:r w:rsidRPr="00D84154">
        <w:rPr>
          <w:rFonts w:ascii="Times New Roman" w:hAnsi="Times New Roman" w:cs="Times New Roman"/>
          <w:color w:val="000000" w:themeColor="text1"/>
          <w:sz w:val="24"/>
          <w:szCs w:val="24"/>
        </w:rPr>
        <w:t xml:space="preserve"> procedurę występowania przez Prezesa Urzędu z wnioskiem o pomoc do ww. podmiotów oraz kwestię rozliczania kosztów jej udzielenia.</w:t>
      </w:r>
      <w:r w:rsidR="00F65A77">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Jeżeli chodzi o pomoc w toku przeszukania</w:t>
      </w:r>
      <w:r w:rsidR="00962E45">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została ona uregulowana w art. 105n</w:t>
      </w:r>
      <w:r w:rsidR="00F3603A" w:rsidRPr="00D84154">
        <w:rPr>
          <w:rFonts w:ascii="Times New Roman" w:hAnsi="Times New Roman" w:cs="Times New Roman"/>
          <w:color w:val="000000" w:themeColor="text1"/>
          <w:sz w:val="24"/>
          <w:szCs w:val="24"/>
        </w:rPr>
        <w:t>c</w:t>
      </w:r>
      <w:r w:rsidRPr="00D84154">
        <w:rPr>
          <w:rFonts w:ascii="Times New Roman" w:hAnsi="Times New Roman" w:cs="Times New Roman"/>
          <w:color w:val="000000" w:themeColor="text1"/>
          <w:sz w:val="24"/>
          <w:szCs w:val="24"/>
        </w:rPr>
        <w:t>. Co do zasady tożsama</w:t>
      </w:r>
      <w:r w:rsidR="00860532" w:rsidRPr="00D84154">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jak w </w:t>
      </w:r>
      <w:r w:rsidR="00860532" w:rsidRPr="00D84154">
        <w:rPr>
          <w:rFonts w:ascii="Times New Roman" w:hAnsi="Times New Roman" w:cs="Times New Roman"/>
          <w:color w:val="000000" w:themeColor="text1"/>
          <w:sz w:val="24"/>
          <w:szCs w:val="24"/>
        </w:rPr>
        <w:t xml:space="preserve">przypadku </w:t>
      </w:r>
      <w:r w:rsidRPr="00D84154">
        <w:rPr>
          <w:rFonts w:ascii="Times New Roman" w:hAnsi="Times New Roman" w:cs="Times New Roman"/>
          <w:color w:val="000000" w:themeColor="text1"/>
          <w:sz w:val="24"/>
          <w:szCs w:val="24"/>
        </w:rPr>
        <w:t>kontroli ma być procedura występowania przez Prezesa Urzędu z wnioskiem o pomoc. Na</w:t>
      </w:r>
      <w:r w:rsidR="00C612AC">
        <w:rPr>
          <w:rFonts w:ascii="Times New Roman" w:hAnsi="Times New Roman" w:cs="Times New Roman"/>
          <w:color w:val="000000" w:themeColor="text1"/>
          <w:sz w:val="24"/>
          <w:szCs w:val="24"/>
        </w:rPr>
        <w:t>tomiast rozszerzony w </w:t>
      </w:r>
      <w:r w:rsidRPr="00D84154">
        <w:rPr>
          <w:rFonts w:ascii="Times New Roman" w:hAnsi="Times New Roman" w:cs="Times New Roman"/>
          <w:color w:val="000000" w:themeColor="text1"/>
          <w:sz w:val="24"/>
          <w:szCs w:val="24"/>
        </w:rPr>
        <w:t>porównaniu z kontrolą jest zakres pomocy udzielanej przez Policję w toku przeszukania, która w przeciwieństwie do kontroli nie zakłada współdziałania przeszukiwanego. Wobec tego</w:t>
      </w:r>
      <w:r w:rsidR="007044A2" w:rsidRPr="00D84154">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w ust. </w:t>
      </w:r>
      <w:r w:rsidR="004F7331" w:rsidRPr="00D84154">
        <w:rPr>
          <w:rFonts w:ascii="Times New Roman" w:hAnsi="Times New Roman" w:cs="Times New Roman"/>
          <w:color w:val="000000" w:themeColor="text1"/>
          <w:sz w:val="24"/>
          <w:szCs w:val="24"/>
        </w:rPr>
        <w:t>2</w:t>
      </w:r>
      <w:r w:rsidRPr="00D84154">
        <w:rPr>
          <w:rFonts w:ascii="Times New Roman" w:hAnsi="Times New Roman" w:cs="Times New Roman"/>
          <w:color w:val="000000" w:themeColor="text1"/>
          <w:sz w:val="24"/>
          <w:szCs w:val="24"/>
        </w:rPr>
        <w:t xml:space="preserve"> art. 105n</w:t>
      </w:r>
      <w:r w:rsidR="00F3603A" w:rsidRPr="00D84154">
        <w:rPr>
          <w:rFonts w:ascii="Times New Roman" w:hAnsi="Times New Roman" w:cs="Times New Roman"/>
          <w:color w:val="000000" w:themeColor="text1"/>
          <w:sz w:val="24"/>
          <w:szCs w:val="24"/>
        </w:rPr>
        <w:t>c</w:t>
      </w:r>
      <w:r w:rsidRPr="00D84154">
        <w:rPr>
          <w:rFonts w:ascii="Times New Roman" w:hAnsi="Times New Roman" w:cs="Times New Roman"/>
          <w:color w:val="000000" w:themeColor="text1"/>
          <w:sz w:val="24"/>
          <w:szCs w:val="24"/>
        </w:rPr>
        <w:t xml:space="preserve"> </w:t>
      </w:r>
      <w:r w:rsidR="00860532" w:rsidRPr="00D84154">
        <w:rPr>
          <w:rFonts w:ascii="Times New Roman" w:hAnsi="Times New Roman" w:cs="Times New Roman"/>
          <w:color w:val="000000" w:themeColor="text1"/>
          <w:sz w:val="24"/>
          <w:szCs w:val="24"/>
        </w:rPr>
        <w:t xml:space="preserve">ustawy </w:t>
      </w:r>
      <w:r w:rsidRPr="00D84154">
        <w:rPr>
          <w:rFonts w:ascii="Times New Roman" w:hAnsi="Times New Roman" w:cs="Times New Roman"/>
          <w:color w:val="000000" w:themeColor="text1"/>
          <w:sz w:val="24"/>
          <w:szCs w:val="24"/>
        </w:rPr>
        <w:t>zaproponowano, aby pomoc udzielana przez funkcjonariuszy Policji polegała na umożliwieniu rozpoczęcia lub przeprowadzenia przeszukania, zapewnieni</w:t>
      </w:r>
      <w:r w:rsidR="007044A2" w:rsidRPr="00D84154">
        <w:rPr>
          <w:rFonts w:ascii="Times New Roman" w:hAnsi="Times New Roman" w:cs="Times New Roman"/>
          <w:color w:val="000000" w:themeColor="text1"/>
          <w:sz w:val="24"/>
          <w:szCs w:val="24"/>
        </w:rPr>
        <w:t>u</w:t>
      </w:r>
      <w:r w:rsidRPr="00D84154">
        <w:rPr>
          <w:rFonts w:ascii="Times New Roman" w:hAnsi="Times New Roman" w:cs="Times New Roman"/>
          <w:color w:val="000000" w:themeColor="text1"/>
          <w:sz w:val="24"/>
          <w:szCs w:val="24"/>
        </w:rPr>
        <w:t xml:space="preserve"> porządku w miejscu jego przeprowadzania, osobistego</w:t>
      </w:r>
      <w:r w:rsidR="00C612AC">
        <w:rPr>
          <w:rFonts w:ascii="Times New Roman" w:hAnsi="Times New Roman" w:cs="Times New Roman"/>
          <w:color w:val="000000" w:themeColor="text1"/>
          <w:sz w:val="24"/>
          <w:szCs w:val="24"/>
        </w:rPr>
        <w:t xml:space="preserve"> bezpieczeństwa osób obecnych w </w:t>
      </w:r>
      <w:r w:rsidRPr="00D84154">
        <w:rPr>
          <w:rFonts w:ascii="Times New Roman" w:hAnsi="Times New Roman" w:cs="Times New Roman"/>
          <w:color w:val="000000" w:themeColor="text1"/>
          <w:sz w:val="24"/>
          <w:szCs w:val="24"/>
        </w:rPr>
        <w:t>miejscu jego przeprowadzania, a także ustaleni</w:t>
      </w:r>
      <w:r w:rsidR="007044A2" w:rsidRPr="00D84154">
        <w:rPr>
          <w:rFonts w:ascii="Times New Roman" w:hAnsi="Times New Roman" w:cs="Times New Roman"/>
          <w:color w:val="000000" w:themeColor="text1"/>
          <w:sz w:val="24"/>
          <w:szCs w:val="24"/>
        </w:rPr>
        <w:t>u</w:t>
      </w:r>
      <w:r w:rsidRPr="00D84154">
        <w:rPr>
          <w:rFonts w:ascii="Times New Roman" w:hAnsi="Times New Roman" w:cs="Times New Roman"/>
          <w:color w:val="000000" w:themeColor="text1"/>
          <w:sz w:val="24"/>
          <w:szCs w:val="24"/>
        </w:rPr>
        <w:t xml:space="preserve"> tożsamości osób. Zgodnie z ust. </w:t>
      </w:r>
      <w:r w:rsidR="00C612AC">
        <w:rPr>
          <w:rFonts w:ascii="Times New Roman" w:hAnsi="Times New Roman" w:cs="Times New Roman"/>
          <w:color w:val="000000" w:themeColor="text1"/>
          <w:sz w:val="24"/>
          <w:szCs w:val="24"/>
        </w:rPr>
        <w:t>3 i 4, w </w:t>
      </w:r>
      <w:r w:rsidRPr="00D84154">
        <w:rPr>
          <w:rFonts w:ascii="Times New Roman" w:hAnsi="Times New Roman" w:cs="Times New Roman"/>
          <w:color w:val="000000" w:themeColor="text1"/>
          <w:sz w:val="24"/>
          <w:szCs w:val="24"/>
        </w:rPr>
        <w:t>przypadku napotkania oporu</w:t>
      </w:r>
      <w:r w:rsidR="00F3603A" w:rsidRPr="00D84154">
        <w:rPr>
          <w:rFonts w:ascii="Times New Roman" w:eastAsiaTheme="minorEastAsia" w:hAnsi="Times New Roman" w:cs="Times New Roman"/>
          <w:sz w:val="24"/>
          <w:szCs w:val="24"/>
          <w:lang w:eastAsia="pl-PL"/>
        </w:rPr>
        <w:t xml:space="preserve"> </w:t>
      </w:r>
      <w:r w:rsidR="00F3603A" w:rsidRPr="00D84154">
        <w:rPr>
          <w:rFonts w:ascii="Times New Roman" w:hAnsi="Times New Roman" w:cs="Times New Roman"/>
          <w:color w:val="000000" w:themeColor="text1"/>
          <w:sz w:val="24"/>
          <w:szCs w:val="24"/>
        </w:rPr>
        <w:t>ze strony przeszukiwanego lub innych osób</w:t>
      </w:r>
      <w:r w:rsidR="00747803" w:rsidRPr="00D84154">
        <w:rPr>
          <w:rFonts w:ascii="Times New Roman" w:hAnsi="Times New Roman" w:cs="Times New Roman"/>
          <w:color w:val="000000" w:themeColor="text1"/>
          <w:sz w:val="24"/>
          <w:szCs w:val="24"/>
        </w:rPr>
        <w:t>,</w:t>
      </w:r>
      <w:r w:rsidR="00F577D1" w:rsidRPr="00D84154">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 xml:space="preserve">który utrudnia lub </w:t>
      </w:r>
      <w:r w:rsidRPr="00D84154">
        <w:rPr>
          <w:rFonts w:ascii="Times New Roman" w:hAnsi="Times New Roman" w:cs="Times New Roman"/>
          <w:color w:val="000000" w:themeColor="text1"/>
          <w:sz w:val="24"/>
          <w:szCs w:val="24"/>
        </w:rPr>
        <w:lastRenderedPageBreak/>
        <w:t>uniemożliwia rozpoczęcie lub przeprowadzenie przeszukania, funkcjonariusz Policji będzie uprawniony ustnie wezwać te osoby do zachowania umożliwiającego rozpoczęcie lub przeprowadzenie przeszukania przez przeszukujących, zaś w przypadku niezastosowania się do wezwania, funkcjonariusz Policji będzie mógł podjąć wobec danej osoby czynności zmierzające do umożliwienia rozpoczęcia lub przeprowadzenia prze</w:t>
      </w:r>
      <w:r w:rsidR="009F1089">
        <w:rPr>
          <w:rFonts w:ascii="Times New Roman" w:hAnsi="Times New Roman" w:cs="Times New Roman"/>
          <w:color w:val="000000" w:themeColor="text1"/>
          <w:sz w:val="24"/>
          <w:szCs w:val="24"/>
        </w:rPr>
        <w:t>szukania przez przeszukujących.</w:t>
      </w:r>
    </w:p>
    <w:p w14:paraId="7E222DFB" w14:textId="7EFC408D" w:rsidR="00061D6E" w:rsidRPr="00D84154" w:rsidRDefault="00020AD4"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Ponadto zaproponowano nowelizację art. 91 ustawy, zgodnie z którą przeszukania w lokalu mieszkalnym lub w jakimkolwiek innym pomieszczeniu, nieruchomości lub środku transportu </w:t>
      </w:r>
      <w:r w:rsidR="00F465E6" w:rsidRPr="00D84154">
        <w:rPr>
          <w:rFonts w:ascii="Times New Roman" w:hAnsi="Times New Roman" w:cs="Times New Roman"/>
          <w:color w:val="000000" w:themeColor="text1"/>
          <w:sz w:val="24"/>
          <w:szCs w:val="24"/>
        </w:rPr>
        <w:t xml:space="preserve">będzie </w:t>
      </w:r>
      <w:r w:rsidRPr="00D84154">
        <w:rPr>
          <w:rFonts w:ascii="Times New Roman" w:hAnsi="Times New Roman" w:cs="Times New Roman"/>
          <w:color w:val="000000" w:themeColor="text1"/>
          <w:sz w:val="24"/>
          <w:szCs w:val="24"/>
        </w:rPr>
        <w:t xml:space="preserve">dokonywać Prezes Urzędu, a nie jak obecnie Policja. Zaproponowano jednocześnie (ust. 5), aby czynności te dokonywane były przy pomocy Policji. </w:t>
      </w:r>
      <w:r w:rsidR="00061D6E" w:rsidRPr="00D84154">
        <w:rPr>
          <w:rFonts w:ascii="Times New Roman" w:hAnsi="Times New Roman" w:cs="Times New Roman"/>
          <w:color w:val="000000" w:themeColor="text1"/>
          <w:sz w:val="24"/>
          <w:szCs w:val="24"/>
        </w:rPr>
        <w:t>Policja na wniosek Prezesa Urzędu zapewnia pomoc w przeszukaniu. Zakres tej pomocy został określony w ust. 6</w:t>
      </w:r>
      <w:r w:rsidR="00F465E6">
        <w:rPr>
          <w:rFonts w:ascii="Times New Roman" w:hAnsi="Times New Roman" w:cs="Times New Roman"/>
          <w:color w:val="000000" w:themeColor="text1"/>
          <w:sz w:val="24"/>
          <w:szCs w:val="24"/>
        </w:rPr>
        <w:t>,</w:t>
      </w:r>
      <w:r w:rsidR="00C612AC">
        <w:rPr>
          <w:rFonts w:ascii="Times New Roman" w:hAnsi="Times New Roman" w:cs="Times New Roman"/>
          <w:color w:val="000000" w:themeColor="text1"/>
          <w:sz w:val="24"/>
          <w:szCs w:val="24"/>
        </w:rPr>
        <w:t xml:space="preserve"> zgodnie z </w:t>
      </w:r>
      <w:r w:rsidR="00061D6E" w:rsidRPr="00D84154">
        <w:rPr>
          <w:rFonts w:ascii="Times New Roman" w:hAnsi="Times New Roman" w:cs="Times New Roman"/>
          <w:color w:val="000000" w:themeColor="text1"/>
          <w:sz w:val="24"/>
          <w:szCs w:val="24"/>
        </w:rPr>
        <w:t xml:space="preserve">którym </w:t>
      </w:r>
      <w:r w:rsidR="00F465E6">
        <w:rPr>
          <w:rFonts w:ascii="Times New Roman" w:hAnsi="Times New Roman" w:cs="Times New Roman"/>
          <w:color w:val="000000" w:themeColor="text1"/>
          <w:sz w:val="24"/>
          <w:szCs w:val="24"/>
        </w:rPr>
        <w:t>p</w:t>
      </w:r>
      <w:r w:rsidR="00061D6E" w:rsidRPr="00D84154">
        <w:rPr>
          <w:rFonts w:ascii="Times New Roman" w:hAnsi="Times New Roman" w:cs="Times New Roman"/>
          <w:color w:val="000000" w:themeColor="text1"/>
          <w:sz w:val="24"/>
          <w:szCs w:val="24"/>
        </w:rPr>
        <w:t>omoc udzielana przez funkcjonariuszy Policji polega na:</w:t>
      </w:r>
    </w:p>
    <w:p w14:paraId="004AFC16" w14:textId="0B707D85" w:rsidR="00061D6E" w:rsidRPr="00D84154" w:rsidRDefault="00061D6E" w:rsidP="00D84154">
      <w:pPr>
        <w:pStyle w:val="Akapitzlist"/>
        <w:numPr>
          <w:ilvl w:val="1"/>
          <w:numId w:val="37"/>
        </w:numPr>
        <w:spacing w:before="120" w:after="0" w:line="360" w:lineRule="auto"/>
        <w:ind w:left="709" w:hanging="283"/>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umożliwieniu rozpoczęcia lub przeprowadzenia przeszukania</w:t>
      </w:r>
      <w:r w:rsidR="00F465E6">
        <w:rPr>
          <w:rFonts w:ascii="Times New Roman" w:hAnsi="Times New Roman" w:cs="Times New Roman"/>
          <w:color w:val="000000" w:themeColor="text1"/>
          <w:sz w:val="24"/>
          <w:szCs w:val="24"/>
        </w:rPr>
        <w:t>;</w:t>
      </w:r>
    </w:p>
    <w:p w14:paraId="08A69C11" w14:textId="41230FEA" w:rsidR="00061D6E" w:rsidRPr="00D84154" w:rsidRDefault="00061D6E" w:rsidP="00D84154">
      <w:pPr>
        <w:pStyle w:val="Akapitzlist"/>
        <w:numPr>
          <w:ilvl w:val="1"/>
          <w:numId w:val="37"/>
        </w:numPr>
        <w:spacing w:before="120" w:after="0" w:line="360" w:lineRule="auto"/>
        <w:ind w:left="709" w:hanging="283"/>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zapewnieniu porządku w miejscu przeprowadzania przeszukania i osobistego bezpieczeństwa osób obecnych w tym miejscu, a t</w:t>
      </w:r>
      <w:r w:rsidR="009F1089">
        <w:rPr>
          <w:rFonts w:ascii="Times New Roman" w:hAnsi="Times New Roman" w:cs="Times New Roman"/>
          <w:color w:val="000000" w:themeColor="text1"/>
          <w:sz w:val="24"/>
          <w:szCs w:val="24"/>
        </w:rPr>
        <w:t>akże ustaleniu tożsamości osób.</w:t>
      </w:r>
    </w:p>
    <w:p w14:paraId="750508BC" w14:textId="3EB078B8" w:rsidR="00061D6E" w:rsidRPr="00D84154" w:rsidRDefault="00061D6E" w:rsidP="00D84154">
      <w:pPr>
        <w:spacing w:before="120" w:after="0" w:line="360" w:lineRule="auto"/>
        <w:jc w:val="both"/>
        <w:rPr>
          <w:rFonts w:ascii="Times New Roman" w:hAnsi="Times New Roman" w:cs="Times New Roman"/>
          <w:color w:val="000000" w:themeColor="text1"/>
          <w:sz w:val="24"/>
          <w:szCs w:val="24"/>
        </w:rPr>
      </w:pPr>
      <w:r w:rsidRPr="009008A2">
        <w:rPr>
          <w:rFonts w:ascii="Times New Roman" w:hAnsi="Times New Roman" w:cs="Times New Roman"/>
          <w:color w:val="000000" w:themeColor="text1"/>
          <w:sz w:val="24"/>
          <w:szCs w:val="24"/>
        </w:rPr>
        <w:t xml:space="preserve">Projektowany przepis ust. 7 wskazuję, że funkcjonariusz Policji, w przypadku napotkania oporu ze strony posiadacza lokalu mieszkalnego, pomieszczenia, nieruchomości lub środka transportu lub innych osób, który utrudnia lub uniemożliwia rozpoczęcie lub przeprowadzenie </w:t>
      </w:r>
      <w:r w:rsidRPr="00D84154">
        <w:rPr>
          <w:rFonts w:ascii="Times New Roman" w:hAnsi="Times New Roman" w:cs="Times New Roman"/>
          <w:color w:val="000000" w:themeColor="text1"/>
          <w:sz w:val="24"/>
          <w:szCs w:val="24"/>
        </w:rPr>
        <w:t>przeszukania, ustnie wzywa te osoby do zachowania umożliwiającego rozpoczęcie lub przeprowadzenie przeszukania przez przeszukujących. Ponadt</w:t>
      </w:r>
      <w:r w:rsidR="00C612AC">
        <w:rPr>
          <w:rFonts w:ascii="Times New Roman" w:hAnsi="Times New Roman" w:cs="Times New Roman"/>
          <w:color w:val="000000" w:themeColor="text1"/>
          <w:sz w:val="24"/>
          <w:szCs w:val="24"/>
        </w:rPr>
        <w:t>o, zgodnie z projektowanym ust. </w:t>
      </w:r>
      <w:r w:rsidRPr="00D84154">
        <w:rPr>
          <w:rFonts w:ascii="Times New Roman" w:hAnsi="Times New Roman" w:cs="Times New Roman"/>
          <w:color w:val="000000" w:themeColor="text1"/>
          <w:sz w:val="24"/>
          <w:szCs w:val="24"/>
        </w:rPr>
        <w:t>8, w przypadku niezastosowania się do wezwania funkcjonariusz Policji</w:t>
      </w:r>
      <w:r w:rsidR="00F65A77">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 xml:space="preserve">podejmuje wobec danej osoby czynności zmierzające do umożliwienia rozpoczęcia lub przeprowadzenia przeszukania przez przeszukujących. </w:t>
      </w:r>
      <w:r w:rsidR="00DC0649" w:rsidRPr="00D84154">
        <w:rPr>
          <w:rFonts w:ascii="Times New Roman" w:hAnsi="Times New Roman" w:cs="Times New Roman"/>
          <w:color w:val="000000" w:themeColor="text1"/>
          <w:sz w:val="24"/>
          <w:szCs w:val="24"/>
        </w:rPr>
        <w:t>Projektowane przepisy zawierają również regulację</w:t>
      </w:r>
      <w:r w:rsidR="00C67501">
        <w:rPr>
          <w:rFonts w:ascii="Times New Roman" w:hAnsi="Times New Roman" w:cs="Times New Roman"/>
          <w:color w:val="000000" w:themeColor="text1"/>
          <w:sz w:val="24"/>
          <w:szCs w:val="24"/>
        </w:rPr>
        <w:t>,</w:t>
      </w:r>
      <w:r w:rsidR="00DC0649" w:rsidRPr="00D84154">
        <w:rPr>
          <w:rFonts w:ascii="Times New Roman" w:hAnsi="Times New Roman" w:cs="Times New Roman"/>
          <w:color w:val="000000" w:themeColor="text1"/>
          <w:sz w:val="24"/>
          <w:szCs w:val="24"/>
        </w:rPr>
        <w:t xml:space="preserve"> na podstawie której posiadacz lokalu mieszkalnego, pomieszczenia, nieruchomości lub środka transportu oraz osoby, których prawa zostały naruszone w toku przeszukania, będą mogły wnieść zażalenie do sądu ochrony konkurencji i konsumentów na czynności przeszukania wykraczające poza zakres przedmiotowy przeszukania lub inne czynności przeszukania podjęte z naruszeniem przepisów, w terminie 7 dni od dnia dokonania tych czynności (projektowany ust. 9). Do zażalenia, o którym mowa w projektowanym ust. 9</w:t>
      </w:r>
      <w:r w:rsidR="00C67501">
        <w:rPr>
          <w:rFonts w:ascii="Times New Roman" w:hAnsi="Times New Roman" w:cs="Times New Roman"/>
          <w:color w:val="000000" w:themeColor="text1"/>
          <w:sz w:val="24"/>
          <w:szCs w:val="24"/>
        </w:rPr>
        <w:t>,</w:t>
      </w:r>
      <w:r w:rsidR="00DC0649" w:rsidRPr="00D84154">
        <w:rPr>
          <w:rFonts w:ascii="Times New Roman" w:hAnsi="Times New Roman" w:cs="Times New Roman"/>
          <w:color w:val="000000" w:themeColor="text1"/>
          <w:sz w:val="24"/>
          <w:szCs w:val="24"/>
        </w:rPr>
        <w:t xml:space="preserve"> będą stosowane odpowiednio przepisy art. 105m ust. 2</w:t>
      </w:r>
      <w:r w:rsidR="00C67501">
        <w:rPr>
          <w:rFonts w:ascii="Times New Roman" w:hAnsi="Times New Roman" w:cs="Times New Roman"/>
          <w:color w:val="000000" w:themeColor="text1"/>
          <w:sz w:val="24"/>
          <w:szCs w:val="24"/>
        </w:rPr>
        <w:t>–</w:t>
      </w:r>
      <w:r w:rsidR="00DC0649" w:rsidRPr="00D84154">
        <w:rPr>
          <w:rFonts w:ascii="Times New Roman" w:hAnsi="Times New Roman" w:cs="Times New Roman"/>
          <w:color w:val="000000" w:themeColor="text1"/>
          <w:sz w:val="24"/>
          <w:szCs w:val="24"/>
        </w:rPr>
        <w:t>5.</w:t>
      </w:r>
    </w:p>
    <w:p w14:paraId="60F99BBD" w14:textId="473AD21B" w:rsidR="00020AD4" w:rsidRPr="00D84154" w:rsidRDefault="00020AD4"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Dotychczasowe regulacje w zakresie procedury</w:t>
      </w:r>
      <w:r w:rsidR="00C67501">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tj. m.in. wymóg uprzedniej zgody sądu ochrony konkurencji i konsumentów na przeprowadzenie przeszukania czy odesłanie </w:t>
      </w:r>
      <w:r w:rsidRPr="00D84154">
        <w:rPr>
          <w:rFonts w:ascii="Times New Roman" w:hAnsi="Times New Roman" w:cs="Times New Roman"/>
          <w:color w:val="000000" w:themeColor="text1"/>
          <w:sz w:val="24"/>
          <w:szCs w:val="24"/>
        </w:rPr>
        <w:lastRenderedPageBreak/>
        <w:t>w</w:t>
      </w:r>
      <w:r w:rsidR="00C612AC">
        <w:rPr>
          <w:rFonts w:ascii="Times New Roman" w:hAnsi="Times New Roman" w:cs="Times New Roman"/>
          <w:color w:val="000000" w:themeColor="text1"/>
          <w:sz w:val="24"/>
          <w:szCs w:val="24"/>
        </w:rPr>
        <w:t> </w:t>
      </w:r>
      <w:r w:rsidRPr="00D84154">
        <w:rPr>
          <w:rFonts w:ascii="Times New Roman" w:hAnsi="Times New Roman" w:cs="Times New Roman"/>
          <w:color w:val="000000" w:themeColor="text1"/>
          <w:sz w:val="24"/>
          <w:szCs w:val="24"/>
        </w:rPr>
        <w:t>zakresie nieuregulowanym do przepisów Kodeksu postępowania karnego, mających zastosowanie do przeszukania</w:t>
      </w:r>
      <w:r w:rsidR="00C67501">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pozos</w:t>
      </w:r>
      <w:r w:rsidR="009F1089">
        <w:rPr>
          <w:rFonts w:ascii="Times New Roman" w:hAnsi="Times New Roman" w:cs="Times New Roman"/>
          <w:color w:val="000000" w:themeColor="text1"/>
          <w:sz w:val="24"/>
          <w:szCs w:val="24"/>
        </w:rPr>
        <w:t>tawiono co do zasady bez zmian.</w:t>
      </w:r>
    </w:p>
    <w:p w14:paraId="7D68FA7B" w14:textId="77777777" w:rsidR="00922CE6" w:rsidRPr="00D84154" w:rsidRDefault="00922CE6" w:rsidP="00D84154">
      <w:pPr>
        <w:spacing w:before="120" w:after="0" w:line="360" w:lineRule="auto"/>
        <w:jc w:val="both"/>
        <w:rPr>
          <w:rFonts w:ascii="Times New Roman" w:hAnsi="Times New Roman" w:cs="Times New Roman"/>
          <w:b/>
          <w:bCs/>
          <w:color w:val="000000" w:themeColor="text1"/>
          <w:sz w:val="24"/>
          <w:szCs w:val="24"/>
        </w:rPr>
      </w:pPr>
      <w:r w:rsidRPr="00D84154">
        <w:rPr>
          <w:rFonts w:ascii="Times New Roman" w:hAnsi="Times New Roman" w:cs="Times New Roman"/>
          <w:b/>
          <w:bCs/>
          <w:color w:val="000000" w:themeColor="text1"/>
          <w:sz w:val="24"/>
          <w:szCs w:val="24"/>
        </w:rPr>
        <w:t>Legal Professional Privilege</w:t>
      </w:r>
    </w:p>
    <w:p w14:paraId="3F5E4EAC" w14:textId="7802216B" w:rsidR="00A84ACD" w:rsidRPr="00D84154" w:rsidRDefault="00A84ACD"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Wobec pojawiąjących się w doktrynie i w praktyce wątpliwości interpretacyjnych dotyczących uregulowania </w:t>
      </w:r>
      <w:r w:rsidR="00860532" w:rsidRPr="00D84154">
        <w:rPr>
          <w:rFonts w:ascii="Times New Roman" w:hAnsi="Times New Roman" w:cs="Times New Roman"/>
          <w:color w:val="000000" w:themeColor="text1"/>
          <w:sz w:val="24"/>
          <w:szCs w:val="24"/>
        </w:rPr>
        <w:t xml:space="preserve">w ustawie </w:t>
      </w:r>
      <w:r w:rsidRPr="00D84154">
        <w:rPr>
          <w:rFonts w:ascii="Times New Roman" w:hAnsi="Times New Roman" w:cs="Times New Roman"/>
          <w:color w:val="000000" w:themeColor="text1"/>
          <w:sz w:val="24"/>
          <w:szCs w:val="24"/>
        </w:rPr>
        <w:t xml:space="preserve">instytucji tzw. </w:t>
      </w:r>
      <w:r w:rsidRPr="00637161">
        <w:rPr>
          <w:rFonts w:ascii="Times New Roman" w:hAnsi="Times New Roman" w:cs="Times New Roman"/>
          <w:color w:val="000000" w:themeColor="text1"/>
          <w:sz w:val="24"/>
          <w:szCs w:val="24"/>
        </w:rPr>
        <w:t>Legal Professional Privilege</w:t>
      </w:r>
      <w:r w:rsidR="00860532" w:rsidRPr="00D84154">
        <w:rPr>
          <w:rFonts w:ascii="Times New Roman" w:hAnsi="Times New Roman" w:cs="Times New Roman"/>
          <w:i/>
          <w:color w:val="000000" w:themeColor="text1"/>
          <w:sz w:val="24"/>
          <w:szCs w:val="24"/>
        </w:rPr>
        <w:t xml:space="preserve">, </w:t>
      </w:r>
      <w:r w:rsidRPr="00D84154">
        <w:rPr>
          <w:rFonts w:ascii="Times New Roman" w:hAnsi="Times New Roman" w:cs="Times New Roman"/>
          <w:color w:val="000000" w:themeColor="text1"/>
          <w:sz w:val="24"/>
          <w:szCs w:val="24"/>
        </w:rPr>
        <w:t xml:space="preserve">dalej </w:t>
      </w:r>
      <w:r w:rsidR="00860532" w:rsidRPr="00D84154">
        <w:rPr>
          <w:rFonts w:ascii="Times New Roman" w:hAnsi="Times New Roman" w:cs="Times New Roman"/>
          <w:color w:val="000000" w:themeColor="text1"/>
          <w:sz w:val="24"/>
          <w:szCs w:val="24"/>
        </w:rPr>
        <w:t>„</w:t>
      </w:r>
      <w:r w:rsidRPr="00637161">
        <w:rPr>
          <w:rFonts w:ascii="Times New Roman" w:hAnsi="Times New Roman" w:cs="Times New Roman"/>
          <w:color w:val="000000" w:themeColor="text1"/>
          <w:sz w:val="24"/>
          <w:szCs w:val="24"/>
        </w:rPr>
        <w:t>LPP</w:t>
      </w:r>
      <w:r w:rsidR="00860532" w:rsidRPr="00D84154">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przez odesłanie w tym zakresie do przepisów </w:t>
      </w:r>
      <w:r w:rsidR="00860532" w:rsidRPr="00D84154">
        <w:rPr>
          <w:rFonts w:ascii="Times New Roman" w:hAnsi="Times New Roman" w:cs="Times New Roman"/>
          <w:color w:val="000000" w:themeColor="text1"/>
          <w:sz w:val="24"/>
          <w:szCs w:val="24"/>
        </w:rPr>
        <w:t xml:space="preserve">ustawy z dnia 6 czerwca 1997 r. </w:t>
      </w:r>
      <w:r w:rsidR="009B6F4E">
        <w:rPr>
          <w:rFonts w:ascii="Times New Roman" w:hAnsi="Times New Roman" w:cs="Times New Roman"/>
          <w:color w:val="000000" w:themeColor="text1"/>
          <w:sz w:val="24"/>
          <w:szCs w:val="24"/>
        </w:rPr>
        <w:t>–</w:t>
      </w:r>
      <w:r w:rsidR="00860532" w:rsidRPr="00D84154">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 xml:space="preserve">Kodeks postępowania karnego </w:t>
      </w:r>
      <w:r w:rsidR="00860532" w:rsidRPr="00D84154">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por. art. 105q pkt 3 ustawy</w:t>
      </w:r>
      <w:r w:rsidR="00860532" w:rsidRPr="00D84154">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zaproponowano uregulowanie instytucji LPP kompleksowo w ustawie</w:t>
      </w:r>
      <w:r w:rsidR="00747803" w:rsidRPr="00D84154">
        <w:rPr>
          <w:rFonts w:ascii="Times New Roman" w:hAnsi="Times New Roman" w:cs="Times New Roman"/>
          <w:color w:val="000000" w:themeColor="text1"/>
          <w:sz w:val="24"/>
          <w:szCs w:val="24"/>
        </w:rPr>
        <w:t>, przy czym</w:t>
      </w:r>
      <w:r w:rsidR="009B6F4E">
        <w:rPr>
          <w:rFonts w:ascii="Times New Roman" w:hAnsi="Times New Roman" w:cs="Times New Roman"/>
          <w:color w:val="000000" w:themeColor="text1"/>
          <w:sz w:val="24"/>
          <w:szCs w:val="24"/>
        </w:rPr>
        <w:t>,</w:t>
      </w:r>
      <w:r w:rsidR="00747803" w:rsidRPr="00D84154">
        <w:rPr>
          <w:rFonts w:ascii="Times New Roman" w:hAnsi="Times New Roman" w:cs="Times New Roman"/>
          <w:color w:val="000000" w:themeColor="text1"/>
          <w:sz w:val="24"/>
          <w:szCs w:val="24"/>
        </w:rPr>
        <w:t xml:space="preserve"> mając na względzie gwarancyjny charakter tej instytucji</w:t>
      </w:r>
      <w:r w:rsidR="009B6F4E">
        <w:rPr>
          <w:rFonts w:ascii="Times New Roman" w:hAnsi="Times New Roman" w:cs="Times New Roman"/>
          <w:color w:val="000000" w:themeColor="text1"/>
          <w:sz w:val="24"/>
          <w:szCs w:val="24"/>
        </w:rPr>
        <w:t>,</w:t>
      </w:r>
      <w:r w:rsidR="00747803" w:rsidRPr="00D84154">
        <w:rPr>
          <w:rFonts w:ascii="Times New Roman" w:hAnsi="Times New Roman" w:cs="Times New Roman"/>
          <w:color w:val="000000" w:themeColor="text1"/>
          <w:sz w:val="24"/>
          <w:szCs w:val="24"/>
        </w:rPr>
        <w:t xml:space="preserve"> zdecydowano się wprost przesądzić w przepisach, że dotyczy ona zarówno kontroli, jak i</w:t>
      </w:r>
      <w:r w:rsidR="00F65A77">
        <w:rPr>
          <w:rFonts w:ascii="Times New Roman" w:hAnsi="Times New Roman" w:cs="Times New Roman"/>
          <w:color w:val="000000" w:themeColor="text1"/>
          <w:sz w:val="24"/>
          <w:szCs w:val="24"/>
        </w:rPr>
        <w:t xml:space="preserve"> </w:t>
      </w:r>
      <w:r w:rsidR="009B6F4E">
        <w:rPr>
          <w:rFonts w:ascii="Times New Roman" w:hAnsi="Times New Roman" w:cs="Times New Roman"/>
          <w:color w:val="000000" w:themeColor="text1"/>
          <w:sz w:val="24"/>
          <w:szCs w:val="24"/>
        </w:rPr>
        <w:t>–</w:t>
      </w:r>
      <w:r w:rsidR="00C612AC">
        <w:rPr>
          <w:rFonts w:ascii="Times New Roman" w:hAnsi="Times New Roman" w:cs="Times New Roman"/>
          <w:color w:val="000000" w:themeColor="text1"/>
          <w:sz w:val="24"/>
          <w:szCs w:val="24"/>
        </w:rPr>
        <w:t xml:space="preserve"> w </w:t>
      </w:r>
      <w:r w:rsidR="00747803" w:rsidRPr="00D84154">
        <w:rPr>
          <w:rFonts w:ascii="Times New Roman" w:hAnsi="Times New Roman" w:cs="Times New Roman"/>
          <w:color w:val="000000" w:themeColor="text1"/>
          <w:sz w:val="24"/>
          <w:szCs w:val="24"/>
        </w:rPr>
        <w:t xml:space="preserve">drodze odesłania </w:t>
      </w:r>
      <w:r w:rsidR="009B6F4E">
        <w:rPr>
          <w:rFonts w:ascii="Times New Roman" w:hAnsi="Times New Roman" w:cs="Times New Roman"/>
          <w:color w:val="000000" w:themeColor="text1"/>
          <w:sz w:val="24"/>
          <w:szCs w:val="24"/>
        </w:rPr>
        <w:t>–</w:t>
      </w:r>
      <w:r w:rsidR="00747803" w:rsidRPr="00D84154">
        <w:rPr>
          <w:rFonts w:ascii="Times New Roman" w:hAnsi="Times New Roman" w:cs="Times New Roman"/>
          <w:color w:val="000000" w:themeColor="text1"/>
          <w:sz w:val="24"/>
          <w:szCs w:val="24"/>
        </w:rPr>
        <w:t xml:space="preserve"> przeszukań przeprowadzanych na gruncie ustawy</w:t>
      </w:r>
      <w:r w:rsidRPr="00D84154">
        <w:rPr>
          <w:rFonts w:ascii="Times New Roman" w:hAnsi="Times New Roman" w:cs="Times New Roman"/>
          <w:color w:val="000000" w:themeColor="text1"/>
          <w:sz w:val="24"/>
          <w:szCs w:val="24"/>
        </w:rPr>
        <w:t xml:space="preserve">. </w:t>
      </w:r>
      <w:r w:rsidR="00747803" w:rsidRPr="00D84154">
        <w:rPr>
          <w:rFonts w:ascii="Times New Roman" w:hAnsi="Times New Roman" w:cs="Times New Roman"/>
          <w:color w:val="000000" w:themeColor="text1"/>
          <w:sz w:val="24"/>
          <w:szCs w:val="24"/>
        </w:rPr>
        <w:t>Konstruując przepisy dotyczące LPP</w:t>
      </w:r>
      <w:r w:rsidR="009B6F4E">
        <w:rPr>
          <w:rFonts w:ascii="Times New Roman" w:hAnsi="Times New Roman" w:cs="Times New Roman"/>
          <w:color w:val="000000" w:themeColor="text1"/>
          <w:sz w:val="24"/>
          <w:szCs w:val="24"/>
        </w:rPr>
        <w:t>,</w:t>
      </w:r>
      <w:r w:rsidR="00E535BE" w:rsidRPr="00D84154">
        <w:rPr>
          <w:rFonts w:ascii="Times New Roman" w:hAnsi="Times New Roman" w:cs="Times New Roman"/>
          <w:color w:val="000000" w:themeColor="text1"/>
          <w:sz w:val="24"/>
          <w:szCs w:val="24"/>
        </w:rPr>
        <w:t xml:space="preserve"> kierowano się w szczególności orzecznictwem TSUE w sprawie AKZO Nobel Chemicals Ltd</w:t>
      </w:r>
      <w:r w:rsidR="000F38DA" w:rsidRPr="00D84154">
        <w:rPr>
          <w:rFonts w:ascii="Times New Roman" w:hAnsi="Times New Roman" w:cs="Times New Roman"/>
          <w:color w:val="000000" w:themeColor="text1"/>
          <w:sz w:val="24"/>
          <w:szCs w:val="24"/>
        </w:rPr>
        <w:t>.</w:t>
      </w:r>
      <w:r w:rsidR="00E535BE" w:rsidRPr="00D84154">
        <w:rPr>
          <w:rFonts w:ascii="Times New Roman" w:hAnsi="Times New Roman" w:cs="Times New Roman"/>
          <w:color w:val="000000" w:themeColor="text1"/>
          <w:sz w:val="24"/>
          <w:szCs w:val="24"/>
        </w:rPr>
        <w:t xml:space="preserve"> vs Komisja Europejska sygn. C- 550/07 P</w:t>
      </w:r>
      <w:r w:rsidR="00C612AC">
        <w:rPr>
          <w:rFonts w:ascii="Times New Roman" w:hAnsi="Times New Roman" w:cs="Times New Roman"/>
          <w:color w:val="000000" w:themeColor="text1"/>
          <w:sz w:val="24"/>
          <w:szCs w:val="24"/>
        </w:rPr>
        <w:t>, jak również wyrokiem TSUE w </w:t>
      </w:r>
      <w:r w:rsidR="00BD219C" w:rsidRPr="00D84154">
        <w:rPr>
          <w:rFonts w:ascii="Times New Roman" w:hAnsi="Times New Roman" w:cs="Times New Roman"/>
          <w:color w:val="000000" w:themeColor="text1"/>
          <w:sz w:val="24"/>
          <w:szCs w:val="24"/>
        </w:rPr>
        <w:t>połączonych sprawach sygn. C-515/17 P i C-561/17P.</w:t>
      </w:r>
      <w:r w:rsidR="00E535BE" w:rsidRPr="00D84154">
        <w:rPr>
          <w:rFonts w:ascii="Times New Roman" w:hAnsi="Times New Roman" w:cs="Times New Roman"/>
          <w:color w:val="000000" w:themeColor="text1"/>
          <w:sz w:val="24"/>
          <w:szCs w:val="24"/>
        </w:rPr>
        <w:t xml:space="preserve"> </w:t>
      </w:r>
      <w:r w:rsidR="00BD219C" w:rsidRPr="00D84154">
        <w:rPr>
          <w:rFonts w:ascii="Times New Roman" w:hAnsi="Times New Roman" w:cs="Times New Roman"/>
          <w:color w:val="000000" w:themeColor="text1"/>
          <w:sz w:val="24"/>
          <w:szCs w:val="24"/>
        </w:rPr>
        <w:t>W konsekwencji z</w:t>
      </w:r>
      <w:r w:rsidRPr="00D84154">
        <w:rPr>
          <w:rFonts w:ascii="Times New Roman" w:hAnsi="Times New Roman" w:cs="Times New Roman"/>
          <w:color w:val="000000" w:themeColor="text1"/>
          <w:sz w:val="24"/>
          <w:szCs w:val="24"/>
        </w:rPr>
        <w:t>aproponowano dodanie w ustawie nowego art. 105</w:t>
      </w:r>
      <w:r w:rsidR="00747803" w:rsidRPr="00D84154">
        <w:rPr>
          <w:rFonts w:ascii="Times New Roman" w:hAnsi="Times New Roman" w:cs="Times New Roman"/>
          <w:color w:val="000000" w:themeColor="text1"/>
          <w:sz w:val="24"/>
          <w:szCs w:val="24"/>
        </w:rPr>
        <w:t>da</w:t>
      </w:r>
      <w:r w:rsidRPr="00D84154">
        <w:rPr>
          <w:rFonts w:ascii="Times New Roman" w:hAnsi="Times New Roman" w:cs="Times New Roman"/>
          <w:color w:val="000000" w:themeColor="text1"/>
          <w:sz w:val="24"/>
          <w:szCs w:val="24"/>
        </w:rPr>
        <w:t>, zgodnie z którym (ust. 1)</w:t>
      </w:r>
      <w:r w:rsidR="009B6F4E">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w:t>
      </w:r>
      <w:r w:rsidR="00F87B8A" w:rsidRPr="00D84154">
        <w:rPr>
          <w:rFonts w:ascii="Times New Roman" w:hAnsi="Times New Roman" w:cs="Times New Roman"/>
          <w:color w:val="000000" w:themeColor="text1"/>
          <w:sz w:val="24"/>
          <w:szCs w:val="24"/>
        </w:rPr>
        <w:t>j</w:t>
      </w:r>
      <w:r w:rsidR="009F1089">
        <w:rPr>
          <w:rFonts w:ascii="Times New Roman" w:hAnsi="Times New Roman" w:cs="Times New Roman"/>
          <w:color w:val="000000" w:themeColor="text1"/>
          <w:sz w:val="24"/>
          <w:szCs w:val="24"/>
        </w:rPr>
        <w:t xml:space="preserve">eżeli w </w:t>
      </w:r>
      <w:r w:rsidR="00F87B8A" w:rsidRPr="00D84154">
        <w:rPr>
          <w:rFonts w:ascii="Times New Roman" w:hAnsi="Times New Roman" w:cs="Times New Roman"/>
          <w:color w:val="000000" w:themeColor="text1"/>
          <w:sz w:val="24"/>
          <w:szCs w:val="24"/>
        </w:rPr>
        <w:t>toku kontroli kontrolowany lub osoba przez niego upoważ</w:t>
      </w:r>
      <w:r w:rsidR="009F1089">
        <w:rPr>
          <w:rFonts w:ascii="Times New Roman" w:hAnsi="Times New Roman" w:cs="Times New Roman"/>
          <w:color w:val="000000" w:themeColor="text1"/>
          <w:sz w:val="24"/>
          <w:szCs w:val="24"/>
        </w:rPr>
        <w:t xml:space="preserve">niona oświadczy, że ujawnione w </w:t>
      </w:r>
      <w:r w:rsidR="00F87B8A" w:rsidRPr="00D84154">
        <w:rPr>
          <w:rFonts w:ascii="Times New Roman" w:hAnsi="Times New Roman" w:cs="Times New Roman"/>
          <w:color w:val="000000" w:themeColor="text1"/>
          <w:sz w:val="24"/>
          <w:szCs w:val="24"/>
        </w:rPr>
        <w:t xml:space="preserve">toku </w:t>
      </w:r>
      <w:r w:rsidR="009F1089">
        <w:rPr>
          <w:rFonts w:ascii="Times New Roman" w:hAnsi="Times New Roman" w:cs="Times New Roman"/>
          <w:color w:val="000000" w:themeColor="text1"/>
          <w:sz w:val="24"/>
          <w:szCs w:val="24"/>
        </w:rPr>
        <w:t xml:space="preserve">kontroli pisma lub dokumenty, w </w:t>
      </w:r>
      <w:r w:rsidR="00F87B8A" w:rsidRPr="00D84154">
        <w:rPr>
          <w:rFonts w:ascii="Times New Roman" w:hAnsi="Times New Roman" w:cs="Times New Roman"/>
          <w:color w:val="000000" w:themeColor="text1"/>
          <w:sz w:val="24"/>
          <w:szCs w:val="24"/>
        </w:rPr>
        <w:t>tym zawarte na informatycznych nośnikach danych, urządzeniach l</w:t>
      </w:r>
      <w:r w:rsidR="009F1089">
        <w:rPr>
          <w:rFonts w:ascii="Times New Roman" w:hAnsi="Times New Roman" w:cs="Times New Roman"/>
          <w:color w:val="000000" w:themeColor="text1"/>
          <w:sz w:val="24"/>
          <w:szCs w:val="24"/>
        </w:rPr>
        <w:t xml:space="preserve">ub systemach informatycznych, o </w:t>
      </w:r>
      <w:r w:rsidR="00F87B8A" w:rsidRPr="00D84154">
        <w:rPr>
          <w:rFonts w:ascii="Times New Roman" w:hAnsi="Times New Roman" w:cs="Times New Roman"/>
          <w:color w:val="000000" w:themeColor="text1"/>
          <w:sz w:val="24"/>
          <w:szCs w:val="24"/>
        </w:rPr>
        <w:t>któryc</w:t>
      </w:r>
      <w:r w:rsidR="009F1089">
        <w:rPr>
          <w:rFonts w:ascii="Times New Roman" w:hAnsi="Times New Roman" w:cs="Times New Roman"/>
          <w:color w:val="000000" w:themeColor="text1"/>
          <w:sz w:val="24"/>
          <w:szCs w:val="24"/>
        </w:rPr>
        <w:t xml:space="preserve">h mowa w art. 105b ust. 1 pkt </w:t>
      </w:r>
      <w:r w:rsidR="00F87B8A" w:rsidRPr="00D84154">
        <w:rPr>
          <w:rFonts w:ascii="Times New Roman" w:hAnsi="Times New Roman" w:cs="Times New Roman"/>
          <w:color w:val="000000" w:themeColor="text1"/>
          <w:sz w:val="24"/>
          <w:szCs w:val="24"/>
        </w:rPr>
        <w:t xml:space="preserve">2 </w:t>
      </w:r>
      <w:r w:rsidR="00860532" w:rsidRPr="00D84154">
        <w:rPr>
          <w:rFonts w:ascii="Times New Roman" w:hAnsi="Times New Roman" w:cs="Times New Roman"/>
          <w:color w:val="000000" w:themeColor="text1"/>
          <w:sz w:val="24"/>
          <w:szCs w:val="24"/>
        </w:rPr>
        <w:t xml:space="preserve">ustawy, </w:t>
      </w:r>
      <w:r w:rsidR="00F87B8A" w:rsidRPr="00D84154">
        <w:rPr>
          <w:rFonts w:ascii="Times New Roman" w:hAnsi="Times New Roman" w:cs="Times New Roman"/>
          <w:color w:val="000000" w:themeColor="text1"/>
          <w:sz w:val="24"/>
          <w:szCs w:val="24"/>
        </w:rPr>
        <w:t>zawierają pisemną komunikację między kontrolowanym a</w:t>
      </w:r>
      <w:r w:rsidR="009B6F4E">
        <w:rPr>
          <w:rFonts w:ascii="Times New Roman" w:hAnsi="Times New Roman" w:cs="Times New Roman"/>
          <w:color w:val="000000" w:themeColor="text1"/>
          <w:sz w:val="24"/>
          <w:szCs w:val="24"/>
        </w:rPr>
        <w:t xml:space="preserve"> </w:t>
      </w:r>
      <w:r w:rsidR="00F87B8A" w:rsidRPr="00D84154">
        <w:rPr>
          <w:rFonts w:ascii="Times New Roman" w:hAnsi="Times New Roman" w:cs="Times New Roman"/>
          <w:color w:val="000000" w:themeColor="text1"/>
          <w:sz w:val="24"/>
          <w:szCs w:val="24"/>
        </w:rPr>
        <w:t>niezależnym od kontrolowanego adwokatem, radcą prawnym, p</w:t>
      </w:r>
      <w:r w:rsidR="009F1089">
        <w:rPr>
          <w:rFonts w:ascii="Times New Roman" w:hAnsi="Times New Roman" w:cs="Times New Roman"/>
          <w:color w:val="000000" w:themeColor="text1"/>
          <w:sz w:val="24"/>
          <w:szCs w:val="24"/>
        </w:rPr>
        <w:t>rawnikiem z Unii Europejskiej w rozumieniu art. 2 p</w:t>
      </w:r>
      <w:r w:rsidR="00C612AC">
        <w:rPr>
          <w:rFonts w:ascii="Times New Roman" w:hAnsi="Times New Roman" w:cs="Times New Roman"/>
          <w:color w:val="000000" w:themeColor="text1"/>
          <w:sz w:val="24"/>
          <w:szCs w:val="24"/>
        </w:rPr>
        <w:t>kt 2 ustawy z dnia 5 lipca 2002 </w:t>
      </w:r>
      <w:r w:rsidR="009F1089">
        <w:rPr>
          <w:rFonts w:ascii="Times New Roman" w:hAnsi="Times New Roman" w:cs="Times New Roman"/>
          <w:color w:val="000000" w:themeColor="text1"/>
          <w:sz w:val="24"/>
          <w:szCs w:val="24"/>
        </w:rPr>
        <w:t xml:space="preserve">r. o </w:t>
      </w:r>
      <w:r w:rsidR="00F87B8A" w:rsidRPr="00D84154">
        <w:rPr>
          <w:rFonts w:ascii="Times New Roman" w:hAnsi="Times New Roman" w:cs="Times New Roman"/>
          <w:color w:val="000000" w:themeColor="text1"/>
          <w:sz w:val="24"/>
          <w:szCs w:val="24"/>
        </w:rPr>
        <w:t>świadczeniu przez prawników</w:t>
      </w:r>
      <w:r w:rsidR="009F1089">
        <w:rPr>
          <w:rFonts w:ascii="Times New Roman" w:hAnsi="Times New Roman" w:cs="Times New Roman"/>
          <w:color w:val="000000" w:themeColor="text1"/>
          <w:sz w:val="24"/>
          <w:szCs w:val="24"/>
        </w:rPr>
        <w:t xml:space="preserve"> zagranicznych pomocy prawnej w </w:t>
      </w:r>
      <w:r w:rsidR="00F87B8A" w:rsidRPr="00D84154">
        <w:rPr>
          <w:rFonts w:ascii="Times New Roman" w:hAnsi="Times New Roman" w:cs="Times New Roman"/>
          <w:color w:val="000000" w:themeColor="text1"/>
          <w:sz w:val="24"/>
          <w:szCs w:val="24"/>
        </w:rPr>
        <w:t>Rzeczypospolitej Polskie</w:t>
      </w:r>
      <w:r w:rsidR="009F1089">
        <w:rPr>
          <w:rFonts w:ascii="Times New Roman" w:hAnsi="Times New Roman" w:cs="Times New Roman"/>
          <w:color w:val="000000" w:themeColor="text1"/>
          <w:sz w:val="24"/>
          <w:szCs w:val="24"/>
        </w:rPr>
        <w:t>j (Dz. U. z</w:t>
      </w:r>
      <w:r w:rsidR="009B6F4E">
        <w:rPr>
          <w:rFonts w:ascii="Times New Roman" w:hAnsi="Times New Roman" w:cs="Times New Roman"/>
          <w:color w:val="000000" w:themeColor="text1"/>
          <w:sz w:val="24"/>
          <w:szCs w:val="24"/>
        </w:rPr>
        <w:t xml:space="preserve">2020 r. poz. </w:t>
      </w:r>
      <w:r w:rsidR="00F87B8A" w:rsidRPr="00D84154">
        <w:rPr>
          <w:rFonts w:ascii="Times New Roman" w:hAnsi="Times New Roman" w:cs="Times New Roman"/>
          <w:color w:val="000000" w:themeColor="text1"/>
          <w:sz w:val="24"/>
          <w:szCs w:val="24"/>
        </w:rPr>
        <w:t>823) lub osobą</w:t>
      </w:r>
      <w:r w:rsidR="00860532" w:rsidRPr="00D84154">
        <w:rPr>
          <w:rFonts w:ascii="Times New Roman" w:hAnsi="Times New Roman" w:cs="Times New Roman"/>
          <w:color w:val="000000" w:themeColor="text1"/>
          <w:sz w:val="24"/>
          <w:szCs w:val="24"/>
        </w:rPr>
        <w:t>,</w:t>
      </w:r>
      <w:r w:rsidR="009F1089">
        <w:rPr>
          <w:rFonts w:ascii="Times New Roman" w:hAnsi="Times New Roman" w:cs="Times New Roman"/>
          <w:color w:val="000000" w:themeColor="text1"/>
          <w:sz w:val="24"/>
          <w:szCs w:val="24"/>
        </w:rPr>
        <w:t xml:space="preserve"> o </w:t>
      </w:r>
      <w:r w:rsidR="009B6F4E">
        <w:rPr>
          <w:rFonts w:ascii="Times New Roman" w:hAnsi="Times New Roman" w:cs="Times New Roman"/>
          <w:color w:val="000000" w:themeColor="text1"/>
          <w:sz w:val="24"/>
          <w:szCs w:val="24"/>
        </w:rPr>
        <w:t xml:space="preserve">której mowa w art. </w:t>
      </w:r>
      <w:r w:rsidR="00F87B8A" w:rsidRPr="00D84154">
        <w:rPr>
          <w:rFonts w:ascii="Times New Roman" w:hAnsi="Times New Roman" w:cs="Times New Roman"/>
          <w:color w:val="000000" w:themeColor="text1"/>
          <w:sz w:val="24"/>
          <w:szCs w:val="24"/>
        </w:rPr>
        <w:t>2a tej ustawy,</w:t>
      </w:r>
      <w:r w:rsidR="00F65A77">
        <w:rPr>
          <w:rFonts w:ascii="Times New Roman" w:hAnsi="Times New Roman" w:cs="Times New Roman"/>
          <w:color w:val="000000" w:themeColor="text1"/>
          <w:sz w:val="24"/>
          <w:szCs w:val="24"/>
        </w:rPr>
        <w:t xml:space="preserve"> </w:t>
      </w:r>
      <w:r w:rsidR="00F87B8A" w:rsidRPr="00D84154">
        <w:rPr>
          <w:rFonts w:ascii="Times New Roman" w:hAnsi="Times New Roman" w:cs="Times New Roman"/>
          <w:color w:val="000000" w:themeColor="text1"/>
          <w:sz w:val="24"/>
          <w:szCs w:val="24"/>
        </w:rPr>
        <w:t>wytworzoną</w:t>
      </w:r>
      <w:r w:rsidR="00F65A77">
        <w:rPr>
          <w:rFonts w:ascii="Times New Roman" w:hAnsi="Times New Roman" w:cs="Times New Roman"/>
          <w:color w:val="000000" w:themeColor="text1"/>
          <w:sz w:val="24"/>
          <w:szCs w:val="24"/>
        </w:rPr>
        <w:t xml:space="preserve"> </w:t>
      </w:r>
      <w:r w:rsidR="009B6F4E">
        <w:rPr>
          <w:rFonts w:ascii="Times New Roman" w:hAnsi="Times New Roman" w:cs="Times New Roman"/>
          <w:color w:val="000000" w:themeColor="text1"/>
          <w:sz w:val="24"/>
          <w:szCs w:val="24"/>
        </w:rPr>
        <w:t xml:space="preserve">w </w:t>
      </w:r>
      <w:r w:rsidR="00F87B8A" w:rsidRPr="00D84154">
        <w:rPr>
          <w:rFonts w:ascii="Times New Roman" w:hAnsi="Times New Roman" w:cs="Times New Roman"/>
          <w:color w:val="000000" w:themeColor="text1"/>
          <w:sz w:val="24"/>
          <w:szCs w:val="24"/>
        </w:rPr>
        <w:t>celu realizacji prawa kontrolowanego</w:t>
      </w:r>
      <w:r w:rsidR="009B6F4E">
        <w:rPr>
          <w:rFonts w:ascii="Times New Roman" w:hAnsi="Times New Roman" w:cs="Times New Roman"/>
          <w:color w:val="000000" w:themeColor="text1"/>
          <w:sz w:val="24"/>
          <w:szCs w:val="24"/>
        </w:rPr>
        <w:t xml:space="preserve"> do uzyska</w:t>
      </w:r>
      <w:r w:rsidR="00C612AC">
        <w:rPr>
          <w:rFonts w:ascii="Times New Roman" w:hAnsi="Times New Roman" w:cs="Times New Roman"/>
          <w:color w:val="000000" w:themeColor="text1"/>
          <w:sz w:val="24"/>
          <w:szCs w:val="24"/>
        </w:rPr>
        <w:t>nia ochrony prawnej w związku z </w:t>
      </w:r>
      <w:r w:rsidR="00F87B8A" w:rsidRPr="00D84154">
        <w:rPr>
          <w:rFonts w:ascii="Times New Roman" w:hAnsi="Times New Roman" w:cs="Times New Roman"/>
          <w:color w:val="000000" w:themeColor="text1"/>
          <w:sz w:val="24"/>
          <w:szCs w:val="24"/>
        </w:rPr>
        <w:t>przedmiotem postępowania prowa</w:t>
      </w:r>
      <w:r w:rsidR="009B6F4E">
        <w:rPr>
          <w:rFonts w:ascii="Times New Roman" w:hAnsi="Times New Roman" w:cs="Times New Roman"/>
          <w:color w:val="000000" w:themeColor="text1"/>
          <w:sz w:val="24"/>
          <w:szCs w:val="24"/>
        </w:rPr>
        <w:t xml:space="preserve">dzonego przez Prezesa Urzędu, w </w:t>
      </w:r>
      <w:r w:rsidR="004C2838" w:rsidRPr="00D84154">
        <w:rPr>
          <w:rFonts w:ascii="Times New Roman" w:hAnsi="Times New Roman" w:cs="Times New Roman"/>
          <w:color w:val="000000" w:themeColor="text1"/>
          <w:sz w:val="24"/>
          <w:szCs w:val="24"/>
        </w:rPr>
        <w:t>toku</w:t>
      </w:r>
      <w:r w:rsidR="00F87B8A" w:rsidRPr="00D84154">
        <w:rPr>
          <w:rFonts w:ascii="Times New Roman" w:hAnsi="Times New Roman" w:cs="Times New Roman"/>
          <w:color w:val="000000" w:themeColor="text1"/>
          <w:sz w:val="24"/>
          <w:szCs w:val="24"/>
        </w:rPr>
        <w:t xml:space="preserve"> którego </w:t>
      </w:r>
      <w:r w:rsidR="00860532" w:rsidRPr="00D84154">
        <w:rPr>
          <w:rFonts w:ascii="Times New Roman" w:hAnsi="Times New Roman" w:cs="Times New Roman"/>
          <w:color w:val="000000" w:themeColor="text1"/>
          <w:sz w:val="24"/>
          <w:szCs w:val="24"/>
        </w:rPr>
        <w:t xml:space="preserve">jest </w:t>
      </w:r>
      <w:r w:rsidR="00F87B8A" w:rsidRPr="00D84154">
        <w:rPr>
          <w:rFonts w:ascii="Times New Roman" w:hAnsi="Times New Roman" w:cs="Times New Roman"/>
          <w:color w:val="000000" w:themeColor="text1"/>
          <w:sz w:val="24"/>
          <w:szCs w:val="24"/>
        </w:rPr>
        <w:t>przeprowadzana kontrola</w:t>
      </w:r>
      <w:r w:rsidR="00860532" w:rsidRPr="00D84154">
        <w:rPr>
          <w:rFonts w:ascii="Times New Roman" w:hAnsi="Times New Roman" w:cs="Times New Roman"/>
          <w:color w:val="000000" w:themeColor="text1"/>
          <w:sz w:val="24"/>
          <w:szCs w:val="24"/>
        </w:rPr>
        <w:t>,</w:t>
      </w:r>
      <w:r w:rsidR="00F87B8A" w:rsidRPr="00D84154">
        <w:rPr>
          <w:rFonts w:ascii="Times New Roman" w:hAnsi="Times New Roman" w:cs="Times New Roman"/>
          <w:color w:val="000000" w:themeColor="text1"/>
          <w:sz w:val="24"/>
          <w:szCs w:val="24"/>
        </w:rPr>
        <w:t xml:space="preserve"> lub zostały sporządzone wyłącznie w celu realizacji prawa kontrolowanego do uzyskania ochrony prawnej </w:t>
      </w:r>
      <w:r w:rsidR="0072193F" w:rsidRPr="00D84154">
        <w:rPr>
          <w:rFonts w:ascii="Times New Roman" w:hAnsi="Times New Roman" w:cs="Times New Roman"/>
          <w:color w:val="000000" w:themeColor="text1"/>
          <w:sz w:val="24"/>
          <w:szCs w:val="24"/>
        </w:rPr>
        <w:t>od ww. osób</w:t>
      </w:r>
      <w:r w:rsidR="009B6F4E">
        <w:rPr>
          <w:rFonts w:ascii="Times New Roman" w:hAnsi="Times New Roman" w:cs="Times New Roman"/>
          <w:color w:val="000000" w:themeColor="text1"/>
          <w:sz w:val="24"/>
          <w:szCs w:val="24"/>
        </w:rPr>
        <w:t xml:space="preserve">, w związku z </w:t>
      </w:r>
      <w:r w:rsidR="00F87B8A" w:rsidRPr="00D84154">
        <w:rPr>
          <w:rFonts w:ascii="Times New Roman" w:hAnsi="Times New Roman" w:cs="Times New Roman"/>
          <w:color w:val="000000" w:themeColor="text1"/>
          <w:sz w:val="24"/>
          <w:szCs w:val="24"/>
        </w:rPr>
        <w:t>przedmiotem postępowania prowadzonego prze</w:t>
      </w:r>
      <w:r w:rsidR="009B6F4E">
        <w:rPr>
          <w:rFonts w:ascii="Times New Roman" w:hAnsi="Times New Roman" w:cs="Times New Roman"/>
          <w:color w:val="000000" w:themeColor="text1"/>
          <w:sz w:val="24"/>
          <w:szCs w:val="24"/>
        </w:rPr>
        <w:t xml:space="preserve">z Prezesa Urzędu, w </w:t>
      </w:r>
      <w:r w:rsidR="00F87B8A" w:rsidRPr="00D84154">
        <w:rPr>
          <w:rFonts w:ascii="Times New Roman" w:hAnsi="Times New Roman" w:cs="Times New Roman"/>
          <w:color w:val="000000" w:themeColor="text1"/>
          <w:sz w:val="24"/>
          <w:szCs w:val="24"/>
        </w:rPr>
        <w:t>ramach któreg</w:t>
      </w:r>
      <w:r w:rsidR="009B6F4E">
        <w:rPr>
          <w:rFonts w:ascii="Times New Roman" w:hAnsi="Times New Roman" w:cs="Times New Roman"/>
          <w:color w:val="000000" w:themeColor="text1"/>
          <w:sz w:val="24"/>
          <w:szCs w:val="24"/>
        </w:rPr>
        <w:t xml:space="preserve">o przeprowadzana jest kontrola, </w:t>
      </w:r>
      <w:r w:rsidR="00F87B8A" w:rsidRPr="00D84154">
        <w:rPr>
          <w:rFonts w:ascii="Times New Roman" w:hAnsi="Times New Roman" w:cs="Times New Roman"/>
          <w:color w:val="000000" w:themeColor="text1"/>
          <w:sz w:val="24"/>
          <w:szCs w:val="24"/>
        </w:rPr>
        <w:t>kontrolujący pozo</w:t>
      </w:r>
      <w:r w:rsidR="009B6F4E">
        <w:rPr>
          <w:rFonts w:ascii="Times New Roman" w:hAnsi="Times New Roman" w:cs="Times New Roman"/>
          <w:color w:val="000000" w:themeColor="text1"/>
          <w:sz w:val="24"/>
          <w:szCs w:val="24"/>
        </w:rPr>
        <w:t xml:space="preserve">stawia te pisma lub dokumenty w </w:t>
      </w:r>
      <w:r w:rsidR="00F87B8A" w:rsidRPr="00D84154">
        <w:rPr>
          <w:rFonts w:ascii="Times New Roman" w:hAnsi="Times New Roman" w:cs="Times New Roman"/>
          <w:color w:val="000000" w:themeColor="text1"/>
          <w:sz w:val="24"/>
          <w:szCs w:val="24"/>
        </w:rPr>
        <w:t xml:space="preserve">miejscu kontroli. </w:t>
      </w:r>
      <w:r w:rsidR="00C2292E" w:rsidRPr="00D84154">
        <w:rPr>
          <w:rFonts w:ascii="Times New Roman" w:hAnsi="Times New Roman" w:cs="Times New Roman"/>
          <w:color w:val="000000" w:themeColor="text1"/>
          <w:sz w:val="24"/>
          <w:szCs w:val="24"/>
        </w:rPr>
        <w:t xml:space="preserve">Odwołanie do art. 2a </w:t>
      </w:r>
      <w:r w:rsidR="00860532" w:rsidRPr="00D84154">
        <w:rPr>
          <w:rFonts w:ascii="Times New Roman" w:hAnsi="Times New Roman" w:cs="Times New Roman"/>
          <w:color w:val="000000" w:themeColor="text1"/>
          <w:sz w:val="24"/>
          <w:szCs w:val="24"/>
        </w:rPr>
        <w:t xml:space="preserve">ww. </w:t>
      </w:r>
      <w:r w:rsidR="00C2292E" w:rsidRPr="00D84154">
        <w:rPr>
          <w:rFonts w:ascii="Times New Roman" w:hAnsi="Times New Roman" w:cs="Times New Roman"/>
          <w:color w:val="000000" w:themeColor="text1"/>
          <w:sz w:val="24"/>
          <w:szCs w:val="24"/>
        </w:rPr>
        <w:t xml:space="preserve">ustawy </w:t>
      </w:r>
      <w:r w:rsidR="00772417">
        <w:rPr>
          <w:rFonts w:ascii="Times New Roman" w:hAnsi="Times New Roman" w:cs="Times New Roman"/>
          <w:color w:val="000000" w:themeColor="text1"/>
          <w:sz w:val="24"/>
          <w:szCs w:val="24"/>
        </w:rPr>
        <w:t xml:space="preserve">z dnia 5 lipca 2002 r. </w:t>
      </w:r>
      <w:r w:rsidR="00C2292E" w:rsidRPr="00D84154">
        <w:rPr>
          <w:rFonts w:ascii="Times New Roman" w:hAnsi="Times New Roman" w:cs="Times New Roman"/>
          <w:color w:val="000000" w:themeColor="text1"/>
          <w:sz w:val="24"/>
          <w:szCs w:val="24"/>
        </w:rPr>
        <w:t>o świadczeniu przez prawników zagranicznych pomocy prawnej w Rzeczypospolitej Polskiej ma na celu objęcie przedmiotową regulacją także prawników z państw członkowskich Europejskiego Porozumienia o Wolnym Handlu (EFTA) – stron umowy o Europejskim Obszarze Gospodarczym lub Konfederacji Szwajcarskiej. Należy zauważyć, ż</w:t>
      </w:r>
      <w:r w:rsidR="00772417">
        <w:rPr>
          <w:rFonts w:ascii="Times New Roman" w:hAnsi="Times New Roman" w:cs="Times New Roman"/>
          <w:color w:val="000000" w:themeColor="text1"/>
          <w:sz w:val="24"/>
          <w:szCs w:val="24"/>
        </w:rPr>
        <w:t>e</w:t>
      </w:r>
      <w:r w:rsidR="00C2292E" w:rsidRPr="00D84154">
        <w:rPr>
          <w:rFonts w:ascii="Times New Roman" w:hAnsi="Times New Roman" w:cs="Times New Roman"/>
          <w:color w:val="000000" w:themeColor="text1"/>
          <w:sz w:val="24"/>
          <w:szCs w:val="24"/>
        </w:rPr>
        <w:t xml:space="preserve"> </w:t>
      </w:r>
      <w:r w:rsidR="000B1C3F" w:rsidRPr="00D84154">
        <w:rPr>
          <w:rFonts w:ascii="Times New Roman" w:hAnsi="Times New Roman" w:cs="Times New Roman"/>
          <w:color w:val="000000" w:themeColor="text1"/>
          <w:sz w:val="24"/>
          <w:szCs w:val="24"/>
        </w:rPr>
        <w:t>w wyroku w sprawie 155/79 AM&amp;S (pkt 25) wskazano, ż</w:t>
      </w:r>
      <w:r w:rsidR="00772417">
        <w:rPr>
          <w:rFonts w:ascii="Times New Roman" w:hAnsi="Times New Roman" w:cs="Times New Roman"/>
          <w:color w:val="000000" w:themeColor="text1"/>
          <w:sz w:val="24"/>
          <w:szCs w:val="24"/>
        </w:rPr>
        <w:t>e</w:t>
      </w:r>
      <w:r w:rsidR="000B1C3F" w:rsidRPr="00D84154">
        <w:rPr>
          <w:rFonts w:ascii="Times New Roman" w:hAnsi="Times New Roman" w:cs="Times New Roman"/>
          <w:color w:val="000000" w:themeColor="text1"/>
          <w:sz w:val="24"/>
          <w:szCs w:val="24"/>
        </w:rPr>
        <w:t xml:space="preserve"> </w:t>
      </w:r>
      <w:r w:rsidR="009A7EE2" w:rsidRPr="00D84154">
        <w:rPr>
          <w:rFonts w:ascii="Times New Roman" w:hAnsi="Times New Roman" w:cs="Times New Roman"/>
          <w:color w:val="000000" w:themeColor="text1"/>
          <w:sz w:val="24"/>
          <w:szCs w:val="24"/>
        </w:rPr>
        <w:t xml:space="preserve">LPP </w:t>
      </w:r>
      <w:r w:rsidR="000B1C3F" w:rsidRPr="00D84154">
        <w:rPr>
          <w:rFonts w:ascii="Times New Roman" w:hAnsi="Times New Roman" w:cs="Times New Roman"/>
          <w:color w:val="000000" w:themeColor="text1"/>
          <w:sz w:val="24"/>
          <w:szCs w:val="24"/>
        </w:rPr>
        <w:t xml:space="preserve">stosuje się do prawnika uprawnionego do wykonywania zawodu w </w:t>
      </w:r>
      <w:r w:rsidR="009A7EE2" w:rsidRPr="00D84154">
        <w:rPr>
          <w:rFonts w:ascii="Times New Roman" w:hAnsi="Times New Roman" w:cs="Times New Roman"/>
          <w:color w:val="000000" w:themeColor="text1"/>
          <w:sz w:val="24"/>
          <w:szCs w:val="24"/>
        </w:rPr>
        <w:t>państw</w:t>
      </w:r>
      <w:r w:rsidR="000B1C3F" w:rsidRPr="00D84154">
        <w:rPr>
          <w:rFonts w:ascii="Times New Roman" w:hAnsi="Times New Roman" w:cs="Times New Roman"/>
          <w:color w:val="000000" w:themeColor="text1"/>
          <w:sz w:val="24"/>
          <w:szCs w:val="24"/>
        </w:rPr>
        <w:t xml:space="preserve">ie członkowskim UE, </w:t>
      </w:r>
      <w:r w:rsidR="000B1C3F" w:rsidRPr="00D84154">
        <w:rPr>
          <w:rFonts w:ascii="Times New Roman" w:hAnsi="Times New Roman" w:cs="Times New Roman"/>
          <w:color w:val="000000" w:themeColor="text1"/>
          <w:sz w:val="24"/>
          <w:szCs w:val="24"/>
        </w:rPr>
        <w:lastRenderedPageBreak/>
        <w:t>niezależnie od tego</w:t>
      </w:r>
      <w:r w:rsidR="00772417">
        <w:rPr>
          <w:rFonts w:ascii="Times New Roman" w:hAnsi="Times New Roman" w:cs="Times New Roman"/>
          <w:color w:val="000000" w:themeColor="text1"/>
          <w:sz w:val="24"/>
          <w:szCs w:val="24"/>
        </w:rPr>
        <w:t>,</w:t>
      </w:r>
      <w:r w:rsidR="000B1C3F" w:rsidRPr="00D84154">
        <w:rPr>
          <w:rFonts w:ascii="Times New Roman" w:hAnsi="Times New Roman" w:cs="Times New Roman"/>
          <w:color w:val="000000" w:themeColor="text1"/>
          <w:sz w:val="24"/>
          <w:szCs w:val="24"/>
        </w:rPr>
        <w:t xml:space="preserve"> gdzie ma siedzibę klient. Z kolei np. w opinii rzecznika generalnego do sprawy C- 550/07 P (pkt 188</w:t>
      </w:r>
      <w:r w:rsidR="00E8160D">
        <w:rPr>
          <w:rFonts w:ascii="Times New Roman" w:hAnsi="Times New Roman" w:cs="Times New Roman"/>
          <w:color w:val="000000" w:themeColor="text1"/>
          <w:sz w:val="24"/>
          <w:szCs w:val="24"/>
        </w:rPr>
        <w:t>–</w:t>
      </w:r>
      <w:r w:rsidR="000B1C3F" w:rsidRPr="00D84154">
        <w:rPr>
          <w:rFonts w:ascii="Times New Roman" w:hAnsi="Times New Roman" w:cs="Times New Roman"/>
          <w:color w:val="000000" w:themeColor="text1"/>
          <w:sz w:val="24"/>
          <w:szCs w:val="24"/>
        </w:rPr>
        <w:t xml:space="preserve">190) </w:t>
      </w:r>
      <w:r w:rsidR="00860532" w:rsidRPr="00D84154">
        <w:rPr>
          <w:rFonts w:ascii="Times New Roman" w:hAnsi="Times New Roman" w:cs="Times New Roman"/>
          <w:color w:val="000000" w:themeColor="text1"/>
          <w:sz w:val="24"/>
          <w:szCs w:val="24"/>
        </w:rPr>
        <w:t xml:space="preserve">jest </w:t>
      </w:r>
      <w:r w:rsidR="000B1C3F" w:rsidRPr="00D84154">
        <w:rPr>
          <w:rFonts w:ascii="Times New Roman" w:hAnsi="Times New Roman" w:cs="Times New Roman"/>
          <w:color w:val="000000" w:themeColor="text1"/>
          <w:sz w:val="24"/>
          <w:szCs w:val="24"/>
        </w:rPr>
        <w:t xml:space="preserve">mowa o prawnikach z EOG. </w:t>
      </w:r>
      <w:r w:rsidRPr="00D84154">
        <w:rPr>
          <w:rFonts w:ascii="Times New Roman" w:hAnsi="Times New Roman" w:cs="Times New Roman"/>
          <w:color w:val="000000" w:themeColor="text1"/>
          <w:sz w:val="24"/>
          <w:szCs w:val="24"/>
        </w:rPr>
        <w:t xml:space="preserve">W ust. 2 zapewniono </w:t>
      </w:r>
      <w:r w:rsidR="00747803" w:rsidRPr="00D84154">
        <w:rPr>
          <w:rFonts w:ascii="Times New Roman" w:hAnsi="Times New Roman" w:cs="Times New Roman"/>
          <w:color w:val="000000" w:themeColor="text1"/>
          <w:sz w:val="24"/>
          <w:szCs w:val="24"/>
        </w:rPr>
        <w:t>kontrolującym</w:t>
      </w:r>
      <w:r w:rsidR="00F65A77">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uprawnienie do zapoznania się jedynie pobie</w:t>
      </w:r>
      <w:r w:rsidR="00C612AC">
        <w:rPr>
          <w:rFonts w:ascii="Times New Roman" w:hAnsi="Times New Roman" w:cs="Times New Roman"/>
          <w:color w:val="000000" w:themeColor="text1"/>
          <w:sz w:val="24"/>
          <w:szCs w:val="24"/>
        </w:rPr>
        <w:t>żnie z pismem lub dokumentem, w </w:t>
      </w:r>
      <w:r w:rsidRPr="00D84154">
        <w:rPr>
          <w:rFonts w:ascii="Times New Roman" w:hAnsi="Times New Roman" w:cs="Times New Roman"/>
          <w:color w:val="000000" w:themeColor="text1"/>
          <w:sz w:val="24"/>
          <w:szCs w:val="24"/>
        </w:rPr>
        <w:t>sposób pozwalający na ustalenie autora, adresata, tytułu oraz przedmiotu pisma lub dokumentu</w:t>
      </w:r>
      <w:r w:rsidR="00923923">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oraz daty jego sporządzenia</w:t>
      </w:r>
      <w:r w:rsidR="00860532" w:rsidRPr="00D84154">
        <w:rPr>
          <w:rFonts w:ascii="Times New Roman" w:hAnsi="Times New Roman" w:cs="Times New Roman"/>
          <w:color w:val="000000" w:themeColor="text1"/>
          <w:sz w:val="24"/>
          <w:szCs w:val="24"/>
        </w:rPr>
        <w:t>, a także</w:t>
      </w:r>
      <w:r w:rsidR="00F65A77">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 xml:space="preserve">do zażądania od </w:t>
      </w:r>
      <w:r w:rsidR="00747803" w:rsidRPr="00D84154">
        <w:rPr>
          <w:rFonts w:ascii="Times New Roman" w:hAnsi="Times New Roman" w:cs="Times New Roman"/>
          <w:color w:val="000000" w:themeColor="text1"/>
          <w:sz w:val="24"/>
          <w:szCs w:val="24"/>
        </w:rPr>
        <w:t>kontrolowanego</w:t>
      </w:r>
      <w:r w:rsidRPr="00D84154">
        <w:rPr>
          <w:rFonts w:ascii="Times New Roman" w:hAnsi="Times New Roman" w:cs="Times New Roman"/>
          <w:color w:val="000000" w:themeColor="text1"/>
          <w:sz w:val="24"/>
          <w:szCs w:val="24"/>
        </w:rPr>
        <w:t xml:space="preserve"> lub osoby przez niego upoważnionej dodatkowych ustnych wyjaśnień w przedmiocie złożonego oświadczenia oraz przygotowania wersji pisma lub dokumentu, niezawierającej informacji objętych ochroną, jeżeli jest </w:t>
      </w:r>
      <w:r w:rsidR="00E8160D">
        <w:rPr>
          <w:rFonts w:ascii="Times New Roman" w:hAnsi="Times New Roman" w:cs="Times New Roman"/>
          <w:color w:val="000000" w:themeColor="text1"/>
          <w:sz w:val="24"/>
          <w:szCs w:val="24"/>
        </w:rPr>
        <w:t xml:space="preserve">to </w:t>
      </w:r>
      <w:r w:rsidRPr="00D84154">
        <w:rPr>
          <w:rFonts w:ascii="Times New Roman" w:hAnsi="Times New Roman" w:cs="Times New Roman"/>
          <w:color w:val="000000" w:themeColor="text1"/>
          <w:sz w:val="24"/>
          <w:szCs w:val="24"/>
        </w:rPr>
        <w:t xml:space="preserve">możliwe. </w:t>
      </w:r>
      <w:r w:rsidR="00F577D1" w:rsidRPr="00D84154">
        <w:rPr>
          <w:rFonts w:ascii="Times New Roman" w:hAnsi="Times New Roman" w:cs="Times New Roman"/>
          <w:color w:val="000000" w:themeColor="text1"/>
          <w:sz w:val="24"/>
          <w:szCs w:val="24"/>
        </w:rPr>
        <w:t xml:space="preserve">Konieczność pobieżnego spojrzenia na dokument, co </w:t>
      </w:r>
      <w:r w:rsidR="00E8160D">
        <w:rPr>
          <w:rFonts w:ascii="Times New Roman" w:hAnsi="Times New Roman" w:cs="Times New Roman"/>
          <w:color w:val="000000" w:themeColor="text1"/>
          <w:sz w:val="24"/>
          <w:szCs w:val="24"/>
        </w:rPr>
        <w:t xml:space="preserve">do </w:t>
      </w:r>
      <w:r w:rsidR="00F577D1" w:rsidRPr="00D84154">
        <w:rPr>
          <w:rFonts w:ascii="Times New Roman" w:hAnsi="Times New Roman" w:cs="Times New Roman"/>
          <w:color w:val="000000" w:themeColor="text1"/>
          <w:sz w:val="24"/>
          <w:szCs w:val="24"/>
        </w:rPr>
        <w:t>którego przedsiębiorca deklaruje, ż</w:t>
      </w:r>
      <w:r w:rsidR="00E8160D">
        <w:rPr>
          <w:rFonts w:ascii="Times New Roman" w:hAnsi="Times New Roman" w:cs="Times New Roman"/>
          <w:color w:val="000000" w:themeColor="text1"/>
          <w:sz w:val="24"/>
          <w:szCs w:val="24"/>
        </w:rPr>
        <w:t>e</w:t>
      </w:r>
      <w:r w:rsidR="00F577D1" w:rsidRPr="00D84154">
        <w:rPr>
          <w:rFonts w:ascii="Times New Roman" w:hAnsi="Times New Roman" w:cs="Times New Roman"/>
          <w:color w:val="000000" w:themeColor="text1"/>
          <w:sz w:val="24"/>
          <w:szCs w:val="24"/>
        </w:rPr>
        <w:t xml:space="preserve"> jest objęty ochroną wynikającą z LPP</w:t>
      </w:r>
      <w:r w:rsidR="00E8160D">
        <w:rPr>
          <w:rFonts w:ascii="Times New Roman" w:hAnsi="Times New Roman" w:cs="Times New Roman"/>
          <w:color w:val="000000" w:themeColor="text1"/>
          <w:sz w:val="24"/>
          <w:szCs w:val="24"/>
        </w:rPr>
        <w:t>,</w:t>
      </w:r>
      <w:r w:rsidR="00C612AC">
        <w:rPr>
          <w:rFonts w:ascii="Times New Roman" w:hAnsi="Times New Roman" w:cs="Times New Roman"/>
          <w:color w:val="000000" w:themeColor="text1"/>
          <w:sz w:val="24"/>
          <w:szCs w:val="24"/>
        </w:rPr>
        <w:t xml:space="preserve"> ma wymiar w </w:t>
      </w:r>
      <w:r w:rsidR="00F577D1" w:rsidRPr="00D84154">
        <w:rPr>
          <w:rFonts w:ascii="Times New Roman" w:hAnsi="Times New Roman" w:cs="Times New Roman"/>
          <w:color w:val="000000" w:themeColor="text1"/>
          <w:sz w:val="24"/>
          <w:szCs w:val="24"/>
        </w:rPr>
        <w:t xml:space="preserve">dużej mierze praktyczny. W szczególności </w:t>
      </w:r>
      <w:r w:rsidR="00BA29FF" w:rsidRPr="00D84154">
        <w:rPr>
          <w:rFonts w:ascii="Times New Roman" w:hAnsi="Times New Roman" w:cs="Times New Roman"/>
          <w:color w:val="000000" w:themeColor="text1"/>
          <w:sz w:val="24"/>
          <w:szCs w:val="24"/>
        </w:rPr>
        <w:t xml:space="preserve">dotyczy to </w:t>
      </w:r>
      <w:r w:rsidR="00F577D1" w:rsidRPr="00D84154">
        <w:rPr>
          <w:rFonts w:ascii="Times New Roman" w:hAnsi="Times New Roman" w:cs="Times New Roman"/>
          <w:color w:val="000000" w:themeColor="text1"/>
          <w:sz w:val="24"/>
          <w:szCs w:val="24"/>
        </w:rPr>
        <w:t>sytuacj</w:t>
      </w:r>
      <w:r w:rsidR="00BA29FF" w:rsidRPr="00D84154">
        <w:rPr>
          <w:rFonts w:ascii="Times New Roman" w:hAnsi="Times New Roman" w:cs="Times New Roman"/>
          <w:color w:val="000000" w:themeColor="text1"/>
          <w:sz w:val="24"/>
          <w:szCs w:val="24"/>
        </w:rPr>
        <w:t>i</w:t>
      </w:r>
      <w:r w:rsidR="00F577D1" w:rsidRPr="00D84154">
        <w:rPr>
          <w:rFonts w:ascii="Times New Roman" w:hAnsi="Times New Roman" w:cs="Times New Roman"/>
          <w:color w:val="000000" w:themeColor="text1"/>
          <w:sz w:val="24"/>
          <w:szCs w:val="24"/>
        </w:rPr>
        <w:t xml:space="preserve">, gdy przedsiębiorcy deklarują ochronę np. maili „hurtowo” od/do nadawcy, który ich zdaniem mieści się w chronionej kategorii. Możliwość spojrzenia na tytuł i przedmiot wiadomości może pozwolić kontrolującym/przeszukującym </w:t>
      </w:r>
      <w:r w:rsidR="00BA29FF" w:rsidRPr="00D84154">
        <w:rPr>
          <w:rFonts w:ascii="Times New Roman" w:hAnsi="Times New Roman" w:cs="Times New Roman"/>
          <w:color w:val="000000" w:themeColor="text1"/>
          <w:sz w:val="24"/>
          <w:szCs w:val="24"/>
        </w:rPr>
        <w:t xml:space="preserve">na </w:t>
      </w:r>
      <w:r w:rsidR="00F577D1" w:rsidRPr="00D84154">
        <w:rPr>
          <w:rFonts w:ascii="Times New Roman" w:hAnsi="Times New Roman" w:cs="Times New Roman"/>
          <w:color w:val="000000" w:themeColor="text1"/>
          <w:sz w:val="24"/>
          <w:szCs w:val="24"/>
        </w:rPr>
        <w:t>rezygn</w:t>
      </w:r>
      <w:r w:rsidR="00BA29FF" w:rsidRPr="00D84154">
        <w:rPr>
          <w:rFonts w:ascii="Times New Roman" w:hAnsi="Times New Roman" w:cs="Times New Roman"/>
          <w:color w:val="000000" w:themeColor="text1"/>
          <w:sz w:val="24"/>
          <w:szCs w:val="24"/>
        </w:rPr>
        <w:t>ację</w:t>
      </w:r>
      <w:r w:rsidR="00F577D1" w:rsidRPr="00D84154">
        <w:rPr>
          <w:rFonts w:ascii="Times New Roman" w:hAnsi="Times New Roman" w:cs="Times New Roman"/>
          <w:color w:val="000000" w:themeColor="text1"/>
          <w:sz w:val="24"/>
          <w:szCs w:val="24"/>
        </w:rPr>
        <w:t xml:space="preserve"> z zabezpieczenia danego maila jako nie mającego związku ze sprawą, bez konieczności wdrażania procedury „kopertowej” </w:t>
      </w:r>
      <w:r w:rsidR="00C612AC">
        <w:rPr>
          <w:rFonts w:ascii="Times New Roman" w:hAnsi="Times New Roman" w:cs="Times New Roman"/>
          <w:color w:val="000000" w:themeColor="text1"/>
          <w:sz w:val="24"/>
          <w:szCs w:val="24"/>
        </w:rPr>
        <w:t>i </w:t>
      </w:r>
      <w:r w:rsidR="00F577D1" w:rsidRPr="00D84154">
        <w:rPr>
          <w:rFonts w:ascii="Times New Roman" w:hAnsi="Times New Roman" w:cs="Times New Roman"/>
          <w:color w:val="000000" w:themeColor="text1"/>
          <w:sz w:val="24"/>
          <w:szCs w:val="24"/>
        </w:rPr>
        <w:t xml:space="preserve">angażowania </w:t>
      </w:r>
      <w:r w:rsidR="002B12F4" w:rsidRPr="00D84154">
        <w:rPr>
          <w:rFonts w:ascii="Times New Roman" w:hAnsi="Times New Roman" w:cs="Times New Roman"/>
          <w:color w:val="000000" w:themeColor="text1"/>
          <w:sz w:val="24"/>
          <w:szCs w:val="24"/>
        </w:rPr>
        <w:t>sądu ochrony konkurencji i konsumentów</w:t>
      </w:r>
      <w:r w:rsidR="00F65A77">
        <w:rPr>
          <w:rFonts w:ascii="Times New Roman" w:hAnsi="Times New Roman" w:cs="Times New Roman"/>
          <w:color w:val="000000" w:themeColor="text1"/>
          <w:sz w:val="24"/>
          <w:szCs w:val="24"/>
        </w:rPr>
        <w:t xml:space="preserve"> </w:t>
      </w:r>
      <w:r w:rsidR="00F577D1" w:rsidRPr="00D84154">
        <w:rPr>
          <w:rFonts w:ascii="Times New Roman" w:hAnsi="Times New Roman" w:cs="Times New Roman"/>
          <w:color w:val="000000" w:themeColor="text1"/>
          <w:sz w:val="24"/>
          <w:szCs w:val="24"/>
        </w:rPr>
        <w:t xml:space="preserve">w ocenę dokumentów. </w:t>
      </w:r>
      <w:r w:rsidRPr="00D84154">
        <w:rPr>
          <w:rFonts w:ascii="Times New Roman" w:hAnsi="Times New Roman" w:cs="Times New Roman"/>
          <w:color w:val="000000" w:themeColor="text1"/>
          <w:sz w:val="24"/>
          <w:szCs w:val="24"/>
        </w:rPr>
        <w:t xml:space="preserve">W sytuacji gdy oświadczenie </w:t>
      </w:r>
      <w:r w:rsidR="00747803" w:rsidRPr="00D84154">
        <w:rPr>
          <w:rFonts w:ascii="Times New Roman" w:hAnsi="Times New Roman" w:cs="Times New Roman"/>
          <w:color w:val="000000" w:themeColor="text1"/>
          <w:sz w:val="24"/>
          <w:szCs w:val="24"/>
        </w:rPr>
        <w:t>kontrolowanego</w:t>
      </w:r>
      <w:r w:rsidRPr="00D84154">
        <w:rPr>
          <w:rFonts w:ascii="Times New Roman" w:hAnsi="Times New Roman" w:cs="Times New Roman"/>
          <w:color w:val="000000" w:themeColor="text1"/>
          <w:sz w:val="24"/>
          <w:szCs w:val="24"/>
        </w:rPr>
        <w:t xml:space="preserve"> lub osoby przez niego upoważnionej będzie budzić wątpliwości, </w:t>
      </w:r>
      <w:r w:rsidR="00747803" w:rsidRPr="00D84154">
        <w:rPr>
          <w:rFonts w:ascii="Times New Roman" w:hAnsi="Times New Roman" w:cs="Times New Roman"/>
          <w:color w:val="000000" w:themeColor="text1"/>
          <w:sz w:val="24"/>
          <w:szCs w:val="24"/>
        </w:rPr>
        <w:t>kontrolujący</w:t>
      </w:r>
      <w:r w:rsidR="00F65A77">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 xml:space="preserve">niezwłocznie po zakończeniu </w:t>
      </w:r>
      <w:r w:rsidR="00747803" w:rsidRPr="00D84154">
        <w:rPr>
          <w:rFonts w:ascii="Times New Roman" w:hAnsi="Times New Roman" w:cs="Times New Roman"/>
          <w:color w:val="000000" w:themeColor="text1"/>
          <w:sz w:val="24"/>
          <w:szCs w:val="24"/>
        </w:rPr>
        <w:t>kontroli</w:t>
      </w:r>
      <w:r w:rsidRPr="00D84154">
        <w:rPr>
          <w:rFonts w:ascii="Times New Roman" w:hAnsi="Times New Roman" w:cs="Times New Roman"/>
          <w:color w:val="000000" w:themeColor="text1"/>
          <w:sz w:val="24"/>
          <w:szCs w:val="24"/>
        </w:rPr>
        <w:t xml:space="preserve"> będzie zobowiązany do przekazania pisma lub dokumentu, którego wątpliwość dotyczy</w:t>
      </w:r>
      <w:r w:rsidR="002B12F4" w:rsidRPr="00D84154">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sądowi ochro</w:t>
      </w:r>
      <w:r w:rsidR="00C612AC">
        <w:rPr>
          <w:rFonts w:ascii="Times New Roman" w:hAnsi="Times New Roman" w:cs="Times New Roman"/>
          <w:color w:val="000000" w:themeColor="text1"/>
          <w:sz w:val="24"/>
          <w:szCs w:val="24"/>
        </w:rPr>
        <w:t>ny konkurencji i konsumentów, w </w:t>
      </w:r>
      <w:r w:rsidRPr="00D84154">
        <w:rPr>
          <w:rFonts w:ascii="Times New Roman" w:hAnsi="Times New Roman" w:cs="Times New Roman"/>
          <w:color w:val="000000" w:themeColor="text1"/>
          <w:sz w:val="24"/>
          <w:szCs w:val="24"/>
        </w:rPr>
        <w:t>sposób zapewniający ich należyte zabezpieczenie przed ujawnieniem ich treści. Rozstrzyga wątpliwości w tym przedmiocie</w:t>
      </w:r>
      <w:r w:rsidR="00747803" w:rsidRPr="00D84154">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 xml:space="preserve">sąd ochrony konkurencji i konsumentów (ust. 5), przy czym to na </w:t>
      </w:r>
      <w:r w:rsidR="00747803" w:rsidRPr="00D84154">
        <w:rPr>
          <w:rFonts w:ascii="Times New Roman" w:hAnsi="Times New Roman" w:cs="Times New Roman"/>
          <w:color w:val="000000" w:themeColor="text1"/>
          <w:sz w:val="24"/>
          <w:szCs w:val="24"/>
        </w:rPr>
        <w:t>kontrolowanym</w:t>
      </w:r>
      <w:r w:rsidRPr="00D84154">
        <w:rPr>
          <w:rFonts w:ascii="Times New Roman" w:hAnsi="Times New Roman" w:cs="Times New Roman"/>
          <w:color w:val="000000" w:themeColor="text1"/>
          <w:sz w:val="24"/>
          <w:szCs w:val="24"/>
        </w:rPr>
        <w:t xml:space="preserve"> spoczywać ma ciężar dowodu, że</w:t>
      </w:r>
      <w:r w:rsidR="00747803" w:rsidRPr="00D84154">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pisemn</w:t>
      </w:r>
      <w:r w:rsidR="00747803" w:rsidRPr="00D84154">
        <w:rPr>
          <w:rFonts w:ascii="Times New Roman" w:hAnsi="Times New Roman" w:cs="Times New Roman"/>
          <w:color w:val="000000" w:themeColor="text1"/>
          <w:sz w:val="24"/>
          <w:szCs w:val="24"/>
        </w:rPr>
        <w:t>a</w:t>
      </w:r>
      <w:r w:rsidRPr="00D84154">
        <w:rPr>
          <w:rFonts w:ascii="Times New Roman" w:hAnsi="Times New Roman" w:cs="Times New Roman"/>
          <w:color w:val="000000" w:themeColor="text1"/>
          <w:sz w:val="24"/>
          <w:szCs w:val="24"/>
        </w:rPr>
        <w:t xml:space="preserve"> komunikacj</w:t>
      </w:r>
      <w:r w:rsidR="00747803" w:rsidRPr="00D84154">
        <w:rPr>
          <w:rFonts w:ascii="Times New Roman" w:hAnsi="Times New Roman" w:cs="Times New Roman"/>
          <w:color w:val="000000" w:themeColor="text1"/>
          <w:sz w:val="24"/>
          <w:szCs w:val="24"/>
        </w:rPr>
        <w:t>a</w:t>
      </w:r>
      <w:r w:rsidRPr="00D84154">
        <w:rPr>
          <w:rFonts w:ascii="Times New Roman" w:hAnsi="Times New Roman" w:cs="Times New Roman"/>
          <w:color w:val="000000" w:themeColor="text1"/>
          <w:sz w:val="24"/>
          <w:szCs w:val="24"/>
        </w:rPr>
        <w:t xml:space="preserve"> zawiera dane objęte LPP. W ust. 5 zaproponowano dalszą procedurę sądową w tym zakresie, zgodnie z którą sąd ochrony konkurencji i konsumentów po zapoznaniu się z przekazanymi mu w ww. trybie pismami lub dokumentami, wydaje w terminie miesiąca od ich przekazania postanowienie albo o ich zwrocie</w:t>
      </w:r>
      <w:r w:rsidR="00F65A77">
        <w:rPr>
          <w:rFonts w:ascii="Times New Roman" w:hAnsi="Times New Roman" w:cs="Times New Roman"/>
          <w:color w:val="000000" w:themeColor="text1"/>
          <w:sz w:val="24"/>
          <w:szCs w:val="24"/>
        </w:rPr>
        <w:t xml:space="preserve"> </w:t>
      </w:r>
      <w:r w:rsidR="00747803" w:rsidRPr="00D84154">
        <w:rPr>
          <w:rFonts w:ascii="Times New Roman" w:hAnsi="Times New Roman" w:cs="Times New Roman"/>
          <w:color w:val="000000" w:themeColor="text1"/>
          <w:sz w:val="24"/>
          <w:szCs w:val="24"/>
        </w:rPr>
        <w:t>kontrolowanemu</w:t>
      </w:r>
      <w:r w:rsidRPr="00D84154">
        <w:rPr>
          <w:rFonts w:ascii="Times New Roman" w:hAnsi="Times New Roman" w:cs="Times New Roman"/>
          <w:color w:val="000000" w:themeColor="text1"/>
          <w:sz w:val="24"/>
          <w:szCs w:val="24"/>
        </w:rPr>
        <w:t xml:space="preserve"> w całości lub w części, jeżeli</w:t>
      </w:r>
      <w:r w:rsidR="002609BA" w:rsidRPr="00D84154">
        <w:rPr>
          <w:rFonts w:ascii="Times New Roman" w:eastAsiaTheme="minorEastAsia" w:hAnsi="Times New Roman" w:cs="Times New Roman"/>
          <w:sz w:val="24"/>
          <w:szCs w:val="24"/>
          <w:lang w:eastAsia="pl-PL"/>
        </w:rPr>
        <w:t xml:space="preserve"> </w:t>
      </w:r>
      <w:r w:rsidR="00C612AC">
        <w:rPr>
          <w:rFonts w:ascii="Times New Roman" w:hAnsi="Times New Roman" w:cs="Times New Roman"/>
          <w:color w:val="000000" w:themeColor="text1"/>
          <w:sz w:val="24"/>
          <w:szCs w:val="24"/>
        </w:rPr>
        <w:t xml:space="preserve">spełniają one przesłanki z </w:t>
      </w:r>
      <w:r w:rsidR="002609BA" w:rsidRPr="00D84154">
        <w:rPr>
          <w:rFonts w:ascii="Times New Roman" w:hAnsi="Times New Roman" w:cs="Times New Roman"/>
          <w:color w:val="000000" w:themeColor="text1"/>
          <w:sz w:val="24"/>
          <w:szCs w:val="24"/>
        </w:rPr>
        <w:t>ust. 1</w:t>
      </w:r>
      <w:r w:rsidRPr="00D84154">
        <w:rPr>
          <w:rFonts w:ascii="Times New Roman" w:hAnsi="Times New Roman" w:cs="Times New Roman"/>
          <w:color w:val="000000" w:themeColor="text1"/>
          <w:sz w:val="24"/>
          <w:szCs w:val="24"/>
        </w:rPr>
        <w:t xml:space="preserve">, lub w przeciwnym wypadku wydaje postanowienie o ich zwrocie </w:t>
      </w:r>
      <w:r w:rsidR="002B12F4" w:rsidRPr="00D84154">
        <w:rPr>
          <w:rFonts w:ascii="Times New Roman" w:hAnsi="Times New Roman" w:cs="Times New Roman"/>
          <w:color w:val="000000" w:themeColor="text1"/>
          <w:sz w:val="24"/>
          <w:szCs w:val="24"/>
        </w:rPr>
        <w:t xml:space="preserve">Prezesowi Urzędu </w:t>
      </w:r>
      <w:r w:rsidRPr="00D84154">
        <w:rPr>
          <w:rFonts w:ascii="Times New Roman" w:hAnsi="Times New Roman" w:cs="Times New Roman"/>
          <w:color w:val="000000" w:themeColor="text1"/>
          <w:sz w:val="24"/>
          <w:szCs w:val="24"/>
        </w:rPr>
        <w:t xml:space="preserve">w całości lub w części dla potrzeb </w:t>
      </w:r>
      <w:r w:rsidR="002B12F4" w:rsidRPr="00D84154">
        <w:rPr>
          <w:rFonts w:ascii="Times New Roman" w:hAnsi="Times New Roman" w:cs="Times New Roman"/>
          <w:color w:val="000000" w:themeColor="text1"/>
          <w:sz w:val="24"/>
          <w:szCs w:val="24"/>
        </w:rPr>
        <w:t xml:space="preserve">prowadzonego </w:t>
      </w:r>
      <w:r w:rsidRPr="00D84154">
        <w:rPr>
          <w:rFonts w:ascii="Times New Roman" w:hAnsi="Times New Roman" w:cs="Times New Roman"/>
          <w:color w:val="000000" w:themeColor="text1"/>
          <w:sz w:val="24"/>
          <w:szCs w:val="24"/>
        </w:rPr>
        <w:t>postępowania. Postanowienie sądu będzie zaskarżalne w drodze zażalenia, zaś w celu ochrony danych wrażliwych na czas rozpatrywania zażalenia przewidziano regulację</w:t>
      </w:r>
      <w:r w:rsidR="002B12F4" w:rsidRPr="00D84154">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zgodnie z którą postanowienie s</w:t>
      </w:r>
      <w:r w:rsidR="00C612AC">
        <w:rPr>
          <w:rFonts w:ascii="Times New Roman" w:hAnsi="Times New Roman" w:cs="Times New Roman"/>
          <w:color w:val="000000" w:themeColor="text1"/>
          <w:sz w:val="24"/>
          <w:szCs w:val="24"/>
        </w:rPr>
        <w:t>ądu podlega wykonaniu dopiero z </w:t>
      </w:r>
      <w:r w:rsidRPr="00D84154">
        <w:rPr>
          <w:rFonts w:ascii="Times New Roman" w:hAnsi="Times New Roman" w:cs="Times New Roman"/>
          <w:color w:val="000000" w:themeColor="text1"/>
          <w:sz w:val="24"/>
          <w:szCs w:val="24"/>
        </w:rPr>
        <w:t>chwilą uprawomocnienia (ust. 5).</w:t>
      </w:r>
    </w:p>
    <w:p w14:paraId="32C11BF5" w14:textId="200740C7" w:rsidR="003A754D" w:rsidRPr="00D84154" w:rsidRDefault="00A84ACD"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 art. 105q</w:t>
      </w:r>
      <w:r w:rsidR="00EC03A5" w:rsidRPr="00D84154">
        <w:rPr>
          <w:rFonts w:ascii="Times New Roman" w:hAnsi="Times New Roman" w:cs="Times New Roman"/>
          <w:color w:val="000000" w:themeColor="text1"/>
          <w:sz w:val="24"/>
          <w:szCs w:val="24"/>
        </w:rPr>
        <w:t xml:space="preserve"> </w:t>
      </w:r>
      <w:r w:rsidR="002B12F4" w:rsidRPr="00D84154">
        <w:rPr>
          <w:rFonts w:ascii="Times New Roman" w:hAnsi="Times New Roman" w:cs="Times New Roman"/>
          <w:color w:val="000000" w:themeColor="text1"/>
          <w:sz w:val="24"/>
          <w:szCs w:val="24"/>
        </w:rPr>
        <w:t xml:space="preserve">ustawy </w:t>
      </w:r>
      <w:r w:rsidR="00C7678F" w:rsidRPr="00D84154">
        <w:rPr>
          <w:rFonts w:ascii="Times New Roman" w:hAnsi="Times New Roman" w:cs="Times New Roman"/>
          <w:color w:val="000000" w:themeColor="text1"/>
          <w:sz w:val="24"/>
          <w:szCs w:val="24"/>
        </w:rPr>
        <w:t>pozostawiono odesłanie do przepisów</w:t>
      </w:r>
      <w:r w:rsidR="00F65A77">
        <w:rPr>
          <w:rFonts w:ascii="Times New Roman" w:hAnsi="Times New Roman" w:cs="Times New Roman"/>
          <w:color w:val="000000" w:themeColor="text1"/>
          <w:sz w:val="24"/>
          <w:szCs w:val="24"/>
        </w:rPr>
        <w:t xml:space="preserve"> </w:t>
      </w:r>
      <w:r w:rsidR="00C612AC">
        <w:rPr>
          <w:rFonts w:ascii="Times New Roman" w:hAnsi="Times New Roman" w:cs="Times New Roman"/>
          <w:color w:val="000000" w:themeColor="text1"/>
          <w:sz w:val="24"/>
          <w:szCs w:val="24"/>
        </w:rPr>
        <w:t>ustawy z dnia 6 czerwca 1997 </w:t>
      </w:r>
      <w:r w:rsidR="00EC03A5" w:rsidRPr="00D84154">
        <w:rPr>
          <w:rFonts w:ascii="Times New Roman" w:hAnsi="Times New Roman" w:cs="Times New Roman"/>
          <w:color w:val="000000" w:themeColor="text1"/>
          <w:sz w:val="24"/>
          <w:szCs w:val="24"/>
        </w:rPr>
        <w:t xml:space="preserve">r. </w:t>
      </w:r>
      <w:r w:rsidR="00E8160D">
        <w:rPr>
          <w:rFonts w:ascii="Times New Roman" w:hAnsi="Times New Roman" w:cs="Times New Roman"/>
          <w:color w:val="000000" w:themeColor="text1"/>
          <w:sz w:val="24"/>
          <w:szCs w:val="24"/>
        </w:rPr>
        <w:t>–</w:t>
      </w:r>
      <w:r w:rsidR="00EC03A5" w:rsidRPr="00D84154">
        <w:rPr>
          <w:rFonts w:ascii="Times New Roman" w:hAnsi="Times New Roman" w:cs="Times New Roman"/>
          <w:color w:val="000000" w:themeColor="text1"/>
          <w:sz w:val="24"/>
          <w:szCs w:val="24"/>
        </w:rPr>
        <w:t xml:space="preserve"> Kodeks postępowania karnego</w:t>
      </w:r>
      <w:r w:rsidR="00C7678F" w:rsidRPr="00D84154">
        <w:rPr>
          <w:rFonts w:ascii="Times New Roman" w:hAnsi="Times New Roman" w:cs="Times New Roman"/>
          <w:color w:val="000000" w:themeColor="text1"/>
          <w:sz w:val="24"/>
          <w:szCs w:val="24"/>
        </w:rPr>
        <w:t xml:space="preserve"> na potrzeby regulacji dotyczącej ochrony innych tajemnic prawnie chronionych</w:t>
      </w:r>
      <w:r w:rsidR="00AC1B4E" w:rsidRPr="00D84154">
        <w:rPr>
          <w:rFonts w:ascii="Times New Roman" w:hAnsi="Times New Roman" w:cs="Times New Roman"/>
          <w:color w:val="000000" w:themeColor="text1"/>
          <w:sz w:val="24"/>
          <w:szCs w:val="24"/>
        </w:rPr>
        <w:t xml:space="preserve">, jak również zaproponowano wprowadzenie analogicznego odesłania na </w:t>
      </w:r>
      <w:r w:rsidR="00AC1B4E" w:rsidRPr="00D84154">
        <w:rPr>
          <w:rFonts w:ascii="Times New Roman" w:hAnsi="Times New Roman" w:cs="Times New Roman"/>
          <w:color w:val="000000" w:themeColor="text1"/>
          <w:sz w:val="24"/>
          <w:szCs w:val="24"/>
        </w:rPr>
        <w:lastRenderedPageBreak/>
        <w:t>potrzeby kontroli u przedsiębiorcy (art. 105la), przy czym</w:t>
      </w:r>
      <w:r w:rsidR="00C612AC">
        <w:rPr>
          <w:rFonts w:ascii="Times New Roman" w:hAnsi="Times New Roman" w:cs="Times New Roman"/>
          <w:color w:val="000000" w:themeColor="text1"/>
          <w:sz w:val="24"/>
          <w:szCs w:val="24"/>
        </w:rPr>
        <w:t xml:space="preserve"> wobec odrębnego uregulowania w </w:t>
      </w:r>
      <w:r w:rsidR="00AC1B4E" w:rsidRPr="00D84154">
        <w:rPr>
          <w:rFonts w:ascii="Times New Roman" w:hAnsi="Times New Roman" w:cs="Times New Roman"/>
          <w:color w:val="000000" w:themeColor="text1"/>
          <w:sz w:val="24"/>
          <w:szCs w:val="24"/>
        </w:rPr>
        <w:t>art. 105da ustawy instytucji LPP niezasadne okazało się pozostawienie odesła</w:t>
      </w:r>
      <w:r w:rsidR="00C612AC">
        <w:rPr>
          <w:rFonts w:ascii="Times New Roman" w:hAnsi="Times New Roman" w:cs="Times New Roman"/>
          <w:color w:val="000000" w:themeColor="text1"/>
          <w:sz w:val="24"/>
          <w:szCs w:val="24"/>
        </w:rPr>
        <w:t>nia do art. </w:t>
      </w:r>
      <w:r w:rsidR="00AC1B4E" w:rsidRPr="00D84154">
        <w:rPr>
          <w:rFonts w:ascii="Times New Roman" w:hAnsi="Times New Roman" w:cs="Times New Roman"/>
          <w:color w:val="000000" w:themeColor="text1"/>
          <w:sz w:val="24"/>
          <w:szCs w:val="24"/>
        </w:rPr>
        <w:t>225 § 3 Kodeksu postępowania karnego (tajemnica obrończa)</w:t>
      </w:r>
      <w:r w:rsidR="0006126A" w:rsidRPr="00D84154">
        <w:rPr>
          <w:rFonts w:ascii="Times New Roman" w:hAnsi="Times New Roman" w:cs="Times New Roman"/>
          <w:color w:val="000000" w:themeColor="text1"/>
          <w:sz w:val="24"/>
          <w:szCs w:val="24"/>
        </w:rPr>
        <w:t>.</w:t>
      </w:r>
    </w:p>
    <w:p w14:paraId="47B911DB" w14:textId="1F9DC566" w:rsidR="00D159BB" w:rsidRPr="00D84154" w:rsidRDefault="00D159BB" w:rsidP="00D84154">
      <w:pPr>
        <w:pStyle w:val="Akapitzlist"/>
        <w:numPr>
          <w:ilvl w:val="0"/>
          <w:numId w:val="2"/>
        </w:numPr>
        <w:spacing w:before="120" w:after="0" w:line="360" w:lineRule="auto"/>
        <w:ind w:left="426" w:hanging="426"/>
        <w:jc w:val="both"/>
        <w:rPr>
          <w:rFonts w:ascii="Times New Roman" w:hAnsi="Times New Roman" w:cs="Times New Roman"/>
          <w:b/>
          <w:bCs/>
          <w:color w:val="000000" w:themeColor="text1"/>
          <w:sz w:val="24"/>
          <w:szCs w:val="24"/>
        </w:rPr>
      </w:pPr>
      <w:r w:rsidRPr="00D84154">
        <w:rPr>
          <w:rFonts w:ascii="Times New Roman" w:hAnsi="Times New Roman" w:cs="Times New Roman"/>
          <w:b/>
          <w:bCs/>
          <w:color w:val="000000" w:themeColor="text1"/>
          <w:sz w:val="24"/>
          <w:szCs w:val="24"/>
        </w:rPr>
        <w:t>Terminy przedawnień</w:t>
      </w:r>
      <w:r w:rsidR="004445F1" w:rsidRPr="00D84154">
        <w:rPr>
          <w:rFonts w:ascii="Times New Roman" w:hAnsi="Times New Roman" w:cs="Times New Roman"/>
          <w:b/>
          <w:bCs/>
          <w:color w:val="000000" w:themeColor="text1"/>
          <w:sz w:val="24"/>
          <w:szCs w:val="24"/>
        </w:rPr>
        <w:t xml:space="preserve"> oraz wdrożenie art. 10 ust. 2 dyrektywy</w:t>
      </w:r>
    </w:p>
    <w:p w14:paraId="21EEE73C" w14:textId="36427622" w:rsidR="0081708D" w:rsidRPr="00D84154" w:rsidRDefault="0081708D"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Dyrektywa nakazuje w art. 29 ust. 1 wprowadzenie regulacji zapewniających, aby bieg terminu przedawnienia w przypadku nałożenia kar lub okresowych kar pieniężnych przez krajowe organy ochrony konkurencji w związku z naruszeniem art. 101 lub </w:t>
      </w:r>
      <w:r w:rsidR="007B2E11" w:rsidRPr="00D84154">
        <w:rPr>
          <w:rFonts w:ascii="Times New Roman" w:hAnsi="Times New Roman" w:cs="Times New Roman"/>
          <w:color w:val="000000" w:themeColor="text1"/>
          <w:sz w:val="24"/>
          <w:szCs w:val="24"/>
        </w:rPr>
        <w:t xml:space="preserve">art. </w:t>
      </w:r>
      <w:r w:rsidRPr="00D84154">
        <w:rPr>
          <w:rFonts w:ascii="Times New Roman" w:hAnsi="Times New Roman" w:cs="Times New Roman"/>
          <w:color w:val="000000" w:themeColor="text1"/>
          <w:sz w:val="24"/>
          <w:szCs w:val="24"/>
        </w:rPr>
        <w:t>102 TFUE był zawieszany lub przerywany na czas trwania postępowania dotyczącego tego samego naruszenia ww. przepisów prowadzonego przez Komisję Europejską lub przez krajowy organ ochrony konkurencji państwa członkowskiego UE. Dyrektywa określa</w:t>
      </w:r>
      <w:r w:rsidR="00C612AC">
        <w:rPr>
          <w:rFonts w:ascii="Times New Roman" w:hAnsi="Times New Roman" w:cs="Times New Roman"/>
          <w:color w:val="000000" w:themeColor="text1"/>
          <w:sz w:val="24"/>
          <w:szCs w:val="24"/>
        </w:rPr>
        <w:t xml:space="preserve"> szczegółowo w art. 29 ust. 1 w </w:t>
      </w:r>
      <w:r w:rsidRPr="00D84154">
        <w:rPr>
          <w:rFonts w:ascii="Times New Roman" w:hAnsi="Times New Roman" w:cs="Times New Roman"/>
          <w:color w:val="000000" w:themeColor="text1"/>
          <w:sz w:val="24"/>
          <w:szCs w:val="24"/>
        </w:rPr>
        <w:t>akapicie 2 i 3. początek i zakończenie biegu zawieszenia lub przerwania terminu przedawnienia, o którym mowa w tym przepisie.</w:t>
      </w:r>
    </w:p>
    <w:p w14:paraId="6529B91E" w14:textId="3937ECD4" w:rsidR="0081708D" w:rsidRPr="00D84154" w:rsidRDefault="0081708D"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Krajowe regulacje wdrażające art. 29 ust. 1 </w:t>
      </w:r>
      <w:r w:rsidR="007B2E11"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yrektywy powinny, zgodnie z brzmieniem tego przepisu</w:t>
      </w:r>
      <w:r w:rsidR="00884B60">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odnosić się do sytuacji, w których sprawę związaną z naruszeniem art. 101 i </w:t>
      </w:r>
      <w:r w:rsidR="00C612AC">
        <w:rPr>
          <w:rFonts w:ascii="Times New Roman" w:hAnsi="Times New Roman" w:cs="Times New Roman"/>
          <w:color w:val="000000" w:themeColor="text1"/>
          <w:sz w:val="24"/>
          <w:szCs w:val="24"/>
        </w:rPr>
        <w:t>art. </w:t>
      </w:r>
      <w:r w:rsidRPr="00D84154">
        <w:rPr>
          <w:rFonts w:ascii="Times New Roman" w:hAnsi="Times New Roman" w:cs="Times New Roman"/>
          <w:color w:val="000000" w:themeColor="text1"/>
          <w:sz w:val="24"/>
          <w:szCs w:val="24"/>
        </w:rPr>
        <w:t>102 TFUE prowadzi:</w:t>
      </w:r>
    </w:p>
    <w:p w14:paraId="0CAFA951" w14:textId="372A9056" w:rsidR="0081708D" w:rsidRPr="00D84154" w:rsidRDefault="0081708D" w:rsidP="00D84154">
      <w:pPr>
        <w:pStyle w:val="Akapitzlist"/>
        <w:numPr>
          <w:ilvl w:val="0"/>
          <w:numId w:val="27"/>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K</w:t>
      </w:r>
      <w:r w:rsidR="00ED0956" w:rsidRPr="00D84154">
        <w:rPr>
          <w:rFonts w:ascii="Times New Roman" w:hAnsi="Times New Roman" w:cs="Times New Roman"/>
          <w:color w:val="000000" w:themeColor="text1"/>
          <w:sz w:val="24"/>
          <w:szCs w:val="24"/>
        </w:rPr>
        <w:t xml:space="preserve">omisja </w:t>
      </w:r>
      <w:r w:rsidRPr="00D84154">
        <w:rPr>
          <w:rFonts w:ascii="Times New Roman" w:hAnsi="Times New Roman" w:cs="Times New Roman"/>
          <w:color w:val="000000" w:themeColor="text1"/>
          <w:sz w:val="24"/>
          <w:szCs w:val="24"/>
        </w:rPr>
        <w:t>E</w:t>
      </w:r>
      <w:r w:rsidR="00ED0956" w:rsidRPr="00D84154">
        <w:rPr>
          <w:rFonts w:ascii="Times New Roman" w:hAnsi="Times New Roman" w:cs="Times New Roman"/>
          <w:color w:val="000000" w:themeColor="text1"/>
          <w:sz w:val="24"/>
          <w:szCs w:val="24"/>
        </w:rPr>
        <w:t>uropejska</w:t>
      </w:r>
      <w:r w:rsidRPr="00D84154">
        <w:rPr>
          <w:rFonts w:ascii="Times New Roman" w:hAnsi="Times New Roman" w:cs="Times New Roman"/>
          <w:color w:val="000000" w:themeColor="text1"/>
          <w:sz w:val="24"/>
          <w:szCs w:val="24"/>
        </w:rPr>
        <w:t>, co zgodnie z art. 11 ust. 6 rozporządzenia 1/2003 pozbawia krajowe organy ochrony konkurencji państw członkowskich ich kompetencji do zajmowania się sprawą; należy jednak podkreślić, że w przypadku wydania przez KE decyzji o braku podstaw do dalszych działań w danej sprawie organ krajowy może się nią zająć (wszcząć postępowanie), w związku z tym, że przestanie obowiązywać przesłanka, o której mowa w art. 11 ust. 6 rozporządzenia 1/2003 – w takim przypadku okres, w którym KE zajmowała się sprawą (począwszy od pierwszej formalnej czynności dochodzeniowej podjętej przez</w:t>
      </w:r>
      <w:r w:rsidR="00F65A77">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KE), nie powinien być wliczony do terminów przedawnienia kar pieniężnych określonych w przepisach krajowych;</w:t>
      </w:r>
    </w:p>
    <w:p w14:paraId="49FF2DBD" w14:textId="287EAA45" w:rsidR="0081708D" w:rsidRPr="00D84154" w:rsidRDefault="0081708D" w:rsidP="00D84154">
      <w:pPr>
        <w:pStyle w:val="Akapitzlist"/>
        <w:numPr>
          <w:ilvl w:val="0"/>
          <w:numId w:val="27"/>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więcej niż jeden krajowy organ ochrony konkurenc</w:t>
      </w:r>
      <w:r w:rsidR="00A627FF">
        <w:rPr>
          <w:rFonts w:ascii="Times New Roman" w:hAnsi="Times New Roman" w:cs="Times New Roman"/>
          <w:color w:val="000000" w:themeColor="text1"/>
          <w:sz w:val="24"/>
          <w:szCs w:val="24"/>
        </w:rPr>
        <w:t>ji państwa członkowskiego UE (w </w:t>
      </w:r>
      <w:r w:rsidRPr="00D84154">
        <w:rPr>
          <w:rFonts w:ascii="Times New Roman" w:hAnsi="Times New Roman" w:cs="Times New Roman"/>
          <w:color w:val="000000" w:themeColor="text1"/>
          <w:sz w:val="24"/>
          <w:szCs w:val="24"/>
        </w:rPr>
        <w:t>przypadku transgranicznego charakteru naruszenia). Zgodnie z art. 13 ust. 1 zd</w:t>
      </w:r>
      <w:r w:rsidR="007B2E11" w:rsidRPr="00D84154">
        <w:rPr>
          <w:rFonts w:ascii="Times New Roman" w:hAnsi="Times New Roman" w:cs="Times New Roman"/>
          <w:color w:val="000000" w:themeColor="text1"/>
          <w:sz w:val="24"/>
          <w:szCs w:val="24"/>
        </w:rPr>
        <w:t>anie pierwsze</w:t>
      </w:r>
      <w:r w:rsidRPr="00D84154">
        <w:rPr>
          <w:rFonts w:ascii="Times New Roman" w:hAnsi="Times New Roman" w:cs="Times New Roman"/>
          <w:color w:val="000000" w:themeColor="text1"/>
          <w:sz w:val="24"/>
          <w:szCs w:val="24"/>
        </w:rPr>
        <w:t xml:space="preserve"> oraz art. 13 ust. 2</w:t>
      </w:r>
      <w:r w:rsidR="00F65A77">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 xml:space="preserve">rozporządzenia 1/2003 w przypadku prowadzenia sprawy przez inny krajowy organ ochrony konkurencji istnieje możliwość zawieszenia postępowania lub jego niewszczynania; analogicznie do pkt 1 – okres, w którym sprawą zajmował się inny organ państwa członkowskiego UE, co stanowi przesłankę niewszczynania lub zawieszenia postępowania przez dany organ ochrony konkurencji, nie powinien </w:t>
      </w:r>
      <w:r w:rsidR="007B2E11" w:rsidRPr="00D84154">
        <w:rPr>
          <w:rFonts w:ascii="Times New Roman" w:hAnsi="Times New Roman" w:cs="Times New Roman"/>
          <w:color w:val="000000" w:themeColor="text1"/>
          <w:sz w:val="24"/>
          <w:szCs w:val="24"/>
        </w:rPr>
        <w:t xml:space="preserve">być, </w:t>
      </w:r>
      <w:r w:rsidRPr="00D84154">
        <w:rPr>
          <w:rFonts w:ascii="Times New Roman" w:hAnsi="Times New Roman" w:cs="Times New Roman"/>
          <w:color w:val="000000" w:themeColor="text1"/>
          <w:sz w:val="24"/>
          <w:szCs w:val="24"/>
        </w:rPr>
        <w:t xml:space="preserve">zgodnie z </w:t>
      </w:r>
      <w:r w:rsidR="007B2E11"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yrektywą</w:t>
      </w:r>
      <w:r w:rsidR="00884B60">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wliczany do </w:t>
      </w:r>
      <w:r w:rsidR="00ED0956" w:rsidRPr="00D84154">
        <w:rPr>
          <w:rFonts w:ascii="Times New Roman" w:hAnsi="Times New Roman" w:cs="Times New Roman"/>
          <w:color w:val="000000" w:themeColor="text1"/>
          <w:sz w:val="24"/>
          <w:szCs w:val="24"/>
        </w:rPr>
        <w:t>terminów przedawnienia nakładania kar pieniężnych, które są przewidziane</w:t>
      </w:r>
      <w:r w:rsidRPr="00D84154">
        <w:rPr>
          <w:rFonts w:ascii="Times New Roman" w:hAnsi="Times New Roman" w:cs="Times New Roman"/>
          <w:color w:val="000000" w:themeColor="text1"/>
          <w:sz w:val="24"/>
          <w:szCs w:val="24"/>
        </w:rPr>
        <w:t xml:space="preserve"> w prawie krajowym.</w:t>
      </w:r>
    </w:p>
    <w:p w14:paraId="5D8A9708" w14:textId="789B630B" w:rsidR="0081708D" w:rsidRPr="00D84154" w:rsidRDefault="0081708D"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lastRenderedPageBreak/>
        <w:t xml:space="preserve">Na gruncie polskich przepisów zgodnie z art. 75 ust. 1 pkt 3 </w:t>
      </w:r>
      <w:r w:rsidR="007B2E11" w:rsidRPr="00D84154">
        <w:rPr>
          <w:rFonts w:ascii="Times New Roman" w:hAnsi="Times New Roman" w:cs="Times New Roman"/>
          <w:color w:val="000000" w:themeColor="text1"/>
          <w:sz w:val="24"/>
          <w:szCs w:val="24"/>
        </w:rPr>
        <w:t>u</w:t>
      </w:r>
      <w:r w:rsidR="00C20C9B" w:rsidRPr="00D84154">
        <w:rPr>
          <w:rFonts w:ascii="Times New Roman" w:hAnsi="Times New Roman" w:cs="Times New Roman"/>
          <w:color w:val="000000" w:themeColor="text1"/>
          <w:sz w:val="24"/>
          <w:szCs w:val="24"/>
        </w:rPr>
        <w:t>stawy</w:t>
      </w:r>
      <w:r w:rsidRPr="00D84154">
        <w:rPr>
          <w:rFonts w:ascii="Times New Roman" w:hAnsi="Times New Roman" w:cs="Times New Roman"/>
          <w:color w:val="000000" w:themeColor="text1"/>
          <w:sz w:val="24"/>
          <w:szCs w:val="24"/>
        </w:rPr>
        <w:t xml:space="preserve"> Prezes UOKiK umarza postępowanie w przypadku przejęcia sprawy przez KE na podstawie przepisów prawa UE. Zgodnie z art. 75 ust. 2 </w:t>
      </w:r>
      <w:r w:rsidR="00C20C9B" w:rsidRPr="00D84154">
        <w:rPr>
          <w:rFonts w:ascii="Times New Roman" w:hAnsi="Times New Roman" w:cs="Times New Roman"/>
          <w:color w:val="000000" w:themeColor="text1"/>
          <w:sz w:val="24"/>
          <w:szCs w:val="24"/>
        </w:rPr>
        <w:t>ustawy</w:t>
      </w:r>
      <w:r w:rsidRPr="00D84154">
        <w:rPr>
          <w:rFonts w:ascii="Times New Roman" w:hAnsi="Times New Roman" w:cs="Times New Roman"/>
          <w:color w:val="000000" w:themeColor="text1"/>
          <w:sz w:val="24"/>
          <w:szCs w:val="24"/>
        </w:rPr>
        <w:t xml:space="preserve"> Prezes UOKiK może umorzyć postępowanie w przypadku rozstrzygnięcia sprawy przez inny krajowy organ ochrony konkurencji. Art. 87 ust. 1 </w:t>
      </w:r>
      <w:r w:rsidR="007B2E11" w:rsidRPr="00D84154">
        <w:rPr>
          <w:rFonts w:ascii="Times New Roman" w:hAnsi="Times New Roman" w:cs="Times New Roman"/>
          <w:color w:val="000000" w:themeColor="text1"/>
          <w:sz w:val="24"/>
          <w:szCs w:val="24"/>
        </w:rPr>
        <w:t>u</w:t>
      </w:r>
      <w:r w:rsidR="00C20C9B" w:rsidRPr="00D84154">
        <w:rPr>
          <w:rFonts w:ascii="Times New Roman" w:hAnsi="Times New Roman" w:cs="Times New Roman"/>
          <w:color w:val="000000" w:themeColor="text1"/>
          <w:sz w:val="24"/>
          <w:szCs w:val="24"/>
        </w:rPr>
        <w:t>stawy</w:t>
      </w:r>
      <w:r w:rsidRPr="00D84154">
        <w:rPr>
          <w:rFonts w:ascii="Times New Roman" w:hAnsi="Times New Roman" w:cs="Times New Roman"/>
          <w:color w:val="000000" w:themeColor="text1"/>
          <w:sz w:val="24"/>
          <w:szCs w:val="24"/>
        </w:rPr>
        <w:t xml:space="preserve"> nakazuje niewszczynanie postępowania</w:t>
      </w:r>
      <w:r w:rsidR="003B7FE6">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w przypadku gdy sprawę prowadzi lub rozstrzygnęła KE. Ust. 2 tego przepisu daje Prezesowi UOKiK możliwość niewszczynania postępowania</w:t>
      </w:r>
      <w:r w:rsidR="003B7FE6">
        <w:rPr>
          <w:rFonts w:ascii="Times New Roman" w:hAnsi="Times New Roman" w:cs="Times New Roman"/>
          <w:color w:val="000000" w:themeColor="text1"/>
          <w:sz w:val="24"/>
          <w:szCs w:val="24"/>
        </w:rPr>
        <w:t>,</w:t>
      </w:r>
      <w:r w:rsidR="00A627FF">
        <w:rPr>
          <w:rFonts w:ascii="Times New Roman" w:hAnsi="Times New Roman" w:cs="Times New Roman"/>
          <w:color w:val="000000" w:themeColor="text1"/>
          <w:sz w:val="24"/>
          <w:szCs w:val="24"/>
        </w:rPr>
        <w:t xml:space="preserve"> w </w:t>
      </w:r>
      <w:r w:rsidRPr="00D84154">
        <w:rPr>
          <w:rFonts w:ascii="Times New Roman" w:hAnsi="Times New Roman" w:cs="Times New Roman"/>
          <w:color w:val="000000" w:themeColor="text1"/>
          <w:sz w:val="24"/>
          <w:szCs w:val="24"/>
        </w:rPr>
        <w:t>przypadku gdy sprawą zajmuje się inny organ. Zgodnie z art. 87 ust. 3</w:t>
      </w:r>
      <w:r w:rsidR="007B2E11" w:rsidRPr="00D84154">
        <w:rPr>
          <w:rFonts w:ascii="Times New Roman" w:hAnsi="Times New Roman" w:cs="Times New Roman"/>
          <w:color w:val="000000" w:themeColor="text1"/>
          <w:sz w:val="24"/>
          <w:szCs w:val="24"/>
        </w:rPr>
        <w:t xml:space="preserve"> ustawy</w:t>
      </w:r>
      <w:r w:rsidRPr="00D84154">
        <w:rPr>
          <w:rFonts w:ascii="Times New Roman" w:hAnsi="Times New Roman" w:cs="Times New Roman"/>
          <w:color w:val="000000" w:themeColor="text1"/>
          <w:sz w:val="24"/>
          <w:szCs w:val="24"/>
        </w:rPr>
        <w:t xml:space="preserve"> w przypadku wszczęcia postępowania w sprawie prowadzonej przez inny organ krajowy istnieje możliwość zawieszenia postępowania do czasu wydania rozstrzygnięcia przez ten organ.</w:t>
      </w:r>
    </w:p>
    <w:p w14:paraId="28D0F2E9" w14:textId="4FC40288" w:rsidR="0081708D" w:rsidRPr="00D84154" w:rsidRDefault="0081708D"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W odniesieniu do terminów przedawnienia </w:t>
      </w:r>
      <w:r w:rsidR="007B2E11" w:rsidRPr="00D84154">
        <w:rPr>
          <w:rFonts w:ascii="Times New Roman" w:hAnsi="Times New Roman" w:cs="Times New Roman"/>
          <w:color w:val="000000" w:themeColor="text1"/>
          <w:sz w:val="24"/>
          <w:szCs w:val="24"/>
        </w:rPr>
        <w:t xml:space="preserve">na gruncie przepisów </w:t>
      </w:r>
      <w:r w:rsidRPr="00D84154">
        <w:rPr>
          <w:rFonts w:ascii="Times New Roman" w:hAnsi="Times New Roman" w:cs="Times New Roman"/>
          <w:color w:val="000000" w:themeColor="text1"/>
          <w:sz w:val="24"/>
          <w:szCs w:val="24"/>
        </w:rPr>
        <w:t>ustaw</w:t>
      </w:r>
      <w:r w:rsidR="007B2E11" w:rsidRPr="00D84154">
        <w:rPr>
          <w:rFonts w:ascii="Times New Roman" w:hAnsi="Times New Roman" w:cs="Times New Roman"/>
          <w:color w:val="000000" w:themeColor="text1"/>
          <w:sz w:val="24"/>
          <w:szCs w:val="24"/>
        </w:rPr>
        <w:t>y</w:t>
      </w:r>
      <w:r w:rsidRPr="00D84154">
        <w:rPr>
          <w:rFonts w:ascii="Times New Roman" w:hAnsi="Times New Roman" w:cs="Times New Roman"/>
          <w:color w:val="000000" w:themeColor="text1"/>
          <w:sz w:val="24"/>
          <w:szCs w:val="24"/>
        </w:rPr>
        <w:t xml:space="preserve"> w sprawach praktyk ograniczających konkurencję obowiązuje 5-letni termin przedawnienia, po upływie którego nie jest możliwe wszczęcie postępowania antymonopolowego przez Prezesa UOKiK. Termin ten liczony jest od:</w:t>
      </w:r>
    </w:p>
    <w:p w14:paraId="7303A8C9" w14:textId="56C1D412" w:rsidR="0081708D" w:rsidRPr="00637161" w:rsidRDefault="0081708D" w:rsidP="00884B60">
      <w:pPr>
        <w:pStyle w:val="Akapitzlist"/>
        <w:numPr>
          <w:ilvl w:val="0"/>
          <w:numId w:val="28"/>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końca roku, w którym dopuszczono się naruszenia przepisów ustawy </w:t>
      </w:r>
      <w:r w:rsidR="00884B60">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w:t>
      </w:r>
      <w:r w:rsidR="00A627FF">
        <w:rPr>
          <w:rFonts w:ascii="Times New Roman" w:hAnsi="Times New Roman" w:cs="Times New Roman"/>
          <w:color w:val="000000" w:themeColor="text1"/>
          <w:sz w:val="24"/>
          <w:szCs w:val="24"/>
        </w:rPr>
        <w:t>art. 76 pkt </w:t>
      </w:r>
      <w:r w:rsidRPr="00637161">
        <w:rPr>
          <w:rFonts w:ascii="Times New Roman" w:hAnsi="Times New Roman" w:cs="Times New Roman"/>
          <w:color w:val="000000" w:themeColor="text1"/>
          <w:sz w:val="24"/>
          <w:szCs w:val="24"/>
        </w:rPr>
        <w:t xml:space="preserve">1 </w:t>
      </w:r>
      <w:r w:rsidR="007B2E11" w:rsidRPr="00637161">
        <w:rPr>
          <w:rFonts w:ascii="Times New Roman" w:hAnsi="Times New Roman" w:cs="Times New Roman"/>
          <w:color w:val="000000" w:themeColor="text1"/>
          <w:sz w:val="24"/>
          <w:szCs w:val="24"/>
        </w:rPr>
        <w:t>u</w:t>
      </w:r>
      <w:r w:rsidR="00C20C9B" w:rsidRPr="00637161">
        <w:rPr>
          <w:rFonts w:ascii="Times New Roman" w:hAnsi="Times New Roman" w:cs="Times New Roman"/>
          <w:color w:val="000000" w:themeColor="text1"/>
          <w:sz w:val="24"/>
          <w:szCs w:val="24"/>
        </w:rPr>
        <w:t>stawy</w:t>
      </w:r>
      <w:r w:rsidR="00884B60">
        <w:rPr>
          <w:rFonts w:ascii="Times New Roman" w:hAnsi="Times New Roman" w:cs="Times New Roman"/>
          <w:color w:val="000000" w:themeColor="text1"/>
          <w:sz w:val="24"/>
          <w:szCs w:val="24"/>
        </w:rPr>
        <w:t>;</w:t>
      </w:r>
    </w:p>
    <w:p w14:paraId="6E6F268C" w14:textId="0DCB0CDB" w:rsidR="0081708D" w:rsidRPr="00637161" w:rsidRDefault="0081708D" w:rsidP="00884B60">
      <w:pPr>
        <w:pStyle w:val="Akapitzlist"/>
        <w:numPr>
          <w:ilvl w:val="0"/>
          <w:numId w:val="28"/>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końca roku, w którym uprawomocniła się decyzja o nałożeniu kary pieniężnej </w:t>
      </w:r>
      <w:r w:rsidR="00884B60">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w:t>
      </w:r>
      <w:r w:rsidR="00A627FF">
        <w:rPr>
          <w:rFonts w:ascii="Times New Roman" w:hAnsi="Times New Roman" w:cs="Times New Roman"/>
          <w:color w:val="000000" w:themeColor="text1"/>
          <w:sz w:val="24"/>
          <w:szCs w:val="24"/>
        </w:rPr>
        <w:t>art. </w:t>
      </w:r>
      <w:r w:rsidRPr="00637161">
        <w:rPr>
          <w:rFonts w:ascii="Times New Roman" w:hAnsi="Times New Roman" w:cs="Times New Roman"/>
          <w:color w:val="000000" w:themeColor="text1"/>
          <w:sz w:val="24"/>
          <w:szCs w:val="24"/>
        </w:rPr>
        <w:t xml:space="preserve">76 pkt 2 </w:t>
      </w:r>
      <w:r w:rsidR="007B2E11" w:rsidRPr="00637161">
        <w:rPr>
          <w:rFonts w:ascii="Times New Roman" w:hAnsi="Times New Roman" w:cs="Times New Roman"/>
          <w:color w:val="000000" w:themeColor="text1"/>
          <w:sz w:val="24"/>
          <w:szCs w:val="24"/>
        </w:rPr>
        <w:t>u</w:t>
      </w:r>
      <w:r w:rsidR="00C20C9B" w:rsidRPr="00637161">
        <w:rPr>
          <w:rFonts w:ascii="Times New Roman" w:hAnsi="Times New Roman" w:cs="Times New Roman"/>
          <w:color w:val="000000" w:themeColor="text1"/>
          <w:sz w:val="24"/>
          <w:szCs w:val="24"/>
        </w:rPr>
        <w:t>stawy</w:t>
      </w:r>
      <w:r w:rsidRPr="00637161">
        <w:rPr>
          <w:rFonts w:ascii="Times New Roman" w:hAnsi="Times New Roman" w:cs="Times New Roman"/>
          <w:color w:val="000000" w:themeColor="text1"/>
          <w:sz w:val="24"/>
          <w:szCs w:val="24"/>
        </w:rPr>
        <w:t xml:space="preserve"> (termin na wyegzekwowanie kary pieniężnej nałożonej w drodze decyzji)</w:t>
      </w:r>
      <w:r w:rsidR="00884B60">
        <w:rPr>
          <w:rFonts w:ascii="Times New Roman" w:hAnsi="Times New Roman" w:cs="Times New Roman"/>
          <w:color w:val="000000" w:themeColor="text1"/>
          <w:sz w:val="24"/>
          <w:szCs w:val="24"/>
        </w:rPr>
        <w:t>;</w:t>
      </w:r>
    </w:p>
    <w:p w14:paraId="6CEF9DFE" w14:textId="5866715D" w:rsidR="00884B60" w:rsidRDefault="0081708D" w:rsidP="00D84154">
      <w:pPr>
        <w:pStyle w:val="Akapitzlist"/>
        <w:numPr>
          <w:ilvl w:val="0"/>
          <w:numId w:val="28"/>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końca roku, w którym zaprzestano stosowania praktyk ograniczających konkurencję </w:t>
      </w:r>
      <w:r w:rsidR="00884B60">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w:t>
      </w:r>
    </w:p>
    <w:p w14:paraId="3926A8B2" w14:textId="68BE7085" w:rsidR="0081708D" w:rsidRPr="00D84154" w:rsidRDefault="0081708D" w:rsidP="00637161">
      <w:pPr>
        <w:pStyle w:val="Akapitzlist"/>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art. 93 </w:t>
      </w:r>
      <w:r w:rsidR="007B2E11" w:rsidRPr="00D84154">
        <w:rPr>
          <w:rFonts w:ascii="Times New Roman" w:hAnsi="Times New Roman" w:cs="Times New Roman"/>
          <w:color w:val="000000" w:themeColor="text1"/>
          <w:sz w:val="24"/>
          <w:szCs w:val="24"/>
        </w:rPr>
        <w:t>u</w:t>
      </w:r>
      <w:r w:rsidR="00C20C9B" w:rsidRPr="00D84154">
        <w:rPr>
          <w:rFonts w:ascii="Times New Roman" w:hAnsi="Times New Roman" w:cs="Times New Roman"/>
          <w:color w:val="000000" w:themeColor="text1"/>
          <w:sz w:val="24"/>
          <w:szCs w:val="24"/>
        </w:rPr>
        <w:t>stawy</w:t>
      </w:r>
      <w:r w:rsidRPr="00D84154">
        <w:rPr>
          <w:rFonts w:ascii="Times New Roman" w:hAnsi="Times New Roman" w:cs="Times New Roman"/>
          <w:color w:val="000000" w:themeColor="text1"/>
          <w:sz w:val="24"/>
          <w:szCs w:val="24"/>
        </w:rPr>
        <w:t>.</w:t>
      </w:r>
    </w:p>
    <w:p w14:paraId="1B22746E" w14:textId="4E23ECEB" w:rsidR="0081708D" w:rsidRPr="00D84154" w:rsidRDefault="0081708D"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Ww. regulacje nie wprowadzają wprost terminów przedawnienia nakładania kar pieniężnych, jednakże brak możliwości wszczęcia postępowania z powodu upływu terminów, o których mowa w art. 76 ust. 1 i art. 93 </w:t>
      </w:r>
      <w:r w:rsidR="00E01C06" w:rsidRPr="00D84154">
        <w:rPr>
          <w:rFonts w:ascii="Times New Roman" w:hAnsi="Times New Roman" w:cs="Times New Roman"/>
          <w:color w:val="000000" w:themeColor="text1"/>
          <w:sz w:val="24"/>
          <w:szCs w:val="24"/>
        </w:rPr>
        <w:t xml:space="preserve">ustawy, </w:t>
      </w:r>
      <w:r w:rsidRPr="00D84154">
        <w:rPr>
          <w:rFonts w:ascii="Times New Roman" w:hAnsi="Times New Roman" w:cs="Times New Roman"/>
          <w:color w:val="000000" w:themeColor="text1"/>
          <w:sz w:val="24"/>
          <w:szCs w:val="24"/>
        </w:rPr>
        <w:t xml:space="preserve">będzie skutkować brakiem możliwości nałożenia kar pieniężnych. W tym zakresie zatem przepisy art. 76 ust. 1 i art. 93 ust. 1 </w:t>
      </w:r>
      <w:r w:rsidR="00E01C06" w:rsidRPr="00D84154">
        <w:rPr>
          <w:rFonts w:ascii="Times New Roman" w:hAnsi="Times New Roman" w:cs="Times New Roman"/>
          <w:color w:val="000000" w:themeColor="text1"/>
          <w:sz w:val="24"/>
          <w:szCs w:val="24"/>
        </w:rPr>
        <w:t>u</w:t>
      </w:r>
      <w:r w:rsidRPr="00D84154">
        <w:rPr>
          <w:rFonts w:ascii="Times New Roman" w:hAnsi="Times New Roman" w:cs="Times New Roman"/>
          <w:color w:val="000000" w:themeColor="text1"/>
          <w:sz w:val="24"/>
          <w:szCs w:val="24"/>
        </w:rPr>
        <w:t>stawy należy uznać za przepisy określające termin przedawnienia w przypa</w:t>
      </w:r>
      <w:r w:rsidR="00A627FF">
        <w:rPr>
          <w:rFonts w:ascii="Times New Roman" w:hAnsi="Times New Roman" w:cs="Times New Roman"/>
          <w:color w:val="000000" w:themeColor="text1"/>
          <w:sz w:val="24"/>
          <w:szCs w:val="24"/>
        </w:rPr>
        <w:t>dku nałożenia kary pieniężnej w </w:t>
      </w:r>
      <w:r w:rsidRPr="00D84154">
        <w:rPr>
          <w:rFonts w:ascii="Times New Roman" w:hAnsi="Times New Roman" w:cs="Times New Roman"/>
          <w:color w:val="000000" w:themeColor="text1"/>
          <w:sz w:val="24"/>
          <w:szCs w:val="24"/>
        </w:rPr>
        <w:t xml:space="preserve">rozumieniu art. 29 ust. 1 dyrektywy. Z kolei termin wskazany w art. 76 pkt 2 </w:t>
      </w:r>
      <w:r w:rsidR="00E01C06" w:rsidRPr="00D84154">
        <w:rPr>
          <w:rFonts w:ascii="Times New Roman" w:hAnsi="Times New Roman" w:cs="Times New Roman"/>
          <w:color w:val="000000" w:themeColor="text1"/>
          <w:sz w:val="24"/>
          <w:szCs w:val="24"/>
        </w:rPr>
        <w:t>u</w:t>
      </w:r>
      <w:r w:rsidRPr="00D84154">
        <w:rPr>
          <w:rFonts w:ascii="Times New Roman" w:hAnsi="Times New Roman" w:cs="Times New Roman"/>
          <w:color w:val="000000" w:themeColor="text1"/>
          <w:sz w:val="24"/>
          <w:szCs w:val="24"/>
        </w:rPr>
        <w:t>stawy nie jest terminem przedawnienia dla nałożenia kar zgodnie z brzmieniem ww. przepisu dyrektywy, gdyż dotyczy on możliwości wyegzekwowania kary nałożonej w drodze decyzji, która uzyskała walor prawomocności.</w:t>
      </w:r>
    </w:p>
    <w:p w14:paraId="13D9698B" w14:textId="0E4FAE04" w:rsidR="0081708D" w:rsidRPr="00D84154" w:rsidRDefault="0081708D"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W związku z powyższym konieczne </w:t>
      </w:r>
      <w:r w:rsidR="00155E9E" w:rsidRPr="00D84154">
        <w:rPr>
          <w:rFonts w:ascii="Times New Roman" w:hAnsi="Times New Roman" w:cs="Times New Roman"/>
          <w:color w:val="000000" w:themeColor="text1"/>
          <w:sz w:val="24"/>
          <w:szCs w:val="24"/>
        </w:rPr>
        <w:t xml:space="preserve">jest </w:t>
      </w:r>
      <w:r w:rsidRPr="00D84154">
        <w:rPr>
          <w:rFonts w:ascii="Times New Roman" w:hAnsi="Times New Roman" w:cs="Times New Roman"/>
          <w:color w:val="000000" w:themeColor="text1"/>
          <w:sz w:val="24"/>
          <w:szCs w:val="24"/>
        </w:rPr>
        <w:t xml:space="preserve">wprowadzenie zmiany określającej </w:t>
      </w:r>
      <w:r w:rsidR="006E33F6" w:rsidRPr="00D84154">
        <w:rPr>
          <w:rFonts w:ascii="Times New Roman" w:hAnsi="Times New Roman" w:cs="Times New Roman"/>
          <w:color w:val="000000" w:themeColor="text1"/>
          <w:sz w:val="24"/>
          <w:szCs w:val="24"/>
        </w:rPr>
        <w:t>zawieszenie</w:t>
      </w:r>
      <w:r w:rsidRPr="00D84154">
        <w:rPr>
          <w:rFonts w:ascii="Times New Roman" w:hAnsi="Times New Roman" w:cs="Times New Roman"/>
          <w:color w:val="000000" w:themeColor="text1"/>
          <w:sz w:val="24"/>
          <w:szCs w:val="24"/>
        </w:rPr>
        <w:t xml:space="preserve"> biegu terminów wskazanych w tych przepisach w przypadku wystąpienia sytuacji, o których mowa w art. 75 ust. 1 pkt 3 i art. 87 ust. 1 i 2</w:t>
      </w:r>
      <w:r w:rsidR="00E01C06" w:rsidRPr="00D84154">
        <w:rPr>
          <w:rFonts w:ascii="Times New Roman" w:hAnsi="Times New Roman" w:cs="Times New Roman"/>
          <w:color w:val="000000" w:themeColor="text1"/>
          <w:sz w:val="24"/>
          <w:szCs w:val="24"/>
        </w:rPr>
        <w:t xml:space="preserve"> ustawy</w:t>
      </w:r>
      <w:r w:rsidRPr="00D84154">
        <w:rPr>
          <w:rFonts w:ascii="Times New Roman" w:hAnsi="Times New Roman" w:cs="Times New Roman"/>
          <w:color w:val="000000" w:themeColor="text1"/>
          <w:sz w:val="24"/>
          <w:szCs w:val="24"/>
        </w:rPr>
        <w:t>. Zmiana ta wpłynie na sposób obliczania terminów</w:t>
      </w:r>
      <w:r w:rsidR="007431AB">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po upływie których nie jest możliwe wszczęcie postępowania w sprawie naruszenia art. 101 lub art. 102 TFUE. W przypadku gdy Prezes Urzędu wstrzymuje się od prowadzenia </w:t>
      </w:r>
      <w:r w:rsidRPr="00D84154">
        <w:rPr>
          <w:rFonts w:ascii="Times New Roman" w:hAnsi="Times New Roman" w:cs="Times New Roman"/>
          <w:color w:val="000000" w:themeColor="text1"/>
          <w:sz w:val="24"/>
          <w:szCs w:val="24"/>
        </w:rPr>
        <w:lastRenderedPageBreak/>
        <w:t>postępowania (nie wszczyna postępowania lub umarza postępo</w:t>
      </w:r>
      <w:r w:rsidR="00A627FF">
        <w:rPr>
          <w:rFonts w:ascii="Times New Roman" w:hAnsi="Times New Roman" w:cs="Times New Roman"/>
          <w:color w:val="000000" w:themeColor="text1"/>
          <w:sz w:val="24"/>
          <w:szCs w:val="24"/>
        </w:rPr>
        <w:t>wanie na podstawie art. 75 ust. </w:t>
      </w:r>
      <w:r w:rsidRPr="00D84154">
        <w:rPr>
          <w:rFonts w:ascii="Times New Roman" w:hAnsi="Times New Roman" w:cs="Times New Roman"/>
          <w:color w:val="000000" w:themeColor="text1"/>
          <w:sz w:val="24"/>
          <w:szCs w:val="24"/>
        </w:rPr>
        <w:t>1 pkt 3</w:t>
      </w:r>
      <w:r w:rsidR="00A641CC" w:rsidRPr="00D84154">
        <w:rPr>
          <w:rFonts w:ascii="Times New Roman" w:hAnsi="Times New Roman" w:cs="Times New Roman"/>
          <w:color w:val="000000" w:themeColor="text1"/>
          <w:sz w:val="24"/>
          <w:szCs w:val="24"/>
        </w:rPr>
        <w:t xml:space="preserve"> ustawy</w:t>
      </w:r>
      <w:r w:rsidRPr="00D84154">
        <w:rPr>
          <w:rFonts w:ascii="Times New Roman" w:hAnsi="Times New Roman" w:cs="Times New Roman"/>
          <w:color w:val="000000" w:themeColor="text1"/>
          <w:sz w:val="24"/>
          <w:szCs w:val="24"/>
        </w:rPr>
        <w:t>) w związku z prowadzeniem postępowania przez inny organ (KE lub krajowy organ ochrony konkurencji państwa członkowskiego UE) okresu, w którym sprawą zajmował się inny organ, nie wlicza się do określonego w art. 76 pkt 1</w:t>
      </w:r>
      <w:r w:rsidR="00F65A77">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 xml:space="preserve">i 93 ust. 1 </w:t>
      </w:r>
      <w:r w:rsidR="00A641CC" w:rsidRPr="00D84154">
        <w:rPr>
          <w:rFonts w:ascii="Times New Roman" w:hAnsi="Times New Roman" w:cs="Times New Roman"/>
          <w:color w:val="000000" w:themeColor="text1"/>
          <w:sz w:val="24"/>
          <w:szCs w:val="24"/>
        </w:rPr>
        <w:t>u</w:t>
      </w:r>
      <w:r w:rsidR="00A627FF">
        <w:rPr>
          <w:rFonts w:ascii="Times New Roman" w:hAnsi="Times New Roman" w:cs="Times New Roman"/>
          <w:color w:val="000000" w:themeColor="text1"/>
          <w:sz w:val="24"/>
          <w:szCs w:val="24"/>
        </w:rPr>
        <w:t>stawy terminu, w </w:t>
      </w:r>
      <w:r w:rsidRPr="00D84154">
        <w:rPr>
          <w:rFonts w:ascii="Times New Roman" w:hAnsi="Times New Roman" w:cs="Times New Roman"/>
          <w:color w:val="000000" w:themeColor="text1"/>
          <w:sz w:val="24"/>
          <w:szCs w:val="24"/>
        </w:rPr>
        <w:t>którym Prezes UOKiK może wszcząć postępowanie, które może zakończyć się wydaniem decyzji o nałożeniu kary pieniężnej.</w:t>
      </w:r>
    </w:p>
    <w:p w14:paraId="02AAA61C" w14:textId="2A24A0F6" w:rsidR="004445F1" w:rsidRPr="00D84154" w:rsidRDefault="004445F1"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Projekt zakłada także, że w art. 87 ustawy oprócz</w:t>
      </w:r>
      <w:r w:rsidR="00A627FF">
        <w:rPr>
          <w:rFonts w:ascii="Times New Roman" w:hAnsi="Times New Roman" w:cs="Times New Roman"/>
          <w:color w:val="000000" w:themeColor="text1"/>
          <w:sz w:val="24"/>
          <w:szCs w:val="24"/>
        </w:rPr>
        <w:t xml:space="preserve"> zmian służących wdrożeniu art. </w:t>
      </w:r>
      <w:r w:rsidRPr="00D84154">
        <w:rPr>
          <w:rFonts w:ascii="Times New Roman" w:hAnsi="Times New Roman" w:cs="Times New Roman"/>
          <w:color w:val="000000" w:themeColor="text1"/>
          <w:sz w:val="24"/>
          <w:szCs w:val="24"/>
        </w:rPr>
        <w:t xml:space="preserve">29 </w:t>
      </w:r>
      <w:r w:rsidR="00A641CC"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yrektywy</w:t>
      </w:r>
      <w:r w:rsidR="00B753E3" w:rsidRPr="00D84154">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zostanie dodany ust. 4, który stanowić będzie wdrożenie art. 10 ust. 2 </w:t>
      </w:r>
      <w:r w:rsidR="00A641CC"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 xml:space="preserve">yrektywy. Z przepisu tego wynika obowiązek </w:t>
      </w:r>
      <w:r w:rsidR="00B753E3" w:rsidRPr="00D84154">
        <w:rPr>
          <w:rFonts w:ascii="Times New Roman" w:hAnsi="Times New Roman" w:cs="Times New Roman"/>
          <w:color w:val="000000" w:themeColor="text1"/>
          <w:sz w:val="24"/>
          <w:szCs w:val="24"/>
        </w:rPr>
        <w:t xml:space="preserve">nałożony na </w:t>
      </w:r>
      <w:r w:rsidRPr="00D84154">
        <w:rPr>
          <w:rFonts w:ascii="Times New Roman" w:hAnsi="Times New Roman" w:cs="Times New Roman"/>
          <w:color w:val="000000" w:themeColor="text1"/>
          <w:sz w:val="24"/>
          <w:szCs w:val="24"/>
        </w:rPr>
        <w:t>kraj</w:t>
      </w:r>
      <w:r w:rsidR="00B753E3" w:rsidRPr="00D84154">
        <w:rPr>
          <w:rFonts w:ascii="Times New Roman" w:hAnsi="Times New Roman" w:cs="Times New Roman"/>
          <w:color w:val="000000" w:themeColor="text1"/>
          <w:sz w:val="24"/>
          <w:szCs w:val="24"/>
        </w:rPr>
        <w:t>owe organy</w:t>
      </w:r>
      <w:r w:rsidRPr="00D84154">
        <w:rPr>
          <w:rFonts w:ascii="Times New Roman" w:hAnsi="Times New Roman" w:cs="Times New Roman"/>
          <w:color w:val="000000" w:themeColor="text1"/>
          <w:sz w:val="24"/>
          <w:szCs w:val="24"/>
        </w:rPr>
        <w:t xml:space="preserve"> ochrony konkurencji państw członkowskich UE informowania KE o zakończeniu postępo</w:t>
      </w:r>
      <w:r w:rsidR="00A627FF">
        <w:rPr>
          <w:rFonts w:ascii="Times New Roman" w:hAnsi="Times New Roman" w:cs="Times New Roman"/>
          <w:color w:val="000000" w:themeColor="text1"/>
          <w:sz w:val="24"/>
          <w:szCs w:val="24"/>
        </w:rPr>
        <w:t>wania w sprawie naruszenia art. </w:t>
      </w:r>
      <w:r w:rsidRPr="00D84154">
        <w:rPr>
          <w:rFonts w:ascii="Times New Roman" w:hAnsi="Times New Roman" w:cs="Times New Roman"/>
          <w:color w:val="000000" w:themeColor="text1"/>
          <w:sz w:val="24"/>
          <w:szCs w:val="24"/>
        </w:rPr>
        <w:t>101 lub</w:t>
      </w:r>
      <w:r w:rsidR="00B753E3" w:rsidRPr="00D84154">
        <w:rPr>
          <w:rFonts w:ascii="Times New Roman" w:hAnsi="Times New Roman" w:cs="Times New Roman"/>
          <w:color w:val="000000" w:themeColor="text1"/>
          <w:sz w:val="24"/>
          <w:szCs w:val="24"/>
        </w:rPr>
        <w:t xml:space="preserve"> </w:t>
      </w:r>
      <w:r w:rsidR="00A641CC" w:rsidRPr="00D84154">
        <w:rPr>
          <w:rFonts w:ascii="Times New Roman" w:hAnsi="Times New Roman" w:cs="Times New Roman"/>
          <w:color w:val="000000" w:themeColor="text1"/>
          <w:sz w:val="24"/>
          <w:szCs w:val="24"/>
        </w:rPr>
        <w:t xml:space="preserve">art. </w:t>
      </w:r>
      <w:r w:rsidR="00B753E3" w:rsidRPr="00D84154">
        <w:rPr>
          <w:rFonts w:ascii="Times New Roman" w:hAnsi="Times New Roman" w:cs="Times New Roman"/>
          <w:color w:val="000000" w:themeColor="text1"/>
          <w:sz w:val="24"/>
          <w:szCs w:val="24"/>
        </w:rPr>
        <w:t xml:space="preserve">102 TFUE (w przypadku Prezesa UOKiK chodzi o informowanie </w:t>
      </w:r>
      <w:r w:rsidR="00A627FF">
        <w:rPr>
          <w:rFonts w:ascii="Times New Roman" w:hAnsi="Times New Roman" w:cs="Times New Roman"/>
          <w:color w:val="000000" w:themeColor="text1"/>
          <w:sz w:val="24"/>
          <w:szCs w:val="24"/>
        </w:rPr>
        <w:t>o </w:t>
      </w:r>
      <w:r w:rsidRPr="00D84154">
        <w:rPr>
          <w:rFonts w:ascii="Times New Roman" w:hAnsi="Times New Roman" w:cs="Times New Roman"/>
          <w:color w:val="000000" w:themeColor="text1"/>
          <w:sz w:val="24"/>
          <w:szCs w:val="24"/>
        </w:rPr>
        <w:t>zakończeniu postępowania wyjaśniającego lub umorzeniu postępowania antymonopolowego)</w:t>
      </w:r>
      <w:r w:rsidR="00B753E3" w:rsidRPr="00D84154">
        <w:rPr>
          <w:rFonts w:ascii="Times New Roman" w:hAnsi="Times New Roman" w:cs="Times New Roman"/>
          <w:color w:val="000000" w:themeColor="text1"/>
          <w:sz w:val="24"/>
          <w:szCs w:val="24"/>
        </w:rPr>
        <w:t>, w przypadku gdy organy te poinformowały wcześniej pisemnie KE, zgodnie z art. 11 ust. 3 rozporządzenia 1/2003, o podjęciu w tej samej sprawie pierwszych formalnych działań dochodzeniowych</w:t>
      </w:r>
      <w:r w:rsidR="00B41A1D">
        <w:rPr>
          <w:rFonts w:ascii="Times New Roman" w:hAnsi="Times New Roman" w:cs="Times New Roman"/>
          <w:color w:val="000000" w:themeColor="text1"/>
          <w:sz w:val="24"/>
          <w:szCs w:val="24"/>
        </w:rPr>
        <w:t>,</w:t>
      </w:r>
      <w:r w:rsidR="00B753E3" w:rsidRPr="00D84154">
        <w:rPr>
          <w:rFonts w:ascii="Times New Roman" w:hAnsi="Times New Roman" w:cs="Times New Roman"/>
          <w:color w:val="000000" w:themeColor="text1"/>
          <w:sz w:val="24"/>
          <w:szCs w:val="24"/>
        </w:rPr>
        <w:t xml:space="preserve"> działając na podstawie art. 101 lub </w:t>
      </w:r>
      <w:r w:rsidR="00A641CC" w:rsidRPr="00D84154">
        <w:rPr>
          <w:rFonts w:ascii="Times New Roman" w:hAnsi="Times New Roman" w:cs="Times New Roman"/>
          <w:color w:val="000000" w:themeColor="text1"/>
          <w:sz w:val="24"/>
          <w:szCs w:val="24"/>
        </w:rPr>
        <w:t xml:space="preserve">art. </w:t>
      </w:r>
      <w:r w:rsidR="00B753E3" w:rsidRPr="00D84154">
        <w:rPr>
          <w:rFonts w:ascii="Times New Roman" w:hAnsi="Times New Roman" w:cs="Times New Roman"/>
          <w:color w:val="000000" w:themeColor="text1"/>
          <w:sz w:val="24"/>
          <w:szCs w:val="24"/>
        </w:rPr>
        <w:t>102 TFUE.</w:t>
      </w:r>
    </w:p>
    <w:p w14:paraId="159F9539" w14:textId="4D252ECA" w:rsidR="008222C3" w:rsidRPr="00D84154" w:rsidRDefault="0081708D"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Dodatkowo wprowadzona zostanie zmiana w art. 93 </w:t>
      </w:r>
      <w:r w:rsidR="00A641CC" w:rsidRPr="00D84154">
        <w:rPr>
          <w:rFonts w:ascii="Times New Roman" w:hAnsi="Times New Roman" w:cs="Times New Roman"/>
          <w:color w:val="000000" w:themeColor="text1"/>
          <w:sz w:val="24"/>
          <w:szCs w:val="24"/>
        </w:rPr>
        <w:t>u</w:t>
      </w:r>
      <w:r w:rsidRPr="00D84154">
        <w:rPr>
          <w:rFonts w:ascii="Times New Roman" w:hAnsi="Times New Roman" w:cs="Times New Roman"/>
          <w:color w:val="000000" w:themeColor="text1"/>
          <w:sz w:val="24"/>
          <w:szCs w:val="24"/>
        </w:rPr>
        <w:t xml:space="preserve">stawy wzorowana na przepisach regulujących postępowanie KE w sprawach dotyczących naruszeń art. 101 i </w:t>
      </w:r>
      <w:r w:rsidR="00A641CC" w:rsidRPr="00D84154">
        <w:rPr>
          <w:rFonts w:ascii="Times New Roman" w:hAnsi="Times New Roman" w:cs="Times New Roman"/>
          <w:color w:val="000000" w:themeColor="text1"/>
          <w:sz w:val="24"/>
          <w:szCs w:val="24"/>
        </w:rPr>
        <w:t xml:space="preserve">art. </w:t>
      </w:r>
      <w:r w:rsidRPr="00D84154">
        <w:rPr>
          <w:rFonts w:ascii="Times New Roman" w:hAnsi="Times New Roman" w:cs="Times New Roman"/>
          <w:color w:val="000000" w:themeColor="text1"/>
          <w:sz w:val="24"/>
          <w:szCs w:val="24"/>
        </w:rPr>
        <w:t xml:space="preserve">102 TFUE, zgodnie z którą bieg terminu przedawnienia (w przypadku polskich przepisów – terminu na wszczęcie postępowania) jest </w:t>
      </w:r>
      <w:r w:rsidR="006E33F6" w:rsidRPr="00D84154">
        <w:rPr>
          <w:rFonts w:ascii="Times New Roman" w:hAnsi="Times New Roman" w:cs="Times New Roman"/>
          <w:color w:val="000000" w:themeColor="text1"/>
          <w:sz w:val="24"/>
          <w:szCs w:val="24"/>
        </w:rPr>
        <w:t xml:space="preserve">wstrzymany (w projekcie </w:t>
      </w:r>
      <w:r w:rsidR="00B41A1D">
        <w:rPr>
          <w:rFonts w:ascii="Times New Roman" w:hAnsi="Times New Roman" w:cs="Times New Roman"/>
          <w:color w:val="000000" w:themeColor="text1"/>
          <w:sz w:val="24"/>
          <w:szCs w:val="24"/>
        </w:rPr>
        <w:t>–</w:t>
      </w:r>
      <w:r w:rsidR="006E33F6" w:rsidRPr="00D84154">
        <w:rPr>
          <w:rFonts w:ascii="Times New Roman" w:hAnsi="Times New Roman" w:cs="Times New Roman"/>
          <w:color w:val="000000" w:themeColor="text1"/>
          <w:sz w:val="24"/>
          <w:szCs w:val="24"/>
        </w:rPr>
        <w:t xml:space="preserve"> zawieszony)</w:t>
      </w:r>
      <w:r w:rsidRPr="00D84154">
        <w:rPr>
          <w:rFonts w:ascii="Times New Roman" w:hAnsi="Times New Roman" w:cs="Times New Roman"/>
          <w:color w:val="000000" w:themeColor="text1"/>
          <w:sz w:val="24"/>
          <w:szCs w:val="24"/>
        </w:rPr>
        <w:t xml:space="preserve"> wraz z podjęciem przez Prezesa UOKiK pierwszych dochodzeniowych czynności w danej sprawie, poprzedzających wszczęcie postępowania</w:t>
      </w:r>
      <w:r w:rsidR="006E33F6" w:rsidRPr="00D84154">
        <w:rPr>
          <w:rFonts w:ascii="Times New Roman" w:hAnsi="Times New Roman" w:cs="Times New Roman"/>
          <w:color w:val="000000" w:themeColor="text1"/>
          <w:sz w:val="24"/>
          <w:szCs w:val="24"/>
        </w:rPr>
        <w:t xml:space="preserve"> antymonopolowego</w:t>
      </w:r>
      <w:r w:rsidR="00AB2879" w:rsidRPr="00D84154">
        <w:rPr>
          <w:rFonts w:ascii="Times New Roman" w:hAnsi="Times New Roman" w:cs="Times New Roman"/>
          <w:color w:val="000000" w:themeColor="text1"/>
          <w:sz w:val="24"/>
          <w:szCs w:val="24"/>
        </w:rPr>
        <w:t xml:space="preserve">, takich jak </w:t>
      </w:r>
      <w:r w:rsidR="00AB2879" w:rsidRPr="00D84154">
        <w:rPr>
          <w:rFonts w:ascii="Times New Roman" w:hAnsi="Times New Roman" w:cs="Times New Roman"/>
          <w:bCs/>
          <w:color w:val="000000" w:themeColor="text1"/>
          <w:sz w:val="24"/>
          <w:szCs w:val="24"/>
        </w:rPr>
        <w:t>wystą</w:t>
      </w:r>
      <w:r w:rsidR="00A627FF">
        <w:rPr>
          <w:rFonts w:ascii="Times New Roman" w:hAnsi="Times New Roman" w:cs="Times New Roman"/>
          <w:bCs/>
          <w:color w:val="000000" w:themeColor="text1"/>
          <w:sz w:val="24"/>
          <w:szCs w:val="24"/>
        </w:rPr>
        <w:t>pienie z żądaniem informacji, o </w:t>
      </w:r>
      <w:r w:rsidR="00AB2879" w:rsidRPr="00D84154">
        <w:rPr>
          <w:rFonts w:ascii="Times New Roman" w:hAnsi="Times New Roman" w:cs="Times New Roman"/>
          <w:bCs/>
          <w:color w:val="000000" w:themeColor="text1"/>
          <w:sz w:val="24"/>
          <w:szCs w:val="24"/>
        </w:rPr>
        <w:t xml:space="preserve">którym mowa w art. 50 </w:t>
      </w:r>
      <w:r w:rsidR="00A641CC" w:rsidRPr="00D84154">
        <w:rPr>
          <w:rFonts w:ascii="Times New Roman" w:hAnsi="Times New Roman" w:cs="Times New Roman"/>
          <w:bCs/>
          <w:color w:val="000000" w:themeColor="text1"/>
          <w:sz w:val="24"/>
          <w:szCs w:val="24"/>
        </w:rPr>
        <w:t xml:space="preserve">ustawy, </w:t>
      </w:r>
      <w:r w:rsidR="00AB2879" w:rsidRPr="00D84154">
        <w:rPr>
          <w:rFonts w:ascii="Times New Roman" w:hAnsi="Times New Roman" w:cs="Times New Roman"/>
          <w:bCs/>
          <w:color w:val="000000" w:themeColor="text1"/>
          <w:sz w:val="24"/>
          <w:szCs w:val="24"/>
        </w:rPr>
        <w:t xml:space="preserve">lub </w:t>
      </w:r>
      <w:r w:rsidR="00AB2879" w:rsidRPr="00D84154">
        <w:rPr>
          <w:rFonts w:ascii="Times New Roman" w:hAnsi="Times New Roman" w:cs="Times New Roman"/>
          <w:color w:val="000000" w:themeColor="text1"/>
          <w:sz w:val="24"/>
          <w:szCs w:val="24"/>
        </w:rPr>
        <w:t>wszczęcie postępowania wyjaśniającego</w:t>
      </w:r>
      <w:r w:rsidR="00F65A77">
        <w:rPr>
          <w:rFonts w:ascii="Times New Roman" w:hAnsi="Times New Roman" w:cs="Times New Roman"/>
          <w:color w:val="000000" w:themeColor="text1"/>
          <w:sz w:val="24"/>
          <w:szCs w:val="24"/>
        </w:rPr>
        <w:t xml:space="preserve"> </w:t>
      </w:r>
      <w:r w:rsidR="00AB2879" w:rsidRPr="00D84154">
        <w:rPr>
          <w:rFonts w:ascii="Times New Roman" w:hAnsi="Times New Roman" w:cs="Times New Roman"/>
          <w:color w:val="000000" w:themeColor="text1"/>
          <w:sz w:val="24"/>
          <w:szCs w:val="24"/>
        </w:rPr>
        <w:t>przed Prezesa Urzędu w</w:t>
      </w:r>
      <w:r w:rsidR="00B41A1D">
        <w:rPr>
          <w:rFonts w:ascii="Times New Roman" w:hAnsi="Times New Roman" w:cs="Times New Roman"/>
          <w:color w:val="000000" w:themeColor="text1"/>
          <w:sz w:val="24"/>
          <w:szCs w:val="24"/>
        </w:rPr>
        <w:t xml:space="preserve"> </w:t>
      </w:r>
      <w:r w:rsidR="00AB2879" w:rsidRPr="00D84154">
        <w:rPr>
          <w:rFonts w:ascii="Times New Roman" w:hAnsi="Times New Roman" w:cs="Times New Roman"/>
          <w:color w:val="000000" w:themeColor="text1"/>
          <w:sz w:val="24"/>
          <w:szCs w:val="24"/>
        </w:rPr>
        <w:t>sprawie danej praktyki ograniczającej konkurencję</w:t>
      </w:r>
      <w:r w:rsidRPr="00D84154">
        <w:rPr>
          <w:rFonts w:ascii="Times New Roman" w:hAnsi="Times New Roman" w:cs="Times New Roman"/>
          <w:color w:val="000000" w:themeColor="text1"/>
          <w:sz w:val="24"/>
          <w:szCs w:val="24"/>
        </w:rPr>
        <w:t>. Proponowany przepis służy wyeliminowaniu sytuacji, w których upływa termin przedawnienia wskazany w art. 93</w:t>
      </w:r>
      <w:r w:rsidR="00A641CC" w:rsidRPr="00D84154">
        <w:rPr>
          <w:rFonts w:ascii="Times New Roman" w:hAnsi="Times New Roman" w:cs="Times New Roman"/>
          <w:color w:val="000000" w:themeColor="text1"/>
          <w:sz w:val="24"/>
          <w:szCs w:val="24"/>
        </w:rPr>
        <w:t xml:space="preserve"> ustawy</w:t>
      </w:r>
      <w:r w:rsidRPr="00D84154">
        <w:rPr>
          <w:rFonts w:ascii="Times New Roman" w:hAnsi="Times New Roman" w:cs="Times New Roman"/>
          <w:color w:val="000000" w:themeColor="text1"/>
          <w:sz w:val="24"/>
          <w:szCs w:val="24"/>
        </w:rPr>
        <w:t xml:space="preserve"> mimo podjęcia wcześniej działań przez organ antymonopolowy (takich jak przeszukanie</w:t>
      </w:r>
      <w:r w:rsidR="00A627FF">
        <w:rPr>
          <w:rFonts w:ascii="Times New Roman" w:hAnsi="Times New Roman" w:cs="Times New Roman"/>
          <w:color w:val="000000" w:themeColor="text1"/>
          <w:sz w:val="24"/>
          <w:szCs w:val="24"/>
        </w:rPr>
        <w:t xml:space="preserve"> w </w:t>
      </w:r>
      <w:r w:rsidR="00AB2879" w:rsidRPr="00D84154">
        <w:rPr>
          <w:rFonts w:ascii="Times New Roman" w:hAnsi="Times New Roman" w:cs="Times New Roman"/>
          <w:color w:val="000000" w:themeColor="text1"/>
          <w:sz w:val="24"/>
          <w:szCs w:val="24"/>
        </w:rPr>
        <w:t>ramach postępowania wyjaśniającego</w:t>
      </w:r>
      <w:r w:rsidRPr="00D84154">
        <w:rPr>
          <w:rFonts w:ascii="Times New Roman" w:hAnsi="Times New Roman" w:cs="Times New Roman"/>
          <w:color w:val="000000" w:themeColor="text1"/>
          <w:sz w:val="24"/>
          <w:szCs w:val="24"/>
        </w:rPr>
        <w:t xml:space="preserve"> czy wezwanie przedsiębiorcy do przedstawienia informacji) skierowanych na wykrycie i stwierdzenie naruszenia zakazu praktyk ograniczających konkurencję w danej sprawie, w przypadku gdy wystąpiły przejściowe przeszkody, niezależne od Prezesa UOKiK, które sprawiają, </w:t>
      </w:r>
      <w:r w:rsidR="00A627FF">
        <w:rPr>
          <w:rFonts w:ascii="Times New Roman" w:hAnsi="Times New Roman" w:cs="Times New Roman"/>
          <w:color w:val="000000" w:themeColor="text1"/>
          <w:sz w:val="24"/>
          <w:szCs w:val="24"/>
        </w:rPr>
        <w:t>że nie jest możliwe wszczęcie i </w:t>
      </w:r>
      <w:r w:rsidRPr="00D84154">
        <w:rPr>
          <w:rFonts w:ascii="Times New Roman" w:hAnsi="Times New Roman" w:cs="Times New Roman"/>
          <w:color w:val="000000" w:themeColor="text1"/>
          <w:sz w:val="24"/>
          <w:szCs w:val="24"/>
        </w:rPr>
        <w:t>przeprowadzenie postępowania oraz wydanie decyzji. Ponadto przepis taki będzie kompatybilny z regulacjami UE</w:t>
      </w:r>
      <w:r w:rsidR="00B2377D" w:rsidRPr="00D84154">
        <w:rPr>
          <w:rFonts w:ascii="Times New Roman" w:hAnsi="Times New Roman" w:cs="Times New Roman"/>
          <w:color w:val="000000" w:themeColor="text1"/>
          <w:sz w:val="24"/>
          <w:szCs w:val="24"/>
        </w:rPr>
        <w:t xml:space="preserve"> oraz z pozostałymi przepisami dotyczącymi przerywania terminu przedawnienia</w:t>
      </w:r>
      <w:r w:rsidR="00B62658" w:rsidRPr="00D84154">
        <w:rPr>
          <w:rFonts w:ascii="Times New Roman" w:hAnsi="Times New Roman" w:cs="Times New Roman"/>
          <w:color w:val="000000" w:themeColor="text1"/>
          <w:sz w:val="24"/>
          <w:szCs w:val="24"/>
        </w:rPr>
        <w:t xml:space="preserve">. </w:t>
      </w:r>
      <w:r w:rsidR="000A5B33" w:rsidRPr="00D84154">
        <w:rPr>
          <w:rFonts w:ascii="Times New Roman" w:hAnsi="Times New Roman" w:cs="Times New Roman"/>
          <w:color w:val="000000" w:themeColor="text1"/>
          <w:sz w:val="24"/>
          <w:szCs w:val="24"/>
        </w:rPr>
        <w:t>W projektowanym art. 93 ust. 1c</w:t>
      </w:r>
      <w:r w:rsidR="00AB2879" w:rsidRPr="00D84154">
        <w:rPr>
          <w:rFonts w:ascii="Times New Roman" w:hAnsi="Times New Roman" w:cs="Times New Roman"/>
          <w:color w:val="000000" w:themeColor="text1"/>
          <w:sz w:val="24"/>
          <w:szCs w:val="24"/>
        </w:rPr>
        <w:t xml:space="preserve"> zawarto regulację określającą zdarzenia, których zaistnienie powoduje ustanie zawieszenia biegu terminu</w:t>
      </w:r>
      <w:r w:rsidR="00D51CFA" w:rsidRPr="00D84154">
        <w:rPr>
          <w:rFonts w:ascii="Times New Roman" w:hAnsi="Times New Roman" w:cs="Times New Roman"/>
          <w:color w:val="000000" w:themeColor="text1"/>
          <w:sz w:val="24"/>
          <w:szCs w:val="24"/>
        </w:rPr>
        <w:t xml:space="preserve">, o którym mowa </w:t>
      </w:r>
      <w:r w:rsidR="00D51CFA" w:rsidRPr="00D84154">
        <w:rPr>
          <w:rFonts w:ascii="Times New Roman" w:hAnsi="Times New Roman" w:cs="Times New Roman"/>
          <w:color w:val="000000" w:themeColor="text1"/>
          <w:sz w:val="24"/>
          <w:szCs w:val="24"/>
        </w:rPr>
        <w:lastRenderedPageBreak/>
        <w:t>w</w:t>
      </w:r>
      <w:r w:rsidR="00A627FF">
        <w:rPr>
          <w:rFonts w:ascii="Times New Roman" w:hAnsi="Times New Roman" w:cs="Times New Roman"/>
          <w:color w:val="000000" w:themeColor="text1"/>
          <w:sz w:val="24"/>
          <w:szCs w:val="24"/>
        </w:rPr>
        <w:t> </w:t>
      </w:r>
      <w:r w:rsidR="00D51CFA" w:rsidRPr="00D84154">
        <w:rPr>
          <w:rFonts w:ascii="Times New Roman" w:hAnsi="Times New Roman" w:cs="Times New Roman"/>
          <w:color w:val="000000" w:themeColor="text1"/>
          <w:sz w:val="24"/>
          <w:szCs w:val="24"/>
        </w:rPr>
        <w:t>art. 93 ust. 1. Z k</w:t>
      </w:r>
      <w:r w:rsidR="000A5B33" w:rsidRPr="00D84154">
        <w:rPr>
          <w:rFonts w:ascii="Times New Roman" w:hAnsi="Times New Roman" w:cs="Times New Roman"/>
          <w:color w:val="000000" w:themeColor="text1"/>
          <w:sz w:val="24"/>
          <w:szCs w:val="24"/>
        </w:rPr>
        <w:t>olei proponowany art. 93 ust. 1d</w:t>
      </w:r>
      <w:r w:rsidR="00D51CFA" w:rsidRPr="00D84154">
        <w:rPr>
          <w:rFonts w:ascii="Times New Roman" w:hAnsi="Times New Roman" w:cs="Times New Roman"/>
          <w:color w:val="000000" w:themeColor="text1"/>
          <w:sz w:val="24"/>
          <w:szCs w:val="24"/>
        </w:rPr>
        <w:t xml:space="preserve">, wzorem art. 25 ust. 4 rozporządzenia 1/2003, wprost przesądza, że zawieszenie biegu ww. terminu obejmuje wszystkich przedsiębiorców, którzy mogą być stronami w danej sprawie. </w:t>
      </w:r>
      <w:r w:rsidR="008222C3" w:rsidRPr="00D84154">
        <w:rPr>
          <w:rFonts w:ascii="Times New Roman" w:hAnsi="Times New Roman" w:cs="Times New Roman"/>
          <w:color w:val="000000" w:themeColor="text1"/>
          <w:sz w:val="24"/>
          <w:szCs w:val="24"/>
        </w:rPr>
        <w:t>Podmioty, których nie dotyczy czynność dochodzeniowa</w:t>
      </w:r>
      <w:r w:rsidR="00B41A1D">
        <w:rPr>
          <w:rFonts w:ascii="Times New Roman" w:hAnsi="Times New Roman" w:cs="Times New Roman"/>
          <w:color w:val="000000" w:themeColor="text1"/>
          <w:sz w:val="24"/>
          <w:szCs w:val="24"/>
        </w:rPr>
        <w:t>,</w:t>
      </w:r>
      <w:r w:rsidR="008222C3" w:rsidRPr="00D84154">
        <w:rPr>
          <w:rFonts w:ascii="Times New Roman" w:hAnsi="Times New Roman" w:cs="Times New Roman"/>
          <w:color w:val="000000" w:themeColor="text1"/>
          <w:sz w:val="24"/>
          <w:szCs w:val="24"/>
        </w:rPr>
        <w:t xml:space="preserve"> nie są informowane o jej przeprowadzeniu w chwili jej podjęcia, jednak obejmuje je skutek w postaci zawieszeniu biegu terminu przedawnienia, a wszelkie dowody wskazujące na to, że w chwili wszczęcia postępowania antymonopolowego przedawnienie nie nastąpiło</w:t>
      </w:r>
      <w:r w:rsidR="00B41A1D">
        <w:rPr>
          <w:rFonts w:ascii="Times New Roman" w:hAnsi="Times New Roman" w:cs="Times New Roman"/>
          <w:color w:val="000000" w:themeColor="text1"/>
          <w:sz w:val="24"/>
          <w:szCs w:val="24"/>
        </w:rPr>
        <w:t>,</w:t>
      </w:r>
      <w:r w:rsidR="008222C3" w:rsidRPr="00D84154">
        <w:rPr>
          <w:rFonts w:ascii="Times New Roman" w:hAnsi="Times New Roman" w:cs="Times New Roman"/>
          <w:color w:val="000000" w:themeColor="text1"/>
          <w:sz w:val="24"/>
          <w:szCs w:val="24"/>
        </w:rPr>
        <w:t xml:space="preserve"> będą dla nich dostępne jako dla stron postępowania. Należy wskazać, że z natury czynności dochodzeniowych oraz z praktyki prowadzenia postępowania wynika, że czynności dochodzeniowe nie muszą, a niejednokrotnie nie mogą być podejmowane przez Prezesa UOKiK jednocześnie w stosunku do wszystkich przedsiębiorców, którzy uczestniczyli w stosowaniu antykonkurencyjnej praktyki. Podkreślić należy, że fakt uczestnictwa w danej praktyce może zostać ujawniony w toku postępowania wyjaśniającego na różnych jego etapach, a w szczególnych wypadkach</w:t>
      </w:r>
      <w:r w:rsidR="00F65A77">
        <w:rPr>
          <w:rFonts w:ascii="Times New Roman" w:hAnsi="Times New Roman" w:cs="Times New Roman"/>
          <w:color w:val="000000" w:themeColor="text1"/>
          <w:sz w:val="24"/>
          <w:szCs w:val="24"/>
        </w:rPr>
        <w:t xml:space="preserve"> </w:t>
      </w:r>
      <w:r w:rsidR="008222C3" w:rsidRPr="00D84154">
        <w:rPr>
          <w:rFonts w:ascii="Times New Roman" w:hAnsi="Times New Roman" w:cs="Times New Roman"/>
          <w:color w:val="000000" w:themeColor="text1"/>
          <w:sz w:val="24"/>
          <w:szCs w:val="24"/>
        </w:rPr>
        <w:t>niektórych porozumień wertykalnych nie można wykluczyć, że Prezes UOKiK nie będzie nawet w stanie ustalić wszystkich uczestników porozumienia. Uzasadnione jest zastosowanie przepisu</w:t>
      </w:r>
      <w:r w:rsidR="00F65A77">
        <w:rPr>
          <w:rFonts w:ascii="Times New Roman" w:hAnsi="Times New Roman" w:cs="Times New Roman"/>
          <w:color w:val="000000" w:themeColor="text1"/>
          <w:sz w:val="24"/>
          <w:szCs w:val="24"/>
        </w:rPr>
        <w:t xml:space="preserve"> </w:t>
      </w:r>
      <w:r w:rsidR="008222C3" w:rsidRPr="00D84154">
        <w:rPr>
          <w:rFonts w:ascii="Times New Roman" w:hAnsi="Times New Roman" w:cs="Times New Roman"/>
          <w:color w:val="000000" w:themeColor="text1"/>
          <w:sz w:val="24"/>
          <w:szCs w:val="24"/>
        </w:rPr>
        <w:t>w odniesieniu do danej praktyki w jednolity sposób dla wszystkich potencjalnych naruszycieli, także tych, którzy zostaną ustaleni w toku dalszych czynności postępowania wyjaśniającego. Takie uregulowanie gwarantuje także zachowani</w:t>
      </w:r>
      <w:r w:rsidR="00A641CC" w:rsidRPr="00D84154">
        <w:rPr>
          <w:rFonts w:ascii="Times New Roman" w:hAnsi="Times New Roman" w:cs="Times New Roman"/>
          <w:color w:val="000000" w:themeColor="text1"/>
          <w:sz w:val="24"/>
          <w:szCs w:val="24"/>
        </w:rPr>
        <w:t>e</w:t>
      </w:r>
      <w:r w:rsidR="008222C3" w:rsidRPr="00D84154">
        <w:rPr>
          <w:rFonts w:ascii="Times New Roman" w:hAnsi="Times New Roman" w:cs="Times New Roman"/>
          <w:color w:val="000000" w:themeColor="text1"/>
          <w:sz w:val="24"/>
          <w:szCs w:val="24"/>
        </w:rPr>
        <w:t xml:space="preserve"> spójności skutków w odniesieniu do biegu przedawnienia zarówno w wypadku podjęcia czynności dochodzeniowej przez KE</w:t>
      </w:r>
      <w:r w:rsidR="00A641CC" w:rsidRPr="00D84154">
        <w:rPr>
          <w:rFonts w:ascii="Times New Roman" w:hAnsi="Times New Roman" w:cs="Times New Roman"/>
          <w:color w:val="000000" w:themeColor="text1"/>
          <w:sz w:val="24"/>
          <w:szCs w:val="24"/>
        </w:rPr>
        <w:t>,</w:t>
      </w:r>
      <w:r w:rsidR="008222C3" w:rsidRPr="00D84154">
        <w:rPr>
          <w:rFonts w:ascii="Times New Roman" w:hAnsi="Times New Roman" w:cs="Times New Roman"/>
          <w:color w:val="000000" w:themeColor="text1"/>
          <w:sz w:val="24"/>
          <w:szCs w:val="24"/>
        </w:rPr>
        <w:t xml:space="preserve"> jak </w:t>
      </w:r>
      <w:r w:rsidR="00B41A1D">
        <w:rPr>
          <w:rFonts w:ascii="Times New Roman" w:hAnsi="Times New Roman" w:cs="Times New Roman"/>
          <w:color w:val="000000" w:themeColor="text1"/>
          <w:sz w:val="24"/>
          <w:szCs w:val="24"/>
        </w:rPr>
        <w:t xml:space="preserve">i </w:t>
      </w:r>
      <w:r w:rsidR="008222C3" w:rsidRPr="00D84154">
        <w:rPr>
          <w:rFonts w:ascii="Times New Roman" w:hAnsi="Times New Roman" w:cs="Times New Roman"/>
          <w:color w:val="000000" w:themeColor="text1"/>
          <w:sz w:val="24"/>
          <w:szCs w:val="24"/>
        </w:rPr>
        <w:t>przez Prezesa UOKiK, w przeciwnym razie skutki przedawnienia mogłyby następować z upływem rożnych terminów w zależności od organu podejmującego czynności dochodzeniowe, co powodowałoby istotne wątpliwości w zakresie stosowania prawa oraz skutkowałoby zastosowaniem w stosunku do przedsiębiorców odmiennych procedur postępowania.</w:t>
      </w:r>
    </w:p>
    <w:p w14:paraId="16B2BB36" w14:textId="404A41F2" w:rsidR="0081708D" w:rsidRPr="00D84154" w:rsidRDefault="00D51CFA" w:rsidP="00D84154">
      <w:pPr>
        <w:spacing w:before="120" w:after="0" w:line="360" w:lineRule="auto"/>
        <w:jc w:val="both"/>
        <w:rPr>
          <w:rFonts w:ascii="Times New Roman" w:hAnsi="Times New Roman" w:cs="Times New Roman"/>
          <w:bCs/>
          <w:color w:val="000000" w:themeColor="text1"/>
          <w:sz w:val="24"/>
          <w:szCs w:val="24"/>
        </w:rPr>
      </w:pPr>
      <w:r w:rsidRPr="00D84154">
        <w:rPr>
          <w:rFonts w:ascii="Times New Roman" w:hAnsi="Times New Roman" w:cs="Times New Roman"/>
          <w:color w:val="000000" w:themeColor="text1"/>
          <w:sz w:val="24"/>
          <w:szCs w:val="24"/>
        </w:rPr>
        <w:t>Ponadto, zgodnie z zaproponowan</w:t>
      </w:r>
      <w:r w:rsidR="00A641CC" w:rsidRPr="00D84154">
        <w:rPr>
          <w:rFonts w:ascii="Times New Roman" w:hAnsi="Times New Roman" w:cs="Times New Roman"/>
          <w:color w:val="000000" w:themeColor="text1"/>
          <w:sz w:val="24"/>
          <w:szCs w:val="24"/>
        </w:rPr>
        <w:t>ym</w:t>
      </w:r>
      <w:r w:rsidRPr="00D84154">
        <w:rPr>
          <w:rFonts w:ascii="Times New Roman" w:hAnsi="Times New Roman" w:cs="Times New Roman"/>
          <w:color w:val="000000" w:themeColor="text1"/>
          <w:sz w:val="24"/>
          <w:szCs w:val="24"/>
        </w:rPr>
        <w:t xml:space="preserve"> brzmieni</w:t>
      </w:r>
      <w:r w:rsidR="00A641CC" w:rsidRPr="00D84154">
        <w:rPr>
          <w:rFonts w:ascii="Times New Roman" w:hAnsi="Times New Roman" w:cs="Times New Roman"/>
          <w:color w:val="000000" w:themeColor="text1"/>
          <w:sz w:val="24"/>
          <w:szCs w:val="24"/>
        </w:rPr>
        <w:t>em</w:t>
      </w:r>
      <w:r w:rsidRPr="00D84154">
        <w:rPr>
          <w:rFonts w:ascii="Times New Roman" w:hAnsi="Times New Roman" w:cs="Times New Roman"/>
          <w:color w:val="000000" w:themeColor="text1"/>
          <w:sz w:val="24"/>
          <w:szCs w:val="24"/>
        </w:rPr>
        <w:t xml:space="preserve"> art. 93 ust. 2 u</w:t>
      </w:r>
      <w:r w:rsidR="00A641CC" w:rsidRPr="00D84154">
        <w:rPr>
          <w:rFonts w:ascii="Times New Roman" w:hAnsi="Times New Roman" w:cs="Times New Roman"/>
          <w:color w:val="000000" w:themeColor="text1"/>
          <w:sz w:val="24"/>
          <w:szCs w:val="24"/>
        </w:rPr>
        <w:t>stawy</w:t>
      </w:r>
      <w:r w:rsidRPr="00D84154">
        <w:rPr>
          <w:rFonts w:ascii="Times New Roman" w:hAnsi="Times New Roman" w:cs="Times New Roman"/>
          <w:color w:val="000000" w:themeColor="text1"/>
          <w:sz w:val="24"/>
          <w:szCs w:val="24"/>
        </w:rPr>
        <w:t>, ww. regulacje znajdą także zastosowanie przy obliczaniu biegu terminu przedawnienia na wszczęcie postępowania wobec osoby zarządzającej.</w:t>
      </w:r>
    </w:p>
    <w:p w14:paraId="54DBC89A" w14:textId="59134D9C" w:rsidR="0081708D" w:rsidRPr="00D84154" w:rsidRDefault="00B62658"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Art. 29 ust. 2 </w:t>
      </w:r>
      <w:r w:rsidR="00A641CC"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yrektywy, z którego wynika nakaz zawieszania lub przerywania biegu przedawnienia dla nałożenia kary pieniężnej na okres, w którym decyzja jest przedmiotem postępowania przed sądem odwoławczym</w:t>
      </w:r>
      <w:r w:rsidR="00A641CC" w:rsidRPr="00D84154">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nie będzie wymagać wdrożenia do polskiego porządku prawnego. Na etapie rozpatrywania sprawy przez sąd nie będą mieć zastosowania przepisy określające terminy na wszczęcie lub przeprowadzenie postępowania (art. 76,</w:t>
      </w:r>
      <w:r w:rsidR="004F7331" w:rsidRPr="00D84154">
        <w:rPr>
          <w:rFonts w:ascii="Times New Roman" w:hAnsi="Times New Roman" w:cs="Times New Roman"/>
          <w:color w:val="000000" w:themeColor="text1"/>
          <w:sz w:val="24"/>
          <w:szCs w:val="24"/>
        </w:rPr>
        <w:t xml:space="preserve"> art.</w:t>
      </w:r>
      <w:r w:rsidR="00A627FF">
        <w:rPr>
          <w:rFonts w:ascii="Times New Roman" w:hAnsi="Times New Roman" w:cs="Times New Roman"/>
          <w:color w:val="000000" w:themeColor="text1"/>
          <w:sz w:val="24"/>
          <w:szCs w:val="24"/>
        </w:rPr>
        <w:t> </w:t>
      </w:r>
      <w:r w:rsidRPr="00D84154">
        <w:rPr>
          <w:rFonts w:ascii="Times New Roman" w:hAnsi="Times New Roman" w:cs="Times New Roman"/>
          <w:color w:val="000000" w:themeColor="text1"/>
          <w:sz w:val="24"/>
          <w:szCs w:val="24"/>
        </w:rPr>
        <w:t xml:space="preserve">92 i </w:t>
      </w:r>
      <w:r w:rsidR="004F7331" w:rsidRPr="00D84154">
        <w:rPr>
          <w:rFonts w:ascii="Times New Roman" w:hAnsi="Times New Roman" w:cs="Times New Roman"/>
          <w:color w:val="000000" w:themeColor="text1"/>
          <w:sz w:val="24"/>
          <w:szCs w:val="24"/>
        </w:rPr>
        <w:t xml:space="preserve">art. </w:t>
      </w:r>
      <w:r w:rsidRPr="00D84154">
        <w:rPr>
          <w:rFonts w:ascii="Times New Roman" w:hAnsi="Times New Roman" w:cs="Times New Roman"/>
          <w:color w:val="000000" w:themeColor="text1"/>
          <w:sz w:val="24"/>
          <w:szCs w:val="24"/>
        </w:rPr>
        <w:t xml:space="preserve">93 </w:t>
      </w:r>
      <w:r w:rsidR="00A641CC" w:rsidRPr="00D84154">
        <w:rPr>
          <w:rFonts w:ascii="Times New Roman" w:hAnsi="Times New Roman" w:cs="Times New Roman"/>
          <w:color w:val="000000" w:themeColor="text1"/>
          <w:sz w:val="24"/>
          <w:szCs w:val="24"/>
        </w:rPr>
        <w:t>ustawy</w:t>
      </w:r>
      <w:r w:rsidRPr="00D84154">
        <w:rPr>
          <w:rFonts w:ascii="Times New Roman" w:hAnsi="Times New Roman" w:cs="Times New Roman"/>
          <w:color w:val="000000" w:themeColor="text1"/>
          <w:sz w:val="24"/>
          <w:szCs w:val="24"/>
        </w:rPr>
        <w:t xml:space="preserve">). Ponadto należy zwrócić uwagę na art. 189h § 4 </w:t>
      </w:r>
      <w:r w:rsidR="00A641CC" w:rsidRPr="00D84154">
        <w:rPr>
          <w:rFonts w:ascii="Times New Roman" w:hAnsi="Times New Roman" w:cs="Times New Roman"/>
          <w:color w:val="000000" w:themeColor="text1"/>
          <w:sz w:val="24"/>
          <w:szCs w:val="24"/>
        </w:rPr>
        <w:t>ustawy z dnia 14 czerwca 1960 r.</w:t>
      </w:r>
      <w:r w:rsidR="0074777B" w:rsidRPr="00D84154">
        <w:rPr>
          <w:rFonts w:ascii="Times New Roman" w:hAnsi="Times New Roman" w:cs="Times New Roman"/>
          <w:color w:val="000000" w:themeColor="text1"/>
          <w:sz w:val="24"/>
          <w:szCs w:val="24"/>
        </w:rPr>
        <w:t xml:space="preserve"> </w:t>
      </w:r>
      <w:r w:rsidR="00146094" w:rsidRPr="00D84154">
        <w:rPr>
          <w:rFonts w:ascii="Times New Roman" w:hAnsi="Times New Roman" w:cs="Times New Roman"/>
          <w:color w:val="000000" w:themeColor="text1"/>
          <w:sz w:val="24"/>
          <w:szCs w:val="24"/>
        </w:rPr>
        <w:t>–</w:t>
      </w:r>
      <w:r w:rsidR="00A641CC" w:rsidRPr="00D84154">
        <w:rPr>
          <w:rFonts w:ascii="Times New Roman" w:hAnsi="Times New Roman" w:cs="Times New Roman"/>
          <w:color w:val="000000" w:themeColor="text1"/>
          <w:sz w:val="24"/>
          <w:szCs w:val="24"/>
        </w:rPr>
        <w:t xml:space="preserve"> Kodeks postępowania administracyjnego</w:t>
      </w:r>
      <w:r w:rsidRPr="00D84154">
        <w:rPr>
          <w:rFonts w:ascii="Times New Roman" w:hAnsi="Times New Roman" w:cs="Times New Roman"/>
          <w:color w:val="000000" w:themeColor="text1"/>
          <w:sz w:val="24"/>
          <w:szCs w:val="24"/>
        </w:rPr>
        <w:t>, który stanowi, ż</w:t>
      </w:r>
      <w:r w:rsidR="00B41A1D">
        <w:rPr>
          <w:rFonts w:ascii="Times New Roman" w:hAnsi="Times New Roman" w:cs="Times New Roman"/>
          <w:color w:val="000000" w:themeColor="text1"/>
          <w:sz w:val="24"/>
          <w:szCs w:val="24"/>
        </w:rPr>
        <w:t>e</w:t>
      </w:r>
      <w:r w:rsidRPr="00D84154">
        <w:rPr>
          <w:rFonts w:ascii="Times New Roman" w:hAnsi="Times New Roman" w:cs="Times New Roman"/>
          <w:color w:val="000000" w:themeColor="text1"/>
          <w:sz w:val="24"/>
          <w:szCs w:val="24"/>
        </w:rPr>
        <w:t xml:space="preserve"> bieg terminu </w:t>
      </w:r>
      <w:r w:rsidRPr="00D84154">
        <w:rPr>
          <w:rFonts w:ascii="Times New Roman" w:hAnsi="Times New Roman" w:cs="Times New Roman"/>
          <w:color w:val="000000" w:themeColor="text1"/>
          <w:sz w:val="24"/>
          <w:szCs w:val="24"/>
        </w:rPr>
        <w:lastRenderedPageBreak/>
        <w:t>przedawnienia nałożenia administracyjnej kary pieniężnej nie rozpoczyna się, a rozpoczęty ulega zawieszeniu z dniem wniesienia środka zaskarżenia od decyzji w przedmiocie administracyjnej kary pieniężnej do sądu administracyjnego albo sądu powszechnego albo skargi kasacyjnej od prawomocnego orzeczenia w przedmiocie administracyjnej kary pieniężnej.</w:t>
      </w:r>
    </w:p>
    <w:p w14:paraId="0EABAAFE" w14:textId="77777777" w:rsidR="00D159BB" w:rsidRPr="00D84154" w:rsidRDefault="00B62658" w:rsidP="00D84154">
      <w:pPr>
        <w:pStyle w:val="Akapitzlist"/>
        <w:numPr>
          <w:ilvl w:val="0"/>
          <w:numId w:val="2"/>
        </w:numPr>
        <w:spacing w:before="120" w:after="0" w:line="360" w:lineRule="auto"/>
        <w:ind w:left="426" w:hanging="426"/>
        <w:jc w:val="both"/>
        <w:rPr>
          <w:rFonts w:ascii="Times New Roman" w:hAnsi="Times New Roman" w:cs="Times New Roman"/>
          <w:b/>
          <w:bCs/>
          <w:color w:val="000000" w:themeColor="text1"/>
          <w:sz w:val="24"/>
          <w:szCs w:val="24"/>
        </w:rPr>
      </w:pPr>
      <w:r w:rsidRPr="00D84154">
        <w:rPr>
          <w:rFonts w:ascii="Times New Roman" w:hAnsi="Times New Roman" w:cs="Times New Roman"/>
          <w:b/>
          <w:bCs/>
          <w:color w:val="000000" w:themeColor="text1"/>
          <w:sz w:val="24"/>
          <w:szCs w:val="24"/>
        </w:rPr>
        <w:t>Kary</w:t>
      </w:r>
    </w:p>
    <w:p w14:paraId="6ACB8D17" w14:textId="173F79A0" w:rsidR="00A84ACD" w:rsidRPr="00D84154" w:rsidRDefault="00B62658"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Dyrektywa w art. 13</w:t>
      </w:r>
      <w:r w:rsidR="00CE5785">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16 określa obszary harmonizacji w zak</w:t>
      </w:r>
      <w:r w:rsidR="00A627FF">
        <w:rPr>
          <w:rFonts w:ascii="Times New Roman" w:hAnsi="Times New Roman" w:cs="Times New Roman"/>
          <w:color w:val="000000" w:themeColor="text1"/>
          <w:sz w:val="24"/>
          <w:szCs w:val="24"/>
        </w:rPr>
        <w:t>resie nakładania kar. Zgodnie z </w:t>
      </w:r>
      <w:r w:rsidR="000950BE"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 xml:space="preserve">yrektywą organy antymonopolowe powinny mieć skuteczne narzędzie do egzekucji prawa konkurencji spełniającego funkcję prewencyjną wobec naruszyciela i wobec innych przedsiębiorstw. Ponadto ujednolicenie kar nakładanych w krajach członkowskich przez różne organy antymonopolowe ma na </w:t>
      </w:r>
      <w:r w:rsidR="004124B2" w:rsidRPr="00D84154">
        <w:rPr>
          <w:rFonts w:ascii="Times New Roman" w:hAnsi="Times New Roman" w:cs="Times New Roman"/>
          <w:color w:val="000000" w:themeColor="text1"/>
          <w:sz w:val="24"/>
          <w:szCs w:val="24"/>
        </w:rPr>
        <w:t xml:space="preserve">celu </w:t>
      </w:r>
      <w:r w:rsidRPr="00D84154">
        <w:rPr>
          <w:rFonts w:ascii="Times New Roman" w:hAnsi="Times New Roman" w:cs="Times New Roman"/>
          <w:color w:val="000000" w:themeColor="text1"/>
          <w:sz w:val="24"/>
          <w:szCs w:val="24"/>
        </w:rPr>
        <w:t xml:space="preserve">przeciwdziałanie zjawisku </w:t>
      </w:r>
      <w:r w:rsidR="004124B2" w:rsidRPr="00D84154">
        <w:rPr>
          <w:rFonts w:ascii="Times New Roman" w:hAnsi="Times New Roman" w:cs="Times New Roman"/>
          <w:color w:val="000000" w:themeColor="text1"/>
          <w:sz w:val="24"/>
          <w:szCs w:val="24"/>
        </w:rPr>
        <w:t xml:space="preserve">tzw. </w:t>
      </w:r>
      <w:r w:rsidRPr="00D84154">
        <w:rPr>
          <w:rFonts w:ascii="Times New Roman" w:hAnsi="Times New Roman" w:cs="Times New Roman"/>
          <w:color w:val="000000" w:themeColor="text1"/>
          <w:sz w:val="24"/>
          <w:szCs w:val="24"/>
        </w:rPr>
        <w:t>forum shopping opartemu na kalkulacji przedsiębiorstw co do tego, w którym z państw członkowskich mogą liczyć na bardzo niskie kary lub całkowity ich brak.</w:t>
      </w:r>
    </w:p>
    <w:p w14:paraId="1DF09BC0" w14:textId="77777777" w:rsidR="00A84ACD" w:rsidRPr="00D84154" w:rsidRDefault="00B62658" w:rsidP="00D84154">
      <w:pPr>
        <w:spacing w:before="120" w:after="0" w:line="360" w:lineRule="auto"/>
        <w:jc w:val="both"/>
        <w:rPr>
          <w:rFonts w:ascii="Times New Roman" w:hAnsi="Times New Roman" w:cs="Times New Roman"/>
          <w:b/>
          <w:bCs/>
          <w:color w:val="000000" w:themeColor="text1"/>
          <w:sz w:val="24"/>
          <w:szCs w:val="24"/>
        </w:rPr>
      </w:pPr>
      <w:r w:rsidRPr="00D84154">
        <w:rPr>
          <w:rFonts w:ascii="Times New Roman" w:hAnsi="Times New Roman" w:cs="Times New Roman"/>
          <w:b/>
          <w:bCs/>
          <w:color w:val="000000" w:themeColor="text1"/>
          <w:sz w:val="24"/>
          <w:szCs w:val="24"/>
        </w:rPr>
        <w:t>Związki przedsiębiorców</w:t>
      </w:r>
    </w:p>
    <w:p w14:paraId="3293D9E9" w14:textId="7B5E07FF" w:rsidR="00A84ACD" w:rsidRPr="00D84154" w:rsidRDefault="00B62658"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Jak wskazano w </w:t>
      </w:r>
      <w:r w:rsidR="00FE5146" w:rsidRPr="00D84154">
        <w:rPr>
          <w:rFonts w:ascii="Times New Roman" w:hAnsi="Times New Roman" w:cs="Times New Roman"/>
          <w:color w:val="000000" w:themeColor="text1"/>
          <w:sz w:val="24"/>
          <w:szCs w:val="24"/>
        </w:rPr>
        <w:t>m</w:t>
      </w:r>
      <w:r w:rsidRPr="00D84154">
        <w:rPr>
          <w:rFonts w:ascii="Times New Roman" w:hAnsi="Times New Roman" w:cs="Times New Roman"/>
          <w:color w:val="000000" w:themeColor="text1"/>
          <w:sz w:val="24"/>
          <w:szCs w:val="24"/>
        </w:rPr>
        <w:t>otywie 48</w:t>
      </w:r>
      <w:r w:rsidR="00FE5146" w:rsidRPr="00D84154">
        <w:rPr>
          <w:rFonts w:ascii="Times New Roman" w:hAnsi="Times New Roman" w:cs="Times New Roman"/>
          <w:color w:val="000000" w:themeColor="text1"/>
          <w:sz w:val="24"/>
          <w:szCs w:val="24"/>
        </w:rPr>
        <w:t xml:space="preserve"> dyrektywy</w:t>
      </w:r>
      <w:r w:rsidRPr="00D84154">
        <w:rPr>
          <w:rFonts w:ascii="Times New Roman" w:hAnsi="Times New Roman" w:cs="Times New Roman"/>
          <w:color w:val="000000" w:themeColor="text1"/>
          <w:sz w:val="24"/>
          <w:szCs w:val="24"/>
        </w:rPr>
        <w:t>: „</w:t>
      </w:r>
      <w:r w:rsidRPr="00611A1E">
        <w:rPr>
          <w:rFonts w:ascii="Times New Roman" w:hAnsi="Times New Roman" w:cs="Times New Roman"/>
          <w:iCs/>
          <w:color w:val="000000" w:themeColor="text1"/>
          <w:sz w:val="24"/>
          <w:szCs w:val="24"/>
        </w:rPr>
        <w:t>Doświadczenie pokazuje, że do naruszeń reguł konkurencji regularnie przyczyniają się związki przedsiębiorstw, a zatem krajowe organy ochrony konkurencji powinny być w stanie skutecznie nakładać kary na te związki</w:t>
      </w:r>
      <w:r w:rsidRPr="0022608F">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Przepis art. 13 </w:t>
      </w:r>
      <w:r w:rsidR="00FE5146"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 xml:space="preserve">yrektywy przewiduje, że organy antymonopolowe powinny mieć uprawnienie do nakładania kar pieniężnych na związki przedsiębiorców. W celu zapewnienia skutecznego ściągania kar pieniężnych nałożonych na związki przedsiębiorstw art. 14 </w:t>
      </w:r>
      <w:r w:rsidR="009B6115" w:rsidRPr="00D84154">
        <w:rPr>
          <w:rFonts w:ascii="Times New Roman" w:hAnsi="Times New Roman" w:cs="Times New Roman"/>
          <w:color w:val="000000" w:themeColor="text1"/>
          <w:sz w:val="24"/>
          <w:szCs w:val="24"/>
        </w:rPr>
        <w:t xml:space="preserve">dyrektywy </w:t>
      </w:r>
      <w:r w:rsidRPr="00D84154">
        <w:rPr>
          <w:rFonts w:ascii="Times New Roman" w:hAnsi="Times New Roman" w:cs="Times New Roman"/>
          <w:color w:val="000000" w:themeColor="text1"/>
          <w:sz w:val="24"/>
          <w:szCs w:val="24"/>
        </w:rPr>
        <w:t xml:space="preserve">wskazuje, że w sytuacji gdy na związek przedsiębiorstw zostaje nałożona kara za naruszenie art. 101 lub </w:t>
      </w:r>
      <w:r w:rsidR="009B6115" w:rsidRPr="00D84154">
        <w:rPr>
          <w:rFonts w:ascii="Times New Roman" w:hAnsi="Times New Roman" w:cs="Times New Roman"/>
          <w:color w:val="000000" w:themeColor="text1"/>
          <w:sz w:val="24"/>
          <w:szCs w:val="24"/>
        </w:rPr>
        <w:t xml:space="preserve">art. </w:t>
      </w:r>
      <w:r w:rsidRPr="00D84154">
        <w:rPr>
          <w:rFonts w:ascii="Times New Roman" w:hAnsi="Times New Roman" w:cs="Times New Roman"/>
          <w:color w:val="000000" w:themeColor="text1"/>
          <w:sz w:val="24"/>
          <w:szCs w:val="24"/>
        </w:rPr>
        <w:t>102 TFUE uwzględniająca obrót jego członków, a związek ten nie jest wypłacalny, był on zobowiązany do wezwania swoich członków do wniesienia wkładów w celu pokrycia kwoty kary. Dyrektywa wskazuje ponadto, że organy antymonopolowe nie będą mogły żądać zapłaty kary od przedsiębiorstw, które wykażą, że nie wdrożyły decyzji związku powodującej naruszenie i albo nie wi</w:t>
      </w:r>
      <w:r w:rsidR="009B6115" w:rsidRPr="00D84154">
        <w:rPr>
          <w:rFonts w:ascii="Times New Roman" w:hAnsi="Times New Roman" w:cs="Times New Roman"/>
          <w:color w:val="000000" w:themeColor="text1"/>
          <w:sz w:val="24"/>
          <w:szCs w:val="24"/>
        </w:rPr>
        <w:t>e</w:t>
      </w:r>
      <w:r w:rsidRPr="00D84154">
        <w:rPr>
          <w:rFonts w:ascii="Times New Roman" w:hAnsi="Times New Roman" w:cs="Times New Roman"/>
          <w:color w:val="000000" w:themeColor="text1"/>
          <w:sz w:val="24"/>
          <w:szCs w:val="24"/>
        </w:rPr>
        <w:t>działy o jej istnieniu, albo aktywnie zdystansowały się od niej przed wszczęciem postępowania.</w:t>
      </w:r>
    </w:p>
    <w:p w14:paraId="6D1B8C38" w14:textId="5554D5AA" w:rsidR="00A84ACD" w:rsidRPr="00D84154" w:rsidRDefault="00B62658"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Ustawa nie zawiera obecnie szczególnej regulacji dotyczącej nakładania kar na związki przedsiębiorców. Nie oznacza to, że obecnie nałożenie takiej kary nie jest możliwe. Związek przedsiębiorców </w:t>
      </w:r>
      <w:r w:rsidR="0022608F" w:rsidRPr="00D84154">
        <w:rPr>
          <w:rFonts w:ascii="Times New Roman" w:hAnsi="Times New Roman" w:cs="Times New Roman"/>
          <w:color w:val="000000" w:themeColor="text1"/>
          <w:sz w:val="24"/>
          <w:szCs w:val="24"/>
        </w:rPr>
        <w:t xml:space="preserve">jest </w:t>
      </w:r>
      <w:r w:rsidRPr="00D84154">
        <w:rPr>
          <w:rFonts w:ascii="Times New Roman" w:hAnsi="Times New Roman" w:cs="Times New Roman"/>
          <w:color w:val="000000" w:themeColor="text1"/>
          <w:sz w:val="24"/>
          <w:szCs w:val="24"/>
        </w:rPr>
        <w:t>traktowany na potrzeby nałożenia kary pieniężnej jako jeden przedsiębiorca. Praktyka decyzyjna Prezesa UOKiK w tym zakresie jest bogata. Ustawa nie zawiera również regulacji</w:t>
      </w:r>
      <w:r w:rsidR="0022608F">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również szczególnych regulacji dotyczących obliczania obrotu </w:t>
      </w:r>
      <w:r w:rsidRPr="00D84154">
        <w:rPr>
          <w:rFonts w:ascii="Times New Roman" w:hAnsi="Times New Roman" w:cs="Times New Roman"/>
          <w:color w:val="000000" w:themeColor="text1"/>
          <w:sz w:val="24"/>
          <w:szCs w:val="24"/>
        </w:rPr>
        <w:lastRenderedPageBreak/>
        <w:t xml:space="preserve">związku przedsiębiorców oraz jego poszczególnych członków na potrzeby nakładania kary pieniężnej ani pozwalających na egzekwowanie kary pieniężnej w przypadku niewypłacalności związku. Z uwagi na powyższe koniecznym </w:t>
      </w:r>
      <w:r w:rsidR="00155E9E" w:rsidRPr="00D84154">
        <w:rPr>
          <w:rFonts w:ascii="Times New Roman" w:hAnsi="Times New Roman" w:cs="Times New Roman"/>
          <w:color w:val="000000" w:themeColor="text1"/>
          <w:sz w:val="24"/>
          <w:szCs w:val="24"/>
        </w:rPr>
        <w:t xml:space="preserve">jest </w:t>
      </w:r>
      <w:r w:rsidRPr="00D84154">
        <w:rPr>
          <w:rFonts w:ascii="Times New Roman" w:hAnsi="Times New Roman" w:cs="Times New Roman"/>
          <w:color w:val="000000" w:themeColor="text1"/>
          <w:sz w:val="24"/>
          <w:szCs w:val="24"/>
        </w:rPr>
        <w:t xml:space="preserve">dostosowanie obecnie obowiązujących przepisów przez wprowadzenie szczególnych regulacji dotyczących tej kategorii podmiotów, które pozwoliłyby na traktowanie ich w sposób zgodny z wymogami </w:t>
      </w:r>
      <w:r w:rsidR="009B6115"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 xml:space="preserve">yrektywy. Proponuje się dodanie w </w:t>
      </w:r>
      <w:r w:rsidR="009B6115" w:rsidRPr="00D84154">
        <w:rPr>
          <w:rFonts w:ascii="Times New Roman" w:hAnsi="Times New Roman" w:cs="Times New Roman"/>
          <w:color w:val="000000" w:themeColor="text1"/>
          <w:sz w:val="24"/>
          <w:szCs w:val="24"/>
        </w:rPr>
        <w:t>u</w:t>
      </w:r>
      <w:r w:rsidRPr="00D84154">
        <w:rPr>
          <w:rFonts w:ascii="Times New Roman" w:hAnsi="Times New Roman" w:cs="Times New Roman"/>
          <w:color w:val="000000" w:themeColor="text1"/>
          <w:sz w:val="24"/>
          <w:szCs w:val="24"/>
        </w:rPr>
        <w:t xml:space="preserve">stawie </w:t>
      </w:r>
      <w:r w:rsidR="009B6115" w:rsidRPr="00D84154">
        <w:rPr>
          <w:rFonts w:ascii="Times New Roman" w:hAnsi="Times New Roman" w:cs="Times New Roman"/>
          <w:color w:val="000000" w:themeColor="text1"/>
          <w:sz w:val="24"/>
          <w:szCs w:val="24"/>
        </w:rPr>
        <w:t xml:space="preserve">w </w:t>
      </w:r>
      <w:r w:rsidRPr="00D84154">
        <w:rPr>
          <w:rFonts w:ascii="Times New Roman" w:hAnsi="Times New Roman" w:cs="Times New Roman"/>
          <w:color w:val="000000" w:themeColor="text1"/>
          <w:sz w:val="24"/>
          <w:szCs w:val="24"/>
        </w:rPr>
        <w:t>art. 106 ust. 1a–1</w:t>
      </w:r>
      <w:r w:rsidR="00C33E42" w:rsidRPr="00D84154">
        <w:rPr>
          <w:rFonts w:ascii="Times New Roman" w:hAnsi="Times New Roman" w:cs="Times New Roman"/>
          <w:color w:val="000000" w:themeColor="text1"/>
          <w:sz w:val="24"/>
          <w:szCs w:val="24"/>
        </w:rPr>
        <w:t>f</w:t>
      </w:r>
      <w:r w:rsidRPr="00D84154">
        <w:rPr>
          <w:rFonts w:ascii="Times New Roman" w:hAnsi="Times New Roman" w:cs="Times New Roman"/>
          <w:color w:val="000000" w:themeColor="text1"/>
          <w:sz w:val="24"/>
          <w:szCs w:val="24"/>
        </w:rPr>
        <w:t>, zawierających stosowne rozwiązania</w:t>
      </w:r>
      <w:r w:rsidR="00770092" w:rsidRPr="00D84154">
        <w:rPr>
          <w:rFonts w:ascii="Times New Roman" w:hAnsi="Times New Roman" w:cs="Times New Roman"/>
          <w:color w:val="000000" w:themeColor="text1"/>
          <w:sz w:val="24"/>
          <w:szCs w:val="24"/>
        </w:rPr>
        <w:t>, które wzorują się co do zasady na art. 23 ust. 4 rozporządzenia 1/2003</w:t>
      </w:r>
      <w:r w:rsidRPr="00D84154">
        <w:rPr>
          <w:rFonts w:ascii="Times New Roman" w:hAnsi="Times New Roman" w:cs="Times New Roman"/>
          <w:color w:val="000000" w:themeColor="text1"/>
          <w:sz w:val="24"/>
          <w:szCs w:val="24"/>
        </w:rPr>
        <w:t>.</w:t>
      </w:r>
    </w:p>
    <w:p w14:paraId="54DF329C" w14:textId="2BA95AF4" w:rsidR="00A84ACD" w:rsidRPr="0022608F" w:rsidRDefault="00B62658"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Projektowany art. 106 ust. 1a stanowi podstawę do nakładania kar pieniężnych na związki przedsiębiorców za naruszenia, o których mowa w art. 106 ust. 1 pkt 1 lub 2, któr</w:t>
      </w:r>
      <w:r w:rsidR="00770092" w:rsidRPr="00D84154">
        <w:rPr>
          <w:rFonts w:ascii="Times New Roman" w:hAnsi="Times New Roman" w:cs="Times New Roman"/>
          <w:color w:val="000000" w:themeColor="text1"/>
          <w:sz w:val="24"/>
          <w:szCs w:val="24"/>
        </w:rPr>
        <w:t>ych</w:t>
      </w:r>
      <w:r w:rsidRPr="00D84154">
        <w:rPr>
          <w:rFonts w:ascii="Times New Roman" w:hAnsi="Times New Roman" w:cs="Times New Roman"/>
          <w:color w:val="000000" w:themeColor="text1"/>
          <w:sz w:val="24"/>
          <w:szCs w:val="24"/>
        </w:rPr>
        <w:t xml:space="preserve"> dopuścił się związek przedsiębiorców, w przypadku gdy naruszenie jest związane z działalnością jego członków. Zgodnie z tym przepisem kara nakładana na związek przedsiębiorców nie będzie mogła przekroczyć 10% sumy obrot</w:t>
      </w:r>
      <w:r w:rsidR="00C33E42" w:rsidRPr="00D84154">
        <w:rPr>
          <w:rFonts w:ascii="Times New Roman" w:hAnsi="Times New Roman" w:cs="Times New Roman"/>
          <w:color w:val="000000" w:themeColor="text1"/>
          <w:sz w:val="24"/>
          <w:szCs w:val="24"/>
        </w:rPr>
        <w:t>ów</w:t>
      </w:r>
      <w:r w:rsidRPr="00D84154">
        <w:rPr>
          <w:rFonts w:ascii="Times New Roman" w:hAnsi="Times New Roman" w:cs="Times New Roman"/>
          <w:color w:val="000000" w:themeColor="text1"/>
          <w:sz w:val="24"/>
          <w:szCs w:val="24"/>
        </w:rPr>
        <w:t xml:space="preserve"> każdego z członków tego związku prowadzącego działalność na rynku, którego dotyczyło to naruszenie, w roku obrotowym poprzedzającym rok nałożenia kary. </w:t>
      </w:r>
      <w:r w:rsidR="00C33E42" w:rsidRPr="00D84154">
        <w:rPr>
          <w:rFonts w:ascii="Times New Roman" w:hAnsi="Times New Roman" w:cs="Times New Roman"/>
          <w:color w:val="000000" w:themeColor="text1"/>
          <w:sz w:val="24"/>
          <w:szCs w:val="24"/>
        </w:rPr>
        <w:t xml:space="preserve">Jednocześnie projektowany art. 106 ust. 1b ogranicza możliwość żądania zapłaty kary od członka </w:t>
      </w:r>
      <w:r w:rsidR="00770092" w:rsidRPr="00D84154">
        <w:rPr>
          <w:rFonts w:ascii="Times New Roman" w:hAnsi="Times New Roman" w:cs="Times New Roman"/>
          <w:color w:val="000000" w:themeColor="text1"/>
          <w:sz w:val="24"/>
          <w:szCs w:val="24"/>
        </w:rPr>
        <w:t xml:space="preserve">ukaranego </w:t>
      </w:r>
      <w:r w:rsidR="00C33E42" w:rsidRPr="00D84154">
        <w:rPr>
          <w:rFonts w:ascii="Times New Roman" w:hAnsi="Times New Roman" w:cs="Times New Roman"/>
          <w:color w:val="000000" w:themeColor="text1"/>
          <w:sz w:val="24"/>
          <w:szCs w:val="24"/>
        </w:rPr>
        <w:t>związku</w:t>
      </w:r>
      <w:r w:rsidR="00770092" w:rsidRPr="00D84154">
        <w:rPr>
          <w:rFonts w:ascii="Times New Roman" w:hAnsi="Times New Roman" w:cs="Times New Roman"/>
          <w:color w:val="000000" w:themeColor="text1"/>
          <w:sz w:val="24"/>
          <w:szCs w:val="24"/>
        </w:rPr>
        <w:t xml:space="preserve"> przedsiębiorców</w:t>
      </w:r>
      <w:r w:rsidR="00F65A77">
        <w:rPr>
          <w:rFonts w:ascii="Times New Roman" w:hAnsi="Times New Roman" w:cs="Times New Roman"/>
          <w:color w:val="000000" w:themeColor="text1"/>
          <w:sz w:val="24"/>
          <w:szCs w:val="24"/>
        </w:rPr>
        <w:t xml:space="preserve"> </w:t>
      </w:r>
      <w:r w:rsidR="00C33E42" w:rsidRPr="00D84154">
        <w:rPr>
          <w:rFonts w:ascii="Times New Roman" w:hAnsi="Times New Roman" w:cs="Times New Roman"/>
          <w:color w:val="000000" w:themeColor="text1"/>
          <w:sz w:val="24"/>
          <w:szCs w:val="24"/>
        </w:rPr>
        <w:t xml:space="preserve">do kwoty nieprzekraczającej </w:t>
      </w:r>
      <w:r w:rsidR="00C33E42" w:rsidRPr="00D84154">
        <w:rPr>
          <w:rFonts w:ascii="Times New Roman" w:hAnsi="Times New Roman" w:cs="Times New Roman"/>
          <w:bCs/>
          <w:color w:val="000000" w:themeColor="text1"/>
          <w:sz w:val="24"/>
          <w:szCs w:val="24"/>
        </w:rPr>
        <w:t xml:space="preserve">10% obrotu tego członka związku przedsiębiorców, osiągniętego w roku obrotowym poprzedzającym rok nałożenia kary lub kwoty </w:t>
      </w:r>
      <w:r w:rsidR="00C33E42" w:rsidRPr="00D84154">
        <w:rPr>
          <w:rFonts w:ascii="Times New Roman" w:hAnsi="Times New Roman" w:cs="Times New Roman"/>
          <w:color w:val="000000" w:themeColor="text1"/>
          <w:sz w:val="24"/>
          <w:szCs w:val="24"/>
        </w:rPr>
        <w:t>10</w:t>
      </w:r>
      <w:r w:rsidR="0022608F">
        <w:rPr>
          <w:rFonts w:ascii="Times New Roman" w:hAnsi="Times New Roman" w:cs="Times New Roman"/>
          <w:color w:val="000000" w:themeColor="text1"/>
          <w:sz w:val="24"/>
          <w:szCs w:val="24"/>
        </w:rPr>
        <w:t> </w:t>
      </w:r>
      <w:r w:rsidR="00C33E42" w:rsidRPr="00D84154">
        <w:rPr>
          <w:rFonts w:ascii="Times New Roman" w:hAnsi="Times New Roman" w:cs="Times New Roman"/>
          <w:color w:val="000000" w:themeColor="text1"/>
          <w:sz w:val="24"/>
          <w:szCs w:val="24"/>
        </w:rPr>
        <w:t>000 euro, w przypadku gdy ten członek związku przedsiębiorców nie osiągnął obrotu w okresie t</w:t>
      </w:r>
      <w:r w:rsidR="00A627FF">
        <w:rPr>
          <w:rFonts w:ascii="Times New Roman" w:hAnsi="Times New Roman" w:cs="Times New Roman"/>
          <w:color w:val="000000" w:themeColor="text1"/>
          <w:sz w:val="24"/>
          <w:szCs w:val="24"/>
        </w:rPr>
        <w:t>rzyletnim, o którym mowa w art. </w:t>
      </w:r>
      <w:r w:rsidR="00C33E42" w:rsidRPr="00D84154">
        <w:rPr>
          <w:rFonts w:ascii="Times New Roman" w:hAnsi="Times New Roman" w:cs="Times New Roman"/>
          <w:color w:val="000000" w:themeColor="text1"/>
          <w:sz w:val="24"/>
          <w:szCs w:val="24"/>
        </w:rPr>
        <w:t>106 ust. 5, lub gdy jego obrót obliczony na podstawie tego przepisu nie przekracza równowartości 100</w:t>
      </w:r>
      <w:r w:rsidR="0022608F">
        <w:rPr>
          <w:rFonts w:ascii="Times New Roman" w:hAnsi="Times New Roman" w:cs="Times New Roman"/>
          <w:color w:val="000000" w:themeColor="text1"/>
          <w:sz w:val="24"/>
          <w:szCs w:val="24"/>
        </w:rPr>
        <w:t> </w:t>
      </w:r>
      <w:r w:rsidR="00C33E42" w:rsidRPr="00D84154">
        <w:rPr>
          <w:rFonts w:ascii="Times New Roman" w:hAnsi="Times New Roman" w:cs="Times New Roman"/>
          <w:color w:val="000000" w:themeColor="text1"/>
          <w:sz w:val="24"/>
          <w:szCs w:val="24"/>
        </w:rPr>
        <w:t>000 euro. Oznacza</w:t>
      </w:r>
      <w:r w:rsidR="00770092" w:rsidRPr="00D84154">
        <w:rPr>
          <w:rFonts w:ascii="Times New Roman" w:hAnsi="Times New Roman" w:cs="Times New Roman"/>
          <w:color w:val="000000" w:themeColor="text1"/>
          <w:sz w:val="24"/>
          <w:szCs w:val="24"/>
        </w:rPr>
        <w:t xml:space="preserve"> to</w:t>
      </w:r>
      <w:r w:rsidR="00C33E42" w:rsidRPr="00D84154">
        <w:rPr>
          <w:rFonts w:ascii="Times New Roman" w:hAnsi="Times New Roman" w:cs="Times New Roman"/>
          <w:color w:val="000000" w:themeColor="text1"/>
          <w:sz w:val="24"/>
          <w:szCs w:val="24"/>
        </w:rPr>
        <w:t>, że maksymalna wysokość zapłaconej kary członka związku przedsiębiorców nie może przekraczać maksymalnej wysokości kary, jaka mogłaby zostać nałożona na tego przedsiębiorcę w przypadku nałożenia na niego kary, o kt</w:t>
      </w:r>
      <w:r w:rsidR="00A627FF">
        <w:rPr>
          <w:rFonts w:ascii="Times New Roman" w:hAnsi="Times New Roman" w:cs="Times New Roman"/>
          <w:color w:val="000000" w:themeColor="text1"/>
          <w:sz w:val="24"/>
          <w:szCs w:val="24"/>
        </w:rPr>
        <w:t>órej mowa w art. </w:t>
      </w:r>
      <w:r w:rsidR="00C33E42" w:rsidRPr="00D84154">
        <w:rPr>
          <w:rFonts w:ascii="Times New Roman" w:hAnsi="Times New Roman" w:cs="Times New Roman"/>
          <w:color w:val="000000" w:themeColor="text1"/>
          <w:sz w:val="24"/>
          <w:szCs w:val="24"/>
        </w:rPr>
        <w:t>106 ust. 1</w:t>
      </w:r>
      <w:r w:rsidR="007C2C15" w:rsidRPr="00D84154">
        <w:rPr>
          <w:rFonts w:ascii="Times New Roman" w:hAnsi="Times New Roman" w:cs="Times New Roman"/>
          <w:color w:val="000000" w:themeColor="text1"/>
          <w:sz w:val="24"/>
          <w:szCs w:val="24"/>
        </w:rPr>
        <w:t xml:space="preserve"> u</w:t>
      </w:r>
      <w:r w:rsidR="009B6115" w:rsidRPr="00D84154">
        <w:rPr>
          <w:rFonts w:ascii="Times New Roman" w:hAnsi="Times New Roman" w:cs="Times New Roman"/>
          <w:color w:val="000000" w:themeColor="text1"/>
          <w:sz w:val="24"/>
          <w:szCs w:val="24"/>
        </w:rPr>
        <w:t>stawy</w:t>
      </w:r>
      <w:r w:rsidR="00C33E42" w:rsidRPr="00D84154">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Proponowany ust. 1</w:t>
      </w:r>
      <w:r w:rsidR="00C33E42" w:rsidRPr="00D84154">
        <w:rPr>
          <w:rFonts w:ascii="Times New Roman" w:hAnsi="Times New Roman" w:cs="Times New Roman"/>
          <w:color w:val="000000" w:themeColor="text1"/>
          <w:sz w:val="24"/>
          <w:szCs w:val="24"/>
        </w:rPr>
        <w:t>c</w:t>
      </w:r>
      <w:r w:rsidRPr="00D84154">
        <w:rPr>
          <w:rFonts w:ascii="Times New Roman" w:hAnsi="Times New Roman" w:cs="Times New Roman"/>
          <w:color w:val="000000" w:themeColor="text1"/>
          <w:sz w:val="24"/>
          <w:szCs w:val="24"/>
        </w:rPr>
        <w:t xml:space="preserve"> zawiera regulację</w:t>
      </w:r>
      <w:r w:rsidR="009B6115" w:rsidRPr="00D84154">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zgodnie z którą w sytuacji niewypłacalności tego związku przedsiębiorców, związek wzywa swoich członków do wniesienia wkładów w celu pokrycia kwoty kary. Zgodnie z projektowanym ust</w:t>
      </w:r>
      <w:r w:rsidR="00A627FF">
        <w:rPr>
          <w:rFonts w:ascii="Times New Roman" w:hAnsi="Times New Roman" w:cs="Times New Roman"/>
          <w:color w:val="000000" w:themeColor="text1"/>
          <w:sz w:val="24"/>
          <w:szCs w:val="24"/>
        </w:rPr>
        <w:t>. </w:t>
      </w:r>
      <w:r w:rsidRPr="00D84154">
        <w:rPr>
          <w:rFonts w:ascii="Times New Roman" w:hAnsi="Times New Roman" w:cs="Times New Roman"/>
          <w:color w:val="000000" w:themeColor="text1"/>
          <w:sz w:val="24"/>
          <w:szCs w:val="24"/>
        </w:rPr>
        <w:t>1</w:t>
      </w:r>
      <w:r w:rsidR="00C33E42" w:rsidRPr="00D84154">
        <w:rPr>
          <w:rFonts w:ascii="Times New Roman" w:hAnsi="Times New Roman" w:cs="Times New Roman"/>
          <w:color w:val="000000" w:themeColor="text1"/>
          <w:sz w:val="24"/>
          <w:szCs w:val="24"/>
        </w:rPr>
        <w:t>d</w:t>
      </w:r>
      <w:r w:rsidR="00A627FF">
        <w:rPr>
          <w:rFonts w:ascii="Times New Roman" w:hAnsi="Times New Roman" w:cs="Times New Roman"/>
          <w:color w:val="000000" w:themeColor="text1"/>
          <w:sz w:val="24"/>
          <w:szCs w:val="24"/>
        </w:rPr>
        <w:t>, w </w:t>
      </w:r>
      <w:r w:rsidRPr="00D84154">
        <w:rPr>
          <w:rFonts w:ascii="Times New Roman" w:hAnsi="Times New Roman" w:cs="Times New Roman"/>
          <w:color w:val="000000" w:themeColor="text1"/>
          <w:sz w:val="24"/>
          <w:szCs w:val="24"/>
        </w:rPr>
        <w:t>przypadku gdy wkłady, o których mowa w ust. 1</w:t>
      </w:r>
      <w:r w:rsidR="00C33E42" w:rsidRPr="00D84154">
        <w:rPr>
          <w:rFonts w:ascii="Times New Roman" w:hAnsi="Times New Roman" w:cs="Times New Roman"/>
          <w:color w:val="000000" w:themeColor="text1"/>
          <w:sz w:val="24"/>
          <w:szCs w:val="24"/>
        </w:rPr>
        <w:t>c</w:t>
      </w:r>
      <w:r w:rsidRPr="00D84154">
        <w:rPr>
          <w:rFonts w:ascii="Times New Roman" w:hAnsi="Times New Roman" w:cs="Times New Roman"/>
          <w:color w:val="000000" w:themeColor="text1"/>
          <w:sz w:val="24"/>
          <w:szCs w:val="24"/>
        </w:rPr>
        <w:t xml:space="preserve">, nie zostały wniesione w terminie wyznaczonym przez Prezesa Urzędu w kwocie pokrywającej w całości wysokość kary, Prezes Urzędu może żądać </w:t>
      </w:r>
      <w:r w:rsidR="00C55296" w:rsidRPr="00D84154">
        <w:rPr>
          <w:rFonts w:ascii="Times New Roman" w:hAnsi="Times New Roman" w:cs="Times New Roman"/>
          <w:sz w:val="24"/>
          <w:szCs w:val="24"/>
        </w:rPr>
        <w:t xml:space="preserve">zapłaty pozostałej do uiszczenia kwoty </w:t>
      </w:r>
      <w:r w:rsidRPr="00D84154">
        <w:rPr>
          <w:rFonts w:ascii="Times New Roman" w:hAnsi="Times New Roman" w:cs="Times New Roman"/>
          <w:color w:val="000000" w:themeColor="text1"/>
          <w:sz w:val="24"/>
          <w:szCs w:val="24"/>
        </w:rPr>
        <w:t xml:space="preserve">kary od każdego z przedsiębiorców, którego przedstawiciele wchodzili w skład organów decyzyjnych tego związku. </w:t>
      </w:r>
      <w:r w:rsidR="00A627FF">
        <w:rPr>
          <w:rFonts w:ascii="Times New Roman" w:hAnsi="Times New Roman" w:cs="Times New Roman"/>
          <w:color w:val="000000" w:themeColor="text1"/>
          <w:sz w:val="24"/>
          <w:szCs w:val="24"/>
        </w:rPr>
        <w:t>Jednakże w </w:t>
      </w:r>
      <w:r w:rsidR="00770092" w:rsidRPr="00D84154">
        <w:rPr>
          <w:rFonts w:ascii="Times New Roman" w:hAnsi="Times New Roman" w:cs="Times New Roman"/>
          <w:color w:val="000000" w:themeColor="text1"/>
          <w:sz w:val="24"/>
          <w:szCs w:val="24"/>
        </w:rPr>
        <w:t xml:space="preserve">przypadku gdy przedsiębiorcy ci nie uiścili na ww. żądanie w całości kwoty kary nałożonej na związek przedsiębiorców, Prezes Urzędu będzie mógł zażądać zapłaty pozostałej do uiszczenia kwoty tej kary od każdego przedsiębiorcy będącego członkiem tego związku przedsiębiorców, jeżeli przedsiębiorca ten prowadził działalność na rynku, na którym doszło </w:t>
      </w:r>
      <w:r w:rsidR="00770092" w:rsidRPr="00D84154">
        <w:rPr>
          <w:rFonts w:ascii="Times New Roman" w:hAnsi="Times New Roman" w:cs="Times New Roman"/>
          <w:color w:val="000000" w:themeColor="text1"/>
          <w:sz w:val="24"/>
          <w:szCs w:val="24"/>
        </w:rPr>
        <w:lastRenderedPageBreak/>
        <w:t xml:space="preserve">do naruszenia (projektowany art. 106 ust. 1e). </w:t>
      </w:r>
      <w:r w:rsidRPr="00D84154">
        <w:rPr>
          <w:rFonts w:ascii="Times New Roman" w:hAnsi="Times New Roman" w:cs="Times New Roman"/>
          <w:color w:val="000000" w:themeColor="text1"/>
          <w:sz w:val="24"/>
          <w:szCs w:val="24"/>
        </w:rPr>
        <w:t xml:space="preserve">Do żądania Prezesa UOKiK </w:t>
      </w:r>
      <w:r w:rsidR="007F0EC0" w:rsidRPr="00D84154">
        <w:rPr>
          <w:rFonts w:ascii="Times New Roman" w:hAnsi="Times New Roman" w:cs="Times New Roman"/>
          <w:color w:val="000000" w:themeColor="text1"/>
          <w:sz w:val="24"/>
          <w:szCs w:val="24"/>
        </w:rPr>
        <w:t xml:space="preserve">przepisy </w:t>
      </w:r>
      <w:r w:rsidR="00A627FF">
        <w:rPr>
          <w:rFonts w:ascii="Times New Roman" w:hAnsi="Times New Roman" w:cs="Times New Roman"/>
          <w:color w:val="000000" w:themeColor="text1"/>
          <w:sz w:val="24"/>
          <w:szCs w:val="24"/>
        </w:rPr>
        <w:t>art. </w:t>
      </w:r>
      <w:r w:rsidRPr="00D84154">
        <w:rPr>
          <w:rFonts w:ascii="Times New Roman" w:hAnsi="Times New Roman" w:cs="Times New Roman"/>
          <w:color w:val="000000" w:themeColor="text1"/>
          <w:sz w:val="24"/>
          <w:szCs w:val="24"/>
        </w:rPr>
        <w:t xml:space="preserve">366 </w:t>
      </w:r>
      <w:r w:rsidR="009B6115" w:rsidRPr="00D84154">
        <w:rPr>
          <w:rFonts w:ascii="Times New Roman" w:hAnsi="Times New Roman" w:cs="Times New Roman"/>
          <w:color w:val="000000" w:themeColor="text1"/>
          <w:sz w:val="24"/>
          <w:szCs w:val="24"/>
        </w:rPr>
        <w:t xml:space="preserve">ustawy z dnia 23 kwietnia 1964 r. </w:t>
      </w:r>
      <w:r w:rsidR="0022608F">
        <w:rPr>
          <w:rFonts w:ascii="Times New Roman" w:hAnsi="Times New Roman" w:cs="Times New Roman"/>
          <w:color w:val="000000" w:themeColor="text1"/>
          <w:sz w:val="24"/>
          <w:szCs w:val="24"/>
        </w:rPr>
        <w:t>–</w:t>
      </w:r>
      <w:r w:rsidR="009B6115" w:rsidRPr="00D84154">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Kodeks cywiln</w:t>
      </w:r>
      <w:r w:rsidR="009B6115" w:rsidRPr="00D84154">
        <w:rPr>
          <w:rFonts w:ascii="Times New Roman" w:hAnsi="Times New Roman" w:cs="Times New Roman"/>
          <w:color w:val="000000" w:themeColor="text1"/>
          <w:sz w:val="24"/>
          <w:szCs w:val="24"/>
        </w:rPr>
        <w:t>y</w:t>
      </w:r>
      <w:r w:rsidRPr="00D84154">
        <w:rPr>
          <w:rFonts w:ascii="Times New Roman" w:hAnsi="Times New Roman" w:cs="Times New Roman"/>
          <w:color w:val="000000" w:themeColor="text1"/>
          <w:sz w:val="24"/>
          <w:szCs w:val="24"/>
        </w:rPr>
        <w:t xml:space="preserve"> </w:t>
      </w:r>
      <w:r w:rsidR="009B6115" w:rsidRPr="00D84154">
        <w:rPr>
          <w:rFonts w:ascii="Times New Roman" w:hAnsi="Times New Roman" w:cs="Times New Roman"/>
          <w:color w:val="000000" w:themeColor="text1"/>
          <w:sz w:val="24"/>
          <w:szCs w:val="24"/>
        </w:rPr>
        <w:t xml:space="preserve">będą stosowane </w:t>
      </w:r>
      <w:r w:rsidRPr="00D84154">
        <w:rPr>
          <w:rFonts w:ascii="Times New Roman" w:hAnsi="Times New Roman" w:cs="Times New Roman"/>
          <w:color w:val="000000" w:themeColor="text1"/>
          <w:sz w:val="24"/>
          <w:szCs w:val="24"/>
        </w:rPr>
        <w:t xml:space="preserve">odpowiednio (zobowiązania solidarne). Dodatkowo, zgodnie z </w:t>
      </w:r>
      <w:r w:rsidR="00770092" w:rsidRPr="00D84154">
        <w:rPr>
          <w:rFonts w:ascii="Times New Roman" w:hAnsi="Times New Roman" w:cs="Times New Roman"/>
          <w:color w:val="000000" w:themeColor="text1"/>
          <w:sz w:val="24"/>
          <w:szCs w:val="24"/>
        </w:rPr>
        <w:t xml:space="preserve">art. 106 </w:t>
      </w:r>
      <w:r w:rsidRPr="00D84154">
        <w:rPr>
          <w:rFonts w:ascii="Times New Roman" w:hAnsi="Times New Roman" w:cs="Times New Roman"/>
          <w:color w:val="000000" w:themeColor="text1"/>
          <w:sz w:val="24"/>
          <w:szCs w:val="24"/>
        </w:rPr>
        <w:t>ust. 1</w:t>
      </w:r>
      <w:r w:rsidR="00C33E42" w:rsidRPr="00D84154">
        <w:rPr>
          <w:rFonts w:ascii="Times New Roman" w:hAnsi="Times New Roman" w:cs="Times New Roman"/>
          <w:color w:val="000000" w:themeColor="text1"/>
          <w:sz w:val="24"/>
          <w:szCs w:val="24"/>
        </w:rPr>
        <w:t>f</w:t>
      </w:r>
      <w:r w:rsidR="0022608F">
        <w:rPr>
          <w:rFonts w:ascii="Times New Roman" w:hAnsi="Times New Roman" w:cs="Times New Roman"/>
          <w:color w:val="000000" w:themeColor="text1"/>
          <w:sz w:val="24"/>
          <w:szCs w:val="24"/>
        </w:rPr>
        <w:t>,</w:t>
      </w:r>
      <w:r w:rsidR="00F65A77">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Prezes Urzędu nie będzie mógł żądać uiszc</w:t>
      </w:r>
      <w:r w:rsidR="008B613C" w:rsidRPr="00D84154">
        <w:rPr>
          <w:rFonts w:ascii="Times New Roman" w:hAnsi="Times New Roman" w:cs="Times New Roman"/>
          <w:color w:val="000000" w:themeColor="text1"/>
          <w:sz w:val="24"/>
          <w:szCs w:val="24"/>
        </w:rPr>
        <w:t>zenia kary, na podstawie ust. 1d i ust. 1e</w:t>
      </w:r>
      <w:r w:rsidRPr="00D84154">
        <w:rPr>
          <w:rFonts w:ascii="Times New Roman" w:hAnsi="Times New Roman" w:cs="Times New Roman"/>
          <w:color w:val="000000" w:themeColor="text1"/>
          <w:sz w:val="24"/>
          <w:szCs w:val="24"/>
        </w:rPr>
        <w:t xml:space="preserve"> od przedsiębiorców, którzy wykażą, że nie wdrożyli decyzji związku przedsiębiorców powodującej n</w:t>
      </w:r>
      <w:r w:rsidR="00A627FF">
        <w:rPr>
          <w:rFonts w:ascii="Times New Roman" w:hAnsi="Times New Roman" w:cs="Times New Roman"/>
          <w:color w:val="000000" w:themeColor="text1"/>
          <w:sz w:val="24"/>
          <w:szCs w:val="24"/>
        </w:rPr>
        <w:t>aruszenie, o którym mowa w ust. </w:t>
      </w:r>
      <w:r w:rsidRPr="00D84154">
        <w:rPr>
          <w:rFonts w:ascii="Times New Roman" w:hAnsi="Times New Roman" w:cs="Times New Roman"/>
          <w:color w:val="000000" w:themeColor="text1"/>
          <w:sz w:val="24"/>
          <w:szCs w:val="24"/>
        </w:rPr>
        <w:t>1 pkt 1 lub 2</w:t>
      </w:r>
      <w:r w:rsidR="009B6115" w:rsidRPr="00D84154">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w:t>
      </w:r>
      <w:r w:rsidR="008222C3" w:rsidRPr="00D84154">
        <w:rPr>
          <w:rFonts w:ascii="Times New Roman" w:hAnsi="Times New Roman" w:cs="Times New Roman"/>
          <w:color w:val="000000" w:themeColor="text1"/>
          <w:sz w:val="24"/>
          <w:szCs w:val="24"/>
        </w:rPr>
        <w:t>i</w:t>
      </w:r>
      <w:r w:rsidRPr="00D84154">
        <w:rPr>
          <w:rFonts w:ascii="Times New Roman" w:hAnsi="Times New Roman" w:cs="Times New Roman"/>
          <w:color w:val="000000" w:themeColor="text1"/>
          <w:sz w:val="24"/>
          <w:szCs w:val="24"/>
        </w:rPr>
        <w:t xml:space="preserve"> nie wiedzieli o istnieniu takiej decyzji albo aktywnie zdystansowali się od niej przed wszczęciem postępowania.</w:t>
      </w:r>
    </w:p>
    <w:p w14:paraId="11A564AA" w14:textId="77777777" w:rsidR="00A84ACD" w:rsidRPr="00D84154" w:rsidRDefault="00B62658" w:rsidP="00D84154">
      <w:pPr>
        <w:spacing w:before="120" w:after="0" w:line="360" w:lineRule="auto"/>
        <w:jc w:val="both"/>
        <w:rPr>
          <w:rFonts w:ascii="Times New Roman" w:hAnsi="Times New Roman" w:cs="Times New Roman"/>
          <w:b/>
          <w:bCs/>
          <w:color w:val="000000" w:themeColor="text1"/>
          <w:sz w:val="24"/>
          <w:szCs w:val="24"/>
        </w:rPr>
      </w:pPr>
      <w:r w:rsidRPr="00D84154">
        <w:rPr>
          <w:rFonts w:ascii="Times New Roman" w:hAnsi="Times New Roman" w:cs="Times New Roman"/>
          <w:b/>
          <w:bCs/>
          <w:color w:val="000000" w:themeColor="text1"/>
          <w:sz w:val="24"/>
          <w:szCs w:val="24"/>
        </w:rPr>
        <w:t>Kara pieniężna obliczana proporcjonalnie do światowego całkowitego obrotu przedsiębiorstw</w:t>
      </w:r>
    </w:p>
    <w:p w14:paraId="11138702" w14:textId="28089E1E" w:rsidR="00A84ACD" w:rsidRPr="00D84154" w:rsidRDefault="00B62658"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Dyrektywa przewiduje w art. 13 ust. 2, że kary pieniężne powinny być nakładane proporcjonalnie do światowego całkowitego obrotu przedsiębiorstw w przypadku umyślnego bądź nieumyślnego naruszenia wymienionego w tym przepis</w:t>
      </w:r>
      <w:r w:rsidR="00A627FF">
        <w:rPr>
          <w:rFonts w:ascii="Times New Roman" w:hAnsi="Times New Roman" w:cs="Times New Roman"/>
          <w:color w:val="000000" w:themeColor="text1"/>
          <w:sz w:val="24"/>
          <w:szCs w:val="24"/>
        </w:rPr>
        <w:t>ie (lista naruszeń wskazanych w </w:t>
      </w:r>
      <w:r w:rsidRPr="00D84154">
        <w:rPr>
          <w:rFonts w:ascii="Times New Roman" w:hAnsi="Times New Roman" w:cs="Times New Roman"/>
          <w:color w:val="000000" w:themeColor="text1"/>
          <w:sz w:val="24"/>
          <w:szCs w:val="24"/>
        </w:rPr>
        <w:t>art. 13 ust. 2 dotyczy naruszeń</w:t>
      </w:r>
      <w:r w:rsidR="00B37CC3" w:rsidRPr="00D84154">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do których doszło w trakcie bądź w związku z kontrolą oraz niezastosowania się do decyzji wydawanych przez organy ochrony konkurencji). Nakładanie kar za czyny określone w art. 13 ust. 2 ma na celu zapewnienie</w:t>
      </w:r>
      <w:r w:rsidR="009410F8">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w:t>
      </w:r>
      <w:r w:rsidR="00B37CC3" w:rsidRPr="00D84154">
        <w:rPr>
          <w:rFonts w:ascii="Times New Roman" w:hAnsi="Times New Roman" w:cs="Times New Roman"/>
          <w:color w:val="000000" w:themeColor="text1"/>
          <w:sz w:val="24"/>
          <w:szCs w:val="24"/>
        </w:rPr>
        <w:t>a</w:t>
      </w:r>
      <w:r w:rsidRPr="00D84154">
        <w:rPr>
          <w:rFonts w:ascii="Times New Roman" w:hAnsi="Times New Roman" w:cs="Times New Roman"/>
          <w:color w:val="000000" w:themeColor="text1"/>
          <w:sz w:val="24"/>
          <w:szCs w:val="24"/>
        </w:rPr>
        <w:t>by przedsiębiorcy byli zmotywowani do respektowania działań dochodzeniowych oraz decyzji organów ochrony konkurencji.</w:t>
      </w:r>
    </w:p>
    <w:p w14:paraId="352F0283" w14:textId="376325A4" w:rsidR="00A84ACD" w:rsidRPr="00D84154" w:rsidRDefault="00B62658"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Odpowiednikiem art. 13 ust. 2 </w:t>
      </w:r>
      <w:r w:rsidR="00B37CC3"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yrektywy w ustawie jest art. 106 ust. 2, który przewiduje sankcje dla przedsiębiorców, którzy nie współpracują z Prezesem UOKiK na etapie gromadzenia materiału dowodowego lub też przekazują organowi antymonopolowemu informacje lub dokumenty, które są w różny sposób wadliwe (błędne)</w:t>
      </w:r>
      <w:r w:rsidR="009410F8">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oraz przewiduj</w:t>
      </w:r>
      <w:r w:rsidR="009410F8">
        <w:rPr>
          <w:rFonts w:ascii="Times New Roman" w:hAnsi="Times New Roman" w:cs="Times New Roman"/>
          <w:color w:val="000000" w:themeColor="text1"/>
          <w:sz w:val="24"/>
          <w:szCs w:val="24"/>
        </w:rPr>
        <w:t>e</w:t>
      </w:r>
      <w:r w:rsidRPr="00D84154">
        <w:rPr>
          <w:rFonts w:ascii="Times New Roman" w:hAnsi="Times New Roman" w:cs="Times New Roman"/>
          <w:color w:val="000000" w:themeColor="text1"/>
          <w:sz w:val="24"/>
          <w:szCs w:val="24"/>
        </w:rPr>
        <w:t xml:space="preserve"> karę za naruszenia związane z kontrolą i przeszukaniem. Przewiduje on karę pieniężną w wysokości do 50 000 000 euro.</w:t>
      </w:r>
      <w:r w:rsidR="00F65A77">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Należy zauważyć, że sankcja ta wyma</w:t>
      </w:r>
      <w:r w:rsidR="00A627FF">
        <w:rPr>
          <w:rFonts w:ascii="Times New Roman" w:hAnsi="Times New Roman" w:cs="Times New Roman"/>
          <w:color w:val="000000" w:themeColor="text1"/>
          <w:sz w:val="24"/>
          <w:szCs w:val="24"/>
        </w:rPr>
        <w:t>ga dostosowania do art. 13 ust. </w:t>
      </w:r>
      <w:r w:rsidRPr="00D84154">
        <w:rPr>
          <w:rFonts w:ascii="Times New Roman" w:hAnsi="Times New Roman" w:cs="Times New Roman"/>
          <w:color w:val="000000" w:themeColor="text1"/>
          <w:sz w:val="24"/>
          <w:szCs w:val="24"/>
        </w:rPr>
        <w:t xml:space="preserve">2 </w:t>
      </w:r>
      <w:r w:rsidR="00B37CC3"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yrektywy, zgodnie z którym kara powinna być</w:t>
      </w:r>
      <w:r w:rsidR="00F65A77">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 xml:space="preserve">nakładana proporcjonalnie do światowego całkowitego obrotu przedsiębiorstw. Z uwagi na powyższe </w:t>
      </w:r>
      <w:r w:rsidR="009410F8" w:rsidRPr="00D84154">
        <w:rPr>
          <w:rFonts w:ascii="Times New Roman" w:hAnsi="Times New Roman" w:cs="Times New Roman"/>
          <w:color w:val="000000" w:themeColor="text1"/>
          <w:sz w:val="24"/>
          <w:szCs w:val="24"/>
        </w:rPr>
        <w:t xml:space="preserve">jest </w:t>
      </w:r>
      <w:r w:rsidRPr="00D84154">
        <w:rPr>
          <w:rFonts w:ascii="Times New Roman" w:hAnsi="Times New Roman" w:cs="Times New Roman"/>
          <w:color w:val="000000" w:themeColor="text1"/>
          <w:sz w:val="24"/>
          <w:szCs w:val="24"/>
        </w:rPr>
        <w:t xml:space="preserve">konieczna zmiana brzmienia przepisu polegająca na zmianie sposobu ustalania kary przez ustalenie jej maksymalnego pułapu określonego kwotowo na pułap określony jako procent obrotu (kara pieniężna nie większa niż 3% obrotu osiągniętego w roku obrotowym poprzedzającym rok nałożenia kary). Zaproponowany w projekcie maksymalny pułap kary </w:t>
      </w:r>
      <w:r w:rsidR="00E00076" w:rsidRPr="00D84154">
        <w:rPr>
          <w:rFonts w:ascii="Times New Roman" w:hAnsi="Times New Roman" w:cs="Times New Roman"/>
          <w:color w:val="000000" w:themeColor="text1"/>
          <w:sz w:val="24"/>
          <w:szCs w:val="24"/>
        </w:rPr>
        <w:t xml:space="preserve">i w konsekwencji stopień jej odczuwalności </w:t>
      </w:r>
      <w:r w:rsidRPr="00D84154">
        <w:rPr>
          <w:rFonts w:ascii="Times New Roman" w:hAnsi="Times New Roman" w:cs="Times New Roman"/>
          <w:color w:val="000000" w:themeColor="text1"/>
          <w:sz w:val="24"/>
          <w:szCs w:val="24"/>
        </w:rPr>
        <w:t xml:space="preserve">będzie realizować wymogi stawiane przez art. 13 ust. 2 </w:t>
      </w:r>
      <w:r w:rsidR="00B37CC3"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yrektywy krajowym przepisom dotyczącym kar pieniężnych w zakresie ich proporcjonalności, prewencyjnego charakteru i skuteczności.</w:t>
      </w:r>
      <w:r w:rsidR="00E00076" w:rsidRPr="00D84154">
        <w:rPr>
          <w:rFonts w:ascii="Times New Roman" w:hAnsi="Times New Roman" w:cs="Times New Roman"/>
          <w:color w:val="000000" w:themeColor="text1"/>
          <w:sz w:val="24"/>
          <w:szCs w:val="24"/>
        </w:rPr>
        <w:t xml:space="preserve"> </w:t>
      </w:r>
      <w:r w:rsidR="005C3682" w:rsidRPr="00D84154">
        <w:rPr>
          <w:rFonts w:ascii="Times New Roman" w:hAnsi="Times New Roman" w:cs="Times New Roman"/>
          <w:sz w:val="24"/>
          <w:szCs w:val="24"/>
        </w:rPr>
        <w:t>Rozwiązanie takie zos</w:t>
      </w:r>
      <w:r w:rsidR="00A627FF">
        <w:rPr>
          <w:rFonts w:ascii="Times New Roman" w:hAnsi="Times New Roman" w:cs="Times New Roman"/>
          <w:sz w:val="24"/>
          <w:szCs w:val="24"/>
        </w:rPr>
        <w:t>tało zastosowane w art. 23 ust. </w:t>
      </w:r>
      <w:r w:rsidR="005C3682" w:rsidRPr="00D84154">
        <w:rPr>
          <w:rFonts w:ascii="Times New Roman" w:hAnsi="Times New Roman" w:cs="Times New Roman"/>
          <w:sz w:val="24"/>
          <w:szCs w:val="24"/>
        </w:rPr>
        <w:t xml:space="preserve">1 rozporządzenia 1/2003. Pozwala ono na lepsze uwzględnienie potencjału gospodarczego </w:t>
      </w:r>
      <w:r w:rsidR="005C3682" w:rsidRPr="00D84154">
        <w:rPr>
          <w:rFonts w:ascii="Times New Roman" w:hAnsi="Times New Roman" w:cs="Times New Roman"/>
          <w:sz w:val="24"/>
          <w:szCs w:val="24"/>
        </w:rPr>
        <w:lastRenderedPageBreak/>
        <w:t>przedsiębiorcy niż dotychczasowy maksymalny poziom kary określony jako kwota. Określenie maksymalnego poziomu kary proporcjonalnie do osiąganego przychodu zapewni z jednej strony, że kary nakładane na mniejszych przedsiębiorców nie będą nieproporcjonalnie wysokie, umożliwi również nakładanie proporcjonalnych i zapewniających efekt odstraszający kar na największych przedsiębiorców, dla których nawet kara na poziomie 50 000 000 euro mogłaby nie być dostatecznie dotkliwa.</w:t>
      </w:r>
    </w:p>
    <w:p w14:paraId="67802A90" w14:textId="74AEAD37" w:rsidR="00A84ACD" w:rsidRPr="00D84154" w:rsidRDefault="00A84ACD"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Ponadto konieczne </w:t>
      </w:r>
      <w:r w:rsidR="00155E9E" w:rsidRPr="00D84154">
        <w:rPr>
          <w:rFonts w:ascii="Times New Roman" w:hAnsi="Times New Roman" w:cs="Times New Roman"/>
          <w:color w:val="000000" w:themeColor="text1"/>
          <w:sz w:val="24"/>
          <w:szCs w:val="24"/>
        </w:rPr>
        <w:t xml:space="preserve">jest </w:t>
      </w:r>
      <w:r w:rsidRPr="00D84154">
        <w:rPr>
          <w:rFonts w:ascii="Times New Roman" w:hAnsi="Times New Roman" w:cs="Times New Roman"/>
          <w:color w:val="000000" w:themeColor="text1"/>
          <w:sz w:val="24"/>
          <w:szCs w:val="24"/>
        </w:rPr>
        <w:t xml:space="preserve">rozszerzenie określonego w art. 106 ust. 2 </w:t>
      </w:r>
      <w:r w:rsidR="00C01DCE" w:rsidRPr="00D84154">
        <w:rPr>
          <w:rFonts w:ascii="Times New Roman" w:hAnsi="Times New Roman" w:cs="Times New Roman"/>
          <w:color w:val="000000" w:themeColor="text1"/>
          <w:sz w:val="24"/>
          <w:szCs w:val="24"/>
        </w:rPr>
        <w:t xml:space="preserve">ustawy </w:t>
      </w:r>
      <w:r w:rsidRPr="00D84154">
        <w:rPr>
          <w:rFonts w:ascii="Times New Roman" w:hAnsi="Times New Roman" w:cs="Times New Roman"/>
          <w:color w:val="000000" w:themeColor="text1"/>
          <w:sz w:val="24"/>
          <w:szCs w:val="24"/>
        </w:rPr>
        <w:t xml:space="preserve">katalogu czynów podlegających karze pieniężnej nakładanej przez Prezesa UOKiK o możliwość nałożenia kary za niewykonanie decyzji Prezesa UOKiK. W związku z tym proponuje się dodanie </w:t>
      </w:r>
      <w:r w:rsidR="00BD7B33" w:rsidRPr="00D84154">
        <w:rPr>
          <w:rFonts w:ascii="Times New Roman" w:hAnsi="Times New Roman" w:cs="Times New Roman"/>
          <w:color w:val="000000" w:themeColor="text1"/>
          <w:sz w:val="24"/>
          <w:szCs w:val="24"/>
        </w:rPr>
        <w:t>przepisu</w:t>
      </w:r>
      <w:r w:rsidR="00F4314C">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zgodnie z którym </w:t>
      </w:r>
      <w:r w:rsidR="00F4314C" w:rsidRPr="00D84154">
        <w:rPr>
          <w:rFonts w:ascii="Times New Roman" w:hAnsi="Times New Roman" w:cs="Times New Roman"/>
          <w:color w:val="000000" w:themeColor="text1"/>
          <w:sz w:val="24"/>
          <w:szCs w:val="24"/>
        </w:rPr>
        <w:t xml:space="preserve">będzie </w:t>
      </w:r>
      <w:r w:rsidRPr="00D84154">
        <w:rPr>
          <w:rFonts w:ascii="Times New Roman" w:hAnsi="Times New Roman" w:cs="Times New Roman"/>
          <w:color w:val="000000" w:themeColor="text1"/>
          <w:sz w:val="24"/>
          <w:szCs w:val="24"/>
        </w:rPr>
        <w:t>możliwe nałożenie na przedsiębiorcę kary pieniężnej</w:t>
      </w:r>
      <w:r w:rsidR="003B7FE6">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w przypadku gdy przedsiębiorca ten choćby nieumyślnie nie wykonuje</w:t>
      </w:r>
      <w:r w:rsidR="00A627FF">
        <w:rPr>
          <w:rFonts w:ascii="Times New Roman" w:hAnsi="Times New Roman" w:cs="Times New Roman"/>
          <w:color w:val="000000" w:themeColor="text1"/>
          <w:sz w:val="24"/>
          <w:szCs w:val="24"/>
        </w:rPr>
        <w:t xml:space="preserve"> decyzji, o których mowa w art. </w:t>
      </w:r>
      <w:r w:rsidRPr="00D84154">
        <w:rPr>
          <w:rFonts w:ascii="Times New Roman" w:hAnsi="Times New Roman" w:cs="Times New Roman"/>
          <w:color w:val="000000" w:themeColor="text1"/>
          <w:sz w:val="24"/>
          <w:szCs w:val="24"/>
        </w:rPr>
        <w:t>10 ust. 4 i 5, art. 12 ust. 1 i art. 89 ust. 1</w:t>
      </w:r>
      <w:r w:rsidR="00C01DCE" w:rsidRPr="00D84154">
        <w:rPr>
          <w:rFonts w:ascii="Times New Roman" w:hAnsi="Times New Roman" w:cs="Times New Roman"/>
          <w:color w:val="000000" w:themeColor="text1"/>
          <w:sz w:val="24"/>
          <w:szCs w:val="24"/>
        </w:rPr>
        <w:t xml:space="preserve"> ustawy</w:t>
      </w:r>
      <w:r w:rsidRPr="00D84154">
        <w:rPr>
          <w:rFonts w:ascii="Times New Roman" w:hAnsi="Times New Roman" w:cs="Times New Roman"/>
          <w:color w:val="000000" w:themeColor="text1"/>
          <w:sz w:val="24"/>
          <w:szCs w:val="24"/>
        </w:rPr>
        <w:t>.</w:t>
      </w:r>
    </w:p>
    <w:p w14:paraId="46E8AEB0" w14:textId="5F128089" w:rsidR="00637434" w:rsidRPr="00D84154" w:rsidRDefault="00637434"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Ponadto w projekcie zaproponowano (projektowany art. 106 ust. 2a</w:t>
      </w:r>
      <w:r w:rsidR="00C01DCE" w:rsidRPr="00D84154">
        <w:rPr>
          <w:rFonts w:ascii="Times New Roman" w:hAnsi="Times New Roman" w:cs="Times New Roman"/>
          <w:color w:val="000000" w:themeColor="text1"/>
          <w:sz w:val="24"/>
          <w:szCs w:val="24"/>
        </w:rPr>
        <w:t xml:space="preserve"> ustawy</w:t>
      </w:r>
      <w:r w:rsidRPr="00D84154">
        <w:rPr>
          <w:rFonts w:ascii="Times New Roman" w:hAnsi="Times New Roman" w:cs="Times New Roman"/>
          <w:color w:val="000000" w:themeColor="text1"/>
          <w:sz w:val="24"/>
          <w:szCs w:val="24"/>
        </w:rPr>
        <w:t xml:space="preserve">) kary za niestawienie się przedsiębiorcy na przesłuchaniu, o którym mowa w art. 52, art. 53a, lub na przesłuchaniu na rozprawie, o której mowa w art. 60. Prezes Urzędu będzie mógł nałożyć taką karę w sytuacji, gdy na przesłuchaniu nie stawia się przedsiębiorca – osoba fizyczna prowadząca działalność gospodarczą albo osoba upoważniona do stawienia się na przesłuchaniu w imieniu przedsiębiorcy. Przepis ten wdraża art. 13 ust. 2 lit. e </w:t>
      </w:r>
      <w:r w:rsidR="00C01DCE" w:rsidRPr="00D84154">
        <w:rPr>
          <w:rFonts w:ascii="Times New Roman" w:hAnsi="Times New Roman" w:cs="Times New Roman"/>
          <w:color w:val="000000" w:themeColor="text1"/>
          <w:sz w:val="24"/>
          <w:szCs w:val="24"/>
        </w:rPr>
        <w:t>d</w:t>
      </w:r>
      <w:r w:rsidR="00A627FF">
        <w:rPr>
          <w:rFonts w:ascii="Times New Roman" w:hAnsi="Times New Roman" w:cs="Times New Roman"/>
          <w:color w:val="000000" w:themeColor="text1"/>
          <w:sz w:val="24"/>
          <w:szCs w:val="24"/>
        </w:rPr>
        <w:t>yrektywy, z </w:t>
      </w:r>
      <w:r w:rsidRPr="00D84154">
        <w:rPr>
          <w:rFonts w:ascii="Times New Roman" w:hAnsi="Times New Roman" w:cs="Times New Roman"/>
          <w:color w:val="000000" w:themeColor="text1"/>
          <w:sz w:val="24"/>
          <w:szCs w:val="24"/>
        </w:rPr>
        <w:t>którego wynika nakaz dla państw członkowskich UE wprowadzenia kar za niestawienie się przedsiębiorstw lub związków przedsiębiorstw na przesłuchaniu.</w:t>
      </w:r>
    </w:p>
    <w:p w14:paraId="3AEDC163" w14:textId="77777777" w:rsidR="00A84ACD" w:rsidRPr="00D84154" w:rsidRDefault="00A84ACD" w:rsidP="00D84154">
      <w:pPr>
        <w:spacing w:before="120" w:after="0" w:line="360" w:lineRule="auto"/>
        <w:jc w:val="both"/>
        <w:rPr>
          <w:rFonts w:ascii="Times New Roman" w:hAnsi="Times New Roman" w:cs="Times New Roman"/>
          <w:b/>
          <w:bCs/>
          <w:color w:val="000000" w:themeColor="text1"/>
          <w:sz w:val="24"/>
          <w:szCs w:val="24"/>
        </w:rPr>
      </w:pPr>
      <w:r w:rsidRPr="00D84154">
        <w:rPr>
          <w:rFonts w:ascii="Times New Roman" w:hAnsi="Times New Roman" w:cs="Times New Roman"/>
          <w:b/>
          <w:bCs/>
          <w:color w:val="000000" w:themeColor="text1"/>
          <w:sz w:val="24"/>
          <w:szCs w:val="24"/>
        </w:rPr>
        <w:t>Okresowe kary pieniężne</w:t>
      </w:r>
    </w:p>
    <w:p w14:paraId="4E20BC18" w14:textId="04A89335" w:rsidR="00A84ACD" w:rsidRPr="00D84154" w:rsidRDefault="00A84ACD"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Dyrektywa w art. 16 ust. 1 przewiduje nowy rodzaj kar – okresowe kary pieniężne, które są ustalane proporcjonalnie </w:t>
      </w:r>
      <w:r w:rsidRPr="00D84154">
        <w:rPr>
          <w:rFonts w:ascii="Times New Roman" w:hAnsi="Times New Roman" w:cs="Times New Roman"/>
          <w:bCs/>
          <w:color w:val="000000" w:themeColor="text1"/>
          <w:sz w:val="24"/>
          <w:szCs w:val="24"/>
        </w:rPr>
        <w:t>do średniego dziennego całkowitego światowego obrotu</w:t>
      </w:r>
      <w:r w:rsidRPr="00D84154">
        <w:rPr>
          <w:rFonts w:ascii="Times New Roman" w:hAnsi="Times New Roman" w:cs="Times New Roman"/>
          <w:color w:val="000000" w:themeColor="text1"/>
          <w:sz w:val="24"/>
          <w:szCs w:val="24"/>
        </w:rPr>
        <w:t xml:space="preserve"> przedsiębiorstwa lub związku przedsiębiorstw uzyskanego w poprzedzającym roku obrotowym i liczonego od daty wskazanej w tej decyzji. Celem tych kar jest nakłonienie przedsiębiorstwa do</w:t>
      </w:r>
    </w:p>
    <w:p w14:paraId="58DCC959" w14:textId="70364B9D" w:rsidR="00A84ACD" w:rsidRPr="00D84154" w:rsidRDefault="00A84ACD" w:rsidP="00D84154">
      <w:pPr>
        <w:pStyle w:val="Akapitzlist"/>
        <w:numPr>
          <w:ilvl w:val="0"/>
          <w:numId w:val="29"/>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dostarczenia pełnych i prawidłowych infor</w:t>
      </w:r>
      <w:r w:rsidR="00A627FF">
        <w:rPr>
          <w:rFonts w:ascii="Times New Roman" w:hAnsi="Times New Roman" w:cs="Times New Roman"/>
          <w:color w:val="000000" w:themeColor="text1"/>
          <w:sz w:val="24"/>
          <w:szCs w:val="24"/>
        </w:rPr>
        <w:t>macji w odpowiedzi na wniosek o </w:t>
      </w:r>
      <w:r w:rsidRPr="00D84154">
        <w:rPr>
          <w:rFonts w:ascii="Times New Roman" w:hAnsi="Times New Roman" w:cs="Times New Roman"/>
          <w:color w:val="000000" w:themeColor="text1"/>
          <w:sz w:val="24"/>
          <w:szCs w:val="24"/>
        </w:rPr>
        <w:t>informacje, o którym mowa w art. 8</w:t>
      </w:r>
      <w:r w:rsidR="00C01DCE" w:rsidRPr="00D84154">
        <w:rPr>
          <w:rFonts w:ascii="Times New Roman" w:hAnsi="Times New Roman" w:cs="Times New Roman"/>
          <w:color w:val="000000" w:themeColor="text1"/>
          <w:sz w:val="24"/>
          <w:szCs w:val="24"/>
        </w:rPr>
        <w:t xml:space="preserve"> dyrektywy</w:t>
      </w:r>
      <w:r w:rsidR="005F686E">
        <w:rPr>
          <w:rFonts w:ascii="Times New Roman" w:hAnsi="Times New Roman" w:cs="Times New Roman"/>
          <w:color w:val="000000" w:themeColor="text1"/>
          <w:sz w:val="24"/>
          <w:szCs w:val="24"/>
        </w:rPr>
        <w:t>;</w:t>
      </w:r>
    </w:p>
    <w:p w14:paraId="29253300" w14:textId="121ECDBD" w:rsidR="00A84ACD" w:rsidRPr="00D84154" w:rsidRDefault="00A84ACD" w:rsidP="00D84154">
      <w:pPr>
        <w:pStyle w:val="Akapitzlist"/>
        <w:numPr>
          <w:ilvl w:val="0"/>
          <w:numId w:val="29"/>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stawienia się na przesłuchaniu, o którym mowa w art. 9</w:t>
      </w:r>
      <w:r w:rsidR="00C01DCE" w:rsidRPr="00D84154">
        <w:rPr>
          <w:rFonts w:ascii="Times New Roman" w:hAnsi="Times New Roman" w:cs="Times New Roman"/>
          <w:color w:val="000000" w:themeColor="text1"/>
          <w:sz w:val="24"/>
          <w:szCs w:val="24"/>
        </w:rPr>
        <w:t xml:space="preserve"> dyrektywy</w:t>
      </w:r>
      <w:r w:rsidRPr="00D84154">
        <w:rPr>
          <w:rFonts w:ascii="Times New Roman" w:hAnsi="Times New Roman" w:cs="Times New Roman"/>
          <w:color w:val="000000" w:themeColor="text1"/>
          <w:sz w:val="24"/>
          <w:szCs w:val="24"/>
        </w:rPr>
        <w:t>.</w:t>
      </w:r>
    </w:p>
    <w:p w14:paraId="13224E69" w14:textId="6F3D79C6" w:rsidR="00A84ACD" w:rsidRPr="00D84154" w:rsidRDefault="00A84ACD"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Ponadto okresowe kary pieniężne, zgodnie z art. 16 ust. 2 </w:t>
      </w:r>
      <w:r w:rsidR="00C01DCE" w:rsidRPr="00D84154">
        <w:rPr>
          <w:rFonts w:ascii="Times New Roman" w:hAnsi="Times New Roman" w:cs="Times New Roman"/>
          <w:color w:val="000000" w:themeColor="text1"/>
          <w:sz w:val="24"/>
          <w:szCs w:val="24"/>
        </w:rPr>
        <w:t>dyrektywy</w:t>
      </w:r>
      <w:r w:rsidR="005F686E">
        <w:rPr>
          <w:rFonts w:ascii="Times New Roman" w:hAnsi="Times New Roman" w:cs="Times New Roman"/>
          <w:color w:val="000000" w:themeColor="text1"/>
          <w:sz w:val="24"/>
          <w:szCs w:val="24"/>
        </w:rPr>
        <w:t>,</w:t>
      </w:r>
      <w:r w:rsidR="00F65A77">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mog</w:t>
      </w:r>
      <w:r w:rsidR="00C01DCE" w:rsidRPr="00D84154">
        <w:rPr>
          <w:rFonts w:ascii="Times New Roman" w:hAnsi="Times New Roman" w:cs="Times New Roman"/>
          <w:color w:val="000000" w:themeColor="text1"/>
          <w:sz w:val="24"/>
          <w:szCs w:val="24"/>
        </w:rPr>
        <w:t>ą</w:t>
      </w:r>
      <w:r w:rsidRPr="00D84154">
        <w:rPr>
          <w:rFonts w:ascii="Times New Roman" w:hAnsi="Times New Roman" w:cs="Times New Roman"/>
          <w:color w:val="000000" w:themeColor="text1"/>
          <w:sz w:val="24"/>
          <w:szCs w:val="24"/>
        </w:rPr>
        <w:t xml:space="preserve"> być </w:t>
      </w:r>
      <w:r w:rsidR="00A627FF">
        <w:rPr>
          <w:rFonts w:ascii="Times New Roman" w:hAnsi="Times New Roman" w:cs="Times New Roman"/>
          <w:color w:val="000000" w:themeColor="text1"/>
          <w:sz w:val="24"/>
          <w:szCs w:val="24"/>
        </w:rPr>
        <w:t>nakładane w </w:t>
      </w:r>
      <w:r w:rsidRPr="00D84154">
        <w:rPr>
          <w:rFonts w:ascii="Times New Roman" w:hAnsi="Times New Roman" w:cs="Times New Roman"/>
          <w:color w:val="000000" w:themeColor="text1"/>
          <w:sz w:val="24"/>
          <w:szCs w:val="24"/>
        </w:rPr>
        <w:t>celu nakłonienia przedsiębiorstwa do poddania się kontroli lub zastosowania się do decyzji.</w:t>
      </w:r>
    </w:p>
    <w:p w14:paraId="1048805B" w14:textId="09745BB0" w:rsidR="003B1898" w:rsidRPr="00D84154" w:rsidRDefault="00A84ACD"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lastRenderedPageBreak/>
        <w:t xml:space="preserve">Należy wskazać, że zgodnie z motywem 44 </w:t>
      </w:r>
      <w:r w:rsidR="00C01DCE"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 xml:space="preserve">yrektywy, okresowe kary pieniężne </w:t>
      </w:r>
      <w:r w:rsidR="00C01DCE" w:rsidRPr="00D84154">
        <w:rPr>
          <w:rFonts w:ascii="Times New Roman" w:hAnsi="Times New Roman" w:cs="Times New Roman"/>
          <w:color w:val="000000" w:themeColor="text1"/>
          <w:sz w:val="24"/>
          <w:szCs w:val="24"/>
        </w:rPr>
        <w:t>mogą</w:t>
      </w:r>
      <w:r w:rsidR="00F65A77">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być stosowane obok kar za nierespektowanie środków, o których mowa w art. 13 ust. 2</w:t>
      </w:r>
      <w:r w:rsidR="007C2C15" w:rsidRPr="00D84154">
        <w:rPr>
          <w:rFonts w:ascii="Times New Roman" w:hAnsi="Times New Roman" w:cs="Times New Roman"/>
          <w:color w:val="000000" w:themeColor="text1"/>
          <w:sz w:val="24"/>
          <w:szCs w:val="24"/>
        </w:rPr>
        <w:t xml:space="preserve"> </w:t>
      </w:r>
      <w:r w:rsidR="00C01DCE" w:rsidRPr="00D84154">
        <w:rPr>
          <w:rFonts w:ascii="Times New Roman" w:hAnsi="Times New Roman" w:cs="Times New Roman"/>
          <w:color w:val="000000" w:themeColor="text1"/>
          <w:sz w:val="24"/>
          <w:szCs w:val="24"/>
        </w:rPr>
        <w:t>d</w:t>
      </w:r>
      <w:r w:rsidR="007C2C15" w:rsidRPr="00D84154">
        <w:rPr>
          <w:rFonts w:ascii="Times New Roman" w:hAnsi="Times New Roman" w:cs="Times New Roman"/>
          <w:color w:val="000000" w:themeColor="text1"/>
          <w:sz w:val="24"/>
          <w:szCs w:val="24"/>
        </w:rPr>
        <w:t>yrektywy</w:t>
      </w:r>
      <w:r w:rsidRPr="00D84154">
        <w:rPr>
          <w:rFonts w:ascii="Times New Roman" w:hAnsi="Times New Roman" w:cs="Times New Roman"/>
          <w:color w:val="000000" w:themeColor="text1"/>
          <w:sz w:val="24"/>
          <w:szCs w:val="24"/>
        </w:rPr>
        <w:t>. Dyrektywa przewiduje więc możliwość nałożenia na przedsiębiorcę proporcjonalnej kary pieniężnej za niezastosowanie się przedsiębiorcy do decyzji stwierdzającej naruszenie oraz okresowej kary pieniężnej liczonej od daty wskazanej w decyzji nakładającej t</w:t>
      </w:r>
      <w:r w:rsidR="004D526C">
        <w:rPr>
          <w:rFonts w:ascii="Times New Roman" w:hAnsi="Times New Roman" w:cs="Times New Roman"/>
          <w:color w:val="000000" w:themeColor="text1"/>
          <w:sz w:val="24"/>
          <w:szCs w:val="24"/>
        </w:rPr>
        <w:t>ę</w:t>
      </w:r>
      <w:r w:rsidRPr="00D84154">
        <w:rPr>
          <w:rFonts w:ascii="Times New Roman" w:hAnsi="Times New Roman" w:cs="Times New Roman"/>
          <w:color w:val="000000" w:themeColor="text1"/>
          <w:sz w:val="24"/>
          <w:szCs w:val="24"/>
        </w:rPr>
        <w:t xml:space="preserve"> karę, która ma na celu nakłonienie przedsiębiorcy do zastosowania się przedsiębiorcy do wykonania tej samej decyzji stwierdzającej naruszenie.</w:t>
      </w:r>
    </w:p>
    <w:p w14:paraId="2626C998" w14:textId="6220C9BC" w:rsidR="00A84ACD" w:rsidRPr="00D84154" w:rsidRDefault="003B1898"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Podkreślić jednak należy, że inny jest cel kar przewidzianych w art. 106 ust. 2 i art. 107 u</w:t>
      </w:r>
      <w:r w:rsidR="00C01DCE" w:rsidRPr="00D84154">
        <w:rPr>
          <w:rFonts w:ascii="Times New Roman" w:hAnsi="Times New Roman" w:cs="Times New Roman"/>
          <w:color w:val="000000" w:themeColor="text1"/>
          <w:sz w:val="24"/>
          <w:szCs w:val="24"/>
        </w:rPr>
        <w:t>stawy</w:t>
      </w:r>
      <w:r w:rsidRPr="00D84154">
        <w:rPr>
          <w:rFonts w:ascii="Times New Roman" w:hAnsi="Times New Roman" w:cs="Times New Roman"/>
          <w:color w:val="000000" w:themeColor="text1"/>
          <w:sz w:val="24"/>
          <w:szCs w:val="24"/>
        </w:rPr>
        <w:t>. Kary, o których mowa w art. 106 ust. 2</w:t>
      </w:r>
      <w:r w:rsidR="004D526C">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dotyczą naruszeń p</w:t>
      </w:r>
      <w:r w:rsidR="00A627FF">
        <w:rPr>
          <w:rFonts w:ascii="Times New Roman" w:hAnsi="Times New Roman" w:cs="Times New Roman"/>
          <w:color w:val="000000" w:themeColor="text1"/>
          <w:sz w:val="24"/>
          <w:szCs w:val="24"/>
        </w:rPr>
        <w:t>rzepisów ustawy, zaistniałych w </w:t>
      </w:r>
      <w:r w:rsidRPr="00D84154">
        <w:rPr>
          <w:rFonts w:ascii="Times New Roman" w:hAnsi="Times New Roman" w:cs="Times New Roman"/>
          <w:color w:val="000000" w:themeColor="text1"/>
          <w:sz w:val="24"/>
          <w:szCs w:val="24"/>
        </w:rPr>
        <w:t>przeszłości, w okresie który został ustalony w postę</w:t>
      </w:r>
      <w:r w:rsidR="00A627FF">
        <w:rPr>
          <w:rFonts w:ascii="Times New Roman" w:hAnsi="Times New Roman" w:cs="Times New Roman"/>
          <w:color w:val="000000" w:themeColor="text1"/>
          <w:sz w:val="24"/>
          <w:szCs w:val="24"/>
        </w:rPr>
        <w:t>powaniu prowadzonym w sprawie i </w:t>
      </w:r>
      <w:r w:rsidRPr="00D84154">
        <w:rPr>
          <w:rFonts w:ascii="Times New Roman" w:hAnsi="Times New Roman" w:cs="Times New Roman"/>
          <w:color w:val="000000" w:themeColor="text1"/>
          <w:sz w:val="24"/>
          <w:szCs w:val="24"/>
        </w:rPr>
        <w:t>wskazanym w decyzji kończącej to postępowanie. Kary takie mają więc zasadniczo charakter prewencyjny, nieodbiegający od charakteru kar nakłada</w:t>
      </w:r>
      <w:r w:rsidR="00A627FF">
        <w:rPr>
          <w:rFonts w:ascii="Times New Roman" w:hAnsi="Times New Roman" w:cs="Times New Roman"/>
          <w:color w:val="000000" w:themeColor="text1"/>
          <w:sz w:val="24"/>
          <w:szCs w:val="24"/>
        </w:rPr>
        <w:t>nych na podstawie art. 106 ust. </w:t>
      </w:r>
      <w:r w:rsidRPr="00D84154">
        <w:rPr>
          <w:rFonts w:ascii="Times New Roman" w:hAnsi="Times New Roman" w:cs="Times New Roman"/>
          <w:color w:val="000000" w:themeColor="text1"/>
          <w:sz w:val="24"/>
          <w:szCs w:val="24"/>
        </w:rPr>
        <w:t xml:space="preserve">1 </w:t>
      </w:r>
      <w:r w:rsidR="00C01DCE" w:rsidRPr="00D84154">
        <w:rPr>
          <w:rFonts w:ascii="Times New Roman" w:hAnsi="Times New Roman" w:cs="Times New Roman"/>
          <w:color w:val="000000" w:themeColor="text1"/>
          <w:sz w:val="24"/>
          <w:szCs w:val="24"/>
        </w:rPr>
        <w:t>ustawy</w:t>
      </w:r>
      <w:r w:rsidRPr="00D84154">
        <w:rPr>
          <w:rFonts w:ascii="Times New Roman" w:hAnsi="Times New Roman" w:cs="Times New Roman"/>
          <w:color w:val="000000" w:themeColor="text1"/>
          <w:sz w:val="24"/>
          <w:szCs w:val="24"/>
        </w:rPr>
        <w:t xml:space="preserve"> za materialnoprawne naruszenia ustawy. Z kolei kary nakładane na podstawie </w:t>
      </w:r>
      <w:r w:rsidR="00C01DCE" w:rsidRPr="00D84154">
        <w:rPr>
          <w:rFonts w:ascii="Times New Roman" w:hAnsi="Times New Roman" w:cs="Times New Roman"/>
          <w:color w:val="000000" w:themeColor="text1"/>
          <w:sz w:val="24"/>
          <w:szCs w:val="24"/>
        </w:rPr>
        <w:t xml:space="preserve">zmienionego </w:t>
      </w:r>
      <w:r w:rsidRPr="00D84154">
        <w:rPr>
          <w:rFonts w:ascii="Times New Roman" w:hAnsi="Times New Roman" w:cs="Times New Roman"/>
          <w:color w:val="000000" w:themeColor="text1"/>
          <w:sz w:val="24"/>
          <w:szCs w:val="24"/>
        </w:rPr>
        <w:t xml:space="preserve">art. 107 </w:t>
      </w:r>
      <w:r w:rsidR="00C01DCE" w:rsidRPr="00D84154">
        <w:rPr>
          <w:rFonts w:ascii="Times New Roman" w:hAnsi="Times New Roman" w:cs="Times New Roman"/>
          <w:color w:val="000000" w:themeColor="text1"/>
          <w:sz w:val="24"/>
          <w:szCs w:val="24"/>
        </w:rPr>
        <w:t xml:space="preserve">ustawy </w:t>
      </w:r>
      <w:r w:rsidRPr="00D84154">
        <w:rPr>
          <w:rFonts w:ascii="Times New Roman" w:hAnsi="Times New Roman" w:cs="Times New Roman"/>
          <w:color w:val="000000" w:themeColor="text1"/>
          <w:sz w:val="24"/>
          <w:szCs w:val="24"/>
        </w:rPr>
        <w:t>mają mieć charakter przymuszający i dotyczyć będą wyłącznie wciąż trwającego naruszenia przepisów ustawy przez przedsiębiorcę. Ich wyłącznym celem jest nakłonienie przedsiębiorcy do realizacji ustawowych obowiązków</w:t>
      </w:r>
      <w:r w:rsidR="007D3E48" w:rsidRPr="00D84154">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w:t>
      </w:r>
      <w:r w:rsidR="00AE1E61" w:rsidRPr="00D84154">
        <w:rPr>
          <w:rFonts w:ascii="Times New Roman" w:hAnsi="Times New Roman" w:cs="Times New Roman"/>
          <w:color w:val="000000" w:themeColor="text1"/>
          <w:sz w:val="24"/>
          <w:szCs w:val="24"/>
        </w:rPr>
        <w:t xml:space="preserve">W przypadku stosowania art. 106 ust. 2 i art. 107 nie zachodzi naruszenie zasady </w:t>
      </w:r>
      <w:r w:rsidR="00AE1E61" w:rsidRPr="00D84154">
        <w:rPr>
          <w:rFonts w:ascii="Times New Roman" w:hAnsi="Times New Roman" w:cs="Times New Roman"/>
          <w:i/>
          <w:color w:val="000000" w:themeColor="text1"/>
          <w:sz w:val="24"/>
          <w:szCs w:val="24"/>
        </w:rPr>
        <w:t>ne bis in idem</w:t>
      </w:r>
      <w:r w:rsidR="00AE1E61" w:rsidRPr="00D84154">
        <w:rPr>
          <w:rFonts w:ascii="Times New Roman" w:hAnsi="Times New Roman" w:cs="Times New Roman"/>
          <w:color w:val="000000" w:themeColor="text1"/>
          <w:sz w:val="24"/>
          <w:szCs w:val="24"/>
        </w:rPr>
        <w:t>, właśnie ze względu na inny cel nakładanych kar. Ponadto kary nakładane na podstawie ww. przepisów dotyczą odrębnych rodzajów naruszeń, co najmniej w aspekcie temp</w:t>
      </w:r>
      <w:r w:rsidR="00A627FF">
        <w:rPr>
          <w:rFonts w:ascii="Times New Roman" w:hAnsi="Times New Roman" w:cs="Times New Roman"/>
          <w:color w:val="000000" w:themeColor="text1"/>
          <w:sz w:val="24"/>
          <w:szCs w:val="24"/>
        </w:rPr>
        <w:t>oralnym. Kary, o których mowa w </w:t>
      </w:r>
      <w:r w:rsidR="00AE1E61" w:rsidRPr="00D84154">
        <w:rPr>
          <w:rFonts w:ascii="Times New Roman" w:hAnsi="Times New Roman" w:cs="Times New Roman"/>
          <w:color w:val="000000" w:themeColor="text1"/>
          <w:sz w:val="24"/>
          <w:szCs w:val="24"/>
        </w:rPr>
        <w:t>art. 106 ust. 2, dotyczą naruszeń przeszłych, nat</w:t>
      </w:r>
      <w:r w:rsidR="00A627FF">
        <w:rPr>
          <w:rFonts w:ascii="Times New Roman" w:hAnsi="Times New Roman" w:cs="Times New Roman"/>
          <w:color w:val="000000" w:themeColor="text1"/>
          <w:sz w:val="24"/>
          <w:szCs w:val="24"/>
        </w:rPr>
        <w:t>omiast kary wprowadzane w art. </w:t>
      </w:r>
      <w:r w:rsidR="00AE1E61" w:rsidRPr="00D84154">
        <w:rPr>
          <w:rFonts w:ascii="Times New Roman" w:hAnsi="Times New Roman" w:cs="Times New Roman"/>
          <w:color w:val="000000" w:themeColor="text1"/>
          <w:sz w:val="24"/>
          <w:szCs w:val="24"/>
        </w:rPr>
        <w:t xml:space="preserve">107 nakładane są w związku z trwającymi naruszeniami przepisów ustawy. W tym kontekście </w:t>
      </w:r>
      <w:r w:rsidR="009744C5" w:rsidRPr="00D84154">
        <w:rPr>
          <w:rFonts w:ascii="Times New Roman" w:hAnsi="Times New Roman" w:cs="Times New Roman"/>
          <w:color w:val="000000" w:themeColor="text1"/>
          <w:sz w:val="24"/>
          <w:szCs w:val="24"/>
        </w:rPr>
        <w:t xml:space="preserve">jest </w:t>
      </w:r>
      <w:r w:rsidR="00AE1E61" w:rsidRPr="00D84154">
        <w:rPr>
          <w:rFonts w:ascii="Times New Roman" w:hAnsi="Times New Roman" w:cs="Times New Roman"/>
          <w:color w:val="000000" w:themeColor="text1"/>
          <w:sz w:val="24"/>
          <w:szCs w:val="24"/>
        </w:rPr>
        <w:t>wykluczona możliwość nałożenia na przedsiębiorc</w:t>
      </w:r>
      <w:r w:rsidR="00C01DCE" w:rsidRPr="00D84154">
        <w:rPr>
          <w:rFonts w:ascii="Times New Roman" w:hAnsi="Times New Roman" w:cs="Times New Roman"/>
          <w:color w:val="000000" w:themeColor="text1"/>
          <w:sz w:val="24"/>
          <w:szCs w:val="24"/>
        </w:rPr>
        <w:t>ę</w:t>
      </w:r>
      <w:r w:rsidR="00AE1E61" w:rsidRPr="00D84154">
        <w:rPr>
          <w:rFonts w:ascii="Times New Roman" w:hAnsi="Times New Roman" w:cs="Times New Roman"/>
          <w:color w:val="000000" w:themeColor="text1"/>
          <w:sz w:val="24"/>
          <w:szCs w:val="24"/>
        </w:rPr>
        <w:t xml:space="preserve"> kary za ten sam czyn na gruncie projektowanych przepisów.</w:t>
      </w:r>
    </w:p>
    <w:p w14:paraId="39108F94" w14:textId="7B9E51D9" w:rsidR="00A84ACD" w:rsidRPr="00D84154" w:rsidRDefault="00A84ACD"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Prezes UOKiK nie ma obecnie możliwości nakładania okresowych kar pieniężnych</w:t>
      </w:r>
      <w:r w:rsidR="00844043" w:rsidRPr="00D84154">
        <w:rPr>
          <w:rFonts w:ascii="Times New Roman" w:hAnsi="Times New Roman" w:cs="Times New Roman"/>
          <w:color w:val="000000" w:themeColor="text1"/>
          <w:sz w:val="24"/>
          <w:szCs w:val="24"/>
        </w:rPr>
        <w:t xml:space="preserve"> ustalanych proporcjonalnie do obrotu przedsiębiorcy</w:t>
      </w:r>
      <w:r w:rsidR="00C01DCE" w:rsidRPr="00D84154">
        <w:rPr>
          <w:rFonts w:ascii="Times New Roman" w:hAnsi="Times New Roman" w:cs="Times New Roman"/>
          <w:color w:val="000000" w:themeColor="text1"/>
          <w:sz w:val="24"/>
          <w:szCs w:val="24"/>
        </w:rPr>
        <w:t>. Z</w:t>
      </w:r>
      <w:r w:rsidRPr="00D84154">
        <w:rPr>
          <w:rFonts w:ascii="Times New Roman" w:hAnsi="Times New Roman" w:cs="Times New Roman"/>
          <w:color w:val="000000" w:themeColor="text1"/>
          <w:sz w:val="24"/>
          <w:szCs w:val="24"/>
        </w:rPr>
        <w:t xml:space="preserve"> uwagi na powyższe konieczne </w:t>
      </w:r>
      <w:r w:rsidR="00155E9E" w:rsidRPr="00D84154">
        <w:rPr>
          <w:rFonts w:ascii="Times New Roman" w:hAnsi="Times New Roman" w:cs="Times New Roman"/>
          <w:color w:val="000000" w:themeColor="text1"/>
          <w:sz w:val="24"/>
          <w:szCs w:val="24"/>
        </w:rPr>
        <w:t xml:space="preserve">jest </w:t>
      </w:r>
      <w:r w:rsidRPr="00D84154">
        <w:rPr>
          <w:rFonts w:ascii="Times New Roman" w:hAnsi="Times New Roman" w:cs="Times New Roman"/>
          <w:color w:val="000000" w:themeColor="text1"/>
          <w:sz w:val="24"/>
          <w:szCs w:val="24"/>
        </w:rPr>
        <w:t>dokonanie stosownych zmian w art. 107</w:t>
      </w:r>
      <w:r w:rsidR="00046D91" w:rsidRPr="00D84154">
        <w:rPr>
          <w:rFonts w:ascii="Times New Roman" w:hAnsi="Times New Roman" w:cs="Times New Roman"/>
          <w:color w:val="000000" w:themeColor="text1"/>
          <w:sz w:val="24"/>
          <w:szCs w:val="24"/>
        </w:rPr>
        <w:t xml:space="preserve"> ustawy</w:t>
      </w:r>
      <w:r w:rsidRPr="00D84154">
        <w:rPr>
          <w:rFonts w:ascii="Times New Roman" w:hAnsi="Times New Roman" w:cs="Times New Roman"/>
          <w:color w:val="000000" w:themeColor="text1"/>
          <w:sz w:val="24"/>
          <w:szCs w:val="24"/>
        </w:rPr>
        <w:t>. Zgodnie z propozycją</w:t>
      </w:r>
      <w:r w:rsidR="00A627FF">
        <w:rPr>
          <w:rFonts w:ascii="Times New Roman" w:hAnsi="Times New Roman" w:cs="Times New Roman"/>
          <w:color w:val="000000" w:themeColor="text1"/>
          <w:sz w:val="24"/>
          <w:szCs w:val="24"/>
        </w:rPr>
        <w:t xml:space="preserve"> nowego brzmienia art. 107 ust. </w:t>
      </w:r>
      <w:r w:rsidRPr="00D84154">
        <w:rPr>
          <w:rFonts w:ascii="Times New Roman" w:hAnsi="Times New Roman" w:cs="Times New Roman"/>
          <w:color w:val="000000" w:themeColor="text1"/>
          <w:sz w:val="24"/>
          <w:szCs w:val="24"/>
        </w:rPr>
        <w:t xml:space="preserve">1 Prezes UOKiK, w celu przymuszenia przedsiębiorców do wykonania nałożonych na nich obowiązków, może nałożyć na tych przedsiębiorców, w drodze decyzji, okresową karę pieniężną w wysokości nieprzekraczającej 5% średniego </w:t>
      </w:r>
      <w:r w:rsidR="005C3682" w:rsidRPr="00D84154">
        <w:rPr>
          <w:rFonts w:ascii="Times New Roman" w:hAnsi="Times New Roman" w:cs="Times New Roman"/>
          <w:color w:val="000000" w:themeColor="text1"/>
          <w:sz w:val="24"/>
          <w:szCs w:val="24"/>
        </w:rPr>
        <w:t xml:space="preserve">dziennego </w:t>
      </w:r>
      <w:r w:rsidRPr="00D84154">
        <w:rPr>
          <w:rFonts w:ascii="Times New Roman" w:hAnsi="Times New Roman" w:cs="Times New Roman"/>
          <w:color w:val="000000" w:themeColor="text1"/>
          <w:sz w:val="24"/>
          <w:szCs w:val="24"/>
        </w:rPr>
        <w:t>obrotu przedsiębiorcy osiągniętego w roku obrotowym poprzedzającym rok nałożenia kary za każdy dzień opóźnienia:</w:t>
      </w:r>
    </w:p>
    <w:p w14:paraId="4B6105EB" w14:textId="263B2F82" w:rsidR="00A84ACD" w:rsidRPr="00D84154" w:rsidRDefault="00A84ACD" w:rsidP="00D84154">
      <w:pPr>
        <w:pStyle w:val="Akapitzlist"/>
        <w:numPr>
          <w:ilvl w:val="0"/>
          <w:numId w:val="30"/>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w wykonaniu decyzji wydanych na podstawie art. 10, art. </w:t>
      </w:r>
      <w:r w:rsidR="00A627FF">
        <w:rPr>
          <w:rFonts w:ascii="Times New Roman" w:hAnsi="Times New Roman" w:cs="Times New Roman"/>
          <w:color w:val="000000" w:themeColor="text1"/>
          <w:sz w:val="24"/>
          <w:szCs w:val="24"/>
        </w:rPr>
        <w:t>12 ust. 1, art. 19 ust. 1, art. </w:t>
      </w:r>
      <w:r w:rsidRPr="00D84154">
        <w:rPr>
          <w:rFonts w:ascii="Times New Roman" w:hAnsi="Times New Roman" w:cs="Times New Roman"/>
          <w:color w:val="000000" w:themeColor="text1"/>
          <w:sz w:val="24"/>
          <w:szCs w:val="24"/>
        </w:rPr>
        <w:t>20 ust. 1, art. 21 ust. 2 i 4, art. 23b, art. 23c</w:t>
      </w:r>
      <w:r w:rsidR="00046D91" w:rsidRPr="00D84154">
        <w:rPr>
          <w:rFonts w:ascii="Times New Roman" w:hAnsi="Times New Roman" w:cs="Times New Roman"/>
          <w:color w:val="000000" w:themeColor="text1"/>
          <w:sz w:val="24"/>
          <w:szCs w:val="24"/>
        </w:rPr>
        <w:t xml:space="preserve"> ust. 1</w:t>
      </w:r>
      <w:r w:rsidRPr="00D84154">
        <w:rPr>
          <w:rFonts w:ascii="Times New Roman" w:hAnsi="Times New Roman" w:cs="Times New Roman"/>
          <w:color w:val="000000" w:themeColor="text1"/>
          <w:sz w:val="24"/>
          <w:szCs w:val="24"/>
        </w:rPr>
        <w:t>, art. 26, art. 27 ust. 2, art. 28 ust. 1, art.</w:t>
      </w:r>
      <w:r w:rsidR="00A627FF">
        <w:rPr>
          <w:rFonts w:ascii="Times New Roman" w:hAnsi="Times New Roman" w:cs="Times New Roman"/>
          <w:color w:val="000000" w:themeColor="text1"/>
          <w:sz w:val="24"/>
          <w:szCs w:val="24"/>
        </w:rPr>
        <w:t> </w:t>
      </w:r>
      <w:r w:rsidRPr="00D84154">
        <w:rPr>
          <w:rFonts w:ascii="Times New Roman" w:hAnsi="Times New Roman" w:cs="Times New Roman"/>
          <w:color w:val="000000" w:themeColor="text1"/>
          <w:sz w:val="24"/>
          <w:szCs w:val="24"/>
        </w:rPr>
        <w:t xml:space="preserve">89 </w:t>
      </w:r>
      <w:r w:rsidRPr="00D84154">
        <w:rPr>
          <w:rFonts w:ascii="Times New Roman" w:hAnsi="Times New Roman" w:cs="Times New Roman"/>
          <w:color w:val="000000" w:themeColor="text1"/>
          <w:sz w:val="24"/>
          <w:szCs w:val="24"/>
        </w:rPr>
        <w:lastRenderedPageBreak/>
        <w:t>ust. 1 i 3 oraz art. 101a ust. 1 i 3, postanowień wydan</w:t>
      </w:r>
      <w:r w:rsidR="00A627FF">
        <w:rPr>
          <w:rFonts w:ascii="Times New Roman" w:hAnsi="Times New Roman" w:cs="Times New Roman"/>
          <w:color w:val="000000" w:themeColor="text1"/>
          <w:sz w:val="24"/>
          <w:szCs w:val="24"/>
        </w:rPr>
        <w:t>ych na podstawie art. 105g ust. </w:t>
      </w:r>
      <w:r w:rsidRPr="00D84154">
        <w:rPr>
          <w:rFonts w:ascii="Times New Roman" w:hAnsi="Times New Roman" w:cs="Times New Roman"/>
          <w:color w:val="000000" w:themeColor="text1"/>
          <w:sz w:val="24"/>
          <w:szCs w:val="24"/>
        </w:rPr>
        <w:t>1 lub wyroków sądowych w sprawach z zakresu praktyk ograniczających konkurencję, praktyk naruszających zbiorowe interesy konsumentów, niedozwolonych postanowień wzorców umów oraz koncentracji;</w:t>
      </w:r>
    </w:p>
    <w:p w14:paraId="642CEA73" w14:textId="77777777" w:rsidR="00A84ACD" w:rsidRPr="00D84154" w:rsidRDefault="00A84ACD" w:rsidP="00D84154">
      <w:pPr>
        <w:pStyle w:val="Akapitzlist"/>
        <w:numPr>
          <w:ilvl w:val="0"/>
          <w:numId w:val="30"/>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 wykonaniu żądania Prezesa Urzędu, o którym mowa w art. 50 ust.1;</w:t>
      </w:r>
    </w:p>
    <w:p w14:paraId="2A2B3511" w14:textId="42DF7F8D" w:rsidR="00A84ACD" w:rsidRPr="00D84154" w:rsidRDefault="00A84ACD" w:rsidP="00D84154">
      <w:pPr>
        <w:pStyle w:val="Akapitzlist"/>
        <w:numPr>
          <w:ilvl w:val="0"/>
          <w:numId w:val="30"/>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w przypadku niestawienia się strony </w:t>
      </w:r>
      <w:r w:rsidR="003B1898" w:rsidRPr="00D84154">
        <w:rPr>
          <w:rFonts w:ascii="Times New Roman" w:hAnsi="Times New Roman" w:cs="Times New Roman"/>
          <w:color w:val="000000" w:themeColor="text1"/>
          <w:sz w:val="24"/>
          <w:szCs w:val="24"/>
        </w:rPr>
        <w:t xml:space="preserve">na </w:t>
      </w:r>
      <w:r w:rsidRPr="00D84154">
        <w:rPr>
          <w:rFonts w:ascii="Times New Roman" w:hAnsi="Times New Roman" w:cs="Times New Roman"/>
          <w:color w:val="000000" w:themeColor="text1"/>
          <w:sz w:val="24"/>
          <w:szCs w:val="24"/>
        </w:rPr>
        <w:t>przesłuchaniu,</w:t>
      </w:r>
      <w:r w:rsidR="00A627FF">
        <w:rPr>
          <w:rFonts w:ascii="Times New Roman" w:hAnsi="Times New Roman" w:cs="Times New Roman"/>
          <w:color w:val="000000" w:themeColor="text1"/>
          <w:sz w:val="24"/>
          <w:szCs w:val="24"/>
        </w:rPr>
        <w:t xml:space="preserve"> o którym mowa w art. 52 i art. </w:t>
      </w:r>
      <w:r w:rsidR="00046D91" w:rsidRPr="00D84154">
        <w:rPr>
          <w:rFonts w:ascii="Times New Roman" w:hAnsi="Times New Roman" w:cs="Times New Roman"/>
          <w:color w:val="000000" w:themeColor="text1"/>
          <w:sz w:val="24"/>
          <w:szCs w:val="24"/>
        </w:rPr>
        <w:t>53a</w:t>
      </w:r>
      <w:r w:rsidRPr="00D84154">
        <w:rPr>
          <w:rFonts w:ascii="Times New Roman" w:hAnsi="Times New Roman" w:cs="Times New Roman"/>
          <w:color w:val="000000" w:themeColor="text1"/>
          <w:sz w:val="24"/>
          <w:szCs w:val="24"/>
        </w:rPr>
        <w:t>;</w:t>
      </w:r>
    </w:p>
    <w:p w14:paraId="569F873F" w14:textId="77777777" w:rsidR="00A84ACD" w:rsidRPr="00D84154" w:rsidRDefault="00A84ACD" w:rsidP="00D84154">
      <w:pPr>
        <w:pStyle w:val="Akapitzlist"/>
        <w:numPr>
          <w:ilvl w:val="0"/>
          <w:numId w:val="30"/>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 przypadku uniemożliwiania lub utrudniania rozpoczęcia lub przeprowadzenia kontroli na podstawie art. 105a lub art. 105i;</w:t>
      </w:r>
    </w:p>
    <w:p w14:paraId="41144CF6" w14:textId="77777777" w:rsidR="00A84ACD" w:rsidRPr="00D84154" w:rsidRDefault="00A84ACD" w:rsidP="00D84154">
      <w:pPr>
        <w:pStyle w:val="Akapitzlist"/>
        <w:numPr>
          <w:ilvl w:val="0"/>
          <w:numId w:val="30"/>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 przypadku uniemożliwiania lub utrudniania rozpoczęcia lub przeprowadzenia przeszukania na podstawie art. 91 lub art. 105n.</w:t>
      </w:r>
    </w:p>
    <w:p w14:paraId="42D94160" w14:textId="6DC2E06D" w:rsidR="00A84ACD" w:rsidRPr="00D84154" w:rsidRDefault="00A84ACD"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Zgodnie z projektowanym ust. 2 okresowe kary pieniężne będą nakładane, licząc od daty wskazanej w decyzji.</w:t>
      </w:r>
      <w:r w:rsidR="005C3682" w:rsidRPr="00D84154">
        <w:rPr>
          <w:rFonts w:ascii="Times New Roman" w:hAnsi="Times New Roman" w:cs="Times New Roman"/>
          <w:color w:val="000000" w:themeColor="text1"/>
          <w:sz w:val="24"/>
          <w:szCs w:val="24"/>
        </w:rPr>
        <w:t xml:space="preserve"> </w:t>
      </w:r>
      <w:r w:rsidR="005C3682" w:rsidRPr="00D84154">
        <w:rPr>
          <w:rFonts w:ascii="Times New Roman" w:hAnsi="Times New Roman" w:cs="Times New Roman"/>
          <w:sz w:val="24"/>
          <w:szCs w:val="24"/>
        </w:rPr>
        <w:t>Rozwiązanie takie przewiduje art. 24 ust. 1 rozporządzenia 1/2003. Jego skuteczne funkcjonowanie w prawie unijnym pozwala przyjąć, ż</w:t>
      </w:r>
      <w:r w:rsidR="00F4632E">
        <w:rPr>
          <w:rFonts w:ascii="Times New Roman" w:hAnsi="Times New Roman" w:cs="Times New Roman"/>
          <w:sz w:val="24"/>
          <w:szCs w:val="24"/>
        </w:rPr>
        <w:t>e</w:t>
      </w:r>
      <w:r w:rsidR="005C3682" w:rsidRPr="00D84154">
        <w:rPr>
          <w:rFonts w:ascii="Times New Roman" w:hAnsi="Times New Roman" w:cs="Times New Roman"/>
          <w:sz w:val="24"/>
          <w:szCs w:val="24"/>
        </w:rPr>
        <w:t xml:space="preserve"> również na gruncie prawa polskiego zapewni ono przedsiębiorcom bodźce do wykonywania decyzji Prezesa UOKiK, bez nakładania na nich nieproporcjonalnych ciężarów.</w:t>
      </w:r>
    </w:p>
    <w:p w14:paraId="23ADC8B5" w14:textId="3444C22D" w:rsidR="00A14CF5" w:rsidRPr="00D84154" w:rsidRDefault="00A14CF5"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W odniesieniu do art. 108 ustawy przewidującego kary za naruszenia proceduralne nakładane na osoby fizyczne oprócz zmiany </w:t>
      </w:r>
      <w:r w:rsidR="00622990" w:rsidRPr="00D84154">
        <w:rPr>
          <w:rFonts w:ascii="Times New Roman" w:hAnsi="Times New Roman" w:cs="Times New Roman"/>
          <w:color w:val="000000" w:themeColor="text1"/>
          <w:sz w:val="24"/>
          <w:szCs w:val="24"/>
        </w:rPr>
        <w:t xml:space="preserve">dotyczącej </w:t>
      </w:r>
      <w:r w:rsidRPr="00D84154">
        <w:rPr>
          <w:rFonts w:ascii="Times New Roman" w:hAnsi="Times New Roman" w:cs="Times New Roman"/>
          <w:color w:val="000000" w:themeColor="text1"/>
          <w:sz w:val="24"/>
          <w:szCs w:val="24"/>
        </w:rPr>
        <w:t>wprowadzeni</w:t>
      </w:r>
      <w:r w:rsidR="00622990" w:rsidRPr="00D84154">
        <w:rPr>
          <w:rFonts w:ascii="Times New Roman" w:hAnsi="Times New Roman" w:cs="Times New Roman"/>
          <w:color w:val="000000" w:themeColor="text1"/>
          <w:sz w:val="24"/>
          <w:szCs w:val="24"/>
        </w:rPr>
        <w:t>a</w:t>
      </w:r>
      <w:r w:rsidRPr="00D84154">
        <w:rPr>
          <w:rFonts w:ascii="Times New Roman" w:hAnsi="Times New Roman" w:cs="Times New Roman"/>
          <w:color w:val="000000" w:themeColor="text1"/>
          <w:sz w:val="24"/>
          <w:szCs w:val="24"/>
        </w:rPr>
        <w:t xml:space="preserve"> kar</w:t>
      </w:r>
      <w:r w:rsidR="00622990" w:rsidRPr="00D84154">
        <w:rPr>
          <w:rFonts w:ascii="Times New Roman" w:hAnsi="Times New Roman" w:cs="Times New Roman"/>
          <w:color w:val="000000" w:themeColor="text1"/>
          <w:sz w:val="24"/>
          <w:szCs w:val="24"/>
        </w:rPr>
        <w:t>y</w:t>
      </w:r>
      <w:r w:rsidRPr="00D84154">
        <w:rPr>
          <w:rFonts w:ascii="Times New Roman" w:hAnsi="Times New Roman" w:cs="Times New Roman"/>
          <w:color w:val="000000" w:themeColor="text1"/>
          <w:sz w:val="24"/>
          <w:szCs w:val="24"/>
        </w:rPr>
        <w:t xml:space="preserve"> za nieuprawnione wykorzystanie </w:t>
      </w:r>
      <w:r w:rsidR="00622990" w:rsidRPr="00D84154">
        <w:rPr>
          <w:rFonts w:ascii="Times New Roman" w:hAnsi="Times New Roman" w:cs="Times New Roman"/>
          <w:color w:val="000000" w:themeColor="text1"/>
          <w:sz w:val="24"/>
          <w:szCs w:val="24"/>
        </w:rPr>
        <w:t xml:space="preserve">informacji z </w:t>
      </w:r>
      <w:r w:rsidRPr="00D84154">
        <w:rPr>
          <w:rFonts w:ascii="Times New Roman" w:hAnsi="Times New Roman" w:cs="Times New Roman"/>
          <w:color w:val="000000" w:themeColor="text1"/>
          <w:sz w:val="24"/>
          <w:szCs w:val="24"/>
        </w:rPr>
        <w:t>oświadczeń w ramach programu łagodzenia kar, oświadczeń przedsiębiorcy lub osoby zarządzającej występującej z wnioskiem o odstąpienie lub obniżenie kary pieniężnej, propozycji ugodowych lub oświadczen</w:t>
      </w:r>
      <w:r w:rsidR="00A627FF">
        <w:rPr>
          <w:rFonts w:ascii="Times New Roman" w:hAnsi="Times New Roman" w:cs="Times New Roman"/>
          <w:color w:val="000000" w:themeColor="text1"/>
          <w:sz w:val="24"/>
          <w:szCs w:val="24"/>
        </w:rPr>
        <w:t>ia strony, o którym mowa w art. </w:t>
      </w:r>
      <w:r w:rsidRPr="00D84154">
        <w:rPr>
          <w:rFonts w:ascii="Times New Roman" w:hAnsi="Times New Roman" w:cs="Times New Roman"/>
          <w:color w:val="000000" w:themeColor="text1"/>
          <w:sz w:val="24"/>
          <w:szCs w:val="24"/>
        </w:rPr>
        <w:t xml:space="preserve">89a ust. 8 </w:t>
      </w:r>
      <w:r w:rsidR="00622990" w:rsidRPr="00D84154">
        <w:rPr>
          <w:rFonts w:ascii="Times New Roman" w:hAnsi="Times New Roman" w:cs="Times New Roman"/>
          <w:color w:val="000000" w:themeColor="text1"/>
          <w:sz w:val="24"/>
          <w:szCs w:val="24"/>
        </w:rPr>
        <w:t xml:space="preserve">ustawy </w:t>
      </w:r>
      <w:r w:rsidRPr="00D84154">
        <w:rPr>
          <w:rFonts w:ascii="Times New Roman" w:hAnsi="Times New Roman" w:cs="Times New Roman"/>
          <w:color w:val="000000" w:themeColor="text1"/>
          <w:sz w:val="24"/>
          <w:szCs w:val="24"/>
        </w:rPr>
        <w:t>w innym celu niż określony w art. 70 ust. 2</w:t>
      </w:r>
      <w:r w:rsidR="00F4632E">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projekt przewiduje dodatkowo:</w:t>
      </w:r>
    </w:p>
    <w:p w14:paraId="0FD9DEEC" w14:textId="060E5A80" w:rsidR="00672E08" w:rsidRPr="00D84154" w:rsidRDefault="00672E08" w:rsidP="00D84154">
      <w:pPr>
        <w:spacing w:before="120"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A14CF5" w:rsidRPr="00D84154">
        <w:rPr>
          <w:rFonts w:ascii="Times New Roman" w:hAnsi="Times New Roman" w:cs="Times New Roman"/>
          <w:color w:val="000000" w:themeColor="text1"/>
          <w:sz w:val="24"/>
          <w:szCs w:val="24"/>
        </w:rPr>
        <w:t xml:space="preserve"> wprowadzenie kary </w:t>
      </w:r>
      <w:r w:rsidR="00622990" w:rsidRPr="00D84154">
        <w:rPr>
          <w:rFonts w:ascii="Times New Roman" w:hAnsi="Times New Roman" w:cs="Times New Roman"/>
          <w:color w:val="000000" w:themeColor="text1"/>
          <w:sz w:val="24"/>
          <w:szCs w:val="24"/>
        </w:rPr>
        <w:t xml:space="preserve">pieniężnej nakładanej </w:t>
      </w:r>
      <w:r w:rsidR="00A14CF5" w:rsidRPr="00D84154">
        <w:rPr>
          <w:rFonts w:ascii="Times New Roman" w:hAnsi="Times New Roman" w:cs="Times New Roman"/>
          <w:color w:val="000000" w:themeColor="text1"/>
          <w:sz w:val="24"/>
          <w:szCs w:val="24"/>
        </w:rPr>
        <w:t>na osobę</w:t>
      </w:r>
      <w:r w:rsidR="006A0397">
        <w:rPr>
          <w:rFonts w:ascii="Times New Roman" w:hAnsi="Times New Roman" w:cs="Times New Roman"/>
          <w:color w:val="000000" w:themeColor="text1"/>
          <w:sz w:val="24"/>
          <w:szCs w:val="24"/>
        </w:rPr>
        <w:t xml:space="preserve"> upoważnioną do stawienia się w </w:t>
      </w:r>
      <w:r w:rsidR="00A14CF5" w:rsidRPr="00D84154">
        <w:rPr>
          <w:rFonts w:ascii="Times New Roman" w:hAnsi="Times New Roman" w:cs="Times New Roman"/>
          <w:color w:val="000000" w:themeColor="text1"/>
          <w:sz w:val="24"/>
          <w:szCs w:val="24"/>
        </w:rPr>
        <w:t xml:space="preserve">imieniu przedsiębiorcy na rozprawie lub przesłuchaniu za nieuzasadnioną odmowę </w:t>
      </w:r>
      <w:r w:rsidR="003B1898" w:rsidRPr="00D84154">
        <w:rPr>
          <w:rFonts w:ascii="Times New Roman" w:hAnsi="Times New Roman" w:cs="Times New Roman"/>
          <w:color w:val="000000" w:themeColor="text1"/>
          <w:sz w:val="24"/>
          <w:szCs w:val="24"/>
        </w:rPr>
        <w:t>wyjaśnień</w:t>
      </w:r>
      <w:r w:rsidR="00A14CF5" w:rsidRPr="00D84154">
        <w:rPr>
          <w:rFonts w:ascii="Times New Roman" w:hAnsi="Times New Roman" w:cs="Times New Roman"/>
          <w:color w:val="000000" w:themeColor="text1"/>
          <w:sz w:val="24"/>
          <w:szCs w:val="24"/>
        </w:rPr>
        <w:t xml:space="preserve"> lub nieuzasadnione niestawiennictwo na </w:t>
      </w:r>
      <w:r w:rsidR="003B1898" w:rsidRPr="00D84154">
        <w:rPr>
          <w:rFonts w:ascii="Times New Roman" w:hAnsi="Times New Roman" w:cs="Times New Roman"/>
          <w:color w:val="000000" w:themeColor="text1"/>
          <w:sz w:val="24"/>
          <w:szCs w:val="24"/>
        </w:rPr>
        <w:t>przesłuchaniu</w:t>
      </w:r>
      <w:r w:rsidR="00637434" w:rsidRPr="00D84154">
        <w:rPr>
          <w:rFonts w:ascii="Times New Roman" w:hAnsi="Times New Roman" w:cs="Times New Roman"/>
          <w:color w:val="000000" w:themeColor="text1"/>
          <w:sz w:val="24"/>
          <w:szCs w:val="24"/>
        </w:rPr>
        <w:t xml:space="preserve">, o którym mowa w art. 52 i </w:t>
      </w:r>
      <w:r w:rsidR="00622990" w:rsidRPr="00D84154">
        <w:rPr>
          <w:rFonts w:ascii="Times New Roman" w:hAnsi="Times New Roman" w:cs="Times New Roman"/>
          <w:color w:val="000000" w:themeColor="text1"/>
          <w:sz w:val="24"/>
          <w:szCs w:val="24"/>
        </w:rPr>
        <w:t xml:space="preserve">art. </w:t>
      </w:r>
      <w:r w:rsidR="00637434" w:rsidRPr="00D84154">
        <w:rPr>
          <w:rFonts w:ascii="Times New Roman" w:hAnsi="Times New Roman" w:cs="Times New Roman"/>
          <w:color w:val="000000" w:themeColor="text1"/>
          <w:sz w:val="24"/>
          <w:szCs w:val="24"/>
        </w:rPr>
        <w:t>53a</w:t>
      </w:r>
      <w:r w:rsidR="006A0397">
        <w:rPr>
          <w:rFonts w:ascii="Times New Roman" w:hAnsi="Times New Roman" w:cs="Times New Roman"/>
          <w:color w:val="000000" w:themeColor="text1"/>
          <w:sz w:val="24"/>
          <w:szCs w:val="24"/>
        </w:rPr>
        <w:t>,</w:t>
      </w:r>
      <w:r w:rsidR="003B1898" w:rsidRPr="00D84154">
        <w:rPr>
          <w:rFonts w:ascii="Times New Roman" w:hAnsi="Times New Roman" w:cs="Times New Roman"/>
          <w:color w:val="000000" w:themeColor="text1"/>
          <w:sz w:val="24"/>
          <w:szCs w:val="24"/>
        </w:rPr>
        <w:t xml:space="preserve"> lub </w:t>
      </w:r>
      <w:r w:rsidR="00637434" w:rsidRPr="00D84154">
        <w:rPr>
          <w:rFonts w:ascii="Times New Roman" w:hAnsi="Times New Roman" w:cs="Times New Roman"/>
          <w:color w:val="000000" w:themeColor="text1"/>
          <w:sz w:val="24"/>
          <w:szCs w:val="24"/>
        </w:rPr>
        <w:t xml:space="preserve">na przesłuchaniu na </w:t>
      </w:r>
      <w:r w:rsidR="003B1898" w:rsidRPr="00D84154">
        <w:rPr>
          <w:rFonts w:ascii="Times New Roman" w:hAnsi="Times New Roman" w:cs="Times New Roman"/>
          <w:color w:val="000000" w:themeColor="text1"/>
          <w:sz w:val="24"/>
          <w:szCs w:val="24"/>
        </w:rPr>
        <w:t>rozprawie</w:t>
      </w:r>
      <w:r w:rsidR="00637434" w:rsidRPr="00D84154">
        <w:rPr>
          <w:rFonts w:ascii="Times New Roman" w:hAnsi="Times New Roman" w:cs="Times New Roman"/>
          <w:color w:val="000000" w:themeColor="text1"/>
          <w:sz w:val="24"/>
          <w:szCs w:val="24"/>
        </w:rPr>
        <w:t>, o której mowa w art. 60</w:t>
      </w:r>
      <w:r w:rsidR="00AE1E61" w:rsidRPr="00D84154">
        <w:rPr>
          <w:rFonts w:ascii="Times New Roman" w:hAnsi="Times New Roman" w:cs="Times New Roman"/>
          <w:color w:val="000000" w:themeColor="text1"/>
          <w:sz w:val="24"/>
          <w:szCs w:val="24"/>
        </w:rPr>
        <w:t xml:space="preserve"> </w:t>
      </w:r>
      <w:r w:rsidR="00A14CF5" w:rsidRPr="00D84154">
        <w:rPr>
          <w:rFonts w:ascii="Times New Roman" w:hAnsi="Times New Roman" w:cs="Times New Roman"/>
          <w:color w:val="000000" w:themeColor="text1"/>
          <w:sz w:val="24"/>
          <w:szCs w:val="24"/>
        </w:rPr>
        <w:t>(</w:t>
      </w:r>
      <w:r w:rsidR="00C35360" w:rsidRPr="00D84154">
        <w:rPr>
          <w:rFonts w:ascii="Times New Roman" w:hAnsi="Times New Roman" w:cs="Times New Roman"/>
          <w:color w:val="000000" w:themeColor="text1"/>
          <w:sz w:val="24"/>
          <w:szCs w:val="24"/>
        </w:rPr>
        <w:t xml:space="preserve">projektowany </w:t>
      </w:r>
      <w:r w:rsidR="00A14CF5" w:rsidRPr="00D84154">
        <w:rPr>
          <w:rFonts w:ascii="Times New Roman" w:hAnsi="Times New Roman" w:cs="Times New Roman"/>
          <w:color w:val="000000" w:themeColor="text1"/>
          <w:sz w:val="24"/>
          <w:szCs w:val="24"/>
        </w:rPr>
        <w:t>art.108 ust. 3 pkt 3),</w:t>
      </w:r>
    </w:p>
    <w:p w14:paraId="5D28BA4C" w14:textId="6FDCF8B7" w:rsidR="00622990" w:rsidRPr="00D84154" w:rsidRDefault="00672E08" w:rsidP="00D84154">
      <w:pPr>
        <w:shd w:val="clear" w:color="auto" w:fill="FFFFFF"/>
        <w:spacing w:before="120"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C35360" w:rsidRPr="00D84154">
        <w:rPr>
          <w:rFonts w:ascii="Times New Roman" w:hAnsi="Times New Roman" w:cs="Times New Roman"/>
          <w:color w:val="000000" w:themeColor="text1"/>
          <w:sz w:val="24"/>
          <w:szCs w:val="24"/>
        </w:rPr>
        <w:t xml:space="preserve"> wprowadzenie kary </w:t>
      </w:r>
      <w:r w:rsidR="00CA0A5F" w:rsidRPr="00D84154">
        <w:rPr>
          <w:rFonts w:ascii="Times New Roman" w:hAnsi="Times New Roman" w:cs="Times New Roman"/>
          <w:color w:val="000000" w:themeColor="text1"/>
          <w:sz w:val="24"/>
          <w:szCs w:val="24"/>
        </w:rPr>
        <w:t xml:space="preserve">nakładanej </w:t>
      </w:r>
      <w:r w:rsidR="00C35360" w:rsidRPr="00D84154">
        <w:rPr>
          <w:rFonts w:ascii="Times New Roman" w:hAnsi="Times New Roman" w:cs="Times New Roman"/>
          <w:color w:val="000000" w:themeColor="text1"/>
          <w:sz w:val="24"/>
          <w:szCs w:val="24"/>
        </w:rPr>
        <w:t>na osobę fizyczną, która nie udzieliła informacji żądanych przez P</w:t>
      </w:r>
      <w:r w:rsidR="006A0397">
        <w:rPr>
          <w:rFonts w:ascii="Times New Roman" w:hAnsi="Times New Roman" w:cs="Times New Roman"/>
          <w:color w:val="000000" w:themeColor="text1"/>
          <w:sz w:val="24"/>
          <w:szCs w:val="24"/>
        </w:rPr>
        <w:t xml:space="preserve">rezesa Urzędu na podstawie art. 50 </w:t>
      </w:r>
      <w:r w:rsidR="00622990" w:rsidRPr="00D84154">
        <w:rPr>
          <w:rFonts w:ascii="Times New Roman" w:hAnsi="Times New Roman" w:cs="Times New Roman"/>
          <w:color w:val="000000" w:themeColor="text1"/>
          <w:sz w:val="24"/>
          <w:szCs w:val="24"/>
        </w:rPr>
        <w:t>u</w:t>
      </w:r>
      <w:r w:rsidR="00C35360" w:rsidRPr="00D84154">
        <w:rPr>
          <w:rFonts w:ascii="Times New Roman" w:hAnsi="Times New Roman" w:cs="Times New Roman"/>
          <w:color w:val="000000" w:themeColor="text1"/>
          <w:sz w:val="24"/>
          <w:szCs w:val="24"/>
        </w:rPr>
        <w:t>stawy bądź udzieliła niepr</w:t>
      </w:r>
      <w:r w:rsidR="006A0397">
        <w:rPr>
          <w:rFonts w:ascii="Times New Roman" w:hAnsi="Times New Roman" w:cs="Times New Roman"/>
          <w:color w:val="000000" w:themeColor="text1"/>
          <w:sz w:val="24"/>
          <w:szCs w:val="24"/>
        </w:rPr>
        <w:t xml:space="preserve">awdziwych lub wprowadzających w </w:t>
      </w:r>
      <w:r w:rsidR="00C35360" w:rsidRPr="00D84154">
        <w:rPr>
          <w:rFonts w:ascii="Times New Roman" w:hAnsi="Times New Roman" w:cs="Times New Roman"/>
          <w:color w:val="000000" w:themeColor="text1"/>
          <w:sz w:val="24"/>
          <w:szCs w:val="24"/>
        </w:rPr>
        <w:t>błąd informacji (projektowany art. 108 ust. 3a).</w:t>
      </w:r>
    </w:p>
    <w:p w14:paraId="7E8959C5" w14:textId="57AAF307" w:rsidR="00417CDE" w:rsidRPr="00D84154" w:rsidRDefault="00417CDE" w:rsidP="00D84154">
      <w:pPr>
        <w:shd w:val="clear" w:color="auto" w:fill="FFFFFF"/>
        <w:spacing w:before="120" w:after="0" w:line="360" w:lineRule="auto"/>
        <w:jc w:val="both"/>
        <w:rPr>
          <w:rFonts w:ascii="Times New Roman" w:eastAsia="Times New Roman" w:hAnsi="Times New Roman" w:cs="Times New Roman"/>
          <w:i/>
          <w:color w:val="212121"/>
          <w:sz w:val="24"/>
          <w:szCs w:val="24"/>
          <w:lang w:eastAsia="pl-PL"/>
        </w:rPr>
      </w:pPr>
      <w:r w:rsidRPr="00D84154">
        <w:rPr>
          <w:rFonts w:ascii="Times New Roman" w:eastAsia="Times New Roman" w:hAnsi="Times New Roman" w:cs="Times New Roman"/>
          <w:color w:val="212121"/>
          <w:sz w:val="24"/>
          <w:szCs w:val="24"/>
          <w:lang w:eastAsia="pl-PL"/>
        </w:rPr>
        <w:t>Kompetencja do żądania udzielania wszelkich koniecznych informacji, w tym przekazywania dokumentów na żądanie Prezesa UOKiK</w:t>
      </w:r>
      <w:r w:rsidR="00221017">
        <w:rPr>
          <w:rFonts w:ascii="Times New Roman" w:eastAsia="Times New Roman" w:hAnsi="Times New Roman" w:cs="Times New Roman"/>
          <w:color w:val="212121"/>
          <w:sz w:val="24"/>
          <w:szCs w:val="24"/>
          <w:lang w:eastAsia="pl-PL"/>
        </w:rPr>
        <w:t>,</w:t>
      </w:r>
      <w:r w:rsidRPr="00D84154">
        <w:rPr>
          <w:rFonts w:ascii="Times New Roman" w:eastAsia="Times New Roman" w:hAnsi="Times New Roman" w:cs="Times New Roman"/>
          <w:color w:val="212121"/>
          <w:sz w:val="24"/>
          <w:szCs w:val="24"/>
          <w:lang w:eastAsia="pl-PL"/>
        </w:rPr>
        <w:t xml:space="preserve"> została rozszerzona o możliwość wzywania osób fizycznych, a co za tym idzie możliwość nałożenia kary w wypadku nieudzielenia informacji </w:t>
      </w:r>
      <w:r w:rsidRPr="00D84154">
        <w:rPr>
          <w:rFonts w:ascii="Times New Roman" w:eastAsia="Times New Roman" w:hAnsi="Times New Roman" w:cs="Times New Roman"/>
          <w:color w:val="212121"/>
          <w:sz w:val="24"/>
          <w:szCs w:val="24"/>
          <w:lang w:eastAsia="pl-PL"/>
        </w:rPr>
        <w:lastRenderedPageBreak/>
        <w:t xml:space="preserve">lub udzielenia informacji nieprawdziwych lub wprowadzających w błąd. </w:t>
      </w:r>
      <w:r w:rsidR="00A627FF">
        <w:rPr>
          <w:rFonts w:ascii="Times New Roman" w:eastAsia="Times New Roman" w:hAnsi="Times New Roman" w:cs="Times New Roman"/>
          <w:color w:val="212121"/>
          <w:sz w:val="24"/>
          <w:szCs w:val="24"/>
          <w:lang w:eastAsia="pl-PL"/>
        </w:rPr>
        <w:t>Zgodnie z </w:t>
      </w:r>
      <w:r w:rsidRPr="00227CED">
        <w:rPr>
          <w:rFonts w:ascii="Times New Roman" w:eastAsia="Times New Roman" w:hAnsi="Times New Roman" w:cs="Times New Roman"/>
          <w:color w:val="212121"/>
          <w:sz w:val="24"/>
          <w:szCs w:val="24"/>
          <w:lang w:eastAsia="pl-PL"/>
        </w:rPr>
        <w:t>projektowanym art. 111 ust. 1 pkt 5 Prezes UOKiK, ustalając wysokość nakładanej kary pieniężnej, uwzględni warunki osobiste osoby, na którą jest nakładana kara pieniężna</w:t>
      </w:r>
      <w:r w:rsidR="00227CED">
        <w:rPr>
          <w:rFonts w:ascii="Times New Roman" w:eastAsia="Times New Roman" w:hAnsi="Times New Roman" w:cs="Times New Roman"/>
          <w:color w:val="212121"/>
          <w:sz w:val="24"/>
          <w:szCs w:val="24"/>
          <w:lang w:eastAsia="pl-PL"/>
        </w:rPr>
        <w:t>,</w:t>
      </w:r>
      <w:r w:rsidRPr="00227CED">
        <w:rPr>
          <w:rFonts w:ascii="Times New Roman" w:eastAsia="Times New Roman" w:hAnsi="Times New Roman" w:cs="Times New Roman"/>
          <w:color w:val="212121"/>
          <w:sz w:val="24"/>
          <w:szCs w:val="24"/>
          <w:lang w:eastAsia="pl-PL"/>
        </w:rPr>
        <w:t xml:space="preserve"> oraz </w:t>
      </w:r>
      <w:r w:rsidRPr="00D84154">
        <w:rPr>
          <w:rFonts w:ascii="Times New Roman" w:eastAsia="Times New Roman" w:hAnsi="Times New Roman" w:cs="Times New Roman"/>
          <w:color w:val="212121"/>
          <w:sz w:val="24"/>
          <w:szCs w:val="24"/>
          <w:lang w:eastAsia="pl-PL"/>
        </w:rPr>
        <w:t xml:space="preserve">wpływ naruszenia na przebieg i termin zakończenia postępowania. Mając na uwadze istotny charakter wskazanej czynności dochodzeniowej, Prezes UOKiK nakładając karę za niewywiązanie się z obowiązku określonego w art. 50 </w:t>
      </w:r>
      <w:r w:rsidR="00622990" w:rsidRPr="00D84154">
        <w:rPr>
          <w:rFonts w:ascii="Times New Roman" w:eastAsia="Times New Roman" w:hAnsi="Times New Roman" w:cs="Times New Roman"/>
          <w:color w:val="212121"/>
          <w:sz w:val="24"/>
          <w:szCs w:val="24"/>
          <w:lang w:eastAsia="pl-PL"/>
        </w:rPr>
        <w:t>u</w:t>
      </w:r>
      <w:r w:rsidRPr="00D84154">
        <w:rPr>
          <w:rFonts w:ascii="Times New Roman" w:eastAsia="Times New Roman" w:hAnsi="Times New Roman" w:cs="Times New Roman"/>
          <w:color w:val="212121"/>
          <w:sz w:val="24"/>
          <w:szCs w:val="24"/>
          <w:lang w:eastAsia="pl-PL"/>
        </w:rPr>
        <w:t xml:space="preserve">stawy </w:t>
      </w:r>
      <w:r w:rsidR="00622990" w:rsidRPr="00D84154">
        <w:rPr>
          <w:rFonts w:ascii="Times New Roman" w:eastAsia="Times New Roman" w:hAnsi="Times New Roman" w:cs="Times New Roman"/>
          <w:color w:val="212121"/>
          <w:sz w:val="24"/>
          <w:szCs w:val="24"/>
          <w:lang w:eastAsia="pl-PL"/>
        </w:rPr>
        <w:t xml:space="preserve">będzie brał </w:t>
      </w:r>
      <w:r w:rsidRPr="00D84154">
        <w:rPr>
          <w:rFonts w:ascii="Times New Roman" w:eastAsia="Times New Roman" w:hAnsi="Times New Roman" w:cs="Times New Roman"/>
          <w:color w:val="212121"/>
          <w:sz w:val="24"/>
          <w:szCs w:val="24"/>
          <w:lang w:eastAsia="pl-PL"/>
        </w:rPr>
        <w:t>pod uwagę przede wszystkim potencjalny wpływ tej okoliczności na przebieg i termin zakończenia postępowania, ponieważ uchybienie przepisowi nie powoduje innego rodzaju konsekwencji i nie ma bezpośredniego wpływu na zakłócenie konkurencji lub powstanie szkody dla uczestników rynku. Jednocześnie, ze względu na potencjalnie szeroki krąg adresatów wezwania, nakładając karę Prezes UOKiK bierze pod uwagę warunki osobiste osoby</w:t>
      </w:r>
      <w:r w:rsidR="00622990" w:rsidRPr="00D84154">
        <w:rPr>
          <w:rFonts w:ascii="Times New Roman" w:eastAsia="Times New Roman" w:hAnsi="Times New Roman" w:cs="Times New Roman"/>
          <w:color w:val="212121"/>
          <w:sz w:val="24"/>
          <w:szCs w:val="24"/>
          <w:lang w:eastAsia="pl-PL"/>
        </w:rPr>
        <w:t>,</w:t>
      </w:r>
      <w:r w:rsidRPr="00D84154">
        <w:rPr>
          <w:rFonts w:ascii="Times New Roman" w:eastAsia="Times New Roman" w:hAnsi="Times New Roman" w:cs="Times New Roman"/>
          <w:color w:val="212121"/>
          <w:sz w:val="24"/>
          <w:szCs w:val="24"/>
          <w:lang w:eastAsia="pl-PL"/>
        </w:rPr>
        <w:t xml:space="preserve"> na którą nakładana jest kara, takie jak kwalifikacje zawodowe, wykształcenie, rozeznanie oraz jej status majątkowy.</w:t>
      </w:r>
    </w:p>
    <w:p w14:paraId="6288CC1C" w14:textId="1853FC07" w:rsidR="00B25CA5" w:rsidRPr="00D84154" w:rsidRDefault="00B25CA5"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 projekcie przyjęto, że w przypadku art. 108 ust. 3a, maksymalna wysokość kary nałożonej na osobę fizyczną, podobnie w ust. 1, będzie wynosić pięćdziesięciokrotność przeciętnego wynagrodzenia, co jak się wydaje zrealizuje w wystarczającym stopniu prewencyjny cel takich kar i przyczyni się do większej skuteczności przepisów nakładających obowiązki, których uchybienie może skutkować ww. karami.</w:t>
      </w:r>
    </w:p>
    <w:p w14:paraId="1788773F" w14:textId="4C2A5519" w:rsidR="003B1898" w:rsidRPr="00D84154" w:rsidRDefault="003B1898"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W art. 108a </w:t>
      </w:r>
      <w:r w:rsidR="005170EB" w:rsidRPr="00D84154">
        <w:rPr>
          <w:rFonts w:ascii="Times New Roman" w:hAnsi="Times New Roman" w:cs="Times New Roman"/>
          <w:color w:val="000000" w:themeColor="text1"/>
          <w:sz w:val="24"/>
          <w:szCs w:val="24"/>
        </w:rPr>
        <w:t xml:space="preserve">ustawy </w:t>
      </w:r>
      <w:r w:rsidRPr="00D84154">
        <w:rPr>
          <w:rFonts w:ascii="Times New Roman" w:hAnsi="Times New Roman" w:cs="Times New Roman"/>
          <w:color w:val="000000" w:themeColor="text1"/>
          <w:sz w:val="24"/>
          <w:szCs w:val="24"/>
        </w:rPr>
        <w:t>zaproponowano regulację</w:t>
      </w:r>
      <w:r w:rsidR="002C2464" w:rsidRPr="00D84154">
        <w:rPr>
          <w:rFonts w:ascii="Times New Roman" w:hAnsi="Times New Roman" w:cs="Times New Roman"/>
          <w:color w:val="000000" w:themeColor="text1"/>
          <w:sz w:val="24"/>
          <w:szCs w:val="24"/>
        </w:rPr>
        <w:t>, której celem jest wykluczenie możliwości podwójnego ukarania za to samo naruszenie przewidziane w usta</w:t>
      </w:r>
      <w:r w:rsidR="00A627FF">
        <w:rPr>
          <w:rFonts w:ascii="Times New Roman" w:hAnsi="Times New Roman" w:cs="Times New Roman"/>
          <w:color w:val="000000" w:themeColor="text1"/>
          <w:sz w:val="24"/>
          <w:szCs w:val="24"/>
        </w:rPr>
        <w:t>wie, na podstawie art. 106 ust. </w:t>
      </w:r>
      <w:r w:rsidR="002C2464" w:rsidRPr="00D84154">
        <w:rPr>
          <w:rFonts w:ascii="Times New Roman" w:hAnsi="Times New Roman" w:cs="Times New Roman"/>
          <w:color w:val="000000" w:themeColor="text1"/>
          <w:sz w:val="24"/>
          <w:szCs w:val="24"/>
        </w:rPr>
        <w:t>2 i art. 108</w:t>
      </w:r>
      <w:r w:rsidR="00AA0BEF">
        <w:rPr>
          <w:rFonts w:ascii="Times New Roman" w:hAnsi="Times New Roman" w:cs="Times New Roman"/>
          <w:color w:val="000000" w:themeColor="text1"/>
          <w:sz w:val="24"/>
          <w:szCs w:val="24"/>
        </w:rPr>
        <w:t>,</w:t>
      </w:r>
      <w:r w:rsidR="002C2464" w:rsidRPr="00D84154">
        <w:rPr>
          <w:rFonts w:ascii="Times New Roman" w:hAnsi="Times New Roman" w:cs="Times New Roman"/>
          <w:color w:val="000000" w:themeColor="text1"/>
          <w:sz w:val="24"/>
          <w:szCs w:val="24"/>
        </w:rPr>
        <w:t xml:space="preserve"> przedsiębiorców będących osobami fizycznymi prowadzącymi działalność gospodarczą.</w:t>
      </w:r>
    </w:p>
    <w:p w14:paraId="7F6A784C" w14:textId="2C845802" w:rsidR="002C2464" w:rsidRPr="00D84154" w:rsidRDefault="002C2464"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Ponadto w </w:t>
      </w:r>
      <w:r w:rsidR="00437FC2" w:rsidRPr="00D84154">
        <w:rPr>
          <w:rFonts w:ascii="Times New Roman" w:hAnsi="Times New Roman" w:cs="Times New Roman"/>
          <w:color w:val="000000" w:themeColor="text1"/>
          <w:sz w:val="24"/>
          <w:szCs w:val="24"/>
        </w:rPr>
        <w:t xml:space="preserve">zmienionym </w:t>
      </w:r>
      <w:r w:rsidRPr="00D84154">
        <w:rPr>
          <w:rFonts w:ascii="Times New Roman" w:hAnsi="Times New Roman" w:cs="Times New Roman"/>
          <w:color w:val="000000" w:themeColor="text1"/>
          <w:sz w:val="24"/>
          <w:szCs w:val="24"/>
        </w:rPr>
        <w:t xml:space="preserve">art. 111 ust. 1 </w:t>
      </w:r>
      <w:r w:rsidR="00437FC2" w:rsidRPr="00D84154">
        <w:rPr>
          <w:rFonts w:ascii="Times New Roman" w:hAnsi="Times New Roman" w:cs="Times New Roman"/>
          <w:color w:val="000000" w:themeColor="text1"/>
          <w:sz w:val="24"/>
          <w:szCs w:val="24"/>
        </w:rPr>
        <w:t xml:space="preserve">ustawy </w:t>
      </w:r>
      <w:r w:rsidRPr="00D84154">
        <w:rPr>
          <w:rFonts w:ascii="Times New Roman" w:hAnsi="Times New Roman" w:cs="Times New Roman"/>
          <w:color w:val="000000" w:themeColor="text1"/>
          <w:sz w:val="24"/>
          <w:szCs w:val="24"/>
        </w:rPr>
        <w:t>uzupełniono wytyczne dotyczące ustalania wysokości kary w zakresie nowych kar przewidzianych w projekcie.</w:t>
      </w:r>
      <w:r w:rsidR="00417CDE" w:rsidRPr="00D84154">
        <w:rPr>
          <w:rFonts w:ascii="Times New Roman" w:hAnsi="Times New Roman" w:cs="Times New Roman"/>
          <w:color w:val="000000" w:themeColor="text1"/>
          <w:sz w:val="24"/>
          <w:szCs w:val="24"/>
        </w:rPr>
        <w:t xml:space="preserve"> W projektowanych</w:t>
      </w:r>
      <w:r w:rsidR="00F65A77">
        <w:rPr>
          <w:rFonts w:ascii="Times New Roman" w:hAnsi="Times New Roman" w:cs="Times New Roman"/>
          <w:color w:val="000000" w:themeColor="text1"/>
          <w:sz w:val="24"/>
          <w:szCs w:val="24"/>
        </w:rPr>
        <w:t xml:space="preserve"> </w:t>
      </w:r>
      <w:r w:rsidR="00A627FF">
        <w:rPr>
          <w:rFonts w:ascii="Times New Roman" w:hAnsi="Times New Roman" w:cs="Times New Roman"/>
          <w:color w:val="000000" w:themeColor="text1"/>
          <w:sz w:val="24"/>
          <w:szCs w:val="24"/>
        </w:rPr>
        <w:t>w art. </w:t>
      </w:r>
      <w:r w:rsidR="00417CDE" w:rsidRPr="00D84154">
        <w:rPr>
          <w:rFonts w:ascii="Times New Roman" w:hAnsi="Times New Roman" w:cs="Times New Roman"/>
          <w:color w:val="000000" w:themeColor="text1"/>
          <w:sz w:val="24"/>
          <w:szCs w:val="24"/>
        </w:rPr>
        <w:t xml:space="preserve">111 </w:t>
      </w:r>
      <w:r w:rsidR="00437FC2" w:rsidRPr="00D84154">
        <w:rPr>
          <w:rFonts w:ascii="Times New Roman" w:hAnsi="Times New Roman" w:cs="Times New Roman"/>
          <w:color w:val="000000" w:themeColor="text1"/>
          <w:sz w:val="24"/>
          <w:szCs w:val="24"/>
        </w:rPr>
        <w:t xml:space="preserve">w </w:t>
      </w:r>
      <w:r w:rsidR="00417CDE" w:rsidRPr="00D84154">
        <w:rPr>
          <w:rFonts w:ascii="Times New Roman" w:hAnsi="Times New Roman" w:cs="Times New Roman"/>
          <w:color w:val="000000" w:themeColor="text1"/>
          <w:sz w:val="24"/>
          <w:szCs w:val="24"/>
        </w:rPr>
        <w:t>ust. 1 pkt 5 i 6</w:t>
      </w:r>
      <w:r w:rsidR="00F65A77">
        <w:rPr>
          <w:rFonts w:ascii="Times New Roman" w:hAnsi="Times New Roman" w:cs="Times New Roman"/>
          <w:color w:val="000000" w:themeColor="text1"/>
          <w:sz w:val="24"/>
          <w:szCs w:val="24"/>
        </w:rPr>
        <w:t xml:space="preserve"> </w:t>
      </w:r>
      <w:r w:rsidR="00417CDE" w:rsidRPr="00D84154">
        <w:rPr>
          <w:rFonts w:ascii="Times New Roman" w:hAnsi="Times New Roman" w:cs="Times New Roman"/>
          <w:color w:val="000000" w:themeColor="text1"/>
          <w:sz w:val="24"/>
          <w:szCs w:val="24"/>
        </w:rPr>
        <w:t>wprowadzono rozróżnienie w</w:t>
      </w:r>
      <w:r w:rsidR="00F65A77">
        <w:rPr>
          <w:rFonts w:ascii="Times New Roman" w:hAnsi="Times New Roman" w:cs="Times New Roman"/>
          <w:color w:val="000000" w:themeColor="text1"/>
          <w:sz w:val="24"/>
          <w:szCs w:val="24"/>
        </w:rPr>
        <w:t xml:space="preserve"> </w:t>
      </w:r>
      <w:r w:rsidR="00417CDE" w:rsidRPr="00D84154">
        <w:rPr>
          <w:rFonts w:ascii="Times New Roman" w:hAnsi="Times New Roman" w:cs="Times New Roman"/>
          <w:color w:val="000000" w:themeColor="text1"/>
          <w:sz w:val="24"/>
          <w:szCs w:val="24"/>
        </w:rPr>
        <w:t>zakresie przesłanek nakładania kar pieniężnych na biegłego w zależności od tego</w:t>
      </w:r>
      <w:r w:rsidR="00AA0BEF">
        <w:rPr>
          <w:rFonts w:ascii="Times New Roman" w:hAnsi="Times New Roman" w:cs="Times New Roman"/>
          <w:color w:val="000000" w:themeColor="text1"/>
          <w:sz w:val="24"/>
          <w:szCs w:val="24"/>
        </w:rPr>
        <w:t>,</w:t>
      </w:r>
      <w:r w:rsidR="00417CDE" w:rsidRPr="00D84154">
        <w:rPr>
          <w:rFonts w:ascii="Times New Roman" w:hAnsi="Times New Roman" w:cs="Times New Roman"/>
          <w:color w:val="000000" w:themeColor="text1"/>
          <w:sz w:val="24"/>
          <w:szCs w:val="24"/>
        </w:rPr>
        <w:t xml:space="preserve"> czy biegłym jest osoba fizyczna czy też osoba prawna, o której mowa w art. 54 ust. 2 </w:t>
      </w:r>
      <w:r w:rsidR="007426E4" w:rsidRPr="00D84154">
        <w:rPr>
          <w:rFonts w:ascii="Times New Roman" w:hAnsi="Times New Roman" w:cs="Times New Roman"/>
          <w:color w:val="000000" w:themeColor="text1"/>
          <w:sz w:val="24"/>
          <w:szCs w:val="24"/>
        </w:rPr>
        <w:t>u</w:t>
      </w:r>
      <w:r w:rsidR="00417CDE" w:rsidRPr="00D84154">
        <w:rPr>
          <w:rFonts w:ascii="Times New Roman" w:hAnsi="Times New Roman" w:cs="Times New Roman"/>
          <w:color w:val="000000" w:themeColor="text1"/>
          <w:sz w:val="24"/>
          <w:szCs w:val="24"/>
        </w:rPr>
        <w:t>stawy.</w:t>
      </w:r>
    </w:p>
    <w:p w14:paraId="73D35625" w14:textId="77777777" w:rsidR="0081708D" w:rsidRPr="007168FD" w:rsidRDefault="00D159BB" w:rsidP="00D84154">
      <w:pPr>
        <w:pStyle w:val="Akapitzlist"/>
        <w:numPr>
          <w:ilvl w:val="0"/>
          <w:numId w:val="2"/>
        </w:numPr>
        <w:spacing w:before="120" w:after="0" w:line="360" w:lineRule="auto"/>
        <w:ind w:left="426" w:hanging="426"/>
        <w:jc w:val="both"/>
        <w:rPr>
          <w:rFonts w:ascii="Times New Roman" w:hAnsi="Times New Roman" w:cs="Times New Roman"/>
          <w:b/>
          <w:bCs/>
          <w:color w:val="000000" w:themeColor="text1"/>
          <w:sz w:val="24"/>
          <w:szCs w:val="24"/>
        </w:rPr>
      </w:pPr>
      <w:r w:rsidRPr="007168FD">
        <w:rPr>
          <w:rFonts w:ascii="Times New Roman" w:hAnsi="Times New Roman" w:cs="Times New Roman"/>
          <w:b/>
          <w:bCs/>
          <w:color w:val="000000" w:themeColor="text1"/>
          <w:sz w:val="24"/>
          <w:szCs w:val="24"/>
        </w:rPr>
        <w:t>Program łagodzenia kar (leniency)</w:t>
      </w:r>
    </w:p>
    <w:p w14:paraId="0D9CB56B" w14:textId="5D6BED65" w:rsidR="0081708D" w:rsidRPr="00D84154" w:rsidRDefault="0081708D" w:rsidP="00D84154">
      <w:pPr>
        <w:spacing w:before="120" w:after="0" w:line="360" w:lineRule="auto"/>
        <w:jc w:val="both"/>
        <w:rPr>
          <w:rFonts w:ascii="Times New Roman" w:hAnsi="Times New Roman" w:cs="Times New Roman"/>
          <w:b/>
          <w:bCs/>
          <w:color w:val="000000" w:themeColor="text1"/>
          <w:sz w:val="24"/>
          <w:szCs w:val="24"/>
        </w:rPr>
      </w:pPr>
      <w:r w:rsidRPr="007168FD">
        <w:rPr>
          <w:rFonts w:ascii="Times New Roman" w:hAnsi="Times New Roman" w:cs="Times New Roman"/>
          <w:color w:val="000000" w:themeColor="text1"/>
          <w:sz w:val="24"/>
          <w:szCs w:val="24"/>
        </w:rPr>
        <w:t>Zmiany przewidziane w rozdziale 2 działu VII ustawy</w:t>
      </w:r>
      <w:r w:rsidR="00F65A77" w:rsidRPr="007168FD">
        <w:rPr>
          <w:rFonts w:ascii="Times New Roman" w:hAnsi="Times New Roman" w:cs="Times New Roman"/>
          <w:color w:val="000000" w:themeColor="text1"/>
          <w:sz w:val="24"/>
          <w:szCs w:val="24"/>
        </w:rPr>
        <w:t xml:space="preserve"> </w:t>
      </w:r>
      <w:r w:rsidRPr="007168FD">
        <w:rPr>
          <w:rFonts w:ascii="Times New Roman" w:hAnsi="Times New Roman" w:cs="Times New Roman"/>
          <w:color w:val="000000" w:themeColor="text1"/>
          <w:sz w:val="24"/>
          <w:szCs w:val="24"/>
        </w:rPr>
        <w:t xml:space="preserve">(Odstąpienie od wymierzenia kary pieniężnej lub jej obniżenie w sprawach porozumień ograniczających konkurencję) mają na celu wdrożenie rozdziału VI </w:t>
      </w:r>
      <w:r w:rsidR="00E60CE5" w:rsidRPr="007168FD">
        <w:rPr>
          <w:rFonts w:ascii="Times New Roman" w:hAnsi="Times New Roman" w:cs="Times New Roman"/>
          <w:color w:val="000000" w:themeColor="text1"/>
          <w:sz w:val="24"/>
          <w:szCs w:val="24"/>
        </w:rPr>
        <w:t>d</w:t>
      </w:r>
      <w:r w:rsidRPr="007168FD">
        <w:rPr>
          <w:rFonts w:ascii="Times New Roman" w:hAnsi="Times New Roman" w:cs="Times New Roman"/>
          <w:color w:val="000000" w:themeColor="text1"/>
          <w:sz w:val="24"/>
          <w:szCs w:val="24"/>
        </w:rPr>
        <w:t xml:space="preserve">yrektywy. Dyrektywa przewiduje w tym zakresie zasadniczo </w:t>
      </w:r>
      <w:r w:rsidRPr="00D84154">
        <w:rPr>
          <w:rFonts w:ascii="Times New Roman" w:hAnsi="Times New Roman" w:cs="Times New Roman"/>
          <w:color w:val="000000" w:themeColor="text1"/>
          <w:sz w:val="24"/>
          <w:szCs w:val="24"/>
        </w:rPr>
        <w:t>harmonizację pełną. Dla zapewnienia skuteczności dział</w:t>
      </w:r>
      <w:r w:rsidR="00A627FF">
        <w:rPr>
          <w:rFonts w:ascii="Times New Roman" w:hAnsi="Times New Roman" w:cs="Times New Roman"/>
          <w:color w:val="000000" w:themeColor="text1"/>
          <w:sz w:val="24"/>
          <w:szCs w:val="24"/>
        </w:rPr>
        <w:t>ania programów łagodzenia kar w </w:t>
      </w:r>
      <w:r w:rsidRPr="00D84154">
        <w:rPr>
          <w:rFonts w:ascii="Times New Roman" w:hAnsi="Times New Roman" w:cs="Times New Roman"/>
          <w:color w:val="000000" w:themeColor="text1"/>
          <w:sz w:val="24"/>
          <w:szCs w:val="24"/>
        </w:rPr>
        <w:t xml:space="preserve">ramach Unii Europejskiej, w celu zachęcenia potencjalnych wnioskodawców do </w:t>
      </w:r>
      <w:r w:rsidRPr="00D84154">
        <w:rPr>
          <w:rFonts w:ascii="Times New Roman" w:hAnsi="Times New Roman" w:cs="Times New Roman"/>
          <w:color w:val="000000" w:themeColor="text1"/>
          <w:sz w:val="24"/>
          <w:szCs w:val="24"/>
        </w:rPr>
        <w:lastRenderedPageBreak/>
        <w:t xml:space="preserve">informowania organów ochrony konkurencji o tajnych niedozwolonych porozumieniach ograniczających konkurencję konieczne </w:t>
      </w:r>
      <w:r w:rsidR="00981C44" w:rsidRPr="00D84154">
        <w:rPr>
          <w:rFonts w:ascii="Times New Roman" w:hAnsi="Times New Roman" w:cs="Times New Roman"/>
          <w:color w:val="000000" w:themeColor="text1"/>
          <w:sz w:val="24"/>
          <w:szCs w:val="24"/>
        </w:rPr>
        <w:t xml:space="preserve">jest </w:t>
      </w:r>
      <w:r w:rsidRPr="00D84154">
        <w:rPr>
          <w:rFonts w:ascii="Times New Roman" w:hAnsi="Times New Roman" w:cs="Times New Roman"/>
          <w:color w:val="000000" w:themeColor="text1"/>
          <w:sz w:val="24"/>
          <w:szCs w:val="24"/>
        </w:rPr>
        <w:t xml:space="preserve">wyeliminowanie rozbieżności między poszczególnymi krajowymi programami łagodzenia kar, szczególnie w zakresie progów dowodowych oraz warunków, od spełnienia których </w:t>
      </w:r>
      <w:r w:rsidR="007168FD" w:rsidRPr="00D84154">
        <w:rPr>
          <w:rFonts w:ascii="Times New Roman" w:hAnsi="Times New Roman" w:cs="Times New Roman"/>
          <w:color w:val="000000" w:themeColor="text1"/>
          <w:sz w:val="24"/>
          <w:szCs w:val="24"/>
        </w:rPr>
        <w:t xml:space="preserve">jest </w:t>
      </w:r>
      <w:r w:rsidRPr="00D84154">
        <w:rPr>
          <w:rFonts w:ascii="Times New Roman" w:hAnsi="Times New Roman" w:cs="Times New Roman"/>
          <w:color w:val="000000" w:themeColor="text1"/>
          <w:sz w:val="24"/>
          <w:szCs w:val="24"/>
        </w:rPr>
        <w:t xml:space="preserve">uzależnione uzyskanie przez wnioskodawcę zwolnienia od kary lub jej obniżenia. Obecne różnice w krajowych systemach </w:t>
      </w:r>
      <w:r w:rsidRPr="00611A1E">
        <w:rPr>
          <w:rFonts w:ascii="Times New Roman" w:hAnsi="Times New Roman" w:cs="Times New Roman"/>
          <w:i/>
          <w:color w:val="000000" w:themeColor="text1"/>
          <w:sz w:val="24"/>
          <w:szCs w:val="24"/>
        </w:rPr>
        <w:t>leniency</w:t>
      </w:r>
      <w:r w:rsidRPr="00D84154">
        <w:rPr>
          <w:rFonts w:ascii="Times New Roman" w:hAnsi="Times New Roman" w:cs="Times New Roman"/>
          <w:color w:val="000000" w:themeColor="text1"/>
          <w:sz w:val="24"/>
          <w:szCs w:val="24"/>
        </w:rPr>
        <w:t xml:space="preserve"> negatywnie oddziałują na pewność prawną przedsiębiorców, zniechęcając ich do składania wniosków </w:t>
      </w:r>
      <w:r w:rsidRPr="00611A1E">
        <w:rPr>
          <w:rFonts w:ascii="Times New Roman" w:hAnsi="Times New Roman" w:cs="Times New Roman"/>
          <w:i/>
          <w:color w:val="000000" w:themeColor="text1"/>
          <w:sz w:val="24"/>
          <w:szCs w:val="24"/>
        </w:rPr>
        <w:t>leniency</w:t>
      </w:r>
      <w:r w:rsidRPr="00D84154">
        <w:rPr>
          <w:rFonts w:ascii="Times New Roman" w:hAnsi="Times New Roman" w:cs="Times New Roman"/>
          <w:color w:val="000000" w:themeColor="text1"/>
          <w:sz w:val="24"/>
          <w:szCs w:val="24"/>
        </w:rPr>
        <w:t>, zwłaszcza w odniesieniu do tzw. karteli tran</w:t>
      </w:r>
      <w:r w:rsidR="00EB4599" w:rsidRPr="00D84154">
        <w:rPr>
          <w:rFonts w:ascii="Times New Roman" w:hAnsi="Times New Roman" w:cs="Times New Roman"/>
          <w:color w:val="000000" w:themeColor="text1"/>
          <w:sz w:val="24"/>
          <w:szCs w:val="24"/>
        </w:rPr>
        <w:t>s</w:t>
      </w:r>
      <w:r w:rsidRPr="00D84154">
        <w:rPr>
          <w:rFonts w:ascii="Times New Roman" w:hAnsi="Times New Roman" w:cs="Times New Roman"/>
          <w:color w:val="000000" w:themeColor="text1"/>
          <w:sz w:val="24"/>
          <w:szCs w:val="24"/>
        </w:rPr>
        <w:t>granicznych, tzn. obejmujących swoim zasięgiem więcej niż jedno państwo.</w:t>
      </w:r>
    </w:p>
    <w:p w14:paraId="4FE8739B" w14:textId="77777777" w:rsidR="0081708D" w:rsidRPr="00D84154" w:rsidRDefault="0081708D"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Zakres projektowanych zmian (różnice w stosunku do obecnego stanu prawnego):</w:t>
      </w:r>
    </w:p>
    <w:p w14:paraId="23A7E1D1" w14:textId="46CA9F0C" w:rsidR="0081708D" w:rsidRPr="00D84154" w:rsidRDefault="001A4BBE"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t>
      </w:r>
      <w:r w:rsidR="0081708D" w:rsidRPr="00D84154">
        <w:rPr>
          <w:rFonts w:ascii="Times New Roman" w:hAnsi="Times New Roman" w:cs="Times New Roman"/>
          <w:color w:val="000000" w:themeColor="text1"/>
          <w:sz w:val="24"/>
          <w:szCs w:val="24"/>
        </w:rPr>
        <w:t xml:space="preserve"> doprecyzowanie i ujednolicenie progów dowodowych dl</w:t>
      </w:r>
      <w:r w:rsidR="00A627FF">
        <w:rPr>
          <w:rFonts w:ascii="Times New Roman" w:hAnsi="Times New Roman" w:cs="Times New Roman"/>
          <w:color w:val="000000" w:themeColor="text1"/>
          <w:sz w:val="24"/>
          <w:szCs w:val="24"/>
        </w:rPr>
        <w:t>a odstąpienia i obniżenia kar w </w:t>
      </w:r>
      <w:r w:rsidR="0081708D" w:rsidRPr="00D84154">
        <w:rPr>
          <w:rFonts w:ascii="Times New Roman" w:hAnsi="Times New Roman" w:cs="Times New Roman"/>
          <w:color w:val="000000" w:themeColor="text1"/>
          <w:sz w:val="24"/>
          <w:szCs w:val="24"/>
        </w:rPr>
        <w:t xml:space="preserve">zgodzie z art. 17 i </w:t>
      </w:r>
      <w:r w:rsidR="00CA0A5F" w:rsidRPr="00D84154">
        <w:rPr>
          <w:rFonts w:ascii="Times New Roman" w:hAnsi="Times New Roman" w:cs="Times New Roman"/>
          <w:color w:val="000000" w:themeColor="text1"/>
          <w:sz w:val="24"/>
          <w:szCs w:val="24"/>
        </w:rPr>
        <w:t xml:space="preserve">art. </w:t>
      </w:r>
      <w:r w:rsidR="0081708D" w:rsidRPr="00D84154">
        <w:rPr>
          <w:rFonts w:ascii="Times New Roman" w:hAnsi="Times New Roman" w:cs="Times New Roman"/>
          <w:color w:val="000000" w:themeColor="text1"/>
          <w:sz w:val="24"/>
          <w:szCs w:val="24"/>
        </w:rPr>
        <w:t>18 dyrektywy;</w:t>
      </w:r>
    </w:p>
    <w:p w14:paraId="7A8EE6F7" w14:textId="41E9B32F" w:rsidR="0081708D" w:rsidRPr="00D84154" w:rsidRDefault="001A4BBE"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t>
      </w:r>
      <w:r w:rsidR="0081708D" w:rsidRPr="00D84154">
        <w:rPr>
          <w:rFonts w:ascii="Times New Roman" w:hAnsi="Times New Roman" w:cs="Times New Roman"/>
          <w:color w:val="000000" w:themeColor="text1"/>
          <w:sz w:val="24"/>
          <w:szCs w:val="24"/>
        </w:rPr>
        <w:t xml:space="preserve"> wprowadzenie wymogu dotyczącego ujawniania informacji o swoim uczestnictwie w tajnym kartelu;</w:t>
      </w:r>
    </w:p>
    <w:p w14:paraId="573F7BFA" w14:textId="5FC7F977" w:rsidR="0081708D" w:rsidRPr="00D84154" w:rsidRDefault="001A4BBE"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t>
      </w:r>
      <w:r w:rsidR="0081708D" w:rsidRPr="00D84154">
        <w:rPr>
          <w:rFonts w:ascii="Times New Roman" w:hAnsi="Times New Roman" w:cs="Times New Roman"/>
          <w:color w:val="000000" w:themeColor="text1"/>
          <w:sz w:val="24"/>
          <w:szCs w:val="24"/>
        </w:rPr>
        <w:t xml:space="preserve"> zmiana językowa w obecnym art. 113b </w:t>
      </w:r>
      <w:r w:rsidR="005337C9" w:rsidRPr="00D84154">
        <w:rPr>
          <w:rFonts w:ascii="Times New Roman" w:hAnsi="Times New Roman" w:cs="Times New Roman"/>
          <w:color w:val="000000" w:themeColor="text1"/>
          <w:sz w:val="24"/>
          <w:szCs w:val="24"/>
        </w:rPr>
        <w:t xml:space="preserve">ust. 1 </w:t>
      </w:r>
      <w:r w:rsidR="0081708D" w:rsidRPr="00D84154">
        <w:rPr>
          <w:rFonts w:ascii="Times New Roman" w:hAnsi="Times New Roman" w:cs="Times New Roman"/>
          <w:color w:val="000000" w:themeColor="text1"/>
          <w:sz w:val="24"/>
          <w:szCs w:val="24"/>
        </w:rPr>
        <w:t xml:space="preserve">pkt 3 </w:t>
      </w:r>
      <w:r w:rsidR="00063972" w:rsidRPr="00D84154">
        <w:rPr>
          <w:rFonts w:ascii="Times New Roman" w:hAnsi="Times New Roman" w:cs="Times New Roman"/>
          <w:color w:val="000000" w:themeColor="text1"/>
          <w:sz w:val="24"/>
          <w:szCs w:val="24"/>
        </w:rPr>
        <w:t>u</w:t>
      </w:r>
      <w:r w:rsidR="00C20C9B" w:rsidRPr="00D84154">
        <w:rPr>
          <w:rFonts w:ascii="Times New Roman" w:hAnsi="Times New Roman" w:cs="Times New Roman"/>
          <w:color w:val="000000" w:themeColor="text1"/>
          <w:sz w:val="24"/>
          <w:szCs w:val="24"/>
        </w:rPr>
        <w:t>stawy</w:t>
      </w:r>
      <w:r w:rsidR="0081708D" w:rsidRPr="00D84154">
        <w:rPr>
          <w:rFonts w:ascii="Times New Roman" w:hAnsi="Times New Roman" w:cs="Times New Roman"/>
          <w:color w:val="000000" w:themeColor="text1"/>
          <w:sz w:val="24"/>
          <w:szCs w:val="24"/>
        </w:rPr>
        <w:t xml:space="preserve"> – zamiast „nakłania</w:t>
      </w:r>
      <w:r w:rsidR="005337C9" w:rsidRPr="00D84154">
        <w:rPr>
          <w:rFonts w:ascii="Times New Roman" w:hAnsi="Times New Roman" w:cs="Times New Roman"/>
          <w:color w:val="000000" w:themeColor="text1"/>
          <w:sz w:val="24"/>
          <w:szCs w:val="24"/>
        </w:rPr>
        <w:t>nia</w:t>
      </w:r>
      <w:r w:rsidR="0081708D" w:rsidRPr="00D84154">
        <w:rPr>
          <w:rFonts w:ascii="Times New Roman" w:hAnsi="Times New Roman" w:cs="Times New Roman"/>
          <w:color w:val="000000" w:themeColor="text1"/>
          <w:sz w:val="24"/>
          <w:szCs w:val="24"/>
        </w:rPr>
        <w:t>” – „przymusza</w:t>
      </w:r>
      <w:r w:rsidR="005337C9" w:rsidRPr="00D84154">
        <w:rPr>
          <w:rFonts w:ascii="Times New Roman" w:hAnsi="Times New Roman" w:cs="Times New Roman"/>
          <w:color w:val="000000" w:themeColor="text1"/>
          <w:sz w:val="24"/>
          <w:szCs w:val="24"/>
        </w:rPr>
        <w:t>nie</w:t>
      </w:r>
      <w:r w:rsidR="0081708D" w:rsidRPr="00D84154">
        <w:rPr>
          <w:rFonts w:ascii="Times New Roman" w:hAnsi="Times New Roman" w:cs="Times New Roman"/>
          <w:color w:val="000000" w:themeColor="text1"/>
          <w:sz w:val="24"/>
          <w:szCs w:val="24"/>
        </w:rPr>
        <w:t xml:space="preserve">”. Zmiana ma na celu zapewnienie spójności z art. 17 ust. 3 dyrektywy </w:t>
      </w:r>
      <w:r w:rsidR="0020092D" w:rsidRPr="00D84154">
        <w:rPr>
          <w:rFonts w:ascii="Times New Roman" w:hAnsi="Times New Roman" w:cs="Times New Roman"/>
          <w:color w:val="000000" w:themeColor="text1"/>
          <w:sz w:val="24"/>
          <w:szCs w:val="24"/>
        </w:rPr>
        <w:t xml:space="preserve">(przepis ten w innych wersjach językowych m.in. w języku angielskim wyraźnie wskazuje, że dotyczy on podmiotu, który przymusza innych do uczestnictwa w kartelu) </w:t>
      </w:r>
      <w:r w:rsidR="0081708D" w:rsidRPr="00D84154">
        <w:rPr>
          <w:rFonts w:ascii="Times New Roman" w:hAnsi="Times New Roman" w:cs="Times New Roman"/>
          <w:color w:val="000000" w:themeColor="text1"/>
          <w:sz w:val="24"/>
          <w:szCs w:val="24"/>
        </w:rPr>
        <w:t>oraz zwiększenie pewności prawnej wnioskodawców</w:t>
      </w:r>
      <w:r w:rsidR="00844043" w:rsidRPr="00D84154">
        <w:rPr>
          <w:rFonts w:ascii="Times New Roman" w:hAnsi="Times New Roman" w:cs="Times New Roman"/>
          <w:color w:val="000000" w:themeColor="text1"/>
          <w:sz w:val="24"/>
          <w:szCs w:val="24"/>
        </w:rPr>
        <w:t>;</w:t>
      </w:r>
    </w:p>
    <w:p w14:paraId="3984158A" w14:textId="41946A0A" w:rsidR="0081708D" w:rsidRPr="00D84154" w:rsidRDefault="001A4BBE"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t>
      </w:r>
      <w:r w:rsidR="0081708D" w:rsidRPr="00D84154">
        <w:rPr>
          <w:rFonts w:ascii="Times New Roman" w:hAnsi="Times New Roman" w:cs="Times New Roman"/>
          <w:color w:val="000000" w:themeColor="text1"/>
          <w:sz w:val="24"/>
          <w:szCs w:val="24"/>
        </w:rPr>
        <w:t xml:space="preserve"> wprowadzenie przepisu</w:t>
      </w:r>
      <w:r w:rsidR="007168FD">
        <w:rPr>
          <w:rFonts w:ascii="Times New Roman" w:hAnsi="Times New Roman" w:cs="Times New Roman"/>
          <w:color w:val="000000" w:themeColor="text1"/>
          <w:sz w:val="24"/>
          <w:szCs w:val="24"/>
        </w:rPr>
        <w:t>,</w:t>
      </w:r>
      <w:r w:rsidR="0081708D" w:rsidRPr="00D84154">
        <w:rPr>
          <w:rFonts w:ascii="Times New Roman" w:hAnsi="Times New Roman" w:cs="Times New Roman"/>
          <w:color w:val="000000" w:themeColor="text1"/>
          <w:sz w:val="24"/>
          <w:szCs w:val="24"/>
        </w:rPr>
        <w:t xml:space="preserve"> zgodnie z którym, w przypadku gdy wnioskodawca przedstawi istotne dowody na zaistnienie dodatkowych faktów, które powodują podwyższenie kar dla innych przedsiębiorców, organ nie uwzględnia tych dodatkowych faktów podczas ustalania kary dla wnioskodawcy, który przedstawił te istotne dowody </w:t>
      </w:r>
      <w:r w:rsidR="007168FD">
        <w:rPr>
          <w:rFonts w:ascii="Times New Roman" w:hAnsi="Times New Roman" w:cs="Times New Roman"/>
          <w:color w:val="000000" w:themeColor="text1"/>
          <w:sz w:val="24"/>
          <w:szCs w:val="24"/>
        </w:rPr>
        <w:t>–</w:t>
      </w:r>
      <w:r w:rsidR="00A627FF">
        <w:rPr>
          <w:rFonts w:ascii="Times New Roman" w:hAnsi="Times New Roman" w:cs="Times New Roman"/>
          <w:color w:val="000000" w:themeColor="text1"/>
          <w:sz w:val="24"/>
          <w:szCs w:val="24"/>
        </w:rPr>
        <w:t xml:space="preserve"> wdrożenie art. 18 ust. </w:t>
      </w:r>
      <w:r w:rsidR="0081708D" w:rsidRPr="00D84154">
        <w:rPr>
          <w:rFonts w:ascii="Times New Roman" w:hAnsi="Times New Roman" w:cs="Times New Roman"/>
          <w:color w:val="000000" w:themeColor="text1"/>
          <w:sz w:val="24"/>
          <w:szCs w:val="24"/>
        </w:rPr>
        <w:t xml:space="preserve">3 </w:t>
      </w:r>
      <w:r w:rsidR="00063972" w:rsidRPr="00D84154">
        <w:rPr>
          <w:rFonts w:ascii="Times New Roman" w:hAnsi="Times New Roman" w:cs="Times New Roman"/>
          <w:color w:val="000000" w:themeColor="text1"/>
          <w:sz w:val="24"/>
          <w:szCs w:val="24"/>
        </w:rPr>
        <w:t>d</w:t>
      </w:r>
      <w:r w:rsidR="0081708D" w:rsidRPr="00D84154">
        <w:rPr>
          <w:rFonts w:ascii="Times New Roman" w:hAnsi="Times New Roman" w:cs="Times New Roman"/>
          <w:color w:val="000000" w:themeColor="text1"/>
          <w:sz w:val="24"/>
          <w:szCs w:val="24"/>
        </w:rPr>
        <w:t xml:space="preserve">yrektywy (projektowany art. 113c ust. </w:t>
      </w:r>
      <w:r w:rsidR="00CA0A5F" w:rsidRPr="00D84154">
        <w:rPr>
          <w:rFonts w:ascii="Times New Roman" w:hAnsi="Times New Roman" w:cs="Times New Roman"/>
          <w:color w:val="000000" w:themeColor="text1"/>
          <w:sz w:val="24"/>
          <w:szCs w:val="24"/>
        </w:rPr>
        <w:t>4</w:t>
      </w:r>
      <w:r w:rsidR="0081708D" w:rsidRPr="00D84154">
        <w:rPr>
          <w:rFonts w:ascii="Times New Roman" w:hAnsi="Times New Roman" w:cs="Times New Roman"/>
          <w:color w:val="000000" w:themeColor="text1"/>
          <w:sz w:val="24"/>
          <w:szCs w:val="24"/>
        </w:rPr>
        <w:t xml:space="preserve"> ustawy);</w:t>
      </w:r>
    </w:p>
    <w:p w14:paraId="1B3B224E" w14:textId="547DA0ED" w:rsidR="0081708D" w:rsidRPr="00D84154" w:rsidRDefault="001A4BBE"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t>
      </w:r>
      <w:r w:rsidR="0081708D" w:rsidRPr="00D84154">
        <w:rPr>
          <w:rFonts w:ascii="Times New Roman" w:hAnsi="Times New Roman" w:cs="Times New Roman"/>
          <w:color w:val="000000" w:themeColor="text1"/>
          <w:sz w:val="24"/>
          <w:szCs w:val="24"/>
        </w:rPr>
        <w:t xml:space="preserve"> wprowadzenie przepisu, który da wnioskodawcy możliwość żądania od organu informacji na piśmie co do decyzji w sprawie jego wniosku – wdrożenie art. 17 ust. 4 </w:t>
      </w:r>
      <w:r w:rsidR="00063972" w:rsidRPr="00D84154">
        <w:rPr>
          <w:rFonts w:ascii="Times New Roman" w:hAnsi="Times New Roman" w:cs="Times New Roman"/>
          <w:color w:val="000000" w:themeColor="text1"/>
          <w:sz w:val="24"/>
          <w:szCs w:val="24"/>
        </w:rPr>
        <w:t>d</w:t>
      </w:r>
      <w:r w:rsidR="0081708D" w:rsidRPr="00D84154">
        <w:rPr>
          <w:rFonts w:ascii="Times New Roman" w:hAnsi="Times New Roman" w:cs="Times New Roman"/>
          <w:color w:val="000000" w:themeColor="text1"/>
          <w:sz w:val="24"/>
          <w:szCs w:val="24"/>
        </w:rPr>
        <w:t>yrektywy;</w:t>
      </w:r>
    </w:p>
    <w:p w14:paraId="469FD5A4" w14:textId="510E0F91" w:rsidR="0081708D" w:rsidRPr="00D84154" w:rsidRDefault="001A4BBE"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t>
      </w:r>
      <w:r w:rsidR="0081708D" w:rsidRPr="00D84154">
        <w:rPr>
          <w:rFonts w:ascii="Times New Roman" w:hAnsi="Times New Roman" w:cs="Times New Roman"/>
          <w:color w:val="000000" w:themeColor="text1"/>
          <w:sz w:val="24"/>
          <w:szCs w:val="24"/>
        </w:rPr>
        <w:t xml:space="preserve"> w zakresie zaprzestania uczestnictwa w kartelu niezbędne </w:t>
      </w:r>
      <w:r w:rsidR="00155E9E" w:rsidRPr="00D84154">
        <w:rPr>
          <w:rFonts w:ascii="Times New Roman" w:hAnsi="Times New Roman" w:cs="Times New Roman"/>
          <w:color w:val="000000" w:themeColor="text1"/>
          <w:sz w:val="24"/>
          <w:szCs w:val="24"/>
        </w:rPr>
        <w:t xml:space="preserve">jest </w:t>
      </w:r>
      <w:r w:rsidR="00A627FF">
        <w:rPr>
          <w:rFonts w:ascii="Times New Roman" w:hAnsi="Times New Roman" w:cs="Times New Roman"/>
          <w:color w:val="000000" w:themeColor="text1"/>
          <w:sz w:val="24"/>
          <w:szCs w:val="24"/>
        </w:rPr>
        <w:t>wdrożenie art. 19 lit. </w:t>
      </w:r>
      <w:r w:rsidR="0081708D" w:rsidRPr="00D84154">
        <w:rPr>
          <w:rFonts w:ascii="Times New Roman" w:hAnsi="Times New Roman" w:cs="Times New Roman"/>
          <w:color w:val="000000" w:themeColor="text1"/>
          <w:sz w:val="24"/>
          <w:szCs w:val="24"/>
        </w:rPr>
        <w:t>a</w:t>
      </w:r>
      <w:r w:rsidR="00063972" w:rsidRPr="00D84154">
        <w:rPr>
          <w:rFonts w:ascii="Times New Roman" w:hAnsi="Times New Roman" w:cs="Times New Roman"/>
          <w:color w:val="000000" w:themeColor="text1"/>
          <w:sz w:val="24"/>
          <w:szCs w:val="24"/>
        </w:rPr>
        <w:t xml:space="preserve"> dyrektywy</w:t>
      </w:r>
      <w:r w:rsidR="0081708D" w:rsidRPr="00D84154">
        <w:rPr>
          <w:rFonts w:ascii="Times New Roman" w:hAnsi="Times New Roman" w:cs="Times New Roman"/>
          <w:color w:val="000000" w:themeColor="text1"/>
          <w:sz w:val="24"/>
          <w:szCs w:val="24"/>
        </w:rPr>
        <w:t>, który daje możliwość kontynuowania</w:t>
      </w:r>
      <w:r w:rsidR="00A627FF">
        <w:rPr>
          <w:rFonts w:ascii="Times New Roman" w:hAnsi="Times New Roman" w:cs="Times New Roman"/>
          <w:color w:val="000000" w:themeColor="text1"/>
          <w:sz w:val="24"/>
          <w:szCs w:val="24"/>
        </w:rPr>
        <w:t xml:space="preserve"> przez przedsiębiorcę udziału w </w:t>
      </w:r>
      <w:r w:rsidR="0081708D" w:rsidRPr="00D84154">
        <w:rPr>
          <w:rFonts w:ascii="Times New Roman" w:hAnsi="Times New Roman" w:cs="Times New Roman"/>
          <w:color w:val="000000" w:themeColor="text1"/>
          <w:sz w:val="24"/>
          <w:szCs w:val="24"/>
        </w:rPr>
        <w:t>porozumieniu, za zgodą organu ochrony konkurencji, jeżeli jest to w racjonalnym zakresie konieczne do zachowania skuteczności postępowania prowadzonego przez ten organ;</w:t>
      </w:r>
    </w:p>
    <w:p w14:paraId="7CD3BD1B" w14:textId="48DF63DB" w:rsidR="0081708D" w:rsidRPr="00D84154" w:rsidRDefault="001A4BBE"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t>
      </w:r>
      <w:r w:rsidR="0081708D" w:rsidRPr="00D84154">
        <w:rPr>
          <w:rFonts w:ascii="Times New Roman" w:hAnsi="Times New Roman" w:cs="Times New Roman"/>
          <w:color w:val="000000" w:themeColor="text1"/>
          <w:sz w:val="24"/>
          <w:szCs w:val="24"/>
        </w:rPr>
        <w:t xml:space="preserve"> doprecyzowanie obowiązków współpracy wnioskodawcy w</w:t>
      </w:r>
      <w:r w:rsidR="00A627FF">
        <w:rPr>
          <w:rFonts w:ascii="Times New Roman" w:hAnsi="Times New Roman" w:cs="Times New Roman"/>
          <w:color w:val="000000" w:themeColor="text1"/>
          <w:sz w:val="24"/>
          <w:szCs w:val="24"/>
        </w:rPr>
        <w:t xml:space="preserve"> zgodzie z postanowieniami art. </w:t>
      </w:r>
      <w:r w:rsidR="0081708D" w:rsidRPr="00D84154">
        <w:rPr>
          <w:rFonts w:ascii="Times New Roman" w:hAnsi="Times New Roman" w:cs="Times New Roman"/>
          <w:color w:val="000000" w:themeColor="text1"/>
          <w:sz w:val="24"/>
          <w:szCs w:val="24"/>
        </w:rPr>
        <w:t xml:space="preserve">19 pkt b </w:t>
      </w:r>
      <w:r w:rsidR="004B71B7" w:rsidRPr="00D84154">
        <w:rPr>
          <w:rFonts w:ascii="Times New Roman" w:hAnsi="Times New Roman" w:cs="Times New Roman"/>
          <w:color w:val="000000" w:themeColor="text1"/>
          <w:sz w:val="24"/>
          <w:szCs w:val="24"/>
        </w:rPr>
        <w:t>d</w:t>
      </w:r>
      <w:r w:rsidR="0081708D" w:rsidRPr="00D84154">
        <w:rPr>
          <w:rFonts w:ascii="Times New Roman" w:hAnsi="Times New Roman" w:cs="Times New Roman"/>
          <w:color w:val="000000" w:themeColor="text1"/>
          <w:sz w:val="24"/>
          <w:szCs w:val="24"/>
        </w:rPr>
        <w:t xml:space="preserve">yrektywy; w tym wprowadzenie do </w:t>
      </w:r>
      <w:r w:rsidR="00C20C9B" w:rsidRPr="00D84154">
        <w:rPr>
          <w:rFonts w:ascii="Times New Roman" w:hAnsi="Times New Roman" w:cs="Times New Roman"/>
          <w:color w:val="000000" w:themeColor="text1"/>
          <w:sz w:val="24"/>
          <w:szCs w:val="24"/>
        </w:rPr>
        <w:t>ustawy</w:t>
      </w:r>
      <w:r w:rsidR="0081708D" w:rsidRPr="00D84154">
        <w:rPr>
          <w:rFonts w:ascii="Times New Roman" w:hAnsi="Times New Roman" w:cs="Times New Roman"/>
          <w:color w:val="000000" w:themeColor="text1"/>
          <w:sz w:val="24"/>
          <w:szCs w:val="24"/>
        </w:rPr>
        <w:t xml:space="preserve"> regulacji wprost mówiącej </w:t>
      </w:r>
      <w:r w:rsidR="0081708D" w:rsidRPr="00D84154">
        <w:rPr>
          <w:rFonts w:ascii="Times New Roman" w:hAnsi="Times New Roman" w:cs="Times New Roman"/>
          <w:color w:val="000000" w:themeColor="text1"/>
          <w:sz w:val="24"/>
          <w:szCs w:val="24"/>
        </w:rPr>
        <w:lastRenderedPageBreak/>
        <w:t>o</w:t>
      </w:r>
      <w:r w:rsidR="00A627FF">
        <w:rPr>
          <w:rFonts w:ascii="Times New Roman" w:hAnsi="Times New Roman" w:cs="Times New Roman"/>
          <w:color w:val="000000" w:themeColor="text1"/>
          <w:sz w:val="24"/>
          <w:szCs w:val="24"/>
        </w:rPr>
        <w:t> </w:t>
      </w:r>
      <w:r w:rsidR="0081708D" w:rsidRPr="00D84154">
        <w:rPr>
          <w:rFonts w:ascii="Times New Roman" w:hAnsi="Times New Roman" w:cs="Times New Roman"/>
          <w:color w:val="000000" w:themeColor="text1"/>
          <w:sz w:val="24"/>
          <w:szCs w:val="24"/>
        </w:rPr>
        <w:t xml:space="preserve">obowiązku </w:t>
      </w:r>
      <w:r w:rsidR="007168FD" w:rsidRPr="00D84154">
        <w:rPr>
          <w:rFonts w:ascii="Times New Roman" w:hAnsi="Times New Roman" w:cs="Times New Roman"/>
          <w:color w:val="000000" w:themeColor="text1"/>
          <w:sz w:val="24"/>
          <w:szCs w:val="24"/>
        </w:rPr>
        <w:t xml:space="preserve">współpracy </w:t>
      </w:r>
      <w:r w:rsidR="0081708D" w:rsidRPr="00D84154">
        <w:rPr>
          <w:rFonts w:ascii="Times New Roman" w:hAnsi="Times New Roman" w:cs="Times New Roman"/>
          <w:color w:val="000000" w:themeColor="text1"/>
          <w:sz w:val="24"/>
          <w:szCs w:val="24"/>
        </w:rPr>
        <w:t>wnioskodawcy przed złożeniem wniosku, polegającej na zakazie niszczenia, fałszowania lub ukrywania dowodów na etapie rozważania przez przedsiębiorcę złożeni</w:t>
      </w:r>
      <w:r w:rsidR="001C1652" w:rsidRPr="00D84154">
        <w:rPr>
          <w:rFonts w:ascii="Times New Roman" w:hAnsi="Times New Roman" w:cs="Times New Roman"/>
          <w:color w:val="000000" w:themeColor="text1"/>
          <w:sz w:val="24"/>
          <w:szCs w:val="24"/>
        </w:rPr>
        <w:t>a</w:t>
      </w:r>
      <w:r w:rsidR="0081708D" w:rsidRPr="00D84154">
        <w:rPr>
          <w:rFonts w:ascii="Times New Roman" w:hAnsi="Times New Roman" w:cs="Times New Roman"/>
          <w:color w:val="000000" w:themeColor="text1"/>
          <w:sz w:val="24"/>
          <w:szCs w:val="24"/>
        </w:rPr>
        <w:t xml:space="preserve"> wniosku do organu;</w:t>
      </w:r>
    </w:p>
    <w:p w14:paraId="620AAE6A" w14:textId="58819536" w:rsidR="0081708D" w:rsidRPr="00D84154" w:rsidRDefault="001A4BBE"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t>
      </w:r>
      <w:r w:rsidR="0081708D" w:rsidRPr="00D84154">
        <w:rPr>
          <w:rFonts w:ascii="Times New Roman" w:hAnsi="Times New Roman" w:cs="Times New Roman"/>
          <w:color w:val="000000" w:themeColor="text1"/>
          <w:sz w:val="24"/>
          <w:szCs w:val="24"/>
        </w:rPr>
        <w:t xml:space="preserve"> wnioski skrócone </w:t>
      </w:r>
      <w:r w:rsidR="0020092D" w:rsidRPr="00D84154">
        <w:rPr>
          <w:rFonts w:ascii="Times New Roman" w:hAnsi="Times New Roman" w:cs="Times New Roman"/>
          <w:color w:val="000000" w:themeColor="text1"/>
          <w:sz w:val="24"/>
          <w:szCs w:val="24"/>
        </w:rPr>
        <w:t>(wnioski o wyznaczenie terminu złożenia wniosku, o który</w:t>
      </w:r>
      <w:r w:rsidR="00A627FF">
        <w:rPr>
          <w:rFonts w:ascii="Times New Roman" w:hAnsi="Times New Roman" w:cs="Times New Roman"/>
          <w:color w:val="000000" w:themeColor="text1"/>
          <w:sz w:val="24"/>
          <w:szCs w:val="24"/>
        </w:rPr>
        <w:t>m mowa w art. </w:t>
      </w:r>
      <w:r w:rsidR="0020092D" w:rsidRPr="00D84154">
        <w:rPr>
          <w:rFonts w:ascii="Times New Roman" w:hAnsi="Times New Roman" w:cs="Times New Roman"/>
          <w:color w:val="000000" w:themeColor="text1"/>
          <w:sz w:val="24"/>
          <w:szCs w:val="24"/>
        </w:rPr>
        <w:t>113a</w:t>
      </w:r>
      <w:r w:rsidR="00CA0A5F" w:rsidRPr="00D84154">
        <w:rPr>
          <w:rFonts w:ascii="Times New Roman" w:hAnsi="Times New Roman" w:cs="Times New Roman"/>
          <w:color w:val="000000" w:themeColor="text1"/>
          <w:sz w:val="24"/>
          <w:szCs w:val="24"/>
        </w:rPr>
        <w:t xml:space="preserve"> </w:t>
      </w:r>
      <w:r w:rsidR="001C1652" w:rsidRPr="00D84154">
        <w:rPr>
          <w:rFonts w:ascii="Times New Roman" w:hAnsi="Times New Roman" w:cs="Times New Roman"/>
          <w:color w:val="000000" w:themeColor="text1"/>
          <w:sz w:val="24"/>
          <w:szCs w:val="24"/>
        </w:rPr>
        <w:t>ustawy</w:t>
      </w:r>
      <w:r w:rsidR="0020092D" w:rsidRPr="00D84154">
        <w:rPr>
          <w:rFonts w:ascii="Times New Roman" w:hAnsi="Times New Roman" w:cs="Times New Roman"/>
          <w:color w:val="000000" w:themeColor="text1"/>
          <w:sz w:val="24"/>
          <w:szCs w:val="24"/>
        </w:rPr>
        <w:t>)</w:t>
      </w:r>
      <w:r w:rsidR="00F34F51" w:rsidRPr="00D84154">
        <w:rPr>
          <w:rFonts w:ascii="Times New Roman" w:hAnsi="Times New Roman" w:cs="Times New Roman"/>
          <w:color w:val="000000" w:themeColor="text1"/>
          <w:sz w:val="24"/>
          <w:szCs w:val="24"/>
        </w:rPr>
        <w:t xml:space="preserve">. Prezes UOKiK zgodnie art. 21 ust. 2 </w:t>
      </w:r>
      <w:r w:rsidR="001C1652" w:rsidRPr="00D84154">
        <w:rPr>
          <w:rFonts w:ascii="Times New Roman" w:hAnsi="Times New Roman" w:cs="Times New Roman"/>
          <w:color w:val="000000" w:themeColor="text1"/>
          <w:sz w:val="24"/>
          <w:szCs w:val="24"/>
        </w:rPr>
        <w:t xml:space="preserve">dyrektywy </w:t>
      </w:r>
      <w:r w:rsidR="00F34F51" w:rsidRPr="00D84154">
        <w:rPr>
          <w:rFonts w:ascii="Times New Roman" w:hAnsi="Times New Roman" w:cs="Times New Roman"/>
          <w:color w:val="000000" w:themeColor="text1"/>
          <w:sz w:val="24"/>
          <w:szCs w:val="24"/>
        </w:rPr>
        <w:t>będzie dysponować swobodą</w:t>
      </w:r>
      <w:r w:rsidR="005629AC">
        <w:rPr>
          <w:rFonts w:ascii="Times New Roman" w:hAnsi="Times New Roman" w:cs="Times New Roman"/>
          <w:color w:val="000000" w:themeColor="text1"/>
          <w:sz w:val="24"/>
          <w:szCs w:val="24"/>
        </w:rPr>
        <w:t>,</w:t>
      </w:r>
      <w:r w:rsidR="00F34F51" w:rsidRPr="00D84154">
        <w:rPr>
          <w:rFonts w:ascii="Times New Roman" w:hAnsi="Times New Roman" w:cs="Times New Roman"/>
          <w:color w:val="000000" w:themeColor="text1"/>
          <w:sz w:val="24"/>
          <w:szCs w:val="24"/>
        </w:rPr>
        <w:t xml:space="preserve"> czy zaakceptować taki wniosek. W przypadku jego zaakceptowania Prezes UOKiK wyznacza termin na uzupełnienie wniosku. Jeżeli</w:t>
      </w:r>
      <w:r w:rsidR="00A627FF">
        <w:rPr>
          <w:rFonts w:ascii="Times New Roman" w:hAnsi="Times New Roman" w:cs="Times New Roman"/>
          <w:color w:val="000000" w:themeColor="text1"/>
          <w:sz w:val="24"/>
          <w:szCs w:val="24"/>
        </w:rPr>
        <w:t xml:space="preserve"> wniosek zostanie uzupełniony w </w:t>
      </w:r>
      <w:r w:rsidR="00F34F51" w:rsidRPr="00D84154">
        <w:rPr>
          <w:rFonts w:ascii="Times New Roman" w:hAnsi="Times New Roman" w:cs="Times New Roman"/>
          <w:color w:val="000000" w:themeColor="text1"/>
          <w:sz w:val="24"/>
          <w:szCs w:val="24"/>
        </w:rPr>
        <w:t xml:space="preserve">wyznaczonym terminie, Prezes UOKiK obligatoryjnie </w:t>
      </w:r>
      <w:r w:rsidR="00A627FF">
        <w:rPr>
          <w:rFonts w:ascii="Times New Roman" w:hAnsi="Times New Roman" w:cs="Times New Roman"/>
          <w:color w:val="000000" w:themeColor="text1"/>
          <w:sz w:val="24"/>
          <w:szCs w:val="24"/>
        </w:rPr>
        <w:t>uznaje wniosek, o którym mowa w </w:t>
      </w:r>
      <w:r w:rsidR="00F34F51" w:rsidRPr="00D84154">
        <w:rPr>
          <w:rFonts w:ascii="Times New Roman" w:hAnsi="Times New Roman" w:cs="Times New Roman"/>
          <w:color w:val="000000" w:themeColor="text1"/>
          <w:sz w:val="24"/>
          <w:szCs w:val="24"/>
        </w:rPr>
        <w:t>art. 113a, w terminie złożenia wniosku</w:t>
      </w:r>
      <w:r w:rsidR="00E1750A" w:rsidRPr="00D84154">
        <w:rPr>
          <w:rFonts w:ascii="Times New Roman" w:hAnsi="Times New Roman" w:cs="Times New Roman"/>
          <w:color w:val="000000" w:themeColor="text1"/>
          <w:sz w:val="24"/>
          <w:szCs w:val="24"/>
        </w:rPr>
        <w:t xml:space="preserve"> o wyznaczenie terminu złożenia wniosku, o którym mowa w art. 113a</w:t>
      </w:r>
      <w:r w:rsidR="00F34F51" w:rsidRPr="00D84154">
        <w:rPr>
          <w:rFonts w:ascii="Times New Roman" w:hAnsi="Times New Roman" w:cs="Times New Roman"/>
          <w:color w:val="000000" w:themeColor="text1"/>
          <w:sz w:val="24"/>
          <w:szCs w:val="24"/>
        </w:rPr>
        <w:t>.</w:t>
      </w:r>
      <w:r w:rsidR="00637434" w:rsidRPr="00D84154">
        <w:rPr>
          <w:rFonts w:ascii="Times New Roman" w:hAnsi="Times New Roman" w:cs="Times New Roman"/>
          <w:color w:val="000000" w:themeColor="text1"/>
          <w:sz w:val="24"/>
          <w:szCs w:val="24"/>
        </w:rPr>
        <w:t xml:space="preserve"> </w:t>
      </w:r>
      <w:r w:rsidR="00F34F51" w:rsidRPr="00D84154">
        <w:rPr>
          <w:rFonts w:ascii="Times New Roman" w:hAnsi="Times New Roman" w:cs="Times New Roman"/>
          <w:color w:val="000000" w:themeColor="text1"/>
          <w:sz w:val="24"/>
          <w:szCs w:val="24"/>
        </w:rPr>
        <w:t xml:space="preserve">Ponadto zaproponowano </w:t>
      </w:r>
      <w:r w:rsidR="001C1652" w:rsidRPr="00D84154">
        <w:rPr>
          <w:rFonts w:ascii="Times New Roman" w:hAnsi="Times New Roman" w:cs="Times New Roman"/>
          <w:color w:val="000000" w:themeColor="text1"/>
          <w:sz w:val="24"/>
          <w:szCs w:val="24"/>
        </w:rPr>
        <w:t xml:space="preserve">uzupełnienie </w:t>
      </w:r>
      <w:r w:rsidR="0081708D" w:rsidRPr="00D84154">
        <w:rPr>
          <w:rFonts w:ascii="Times New Roman" w:hAnsi="Times New Roman" w:cs="Times New Roman"/>
          <w:color w:val="000000" w:themeColor="text1"/>
          <w:sz w:val="24"/>
          <w:szCs w:val="24"/>
        </w:rPr>
        <w:t xml:space="preserve">art. 113e ust. 1 </w:t>
      </w:r>
      <w:r w:rsidR="001C1652" w:rsidRPr="00D84154">
        <w:rPr>
          <w:rFonts w:ascii="Times New Roman" w:hAnsi="Times New Roman" w:cs="Times New Roman"/>
          <w:color w:val="000000" w:themeColor="text1"/>
          <w:sz w:val="24"/>
          <w:szCs w:val="24"/>
        </w:rPr>
        <w:t>u</w:t>
      </w:r>
      <w:r w:rsidR="00C20C9B" w:rsidRPr="00D84154">
        <w:rPr>
          <w:rFonts w:ascii="Times New Roman" w:hAnsi="Times New Roman" w:cs="Times New Roman"/>
          <w:color w:val="000000" w:themeColor="text1"/>
          <w:sz w:val="24"/>
          <w:szCs w:val="24"/>
        </w:rPr>
        <w:t>stawy</w:t>
      </w:r>
      <w:r w:rsidR="001C1652" w:rsidRPr="00D84154">
        <w:rPr>
          <w:rFonts w:ascii="Times New Roman" w:hAnsi="Times New Roman" w:cs="Times New Roman"/>
          <w:color w:val="000000" w:themeColor="text1"/>
          <w:sz w:val="24"/>
          <w:szCs w:val="24"/>
        </w:rPr>
        <w:t xml:space="preserve"> o wymóg wskazania</w:t>
      </w:r>
      <w:r w:rsidR="0081708D" w:rsidRPr="00D84154">
        <w:rPr>
          <w:rFonts w:ascii="Times New Roman" w:hAnsi="Times New Roman" w:cs="Times New Roman"/>
          <w:color w:val="000000" w:themeColor="text1"/>
          <w:sz w:val="24"/>
          <w:szCs w:val="24"/>
        </w:rPr>
        <w:t xml:space="preserve"> we wniosku skróconym również informacj</w:t>
      </w:r>
      <w:r w:rsidR="001C1652" w:rsidRPr="00D84154">
        <w:rPr>
          <w:rFonts w:ascii="Times New Roman" w:hAnsi="Times New Roman" w:cs="Times New Roman"/>
          <w:color w:val="000000" w:themeColor="text1"/>
          <w:sz w:val="24"/>
          <w:szCs w:val="24"/>
        </w:rPr>
        <w:t>i</w:t>
      </w:r>
      <w:r w:rsidR="0081708D" w:rsidRPr="00D84154">
        <w:rPr>
          <w:rFonts w:ascii="Times New Roman" w:hAnsi="Times New Roman" w:cs="Times New Roman"/>
          <w:color w:val="000000" w:themeColor="text1"/>
          <w:sz w:val="24"/>
          <w:szCs w:val="24"/>
        </w:rPr>
        <w:t xml:space="preserve"> na temat dotychczas</w:t>
      </w:r>
      <w:r w:rsidR="00E257DA" w:rsidRPr="00D84154">
        <w:rPr>
          <w:rFonts w:ascii="Times New Roman" w:hAnsi="Times New Roman" w:cs="Times New Roman"/>
          <w:color w:val="000000" w:themeColor="text1"/>
          <w:sz w:val="24"/>
          <w:szCs w:val="24"/>
        </w:rPr>
        <w:t xml:space="preserve"> </w:t>
      </w:r>
      <w:r w:rsidR="001C1652" w:rsidRPr="00D84154">
        <w:rPr>
          <w:rFonts w:ascii="Times New Roman" w:hAnsi="Times New Roman" w:cs="Times New Roman"/>
          <w:color w:val="000000" w:themeColor="text1"/>
          <w:sz w:val="24"/>
          <w:szCs w:val="24"/>
        </w:rPr>
        <w:t>złożonych</w:t>
      </w:r>
      <w:r w:rsidR="0081708D" w:rsidRPr="00D84154">
        <w:rPr>
          <w:rFonts w:ascii="Times New Roman" w:hAnsi="Times New Roman" w:cs="Times New Roman"/>
          <w:color w:val="000000" w:themeColor="text1"/>
          <w:sz w:val="24"/>
          <w:szCs w:val="24"/>
        </w:rPr>
        <w:t xml:space="preserve"> lub ewentualnych przyszłych wniosków o złagodzenie kary </w:t>
      </w:r>
      <w:r w:rsidR="001C1652" w:rsidRPr="00D84154">
        <w:rPr>
          <w:rFonts w:ascii="Times New Roman" w:hAnsi="Times New Roman" w:cs="Times New Roman"/>
          <w:color w:val="000000" w:themeColor="text1"/>
          <w:sz w:val="24"/>
          <w:szCs w:val="24"/>
        </w:rPr>
        <w:t xml:space="preserve">składanych </w:t>
      </w:r>
      <w:r w:rsidR="0081708D" w:rsidRPr="00D84154">
        <w:rPr>
          <w:rFonts w:ascii="Times New Roman" w:hAnsi="Times New Roman" w:cs="Times New Roman"/>
          <w:color w:val="000000" w:themeColor="text1"/>
          <w:sz w:val="24"/>
          <w:szCs w:val="24"/>
        </w:rPr>
        <w:t>do innych krajowych organów ochrony konkurencji lub organów ochrony konkuren</w:t>
      </w:r>
      <w:r w:rsidR="00A627FF">
        <w:rPr>
          <w:rFonts w:ascii="Times New Roman" w:hAnsi="Times New Roman" w:cs="Times New Roman"/>
          <w:color w:val="000000" w:themeColor="text1"/>
          <w:sz w:val="24"/>
          <w:szCs w:val="24"/>
        </w:rPr>
        <w:t>cji państw trzecich w związku z </w:t>
      </w:r>
      <w:r w:rsidR="0081708D" w:rsidRPr="00D84154">
        <w:rPr>
          <w:rFonts w:ascii="Times New Roman" w:hAnsi="Times New Roman" w:cs="Times New Roman"/>
          <w:color w:val="000000" w:themeColor="text1"/>
          <w:sz w:val="24"/>
          <w:szCs w:val="24"/>
        </w:rPr>
        <w:t>domniemanym tajnym kartelem;</w:t>
      </w:r>
    </w:p>
    <w:p w14:paraId="4ED21137" w14:textId="5B93F1B4" w:rsidR="0081708D" w:rsidRPr="00D84154" w:rsidRDefault="001A4BBE"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t>
      </w:r>
      <w:r w:rsidR="0081708D" w:rsidRPr="00D84154">
        <w:rPr>
          <w:rFonts w:ascii="Times New Roman" w:hAnsi="Times New Roman" w:cs="Times New Roman"/>
          <w:color w:val="000000" w:themeColor="text1"/>
          <w:sz w:val="24"/>
          <w:szCs w:val="24"/>
        </w:rPr>
        <w:t xml:space="preserve"> wprowadzenie przepisu implementującego art. 20 ust. 3 oraz art. 21 ust. 4 </w:t>
      </w:r>
      <w:r w:rsidR="001C1652" w:rsidRPr="00D84154">
        <w:rPr>
          <w:rFonts w:ascii="Times New Roman" w:hAnsi="Times New Roman" w:cs="Times New Roman"/>
          <w:color w:val="000000" w:themeColor="text1"/>
          <w:sz w:val="24"/>
          <w:szCs w:val="24"/>
        </w:rPr>
        <w:t>d</w:t>
      </w:r>
      <w:r w:rsidR="0081708D" w:rsidRPr="00D84154">
        <w:rPr>
          <w:rFonts w:ascii="Times New Roman" w:hAnsi="Times New Roman" w:cs="Times New Roman"/>
          <w:color w:val="000000" w:themeColor="text1"/>
          <w:sz w:val="24"/>
          <w:szCs w:val="24"/>
        </w:rPr>
        <w:t xml:space="preserve">yrektywy stanowiącego o tym, że wnioskodawcy mają możliwość przedkładania oświadczeń w ramach programu łagodzenia kar dotyczących pełnych wniosków, wniosków w formie uproszczonej oraz </w:t>
      </w:r>
      <w:r w:rsidR="001C1652" w:rsidRPr="00D84154">
        <w:rPr>
          <w:rFonts w:ascii="Times New Roman" w:hAnsi="Times New Roman" w:cs="Times New Roman"/>
          <w:color w:val="000000" w:themeColor="text1"/>
          <w:sz w:val="24"/>
          <w:szCs w:val="24"/>
        </w:rPr>
        <w:t xml:space="preserve">w formie </w:t>
      </w:r>
      <w:r w:rsidR="0081708D" w:rsidRPr="00D84154">
        <w:rPr>
          <w:rFonts w:ascii="Times New Roman" w:hAnsi="Times New Roman" w:cs="Times New Roman"/>
          <w:color w:val="000000" w:themeColor="text1"/>
          <w:sz w:val="24"/>
          <w:szCs w:val="24"/>
        </w:rPr>
        <w:t>skróconej w języku urzędowym lub w jednym z języków urzędowych państwa członkowskiego, jak również w innym języku urzędowym UE, ustalonym dwustronnie między krajowym organem ochrony konkurencji a wnioskodawcą</w:t>
      </w:r>
      <w:r w:rsidR="00250891" w:rsidRPr="00D84154">
        <w:rPr>
          <w:rFonts w:ascii="Times New Roman" w:hAnsi="Times New Roman" w:cs="Times New Roman"/>
          <w:color w:val="000000" w:themeColor="text1"/>
          <w:sz w:val="24"/>
          <w:szCs w:val="24"/>
        </w:rPr>
        <w:t xml:space="preserve"> (zmiana ta zostanie wprowadzona </w:t>
      </w:r>
      <w:r w:rsidR="00A627FF">
        <w:rPr>
          <w:rFonts w:ascii="Times New Roman" w:hAnsi="Times New Roman" w:cs="Times New Roman"/>
          <w:color w:val="000000" w:themeColor="text1"/>
          <w:sz w:val="24"/>
          <w:szCs w:val="24"/>
        </w:rPr>
        <w:t>w </w:t>
      </w:r>
      <w:r w:rsidR="0022294A" w:rsidRPr="00D84154">
        <w:rPr>
          <w:rFonts w:ascii="Times New Roman" w:hAnsi="Times New Roman" w:cs="Times New Roman"/>
          <w:color w:val="000000" w:themeColor="text1"/>
          <w:sz w:val="24"/>
          <w:szCs w:val="24"/>
        </w:rPr>
        <w:t xml:space="preserve">nowym rozporządzeniu Rady Ministrów w sprawie szczegółowego sposobu i trybu postępowania z wnioskiem złożonym w ramach programu </w:t>
      </w:r>
      <w:r w:rsidR="0022294A" w:rsidRPr="00611A1E">
        <w:rPr>
          <w:rFonts w:ascii="Times New Roman" w:hAnsi="Times New Roman" w:cs="Times New Roman"/>
          <w:i/>
          <w:color w:val="000000" w:themeColor="text1"/>
          <w:sz w:val="24"/>
          <w:szCs w:val="24"/>
        </w:rPr>
        <w:t>leniency</w:t>
      </w:r>
      <w:r w:rsidR="0022294A" w:rsidRPr="00D84154">
        <w:rPr>
          <w:rFonts w:ascii="Times New Roman" w:hAnsi="Times New Roman" w:cs="Times New Roman"/>
          <w:color w:val="000000" w:themeColor="text1"/>
          <w:sz w:val="24"/>
          <w:szCs w:val="24"/>
        </w:rPr>
        <w:t xml:space="preserve">, które </w:t>
      </w:r>
      <w:r w:rsidR="003412FE" w:rsidRPr="00D84154">
        <w:rPr>
          <w:rFonts w:ascii="Times New Roman" w:hAnsi="Times New Roman" w:cs="Times New Roman"/>
          <w:color w:val="000000" w:themeColor="text1"/>
          <w:sz w:val="24"/>
          <w:szCs w:val="24"/>
        </w:rPr>
        <w:t xml:space="preserve">zostanie </w:t>
      </w:r>
      <w:r w:rsidR="0022294A" w:rsidRPr="00D84154">
        <w:rPr>
          <w:rFonts w:ascii="Times New Roman" w:hAnsi="Times New Roman" w:cs="Times New Roman"/>
          <w:color w:val="000000" w:themeColor="text1"/>
          <w:sz w:val="24"/>
          <w:szCs w:val="24"/>
        </w:rPr>
        <w:t xml:space="preserve">wydane na podstawie art. 113k </w:t>
      </w:r>
      <w:r w:rsidR="003412FE" w:rsidRPr="00D84154">
        <w:rPr>
          <w:rFonts w:ascii="Times New Roman" w:hAnsi="Times New Roman" w:cs="Times New Roman"/>
          <w:color w:val="000000" w:themeColor="text1"/>
          <w:sz w:val="24"/>
          <w:szCs w:val="24"/>
        </w:rPr>
        <w:t>u</w:t>
      </w:r>
      <w:r w:rsidR="0022294A" w:rsidRPr="00D84154">
        <w:rPr>
          <w:rFonts w:ascii="Times New Roman" w:hAnsi="Times New Roman" w:cs="Times New Roman"/>
          <w:color w:val="000000" w:themeColor="text1"/>
          <w:sz w:val="24"/>
          <w:szCs w:val="24"/>
        </w:rPr>
        <w:t>stawy)</w:t>
      </w:r>
      <w:r w:rsidR="0081708D" w:rsidRPr="00D84154">
        <w:rPr>
          <w:rFonts w:ascii="Times New Roman" w:hAnsi="Times New Roman" w:cs="Times New Roman"/>
          <w:color w:val="000000" w:themeColor="text1"/>
          <w:sz w:val="24"/>
          <w:szCs w:val="24"/>
        </w:rPr>
        <w:t>;</w:t>
      </w:r>
    </w:p>
    <w:p w14:paraId="0C2174A8" w14:textId="20067B83" w:rsidR="00637434" w:rsidRPr="00D84154" w:rsidRDefault="001A4BBE"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t>
      </w:r>
      <w:r w:rsidR="0081708D" w:rsidRPr="00D84154">
        <w:rPr>
          <w:rFonts w:ascii="Times New Roman" w:hAnsi="Times New Roman" w:cs="Times New Roman"/>
          <w:color w:val="000000" w:themeColor="text1"/>
          <w:sz w:val="24"/>
          <w:szCs w:val="24"/>
        </w:rPr>
        <w:t xml:space="preserve"> w zakresie wniosków uproszczonych </w:t>
      </w:r>
      <w:r w:rsidR="005629AC" w:rsidRPr="00D84154">
        <w:rPr>
          <w:rFonts w:ascii="Times New Roman" w:hAnsi="Times New Roman" w:cs="Times New Roman"/>
          <w:color w:val="000000" w:themeColor="text1"/>
          <w:sz w:val="24"/>
          <w:szCs w:val="24"/>
        </w:rPr>
        <w:t xml:space="preserve">jest </w:t>
      </w:r>
      <w:r w:rsidR="0081708D" w:rsidRPr="00D84154">
        <w:rPr>
          <w:rFonts w:ascii="Times New Roman" w:hAnsi="Times New Roman" w:cs="Times New Roman"/>
          <w:color w:val="000000" w:themeColor="text1"/>
          <w:sz w:val="24"/>
          <w:szCs w:val="24"/>
        </w:rPr>
        <w:t>niezbędna zmiana art. 113f</w:t>
      </w:r>
      <w:r w:rsidR="00F65A77">
        <w:rPr>
          <w:rFonts w:ascii="Times New Roman" w:hAnsi="Times New Roman" w:cs="Times New Roman"/>
          <w:color w:val="000000" w:themeColor="text1"/>
          <w:sz w:val="24"/>
          <w:szCs w:val="24"/>
        </w:rPr>
        <w:t xml:space="preserve"> </w:t>
      </w:r>
      <w:r w:rsidR="003412FE" w:rsidRPr="00D84154">
        <w:rPr>
          <w:rFonts w:ascii="Times New Roman" w:hAnsi="Times New Roman" w:cs="Times New Roman"/>
          <w:color w:val="000000" w:themeColor="text1"/>
          <w:sz w:val="24"/>
          <w:szCs w:val="24"/>
        </w:rPr>
        <w:t>u</w:t>
      </w:r>
      <w:r w:rsidR="00C20C9B" w:rsidRPr="00D84154">
        <w:rPr>
          <w:rFonts w:ascii="Times New Roman" w:hAnsi="Times New Roman" w:cs="Times New Roman"/>
          <w:color w:val="000000" w:themeColor="text1"/>
          <w:sz w:val="24"/>
          <w:szCs w:val="24"/>
        </w:rPr>
        <w:t>stawy</w:t>
      </w:r>
      <w:r w:rsidR="0081708D" w:rsidRPr="00D84154">
        <w:rPr>
          <w:rFonts w:ascii="Times New Roman" w:hAnsi="Times New Roman" w:cs="Times New Roman"/>
          <w:color w:val="000000" w:themeColor="text1"/>
          <w:sz w:val="24"/>
          <w:szCs w:val="24"/>
        </w:rPr>
        <w:t xml:space="preserve"> w zakresie informacji</w:t>
      </w:r>
      <w:r w:rsidR="005629AC">
        <w:rPr>
          <w:rFonts w:ascii="Times New Roman" w:hAnsi="Times New Roman" w:cs="Times New Roman"/>
          <w:color w:val="000000" w:themeColor="text1"/>
          <w:sz w:val="24"/>
          <w:szCs w:val="24"/>
        </w:rPr>
        <w:t>,</w:t>
      </w:r>
      <w:r w:rsidR="0081708D" w:rsidRPr="00D84154">
        <w:rPr>
          <w:rFonts w:ascii="Times New Roman" w:hAnsi="Times New Roman" w:cs="Times New Roman"/>
          <w:color w:val="000000" w:themeColor="text1"/>
          <w:sz w:val="24"/>
          <w:szCs w:val="24"/>
        </w:rPr>
        <w:t xml:space="preserve"> jakie muszą być zawarte we wniosku</w:t>
      </w:r>
      <w:r w:rsidR="00844043" w:rsidRPr="00D84154">
        <w:rPr>
          <w:rFonts w:ascii="Times New Roman" w:hAnsi="Times New Roman" w:cs="Times New Roman"/>
          <w:color w:val="000000" w:themeColor="text1"/>
          <w:sz w:val="24"/>
          <w:szCs w:val="24"/>
        </w:rPr>
        <w:t>,</w:t>
      </w:r>
      <w:r w:rsidR="0081708D" w:rsidRPr="00D84154">
        <w:rPr>
          <w:rFonts w:ascii="Times New Roman" w:hAnsi="Times New Roman" w:cs="Times New Roman"/>
          <w:color w:val="000000" w:themeColor="text1"/>
          <w:sz w:val="24"/>
          <w:szCs w:val="24"/>
        </w:rPr>
        <w:t xml:space="preserve"> tak aby przepis odzwierciedlał wymogi zawarte w art. 22 ust. 2 </w:t>
      </w:r>
      <w:r w:rsidR="003412FE" w:rsidRPr="00D84154">
        <w:rPr>
          <w:rFonts w:ascii="Times New Roman" w:hAnsi="Times New Roman" w:cs="Times New Roman"/>
          <w:color w:val="000000" w:themeColor="text1"/>
          <w:sz w:val="24"/>
          <w:szCs w:val="24"/>
        </w:rPr>
        <w:t>d</w:t>
      </w:r>
      <w:r w:rsidR="0081708D" w:rsidRPr="00D84154">
        <w:rPr>
          <w:rFonts w:ascii="Times New Roman" w:hAnsi="Times New Roman" w:cs="Times New Roman"/>
          <w:color w:val="000000" w:themeColor="text1"/>
          <w:sz w:val="24"/>
          <w:szCs w:val="24"/>
        </w:rPr>
        <w:t xml:space="preserve">yrektywy; </w:t>
      </w:r>
      <w:r w:rsidR="00E1750A" w:rsidRPr="00D84154">
        <w:rPr>
          <w:rFonts w:ascii="Times New Roman" w:hAnsi="Times New Roman" w:cs="Times New Roman"/>
          <w:color w:val="000000" w:themeColor="text1"/>
          <w:sz w:val="24"/>
          <w:szCs w:val="24"/>
        </w:rPr>
        <w:t>zgodnie z proponowanym brzmieniem wniosek uproszczony będzie mógł być złożony również w sytuacji złożenia przez przedsiębiorcę wniosku o łagodzenie kary lub wniosku skróconego do Komisji Europejskiej;</w:t>
      </w:r>
    </w:p>
    <w:p w14:paraId="471C3243" w14:textId="720FE0CA" w:rsidR="005337C9" w:rsidRPr="00D84154" w:rsidRDefault="001A4BBE"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t>
      </w:r>
      <w:r w:rsidR="0081708D" w:rsidRPr="00D84154">
        <w:rPr>
          <w:rFonts w:ascii="Times New Roman" w:hAnsi="Times New Roman" w:cs="Times New Roman"/>
          <w:color w:val="000000" w:themeColor="text1"/>
          <w:sz w:val="24"/>
          <w:szCs w:val="24"/>
        </w:rPr>
        <w:t xml:space="preserve"> w zakresie komunikacji między organem ochrony konkurencji i Komisją Europejską przy rozpatrywaniu wniosków uproszczonych niezbędne </w:t>
      </w:r>
      <w:r w:rsidR="00155E9E" w:rsidRPr="00D84154">
        <w:rPr>
          <w:rFonts w:ascii="Times New Roman" w:hAnsi="Times New Roman" w:cs="Times New Roman"/>
          <w:color w:val="000000" w:themeColor="text1"/>
          <w:sz w:val="24"/>
          <w:szCs w:val="24"/>
        </w:rPr>
        <w:t xml:space="preserve">jest </w:t>
      </w:r>
      <w:r w:rsidR="0081708D" w:rsidRPr="00D84154">
        <w:rPr>
          <w:rFonts w:ascii="Times New Roman" w:hAnsi="Times New Roman" w:cs="Times New Roman"/>
          <w:color w:val="000000" w:themeColor="text1"/>
          <w:sz w:val="24"/>
          <w:szCs w:val="24"/>
        </w:rPr>
        <w:t xml:space="preserve">wprowadzenie regulacji </w:t>
      </w:r>
      <w:r w:rsidR="00A627FF">
        <w:rPr>
          <w:rFonts w:ascii="Times New Roman" w:hAnsi="Times New Roman" w:cs="Times New Roman"/>
          <w:color w:val="000000" w:themeColor="text1"/>
          <w:sz w:val="24"/>
          <w:szCs w:val="24"/>
        </w:rPr>
        <w:t>(art. 113f ust. </w:t>
      </w:r>
      <w:r w:rsidR="00E1750A" w:rsidRPr="00D84154">
        <w:rPr>
          <w:rFonts w:ascii="Times New Roman" w:hAnsi="Times New Roman" w:cs="Times New Roman"/>
          <w:color w:val="000000" w:themeColor="text1"/>
          <w:sz w:val="24"/>
          <w:szCs w:val="24"/>
        </w:rPr>
        <w:t xml:space="preserve">7) </w:t>
      </w:r>
      <w:r w:rsidR="0081708D" w:rsidRPr="00D84154">
        <w:rPr>
          <w:rFonts w:ascii="Times New Roman" w:hAnsi="Times New Roman" w:cs="Times New Roman"/>
          <w:color w:val="000000" w:themeColor="text1"/>
          <w:sz w:val="24"/>
          <w:szCs w:val="24"/>
        </w:rPr>
        <w:t xml:space="preserve">mówiącej o tym, że tylko w wyjątkowych okolicznościach, gdy jest to nieodzowne do celów rozgraniczenia zakresu sprawy lub przydzielenia sprawy, krajowy organ ochrony konkurencji może zwrócić się do wnioskodawcy o przedłożenie pełnego wniosku, zanim </w:t>
      </w:r>
      <w:r w:rsidR="0081708D" w:rsidRPr="00D84154">
        <w:rPr>
          <w:rFonts w:ascii="Times New Roman" w:hAnsi="Times New Roman" w:cs="Times New Roman"/>
          <w:color w:val="000000" w:themeColor="text1"/>
          <w:sz w:val="24"/>
          <w:szCs w:val="24"/>
        </w:rPr>
        <w:lastRenderedPageBreak/>
        <w:t>Komisja poinformuje odnośne krajowe organy ochrony konkurencji, że nie zamierza kontynuować rozpatrywania sprawy w całości ani częściowo (wdrożenie art. 22 ust.</w:t>
      </w:r>
      <w:r w:rsidR="00A627FF">
        <w:rPr>
          <w:rFonts w:ascii="Times New Roman" w:hAnsi="Times New Roman" w:cs="Times New Roman"/>
          <w:color w:val="000000" w:themeColor="text1"/>
          <w:sz w:val="24"/>
          <w:szCs w:val="24"/>
        </w:rPr>
        <w:t> </w:t>
      </w:r>
      <w:r w:rsidR="0081708D" w:rsidRPr="00D84154">
        <w:rPr>
          <w:rFonts w:ascii="Times New Roman" w:hAnsi="Times New Roman" w:cs="Times New Roman"/>
          <w:color w:val="000000" w:themeColor="text1"/>
          <w:sz w:val="24"/>
          <w:szCs w:val="24"/>
        </w:rPr>
        <w:t xml:space="preserve">5 </w:t>
      </w:r>
      <w:r w:rsidR="004F3DB8" w:rsidRPr="00D84154">
        <w:rPr>
          <w:rFonts w:ascii="Times New Roman" w:hAnsi="Times New Roman" w:cs="Times New Roman"/>
          <w:color w:val="000000" w:themeColor="text1"/>
          <w:sz w:val="24"/>
          <w:szCs w:val="24"/>
        </w:rPr>
        <w:t>d</w:t>
      </w:r>
      <w:r w:rsidR="0081708D" w:rsidRPr="00D84154">
        <w:rPr>
          <w:rFonts w:ascii="Times New Roman" w:hAnsi="Times New Roman" w:cs="Times New Roman"/>
          <w:color w:val="000000" w:themeColor="text1"/>
          <w:sz w:val="24"/>
          <w:szCs w:val="24"/>
        </w:rPr>
        <w:t>yrektywy)</w:t>
      </w:r>
      <w:r w:rsidR="005337C9" w:rsidRPr="00D84154">
        <w:rPr>
          <w:rFonts w:ascii="Times New Roman" w:hAnsi="Times New Roman" w:cs="Times New Roman"/>
          <w:color w:val="000000" w:themeColor="text1"/>
          <w:sz w:val="24"/>
          <w:szCs w:val="24"/>
        </w:rPr>
        <w:t>;</w:t>
      </w:r>
    </w:p>
    <w:p w14:paraId="3F50F4B5" w14:textId="0213FBED" w:rsidR="0081708D" w:rsidRPr="005629AC" w:rsidRDefault="001A4BBE" w:rsidP="00D84154">
      <w:pPr>
        <w:spacing w:before="120" w:after="0" w:line="360" w:lineRule="auto"/>
        <w:jc w:val="both"/>
        <w:rPr>
          <w:rFonts w:ascii="Times New Roman" w:hAnsi="Times New Roman" w:cs="Times New Roman"/>
          <w:bCs/>
          <w:color w:val="000000" w:themeColor="text1"/>
          <w:sz w:val="24"/>
          <w:szCs w:val="24"/>
        </w:rPr>
      </w:pPr>
      <w:r w:rsidRPr="00D84154">
        <w:rPr>
          <w:rFonts w:ascii="Times New Roman" w:hAnsi="Times New Roman" w:cs="Times New Roman"/>
          <w:color w:val="000000" w:themeColor="text1"/>
          <w:sz w:val="24"/>
          <w:szCs w:val="24"/>
        </w:rPr>
        <w:t>–</w:t>
      </w:r>
      <w:r w:rsidR="005337C9" w:rsidRPr="00D84154">
        <w:rPr>
          <w:rFonts w:ascii="Times New Roman" w:hAnsi="Times New Roman" w:cs="Times New Roman"/>
          <w:color w:val="000000" w:themeColor="text1"/>
          <w:sz w:val="24"/>
          <w:szCs w:val="24"/>
        </w:rPr>
        <w:t xml:space="preserve"> </w:t>
      </w:r>
      <w:r w:rsidR="00747B9F" w:rsidRPr="00D84154">
        <w:rPr>
          <w:rFonts w:ascii="Times New Roman" w:hAnsi="Times New Roman" w:cs="Times New Roman"/>
          <w:color w:val="000000" w:themeColor="text1"/>
          <w:sz w:val="24"/>
          <w:szCs w:val="24"/>
        </w:rPr>
        <w:t xml:space="preserve">przyjęcie w art. 113j </w:t>
      </w:r>
      <w:r w:rsidR="004F3DB8" w:rsidRPr="00D84154">
        <w:rPr>
          <w:rFonts w:ascii="Times New Roman" w:hAnsi="Times New Roman" w:cs="Times New Roman"/>
          <w:color w:val="000000" w:themeColor="text1"/>
          <w:sz w:val="24"/>
          <w:szCs w:val="24"/>
        </w:rPr>
        <w:t xml:space="preserve">ustawy </w:t>
      </w:r>
      <w:r w:rsidR="00747B9F" w:rsidRPr="00D84154">
        <w:rPr>
          <w:rFonts w:ascii="Times New Roman" w:hAnsi="Times New Roman" w:cs="Times New Roman"/>
          <w:color w:val="000000" w:themeColor="text1"/>
          <w:sz w:val="24"/>
          <w:szCs w:val="24"/>
        </w:rPr>
        <w:t xml:space="preserve">zasady, że wniosek </w:t>
      </w:r>
      <w:r w:rsidR="00747B9F" w:rsidRPr="00611A1E">
        <w:rPr>
          <w:rFonts w:ascii="Times New Roman" w:hAnsi="Times New Roman" w:cs="Times New Roman"/>
          <w:i/>
          <w:color w:val="000000" w:themeColor="text1"/>
          <w:sz w:val="24"/>
          <w:szCs w:val="24"/>
        </w:rPr>
        <w:t>leniency</w:t>
      </w:r>
      <w:r w:rsidR="00747B9F" w:rsidRPr="00D84154">
        <w:rPr>
          <w:rFonts w:ascii="Times New Roman" w:hAnsi="Times New Roman" w:cs="Times New Roman"/>
          <w:color w:val="000000" w:themeColor="text1"/>
          <w:sz w:val="24"/>
          <w:szCs w:val="24"/>
        </w:rPr>
        <w:t xml:space="preserve"> obejmuje</w:t>
      </w:r>
      <w:r w:rsidR="00747B9F" w:rsidRPr="00D84154">
        <w:rPr>
          <w:rFonts w:ascii="Times New Roman" w:eastAsiaTheme="minorEastAsia" w:hAnsi="Times New Roman" w:cs="Times New Roman"/>
          <w:bCs/>
          <w:sz w:val="24"/>
          <w:szCs w:val="24"/>
          <w:lang w:eastAsia="pl-PL"/>
        </w:rPr>
        <w:t xml:space="preserve"> </w:t>
      </w:r>
      <w:r w:rsidR="00747B9F" w:rsidRPr="00D84154">
        <w:rPr>
          <w:rFonts w:ascii="Times New Roman" w:hAnsi="Times New Roman" w:cs="Times New Roman"/>
          <w:bCs/>
          <w:color w:val="000000" w:themeColor="text1"/>
          <w:sz w:val="24"/>
          <w:szCs w:val="24"/>
        </w:rPr>
        <w:t xml:space="preserve">przedsiębiorców wywierających decydujący wpływ na tego przedsiębiorcę-wnioskodawcę, przedsiębiorców, na których ten przedsiębiorca wywiera decydujący wpływ oraz osób zarządzających ww. przedsiębiorców </w:t>
      </w:r>
      <w:r w:rsidR="005629AC">
        <w:rPr>
          <w:rFonts w:ascii="Times New Roman" w:hAnsi="Times New Roman" w:cs="Times New Roman"/>
          <w:bCs/>
          <w:color w:val="000000" w:themeColor="text1"/>
          <w:sz w:val="24"/>
          <w:szCs w:val="24"/>
        </w:rPr>
        <w:t>–</w:t>
      </w:r>
      <w:r w:rsidR="00F65A77">
        <w:rPr>
          <w:rFonts w:ascii="Times New Roman" w:hAnsi="Times New Roman" w:cs="Times New Roman"/>
          <w:bCs/>
          <w:color w:val="000000" w:themeColor="text1"/>
          <w:sz w:val="24"/>
          <w:szCs w:val="24"/>
        </w:rPr>
        <w:t xml:space="preserve"> </w:t>
      </w:r>
      <w:r w:rsidR="00747B9F" w:rsidRPr="00D84154">
        <w:rPr>
          <w:rFonts w:ascii="Times New Roman" w:hAnsi="Times New Roman" w:cs="Times New Roman"/>
          <w:bCs/>
          <w:color w:val="000000" w:themeColor="text1"/>
          <w:sz w:val="24"/>
          <w:szCs w:val="24"/>
        </w:rPr>
        <w:t>rozwiązanie analogiczne do stosowanego na podstawie</w:t>
      </w:r>
      <w:r w:rsidR="00F65A77">
        <w:rPr>
          <w:rFonts w:ascii="Times New Roman" w:hAnsi="Times New Roman" w:cs="Times New Roman"/>
          <w:bCs/>
          <w:color w:val="000000" w:themeColor="text1"/>
          <w:sz w:val="24"/>
          <w:szCs w:val="24"/>
        </w:rPr>
        <w:t xml:space="preserve"> </w:t>
      </w:r>
      <w:r w:rsidR="00747B9F" w:rsidRPr="00D84154">
        <w:rPr>
          <w:rFonts w:ascii="Times New Roman" w:hAnsi="Times New Roman" w:cs="Times New Roman"/>
          <w:bCs/>
          <w:color w:val="000000" w:themeColor="text1"/>
          <w:sz w:val="24"/>
          <w:szCs w:val="24"/>
        </w:rPr>
        <w:t xml:space="preserve">obecnego brzmienia art. 113j </w:t>
      </w:r>
      <w:r w:rsidR="004F3DB8" w:rsidRPr="00D84154">
        <w:rPr>
          <w:rFonts w:ascii="Times New Roman" w:hAnsi="Times New Roman" w:cs="Times New Roman"/>
          <w:bCs/>
          <w:color w:val="000000" w:themeColor="text1"/>
          <w:sz w:val="24"/>
          <w:szCs w:val="24"/>
        </w:rPr>
        <w:t xml:space="preserve">ustawy </w:t>
      </w:r>
      <w:r w:rsidR="00747B9F" w:rsidRPr="00D84154">
        <w:rPr>
          <w:rFonts w:ascii="Times New Roman" w:hAnsi="Times New Roman" w:cs="Times New Roman"/>
          <w:bCs/>
          <w:color w:val="000000" w:themeColor="text1"/>
          <w:sz w:val="24"/>
          <w:szCs w:val="24"/>
        </w:rPr>
        <w:t xml:space="preserve">wobec osób zarządzających przedsiębiorcy składającego wniosek. </w:t>
      </w:r>
      <w:r w:rsidR="00BF352A" w:rsidRPr="00D84154">
        <w:rPr>
          <w:rFonts w:ascii="Times New Roman" w:hAnsi="Times New Roman" w:cs="Times New Roman"/>
          <w:bCs/>
          <w:color w:val="000000" w:themeColor="text1"/>
          <w:sz w:val="24"/>
          <w:szCs w:val="24"/>
        </w:rPr>
        <w:t xml:space="preserve">Jednocześnie </w:t>
      </w:r>
      <w:r w:rsidR="00BF352A" w:rsidRPr="00D84154">
        <w:rPr>
          <w:rFonts w:ascii="Times New Roman" w:eastAsia="Times New Roman" w:hAnsi="Times New Roman" w:cs="Times New Roman"/>
          <w:color w:val="212121"/>
          <w:sz w:val="24"/>
          <w:szCs w:val="24"/>
          <w:lang w:eastAsia="pl-PL"/>
        </w:rPr>
        <w:t>n</w:t>
      </w:r>
      <w:r w:rsidR="00747B9F" w:rsidRPr="00D84154">
        <w:rPr>
          <w:rFonts w:ascii="Times New Roman" w:eastAsia="Times New Roman" w:hAnsi="Times New Roman" w:cs="Times New Roman"/>
          <w:color w:val="212121"/>
          <w:sz w:val="24"/>
          <w:szCs w:val="24"/>
          <w:lang w:eastAsia="pl-PL"/>
        </w:rPr>
        <w:t xml:space="preserve">ależy podkreślić, że podmiot wywierający dominujący wpływ </w:t>
      </w:r>
      <w:r w:rsidR="004F3DB8" w:rsidRPr="00D84154">
        <w:rPr>
          <w:rFonts w:ascii="Times New Roman" w:eastAsia="Times New Roman" w:hAnsi="Times New Roman" w:cs="Times New Roman"/>
          <w:color w:val="212121"/>
          <w:sz w:val="24"/>
          <w:szCs w:val="24"/>
          <w:lang w:eastAsia="pl-PL"/>
        </w:rPr>
        <w:t xml:space="preserve">jest </w:t>
      </w:r>
      <w:r w:rsidR="00747B9F" w:rsidRPr="00D84154">
        <w:rPr>
          <w:rFonts w:ascii="Times New Roman" w:eastAsia="Times New Roman" w:hAnsi="Times New Roman" w:cs="Times New Roman"/>
          <w:color w:val="212121"/>
          <w:sz w:val="24"/>
          <w:szCs w:val="24"/>
          <w:lang w:eastAsia="pl-PL"/>
        </w:rPr>
        <w:t>także przedsiębiorcą i jako taki może składać wnioski o odstąpienie od wymierzenia kary pieniężnej lub jej obniżenie, dlatego nie ma potrzeby obejmowania go regulacją art. 113h</w:t>
      </w:r>
      <w:r w:rsidR="004F3DB8" w:rsidRPr="00D84154">
        <w:rPr>
          <w:rFonts w:ascii="Times New Roman" w:eastAsia="Times New Roman" w:hAnsi="Times New Roman" w:cs="Times New Roman"/>
          <w:color w:val="212121"/>
          <w:sz w:val="24"/>
          <w:szCs w:val="24"/>
          <w:lang w:eastAsia="pl-PL"/>
        </w:rPr>
        <w:t xml:space="preserve"> ustawy</w:t>
      </w:r>
      <w:r w:rsidR="00747B9F" w:rsidRPr="00D84154">
        <w:rPr>
          <w:rFonts w:ascii="Times New Roman" w:eastAsia="Times New Roman" w:hAnsi="Times New Roman" w:cs="Times New Roman"/>
          <w:color w:val="212121"/>
          <w:sz w:val="24"/>
          <w:szCs w:val="24"/>
          <w:lang w:eastAsia="pl-PL"/>
        </w:rPr>
        <w:t>. Przepis ten powstał w celu dopuszczenia możliwości złożenia wniosku przez inną niż przedsiębiorcy kategorię podmiotów</w:t>
      </w:r>
      <w:r w:rsidR="0071472F">
        <w:rPr>
          <w:rFonts w:ascii="Times New Roman" w:eastAsia="Times New Roman" w:hAnsi="Times New Roman" w:cs="Times New Roman"/>
          <w:color w:val="212121"/>
          <w:sz w:val="24"/>
          <w:szCs w:val="24"/>
          <w:lang w:eastAsia="pl-PL"/>
        </w:rPr>
        <w:t>,</w:t>
      </w:r>
      <w:r w:rsidR="00747B9F" w:rsidRPr="00D84154">
        <w:rPr>
          <w:rFonts w:ascii="Times New Roman" w:eastAsia="Times New Roman" w:hAnsi="Times New Roman" w:cs="Times New Roman"/>
          <w:color w:val="212121"/>
          <w:sz w:val="24"/>
          <w:szCs w:val="24"/>
          <w:lang w:eastAsia="pl-PL"/>
        </w:rPr>
        <w:t xml:space="preserve"> tj. przez osoby zarządzające. </w:t>
      </w:r>
      <w:r w:rsidR="00BF352A" w:rsidRPr="00D84154">
        <w:rPr>
          <w:rFonts w:ascii="Times New Roman" w:eastAsia="Times New Roman" w:hAnsi="Times New Roman" w:cs="Times New Roman"/>
          <w:color w:val="212121"/>
          <w:sz w:val="24"/>
          <w:szCs w:val="24"/>
          <w:lang w:eastAsia="pl-PL"/>
        </w:rPr>
        <w:t>Należy także wskazać</w:t>
      </w:r>
      <w:r w:rsidR="00747B9F" w:rsidRPr="00D84154">
        <w:rPr>
          <w:rFonts w:ascii="Times New Roman" w:eastAsia="Times New Roman" w:hAnsi="Times New Roman" w:cs="Times New Roman"/>
          <w:color w:val="212121"/>
          <w:sz w:val="24"/>
          <w:szCs w:val="24"/>
          <w:lang w:eastAsia="pl-PL"/>
        </w:rPr>
        <w:t>, że wnioski złożone przez podmiot</w:t>
      </w:r>
      <w:r w:rsidR="0071472F">
        <w:rPr>
          <w:rFonts w:ascii="Times New Roman" w:eastAsia="Times New Roman" w:hAnsi="Times New Roman" w:cs="Times New Roman"/>
          <w:color w:val="212121"/>
          <w:sz w:val="24"/>
          <w:szCs w:val="24"/>
          <w:lang w:eastAsia="pl-PL"/>
        </w:rPr>
        <w:t>,</w:t>
      </w:r>
      <w:r w:rsidR="00747B9F" w:rsidRPr="00D84154">
        <w:rPr>
          <w:rFonts w:ascii="Times New Roman" w:eastAsia="Times New Roman" w:hAnsi="Times New Roman" w:cs="Times New Roman"/>
          <w:color w:val="212121"/>
          <w:sz w:val="24"/>
          <w:szCs w:val="24"/>
          <w:lang w:eastAsia="pl-PL"/>
        </w:rPr>
        <w:t xml:space="preserve"> na który wywierany jest decydujący wpływ</w:t>
      </w:r>
      <w:r w:rsidR="0071472F">
        <w:rPr>
          <w:rFonts w:ascii="Times New Roman" w:eastAsia="Times New Roman" w:hAnsi="Times New Roman" w:cs="Times New Roman"/>
          <w:color w:val="212121"/>
          <w:sz w:val="24"/>
          <w:szCs w:val="24"/>
          <w:lang w:eastAsia="pl-PL"/>
        </w:rPr>
        <w:t>,</w:t>
      </w:r>
      <w:r w:rsidR="00747B9F" w:rsidRPr="00D84154">
        <w:rPr>
          <w:rFonts w:ascii="Times New Roman" w:eastAsia="Times New Roman" w:hAnsi="Times New Roman" w:cs="Times New Roman"/>
          <w:color w:val="212121"/>
          <w:sz w:val="24"/>
          <w:szCs w:val="24"/>
          <w:lang w:eastAsia="pl-PL"/>
        </w:rPr>
        <w:t xml:space="preserve"> i podmiot</w:t>
      </w:r>
      <w:r w:rsidR="004F3DB8" w:rsidRPr="00D84154">
        <w:rPr>
          <w:rFonts w:ascii="Times New Roman" w:eastAsia="Times New Roman" w:hAnsi="Times New Roman" w:cs="Times New Roman"/>
          <w:color w:val="212121"/>
          <w:sz w:val="24"/>
          <w:szCs w:val="24"/>
          <w:lang w:eastAsia="pl-PL"/>
        </w:rPr>
        <w:t>,</w:t>
      </w:r>
      <w:r w:rsidR="00747B9F" w:rsidRPr="00D84154">
        <w:rPr>
          <w:rFonts w:ascii="Times New Roman" w:eastAsia="Times New Roman" w:hAnsi="Times New Roman" w:cs="Times New Roman"/>
          <w:color w:val="212121"/>
          <w:sz w:val="24"/>
          <w:szCs w:val="24"/>
          <w:lang w:eastAsia="pl-PL"/>
        </w:rPr>
        <w:t xml:space="preserve"> który ten wpływ wywiera</w:t>
      </w:r>
      <w:r w:rsidR="0071472F">
        <w:rPr>
          <w:rFonts w:ascii="Times New Roman" w:eastAsia="Times New Roman" w:hAnsi="Times New Roman" w:cs="Times New Roman"/>
          <w:color w:val="212121"/>
          <w:sz w:val="24"/>
          <w:szCs w:val="24"/>
          <w:lang w:eastAsia="pl-PL"/>
        </w:rPr>
        <w:t>,</w:t>
      </w:r>
      <w:r w:rsidR="00747B9F" w:rsidRPr="00D84154">
        <w:rPr>
          <w:rFonts w:ascii="Times New Roman" w:eastAsia="Times New Roman" w:hAnsi="Times New Roman" w:cs="Times New Roman"/>
          <w:color w:val="212121"/>
          <w:sz w:val="24"/>
          <w:szCs w:val="24"/>
          <w:lang w:eastAsia="pl-PL"/>
        </w:rPr>
        <w:t xml:space="preserve"> nie konkurują ze sobą w potencjalnej kolejce wnioskodawców. Należy mieć na względzie, że </w:t>
      </w:r>
      <w:r w:rsidR="004F3DB8" w:rsidRPr="00D84154">
        <w:rPr>
          <w:rFonts w:ascii="Times New Roman" w:eastAsia="Times New Roman" w:hAnsi="Times New Roman" w:cs="Times New Roman"/>
          <w:color w:val="212121"/>
          <w:sz w:val="24"/>
          <w:szCs w:val="24"/>
          <w:lang w:eastAsia="pl-PL"/>
        </w:rPr>
        <w:t xml:space="preserve">projektowane </w:t>
      </w:r>
      <w:r w:rsidR="00747B9F" w:rsidRPr="00D84154">
        <w:rPr>
          <w:rFonts w:ascii="Times New Roman" w:eastAsia="Times New Roman" w:hAnsi="Times New Roman" w:cs="Times New Roman"/>
          <w:color w:val="212121"/>
          <w:sz w:val="24"/>
          <w:szCs w:val="24"/>
          <w:lang w:eastAsia="pl-PL"/>
        </w:rPr>
        <w:t xml:space="preserve">art. 6b i </w:t>
      </w:r>
      <w:r w:rsidR="004F3DB8" w:rsidRPr="00D84154">
        <w:rPr>
          <w:rFonts w:ascii="Times New Roman" w:eastAsia="Times New Roman" w:hAnsi="Times New Roman" w:cs="Times New Roman"/>
          <w:color w:val="212121"/>
          <w:sz w:val="24"/>
          <w:szCs w:val="24"/>
          <w:lang w:eastAsia="pl-PL"/>
        </w:rPr>
        <w:t xml:space="preserve">art. </w:t>
      </w:r>
      <w:r w:rsidR="00747B9F" w:rsidRPr="00D84154">
        <w:rPr>
          <w:rFonts w:ascii="Times New Roman" w:eastAsia="Times New Roman" w:hAnsi="Times New Roman" w:cs="Times New Roman"/>
          <w:color w:val="212121"/>
          <w:sz w:val="24"/>
          <w:szCs w:val="24"/>
          <w:lang w:eastAsia="pl-PL"/>
        </w:rPr>
        <w:t xml:space="preserve">9b </w:t>
      </w:r>
      <w:r w:rsidR="004F3DB8" w:rsidRPr="00D84154">
        <w:rPr>
          <w:rFonts w:ascii="Times New Roman" w:eastAsia="Times New Roman" w:hAnsi="Times New Roman" w:cs="Times New Roman"/>
          <w:color w:val="212121"/>
          <w:sz w:val="24"/>
          <w:szCs w:val="24"/>
          <w:lang w:eastAsia="pl-PL"/>
        </w:rPr>
        <w:t xml:space="preserve">ustawy </w:t>
      </w:r>
      <w:r w:rsidR="00747B9F" w:rsidRPr="00D84154">
        <w:rPr>
          <w:rFonts w:ascii="Times New Roman" w:eastAsia="Times New Roman" w:hAnsi="Times New Roman" w:cs="Times New Roman"/>
          <w:color w:val="212121"/>
          <w:sz w:val="24"/>
          <w:szCs w:val="24"/>
          <w:lang w:eastAsia="pl-PL"/>
        </w:rPr>
        <w:t>mają na</w:t>
      </w:r>
      <w:r w:rsidR="00A627FF">
        <w:rPr>
          <w:rFonts w:ascii="Times New Roman" w:eastAsia="Times New Roman" w:hAnsi="Times New Roman" w:cs="Times New Roman"/>
          <w:color w:val="212121"/>
          <w:sz w:val="24"/>
          <w:szCs w:val="24"/>
          <w:lang w:eastAsia="pl-PL"/>
        </w:rPr>
        <w:t xml:space="preserve"> celu praktyczne zastosowanie w </w:t>
      </w:r>
      <w:r w:rsidR="00747B9F" w:rsidRPr="00D84154">
        <w:rPr>
          <w:rFonts w:ascii="Times New Roman" w:eastAsia="Times New Roman" w:hAnsi="Times New Roman" w:cs="Times New Roman"/>
          <w:color w:val="212121"/>
          <w:sz w:val="24"/>
          <w:szCs w:val="24"/>
          <w:lang w:eastAsia="pl-PL"/>
        </w:rPr>
        <w:t>polskim porządku prawnym unijnego pojęcia przedsię</w:t>
      </w:r>
      <w:r w:rsidR="00A627FF">
        <w:rPr>
          <w:rFonts w:ascii="Times New Roman" w:eastAsia="Times New Roman" w:hAnsi="Times New Roman" w:cs="Times New Roman"/>
          <w:color w:val="212121"/>
          <w:sz w:val="24"/>
          <w:szCs w:val="24"/>
          <w:lang w:eastAsia="pl-PL"/>
        </w:rPr>
        <w:t>biorstwa zgodnie z art. 13 ust. </w:t>
      </w:r>
      <w:r w:rsidR="00747B9F" w:rsidRPr="00D84154">
        <w:rPr>
          <w:rFonts w:ascii="Times New Roman" w:eastAsia="Times New Roman" w:hAnsi="Times New Roman" w:cs="Times New Roman"/>
          <w:color w:val="212121"/>
          <w:sz w:val="24"/>
          <w:szCs w:val="24"/>
          <w:lang w:eastAsia="pl-PL"/>
        </w:rPr>
        <w:t xml:space="preserve">5 </w:t>
      </w:r>
      <w:r w:rsidR="004F3DB8" w:rsidRPr="00D84154">
        <w:rPr>
          <w:rFonts w:ascii="Times New Roman" w:eastAsia="Times New Roman" w:hAnsi="Times New Roman" w:cs="Times New Roman"/>
          <w:color w:val="212121"/>
          <w:sz w:val="24"/>
          <w:szCs w:val="24"/>
          <w:lang w:eastAsia="pl-PL"/>
        </w:rPr>
        <w:t>d</w:t>
      </w:r>
      <w:r w:rsidR="00747B9F" w:rsidRPr="00D84154">
        <w:rPr>
          <w:rFonts w:ascii="Times New Roman" w:eastAsia="Times New Roman" w:hAnsi="Times New Roman" w:cs="Times New Roman"/>
          <w:color w:val="212121"/>
          <w:sz w:val="24"/>
          <w:szCs w:val="24"/>
          <w:lang w:eastAsia="pl-PL"/>
        </w:rPr>
        <w:t xml:space="preserve">yrektywy. Przedsiębiorcy na potrzeby nakładania kary </w:t>
      </w:r>
      <w:r w:rsidR="0071472F" w:rsidRPr="00D84154">
        <w:rPr>
          <w:rFonts w:ascii="Times New Roman" w:eastAsia="Times New Roman" w:hAnsi="Times New Roman" w:cs="Times New Roman"/>
          <w:color w:val="212121"/>
          <w:sz w:val="24"/>
          <w:szCs w:val="24"/>
          <w:lang w:eastAsia="pl-PL"/>
        </w:rPr>
        <w:t xml:space="preserve">są </w:t>
      </w:r>
      <w:r w:rsidR="00747B9F" w:rsidRPr="00D84154">
        <w:rPr>
          <w:rFonts w:ascii="Times New Roman" w:eastAsia="Times New Roman" w:hAnsi="Times New Roman" w:cs="Times New Roman"/>
          <w:color w:val="212121"/>
          <w:sz w:val="24"/>
          <w:szCs w:val="24"/>
          <w:lang w:eastAsia="pl-PL"/>
        </w:rPr>
        <w:t xml:space="preserve">traktowani </w:t>
      </w:r>
      <w:r w:rsidR="00747B9F" w:rsidRPr="00C90F3C">
        <w:rPr>
          <w:rFonts w:ascii="Times New Roman" w:eastAsia="Times New Roman" w:hAnsi="Times New Roman" w:cs="Times New Roman"/>
          <w:i/>
          <w:color w:val="212121"/>
          <w:sz w:val="24"/>
          <w:szCs w:val="24"/>
          <w:lang w:eastAsia="pl-PL"/>
        </w:rPr>
        <w:t>de facto</w:t>
      </w:r>
      <w:r w:rsidR="00747B9F" w:rsidRPr="00D84154">
        <w:rPr>
          <w:rFonts w:ascii="Times New Roman" w:eastAsia="Times New Roman" w:hAnsi="Times New Roman" w:cs="Times New Roman"/>
          <w:color w:val="212121"/>
          <w:sz w:val="24"/>
          <w:szCs w:val="24"/>
          <w:lang w:eastAsia="pl-PL"/>
        </w:rPr>
        <w:t xml:space="preserve"> jak jeden organizm, zatem </w:t>
      </w:r>
      <w:r w:rsidR="0071472F" w:rsidRPr="00D84154">
        <w:rPr>
          <w:rFonts w:ascii="Times New Roman" w:eastAsia="Times New Roman" w:hAnsi="Times New Roman" w:cs="Times New Roman"/>
          <w:color w:val="212121"/>
          <w:sz w:val="24"/>
          <w:szCs w:val="24"/>
          <w:lang w:eastAsia="pl-PL"/>
        </w:rPr>
        <w:t xml:space="preserve">jest </w:t>
      </w:r>
      <w:r w:rsidR="00747B9F" w:rsidRPr="00D84154">
        <w:rPr>
          <w:rFonts w:ascii="Times New Roman" w:eastAsia="Times New Roman" w:hAnsi="Times New Roman" w:cs="Times New Roman"/>
          <w:color w:val="212121"/>
          <w:sz w:val="24"/>
          <w:szCs w:val="24"/>
          <w:lang w:eastAsia="pl-PL"/>
        </w:rPr>
        <w:t xml:space="preserve">uzasadnione analogiczne traktowanie ich w wypadku złożenia wniosku </w:t>
      </w:r>
      <w:r w:rsidR="00A627FF">
        <w:rPr>
          <w:rFonts w:ascii="Times New Roman" w:eastAsia="Times New Roman" w:hAnsi="Times New Roman" w:cs="Times New Roman"/>
          <w:color w:val="212121"/>
          <w:sz w:val="24"/>
          <w:szCs w:val="24"/>
          <w:lang w:eastAsia="pl-PL"/>
        </w:rPr>
        <w:t>o </w:t>
      </w:r>
      <w:r w:rsidR="00747B9F" w:rsidRPr="00D84154">
        <w:rPr>
          <w:rFonts w:ascii="Times New Roman" w:eastAsia="Times New Roman" w:hAnsi="Times New Roman" w:cs="Times New Roman"/>
          <w:color w:val="212121"/>
          <w:sz w:val="24"/>
          <w:szCs w:val="24"/>
          <w:lang w:eastAsia="pl-PL"/>
        </w:rPr>
        <w:t>odstąpienie od wymierzenia kary pieniężnej lub jej obniżenie.</w:t>
      </w:r>
    </w:p>
    <w:p w14:paraId="1FC892F5" w14:textId="5D8D5938" w:rsidR="0071398B" w:rsidRPr="00D84154" w:rsidRDefault="0071398B"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Harmonizacja programów </w:t>
      </w:r>
      <w:r w:rsidRPr="00611A1E">
        <w:rPr>
          <w:rFonts w:ascii="Times New Roman" w:hAnsi="Times New Roman" w:cs="Times New Roman"/>
          <w:i/>
          <w:color w:val="000000" w:themeColor="text1"/>
          <w:sz w:val="24"/>
          <w:szCs w:val="24"/>
        </w:rPr>
        <w:t>leniency</w:t>
      </w:r>
      <w:r w:rsidRPr="00D84154">
        <w:rPr>
          <w:rFonts w:ascii="Times New Roman" w:hAnsi="Times New Roman" w:cs="Times New Roman"/>
          <w:color w:val="000000" w:themeColor="text1"/>
          <w:sz w:val="24"/>
          <w:szCs w:val="24"/>
        </w:rPr>
        <w:t xml:space="preserve"> przewidziana w art. 17</w:t>
      </w:r>
      <w:r w:rsidR="0071472F">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22 </w:t>
      </w:r>
      <w:r w:rsidR="00BD024A"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 xml:space="preserve">yrektywy obejmuje ochronę przed karami przedsiębiorców występujących do organów ochrony konkurencji z informacjami na temat tajnych karteli. Należy jednak zauważyć, że znaczna część państw członkowskich UE (w tym Polska) w swoich krajowych systemach prawnych przewiduje możliwość nałożenia sankcji na osoby fizyczne, przede wszystkim na osoby pełniące funkcje kierownicze u danego przedsiębiorcy, za ich działania lub zaniechania, których skutkiem był udział tego przedsiębiorcy w niedozwolonym porozumieniu ograniczającym konkurencję. </w:t>
      </w:r>
      <w:r w:rsidR="00BD024A" w:rsidRPr="00D84154">
        <w:rPr>
          <w:rFonts w:ascii="Times New Roman" w:hAnsi="Times New Roman" w:cs="Times New Roman"/>
          <w:color w:val="000000" w:themeColor="text1"/>
          <w:sz w:val="24"/>
          <w:szCs w:val="24"/>
        </w:rPr>
        <w:t>d</w:t>
      </w:r>
      <w:r w:rsidR="00A627FF">
        <w:rPr>
          <w:rFonts w:ascii="Times New Roman" w:hAnsi="Times New Roman" w:cs="Times New Roman"/>
          <w:color w:val="000000" w:themeColor="text1"/>
          <w:sz w:val="24"/>
          <w:szCs w:val="24"/>
        </w:rPr>
        <w:t>yrektywa w </w:t>
      </w:r>
      <w:r w:rsidRPr="00D84154">
        <w:rPr>
          <w:rFonts w:ascii="Times New Roman" w:hAnsi="Times New Roman" w:cs="Times New Roman"/>
          <w:color w:val="000000" w:themeColor="text1"/>
          <w:sz w:val="24"/>
          <w:szCs w:val="24"/>
        </w:rPr>
        <w:t>art. 23 harmonizuje na poziomie krajowych przepisów państw członkowskich UE regulacje chroniące osoby fizyczne działające na rzecz p</w:t>
      </w:r>
      <w:r w:rsidR="00A627FF">
        <w:rPr>
          <w:rFonts w:ascii="Times New Roman" w:hAnsi="Times New Roman" w:cs="Times New Roman"/>
          <w:color w:val="000000" w:themeColor="text1"/>
          <w:sz w:val="24"/>
          <w:szCs w:val="24"/>
        </w:rPr>
        <w:t>rzedsiębiorcy uczestniczącego w </w:t>
      </w:r>
      <w:r w:rsidRPr="00D84154">
        <w:rPr>
          <w:rFonts w:ascii="Times New Roman" w:hAnsi="Times New Roman" w:cs="Times New Roman"/>
          <w:color w:val="000000" w:themeColor="text1"/>
          <w:sz w:val="24"/>
          <w:szCs w:val="24"/>
        </w:rPr>
        <w:t>niedozwolonym porozumieniu ograniczającym konkur</w:t>
      </w:r>
      <w:r w:rsidR="00A627FF">
        <w:rPr>
          <w:rFonts w:ascii="Times New Roman" w:hAnsi="Times New Roman" w:cs="Times New Roman"/>
          <w:color w:val="000000" w:themeColor="text1"/>
          <w:sz w:val="24"/>
          <w:szCs w:val="24"/>
        </w:rPr>
        <w:t>encję przed sankcjami zarówno o </w:t>
      </w:r>
      <w:r w:rsidRPr="00D84154">
        <w:rPr>
          <w:rFonts w:ascii="Times New Roman" w:hAnsi="Times New Roman" w:cs="Times New Roman"/>
          <w:color w:val="000000" w:themeColor="text1"/>
          <w:sz w:val="24"/>
          <w:szCs w:val="24"/>
        </w:rPr>
        <w:t>charakterze karnym, jak i administracyjnym</w:t>
      </w:r>
      <w:r w:rsidR="003B7FE6">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w przypadku gdy przedsiębiorca złożył wniosek o zwolnienie z kar w ramach programu łagodzenia kar.</w:t>
      </w:r>
    </w:p>
    <w:p w14:paraId="6CBA7441" w14:textId="14ED026C" w:rsidR="0071398B" w:rsidRPr="00D84154" w:rsidRDefault="0071398B"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lastRenderedPageBreak/>
        <w:t>W praktyce organu antymonopolowego horyzontalne porozumienia ograniczające konkurencję, w tym zmowy przetargowe, są tymi, które w największym stopniu wywierają negatywne skutki dla rynku, a jednocześnie praktykami najtrudniejszymi do wykrycia. Wykrywanie zmów przetargowych opiera się głównie na sygnałach z rynku pochodzących od przedsiębiorców i osób zaangażowanych w przygotowanie, przeprowadzanie przetargów lub osób biorących w nich udział.</w:t>
      </w:r>
      <w:r w:rsidR="00F65A77">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 xml:space="preserve">Dodatkowo w obecnie obowiązujących przepisach </w:t>
      </w:r>
      <w:r w:rsidR="00BD024A" w:rsidRPr="00D84154">
        <w:rPr>
          <w:rFonts w:ascii="Times New Roman" w:hAnsi="Times New Roman" w:cs="Times New Roman"/>
          <w:color w:val="000000" w:themeColor="text1"/>
          <w:sz w:val="24"/>
          <w:szCs w:val="24"/>
        </w:rPr>
        <w:t xml:space="preserve">polskiego </w:t>
      </w:r>
      <w:r w:rsidRPr="00D84154">
        <w:rPr>
          <w:rFonts w:ascii="Times New Roman" w:hAnsi="Times New Roman" w:cs="Times New Roman"/>
          <w:color w:val="000000" w:themeColor="text1"/>
          <w:sz w:val="24"/>
          <w:szCs w:val="24"/>
        </w:rPr>
        <w:t>prawa konkurencji funkcjonują rozwiązania prawne, które uniemożliwiają karanie osób zarządzających za zmowę przetargową (vide art. 6a ustawy). Rozwiązanie to jest uzasadnione faktem, ż</w:t>
      </w:r>
      <w:r w:rsidR="0099597F">
        <w:rPr>
          <w:rFonts w:ascii="Times New Roman" w:hAnsi="Times New Roman" w:cs="Times New Roman"/>
          <w:color w:val="000000" w:themeColor="text1"/>
          <w:sz w:val="24"/>
          <w:szCs w:val="24"/>
        </w:rPr>
        <w:t>e</w:t>
      </w:r>
      <w:r w:rsidRPr="00D84154">
        <w:rPr>
          <w:rFonts w:ascii="Times New Roman" w:hAnsi="Times New Roman" w:cs="Times New Roman"/>
          <w:color w:val="000000" w:themeColor="text1"/>
          <w:sz w:val="24"/>
          <w:szCs w:val="24"/>
        </w:rPr>
        <w:t xml:space="preserve"> sprawcy zmowy przetargowej mogą być pociągnięci do odpowiedzialności karnej, o której mowa w art. 305 </w:t>
      </w:r>
      <w:r w:rsidR="00BD024A" w:rsidRPr="00D84154">
        <w:rPr>
          <w:rFonts w:ascii="Times New Roman" w:hAnsi="Times New Roman" w:cs="Times New Roman"/>
          <w:color w:val="000000" w:themeColor="text1"/>
          <w:sz w:val="24"/>
          <w:szCs w:val="24"/>
        </w:rPr>
        <w:t xml:space="preserve">ustawy z dnia 6 czerwca 1997 r. </w:t>
      </w:r>
      <w:r w:rsidR="0099597F">
        <w:rPr>
          <w:rFonts w:ascii="Times New Roman" w:hAnsi="Times New Roman" w:cs="Times New Roman"/>
          <w:color w:val="000000" w:themeColor="text1"/>
          <w:sz w:val="24"/>
          <w:szCs w:val="24"/>
        </w:rPr>
        <w:t>–</w:t>
      </w:r>
      <w:r w:rsidR="000A32D9" w:rsidRPr="00D84154">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Kodeks karn</w:t>
      </w:r>
      <w:r w:rsidR="00BD024A" w:rsidRPr="00D84154">
        <w:rPr>
          <w:rFonts w:ascii="Times New Roman" w:hAnsi="Times New Roman" w:cs="Times New Roman"/>
          <w:color w:val="000000" w:themeColor="text1"/>
          <w:sz w:val="24"/>
          <w:szCs w:val="24"/>
        </w:rPr>
        <w:t xml:space="preserve">y (Dz. U. z </w:t>
      </w:r>
      <w:r w:rsidR="00A627FF">
        <w:rPr>
          <w:rFonts w:ascii="Times New Roman" w:hAnsi="Times New Roman" w:cs="Times New Roman"/>
          <w:color w:val="000000" w:themeColor="text1"/>
          <w:sz w:val="24"/>
          <w:szCs w:val="24"/>
        </w:rPr>
        <w:t>2022 </w:t>
      </w:r>
      <w:r w:rsidR="0074777B" w:rsidRPr="00D84154">
        <w:rPr>
          <w:rFonts w:ascii="Times New Roman" w:hAnsi="Times New Roman" w:cs="Times New Roman"/>
          <w:color w:val="000000" w:themeColor="text1"/>
          <w:sz w:val="24"/>
          <w:szCs w:val="24"/>
        </w:rPr>
        <w:t>r. poz. 1138</w:t>
      </w:r>
      <w:r w:rsidR="00BD024A" w:rsidRPr="00D84154">
        <w:rPr>
          <w:rFonts w:ascii="Times New Roman" w:hAnsi="Times New Roman" w:cs="Times New Roman"/>
          <w:color w:val="000000" w:themeColor="text1"/>
          <w:sz w:val="24"/>
          <w:szCs w:val="24"/>
        </w:rPr>
        <w:t>, z późn. zm.), dalej „</w:t>
      </w:r>
      <w:r w:rsidR="00BD024A" w:rsidRPr="00FB4E1F">
        <w:rPr>
          <w:rFonts w:ascii="Times New Roman" w:hAnsi="Times New Roman" w:cs="Times New Roman"/>
          <w:color w:val="000000" w:themeColor="text1"/>
          <w:sz w:val="24"/>
          <w:szCs w:val="24"/>
        </w:rPr>
        <w:t>Kodeks karny</w:t>
      </w:r>
      <w:r w:rsidR="00BD024A" w:rsidRPr="00D84154">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w:t>
      </w:r>
    </w:p>
    <w:p w14:paraId="480AC4BE" w14:textId="6B25F35E" w:rsidR="0071398B" w:rsidRPr="00D84154" w:rsidRDefault="0071398B"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 celu wykrycia zmowy przetargowej może być wykorzystany przez organ antymonopolowy program łagodzenia kar (art. 113a i n. ustawy). Jest to jed</w:t>
      </w:r>
      <w:r w:rsidR="00BD024A" w:rsidRPr="00D84154">
        <w:rPr>
          <w:rFonts w:ascii="Times New Roman" w:hAnsi="Times New Roman" w:cs="Times New Roman"/>
          <w:color w:val="000000" w:themeColor="text1"/>
          <w:sz w:val="24"/>
          <w:szCs w:val="24"/>
        </w:rPr>
        <w:t>e</w:t>
      </w:r>
      <w:r w:rsidRPr="00D84154">
        <w:rPr>
          <w:rFonts w:ascii="Times New Roman" w:hAnsi="Times New Roman" w:cs="Times New Roman"/>
          <w:color w:val="000000" w:themeColor="text1"/>
          <w:sz w:val="24"/>
          <w:szCs w:val="24"/>
        </w:rPr>
        <w:t xml:space="preserve">n z najważniejszych mechanizmów wykrywania praktyk przez organy ochrony konkurencji stosowany zarówno w Polsce, jak i na świecie. Podmiot składający wniosek o odstąpienie od wymierzenia kary pieniężnej lub </w:t>
      </w:r>
      <w:r w:rsidR="00875779" w:rsidRPr="00D84154">
        <w:rPr>
          <w:rFonts w:ascii="Times New Roman" w:hAnsi="Times New Roman" w:cs="Times New Roman"/>
          <w:color w:val="000000" w:themeColor="text1"/>
          <w:sz w:val="24"/>
          <w:szCs w:val="24"/>
        </w:rPr>
        <w:t xml:space="preserve">wniosek o </w:t>
      </w:r>
      <w:r w:rsidRPr="00D84154">
        <w:rPr>
          <w:rFonts w:ascii="Times New Roman" w:hAnsi="Times New Roman" w:cs="Times New Roman"/>
          <w:color w:val="000000" w:themeColor="text1"/>
          <w:sz w:val="24"/>
          <w:szCs w:val="24"/>
        </w:rPr>
        <w:t>jej obniżenie</w:t>
      </w:r>
      <w:r w:rsidR="006C3AB5">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ujawniając podejmowanie antykonkurencyjnej praktyki</w:t>
      </w:r>
      <w:r w:rsidR="006C3AB5">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może być przyrównany do </w:t>
      </w:r>
      <w:r w:rsidR="004A790A" w:rsidRPr="00D84154">
        <w:rPr>
          <w:rFonts w:ascii="Times New Roman" w:hAnsi="Times New Roman" w:cs="Times New Roman"/>
          <w:color w:val="000000" w:themeColor="text1"/>
          <w:sz w:val="24"/>
          <w:szCs w:val="24"/>
        </w:rPr>
        <w:t xml:space="preserve">instytucji </w:t>
      </w:r>
      <w:r w:rsidRPr="00D84154">
        <w:rPr>
          <w:rFonts w:ascii="Times New Roman" w:hAnsi="Times New Roman" w:cs="Times New Roman"/>
          <w:color w:val="000000" w:themeColor="text1"/>
          <w:sz w:val="24"/>
          <w:szCs w:val="24"/>
        </w:rPr>
        <w:t>świadka koronnego</w:t>
      </w:r>
      <w:r w:rsidR="004A790A" w:rsidRPr="00D84154">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znane</w:t>
      </w:r>
      <w:r w:rsidR="004A790A" w:rsidRPr="00D84154">
        <w:rPr>
          <w:rFonts w:ascii="Times New Roman" w:hAnsi="Times New Roman" w:cs="Times New Roman"/>
          <w:color w:val="000000" w:themeColor="text1"/>
          <w:sz w:val="24"/>
          <w:szCs w:val="24"/>
        </w:rPr>
        <w:t>j</w:t>
      </w:r>
      <w:r w:rsidRPr="00D84154">
        <w:rPr>
          <w:rFonts w:ascii="Times New Roman" w:hAnsi="Times New Roman" w:cs="Times New Roman"/>
          <w:color w:val="000000" w:themeColor="text1"/>
          <w:sz w:val="24"/>
          <w:szCs w:val="24"/>
        </w:rPr>
        <w:t xml:space="preserve"> prawu karnemu.</w:t>
      </w:r>
    </w:p>
    <w:p w14:paraId="602A92D9" w14:textId="3231BBDB" w:rsidR="0071398B" w:rsidRPr="00D84154" w:rsidRDefault="0071398B"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Skuteczność instytucji </w:t>
      </w:r>
      <w:r w:rsidRPr="00D84154">
        <w:rPr>
          <w:rFonts w:ascii="Times New Roman" w:hAnsi="Times New Roman" w:cs="Times New Roman"/>
          <w:i/>
          <w:color w:val="000000" w:themeColor="text1"/>
          <w:sz w:val="24"/>
          <w:szCs w:val="24"/>
        </w:rPr>
        <w:t>leniency</w:t>
      </w:r>
      <w:r w:rsidRPr="00D84154">
        <w:rPr>
          <w:rFonts w:ascii="Times New Roman" w:hAnsi="Times New Roman" w:cs="Times New Roman"/>
          <w:color w:val="000000" w:themeColor="text1"/>
          <w:sz w:val="24"/>
          <w:szCs w:val="24"/>
        </w:rPr>
        <w:t xml:space="preserve"> jest jednakże uzależniona od istnienia szeregu zachęt dla przedsiębiorców, również spoza systemu prawa konkurencji. W przypadku praktyk zmów przetargowych z uwagi na zagrożenie odpowiedzialn</w:t>
      </w:r>
      <w:r w:rsidR="00A627FF">
        <w:rPr>
          <w:rFonts w:ascii="Times New Roman" w:hAnsi="Times New Roman" w:cs="Times New Roman"/>
          <w:color w:val="000000" w:themeColor="text1"/>
          <w:sz w:val="24"/>
          <w:szCs w:val="24"/>
        </w:rPr>
        <w:t>ością karną przewidziane w art. </w:t>
      </w:r>
      <w:r w:rsidRPr="00D84154">
        <w:rPr>
          <w:rFonts w:ascii="Times New Roman" w:hAnsi="Times New Roman" w:cs="Times New Roman"/>
          <w:color w:val="000000" w:themeColor="text1"/>
          <w:sz w:val="24"/>
          <w:szCs w:val="24"/>
        </w:rPr>
        <w:t>305 Kodeksu karnego już obecnie obserwowana jest niska skuteczność programu łagodzenia kar, co przekłada się negatywnie na wyżej wskazaną wykrywalność i karalność praktyk ograniczających konkurencję.</w:t>
      </w:r>
    </w:p>
    <w:p w14:paraId="5C508943" w14:textId="7FE19564" w:rsidR="0071398B" w:rsidRPr="00D84154" w:rsidRDefault="0071398B"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W celu stworzenia zachęt dla przedsiębiorców do składania wniosków do organu antymonopolowego </w:t>
      </w:r>
      <w:r w:rsidR="006C3AB5" w:rsidRPr="00D84154">
        <w:rPr>
          <w:rFonts w:ascii="Times New Roman" w:hAnsi="Times New Roman" w:cs="Times New Roman"/>
          <w:color w:val="000000" w:themeColor="text1"/>
          <w:sz w:val="24"/>
          <w:szCs w:val="24"/>
        </w:rPr>
        <w:t xml:space="preserve">jest </w:t>
      </w:r>
      <w:r w:rsidRPr="00D84154">
        <w:rPr>
          <w:rFonts w:ascii="Times New Roman" w:hAnsi="Times New Roman" w:cs="Times New Roman"/>
          <w:color w:val="000000" w:themeColor="text1"/>
          <w:sz w:val="24"/>
          <w:szCs w:val="24"/>
        </w:rPr>
        <w:t>zasadne wyłączenie karalności przy stosowaniu art. 305</w:t>
      </w:r>
      <w:r w:rsidR="00F65A77">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 xml:space="preserve">Kodeksu karnego dla skutecznych wnioskodawców </w:t>
      </w:r>
      <w:r w:rsidRPr="00D84154">
        <w:rPr>
          <w:rFonts w:ascii="Times New Roman" w:hAnsi="Times New Roman" w:cs="Times New Roman"/>
          <w:i/>
          <w:color w:val="000000" w:themeColor="text1"/>
          <w:sz w:val="24"/>
          <w:szCs w:val="24"/>
        </w:rPr>
        <w:t>leniency</w:t>
      </w:r>
      <w:r w:rsidRPr="00D84154">
        <w:rPr>
          <w:rFonts w:ascii="Times New Roman" w:hAnsi="Times New Roman" w:cs="Times New Roman"/>
          <w:color w:val="000000" w:themeColor="text1"/>
          <w:sz w:val="24"/>
          <w:szCs w:val="24"/>
        </w:rPr>
        <w:t xml:space="preserve"> (tzn. spełniających przesłanki odstąpienia od nałożenia kary pieniężnej albo przesłanki do obniżenia kary –</w:t>
      </w:r>
      <w:r w:rsidR="0022294A" w:rsidRPr="00D84154">
        <w:rPr>
          <w:rFonts w:ascii="Times New Roman" w:hAnsi="Times New Roman" w:cs="Times New Roman"/>
          <w:color w:val="000000" w:themeColor="text1"/>
          <w:sz w:val="24"/>
          <w:szCs w:val="24"/>
        </w:rPr>
        <w:t xml:space="preserve"> </w:t>
      </w:r>
      <w:r w:rsidR="0009641F">
        <w:rPr>
          <w:rFonts w:ascii="Times New Roman" w:hAnsi="Times New Roman" w:cs="Times New Roman"/>
          <w:color w:val="000000" w:themeColor="text1"/>
          <w:sz w:val="24"/>
          <w:szCs w:val="24"/>
        </w:rPr>
        <w:t>odpowiednio art. 113b i </w:t>
      </w:r>
      <w:r w:rsidR="007239E5" w:rsidRPr="00D84154">
        <w:rPr>
          <w:rFonts w:ascii="Times New Roman" w:hAnsi="Times New Roman" w:cs="Times New Roman"/>
          <w:color w:val="000000" w:themeColor="text1"/>
          <w:sz w:val="24"/>
          <w:szCs w:val="24"/>
        </w:rPr>
        <w:t>art</w:t>
      </w:r>
      <w:r w:rsidR="0009641F">
        <w:rPr>
          <w:rFonts w:ascii="Times New Roman" w:hAnsi="Times New Roman" w:cs="Times New Roman"/>
          <w:color w:val="000000" w:themeColor="text1"/>
          <w:sz w:val="24"/>
          <w:szCs w:val="24"/>
        </w:rPr>
        <w:t>. </w:t>
      </w:r>
      <w:r w:rsidRPr="00D84154">
        <w:rPr>
          <w:rFonts w:ascii="Times New Roman" w:hAnsi="Times New Roman" w:cs="Times New Roman"/>
          <w:color w:val="000000" w:themeColor="text1"/>
          <w:sz w:val="24"/>
          <w:szCs w:val="24"/>
        </w:rPr>
        <w:t>113c ustawy). Takie rozwiązanie będzie stanowić implementację</w:t>
      </w:r>
      <w:r w:rsidR="00E90F30" w:rsidRPr="00D84154">
        <w:rPr>
          <w:rFonts w:ascii="Times New Roman" w:hAnsi="Times New Roman" w:cs="Times New Roman"/>
          <w:color w:val="000000" w:themeColor="text1"/>
          <w:sz w:val="24"/>
          <w:szCs w:val="24"/>
        </w:rPr>
        <w:t xml:space="preserve"> art. 23 </w:t>
      </w:r>
      <w:r w:rsidR="007239E5" w:rsidRPr="00D84154">
        <w:rPr>
          <w:rFonts w:ascii="Times New Roman" w:hAnsi="Times New Roman" w:cs="Times New Roman"/>
          <w:color w:val="000000" w:themeColor="text1"/>
          <w:sz w:val="24"/>
          <w:szCs w:val="24"/>
        </w:rPr>
        <w:t>d</w:t>
      </w:r>
      <w:r w:rsidR="00E90F30" w:rsidRPr="00D84154">
        <w:rPr>
          <w:rFonts w:ascii="Times New Roman" w:hAnsi="Times New Roman" w:cs="Times New Roman"/>
          <w:color w:val="000000" w:themeColor="text1"/>
          <w:sz w:val="24"/>
          <w:szCs w:val="24"/>
        </w:rPr>
        <w:t>yrektywy, w</w:t>
      </w:r>
      <w:r w:rsidR="0009641F">
        <w:rPr>
          <w:rFonts w:ascii="Times New Roman" w:hAnsi="Times New Roman" w:cs="Times New Roman"/>
          <w:color w:val="000000" w:themeColor="text1"/>
          <w:sz w:val="24"/>
          <w:szCs w:val="24"/>
        </w:rPr>
        <w:t> </w:t>
      </w:r>
      <w:r w:rsidR="00E90F30" w:rsidRPr="00D84154">
        <w:rPr>
          <w:rFonts w:ascii="Times New Roman" w:hAnsi="Times New Roman" w:cs="Times New Roman"/>
          <w:color w:val="000000" w:themeColor="text1"/>
          <w:sz w:val="24"/>
          <w:szCs w:val="24"/>
        </w:rPr>
        <w:t>szczególności</w:t>
      </w:r>
      <w:r w:rsidR="00F65A77">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ust. 2</w:t>
      </w:r>
      <w:r w:rsidR="006C3AB5">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przewidującego, że państwa członkowskie zapewniają, aby obecni i byli dyrektorzy, obecna i była kadra zarządzająca oraz obecni i byli inni pracownicy wnioskodawców ubiegających się w organach ochrony konkur</w:t>
      </w:r>
      <w:r w:rsidR="0009641F">
        <w:rPr>
          <w:rFonts w:ascii="Times New Roman" w:hAnsi="Times New Roman" w:cs="Times New Roman"/>
          <w:color w:val="000000" w:themeColor="text1"/>
          <w:sz w:val="24"/>
          <w:szCs w:val="24"/>
        </w:rPr>
        <w:t>encji o zwolnienie z kar byli w </w:t>
      </w:r>
      <w:r w:rsidRPr="00D84154">
        <w:rPr>
          <w:rFonts w:ascii="Times New Roman" w:hAnsi="Times New Roman" w:cs="Times New Roman"/>
          <w:color w:val="000000" w:themeColor="text1"/>
          <w:sz w:val="24"/>
          <w:szCs w:val="24"/>
        </w:rPr>
        <w:t>pełni chronieni przed sankcjami nakładanymi w p</w:t>
      </w:r>
      <w:r w:rsidR="0009641F">
        <w:rPr>
          <w:rFonts w:ascii="Times New Roman" w:hAnsi="Times New Roman" w:cs="Times New Roman"/>
          <w:color w:val="000000" w:themeColor="text1"/>
          <w:sz w:val="24"/>
          <w:szCs w:val="24"/>
        </w:rPr>
        <w:t>ostępowaniu karnym, w związku z </w:t>
      </w:r>
      <w:r w:rsidRPr="00D84154">
        <w:rPr>
          <w:rFonts w:ascii="Times New Roman" w:hAnsi="Times New Roman" w:cs="Times New Roman"/>
          <w:color w:val="000000" w:themeColor="text1"/>
          <w:sz w:val="24"/>
          <w:szCs w:val="24"/>
        </w:rPr>
        <w:t xml:space="preserve">udziałem tych osób w tajnym kartelu, którego dotyczy wniosek o zwolnienie z kar za </w:t>
      </w:r>
      <w:r w:rsidRPr="00D84154">
        <w:rPr>
          <w:rFonts w:ascii="Times New Roman" w:hAnsi="Times New Roman" w:cs="Times New Roman"/>
          <w:color w:val="000000" w:themeColor="text1"/>
          <w:sz w:val="24"/>
          <w:szCs w:val="24"/>
        </w:rPr>
        <w:lastRenderedPageBreak/>
        <w:t>naruszenie przepisów krajowych</w:t>
      </w:r>
      <w:r w:rsidR="00020AD4" w:rsidRPr="00D84154">
        <w:rPr>
          <w:rFonts w:ascii="Times New Roman" w:hAnsi="Times New Roman" w:cs="Times New Roman"/>
          <w:color w:val="000000" w:themeColor="text1"/>
          <w:sz w:val="24"/>
          <w:szCs w:val="24"/>
        </w:rPr>
        <w:t xml:space="preserve"> </w:t>
      </w:r>
      <w:r w:rsidR="00875779" w:rsidRPr="00D84154">
        <w:rPr>
          <w:rFonts w:ascii="Times New Roman" w:hAnsi="Times New Roman" w:cs="Times New Roman"/>
          <w:color w:val="000000" w:themeColor="text1"/>
          <w:sz w:val="24"/>
          <w:szCs w:val="24"/>
        </w:rPr>
        <w:t>o</w:t>
      </w:r>
      <w:r w:rsidRPr="00D84154">
        <w:rPr>
          <w:rFonts w:ascii="Times New Roman" w:hAnsi="Times New Roman" w:cs="Times New Roman"/>
          <w:color w:val="000000" w:themeColor="text1"/>
          <w:sz w:val="24"/>
          <w:szCs w:val="24"/>
        </w:rPr>
        <w:t xml:space="preserve"> cel</w:t>
      </w:r>
      <w:r w:rsidR="00875779" w:rsidRPr="00D84154">
        <w:rPr>
          <w:rFonts w:ascii="Times New Roman" w:hAnsi="Times New Roman" w:cs="Times New Roman"/>
          <w:color w:val="000000" w:themeColor="text1"/>
          <w:sz w:val="24"/>
          <w:szCs w:val="24"/>
        </w:rPr>
        <w:t>ach</w:t>
      </w:r>
      <w:r w:rsidRPr="00D84154">
        <w:rPr>
          <w:rFonts w:ascii="Times New Roman" w:hAnsi="Times New Roman" w:cs="Times New Roman"/>
          <w:color w:val="000000" w:themeColor="text1"/>
          <w:sz w:val="24"/>
          <w:szCs w:val="24"/>
        </w:rPr>
        <w:t xml:space="preserve"> zasadniczo identyczn</w:t>
      </w:r>
      <w:r w:rsidR="00875779" w:rsidRPr="00D84154">
        <w:rPr>
          <w:rFonts w:ascii="Times New Roman" w:hAnsi="Times New Roman" w:cs="Times New Roman"/>
          <w:color w:val="000000" w:themeColor="text1"/>
          <w:sz w:val="24"/>
          <w:szCs w:val="24"/>
        </w:rPr>
        <w:t>ych</w:t>
      </w:r>
      <w:r w:rsidRPr="00D84154">
        <w:rPr>
          <w:rFonts w:ascii="Times New Roman" w:hAnsi="Times New Roman" w:cs="Times New Roman"/>
          <w:color w:val="000000" w:themeColor="text1"/>
          <w:sz w:val="24"/>
          <w:szCs w:val="24"/>
        </w:rPr>
        <w:t xml:space="preserve"> z celami art. 101 TFUE, jeżeli spełniają oni warunki określone w ust. 1 i aktywnie współpracują z właściwym organem ścigania. Dyrektywa stanowi również, że aby zapewnić zgodność z obowiązującymi podstawowymi zasadami własnych systemów prawnych państwa członkowskie mogą przewidzieć, że właściwe organy dysponują swobodą nienakładania sankcji lub jedynie złagodzenia sankcji, które mają zostać nałożone w postępowaniu karnym, w zakresie, w jakim rola poszczególnych osób, o których mowa w ust. 2 (obecni i byli dyrektorzy, obecna i była kadra zarządzająca oraz obecni i byli inni pracownicy w</w:t>
      </w:r>
      <w:r w:rsidR="0009641F">
        <w:rPr>
          <w:rFonts w:ascii="Times New Roman" w:hAnsi="Times New Roman" w:cs="Times New Roman"/>
          <w:color w:val="000000" w:themeColor="text1"/>
          <w:sz w:val="24"/>
          <w:szCs w:val="24"/>
        </w:rPr>
        <w:t>nioskodawców ubiegających się w </w:t>
      </w:r>
      <w:r w:rsidRPr="00D84154">
        <w:rPr>
          <w:rFonts w:ascii="Times New Roman" w:hAnsi="Times New Roman" w:cs="Times New Roman"/>
          <w:color w:val="000000" w:themeColor="text1"/>
          <w:sz w:val="24"/>
          <w:szCs w:val="24"/>
        </w:rPr>
        <w:t>organach ochrony konkurencji o zwolnienie z kar),</w:t>
      </w:r>
      <w:r w:rsidR="0009641F">
        <w:rPr>
          <w:rFonts w:ascii="Times New Roman" w:hAnsi="Times New Roman" w:cs="Times New Roman"/>
          <w:color w:val="000000" w:themeColor="text1"/>
          <w:sz w:val="24"/>
          <w:szCs w:val="24"/>
        </w:rPr>
        <w:t xml:space="preserve"> w wykrywaniu tajnego kartelu i </w:t>
      </w:r>
      <w:r w:rsidRPr="00D84154">
        <w:rPr>
          <w:rFonts w:ascii="Times New Roman" w:hAnsi="Times New Roman" w:cs="Times New Roman"/>
          <w:color w:val="000000" w:themeColor="text1"/>
          <w:sz w:val="24"/>
          <w:szCs w:val="24"/>
        </w:rPr>
        <w:t>odnośnym postępowaniu jest większa niż korzyść ze ścigania tych osób lub wymierzenia im kary.</w:t>
      </w:r>
    </w:p>
    <w:p w14:paraId="18AEC7E7" w14:textId="39451E72" w:rsidR="0071398B" w:rsidRPr="00D84154" w:rsidRDefault="0071398B"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Jak wskazuje motyw 64 </w:t>
      </w:r>
      <w:r w:rsidR="00875779"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yrektywy brak ochrony osób fizycznych (zarówno osób zarządzających, jak i pracowników niepełniących funkcji kierowniczych) przed sankcjami za ich udział w tajnym kartelu jest czynnikiem zniechęcającym potencjalnych wnioskodawców do składania wniosków o złagodzenie kary. W związku z ich rolą w wykrywaniu tajnych karteli osoby te winny być zatem, co do zasady, chronione przed sankcjami w sprawie udziału tych osób w tajnym kartelu, którego dotyczy wniosek, nakła</w:t>
      </w:r>
      <w:r w:rsidR="0009641F">
        <w:rPr>
          <w:rFonts w:ascii="Times New Roman" w:hAnsi="Times New Roman" w:cs="Times New Roman"/>
          <w:color w:val="000000" w:themeColor="text1"/>
          <w:sz w:val="24"/>
          <w:szCs w:val="24"/>
        </w:rPr>
        <w:t>danymi przez organy publiczne w </w:t>
      </w:r>
      <w:r w:rsidRPr="00D84154">
        <w:rPr>
          <w:rFonts w:ascii="Times New Roman" w:hAnsi="Times New Roman" w:cs="Times New Roman"/>
          <w:color w:val="000000" w:themeColor="text1"/>
          <w:sz w:val="24"/>
          <w:szCs w:val="24"/>
        </w:rPr>
        <w:t>postępowaniach karnych, administracyjnych i sądowych innych niż karne prowadzonych na podstawie przepisów krajowych</w:t>
      </w:r>
      <w:r w:rsidR="00020AD4" w:rsidRPr="00D84154">
        <w:rPr>
          <w:rFonts w:ascii="Times New Roman" w:hAnsi="Times New Roman" w:cs="Times New Roman"/>
          <w:color w:val="000000" w:themeColor="text1"/>
          <w:sz w:val="24"/>
          <w:szCs w:val="24"/>
        </w:rPr>
        <w:t xml:space="preserve"> </w:t>
      </w:r>
      <w:r w:rsidR="00875779" w:rsidRPr="00D84154">
        <w:rPr>
          <w:rFonts w:ascii="Times New Roman" w:hAnsi="Times New Roman" w:cs="Times New Roman"/>
          <w:color w:val="000000" w:themeColor="text1"/>
          <w:sz w:val="24"/>
          <w:szCs w:val="24"/>
        </w:rPr>
        <w:t>o</w:t>
      </w:r>
      <w:r w:rsidR="00F65A77">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cel</w:t>
      </w:r>
      <w:r w:rsidR="00875779" w:rsidRPr="00D84154">
        <w:rPr>
          <w:rFonts w:ascii="Times New Roman" w:hAnsi="Times New Roman" w:cs="Times New Roman"/>
          <w:color w:val="000000" w:themeColor="text1"/>
          <w:sz w:val="24"/>
          <w:szCs w:val="24"/>
        </w:rPr>
        <w:t>ach</w:t>
      </w:r>
      <w:r w:rsidRPr="00D84154">
        <w:rPr>
          <w:rFonts w:ascii="Times New Roman" w:hAnsi="Times New Roman" w:cs="Times New Roman"/>
          <w:color w:val="000000" w:themeColor="text1"/>
          <w:sz w:val="24"/>
          <w:szCs w:val="24"/>
        </w:rPr>
        <w:t xml:space="preserve"> zasadniczo identyczn</w:t>
      </w:r>
      <w:r w:rsidR="00875779" w:rsidRPr="00D84154">
        <w:rPr>
          <w:rFonts w:ascii="Times New Roman" w:hAnsi="Times New Roman" w:cs="Times New Roman"/>
          <w:color w:val="000000" w:themeColor="text1"/>
          <w:sz w:val="24"/>
          <w:szCs w:val="24"/>
        </w:rPr>
        <w:t>ych</w:t>
      </w:r>
      <w:r w:rsidRPr="00D84154">
        <w:rPr>
          <w:rFonts w:ascii="Times New Roman" w:hAnsi="Times New Roman" w:cs="Times New Roman"/>
          <w:color w:val="000000" w:themeColor="text1"/>
          <w:sz w:val="24"/>
          <w:szCs w:val="24"/>
        </w:rPr>
        <w:t xml:space="preserve"> z celami art</w:t>
      </w:r>
      <w:r w:rsidR="0009641F">
        <w:rPr>
          <w:rFonts w:ascii="Times New Roman" w:hAnsi="Times New Roman" w:cs="Times New Roman"/>
          <w:color w:val="000000" w:themeColor="text1"/>
          <w:sz w:val="24"/>
          <w:szCs w:val="24"/>
        </w:rPr>
        <w:t>. 101 TFUE, np. </w:t>
      </w:r>
      <w:r w:rsidRPr="00D84154">
        <w:rPr>
          <w:rFonts w:ascii="Times New Roman" w:hAnsi="Times New Roman" w:cs="Times New Roman"/>
          <w:color w:val="000000" w:themeColor="text1"/>
          <w:sz w:val="24"/>
          <w:szCs w:val="24"/>
        </w:rPr>
        <w:t>przepisów krajowych o zmowie przetargowej, jeżeli warunki przewidziane w dyrektywie są spełnione. Dyrektywa wskazuje na następujące warunki, jakie muszą być spełnione, aby osoba fizyczna została objęta ochroną przed sankcjami:</w:t>
      </w:r>
    </w:p>
    <w:p w14:paraId="0437A65D" w14:textId="273559BF" w:rsidR="0071398B" w:rsidRPr="00D84154" w:rsidRDefault="009C378F"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t>
      </w:r>
      <w:r w:rsidR="0071398B" w:rsidRPr="00D84154">
        <w:rPr>
          <w:rFonts w:ascii="Times New Roman" w:hAnsi="Times New Roman" w:cs="Times New Roman"/>
          <w:color w:val="000000" w:themeColor="text1"/>
          <w:sz w:val="24"/>
          <w:szCs w:val="24"/>
        </w:rPr>
        <w:t xml:space="preserve"> wniosek o zwolnienie z kar musi spełniać wymogi co do treśc</w:t>
      </w:r>
      <w:r w:rsidR="0009641F">
        <w:rPr>
          <w:rFonts w:ascii="Times New Roman" w:hAnsi="Times New Roman" w:cs="Times New Roman"/>
          <w:color w:val="000000" w:themeColor="text1"/>
          <w:sz w:val="24"/>
          <w:szCs w:val="24"/>
        </w:rPr>
        <w:t>i, które przewidziane są w art. </w:t>
      </w:r>
      <w:r w:rsidR="0071398B" w:rsidRPr="00D84154">
        <w:rPr>
          <w:rFonts w:ascii="Times New Roman" w:hAnsi="Times New Roman" w:cs="Times New Roman"/>
          <w:color w:val="000000" w:themeColor="text1"/>
          <w:sz w:val="24"/>
          <w:szCs w:val="24"/>
        </w:rPr>
        <w:t xml:space="preserve">17 ust. 2 </w:t>
      </w:r>
      <w:r w:rsidR="00875779" w:rsidRPr="00D84154">
        <w:rPr>
          <w:rFonts w:ascii="Times New Roman" w:hAnsi="Times New Roman" w:cs="Times New Roman"/>
          <w:color w:val="000000" w:themeColor="text1"/>
          <w:sz w:val="24"/>
          <w:szCs w:val="24"/>
        </w:rPr>
        <w:t>d</w:t>
      </w:r>
      <w:r w:rsidR="0071398B" w:rsidRPr="00D84154">
        <w:rPr>
          <w:rFonts w:ascii="Times New Roman" w:hAnsi="Times New Roman" w:cs="Times New Roman"/>
          <w:color w:val="000000" w:themeColor="text1"/>
          <w:sz w:val="24"/>
          <w:szCs w:val="24"/>
        </w:rPr>
        <w:t>yrektywy (ujawnienie przez wnioskodaw</w:t>
      </w:r>
      <w:r w:rsidR="0009641F">
        <w:rPr>
          <w:rFonts w:ascii="Times New Roman" w:hAnsi="Times New Roman" w:cs="Times New Roman"/>
          <w:color w:val="000000" w:themeColor="text1"/>
          <w:sz w:val="24"/>
          <w:szCs w:val="24"/>
        </w:rPr>
        <w:t>cę informacji o swoim udziale w </w:t>
      </w:r>
      <w:r w:rsidR="0071398B" w:rsidRPr="00D84154">
        <w:rPr>
          <w:rFonts w:ascii="Times New Roman" w:hAnsi="Times New Roman" w:cs="Times New Roman"/>
          <w:color w:val="000000" w:themeColor="text1"/>
          <w:sz w:val="24"/>
          <w:szCs w:val="24"/>
        </w:rPr>
        <w:t>tajnym kartelu, przedstawienie jako pierwszy z wnioskod</w:t>
      </w:r>
      <w:r w:rsidR="0009641F">
        <w:rPr>
          <w:rFonts w:ascii="Times New Roman" w:hAnsi="Times New Roman" w:cs="Times New Roman"/>
          <w:color w:val="000000" w:themeColor="text1"/>
          <w:sz w:val="24"/>
          <w:szCs w:val="24"/>
        </w:rPr>
        <w:t>awców dowodów, które nie były w </w:t>
      </w:r>
      <w:r w:rsidR="0071398B" w:rsidRPr="00D84154">
        <w:rPr>
          <w:rFonts w:ascii="Times New Roman" w:hAnsi="Times New Roman" w:cs="Times New Roman"/>
          <w:color w:val="000000" w:themeColor="text1"/>
          <w:sz w:val="24"/>
          <w:szCs w:val="24"/>
        </w:rPr>
        <w:t>posiadaniu organu antymonopolowe</w:t>
      </w:r>
      <w:r w:rsidR="00875779" w:rsidRPr="00D84154">
        <w:rPr>
          <w:rFonts w:ascii="Times New Roman" w:hAnsi="Times New Roman" w:cs="Times New Roman"/>
          <w:color w:val="000000" w:themeColor="text1"/>
          <w:sz w:val="24"/>
          <w:szCs w:val="24"/>
        </w:rPr>
        <w:t>go</w:t>
      </w:r>
      <w:r w:rsidR="0071398B" w:rsidRPr="00D84154">
        <w:rPr>
          <w:rFonts w:ascii="Times New Roman" w:hAnsi="Times New Roman" w:cs="Times New Roman"/>
          <w:color w:val="000000" w:themeColor="text1"/>
          <w:sz w:val="24"/>
          <w:szCs w:val="24"/>
        </w:rPr>
        <w:t>, a które umożliwiają organowi przeprowadzenie kontroli lub przeszukania w związku z tajnym kartelem lub są wystarczające do stwierdzenia naruszenia objętego programem łagodzenia kar),</w:t>
      </w:r>
    </w:p>
    <w:p w14:paraId="65F5EF29" w14:textId="0225A542" w:rsidR="0071398B" w:rsidRPr="00D84154" w:rsidRDefault="009C378F"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t>
      </w:r>
      <w:r w:rsidR="0071398B" w:rsidRPr="00D84154">
        <w:rPr>
          <w:rFonts w:ascii="Times New Roman" w:hAnsi="Times New Roman" w:cs="Times New Roman"/>
          <w:color w:val="000000" w:themeColor="text1"/>
          <w:sz w:val="24"/>
          <w:szCs w:val="24"/>
        </w:rPr>
        <w:t xml:space="preserve"> podmioty objęte ochroną muszą aktywnie współpracować z organem ochrony konkurencji prowadzącym sprawę (w przypadku ochrony przed sankcjami administracyjnymi lub nakładanymi w postępowaniu sądowym innym niż kar</w:t>
      </w:r>
      <w:r w:rsidR="0009641F">
        <w:rPr>
          <w:rFonts w:ascii="Times New Roman" w:hAnsi="Times New Roman" w:cs="Times New Roman"/>
          <w:color w:val="000000" w:themeColor="text1"/>
          <w:sz w:val="24"/>
          <w:szCs w:val="24"/>
        </w:rPr>
        <w:t>ne) albo z organami ścigania (w </w:t>
      </w:r>
      <w:r w:rsidR="0071398B" w:rsidRPr="00D84154">
        <w:rPr>
          <w:rFonts w:ascii="Times New Roman" w:hAnsi="Times New Roman" w:cs="Times New Roman"/>
          <w:color w:val="000000" w:themeColor="text1"/>
          <w:sz w:val="24"/>
          <w:szCs w:val="24"/>
        </w:rPr>
        <w:t>przypadku ochrony przed sankcjami karnymi),</w:t>
      </w:r>
    </w:p>
    <w:p w14:paraId="26E4ECA2" w14:textId="469CB2DC" w:rsidR="0071398B" w:rsidRPr="00D84154" w:rsidRDefault="009C378F"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lastRenderedPageBreak/>
        <w:t>–</w:t>
      </w:r>
      <w:r w:rsidR="0071398B" w:rsidRPr="00D84154">
        <w:rPr>
          <w:rFonts w:ascii="Times New Roman" w:hAnsi="Times New Roman" w:cs="Times New Roman"/>
          <w:color w:val="000000" w:themeColor="text1"/>
          <w:sz w:val="24"/>
          <w:szCs w:val="24"/>
        </w:rPr>
        <w:t xml:space="preserve"> wniosek o zwolnienie z kar musi zostać złożony przed po</w:t>
      </w:r>
      <w:r w:rsidR="0009641F">
        <w:rPr>
          <w:rFonts w:ascii="Times New Roman" w:hAnsi="Times New Roman" w:cs="Times New Roman"/>
          <w:color w:val="000000" w:themeColor="text1"/>
          <w:sz w:val="24"/>
          <w:szCs w:val="24"/>
        </w:rPr>
        <w:t>informowaniem osób fizycznych o </w:t>
      </w:r>
      <w:r w:rsidR="0071398B" w:rsidRPr="00D84154">
        <w:rPr>
          <w:rFonts w:ascii="Times New Roman" w:hAnsi="Times New Roman" w:cs="Times New Roman"/>
          <w:color w:val="000000" w:themeColor="text1"/>
          <w:sz w:val="24"/>
          <w:szCs w:val="24"/>
        </w:rPr>
        <w:t>postępowaniu prowadzącym do nałożenia kar. Jak wskazuje wspomniany motyw 64 dyrektywy takie postępowanie obejmuje moment, w którym os</w:t>
      </w:r>
      <w:r w:rsidR="0009641F">
        <w:rPr>
          <w:rFonts w:ascii="Times New Roman" w:hAnsi="Times New Roman" w:cs="Times New Roman"/>
          <w:color w:val="000000" w:themeColor="text1"/>
          <w:sz w:val="24"/>
          <w:szCs w:val="24"/>
        </w:rPr>
        <w:t>oby te stają się podejrzanymi o </w:t>
      </w:r>
      <w:r w:rsidR="0071398B" w:rsidRPr="00D84154">
        <w:rPr>
          <w:rFonts w:ascii="Times New Roman" w:hAnsi="Times New Roman" w:cs="Times New Roman"/>
          <w:color w:val="000000" w:themeColor="text1"/>
          <w:sz w:val="24"/>
          <w:szCs w:val="24"/>
        </w:rPr>
        <w:t>naruszenie[…]przepisów krajowych.</w:t>
      </w:r>
    </w:p>
    <w:p w14:paraId="3756DC8B" w14:textId="127B7106" w:rsidR="0071398B" w:rsidRPr="00D84154" w:rsidRDefault="0071398B"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Na gruncie polskich przepisów art. 113j </w:t>
      </w:r>
      <w:r w:rsidR="00875779" w:rsidRPr="00D84154">
        <w:rPr>
          <w:rFonts w:ascii="Times New Roman" w:hAnsi="Times New Roman" w:cs="Times New Roman"/>
          <w:color w:val="000000" w:themeColor="text1"/>
          <w:sz w:val="24"/>
          <w:szCs w:val="24"/>
        </w:rPr>
        <w:t>u</w:t>
      </w:r>
      <w:r w:rsidR="00C35360" w:rsidRPr="00D84154">
        <w:rPr>
          <w:rFonts w:ascii="Times New Roman" w:hAnsi="Times New Roman" w:cs="Times New Roman"/>
          <w:color w:val="000000" w:themeColor="text1"/>
          <w:sz w:val="24"/>
          <w:szCs w:val="24"/>
        </w:rPr>
        <w:t>stawy</w:t>
      </w:r>
      <w:r w:rsidR="00BC7970" w:rsidRPr="00D84154">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 xml:space="preserve">wprowadza zasadę, że wniosek </w:t>
      </w:r>
      <w:r w:rsidRPr="00D84154">
        <w:rPr>
          <w:rFonts w:ascii="Times New Roman" w:hAnsi="Times New Roman" w:cs="Times New Roman"/>
          <w:i/>
          <w:color w:val="000000" w:themeColor="text1"/>
          <w:sz w:val="24"/>
          <w:szCs w:val="24"/>
        </w:rPr>
        <w:t>leniency</w:t>
      </w:r>
      <w:r w:rsidRPr="00D84154">
        <w:rPr>
          <w:rFonts w:ascii="Times New Roman" w:hAnsi="Times New Roman" w:cs="Times New Roman"/>
          <w:color w:val="000000" w:themeColor="text1"/>
          <w:sz w:val="24"/>
          <w:szCs w:val="24"/>
        </w:rPr>
        <w:t xml:space="preserve"> złożony przez przedsiębiorcę obejmuje także osoby zarządzające tego przedsiębiorcy. Oznacza to, że osoby takie są objęte ochroną przed karami nakładanymi w postępowaniu przed Prezesem UOKiK na podstawie art. 106a</w:t>
      </w:r>
      <w:r w:rsidR="00875779" w:rsidRPr="00D84154">
        <w:rPr>
          <w:rFonts w:ascii="Times New Roman" w:hAnsi="Times New Roman" w:cs="Times New Roman"/>
          <w:color w:val="000000" w:themeColor="text1"/>
          <w:sz w:val="24"/>
          <w:szCs w:val="24"/>
        </w:rPr>
        <w:t xml:space="preserve"> ustawy</w:t>
      </w:r>
      <w:r w:rsidRPr="00D84154">
        <w:rPr>
          <w:rFonts w:ascii="Times New Roman" w:hAnsi="Times New Roman" w:cs="Times New Roman"/>
          <w:color w:val="000000" w:themeColor="text1"/>
          <w:sz w:val="24"/>
          <w:szCs w:val="24"/>
        </w:rPr>
        <w:t>, w związku ze stwierdzonym w decyzji umyślnym dopuszczeniem przez nie do naruszenia przez przedsiębiorcę za</w:t>
      </w:r>
      <w:r w:rsidR="0009641F">
        <w:rPr>
          <w:rFonts w:ascii="Times New Roman" w:hAnsi="Times New Roman" w:cs="Times New Roman"/>
          <w:color w:val="000000" w:themeColor="text1"/>
          <w:sz w:val="24"/>
          <w:szCs w:val="24"/>
        </w:rPr>
        <w:t>kazów określonych w art. 6 ust. </w:t>
      </w:r>
      <w:r w:rsidRPr="00D84154">
        <w:rPr>
          <w:rFonts w:ascii="Times New Roman" w:hAnsi="Times New Roman" w:cs="Times New Roman"/>
          <w:color w:val="000000" w:themeColor="text1"/>
          <w:sz w:val="24"/>
          <w:szCs w:val="24"/>
        </w:rPr>
        <w:t>1 pkt 1</w:t>
      </w:r>
      <w:r w:rsidR="00D964BF">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6 </w:t>
      </w:r>
      <w:r w:rsidR="00875779" w:rsidRPr="00D84154">
        <w:rPr>
          <w:rFonts w:ascii="Times New Roman" w:hAnsi="Times New Roman" w:cs="Times New Roman"/>
          <w:color w:val="000000" w:themeColor="text1"/>
          <w:sz w:val="24"/>
          <w:szCs w:val="24"/>
        </w:rPr>
        <w:t xml:space="preserve">ustawy </w:t>
      </w:r>
      <w:r w:rsidRPr="00D84154">
        <w:rPr>
          <w:rFonts w:ascii="Times New Roman" w:hAnsi="Times New Roman" w:cs="Times New Roman"/>
          <w:color w:val="000000" w:themeColor="text1"/>
          <w:sz w:val="24"/>
          <w:szCs w:val="24"/>
        </w:rPr>
        <w:t>lub w art. 101 ust. 1 lit. a</w:t>
      </w:r>
      <w:r w:rsidR="00D964BF">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e TFUE. W tym zatem zakresie art. 113j </w:t>
      </w:r>
      <w:r w:rsidR="00875779" w:rsidRPr="00D84154">
        <w:rPr>
          <w:rFonts w:ascii="Times New Roman" w:hAnsi="Times New Roman" w:cs="Times New Roman"/>
          <w:color w:val="000000" w:themeColor="text1"/>
          <w:sz w:val="24"/>
          <w:szCs w:val="24"/>
        </w:rPr>
        <w:t>ustawy</w:t>
      </w:r>
      <w:r w:rsidRPr="00D84154">
        <w:rPr>
          <w:rFonts w:ascii="Times New Roman" w:hAnsi="Times New Roman" w:cs="Times New Roman"/>
          <w:color w:val="000000" w:themeColor="text1"/>
          <w:sz w:val="24"/>
          <w:szCs w:val="24"/>
        </w:rPr>
        <w:t xml:space="preserve"> stanowi częściowe wdrożenie art. 23 ust. 1 </w:t>
      </w:r>
      <w:r w:rsidR="00875779"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yrektywy przewidującego ochronę osób fizycznych przed sankcjami administracyjnymi. Podkreślić należy, że przewidziane w dyrektywie warunki</w:t>
      </w:r>
      <w:r w:rsidR="00D964BF">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jakie muszą zostać spełnione, aby objąć ww. ochroną osoby fizyczne, funkcjonują w również w polskich przepisach w odniesieniu do wymogów</w:t>
      </w:r>
      <w:r w:rsidR="00D964BF">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jakie musi spełnić wniosek przedsiębiorcy od odstąpienie od wymierzenia kary lub </w:t>
      </w:r>
      <w:r w:rsidR="00875779" w:rsidRPr="00D84154">
        <w:rPr>
          <w:rFonts w:ascii="Times New Roman" w:hAnsi="Times New Roman" w:cs="Times New Roman"/>
          <w:color w:val="000000" w:themeColor="text1"/>
          <w:sz w:val="24"/>
          <w:szCs w:val="24"/>
        </w:rPr>
        <w:t>wnios</w:t>
      </w:r>
      <w:r w:rsidR="00D964BF">
        <w:rPr>
          <w:rFonts w:ascii="Times New Roman" w:hAnsi="Times New Roman" w:cs="Times New Roman"/>
          <w:color w:val="000000" w:themeColor="text1"/>
          <w:sz w:val="24"/>
          <w:szCs w:val="24"/>
        </w:rPr>
        <w:t>ek</w:t>
      </w:r>
      <w:r w:rsidR="00875779" w:rsidRPr="00D84154">
        <w:rPr>
          <w:rFonts w:ascii="Times New Roman" w:hAnsi="Times New Roman" w:cs="Times New Roman"/>
          <w:color w:val="000000" w:themeColor="text1"/>
          <w:sz w:val="24"/>
          <w:szCs w:val="24"/>
        </w:rPr>
        <w:t xml:space="preserve"> o </w:t>
      </w:r>
      <w:r w:rsidRPr="00D84154">
        <w:rPr>
          <w:rFonts w:ascii="Times New Roman" w:hAnsi="Times New Roman" w:cs="Times New Roman"/>
          <w:color w:val="000000" w:themeColor="text1"/>
          <w:sz w:val="24"/>
          <w:szCs w:val="24"/>
        </w:rPr>
        <w:t>jej obniżenie</w:t>
      </w:r>
      <w:r w:rsidR="00D964BF">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oraz w odniesieniu do wymogu współpracy osoby zarządzającej z Prezesem UOKiK. Wymóg złożenia wniosku przed poinformowaniem danej osoby o postawionych zarzutach</w:t>
      </w:r>
      <w:r w:rsidR="0009641F">
        <w:rPr>
          <w:rFonts w:ascii="Times New Roman" w:hAnsi="Times New Roman" w:cs="Times New Roman"/>
          <w:color w:val="000000" w:themeColor="text1"/>
          <w:sz w:val="24"/>
          <w:szCs w:val="24"/>
        </w:rPr>
        <w:t xml:space="preserve"> nie będzie mieć zastosowania w </w:t>
      </w:r>
      <w:r w:rsidRPr="00D84154">
        <w:rPr>
          <w:rFonts w:ascii="Times New Roman" w:hAnsi="Times New Roman" w:cs="Times New Roman"/>
          <w:color w:val="000000" w:themeColor="text1"/>
          <w:sz w:val="24"/>
          <w:szCs w:val="24"/>
        </w:rPr>
        <w:t>polskich przepisach. Osoba zarządzająca, zgodnie z art. 6a ustawy, podlega odpowiedzialności tylko w przypadku stwierdzenia przez organ antymonopolowy naruszenia przez przedsiębiorcę zakazu porozumień ograniczających konkurencję – wniosek złożony przez przedsiębiorcę, który ma spełniać warunki co do progów dowodowych, zawsze będzie poprzedzać etap przedstawienia zarzutów stronie</w:t>
      </w:r>
      <w:r w:rsidR="0009641F">
        <w:rPr>
          <w:rFonts w:ascii="Times New Roman" w:hAnsi="Times New Roman" w:cs="Times New Roman"/>
          <w:color w:val="000000" w:themeColor="text1"/>
          <w:sz w:val="24"/>
          <w:szCs w:val="24"/>
        </w:rPr>
        <w:t xml:space="preserve"> – osobie fizycznej w związku z </w:t>
      </w:r>
      <w:r w:rsidRPr="00D84154">
        <w:rPr>
          <w:rFonts w:ascii="Times New Roman" w:hAnsi="Times New Roman" w:cs="Times New Roman"/>
          <w:color w:val="000000" w:themeColor="text1"/>
          <w:sz w:val="24"/>
          <w:szCs w:val="24"/>
        </w:rPr>
        <w:t>dopuszczeniem przez nią do zawarcia niedozwolonego porozumienia.</w:t>
      </w:r>
    </w:p>
    <w:p w14:paraId="1A57843C" w14:textId="70CE1379" w:rsidR="0071398B" w:rsidRPr="00D84154" w:rsidRDefault="0071398B"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Art. 23 ust.1 dyrektywy wymaga natomiast wdrożenia w kontekście objęcia ochroną przed sankcjami o charakterze administracyjnym nakładanymi na podstawie art. 106a ustawy na osoby zarządzające za dopuszczenie przez nie </w:t>
      </w:r>
      <w:r w:rsidR="00875779" w:rsidRPr="00D84154">
        <w:rPr>
          <w:rFonts w:ascii="Times New Roman" w:hAnsi="Times New Roman" w:cs="Times New Roman"/>
          <w:color w:val="000000" w:themeColor="text1"/>
          <w:sz w:val="24"/>
          <w:szCs w:val="24"/>
        </w:rPr>
        <w:t xml:space="preserve">do naruszenia </w:t>
      </w:r>
      <w:r w:rsidRPr="00D84154">
        <w:rPr>
          <w:rFonts w:ascii="Times New Roman" w:hAnsi="Times New Roman" w:cs="Times New Roman"/>
          <w:color w:val="000000" w:themeColor="text1"/>
          <w:sz w:val="24"/>
          <w:szCs w:val="24"/>
        </w:rPr>
        <w:t>zakazó</w:t>
      </w:r>
      <w:r w:rsidR="0009641F">
        <w:rPr>
          <w:rFonts w:ascii="Times New Roman" w:hAnsi="Times New Roman" w:cs="Times New Roman"/>
          <w:color w:val="000000" w:themeColor="text1"/>
          <w:sz w:val="24"/>
          <w:szCs w:val="24"/>
        </w:rPr>
        <w:t>w, o których mowa w art. </w:t>
      </w:r>
      <w:r w:rsidR="00E90F30" w:rsidRPr="00D84154">
        <w:rPr>
          <w:rFonts w:ascii="Times New Roman" w:hAnsi="Times New Roman" w:cs="Times New Roman"/>
          <w:color w:val="000000" w:themeColor="text1"/>
          <w:sz w:val="24"/>
          <w:szCs w:val="24"/>
        </w:rPr>
        <w:t xml:space="preserve">6 </w:t>
      </w:r>
      <w:r w:rsidR="00875779" w:rsidRPr="00D84154">
        <w:rPr>
          <w:rFonts w:ascii="Times New Roman" w:hAnsi="Times New Roman" w:cs="Times New Roman"/>
          <w:color w:val="000000" w:themeColor="text1"/>
          <w:sz w:val="24"/>
          <w:szCs w:val="24"/>
        </w:rPr>
        <w:t>u</w:t>
      </w:r>
      <w:r w:rsidR="00E90F30" w:rsidRPr="00D84154">
        <w:rPr>
          <w:rFonts w:ascii="Times New Roman" w:hAnsi="Times New Roman" w:cs="Times New Roman"/>
          <w:color w:val="000000" w:themeColor="text1"/>
          <w:sz w:val="24"/>
          <w:szCs w:val="24"/>
        </w:rPr>
        <w:t>stawy</w:t>
      </w:r>
      <w:r w:rsidRPr="00D84154">
        <w:rPr>
          <w:rFonts w:ascii="Times New Roman" w:hAnsi="Times New Roman" w:cs="Times New Roman"/>
          <w:color w:val="000000" w:themeColor="text1"/>
          <w:sz w:val="24"/>
          <w:szCs w:val="24"/>
        </w:rPr>
        <w:t xml:space="preserve"> lub art. 101 TFUE, w przypadku gdy tajny kartel</w:t>
      </w:r>
      <w:r w:rsidR="0009641F">
        <w:rPr>
          <w:rFonts w:ascii="Times New Roman" w:hAnsi="Times New Roman" w:cs="Times New Roman"/>
          <w:color w:val="000000" w:themeColor="text1"/>
          <w:sz w:val="24"/>
          <w:szCs w:val="24"/>
        </w:rPr>
        <w:t xml:space="preserve"> ma charakter transgraniczny, a </w:t>
      </w:r>
      <w:r w:rsidRPr="00D84154">
        <w:rPr>
          <w:rFonts w:ascii="Times New Roman" w:hAnsi="Times New Roman" w:cs="Times New Roman"/>
          <w:color w:val="000000" w:themeColor="text1"/>
          <w:sz w:val="24"/>
          <w:szCs w:val="24"/>
        </w:rPr>
        <w:t xml:space="preserve">uczestnik kartelu złożył wniosek w sprawie zwolnienia z kar w innym państwie członkowskim UE. W sytuacji </w:t>
      </w:r>
      <w:r w:rsidR="00875779" w:rsidRPr="00D84154">
        <w:rPr>
          <w:rFonts w:ascii="Times New Roman" w:hAnsi="Times New Roman" w:cs="Times New Roman"/>
          <w:color w:val="000000" w:themeColor="text1"/>
          <w:sz w:val="24"/>
          <w:szCs w:val="24"/>
        </w:rPr>
        <w:t xml:space="preserve">gdy </w:t>
      </w:r>
      <w:r w:rsidRPr="00D84154">
        <w:rPr>
          <w:rFonts w:ascii="Times New Roman" w:hAnsi="Times New Roman" w:cs="Times New Roman"/>
          <w:color w:val="000000" w:themeColor="text1"/>
          <w:sz w:val="24"/>
          <w:szCs w:val="24"/>
        </w:rPr>
        <w:t>naruszenie ww. zakazów dotyczy rynku geograficznego wykraczającego poza terytorium R</w:t>
      </w:r>
      <w:r w:rsidR="005D3245">
        <w:rPr>
          <w:rFonts w:ascii="Times New Roman" w:hAnsi="Times New Roman" w:cs="Times New Roman"/>
          <w:color w:val="000000" w:themeColor="text1"/>
          <w:sz w:val="24"/>
          <w:szCs w:val="24"/>
        </w:rPr>
        <w:t xml:space="preserve">zeczypospolitej </w:t>
      </w:r>
      <w:r w:rsidRPr="00D84154">
        <w:rPr>
          <w:rFonts w:ascii="Times New Roman" w:hAnsi="Times New Roman" w:cs="Times New Roman"/>
          <w:color w:val="000000" w:themeColor="text1"/>
          <w:sz w:val="24"/>
          <w:szCs w:val="24"/>
        </w:rPr>
        <w:t>P</w:t>
      </w:r>
      <w:r w:rsidR="005D3245">
        <w:rPr>
          <w:rFonts w:ascii="Times New Roman" w:hAnsi="Times New Roman" w:cs="Times New Roman"/>
          <w:color w:val="000000" w:themeColor="text1"/>
          <w:sz w:val="24"/>
          <w:szCs w:val="24"/>
        </w:rPr>
        <w:t>olskiej</w:t>
      </w:r>
      <w:r w:rsidR="00F65A77">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 xml:space="preserve">(i, co się z tym wiąże, również inny organ antymonopolowy państwa członkowskiego UE jest właściwy do zajęcia się sprawą), konieczne </w:t>
      </w:r>
      <w:r w:rsidR="00155E9E" w:rsidRPr="00D84154">
        <w:rPr>
          <w:rFonts w:ascii="Times New Roman" w:hAnsi="Times New Roman" w:cs="Times New Roman"/>
          <w:color w:val="000000" w:themeColor="text1"/>
          <w:sz w:val="24"/>
          <w:szCs w:val="24"/>
        </w:rPr>
        <w:t xml:space="preserve">jest </w:t>
      </w:r>
      <w:r w:rsidRPr="00D84154">
        <w:rPr>
          <w:rFonts w:ascii="Times New Roman" w:hAnsi="Times New Roman" w:cs="Times New Roman"/>
          <w:color w:val="000000" w:themeColor="text1"/>
          <w:sz w:val="24"/>
          <w:szCs w:val="24"/>
        </w:rPr>
        <w:t>z punktu widzenia prawidłowej implementac</w:t>
      </w:r>
      <w:r w:rsidR="00E90F30" w:rsidRPr="00D84154">
        <w:rPr>
          <w:rFonts w:ascii="Times New Roman" w:hAnsi="Times New Roman" w:cs="Times New Roman"/>
          <w:color w:val="000000" w:themeColor="text1"/>
          <w:sz w:val="24"/>
          <w:szCs w:val="24"/>
        </w:rPr>
        <w:t xml:space="preserve">ji art. 23 ust. 1 </w:t>
      </w:r>
      <w:r w:rsidR="00875779"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 xml:space="preserve">yrektywy przyjęcie regulacji chroniącej osoby fizyczne przed ww. sankcjami nakładanymi przez Prezesa UOKiK, </w:t>
      </w:r>
      <w:r w:rsidRPr="00D84154">
        <w:rPr>
          <w:rFonts w:ascii="Times New Roman" w:hAnsi="Times New Roman" w:cs="Times New Roman"/>
          <w:color w:val="000000" w:themeColor="text1"/>
          <w:sz w:val="24"/>
          <w:szCs w:val="24"/>
        </w:rPr>
        <w:lastRenderedPageBreak/>
        <w:t>jeżeli przedsiębiorca</w:t>
      </w:r>
      <w:r w:rsidR="00393148" w:rsidRPr="00D84154">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na rzecz którego działała dana </w:t>
      </w:r>
      <w:r w:rsidR="0009641F">
        <w:rPr>
          <w:rFonts w:ascii="Times New Roman" w:hAnsi="Times New Roman" w:cs="Times New Roman"/>
          <w:color w:val="000000" w:themeColor="text1"/>
          <w:sz w:val="24"/>
          <w:szCs w:val="24"/>
        </w:rPr>
        <w:t>osoba fizyczna, złoży wniosek o </w:t>
      </w:r>
      <w:r w:rsidRPr="00D84154">
        <w:rPr>
          <w:rFonts w:ascii="Times New Roman" w:hAnsi="Times New Roman" w:cs="Times New Roman"/>
          <w:color w:val="000000" w:themeColor="text1"/>
          <w:sz w:val="24"/>
          <w:szCs w:val="24"/>
        </w:rPr>
        <w:t>zwolnienie z kary do innego właściwego organu antymonopolowego państwa członkowskiego UE. W tym celu niezbędn</w:t>
      </w:r>
      <w:r w:rsidR="00E90F30" w:rsidRPr="00D84154">
        <w:rPr>
          <w:rFonts w:ascii="Times New Roman" w:hAnsi="Times New Roman" w:cs="Times New Roman"/>
          <w:color w:val="000000" w:themeColor="text1"/>
          <w:sz w:val="24"/>
          <w:szCs w:val="24"/>
        </w:rPr>
        <w:t xml:space="preserve">e </w:t>
      </w:r>
      <w:r w:rsidR="00155E9E" w:rsidRPr="00D84154">
        <w:rPr>
          <w:rFonts w:ascii="Times New Roman" w:hAnsi="Times New Roman" w:cs="Times New Roman"/>
          <w:color w:val="000000" w:themeColor="text1"/>
          <w:sz w:val="24"/>
          <w:szCs w:val="24"/>
        </w:rPr>
        <w:t xml:space="preserve">jest </w:t>
      </w:r>
      <w:r w:rsidR="00E90F30" w:rsidRPr="00D84154">
        <w:rPr>
          <w:rFonts w:ascii="Times New Roman" w:hAnsi="Times New Roman" w:cs="Times New Roman"/>
          <w:color w:val="000000" w:themeColor="text1"/>
          <w:sz w:val="24"/>
          <w:szCs w:val="24"/>
        </w:rPr>
        <w:t xml:space="preserve">dodanie w art. 106a </w:t>
      </w:r>
      <w:r w:rsidR="00393148" w:rsidRPr="00D84154">
        <w:rPr>
          <w:rFonts w:ascii="Times New Roman" w:hAnsi="Times New Roman" w:cs="Times New Roman"/>
          <w:color w:val="000000" w:themeColor="text1"/>
          <w:sz w:val="24"/>
          <w:szCs w:val="24"/>
        </w:rPr>
        <w:t>u</w:t>
      </w:r>
      <w:r w:rsidR="00E90F30" w:rsidRPr="00D84154">
        <w:rPr>
          <w:rFonts w:ascii="Times New Roman" w:hAnsi="Times New Roman" w:cs="Times New Roman"/>
          <w:color w:val="000000" w:themeColor="text1"/>
          <w:sz w:val="24"/>
          <w:szCs w:val="24"/>
        </w:rPr>
        <w:t>stawy</w:t>
      </w:r>
      <w:r w:rsidRPr="00D84154">
        <w:rPr>
          <w:rFonts w:ascii="Times New Roman" w:hAnsi="Times New Roman" w:cs="Times New Roman"/>
          <w:color w:val="000000" w:themeColor="text1"/>
          <w:sz w:val="24"/>
          <w:szCs w:val="24"/>
        </w:rPr>
        <w:t xml:space="preserve"> ust</w:t>
      </w:r>
      <w:r w:rsidR="0046532F">
        <w:rPr>
          <w:rFonts w:ascii="Times New Roman" w:hAnsi="Times New Roman" w:cs="Times New Roman"/>
          <w:color w:val="000000" w:themeColor="text1"/>
          <w:sz w:val="24"/>
          <w:szCs w:val="24"/>
        </w:rPr>
        <w:t>.</w:t>
      </w:r>
      <w:r w:rsidR="0009641F">
        <w:rPr>
          <w:rFonts w:ascii="Times New Roman" w:hAnsi="Times New Roman" w:cs="Times New Roman"/>
          <w:color w:val="000000" w:themeColor="text1"/>
          <w:sz w:val="24"/>
          <w:szCs w:val="24"/>
        </w:rPr>
        <w:t> </w:t>
      </w:r>
      <w:r w:rsidRPr="00D84154">
        <w:rPr>
          <w:rFonts w:ascii="Times New Roman" w:hAnsi="Times New Roman" w:cs="Times New Roman"/>
          <w:color w:val="000000" w:themeColor="text1"/>
          <w:sz w:val="24"/>
          <w:szCs w:val="24"/>
        </w:rPr>
        <w:t>4 przewidującego wyłączenie karalności osób fizycznych (które, przy braku takiego przepisu, mogłyby zostać pociągnięte do odpowiedzialności na podstawie polskich przepisów jako osoby zarządzające) we wskazanej wyżej sytuacji.</w:t>
      </w:r>
    </w:p>
    <w:p w14:paraId="732A0A26" w14:textId="104F3797" w:rsidR="003308E1" w:rsidRPr="00D84154" w:rsidRDefault="003308E1"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Ponadto w projekcie został </w:t>
      </w:r>
      <w:r w:rsidR="007239E5" w:rsidRPr="00D84154">
        <w:rPr>
          <w:rFonts w:ascii="Times New Roman" w:hAnsi="Times New Roman" w:cs="Times New Roman"/>
          <w:color w:val="000000" w:themeColor="text1"/>
          <w:sz w:val="24"/>
          <w:szCs w:val="24"/>
        </w:rPr>
        <w:t xml:space="preserve">zawarty </w:t>
      </w:r>
      <w:r w:rsidRPr="00D84154">
        <w:rPr>
          <w:rFonts w:ascii="Times New Roman" w:hAnsi="Times New Roman" w:cs="Times New Roman"/>
          <w:color w:val="000000" w:themeColor="text1"/>
          <w:sz w:val="24"/>
          <w:szCs w:val="24"/>
        </w:rPr>
        <w:t>art. 4. Przepis ten przewiduje zmianę w Kodeksie karnym polegającą na dodaniu § 4 w art.</w:t>
      </w:r>
      <w:r w:rsidR="0046532F">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305</w:t>
      </w:r>
      <w:r w:rsidR="0046532F">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K</w:t>
      </w:r>
      <w:r w:rsidR="00BD1A6A" w:rsidRPr="00D84154">
        <w:rPr>
          <w:rFonts w:ascii="Times New Roman" w:hAnsi="Times New Roman" w:cs="Times New Roman"/>
          <w:color w:val="000000" w:themeColor="text1"/>
          <w:sz w:val="24"/>
          <w:szCs w:val="24"/>
        </w:rPr>
        <w:t>odeksu karnego,</w:t>
      </w:r>
      <w:r w:rsidRPr="00D84154">
        <w:rPr>
          <w:rFonts w:ascii="Times New Roman" w:hAnsi="Times New Roman" w:cs="Times New Roman"/>
          <w:color w:val="000000" w:themeColor="text1"/>
          <w:sz w:val="24"/>
          <w:szCs w:val="24"/>
        </w:rPr>
        <w:t xml:space="preserve"> zgodnie z którym nie będzie podlegać karze sprawca przestępstwa określonego w art. 305 § 1 lub § 2, który zawiadomił o fakcie jego popełnienia organ powołany do ścigania przestępstw lub organ ochrony konkurencji państwa członkowskiego Unii Europejskiej </w:t>
      </w:r>
      <w:r w:rsidR="003B1416" w:rsidRPr="00D84154">
        <w:rPr>
          <w:rFonts w:ascii="Times New Roman" w:eastAsia="Times New Roman" w:hAnsi="Times New Roman" w:cs="Times New Roman"/>
          <w:sz w:val="24"/>
          <w:szCs w:val="24"/>
          <w:lang w:eastAsia="pl-PL"/>
        </w:rPr>
        <w:t>lub Komisję Europejską</w:t>
      </w:r>
      <w:r w:rsidR="003B1416" w:rsidRPr="00D84154">
        <w:rPr>
          <w:rFonts w:ascii="Times New Roman" w:hAnsi="Times New Roman" w:cs="Times New Roman"/>
          <w:color w:val="000000"/>
          <w:sz w:val="24"/>
          <w:szCs w:val="24"/>
        </w:rPr>
        <w:t xml:space="preserve"> </w:t>
      </w:r>
      <w:r w:rsidRPr="00D84154">
        <w:rPr>
          <w:rFonts w:ascii="Times New Roman" w:hAnsi="Times New Roman" w:cs="Times New Roman"/>
          <w:color w:val="000000" w:themeColor="text1"/>
          <w:sz w:val="24"/>
          <w:szCs w:val="24"/>
        </w:rPr>
        <w:t>i ujawnił wszystkie istotne okoliczności tego przestępstwa, zanim organ powołany do ścigania przestępstw o nim się dowiedział. Z kolei w art. 113l zawarto regulację przewidującą przedstawianie przez Prezesa UOKiK informacji niezbędnych do ustalenia istnienia podstaw niepodlegania karze sprawcy przestępstwa określonego w art. 305 § 1 lub § 2 K</w:t>
      </w:r>
      <w:r w:rsidR="00BD1A6A" w:rsidRPr="00D84154">
        <w:rPr>
          <w:rFonts w:ascii="Times New Roman" w:hAnsi="Times New Roman" w:cs="Times New Roman"/>
          <w:color w:val="000000" w:themeColor="text1"/>
          <w:sz w:val="24"/>
          <w:szCs w:val="24"/>
        </w:rPr>
        <w:t>odeksu karnego</w:t>
      </w:r>
      <w:r w:rsidRPr="00D84154">
        <w:rPr>
          <w:rFonts w:ascii="Times New Roman" w:hAnsi="Times New Roman" w:cs="Times New Roman"/>
          <w:color w:val="000000" w:themeColor="text1"/>
          <w:sz w:val="24"/>
          <w:szCs w:val="24"/>
        </w:rPr>
        <w:t>, w związku z zaistnieniem przesłanek z art. 305 § 4 K</w:t>
      </w:r>
      <w:r w:rsidR="00BD1A6A" w:rsidRPr="00D84154">
        <w:rPr>
          <w:rFonts w:ascii="Times New Roman" w:hAnsi="Times New Roman" w:cs="Times New Roman"/>
          <w:color w:val="000000" w:themeColor="text1"/>
          <w:sz w:val="24"/>
          <w:szCs w:val="24"/>
        </w:rPr>
        <w:t>odeksu karnego,</w:t>
      </w:r>
      <w:r w:rsidRPr="00D84154">
        <w:rPr>
          <w:rFonts w:ascii="Times New Roman" w:hAnsi="Times New Roman" w:cs="Times New Roman"/>
          <w:color w:val="000000" w:themeColor="text1"/>
          <w:sz w:val="24"/>
          <w:szCs w:val="24"/>
        </w:rPr>
        <w:t xml:space="preserve"> na wniosek właści</w:t>
      </w:r>
      <w:r w:rsidR="0009641F">
        <w:rPr>
          <w:rFonts w:ascii="Times New Roman" w:hAnsi="Times New Roman" w:cs="Times New Roman"/>
          <w:color w:val="000000" w:themeColor="text1"/>
          <w:sz w:val="24"/>
          <w:szCs w:val="24"/>
        </w:rPr>
        <w:t>wego prokuratora lub sądu lub z </w:t>
      </w:r>
      <w:r w:rsidRPr="00D84154">
        <w:rPr>
          <w:rFonts w:ascii="Times New Roman" w:hAnsi="Times New Roman" w:cs="Times New Roman"/>
          <w:color w:val="000000" w:themeColor="text1"/>
          <w:sz w:val="24"/>
          <w:szCs w:val="24"/>
        </w:rPr>
        <w:t>urzędu</w:t>
      </w:r>
      <w:r w:rsidR="0046532F">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lub występowanie o takie informacje do innych organów.</w:t>
      </w:r>
    </w:p>
    <w:p w14:paraId="646CC517" w14:textId="77777777" w:rsidR="00D159BB" w:rsidRPr="00D84154" w:rsidRDefault="00D159BB" w:rsidP="00D84154">
      <w:pPr>
        <w:pStyle w:val="Akapitzlist"/>
        <w:numPr>
          <w:ilvl w:val="0"/>
          <w:numId w:val="2"/>
        </w:numPr>
        <w:spacing w:before="120" w:after="0" w:line="360" w:lineRule="auto"/>
        <w:ind w:left="426" w:hanging="426"/>
        <w:jc w:val="both"/>
        <w:rPr>
          <w:rFonts w:ascii="Times New Roman" w:hAnsi="Times New Roman" w:cs="Times New Roman"/>
          <w:b/>
          <w:bCs/>
          <w:color w:val="000000" w:themeColor="text1"/>
          <w:sz w:val="24"/>
          <w:szCs w:val="24"/>
        </w:rPr>
      </w:pPr>
      <w:r w:rsidRPr="00D84154">
        <w:rPr>
          <w:rFonts w:ascii="Times New Roman" w:hAnsi="Times New Roman" w:cs="Times New Roman"/>
          <w:b/>
          <w:bCs/>
          <w:color w:val="000000" w:themeColor="text1"/>
          <w:sz w:val="24"/>
          <w:szCs w:val="24"/>
        </w:rPr>
        <w:t>Wzajemna pomoc</w:t>
      </w:r>
    </w:p>
    <w:p w14:paraId="3BD1F6F8" w14:textId="39BA9E22" w:rsidR="00922CE6" w:rsidRPr="00D84154" w:rsidRDefault="00922CE6"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Dyrektywa w rozdziale VII przewiduje harmonizację przepisów krajowych w zakresie współpracy krajowych organów ochrony konkurencji państw </w:t>
      </w:r>
      <w:r w:rsidR="0009641F">
        <w:rPr>
          <w:rFonts w:ascii="Times New Roman" w:hAnsi="Times New Roman" w:cs="Times New Roman"/>
          <w:color w:val="000000" w:themeColor="text1"/>
          <w:sz w:val="24"/>
          <w:szCs w:val="24"/>
        </w:rPr>
        <w:t>członkowskich UE w </w:t>
      </w:r>
      <w:r w:rsidRPr="00D84154">
        <w:rPr>
          <w:rFonts w:ascii="Times New Roman" w:hAnsi="Times New Roman" w:cs="Times New Roman"/>
          <w:color w:val="000000" w:themeColor="text1"/>
          <w:sz w:val="24"/>
          <w:szCs w:val="24"/>
        </w:rPr>
        <w:t xml:space="preserve">egzekwowaniu zakazów przewidzianych w art. 101 i </w:t>
      </w:r>
      <w:r w:rsidR="00F03BFD" w:rsidRPr="00D84154">
        <w:rPr>
          <w:rFonts w:ascii="Times New Roman" w:hAnsi="Times New Roman" w:cs="Times New Roman"/>
          <w:color w:val="000000" w:themeColor="text1"/>
          <w:sz w:val="24"/>
          <w:szCs w:val="24"/>
        </w:rPr>
        <w:t xml:space="preserve">art. </w:t>
      </w:r>
      <w:r w:rsidRPr="00D84154">
        <w:rPr>
          <w:rFonts w:ascii="Times New Roman" w:hAnsi="Times New Roman" w:cs="Times New Roman"/>
          <w:color w:val="000000" w:themeColor="text1"/>
          <w:sz w:val="24"/>
          <w:szCs w:val="24"/>
        </w:rPr>
        <w:t>102 TFUE.</w:t>
      </w:r>
      <w:r w:rsidR="00F65A77">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 xml:space="preserve">Wzajemna pomoc między organami zgodnie z regulacjami zawartymi w dyrektywie ma obejmować 3 następujące obszary stosowania art. 101 i </w:t>
      </w:r>
      <w:r w:rsidR="00F03BFD" w:rsidRPr="00D84154">
        <w:rPr>
          <w:rFonts w:ascii="Times New Roman" w:hAnsi="Times New Roman" w:cs="Times New Roman"/>
          <w:color w:val="000000" w:themeColor="text1"/>
          <w:sz w:val="24"/>
          <w:szCs w:val="24"/>
        </w:rPr>
        <w:t xml:space="preserve">art. </w:t>
      </w:r>
      <w:r w:rsidRPr="00D84154">
        <w:rPr>
          <w:rFonts w:ascii="Times New Roman" w:hAnsi="Times New Roman" w:cs="Times New Roman"/>
          <w:color w:val="000000" w:themeColor="text1"/>
          <w:sz w:val="24"/>
          <w:szCs w:val="24"/>
        </w:rPr>
        <w:t>102 TFUE:</w:t>
      </w:r>
    </w:p>
    <w:p w14:paraId="00FC6C5A" w14:textId="087943E6" w:rsidR="00922CE6" w:rsidRPr="00D84154" w:rsidRDefault="009C378F" w:rsidP="009C378F">
      <w:pPr>
        <w:spacing w:before="120" w:after="0" w:line="36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ab/>
      </w:r>
      <w:r w:rsidR="00922CE6" w:rsidRPr="00D84154">
        <w:rPr>
          <w:rFonts w:ascii="Times New Roman" w:hAnsi="Times New Roman" w:cs="Times New Roman"/>
          <w:color w:val="000000" w:themeColor="text1"/>
          <w:sz w:val="24"/>
          <w:szCs w:val="24"/>
        </w:rPr>
        <w:t>współpraca w zakresie czynności dochodzeniowych i innych działań organu antymonopolowego mających na celu:</w:t>
      </w:r>
    </w:p>
    <w:p w14:paraId="6ED56D84" w14:textId="1E0E01AE" w:rsidR="00922CE6" w:rsidRPr="00D84154" w:rsidRDefault="009C378F" w:rsidP="009C378F">
      <w:pPr>
        <w:spacing w:before="120" w:after="0" w:line="360" w:lineRule="auto"/>
        <w:ind w:left="709"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ab/>
      </w:r>
      <w:r w:rsidR="00922CE6" w:rsidRPr="00D84154">
        <w:rPr>
          <w:rFonts w:ascii="Times New Roman" w:hAnsi="Times New Roman" w:cs="Times New Roman"/>
          <w:color w:val="000000" w:themeColor="text1"/>
          <w:sz w:val="24"/>
          <w:szCs w:val="24"/>
        </w:rPr>
        <w:t xml:space="preserve">pozyskanie dowodów pozwalających na stwierdzenie naruszenia art. 101 lub </w:t>
      </w:r>
      <w:r w:rsidR="0009641F">
        <w:rPr>
          <w:rFonts w:ascii="Times New Roman" w:hAnsi="Times New Roman" w:cs="Times New Roman"/>
          <w:color w:val="000000" w:themeColor="text1"/>
          <w:sz w:val="24"/>
          <w:szCs w:val="24"/>
        </w:rPr>
        <w:t>art. </w:t>
      </w:r>
      <w:r w:rsidR="00922CE6" w:rsidRPr="00D84154">
        <w:rPr>
          <w:rFonts w:ascii="Times New Roman" w:hAnsi="Times New Roman" w:cs="Times New Roman"/>
          <w:color w:val="000000" w:themeColor="text1"/>
          <w:sz w:val="24"/>
          <w:szCs w:val="24"/>
        </w:rPr>
        <w:t xml:space="preserve">102 TFUE (art. 24 ust. 1 </w:t>
      </w:r>
      <w:r w:rsidR="00F03BFD" w:rsidRPr="00D84154">
        <w:rPr>
          <w:rFonts w:ascii="Times New Roman" w:hAnsi="Times New Roman" w:cs="Times New Roman"/>
          <w:color w:val="000000" w:themeColor="text1"/>
          <w:sz w:val="24"/>
          <w:szCs w:val="24"/>
        </w:rPr>
        <w:t>d</w:t>
      </w:r>
      <w:r w:rsidR="00922CE6" w:rsidRPr="00D84154">
        <w:rPr>
          <w:rFonts w:ascii="Times New Roman" w:hAnsi="Times New Roman" w:cs="Times New Roman"/>
          <w:color w:val="000000" w:themeColor="text1"/>
          <w:sz w:val="24"/>
          <w:szCs w:val="24"/>
        </w:rPr>
        <w:t>yrektywy),</w:t>
      </w:r>
    </w:p>
    <w:p w14:paraId="0CD76355" w14:textId="0E9C3314" w:rsidR="00922CE6" w:rsidRPr="00D84154" w:rsidRDefault="009C378F" w:rsidP="009C378F">
      <w:pPr>
        <w:spacing w:before="120" w:after="0" w:line="360" w:lineRule="auto"/>
        <w:ind w:left="709"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ab/>
      </w:r>
      <w:r w:rsidR="00922CE6" w:rsidRPr="00D84154">
        <w:rPr>
          <w:rFonts w:ascii="Times New Roman" w:hAnsi="Times New Roman" w:cs="Times New Roman"/>
          <w:color w:val="000000" w:themeColor="text1"/>
          <w:sz w:val="24"/>
          <w:szCs w:val="24"/>
        </w:rPr>
        <w:t>ustalenie</w:t>
      </w:r>
      <w:r w:rsidR="0018091C">
        <w:rPr>
          <w:rFonts w:ascii="Times New Roman" w:hAnsi="Times New Roman" w:cs="Times New Roman"/>
          <w:color w:val="000000" w:themeColor="text1"/>
          <w:sz w:val="24"/>
          <w:szCs w:val="24"/>
        </w:rPr>
        <w:t>,</w:t>
      </w:r>
      <w:r w:rsidR="00922CE6" w:rsidRPr="00D84154">
        <w:rPr>
          <w:rFonts w:ascii="Times New Roman" w:hAnsi="Times New Roman" w:cs="Times New Roman"/>
          <w:color w:val="000000" w:themeColor="text1"/>
          <w:sz w:val="24"/>
          <w:szCs w:val="24"/>
        </w:rPr>
        <w:t xml:space="preserve"> czy przedsiębiorca realizuje wynikające z przepisów obowiązki nakładane na niego przez organ w toku czynności dochodzeniowych i innych działań podejmowanych przez organ w celu ustalenia stanu faktycznego lub obowiązki nakładane w związku ze stwierdzeniem lub uprawdopodobnieniem naruszenia art. 101 lub </w:t>
      </w:r>
      <w:r w:rsidR="00F03BFD" w:rsidRPr="00D84154">
        <w:rPr>
          <w:rFonts w:ascii="Times New Roman" w:hAnsi="Times New Roman" w:cs="Times New Roman"/>
          <w:color w:val="000000" w:themeColor="text1"/>
          <w:sz w:val="24"/>
          <w:szCs w:val="24"/>
        </w:rPr>
        <w:t xml:space="preserve">art. </w:t>
      </w:r>
      <w:r w:rsidR="00922CE6" w:rsidRPr="00D84154">
        <w:rPr>
          <w:rFonts w:ascii="Times New Roman" w:hAnsi="Times New Roman" w:cs="Times New Roman"/>
          <w:color w:val="000000" w:themeColor="text1"/>
          <w:sz w:val="24"/>
          <w:szCs w:val="24"/>
        </w:rPr>
        <w:t xml:space="preserve">102 TFUE </w:t>
      </w:r>
      <w:r w:rsidR="00922CE6" w:rsidRPr="00D84154">
        <w:rPr>
          <w:rFonts w:ascii="Times New Roman" w:hAnsi="Times New Roman" w:cs="Times New Roman"/>
          <w:color w:val="000000" w:themeColor="text1"/>
          <w:sz w:val="24"/>
          <w:szCs w:val="24"/>
        </w:rPr>
        <w:lastRenderedPageBreak/>
        <w:t>w</w:t>
      </w:r>
      <w:r w:rsidR="0009641F">
        <w:rPr>
          <w:rFonts w:ascii="Times New Roman" w:hAnsi="Times New Roman" w:cs="Times New Roman"/>
          <w:color w:val="000000" w:themeColor="text1"/>
          <w:sz w:val="24"/>
          <w:szCs w:val="24"/>
        </w:rPr>
        <w:t> </w:t>
      </w:r>
      <w:r w:rsidR="00922CE6" w:rsidRPr="00D84154">
        <w:rPr>
          <w:rFonts w:ascii="Times New Roman" w:hAnsi="Times New Roman" w:cs="Times New Roman"/>
          <w:color w:val="000000" w:themeColor="text1"/>
          <w:sz w:val="24"/>
          <w:szCs w:val="24"/>
        </w:rPr>
        <w:t>decyzji stwierdzającej naruszenie, w decyzji o środkach tymczasowych lub</w:t>
      </w:r>
      <w:r w:rsidR="00F65A77">
        <w:rPr>
          <w:rFonts w:ascii="Times New Roman" w:hAnsi="Times New Roman" w:cs="Times New Roman"/>
          <w:color w:val="000000" w:themeColor="text1"/>
          <w:sz w:val="24"/>
          <w:szCs w:val="24"/>
        </w:rPr>
        <w:t xml:space="preserve"> </w:t>
      </w:r>
      <w:r w:rsidR="00922CE6" w:rsidRPr="00D84154">
        <w:rPr>
          <w:rFonts w:ascii="Times New Roman" w:hAnsi="Times New Roman" w:cs="Times New Roman"/>
          <w:color w:val="000000" w:themeColor="text1"/>
          <w:sz w:val="24"/>
          <w:szCs w:val="24"/>
        </w:rPr>
        <w:t xml:space="preserve">w </w:t>
      </w:r>
      <w:r w:rsidR="00F03BFD" w:rsidRPr="00D84154">
        <w:rPr>
          <w:rFonts w:ascii="Times New Roman" w:hAnsi="Times New Roman" w:cs="Times New Roman"/>
          <w:color w:val="000000" w:themeColor="text1"/>
          <w:sz w:val="24"/>
          <w:szCs w:val="24"/>
        </w:rPr>
        <w:t xml:space="preserve">tzw. </w:t>
      </w:r>
      <w:r w:rsidR="00922CE6" w:rsidRPr="00D84154">
        <w:rPr>
          <w:rFonts w:ascii="Times New Roman" w:hAnsi="Times New Roman" w:cs="Times New Roman"/>
          <w:color w:val="000000" w:themeColor="text1"/>
          <w:sz w:val="24"/>
          <w:szCs w:val="24"/>
        </w:rPr>
        <w:t>decyzji zobowiązującej</w:t>
      </w:r>
      <w:r w:rsidR="00F65A77">
        <w:rPr>
          <w:rFonts w:ascii="Times New Roman" w:hAnsi="Times New Roman" w:cs="Times New Roman"/>
          <w:color w:val="000000" w:themeColor="text1"/>
          <w:sz w:val="24"/>
          <w:szCs w:val="24"/>
        </w:rPr>
        <w:t xml:space="preserve"> </w:t>
      </w:r>
      <w:r w:rsidR="00922CE6" w:rsidRPr="00D84154">
        <w:rPr>
          <w:rFonts w:ascii="Times New Roman" w:hAnsi="Times New Roman" w:cs="Times New Roman"/>
          <w:color w:val="000000" w:themeColor="text1"/>
          <w:sz w:val="24"/>
          <w:szCs w:val="24"/>
        </w:rPr>
        <w:t xml:space="preserve">(art. 24 ust. 2 </w:t>
      </w:r>
      <w:r w:rsidR="00F03BFD" w:rsidRPr="00D84154">
        <w:rPr>
          <w:rFonts w:ascii="Times New Roman" w:hAnsi="Times New Roman" w:cs="Times New Roman"/>
          <w:color w:val="000000" w:themeColor="text1"/>
          <w:sz w:val="24"/>
          <w:szCs w:val="24"/>
        </w:rPr>
        <w:t>d</w:t>
      </w:r>
      <w:r w:rsidR="00922CE6" w:rsidRPr="00D84154">
        <w:rPr>
          <w:rFonts w:ascii="Times New Roman" w:hAnsi="Times New Roman" w:cs="Times New Roman"/>
          <w:color w:val="000000" w:themeColor="text1"/>
          <w:sz w:val="24"/>
          <w:szCs w:val="24"/>
        </w:rPr>
        <w:t>yrektywy)</w:t>
      </w:r>
    </w:p>
    <w:p w14:paraId="3E0A74FE" w14:textId="35BD7DD1" w:rsidR="00922CE6" w:rsidRPr="00D84154" w:rsidRDefault="009C378F" w:rsidP="0035092B">
      <w:pPr>
        <w:spacing w:before="120" w:after="0" w:line="360" w:lineRule="auto"/>
        <w:ind w:left="284"/>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t>
      </w:r>
      <w:r w:rsidR="00922CE6" w:rsidRPr="00D84154">
        <w:rPr>
          <w:rFonts w:ascii="Times New Roman" w:hAnsi="Times New Roman" w:cs="Times New Roman"/>
          <w:color w:val="000000" w:themeColor="text1"/>
          <w:sz w:val="24"/>
          <w:szCs w:val="24"/>
        </w:rPr>
        <w:t xml:space="preserve"> w sytuacji gdy czynności te muszą być wykonane na terytorium innego państwa członkowskiego UE niż państwo, którego organ ochrony konkurencji jest właściwy do zajmowania się sprawą;</w:t>
      </w:r>
    </w:p>
    <w:p w14:paraId="32370832" w14:textId="4A7C1761" w:rsidR="00922CE6" w:rsidRPr="00D84154" w:rsidRDefault="009C378F" w:rsidP="0035092B">
      <w:pPr>
        <w:spacing w:before="120" w:after="0" w:line="36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ab/>
      </w:r>
      <w:r w:rsidR="00922CE6" w:rsidRPr="00D84154">
        <w:rPr>
          <w:rFonts w:ascii="Times New Roman" w:hAnsi="Times New Roman" w:cs="Times New Roman"/>
          <w:color w:val="000000" w:themeColor="text1"/>
          <w:sz w:val="24"/>
          <w:szCs w:val="24"/>
        </w:rPr>
        <w:t>współpraca dotycząca notyfikacji, czyli powiadamiania przez organ innego państwa członkowskiego UE stron postępowań w sprawie naruszenia art. 101 lub art. 102 TFUE lub innych podmiotów uczestniczących w tych postępowaniach o aktach administracyjnych lub innych dokumentach istotnych z punktu widzenia stosowania ww. przepisów TFUE (art. 25, art. 27 ust. 1</w:t>
      </w:r>
      <w:r w:rsidR="0035092B">
        <w:rPr>
          <w:rFonts w:ascii="Times New Roman" w:hAnsi="Times New Roman" w:cs="Times New Roman"/>
          <w:color w:val="000000" w:themeColor="text1"/>
          <w:sz w:val="24"/>
          <w:szCs w:val="24"/>
        </w:rPr>
        <w:t>–</w:t>
      </w:r>
      <w:r w:rsidR="00922CE6" w:rsidRPr="00D84154">
        <w:rPr>
          <w:rFonts w:ascii="Times New Roman" w:hAnsi="Times New Roman" w:cs="Times New Roman"/>
          <w:color w:val="000000" w:themeColor="text1"/>
          <w:sz w:val="24"/>
          <w:szCs w:val="24"/>
        </w:rPr>
        <w:t>2 i 4</w:t>
      </w:r>
      <w:r w:rsidR="0035092B">
        <w:rPr>
          <w:rFonts w:ascii="Times New Roman" w:hAnsi="Times New Roman" w:cs="Times New Roman"/>
          <w:color w:val="000000" w:themeColor="text1"/>
          <w:sz w:val="24"/>
          <w:szCs w:val="24"/>
        </w:rPr>
        <w:t>–</w:t>
      </w:r>
      <w:r w:rsidR="00922CE6" w:rsidRPr="00D84154">
        <w:rPr>
          <w:rFonts w:ascii="Times New Roman" w:hAnsi="Times New Roman" w:cs="Times New Roman"/>
          <w:color w:val="000000" w:themeColor="text1"/>
          <w:sz w:val="24"/>
          <w:szCs w:val="24"/>
        </w:rPr>
        <w:t xml:space="preserve">8, art. 28 </w:t>
      </w:r>
      <w:r w:rsidR="00F03BFD" w:rsidRPr="00D84154">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yrektywy).</w:t>
      </w:r>
    </w:p>
    <w:p w14:paraId="04422A6D" w14:textId="77777777" w:rsidR="00922CE6" w:rsidRPr="00D84154" w:rsidRDefault="00922CE6"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Dyrektywa w art. 25 wskazuje jako dokumenty podlegające notyfikacji:</w:t>
      </w:r>
    </w:p>
    <w:p w14:paraId="79625D47" w14:textId="18043B96" w:rsidR="00922CE6" w:rsidRPr="00D84154" w:rsidRDefault="009C378F"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t>
      </w:r>
      <w:r w:rsidR="00922CE6" w:rsidRPr="00D84154">
        <w:rPr>
          <w:rFonts w:ascii="Times New Roman" w:hAnsi="Times New Roman" w:cs="Times New Roman"/>
          <w:color w:val="000000" w:themeColor="text1"/>
          <w:sz w:val="24"/>
          <w:szCs w:val="24"/>
        </w:rPr>
        <w:t xml:space="preserve"> wstępne zastrzeżenia dotyczące naruszeń art. 101 lub </w:t>
      </w:r>
      <w:r w:rsidR="00F03BFD" w:rsidRPr="00D84154">
        <w:rPr>
          <w:rFonts w:ascii="Times New Roman" w:hAnsi="Times New Roman" w:cs="Times New Roman"/>
          <w:color w:val="000000" w:themeColor="text1"/>
          <w:sz w:val="24"/>
          <w:szCs w:val="24"/>
        </w:rPr>
        <w:t xml:space="preserve">art. </w:t>
      </w:r>
      <w:r w:rsidR="00922CE6" w:rsidRPr="00D84154">
        <w:rPr>
          <w:rFonts w:ascii="Times New Roman" w:hAnsi="Times New Roman" w:cs="Times New Roman"/>
          <w:color w:val="000000" w:themeColor="text1"/>
          <w:sz w:val="24"/>
          <w:szCs w:val="24"/>
        </w:rPr>
        <w:t>102</w:t>
      </w:r>
      <w:r w:rsidR="0022294A" w:rsidRPr="00D84154">
        <w:rPr>
          <w:rFonts w:ascii="Times New Roman" w:hAnsi="Times New Roman" w:cs="Times New Roman"/>
          <w:color w:val="000000" w:themeColor="text1"/>
          <w:sz w:val="24"/>
          <w:szCs w:val="24"/>
        </w:rPr>
        <w:t xml:space="preserve"> TFUE</w:t>
      </w:r>
      <w:r w:rsidR="00922CE6" w:rsidRPr="00D84154">
        <w:rPr>
          <w:rFonts w:ascii="Times New Roman" w:hAnsi="Times New Roman" w:cs="Times New Roman"/>
          <w:color w:val="000000" w:themeColor="text1"/>
          <w:sz w:val="24"/>
          <w:szCs w:val="24"/>
        </w:rPr>
        <w:t>,</w:t>
      </w:r>
    </w:p>
    <w:p w14:paraId="4DA16A26" w14:textId="104CF434" w:rsidR="00922CE6" w:rsidRPr="00D84154" w:rsidRDefault="009C378F"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t>
      </w:r>
      <w:r w:rsidR="00922CE6" w:rsidRPr="00D84154">
        <w:rPr>
          <w:rFonts w:ascii="Times New Roman" w:hAnsi="Times New Roman" w:cs="Times New Roman"/>
          <w:color w:val="000000" w:themeColor="text1"/>
          <w:sz w:val="24"/>
          <w:szCs w:val="24"/>
        </w:rPr>
        <w:t xml:space="preserve"> decyzje wydane w zastosowaniu art. 101 </w:t>
      </w:r>
      <w:r w:rsidR="00F03BFD" w:rsidRPr="00D84154">
        <w:rPr>
          <w:rFonts w:ascii="Times New Roman" w:hAnsi="Times New Roman" w:cs="Times New Roman"/>
          <w:color w:val="000000" w:themeColor="text1"/>
          <w:sz w:val="24"/>
          <w:szCs w:val="24"/>
        </w:rPr>
        <w:t>lub art.</w:t>
      </w:r>
      <w:r w:rsidR="00922CE6" w:rsidRPr="00D84154">
        <w:rPr>
          <w:rFonts w:ascii="Times New Roman" w:hAnsi="Times New Roman" w:cs="Times New Roman"/>
          <w:color w:val="000000" w:themeColor="text1"/>
          <w:sz w:val="24"/>
          <w:szCs w:val="24"/>
        </w:rPr>
        <w:t xml:space="preserve"> 102</w:t>
      </w:r>
      <w:r w:rsidR="00132E11" w:rsidRPr="00D84154">
        <w:rPr>
          <w:rFonts w:ascii="Times New Roman" w:hAnsi="Times New Roman" w:cs="Times New Roman"/>
          <w:color w:val="000000" w:themeColor="text1"/>
          <w:sz w:val="24"/>
          <w:szCs w:val="24"/>
        </w:rPr>
        <w:t xml:space="preserve"> TFUE</w:t>
      </w:r>
      <w:r w:rsidR="00922CE6" w:rsidRPr="00D84154">
        <w:rPr>
          <w:rFonts w:ascii="Times New Roman" w:hAnsi="Times New Roman" w:cs="Times New Roman"/>
          <w:color w:val="000000" w:themeColor="text1"/>
          <w:sz w:val="24"/>
          <w:szCs w:val="24"/>
        </w:rPr>
        <w:t>,</w:t>
      </w:r>
    </w:p>
    <w:p w14:paraId="4472094C" w14:textId="2DB0A04A" w:rsidR="00922CE6" w:rsidRPr="00D84154" w:rsidRDefault="009C378F"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t>
      </w:r>
      <w:r w:rsidR="00922CE6" w:rsidRPr="00D84154">
        <w:rPr>
          <w:rFonts w:ascii="Times New Roman" w:hAnsi="Times New Roman" w:cs="Times New Roman"/>
          <w:color w:val="000000" w:themeColor="text1"/>
          <w:sz w:val="24"/>
          <w:szCs w:val="24"/>
        </w:rPr>
        <w:t xml:space="preserve"> akty proceduralne przyjęte w kontekście postępowania w sprawie naruszenia art. 101 </w:t>
      </w:r>
      <w:r w:rsidR="00F03BFD" w:rsidRPr="00D84154">
        <w:rPr>
          <w:rFonts w:ascii="Times New Roman" w:hAnsi="Times New Roman" w:cs="Times New Roman"/>
          <w:color w:val="000000" w:themeColor="text1"/>
          <w:sz w:val="24"/>
          <w:szCs w:val="24"/>
        </w:rPr>
        <w:t>lub art.</w:t>
      </w:r>
      <w:r w:rsidR="0009641F">
        <w:rPr>
          <w:rFonts w:ascii="Times New Roman" w:hAnsi="Times New Roman" w:cs="Times New Roman"/>
          <w:color w:val="000000" w:themeColor="text1"/>
          <w:sz w:val="24"/>
          <w:szCs w:val="24"/>
        </w:rPr>
        <w:t> </w:t>
      </w:r>
      <w:r w:rsidR="00922CE6" w:rsidRPr="00D84154">
        <w:rPr>
          <w:rFonts w:ascii="Times New Roman" w:hAnsi="Times New Roman" w:cs="Times New Roman"/>
          <w:color w:val="000000" w:themeColor="text1"/>
          <w:sz w:val="24"/>
          <w:szCs w:val="24"/>
        </w:rPr>
        <w:t>102</w:t>
      </w:r>
      <w:r w:rsidR="00132E11" w:rsidRPr="00D84154">
        <w:rPr>
          <w:rFonts w:ascii="Times New Roman" w:hAnsi="Times New Roman" w:cs="Times New Roman"/>
          <w:color w:val="000000" w:themeColor="text1"/>
          <w:sz w:val="24"/>
          <w:szCs w:val="24"/>
        </w:rPr>
        <w:t xml:space="preserve"> TFUE</w:t>
      </w:r>
      <w:r w:rsidR="00922CE6" w:rsidRPr="00D84154">
        <w:rPr>
          <w:rFonts w:ascii="Times New Roman" w:hAnsi="Times New Roman" w:cs="Times New Roman"/>
          <w:color w:val="000000" w:themeColor="text1"/>
          <w:sz w:val="24"/>
          <w:szCs w:val="24"/>
        </w:rPr>
        <w:t>,</w:t>
      </w:r>
    </w:p>
    <w:p w14:paraId="65DB8C1D" w14:textId="3F18F878" w:rsidR="00922CE6" w:rsidRPr="00D84154" w:rsidRDefault="009C378F"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t>
      </w:r>
      <w:r w:rsidR="00922CE6" w:rsidRPr="00D84154">
        <w:rPr>
          <w:rFonts w:ascii="Times New Roman" w:hAnsi="Times New Roman" w:cs="Times New Roman"/>
          <w:color w:val="000000" w:themeColor="text1"/>
          <w:sz w:val="24"/>
          <w:szCs w:val="24"/>
        </w:rPr>
        <w:t xml:space="preserve"> inne dokumenty, w tym takie, które dotyczą egzekwowania decyzji o nałożeniu kar pieniężnych.</w:t>
      </w:r>
    </w:p>
    <w:p w14:paraId="329B16C4" w14:textId="4B4D9473" w:rsidR="00922CE6" w:rsidRPr="00D84154" w:rsidRDefault="00922CE6"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Procedura notyfikacji została szczegółowo uregulowana w art. 27 </w:t>
      </w:r>
      <w:r w:rsidR="00F03BFD"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 xml:space="preserve">yrektywy. Podstawą dokonania notyfikacji ma być dołączony do wniosku o notyfikację tzw. jednolity instrument, którego elementy zostały szczegółowo wymienione w art. 27 ust. 2 </w:t>
      </w:r>
      <w:r w:rsidR="00F03BFD"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yrektywy.</w:t>
      </w:r>
    </w:p>
    <w:p w14:paraId="02C53C11" w14:textId="08E82C60" w:rsidR="00922CE6" w:rsidRPr="00D84154" w:rsidRDefault="009C378F" w:rsidP="0035092B">
      <w:pPr>
        <w:spacing w:before="120" w:after="0" w:line="36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ab/>
      </w:r>
      <w:r w:rsidR="00922CE6" w:rsidRPr="00D84154">
        <w:rPr>
          <w:rFonts w:ascii="Times New Roman" w:hAnsi="Times New Roman" w:cs="Times New Roman"/>
          <w:color w:val="000000" w:themeColor="text1"/>
          <w:sz w:val="24"/>
          <w:szCs w:val="24"/>
        </w:rPr>
        <w:t xml:space="preserve">współpraca w zakresie egzekucji decyzji o nałożeniu kar pieniężnych w związku ze stosowaniem art. 101 lub </w:t>
      </w:r>
      <w:r w:rsidR="00F03BFD" w:rsidRPr="00D84154">
        <w:rPr>
          <w:rFonts w:ascii="Times New Roman" w:hAnsi="Times New Roman" w:cs="Times New Roman"/>
          <w:color w:val="000000" w:themeColor="text1"/>
          <w:sz w:val="24"/>
          <w:szCs w:val="24"/>
        </w:rPr>
        <w:t xml:space="preserve">art. </w:t>
      </w:r>
      <w:r w:rsidR="00922CE6" w:rsidRPr="00D84154">
        <w:rPr>
          <w:rFonts w:ascii="Times New Roman" w:hAnsi="Times New Roman" w:cs="Times New Roman"/>
          <w:color w:val="000000" w:themeColor="text1"/>
          <w:sz w:val="24"/>
          <w:szCs w:val="24"/>
        </w:rPr>
        <w:t>102 TFUE (art. 26</w:t>
      </w:r>
      <w:r w:rsidR="0035092B">
        <w:rPr>
          <w:rFonts w:ascii="Times New Roman" w:hAnsi="Times New Roman" w:cs="Times New Roman"/>
          <w:color w:val="000000" w:themeColor="text1"/>
          <w:sz w:val="24"/>
          <w:szCs w:val="24"/>
        </w:rPr>
        <w:t>–</w:t>
      </w:r>
      <w:r w:rsidR="00922CE6" w:rsidRPr="00D84154">
        <w:rPr>
          <w:rFonts w:ascii="Times New Roman" w:hAnsi="Times New Roman" w:cs="Times New Roman"/>
          <w:color w:val="000000" w:themeColor="text1"/>
          <w:sz w:val="24"/>
          <w:szCs w:val="24"/>
        </w:rPr>
        <w:t xml:space="preserve">28 </w:t>
      </w:r>
      <w:r w:rsidR="00F03BFD" w:rsidRPr="00D84154">
        <w:rPr>
          <w:rFonts w:ascii="Times New Roman" w:hAnsi="Times New Roman" w:cs="Times New Roman"/>
          <w:color w:val="000000" w:themeColor="text1"/>
          <w:sz w:val="24"/>
          <w:szCs w:val="24"/>
        </w:rPr>
        <w:t>d</w:t>
      </w:r>
      <w:r w:rsidR="00922CE6" w:rsidRPr="00D84154">
        <w:rPr>
          <w:rFonts w:ascii="Times New Roman" w:hAnsi="Times New Roman" w:cs="Times New Roman"/>
          <w:color w:val="000000" w:themeColor="text1"/>
          <w:sz w:val="24"/>
          <w:szCs w:val="24"/>
        </w:rPr>
        <w:t>yrektywy).</w:t>
      </w:r>
    </w:p>
    <w:p w14:paraId="639E0A00" w14:textId="59D326AF" w:rsidR="00922CE6" w:rsidRPr="00D84154" w:rsidRDefault="00922CE6"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Zgodnie z art. 26 </w:t>
      </w:r>
      <w:r w:rsidR="00F03BFD"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 xml:space="preserve">yrektywy przedmiotem współpracy transgranicznej między organami ma być wyegzekwowanie decyzji o nałożeniu kar pieniężnych dotyczących stosowania art. 101 lub </w:t>
      </w:r>
      <w:r w:rsidR="004128B0" w:rsidRPr="00D84154">
        <w:rPr>
          <w:rFonts w:ascii="Times New Roman" w:hAnsi="Times New Roman" w:cs="Times New Roman"/>
          <w:color w:val="000000" w:themeColor="text1"/>
          <w:sz w:val="24"/>
          <w:szCs w:val="24"/>
        </w:rPr>
        <w:t xml:space="preserve">art. </w:t>
      </w:r>
      <w:r w:rsidRPr="00D84154">
        <w:rPr>
          <w:rFonts w:ascii="Times New Roman" w:hAnsi="Times New Roman" w:cs="Times New Roman"/>
          <w:color w:val="000000" w:themeColor="text1"/>
          <w:sz w:val="24"/>
          <w:szCs w:val="24"/>
        </w:rPr>
        <w:t>102</w:t>
      </w:r>
      <w:r w:rsidR="00F03BFD" w:rsidRPr="00D84154">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TFUE, takich jak:</w:t>
      </w:r>
    </w:p>
    <w:p w14:paraId="40F29A30" w14:textId="029831B1" w:rsidR="00922CE6" w:rsidRPr="00D84154" w:rsidRDefault="009C378F"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t>
      </w:r>
      <w:r w:rsidR="00922CE6" w:rsidRPr="00D84154">
        <w:rPr>
          <w:rFonts w:ascii="Times New Roman" w:hAnsi="Times New Roman" w:cs="Times New Roman"/>
          <w:color w:val="000000" w:themeColor="text1"/>
          <w:sz w:val="24"/>
          <w:szCs w:val="24"/>
        </w:rPr>
        <w:t xml:space="preserve"> kary za naruszenie zakazów określonych w art. 101 </w:t>
      </w:r>
      <w:r w:rsidR="00F03BFD" w:rsidRPr="00D84154">
        <w:rPr>
          <w:rFonts w:ascii="Times New Roman" w:hAnsi="Times New Roman" w:cs="Times New Roman"/>
          <w:color w:val="000000" w:themeColor="text1"/>
          <w:sz w:val="24"/>
          <w:szCs w:val="24"/>
        </w:rPr>
        <w:t xml:space="preserve">lub art. </w:t>
      </w:r>
      <w:r w:rsidR="00922CE6" w:rsidRPr="00D84154">
        <w:rPr>
          <w:rFonts w:ascii="Times New Roman" w:hAnsi="Times New Roman" w:cs="Times New Roman"/>
          <w:color w:val="000000" w:themeColor="text1"/>
          <w:sz w:val="24"/>
          <w:szCs w:val="24"/>
        </w:rPr>
        <w:t>102 TFUE,</w:t>
      </w:r>
    </w:p>
    <w:p w14:paraId="3611FB67" w14:textId="598C137F" w:rsidR="00922CE6" w:rsidRPr="00D84154" w:rsidRDefault="009C378F"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t>
      </w:r>
      <w:r w:rsidR="00922CE6" w:rsidRPr="00D84154">
        <w:rPr>
          <w:rFonts w:ascii="Times New Roman" w:hAnsi="Times New Roman" w:cs="Times New Roman"/>
          <w:color w:val="000000" w:themeColor="text1"/>
          <w:sz w:val="24"/>
          <w:szCs w:val="24"/>
        </w:rPr>
        <w:t xml:space="preserve"> kary za nierealizowanie obowiązków nałożonych przez </w:t>
      </w:r>
      <w:r w:rsidR="0009641F">
        <w:rPr>
          <w:rFonts w:ascii="Times New Roman" w:hAnsi="Times New Roman" w:cs="Times New Roman"/>
          <w:color w:val="000000" w:themeColor="text1"/>
          <w:sz w:val="24"/>
          <w:szCs w:val="24"/>
        </w:rPr>
        <w:t>organ w toku postępowania lub w </w:t>
      </w:r>
      <w:r w:rsidR="00922CE6" w:rsidRPr="00D84154">
        <w:rPr>
          <w:rFonts w:ascii="Times New Roman" w:hAnsi="Times New Roman" w:cs="Times New Roman"/>
          <w:color w:val="000000" w:themeColor="text1"/>
          <w:sz w:val="24"/>
          <w:szCs w:val="24"/>
        </w:rPr>
        <w:t>decyzjach kończących postępowanie (np. kara za niedostosowanie się do decyzji zobowiązujących albo nakładających środki tymczasowe, kara za niepoddanie się kontroli),</w:t>
      </w:r>
    </w:p>
    <w:p w14:paraId="6AE681B2" w14:textId="4774DCC2" w:rsidR="00922CE6" w:rsidRPr="00D84154" w:rsidRDefault="009C378F"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lastRenderedPageBreak/>
        <w:t>–</w:t>
      </w:r>
      <w:r w:rsidR="00922CE6" w:rsidRPr="00D84154">
        <w:rPr>
          <w:rFonts w:ascii="Times New Roman" w:hAnsi="Times New Roman" w:cs="Times New Roman"/>
          <w:color w:val="000000" w:themeColor="text1"/>
          <w:sz w:val="24"/>
          <w:szCs w:val="24"/>
        </w:rPr>
        <w:t xml:space="preserve"> okresowe kary pieniężne, czyli kary przymuszające przedsiębiorców do realizacji obowiązków nałożonych przez organ w toku postępowania lub w decyzjach kończących postępowanie (np. okresowa kara pieniężna, której celem jest poddanie się przez przedsiębiorcę kontroli).</w:t>
      </w:r>
    </w:p>
    <w:p w14:paraId="280A7D5B" w14:textId="0384C4D6" w:rsidR="00922CE6" w:rsidRPr="00D84154" w:rsidRDefault="00922CE6"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Ponadto </w:t>
      </w:r>
      <w:r w:rsidR="0058580B"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yrektywa w art. 26 wymienia</w:t>
      </w:r>
      <w:r w:rsidR="00F65A77">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 xml:space="preserve">dwa rodzaje przypadków, w których </w:t>
      </w:r>
      <w:r w:rsidR="0035092B" w:rsidRPr="00D84154">
        <w:rPr>
          <w:rFonts w:ascii="Times New Roman" w:hAnsi="Times New Roman" w:cs="Times New Roman"/>
          <w:color w:val="000000" w:themeColor="text1"/>
          <w:sz w:val="24"/>
          <w:szCs w:val="24"/>
        </w:rPr>
        <w:t xml:space="preserve">jest </w:t>
      </w:r>
      <w:r w:rsidRPr="00D84154">
        <w:rPr>
          <w:rFonts w:ascii="Times New Roman" w:hAnsi="Times New Roman" w:cs="Times New Roman"/>
          <w:color w:val="000000" w:themeColor="text1"/>
          <w:sz w:val="24"/>
          <w:szCs w:val="24"/>
        </w:rPr>
        <w:t xml:space="preserve">dopuszczalne wystąpienie do organu innego państwa członkowskiego UE z wnioskiem o egzekucję kar pieniężnych w związku ze stosowaniem art. 101 i </w:t>
      </w:r>
      <w:r w:rsidR="0058580B" w:rsidRPr="00D84154">
        <w:rPr>
          <w:rFonts w:ascii="Times New Roman" w:hAnsi="Times New Roman" w:cs="Times New Roman"/>
          <w:color w:val="000000" w:themeColor="text1"/>
          <w:sz w:val="24"/>
          <w:szCs w:val="24"/>
        </w:rPr>
        <w:t xml:space="preserve">art. </w:t>
      </w:r>
      <w:r w:rsidRPr="00D84154">
        <w:rPr>
          <w:rFonts w:ascii="Times New Roman" w:hAnsi="Times New Roman" w:cs="Times New Roman"/>
          <w:color w:val="000000" w:themeColor="text1"/>
          <w:sz w:val="24"/>
          <w:szCs w:val="24"/>
        </w:rPr>
        <w:t>102 TFUE:</w:t>
      </w:r>
    </w:p>
    <w:p w14:paraId="3577D0EB" w14:textId="58FEA809" w:rsidR="00922CE6" w:rsidRPr="00D84154" w:rsidRDefault="009C378F" w:rsidP="00090D9B">
      <w:pPr>
        <w:spacing w:before="120" w:after="0" w:line="360" w:lineRule="auto"/>
        <w:ind w:left="709"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ab/>
      </w:r>
      <w:r w:rsidR="00922CE6" w:rsidRPr="00D84154">
        <w:rPr>
          <w:rFonts w:ascii="Times New Roman" w:hAnsi="Times New Roman" w:cs="Times New Roman"/>
          <w:color w:val="000000" w:themeColor="text1"/>
          <w:sz w:val="24"/>
          <w:szCs w:val="24"/>
        </w:rPr>
        <w:t>organ państwa składającego wniosek, po dołożeniu racjonalnych starań</w:t>
      </w:r>
      <w:r w:rsidR="0035092B">
        <w:rPr>
          <w:rFonts w:ascii="Times New Roman" w:hAnsi="Times New Roman" w:cs="Times New Roman"/>
          <w:color w:val="000000" w:themeColor="text1"/>
          <w:sz w:val="24"/>
          <w:szCs w:val="24"/>
        </w:rPr>
        <w:t>,</w:t>
      </w:r>
      <w:r w:rsidR="00922CE6" w:rsidRPr="00D84154">
        <w:rPr>
          <w:rFonts w:ascii="Times New Roman" w:hAnsi="Times New Roman" w:cs="Times New Roman"/>
          <w:color w:val="000000" w:themeColor="text1"/>
          <w:sz w:val="24"/>
          <w:szCs w:val="24"/>
        </w:rPr>
        <w:t xml:space="preserve"> ustalił, </w:t>
      </w:r>
      <w:r w:rsidR="00132E11" w:rsidRPr="00D84154">
        <w:rPr>
          <w:rFonts w:ascii="Times New Roman" w:hAnsi="Times New Roman" w:cs="Times New Roman"/>
          <w:color w:val="000000" w:themeColor="text1"/>
          <w:sz w:val="24"/>
          <w:szCs w:val="24"/>
        </w:rPr>
        <w:t>ż</w:t>
      </w:r>
      <w:r w:rsidR="00922CE6" w:rsidRPr="00D84154">
        <w:rPr>
          <w:rFonts w:ascii="Times New Roman" w:hAnsi="Times New Roman" w:cs="Times New Roman"/>
          <w:color w:val="000000" w:themeColor="text1"/>
          <w:sz w:val="24"/>
          <w:szCs w:val="24"/>
        </w:rPr>
        <w:t>e przedsiębiorca nie ma wystarczających aktywów</w:t>
      </w:r>
      <w:r w:rsidR="0058580B" w:rsidRPr="00D84154">
        <w:rPr>
          <w:rFonts w:ascii="Times New Roman" w:hAnsi="Times New Roman" w:cs="Times New Roman"/>
          <w:color w:val="000000" w:themeColor="text1"/>
          <w:sz w:val="24"/>
          <w:szCs w:val="24"/>
        </w:rPr>
        <w:t xml:space="preserve">, co uniemożliwia </w:t>
      </w:r>
      <w:r w:rsidR="00922CE6" w:rsidRPr="00D84154">
        <w:rPr>
          <w:rFonts w:ascii="Times New Roman" w:hAnsi="Times New Roman" w:cs="Times New Roman"/>
          <w:color w:val="000000" w:themeColor="text1"/>
          <w:sz w:val="24"/>
          <w:szCs w:val="24"/>
        </w:rPr>
        <w:t>ściągnięci</w:t>
      </w:r>
      <w:r w:rsidR="0058580B" w:rsidRPr="00D84154">
        <w:rPr>
          <w:rFonts w:ascii="Times New Roman" w:hAnsi="Times New Roman" w:cs="Times New Roman"/>
          <w:color w:val="000000" w:themeColor="text1"/>
          <w:sz w:val="24"/>
          <w:szCs w:val="24"/>
        </w:rPr>
        <w:t>e</w:t>
      </w:r>
      <w:r w:rsidR="0009641F">
        <w:rPr>
          <w:rFonts w:ascii="Times New Roman" w:hAnsi="Times New Roman" w:cs="Times New Roman"/>
          <w:color w:val="000000" w:themeColor="text1"/>
          <w:sz w:val="24"/>
          <w:szCs w:val="24"/>
        </w:rPr>
        <w:t xml:space="preserve"> kary w </w:t>
      </w:r>
      <w:r w:rsidR="00922CE6" w:rsidRPr="00D84154">
        <w:rPr>
          <w:rFonts w:ascii="Times New Roman" w:hAnsi="Times New Roman" w:cs="Times New Roman"/>
          <w:color w:val="000000" w:themeColor="text1"/>
          <w:sz w:val="24"/>
          <w:szCs w:val="24"/>
        </w:rPr>
        <w:t>tym państwie,</w:t>
      </w:r>
    </w:p>
    <w:p w14:paraId="50969E70" w14:textId="4AE0BFD9" w:rsidR="00922CE6" w:rsidRPr="00D84154" w:rsidRDefault="009C378F" w:rsidP="00090D9B">
      <w:pPr>
        <w:spacing w:before="120" w:after="0" w:line="360" w:lineRule="auto"/>
        <w:ind w:left="709"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ab/>
      </w:r>
      <w:r w:rsidR="00922CE6" w:rsidRPr="00D84154">
        <w:rPr>
          <w:rFonts w:ascii="Times New Roman" w:hAnsi="Times New Roman" w:cs="Times New Roman"/>
          <w:color w:val="000000" w:themeColor="text1"/>
          <w:sz w:val="24"/>
          <w:szCs w:val="24"/>
        </w:rPr>
        <w:t>przedsiębiorca podlegający karze nie ma siedziby w państwie organu, który składa wniosek – w tym przypadku jednak organ przyjmujący wniosek nie ma obowiązku wykonania wniosku.</w:t>
      </w:r>
    </w:p>
    <w:p w14:paraId="3D490B13" w14:textId="0E4C2E28" w:rsidR="00922CE6" w:rsidRPr="00D84154" w:rsidRDefault="00922CE6"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Procedura realizacji wniosku o wyegzekwowanie decyzji o nałożeniu kary pieniężnej została określona w art. 27</w:t>
      </w:r>
      <w:r w:rsidR="009E3B1C" w:rsidRPr="00D84154">
        <w:rPr>
          <w:rFonts w:ascii="Times New Roman" w:hAnsi="Times New Roman" w:cs="Times New Roman"/>
          <w:color w:val="000000" w:themeColor="text1"/>
          <w:sz w:val="24"/>
          <w:szCs w:val="24"/>
        </w:rPr>
        <w:t xml:space="preserve"> dyrektywy</w:t>
      </w:r>
      <w:r w:rsidRPr="00D84154">
        <w:rPr>
          <w:rFonts w:ascii="Times New Roman" w:hAnsi="Times New Roman" w:cs="Times New Roman"/>
          <w:color w:val="000000" w:themeColor="text1"/>
          <w:sz w:val="24"/>
          <w:szCs w:val="24"/>
        </w:rPr>
        <w:t xml:space="preserve">. Art. 27 ust.1 przewiduje , że wnioski </w:t>
      </w:r>
      <w:r w:rsidR="009E3B1C" w:rsidRPr="00D84154">
        <w:rPr>
          <w:rFonts w:ascii="Times New Roman" w:hAnsi="Times New Roman" w:cs="Times New Roman"/>
          <w:color w:val="000000" w:themeColor="text1"/>
          <w:sz w:val="24"/>
          <w:szCs w:val="24"/>
        </w:rPr>
        <w:t xml:space="preserve">są </w:t>
      </w:r>
      <w:r w:rsidRPr="00D84154">
        <w:rPr>
          <w:rFonts w:ascii="Times New Roman" w:hAnsi="Times New Roman" w:cs="Times New Roman"/>
          <w:color w:val="000000" w:themeColor="text1"/>
          <w:sz w:val="24"/>
          <w:szCs w:val="24"/>
        </w:rPr>
        <w:t>wykonywane zgodnie przepisami krajowymi państwa przyjmującego wniosek. Wykonanie wniosk</w:t>
      </w:r>
      <w:r w:rsidR="009E3B1C" w:rsidRPr="00D84154">
        <w:rPr>
          <w:rFonts w:ascii="Times New Roman" w:hAnsi="Times New Roman" w:cs="Times New Roman"/>
          <w:color w:val="000000" w:themeColor="text1"/>
          <w:sz w:val="24"/>
          <w:szCs w:val="24"/>
        </w:rPr>
        <w:t>u</w:t>
      </w:r>
      <w:r w:rsidR="0009641F">
        <w:rPr>
          <w:rFonts w:ascii="Times New Roman" w:hAnsi="Times New Roman" w:cs="Times New Roman"/>
          <w:color w:val="000000" w:themeColor="text1"/>
          <w:sz w:val="24"/>
          <w:szCs w:val="24"/>
        </w:rPr>
        <w:t xml:space="preserve"> następuje w </w:t>
      </w:r>
      <w:r w:rsidRPr="00D84154">
        <w:rPr>
          <w:rFonts w:ascii="Times New Roman" w:hAnsi="Times New Roman" w:cs="Times New Roman"/>
          <w:color w:val="000000" w:themeColor="text1"/>
          <w:sz w:val="24"/>
          <w:szCs w:val="24"/>
        </w:rPr>
        <w:t xml:space="preserve">oparciu o jednolity instrument, który zgodnie z art. 27 ust. 4 </w:t>
      </w:r>
      <w:r w:rsidR="009E3B1C"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 xml:space="preserve">yrektywy jest jedyną podstawą środków podejmowanych przez organ i nie podlega on w państwie członkowskim zatwierdzeniu, uzupełnieniu lub zastąpieniu. W art. 27 ust. 6 </w:t>
      </w:r>
      <w:r w:rsidR="009E3B1C" w:rsidRPr="00D84154">
        <w:rPr>
          <w:rFonts w:ascii="Times New Roman" w:hAnsi="Times New Roman" w:cs="Times New Roman"/>
          <w:color w:val="000000" w:themeColor="text1"/>
          <w:sz w:val="24"/>
          <w:szCs w:val="24"/>
        </w:rPr>
        <w:t xml:space="preserve">dyrektywy </w:t>
      </w:r>
      <w:r w:rsidRPr="00D84154">
        <w:rPr>
          <w:rFonts w:ascii="Times New Roman" w:hAnsi="Times New Roman" w:cs="Times New Roman"/>
          <w:color w:val="000000" w:themeColor="text1"/>
          <w:sz w:val="24"/>
          <w:szCs w:val="24"/>
        </w:rPr>
        <w:t xml:space="preserve">wskazano przypadki (wspólne dla wniosków o notyfikację i o wyegzekwowanie kary), w których </w:t>
      </w:r>
      <w:r w:rsidR="0035092B" w:rsidRPr="00D84154">
        <w:rPr>
          <w:rFonts w:ascii="Times New Roman" w:hAnsi="Times New Roman" w:cs="Times New Roman"/>
          <w:color w:val="000000" w:themeColor="text1"/>
          <w:sz w:val="24"/>
          <w:szCs w:val="24"/>
        </w:rPr>
        <w:t xml:space="preserve">jest </w:t>
      </w:r>
      <w:r w:rsidRPr="00D84154">
        <w:rPr>
          <w:rFonts w:ascii="Times New Roman" w:hAnsi="Times New Roman" w:cs="Times New Roman"/>
          <w:color w:val="000000" w:themeColor="text1"/>
          <w:sz w:val="24"/>
          <w:szCs w:val="24"/>
        </w:rPr>
        <w:t>dopuszczalna odmowa wykonania wniosku.</w:t>
      </w:r>
    </w:p>
    <w:p w14:paraId="363AB052" w14:textId="77777777" w:rsidR="00922CE6" w:rsidRPr="00D84154" w:rsidRDefault="00922CE6" w:rsidP="00D84154">
      <w:pPr>
        <w:spacing w:before="120" w:after="0" w:line="360" w:lineRule="auto"/>
        <w:jc w:val="both"/>
        <w:rPr>
          <w:rFonts w:ascii="Times New Roman" w:hAnsi="Times New Roman" w:cs="Times New Roman"/>
          <w:b/>
          <w:bCs/>
          <w:color w:val="000000" w:themeColor="text1"/>
          <w:sz w:val="24"/>
          <w:szCs w:val="24"/>
        </w:rPr>
      </w:pPr>
      <w:r w:rsidRPr="00D84154">
        <w:rPr>
          <w:rFonts w:ascii="Times New Roman" w:hAnsi="Times New Roman" w:cs="Times New Roman"/>
          <w:b/>
          <w:bCs/>
          <w:color w:val="000000" w:themeColor="text1"/>
          <w:sz w:val="24"/>
          <w:szCs w:val="24"/>
        </w:rPr>
        <w:t>Wdrożenie rozdziału VII do polskiego porządku prawnego</w:t>
      </w:r>
    </w:p>
    <w:p w14:paraId="048AFA28" w14:textId="4BAC0F27" w:rsidR="00922CE6" w:rsidRPr="00D84154" w:rsidRDefault="00FA39BF" w:rsidP="00FA39BF">
      <w:pPr>
        <w:spacing w:before="120" w:after="0" w:line="360" w:lineRule="auto"/>
        <w:ind w:left="284" w:hanging="28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ab/>
      </w:r>
      <w:r w:rsidR="00922CE6" w:rsidRPr="00D84154">
        <w:rPr>
          <w:rFonts w:ascii="Times New Roman" w:hAnsi="Times New Roman" w:cs="Times New Roman"/>
          <w:b/>
          <w:color w:val="000000" w:themeColor="text1"/>
          <w:sz w:val="24"/>
          <w:szCs w:val="24"/>
        </w:rPr>
        <w:t>współpraca w zakresie czynności dochodzeniowych</w:t>
      </w:r>
    </w:p>
    <w:p w14:paraId="62AB8521" w14:textId="6770C27C" w:rsidR="00922CE6" w:rsidRPr="00D84154" w:rsidRDefault="00922CE6"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Art. 24 ust. 1 </w:t>
      </w:r>
      <w:r w:rsidR="009E3B1C"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yrektywy w istotnej części nie wymaga wdrożeni</w:t>
      </w:r>
      <w:r w:rsidR="0009641F">
        <w:rPr>
          <w:rFonts w:ascii="Times New Roman" w:hAnsi="Times New Roman" w:cs="Times New Roman"/>
          <w:color w:val="000000" w:themeColor="text1"/>
          <w:sz w:val="24"/>
          <w:szCs w:val="24"/>
        </w:rPr>
        <w:t>a do polskich przepisów. Z art. </w:t>
      </w:r>
      <w:r w:rsidRPr="00D84154">
        <w:rPr>
          <w:rFonts w:ascii="Times New Roman" w:hAnsi="Times New Roman" w:cs="Times New Roman"/>
          <w:color w:val="000000" w:themeColor="text1"/>
          <w:sz w:val="24"/>
          <w:szCs w:val="24"/>
        </w:rPr>
        <w:t xml:space="preserve">105a ust. 2 pkt 1, art. 105i i art. 105n w związku z art. 105q ust. 1 ustawy wynika, że </w:t>
      </w:r>
      <w:r w:rsidR="0009641F">
        <w:rPr>
          <w:rFonts w:ascii="Times New Roman" w:hAnsi="Times New Roman" w:cs="Times New Roman"/>
          <w:color w:val="000000" w:themeColor="text1"/>
          <w:sz w:val="24"/>
          <w:szCs w:val="24"/>
        </w:rPr>
        <w:t>w </w:t>
      </w:r>
      <w:r w:rsidRPr="00D84154">
        <w:rPr>
          <w:rFonts w:ascii="Times New Roman" w:hAnsi="Times New Roman" w:cs="Times New Roman"/>
          <w:color w:val="000000" w:themeColor="text1"/>
          <w:sz w:val="24"/>
          <w:szCs w:val="24"/>
        </w:rPr>
        <w:t>przypadku, o którym mowa w art. 22 rozporządzenia 1/2003, pracownik organu ochrony konkurencji państwa członkowskiego UE może uczestniczyć w kontroli lub przeszukaniu przeprowadz</w:t>
      </w:r>
      <w:r w:rsidR="009E3B1C" w:rsidRPr="00D84154">
        <w:rPr>
          <w:rFonts w:ascii="Times New Roman" w:hAnsi="Times New Roman" w:cs="Times New Roman"/>
          <w:color w:val="000000" w:themeColor="text1"/>
          <w:sz w:val="24"/>
          <w:szCs w:val="24"/>
        </w:rPr>
        <w:t>a</w:t>
      </w:r>
      <w:r w:rsidRPr="00D84154">
        <w:rPr>
          <w:rFonts w:ascii="Times New Roman" w:hAnsi="Times New Roman" w:cs="Times New Roman"/>
          <w:color w:val="000000" w:themeColor="text1"/>
          <w:sz w:val="24"/>
          <w:szCs w:val="24"/>
        </w:rPr>
        <w:t>nym w imieniu i na potrzeby tego organu. Implementacja art. 24 ust. 1 jest konieczna w zakresie</w:t>
      </w:r>
      <w:r w:rsidR="00B813DA">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w jakim pracownik państwa członk</w:t>
      </w:r>
      <w:r w:rsidR="0009641F">
        <w:rPr>
          <w:rFonts w:ascii="Times New Roman" w:hAnsi="Times New Roman" w:cs="Times New Roman"/>
          <w:color w:val="000000" w:themeColor="text1"/>
          <w:sz w:val="24"/>
          <w:szCs w:val="24"/>
        </w:rPr>
        <w:t>owskiego UE może uczestniczyć w </w:t>
      </w:r>
      <w:r w:rsidRPr="00D84154">
        <w:rPr>
          <w:rFonts w:ascii="Times New Roman" w:hAnsi="Times New Roman" w:cs="Times New Roman"/>
          <w:color w:val="000000" w:themeColor="text1"/>
          <w:sz w:val="24"/>
          <w:szCs w:val="24"/>
        </w:rPr>
        <w:t xml:space="preserve">przesłuchaniach (wykonywanie uprawnień, o których mowa w art. 9 dyrektywy). W ustawie zostaną zatem </w:t>
      </w:r>
      <w:r w:rsidR="009E3B1C" w:rsidRPr="00D84154">
        <w:rPr>
          <w:rFonts w:ascii="Times New Roman" w:hAnsi="Times New Roman" w:cs="Times New Roman"/>
          <w:color w:val="000000" w:themeColor="text1"/>
          <w:sz w:val="24"/>
          <w:szCs w:val="24"/>
        </w:rPr>
        <w:t xml:space="preserve">dodane </w:t>
      </w:r>
      <w:r w:rsidRPr="00D84154">
        <w:rPr>
          <w:rFonts w:ascii="Times New Roman" w:hAnsi="Times New Roman" w:cs="Times New Roman"/>
          <w:color w:val="000000" w:themeColor="text1"/>
          <w:sz w:val="24"/>
          <w:szCs w:val="24"/>
        </w:rPr>
        <w:t xml:space="preserve">przepisy umożliwiające Prezesowi UOKiK, jeżeli stosowny wniosek </w:t>
      </w:r>
      <w:r w:rsidRPr="00D84154">
        <w:rPr>
          <w:rFonts w:ascii="Times New Roman" w:hAnsi="Times New Roman" w:cs="Times New Roman"/>
          <w:color w:val="000000" w:themeColor="text1"/>
          <w:sz w:val="24"/>
          <w:szCs w:val="24"/>
        </w:rPr>
        <w:lastRenderedPageBreak/>
        <w:t>złoży organ ochrony konkurencji innego państwa czł</w:t>
      </w:r>
      <w:r w:rsidR="0009641F">
        <w:rPr>
          <w:rFonts w:ascii="Times New Roman" w:hAnsi="Times New Roman" w:cs="Times New Roman"/>
          <w:color w:val="000000" w:themeColor="text1"/>
          <w:sz w:val="24"/>
          <w:szCs w:val="24"/>
        </w:rPr>
        <w:t>onkowskiego Unii Europejskiej w </w:t>
      </w:r>
      <w:r w:rsidRPr="00D84154">
        <w:rPr>
          <w:rFonts w:ascii="Times New Roman" w:hAnsi="Times New Roman" w:cs="Times New Roman"/>
          <w:color w:val="000000" w:themeColor="text1"/>
          <w:sz w:val="24"/>
          <w:szCs w:val="24"/>
        </w:rPr>
        <w:t>przypadku, o którym mowa w art. 22 rozporządzenia nr 1/2003:</w:t>
      </w:r>
    </w:p>
    <w:p w14:paraId="691F3075" w14:textId="65771EED" w:rsidR="00922CE6" w:rsidRPr="00D84154" w:rsidRDefault="009C378F"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t>
      </w:r>
      <w:r w:rsidR="00922CE6" w:rsidRPr="00D84154">
        <w:rPr>
          <w:rFonts w:ascii="Times New Roman" w:hAnsi="Times New Roman" w:cs="Times New Roman"/>
          <w:color w:val="000000" w:themeColor="text1"/>
          <w:sz w:val="24"/>
          <w:szCs w:val="24"/>
        </w:rPr>
        <w:t xml:space="preserve"> wezwanie świadka i odebranie od niego zeznań (art. 53a)</w:t>
      </w:r>
      <w:r w:rsidR="001B403B" w:rsidRPr="00D84154">
        <w:rPr>
          <w:rFonts w:ascii="Times New Roman" w:hAnsi="Times New Roman" w:cs="Times New Roman"/>
          <w:color w:val="000000" w:themeColor="text1"/>
          <w:sz w:val="24"/>
          <w:szCs w:val="24"/>
        </w:rPr>
        <w:t>,</w:t>
      </w:r>
    </w:p>
    <w:p w14:paraId="59C712AE" w14:textId="48CE7B0F" w:rsidR="00922CE6" w:rsidRPr="00D84154" w:rsidRDefault="009C378F"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t>
      </w:r>
      <w:r w:rsidR="00922CE6" w:rsidRPr="00D84154">
        <w:rPr>
          <w:rFonts w:ascii="Times New Roman" w:hAnsi="Times New Roman" w:cs="Times New Roman"/>
          <w:color w:val="000000" w:themeColor="text1"/>
          <w:sz w:val="24"/>
          <w:szCs w:val="24"/>
        </w:rPr>
        <w:t xml:space="preserve"> wystąpienie o przesłuchanie świadków do właściwego miejscowo sądu rejonowego, jeżeli przemawia za tym charakter dowodu albo wzgląd na poważne niedogodności lub znaczną wysokość kosztów przeprowadzenia dowodu (art. 61a)</w:t>
      </w:r>
      <w:r w:rsidR="001B403B" w:rsidRPr="00D84154">
        <w:rPr>
          <w:rFonts w:ascii="Times New Roman" w:hAnsi="Times New Roman" w:cs="Times New Roman"/>
          <w:color w:val="000000" w:themeColor="text1"/>
          <w:sz w:val="24"/>
          <w:szCs w:val="24"/>
        </w:rPr>
        <w:t>.</w:t>
      </w:r>
    </w:p>
    <w:p w14:paraId="452480F1" w14:textId="03C3BE3A" w:rsidR="00922CE6" w:rsidRPr="00D84154" w:rsidRDefault="00922CE6"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Podejmując ww. środki</w:t>
      </w:r>
      <w:r w:rsidR="00B813DA">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Prezes UOKiK będzie mógł upoważnić do udziału w przesłuchaniu pracownika organu ochrony państwa członkowskiego Un</w:t>
      </w:r>
      <w:r w:rsidR="0009641F">
        <w:rPr>
          <w:rFonts w:ascii="Times New Roman" w:hAnsi="Times New Roman" w:cs="Times New Roman"/>
          <w:color w:val="000000" w:themeColor="text1"/>
          <w:sz w:val="24"/>
          <w:szCs w:val="24"/>
        </w:rPr>
        <w:t>ii Europejskiej występującego z </w:t>
      </w:r>
      <w:r w:rsidRPr="00D84154">
        <w:rPr>
          <w:rFonts w:ascii="Times New Roman" w:hAnsi="Times New Roman" w:cs="Times New Roman"/>
          <w:color w:val="000000" w:themeColor="text1"/>
          <w:sz w:val="24"/>
          <w:szCs w:val="24"/>
        </w:rPr>
        <w:t>wnioskiem o przeprowadzenie przesłuchania.</w:t>
      </w:r>
    </w:p>
    <w:p w14:paraId="24736E53" w14:textId="062A6F0E" w:rsidR="00922CE6" w:rsidRPr="00D84154" w:rsidRDefault="00922CE6"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Wdrożenia wymaga art. 24 ust. 2 </w:t>
      </w:r>
      <w:r w:rsidR="009E3B1C"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yrektywy, który nakazuje</w:t>
      </w:r>
      <w:r w:rsidR="00B813DA">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aby państwa członkowskie UE były uprawnione do stosowania środków wskazanych w art. 6</w:t>
      </w:r>
      <w:r w:rsidR="00B813DA">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9 </w:t>
      </w:r>
      <w:r w:rsidR="009E3B1C"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yrektywy w imieniu i na potrzeby innych krajowych organów ochrony konkurencji państw członkowskich UE w celu ustalenia</w:t>
      </w:r>
      <w:r w:rsidR="009E3B1C" w:rsidRPr="00D84154">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czy przedsiębiorcy dostosowali się do czynności dochodzeniowych i decyzji wydawanych przez te organy w ramach prowadzonych postępowań w sprawie naruszenia art. 101 lub art. 102 TFUE. W obecnym stanie prawnym Prezes UOKiK może przeprowadzić kontrolę lub przeszukanie na rzecz innego organu ochrony konkurencji państwa członkowskiego UE, tylko na potrzeby ustalenia</w:t>
      </w:r>
      <w:r w:rsidR="00B813DA">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czy doszło do naruszenia art. 101 lub </w:t>
      </w:r>
      <w:r w:rsidR="007A16D3">
        <w:rPr>
          <w:rFonts w:ascii="Times New Roman" w:hAnsi="Times New Roman" w:cs="Times New Roman"/>
          <w:color w:val="000000" w:themeColor="text1"/>
          <w:sz w:val="24"/>
          <w:szCs w:val="24"/>
        </w:rPr>
        <w:t>art. </w:t>
      </w:r>
      <w:r w:rsidRPr="00D84154">
        <w:rPr>
          <w:rFonts w:ascii="Times New Roman" w:hAnsi="Times New Roman" w:cs="Times New Roman"/>
          <w:color w:val="000000" w:themeColor="text1"/>
          <w:sz w:val="24"/>
          <w:szCs w:val="24"/>
        </w:rPr>
        <w:t xml:space="preserve">102 TFUE. </w:t>
      </w:r>
    </w:p>
    <w:p w14:paraId="7B5C38A5" w14:textId="75939A64" w:rsidR="00922CE6" w:rsidRPr="00D84154" w:rsidRDefault="00922CE6"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Wprowadzane regulacje rozszerzą zakres współpracy również o możliwość weryfikacji przy współudziale innego właściwego organu antymonopolowego państwa członkowskiego UE</w:t>
      </w:r>
      <w:r w:rsidR="00B813DA">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czy przedsiębiorca dostosował się do czynności dochodzeniowych oraz obowiązku przekazywania niezbędnych informacji na żądanie organu, jak również</w:t>
      </w:r>
      <w:r w:rsidR="00B813DA">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czy wykonuje on decyzje nakładane przez organ w związku ze stwierdzeniem naruszenia (m.in. dec</w:t>
      </w:r>
      <w:r w:rsidR="007A16D3">
        <w:rPr>
          <w:rFonts w:ascii="Times New Roman" w:hAnsi="Times New Roman" w:cs="Times New Roman"/>
          <w:color w:val="000000" w:themeColor="text1"/>
          <w:sz w:val="24"/>
          <w:szCs w:val="24"/>
        </w:rPr>
        <w:t>yzje stwierdzające naruszenie i </w:t>
      </w:r>
      <w:r w:rsidRPr="00D84154">
        <w:rPr>
          <w:rFonts w:ascii="Times New Roman" w:hAnsi="Times New Roman" w:cs="Times New Roman"/>
          <w:color w:val="000000" w:themeColor="text1"/>
          <w:sz w:val="24"/>
          <w:szCs w:val="24"/>
        </w:rPr>
        <w:t>nakazujące jego zaniechania, decyzje o środkach z</w:t>
      </w:r>
      <w:r w:rsidR="007A16D3">
        <w:rPr>
          <w:rFonts w:ascii="Times New Roman" w:hAnsi="Times New Roman" w:cs="Times New Roman"/>
          <w:color w:val="000000" w:themeColor="text1"/>
          <w:sz w:val="24"/>
          <w:szCs w:val="24"/>
        </w:rPr>
        <w:t>aradczych, decyzje tymczasowe i </w:t>
      </w:r>
      <w:r w:rsidRPr="00D84154">
        <w:rPr>
          <w:rFonts w:ascii="Times New Roman" w:hAnsi="Times New Roman" w:cs="Times New Roman"/>
          <w:color w:val="000000" w:themeColor="text1"/>
          <w:sz w:val="24"/>
          <w:szCs w:val="24"/>
        </w:rPr>
        <w:t>zobowiązaniowe). Zgodnie z projektowanym w ustawie art. 105r Prezes UOKiK bez wszczynania odrębnego postępowania, na wniosek organu ochrony konkurencji konsumentów państwa członkowskiego UE, działając w imieniu i na potrzeby tego organu, będzie mógł podejmować niezbędne działania w celu ustalenia</w:t>
      </w:r>
      <w:r w:rsidR="00B813DA">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czy przedsiębiorcy lub związki przedsiębiorców dostosowali się do czynności dochodzeniowych lub decyzji podejmowanych przez ten organ na podstawie przepisów krajowych wdrażających art. 6 i 8</w:t>
      </w:r>
      <w:r w:rsidR="00B813DA">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12 dyrektywy . Działania te obejmą:</w:t>
      </w:r>
    </w:p>
    <w:p w14:paraId="1BF6119F" w14:textId="1B7175DD" w:rsidR="00922CE6" w:rsidRPr="00D84154" w:rsidRDefault="00FA39BF" w:rsidP="00FA39BF">
      <w:pPr>
        <w:spacing w:before="120" w:after="0" w:line="36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ab/>
      </w:r>
      <w:r w:rsidR="00922CE6" w:rsidRPr="00D84154">
        <w:rPr>
          <w:rFonts w:ascii="Times New Roman" w:hAnsi="Times New Roman" w:cs="Times New Roman"/>
          <w:color w:val="000000" w:themeColor="text1"/>
          <w:sz w:val="24"/>
          <w:szCs w:val="24"/>
        </w:rPr>
        <w:t xml:space="preserve">przeprowadzenie kontroli, o której mowa w art. 105a </w:t>
      </w:r>
      <w:r w:rsidR="009E3B1C" w:rsidRPr="00D84154">
        <w:rPr>
          <w:rFonts w:ascii="Times New Roman" w:hAnsi="Times New Roman" w:cs="Times New Roman"/>
          <w:color w:val="000000" w:themeColor="text1"/>
          <w:sz w:val="24"/>
          <w:szCs w:val="24"/>
        </w:rPr>
        <w:t>u</w:t>
      </w:r>
      <w:r w:rsidR="00922CE6" w:rsidRPr="00D84154">
        <w:rPr>
          <w:rFonts w:ascii="Times New Roman" w:hAnsi="Times New Roman" w:cs="Times New Roman"/>
          <w:color w:val="000000" w:themeColor="text1"/>
          <w:sz w:val="24"/>
          <w:szCs w:val="24"/>
        </w:rPr>
        <w:t>stawy;</w:t>
      </w:r>
    </w:p>
    <w:p w14:paraId="4A0EC805" w14:textId="126C24B6" w:rsidR="00922CE6" w:rsidRPr="00D84154" w:rsidRDefault="00FA39BF" w:rsidP="00FA39BF">
      <w:pPr>
        <w:spacing w:before="120" w:after="0" w:line="36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w:t>
      </w:r>
      <w:r>
        <w:rPr>
          <w:rFonts w:ascii="Times New Roman" w:hAnsi="Times New Roman" w:cs="Times New Roman"/>
          <w:color w:val="000000" w:themeColor="text1"/>
          <w:sz w:val="24"/>
          <w:szCs w:val="24"/>
        </w:rPr>
        <w:tab/>
      </w:r>
      <w:r w:rsidR="00922CE6" w:rsidRPr="00D84154">
        <w:rPr>
          <w:rFonts w:ascii="Times New Roman" w:hAnsi="Times New Roman" w:cs="Times New Roman"/>
          <w:color w:val="000000" w:themeColor="text1"/>
          <w:sz w:val="24"/>
          <w:szCs w:val="24"/>
        </w:rPr>
        <w:t xml:space="preserve">przeprowadzenie przeszukania, o którym mowa w art. 91 lub </w:t>
      </w:r>
      <w:r w:rsidR="009E3B1C" w:rsidRPr="00D84154">
        <w:rPr>
          <w:rFonts w:ascii="Times New Roman" w:hAnsi="Times New Roman" w:cs="Times New Roman"/>
          <w:color w:val="000000" w:themeColor="text1"/>
          <w:sz w:val="24"/>
          <w:szCs w:val="24"/>
        </w:rPr>
        <w:t xml:space="preserve">art. </w:t>
      </w:r>
      <w:r w:rsidR="00922CE6" w:rsidRPr="00D84154">
        <w:rPr>
          <w:rFonts w:ascii="Times New Roman" w:hAnsi="Times New Roman" w:cs="Times New Roman"/>
          <w:color w:val="000000" w:themeColor="text1"/>
          <w:sz w:val="24"/>
          <w:szCs w:val="24"/>
        </w:rPr>
        <w:t xml:space="preserve">105n </w:t>
      </w:r>
      <w:r w:rsidR="009E3B1C" w:rsidRPr="00D84154">
        <w:rPr>
          <w:rFonts w:ascii="Times New Roman" w:hAnsi="Times New Roman" w:cs="Times New Roman"/>
          <w:color w:val="000000" w:themeColor="text1"/>
          <w:sz w:val="24"/>
          <w:szCs w:val="24"/>
        </w:rPr>
        <w:t>u</w:t>
      </w:r>
      <w:r w:rsidR="00922CE6" w:rsidRPr="00D84154">
        <w:rPr>
          <w:rFonts w:ascii="Times New Roman" w:hAnsi="Times New Roman" w:cs="Times New Roman"/>
          <w:color w:val="000000" w:themeColor="text1"/>
          <w:sz w:val="24"/>
          <w:szCs w:val="24"/>
        </w:rPr>
        <w:t>stawy;</w:t>
      </w:r>
    </w:p>
    <w:p w14:paraId="341C37B1" w14:textId="11455D90" w:rsidR="00922CE6" w:rsidRPr="00D84154" w:rsidRDefault="00922CE6" w:rsidP="00FA39BF">
      <w:pPr>
        <w:spacing w:before="120" w:after="0" w:line="360" w:lineRule="auto"/>
        <w:ind w:left="567" w:hanging="567"/>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3)</w:t>
      </w:r>
      <w:r w:rsidR="00FA39BF">
        <w:rPr>
          <w:rFonts w:ascii="Times New Roman" w:hAnsi="Times New Roman" w:cs="Times New Roman"/>
          <w:color w:val="000000" w:themeColor="text1"/>
          <w:sz w:val="24"/>
          <w:szCs w:val="24"/>
        </w:rPr>
        <w:tab/>
      </w:r>
      <w:r w:rsidR="00132E11" w:rsidRPr="00D84154">
        <w:rPr>
          <w:rFonts w:ascii="Times New Roman" w:hAnsi="Times New Roman" w:cs="Times New Roman"/>
          <w:color w:val="000000" w:themeColor="text1"/>
          <w:sz w:val="24"/>
          <w:szCs w:val="24"/>
        </w:rPr>
        <w:t>żądanie od przedsiębiorców przekazywania wsz</w:t>
      </w:r>
      <w:r w:rsidR="007A16D3">
        <w:rPr>
          <w:rFonts w:ascii="Times New Roman" w:hAnsi="Times New Roman" w:cs="Times New Roman"/>
          <w:color w:val="000000" w:themeColor="text1"/>
          <w:sz w:val="24"/>
          <w:szCs w:val="24"/>
        </w:rPr>
        <w:t>elkich koniecznych informacji i </w:t>
      </w:r>
      <w:r w:rsidR="00132E11" w:rsidRPr="00D84154">
        <w:rPr>
          <w:rFonts w:ascii="Times New Roman" w:hAnsi="Times New Roman" w:cs="Times New Roman"/>
          <w:color w:val="000000" w:themeColor="text1"/>
          <w:sz w:val="24"/>
          <w:szCs w:val="24"/>
        </w:rPr>
        <w:t>dokumentów</w:t>
      </w:r>
      <w:r w:rsidRPr="00D84154">
        <w:rPr>
          <w:rFonts w:ascii="Times New Roman" w:hAnsi="Times New Roman" w:cs="Times New Roman"/>
          <w:color w:val="000000" w:themeColor="text1"/>
          <w:sz w:val="24"/>
          <w:szCs w:val="24"/>
        </w:rPr>
        <w:t xml:space="preserve">, o których mowa w art. 50 </w:t>
      </w:r>
      <w:r w:rsidR="009E3B1C" w:rsidRPr="00D84154">
        <w:rPr>
          <w:rFonts w:ascii="Times New Roman" w:hAnsi="Times New Roman" w:cs="Times New Roman"/>
          <w:color w:val="000000" w:themeColor="text1"/>
          <w:sz w:val="24"/>
          <w:szCs w:val="24"/>
        </w:rPr>
        <w:t>u</w:t>
      </w:r>
      <w:r w:rsidRPr="00D84154">
        <w:rPr>
          <w:rFonts w:ascii="Times New Roman" w:hAnsi="Times New Roman" w:cs="Times New Roman"/>
          <w:color w:val="000000" w:themeColor="text1"/>
          <w:sz w:val="24"/>
          <w:szCs w:val="24"/>
        </w:rPr>
        <w:t>stawy;</w:t>
      </w:r>
    </w:p>
    <w:p w14:paraId="39914CE7" w14:textId="3F976015" w:rsidR="00922CE6" w:rsidRPr="00D84154" w:rsidRDefault="00FA39BF" w:rsidP="00FA39BF">
      <w:pPr>
        <w:spacing w:before="120" w:after="0" w:line="36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ab/>
      </w:r>
      <w:r w:rsidR="00922CE6" w:rsidRPr="00D84154">
        <w:rPr>
          <w:rFonts w:ascii="Times New Roman" w:hAnsi="Times New Roman" w:cs="Times New Roman"/>
          <w:color w:val="000000" w:themeColor="text1"/>
          <w:sz w:val="24"/>
          <w:szCs w:val="24"/>
        </w:rPr>
        <w:t>wezwanie świadka;</w:t>
      </w:r>
    </w:p>
    <w:p w14:paraId="34D818EA" w14:textId="53BA8544" w:rsidR="00922CE6" w:rsidRPr="00D84154" w:rsidRDefault="001B403B" w:rsidP="00FA39BF">
      <w:pPr>
        <w:spacing w:before="120" w:after="0" w:line="360" w:lineRule="auto"/>
        <w:ind w:left="567" w:hanging="567"/>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5</w:t>
      </w:r>
      <w:r w:rsidR="00FA39BF">
        <w:rPr>
          <w:rFonts w:ascii="Times New Roman" w:hAnsi="Times New Roman" w:cs="Times New Roman"/>
          <w:color w:val="000000" w:themeColor="text1"/>
          <w:sz w:val="24"/>
          <w:szCs w:val="24"/>
        </w:rPr>
        <w:t>)</w:t>
      </w:r>
      <w:r w:rsidR="00FA39BF">
        <w:rPr>
          <w:rFonts w:ascii="Times New Roman" w:hAnsi="Times New Roman" w:cs="Times New Roman"/>
          <w:color w:val="000000" w:themeColor="text1"/>
          <w:sz w:val="24"/>
          <w:szCs w:val="24"/>
        </w:rPr>
        <w:tab/>
      </w:r>
      <w:r w:rsidR="00922CE6" w:rsidRPr="00D84154">
        <w:rPr>
          <w:rFonts w:ascii="Times New Roman" w:hAnsi="Times New Roman" w:cs="Times New Roman"/>
          <w:color w:val="000000" w:themeColor="text1"/>
          <w:sz w:val="24"/>
          <w:szCs w:val="24"/>
        </w:rPr>
        <w:t>wystąpienie do sądu o przesłuchanie świadków.</w:t>
      </w:r>
    </w:p>
    <w:p w14:paraId="61409CC7" w14:textId="77AB0D67" w:rsidR="00922CE6" w:rsidRPr="00D84154" w:rsidRDefault="00922CE6"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Projekt przewid</w:t>
      </w:r>
      <w:r w:rsidR="009E3B1C" w:rsidRPr="00D84154">
        <w:rPr>
          <w:rFonts w:ascii="Times New Roman" w:hAnsi="Times New Roman" w:cs="Times New Roman"/>
          <w:color w:val="000000" w:themeColor="text1"/>
          <w:sz w:val="24"/>
          <w:szCs w:val="24"/>
        </w:rPr>
        <w:t>uje także</w:t>
      </w:r>
      <w:r w:rsidRPr="00D84154">
        <w:rPr>
          <w:rFonts w:ascii="Times New Roman" w:hAnsi="Times New Roman" w:cs="Times New Roman"/>
          <w:color w:val="000000" w:themeColor="text1"/>
          <w:sz w:val="24"/>
          <w:szCs w:val="24"/>
        </w:rPr>
        <w:t>, że informacje uzyskane w wyniku działań, podjętych na wniosek innego organu, Prezes Urzędu przekazuje niezwłocznie temu organowi.</w:t>
      </w:r>
    </w:p>
    <w:p w14:paraId="06CB5AFC" w14:textId="7901BC75" w:rsidR="00922CE6" w:rsidRPr="00D84154" w:rsidRDefault="00FA39BF" w:rsidP="00FA39BF">
      <w:pPr>
        <w:spacing w:before="120" w:after="0" w:line="360" w:lineRule="auto"/>
        <w:ind w:left="284" w:hanging="28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ab/>
      </w:r>
      <w:r w:rsidR="00922CE6" w:rsidRPr="00D84154">
        <w:rPr>
          <w:rFonts w:ascii="Times New Roman" w:hAnsi="Times New Roman" w:cs="Times New Roman"/>
          <w:b/>
          <w:color w:val="000000" w:themeColor="text1"/>
          <w:sz w:val="24"/>
          <w:szCs w:val="24"/>
        </w:rPr>
        <w:t>współpraca dotycząca notyfikacji</w:t>
      </w:r>
    </w:p>
    <w:p w14:paraId="426E1D1C" w14:textId="1876F000" w:rsidR="00922CE6" w:rsidRPr="00D84154" w:rsidRDefault="00922CE6"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Konieczne jest wprowadzenie nowego działu (VIIA) do </w:t>
      </w:r>
      <w:r w:rsidR="009E3B1C" w:rsidRPr="00D84154">
        <w:rPr>
          <w:rFonts w:ascii="Times New Roman" w:hAnsi="Times New Roman" w:cs="Times New Roman"/>
          <w:color w:val="000000" w:themeColor="text1"/>
          <w:sz w:val="24"/>
          <w:szCs w:val="24"/>
        </w:rPr>
        <w:t>u</w:t>
      </w:r>
      <w:r w:rsidRPr="00D84154">
        <w:rPr>
          <w:rFonts w:ascii="Times New Roman" w:hAnsi="Times New Roman" w:cs="Times New Roman"/>
          <w:color w:val="000000" w:themeColor="text1"/>
          <w:sz w:val="24"/>
          <w:szCs w:val="24"/>
        </w:rPr>
        <w:t xml:space="preserve">stawy, w którym </w:t>
      </w:r>
      <w:r w:rsidR="00B813DA" w:rsidRPr="00D84154">
        <w:rPr>
          <w:rFonts w:ascii="Times New Roman" w:hAnsi="Times New Roman" w:cs="Times New Roman"/>
          <w:color w:val="000000" w:themeColor="text1"/>
          <w:sz w:val="24"/>
          <w:szCs w:val="24"/>
        </w:rPr>
        <w:t xml:space="preserve">będą </w:t>
      </w:r>
      <w:r w:rsidRPr="00D84154">
        <w:rPr>
          <w:rFonts w:ascii="Times New Roman" w:hAnsi="Times New Roman" w:cs="Times New Roman"/>
          <w:color w:val="000000" w:themeColor="text1"/>
          <w:sz w:val="24"/>
          <w:szCs w:val="24"/>
        </w:rPr>
        <w:t xml:space="preserve">zawarte przepisy stanowiące transpozycję regulacji </w:t>
      </w:r>
      <w:r w:rsidR="009E3B1C"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yrektywy dotyczące wzajemnej pomocy, w tym wzajemnej pomocy</w:t>
      </w:r>
      <w:r w:rsidR="00F65A77">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w zakresie notyfikacji.</w:t>
      </w:r>
      <w:r w:rsidR="00F65A77">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Zgodnie z projektowanymi rozwiązaniami Prezes Urzędu na wniosek i w imieniu innego organu ochrony konkurencji państwa członkowskiego Unii Europejskiej będzie powiadamiać podmiot wskazany w tym wniosku o:</w:t>
      </w:r>
    </w:p>
    <w:p w14:paraId="155F916B" w14:textId="0EE3019A" w:rsidR="00922CE6" w:rsidRPr="00D84154" w:rsidRDefault="00FA39BF" w:rsidP="00FA39BF">
      <w:pPr>
        <w:spacing w:before="120" w:after="0" w:line="36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ab/>
      </w:r>
      <w:r w:rsidR="00922CE6" w:rsidRPr="00D84154">
        <w:rPr>
          <w:rFonts w:ascii="Times New Roman" w:hAnsi="Times New Roman" w:cs="Times New Roman"/>
          <w:color w:val="000000" w:themeColor="text1"/>
          <w:sz w:val="24"/>
          <w:szCs w:val="24"/>
        </w:rPr>
        <w:t xml:space="preserve">wstępnych zastrzeżeniach dotyczących domniemanego naruszenia art. 101 lub </w:t>
      </w:r>
      <w:r w:rsidR="007A16D3">
        <w:rPr>
          <w:rFonts w:ascii="Times New Roman" w:hAnsi="Times New Roman" w:cs="Times New Roman"/>
          <w:color w:val="000000" w:themeColor="text1"/>
          <w:sz w:val="24"/>
          <w:szCs w:val="24"/>
        </w:rPr>
        <w:t>art. </w:t>
      </w:r>
      <w:r w:rsidR="00922CE6" w:rsidRPr="00D84154">
        <w:rPr>
          <w:rFonts w:ascii="Times New Roman" w:hAnsi="Times New Roman" w:cs="Times New Roman"/>
          <w:color w:val="000000" w:themeColor="text1"/>
          <w:sz w:val="24"/>
          <w:szCs w:val="24"/>
        </w:rPr>
        <w:t>102 TFUE lub decyzjach wydanych w zastosowaniu tych przepisów;</w:t>
      </w:r>
    </w:p>
    <w:p w14:paraId="0E5A6BF9" w14:textId="6ECDEED3" w:rsidR="00922CE6" w:rsidRPr="00D84154" w:rsidRDefault="00FA39BF" w:rsidP="00FA39BF">
      <w:pPr>
        <w:spacing w:before="120" w:after="0" w:line="36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ab/>
      </w:r>
      <w:r w:rsidR="00922CE6" w:rsidRPr="00D84154">
        <w:rPr>
          <w:rFonts w:ascii="Times New Roman" w:hAnsi="Times New Roman" w:cs="Times New Roman"/>
          <w:color w:val="000000" w:themeColor="text1"/>
          <w:sz w:val="24"/>
          <w:szCs w:val="24"/>
        </w:rPr>
        <w:t xml:space="preserve">aktach proceduralnych przyjętych w kontekście postępowania w sprawie stosowania prawa dotyczącego stosowania art. 101 lub </w:t>
      </w:r>
      <w:r w:rsidR="009E3B1C" w:rsidRPr="00D84154">
        <w:rPr>
          <w:rFonts w:ascii="Times New Roman" w:hAnsi="Times New Roman" w:cs="Times New Roman"/>
          <w:color w:val="000000" w:themeColor="text1"/>
          <w:sz w:val="24"/>
          <w:szCs w:val="24"/>
        </w:rPr>
        <w:t xml:space="preserve">art. </w:t>
      </w:r>
      <w:r w:rsidR="00922CE6" w:rsidRPr="00D84154">
        <w:rPr>
          <w:rFonts w:ascii="Times New Roman" w:hAnsi="Times New Roman" w:cs="Times New Roman"/>
          <w:color w:val="000000" w:themeColor="text1"/>
          <w:sz w:val="24"/>
          <w:szCs w:val="24"/>
        </w:rPr>
        <w:t>102 TFUE, które podlegają notyfikacji zgodnie z przepisami państwa członkowskiego UE, którego organ ochrony konkurencji składa do Prezesa Urzędu odnośny wniosek,</w:t>
      </w:r>
    </w:p>
    <w:p w14:paraId="3DECE87A" w14:textId="54146BB9" w:rsidR="00922CE6" w:rsidRPr="00D84154" w:rsidRDefault="00FA39BF" w:rsidP="00FA39BF">
      <w:pPr>
        <w:spacing w:before="120" w:after="0" w:line="36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ab/>
      </w:r>
      <w:r w:rsidR="00922CE6" w:rsidRPr="00D84154">
        <w:rPr>
          <w:rFonts w:ascii="Times New Roman" w:hAnsi="Times New Roman" w:cs="Times New Roman"/>
          <w:color w:val="000000" w:themeColor="text1"/>
          <w:sz w:val="24"/>
          <w:szCs w:val="24"/>
        </w:rPr>
        <w:t xml:space="preserve">innych istotnych dokumentach dotyczących stosowania art. 101 lub </w:t>
      </w:r>
      <w:r w:rsidR="009E3B1C" w:rsidRPr="00D84154">
        <w:rPr>
          <w:rFonts w:ascii="Times New Roman" w:hAnsi="Times New Roman" w:cs="Times New Roman"/>
          <w:color w:val="000000" w:themeColor="text1"/>
          <w:sz w:val="24"/>
          <w:szCs w:val="24"/>
        </w:rPr>
        <w:t xml:space="preserve">art. </w:t>
      </w:r>
      <w:r w:rsidR="007A16D3">
        <w:rPr>
          <w:rFonts w:ascii="Times New Roman" w:hAnsi="Times New Roman" w:cs="Times New Roman"/>
          <w:color w:val="000000" w:themeColor="text1"/>
          <w:sz w:val="24"/>
          <w:szCs w:val="24"/>
        </w:rPr>
        <w:t>102 TFUE, w </w:t>
      </w:r>
      <w:r w:rsidR="00922CE6" w:rsidRPr="00D84154">
        <w:rPr>
          <w:rFonts w:ascii="Times New Roman" w:hAnsi="Times New Roman" w:cs="Times New Roman"/>
          <w:color w:val="000000" w:themeColor="text1"/>
          <w:sz w:val="24"/>
          <w:szCs w:val="24"/>
        </w:rPr>
        <w:t>tym o dokumentach dotyczących egzekwowania decyzji o nałożeniu kar lub okresowych kar pieniężnych.</w:t>
      </w:r>
    </w:p>
    <w:p w14:paraId="449F72ED" w14:textId="03F73372" w:rsidR="00922CE6" w:rsidRPr="00D84154" w:rsidRDefault="00922CE6"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W dziale VIIA zostaną także zawarte przepisy o wykonywaniu przez Prezesa UOKiK ww. wniosku bez zbędnej zwłoki w oparciu o tzw. jednolity instrument, którego elementy zostały wskazane w art. 26 </w:t>
      </w:r>
      <w:r w:rsidR="009E3B1C"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yrektywy. Warunkiem realizacji wniosku jest sporządzenie go i przesłanie w języku polskim lub innym, uprzednio uzgodnionym przez Prezesa UOKiK i organ wnioskujący. Prezes UOKiK w przypadku niejasności będzie mógł zwracać się do organu wnioskującego o przedstawienie dodatkowych informacji niezbędnych do realizacji wniosku. Odmowa wykonania wniosku będzie możliwa wyłącznie</w:t>
      </w:r>
      <w:r w:rsidR="003B7FE6">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w przypadku gdy wniosek nie spełnia wymogów ustawowych (wynikających z brzmienia </w:t>
      </w:r>
      <w:r w:rsidR="009E3B1C"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 xml:space="preserve">yrektywy), które mają charakter </w:t>
      </w:r>
      <w:r w:rsidRPr="00D84154">
        <w:rPr>
          <w:rFonts w:ascii="Times New Roman" w:hAnsi="Times New Roman" w:cs="Times New Roman"/>
          <w:color w:val="000000" w:themeColor="text1"/>
          <w:sz w:val="24"/>
          <w:szCs w:val="24"/>
        </w:rPr>
        <w:lastRenderedPageBreak/>
        <w:t>obligatoryjny</w:t>
      </w:r>
      <w:r w:rsidR="00AA56B6">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lub gdy jego wykonanie jest jawnie sprzeczne z porządkiem prawnym Rzeczypospolitej Polskiej.</w:t>
      </w:r>
    </w:p>
    <w:p w14:paraId="3408C970" w14:textId="4A16AF4F" w:rsidR="00922CE6" w:rsidRPr="00D84154" w:rsidRDefault="00922CE6"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Projekt ustawy zakłada </w:t>
      </w:r>
      <w:r w:rsidR="009E3B1C" w:rsidRPr="00D84154">
        <w:rPr>
          <w:rFonts w:ascii="Times New Roman" w:hAnsi="Times New Roman" w:cs="Times New Roman"/>
          <w:color w:val="000000" w:themeColor="text1"/>
          <w:sz w:val="24"/>
          <w:szCs w:val="24"/>
        </w:rPr>
        <w:t xml:space="preserve">wprowadzenie </w:t>
      </w:r>
      <w:r w:rsidRPr="00D84154">
        <w:rPr>
          <w:rFonts w:ascii="Times New Roman" w:hAnsi="Times New Roman" w:cs="Times New Roman"/>
          <w:color w:val="000000" w:themeColor="text1"/>
          <w:sz w:val="24"/>
          <w:szCs w:val="24"/>
        </w:rPr>
        <w:t>możliwoś</w:t>
      </w:r>
      <w:r w:rsidR="009E3B1C" w:rsidRPr="00D84154">
        <w:rPr>
          <w:rFonts w:ascii="Times New Roman" w:hAnsi="Times New Roman" w:cs="Times New Roman"/>
          <w:color w:val="000000" w:themeColor="text1"/>
          <w:sz w:val="24"/>
          <w:szCs w:val="24"/>
        </w:rPr>
        <w:t>ci</w:t>
      </w:r>
      <w:r w:rsidRPr="00D84154">
        <w:rPr>
          <w:rFonts w:ascii="Times New Roman" w:hAnsi="Times New Roman" w:cs="Times New Roman"/>
          <w:color w:val="000000" w:themeColor="text1"/>
          <w:sz w:val="24"/>
          <w:szCs w:val="24"/>
        </w:rPr>
        <w:t xml:space="preserve"> wystąpienia do organu składającego wniosek o pokrycie kosztów działań związanych z realizacją wniosku, w tym kosztów tłumaczeń, pracy i kosztów administracyjnych.</w:t>
      </w:r>
    </w:p>
    <w:p w14:paraId="50249146" w14:textId="035B133F" w:rsidR="00922CE6" w:rsidRPr="00D84154" w:rsidRDefault="00922CE6"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Przewiduje się także, że w projektowanym dziale VIIA znajdzie </w:t>
      </w:r>
      <w:r w:rsidR="009E3B1C" w:rsidRPr="00D84154">
        <w:rPr>
          <w:rFonts w:ascii="Times New Roman" w:hAnsi="Times New Roman" w:cs="Times New Roman"/>
          <w:color w:val="000000" w:themeColor="text1"/>
          <w:sz w:val="24"/>
          <w:szCs w:val="24"/>
        </w:rPr>
        <w:t xml:space="preserve">się </w:t>
      </w:r>
      <w:r w:rsidRPr="00D84154">
        <w:rPr>
          <w:rFonts w:ascii="Times New Roman" w:hAnsi="Times New Roman" w:cs="Times New Roman"/>
          <w:color w:val="000000" w:themeColor="text1"/>
          <w:sz w:val="24"/>
          <w:szCs w:val="24"/>
        </w:rPr>
        <w:t>ustawowa podstawa do występowania przez Prezesa UOKiK z wnioskiem o udzielenie pomocy przez inny organ ochrony konkurencji państwa członkowskiego UE, w tym w zakresie powiadamiania w imieniu Prezesa UOKiK podmiotów</w:t>
      </w:r>
      <w:r w:rsidR="003B396A">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w stosunku do których Prezes Urzędu podjął czynności w ramach sprawowania kontroli nad przestrzeganiem przez przedsiębiorców art. 101 lub art. 102 TFUE, o decyzjach, postanowieniach oraz innych dokumentach dotyczących stosowania art. 101 lub art. 102 TFUE, w tym dokumentach dotyczących egzekwowania decyzji o nałożeniu kar pieniężnych lub okresowych kar pieniężnych, których adresatami są te podmioty.</w:t>
      </w:r>
    </w:p>
    <w:p w14:paraId="25E5FE20" w14:textId="55EC55E2" w:rsidR="00922CE6" w:rsidRPr="00D84154" w:rsidRDefault="00922CE6"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Wniosek Prezesa UOKiK o udzielenie pomocy będzie realizowany za pośrednictwem jednolitego instrumentu, w projektowanych przepisach działu VIIA znajdą się także regulacje dotyczące obowiązku sporządzania tłumaczeń dokumentów na język obcy na potrzeby rozpatrzenia wniosku przez organ, do </w:t>
      </w:r>
      <w:r w:rsidR="008C70F0" w:rsidRPr="00D84154">
        <w:rPr>
          <w:rFonts w:ascii="Times New Roman" w:hAnsi="Times New Roman" w:cs="Times New Roman"/>
          <w:color w:val="000000" w:themeColor="text1"/>
          <w:sz w:val="24"/>
          <w:szCs w:val="24"/>
        </w:rPr>
        <w:t xml:space="preserve">którego </w:t>
      </w:r>
      <w:r w:rsidRPr="00D84154">
        <w:rPr>
          <w:rFonts w:ascii="Times New Roman" w:hAnsi="Times New Roman" w:cs="Times New Roman"/>
          <w:color w:val="000000" w:themeColor="text1"/>
          <w:sz w:val="24"/>
          <w:szCs w:val="24"/>
        </w:rPr>
        <w:t>występuje Prezes UOKiK</w:t>
      </w:r>
      <w:r w:rsidR="003B396A">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oraz o kosztach</w:t>
      </w:r>
      <w:r w:rsidR="00730EA3" w:rsidRPr="00D84154">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jakie ponosi Prezes </w:t>
      </w:r>
      <w:r w:rsidR="00B753E3" w:rsidRPr="00D84154">
        <w:rPr>
          <w:rFonts w:ascii="Times New Roman" w:hAnsi="Times New Roman" w:cs="Times New Roman"/>
          <w:color w:val="000000" w:themeColor="text1"/>
          <w:sz w:val="24"/>
          <w:szCs w:val="24"/>
        </w:rPr>
        <w:t xml:space="preserve">UOKiK </w:t>
      </w:r>
      <w:r w:rsidRPr="00D84154">
        <w:rPr>
          <w:rFonts w:ascii="Times New Roman" w:hAnsi="Times New Roman" w:cs="Times New Roman"/>
          <w:color w:val="000000" w:themeColor="text1"/>
          <w:sz w:val="24"/>
          <w:szCs w:val="24"/>
        </w:rPr>
        <w:t>w związku z realizacją takiego wniosku.</w:t>
      </w:r>
    </w:p>
    <w:p w14:paraId="0352E759" w14:textId="14D140C9" w:rsidR="00922CE6" w:rsidRPr="00D84154" w:rsidRDefault="00FA39BF" w:rsidP="00FA39BF">
      <w:pPr>
        <w:spacing w:before="120" w:after="0" w:line="360" w:lineRule="auto"/>
        <w:ind w:left="284" w:hanging="28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ab/>
      </w:r>
      <w:r w:rsidR="00922CE6" w:rsidRPr="00D84154">
        <w:rPr>
          <w:rFonts w:ascii="Times New Roman" w:hAnsi="Times New Roman" w:cs="Times New Roman"/>
          <w:b/>
          <w:color w:val="000000" w:themeColor="text1"/>
          <w:sz w:val="24"/>
          <w:szCs w:val="24"/>
        </w:rPr>
        <w:t>współpraca w zakresie egzekucji decyzji o nałożeniu kar pieniężnych</w:t>
      </w:r>
    </w:p>
    <w:p w14:paraId="1E81ED05" w14:textId="66107D4A" w:rsidR="00922CE6" w:rsidRPr="00D84154" w:rsidRDefault="00922CE6"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W projektowanym dziale VIIA </w:t>
      </w:r>
      <w:r w:rsidR="009E3B1C" w:rsidRPr="00D84154">
        <w:rPr>
          <w:rFonts w:ascii="Times New Roman" w:hAnsi="Times New Roman" w:cs="Times New Roman"/>
          <w:color w:val="000000" w:themeColor="text1"/>
          <w:sz w:val="24"/>
          <w:szCs w:val="24"/>
        </w:rPr>
        <w:t>u</w:t>
      </w:r>
      <w:r w:rsidRPr="00D84154">
        <w:rPr>
          <w:rFonts w:ascii="Times New Roman" w:hAnsi="Times New Roman" w:cs="Times New Roman"/>
          <w:color w:val="000000" w:themeColor="text1"/>
          <w:sz w:val="24"/>
          <w:szCs w:val="24"/>
        </w:rPr>
        <w:t xml:space="preserve">stawy zostaną także zawarte przepisy dotyczące wzajemnej </w:t>
      </w:r>
      <w:r w:rsidR="003B396A">
        <w:rPr>
          <w:rFonts w:ascii="Times New Roman" w:hAnsi="Times New Roman" w:cs="Times New Roman"/>
          <w:color w:val="000000" w:themeColor="text1"/>
          <w:sz w:val="24"/>
          <w:szCs w:val="24"/>
        </w:rPr>
        <w:t xml:space="preserve">pomocy </w:t>
      </w:r>
      <w:r w:rsidRPr="00D84154">
        <w:rPr>
          <w:rFonts w:ascii="Times New Roman" w:hAnsi="Times New Roman" w:cs="Times New Roman"/>
          <w:color w:val="000000" w:themeColor="text1"/>
          <w:sz w:val="24"/>
          <w:szCs w:val="24"/>
        </w:rPr>
        <w:t xml:space="preserve">w egzekucji kar nałożonych w związku z prowadzeniem postępowań w sprawie naruszenia art. 101 i </w:t>
      </w:r>
      <w:r w:rsidR="009E3B1C" w:rsidRPr="00D84154">
        <w:rPr>
          <w:rFonts w:ascii="Times New Roman" w:hAnsi="Times New Roman" w:cs="Times New Roman"/>
          <w:color w:val="000000" w:themeColor="text1"/>
          <w:sz w:val="24"/>
          <w:szCs w:val="24"/>
        </w:rPr>
        <w:t xml:space="preserve">art. </w:t>
      </w:r>
      <w:r w:rsidRPr="00D84154">
        <w:rPr>
          <w:rFonts w:ascii="Times New Roman" w:hAnsi="Times New Roman" w:cs="Times New Roman"/>
          <w:color w:val="000000" w:themeColor="text1"/>
          <w:sz w:val="24"/>
          <w:szCs w:val="24"/>
        </w:rPr>
        <w:t>102 TFUE. Regulacja ta będzie w istotnej części powielała rozwiązania przyjęte w ustawie z dnia 10 czerwca 2016 r. o delegowaniu pracowników w ramach świadczenia usług</w:t>
      </w:r>
      <w:r w:rsidR="00BE677A" w:rsidRPr="00D84154">
        <w:rPr>
          <w:rFonts w:ascii="Times New Roman" w:hAnsi="Times New Roman" w:cs="Times New Roman"/>
          <w:color w:val="000000" w:themeColor="text1"/>
          <w:sz w:val="24"/>
          <w:szCs w:val="24"/>
        </w:rPr>
        <w:t xml:space="preserve"> (Dz. U. z 20</w:t>
      </w:r>
      <w:r w:rsidR="00A02EB3" w:rsidRPr="00D84154">
        <w:rPr>
          <w:rFonts w:ascii="Times New Roman" w:hAnsi="Times New Roman" w:cs="Times New Roman"/>
          <w:color w:val="000000" w:themeColor="text1"/>
          <w:sz w:val="24"/>
          <w:szCs w:val="24"/>
        </w:rPr>
        <w:t>2</w:t>
      </w:r>
      <w:r w:rsidR="00BE677A" w:rsidRPr="00D84154">
        <w:rPr>
          <w:rFonts w:ascii="Times New Roman" w:hAnsi="Times New Roman" w:cs="Times New Roman"/>
          <w:color w:val="000000" w:themeColor="text1"/>
          <w:sz w:val="24"/>
          <w:szCs w:val="24"/>
        </w:rPr>
        <w:t>1 r. poz</w:t>
      </w:r>
      <w:r w:rsidR="00132E11" w:rsidRPr="00D84154">
        <w:rPr>
          <w:rFonts w:ascii="Times New Roman" w:hAnsi="Times New Roman" w:cs="Times New Roman"/>
          <w:color w:val="000000" w:themeColor="text1"/>
          <w:sz w:val="24"/>
          <w:szCs w:val="24"/>
        </w:rPr>
        <w:t>.</w:t>
      </w:r>
      <w:r w:rsidR="00BE677A" w:rsidRPr="00D84154">
        <w:rPr>
          <w:rFonts w:ascii="Times New Roman" w:hAnsi="Times New Roman" w:cs="Times New Roman"/>
          <w:color w:val="000000" w:themeColor="text1"/>
          <w:sz w:val="24"/>
          <w:szCs w:val="24"/>
        </w:rPr>
        <w:t xml:space="preserve"> </w:t>
      </w:r>
      <w:r w:rsidR="00A02EB3" w:rsidRPr="00D84154">
        <w:rPr>
          <w:rFonts w:ascii="Times New Roman" w:hAnsi="Times New Roman" w:cs="Times New Roman"/>
          <w:color w:val="000000" w:themeColor="text1"/>
          <w:sz w:val="24"/>
          <w:szCs w:val="24"/>
        </w:rPr>
        <w:t>1140</w:t>
      </w:r>
      <w:r w:rsidR="00BE677A" w:rsidRPr="00D84154">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wdrażającej dyrektywę </w:t>
      </w:r>
      <w:r w:rsidR="00DD573D" w:rsidRPr="00D84154">
        <w:rPr>
          <w:rFonts w:ascii="Times New Roman" w:hAnsi="Times New Roman" w:cs="Times New Roman"/>
          <w:color w:val="000000" w:themeColor="text1"/>
          <w:sz w:val="24"/>
          <w:szCs w:val="24"/>
        </w:rPr>
        <w:t xml:space="preserve">Parlamentu Europejskiego i Rady </w:t>
      </w:r>
      <w:r w:rsidRPr="00D84154">
        <w:rPr>
          <w:rFonts w:ascii="Times New Roman" w:hAnsi="Times New Roman" w:cs="Times New Roman"/>
          <w:color w:val="000000" w:themeColor="text1"/>
          <w:sz w:val="24"/>
          <w:szCs w:val="24"/>
        </w:rPr>
        <w:t>2014/67</w:t>
      </w:r>
      <w:r w:rsidR="00490438" w:rsidRPr="00D84154">
        <w:rPr>
          <w:rFonts w:ascii="Times New Roman" w:hAnsi="Times New Roman" w:cs="Times New Roman"/>
          <w:color w:val="000000" w:themeColor="text1"/>
          <w:sz w:val="24"/>
          <w:szCs w:val="24"/>
        </w:rPr>
        <w:t>/UE</w:t>
      </w:r>
      <w:r w:rsidRPr="00D84154">
        <w:rPr>
          <w:rFonts w:ascii="Times New Roman" w:hAnsi="Times New Roman" w:cs="Times New Roman"/>
          <w:color w:val="000000" w:themeColor="text1"/>
          <w:sz w:val="24"/>
          <w:szCs w:val="24"/>
        </w:rPr>
        <w:t xml:space="preserve"> </w:t>
      </w:r>
      <w:r w:rsidR="00DD573D" w:rsidRPr="00D84154">
        <w:rPr>
          <w:rFonts w:ascii="Times New Roman" w:hAnsi="Times New Roman" w:cs="Times New Roman"/>
          <w:color w:val="000000" w:themeColor="text1"/>
          <w:sz w:val="24"/>
          <w:szCs w:val="24"/>
        </w:rPr>
        <w:t xml:space="preserve">z dnia 15 maja 2014 r. </w:t>
      </w:r>
      <w:r w:rsidRPr="00D84154">
        <w:rPr>
          <w:rFonts w:ascii="Times New Roman" w:hAnsi="Times New Roman" w:cs="Times New Roman"/>
          <w:color w:val="000000" w:themeColor="text1"/>
          <w:sz w:val="24"/>
          <w:szCs w:val="24"/>
        </w:rPr>
        <w:t>w sprawie egzekwowania dyrektywy 96/71</w:t>
      </w:r>
      <w:r w:rsidR="00490438" w:rsidRPr="00D84154">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WE dotyczącej delegowania pracowników w ramach świadczenia usług</w:t>
      </w:r>
      <w:r w:rsidR="007A16D3">
        <w:rPr>
          <w:rFonts w:ascii="Times New Roman" w:hAnsi="Times New Roman" w:cs="Times New Roman"/>
          <w:color w:val="000000" w:themeColor="text1"/>
          <w:sz w:val="24"/>
          <w:szCs w:val="24"/>
        </w:rPr>
        <w:t xml:space="preserve"> (…) (Dz. </w:t>
      </w:r>
      <w:r w:rsidR="00DD573D" w:rsidRPr="00D84154">
        <w:rPr>
          <w:rFonts w:ascii="Times New Roman" w:hAnsi="Times New Roman" w:cs="Times New Roman"/>
          <w:color w:val="000000" w:themeColor="text1"/>
          <w:sz w:val="24"/>
          <w:szCs w:val="24"/>
        </w:rPr>
        <w:t>Urz. UE L 159 z 28.05.2014, str. 11)</w:t>
      </w:r>
      <w:r w:rsidRPr="00D84154">
        <w:rPr>
          <w:rFonts w:ascii="Times New Roman" w:hAnsi="Times New Roman" w:cs="Times New Roman"/>
          <w:color w:val="000000" w:themeColor="text1"/>
          <w:sz w:val="24"/>
          <w:szCs w:val="24"/>
        </w:rPr>
        <w:t xml:space="preserve">, w tym przepisy rozdziału VI w zakresie transgranicznego egzekwowania administracyjnych kar pieniężnych lub grzywien administracyjnych. </w:t>
      </w:r>
      <w:r w:rsidR="00DD573D" w:rsidRPr="00D84154">
        <w:rPr>
          <w:rFonts w:ascii="Times New Roman" w:hAnsi="Times New Roman" w:cs="Times New Roman"/>
          <w:color w:val="000000" w:themeColor="text1"/>
          <w:sz w:val="24"/>
          <w:szCs w:val="24"/>
        </w:rPr>
        <w:t>Ww. u</w:t>
      </w:r>
      <w:r w:rsidRPr="00D84154">
        <w:rPr>
          <w:rFonts w:ascii="Times New Roman" w:hAnsi="Times New Roman" w:cs="Times New Roman"/>
          <w:color w:val="000000" w:themeColor="text1"/>
          <w:sz w:val="24"/>
          <w:szCs w:val="24"/>
        </w:rPr>
        <w:t>stawa</w:t>
      </w:r>
      <w:r w:rsidR="00F65A77">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w art. 17</w:t>
      </w:r>
      <w:r w:rsidR="003B396A">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23 szczegółowo reguluje procedurę realizacji wniosków organów innych państw członkowskich </w:t>
      </w:r>
      <w:r w:rsidR="00DD573D" w:rsidRPr="00D84154">
        <w:rPr>
          <w:rFonts w:ascii="Times New Roman" w:hAnsi="Times New Roman" w:cs="Times New Roman"/>
          <w:color w:val="000000" w:themeColor="text1"/>
          <w:sz w:val="24"/>
          <w:szCs w:val="24"/>
        </w:rPr>
        <w:t xml:space="preserve">UE </w:t>
      </w:r>
      <w:r w:rsidRPr="00D84154">
        <w:rPr>
          <w:rFonts w:ascii="Times New Roman" w:hAnsi="Times New Roman" w:cs="Times New Roman"/>
          <w:color w:val="000000" w:themeColor="text1"/>
          <w:sz w:val="24"/>
          <w:szCs w:val="24"/>
        </w:rPr>
        <w:t>o powiadomienie właściwych podmiotów o decyzji o nałożeniu kary pieniężnej i wniosków o egzekucję takich kar.</w:t>
      </w:r>
    </w:p>
    <w:p w14:paraId="796E8852" w14:textId="523247C6" w:rsidR="00922CE6" w:rsidRPr="00D84154" w:rsidRDefault="00922CE6"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lastRenderedPageBreak/>
        <w:t xml:space="preserve">Regulacje proceduralne zawarte </w:t>
      </w:r>
      <w:r w:rsidR="003B396A">
        <w:rPr>
          <w:rFonts w:ascii="Times New Roman" w:hAnsi="Times New Roman" w:cs="Times New Roman"/>
          <w:color w:val="000000" w:themeColor="text1"/>
          <w:sz w:val="24"/>
          <w:szCs w:val="24"/>
        </w:rPr>
        <w:t xml:space="preserve">w </w:t>
      </w:r>
      <w:r w:rsidRPr="00D84154">
        <w:rPr>
          <w:rFonts w:ascii="Times New Roman" w:hAnsi="Times New Roman" w:cs="Times New Roman"/>
          <w:color w:val="000000" w:themeColor="text1"/>
          <w:sz w:val="24"/>
          <w:szCs w:val="24"/>
        </w:rPr>
        <w:t xml:space="preserve">projektowanym dziale VIIA ustawy </w:t>
      </w:r>
      <w:r w:rsidR="00730EA3" w:rsidRPr="00D84154">
        <w:rPr>
          <w:rFonts w:ascii="Times New Roman" w:hAnsi="Times New Roman" w:cs="Times New Roman"/>
          <w:color w:val="000000" w:themeColor="text1"/>
          <w:sz w:val="24"/>
          <w:szCs w:val="24"/>
        </w:rPr>
        <w:t>będą opierać się</w:t>
      </w:r>
      <w:r w:rsidR="00F65A77">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na następujących założeniach (wynikających zasadniczo</w:t>
      </w:r>
      <w:r w:rsidR="007A16D3">
        <w:rPr>
          <w:rFonts w:ascii="Times New Roman" w:hAnsi="Times New Roman" w:cs="Times New Roman"/>
          <w:color w:val="000000" w:themeColor="text1"/>
          <w:sz w:val="24"/>
          <w:szCs w:val="24"/>
        </w:rPr>
        <w:t xml:space="preserve"> wprost z brzmienia dyrektywy w </w:t>
      </w:r>
      <w:r w:rsidRPr="00D84154">
        <w:rPr>
          <w:rFonts w:ascii="Times New Roman" w:hAnsi="Times New Roman" w:cs="Times New Roman"/>
          <w:color w:val="000000" w:themeColor="text1"/>
          <w:sz w:val="24"/>
          <w:szCs w:val="24"/>
        </w:rPr>
        <w:t>powyższym zakresie):</w:t>
      </w:r>
    </w:p>
    <w:p w14:paraId="2070A8C7" w14:textId="1E16D6F1" w:rsidR="00922CE6" w:rsidRPr="00D84154" w:rsidRDefault="00AC563E" w:rsidP="00D84154">
      <w:pPr>
        <w:spacing w:before="120" w:after="0" w:line="360" w:lineRule="auto"/>
        <w:jc w:val="both"/>
        <w:rPr>
          <w:rFonts w:ascii="Times New Roman" w:hAnsi="Times New Roman" w:cs="Times New Roman"/>
          <w:b/>
          <w:bCs/>
          <w:color w:val="000000" w:themeColor="text1"/>
          <w:sz w:val="24"/>
          <w:szCs w:val="24"/>
        </w:rPr>
      </w:pPr>
      <w:r w:rsidRPr="00D84154">
        <w:rPr>
          <w:rFonts w:ascii="Times New Roman" w:hAnsi="Times New Roman" w:cs="Times New Roman"/>
          <w:b/>
          <w:bCs/>
          <w:color w:val="000000" w:themeColor="text1"/>
          <w:sz w:val="24"/>
          <w:szCs w:val="24"/>
        </w:rPr>
        <w:t>Realizacja</w:t>
      </w:r>
      <w:r w:rsidR="00922CE6" w:rsidRPr="00D84154">
        <w:rPr>
          <w:rFonts w:ascii="Times New Roman" w:hAnsi="Times New Roman" w:cs="Times New Roman"/>
          <w:b/>
          <w:bCs/>
          <w:color w:val="000000" w:themeColor="text1"/>
          <w:sz w:val="24"/>
          <w:szCs w:val="24"/>
        </w:rPr>
        <w:t xml:space="preserve"> wniosku o pomoc od</w:t>
      </w:r>
      <w:r w:rsidR="00F65A77">
        <w:rPr>
          <w:rFonts w:ascii="Times New Roman" w:hAnsi="Times New Roman" w:cs="Times New Roman"/>
          <w:b/>
          <w:bCs/>
          <w:color w:val="000000" w:themeColor="text1"/>
          <w:sz w:val="24"/>
          <w:szCs w:val="24"/>
        </w:rPr>
        <w:t xml:space="preserve"> </w:t>
      </w:r>
      <w:r w:rsidR="00922CE6" w:rsidRPr="00D84154">
        <w:rPr>
          <w:rFonts w:ascii="Times New Roman" w:hAnsi="Times New Roman" w:cs="Times New Roman"/>
          <w:b/>
          <w:bCs/>
          <w:color w:val="000000" w:themeColor="text1"/>
          <w:sz w:val="24"/>
          <w:szCs w:val="24"/>
        </w:rPr>
        <w:t>organu</w:t>
      </w:r>
      <w:r w:rsidRPr="00D84154">
        <w:rPr>
          <w:rFonts w:ascii="Times New Roman" w:hAnsi="Times New Roman" w:cs="Times New Roman"/>
          <w:b/>
          <w:bCs/>
          <w:color w:val="000000" w:themeColor="text1"/>
          <w:sz w:val="24"/>
          <w:szCs w:val="24"/>
        </w:rPr>
        <w:t xml:space="preserve"> innego państwa członkowskiego UE (projektowany art. </w:t>
      </w:r>
      <w:r w:rsidR="00CF5956" w:rsidRPr="00D84154">
        <w:rPr>
          <w:rFonts w:ascii="Times New Roman" w:hAnsi="Times New Roman" w:cs="Times New Roman"/>
          <w:b/>
          <w:bCs/>
          <w:color w:val="000000" w:themeColor="text1"/>
          <w:sz w:val="24"/>
          <w:szCs w:val="24"/>
        </w:rPr>
        <w:t>113</w:t>
      </w:r>
      <w:r w:rsidR="00140CDF" w:rsidRPr="00D84154">
        <w:rPr>
          <w:rFonts w:ascii="Times New Roman" w:hAnsi="Times New Roman" w:cs="Times New Roman"/>
          <w:b/>
          <w:bCs/>
          <w:color w:val="000000" w:themeColor="text1"/>
          <w:sz w:val="24"/>
          <w:szCs w:val="24"/>
        </w:rPr>
        <w:t>s</w:t>
      </w:r>
      <w:r w:rsidR="00CF5956" w:rsidRPr="00D84154">
        <w:rPr>
          <w:rFonts w:ascii="Times New Roman" w:hAnsi="Times New Roman" w:cs="Times New Roman"/>
          <w:b/>
          <w:bCs/>
          <w:color w:val="000000" w:themeColor="text1"/>
          <w:sz w:val="24"/>
          <w:szCs w:val="24"/>
        </w:rPr>
        <w:t xml:space="preserve"> </w:t>
      </w:r>
      <w:r w:rsidRPr="00D84154">
        <w:rPr>
          <w:rFonts w:ascii="Times New Roman" w:hAnsi="Times New Roman" w:cs="Times New Roman"/>
          <w:b/>
          <w:bCs/>
          <w:color w:val="000000" w:themeColor="text1"/>
          <w:sz w:val="24"/>
          <w:szCs w:val="24"/>
        </w:rPr>
        <w:t>ustawy)</w:t>
      </w:r>
    </w:p>
    <w:p w14:paraId="1D079EDB" w14:textId="56CA220A" w:rsidR="00922CE6" w:rsidRPr="00D84154" w:rsidRDefault="00922CE6"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1. Wniosek organu </w:t>
      </w:r>
      <w:r w:rsidR="00AC563E" w:rsidRPr="00D84154">
        <w:rPr>
          <w:rFonts w:ascii="Times New Roman" w:hAnsi="Times New Roman" w:cs="Times New Roman"/>
          <w:color w:val="000000" w:themeColor="text1"/>
          <w:sz w:val="24"/>
          <w:szCs w:val="24"/>
        </w:rPr>
        <w:t xml:space="preserve">innego państwa członkowskiego UE </w:t>
      </w:r>
      <w:r w:rsidR="0020123C" w:rsidRPr="00D84154">
        <w:rPr>
          <w:rFonts w:ascii="Times New Roman" w:hAnsi="Times New Roman" w:cs="Times New Roman"/>
          <w:color w:val="000000" w:themeColor="text1"/>
          <w:sz w:val="24"/>
          <w:szCs w:val="24"/>
        </w:rPr>
        <w:t>o wyegzekwowani</w:t>
      </w:r>
      <w:r w:rsidR="00EB4599" w:rsidRPr="00D84154">
        <w:rPr>
          <w:rFonts w:ascii="Times New Roman" w:hAnsi="Times New Roman" w:cs="Times New Roman"/>
          <w:color w:val="000000" w:themeColor="text1"/>
          <w:sz w:val="24"/>
          <w:szCs w:val="24"/>
        </w:rPr>
        <w:t xml:space="preserve">e kary </w:t>
      </w:r>
      <w:r w:rsidR="00E968C8" w:rsidRPr="00D84154">
        <w:rPr>
          <w:rFonts w:ascii="Times New Roman" w:hAnsi="Times New Roman" w:cs="Times New Roman"/>
          <w:color w:val="000000" w:themeColor="text1"/>
          <w:sz w:val="24"/>
          <w:szCs w:val="24"/>
        </w:rPr>
        <w:t xml:space="preserve">pieniężnej </w:t>
      </w:r>
      <w:r w:rsidR="00EB4599" w:rsidRPr="00D84154">
        <w:rPr>
          <w:rFonts w:ascii="Times New Roman" w:hAnsi="Times New Roman" w:cs="Times New Roman"/>
          <w:color w:val="000000" w:themeColor="text1"/>
          <w:sz w:val="24"/>
          <w:szCs w:val="24"/>
        </w:rPr>
        <w:t>lub okresowej kary pienię</w:t>
      </w:r>
      <w:r w:rsidR="0020123C" w:rsidRPr="00D84154">
        <w:rPr>
          <w:rFonts w:ascii="Times New Roman" w:hAnsi="Times New Roman" w:cs="Times New Roman"/>
          <w:color w:val="000000" w:themeColor="text1"/>
          <w:sz w:val="24"/>
          <w:szCs w:val="24"/>
        </w:rPr>
        <w:t xml:space="preserve">żnej </w:t>
      </w:r>
      <w:r w:rsidR="00AC563E" w:rsidRPr="00D84154">
        <w:rPr>
          <w:rFonts w:ascii="Times New Roman" w:hAnsi="Times New Roman" w:cs="Times New Roman"/>
          <w:color w:val="000000" w:themeColor="text1"/>
          <w:sz w:val="24"/>
          <w:szCs w:val="24"/>
        </w:rPr>
        <w:t xml:space="preserve">jest </w:t>
      </w:r>
      <w:r w:rsidRPr="00D84154">
        <w:rPr>
          <w:rFonts w:ascii="Times New Roman" w:hAnsi="Times New Roman" w:cs="Times New Roman"/>
          <w:color w:val="000000" w:themeColor="text1"/>
          <w:sz w:val="24"/>
          <w:szCs w:val="24"/>
        </w:rPr>
        <w:t>kierowany do Prezesa UOKiK.</w:t>
      </w:r>
      <w:r w:rsidR="0020123C" w:rsidRPr="00D84154">
        <w:rPr>
          <w:rFonts w:ascii="Times New Roman" w:hAnsi="Times New Roman" w:cs="Times New Roman"/>
          <w:color w:val="000000" w:themeColor="text1"/>
          <w:sz w:val="24"/>
          <w:szCs w:val="24"/>
        </w:rPr>
        <w:t xml:space="preserve"> Do wniosku powinien być dołączony tzw. jednolity instrument zawierający elementy, o których mowa w art. </w:t>
      </w:r>
      <w:r w:rsidR="00CF5956" w:rsidRPr="00D84154">
        <w:rPr>
          <w:rFonts w:ascii="Times New Roman" w:hAnsi="Times New Roman" w:cs="Times New Roman"/>
          <w:color w:val="000000" w:themeColor="text1"/>
          <w:sz w:val="24"/>
          <w:szCs w:val="24"/>
        </w:rPr>
        <w:t>113</w:t>
      </w:r>
      <w:r w:rsidR="00140CDF" w:rsidRPr="00D84154">
        <w:rPr>
          <w:rFonts w:ascii="Times New Roman" w:hAnsi="Times New Roman" w:cs="Times New Roman"/>
          <w:color w:val="000000" w:themeColor="text1"/>
          <w:sz w:val="24"/>
          <w:szCs w:val="24"/>
        </w:rPr>
        <w:t>s</w:t>
      </w:r>
      <w:r w:rsidR="00CF5956" w:rsidRPr="00D84154">
        <w:rPr>
          <w:rFonts w:ascii="Times New Roman" w:hAnsi="Times New Roman" w:cs="Times New Roman"/>
          <w:color w:val="000000" w:themeColor="text1"/>
          <w:sz w:val="24"/>
          <w:szCs w:val="24"/>
        </w:rPr>
        <w:t xml:space="preserve"> </w:t>
      </w:r>
      <w:r w:rsidR="007A16D3">
        <w:rPr>
          <w:rFonts w:ascii="Times New Roman" w:hAnsi="Times New Roman" w:cs="Times New Roman"/>
          <w:color w:val="000000" w:themeColor="text1"/>
          <w:sz w:val="24"/>
          <w:szCs w:val="24"/>
        </w:rPr>
        <w:t>ust. </w:t>
      </w:r>
      <w:r w:rsidR="0020123C" w:rsidRPr="00D84154">
        <w:rPr>
          <w:rFonts w:ascii="Times New Roman" w:hAnsi="Times New Roman" w:cs="Times New Roman"/>
          <w:color w:val="000000" w:themeColor="text1"/>
          <w:sz w:val="24"/>
          <w:szCs w:val="24"/>
        </w:rPr>
        <w:t xml:space="preserve">1, załącznikiem do jednolitego instrumentu powinna być przetłumaczona na język polski kopia decyzji o nałożeniu kary </w:t>
      </w:r>
      <w:r w:rsidR="00E968C8" w:rsidRPr="00D84154">
        <w:rPr>
          <w:rFonts w:ascii="Times New Roman" w:hAnsi="Times New Roman" w:cs="Times New Roman"/>
          <w:color w:val="000000" w:themeColor="text1"/>
          <w:sz w:val="24"/>
          <w:szCs w:val="24"/>
        </w:rPr>
        <w:t xml:space="preserve">pieniężnej </w:t>
      </w:r>
      <w:r w:rsidR="0020123C" w:rsidRPr="00D84154">
        <w:rPr>
          <w:rFonts w:ascii="Times New Roman" w:hAnsi="Times New Roman" w:cs="Times New Roman"/>
          <w:color w:val="000000" w:themeColor="text1"/>
          <w:sz w:val="24"/>
          <w:szCs w:val="24"/>
        </w:rPr>
        <w:t>lub okresowej kary pieniężnej, która ma podlegać wyegzekwowaniu.</w:t>
      </w:r>
    </w:p>
    <w:p w14:paraId="4865F2C0" w14:textId="7D6E063F" w:rsidR="00922CE6" w:rsidRPr="00D84154" w:rsidRDefault="00922CE6"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2. Prezes UOKiK, działając na podstawie ustawy</w:t>
      </w:r>
      <w:r w:rsidR="005D3245">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(przepisy</w:t>
      </w:r>
      <w:r w:rsidR="00AC563E" w:rsidRPr="00D84154">
        <w:rPr>
          <w:rFonts w:ascii="Times New Roman" w:hAnsi="Times New Roman" w:cs="Times New Roman"/>
          <w:color w:val="000000" w:themeColor="text1"/>
          <w:sz w:val="24"/>
          <w:szCs w:val="24"/>
        </w:rPr>
        <w:t xml:space="preserve"> </w:t>
      </w:r>
      <w:r w:rsidR="00EB4599" w:rsidRPr="00D84154">
        <w:rPr>
          <w:rFonts w:ascii="Times New Roman" w:hAnsi="Times New Roman" w:cs="Times New Roman"/>
          <w:color w:val="000000" w:themeColor="text1"/>
          <w:sz w:val="24"/>
          <w:szCs w:val="24"/>
        </w:rPr>
        <w:t>wdrażające</w:t>
      </w:r>
      <w:r w:rsidRPr="00D84154">
        <w:rPr>
          <w:rFonts w:ascii="Times New Roman" w:hAnsi="Times New Roman" w:cs="Times New Roman"/>
          <w:color w:val="000000" w:themeColor="text1"/>
          <w:sz w:val="24"/>
          <w:szCs w:val="24"/>
        </w:rPr>
        <w:t xml:space="preserve"> art. 26 i </w:t>
      </w:r>
      <w:r w:rsidR="007A16D3">
        <w:rPr>
          <w:rFonts w:ascii="Times New Roman" w:hAnsi="Times New Roman" w:cs="Times New Roman"/>
          <w:color w:val="000000" w:themeColor="text1"/>
          <w:sz w:val="24"/>
          <w:szCs w:val="24"/>
        </w:rPr>
        <w:t>art. </w:t>
      </w:r>
      <w:r w:rsidRPr="00D84154">
        <w:rPr>
          <w:rFonts w:ascii="Times New Roman" w:hAnsi="Times New Roman" w:cs="Times New Roman"/>
          <w:color w:val="000000" w:themeColor="text1"/>
          <w:sz w:val="24"/>
          <w:szCs w:val="24"/>
        </w:rPr>
        <w:t xml:space="preserve">27 </w:t>
      </w:r>
      <w:r w:rsidR="004A465F"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yrektywy)</w:t>
      </w:r>
      <w:r w:rsidR="00920490">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dokonuje weryfikacji spełniania warunków realizacji wniosku. Etap ten obejmuje:</w:t>
      </w:r>
    </w:p>
    <w:p w14:paraId="0A1E9CA0" w14:textId="0C96F7F7" w:rsidR="00922CE6" w:rsidRPr="00D84154" w:rsidRDefault="00693D81"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t>
      </w:r>
      <w:r w:rsidR="00922CE6" w:rsidRPr="00D84154">
        <w:rPr>
          <w:rFonts w:ascii="Times New Roman" w:hAnsi="Times New Roman" w:cs="Times New Roman"/>
          <w:color w:val="000000" w:themeColor="text1"/>
          <w:sz w:val="24"/>
          <w:szCs w:val="24"/>
        </w:rPr>
        <w:t xml:space="preserve"> sprawdzenie</w:t>
      </w:r>
      <w:r w:rsidR="005D3245">
        <w:rPr>
          <w:rFonts w:ascii="Times New Roman" w:hAnsi="Times New Roman" w:cs="Times New Roman"/>
          <w:color w:val="000000" w:themeColor="text1"/>
          <w:sz w:val="24"/>
          <w:szCs w:val="24"/>
        </w:rPr>
        <w:t>,</w:t>
      </w:r>
      <w:r w:rsidR="00922CE6" w:rsidRPr="00D84154">
        <w:rPr>
          <w:rFonts w:ascii="Times New Roman" w:hAnsi="Times New Roman" w:cs="Times New Roman"/>
          <w:color w:val="000000" w:themeColor="text1"/>
          <w:sz w:val="24"/>
          <w:szCs w:val="24"/>
        </w:rPr>
        <w:t xml:space="preserve"> czy spełnione są warunk</w:t>
      </w:r>
      <w:r w:rsidR="00AC563E" w:rsidRPr="00D84154">
        <w:rPr>
          <w:rFonts w:ascii="Times New Roman" w:hAnsi="Times New Roman" w:cs="Times New Roman"/>
          <w:color w:val="000000" w:themeColor="text1"/>
          <w:sz w:val="24"/>
          <w:szCs w:val="24"/>
        </w:rPr>
        <w:t>i</w:t>
      </w:r>
      <w:r w:rsidR="00922CE6" w:rsidRPr="00D84154">
        <w:rPr>
          <w:rFonts w:ascii="Times New Roman" w:hAnsi="Times New Roman" w:cs="Times New Roman"/>
          <w:color w:val="000000" w:themeColor="text1"/>
          <w:sz w:val="24"/>
          <w:szCs w:val="24"/>
        </w:rPr>
        <w:t xml:space="preserve"> formaln</w:t>
      </w:r>
      <w:r w:rsidR="00AC563E" w:rsidRPr="00D84154">
        <w:rPr>
          <w:rFonts w:ascii="Times New Roman" w:hAnsi="Times New Roman" w:cs="Times New Roman"/>
          <w:color w:val="000000" w:themeColor="text1"/>
          <w:sz w:val="24"/>
          <w:szCs w:val="24"/>
        </w:rPr>
        <w:t>e</w:t>
      </w:r>
      <w:r w:rsidR="00922CE6" w:rsidRPr="00D84154">
        <w:rPr>
          <w:rFonts w:ascii="Times New Roman" w:hAnsi="Times New Roman" w:cs="Times New Roman"/>
          <w:color w:val="000000" w:themeColor="text1"/>
          <w:sz w:val="24"/>
          <w:szCs w:val="24"/>
        </w:rPr>
        <w:t xml:space="preserve">, jakim musi zgodnie z dyrektywą odpowiadać </w:t>
      </w:r>
      <w:r w:rsidR="00AC563E" w:rsidRPr="00D84154">
        <w:rPr>
          <w:rFonts w:ascii="Times New Roman" w:hAnsi="Times New Roman" w:cs="Times New Roman"/>
          <w:color w:val="000000" w:themeColor="text1"/>
          <w:sz w:val="24"/>
          <w:szCs w:val="24"/>
        </w:rPr>
        <w:t>jednolity instrument dołączony do wniosku</w:t>
      </w:r>
      <w:r w:rsidR="00922CE6" w:rsidRPr="00D84154">
        <w:rPr>
          <w:rFonts w:ascii="Times New Roman" w:hAnsi="Times New Roman" w:cs="Times New Roman"/>
          <w:color w:val="000000" w:themeColor="text1"/>
          <w:sz w:val="24"/>
          <w:szCs w:val="24"/>
        </w:rPr>
        <w:t>,</w:t>
      </w:r>
    </w:p>
    <w:p w14:paraId="536B56AD" w14:textId="768CEE40" w:rsidR="00922CE6" w:rsidRPr="00D84154" w:rsidRDefault="00693D81"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t>
      </w:r>
      <w:r w:rsidR="00922CE6" w:rsidRPr="00D84154">
        <w:rPr>
          <w:rFonts w:ascii="Times New Roman" w:hAnsi="Times New Roman" w:cs="Times New Roman"/>
          <w:color w:val="000000" w:themeColor="text1"/>
          <w:sz w:val="24"/>
          <w:szCs w:val="24"/>
        </w:rPr>
        <w:t xml:space="preserve"> tłumaczenie dokumentów przesyłanych wraz z wnioskiem,</w:t>
      </w:r>
    </w:p>
    <w:p w14:paraId="57E91FA9" w14:textId="4FC74B92" w:rsidR="00922CE6" w:rsidRPr="00D84154" w:rsidRDefault="00693D81"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t>
      </w:r>
      <w:r w:rsidR="00EB4599" w:rsidRPr="00D84154">
        <w:rPr>
          <w:rFonts w:ascii="Times New Roman" w:hAnsi="Times New Roman" w:cs="Times New Roman"/>
          <w:color w:val="000000" w:themeColor="text1"/>
          <w:sz w:val="24"/>
          <w:szCs w:val="24"/>
        </w:rPr>
        <w:t xml:space="preserve"> zwr</w:t>
      </w:r>
      <w:r w:rsidR="005D3245">
        <w:rPr>
          <w:rFonts w:ascii="Times New Roman" w:hAnsi="Times New Roman" w:cs="Times New Roman"/>
          <w:color w:val="000000" w:themeColor="text1"/>
          <w:sz w:val="24"/>
          <w:szCs w:val="24"/>
        </w:rPr>
        <w:t>ó</w:t>
      </w:r>
      <w:r w:rsidR="00EB4599" w:rsidRPr="00D84154">
        <w:rPr>
          <w:rFonts w:ascii="Times New Roman" w:hAnsi="Times New Roman" w:cs="Times New Roman"/>
          <w:color w:val="000000" w:themeColor="text1"/>
          <w:sz w:val="24"/>
          <w:szCs w:val="24"/>
        </w:rPr>
        <w:t>c</w:t>
      </w:r>
      <w:r w:rsidR="005D3245">
        <w:rPr>
          <w:rFonts w:ascii="Times New Roman" w:hAnsi="Times New Roman" w:cs="Times New Roman"/>
          <w:color w:val="000000" w:themeColor="text1"/>
          <w:sz w:val="24"/>
          <w:szCs w:val="24"/>
        </w:rPr>
        <w:t>e</w:t>
      </w:r>
      <w:r w:rsidR="00EB4599" w:rsidRPr="00D84154">
        <w:rPr>
          <w:rFonts w:ascii="Times New Roman" w:hAnsi="Times New Roman" w:cs="Times New Roman"/>
          <w:color w:val="000000" w:themeColor="text1"/>
          <w:sz w:val="24"/>
          <w:szCs w:val="24"/>
        </w:rPr>
        <w:t>nie się do</w:t>
      </w:r>
      <w:r w:rsidR="00922CE6" w:rsidRPr="00D84154">
        <w:rPr>
          <w:rFonts w:ascii="Times New Roman" w:hAnsi="Times New Roman" w:cs="Times New Roman"/>
          <w:color w:val="000000" w:themeColor="text1"/>
          <w:sz w:val="24"/>
          <w:szCs w:val="24"/>
        </w:rPr>
        <w:t xml:space="preserve"> </w:t>
      </w:r>
      <w:r w:rsidR="00AC563E" w:rsidRPr="00D84154">
        <w:rPr>
          <w:rFonts w:ascii="Times New Roman" w:hAnsi="Times New Roman" w:cs="Times New Roman"/>
          <w:color w:val="000000" w:themeColor="text1"/>
          <w:sz w:val="24"/>
          <w:szCs w:val="24"/>
        </w:rPr>
        <w:t xml:space="preserve">organu składającego wniosek o wyegzekwowanie kary </w:t>
      </w:r>
      <w:r w:rsidR="00922CE6" w:rsidRPr="00D84154">
        <w:rPr>
          <w:rFonts w:ascii="Times New Roman" w:hAnsi="Times New Roman" w:cs="Times New Roman"/>
          <w:color w:val="000000" w:themeColor="text1"/>
          <w:sz w:val="24"/>
          <w:szCs w:val="24"/>
        </w:rPr>
        <w:t>o przekazanie informacji istotnych dla realizacji wniosku.</w:t>
      </w:r>
    </w:p>
    <w:p w14:paraId="2570770E" w14:textId="77777777" w:rsidR="00922CE6" w:rsidRPr="00D84154" w:rsidRDefault="00922CE6"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3. Wniosek zweryfikowany:</w:t>
      </w:r>
    </w:p>
    <w:p w14:paraId="669413B3" w14:textId="42CC09F5" w:rsidR="00922CE6" w:rsidRPr="00D84154" w:rsidRDefault="00FA39BF" w:rsidP="00090D9B">
      <w:pPr>
        <w:spacing w:before="120" w:after="0" w:line="360" w:lineRule="auto"/>
        <w:ind w:left="709"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ab/>
      </w:r>
      <w:r w:rsidR="00922CE6" w:rsidRPr="00D84154">
        <w:rPr>
          <w:rFonts w:ascii="Times New Roman" w:hAnsi="Times New Roman" w:cs="Times New Roman"/>
          <w:color w:val="000000" w:themeColor="text1"/>
          <w:sz w:val="24"/>
          <w:szCs w:val="24"/>
        </w:rPr>
        <w:t xml:space="preserve">pozytywnie </w:t>
      </w:r>
      <w:r>
        <w:rPr>
          <w:rFonts w:ascii="Times New Roman" w:hAnsi="Times New Roman" w:cs="Times New Roman"/>
          <w:color w:val="000000" w:themeColor="text1"/>
          <w:sz w:val="24"/>
          <w:szCs w:val="24"/>
        </w:rPr>
        <w:t>–</w:t>
      </w:r>
      <w:r w:rsidR="00922CE6" w:rsidRPr="00D84154">
        <w:rPr>
          <w:rFonts w:ascii="Times New Roman" w:hAnsi="Times New Roman" w:cs="Times New Roman"/>
          <w:color w:val="000000" w:themeColor="text1"/>
          <w:sz w:val="24"/>
          <w:szCs w:val="24"/>
        </w:rPr>
        <w:t xml:space="preserve"> Prezes UOKiK przesyła do egzekucji organowi egzekucyjnemu (właściwemu naczelnikowi urzędu skarbowego)</w:t>
      </w:r>
      <w:r w:rsidR="007B6DAE" w:rsidRPr="00D84154">
        <w:rPr>
          <w:rFonts w:ascii="Times New Roman" w:hAnsi="Times New Roman" w:cs="Times New Roman"/>
          <w:color w:val="000000" w:themeColor="text1"/>
          <w:sz w:val="24"/>
          <w:szCs w:val="24"/>
        </w:rPr>
        <w:t xml:space="preserve"> po uprzednim przeliczeniu na złote kwoty kary do wyegzekwowania wskazanej w jednolitym instrumencie</w:t>
      </w:r>
      <w:r w:rsidR="00922CE6" w:rsidRPr="00D84154">
        <w:rPr>
          <w:rFonts w:ascii="Times New Roman" w:hAnsi="Times New Roman" w:cs="Times New Roman"/>
          <w:color w:val="000000" w:themeColor="text1"/>
          <w:sz w:val="24"/>
          <w:szCs w:val="24"/>
        </w:rPr>
        <w:t>,</w:t>
      </w:r>
    </w:p>
    <w:p w14:paraId="59C49C08" w14:textId="6A8D03EE" w:rsidR="00922CE6" w:rsidRPr="00D84154" w:rsidRDefault="00FA39BF" w:rsidP="00090D9B">
      <w:pPr>
        <w:spacing w:before="120" w:after="0" w:line="360" w:lineRule="auto"/>
        <w:ind w:left="709"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ab/>
      </w:r>
      <w:r w:rsidR="00922CE6" w:rsidRPr="00D84154">
        <w:rPr>
          <w:rFonts w:ascii="Times New Roman" w:hAnsi="Times New Roman" w:cs="Times New Roman"/>
          <w:color w:val="000000" w:themeColor="text1"/>
          <w:sz w:val="24"/>
          <w:szCs w:val="24"/>
        </w:rPr>
        <w:t>negatywnie – jest zwracany do organu wnioskującego</w:t>
      </w:r>
      <w:r w:rsidR="0020123C" w:rsidRPr="00D84154">
        <w:rPr>
          <w:rFonts w:ascii="Times New Roman" w:hAnsi="Times New Roman" w:cs="Times New Roman"/>
          <w:color w:val="000000" w:themeColor="text1"/>
          <w:sz w:val="24"/>
          <w:szCs w:val="24"/>
        </w:rPr>
        <w:t>.</w:t>
      </w:r>
    </w:p>
    <w:p w14:paraId="714EAE95" w14:textId="3049F37B" w:rsidR="007B6DAE" w:rsidRPr="00D84154" w:rsidRDefault="00922CE6" w:rsidP="00D84154">
      <w:pPr>
        <w:spacing w:before="120" w:after="0" w:line="360" w:lineRule="auto"/>
        <w:jc w:val="both"/>
        <w:rPr>
          <w:rFonts w:ascii="Times New Roman" w:hAnsi="Times New Roman" w:cs="Times New Roman"/>
          <w:sz w:val="24"/>
          <w:szCs w:val="24"/>
        </w:rPr>
      </w:pPr>
      <w:r w:rsidRPr="00D84154">
        <w:rPr>
          <w:rFonts w:ascii="Times New Roman" w:hAnsi="Times New Roman" w:cs="Times New Roman"/>
          <w:color w:val="000000" w:themeColor="text1"/>
          <w:sz w:val="24"/>
          <w:szCs w:val="24"/>
        </w:rPr>
        <w:t>4. Organ egzekucyjny przeprowadza egzekucję</w:t>
      </w:r>
      <w:r w:rsidR="007B6DAE" w:rsidRPr="00D84154">
        <w:rPr>
          <w:rFonts w:ascii="Times New Roman" w:hAnsi="Times New Roman" w:cs="Times New Roman"/>
          <w:color w:val="000000" w:themeColor="text1"/>
          <w:sz w:val="24"/>
          <w:szCs w:val="24"/>
        </w:rPr>
        <w:t xml:space="preserve"> w trybie przepisów o postępowaniu egzekucyjnym w administracji. Zgod</w:t>
      </w:r>
      <w:r w:rsidR="00EB4599" w:rsidRPr="00D84154">
        <w:rPr>
          <w:rFonts w:ascii="Times New Roman" w:hAnsi="Times New Roman" w:cs="Times New Roman"/>
          <w:color w:val="000000" w:themeColor="text1"/>
          <w:sz w:val="24"/>
          <w:szCs w:val="24"/>
        </w:rPr>
        <w:t xml:space="preserve">nie z </w:t>
      </w:r>
      <w:r w:rsidR="004A465F" w:rsidRPr="00D84154">
        <w:rPr>
          <w:rFonts w:ascii="Times New Roman" w:hAnsi="Times New Roman" w:cs="Times New Roman"/>
          <w:color w:val="000000" w:themeColor="text1"/>
          <w:sz w:val="24"/>
          <w:szCs w:val="24"/>
        </w:rPr>
        <w:t xml:space="preserve">projektowanym </w:t>
      </w:r>
      <w:r w:rsidR="00EB4599" w:rsidRPr="00D84154">
        <w:rPr>
          <w:rFonts w:ascii="Times New Roman" w:hAnsi="Times New Roman" w:cs="Times New Roman"/>
          <w:color w:val="000000" w:themeColor="text1"/>
          <w:sz w:val="24"/>
          <w:szCs w:val="24"/>
        </w:rPr>
        <w:t xml:space="preserve">art. </w:t>
      </w:r>
      <w:r w:rsidR="00CF5956" w:rsidRPr="00D84154">
        <w:rPr>
          <w:rFonts w:ascii="Times New Roman" w:hAnsi="Times New Roman" w:cs="Times New Roman"/>
          <w:color w:val="000000" w:themeColor="text1"/>
          <w:sz w:val="24"/>
          <w:szCs w:val="24"/>
        </w:rPr>
        <w:t>113</w:t>
      </w:r>
      <w:r w:rsidR="00140CDF" w:rsidRPr="00D84154">
        <w:rPr>
          <w:rFonts w:ascii="Times New Roman" w:hAnsi="Times New Roman" w:cs="Times New Roman"/>
          <w:color w:val="000000" w:themeColor="text1"/>
          <w:sz w:val="24"/>
          <w:szCs w:val="24"/>
        </w:rPr>
        <w:t>s</w:t>
      </w:r>
      <w:r w:rsidR="00CF5956" w:rsidRPr="00D84154">
        <w:rPr>
          <w:rFonts w:ascii="Times New Roman" w:hAnsi="Times New Roman" w:cs="Times New Roman"/>
          <w:color w:val="000000" w:themeColor="text1"/>
          <w:sz w:val="24"/>
          <w:szCs w:val="24"/>
        </w:rPr>
        <w:t xml:space="preserve"> </w:t>
      </w:r>
      <w:r w:rsidR="00EB4599" w:rsidRPr="00D84154">
        <w:rPr>
          <w:rFonts w:ascii="Times New Roman" w:hAnsi="Times New Roman" w:cs="Times New Roman"/>
          <w:color w:val="000000" w:themeColor="text1"/>
          <w:sz w:val="24"/>
          <w:szCs w:val="24"/>
        </w:rPr>
        <w:t xml:space="preserve">ust. 3 </w:t>
      </w:r>
      <w:r w:rsidR="004A465F" w:rsidRPr="00D84154">
        <w:rPr>
          <w:rFonts w:ascii="Times New Roman" w:hAnsi="Times New Roman" w:cs="Times New Roman"/>
          <w:sz w:val="24"/>
          <w:szCs w:val="24"/>
        </w:rPr>
        <w:t xml:space="preserve">ustawy </w:t>
      </w:r>
      <w:r w:rsidR="007B6DAE" w:rsidRPr="00D84154">
        <w:rPr>
          <w:rFonts w:ascii="Times New Roman" w:hAnsi="Times New Roman" w:cs="Times New Roman"/>
          <w:sz w:val="24"/>
          <w:szCs w:val="24"/>
        </w:rPr>
        <w:t>wyłączną podstawę środków egzekucyjnych podejmowanych przez organ egzekucyjny stanowi jednolity instrument, przesłany wraz z wnioskiem. Jednolity instrument nie podlega zatwierdzeniu, uzupełnieniu lub zastąpieniu.</w:t>
      </w:r>
    </w:p>
    <w:p w14:paraId="371A5FB0" w14:textId="7D6F3AEA" w:rsidR="0020123C" w:rsidRPr="00D84154" w:rsidRDefault="00FA39BF" w:rsidP="00D84154">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20123C" w:rsidRPr="00D84154">
        <w:rPr>
          <w:rFonts w:ascii="Times New Roman" w:hAnsi="Times New Roman" w:cs="Times New Roman"/>
          <w:sz w:val="24"/>
          <w:szCs w:val="24"/>
        </w:rPr>
        <w:t xml:space="preserve">Zgodnie z projektowanym art. </w:t>
      </w:r>
      <w:r w:rsidR="00CF5956" w:rsidRPr="00D84154">
        <w:rPr>
          <w:rFonts w:ascii="Times New Roman" w:hAnsi="Times New Roman" w:cs="Times New Roman"/>
          <w:sz w:val="24"/>
          <w:szCs w:val="24"/>
        </w:rPr>
        <w:t>113</w:t>
      </w:r>
      <w:r w:rsidR="00490438" w:rsidRPr="00D84154">
        <w:rPr>
          <w:rFonts w:ascii="Times New Roman" w:hAnsi="Times New Roman" w:cs="Times New Roman"/>
          <w:sz w:val="24"/>
          <w:szCs w:val="24"/>
        </w:rPr>
        <w:t>s</w:t>
      </w:r>
      <w:r w:rsidR="00CF5956" w:rsidRPr="00D84154">
        <w:rPr>
          <w:rFonts w:ascii="Times New Roman" w:hAnsi="Times New Roman" w:cs="Times New Roman"/>
          <w:sz w:val="24"/>
          <w:szCs w:val="24"/>
        </w:rPr>
        <w:t xml:space="preserve"> </w:t>
      </w:r>
      <w:r w:rsidR="0020123C" w:rsidRPr="00D84154">
        <w:rPr>
          <w:rFonts w:ascii="Times New Roman" w:hAnsi="Times New Roman" w:cs="Times New Roman"/>
          <w:sz w:val="24"/>
          <w:szCs w:val="24"/>
        </w:rPr>
        <w:t xml:space="preserve">ust. </w:t>
      </w:r>
      <w:r w:rsidR="009416BC" w:rsidRPr="00D84154">
        <w:rPr>
          <w:rFonts w:ascii="Times New Roman" w:hAnsi="Times New Roman" w:cs="Times New Roman"/>
          <w:sz w:val="24"/>
          <w:szCs w:val="24"/>
        </w:rPr>
        <w:t>9</w:t>
      </w:r>
      <w:r w:rsidR="0020123C" w:rsidRPr="00D84154">
        <w:rPr>
          <w:rFonts w:ascii="Times New Roman" w:hAnsi="Times New Roman" w:cs="Times New Roman"/>
          <w:sz w:val="24"/>
          <w:szCs w:val="24"/>
        </w:rPr>
        <w:t xml:space="preserve"> </w:t>
      </w:r>
      <w:r w:rsidR="004A465F" w:rsidRPr="00D84154">
        <w:rPr>
          <w:rFonts w:ascii="Times New Roman" w:hAnsi="Times New Roman" w:cs="Times New Roman"/>
          <w:sz w:val="24"/>
          <w:szCs w:val="24"/>
        </w:rPr>
        <w:t xml:space="preserve">ustawy </w:t>
      </w:r>
      <w:r w:rsidR="0020123C" w:rsidRPr="00D84154">
        <w:rPr>
          <w:rFonts w:ascii="Times New Roman" w:hAnsi="Times New Roman" w:cs="Times New Roman"/>
          <w:sz w:val="24"/>
          <w:szCs w:val="24"/>
        </w:rPr>
        <w:t xml:space="preserve">Prezes UOKiK jest obowiązany do informowania organu egzekucyjnego o zdarzeniach mających wpływ na egzekucję kary lub </w:t>
      </w:r>
      <w:r w:rsidR="0020123C" w:rsidRPr="00D84154">
        <w:rPr>
          <w:rFonts w:ascii="Times New Roman" w:hAnsi="Times New Roman" w:cs="Times New Roman"/>
          <w:sz w:val="24"/>
          <w:szCs w:val="24"/>
        </w:rPr>
        <w:lastRenderedPageBreak/>
        <w:t>okresowej kary pieniężnej wskazanej we wniosku, jeżeli uzyskał takie informacje organu innego państwa członkowskiego UE</w:t>
      </w:r>
      <w:r w:rsidR="00F65A77">
        <w:rPr>
          <w:rFonts w:ascii="Times New Roman" w:hAnsi="Times New Roman" w:cs="Times New Roman"/>
          <w:sz w:val="24"/>
          <w:szCs w:val="24"/>
        </w:rPr>
        <w:t xml:space="preserve"> </w:t>
      </w:r>
      <w:r w:rsidR="0020123C" w:rsidRPr="00D84154">
        <w:rPr>
          <w:rFonts w:ascii="Times New Roman" w:hAnsi="Times New Roman" w:cs="Times New Roman"/>
          <w:sz w:val="24"/>
          <w:szCs w:val="24"/>
        </w:rPr>
        <w:t>składającego w R</w:t>
      </w:r>
      <w:r w:rsidR="005D3245">
        <w:rPr>
          <w:rFonts w:ascii="Times New Roman" w:hAnsi="Times New Roman" w:cs="Times New Roman"/>
          <w:sz w:val="24"/>
          <w:szCs w:val="24"/>
        </w:rPr>
        <w:t xml:space="preserve">zeczypospolitej </w:t>
      </w:r>
      <w:r w:rsidR="0020123C" w:rsidRPr="00D84154">
        <w:rPr>
          <w:rFonts w:ascii="Times New Roman" w:hAnsi="Times New Roman" w:cs="Times New Roman"/>
          <w:sz w:val="24"/>
          <w:szCs w:val="24"/>
        </w:rPr>
        <w:t>P</w:t>
      </w:r>
      <w:r w:rsidR="005D3245">
        <w:rPr>
          <w:rFonts w:ascii="Times New Roman" w:hAnsi="Times New Roman" w:cs="Times New Roman"/>
          <w:sz w:val="24"/>
          <w:szCs w:val="24"/>
        </w:rPr>
        <w:t>olskiej</w:t>
      </w:r>
      <w:r w:rsidR="007A16D3">
        <w:rPr>
          <w:rFonts w:ascii="Times New Roman" w:hAnsi="Times New Roman" w:cs="Times New Roman"/>
          <w:sz w:val="24"/>
          <w:szCs w:val="24"/>
        </w:rPr>
        <w:t xml:space="preserve"> wniosek o </w:t>
      </w:r>
      <w:r w:rsidR="0020123C" w:rsidRPr="00D84154">
        <w:rPr>
          <w:rFonts w:ascii="Times New Roman" w:hAnsi="Times New Roman" w:cs="Times New Roman"/>
          <w:sz w:val="24"/>
          <w:szCs w:val="24"/>
        </w:rPr>
        <w:t>wyegzekwowanie kary.</w:t>
      </w:r>
      <w:r w:rsidR="00E72E81" w:rsidRPr="00D84154">
        <w:rPr>
          <w:rFonts w:ascii="Times New Roman" w:hAnsi="Times New Roman" w:cs="Times New Roman"/>
          <w:sz w:val="24"/>
          <w:szCs w:val="24"/>
        </w:rPr>
        <w:t xml:space="preserve"> W art. </w:t>
      </w:r>
      <w:r w:rsidR="00CF5956" w:rsidRPr="00D84154">
        <w:rPr>
          <w:rFonts w:ascii="Times New Roman" w:hAnsi="Times New Roman" w:cs="Times New Roman"/>
          <w:sz w:val="24"/>
          <w:szCs w:val="24"/>
        </w:rPr>
        <w:t>113</w:t>
      </w:r>
      <w:r w:rsidR="00490438" w:rsidRPr="00D84154">
        <w:rPr>
          <w:rFonts w:ascii="Times New Roman" w:hAnsi="Times New Roman" w:cs="Times New Roman"/>
          <w:sz w:val="24"/>
          <w:szCs w:val="24"/>
        </w:rPr>
        <w:t>s</w:t>
      </w:r>
      <w:r w:rsidR="00CF5956" w:rsidRPr="00D84154">
        <w:rPr>
          <w:rFonts w:ascii="Times New Roman" w:hAnsi="Times New Roman" w:cs="Times New Roman"/>
          <w:sz w:val="24"/>
          <w:szCs w:val="24"/>
        </w:rPr>
        <w:t xml:space="preserve"> </w:t>
      </w:r>
      <w:r w:rsidR="00E72E81" w:rsidRPr="00D84154">
        <w:rPr>
          <w:rFonts w:ascii="Times New Roman" w:hAnsi="Times New Roman" w:cs="Times New Roman"/>
          <w:sz w:val="24"/>
          <w:szCs w:val="24"/>
        </w:rPr>
        <w:t xml:space="preserve">ust. 10 </w:t>
      </w:r>
      <w:r w:rsidR="007045A7" w:rsidRPr="00D84154">
        <w:rPr>
          <w:rFonts w:ascii="Times New Roman" w:hAnsi="Times New Roman" w:cs="Times New Roman"/>
          <w:sz w:val="24"/>
          <w:szCs w:val="24"/>
        </w:rPr>
        <w:t xml:space="preserve">ustawy </w:t>
      </w:r>
      <w:r w:rsidR="00E72E81" w:rsidRPr="00D84154">
        <w:rPr>
          <w:rFonts w:ascii="Times New Roman" w:hAnsi="Times New Roman" w:cs="Times New Roman"/>
          <w:sz w:val="24"/>
          <w:szCs w:val="24"/>
        </w:rPr>
        <w:t>zaproponowano, aby w przypadku zmiany wysokości kwoty kary pieniężnej lub okresowej kary pieniężnej objętej wnioskiem Prezes Urzędu dokonywał przeliczenia zmienionej kwoty wskazanej w walucie określonej we wniosku na złote według zasad określonych w ust. 7, tzn. według kursu waluty na dzień nałożenia kary pieniężnej lub okresowej kary pieniężnej.</w:t>
      </w:r>
    </w:p>
    <w:p w14:paraId="40B41527" w14:textId="31746372" w:rsidR="007B6DAE" w:rsidRPr="00D84154" w:rsidRDefault="0020123C"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sz w:val="24"/>
          <w:szCs w:val="24"/>
        </w:rPr>
        <w:t>6</w:t>
      </w:r>
      <w:r w:rsidR="007B6DAE" w:rsidRPr="00D84154">
        <w:rPr>
          <w:rFonts w:ascii="Times New Roman" w:hAnsi="Times New Roman" w:cs="Times New Roman"/>
          <w:sz w:val="24"/>
          <w:szCs w:val="24"/>
        </w:rPr>
        <w:t>. Po wyegzekwowaniu</w:t>
      </w:r>
      <w:r w:rsidR="00922CE6" w:rsidRPr="00D84154">
        <w:rPr>
          <w:rFonts w:ascii="Times New Roman" w:hAnsi="Times New Roman" w:cs="Times New Roman"/>
          <w:color w:val="000000" w:themeColor="text1"/>
          <w:sz w:val="24"/>
          <w:szCs w:val="24"/>
        </w:rPr>
        <w:t xml:space="preserve"> </w:t>
      </w:r>
      <w:r w:rsidR="007B6DAE" w:rsidRPr="00D84154">
        <w:rPr>
          <w:rFonts w:ascii="Times New Roman" w:hAnsi="Times New Roman" w:cs="Times New Roman"/>
          <w:color w:val="000000" w:themeColor="text1"/>
          <w:sz w:val="24"/>
          <w:szCs w:val="24"/>
        </w:rPr>
        <w:t>kary organ egzekucyjny przesyła ją na wskazany rachunek bankowy</w:t>
      </w:r>
      <w:r w:rsidR="009416BC" w:rsidRPr="00D84154">
        <w:rPr>
          <w:rFonts w:ascii="Times New Roman" w:hAnsi="Times New Roman" w:cs="Times New Roman"/>
          <w:color w:val="000000" w:themeColor="text1"/>
          <w:sz w:val="24"/>
          <w:szCs w:val="24"/>
        </w:rPr>
        <w:t xml:space="preserve"> U</w:t>
      </w:r>
      <w:r w:rsidR="007045A7" w:rsidRPr="00D84154">
        <w:rPr>
          <w:rFonts w:ascii="Times New Roman" w:hAnsi="Times New Roman" w:cs="Times New Roman"/>
          <w:color w:val="000000" w:themeColor="text1"/>
          <w:sz w:val="24"/>
          <w:szCs w:val="24"/>
        </w:rPr>
        <w:t>OKiK</w:t>
      </w:r>
      <w:r w:rsidR="007B6DAE" w:rsidRPr="00D84154">
        <w:rPr>
          <w:rFonts w:ascii="Times New Roman" w:hAnsi="Times New Roman" w:cs="Times New Roman"/>
          <w:color w:val="000000" w:themeColor="text1"/>
          <w:sz w:val="24"/>
          <w:szCs w:val="24"/>
        </w:rPr>
        <w:t>.</w:t>
      </w:r>
    </w:p>
    <w:p w14:paraId="66A2CF39" w14:textId="512EEEC3" w:rsidR="00922CE6" w:rsidRPr="00D84154" w:rsidRDefault="00B861AD"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7</w:t>
      </w:r>
      <w:r w:rsidR="007B6DAE" w:rsidRPr="00D84154">
        <w:rPr>
          <w:rFonts w:ascii="Times New Roman" w:hAnsi="Times New Roman" w:cs="Times New Roman"/>
          <w:color w:val="000000" w:themeColor="text1"/>
          <w:sz w:val="24"/>
          <w:szCs w:val="24"/>
        </w:rPr>
        <w:t>. Prezes UOKiK</w:t>
      </w:r>
      <w:r w:rsidR="00922CE6" w:rsidRPr="00D84154">
        <w:rPr>
          <w:rFonts w:ascii="Times New Roman" w:hAnsi="Times New Roman" w:cs="Times New Roman"/>
          <w:color w:val="000000" w:themeColor="text1"/>
          <w:sz w:val="24"/>
          <w:szCs w:val="24"/>
        </w:rPr>
        <w:t xml:space="preserve"> przesyła wyegzekwowaną należność do organu wnioskującego.</w:t>
      </w:r>
      <w:r w:rsidR="007A16D3">
        <w:rPr>
          <w:rFonts w:ascii="Times New Roman" w:hAnsi="Times New Roman" w:cs="Times New Roman"/>
          <w:color w:val="000000" w:themeColor="text1"/>
          <w:sz w:val="24"/>
          <w:szCs w:val="24"/>
        </w:rPr>
        <w:t xml:space="preserve"> Zgodnie z </w:t>
      </w:r>
      <w:r w:rsidR="007B6DAE" w:rsidRPr="00D84154">
        <w:rPr>
          <w:rFonts w:ascii="Times New Roman" w:hAnsi="Times New Roman" w:cs="Times New Roman"/>
          <w:color w:val="000000" w:themeColor="text1"/>
          <w:sz w:val="24"/>
          <w:szCs w:val="24"/>
        </w:rPr>
        <w:t xml:space="preserve">projektowanym art. </w:t>
      </w:r>
      <w:r w:rsidR="00CF5956" w:rsidRPr="00D84154">
        <w:rPr>
          <w:rFonts w:ascii="Times New Roman" w:hAnsi="Times New Roman" w:cs="Times New Roman"/>
          <w:color w:val="000000" w:themeColor="text1"/>
          <w:sz w:val="24"/>
          <w:szCs w:val="24"/>
        </w:rPr>
        <w:t>113</w:t>
      </w:r>
      <w:r w:rsidR="00490438" w:rsidRPr="00D84154">
        <w:rPr>
          <w:rFonts w:ascii="Times New Roman" w:hAnsi="Times New Roman" w:cs="Times New Roman"/>
          <w:color w:val="000000" w:themeColor="text1"/>
          <w:sz w:val="24"/>
          <w:szCs w:val="24"/>
        </w:rPr>
        <w:t>s</w:t>
      </w:r>
      <w:r w:rsidR="00CF5956" w:rsidRPr="00D84154">
        <w:rPr>
          <w:rFonts w:ascii="Times New Roman" w:hAnsi="Times New Roman" w:cs="Times New Roman"/>
          <w:color w:val="000000" w:themeColor="text1"/>
          <w:sz w:val="24"/>
          <w:szCs w:val="24"/>
        </w:rPr>
        <w:t xml:space="preserve"> </w:t>
      </w:r>
      <w:r w:rsidR="007B6DAE" w:rsidRPr="00D84154">
        <w:rPr>
          <w:rFonts w:ascii="Times New Roman" w:hAnsi="Times New Roman" w:cs="Times New Roman"/>
          <w:color w:val="000000" w:themeColor="text1"/>
          <w:sz w:val="24"/>
          <w:szCs w:val="24"/>
        </w:rPr>
        <w:t xml:space="preserve">ust. </w:t>
      </w:r>
      <w:r w:rsidR="009416BC" w:rsidRPr="00D84154">
        <w:rPr>
          <w:rFonts w:ascii="Times New Roman" w:hAnsi="Times New Roman" w:cs="Times New Roman"/>
          <w:color w:val="000000" w:themeColor="text1"/>
          <w:sz w:val="24"/>
          <w:szCs w:val="24"/>
        </w:rPr>
        <w:t>1</w:t>
      </w:r>
      <w:r w:rsidR="0060386C" w:rsidRPr="00D84154">
        <w:rPr>
          <w:rFonts w:ascii="Times New Roman" w:hAnsi="Times New Roman" w:cs="Times New Roman"/>
          <w:color w:val="000000" w:themeColor="text1"/>
          <w:sz w:val="24"/>
          <w:szCs w:val="24"/>
        </w:rPr>
        <w:t>1</w:t>
      </w:r>
      <w:r w:rsidR="007B6DAE" w:rsidRPr="00D84154">
        <w:rPr>
          <w:rFonts w:ascii="Times New Roman" w:hAnsi="Times New Roman" w:cs="Times New Roman"/>
          <w:color w:val="000000" w:themeColor="text1"/>
          <w:sz w:val="24"/>
          <w:szCs w:val="24"/>
        </w:rPr>
        <w:t xml:space="preserve"> wdrażającym art. 27 ust. 8 </w:t>
      </w:r>
      <w:r w:rsidR="007045A7" w:rsidRPr="00D84154">
        <w:rPr>
          <w:rFonts w:ascii="Times New Roman" w:hAnsi="Times New Roman" w:cs="Times New Roman"/>
          <w:color w:val="000000" w:themeColor="text1"/>
          <w:sz w:val="24"/>
          <w:szCs w:val="24"/>
        </w:rPr>
        <w:t>d</w:t>
      </w:r>
      <w:r w:rsidR="007B6DAE" w:rsidRPr="00D84154">
        <w:rPr>
          <w:rFonts w:ascii="Times New Roman" w:hAnsi="Times New Roman" w:cs="Times New Roman"/>
          <w:color w:val="000000" w:themeColor="text1"/>
          <w:sz w:val="24"/>
          <w:szCs w:val="24"/>
        </w:rPr>
        <w:t xml:space="preserve">yrektywy </w:t>
      </w:r>
      <w:r w:rsidR="0060386C" w:rsidRPr="00D84154">
        <w:rPr>
          <w:rFonts w:ascii="Times New Roman" w:hAnsi="Times New Roman" w:cs="Times New Roman"/>
          <w:color w:val="000000" w:themeColor="text1"/>
          <w:sz w:val="24"/>
          <w:szCs w:val="24"/>
        </w:rPr>
        <w:t xml:space="preserve">Prezes Urzędu może dokonać potrącenia poniesionych kosztów realizacji wniosku ze środków pieniężnych wyegzekwowanych w ramach realizacji wniosku przez organ egzekucyjny </w:t>
      </w:r>
      <w:r w:rsidR="007B6DAE" w:rsidRPr="00D84154">
        <w:rPr>
          <w:rFonts w:ascii="Times New Roman" w:hAnsi="Times New Roman" w:cs="Times New Roman"/>
          <w:color w:val="000000" w:themeColor="text1"/>
          <w:sz w:val="24"/>
          <w:szCs w:val="24"/>
        </w:rPr>
        <w:t>i przekazanych</w:t>
      </w:r>
      <w:r w:rsidR="00334CA7" w:rsidRPr="00D84154">
        <w:rPr>
          <w:rFonts w:ascii="Times New Roman" w:hAnsi="Times New Roman" w:cs="Times New Roman"/>
          <w:color w:val="000000" w:themeColor="text1"/>
          <w:sz w:val="24"/>
          <w:szCs w:val="24"/>
        </w:rPr>
        <w:t xml:space="preserve"> przez ten organ</w:t>
      </w:r>
      <w:r w:rsidR="007B6DAE" w:rsidRPr="00D84154">
        <w:rPr>
          <w:rFonts w:ascii="Times New Roman" w:hAnsi="Times New Roman" w:cs="Times New Roman"/>
          <w:color w:val="000000" w:themeColor="text1"/>
          <w:sz w:val="24"/>
          <w:szCs w:val="24"/>
        </w:rPr>
        <w:t xml:space="preserve"> na rachunek bankowy</w:t>
      </w:r>
      <w:r w:rsidR="0060386C" w:rsidRPr="00D84154">
        <w:rPr>
          <w:rFonts w:ascii="Times New Roman" w:hAnsi="Times New Roman" w:cs="Times New Roman"/>
          <w:color w:val="000000" w:themeColor="text1"/>
          <w:sz w:val="24"/>
          <w:szCs w:val="24"/>
        </w:rPr>
        <w:t xml:space="preserve"> UOKiK</w:t>
      </w:r>
      <w:r w:rsidR="007B6DAE" w:rsidRPr="00D84154">
        <w:rPr>
          <w:rFonts w:ascii="Times New Roman" w:hAnsi="Times New Roman" w:cs="Times New Roman"/>
          <w:color w:val="000000" w:themeColor="text1"/>
          <w:sz w:val="24"/>
          <w:szCs w:val="24"/>
        </w:rPr>
        <w:t>.</w:t>
      </w:r>
    </w:p>
    <w:p w14:paraId="0EF4A244" w14:textId="37D43DF3" w:rsidR="00922CE6" w:rsidRPr="00D84154" w:rsidRDefault="00B861AD"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8</w:t>
      </w:r>
      <w:r w:rsidR="00922CE6" w:rsidRPr="00D84154">
        <w:rPr>
          <w:rFonts w:ascii="Times New Roman" w:hAnsi="Times New Roman" w:cs="Times New Roman"/>
          <w:color w:val="000000" w:themeColor="text1"/>
          <w:sz w:val="24"/>
          <w:szCs w:val="24"/>
        </w:rPr>
        <w:t xml:space="preserve">. W przypadku braku możliwości wyegzekwowania należności organ egzekucyjny przesyła odpowiednią informację do Prezesa UOKiK, który przekazuje ją do organu wnioskującego. </w:t>
      </w:r>
      <w:r w:rsidR="0020123C" w:rsidRPr="00D84154">
        <w:rPr>
          <w:rFonts w:ascii="Times New Roman" w:hAnsi="Times New Roman" w:cs="Times New Roman"/>
          <w:color w:val="000000" w:themeColor="text1"/>
          <w:sz w:val="24"/>
          <w:szCs w:val="24"/>
        </w:rPr>
        <w:t xml:space="preserve">Zgodnie z projektowanym art. </w:t>
      </w:r>
      <w:r w:rsidR="00CF5956" w:rsidRPr="00D84154">
        <w:rPr>
          <w:rFonts w:ascii="Times New Roman" w:hAnsi="Times New Roman" w:cs="Times New Roman"/>
          <w:color w:val="000000" w:themeColor="text1"/>
          <w:sz w:val="24"/>
          <w:szCs w:val="24"/>
        </w:rPr>
        <w:t>113</w:t>
      </w:r>
      <w:r w:rsidR="00490438" w:rsidRPr="00D84154">
        <w:rPr>
          <w:rFonts w:ascii="Times New Roman" w:hAnsi="Times New Roman" w:cs="Times New Roman"/>
          <w:color w:val="000000" w:themeColor="text1"/>
          <w:sz w:val="24"/>
          <w:szCs w:val="24"/>
        </w:rPr>
        <w:t>s</w:t>
      </w:r>
      <w:r w:rsidR="00CF5956" w:rsidRPr="00D84154">
        <w:rPr>
          <w:rFonts w:ascii="Times New Roman" w:hAnsi="Times New Roman" w:cs="Times New Roman"/>
          <w:color w:val="000000" w:themeColor="text1"/>
          <w:sz w:val="24"/>
          <w:szCs w:val="24"/>
        </w:rPr>
        <w:t xml:space="preserve"> </w:t>
      </w:r>
      <w:r w:rsidR="0020123C" w:rsidRPr="00D84154">
        <w:rPr>
          <w:rFonts w:ascii="Times New Roman" w:hAnsi="Times New Roman" w:cs="Times New Roman"/>
          <w:color w:val="000000" w:themeColor="text1"/>
          <w:sz w:val="24"/>
          <w:szCs w:val="24"/>
        </w:rPr>
        <w:t>ust. 1</w:t>
      </w:r>
      <w:r w:rsidR="0060386C" w:rsidRPr="00D84154">
        <w:rPr>
          <w:rFonts w:ascii="Times New Roman" w:hAnsi="Times New Roman" w:cs="Times New Roman"/>
          <w:color w:val="000000" w:themeColor="text1"/>
          <w:sz w:val="24"/>
          <w:szCs w:val="24"/>
        </w:rPr>
        <w:t>2</w:t>
      </w:r>
      <w:r w:rsidR="0020123C" w:rsidRPr="00D84154">
        <w:rPr>
          <w:rFonts w:ascii="Times New Roman" w:hAnsi="Times New Roman" w:cs="Times New Roman"/>
          <w:color w:val="000000" w:themeColor="text1"/>
          <w:sz w:val="24"/>
          <w:szCs w:val="24"/>
        </w:rPr>
        <w:t xml:space="preserve"> w</w:t>
      </w:r>
      <w:r w:rsidR="0058145D">
        <w:rPr>
          <w:rFonts w:ascii="Times New Roman" w:hAnsi="Times New Roman" w:cs="Times New Roman"/>
          <w:color w:val="000000" w:themeColor="text1"/>
          <w:sz w:val="24"/>
          <w:szCs w:val="24"/>
        </w:rPr>
        <w:t xml:space="preserve"> </w:t>
      </w:r>
      <w:r w:rsidR="0020123C" w:rsidRPr="00D84154">
        <w:rPr>
          <w:rFonts w:ascii="Times New Roman" w:hAnsi="Times New Roman" w:cs="Times New Roman"/>
          <w:color w:val="000000" w:themeColor="text1"/>
          <w:sz w:val="24"/>
          <w:szCs w:val="24"/>
        </w:rPr>
        <w:t>przypadku</w:t>
      </w:r>
      <w:r w:rsidR="0060386C" w:rsidRPr="00D84154">
        <w:rPr>
          <w:rFonts w:ascii="Times New Roman" w:hAnsi="Times New Roman" w:cs="Times New Roman"/>
          <w:color w:val="000000" w:themeColor="text1"/>
          <w:sz w:val="24"/>
          <w:szCs w:val="24"/>
        </w:rPr>
        <w:t xml:space="preserve"> otrzymania od organu egzekucyjnego, na podstawie projektowanego </w:t>
      </w:r>
      <w:r w:rsidR="005F7059" w:rsidRPr="00D84154">
        <w:rPr>
          <w:rFonts w:ascii="Times New Roman" w:hAnsi="Times New Roman" w:cs="Times New Roman"/>
          <w:color w:val="000000" w:themeColor="text1"/>
          <w:sz w:val="24"/>
          <w:szCs w:val="24"/>
        </w:rPr>
        <w:t xml:space="preserve">§ 8a w </w:t>
      </w:r>
      <w:r w:rsidR="0060386C" w:rsidRPr="00D84154">
        <w:rPr>
          <w:rFonts w:ascii="Times New Roman" w:hAnsi="Times New Roman" w:cs="Times New Roman"/>
          <w:color w:val="000000" w:themeColor="text1"/>
          <w:sz w:val="24"/>
          <w:szCs w:val="24"/>
        </w:rPr>
        <w:t xml:space="preserve">art. 64c ustawy </w:t>
      </w:r>
      <w:r w:rsidR="00E06D8F" w:rsidRPr="00D84154">
        <w:rPr>
          <w:rFonts w:ascii="Times New Roman" w:hAnsi="Times New Roman" w:cs="Times New Roman"/>
          <w:color w:val="000000" w:themeColor="text1"/>
          <w:sz w:val="24"/>
          <w:szCs w:val="24"/>
        </w:rPr>
        <w:t xml:space="preserve">z dnia 17 czerwca 1966 r. </w:t>
      </w:r>
      <w:r w:rsidR="0060386C" w:rsidRPr="00D84154">
        <w:rPr>
          <w:rFonts w:ascii="Times New Roman" w:hAnsi="Times New Roman" w:cs="Times New Roman"/>
          <w:color w:val="000000" w:themeColor="text1"/>
          <w:sz w:val="24"/>
          <w:szCs w:val="24"/>
        </w:rPr>
        <w:t xml:space="preserve">o postępowaniu egzekucyjnym w administracji, </w:t>
      </w:r>
      <w:r w:rsidR="00E06D8F" w:rsidRPr="00D84154">
        <w:rPr>
          <w:rFonts w:ascii="Times New Roman" w:hAnsi="Times New Roman" w:cs="Times New Roman"/>
          <w:color w:val="000000" w:themeColor="text1"/>
          <w:sz w:val="24"/>
          <w:szCs w:val="24"/>
        </w:rPr>
        <w:t>dalej „</w:t>
      </w:r>
      <w:r w:rsidR="00E06D8F" w:rsidRPr="00C461E3">
        <w:rPr>
          <w:rFonts w:ascii="Times New Roman" w:hAnsi="Times New Roman" w:cs="Times New Roman"/>
          <w:color w:val="000000" w:themeColor="text1"/>
          <w:sz w:val="24"/>
          <w:szCs w:val="24"/>
        </w:rPr>
        <w:t>ustawa o postępowaniu egzekucyjnym w administracji</w:t>
      </w:r>
      <w:r w:rsidR="00E06D8F" w:rsidRPr="00D84154">
        <w:rPr>
          <w:rFonts w:ascii="Times New Roman" w:hAnsi="Times New Roman" w:cs="Times New Roman"/>
          <w:color w:val="000000" w:themeColor="text1"/>
          <w:sz w:val="24"/>
          <w:szCs w:val="24"/>
        </w:rPr>
        <w:t xml:space="preserve">”, </w:t>
      </w:r>
      <w:r w:rsidR="0060386C" w:rsidRPr="00D84154">
        <w:rPr>
          <w:rFonts w:ascii="Times New Roman" w:hAnsi="Times New Roman" w:cs="Times New Roman"/>
          <w:color w:val="000000" w:themeColor="text1"/>
          <w:sz w:val="24"/>
          <w:szCs w:val="24"/>
        </w:rPr>
        <w:t>informacji</w:t>
      </w:r>
      <w:r w:rsidR="0020123C" w:rsidRPr="00D84154">
        <w:rPr>
          <w:rFonts w:ascii="Times New Roman" w:hAnsi="Times New Roman" w:cs="Times New Roman"/>
          <w:color w:val="000000" w:themeColor="text1"/>
          <w:sz w:val="24"/>
          <w:szCs w:val="24"/>
        </w:rPr>
        <w:t xml:space="preserve">, </w:t>
      </w:r>
      <w:r w:rsidR="00E06D8F" w:rsidRPr="00D84154">
        <w:rPr>
          <w:rFonts w:ascii="Times New Roman" w:hAnsi="Times New Roman" w:cs="Times New Roman"/>
          <w:color w:val="000000" w:themeColor="text1"/>
          <w:sz w:val="24"/>
          <w:szCs w:val="24"/>
        </w:rPr>
        <w:t xml:space="preserve">o tym, </w:t>
      </w:r>
      <w:r w:rsidR="0060386C" w:rsidRPr="00D84154">
        <w:rPr>
          <w:rFonts w:ascii="Times New Roman" w:hAnsi="Times New Roman" w:cs="Times New Roman"/>
          <w:color w:val="000000" w:themeColor="text1"/>
          <w:sz w:val="24"/>
          <w:szCs w:val="24"/>
        </w:rPr>
        <w:t>że koszty egzekucyjne powstałe w postępowaniu egzekucyjnym wszczętym na podstawie jednolitego instrumentu nie mogą być wyegzekwowane od zobowiązanego</w:t>
      </w:r>
      <w:r w:rsidR="0020123C" w:rsidRPr="00D84154">
        <w:rPr>
          <w:rFonts w:ascii="Times New Roman" w:hAnsi="Times New Roman" w:cs="Times New Roman"/>
          <w:color w:val="000000" w:themeColor="text1"/>
          <w:sz w:val="24"/>
          <w:szCs w:val="24"/>
        </w:rPr>
        <w:t>, Prezes U</w:t>
      </w:r>
      <w:r w:rsidR="0060386C" w:rsidRPr="00D84154">
        <w:rPr>
          <w:rFonts w:ascii="Times New Roman" w:hAnsi="Times New Roman" w:cs="Times New Roman"/>
          <w:color w:val="000000" w:themeColor="text1"/>
          <w:sz w:val="24"/>
          <w:szCs w:val="24"/>
        </w:rPr>
        <w:t>OKiK</w:t>
      </w:r>
      <w:r w:rsidR="009416BC" w:rsidRPr="00D84154">
        <w:rPr>
          <w:rFonts w:ascii="Times New Roman" w:hAnsi="Times New Roman" w:cs="Times New Roman"/>
          <w:color w:val="000000" w:themeColor="text1"/>
          <w:sz w:val="24"/>
          <w:szCs w:val="24"/>
        </w:rPr>
        <w:t xml:space="preserve"> występuje</w:t>
      </w:r>
      <w:r w:rsidR="0020123C" w:rsidRPr="00D84154">
        <w:rPr>
          <w:rFonts w:ascii="Times New Roman" w:hAnsi="Times New Roman" w:cs="Times New Roman"/>
          <w:color w:val="000000" w:themeColor="text1"/>
          <w:sz w:val="24"/>
          <w:szCs w:val="24"/>
        </w:rPr>
        <w:t xml:space="preserve"> do organu </w:t>
      </w:r>
      <w:r w:rsidR="009416BC" w:rsidRPr="00D84154">
        <w:rPr>
          <w:rFonts w:ascii="Times New Roman" w:hAnsi="Times New Roman" w:cs="Times New Roman"/>
          <w:color w:val="000000" w:themeColor="text1"/>
          <w:sz w:val="24"/>
          <w:szCs w:val="24"/>
        </w:rPr>
        <w:t>wnioskującego</w:t>
      </w:r>
      <w:r w:rsidR="0020123C" w:rsidRPr="00D84154">
        <w:rPr>
          <w:rFonts w:ascii="Times New Roman" w:hAnsi="Times New Roman" w:cs="Times New Roman"/>
          <w:color w:val="000000" w:themeColor="text1"/>
          <w:sz w:val="24"/>
          <w:szCs w:val="24"/>
        </w:rPr>
        <w:t xml:space="preserve"> o</w:t>
      </w:r>
      <w:r w:rsidR="0044037E">
        <w:rPr>
          <w:rFonts w:ascii="Times New Roman" w:hAnsi="Times New Roman" w:cs="Times New Roman"/>
          <w:color w:val="000000" w:themeColor="text1"/>
          <w:sz w:val="24"/>
          <w:szCs w:val="24"/>
        </w:rPr>
        <w:t xml:space="preserve"> </w:t>
      </w:r>
      <w:r w:rsidR="0020123C" w:rsidRPr="00D84154">
        <w:rPr>
          <w:rFonts w:ascii="Times New Roman" w:hAnsi="Times New Roman" w:cs="Times New Roman"/>
          <w:color w:val="000000" w:themeColor="text1"/>
          <w:sz w:val="24"/>
          <w:szCs w:val="24"/>
        </w:rPr>
        <w:t>pokrycie poniesionych kosztów realizacji tego wniosku.</w:t>
      </w:r>
    </w:p>
    <w:p w14:paraId="5A01B509" w14:textId="77777777" w:rsidR="00922CE6" w:rsidRPr="00D84154" w:rsidRDefault="00922CE6" w:rsidP="00D84154">
      <w:pPr>
        <w:spacing w:before="120" w:after="0" w:line="360" w:lineRule="auto"/>
        <w:jc w:val="both"/>
        <w:rPr>
          <w:rFonts w:ascii="Times New Roman" w:hAnsi="Times New Roman" w:cs="Times New Roman"/>
          <w:b/>
          <w:bCs/>
          <w:color w:val="000000" w:themeColor="text1"/>
          <w:sz w:val="24"/>
          <w:szCs w:val="24"/>
        </w:rPr>
      </w:pPr>
      <w:r w:rsidRPr="00D84154">
        <w:rPr>
          <w:rFonts w:ascii="Times New Roman" w:hAnsi="Times New Roman" w:cs="Times New Roman"/>
          <w:b/>
          <w:bCs/>
          <w:color w:val="000000" w:themeColor="text1"/>
          <w:sz w:val="24"/>
          <w:szCs w:val="24"/>
        </w:rPr>
        <w:t>Współpraca w przypadku egzekucji kary nałożonej przez Prezesa UOKiK</w:t>
      </w:r>
    </w:p>
    <w:p w14:paraId="0E8B0C2A" w14:textId="7E538D1F" w:rsidR="00922CE6" w:rsidRPr="00D84154" w:rsidRDefault="00922CE6"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1. Wniosek przygotowuje Prezes UOKiK na podstawie informacji uzyskanych od organu egzekucyjnego, przeprowadzającego egzekucję kary pieniężnej nałożonej przez Prezesa UOKiK. W tym miejscu należy wskazać, że wystąpienie z wnioskiem o pomoc w zakresie egzekucji kar jest, zgodnie z brzmieniem </w:t>
      </w:r>
      <w:r w:rsidR="005F7059"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yrektywy, możliwe tylko w przypadku ustalenia, że przedsiębiorcy lub związki przedsiębiorców, od których można ściągnąć karę pieniężną lub okresową karę pieniężną:</w:t>
      </w:r>
    </w:p>
    <w:p w14:paraId="075E5E55" w14:textId="7292EFF6" w:rsidR="00922CE6" w:rsidRPr="00D84154" w:rsidRDefault="00693D81"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t>
      </w:r>
      <w:r w:rsidR="00922CE6" w:rsidRPr="00D84154">
        <w:rPr>
          <w:rFonts w:ascii="Times New Roman" w:hAnsi="Times New Roman" w:cs="Times New Roman"/>
          <w:color w:val="000000" w:themeColor="text1"/>
          <w:sz w:val="24"/>
          <w:szCs w:val="24"/>
        </w:rPr>
        <w:t xml:space="preserve"> nie posiadają wystarczających aktywów na terytorium R</w:t>
      </w:r>
      <w:r w:rsidR="0044037E">
        <w:rPr>
          <w:rFonts w:ascii="Times New Roman" w:hAnsi="Times New Roman" w:cs="Times New Roman"/>
          <w:color w:val="000000" w:themeColor="text1"/>
          <w:sz w:val="24"/>
          <w:szCs w:val="24"/>
        </w:rPr>
        <w:t xml:space="preserve">zeczypospolitej </w:t>
      </w:r>
      <w:r w:rsidR="00922CE6" w:rsidRPr="00D84154">
        <w:rPr>
          <w:rFonts w:ascii="Times New Roman" w:hAnsi="Times New Roman" w:cs="Times New Roman"/>
          <w:color w:val="000000" w:themeColor="text1"/>
          <w:sz w:val="24"/>
          <w:szCs w:val="24"/>
        </w:rPr>
        <w:t>P</w:t>
      </w:r>
      <w:r w:rsidR="00C461E3">
        <w:rPr>
          <w:rFonts w:ascii="Times New Roman" w:hAnsi="Times New Roman" w:cs="Times New Roman"/>
          <w:color w:val="000000" w:themeColor="text1"/>
          <w:sz w:val="24"/>
          <w:szCs w:val="24"/>
        </w:rPr>
        <w:t>olskie</w:t>
      </w:r>
      <w:r w:rsidR="0044037E">
        <w:rPr>
          <w:rFonts w:ascii="Times New Roman" w:hAnsi="Times New Roman" w:cs="Times New Roman"/>
          <w:color w:val="000000" w:themeColor="text1"/>
          <w:sz w:val="24"/>
          <w:szCs w:val="24"/>
        </w:rPr>
        <w:t>j</w:t>
      </w:r>
      <w:r w:rsidR="00922CE6" w:rsidRPr="00D84154">
        <w:rPr>
          <w:rFonts w:ascii="Times New Roman" w:hAnsi="Times New Roman" w:cs="Times New Roman"/>
          <w:color w:val="000000" w:themeColor="text1"/>
          <w:sz w:val="24"/>
          <w:szCs w:val="24"/>
        </w:rPr>
        <w:t xml:space="preserve">, aby </w:t>
      </w:r>
      <w:r w:rsidR="0044037E" w:rsidRPr="00D84154">
        <w:rPr>
          <w:rFonts w:ascii="Times New Roman" w:hAnsi="Times New Roman" w:cs="Times New Roman"/>
          <w:color w:val="000000" w:themeColor="text1"/>
          <w:sz w:val="24"/>
          <w:szCs w:val="24"/>
        </w:rPr>
        <w:t xml:space="preserve">było </w:t>
      </w:r>
      <w:r w:rsidR="00922CE6" w:rsidRPr="00D84154">
        <w:rPr>
          <w:rFonts w:ascii="Times New Roman" w:hAnsi="Times New Roman" w:cs="Times New Roman"/>
          <w:color w:val="000000" w:themeColor="text1"/>
          <w:sz w:val="24"/>
          <w:szCs w:val="24"/>
        </w:rPr>
        <w:t>możliwe ściągnięcie takiej kary lub okresowej kary lub</w:t>
      </w:r>
    </w:p>
    <w:p w14:paraId="4A55A9C3" w14:textId="5B2A0D5A" w:rsidR="00922CE6" w:rsidRPr="00D84154" w:rsidRDefault="00693D81"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lastRenderedPageBreak/>
        <w:t>–</w:t>
      </w:r>
      <w:r w:rsidR="00922CE6" w:rsidRPr="00D84154">
        <w:rPr>
          <w:rFonts w:ascii="Times New Roman" w:hAnsi="Times New Roman" w:cs="Times New Roman"/>
          <w:color w:val="000000" w:themeColor="text1"/>
          <w:sz w:val="24"/>
          <w:szCs w:val="24"/>
        </w:rPr>
        <w:t xml:space="preserve"> nie mają siedziby na terytorium R</w:t>
      </w:r>
      <w:r w:rsidR="0044037E">
        <w:rPr>
          <w:rFonts w:ascii="Times New Roman" w:hAnsi="Times New Roman" w:cs="Times New Roman"/>
          <w:color w:val="000000" w:themeColor="text1"/>
          <w:sz w:val="24"/>
          <w:szCs w:val="24"/>
        </w:rPr>
        <w:t xml:space="preserve">zeczypospolitej </w:t>
      </w:r>
      <w:r w:rsidR="00922CE6" w:rsidRPr="00D84154">
        <w:rPr>
          <w:rFonts w:ascii="Times New Roman" w:hAnsi="Times New Roman" w:cs="Times New Roman"/>
          <w:color w:val="000000" w:themeColor="text1"/>
          <w:sz w:val="24"/>
          <w:szCs w:val="24"/>
        </w:rPr>
        <w:t>P</w:t>
      </w:r>
      <w:r w:rsidR="0044037E">
        <w:rPr>
          <w:rFonts w:ascii="Times New Roman" w:hAnsi="Times New Roman" w:cs="Times New Roman"/>
          <w:color w:val="000000" w:themeColor="text1"/>
          <w:sz w:val="24"/>
          <w:szCs w:val="24"/>
        </w:rPr>
        <w:t>olskiej</w:t>
      </w:r>
      <w:r w:rsidR="00922CE6" w:rsidRPr="00D84154">
        <w:rPr>
          <w:rFonts w:ascii="Times New Roman" w:hAnsi="Times New Roman" w:cs="Times New Roman"/>
          <w:color w:val="000000" w:themeColor="text1"/>
          <w:sz w:val="24"/>
          <w:szCs w:val="24"/>
        </w:rPr>
        <w:t>.</w:t>
      </w:r>
    </w:p>
    <w:p w14:paraId="535E713C" w14:textId="00F0F1A8" w:rsidR="00922CE6" w:rsidRPr="00D84154" w:rsidRDefault="00922CE6"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Do wniosku dołączany jest jednolity instrument zawierają</w:t>
      </w:r>
      <w:r w:rsidR="007A16D3">
        <w:rPr>
          <w:rFonts w:ascii="Times New Roman" w:hAnsi="Times New Roman" w:cs="Times New Roman"/>
          <w:color w:val="000000" w:themeColor="text1"/>
          <w:sz w:val="24"/>
          <w:szCs w:val="24"/>
        </w:rPr>
        <w:t>cy elementy przewidziane w art. </w:t>
      </w:r>
      <w:r w:rsidRPr="00D84154">
        <w:rPr>
          <w:rFonts w:ascii="Times New Roman" w:hAnsi="Times New Roman" w:cs="Times New Roman"/>
          <w:color w:val="000000" w:themeColor="text1"/>
          <w:sz w:val="24"/>
          <w:szCs w:val="24"/>
        </w:rPr>
        <w:t xml:space="preserve">27 </w:t>
      </w:r>
      <w:r w:rsidR="005F7059"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yrektywy oraz kopia decyzji Prezesa UOKiK o nałożeniu kary pieniężnej lub okresowej kary pieniężnej</w:t>
      </w:r>
      <w:r w:rsidR="00490438" w:rsidRPr="00D84154">
        <w:rPr>
          <w:rFonts w:ascii="Times New Roman" w:hAnsi="Times New Roman" w:cs="Times New Roman"/>
          <w:color w:val="000000" w:themeColor="text1"/>
          <w:sz w:val="24"/>
          <w:szCs w:val="24"/>
        </w:rPr>
        <w:t>.</w:t>
      </w:r>
    </w:p>
    <w:p w14:paraId="692AEB01" w14:textId="6F7C9E5A" w:rsidR="00922CE6" w:rsidRPr="00D84154" w:rsidRDefault="00922CE6"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2. Prezes UOKiK przesyła wniosek do realizacji do właściwego krajowego organu ochrony konkurencji. Wniosek przesyła się w języku urzędowym państwa członkowskiego UE organu przyjmującego wniosek. Prezes Urzędu przesyła organowi przyjmującemu wniosek tłumaczenie decyzji stanowiącej podstawę do wyegzekwowania kary </w:t>
      </w:r>
      <w:r w:rsidR="005F7059" w:rsidRPr="00D84154">
        <w:rPr>
          <w:rFonts w:ascii="Times New Roman" w:hAnsi="Times New Roman" w:cs="Times New Roman"/>
          <w:color w:val="000000" w:themeColor="text1"/>
          <w:sz w:val="24"/>
          <w:szCs w:val="24"/>
        </w:rPr>
        <w:t xml:space="preserve">pieniężnej </w:t>
      </w:r>
      <w:r w:rsidRPr="00D84154">
        <w:rPr>
          <w:rFonts w:ascii="Times New Roman" w:hAnsi="Times New Roman" w:cs="Times New Roman"/>
          <w:color w:val="000000" w:themeColor="text1"/>
          <w:sz w:val="24"/>
          <w:szCs w:val="24"/>
        </w:rPr>
        <w:t>lub okresowej kary pieniężnej.</w:t>
      </w:r>
    </w:p>
    <w:p w14:paraId="2E8667E5" w14:textId="1205944C" w:rsidR="00922CE6" w:rsidRPr="00D84154" w:rsidRDefault="00922CE6"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3. Prezes Urzędu na żądanie organu przyjmującego wniosek pokrywa koszty realizacji wniosku, w przypadku gdy organ przyjmujący wniosek nie jest w stanie ściągnąć kar </w:t>
      </w:r>
      <w:r w:rsidR="005F7059" w:rsidRPr="00D84154">
        <w:rPr>
          <w:rFonts w:ascii="Times New Roman" w:hAnsi="Times New Roman" w:cs="Times New Roman"/>
          <w:color w:val="000000" w:themeColor="text1"/>
          <w:sz w:val="24"/>
          <w:szCs w:val="24"/>
        </w:rPr>
        <w:t xml:space="preserve">pieniężnych </w:t>
      </w:r>
      <w:r w:rsidRPr="00D84154">
        <w:rPr>
          <w:rFonts w:ascii="Times New Roman" w:hAnsi="Times New Roman" w:cs="Times New Roman"/>
          <w:color w:val="000000" w:themeColor="text1"/>
          <w:sz w:val="24"/>
          <w:szCs w:val="24"/>
        </w:rPr>
        <w:t>lub okresowych kar pieniężnych, o których mowa we wniosku.</w:t>
      </w:r>
    </w:p>
    <w:p w14:paraId="754C908F" w14:textId="77777777" w:rsidR="00922CE6" w:rsidRPr="00D84154" w:rsidRDefault="00922CE6"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4. Krajowy organ ochrony konkurencji realizuje wniosek na podstawie krajowych przepisów dotyczących egzekucji należności pieniężnych.</w:t>
      </w:r>
    </w:p>
    <w:p w14:paraId="1552AC06" w14:textId="39E2D835" w:rsidR="00922CE6" w:rsidRPr="00D84154" w:rsidRDefault="00922CE6"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5. Prezes UOKiK jest adresatem korespondencji od organu,</w:t>
      </w:r>
      <w:r w:rsidR="007A16D3">
        <w:rPr>
          <w:rFonts w:ascii="Times New Roman" w:hAnsi="Times New Roman" w:cs="Times New Roman"/>
          <w:color w:val="000000" w:themeColor="text1"/>
          <w:sz w:val="24"/>
          <w:szCs w:val="24"/>
        </w:rPr>
        <w:t xml:space="preserve"> o którym mowa w pkt 2, m.in. w </w:t>
      </w:r>
      <w:r w:rsidRPr="00D84154">
        <w:rPr>
          <w:rFonts w:ascii="Times New Roman" w:hAnsi="Times New Roman" w:cs="Times New Roman"/>
          <w:color w:val="000000" w:themeColor="text1"/>
          <w:sz w:val="24"/>
          <w:szCs w:val="24"/>
        </w:rPr>
        <w:t>zakresie żądania dodatkowych informacji dla realizacji wniosku</w:t>
      </w:r>
      <w:r w:rsidR="00F65A77">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oraz wniosku o zwrot kosztów egzekucji.</w:t>
      </w:r>
    </w:p>
    <w:p w14:paraId="4FB12AC1" w14:textId="36E7F0B0" w:rsidR="0060386C" w:rsidRPr="00D84154" w:rsidRDefault="00922CE6"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Niezbędne będzie także wprowadzenie zmian w ustawi</w:t>
      </w:r>
      <w:r w:rsidR="007A16D3">
        <w:rPr>
          <w:rFonts w:ascii="Times New Roman" w:hAnsi="Times New Roman" w:cs="Times New Roman"/>
          <w:color w:val="000000" w:themeColor="text1"/>
          <w:sz w:val="24"/>
          <w:szCs w:val="24"/>
        </w:rPr>
        <w:t>e o postępowaniu egzekucyjnym w </w:t>
      </w:r>
      <w:r w:rsidRPr="00D84154">
        <w:rPr>
          <w:rFonts w:ascii="Times New Roman" w:hAnsi="Times New Roman" w:cs="Times New Roman"/>
          <w:color w:val="000000" w:themeColor="text1"/>
          <w:sz w:val="24"/>
          <w:szCs w:val="24"/>
        </w:rPr>
        <w:t>administracji, które będą stanowić podstawę do realizacji przez organy egzekucyjne wskazane w tej ustawie wniosków organów zagranicznych o egzekucję kar pieniężnych lub okresowych kar pieniężnych, po uprzednim pozytywnym zweryfikowaniu tych wniosków przez Prezesa UOKiK.</w:t>
      </w:r>
      <w:r w:rsidR="002D5C10" w:rsidRPr="00D84154">
        <w:rPr>
          <w:rFonts w:ascii="Times New Roman" w:hAnsi="Times New Roman" w:cs="Times New Roman"/>
          <w:color w:val="000000" w:themeColor="text1"/>
          <w:sz w:val="24"/>
          <w:szCs w:val="24"/>
        </w:rPr>
        <w:t xml:space="preserve"> Zmiany obejmą art. 1</w:t>
      </w:r>
      <w:r w:rsidR="005F7059" w:rsidRPr="00D84154">
        <w:rPr>
          <w:rFonts w:ascii="Times New Roman" w:hAnsi="Times New Roman" w:cs="Times New Roman"/>
          <w:color w:val="000000" w:themeColor="text1"/>
          <w:sz w:val="24"/>
          <w:szCs w:val="24"/>
        </w:rPr>
        <w:t>a</w:t>
      </w:r>
      <w:r w:rsidR="002D5C10" w:rsidRPr="00D84154">
        <w:rPr>
          <w:rFonts w:ascii="Times New Roman" w:hAnsi="Times New Roman" w:cs="Times New Roman"/>
          <w:color w:val="000000" w:themeColor="text1"/>
          <w:sz w:val="24"/>
          <w:szCs w:val="24"/>
        </w:rPr>
        <w:t xml:space="preserve"> (wprowadzenie definicji jednolitego instrumentu), art. 2 § 1, art. 5 § 2, art. 15 § 3b, art. 26 § 1a i 1b, art. 26e § 5, art. 59 §</w:t>
      </w:r>
      <w:r w:rsidR="00334CA7" w:rsidRPr="00D84154">
        <w:rPr>
          <w:rFonts w:ascii="Times New Roman" w:hAnsi="Times New Roman" w:cs="Times New Roman"/>
          <w:color w:val="000000" w:themeColor="text1"/>
          <w:sz w:val="24"/>
          <w:szCs w:val="24"/>
        </w:rPr>
        <w:t xml:space="preserve"> 2a</w:t>
      </w:r>
      <w:r w:rsidR="00D05676" w:rsidRPr="00D84154">
        <w:rPr>
          <w:rFonts w:ascii="Times New Roman" w:hAnsi="Times New Roman" w:cs="Times New Roman"/>
          <w:color w:val="000000" w:themeColor="text1"/>
          <w:sz w:val="24"/>
          <w:szCs w:val="24"/>
        </w:rPr>
        <w:t xml:space="preserve">, </w:t>
      </w:r>
      <w:r w:rsidR="007A16D3">
        <w:rPr>
          <w:rFonts w:ascii="Times New Roman" w:hAnsi="Times New Roman" w:cs="Times New Roman"/>
          <w:color w:val="000000" w:themeColor="text1"/>
          <w:sz w:val="24"/>
          <w:szCs w:val="24"/>
        </w:rPr>
        <w:t>art. </w:t>
      </w:r>
      <w:r w:rsidR="005F7059" w:rsidRPr="00D84154">
        <w:rPr>
          <w:rFonts w:ascii="Times New Roman" w:hAnsi="Times New Roman" w:cs="Times New Roman"/>
          <w:color w:val="000000" w:themeColor="text1"/>
          <w:sz w:val="24"/>
          <w:szCs w:val="24"/>
        </w:rPr>
        <w:t>64c</w:t>
      </w:r>
      <w:r w:rsidR="00263DC5" w:rsidRPr="00D84154">
        <w:rPr>
          <w:rFonts w:ascii="Times New Roman" w:hAnsi="Times New Roman" w:cs="Times New Roman"/>
          <w:color w:val="000000" w:themeColor="text1"/>
          <w:sz w:val="24"/>
          <w:szCs w:val="24"/>
        </w:rPr>
        <w:t xml:space="preserve"> </w:t>
      </w:r>
      <w:r w:rsidR="00334CA7" w:rsidRPr="00D84154">
        <w:rPr>
          <w:rFonts w:ascii="Times New Roman" w:hAnsi="Times New Roman" w:cs="Times New Roman"/>
          <w:color w:val="000000" w:themeColor="text1"/>
          <w:sz w:val="24"/>
          <w:szCs w:val="24"/>
        </w:rPr>
        <w:t>oraz</w:t>
      </w:r>
      <w:r w:rsidR="00F65A77">
        <w:rPr>
          <w:rFonts w:ascii="Times New Roman" w:hAnsi="Times New Roman" w:cs="Times New Roman"/>
          <w:color w:val="000000" w:themeColor="text1"/>
          <w:sz w:val="24"/>
          <w:szCs w:val="24"/>
        </w:rPr>
        <w:t xml:space="preserve"> </w:t>
      </w:r>
      <w:r w:rsidR="002D5C10" w:rsidRPr="00D84154">
        <w:rPr>
          <w:rFonts w:ascii="Times New Roman" w:hAnsi="Times New Roman" w:cs="Times New Roman"/>
          <w:color w:val="000000" w:themeColor="text1"/>
          <w:sz w:val="24"/>
          <w:szCs w:val="24"/>
        </w:rPr>
        <w:t>art. 166c § 2</w:t>
      </w:r>
      <w:r w:rsidR="00334CA7" w:rsidRPr="00D84154">
        <w:rPr>
          <w:rFonts w:ascii="Times New Roman" w:hAnsi="Times New Roman" w:cs="Times New Roman"/>
          <w:color w:val="000000" w:themeColor="text1"/>
          <w:sz w:val="24"/>
          <w:szCs w:val="24"/>
        </w:rPr>
        <w:t xml:space="preserve"> ustawy o postępowaniu egzekucyjnym w administracji</w:t>
      </w:r>
      <w:r w:rsidR="002D5C10" w:rsidRPr="00D84154">
        <w:rPr>
          <w:rFonts w:ascii="Times New Roman" w:hAnsi="Times New Roman" w:cs="Times New Roman"/>
          <w:color w:val="000000" w:themeColor="text1"/>
          <w:sz w:val="24"/>
          <w:szCs w:val="24"/>
        </w:rPr>
        <w:t>.</w:t>
      </w:r>
      <w:r w:rsidR="00D05676" w:rsidRPr="00D84154">
        <w:rPr>
          <w:rFonts w:ascii="Times New Roman" w:hAnsi="Times New Roman" w:cs="Times New Roman"/>
          <w:color w:val="000000" w:themeColor="text1"/>
          <w:sz w:val="24"/>
          <w:szCs w:val="24"/>
        </w:rPr>
        <w:t xml:space="preserve"> Wprowadzona zostanie definicja jednolitego instrumentu oraz dodane zost</w:t>
      </w:r>
      <w:r w:rsidR="007A16D3">
        <w:rPr>
          <w:rFonts w:ascii="Times New Roman" w:hAnsi="Times New Roman" w:cs="Times New Roman"/>
          <w:color w:val="000000" w:themeColor="text1"/>
          <w:sz w:val="24"/>
          <w:szCs w:val="24"/>
        </w:rPr>
        <w:t>aną przepisy (projektowany art. </w:t>
      </w:r>
      <w:r w:rsidR="00D05676" w:rsidRPr="00D84154">
        <w:rPr>
          <w:rFonts w:ascii="Times New Roman" w:hAnsi="Times New Roman" w:cs="Times New Roman"/>
          <w:color w:val="000000" w:themeColor="text1"/>
          <w:sz w:val="24"/>
          <w:szCs w:val="24"/>
        </w:rPr>
        <w:t>5</w:t>
      </w:r>
      <w:r w:rsidR="00E313DA" w:rsidRPr="00D84154">
        <w:rPr>
          <w:rFonts w:ascii="Times New Roman" w:hAnsi="Times New Roman" w:cs="Times New Roman"/>
          <w:color w:val="000000" w:themeColor="text1"/>
          <w:sz w:val="24"/>
          <w:szCs w:val="24"/>
        </w:rPr>
        <w:t>6</w:t>
      </w:r>
      <w:r w:rsidR="00D05676" w:rsidRPr="00D84154">
        <w:rPr>
          <w:rFonts w:ascii="Times New Roman" w:hAnsi="Times New Roman" w:cs="Times New Roman"/>
          <w:color w:val="000000" w:themeColor="text1"/>
          <w:sz w:val="24"/>
          <w:szCs w:val="24"/>
        </w:rPr>
        <w:t>a tej ustawy)</w:t>
      </w:r>
      <w:r w:rsidR="001F2AB5" w:rsidRPr="00D84154">
        <w:rPr>
          <w:rFonts w:ascii="Times New Roman" w:hAnsi="Times New Roman" w:cs="Times New Roman"/>
          <w:color w:val="000000" w:themeColor="text1"/>
          <w:sz w:val="24"/>
          <w:szCs w:val="24"/>
        </w:rPr>
        <w:t>, zgodnie z którymi postępowanie egzekucyjne ulega zawieszeniu w przypadku otrzymania przez organ egzekucyjny informacji o sporze dotyczącym jednolitego instrumentu lub objętej nim kary pieniężnej lub okresowej kary pieniężnej lub informacji o zaistnieniu zdarzenia, którego skutkiem jest bezprzedmiotowość prowadzonej egzekucji. W przypadku otrzymania takiej informacji organ egzekucyjny powinien</w:t>
      </w:r>
      <w:r w:rsidR="007A16D3">
        <w:rPr>
          <w:rFonts w:ascii="Times New Roman" w:hAnsi="Times New Roman" w:cs="Times New Roman"/>
          <w:color w:val="000000" w:themeColor="text1"/>
          <w:sz w:val="24"/>
          <w:szCs w:val="24"/>
        </w:rPr>
        <w:t xml:space="preserve"> zwrócić się do Prezesa UOKiK o </w:t>
      </w:r>
      <w:r w:rsidR="001F2AB5" w:rsidRPr="00D84154">
        <w:rPr>
          <w:rFonts w:ascii="Times New Roman" w:hAnsi="Times New Roman" w:cs="Times New Roman"/>
          <w:color w:val="000000" w:themeColor="text1"/>
          <w:sz w:val="24"/>
          <w:szCs w:val="24"/>
        </w:rPr>
        <w:t xml:space="preserve">wystąpienie do właściwego organu państwa występującego z wnioskiem o pomoc w celu zweryfikowania wiarygodności tej informacji. Ponadto projektowany art. 64c § 8a ustawy </w:t>
      </w:r>
      <w:r w:rsidR="001F2AB5" w:rsidRPr="00D84154">
        <w:rPr>
          <w:rFonts w:ascii="Times New Roman" w:hAnsi="Times New Roman" w:cs="Times New Roman"/>
          <w:color w:val="000000" w:themeColor="text1"/>
          <w:sz w:val="24"/>
          <w:szCs w:val="24"/>
        </w:rPr>
        <w:lastRenderedPageBreak/>
        <w:t>o</w:t>
      </w:r>
      <w:r w:rsidR="007A16D3">
        <w:rPr>
          <w:rFonts w:ascii="Times New Roman" w:hAnsi="Times New Roman" w:cs="Times New Roman"/>
          <w:color w:val="000000" w:themeColor="text1"/>
          <w:sz w:val="24"/>
          <w:szCs w:val="24"/>
        </w:rPr>
        <w:t> </w:t>
      </w:r>
      <w:r w:rsidR="001F2AB5" w:rsidRPr="00D84154">
        <w:rPr>
          <w:rFonts w:ascii="Times New Roman" w:hAnsi="Times New Roman" w:cs="Times New Roman"/>
          <w:color w:val="000000" w:themeColor="text1"/>
          <w:sz w:val="24"/>
          <w:szCs w:val="24"/>
        </w:rPr>
        <w:t>postępowaniu egzekuc</w:t>
      </w:r>
      <w:r w:rsidR="00161654" w:rsidRPr="00D84154">
        <w:rPr>
          <w:rFonts w:ascii="Times New Roman" w:hAnsi="Times New Roman" w:cs="Times New Roman"/>
          <w:color w:val="000000" w:themeColor="text1"/>
          <w:sz w:val="24"/>
          <w:szCs w:val="24"/>
        </w:rPr>
        <w:t>yjnym w administracji będzie przewidywać</w:t>
      </w:r>
      <w:r w:rsidR="001F2AB5" w:rsidRPr="00D84154">
        <w:rPr>
          <w:rFonts w:ascii="Times New Roman" w:hAnsi="Times New Roman" w:cs="Times New Roman"/>
          <w:color w:val="000000" w:themeColor="text1"/>
          <w:sz w:val="24"/>
          <w:szCs w:val="24"/>
        </w:rPr>
        <w:t>, że w przypadku braku możliwości wyegzekwowania kosztów egzekucyjnych powstałych w postępowaniu egzekucyjnym wszczętym na podstawie jednolitego instrumentu organ egzekucyjny zwraca się do Prezesa UOKiK o wystąpienie do państwa członkowskiego z wnioskiem o ich pokrycie. Uzyskane od państwa członkowskiego środki Prezes UOKiK przekazuje organom egzekucyjnemu.</w:t>
      </w:r>
      <w:r w:rsidR="00E72E81" w:rsidRPr="00D84154">
        <w:rPr>
          <w:rFonts w:ascii="Times New Roman" w:hAnsi="Times New Roman" w:cs="Times New Roman"/>
          <w:color w:val="000000" w:themeColor="text1"/>
          <w:sz w:val="24"/>
          <w:szCs w:val="24"/>
        </w:rPr>
        <w:t xml:space="preserve"> Z kolei p</w:t>
      </w:r>
      <w:r w:rsidR="0060386C" w:rsidRPr="00D84154">
        <w:rPr>
          <w:rFonts w:ascii="Times New Roman" w:hAnsi="Times New Roman" w:cs="Times New Roman"/>
          <w:color w:val="000000" w:themeColor="text1"/>
          <w:sz w:val="24"/>
          <w:szCs w:val="24"/>
        </w:rPr>
        <w:t>roponowany art. 64c § 8c ustaw</w:t>
      </w:r>
      <w:r w:rsidR="007A16D3">
        <w:rPr>
          <w:rFonts w:ascii="Times New Roman" w:hAnsi="Times New Roman" w:cs="Times New Roman"/>
          <w:color w:val="000000" w:themeColor="text1"/>
          <w:sz w:val="24"/>
          <w:szCs w:val="24"/>
        </w:rPr>
        <w:t>y o postępowaniu egzekucyjnym w </w:t>
      </w:r>
      <w:r w:rsidR="0060386C" w:rsidRPr="00D84154">
        <w:rPr>
          <w:rFonts w:ascii="Times New Roman" w:hAnsi="Times New Roman" w:cs="Times New Roman"/>
          <w:color w:val="000000" w:themeColor="text1"/>
          <w:sz w:val="24"/>
          <w:szCs w:val="24"/>
        </w:rPr>
        <w:t xml:space="preserve">administracji </w:t>
      </w:r>
      <w:r w:rsidR="00E72E81" w:rsidRPr="00D84154">
        <w:rPr>
          <w:rFonts w:ascii="Times New Roman" w:hAnsi="Times New Roman" w:cs="Times New Roman"/>
          <w:color w:val="000000" w:themeColor="text1"/>
          <w:sz w:val="24"/>
          <w:szCs w:val="24"/>
        </w:rPr>
        <w:t>określa sposób traktowania różnic występujących</w:t>
      </w:r>
      <w:r w:rsidR="0060386C" w:rsidRPr="00D84154">
        <w:rPr>
          <w:rFonts w:ascii="Times New Roman" w:hAnsi="Times New Roman" w:cs="Times New Roman"/>
          <w:color w:val="000000" w:themeColor="text1"/>
          <w:sz w:val="24"/>
          <w:szCs w:val="24"/>
        </w:rPr>
        <w:t xml:space="preserve"> w końcowym rozliczeniu środków uzyskanych od państwa członkowskiego na pokrycie k</w:t>
      </w:r>
      <w:r w:rsidR="00E72E81" w:rsidRPr="00D84154">
        <w:rPr>
          <w:rFonts w:ascii="Times New Roman" w:hAnsi="Times New Roman" w:cs="Times New Roman"/>
          <w:color w:val="000000" w:themeColor="text1"/>
          <w:sz w:val="24"/>
          <w:szCs w:val="24"/>
        </w:rPr>
        <w:t>osztów egzekucyjnych, wynikających</w:t>
      </w:r>
      <w:r w:rsidR="0060386C" w:rsidRPr="00D84154">
        <w:rPr>
          <w:rFonts w:ascii="Times New Roman" w:hAnsi="Times New Roman" w:cs="Times New Roman"/>
          <w:color w:val="000000" w:themeColor="text1"/>
          <w:sz w:val="24"/>
          <w:szCs w:val="24"/>
        </w:rPr>
        <w:t xml:space="preserve"> ze zmiany kursu walut</w:t>
      </w:r>
      <w:r w:rsidR="00E72E81" w:rsidRPr="00D84154">
        <w:rPr>
          <w:rFonts w:ascii="Times New Roman" w:hAnsi="Times New Roman" w:cs="Times New Roman"/>
          <w:color w:val="000000" w:themeColor="text1"/>
          <w:sz w:val="24"/>
          <w:szCs w:val="24"/>
        </w:rPr>
        <w:t>.</w:t>
      </w:r>
    </w:p>
    <w:p w14:paraId="0DBA6AD4" w14:textId="4DE00E1A" w:rsidR="00922CE6" w:rsidRPr="00D84154" w:rsidRDefault="00922CE6"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Dodatkowo w związku z wprowadzeniem nowej procedury w</w:t>
      </w:r>
      <w:r w:rsidR="007A16D3">
        <w:rPr>
          <w:rFonts w:ascii="Times New Roman" w:hAnsi="Times New Roman" w:cs="Times New Roman"/>
          <w:color w:val="000000" w:themeColor="text1"/>
          <w:sz w:val="24"/>
          <w:szCs w:val="24"/>
        </w:rPr>
        <w:t xml:space="preserve"> zakresie realizacji wniosków o </w:t>
      </w:r>
      <w:r w:rsidRPr="00D84154">
        <w:rPr>
          <w:rFonts w:ascii="Times New Roman" w:hAnsi="Times New Roman" w:cs="Times New Roman"/>
          <w:color w:val="000000" w:themeColor="text1"/>
          <w:sz w:val="24"/>
          <w:szCs w:val="24"/>
        </w:rPr>
        <w:t xml:space="preserve">pomoc </w:t>
      </w:r>
      <w:r w:rsidR="00981C44" w:rsidRPr="00D84154">
        <w:rPr>
          <w:rFonts w:ascii="Times New Roman" w:hAnsi="Times New Roman" w:cs="Times New Roman"/>
          <w:color w:val="000000" w:themeColor="text1"/>
          <w:sz w:val="24"/>
          <w:szCs w:val="24"/>
        </w:rPr>
        <w:t xml:space="preserve">jest </w:t>
      </w:r>
      <w:r w:rsidRPr="00D84154">
        <w:rPr>
          <w:rFonts w:ascii="Times New Roman" w:hAnsi="Times New Roman" w:cs="Times New Roman"/>
          <w:color w:val="000000" w:themeColor="text1"/>
          <w:sz w:val="24"/>
          <w:szCs w:val="24"/>
        </w:rPr>
        <w:t xml:space="preserve">konieczne zawarcie zarówno w ustawie, jak i w </w:t>
      </w:r>
      <w:r w:rsidR="00B14C81" w:rsidRPr="00D84154">
        <w:rPr>
          <w:rFonts w:ascii="Times New Roman" w:hAnsi="Times New Roman" w:cs="Times New Roman"/>
          <w:color w:val="000000" w:themeColor="text1"/>
          <w:sz w:val="24"/>
          <w:szCs w:val="24"/>
        </w:rPr>
        <w:t>ustawie z dnia 17 li</w:t>
      </w:r>
      <w:r w:rsidR="00EE245E" w:rsidRPr="00D84154">
        <w:rPr>
          <w:rFonts w:ascii="Times New Roman" w:hAnsi="Times New Roman" w:cs="Times New Roman"/>
          <w:color w:val="000000" w:themeColor="text1"/>
          <w:sz w:val="24"/>
          <w:szCs w:val="24"/>
        </w:rPr>
        <w:t>s</w:t>
      </w:r>
      <w:r w:rsidR="007A16D3">
        <w:rPr>
          <w:rFonts w:ascii="Times New Roman" w:hAnsi="Times New Roman" w:cs="Times New Roman"/>
          <w:color w:val="000000" w:themeColor="text1"/>
          <w:sz w:val="24"/>
          <w:szCs w:val="24"/>
        </w:rPr>
        <w:t>topada 1964 </w:t>
      </w:r>
      <w:r w:rsidR="00B14C81" w:rsidRPr="00D84154">
        <w:rPr>
          <w:rFonts w:ascii="Times New Roman" w:hAnsi="Times New Roman" w:cs="Times New Roman"/>
          <w:color w:val="000000" w:themeColor="text1"/>
          <w:sz w:val="24"/>
          <w:szCs w:val="24"/>
        </w:rPr>
        <w:t xml:space="preserve">r. </w:t>
      </w:r>
      <w:r w:rsidR="003427A5">
        <w:rPr>
          <w:rFonts w:ascii="Times New Roman" w:hAnsi="Times New Roman" w:cs="Times New Roman"/>
          <w:color w:val="000000" w:themeColor="text1"/>
          <w:sz w:val="24"/>
          <w:szCs w:val="24"/>
        </w:rPr>
        <w:t>–</w:t>
      </w:r>
      <w:r w:rsidR="00B14C81" w:rsidRPr="00D84154">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 xml:space="preserve">Kodeks postępowania cywilnego regulacji dających podstawę </w:t>
      </w:r>
      <w:r w:rsidR="007A16D3">
        <w:rPr>
          <w:rFonts w:ascii="Times New Roman" w:hAnsi="Times New Roman" w:cs="Times New Roman"/>
          <w:color w:val="000000" w:themeColor="text1"/>
          <w:sz w:val="24"/>
          <w:szCs w:val="24"/>
        </w:rPr>
        <w:t>sądowi ochrony konkurencji i </w:t>
      </w:r>
      <w:r w:rsidR="00B14C81" w:rsidRPr="00D84154">
        <w:rPr>
          <w:rFonts w:ascii="Times New Roman" w:hAnsi="Times New Roman" w:cs="Times New Roman"/>
          <w:color w:val="000000" w:themeColor="text1"/>
          <w:sz w:val="24"/>
          <w:szCs w:val="24"/>
        </w:rPr>
        <w:t>konsumentów</w:t>
      </w:r>
      <w:r w:rsidRPr="00D84154">
        <w:rPr>
          <w:rFonts w:ascii="Times New Roman" w:hAnsi="Times New Roman" w:cs="Times New Roman"/>
          <w:color w:val="000000" w:themeColor="text1"/>
          <w:sz w:val="24"/>
          <w:szCs w:val="24"/>
        </w:rPr>
        <w:t xml:space="preserve"> do rozstrzygania zażaleń w przedmiocie:</w:t>
      </w:r>
    </w:p>
    <w:p w14:paraId="43A1032F" w14:textId="3252C063" w:rsidR="00922CE6" w:rsidRPr="00D84154" w:rsidRDefault="00FA39BF" w:rsidP="00693D81">
      <w:pPr>
        <w:spacing w:before="120" w:after="0" w:line="36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ab/>
      </w:r>
      <w:r w:rsidR="00222FE9" w:rsidRPr="00D84154">
        <w:rPr>
          <w:rFonts w:ascii="Times New Roman" w:hAnsi="Times New Roman" w:cs="Times New Roman"/>
          <w:color w:val="000000" w:themeColor="text1"/>
          <w:sz w:val="24"/>
          <w:szCs w:val="24"/>
        </w:rPr>
        <w:t>skuteczności powiadomień przez Prezesa UOKiK na wniosek organu innego państwa członkowskiego UE na podstawie przepisów projektowanego działu VIIA</w:t>
      </w:r>
      <w:r w:rsidR="00B14C81" w:rsidRPr="00D84154">
        <w:rPr>
          <w:rFonts w:ascii="Times New Roman" w:hAnsi="Times New Roman" w:cs="Times New Roman"/>
          <w:color w:val="000000" w:themeColor="text1"/>
          <w:sz w:val="24"/>
          <w:szCs w:val="24"/>
        </w:rPr>
        <w:t xml:space="preserve"> ustawy</w:t>
      </w:r>
      <w:r w:rsidR="00222FE9" w:rsidRPr="00D84154">
        <w:rPr>
          <w:rFonts w:ascii="Times New Roman" w:hAnsi="Times New Roman" w:cs="Times New Roman"/>
          <w:color w:val="000000" w:themeColor="text1"/>
          <w:sz w:val="24"/>
          <w:szCs w:val="24"/>
        </w:rPr>
        <w:t xml:space="preserve">; projektowany art. </w:t>
      </w:r>
      <w:r w:rsidR="00CF5956" w:rsidRPr="00D84154">
        <w:rPr>
          <w:rFonts w:ascii="Times New Roman" w:hAnsi="Times New Roman" w:cs="Times New Roman"/>
          <w:color w:val="000000" w:themeColor="text1"/>
          <w:sz w:val="24"/>
          <w:szCs w:val="24"/>
        </w:rPr>
        <w:t>113</w:t>
      </w:r>
      <w:r w:rsidR="00490438" w:rsidRPr="00D84154">
        <w:rPr>
          <w:rFonts w:ascii="Times New Roman" w:hAnsi="Times New Roman" w:cs="Times New Roman"/>
          <w:color w:val="000000" w:themeColor="text1"/>
          <w:sz w:val="24"/>
          <w:szCs w:val="24"/>
        </w:rPr>
        <w:t>m</w:t>
      </w:r>
      <w:r w:rsidR="00CF5956" w:rsidRPr="00D84154">
        <w:rPr>
          <w:rFonts w:ascii="Times New Roman" w:hAnsi="Times New Roman" w:cs="Times New Roman"/>
          <w:color w:val="000000" w:themeColor="text1"/>
          <w:sz w:val="24"/>
          <w:szCs w:val="24"/>
        </w:rPr>
        <w:t xml:space="preserve"> </w:t>
      </w:r>
      <w:r w:rsidR="00222FE9" w:rsidRPr="00D84154">
        <w:rPr>
          <w:rFonts w:ascii="Times New Roman" w:hAnsi="Times New Roman" w:cs="Times New Roman"/>
          <w:color w:val="000000" w:themeColor="text1"/>
          <w:sz w:val="24"/>
          <w:szCs w:val="24"/>
        </w:rPr>
        <w:t xml:space="preserve">ust. 7 daje podmiotowi, w stosunku do którego miało zostać dokonane powiadomienie, prawo do złożenia zażalenia </w:t>
      </w:r>
      <w:r w:rsidR="00B14C81" w:rsidRPr="00D84154">
        <w:rPr>
          <w:rFonts w:ascii="Times New Roman" w:hAnsi="Times New Roman" w:cs="Times New Roman"/>
          <w:color w:val="000000" w:themeColor="text1"/>
          <w:sz w:val="24"/>
          <w:szCs w:val="24"/>
        </w:rPr>
        <w:t xml:space="preserve">na </w:t>
      </w:r>
      <w:r w:rsidR="007A16D3">
        <w:rPr>
          <w:rFonts w:ascii="Times New Roman" w:hAnsi="Times New Roman" w:cs="Times New Roman"/>
          <w:color w:val="000000" w:themeColor="text1"/>
          <w:sz w:val="24"/>
          <w:szCs w:val="24"/>
        </w:rPr>
        <w:t>czynności Prezesa Urzędu w </w:t>
      </w:r>
      <w:r w:rsidR="00222FE9" w:rsidRPr="00D84154">
        <w:rPr>
          <w:rFonts w:ascii="Times New Roman" w:hAnsi="Times New Roman" w:cs="Times New Roman"/>
          <w:color w:val="000000" w:themeColor="text1"/>
          <w:sz w:val="24"/>
          <w:szCs w:val="24"/>
        </w:rPr>
        <w:t>przedmiocie wykonania wniosku o powiadomienie – przepis ten stanowić będzie wdrożenie art. 28 ust. 2 dyrektywy w zakresie</w:t>
      </w:r>
      <w:r w:rsidR="003427A5">
        <w:rPr>
          <w:rFonts w:ascii="Times New Roman" w:hAnsi="Times New Roman" w:cs="Times New Roman"/>
          <w:color w:val="000000" w:themeColor="text1"/>
          <w:sz w:val="24"/>
          <w:szCs w:val="24"/>
        </w:rPr>
        <w:t>,</w:t>
      </w:r>
      <w:r w:rsidR="00222FE9" w:rsidRPr="00D84154">
        <w:rPr>
          <w:rFonts w:ascii="Times New Roman" w:hAnsi="Times New Roman" w:cs="Times New Roman"/>
          <w:color w:val="000000" w:themeColor="text1"/>
          <w:sz w:val="24"/>
          <w:szCs w:val="24"/>
        </w:rPr>
        <w:t xml:space="preserve"> w jakim stanowi on, że rozstrzyganie sporów dotyczących </w:t>
      </w:r>
      <w:r w:rsidR="00922CE6" w:rsidRPr="00D84154">
        <w:rPr>
          <w:rFonts w:ascii="Times New Roman" w:hAnsi="Times New Roman" w:cs="Times New Roman"/>
          <w:color w:val="000000" w:themeColor="text1"/>
          <w:sz w:val="24"/>
          <w:szCs w:val="24"/>
        </w:rPr>
        <w:t>ważności</w:t>
      </w:r>
      <w:r w:rsidR="00222FE9" w:rsidRPr="00D84154">
        <w:rPr>
          <w:rFonts w:ascii="Times New Roman" w:hAnsi="Times New Roman" w:cs="Times New Roman"/>
          <w:color w:val="000000" w:themeColor="text1"/>
          <w:sz w:val="24"/>
          <w:szCs w:val="24"/>
        </w:rPr>
        <w:t xml:space="preserve"> notyfikacji dokonanej przez or</w:t>
      </w:r>
      <w:r w:rsidR="007A16D3">
        <w:rPr>
          <w:rFonts w:ascii="Times New Roman" w:hAnsi="Times New Roman" w:cs="Times New Roman"/>
          <w:color w:val="000000" w:themeColor="text1"/>
          <w:sz w:val="24"/>
          <w:szCs w:val="24"/>
        </w:rPr>
        <w:t>gan realizujący wniosek o </w:t>
      </w:r>
      <w:r w:rsidR="00222FE9" w:rsidRPr="00D84154">
        <w:rPr>
          <w:rFonts w:ascii="Times New Roman" w:hAnsi="Times New Roman" w:cs="Times New Roman"/>
          <w:color w:val="000000" w:themeColor="text1"/>
          <w:sz w:val="24"/>
          <w:szCs w:val="24"/>
        </w:rPr>
        <w:t>powiadomienie wchodz</w:t>
      </w:r>
      <w:r w:rsidR="00B14C81" w:rsidRPr="00D84154">
        <w:rPr>
          <w:rFonts w:ascii="Times New Roman" w:hAnsi="Times New Roman" w:cs="Times New Roman"/>
          <w:color w:val="000000" w:themeColor="text1"/>
          <w:sz w:val="24"/>
          <w:szCs w:val="24"/>
        </w:rPr>
        <w:t>i</w:t>
      </w:r>
      <w:r w:rsidR="00222FE9" w:rsidRPr="00D84154">
        <w:rPr>
          <w:rFonts w:ascii="Times New Roman" w:hAnsi="Times New Roman" w:cs="Times New Roman"/>
          <w:color w:val="000000" w:themeColor="text1"/>
          <w:sz w:val="24"/>
          <w:szCs w:val="24"/>
        </w:rPr>
        <w:t xml:space="preserve"> w zakres uprawnień organów właściwych państwa, do którego skierowano wniosek</w:t>
      </w:r>
      <w:r w:rsidR="00922CE6" w:rsidRPr="00D84154">
        <w:rPr>
          <w:rFonts w:ascii="Times New Roman" w:hAnsi="Times New Roman" w:cs="Times New Roman"/>
          <w:color w:val="000000" w:themeColor="text1"/>
          <w:sz w:val="24"/>
          <w:szCs w:val="24"/>
        </w:rPr>
        <w:t>;</w:t>
      </w:r>
    </w:p>
    <w:p w14:paraId="7EC05A9A" w14:textId="2DF9D495" w:rsidR="00222FE9" w:rsidRPr="00D84154" w:rsidRDefault="00FA39BF" w:rsidP="003427A5">
      <w:pPr>
        <w:spacing w:before="120" w:after="0" w:line="36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ab/>
      </w:r>
      <w:r w:rsidR="00222FE9" w:rsidRPr="00D84154">
        <w:rPr>
          <w:rFonts w:ascii="Times New Roman" w:hAnsi="Times New Roman" w:cs="Times New Roman"/>
          <w:color w:val="000000" w:themeColor="text1"/>
          <w:sz w:val="24"/>
          <w:szCs w:val="24"/>
        </w:rPr>
        <w:t>zgodności z prawem jednolitego instrumentu, jeżel</w:t>
      </w:r>
      <w:r w:rsidR="007A16D3">
        <w:rPr>
          <w:rFonts w:ascii="Times New Roman" w:hAnsi="Times New Roman" w:cs="Times New Roman"/>
          <w:color w:val="000000" w:themeColor="text1"/>
          <w:sz w:val="24"/>
          <w:szCs w:val="24"/>
        </w:rPr>
        <w:t>i organem składającym wniosek o </w:t>
      </w:r>
      <w:r w:rsidR="00222FE9" w:rsidRPr="00D84154">
        <w:rPr>
          <w:rFonts w:ascii="Times New Roman" w:hAnsi="Times New Roman" w:cs="Times New Roman"/>
          <w:color w:val="000000" w:themeColor="text1"/>
          <w:sz w:val="24"/>
          <w:szCs w:val="24"/>
        </w:rPr>
        <w:t xml:space="preserve">pomoc jest Prezes UOKiK – art. </w:t>
      </w:r>
      <w:r w:rsidR="00CF5956" w:rsidRPr="00D84154">
        <w:rPr>
          <w:rFonts w:ascii="Times New Roman" w:hAnsi="Times New Roman" w:cs="Times New Roman"/>
          <w:color w:val="000000" w:themeColor="text1"/>
          <w:sz w:val="24"/>
          <w:szCs w:val="24"/>
        </w:rPr>
        <w:t>113</w:t>
      </w:r>
      <w:r w:rsidR="00BB02BF" w:rsidRPr="00D84154">
        <w:rPr>
          <w:rFonts w:ascii="Times New Roman" w:hAnsi="Times New Roman" w:cs="Times New Roman"/>
          <w:color w:val="000000" w:themeColor="text1"/>
          <w:sz w:val="24"/>
          <w:szCs w:val="24"/>
        </w:rPr>
        <w:t>p</w:t>
      </w:r>
      <w:r w:rsidR="00CF5956" w:rsidRPr="00D84154">
        <w:rPr>
          <w:rFonts w:ascii="Times New Roman" w:hAnsi="Times New Roman" w:cs="Times New Roman"/>
          <w:color w:val="000000" w:themeColor="text1"/>
          <w:sz w:val="24"/>
          <w:szCs w:val="24"/>
        </w:rPr>
        <w:t xml:space="preserve"> </w:t>
      </w:r>
      <w:r w:rsidR="00222FE9" w:rsidRPr="00D84154">
        <w:rPr>
          <w:rFonts w:ascii="Times New Roman" w:hAnsi="Times New Roman" w:cs="Times New Roman"/>
          <w:color w:val="000000" w:themeColor="text1"/>
          <w:sz w:val="24"/>
          <w:szCs w:val="24"/>
        </w:rPr>
        <w:t>ust. 4</w:t>
      </w:r>
      <w:r w:rsidR="003427A5">
        <w:rPr>
          <w:rFonts w:ascii="Times New Roman" w:hAnsi="Times New Roman" w:cs="Times New Roman"/>
          <w:color w:val="000000" w:themeColor="text1"/>
          <w:sz w:val="24"/>
          <w:szCs w:val="24"/>
        </w:rPr>
        <w:t>–</w:t>
      </w:r>
      <w:r w:rsidR="00660879" w:rsidRPr="00D84154">
        <w:rPr>
          <w:rFonts w:ascii="Times New Roman" w:hAnsi="Times New Roman" w:cs="Times New Roman"/>
          <w:color w:val="000000" w:themeColor="text1"/>
          <w:sz w:val="24"/>
          <w:szCs w:val="24"/>
        </w:rPr>
        <w:t>10</w:t>
      </w:r>
      <w:r w:rsidR="00222FE9" w:rsidRPr="00D84154">
        <w:rPr>
          <w:rFonts w:ascii="Times New Roman" w:hAnsi="Times New Roman" w:cs="Times New Roman"/>
          <w:color w:val="000000" w:themeColor="text1"/>
          <w:sz w:val="24"/>
          <w:szCs w:val="24"/>
        </w:rPr>
        <w:t xml:space="preserve"> i art. </w:t>
      </w:r>
      <w:r w:rsidR="00CF5956" w:rsidRPr="00D84154">
        <w:rPr>
          <w:rFonts w:ascii="Times New Roman" w:hAnsi="Times New Roman" w:cs="Times New Roman"/>
          <w:color w:val="000000" w:themeColor="text1"/>
          <w:sz w:val="24"/>
          <w:szCs w:val="24"/>
        </w:rPr>
        <w:t>113</w:t>
      </w:r>
      <w:r w:rsidR="00BB02BF" w:rsidRPr="00D84154">
        <w:rPr>
          <w:rFonts w:ascii="Times New Roman" w:hAnsi="Times New Roman" w:cs="Times New Roman"/>
          <w:color w:val="000000" w:themeColor="text1"/>
          <w:sz w:val="24"/>
          <w:szCs w:val="24"/>
        </w:rPr>
        <w:t>r</w:t>
      </w:r>
      <w:r w:rsidR="00CF5956" w:rsidRPr="00D84154">
        <w:rPr>
          <w:rFonts w:ascii="Times New Roman" w:hAnsi="Times New Roman" w:cs="Times New Roman"/>
          <w:color w:val="000000" w:themeColor="text1"/>
          <w:sz w:val="24"/>
          <w:szCs w:val="24"/>
        </w:rPr>
        <w:t xml:space="preserve"> </w:t>
      </w:r>
      <w:r w:rsidR="00222FE9" w:rsidRPr="00D84154">
        <w:rPr>
          <w:rFonts w:ascii="Times New Roman" w:hAnsi="Times New Roman" w:cs="Times New Roman"/>
          <w:color w:val="000000" w:themeColor="text1"/>
          <w:sz w:val="24"/>
          <w:szCs w:val="24"/>
        </w:rPr>
        <w:t xml:space="preserve">ust. </w:t>
      </w:r>
      <w:r w:rsidR="00660879" w:rsidRPr="00D84154">
        <w:rPr>
          <w:rFonts w:ascii="Times New Roman" w:hAnsi="Times New Roman" w:cs="Times New Roman"/>
          <w:color w:val="000000" w:themeColor="text1"/>
          <w:sz w:val="24"/>
          <w:szCs w:val="24"/>
        </w:rPr>
        <w:t>6</w:t>
      </w:r>
      <w:r w:rsidR="003427A5">
        <w:rPr>
          <w:rFonts w:ascii="Times New Roman" w:hAnsi="Times New Roman" w:cs="Times New Roman"/>
          <w:color w:val="000000" w:themeColor="text1"/>
          <w:sz w:val="24"/>
          <w:szCs w:val="24"/>
        </w:rPr>
        <w:t>–</w:t>
      </w:r>
      <w:r w:rsidR="00660879" w:rsidRPr="00D84154">
        <w:rPr>
          <w:rFonts w:ascii="Times New Roman" w:hAnsi="Times New Roman" w:cs="Times New Roman"/>
          <w:color w:val="000000" w:themeColor="text1"/>
          <w:sz w:val="24"/>
          <w:szCs w:val="24"/>
        </w:rPr>
        <w:t>13</w:t>
      </w:r>
      <w:r w:rsidR="00B14C81" w:rsidRPr="00D84154">
        <w:rPr>
          <w:rFonts w:ascii="Times New Roman" w:hAnsi="Times New Roman" w:cs="Times New Roman"/>
          <w:color w:val="000000" w:themeColor="text1"/>
          <w:sz w:val="24"/>
          <w:szCs w:val="24"/>
        </w:rPr>
        <w:t xml:space="preserve"> ustawy</w:t>
      </w:r>
      <w:r w:rsidR="00161654" w:rsidRPr="00D84154">
        <w:rPr>
          <w:rFonts w:ascii="Times New Roman" w:hAnsi="Times New Roman" w:cs="Times New Roman"/>
          <w:color w:val="000000" w:themeColor="text1"/>
          <w:sz w:val="24"/>
          <w:szCs w:val="24"/>
        </w:rPr>
        <w:t>.</w:t>
      </w:r>
      <w:r w:rsidR="00222FE9" w:rsidRPr="00D84154">
        <w:rPr>
          <w:rFonts w:ascii="Times New Roman" w:hAnsi="Times New Roman" w:cs="Times New Roman"/>
          <w:color w:val="000000" w:themeColor="text1"/>
          <w:sz w:val="24"/>
          <w:szCs w:val="24"/>
        </w:rPr>
        <w:t xml:space="preserve"> </w:t>
      </w:r>
      <w:r w:rsidR="00660879" w:rsidRPr="00D84154">
        <w:rPr>
          <w:rFonts w:ascii="Times New Roman" w:hAnsi="Times New Roman" w:cs="Times New Roman"/>
          <w:color w:val="000000" w:themeColor="text1"/>
          <w:sz w:val="24"/>
          <w:szCs w:val="24"/>
        </w:rPr>
        <w:t>W projekcie przewidziano</w:t>
      </w:r>
      <w:r w:rsidR="00B14C81" w:rsidRPr="00D84154">
        <w:rPr>
          <w:rFonts w:ascii="Times New Roman" w:hAnsi="Times New Roman" w:cs="Times New Roman"/>
          <w:color w:val="000000" w:themeColor="text1"/>
          <w:sz w:val="24"/>
          <w:szCs w:val="24"/>
        </w:rPr>
        <w:t>,</w:t>
      </w:r>
      <w:r w:rsidR="00660879" w:rsidRPr="00D84154">
        <w:rPr>
          <w:rFonts w:ascii="Times New Roman" w:hAnsi="Times New Roman" w:cs="Times New Roman"/>
          <w:color w:val="000000" w:themeColor="text1"/>
          <w:sz w:val="24"/>
          <w:szCs w:val="24"/>
        </w:rPr>
        <w:t xml:space="preserve"> wzorem rozwiązań przyjętych w art. 46</w:t>
      </w:r>
      <w:r w:rsidR="003427A5">
        <w:rPr>
          <w:rFonts w:ascii="Times New Roman" w:hAnsi="Times New Roman" w:cs="Times New Roman"/>
          <w:color w:val="000000" w:themeColor="text1"/>
          <w:sz w:val="24"/>
          <w:szCs w:val="24"/>
        </w:rPr>
        <w:t>–</w:t>
      </w:r>
      <w:r w:rsidR="00660879" w:rsidRPr="00D84154">
        <w:rPr>
          <w:rFonts w:ascii="Times New Roman" w:hAnsi="Times New Roman" w:cs="Times New Roman"/>
          <w:color w:val="000000" w:themeColor="text1"/>
          <w:sz w:val="24"/>
          <w:szCs w:val="24"/>
        </w:rPr>
        <w:t xml:space="preserve">50 ustawy z dnia 11 października 2013 r. o wzajemnej pomocy przy dochodzeniu podatków, należności celnych i innych należności pieniężnych </w:t>
      </w:r>
      <w:r w:rsidR="00400A58" w:rsidRPr="00D84154">
        <w:rPr>
          <w:rFonts w:ascii="Times New Roman" w:hAnsi="Times New Roman" w:cs="Times New Roman"/>
          <w:color w:val="000000" w:themeColor="text1"/>
          <w:sz w:val="24"/>
          <w:szCs w:val="24"/>
        </w:rPr>
        <w:t xml:space="preserve">(Dz. U. z </w:t>
      </w:r>
      <w:r w:rsidR="005C4DD4" w:rsidRPr="00D84154">
        <w:rPr>
          <w:rFonts w:ascii="Times New Roman" w:hAnsi="Times New Roman" w:cs="Times New Roman"/>
          <w:color w:val="000000" w:themeColor="text1"/>
          <w:sz w:val="24"/>
          <w:szCs w:val="24"/>
        </w:rPr>
        <w:t>2021</w:t>
      </w:r>
      <w:r w:rsidR="0003404F" w:rsidRPr="00D84154">
        <w:rPr>
          <w:rFonts w:ascii="Times New Roman" w:hAnsi="Times New Roman" w:cs="Times New Roman"/>
          <w:color w:val="000000" w:themeColor="text1"/>
          <w:sz w:val="24"/>
          <w:szCs w:val="24"/>
        </w:rPr>
        <w:t xml:space="preserve"> r. poz. 2157</w:t>
      </w:r>
      <w:r w:rsidR="00400A58" w:rsidRPr="00D84154">
        <w:rPr>
          <w:rFonts w:ascii="Times New Roman" w:hAnsi="Times New Roman" w:cs="Times New Roman"/>
          <w:color w:val="000000" w:themeColor="text1"/>
          <w:sz w:val="24"/>
          <w:szCs w:val="24"/>
        </w:rPr>
        <w:t xml:space="preserve">), </w:t>
      </w:r>
      <w:r w:rsidR="00660879" w:rsidRPr="00D84154">
        <w:rPr>
          <w:rFonts w:ascii="Times New Roman" w:hAnsi="Times New Roman" w:cs="Times New Roman"/>
          <w:color w:val="000000" w:themeColor="text1"/>
          <w:sz w:val="24"/>
          <w:szCs w:val="24"/>
        </w:rPr>
        <w:t xml:space="preserve">procedurę składania do Prezesa UOKiK zarzutów </w:t>
      </w:r>
      <w:r w:rsidR="00FC103B" w:rsidRPr="00D84154">
        <w:rPr>
          <w:rFonts w:ascii="Times New Roman" w:hAnsi="Times New Roman" w:cs="Times New Roman"/>
          <w:color w:val="000000" w:themeColor="text1"/>
          <w:sz w:val="24"/>
          <w:szCs w:val="24"/>
        </w:rPr>
        <w:t xml:space="preserve">w </w:t>
      </w:r>
      <w:r w:rsidR="00660879" w:rsidRPr="00D84154">
        <w:rPr>
          <w:rFonts w:ascii="Times New Roman" w:hAnsi="Times New Roman" w:cs="Times New Roman"/>
          <w:color w:val="000000" w:themeColor="text1"/>
          <w:sz w:val="24"/>
          <w:szCs w:val="24"/>
        </w:rPr>
        <w:t xml:space="preserve">przedmiocie jednolitego instrumentu, o którym mowa w projektowanych art. </w:t>
      </w:r>
      <w:r w:rsidR="00CF5956" w:rsidRPr="00D84154">
        <w:rPr>
          <w:rFonts w:ascii="Times New Roman" w:hAnsi="Times New Roman" w:cs="Times New Roman"/>
          <w:color w:val="000000" w:themeColor="text1"/>
          <w:sz w:val="24"/>
          <w:szCs w:val="24"/>
        </w:rPr>
        <w:t>113</w:t>
      </w:r>
      <w:r w:rsidR="0003404F" w:rsidRPr="00D84154">
        <w:rPr>
          <w:rFonts w:ascii="Times New Roman" w:hAnsi="Times New Roman" w:cs="Times New Roman"/>
          <w:color w:val="000000" w:themeColor="text1"/>
          <w:sz w:val="24"/>
          <w:szCs w:val="24"/>
        </w:rPr>
        <w:t>p</w:t>
      </w:r>
      <w:r w:rsidR="00CF5956" w:rsidRPr="00D84154">
        <w:rPr>
          <w:rFonts w:ascii="Times New Roman" w:hAnsi="Times New Roman" w:cs="Times New Roman"/>
          <w:color w:val="000000" w:themeColor="text1"/>
          <w:sz w:val="24"/>
          <w:szCs w:val="24"/>
        </w:rPr>
        <w:t xml:space="preserve"> </w:t>
      </w:r>
      <w:r w:rsidR="00660879" w:rsidRPr="00D84154">
        <w:rPr>
          <w:rFonts w:ascii="Times New Roman" w:hAnsi="Times New Roman" w:cs="Times New Roman"/>
          <w:color w:val="000000" w:themeColor="text1"/>
          <w:sz w:val="24"/>
          <w:szCs w:val="24"/>
        </w:rPr>
        <w:t xml:space="preserve">i </w:t>
      </w:r>
      <w:r w:rsidR="00FC103B" w:rsidRPr="00D84154">
        <w:rPr>
          <w:rFonts w:ascii="Times New Roman" w:hAnsi="Times New Roman" w:cs="Times New Roman"/>
          <w:color w:val="000000" w:themeColor="text1"/>
          <w:sz w:val="24"/>
          <w:szCs w:val="24"/>
        </w:rPr>
        <w:t xml:space="preserve">art. </w:t>
      </w:r>
      <w:r w:rsidR="00CF5956" w:rsidRPr="00D84154">
        <w:rPr>
          <w:rFonts w:ascii="Times New Roman" w:hAnsi="Times New Roman" w:cs="Times New Roman"/>
          <w:color w:val="000000" w:themeColor="text1"/>
          <w:sz w:val="24"/>
          <w:szCs w:val="24"/>
        </w:rPr>
        <w:t>113</w:t>
      </w:r>
      <w:r w:rsidR="0003404F" w:rsidRPr="00D84154">
        <w:rPr>
          <w:rFonts w:ascii="Times New Roman" w:hAnsi="Times New Roman" w:cs="Times New Roman"/>
          <w:color w:val="000000" w:themeColor="text1"/>
          <w:sz w:val="24"/>
          <w:szCs w:val="24"/>
        </w:rPr>
        <w:t>r</w:t>
      </w:r>
      <w:r w:rsidR="00660879" w:rsidRPr="00D84154">
        <w:rPr>
          <w:rFonts w:ascii="Times New Roman" w:hAnsi="Times New Roman" w:cs="Times New Roman"/>
          <w:color w:val="000000" w:themeColor="text1"/>
          <w:sz w:val="24"/>
          <w:szCs w:val="24"/>
        </w:rPr>
        <w:t xml:space="preserve">. Rozstrzygnięcia w zakresie ww. zarzutów będą zapadać w drodze postanowienia Prezesa UOKiK, na które będzie przysługiwać zażalenie do </w:t>
      </w:r>
      <w:r w:rsidR="00FC103B" w:rsidRPr="00D84154">
        <w:rPr>
          <w:rFonts w:ascii="Times New Roman" w:hAnsi="Times New Roman" w:cs="Times New Roman"/>
          <w:color w:val="000000" w:themeColor="text1"/>
          <w:sz w:val="24"/>
          <w:szCs w:val="24"/>
        </w:rPr>
        <w:t>sądu ochrony konkurencji i konsumentów</w:t>
      </w:r>
      <w:r w:rsidR="00660879" w:rsidRPr="00D84154">
        <w:rPr>
          <w:rFonts w:ascii="Times New Roman" w:hAnsi="Times New Roman" w:cs="Times New Roman"/>
          <w:color w:val="000000" w:themeColor="text1"/>
          <w:sz w:val="24"/>
          <w:szCs w:val="24"/>
        </w:rPr>
        <w:t xml:space="preserve">. </w:t>
      </w:r>
      <w:r w:rsidR="00222FE9" w:rsidRPr="00D84154">
        <w:rPr>
          <w:rFonts w:ascii="Times New Roman" w:hAnsi="Times New Roman" w:cs="Times New Roman"/>
          <w:color w:val="000000" w:themeColor="text1"/>
          <w:sz w:val="24"/>
          <w:szCs w:val="24"/>
        </w:rPr>
        <w:t xml:space="preserve">Przepisy te stanowią wdrożenie art. 28 ust. 1 lit. b </w:t>
      </w:r>
      <w:r w:rsidR="00FC103B" w:rsidRPr="00D84154">
        <w:rPr>
          <w:rFonts w:ascii="Times New Roman" w:hAnsi="Times New Roman" w:cs="Times New Roman"/>
          <w:color w:val="000000" w:themeColor="text1"/>
          <w:sz w:val="24"/>
          <w:szCs w:val="24"/>
        </w:rPr>
        <w:t>d</w:t>
      </w:r>
      <w:r w:rsidR="00222FE9" w:rsidRPr="00D84154">
        <w:rPr>
          <w:rFonts w:ascii="Times New Roman" w:hAnsi="Times New Roman" w:cs="Times New Roman"/>
          <w:color w:val="000000" w:themeColor="text1"/>
          <w:sz w:val="24"/>
          <w:szCs w:val="24"/>
        </w:rPr>
        <w:t>yrektywy</w:t>
      </w:r>
      <w:r w:rsidR="00161654" w:rsidRPr="00D84154">
        <w:rPr>
          <w:rFonts w:ascii="Times New Roman" w:hAnsi="Times New Roman" w:cs="Times New Roman"/>
          <w:color w:val="000000" w:themeColor="text1"/>
          <w:sz w:val="24"/>
          <w:szCs w:val="24"/>
        </w:rPr>
        <w:t xml:space="preserve"> – rozstrzyganie sporów dotyczących zgodności z prawem </w:t>
      </w:r>
      <w:r w:rsidR="00161654" w:rsidRPr="00D84154">
        <w:rPr>
          <w:rFonts w:ascii="Times New Roman" w:hAnsi="Times New Roman" w:cs="Times New Roman"/>
          <w:color w:val="000000" w:themeColor="text1"/>
          <w:sz w:val="24"/>
          <w:szCs w:val="24"/>
        </w:rPr>
        <w:lastRenderedPageBreak/>
        <w:t xml:space="preserve">jednolitego instrumentu podlega prawu krajowemu państwa, którego </w:t>
      </w:r>
      <w:r w:rsidR="00FC103B" w:rsidRPr="00D84154">
        <w:rPr>
          <w:rFonts w:ascii="Times New Roman" w:hAnsi="Times New Roman" w:cs="Times New Roman"/>
          <w:color w:val="000000" w:themeColor="text1"/>
          <w:sz w:val="24"/>
          <w:szCs w:val="24"/>
        </w:rPr>
        <w:t xml:space="preserve">organ </w:t>
      </w:r>
      <w:r w:rsidR="00161654" w:rsidRPr="00D84154">
        <w:rPr>
          <w:rFonts w:ascii="Times New Roman" w:hAnsi="Times New Roman" w:cs="Times New Roman"/>
          <w:color w:val="000000" w:themeColor="text1"/>
          <w:sz w:val="24"/>
          <w:szCs w:val="24"/>
        </w:rPr>
        <w:t>występ</w:t>
      </w:r>
      <w:r w:rsidR="007A16D3">
        <w:rPr>
          <w:rFonts w:ascii="Times New Roman" w:hAnsi="Times New Roman" w:cs="Times New Roman"/>
          <w:color w:val="000000" w:themeColor="text1"/>
          <w:sz w:val="24"/>
          <w:szCs w:val="24"/>
        </w:rPr>
        <w:t>uje z </w:t>
      </w:r>
      <w:r w:rsidR="00161654" w:rsidRPr="00D84154">
        <w:rPr>
          <w:rFonts w:ascii="Times New Roman" w:hAnsi="Times New Roman" w:cs="Times New Roman"/>
          <w:color w:val="000000" w:themeColor="text1"/>
          <w:sz w:val="24"/>
          <w:szCs w:val="24"/>
        </w:rPr>
        <w:t>wnioskiem</w:t>
      </w:r>
      <w:r w:rsidR="00222FE9" w:rsidRPr="00D84154">
        <w:rPr>
          <w:rFonts w:ascii="Times New Roman" w:hAnsi="Times New Roman" w:cs="Times New Roman"/>
          <w:color w:val="000000" w:themeColor="text1"/>
          <w:sz w:val="24"/>
          <w:szCs w:val="24"/>
        </w:rPr>
        <w:t>.</w:t>
      </w:r>
    </w:p>
    <w:p w14:paraId="6A1D3188" w14:textId="70CD31F2" w:rsidR="00222FE9" w:rsidRPr="00D84154" w:rsidRDefault="00161654"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Projektowany art. </w:t>
      </w:r>
      <w:r w:rsidR="00CF5956" w:rsidRPr="00D84154">
        <w:rPr>
          <w:rFonts w:ascii="Times New Roman" w:hAnsi="Times New Roman" w:cs="Times New Roman"/>
          <w:color w:val="000000" w:themeColor="text1"/>
          <w:sz w:val="24"/>
          <w:szCs w:val="24"/>
        </w:rPr>
        <w:t>113</w:t>
      </w:r>
      <w:r w:rsidR="00AB54DD" w:rsidRPr="00D84154">
        <w:rPr>
          <w:rFonts w:ascii="Times New Roman" w:hAnsi="Times New Roman" w:cs="Times New Roman"/>
          <w:color w:val="000000" w:themeColor="text1"/>
          <w:sz w:val="24"/>
          <w:szCs w:val="24"/>
        </w:rPr>
        <w:t>t</w:t>
      </w:r>
      <w:r w:rsidR="00CF5956" w:rsidRPr="00D84154">
        <w:rPr>
          <w:rFonts w:ascii="Times New Roman" w:hAnsi="Times New Roman" w:cs="Times New Roman"/>
          <w:color w:val="000000" w:themeColor="text1"/>
          <w:sz w:val="24"/>
          <w:szCs w:val="24"/>
        </w:rPr>
        <w:t xml:space="preserve"> </w:t>
      </w:r>
      <w:r w:rsidR="00FC103B" w:rsidRPr="00D84154">
        <w:rPr>
          <w:rFonts w:ascii="Times New Roman" w:hAnsi="Times New Roman" w:cs="Times New Roman"/>
          <w:color w:val="000000" w:themeColor="text1"/>
          <w:sz w:val="24"/>
          <w:szCs w:val="24"/>
        </w:rPr>
        <w:t xml:space="preserve">ustawy </w:t>
      </w:r>
      <w:r w:rsidRPr="00D84154">
        <w:rPr>
          <w:rFonts w:ascii="Times New Roman" w:hAnsi="Times New Roman" w:cs="Times New Roman"/>
          <w:color w:val="000000" w:themeColor="text1"/>
          <w:sz w:val="24"/>
          <w:szCs w:val="24"/>
        </w:rPr>
        <w:t>stanowi wdrożenie art. 28 ust. 1 lit.</w:t>
      </w:r>
      <w:r w:rsidR="00B75589" w:rsidRPr="00D84154">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a</w:t>
      </w:r>
      <w:r w:rsidR="00F65A77">
        <w:rPr>
          <w:rFonts w:ascii="Times New Roman" w:hAnsi="Times New Roman" w:cs="Times New Roman"/>
          <w:color w:val="000000" w:themeColor="text1"/>
          <w:sz w:val="24"/>
          <w:szCs w:val="24"/>
        </w:rPr>
        <w:t xml:space="preserve"> </w:t>
      </w:r>
      <w:r w:rsidR="00FC103B" w:rsidRPr="00D84154">
        <w:rPr>
          <w:rFonts w:ascii="Times New Roman" w:hAnsi="Times New Roman" w:cs="Times New Roman"/>
          <w:color w:val="000000" w:themeColor="text1"/>
          <w:sz w:val="24"/>
          <w:szCs w:val="24"/>
        </w:rPr>
        <w:t>d</w:t>
      </w:r>
      <w:r w:rsidR="007A16D3">
        <w:rPr>
          <w:rFonts w:ascii="Times New Roman" w:hAnsi="Times New Roman" w:cs="Times New Roman"/>
          <w:color w:val="000000" w:themeColor="text1"/>
          <w:sz w:val="24"/>
          <w:szCs w:val="24"/>
        </w:rPr>
        <w:t>yrektywy – spory w </w:t>
      </w:r>
      <w:r w:rsidRPr="00D84154">
        <w:rPr>
          <w:rFonts w:ascii="Times New Roman" w:hAnsi="Times New Roman" w:cs="Times New Roman"/>
          <w:color w:val="000000" w:themeColor="text1"/>
          <w:sz w:val="24"/>
          <w:szCs w:val="24"/>
        </w:rPr>
        <w:t xml:space="preserve">zakresie zgodności z prawem dokumentów, które powinny być notyfikowane na podstawie przepisów wdrażających art. 25 </w:t>
      </w:r>
      <w:r w:rsidR="00FC103B"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 xml:space="preserve">yrektywy lub decyzji, które mają być wykonane na podstawie przepisów wdrażających art. 26 </w:t>
      </w:r>
      <w:r w:rsidR="00FC103B"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yrektywy, powinny być rozstrzygane przez właściwe organy państwa, które występuje z wnioskiem. Przepis ten nie wymaga implementacji</w:t>
      </w:r>
      <w:r w:rsidR="003B7FE6">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w przypadku gdy organem występującym z wnioskiem o powiadomienie je</w:t>
      </w:r>
      <w:r w:rsidR="007A16D3">
        <w:rPr>
          <w:rFonts w:ascii="Times New Roman" w:hAnsi="Times New Roman" w:cs="Times New Roman"/>
          <w:color w:val="000000" w:themeColor="text1"/>
          <w:sz w:val="24"/>
          <w:szCs w:val="24"/>
        </w:rPr>
        <w:t>st Prezes UOKiK, gdyż decyzje i </w:t>
      </w:r>
      <w:r w:rsidRPr="00D84154">
        <w:rPr>
          <w:rFonts w:ascii="Times New Roman" w:hAnsi="Times New Roman" w:cs="Times New Roman"/>
          <w:color w:val="000000" w:themeColor="text1"/>
          <w:sz w:val="24"/>
          <w:szCs w:val="24"/>
        </w:rPr>
        <w:t>postanowienia Prezesa UOKiK podlegające ww. powiadomieniu</w:t>
      </w:r>
      <w:r w:rsidR="00F65A77">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są co do zasady przedmiotem kontroli sądowej na podstawie obowiązujących pr</w:t>
      </w:r>
      <w:r w:rsidR="007A16D3">
        <w:rPr>
          <w:rFonts w:ascii="Times New Roman" w:hAnsi="Times New Roman" w:cs="Times New Roman"/>
          <w:color w:val="000000" w:themeColor="text1"/>
          <w:sz w:val="24"/>
          <w:szCs w:val="24"/>
        </w:rPr>
        <w:t>zepisów (art. 81 ust. 1, 3, 4 i </w:t>
      </w:r>
      <w:r w:rsidRPr="00D84154">
        <w:rPr>
          <w:rFonts w:ascii="Times New Roman" w:hAnsi="Times New Roman" w:cs="Times New Roman"/>
          <w:color w:val="000000" w:themeColor="text1"/>
          <w:sz w:val="24"/>
          <w:szCs w:val="24"/>
        </w:rPr>
        <w:t xml:space="preserve">5 </w:t>
      </w:r>
      <w:r w:rsidR="00FC103B" w:rsidRPr="00D84154">
        <w:rPr>
          <w:rFonts w:ascii="Times New Roman" w:hAnsi="Times New Roman" w:cs="Times New Roman"/>
          <w:color w:val="000000" w:themeColor="text1"/>
          <w:sz w:val="24"/>
          <w:szCs w:val="24"/>
        </w:rPr>
        <w:t>u</w:t>
      </w:r>
      <w:r w:rsidRPr="00D84154">
        <w:rPr>
          <w:rFonts w:ascii="Times New Roman" w:hAnsi="Times New Roman" w:cs="Times New Roman"/>
          <w:color w:val="000000" w:themeColor="text1"/>
          <w:sz w:val="24"/>
          <w:szCs w:val="24"/>
        </w:rPr>
        <w:t>stawy).</w:t>
      </w:r>
    </w:p>
    <w:p w14:paraId="4872E795" w14:textId="3800E083" w:rsidR="00922CE6" w:rsidRPr="00D84154" w:rsidRDefault="00B861AD"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Zgodnie z art. 28 ust. 2 </w:t>
      </w:r>
      <w:r w:rsidR="00FC103B" w:rsidRPr="00D84154">
        <w:rPr>
          <w:rFonts w:ascii="Times New Roman" w:hAnsi="Times New Roman" w:cs="Times New Roman"/>
          <w:color w:val="000000" w:themeColor="text1"/>
          <w:sz w:val="24"/>
          <w:szCs w:val="24"/>
        </w:rPr>
        <w:t>d</w:t>
      </w:r>
      <w:r w:rsidRPr="00D84154">
        <w:rPr>
          <w:rFonts w:ascii="Times New Roman" w:hAnsi="Times New Roman" w:cs="Times New Roman"/>
          <w:color w:val="000000" w:themeColor="text1"/>
          <w:sz w:val="24"/>
          <w:szCs w:val="24"/>
        </w:rPr>
        <w:t xml:space="preserve">yrektywy rozstrzyganie sporów dotyczących </w:t>
      </w:r>
      <w:r w:rsidR="00922CE6" w:rsidRPr="00D84154">
        <w:rPr>
          <w:rFonts w:ascii="Times New Roman" w:hAnsi="Times New Roman" w:cs="Times New Roman"/>
          <w:color w:val="000000" w:themeColor="text1"/>
          <w:sz w:val="24"/>
          <w:szCs w:val="24"/>
        </w:rPr>
        <w:t>czynności podejmowanych w postępowaniu egzekucyjnym w związku z realizacją wniosku innego organu o pomoc w wyegzekwowaniu kar pieniężnych lub okresowych kar pieniężnych</w:t>
      </w:r>
      <w:r w:rsidRPr="00D84154">
        <w:rPr>
          <w:rFonts w:ascii="Times New Roman" w:hAnsi="Times New Roman" w:cs="Times New Roman"/>
          <w:color w:val="000000" w:themeColor="text1"/>
          <w:sz w:val="24"/>
          <w:szCs w:val="24"/>
        </w:rPr>
        <w:t xml:space="preserve"> podlega jurysdykcji państwa realizującego wniosek o wyegzekwowanie kary pieniężnej. </w:t>
      </w:r>
      <w:r w:rsidR="00334CA7" w:rsidRPr="00D84154">
        <w:rPr>
          <w:rFonts w:ascii="Times New Roman" w:hAnsi="Times New Roman" w:cs="Times New Roman"/>
          <w:color w:val="000000" w:themeColor="text1"/>
          <w:sz w:val="24"/>
          <w:szCs w:val="24"/>
        </w:rPr>
        <w:t>Wdrożenie tego przepisu będzie zapewnione</w:t>
      </w:r>
      <w:r w:rsidR="002D5C10" w:rsidRPr="00D84154">
        <w:rPr>
          <w:rFonts w:ascii="Times New Roman" w:hAnsi="Times New Roman" w:cs="Times New Roman"/>
          <w:color w:val="000000" w:themeColor="text1"/>
          <w:sz w:val="24"/>
          <w:szCs w:val="24"/>
        </w:rPr>
        <w:t xml:space="preserve"> przez obecnie obowiązujące regulacje ustawy o postępowaniu egzekucyjnym w administracji oraz ustawy </w:t>
      </w:r>
      <w:r w:rsidR="005B5A66" w:rsidRPr="00D84154">
        <w:rPr>
          <w:rFonts w:ascii="Times New Roman" w:hAnsi="Times New Roman" w:cs="Times New Roman"/>
          <w:color w:val="000000" w:themeColor="text1"/>
          <w:sz w:val="24"/>
          <w:szCs w:val="24"/>
        </w:rPr>
        <w:t xml:space="preserve">z dnia 30 sierpnia 2002 r. </w:t>
      </w:r>
      <w:r w:rsidR="002D5C10" w:rsidRPr="00D84154">
        <w:rPr>
          <w:rFonts w:ascii="Times New Roman" w:hAnsi="Times New Roman" w:cs="Times New Roman"/>
          <w:color w:val="000000" w:themeColor="text1"/>
          <w:sz w:val="24"/>
          <w:szCs w:val="24"/>
        </w:rPr>
        <w:t>– Prawo o postępowaniu przed sądami administracyjnymi</w:t>
      </w:r>
      <w:r w:rsidR="005B5A66" w:rsidRPr="00D84154">
        <w:rPr>
          <w:rFonts w:ascii="Times New Roman" w:hAnsi="Times New Roman" w:cs="Times New Roman"/>
          <w:color w:val="000000" w:themeColor="text1"/>
          <w:sz w:val="24"/>
          <w:szCs w:val="24"/>
        </w:rPr>
        <w:t xml:space="preserve"> (Dz. U. z </w:t>
      </w:r>
      <w:r w:rsidR="00AB54DD" w:rsidRPr="00D84154">
        <w:rPr>
          <w:rFonts w:ascii="Times New Roman" w:hAnsi="Times New Roman" w:cs="Times New Roman"/>
          <w:color w:val="000000" w:themeColor="text1"/>
          <w:sz w:val="24"/>
          <w:szCs w:val="24"/>
        </w:rPr>
        <w:t>2022 r. poz. 329</w:t>
      </w:r>
      <w:r w:rsidR="005B5A66" w:rsidRPr="00D84154">
        <w:rPr>
          <w:rFonts w:ascii="Times New Roman" w:hAnsi="Times New Roman" w:cs="Times New Roman"/>
          <w:color w:val="000000" w:themeColor="text1"/>
          <w:sz w:val="24"/>
          <w:szCs w:val="24"/>
        </w:rPr>
        <w:t>, z późn. zm.)</w:t>
      </w:r>
      <w:r w:rsidR="007A16D3">
        <w:rPr>
          <w:rFonts w:ascii="Times New Roman" w:hAnsi="Times New Roman" w:cs="Times New Roman"/>
          <w:color w:val="000000" w:themeColor="text1"/>
          <w:sz w:val="24"/>
          <w:szCs w:val="24"/>
        </w:rPr>
        <w:t>. Zgodnie z art. </w:t>
      </w:r>
      <w:r w:rsidR="002D5C10" w:rsidRPr="00D84154">
        <w:rPr>
          <w:rFonts w:ascii="Times New Roman" w:hAnsi="Times New Roman" w:cs="Times New Roman"/>
          <w:color w:val="000000" w:themeColor="text1"/>
          <w:sz w:val="24"/>
          <w:szCs w:val="24"/>
        </w:rPr>
        <w:t>54 ustawy o postępowaniu egzekucyjnym w administracji na czynność egzekucyjną organu egzekucyjnego przysługuje skarga, do rozpatrzenia której wła</w:t>
      </w:r>
      <w:r w:rsidR="007A16D3">
        <w:rPr>
          <w:rFonts w:ascii="Times New Roman" w:hAnsi="Times New Roman" w:cs="Times New Roman"/>
          <w:color w:val="000000" w:themeColor="text1"/>
          <w:sz w:val="24"/>
          <w:szCs w:val="24"/>
        </w:rPr>
        <w:t>ściwy jest organ egzekucyjny, a </w:t>
      </w:r>
      <w:r w:rsidR="002D5C10" w:rsidRPr="00D84154">
        <w:rPr>
          <w:rFonts w:ascii="Times New Roman" w:hAnsi="Times New Roman" w:cs="Times New Roman"/>
          <w:color w:val="000000" w:themeColor="text1"/>
          <w:sz w:val="24"/>
          <w:szCs w:val="24"/>
        </w:rPr>
        <w:t>na postanowienie tego organu przysługuje zażalenie, do rozpatrzenia którego właściwy jest organ sprawujący nadzór nad organem egzekucyjnym (art. 23 § 4 u</w:t>
      </w:r>
      <w:r w:rsidR="005B5A66" w:rsidRPr="00D84154">
        <w:rPr>
          <w:rFonts w:ascii="Times New Roman" w:hAnsi="Times New Roman" w:cs="Times New Roman"/>
          <w:color w:val="000000" w:themeColor="text1"/>
          <w:sz w:val="24"/>
          <w:szCs w:val="24"/>
        </w:rPr>
        <w:t>stawy o postępowaniu egzekucyjnym w administracji</w:t>
      </w:r>
      <w:r w:rsidR="002D5C10" w:rsidRPr="00D84154">
        <w:rPr>
          <w:rFonts w:ascii="Times New Roman" w:hAnsi="Times New Roman" w:cs="Times New Roman"/>
          <w:color w:val="000000" w:themeColor="text1"/>
          <w:sz w:val="24"/>
          <w:szCs w:val="24"/>
        </w:rPr>
        <w:t xml:space="preserve">). Skargi na postanowienia wydane w postępowaniu egzekucyjnym rozpatruje sąd administracyjny zgodnie z art. 3 § 2 pkt 3 ustawy z dnia 30 sierpnia 2002 r. </w:t>
      </w:r>
      <w:r w:rsidR="003427A5">
        <w:rPr>
          <w:rFonts w:ascii="Times New Roman" w:hAnsi="Times New Roman" w:cs="Times New Roman"/>
          <w:color w:val="000000" w:themeColor="text1"/>
          <w:sz w:val="24"/>
          <w:szCs w:val="24"/>
        </w:rPr>
        <w:t>–</w:t>
      </w:r>
      <w:r w:rsidR="005B5A66" w:rsidRPr="00D84154">
        <w:rPr>
          <w:rFonts w:ascii="Times New Roman" w:hAnsi="Times New Roman" w:cs="Times New Roman"/>
          <w:color w:val="000000" w:themeColor="text1"/>
          <w:sz w:val="24"/>
          <w:szCs w:val="24"/>
        </w:rPr>
        <w:t xml:space="preserve"> </w:t>
      </w:r>
      <w:r w:rsidR="002D5C10" w:rsidRPr="00D84154">
        <w:rPr>
          <w:rFonts w:ascii="Times New Roman" w:hAnsi="Times New Roman" w:cs="Times New Roman"/>
          <w:color w:val="000000" w:themeColor="text1"/>
          <w:sz w:val="24"/>
          <w:szCs w:val="24"/>
        </w:rPr>
        <w:t>Prawo o postępowaniu przed sądami administracyjnymi.</w:t>
      </w:r>
    </w:p>
    <w:p w14:paraId="3F52B4CD" w14:textId="705A83C2" w:rsidR="00557534" w:rsidRPr="00D84154" w:rsidRDefault="00557534" w:rsidP="00D84154">
      <w:pPr>
        <w:pStyle w:val="Akapitzlist"/>
        <w:numPr>
          <w:ilvl w:val="0"/>
          <w:numId w:val="2"/>
        </w:numPr>
        <w:spacing w:before="120" w:after="0" w:line="360" w:lineRule="auto"/>
        <w:ind w:left="426" w:hanging="426"/>
        <w:jc w:val="both"/>
        <w:rPr>
          <w:rFonts w:ascii="Times New Roman" w:hAnsi="Times New Roman" w:cs="Times New Roman"/>
          <w:b/>
          <w:bCs/>
          <w:color w:val="000000" w:themeColor="text1"/>
          <w:sz w:val="24"/>
          <w:szCs w:val="24"/>
        </w:rPr>
      </w:pPr>
      <w:bookmarkStart w:id="2" w:name="_Hlk53071535"/>
      <w:r w:rsidRPr="00D84154">
        <w:rPr>
          <w:rFonts w:ascii="Times New Roman" w:hAnsi="Times New Roman" w:cs="Times New Roman"/>
          <w:b/>
          <w:bCs/>
          <w:color w:val="000000" w:themeColor="text1"/>
          <w:sz w:val="24"/>
          <w:szCs w:val="24"/>
        </w:rPr>
        <w:t>Zmiany wynikające z wyrok</w:t>
      </w:r>
      <w:r w:rsidR="00EE3D90" w:rsidRPr="00D84154">
        <w:rPr>
          <w:rFonts w:ascii="Times New Roman" w:hAnsi="Times New Roman" w:cs="Times New Roman"/>
          <w:b/>
          <w:bCs/>
          <w:color w:val="000000" w:themeColor="text1"/>
          <w:sz w:val="24"/>
          <w:szCs w:val="24"/>
        </w:rPr>
        <w:t>u</w:t>
      </w:r>
      <w:r w:rsidRPr="00D84154">
        <w:rPr>
          <w:rFonts w:ascii="Times New Roman" w:hAnsi="Times New Roman" w:cs="Times New Roman"/>
          <w:b/>
          <w:bCs/>
          <w:color w:val="000000" w:themeColor="text1"/>
          <w:sz w:val="24"/>
          <w:szCs w:val="24"/>
        </w:rPr>
        <w:t xml:space="preserve"> Trybunału Konstytu</w:t>
      </w:r>
      <w:r w:rsidR="007A16D3">
        <w:rPr>
          <w:rFonts w:ascii="Times New Roman" w:hAnsi="Times New Roman" w:cs="Times New Roman"/>
          <w:b/>
          <w:bCs/>
          <w:color w:val="000000" w:themeColor="text1"/>
          <w:sz w:val="24"/>
          <w:szCs w:val="24"/>
        </w:rPr>
        <w:t>cyjnego z dnia 16 stycznia 2019 </w:t>
      </w:r>
      <w:r w:rsidRPr="00D84154">
        <w:rPr>
          <w:rFonts w:ascii="Times New Roman" w:hAnsi="Times New Roman" w:cs="Times New Roman"/>
          <w:b/>
          <w:bCs/>
          <w:color w:val="000000" w:themeColor="text1"/>
          <w:sz w:val="24"/>
          <w:szCs w:val="24"/>
        </w:rPr>
        <w:t>r. sygn. P 19/17</w:t>
      </w:r>
    </w:p>
    <w:bookmarkEnd w:id="2"/>
    <w:p w14:paraId="62EEF09E" w14:textId="41EC25C7" w:rsidR="00922CE6" w:rsidRPr="00D84154" w:rsidRDefault="00711B3A"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Poza zakresem nowelizacji ustawy związanym</w:t>
      </w:r>
      <w:r w:rsidR="00F239DF" w:rsidRPr="00D84154">
        <w:rPr>
          <w:rFonts w:ascii="Times New Roman" w:hAnsi="Times New Roman" w:cs="Times New Roman"/>
          <w:color w:val="000000" w:themeColor="text1"/>
          <w:sz w:val="24"/>
          <w:szCs w:val="24"/>
        </w:rPr>
        <w:t xml:space="preserve"> z koniecznością wdrożenia </w:t>
      </w:r>
      <w:r w:rsidR="00073576" w:rsidRPr="00D84154">
        <w:rPr>
          <w:rFonts w:ascii="Times New Roman" w:hAnsi="Times New Roman" w:cs="Times New Roman"/>
          <w:color w:val="000000" w:themeColor="text1"/>
          <w:sz w:val="24"/>
          <w:szCs w:val="24"/>
        </w:rPr>
        <w:t>d</w:t>
      </w:r>
      <w:r w:rsidR="00F239DF" w:rsidRPr="00D84154">
        <w:rPr>
          <w:rFonts w:ascii="Times New Roman" w:hAnsi="Times New Roman" w:cs="Times New Roman"/>
          <w:color w:val="000000" w:themeColor="text1"/>
          <w:sz w:val="24"/>
          <w:szCs w:val="24"/>
        </w:rPr>
        <w:t xml:space="preserve">yrektywy </w:t>
      </w:r>
      <w:r w:rsidR="00EE3D90" w:rsidRPr="00D84154">
        <w:rPr>
          <w:rFonts w:ascii="Times New Roman" w:hAnsi="Times New Roman" w:cs="Times New Roman"/>
          <w:color w:val="000000" w:themeColor="text1"/>
          <w:sz w:val="24"/>
          <w:szCs w:val="24"/>
        </w:rPr>
        <w:t>są zmiany wynikające z wyroku Trybunału Konstytucyjnego z dnia 16 stycznia 2019 r. w sprawie o sygn. P 19/17.</w:t>
      </w:r>
      <w:r w:rsidR="00F65A77">
        <w:rPr>
          <w:rFonts w:ascii="Times New Roman" w:hAnsi="Times New Roman" w:cs="Times New Roman"/>
          <w:color w:val="000000" w:themeColor="text1"/>
          <w:sz w:val="24"/>
          <w:szCs w:val="24"/>
        </w:rPr>
        <w:t xml:space="preserve"> </w:t>
      </w:r>
      <w:r w:rsidR="00922CE6" w:rsidRPr="00D84154">
        <w:rPr>
          <w:rFonts w:ascii="Times New Roman" w:hAnsi="Times New Roman" w:cs="Times New Roman"/>
          <w:color w:val="000000" w:themeColor="text1"/>
          <w:sz w:val="24"/>
          <w:szCs w:val="24"/>
        </w:rPr>
        <w:t xml:space="preserve">Zgodnie z art. 105n ust. 1 </w:t>
      </w:r>
      <w:r w:rsidR="00BF1D7A" w:rsidRPr="00D84154">
        <w:rPr>
          <w:rFonts w:ascii="Times New Roman" w:hAnsi="Times New Roman" w:cs="Times New Roman"/>
          <w:color w:val="000000" w:themeColor="text1"/>
          <w:sz w:val="24"/>
          <w:szCs w:val="24"/>
        </w:rPr>
        <w:t>u</w:t>
      </w:r>
      <w:r w:rsidR="00922CE6" w:rsidRPr="00D84154">
        <w:rPr>
          <w:rFonts w:ascii="Times New Roman" w:hAnsi="Times New Roman" w:cs="Times New Roman"/>
          <w:color w:val="000000" w:themeColor="text1"/>
          <w:sz w:val="24"/>
          <w:szCs w:val="24"/>
        </w:rPr>
        <w:t xml:space="preserve">stawy w sprawach praktyk ograniczających konkurencję, w toku postępowania wyjaśniającego i postępowania antymonopolowego, Prezes Urzędu może przeprowadzić u przedsiębiorcy przeszukanie pomieszczeń i rzeczy. W świetle ww. przepisu celem przeszukania jest znalezienie i uzyskanie informacji z akt, ksiąg, pism, </w:t>
      </w:r>
      <w:r w:rsidR="00922CE6" w:rsidRPr="00D84154">
        <w:rPr>
          <w:rFonts w:ascii="Times New Roman" w:hAnsi="Times New Roman" w:cs="Times New Roman"/>
          <w:color w:val="000000" w:themeColor="text1"/>
          <w:sz w:val="24"/>
          <w:szCs w:val="24"/>
        </w:rPr>
        <w:lastRenderedPageBreak/>
        <w:t>wszelkiego rodzaju dokumentów lub informatycznych nośników danych, urządzeń oraz systemów informatycznych oraz innych przedmiotów mogących stanowić dowód w sprawie, zaś przesłanką umożliwiającą przeprowadzenie przeszukania jest zaistnienie uzasadnionych podstaw do przypuszczenia, że wymienione informacj</w:t>
      </w:r>
      <w:r w:rsidR="007A16D3">
        <w:rPr>
          <w:rFonts w:ascii="Times New Roman" w:hAnsi="Times New Roman" w:cs="Times New Roman"/>
          <w:color w:val="000000" w:themeColor="text1"/>
          <w:sz w:val="24"/>
          <w:szCs w:val="24"/>
        </w:rPr>
        <w:t>e lub przedmioty znajdują się w </w:t>
      </w:r>
      <w:r w:rsidR="00922CE6" w:rsidRPr="00D84154">
        <w:rPr>
          <w:rFonts w:ascii="Times New Roman" w:hAnsi="Times New Roman" w:cs="Times New Roman"/>
          <w:color w:val="000000" w:themeColor="text1"/>
          <w:sz w:val="24"/>
          <w:szCs w:val="24"/>
        </w:rPr>
        <w:t xml:space="preserve">pomieszczeniach/rzeczach danego przedsiębiorcy. Uprawnienie Prezesa Urzędu do wystąpienia o zgodę na przeszukanie </w:t>
      </w:r>
      <w:r w:rsidR="00C6481B" w:rsidRPr="00D84154">
        <w:rPr>
          <w:rFonts w:ascii="Times New Roman" w:hAnsi="Times New Roman" w:cs="Times New Roman"/>
          <w:color w:val="000000" w:themeColor="text1"/>
          <w:sz w:val="24"/>
          <w:szCs w:val="24"/>
        </w:rPr>
        <w:t xml:space="preserve">w </w:t>
      </w:r>
      <w:r w:rsidR="00922CE6" w:rsidRPr="00D84154">
        <w:rPr>
          <w:rFonts w:ascii="Times New Roman" w:hAnsi="Times New Roman" w:cs="Times New Roman"/>
          <w:color w:val="000000" w:themeColor="text1"/>
          <w:sz w:val="24"/>
          <w:szCs w:val="24"/>
        </w:rPr>
        <w:t xml:space="preserve">toku postępowania wyjaśniającego jest dodatkowo ograniczone wyłącznie do sytuacji, gdy zachodzi uzasadnione podejrzenie poważnego naruszenia przepisów ustawy, w szczególności gdy mogłoby </w:t>
      </w:r>
      <w:r w:rsidR="007A16D3">
        <w:rPr>
          <w:rFonts w:ascii="Times New Roman" w:hAnsi="Times New Roman" w:cs="Times New Roman"/>
          <w:color w:val="000000" w:themeColor="text1"/>
          <w:sz w:val="24"/>
          <w:szCs w:val="24"/>
        </w:rPr>
        <w:t>dojść do zatarcia dowodów (art. </w:t>
      </w:r>
      <w:r w:rsidR="00922CE6" w:rsidRPr="00D84154">
        <w:rPr>
          <w:rFonts w:ascii="Times New Roman" w:hAnsi="Times New Roman" w:cs="Times New Roman"/>
          <w:color w:val="000000" w:themeColor="text1"/>
          <w:sz w:val="24"/>
          <w:szCs w:val="24"/>
        </w:rPr>
        <w:t>105n ust. 3</w:t>
      </w:r>
      <w:r w:rsidR="00C6481B" w:rsidRPr="00D84154">
        <w:rPr>
          <w:rFonts w:ascii="Times New Roman" w:hAnsi="Times New Roman" w:cs="Times New Roman"/>
          <w:color w:val="000000" w:themeColor="text1"/>
          <w:sz w:val="24"/>
          <w:szCs w:val="24"/>
        </w:rPr>
        <w:t xml:space="preserve"> ustawy</w:t>
      </w:r>
      <w:r w:rsidR="007A16D3">
        <w:rPr>
          <w:rFonts w:ascii="Times New Roman" w:hAnsi="Times New Roman" w:cs="Times New Roman"/>
          <w:color w:val="000000" w:themeColor="text1"/>
          <w:sz w:val="24"/>
          <w:szCs w:val="24"/>
        </w:rPr>
        <w:t>).</w:t>
      </w:r>
    </w:p>
    <w:p w14:paraId="0391B691" w14:textId="6EAA20C1" w:rsidR="00922CE6" w:rsidRPr="00D84154" w:rsidRDefault="00922CE6"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Przeprowadzenie przeszukania w każdym przypadku wymaga zgody sądu ochrony konkurencji i konsumentów, która jest udzielana na wniosek Prezesa Urzędu (art. 105n ust. 2</w:t>
      </w:r>
      <w:r w:rsidR="00C6481B" w:rsidRPr="00D84154">
        <w:rPr>
          <w:rFonts w:ascii="Times New Roman" w:hAnsi="Times New Roman" w:cs="Times New Roman"/>
          <w:color w:val="000000" w:themeColor="text1"/>
          <w:sz w:val="24"/>
          <w:szCs w:val="24"/>
        </w:rPr>
        <w:t xml:space="preserve"> ustawy</w:t>
      </w:r>
      <w:r w:rsidRPr="00D84154">
        <w:rPr>
          <w:rFonts w:ascii="Times New Roman" w:hAnsi="Times New Roman" w:cs="Times New Roman"/>
          <w:color w:val="000000" w:themeColor="text1"/>
          <w:sz w:val="24"/>
          <w:szCs w:val="24"/>
        </w:rPr>
        <w:t>). Sąd ochrony konkurencji i konsumentów dokonuje weryfikacji wystąpienia przesłanek przeprowadzenia przeszukania, zawartych w art. 105n ust. 1 lub ust. 3, i wydaje postanowienie w sprawie wniosku Prezesa Urzędu w ciągu 48 godzin (art. 105n ust. 4 zd</w:t>
      </w:r>
      <w:r w:rsidR="00C6481B" w:rsidRPr="00D84154">
        <w:rPr>
          <w:rFonts w:ascii="Times New Roman" w:hAnsi="Times New Roman" w:cs="Times New Roman"/>
          <w:color w:val="000000" w:themeColor="text1"/>
          <w:sz w:val="24"/>
          <w:szCs w:val="24"/>
        </w:rPr>
        <w:t>anie pierwsze</w:t>
      </w:r>
      <w:r w:rsidRPr="00D84154">
        <w:rPr>
          <w:rFonts w:ascii="Times New Roman" w:hAnsi="Times New Roman" w:cs="Times New Roman"/>
          <w:color w:val="000000" w:themeColor="text1"/>
          <w:sz w:val="24"/>
          <w:szCs w:val="24"/>
        </w:rPr>
        <w:t xml:space="preserve">). </w:t>
      </w:r>
      <w:r w:rsidR="007A16D3">
        <w:rPr>
          <w:rFonts w:ascii="Times New Roman" w:hAnsi="Times New Roman" w:cs="Times New Roman"/>
          <w:color w:val="000000" w:themeColor="text1"/>
          <w:sz w:val="24"/>
          <w:szCs w:val="24"/>
        </w:rPr>
        <w:t>W </w:t>
      </w:r>
      <w:r w:rsidR="00857FA9" w:rsidRPr="00D84154">
        <w:rPr>
          <w:rFonts w:ascii="Times New Roman" w:hAnsi="Times New Roman" w:cs="Times New Roman"/>
          <w:color w:val="000000" w:themeColor="text1"/>
          <w:sz w:val="24"/>
          <w:szCs w:val="24"/>
        </w:rPr>
        <w:t>stanie prawnym obowiązującym w chwili orzekania przez Trybunał Konstytucyjny, z</w:t>
      </w:r>
      <w:r w:rsidRPr="00D84154">
        <w:rPr>
          <w:rFonts w:ascii="Times New Roman" w:hAnsi="Times New Roman" w:cs="Times New Roman"/>
          <w:color w:val="000000" w:themeColor="text1"/>
          <w:sz w:val="24"/>
          <w:szCs w:val="24"/>
        </w:rPr>
        <w:t>godnie z art. 105n ust. 4 zd</w:t>
      </w:r>
      <w:r w:rsidR="00C6481B" w:rsidRPr="00D84154">
        <w:rPr>
          <w:rFonts w:ascii="Times New Roman" w:hAnsi="Times New Roman" w:cs="Times New Roman"/>
          <w:color w:val="000000" w:themeColor="text1"/>
          <w:sz w:val="24"/>
          <w:szCs w:val="24"/>
        </w:rPr>
        <w:t>anie drugie</w:t>
      </w:r>
      <w:r w:rsidR="00103745">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na postanowienie sądu ochrony konkurencji i konsumentów </w:t>
      </w:r>
      <w:r w:rsidR="007A16D3">
        <w:rPr>
          <w:rFonts w:ascii="Times New Roman" w:hAnsi="Times New Roman" w:cs="Times New Roman"/>
          <w:color w:val="000000" w:themeColor="text1"/>
          <w:sz w:val="24"/>
          <w:szCs w:val="24"/>
        </w:rPr>
        <w:t>w </w:t>
      </w:r>
      <w:r w:rsidRPr="00D84154">
        <w:rPr>
          <w:rFonts w:ascii="Times New Roman" w:hAnsi="Times New Roman" w:cs="Times New Roman"/>
          <w:color w:val="000000" w:themeColor="text1"/>
          <w:sz w:val="24"/>
          <w:szCs w:val="24"/>
        </w:rPr>
        <w:t>przedmiocie wniosku Prezesa Urzędu o wyrażenie zgody na przeprowadzenie przeszukania (postanowienie o udzieleniu zgody na przeszukanie/zgody częściowej lub odmowy udzielenia zgody) nie przysługuje zażalenie (zarówno przeszukiwanemu, jak i występującemu o zgodę Prezesowi Urzędu). Postanowienie sądu ochrony konkurencji i konsumentów nie zawiera uzasadnienia. W praktyce jego odpis doręczany jest przedsiębiorcy, u którego jest przeprowadzane przeszukanie, przy rozpoczęciu przeszukania wraz upoważnieniem do przeprowadzenia przeszukania.</w:t>
      </w:r>
    </w:p>
    <w:p w14:paraId="08159200" w14:textId="48553953" w:rsidR="00922CE6" w:rsidRPr="00D84154" w:rsidRDefault="00922CE6"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Trybunał Konstytucyjny w wyroku z dnia 16 stycznia 2019 r. sygn. P19/17, po rozpoznaniu pytania prawnego Sądu Apelacyjnego w Warszawie: „czy art. 105n ust. 4 zdanie drugie ustawy o ochronie konkurencji i konsumentów jest zgodny z art. 45 </w:t>
      </w:r>
      <w:r w:rsidR="007A16D3">
        <w:rPr>
          <w:rFonts w:ascii="Times New Roman" w:hAnsi="Times New Roman" w:cs="Times New Roman"/>
          <w:color w:val="000000" w:themeColor="text1"/>
          <w:sz w:val="24"/>
          <w:szCs w:val="24"/>
        </w:rPr>
        <w:t>ust. 1, art. 78 i art. 176 ust. </w:t>
      </w:r>
      <w:r w:rsidRPr="00D84154">
        <w:rPr>
          <w:rFonts w:ascii="Times New Roman" w:hAnsi="Times New Roman" w:cs="Times New Roman"/>
          <w:color w:val="000000" w:themeColor="text1"/>
          <w:sz w:val="24"/>
          <w:szCs w:val="24"/>
        </w:rPr>
        <w:t>1 Konstytucji”, orzekł, ż</w:t>
      </w:r>
      <w:r w:rsidR="00103745">
        <w:rPr>
          <w:rFonts w:ascii="Times New Roman" w:hAnsi="Times New Roman" w:cs="Times New Roman"/>
          <w:color w:val="000000" w:themeColor="text1"/>
          <w:sz w:val="24"/>
          <w:szCs w:val="24"/>
        </w:rPr>
        <w:t>e</w:t>
      </w:r>
      <w:r w:rsidRPr="00D84154">
        <w:rPr>
          <w:rFonts w:ascii="Times New Roman" w:hAnsi="Times New Roman" w:cs="Times New Roman"/>
          <w:color w:val="000000" w:themeColor="text1"/>
          <w:sz w:val="24"/>
          <w:szCs w:val="24"/>
        </w:rPr>
        <w:t xml:space="preserve"> art. 105n ust. 4 zdanie drugie ustawy jest niezgodny z art. 78 w związku z art. 45 ust. 1 Konstytucji Rzeczypospolitej Polskiej. W uzasadnieniu ww. wyroku Trybunał Konstytucyjny wskazał, ż</w:t>
      </w:r>
      <w:r w:rsidR="00103745">
        <w:rPr>
          <w:rFonts w:ascii="Times New Roman" w:hAnsi="Times New Roman" w:cs="Times New Roman"/>
          <w:color w:val="000000" w:themeColor="text1"/>
          <w:sz w:val="24"/>
          <w:szCs w:val="24"/>
        </w:rPr>
        <w:t>e</w:t>
      </w:r>
      <w:r w:rsidRPr="00D84154">
        <w:rPr>
          <w:rFonts w:ascii="Times New Roman" w:hAnsi="Times New Roman" w:cs="Times New Roman"/>
          <w:color w:val="000000" w:themeColor="text1"/>
          <w:sz w:val="24"/>
          <w:szCs w:val="24"/>
        </w:rPr>
        <w:t xml:space="preserve"> postępowanie dotyczące wyrażenia przez sąd ochrony konkurencji i konsumentów </w:t>
      </w:r>
      <w:r w:rsidR="00857FA9" w:rsidRPr="00D84154">
        <w:rPr>
          <w:rFonts w:ascii="Times New Roman" w:hAnsi="Times New Roman" w:cs="Times New Roman"/>
          <w:color w:val="000000" w:themeColor="text1"/>
          <w:sz w:val="24"/>
          <w:szCs w:val="24"/>
        </w:rPr>
        <w:t xml:space="preserve">zgody </w:t>
      </w:r>
      <w:r w:rsidRPr="00D84154">
        <w:rPr>
          <w:rFonts w:ascii="Times New Roman" w:hAnsi="Times New Roman" w:cs="Times New Roman"/>
          <w:color w:val="000000" w:themeColor="text1"/>
          <w:sz w:val="24"/>
          <w:szCs w:val="24"/>
        </w:rPr>
        <w:t>na przeprowadzenie przeszukania ma charakter sprawy w rozumieniu art. 45 ust. 1 Konstytucji</w:t>
      </w:r>
      <w:r w:rsidR="00103745">
        <w:rPr>
          <w:rFonts w:ascii="Times New Roman" w:hAnsi="Times New Roman" w:cs="Times New Roman"/>
          <w:color w:val="000000" w:themeColor="text1"/>
          <w:sz w:val="24"/>
          <w:szCs w:val="24"/>
        </w:rPr>
        <w:t xml:space="preserve"> Rzeczypospolitej Polskiej</w:t>
      </w:r>
      <w:r w:rsidRPr="00D84154">
        <w:rPr>
          <w:rFonts w:ascii="Times New Roman" w:hAnsi="Times New Roman" w:cs="Times New Roman"/>
          <w:color w:val="000000" w:themeColor="text1"/>
          <w:sz w:val="24"/>
          <w:szCs w:val="24"/>
        </w:rPr>
        <w:t>, gdyż chodzi o merytoryczne rozstrzyganie o prawach przedsiębiorcy; jest to postępowanie dotyczące ing</w:t>
      </w:r>
      <w:r w:rsidR="007A16D3">
        <w:rPr>
          <w:rFonts w:ascii="Times New Roman" w:hAnsi="Times New Roman" w:cs="Times New Roman"/>
          <w:color w:val="000000" w:themeColor="text1"/>
          <w:sz w:val="24"/>
          <w:szCs w:val="24"/>
        </w:rPr>
        <w:t>erencji w konstytucyjne prawa i </w:t>
      </w:r>
      <w:r w:rsidRPr="00D84154">
        <w:rPr>
          <w:rFonts w:ascii="Times New Roman" w:hAnsi="Times New Roman" w:cs="Times New Roman"/>
          <w:color w:val="000000" w:themeColor="text1"/>
          <w:sz w:val="24"/>
          <w:szCs w:val="24"/>
        </w:rPr>
        <w:t>wolności</w:t>
      </w:r>
      <w:r w:rsidR="00103745">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takie jak</w:t>
      </w:r>
      <w:r w:rsidR="001E4F5F">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swoboda działalności gospodarczej, prawo do prywatności czy prawo do </w:t>
      </w:r>
      <w:r w:rsidRPr="00D84154">
        <w:rPr>
          <w:rFonts w:ascii="Times New Roman" w:hAnsi="Times New Roman" w:cs="Times New Roman"/>
          <w:color w:val="000000" w:themeColor="text1"/>
          <w:sz w:val="24"/>
          <w:szCs w:val="24"/>
        </w:rPr>
        <w:lastRenderedPageBreak/>
        <w:t>nienaruszalności mieszkania, których ochrona gwarantowana jest prawem do sądu. Orzeczenie sądu ochrony konkurencji i konsumentów w przedmiocie wniosku Prezesa Urzędu o wyrażenie zgody na przeprowadzenie przeszukania nie jest powiązane z innym postępowaniem w tym sensie, że nie jest możliwe zweryfikowanie zasadności przeprowadzenia przeszukania w innym postępowaniu ani też postanowienie w sprawie zgody na przeszukanie nie zostanie poddane ocenie w ewentualnym postępowaniu antymonopolowym, wszczętym przeciwko przedsiębiorcy, u którego przeprowadzono przeszukanie. Wydane postanowienie nie należy zatem do czynności dodatkowych sądu wobec sprawy „głównej”, lecz stanowi sprawę samoistną. Trybunał Konstytucyjny wskazał ponadto, ż</w:t>
      </w:r>
      <w:r w:rsidR="001E4F5F">
        <w:rPr>
          <w:rFonts w:ascii="Times New Roman" w:hAnsi="Times New Roman" w:cs="Times New Roman"/>
          <w:color w:val="000000" w:themeColor="text1"/>
          <w:sz w:val="24"/>
          <w:szCs w:val="24"/>
        </w:rPr>
        <w:t>e</w:t>
      </w:r>
      <w:r w:rsidRPr="00D84154">
        <w:rPr>
          <w:rFonts w:ascii="Times New Roman" w:hAnsi="Times New Roman" w:cs="Times New Roman"/>
          <w:color w:val="000000" w:themeColor="text1"/>
          <w:sz w:val="24"/>
          <w:szCs w:val="24"/>
        </w:rPr>
        <w:t xml:space="preserve"> przyznanie prawa do wniesienia zażalenia na postanowienie sądu wyrażające zgodę na przeszukanie nie eliminuje skuteczności przeszukania. Nadal </w:t>
      </w:r>
      <w:r w:rsidR="001E4F5F" w:rsidRPr="00D84154">
        <w:rPr>
          <w:rFonts w:ascii="Times New Roman" w:hAnsi="Times New Roman" w:cs="Times New Roman"/>
          <w:color w:val="000000" w:themeColor="text1"/>
          <w:sz w:val="24"/>
          <w:szCs w:val="24"/>
        </w:rPr>
        <w:t xml:space="preserve">jest </w:t>
      </w:r>
      <w:r w:rsidRPr="00D84154">
        <w:rPr>
          <w:rFonts w:ascii="Times New Roman" w:hAnsi="Times New Roman" w:cs="Times New Roman"/>
          <w:color w:val="000000" w:themeColor="text1"/>
          <w:sz w:val="24"/>
          <w:szCs w:val="24"/>
        </w:rPr>
        <w:t xml:space="preserve">możliwe zachowanie istotnego z tego punktu widzenia elementu zaskoczenia przy przeszukaniu, bowiem wniesienie zażalenia nie musi wstrzymywać przeprowadzanych czynności. Dla zapewnienia ochrony praw przedsiębiorców w toku przeszukania </w:t>
      </w:r>
      <w:r w:rsidR="001E4F5F" w:rsidRPr="00D84154">
        <w:rPr>
          <w:rFonts w:ascii="Times New Roman" w:hAnsi="Times New Roman" w:cs="Times New Roman"/>
          <w:color w:val="000000" w:themeColor="text1"/>
          <w:sz w:val="24"/>
          <w:szCs w:val="24"/>
        </w:rPr>
        <w:t xml:space="preserve">jest </w:t>
      </w:r>
      <w:r w:rsidRPr="00D84154">
        <w:rPr>
          <w:rFonts w:ascii="Times New Roman" w:hAnsi="Times New Roman" w:cs="Times New Roman"/>
          <w:color w:val="000000" w:themeColor="text1"/>
          <w:sz w:val="24"/>
          <w:szCs w:val="24"/>
        </w:rPr>
        <w:t>istotna możliwość wypowiedzenia się i przedstawienia własnych argumentów oraz poddanie tej kwestii sądowej kontroli. Kontrola ta ma charakter następczy i ma chronić nie tyle przed nieuzasadnioną ingerencją, ile ma służyć minimalizacji skutków tej ingerencji. Pozytywne rozpatrzenie zażalenia na postanowienie sądu w sprawie zgody na przeprowadzenie przeszukania dawałoby sądowi możliwość pominięcia w toku postępowania antymonopolowego dowodów, które zostały zebrane przez Prezesa Urzędu z naruszeniem prawa.</w:t>
      </w:r>
      <w:r w:rsidR="00F65A77">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 xml:space="preserve">Wobec powyższego konieczna </w:t>
      </w:r>
      <w:r w:rsidR="00CA19F6" w:rsidRPr="00D84154">
        <w:rPr>
          <w:rFonts w:ascii="Times New Roman" w:hAnsi="Times New Roman" w:cs="Times New Roman"/>
          <w:color w:val="000000" w:themeColor="text1"/>
          <w:sz w:val="24"/>
          <w:szCs w:val="24"/>
        </w:rPr>
        <w:t xml:space="preserve">jest </w:t>
      </w:r>
      <w:r w:rsidRPr="00D84154">
        <w:rPr>
          <w:rFonts w:ascii="Times New Roman" w:hAnsi="Times New Roman" w:cs="Times New Roman"/>
          <w:color w:val="000000" w:themeColor="text1"/>
          <w:sz w:val="24"/>
          <w:szCs w:val="24"/>
        </w:rPr>
        <w:t>nowelizacja ustawy (w tym art. 105n ust. 4) w celu zapewnienia kontroli sądowej postanowienia sądu ochr</w:t>
      </w:r>
      <w:r w:rsidR="007A16D3">
        <w:rPr>
          <w:rFonts w:ascii="Times New Roman" w:hAnsi="Times New Roman" w:cs="Times New Roman"/>
          <w:color w:val="000000" w:themeColor="text1"/>
          <w:sz w:val="24"/>
          <w:szCs w:val="24"/>
        </w:rPr>
        <w:t>ony konkurencji i konsumentów w </w:t>
      </w:r>
      <w:r w:rsidRPr="00D84154">
        <w:rPr>
          <w:rFonts w:ascii="Times New Roman" w:hAnsi="Times New Roman" w:cs="Times New Roman"/>
          <w:color w:val="000000" w:themeColor="text1"/>
          <w:sz w:val="24"/>
          <w:szCs w:val="24"/>
        </w:rPr>
        <w:t>przedmiocie wniosku Prezesa Urzędu o wyrażenie zgody na przeprowadzenie przeszukania oraz uregulowania pozostałych kwestii proceduralnych związanych z uprawnieniem do wniesienia zażalenia na</w:t>
      </w:r>
      <w:r w:rsidR="00F65A77">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przedmiotowe orzeczenie sądu (m.in. kwestii sposobu i terminu doręczenia przedsiębiorcy postanowienia sądu wyrażającego zgodę na przeszukanie, wyraźnego wskazania w przepisach, że wniesienie zażalenia na ww. postanowienie nie wstrzymuje przeszukania).</w:t>
      </w:r>
      <w:r w:rsidR="00F65A77">
        <w:rPr>
          <w:rFonts w:ascii="Times New Roman" w:hAnsi="Times New Roman" w:cs="Times New Roman"/>
          <w:color w:val="000000" w:themeColor="text1"/>
          <w:sz w:val="24"/>
          <w:szCs w:val="24"/>
        </w:rPr>
        <w:t xml:space="preserve"> </w:t>
      </w:r>
    </w:p>
    <w:p w14:paraId="3E8EBBC1" w14:textId="08A61342" w:rsidR="00F63FBE" w:rsidRPr="001E4F5F" w:rsidRDefault="00922CE6"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 celu dostosowania ustawy do przedmiotowego wyroku T</w:t>
      </w:r>
      <w:r w:rsidR="007A16D3">
        <w:rPr>
          <w:rFonts w:ascii="Times New Roman" w:hAnsi="Times New Roman" w:cs="Times New Roman"/>
          <w:color w:val="000000" w:themeColor="text1"/>
          <w:sz w:val="24"/>
          <w:szCs w:val="24"/>
        </w:rPr>
        <w:t>rybunału Konstytucyjnego w art. </w:t>
      </w:r>
      <w:r w:rsidRPr="00D84154">
        <w:rPr>
          <w:rFonts w:ascii="Times New Roman" w:hAnsi="Times New Roman" w:cs="Times New Roman"/>
          <w:color w:val="000000" w:themeColor="text1"/>
          <w:sz w:val="24"/>
          <w:szCs w:val="24"/>
        </w:rPr>
        <w:t xml:space="preserve">105n oraz </w:t>
      </w:r>
      <w:r w:rsidR="008430DA" w:rsidRPr="00D84154">
        <w:rPr>
          <w:rFonts w:ascii="Times New Roman" w:hAnsi="Times New Roman" w:cs="Times New Roman"/>
          <w:color w:val="000000" w:themeColor="text1"/>
          <w:sz w:val="24"/>
          <w:szCs w:val="24"/>
        </w:rPr>
        <w:t xml:space="preserve">w </w:t>
      </w:r>
      <w:r w:rsidRPr="00D84154">
        <w:rPr>
          <w:rFonts w:ascii="Times New Roman" w:hAnsi="Times New Roman" w:cs="Times New Roman"/>
          <w:color w:val="000000" w:themeColor="text1"/>
          <w:sz w:val="24"/>
          <w:szCs w:val="24"/>
        </w:rPr>
        <w:t>art. 105na</w:t>
      </w:r>
      <w:r w:rsidR="001E4F5F">
        <w:rPr>
          <w:rFonts w:ascii="Times New Roman" w:hAnsi="Times New Roman" w:cs="Times New Roman"/>
          <w:color w:val="000000" w:themeColor="text1"/>
          <w:sz w:val="24"/>
          <w:szCs w:val="24"/>
        </w:rPr>
        <w:t>–</w:t>
      </w:r>
      <w:r w:rsidR="008430DA" w:rsidRPr="00D84154">
        <w:rPr>
          <w:rFonts w:ascii="Times New Roman" w:hAnsi="Times New Roman" w:cs="Times New Roman"/>
          <w:color w:val="000000" w:themeColor="text1"/>
          <w:sz w:val="24"/>
          <w:szCs w:val="24"/>
        </w:rPr>
        <w:t>105nb</w:t>
      </w:r>
      <w:r w:rsidRPr="00D84154">
        <w:rPr>
          <w:rFonts w:ascii="Times New Roman" w:hAnsi="Times New Roman" w:cs="Times New Roman"/>
          <w:color w:val="000000" w:themeColor="text1"/>
          <w:sz w:val="24"/>
          <w:szCs w:val="24"/>
        </w:rPr>
        <w:t xml:space="preserve"> zaproponowano nową procedurę zaskarżania oraz doręczania postanowienia sądu w przedmiocie wniosku organu o zgodę na przeprowadzenie przeszukania. W art. 105n ust. 4 wydłużono z 48 do 72 godzin termin</w:t>
      </w:r>
      <w:r w:rsidR="007A16D3">
        <w:rPr>
          <w:rFonts w:ascii="Times New Roman" w:hAnsi="Times New Roman" w:cs="Times New Roman"/>
          <w:color w:val="000000" w:themeColor="text1"/>
          <w:sz w:val="24"/>
          <w:szCs w:val="24"/>
        </w:rPr>
        <w:t xml:space="preserve"> dla sądu ochrony konkurencji i </w:t>
      </w:r>
      <w:r w:rsidRPr="00D84154">
        <w:rPr>
          <w:rFonts w:ascii="Times New Roman" w:hAnsi="Times New Roman" w:cs="Times New Roman"/>
          <w:color w:val="000000" w:themeColor="text1"/>
          <w:sz w:val="24"/>
          <w:szCs w:val="24"/>
        </w:rPr>
        <w:t>konsumentów do rozpatrzenia wniosku Prezesa Urzędu. Zaproponowano regulację</w:t>
      </w:r>
      <w:r w:rsidR="001E4F5F">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zgodnie z którą przeszukiwanemu przysługuje zażalenie na postanowienie sądu </w:t>
      </w:r>
      <w:r w:rsidRPr="00D84154">
        <w:rPr>
          <w:rFonts w:ascii="Times New Roman" w:hAnsi="Times New Roman" w:cs="Times New Roman"/>
          <w:color w:val="000000" w:themeColor="text1"/>
          <w:sz w:val="24"/>
          <w:szCs w:val="24"/>
        </w:rPr>
        <w:lastRenderedPageBreak/>
        <w:t>o</w:t>
      </w:r>
      <w:r w:rsidR="007A16D3">
        <w:rPr>
          <w:rFonts w:ascii="Times New Roman" w:hAnsi="Times New Roman" w:cs="Times New Roman"/>
          <w:color w:val="000000" w:themeColor="text1"/>
          <w:sz w:val="24"/>
          <w:szCs w:val="24"/>
        </w:rPr>
        <w:t> </w:t>
      </w:r>
      <w:r w:rsidRPr="00D84154">
        <w:rPr>
          <w:rFonts w:ascii="Times New Roman" w:hAnsi="Times New Roman" w:cs="Times New Roman"/>
          <w:color w:val="000000" w:themeColor="text1"/>
          <w:sz w:val="24"/>
          <w:szCs w:val="24"/>
        </w:rPr>
        <w:t xml:space="preserve">wyrażeniu zgody na przeprowadzenie przeszukania </w:t>
      </w:r>
      <w:r w:rsidR="00016DEB" w:rsidRPr="00D84154">
        <w:rPr>
          <w:rFonts w:ascii="Times New Roman" w:hAnsi="Times New Roman" w:cs="Times New Roman"/>
          <w:color w:val="000000" w:themeColor="text1"/>
          <w:sz w:val="24"/>
          <w:szCs w:val="24"/>
        </w:rPr>
        <w:t xml:space="preserve">w terminie 7 dni od dnia doręczenia postanowienia z uzasadnieniem </w:t>
      </w:r>
      <w:r w:rsidRPr="00D84154">
        <w:rPr>
          <w:rFonts w:ascii="Times New Roman" w:hAnsi="Times New Roman" w:cs="Times New Roman"/>
          <w:color w:val="000000" w:themeColor="text1"/>
          <w:sz w:val="24"/>
          <w:szCs w:val="24"/>
        </w:rPr>
        <w:t xml:space="preserve">(art. 105n ust. </w:t>
      </w:r>
      <w:r w:rsidR="002A71B9" w:rsidRPr="00D84154">
        <w:rPr>
          <w:rFonts w:ascii="Times New Roman" w:hAnsi="Times New Roman" w:cs="Times New Roman"/>
          <w:color w:val="000000" w:themeColor="text1"/>
          <w:sz w:val="24"/>
          <w:szCs w:val="24"/>
        </w:rPr>
        <w:t>9</w:t>
      </w:r>
      <w:r w:rsidRPr="00D84154">
        <w:rPr>
          <w:rFonts w:ascii="Times New Roman" w:hAnsi="Times New Roman" w:cs="Times New Roman"/>
          <w:color w:val="000000" w:themeColor="text1"/>
          <w:sz w:val="24"/>
          <w:szCs w:val="24"/>
        </w:rPr>
        <w:t>)</w:t>
      </w:r>
      <w:r w:rsidR="002A71B9" w:rsidRPr="00D84154">
        <w:rPr>
          <w:rFonts w:ascii="Times New Roman" w:hAnsi="Times New Roman" w:cs="Times New Roman"/>
          <w:color w:val="000000" w:themeColor="text1"/>
          <w:sz w:val="24"/>
          <w:szCs w:val="24"/>
        </w:rPr>
        <w:t>, a ponadto</w:t>
      </w:r>
      <w:r w:rsidR="002A71B9" w:rsidRPr="00D84154">
        <w:rPr>
          <w:rFonts w:ascii="Times New Roman" w:eastAsiaTheme="minorEastAsia" w:hAnsi="Times New Roman" w:cs="Times New Roman"/>
          <w:bCs/>
          <w:sz w:val="24"/>
          <w:szCs w:val="24"/>
          <w:lang w:eastAsia="pl-PL"/>
        </w:rPr>
        <w:t xml:space="preserve"> </w:t>
      </w:r>
      <w:r w:rsidR="002A71B9" w:rsidRPr="00D84154">
        <w:rPr>
          <w:rFonts w:ascii="Times New Roman" w:hAnsi="Times New Roman" w:cs="Times New Roman"/>
          <w:bCs/>
          <w:color w:val="000000" w:themeColor="text1"/>
          <w:sz w:val="24"/>
          <w:szCs w:val="24"/>
        </w:rPr>
        <w:t>postanowienie sądu ochrony konkurencji i konsumentów o</w:t>
      </w:r>
      <w:r w:rsidR="00F65A77">
        <w:rPr>
          <w:rFonts w:ascii="Times New Roman" w:hAnsi="Times New Roman" w:cs="Times New Roman"/>
          <w:bCs/>
          <w:color w:val="000000" w:themeColor="text1"/>
          <w:sz w:val="24"/>
          <w:szCs w:val="24"/>
        </w:rPr>
        <w:t xml:space="preserve"> </w:t>
      </w:r>
      <w:r w:rsidR="002A71B9" w:rsidRPr="00D84154">
        <w:rPr>
          <w:rFonts w:ascii="Times New Roman" w:hAnsi="Times New Roman" w:cs="Times New Roman"/>
          <w:bCs/>
          <w:color w:val="000000" w:themeColor="text1"/>
          <w:sz w:val="24"/>
          <w:szCs w:val="24"/>
        </w:rPr>
        <w:t xml:space="preserve">udzieleniu zgody na przeprowadzenie przeszukania zawierać ma zwięzłe wskazanie zasadniczych powodów rozstrzygnięcia (art. 105n ust. 8). </w:t>
      </w:r>
      <w:r w:rsidRPr="00D84154">
        <w:rPr>
          <w:rFonts w:ascii="Times New Roman" w:hAnsi="Times New Roman" w:cs="Times New Roman"/>
          <w:color w:val="000000" w:themeColor="text1"/>
          <w:sz w:val="24"/>
          <w:szCs w:val="24"/>
        </w:rPr>
        <w:t xml:space="preserve">Sąd będzie bowiem uprawniony do uwzględnienia wniosku Prezesa </w:t>
      </w:r>
      <w:r w:rsidR="00857FA9" w:rsidRPr="00D84154">
        <w:rPr>
          <w:rFonts w:ascii="Times New Roman" w:hAnsi="Times New Roman" w:cs="Times New Roman"/>
          <w:color w:val="000000" w:themeColor="text1"/>
          <w:sz w:val="24"/>
          <w:szCs w:val="24"/>
        </w:rPr>
        <w:t xml:space="preserve">Urzędu </w:t>
      </w:r>
      <w:r w:rsidRPr="00D84154">
        <w:rPr>
          <w:rFonts w:ascii="Times New Roman" w:hAnsi="Times New Roman" w:cs="Times New Roman"/>
          <w:color w:val="000000" w:themeColor="text1"/>
          <w:sz w:val="24"/>
          <w:szCs w:val="24"/>
        </w:rPr>
        <w:t>w całości lub jego oddalenia w całości (art. 105n ust. 5). W przypadku odmowy udzielenia zgody na przeprowadzenie przeszukania sąd będzie zobowiązany uzasadnić postanowienie o odmowie udzielenia zgody na przeprowadzenie przeszukania z urzędu, w terminie 5 dni od jego wydania. Ponadto zaproponowano regulację, zgodnie z którą</w:t>
      </w:r>
      <w:r w:rsidR="001E4F5F">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w przypadku gdy odmowa udzielenia zgody na przeszukanie wynika z braku wystarczającego uzasadnienia wniosku w części, sąd będzie zobowiązany wskazać w uzasadnieniu, w jakiej części wniosek o udzielenie zgody na przeszukanie nie wyjaśniał dostatecznie podstaw do prowadzenia przeszukania. W takiej sytuacji Prezes Urzędu będzie uprawniony do przedstawienia nowego wniosku o wyrażenie zgody na przeszukanie, uwzględniającego treść postanowienia o odmowie udzielenia zgody na przeprowadzenie przeszukania lub wskazujący na dalsze okoliczności faktyczne lub prawne uzasadniające przeprowadzenie przeszukania (105n ust. 4</w:t>
      </w:r>
      <w:r w:rsidR="001E4F5F">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7). </w:t>
      </w:r>
      <w:r w:rsidR="00AC2E54" w:rsidRPr="00D84154">
        <w:rPr>
          <w:rFonts w:ascii="Times New Roman" w:hAnsi="Times New Roman" w:cs="Times New Roman"/>
          <w:color w:val="000000" w:themeColor="text1"/>
          <w:sz w:val="24"/>
          <w:szCs w:val="24"/>
        </w:rPr>
        <w:t xml:space="preserve">Rezygnacja ze środka odwoławczego w postaci zażalenia jest niezbędna </w:t>
      </w:r>
      <w:r w:rsidR="00FC4455" w:rsidRPr="00D84154">
        <w:rPr>
          <w:rFonts w:ascii="Times New Roman" w:hAnsi="Times New Roman" w:cs="Times New Roman"/>
          <w:color w:val="000000" w:themeColor="text1"/>
          <w:sz w:val="24"/>
          <w:szCs w:val="24"/>
        </w:rPr>
        <w:t>ze względu na koni</w:t>
      </w:r>
      <w:r w:rsidR="00377476" w:rsidRPr="00D84154">
        <w:rPr>
          <w:rFonts w:ascii="Times New Roman" w:hAnsi="Times New Roman" w:cs="Times New Roman"/>
          <w:color w:val="000000" w:themeColor="text1"/>
          <w:sz w:val="24"/>
          <w:szCs w:val="24"/>
        </w:rPr>
        <w:t>e</w:t>
      </w:r>
      <w:r w:rsidR="00FC4455" w:rsidRPr="00D84154">
        <w:rPr>
          <w:rFonts w:ascii="Times New Roman" w:hAnsi="Times New Roman" w:cs="Times New Roman"/>
          <w:color w:val="000000" w:themeColor="text1"/>
          <w:sz w:val="24"/>
          <w:szCs w:val="24"/>
        </w:rPr>
        <w:t xml:space="preserve">czność </w:t>
      </w:r>
      <w:r w:rsidR="00377476" w:rsidRPr="00D84154">
        <w:rPr>
          <w:rFonts w:ascii="Times New Roman" w:hAnsi="Times New Roman" w:cs="Times New Roman"/>
          <w:color w:val="000000" w:themeColor="text1"/>
          <w:sz w:val="24"/>
          <w:szCs w:val="24"/>
        </w:rPr>
        <w:t>zachowania</w:t>
      </w:r>
      <w:r w:rsidR="00FC4455" w:rsidRPr="00D84154">
        <w:rPr>
          <w:rFonts w:ascii="Times New Roman" w:hAnsi="Times New Roman" w:cs="Times New Roman"/>
          <w:color w:val="000000" w:themeColor="text1"/>
          <w:sz w:val="24"/>
          <w:szCs w:val="24"/>
        </w:rPr>
        <w:t xml:space="preserve"> </w:t>
      </w:r>
      <w:r w:rsidR="009A4568" w:rsidRPr="00D84154">
        <w:rPr>
          <w:rFonts w:ascii="Times New Roman" w:hAnsi="Times New Roman" w:cs="Times New Roman"/>
          <w:color w:val="000000" w:themeColor="text1"/>
          <w:sz w:val="24"/>
          <w:szCs w:val="24"/>
        </w:rPr>
        <w:t xml:space="preserve">faktu </w:t>
      </w:r>
      <w:r w:rsidR="00FC4455" w:rsidRPr="00D84154">
        <w:rPr>
          <w:rFonts w:ascii="Times New Roman" w:hAnsi="Times New Roman" w:cs="Times New Roman"/>
          <w:color w:val="000000" w:themeColor="text1"/>
          <w:sz w:val="24"/>
          <w:szCs w:val="24"/>
        </w:rPr>
        <w:t>złożenia wniosku</w:t>
      </w:r>
      <w:r w:rsidR="00AC2E54" w:rsidRPr="00D84154">
        <w:rPr>
          <w:rFonts w:ascii="Times New Roman" w:hAnsi="Times New Roman" w:cs="Times New Roman"/>
          <w:color w:val="000000" w:themeColor="text1"/>
          <w:sz w:val="24"/>
          <w:szCs w:val="24"/>
        </w:rPr>
        <w:t xml:space="preserve"> </w:t>
      </w:r>
      <w:r w:rsidR="00323AFC" w:rsidRPr="00D84154">
        <w:rPr>
          <w:rFonts w:ascii="Times New Roman" w:hAnsi="Times New Roman" w:cs="Times New Roman"/>
          <w:color w:val="000000" w:themeColor="text1"/>
          <w:sz w:val="24"/>
          <w:szCs w:val="24"/>
        </w:rPr>
        <w:t xml:space="preserve">w poufności </w:t>
      </w:r>
      <w:r w:rsidR="00AC2E54" w:rsidRPr="00D84154">
        <w:rPr>
          <w:rFonts w:ascii="Times New Roman" w:hAnsi="Times New Roman" w:cs="Times New Roman"/>
          <w:color w:val="000000" w:themeColor="text1"/>
          <w:sz w:val="24"/>
          <w:szCs w:val="24"/>
        </w:rPr>
        <w:t xml:space="preserve">do czasu rozpoczęcia ewentualnego przeszukania. Mając zatem na względzie, że </w:t>
      </w:r>
      <w:r w:rsidR="009A4568" w:rsidRPr="00D84154">
        <w:rPr>
          <w:rFonts w:ascii="Times New Roman" w:hAnsi="Times New Roman" w:cs="Times New Roman"/>
          <w:color w:val="000000" w:themeColor="text1"/>
          <w:sz w:val="24"/>
          <w:szCs w:val="24"/>
        </w:rPr>
        <w:t xml:space="preserve">wniesiony przez Prezesa Urzędu </w:t>
      </w:r>
      <w:r w:rsidR="00AC2E54" w:rsidRPr="00D84154">
        <w:rPr>
          <w:rFonts w:ascii="Times New Roman" w:hAnsi="Times New Roman" w:cs="Times New Roman"/>
          <w:color w:val="000000" w:themeColor="text1"/>
          <w:sz w:val="24"/>
          <w:szCs w:val="24"/>
        </w:rPr>
        <w:t xml:space="preserve">środek odwoławczy może okazać się skuteczny, </w:t>
      </w:r>
      <w:r w:rsidR="00323AFC" w:rsidRPr="00D84154">
        <w:rPr>
          <w:rFonts w:ascii="Times New Roman" w:hAnsi="Times New Roman" w:cs="Times New Roman"/>
          <w:color w:val="000000" w:themeColor="text1"/>
          <w:sz w:val="24"/>
          <w:szCs w:val="24"/>
        </w:rPr>
        <w:t>przedsiębiorca, którego dotyczy wniosek</w:t>
      </w:r>
      <w:r w:rsidR="00E24E21" w:rsidRPr="00D84154">
        <w:rPr>
          <w:rFonts w:ascii="Times New Roman" w:hAnsi="Times New Roman" w:cs="Times New Roman"/>
          <w:color w:val="000000" w:themeColor="text1"/>
          <w:sz w:val="24"/>
          <w:szCs w:val="24"/>
        </w:rPr>
        <w:t>,</w:t>
      </w:r>
      <w:r w:rsidR="00323AFC" w:rsidRPr="00D84154">
        <w:rPr>
          <w:rFonts w:ascii="Times New Roman" w:hAnsi="Times New Roman" w:cs="Times New Roman"/>
          <w:color w:val="000000" w:themeColor="text1"/>
          <w:sz w:val="24"/>
          <w:szCs w:val="24"/>
        </w:rPr>
        <w:t xml:space="preserve"> nie powinien być informowany o jego złożeniu </w:t>
      </w:r>
      <w:r w:rsidR="00AC2E54" w:rsidRPr="00D84154">
        <w:rPr>
          <w:rFonts w:ascii="Times New Roman" w:hAnsi="Times New Roman" w:cs="Times New Roman"/>
          <w:color w:val="000000" w:themeColor="text1"/>
          <w:sz w:val="24"/>
          <w:szCs w:val="24"/>
        </w:rPr>
        <w:t>do momentu ostatecznego rozstrzygnięcia</w:t>
      </w:r>
      <w:r w:rsidR="00323AFC" w:rsidRPr="00D84154">
        <w:rPr>
          <w:rFonts w:ascii="Times New Roman" w:hAnsi="Times New Roman" w:cs="Times New Roman"/>
          <w:color w:val="000000" w:themeColor="text1"/>
          <w:sz w:val="24"/>
          <w:szCs w:val="24"/>
        </w:rPr>
        <w:t xml:space="preserve"> sądu w przedmiocie wniosku</w:t>
      </w:r>
      <w:r w:rsidR="00AC2E54" w:rsidRPr="00D84154">
        <w:rPr>
          <w:rFonts w:ascii="Times New Roman" w:hAnsi="Times New Roman" w:cs="Times New Roman"/>
          <w:color w:val="000000" w:themeColor="text1"/>
          <w:sz w:val="24"/>
          <w:szCs w:val="24"/>
        </w:rPr>
        <w:t xml:space="preserve">. </w:t>
      </w:r>
      <w:r w:rsidR="0051412F" w:rsidRPr="00D84154">
        <w:rPr>
          <w:rFonts w:ascii="Times New Roman" w:hAnsi="Times New Roman" w:cs="Times New Roman"/>
          <w:color w:val="000000" w:themeColor="text1"/>
          <w:sz w:val="24"/>
          <w:szCs w:val="24"/>
        </w:rPr>
        <w:t>W sytuacji uregulowania przewidującego w wypadku odmowy udzielenia zgody na przeszukanie zażalenie,</w:t>
      </w:r>
      <w:r w:rsidR="00FC4455" w:rsidRPr="00D84154">
        <w:rPr>
          <w:rFonts w:ascii="Times New Roman" w:hAnsi="Times New Roman" w:cs="Times New Roman"/>
          <w:color w:val="000000" w:themeColor="text1"/>
          <w:sz w:val="24"/>
          <w:szCs w:val="24"/>
        </w:rPr>
        <w:t xml:space="preserve"> </w:t>
      </w:r>
      <w:r w:rsidR="0051412F" w:rsidRPr="00D84154">
        <w:rPr>
          <w:rFonts w:ascii="Times New Roman" w:hAnsi="Times New Roman" w:cs="Times New Roman"/>
          <w:color w:val="000000" w:themeColor="text1"/>
          <w:sz w:val="24"/>
          <w:szCs w:val="24"/>
        </w:rPr>
        <w:t>przedsiębiorca podejrzewany o prowadzenie antykonkurencyjnych działań byłby informowany o złożeniu wniosku na etapie rozpatrywania środka odwoławczego, co udaremniałoby skuteczność ewentualnego przeszukania</w:t>
      </w:r>
      <w:r w:rsidR="00AC2E54" w:rsidRPr="00D84154">
        <w:rPr>
          <w:rFonts w:ascii="Times New Roman" w:hAnsi="Times New Roman" w:cs="Times New Roman"/>
          <w:color w:val="000000" w:themeColor="text1"/>
          <w:sz w:val="24"/>
          <w:szCs w:val="24"/>
        </w:rPr>
        <w:t>. W takiej sytuacji</w:t>
      </w:r>
      <w:r w:rsidR="00377476" w:rsidRPr="00D84154">
        <w:rPr>
          <w:rFonts w:ascii="Times New Roman" w:hAnsi="Times New Roman" w:cs="Times New Roman"/>
          <w:color w:val="000000" w:themeColor="text1"/>
          <w:sz w:val="24"/>
          <w:szCs w:val="24"/>
        </w:rPr>
        <w:t xml:space="preserve"> zniesiony byłby efekt zaskoczenia, konieczny dla skuteczności przedmiotowego środka dochodzeniowego. </w:t>
      </w:r>
      <w:r w:rsidR="00323AFC" w:rsidRPr="00D84154">
        <w:rPr>
          <w:rFonts w:ascii="Times New Roman" w:hAnsi="Times New Roman" w:cs="Times New Roman"/>
          <w:color w:val="000000" w:themeColor="text1"/>
          <w:sz w:val="24"/>
          <w:szCs w:val="24"/>
        </w:rPr>
        <w:t xml:space="preserve">Jednocześnie, </w:t>
      </w:r>
      <w:r w:rsidR="00A91484" w:rsidRPr="00D84154">
        <w:rPr>
          <w:rFonts w:ascii="Times New Roman" w:hAnsi="Times New Roman" w:cs="Times New Roman"/>
          <w:color w:val="000000" w:themeColor="text1"/>
          <w:sz w:val="24"/>
          <w:szCs w:val="24"/>
        </w:rPr>
        <w:t>ze</w:t>
      </w:r>
      <w:r w:rsidR="00323AFC" w:rsidRPr="00D84154">
        <w:rPr>
          <w:rFonts w:ascii="Times New Roman" w:hAnsi="Times New Roman" w:cs="Times New Roman"/>
          <w:color w:val="000000" w:themeColor="text1"/>
          <w:sz w:val="24"/>
          <w:szCs w:val="24"/>
        </w:rPr>
        <w:t xml:space="preserve"> względu na fakt, że nowy wniosek, w wypadku jego uwzględnienia przez sąd</w:t>
      </w:r>
      <w:r w:rsidR="00E24E21" w:rsidRPr="00D84154">
        <w:rPr>
          <w:rFonts w:ascii="Times New Roman" w:hAnsi="Times New Roman" w:cs="Times New Roman"/>
          <w:color w:val="000000" w:themeColor="text1"/>
          <w:sz w:val="24"/>
          <w:szCs w:val="24"/>
        </w:rPr>
        <w:t>,</w:t>
      </w:r>
      <w:r w:rsidR="00323AFC" w:rsidRPr="00D84154">
        <w:rPr>
          <w:rFonts w:ascii="Times New Roman" w:hAnsi="Times New Roman" w:cs="Times New Roman"/>
          <w:color w:val="000000" w:themeColor="text1"/>
          <w:sz w:val="24"/>
          <w:szCs w:val="24"/>
        </w:rPr>
        <w:t xml:space="preserve"> podlegałby zażaleniu w normalnym trybie</w:t>
      </w:r>
      <w:r w:rsidR="009A4568" w:rsidRPr="00D84154">
        <w:rPr>
          <w:rFonts w:ascii="Times New Roman" w:hAnsi="Times New Roman" w:cs="Times New Roman"/>
          <w:color w:val="000000" w:themeColor="text1"/>
          <w:sz w:val="24"/>
          <w:szCs w:val="24"/>
        </w:rPr>
        <w:t xml:space="preserve"> (opisanym poniżej)</w:t>
      </w:r>
      <w:r w:rsidR="00323AFC" w:rsidRPr="00D84154">
        <w:rPr>
          <w:rFonts w:ascii="Times New Roman" w:hAnsi="Times New Roman" w:cs="Times New Roman"/>
          <w:color w:val="000000" w:themeColor="text1"/>
          <w:sz w:val="24"/>
          <w:szCs w:val="24"/>
        </w:rPr>
        <w:t xml:space="preserve">, </w:t>
      </w:r>
      <w:r w:rsidR="009A4568" w:rsidRPr="00D84154">
        <w:rPr>
          <w:rFonts w:ascii="Times New Roman" w:hAnsi="Times New Roman" w:cs="Times New Roman"/>
          <w:color w:val="000000" w:themeColor="text1"/>
          <w:sz w:val="24"/>
          <w:szCs w:val="24"/>
        </w:rPr>
        <w:t xml:space="preserve">proponowane </w:t>
      </w:r>
      <w:r w:rsidR="00323AFC" w:rsidRPr="00D84154">
        <w:rPr>
          <w:rFonts w:ascii="Times New Roman" w:hAnsi="Times New Roman" w:cs="Times New Roman"/>
          <w:color w:val="000000" w:themeColor="text1"/>
          <w:sz w:val="24"/>
          <w:szCs w:val="24"/>
        </w:rPr>
        <w:t xml:space="preserve">rozwiązanie </w:t>
      </w:r>
      <w:r w:rsidR="009A4568" w:rsidRPr="00D84154">
        <w:rPr>
          <w:rFonts w:ascii="Times New Roman" w:hAnsi="Times New Roman" w:cs="Times New Roman"/>
          <w:color w:val="000000" w:themeColor="text1"/>
          <w:sz w:val="24"/>
          <w:szCs w:val="24"/>
        </w:rPr>
        <w:t>pozostaje</w:t>
      </w:r>
      <w:r w:rsidR="00323AFC" w:rsidRPr="00D84154">
        <w:rPr>
          <w:rFonts w:ascii="Times New Roman" w:hAnsi="Times New Roman" w:cs="Times New Roman"/>
          <w:color w:val="000000" w:themeColor="text1"/>
          <w:sz w:val="24"/>
          <w:szCs w:val="24"/>
        </w:rPr>
        <w:t xml:space="preserve"> bez uszczerbku dla </w:t>
      </w:r>
      <w:r w:rsidR="009A4568" w:rsidRPr="00D84154">
        <w:rPr>
          <w:rFonts w:ascii="Times New Roman" w:hAnsi="Times New Roman" w:cs="Times New Roman"/>
          <w:color w:val="000000" w:themeColor="text1"/>
          <w:sz w:val="24"/>
          <w:szCs w:val="24"/>
        </w:rPr>
        <w:t xml:space="preserve">przysługującego przedsiębiorcy </w:t>
      </w:r>
      <w:r w:rsidR="00323AFC" w:rsidRPr="00D84154">
        <w:rPr>
          <w:rFonts w:ascii="Times New Roman" w:hAnsi="Times New Roman" w:cs="Times New Roman"/>
          <w:color w:val="000000" w:themeColor="text1"/>
          <w:sz w:val="24"/>
          <w:szCs w:val="24"/>
        </w:rPr>
        <w:t>prawa do obrony.</w:t>
      </w:r>
    </w:p>
    <w:p w14:paraId="5449442F" w14:textId="51C742EB" w:rsidR="008B7A7F" w:rsidRPr="00D84154" w:rsidRDefault="00922CE6"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 nowo projektowany</w:t>
      </w:r>
      <w:r w:rsidR="008430DA" w:rsidRPr="00D84154">
        <w:rPr>
          <w:rFonts w:ascii="Times New Roman" w:hAnsi="Times New Roman" w:cs="Times New Roman"/>
          <w:color w:val="000000" w:themeColor="text1"/>
          <w:sz w:val="24"/>
          <w:szCs w:val="24"/>
        </w:rPr>
        <w:t>ch</w:t>
      </w:r>
      <w:r w:rsidRPr="00D84154">
        <w:rPr>
          <w:rFonts w:ascii="Times New Roman" w:hAnsi="Times New Roman" w:cs="Times New Roman"/>
          <w:color w:val="000000" w:themeColor="text1"/>
          <w:sz w:val="24"/>
          <w:szCs w:val="24"/>
        </w:rPr>
        <w:t xml:space="preserve"> art. 105na </w:t>
      </w:r>
      <w:r w:rsidR="008430DA" w:rsidRPr="00D84154">
        <w:rPr>
          <w:rFonts w:ascii="Times New Roman" w:hAnsi="Times New Roman" w:cs="Times New Roman"/>
          <w:color w:val="000000" w:themeColor="text1"/>
          <w:sz w:val="24"/>
          <w:szCs w:val="24"/>
        </w:rPr>
        <w:t xml:space="preserve">i art. 105nb </w:t>
      </w:r>
      <w:r w:rsidR="00F15ECE" w:rsidRPr="00D84154">
        <w:rPr>
          <w:rFonts w:ascii="Times New Roman" w:hAnsi="Times New Roman" w:cs="Times New Roman"/>
          <w:color w:val="000000" w:themeColor="text1"/>
          <w:sz w:val="24"/>
          <w:szCs w:val="24"/>
        </w:rPr>
        <w:t xml:space="preserve">ustawy </w:t>
      </w:r>
      <w:r w:rsidRPr="00D84154">
        <w:rPr>
          <w:rFonts w:ascii="Times New Roman" w:hAnsi="Times New Roman" w:cs="Times New Roman"/>
          <w:color w:val="000000" w:themeColor="text1"/>
          <w:sz w:val="24"/>
          <w:szCs w:val="24"/>
        </w:rPr>
        <w:t xml:space="preserve">uregulowano pozostałe kwestie związane z m.in. </w:t>
      </w:r>
      <w:r w:rsidR="00C71E37">
        <w:rPr>
          <w:rFonts w:ascii="Times New Roman" w:hAnsi="Times New Roman" w:cs="Times New Roman"/>
          <w:color w:val="000000" w:themeColor="text1"/>
          <w:sz w:val="24"/>
          <w:szCs w:val="24"/>
        </w:rPr>
        <w:t xml:space="preserve">z </w:t>
      </w:r>
      <w:r w:rsidRPr="00D84154">
        <w:rPr>
          <w:rFonts w:ascii="Times New Roman" w:hAnsi="Times New Roman" w:cs="Times New Roman"/>
          <w:color w:val="000000" w:themeColor="text1"/>
          <w:sz w:val="24"/>
          <w:szCs w:val="24"/>
        </w:rPr>
        <w:t>doręczaniem postanowienia sądu</w:t>
      </w:r>
      <w:r w:rsidR="006B655A" w:rsidRPr="00D84154">
        <w:rPr>
          <w:rFonts w:ascii="Times New Roman" w:hAnsi="Times New Roman" w:cs="Times New Roman"/>
          <w:color w:val="000000" w:themeColor="text1"/>
          <w:sz w:val="24"/>
          <w:szCs w:val="24"/>
        </w:rPr>
        <w:t xml:space="preserve"> oraz procedurą jego zaskarżenia</w:t>
      </w:r>
      <w:r w:rsidRPr="00D84154">
        <w:rPr>
          <w:rFonts w:ascii="Times New Roman" w:hAnsi="Times New Roman" w:cs="Times New Roman"/>
          <w:color w:val="000000" w:themeColor="text1"/>
          <w:sz w:val="24"/>
          <w:szCs w:val="24"/>
        </w:rPr>
        <w:t xml:space="preserve">. Proponuje się, aby sąd </w:t>
      </w:r>
      <w:r w:rsidR="00016DEB" w:rsidRPr="00D84154">
        <w:rPr>
          <w:rFonts w:ascii="Times New Roman" w:hAnsi="Times New Roman" w:cs="Times New Roman"/>
          <w:color w:val="000000" w:themeColor="text1"/>
          <w:sz w:val="24"/>
          <w:szCs w:val="24"/>
        </w:rPr>
        <w:t>doręczał</w:t>
      </w:r>
      <w:r w:rsidRPr="00D84154">
        <w:rPr>
          <w:rFonts w:ascii="Times New Roman" w:hAnsi="Times New Roman" w:cs="Times New Roman"/>
          <w:color w:val="000000" w:themeColor="text1"/>
          <w:sz w:val="24"/>
          <w:szCs w:val="24"/>
        </w:rPr>
        <w:t xml:space="preserve"> Prezes</w:t>
      </w:r>
      <w:r w:rsidR="00016DEB" w:rsidRPr="00D84154">
        <w:rPr>
          <w:rFonts w:ascii="Times New Roman" w:hAnsi="Times New Roman" w:cs="Times New Roman"/>
          <w:color w:val="000000" w:themeColor="text1"/>
          <w:sz w:val="24"/>
          <w:szCs w:val="24"/>
        </w:rPr>
        <w:t>owi</w:t>
      </w:r>
      <w:r w:rsidRPr="00D84154">
        <w:rPr>
          <w:rFonts w:ascii="Times New Roman" w:hAnsi="Times New Roman" w:cs="Times New Roman"/>
          <w:color w:val="000000" w:themeColor="text1"/>
          <w:sz w:val="24"/>
          <w:szCs w:val="24"/>
        </w:rPr>
        <w:t xml:space="preserve"> Urzędu niezwłocznie</w:t>
      </w:r>
      <w:r w:rsidR="00016DEB" w:rsidRPr="00D84154">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postanowieni</w:t>
      </w:r>
      <w:r w:rsidR="00016DEB" w:rsidRPr="00D84154">
        <w:rPr>
          <w:rFonts w:ascii="Times New Roman" w:hAnsi="Times New Roman" w:cs="Times New Roman"/>
          <w:color w:val="000000" w:themeColor="text1"/>
          <w:sz w:val="24"/>
          <w:szCs w:val="24"/>
        </w:rPr>
        <w:t>e</w:t>
      </w:r>
      <w:r w:rsidRPr="00D84154">
        <w:rPr>
          <w:rFonts w:ascii="Times New Roman" w:hAnsi="Times New Roman" w:cs="Times New Roman"/>
          <w:color w:val="000000" w:themeColor="text1"/>
          <w:sz w:val="24"/>
          <w:szCs w:val="24"/>
        </w:rPr>
        <w:t xml:space="preserve"> o </w:t>
      </w:r>
      <w:r w:rsidR="00016DEB" w:rsidRPr="00D84154">
        <w:rPr>
          <w:rFonts w:ascii="Times New Roman" w:hAnsi="Times New Roman" w:cs="Times New Roman"/>
          <w:color w:val="000000" w:themeColor="text1"/>
          <w:sz w:val="24"/>
          <w:szCs w:val="24"/>
        </w:rPr>
        <w:t>zgodzie na przeprowadzenie przeszukania</w:t>
      </w:r>
      <w:r w:rsidRPr="00D84154">
        <w:rPr>
          <w:rFonts w:ascii="Times New Roman" w:hAnsi="Times New Roman" w:cs="Times New Roman"/>
          <w:color w:val="000000" w:themeColor="text1"/>
          <w:sz w:val="24"/>
          <w:szCs w:val="24"/>
        </w:rPr>
        <w:t xml:space="preserve"> </w:t>
      </w:r>
      <w:r w:rsidR="00016DEB" w:rsidRPr="00D84154">
        <w:rPr>
          <w:rFonts w:ascii="Times New Roman" w:hAnsi="Times New Roman" w:cs="Times New Roman"/>
          <w:color w:val="000000" w:themeColor="text1"/>
          <w:sz w:val="24"/>
          <w:szCs w:val="24"/>
        </w:rPr>
        <w:t>wraz z odpisem dla przeszukiwanego</w:t>
      </w:r>
      <w:r w:rsidR="002609BA" w:rsidRPr="00D84154">
        <w:rPr>
          <w:rFonts w:ascii="Times New Roman" w:eastAsiaTheme="minorEastAsia" w:hAnsi="Times New Roman" w:cs="Times New Roman"/>
          <w:sz w:val="24"/>
          <w:szCs w:val="24"/>
          <w:lang w:eastAsia="pl-PL"/>
        </w:rPr>
        <w:t xml:space="preserve"> </w:t>
      </w:r>
      <w:r w:rsidR="002609BA" w:rsidRPr="00D84154">
        <w:rPr>
          <w:rFonts w:ascii="Times New Roman" w:hAnsi="Times New Roman" w:cs="Times New Roman"/>
          <w:color w:val="000000" w:themeColor="text1"/>
          <w:sz w:val="24"/>
          <w:szCs w:val="24"/>
        </w:rPr>
        <w:t xml:space="preserve">w przypadku wydania </w:t>
      </w:r>
      <w:r w:rsidR="002609BA" w:rsidRPr="00D84154">
        <w:rPr>
          <w:rFonts w:ascii="Times New Roman" w:hAnsi="Times New Roman" w:cs="Times New Roman"/>
          <w:color w:val="000000" w:themeColor="text1"/>
          <w:sz w:val="24"/>
          <w:szCs w:val="24"/>
        </w:rPr>
        <w:lastRenderedPageBreak/>
        <w:t>postanowienia o</w:t>
      </w:r>
      <w:r w:rsidR="00C71E37">
        <w:rPr>
          <w:rFonts w:ascii="Times New Roman" w:hAnsi="Times New Roman" w:cs="Times New Roman"/>
          <w:color w:val="000000" w:themeColor="text1"/>
          <w:sz w:val="24"/>
          <w:szCs w:val="24"/>
        </w:rPr>
        <w:t xml:space="preserve"> </w:t>
      </w:r>
      <w:r w:rsidR="002609BA" w:rsidRPr="00D84154">
        <w:rPr>
          <w:rFonts w:ascii="Times New Roman" w:hAnsi="Times New Roman" w:cs="Times New Roman"/>
          <w:color w:val="000000" w:themeColor="text1"/>
          <w:sz w:val="24"/>
          <w:szCs w:val="24"/>
        </w:rPr>
        <w:t>udzieleniu zgody na przeprowadzenie przeszukania</w:t>
      </w:r>
      <w:r w:rsidR="007A16D3">
        <w:rPr>
          <w:rFonts w:ascii="Times New Roman" w:hAnsi="Times New Roman" w:cs="Times New Roman"/>
          <w:color w:val="000000" w:themeColor="text1"/>
          <w:sz w:val="24"/>
          <w:szCs w:val="24"/>
        </w:rPr>
        <w:t xml:space="preserve"> (art. 105nb ust. </w:t>
      </w:r>
      <w:r w:rsidR="00425752" w:rsidRPr="00D84154">
        <w:rPr>
          <w:rFonts w:ascii="Times New Roman" w:hAnsi="Times New Roman" w:cs="Times New Roman"/>
          <w:color w:val="000000" w:themeColor="text1"/>
          <w:sz w:val="24"/>
          <w:szCs w:val="24"/>
        </w:rPr>
        <w:t>1)</w:t>
      </w:r>
      <w:r w:rsidRPr="00D84154">
        <w:rPr>
          <w:rFonts w:ascii="Times New Roman" w:hAnsi="Times New Roman" w:cs="Times New Roman"/>
          <w:color w:val="000000" w:themeColor="text1"/>
          <w:sz w:val="24"/>
          <w:szCs w:val="24"/>
        </w:rPr>
        <w:t xml:space="preserve">. </w:t>
      </w:r>
      <w:r w:rsidR="008B7A7F" w:rsidRPr="00D84154">
        <w:rPr>
          <w:rFonts w:ascii="Times New Roman" w:hAnsi="Times New Roman" w:cs="Times New Roman"/>
          <w:color w:val="000000" w:themeColor="text1"/>
          <w:sz w:val="24"/>
          <w:szCs w:val="24"/>
        </w:rPr>
        <w:t xml:space="preserve">Jednocześnie zaproponowano dodanie regulacji </w:t>
      </w:r>
      <w:r w:rsidR="00A07EC8" w:rsidRPr="00D84154">
        <w:rPr>
          <w:rFonts w:ascii="Times New Roman" w:hAnsi="Times New Roman" w:cs="Times New Roman"/>
          <w:color w:val="000000" w:themeColor="text1"/>
          <w:sz w:val="24"/>
          <w:szCs w:val="24"/>
        </w:rPr>
        <w:t>w przedmiocie doręczania</w:t>
      </w:r>
      <w:r w:rsidR="008B7A7F" w:rsidRPr="00D84154">
        <w:rPr>
          <w:rFonts w:ascii="Times New Roman" w:hAnsi="Times New Roman" w:cs="Times New Roman"/>
          <w:color w:val="000000" w:themeColor="text1"/>
          <w:sz w:val="24"/>
          <w:szCs w:val="24"/>
        </w:rPr>
        <w:t xml:space="preserve"> przez przeszukujących przeszukiwanemu</w:t>
      </w:r>
      <w:r w:rsidR="00F65A77">
        <w:rPr>
          <w:rFonts w:ascii="Times New Roman" w:hAnsi="Times New Roman" w:cs="Times New Roman"/>
          <w:color w:val="000000" w:themeColor="text1"/>
          <w:sz w:val="24"/>
          <w:szCs w:val="24"/>
        </w:rPr>
        <w:t xml:space="preserve"> </w:t>
      </w:r>
      <w:r w:rsidR="008B7A7F" w:rsidRPr="00D84154">
        <w:rPr>
          <w:rFonts w:ascii="Times New Roman" w:hAnsi="Times New Roman" w:cs="Times New Roman"/>
          <w:color w:val="000000" w:themeColor="text1"/>
          <w:sz w:val="24"/>
          <w:szCs w:val="24"/>
        </w:rPr>
        <w:t>odpisu postanowienia sądu o</w:t>
      </w:r>
      <w:r w:rsidR="00C71E37">
        <w:rPr>
          <w:rFonts w:ascii="Times New Roman" w:hAnsi="Times New Roman" w:cs="Times New Roman"/>
          <w:color w:val="000000" w:themeColor="text1"/>
          <w:sz w:val="24"/>
          <w:szCs w:val="24"/>
        </w:rPr>
        <w:t xml:space="preserve"> </w:t>
      </w:r>
      <w:r w:rsidR="008B7A7F" w:rsidRPr="00D84154">
        <w:rPr>
          <w:rFonts w:ascii="Times New Roman" w:hAnsi="Times New Roman" w:cs="Times New Roman"/>
          <w:color w:val="000000" w:themeColor="text1"/>
          <w:sz w:val="24"/>
          <w:szCs w:val="24"/>
        </w:rPr>
        <w:t xml:space="preserve">udzieleniu zgody na przeprowadzenie przeszukania </w:t>
      </w:r>
      <w:r w:rsidR="00F4790A" w:rsidRPr="00D84154">
        <w:rPr>
          <w:rFonts w:ascii="Times New Roman" w:hAnsi="Times New Roman" w:cs="Times New Roman"/>
          <w:color w:val="000000" w:themeColor="text1"/>
          <w:sz w:val="24"/>
          <w:szCs w:val="24"/>
        </w:rPr>
        <w:t>(art. 105nb ust. 2) oraz doręczania</w:t>
      </w:r>
      <w:r w:rsidR="00F65A77">
        <w:rPr>
          <w:rFonts w:ascii="Times New Roman" w:hAnsi="Times New Roman" w:cs="Times New Roman"/>
          <w:color w:val="000000" w:themeColor="text1"/>
          <w:sz w:val="24"/>
          <w:szCs w:val="24"/>
        </w:rPr>
        <w:t xml:space="preserve"> </w:t>
      </w:r>
      <w:r w:rsidR="00F4790A" w:rsidRPr="00D84154">
        <w:rPr>
          <w:rFonts w:ascii="Times New Roman" w:hAnsi="Times New Roman" w:cs="Times New Roman"/>
          <w:color w:val="000000" w:themeColor="text1"/>
          <w:sz w:val="24"/>
          <w:szCs w:val="24"/>
        </w:rPr>
        <w:t>upoważnieni</w:t>
      </w:r>
      <w:r w:rsidR="00C71E37">
        <w:rPr>
          <w:rFonts w:ascii="Times New Roman" w:hAnsi="Times New Roman" w:cs="Times New Roman"/>
          <w:color w:val="000000" w:themeColor="text1"/>
          <w:sz w:val="24"/>
          <w:szCs w:val="24"/>
        </w:rPr>
        <w:t>a</w:t>
      </w:r>
      <w:r w:rsidR="00F4790A" w:rsidRPr="00D84154">
        <w:rPr>
          <w:rFonts w:ascii="Times New Roman" w:hAnsi="Times New Roman" w:cs="Times New Roman"/>
          <w:color w:val="000000" w:themeColor="text1"/>
          <w:sz w:val="24"/>
          <w:szCs w:val="24"/>
        </w:rPr>
        <w:t xml:space="preserve"> do przeprowadzenia przeszukania i okazywania legitymacji służbowej (art. 105nb ust. 3), jak również</w:t>
      </w:r>
      <w:r w:rsidR="008B7A7F" w:rsidRPr="00D84154">
        <w:rPr>
          <w:rFonts w:ascii="Times New Roman" w:hAnsi="Times New Roman" w:cs="Times New Roman"/>
          <w:color w:val="000000" w:themeColor="text1"/>
          <w:sz w:val="24"/>
          <w:szCs w:val="24"/>
        </w:rPr>
        <w:t xml:space="preserve"> sposób postępowania w przypadku</w:t>
      </w:r>
      <w:r w:rsidR="00F4790A" w:rsidRPr="00D84154">
        <w:rPr>
          <w:rFonts w:ascii="Times New Roman" w:hAnsi="Times New Roman" w:cs="Times New Roman"/>
          <w:color w:val="000000" w:themeColor="text1"/>
          <w:sz w:val="24"/>
          <w:szCs w:val="24"/>
        </w:rPr>
        <w:t xml:space="preserve"> nieobecności przeszukiwanego.</w:t>
      </w:r>
    </w:p>
    <w:p w14:paraId="04C5A5F8" w14:textId="17F3742D" w:rsidR="00F63FBE" w:rsidRPr="00D84154" w:rsidRDefault="00922CE6" w:rsidP="00D84154">
      <w:pPr>
        <w:spacing w:before="120" w:after="0" w:line="360" w:lineRule="auto"/>
        <w:jc w:val="both"/>
        <w:rPr>
          <w:rFonts w:ascii="Times New Roman" w:hAnsi="Times New Roman" w:cs="Times New Roman"/>
          <w:bCs/>
          <w:color w:val="000000" w:themeColor="text1"/>
          <w:sz w:val="24"/>
          <w:szCs w:val="24"/>
        </w:rPr>
      </w:pPr>
      <w:r w:rsidRPr="00D84154">
        <w:rPr>
          <w:rFonts w:ascii="Times New Roman" w:hAnsi="Times New Roman" w:cs="Times New Roman"/>
          <w:color w:val="000000" w:themeColor="text1"/>
          <w:sz w:val="24"/>
          <w:szCs w:val="24"/>
        </w:rPr>
        <w:t xml:space="preserve">W art. 105na ust. </w:t>
      </w:r>
      <w:r w:rsidR="00E95AC2" w:rsidRPr="00D84154">
        <w:rPr>
          <w:rFonts w:ascii="Times New Roman" w:hAnsi="Times New Roman" w:cs="Times New Roman"/>
          <w:color w:val="000000" w:themeColor="text1"/>
          <w:sz w:val="24"/>
          <w:szCs w:val="24"/>
        </w:rPr>
        <w:t>2</w:t>
      </w:r>
      <w:r w:rsidRPr="00D84154">
        <w:rPr>
          <w:rFonts w:ascii="Times New Roman" w:hAnsi="Times New Roman" w:cs="Times New Roman"/>
          <w:color w:val="000000" w:themeColor="text1"/>
          <w:sz w:val="24"/>
          <w:szCs w:val="24"/>
        </w:rPr>
        <w:t xml:space="preserve"> </w:t>
      </w:r>
      <w:r w:rsidR="00F15ECE" w:rsidRPr="00D84154">
        <w:rPr>
          <w:rFonts w:ascii="Times New Roman" w:hAnsi="Times New Roman" w:cs="Times New Roman"/>
          <w:color w:val="000000" w:themeColor="text1"/>
          <w:sz w:val="24"/>
          <w:szCs w:val="24"/>
        </w:rPr>
        <w:t xml:space="preserve">ustawy </w:t>
      </w:r>
      <w:r w:rsidRPr="00D84154">
        <w:rPr>
          <w:rFonts w:ascii="Times New Roman" w:hAnsi="Times New Roman" w:cs="Times New Roman"/>
          <w:color w:val="000000" w:themeColor="text1"/>
          <w:sz w:val="24"/>
          <w:szCs w:val="24"/>
        </w:rPr>
        <w:t>zaproponowano wprowadzen</w:t>
      </w:r>
      <w:r w:rsidR="007A16D3">
        <w:rPr>
          <w:rFonts w:ascii="Times New Roman" w:hAnsi="Times New Roman" w:cs="Times New Roman"/>
          <w:color w:val="000000" w:themeColor="text1"/>
          <w:sz w:val="24"/>
          <w:szCs w:val="24"/>
        </w:rPr>
        <w:t>ie regulacji analogicznej jak w </w:t>
      </w:r>
      <w:r w:rsidRPr="00D84154">
        <w:rPr>
          <w:rFonts w:ascii="Times New Roman" w:hAnsi="Times New Roman" w:cs="Times New Roman"/>
          <w:color w:val="000000" w:themeColor="text1"/>
          <w:sz w:val="24"/>
          <w:szCs w:val="24"/>
        </w:rPr>
        <w:t xml:space="preserve">przypadku innych zażaleń przysługujących w toku przeszukania (por. art. 105m ust. 2 czy </w:t>
      </w:r>
      <w:r w:rsidR="00F15ECE" w:rsidRPr="00D84154">
        <w:rPr>
          <w:rFonts w:ascii="Times New Roman" w:hAnsi="Times New Roman" w:cs="Times New Roman"/>
          <w:color w:val="000000" w:themeColor="text1"/>
          <w:sz w:val="24"/>
          <w:szCs w:val="24"/>
        </w:rPr>
        <w:t xml:space="preserve">art. </w:t>
      </w:r>
      <w:r w:rsidRPr="00D84154">
        <w:rPr>
          <w:rFonts w:ascii="Times New Roman" w:hAnsi="Times New Roman" w:cs="Times New Roman"/>
          <w:color w:val="000000" w:themeColor="text1"/>
          <w:sz w:val="24"/>
          <w:szCs w:val="24"/>
        </w:rPr>
        <w:t>105p), zgodnie z którą wniesienie zażalenia nie wstrzymuje przeszukania. Ponadto analogicznie jak w art. 105m ust. 5 i art. 105p wprowadzono instytucję gwarancyjną, zgodnie z którą w przypadku uwzględnienia zażalenia w całości</w:t>
      </w:r>
      <w:r w:rsidR="007A16D3">
        <w:rPr>
          <w:rFonts w:ascii="Times New Roman" w:hAnsi="Times New Roman" w:cs="Times New Roman"/>
          <w:color w:val="000000" w:themeColor="text1"/>
          <w:sz w:val="24"/>
          <w:szCs w:val="24"/>
        </w:rPr>
        <w:t xml:space="preserve"> lub w części dowody uzyskane w </w:t>
      </w:r>
      <w:r w:rsidRPr="00D84154">
        <w:rPr>
          <w:rFonts w:ascii="Times New Roman" w:hAnsi="Times New Roman" w:cs="Times New Roman"/>
          <w:color w:val="000000" w:themeColor="text1"/>
          <w:sz w:val="24"/>
          <w:szCs w:val="24"/>
        </w:rPr>
        <w:t>wyniku przeszukania w całości lub w uwzględnionej w wyniku zażalenia zaskarżonej części</w:t>
      </w:r>
      <w:r w:rsidR="00A037A3">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 xml:space="preserve">nie mogą być wykorzystane w prowadzonym postępowaniu, w innych postępowaniach prowadzonych przez Prezesa Urzędu oraz w postępowaniach prowadzonych na podstawie odrębnych przepisów (art. 105na ust. </w:t>
      </w:r>
      <w:r w:rsidR="00E95AC2" w:rsidRPr="00D84154">
        <w:rPr>
          <w:rFonts w:ascii="Times New Roman" w:hAnsi="Times New Roman" w:cs="Times New Roman"/>
          <w:color w:val="000000" w:themeColor="text1"/>
          <w:sz w:val="24"/>
          <w:szCs w:val="24"/>
        </w:rPr>
        <w:t>4</w:t>
      </w:r>
      <w:r w:rsidRPr="00D84154">
        <w:rPr>
          <w:rFonts w:ascii="Times New Roman" w:hAnsi="Times New Roman" w:cs="Times New Roman"/>
          <w:color w:val="000000" w:themeColor="text1"/>
          <w:sz w:val="24"/>
          <w:szCs w:val="24"/>
        </w:rPr>
        <w:t xml:space="preserve">). Następnie przewidziano przepisy o charakterze proceduralnym, mające charakter </w:t>
      </w:r>
      <w:r w:rsidRPr="00D84154">
        <w:rPr>
          <w:rFonts w:ascii="Times New Roman" w:hAnsi="Times New Roman" w:cs="Times New Roman"/>
          <w:i/>
          <w:color w:val="000000" w:themeColor="text1"/>
          <w:sz w:val="24"/>
          <w:szCs w:val="24"/>
        </w:rPr>
        <w:t>lex specialis</w:t>
      </w:r>
      <w:r w:rsidRPr="00D84154">
        <w:rPr>
          <w:rFonts w:ascii="Times New Roman" w:hAnsi="Times New Roman" w:cs="Times New Roman"/>
          <w:color w:val="000000" w:themeColor="text1"/>
          <w:sz w:val="24"/>
          <w:szCs w:val="24"/>
        </w:rPr>
        <w:t xml:space="preserve"> w stosun</w:t>
      </w:r>
      <w:r w:rsidR="007A16D3">
        <w:rPr>
          <w:rFonts w:ascii="Times New Roman" w:hAnsi="Times New Roman" w:cs="Times New Roman"/>
          <w:color w:val="000000" w:themeColor="text1"/>
          <w:sz w:val="24"/>
          <w:szCs w:val="24"/>
        </w:rPr>
        <w:t>ku do procedury przewidzianej w </w:t>
      </w:r>
      <w:r w:rsidR="00F15ECE" w:rsidRPr="00D84154">
        <w:rPr>
          <w:rFonts w:ascii="Times New Roman" w:hAnsi="Times New Roman" w:cs="Times New Roman"/>
          <w:color w:val="000000" w:themeColor="text1"/>
          <w:sz w:val="24"/>
          <w:szCs w:val="24"/>
        </w:rPr>
        <w:t xml:space="preserve">ustawie z dnia 17 listopada 1997 r. </w:t>
      </w:r>
      <w:r w:rsidR="000D0D30" w:rsidRPr="00D84154">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Kodeks postępowania cywilnego, w świetle których sąd pierwszej instancji ma przedstawić akta sprawy sądowi drugiej instancji w t</w:t>
      </w:r>
      <w:r w:rsidR="00A616B2" w:rsidRPr="00D84154">
        <w:rPr>
          <w:rFonts w:ascii="Times New Roman" w:hAnsi="Times New Roman" w:cs="Times New Roman"/>
          <w:color w:val="000000" w:themeColor="text1"/>
          <w:sz w:val="24"/>
          <w:szCs w:val="24"/>
        </w:rPr>
        <w:t>erminie 7 dni od dnia wpływu</w:t>
      </w:r>
      <w:r w:rsidRPr="00D84154">
        <w:rPr>
          <w:rFonts w:ascii="Times New Roman" w:hAnsi="Times New Roman" w:cs="Times New Roman"/>
          <w:color w:val="000000" w:themeColor="text1"/>
          <w:sz w:val="24"/>
          <w:szCs w:val="24"/>
        </w:rPr>
        <w:t xml:space="preserve"> zażalenia, zaś Prezes Urzędu może wnieść odpowiedź na zażalenie w terminie 7 dni od dnia doręczenia odpisu zażalenia. W celu podkreślenia konieczności sprawnego procedowania wskazano także, ż</w:t>
      </w:r>
      <w:r w:rsidR="00A037A3">
        <w:rPr>
          <w:rFonts w:ascii="Times New Roman" w:hAnsi="Times New Roman" w:cs="Times New Roman"/>
          <w:color w:val="000000" w:themeColor="text1"/>
          <w:sz w:val="24"/>
          <w:szCs w:val="24"/>
        </w:rPr>
        <w:t>e</w:t>
      </w:r>
      <w:r w:rsidRPr="00D84154">
        <w:rPr>
          <w:rFonts w:ascii="Times New Roman" w:hAnsi="Times New Roman" w:cs="Times New Roman"/>
          <w:color w:val="000000" w:themeColor="text1"/>
          <w:sz w:val="24"/>
          <w:szCs w:val="24"/>
        </w:rPr>
        <w:t xml:space="preserve"> sąd drugiej instancji powinien rozpoznać zażalenie niezwłocznie oraz uzasadnić rozstrzygnięcie z urzędu (art. 105na ust. </w:t>
      </w:r>
      <w:r w:rsidR="00E95AC2" w:rsidRPr="00D84154">
        <w:rPr>
          <w:rFonts w:ascii="Times New Roman" w:hAnsi="Times New Roman" w:cs="Times New Roman"/>
          <w:color w:val="000000" w:themeColor="text1"/>
          <w:sz w:val="24"/>
          <w:szCs w:val="24"/>
        </w:rPr>
        <w:t>3</w:t>
      </w:r>
      <w:r w:rsidRPr="00D84154">
        <w:rPr>
          <w:rFonts w:ascii="Times New Roman" w:hAnsi="Times New Roman" w:cs="Times New Roman"/>
          <w:color w:val="000000" w:themeColor="text1"/>
          <w:sz w:val="24"/>
          <w:szCs w:val="24"/>
        </w:rPr>
        <w:t xml:space="preserve">). W celu uniknięcia ewentualnych wątpliwości interpretacyjnych w art. 105na ust. </w:t>
      </w:r>
      <w:r w:rsidR="00E95AC2" w:rsidRPr="00D84154">
        <w:rPr>
          <w:rFonts w:ascii="Times New Roman" w:hAnsi="Times New Roman" w:cs="Times New Roman"/>
          <w:color w:val="000000" w:themeColor="text1"/>
          <w:sz w:val="24"/>
          <w:szCs w:val="24"/>
        </w:rPr>
        <w:t>5</w:t>
      </w:r>
      <w:r w:rsidRPr="00D84154">
        <w:rPr>
          <w:rFonts w:ascii="Times New Roman" w:hAnsi="Times New Roman" w:cs="Times New Roman"/>
          <w:color w:val="000000" w:themeColor="text1"/>
          <w:sz w:val="24"/>
          <w:szCs w:val="24"/>
        </w:rPr>
        <w:t xml:space="preserve"> zaproponowano przesądzenie wprost, ż</w:t>
      </w:r>
      <w:r w:rsidR="00A037A3">
        <w:rPr>
          <w:rFonts w:ascii="Times New Roman" w:hAnsi="Times New Roman" w:cs="Times New Roman"/>
          <w:color w:val="000000" w:themeColor="text1"/>
          <w:sz w:val="24"/>
          <w:szCs w:val="24"/>
        </w:rPr>
        <w:t>e</w:t>
      </w:r>
      <w:r w:rsidRPr="00D84154">
        <w:rPr>
          <w:rFonts w:ascii="Times New Roman" w:hAnsi="Times New Roman" w:cs="Times New Roman"/>
          <w:color w:val="000000" w:themeColor="text1"/>
          <w:sz w:val="24"/>
          <w:szCs w:val="24"/>
        </w:rPr>
        <w:t xml:space="preserve"> od postanowienia sądu drugiej instancji skarga kasacyjna nie przysługuje.</w:t>
      </w:r>
      <w:r w:rsidR="00F63FBE" w:rsidRPr="00D84154">
        <w:rPr>
          <w:rFonts w:ascii="Times New Roman" w:hAnsi="Times New Roman" w:cs="Times New Roman"/>
          <w:bCs/>
          <w:color w:val="000000" w:themeColor="text1"/>
          <w:sz w:val="24"/>
          <w:szCs w:val="24"/>
        </w:rPr>
        <w:t xml:space="preserve"> </w:t>
      </w:r>
      <w:r w:rsidR="00EB4C68" w:rsidRPr="00D84154">
        <w:rPr>
          <w:rFonts w:ascii="Times New Roman" w:hAnsi="Times New Roman" w:cs="Times New Roman"/>
          <w:bCs/>
          <w:color w:val="000000" w:themeColor="text1"/>
          <w:sz w:val="24"/>
          <w:szCs w:val="24"/>
        </w:rPr>
        <w:t>Podstawę do zażalenia na postanowienie sądu o</w:t>
      </w:r>
      <w:r w:rsidR="00A037A3">
        <w:rPr>
          <w:rFonts w:ascii="Times New Roman" w:hAnsi="Times New Roman" w:cs="Times New Roman"/>
          <w:bCs/>
          <w:color w:val="000000" w:themeColor="text1"/>
          <w:sz w:val="24"/>
          <w:szCs w:val="24"/>
        </w:rPr>
        <w:t xml:space="preserve"> </w:t>
      </w:r>
      <w:r w:rsidR="00EB4C68" w:rsidRPr="00D84154">
        <w:rPr>
          <w:rFonts w:ascii="Times New Roman" w:hAnsi="Times New Roman" w:cs="Times New Roman"/>
          <w:bCs/>
          <w:color w:val="000000" w:themeColor="text1"/>
          <w:sz w:val="24"/>
          <w:szCs w:val="24"/>
        </w:rPr>
        <w:t xml:space="preserve">wyrażeniu zgody na przeprowadzenie przeszukania wpisano również </w:t>
      </w:r>
      <w:r w:rsidR="001C4BA2" w:rsidRPr="00D84154">
        <w:rPr>
          <w:rFonts w:ascii="Times New Roman" w:hAnsi="Times New Roman" w:cs="Times New Roman"/>
          <w:bCs/>
          <w:color w:val="000000" w:themeColor="text1"/>
          <w:sz w:val="24"/>
          <w:szCs w:val="24"/>
        </w:rPr>
        <w:t>wprost w art. 91</w:t>
      </w:r>
      <w:r w:rsidR="00EB4C68" w:rsidRPr="00D84154">
        <w:rPr>
          <w:rFonts w:ascii="Times New Roman" w:hAnsi="Times New Roman" w:cs="Times New Roman"/>
          <w:bCs/>
          <w:color w:val="000000" w:themeColor="text1"/>
          <w:sz w:val="24"/>
          <w:szCs w:val="24"/>
        </w:rPr>
        <w:t xml:space="preserve"> ust. </w:t>
      </w:r>
      <w:r w:rsidR="00020AD4" w:rsidRPr="00D84154">
        <w:rPr>
          <w:rFonts w:ascii="Times New Roman" w:hAnsi="Times New Roman" w:cs="Times New Roman"/>
          <w:bCs/>
          <w:color w:val="000000" w:themeColor="text1"/>
          <w:sz w:val="24"/>
          <w:szCs w:val="24"/>
        </w:rPr>
        <w:t>3</w:t>
      </w:r>
      <w:r w:rsidR="00EB4C68" w:rsidRPr="00D84154">
        <w:rPr>
          <w:rFonts w:ascii="Times New Roman" w:hAnsi="Times New Roman" w:cs="Times New Roman"/>
          <w:bCs/>
          <w:color w:val="000000" w:themeColor="text1"/>
          <w:sz w:val="24"/>
          <w:szCs w:val="24"/>
        </w:rPr>
        <w:t>.</w:t>
      </w:r>
    </w:p>
    <w:p w14:paraId="66C00EA2" w14:textId="0AEA9982" w:rsidR="00923EF1" w:rsidRPr="00D84154" w:rsidRDefault="00923EF1"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bCs/>
          <w:color w:val="000000" w:themeColor="text1"/>
          <w:sz w:val="24"/>
          <w:szCs w:val="24"/>
        </w:rPr>
        <w:t xml:space="preserve">Zmiany w ustawie związane z wprowadzeniem zażalenia na postanowienie sądu o udzieleniu zgody na podjęcie czynności związanych z tzw. zakupem kontrolowanym (art. 105ia) zostaną przewidziane w procedowanej równolegle nowelizacji </w:t>
      </w:r>
      <w:r w:rsidR="007A16D3">
        <w:rPr>
          <w:rFonts w:ascii="Times New Roman" w:hAnsi="Times New Roman" w:cs="Times New Roman"/>
          <w:bCs/>
          <w:color w:val="000000" w:themeColor="text1"/>
          <w:sz w:val="24"/>
          <w:szCs w:val="24"/>
        </w:rPr>
        <w:t>ustawy o ochronie konkurencji i </w:t>
      </w:r>
      <w:r w:rsidRPr="00D84154">
        <w:rPr>
          <w:rFonts w:ascii="Times New Roman" w:hAnsi="Times New Roman" w:cs="Times New Roman"/>
          <w:bCs/>
          <w:color w:val="000000" w:themeColor="text1"/>
          <w:sz w:val="24"/>
          <w:szCs w:val="24"/>
        </w:rPr>
        <w:t>konsumentów w celu dostosowania do przepisów rozporządzenia</w:t>
      </w:r>
      <w:r w:rsidR="00F65A77">
        <w:rPr>
          <w:rFonts w:ascii="Times New Roman" w:hAnsi="Times New Roman" w:cs="Times New Roman"/>
          <w:bCs/>
          <w:color w:val="000000" w:themeColor="text1"/>
          <w:sz w:val="24"/>
          <w:szCs w:val="24"/>
        </w:rPr>
        <w:t xml:space="preserve"> </w:t>
      </w:r>
      <w:r w:rsidRPr="00D84154">
        <w:rPr>
          <w:rFonts w:ascii="Times New Roman" w:hAnsi="Times New Roman" w:cs="Times New Roman"/>
          <w:bCs/>
          <w:color w:val="000000" w:themeColor="text1"/>
          <w:sz w:val="24"/>
          <w:szCs w:val="24"/>
        </w:rPr>
        <w:t xml:space="preserve">Parlamentu Europejskiego i Rady </w:t>
      </w:r>
      <w:r w:rsidR="00F15ECE" w:rsidRPr="00D84154">
        <w:rPr>
          <w:rFonts w:ascii="Times New Roman" w:hAnsi="Times New Roman" w:cs="Times New Roman"/>
          <w:bCs/>
          <w:color w:val="000000" w:themeColor="text1"/>
          <w:sz w:val="24"/>
          <w:szCs w:val="24"/>
        </w:rPr>
        <w:t xml:space="preserve">(UE) 2017/2394 </w:t>
      </w:r>
      <w:r w:rsidRPr="00D84154">
        <w:rPr>
          <w:rFonts w:ascii="Times New Roman" w:hAnsi="Times New Roman" w:cs="Times New Roman"/>
          <w:bCs/>
          <w:color w:val="000000" w:themeColor="text1"/>
          <w:sz w:val="24"/>
          <w:szCs w:val="24"/>
        </w:rPr>
        <w:t xml:space="preserve">z </w:t>
      </w:r>
      <w:r w:rsidR="00F15ECE" w:rsidRPr="00D84154">
        <w:rPr>
          <w:rFonts w:ascii="Times New Roman" w:hAnsi="Times New Roman" w:cs="Times New Roman"/>
          <w:bCs/>
          <w:color w:val="000000" w:themeColor="text1"/>
          <w:sz w:val="24"/>
          <w:szCs w:val="24"/>
        </w:rPr>
        <w:t xml:space="preserve">dnia </w:t>
      </w:r>
      <w:r w:rsidRPr="00D84154">
        <w:rPr>
          <w:rFonts w:ascii="Times New Roman" w:hAnsi="Times New Roman" w:cs="Times New Roman"/>
          <w:bCs/>
          <w:color w:val="000000" w:themeColor="text1"/>
          <w:sz w:val="24"/>
          <w:szCs w:val="24"/>
        </w:rPr>
        <w:t xml:space="preserve">12 grudnia 2017 r. w sprawie współpracy między organami krajowymi odpowiedzialnymi za egzekwowanie przepisów prawa w zakresie ochrony </w:t>
      </w:r>
      <w:r w:rsidRPr="00D84154">
        <w:rPr>
          <w:rFonts w:ascii="Times New Roman" w:hAnsi="Times New Roman" w:cs="Times New Roman"/>
          <w:bCs/>
          <w:color w:val="000000" w:themeColor="text1"/>
          <w:sz w:val="24"/>
          <w:szCs w:val="24"/>
        </w:rPr>
        <w:lastRenderedPageBreak/>
        <w:t xml:space="preserve">konsumentów i uchylającego rozporządzenie </w:t>
      </w:r>
      <w:r w:rsidR="007001D7" w:rsidRPr="00D84154">
        <w:rPr>
          <w:rFonts w:ascii="Times New Roman" w:hAnsi="Times New Roman" w:cs="Times New Roman"/>
          <w:bCs/>
          <w:color w:val="000000" w:themeColor="text1"/>
          <w:sz w:val="24"/>
          <w:szCs w:val="24"/>
        </w:rPr>
        <w:t xml:space="preserve">(WE) </w:t>
      </w:r>
      <w:r w:rsidRPr="00D84154">
        <w:rPr>
          <w:rFonts w:ascii="Times New Roman" w:hAnsi="Times New Roman" w:cs="Times New Roman"/>
          <w:bCs/>
          <w:color w:val="000000" w:themeColor="text1"/>
          <w:sz w:val="24"/>
          <w:szCs w:val="24"/>
        </w:rPr>
        <w:t>nr 2006/2004</w:t>
      </w:r>
      <w:r w:rsidR="007A16D3">
        <w:rPr>
          <w:rFonts w:ascii="Times New Roman" w:hAnsi="Times New Roman" w:cs="Times New Roman"/>
          <w:bCs/>
          <w:color w:val="000000" w:themeColor="text1"/>
          <w:sz w:val="24"/>
          <w:szCs w:val="24"/>
        </w:rPr>
        <w:t xml:space="preserve"> (Dz. Urz. UE L 345 z </w:t>
      </w:r>
      <w:r w:rsidR="007001D7" w:rsidRPr="00D84154">
        <w:rPr>
          <w:rFonts w:ascii="Times New Roman" w:hAnsi="Times New Roman" w:cs="Times New Roman"/>
          <w:bCs/>
          <w:color w:val="000000" w:themeColor="text1"/>
          <w:sz w:val="24"/>
          <w:szCs w:val="24"/>
        </w:rPr>
        <w:t>27.12.2017, str. 1)</w:t>
      </w:r>
      <w:r w:rsidRPr="00D84154">
        <w:rPr>
          <w:rFonts w:ascii="Times New Roman" w:hAnsi="Times New Roman" w:cs="Times New Roman"/>
          <w:bCs/>
          <w:color w:val="000000" w:themeColor="text1"/>
          <w:sz w:val="24"/>
          <w:szCs w:val="24"/>
        </w:rPr>
        <w:t>.</w:t>
      </w:r>
    </w:p>
    <w:p w14:paraId="2D7CE02E" w14:textId="37EFAAB3" w:rsidR="00F63FBE" w:rsidRPr="00D84154" w:rsidRDefault="0035472C" w:rsidP="00D84154">
      <w:pPr>
        <w:pStyle w:val="Akapitzlist"/>
        <w:numPr>
          <w:ilvl w:val="0"/>
          <w:numId w:val="2"/>
        </w:numPr>
        <w:spacing w:before="120" w:after="0" w:line="360" w:lineRule="auto"/>
        <w:ind w:left="426" w:hanging="426"/>
        <w:jc w:val="both"/>
        <w:rPr>
          <w:rFonts w:ascii="Times New Roman" w:hAnsi="Times New Roman" w:cs="Times New Roman"/>
          <w:b/>
          <w:bCs/>
          <w:color w:val="000000" w:themeColor="text1"/>
          <w:sz w:val="24"/>
          <w:szCs w:val="24"/>
        </w:rPr>
      </w:pPr>
      <w:r w:rsidRPr="00D84154">
        <w:rPr>
          <w:rFonts w:ascii="Times New Roman" w:hAnsi="Times New Roman" w:cs="Times New Roman"/>
          <w:b/>
          <w:bCs/>
          <w:color w:val="000000" w:themeColor="text1"/>
          <w:sz w:val="24"/>
          <w:szCs w:val="24"/>
        </w:rPr>
        <w:t>Pozostałe</w:t>
      </w:r>
      <w:r w:rsidR="00F1745D" w:rsidRPr="00D84154">
        <w:rPr>
          <w:rFonts w:ascii="Times New Roman" w:hAnsi="Times New Roman" w:cs="Times New Roman"/>
          <w:b/>
          <w:bCs/>
          <w:color w:val="000000" w:themeColor="text1"/>
          <w:sz w:val="24"/>
          <w:szCs w:val="24"/>
        </w:rPr>
        <w:t xml:space="preserve"> zmiany oraz z</w:t>
      </w:r>
      <w:r w:rsidR="00F63FBE" w:rsidRPr="00D84154">
        <w:rPr>
          <w:rFonts w:ascii="Times New Roman" w:hAnsi="Times New Roman" w:cs="Times New Roman"/>
          <w:b/>
          <w:bCs/>
          <w:color w:val="000000" w:themeColor="text1"/>
          <w:sz w:val="24"/>
          <w:szCs w:val="24"/>
        </w:rPr>
        <w:t>miany w przepisach innych ustaw</w:t>
      </w:r>
    </w:p>
    <w:p w14:paraId="621BECDA" w14:textId="59CE109F" w:rsidR="00F1745D" w:rsidRPr="00D84154" w:rsidRDefault="00F1745D" w:rsidP="00D84154">
      <w:pPr>
        <w:spacing w:before="120" w:after="0" w:line="360" w:lineRule="auto"/>
        <w:jc w:val="both"/>
        <w:rPr>
          <w:rFonts w:ascii="Times New Roman" w:hAnsi="Times New Roman" w:cs="Times New Roman"/>
          <w:bCs/>
          <w:color w:val="000000" w:themeColor="text1"/>
          <w:sz w:val="24"/>
          <w:szCs w:val="24"/>
        </w:rPr>
      </w:pPr>
      <w:r w:rsidRPr="00D84154">
        <w:rPr>
          <w:rFonts w:ascii="Times New Roman" w:hAnsi="Times New Roman" w:cs="Times New Roman"/>
          <w:bCs/>
          <w:color w:val="000000" w:themeColor="text1"/>
          <w:sz w:val="24"/>
          <w:szCs w:val="24"/>
        </w:rPr>
        <w:t xml:space="preserve">W projekcie przewidziano dodanie </w:t>
      </w:r>
      <w:r w:rsidR="003E734B" w:rsidRPr="00D84154">
        <w:rPr>
          <w:rFonts w:ascii="Times New Roman" w:hAnsi="Times New Roman" w:cs="Times New Roman"/>
          <w:bCs/>
          <w:color w:val="000000" w:themeColor="text1"/>
          <w:sz w:val="24"/>
          <w:szCs w:val="24"/>
        </w:rPr>
        <w:t xml:space="preserve">ust. 4a </w:t>
      </w:r>
      <w:r w:rsidRPr="00D84154">
        <w:rPr>
          <w:rFonts w:ascii="Times New Roman" w:hAnsi="Times New Roman" w:cs="Times New Roman"/>
          <w:bCs/>
          <w:color w:val="000000" w:themeColor="text1"/>
          <w:sz w:val="24"/>
          <w:szCs w:val="24"/>
        </w:rPr>
        <w:t xml:space="preserve">w art. 89 </w:t>
      </w:r>
      <w:r w:rsidR="003E734B" w:rsidRPr="00D84154">
        <w:rPr>
          <w:rFonts w:ascii="Times New Roman" w:hAnsi="Times New Roman" w:cs="Times New Roman"/>
          <w:bCs/>
          <w:color w:val="000000" w:themeColor="text1"/>
          <w:sz w:val="24"/>
          <w:szCs w:val="24"/>
        </w:rPr>
        <w:t xml:space="preserve">ustawy, </w:t>
      </w:r>
      <w:r w:rsidRPr="00D84154">
        <w:rPr>
          <w:rFonts w:ascii="Times New Roman" w:hAnsi="Times New Roman" w:cs="Times New Roman"/>
          <w:bCs/>
          <w:color w:val="000000" w:themeColor="text1"/>
          <w:sz w:val="24"/>
          <w:szCs w:val="24"/>
        </w:rPr>
        <w:t xml:space="preserve">zgodnie </w:t>
      </w:r>
      <w:r w:rsidR="0035472C" w:rsidRPr="00D84154">
        <w:rPr>
          <w:rFonts w:ascii="Times New Roman" w:hAnsi="Times New Roman" w:cs="Times New Roman"/>
          <w:bCs/>
          <w:color w:val="000000" w:themeColor="text1"/>
          <w:sz w:val="24"/>
          <w:szCs w:val="24"/>
        </w:rPr>
        <w:t xml:space="preserve">z którym </w:t>
      </w:r>
      <w:r w:rsidRPr="00D84154">
        <w:rPr>
          <w:rFonts w:ascii="Times New Roman" w:hAnsi="Times New Roman" w:cs="Times New Roman"/>
          <w:bCs/>
          <w:color w:val="000000" w:themeColor="text1"/>
          <w:sz w:val="24"/>
          <w:szCs w:val="24"/>
        </w:rPr>
        <w:t>Prezes Urzędu informuje sieć organów ochrony konkurencji państw członkowskich Unii Europejskiej oraz Komisję Europejską o wydaniu decyzji</w:t>
      </w:r>
      <w:r w:rsidR="003E734B" w:rsidRPr="00D84154">
        <w:rPr>
          <w:rFonts w:ascii="Times New Roman" w:hAnsi="Times New Roman" w:cs="Times New Roman"/>
          <w:bCs/>
          <w:color w:val="000000" w:themeColor="text1"/>
          <w:sz w:val="24"/>
          <w:szCs w:val="24"/>
        </w:rPr>
        <w:t>,</w:t>
      </w:r>
      <w:r w:rsidRPr="00D84154">
        <w:rPr>
          <w:rFonts w:ascii="Times New Roman" w:hAnsi="Times New Roman" w:cs="Times New Roman"/>
          <w:bCs/>
          <w:color w:val="000000" w:themeColor="text1"/>
          <w:sz w:val="24"/>
          <w:szCs w:val="24"/>
        </w:rPr>
        <w:t xml:space="preserve"> o których mowa w art. 89 ust. 1 i 3 </w:t>
      </w:r>
      <w:r w:rsidR="003E734B" w:rsidRPr="00D84154">
        <w:rPr>
          <w:rFonts w:ascii="Times New Roman" w:hAnsi="Times New Roman" w:cs="Times New Roman"/>
          <w:bCs/>
          <w:color w:val="000000" w:themeColor="text1"/>
          <w:sz w:val="24"/>
          <w:szCs w:val="24"/>
        </w:rPr>
        <w:t xml:space="preserve">ustawy </w:t>
      </w:r>
      <w:r w:rsidRPr="00D84154">
        <w:rPr>
          <w:rFonts w:ascii="Times New Roman" w:hAnsi="Times New Roman" w:cs="Times New Roman"/>
          <w:bCs/>
          <w:color w:val="000000" w:themeColor="text1"/>
          <w:sz w:val="24"/>
          <w:szCs w:val="24"/>
        </w:rPr>
        <w:t xml:space="preserve">(środki tymczasowe). Przepis ten wdraża art. 11 ust. 1 </w:t>
      </w:r>
      <w:r w:rsidR="003E734B" w:rsidRPr="00D84154">
        <w:rPr>
          <w:rFonts w:ascii="Times New Roman" w:hAnsi="Times New Roman" w:cs="Times New Roman"/>
          <w:bCs/>
          <w:color w:val="000000" w:themeColor="text1"/>
          <w:sz w:val="24"/>
          <w:szCs w:val="24"/>
        </w:rPr>
        <w:t>d</w:t>
      </w:r>
      <w:r w:rsidRPr="00D84154">
        <w:rPr>
          <w:rFonts w:ascii="Times New Roman" w:hAnsi="Times New Roman" w:cs="Times New Roman"/>
          <w:bCs/>
          <w:color w:val="000000" w:themeColor="text1"/>
          <w:sz w:val="24"/>
          <w:szCs w:val="24"/>
        </w:rPr>
        <w:t>yrektywy.</w:t>
      </w:r>
    </w:p>
    <w:p w14:paraId="2AB10A52" w14:textId="2C1AD5F0" w:rsidR="00F63FBE" w:rsidRPr="00D84154" w:rsidRDefault="00F63FBE" w:rsidP="00D84154">
      <w:pPr>
        <w:spacing w:before="120" w:after="0" w:line="360" w:lineRule="auto"/>
        <w:jc w:val="both"/>
        <w:rPr>
          <w:rFonts w:ascii="Times New Roman" w:hAnsi="Times New Roman" w:cs="Times New Roman"/>
          <w:bCs/>
          <w:color w:val="000000" w:themeColor="text1"/>
          <w:sz w:val="24"/>
          <w:szCs w:val="24"/>
        </w:rPr>
      </w:pPr>
      <w:r w:rsidRPr="00D84154">
        <w:rPr>
          <w:rFonts w:ascii="Times New Roman" w:hAnsi="Times New Roman" w:cs="Times New Roman"/>
          <w:bCs/>
          <w:color w:val="000000" w:themeColor="text1"/>
          <w:sz w:val="24"/>
          <w:szCs w:val="24"/>
        </w:rPr>
        <w:t xml:space="preserve">W projekcie przewidziane zostały także zmiany w przepisach innych ustaw, które co do zasady wynikają ze zmian przewidywanych w projekcie oraz konieczne </w:t>
      </w:r>
      <w:r w:rsidR="00CA19F6" w:rsidRPr="00D84154">
        <w:rPr>
          <w:rFonts w:ascii="Times New Roman" w:hAnsi="Times New Roman" w:cs="Times New Roman"/>
          <w:bCs/>
          <w:color w:val="000000" w:themeColor="text1"/>
          <w:sz w:val="24"/>
          <w:szCs w:val="24"/>
        </w:rPr>
        <w:t xml:space="preserve">są </w:t>
      </w:r>
      <w:r w:rsidRPr="00D84154">
        <w:rPr>
          <w:rFonts w:ascii="Times New Roman" w:hAnsi="Times New Roman" w:cs="Times New Roman"/>
          <w:bCs/>
          <w:color w:val="000000" w:themeColor="text1"/>
          <w:sz w:val="24"/>
          <w:szCs w:val="24"/>
        </w:rPr>
        <w:t xml:space="preserve">do prawidłowego wdrożenia </w:t>
      </w:r>
      <w:r w:rsidR="003E734B" w:rsidRPr="00D84154">
        <w:rPr>
          <w:rFonts w:ascii="Times New Roman" w:hAnsi="Times New Roman" w:cs="Times New Roman"/>
          <w:bCs/>
          <w:color w:val="000000" w:themeColor="text1"/>
          <w:sz w:val="24"/>
          <w:szCs w:val="24"/>
        </w:rPr>
        <w:t>d</w:t>
      </w:r>
      <w:r w:rsidRPr="00D84154">
        <w:rPr>
          <w:rFonts w:ascii="Times New Roman" w:hAnsi="Times New Roman" w:cs="Times New Roman"/>
          <w:bCs/>
          <w:color w:val="000000" w:themeColor="text1"/>
          <w:sz w:val="24"/>
          <w:szCs w:val="24"/>
        </w:rPr>
        <w:t>yrektywy. Zmiany te obejmują następujące ustawy:</w:t>
      </w:r>
    </w:p>
    <w:p w14:paraId="64E5BBD0" w14:textId="6249C7C6" w:rsidR="00F63FBE" w:rsidRPr="00D84154" w:rsidRDefault="00090D9B" w:rsidP="00D84154">
      <w:pPr>
        <w:spacing w:before="120" w:after="0" w:line="360" w:lineRule="auto"/>
        <w:jc w:val="both"/>
        <w:rPr>
          <w:rFonts w:ascii="Times New Roman" w:hAnsi="Times New Roman" w:cs="Times New Roman"/>
          <w:bCs/>
          <w:color w:val="000000" w:themeColor="text1"/>
          <w:sz w:val="24"/>
          <w:szCs w:val="24"/>
        </w:rPr>
      </w:pPr>
      <w:r w:rsidRPr="00D84154">
        <w:rPr>
          <w:rFonts w:ascii="Times New Roman" w:hAnsi="Times New Roman" w:cs="Times New Roman"/>
          <w:color w:val="000000" w:themeColor="text1"/>
          <w:sz w:val="24"/>
          <w:szCs w:val="24"/>
        </w:rPr>
        <w:t>–</w:t>
      </w:r>
      <w:r w:rsidR="00F63FBE" w:rsidRPr="00D84154">
        <w:rPr>
          <w:rFonts w:ascii="Times New Roman" w:hAnsi="Times New Roman" w:cs="Times New Roman"/>
          <w:bCs/>
          <w:color w:val="000000" w:themeColor="text1"/>
          <w:sz w:val="24"/>
          <w:szCs w:val="24"/>
        </w:rPr>
        <w:t xml:space="preserve"> </w:t>
      </w:r>
      <w:r w:rsidR="003E734B" w:rsidRPr="00D84154">
        <w:rPr>
          <w:rFonts w:ascii="Times New Roman" w:hAnsi="Times New Roman" w:cs="Times New Roman"/>
          <w:bCs/>
          <w:color w:val="000000" w:themeColor="text1"/>
          <w:sz w:val="24"/>
          <w:szCs w:val="24"/>
        </w:rPr>
        <w:t>ustawę z dnia 17 listopada</w:t>
      </w:r>
      <w:r w:rsidR="00263DC5" w:rsidRPr="00D84154">
        <w:rPr>
          <w:rFonts w:ascii="Times New Roman" w:hAnsi="Times New Roman" w:cs="Times New Roman"/>
          <w:bCs/>
          <w:color w:val="000000" w:themeColor="text1"/>
          <w:sz w:val="24"/>
          <w:szCs w:val="24"/>
        </w:rPr>
        <w:t xml:space="preserve"> 1964 r.</w:t>
      </w:r>
      <w:r w:rsidR="003E734B" w:rsidRPr="00D84154">
        <w:rPr>
          <w:rFonts w:ascii="Times New Roman" w:hAnsi="Times New Roman" w:cs="Times New Roman"/>
          <w:bCs/>
          <w:color w:val="000000" w:themeColor="text1"/>
          <w:sz w:val="24"/>
          <w:szCs w:val="24"/>
        </w:rPr>
        <w:t xml:space="preserve"> </w:t>
      </w:r>
      <w:r w:rsidR="0047474C">
        <w:rPr>
          <w:rFonts w:ascii="Times New Roman" w:hAnsi="Times New Roman" w:cs="Times New Roman"/>
          <w:bCs/>
          <w:color w:val="000000" w:themeColor="text1"/>
          <w:sz w:val="24"/>
          <w:szCs w:val="24"/>
        </w:rPr>
        <w:t>–</w:t>
      </w:r>
      <w:r w:rsidR="003E734B" w:rsidRPr="00D84154">
        <w:rPr>
          <w:rFonts w:ascii="Times New Roman" w:hAnsi="Times New Roman" w:cs="Times New Roman"/>
          <w:bCs/>
          <w:color w:val="000000" w:themeColor="text1"/>
          <w:sz w:val="24"/>
          <w:szCs w:val="24"/>
        </w:rPr>
        <w:t xml:space="preserve"> </w:t>
      </w:r>
      <w:r w:rsidR="00F63FBE" w:rsidRPr="00D84154">
        <w:rPr>
          <w:rFonts w:ascii="Times New Roman" w:hAnsi="Times New Roman" w:cs="Times New Roman"/>
          <w:bCs/>
          <w:color w:val="000000" w:themeColor="text1"/>
          <w:sz w:val="24"/>
          <w:szCs w:val="24"/>
        </w:rPr>
        <w:t xml:space="preserve">Kodeks postępowania cywilnego – zmiany służące wdrożeniu art. 28 </w:t>
      </w:r>
      <w:r w:rsidR="003E734B" w:rsidRPr="00D84154">
        <w:rPr>
          <w:rFonts w:ascii="Times New Roman" w:hAnsi="Times New Roman" w:cs="Times New Roman"/>
          <w:bCs/>
          <w:color w:val="000000" w:themeColor="text1"/>
          <w:sz w:val="24"/>
          <w:szCs w:val="24"/>
        </w:rPr>
        <w:t>d</w:t>
      </w:r>
      <w:r w:rsidR="00F63FBE" w:rsidRPr="00D84154">
        <w:rPr>
          <w:rFonts w:ascii="Times New Roman" w:hAnsi="Times New Roman" w:cs="Times New Roman"/>
          <w:bCs/>
          <w:color w:val="000000" w:themeColor="text1"/>
          <w:sz w:val="24"/>
          <w:szCs w:val="24"/>
        </w:rPr>
        <w:t xml:space="preserve">yrektywy, </w:t>
      </w:r>
      <w:r w:rsidR="00F63FBE" w:rsidRPr="00D84154">
        <w:rPr>
          <w:rFonts w:ascii="Times New Roman" w:hAnsi="Times New Roman" w:cs="Times New Roman"/>
          <w:color w:val="000000" w:themeColor="text1"/>
          <w:sz w:val="24"/>
          <w:szCs w:val="24"/>
        </w:rPr>
        <w:t xml:space="preserve">dające podstawę </w:t>
      </w:r>
      <w:r w:rsidR="003E734B" w:rsidRPr="00D84154">
        <w:rPr>
          <w:rFonts w:ascii="Times New Roman" w:hAnsi="Times New Roman" w:cs="Times New Roman"/>
          <w:color w:val="000000" w:themeColor="text1"/>
          <w:sz w:val="24"/>
          <w:szCs w:val="24"/>
        </w:rPr>
        <w:t>sądowi ochrony konkurencji i konsumentów</w:t>
      </w:r>
      <w:r w:rsidR="00F63FBE" w:rsidRPr="00D84154">
        <w:rPr>
          <w:rFonts w:ascii="Times New Roman" w:hAnsi="Times New Roman" w:cs="Times New Roman"/>
          <w:color w:val="000000" w:themeColor="text1"/>
          <w:sz w:val="24"/>
          <w:szCs w:val="24"/>
        </w:rPr>
        <w:t xml:space="preserve"> do rozstrzygania zażaleń w zakresie stosowania przepisów o wzajemnej pomocy (zakres zmian został przedstawiony w pkt 12) oraz wynikające z projektowanych zmian w art. 70 ustawy (zmiany w art. 479</w:t>
      </w:r>
      <w:r w:rsidR="00F63FBE" w:rsidRPr="00D84154">
        <w:rPr>
          <w:rFonts w:ascii="Times New Roman" w:hAnsi="Times New Roman" w:cs="Times New Roman"/>
          <w:color w:val="000000" w:themeColor="text1"/>
          <w:sz w:val="24"/>
          <w:szCs w:val="24"/>
          <w:vertAlign w:val="superscript"/>
        </w:rPr>
        <w:t>33</w:t>
      </w:r>
      <w:r w:rsidR="00F63FBE" w:rsidRPr="00D84154" w:rsidDel="00E90F30">
        <w:rPr>
          <w:rFonts w:ascii="Times New Roman" w:hAnsi="Times New Roman" w:cs="Times New Roman"/>
          <w:b/>
          <w:bCs/>
          <w:color w:val="000000" w:themeColor="text1"/>
          <w:sz w:val="24"/>
          <w:szCs w:val="24"/>
        </w:rPr>
        <w:t xml:space="preserve"> </w:t>
      </w:r>
      <w:r w:rsidR="003E734B" w:rsidRPr="00D84154">
        <w:rPr>
          <w:rFonts w:ascii="Times New Roman" w:hAnsi="Times New Roman" w:cs="Times New Roman"/>
          <w:bCs/>
          <w:color w:val="000000" w:themeColor="text1"/>
          <w:sz w:val="24"/>
          <w:szCs w:val="24"/>
        </w:rPr>
        <w:t>Kodeksu</w:t>
      </w:r>
      <w:r w:rsidR="0047474C">
        <w:rPr>
          <w:rFonts w:ascii="Times New Roman" w:hAnsi="Times New Roman" w:cs="Times New Roman"/>
          <w:bCs/>
          <w:color w:val="000000" w:themeColor="text1"/>
          <w:sz w:val="24"/>
          <w:szCs w:val="24"/>
        </w:rPr>
        <w:t xml:space="preserve"> </w:t>
      </w:r>
      <w:r w:rsidR="0047474C" w:rsidRPr="00D84154">
        <w:rPr>
          <w:rFonts w:ascii="Times New Roman" w:hAnsi="Times New Roman" w:cs="Times New Roman"/>
          <w:bCs/>
          <w:color w:val="000000" w:themeColor="text1"/>
          <w:sz w:val="24"/>
          <w:szCs w:val="24"/>
        </w:rPr>
        <w:t>postępowania cywilnego</w:t>
      </w:r>
      <w:r w:rsidR="00F63FBE" w:rsidRPr="00D84154">
        <w:rPr>
          <w:rFonts w:ascii="Times New Roman" w:hAnsi="Times New Roman" w:cs="Times New Roman"/>
          <w:bCs/>
          <w:color w:val="000000" w:themeColor="text1"/>
          <w:sz w:val="24"/>
          <w:szCs w:val="24"/>
        </w:rPr>
        <w:t>),</w:t>
      </w:r>
    </w:p>
    <w:p w14:paraId="5B3B659B" w14:textId="56A27898" w:rsidR="00F63FBE" w:rsidRPr="00D84154" w:rsidRDefault="00693D81" w:rsidP="00D84154">
      <w:pPr>
        <w:spacing w:before="120" w:after="0" w:line="360" w:lineRule="auto"/>
        <w:jc w:val="both"/>
        <w:rPr>
          <w:rFonts w:ascii="Times New Roman" w:hAnsi="Times New Roman" w:cs="Times New Roman"/>
          <w:bCs/>
          <w:color w:val="000000" w:themeColor="text1"/>
          <w:sz w:val="24"/>
          <w:szCs w:val="24"/>
        </w:rPr>
      </w:pPr>
      <w:r w:rsidRPr="00D84154">
        <w:rPr>
          <w:rFonts w:ascii="Times New Roman" w:hAnsi="Times New Roman" w:cs="Times New Roman"/>
          <w:color w:val="000000" w:themeColor="text1"/>
          <w:sz w:val="24"/>
          <w:szCs w:val="24"/>
        </w:rPr>
        <w:t>–</w:t>
      </w:r>
      <w:r w:rsidR="00F63FBE" w:rsidRPr="00D84154">
        <w:rPr>
          <w:rFonts w:ascii="Times New Roman" w:hAnsi="Times New Roman" w:cs="Times New Roman"/>
          <w:bCs/>
          <w:color w:val="000000" w:themeColor="text1"/>
          <w:sz w:val="24"/>
          <w:szCs w:val="24"/>
        </w:rPr>
        <w:t xml:space="preserve"> ustaw</w:t>
      </w:r>
      <w:r w:rsidR="00F6484C" w:rsidRPr="00D84154">
        <w:rPr>
          <w:rFonts w:ascii="Times New Roman" w:hAnsi="Times New Roman" w:cs="Times New Roman"/>
          <w:bCs/>
          <w:color w:val="000000" w:themeColor="text1"/>
          <w:sz w:val="24"/>
          <w:szCs w:val="24"/>
        </w:rPr>
        <w:t>ę</w:t>
      </w:r>
      <w:r w:rsidR="00F63FBE" w:rsidRPr="00D84154">
        <w:rPr>
          <w:rFonts w:ascii="Times New Roman" w:hAnsi="Times New Roman" w:cs="Times New Roman"/>
          <w:bCs/>
          <w:color w:val="000000" w:themeColor="text1"/>
          <w:sz w:val="24"/>
          <w:szCs w:val="24"/>
        </w:rPr>
        <w:t xml:space="preserve"> o postępowaniu egzekucyjnym w administracji – zmiany umożliwiające organom egzekucyjnym realizowanie wniosków o pomoc w zakresie egzekucji kar pieniężnych przesyłanych przez Prezesa UOKiK</w:t>
      </w:r>
      <w:r w:rsidR="00334CA7" w:rsidRPr="00D84154">
        <w:rPr>
          <w:rFonts w:ascii="Times New Roman" w:hAnsi="Times New Roman" w:cs="Times New Roman"/>
          <w:bCs/>
          <w:color w:val="000000" w:themeColor="text1"/>
          <w:sz w:val="24"/>
          <w:szCs w:val="24"/>
        </w:rPr>
        <w:t xml:space="preserve"> (w zakresie wskazanym w pkt 12),</w:t>
      </w:r>
    </w:p>
    <w:p w14:paraId="31266893" w14:textId="2EB1595A" w:rsidR="009416BC" w:rsidRPr="00D84154" w:rsidRDefault="00693D81" w:rsidP="00D84154">
      <w:pPr>
        <w:spacing w:before="120" w:after="0" w:line="360" w:lineRule="auto"/>
        <w:jc w:val="both"/>
        <w:rPr>
          <w:rFonts w:ascii="Times New Roman" w:hAnsi="Times New Roman" w:cs="Times New Roman"/>
          <w:bCs/>
          <w:color w:val="000000" w:themeColor="text1"/>
          <w:sz w:val="24"/>
          <w:szCs w:val="24"/>
        </w:rPr>
      </w:pPr>
      <w:r w:rsidRPr="00D84154">
        <w:rPr>
          <w:rFonts w:ascii="Times New Roman" w:hAnsi="Times New Roman" w:cs="Times New Roman"/>
          <w:color w:val="000000" w:themeColor="text1"/>
          <w:sz w:val="24"/>
          <w:szCs w:val="24"/>
        </w:rPr>
        <w:t>–</w:t>
      </w:r>
      <w:r w:rsidR="00334CA7" w:rsidRPr="00D84154">
        <w:rPr>
          <w:rFonts w:ascii="Times New Roman" w:hAnsi="Times New Roman" w:cs="Times New Roman"/>
          <w:bCs/>
          <w:color w:val="000000" w:themeColor="text1"/>
          <w:sz w:val="24"/>
          <w:szCs w:val="24"/>
        </w:rPr>
        <w:t xml:space="preserve"> ustaw</w:t>
      </w:r>
      <w:r w:rsidR="00CA4419" w:rsidRPr="00D84154">
        <w:rPr>
          <w:rFonts w:ascii="Times New Roman" w:hAnsi="Times New Roman" w:cs="Times New Roman"/>
          <w:bCs/>
          <w:color w:val="000000" w:themeColor="text1"/>
          <w:sz w:val="24"/>
          <w:szCs w:val="24"/>
        </w:rPr>
        <w:t>ę z dnia 1</w:t>
      </w:r>
      <w:r w:rsidR="0033191E" w:rsidRPr="00D84154">
        <w:rPr>
          <w:rFonts w:ascii="Times New Roman" w:hAnsi="Times New Roman" w:cs="Times New Roman"/>
          <w:bCs/>
          <w:color w:val="000000" w:themeColor="text1"/>
          <w:sz w:val="24"/>
          <w:szCs w:val="24"/>
        </w:rPr>
        <w:t>7</w:t>
      </w:r>
      <w:r w:rsidR="00CA4419" w:rsidRPr="00D84154">
        <w:rPr>
          <w:rFonts w:ascii="Times New Roman" w:hAnsi="Times New Roman" w:cs="Times New Roman"/>
          <w:bCs/>
          <w:color w:val="000000" w:themeColor="text1"/>
          <w:sz w:val="24"/>
          <w:szCs w:val="24"/>
        </w:rPr>
        <w:t xml:space="preserve"> </w:t>
      </w:r>
      <w:r w:rsidR="00263DC5" w:rsidRPr="00D84154">
        <w:rPr>
          <w:rFonts w:ascii="Times New Roman" w:hAnsi="Times New Roman" w:cs="Times New Roman"/>
          <w:bCs/>
          <w:color w:val="000000" w:themeColor="text1"/>
          <w:sz w:val="24"/>
          <w:szCs w:val="24"/>
        </w:rPr>
        <w:t>listopada</w:t>
      </w:r>
      <w:r w:rsidR="00CA4419" w:rsidRPr="00D84154">
        <w:rPr>
          <w:rFonts w:ascii="Times New Roman" w:hAnsi="Times New Roman" w:cs="Times New Roman"/>
          <w:bCs/>
          <w:color w:val="000000" w:themeColor="text1"/>
          <w:sz w:val="24"/>
          <w:szCs w:val="24"/>
        </w:rPr>
        <w:t xml:space="preserve"> 20</w:t>
      </w:r>
      <w:r w:rsidR="00263DC5" w:rsidRPr="00D84154">
        <w:rPr>
          <w:rFonts w:ascii="Times New Roman" w:hAnsi="Times New Roman" w:cs="Times New Roman"/>
          <w:bCs/>
          <w:color w:val="000000" w:themeColor="text1"/>
          <w:sz w:val="24"/>
          <w:szCs w:val="24"/>
        </w:rPr>
        <w:t>21</w:t>
      </w:r>
      <w:r w:rsidR="00CA4419" w:rsidRPr="00D84154">
        <w:rPr>
          <w:rFonts w:ascii="Times New Roman" w:hAnsi="Times New Roman" w:cs="Times New Roman"/>
          <w:bCs/>
          <w:color w:val="000000" w:themeColor="text1"/>
          <w:sz w:val="24"/>
          <w:szCs w:val="24"/>
        </w:rPr>
        <w:t xml:space="preserve"> r.</w:t>
      </w:r>
      <w:r w:rsidR="00263DC5" w:rsidRPr="00D84154">
        <w:rPr>
          <w:rFonts w:ascii="Times New Roman" w:hAnsi="Times New Roman" w:cs="Times New Roman"/>
          <w:bCs/>
          <w:color w:val="000000" w:themeColor="text1"/>
          <w:sz w:val="24"/>
          <w:szCs w:val="24"/>
        </w:rPr>
        <w:t xml:space="preserve"> </w:t>
      </w:r>
      <w:r w:rsidR="00334CA7" w:rsidRPr="00D84154">
        <w:rPr>
          <w:rFonts w:ascii="Times New Roman" w:hAnsi="Times New Roman" w:cs="Times New Roman"/>
          <w:bCs/>
          <w:color w:val="000000" w:themeColor="text1"/>
          <w:sz w:val="24"/>
          <w:szCs w:val="24"/>
        </w:rPr>
        <w:t>o przeciwdziałaniu nieuczciwemu wykorzystywaniu przewagi kontraktowej w obrocie produktami rolnymi i spożywczymi</w:t>
      </w:r>
      <w:r w:rsidR="00F65A77">
        <w:rPr>
          <w:rFonts w:ascii="Times New Roman" w:hAnsi="Times New Roman" w:cs="Times New Roman"/>
          <w:bCs/>
          <w:color w:val="000000" w:themeColor="text1"/>
          <w:sz w:val="24"/>
          <w:szCs w:val="24"/>
        </w:rPr>
        <w:t xml:space="preserve"> </w:t>
      </w:r>
      <w:r w:rsidR="007A16D3">
        <w:rPr>
          <w:rFonts w:ascii="Times New Roman" w:hAnsi="Times New Roman" w:cs="Times New Roman"/>
          <w:bCs/>
          <w:color w:val="000000" w:themeColor="text1"/>
          <w:sz w:val="24"/>
          <w:szCs w:val="24"/>
        </w:rPr>
        <w:t>– zmiana redakcyjna w </w:t>
      </w:r>
      <w:r w:rsidR="00334CA7" w:rsidRPr="00D84154">
        <w:rPr>
          <w:rFonts w:ascii="Times New Roman" w:hAnsi="Times New Roman" w:cs="Times New Roman"/>
          <w:bCs/>
          <w:color w:val="000000" w:themeColor="text1"/>
          <w:sz w:val="24"/>
          <w:szCs w:val="24"/>
        </w:rPr>
        <w:t xml:space="preserve">art. </w:t>
      </w:r>
      <w:r w:rsidR="00263DC5" w:rsidRPr="00D84154">
        <w:rPr>
          <w:rFonts w:ascii="Times New Roman" w:hAnsi="Times New Roman" w:cs="Times New Roman"/>
          <w:bCs/>
          <w:color w:val="000000" w:themeColor="text1"/>
          <w:sz w:val="24"/>
          <w:szCs w:val="24"/>
        </w:rPr>
        <w:t>20</w:t>
      </w:r>
      <w:r w:rsidR="00334CA7" w:rsidRPr="00D84154">
        <w:rPr>
          <w:rFonts w:ascii="Times New Roman" w:hAnsi="Times New Roman" w:cs="Times New Roman"/>
          <w:bCs/>
          <w:color w:val="000000" w:themeColor="text1"/>
          <w:sz w:val="24"/>
          <w:szCs w:val="24"/>
        </w:rPr>
        <w:t xml:space="preserve"> zawierającym odesłania do przepisów ustawy o ochronie konkurencji i konsumentów; w przypadku braku tej zmiany w zakresie ww. odesłań znalazłby się projektowan</w:t>
      </w:r>
      <w:r w:rsidR="00CA4419" w:rsidRPr="00D84154">
        <w:rPr>
          <w:rFonts w:ascii="Times New Roman" w:hAnsi="Times New Roman" w:cs="Times New Roman"/>
          <w:bCs/>
          <w:color w:val="000000" w:themeColor="text1"/>
          <w:sz w:val="24"/>
          <w:szCs w:val="24"/>
        </w:rPr>
        <w:t>y</w:t>
      </w:r>
      <w:r w:rsidR="007A16D3">
        <w:rPr>
          <w:rFonts w:ascii="Times New Roman" w:hAnsi="Times New Roman" w:cs="Times New Roman"/>
          <w:bCs/>
          <w:color w:val="000000" w:themeColor="text1"/>
          <w:sz w:val="24"/>
          <w:szCs w:val="24"/>
        </w:rPr>
        <w:t xml:space="preserve"> art. </w:t>
      </w:r>
      <w:r w:rsidR="00334CA7" w:rsidRPr="00D84154">
        <w:rPr>
          <w:rFonts w:ascii="Times New Roman" w:hAnsi="Times New Roman" w:cs="Times New Roman"/>
          <w:bCs/>
          <w:color w:val="000000" w:themeColor="text1"/>
          <w:sz w:val="24"/>
          <w:szCs w:val="24"/>
        </w:rPr>
        <w:t xml:space="preserve">53a </w:t>
      </w:r>
      <w:r w:rsidR="00CA4419" w:rsidRPr="00D84154">
        <w:rPr>
          <w:rFonts w:ascii="Times New Roman" w:hAnsi="Times New Roman" w:cs="Times New Roman"/>
          <w:bCs/>
          <w:color w:val="000000" w:themeColor="text1"/>
          <w:sz w:val="24"/>
          <w:szCs w:val="24"/>
        </w:rPr>
        <w:t>u</w:t>
      </w:r>
      <w:r w:rsidR="00334CA7" w:rsidRPr="00D84154">
        <w:rPr>
          <w:rFonts w:ascii="Times New Roman" w:hAnsi="Times New Roman" w:cs="Times New Roman"/>
          <w:bCs/>
          <w:color w:val="000000" w:themeColor="text1"/>
          <w:sz w:val="24"/>
          <w:szCs w:val="24"/>
        </w:rPr>
        <w:t>stawy, któr</w:t>
      </w:r>
      <w:r w:rsidR="00CA4419" w:rsidRPr="00D84154">
        <w:rPr>
          <w:rFonts w:ascii="Times New Roman" w:hAnsi="Times New Roman" w:cs="Times New Roman"/>
          <w:bCs/>
          <w:color w:val="000000" w:themeColor="text1"/>
          <w:sz w:val="24"/>
          <w:szCs w:val="24"/>
        </w:rPr>
        <w:t>y</w:t>
      </w:r>
      <w:r w:rsidR="00334CA7" w:rsidRPr="00D84154">
        <w:rPr>
          <w:rFonts w:ascii="Times New Roman" w:hAnsi="Times New Roman" w:cs="Times New Roman"/>
          <w:bCs/>
          <w:color w:val="000000" w:themeColor="text1"/>
          <w:sz w:val="24"/>
          <w:szCs w:val="24"/>
        </w:rPr>
        <w:t xml:space="preserve"> </w:t>
      </w:r>
      <w:r w:rsidR="00CA4419" w:rsidRPr="00D84154">
        <w:rPr>
          <w:rFonts w:ascii="Times New Roman" w:hAnsi="Times New Roman" w:cs="Times New Roman"/>
          <w:bCs/>
          <w:color w:val="000000" w:themeColor="text1"/>
          <w:sz w:val="24"/>
          <w:szCs w:val="24"/>
        </w:rPr>
        <w:t xml:space="preserve">jest </w:t>
      </w:r>
      <w:r w:rsidR="00334CA7" w:rsidRPr="00D84154">
        <w:rPr>
          <w:rFonts w:ascii="Times New Roman" w:hAnsi="Times New Roman" w:cs="Times New Roman"/>
          <w:bCs/>
          <w:color w:val="000000" w:themeColor="text1"/>
          <w:sz w:val="24"/>
          <w:szCs w:val="24"/>
        </w:rPr>
        <w:t>regulacj</w:t>
      </w:r>
      <w:r w:rsidR="00CA4419" w:rsidRPr="00D84154">
        <w:rPr>
          <w:rFonts w:ascii="Times New Roman" w:hAnsi="Times New Roman" w:cs="Times New Roman"/>
          <w:bCs/>
          <w:color w:val="000000" w:themeColor="text1"/>
          <w:sz w:val="24"/>
          <w:szCs w:val="24"/>
        </w:rPr>
        <w:t>ą</w:t>
      </w:r>
      <w:r w:rsidR="00334CA7" w:rsidRPr="00D84154">
        <w:rPr>
          <w:rFonts w:ascii="Times New Roman" w:hAnsi="Times New Roman" w:cs="Times New Roman"/>
          <w:bCs/>
          <w:color w:val="000000" w:themeColor="text1"/>
          <w:sz w:val="24"/>
          <w:szCs w:val="24"/>
        </w:rPr>
        <w:t xml:space="preserve"> dotycząc</w:t>
      </w:r>
      <w:r w:rsidR="00CA4419" w:rsidRPr="00D84154">
        <w:rPr>
          <w:rFonts w:ascii="Times New Roman" w:hAnsi="Times New Roman" w:cs="Times New Roman"/>
          <w:bCs/>
          <w:color w:val="000000" w:themeColor="text1"/>
          <w:sz w:val="24"/>
          <w:szCs w:val="24"/>
        </w:rPr>
        <w:t>ą</w:t>
      </w:r>
      <w:r w:rsidR="00334CA7" w:rsidRPr="00D84154">
        <w:rPr>
          <w:rFonts w:ascii="Times New Roman" w:hAnsi="Times New Roman" w:cs="Times New Roman"/>
          <w:bCs/>
          <w:color w:val="000000" w:themeColor="text1"/>
          <w:sz w:val="24"/>
          <w:szCs w:val="24"/>
        </w:rPr>
        <w:t xml:space="preserve"> </w:t>
      </w:r>
      <w:r w:rsidR="00334CA7" w:rsidRPr="00D84154">
        <w:rPr>
          <w:rFonts w:ascii="Times New Roman" w:hAnsi="Times New Roman" w:cs="Times New Roman"/>
          <w:bCs/>
          <w:i/>
          <w:color w:val="000000" w:themeColor="text1"/>
          <w:sz w:val="24"/>
          <w:szCs w:val="24"/>
        </w:rPr>
        <w:t xml:space="preserve">stricte </w:t>
      </w:r>
      <w:r w:rsidR="00334CA7" w:rsidRPr="00D84154">
        <w:rPr>
          <w:rFonts w:ascii="Times New Roman" w:hAnsi="Times New Roman" w:cs="Times New Roman"/>
          <w:bCs/>
          <w:color w:val="000000" w:themeColor="text1"/>
          <w:sz w:val="24"/>
          <w:szCs w:val="24"/>
        </w:rPr>
        <w:t>stosowania prawa antymonopolowego</w:t>
      </w:r>
      <w:r w:rsidR="009416BC" w:rsidRPr="00D84154">
        <w:rPr>
          <w:rFonts w:ascii="Times New Roman" w:hAnsi="Times New Roman" w:cs="Times New Roman"/>
          <w:bCs/>
          <w:color w:val="000000" w:themeColor="text1"/>
          <w:sz w:val="24"/>
          <w:szCs w:val="24"/>
        </w:rPr>
        <w:t>,</w:t>
      </w:r>
    </w:p>
    <w:p w14:paraId="47F14F6C" w14:textId="22C45164" w:rsidR="00334CA7" w:rsidRPr="00D84154" w:rsidRDefault="00693D81"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w:t>
      </w:r>
      <w:r w:rsidR="009416BC" w:rsidRPr="00D84154">
        <w:rPr>
          <w:rFonts w:ascii="Times New Roman" w:hAnsi="Times New Roman" w:cs="Times New Roman"/>
          <w:bCs/>
          <w:color w:val="000000" w:themeColor="text1"/>
          <w:sz w:val="24"/>
          <w:szCs w:val="24"/>
        </w:rPr>
        <w:t xml:space="preserve"> ustaw</w:t>
      </w:r>
      <w:r w:rsidR="00CA4419" w:rsidRPr="00D84154">
        <w:rPr>
          <w:rFonts w:ascii="Times New Roman" w:hAnsi="Times New Roman" w:cs="Times New Roman"/>
          <w:bCs/>
          <w:color w:val="000000" w:themeColor="text1"/>
          <w:sz w:val="24"/>
          <w:szCs w:val="24"/>
        </w:rPr>
        <w:t>ę</w:t>
      </w:r>
      <w:r w:rsidR="009416BC" w:rsidRPr="00D84154">
        <w:rPr>
          <w:rFonts w:ascii="Times New Roman" w:hAnsi="Times New Roman" w:cs="Times New Roman"/>
          <w:bCs/>
          <w:color w:val="000000" w:themeColor="text1"/>
          <w:sz w:val="24"/>
          <w:szCs w:val="24"/>
        </w:rPr>
        <w:t xml:space="preserve"> </w:t>
      </w:r>
      <w:r w:rsidR="00CA4419" w:rsidRPr="00D84154">
        <w:rPr>
          <w:rFonts w:ascii="Times New Roman" w:hAnsi="Times New Roman" w:cs="Times New Roman"/>
          <w:bCs/>
          <w:color w:val="000000" w:themeColor="text1"/>
          <w:sz w:val="24"/>
          <w:szCs w:val="24"/>
        </w:rPr>
        <w:t xml:space="preserve">z dnia 8 marca 2013 r. </w:t>
      </w:r>
      <w:r w:rsidR="009416BC" w:rsidRPr="00D84154">
        <w:rPr>
          <w:rFonts w:ascii="Times New Roman" w:hAnsi="Times New Roman" w:cs="Times New Roman"/>
          <w:bCs/>
          <w:color w:val="000000" w:themeColor="text1"/>
          <w:sz w:val="24"/>
          <w:szCs w:val="24"/>
        </w:rPr>
        <w:t xml:space="preserve">o przeciwdziałaniu nadmiernym opóźnieniom </w:t>
      </w:r>
      <w:r w:rsidR="000D0D30" w:rsidRPr="00D84154">
        <w:rPr>
          <w:rFonts w:ascii="Times New Roman" w:hAnsi="Times New Roman" w:cs="Times New Roman"/>
          <w:bCs/>
          <w:color w:val="000000" w:themeColor="text1"/>
          <w:sz w:val="24"/>
          <w:szCs w:val="24"/>
        </w:rPr>
        <w:t xml:space="preserve">w </w:t>
      </w:r>
      <w:r w:rsidR="009416BC" w:rsidRPr="00D84154">
        <w:rPr>
          <w:rFonts w:ascii="Times New Roman" w:hAnsi="Times New Roman" w:cs="Times New Roman"/>
          <w:bCs/>
          <w:color w:val="000000" w:themeColor="text1"/>
          <w:sz w:val="24"/>
          <w:szCs w:val="24"/>
        </w:rPr>
        <w:t>transakcjach handlowy</w:t>
      </w:r>
      <w:r w:rsidR="00CA4419" w:rsidRPr="00D84154">
        <w:rPr>
          <w:rFonts w:ascii="Times New Roman" w:hAnsi="Times New Roman" w:cs="Times New Roman"/>
          <w:bCs/>
          <w:color w:val="000000" w:themeColor="text1"/>
          <w:sz w:val="24"/>
          <w:szCs w:val="24"/>
        </w:rPr>
        <w:t>ch</w:t>
      </w:r>
      <w:r w:rsidR="009416BC" w:rsidRPr="00D84154">
        <w:rPr>
          <w:rFonts w:ascii="Times New Roman" w:hAnsi="Times New Roman" w:cs="Times New Roman"/>
          <w:bCs/>
          <w:color w:val="000000" w:themeColor="text1"/>
          <w:sz w:val="24"/>
          <w:szCs w:val="24"/>
        </w:rPr>
        <w:t xml:space="preserve"> – zmiany analogiczne do zmian w ustawie</w:t>
      </w:r>
      <w:r w:rsidR="00CA4419" w:rsidRPr="00D84154">
        <w:rPr>
          <w:rFonts w:ascii="Times New Roman" w:hAnsi="Times New Roman" w:cs="Times New Roman"/>
          <w:bCs/>
          <w:color w:val="000000" w:themeColor="text1"/>
          <w:sz w:val="24"/>
          <w:szCs w:val="24"/>
        </w:rPr>
        <w:t xml:space="preserve"> </w:t>
      </w:r>
      <w:r w:rsidR="007A16D3">
        <w:rPr>
          <w:rFonts w:ascii="Times New Roman" w:hAnsi="Times New Roman" w:cs="Times New Roman"/>
          <w:bCs/>
          <w:color w:val="000000" w:themeColor="text1"/>
          <w:sz w:val="24"/>
          <w:szCs w:val="24"/>
        </w:rPr>
        <w:t>z dnia 17 listopada 2021 </w:t>
      </w:r>
      <w:r w:rsidR="00AC58B3" w:rsidRPr="00AC58B3">
        <w:rPr>
          <w:rFonts w:ascii="Times New Roman" w:hAnsi="Times New Roman" w:cs="Times New Roman"/>
          <w:bCs/>
          <w:color w:val="000000" w:themeColor="text1"/>
          <w:sz w:val="24"/>
          <w:szCs w:val="24"/>
        </w:rPr>
        <w:t>r.</w:t>
      </w:r>
      <w:r w:rsidR="00AC58B3">
        <w:rPr>
          <w:rFonts w:ascii="Times New Roman" w:hAnsi="Times New Roman" w:cs="Times New Roman"/>
          <w:bCs/>
          <w:color w:val="000000" w:themeColor="text1"/>
          <w:sz w:val="24"/>
          <w:szCs w:val="24"/>
        </w:rPr>
        <w:t xml:space="preserve"> </w:t>
      </w:r>
      <w:r w:rsidR="007A16D3">
        <w:rPr>
          <w:rFonts w:ascii="Times New Roman" w:hAnsi="Times New Roman" w:cs="Times New Roman"/>
          <w:bCs/>
          <w:color w:val="000000" w:themeColor="text1"/>
          <w:sz w:val="24"/>
          <w:szCs w:val="24"/>
        </w:rPr>
        <w:t>o </w:t>
      </w:r>
      <w:r w:rsidR="009416BC" w:rsidRPr="00D84154">
        <w:rPr>
          <w:rFonts w:ascii="Times New Roman" w:hAnsi="Times New Roman" w:cs="Times New Roman"/>
          <w:bCs/>
          <w:color w:val="000000" w:themeColor="text1"/>
          <w:sz w:val="24"/>
          <w:szCs w:val="24"/>
        </w:rPr>
        <w:t>przeciwdziałaniu nieuczciwemu wykorzystywaniu przewagi kontraktowej w obrocie produktami rolnymi i spożywczymi</w:t>
      </w:r>
      <w:r w:rsidR="00334CA7" w:rsidRPr="00D84154">
        <w:rPr>
          <w:rFonts w:ascii="Times New Roman" w:hAnsi="Times New Roman" w:cs="Times New Roman"/>
          <w:bCs/>
          <w:color w:val="000000" w:themeColor="text1"/>
          <w:sz w:val="24"/>
          <w:szCs w:val="24"/>
        </w:rPr>
        <w:t>.</w:t>
      </w:r>
    </w:p>
    <w:p w14:paraId="10B5D52F" w14:textId="5E281076" w:rsidR="00D159BB" w:rsidRPr="00D84154" w:rsidRDefault="00C354EA" w:rsidP="00FA39BF">
      <w:pPr>
        <w:spacing w:before="120" w:after="0" w:line="360" w:lineRule="auto"/>
        <w:ind w:left="426" w:hanging="426"/>
        <w:jc w:val="both"/>
        <w:rPr>
          <w:rFonts w:ascii="Times New Roman" w:hAnsi="Times New Roman" w:cs="Times New Roman"/>
          <w:b/>
          <w:bCs/>
          <w:color w:val="000000" w:themeColor="text1"/>
          <w:sz w:val="24"/>
          <w:szCs w:val="24"/>
        </w:rPr>
      </w:pPr>
      <w:r w:rsidRPr="00D84154">
        <w:rPr>
          <w:rFonts w:ascii="Times New Roman" w:hAnsi="Times New Roman" w:cs="Times New Roman"/>
          <w:b/>
          <w:bCs/>
          <w:color w:val="000000" w:themeColor="text1"/>
          <w:sz w:val="24"/>
          <w:szCs w:val="24"/>
        </w:rPr>
        <w:t>1</w:t>
      </w:r>
      <w:r w:rsidR="00E90F30" w:rsidRPr="00D84154">
        <w:rPr>
          <w:rFonts w:ascii="Times New Roman" w:hAnsi="Times New Roman" w:cs="Times New Roman"/>
          <w:b/>
          <w:bCs/>
          <w:color w:val="000000" w:themeColor="text1"/>
          <w:sz w:val="24"/>
          <w:szCs w:val="24"/>
        </w:rPr>
        <w:t>5</w:t>
      </w:r>
      <w:r w:rsidR="00FA39BF">
        <w:rPr>
          <w:rFonts w:ascii="Times New Roman" w:hAnsi="Times New Roman" w:cs="Times New Roman"/>
          <w:b/>
          <w:bCs/>
          <w:color w:val="000000" w:themeColor="text1"/>
          <w:sz w:val="24"/>
          <w:szCs w:val="24"/>
        </w:rPr>
        <w:t>.</w:t>
      </w:r>
      <w:r w:rsidR="00FA39BF">
        <w:rPr>
          <w:rFonts w:ascii="Times New Roman" w:hAnsi="Times New Roman" w:cs="Times New Roman"/>
          <w:b/>
          <w:bCs/>
          <w:color w:val="000000" w:themeColor="text1"/>
          <w:sz w:val="24"/>
          <w:szCs w:val="24"/>
        </w:rPr>
        <w:tab/>
      </w:r>
      <w:r w:rsidRPr="00D84154">
        <w:rPr>
          <w:rFonts w:ascii="Times New Roman" w:hAnsi="Times New Roman" w:cs="Times New Roman"/>
          <w:b/>
          <w:bCs/>
          <w:color w:val="000000" w:themeColor="text1"/>
          <w:sz w:val="24"/>
          <w:szCs w:val="24"/>
        </w:rPr>
        <w:t>Przepisy przejściowe</w:t>
      </w:r>
    </w:p>
    <w:p w14:paraId="2AC038CD" w14:textId="1560C3D5" w:rsidR="00C354EA" w:rsidRPr="00D84154" w:rsidRDefault="00D87041"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W art. </w:t>
      </w:r>
      <w:r w:rsidR="00263DC5" w:rsidRPr="00D84154">
        <w:rPr>
          <w:rFonts w:ascii="Times New Roman" w:hAnsi="Times New Roman" w:cs="Times New Roman"/>
          <w:color w:val="000000" w:themeColor="text1"/>
          <w:sz w:val="24"/>
          <w:szCs w:val="24"/>
        </w:rPr>
        <w:t>7</w:t>
      </w:r>
      <w:r w:rsidR="00AC58B3">
        <w:rPr>
          <w:rFonts w:ascii="Times New Roman" w:hAnsi="Times New Roman" w:cs="Times New Roman"/>
          <w:color w:val="000000" w:themeColor="text1"/>
          <w:sz w:val="24"/>
          <w:szCs w:val="24"/>
        </w:rPr>
        <w:t>–</w:t>
      </w:r>
      <w:r w:rsidR="00385A5C" w:rsidRPr="00D84154">
        <w:rPr>
          <w:rFonts w:ascii="Times New Roman" w:hAnsi="Times New Roman" w:cs="Times New Roman"/>
          <w:color w:val="000000" w:themeColor="text1"/>
          <w:sz w:val="24"/>
          <w:szCs w:val="24"/>
        </w:rPr>
        <w:t xml:space="preserve">16 </w:t>
      </w:r>
      <w:r w:rsidRPr="00D84154">
        <w:rPr>
          <w:rFonts w:ascii="Times New Roman" w:hAnsi="Times New Roman" w:cs="Times New Roman"/>
          <w:color w:val="000000" w:themeColor="text1"/>
          <w:sz w:val="24"/>
          <w:szCs w:val="24"/>
        </w:rPr>
        <w:t>projektu wprowadzono prze</w:t>
      </w:r>
      <w:r w:rsidR="00F63FBE" w:rsidRPr="00D84154">
        <w:rPr>
          <w:rFonts w:ascii="Times New Roman" w:hAnsi="Times New Roman" w:cs="Times New Roman"/>
          <w:color w:val="000000" w:themeColor="text1"/>
          <w:sz w:val="24"/>
          <w:szCs w:val="24"/>
        </w:rPr>
        <w:t xml:space="preserve">pisy przejściowe. Przepis art. </w:t>
      </w:r>
      <w:r w:rsidR="00263DC5" w:rsidRPr="00D84154">
        <w:rPr>
          <w:rFonts w:ascii="Times New Roman" w:hAnsi="Times New Roman" w:cs="Times New Roman"/>
          <w:color w:val="000000" w:themeColor="text1"/>
          <w:sz w:val="24"/>
          <w:szCs w:val="24"/>
        </w:rPr>
        <w:t>7</w:t>
      </w:r>
      <w:r w:rsidR="00385A5C" w:rsidRPr="00D84154">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 xml:space="preserve">przewiduje, że </w:t>
      </w:r>
      <w:r w:rsidR="008F5943">
        <w:rPr>
          <w:rFonts w:ascii="Times New Roman" w:hAnsi="Times New Roman" w:cs="Times New Roman"/>
          <w:color w:val="000000" w:themeColor="text1"/>
          <w:sz w:val="24"/>
          <w:szCs w:val="24"/>
        </w:rPr>
        <w:t xml:space="preserve">z dniem wejścia w </w:t>
      </w:r>
      <w:r w:rsidR="00687E56" w:rsidRPr="00D84154">
        <w:rPr>
          <w:rFonts w:ascii="Times New Roman" w:hAnsi="Times New Roman" w:cs="Times New Roman"/>
          <w:color w:val="000000" w:themeColor="text1"/>
          <w:sz w:val="24"/>
          <w:szCs w:val="24"/>
        </w:rPr>
        <w:t>życie niniejszej ustawy rozpoczyna się pierwsza kadencja Preze</w:t>
      </w:r>
      <w:r w:rsidR="008F5943">
        <w:rPr>
          <w:rFonts w:ascii="Times New Roman" w:hAnsi="Times New Roman" w:cs="Times New Roman"/>
          <w:color w:val="000000" w:themeColor="text1"/>
          <w:sz w:val="24"/>
          <w:szCs w:val="24"/>
        </w:rPr>
        <w:t xml:space="preserve">sa Urzędu Ochrony Konkurencji i Konsumentów urzędującego w </w:t>
      </w:r>
      <w:r w:rsidR="00687E56" w:rsidRPr="00D84154">
        <w:rPr>
          <w:rFonts w:ascii="Times New Roman" w:hAnsi="Times New Roman" w:cs="Times New Roman"/>
          <w:color w:val="000000" w:themeColor="text1"/>
          <w:sz w:val="24"/>
          <w:szCs w:val="24"/>
        </w:rPr>
        <w:t>dniu wejścia w</w:t>
      </w:r>
      <w:r w:rsidR="00A85422">
        <w:rPr>
          <w:rFonts w:ascii="Times New Roman" w:hAnsi="Times New Roman" w:cs="Times New Roman"/>
          <w:color w:val="000000" w:themeColor="text1"/>
          <w:sz w:val="24"/>
          <w:szCs w:val="24"/>
        </w:rPr>
        <w:t xml:space="preserve"> </w:t>
      </w:r>
      <w:r w:rsidR="00687E56" w:rsidRPr="00D84154">
        <w:rPr>
          <w:rFonts w:ascii="Times New Roman" w:hAnsi="Times New Roman" w:cs="Times New Roman"/>
          <w:color w:val="000000" w:themeColor="text1"/>
          <w:sz w:val="24"/>
          <w:szCs w:val="24"/>
        </w:rPr>
        <w:t xml:space="preserve">życie niniejszej ustawy. </w:t>
      </w:r>
      <w:r w:rsidRPr="00D84154">
        <w:rPr>
          <w:rFonts w:ascii="Times New Roman" w:hAnsi="Times New Roman" w:cs="Times New Roman"/>
          <w:color w:val="000000" w:themeColor="text1"/>
          <w:sz w:val="24"/>
          <w:szCs w:val="24"/>
        </w:rPr>
        <w:t xml:space="preserve">Przepis </w:t>
      </w:r>
      <w:r w:rsidRPr="00D84154">
        <w:rPr>
          <w:rFonts w:ascii="Times New Roman" w:hAnsi="Times New Roman" w:cs="Times New Roman"/>
          <w:color w:val="000000" w:themeColor="text1"/>
          <w:sz w:val="24"/>
          <w:szCs w:val="24"/>
        </w:rPr>
        <w:lastRenderedPageBreak/>
        <w:t>ten jest konieczny w związku z wprowadzeniem kadencyjności stanowiska Prezesa UOKiK. Zgodnie z dotychczasowymi przepisami stanowisko Prez</w:t>
      </w:r>
      <w:r w:rsidR="008F5943">
        <w:rPr>
          <w:rFonts w:ascii="Times New Roman" w:hAnsi="Times New Roman" w:cs="Times New Roman"/>
          <w:color w:val="000000" w:themeColor="text1"/>
          <w:sz w:val="24"/>
          <w:szCs w:val="24"/>
        </w:rPr>
        <w:t>esa Urzędu nie było kadencyjne.</w:t>
      </w:r>
    </w:p>
    <w:p w14:paraId="2B4FEA50" w14:textId="585F0C2D" w:rsidR="00456695" w:rsidRPr="00D84154" w:rsidRDefault="00456695"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Przepisy art. </w:t>
      </w:r>
      <w:r w:rsidR="00263DC5" w:rsidRPr="00D84154">
        <w:rPr>
          <w:rFonts w:ascii="Times New Roman" w:hAnsi="Times New Roman" w:cs="Times New Roman"/>
          <w:color w:val="000000" w:themeColor="text1"/>
          <w:sz w:val="24"/>
          <w:szCs w:val="24"/>
        </w:rPr>
        <w:t>8</w:t>
      </w:r>
      <w:r w:rsidR="008F5943">
        <w:rPr>
          <w:rFonts w:ascii="Times New Roman" w:hAnsi="Times New Roman" w:cs="Times New Roman"/>
          <w:color w:val="000000" w:themeColor="text1"/>
          <w:sz w:val="24"/>
          <w:szCs w:val="24"/>
        </w:rPr>
        <w:t>–</w:t>
      </w:r>
      <w:r w:rsidR="00385A5C" w:rsidRPr="00D84154">
        <w:rPr>
          <w:rFonts w:ascii="Times New Roman" w:hAnsi="Times New Roman" w:cs="Times New Roman"/>
          <w:color w:val="000000" w:themeColor="text1"/>
          <w:sz w:val="24"/>
          <w:szCs w:val="24"/>
        </w:rPr>
        <w:t>1</w:t>
      </w:r>
      <w:r w:rsidR="00263DC5" w:rsidRPr="00D84154">
        <w:rPr>
          <w:rFonts w:ascii="Times New Roman" w:hAnsi="Times New Roman" w:cs="Times New Roman"/>
          <w:color w:val="000000" w:themeColor="text1"/>
          <w:sz w:val="24"/>
          <w:szCs w:val="24"/>
        </w:rPr>
        <w:t>6</w:t>
      </w:r>
      <w:r w:rsidR="00385A5C" w:rsidRPr="00D84154">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projektu zawierają regulacje rozstrzygające</w:t>
      </w:r>
      <w:r w:rsidR="00BC7970" w:rsidRPr="00D84154">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jakie przepisy znajdą zastosowanie odpowiednio do:</w:t>
      </w:r>
    </w:p>
    <w:p w14:paraId="33DCD0BC" w14:textId="6CD46EEE" w:rsidR="00456695" w:rsidRPr="00F879F8" w:rsidRDefault="00456695" w:rsidP="008F5943">
      <w:pPr>
        <w:pStyle w:val="Akapitzlist"/>
        <w:numPr>
          <w:ilvl w:val="0"/>
          <w:numId w:val="31"/>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spraw wszczętych przed wejściem w życie </w:t>
      </w:r>
      <w:r w:rsidR="000D0D30" w:rsidRPr="00D84154">
        <w:rPr>
          <w:rFonts w:ascii="Times New Roman" w:hAnsi="Times New Roman" w:cs="Times New Roman"/>
          <w:color w:val="000000" w:themeColor="text1"/>
          <w:sz w:val="24"/>
          <w:szCs w:val="24"/>
        </w:rPr>
        <w:t xml:space="preserve">projektowanej </w:t>
      </w:r>
      <w:r w:rsidRPr="00D84154">
        <w:rPr>
          <w:rFonts w:ascii="Times New Roman" w:hAnsi="Times New Roman" w:cs="Times New Roman"/>
          <w:color w:val="000000" w:themeColor="text1"/>
          <w:sz w:val="24"/>
          <w:szCs w:val="24"/>
        </w:rPr>
        <w:t xml:space="preserve">ustawy </w:t>
      </w:r>
      <w:r w:rsidR="008F5943">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w:t>
      </w:r>
      <w:r w:rsidRPr="00F879F8">
        <w:rPr>
          <w:rFonts w:ascii="Times New Roman" w:hAnsi="Times New Roman" w:cs="Times New Roman"/>
          <w:color w:val="000000" w:themeColor="text1"/>
          <w:sz w:val="24"/>
          <w:szCs w:val="24"/>
        </w:rPr>
        <w:t>stosuje się przepisy dotychczasow</w:t>
      </w:r>
      <w:r w:rsidR="000D0D30" w:rsidRPr="00F879F8">
        <w:rPr>
          <w:rFonts w:ascii="Times New Roman" w:hAnsi="Times New Roman" w:cs="Times New Roman"/>
          <w:color w:val="000000" w:themeColor="text1"/>
          <w:sz w:val="24"/>
          <w:szCs w:val="24"/>
        </w:rPr>
        <w:t>e</w:t>
      </w:r>
      <w:r w:rsidRPr="00F879F8">
        <w:rPr>
          <w:rFonts w:ascii="Times New Roman" w:hAnsi="Times New Roman" w:cs="Times New Roman"/>
          <w:color w:val="000000" w:themeColor="text1"/>
          <w:sz w:val="24"/>
          <w:szCs w:val="24"/>
        </w:rPr>
        <w:t>;</w:t>
      </w:r>
    </w:p>
    <w:p w14:paraId="394095B0" w14:textId="72630BD4" w:rsidR="00456695" w:rsidRPr="00476E27" w:rsidRDefault="00456695" w:rsidP="008F5943">
      <w:pPr>
        <w:pStyle w:val="Akapitzlist"/>
        <w:numPr>
          <w:ilvl w:val="0"/>
          <w:numId w:val="31"/>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praktyk ograniczających konkurencję zaniechanych przed dniem wejścia w życie </w:t>
      </w:r>
      <w:r w:rsidR="000D0D30" w:rsidRPr="00D84154">
        <w:rPr>
          <w:rFonts w:ascii="Times New Roman" w:hAnsi="Times New Roman" w:cs="Times New Roman"/>
          <w:color w:val="000000" w:themeColor="text1"/>
          <w:sz w:val="24"/>
          <w:szCs w:val="24"/>
        </w:rPr>
        <w:t xml:space="preserve">projektowanej </w:t>
      </w:r>
      <w:r w:rsidRPr="00D84154">
        <w:rPr>
          <w:rFonts w:ascii="Times New Roman" w:hAnsi="Times New Roman" w:cs="Times New Roman"/>
          <w:color w:val="000000" w:themeColor="text1"/>
          <w:sz w:val="24"/>
          <w:szCs w:val="24"/>
        </w:rPr>
        <w:t xml:space="preserve">ustawy </w:t>
      </w:r>
      <w:r w:rsidR="008F5943">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s</w:t>
      </w:r>
      <w:r w:rsidRPr="00476E27">
        <w:rPr>
          <w:rFonts w:ascii="Times New Roman" w:hAnsi="Times New Roman" w:cs="Times New Roman"/>
          <w:color w:val="000000" w:themeColor="text1"/>
          <w:sz w:val="24"/>
          <w:szCs w:val="24"/>
        </w:rPr>
        <w:t xml:space="preserve">tosuje się przepisy art. </w:t>
      </w:r>
      <w:r w:rsidR="007A16D3">
        <w:rPr>
          <w:rFonts w:ascii="Times New Roman" w:hAnsi="Times New Roman" w:cs="Times New Roman"/>
          <w:color w:val="000000" w:themeColor="text1"/>
          <w:sz w:val="24"/>
          <w:szCs w:val="24"/>
        </w:rPr>
        <w:t>93 ustawy zmienianej w art. 1 w </w:t>
      </w:r>
      <w:r w:rsidRPr="00476E27">
        <w:rPr>
          <w:rFonts w:ascii="Times New Roman" w:hAnsi="Times New Roman" w:cs="Times New Roman"/>
          <w:color w:val="000000" w:themeColor="text1"/>
          <w:sz w:val="24"/>
          <w:szCs w:val="24"/>
        </w:rPr>
        <w:t>brzmieniu dotychczasowym;</w:t>
      </w:r>
    </w:p>
    <w:p w14:paraId="7DBB4F29" w14:textId="514AE114" w:rsidR="00456695" w:rsidRPr="00476E27" w:rsidRDefault="00456695" w:rsidP="008F5943">
      <w:pPr>
        <w:pStyle w:val="Akapitzlist"/>
        <w:numPr>
          <w:ilvl w:val="0"/>
          <w:numId w:val="31"/>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wniosków o odstąpienie od wymierzenia kary pieniężnej lub jej obniżenie złożonych przed dniem wejścia w życie </w:t>
      </w:r>
      <w:r w:rsidR="000D0D30" w:rsidRPr="00D84154">
        <w:rPr>
          <w:rFonts w:ascii="Times New Roman" w:hAnsi="Times New Roman" w:cs="Times New Roman"/>
          <w:color w:val="000000" w:themeColor="text1"/>
          <w:sz w:val="24"/>
          <w:szCs w:val="24"/>
        </w:rPr>
        <w:t xml:space="preserve">projektowanej </w:t>
      </w:r>
      <w:r w:rsidRPr="00D84154">
        <w:rPr>
          <w:rFonts w:ascii="Times New Roman" w:hAnsi="Times New Roman" w:cs="Times New Roman"/>
          <w:color w:val="000000" w:themeColor="text1"/>
          <w:sz w:val="24"/>
          <w:szCs w:val="24"/>
        </w:rPr>
        <w:t xml:space="preserve">ustawy </w:t>
      </w:r>
      <w:r w:rsidR="008F5943">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w:t>
      </w:r>
      <w:r w:rsidRPr="00476E27">
        <w:rPr>
          <w:rFonts w:ascii="Times New Roman" w:hAnsi="Times New Roman" w:cs="Times New Roman"/>
          <w:color w:val="000000" w:themeColor="text1"/>
          <w:sz w:val="24"/>
          <w:szCs w:val="24"/>
        </w:rPr>
        <w:t>stosuje się przepisy dotychczasowe;</w:t>
      </w:r>
    </w:p>
    <w:p w14:paraId="15D8CA03" w14:textId="785FC813" w:rsidR="00456695" w:rsidRPr="00D84154" w:rsidRDefault="00456695" w:rsidP="00D84154">
      <w:pPr>
        <w:pStyle w:val="Akapitzlist"/>
        <w:numPr>
          <w:ilvl w:val="0"/>
          <w:numId w:val="31"/>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zgód na przeprowadzenie przeszukania przez Prezesa Urzędu udzielonych przez sąd ochrony konkurencji i konsumentów przed dniem wejścia w życie </w:t>
      </w:r>
      <w:r w:rsidR="000D0D30" w:rsidRPr="00D84154">
        <w:rPr>
          <w:rFonts w:ascii="Times New Roman" w:hAnsi="Times New Roman" w:cs="Times New Roman"/>
          <w:color w:val="000000" w:themeColor="text1"/>
          <w:sz w:val="24"/>
          <w:szCs w:val="24"/>
        </w:rPr>
        <w:t xml:space="preserve">projektowanej </w:t>
      </w:r>
      <w:r w:rsidRPr="00D84154">
        <w:rPr>
          <w:rFonts w:ascii="Times New Roman" w:hAnsi="Times New Roman" w:cs="Times New Roman"/>
          <w:color w:val="000000" w:themeColor="text1"/>
          <w:sz w:val="24"/>
          <w:szCs w:val="24"/>
        </w:rPr>
        <w:t>ustawy – zgodnie z przepisem przejściowym przeszukanie przeprowadza się na podstawie przepisów dotychczasowych;</w:t>
      </w:r>
    </w:p>
    <w:p w14:paraId="38CAA125" w14:textId="6E24D7E8" w:rsidR="00BC7970" w:rsidRPr="00476E27" w:rsidRDefault="001E3D15" w:rsidP="008F5943">
      <w:pPr>
        <w:pStyle w:val="Akapitzlist"/>
        <w:numPr>
          <w:ilvl w:val="0"/>
          <w:numId w:val="31"/>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kontroli i przeszukań, prowadzonych przez Prezesa Urzędu w przypadkach, o których mowa w art. 105i ust. 1 ustawy zmienianej w art. 1, rozpoczętych przed dniem wejścia w życie </w:t>
      </w:r>
      <w:r w:rsidR="000D0D30" w:rsidRPr="00D84154">
        <w:rPr>
          <w:rFonts w:ascii="Times New Roman" w:hAnsi="Times New Roman" w:cs="Times New Roman"/>
          <w:color w:val="000000" w:themeColor="text1"/>
          <w:sz w:val="24"/>
          <w:szCs w:val="24"/>
        </w:rPr>
        <w:t xml:space="preserve">projektowanej </w:t>
      </w:r>
      <w:r w:rsidRPr="00D84154">
        <w:rPr>
          <w:rFonts w:ascii="Times New Roman" w:hAnsi="Times New Roman" w:cs="Times New Roman"/>
          <w:color w:val="000000" w:themeColor="text1"/>
          <w:sz w:val="24"/>
          <w:szCs w:val="24"/>
        </w:rPr>
        <w:t xml:space="preserve">ustawy </w:t>
      </w:r>
      <w:r w:rsidR="008F5943">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w:t>
      </w:r>
      <w:r w:rsidRPr="00476E27">
        <w:rPr>
          <w:rFonts w:ascii="Times New Roman" w:hAnsi="Times New Roman" w:cs="Times New Roman"/>
          <w:color w:val="000000" w:themeColor="text1"/>
          <w:sz w:val="24"/>
          <w:szCs w:val="24"/>
        </w:rPr>
        <w:t>stosuje się przepisy dotychczasowe</w:t>
      </w:r>
      <w:r w:rsidR="00BC7970" w:rsidRPr="00476E27">
        <w:rPr>
          <w:rFonts w:ascii="Times New Roman" w:hAnsi="Times New Roman" w:cs="Times New Roman"/>
          <w:color w:val="000000" w:themeColor="text1"/>
          <w:sz w:val="24"/>
          <w:szCs w:val="24"/>
        </w:rPr>
        <w:t>;</w:t>
      </w:r>
    </w:p>
    <w:p w14:paraId="2293E1B7" w14:textId="5B9B0E61" w:rsidR="00FE3D17" w:rsidRPr="00D84154" w:rsidRDefault="009713F7" w:rsidP="00D84154">
      <w:pPr>
        <w:pStyle w:val="Akapitzlist"/>
        <w:numPr>
          <w:ilvl w:val="0"/>
          <w:numId w:val="31"/>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aktu wykonawczego </w:t>
      </w:r>
      <w:r w:rsidR="00BC7970" w:rsidRPr="00D84154">
        <w:rPr>
          <w:rFonts w:ascii="Times New Roman" w:hAnsi="Times New Roman" w:cs="Times New Roman"/>
          <w:color w:val="000000" w:themeColor="text1"/>
          <w:sz w:val="24"/>
          <w:szCs w:val="24"/>
        </w:rPr>
        <w:t>w sprawie programu łagodzenia kar – przewiduje się utrzymanie w mocy obecnego rozporządzenia wydaneg</w:t>
      </w:r>
      <w:r w:rsidR="00493F11" w:rsidRPr="00D84154">
        <w:rPr>
          <w:rFonts w:ascii="Times New Roman" w:hAnsi="Times New Roman" w:cs="Times New Roman"/>
          <w:color w:val="000000" w:themeColor="text1"/>
          <w:sz w:val="24"/>
          <w:szCs w:val="24"/>
        </w:rPr>
        <w:t xml:space="preserve">o na podstawie art. 113k </w:t>
      </w:r>
      <w:r w:rsidR="001907CF" w:rsidRPr="00D84154">
        <w:rPr>
          <w:rFonts w:ascii="Times New Roman" w:hAnsi="Times New Roman" w:cs="Times New Roman"/>
          <w:color w:val="000000" w:themeColor="text1"/>
          <w:sz w:val="24"/>
          <w:szCs w:val="24"/>
        </w:rPr>
        <w:t>u</w:t>
      </w:r>
      <w:r w:rsidR="00493F11" w:rsidRPr="00D84154">
        <w:rPr>
          <w:rFonts w:ascii="Times New Roman" w:hAnsi="Times New Roman" w:cs="Times New Roman"/>
          <w:color w:val="000000" w:themeColor="text1"/>
          <w:sz w:val="24"/>
          <w:szCs w:val="24"/>
        </w:rPr>
        <w:t>stawy</w:t>
      </w:r>
      <w:r w:rsidR="00BC7970" w:rsidRPr="00D84154">
        <w:rPr>
          <w:rFonts w:ascii="Times New Roman" w:hAnsi="Times New Roman" w:cs="Times New Roman"/>
          <w:color w:val="000000" w:themeColor="text1"/>
          <w:sz w:val="24"/>
          <w:szCs w:val="24"/>
        </w:rPr>
        <w:t xml:space="preserve"> do czasu wydania nowego rozporządzenia na podstawie art. 113k </w:t>
      </w:r>
      <w:r w:rsidR="001907CF" w:rsidRPr="00D84154">
        <w:rPr>
          <w:rFonts w:ascii="Times New Roman" w:hAnsi="Times New Roman" w:cs="Times New Roman"/>
          <w:color w:val="000000" w:themeColor="text1"/>
          <w:sz w:val="24"/>
          <w:szCs w:val="24"/>
        </w:rPr>
        <w:t>u</w:t>
      </w:r>
      <w:r w:rsidR="00BC7970" w:rsidRPr="00D84154">
        <w:rPr>
          <w:rFonts w:ascii="Times New Roman" w:hAnsi="Times New Roman" w:cs="Times New Roman"/>
          <w:color w:val="000000" w:themeColor="text1"/>
          <w:sz w:val="24"/>
          <w:szCs w:val="24"/>
        </w:rPr>
        <w:t xml:space="preserve">stawy w projektowanym brzmieniu, nie dłużej jednak niż </w:t>
      </w:r>
      <w:r w:rsidR="00CC7E45" w:rsidRPr="00D84154">
        <w:rPr>
          <w:rFonts w:ascii="Times New Roman" w:hAnsi="Times New Roman" w:cs="Times New Roman"/>
          <w:color w:val="000000" w:themeColor="text1"/>
          <w:sz w:val="24"/>
          <w:szCs w:val="24"/>
        </w:rPr>
        <w:t>przez 6 miesięcy od dnia wejścia w życie</w:t>
      </w:r>
      <w:r w:rsidR="00626AB2" w:rsidRPr="00D84154">
        <w:rPr>
          <w:rFonts w:ascii="Times New Roman" w:hAnsi="Times New Roman" w:cs="Times New Roman"/>
          <w:color w:val="000000" w:themeColor="text1"/>
          <w:sz w:val="24"/>
          <w:szCs w:val="24"/>
        </w:rPr>
        <w:t xml:space="preserve"> projektowanej</w:t>
      </w:r>
      <w:r w:rsidR="00CC7E45" w:rsidRPr="00D84154">
        <w:rPr>
          <w:rFonts w:ascii="Times New Roman" w:hAnsi="Times New Roman" w:cs="Times New Roman"/>
          <w:color w:val="000000" w:themeColor="text1"/>
          <w:sz w:val="24"/>
          <w:szCs w:val="24"/>
        </w:rPr>
        <w:t xml:space="preserve"> ustawy</w:t>
      </w:r>
      <w:r w:rsidR="00FE3D17" w:rsidRPr="00D84154">
        <w:rPr>
          <w:rFonts w:ascii="Times New Roman" w:hAnsi="Times New Roman" w:cs="Times New Roman"/>
          <w:color w:val="000000" w:themeColor="text1"/>
          <w:sz w:val="24"/>
          <w:szCs w:val="24"/>
        </w:rPr>
        <w:t>;</w:t>
      </w:r>
      <w:r w:rsidR="00CC7E45" w:rsidRPr="00D84154">
        <w:rPr>
          <w:rFonts w:ascii="Times New Roman" w:hAnsi="Times New Roman" w:cs="Times New Roman"/>
          <w:color w:val="000000" w:themeColor="text1"/>
          <w:sz w:val="24"/>
          <w:szCs w:val="24"/>
        </w:rPr>
        <w:t xml:space="preserve"> </w:t>
      </w:r>
      <w:r w:rsidR="00CC7E45" w:rsidRPr="006B4404">
        <w:rPr>
          <w:rFonts w:ascii="Times New Roman" w:hAnsi="Times New Roman" w:cs="Times New Roman"/>
          <w:color w:val="000000" w:themeColor="text1"/>
          <w:sz w:val="24"/>
          <w:szCs w:val="24"/>
        </w:rPr>
        <w:t xml:space="preserve">utrzymanie w mocy obecnego rozporządzenia </w:t>
      </w:r>
      <w:r w:rsidRPr="006B4404">
        <w:rPr>
          <w:rFonts w:ascii="Times New Roman" w:hAnsi="Times New Roman" w:cs="Times New Roman"/>
          <w:color w:val="000000" w:themeColor="text1"/>
          <w:sz w:val="24"/>
          <w:szCs w:val="24"/>
        </w:rPr>
        <w:t>niezbędne</w:t>
      </w:r>
      <w:r w:rsidR="003637D7" w:rsidRPr="006B4404">
        <w:rPr>
          <w:rFonts w:ascii="Times New Roman" w:hAnsi="Times New Roman" w:cs="Times New Roman"/>
          <w:color w:val="000000" w:themeColor="text1"/>
          <w:sz w:val="24"/>
          <w:szCs w:val="24"/>
        </w:rPr>
        <w:t xml:space="preserve"> </w:t>
      </w:r>
      <w:r w:rsidR="00155E9E" w:rsidRPr="006B4404">
        <w:rPr>
          <w:rFonts w:ascii="Times New Roman" w:hAnsi="Times New Roman" w:cs="Times New Roman"/>
          <w:color w:val="000000" w:themeColor="text1"/>
          <w:sz w:val="24"/>
          <w:szCs w:val="24"/>
        </w:rPr>
        <w:t xml:space="preserve">jest </w:t>
      </w:r>
      <w:r w:rsidR="00CC7E45" w:rsidRPr="006B4404">
        <w:rPr>
          <w:rFonts w:ascii="Times New Roman" w:hAnsi="Times New Roman" w:cs="Times New Roman"/>
          <w:color w:val="000000" w:themeColor="text1"/>
          <w:sz w:val="24"/>
          <w:szCs w:val="24"/>
        </w:rPr>
        <w:t xml:space="preserve">z uwagi na </w:t>
      </w:r>
      <w:r w:rsidR="001907CF" w:rsidRPr="006B4404">
        <w:rPr>
          <w:rFonts w:ascii="Times New Roman" w:hAnsi="Times New Roman" w:cs="Times New Roman"/>
          <w:color w:val="000000" w:themeColor="text1"/>
          <w:sz w:val="24"/>
          <w:szCs w:val="24"/>
        </w:rPr>
        <w:t xml:space="preserve">zmianę brzmienia dotychczasowego </w:t>
      </w:r>
      <w:r w:rsidRPr="006B4404">
        <w:rPr>
          <w:rFonts w:ascii="Times New Roman" w:hAnsi="Times New Roman" w:cs="Times New Roman"/>
          <w:color w:val="000000" w:themeColor="text1"/>
          <w:sz w:val="24"/>
          <w:szCs w:val="24"/>
        </w:rPr>
        <w:t>przepisu upoważniając</w:t>
      </w:r>
      <w:r w:rsidR="007A16D3">
        <w:rPr>
          <w:rFonts w:ascii="Times New Roman" w:hAnsi="Times New Roman" w:cs="Times New Roman"/>
          <w:color w:val="000000" w:themeColor="text1"/>
          <w:sz w:val="24"/>
          <w:szCs w:val="24"/>
        </w:rPr>
        <w:t>ego do wydania rozporządzenia i </w:t>
      </w:r>
      <w:r w:rsidR="001907CF" w:rsidRPr="006B4404">
        <w:rPr>
          <w:rFonts w:ascii="Times New Roman" w:hAnsi="Times New Roman" w:cs="Times New Roman"/>
          <w:color w:val="000000" w:themeColor="text1"/>
          <w:sz w:val="24"/>
          <w:szCs w:val="24"/>
        </w:rPr>
        <w:t xml:space="preserve">oddziaływanie zmian </w:t>
      </w:r>
      <w:r w:rsidRPr="006B4404">
        <w:rPr>
          <w:rFonts w:ascii="Times New Roman" w:hAnsi="Times New Roman" w:cs="Times New Roman"/>
          <w:color w:val="000000" w:themeColor="text1"/>
          <w:sz w:val="24"/>
          <w:szCs w:val="24"/>
        </w:rPr>
        <w:t xml:space="preserve">wprowadzanych w ustawie na </w:t>
      </w:r>
      <w:r w:rsidR="001907CF" w:rsidRPr="006B4404">
        <w:rPr>
          <w:rFonts w:ascii="Times New Roman" w:hAnsi="Times New Roman" w:cs="Times New Roman"/>
          <w:color w:val="000000" w:themeColor="text1"/>
          <w:sz w:val="24"/>
          <w:szCs w:val="24"/>
        </w:rPr>
        <w:t>szczegółowy sposób uregulowania spraw objętych zakresem upoważnienia ustawowego.</w:t>
      </w:r>
      <w:r w:rsidR="001907CF" w:rsidRPr="00D84154">
        <w:rPr>
          <w:rFonts w:ascii="Times New Roman" w:hAnsi="Times New Roman" w:cs="Times New Roman"/>
          <w:color w:val="000000" w:themeColor="text1"/>
          <w:sz w:val="24"/>
          <w:szCs w:val="24"/>
        </w:rPr>
        <w:t xml:space="preserve"> </w:t>
      </w:r>
      <w:r w:rsidR="00CC7E45" w:rsidRPr="00D84154">
        <w:rPr>
          <w:rFonts w:ascii="Times New Roman" w:hAnsi="Times New Roman" w:cs="Times New Roman"/>
          <w:color w:val="000000" w:themeColor="text1"/>
          <w:sz w:val="24"/>
          <w:szCs w:val="24"/>
        </w:rPr>
        <w:t>Zaproponowane brzmienie przepisu upoważniającego do wydania rozp</w:t>
      </w:r>
      <w:r w:rsidR="007A16D3">
        <w:rPr>
          <w:rFonts w:ascii="Times New Roman" w:hAnsi="Times New Roman" w:cs="Times New Roman"/>
          <w:color w:val="000000" w:themeColor="text1"/>
          <w:sz w:val="24"/>
          <w:szCs w:val="24"/>
        </w:rPr>
        <w:t>orządzenia wskazuje na to, że w </w:t>
      </w:r>
      <w:r w:rsidR="00CC7E45" w:rsidRPr="00D84154">
        <w:rPr>
          <w:rFonts w:ascii="Times New Roman" w:hAnsi="Times New Roman" w:cs="Times New Roman"/>
          <w:color w:val="000000" w:themeColor="text1"/>
          <w:sz w:val="24"/>
          <w:szCs w:val="24"/>
        </w:rPr>
        <w:t>nowym rozporządzeniu uregulowane zostaną zasadniczo te same zagadnienia proceduralne, co w aktualnym akcie wykonawczym,</w:t>
      </w:r>
    </w:p>
    <w:p w14:paraId="7F52F557" w14:textId="01DC35EB" w:rsidR="006F4C32" w:rsidRPr="008F5943" w:rsidRDefault="00CA4BE9" w:rsidP="008F5943">
      <w:pPr>
        <w:pStyle w:val="Akapitzlist"/>
        <w:numPr>
          <w:ilvl w:val="0"/>
          <w:numId w:val="31"/>
        </w:num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sz w:val="24"/>
          <w:szCs w:val="24"/>
        </w:rPr>
        <w:t>wniosków, o</w:t>
      </w:r>
      <w:r w:rsidR="00A85422">
        <w:rPr>
          <w:rFonts w:ascii="Times New Roman" w:hAnsi="Times New Roman" w:cs="Times New Roman"/>
          <w:sz w:val="24"/>
          <w:szCs w:val="24"/>
        </w:rPr>
        <w:t xml:space="preserve"> </w:t>
      </w:r>
      <w:r w:rsidRPr="00D84154">
        <w:rPr>
          <w:rFonts w:ascii="Times New Roman" w:hAnsi="Times New Roman" w:cs="Times New Roman"/>
          <w:sz w:val="24"/>
          <w:szCs w:val="24"/>
        </w:rPr>
        <w:t>których mowa w</w:t>
      </w:r>
      <w:r w:rsidR="00A85422">
        <w:rPr>
          <w:rFonts w:ascii="Times New Roman" w:hAnsi="Times New Roman" w:cs="Times New Roman"/>
          <w:sz w:val="24"/>
          <w:szCs w:val="24"/>
        </w:rPr>
        <w:t xml:space="preserve"> </w:t>
      </w:r>
      <w:r w:rsidRPr="00D84154">
        <w:rPr>
          <w:rFonts w:ascii="Times New Roman" w:hAnsi="Times New Roman" w:cs="Times New Roman"/>
          <w:sz w:val="24"/>
          <w:szCs w:val="24"/>
        </w:rPr>
        <w:t>art. 91 ust. 1 i art.</w:t>
      </w:r>
      <w:r w:rsidR="00A85422">
        <w:rPr>
          <w:rFonts w:ascii="Times New Roman" w:hAnsi="Times New Roman" w:cs="Times New Roman"/>
          <w:sz w:val="24"/>
          <w:szCs w:val="24"/>
        </w:rPr>
        <w:t xml:space="preserve"> </w:t>
      </w:r>
      <w:r w:rsidRPr="00D84154">
        <w:rPr>
          <w:rFonts w:ascii="Times New Roman" w:hAnsi="Times New Roman" w:cs="Times New Roman"/>
          <w:sz w:val="24"/>
          <w:szCs w:val="24"/>
        </w:rPr>
        <w:t>105n ust.</w:t>
      </w:r>
      <w:r w:rsidR="00A85422">
        <w:rPr>
          <w:rFonts w:ascii="Times New Roman" w:hAnsi="Times New Roman" w:cs="Times New Roman"/>
          <w:sz w:val="24"/>
          <w:szCs w:val="24"/>
        </w:rPr>
        <w:t xml:space="preserve"> </w:t>
      </w:r>
      <w:r w:rsidRPr="00D84154">
        <w:rPr>
          <w:rFonts w:ascii="Times New Roman" w:hAnsi="Times New Roman" w:cs="Times New Roman"/>
          <w:sz w:val="24"/>
          <w:szCs w:val="24"/>
        </w:rPr>
        <w:t>2 i 3</w:t>
      </w:r>
      <w:r w:rsidR="00A85422">
        <w:rPr>
          <w:rFonts w:ascii="Times New Roman" w:hAnsi="Times New Roman" w:cs="Times New Roman"/>
          <w:sz w:val="24"/>
          <w:szCs w:val="24"/>
        </w:rPr>
        <w:t xml:space="preserve"> </w:t>
      </w:r>
      <w:r w:rsidRPr="00D84154">
        <w:rPr>
          <w:rFonts w:ascii="Times New Roman" w:hAnsi="Times New Roman" w:cs="Times New Roman"/>
          <w:sz w:val="24"/>
          <w:szCs w:val="24"/>
        </w:rPr>
        <w:t>ustawy zmienianej w art.</w:t>
      </w:r>
      <w:r w:rsidR="007A16D3">
        <w:rPr>
          <w:rFonts w:ascii="Times New Roman" w:hAnsi="Times New Roman" w:cs="Times New Roman"/>
          <w:sz w:val="24"/>
          <w:szCs w:val="24"/>
        </w:rPr>
        <w:t> </w:t>
      </w:r>
      <w:r w:rsidRPr="00D84154">
        <w:rPr>
          <w:rFonts w:ascii="Times New Roman" w:hAnsi="Times New Roman" w:cs="Times New Roman"/>
          <w:sz w:val="24"/>
          <w:szCs w:val="24"/>
        </w:rPr>
        <w:t>1, co do których przed dniem wejścia w</w:t>
      </w:r>
      <w:r w:rsidR="00A85422">
        <w:rPr>
          <w:rFonts w:ascii="Times New Roman" w:hAnsi="Times New Roman" w:cs="Times New Roman"/>
          <w:sz w:val="24"/>
          <w:szCs w:val="24"/>
        </w:rPr>
        <w:t xml:space="preserve"> </w:t>
      </w:r>
      <w:r w:rsidRPr="00D84154">
        <w:rPr>
          <w:rFonts w:ascii="Times New Roman" w:hAnsi="Times New Roman" w:cs="Times New Roman"/>
          <w:sz w:val="24"/>
          <w:szCs w:val="24"/>
        </w:rPr>
        <w:t xml:space="preserve">życie </w:t>
      </w:r>
      <w:r w:rsidR="00626AB2" w:rsidRPr="00D84154">
        <w:rPr>
          <w:rFonts w:ascii="Times New Roman" w:hAnsi="Times New Roman" w:cs="Times New Roman"/>
          <w:sz w:val="24"/>
          <w:szCs w:val="24"/>
        </w:rPr>
        <w:t xml:space="preserve">projektowanej </w:t>
      </w:r>
      <w:r w:rsidRPr="00D84154">
        <w:rPr>
          <w:rFonts w:ascii="Times New Roman" w:hAnsi="Times New Roman" w:cs="Times New Roman"/>
          <w:sz w:val="24"/>
          <w:szCs w:val="24"/>
        </w:rPr>
        <w:t>ustawy nie zostało wydane postanowienie, o</w:t>
      </w:r>
      <w:r w:rsidR="00A85422">
        <w:rPr>
          <w:rFonts w:ascii="Times New Roman" w:hAnsi="Times New Roman" w:cs="Times New Roman"/>
          <w:sz w:val="24"/>
          <w:szCs w:val="24"/>
        </w:rPr>
        <w:t xml:space="preserve"> </w:t>
      </w:r>
      <w:r w:rsidRPr="00D84154">
        <w:rPr>
          <w:rFonts w:ascii="Times New Roman" w:hAnsi="Times New Roman" w:cs="Times New Roman"/>
          <w:sz w:val="24"/>
          <w:szCs w:val="24"/>
        </w:rPr>
        <w:t>którym mowa w</w:t>
      </w:r>
      <w:r w:rsidR="00A85422">
        <w:rPr>
          <w:rFonts w:ascii="Times New Roman" w:hAnsi="Times New Roman" w:cs="Times New Roman"/>
          <w:sz w:val="24"/>
          <w:szCs w:val="24"/>
        </w:rPr>
        <w:t xml:space="preserve"> </w:t>
      </w:r>
      <w:r w:rsidRPr="00D84154">
        <w:rPr>
          <w:rFonts w:ascii="Times New Roman" w:hAnsi="Times New Roman" w:cs="Times New Roman"/>
          <w:sz w:val="24"/>
          <w:szCs w:val="24"/>
        </w:rPr>
        <w:t>art.</w:t>
      </w:r>
      <w:r w:rsidR="00A85422">
        <w:rPr>
          <w:rFonts w:ascii="Times New Roman" w:hAnsi="Times New Roman" w:cs="Times New Roman"/>
          <w:sz w:val="24"/>
          <w:szCs w:val="24"/>
        </w:rPr>
        <w:t xml:space="preserve"> </w:t>
      </w:r>
      <w:r w:rsidRPr="00D84154">
        <w:rPr>
          <w:rFonts w:ascii="Times New Roman" w:hAnsi="Times New Roman" w:cs="Times New Roman"/>
          <w:sz w:val="24"/>
          <w:szCs w:val="24"/>
        </w:rPr>
        <w:t>105n ust.</w:t>
      </w:r>
      <w:r w:rsidR="00A85422">
        <w:rPr>
          <w:rFonts w:ascii="Times New Roman" w:hAnsi="Times New Roman" w:cs="Times New Roman"/>
          <w:sz w:val="24"/>
          <w:szCs w:val="24"/>
        </w:rPr>
        <w:t xml:space="preserve"> </w:t>
      </w:r>
      <w:r w:rsidRPr="00D84154">
        <w:rPr>
          <w:rFonts w:ascii="Times New Roman" w:hAnsi="Times New Roman" w:cs="Times New Roman"/>
          <w:sz w:val="24"/>
          <w:szCs w:val="24"/>
        </w:rPr>
        <w:t>4</w:t>
      </w:r>
      <w:r w:rsidR="00A85422">
        <w:rPr>
          <w:rFonts w:ascii="Times New Roman" w:hAnsi="Times New Roman" w:cs="Times New Roman"/>
          <w:sz w:val="24"/>
          <w:szCs w:val="24"/>
        </w:rPr>
        <w:t xml:space="preserve"> </w:t>
      </w:r>
      <w:r w:rsidR="007A16D3">
        <w:rPr>
          <w:rFonts w:ascii="Times New Roman" w:hAnsi="Times New Roman" w:cs="Times New Roman"/>
          <w:sz w:val="24"/>
          <w:szCs w:val="24"/>
        </w:rPr>
        <w:t>ustawy zmienianej w art. </w:t>
      </w:r>
      <w:r w:rsidRPr="00D84154">
        <w:rPr>
          <w:rFonts w:ascii="Times New Roman" w:hAnsi="Times New Roman" w:cs="Times New Roman"/>
          <w:sz w:val="24"/>
          <w:szCs w:val="24"/>
        </w:rPr>
        <w:t>1</w:t>
      </w:r>
      <w:r w:rsidR="00626AB2" w:rsidRPr="00D84154">
        <w:rPr>
          <w:rFonts w:ascii="Times New Roman" w:hAnsi="Times New Roman" w:cs="Times New Roman"/>
          <w:sz w:val="24"/>
          <w:szCs w:val="24"/>
        </w:rPr>
        <w:t xml:space="preserve"> –</w:t>
      </w:r>
      <w:r w:rsidR="00F65A77">
        <w:rPr>
          <w:rFonts w:ascii="Times New Roman" w:hAnsi="Times New Roman" w:cs="Times New Roman"/>
          <w:sz w:val="24"/>
          <w:szCs w:val="24"/>
        </w:rPr>
        <w:t xml:space="preserve"> </w:t>
      </w:r>
      <w:r w:rsidRPr="00D84154">
        <w:rPr>
          <w:rFonts w:ascii="Times New Roman" w:hAnsi="Times New Roman" w:cs="Times New Roman"/>
          <w:sz w:val="24"/>
          <w:szCs w:val="24"/>
        </w:rPr>
        <w:lastRenderedPageBreak/>
        <w:t>zgodnie z projektem stosuje się przepis art.</w:t>
      </w:r>
      <w:r w:rsidR="00A85422">
        <w:rPr>
          <w:rFonts w:ascii="Times New Roman" w:hAnsi="Times New Roman" w:cs="Times New Roman"/>
          <w:sz w:val="24"/>
          <w:szCs w:val="24"/>
        </w:rPr>
        <w:t xml:space="preserve"> </w:t>
      </w:r>
      <w:r w:rsidRPr="00D84154">
        <w:rPr>
          <w:rFonts w:ascii="Times New Roman" w:hAnsi="Times New Roman" w:cs="Times New Roman"/>
          <w:sz w:val="24"/>
          <w:szCs w:val="24"/>
        </w:rPr>
        <w:t>105n ust.</w:t>
      </w:r>
      <w:r w:rsidR="00A85422">
        <w:rPr>
          <w:rFonts w:ascii="Times New Roman" w:hAnsi="Times New Roman" w:cs="Times New Roman"/>
          <w:sz w:val="24"/>
          <w:szCs w:val="24"/>
        </w:rPr>
        <w:t xml:space="preserve"> </w:t>
      </w:r>
      <w:r w:rsidR="007A16D3">
        <w:rPr>
          <w:rFonts w:ascii="Times New Roman" w:hAnsi="Times New Roman" w:cs="Times New Roman"/>
          <w:sz w:val="24"/>
          <w:szCs w:val="24"/>
        </w:rPr>
        <w:t>4 ustawy zmienianej w art. 1 w </w:t>
      </w:r>
      <w:r w:rsidRPr="00D84154">
        <w:rPr>
          <w:rFonts w:ascii="Times New Roman" w:hAnsi="Times New Roman" w:cs="Times New Roman"/>
          <w:sz w:val="24"/>
          <w:szCs w:val="24"/>
        </w:rPr>
        <w:t xml:space="preserve">brzmieniu nadanym </w:t>
      </w:r>
      <w:r w:rsidR="00626AB2" w:rsidRPr="00D84154">
        <w:rPr>
          <w:rFonts w:ascii="Times New Roman" w:hAnsi="Times New Roman" w:cs="Times New Roman"/>
          <w:sz w:val="24"/>
          <w:szCs w:val="24"/>
        </w:rPr>
        <w:t xml:space="preserve">projektowaną </w:t>
      </w:r>
      <w:r w:rsidRPr="00D84154">
        <w:rPr>
          <w:rFonts w:ascii="Times New Roman" w:hAnsi="Times New Roman" w:cs="Times New Roman"/>
          <w:sz w:val="24"/>
          <w:szCs w:val="24"/>
        </w:rPr>
        <w:t>ustawą oraz przepisy art. 105n ust. 5</w:t>
      </w:r>
      <w:r w:rsidR="008F5943">
        <w:rPr>
          <w:rFonts w:ascii="Times New Roman" w:hAnsi="Times New Roman" w:cs="Times New Roman"/>
          <w:sz w:val="24"/>
          <w:szCs w:val="24"/>
        </w:rPr>
        <w:t>–</w:t>
      </w:r>
      <w:r w:rsidR="003C4131" w:rsidRPr="00476E27">
        <w:rPr>
          <w:rFonts w:ascii="Times New Roman" w:hAnsi="Times New Roman" w:cs="Times New Roman"/>
          <w:sz w:val="24"/>
          <w:szCs w:val="24"/>
        </w:rPr>
        <w:t>9</w:t>
      </w:r>
      <w:r w:rsidRPr="00476E27">
        <w:rPr>
          <w:rFonts w:ascii="Times New Roman" w:hAnsi="Times New Roman" w:cs="Times New Roman"/>
          <w:sz w:val="24"/>
          <w:szCs w:val="24"/>
        </w:rPr>
        <w:t>, art.</w:t>
      </w:r>
      <w:r w:rsidR="007A16D3">
        <w:rPr>
          <w:rFonts w:ascii="Times New Roman" w:hAnsi="Times New Roman" w:cs="Times New Roman"/>
          <w:sz w:val="24"/>
          <w:szCs w:val="24"/>
        </w:rPr>
        <w:t> </w:t>
      </w:r>
      <w:r w:rsidRPr="00476E27">
        <w:rPr>
          <w:rFonts w:ascii="Times New Roman" w:hAnsi="Times New Roman" w:cs="Times New Roman"/>
          <w:sz w:val="24"/>
          <w:szCs w:val="24"/>
        </w:rPr>
        <w:t>105na i art. 105nb ust. 1 ustawy zmienianej w</w:t>
      </w:r>
      <w:r w:rsidR="00A85422" w:rsidRPr="00476E27">
        <w:rPr>
          <w:rFonts w:ascii="Times New Roman" w:hAnsi="Times New Roman" w:cs="Times New Roman"/>
          <w:sz w:val="24"/>
          <w:szCs w:val="24"/>
        </w:rPr>
        <w:t xml:space="preserve"> </w:t>
      </w:r>
      <w:r w:rsidRPr="00476E27">
        <w:rPr>
          <w:rFonts w:ascii="Times New Roman" w:hAnsi="Times New Roman" w:cs="Times New Roman"/>
          <w:sz w:val="24"/>
          <w:szCs w:val="24"/>
        </w:rPr>
        <w:t>art.</w:t>
      </w:r>
      <w:r w:rsidR="00A85422" w:rsidRPr="00476E27">
        <w:rPr>
          <w:rFonts w:ascii="Times New Roman" w:hAnsi="Times New Roman" w:cs="Times New Roman"/>
          <w:sz w:val="24"/>
          <w:szCs w:val="24"/>
        </w:rPr>
        <w:t xml:space="preserve"> </w:t>
      </w:r>
      <w:r w:rsidRPr="00476E27">
        <w:rPr>
          <w:rFonts w:ascii="Times New Roman" w:hAnsi="Times New Roman" w:cs="Times New Roman"/>
          <w:sz w:val="24"/>
          <w:szCs w:val="24"/>
        </w:rPr>
        <w:t>1.</w:t>
      </w:r>
      <w:r w:rsidR="00626AB2" w:rsidRPr="00476E27">
        <w:rPr>
          <w:rFonts w:ascii="Times New Roman" w:hAnsi="Times New Roman" w:cs="Times New Roman"/>
          <w:sz w:val="24"/>
          <w:szCs w:val="24"/>
        </w:rPr>
        <w:t xml:space="preserve"> Natomiast do </w:t>
      </w:r>
      <w:r w:rsidR="00040451" w:rsidRPr="008F5943">
        <w:rPr>
          <w:rFonts w:ascii="Times New Roman" w:hAnsi="Times New Roman" w:cs="Times New Roman"/>
          <w:color w:val="000000" w:themeColor="text1"/>
          <w:sz w:val="24"/>
          <w:szCs w:val="24"/>
        </w:rPr>
        <w:t xml:space="preserve">informacji i dowodów </w:t>
      </w:r>
      <w:r w:rsidR="000C2696" w:rsidRPr="008F5943">
        <w:rPr>
          <w:rFonts w:ascii="Times New Roman" w:hAnsi="Times New Roman" w:cs="Times New Roman"/>
          <w:color w:val="000000" w:themeColor="text1"/>
          <w:sz w:val="24"/>
          <w:szCs w:val="24"/>
        </w:rPr>
        <w:t>u</w:t>
      </w:r>
      <w:r w:rsidR="00040451" w:rsidRPr="008F5943">
        <w:rPr>
          <w:rFonts w:ascii="Times New Roman" w:hAnsi="Times New Roman" w:cs="Times New Roman"/>
          <w:color w:val="000000" w:themeColor="text1"/>
          <w:sz w:val="24"/>
          <w:szCs w:val="24"/>
        </w:rPr>
        <w:t xml:space="preserve">zyskanych przez Prezesa Urzędu przed dniem wejścia w życie </w:t>
      </w:r>
      <w:r w:rsidR="00626AB2" w:rsidRPr="008F5943">
        <w:rPr>
          <w:rFonts w:ascii="Times New Roman" w:hAnsi="Times New Roman" w:cs="Times New Roman"/>
          <w:color w:val="000000" w:themeColor="text1"/>
          <w:sz w:val="24"/>
          <w:szCs w:val="24"/>
        </w:rPr>
        <w:t xml:space="preserve">projektowanej </w:t>
      </w:r>
      <w:r w:rsidR="00040451" w:rsidRPr="008F5943">
        <w:rPr>
          <w:rFonts w:ascii="Times New Roman" w:hAnsi="Times New Roman" w:cs="Times New Roman"/>
          <w:color w:val="000000" w:themeColor="text1"/>
          <w:sz w:val="24"/>
          <w:szCs w:val="24"/>
        </w:rPr>
        <w:t xml:space="preserve">ustawy stosuje się </w:t>
      </w:r>
      <w:r w:rsidR="000C2696" w:rsidRPr="008F5943">
        <w:rPr>
          <w:rFonts w:ascii="Times New Roman" w:hAnsi="Times New Roman" w:cs="Times New Roman"/>
          <w:color w:val="000000" w:themeColor="text1"/>
          <w:sz w:val="24"/>
          <w:szCs w:val="24"/>
        </w:rPr>
        <w:t>art.</w:t>
      </w:r>
      <w:r w:rsidR="008F5943">
        <w:rPr>
          <w:rFonts w:ascii="Times New Roman" w:hAnsi="Times New Roman" w:cs="Times New Roman"/>
          <w:color w:val="000000" w:themeColor="text1"/>
          <w:sz w:val="24"/>
          <w:szCs w:val="24"/>
        </w:rPr>
        <w:t xml:space="preserve"> </w:t>
      </w:r>
      <w:r w:rsidR="00040451" w:rsidRPr="008F5943">
        <w:rPr>
          <w:rFonts w:ascii="Times New Roman" w:hAnsi="Times New Roman" w:cs="Times New Roman"/>
          <w:color w:val="000000" w:themeColor="text1"/>
          <w:sz w:val="24"/>
          <w:szCs w:val="24"/>
        </w:rPr>
        <w:t xml:space="preserve">71 </w:t>
      </w:r>
      <w:r w:rsidR="000C2696" w:rsidRPr="008F5943">
        <w:rPr>
          <w:rFonts w:ascii="Times New Roman" w:hAnsi="Times New Roman" w:cs="Times New Roman"/>
          <w:color w:val="000000" w:themeColor="text1"/>
          <w:sz w:val="24"/>
          <w:szCs w:val="24"/>
        </w:rPr>
        <w:t>u</w:t>
      </w:r>
      <w:r w:rsidR="00040451" w:rsidRPr="008F5943">
        <w:rPr>
          <w:rFonts w:ascii="Times New Roman" w:hAnsi="Times New Roman" w:cs="Times New Roman"/>
          <w:color w:val="000000" w:themeColor="text1"/>
          <w:sz w:val="24"/>
          <w:szCs w:val="24"/>
        </w:rPr>
        <w:t xml:space="preserve">stawy w brzmieniu nadanym </w:t>
      </w:r>
      <w:r w:rsidR="00626AB2" w:rsidRPr="008F5943">
        <w:rPr>
          <w:rFonts w:ascii="Times New Roman" w:hAnsi="Times New Roman" w:cs="Times New Roman"/>
          <w:color w:val="000000" w:themeColor="text1"/>
          <w:sz w:val="24"/>
          <w:szCs w:val="24"/>
        </w:rPr>
        <w:t xml:space="preserve">projektowaną </w:t>
      </w:r>
      <w:r w:rsidR="00040451" w:rsidRPr="008F5943">
        <w:rPr>
          <w:rFonts w:ascii="Times New Roman" w:hAnsi="Times New Roman" w:cs="Times New Roman"/>
          <w:color w:val="000000" w:themeColor="text1"/>
          <w:sz w:val="24"/>
          <w:szCs w:val="24"/>
        </w:rPr>
        <w:t>ustawą.</w:t>
      </w:r>
      <w:r w:rsidR="00CC7E45" w:rsidRPr="008F5943">
        <w:rPr>
          <w:rFonts w:ascii="Times New Roman" w:hAnsi="Times New Roman" w:cs="Times New Roman"/>
          <w:color w:val="000000" w:themeColor="text1"/>
          <w:sz w:val="24"/>
          <w:szCs w:val="24"/>
        </w:rPr>
        <w:t xml:space="preserve"> Projektowany art. 71 ust. 1 przewiduje kompleksową i niebudząc</w:t>
      </w:r>
      <w:r w:rsidR="008F5943">
        <w:rPr>
          <w:rFonts w:ascii="Times New Roman" w:hAnsi="Times New Roman" w:cs="Times New Roman"/>
          <w:color w:val="000000" w:themeColor="text1"/>
          <w:sz w:val="24"/>
          <w:szCs w:val="24"/>
        </w:rPr>
        <w:t>ą</w:t>
      </w:r>
      <w:r w:rsidR="00CC7E45" w:rsidRPr="008F5943">
        <w:rPr>
          <w:rFonts w:ascii="Times New Roman" w:hAnsi="Times New Roman" w:cs="Times New Roman"/>
          <w:color w:val="000000" w:themeColor="text1"/>
          <w:sz w:val="24"/>
          <w:szCs w:val="24"/>
        </w:rPr>
        <w:t xml:space="preserve"> wątpliwości interpretacyjnych ochronę szerokiego katalogu informacji, w tym inf</w:t>
      </w:r>
      <w:r w:rsidR="007A16D3">
        <w:rPr>
          <w:rFonts w:ascii="Times New Roman" w:hAnsi="Times New Roman" w:cs="Times New Roman"/>
          <w:color w:val="000000" w:themeColor="text1"/>
          <w:sz w:val="24"/>
          <w:szCs w:val="24"/>
        </w:rPr>
        <w:t>ormacji pozyskanych w związku z </w:t>
      </w:r>
      <w:r w:rsidR="00CC7E45" w:rsidRPr="008F5943">
        <w:rPr>
          <w:rFonts w:ascii="Times New Roman" w:hAnsi="Times New Roman" w:cs="Times New Roman"/>
          <w:color w:val="000000" w:themeColor="text1"/>
          <w:sz w:val="24"/>
          <w:szCs w:val="24"/>
        </w:rPr>
        <w:t xml:space="preserve">wykonywaniem czynności służbowych, dlatego </w:t>
      </w:r>
      <w:r w:rsidR="008F5943" w:rsidRPr="008F5943">
        <w:rPr>
          <w:rFonts w:ascii="Times New Roman" w:hAnsi="Times New Roman" w:cs="Times New Roman"/>
          <w:color w:val="000000" w:themeColor="text1"/>
          <w:sz w:val="24"/>
          <w:szCs w:val="24"/>
        </w:rPr>
        <w:t xml:space="preserve">jest </w:t>
      </w:r>
      <w:r w:rsidR="00CC7E45" w:rsidRPr="008F5943">
        <w:rPr>
          <w:rFonts w:ascii="Times New Roman" w:hAnsi="Times New Roman" w:cs="Times New Roman"/>
          <w:color w:val="000000" w:themeColor="text1"/>
          <w:sz w:val="24"/>
          <w:szCs w:val="24"/>
        </w:rPr>
        <w:t>uzasadnione jego zastosowanie także do informacji i dowodów uzyskanych przez Prezesa U</w:t>
      </w:r>
      <w:r w:rsidR="000C2696" w:rsidRPr="008F5943">
        <w:rPr>
          <w:rFonts w:ascii="Times New Roman" w:hAnsi="Times New Roman" w:cs="Times New Roman"/>
          <w:color w:val="000000" w:themeColor="text1"/>
          <w:sz w:val="24"/>
          <w:szCs w:val="24"/>
        </w:rPr>
        <w:t>rzędu</w:t>
      </w:r>
      <w:r w:rsidR="00CC7E45" w:rsidRPr="008F5943">
        <w:rPr>
          <w:rFonts w:ascii="Times New Roman" w:hAnsi="Times New Roman" w:cs="Times New Roman"/>
          <w:color w:val="000000" w:themeColor="text1"/>
          <w:sz w:val="24"/>
          <w:szCs w:val="24"/>
        </w:rPr>
        <w:t xml:space="preserve"> przed dniem wejścia w życie nowelizacji.</w:t>
      </w:r>
    </w:p>
    <w:p w14:paraId="6194766A" w14:textId="7D27B49D" w:rsidR="00040451" w:rsidRPr="00D84154" w:rsidRDefault="00040451" w:rsidP="00D84154">
      <w:pPr>
        <w:pStyle w:val="Akapitzlist"/>
        <w:spacing w:before="120" w:after="0" w:line="360" w:lineRule="auto"/>
        <w:ind w:left="0"/>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Ponadto przewiduje się, że do postępowań niezakończonych przed dniem wejścia </w:t>
      </w:r>
      <w:r w:rsidR="00AF6E7D" w:rsidRPr="00D84154">
        <w:rPr>
          <w:rFonts w:ascii="Times New Roman" w:hAnsi="Times New Roman" w:cs="Times New Roman"/>
          <w:color w:val="000000" w:themeColor="text1"/>
          <w:sz w:val="24"/>
          <w:szCs w:val="24"/>
        </w:rPr>
        <w:t xml:space="preserve">w życie </w:t>
      </w:r>
      <w:r w:rsidR="000C2696" w:rsidRPr="00D84154">
        <w:rPr>
          <w:rFonts w:ascii="Times New Roman" w:hAnsi="Times New Roman" w:cs="Times New Roman"/>
          <w:color w:val="000000" w:themeColor="text1"/>
          <w:sz w:val="24"/>
          <w:szCs w:val="24"/>
        </w:rPr>
        <w:t>projektowanej</w:t>
      </w:r>
      <w:r w:rsidR="00AF6E7D" w:rsidRPr="00D84154">
        <w:rPr>
          <w:rFonts w:ascii="Times New Roman" w:hAnsi="Times New Roman" w:cs="Times New Roman"/>
          <w:color w:val="000000" w:themeColor="text1"/>
          <w:sz w:val="24"/>
          <w:szCs w:val="24"/>
        </w:rPr>
        <w:t xml:space="preserve"> ustawy znajdą</w:t>
      </w:r>
      <w:r w:rsidRPr="00D84154">
        <w:rPr>
          <w:rFonts w:ascii="Times New Roman" w:hAnsi="Times New Roman" w:cs="Times New Roman"/>
          <w:color w:val="000000" w:themeColor="text1"/>
          <w:sz w:val="24"/>
          <w:szCs w:val="24"/>
        </w:rPr>
        <w:t xml:space="preserve"> zastosowanie </w:t>
      </w:r>
      <w:r w:rsidR="000C2696" w:rsidRPr="00D84154">
        <w:rPr>
          <w:rFonts w:ascii="Times New Roman" w:hAnsi="Times New Roman" w:cs="Times New Roman"/>
          <w:color w:val="000000" w:themeColor="text1"/>
          <w:sz w:val="24"/>
          <w:szCs w:val="24"/>
        </w:rPr>
        <w:t xml:space="preserve">nowe </w:t>
      </w:r>
      <w:r w:rsidRPr="00D84154">
        <w:rPr>
          <w:rFonts w:ascii="Times New Roman" w:hAnsi="Times New Roman" w:cs="Times New Roman"/>
          <w:color w:val="000000" w:themeColor="text1"/>
          <w:sz w:val="24"/>
          <w:szCs w:val="24"/>
        </w:rPr>
        <w:t xml:space="preserve">art. </w:t>
      </w:r>
      <w:r w:rsidR="00CF5956" w:rsidRPr="00D84154">
        <w:rPr>
          <w:rFonts w:ascii="Times New Roman" w:hAnsi="Times New Roman" w:cs="Times New Roman"/>
          <w:color w:val="000000" w:themeColor="text1"/>
          <w:sz w:val="24"/>
          <w:szCs w:val="24"/>
        </w:rPr>
        <w:t>113</w:t>
      </w:r>
      <w:r w:rsidR="00626AB2" w:rsidRPr="00D84154">
        <w:rPr>
          <w:rFonts w:ascii="Times New Roman" w:hAnsi="Times New Roman" w:cs="Times New Roman"/>
          <w:color w:val="000000" w:themeColor="text1"/>
          <w:sz w:val="24"/>
          <w:szCs w:val="24"/>
        </w:rPr>
        <w:t>p</w:t>
      </w:r>
      <w:r w:rsidR="00CF5956" w:rsidRPr="00D84154">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 xml:space="preserve">i </w:t>
      </w:r>
      <w:r w:rsidR="000C2696" w:rsidRPr="00D84154">
        <w:rPr>
          <w:rFonts w:ascii="Times New Roman" w:hAnsi="Times New Roman" w:cs="Times New Roman"/>
          <w:color w:val="000000" w:themeColor="text1"/>
          <w:sz w:val="24"/>
          <w:szCs w:val="24"/>
        </w:rPr>
        <w:t xml:space="preserve">art. </w:t>
      </w:r>
      <w:r w:rsidR="00CF5956" w:rsidRPr="00D84154">
        <w:rPr>
          <w:rFonts w:ascii="Times New Roman" w:hAnsi="Times New Roman" w:cs="Times New Roman"/>
          <w:color w:val="000000" w:themeColor="text1"/>
          <w:sz w:val="24"/>
          <w:szCs w:val="24"/>
        </w:rPr>
        <w:t>113</w:t>
      </w:r>
      <w:r w:rsidR="00626AB2" w:rsidRPr="00D84154">
        <w:rPr>
          <w:rFonts w:ascii="Times New Roman" w:hAnsi="Times New Roman" w:cs="Times New Roman"/>
          <w:color w:val="000000" w:themeColor="text1"/>
          <w:sz w:val="24"/>
          <w:szCs w:val="24"/>
        </w:rPr>
        <w:t>q</w:t>
      </w:r>
      <w:r w:rsidR="00CF5956" w:rsidRPr="00D84154">
        <w:rPr>
          <w:rFonts w:ascii="Times New Roman" w:hAnsi="Times New Roman" w:cs="Times New Roman"/>
          <w:color w:val="000000" w:themeColor="text1"/>
          <w:sz w:val="24"/>
          <w:szCs w:val="24"/>
        </w:rPr>
        <w:t xml:space="preserve"> </w:t>
      </w:r>
      <w:r w:rsidR="000C2696" w:rsidRPr="00D84154">
        <w:rPr>
          <w:rFonts w:ascii="Times New Roman" w:hAnsi="Times New Roman" w:cs="Times New Roman"/>
          <w:color w:val="000000" w:themeColor="text1"/>
          <w:sz w:val="24"/>
          <w:szCs w:val="24"/>
        </w:rPr>
        <w:t>u</w:t>
      </w:r>
      <w:r w:rsidRPr="00D84154">
        <w:rPr>
          <w:rFonts w:ascii="Times New Roman" w:hAnsi="Times New Roman" w:cs="Times New Roman"/>
          <w:color w:val="000000" w:themeColor="text1"/>
          <w:sz w:val="24"/>
          <w:szCs w:val="24"/>
        </w:rPr>
        <w:t>stawy dotyczące możliwości wystąpienia przez Prezesa U</w:t>
      </w:r>
      <w:r w:rsidR="000C2696" w:rsidRPr="00D84154">
        <w:rPr>
          <w:rFonts w:ascii="Times New Roman" w:hAnsi="Times New Roman" w:cs="Times New Roman"/>
          <w:color w:val="000000" w:themeColor="text1"/>
          <w:sz w:val="24"/>
          <w:szCs w:val="24"/>
        </w:rPr>
        <w:t>rzędu</w:t>
      </w:r>
      <w:r w:rsidR="00F65A77">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do innego organu och</w:t>
      </w:r>
      <w:r w:rsidR="007A16D3">
        <w:rPr>
          <w:rFonts w:ascii="Times New Roman" w:hAnsi="Times New Roman" w:cs="Times New Roman"/>
          <w:color w:val="000000" w:themeColor="text1"/>
          <w:sz w:val="24"/>
          <w:szCs w:val="24"/>
        </w:rPr>
        <w:t>rony konkurencji z </w:t>
      </w:r>
      <w:r w:rsidRPr="00D84154">
        <w:rPr>
          <w:rFonts w:ascii="Times New Roman" w:hAnsi="Times New Roman" w:cs="Times New Roman"/>
          <w:color w:val="000000" w:themeColor="text1"/>
          <w:sz w:val="24"/>
          <w:szCs w:val="24"/>
        </w:rPr>
        <w:t>wnioskiem o powiadomienie podmiotu</w:t>
      </w:r>
      <w:r w:rsidR="00D41ECF" w:rsidRPr="00D84154">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w</w:t>
      </w:r>
      <w:r w:rsidR="00A85422">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stosunku do którego Prezes Urzędu podjął czynności w ramach sprawowania kontroli nad przestrzeganiem przez przedsiębiorców art.</w:t>
      </w:r>
      <w:r w:rsidR="007A16D3">
        <w:rPr>
          <w:rFonts w:ascii="Times New Roman" w:hAnsi="Times New Roman" w:cs="Times New Roman"/>
          <w:color w:val="000000" w:themeColor="text1"/>
          <w:sz w:val="24"/>
          <w:szCs w:val="24"/>
        </w:rPr>
        <w:t> </w:t>
      </w:r>
      <w:r w:rsidRPr="00D84154">
        <w:rPr>
          <w:rFonts w:ascii="Times New Roman" w:hAnsi="Times New Roman" w:cs="Times New Roman"/>
          <w:color w:val="000000" w:themeColor="text1"/>
          <w:sz w:val="24"/>
          <w:szCs w:val="24"/>
        </w:rPr>
        <w:t>101 lub art. 102 TFUE, o</w:t>
      </w:r>
      <w:r w:rsidR="00A85422">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decyzjach, postanowieniach oraz innych dokumentach dotyczących stosowania art.</w:t>
      </w:r>
      <w:r w:rsidR="00A85422">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101 lub art.</w:t>
      </w:r>
      <w:r w:rsidR="00A85422">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102</w:t>
      </w:r>
      <w:r w:rsidR="00AB1BB5">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TFUE, w</w:t>
      </w:r>
      <w:r w:rsidR="00A85422">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tym dokumentach dotyczących egzekwowania decyzji o</w:t>
      </w:r>
      <w:r w:rsidR="00A85422">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nałożeniu kar pieniężnych lub okresowych kar pieniężnych, których adresatem jest ten podmiot.</w:t>
      </w:r>
    </w:p>
    <w:p w14:paraId="46FA28A0" w14:textId="50FE58ED" w:rsidR="00040451" w:rsidRPr="00D84154" w:rsidRDefault="00040451" w:rsidP="00D84154">
      <w:pPr>
        <w:pStyle w:val="Akapitzlist"/>
        <w:spacing w:before="120" w:after="0" w:line="360" w:lineRule="auto"/>
        <w:ind w:left="0"/>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Z kolei występowanie na podstawie </w:t>
      </w:r>
      <w:r w:rsidR="000C2696" w:rsidRPr="00D84154">
        <w:rPr>
          <w:rFonts w:ascii="Times New Roman" w:hAnsi="Times New Roman" w:cs="Times New Roman"/>
          <w:color w:val="000000" w:themeColor="text1"/>
          <w:sz w:val="24"/>
          <w:szCs w:val="24"/>
        </w:rPr>
        <w:t xml:space="preserve">projektowanego </w:t>
      </w:r>
      <w:r w:rsidRPr="00D84154">
        <w:rPr>
          <w:rFonts w:ascii="Times New Roman" w:hAnsi="Times New Roman" w:cs="Times New Roman"/>
          <w:color w:val="000000" w:themeColor="text1"/>
          <w:sz w:val="24"/>
          <w:szCs w:val="24"/>
        </w:rPr>
        <w:t xml:space="preserve">art. </w:t>
      </w:r>
      <w:r w:rsidR="00CF5956" w:rsidRPr="00D84154">
        <w:rPr>
          <w:rFonts w:ascii="Times New Roman" w:hAnsi="Times New Roman" w:cs="Times New Roman"/>
          <w:color w:val="000000" w:themeColor="text1"/>
          <w:sz w:val="24"/>
          <w:szCs w:val="24"/>
        </w:rPr>
        <w:t>113</w:t>
      </w:r>
      <w:r w:rsidR="00AB54DD" w:rsidRPr="00D84154">
        <w:rPr>
          <w:rFonts w:ascii="Times New Roman" w:hAnsi="Times New Roman" w:cs="Times New Roman"/>
          <w:color w:val="000000" w:themeColor="text1"/>
          <w:sz w:val="24"/>
          <w:szCs w:val="24"/>
        </w:rPr>
        <w:t>r</w:t>
      </w:r>
      <w:r w:rsidR="00CF5956" w:rsidRPr="00D84154">
        <w:rPr>
          <w:rFonts w:ascii="Times New Roman" w:hAnsi="Times New Roman" w:cs="Times New Roman"/>
          <w:color w:val="000000" w:themeColor="text1"/>
          <w:sz w:val="24"/>
          <w:szCs w:val="24"/>
        </w:rPr>
        <w:t xml:space="preserve"> </w:t>
      </w:r>
      <w:r w:rsidR="000C2696" w:rsidRPr="00D84154">
        <w:rPr>
          <w:rFonts w:ascii="Times New Roman" w:hAnsi="Times New Roman" w:cs="Times New Roman"/>
          <w:color w:val="000000" w:themeColor="text1"/>
          <w:sz w:val="24"/>
          <w:szCs w:val="24"/>
        </w:rPr>
        <w:t>u</w:t>
      </w:r>
      <w:r w:rsidRPr="00D84154">
        <w:rPr>
          <w:rFonts w:ascii="Times New Roman" w:hAnsi="Times New Roman" w:cs="Times New Roman"/>
          <w:color w:val="000000" w:themeColor="text1"/>
          <w:sz w:val="24"/>
          <w:szCs w:val="24"/>
        </w:rPr>
        <w:t xml:space="preserve">stawy z wnioskiem o egzekucję w innym państwie członkowskim UE kar pieniężnych nakładanych przez Prezesa UOKiK będzie możliwe w stosunku do </w:t>
      </w:r>
      <w:r w:rsidR="00AF6E7D" w:rsidRPr="00D84154">
        <w:rPr>
          <w:rFonts w:ascii="Times New Roman" w:hAnsi="Times New Roman" w:cs="Times New Roman"/>
          <w:color w:val="000000" w:themeColor="text1"/>
          <w:sz w:val="24"/>
          <w:szCs w:val="24"/>
        </w:rPr>
        <w:t xml:space="preserve">kar, które zostały nałożone w drodze decyzji nie wcześniej niż w dniu wejścia w życie </w:t>
      </w:r>
      <w:r w:rsidR="00D41ECF" w:rsidRPr="00D84154">
        <w:rPr>
          <w:rFonts w:ascii="Times New Roman" w:hAnsi="Times New Roman" w:cs="Times New Roman"/>
          <w:color w:val="000000" w:themeColor="text1"/>
          <w:sz w:val="24"/>
          <w:szCs w:val="24"/>
        </w:rPr>
        <w:t xml:space="preserve">projektowanej </w:t>
      </w:r>
      <w:r w:rsidR="00AF6E7D" w:rsidRPr="00D84154">
        <w:rPr>
          <w:rFonts w:ascii="Times New Roman" w:hAnsi="Times New Roman" w:cs="Times New Roman"/>
          <w:color w:val="000000" w:themeColor="text1"/>
          <w:sz w:val="24"/>
          <w:szCs w:val="24"/>
        </w:rPr>
        <w:t>ustawy.</w:t>
      </w:r>
    </w:p>
    <w:p w14:paraId="77137FDB" w14:textId="5927751A" w:rsidR="00B20D82" w:rsidRPr="00D84154" w:rsidRDefault="00456695" w:rsidP="00FA39BF">
      <w:pPr>
        <w:spacing w:before="120" w:after="0" w:line="360" w:lineRule="auto"/>
        <w:ind w:left="426" w:hanging="426"/>
        <w:jc w:val="both"/>
        <w:rPr>
          <w:rFonts w:ascii="Times New Roman" w:hAnsi="Times New Roman" w:cs="Times New Roman"/>
          <w:b/>
          <w:bCs/>
          <w:color w:val="000000" w:themeColor="text1"/>
          <w:sz w:val="24"/>
          <w:szCs w:val="24"/>
        </w:rPr>
      </w:pPr>
      <w:r w:rsidRPr="00D84154">
        <w:rPr>
          <w:rFonts w:ascii="Times New Roman" w:hAnsi="Times New Roman" w:cs="Times New Roman"/>
          <w:b/>
          <w:bCs/>
          <w:color w:val="000000" w:themeColor="text1"/>
          <w:sz w:val="24"/>
          <w:szCs w:val="24"/>
        </w:rPr>
        <w:t>1</w:t>
      </w:r>
      <w:r w:rsidR="00E90F30" w:rsidRPr="00D84154">
        <w:rPr>
          <w:rFonts w:ascii="Times New Roman" w:hAnsi="Times New Roman" w:cs="Times New Roman"/>
          <w:b/>
          <w:bCs/>
          <w:color w:val="000000" w:themeColor="text1"/>
          <w:sz w:val="24"/>
          <w:szCs w:val="24"/>
        </w:rPr>
        <w:t>6</w:t>
      </w:r>
      <w:r w:rsidR="00FA39BF">
        <w:rPr>
          <w:rFonts w:ascii="Times New Roman" w:hAnsi="Times New Roman" w:cs="Times New Roman"/>
          <w:b/>
          <w:bCs/>
          <w:color w:val="000000" w:themeColor="text1"/>
          <w:sz w:val="24"/>
          <w:szCs w:val="24"/>
        </w:rPr>
        <w:t>.</w:t>
      </w:r>
      <w:r w:rsidR="00FA39BF">
        <w:rPr>
          <w:rFonts w:ascii="Times New Roman" w:hAnsi="Times New Roman" w:cs="Times New Roman"/>
          <w:b/>
          <w:bCs/>
          <w:color w:val="000000" w:themeColor="text1"/>
          <w:sz w:val="24"/>
          <w:szCs w:val="24"/>
        </w:rPr>
        <w:tab/>
      </w:r>
      <w:r w:rsidR="00B20D82" w:rsidRPr="00D84154">
        <w:rPr>
          <w:rFonts w:ascii="Times New Roman" w:hAnsi="Times New Roman" w:cs="Times New Roman"/>
          <w:b/>
          <w:bCs/>
          <w:color w:val="000000" w:themeColor="text1"/>
          <w:sz w:val="24"/>
          <w:szCs w:val="24"/>
        </w:rPr>
        <w:t>Wejście w życie</w:t>
      </w:r>
    </w:p>
    <w:p w14:paraId="421CF0F1" w14:textId="267DBC84" w:rsidR="00456695" w:rsidRPr="00D84154" w:rsidRDefault="00B20D82" w:rsidP="00D84154">
      <w:pPr>
        <w:spacing w:before="120" w:after="0" w:line="360" w:lineRule="auto"/>
        <w:jc w:val="both"/>
        <w:rPr>
          <w:rFonts w:ascii="Times New Roman" w:hAnsi="Times New Roman" w:cs="Times New Roman"/>
          <w:b/>
          <w:bCs/>
          <w:color w:val="000000" w:themeColor="text1"/>
          <w:sz w:val="24"/>
          <w:szCs w:val="24"/>
        </w:rPr>
      </w:pPr>
      <w:r w:rsidRPr="00D84154">
        <w:rPr>
          <w:rFonts w:ascii="Times New Roman" w:hAnsi="Times New Roman" w:cs="Times New Roman"/>
          <w:bCs/>
          <w:color w:val="000000" w:themeColor="text1"/>
          <w:sz w:val="24"/>
          <w:szCs w:val="24"/>
        </w:rPr>
        <w:t>Przewiduje się wejście w życie ustawy</w:t>
      </w:r>
      <w:r w:rsidR="0012215B" w:rsidRPr="00D84154">
        <w:rPr>
          <w:rFonts w:ascii="Times New Roman" w:hAnsi="Times New Roman" w:cs="Times New Roman"/>
          <w:bCs/>
          <w:color w:val="000000" w:themeColor="text1"/>
          <w:sz w:val="24"/>
          <w:szCs w:val="24"/>
        </w:rPr>
        <w:t xml:space="preserve"> po upływie 14 dni od dnia ogłoszenia</w:t>
      </w:r>
      <w:r w:rsidRPr="00D84154">
        <w:rPr>
          <w:rFonts w:ascii="Times New Roman" w:hAnsi="Times New Roman" w:cs="Times New Roman"/>
          <w:bCs/>
          <w:color w:val="000000" w:themeColor="text1"/>
          <w:sz w:val="24"/>
          <w:szCs w:val="24"/>
        </w:rPr>
        <w:t>.</w:t>
      </w:r>
    </w:p>
    <w:p w14:paraId="6B54151B" w14:textId="77777777" w:rsidR="006A1CAB" w:rsidRPr="00D84154" w:rsidRDefault="006A1CAB"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Projektowane przepisy nie zawierają rozwiązań związanych z przeciwdziałaniem negatywnym skutkom społeczno-gospodarczym COVID-19.</w:t>
      </w:r>
    </w:p>
    <w:p w14:paraId="13BA988F" w14:textId="6155B95B" w:rsidR="006A1CAB" w:rsidRPr="00D84154" w:rsidRDefault="006A1CAB"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Projekt ustawy nie zawiera przepisów technicznych, o których mowa w § 4 rozporządzenia Rady Ministrów z dnia 23 grudnia 2002 r. w sprawie sposobu funkcjonowania krajowego systemu notyfikacji norm i aktów prawnych (Dz. U. poz.</w:t>
      </w:r>
      <w:r w:rsidR="006F4C32" w:rsidRPr="00D84154">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 xml:space="preserve">2039, z późn. zm.) i w związku z tym nie podlega notyfikacji. </w:t>
      </w:r>
    </w:p>
    <w:p w14:paraId="787B6137" w14:textId="2D7A1EB7" w:rsidR="006A1CAB" w:rsidRPr="00D84154" w:rsidRDefault="006A1CAB"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lastRenderedPageBreak/>
        <w:t>Projekt ustawy nie wymaga notyfikacji programu pomocowego, zgodnie z przepisami ustawy z dnia 30 kwietnia 2004 r. o postępowaniu w sprawach dotyczących pomocy publicznej</w:t>
      </w:r>
      <w:r w:rsidR="00AB54DD" w:rsidRPr="00D84154">
        <w:rPr>
          <w:rFonts w:ascii="Times New Roman" w:hAnsi="Times New Roman" w:cs="Times New Roman"/>
          <w:color w:val="000000" w:themeColor="text1"/>
          <w:sz w:val="24"/>
          <w:szCs w:val="24"/>
        </w:rPr>
        <w:t xml:space="preserve"> </w:t>
      </w:r>
      <w:r w:rsidRPr="00D84154">
        <w:rPr>
          <w:rFonts w:ascii="Times New Roman" w:hAnsi="Times New Roman" w:cs="Times New Roman"/>
          <w:color w:val="000000" w:themeColor="text1"/>
          <w:sz w:val="24"/>
          <w:szCs w:val="24"/>
        </w:rPr>
        <w:t>(Dz.</w:t>
      </w:r>
      <w:r w:rsidR="007A16D3">
        <w:rPr>
          <w:rFonts w:ascii="Times New Roman" w:hAnsi="Times New Roman" w:cs="Times New Roman"/>
          <w:color w:val="000000" w:themeColor="text1"/>
          <w:sz w:val="24"/>
          <w:szCs w:val="24"/>
        </w:rPr>
        <w:t> </w:t>
      </w:r>
      <w:r w:rsidRPr="00D84154">
        <w:rPr>
          <w:rFonts w:ascii="Times New Roman" w:hAnsi="Times New Roman" w:cs="Times New Roman"/>
          <w:color w:val="000000" w:themeColor="text1"/>
          <w:sz w:val="24"/>
          <w:szCs w:val="24"/>
        </w:rPr>
        <w:t>U. z 20</w:t>
      </w:r>
      <w:r w:rsidR="000C2696" w:rsidRPr="00D84154">
        <w:rPr>
          <w:rFonts w:ascii="Times New Roman" w:hAnsi="Times New Roman" w:cs="Times New Roman"/>
          <w:color w:val="000000" w:themeColor="text1"/>
          <w:sz w:val="24"/>
          <w:szCs w:val="24"/>
        </w:rPr>
        <w:t>2</w:t>
      </w:r>
      <w:r w:rsidRPr="00D84154">
        <w:rPr>
          <w:rFonts w:ascii="Times New Roman" w:hAnsi="Times New Roman" w:cs="Times New Roman"/>
          <w:color w:val="000000" w:themeColor="text1"/>
          <w:sz w:val="24"/>
          <w:szCs w:val="24"/>
        </w:rPr>
        <w:t xml:space="preserve">1r. poz. </w:t>
      </w:r>
      <w:r w:rsidR="000C2696" w:rsidRPr="00D84154">
        <w:rPr>
          <w:rFonts w:ascii="Times New Roman" w:hAnsi="Times New Roman" w:cs="Times New Roman"/>
          <w:color w:val="000000" w:themeColor="text1"/>
          <w:sz w:val="24"/>
          <w:szCs w:val="24"/>
        </w:rPr>
        <w:t>743</w:t>
      </w:r>
      <w:r w:rsidR="00AB54DD" w:rsidRPr="00D84154">
        <w:rPr>
          <w:rFonts w:ascii="Times New Roman" w:hAnsi="Times New Roman" w:cs="Times New Roman"/>
          <w:color w:val="000000" w:themeColor="text1"/>
          <w:sz w:val="24"/>
          <w:szCs w:val="24"/>
        </w:rPr>
        <w:t>, z późn. zm.</w:t>
      </w:r>
      <w:r w:rsidRPr="00D84154">
        <w:rPr>
          <w:rFonts w:ascii="Times New Roman" w:hAnsi="Times New Roman" w:cs="Times New Roman"/>
          <w:color w:val="000000" w:themeColor="text1"/>
          <w:sz w:val="24"/>
          <w:szCs w:val="24"/>
        </w:rPr>
        <w:t>).</w:t>
      </w:r>
    </w:p>
    <w:p w14:paraId="304D6ED2" w14:textId="48C59B0F" w:rsidR="006A1CAB" w:rsidRPr="00D84154" w:rsidRDefault="006A1CAB"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Zgodnie z art. 5 ustawy z dnia 7 lipca 2005 r. o działalności lobbingowej w procesie stanowienia prawa (Dz. U. z 2017 r. poz. 248) projekt ustawy zosta</w:t>
      </w:r>
      <w:r w:rsidR="00016DEB" w:rsidRPr="00D84154">
        <w:rPr>
          <w:rFonts w:ascii="Times New Roman" w:hAnsi="Times New Roman" w:cs="Times New Roman"/>
          <w:color w:val="000000" w:themeColor="text1"/>
          <w:sz w:val="24"/>
          <w:szCs w:val="24"/>
        </w:rPr>
        <w:t>ł</w:t>
      </w:r>
      <w:r w:rsidRPr="00D84154">
        <w:rPr>
          <w:rFonts w:ascii="Times New Roman" w:hAnsi="Times New Roman" w:cs="Times New Roman"/>
          <w:color w:val="000000" w:themeColor="text1"/>
          <w:sz w:val="24"/>
          <w:szCs w:val="24"/>
        </w:rPr>
        <w:t xml:space="preserve"> udostępniony w Biuletynie Informacji Publicznej na stronie </w:t>
      </w:r>
      <w:r w:rsidR="006F4C32" w:rsidRPr="00D84154">
        <w:rPr>
          <w:rFonts w:ascii="Times New Roman" w:hAnsi="Times New Roman" w:cs="Times New Roman"/>
          <w:color w:val="000000" w:themeColor="text1"/>
          <w:sz w:val="24"/>
          <w:szCs w:val="24"/>
        </w:rPr>
        <w:t>podmiotowej UOKiK</w:t>
      </w:r>
      <w:r w:rsidRPr="00D84154">
        <w:rPr>
          <w:rFonts w:ascii="Times New Roman" w:hAnsi="Times New Roman" w:cs="Times New Roman"/>
          <w:color w:val="000000" w:themeColor="text1"/>
          <w:sz w:val="24"/>
          <w:szCs w:val="24"/>
        </w:rPr>
        <w:t>. Ponadto stos</w:t>
      </w:r>
      <w:r w:rsidR="007A16D3">
        <w:rPr>
          <w:rFonts w:ascii="Times New Roman" w:hAnsi="Times New Roman" w:cs="Times New Roman"/>
          <w:color w:val="000000" w:themeColor="text1"/>
          <w:sz w:val="24"/>
          <w:szCs w:val="24"/>
        </w:rPr>
        <w:t>ownie do § 52 ust. 1 uchwały nr </w:t>
      </w:r>
      <w:r w:rsidRPr="00D84154">
        <w:rPr>
          <w:rFonts w:ascii="Times New Roman" w:hAnsi="Times New Roman" w:cs="Times New Roman"/>
          <w:color w:val="000000" w:themeColor="text1"/>
          <w:sz w:val="24"/>
          <w:szCs w:val="24"/>
        </w:rPr>
        <w:t>190 Rady Ministrów z dnia 29 października 2013 r. – Regulami</w:t>
      </w:r>
      <w:r w:rsidR="007A16D3">
        <w:rPr>
          <w:rFonts w:ascii="Times New Roman" w:hAnsi="Times New Roman" w:cs="Times New Roman"/>
          <w:color w:val="000000" w:themeColor="text1"/>
          <w:sz w:val="24"/>
          <w:szCs w:val="24"/>
        </w:rPr>
        <w:t>n pracy Rady Ministrów (M. P. z </w:t>
      </w:r>
      <w:r w:rsidR="00AB54DD" w:rsidRPr="00D84154">
        <w:rPr>
          <w:rFonts w:ascii="Times New Roman" w:hAnsi="Times New Roman" w:cs="Times New Roman"/>
          <w:color w:val="000000" w:themeColor="text1"/>
          <w:sz w:val="24"/>
          <w:szCs w:val="24"/>
        </w:rPr>
        <w:t>2022 r. poz. 348</w:t>
      </w:r>
      <w:r w:rsidRPr="00D84154">
        <w:rPr>
          <w:rFonts w:ascii="Times New Roman" w:hAnsi="Times New Roman" w:cs="Times New Roman"/>
          <w:color w:val="000000" w:themeColor="text1"/>
          <w:sz w:val="24"/>
          <w:szCs w:val="24"/>
        </w:rPr>
        <w:t>) projekt zosta</w:t>
      </w:r>
      <w:r w:rsidR="00016DEB" w:rsidRPr="00D84154">
        <w:rPr>
          <w:rFonts w:ascii="Times New Roman" w:hAnsi="Times New Roman" w:cs="Times New Roman"/>
          <w:color w:val="000000" w:themeColor="text1"/>
          <w:sz w:val="24"/>
          <w:szCs w:val="24"/>
        </w:rPr>
        <w:t>ł</w:t>
      </w:r>
      <w:r w:rsidRPr="00D84154">
        <w:rPr>
          <w:rFonts w:ascii="Times New Roman" w:hAnsi="Times New Roman" w:cs="Times New Roman"/>
          <w:color w:val="000000" w:themeColor="text1"/>
          <w:sz w:val="24"/>
          <w:szCs w:val="24"/>
        </w:rPr>
        <w:t xml:space="preserve"> udostępniony w Biuletynie Informacji Publicznej na stronie podmiotowej Rządowego Centrum Legislacji, w serwisie Rządowy Proces Legislacyjny.</w:t>
      </w:r>
    </w:p>
    <w:p w14:paraId="0D095E24" w14:textId="77777777" w:rsidR="00B75589" w:rsidRPr="00D84154" w:rsidRDefault="00B75589"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Dotychczas zainteresowanie pracami nad projektem zgłosiły dwa podmioty:</w:t>
      </w:r>
    </w:p>
    <w:p w14:paraId="3B6D442D" w14:textId="135B1F69" w:rsidR="00B75589" w:rsidRPr="00D84154" w:rsidRDefault="00B75589"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1</w:t>
      </w:r>
      <w:r w:rsidR="000C2696" w:rsidRPr="00D84154">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ab/>
        <w:t>Imperial Tobacco Polska S.A. (wniosek z 5 lutego 2021 r.);</w:t>
      </w:r>
    </w:p>
    <w:p w14:paraId="25A1413D" w14:textId="29D0C2CF" w:rsidR="006A1CAB" w:rsidRPr="00D84154" w:rsidRDefault="00B75589"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2</w:t>
      </w:r>
      <w:r w:rsidR="000C2696" w:rsidRPr="00D84154">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ab/>
        <w:t>Krajowe Stowarzyszenie Przemysłu Tytoniowego (wniosek z 5 lutego 2021 r.).</w:t>
      </w:r>
    </w:p>
    <w:p w14:paraId="3650778F" w14:textId="77777777" w:rsidR="008C4CCE" w:rsidRPr="00D84154" w:rsidRDefault="006A1CAB"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 xml:space="preserve">Projekt ustawy </w:t>
      </w:r>
      <w:r w:rsidR="008C4CCE" w:rsidRPr="00D84154">
        <w:rPr>
          <w:rFonts w:ascii="Times New Roman" w:hAnsi="Times New Roman" w:cs="Times New Roman"/>
          <w:color w:val="000000" w:themeColor="text1"/>
          <w:sz w:val="24"/>
          <w:szCs w:val="24"/>
        </w:rPr>
        <w:t>jest zgodny z prawem Unii Europejskiej.</w:t>
      </w:r>
    </w:p>
    <w:p w14:paraId="48077DD8" w14:textId="20D893CB" w:rsidR="00C354EA" w:rsidRPr="00D84154" w:rsidRDefault="006A1CAB" w:rsidP="00D84154">
      <w:pPr>
        <w:spacing w:before="120" w:after="0" w:line="360" w:lineRule="auto"/>
        <w:jc w:val="both"/>
        <w:rPr>
          <w:rFonts w:ascii="Times New Roman" w:hAnsi="Times New Roman" w:cs="Times New Roman"/>
          <w:color w:val="000000" w:themeColor="text1"/>
          <w:sz w:val="24"/>
          <w:szCs w:val="24"/>
        </w:rPr>
      </w:pPr>
      <w:r w:rsidRPr="00D84154">
        <w:rPr>
          <w:rFonts w:ascii="Times New Roman" w:hAnsi="Times New Roman" w:cs="Times New Roman"/>
          <w:color w:val="000000" w:themeColor="text1"/>
          <w:sz w:val="24"/>
          <w:szCs w:val="24"/>
        </w:rPr>
        <w:t>Projekt ustawy nie wymaga przedstawienia właściwym organom i instytucjom Unii Europejskiej, w tym Europejskiemu Bankowi Centralnemu</w:t>
      </w:r>
      <w:r w:rsidR="00AB1BB5">
        <w:rPr>
          <w:rFonts w:ascii="Times New Roman" w:hAnsi="Times New Roman" w:cs="Times New Roman"/>
          <w:color w:val="000000" w:themeColor="text1"/>
          <w:sz w:val="24"/>
          <w:szCs w:val="24"/>
        </w:rPr>
        <w:t>,</w:t>
      </w:r>
      <w:r w:rsidRPr="00D84154">
        <w:rPr>
          <w:rFonts w:ascii="Times New Roman" w:hAnsi="Times New Roman" w:cs="Times New Roman"/>
          <w:color w:val="000000" w:themeColor="text1"/>
          <w:sz w:val="24"/>
          <w:szCs w:val="24"/>
        </w:rPr>
        <w:t xml:space="preserve"> w celu uzyskania opinii, dokonania powiadomienia, konsultacji albo uzgodnienia.</w:t>
      </w:r>
    </w:p>
    <w:sectPr w:rsidR="00C354EA" w:rsidRPr="00D84154" w:rsidSect="00D84154">
      <w:footerReference w:type="default" r:id="rId12"/>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A0FD0" w16cex:dateUtc="2021-04-08T21:27:00Z"/>
  <w16cex:commentExtensible w16cex:durableId="241A12F7" w16cex:dateUtc="2021-04-08T21: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49BC5" w14:textId="77777777" w:rsidR="00BC0E7C" w:rsidRDefault="00BC0E7C" w:rsidP="00E837DF">
      <w:pPr>
        <w:spacing w:after="0" w:line="240" w:lineRule="auto"/>
      </w:pPr>
      <w:r>
        <w:separator/>
      </w:r>
    </w:p>
  </w:endnote>
  <w:endnote w:type="continuationSeparator" w:id="0">
    <w:p w14:paraId="01F38AAA" w14:textId="77777777" w:rsidR="00BC0E7C" w:rsidRDefault="00BC0E7C" w:rsidP="00E83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563401"/>
      <w:docPartObj>
        <w:docPartGallery w:val="Page Numbers (Bottom of Page)"/>
        <w:docPartUnique/>
      </w:docPartObj>
    </w:sdtPr>
    <w:sdtEndPr>
      <w:rPr>
        <w:rFonts w:ascii="Times New Roman" w:hAnsi="Times New Roman" w:cs="Times New Roman"/>
        <w:sz w:val="24"/>
        <w:szCs w:val="24"/>
      </w:rPr>
    </w:sdtEndPr>
    <w:sdtContent>
      <w:p w14:paraId="39CDDF5C" w14:textId="7B03E7F8" w:rsidR="00BC0E7C" w:rsidRPr="00945F93" w:rsidRDefault="00BC0E7C" w:rsidP="00945F93">
        <w:pPr>
          <w:pStyle w:val="Stopka"/>
          <w:jc w:val="center"/>
          <w:rPr>
            <w:rFonts w:ascii="Times New Roman" w:hAnsi="Times New Roman" w:cs="Times New Roman"/>
            <w:sz w:val="24"/>
            <w:szCs w:val="24"/>
          </w:rPr>
        </w:pPr>
        <w:r w:rsidRPr="00945F93">
          <w:rPr>
            <w:rFonts w:ascii="Times New Roman" w:hAnsi="Times New Roman" w:cs="Times New Roman"/>
            <w:sz w:val="24"/>
            <w:szCs w:val="24"/>
          </w:rPr>
          <w:fldChar w:fldCharType="begin"/>
        </w:r>
        <w:r w:rsidRPr="00945F93">
          <w:rPr>
            <w:rFonts w:ascii="Times New Roman" w:hAnsi="Times New Roman" w:cs="Times New Roman"/>
            <w:sz w:val="24"/>
            <w:szCs w:val="24"/>
          </w:rPr>
          <w:instrText>PAGE   \* MERGEFORMAT</w:instrText>
        </w:r>
        <w:r w:rsidRPr="00945F93">
          <w:rPr>
            <w:rFonts w:ascii="Times New Roman" w:hAnsi="Times New Roman" w:cs="Times New Roman"/>
            <w:sz w:val="24"/>
            <w:szCs w:val="24"/>
          </w:rPr>
          <w:fldChar w:fldCharType="separate"/>
        </w:r>
        <w:r w:rsidR="00E87A6D">
          <w:rPr>
            <w:rFonts w:ascii="Times New Roman" w:hAnsi="Times New Roman" w:cs="Times New Roman"/>
            <w:noProof/>
            <w:sz w:val="24"/>
            <w:szCs w:val="24"/>
          </w:rPr>
          <w:t>26</w:t>
        </w:r>
        <w:r w:rsidRPr="00945F93">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CD62D" w14:textId="77777777" w:rsidR="00BC0E7C" w:rsidRDefault="00BC0E7C" w:rsidP="00E837DF">
      <w:pPr>
        <w:spacing w:after="0" w:line="240" w:lineRule="auto"/>
      </w:pPr>
      <w:r>
        <w:separator/>
      </w:r>
    </w:p>
  </w:footnote>
  <w:footnote w:type="continuationSeparator" w:id="0">
    <w:p w14:paraId="7ED1E817" w14:textId="77777777" w:rsidR="00BC0E7C" w:rsidRDefault="00BC0E7C" w:rsidP="00E837DF">
      <w:pPr>
        <w:spacing w:after="0" w:line="240" w:lineRule="auto"/>
      </w:pPr>
      <w:r>
        <w:continuationSeparator/>
      </w:r>
    </w:p>
  </w:footnote>
  <w:footnote w:id="1">
    <w:p w14:paraId="2B1BD568" w14:textId="590EDC3B" w:rsidR="00BC0E7C" w:rsidRPr="00945F93" w:rsidRDefault="00BC0E7C" w:rsidP="00945F93">
      <w:pPr>
        <w:pStyle w:val="Tekstprzypisudolnego"/>
        <w:ind w:left="284" w:hanging="284"/>
        <w:jc w:val="both"/>
        <w:rPr>
          <w:rFonts w:ascii="Times New Roman" w:hAnsi="Times New Roman"/>
        </w:rPr>
      </w:pPr>
      <w:r w:rsidRPr="00300E97">
        <w:rPr>
          <w:rStyle w:val="Odwoanieprzypisudolnego"/>
          <w:rFonts w:ascii="Times New Roman" w:hAnsi="Times New Roman"/>
        </w:rPr>
        <w:footnoteRef/>
      </w:r>
      <w:r>
        <w:rPr>
          <w:rFonts w:ascii="Times New Roman" w:hAnsi="Times New Roman"/>
          <w:vertAlign w:val="superscript"/>
        </w:rPr>
        <w:t>)</w:t>
      </w:r>
      <w:r>
        <w:rPr>
          <w:rFonts w:ascii="Times New Roman" w:hAnsi="Times New Roman"/>
        </w:rPr>
        <w:tab/>
      </w:r>
      <w:r w:rsidRPr="00300E97">
        <w:rPr>
          <w:rFonts w:ascii="Times New Roman" w:hAnsi="Times New Roman"/>
        </w:rPr>
        <w:t>Po raz pierwszy w wyroku E</w:t>
      </w:r>
      <w:r w:rsidRPr="00B40D20">
        <w:rPr>
          <w:rFonts w:ascii="Times New Roman" w:hAnsi="Times New Roman"/>
        </w:rPr>
        <w:t>TS z 23.04.1991 r., C-41/90, Klaus Höfner i</w:t>
      </w:r>
      <w:r>
        <w:rPr>
          <w:rFonts w:ascii="Times New Roman" w:hAnsi="Times New Roman"/>
        </w:rPr>
        <w:t xml:space="preserve"> Fritz Elser V. Macrotron GMBH, </w:t>
      </w:r>
      <w:r>
        <w:rPr>
          <w:rFonts w:ascii="Times New Roman" w:hAnsi="Times New Roman"/>
          <w:lang w:val="en-GB"/>
        </w:rPr>
        <w:t>t</w:t>
      </w:r>
      <w:r w:rsidRPr="00B40D20">
        <w:rPr>
          <w:rFonts w:ascii="Times New Roman" w:hAnsi="Times New Roman"/>
          <w:lang w:val="en-GB"/>
        </w:rPr>
        <w:t>akże wyroki ETS w</w:t>
      </w:r>
      <w:r>
        <w:rPr>
          <w:rFonts w:ascii="Times New Roman" w:hAnsi="Times New Roman"/>
          <w:lang w:val="en-GB"/>
        </w:rPr>
        <w:t xml:space="preserve"> </w:t>
      </w:r>
      <w:r w:rsidRPr="00B40D20">
        <w:rPr>
          <w:rFonts w:ascii="Times New Roman" w:hAnsi="Times New Roman"/>
          <w:lang w:val="en-GB"/>
        </w:rPr>
        <w:t>sprawach: C-159 i</w:t>
      </w:r>
      <w:r>
        <w:rPr>
          <w:rFonts w:ascii="Times New Roman" w:hAnsi="Times New Roman"/>
          <w:lang w:val="en-GB"/>
        </w:rPr>
        <w:t xml:space="preserve"> </w:t>
      </w:r>
      <w:r w:rsidRPr="00B40D20">
        <w:rPr>
          <w:rFonts w:ascii="Times New Roman" w:hAnsi="Times New Roman"/>
          <w:lang w:val="en-GB"/>
        </w:rPr>
        <w:t>160/91 Christian Poucet p. Assurances Générales de France i Caisse Mutuelle Régionale du Languedoc-Roussillon, C-55/96 Job Centre coop. arl., C-67/96, Albany International BV p. Stichting Bedrijfspensioenfonds Textielindustri</w:t>
      </w:r>
      <w:r>
        <w:rPr>
          <w:rFonts w:ascii="Times New Roman" w:hAnsi="Times New Roman"/>
          <w:lang w:val="en-GB"/>
        </w:rPr>
        <w:t>.</w:t>
      </w:r>
    </w:p>
  </w:footnote>
  <w:footnote w:id="2">
    <w:p w14:paraId="65D6BF29" w14:textId="58D5563F" w:rsidR="00BC0E7C" w:rsidRPr="00B40D20" w:rsidRDefault="00BC0E7C" w:rsidP="00945F93">
      <w:pPr>
        <w:pStyle w:val="Tekstprzypisudolnego"/>
        <w:ind w:left="284" w:hanging="284"/>
        <w:jc w:val="both"/>
        <w:rPr>
          <w:rFonts w:ascii="Times New Roman" w:hAnsi="Times New Roman"/>
        </w:rPr>
      </w:pPr>
      <w:r w:rsidRPr="00300E97">
        <w:rPr>
          <w:rStyle w:val="Odwoanieprzypisudolnego"/>
          <w:rFonts w:ascii="Times New Roman" w:hAnsi="Times New Roman"/>
        </w:rPr>
        <w:footnoteRef/>
      </w:r>
      <w:r>
        <w:rPr>
          <w:rFonts w:ascii="Times New Roman" w:hAnsi="Times New Roman"/>
          <w:vertAlign w:val="superscript"/>
        </w:rPr>
        <w:t>)</w:t>
      </w:r>
      <w:r>
        <w:rPr>
          <w:rFonts w:ascii="Times New Roman" w:hAnsi="Times New Roman"/>
        </w:rPr>
        <w:tab/>
      </w:r>
      <w:r w:rsidRPr="00300E97">
        <w:rPr>
          <w:rFonts w:ascii="Times New Roman" w:hAnsi="Times New Roman"/>
        </w:rPr>
        <w:t xml:space="preserve">Wyrok ETS z 14.07.1972 r. w sprawie C-48/69 Imperial Chemical Industries p. Komisji dopuścił możliwość przypisania spółce dominującej odpowiedzialności za działania spółki zależnej w oparciu o koncepcję „single economic unit”, mając na uwadze brak samodzielności spółki zależnej oraz okoliczność, że we wszystkich sferach działalności wykonuje ona instrukcje spółki dominującej, która wywiera na nią decydujący wpływ. Doktryna znalazła także </w:t>
      </w:r>
      <w:r w:rsidRPr="00B40D20">
        <w:rPr>
          <w:rFonts w:ascii="Times New Roman" w:hAnsi="Times New Roman"/>
        </w:rPr>
        <w:t>odzwierciedlenie w kontekście wyłączenia kooperacji wewnątrz grupy kapitałowej spod art. 101 TFUE. Taka definicja przedsiębiorstwa potwierdzona także m.in. w wyroku ETS z 24.10.1996</w:t>
      </w:r>
      <w:r>
        <w:rPr>
          <w:rFonts w:ascii="Times New Roman" w:hAnsi="Times New Roman"/>
        </w:rPr>
        <w:t> </w:t>
      </w:r>
      <w:r w:rsidRPr="00B40D20">
        <w:rPr>
          <w:rFonts w:ascii="Times New Roman" w:hAnsi="Times New Roman"/>
        </w:rPr>
        <w:t>r. w sprawie C-73/95 Viho Europe p. Komisji oraz w Wytycznych Komisji Europejskiej w sprawie stosowania art. 101 Traktatu o Funkcjonowaniu Unii Europejskiej do horyzontalnych porozumień kooperacyjnych.</w:t>
      </w:r>
    </w:p>
  </w:footnote>
  <w:footnote w:id="3">
    <w:p w14:paraId="7A707390" w14:textId="5FD07286" w:rsidR="00BC0E7C" w:rsidRPr="00300E97" w:rsidRDefault="00BC0E7C" w:rsidP="00945F93">
      <w:pPr>
        <w:pStyle w:val="Tekstprzypisudolnego"/>
        <w:ind w:left="284" w:hanging="284"/>
        <w:jc w:val="both"/>
        <w:rPr>
          <w:rFonts w:ascii="Times New Roman" w:hAnsi="Times New Roman"/>
        </w:rPr>
      </w:pPr>
      <w:r w:rsidRPr="00300E97">
        <w:rPr>
          <w:rStyle w:val="Odwoanieprzypisudolnego"/>
          <w:rFonts w:ascii="Times New Roman" w:hAnsi="Times New Roman"/>
        </w:rPr>
        <w:footnoteRef/>
      </w:r>
      <w:r>
        <w:rPr>
          <w:rFonts w:ascii="Times New Roman" w:hAnsi="Times New Roman"/>
          <w:vertAlign w:val="superscript"/>
        </w:rPr>
        <w:t>)</w:t>
      </w:r>
      <w:r>
        <w:rPr>
          <w:rFonts w:ascii="Times New Roman" w:hAnsi="Times New Roman"/>
        </w:rPr>
        <w:tab/>
      </w:r>
      <w:r w:rsidRPr="00300E97">
        <w:rPr>
          <w:rFonts w:ascii="Times New Roman" w:hAnsi="Times New Roman"/>
        </w:rPr>
        <w:t xml:space="preserve">Wyrok </w:t>
      </w:r>
      <w:r>
        <w:rPr>
          <w:rFonts w:ascii="Times New Roman" w:hAnsi="Times New Roman"/>
        </w:rPr>
        <w:t xml:space="preserve">Sądu </w:t>
      </w:r>
      <w:r w:rsidRPr="00300E97">
        <w:rPr>
          <w:rFonts w:ascii="Times New Roman" w:hAnsi="Times New Roman"/>
        </w:rPr>
        <w:t>z 14.07.2011</w:t>
      </w:r>
      <w:r>
        <w:rPr>
          <w:rFonts w:ascii="Times New Roman" w:hAnsi="Times New Roman"/>
        </w:rPr>
        <w:t xml:space="preserve"> </w:t>
      </w:r>
      <w:r w:rsidRPr="00300E97">
        <w:rPr>
          <w:rFonts w:ascii="Times New Roman" w:hAnsi="Times New Roman"/>
        </w:rPr>
        <w:t>r. w sprawie T‑190/06 Total SA i Elf Aquitaine SA p. Komisji.</w:t>
      </w:r>
    </w:p>
  </w:footnote>
  <w:footnote w:id="4">
    <w:p w14:paraId="470E5C30" w14:textId="75776759" w:rsidR="00BC0E7C" w:rsidRPr="00B40D20" w:rsidRDefault="00BC0E7C" w:rsidP="00945F93">
      <w:pPr>
        <w:pStyle w:val="Tekstprzypisudolnego"/>
        <w:ind w:left="284" w:hanging="284"/>
        <w:jc w:val="both"/>
        <w:rPr>
          <w:rFonts w:ascii="Times New Roman" w:hAnsi="Times New Roman"/>
        </w:rPr>
      </w:pPr>
      <w:r w:rsidRPr="00300E97">
        <w:rPr>
          <w:rStyle w:val="Odwoanieprzypisudolnego"/>
          <w:rFonts w:ascii="Times New Roman" w:hAnsi="Times New Roman"/>
        </w:rPr>
        <w:footnoteRef/>
      </w:r>
      <w:r>
        <w:rPr>
          <w:rFonts w:ascii="Times New Roman" w:hAnsi="Times New Roman"/>
          <w:vertAlign w:val="superscript"/>
        </w:rPr>
        <w:t>)</w:t>
      </w:r>
      <w:r>
        <w:rPr>
          <w:rFonts w:ascii="Times New Roman" w:hAnsi="Times New Roman"/>
        </w:rPr>
        <w:tab/>
      </w:r>
      <w:r w:rsidRPr="00300E97">
        <w:rPr>
          <w:rFonts w:ascii="Times New Roman" w:hAnsi="Times New Roman"/>
        </w:rPr>
        <w:t>Przesłanka decydującego wpływu została potwierdzona w wyroku w sprawie 107/82 Allgemeine Elektrizitäts-Gesellscha</w:t>
      </w:r>
      <w:r w:rsidRPr="00B40D20">
        <w:rPr>
          <w:rFonts w:ascii="Times New Roman" w:hAnsi="Times New Roman"/>
        </w:rPr>
        <w:t>ft AEG-Telefunken p. Komisji i jest obecnie ugruntowana w orzecznictwie TSUE – patrz np. wyrok Sądu z 28.10.2020</w:t>
      </w:r>
      <w:r>
        <w:rPr>
          <w:rFonts w:ascii="Times New Roman" w:hAnsi="Times New Roman"/>
        </w:rPr>
        <w:t xml:space="preserve"> </w:t>
      </w:r>
      <w:r w:rsidRPr="00B40D20">
        <w:rPr>
          <w:rFonts w:ascii="Times New Roman" w:hAnsi="Times New Roman"/>
        </w:rPr>
        <w:t>r. Pirelli &amp; C. SpA</w:t>
      </w:r>
      <w:bookmarkStart w:id="0" w:name="_GoBack"/>
      <w:bookmarkEnd w:id="0"/>
      <w:r w:rsidRPr="00B40D20">
        <w:rPr>
          <w:rFonts w:ascii="Times New Roman" w:hAnsi="Times New Roman"/>
        </w:rPr>
        <w:t xml:space="preserve"> p. Komisja Europejska C-611/18 P i cytowane w nim orzecznictwo.</w:t>
      </w:r>
    </w:p>
  </w:footnote>
  <w:footnote w:id="5">
    <w:p w14:paraId="0CF38777" w14:textId="5F582CE6" w:rsidR="00BC0E7C" w:rsidRPr="00300E97" w:rsidRDefault="00BC0E7C" w:rsidP="00945F93">
      <w:pPr>
        <w:pStyle w:val="Tekstprzypisudolnego"/>
        <w:ind w:left="284" w:hanging="284"/>
        <w:jc w:val="both"/>
        <w:rPr>
          <w:rFonts w:ascii="Times New Roman" w:hAnsi="Times New Roman"/>
        </w:rPr>
      </w:pPr>
      <w:r w:rsidRPr="00300E97">
        <w:rPr>
          <w:rStyle w:val="Odwoanieprzypisudolnego"/>
          <w:rFonts w:ascii="Times New Roman" w:hAnsi="Times New Roman"/>
        </w:rPr>
        <w:footnoteRef/>
      </w:r>
      <w:r>
        <w:rPr>
          <w:rFonts w:ascii="Times New Roman" w:hAnsi="Times New Roman"/>
          <w:vertAlign w:val="superscript"/>
        </w:rPr>
        <w:t>)</w:t>
      </w:r>
      <w:r>
        <w:rPr>
          <w:rFonts w:ascii="Times New Roman" w:hAnsi="Times New Roman"/>
        </w:rPr>
        <w:tab/>
      </w:r>
      <w:r w:rsidRPr="00300E97">
        <w:rPr>
          <w:rFonts w:ascii="Times New Roman" w:hAnsi="Times New Roman"/>
        </w:rPr>
        <w:t>Wyrok ETS z 14.07.1972 r. w sprawie C-48/69 Imperial Chemical Industries p. Komisji</w:t>
      </w:r>
      <w:r>
        <w:rPr>
          <w:rFonts w:ascii="Times New Roman" w:hAnsi="Times New Roman"/>
        </w:rPr>
        <w:t>.</w:t>
      </w:r>
    </w:p>
  </w:footnote>
  <w:footnote w:id="6">
    <w:p w14:paraId="75A09487" w14:textId="7BA8A107" w:rsidR="00BC0E7C" w:rsidRPr="00B40D20" w:rsidRDefault="00BC0E7C" w:rsidP="00945F93">
      <w:pPr>
        <w:pStyle w:val="Tekstprzypisudolnego"/>
        <w:ind w:left="284" w:hanging="284"/>
        <w:jc w:val="both"/>
        <w:rPr>
          <w:rFonts w:ascii="Times New Roman" w:hAnsi="Times New Roman"/>
        </w:rPr>
      </w:pPr>
      <w:r w:rsidRPr="00300E97">
        <w:rPr>
          <w:rStyle w:val="Odwoanieprzypisudolnego"/>
          <w:rFonts w:ascii="Times New Roman" w:hAnsi="Times New Roman"/>
        </w:rPr>
        <w:footnoteRef/>
      </w:r>
      <w:r>
        <w:rPr>
          <w:rFonts w:ascii="Times New Roman" w:hAnsi="Times New Roman"/>
          <w:vertAlign w:val="superscript"/>
        </w:rPr>
        <w:t>)</w:t>
      </w:r>
      <w:r>
        <w:rPr>
          <w:rFonts w:ascii="Times New Roman" w:hAnsi="Times New Roman"/>
        </w:rPr>
        <w:tab/>
      </w:r>
      <w:r w:rsidRPr="00300E97">
        <w:rPr>
          <w:rFonts w:ascii="Times New Roman" w:hAnsi="Times New Roman"/>
        </w:rPr>
        <w:t xml:space="preserve">Domniemanie zostało ostatecznie potwierdzone w wyroku ETS z 10.09.2009 r. w sprawie C-97/08 P, Akzo Nobel i inni p. Komisji, wcześniej w </w:t>
      </w:r>
      <w:r w:rsidRPr="00B40D20">
        <w:rPr>
          <w:rFonts w:ascii="Times New Roman" w:hAnsi="Times New Roman"/>
        </w:rPr>
        <w:t>wyroku ETS z 16.11.2000 r. w sprawie C-286/98 P Mo och Domsjö p. Komisji wyrok ETS z 28.10.1983 r.</w:t>
      </w:r>
    </w:p>
  </w:footnote>
  <w:footnote w:id="7">
    <w:p w14:paraId="742ED83C" w14:textId="67841F7F" w:rsidR="00BC0E7C" w:rsidRPr="00B40D20" w:rsidRDefault="00BC0E7C" w:rsidP="00945F93">
      <w:pPr>
        <w:pStyle w:val="Tekstprzypisudolnego"/>
        <w:ind w:left="284" w:hanging="284"/>
        <w:jc w:val="both"/>
        <w:rPr>
          <w:rFonts w:ascii="Times New Roman" w:hAnsi="Times New Roman"/>
        </w:rPr>
      </w:pPr>
      <w:r w:rsidRPr="00300E97">
        <w:rPr>
          <w:rStyle w:val="Odwoanieprzypisudolnego"/>
          <w:rFonts w:ascii="Times New Roman" w:hAnsi="Times New Roman"/>
        </w:rPr>
        <w:footnoteRef/>
      </w:r>
      <w:r>
        <w:rPr>
          <w:rFonts w:ascii="Times New Roman" w:hAnsi="Times New Roman"/>
          <w:vertAlign w:val="superscript"/>
        </w:rPr>
        <w:t>)</w:t>
      </w:r>
      <w:r>
        <w:rPr>
          <w:rFonts w:ascii="Times New Roman" w:hAnsi="Times New Roman"/>
        </w:rPr>
        <w:tab/>
      </w:r>
      <w:r w:rsidRPr="00300E97">
        <w:rPr>
          <w:rFonts w:ascii="Times New Roman" w:hAnsi="Times New Roman"/>
        </w:rPr>
        <w:t>Domniemanie może być obalone, lecz w praktyce jest to niezmiernie trudne. Aby obalić domniemanie</w:t>
      </w:r>
      <w:r>
        <w:rPr>
          <w:rFonts w:ascii="Times New Roman" w:hAnsi="Times New Roman"/>
        </w:rPr>
        <w:t>,</w:t>
      </w:r>
      <w:r w:rsidRPr="00300E97">
        <w:rPr>
          <w:rFonts w:ascii="Times New Roman" w:hAnsi="Times New Roman"/>
        </w:rPr>
        <w:t xml:space="preserve"> spółki muszą dostarczyć dowody wskazujące na autonomię spółki zależnej.</w:t>
      </w:r>
      <w:r>
        <w:rPr>
          <w:rFonts w:ascii="Times New Roman" w:hAnsi="Times New Roman"/>
        </w:rPr>
        <w:t xml:space="preserve"> </w:t>
      </w:r>
      <w:r w:rsidRPr="00300E97">
        <w:rPr>
          <w:rFonts w:ascii="Times New Roman" w:hAnsi="Times New Roman"/>
        </w:rPr>
        <w:t>Bez znaczenia dla obalenia domniemania będzie wykazanie, ż</w:t>
      </w:r>
      <w:r>
        <w:rPr>
          <w:rFonts w:ascii="Times New Roman" w:hAnsi="Times New Roman"/>
        </w:rPr>
        <w:t>e</w:t>
      </w:r>
      <w:r w:rsidRPr="00300E97">
        <w:rPr>
          <w:rFonts w:ascii="Times New Roman" w:hAnsi="Times New Roman"/>
        </w:rPr>
        <w:t xml:space="preserve"> spółka dominująca nie brała udziału w narus</w:t>
      </w:r>
      <w:r>
        <w:rPr>
          <w:rFonts w:ascii="Times New Roman" w:hAnsi="Times New Roman"/>
        </w:rPr>
        <w:t>zeniu czy nawet nie wiedziała o </w:t>
      </w:r>
      <w:r w:rsidRPr="00300E97">
        <w:rPr>
          <w:rFonts w:ascii="Times New Roman" w:hAnsi="Times New Roman"/>
        </w:rPr>
        <w:t>zachowaniach noszących znamiona naruszenia prawa konkurencji.</w:t>
      </w:r>
      <w:r>
        <w:rPr>
          <w:rFonts w:ascii="Times New Roman" w:hAnsi="Times New Roman"/>
        </w:rPr>
        <w:t xml:space="preserve"> </w:t>
      </w:r>
      <w:r w:rsidRPr="00300E97">
        <w:rPr>
          <w:rFonts w:ascii="Times New Roman" w:hAnsi="Times New Roman"/>
        </w:rPr>
        <w:t xml:space="preserve">Wynika to z faktu, że domniemanie wywierania decydującego wpływu nie jest domniemaniem winy/udziału w naruszeniu (wówczas do obalenia </w:t>
      </w:r>
      <w:r w:rsidRPr="00B40D20">
        <w:rPr>
          <w:rFonts w:ascii="Times New Roman" w:hAnsi="Times New Roman"/>
        </w:rPr>
        <w:t>potrzebne byłoby udowodnienie, że podmiot nie brał w nim udziału). Odpowiedzialność spółki dominującej jest niezależna od zaangażowania</w:t>
      </w:r>
      <w:r>
        <w:rPr>
          <w:rFonts w:ascii="Times New Roman" w:hAnsi="Times New Roman"/>
        </w:rPr>
        <w:t xml:space="preserve"> </w:t>
      </w:r>
      <w:r w:rsidRPr="00B40D20">
        <w:rPr>
          <w:rFonts w:ascii="Times New Roman" w:hAnsi="Times New Roman"/>
        </w:rPr>
        <w:t>w kartelu czy nawet świadomości naruszenia. Dzięki domniemaniu decydującego wpływu nie udowadniamy, że spółka matka brała udział w naruszeniu, jedynie, że formalnie jest częścią podmiotu biorącego udział w naruszeniu. Jakakolwiek forma winy po stronie spółki matki nie jest konieczna do nałożenia grzywny ani nie</w:t>
      </w:r>
      <w:r>
        <w:rPr>
          <w:rFonts w:ascii="Times New Roman" w:hAnsi="Times New Roman"/>
        </w:rPr>
        <w:t xml:space="preserve"> </w:t>
      </w:r>
      <w:r w:rsidRPr="00B40D20">
        <w:rPr>
          <w:rFonts w:ascii="Times New Roman" w:hAnsi="Times New Roman"/>
        </w:rPr>
        <w:t>leży u podstaw nałożenia grzywny na spółkę dominującą.</w:t>
      </w:r>
    </w:p>
  </w:footnote>
  <w:footnote w:id="8">
    <w:p w14:paraId="3801A4F0" w14:textId="2644B955" w:rsidR="00BC0E7C" w:rsidRPr="00945F93" w:rsidRDefault="00BC0E7C" w:rsidP="00CE568B">
      <w:pPr>
        <w:pStyle w:val="Tekstprzypisudolnego"/>
        <w:ind w:left="284" w:hanging="284"/>
        <w:jc w:val="both"/>
        <w:rPr>
          <w:rFonts w:ascii="Times New Roman" w:hAnsi="Times New Roman"/>
        </w:rPr>
      </w:pPr>
      <w:r w:rsidRPr="00945F93">
        <w:rPr>
          <w:rStyle w:val="Odwoanieprzypisudolnego"/>
          <w:rFonts w:ascii="Times New Roman" w:hAnsi="Times New Roman"/>
        </w:rPr>
        <w:footnoteRef/>
      </w:r>
      <w:r w:rsidRPr="00945F93">
        <w:rPr>
          <w:rFonts w:ascii="Times New Roman" w:hAnsi="Times New Roman"/>
          <w:vertAlign w:val="superscript"/>
        </w:rPr>
        <w:t>)</w:t>
      </w:r>
      <w:r w:rsidRPr="00945F93">
        <w:rPr>
          <w:rFonts w:ascii="Times New Roman" w:hAnsi="Times New Roman"/>
        </w:rPr>
        <w:tab/>
        <w:t>Decyzja KE z 19 stycznia 2005 r.</w:t>
      </w:r>
      <w:r>
        <w:rPr>
          <w:rFonts w:ascii="Times New Roman" w:hAnsi="Times New Roman"/>
        </w:rPr>
        <w:t xml:space="preserve"> </w:t>
      </w:r>
      <w:r w:rsidRPr="00945F93">
        <w:rPr>
          <w:rFonts w:ascii="Times New Roman" w:hAnsi="Times New Roman"/>
        </w:rPr>
        <w:t>(COMP/E-1/.37.773 – MCAA) – udział 98%; wyrok SPI z dnia 30 września 2003 r. w sprawie T-203/01 Michelin przeciwko Komisji, par. 290 – udział „więcej niż 99%”;wyrok Sądu UE z 14 lipca 2011 r. w sprawie T‑190/06 Total SA i Elf Aquitaine SA przeciwko KE,</w:t>
      </w:r>
      <w:r>
        <w:rPr>
          <w:rFonts w:ascii="Times New Roman" w:hAnsi="Times New Roman"/>
        </w:rPr>
        <w:t xml:space="preserve"> </w:t>
      </w:r>
      <w:r w:rsidRPr="00945F93">
        <w:rPr>
          <w:rFonts w:ascii="Times New Roman" w:hAnsi="Times New Roman"/>
        </w:rPr>
        <w:t>par 53</w:t>
      </w:r>
      <w:r>
        <w:rPr>
          <w:rFonts w:ascii="Times New Roman" w:hAnsi="Times New Roman"/>
        </w:rPr>
        <w:t>–</w:t>
      </w:r>
      <w:r w:rsidRPr="00945F93">
        <w:rPr>
          <w:rFonts w:ascii="Times New Roman" w:hAnsi="Times New Roman"/>
        </w:rPr>
        <w:t>56 i 2 – udział 96,48%; wyrok Sądu UE z 7 czerwca 2011 r. w sprawie T‑217/06 Arkema France i in</w:t>
      </w:r>
      <w:r>
        <w:rPr>
          <w:rFonts w:ascii="Times New Roman" w:hAnsi="Times New Roman"/>
        </w:rPr>
        <w:t>. przeciwko KE – par </w:t>
      </w:r>
      <w:r w:rsidRPr="00945F93">
        <w:rPr>
          <w:rFonts w:ascii="Times New Roman" w:hAnsi="Times New Roman"/>
        </w:rPr>
        <w:t>51</w:t>
      </w:r>
      <w:r>
        <w:rPr>
          <w:rFonts w:ascii="Times New Roman" w:hAnsi="Times New Roman"/>
        </w:rPr>
        <w:t>–</w:t>
      </w:r>
      <w:r w:rsidRPr="00945F93">
        <w:rPr>
          <w:rFonts w:ascii="Times New Roman" w:hAnsi="Times New Roman"/>
        </w:rPr>
        <w:t>53 i 2 – udział 97,6%; wyrok Sądu UE z 27 września 2012 r. w sprawie T-344/06 Total przeciwko KE par.</w:t>
      </w:r>
      <w:r>
        <w:rPr>
          <w:rFonts w:ascii="Times New Roman" w:hAnsi="Times New Roman"/>
        </w:rPr>
        <w:t> </w:t>
      </w:r>
      <w:r w:rsidRPr="00945F93">
        <w:rPr>
          <w:rFonts w:ascii="Times New Roman" w:hAnsi="Times New Roman"/>
        </w:rPr>
        <w:t>38 – udział 99,73 %; wyrok TSUE z dnia 8 maja 2013 r. w sprawie C-508/11 P ENI przeciwko KE par. 47–49 – udział</w:t>
      </w:r>
      <w:r>
        <w:rPr>
          <w:rFonts w:ascii="Times New Roman" w:hAnsi="Times New Roman"/>
        </w:rPr>
        <w:t xml:space="preserve"> </w:t>
      </w:r>
      <w:r w:rsidRPr="00945F93">
        <w:rPr>
          <w:rFonts w:ascii="Times New Roman" w:hAnsi="Times New Roman"/>
        </w:rPr>
        <w:t>99,97% ;</w:t>
      </w:r>
    </w:p>
  </w:footnote>
  <w:footnote w:id="9">
    <w:p w14:paraId="196CE3FC" w14:textId="5B8B0DFB" w:rsidR="00BC0E7C" w:rsidRPr="00945F93" w:rsidRDefault="00BC0E7C" w:rsidP="00424927">
      <w:pPr>
        <w:pStyle w:val="Tekstprzypisudolnego"/>
        <w:ind w:left="284" w:hanging="284"/>
        <w:jc w:val="both"/>
        <w:rPr>
          <w:rFonts w:ascii="Times New Roman" w:hAnsi="Times New Roman"/>
        </w:rPr>
      </w:pPr>
      <w:r w:rsidRPr="00945F93">
        <w:rPr>
          <w:rStyle w:val="Odwoanieprzypisudolnego"/>
          <w:rFonts w:ascii="Times New Roman" w:hAnsi="Times New Roman"/>
        </w:rPr>
        <w:footnoteRef/>
      </w:r>
      <w:r w:rsidRPr="00945F93">
        <w:rPr>
          <w:rFonts w:ascii="Times New Roman" w:hAnsi="Times New Roman"/>
          <w:vertAlign w:val="superscript"/>
        </w:rPr>
        <w:t>)</w:t>
      </w:r>
      <w:r>
        <w:rPr>
          <w:rFonts w:ascii="Times New Roman" w:hAnsi="Times New Roman"/>
        </w:rPr>
        <w:tab/>
      </w:r>
      <w:r w:rsidRPr="00945F93">
        <w:rPr>
          <w:rFonts w:ascii="Times New Roman" w:hAnsi="Times New Roman"/>
        </w:rPr>
        <w:t xml:space="preserve">Wyrok Trybunału z 10 września 2009 r w sprawie C-97/08 P </w:t>
      </w:r>
      <w:r>
        <w:rPr>
          <w:rFonts w:ascii="Times New Roman" w:hAnsi="Times New Roman"/>
        </w:rPr>
        <w:t>–</w:t>
      </w:r>
      <w:r w:rsidRPr="00945F93">
        <w:rPr>
          <w:rFonts w:ascii="Times New Roman" w:hAnsi="Times New Roman"/>
        </w:rPr>
        <w:t xml:space="preserve"> Akzo Nobel i in. przeciwko Komisji ustanawiający przedmiotowe domniemanie odnosi się do kapitału (ang. capital,) lub udziałów (shareholding), podobnie wyrok Trybunału z 29 marca 2011 r. w sprawie C-201/09 P </w:t>
      </w:r>
      <w:r>
        <w:rPr>
          <w:rFonts w:ascii="Times New Roman" w:hAnsi="Times New Roman"/>
        </w:rPr>
        <w:t>–</w:t>
      </w:r>
      <w:r w:rsidRPr="00945F93">
        <w:rPr>
          <w:rFonts w:ascii="Times New Roman" w:hAnsi="Times New Roman"/>
        </w:rPr>
        <w:t xml:space="preserve"> ArcelorMittal Luxembourg przeciwko Komisji. Jednocześnie część wyroków posługuje się pojęciem kapitału zakładowego (share capital) zamiennie z pojęciem kapitał (capital) np. Wyrok Trybunału z 27 stycznia 2021 </w:t>
      </w:r>
      <w:r>
        <w:rPr>
          <w:rFonts w:ascii="Times New Roman" w:hAnsi="Times New Roman"/>
        </w:rPr>
        <w:t xml:space="preserve">r. </w:t>
      </w:r>
      <w:r w:rsidRPr="00945F93">
        <w:rPr>
          <w:rFonts w:ascii="Times New Roman" w:hAnsi="Times New Roman"/>
        </w:rPr>
        <w:t>w sprawie</w:t>
      </w:r>
      <w:r>
        <w:rPr>
          <w:rFonts w:ascii="Times New Roman" w:hAnsi="Times New Roman"/>
        </w:rPr>
        <w:t xml:space="preserve"> </w:t>
      </w:r>
      <w:r w:rsidRPr="00945F93">
        <w:rPr>
          <w:rFonts w:ascii="Times New Roman" w:hAnsi="Times New Roman"/>
        </w:rPr>
        <w:t xml:space="preserve">C-595/18 P The Goldman Sachs Group przeciwko Komisji, Wyrok Trybunału z 20 stycznia 2011 r. w sprawie C-90/09 P </w:t>
      </w:r>
      <w:r>
        <w:rPr>
          <w:rFonts w:ascii="Times New Roman" w:hAnsi="Times New Roman"/>
        </w:rPr>
        <w:t>–</w:t>
      </w:r>
      <w:r w:rsidRPr="00945F93">
        <w:rPr>
          <w:rFonts w:ascii="Times New Roman" w:hAnsi="Times New Roman"/>
        </w:rPr>
        <w:t xml:space="preserve"> General Química and Others przeciwko Komisji.</w:t>
      </w:r>
    </w:p>
  </w:footnote>
  <w:footnote w:id="10">
    <w:p w14:paraId="6C15D6A5" w14:textId="42AC824B" w:rsidR="00BC0E7C" w:rsidRPr="00D728EF" w:rsidRDefault="00BC0E7C" w:rsidP="00945F93">
      <w:pPr>
        <w:pStyle w:val="Tekstprzypisudolnego"/>
        <w:ind w:left="284" w:hanging="284"/>
        <w:jc w:val="both"/>
        <w:rPr>
          <w:rFonts w:ascii="Times New Roman" w:hAnsi="Times New Roman"/>
        </w:rPr>
      </w:pPr>
      <w:r w:rsidRPr="00D728EF">
        <w:rPr>
          <w:rStyle w:val="Odwoanieprzypisudolnego"/>
          <w:rFonts w:ascii="Times New Roman" w:hAnsi="Times New Roman"/>
        </w:rPr>
        <w:footnoteRef/>
      </w:r>
      <w:r>
        <w:rPr>
          <w:rFonts w:ascii="Times New Roman" w:hAnsi="Times New Roman"/>
          <w:vertAlign w:val="superscript"/>
        </w:rPr>
        <w:t>)</w:t>
      </w:r>
      <w:r>
        <w:rPr>
          <w:rFonts w:ascii="Times New Roman" w:hAnsi="Times New Roman"/>
        </w:rPr>
        <w:tab/>
        <w:t>W</w:t>
      </w:r>
      <w:r w:rsidRPr="00D728EF">
        <w:rPr>
          <w:rFonts w:ascii="Times New Roman" w:hAnsi="Times New Roman"/>
        </w:rPr>
        <w:t xml:space="preserve">yrok Sądu Najwyższego z 15 lutego 2019 r. (I NSK 10/18), w którym </w:t>
      </w:r>
      <w:r>
        <w:rPr>
          <w:rFonts w:ascii="Times New Roman" w:hAnsi="Times New Roman"/>
        </w:rPr>
        <w:t>Sąd Najwyższy potwierdził, że w </w:t>
      </w:r>
      <w:r w:rsidRPr="00D728EF">
        <w:rPr>
          <w:rFonts w:ascii="Times New Roman" w:hAnsi="Times New Roman"/>
        </w:rPr>
        <w:t>sprawach dotyczących porozumień jest możliwe wszczęcie i stwierdzenie naruszenia jedynie wobec organizatora naruszenia. Projektowane rozwiązanie stanowi zastosowanie podobnego podejścia i przesądzenie o nim wprost w ustawie w odniesieniu do szczególnej kategorii spraw, tj. tych mogących potencjalnie dotyczyć spółek wywierających decydujący wpływ.</w:t>
      </w:r>
      <w:r>
        <w:rPr>
          <w:rFonts w:ascii="Times New Roman" w:hAnsi="Times New Roman"/>
        </w:rPr>
        <w:t xml:space="preserve"> Por. </w:t>
      </w:r>
      <w:r w:rsidRPr="00300E97">
        <w:rPr>
          <w:rFonts w:ascii="Times New Roman" w:hAnsi="Times New Roman"/>
        </w:rPr>
        <w:t>Wyrok SN</w:t>
      </w:r>
      <w:r w:rsidRPr="00B40D20">
        <w:rPr>
          <w:rFonts w:ascii="Times New Roman" w:hAnsi="Times New Roman"/>
        </w:rPr>
        <w:t xml:space="preserve"> z.4.10.2017</w:t>
      </w:r>
      <w:r>
        <w:rPr>
          <w:rFonts w:ascii="Times New Roman" w:hAnsi="Times New Roman"/>
        </w:rPr>
        <w:t xml:space="preserve"> </w:t>
      </w:r>
      <w:r w:rsidRPr="00B40D20">
        <w:rPr>
          <w:rFonts w:ascii="Times New Roman" w:hAnsi="Times New Roman"/>
        </w:rPr>
        <w:t xml:space="preserve">r. , III SK 47/16, </w:t>
      </w:r>
      <w:r w:rsidRPr="00B40D20">
        <w:rPr>
          <w:rFonts w:ascii="Times New Roman" w:hAnsi="Times New Roman"/>
          <w:color w:val="333333"/>
          <w:shd w:val="clear" w:color="auto" w:fill="FFFFFF"/>
        </w:rPr>
        <w:t>Wyro</w:t>
      </w:r>
      <w:r>
        <w:rPr>
          <w:rFonts w:ascii="Times New Roman" w:hAnsi="Times New Roman"/>
          <w:color w:val="333333"/>
          <w:shd w:val="clear" w:color="auto" w:fill="FFFFFF"/>
        </w:rPr>
        <w:t>k SN z 5.12.2019 r., I NSK 1/19.</w:t>
      </w:r>
    </w:p>
  </w:footnote>
  <w:footnote w:id="11">
    <w:p w14:paraId="709B4164" w14:textId="7B5C7294" w:rsidR="00BC0E7C" w:rsidRPr="00945F93" w:rsidRDefault="00BC0E7C" w:rsidP="00945F93">
      <w:pPr>
        <w:pStyle w:val="Tekstprzypisudolnego"/>
        <w:ind w:left="284" w:hanging="284"/>
        <w:jc w:val="both"/>
        <w:rPr>
          <w:rFonts w:ascii="Times New Roman" w:hAnsi="Times New Roman"/>
          <w:color w:val="000000"/>
          <w:lang w:val="en-GB"/>
        </w:rPr>
      </w:pPr>
      <w:r w:rsidRPr="00B40D20">
        <w:rPr>
          <w:rStyle w:val="Odwoanieprzypisudolnego"/>
          <w:rFonts w:ascii="Times New Roman" w:hAnsi="Times New Roman"/>
        </w:rPr>
        <w:footnoteRef/>
      </w:r>
      <w:r>
        <w:rPr>
          <w:rFonts w:ascii="Times New Roman" w:hAnsi="Times New Roman"/>
          <w:vertAlign w:val="superscript"/>
          <w:lang w:val="en-GB"/>
        </w:rPr>
        <w:t>)</w:t>
      </w:r>
      <w:r>
        <w:rPr>
          <w:rFonts w:ascii="Times New Roman" w:hAnsi="Times New Roman"/>
          <w:lang w:val="en-GB"/>
        </w:rPr>
        <w:tab/>
      </w:r>
      <w:r w:rsidRPr="00FF5E55">
        <w:rPr>
          <w:rFonts w:ascii="Times New Roman" w:hAnsi="Times New Roman"/>
          <w:color w:val="000000"/>
          <w:lang w:val="en-GB"/>
        </w:rPr>
        <w:t>Wyrok TSUE z 11 lipca 2013 r C</w:t>
      </w:r>
      <w:r w:rsidRPr="00FF5E55">
        <w:rPr>
          <w:rFonts w:ascii="Times New Roman" w:hAnsi="Times New Roman"/>
          <w:color w:val="000000"/>
          <w:lang w:val="en-GB"/>
        </w:rPr>
        <w:noBreakHyphen/>
        <w:t>444/11 P, pkt 159</w:t>
      </w:r>
      <w:r w:rsidRPr="00FF5E55">
        <w:rPr>
          <w:rFonts w:ascii="Times New Roman" w:hAnsi="Times New Roman"/>
          <w:lang w:val="en-GB"/>
        </w:rPr>
        <w:t xml:space="preserve"> </w:t>
      </w:r>
      <w:r w:rsidRPr="00FF5E55">
        <w:rPr>
          <w:rFonts w:ascii="Times New Roman" w:hAnsi="Times New Roman"/>
          <w:i/>
          <w:color w:val="000000"/>
          <w:lang w:val="en-GB"/>
        </w:rPr>
        <w:t>It thus follows both from Article 23(2)(a) of Regulation No 1/2003 2004 and from the case-law referred to in the preceding paragraphs that, while the Commission may impose fines on undertakings which infringe Article 81 EC and may, where the necessary conditions are satisfied, impute responsibility for the offending conduct of a subsidiary to its parent, these are mere options</w:t>
      </w:r>
      <w:r>
        <w:rPr>
          <w:rFonts w:ascii="Times New Roman" w:hAnsi="Times New Roman"/>
          <w:i/>
          <w:color w:val="000000"/>
          <w:lang w:val="en-GB"/>
        </w:rPr>
        <w:t>;</w:t>
      </w:r>
      <w:r w:rsidRPr="00FF5E55">
        <w:rPr>
          <w:rFonts w:ascii="Times New Roman" w:hAnsi="Times New Roman"/>
          <w:color w:val="000000"/>
          <w:lang w:val="en-GB"/>
        </w:rPr>
        <w:t xml:space="preserve"> </w:t>
      </w:r>
      <w:r w:rsidRPr="00FF5E55">
        <w:rPr>
          <w:rFonts w:ascii="Times New Roman" w:hAnsi="Times New Roman"/>
          <w:iCs/>
          <w:color w:val="000000"/>
          <w:lang w:val="en-GB"/>
        </w:rPr>
        <w:t xml:space="preserve">Wyrok TSUE z 24 września 2009 r. C-125/07 (potwierdzone </w:t>
      </w:r>
      <w:r w:rsidRPr="00FF5E55">
        <w:rPr>
          <w:rFonts w:ascii="Times New Roman" w:hAnsi="Times New Roman"/>
          <w:color w:val="000000"/>
          <w:lang w:val="en-GB"/>
        </w:rPr>
        <w:t>C</w:t>
      </w:r>
      <w:r w:rsidRPr="00FF5E55">
        <w:rPr>
          <w:rFonts w:ascii="Times New Roman" w:hAnsi="Times New Roman"/>
          <w:color w:val="000000"/>
          <w:lang w:val="en-GB"/>
        </w:rPr>
        <w:noBreakHyphen/>
        <w:t>125</w:t>
      </w:r>
      <w:r>
        <w:rPr>
          <w:rFonts w:ascii="Times New Roman" w:hAnsi="Times New Roman"/>
          <w:color w:val="000000"/>
          <w:lang w:val="en-GB"/>
        </w:rPr>
        <w:t>/07 P, C</w:t>
      </w:r>
      <w:r>
        <w:rPr>
          <w:rFonts w:ascii="Times New Roman" w:hAnsi="Times New Roman"/>
          <w:color w:val="000000"/>
          <w:lang w:val="en-GB"/>
        </w:rPr>
        <w:noBreakHyphen/>
        <w:t>133/07 P, C</w:t>
      </w:r>
      <w:r>
        <w:rPr>
          <w:rFonts w:ascii="Times New Roman" w:hAnsi="Times New Roman"/>
          <w:color w:val="000000"/>
          <w:lang w:val="en-GB"/>
        </w:rPr>
        <w:noBreakHyphen/>
        <w:t>135/07 P I </w:t>
      </w:r>
      <w:r w:rsidRPr="00FF5E55">
        <w:rPr>
          <w:rFonts w:ascii="Times New Roman" w:hAnsi="Times New Roman"/>
          <w:color w:val="000000"/>
          <w:lang w:val="en-GB"/>
        </w:rPr>
        <w:t>C</w:t>
      </w:r>
      <w:r w:rsidRPr="00FF5E55">
        <w:rPr>
          <w:rFonts w:ascii="Times New Roman" w:hAnsi="Times New Roman"/>
          <w:color w:val="000000"/>
          <w:lang w:val="en-GB"/>
        </w:rPr>
        <w:noBreakHyphen/>
        <w:t xml:space="preserve">137/07 P): </w:t>
      </w:r>
      <w:r w:rsidRPr="00FF5E55">
        <w:rPr>
          <w:rFonts w:ascii="Times New Roman" w:hAnsi="Times New Roman"/>
          <w:i/>
          <w:color w:val="000000"/>
          <w:lang w:val="en-GB"/>
        </w:rPr>
        <w:t>Neither that provision nor the case-law, in so far as they employ the verb ‘may’ and refer to the concept of an undertaking, lay down which legal or natural person the Commission is obliged to hold responsible for the infringement or to sanction by the imposition of a fine</w:t>
      </w:r>
      <w:r>
        <w:rPr>
          <w:rFonts w:ascii="Times New Roman" w:hAnsi="Times New Roman"/>
          <w:i/>
          <w:color w:val="000000"/>
          <w:lang w:val="en-GB"/>
        </w:rPr>
        <w:t>;</w:t>
      </w:r>
      <w:r>
        <w:rPr>
          <w:rFonts w:ascii="Times New Roman" w:hAnsi="Times New Roman"/>
          <w:color w:val="000000"/>
          <w:lang w:val="en-GB"/>
        </w:rPr>
        <w:t xml:space="preserve"> </w:t>
      </w:r>
      <w:r>
        <w:rPr>
          <w:rFonts w:ascii="Times New Roman" w:hAnsi="Times New Roman"/>
          <w:color w:val="000000"/>
        </w:rPr>
        <w:t>Wyrok SPI z 14 grudnia 2006 r. w </w:t>
      </w:r>
      <w:r w:rsidRPr="004B25BA">
        <w:rPr>
          <w:rFonts w:ascii="Times New Roman" w:hAnsi="Times New Roman"/>
          <w:color w:val="000000"/>
        </w:rPr>
        <w:t>sprawach połączonych T</w:t>
      </w:r>
      <w:r w:rsidRPr="004B25BA">
        <w:rPr>
          <w:rFonts w:ascii="Times New Roman" w:hAnsi="Times New Roman"/>
          <w:color w:val="000000"/>
        </w:rPr>
        <w:noBreakHyphen/>
        <w:t>259/02 T</w:t>
      </w:r>
      <w:r w:rsidRPr="004B25BA">
        <w:rPr>
          <w:rFonts w:ascii="Times New Roman" w:hAnsi="Times New Roman"/>
          <w:color w:val="000000"/>
        </w:rPr>
        <w:noBreakHyphen/>
        <w:t>264/02 i T</w:t>
      </w:r>
      <w:r w:rsidRPr="004B25BA">
        <w:rPr>
          <w:rFonts w:ascii="Times New Roman" w:hAnsi="Times New Roman"/>
          <w:color w:val="000000"/>
        </w:rPr>
        <w:noBreakHyphen/>
        <w:t>271/02</w:t>
      </w:r>
      <w:r>
        <w:rPr>
          <w:rFonts w:ascii="Times New Roman" w:hAnsi="Times New Roman"/>
          <w:color w:val="000000"/>
        </w:rPr>
        <w:t xml:space="preserve"> </w:t>
      </w:r>
      <w:r w:rsidRPr="004B25BA">
        <w:rPr>
          <w:rFonts w:ascii="Times New Roman" w:hAnsi="Times New Roman"/>
          <w:iCs/>
          <w:color w:val="000000"/>
        </w:rPr>
        <w:t>pkt. 331</w:t>
      </w:r>
      <w:r w:rsidRPr="004B25BA">
        <w:rPr>
          <w:rFonts w:ascii="Times New Roman" w:hAnsi="Times New Roman"/>
          <w:color w:val="000000"/>
        </w:rPr>
        <w:t>, Wyrok SPI z 15 czerwca 2005 r sprawy połączone T</w:t>
      </w:r>
      <w:r w:rsidRPr="004B25BA">
        <w:rPr>
          <w:rFonts w:ascii="Times New Roman" w:hAnsi="Times New Roman"/>
          <w:color w:val="000000"/>
        </w:rPr>
        <w:noBreakHyphen/>
        <w:t>71/03, T</w:t>
      </w:r>
      <w:r w:rsidRPr="004B25BA">
        <w:rPr>
          <w:rFonts w:ascii="Times New Roman" w:hAnsi="Times New Roman"/>
          <w:color w:val="000000"/>
        </w:rPr>
        <w:noBreakHyphen/>
        <w:t>74/03, T</w:t>
      </w:r>
      <w:r w:rsidRPr="004B25BA">
        <w:rPr>
          <w:rFonts w:ascii="Times New Roman" w:hAnsi="Times New Roman"/>
          <w:color w:val="000000"/>
        </w:rPr>
        <w:noBreakHyphen/>
        <w:t>87/03 i T</w:t>
      </w:r>
      <w:r w:rsidRPr="004B25BA">
        <w:rPr>
          <w:rFonts w:ascii="Times New Roman" w:hAnsi="Times New Roman"/>
          <w:color w:val="000000"/>
        </w:rPr>
        <w:noBreakHyphen/>
        <w:t xml:space="preserve">91/03 pkt. 52i n., Wyrok TSUE z 11 lipca </w:t>
      </w:r>
      <w:r w:rsidRPr="004B25BA">
        <w:rPr>
          <w:rFonts w:ascii="Times New Roman" w:hAnsi="Times New Roman"/>
        </w:rPr>
        <w:t xml:space="preserve">2013 </w:t>
      </w:r>
      <w:r>
        <w:rPr>
          <w:rFonts w:ascii="Times New Roman" w:hAnsi="Times New Roman"/>
        </w:rPr>
        <w:t xml:space="preserve">r. </w:t>
      </w:r>
      <w:r w:rsidRPr="004B25BA">
        <w:rPr>
          <w:rFonts w:ascii="Times New Roman" w:hAnsi="Times New Roman"/>
        </w:rPr>
        <w:t>sprawa C-444/11 P.</w:t>
      </w:r>
      <w:r>
        <w:rPr>
          <w:rFonts w:ascii="Times New Roman" w:hAnsi="Times New Roman"/>
          <w:color w:val="000000"/>
          <w:lang w:val="en-GB"/>
        </w:rPr>
        <w:t xml:space="preserve"> </w:t>
      </w:r>
      <w:r w:rsidRPr="00D30E13">
        <w:rPr>
          <w:rFonts w:ascii="Times New Roman" w:hAnsi="Times New Roman"/>
          <w:lang w:val="en-GB"/>
        </w:rPr>
        <w:t>Wyrok TSUE z 14 września 2017 r w sprawach połączonych</w:t>
      </w:r>
      <w:r w:rsidRPr="00D30E13">
        <w:rPr>
          <w:rFonts w:ascii="Times New Roman" w:hAnsi="Times New Roman"/>
          <w:color w:val="000000"/>
          <w:lang w:val="en-GB"/>
        </w:rPr>
        <w:t xml:space="preserve"> C</w:t>
      </w:r>
      <w:r w:rsidRPr="00D30E13">
        <w:rPr>
          <w:rFonts w:ascii="Times New Roman" w:hAnsi="Times New Roman"/>
          <w:color w:val="000000"/>
          <w:lang w:val="en-GB"/>
        </w:rPr>
        <w:noBreakHyphen/>
        <w:t>588/15</w:t>
      </w:r>
      <w:r>
        <w:rPr>
          <w:rFonts w:ascii="Times New Roman" w:hAnsi="Times New Roman"/>
          <w:color w:val="000000"/>
          <w:lang w:val="en-GB"/>
        </w:rPr>
        <w:t xml:space="preserve"> </w:t>
      </w:r>
      <w:r w:rsidRPr="00D30E13">
        <w:rPr>
          <w:rFonts w:ascii="Times New Roman" w:hAnsi="Times New Roman"/>
          <w:color w:val="000000"/>
          <w:lang w:val="en-GB"/>
        </w:rPr>
        <w:t>P and C</w:t>
      </w:r>
      <w:r w:rsidRPr="00D30E13">
        <w:rPr>
          <w:rFonts w:ascii="Times New Roman" w:hAnsi="Times New Roman"/>
          <w:color w:val="000000"/>
          <w:lang w:val="en-GB"/>
        </w:rPr>
        <w:noBreakHyphen/>
        <w:t>622/15 P, pkt. 145</w:t>
      </w:r>
      <w:r w:rsidRPr="00D30E13">
        <w:rPr>
          <w:rFonts w:ascii="Times New Roman" w:hAnsi="Times New Roman"/>
          <w:color w:val="000000" w:themeColor="text1"/>
          <w:lang w:val="en-GB"/>
        </w:rPr>
        <w:t xml:space="preserve"> i n. „</w:t>
      </w:r>
      <w:r w:rsidRPr="00D30E13">
        <w:rPr>
          <w:rFonts w:ascii="Times New Roman" w:hAnsi="Times New Roman"/>
          <w:i/>
          <w:color w:val="000000" w:themeColor="text1"/>
          <w:lang w:val="en-GB"/>
        </w:rPr>
        <w:t>statement of objections is designed to ensure the exercise of the rights of the defence, individually, by each natural or legal person concerned by the administrative proceedings in relation to the competition rules”.</w:t>
      </w:r>
    </w:p>
  </w:footnote>
  <w:footnote w:id="12">
    <w:p w14:paraId="0F4D2FE1" w14:textId="78A03FA5" w:rsidR="00BC0E7C" w:rsidRPr="00945F93" w:rsidRDefault="00BC0E7C" w:rsidP="00945F93">
      <w:pPr>
        <w:pStyle w:val="Tekstprzypisudolnego"/>
        <w:ind w:left="284" w:hanging="284"/>
        <w:jc w:val="both"/>
        <w:rPr>
          <w:rFonts w:ascii="Times New Roman" w:hAnsi="Times New Roman"/>
        </w:rPr>
      </w:pPr>
      <w:r w:rsidRPr="00945F93">
        <w:rPr>
          <w:rStyle w:val="Odwoanieprzypisudolnego"/>
          <w:rFonts w:ascii="Times New Roman" w:hAnsi="Times New Roman"/>
        </w:rPr>
        <w:footnoteRef/>
      </w:r>
      <w:r w:rsidRPr="00945F93">
        <w:rPr>
          <w:rFonts w:ascii="Times New Roman" w:hAnsi="Times New Roman"/>
          <w:vertAlign w:val="superscript"/>
        </w:rPr>
        <w:t>)</w:t>
      </w:r>
      <w:r w:rsidRPr="00945F93">
        <w:rPr>
          <w:rFonts w:ascii="Times New Roman" w:hAnsi="Times New Roman"/>
        </w:rPr>
        <w:tab/>
        <w:t xml:space="preserve">A. Stawicki [w:] </w:t>
      </w:r>
      <w:r>
        <w:rPr>
          <w:rFonts w:ascii="Times New Roman" w:hAnsi="Times New Roman"/>
        </w:rPr>
        <w:t>u</w:t>
      </w:r>
      <w:r w:rsidRPr="00637161">
        <w:rPr>
          <w:rFonts w:ascii="Times New Roman" w:hAnsi="Times New Roman"/>
        </w:rPr>
        <w:t>stawa o ochronie konkurencji i konsumentów. Komentarz</w:t>
      </w:r>
      <w:r w:rsidRPr="00C4151C">
        <w:rPr>
          <w:rFonts w:ascii="Times New Roman" w:hAnsi="Times New Roman"/>
        </w:rPr>
        <w:t>,</w:t>
      </w:r>
      <w:r w:rsidRPr="00945F93">
        <w:rPr>
          <w:rFonts w:ascii="Times New Roman" w:hAnsi="Times New Roman"/>
        </w:rPr>
        <w:t xml:space="preserve"> wyd. II, red. E. Stawicki, Warszawa 2016, art. 6(a).</w:t>
      </w:r>
    </w:p>
  </w:footnote>
  <w:footnote w:id="13">
    <w:p w14:paraId="2E24AAD9" w14:textId="1AB5E6A7" w:rsidR="00BC0E7C" w:rsidRPr="00300E97" w:rsidRDefault="00BC0E7C" w:rsidP="000D4F15">
      <w:pPr>
        <w:pStyle w:val="Tekstprzypisudolnego"/>
        <w:ind w:left="284" w:hanging="284"/>
        <w:jc w:val="both"/>
        <w:rPr>
          <w:rFonts w:ascii="Times New Roman" w:hAnsi="Times New Roman"/>
        </w:rPr>
      </w:pPr>
      <w:r w:rsidRPr="00300E97">
        <w:rPr>
          <w:rStyle w:val="Odwoanieprzypisudolnego"/>
          <w:rFonts w:ascii="Times New Roman" w:hAnsi="Times New Roman"/>
        </w:rPr>
        <w:footnoteRef/>
      </w:r>
      <w:r>
        <w:rPr>
          <w:rFonts w:ascii="Times New Roman" w:hAnsi="Times New Roman"/>
          <w:vertAlign w:val="superscript"/>
        </w:rPr>
        <w:t>)</w:t>
      </w:r>
      <w:r>
        <w:rPr>
          <w:rFonts w:ascii="Times New Roman" w:hAnsi="Times New Roman"/>
        </w:rPr>
        <w:tab/>
      </w:r>
      <w:r w:rsidRPr="00300E97">
        <w:rPr>
          <w:rFonts w:ascii="Times New Roman" w:hAnsi="Times New Roman"/>
        </w:rPr>
        <w:t>Materna, G. (2018). Projekt dyrektywy ECN+ (omówienie w aspekcie potrzeby kolejnej nowelizacji polskiego prawa ochrony konkurencji), iKAR, 2(7); Kozak M. (2019). Raz, dwa, trzy, niezależny będziesz ty… O konieczności szerszego spojrzenia na niezależność polskiego organu antymonopolowego w świetle dyrektywy ECN+, iKAR, 6(8).</w:t>
      </w:r>
    </w:p>
  </w:footnote>
  <w:footnote w:id="14">
    <w:p w14:paraId="4FBB16A1" w14:textId="2D740D83" w:rsidR="00BC0E7C" w:rsidRPr="00300E97" w:rsidRDefault="00BC0E7C" w:rsidP="000D4F15">
      <w:pPr>
        <w:pStyle w:val="Tekstprzypisudolnego"/>
        <w:ind w:left="284" w:hanging="284"/>
        <w:jc w:val="both"/>
        <w:rPr>
          <w:rFonts w:ascii="Times New Roman" w:hAnsi="Times New Roman"/>
        </w:rPr>
      </w:pPr>
      <w:r w:rsidRPr="00300E97">
        <w:rPr>
          <w:rStyle w:val="Odwoanieprzypisudolnego"/>
          <w:rFonts w:ascii="Times New Roman" w:hAnsi="Times New Roman"/>
        </w:rPr>
        <w:footnoteRef/>
      </w:r>
      <w:r>
        <w:rPr>
          <w:rFonts w:ascii="Times New Roman" w:hAnsi="Times New Roman"/>
          <w:vertAlign w:val="superscript"/>
        </w:rPr>
        <w:t>)</w:t>
      </w:r>
      <w:r>
        <w:rPr>
          <w:rFonts w:ascii="Times New Roman" w:hAnsi="Times New Roman"/>
        </w:rPr>
        <w:tab/>
      </w:r>
      <w:r w:rsidRPr="00300E97">
        <w:rPr>
          <w:rFonts w:ascii="Times New Roman" w:hAnsi="Times New Roman"/>
        </w:rPr>
        <w:t>Ograniczenie możliwości wykorzystywania informacji i dokumentów powinno znajdować zastosowanie jedynie w zakresie</w:t>
      </w:r>
      <w:r>
        <w:rPr>
          <w:rFonts w:ascii="Times New Roman" w:hAnsi="Times New Roman"/>
        </w:rPr>
        <w:t>,</w:t>
      </w:r>
      <w:r w:rsidRPr="00300E97">
        <w:rPr>
          <w:rFonts w:ascii="Times New Roman" w:hAnsi="Times New Roman"/>
        </w:rPr>
        <w:t xml:space="preserve"> w jakim naraża to osobę na odpowiedzialność – w przeciwnym razie niemożliwe byłoby wykorzystywanie dowodów świadczących na korzyść tej osoby (także pozwalających na zmniejszenie wymiaru kary).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73C25"/>
    <w:multiLevelType w:val="hybridMultilevel"/>
    <w:tmpl w:val="34226F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AA7CF2"/>
    <w:multiLevelType w:val="hybridMultilevel"/>
    <w:tmpl w:val="3EC44F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2D65318"/>
    <w:multiLevelType w:val="hybridMultilevel"/>
    <w:tmpl w:val="057CDD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B56838"/>
    <w:multiLevelType w:val="hybridMultilevel"/>
    <w:tmpl w:val="057CDD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DC514C"/>
    <w:multiLevelType w:val="hybridMultilevel"/>
    <w:tmpl w:val="2CF077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5B3BA1"/>
    <w:multiLevelType w:val="hybridMultilevel"/>
    <w:tmpl w:val="BF5827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8B01EB"/>
    <w:multiLevelType w:val="hybridMultilevel"/>
    <w:tmpl w:val="9C447E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222814"/>
    <w:multiLevelType w:val="hybridMultilevel"/>
    <w:tmpl w:val="6AA227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1E0F76"/>
    <w:multiLevelType w:val="hybridMultilevel"/>
    <w:tmpl w:val="C3CE7340"/>
    <w:lvl w:ilvl="0" w:tplc="04150017">
      <w:start w:val="1"/>
      <w:numFmt w:val="lowerLetter"/>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9037D2"/>
    <w:multiLevelType w:val="hybridMultilevel"/>
    <w:tmpl w:val="C9787BC2"/>
    <w:lvl w:ilvl="0" w:tplc="0A48AF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0666F8"/>
    <w:multiLevelType w:val="hybridMultilevel"/>
    <w:tmpl w:val="FB6CEF74"/>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CC83DE3"/>
    <w:multiLevelType w:val="hybridMultilevel"/>
    <w:tmpl w:val="C82E4B6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430490E"/>
    <w:multiLevelType w:val="hybridMultilevel"/>
    <w:tmpl w:val="E9668F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8958F2"/>
    <w:multiLevelType w:val="hybridMultilevel"/>
    <w:tmpl w:val="2DD6E3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A974D4"/>
    <w:multiLevelType w:val="hybridMultilevel"/>
    <w:tmpl w:val="7D6058D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786803"/>
    <w:multiLevelType w:val="hybridMultilevel"/>
    <w:tmpl w:val="36F026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5F1595"/>
    <w:multiLevelType w:val="hybridMultilevel"/>
    <w:tmpl w:val="5E0C4D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5F3A42"/>
    <w:multiLevelType w:val="hybridMultilevel"/>
    <w:tmpl w:val="FC7EF1CC"/>
    <w:lvl w:ilvl="0" w:tplc="9DF657D8">
      <w:start w:val="1"/>
      <w:numFmt w:val="decimal"/>
      <w:lvlText w:val="%1."/>
      <w:lvlJc w:val="left"/>
      <w:pPr>
        <w:ind w:left="1125" w:hanging="765"/>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2938C3"/>
    <w:multiLevelType w:val="hybridMultilevel"/>
    <w:tmpl w:val="F782DF32"/>
    <w:lvl w:ilvl="0" w:tplc="04150017">
      <w:start w:val="1"/>
      <w:numFmt w:val="lowerLetter"/>
      <w:lvlText w:val="%1)"/>
      <w:lvlJc w:val="left"/>
      <w:pPr>
        <w:ind w:left="720" w:hanging="360"/>
      </w:pPr>
    </w:lvl>
    <w:lvl w:ilvl="1" w:tplc="24AA048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AD73F5"/>
    <w:multiLevelType w:val="hybridMultilevel"/>
    <w:tmpl w:val="E346A2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282D2A"/>
    <w:multiLevelType w:val="hybridMultilevel"/>
    <w:tmpl w:val="DECE2FC8"/>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4BA133F3"/>
    <w:multiLevelType w:val="hybridMultilevel"/>
    <w:tmpl w:val="6A78F2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A54D33"/>
    <w:multiLevelType w:val="hybridMultilevel"/>
    <w:tmpl w:val="95A20B48"/>
    <w:lvl w:ilvl="0" w:tplc="CCE61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801671A"/>
    <w:multiLevelType w:val="hybridMultilevel"/>
    <w:tmpl w:val="5E22AA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E2334C"/>
    <w:multiLevelType w:val="hybridMultilevel"/>
    <w:tmpl w:val="2D50B0FA"/>
    <w:lvl w:ilvl="0" w:tplc="04150017">
      <w:start w:val="1"/>
      <w:numFmt w:val="lowerLetter"/>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25" w15:restartNumberingAfterBreak="0">
    <w:nsid w:val="608A4E44"/>
    <w:multiLevelType w:val="hybridMultilevel"/>
    <w:tmpl w:val="7D9C474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13B5E06"/>
    <w:multiLevelType w:val="hybridMultilevel"/>
    <w:tmpl w:val="A7D057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B990E9C"/>
    <w:multiLevelType w:val="hybridMultilevel"/>
    <w:tmpl w:val="36F026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D662575"/>
    <w:multiLevelType w:val="hybridMultilevel"/>
    <w:tmpl w:val="EBDC0E8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E5A500A"/>
    <w:multiLevelType w:val="hybridMultilevel"/>
    <w:tmpl w:val="6FE88160"/>
    <w:lvl w:ilvl="0" w:tplc="301C325E">
      <w:start w:val="1"/>
      <w:numFmt w:val="lowerLetter"/>
      <w:pStyle w:val="listawewnatrz"/>
      <w:lvlText w:val="%1."/>
      <w:lvlJc w:val="left"/>
      <w:pPr>
        <w:ind w:left="720" w:hanging="360"/>
      </w:pPr>
    </w:lvl>
    <w:lvl w:ilvl="1" w:tplc="64EE63B4">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F6D08B0"/>
    <w:multiLevelType w:val="hybridMultilevel"/>
    <w:tmpl w:val="DEE6A5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9B4D4A"/>
    <w:multiLevelType w:val="hybridMultilevel"/>
    <w:tmpl w:val="971EEC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01D505A"/>
    <w:multiLevelType w:val="hybridMultilevel"/>
    <w:tmpl w:val="B7282C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1871EE0"/>
    <w:multiLevelType w:val="hybridMultilevel"/>
    <w:tmpl w:val="6A8C15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4AE1211"/>
    <w:multiLevelType w:val="hybridMultilevel"/>
    <w:tmpl w:val="FB6E32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C7308B8"/>
    <w:multiLevelType w:val="hybridMultilevel"/>
    <w:tmpl w:val="BE240992"/>
    <w:lvl w:ilvl="0" w:tplc="F0687E90">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7"/>
  </w:num>
  <w:num w:numId="2">
    <w:abstractNumId w:val="17"/>
  </w:num>
  <w:num w:numId="3">
    <w:abstractNumId w:val="24"/>
  </w:num>
  <w:num w:numId="4">
    <w:abstractNumId w:val="21"/>
  </w:num>
  <w:num w:numId="5">
    <w:abstractNumId w:val="9"/>
  </w:num>
  <w:num w:numId="6">
    <w:abstractNumId w:val="16"/>
  </w:num>
  <w:num w:numId="7">
    <w:abstractNumId w:val="22"/>
  </w:num>
  <w:num w:numId="8">
    <w:abstractNumId w:val="34"/>
  </w:num>
  <w:num w:numId="9">
    <w:abstractNumId w:val="27"/>
  </w:num>
  <w:num w:numId="10">
    <w:abstractNumId w:val="31"/>
  </w:num>
  <w:num w:numId="11">
    <w:abstractNumId w:val="4"/>
  </w:num>
  <w:num w:numId="12">
    <w:abstractNumId w:val="18"/>
  </w:num>
  <w:num w:numId="13">
    <w:abstractNumId w:val="13"/>
  </w:num>
  <w:num w:numId="14">
    <w:abstractNumId w:val="10"/>
  </w:num>
  <w:num w:numId="15">
    <w:abstractNumId w:val="28"/>
  </w:num>
  <w:num w:numId="16">
    <w:abstractNumId w:val="15"/>
  </w:num>
  <w:num w:numId="17">
    <w:abstractNumId w:val="23"/>
  </w:num>
  <w:num w:numId="18">
    <w:abstractNumId w:val="8"/>
  </w:num>
  <w:num w:numId="19">
    <w:abstractNumId w:val="19"/>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
  </w:num>
  <w:num w:numId="23">
    <w:abstractNumId w:val="29"/>
  </w:num>
  <w:num w:numId="24">
    <w:abstractNumId w:val="29"/>
    <w:lvlOverride w:ilvl="0">
      <w:startOverride w:val="1"/>
    </w:lvlOverride>
  </w:num>
  <w:num w:numId="25">
    <w:abstractNumId w:val="20"/>
  </w:num>
  <w:num w:numId="26">
    <w:abstractNumId w:val="3"/>
  </w:num>
  <w:num w:numId="27">
    <w:abstractNumId w:val="33"/>
  </w:num>
  <w:num w:numId="28">
    <w:abstractNumId w:val="32"/>
  </w:num>
  <w:num w:numId="29">
    <w:abstractNumId w:val="30"/>
  </w:num>
  <w:num w:numId="30">
    <w:abstractNumId w:val="12"/>
  </w:num>
  <w:num w:numId="31">
    <w:abstractNumId w:val="26"/>
  </w:num>
  <w:num w:numId="32">
    <w:abstractNumId w:val="2"/>
  </w:num>
  <w:num w:numId="33">
    <w:abstractNumId w:val="5"/>
  </w:num>
  <w:num w:numId="34">
    <w:abstractNumId w:val="11"/>
  </w:num>
  <w:num w:numId="35">
    <w:abstractNumId w:val="25"/>
  </w:num>
  <w:num w:numId="36">
    <w:abstractNumId w:val="6"/>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9BB"/>
    <w:rsid w:val="00002639"/>
    <w:rsid w:val="000043E9"/>
    <w:rsid w:val="000156C3"/>
    <w:rsid w:val="00016DEB"/>
    <w:rsid w:val="00020AD4"/>
    <w:rsid w:val="00023C43"/>
    <w:rsid w:val="00024369"/>
    <w:rsid w:val="000275FA"/>
    <w:rsid w:val="0003404F"/>
    <w:rsid w:val="000346BF"/>
    <w:rsid w:val="00040451"/>
    <w:rsid w:val="000418D7"/>
    <w:rsid w:val="00044334"/>
    <w:rsid w:val="00044871"/>
    <w:rsid w:val="00045500"/>
    <w:rsid w:val="00046D91"/>
    <w:rsid w:val="000567BC"/>
    <w:rsid w:val="00057DF5"/>
    <w:rsid w:val="0006126A"/>
    <w:rsid w:val="00061D6E"/>
    <w:rsid w:val="00063972"/>
    <w:rsid w:val="00064EDA"/>
    <w:rsid w:val="0006757B"/>
    <w:rsid w:val="0006757E"/>
    <w:rsid w:val="00072CA7"/>
    <w:rsid w:val="00073576"/>
    <w:rsid w:val="00074CC3"/>
    <w:rsid w:val="0007525C"/>
    <w:rsid w:val="00082CA2"/>
    <w:rsid w:val="00090D9B"/>
    <w:rsid w:val="00094E8B"/>
    <w:rsid w:val="000950BE"/>
    <w:rsid w:val="00095CF2"/>
    <w:rsid w:val="0009641F"/>
    <w:rsid w:val="00096C0A"/>
    <w:rsid w:val="000A0849"/>
    <w:rsid w:val="000A32D9"/>
    <w:rsid w:val="000A35A4"/>
    <w:rsid w:val="000A5B33"/>
    <w:rsid w:val="000A7698"/>
    <w:rsid w:val="000B163D"/>
    <w:rsid w:val="000B17A7"/>
    <w:rsid w:val="000B1C3F"/>
    <w:rsid w:val="000B6A31"/>
    <w:rsid w:val="000B7CCB"/>
    <w:rsid w:val="000C2696"/>
    <w:rsid w:val="000C786D"/>
    <w:rsid w:val="000D0D30"/>
    <w:rsid w:val="000D0F4B"/>
    <w:rsid w:val="000D10B2"/>
    <w:rsid w:val="000D4F15"/>
    <w:rsid w:val="000D6711"/>
    <w:rsid w:val="000E431A"/>
    <w:rsid w:val="000E5A85"/>
    <w:rsid w:val="000E7EFF"/>
    <w:rsid w:val="000F0018"/>
    <w:rsid w:val="000F38DA"/>
    <w:rsid w:val="000F6222"/>
    <w:rsid w:val="000F6923"/>
    <w:rsid w:val="00103011"/>
    <w:rsid w:val="00103745"/>
    <w:rsid w:val="00105878"/>
    <w:rsid w:val="0011712B"/>
    <w:rsid w:val="0012215B"/>
    <w:rsid w:val="00123020"/>
    <w:rsid w:val="00132E11"/>
    <w:rsid w:val="00133C7B"/>
    <w:rsid w:val="001357B7"/>
    <w:rsid w:val="00140CDF"/>
    <w:rsid w:val="001414FD"/>
    <w:rsid w:val="00146094"/>
    <w:rsid w:val="00150A9E"/>
    <w:rsid w:val="00150BD0"/>
    <w:rsid w:val="00151896"/>
    <w:rsid w:val="001532F1"/>
    <w:rsid w:val="00155E9E"/>
    <w:rsid w:val="00161654"/>
    <w:rsid w:val="00161FE3"/>
    <w:rsid w:val="001709D3"/>
    <w:rsid w:val="0018040C"/>
    <w:rsid w:val="0018091C"/>
    <w:rsid w:val="00183387"/>
    <w:rsid w:val="001861AD"/>
    <w:rsid w:val="001875C5"/>
    <w:rsid w:val="00187C0F"/>
    <w:rsid w:val="001907CF"/>
    <w:rsid w:val="00193AA9"/>
    <w:rsid w:val="00196831"/>
    <w:rsid w:val="001A170E"/>
    <w:rsid w:val="001A4BBE"/>
    <w:rsid w:val="001A502D"/>
    <w:rsid w:val="001B403B"/>
    <w:rsid w:val="001C1652"/>
    <w:rsid w:val="001C2B4E"/>
    <w:rsid w:val="001C4BA2"/>
    <w:rsid w:val="001C5E18"/>
    <w:rsid w:val="001D0AFF"/>
    <w:rsid w:val="001E3D15"/>
    <w:rsid w:val="001E4F5F"/>
    <w:rsid w:val="001E76EA"/>
    <w:rsid w:val="001F20A5"/>
    <w:rsid w:val="001F2AB5"/>
    <w:rsid w:val="001F3800"/>
    <w:rsid w:val="001F54AF"/>
    <w:rsid w:val="001F6E9C"/>
    <w:rsid w:val="0020048B"/>
    <w:rsid w:val="0020092D"/>
    <w:rsid w:val="0020123C"/>
    <w:rsid w:val="002025E5"/>
    <w:rsid w:val="00205E1F"/>
    <w:rsid w:val="00211FA2"/>
    <w:rsid w:val="00213259"/>
    <w:rsid w:val="00217F4D"/>
    <w:rsid w:val="00221017"/>
    <w:rsid w:val="0022294A"/>
    <w:rsid w:val="00222FE9"/>
    <w:rsid w:val="0022608F"/>
    <w:rsid w:val="00226E97"/>
    <w:rsid w:val="00227CED"/>
    <w:rsid w:val="002309F0"/>
    <w:rsid w:val="0024388D"/>
    <w:rsid w:val="00245365"/>
    <w:rsid w:val="00245A49"/>
    <w:rsid w:val="002473D8"/>
    <w:rsid w:val="00250891"/>
    <w:rsid w:val="00250DBA"/>
    <w:rsid w:val="0025792D"/>
    <w:rsid w:val="002609BA"/>
    <w:rsid w:val="002620C5"/>
    <w:rsid w:val="0026325C"/>
    <w:rsid w:val="00263BA2"/>
    <w:rsid w:val="00263DC5"/>
    <w:rsid w:val="002722F8"/>
    <w:rsid w:val="002777AD"/>
    <w:rsid w:val="00284271"/>
    <w:rsid w:val="00284CFC"/>
    <w:rsid w:val="00291459"/>
    <w:rsid w:val="002947E5"/>
    <w:rsid w:val="00296571"/>
    <w:rsid w:val="002A2932"/>
    <w:rsid w:val="002A4AB5"/>
    <w:rsid w:val="002A71B9"/>
    <w:rsid w:val="002B0210"/>
    <w:rsid w:val="002B12F4"/>
    <w:rsid w:val="002B61C1"/>
    <w:rsid w:val="002B690D"/>
    <w:rsid w:val="002C2464"/>
    <w:rsid w:val="002C299F"/>
    <w:rsid w:val="002D0FBA"/>
    <w:rsid w:val="002D399E"/>
    <w:rsid w:val="002D5C10"/>
    <w:rsid w:val="002E193D"/>
    <w:rsid w:val="002E6A53"/>
    <w:rsid w:val="002F1E88"/>
    <w:rsid w:val="002F4035"/>
    <w:rsid w:val="00300E97"/>
    <w:rsid w:val="003014B6"/>
    <w:rsid w:val="00303365"/>
    <w:rsid w:val="00304996"/>
    <w:rsid w:val="00305949"/>
    <w:rsid w:val="00310D3C"/>
    <w:rsid w:val="00323AFC"/>
    <w:rsid w:val="00325811"/>
    <w:rsid w:val="003308E1"/>
    <w:rsid w:val="0033191E"/>
    <w:rsid w:val="00334CA7"/>
    <w:rsid w:val="003412FE"/>
    <w:rsid w:val="0034143E"/>
    <w:rsid w:val="003427A5"/>
    <w:rsid w:val="003440AF"/>
    <w:rsid w:val="0035092B"/>
    <w:rsid w:val="003545B5"/>
    <w:rsid w:val="0035472C"/>
    <w:rsid w:val="00354E6B"/>
    <w:rsid w:val="003637D7"/>
    <w:rsid w:val="003648CB"/>
    <w:rsid w:val="00365B22"/>
    <w:rsid w:val="0037053D"/>
    <w:rsid w:val="003705F2"/>
    <w:rsid w:val="00370CF4"/>
    <w:rsid w:val="003711C8"/>
    <w:rsid w:val="00376B31"/>
    <w:rsid w:val="00377476"/>
    <w:rsid w:val="003827F8"/>
    <w:rsid w:val="00382C13"/>
    <w:rsid w:val="00384D9A"/>
    <w:rsid w:val="00385390"/>
    <w:rsid w:val="0038545C"/>
    <w:rsid w:val="00385A5C"/>
    <w:rsid w:val="003929F0"/>
    <w:rsid w:val="00393148"/>
    <w:rsid w:val="00394EBD"/>
    <w:rsid w:val="003A754D"/>
    <w:rsid w:val="003B070F"/>
    <w:rsid w:val="003B1416"/>
    <w:rsid w:val="003B1898"/>
    <w:rsid w:val="003B396A"/>
    <w:rsid w:val="003B3E7D"/>
    <w:rsid w:val="003B511B"/>
    <w:rsid w:val="003B7FE6"/>
    <w:rsid w:val="003C2138"/>
    <w:rsid w:val="003C4131"/>
    <w:rsid w:val="003C71CF"/>
    <w:rsid w:val="003E3853"/>
    <w:rsid w:val="003E43A8"/>
    <w:rsid w:val="003E734B"/>
    <w:rsid w:val="003F3FAE"/>
    <w:rsid w:val="003F4409"/>
    <w:rsid w:val="003F5269"/>
    <w:rsid w:val="0040051F"/>
    <w:rsid w:val="00400A58"/>
    <w:rsid w:val="004016F3"/>
    <w:rsid w:val="0040654F"/>
    <w:rsid w:val="00407C16"/>
    <w:rsid w:val="004124B2"/>
    <w:rsid w:val="004128B0"/>
    <w:rsid w:val="00416B44"/>
    <w:rsid w:val="00417CDE"/>
    <w:rsid w:val="00421DCA"/>
    <w:rsid w:val="00424927"/>
    <w:rsid w:val="0042535C"/>
    <w:rsid w:val="00425752"/>
    <w:rsid w:val="00426D4B"/>
    <w:rsid w:val="00430D4F"/>
    <w:rsid w:val="00433410"/>
    <w:rsid w:val="004341DE"/>
    <w:rsid w:val="00437E31"/>
    <w:rsid w:val="00437FC2"/>
    <w:rsid w:val="0044037E"/>
    <w:rsid w:val="0044448B"/>
    <w:rsid w:val="004445F1"/>
    <w:rsid w:val="00445383"/>
    <w:rsid w:val="004512B0"/>
    <w:rsid w:val="00455DD7"/>
    <w:rsid w:val="00456695"/>
    <w:rsid w:val="0046058F"/>
    <w:rsid w:val="0046532F"/>
    <w:rsid w:val="00465D34"/>
    <w:rsid w:val="00466368"/>
    <w:rsid w:val="004702A4"/>
    <w:rsid w:val="0047474C"/>
    <w:rsid w:val="00476E27"/>
    <w:rsid w:val="00481A51"/>
    <w:rsid w:val="00485FD2"/>
    <w:rsid w:val="00490438"/>
    <w:rsid w:val="00492E4A"/>
    <w:rsid w:val="00493F11"/>
    <w:rsid w:val="00494DD7"/>
    <w:rsid w:val="004A465F"/>
    <w:rsid w:val="004A790A"/>
    <w:rsid w:val="004B047A"/>
    <w:rsid w:val="004B0BC5"/>
    <w:rsid w:val="004B2D3E"/>
    <w:rsid w:val="004B3B30"/>
    <w:rsid w:val="004B514F"/>
    <w:rsid w:val="004B6A6D"/>
    <w:rsid w:val="004B71B7"/>
    <w:rsid w:val="004C1963"/>
    <w:rsid w:val="004C2838"/>
    <w:rsid w:val="004C7467"/>
    <w:rsid w:val="004D4F5B"/>
    <w:rsid w:val="004D526C"/>
    <w:rsid w:val="004E3981"/>
    <w:rsid w:val="004E3EEA"/>
    <w:rsid w:val="004E5DEB"/>
    <w:rsid w:val="004E728B"/>
    <w:rsid w:val="004F0304"/>
    <w:rsid w:val="004F3DB8"/>
    <w:rsid w:val="004F47E9"/>
    <w:rsid w:val="004F69C3"/>
    <w:rsid w:val="004F6E96"/>
    <w:rsid w:val="004F7331"/>
    <w:rsid w:val="00501F13"/>
    <w:rsid w:val="0050416F"/>
    <w:rsid w:val="00510348"/>
    <w:rsid w:val="00511C4A"/>
    <w:rsid w:val="0051412F"/>
    <w:rsid w:val="005165C9"/>
    <w:rsid w:val="005170EB"/>
    <w:rsid w:val="0052290D"/>
    <w:rsid w:val="00531DCE"/>
    <w:rsid w:val="005336E1"/>
    <w:rsid w:val="005337C9"/>
    <w:rsid w:val="00533AF1"/>
    <w:rsid w:val="005428EE"/>
    <w:rsid w:val="00552359"/>
    <w:rsid w:val="00556136"/>
    <w:rsid w:val="00556853"/>
    <w:rsid w:val="00557534"/>
    <w:rsid w:val="005629AC"/>
    <w:rsid w:val="005740C0"/>
    <w:rsid w:val="0058145D"/>
    <w:rsid w:val="0058580B"/>
    <w:rsid w:val="00591A1C"/>
    <w:rsid w:val="005935A0"/>
    <w:rsid w:val="0059371B"/>
    <w:rsid w:val="005A3DBD"/>
    <w:rsid w:val="005A4F94"/>
    <w:rsid w:val="005B5A66"/>
    <w:rsid w:val="005C1534"/>
    <w:rsid w:val="005C3682"/>
    <w:rsid w:val="005C4DD4"/>
    <w:rsid w:val="005C5A2C"/>
    <w:rsid w:val="005C79FE"/>
    <w:rsid w:val="005D3245"/>
    <w:rsid w:val="005F372A"/>
    <w:rsid w:val="005F40A3"/>
    <w:rsid w:val="005F686E"/>
    <w:rsid w:val="005F7059"/>
    <w:rsid w:val="0060386C"/>
    <w:rsid w:val="00607C5F"/>
    <w:rsid w:val="00611A1E"/>
    <w:rsid w:val="00614F70"/>
    <w:rsid w:val="0061629B"/>
    <w:rsid w:val="00622990"/>
    <w:rsid w:val="006235F6"/>
    <w:rsid w:val="00623DB7"/>
    <w:rsid w:val="006251B3"/>
    <w:rsid w:val="006267F7"/>
    <w:rsid w:val="00626872"/>
    <w:rsid w:val="00626AB2"/>
    <w:rsid w:val="00630A7C"/>
    <w:rsid w:val="00631153"/>
    <w:rsid w:val="00637161"/>
    <w:rsid w:val="00637434"/>
    <w:rsid w:val="006418AF"/>
    <w:rsid w:val="006422FF"/>
    <w:rsid w:val="00642E86"/>
    <w:rsid w:val="0065639B"/>
    <w:rsid w:val="00660879"/>
    <w:rsid w:val="006625A8"/>
    <w:rsid w:val="00663187"/>
    <w:rsid w:val="006639CF"/>
    <w:rsid w:val="00667041"/>
    <w:rsid w:val="006713EA"/>
    <w:rsid w:val="00672E08"/>
    <w:rsid w:val="00676DBA"/>
    <w:rsid w:val="0067766C"/>
    <w:rsid w:val="00683B76"/>
    <w:rsid w:val="00685DA3"/>
    <w:rsid w:val="00687E56"/>
    <w:rsid w:val="00693D81"/>
    <w:rsid w:val="00695426"/>
    <w:rsid w:val="006A0397"/>
    <w:rsid w:val="006A1445"/>
    <w:rsid w:val="006A1CAB"/>
    <w:rsid w:val="006A1FCA"/>
    <w:rsid w:val="006A3A33"/>
    <w:rsid w:val="006B09FE"/>
    <w:rsid w:val="006B4404"/>
    <w:rsid w:val="006B4DEB"/>
    <w:rsid w:val="006B655A"/>
    <w:rsid w:val="006C019E"/>
    <w:rsid w:val="006C3AB5"/>
    <w:rsid w:val="006E33F6"/>
    <w:rsid w:val="006E64BF"/>
    <w:rsid w:val="006F4C32"/>
    <w:rsid w:val="006F6AFE"/>
    <w:rsid w:val="007001D7"/>
    <w:rsid w:val="00704158"/>
    <w:rsid w:val="007044A2"/>
    <w:rsid w:val="007045A7"/>
    <w:rsid w:val="00706EF5"/>
    <w:rsid w:val="007070CA"/>
    <w:rsid w:val="00711B3A"/>
    <w:rsid w:val="0071398B"/>
    <w:rsid w:val="0071472F"/>
    <w:rsid w:val="007168FD"/>
    <w:rsid w:val="007218C1"/>
    <w:rsid w:val="007218FC"/>
    <w:rsid w:val="0072193F"/>
    <w:rsid w:val="007232FA"/>
    <w:rsid w:val="007239E5"/>
    <w:rsid w:val="00725B49"/>
    <w:rsid w:val="00730EA3"/>
    <w:rsid w:val="00731B1F"/>
    <w:rsid w:val="00731DE2"/>
    <w:rsid w:val="00735056"/>
    <w:rsid w:val="007407BB"/>
    <w:rsid w:val="00741E28"/>
    <w:rsid w:val="007426E4"/>
    <w:rsid w:val="007431AB"/>
    <w:rsid w:val="00744F51"/>
    <w:rsid w:val="00746F7A"/>
    <w:rsid w:val="0074777B"/>
    <w:rsid w:val="00747803"/>
    <w:rsid w:val="00747B9F"/>
    <w:rsid w:val="00763A48"/>
    <w:rsid w:val="00764371"/>
    <w:rsid w:val="007657E2"/>
    <w:rsid w:val="00770092"/>
    <w:rsid w:val="00772417"/>
    <w:rsid w:val="0077337F"/>
    <w:rsid w:val="00783AB5"/>
    <w:rsid w:val="00790873"/>
    <w:rsid w:val="00794E29"/>
    <w:rsid w:val="00795573"/>
    <w:rsid w:val="00796CEA"/>
    <w:rsid w:val="007979C9"/>
    <w:rsid w:val="00797C14"/>
    <w:rsid w:val="007A0698"/>
    <w:rsid w:val="007A16D3"/>
    <w:rsid w:val="007A42CA"/>
    <w:rsid w:val="007A5D7F"/>
    <w:rsid w:val="007B06E4"/>
    <w:rsid w:val="007B2E11"/>
    <w:rsid w:val="007B6BBF"/>
    <w:rsid w:val="007B6DAE"/>
    <w:rsid w:val="007C25F6"/>
    <w:rsid w:val="007C2C15"/>
    <w:rsid w:val="007D3E48"/>
    <w:rsid w:val="007D5CB5"/>
    <w:rsid w:val="007D6414"/>
    <w:rsid w:val="007E2247"/>
    <w:rsid w:val="007E638B"/>
    <w:rsid w:val="007E7C2E"/>
    <w:rsid w:val="007F0EC0"/>
    <w:rsid w:val="007F565D"/>
    <w:rsid w:val="007F6D0C"/>
    <w:rsid w:val="00802F2B"/>
    <w:rsid w:val="00807155"/>
    <w:rsid w:val="008118B3"/>
    <w:rsid w:val="00813E8D"/>
    <w:rsid w:val="008144BA"/>
    <w:rsid w:val="0081708D"/>
    <w:rsid w:val="008222C3"/>
    <w:rsid w:val="00824F00"/>
    <w:rsid w:val="00826D20"/>
    <w:rsid w:val="0083626C"/>
    <w:rsid w:val="0083633D"/>
    <w:rsid w:val="008400AC"/>
    <w:rsid w:val="00842805"/>
    <w:rsid w:val="008430DA"/>
    <w:rsid w:val="0084353E"/>
    <w:rsid w:val="00844043"/>
    <w:rsid w:val="00846765"/>
    <w:rsid w:val="0085665C"/>
    <w:rsid w:val="00857C3D"/>
    <w:rsid w:val="00857FA9"/>
    <w:rsid w:val="00860532"/>
    <w:rsid w:val="00861AC9"/>
    <w:rsid w:val="00861FA1"/>
    <w:rsid w:val="00865AC7"/>
    <w:rsid w:val="00865C5E"/>
    <w:rsid w:val="00866568"/>
    <w:rsid w:val="008736A1"/>
    <w:rsid w:val="0087389C"/>
    <w:rsid w:val="00875779"/>
    <w:rsid w:val="00882337"/>
    <w:rsid w:val="008825E4"/>
    <w:rsid w:val="00884B60"/>
    <w:rsid w:val="00891F84"/>
    <w:rsid w:val="008927D6"/>
    <w:rsid w:val="008954A2"/>
    <w:rsid w:val="008A1E41"/>
    <w:rsid w:val="008B56AD"/>
    <w:rsid w:val="008B613C"/>
    <w:rsid w:val="008B7A7F"/>
    <w:rsid w:val="008C3651"/>
    <w:rsid w:val="008C4CCE"/>
    <w:rsid w:val="008C679E"/>
    <w:rsid w:val="008C6D01"/>
    <w:rsid w:val="008C70F0"/>
    <w:rsid w:val="008D5A48"/>
    <w:rsid w:val="008E0B62"/>
    <w:rsid w:val="008E29DD"/>
    <w:rsid w:val="008E7F40"/>
    <w:rsid w:val="008F398C"/>
    <w:rsid w:val="008F55B7"/>
    <w:rsid w:val="008F56D9"/>
    <w:rsid w:val="008F5943"/>
    <w:rsid w:val="008F6D36"/>
    <w:rsid w:val="009008A2"/>
    <w:rsid w:val="009063D9"/>
    <w:rsid w:val="009079CE"/>
    <w:rsid w:val="009105CE"/>
    <w:rsid w:val="00911E69"/>
    <w:rsid w:val="009137D6"/>
    <w:rsid w:val="00916A84"/>
    <w:rsid w:val="009178D9"/>
    <w:rsid w:val="00920490"/>
    <w:rsid w:val="0092120D"/>
    <w:rsid w:val="00921BE1"/>
    <w:rsid w:val="00922CE6"/>
    <w:rsid w:val="00923923"/>
    <w:rsid w:val="00923EF1"/>
    <w:rsid w:val="00925751"/>
    <w:rsid w:val="00927594"/>
    <w:rsid w:val="00934192"/>
    <w:rsid w:val="009410F8"/>
    <w:rsid w:val="009416BC"/>
    <w:rsid w:val="00945F93"/>
    <w:rsid w:val="009472A8"/>
    <w:rsid w:val="009567A4"/>
    <w:rsid w:val="00956B12"/>
    <w:rsid w:val="00957CDB"/>
    <w:rsid w:val="00962E45"/>
    <w:rsid w:val="009713F7"/>
    <w:rsid w:val="009725F8"/>
    <w:rsid w:val="009743A2"/>
    <w:rsid w:val="009744C5"/>
    <w:rsid w:val="00980331"/>
    <w:rsid w:val="00981513"/>
    <w:rsid w:val="00981C44"/>
    <w:rsid w:val="00983E1D"/>
    <w:rsid w:val="00986386"/>
    <w:rsid w:val="009950B3"/>
    <w:rsid w:val="0099597F"/>
    <w:rsid w:val="009A3B4B"/>
    <w:rsid w:val="009A4568"/>
    <w:rsid w:val="009A7082"/>
    <w:rsid w:val="009A7EE2"/>
    <w:rsid w:val="009B06BF"/>
    <w:rsid w:val="009B25DA"/>
    <w:rsid w:val="009B2823"/>
    <w:rsid w:val="009B6115"/>
    <w:rsid w:val="009B6F4E"/>
    <w:rsid w:val="009C0E5B"/>
    <w:rsid w:val="009C378F"/>
    <w:rsid w:val="009D23D7"/>
    <w:rsid w:val="009D6B83"/>
    <w:rsid w:val="009E0CD8"/>
    <w:rsid w:val="009E3094"/>
    <w:rsid w:val="009E3B1C"/>
    <w:rsid w:val="009E44FB"/>
    <w:rsid w:val="009F1089"/>
    <w:rsid w:val="009F4D40"/>
    <w:rsid w:val="009F78E5"/>
    <w:rsid w:val="00A02EB3"/>
    <w:rsid w:val="00A037A3"/>
    <w:rsid w:val="00A04EF0"/>
    <w:rsid w:val="00A0552E"/>
    <w:rsid w:val="00A07EC8"/>
    <w:rsid w:val="00A110BC"/>
    <w:rsid w:val="00A13498"/>
    <w:rsid w:val="00A14CF5"/>
    <w:rsid w:val="00A17D1F"/>
    <w:rsid w:val="00A200C1"/>
    <w:rsid w:val="00A24202"/>
    <w:rsid w:val="00A30840"/>
    <w:rsid w:val="00A3148B"/>
    <w:rsid w:val="00A32BAF"/>
    <w:rsid w:val="00A42966"/>
    <w:rsid w:val="00A5034B"/>
    <w:rsid w:val="00A51529"/>
    <w:rsid w:val="00A5197C"/>
    <w:rsid w:val="00A533F4"/>
    <w:rsid w:val="00A56DDC"/>
    <w:rsid w:val="00A60572"/>
    <w:rsid w:val="00A616B2"/>
    <w:rsid w:val="00A627FF"/>
    <w:rsid w:val="00A641CC"/>
    <w:rsid w:val="00A843EC"/>
    <w:rsid w:val="00A84ACD"/>
    <w:rsid w:val="00A85422"/>
    <w:rsid w:val="00A865B0"/>
    <w:rsid w:val="00A91484"/>
    <w:rsid w:val="00A94F95"/>
    <w:rsid w:val="00A96C32"/>
    <w:rsid w:val="00AA0BEF"/>
    <w:rsid w:val="00AA1529"/>
    <w:rsid w:val="00AA56B6"/>
    <w:rsid w:val="00AB1BB5"/>
    <w:rsid w:val="00AB2879"/>
    <w:rsid w:val="00AB54DD"/>
    <w:rsid w:val="00AC1B4E"/>
    <w:rsid w:val="00AC2E54"/>
    <w:rsid w:val="00AC3CFD"/>
    <w:rsid w:val="00AC563E"/>
    <w:rsid w:val="00AC58B3"/>
    <w:rsid w:val="00AD05E5"/>
    <w:rsid w:val="00AD1F69"/>
    <w:rsid w:val="00AD2C48"/>
    <w:rsid w:val="00AD3322"/>
    <w:rsid w:val="00AD3A05"/>
    <w:rsid w:val="00AD5562"/>
    <w:rsid w:val="00AE1108"/>
    <w:rsid w:val="00AE1E61"/>
    <w:rsid w:val="00AE216D"/>
    <w:rsid w:val="00AF0D09"/>
    <w:rsid w:val="00AF0E41"/>
    <w:rsid w:val="00AF0F61"/>
    <w:rsid w:val="00AF203A"/>
    <w:rsid w:val="00AF358C"/>
    <w:rsid w:val="00AF6E7D"/>
    <w:rsid w:val="00B03FC9"/>
    <w:rsid w:val="00B04941"/>
    <w:rsid w:val="00B14C81"/>
    <w:rsid w:val="00B15488"/>
    <w:rsid w:val="00B15D9C"/>
    <w:rsid w:val="00B200BD"/>
    <w:rsid w:val="00B20741"/>
    <w:rsid w:val="00B20D82"/>
    <w:rsid w:val="00B2377D"/>
    <w:rsid w:val="00B25CA5"/>
    <w:rsid w:val="00B31C4D"/>
    <w:rsid w:val="00B37CC3"/>
    <w:rsid w:val="00B40D20"/>
    <w:rsid w:val="00B41A1D"/>
    <w:rsid w:val="00B51384"/>
    <w:rsid w:val="00B57698"/>
    <w:rsid w:val="00B60065"/>
    <w:rsid w:val="00B607C8"/>
    <w:rsid w:val="00B6208E"/>
    <w:rsid w:val="00B62658"/>
    <w:rsid w:val="00B7013E"/>
    <w:rsid w:val="00B70CB2"/>
    <w:rsid w:val="00B74AFE"/>
    <w:rsid w:val="00B753E3"/>
    <w:rsid w:val="00B75589"/>
    <w:rsid w:val="00B759B6"/>
    <w:rsid w:val="00B813DA"/>
    <w:rsid w:val="00B824F2"/>
    <w:rsid w:val="00B861AD"/>
    <w:rsid w:val="00B87B12"/>
    <w:rsid w:val="00B90F25"/>
    <w:rsid w:val="00BA1ABD"/>
    <w:rsid w:val="00BA29FF"/>
    <w:rsid w:val="00BA7B9E"/>
    <w:rsid w:val="00BB02BF"/>
    <w:rsid w:val="00BB1AE8"/>
    <w:rsid w:val="00BB313E"/>
    <w:rsid w:val="00BC0480"/>
    <w:rsid w:val="00BC0E7C"/>
    <w:rsid w:val="00BC30E8"/>
    <w:rsid w:val="00BC7970"/>
    <w:rsid w:val="00BD024A"/>
    <w:rsid w:val="00BD0BE4"/>
    <w:rsid w:val="00BD1A6A"/>
    <w:rsid w:val="00BD219C"/>
    <w:rsid w:val="00BD7B33"/>
    <w:rsid w:val="00BE3A59"/>
    <w:rsid w:val="00BE677A"/>
    <w:rsid w:val="00BE7B0F"/>
    <w:rsid w:val="00BF147E"/>
    <w:rsid w:val="00BF1C15"/>
    <w:rsid w:val="00BF1D7A"/>
    <w:rsid w:val="00BF3085"/>
    <w:rsid w:val="00BF352A"/>
    <w:rsid w:val="00C01DCE"/>
    <w:rsid w:val="00C11151"/>
    <w:rsid w:val="00C11D8F"/>
    <w:rsid w:val="00C156EE"/>
    <w:rsid w:val="00C20C9B"/>
    <w:rsid w:val="00C2292E"/>
    <w:rsid w:val="00C24B57"/>
    <w:rsid w:val="00C3025C"/>
    <w:rsid w:val="00C31352"/>
    <w:rsid w:val="00C33E42"/>
    <w:rsid w:val="00C343E2"/>
    <w:rsid w:val="00C35360"/>
    <w:rsid w:val="00C354EA"/>
    <w:rsid w:val="00C377C0"/>
    <w:rsid w:val="00C4151C"/>
    <w:rsid w:val="00C45DF4"/>
    <w:rsid w:val="00C461E3"/>
    <w:rsid w:val="00C46912"/>
    <w:rsid w:val="00C505E8"/>
    <w:rsid w:val="00C51013"/>
    <w:rsid w:val="00C525DF"/>
    <w:rsid w:val="00C53681"/>
    <w:rsid w:val="00C546B8"/>
    <w:rsid w:val="00C55296"/>
    <w:rsid w:val="00C55F4F"/>
    <w:rsid w:val="00C57C5A"/>
    <w:rsid w:val="00C612AC"/>
    <w:rsid w:val="00C617B6"/>
    <w:rsid w:val="00C6481B"/>
    <w:rsid w:val="00C67501"/>
    <w:rsid w:val="00C71E37"/>
    <w:rsid w:val="00C75578"/>
    <w:rsid w:val="00C7570F"/>
    <w:rsid w:val="00C7635D"/>
    <w:rsid w:val="00C7678F"/>
    <w:rsid w:val="00C80224"/>
    <w:rsid w:val="00C87CBA"/>
    <w:rsid w:val="00C90F3C"/>
    <w:rsid w:val="00C97CFA"/>
    <w:rsid w:val="00CA0A5F"/>
    <w:rsid w:val="00CA19F6"/>
    <w:rsid w:val="00CA1B11"/>
    <w:rsid w:val="00CA1E26"/>
    <w:rsid w:val="00CA43DD"/>
    <w:rsid w:val="00CA4419"/>
    <w:rsid w:val="00CA4BE9"/>
    <w:rsid w:val="00CA52B8"/>
    <w:rsid w:val="00CA5425"/>
    <w:rsid w:val="00CB0949"/>
    <w:rsid w:val="00CB1B0B"/>
    <w:rsid w:val="00CB21C2"/>
    <w:rsid w:val="00CC18D7"/>
    <w:rsid w:val="00CC2815"/>
    <w:rsid w:val="00CC7E45"/>
    <w:rsid w:val="00CC7F2D"/>
    <w:rsid w:val="00CE568B"/>
    <w:rsid w:val="00CE5785"/>
    <w:rsid w:val="00CF0F0D"/>
    <w:rsid w:val="00CF440A"/>
    <w:rsid w:val="00CF4EB1"/>
    <w:rsid w:val="00CF5956"/>
    <w:rsid w:val="00CF60FA"/>
    <w:rsid w:val="00CF696E"/>
    <w:rsid w:val="00D048E7"/>
    <w:rsid w:val="00D05676"/>
    <w:rsid w:val="00D12693"/>
    <w:rsid w:val="00D12BC0"/>
    <w:rsid w:val="00D159BB"/>
    <w:rsid w:val="00D16543"/>
    <w:rsid w:val="00D17DC9"/>
    <w:rsid w:val="00D20200"/>
    <w:rsid w:val="00D22DC0"/>
    <w:rsid w:val="00D2705A"/>
    <w:rsid w:val="00D2786F"/>
    <w:rsid w:val="00D30E13"/>
    <w:rsid w:val="00D326C8"/>
    <w:rsid w:val="00D33D92"/>
    <w:rsid w:val="00D357BD"/>
    <w:rsid w:val="00D41837"/>
    <w:rsid w:val="00D41ECF"/>
    <w:rsid w:val="00D46AE7"/>
    <w:rsid w:val="00D47428"/>
    <w:rsid w:val="00D51CFA"/>
    <w:rsid w:val="00D542E6"/>
    <w:rsid w:val="00D55477"/>
    <w:rsid w:val="00D65B51"/>
    <w:rsid w:val="00D73764"/>
    <w:rsid w:val="00D74029"/>
    <w:rsid w:val="00D84154"/>
    <w:rsid w:val="00D85B94"/>
    <w:rsid w:val="00D86AFB"/>
    <w:rsid w:val="00D87041"/>
    <w:rsid w:val="00D87DCE"/>
    <w:rsid w:val="00D9327F"/>
    <w:rsid w:val="00D964BF"/>
    <w:rsid w:val="00DA0BFF"/>
    <w:rsid w:val="00DA1090"/>
    <w:rsid w:val="00DA5F74"/>
    <w:rsid w:val="00DB6139"/>
    <w:rsid w:val="00DC0465"/>
    <w:rsid w:val="00DC0649"/>
    <w:rsid w:val="00DC0A8E"/>
    <w:rsid w:val="00DC104D"/>
    <w:rsid w:val="00DC2243"/>
    <w:rsid w:val="00DC2FB7"/>
    <w:rsid w:val="00DC3E0E"/>
    <w:rsid w:val="00DD19C0"/>
    <w:rsid w:val="00DD573D"/>
    <w:rsid w:val="00DE7B51"/>
    <w:rsid w:val="00E00076"/>
    <w:rsid w:val="00E01C06"/>
    <w:rsid w:val="00E0449E"/>
    <w:rsid w:val="00E0459A"/>
    <w:rsid w:val="00E06D8F"/>
    <w:rsid w:val="00E07799"/>
    <w:rsid w:val="00E11429"/>
    <w:rsid w:val="00E12E15"/>
    <w:rsid w:val="00E1750A"/>
    <w:rsid w:val="00E2096C"/>
    <w:rsid w:val="00E21EF8"/>
    <w:rsid w:val="00E2404D"/>
    <w:rsid w:val="00E24E21"/>
    <w:rsid w:val="00E25618"/>
    <w:rsid w:val="00E257DA"/>
    <w:rsid w:val="00E275B6"/>
    <w:rsid w:val="00E308CB"/>
    <w:rsid w:val="00E313DA"/>
    <w:rsid w:val="00E33328"/>
    <w:rsid w:val="00E33B56"/>
    <w:rsid w:val="00E447AF"/>
    <w:rsid w:val="00E509B4"/>
    <w:rsid w:val="00E50F7A"/>
    <w:rsid w:val="00E522F9"/>
    <w:rsid w:val="00E524D6"/>
    <w:rsid w:val="00E535BE"/>
    <w:rsid w:val="00E53C5A"/>
    <w:rsid w:val="00E540B5"/>
    <w:rsid w:val="00E60CE5"/>
    <w:rsid w:val="00E70AAB"/>
    <w:rsid w:val="00E72E81"/>
    <w:rsid w:val="00E7762A"/>
    <w:rsid w:val="00E8160D"/>
    <w:rsid w:val="00E82FEB"/>
    <w:rsid w:val="00E837DF"/>
    <w:rsid w:val="00E870F4"/>
    <w:rsid w:val="00E87A6D"/>
    <w:rsid w:val="00E87D82"/>
    <w:rsid w:val="00E90F30"/>
    <w:rsid w:val="00E936AC"/>
    <w:rsid w:val="00E9537C"/>
    <w:rsid w:val="00E95AC2"/>
    <w:rsid w:val="00E968C8"/>
    <w:rsid w:val="00EA2468"/>
    <w:rsid w:val="00EA2FB2"/>
    <w:rsid w:val="00EA68A4"/>
    <w:rsid w:val="00EB117D"/>
    <w:rsid w:val="00EB4599"/>
    <w:rsid w:val="00EB4C68"/>
    <w:rsid w:val="00EC03A5"/>
    <w:rsid w:val="00ED0956"/>
    <w:rsid w:val="00EE245E"/>
    <w:rsid w:val="00EE288D"/>
    <w:rsid w:val="00EE3D90"/>
    <w:rsid w:val="00EF22E1"/>
    <w:rsid w:val="00EF369C"/>
    <w:rsid w:val="00F0054A"/>
    <w:rsid w:val="00F008DF"/>
    <w:rsid w:val="00F03BFD"/>
    <w:rsid w:val="00F06DA1"/>
    <w:rsid w:val="00F15ECE"/>
    <w:rsid w:val="00F1745D"/>
    <w:rsid w:val="00F22E74"/>
    <w:rsid w:val="00F2385D"/>
    <w:rsid w:val="00F239DF"/>
    <w:rsid w:val="00F23A42"/>
    <w:rsid w:val="00F27729"/>
    <w:rsid w:val="00F32641"/>
    <w:rsid w:val="00F33BAC"/>
    <w:rsid w:val="00F34F51"/>
    <w:rsid w:val="00F3603A"/>
    <w:rsid w:val="00F4314C"/>
    <w:rsid w:val="00F45879"/>
    <w:rsid w:val="00F4632E"/>
    <w:rsid w:val="00F465E6"/>
    <w:rsid w:val="00F4790A"/>
    <w:rsid w:val="00F506F5"/>
    <w:rsid w:val="00F5103E"/>
    <w:rsid w:val="00F577D1"/>
    <w:rsid w:val="00F63FBE"/>
    <w:rsid w:val="00F6484C"/>
    <w:rsid w:val="00F65A77"/>
    <w:rsid w:val="00F71C13"/>
    <w:rsid w:val="00F75192"/>
    <w:rsid w:val="00F80FA7"/>
    <w:rsid w:val="00F81908"/>
    <w:rsid w:val="00F85D06"/>
    <w:rsid w:val="00F86913"/>
    <w:rsid w:val="00F879F8"/>
    <w:rsid w:val="00F87B8A"/>
    <w:rsid w:val="00F933CC"/>
    <w:rsid w:val="00F959A3"/>
    <w:rsid w:val="00F97CC5"/>
    <w:rsid w:val="00FA1189"/>
    <w:rsid w:val="00FA39BF"/>
    <w:rsid w:val="00FA7BB0"/>
    <w:rsid w:val="00FB0281"/>
    <w:rsid w:val="00FB4E1F"/>
    <w:rsid w:val="00FC103B"/>
    <w:rsid w:val="00FC1F0C"/>
    <w:rsid w:val="00FC4455"/>
    <w:rsid w:val="00FD04F8"/>
    <w:rsid w:val="00FD40F3"/>
    <w:rsid w:val="00FE2B89"/>
    <w:rsid w:val="00FE3A79"/>
    <w:rsid w:val="00FE3D17"/>
    <w:rsid w:val="00FE411A"/>
    <w:rsid w:val="00FE5146"/>
    <w:rsid w:val="00FE58B2"/>
    <w:rsid w:val="00FF0823"/>
    <w:rsid w:val="00FF5E55"/>
    <w:rsid w:val="00FF69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8E73AD"/>
  <w15:docId w15:val="{6C2D0F92-0FA6-4952-8489-3B2A3B8A6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62658"/>
  </w:style>
  <w:style w:type="paragraph" w:styleId="Nagwek1">
    <w:name w:val="heading 1"/>
    <w:basedOn w:val="Normalny"/>
    <w:next w:val="Normalny"/>
    <w:link w:val="Nagwek1Znak"/>
    <w:uiPriority w:val="9"/>
    <w:qFormat/>
    <w:rsid w:val="00057D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159BB"/>
    <w:pPr>
      <w:ind w:left="720"/>
      <w:contextualSpacing/>
    </w:pPr>
  </w:style>
  <w:style w:type="paragraph" w:styleId="Tekstprzypisudolnego">
    <w:name w:val="footnote text"/>
    <w:basedOn w:val="Normalny"/>
    <w:link w:val="TekstprzypisudolnegoZnak"/>
    <w:uiPriority w:val="99"/>
    <w:rsid w:val="00E837DF"/>
    <w:pPr>
      <w:autoSpaceDN w:val="0"/>
      <w:spacing w:after="0" w:line="240" w:lineRule="auto"/>
      <w:textAlignment w:val="baseline"/>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E837DF"/>
    <w:rPr>
      <w:rFonts w:ascii="Calibri" w:eastAsia="Calibri" w:hAnsi="Calibri" w:cs="Times New Roman"/>
      <w:sz w:val="20"/>
      <w:szCs w:val="20"/>
    </w:rPr>
  </w:style>
  <w:style w:type="character" w:styleId="Odwoanieprzypisudolnego">
    <w:name w:val="footnote reference"/>
    <w:basedOn w:val="Domylnaczcionkaakapitu"/>
    <w:uiPriority w:val="99"/>
    <w:rsid w:val="00E837DF"/>
    <w:rPr>
      <w:position w:val="0"/>
      <w:vertAlign w:val="superscript"/>
    </w:rPr>
  </w:style>
  <w:style w:type="character" w:styleId="Odwoaniedokomentarza">
    <w:name w:val="annotation reference"/>
    <w:basedOn w:val="Domylnaczcionkaakapitu"/>
    <w:uiPriority w:val="99"/>
    <w:semiHidden/>
    <w:unhideWhenUsed/>
    <w:rsid w:val="00E837DF"/>
    <w:rPr>
      <w:sz w:val="16"/>
      <w:szCs w:val="16"/>
    </w:rPr>
  </w:style>
  <w:style w:type="paragraph" w:styleId="Tekstkomentarza">
    <w:name w:val="annotation text"/>
    <w:basedOn w:val="Normalny"/>
    <w:link w:val="TekstkomentarzaZnak"/>
    <w:uiPriority w:val="99"/>
    <w:unhideWhenUsed/>
    <w:rsid w:val="00E837D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837DF"/>
    <w:rPr>
      <w:sz w:val="20"/>
      <w:szCs w:val="20"/>
    </w:rPr>
  </w:style>
  <w:style w:type="paragraph" w:styleId="Tematkomentarza">
    <w:name w:val="annotation subject"/>
    <w:basedOn w:val="Tekstkomentarza"/>
    <w:next w:val="Tekstkomentarza"/>
    <w:link w:val="TematkomentarzaZnak"/>
    <w:uiPriority w:val="99"/>
    <w:semiHidden/>
    <w:unhideWhenUsed/>
    <w:rsid w:val="00E837DF"/>
    <w:rPr>
      <w:b/>
      <w:bCs/>
    </w:rPr>
  </w:style>
  <w:style w:type="character" w:customStyle="1" w:styleId="TematkomentarzaZnak">
    <w:name w:val="Temat komentarza Znak"/>
    <w:basedOn w:val="TekstkomentarzaZnak"/>
    <w:link w:val="Tematkomentarza"/>
    <w:uiPriority w:val="99"/>
    <w:semiHidden/>
    <w:rsid w:val="00E837DF"/>
    <w:rPr>
      <w:b/>
      <w:bCs/>
      <w:sz w:val="20"/>
      <w:szCs w:val="20"/>
    </w:rPr>
  </w:style>
  <w:style w:type="paragraph" w:styleId="Tekstdymka">
    <w:name w:val="Balloon Text"/>
    <w:basedOn w:val="Normalny"/>
    <w:link w:val="TekstdymkaZnak"/>
    <w:uiPriority w:val="99"/>
    <w:semiHidden/>
    <w:unhideWhenUsed/>
    <w:rsid w:val="00E837D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837DF"/>
    <w:rPr>
      <w:rFonts w:ascii="Segoe UI" w:hAnsi="Segoe UI" w:cs="Segoe UI"/>
      <w:sz w:val="18"/>
      <w:szCs w:val="18"/>
    </w:rPr>
  </w:style>
  <w:style w:type="paragraph" w:customStyle="1" w:styleId="Normalny1">
    <w:name w:val="Normalny1"/>
    <w:basedOn w:val="Normalny"/>
    <w:rsid w:val="007C25F6"/>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EA6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wewnatrz">
    <w:name w:val="lista wewnatrz"/>
    <w:basedOn w:val="Akapitzlist"/>
    <w:link w:val="listawewnatrzZnak"/>
    <w:qFormat/>
    <w:rsid w:val="007F565D"/>
    <w:pPr>
      <w:numPr>
        <w:numId w:val="23"/>
      </w:numPr>
      <w:autoSpaceDN w:val="0"/>
      <w:spacing w:line="360" w:lineRule="auto"/>
      <w:contextualSpacing w:val="0"/>
      <w:jc w:val="both"/>
      <w:textAlignment w:val="baseline"/>
    </w:pPr>
    <w:rPr>
      <w:rFonts w:ascii="Calibri" w:eastAsia="Calibri" w:hAnsi="Calibri" w:cs="Calibri"/>
      <w:sz w:val="24"/>
      <w:szCs w:val="24"/>
    </w:rPr>
  </w:style>
  <w:style w:type="character" w:customStyle="1" w:styleId="listawewnatrzZnak">
    <w:name w:val="lista wewnatrz Znak"/>
    <w:basedOn w:val="Domylnaczcionkaakapitu"/>
    <w:link w:val="listawewnatrz"/>
    <w:rsid w:val="007F565D"/>
    <w:rPr>
      <w:rFonts w:ascii="Calibri" w:eastAsia="Calibri" w:hAnsi="Calibri" w:cs="Calibri"/>
      <w:sz w:val="24"/>
      <w:szCs w:val="24"/>
    </w:rPr>
  </w:style>
  <w:style w:type="character" w:customStyle="1" w:styleId="Nagwek1Znak">
    <w:name w:val="Nagłówek 1 Znak"/>
    <w:basedOn w:val="Domylnaczcionkaakapitu"/>
    <w:link w:val="Nagwek1"/>
    <w:uiPriority w:val="9"/>
    <w:rsid w:val="00057DF5"/>
    <w:rPr>
      <w:rFonts w:asciiTheme="majorHAnsi" w:eastAsiaTheme="majorEastAsia" w:hAnsiTheme="majorHAnsi" w:cstheme="majorBidi"/>
      <w:color w:val="2F5496" w:themeColor="accent1" w:themeShade="BF"/>
      <w:sz w:val="32"/>
      <w:szCs w:val="32"/>
    </w:rPr>
  </w:style>
  <w:style w:type="character" w:styleId="Hipercze">
    <w:name w:val="Hyperlink"/>
    <w:basedOn w:val="Domylnaczcionkaakapitu"/>
    <w:uiPriority w:val="99"/>
    <w:unhideWhenUsed/>
    <w:rsid w:val="00FF0823"/>
    <w:rPr>
      <w:color w:val="0563C1" w:themeColor="hyperlink"/>
      <w:u w:val="single"/>
    </w:rPr>
  </w:style>
  <w:style w:type="paragraph" w:styleId="Poprawka">
    <w:name w:val="Revision"/>
    <w:hidden/>
    <w:uiPriority w:val="99"/>
    <w:semiHidden/>
    <w:rsid w:val="00B40D20"/>
    <w:pPr>
      <w:spacing w:after="0" w:line="240" w:lineRule="auto"/>
    </w:pPr>
  </w:style>
  <w:style w:type="paragraph" w:styleId="Nagwek">
    <w:name w:val="header"/>
    <w:basedOn w:val="Normalny"/>
    <w:link w:val="NagwekZnak"/>
    <w:uiPriority w:val="99"/>
    <w:unhideWhenUsed/>
    <w:rsid w:val="00683B7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3B76"/>
  </w:style>
  <w:style w:type="paragraph" w:styleId="Stopka">
    <w:name w:val="footer"/>
    <w:basedOn w:val="Normalny"/>
    <w:link w:val="StopkaZnak"/>
    <w:uiPriority w:val="99"/>
    <w:unhideWhenUsed/>
    <w:rsid w:val="00683B7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3B76"/>
  </w:style>
  <w:style w:type="paragraph" w:styleId="Tekstprzypisukocowego">
    <w:name w:val="endnote text"/>
    <w:basedOn w:val="Normalny"/>
    <w:link w:val="TekstprzypisukocowegoZnak"/>
    <w:uiPriority w:val="99"/>
    <w:semiHidden/>
    <w:unhideWhenUsed/>
    <w:rsid w:val="00187C0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87C0F"/>
    <w:rPr>
      <w:sz w:val="20"/>
      <w:szCs w:val="20"/>
    </w:rPr>
  </w:style>
  <w:style w:type="character" w:styleId="Odwoanieprzypisukocowego">
    <w:name w:val="endnote reference"/>
    <w:basedOn w:val="Domylnaczcionkaakapitu"/>
    <w:uiPriority w:val="99"/>
    <w:semiHidden/>
    <w:unhideWhenUsed/>
    <w:rsid w:val="00187C0F"/>
    <w:rPr>
      <w:vertAlign w:val="superscript"/>
    </w:rPr>
  </w:style>
  <w:style w:type="paragraph" w:customStyle="1" w:styleId="ARTartustawynprozporzdzenia">
    <w:name w:val="ART(§) – art. ustawy (§ np. rozporządzenia)"/>
    <w:uiPriority w:val="11"/>
    <w:qFormat/>
    <w:rsid w:val="00CA4BE9"/>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325959">
      <w:bodyDiv w:val="1"/>
      <w:marLeft w:val="0"/>
      <w:marRight w:val="0"/>
      <w:marTop w:val="0"/>
      <w:marBottom w:val="0"/>
      <w:divBdr>
        <w:top w:val="none" w:sz="0" w:space="0" w:color="auto"/>
        <w:left w:val="none" w:sz="0" w:space="0" w:color="auto"/>
        <w:bottom w:val="none" w:sz="0" w:space="0" w:color="auto"/>
        <w:right w:val="none" w:sz="0" w:space="0" w:color="auto"/>
      </w:divBdr>
    </w:div>
    <w:div w:id="297759195">
      <w:bodyDiv w:val="1"/>
      <w:marLeft w:val="0"/>
      <w:marRight w:val="0"/>
      <w:marTop w:val="0"/>
      <w:marBottom w:val="0"/>
      <w:divBdr>
        <w:top w:val="none" w:sz="0" w:space="0" w:color="auto"/>
        <w:left w:val="none" w:sz="0" w:space="0" w:color="auto"/>
        <w:bottom w:val="none" w:sz="0" w:space="0" w:color="auto"/>
        <w:right w:val="none" w:sz="0" w:space="0" w:color="auto"/>
      </w:divBdr>
    </w:div>
    <w:div w:id="322591024">
      <w:bodyDiv w:val="1"/>
      <w:marLeft w:val="0"/>
      <w:marRight w:val="0"/>
      <w:marTop w:val="0"/>
      <w:marBottom w:val="0"/>
      <w:divBdr>
        <w:top w:val="none" w:sz="0" w:space="0" w:color="auto"/>
        <w:left w:val="none" w:sz="0" w:space="0" w:color="auto"/>
        <w:bottom w:val="none" w:sz="0" w:space="0" w:color="auto"/>
        <w:right w:val="none" w:sz="0" w:space="0" w:color="auto"/>
      </w:divBdr>
      <w:divsChild>
        <w:div w:id="92944775">
          <w:marLeft w:val="0"/>
          <w:marRight w:val="0"/>
          <w:marTop w:val="0"/>
          <w:marBottom w:val="0"/>
          <w:divBdr>
            <w:top w:val="none" w:sz="0" w:space="0" w:color="auto"/>
            <w:left w:val="none" w:sz="0" w:space="0" w:color="auto"/>
            <w:bottom w:val="none" w:sz="0" w:space="0" w:color="auto"/>
            <w:right w:val="none" w:sz="0" w:space="0" w:color="auto"/>
          </w:divBdr>
        </w:div>
        <w:div w:id="2022201842">
          <w:marLeft w:val="0"/>
          <w:marRight w:val="0"/>
          <w:marTop w:val="0"/>
          <w:marBottom w:val="0"/>
          <w:divBdr>
            <w:top w:val="none" w:sz="0" w:space="0" w:color="auto"/>
            <w:left w:val="none" w:sz="0" w:space="0" w:color="auto"/>
            <w:bottom w:val="none" w:sz="0" w:space="0" w:color="auto"/>
            <w:right w:val="none" w:sz="0" w:space="0" w:color="auto"/>
          </w:divBdr>
        </w:div>
        <w:div w:id="737480076">
          <w:marLeft w:val="0"/>
          <w:marRight w:val="0"/>
          <w:marTop w:val="0"/>
          <w:marBottom w:val="0"/>
          <w:divBdr>
            <w:top w:val="none" w:sz="0" w:space="0" w:color="auto"/>
            <w:left w:val="none" w:sz="0" w:space="0" w:color="auto"/>
            <w:bottom w:val="none" w:sz="0" w:space="0" w:color="auto"/>
            <w:right w:val="none" w:sz="0" w:space="0" w:color="auto"/>
          </w:divBdr>
        </w:div>
        <w:div w:id="1080181628">
          <w:marLeft w:val="0"/>
          <w:marRight w:val="0"/>
          <w:marTop w:val="0"/>
          <w:marBottom w:val="0"/>
          <w:divBdr>
            <w:top w:val="none" w:sz="0" w:space="0" w:color="auto"/>
            <w:left w:val="none" w:sz="0" w:space="0" w:color="auto"/>
            <w:bottom w:val="none" w:sz="0" w:space="0" w:color="auto"/>
            <w:right w:val="none" w:sz="0" w:space="0" w:color="auto"/>
          </w:divBdr>
        </w:div>
        <w:div w:id="2126540301">
          <w:marLeft w:val="0"/>
          <w:marRight w:val="0"/>
          <w:marTop w:val="0"/>
          <w:marBottom w:val="0"/>
          <w:divBdr>
            <w:top w:val="none" w:sz="0" w:space="0" w:color="auto"/>
            <w:left w:val="none" w:sz="0" w:space="0" w:color="auto"/>
            <w:bottom w:val="none" w:sz="0" w:space="0" w:color="auto"/>
            <w:right w:val="none" w:sz="0" w:space="0" w:color="auto"/>
          </w:divBdr>
        </w:div>
        <w:div w:id="294456897">
          <w:marLeft w:val="0"/>
          <w:marRight w:val="0"/>
          <w:marTop w:val="0"/>
          <w:marBottom w:val="0"/>
          <w:divBdr>
            <w:top w:val="none" w:sz="0" w:space="0" w:color="auto"/>
            <w:left w:val="none" w:sz="0" w:space="0" w:color="auto"/>
            <w:bottom w:val="none" w:sz="0" w:space="0" w:color="auto"/>
            <w:right w:val="none" w:sz="0" w:space="0" w:color="auto"/>
          </w:divBdr>
        </w:div>
        <w:div w:id="1447236076">
          <w:marLeft w:val="0"/>
          <w:marRight w:val="0"/>
          <w:marTop w:val="0"/>
          <w:marBottom w:val="0"/>
          <w:divBdr>
            <w:top w:val="none" w:sz="0" w:space="0" w:color="auto"/>
            <w:left w:val="none" w:sz="0" w:space="0" w:color="auto"/>
            <w:bottom w:val="none" w:sz="0" w:space="0" w:color="auto"/>
            <w:right w:val="none" w:sz="0" w:space="0" w:color="auto"/>
          </w:divBdr>
        </w:div>
        <w:div w:id="593441196">
          <w:marLeft w:val="0"/>
          <w:marRight w:val="0"/>
          <w:marTop w:val="0"/>
          <w:marBottom w:val="0"/>
          <w:divBdr>
            <w:top w:val="none" w:sz="0" w:space="0" w:color="auto"/>
            <w:left w:val="none" w:sz="0" w:space="0" w:color="auto"/>
            <w:bottom w:val="none" w:sz="0" w:space="0" w:color="auto"/>
            <w:right w:val="none" w:sz="0" w:space="0" w:color="auto"/>
          </w:divBdr>
        </w:div>
        <w:div w:id="506141951">
          <w:marLeft w:val="0"/>
          <w:marRight w:val="0"/>
          <w:marTop w:val="0"/>
          <w:marBottom w:val="0"/>
          <w:divBdr>
            <w:top w:val="none" w:sz="0" w:space="0" w:color="auto"/>
            <w:left w:val="none" w:sz="0" w:space="0" w:color="auto"/>
            <w:bottom w:val="none" w:sz="0" w:space="0" w:color="auto"/>
            <w:right w:val="none" w:sz="0" w:space="0" w:color="auto"/>
          </w:divBdr>
        </w:div>
        <w:div w:id="1628586953">
          <w:marLeft w:val="0"/>
          <w:marRight w:val="0"/>
          <w:marTop w:val="0"/>
          <w:marBottom w:val="0"/>
          <w:divBdr>
            <w:top w:val="none" w:sz="0" w:space="0" w:color="auto"/>
            <w:left w:val="none" w:sz="0" w:space="0" w:color="auto"/>
            <w:bottom w:val="none" w:sz="0" w:space="0" w:color="auto"/>
            <w:right w:val="none" w:sz="0" w:space="0" w:color="auto"/>
          </w:divBdr>
        </w:div>
      </w:divsChild>
    </w:div>
    <w:div w:id="381439333">
      <w:bodyDiv w:val="1"/>
      <w:marLeft w:val="0"/>
      <w:marRight w:val="0"/>
      <w:marTop w:val="0"/>
      <w:marBottom w:val="0"/>
      <w:divBdr>
        <w:top w:val="none" w:sz="0" w:space="0" w:color="auto"/>
        <w:left w:val="none" w:sz="0" w:space="0" w:color="auto"/>
        <w:bottom w:val="none" w:sz="0" w:space="0" w:color="auto"/>
        <w:right w:val="none" w:sz="0" w:space="0" w:color="auto"/>
      </w:divBdr>
      <w:divsChild>
        <w:div w:id="1522090220">
          <w:marLeft w:val="0"/>
          <w:marRight w:val="0"/>
          <w:marTop w:val="0"/>
          <w:marBottom w:val="0"/>
          <w:divBdr>
            <w:top w:val="none" w:sz="0" w:space="0" w:color="auto"/>
            <w:left w:val="none" w:sz="0" w:space="0" w:color="auto"/>
            <w:bottom w:val="none" w:sz="0" w:space="0" w:color="auto"/>
            <w:right w:val="none" w:sz="0" w:space="0" w:color="auto"/>
          </w:divBdr>
        </w:div>
        <w:div w:id="1216698615">
          <w:marLeft w:val="0"/>
          <w:marRight w:val="0"/>
          <w:marTop w:val="0"/>
          <w:marBottom w:val="0"/>
          <w:divBdr>
            <w:top w:val="none" w:sz="0" w:space="0" w:color="auto"/>
            <w:left w:val="none" w:sz="0" w:space="0" w:color="auto"/>
            <w:bottom w:val="none" w:sz="0" w:space="0" w:color="auto"/>
            <w:right w:val="none" w:sz="0" w:space="0" w:color="auto"/>
          </w:divBdr>
        </w:div>
        <w:div w:id="235628785">
          <w:marLeft w:val="0"/>
          <w:marRight w:val="0"/>
          <w:marTop w:val="0"/>
          <w:marBottom w:val="0"/>
          <w:divBdr>
            <w:top w:val="none" w:sz="0" w:space="0" w:color="auto"/>
            <w:left w:val="none" w:sz="0" w:space="0" w:color="auto"/>
            <w:bottom w:val="none" w:sz="0" w:space="0" w:color="auto"/>
            <w:right w:val="none" w:sz="0" w:space="0" w:color="auto"/>
          </w:divBdr>
        </w:div>
        <w:div w:id="2066952102">
          <w:marLeft w:val="0"/>
          <w:marRight w:val="0"/>
          <w:marTop w:val="0"/>
          <w:marBottom w:val="0"/>
          <w:divBdr>
            <w:top w:val="none" w:sz="0" w:space="0" w:color="auto"/>
            <w:left w:val="none" w:sz="0" w:space="0" w:color="auto"/>
            <w:bottom w:val="none" w:sz="0" w:space="0" w:color="auto"/>
            <w:right w:val="none" w:sz="0" w:space="0" w:color="auto"/>
          </w:divBdr>
        </w:div>
        <w:div w:id="2058042592">
          <w:marLeft w:val="0"/>
          <w:marRight w:val="0"/>
          <w:marTop w:val="0"/>
          <w:marBottom w:val="0"/>
          <w:divBdr>
            <w:top w:val="none" w:sz="0" w:space="0" w:color="auto"/>
            <w:left w:val="none" w:sz="0" w:space="0" w:color="auto"/>
            <w:bottom w:val="none" w:sz="0" w:space="0" w:color="auto"/>
            <w:right w:val="none" w:sz="0" w:space="0" w:color="auto"/>
          </w:divBdr>
        </w:div>
        <w:div w:id="2009408768">
          <w:marLeft w:val="0"/>
          <w:marRight w:val="0"/>
          <w:marTop w:val="0"/>
          <w:marBottom w:val="0"/>
          <w:divBdr>
            <w:top w:val="none" w:sz="0" w:space="0" w:color="auto"/>
            <w:left w:val="none" w:sz="0" w:space="0" w:color="auto"/>
            <w:bottom w:val="none" w:sz="0" w:space="0" w:color="auto"/>
            <w:right w:val="none" w:sz="0" w:space="0" w:color="auto"/>
          </w:divBdr>
        </w:div>
      </w:divsChild>
    </w:div>
    <w:div w:id="408314732">
      <w:bodyDiv w:val="1"/>
      <w:marLeft w:val="0"/>
      <w:marRight w:val="0"/>
      <w:marTop w:val="0"/>
      <w:marBottom w:val="0"/>
      <w:divBdr>
        <w:top w:val="none" w:sz="0" w:space="0" w:color="auto"/>
        <w:left w:val="none" w:sz="0" w:space="0" w:color="auto"/>
        <w:bottom w:val="none" w:sz="0" w:space="0" w:color="auto"/>
        <w:right w:val="none" w:sz="0" w:space="0" w:color="auto"/>
      </w:divBdr>
    </w:div>
    <w:div w:id="467283270">
      <w:bodyDiv w:val="1"/>
      <w:marLeft w:val="0"/>
      <w:marRight w:val="0"/>
      <w:marTop w:val="0"/>
      <w:marBottom w:val="0"/>
      <w:divBdr>
        <w:top w:val="none" w:sz="0" w:space="0" w:color="auto"/>
        <w:left w:val="none" w:sz="0" w:space="0" w:color="auto"/>
        <w:bottom w:val="none" w:sz="0" w:space="0" w:color="auto"/>
        <w:right w:val="none" w:sz="0" w:space="0" w:color="auto"/>
      </w:divBdr>
    </w:div>
    <w:div w:id="517935462">
      <w:bodyDiv w:val="1"/>
      <w:marLeft w:val="0"/>
      <w:marRight w:val="0"/>
      <w:marTop w:val="0"/>
      <w:marBottom w:val="0"/>
      <w:divBdr>
        <w:top w:val="none" w:sz="0" w:space="0" w:color="auto"/>
        <w:left w:val="none" w:sz="0" w:space="0" w:color="auto"/>
        <w:bottom w:val="none" w:sz="0" w:space="0" w:color="auto"/>
        <w:right w:val="none" w:sz="0" w:space="0" w:color="auto"/>
      </w:divBdr>
      <w:divsChild>
        <w:div w:id="154689270">
          <w:marLeft w:val="0"/>
          <w:marRight w:val="0"/>
          <w:marTop w:val="0"/>
          <w:marBottom w:val="0"/>
          <w:divBdr>
            <w:top w:val="none" w:sz="0" w:space="0" w:color="auto"/>
            <w:left w:val="none" w:sz="0" w:space="0" w:color="auto"/>
            <w:bottom w:val="none" w:sz="0" w:space="0" w:color="auto"/>
            <w:right w:val="none" w:sz="0" w:space="0" w:color="auto"/>
          </w:divBdr>
          <w:divsChild>
            <w:div w:id="161817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872530">
      <w:bodyDiv w:val="1"/>
      <w:marLeft w:val="0"/>
      <w:marRight w:val="0"/>
      <w:marTop w:val="0"/>
      <w:marBottom w:val="0"/>
      <w:divBdr>
        <w:top w:val="none" w:sz="0" w:space="0" w:color="auto"/>
        <w:left w:val="none" w:sz="0" w:space="0" w:color="auto"/>
        <w:bottom w:val="none" w:sz="0" w:space="0" w:color="auto"/>
        <w:right w:val="none" w:sz="0" w:space="0" w:color="auto"/>
      </w:divBdr>
    </w:div>
    <w:div w:id="734813472">
      <w:bodyDiv w:val="1"/>
      <w:marLeft w:val="0"/>
      <w:marRight w:val="0"/>
      <w:marTop w:val="0"/>
      <w:marBottom w:val="0"/>
      <w:divBdr>
        <w:top w:val="none" w:sz="0" w:space="0" w:color="auto"/>
        <w:left w:val="none" w:sz="0" w:space="0" w:color="auto"/>
        <w:bottom w:val="none" w:sz="0" w:space="0" w:color="auto"/>
        <w:right w:val="none" w:sz="0" w:space="0" w:color="auto"/>
      </w:divBdr>
    </w:div>
    <w:div w:id="872696616">
      <w:bodyDiv w:val="1"/>
      <w:marLeft w:val="0"/>
      <w:marRight w:val="0"/>
      <w:marTop w:val="0"/>
      <w:marBottom w:val="0"/>
      <w:divBdr>
        <w:top w:val="none" w:sz="0" w:space="0" w:color="auto"/>
        <w:left w:val="none" w:sz="0" w:space="0" w:color="auto"/>
        <w:bottom w:val="none" w:sz="0" w:space="0" w:color="auto"/>
        <w:right w:val="none" w:sz="0" w:space="0" w:color="auto"/>
      </w:divBdr>
      <w:divsChild>
        <w:div w:id="89785387">
          <w:marLeft w:val="0"/>
          <w:marRight w:val="0"/>
          <w:marTop w:val="0"/>
          <w:marBottom w:val="0"/>
          <w:divBdr>
            <w:top w:val="none" w:sz="0" w:space="0" w:color="auto"/>
            <w:left w:val="none" w:sz="0" w:space="0" w:color="auto"/>
            <w:bottom w:val="none" w:sz="0" w:space="0" w:color="auto"/>
            <w:right w:val="none" w:sz="0" w:space="0" w:color="auto"/>
          </w:divBdr>
        </w:div>
        <w:div w:id="1869563306">
          <w:marLeft w:val="0"/>
          <w:marRight w:val="0"/>
          <w:marTop w:val="0"/>
          <w:marBottom w:val="0"/>
          <w:divBdr>
            <w:top w:val="none" w:sz="0" w:space="0" w:color="auto"/>
            <w:left w:val="none" w:sz="0" w:space="0" w:color="auto"/>
            <w:bottom w:val="none" w:sz="0" w:space="0" w:color="auto"/>
            <w:right w:val="none" w:sz="0" w:space="0" w:color="auto"/>
          </w:divBdr>
          <w:divsChild>
            <w:div w:id="208183124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54236455">
      <w:bodyDiv w:val="1"/>
      <w:marLeft w:val="0"/>
      <w:marRight w:val="0"/>
      <w:marTop w:val="0"/>
      <w:marBottom w:val="0"/>
      <w:divBdr>
        <w:top w:val="none" w:sz="0" w:space="0" w:color="auto"/>
        <w:left w:val="none" w:sz="0" w:space="0" w:color="auto"/>
        <w:bottom w:val="none" w:sz="0" w:space="0" w:color="auto"/>
        <w:right w:val="none" w:sz="0" w:space="0" w:color="auto"/>
      </w:divBdr>
    </w:div>
    <w:div w:id="1118573038">
      <w:bodyDiv w:val="1"/>
      <w:marLeft w:val="0"/>
      <w:marRight w:val="0"/>
      <w:marTop w:val="0"/>
      <w:marBottom w:val="0"/>
      <w:divBdr>
        <w:top w:val="none" w:sz="0" w:space="0" w:color="auto"/>
        <w:left w:val="none" w:sz="0" w:space="0" w:color="auto"/>
        <w:bottom w:val="none" w:sz="0" w:space="0" w:color="auto"/>
        <w:right w:val="none" w:sz="0" w:space="0" w:color="auto"/>
      </w:divBdr>
    </w:div>
    <w:div w:id="1253975459">
      <w:bodyDiv w:val="1"/>
      <w:marLeft w:val="0"/>
      <w:marRight w:val="0"/>
      <w:marTop w:val="0"/>
      <w:marBottom w:val="0"/>
      <w:divBdr>
        <w:top w:val="none" w:sz="0" w:space="0" w:color="auto"/>
        <w:left w:val="none" w:sz="0" w:space="0" w:color="auto"/>
        <w:bottom w:val="none" w:sz="0" w:space="0" w:color="auto"/>
        <w:right w:val="none" w:sz="0" w:space="0" w:color="auto"/>
      </w:divBdr>
    </w:div>
    <w:div w:id="1265960768">
      <w:bodyDiv w:val="1"/>
      <w:marLeft w:val="0"/>
      <w:marRight w:val="0"/>
      <w:marTop w:val="0"/>
      <w:marBottom w:val="0"/>
      <w:divBdr>
        <w:top w:val="none" w:sz="0" w:space="0" w:color="auto"/>
        <w:left w:val="none" w:sz="0" w:space="0" w:color="auto"/>
        <w:bottom w:val="none" w:sz="0" w:space="0" w:color="auto"/>
        <w:right w:val="none" w:sz="0" w:space="0" w:color="auto"/>
      </w:divBdr>
    </w:div>
    <w:div w:id="1312782719">
      <w:bodyDiv w:val="1"/>
      <w:marLeft w:val="0"/>
      <w:marRight w:val="0"/>
      <w:marTop w:val="0"/>
      <w:marBottom w:val="0"/>
      <w:divBdr>
        <w:top w:val="none" w:sz="0" w:space="0" w:color="auto"/>
        <w:left w:val="none" w:sz="0" w:space="0" w:color="auto"/>
        <w:bottom w:val="none" w:sz="0" w:space="0" w:color="auto"/>
        <w:right w:val="none" w:sz="0" w:space="0" w:color="auto"/>
      </w:divBdr>
    </w:div>
    <w:div w:id="1328511378">
      <w:bodyDiv w:val="1"/>
      <w:marLeft w:val="0"/>
      <w:marRight w:val="0"/>
      <w:marTop w:val="0"/>
      <w:marBottom w:val="0"/>
      <w:divBdr>
        <w:top w:val="none" w:sz="0" w:space="0" w:color="auto"/>
        <w:left w:val="none" w:sz="0" w:space="0" w:color="auto"/>
        <w:bottom w:val="none" w:sz="0" w:space="0" w:color="auto"/>
        <w:right w:val="none" w:sz="0" w:space="0" w:color="auto"/>
      </w:divBdr>
    </w:div>
    <w:div w:id="1410034460">
      <w:bodyDiv w:val="1"/>
      <w:marLeft w:val="0"/>
      <w:marRight w:val="0"/>
      <w:marTop w:val="0"/>
      <w:marBottom w:val="0"/>
      <w:divBdr>
        <w:top w:val="none" w:sz="0" w:space="0" w:color="auto"/>
        <w:left w:val="none" w:sz="0" w:space="0" w:color="auto"/>
        <w:bottom w:val="none" w:sz="0" w:space="0" w:color="auto"/>
        <w:right w:val="none" w:sz="0" w:space="0" w:color="auto"/>
      </w:divBdr>
      <w:divsChild>
        <w:div w:id="873928778">
          <w:marLeft w:val="0"/>
          <w:marRight w:val="0"/>
          <w:marTop w:val="0"/>
          <w:marBottom w:val="0"/>
          <w:divBdr>
            <w:top w:val="none" w:sz="0" w:space="0" w:color="auto"/>
            <w:left w:val="none" w:sz="0" w:space="0" w:color="auto"/>
            <w:bottom w:val="none" w:sz="0" w:space="0" w:color="auto"/>
            <w:right w:val="none" w:sz="0" w:space="0" w:color="auto"/>
          </w:divBdr>
        </w:div>
        <w:div w:id="1486700262">
          <w:marLeft w:val="0"/>
          <w:marRight w:val="0"/>
          <w:marTop w:val="0"/>
          <w:marBottom w:val="0"/>
          <w:divBdr>
            <w:top w:val="none" w:sz="0" w:space="0" w:color="auto"/>
            <w:left w:val="none" w:sz="0" w:space="0" w:color="auto"/>
            <w:bottom w:val="none" w:sz="0" w:space="0" w:color="auto"/>
            <w:right w:val="none" w:sz="0" w:space="0" w:color="auto"/>
          </w:divBdr>
        </w:div>
        <w:div w:id="586429785">
          <w:marLeft w:val="0"/>
          <w:marRight w:val="0"/>
          <w:marTop w:val="0"/>
          <w:marBottom w:val="0"/>
          <w:divBdr>
            <w:top w:val="none" w:sz="0" w:space="0" w:color="auto"/>
            <w:left w:val="none" w:sz="0" w:space="0" w:color="auto"/>
            <w:bottom w:val="none" w:sz="0" w:space="0" w:color="auto"/>
            <w:right w:val="none" w:sz="0" w:space="0" w:color="auto"/>
          </w:divBdr>
        </w:div>
        <w:div w:id="1042940411">
          <w:marLeft w:val="0"/>
          <w:marRight w:val="0"/>
          <w:marTop w:val="0"/>
          <w:marBottom w:val="0"/>
          <w:divBdr>
            <w:top w:val="none" w:sz="0" w:space="0" w:color="auto"/>
            <w:left w:val="none" w:sz="0" w:space="0" w:color="auto"/>
            <w:bottom w:val="none" w:sz="0" w:space="0" w:color="auto"/>
            <w:right w:val="none" w:sz="0" w:space="0" w:color="auto"/>
          </w:divBdr>
        </w:div>
        <w:div w:id="218517187">
          <w:marLeft w:val="0"/>
          <w:marRight w:val="0"/>
          <w:marTop w:val="0"/>
          <w:marBottom w:val="0"/>
          <w:divBdr>
            <w:top w:val="none" w:sz="0" w:space="0" w:color="auto"/>
            <w:left w:val="none" w:sz="0" w:space="0" w:color="auto"/>
            <w:bottom w:val="none" w:sz="0" w:space="0" w:color="auto"/>
            <w:right w:val="none" w:sz="0" w:space="0" w:color="auto"/>
          </w:divBdr>
        </w:div>
        <w:div w:id="851645645">
          <w:marLeft w:val="0"/>
          <w:marRight w:val="0"/>
          <w:marTop w:val="0"/>
          <w:marBottom w:val="0"/>
          <w:divBdr>
            <w:top w:val="none" w:sz="0" w:space="0" w:color="auto"/>
            <w:left w:val="none" w:sz="0" w:space="0" w:color="auto"/>
            <w:bottom w:val="none" w:sz="0" w:space="0" w:color="auto"/>
            <w:right w:val="none" w:sz="0" w:space="0" w:color="auto"/>
          </w:divBdr>
        </w:div>
        <w:div w:id="2131701117">
          <w:marLeft w:val="0"/>
          <w:marRight w:val="0"/>
          <w:marTop w:val="0"/>
          <w:marBottom w:val="0"/>
          <w:divBdr>
            <w:top w:val="none" w:sz="0" w:space="0" w:color="auto"/>
            <w:left w:val="none" w:sz="0" w:space="0" w:color="auto"/>
            <w:bottom w:val="none" w:sz="0" w:space="0" w:color="auto"/>
            <w:right w:val="none" w:sz="0" w:space="0" w:color="auto"/>
          </w:divBdr>
        </w:div>
        <w:div w:id="466437341">
          <w:marLeft w:val="0"/>
          <w:marRight w:val="0"/>
          <w:marTop w:val="0"/>
          <w:marBottom w:val="0"/>
          <w:divBdr>
            <w:top w:val="none" w:sz="0" w:space="0" w:color="auto"/>
            <w:left w:val="none" w:sz="0" w:space="0" w:color="auto"/>
            <w:bottom w:val="none" w:sz="0" w:space="0" w:color="auto"/>
            <w:right w:val="none" w:sz="0" w:space="0" w:color="auto"/>
          </w:divBdr>
        </w:div>
        <w:div w:id="1674914586">
          <w:marLeft w:val="0"/>
          <w:marRight w:val="0"/>
          <w:marTop w:val="0"/>
          <w:marBottom w:val="0"/>
          <w:divBdr>
            <w:top w:val="none" w:sz="0" w:space="0" w:color="auto"/>
            <w:left w:val="none" w:sz="0" w:space="0" w:color="auto"/>
            <w:bottom w:val="none" w:sz="0" w:space="0" w:color="auto"/>
            <w:right w:val="none" w:sz="0" w:space="0" w:color="auto"/>
          </w:divBdr>
        </w:div>
        <w:div w:id="145319645">
          <w:marLeft w:val="0"/>
          <w:marRight w:val="0"/>
          <w:marTop w:val="0"/>
          <w:marBottom w:val="0"/>
          <w:divBdr>
            <w:top w:val="none" w:sz="0" w:space="0" w:color="auto"/>
            <w:left w:val="none" w:sz="0" w:space="0" w:color="auto"/>
            <w:bottom w:val="none" w:sz="0" w:space="0" w:color="auto"/>
            <w:right w:val="none" w:sz="0" w:space="0" w:color="auto"/>
          </w:divBdr>
        </w:div>
        <w:div w:id="1385183148">
          <w:marLeft w:val="0"/>
          <w:marRight w:val="0"/>
          <w:marTop w:val="0"/>
          <w:marBottom w:val="0"/>
          <w:divBdr>
            <w:top w:val="none" w:sz="0" w:space="0" w:color="auto"/>
            <w:left w:val="none" w:sz="0" w:space="0" w:color="auto"/>
            <w:bottom w:val="none" w:sz="0" w:space="0" w:color="auto"/>
            <w:right w:val="none" w:sz="0" w:space="0" w:color="auto"/>
          </w:divBdr>
        </w:div>
        <w:div w:id="1744836514">
          <w:marLeft w:val="0"/>
          <w:marRight w:val="0"/>
          <w:marTop w:val="0"/>
          <w:marBottom w:val="0"/>
          <w:divBdr>
            <w:top w:val="none" w:sz="0" w:space="0" w:color="auto"/>
            <w:left w:val="none" w:sz="0" w:space="0" w:color="auto"/>
            <w:bottom w:val="none" w:sz="0" w:space="0" w:color="auto"/>
            <w:right w:val="none" w:sz="0" w:space="0" w:color="auto"/>
          </w:divBdr>
        </w:div>
        <w:div w:id="507524311">
          <w:marLeft w:val="0"/>
          <w:marRight w:val="0"/>
          <w:marTop w:val="0"/>
          <w:marBottom w:val="0"/>
          <w:divBdr>
            <w:top w:val="none" w:sz="0" w:space="0" w:color="auto"/>
            <w:left w:val="none" w:sz="0" w:space="0" w:color="auto"/>
            <w:bottom w:val="none" w:sz="0" w:space="0" w:color="auto"/>
            <w:right w:val="none" w:sz="0" w:space="0" w:color="auto"/>
          </w:divBdr>
        </w:div>
        <w:div w:id="741372684">
          <w:marLeft w:val="0"/>
          <w:marRight w:val="0"/>
          <w:marTop w:val="0"/>
          <w:marBottom w:val="0"/>
          <w:divBdr>
            <w:top w:val="none" w:sz="0" w:space="0" w:color="auto"/>
            <w:left w:val="none" w:sz="0" w:space="0" w:color="auto"/>
            <w:bottom w:val="none" w:sz="0" w:space="0" w:color="auto"/>
            <w:right w:val="none" w:sz="0" w:space="0" w:color="auto"/>
          </w:divBdr>
        </w:div>
        <w:div w:id="1128009667">
          <w:marLeft w:val="0"/>
          <w:marRight w:val="0"/>
          <w:marTop w:val="0"/>
          <w:marBottom w:val="0"/>
          <w:divBdr>
            <w:top w:val="none" w:sz="0" w:space="0" w:color="auto"/>
            <w:left w:val="none" w:sz="0" w:space="0" w:color="auto"/>
            <w:bottom w:val="none" w:sz="0" w:space="0" w:color="auto"/>
            <w:right w:val="none" w:sz="0" w:space="0" w:color="auto"/>
          </w:divBdr>
        </w:div>
        <w:div w:id="1122575004">
          <w:marLeft w:val="0"/>
          <w:marRight w:val="0"/>
          <w:marTop w:val="0"/>
          <w:marBottom w:val="0"/>
          <w:divBdr>
            <w:top w:val="none" w:sz="0" w:space="0" w:color="auto"/>
            <w:left w:val="none" w:sz="0" w:space="0" w:color="auto"/>
            <w:bottom w:val="none" w:sz="0" w:space="0" w:color="auto"/>
            <w:right w:val="none" w:sz="0" w:space="0" w:color="auto"/>
          </w:divBdr>
        </w:div>
      </w:divsChild>
    </w:div>
    <w:div w:id="1426923798">
      <w:bodyDiv w:val="1"/>
      <w:marLeft w:val="0"/>
      <w:marRight w:val="0"/>
      <w:marTop w:val="0"/>
      <w:marBottom w:val="0"/>
      <w:divBdr>
        <w:top w:val="none" w:sz="0" w:space="0" w:color="auto"/>
        <w:left w:val="none" w:sz="0" w:space="0" w:color="auto"/>
        <w:bottom w:val="none" w:sz="0" w:space="0" w:color="auto"/>
        <w:right w:val="none" w:sz="0" w:space="0" w:color="auto"/>
      </w:divBdr>
    </w:div>
    <w:div w:id="1442650254">
      <w:bodyDiv w:val="1"/>
      <w:marLeft w:val="0"/>
      <w:marRight w:val="0"/>
      <w:marTop w:val="0"/>
      <w:marBottom w:val="0"/>
      <w:divBdr>
        <w:top w:val="none" w:sz="0" w:space="0" w:color="auto"/>
        <w:left w:val="none" w:sz="0" w:space="0" w:color="auto"/>
        <w:bottom w:val="none" w:sz="0" w:space="0" w:color="auto"/>
        <w:right w:val="none" w:sz="0" w:space="0" w:color="auto"/>
      </w:divBdr>
    </w:div>
    <w:div w:id="1450318635">
      <w:bodyDiv w:val="1"/>
      <w:marLeft w:val="0"/>
      <w:marRight w:val="0"/>
      <w:marTop w:val="0"/>
      <w:marBottom w:val="0"/>
      <w:divBdr>
        <w:top w:val="none" w:sz="0" w:space="0" w:color="auto"/>
        <w:left w:val="none" w:sz="0" w:space="0" w:color="auto"/>
        <w:bottom w:val="none" w:sz="0" w:space="0" w:color="auto"/>
        <w:right w:val="none" w:sz="0" w:space="0" w:color="auto"/>
      </w:divBdr>
      <w:divsChild>
        <w:div w:id="1004436941">
          <w:marLeft w:val="0"/>
          <w:marRight w:val="0"/>
          <w:marTop w:val="0"/>
          <w:marBottom w:val="0"/>
          <w:divBdr>
            <w:top w:val="none" w:sz="0" w:space="0" w:color="auto"/>
            <w:left w:val="none" w:sz="0" w:space="0" w:color="auto"/>
            <w:bottom w:val="none" w:sz="0" w:space="0" w:color="auto"/>
            <w:right w:val="none" w:sz="0" w:space="0" w:color="auto"/>
          </w:divBdr>
        </w:div>
        <w:div w:id="1143615754">
          <w:marLeft w:val="0"/>
          <w:marRight w:val="0"/>
          <w:marTop w:val="0"/>
          <w:marBottom w:val="0"/>
          <w:divBdr>
            <w:top w:val="none" w:sz="0" w:space="0" w:color="auto"/>
            <w:left w:val="none" w:sz="0" w:space="0" w:color="auto"/>
            <w:bottom w:val="none" w:sz="0" w:space="0" w:color="auto"/>
            <w:right w:val="none" w:sz="0" w:space="0" w:color="auto"/>
          </w:divBdr>
        </w:div>
        <w:div w:id="1767573594">
          <w:marLeft w:val="0"/>
          <w:marRight w:val="0"/>
          <w:marTop w:val="0"/>
          <w:marBottom w:val="0"/>
          <w:divBdr>
            <w:top w:val="none" w:sz="0" w:space="0" w:color="auto"/>
            <w:left w:val="none" w:sz="0" w:space="0" w:color="auto"/>
            <w:bottom w:val="none" w:sz="0" w:space="0" w:color="auto"/>
            <w:right w:val="none" w:sz="0" w:space="0" w:color="auto"/>
          </w:divBdr>
        </w:div>
        <w:div w:id="2037844960">
          <w:marLeft w:val="0"/>
          <w:marRight w:val="0"/>
          <w:marTop w:val="0"/>
          <w:marBottom w:val="0"/>
          <w:divBdr>
            <w:top w:val="none" w:sz="0" w:space="0" w:color="auto"/>
            <w:left w:val="none" w:sz="0" w:space="0" w:color="auto"/>
            <w:bottom w:val="none" w:sz="0" w:space="0" w:color="auto"/>
            <w:right w:val="none" w:sz="0" w:space="0" w:color="auto"/>
          </w:divBdr>
        </w:div>
        <w:div w:id="504593334">
          <w:marLeft w:val="0"/>
          <w:marRight w:val="0"/>
          <w:marTop w:val="0"/>
          <w:marBottom w:val="0"/>
          <w:divBdr>
            <w:top w:val="none" w:sz="0" w:space="0" w:color="auto"/>
            <w:left w:val="none" w:sz="0" w:space="0" w:color="auto"/>
            <w:bottom w:val="none" w:sz="0" w:space="0" w:color="auto"/>
            <w:right w:val="none" w:sz="0" w:space="0" w:color="auto"/>
          </w:divBdr>
        </w:div>
        <w:div w:id="622620146">
          <w:marLeft w:val="0"/>
          <w:marRight w:val="0"/>
          <w:marTop w:val="0"/>
          <w:marBottom w:val="0"/>
          <w:divBdr>
            <w:top w:val="none" w:sz="0" w:space="0" w:color="auto"/>
            <w:left w:val="none" w:sz="0" w:space="0" w:color="auto"/>
            <w:bottom w:val="none" w:sz="0" w:space="0" w:color="auto"/>
            <w:right w:val="none" w:sz="0" w:space="0" w:color="auto"/>
          </w:divBdr>
        </w:div>
        <w:div w:id="2112503719">
          <w:marLeft w:val="0"/>
          <w:marRight w:val="0"/>
          <w:marTop w:val="0"/>
          <w:marBottom w:val="0"/>
          <w:divBdr>
            <w:top w:val="none" w:sz="0" w:space="0" w:color="auto"/>
            <w:left w:val="none" w:sz="0" w:space="0" w:color="auto"/>
            <w:bottom w:val="none" w:sz="0" w:space="0" w:color="auto"/>
            <w:right w:val="none" w:sz="0" w:space="0" w:color="auto"/>
          </w:divBdr>
        </w:div>
        <w:div w:id="2364889">
          <w:marLeft w:val="0"/>
          <w:marRight w:val="0"/>
          <w:marTop w:val="0"/>
          <w:marBottom w:val="0"/>
          <w:divBdr>
            <w:top w:val="none" w:sz="0" w:space="0" w:color="auto"/>
            <w:left w:val="none" w:sz="0" w:space="0" w:color="auto"/>
            <w:bottom w:val="none" w:sz="0" w:space="0" w:color="auto"/>
            <w:right w:val="none" w:sz="0" w:space="0" w:color="auto"/>
          </w:divBdr>
        </w:div>
        <w:div w:id="1089932498">
          <w:marLeft w:val="0"/>
          <w:marRight w:val="0"/>
          <w:marTop w:val="0"/>
          <w:marBottom w:val="0"/>
          <w:divBdr>
            <w:top w:val="none" w:sz="0" w:space="0" w:color="auto"/>
            <w:left w:val="none" w:sz="0" w:space="0" w:color="auto"/>
            <w:bottom w:val="none" w:sz="0" w:space="0" w:color="auto"/>
            <w:right w:val="none" w:sz="0" w:space="0" w:color="auto"/>
          </w:divBdr>
        </w:div>
        <w:div w:id="1611661941">
          <w:marLeft w:val="0"/>
          <w:marRight w:val="0"/>
          <w:marTop w:val="0"/>
          <w:marBottom w:val="0"/>
          <w:divBdr>
            <w:top w:val="none" w:sz="0" w:space="0" w:color="auto"/>
            <w:left w:val="none" w:sz="0" w:space="0" w:color="auto"/>
            <w:bottom w:val="none" w:sz="0" w:space="0" w:color="auto"/>
            <w:right w:val="none" w:sz="0" w:space="0" w:color="auto"/>
          </w:divBdr>
        </w:div>
        <w:div w:id="1147477812">
          <w:marLeft w:val="0"/>
          <w:marRight w:val="0"/>
          <w:marTop w:val="0"/>
          <w:marBottom w:val="0"/>
          <w:divBdr>
            <w:top w:val="none" w:sz="0" w:space="0" w:color="auto"/>
            <w:left w:val="none" w:sz="0" w:space="0" w:color="auto"/>
            <w:bottom w:val="none" w:sz="0" w:space="0" w:color="auto"/>
            <w:right w:val="none" w:sz="0" w:space="0" w:color="auto"/>
          </w:divBdr>
        </w:div>
        <w:div w:id="254674204">
          <w:marLeft w:val="0"/>
          <w:marRight w:val="0"/>
          <w:marTop w:val="0"/>
          <w:marBottom w:val="0"/>
          <w:divBdr>
            <w:top w:val="none" w:sz="0" w:space="0" w:color="auto"/>
            <w:left w:val="none" w:sz="0" w:space="0" w:color="auto"/>
            <w:bottom w:val="none" w:sz="0" w:space="0" w:color="auto"/>
            <w:right w:val="none" w:sz="0" w:space="0" w:color="auto"/>
          </w:divBdr>
        </w:div>
        <w:div w:id="331031351">
          <w:marLeft w:val="0"/>
          <w:marRight w:val="0"/>
          <w:marTop w:val="0"/>
          <w:marBottom w:val="0"/>
          <w:divBdr>
            <w:top w:val="none" w:sz="0" w:space="0" w:color="auto"/>
            <w:left w:val="none" w:sz="0" w:space="0" w:color="auto"/>
            <w:bottom w:val="none" w:sz="0" w:space="0" w:color="auto"/>
            <w:right w:val="none" w:sz="0" w:space="0" w:color="auto"/>
          </w:divBdr>
        </w:div>
        <w:div w:id="372657976">
          <w:marLeft w:val="0"/>
          <w:marRight w:val="0"/>
          <w:marTop w:val="0"/>
          <w:marBottom w:val="0"/>
          <w:divBdr>
            <w:top w:val="none" w:sz="0" w:space="0" w:color="auto"/>
            <w:left w:val="none" w:sz="0" w:space="0" w:color="auto"/>
            <w:bottom w:val="none" w:sz="0" w:space="0" w:color="auto"/>
            <w:right w:val="none" w:sz="0" w:space="0" w:color="auto"/>
          </w:divBdr>
        </w:div>
        <w:div w:id="982974993">
          <w:marLeft w:val="0"/>
          <w:marRight w:val="0"/>
          <w:marTop w:val="0"/>
          <w:marBottom w:val="0"/>
          <w:divBdr>
            <w:top w:val="none" w:sz="0" w:space="0" w:color="auto"/>
            <w:left w:val="none" w:sz="0" w:space="0" w:color="auto"/>
            <w:bottom w:val="none" w:sz="0" w:space="0" w:color="auto"/>
            <w:right w:val="none" w:sz="0" w:space="0" w:color="auto"/>
          </w:divBdr>
        </w:div>
        <w:div w:id="1230848887">
          <w:marLeft w:val="0"/>
          <w:marRight w:val="0"/>
          <w:marTop w:val="0"/>
          <w:marBottom w:val="0"/>
          <w:divBdr>
            <w:top w:val="none" w:sz="0" w:space="0" w:color="auto"/>
            <w:left w:val="none" w:sz="0" w:space="0" w:color="auto"/>
            <w:bottom w:val="none" w:sz="0" w:space="0" w:color="auto"/>
            <w:right w:val="none" w:sz="0" w:space="0" w:color="auto"/>
          </w:divBdr>
        </w:div>
      </w:divsChild>
    </w:div>
    <w:div w:id="1599094897">
      <w:bodyDiv w:val="1"/>
      <w:marLeft w:val="0"/>
      <w:marRight w:val="0"/>
      <w:marTop w:val="0"/>
      <w:marBottom w:val="0"/>
      <w:divBdr>
        <w:top w:val="none" w:sz="0" w:space="0" w:color="auto"/>
        <w:left w:val="none" w:sz="0" w:space="0" w:color="auto"/>
        <w:bottom w:val="none" w:sz="0" w:space="0" w:color="auto"/>
        <w:right w:val="none" w:sz="0" w:space="0" w:color="auto"/>
      </w:divBdr>
    </w:div>
    <w:div w:id="1657491349">
      <w:bodyDiv w:val="1"/>
      <w:marLeft w:val="0"/>
      <w:marRight w:val="0"/>
      <w:marTop w:val="0"/>
      <w:marBottom w:val="0"/>
      <w:divBdr>
        <w:top w:val="none" w:sz="0" w:space="0" w:color="auto"/>
        <w:left w:val="none" w:sz="0" w:space="0" w:color="auto"/>
        <w:bottom w:val="none" w:sz="0" w:space="0" w:color="auto"/>
        <w:right w:val="none" w:sz="0" w:space="0" w:color="auto"/>
      </w:divBdr>
      <w:divsChild>
        <w:div w:id="1821654079">
          <w:marLeft w:val="0"/>
          <w:marRight w:val="0"/>
          <w:marTop w:val="0"/>
          <w:marBottom w:val="0"/>
          <w:divBdr>
            <w:top w:val="none" w:sz="0" w:space="0" w:color="auto"/>
            <w:left w:val="none" w:sz="0" w:space="0" w:color="auto"/>
            <w:bottom w:val="none" w:sz="0" w:space="0" w:color="auto"/>
            <w:right w:val="none" w:sz="0" w:space="0" w:color="auto"/>
          </w:divBdr>
        </w:div>
        <w:div w:id="1442871491">
          <w:marLeft w:val="0"/>
          <w:marRight w:val="0"/>
          <w:marTop w:val="0"/>
          <w:marBottom w:val="0"/>
          <w:divBdr>
            <w:top w:val="none" w:sz="0" w:space="0" w:color="auto"/>
            <w:left w:val="none" w:sz="0" w:space="0" w:color="auto"/>
            <w:bottom w:val="none" w:sz="0" w:space="0" w:color="auto"/>
            <w:right w:val="none" w:sz="0" w:space="0" w:color="auto"/>
          </w:divBdr>
        </w:div>
        <w:div w:id="164443587">
          <w:marLeft w:val="0"/>
          <w:marRight w:val="0"/>
          <w:marTop w:val="0"/>
          <w:marBottom w:val="0"/>
          <w:divBdr>
            <w:top w:val="none" w:sz="0" w:space="0" w:color="auto"/>
            <w:left w:val="none" w:sz="0" w:space="0" w:color="auto"/>
            <w:bottom w:val="none" w:sz="0" w:space="0" w:color="auto"/>
            <w:right w:val="none" w:sz="0" w:space="0" w:color="auto"/>
          </w:divBdr>
        </w:div>
        <w:div w:id="94063560">
          <w:marLeft w:val="0"/>
          <w:marRight w:val="0"/>
          <w:marTop w:val="0"/>
          <w:marBottom w:val="0"/>
          <w:divBdr>
            <w:top w:val="none" w:sz="0" w:space="0" w:color="auto"/>
            <w:left w:val="none" w:sz="0" w:space="0" w:color="auto"/>
            <w:bottom w:val="none" w:sz="0" w:space="0" w:color="auto"/>
            <w:right w:val="none" w:sz="0" w:space="0" w:color="auto"/>
          </w:divBdr>
        </w:div>
        <w:div w:id="1467310002">
          <w:marLeft w:val="0"/>
          <w:marRight w:val="0"/>
          <w:marTop w:val="0"/>
          <w:marBottom w:val="0"/>
          <w:divBdr>
            <w:top w:val="none" w:sz="0" w:space="0" w:color="auto"/>
            <w:left w:val="none" w:sz="0" w:space="0" w:color="auto"/>
            <w:bottom w:val="none" w:sz="0" w:space="0" w:color="auto"/>
            <w:right w:val="none" w:sz="0" w:space="0" w:color="auto"/>
          </w:divBdr>
        </w:div>
        <w:div w:id="1534414825">
          <w:marLeft w:val="0"/>
          <w:marRight w:val="0"/>
          <w:marTop w:val="0"/>
          <w:marBottom w:val="0"/>
          <w:divBdr>
            <w:top w:val="none" w:sz="0" w:space="0" w:color="auto"/>
            <w:left w:val="none" w:sz="0" w:space="0" w:color="auto"/>
            <w:bottom w:val="none" w:sz="0" w:space="0" w:color="auto"/>
            <w:right w:val="none" w:sz="0" w:space="0" w:color="auto"/>
          </w:divBdr>
        </w:div>
        <w:div w:id="1305887935">
          <w:marLeft w:val="0"/>
          <w:marRight w:val="0"/>
          <w:marTop w:val="0"/>
          <w:marBottom w:val="0"/>
          <w:divBdr>
            <w:top w:val="none" w:sz="0" w:space="0" w:color="auto"/>
            <w:left w:val="none" w:sz="0" w:space="0" w:color="auto"/>
            <w:bottom w:val="none" w:sz="0" w:space="0" w:color="auto"/>
            <w:right w:val="none" w:sz="0" w:space="0" w:color="auto"/>
          </w:divBdr>
        </w:div>
        <w:div w:id="1697460346">
          <w:marLeft w:val="0"/>
          <w:marRight w:val="0"/>
          <w:marTop w:val="0"/>
          <w:marBottom w:val="0"/>
          <w:divBdr>
            <w:top w:val="none" w:sz="0" w:space="0" w:color="auto"/>
            <w:left w:val="none" w:sz="0" w:space="0" w:color="auto"/>
            <w:bottom w:val="none" w:sz="0" w:space="0" w:color="auto"/>
            <w:right w:val="none" w:sz="0" w:space="0" w:color="auto"/>
          </w:divBdr>
        </w:div>
        <w:div w:id="1147473876">
          <w:marLeft w:val="0"/>
          <w:marRight w:val="0"/>
          <w:marTop w:val="0"/>
          <w:marBottom w:val="0"/>
          <w:divBdr>
            <w:top w:val="none" w:sz="0" w:space="0" w:color="auto"/>
            <w:left w:val="none" w:sz="0" w:space="0" w:color="auto"/>
            <w:bottom w:val="none" w:sz="0" w:space="0" w:color="auto"/>
            <w:right w:val="none" w:sz="0" w:space="0" w:color="auto"/>
          </w:divBdr>
        </w:div>
        <w:div w:id="1297225622">
          <w:marLeft w:val="0"/>
          <w:marRight w:val="0"/>
          <w:marTop w:val="0"/>
          <w:marBottom w:val="0"/>
          <w:divBdr>
            <w:top w:val="none" w:sz="0" w:space="0" w:color="auto"/>
            <w:left w:val="none" w:sz="0" w:space="0" w:color="auto"/>
            <w:bottom w:val="none" w:sz="0" w:space="0" w:color="auto"/>
            <w:right w:val="none" w:sz="0" w:space="0" w:color="auto"/>
          </w:divBdr>
        </w:div>
        <w:div w:id="1778020648">
          <w:marLeft w:val="0"/>
          <w:marRight w:val="0"/>
          <w:marTop w:val="0"/>
          <w:marBottom w:val="0"/>
          <w:divBdr>
            <w:top w:val="none" w:sz="0" w:space="0" w:color="auto"/>
            <w:left w:val="none" w:sz="0" w:space="0" w:color="auto"/>
            <w:bottom w:val="none" w:sz="0" w:space="0" w:color="auto"/>
            <w:right w:val="none" w:sz="0" w:space="0" w:color="auto"/>
          </w:divBdr>
        </w:div>
        <w:div w:id="656109346">
          <w:marLeft w:val="0"/>
          <w:marRight w:val="0"/>
          <w:marTop w:val="0"/>
          <w:marBottom w:val="0"/>
          <w:divBdr>
            <w:top w:val="none" w:sz="0" w:space="0" w:color="auto"/>
            <w:left w:val="none" w:sz="0" w:space="0" w:color="auto"/>
            <w:bottom w:val="none" w:sz="0" w:space="0" w:color="auto"/>
            <w:right w:val="none" w:sz="0" w:space="0" w:color="auto"/>
          </w:divBdr>
        </w:div>
        <w:div w:id="356738671">
          <w:marLeft w:val="0"/>
          <w:marRight w:val="0"/>
          <w:marTop w:val="0"/>
          <w:marBottom w:val="0"/>
          <w:divBdr>
            <w:top w:val="none" w:sz="0" w:space="0" w:color="auto"/>
            <w:left w:val="none" w:sz="0" w:space="0" w:color="auto"/>
            <w:bottom w:val="none" w:sz="0" w:space="0" w:color="auto"/>
            <w:right w:val="none" w:sz="0" w:space="0" w:color="auto"/>
          </w:divBdr>
        </w:div>
      </w:divsChild>
    </w:div>
    <w:div w:id="1747415963">
      <w:bodyDiv w:val="1"/>
      <w:marLeft w:val="0"/>
      <w:marRight w:val="0"/>
      <w:marTop w:val="0"/>
      <w:marBottom w:val="0"/>
      <w:divBdr>
        <w:top w:val="none" w:sz="0" w:space="0" w:color="auto"/>
        <w:left w:val="none" w:sz="0" w:space="0" w:color="auto"/>
        <w:bottom w:val="none" w:sz="0" w:space="0" w:color="auto"/>
        <w:right w:val="none" w:sz="0" w:space="0" w:color="auto"/>
      </w:divBdr>
      <w:divsChild>
        <w:div w:id="576206147">
          <w:marLeft w:val="0"/>
          <w:marRight w:val="0"/>
          <w:marTop w:val="0"/>
          <w:marBottom w:val="0"/>
          <w:divBdr>
            <w:top w:val="none" w:sz="0" w:space="0" w:color="auto"/>
            <w:left w:val="none" w:sz="0" w:space="0" w:color="auto"/>
            <w:bottom w:val="none" w:sz="0" w:space="0" w:color="auto"/>
            <w:right w:val="none" w:sz="0" w:space="0" w:color="auto"/>
          </w:divBdr>
          <w:divsChild>
            <w:div w:id="92288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06653">
      <w:bodyDiv w:val="1"/>
      <w:marLeft w:val="0"/>
      <w:marRight w:val="0"/>
      <w:marTop w:val="0"/>
      <w:marBottom w:val="0"/>
      <w:divBdr>
        <w:top w:val="none" w:sz="0" w:space="0" w:color="auto"/>
        <w:left w:val="none" w:sz="0" w:space="0" w:color="auto"/>
        <w:bottom w:val="none" w:sz="0" w:space="0" w:color="auto"/>
        <w:right w:val="none" w:sz="0" w:space="0" w:color="auto"/>
      </w:divBdr>
    </w:div>
    <w:div w:id="1793357361">
      <w:bodyDiv w:val="1"/>
      <w:marLeft w:val="0"/>
      <w:marRight w:val="0"/>
      <w:marTop w:val="0"/>
      <w:marBottom w:val="0"/>
      <w:divBdr>
        <w:top w:val="none" w:sz="0" w:space="0" w:color="auto"/>
        <w:left w:val="none" w:sz="0" w:space="0" w:color="auto"/>
        <w:bottom w:val="none" w:sz="0" w:space="0" w:color="auto"/>
        <w:right w:val="none" w:sz="0" w:space="0" w:color="auto"/>
      </w:divBdr>
    </w:div>
    <w:div w:id="1825076631">
      <w:bodyDiv w:val="1"/>
      <w:marLeft w:val="0"/>
      <w:marRight w:val="0"/>
      <w:marTop w:val="0"/>
      <w:marBottom w:val="0"/>
      <w:divBdr>
        <w:top w:val="none" w:sz="0" w:space="0" w:color="auto"/>
        <w:left w:val="none" w:sz="0" w:space="0" w:color="auto"/>
        <w:bottom w:val="none" w:sz="0" w:space="0" w:color="auto"/>
        <w:right w:val="none" w:sz="0" w:space="0" w:color="auto"/>
      </w:divBdr>
    </w:div>
    <w:div w:id="188444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290679E922BB24382A6A7116F204EB7" ma:contentTypeVersion="9" ma:contentTypeDescription="Utwórz nowy dokument." ma:contentTypeScope="" ma:versionID="f4de9c5787b235e28326fc3add1d8e01">
  <xsd:schema xmlns:xsd="http://www.w3.org/2001/XMLSchema" xmlns:xs="http://www.w3.org/2001/XMLSchema" xmlns:p="http://schemas.microsoft.com/office/2006/metadata/properties" xmlns:ns3="face0aa2-af1b-4637-85b0-594d6479d183" targetNamespace="http://schemas.microsoft.com/office/2006/metadata/properties" ma:root="true" ma:fieldsID="73d9011f48ad25a819c793c8cc6722c4" ns3:_="">
    <xsd:import namespace="face0aa2-af1b-4637-85b0-594d6479d1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ce0aa2-af1b-4637-85b0-594d6479d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97a95f86-3167-43b9-9876-d3e5e3ff64ee" origin="userSelected">
  <element uid="89790441-96e2-477c-afd4-1e96c2fd8935" value=""/>
</sisl>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A7B26-13E8-4F46-9D5F-828A1934FEC2}">
  <ds:schemaRefs>
    <ds:schemaRef ds:uri="http://schemas.microsoft.com/sharepoint/v3/contenttype/forms"/>
  </ds:schemaRefs>
</ds:datastoreItem>
</file>

<file path=customXml/itemProps2.xml><?xml version="1.0" encoding="utf-8"?>
<ds:datastoreItem xmlns:ds="http://schemas.openxmlformats.org/officeDocument/2006/customXml" ds:itemID="{ED76D32D-BBF8-4142-9C35-25507A47F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ce0aa2-af1b-4637-85b0-594d6479d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A317D-9941-45A7-8BCA-A1968A69240A}">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28E2D3CB-A02F-41F0-B342-CF6C266E14D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55139AF-626E-4F89-AD81-0E2C8A1A6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73</Pages>
  <Words>26210</Words>
  <Characters>157265</Characters>
  <Application>Microsoft Office Word</Application>
  <DocSecurity>0</DocSecurity>
  <Lines>1310</Lines>
  <Paragraphs>366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Pniewski</dc:creator>
  <cp:lastModifiedBy>Autor</cp:lastModifiedBy>
  <cp:revision>13</cp:revision>
  <dcterms:created xsi:type="dcterms:W3CDTF">2023-01-26T17:07:00Z</dcterms:created>
  <dcterms:modified xsi:type="dcterms:W3CDTF">2023-01-27T12:38:00Z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0x0101009290679E922BB24382A6A7116F204EB7</vt:lpwstr>
  </property>
  <property fmtid="{D5CDD505-2E9C-101B-9397-08002B2CF9AE}" pid="3" name="docIndexRef">
    <vt:lpwstr>b5f3d3c7-b63a-4ede-aa6b-bdd514170b2c</vt:lpwstr>
  </property>
  <property fmtid="{D5CDD505-2E9C-101B-9397-08002B2CF9AE}" pid="4" name="bjSaver">
    <vt:lpwstr>/aDbLROgc6p9wU4sBUrwZflhDiAGyBhn</vt:lpwstr>
  </property>
  <property fmtid="{D5CDD505-2E9C-101B-9397-08002B2CF9AE}" pid="5" name="bjDocumentSecurityLabel">
    <vt:lpwstr>JAWNE</vt:lpwstr>
  </property>
  <property fmtid="{D5CDD505-2E9C-101B-9397-08002B2CF9AE}" pid="6" name="bjClsUserRVM">
    <vt:lpwstr>[]</vt:lpwstr>
  </property>
  <property fmtid="{D5CDD505-2E9C-101B-9397-08002B2CF9AE}" pid="7" name="bjDocumentLabelXML">
    <vt:lpwstr>&lt;?xml version="1.0" encoding="us-ascii"?&gt;&lt;sisl xmlns:xsi="http://www.w3.org/2001/XMLSchema-instance" xmlns:xsd="http://www.w3.org/2001/XMLSchema" sislVersion="0" policy="97a95f86-3167-43b9-9876-d3e5e3ff64ee" origin="userSelected" xmlns="http://www.boldonj</vt:lpwstr>
  </property>
  <property fmtid="{D5CDD505-2E9C-101B-9397-08002B2CF9AE}" pid="8" name="bjDocumentLabelXML-0">
    <vt:lpwstr>ames.com/2008/01/sie/internal/label"&gt;&lt;element uid="89790441-96e2-477c-afd4-1e96c2fd8935" value="" /&gt;&lt;/sisl&gt;</vt:lpwstr>
  </property>
</Properties>
</file>